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652F59"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4C2DC815" wp14:editId="1361BE2D">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D69F96"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53D6602B" w14:textId="77777777" w:rsidR="009D0C0B" w:rsidRDefault="009D0C0B">
      <w:pPr>
        <w:tabs>
          <w:tab w:val="left" w:pos="8505"/>
        </w:tabs>
        <w:ind w:left="-142" w:right="-45"/>
        <w:rPr>
          <w:sz w:val="36"/>
          <w:szCs w:val="36"/>
        </w:rPr>
      </w:pPr>
    </w:p>
    <w:p w14:paraId="62342E9B" w14:textId="77777777" w:rsidR="009D0C0B" w:rsidRDefault="009D0C0B">
      <w:pPr>
        <w:tabs>
          <w:tab w:val="left" w:pos="8505"/>
        </w:tabs>
        <w:ind w:left="-142" w:right="-45"/>
        <w:jc w:val="center"/>
        <w:rPr>
          <w:b/>
          <w:bCs/>
          <w:sz w:val="22"/>
          <w:szCs w:val="36"/>
        </w:rPr>
      </w:pPr>
    </w:p>
    <w:p w14:paraId="06ECDA1C" w14:textId="77777777" w:rsidR="009D0C0B" w:rsidRDefault="00FA480B">
      <w:pPr>
        <w:jc w:val="center"/>
        <w:rPr>
          <w:b/>
          <w:bCs/>
          <w:sz w:val="24"/>
          <w:szCs w:val="24"/>
        </w:rPr>
      </w:pPr>
      <w:r>
        <w:rPr>
          <w:b/>
          <w:bCs/>
          <w:sz w:val="36"/>
          <w:szCs w:val="36"/>
        </w:rPr>
        <w:t>PRODUCT ASSESSMENT REPORT OF A BIOCIDAL PRODUCT FOR NATIONAL AUTHORISATION APPLICATIONS</w:t>
      </w:r>
    </w:p>
    <w:p w14:paraId="477829EE" w14:textId="77777777" w:rsidR="009D0C0B" w:rsidRDefault="009D0C0B">
      <w:pPr>
        <w:tabs>
          <w:tab w:val="left" w:pos="8505"/>
        </w:tabs>
        <w:ind w:left="-142" w:right="-45"/>
        <w:jc w:val="center"/>
        <w:rPr>
          <w:b/>
          <w:bCs/>
          <w:sz w:val="24"/>
          <w:szCs w:val="24"/>
        </w:rPr>
      </w:pPr>
    </w:p>
    <w:p w14:paraId="67ED6D6B" w14:textId="77777777" w:rsidR="009D0C0B" w:rsidRDefault="00FA480B">
      <w:pPr>
        <w:tabs>
          <w:tab w:val="left" w:pos="8505"/>
        </w:tabs>
        <w:ind w:left="-142" w:right="-45"/>
        <w:jc w:val="center"/>
        <w:rPr>
          <w:b/>
          <w:bCs/>
          <w:sz w:val="36"/>
          <w:szCs w:val="24"/>
          <w:lang w:val="en-US"/>
        </w:rPr>
      </w:pPr>
      <w:r>
        <w:rPr>
          <w:bCs/>
          <w:sz w:val="24"/>
          <w:szCs w:val="24"/>
        </w:rPr>
        <w:t>(</w:t>
      </w:r>
      <w:proofErr w:type="gramStart"/>
      <w:r>
        <w:rPr>
          <w:bCs/>
          <w:sz w:val="24"/>
          <w:szCs w:val="24"/>
        </w:rPr>
        <w:t>submitted</w:t>
      </w:r>
      <w:proofErr w:type="gramEnd"/>
      <w:r>
        <w:rPr>
          <w:bCs/>
          <w:sz w:val="24"/>
          <w:szCs w:val="24"/>
        </w:rPr>
        <w:t xml:space="preserve"> by the evaluating Competent Authority)</w:t>
      </w:r>
    </w:p>
    <w:p w14:paraId="1A8B9989" w14:textId="77777777" w:rsidR="009D0C0B" w:rsidRDefault="009D0C0B">
      <w:pPr>
        <w:tabs>
          <w:tab w:val="left" w:pos="8505"/>
        </w:tabs>
        <w:ind w:left="-142" w:right="-45"/>
        <w:jc w:val="center"/>
        <w:rPr>
          <w:b/>
          <w:bCs/>
          <w:sz w:val="36"/>
          <w:szCs w:val="24"/>
          <w:lang w:val="en-US"/>
        </w:rPr>
      </w:pPr>
    </w:p>
    <w:p w14:paraId="788DD350"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27C97115" wp14:editId="7603F6F6">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73F0AD41" w14:textId="77777777" w:rsidR="009D0C0B" w:rsidRPr="00EC0D24" w:rsidRDefault="00DC4EEF">
      <w:pPr>
        <w:keepNext/>
        <w:widowControl w:val="0"/>
        <w:tabs>
          <w:tab w:val="left" w:pos="1304"/>
        </w:tabs>
        <w:autoSpaceDE w:val="0"/>
        <w:spacing w:before="480" w:after="120" w:line="400" w:lineRule="atLeast"/>
        <w:jc w:val="center"/>
        <w:rPr>
          <w:bCs/>
          <w:sz w:val="32"/>
          <w:szCs w:val="32"/>
          <w:lang w:val="fr-FR"/>
        </w:rPr>
      </w:pPr>
      <w:r w:rsidRPr="00EC0D24">
        <w:rPr>
          <w:bCs/>
          <w:sz w:val="32"/>
          <w:szCs w:val="32"/>
          <w:lang w:val="fr-FR"/>
        </w:rPr>
        <w:t>X6122B1</w:t>
      </w:r>
    </w:p>
    <w:p w14:paraId="733386EE" w14:textId="77777777" w:rsidR="009D0C0B" w:rsidRPr="00EC0D24" w:rsidRDefault="009D0C0B">
      <w:pPr>
        <w:rPr>
          <w:bCs/>
          <w:sz w:val="32"/>
          <w:szCs w:val="32"/>
          <w:lang w:val="fr-FR"/>
        </w:rPr>
      </w:pPr>
    </w:p>
    <w:p w14:paraId="1ACC3D18" w14:textId="77777777" w:rsidR="009D0C0B" w:rsidRPr="00EC0D24" w:rsidRDefault="00FA480B">
      <w:pPr>
        <w:tabs>
          <w:tab w:val="left" w:pos="8505"/>
        </w:tabs>
        <w:ind w:left="-142" w:right="-45"/>
        <w:jc w:val="center"/>
        <w:rPr>
          <w:bCs/>
          <w:sz w:val="32"/>
          <w:szCs w:val="32"/>
          <w:lang w:val="fr-FR"/>
        </w:rPr>
      </w:pPr>
      <w:r w:rsidRPr="00EC0D24">
        <w:rPr>
          <w:bCs/>
          <w:sz w:val="32"/>
          <w:szCs w:val="32"/>
          <w:lang w:val="fr-FR"/>
        </w:rPr>
        <w:t xml:space="preserve">Product type </w:t>
      </w:r>
      <w:r w:rsidR="00DC4EEF" w:rsidRPr="00EC0D24">
        <w:rPr>
          <w:bCs/>
          <w:sz w:val="32"/>
          <w:szCs w:val="32"/>
          <w:lang w:val="fr-FR"/>
        </w:rPr>
        <w:t>8</w:t>
      </w:r>
    </w:p>
    <w:p w14:paraId="28507319" w14:textId="77777777" w:rsidR="009D0C0B" w:rsidRPr="00EC0D24" w:rsidRDefault="009D0C0B">
      <w:pPr>
        <w:tabs>
          <w:tab w:val="left" w:pos="8505"/>
        </w:tabs>
        <w:ind w:right="-45"/>
        <w:rPr>
          <w:bCs/>
          <w:sz w:val="32"/>
          <w:szCs w:val="32"/>
          <w:lang w:val="fr-FR"/>
        </w:rPr>
      </w:pPr>
    </w:p>
    <w:p w14:paraId="315C5475" w14:textId="77777777" w:rsidR="009D0C0B" w:rsidRPr="00EC0D24" w:rsidRDefault="001D4FEA">
      <w:pPr>
        <w:tabs>
          <w:tab w:val="left" w:pos="8505"/>
        </w:tabs>
        <w:ind w:left="-142" w:right="-45"/>
        <w:jc w:val="center"/>
        <w:rPr>
          <w:bCs/>
          <w:sz w:val="32"/>
          <w:szCs w:val="32"/>
          <w:lang w:val="fr-FR"/>
        </w:rPr>
      </w:pPr>
      <w:r w:rsidRPr="00EC0D24">
        <w:rPr>
          <w:bCs/>
          <w:sz w:val="32"/>
          <w:szCs w:val="32"/>
          <w:lang w:val="fr-FR"/>
        </w:rPr>
        <w:t>Cypermethrin</w:t>
      </w:r>
    </w:p>
    <w:p w14:paraId="3E20E632" w14:textId="77777777" w:rsidR="001D4FEA" w:rsidRPr="00EC0D24" w:rsidRDefault="001D4FEA">
      <w:pPr>
        <w:tabs>
          <w:tab w:val="left" w:pos="8505"/>
        </w:tabs>
        <w:ind w:left="-142" w:right="-45"/>
        <w:jc w:val="center"/>
        <w:rPr>
          <w:bCs/>
          <w:sz w:val="32"/>
          <w:szCs w:val="32"/>
          <w:lang w:val="fr-FR"/>
        </w:rPr>
      </w:pPr>
      <w:r w:rsidRPr="00EC0D24">
        <w:rPr>
          <w:bCs/>
          <w:sz w:val="32"/>
          <w:szCs w:val="32"/>
          <w:lang w:val="fr-FR"/>
        </w:rPr>
        <w:t>Tebuconazole</w:t>
      </w:r>
    </w:p>
    <w:p w14:paraId="0F2BCFE7" w14:textId="77777777" w:rsidR="001D4FEA" w:rsidRPr="00EC0D24" w:rsidRDefault="001D4FEA">
      <w:pPr>
        <w:tabs>
          <w:tab w:val="left" w:pos="8505"/>
        </w:tabs>
        <w:ind w:left="-142" w:right="-45"/>
        <w:jc w:val="center"/>
        <w:rPr>
          <w:bCs/>
          <w:sz w:val="32"/>
          <w:szCs w:val="32"/>
          <w:lang w:val="fr-FR"/>
        </w:rPr>
      </w:pPr>
      <w:r w:rsidRPr="00EC0D24">
        <w:rPr>
          <w:bCs/>
          <w:sz w:val="32"/>
          <w:szCs w:val="32"/>
          <w:lang w:val="fr-FR"/>
        </w:rPr>
        <w:t>Propiconazole</w:t>
      </w:r>
    </w:p>
    <w:p w14:paraId="1ED38C30" w14:textId="77777777" w:rsidR="009D0C0B" w:rsidRPr="001D4FEA" w:rsidRDefault="001D4FEA" w:rsidP="001D4FEA">
      <w:pPr>
        <w:tabs>
          <w:tab w:val="left" w:pos="8505"/>
        </w:tabs>
        <w:ind w:left="-142" w:right="-45"/>
        <w:jc w:val="center"/>
        <w:rPr>
          <w:bCs/>
          <w:sz w:val="32"/>
          <w:szCs w:val="32"/>
          <w:lang w:val="en-US"/>
        </w:rPr>
      </w:pPr>
      <w:r w:rsidRPr="001D4FEA">
        <w:rPr>
          <w:bCs/>
          <w:sz w:val="32"/>
          <w:szCs w:val="32"/>
          <w:lang w:val="en-US"/>
        </w:rPr>
        <w:t>IPBC</w:t>
      </w:r>
    </w:p>
    <w:p w14:paraId="34B5DAEA" w14:textId="77777777" w:rsidR="009D0C0B" w:rsidRPr="001D4FEA" w:rsidRDefault="009D0C0B">
      <w:pPr>
        <w:tabs>
          <w:tab w:val="left" w:pos="8505"/>
        </w:tabs>
        <w:ind w:right="-45"/>
        <w:jc w:val="center"/>
        <w:rPr>
          <w:bCs/>
          <w:sz w:val="32"/>
          <w:szCs w:val="32"/>
          <w:lang w:val="en-US"/>
        </w:rPr>
      </w:pPr>
    </w:p>
    <w:p w14:paraId="3F9C15CE" w14:textId="77777777" w:rsidR="009D0C0B" w:rsidRDefault="00FA480B">
      <w:pPr>
        <w:tabs>
          <w:tab w:val="left" w:pos="8505"/>
        </w:tabs>
        <w:ind w:right="-45"/>
        <w:jc w:val="center"/>
        <w:rPr>
          <w:bCs/>
          <w:sz w:val="32"/>
          <w:szCs w:val="32"/>
        </w:rPr>
      </w:pPr>
      <w:r>
        <w:rPr>
          <w:bCs/>
          <w:sz w:val="32"/>
          <w:szCs w:val="32"/>
        </w:rPr>
        <w:t xml:space="preserve">Case Number in R4BP: </w:t>
      </w:r>
      <w:r w:rsidR="001D4FEA" w:rsidRPr="001D4FEA">
        <w:rPr>
          <w:bCs/>
          <w:sz w:val="32"/>
          <w:szCs w:val="32"/>
        </w:rPr>
        <w:t>BC-JL017423-44</w:t>
      </w:r>
    </w:p>
    <w:p w14:paraId="61FD4EA9" w14:textId="77777777" w:rsidR="009D0C0B" w:rsidRDefault="009D0C0B">
      <w:pPr>
        <w:tabs>
          <w:tab w:val="left" w:pos="8505"/>
        </w:tabs>
        <w:ind w:right="-45"/>
        <w:rPr>
          <w:bCs/>
          <w:sz w:val="32"/>
          <w:szCs w:val="32"/>
        </w:rPr>
      </w:pPr>
    </w:p>
    <w:p w14:paraId="4DBF8688" w14:textId="77777777" w:rsidR="009D0C0B" w:rsidRDefault="009D0C0B">
      <w:pPr>
        <w:tabs>
          <w:tab w:val="left" w:pos="8505"/>
        </w:tabs>
        <w:ind w:left="-142" w:right="-45"/>
        <w:jc w:val="center"/>
        <w:rPr>
          <w:bCs/>
          <w:sz w:val="32"/>
          <w:szCs w:val="32"/>
        </w:rPr>
      </w:pPr>
    </w:p>
    <w:p w14:paraId="4798E0C7"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1D4FEA">
        <w:rPr>
          <w:bCs/>
          <w:sz w:val="32"/>
          <w:szCs w:val="32"/>
        </w:rPr>
        <w:t>FR</w:t>
      </w:r>
    </w:p>
    <w:p w14:paraId="4EF4162C" w14:textId="77777777" w:rsidR="009D0C0B" w:rsidRDefault="009D0C0B">
      <w:pPr>
        <w:tabs>
          <w:tab w:val="left" w:pos="8505"/>
        </w:tabs>
        <w:ind w:left="-142" w:right="-45"/>
        <w:jc w:val="center"/>
        <w:rPr>
          <w:bCs/>
          <w:sz w:val="32"/>
          <w:szCs w:val="32"/>
        </w:rPr>
      </w:pPr>
    </w:p>
    <w:p w14:paraId="050374B3" w14:textId="76DA8149" w:rsidR="009D0C0B" w:rsidRDefault="00FA480B">
      <w:pPr>
        <w:tabs>
          <w:tab w:val="left" w:pos="8505"/>
        </w:tabs>
        <w:ind w:left="-142" w:right="-45"/>
        <w:jc w:val="center"/>
        <w:rPr>
          <w:rFonts w:ascii="Times New Roman" w:hAnsi="Times New Roman" w:cs="Times New Roman"/>
          <w:bCs/>
          <w:sz w:val="50"/>
          <w:szCs w:val="50"/>
        </w:rPr>
      </w:pPr>
      <w:r>
        <w:rPr>
          <w:bCs/>
          <w:sz w:val="32"/>
          <w:szCs w:val="32"/>
        </w:rPr>
        <w:t xml:space="preserve">Date: </w:t>
      </w:r>
      <w:r w:rsidR="009E047D">
        <w:rPr>
          <w:bCs/>
          <w:sz w:val="32"/>
          <w:szCs w:val="32"/>
        </w:rPr>
        <w:t xml:space="preserve">April </w:t>
      </w:r>
      <w:r w:rsidR="00B039ED">
        <w:rPr>
          <w:bCs/>
          <w:sz w:val="32"/>
          <w:szCs w:val="32"/>
        </w:rPr>
        <w:t>2018</w:t>
      </w:r>
      <w:r>
        <w:rPr>
          <w:bCs/>
          <w:sz w:val="32"/>
          <w:szCs w:val="32"/>
        </w:rPr>
        <w:t xml:space="preserve"> </w:t>
      </w:r>
    </w:p>
    <w:p w14:paraId="70A09AEA" w14:textId="77777777" w:rsidR="009D0C0B" w:rsidRDefault="00FA480B">
      <w:pPr>
        <w:pStyle w:val="Inhaltsverzeichnisberschrift"/>
        <w:pageBreakBefore/>
        <w:rPr>
          <w:rFonts w:cs="Verdana"/>
          <w:color w:val="000000"/>
          <w:u w:val="single"/>
        </w:rPr>
      </w:pPr>
      <w:bookmarkStart w:id="0" w:name="_Toc536627238"/>
      <w:r>
        <w:rPr>
          <w:rFonts w:ascii="Verdana" w:hAnsi="Verdana" w:cs="Verdana"/>
          <w:color w:val="000000"/>
          <w:u w:val="single"/>
        </w:rPr>
        <w:lastRenderedPageBreak/>
        <w:t>Table of Contents</w:t>
      </w:r>
      <w:bookmarkEnd w:id="0"/>
    </w:p>
    <w:p w14:paraId="5C64036F" w14:textId="77777777" w:rsidR="009D0C0B" w:rsidRDefault="009D0C0B">
      <w:pPr>
        <w:rPr>
          <w:color w:val="000000"/>
          <w:u w:val="single"/>
          <w:lang w:val="en-US" w:eastAsia="ja-JP"/>
        </w:rPr>
      </w:pPr>
    </w:p>
    <w:p w14:paraId="3E499707" w14:textId="63FC0172" w:rsidR="000656F7" w:rsidRDefault="00FA480B">
      <w:pPr>
        <w:pStyle w:val="TM1"/>
        <w:tabs>
          <w:tab w:val="right" w:leader="dot" w:pos="9487"/>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536627238" w:history="1">
        <w:r w:rsidR="000656F7" w:rsidRPr="00BE0F56">
          <w:rPr>
            <w:rStyle w:val="Lienhypertexte"/>
            <w:rFonts w:ascii="Verdana" w:hAnsi="Verdana" w:cs="Verdana"/>
            <w:noProof/>
          </w:rPr>
          <w:t>Table of Contents</w:t>
        </w:r>
        <w:r w:rsidR="000656F7">
          <w:rPr>
            <w:noProof/>
          </w:rPr>
          <w:tab/>
        </w:r>
        <w:r w:rsidR="000656F7">
          <w:rPr>
            <w:noProof/>
          </w:rPr>
          <w:fldChar w:fldCharType="begin"/>
        </w:r>
        <w:r w:rsidR="000656F7">
          <w:rPr>
            <w:noProof/>
          </w:rPr>
          <w:instrText xml:space="preserve"> PAGEREF _Toc536627238 \h </w:instrText>
        </w:r>
        <w:r w:rsidR="000656F7">
          <w:rPr>
            <w:noProof/>
          </w:rPr>
        </w:r>
        <w:r w:rsidR="000656F7">
          <w:rPr>
            <w:noProof/>
          </w:rPr>
          <w:fldChar w:fldCharType="separate"/>
        </w:r>
        <w:r w:rsidR="000656F7">
          <w:rPr>
            <w:noProof/>
          </w:rPr>
          <w:t>2</w:t>
        </w:r>
        <w:r w:rsidR="000656F7">
          <w:rPr>
            <w:noProof/>
          </w:rPr>
          <w:fldChar w:fldCharType="end"/>
        </w:r>
      </w:hyperlink>
    </w:p>
    <w:p w14:paraId="2833C7D4" w14:textId="6C58F890" w:rsidR="000656F7" w:rsidRDefault="00112DD6">
      <w:pPr>
        <w:pStyle w:val="TM1"/>
        <w:tabs>
          <w:tab w:val="left" w:pos="400"/>
          <w:tab w:val="right" w:leader="dot" w:pos="9487"/>
        </w:tabs>
        <w:rPr>
          <w:rFonts w:asciiTheme="minorHAnsi" w:eastAsiaTheme="minorEastAsia" w:hAnsiTheme="minorHAnsi" w:cstheme="minorBidi"/>
          <w:b w:val="0"/>
          <w:bCs w:val="0"/>
          <w:caps w:val="0"/>
          <w:noProof/>
          <w:sz w:val="22"/>
          <w:szCs w:val="22"/>
          <w:lang w:val="fr-FR" w:eastAsia="fr-FR"/>
        </w:rPr>
      </w:pPr>
      <w:hyperlink w:anchor="_Toc536627239" w:history="1">
        <w:r w:rsidR="000656F7" w:rsidRPr="00BE0F56">
          <w:rPr>
            <w:rStyle w:val="Lienhypertexte"/>
            <w:rFonts w:eastAsia="Calibri" w:cs="Times New Roman"/>
            <w:i/>
            <w:noProof/>
            <w:kern w:val="1"/>
            <w:lang w:eastAsia="en-US" w:bidi="x-none"/>
          </w:rPr>
          <w:t>1</w:t>
        </w:r>
        <w:r w:rsidR="000656F7">
          <w:rPr>
            <w:rFonts w:asciiTheme="minorHAnsi" w:eastAsiaTheme="minorEastAsia" w:hAnsiTheme="minorHAnsi" w:cstheme="minorBidi"/>
            <w:b w:val="0"/>
            <w:bCs w:val="0"/>
            <w:caps w:val="0"/>
            <w:noProof/>
            <w:sz w:val="22"/>
            <w:szCs w:val="22"/>
            <w:lang w:val="fr-FR" w:eastAsia="fr-FR"/>
          </w:rPr>
          <w:tab/>
        </w:r>
        <w:r w:rsidR="000656F7" w:rsidRPr="00BE0F56">
          <w:rPr>
            <w:rStyle w:val="Lienhypertexte"/>
            <w:rFonts w:eastAsia="Calibri"/>
            <w:noProof/>
          </w:rPr>
          <w:t>CONCLUSION</w:t>
        </w:r>
        <w:r w:rsidR="000656F7">
          <w:rPr>
            <w:noProof/>
          </w:rPr>
          <w:tab/>
        </w:r>
        <w:r w:rsidR="000656F7">
          <w:rPr>
            <w:noProof/>
          </w:rPr>
          <w:fldChar w:fldCharType="begin"/>
        </w:r>
        <w:r w:rsidR="000656F7">
          <w:rPr>
            <w:noProof/>
          </w:rPr>
          <w:instrText xml:space="preserve"> PAGEREF _Toc536627239 \h </w:instrText>
        </w:r>
        <w:r w:rsidR="000656F7">
          <w:rPr>
            <w:noProof/>
          </w:rPr>
        </w:r>
        <w:r w:rsidR="000656F7">
          <w:rPr>
            <w:noProof/>
          </w:rPr>
          <w:fldChar w:fldCharType="separate"/>
        </w:r>
        <w:r w:rsidR="000656F7">
          <w:rPr>
            <w:noProof/>
          </w:rPr>
          <w:t>6</w:t>
        </w:r>
        <w:r w:rsidR="000656F7">
          <w:rPr>
            <w:noProof/>
          </w:rPr>
          <w:fldChar w:fldCharType="end"/>
        </w:r>
      </w:hyperlink>
    </w:p>
    <w:p w14:paraId="6585D326" w14:textId="3CF587E7" w:rsidR="000656F7" w:rsidRDefault="00112DD6">
      <w:pPr>
        <w:pStyle w:val="TM1"/>
        <w:tabs>
          <w:tab w:val="left" w:pos="400"/>
          <w:tab w:val="right" w:leader="dot" w:pos="9487"/>
        </w:tabs>
        <w:rPr>
          <w:rFonts w:asciiTheme="minorHAnsi" w:eastAsiaTheme="minorEastAsia" w:hAnsiTheme="minorHAnsi" w:cstheme="minorBidi"/>
          <w:b w:val="0"/>
          <w:bCs w:val="0"/>
          <w:caps w:val="0"/>
          <w:noProof/>
          <w:sz w:val="22"/>
          <w:szCs w:val="22"/>
          <w:lang w:val="fr-FR" w:eastAsia="fr-FR"/>
        </w:rPr>
      </w:pPr>
      <w:hyperlink w:anchor="_Toc536627240" w:history="1">
        <w:r w:rsidR="000656F7" w:rsidRPr="00BE0F56">
          <w:rPr>
            <w:rStyle w:val="Lienhypertexte"/>
            <w:rFonts w:cs="Times New Roman"/>
            <w:i/>
            <w:noProof/>
            <w:kern w:val="1"/>
            <w:lang w:bidi="x-none"/>
          </w:rPr>
          <w:t>2</w:t>
        </w:r>
        <w:r w:rsidR="000656F7">
          <w:rPr>
            <w:rFonts w:asciiTheme="minorHAnsi" w:eastAsiaTheme="minorEastAsia" w:hAnsiTheme="minorHAnsi" w:cstheme="minorBidi"/>
            <w:b w:val="0"/>
            <w:bCs w:val="0"/>
            <w:caps w:val="0"/>
            <w:noProof/>
            <w:sz w:val="22"/>
            <w:szCs w:val="22"/>
            <w:lang w:val="fr-FR" w:eastAsia="fr-FR"/>
          </w:rPr>
          <w:tab/>
        </w:r>
        <w:r w:rsidR="000656F7" w:rsidRPr="00BE0F56">
          <w:rPr>
            <w:rStyle w:val="Lienhypertexte"/>
            <w:rFonts w:eastAsia="Calibri"/>
            <w:noProof/>
          </w:rPr>
          <w:t>ASSESSMENT REPORT</w:t>
        </w:r>
        <w:r w:rsidR="000656F7">
          <w:rPr>
            <w:noProof/>
          </w:rPr>
          <w:tab/>
        </w:r>
        <w:r w:rsidR="000656F7">
          <w:rPr>
            <w:noProof/>
          </w:rPr>
          <w:fldChar w:fldCharType="begin"/>
        </w:r>
        <w:r w:rsidR="000656F7">
          <w:rPr>
            <w:noProof/>
          </w:rPr>
          <w:instrText xml:space="preserve"> PAGEREF _Toc536627240 \h </w:instrText>
        </w:r>
        <w:r w:rsidR="000656F7">
          <w:rPr>
            <w:noProof/>
          </w:rPr>
        </w:r>
        <w:r w:rsidR="000656F7">
          <w:rPr>
            <w:noProof/>
          </w:rPr>
          <w:fldChar w:fldCharType="separate"/>
        </w:r>
        <w:r w:rsidR="000656F7">
          <w:rPr>
            <w:noProof/>
          </w:rPr>
          <w:t>8</w:t>
        </w:r>
        <w:r w:rsidR="000656F7">
          <w:rPr>
            <w:noProof/>
          </w:rPr>
          <w:fldChar w:fldCharType="end"/>
        </w:r>
      </w:hyperlink>
    </w:p>
    <w:p w14:paraId="5A024F6A" w14:textId="482F7216" w:rsidR="000656F7" w:rsidRDefault="00112DD6">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241" w:history="1">
        <w:r w:rsidR="000656F7" w:rsidRPr="00BE0F56">
          <w:rPr>
            <w:rStyle w:val="Lienhypertexte"/>
            <w:noProof/>
            <w:lang w:val="de-DE"/>
          </w:rPr>
          <w:t>2.1</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Summary of the product assessment</w:t>
        </w:r>
        <w:r w:rsidR="000656F7">
          <w:rPr>
            <w:noProof/>
          </w:rPr>
          <w:tab/>
        </w:r>
        <w:r w:rsidR="000656F7">
          <w:rPr>
            <w:noProof/>
          </w:rPr>
          <w:fldChar w:fldCharType="begin"/>
        </w:r>
        <w:r w:rsidR="000656F7">
          <w:rPr>
            <w:noProof/>
          </w:rPr>
          <w:instrText xml:space="preserve"> PAGEREF _Toc536627241 \h </w:instrText>
        </w:r>
        <w:r w:rsidR="000656F7">
          <w:rPr>
            <w:noProof/>
          </w:rPr>
        </w:r>
        <w:r w:rsidR="000656F7">
          <w:rPr>
            <w:noProof/>
          </w:rPr>
          <w:fldChar w:fldCharType="separate"/>
        </w:r>
        <w:r w:rsidR="000656F7">
          <w:rPr>
            <w:noProof/>
          </w:rPr>
          <w:t>8</w:t>
        </w:r>
        <w:r w:rsidR="000656F7">
          <w:rPr>
            <w:noProof/>
          </w:rPr>
          <w:fldChar w:fldCharType="end"/>
        </w:r>
      </w:hyperlink>
    </w:p>
    <w:p w14:paraId="25AD83F4" w14:textId="3FF7458B" w:rsidR="000656F7" w:rsidRDefault="00112DD6">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42" w:history="1">
        <w:r w:rsidR="000656F7" w:rsidRPr="00BE0F56">
          <w:rPr>
            <w:rStyle w:val="Lienhypertexte"/>
            <w:noProof/>
          </w:rPr>
          <w:t>2.1.1</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Administrative information</w:t>
        </w:r>
        <w:r w:rsidR="000656F7">
          <w:rPr>
            <w:noProof/>
          </w:rPr>
          <w:tab/>
        </w:r>
        <w:r w:rsidR="000656F7">
          <w:rPr>
            <w:noProof/>
          </w:rPr>
          <w:fldChar w:fldCharType="begin"/>
        </w:r>
        <w:r w:rsidR="000656F7">
          <w:rPr>
            <w:noProof/>
          </w:rPr>
          <w:instrText xml:space="preserve"> PAGEREF _Toc536627242 \h </w:instrText>
        </w:r>
        <w:r w:rsidR="000656F7">
          <w:rPr>
            <w:noProof/>
          </w:rPr>
        </w:r>
        <w:r w:rsidR="000656F7">
          <w:rPr>
            <w:noProof/>
          </w:rPr>
          <w:fldChar w:fldCharType="separate"/>
        </w:r>
        <w:r w:rsidR="000656F7">
          <w:rPr>
            <w:noProof/>
          </w:rPr>
          <w:t>8</w:t>
        </w:r>
        <w:r w:rsidR="000656F7">
          <w:rPr>
            <w:noProof/>
          </w:rPr>
          <w:fldChar w:fldCharType="end"/>
        </w:r>
      </w:hyperlink>
    </w:p>
    <w:p w14:paraId="0CABF771" w14:textId="031D732B"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3" w:history="1">
        <w:r w:rsidR="000656F7" w:rsidRPr="00BE0F56">
          <w:rPr>
            <w:rStyle w:val="Lienhypertexte"/>
            <w:b/>
            <w:bCs/>
            <w:noProof/>
            <w:lang w:eastAsia="en-GB"/>
          </w:rPr>
          <w:t>2.1.1.1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Identifier of the product / product family</w:t>
        </w:r>
        <w:r w:rsidR="000656F7">
          <w:rPr>
            <w:noProof/>
          </w:rPr>
          <w:tab/>
        </w:r>
        <w:r w:rsidR="000656F7">
          <w:rPr>
            <w:noProof/>
          </w:rPr>
          <w:fldChar w:fldCharType="begin"/>
        </w:r>
        <w:r w:rsidR="000656F7">
          <w:rPr>
            <w:noProof/>
          </w:rPr>
          <w:instrText xml:space="preserve"> PAGEREF _Toc536627243 \h </w:instrText>
        </w:r>
        <w:r w:rsidR="000656F7">
          <w:rPr>
            <w:noProof/>
          </w:rPr>
        </w:r>
        <w:r w:rsidR="000656F7">
          <w:rPr>
            <w:noProof/>
          </w:rPr>
          <w:fldChar w:fldCharType="separate"/>
        </w:r>
        <w:r w:rsidR="000656F7">
          <w:rPr>
            <w:noProof/>
          </w:rPr>
          <w:t>8</w:t>
        </w:r>
        <w:r w:rsidR="000656F7">
          <w:rPr>
            <w:noProof/>
          </w:rPr>
          <w:fldChar w:fldCharType="end"/>
        </w:r>
      </w:hyperlink>
    </w:p>
    <w:p w14:paraId="3C406EB0" w14:textId="031C25C6"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4" w:history="1">
        <w:r w:rsidR="000656F7" w:rsidRPr="00BE0F56">
          <w:rPr>
            <w:rStyle w:val="Lienhypertexte"/>
            <w:b/>
            <w:bCs/>
            <w:noProof/>
            <w:lang w:eastAsia="en-GB"/>
          </w:rPr>
          <w:t>2.1.1.2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Authorisation holder</w:t>
        </w:r>
        <w:r w:rsidR="000656F7">
          <w:rPr>
            <w:noProof/>
          </w:rPr>
          <w:tab/>
        </w:r>
        <w:r w:rsidR="000656F7">
          <w:rPr>
            <w:noProof/>
          </w:rPr>
          <w:fldChar w:fldCharType="begin"/>
        </w:r>
        <w:r w:rsidR="000656F7">
          <w:rPr>
            <w:noProof/>
          </w:rPr>
          <w:instrText xml:space="preserve"> PAGEREF _Toc536627244 \h </w:instrText>
        </w:r>
        <w:r w:rsidR="000656F7">
          <w:rPr>
            <w:noProof/>
          </w:rPr>
        </w:r>
        <w:r w:rsidR="000656F7">
          <w:rPr>
            <w:noProof/>
          </w:rPr>
          <w:fldChar w:fldCharType="separate"/>
        </w:r>
        <w:r w:rsidR="000656F7">
          <w:rPr>
            <w:noProof/>
          </w:rPr>
          <w:t>8</w:t>
        </w:r>
        <w:r w:rsidR="000656F7">
          <w:rPr>
            <w:noProof/>
          </w:rPr>
          <w:fldChar w:fldCharType="end"/>
        </w:r>
      </w:hyperlink>
    </w:p>
    <w:p w14:paraId="0EE3181A" w14:textId="109553C3"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5" w:history="1">
        <w:r w:rsidR="000656F7" w:rsidRPr="00BE0F56">
          <w:rPr>
            <w:rStyle w:val="Lienhypertexte"/>
            <w:b/>
            <w:bCs/>
            <w:noProof/>
            <w:lang w:eastAsia="en-GB"/>
          </w:rPr>
          <w:t>2.1.1.3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Manufacturer of the products of the family</w:t>
        </w:r>
        <w:r w:rsidR="000656F7">
          <w:rPr>
            <w:noProof/>
          </w:rPr>
          <w:tab/>
        </w:r>
        <w:r w:rsidR="000656F7">
          <w:rPr>
            <w:noProof/>
          </w:rPr>
          <w:fldChar w:fldCharType="begin"/>
        </w:r>
        <w:r w:rsidR="000656F7">
          <w:rPr>
            <w:noProof/>
          </w:rPr>
          <w:instrText xml:space="preserve"> PAGEREF _Toc536627245 \h </w:instrText>
        </w:r>
        <w:r w:rsidR="000656F7">
          <w:rPr>
            <w:noProof/>
          </w:rPr>
        </w:r>
        <w:r w:rsidR="000656F7">
          <w:rPr>
            <w:noProof/>
          </w:rPr>
          <w:fldChar w:fldCharType="separate"/>
        </w:r>
        <w:r w:rsidR="000656F7">
          <w:rPr>
            <w:noProof/>
          </w:rPr>
          <w:t>9</w:t>
        </w:r>
        <w:r w:rsidR="000656F7">
          <w:rPr>
            <w:noProof/>
          </w:rPr>
          <w:fldChar w:fldCharType="end"/>
        </w:r>
      </w:hyperlink>
    </w:p>
    <w:p w14:paraId="39205FD5" w14:textId="219D0C8A"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6" w:history="1">
        <w:r w:rsidR="000656F7" w:rsidRPr="00BE0F56">
          <w:rPr>
            <w:rStyle w:val="Lienhypertexte"/>
            <w:b/>
            <w:bCs/>
            <w:noProof/>
            <w:lang w:eastAsia="en-GB"/>
          </w:rPr>
          <w:t>2.1.1.4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Manufacturers of the active substances</w:t>
        </w:r>
        <w:r w:rsidR="000656F7">
          <w:rPr>
            <w:noProof/>
          </w:rPr>
          <w:tab/>
        </w:r>
        <w:r w:rsidR="000656F7">
          <w:rPr>
            <w:noProof/>
          </w:rPr>
          <w:fldChar w:fldCharType="begin"/>
        </w:r>
        <w:r w:rsidR="000656F7">
          <w:rPr>
            <w:noProof/>
          </w:rPr>
          <w:instrText xml:space="preserve"> PAGEREF _Toc536627246 \h </w:instrText>
        </w:r>
        <w:r w:rsidR="000656F7">
          <w:rPr>
            <w:noProof/>
          </w:rPr>
        </w:r>
        <w:r w:rsidR="000656F7">
          <w:rPr>
            <w:noProof/>
          </w:rPr>
          <w:fldChar w:fldCharType="separate"/>
        </w:r>
        <w:r w:rsidR="000656F7">
          <w:rPr>
            <w:noProof/>
          </w:rPr>
          <w:t>9</w:t>
        </w:r>
        <w:r w:rsidR="000656F7">
          <w:rPr>
            <w:noProof/>
          </w:rPr>
          <w:fldChar w:fldCharType="end"/>
        </w:r>
      </w:hyperlink>
    </w:p>
    <w:p w14:paraId="2A0945AC" w14:textId="4F60321F" w:rsidR="000656F7" w:rsidRDefault="00112DD6">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47" w:history="1">
        <w:r w:rsidR="000656F7" w:rsidRPr="00BE0F56">
          <w:rPr>
            <w:rStyle w:val="Lienhypertexte"/>
            <w:rFonts w:eastAsia="Calibri"/>
            <w:noProof/>
            <w:lang w:eastAsia="en-US"/>
          </w:rPr>
          <w:t>2.1.2</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Product composition and formulation</w:t>
        </w:r>
        <w:r w:rsidR="000656F7">
          <w:rPr>
            <w:noProof/>
          </w:rPr>
          <w:tab/>
        </w:r>
        <w:r w:rsidR="000656F7">
          <w:rPr>
            <w:noProof/>
          </w:rPr>
          <w:fldChar w:fldCharType="begin"/>
        </w:r>
        <w:r w:rsidR="000656F7">
          <w:rPr>
            <w:noProof/>
          </w:rPr>
          <w:instrText xml:space="preserve"> PAGEREF _Toc536627247 \h </w:instrText>
        </w:r>
        <w:r w:rsidR="000656F7">
          <w:rPr>
            <w:noProof/>
          </w:rPr>
        </w:r>
        <w:r w:rsidR="000656F7">
          <w:rPr>
            <w:noProof/>
          </w:rPr>
          <w:fldChar w:fldCharType="separate"/>
        </w:r>
        <w:r w:rsidR="000656F7">
          <w:rPr>
            <w:noProof/>
          </w:rPr>
          <w:t>10</w:t>
        </w:r>
        <w:r w:rsidR="000656F7">
          <w:rPr>
            <w:noProof/>
          </w:rPr>
          <w:fldChar w:fldCharType="end"/>
        </w:r>
      </w:hyperlink>
    </w:p>
    <w:p w14:paraId="40C2A26A" w14:textId="2AD448D4"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8" w:history="1">
        <w:r w:rsidR="000656F7" w:rsidRPr="00BE0F56">
          <w:rPr>
            <w:rStyle w:val="Lienhypertexte"/>
            <w:b/>
            <w:noProof/>
          </w:rPr>
          <w:t>2.1.2.1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Identity of the active substance</w:t>
        </w:r>
        <w:r w:rsidR="000656F7">
          <w:rPr>
            <w:noProof/>
          </w:rPr>
          <w:tab/>
        </w:r>
        <w:r w:rsidR="000656F7">
          <w:rPr>
            <w:noProof/>
          </w:rPr>
          <w:fldChar w:fldCharType="begin"/>
        </w:r>
        <w:r w:rsidR="000656F7">
          <w:rPr>
            <w:noProof/>
          </w:rPr>
          <w:instrText xml:space="preserve"> PAGEREF _Toc536627248 \h </w:instrText>
        </w:r>
        <w:r w:rsidR="000656F7">
          <w:rPr>
            <w:noProof/>
          </w:rPr>
        </w:r>
        <w:r w:rsidR="000656F7">
          <w:rPr>
            <w:noProof/>
          </w:rPr>
          <w:fldChar w:fldCharType="separate"/>
        </w:r>
        <w:r w:rsidR="000656F7">
          <w:rPr>
            <w:noProof/>
          </w:rPr>
          <w:t>10</w:t>
        </w:r>
        <w:r w:rsidR="000656F7">
          <w:rPr>
            <w:noProof/>
          </w:rPr>
          <w:fldChar w:fldCharType="end"/>
        </w:r>
      </w:hyperlink>
    </w:p>
    <w:p w14:paraId="05DD8890" w14:textId="2F06F559"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9" w:history="1">
        <w:r w:rsidR="000656F7" w:rsidRPr="00BE0F56">
          <w:rPr>
            <w:rStyle w:val="Lienhypertexte"/>
            <w:rFonts w:cs="Times New Roman"/>
            <w:b/>
            <w:noProof/>
            <w:lang w:eastAsia="fr-FR"/>
          </w:rPr>
          <w:t>2.1.2.2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Candidate for substitution</w:t>
        </w:r>
        <w:r w:rsidR="000656F7">
          <w:rPr>
            <w:noProof/>
          </w:rPr>
          <w:tab/>
        </w:r>
        <w:r w:rsidR="000656F7">
          <w:rPr>
            <w:noProof/>
          </w:rPr>
          <w:fldChar w:fldCharType="begin"/>
        </w:r>
        <w:r w:rsidR="000656F7">
          <w:rPr>
            <w:noProof/>
          </w:rPr>
          <w:instrText xml:space="preserve"> PAGEREF _Toc536627249 \h </w:instrText>
        </w:r>
        <w:r w:rsidR="000656F7">
          <w:rPr>
            <w:noProof/>
          </w:rPr>
        </w:r>
        <w:r w:rsidR="000656F7">
          <w:rPr>
            <w:noProof/>
          </w:rPr>
          <w:fldChar w:fldCharType="separate"/>
        </w:r>
        <w:r w:rsidR="000656F7">
          <w:rPr>
            <w:noProof/>
          </w:rPr>
          <w:t>11</w:t>
        </w:r>
        <w:r w:rsidR="000656F7">
          <w:rPr>
            <w:noProof/>
          </w:rPr>
          <w:fldChar w:fldCharType="end"/>
        </w:r>
      </w:hyperlink>
    </w:p>
    <w:p w14:paraId="1ECCBDCD" w14:textId="59E7A118"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0" w:history="1">
        <w:r w:rsidR="000656F7" w:rsidRPr="00BE0F56">
          <w:rPr>
            <w:rStyle w:val="Lienhypertexte"/>
            <w:b/>
            <w:bCs/>
            <w:noProof/>
            <w:lang w:val="en-US" w:eastAsia="en-GB"/>
          </w:rPr>
          <w:t>2.1.2.3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Qualitative and quantitative information on the composition of the biocidal product</w:t>
        </w:r>
        <w:r w:rsidR="000656F7">
          <w:rPr>
            <w:noProof/>
          </w:rPr>
          <w:tab/>
        </w:r>
        <w:r w:rsidR="000656F7">
          <w:rPr>
            <w:noProof/>
          </w:rPr>
          <w:fldChar w:fldCharType="begin"/>
        </w:r>
        <w:r w:rsidR="000656F7">
          <w:rPr>
            <w:noProof/>
          </w:rPr>
          <w:instrText xml:space="preserve"> PAGEREF _Toc536627250 \h </w:instrText>
        </w:r>
        <w:r w:rsidR="000656F7">
          <w:rPr>
            <w:noProof/>
          </w:rPr>
        </w:r>
        <w:r w:rsidR="000656F7">
          <w:rPr>
            <w:noProof/>
          </w:rPr>
          <w:fldChar w:fldCharType="separate"/>
        </w:r>
        <w:r w:rsidR="000656F7">
          <w:rPr>
            <w:noProof/>
          </w:rPr>
          <w:t>11</w:t>
        </w:r>
        <w:r w:rsidR="000656F7">
          <w:rPr>
            <w:noProof/>
          </w:rPr>
          <w:fldChar w:fldCharType="end"/>
        </w:r>
      </w:hyperlink>
    </w:p>
    <w:p w14:paraId="2F9A31DF" w14:textId="0873B0BE"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1" w:history="1">
        <w:r w:rsidR="000656F7" w:rsidRPr="00BE0F56">
          <w:rPr>
            <w:rStyle w:val="Lienhypertexte"/>
            <w:rFonts w:cs="Times New Roman"/>
            <w:b/>
            <w:noProof/>
            <w:lang w:eastAsia="fr-FR"/>
          </w:rPr>
          <w:t>2.1.2.4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Information on technical equivalence</w:t>
        </w:r>
        <w:r w:rsidR="000656F7">
          <w:rPr>
            <w:noProof/>
          </w:rPr>
          <w:tab/>
        </w:r>
        <w:r w:rsidR="000656F7">
          <w:rPr>
            <w:noProof/>
          </w:rPr>
          <w:fldChar w:fldCharType="begin"/>
        </w:r>
        <w:r w:rsidR="000656F7">
          <w:rPr>
            <w:noProof/>
          </w:rPr>
          <w:instrText xml:space="preserve"> PAGEREF _Toc536627251 \h </w:instrText>
        </w:r>
        <w:r w:rsidR="000656F7">
          <w:rPr>
            <w:noProof/>
          </w:rPr>
        </w:r>
        <w:r w:rsidR="000656F7">
          <w:rPr>
            <w:noProof/>
          </w:rPr>
          <w:fldChar w:fldCharType="separate"/>
        </w:r>
        <w:r w:rsidR="000656F7">
          <w:rPr>
            <w:noProof/>
          </w:rPr>
          <w:t>12</w:t>
        </w:r>
        <w:r w:rsidR="000656F7">
          <w:rPr>
            <w:noProof/>
          </w:rPr>
          <w:fldChar w:fldCharType="end"/>
        </w:r>
      </w:hyperlink>
    </w:p>
    <w:p w14:paraId="49780E07" w14:textId="61A00384"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2" w:history="1">
        <w:r w:rsidR="000656F7" w:rsidRPr="00BE0F56">
          <w:rPr>
            <w:rStyle w:val="Lienhypertexte"/>
            <w:rFonts w:cs="Times"/>
            <w:b/>
            <w:bCs/>
            <w:noProof/>
          </w:rPr>
          <w:t>2.1.2.5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Information on the substance(s) of concern</w:t>
        </w:r>
        <w:r w:rsidR="000656F7">
          <w:rPr>
            <w:noProof/>
          </w:rPr>
          <w:tab/>
        </w:r>
        <w:r w:rsidR="000656F7">
          <w:rPr>
            <w:noProof/>
          </w:rPr>
          <w:fldChar w:fldCharType="begin"/>
        </w:r>
        <w:r w:rsidR="000656F7">
          <w:rPr>
            <w:noProof/>
          </w:rPr>
          <w:instrText xml:space="preserve"> PAGEREF _Toc536627252 \h </w:instrText>
        </w:r>
        <w:r w:rsidR="000656F7">
          <w:rPr>
            <w:noProof/>
          </w:rPr>
        </w:r>
        <w:r w:rsidR="000656F7">
          <w:rPr>
            <w:noProof/>
          </w:rPr>
          <w:fldChar w:fldCharType="separate"/>
        </w:r>
        <w:r w:rsidR="000656F7">
          <w:rPr>
            <w:noProof/>
          </w:rPr>
          <w:t>12</w:t>
        </w:r>
        <w:r w:rsidR="000656F7">
          <w:rPr>
            <w:noProof/>
          </w:rPr>
          <w:fldChar w:fldCharType="end"/>
        </w:r>
      </w:hyperlink>
    </w:p>
    <w:p w14:paraId="1DBF1077" w14:textId="70AAEF19"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3" w:history="1">
        <w:r w:rsidR="000656F7" w:rsidRPr="00BE0F56">
          <w:rPr>
            <w:rStyle w:val="Lienhypertexte"/>
            <w:rFonts w:cs="Times"/>
            <w:b/>
            <w:bCs/>
            <w:noProof/>
          </w:rPr>
          <w:t>2.1.2.6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Assessment of endocrine disruption (ED) properties of co-formulants in biocidal products</w:t>
        </w:r>
        <w:r w:rsidR="000656F7">
          <w:rPr>
            <w:noProof/>
          </w:rPr>
          <w:tab/>
        </w:r>
        <w:r w:rsidR="000656F7">
          <w:rPr>
            <w:noProof/>
          </w:rPr>
          <w:fldChar w:fldCharType="begin"/>
        </w:r>
        <w:r w:rsidR="000656F7">
          <w:rPr>
            <w:noProof/>
          </w:rPr>
          <w:instrText xml:space="preserve"> PAGEREF _Toc536627253 \h </w:instrText>
        </w:r>
        <w:r w:rsidR="000656F7">
          <w:rPr>
            <w:noProof/>
          </w:rPr>
        </w:r>
        <w:r w:rsidR="000656F7">
          <w:rPr>
            <w:noProof/>
          </w:rPr>
          <w:fldChar w:fldCharType="separate"/>
        </w:r>
        <w:r w:rsidR="000656F7">
          <w:rPr>
            <w:noProof/>
          </w:rPr>
          <w:t>12</w:t>
        </w:r>
        <w:r w:rsidR="000656F7">
          <w:rPr>
            <w:noProof/>
          </w:rPr>
          <w:fldChar w:fldCharType="end"/>
        </w:r>
      </w:hyperlink>
    </w:p>
    <w:p w14:paraId="45E76A9D" w14:textId="78A3745C"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4" w:history="1">
        <w:r w:rsidR="000656F7" w:rsidRPr="00BE0F56">
          <w:rPr>
            <w:rStyle w:val="Lienhypertexte"/>
            <w:b/>
            <w:noProof/>
          </w:rPr>
          <w:t>2.1.2.7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Type of formulation</w:t>
        </w:r>
        <w:r w:rsidR="000656F7">
          <w:rPr>
            <w:noProof/>
          </w:rPr>
          <w:tab/>
        </w:r>
        <w:r w:rsidR="000656F7">
          <w:rPr>
            <w:noProof/>
          </w:rPr>
          <w:fldChar w:fldCharType="begin"/>
        </w:r>
        <w:r w:rsidR="000656F7">
          <w:rPr>
            <w:noProof/>
          </w:rPr>
          <w:instrText xml:space="preserve"> PAGEREF _Toc536627254 \h </w:instrText>
        </w:r>
        <w:r w:rsidR="000656F7">
          <w:rPr>
            <w:noProof/>
          </w:rPr>
        </w:r>
        <w:r w:rsidR="000656F7">
          <w:rPr>
            <w:noProof/>
          </w:rPr>
          <w:fldChar w:fldCharType="separate"/>
        </w:r>
        <w:r w:rsidR="000656F7">
          <w:rPr>
            <w:noProof/>
          </w:rPr>
          <w:t>12</w:t>
        </w:r>
        <w:r w:rsidR="000656F7">
          <w:rPr>
            <w:noProof/>
          </w:rPr>
          <w:fldChar w:fldCharType="end"/>
        </w:r>
      </w:hyperlink>
    </w:p>
    <w:p w14:paraId="59F1EA84" w14:textId="00B21844" w:rsidR="000656F7" w:rsidRDefault="00112DD6">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55" w:history="1">
        <w:r w:rsidR="000656F7" w:rsidRPr="00BE0F56">
          <w:rPr>
            <w:rStyle w:val="Lienhypertexte"/>
            <w:noProof/>
          </w:rPr>
          <w:t>2.1.3</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Hazard and precautionary statements</w:t>
        </w:r>
        <w:r w:rsidR="000656F7">
          <w:rPr>
            <w:noProof/>
          </w:rPr>
          <w:tab/>
        </w:r>
        <w:r w:rsidR="000656F7">
          <w:rPr>
            <w:noProof/>
          </w:rPr>
          <w:fldChar w:fldCharType="begin"/>
        </w:r>
        <w:r w:rsidR="000656F7">
          <w:rPr>
            <w:noProof/>
          </w:rPr>
          <w:instrText xml:space="preserve"> PAGEREF _Toc536627255 \h </w:instrText>
        </w:r>
        <w:r w:rsidR="000656F7">
          <w:rPr>
            <w:noProof/>
          </w:rPr>
        </w:r>
        <w:r w:rsidR="000656F7">
          <w:rPr>
            <w:noProof/>
          </w:rPr>
          <w:fldChar w:fldCharType="separate"/>
        </w:r>
        <w:r w:rsidR="000656F7">
          <w:rPr>
            <w:noProof/>
          </w:rPr>
          <w:t>12</w:t>
        </w:r>
        <w:r w:rsidR="000656F7">
          <w:rPr>
            <w:noProof/>
          </w:rPr>
          <w:fldChar w:fldCharType="end"/>
        </w:r>
      </w:hyperlink>
    </w:p>
    <w:p w14:paraId="30BEAFDB" w14:textId="77B2F3C6"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6" w:history="1">
        <w:r w:rsidR="000656F7" w:rsidRPr="00BE0F56">
          <w:rPr>
            <w:rStyle w:val="Lienhypertexte"/>
            <w:b/>
            <w:noProof/>
          </w:rPr>
          <w:t>2.1.3.1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Classification of the active substances</w:t>
        </w:r>
        <w:r w:rsidR="000656F7">
          <w:rPr>
            <w:noProof/>
          </w:rPr>
          <w:tab/>
        </w:r>
        <w:r w:rsidR="000656F7">
          <w:rPr>
            <w:noProof/>
          </w:rPr>
          <w:fldChar w:fldCharType="begin"/>
        </w:r>
        <w:r w:rsidR="000656F7">
          <w:rPr>
            <w:noProof/>
          </w:rPr>
          <w:instrText xml:space="preserve"> PAGEREF _Toc536627256 \h </w:instrText>
        </w:r>
        <w:r w:rsidR="000656F7">
          <w:rPr>
            <w:noProof/>
          </w:rPr>
        </w:r>
        <w:r w:rsidR="000656F7">
          <w:rPr>
            <w:noProof/>
          </w:rPr>
          <w:fldChar w:fldCharType="separate"/>
        </w:r>
        <w:r w:rsidR="000656F7">
          <w:rPr>
            <w:noProof/>
          </w:rPr>
          <w:t>12</w:t>
        </w:r>
        <w:r w:rsidR="000656F7">
          <w:rPr>
            <w:noProof/>
          </w:rPr>
          <w:fldChar w:fldCharType="end"/>
        </w:r>
      </w:hyperlink>
    </w:p>
    <w:p w14:paraId="1E6D3F99" w14:textId="3D0A55C1"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7" w:history="1">
        <w:r w:rsidR="000656F7" w:rsidRPr="00BE0F56">
          <w:rPr>
            <w:rStyle w:val="Lienhypertexte"/>
            <w:b/>
            <w:noProof/>
          </w:rPr>
          <w:t>2.1.3.2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Classification of the biocidal product</w:t>
        </w:r>
        <w:r w:rsidR="000656F7">
          <w:rPr>
            <w:noProof/>
          </w:rPr>
          <w:tab/>
        </w:r>
        <w:r w:rsidR="000656F7">
          <w:rPr>
            <w:noProof/>
          </w:rPr>
          <w:fldChar w:fldCharType="begin"/>
        </w:r>
        <w:r w:rsidR="000656F7">
          <w:rPr>
            <w:noProof/>
          </w:rPr>
          <w:instrText xml:space="preserve"> PAGEREF _Toc536627257 \h </w:instrText>
        </w:r>
        <w:r w:rsidR="000656F7">
          <w:rPr>
            <w:noProof/>
          </w:rPr>
        </w:r>
        <w:r w:rsidR="000656F7">
          <w:rPr>
            <w:noProof/>
          </w:rPr>
          <w:fldChar w:fldCharType="separate"/>
        </w:r>
        <w:r w:rsidR="000656F7">
          <w:rPr>
            <w:noProof/>
          </w:rPr>
          <w:t>14</w:t>
        </w:r>
        <w:r w:rsidR="000656F7">
          <w:rPr>
            <w:noProof/>
          </w:rPr>
          <w:fldChar w:fldCharType="end"/>
        </w:r>
      </w:hyperlink>
    </w:p>
    <w:p w14:paraId="602D9EA8" w14:textId="70CD5A77" w:rsidR="000656F7" w:rsidRDefault="00112DD6">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58" w:history="1">
        <w:r w:rsidR="000656F7" w:rsidRPr="00BE0F56">
          <w:rPr>
            <w:rStyle w:val="Lienhypertexte"/>
            <w:noProof/>
          </w:rPr>
          <w:t>2.1.4</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Authorised use(s)</w:t>
        </w:r>
        <w:r w:rsidR="000656F7">
          <w:rPr>
            <w:noProof/>
          </w:rPr>
          <w:tab/>
        </w:r>
        <w:r w:rsidR="000656F7">
          <w:rPr>
            <w:noProof/>
          </w:rPr>
          <w:fldChar w:fldCharType="begin"/>
        </w:r>
        <w:r w:rsidR="000656F7">
          <w:rPr>
            <w:noProof/>
          </w:rPr>
          <w:instrText xml:space="preserve"> PAGEREF _Toc536627258 \h </w:instrText>
        </w:r>
        <w:r w:rsidR="000656F7">
          <w:rPr>
            <w:noProof/>
          </w:rPr>
        </w:r>
        <w:r w:rsidR="000656F7">
          <w:rPr>
            <w:noProof/>
          </w:rPr>
          <w:fldChar w:fldCharType="separate"/>
        </w:r>
        <w:r w:rsidR="000656F7">
          <w:rPr>
            <w:noProof/>
          </w:rPr>
          <w:t>15</w:t>
        </w:r>
        <w:r w:rsidR="000656F7">
          <w:rPr>
            <w:noProof/>
          </w:rPr>
          <w:fldChar w:fldCharType="end"/>
        </w:r>
      </w:hyperlink>
    </w:p>
    <w:p w14:paraId="512C7736" w14:textId="77DEDC73"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9" w:history="1">
        <w:r w:rsidR="000656F7" w:rsidRPr="00BE0F56">
          <w:rPr>
            <w:rStyle w:val="Lienhypertexte"/>
            <w:b/>
            <w:noProof/>
          </w:rPr>
          <w:t>2.1.4.1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 description</w:t>
        </w:r>
        <w:r w:rsidR="000656F7">
          <w:rPr>
            <w:noProof/>
          </w:rPr>
          <w:tab/>
        </w:r>
        <w:r w:rsidR="000656F7">
          <w:rPr>
            <w:noProof/>
          </w:rPr>
          <w:fldChar w:fldCharType="begin"/>
        </w:r>
        <w:r w:rsidR="000656F7">
          <w:rPr>
            <w:noProof/>
          </w:rPr>
          <w:instrText xml:space="preserve"> PAGEREF _Toc536627259 \h </w:instrText>
        </w:r>
        <w:r w:rsidR="000656F7">
          <w:rPr>
            <w:noProof/>
          </w:rPr>
        </w:r>
        <w:r w:rsidR="000656F7">
          <w:rPr>
            <w:noProof/>
          </w:rPr>
          <w:fldChar w:fldCharType="separate"/>
        </w:r>
        <w:r w:rsidR="000656F7">
          <w:rPr>
            <w:noProof/>
          </w:rPr>
          <w:t>15</w:t>
        </w:r>
        <w:r w:rsidR="000656F7">
          <w:rPr>
            <w:noProof/>
          </w:rPr>
          <w:fldChar w:fldCharType="end"/>
        </w:r>
      </w:hyperlink>
    </w:p>
    <w:p w14:paraId="31E626D6" w14:textId="2400E598"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0" w:history="1">
        <w:r w:rsidR="000656F7" w:rsidRPr="00BE0F56">
          <w:rPr>
            <w:rStyle w:val="Lienhypertexte"/>
            <w:rFonts w:cs="Times"/>
            <w:b/>
            <w:bCs/>
            <w:noProof/>
          </w:rPr>
          <w:t>2.1.4.2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instructions for use</w:t>
        </w:r>
        <w:r w:rsidR="000656F7">
          <w:rPr>
            <w:noProof/>
          </w:rPr>
          <w:tab/>
        </w:r>
        <w:r w:rsidR="000656F7">
          <w:rPr>
            <w:noProof/>
          </w:rPr>
          <w:fldChar w:fldCharType="begin"/>
        </w:r>
        <w:r w:rsidR="000656F7">
          <w:rPr>
            <w:noProof/>
          </w:rPr>
          <w:instrText xml:space="preserve"> PAGEREF _Toc536627260 \h </w:instrText>
        </w:r>
        <w:r w:rsidR="000656F7">
          <w:rPr>
            <w:noProof/>
          </w:rPr>
        </w:r>
        <w:r w:rsidR="000656F7">
          <w:rPr>
            <w:noProof/>
          </w:rPr>
          <w:fldChar w:fldCharType="separate"/>
        </w:r>
        <w:r w:rsidR="000656F7">
          <w:rPr>
            <w:noProof/>
          </w:rPr>
          <w:t>15</w:t>
        </w:r>
        <w:r w:rsidR="000656F7">
          <w:rPr>
            <w:noProof/>
          </w:rPr>
          <w:fldChar w:fldCharType="end"/>
        </w:r>
      </w:hyperlink>
    </w:p>
    <w:p w14:paraId="656CBFE0" w14:textId="0E1B7340"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1" w:history="1">
        <w:r w:rsidR="000656F7" w:rsidRPr="00BE0F56">
          <w:rPr>
            <w:rStyle w:val="Lienhypertexte"/>
            <w:rFonts w:cs="Times"/>
            <w:b/>
            <w:bCs/>
            <w:noProof/>
          </w:rPr>
          <w:t>2.1.4.3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risk mitigation measures</w:t>
        </w:r>
        <w:r w:rsidR="000656F7">
          <w:rPr>
            <w:noProof/>
          </w:rPr>
          <w:tab/>
        </w:r>
        <w:r w:rsidR="000656F7">
          <w:rPr>
            <w:noProof/>
          </w:rPr>
          <w:fldChar w:fldCharType="begin"/>
        </w:r>
        <w:r w:rsidR="000656F7">
          <w:rPr>
            <w:noProof/>
          </w:rPr>
          <w:instrText xml:space="preserve"> PAGEREF _Toc536627261 \h </w:instrText>
        </w:r>
        <w:r w:rsidR="000656F7">
          <w:rPr>
            <w:noProof/>
          </w:rPr>
        </w:r>
        <w:r w:rsidR="000656F7">
          <w:rPr>
            <w:noProof/>
          </w:rPr>
          <w:fldChar w:fldCharType="separate"/>
        </w:r>
        <w:r w:rsidR="000656F7">
          <w:rPr>
            <w:noProof/>
          </w:rPr>
          <w:t>15</w:t>
        </w:r>
        <w:r w:rsidR="000656F7">
          <w:rPr>
            <w:noProof/>
          </w:rPr>
          <w:fldChar w:fldCharType="end"/>
        </w:r>
      </w:hyperlink>
    </w:p>
    <w:p w14:paraId="1809CFF1" w14:textId="34332F61"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2" w:history="1">
        <w:r w:rsidR="000656F7" w:rsidRPr="00BE0F56">
          <w:rPr>
            <w:rStyle w:val="Lienhypertexte"/>
            <w:rFonts w:cs="Times"/>
            <w:b/>
            <w:bCs/>
            <w:noProof/>
          </w:rPr>
          <w:t>2.1.4.4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_Toc536627262 \h </w:instrText>
        </w:r>
        <w:r w:rsidR="000656F7">
          <w:rPr>
            <w:noProof/>
          </w:rPr>
        </w:r>
        <w:r w:rsidR="000656F7">
          <w:rPr>
            <w:noProof/>
          </w:rPr>
          <w:fldChar w:fldCharType="separate"/>
        </w:r>
        <w:r w:rsidR="000656F7">
          <w:rPr>
            <w:noProof/>
          </w:rPr>
          <w:t>16</w:t>
        </w:r>
        <w:r w:rsidR="000656F7">
          <w:rPr>
            <w:noProof/>
          </w:rPr>
          <w:fldChar w:fldCharType="end"/>
        </w:r>
      </w:hyperlink>
    </w:p>
    <w:p w14:paraId="4B7B02AD" w14:textId="0BD3F8E0"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3" w:history="1">
        <w:r w:rsidR="000656F7" w:rsidRPr="00BE0F56">
          <w:rPr>
            <w:rStyle w:val="Lienhypertexte"/>
            <w:rFonts w:cs="Times"/>
            <w:b/>
            <w:bCs/>
            <w:noProof/>
          </w:rPr>
          <w:t>2.1.4.5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instructions for safe disposal of the product and its packaging</w:t>
        </w:r>
        <w:r w:rsidR="000656F7">
          <w:rPr>
            <w:noProof/>
          </w:rPr>
          <w:tab/>
        </w:r>
        <w:r w:rsidR="000656F7">
          <w:rPr>
            <w:noProof/>
          </w:rPr>
          <w:fldChar w:fldCharType="begin"/>
        </w:r>
        <w:r w:rsidR="000656F7">
          <w:rPr>
            <w:noProof/>
          </w:rPr>
          <w:instrText xml:space="preserve"> PAGEREF _Toc536627263 \h </w:instrText>
        </w:r>
        <w:r w:rsidR="000656F7">
          <w:rPr>
            <w:noProof/>
          </w:rPr>
        </w:r>
        <w:r w:rsidR="000656F7">
          <w:rPr>
            <w:noProof/>
          </w:rPr>
          <w:fldChar w:fldCharType="separate"/>
        </w:r>
        <w:r w:rsidR="000656F7">
          <w:rPr>
            <w:noProof/>
          </w:rPr>
          <w:t>16</w:t>
        </w:r>
        <w:r w:rsidR="000656F7">
          <w:rPr>
            <w:noProof/>
          </w:rPr>
          <w:fldChar w:fldCharType="end"/>
        </w:r>
      </w:hyperlink>
    </w:p>
    <w:p w14:paraId="4922948B" w14:textId="566665FB"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4" w:history="1">
        <w:r w:rsidR="000656F7" w:rsidRPr="00BE0F56">
          <w:rPr>
            <w:rStyle w:val="Lienhypertexte"/>
            <w:rFonts w:cs="Times"/>
            <w:b/>
            <w:bCs/>
            <w:noProof/>
            <w:lang w:val="en-US"/>
          </w:rPr>
          <w:t>2.1.4.6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_Toc536627264 \h </w:instrText>
        </w:r>
        <w:r w:rsidR="000656F7">
          <w:rPr>
            <w:noProof/>
          </w:rPr>
        </w:r>
        <w:r w:rsidR="000656F7">
          <w:rPr>
            <w:noProof/>
          </w:rPr>
          <w:fldChar w:fldCharType="separate"/>
        </w:r>
        <w:r w:rsidR="000656F7">
          <w:rPr>
            <w:noProof/>
          </w:rPr>
          <w:t>16</w:t>
        </w:r>
        <w:r w:rsidR="000656F7">
          <w:rPr>
            <w:noProof/>
          </w:rPr>
          <w:fldChar w:fldCharType="end"/>
        </w:r>
      </w:hyperlink>
    </w:p>
    <w:p w14:paraId="4EA96F56" w14:textId="6CE59333"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5" w:history="1">
        <w:r w:rsidR="000656F7" w:rsidRPr="00BE0F56">
          <w:rPr>
            <w:rStyle w:val="Lienhypertexte"/>
            <w:b/>
            <w:noProof/>
          </w:rPr>
          <w:t>2.1.4.7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 description</w:t>
        </w:r>
        <w:r w:rsidR="000656F7">
          <w:rPr>
            <w:noProof/>
          </w:rPr>
          <w:tab/>
        </w:r>
        <w:r w:rsidR="000656F7">
          <w:rPr>
            <w:noProof/>
          </w:rPr>
          <w:fldChar w:fldCharType="begin"/>
        </w:r>
        <w:r w:rsidR="000656F7">
          <w:rPr>
            <w:noProof/>
          </w:rPr>
          <w:instrText xml:space="preserve"> PAGEREF _Toc536627265 \h </w:instrText>
        </w:r>
        <w:r w:rsidR="000656F7">
          <w:rPr>
            <w:noProof/>
          </w:rPr>
        </w:r>
        <w:r w:rsidR="000656F7">
          <w:rPr>
            <w:noProof/>
          </w:rPr>
          <w:fldChar w:fldCharType="separate"/>
        </w:r>
        <w:r w:rsidR="000656F7">
          <w:rPr>
            <w:noProof/>
          </w:rPr>
          <w:t>16</w:t>
        </w:r>
        <w:r w:rsidR="000656F7">
          <w:rPr>
            <w:noProof/>
          </w:rPr>
          <w:fldChar w:fldCharType="end"/>
        </w:r>
      </w:hyperlink>
    </w:p>
    <w:p w14:paraId="55212416" w14:textId="43D85E62"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6" w:history="1">
        <w:r w:rsidR="000656F7" w:rsidRPr="00BE0F56">
          <w:rPr>
            <w:rStyle w:val="Lienhypertexte"/>
            <w:rFonts w:cs="Times"/>
            <w:b/>
            <w:bCs/>
            <w:noProof/>
          </w:rPr>
          <w:t>2.1.4.8</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instructions for use</w:t>
        </w:r>
        <w:r w:rsidR="000656F7">
          <w:rPr>
            <w:noProof/>
          </w:rPr>
          <w:tab/>
        </w:r>
        <w:r w:rsidR="000656F7">
          <w:rPr>
            <w:noProof/>
          </w:rPr>
          <w:fldChar w:fldCharType="begin"/>
        </w:r>
        <w:r w:rsidR="000656F7">
          <w:rPr>
            <w:noProof/>
          </w:rPr>
          <w:instrText xml:space="preserve"> PAGEREF _Toc536627266 \h </w:instrText>
        </w:r>
        <w:r w:rsidR="000656F7">
          <w:rPr>
            <w:noProof/>
          </w:rPr>
        </w:r>
        <w:r w:rsidR="000656F7">
          <w:rPr>
            <w:noProof/>
          </w:rPr>
          <w:fldChar w:fldCharType="separate"/>
        </w:r>
        <w:r w:rsidR="000656F7">
          <w:rPr>
            <w:noProof/>
          </w:rPr>
          <w:t>17</w:t>
        </w:r>
        <w:r w:rsidR="000656F7">
          <w:rPr>
            <w:noProof/>
          </w:rPr>
          <w:fldChar w:fldCharType="end"/>
        </w:r>
      </w:hyperlink>
    </w:p>
    <w:p w14:paraId="737244C5" w14:textId="5BFE20B1"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7" w:history="1">
        <w:r w:rsidR="000656F7" w:rsidRPr="00BE0F56">
          <w:rPr>
            <w:rStyle w:val="Lienhypertexte"/>
            <w:rFonts w:cs="Times"/>
            <w:b/>
            <w:bCs/>
            <w:noProof/>
          </w:rPr>
          <w:t>2.1.4.9</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risk mitigation measures</w:t>
        </w:r>
        <w:r w:rsidR="000656F7">
          <w:rPr>
            <w:noProof/>
          </w:rPr>
          <w:tab/>
        </w:r>
        <w:r w:rsidR="000656F7">
          <w:rPr>
            <w:noProof/>
          </w:rPr>
          <w:fldChar w:fldCharType="begin"/>
        </w:r>
        <w:r w:rsidR="000656F7">
          <w:rPr>
            <w:noProof/>
          </w:rPr>
          <w:instrText xml:space="preserve"> PAGEREF _Toc536627267 \h </w:instrText>
        </w:r>
        <w:r w:rsidR="000656F7">
          <w:rPr>
            <w:noProof/>
          </w:rPr>
        </w:r>
        <w:r w:rsidR="000656F7">
          <w:rPr>
            <w:noProof/>
          </w:rPr>
          <w:fldChar w:fldCharType="separate"/>
        </w:r>
        <w:r w:rsidR="000656F7">
          <w:rPr>
            <w:noProof/>
          </w:rPr>
          <w:t>17</w:t>
        </w:r>
        <w:r w:rsidR="000656F7">
          <w:rPr>
            <w:noProof/>
          </w:rPr>
          <w:fldChar w:fldCharType="end"/>
        </w:r>
      </w:hyperlink>
    </w:p>
    <w:p w14:paraId="01C51F2C" w14:textId="198C9F8C" w:rsidR="000656F7" w:rsidRDefault="00112DD6">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68" w:history="1">
        <w:r w:rsidR="000656F7" w:rsidRPr="00BE0F56">
          <w:rPr>
            <w:rStyle w:val="Lienhypertexte"/>
            <w:rFonts w:cs="Times"/>
            <w:b/>
            <w:bCs/>
            <w:noProof/>
          </w:rPr>
          <w:t>2.1.4.10</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_Toc536627268 \h </w:instrText>
        </w:r>
        <w:r w:rsidR="000656F7">
          <w:rPr>
            <w:noProof/>
          </w:rPr>
        </w:r>
        <w:r w:rsidR="000656F7">
          <w:rPr>
            <w:noProof/>
          </w:rPr>
          <w:fldChar w:fldCharType="separate"/>
        </w:r>
        <w:r w:rsidR="000656F7">
          <w:rPr>
            <w:noProof/>
          </w:rPr>
          <w:t>17</w:t>
        </w:r>
        <w:r w:rsidR="000656F7">
          <w:rPr>
            <w:noProof/>
          </w:rPr>
          <w:fldChar w:fldCharType="end"/>
        </w:r>
      </w:hyperlink>
    </w:p>
    <w:p w14:paraId="02499A27" w14:textId="73F4DADC" w:rsidR="000656F7" w:rsidRDefault="00112DD6">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69" w:history="1">
        <w:r w:rsidR="000656F7" w:rsidRPr="00BE0F56">
          <w:rPr>
            <w:rStyle w:val="Lienhypertexte"/>
            <w:rFonts w:cs="Times"/>
            <w:b/>
            <w:bCs/>
            <w:noProof/>
          </w:rPr>
          <w:t>2.1.4.11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instructions for safe disposal of the product and its packaging</w:t>
        </w:r>
        <w:r w:rsidR="000656F7">
          <w:rPr>
            <w:noProof/>
          </w:rPr>
          <w:tab/>
        </w:r>
        <w:r w:rsidR="000656F7">
          <w:rPr>
            <w:noProof/>
          </w:rPr>
          <w:fldChar w:fldCharType="begin"/>
        </w:r>
        <w:r w:rsidR="000656F7">
          <w:rPr>
            <w:noProof/>
          </w:rPr>
          <w:instrText xml:space="preserve"> PAGEREF _Toc536627269 \h </w:instrText>
        </w:r>
        <w:r w:rsidR="000656F7">
          <w:rPr>
            <w:noProof/>
          </w:rPr>
        </w:r>
        <w:r w:rsidR="000656F7">
          <w:rPr>
            <w:noProof/>
          </w:rPr>
          <w:fldChar w:fldCharType="separate"/>
        </w:r>
        <w:r w:rsidR="000656F7">
          <w:rPr>
            <w:noProof/>
          </w:rPr>
          <w:t>17</w:t>
        </w:r>
        <w:r w:rsidR="000656F7">
          <w:rPr>
            <w:noProof/>
          </w:rPr>
          <w:fldChar w:fldCharType="end"/>
        </w:r>
      </w:hyperlink>
    </w:p>
    <w:p w14:paraId="5CAB825D" w14:textId="3BE14C39" w:rsidR="000656F7" w:rsidRDefault="00112DD6">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0" w:history="1">
        <w:r w:rsidR="000656F7" w:rsidRPr="00BE0F56">
          <w:rPr>
            <w:rStyle w:val="Lienhypertexte"/>
            <w:rFonts w:cs="Times"/>
            <w:b/>
            <w:bCs/>
            <w:noProof/>
            <w:lang w:val="en-US"/>
          </w:rPr>
          <w:t>2.1.4.12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_Toc536627270 \h </w:instrText>
        </w:r>
        <w:r w:rsidR="000656F7">
          <w:rPr>
            <w:noProof/>
          </w:rPr>
        </w:r>
        <w:r w:rsidR="000656F7">
          <w:rPr>
            <w:noProof/>
          </w:rPr>
          <w:fldChar w:fldCharType="separate"/>
        </w:r>
        <w:r w:rsidR="000656F7">
          <w:rPr>
            <w:noProof/>
          </w:rPr>
          <w:t>17</w:t>
        </w:r>
        <w:r w:rsidR="000656F7">
          <w:rPr>
            <w:noProof/>
          </w:rPr>
          <w:fldChar w:fldCharType="end"/>
        </w:r>
      </w:hyperlink>
    </w:p>
    <w:p w14:paraId="3AB52377" w14:textId="636324F3" w:rsidR="000656F7" w:rsidRDefault="00112DD6">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1" w:history="1">
        <w:r w:rsidR="000656F7" w:rsidRPr="00BE0F56">
          <w:rPr>
            <w:rStyle w:val="Lienhypertexte"/>
            <w:b/>
            <w:noProof/>
          </w:rPr>
          <w:t>2.1.4.13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 description</w:t>
        </w:r>
        <w:r w:rsidR="000656F7">
          <w:rPr>
            <w:noProof/>
          </w:rPr>
          <w:tab/>
        </w:r>
        <w:r w:rsidR="000656F7">
          <w:rPr>
            <w:noProof/>
          </w:rPr>
          <w:fldChar w:fldCharType="begin"/>
        </w:r>
        <w:r w:rsidR="000656F7">
          <w:rPr>
            <w:noProof/>
          </w:rPr>
          <w:instrText xml:space="preserve"> PAGEREF _Toc536627271 \h </w:instrText>
        </w:r>
        <w:r w:rsidR="000656F7">
          <w:rPr>
            <w:noProof/>
          </w:rPr>
        </w:r>
        <w:r w:rsidR="000656F7">
          <w:rPr>
            <w:noProof/>
          </w:rPr>
          <w:fldChar w:fldCharType="separate"/>
        </w:r>
        <w:r w:rsidR="000656F7">
          <w:rPr>
            <w:noProof/>
          </w:rPr>
          <w:t>17</w:t>
        </w:r>
        <w:r w:rsidR="000656F7">
          <w:rPr>
            <w:noProof/>
          </w:rPr>
          <w:fldChar w:fldCharType="end"/>
        </w:r>
      </w:hyperlink>
    </w:p>
    <w:p w14:paraId="521E5DD4" w14:textId="55D96ECB" w:rsidR="000656F7" w:rsidRDefault="00112DD6">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2" w:history="1">
        <w:r w:rsidR="000656F7" w:rsidRPr="00BE0F56">
          <w:rPr>
            <w:rStyle w:val="Lienhypertexte"/>
            <w:rFonts w:cs="Times"/>
            <w:b/>
            <w:bCs/>
            <w:noProof/>
          </w:rPr>
          <w:t>2.1.4.14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instructions for use</w:t>
        </w:r>
        <w:r w:rsidR="000656F7">
          <w:rPr>
            <w:noProof/>
          </w:rPr>
          <w:tab/>
        </w:r>
        <w:r w:rsidR="000656F7">
          <w:rPr>
            <w:noProof/>
          </w:rPr>
          <w:fldChar w:fldCharType="begin"/>
        </w:r>
        <w:r w:rsidR="000656F7">
          <w:rPr>
            <w:noProof/>
          </w:rPr>
          <w:instrText xml:space="preserve"> PAGEREF _Toc536627272 \h </w:instrText>
        </w:r>
        <w:r w:rsidR="000656F7">
          <w:rPr>
            <w:noProof/>
          </w:rPr>
        </w:r>
        <w:r w:rsidR="000656F7">
          <w:rPr>
            <w:noProof/>
          </w:rPr>
          <w:fldChar w:fldCharType="separate"/>
        </w:r>
        <w:r w:rsidR="000656F7">
          <w:rPr>
            <w:noProof/>
          </w:rPr>
          <w:t>18</w:t>
        </w:r>
        <w:r w:rsidR="000656F7">
          <w:rPr>
            <w:noProof/>
          </w:rPr>
          <w:fldChar w:fldCharType="end"/>
        </w:r>
      </w:hyperlink>
    </w:p>
    <w:p w14:paraId="7202606F" w14:textId="62B36356" w:rsidR="000656F7" w:rsidRDefault="00112DD6">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3" w:history="1">
        <w:r w:rsidR="000656F7" w:rsidRPr="00BE0F56">
          <w:rPr>
            <w:rStyle w:val="Lienhypertexte"/>
            <w:rFonts w:cs="Times"/>
            <w:b/>
            <w:bCs/>
            <w:noProof/>
          </w:rPr>
          <w:t>2.1.4.15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risk mitigation measures</w:t>
        </w:r>
        <w:r w:rsidR="000656F7">
          <w:rPr>
            <w:noProof/>
          </w:rPr>
          <w:tab/>
        </w:r>
        <w:r w:rsidR="000656F7">
          <w:rPr>
            <w:noProof/>
          </w:rPr>
          <w:fldChar w:fldCharType="begin"/>
        </w:r>
        <w:r w:rsidR="000656F7">
          <w:rPr>
            <w:noProof/>
          </w:rPr>
          <w:instrText xml:space="preserve"> PAGEREF _Toc536627273 \h </w:instrText>
        </w:r>
        <w:r w:rsidR="000656F7">
          <w:rPr>
            <w:noProof/>
          </w:rPr>
        </w:r>
        <w:r w:rsidR="000656F7">
          <w:rPr>
            <w:noProof/>
          </w:rPr>
          <w:fldChar w:fldCharType="separate"/>
        </w:r>
        <w:r w:rsidR="000656F7">
          <w:rPr>
            <w:noProof/>
          </w:rPr>
          <w:t>18</w:t>
        </w:r>
        <w:r w:rsidR="000656F7">
          <w:rPr>
            <w:noProof/>
          </w:rPr>
          <w:fldChar w:fldCharType="end"/>
        </w:r>
      </w:hyperlink>
    </w:p>
    <w:p w14:paraId="603A7B08" w14:textId="71FE3595" w:rsidR="000656F7" w:rsidRDefault="00112DD6">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4" w:history="1">
        <w:r w:rsidR="000656F7" w:rsidRPr="00BE0F56">
          <w:rPr>
            <w:rStyle w:val="Lienhypertexte"/>
            <w:rFonts w:cs="Times"/>
            <w:b/>
            <w:bCs/>
            <w:noProof/>
          </w:rPr>
          <w:t>2.1.4.16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_Toc536627274 \h </w:instrText>
        </w:r>
        <w:r w:rsidR="000656F7">
          <w:rPr>
            <w:noProof/>
          </w:rPr>
        </w:r>
        <w:r w:rsidR="000656F7">
          <w:rPr>
            <w:noProof/>
          </w:rPr>
          <w:fldChar w:fldCharType="separate"/>
        </w:r>
        <w:r w:rsidR="000656F7">
          <w:rPr>
            <w:noProof/>
          </w:rPr>
          <w:t>18</w:t>
        </w:r>
        <w:r w:rsidR="000656F7">
          <w:rPr>
            <w:noProof/>
          </w:rPr>
          <w:fldChar w:fldCharType="end"/>
        </w:r>
      </w:hyperlink>
    </w:p>
    <w:p w14:paraId="3E8ED3B9" w14:textId="31C9B5C5" w:rsidR="000656F7" w:rsidRDefault="00112DD6">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5" w:history="1">
        <w:r w:rsidR="000656F7" w:rsidRPr="00BE0F56">
          <w:rPr>
            <w:rStyle w:val="Lienhypertexte"/>
            <w:rFonts w:cs="Times"/>
            <w:b/>
            <w:bCs/>
            <w:noProof/>
          </w:rPr>
          <w:t>2.1.4.17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instructions for safe disposal of the product and its packaging</w:t>
        </w:r>
        <w:r w:rsidR="000656F7">
          <w:rPr>
            <w:noProof/>
          </w:rPr>
          <w:tab/>
        </w:r>
        <w:r w:rsidR="000656F7">
          <w:rPr>
            <w:noProof/>
          </w:rPr>
          <w:fldChar w:fldCharType="begin"/>
        </w:r>
        <w:r w:rsidR="000656F7">
          <w:rPr>
            <w:noProof/>
          </w:rPr>
          <w:instrText xml:space="preserve"> PAGEREF _Toc536627275 \h </w:instrText>
        </w:r>
        <w:r w:rsidR="000656F7">
          <w:rPr>
            <w:noProof/>
          </w:rPr>
        </w:r>
        <w:r w:rsidR="000656F7">
          <w:rPr>
            <w:noProof/>
          </w:rPr>
          <w:fldChar w:fldCharType="separate"/>
        </w:r>
        <w:r w:rsidR="000656F7">
          <w:rPr>
            <w:noProof/>
          </w:rPr>
          <w:t>19</w:t>
        </w:r>
        <w:r w:rsidR="000656F7">
          <w:rPr>
            <w:noProof/>
          </w:rPr>
          <w:fldChar w:fldCharType="end"/>
        </w:r>
      </w:hyperlink>
    </w:p>
    <w:p w14:paraId="085D36AE" w14:textId="69A05D0D" w:rsidR="000656F7" w:rsidRDefault="00112DD6">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6" w:history="1">
        <w:r w:rsidR="000656F7" w:rsidRPr="00BE0F56">
          <w:rPr>
            <w:rStyle w:val="Lienhypertexte"/>
            <w:rFonts w:cs="Times"/>
            <w:b/>
            <w:bCs/>
            <w:noProof/>
            <w:lang w:val="en-US"/>
          </w:rPr>
          <w:t>2.1.4.18</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_Toc536627276 \h </w:instrText>
        </w:r>
        <w:r w:rsidR="000656F7">
          <w:rPr>
            <w:noProof/>
          </w:rPr>
        </w:r>
        <w:r w:rsidR="000656F7">
          <w:rPr>
            <w:noProof/>
          </w:rPr>
          <w:fldChar w:fldCharType="separate"/>
        </w:r>
        <w:r w:rsidR="000656F7">
          <w:rPr>
            <w:noProof/>
          </w:rPr>
          <w:t>19</w:t>
        </w:r>
        <w:r w:rsidR="000656F7">
          <w:rPr>
            <w:noProof/>
          </w:rPr>
          <w:fldChar w:fldCharType="end"/>
        </w:r>
      </w:hyperlink>
    </w:p>
    <w:p w14:paraId="7B0755D9" w14:textId="1E29057E" w:rsidR="000656F7" w:rsidRDefault="00112DD6">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7" w:history="1">
        <w:r w:rsidR="000656F7" w:rsidRPr="00BE0F56">
          <w:rPr>
            <w:rStyle w:val="Lienhypertexte"/>
            <w:b/>
            <w:noProof/>
          </w:rPr>
          <w:t>2.1.4.19</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 description</w:t>
        </w:r>
        <w:r w:rsidR="000656F7">
          <w:rPr>
            <w:noProof/>
          </w:rPr>
          <w:tab/>
        </w:r>
        <w:r w:rsidR="000656F7">
          <w:rPr>
            <w:noProof/>
          </w:rPr>
          <w:fldChar w:fldCharType="begin"/>
        </w:r>
        <w:r w:rsidR="000656F7">
          <w:rPr>
            <w:noProof/>
          </w:rPr>
          <w:instrText xml:space="preserve"> PAGEREF _Toc536627277 \h </w:instrText>
        </w:r>
        <w:r w:rsidR="000656F7">
          <w:rPr>
            <w:noProof/>
          </w:rPr>
        </w:r>
        <w:r w:rsidR="000656F7">
          <w:rPr>
            <w:noProof/>
          </w:rPr>
          <w:fldChar w:fldCharType="separate"/>
        </w:r>
        <w:r w:rsidR="000656F7">
          <w:rPr>
            <w:noProof/>
          </w:rPr>
          <w:t>19</w:t>
        </w:r>
        <w:r w:rsidR="000656F7">
          <w:rPr>
            <w:noProof/>
          </w:rPr>
          <w:fldChar w:fldCharType="end"/>
        </w:r>
      </w:hyperlink>
    </w:p>
    <w:p w14:paraId="63755F37" w14:textId="1A9E8DAE" w:rsidR="000656F7" w:rsidRDefault="00112DD6">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8" w:history="1">
        <w:r w:rsidR="000656F7" w:rsidRPr="00BE0F56">
          <w:rPr>
            <w:rStyle w:val="Lienhypertexte"/>
            <w:rFonts w:cs="Times"/>
            <w:b/>
            <w:bCs/>
            <w:noProof/>
          </w:rPr>
          <w:t>2.1.4.20</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instructions for use</w:t>
        </w:r>
        <w:r w:rsidR="000656F7">
          <w:rPr>
            <w:noProof/>
          </w:rPr>
          <w:tab/>
        </w:r>
        <w:r w:rsidR="000656F7">
          <w:rPr>
            <w:noProof/>
          </w:rPr>
          <w:fldChar w:fldCharType="begin"/>
        </w:r>
        <w:r w:rsidR="000656F7">
          <w:rPr>
            <w:noProof/>
          </w:rPr>
          <w:instrText xml:space="preserve"> PAGEREF _Toc536627278 \h </w:instrText>
        </w:r>
        <w:r w:rsidR="000656F7">
          <w:rPr>
            <w:noProof/>
          </w:rPr>
        </w:r>
        <w:r w:rsidR="000656F7">
          <w:rPr>
            <w:noProof/>
          </w:rPr>
          <w:fldChar w:fldCharType="separate"/>
        </w:r>
        <w:r w:rsidR="000656F7">
          <w:rPr>
            <w:noProof/>
          </w:rPr>
          <w:t>20</w:t>
        </w:r>
        <w:r w:rsidR="000656F7">
          <w:rPr>
            <w:noProof/>
          </w:rPr>
          <w:fldChar w:fldCharType="end"/>
        </w:r>
      </w:hyperlink>
    </w:p>
    <w:p w14:paraId="28D2A4B6" w14:textId="6410E21D" w:rsidR="000656F7" w:rsidRDefault="00112DD6">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9" w:history="1">
        <w:r w:rsidR="000656F7" w:rsidRPr="00BE0F56">
          <w:rPr>
            <w:rStyle w:val="Lienhypertexte"/>
            <w:rFonts w:cs="Times"/>
            <w:b/>
            <w:bCs/>
            <w:noProof/>
          </w:rPr>
          <w:t>2.1.4.21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risk mitigation measures</w:t>
        </w:r>
        <w:r w:rsidR="000656F7">
          <w:rPr>
            <w:noProof/>
          </w:rPr>
          <w:tab/>
        </w:r>
        <w:r w:rsidR="000656F7">
          <w:rPr>
            <w:noProof/>
          </w:rPr>
          <w:fldChar w:fldCharType="begin"/>
        </w:r>
        <w:r w:rsidR="000656F7">
          <w:rPr>
            <w:noProof/>
          </w:rPr>
          <w:instrText xml:space="preserve"> PAGEREF _Toc536627279 \h </w:instrText>
        </w:r>
        <w:r w:rsidR="000656F7">
          <w:rPr>
            <w:noProof/>
          </w:rPr>
        </w:r>
        <w:r w:rsidR="000656F7">
          <w:rPr>
            <w:noProof/>
          </w:rPr>
          <w:fldChar w:fldCharType="separate"/>
        </w:r>
        <w:r w:rsidR="000656F7">
          <w:rPr>
            <w:noProof/>
          </w:rPr>
          <w:t>20</w:t>
        </w:r>
        <w:r w:rsidR="000656F7">
          <w:rPr>
            <w:noProof/>
          </w:rPr>
          <w:fldChar w:fldCharType="end"/>
        </w:r>
      </w:hyperlink>
    </w:p>
    <w:p w14:paraId="3405AAE4" w14:textId="777B789C" w:rsidR="000656F7" w:rsidRDefault="00112DD6">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0" w:history="1">
        <w:r w:rsidR="000656F7" w:rsidRPr="00BE0F56">
          <w:rPr>
            <w:rStyle w:val="Lienhypertexte"/>
            <w:rFonts w:cs="Times"/>
            <w:b/>
            <w:bCs/>
            <w:noProof/>
          </w:rPr>
          <w:t>2.1.4.22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_Toc536627280 \h </w:instrText>
        </w:r>
        <w:r w:rsidR="000656F7">
          <w:rPr>
            <w:noProof/>
          </w:rPr>
        </w:r>
        <w:r w:rsidR="000656F7">
          <w:rPr>
            <w:noProof/>
          </w:rPr>
          <w:fldChar w:fldCharType="separate"/>
        </w:r>
        <w:r w:rsidR="000656F7">
          <w:rPr>
            <w:noProof/>
          </w:rPr>
          <w:t>20</w:t>
        </w:r>
        <w:r w:rsidR="000656F7">
          <w:rPr>
            <w:noProof/>
          </w:rPr>
          <w:fldChar w:fldCharType="end"/>
        </w:r>
      </w:hyperlink>
    </w:p>
    <w:p w14:paraId="5879BF53" w14:textId="435A370F" w:rsidR="000656F7" w:rsidRDefault="00112DD6">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1" w:history="1">
        <w:r w:rsidR="000656F7" w:rsidRPr="00BE0F56">
          <w:rPr>
            <w:rStyle w:val="Lienhypertexte"/>
            <w:rFonts w:cs="Times"/>
            <w:b/>
            <w:bCs/>
            <w:noProof/>
          </w:rPr>
          <w:t>2.1.4.23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instructions for safe disposal of the product and its packaging</w:t>
        </w:r>
        <w:r w:rsidR="000656F7">
          <w:rPr>
            <w:noProof/>
          </w:rPr>
          <w:tab/>
        </w:r>
        <w:r w:rsidR="000656F7">
          <w:rPr>
            <w:noProof/>
          </w:rPr>
          <w:fldChar w:fldCharType="begin"/>
        </w:r>
        <w:r w:rsidR="000656F7">
          <w:rPr>
            <w:noProof/>
          </w:rPr>
          <w:instrText xml:space="preserve"> PAGEREF _Toc536627281 \h </w:instrText>
        </w:r>
        <w:r w:rsidR="000656F7">
          <w:rPr>
            <w:noProof/>
          </w:rPr>
        </w:r>
        <w:r w:rsidR="000656F7">
          <w:rPr>
            <w:noProof/>
          </w:rPr>
          <w:fldChar w:fldCharType="separate"/>
        </w:r>
        <w:r w:rsidR="000656F7">
          <w:rPr>
            <w:noProof/>
          </w:rPr>
          <w:t>20</w:t>
        </w:r>
        <w:r w:rsidR="000656F7">
          <w:rPr>
            <w:noProof/>
          </w:rPr>
          <w:fldChar w:fldCharType="end"/>
        </w:r>
      </w:hyperlink>
    </w:p>
    <w:p w14:paraId="51ADAC77" w14:textId="2E6554BF" w:rsidR="000656F7" w:rsidRDefault="00112DD6">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2" w:history="1">
        <w:r w:rsidR="000656F7" w:rsidRPr="00BE0F56">
          <w:rPr>
            <w:rStyle w:val="Lienhypertexte"/>
            <w:rFonts w:cs="Times"/>
            <w:b/>
            <w:bCs/>
            <w:noProof/>
            <w:lang w:val="en-US"/>
          </w:rPr>
          <w:t>2.1.4.24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_Toc536627282 \h </w:instrText>
        </w:r>
        <w:r w:rsidR="000656F7">
          <w:rPr>
            <w:noProof/>
          </w:rPr>
        </w:r>
        <w:r w:rsidR="000656F7">
          <w:rPr>
            <w:noProof/>
          </w:rPr>
          <w:fldChar w:fldCharType="separate"/>
        </w:r>
        <w:r w:rsidR="000656F7">
          <w:rPr>
            <w:noProof/>
          </w:rPr>
          <w:t>20</w:t>
        </w:r>
        <w:r w:rsidR="000656F7">
          <w:rPr>
            <w:noProof/>
          </w:rPr>
          <w:fldChar w:fldCharType="end"/>
        </w:r>
      </w:hyperlink>
    </w:p>
    <w:p w14:paraId="0EBE3EDB" w14:textId="05F80627" w:rsidR="000656F7" w:rsidRDefault="00112DD6">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3" w:history="1">
        <w:r w:rsidR="000656F7" w:rsidRPr="00BE0F56">
          <w:rPr>
            <w:rStyle w:val="Lienhypertexte"/>
            <w:b/>
            <w:noProof/>
          </w:rPr>
          <w:t>2.1.4.25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 description</w:t>
        </w:r>
        <w:r w:rsidR="000656F7">
          <w:rPr>
            <w:noProof/>
          </w:rPr>
          <w:tab/>
        </w:r>
        <w:r w:rsidR="000656F7">
          <w:rPr>
            <w:noProof/>
          </w:rPr>
          <w:fldChar w:fldCharType="begin"/>
        </w:r>
        <w:r w:rsidR="000656F7">
          <w:rPr>
            <w:noProof/>
          </w:rPr>
          <w:instrText xml:space="preserve"> PAGEREF _Toc536627283 \h </w:instrText>
        </w:r>
        <w:r w:rsidR="000656F7">
          <w:rPr>
            <w:noProof/>
          </w:rPr>
        </w:r>
        <w:r w:rsidR="000656F7">
          <w:rPr>
            <w:noProof/>
          </w:rPr>
          <w:fldChar w:fldCharType="separate"/>
        </w:r>
        <w:r w:rsidR="000656F7">
          <w:rPr>
            <w:noProof/>
          </w:rPr>
          <w:t>21</w:t>
        </w:r>
        <w:r w:rsidR="000656F7">
          <w:rPr>
            <w:noProof/>
          </w:rPr>
          <w:fldChar w:fldCharType="end"/>
        </w:r>
      </w:hyperlink>
    </w:p>
    <w:p w14:paraId="337E0112" w14:textId="6998FCBD" w:rsidR="000656F7" w:rsidRDefault="00112DD6">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4" w:history="1">
        <w:r w:rsidR="000656F7" w:rsidRPr="00BE0F56">
          <w:rPr>
            <w:rStyle w:val="Lienhypertexte"/>
            <w:rFonts w:cs="Times"/>
            <w:b/>
            <w:bCs/>
            <w:noProof/>
          </w:rPr>
          <w:t>2.1.4.26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instructions for use</w:t>
        </w:r>
        <w:r w:rsidR="000656F7">
          <w:rPr>
            <w:noProof/>
          </w:rPr>
          <w:tab/>
        </w:r>
        <w:r w:rsidR="000656F7">
          <w:rPr>
            <w:noProof/>
          </w:rPr>
          <w:fldChar w:fldCharType="begin"/>
        </w:r>
        <w:r w:rsidR="000656F7">
          <w:rPr>
            <w:noProof/>
          </w:rPr>
          <w:instrText xml:space="preserve"> PAGEREF _Toc536627284 \h </w:instrText>
        </w:r>
        <w:r w:rsidR="000656F7">
          <w:rPr>
            <w:noProof/>
          </w:rPr>
        </w:r>
        <w:r w:rsidR="000656F7">
          <w:rPr>
            <w:noProof/>
          </w:rPr>
          <w:fldChar w:fldCharType="separate"/>
        </w:r>
        <w:r w:rsidR="000656F7">
          <w:rPr>
            <w:noProof/>
          </w:rPr>
          <w:t>21</w:t>
        </w:r>
        <w:r w:rsidR="000656F7">
          <w:rPr>
            <w:noProof/>
          </w:rPr>
          <w:fldChar w:fldCharType="end"/>
        </w:r>
      </w:hyperlink>
    </w:p>
    <w:p w14:paraId="03FBDB25" w14:textId="140B3E97" w:rsidR="000656F7" w:rsidRDefault="00112DD6">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5" w:history="1">
        <w:r w:rsidR="000656F7" w:rsidRPr="00BE0F56">
          <w:rPr>
            <w:rStyle w:val="Lienhypertexte"/>
            <w:rFonts w:cs="Times"/>
            <w:b/>
            <w:bCs/>
            <w:noProof/>
          </w:rPr>
          <w:t>2.1.4.27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risk mitigation measures</w:t>
        </w:r>
        <w:r w:rsidR="000656F7">
          <w:rPr>
            <w:noProof/>
          </w:rPr>
          <w:tab/>
        </w:r>
        <w:r w:rsidR="000656F7">
          <w:rPr>
            <w:noProof/>
          </w:rPr>
          <w:fldChar w:fldCharType="begin"/>
        </w:r>
        <w:r w:rsidR="000656F7">
          <w:rPr>
            <w:noProof/>
          </w:rPr>
          <w:instrText xml:space="preserve"> PAGEREF _Toc536627285 \h </w:instrText>
        </w:r>
        <w:r w:rsidR="000656F7">
          <w:rPr>
            <w:noProof/>
          </w:rPr>
        </w:r>
        <w:r w:rsidR="000656F7">
          <w:rPr>
            <w:noProof/>
          </w:rPr>
          <w:fldChar w:fldCharType="separate"/>
        </w:r>
        <w:r w:rsidR="000656F7">
          <w:rPr>
            <w:noProof/>
          </w:rPr>
          <w:t>21</w:t>
        </w:r>
        <w:r w:rsidR="000656F7">
          <w:rPr>
            <w:noProof/>
          </w:rPr>
          <w:fldChar w:fldCharType="end"/>
        </w:r>
      </w:hyperlink>
    </w:p>
    <w:p w14:paraId="7012D87B" w14:textId="57D64074" w:rsidR="000656F7" w:rsidRDefault="00112DD6">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6" w:history="1">
        <w:r w:rsidR="000656F7" w:rsidRPr="00BE0F56">
          <w:rPr>
            <w:rStyle w:val="Lienhypertexte"/>
            <w:rFonts w:cs="Times"/>
            <w:b/>
            <w:bCs/>
            <w:noProof/>
            <w:lang w:val="en-US"/>
          </w:rPr>
          <w:t>2.1.4.28</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_Toc536627286 \h </w:instrText>
        </w:r>
        <w:r w:rsidR="000656F7">
          <w:rPr>
            <w:noProof/>
          </w:rPr>
        </w:r>
        <w:r w:rsidR="000656F7">
          <w:rPr>
            <w:noProof/>
          </w:rPr>
          <w:fldChar w:fldCharType="separate"/>
        </w:r>
        <w:r w:rsidR="000656F7">
          <w:rPr>
            <w:noProof/>
          </w:rPr>
          <w:t>21</w:t>
        </w:r>
        <w:r w:rsidR="000656F7">
          <w:rPr>
            <w:noProof/>
          </w:rPr>
          <w:fldChar w:fldCharType="end"/>
        </w:r>
      </w:hyperlink>
    </w:p>
    <w:p w14:paraId="1E07CFCF" w14:textId="46F6C16D" w:rsidR="000656F7" w:rsidRDefault="00112DD6">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7" w:history="1">
        <w:r w:rsidR="000656F7" w:rsidRPr="00BE0F56">
          <w:rPr>
            <w:rStyle w:val="Lienhypertexte"/>
            <w:rFonts w:cs="Times"/>
            <w:b/>
            <w:bCs/>
            <w:noProof/>
          </w:rPr>
          <w:t>2.1.4.29</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instructions for safe disposal of the product and its packaging</w:t>
        </w:r>
        <w:r w:rsidR="000656F7">
          <w:rPr>
            <w:noProof/>
          </w:rPr>
          <w:tab/>
        </w:r>
        <w:r w:rsidR="000656F7">
          <w:rPr>
            <w:noProof/>
          </w:rPr>
          <w:fldChar w:fldCharType="begin"/>
        </w:r>
        <w:r w:rsidR="000656F7">
          <w:rPr>
            <w:noProof/>
          </w:rPr>
          <w:instrText xml:space="preserve"> PAGEREF _Toc536627287 \h </w:instrText>
        </w:r>
        <w:r w:rsidR="000656F7">
          <w:rPr>
            <w:noProof/>
          </w:rPr>
        </w:r>
        <w:r w:rsidR="000656F7">
          <w:rPr>
            <w:noProof/>
          </w:rPr>
          <w:fldChar w:fldCharType="separate"/>
        </w:r>
        <w:r w:rsidR="000656F7">
          <w:rPr>
            <w:noProof/>
          </w:rPr>
          <w:t>22</w:t>
        </w:r>
        <w:r w:rsidR="000656F7">
          <w:rPr>
            <w:noProof/>
          </w:rPr>
          <w:fldChar w:fldCharType="end"/>
        </w:r>
      </w:hyperlink>
    </w:p>
    <w:p w14:paraId="2CBC0C0C" w14:textId="72718116" w:rsidR="000656F7" w:rsidRDefault="00112DD6">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8" w:history="1">
        <w:r w:rsidR="000656F7" w:rsidRPr="00BE0F56">
          <w:rPr>
            <w:rStyle w:val="Lienhypertexte"/>
            <w:rFonts w:cs="Times"/>
            <w:b/>
            <w:bCs/>
            <w:noProof/>
            <w:lang w:val="en-US"/>
          </w:rPr>
          <w:t>2.1.4.30</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_Toc536627288 \h </w:instrText>
        </w:r>
        <w:r w:rsidR="000656F7">
          <w:rPr>
            <w:noProof/>
          </w:rPr>
        </w:r>
        <w:r w:rsidR="000656F7">
          <w:rPr>
            <w:noProof/>
          </w:rPr>
          <w:fldChar w:fldCharType="separate"/>
        </w:r>
        <w:r w:rsidR="000656F7">
          <w:rPr>
            <w:noProof/>
          </w:rPr>
          <w:t>22</w:t>
        </w:r>
        <w:r w:rsidR="000656F7">
          <w:rPr>
            <w:noProof/>
          </w:rPr>
          <w:fldChar w:fldCharType="end"/>
        </w:r>
      </w:hyperlink>
    </w:p>
    <w:p w14:paraId="4526E5A7" w14:textId="628CB2D0" w:rsidR="000656F7" w:rsidRDefault="00112DD6">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89" w:history="1">
        <w:r w:rsidR="000656F7" w:rsidRPr="00BE0F56">
          <w:rPr>
            <w:rStyle w:val="Lienhypertexte"/>
            <w:noProof/>
          </w:rPr>
          <w:t>2.1.5</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General directions for use</w:t>
        </w:r>
        <w:r w:rsidR="000656F7">
          <w:rPr>
            <w:noProof/>
          </w:rPr>
          <w:tab/>
        </w:r>
        <w:r w:rsidR="000656F7">
          <w:rPr>
            <w:noProof/>
          </w:rPr>
          <w:fldChar w:fldCharType="begin"/>
        </w:r>
        <w:r w:rsidR="000656F7">
          <w:rPr>
            <w:noProof/>
          </w:rPr>
          <w:instrText xml:space="preserve"> PAGEREF _Toc536627289 \h </w:instrText>
        </w:r>
        <w:r w:rsidR="000656F7">
          <w:rPr>
            <w:noProof/>
          </w:rPr>
        </w:r>
        <w:r w:rsidR="000656F7">
          <w:rPr>
            <w:noProof/>
          </w:rPr>
          <w:fldChar w:fldCharType="separate"/>
        </w:r>
        <w:r w:rsidR="000656F7">
          <w:rPr>
            <w:noProof/>
          </w:rPr>
          <w:t>22</w:t>
        </w:r>
        <w:r w:rsidR="000656F7">
          <w:rPr>
            <w:noProof/>
          </w:rPr>
          <w:fldChar w:fldCharType="end"/>
        </w:r>
      </w:hyperlink>
    </w:p>
    <w:p w14:paraId="0045017A" w14:textId="363EEB0F"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0" w:history="1">
        <w:r w:rsidR="000656F7" w:rsidRPr="00BE0F56">
          <w:rPr>
            <w:rStyle w:val="Lienhypertexte"/>
            <w:b/>
            <w:noProof/>
          </w:rPr>
          <w:t>2.1.5.1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Instructions for use</w:t>
        </w:r>
        <w:r w:rsidR="000656F7">
          <w:rPr>
            <w:noProof/>
          </w:rPr>
          <w:tab/>
        </w:r>
        <w:r w:rsidR="000656F7">
          <w:rPr>
            <w:noProof/>
          </w:rPr>
          <w:fldChar w:fldCharType="begin"/>
        </w:r>
        <w:r w:rsidR="000656F7">
          <w:rPr>
            <w:noProof/>
          </w:rPr>
          <w:instrText xml:space="preserve"> PAGEREF _Toc536627290 \h </w:instrText>
        </w:r>
        <w:r w:rsidR="000656F7">
          <w:rPr>
            <w:noProof/>
          </w:rPr>
        </w:r>
        <w:r w:rsidR="000656F7">
          <w:rPr>
            <w:noProof/>
          </w:rPr>
          <w:fldChar w:fldCharType="separate"/>
        </w:r>
        <w:r w:rsidR="000656F7">
          <w:rPr>
            <w:noProof/>
          </w:rPr>
          <w:t>22</w:t>
        </w:r>
        <w:r w:rsidR="000656F7">
          <w:rPr>
            <w:noProof/>
          </w:rPr>
          <w:fldChar w:fldCharType="end"/>
        </w:r>
      </w:hyperlink>
    </w:p>
    <w:p w14:paraId="72565592" w14:textId="1BE1CDFD"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1" w:history="1">
        <w:r w:rsidR="000656F7" w:rsidRPr="00BE0F56">
          <w:rPr>
            <w:rStyle w:val="Lienhypertexte"/>
            <w:b/>
            <w:noProof/>
          </w:rPr>
          <w:t>2.1.5.2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Risk mitigation measures</w:t>
        </w:r>
        <w:r w:rsidR="000656F7">
          <w:rPr>
            <w:noProof/>
          </w:rPr>
          <w:tab/>
        </w:r>
        <w:r w:rsidR="000656F7">
          <w:rPr>
            <w:noProof/>
          </w:rPr>
          <w:fldChar w:fldCharType="begin"/>
        </w:r>
        <w:r w:rsidR="000656F7">
          <w:rPr>
            <w:noProof/>
          </w:rPr>
          <w:instrText xml:space="preserve"> PAGEREF _Toc536627291 \h </w:instrText>
        </w:r>
        <w:r w:rsidR="000656F7">
          <w:rPr>
            <w:noProof/>
          </w:rPr>
        </w:r>
        <w:r w:rsidR="000656F7">
          <w:rPr>
            <w:noProof/>
          </w:rPr>
          <w:fldChar w:fldCharType="separate"/>
        </w:r>
        <w:r w:rsidR="000656F7">
          <w:rPr>
            <w:noProof/>
          </w:rPr>
          <w:t>22</w:t>
        </w:r>
        <w:r w:rsidR="000656F7">
          <w:rPr>
            <w:noProof/>
          </w:rPr>
          <w:fldChar w:fldCharType="end"/>
        </w:r>
      </w:hyperlink>
    </w:p>
    <w:p w14:paraId="751DC157" w14:textId="36CEA3DA"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2" w:history="1">
        <w:r w:rsidR="000656F7" w:rsidRPr="00BE0F56">
          <w:rPr>
            <w:rStyle w:val="Lienhypertexte"/>
            <w:b/>
            <w:noProof/>
            <w:lang w:val="en-US"/>
          </w:rPr>
          <w:t>2.1.5.3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_Toc536627292 \h </w:instrText>
        </w:r>
        <w:r w:rsidR="000656F7">
          <w:rPr>
            <w:noProof/>
          </w:rPr>
        </w:r>
        <w:r w:rsidR="000656F7">
          <w:rPr>
            <w:noProof/>
          </w:rPr>
          <w:fldChar w:fldCharType="separate"/>
        </w:r>
        <w:r w:rsidR="000656F7">
          <w:rPr>
            <w:noProof/>
          </w:rPr>
          <w:t>22</w:t>
        </w:r>
        <w:r w:rsidR="000656F7">
          <w:rPr>
            <w:noProof/>
          </w:rPr>
          <w:fldChar w:fldCharType="end"/>
        </w:r>
      </w:hyperlink>
    </w:p>
    <w:p w14:paraId="118F2636" w14:textId="0FCA3781"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3" w:history="1">
        <w:r w:rsidR="000656F7" w:rsidRPr="00BE0F56">
          <w:rPr>
            <w:rStyle w:val="Lienhypertexte"/>
            <w:b/>
            <w:noProof/>
            <w:lang w:val="en-US"/>
          </w:rPr>
          <w:t>2.1.5.4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Instructions for safe disposal of the product and its packaging</w:t>
        </w:r>
        <w:r w:rsidR="000656F7">
          <w:rPr>
            <w:noProof/>
          </w:rPr>
          <w:tab/>
        </w:r>
        <w:r w:rsidR="000656F7">
          <w:rPr>
            <w:noProof/>
          </w:rPr>
          <w:fldChar w:fldCharType="begin"/>
        </w:r>
        <w:r w:rsidR="000656F7">
          <w:rPr>
            <w:noProof/>
          </w:rPr>
          <w:instrText xml:space="preserve"> PAGEREF _Toc536627293 \h </w:instrText>
        </w:r>
        <w:r w:rsidR="000656F7">
          <w:rPr>
            <w:noProof/>
          </w:rPr>
        </w:r>
        <w:r w:rsidR="000656F7">
          <w:rPr>
            <w:noProof/>
          </w:rPr>
          <w:fldChar w:fldCharType="separate"/>
        </w:r>
        <w:r w:rsidR="000656F7">
          <w:rPr>
            <w:noProof/>
          </w:rPr>
          <w:t>22</w:t>
        </w:r>
        <w:r w:rsidR="000656F7">
          <w:rPr>
            <w:noProof/>
          </w:rPr>
          <w:fldChar w:fldCharType="end"/>
        </w:r>
      </w:hyperlink>
    </w:p>
    <w:p w14:paraId="3BB9A5FB" w14:textId="615F3F96"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4" w:history="1">
        <w:r w:rsidR="000656F7" w:rsidRPr="00BE0F56">
          <w:rPr>
            <w:rStyle w:val="Lienhypertexte"/>
            <w:b/>
            <w:noProof/>
            <w:lang w:val="en-US"/>
          </w:rPr>
          <w:t>2.1.5.5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_Toc536627294 \h </w:instrText>
        </w:r>
        <w:r w:rsidR="000656F7">
          <w:rPr>
            <w:noProof/>
          </w:rPr>
        </w:r>
        <w:r w:rsidR="000656F7">
          <w:rPr>
            <w:noProof/>
          </w:rPr>
          <w:fldChar w:fldCharType="separate"/>
        </w:r>
        <w:r w:rsidR="000656F7">
          <w:rPr>
            <w:noProof/>
          </w:rPr>
          <w:t>23</w:t>
        </w:r>
        <w:r w:rsidR="000656F7">
          <w:rPr>
            <w:noProof/>
          </w:rPr>
          <w:fldChar w:fldCharType="end"/>
        </w:r>
      </w:hyperlink>
    </w:p>
    <w:p w14:paraId="5C216925" w14:textId="052E6E0E" w:rsidR="000656F7" w:rsidRDefault="00112DD6">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95" w:history="1">
        <w:r w:rsidR="000656F7" w:rsidRPr="00BE0F56">
          <w:rPr>
            <w:rStyle w:val="Lienhypertexte"/>
            <w:noProof/>
          </w:rPr>
          <w:t>2.1.6</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Other information</w:t>
        </w:r>
        <w:r w:rsidR="000656F7">
          <w:rPr>
            <w:noProof/>
          </w:rPr>
          <w:tab/>
        </w:r>
        <w:r w:rsidR="000656F7">
          <w:rPr>
            <w:noProof/>
          </w:rPr>
          <w:fldChar w:fldCharType="begin"/>
        </w:r>
        <w:r w:rsidR="000656F7">
          <w:rPr>
            <w:noProof/>
          </w:rPr>
          <w:instrText xml:space="preserve"> PAGEREF _Toc536627295 \h </w:instrText>
        </w:r>
        <w:r w:rsidR="000656F7">
          <w:rPr>
            <w:noProof/>
          </w:rPr>
        </w:r>
        <w:r w:rsidR="000656F7">
          <w:rPr>
            <w:noProof/>
          </w:rPr>
          <w:fldChar w:fldCharType="separate"/>
        </w:r>
        <w:r w:rsidR="000656F7">
          <w:rPr>
            <w:noProof/>
          </w:rPr>
          <w:t>23</w:t>
        </w:r>
        <w:r w:rsidR="000656F7">
          <w:rPr>
            <w:noProof/>
          </w:rPr>
          <w:fldChar w:fldCharType="end"/>
        </w:r>
      </w:hyperlink>
    </w:p>
    <w:p w14:paraId="08CB9DEA" w14:textId="3B4BF999" w:rsidR="000656F7" w:rsidRDefault="00112DD6">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96" w:history="1">
        <w:r w:rsidR="000656F7" w:rsidRPr="00BE0F56">
          <w:rPr>
            <w:rStyle w:val="Lienhypertexte"/>
            <w:rFonts w:eastAsia="Calibri"/>
            <w:noProof/>
            <w:lang w:eastAsia="en-US"/>
          </w:rPr>
          <w:t>2.1.7</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Packaging of the biocidal product</w:t>
        </w:r>
        <w:r w:rsidR="000656F7">
          <w:rPr>
            <w:noProof/>
          </w:rPr>
          <w:tab/>
        </w:r>
        <w:r w:rsidR="000656F7">
          <w:rPr>
            <w:noProof/>
          </w:rPr>
          <w:fldChar w:fldCharType="begin"/>
        </w:r>
        <w:r w:rsidR="000656F7">
          <w:rPr>
            <w:noProof/>
          </w:rPr>
          <w:instrText xml:space="preserve"> PAGEREF _Toc536627296 \h </w:instrText>
        </w:r>
        <w:r w:rsidR="000656F7">
          <w:rPr>
            <w:noProof/>
          </w:rPr>
        </w:r>
        <w:r w:rsidR="000656F7">
          <w:rPr>
            <w:noProof/>
          </w:rPr>
          <w:fldChar w:fldCharType="separate"/>
        </w:r>
        <w:r w:rsidR="000656F7">
          <w:rPr>
            <w:noProof/>
          </w:rPr>
          <w:t>23</w:t>
        </w:r>
        <w:r w:rsidR="000656F7">
          <w:rPr>
            <w:noProof/>
          </w:rPr>
          <w:fldChar w:fldCharType="end"/>
        </w:r>
      </w:hyperlink>
    </w:p>
    <w:p w14:paraId="0675DBF3" w14:textId="0CA48442" w:rsidR="000656F7" w:rsidRDefault="00112DD6">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97" w:history="1">
        <w:r w:rsidR="000656F7" w:rsidRPr="00BE0F56">
          <w:rPr>
            <w:rStyle w:val="Lienhypertexte"/>
            <w:noProof/>
          </w:rPr>
          <w:t>2.1.8</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lang w:eastAsia="en-US"/>
          </w:rPr>
          <w:t>Documentation</w:t>
        </w:r>
        <w:r w:rsidR="000656F7">
          <w:rPr>
            <w:noProof/>
          </w:rPr>
          <w:tab/>
        </w:r>
        <w:r w:rsidR="000656F7">
          <w:rPr>
            <w:noProof/>
          </w:rPr>
          <w:fldChar w:fldCharType="begin"/>
        </w:r>
        <w:r w:rsidR="000656F7">
          <w:rPr>
            <w:noProof/>
          </w:rPr>
          <w:instrText xml:space="preserve"> PAGEREF _Toc536627297 \h </w:instrText>
        </w:r>
        <w:r w:rsidR="000656F7">
          <w:rPr>
            <w:noProof/>
          </w:rPr>
        </w:r>
        <w:r w:rsidR="000656F7">
          <w:rPr>
            <w:noProof/>
          </w:rPr>
          <w:fldChar w:fldCharType="separate"/>
        </w:r>
        <w:r w:rsidR="000656F7">
          <w:rPr>
            <w:noProof/>
          </w:rPr>
          <w:t>23</w:t>
        </w:r>
        <w:r w:rsidR="000656F7">
          <w:rPr>
            <w:noProof/>
          </w:rPr>
          <w:fldChar w:fldCharType="end"/>
        </w:r>
      </w:hyperlink>
    </w:p>
    <w:p w14:paraId="7283A6C2" w14:textId="2558A8C5"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8" w:history="1">
        <w:r w:rsidR="000656F7" w:rsidRPr="00BE0F56">
          <w:rPr>
            <w:rStyle w:val="Lienhypertexte"/>
            <w:rFonts w:cs="Times New Roman"/>
            <w:b/>
            <w:iCs/>
            <w:noProof/>
            <w:lang w:val="en-US" w:eastAsia="en-US"/>
          </w:rPr>
          <w:t>2.1.8.1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Data submitted in relation to product application</w:t>
        </w:r>
        <w:r w:rsidR="000656F7">
          <w:rPr>
            <w:noProof/>
          </w:rPr>
          <w:tab/>
        </w:r>
        <w:r w:rsidR="000656F7">
          <w:rPr>
            <w:noProof/>
          </w:rPr>
          <w:fldChar w:fldCharType="begin"/>
        </w:r>
        <w:r w:rsidR="000656F7">
          <w:rPr>
            <w:noProof/>
          </w:rPr>
          <w:instrText xml:space="preserve"> PAGEREF _Toc536627298 \h </w:instrText>
        </w:r>
        <w:r w:rsidR="000656F7">
          <w:rPr>
            <w:noProof/>
          </w:rPr>
        </w:r>
        <w:r w:rsidR="000656F7">
          <w:rPr>
            <w:noProof/>
          </w:rPr>
          <w:fldChar w:fldCharType="separate"/>
        </w:r>
        <w:r w:rsidR="000656F7">
          <w:rPr>
            <w:noProof/>
          </w:rPr>
          <w:t>23</w:t>
        </w:r>
        <w:r w:rsidR="000656F7">
          <w:rPr>
            <w:noProof/>
          </w:rPr>
          <w:fldChar w:fldCharType="end"/>
        </w:r>
      </w:hyperlink>
    </w:p>
    <w:p w14:paraId="3FA14422" w14:textId="115E8DA2"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9" w:history="1">
        <w:r w:rsidR="000656F7" w:rsidRPr="00BE0F56">
          <w:rPr>
            <w:rStyle w:val="Lienhypertexte"/>
            <w:rFonts w:cs="Times New Roman"/>
            <w:b/>
            <w:iCs/>
            <w:noProof/>
            <w:lang w:eastAsia="en-US"/>
          </w:rPr>
          <w:t>2.1.8.2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Access to documentation</w:t>
        </w:r>
        <w:r w:rsidR="000656F7">
          <w:rPr>
            <w:noProof/>
          </w:rPr>
          <w:tab/>
        </w:r>
        <w:r w:rsidR="000656F7">
          <w:rPr>
            <w:noProof/>
          </w:rPr>
          <w:fldChar w:fldCharType="begin"/>
        </w:r>
        <w:r w:rsidR="000656F7">
          <w:rPr>
            <w:noProof/>
          </w:rPr>
          <w:instrText xml:space="preserve"> PAGEREF _Toc536627299 \h </w:instrText>
        </w:r>
        <w:r w:rsidR="000656F7">
          <w:rPr>
            <w:noProof/>
          </w:rPr>
        </w:r>
        <w:r w:rsidR="000656F7">
          <w:rPr>
            <w:noProof/>
          </w:rPr>
          <w:fldChar w:fldCharType="separate"/>
        </w:r>
        <w:r w:rsidR="000656F7">
          <w:rPr>
            <w:noProof/>
          </w:rPr>
          <w:t>24</w:t>
        </w:r>
        <w:r w:rsidR="000656F7">
          <w:rPr>
            <w:noProof/>
          </w:rPr>
          <w:fldChar w:fldCharType="end"/>
        </w:r>
      </w:hyperlink>
    </w:p>
    <w:p w14:paraId="28BF964F" w14:textId="7FB477AF" w:rsidR="000656F7" w:rsidRDefault="00112DD6">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00" w:history="1">
        <w:r w:rsidR="000656F7" w:rsidRPr="00BE0F56">
          <w:rPr>
            <w:rStyle w:val="Lienhypertexte"/>
            <w:noProof/>
            <w:lang w:val="de-DE"/>
          </w:rPr>
          <w:t>2.2</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Assessment of the biocidal product</w:t>
        </w:r>
        <w:r w:rsidR="000656F7">
          <w:rPr>
            <w:noProof/>
          </w:rPr>
          <w:tab/>
        </w:r>
        <w:r w:rsidR="000656F7">
          <w:rPr>
            <w:noProof/>
          </w:rPr>
          <w:fldChar w:fldCharType="begin"/>
        </w:r>
        <w:r w:rsidR="000656F7">
          <w:rPr>
            <w:noProof/>
          </w:rPr>
          <w:instrText xml:space="preserve"> PAGEREF _Toc536627300 \h </w:instrText>
        </w:r>
        <w:r w:rsidR="000656F7">
          <w:rPr>
            <w:noProof/>
          </w:rPr>
        </w:r>
        <w:r w:rsidR="000656F7">
          <w:rPr>
            <w:noProof/>
          </w:rPr>
          <w:fldChar w:fldCharType="separate"/>
        </w:r>
        <w:r w:rsidR="000656F7">
          <w:rPr>
            <w:noProof/>
          </w:rPr>
          <w:t>25</w:t>
        </w:r>
        <w:r w:rsidR="000656F7">
          <w:rPr>
            <w:noProof/>
          </w:rPr>
          <w:fldChar w:fldCharType="end"/>
        </w:r>
      </w:hyperlink>
    </w:p>
    <w:p w14:paraId="58F612E3" w14:textId="51848FF8" w:rsidR="000656F7" w:rsidRDefault="00112DD6">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01" w:history="1">
        <w:r w:rsidR="000656F7" w:rsidRPr="00BE0F56">
          <w:rPr>
            <w:rStyle w:val="Lienhypertexte"/>
            <w:noProof/>
            <w:lang w:val="en-US"/>
          </w:rPr>
          <w:t>2.2.1</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lang w:val="en-US"/>
          </w:rPr>
          <w:t>Intended use(s) as applied for by the applicant</w:t>
        </w:r>
        <w:r w:rsidR="000656F7">
          <w:rPr>
            <w:noProof/>
          </w:rPr>
          <w:tab/>
        </w:r>
        <w:r w:rsidR="000656F7">
          <w:rPr>
            <w:noProof/>
          </w:rPr>
          <w:fldChar w:fldCharType="begin"/>
        </w:r>
        <w:r w:rsidR="000656F7">
          <w:rPr>
            <w:noProof/>
          </w:rPr>
          <w:instrText xml:space="preserve"> PAGEREF _Toc536627301 \h </w:instrText>
        </w:r>
        <w:r w:rsidR="000656F7">
          <w:rPr>
            <w:noProof/>
          </w:rPr>
        </w:r>
        <w:r w:rsidR="000656F7">
          <w:rPr>
            <w:noProof/>
          </w:rPr>
          <w:fldChar w:fldCharType="separate"/>
        </w:r>
        <w:r w:rsidR="000656F7">
          <w:rPr>
            <w:noProof/>
          </w:rPr>
          <w:t>25</w:t>
        </w:r>
        <w:r w:rsidR="000656F7">
          <w:rPr>
            <w:noProof/>
          </w:rPr>
          <w:fldChar w:fldCharType="end"/>
        </w:r>
      </w:hyperlink>
    </w:p>
    <w:p w14:paraId="733F8586" w14:textId="5AECB397" w:rsidR="000656F7" w:rsidRDefault="00112DD6">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02" w:history="1">
        <w:r w:rsidR="000656F7" w:rsidRPr="00BE0F56">
          <w:rPr>
            <w:rStyle w:val="Lienhypertexte"/>
            <w:rFonts w:eastAsia="Calibri"/>
            <w:noProof/>
            <w:lang w:eastAsia="sv-SE"/>
          </w:rPr>
          <w:t>2.2.2</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Physical, chemical and technical properties</w:t>
        </w:r>
        <w:r w:rsidR="000656F7">
          <w:rPr>
            <w:noProof/>
          </w:rPr>
          <w:tab/>
        </w:r>
        <w:r w:rsidR="000656F7">
          <w:rPr>
            <w:noProof/>
          </w:rPr>
          <w:fldChar w:fldCharType="begin"/>
        </w:r>
        <w:r w:rsidR="000656F7">
          <w:rPr>
            <w:noProof/>
          </w:rPr>
          <w:instrText xml:space="preserve"> PAGEREF _Toc536627302 \h </w:instrText>
        </w:r>
        <w:r w:rsidR="000656F7">
          <w:rPr>
            <w:noProof/>
          </w:rPr>
        </w:r>
        <w:r w:rsidR="000656F7">
          <w:rPr>
            <w:noProof/>
          </w:rPr>
          <w:fldChar w:fldCharType="separate"/>
        </w:r>
        <w:r w:rsidR="000656F7">
          <w:rPr>
            <w:noProof/>
          </w:rPr>
          <w:t>27</w:t>
        </w:r>
        <w:r w:rsidR="000656F7">
          <w:rPr>
            <w:noProof/>
          </w:rPr>
          <w:fldChar w:fldCharType="end"/>
        </w:r>
      </w:hyperlink>
    </w:p>
    <w:p w14:paraId="66F25792" w14:textId="6C2BCF4B" w:rsidR="000656F7" w:rsidRDefault="00112DD6">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03" w:history="1">
        <w:r w:rsidR="000656F7" w:rsidRPr="00BE0F56">
          <w:rPr>
            <w:rStyle w:val="Lienhypertexte"/>
            <w:noProof/>
          </w:rPr>
          <w:t>2.2.3</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Physical hazards and respective characteristics</w:t>
        </w:r>
        <w:r w:rsidR="000656F7">
          <w:rPr>
            <w:noProof/>
          </w:rPr>
          <w:tab/>
        </w:r>
        <w:r w:rsidR="000656F7">
          <w:rPr>
            <w:noProof/>
          </w:rPr>
          <w:fldChar w:fldCharType="begin"/>
        </w:r>
        <w:r w:rsidR="000656F7">
          <w:rPr>
            <w:noProof/>
          </w:rPr>
          <w:instrText xml:space="preserve"> PAGEREF _Toc536627303 \h </w:instrText>
        </w:r>
        <w:r w:rsidR="000656F7">
          <w:rPr>
            <w:noProof/>
          </w:rPr>
        </w:r>
        <w:r w:rsidR="000656F7">
          <w:rPr>
            <w:noProof/>
          </w:rPr>
          <w:fldChar w:fldCharType="separate"/>
        </w:r>
        <w:r w:rsidR="000656F7">
          <w:rPr>
            <w:noProof/>
          </w:rPr>
          <w:t>35</w:t>
        </w:r>
        <w:r w:rsidR="000656F7">
          <w:rPr>
            <w:noProof/>
          </w:rPr>
          <w:fldChar w:fldCharType="end"/>
        </w:r>
      </w:hyperlink>
    </w:p>
    <w:p w14:paraId="7A165979" w14:textId="077DA497" w:rsidR="000656F7" w:rsidRDefault="00112DD6">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04" w:history="1">
        <w:r w:rsidR="000656F7" w:rsidRPr="00BE0F56">
          <w:rPr>
            <w:rStyle w:val="Lienhypertexte"/>
            <w:noProof/>
          </w:rPr>
          <w:t>2.2.4</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Methods for detection and identification</w:t>
        </w:r>
        <w:r w:rsidR="000656F7">
          <w:rPr>
            <w:noProof/>
          </w:rPr>
          <w:tab/>
        </w:r>
        <w:r w:rsidR="000656F7">
          <w:rPr>
            <w:noProof/>
          </w:rPr>
          <w:fldChar w:fldCharType="begin"/>
        </w:r>
        <w:r w:rsidR="000656F7">
          <w:rPr>
            <w:noProof/>
          </w:rPr>
          <w:instrText xml:space="preserve"> PAGEREF _Toc536627304 \h </w:instrText>
        </w:r>
        <w:r w:rsidR="000656F7">
          <w:rPr>
            <w:noProof/>
          </w:rPr>
        </w:r>
        <w:r w:rsidR="000656F7">
          <w:rPr>
            <w:noProof/>
          </w:rPr>
          <w:fldChar w:fldCharType="separate"/>
        </w:r>
        <w:r w:rsidR="000656F7">
          <w:rPr>
            <w:noProof/>
          </w:rPr>
          <w:t>39</w:t>
        </w:r>
        <w:r w:rsidR="000656F7">
          <w:rPr>
            <w:noProof/>
          </w:rPr>
          <w:fldChar w:fldCharType="end"/>
        </w:r>
      </w:hyperlink>
    </w:p>
    <w:p w14:paraId="46736434" w14:textId="72EF581E" w:rsidR="000656F7" w:rsidRDefault="00112DD6">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05" w:history="1">
        <w:r w:rsidR="000656F7" w:rsidRPr="00BE0F56">
          <w:rPr>
            <w:rStyle w:val="Lienhypertexte"/>
            <w:noProof/>
          </w:rPr>
          <w:t>2.2.5</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Efficacy against target organisms</w:t>
        </w:r>
        <w:r w:rsidR="000656F7">
          <w:rPr>
            <w:noProof/>
          </w:rPr>
          <w:tab/>
        </w:r>
        <w:r w:rsidR="000656F7">
          <w:rPr>
            <w:noProof/>
          </w:rPr>
          <w:fldChar w:fldCharType="begin"/>
        </w:r>
        <w:r w:rsidR="000656F7">
          <w:rPr>
            <w:noProof/>
          </w:rPr>
          <w:instrText xml:space="preserve"> PAGEREF _Toc536627305 \h </w:instrText>
        </w:r>
        <w:r w:rsidR="000656F7">
          <w:rPr>
            <w:noProof/>
          </w:rPr>
        </w:r>
        <w:r w:rsidR="000656F7">
          <w:rPr>
            <w:noProof/>
          </w:rPr>
          <w:fldChar w:fldCharType="separate"/>
        </w:r>
        <w:r w:rsidR="000656F7">
          <w:rPr>
            <w:noProof/>
          </w:rPr>
          <w:t>48</w:t>
        </w:r>
        <w:r w:rsidR="000656F7">
          <w:rPr>
            <w:noProof/>
          </w:rPr>
          <w:fldChar w:fldCharType="end"/>
        </w:r>
      </w:hyperlink>
    </w:p>
    <w:p w14:paraId="53D7F26F" w14:textId="3401710A"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06" w:history="1">
        <w:r w:rsidR="000656F7" w:rsidRPr="00BE0F56">
          <w:rPr>
            <w:rStyle w:val="Lienhypertexte"/>
            <w:rFonts w:cs="Times New Roman"/>
            <w:b/>
            <w:iCs/>
            <w:noProof/>
            <w:lang w:eastAsia="en-US"/>
          </w:rPr>
          <w:t>2.2.5.1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Function and field of use</w:t>
        </w:r>
        <w:r w:rsidR="000656F7">
          <w:rPr>
            <w:noProof/>
          </w:rPr>
          <w:tab/>
        </w:r>
        <w:r w:rsidR="000656F7">
          <w:rPr>
            <w:noProof/>
          </w:rPr>
          <w:fldChar w:fldCharType="begin"/>
        </w:r>
        <w:r w:rsidR="000656F7">
          <w:rPr>
            <w:noProof/>
          </w:rPr>
          <w:instrText xml:space="preserve"> PAGEREF _Toc536627306 \h </w:instrText>
        </w:r>
        <w:r w:rsidR="000656F7">
          <w:rPr>
            <w:noProof/>
          </w:rPr>
        </w:r>
        <w:r w:rsidR="000656F7">
          <w:rPr>
            <w:noProof/>
          </w:rPr>
          <w:fldChar w:fldCharType="separate"/>
        </w:r>
        <w:r w:rsidR="000656F7">
          <w:rPr>
            <w:noProof/>
          </w:rPr>
          <w:t>48</w:t>
        </w:r>
        <w:r w:rsidR="000656F7">
          <w:rPr>
            <w:noProof/>
          </w:rPr>
          <w:fldChar w:fldCharType="end"/>
        </w:r>
      </w:hyperlink>
    </w:p>
    <w:p w14:paraId="1E7C7A79" w14:textId="3F4D69E8"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07" w:history="1">
        <w:r w:rsidR="000656F7" w:rsidRPr="00BE0F56">
          <w:rPr>
            <w:rStyle w:val="Lienhypertexte"/>
            <w:rFonts w:cs="Times New Roman"/>
            <w:b/>
            <w:iCs/>
            <w:noProof/>
            <w:lang w:val="en-US" w:eastAsia="en-US"/>
          </w:rPr>
          <w:t>2.2.5.2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Organisms to be controlled and products, organisms or objects to be protected</w:t>
        </w:r>
        <w:r w:rsidR="000656F7">
          <w:rPr>
            <w:noProof/>
          </w:rPr>
          <w:tab/>
        </w:r>
        <w:r w:rsidR="000656F7">
          <w:rPr>
            <w:noProof/>
          </w:rPr>
          <w:fldChar w:fldCharType="begin"/>
        </w:r>
        <w:r w:rsidR="000656F7">
          <w:rPr>
            <w:noProof/>
          </w:rPr>
          <w:instrText xml:space="preserve"> PAGEREF _Toc536627307 \h </w:instrText>
        </w:r>
        <w:r w:rsidR="000656F7">
          <w:rPr>
            <w:noProof/>
          </w:rPr>
        </w:r>
        <w:r w:rsidR="000656F7">
          <w:rPr>
            <w:noProof/>
          </w:rPr>
          <w:fldChar w:fldCharType="separate"/>
        </w:r>
        <w:r w:rsidR="000656F7">
          <w:rPr>
            <w:noProof/>
          </w:rPr>
          <w:t>48</w:t>
        </w:r>
        <w:r w:rsidR="000656F7">
          <w:rPr>
            <w:noProof/>
          </w:rPr>
          <w:fldChar w:fldCharType="end"/>
        </w:r>
      </w:hyperlink>
    </w:p>
    <w:p w14:paraId="287327E2" w14:textId="0A79E37A"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08" w:history="1">
        <w:r w:rsidR="000656F7" w:rsidRPr="00BE0F56">
          <w:rPr>
            <w:rStyle w:val="Lienhypertexte"/>
            <w:rFonts w:cs="Times New Roman"/>
            <w:b/>
            <w:iCs/>
            <w:noProof/>
            <w:lang w:val="en-US" w:eastAsia="en-US"/>
          </w:rPr>
          <w:t>2.2.5.3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Effects on target organisms, including unacceptable suffering</w:t>
        </w:r>
        <w:r w:rsidR="000656F7">
          <w:rPr>
            <w:noProof/>
          </w:rPr>
          <w:tab/>
        </w:r>
        <w:r w:rsidR="000656F7">
          <w:rPr>
            <w:noProof/>
          </w:rPr>
          <w:fldChar w:fldCharType="begin"/>
        </w:r>
        <w:r w:rsidR="000656F7">
          <w:rPr>
            <w:noProof/>
          </w:rPr>
          <w:instrText xml:space="preserve"> PAGEREF _Toc536627308 \h </w:instrText>
        </w:r>
        <w:r w:rsidR="000656F7">
          <w:rPr>
            <w:noProof/>
          </w:rPr>
        </w:r>
        <w:r w:rsidR="000656F7">
          <w:rPr>
            <w:noProof/>
          </w:rPr>
          <w:fldChar w:fldCharType="separate"/>
        </w:r>
        <w:r w:rsidR="000656F7">
          <w:rPr>
            <w:noProof/>
          </w:rPr>
          <w:t>48</w:t>
        </w:r>
        <w:r w:rsidR="000656F7">
          <w:rPr>
            <w:noProof/>
          </w:rPr>
          <w:fldChar w:fldCharType="end"/>
        </w:r>
      </w:hyperlink>
    </w:p>
    <w:p w14:paraId="64CDDE38" w14:textId="0DDCA873"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09" w:history="1">
        <w:r w:rsidR="000656F7" w:rsidRPr="00BE0F56">
          <w:rPr>
            <w:rStyle w:val="Lienhypertexte"/>
            <w:rFonts w:cs="Times New Roman"/>
            <w:b/>
            <w:iCs/>
            <w:noProof/>
            <w:lang w:val="en-US" w:eastAsia="en-US"/>
          </w:rPr>
          <w:t>2.2.5.4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Mode of action, including time delay</w:t>
        </w:r>
        <w:r w:rsidR="000656F7">
          <w:rPr>
            <w:noProof/>
          </w:rPr>
          <w:tab/>
        </w:r>
        <w:r w:rsidR="000656F7">
          <w:rPr>
            <w:noProof/>
          </w:rPr>
          <w:fldChar w:fldCharType="begin"/>
        </w:r>
        <w:r w:rsidR="000656F7">
          <w:rPr>
            <w:noProof/>
          </w:rPr>
          <w:instrText xml:space="preserve"> PAGEREF _Toc536627309 \h </w:instrText>
        </w:r>
        <w:r w:rsidR="000656F7">
          <w:rPr>
            <w:noProof/>
          </w:rPr>
        </w:r>
        <w:r w:rsidR="000656F7">
          <w:rPr>
            <w:noProof/>
          </w:rPr>
          <w:fldChar w:fldCharType="separate"/>
        </w:r>
        <w:r w:rsidR="000656F7">
          <w:rPr>
            <w:noProof/>
          </w:rPr>
          <w:t>50</w:t>
        </w:r>
        <w:r w:rsidR="000656F7">
          <w:rPr>
            <w:noProof/>
          </w:rPr>
          <w:fldChar w:fldCharType="end"/>
        </w:r>
      </w:hyperlink>
    </w:p>
    <w:p w14:paraId="48D2F15F" w14:textId="0550F08D"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0" w:history="1">
        <w:r w:rsidR="000656F7" w:rsidRPr="00BE0F56">
          <w:rPr>
            <w:rStyle w:val="Lienhypertexte"/>
            <w:rFonts w:cs="Times New Roman"/>
            <w:b/>
            <w:iCs/>
            <w:noProof/>
            <w:lang w:eastAsia="en-US"/>
          </w:rPr>
          <w:t>2.2.5.5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Efficacy data</w:t>
        </w:r>
        <w:r w:rsidR="000656F7">
          <w:rPr>
            <w:noProof/>
          </w:rPr>
          <w:tab/>
        </w:r>
        <w:r w:rsidR="000656F7">
          <w:rPr>
            <w:noProof/>
          </w:rPr>
          <w:fldChar w:fldCharType="begin"/>
        </w:r>
        <w:r w:rsidR="000656F7">
          <w:rPr>
            <w:noProof/>
          </w:rPr>
          <w:instrText xml:space="preserve"> PAGEREF _Toc536627310 \h </w:instrText>
        </w:r>
        <w:r w:rsidR="000656F7">
          <w:rPr>
            <w:noProof/>
          </w:rPr>
        </w:r>
        <w:r w:rsidR="000656F7">
          <w:rPr>
            <w:noProof/>
          </w:rPr>
          <w:fldChar w:fldCharType="separate"/>
        </w:r>
        <w:r w:rsidR="000656F7">
          <w:rPr>
            <w:noProof/>
          </w:rPr>
          <w:t>50</w:t>
        </w:r>
        <w:r w:rsidR="000656F7">
          <w:rPr>
            <w:noProof/>
          </w:rPr>
          <w:fldChar w:fldCharType="end"/>
        </w:r>
      </w:hyperlink>
    </w:p>
    <w:p w14:paraId="5F8299FC" w14:textId="334CB43D"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1" w:history="1">
        <w:r w:rsidR="000656F7" w:rsidRPr="00BE0F56">
          <w:rPr>
            <w:rStyle w:val="Lienhypertexte"/>
            <w:rFonts w:cs="Times New Roman"/>
            <w:b/>
            <w:iCs/>
            <w:noProof/>
            <w:lang w:val="en-US" w:eastAsia="en-US"/>
          </w:rPr>
          <w:t>2.2.5.6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Occurrence of resistance and resistance management</w:t>
        </w:r>
        <w:r w:rsidR="000656F7">
          <w:rPr>
            <w:noProof/>
          </w:rPr>
          <w:tab/>
        </w:r>
        <w:r w:rsidR="000656F7">
          <w:rPr>
            <w:noProof/>
          </w:rPr>
          <w:fldChar w:fldCharType="begin"/>
        </w:r>
        <w:r w:rsidR="000656F7">
          <w:rPr>
            <w:noProof/>
          </w:rPr>
          <w:instrText xml:space="preserve"> PAGEREF _Toc536627311 \h </w:instrText>
        </w:r>
        <w:r w:rsidR="000656F7">
          <w:rPr>
            <w:noProof/>
          </w:rPr>
        </w:r>
        <w:r w:rsidR="000656F7">
          <w:rPr>
            <w:noProof/>
          </w:rPr>
          <w:fldChar w:fldCharType="separate"/>
        </w:r>
        <w:r w:rsidR="000656F7">
          <w:rPr>
            <w:noProof/>
          </w:rPr>
          <w:t>59</w:t>
        </w:r>
        <w:r w:rsidR="000656F7">
          <w:rPr>
            <w:noProof/>
          </w:rPr>
          <w:fldChar w:fldCharType="end"/>
        </w:r>
      </w:hyperlink>
    </w:p>
    <w:p w14:paraId="305A3589" w14:textId="2790C61C"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2" w:history="1">
        <w:r w:rsidR="000656F7" w:rsidRPr="00BE0F56">
          <w:rPr>
            <w:rStyle w:val="Lienhypertexte"/>
            <w:rFonts w:cs="Times New Roman"/>
            <w:b/>
            <w:iCs/>
            <w:noProof/>
            <w:lang w:eastAsia="en-US"/>
          </w:rPr>
          <w:t>2.2.5.7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Evaluation of the label claims</w:t>
        </w:r>
        <w:r w:rsidR="000656F7">
          <w:rPr>
            <w:noProof/>
          </w:rPr>
          <w:tab/>
        </w:r>
        <w:r w:rsidR="000656F7">
          <w:rPr>
            <w:noProof/>
          </w:rPr>
          <w:fldChar w:fldCharType="begin"/>
        </w:r>
        <w:r w:rsidR="000656F7">
          <w:rPr>
            <w:noProof/>
          </w:rPr>
          <w:instrText xml:space="preserve"> PAGEREF _Toc536627312 \h </w:instrText>
        </w:r>
        <w:r w:rsidR="000656F7">
          <w:rPr>
            <w:noProof/>
          </w:rPr>
        </w:r>
        <w:r w:rsidR="000656F7">
          <w:rPr>
            <w:noProof/>
          </w:rPr>
          <w:fldChar w:fldCharType="separate"/>
        </w:r>
        <w:r w:rsidR="000656F7">
          <w:rPr>
            <w:noProof/>
          </w:rPr>
          <w:t>60</w:t>
        </w:r>
        <w:r w:rsidR="000656F7">
          <w:rPr>
            <w:noProof/>
          </w:rPr>
          <w:fldChar w:fldCharType="end"/>
        </w:r>
      </w:hyperlink>
    </w:p>
    <w:p w14:paraId="0FC48C35" w14:textId="1FD1BC46" w:rsidR="000656F7" w:rsidRDefault="00112DD6">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13" w:history="1">
        <w:r w:rsidR="000656F7" w:rsidRPr="00BE0F56">
          <w:rPr>
            <w:rStyle w:val="Lienhypertexte"/>
            <w:rFonts w:ascii="Times New Roman" w:eastAsia="Calibri" w:hAnsi="Times New Roman" w:cs="Times New Roman"/>
            <w:noProof/>
            <w:lang w:eastAsia="en-US"/>
          </w:rPr>
          <w:t>2.2.6</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Risk assessment for human health</w:t>
        </w:r>
        <w:r w:rsidR="000656F7">
          <w:rPr>
            <w:noProof/>
          </w:rPr>
          <w:tab/>
        </w:r>
        <w:r w:rsidR="000656F7">
          <w:rPr>
            <w:noProof/>
          </w:rPr>
          <w:fldChar w:fldCharType="begin"/>
        </w:r>
        <w:r w:rsidR="000656F7">
          <w:rPr>
            <w:noProof/>
          </w:rPr>
          <w:instrText xml:space="preserve"> PAGEREF _Toc536627313 \h </w:instrText>
        </w:r>
        <w:r w:rsidR="000656F7">
          <w:rPr>
            <w:noProof/>
          </w:rPr>
        </w:r>
        <w:r w:rsidR="000656F7">
          <w:rPr>
            <w:noProof/>
          </w:rPr>
          <w:fldChar w:fldCharType="separate"/>
        </w:r>
        <w:r w:rsidR="000656F7">
          <w:rPr>
            <w:noProof/>
          </w:rPr>
          <w:t>61</w:t>
        </w:r>
        <w:r w:rsidR="000656F7">
          <w:rPr>
            <w:noProof/>
          </w:rPr>
          <w:fldChar w:fldCharType="end"/>
        </w:r>
      </w:hyperlink>
    </w:p>
    <w:p w14:paraId="02439304" w14:textId="2F9564D3"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4" w:history="1">
        <w:r w:rsidR="000656F7" w:rsidRPr="00BE0F56">
          <w:rPr>
            <w:rStyle w:val="Lienhypertexte"/>
            <w:b/>
            <w:noProof/>
          </w:rPr>
          <w:t>2.2.6.1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Hazard potential</w:t>
        </w:r>
        <w:r w:rsidR="000656F7">
          <w:rPr>
            <w:noProof/>
          </w:rPr>
          <w:tab/>
        </w:r>
        <w:r w:rsidR="000656F7">
          <w:rPr>
            <w:noProof/>
          </w:rPr>
          <w:fldChar w:fldCharType="begin"/>
        </w:r>
        <w:r w:rsidR="000656F7">
          <w:rPr>
            <w:noProof/>
          </w:rPr>
          <w:instrText xml:space="preserve"> PAGEREF _Toc536627314 \h </w:instrText>
        </w:r>
        <w:r w:rsidR="000656F7">
          <w:rPr>
            <w:noProof/>
          </w:rPr>
        </w:r>
        <w:r w:rsidR="000656F7">
          <w:rPr>
            <w:noProof/>
          </w:rPr>
          <w:fldChar w:fldCharType="separate"/>
        </w:r>
        <w:r w:rsidR="000656F7">
          <w:rPr>
            <w:noProof/>
          </w:rPr>
          <w:t>61</w:t>
        </w:r>
        <w:r w:rsidR="000656F7">
          <w:rPr>
            <w:noProof/>
          </w:rPr>
          <w:fldChar w:fldCharType="end"/>
        </w:r>
      </w:hyperlink>
    </w:p>
    <w:p w14:paraId="756BB80C" w14:textId="7923AD09"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5" w:history="1">
        <w:r w:rsidR="000656F7" w:rsidRPr="00BE0F56">
          <w:rPr>
            <w:rStyle w:val="Lienhypertexte"/>
            <w:b/>
            <w:noProof/>
          </w:rPr>
          <w:t>2.2.6.2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Human exposure assessment</w:t>
        </w:r>
        <w:r w:rsidR="000656F7">
          <w:rPr>
            <w:noProof/>
          </w:rPr>
          <w:tab/>
        </w:r>
        <w:r w:rsidR="000656F7">
          <w:rPr>
            <w:noProof/>
          </w:rPr>
          <w:fldChar w:fldCharType="begin"/>
        </w:r>
        <w:r w:rsidR="000656F7">
          <w:rPr>
            <w:noProof/>
          </w:rPr>
          <w:instrText xml:space="preserve"> PAGEREF _Toc536627315 \h </w:instrText>
        </w:r>
        <w:r w:rsidR="000656F7">
          <w:rPr>
            <w:noProof/>
          </w:rPr>
        </w:r>
        <w:r w:rsidR="000656F7">
          <w:rPr>
            <w:noProof/>
          </w:rPr>
          <w:fldChar w:fldCharType="separate"/>
        </w:r>
        <w:r w:rsidR="000656F7">
          <w:rPr>
            <w:noProof/>
          </w:rPr>
          <w:t>64</w:t>
        </w:r>
        <w:r w:rsidR="000656F7">
          <w:rPr>
            <w:noProof/>
          </w:rPr>
          <w:fldChar w:fldCharType="end"/>
        </w:r>
      </w:hyperlink>
    </w:p>
    <w:p w14:paraId="40809C06" w14:textId="52CE765F"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6" w:history="1">
        <w:r w:rsidR="000656F7" w:rsidRPr="00BE0F56">
          <w:rPr>
            <w:rStyle w:val="Lienhypertexte"/>
            <w:b/>
            <w:noProof/>
          </w:rPr>
          <w:t>2.2.6.3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Risk assessment for human health</w:t>
        </w:r>
        <w:r w:rsidR="000656F7">
          <w:rPr>
            <w:noProof/>
          </w:rPr>
          <w:tab/>
        </w:r>
        <w:r w:rsidR="000656F7">
          <w:rPr>
            <w:noProof/>
          </w:rPr>
          <w:fldChar w:fldCharType="begin"/>
        </w:r>
        <w:r w:rsidR="000656F7">
          <w:rPr>
            <w:noProof/>
          </w:rPr>
          <w:instrText xml:space="preserve"> PAGEREF _Toc536627316 \h </w:instrText>
        </w:r>
        <w:r w:rsidR="000656F7">
          <w:rPr>
            <w:noProof/>
          </w:rPr>
        </w:r>
        <w:r w:rsidR="000656F7">
          <w:rPr>
            <w:noProof/>
          </w:rPr>
          <w:fldChar w:fldCharType="separate"/>
        </w:r>
        <w:r w:rsidR="000656F7">
          <w:rPr>
            <w:noProof/>
          </w:rPr>
          <w:t>77</w:t>
        </w:r>
        <w:r w:rsidR="000656F7">
          <w:rPr>
            <w:noProof/>
          </w:rPr>
          <w:fldChar w:fldCharType="end"/>
        </w:r>
      </w:hyperlink>
    </w:p>
    <w:p w14:paraId="20EE5FBC" w14:textId="1C24D6DA" w:rsidR="000656F7" w:rsidRDefault="00112DD6">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17" w:history="1">
        <w:r w:rsidR="000656F7" w:rsidRPr="00BE0F56">
          <w:rPr>
            <w:rStyle w:val="Lienhypertexte"/>
            <w:rFonts w:ascii="Times New Roman" w:eastAsia="Calibri" w:hAnsi="Times New Roman" w:cs="Times New Roman"/>
            <w:noProof/>
            <w:lang w:eastAsia="en-US"/>
          </w:rPr>
          <w:t>2.2.7</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Risk assessment for the environment</w:t>
        </w:r>
        <w:r w:rsidR="000656F7">
          <w:rPr>
            <w:noProof/>
          </w:rPr>
          <w:tab/>
        </w:r>
        <w:r w:rsidR="000656F7">
          <w:rPr>
            <w:noProof/>
          </w:rPr>
          <w:fldChar w:fldCharType="begin"/>
        </w:r>
        <w:r w:rsidR="000656F7">
          <w:rPr>
            <w:noProof/>
          </w:rPr>
          <w:instrText xml:space="preserve"> PAGEREF _Toc536627317 \h </w:instrText>
        </w:r>
        <w:r w:rsidR="000656F7">
          <w:rPr>
            <w:noProof/>
          </w:rPr>
        </w:r>
        <w:r w:rsidR="000656F7">
          <w:rPr>
            <w:noProof/>
          </w:rPr>
          <w:fldChar w:fldCharType="separate"/>
        </w:r>
        <w:r w:rsidR="000656F7">
          <w:rPr>
            <w:noProof/>
          </w:rPr>
          <w:t>97</w:t>
        </w:r>
        <w:r w:rsidR="000656F7">
          <w:rPr>
            <w:noProof/>
          </w:rPr>
          <w:fldChar w:fldCharType="end"/>
        </w:r>
      </w:hyperlink>
    </w:p>
    <w:p w14:paraId="73DB62B2" w14:textId="37A1FB92"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8" w:history="1">
        <w:r w:rsidR="000656F7" w:rsidRPr="00BE0F56">
          <w:rPr>
            <w:rStyle w:val="Lienhypertexte"/>
            <w:b/>
            <w:noProof/>
            <w:lang w:val="en-US"/>
          </w:rPr>
          <w:t>2.2.7.1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Fate and distribution in the environment of the active substance</w:t>
        </w:r>
        <w:r w:rsidR="000656F7">
          <w:rPr>
            <w:noProof/>
          </w:rPr>
          <w:tab/>
        </w:r>
        <w:r w:rsidR="000656F7">
          <w:rPr>
            <w:noProof/>
          </w:rPr>
          <w:fldChar w:fldCharType="begin"/>
        </w:r>
        <w:r w:rsidR="000656F7">
          <w:rPr>
            <w:noProof/>
          </w:rPr>
          <w:instrText xml:space="preserve"> PAGEREF _Toc536627318 \h </w:instrText>
        </w:r>
        <w:r w:rsidR="000656F7">
          <w:rPr>
            <w:noProof/>
          </w:rPr>
        </w:r>
        <w:r w:rsidR="000656F7">
          <w:rPr>
            <w:noProof/>
          </w:rPr>
          <w:fldChar w:fldCharType="separate"/>
        </w:r>
        <w:r w:rsidR="000656F7">
          <w:rPr>
            <w:noProof/>
          </w:rPr>
          <w:t>97</w:t>
        </w:r>
        <w:r w:rsidR="000656F7">
          <w:rPr>
            <w:noProof/>
          </w:rPr>
          <w:fldChar w:fldCharType="end"/>
        </w:r>
      </w:hyperlink>
    </w:p>
    <w:p w14:paraId="426637BB" w14:textId="550B646E"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9" w:history="1">
        <w:r w:rsidR="000656F7" w:rsidRPr="00BE0F56">
          <w:rPr>
            <w:rStyle w:val="Lienhypertexte"/>
            <w:b/>
            <w:noProof/>
          </w:rPr>
          <w:t>2.2.7.2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Effects on environmental organisms for active substance</w:t>
        </w:r>
        <w:r w:rsidR="000656F7">
          <w:rPr>
            <w:noProof/>
          </w:rPr>
          <w:tab/>
        </w:r>
        <w:r w:rsidR="000656F7">
          <w:rPr>
            <w:noProof/>
          </w:rPr>
          <w:fldChar w:fldCharType="begin"/>
        </w:r>
        <w:r w:rsidR="000656F7">
          <w:rPr>
            <w:noProof/>
          </w:rPr>
          <w:instrText xml:space="preserve"> PAGEREF _Toc536627319 \h </w:instrText>
        </w:r>
        <w:r w:rsidR="000656F7">
          <w:rPr>
            <w:noProof/>
          </w:rPr>
        </w:r>
        <w:r w:rsidR="000656F7">
          <w:rPr>
            <w:noProof/>
          </w:rPr>
          <w:fldChar w:fldCharType="separate"/>
        </w:r>
        <w:r w:rsidR="000656F7">
          <w:rPr>
            <w:noProof/>
          </w:rPr>
          <w:t>104</w:t>
        </w:r>
        <w:r w:rsidR="000656F7">
          <w:rPr>
            <w:noProof/>
          </w:rPr>
          <w:fldChar w:fldCharType="end"/>
        </w:r>
      </w:hyperlink>
    </w:p>
    <w:p w14:paraId="6674DE84" w14:textId="64D776C4"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0" w:history="1">
        <w:r w:rsidR="000656F7" w:rsidRPr="00BE0F56">
          <w:rPr>
            <w:rStyle w:val="Lienhypertexte"/>
            <w:b/>
            <w:noProof/>
            <w:lang w:val="en-US"/>
          </w:rPr>
          <w:t>2.2.7.3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Effects on environmental organisms for biocidal product</w:t>
        </w:r>
        <w:r w:rsidR="000656F7">
          <w:rPr>
            <w:noProof/>
          </w:rPr>
          <w:tab/>
        </w:r>
        <w:r w:rsidR="000656F7">
          <w:rPr>
            <w:noProof/>
          </w:rPr>
          <w:fldChar w:fldCharType="begin"/>
        </w:r>
        <w:r w:rsidR="000656F7">
          <w:rPr>
            <w:noProof/>
          </w:rPr>
          <w:instrText xml:space="preserve"> PAGEREF _Toc536627320 \h </w:instrText>
        </w:r>
        <w:r w:rsidR="000656F7">
          <w:rPr>
            <w:noProof/>
          </w:rPr>
        </w:r>
        <w:r w:rsidR="000656F7">
          <w:rPr>
            <w:noProof/>
          </w:rPr>
          <w:fldChar w:fldCharType="separate"/>
        </w:r>
        <w:r w:rsidR="000656F7">
          <w:rPr>
            <w:noProof/>
          </w:rPr>
          <w:t>109</w:t>
        </w:r>
        <w:r w:rsidR="000656F7">
          <w:rPr>
            <w:noProof/>
          </w:rPr>
          <w:fldChar w:fldCharType="end"/>
        </w:r>
      </w:hyperlink>
    </w:p>
    <w:p w14:paraId="2C896923" w14:textId="13DF649B"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1" w:history="1">
        <w:r w:rsidR="000656F7" w:rsidRPr="00BE0F56">
          <w:rPr>
            <w:rStyle w:val="Lienhypertexte"/>
            <w:b/>
            <w:noProof/>
          </w:rPr>
          <w:t>2.2.7.4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Environmental exposure assessment</w:t>
        </w:r>
        <w:r w:rsidR="000656F7">
          <w:rPr>
            <w:noProof/>
          </w:rPr>
          <w:tab/>
        </w:r>
        <w:r w:rsidR="000656F7">
          <w:rPr>
            <w:noProof/>
          </w:rPr>
          <w:fldChar w:fldCharType="begin"/>
        </w:r>
        <w:r w:rsidR="000656F7">
          <w:rPr>
            <w:noProof/>
          </w:rPr>
          <w:instrText xml:space="preserve"> PAGEREF _Toc536627321 \h </w:instrText>
        </w:r>
        <w:r w:rsidR="000656F7">
          <w:rPr>
            <w:noProof/>
          </w:rPr>
        </w:r>
        <w:r w:rsidR="000656F7">
          <w:rPr>
            <w:noProof/>
          </w:rPr>
          <w:fldChar w:fldCharType="separate"/>
        </w:r>
        <w:r w:rsidR="000656F7">
          <w:rPr>
            <w:noProof/>
          </w:rPr>
          <w:t>109</w:t>
        </w:r>
        <w:r w:rsidR="000656F7">
          <w:rPr>
            <w:noProof/>
          </w:rPr>
          <w:fldChar w:fldCharType="end"/>
        </w:r>
      </w:hyperlink>
    </w:p>
    <w:p w14:paraId="2E932EDF" w14:textId="70CC61E5"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2" w:history="1">
        <w:r w:rsidR="000656F7" w:rsidRPr="00BE0F56">
          <w:rPr>
            <w:rStyle w:val="Lienhypertexte"/>
            <w:b/>
            <w:noProof/>
          </w:rPr>
          <w:t>2.2.7.5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Local PECs</w:t>
        </w:r>
        <w:r w:rsidR="000656F7">
          <w:rPr>
            <w:noProof/>
          </w:rPr>
          <w:tab/>
        </w:r>
        <w:r w:rsidR="000656F7">
          <w:rPr>
            <w:noProof/>
          </w:rPr>
          <w:fldChar w:fldCharType="begin"/>
        </w:r>
        <w:r w:rsidR="000656F7">
          <w:rPr>
            <w:noProof/>
          </w:rPr>
          <w:instrText xml:space="preserve"> PAGEREF _Toc536627322 \h </w:instrText>
        </w:r>
        <w:r w:rsidR="000656F7">
          <w:rPr>
            <w:noProof/>
          </w:rPr>
        </w:r>
        <w:r w:rsidR="000656F7">
          <w:rPr>
            <w:noProof/>
          </w:rPr>
          <w:fldChar w:fldCharType="separate"/>
        </w:r>
        <w:r w:rsidR="000656F7">
          <w:rPr>
            <w:noProof/>
          </w:rPr>
          <w:t>145</w:t>
        </w:r>
        <w:r w:rsidR="000656F7">
          <w:rPr>
            <w:noProof/>
          </w:rPr>
          <w:fldChar w:fldCharType="end"/>
        </w:r>
      </w:hyperlink>
    </w:p>
    <w:p w14:paraId="5F79DB9B" w14:textId="36F89545"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3" w:history="1">
        <w:r w:rsidR="000656F7" w:rsidRPr="00BE0F56">
          <w:rPr>
            <w:rStyle w:val="Lienhypertexte"/>
            <w:b/>
            <w:noProof/>
          </w:rPr>
          <w:t>2.2.7.6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Assessment for groundwater</w:t>
        </w:r>
        <w:r w:rsidR="000656F7">
          <w:rPr>
            <w:noProof/>
          </w:rPr>
          <w:tab/>
        </w:r>
        <w:r w:rsidR="000656F7">
          <w:rPr>
            <w:noProof/>
          </w:rPr>
          <w:fldChar w:fldCharType="begin"/>
        </w:r>
        <w:r w:rsidR="000656F7">
          <w:rPr>
            <w:noProof/>
          </w:rPr>
          <w:instrText xml:space="preserve"> PAGEREF _Toc536627323 \h </w:instrText>
        </w:r>
        <w:r w:rsidR="000656F7">
          <w:rPr>
            <w:noProof/>
          </w:rPr>
        </w:r>
        <w:r w:rsidR="000656F7">
          <w:rPr>
            <w:noProof/>
          </w:rPr>
          <w:fldChar w:fldCharType="separate"/>
        </w:r>
        <w:r w:rsidR="000656F7">
          <w:rPr>
            <w:noProof/>
          </w:rPr>
          <w:t>152</w:t>
        </w:r>
        <w:r w:rsidR="000656F7">
          <w:rPr>
            <w:noProof/>
          </w:rPr>
          <w:fldChar w:fldCharType="end"/>
        </w:r>
      </w:hyperlink>
    </w:p>
    <w:p w14:paraId="60EAA4CB" w14:textId="6DA258EE"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4" w:history="1">
        <w:r w:rsidR="000656F7" w:rsidRPr="00BE0F56">
          <w:rPr>
            <w:rStyle w:val="Lienhypertexte"/>
            <w:b/>
            <w:noProof/>
          </w:rPr>
          <w:t>2.2.7.7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Risk characterisation for the environment</w:t>
        </w:r>
        <w:r w:rsidR="000656F7">
          <w:rPr>
            <w:noProof/>
          </w:rPr>
          <w:tab/>
        </w:r>
        <w:r w:rsidR="000656F7">
          <w:rPr>
            <w:noProof/>
          </w:rPr>
          <w:fldChar w:fldCharType="begin"/>
        </w:r>
        <w:r w:rsidR="000656F7">
          <w:rPr>
            <w:noProof/>
          </w:rPr>
          <w:instrText xml:space="preserve"> PAGEREF _Toc536627324 \h </w:instrText>
        </w:r>
        <w:r w:rsidR="000656F7">
          <w:rPr>
            <w:noProof/>
          </w:rPr>
        </w:r>
        <w:r w:rsidR="000656F7">
          <w:rPr>
            <w:noProof/>
          </w:rPr>
          <w:fldChar w:fldCharType="separate"/>
        </w:r>
        <w:r w:rsidR="000656F7">
          <w:rPr>
            <w:noProof/>
          </w:rPr>
          <w:t>164</w:t>
        </w:r>
        <w:r w:rsidR="000656F7">
          <w:rPr>
            <w:noProof/>
          </w:rPr>
          <w:fldChar w:fldCharType="end"/>
        </w:r>
      </w:hyperlink>
    </w:p>
    <w:p w14:paraId="24C0F7A2" w14:textId="1B940E96"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5" w:history="1">
        <w:r w:rsidR="000656F7" w:rsidRPr="00BE0F56">
          <w:rPr>
            <w:rStyle w:val="Lienhypertexte"/>
            <w:b/>
            <w:noProof/>
          </w:rPr>
          <w:t>2.2.7.8</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Conclusion - Remarks</w:t>
        </w:r>
        <w:r w:rsidR="000656F7">
          <w:rPr>
            <w:noProof/>
          </w:rPr>
          <w:tab/>
        </w:r>
        <w:r w:rsidR="000656F7">
          <w:rPr>
            <w:noProof/>
          </w:rPr>
          <w:fldChar w:fldCharType="begin"/>
        </w:r>
        <w:r w:rsidR="000656F7">
          <w:rPr>
            <w:noProof/>
          </w:rPr>
          <w:instrText xml:space="preserve"> PAGEREF _Toc536627325 \h </w:instrText>
        </w:r>
        <w:r w:rsidR="000656F7">
          <w:rPr>
            <w:noProof/>
          </w:rPr>
        </w:r>
        <w:r w:rsidR="000656F7">
          <w:rPr>
            <w:noProof/>
          </w:rPr>
          <w:fldChar w:fldCharType="separate"/>
        </w:r>
        <w:r w:rsidR="000656F7">
          <w:rPr>
            <w:noProof/>
          </w:rPr>
          <w:t>182</w:t>
        </w:r>
        <w:r w:rsidR="000656F7">
          <w:rPr>
            <w:noProof/>
          </w:rPr>
          <w:fldChar w:fldCharType="end"/>
        </w:r>
      </w:hyperlink>
    </w:p>
    <w:p w14:paraId="19E8CD4F" w14:textId="26B8753E" w:rsidR="000656F7" w:rsidRDefault="00112DD6">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26" w:history="1">
        <w:r w:rsidR="000656F7" w:rsidRPr="00BE0F56">
          <w:rPr>
            <w:rStyle w:val="Lienhypertexte"/>
            <w:rFonts w:eastAsia="Calibri"/>
            <w:noProof/>
          </w:rPr>
          <w:t>2.2.8</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Comparative assessment</w:t>
        </w:r>
        <w:r w:rsidR="000656F7">
          <w:rPr>
            <w:noProof/>
          </w:rPr>
          <w:tab/>
        </w:r>
        <w:r w:rsidR="000656F7">
          <w:rPr>
            <w:noProof/>
          </w:rPr>
          <w:fldChar w:fldCharType="begin"/>
        </w:r>
        <w:r w:rsidR="000656F7">
          <w:rPr>
            <w:noProof/>
          </w:rPr>
          <w:instrText xml:space="preserve"> PAGEREF _Toc536627326 \h </w:instrText>
        </w:r>
        <w:r w:rsidR="000656F7">
          <w:rPr>
            <w:noProof/>
          </w:rPr>
        </w:r>
        <w:r w:rsidR="000656F7">
          <w:rPr>
            <w:noProof/>
          </w:rPr>
          <w:fldChar w:fldCharType="separate"/>
        </w:r>
        <w:r w:rsidR="000656F7">
          <w:rPr>
            <w:noProof/>
          </w:rPr>
          <w:t>187</w:t>
        </w:r>
        <w:r w:rsidR="000656F7">
          <w:rPr>
            <w:noProof/>
          </w:rPr>
          <w:fldChar w:fldCharType="end"/>
        </w:r>
      </w:hyperlink>
    </w:p>
    <w:p w14:paraId="1318FFCE" w14:textId="3D2174D6" w:rsidR="000656F7" w:rsidRDefault="00112DD6">
      <w:pPr>
        <w:pStyle w:val="TM1"/>
        <w:tabs>
          <w:tab w:val="right" w:leader="dot" w:pos="9487"/>
        </w:tabs>
        <w:rPr>
          <w:rFonts w:asciiTheme="minorHAnsi" w:eastAsiaTheme="minorEastAsia" w:hAnsiTheme="minorHAnsi" w:cstheme="minorBidi"/>
          <w:b w:val="0"/>
          <w:bCs w:val="0"/>
          <w:caps w:val="0"/>
          <w:noProof/>
          <w:sz w:val="22"/>
          <w:szCs w:val="22"/>
          <w:lang w:val="fr-FR" w:eastAsia="fr-FR"/>
        </w:rPr>
      </w:pPr>
      <w:hyperlink w:anchor="_Toc536627327" w:history="1">
        <w:r w:rsidR="000656F7" w:rsidRPr="00BE0F56">
          <w:rPr>
            <w:rStyle w:val="Lienhypertexte"/>
            <w:noProof/>
          </w:rPr>
          <w:t>2.2.8.1 Application administrative details</w:t>
        </w:r>
        <w:r w:rsidR="000656F7">
          <w:rPr>
            <w:noProof/>
          </w:rPr>
          <w:tab/>
        </w:r>
        <w:r w:rsidR="000656F7">
          <w:rPr>
            <w:noProof/>
          </w:rPr>
          <w:fldChar w:fldCharType="begin"/>
        </w:r>
        <w:r w:rsidR="000656F7">
          <w:rPr>
            <w:noProof/>
          </w:rPr>
          <w:instrText xml:space="preserve"> PAGEREF _Toc536627327 \h </w:instrText>
        </w:r>
        <w:r w:rsidR="000656F7">
          <w:rPr>
            <w:noProof/>
          </w:rPr>
        </w:r>
        <w:r w:rsidR="000656F7">
          <w:rPr>
            <w:noProof/>
          </w:rPr>
          <w:fldChar w:fldCharType="separate"/>
        </w:r>
        <w:r w:rsidR="000656F7">
          <w:rPr>
            <w:noProof/>
          </w:rPr>
          <w:t>187</w:t>
        </w:r>
        <w:r w:rsidR="000656F7">
          <w:rPr>
            <w:noProof/>
          </w:rPr>
          <w:fldChar w:fldCharType="end"/>
        </w:r>
      </w:hyperlink>
    </w:p>
    <w:p w14:paraId="411A4CD7" w14:textId="2E93B90A"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8" w:history="1">
        <w:r w:rsidR="000656F7" w:rsidRPr="00BE0F56">
          <w:rPr>
            <w:rStyle w:val="Lienhypertexte"/>
            <w:b/>
            <w:noProof/>
            <w:lang w:val="sv-SE" w:eastAsia="sv-SE"/>
          </w:rPr>
          <w:t>2.2.8.2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Administrative information of the Biocidal Product</w:t>
        </w:r>
        <w:r w:rsidR="000656F7">
          <w:rPr>
            <w:noProof/>
          </w:rPr>
          <w:tab/>
        </w:r>
        <w:r w:rsidR="000656F7">
          <w:rPr>
            <w:noProof/>
          </w:rPr>
          <w:fldChar w:fldCharType="begin"/>
        </w:r>
        <w:r w:rsidR="000656F7">
          <w:rPr>
            <w:noProof/>
          </w:rPr>
          <w:instrText xml:space="preserve"> PAGEREF _Toc536627328 \h </w:instrText>
        </w:r>
        <w:r w:rsidR="000656F7">
          <w:rPr>
            <w:noProof/>
          </w:rPr>
        </w:r>
        <w:r w:rsidR="000656F7">
          <w:rPr>
            <w:noProof/>
          </w:rPr>
          <w:fldChar w:fldCharType="separate"/>
        </w:r>
        <w:r w:rsidR="000656F7">
          <w:rPr>
            <w:noProof/>
          </w:rPr>
          <w:t>187</w:t>
        </w:r>
        <w:r w:rsidR="000656F7">
          <w:rPr>
            <w:noProof/>
          </w:rPr>
          <w:fldChar w:fldCharType="end"/>
        </w:r>
      </w:hyperlink>
    </w:p>
    <w:p w14:paraId="2902A721" w14:textId="5FA6B723"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9" w:history="1">
        <w:r w:rsidR="000656F7" w:rsidRPr="00BE0F56">
          <w:rPr>
            <w:rStyle w:val="Lienhypertexte"/>
            <w:b/>
            <w:noProof/>
          </w:rPr>
          <w:t>2.2.8.3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Active substance as candidate for substitution in the biocidal product</w:t>
        </w:r>
        <w:r w:rsidR="000656F7">
          <w:rPr>
            <w:noProof/>
          </w:rPr>
          <w:tab/>
        </w:r>
        <w:r w:rsidR="000656F7">
          <w:rPr>
            <w:noProof/>
          </w:rPr>
          <w:fldChar w:fldCharType="begin"/>
        </w:r>
        <w:r w:rsidR="000656F7">
          <w:rPr>
            <w:noProof/>
          </w:rPr>
          <w:instrText xml:space="preserve"> PAGEREF _Toc536627329 \h </w:instrText>
        </w:r>
        <w:r w:rsidR="000656F7">
          <w:rPr>
            <w:noProof/>
          </w:rPr>
        </w:r>
        <w:r w:rsidR="000656F7">
          <w:rPr>
            <w:noProof/>
          </w:rPr>
          <w:fldChar w:fldCharType="separate"/>
        </w:r>
        <w:r w:rsidR="000656F7">
          <w:rPr>
            <w:noProof/>
          </w:rPr>
          <w:t>187</w:t>
        </w:r>
        <w:r w:rsidR="000656F7">
          <w:rPr>
            <w:noProof/>
          </w:rPr>
          <w:fldChar w:fldCharType="end"/>
        </w:r>
      </w:hyperlink>
    </w:p>
    <w:p w14:paraId="65D25A5A" w14:textId="23FFD0EE"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30" w:history="1">
        <w:r w:rsidR="000656F7" w:rsidRPr="00BE0F56">
          <w:rPr>
            <w:rStyle w:val="Lienhypertexte"/>
            <w:b/>
            <w:noProof/>
          </w:rPr>
          <w:t>2.2.8.4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Information of</w:t>
        </w:r>
        <w:r w:rsidR="000656F7" w:rsidRPr="00BE0F56">
          <w:rPr>
            <w:rStyle w:val="Lienhypertexte"/>
            <w:b/>
            <w:bCs/>
            <w:caps/>
            <w:noProof/>
          </w:rPr>
          <w:t xml:space="preserve"> </w:t>
        </w:r>
        <w:r w:rsidR="000656F7" w:rsidRPr="00BE0F56">
          <w:rPr>
            <w:rStyle w:val="Lienhypertexte"/>
            <w:noProof/>
          </w:rPr>
          <w:t>the active substance and the biocidal product in the application</w:t>
        </w:r>
        <w:r w:rsidR="000656F7">
          <w:rPr>
            <w:noProof/>
          </w:rPr>
          <w:tab/>
        </w:r>
        <w:r w:rsidR="000656F7">
          <w:rPr>
            <w:noProof/>
          </w:rPr>
          <w:fldChar w:fldCharType="begin"/>
        </w:r>
        <w:r w:rsidR="000656F7">
          <w:rPr>
            <w:noProof/>
          </w:rPr>
          <w:instrText xml:space="preserve"> PAGEREF _Toc536627330 \h </w:instrText>
        </w:r>
        <w:r w:rsidR="000656F7">
          <w:rPr>
            <w:noProof/>
          </w:rPr>
        </w:r>
        <w:r w:rsidR="000656F7">
          <w:rPr>
            <w:noProof/>
          </w:rPr>
          <w:fldChar w:fldCharType="separate"/>
        </w:r>
        <w:r w:rsidR="000656F7">
          <w:rPr>
            <w:noProof/>
          </w:rPr>
          <w:t>188</w:t>
        </w:r>
        <w:r w:rsidR="000656F7">
          <w:rPr>
            <w:noProof/>
          </w:rPr>
          <w:fldChar w:fldCharType="end"/>
        </w:r>
      </w:hyperlink>
    </w:p>
    <w:p w14:paraId="51E125D5" w14:textId="759138D5"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31" w:history="1">
        <w:r w:rsidR="000656F7" w:rsidRPr="00BE0F56">
          <w:rPr>
            <w:rStyle w:val="Lienhypertexte"/>
            <w:b/>
            <w:noProof/>
          </w:rPr>
          <w:t>2.2.8.5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Mapping of existing alternatives to the relevant Biocidal Product</w:t>
        </w:r>
        <w:r w:rsidR="000656F7">
          <w:rPr>
            <w:noProof/>
          </w:rPr>
          <w:tab/>
        </w:r>
        <w:r w:rsidR="000656F7">
          <w:rPr>
            <w:noProof/>
          </w:rPr>
          <w:fldChar w:fldCharType="begin"/>
        </w:r>
        <w:r w:rsidR="000656F7">
          <w:rPr>
            <w:noProof/>
          </w:rPr>
          <w:instrText xml:space="preserve"> PAGEREF _Toc536627331 \h </w:instrText>
        </w:r>
        <w:r w:rsidR="000656F7">
          <w:rPr>
            <w:noProof/>
          </w:rPr>
        </w:r>
        <w:r w:rsidR="000656F7">
          <w:rPr>
            <w:noProof/>
          </w:rPr>
          <w:fldChar w:fldCharType="separate"/>
        </w:r>
        <w:r w:rsidR="000656F7">
          <w:rPr>
            <w:noProof/>
          </w:rPr>
          <w:t>189</w:t>
        </w:r>
        <w:r w:rsidR="000656F7">
          <w:rPr>
            <w:noProof/>
          </w:rPr>
          <w:fldChar w:fldCharType="end"/>
        </w:r>
      </w:hyperlink>
    </w:p>
    <w:p w14:paraId="45752EE0" w14:textId="5EBF4835" w:rsidR="000656F7" w:rsidRDefault="00112DD6">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32" w:history="1">
        <w:r w:rsidR="000656F7" w:rsidRPr="00BE0F56">
          <w:rPr>
            <w:rStyle w:val="Lienhypertexte"/>
            <w:b/>
            <w:noProof/>
          </w:rPr>
          <w:t>2.2.8.6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Screening phase</w:t>
        </w:r>
        <w:r w:rsidR="000656F7">
          <w:rPr>
            <w:noProof/>
          </w:rPr>
          <w:tab/>
        </w:r>
        <w:r w:rsidR="000656F7">
          <w:rPr>
            <w:noProof/>
          </w:rPr>
          <w:fldChar w:fldCharType="begin"/>
        </w:r>
        <w:r w:rsidR="000656F7">
          <w:rPr>
            <w:noProof/>
          </w:rPr>
          <w:instrText xml:space="preserve"> PAGEREF _Toc536627332 \h </w:instrText>
        </w:r>
        <w:r w:rsidR="000656F7">
          <w:rPr>
            <w:noProof/>
          </w:rPr>
        </w:r>
        <w:r w:rsidR="000656F7">
          <w:rPr>
            <w:noProof/>
          </w:rPr>
          <w:fldChar w:fldCharType="separate"/>
        </w:r>
        <w:r w:rsidR="000656F7">
          <w:rPr>
            <w:noProof/>
          </w:rPr>
          <w:t>189</w:t>
        </w:r>
        <w:r w:rsidR="000656F7">
          <w:rPr>
            <w:noProof/>
          </w:rPr>
          <w:fldChar w:fldCharType="end"/>
        </w:r>
      </w:hyperlink>
    </w:p>
    <w:p w14:paraId="3B9420B1" w14:textId="27939A68" w:rsidR="000656F7" w:rsidRDefault="00112DD6">
      <w:pPr>
        <w:pStyle w:val="TM1"/>
        <w:tabs>
          <w:tab w:val="left" w:pos="400"/>
          <w:tab w:val="right" w:leader="dot" w:pos="9487"/>
        </w:tabs>
        <w:rPr>
          <w:rFonts w:asciiTheme="minorHAnsi" w:eastAsiaTheme="minorEastAsia" w:hAnsiTheme="minorHAnsi" w:cstheme="minorBidi"/>
          <w:b w:val="0"/>
          <w:bCs w:val="0"/>
          <w:caps w:val="0"/>
          <w:noProof/>
          <w:sz w:val="22"/>
          <w:szCs w:val="22"/>
          <w:lang w:val="fr-FR" w:eastAsia="fr-FR"/>
        </w:rPr>
      </w:pPr>
      <w:hyperlink w:anchor="_Toc536627333" w:history="1">
        <w:r w:rsidR="000656F7" w:rsidRPr="00BE0F56">
          <w:rPr>
            <w:rStyle w:val="Lienhypertexte"/>
            <w:rFonts w:eastAsia="Calibri" w:cs="Times New Roman"/>
            <w:i/>
            <w:noProof/>
            <w:kern w:val="1"/>
            <w:lang w:bidi="x-none"/>
          </w:rPr>
          <w:t>3</w:t>
        </w:r>
        <w:r w:rsidR="000656F7">
          <w:rPr>
            <w:rFonts w:asciiTheme="minorHAnsi" w:eastAsiaTheme="minorEastAsia" w:hAnsiTheme="minorHAnsi" w:cstheme="minorBidi"/>
            <w:b w:val="0"/>
            <w:bCs w:val="0"/>
            <w:caps w:val="0"/>
            <w:noProof/>
            <w:sz w:val="22"/>
            <w:szCs w:val="22"/>
            <w:lang w:val="fr-FR" w:eastAsia="fr-FR"/>
          </w:rPr>
          <w:tab/>
        </w:r>
        <w:r w:rsidR="000656F7" w:rsidRPr="00BE0F56">
          <w:rPr>
            <w:rStyle w:val="Lienhypertexte"/>
            <w:rFonts w:eastAsia="Calibri"/>
            <w:noProof/>
          </w:rPr>
          <w:t>Annexes</w:t>
        </w:r>
        <w:r w:rsidR="000656F7">
          <w:rPr>
            <w:noProof/>
          </w:rPr>
          <w:tab/>
        </w:r>
        <w:r w:rsidR="000656F7">
          <w:rPr>
            <w:noProof/>
          </w:rPr>
          <w:fldChar w:fldCharType="begin"/>
        </w:r>
        <w:r w:rsidR="000656F7">
          <w:rPr>
            <w:noProof/>
          </w:rPr>
          <w:instrText xml:space="preserve"> PAGEREF _Toc536627333 \h </w:instrText>
        </w:r>
        <w:r w:rsidR="000656F7">
          <w:rPr>
            <w:noProof/>
          </w:rPr>
        </w:r>
        <w:r w:rsidR="000656F7">
          <w:rPr>
            <w:noProof/>
          </w:rPr>
          <w:fldChar w:fldCharType="separate"/>
        </w:r>
        <w:r w:rsidR="000656F7">
          <w:rPr>
            <w:noProof/>
          </w:rPr>
          <w:t>193</w:t>
        </w:r>
        <w:r w:rsidR="000656F7">
          <w:rPr>
            <w:noProof/>
          </w:rPr>
          <w:fldChar w:fldCharType="end"/>
        </w:r>
      </w:hyperlink>
    </w:p>
    <w:p w14:paraId="3CB6ED8F" w14:textId="2AB2F1DD" w:rsidR="000656F7" w:rsidRDefault="00112DD6">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4" w:history="1">
        <w:r w:rsidR="000656F7" w:rsidRPr="00BE0F56">
          <w:rPr>
            <w:rStyle w:val="Lienhypertexte"/>
            <w:caps/>
            <w:noProof/>
            <w:lang w:val="de-DE" w:eastAsia="en-US"/>
          </w:rPr>
          <w:t>3.1</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List of studies for the biocidal product</w:t>
        </w:r>
        <w:r w:rsidR="000656F7">
          <w:rPr>
            <w:noProof/>
          </w:rPr>
          <w:tab/>
        </w:r>
        <w:r w:rsidR="000656F7">
          <w:rPr>
            <w:noProof/>
          </w:rPr>
          <w:fldChar w:fldCharType="begin"/>
        </w:r>
        <w:r w:rsidR="000656F7">
          <w:rPr>
            <w:noProof/>
          </w:rPr>
          <w:instrText xml:space="preserve"> PAGEREF _Toc536627334 \h </w:instrText>
        </w:r>
        <w:r w:rsidR="000656F7">
          <w:rPr>
            <w:noProof/>
          </w:rPr>
        </w:r>
        <w:r w:rsidR="000656F7">
          <w:rPr>
            <w:noProof/>
          </w:rPr>
          <w:fldChar w:fldCharType="separate"/>
        </w:r>
        <w:r w:rsidR="000656F7">
          <w:rPr>
            <w:noProof/>
          </w:rPr>
          <w:t>193</w:t>
        </w:r>
        <w:r w:rsidR="000656F7">
          <w:rPr>
            <w:noProof/>
          </w:rPr>
          <w:fldChar w:fldCharType="end"/>
        </w:r>
      </w:hyperlink>
    </w:p>
    <w:p w14:paraId="50C456D2" w14:textId="1FD50E6F" w:rsidR="000656F7" w:rsidRDefault="00112DD6">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5" w:history="1">
        <w:r w:rsidR="000656F7" w:rsidRPr="00BE0F56">
          <w:rPr>
            <w:rStyle w:val="Lienhypertexte"/>
            <w:caps/>
            <w:noProof/>
            <w:lang w:val="de-DE" w:eastAsia="en-US"/>
          </w:rPr>
          <w:t>3.2</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Output tables from exposure assessment tools</w:t>
        </w:r>
        <w:r w:rsidR="000656F7">
          <w:rPr>
            <w:noProof/>
          </w:rPr>
          <w:tab/>
        </w:r>
        <w:r w:rsidR="000656F7">
          <w:rPr>
            <w:noProof/>
          </w:rPr>
          <w:fldChar w:fldCharType="begin"/>
        </w:r>
        <w:r w:rsidR="000656F7">
          <w:rPr>
            <w:noProof/>
          </w:rPr>
          <w:instrText xml:space="preserve"> PAGEREF _Toc536627335 \h </w:instrText>
        </w:r>
        <w:r w:rsidR="000656F7">
          <w:rPr>
            <w:noProof/>
          </w:rPr>
        </w:r>
        <w:r w:rsidR="000656F7">
          <w:rPr>
            <w:noProof/>
          </w:rPr>
          <w:fldChar w:fldCharType="separate"/>
        </w:r>
        <w:r w:rsidR="000656F7">
          <w:rPr>
            <w:noProof/>
          </w:rPr>
          <w:t>202</w:t>
        </w:r>
        <w:r w:rsidR="000656F7">
          <w:rPr>
            <w:noProof/>
          </w:rPr>
          <w:fldChar w:fldCharType="end"/>
        </w:r>
      </w:hyperlink>
    </w:p>
    <w:p w14:paraId="1743A842" w14:textId="1FEF2EC3" w:rsidR="000656F7" w:rsidRDefault="00112DD6">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6" w:history="1">
        <w:r w:rsidR="000656F7" w:rsidRPr="00BE0F56">
          <w:rPr>
            <w:rStyle w:val="Lienhypertexte"/>
            <w:caps/>
            <w:noProof/>
            <w:lang w:val="de-DE" w:eastAsia="en-US"/>
          </w:rPr>
          <w:t>3.3</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New information on the active substance</w:t>
        </w:r>
        <w:r w:rsidR="000656F7">
          <w:rPr>
            <w:noProof/>
          </w:rPr>
          <w:tab/>
        </w:r>
        <w:r w:rsidR="000656F7">
          <w:rPr>
            <w:noProof/>
          </w:rPr>
          <w:fldChar w:fldCharType="begin"/>
        </w:r>
        <w:r w:rsidR="000656F7">
          <w:rPr>
            <w:noProof/>
          </w:rPr>
          <w:instrText xml:space="preserve"> PAGEREF _Toc536627336 \h </w:instrText>
        </w:r>
        <w:r w:rsidR="000656F7">
          <w:rPr>
            <w:noProof/>
          </w:rPr>
        </w:r>
        <w:r w:rsidR="000656F7">
          <w:rPr>
            <w:noProof/>
          </w:rPr>
          <w:fldChar w:fldCharType="separate"/>
        </w:r>
        <w:r w:rsidR="000656F7">
          <w:rPr>
            <w:noProof/>
          </w:rPr>
          <w:t>202</w:t>
        </w:r>
        <w:r w:rsidR="000656F7">
          <w:rPr>
            <w:noProof/>
          </w:rPr>
          <w:fldChar w:fldCharType="end"/>
        </w:r>
      </w:hyperlink>
    </w:p>
    <w:p w14:paraId="199AAA05" w14:textId="2BD325C4" w:rsidR="000656F7" w:rsidRDefault="00112DD6">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7" w:history="1">
        <w:r w:rsidR="000656F7" w:rsidRPr="00BE0F56">
          <w:rPr>
            <w:rStyle w:val="Lienhypertexte"/>
            <w:caps/>
            <w:noProof/>
            <w:lang w:val="de-DE" w:eastAsia="en-US"/>
          </w:rPr>
          <w:t>3.4</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lang w:val="de-DE"/>
          </w:rPr>
          <w:t>Residue behaviour</w:t>
        </w:r>
        <w:r w:rsidR="000656F7">
          <w:rPr>
            <w:noProof/>
          </w:rPr>
          <w:tab/>
        </w:r>
        <w:r w:rsidR="000656F7">
          <w:rPr>
            <w:noProof/>
          </w:rPr>
          <w:fldChar w:fldCharType="begin"/>
        </w:r>
        <w:r w:rsidR="000656F7">
          <w:rPr>
            <w:noProof/>
          </w:rPr>
          <w:instrText xml:space="preserve"> PAGEREF _Toc536627337 \h </w:instrText>
        </w:r>
        <w:r w:rsidR="000656F7">
          <w:rPr>
            <w:noProof/>
          </w:rPr>
        </w:r>
        <w:r w:rsidR="000656F7">
          <w:rPr>
            <w:noProof/>
          </w:rPr>
          <w:fldChar w:fldCharType="separate"/>
        </w:r>
        <w:r w:rsidR="000656F7">
          <w:rPr>
            <w:noProof/>
          </w:rPr>
          <w:t>203</w:t>
        </w:r>
        <w:r w:rsidR="000656F7">
          <w:rPr>
            <w:noProof/>
          </w:rPr>
          <w:fldChar w:fldCharType="end"/>
        </w:r>
      </w:hyperlink>
    </w:p>
    <w:p w14:paraId="5D794493" w14:textId="202159D6" w:rsidR="000656F7" w:rsidRDefault="00112DD6">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8" w:history="1">
        <w:r w:rsidR="000656F7" w:rsidRPr="00BE0F56">
          <w:rPr>
            <w:rStyle w:val="Lienhypertexte"/>
            <w:caps/>
            <w:noProof/>
            <w:lang w:val="de-DE" w:eastAsia="en-US"/>
          </w:rPr>
          <w:t>3.5</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Summaries of the efficacy studies (B.5.10.1-xx)</w:t>
        </w:r>
        <w:r w:rsidR="000656F7">
          <w:rPr>
            <w:noProof/>
          </w:rPr>
          <w:tab/>
        </w:r>
        <w:r w:rsidR="000656F7">
          <w:rPr>
            <w:noProof/>
          </w:rPr>
          <w:fldChar w:fldCharType="begin"/>
        </w:r>
        <w:r w:rsidR="000656F7">
          <w:rPr>
            <w:noProof/>
          </w:rPr>
          <w:instrText xml:space="preserve"> PAGEREF _Toc536627338 \h </w:instrText>
        </w:r>
        <w:r w:rsidR="000656F7">
          <w:rPr>
            <w:noProof/>
          </w:rPr>
        </w:r>
        <w:r w:rsidR="000656F7">
          <w:rPr>
            <w:noProof/>
          </w:rPr>
          <w:fldChar w:fldCharType="separate"/>
        </w:r>
        <w:r w:rsidR="000656F7">
          <w:rPr>
            <w:noProof/>
          </w:rPr>
          <w:t>204</w:t>
        </w:r>
        <w:r w:rsidR="000656F7">
          <w:rPr>
            <w:noProof/>
          </w:rPr>
          <w:fldChar w:fldCharType="end"/>
        </w:r>
      </w:hyperlink>
    </w:p>
    <w:p w14:paraId="1048B58A" w14:textId="5CC1E5AB" w:rsidR="000656F7" w:rsidRDefault="00112DD6">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9" w:history="1">
        <w:r w:rsidR="000656F7" w:rsidRPr="00BE0F56">
          <w:rPr>
            <w:rStyle w:val="Lienhypertexte"/>
            <w:rFonts w:eastAsia="Verdana"/>
            <w:caps/>
            <w:noProof/>
            <w:lang w:val="de-DE" w:eastAsia="en-US"/>
          </w:rPr>
          <w:t>3.6</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lang w:val="de-DE"/>
          </w:rPr>
          <w:t>Confidential annex</w:t>
        </w:r>
        <w:r w:rsidR="000656F7">
          <w:rPr>
            <w:noProof/>
          </w:rPr>
          <w:tab/>
        </w:r>
        <w:r w:rsidR="000656F7">
          <w:rPr>
            <w:noProof/>
          </w:rPr>
          <w:fldChar w:fldCharType="begin"/>
        </w:r>
        <w:r w:rsidR="000656F7">
          <w:rPr>
            <w:noProof/>
          </w:rPr>
          <w:instrText xml:space="preserve"> PAGEREF _Toc536627339 \h </w:instrText>
        </w:r>
        <w:r w:rsidR="000656F7">
          <w:rPr>
            <w:noProof/>
          </w:rPr>
        </w:r>
        <w:r w:rsidR="000656F7">
          <w:rPr>
            <w:noProof/>
          </w:rPr>
          <w:fldChar w:fldCharType="separate"/>
        </w:r>
        <w:r w:rsidR="000656F7">
          <w:rPr>
            <w:noProof/>
          </w:rPr>
          <w:t>204</w:t>
        </w:r>
        <w:r w:rsidR="000656F7">
          <w:rPr>
            <w:noProof/>
          </w:rPr>
          <w:fldChar w:fldCharType="end"/>
        </w:r>
      </w:hyperlink>
    </w:p>
    <w:p w14:paraId="50692575" w14:textId="548D5F22" w:rsidR="000656F7" w:rsidRDefault="00112DD6">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40" w:history="1">
        <w:r w:rsidR="000656F7" w:rsidRPr="00BE0F56">
          <w:rPr>
            <w:rStyle w:val="Lienhypertexte"/>
            <w:noProof/>
            <w:lang w:val="de-DE"/>
          </w:rPr>
          <w:t>3.7</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lang w:val="de-DE"/>
          </w:rPr>
          <w:t>Other</w:t>
        </w:r>
        <w:r w:rsidR="000656F7">
          <w:rPr>
            <w:noProof/>
          </w:rPr>
          <w:tab/>
        </w:r>
        <w:r w:rsidR="000656F7">
          <w:rPr>
            <w:noProof/>
          </w:rPr>
          <w:fldChar w:fldCharType="begin"/>
        </w:r>
        <w:r w:rsidR="000656F7">
          <w:rPr>
            <w:noProof/>
          </w:rPr>
          <w:instrText xml:space="preserve"> PAGEREF _Toc536627340 \h </w:instrText>
        </w:r>
        <w:r w:rsidR="000656F7">
          <w:rPr>
            <w:noProof/>
          </w:rPr>
        </w:r>
        <w:r w:rsidR="000656F7">
          <w:rPr>
            <w:noProof/>
          </w:rPr>
          <w:fldChar w:fldCharType="separate"/>
        </w:r>
        <w:r w:rsidR="000656F7">
          <w:rPr>
            <w:noProof/>
          </w:rPr>
          <w:t>204</w:t>
        </w:r>
        <w:r w:rsidR="000656F7">
          <w:rPr>
            <w:noProof/>
          </w:rPr>
          <w:fldChar w:fldCharType="end"/>
        </w:r>
      </w:hyperlink>
    </w:p>
    <w:p w14:paraId="657EC2B4" w14:textId="77777777" w:rsidR="009D0C0B" w:rsidRDefault="00FA480B">
      <w:pPr>
        <w:spacing w:line="276" w:lineRule="auto"/>
        <w:rPr>
          <w:rFonts w:eastAsia="Calibri"/>
          <w:b/>
          <w:bCs/>
          <w:caps/>
          <w:lang w:val="fr-FR" w:eastAsia="en-US"/>
        </w:rPr>
      </w:pPr>
      <w:r>
        <w:fldChar w:fldCharType="end"/>
      </w:r>
    </w:p>
    <w:p w14:paraId="4B005CF7" w14:textId="77777777" w:rsidR="009D0C0B" w:rsidRDefault="00FA480B">
      <w:pPr>
        <w:pStyle w:val="Titre1"/>
        <w:pageBreakBefore/>
        <w:rPr>
          <w:rFonts w:eastAsia="Calibri"/>
          <w:i/>
          <w:lang w:eastAsia="en-US"/>
        </w:rPr>
      </w:pPr>
      <w:bookmarkStart w:id="1" w:name="_Toc536627239"/>
      <w:r>
        <w:rPr>
          <w:rFonts w:eastAsia="Calibri"/>
        </w:rPr>
        <w:lastRenderedPageBreak/>
        <w:t>CONCLUSION</w:t>
      </w:r>
      <w:bookmarkEnd w:id="1"/>
    </w:p>
    <w:p w14:paraId="67FB46F2" w14:textId="63A2B7CF" w:rsidR="00B039ED" w:rsidRDefault="00B039ED">
      <w:pPr>
        <w:spacing w:line="260" w:lineRule="atLeast"/>
        <w:rPr>
          <w:rFonts w:eastAsia="Calibri"/>
          <w:i/>
          <w:lang w:val="en-US" w:eastAsia="en-US"/>
        </w:rPr>
      </w:pPr>
      <w:r w:rsidRPr="00A46218">
        <w:rPr>
          <w:rFonts w:eastAsia="Calibri"/>
          <w:i/>
          <w:lang w:val="en-US" w:eastAsia="en-US"/>
        </w:rPr>
        <w:t xml:space="preserve">The biocidal product </w:t>
      </w:r>
      <w:r w:rsidR="00151DF9">
        <w:rPr>
          <w:rFonts w:eastAsia="Calibri"/>
          <w:i/>
          <w:lang w:val="en-US" w:eastAsia="en-US"/>
        </w:rPr>
        <w:t>X6122B1</w:t>
      </w:r>
      <w:r w:rsidRPr="00A46218">
        <w:rPr>
          <w:rFonts w:eastAsia="Calibri"/>
          <w:i/>
          <w:lang w:val="en-US" w:eastAsia="en-US"/>
        </w:rPr>
        <w:t xml:space="preserve"> is a</w:t>
      </w:r>
      <w:r>
        <w:rPr>
          <w:rFonts w:eastAsia="Calibri"/>
          <w:i/>
          <w:lang w:val="en-US" w:eastAsia="en-US"/>
        </w:rPr>
        <w:t xml:space="preserve"> PT8 intended to be used for preventive and curative wood treatment for use class 1, 2 and 3.1 containing 0.07</w:t>
      </w:r>
      <w:r w:rsidR="00013917">
        <w:rPr>
          <w:rFonts w:eastAsia="Calibri"/>
          <w:i/>
          <w:lang w:val="en-US" w:eastAsia="en-US"/>
        </w:rPr>
        <w:t>5</w:t>
      </w:r>
      <w:r>
        <w:rPr>
          <w:rFonts w:eastAsia="Calibri"/>
          <w:i/>
          <w:lang w:val="en-US" w:eastAsia="en-US"/>
        </w:rPr>
        <w:t>%</w:t>
      </w:r>
      <w:r w:rsidR="009567AA">
        <w:rPr>
          <w:rFonts w:eastAsia="Calibri"/>
          <w:i/>
          <w:lang w:val="en-US" w:eastAsia="en-US"/>
        </w:rPr>
        <w:t xml:space="preserve"> </w:t>
      </w:r>
      <w:r>
        <w:rPr>
          <w:rFonts w:eastAsia="Calibri"/>
          <w:i/>
          <w:lang w:val="en-US" w:eastAsia="en-US"/>
        </w:rPr>
        <w:t>cypermethrin, 0.15% propiconazole, 0.0</w:t>
      </w:r>
      <w:r w:rsidR="00013917">
        <w:rPr>
          <w:rFonts w:eastAsia="Calibri"/>
          <w:i/>
          <w:lang w:val="en-US" w:eastAsia="en-US"/>
        </w:rPr>
        <w:t>47</w:t>
      </w:r>
      <w:r>
        <w:rPr>
          <w:rFonts w:eastAsia="Calibri"/>
          <w:i/>
          <w:lang w:val="en-US" w:eastAsia="en-US"/>
        </w:rPr>
        <w:t>5% te</w:t>
      </w:r>
      <w:r w:rsidR="00363C14">
        <w:rPr>
          <w:rFonts w:eastAsia="Calibri"/>
          <w:i/>
          <w:lang w:val="en-US" w:eastAsia="en-US"/>
        </w:rPr>
        <w:t>b</w:t>
      </w:r>
      <w:r>
        <w:rPr>
          <w:rFonts w:eastAsia="Calibri"/>
          <w:i/>
          <w:lang w:val="en-US" w:eastAsia="en-US"/>
        </w:rPr>
        <w:t>uconazole and 0.0</w:t>
      </w:r>
      <w:r w:rsidR="00013917">
        <w:rPr>
          <w:rFonts w:eastAsia="Calibri"/>
          <w:i/>
          <w:lang w:val="en-US" w:eastAsia="en-US"/>
        </w:rPr>
        <w:t>49</w:t>
      </w:r>
      <w:r>
        <w:rPr>
          <w:rFonts w:eastAsia="Calibri"/>
          <w:i/>
          <w:lang w:val="en-US" w:eastAsia="en-US"/>
        </w:rPr>
        <w:t>% IPBC.</w:t>
      </w:r>
      <w:r w:rsidR="009567AA">
        <w:rPr>
          <w:rFonts w:eastAsia="Calibri"/>
          <w:i/>
          <w:lang w:val="en-US" w:eastAsia="en-US"/>
        </w:rPr>
        <w:t xml:space="preserve"> Con</w:t>
      </w:r>
      <w:r w:rsidR="00DF228A">
        <w:rPr>
          <w:rFonts w:eastAsia="Calibri"/>
          <w:i/>
          <w:lang w:val="en-US" w:eastAsia="en-US"/>
        </w:rPr>
        <w:t>t</w:t>
      </w:r>
      <w:r w:rsidR="009567AA">
        <w:rPr>
          <w:rFonts w:eastAsia="Calibri"/>
          <w:i/>
          <w:lang w:val="en-US" w:eastAsia="en-US"/>
        </w:rPr>
        <w:t>ents are the ones related to pure active ingredients</w:t>
      </w:r>
    </w:p>
    <w:p w14:paraId="2DDD9C3D" w14:textId="57846AB8" w:rsidR="00B039ED" w:rsidRDefault="00B039ED">
      <w:pPr>
        <w:spacing w:line="260" w:lineRule="atLeast"/>
        <w:rPr>
          <w:rFonts w:eastAsia="Calibri"/>
          <w:i/>
          <w:lang w:val="en-US" w:eastAsia="en-US"/>
        </w:rPr>
      </w:pPr>
      <w:r>
        <w:rPr>
          <w:rFonts w:eastAsia="Calibri"/>
          <w:i/>
          <w:lang w:val="en-US" w:eastAsia="en-US"/>
        </w:rPr>
        <w:t>The product is a ready</w:t>
      </w:r>
      <w:r w:rsidR="003403ED">
        <w:rPr>
          <w:rFonts w:eastAsia="Calibri"/>
          <w:i/>
          <w:lang w:val="en-US" w:eastAsia="en-US"/>
        </w:rPr>
        <w:t>-</w:t>
      </w:r>
      <w:r>
        <w:rPr>
          <w:rFonts w:eastAsia="Calibri"/>
          <w:i/>
          <w:lang w:val="en-US" w:eastAsia="en-US"/>
        </w:rPr>
        <w:t>to</w:t>
      </w:r>
      <w:r w:rsidR="003403ED">
        <w:rPr>
          <w:rFonts w:eastAsia="Calibri"/>
          <w:i/>
          <w:lang w:val="en-US" w:eastAsia="en-US"/>
        </w:rPr>
        <w:t>-</w:t>
      </w:r>
      <w:r>
        <w:rPr>
          <w:rFonts w:eastAsia="Calibri"/>
          <w:i/>
          <w:lang w:val="en-US" w:eastAsia="en-US"/>
        </w:rPr>
        <w:t xml:space="preserve">use product to be used by professional, </w:t>
      </w:r>
      <w:r w:rsidR="007712D1">
        <w:rPr>
          <w:rFonts w:eastAsia="Calibri"/>
          <w:i/>
          <w:lang w:val="en-US" w:eastAsia="en-US"/>
        </w:rPr>
        <w:t>non-professional</w:t>
      </w:r>
      <w:r>
        <w:rPr>
          <w:rFonts w:eastAsia="Calibri"/>
          <w:i/>
          <w:lang w:val="en-US" w:eastAsia="en-US"/>
        </w:rPr>
        <w:t xml:space="preserve"> and industrial users</w:t>
      </w:r>
      <w:r w:rsidR="00EC2BD5">
        <w:rPr>
          <w:rFonts w:eastAsia="Calibri"/>
          <w:i/>
          <w:lang w:val="en-US" w:eastAsia="en-US"/>
        </w:rPr>
        <w:t xml:space="preserve"> and</w:t>
      </w:r>
      <w:r>
        <w:rPr>
          <w:rFonts w:eastAsia="Calibri"/>
          <w:i/>
          <w:lang w:val="en-US" w:eastAsia="en-US"/>
        </w:rPr>
        <w:t xml:space="preserve"> applied by brushing, spraying, dipping or injection.</w:t>
      </w:r>
    </w:p>
    <w:p w14:paraId="29BFA056" w14:textId="77777777" w:rsidR="00B039ED" w:rsidRPr="00A46218" w:rsidRDefault="00B039ED">
      <w:pPr>
        <w:spacing w:line="260" w:lineRule="atLeast"/>
        <w:rPr>
          <w:rFonts w:eastAsia="Calibri"/>
          <w:i/>
          <w:lang w:val="en-US" w:eastAsia="en-US"/>
        </w:rPr>
      </w:pPr>
    </w:p>
    <w:p w14:paraId="3776C45B" w14:textId="77777777" w:rsidR="009D0C0B" w:rsidRPr="00A46218" w:rsidRDefault="009D0C0B">
      <w:pPr>
        <w:spacing w:line="260" w:lineRule="atLeast"/>
        <w:rPr>
          <w:rFonts w:eastAsia="Calibri"/>
          <w:i/>
          <w:lang w:val="en-US" w:eastAsia="en-US"/>
        </w:rPr>
      </w:pPr>
    </w:p>
    <w:p w14:paraId="6257AAFA" w14:textId="77777777" w:rsidR="005E05EC" w:rsidRPr="005E05EC" w:rsidRDefault="005E05EC" w:rsidP="003076DB">
      <w:pPr>
        <w:spacing w:after="240" w:line="276" w:lineRule="auto"/>
        <w:rPr>
          <w:b/>
          <w:bCs/>
          <w:u w:val="single"/>
          <w:lang w:eastAsia="en-US"/>
        </w:rPr>
      </w:pPr>
      <w:r w:rsidRPr="005E05EC">
        <w:rPr>
          <w:b/>
          <w:bCs/>
          <w:u w:val="single"/>
          <w:lang w:eastAsia="en-US"/>
        </w:rPr>
        <w:t>Conclusion on the p</w:t>
      </w:r>
      <w:r w:rsidRPr="005E05EC">
        <w:rPr>
          <w:b/>
          <w:u w:val="single"/>
          <w:lang w:eastAsia="de-DE"/>
        </w:rPr>
        <w:t>hysical, chemical and technical properties</w:t>
      </w:r>
      <w:r w:rsidRPr="005E05EC">
        <w:rPr>
          <w:b/>
          <w:bCs/>
          <w:u w:val="single"/>
          <w:lang w:eastAsia="en-US"/>
        </w:rPr>
        <w:t xml:space="preserve"> of the product</w:t>
      </w:r>
    </w:p>
    <w:p w14:paraId="58472371" w14:textId="72610C3D" w:rsidR="005E05EC" w:rsidRPr="005E05EC" w:rsidRDefault="005E05EC">
      <w:pPr>
        <w:spacing w:line="260" w:lineRule="atLeast"/>
        <w:rPr>
          <w:rFonts w:cs="Arial"/>
        </w:rPr>
      </w:pPr>
      <w:r w:rsidRPr="005E05EC">
        <w:rPr>
          <w:rFonts w:cs="Arial"/>
        </w:rPr>
        <w:t xml:space="preserve">X6122B1 is not considered to be potentially explosive or to contain an oxidising agent. The product is not intended to be used in combination with other products. The product is not </w:t>
      </w:r>
      <w:r w:rsidR="00853BF6">
        <w:rPr>
          <w:rFonts w:cs="Arial"/>
        </w:rPr>
        <w:t>expected</w:t>
      </w:r>
      <w:r w:rsidR="00853BF6" w:rsidRPr="005E05EC">
        <w:rPr>
          <w:rFonts w:cs="Arial"/>
        </w:rPr>
        <w:t xml:space="preserve"> </w:t>
      </w:r>
      <w:r w:rsidRPr="005E05EC">
        <w:rPr>
          <w:rFonts w:cs="Arial"/>
        </w:rPr>
        <w:t xml:space="preserve">to be flammable. Its technical properties indicate that no specific issues are to be expected when it is handled, stored or applied as recommended. </w:t>
      </w:r>
    </w:p>
    <w:p w14:paraId="3C279219" w14:textId="3F698159" w:rsidR="005E05EC" w:rsidRPr="005E05EC" w:rsidRDefault="005E05EC">
      <w:pPr>
        <w:spacing w:line="260" w:lineRule="atLeast"/>
        <w:rPr>
          <w:rFonts w:eastAsia="Calibri"/>
          <w:i/>
          <w:lang w:eastAsia="en-US"/>
        </w:rPr>
      </w:pPr>
      <w:r w:rsidRPr="005E05EC">
        <w:rPr>
          <w:rFonts w:cs="Arial"/>
        </w:rPr>
        <w:t xml:space="preserve">The product is classified H304 Cat 1. It is stable 24 months at ambient temperature in its commercial packaging. It </w:t>
      </w:r>
      <w:r w:rsidR="008F4AAF">
        <w:rPr>
          <w:rFonts w:cs="Arial"/>
        </w:rPr>
        <w:t xml:space="preserve">should </w:t>
      </w:r>
      <w:r w:rsidR="008F4AAF" w:rsidRPr="0021636F">
        <w:rPr>
          <w:rFonts w:cs="Arial"/>
        </w:rPr>
        <w:t>not be stored at a temperature higher than 20°C</w:t>
      </w:r>
      <w:r w:rsidR="00414058" w:rsidRPr="0021636F">
        <w:rPr>
          <w:rFonts w:cs="Arial"/>
        </w:rPr>
        <w:t xml:space="preserve"> and</w:t>
      </w:r>
      <w:r w:rsidR="008F4AAF" w:rsidRPr="0021636F">
        <w:rPr>
          <w:rFonts w:cs="Arial"/>
        </w:rPr>
        <w:t xml:space="preserve"> it should be</w:t>
      </w:r>
      <w:r w:rsidR="00414058" w:rsidRPr="0021636F">
        <w:rPr>
          <w:rFonts w:cs="Arial"/>
        </w:rPr>
        <w:t xml:space="preserve"> protected from light</w:t>
      </w:r>
      <w:r w:rsidR="00871E67">
        <w:rPr>
          <w:rFonts w:cs="Arial"/>
        </w:rPr>
        <w:t xml:space="preserve"> when the product is sold in HDPE packaging</w:t>
      </w:r>
      <w:r w:rsidR="00414058" w:rsidRPr="0021636F">
        <w:rPr>
          <w:rFonts w:cs="Arial"/>
        </w:rPr>
        <w:t>.</w:t>
      </w:r>
      <w:r w:rsidR="00414058">
        <w:rPr>
          <w:rFonts w:cs="Arial"/>
        </w:rPr>
        <w:t xml:space="preserve"> </w:t>
      </w:r>
    </w:p>
    <w:p w14:paraId="551CA013" w14:textId="77777777" w:rsidR="00FE0AC8" w:rsidRDefault="00FE0AC8">
      <w:pPr>
        <w:spacing w:line="260" w:lineRule="atLeast"/>
        <w:rPr>
          <w:rFonts w:eastAsia="Calibri"/>
          <w:i/>
          <w:lang w:eastAsia="en-US"/>
        </w:rPr>
      </w:pPr>
    </w:p>
    <w:p w14:paraId="4635CE52" w14:textId="77777777" w:rsidR="0029532F" w:rsidRDefault="0029532F" w:rsidP="0029532F">
      <w:pPr>
        <w:spacing w:line="260" w:lineRule="atLeast"/>
        <w:rPr>
          <w:rFonts w:eastAsia="Calibri"/>
          <w:i/>
          <w:lang w:eastAsia="en-US"/>
        </w:rPr>
      </w:pPr>
    </w:p>
    <w:p w14:paraId="1938FC54" w14:textId="77777777" w:rsidR="0029532F" w:rsidRPr="005E05EC" w:rsidRDefault="0029532F" w:rsidP="003076DB">
      <w:pPr>
        <w:spacing w:after="240" w:line="260" w:lineRule="atLeast"/>
        <w:rPr>
          <w:rFonts w:eastAsia="Calibri"/>
          <w:b/>
          <w:u w:val="single"/>
          <w:lang w:eastAsia="en-US"/>
        </w:rPr>
      </w:pPr>
      <w:r w:rsidRPr="005E05EC">
        <w:rPr>
          <w:rFonts w:eastAsia="Calibri"/>
          <w:b/>
          <w:u w:val="single"/>
          <w:lang w:eastAsia="en-US"/>
        </w:rPr>
        <w:t xml:space="preserve">Conclusion on </w:t>
      </w:r>
      <w:r>
        <w:rPr>
          <w:rFonts w:eastAsia="Calibri"/>
          <w:b/>
          <w:u w:val="single"/>
          <w:lang w:eastAsia="en-US"/>
        </w:rPr>
        <w:t>Efficacy</w:t>
      </w:r>
    </w:p>
    <w:p w14:paraId="3A34E281" w14:textId="77777777" w:rsidR="003076DB" w:rsidRPr="003076DB" w:rsidRDefault="003076DB" w:rsidP="003076DB">
      <w:pPr>
        <w:rPr>
          <w:rFonts w:cs="Arial"/>
          <w:lang w:val="en-US" w:eastAsia="en-US"/>
        </w:rPr>
      </w:pPr>
      <w:r w:rsidRPr="003076DB">
        <w:rPr>
          <w:rFonts w:cs="Arial"/>
          <w:lang w:val="en-US" w:eastAsia="en-US"/>
        </w:rPr>
        <w:t>French competent authorities (FR CA) assessed that the product X6122B1, has shown a sufficient efficacy for</w:t>
      </w:r>
    </w:p>
    <w:p w14:paraId="19E24D5A" w14:textId="77777777" w:rsidR="003076DB" w:rsidRPr="00FF7263" w:rsidRDefault="003076DB" w:rsidP="003076DB">
      <w:pPr>
        <w:pStyle w:val="Paragraphedeliste"/>
        <w:numPr>
          <w:ilvl w:val="0"/>
          <w:numId w:val="25"/>
        </w:numPr>
        <w:suppressAutoHyphens w:val="0"/>
        <w:spacing w:line="260" w:lineRule="atLeast"/>
        <w:ind w:left="426"/>
        <w:contextualSpacing/>
        <w:rPr>
          <w:rFonts w:cs="Arial"/>
          <w:lang w:val="en-US" w:eastAsia="en-US"/>
        </w:rPr>
      </w:pPr>
      <w:r w:rsidRPr="003076DB">
        <w:rPr>
          <w:rFonts w:cs="Arial"/>
          <w:lang w:val="en-US" w:eastAsia="en-US"/>
        </w:rPr>
        <w:t>For</w:t>
      </w:r>
      <w:r w:rsidRPr="003076DB">
        <w:rPr>
          <w:rFonts w:cs="Arial"/>
        </w:rPr>
        <w:t xml:space="preserve"> the preventive treatment: superficial application at 200 g of product / m² of wood used in use class 1 against wood boring beetles and termites (</w:t>
      </w:r>
      <w:r w:rsidRPr="003076DB">
        <w:rPr>
          <w:rFonts w:cs="Arial"/>
          <w:i/>
        </w:rPr>
        <w:t>Reticulitermes spp.</w:t>
      </w:r>
      <w:r w:rsidRPr="003076DB">
        <w:rPr>
          <w:rFonts w:cs="Arial"/>
        </w:rPr>
        <w:t>)</w:t>
      </w:r>
      <w:r w:rsidR="00621CF0">
        <w:rPr>
          <w:rFonts w:cs="Arial"/>
        </w:rPr>
        <w:t>.</w:t>
      </w:r>
    </w:p>
    <w:p w14:paraId="2F862B6D" w14:textId="77777777" w:rsidR="003076DB" w:rsidRPr="003076DB" w:rsidRDefault="003076DB" w:rsidP="003076DB">
      <w:pPr>
        <w:pStyle w:val="Paragraphedeliste"/>
        <w:numPr>
          <w:ilvl w:val="0"/>
          <w:numId w:val="25"/>
        </w:numPr>
        <w:suppressAutoHyphens w:val="0"/>
        <w:spacing w:line="260" w:lineRule="atLeast"/>
        <w:ind w:left="426"/>
        <w:contextualSpacing/>
        <w:rPr>
          <w:rFonts w:cs="Arial"/>
          <w:lang w:val="en-US" w:eastAsia="en-US"/>
        </w:rPr>
      </w:pPr>
      <w:r w:rsidRPr="003076DB">
        <w:rPr>
          <w:rFonts w:cs="Arial"/>
          <w:lang w:val="en-US" w:eastAsia="en-US"/>
        </w:rPr>
        <w:t>For the curative treatment when used by superficial application for wood in service (not exposed to weathering and leaching) against wood boring beetles and termites (Reticulitermes spp.), at 300 g of product/m² that could be completed by injection application at 180 mL /m² if need be.</w:t>
      </w:r>
    </w:p>
    <w:p w14:paraId="493CB3B0" w14:textId="77777777" w:rsidR="005D37EC" w:rsidRDefault="005D37EC" w:rsidP="005D37EC">
      <w:pPr>
        <w:snapToGrid w:val="0"/>
        <w:spacing w:line="260" w:lineRule="atLeast"/>
        <w:rPr>
          <w:rFonts w:eastAsia="Calibri"/>
          <w:b/>
          <w:bCs/>
          <w:lang w:val="en-US" w:eastAsia="en-US"/>
        </w:rPr>
      </w:pPr>
      <w:r w:rsidRPr="000B39DA">
        <w:rPr>
          <w:rFonts w:cs="Arial"/>
          <w:lang w:val="en-US"/>
        </w:rPr>
        <w:t>FR CA consider</w:t>
      </w:r>
      <w:r>
        <w:rPr>
          <w:rFonts w:cs="Arial"/>
          <w:lang w:val="en-US"/>
        </w:rPr>
        <w:t>s</w:t>
      </w:r>
      <w:r w:rsidRPr="000B39DA">
        <w:rPr>
          <w:rFonts w:cs="Arial"/>
          <w:lang w:val="en-US"/>
        </w:rPr>
        <w:t xml:space="preserve"> that </w:t>
      </w:r>
      <w:r w:rsidRPr="0021636F">
        <w:rPr>
          <w:rFonts w:cs="Arial"/>
          <w:lang w:val="en-US"/>
        </w:rPr>
        <w:t>the efficacy data are not sufficient to demonstrate the efficacy of the product X6122B1 against wood rotting fungi. Indeed, at the application rate claimed by the applicant, the efficacy is not demonstrated</w:t>
      </w:r>
      <w:r w:rsidRPr="000B39DA">
        <w:rPr>
          <w:rFonts w:cs="Arial"/>
          <w:lang w:val="en-US"/>
        </w:rPr>
        <w:t xml:space="preserve"> against all the mandatory fungi strains of the EN 113 after an ageing following the EN 73.</w:t>
      </w:r>
    </w:p>
    <w:p w14:paraId="38C63E88" w14:textId="77777777" w:rsidR="0029532F" w:rsidRPr="003076DB" w:rsidRDefault="0029532F">
      <w:pPr>
        <w:spacing w:line="260" w:lineRule="atLeast"/>
        <w:rPr>
          <w:rFonts w:eastAsia="Calibri"/>
          <w:i/>
          <w:lang w:val="en-US" w:eastAsia="en-US"/>
        </w:rPr>
      </w:pPr>
    </w:p>
    <w:p w14:paraId="2859A7D9" w14:textId="77777777" w:rsidR="0029532F" w:rsidRDefault="0029532F">
      <w:pPr>
        <w:spacing w:line="260" w:lineRule="atLeast"/>
        <w:rPr>
          <w:rFonts w:eastAsia="Calibri"/>
          <w:i/>
          <w:lang w:eastAsia="en-US"/>
        </w:rPr>
      </w:pPr>
    </w:p>
    <w:p w14:paraId="1288EB67" w14:textId="77777777" w:rsidR="00AD0582" w:rsidRPr="005E05EC" w:rsidRDefault="00AD0582" w:rsidP="003076DB">
      <w:pPr>
        <w:spacing w:after="240" w:line="260" w:lineRule="atLeast"/>
        <w:rPr>
          <w:rFonts w:eastAsia="Calibri"/>
          <w:b/>
          <w:u w:val="single"/>
          <w:lang w:eastAsia="en-US"/>
        </w:rPr>
      </w:pPr>
      <w:r w:rsidRPr="005E05EC">
        <w:rPr>
          <w:rFonts w:eastAsia="Calibri"/>
          <w:b/>
          <w:u w:val="single"/>
          <w:lang w:eastAsia="en-US"/>
        </w:rPr>
        <w:t xml:space="preserve">Conclusion on </w:t>
      </w:r>
      <w:r w:rsidR="0029532F">
        <w:rPr>
          <w:rFonts w:eastAsia="Calibri"/>
          <w:b/>
          <w:u w:val="single"/>
          <w:lang w:eastAsia="en-US"/>
        </w:rPr>
        <w:t>Human health</w:t>
      </w:r>
    </w:p>
    <w:p w14:paraId="29BB9168" w14:textId="2A9F6C1A" w:rsidR="00AD0582" w:rsidRPr="00B305FE" w:rsidRDefault="00AD0582" w:rsidP="00AD0582">
      <w:pPr>
        <w:pStyle w:val="BfRBBStandard"/>
        <w:rPr>
          <w:rFonts w:ascii="Verdana" w:eastAsia="Times New Roman" w:hAnsi="Verdana"/>
          <w:sz w:val="20"/>
          <w:szCs w:val="20"/>
          <w:lang w:val="en-GB" w:eastAsia="sv-SE"/>
        </w:rPr>
      </w:pPr>
      <w:r w:rsidRPr="00B305FE">
        <w:rPr>
          <w:rFonts w:ascii="Verdana" w:eastAsia="Times New Roman" w:hAnsi="Verdana"/>
          <w:sz w:val="20"/>
          <w:szCs w:val="20"/>
          <w:lang w:val="en-GB" w:eastAsia="sv-SE"/>
        </w:rPr>
        <w:t>Risks related to the use of X6122B1 by professionals and non-professionals are acceptable for all the intended uses</w:t>
      </w:r>
      <w:r w:rsidRPr="0021636F">
        <w:rPr>
          <w:rFonts w:ascii="Verdana" w:eastAsia="Times New Roman" w:hAnsi="Verdana"/>
          <w:sz w:val="20"/>
          <w:szCs w:val="20"/>
          <w:lang w:val="en-GB" w:eastAsia="sv-SE"/>
        </w:rPr>
        <w:t>, except spraying combined with injection for non-professional</w:t>
      </w:r>
      <w:r w:rsidR="003403ED" w:rsidRPr="0021636F">
        <w:rPr>
          <w:rFonts w:ascii="Verdana" w:eastAsia="Times New Roman" w:hAnsi="Verdana"/>
          <w:sz w:val="20"/>
          <w:szCs w:val="20"/>
          <w:lang w:val="en-GB" w:eastAsia="sv-SE"/>
        </w:rPr>
        <w:t xml:space="preserve"> users</w:t>
      </w:r>
      <w:r w:rsidRPr="0021636F">
        <w:rPr>
          <w:rFonts w:ascii="Verdana" w:eastAsia="Times New Roman" w:hAnsi="Verdana"/>
          <w:sz w:val="20"/>
          <w:szCs w:val="20"/>
          <w:lang w:val="en-GB" w:eastAsia="sv-SE"/>
        </w:rPr>
        <w:t>.</w:t>
      </w:r>
      <w:r w:rsidRPr="00B305FE">
        <w:rPr>
          <w:rFonts w:ascii="Verdana" w:eastAsia="Times New Roman" w:hAnsi="Verdana"/>
          <w:sz w:val="20"/>
          <w:szCs w:val="20"/>
          <w:lang w:val="en-GB" w:eastAsia="sv-SE"/>
        </w:rPr>
        <w:t xml:space="preserve"> </w:t>
      </w:r>
    </w:p>
    <w:p w14:paraId="26DAA30A" w14:textId="7ECBC3EE" w:rsidR="00AD0582" w:rsidRPr="00B305FE" w:rsidRDefault="00AD0582" w:rsidP="00AD0582">
      <w:pPr>
        <w:pStyle w:val="Standard-italics"/>
        <w:keepNext w:val="0"/>
        <w:rPr>
          <w:rFonts w:cs="Arial"/>
          <w:i w:val="0"/>
        </w:rPr>
      </w:pPr>
      <w:r w:rsidRPr="00B305FE">
        <w:rPr>
          <w:rFonts w:cs="Arial"/>
          <w:i w:val="0"/>
        </w:rPr>
        <w:t>Risks related to a secondary exposure to treated wood are acceptable.</w:t>
      </w:r>
    </w:p>
    <w:p w14:paraId="2CAD7BA5" w14:textId="77777777" w:rsidR="00AD0582" w:rsidRDefault="00AD0582">
      <w:pPr>
        <w:spacing w:line="260" w:lineRule="atLeast"/>
        <w:rPr>
          <w:rFonts w:eastAsia="Calibri"/>
          <w:i/>
          <w:lang w:eastAsia="en-US"/>
        </w:rPr>
      </w:pPr>
    </w:p>
    <w:p w14:paraId="166D2796" w14:textId="77777777" w:rsidR="00AD0582" w:rsidRDefault="00AD0582">
      <w:pPr>
        <w:spacing w:line="260" w:lineRule="atLeast"/>
        <w:rPr>
          <w:rFonts w:eastAsia="Calibri"/>
          <w:i/>
          <w:lang w:eastAsia="en-US"/>
        </w:rPr>
      </w:pPr>
    </w:p>
    <w:p w14:paraId="74945345" w14:textId="77777777" w:rsidR="00E966EF" w:rsidRPr="005E05EC" w:rsidRDefault="00E966EF" w:rsidP="008D4956">
      <w:pPr>
        <w:spacing w:after="240" w:line="260" w:lineRule="atLeast"/>
        <w:rPr>
          <w:rFonts w:eastAsia="Calibri"/>
          <w:b/>
          <w:u w:val="single"/>
          <w:lang w:eastAsia="en-US"/>
        </w:rPr>
      </w:pPr>
      <w:r w:rsidRPr="005E05EC">
        <w:rPr>
          <w:rFonts w:eastAsia="Calibri"/>
          <w:b/>
          <w:u w:val="single"/>
          <w:lang w:eastAsia="en-US"/>
        </w:rPr>
        <w:t xml:space="preserve">Conclusion on </w:t>
      </w:r>
      <w:r w:rsidRPr="00E966EF">
        <w:rPr>
          <w:rFonts w:eastAsia="Calibri"/>
          <w:b/>
          <w:u w:val="single"/>
          <w:lang w:eastAsia="en-US"/>
        </w:rPr>
        <w:t>risk for consumers via residues in food</w:t>
      </w:r>
    </w:p>
    <w:p w14:paraId="794B7D97" w14:textId="6A288E66" w:rsidR="00E966EF" w:rsidRPr="00B15948" w:rsidRDefault="00E966EF" w:rsidP="00E966EF">
      <w:pPr>
        <w:pStyle w:val="BfRBBStandard"/>
        <w:rPr>
          <w:rFonts w:ascii="Verdana" w:eastAsia="Times New Roman" w:hAnsi="Verdana"/>
          <w:sz w:val="20"/>
          <w:szCs w:val="20"/>
          <w:lang w:val="en-GB" w:eastAsia="sv-SE"/>
        </w:rPr>
      </w:pPr>
      <w:r w:rsidRPr="00B15948">
        <w:rPr>
          <w:rFonts w:ascii="Verdana" w:eastAsia="Times New Roman" w:hAnsi="Verdana"/>
          <w:sz w:val="20"/>
          <w:szCs w:val="20"/>
          <w:lang w:val="en-GB" w:eastAsia="sv-SE"/>
        </w:rPr>
        <w:t>Regarding consumer health protection, there are no objections against the intended uses.</w:t>
      </w:r>
      <w:r w:rsidRPr="00B15948">
        <w:rPr>
          <w:rFonts w:ascii="Verdana" w:hAnsi="Verdana"/>
          <w:sz w:val="20"/>
          <w:szCs w:val="20"/>
        </w:rPr>
        <w:t xml:space="preserve"> </w:t>
      </w:r>
      <w:r w:rsidRPr="00B15948">
        <w:rPr>
          <w:rFonts w:ascii="Verdana" w:eastAsia="Times New Roman" w:hAnsi="Verdana"/>
          <w:sz w:val="20"/>
          <w:szCs w:val="20"/>
          <w:lang w:val="en-GB" w:eastAsia="sv-SE"/>
        </w:rPr>
        <w:t xml:space="preserve">Wood treated with </w:t>
      </w:r>
      <w:r w:rsidRPr="00B15948">
        <w:rPr>
          <w:rFonts w:ascii="Verdana" w:hAnsi="Verdana"/>
          <w:sz w:val="20"/>
          <w:szCs w:val="20"/>
          <w:lang w:val="en-GB"/>
        </w:rPr>
        <w:t>X6122B1</w:t>
      </w:r>
      <w:r w:rsidRPr="00B15948" w:rsidDel="00880A0D">
        <w:rPr>
          <w:rFonts w:ascii="Verdana" w:hAnsi="Verdana"/>
          <w:sz w:val="20"/>
          <w:szCs w:val="20"/>
          <w:lang w:val="en-GB"/>
        </w:rPr>
        <w:t xml:space="preserve"> </w:t>
      </w:r>
      <w:r w:rsidRPr="00B15948">
        <w:rPr>
          <w:rFonts w:ascii="Verdana" w:eastAsia="Times New Roman" w:hAnsi="Verdana"/>
          <w:sz w:val="20"/>
          <w:szCs w:val="20"/>
          <w:lang w:val="en-GB" w:eastAsia="sv-SE"/>
        </w:rPr>
        <w:t>must contain label restrictions against use in contact with livestock, food and feed.</w:t>
      </w:r>
    </w:p>
    <w:p w14:paraId="601E100D" w14:textId="77777777" w:rsidR="00E966EF" w:rsidRDefault="00E966EF" w:rsidP="00E966EF">
      <w:pPr>
        <w:pStyle w:val="BfRBBStandard"/>
        <w:rPr>
          <w:rFonts w:ascii="Verdana" w:eastAsia="Times New Roman" w:hAnsi="Verdana"/>
          <w:sz w:val="20"/>
          <w:szCs w:val="20"/>
          <w:lang w:val="sv-SE" w:eastAsia="sv-SE"/>
        </w:rPr>
      </w:pPr>
    </w:p>
    <w:p w14:paraId="7C5AA8D9" w14:textId="77777777" w:rsidR="0029532F" w:rsidRPr="00B15948" w:rsidRDefault="0029532F" w:rsidP="00E966EF">
      <w:pPr>
        <w:pStyle w:val="BfRBBStandard"/>
        <w:rPr>
          <w:rFonts w:ascii="Verdana" w:eastAsia="Times New Roman" w:hAnsi="Verdana"/>
          <w:sz w:val="20"/>
          <w:szCs w:val="20"/>
          <w:lang w:val="sv-SE" w:eastAsia="sv-SE"/>
        </w:rPr>
      </w:pPr>
    </w:p>
    <w:p w14:paraId="3D0C7CC7" w14:textId="77777777" w:rsidR="00FE0AC8" w:rsidRPr="00B039ED" w:rsidRDefault="00FE0AC8" w:rsidP="008D4956">
      <w:pPr>
        <w:spacing w:after="240" w:line="260" w:lineRule="atLeast"/>
        <w:rPr>
          <w:rFonts w:eastAsia="Calibri"/>
          <w:b/>
          <w:u w:val="single"/>
          <w:lang w:val="sv-SE" w:eastAsia="en-US"/>
        </w:rPr>
      </w:pPr>
      <w:r w:rsidRPr="00B039ED">
        <w:rPr>
          <w:rFonts w:eastAsia="Calibri"/>
          <w:b/>
          <w:u w:val="single"/>
          <w:lang w:val="sv-SE" w:eastAsia="en-US"/>
        </w:rPr>
        <w:t xml:space="preserve">Conclusion </w:t>
      </w:r>
      <w:r w:rsidR="005E05EC" w:rsidRPr="00B039ED">
        <w:rPr>
          <w:rFonts w:eastAsia="Calibri"/>
          <w:b/>
          <w:u w:val="single"/>
          <w:lang w:val="sv-SE" w:eastAsia="en-US"/>
        </w:rPr>
        <w:t>on</w:t>
      </w:r>
      <w:r w:rsidRPr="00B039ED">
        <w:rPr>
          <w:rFonts w:eastAsia="Calibri"/>
          <w:b/>
          <w:u w:val="single"/>
          <w:lang w:val="sv-SE" w:eastAsia="en-US"/>
        </w:rPr>
        <w:t xml:space="preserve"> environmental risk assessment</w:t>
      </w:r>
    </w:p>
    <w:p w14:paraId="234AC700" w14:textId="77777777" w:rsidR="00FE0AC8" w:rsidRPr="00B039ED" w:rsidRDefault="00FE0AC8">
      <w:pPr>
        <w:spacing w:line="260" w:lineRule="atLeast"/>
        <w:rPr>
          <w:rFonts w:eastAsia="Calibri"/>
          <w:i/>
          <w:lang w:val="sv-SE" w:eastAsia="en-US"/>
        </w:rPr>
      </w:pPr>
    </w:p>
    <w:p w14:paraId="06C11A47" w14:textId="74726FC4" w:rsidR="00517C2B" w:rsidRPr="00B039ED" w:rsidRDefault="00517C2B" w:rsidP="0039605F">
      <w:pPr>
        <w:autoSpaceDE w:val="0"/>
        <w:autoSpaceDN w:val="0"/>
        <w:spacing w:line="276" w:lineRule="auto"/>
        <w:rPr>
          <w:rFonts w:cs="Arial"/>
          <w:lang w:val="sv-SE"/>
        </w:rPr>
      </w:pPr>
      <w:r w:rsidRPr="00B039ED">
        <w:rPr>
          <w:rFonts w:cs="Arial"/>
          <w:lang w:val="sv-SE"/>
        </w:rPr>
        <w:lastRenderedPageBreak/>
        <w:t xml:space="preserve">For </w:t>
      </w:r>
      <w:r w:rsidR="001B6222">
        <w:rPr>
          <w:rFonts w:cs="Arial"/>
          <w:lang w:val="sv-SE"/>
        </w:rPr>
        <w:t xml:space="preserve">preventive treatment of wood </w:t>
      </w:r>
      <w:r w:rsidRPr="00B039ED">
        <w:rPr>
          <w:rFonts w:cs="Arial"/>
          <w:lang w:val="sv-SE"/>
        </w:rPr>
        <w:t>classes 1 and 2, emissions are considered negligible. The risks for the application phase and service life are therefore acceptable for treatment of wood in classes 1 and 2.</w:t>
      </w:r>
    </w:p>
    <w:p w14:paraId="3919D003" w14:textId="77777777" w:rsidR="00517C2B" w:rsidRPr="00B039ED" w:rsidRDefault="00517C2B" w:rsidP="0039605F">
      <w:pPr>
        <w:autoSpaceDE w:val="0"/>
        <w:autoSpaceDN w:val="0"/>
        <w:spacing w:line="276" w:lineRule="auto"/>
        <w:rPr>
          <w:rFonts w:cs="Arial"/>
          <w:lang w:val="sv-SE"/>
        </w:rPr>
      </w:pPr>
    </w:p>
    <w:p w14:paraId="35AEE155" w14:textId="660232DF" w:rsidR="00F957FD" w:rsidRDefault="00517C2B" w:rsidP="0039605F">
      <w:pPr>
        <w:autoSpaceDE w:val="0"/>
        <w:autoSpaceDN w:val="0"/>
        <w:spacing w:line="276" w:lineRule="auto"/>
        <w:rPr>
          <w:rFonts w:cs="Arial"/>
        </w:rPr>
      </w:pPr>
      <w:r w:rsidRPr="005E05EC">
        <w:rPr>
          <w:rFonts w:cs="Arial"/>
        </w:rPr>
        <w:t xml:space="preserve">For </w:t>
      </w:r>
      <w:r w:rsidR="00891CAF">
        <w:rPr>
          <w:rFonts w:cs="Arial"/>
        </w:rPr>
        <w:t>an outdoor</w:t>
      </w:r>
      <w:r w:rsidRPr="005E05EC">
        <w:rPr>
          <w:rFonts w:cs="Arial"/>
        </w:rPr>
        <w:t xml:space="preserve"> application</w:t>
      </w:r>
      <w:r w:rsidR="00891CAF">
        <w:rPr>
          <w:rFonts w:cs="Arial"/>
        </w:rPr>
        <w:t xml:space="preserve"> in curative treatment</w:t>
      </w:r>
      <w:r w:rsidRPr="005E05EC">
        <w:rPr>
          <w:rFonts w:cs="Arial"/>
        </w:rPr>
        <w:t xml:space="preserve">, risks are acceptable </w:t>
      </w:r>
      <w:r w:rsidR="00082D20" w:rsidRPr="005E05EC">
        <w:rPr>
          <w:rFonts w:cs="Arial"/>
        </w:rPr>
        <w:t xml:space="preserve">only </w:t>
      </w:r>
      <w:r w:rsidRPr="005E05EC">
        <w:rPr>
          <w:rFonts w:cs="Arial"/>
        </w:rPr>
        <w:t xml:space="preserve">if emissions to the aquatic and terrestrial compartments are prevented whatever the type of treatment. Therefore, </w:t>
      </w:r>
      <w:r w:rsidR="00082D20">
        <w:rPr>
          <w:rFonts w:cs="Arial"/>
        </w:rPr>
        <w:t xml:space="preserve">the product should </w:t>
      </w:r>
      <w:r w:rsidR="007A5B15">
        <w:rPr>
          <w:rFonts w:cs="Arial"/>
        </w:rPr>
        <w:t xml:space="preserve">not </w:t>
      </w:r>
      <w:r w:rsidR="00082D20">
        <w:rPr>
          <w:rFonts w:cs="Arial"/>
        </w:rPr>
        <w:t xml:space="preserve">be applied </w:t>
      </w:r>
      <w:r w:rsidRPr="005E05EC">
        <w:rPr>
          <w:rFonts w:cs="Arial"/>
        </w:rPr>
        <w:t xml:space="preserve">above or near surface </w:t>
      </w:r>
      <w:r w:rsidR="00186A17">
        <w:rPr>
          <w:rFonts w:cs="Arial"/>
        </w:rPr>
        <w:t xml:space="preserve">water </w:t>
      </w:r>
      <w:r w:rsidRPr="005E05EC">
        <w:rPr>
          <w:rFonts w:cs="Arial"/>
        </w:rPr>
        <w:t>and the ground has to be covered with an appropriate plastic sheet to prevent any emission to the terrestrial compartment during in situ brushing.</w:t>
      </w:r>
      <w:r w:rsidR="00903D36">
        <w:rPr>
          <w:rFonts w:cs="Arial"/>
        </w:rPr>
        <w:t xml:space="preserve"> </w:t>
      </w:r>
      <w:r w:rsidR="00495DAF">
        <w:rPr>
          <w:rFonts w:cs="Arial"/>
        </w:rPr>
        <w:t>For spraying application,</w:t>
      </w:r>
      <w:r w:rsidR="00903D36">
        <w:rPr>
          <w:rFonts w:cs="Arial"/>
        </w:rPr>
        <w:t xml:space="preserve"> </w:t>
      </w:r>
      <w:r w:rsidR="00F957FD">
        <w:rPr>
          <w:rFonts w:cs="Arial"/>
        </w:rPr>
        <w:t>the risk mitigation measure for the soil compartment is considered as unappropriate.</w:t>
      </w:r>
    </w:p>
    <w:p w14:paraId="7CE7BF35" w14:textId="77777777" w:rsidR="00517C2B" w:rsidRPr="005E05EC" w:rsidRDefault="00517C2B" w:rsidP="0039605F">
      <w:pPr>
        <w:autoSpaceDE w:val="0"/>
        <w:autoSpaceDN w:val="0"/>
        <w:spacing w:line="276" w:lineRule="auto"/>
        <w:rPr>
          <w:rFonts w:cs="Arial"/>
        </w:rPr>
      </w:pPr>
    </w:p>
    <w:p w14:paraId="619F4432" w14:textId="7D6673F1" w:rsidR="00517C2B" w:rsidRDefault="00517C2B" w:rsidP="0039605F">
      <w:pPr>
        <w:autoSpaceDE w:val="0"/>
        <w:autoSpaceDN w:val="0"/>
        <w:spacing w:line="276" w:lineRule="auto"/>
        <w:rPr>
          <w:rFonts w:cs="Arial"/>
          <w:bCs/>
          <w:lang w:eastAsia="x-none"/>
        </w:rPr>
      </w:pPr>
      <w:r w:rsidRPr="005E05EC">
        <w:rPr>
          <w:rFonts w:cs="Arial"/>
          <w:bCs/>
          <w:lang w:eastAsia="x-none"/>
        </w:rPr>
        <w:t>For the service-life phase of treated wood, risks can be considered acceptable for all the compartments whatever the type of treatment</w:t>
      </w:r>
      <w:r w:rsidR="007A5B15" w:rsidRPr="007A5B15">
        <w:rPr>
          <w:rFonts w:cs="Arial"/>
          <w:bCs/>
          <w:lang w:eastAsia="x-none"/>
        </w:rPr>
        <w:t xml:space="preserve"> </w:t>
      </w:r>
      <w:r w:rsidR="007A5B15" w:rsidRPr="005E05EC">
        <w:rPr>
          <w:rFonts w:cs="Arial"/>
          <w:bCs/>
          <w:lang w:eastAsia="x-none"/>
        </w:rPr>
        <w:t>with the use of appropriate risk mitigation measures</w:t>
      </w:r>
      <w:r w:rsidR="00F957FD">
        <w:rPr>
          <w:rFonts w:cs="Arial"/>
          <w:bCs/>
          <w:lang w:eastAsia="x-none"/>
        </w:rPr>
        <w:t>.</w:t>
      </w:r>
    </w:p>
    <w:p w14:paraId="201B9940" w14:textId="4962850E" w:rsidR="00F957FD" w:rsidRDefault="00F957FD" w:rsidP="0039605F">
      <w:pPr>
        <w:autoSpaceDE w:val="0"/>
        <w:autoSpaceDN w:val="0"/>
        <w:spacing w:line="276" w:lineRule="auto"/>
        <w:rPr>
          <w:rFonts w:cs="Arial"/>
          <w:bCs/>
          <w:lang w:eastAsia="x-none"/>
        </w:rPr>
      </w:pPr>
      <w:r>
        <w:rPr>
          <w:rFonts w:cs="Arial"/>
          <w:bCs/>
          <w:lang w:eastAsia="x-none"/>
        </w:rPr>
        <w:t xml:space="preserve">Finally, for the curative treatment, wood must not be exposed </w:t>
      </w:r>
      <w:r>
        <w:rPr>
          <w:rFonts w:cs="Arial"/>
        </w:rPr>
        <w:t>to weathering and leaching.</w:t>
      </w:r>
    </w:p>
    <w:p w14:paraId="704665DB" w14:textId="77777777" w:rsidR="00FE0AC8" w:rsidRPr="00AA571F" w:rsidRDefault="00FE0AC8">
      <w:pPr>
        <w:spacing w:line="260" w:lineRule="atLeast"/>
        <w:rPr>
          <w:rFonts w:eastAsia="Calibri"/>
          <w:i/>
          <w:lang w:eastAsia="en-US"/>
        </w:rPr>
      </w:pPr>
    </w:p>
    <w:p w14:paraId="57BE7233" w14:textId="25F124EC" w:rsidR="001F4AB2" w:rsidRDefault="003403ED">
      <w:pPr>
        <w:spacing w:line="260" w:lineRule="atLeast"/>
        <w:rPr>
          <w:rFonts w:eastAsia="Calibri"/>
          <w:b/>
          <w:lang w:eastAsia="en-US"/>
        </w:rPr>
      </w:pPr>
      <w:r w:rsidRPr="0039605F">
        <w:rPr>
          <w:rFonts w:eastAsia="Calibri"/>
          <w:b/>
          <w:lang w:eastAsia="en-US"/>
        </w:rPr>
        <w:t>Overall conclusion</w:t>
      </w:r>
    </w:p>
    <w:p w14:paraId="517ADAEB" w14:textId="77777777" w:rsidR="003403ED" w:rsidRDefault="003403ED">
      <w:pPr>
        <w:spacing w:line="260" w:lineRule="atLeast"/>
        <w:rPr>
          <w:rFonts w:eastAsia="Calibri"/>
          <w:b/>
          <w:lang w:eastAsia="en-US"/>
        </w:rPr>
      </w:pPr>
    </w:p>
    <w:p w14:paraId="3112C5EB" w14:textId="48AD2044" w:rsidR="003403ED" w:rsidRPr="0039605F" w:rsidRDefault="003403ED" w:rsidP="00B7552D">
      <w:pPr>
        <w:rPr>
          <w:rFonts w:eastAsia="Calibri"/>
          <w:b/>
          <w:i/>
          <w:lang w:val="en-US" w:eastAsia="en-US"/>
        </w:rPr>
      </w:pPr>
      <w:r w:rsidRPr="003403ED">
        <w:rPr>
          <w:rFonts w:eastAsia="Calibri"/>
          <w:b/>
          <w:lang w:eastAsia="en-US"/>
        </w:rPr>
        <w:t xml:space="preserve">The product </w:t>
      </w:r>
      <w:r w:rsidRPr="0039605F">
        <w:rPr>
          <w:rFonts w:cs="Arial"/>
          <w:b/>
          <w:lang w:val="en-US"/>
        </w:rPr>
        <w:t xml:space="preserve">X6122B1 can be authorized </w:t>
      </w:r>
      <w:r w:rsidRPr="0021636F">
        <w:rPr>
          <w:rFonts w:eastAsia="Calibri"/>
          <w:b/>
          <w:i/>
          <w:lang w:val="en-US" w:eastAsia="en-US"/>
        </w:rPr>
        <w:t>for preventive wood treatment for use class 1 only</w:t>
      </w:r>
      <w:r w:rsidRPr="0039605F">
        <w:rPr>
          <w:rFonts w:eastAsia="Calibri"/>
          <w:b/>
          <w:i/>
          <w:lang w:val="en-US" w:eastAsia="en-US"/>
        </w:rPr>
        <w:t xml:space="preserve"> (professional, </w:t>
      </w:r>
      <w:r w:rsidR="00C13868" w:rsidRPr="0039605F">
        <w:rPr>
          <w:rFonts w:eastAsia="Calibri"/>
          <w:b/>
          <w:i/>
          <w:lang w:val="en-US" w:eastAsia="en-US"/>
        </w:rPr>
        <w:t>non-professional</w:t>
      </w:r>
      <w:r w:rsidRPr="0039605F">
        <w:rPr>
          <w:rFonts w:eastAsia="Calibri"/>
          <w:b/>
          <w:i/>
          <w:lang w:val="en-US" w:eastAsia="en-US"/>
        </w:rPr>
        <w:t xml:space="preserve"> and industrial users) and for curative treatment </w:t>
      </w:r>
      <w:r w:rsidR="003307C4" w:rsidRPr="00B7552D">
        <w:rPr>
          <w:rFonts w:cs="Arial"/>
          <w:b/>
        </w:rPr>
        <w:t>(wood not exposed to weathering and leaching</w:t>
      </w:r>
      <w:r w:rsidR="00C13868" w:rsidRPr="00C13868">
        <w:rPr>
          <w:rFonts w:cs="Arial"/>
          <w:b/>
        </w:rPr>
        <w:t>)</w:t>
      </w:r>
      <w:r w:rsidR="00C13868">
        <w:rPr>
          <w:rFonts w:cs="Arial"/>
        </w:rPr>
        <w:t xml:space="preserve"> </w:t>
      </w:r>
      <w:r w:rsidR="00C13868">
        <w:rPr>
          <w:rFonts w:eastAsia="Calibri"/>
          <w:b/>
          <w:i/>
          <w:lang w:val="en-US" w:eastAsia="en-US"/>
        </w:rPr>
        <w:t>(</w:t>
      </w:r>
      <w:r w:rsidRPr="0039605F">
        <w:rPr>
          <w:rFonts w:eastAsia="Calibri"/>
          <w:b/>
          <w:i/>
          <w:lang w:val="en-US" w:eastAsia="en-US"/>
        </w:rPr>
        <w:t xml:space="preserve">professional, </w:t>
      </w:r>
      <w:r w:rsidR="00C13868" w:rsidRPr="0039605F">
        <w:rPr>
          <w:rFonts w:eastAsia="Calibri"/>
          <w:b/>
          <w:i/>
          <w:lang w:val="en-US" w:eastAsia="en-US"/>
        </w:rPr>
        <w:t>non-professional</w:t>
      </w:r>
      <w:r w:rsidRPr="0039605F">
        <w:rPr>
          <w:rFonts w:eastAsia="Calibri"/>
          <w:b/>
          <w:i/>
          <w:lang w:val="en-US" w:eastAsia="en-US"/>
        </w:rPr>
        <w:t xml:space="preserve"> users).  Appropriate RMMs </w:t>
      </w:r>
      <w:r w:rsidR="009E047D">
        <w:rPr>
          <w:rFonts w:eastAsia="Calibri"/>
          <w:b/>
          <w:i/>
          <w:lang w:val="en-US" w:eastAsia="en-US"/>
        </w:rPr>
        <w:t>(</w:t>
      </w:r>
      <w:r w:rsidRPr="0039605F">
        <w:rPr>
          <w:rFonts w:eastAsia="Calibri"/>
          <w:b/>
          <w:i/>
          <w:lang w:val="en-US" w:eastAsia="en-US"/>
        </w:rPr>
        <w:t xml:space="preserve">detailed in </w:t>
      </w:r>
      <w:r w:rsidR="009E047D" w:rsidRPr="009E047D">
        <w:rPr>
          <w:rFonts w:eastAsia="Calibri"/>
          <w:b/>
          <w:i/>
          <w:lang w:val="en-US" w:eastAsia="en-US"/>
        </w:rPr>
        <w:t>the SPC</w:t>
      </w:r>
      <w:r w:rsidR="009E047D">
        <w:rPr>
          <w:rFonts w:eastAsia="Calibri"/>
          <w:b/>
          <w:i/>
          <w:lang w:val="en-US" w:eastAsia="en-US"/>
        </w:rPr>
        <w:t>)</w:t>
      </w:r>
      <w:r w:rsidR="009E047D" w:rsidRPr="009E047D">
        <w:rPr>
          <w:rFonts w:eastAsia="Calibri"/>
          <w:b/>
          <w:i/>
          <w:lang w:val="en-US" w:eastAsia="en-US"/>
        </w:rPr>
        <w:t xml:space="preserve"> have to be implemented</w:t>
      </w:r>
      <w:r w:rsidR="009E047D">
        <w:rPr>
          <w:rFonts w:eastAsia="Calibri"/>
          <w:b/>
          <w:i/>
          <w:lang w:val="en-US" w:eastAsia="en-US"/>
        </w:rPr>
        <w:t>.</w:t>
      </w:r>
    </w:p>
    <w:p w14:paraId="4030013E" w14:textId="77777777" w:rsidR="001F4AB2" w:rsidRPr="0039605F" w:rsidRDefault="001F4AB2">
      <w:pPr>
        <w:spacing w:line="260" w:lineRule="atLeast"/>
        <w:rPr>
          <w:rFonts w:eastAsia="Calibri"/>
          <w:b/>
          <w:i/>
          <w:lang w:eastAsia="en-US"/>
        </w:rPr>
      </w:pPr>
    </w:p>
    <w:p w14:paraId="0CAC84E3" w14:textId="77777777" w:rsidR="009D0C0B" w:rsidRDefault="00FA480B">
      <w:pPr>
        <w:pStyle w:val="Titre1"/>
        <w:pageBreakBefore/>
      </w:pPr>
      <w:bookmarkStart w:id="2" w:name="_Toc536627240"/>
      <w:r>
        <w:rPr>
          <w:rFonts w:eastAsia="Calibri"/>
        </w:rPr>
        <w:lastRenderedPageBreak/>
        <w:t>ASSESSMENT REPORT</w:t>
      </w:r>
      <w:bookmarkEnd w:id="2"/>
    </w:p>
    <w:p w14:paraId="5172B861" w14:textId="77777777" w:rsidR="009D0C0B" w:rsidRDefault="00FA480B">
      <w:pPr>
        <w:pStyle w:val="Titre2"/>
      </w:pPr>
      <w:bookmarkStart w:id="3" w:name="_Toc536627241"/>
      <w:bookmarkStart w:id="4" w:name="d0e6"/>
      <w:bookmarkStart w:id="5" w:name="d0e7"/>
      <w:r>
        <w:t>Summary of the product assessment</w:t>
      </w:r>
      <w:bookmarkEnd w:id="3"/>
      <w:r>
        <w:t xml:space="preserve"> </w:t>
      </w:r>
    </w:p>
    <w:p w14:paraId="391838C1" w14:textId="77777777" w:rsidR="009D0C0B" w:rsidRDefault="00FA480B">
      <w:pPr>
        <w:pStyle w:val="Titre3"/>
      </w:pPr>
      <w:bookmarkStart w:id="6" w:name="_Toc536627242"/>
      <w:r>
        <w:t>Administrative information</w:t>
      </w:r>
      <w:bookmarkEnd w:id="6"/>
    </w:p>
    <w:p w14:paraId="714623F2" w14:textId="77777777" w:rsidR="009D0C0B" w:rsidRPr="00EC0D24" w:rsidRDefault="00FA480B">
      <w:pPr>
        <w:pStyle w:val="Titre4"/>
        <w:rPr>
          <w:b/>
          <w:bCs/>
          <w:lang w:eastAsia="en-GB"/>
        </w:rPr>
      </w:pPr>
      <w:bookmarkStart w:id="7" w:name="d0e10"/>
      <w:bookmarkStart w:id="8" w:name="_Toc536627243"/>
      <w:bookmarkEnd w:id="4"/>
      <w:bookmarkEnd w:id="5"/>
      <w:r w:rsidRPr="00EC0D24">
        <w:t>Identifier of the product / product family</w:t>
      </w:r>
      <w:bookmarkEnd w:id="7"/>
      <w:bookmarkEnd w:id="8"/>
    </w:p>
    <w:tbl>
      <w:tblPr>
        <w:tblW w:w="0" w:type="auto"/>
        <w:tblInd w:w="5" w:type="dxa"/>
        <w:tblLayout w:type="fixed"/>
        <w:tblCellMar>
          <w:left w:w="0" w:type="dxa"/>
          <w:right w:w="0" w:type="dxa"/>
        </w:tblCellMar>
        <w:tblLook w:val="0000" w:firstRow="0" w:lastRow="0" w:firstColumn="0" w:lastColumn="0" w:noHBand="0" w:noVBand="0"/>
      </w:tblPr>
      <w:tblGrid>
        <w:gridCol w:w="4820"/>
        <w:gridCol w:w="4257"/>
      </w:tblGrid>
      <w:tr w:rsidR="009D0C0B" w14:paraId="7BED4153" w14:textId="77777777" w:rsidTr="0039605F">
        <w:trPr>
          <w:tblHeader/>
        </w:trPr>
        <w:tc>
          <w:tcPr>
            <w:tcW w:w="4820" w:type="dxa"/>
            <w:tcBorders>
              <w:top w:val="single" w:sz="4" w:space="0" w:color="000000"/>
              <w:left w:val="single" w:sz="4" w:space="0" w:color="000000"/>
              <w:bottom w:val="single" w:sz="4" w:space="0" w:color="000000"/>
            </w:tcBorders>
            <w:shd w:val="clear" w:color="auto" w:fill="auto"/>
          </w:tcPr>
          <w:p w14:paraId="2ADDE0F8" w14:textId="77777777" w:rsidR="009D0C0B" w:rsidRDefault="00FA480B">
            <w:pPr>
              <w:rPr>
                <w:b/>
                <w:bCs/>
                <w:szCs w:val="24"/>
                <w:lang w:eastAsia="en-GB"/>
              </w:rPr>
            </w:pPr>
            <w:r>
              <w:rPr>
                <w:b/>
                <w:bCs/>
                <w:szCs w:val="24"/>
                <w:lang w:eastAsia="en-GB"/>
              </w:rPr>
              <w:t>Identifier</w:t>
            </w:r>
            <w:r>
              <w:rPr>
                <w:rStyle w:val="Caractresdenotedebasdepage"/>
                <w:b/>
                <w:bCs/>
                <w:szCs w:val="24"/>
                <w:lang w:eastAsia="en-GB"/>
              </w:rPr>
              <w:footnoteReference w:id="1"/>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14:paraId="1D0C4CDB" w14:textId="77777777" w:rsidR="009D0C0B" w:rsidRDefault="00FA480B">
            <w:r>
              <w:rPr>
                <w:b/>
                <w:bCs/>
                <w:szCs w:val="24"/>
                <w:lang w:eastAsia="en-GB"/>
              </w:rPr>
              <w:t>Country (if relevant)</w:t>
            </w:r>
          </w:p>
        </w:tc>
      </w:tr>
      <w:tr w:rsidR="009D0C0B" w:rsidRPr="00151EB1" w14:paraId="59C4BBE5" w14:textId="77777777" w:rsidTr="0039605F">
        <w:tc>
          <w:tcPr>
            <w:tcW w:w="4820" w:type="dxa"/>
            <w:tcBorders>
              <w:left w:val="single" w:sz="4" w:space="0" w:color="000000"/>
              <w:bottom w:val="single" w:sz="4" w:space="0" w:color="000000"/>
            </w:tcBorders>
            <w:shd w:val="clear" w:color="auto" w:fill="auto"/>
          </w:tcPr>
          <w:p w14:paraId="57F01033" w14:textId="77777777" w:rsidR="00151EB1" w:rsidRPr="00151EB1" w:rsidRDefault="00151EB1" w:rsidP="00151EB1">
            <w:pPr>
              <w:snapToGrid w:val="0"/>
              <w:rPr>
                <w:lang w:val="fr-FR"/>
              </w:rPr>
            </w:pPr>
            <w:r w:rsidRPr="00151EB1">
              <w:rPr>
                <w:lang w:val="fr-FR"/>
              </w:rPr>
              <w:t>X6122B1</w:t>
            </w:r>
          </w:p>
          <w:p w14:paraId="382410D1" w14:textId="77777777" w:rsidR="006E26A4" w:rsidRDefault="006E26A4" w:rsidP="00151EB1">
            <w:pPr>
              <w:snapToGrid w:val="0"/>
              <w:rPr>
                <w:lang w:val="fr-FR"/>
              </w:rPr>
            </w:pPr>
          </w:p>
          <w:p w14:paraId="1601714A" w14:textId="77777777" w:rsidR="006E26A4" w:rsidRPr="00B56A2C" w:rsidRDefault="006E26A4" w:rsidP="00151EB1">
            <w:pPr>
              <w:snapToGrid w:val="0"/>
              <w:rPr>
                <w:u w:val="single"/>
                <w:lang w:val="fr-FR"/>
              </w:rPr>
            </w:pPr>
            <w:r w:rsidRPr="00B56A2C">
              <w:rPr>
                <w:u w:val="single"/>
                <w:lang w:val="fr-FR"/>
              </w:rPr>
              <w:t xml:space="preserve">France </w:t>
            </w:r>
          </w:p>
          <w:p w14:paraId="2FAA68E4" w14:textId="5063D4E3" w:rsidR="00151EB1" w:rsidRPr="00151EB1" w:rsidRDefault="00151EB1" w:rsidP="00151EB1">
            <w:pPr>
              <w:snapToGrid w:val="0"/>
              <w:rPr>
                <w:lang w:val="fr-FR"/>
              </w:rPr>
            </w:pPr>
            <w:r w:rsidRPr="00151EB1">
              <w:rPr>
                <w:lang w:val="fr-FR"/>
              </w:rPr>
              <w:t>Xylophene Expert Xylo Extrême</w:t>
            </w:r>
          </w:p>
          <w:p w14:paraId="3786D00A" w14:textId="77777777" w:rsidR="00151EB1" w:rsidRPr="00151EB1" w:rsidRDefault="00151EB1" w:rsidP="00151EB1">
            <w:pPr>
              <w:snapToGrid w:val="0"/>
              <w:rPr>
                <w:lang w:val="fr-FR"/>
              </w:rPr>
            </w:pPr>
            <w:r w:rsidRPr="00151EB1">
              <w:rPr>
                <w:lang w:val="fr-FR"/>
              </w:rPr>
              <w:t>Xylophène Professionnel SOR40</w:t>
            </w:r>
          </w:p>
          <w:p w14:paraId="49E7E7F9" w14:textId="77777777" w:rsidR="00151EB1" w:rsidRPr="00151EB1" w:rsidRDefault="00151EB1" w:rsidP="00151EB1">
            <w:pPr>
              <w:snapToGrid w:val="0"/>
              <w:rPr>
                <w:lang w:val="fr-FR"/>
              </w:rPr>
            </w:pPr>
            <w:r w:rsidRPr="00151EB1">
              <w:rPr>
                <w:lang w:val="fr-FR"/>
              </w:rPr>
              <w:t>Xylophene Curatif SORX 2000</w:t>
            </w:r>
          </w:p>
          <w:p w14:paraId="60BB1B37" w14:textId="77777777" w:rsidR="00151EB1" w:rsidRPr="00151EB1" w:rsidRDefault="00151EB1" w:rsidP="00151EB1">
            <w:pPr>
              <w:snapToGrid w:val="0"/>
              <w:rPr>
                <w:lang w:val="fr-FR"/>
              </w:rPr>
            </w:pPr>
            <w:r w:rsidRPr="00151EB1">
              <w:rPr>
                <w:lang w:val="fr-FR"/>
              </w:rPr>
              <w:t>Xylophène Industrie Xylobati SORX 2000</w:t>
            </w:r>
          </w:p>
          <w:p w14:paraId="050FEC12" w14:textId="77777777" w:rsidR="00151EB1" w:rsidRPr="00151EB1" w:rsidRDefault="00151EB1" w:rsidP="00151EB1">
            <w:pPr>
              <w:snapToGrid w:val="0"/>
              <w:rPr>
                <w:lang w:val="fr-FR"/>
              </w:rPr>
            </w:pPr>
            <w:r w:rsidRPr="00151EB1">
              <w:rPr>
                <w:lang w:val="fr-FR"/>
              </w:rPr>
              <w:t>Xylophene Préventif SGR 2002</w:t>
            </w:r>
          </w:p>
          <w:p w14:paraId="46CEE402" w14:textId="77777777" w:rsidR="009D0C0B" w:rsidRDefault="00151EB1" w:rsidP="00151EB1">
            <w:pPr>
              <w:snapToGrid w:val="0"/>
              <w:rPr>
                <w:lang w:val="fr-FR"/>
              </w:rPr>
            </w:pPr>
            <w:r w:rsidRPr="00151EB1">
              <w:rPr>
                <w:lang w:val="fr-FR"/>
              </w:rPr>
              <w:t>Xylophène Industrie Xyloprotect SGR 2002</w:t>
            </w:r>
          </w:p>
          <w:p w14:paraId="64332D76" w14:textId="77777777" w:rsidR="006E26A4" w:rsidRPr="00B56A2C" w:rsidRDefault="002A5986" w:rsidP="002A5986">
            <w:pPr>
              <w:pStyle w:val="Default"/>
              <w:ind w:left="4" w:right="114" w:hanging="4"/>
              <w:jc w:val="both"/>
              <w:rPr>
                <w:rFonts w:ascii="Arial" w:hAnsi="Arial" w:cs="Arial"/>
                <w:sz w:val="20"/>
                <w:lang w:val="fr-FR"/>
              </w:rPr>
            </w:pPr>
            <w:r w:rsidRPr="00B56A2C">
              <w:rPr>
                <w:rFonts w:ascii="Arial" w:hAnsi="Arial" w:cs="Arial"/>
                <w:sz w:val="20"/>
                <w:u w:val="single"/>
                <w:lang w:val="fr-FR"/>
              </w:rPr>
              <w:t>Spain :</w:t>
            </w:r>
            <w:r w:rsidRPr="00B56A2C">
              <w:rPr>
                <w:rFonts w:ascii="Arial" w:hAnsi="Arial" w:cs="Arial"/>
                <w:sz w:val="20"/>
                <w:lang w:val="fr-FR"/>
              </w:rPr>
              <w:t xml:space="preserve"> </w:t>
            </w:r>
          </w:p>
          <w:p w14:paraId="05A5B381" w14:textId="77777777" w:rsidR="006E26A4" w:rsidRPr="00B56A2C" w:rsidRDefault="002A5986" w:rsidP="002A5986">
            <w:pPr>
              <w:pStyle w:val="Default"/>
              <w:ind w:left="4" w:right="114" w:hanging="4"/>
              <w:jc w:val="both"/>
              <w:rPr>
                <w:rFonts w:ascii="Arial" w:hAnsi="Arial" w:cs="Arial"/>
                <w:sz w:val="20"/>
                <w:lang w:val="fr-FR"/>
              </w:rPr>
            </w:pPr>
            <w:r w:rsidRPr="00B56A2C">
              <w:rPr>
                <w:rFonts w:ascii="Arial" w:hAnsi="Arial" w:cs="Arial"/>
                <w:sz w:val="20"/>
                <w:lang w:val="fr-FR"/>
              </w:rPr>
              <w:t xml:space="preserve">Xylophène S.O.R. 40, </w:t>
            </w:r>
          </w:p>
          <w:p w14:paraId="561BC1EF" w14:textId="3C5368E4" w:rsidR="006E26A4" w:rsidRPr="00B7552D" w:rsidRDefault="002A5986" w:rsidP="002A5986">
            <w:pPr>
              <w:pStyle w:val="Default"/>
              <w:ind w:left="4" w:right="114" w:hanging="4"/>
              <w:jc w:val="both"/>
              <w:rPr>
                <w:rFonts w:ascii="Arial" w:hAnsi="Arial" w:cs="Arial"/>
                <w:sz w:val="20"/>
                <w:lang w:val="es-US"/>
              </w:rPr>
            </w:pPr>
            <w:r w:rsidRPr="00B7552D">
              <w:rPr>
                <w:rFonts w:ascii="Arial" w:hAnsi="Arial" w:cs="Arial"/>
                <w:sz w:val="20"/>
                <w:lang w:val="es-US"/>
              </w:rPr>
              <w:t>Xylophène S.O.R. 2 EXTREME</w:t>
            </w:r>
          </w:p>
          <w:p w14:paraId="4442EB8D" w14:textId="01EBDD79" w:rsidR="002A5986" w:rsidRPr="00B7552D" w:rsidRDefault="002A5986" w:rsidP="002A5986">
            <w:pPr>
              <w:pStyle w:val="Default"/>
              <w:ind w:left="4" w:right="114" w:hanging="4"/>
              <w:jc w:val="both"/>
              <w:rPr>
                <w:rFonts w:ascii="Arial" w:hAnsi="Arial" w:cs="Arial"/>
                <w:sz w:val="20"/>
                <w:lang w:val="es-US"/>
              </w:rPr>
            </w:pPr>
            <w:r w:rsidRPr="00B7552D">
              <w:rPr>
                <w:rFonts w:ascii="Arial" w:hAnsi="Arial" w:cs="Arial"/>
                <w:sz w:val="20"/>
                <w:lang w:val="es-US"/>
              </w:rPr>
              <w:t>Bondex Classic Fondo Matacarcomas</w:t>
            </w:r>
          </w:p>
          <w:p w14:paraId="509C10CC" w14:textId="77777777" w:rsidR="006E26A4" w:rsidRPr="00B7552D" w:rsidRDefault="002A5986" w:rsidP="002A5986">
            <w:pPr>
              <w:pStyle w:val="Default"/>
              <w:ind w:left="4" w:right="114" w:hanging="4"/>
              <w:jc w:val="both"/>
              <w:rPr>
                <w:rFonts w:ascii="Arial" w:hAnsi="Arial" w:cs="Arial"/>
                <w:sz w:val="20"/>
                <w:u w:val="single"/>
                <w:lang w:val="es-US"/>
              </w:rPr>
            </w:pPr>
            <w:proofErr w:type="gramStart"/>
            <w:r w:rsidRPr="00B7552D">
              <w:rPr>
                <w:rFonts w:ascii="Arial" w:hAnsi="Arial" w:cs="Arial"/>
                <w:sz w:val="20"/>
                <w:u w:val="single"/>
                <w:lang w:val="es-US"/>
              </w:rPr>
              <w:t>Portugal :</w:t>
            </w:r>
            <w:proofErr w:type="gramEnd"/>
          </w:p>
          <w:p w14:paraId="118C31BC" w14:textId="66EBD6B5" w:rsidR="006E26A4" w:rsidRPr="00B7552D" w:rsidRDefault="002A5986" w:rsidP="002A5986">
            <w:pPr>
              <w:pStyle w:val="Default"/>
              <w:ind w:left="4" w:right="114" w:hanging="4"/>
              <w:jc w:val="both"/>
              <w:rPr>
                <w:rFonts w:ascii="Arial" w:hAnsi="Arial" w:cs="Arial"/>
                <w:sz w:val="20"/>
                <w:lang w:val="es-US"/>
              </w:rPr>
            </w:pPr>
            <w:r w:rsidRPr="00B7552D">
              <w:rPr>
                <w:rFonts w:ascii="Arial" w:hAnsi="Arial" w:cs="Arial"/>
                <w:sz w:val="20"/>
                <w:lang w:val="es-US"/>
              </w:rPr>
              <w:t>Xylophène S.O.R. 40</w:t>
            </w:r>
          </w:p>
          <w:p w14:paraId="56535544" w14:textId="0098BC78" w:rsidR="002A5986" w:rsidRPr="00B7552D" w:rsidRDefault="002A5986" w:rsidP="002A5986">
            <w:pPr>
              <w:pStyle w:val="Default"/>
              <w:ind w:left="4" w:right="114" w:hanging="4"/>
              <w:jc w:val="both"/>
              <w:rPr>
                <w:rFonts w:ascii="Arial" w:hAnsi="Arial" w:cs="Arial"/>
                <w:sz w:val="20"/>
                <w:lang w:val="es-US"/>
              </w:rPr>
            </w:pPr>
            <w:r w:rsidRPr="00B7552D">
              <w:rPr>
                <w:rFonts w:ascii="Arial" w:hAnsi="Arial" w:cs="Arial"/>
                <w:sz w:val="20"/>
                <w:lang w:val="es-US"/>
              </w:rPr>
              <w:t>Xylophène S.O.R. 2 EXTREME</w:t>
            </w:r>
          </w:p>
          <w:p w14:paraId="55FAF1C3" w14:textId="77777777" w:rsidR="002A5986" w:rsidRPr="00DC5E48" w:rsidRDefault="002A5986" w:rsidP="002A5986">
            <w:pPr>
              <w:pStyle w:val="Default"/>
              <w:ind w:left="4" w:right="114" w:hanging="4"/>
              <w:jc w:val="both"/>
              <w:rPr>
                <w:rFonts w:ascii="Arial" w:hAnsi="Arial" w:cs="Arial"/>
                <w:sz w:val="20"/>
              </w:rPr>
            </w:pPr>
            <w:r w:rsidRPr="002A5986">
              <w:rPr>
                <w:rFonts w:ascii="Arial" w:hAnsi="Arial" w:cs="Arial"/>
                <w:sz w:val="20"/>
                <w:u w:val="single"/>
              </w:rPr>
              <w:t>Greece :</w:t>
            </w:r>
            <w:r>
              <w:rPr>
                <w:rFonts w:ascii="Arial" w:hAnsi="Arial" w:cs="Arial"/>
                <w:sz w:val="20"/>
              </w:rPr>
              <w:t xml:space="preserve"> Gori 22</w:t>
            </w:r>
          </w:p>
          <w:p w14:paraId="17199A70" w14:textId="77777777" w:rsidR="002A5986" w:rsidRPr="00DC5E48" w:rsidRDefault="002A5986" w:rsidP="002A5986">
            <w:pPr>
              <w:pStyle w:val="Default"/>
              <w:ind w:left="4" w:right="114" w:hanging="4"/>
              <w:jc w:val="both"/>
              <w:rPr>
                <w:rFonts w:ascii="Arial" w:hAnsi="Arial" w:cs="Arial"/>
                <w:sz w:val="20"/>
              </w:rPr>
            </w:pPr>
            <w:r w:rsidRPr="002A5986">
              <w:rPr>
                <w:rFonts w:ascii="Arial" w:hAnsi="Arial" w:cs="Arial"/>
                <w:sz w:val="20"/>
                <w:u w:val="single"/>
              </w:rPr>
              <w:t>Italy :</w:t>
            </w:r>
            <w:r>
              <w:rPr>
                <w:rFonts w:ascii="Arial" w:hAnsi="Arial" w:cs="Arial"/>
                <w:sz w:val="20"/>
              </w:rPr>
              <w:t xml:space="preserve"> Gori 22 </w:t>
            </w:r>
          </w:p>
          <w:p w14:paraId="4C4670EF" w14:textId="77777777" w:rsidR="002A5986" w:rsidRPr="00DC5E48" w:rsidRDefault="002A5986" w:rsidP="002A5986">
            <w:pPr>
              <w:pStyle w:val="Default"/>
              <w:ind w:left="4" w:right="114" w:hanging="4"/>
              <w:jc w:val="both"/>
              <w:rPr>
                <w:rFonts w:ascii="Arial" w:hAnsi="Arial" w:cs="Arial"/>
                <w:sz w:val="20"/>
              </w:rPr>
            </w:pPr>
            <w:r w:rsidRPr="002A5986">
              <w:rPr>
                <w:rFonts w:ascii="Arial" w:hAnsi="Arial" w:cs="Arial"/>
                <w:sz w:val="20"/>
                <w:u w:val="single"/>
              </w:rPr>
              <w:t>Switzerland :</w:t>
            </w:r>
            <w:r>
              <w:rPr>
                <w:rFonts w:ascii="Arial" w:hAnsi="Arial" w:cs="Arial"/>
                <w:sz w:val="20"/>
              </w:rPr>
              <w:t xml:space="preserve"> Gori 22</w:t>
            </w:r>
          </w:p>
          <w:p w14:paraId="45676E25" w14:textId="77777777" w:rsidR="002A5986" w:rsidRPr="00DC5E48" w:rsidRDefault="002A5986" w:rsidP="002A5986">
            <w:pPr>
              <w:pStyle w:val="Default"/>
              <w:ind w:left="4" w:right="114" w:hanging="4"/>
              <w:jc w:val="both"/>
              <w:rPr>
                <w:rFonts w:ascii="Arial" w:hAnsi="Arial" w:cs="Arial"/>
                <w:sz w:val="20"/>
              </w:rPr>
            </w:pPr>
            <w:r w:rsidRPr="002A5986">
              <w:rPr>
                <w:rFonts w:ascii="Arial" w:hAnsi="Arial" w:cs="Arial"/>
                <w:sz w:val="20"/>
                <w:u w:val="single"/>
              </w:rPr>
              <w:t>Belgium :</w:t>
            </w:r>
            <w:r>
              <w:rPr>
                <w:rFonts w:ascii="Arial" w:hAnsi="Arial" w:cs="Arial"/>
                <w:sz w:val="20"/>
              </w:rPr>
              <w:t xml:space="preserve"> Madurox Bi-Activ I</w:t>
            </w:r>
          </w:p>
          <w:p w14:paraId="2BF95BCE" w14:textId="77777777" w:rsidR="002A5986" w:rsidRPr="00DC5E48" w:rsidRDefault="002A5986" w:rsidP="002A5986">
            <w:pPr>
              <w:pStyle w:val="Default"/>
              <w:ind w:left="4" w:right="114" w:hanging="4"/>
              <w:jc w:val="both"/>
              <w:rPr>
                <w:rFonts w:ascii="Arial" w:hAnsi="Arial" w:cs="Arial"/>
                <w:sz w:val="20"/>
              </w:rPr>
            </w:pPr>
            <w:r w:rsidRPr="002A5986">
              <w:rPr>
                <w:rFonts w:ascii="Arial" w:hAnsi="Arial" w:cs="Arial"/>
                <w:sz w:val="20"/>
                <w:u w:val="single"/>
              </w:rPr>
              <w:t>Luxembourg :</w:t>
            </w:r>
            <w:r>
              <w:rPr>
                <w:rFonts w:ascii="Arial" w:hAnsi="Arial" w:cs="Arial"/>
                <w:sz w:val="20"/>
              </w:rPr>
              <w:t xml:space="preserve"> Madurox Bi-Activ</w:t>
            </w:r>
          </w:p>
          <w:p w14:paraId="1843C9ED" w14:textId="77777777" w:rsidR="002A5986" w:rsidRPr="00DC5E48" w:rsidRDefault="002A5986" w:rsidP="002A5986">
            <w:pPr>
              <w:pStyle w:val="Default"/>
              <w:ind w:left="4" w:right="114" w:hanging="4"/>
              <w:jc w:val="both"/>
              <w:rPr>
                <w:rFonts w:ascii="Arial" w:hAnsi="Arial" w:cs="Arial"/>
                <w:sz w:val="20"/>
              </w:rPr>
            </w:pPr>
            <w:r w:rsidRPr="002A5986">
              <w:rPr>
                <w:rFonts w:ascii="Arial" w:hAnsi="Arial" w:cs="Arial"/>
                <w:sz w:val="20"/>
                <w:u w:val="single"/>
              </w:rPr>
              <w:t>UK :</w:t>
            </w:r>
            <w:r>
              <w:rPr>
                <w:rFonts w:ascii="Arial" w:hAnsi="Arial" w:cs="Arial"/>
                <w:sz w:val="20"/>
              </w:rPr>
              <w:t xml:space="preserve"> Gori 22</w:t>
            </w:r>
          </w:p>
          <w:p w14:paraId="7BA645A3" w14:textId="77777777" w:rsidR="002A5986" w:rsidRPr="00DC5E48" w:rsidRDefault="002A5986" w:rsidP="002A5986">
            <w:pPr>
              <w:pStyle w:val="Default"/>
              <w:ind w:left="4" w:right="114" w:hanging="4"/>
              <w:jc w:val="both"/>
              <w:rPr>
                <w:rFonts w:ascii="Arial" w:hAnsi="Arial" w:cs="Arial"/>
                <w:sz w:val="20"/>
              </w:rPr>
            </w:pPr>
            <w:r w:rsidRPr="002A5986">
              <w:rPr>
                <w:rFonts w:ascii="Arial" w:hAnsi="Arial" w:cs="Arial"/>
                <w:sz w:val="20"/>
                <w:u w:val="single"/>
              </w:rPr>
              <w:t>Denmark :</w:t>
            </w:r>
            <w:r>
              <w:rPr>
                <w:rFonts w:ascii="Arial" w:hAnsi="Arial" w:cs="Arial"/>
                <w:sz w:val="20"/>
              </w:rPr>
              <w:t xml:space="preserve"> </w:t>
            </w:r>
            <w:r w:rsidRPr="00DC5E48">
              <w:rPr>
                <w:rFonts w:ascii="Arial" w:hAnsi="Arial" w:cs="Arial"/>
                <w:sz w:val="20"/>
              </w:rPr>
              <w:t>Gor</w:t>
            </w:r>
            <w:r>
              <w:rPr>
                <w:rFonts w:ascii="Arial" w:hAnsi="Arial" w:cs="Arial"/>
                <w:sz w:val="20"/>
              </w:rPr>
              <w:t xml:space="preserve">i Stop </w:t>
            </w:r>
            <w:r w:rsidRPr="00B7552D">
              <w:rPr>
                <w:rFonts w:ascii="Arial" w:hAnsi="Arial" w:cs="Arial"/>
                <w:strike/>
                <w:sz w:val="20"/>
              </w:rPr>
              <w:t>Svamp &amp;</w:t>
            </w:r>
            <w:r>
              <w:rPr>
                <w:rFonts w:ascii="Arial" w:hAnsi="Arial" w:cs="Arial"/>
                <w:sz w:val="20"/>
              </w:rPr>
              <w:t xml:space="preserve"> Insekt</w:t>
            </w:r>
          </w:p>
          <w:p w14:paraId="34CA756D" w14:textId="77777777" w:rsidR="002A5986" w:rsidRPr="00DC5E48" w:rsidRDefault="002A5986" w:rsidP="002A5986">
            <w:pPr>
              <w:pStyle w:val="Default"/>
              <w:ind w:left="4" w:right="114" w:hanging="4"/>
              <w:jc w:val="both"/>
              <w:rPr>
                <w:rFonts w:ascii="Arial" w:hAnsi="Arial" w:cs="Arial"/>
                <w:sz w:val="20"/>
              </w:rPr>
            </w:pPr>
            <w:r w:rsidRPr="002A5986">
              <w:rPr>
                <w:rFonts w:ascii="Arial" w:hAnsi="Arial" w:cs="Arial"/>
                <w:sz w:val="20"/>
                <w:u w:val="single"/>
              </w:rPr>
              <w:t>Norway :</w:t>
            </w:r>
            <w:r>
              <w:rPr>
                <w:rFonts w:ascii="Arial" w:hAnsi="Arial" w:cs="Arial"/>
                <w:sz w:val="20"/>
              </w:rPr>
              <w:t xml:space="preserve"> Gori Stop </w:t>
            </w:r>
            <w:r w:rsidRPr="00B7552D">
              <w:rPr>
                <w:rFonts w:ascii="Arial" w:hAnsi="Arial" w:cs="Arial"/>
                <w:strike/>
                <w:sz w:val="20"/>
              </w:rPr>
              <w:t>Svamp &amp;</w:t>
            </w:r>
            <w:r>
              <w:rPr>
                <w:rFonts w:ascii="Arial" w:hAnsi="Arial" w:cs="Arial"/>
                <w:sz w:val="20"/>
              </w:rPr>
              <w:t xml:space="preserve"> Insekt</w:t>
            </w:r>
          </w:p>
          <w:p w14:paraId="5607B023" w14:textId="77777777" w:rsidR="002A5986" w:rsidRPr="00DC5E48" w:rsidRDefault="002A5986" w:rsidP="002A5986">
            <w:pPr>
              <w:pStyle w:val="Default"/>
              <w:ind w:left="4" w:right="114" w:hanging="4"/>
              <w:jc w:val="both"/>
              <w:rPr>
                <w:rFonts w:ascii="Arial" w:hAnsi="Arial" w:cs="Arial"/>
                <w:sz w:val="20"/>
              </w:rPr>
            </w:pPr>
            <w:r w:rsidRPr="002A5986">
              <w:rPr>
                <w:rFonts w:ascii="Arial" w:hAnsi="Arial" w:cs="Arial"/>
                <w:sz w:val="20"/>
                <w:u w:val="single"/>
              </w:rPr>
              <w:t>Sweden :</w:t>
            </w:r>
            <w:r>
              <w:rPr>
                <w:rFonts w:ascii="Arial" w:hAnsi="Arial" w:cs="Arial"/>
                <w:sz w:val="20"/>
              </w:rPr>
              <w:t xml:space="preserve"> Gori Stop </w:t>
            </w:r>
            <w:r w:rsidRPr="00B7552D">
              <w:rPr>
                <w:rFonts w:ascii="Arial" w:hAnsi="Arial" w:cs="Arial"/>
                <w:strike/>
                <w:sz w:val="20"/>
              </w:rPr>
              <w:t>Svamp &amp;</w:t>
            </w:r>
            <w:r>
              <w:rPr>
                <w:rFonts w:ascii="Arial" w:hAnsi="Arial" w:cs="Arial"/>
                <w:sz w:val="20"/>
              </w:rPr>
              <w:t xml:space="preserve"> Insekt</w:t>
            </w:r>
          </w:p>
          <w:p w14:paraId="7FFD0AE0" w14:textId="04D11750" w:rsidR="002A5986" w:rsidRPr="00DC5E48" w:rsidRDefault="002A5986" w:rsidP="002A5986">
            <w:pPr>
              <w:pStyle w:val="Default"/>
              <w:ind w:left="4" w:right="114" w:hanging="4"/>
              <w:jc w:val="both"/>
              <w:rPr>
                <w:rFonts w:ascii="Arial" w:hAnsi="Arial" w:cs="Arial"/>
                <w:sz w:val="20"/>
              </w:rPr>
            </w:pPr>
            <w:r w:rsidRPr="002A5986">
              <w:rPr>
                <w:rFonts w:ascii="Arial" w:hAnsi="Arial" w:cs="Arial"/>
                <w:sz w:val="20"/>
                <w:u w:val="single"/>
              </w:rPr>
              <w:t>Hungary</w:t>
            </w:r>
            <w:r>
              <w:rPr>
                <w:rFonts w:ascii="Arial" w:hAnsi="Arial" w:cs="Arial"/>
                <w:sz w:val="20"/>
              </w:rPr>
              <w:t xml:space="preserve"> : </w:t>
            </w:r>
            <w:r w:rsidRPr="00DC5E48">
              <w:rPr>
                <w:rFonts w:ascii="Arial" w:hAnsi="Arial" w:cs="Arial"/>
                <w:sz w:val="20"/>
              </w:rPr>
              <w:t>LAZURÁN UNIVERZÁLIS FAANYAGVÉDŐSZER</w:t>
            </w:r>
            <w:r w:rsidRPr="00DC5E48">
              <w:rPr>
                <w:rFonts w:ascii="Arial" w:hAnsi="Arial" w:cs="Arial"/>
                <w:sz w:val="20"/>
              </w:rPr>
              <w:tab/>
              <w:t xml:space="preserve"> </w:t>
            </w:r>
          </w:p>
          <w:p w14:paraId="29971D40" w14:textId="77777777" w:rsidR="002A5986" w:rsidRPr="00DC5E48" w:rsidRDefault="002A5986" w:rsidP="002A5986">
            <w:pPr>
              <w:pStyle w:val="Default"/>
              <w:ind w:left="4" w:right="114" w:hanging="4"/>
              <w:jc w:val="both"/>
              <w:rPr>
                <w:rFonts w:ascii="Arial" w:hAnsi="Arial" w:cs="Arial"/>
                <w:sz w:val="20"/>
              </w:rPr>
            </w:pPr>
            <w:r w:rsidRPr="002A5986">
              <w:rPr>
                <w:rFonts w:ascii="Arial" w:hAnsi="Arial" w:cs="Arial"/>
                <w:sz w:val="20"/>
                <w:u w:val="single"/>
              </w:rPr>
              <w:t>Romania</w:t>
            </w:r>
            <w:r w:rsidRPr="00DC5E48">
              <w:rPr>
                <w:rFonts w:ascii="Arial" w:hAnsi="Arial" w:cs="Arial"/>
                <w:sz w:val="20"/>
              </w:rPr>
              <w:t xml:space="preserve"> </w:t>
            </w:r>
            <w:r>
              <w:rPr>
                <w:rFonts w:ascii="Arial" w:hAnsi="Arial" w:cs="Arial"/>
                <w:sz w:val="20"/>
              </w:rPr>
              <w:t xml:space="preserve">: </w:t>
            </w:r>
            <w:r w:rsidRPr="00DC5E48">
              <w:rPr>
                <w:rFonts w:ascii="Arial" w:hAnsi="Arial" w:cs="Arial"/>
                <w:sz w:val="20"/>
              </w:rPr>
              <w:t xml:space="preserve">LAZURÁN UNIVERZÁLIS FAANYAGVÉDŐSZER </w:t>
            </w:r>
            <w:r w:rsidRPr="00DC5E48">
              <w:rPr>
                <w:rFonts w:ascii="Arial" w:hAnsi="Arial" w:cs="Arial"/>
                <w:sz w:val="20"/>
              </w:rPr>
              <w:tab/>
            </w:r>
          </w:p>
          <w:p w14:paraId="2549ED0E" w14:textId="77777777" w:rsidR="002A5986" w:rsidRDefault="002A5986" w:rsidP="002A5986">
            <w:pPr>
              <w:pStyle w:val="Default"/>
              <w:ind w:left="4" w:right="114" w:hanging="4"/>
              <w:jc w:val="both"/>
              <w:rPr>
                <w:rFonts w:ascii="Arial" w:hAnsi="Arial" w:cs="Arial"/>
                <w:sz w:val="20"/>
              </w:rPr>
            </w:pPr>
            <w:r w:rsidRPr="002A5986">
              <w:rPr>
                <w:rFonts w:ascii="Arial" w:hAnsi="Arial" w:cs="Arial"/>
                <w:sz w:val="20"/>
                <w:u w:val="single"/>
              </w:rPr>
              <w:t>Czech Republic :</w:t>
            </w:r>
            <w:r>
              <w:rPr>
                <w:rFonts w:ascii="Arial" w:hAnsi="Arial" w:cs="Arial"/>
                <w:sz w:val="20"/>
              </w:rPr>
              <w:t xml:space="preserve"> </w:t>
            </w:r>
            <w:r w:rsidRPr="00DC5E48">
              <w:rPr>
                <w:rFonts w:ascii="Arial" w:hAnsi="Arial" w:cs="Arial"/>
                <w:sz w:val="20"/>
              </w:rPr>
              <w:t xml:space="preserve">PRIMALEX Syntétické </w:t>
            </w:r>
            <w:r>
              <w:rPr>
                <w:rFonts w:ascii="Arial" w:hAnsi="Arial" w:cs="Arial"/>
                <w:sz w:val="20"/>
              </w:rPr>
              <w:t>Fungicidni NAPOUŠTĚDLO Na DŘEVO</w:t>
            </w:r>
          </w:p>
          <w:p w14:paraId="4EE00EE8" w14:textId="2017EC88" w:rsidR="002A5986" w:rsidRPr="0021636F" w:rsidRDefault="002A5986" w:rsidP="002A5986">
            <w:pPr>
              <w:snapToGrid w:val="0"/>
            </w:pPr>
            <w:r w:rsidRPr="002A5986">
              <w:rPr>
                <w:rFonts w:ascii="Arial" w:hAnsi="Arial" w:cs="Arial"/>
                <w:u w:val="single"/>
              </w:rPr>
              <w:t>Slovakia</w:t>
            </w:r>
            <w:r w:rsidRPr="002A5986">
              <w:rPr>
                <w:rFonts w:ascii="Arial" w:hAnsi="Arial" w:cs="Arial"/>
              </w:rPr>
              <w:t xml:space="preserve"> </w:t>
            </w:r>
            <w:r>
              <w:rPr>
                <w:rFonts w:ascii="Arial" w:hAnsi="Arial" w:cs="Arial"/>
              </w:rPr>
              <w:t xml:space="preserve">: </w:t>
            </w:r>
            <w:r w:rsidRPr="00DC5E48">
              <w:rPr>
                <w:rFonts w:ascii="Arial" w:hAnsi="Arial" w:cs="Arial"/>
              </w:rPr>
              <w:t>PRIMALEX Syntétické Fungicidni NAPOUŠTĚDLO Na DŘEVO</w:t>
            </w:r>
          </w:p>
        </w:tc>
        <w:tc>
          <w:tcPr>
            <w:tcW w:w="4257" w:type="dxa"/>
            <w:tcBorders>
              <w:left w:val="single" w:sz="4" w:space="0" w:color="000000"/>
              <w:bottom w:val="single" w:sz="4" w:space="0" w:color="000000"/>
              <w:right w:val="single" w:sz="4" w:space="0" w:color="000000"/>
            </w:tcBorders>
            <w:shd w:val="clear" w:color="auto" w:fill="auto"/>
          </w:tcPr>
          <w:p w14:paraId="04A8C61B" w14:textId="77777777" w:rsidR="009D0C0B" w:rsidRPr="004C6BCE" w:rsidRDefault="00351185">
            <w:pPr>
              <w:snapToGrid w:val="0"/>
              <w:rPr>
                <w:lang w:val="fr-FR"/>
              </w:rPr>
            </w:pPr>
            <w:r w:rsidRPr="004C6BCE">
              <w:rPr>
                <w:lang w:val="fr-FR"/>
              </w:rPr>
              <w:t xml:space="preserve">France </w:t>
            </w:r>
          </w:p>
        </w:tc>
      </w:tr>
    </w:tbl>
    <w:p w14:paraId="2E88B7A4" w14:textId="76A0ABF8" w:rsidR="00A41D55" w:rsidRDefault="00A41D55" w:rsidP="00B7552D">
      <w:pPr>
        <w:rPr>
          <w:lang w:eastAsia="en-GB"/>
        </w:rPr>
      </w:pPr>
      <w:bookmarkStart w:id="9" w:name="d0e350"/>
    </w:p>
    <w:p w14:paraId="0CF2424B" w14:textId="1C4A089D" w:rsidR="00A41D55" w:rsidRPr="00B7552D" w:rsidRDefault="00A41D55" w:rsidP="00B7552D">
      <w:pPr>
        <w:rPr>
          <w:lang w:eastAsia="en-GB"/>
        </w:rPr>
      </w:pPr>
      <w:r>
        <w:rPr>
          <w:lang w:eastAsia="en-GB"/>
        </w:rPr>
        <w:t>As no fungi efficacy claim is accepted, commercial names that refer to this activy have to be modified.</w:t>
      </w:r>
    </w:p>
    <w:p w14:paraId="6B6921F8" w14:textId="294DF3A5" w:rsidR="009D0C0B" w:rsidRDefault="00FA480B">
      <w:pPr>
        <w:pStyle w:val="Titre4"/>
        <w:rPr>
          <w:b/>
          <w:bCs/>
          <w:color w:val="000000"/>
          <w:lang w:eastAsia="en-GB"/>
        </w:rPr>
      </w:pPr>
      <w:bookmarkStart w:id="10" w:name="_Toc536627244"/>
      <w:r>
        <w:t>Authorisation holder</w:t>
      </w:r>
      <w:bookmarkEnd w:id="10"/>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D37C68" w14:paraId="5E34F458"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3B4928DF" w14:textId="77777777" w:rsidR="00D37C68" w:rsidRDefault="00D37C68">
            <w:pPr>
              <w:rPr>
                <w:b/>
              </w:rPr>
            </w:pPr>
            <w:bookmarkStart w:id="11" w:name="d0e66"/>
            <w:bookmarkEnd w:id="11"/>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00B1BD92" w14:textId="77777777" w:rsidR="00D37C68" w:rsidRDefault="00D37C68">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3DC23340" w14:textId="77777777" w:rsidR="00D37C68" w:rsidRPr="00193CF1" w:rsidRDefault="00D37C68" w:rsidP="00632E59">
            <w:pPr>
              <w:snapToGrid w:val="0"/>
            </w:pPr>
            <w:r w:rsidRPr="00193CF1">
              <w:t>PPG AC - France SA</w:t>
            </w:r>
          </w:p>
        </w:tc>
      </w:tr>
      <w:tr w:rsidR="00D37C68" w14:paraId="49DBD158"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308EADF5" w14:textId="77777777" w:rsidR="00D37C68" w:rsidRDefault="00D37C68"/>
        </w:tc>
        <w:tc>
          <w:tcPr>
            <w:tcW w:w="1115" w:type="dxa"/>
            <w:tcBorders>
              <w:left w:val="single" w:sz="4" w:space="0" w:color="auto"/>
              <w:bottom w:val="single" w:sz="4" w:space="0" w:color="000000"/>
            </w:tcBorders>
            <w:shd w:val="clear" w:color="auto" w:fill="auto"/>
          </w:tcPr>
          <w:p w14:paraId="6CB46F9C" w14:textId="77777777" w:rsidR="00D37C68" w:rsidRDefault="00D37C68">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612AAB2E" w14:textId="77777777" w:rsidR="00D37C68" w:rsidRPr="00C8678B" w:rsidRDefault="00D37C68" w:rsidP="00632E59">
            <w:pPr>
              <w:snapToGrid w:val="0"/>
              <w:rPr>
                <w:lang w:val="fr-FR"/>
              </w:rPr>
            </w:pPr>
            <w:r w:rsidRPr="00C8678B">
              <w:rPr>
                <w:lang w:val="fr-FR"/>
              </w:rPr>
              <w:t>1 rue de l'Union</w:t>
            </w:r>
          </w:p>
          <w:p w14:paraId="3CF5F920" w14:textId="77777777" w:rsidR="00D37C68" w:rsidRPr="00C8678B" w:rsidRDefault="00D37C68" w:rsidP="00632E59">
            <w:pPr>
              <w:snapToGrid w:val="0"/>
              <w:rPr>
                <w:lang w:val="fr-FR"/>
              </w:rPr>
            </w:pPr>
            <w:r w:rsidRPr="00C8678B">
              <w:rPr>
                <w:lang w:val="fr-FR"/>
              </w:rPr>
              <w:t>Immeuble Union Square, CS10055</w:t>
            </w:r>
          </w:p>
          <w:p w14:paraId="43630C4D" w14:textId="77777777" w:rsidR="00D37C68" w:rsidRPr="00193CF1" w:rsidRDefault="00D37C68" w:rsidP="00632E59">
            <w:pPr>
              <w:snapToGrid w:val="0"/>
            </w:pPr>
            <w:r w:rsidRPr="00193CF1">
              <w:t>92565 Rueil-Malmaison</w:t>
            </w:r>
          </w:p>
        </w:tc>
      </w:tr>
      <w:tr w:rsidR="009D0C0B" w14:paraId="5183CA1C"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10FB01FA"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0887819B" w14:textId="7EE14CDB" w:rsidR="009D0C0B" w:rsidRDefault="00112DD6">
            <w:pPr>
              <w:snapToGrid w:val="0"/>
              <w:rPr>
                <w:b/>
              </w:rPr>
            </w:pPr>
            <w:r>
              <w:rPr>
                <w:b/>
              </w:rPr>
              <w:t>FR-2019-0021</w:t>
            </w:r>
          </w:p>
        </w:tc>
      </w:tr>
      <w:tr w:rsidR="009D0C0B" w14:paraId="562967B3" w14:textId="77777777" w:rsidTr="00F33B28">
        <w:tc>
          <w:tcPr>
            <w:tcW w:w="3397" w:type="dxa"/>
            <w:tcBorders>
              <w:top w:val="single" w:sz="4" w:space="0" w:color="auto"/>
              <w:left w:val="single" w:sz="4" w:space="0" w:color="000000"/>
              <w:bottom w:val="single" w:sz="4" w:space="0" w:color="000000"/>
            </w:tcBorders>
            <w:shd w:val="clear" w:color="auto" w:fill="auto"/>
          </w:tcPr>
          <w:p w14:paraId="47ED73DB"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7B8270AC" w14:textId="019D4124" w:rsidR="009D0C0B" w:rsidRDefault="00112DD6">
            <w:pPr>
              <w:snapToGrid w:val="0"/>
              <w:rPr>
                <w:b/>
              </w:rPr>
            </w:pPr>
            <w:r>
              <w:rPr>
                <w:b/>
              </w:rPr>
              <w:t>08/</w:t>
            </w:r>
            <w:bookmarkStart w:id="12" w:name="_GoBack"/>
            <w:bookmarkEnd w:id="12"/>
            <w:r>
              <w:rPr>
                <w:b/>
              </w:rPr>
              <w:t>04/2019</w:t>
            </w:r>
          </w:p>
        </w:tc>
      </w:tr>
      <w:tr w:rsidR="009D0C0B" w14:paraId="576DCE60" w14:textId="77777777">
        <w:tc>
          <w:tcPr>
            <w:tcW w:w="3397" w:type="dxa"/>
            <w:tcBorders>
              <w:left w:val="single" w:sz="4" w:space="0" w:color="000000"/>
              <w:bottom w:val="single" w:sz="4" w:space="0" w:color="000000"/>
            </w:tcBorders>
            <w:shd w:val="clear" w:color="auto" w:fill="auto"/>
          </w:tcPr>
          <w:p w14:paraId="0D7C298E"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6F52D2CC" w14:textId="4162EB96" w:rsidR="009D0C0B" w:rsidRDefault="00112DD6">
            <w:pPr>
              <w:snapToGrid w:val="0"/>
              <w:rPr>
                <w:b/>
              </w:rPr>
            </w:pPr>
            <w:r>
              <w:rPr>
                <w:b/>
              </w:rPr>
              <w:t>07/04/2024</w:t>
            </w:r>
          </w:p>
        </w:tc>
      </w:tr>
    </w:tbl>
    <w:p w14:paraId="2A9312DE" w14:textId="77777777" w:rsidR="009D0C0B" w:rsidRPr="00EC0D24" w:rsidRDefault="00FA480B">
      <w:pPr>
        <w:pStyle w:val="Titre4"/>
        <w:rPr>
          <w:b/>
          <w:bCs/>
          <w:color w:val="000000"/>
          <w:lang w:eastAsia="en-GB"/>
        </w:rPr>
      </w:pPr>
      <w:bookmarkStart w:id="13" w:name="d0e146"/>
      <w:bookmarkStart w:id="14" w:name="_Toc536627245"/>
      <w:r w:rsidRPr="00EC0D24">
        <w:lastRenderedPageBreak/>
        <w:t>Manufacturer of the products of the family</w:t>
      </w:r>
      <w:bookmarkEnd w:id="13"/>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FD6AFA" w:rsidRPr="00112DD6" w14:paraId="19193195" w14:textId="77777777">
        <w:tc>
          <w:tcPr>
            <w:tcW w:w="3397" w:type="dxa"/>
            <w:tcBorders>
              <w:top w:val="single" w:sz="4" w:space="0" w:color="000000"/>
              <w:left w:val="single" w:sz="4" w:space="0" w:color="000000"/>
              <w:bottom w:val="single" w:sz="4" w:space="0" w:color="000000"/>
            </w:tcBorders>
            <w:shd w:val="clear" w:color="auto" w:fill="auto"/>
          </w:tcPr>
          <w:p w14:paraId="674787E4" w14:textId="77777777" w:rsidR="00FD6AFA" w:rsidRDefault="00FD6AFA">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3E352D57" w14:textId="77777777" w:rsidR="00FD6AFA" w:rsidRPr="00DE6142" w:rsidRDefault="00FD6AFA" w:rsidP="00632E59">
            <w:pPr>
              <w:snapToGrid w:val="0"/>
              <w:rPr>
                <w:lang w:val="fr-FR"/>
              </w:rPr>
            </w:pPr>
            <w:r w:rsidRPr="00DE6142">
              <w:rPr>
                <w:lang w:val="fr-FR"/>
              </w:rPr>
              <w:t>PPG AC - France SA, Dyrup S.A.S.</w:t>
            </w:r>
          </w:p>
        </w:tc>
      </w:tr>
      <w:tr w:rsidR="00FD6AFA" w14:paraId="28DFB90F" w14:textId="77777777">
        <w:tc>
          <w:tcPr>
            <w:tcW w:w="3397" w:type="dxa"/>
            <w:tcBorders>
              <w:left w:val="single" w:sz="4" w:space="0" w:color="000000"/>
              <w:bottom w:val="single" w:sz="4" w:space="0" w:color="000000"/>
            </w:tcBorders>
            <w:shd w:val="clear" w:color="auto" w:fill="auto"/>
          </w:tcPr>
          <w:p w14:paraId="768FE5D6" w14:textId="77777777" w:rsidR="00FD6AFA" w:rsidRDefault="00FD6AFA">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0971323D" w14:textId="77777777" w:rsidR="00FD6AFA" w:rsidRPr="00DE6142" w:rsidRDefault="00FD6AFA" w:rsidP="00632E59">
            <w:pPr>
              <w:snapToGrid w:val="0"/>
              <w:rPr>
                <w:lang w:val="fr-FR"/>
              </w:rPr>
            </w:pPr>
            <w:r w:rsidRPr="00DE6142">
              <w:rPr>
                <w:lang w:val="fr-FR"/>
              </w:rPr>
              <w:t xml:space="preserve">Immeuble Union Square, </w:t>
            </w:r>
          </w:p>
          <w:p w14:paraId="56A10C6D" w14:textId="77777777" w:rsidR="00FD6AFA" w:rsidRPr="00DE6142" w:rsidRDefault="00FD6AFA" w:rsidP="00632E59">
            <w:pPr>
              <w:snapToGrid w:val="0"/>
              <w:rPr>
                <w:lang w:val="fr-FR"/>
              </w:rPr>
            </w:pPr>
            <w:r w:rsidRPr="00DE6142">
              <w:rPr>
                <w:lang w:val="fr-FR"/>
              </w:rPr>
              <w:t>1 rue de l'Union</w:t>
            </w:r>
          </w:p>
          <w:p w14:paraId="7B668943" w14:textId="77777777" w:rsidR="00FD6AFA" w:rsidRPr="00490EB4" w:rsidRDefault="00FD6AFA" w:rsidP="00632E59">
            <w:pPr>
              <w:snapToGrid w:val="0"/>
            </w:pPr>
            <w:r w:rsidRPr="00490EB4">
              <w:t>92565 Rueil-Malmaison</w:t>
            </w:r>
          </w:p>
          <w:p w14:paraId="27ACBD1D" w14:textId="77777777" w:rsidR="00FD6AFA" w:rsidRPr="00490EB4" w:rsidRDefault="00FD6AFA" w:rsidP="00632E59">
            <w:pPr>
              <w:snapToGrid w:val="0"/>
            </w:pPr>
            <w:r w:rsidRPr="00490EB4">
              <w:t>France</w:t>
            </w:r>
          </w:p>
        </w:tc>
      </w:tr>
      <w:tr w:rsidR="009D0C0B" w:rsidRPr="00112DD6" w14:paraId="6F88079B" w14:textId="77777777">
        <w:tc>
          <w:tcPr>
            <w:tcW w:w="3397" w:type="dxa"/>
            <w:tcBorders>
              <w:left w:val="single" w:sz="4" w:space="0" w:color="000000"/>
              <w:bottom w:val="single" w:sz="4" w:space="0" w:color="000000"/>
            </w:tcBorders>
            <w:shd w:val="clear" w:color="auto" w:fill="auto"/>
          </w:tcPr>
          <w:p w14:paraId="29CB3EC8" w14:textId="77777777"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75343952" w14:textId="63E4D486" w:rsidR="009D0C0B" w:rsidRPr="00B7552D" w:rsidRDefault="006313F1">
            <w:pPr>
              <w:snapToGrid w:val="0"/>
              <w:rPr>
                <w:b/>
                <w:lang w:val="fr-FR"/>
              </w:rPr>
            </w:pPr>
            <w:r w:rsidRPr="00B7552D">
              <w:rPr>
                <w:rFonts w:cs="LiberationSans"/>
                <w:lang w:val="fr-FR" w:eastAsia="fr-FR"/>
              </w:rPr>
              <w:t>ZI Montpaisir, 25 rue Jean le Rond d'Alembert 81000 Albi France</w:t>
            </w:r>
          </w:p>
        </w:tc>
      </w:tr>
    </w:tbl>
    <w:p w14:paraId="5098B939" w14:textId="77777777" w:rsidR="009D0C0B" w:rsidRDefault="00FD6AFA">
      <w:pPr>
        <w:pStyle w:val="Titre4"/>
        <w:rPr>
          <w:b/>
          <w:bCs/>
          <w:color w:val="000000"/>
          <w:lang w:eastAsia="en-GB"/>
        </w:rPr>
      </w:pPr>
      <w:bookmarkStart w:id="15" w:name="_Toc536627246"/>
      <w:r>
        <w:t>Manufacturer</w:t>
      </w:r>
      <w:r w:rsidR="00FA480B">
        <w:t>s</w:t>
      </w:r>
      <w:r>
        <w:t xml:space="preserve"> of the active substances</w:t>
      </w:r>
      <w:bookmarkEnd w:id="15"/>
    </w:p>
    <w:p w14:paraId="0E06998D" w14:textId="77777777" w:rsidR="00FD6AFA" w:rsidRDefault="00FD6AFA" w:rsidP="00FD6AFA">
      <w:pPr>
        <w:pStyle w:val="Corpsdetexte"/>
        <w:rPr>
          <w:lang w:val="de-DE"/>
        </w:rPr>
      </w:pPr>
      <w:bookmarkStart w:id="16" w:name="d0e246"/>
      <w:bookmarkEnd w:id="16"/>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FD6AFA" w:rsidRPr="00490EB4" w14:paraId="62A79B55" w14:textId="77777777" w:rsidTr="00632E59">
        <w:tc>
          <w:tcPr>
            <w:tcW w:w="3397" w:type="dxa"/>
            <w:tcBorders>
              <w:top w:val="single" w:sz="4" w:space="0" w:color="000000"/>
              <w:left w:val="single" w:sz="4" w:space="0" w:color="000000"/>
              <w:bottom w:val="single" w:sz="4" w:space="0" w:color="000000"/>
            </w:tcBorders>
            <w:shd w:val="clear" w:color="auto" w:fill="auto"/>
          </w:tcPr>
          <w:p w14:paraId="2E3D6188" w14:textId="77777777" w:rsidR="00FD6AFA" w:rsidRDefault="00FD6AFA" w:rsidP="00632E59">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03D377CD" w14:textId="77777777" w:rsidR="00FD6AFA" w:rsidRPr="00AD5AD8" w:rsidRDefault="00FD6AFA" w:rsidP="00632E59">
            <w:pPr>
              <w:snapToGrid w:val="0"/>
              <w:rPr>
                <w:lang w:val="fr-FR"/>
              </w:rPr>
            </w:pPr>
            <w:r w:rsidRPr="00AD5AD8">
              <w:rPr>
                <w:lang w:val="fr-FR"/>
              </w:rPr>
              <w:t>Cyperméthrine</w:t>
            </w:r>
          </w:p>
        </w:tc>
      </w:tr>
      <w:tr w:rsidR="00FD6AFA" w14:paraId="3CF5C6EB" w14:textId="77777777" w:rsidTr="00632E59">
        <w:tc>
          <w:tcPr>
            <w:tcW w:w="3397" w:type="dxa"/>
            <w:tcBorders>
              <w:left w:val="single" w:sz="4" w:space="0" w:color="000000"/>
              <w:bottom w:val="single" w:sz="4" w:space="0" w:color="000000"/>
            </w:tcBorders>
            <w:shd w:val="clear" w:color="auto" w:fill="auto"/>
          </w:tcPr>
          <w:p w14:paraId="52FEFDFE" w14:textId="77777777" w:rsidR="00FD6AFA" w:rsidRDefault="00FD6AFA" w:rsidP="00632E59">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1B62EB9E" w14:textId="242F2050" w:rsidR="00FD6AFA" w:rsidRPr="00AD5AD8" w:rsidRDefault="006B20C8" w:rsidP="00632E59">
            <w:pPr>
              <w:snapToGrid w:val="0"/>
              <w:rPr>
                <w:lang w:val="fr-FR"/>
              </w:rPr>
            </w:pPr>
            <w:r>
              <w:rPr>
                <w:lang w:val="fr-FR"/>
              </w:rPr>
              <w:t>Arysta LifeScience Benelux SPRL</w:t>
            </w:r>
          </w:p>
        </w:tc>
      </w:tr>
      <w:tr w:rsidR="00FD6AFA" w:rsidRPr="00FD6AFA" w14:paraId="2593A896" w14:textId="77777777" w:rsidTr="00632E59">
        <w:tc>
          <w:tcPr>
            <w:tcW w:w="3397" w:type="dxa"/>
            <w:tcBorders>
              <w:left w:val="single" w:sz="4" w:space="0" w:color="000000"/>
              <w:bottom w:val="single" w:sz="4" w:space="0" w:color="000000"/>
            </w:tcBorders>
            <w:shd w:val="clear" w:color="auto" w:fill="auto"/>
          </w:tcPr>
          <w:p w14:paraId="3BDCF9E4" w14:textId="77777777" w:rsidR="00FD6AFA" w:rsidRDefault="00FD6AFA" w:rsidP="00632E59">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276B7579" w14:textId="77777777" w:rsidR="00FD6AFA" w:rsidRPr="00AD5AD8" w:rsidRDefault="00FD6AFA" w:rsidP="00AD5AD8">
            <w:pPr>
              <w:snapToGrid w:val="0"/>
              <w:rPr>
                <w:lang w:val="fr-FR"/>
              </w:rPr>
            </w:pPr>
            <w:r w:rsidRPr="00AD5AD8">
              <w:rPr>
                <w:lang w:val="fr-FR"/>
              </w:rPr>
              <w:t>Rue de Renory 26/1</w:t>
            </w:r>
          </w:p>
          <w:p w14:paraId="60866E09" w14:textId="77777777" w:rsidR="00FD6AFA" w:rsidRPr="00AD5AD8" w:rsidRDefault="00FD6AFA" w:rsidP="00AD5AD8">
            <w:pPr>
              <w:snapToGrid w:val="0"/>
              <w:rPr>
                <w:lang w:val="fr-FR"/>
              </w:rPr>
            </w:pPr>
            <w:r w:rsidRPr="00AD5AD8">
              <w:rPr>
                <w:lang w:val="fr-FR"/>
              </w:rPr>
              <w:t>4102 Ougrée</w:t>
            </w:r>
          </w:p>
          <w:p w14:paraId="20382943" w14:textId="77777777" w:rsidR="00FD6AFA" w:rsidRPr="00AD5AD8" w:rsidRDefault="00FD6AFA" w:rsidP="00AD5AD8">
            <w:pPr>
              <w:snapToGrid w:val="0"/>
              <w:rPr>
                <w:lang w:val="fr-FR"/>
              </w:rPr>
            </w:pPr>
            <w:r w:rsidRPr="00AD5AD8">
              <w:rPr>
                <w:lang w:val="fr-FR"/>
              </w:rPr>
              <w:t xml:space="preserve">Belgique </w:t>
            </w:r>
          </w:p>
        </w:tc>
      </w:tr>
      <w:tr w:rsidR="00FD6AFA" w14:paraId="04433E16" w14:textId="77777777" w:rsidTr="00632E59">
        <w:tc>
          <w:tcPr>
            <w:tcW w:w="3397" w:type="dxa"/>
            <w:tcBorders>
              <w:left w:val="single" w:sz="4" w:space="0" w:color="000000"/>
              <w:bottom w:val="single" w:sz="4" w:space="0" w:color="000000"/>
            </w:tcBorders>
            <w:shd w:val="clear" w:color="auto" w:fill="auto"/>
          </w:tcPr>
          <w:p w14:paraId="2CB753A4" w14:textId="77777777" w:rsidR="00FD6AFA" w:rsidRDefault="00FD6AFA" w:rsidP="00632E59">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1010898E" w14:textId="77777777" w:rsidR="00FD6AFA" w:rsidRPr="00AD5AD8" w:rsidRDefault="007F4F02" w:rsidP="00AD5AD8">
            <w:pPr>
              <w:snapToGrid w:val="0"/>
              <w:rPr>
                <w:lang w:val="fr-FR"/>
              </w:rPr>
            </w:pPr>
            <w:r w:rsidRPr="00AD5AD8">
              <w:rPr>
                <w:lang w:val="fr-FR"/>
              </w:rPr>
              <w:t xml:space="preserve">1/ </w:t>
            </w:r>
            <w:r w:rsidR="00FD6AFA" w:rsidRPr="00AD5AD8">
              <w:rPr>
                <w:lang w:val="fr-FR"/>
              </w:rPr>
              <w:t xml:space="preserve">Mitchell Cotts Chemicals, </w:t>
            </w:r>
          </w:p>
          <w:p w14:paraId="6579D14B" w14:textId="77777777" w:rsidR="00FD6AFA" w:rsidRPr="00932144" w:rsidRDefault="00FD6AFA" w:rsidP="00AD5AD8">
            <w:pPr>
              <w:snapToGrid w:val="0"/>
              <w:rPr>
                <w:lang w:val="en-US"/>
              </w:rPr>
            </w:pPr>
            <w:r w:rsidRPr="00932144">
              <w:rPr>
                <w:lang w:val="en-US"/>
              </w:rPr>
              <w:t xml:space="preserve">Steanard Lane, Mirfield, </w:t>
            </w:r>
          </w:p>
          <w:p w14:paraId="0D5F19BE" w14:textId="77777777" w:rsidR="00FD6AFA" w:rsidRPr="00932144" w:rsidRDefault="00FD6AFA" w:rsidP="00AD5AD8">
            <w:pPr>
              <w:snapToGrid w:val="0"/>
              <w:rPr>
                <w:lang w:val="en-US"/>
              </w:rPr>
            </w:pPr>
            <w:r w:rsidRPr="00932144">
              <w:rPr>
                <w:lang w:val="en-US"/>
              </w:rPr>
              <w:t xml:space="preserve">West Yorkshire, </w:t>
            </w:r>
          </w:p>
          <w:p w14:paraId="146B4C4B" w14:textId="77777777" w:rsidR="00FD6AFA" w:rsidRPr="00932144" w:rsidRDefault="00FD6AFA" w:rsidP="00AD5AD8">
            <w:pPr>
              <w:snapToGrid w:val="0"/>
              <w:rPr>
                <w:lang w:val="en-US"/>
              </w:rPr>
            </w:pPr>
            <w:r w:rsidRPr="00932144">
              <w:rPr>
                <w:lang w:val="en-US"/>
              </w:rPr>
              <w:t xml:space="preserve">WF14 8QB, </w:t>
            </w:r>
          </w:p>
          <w:p w14:paraId="735A8A8C" w14:textId="77777777" w:rsidR="00FD6AFA" w:rsidRPr="00932144" w:rsidRDefault="00FD6AFA" w:rsidP="00AD5AD8">
            <w:pPr>
              <w:snapToGrid w:val="0"/>
              <w:rPr>
                <w:lang w:val="en-US"/>
              </w:rPr>
            </w:pPr>
            <w:r w:rsidRPr="00932144">
              <w:rPr>
                <w:lang w:val="en-US"/>
              </w:rPr>
              <w:t xml:space="preserve">UK </w:t>
            </w:r>
          </w:p>
          <w:p w14:paraId="73820AA0" w14:textId="77777777" w:rsidR="007F4F02" w:rsidRPr="00932144" w:rsidRDefault="007F4F02" w:rsidP="00AD5AD8">
            <w:pPr>
              <w:snapToGrid w:val="0"/>
              <w:rPr>
                <w:lang w:val="en-US"/>
              </w:rPr>
            </w:pPr>
            <w:r w:rsidRPr="00932144">
              <w:rPr>
                <w:lang w:val="en-US"/>
              </w:rPr>
              <w:t xml:space="preserve">2/ Gharda Ltd; </w:t>
            </w:r>
          </w:p>
          <w:p w14:paraId="5EDEA05F" w14:textId="77777777" w:rsidR="007F4F02" w:rsidRPr="00932144" w:rsidRDefault="007F4F02" w:rsidP="00AD5AD8">
            <w:pPr>
              <w:snapToGrid w:val="0"/>
              <w:rPr>
                <w:lang w:val="en-US"/>
              </w:rPr>
            </w:pPr>
            <w:r w:rsidRPr="00932144">
              <w:rPr>
                <w:lang w:val="en-US"/>
              </w:rPr>
              <w:t xml:space="preserve">D, ½, MIDC, </w:t>
            </w:r>
          </w:p>
          <w:p w14:paraId="1DBB4D48" w14:textId="77777777" w:rsidR="007F4F02" w:rsidRPr="00B50121" w:rsidRDefault="007F4F02" w:rsidP="00AD5AD8">
            <w:pPr>
              <w:snapToGrid w:val="0"/>
              <w:rPr>
                <w:lang w:val="en-US"/>
              </w:rPr>
            </w:pPr>
            <w:r w:rsidRPr="00AD5AD8">
              <w:rPr>
                <w:lang w:val="en-US"/>
              </w:rPr>
              <w:t xml:space="preserve">LOTE PARSHURAM TAL. KHED DIST. </w:t>
            </w:r>
            <w:r w:rsidRPr="00B50121">
              <w:rPr>
                <w:lang w:val="en-US"/>
              </w:rPr>
              <w:t xml:space="preserve">RATNAGIRI 415 722, MAHARASHTRA, </w:t>
            </w:r>
          </w:p>
          <w:p w14:paraId="359084CB" w14:textId="77777777" w:rsidR="007F4F02" w:rsidRPr="00AD5AD8" w:rsidRDefault="007F4F02" w:rsidP="00AD5AD8">
            <w:pPr>
              <w:snapToGrid w:val="0"/>
              <w:rPr>
                <w:lang w:val="fr-FR"/>
              </w:rPr>
            </w:pPr>
            <w:r w:rsidRPr="00AD5AD8">
              <w:rPr>
                <w:lang w:val="fr-FR"/>
              </w:rPr>
              <w:t>India</w:t>
            </w:r>
          </w:p>
        </w:tc>
      </w:tr>
    </w:tbl>
    <w:p w14:paraId="22B17968" w14:textId="77777777" w:rsidR="00FD6AFA" w:rsidRDefault="00FD6AFA" w:rsidP="00FD6AFA">
      <w:pPr>
        <w:pStyle w:val="Corpsdetexte"/>
      </w:pPr>
    </w:p>
    <w:p w14:paraId="2EF29A9E" w14:textId="77777777" w:rsidR="00B50121" w:rsidRPr="00475ECC" w:rsidRDefault="00B50121" w:rsidP="00FD6AFA">
      <w:pPr>
        <w:pStyle w:val="Corpsdetexte"/>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632E59" w:rsidRPr="00490EB4" w14:paraId="42D4264C" w14:textId="77777777" w:rsidTr="00632E59">
        <w:tc>
          <w:tcPr>
            <w:tcW w:w="3397" w:type="dxa"/>
            <w:tcBorders>
              <w:top w:val="single" w:sz="4" w:space="0" w:color="000000"/>
              <w:left w:val="single" w:sz="4" w:space="0" w:color="000000"/>
              <w:bottom w:val="single" w:sz="4" w:space="0" w:color="000000"/>
            </w:tcBorders>
            <w:shd w:val="clear" w:color="auto" w:fill="auto"/>
          </w:tcPr>
          <w:p w14:paraId="0D8B5317" w14:textId="77777777" w:rsidR="00632E59" w:rsidRDefault="00632E59" w:rsidP="00632E59">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34FF57B2" w14:textId="77777777" w:rsidR="00632E59" w:rsidRPr="00DE6142" w:rsidRDefault="00632E59" w:rsidP="00632E59">
            <w:pPr>
              <w:snapToGrid w:val="0"/>
            </w:pPr>
            <w:r>
              <w:t xml:space="preserve">Propiconazole </w:t>
            </w:r>
          </w:p>
        </w:tc>
      </w:tr>
      <w:tr w:rsidR="00632E59" w14:paraId="5AE5B818" w14:textId="77777777" w:rsidTr="00632E59">
        <w:tc>
          <w:tcPr>
            <w:tcW w:w="3397" w:type="dxa"/>
            <w:tcBorders>
              <w:left w:val="single" w:sz="4" w:space="0" w:color="000000"/>
              <w:bottom w:val="single" w:sz="4" w:space="0" w:color="000000"/>
            </w:tcBorders>
            <w:shd w:val="clear" w:color="auto" w:fill="auto"/>
          </w:tcPr>
          <w:p w14:paraId="5FCE1B42" w14:textId="77777777" w:rsidR="00632E59" w:rsidRDefault="00632E59" w:rsidP="00632E59">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00F8912A" w14:textId="77777777" w:rsidR="00632E59" w:rsidRPr="00DE6142" w:rsidRDefault="00EB1E66" w:rsidP="00632E59">
            <w:pPr>
              <w:snapToGrid w:val="0"/>
            </w:pPr>
            <w:r w:rsidRPr="00EB1E66">
              <w:t>Janssen Pharmaceutica NV</w:t>
            </w:r>
          </w:p>
        </w:tc>
      </w:tr>
      <w:tr w:rsidR="00632E59" w:rsidRPr="00475ECC" w14:paraId="466710A3" w14:textId="77777777" w:rsidTr="00632E59">
        <w:tc>
          <w:tcPr>
            <w:tcW w:w="3397" w:type="dxa"/>
            <w:tcBorders>
              <w:left w:val="single" w:sz="4" w:space="0" w:color="000000"/>
              <w:bottom w:val="single" w:sz="4" w:space="0" w:color="000000"/>
            </w:tcBorders>
            <w:shd w:val="clear" w:color="auto" w:fill="auto"/>
          </w:tcPr>
          <w:p w14:paraId="39D467A2" w14:textId="77777777" w:rsidR="00632E59" w:rsidRDefault="00632E59" w:rsidP="00632E59">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24987AE9" w14:textId="77777777" w:rsidR="00D75571" w:rsidRDefault="00EB1E66" w:rsidP="00EB1E66">
            <w:pPr>
              <w:snapToGrid w:val="0"/>
            </w:pPr>
            <w:r w:rsidRPr="00EB1E66">
              <w:t xml:space="preserve">Turnhoutseweg 30 </w:t>
            </w:r>
          </w:p>
          <w:p w14:paraId="08AFF3F2" w14:textId="77777777" w:rsidR="00EB1E66" w:rsidRDefault="00EB1E66" w:rsidP="00EB1E66">
            <w:pPr>
              <w:snapToGrid w:val="0"/>
            </w:pPr>
            <w:r w:rsidRPr="00EB1E66">
              <w:t xml:space="preserve">2340 Beerse </w:t>
            </w:r>
          </w:p>
          <w:p w14:paraId="612E4056" w14:textId="77777777" w:rsidR="00632E59" w:rsidRPr="00EB1E66" w:rsidRDefault="00EB1E66" w:rsidP="00D75571">
            <w:pPr>
              <w:snapToGrid w:val="0"/>
            </w:pPr>
            <w:r>
              <w:t>Belgi</w:t>
            </w:r>
            <w:r w:rsidR="00D75571">
              <w:t>um</w:t>
            </w:r>
            <w:r>
              <w:t xml:space="preserve"> </w:t>
            </w:r>
          </w:p>
        </w:tc>
      </w:tr>
      <w:tr w:rsidR="00632E59" w14:paraId="742C5816" w14:textId="77777777" w:rsidTr="00632E59">
        <w:tc>
          <w:tcPr>
            <w:tcW w:w="3397" w:type="dxa"/>
            <w:tcBorders>
              <w:left w:val="single" w:sz="4" w:space="0" w:color="000000"/>
              <w:bottom w:val="single" w:sz="4" w:space="0" w:color="000000"/>
            </w:tcBorders>
            <w:shd w:val="clear" w:color="auto" w:fill="auto"/>
          </w:tcPr>
          <w:p w14:paraId="7AF61E8B" w14:textId="77777777" w:rsidR="00632E59" w:rsidRDefault="00632E59" w:rsidP="00632E59">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4EFEB8D3" w14:textId="77777777" w:rsidR="00EB1E66" w:rsidRDefault="00EB1E66" w:rsidP="00EB1E66">
            <w:pPr>
              <w:snapToGrid w:val="0"/>
            </w:pPr>
            <w:r w:rsidRPr="00EB1E66">
              <w:t xml:space="preserve">Dongsha ChemZone, </w:t>
            </w:r>
          </w:p>
          <w:p w14:paraId="1D055A16" w14:textId="77777777" w:rsidR="00EB1E66" w:rsidRDefault="00EB1E66" w:rsidP="00EB1E66">
            <w:pPr>
              <w:snapToGrid w:val="0"/>
            </w:pPr>
            <w:r w:rsidRPr="00EB1E66">
              <w:t xml:space="preserve">Zhangjiagang </w:t>
            </w:r>
          </w:p>
          <w:p w14:paraId="715DB2E4" w14:textId="77777777" w:rsidR="00EB1E66" w:rsidRDefault="00EB1E66" w:rsidP="00EB1E66">
            <w:pPr>
              <w:snapToGrid w:val="0"/>
            </w:pPr>
            <w:r w:rsidRPr="00EB1E66">
              <w:t xml:space="preserve">215600 Jiangsu </w:t>
            </w:r>
          </w:p>
          <w:p w14:paraId="32A4B7CF" w14:textId="77777777" w:rsidR="00632E59" w:rsidRPr="00EB1E66" w:rsidRDefault="00EB1E66" w:rsidP="00D75571">
            <w:pPr>
              <w:snapToGrid w:val="0"/>
            </w:pPr>
            <w:r>
              <w:t>Chin</w:t>
            </w:r>
            <w:r w:rsidR="00D75571">
              <w:t>a</w:t>
            </w:r>
          </w:p>
        </w:tc>
      </w:tr>
    </w:tbl>
    <w:p w14:paraId="643C46AA" w14:textId="77777777" w:rsidR="00FD6AFA" w:rsidRDefault="00FD6AFA"/>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D75571" w:rsidRPr="00490EB4" w14:paraId="5AADF76B" w14:textId="77777777" w:rsidTr="00250278">
        <w:tc>
          <w:tcPr>
            <w:tcW w:w="3397" w:type="dxa"/>
            <w:tcBorders>
              <w:top w:val="single" w:sz="4" w:space="0" w:color="000000"/>
              <w:left w:val="single" w:sz="4" w:space="0" w:color="000000"/>
              <w:bottom w:val="single" w:sz="4" w:space="0" w:color="000000"/>
            </w:tcBorders>
            <w:shd w:val="clear" w:color="auto" w:fill="auto"/>
          </w:tcPr>
          <w:p w14:paraId="776FDF91" w14:textId="77777777" w:rsidR="00D75571" w:rsidRDefault="00D75571" w:rsidP="00250278">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19E0A887" w14:textId="77777777" w:rsidR="00D75571" w:rsidRPr="00DE6142" w:rsidRDefault="00D75571" w:rsidP="00250278">
            <w:pPr>
              <w:snapToGrid w:val="0"/>
            </w:pPr>
            <w:r>
              <w:t xml:space="preserve">Tebuconazole </w:t>
            </w:r>
          </w:p>
        </w:tc>
      </w:tr>
      <w:tr w:rsidR="00D75571" w14:paraId="175DB6A2" w14:textId="77777777" w:rsidTr="00250278">
        <w:tc>
          <w:tcPr>
            <w:tcW w:w="3397" w:type="dxa"/>
            <w:tcBorders>
              <w:left w:val="single" w:sz="4" w:space="0" w:color="000000"/>
              <w:bottom w:val="single" w:sz="4" w:space="0" w:color="000000"/>
            </w:tcBorders>
            <w:shd w:val="clear" w:color="auto" w:fill="auto"/>
          </w:tcPr>
          <w:p w14:paraId="5EF99C6F" w14:textId="77777777" w:rsidR="00D75571" w:rsidRDefault="00D75571" w:rsidP="00250278">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28F342FD" w14:textId="77777777" w:rsidR="00D75571" w:rsidRPr="00DE6142" w:rsidRDefault="00D75571" w:rsidP="00250278">
            <w:pPr>
              <w:snapToGrid w:val="0"/>
            </w:pPr>
            <w:r w:rsidRPr="00D75571">
              <w:t>Lanxess Deutschland GmbH</w:t>
            </w:r>
          </w:p>
        </w:tc>
      </w:tr>
      <w:tr w:rsidR="00D75571" w:rsidRPr="00475ECC" w14:paraId="0D8497DC" w14:textId="77777777" w:rsidTr="00250278">
        <w:tc>
          <w:tcPr>
            <w:tcW w:w="3397" w:type="dxa"/>
            <w:tcBorders>
              <w:left w:val="single" w:sz="4" w:space="0" w:color="000000"/>
              <w:bottom w:val="single" w:sz="4" w:space="0" w:color="000000"/>
            </w:tcBorders>
            <w:shd w:val="clear" w:color="auto" w:fill="auto"/>
          </w:tcPr>
          <w:p w14:paraId="01342CB6" w14:textId="77777777" w:rsidR="00D75571" w:rsidRDefault="00D75571" w:rsidP="00250278">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49A3FD03" w14:textId="77777777" w:rsidR="00D75571" w:rsidRDefault="00D75571" w:rsidP="00D75571">
            <w:pPr>
              <w:snapToGrid w:val="0"/>
            </w:pPr>
            <w:r w:rsidRPr="00D75571">
              <w:t>51369</w:t>
            </w:r>
            <w:r>
              <w:t xml:space="preserve"> </w:t>
            </w:r>
            <w:r w:rsidRPr="00D75571">
              <w:t xml:space="preserve">Leverkusen </w:t>
            </w:r>
          </w:p>
          <w:p w14:paraId="332E2D17" w14:textId="77777777" w:rsidR="00D75571" w:rsidRPr="00EB1E66" w:rsidRDefault="00D75571" w:rsidP="00D75571">
            <w:pPr>
              <w:snapToGrid w:val="0"/>
            </w:pPr>
            <w:r w:rsidRPr="00D75571">
              <w:t>Germany</w:t>
            </w:r>
          </w:p>
        </w:tc>
      </w:tr>
      <w:tr w:rsidR="00D75571" w:rsidRPr="00D75571" w14:paraId="6D60D6C3" w14:textId="77777777" w:rsidTr="00250278">
        <w:tc>
          <w:tcPr>
            <w:tcW w:w="3397" w:type="dxa"/>
            <w:tcBorders>
              <w:left w:val="single" w:sz="4" w:space="0" w:color="000000"/>
              <w:bottom w:val="single" w:sz="4" w:space="0" w:color="000000"/>
            </w:tcBorders>
            <w:shd w:val="clear" w:color="auto" w:fill="auto"/>
          </w:tcPr>
          <w:p w14:paraId="32C297DB" w14:textId="77777777" w:rsidR="00D75571" w:rsidRDefault="00D75571" w:rsidP="00250278">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6E488A97" w14:textId="77777777" w:rsidR="00D75571" w:rsidRDefault="00D75571" w:rsidP="00D75571">
            <w:pPr>
              <w:snapToGrid w:val="0"/>
            </w:pPr>
            <w:r w:rsidRPr="00D75571">
              <w:t xml:space="preserve">Bayer CropScience Corp. P.O. Box 4913 </w:t>
            </w:r>
          </w:p>
          <w:p w14:paraId="6FF9C17B" w14:textId="77777777" w:rsidR="00D75571" w:rsidRDefault="00D75571" w:rsidP="00D75571">
            <w:pPr>
              <w:snapToGrid w:val="0"/>
            </w:pPr>
            <w:r w:rsidRPr="00D75571">
              <w:t>64120</w:t>
            </w:r>
            <w:r>
              <w:t>-</w:t>
            </w:r>
            <w:r w:rsidRPr="00D75571">
              <w:t>001</w:t>
            </w:r>
            <w:r>
              <w:t xml:space="preserve"> </w:t>
            </w:r>
            <w:r w:rsidRPr="00D75571">
              <w:t xml:space="preserve">Kansas City </w:t>
            </w:r>
          </w:p>
          <w:p w14:paraId="5B808AFC" w14:textId="77777777" w:rsidR="00D75571" w:rsidRPr="00D75571" w:rsidRDefault="00D75571" w:rsidP="00D75571">
            <w:pPr>
              <w:snapToGrid w:val="0"/>
            </w:pPr>
            <w:r w:rsidRPr="00D75571">
              <w:t>United States</w:t>
            </w:r>
          </w:p>
        </w:tc>
      </w:tr>
    </w:tbl>
    <w:p w14:paraId="371BE24A" w14:textId="77777777" w:rsidR="00FD6AFA" w:rsidRPr="00D75571" w:rsidRDefault="00FD6AFA">
      <w:pPr>
        <w:rPr>
          <w:lang w:val="fr-FR"/>
        </w:rPr>
      </w:pPr>
    </w:p>
    <w:p w14:paraId="43C4F6A4" w14:textId="77777777" w:rsidR="00FD6AFA" w:rsidRDefault="00FD6AFA">
      <w:pPr>
        <w:rPr>
          <w:lang w:val="fr-FR"/>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5E15A8" w:rsidRPr="00490EB4" w14:paraId="27FE02F3" w14:textId="77777777" w:rsidTr="00250278">
        <w:tc>
          <w:tcPr>
            <w:tcW w:w="3397" w:type="dxa"/>
            <w:tcBorders>
              <w:top w:val="single" w:sz="4" w:space="0" w:color="000000"/>
              <w:left w:val="single" w:sz="4" w:space="0" w:color="000000"/>
              <w:bottom w:val="single" w:sz="4" w:space="0" w:color="000000"/>
            </w:tcBorders>
            <w:shd w:val="clear" w:color="auto" w:fill="auto"/>
          </w:tcPr>
          <w:p w14:paraId="7636CF89" w14:textId="77777777" w:rsidR="005E15A8" w:rsidRDefault="005E15A8" w:rsidP="00250278">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2FC4B26E" w14:textId="77777777" w:rsidR="005E15A8" w:rsidRPr="00DE6142" w:rsidRDefault="005E15A8" w:rsidP="00250278">
            <w:pPr>
              <w:snapToGrid w:val="0"/>
            </w:pPr>
            <w:r>
              <w:t>IPBC</w:t>
            </w:r>
          </w:p>
        </w:tc>
      </w:tr>
      <w:tr w:rsidR="005E15A8" w14:paraId="0A778B20" w14:textId="77777777" w:rsidTr="00250278">
        <w:tc>
          <w:tcPr>
            <w:tcW w:w="3397" w:type="dxa"/>
            <w:tcBorders>
              <w:left w:val="single" w:sz="4" w:space="0" w:color="000000"/>
              <w:bottom w:val="single" w:sz="4" w:space="0" w:color="000000"/>
            </w:tcBorders>
            <w:shd w:val="clear" w:color="auto" w:fill="auto"/>
          </w:tcPr>
          <w:p w14:paraId="56C3E7B6" w14:textId="77777777" w:rsidR="005E15A8" w:rsidRDefault="005E15A8" w:rsidP="00250278">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349D1D3D" w14:textId="77777777" w:rsidR="005E15A8" w:rsidRPr="00DE6142" w:rsidRDefault="002442B1" w:rsidP="00250278">
            <w:pPr>
              <w:snapToGrid w:val="0"/>
            </w:pPr>
            <w:r w:rsidRPr="002442B1">
              <w:t>Troy Chemical Company BV</w:t>
            </w:r>
          </w:p>
        </w:tc>
      </w:tr>
      <w:tr w:rsidR="005E15A8" w:rsidRPr="006A4FBC" w14:paraId="25204FDC" w14:textId="77777777" w:rsidTr="00250278">
        <w:tc>
          <w:tcPr>
            <w:tcW w:w="3397" w:type="dxa"/>
            <w:tcBorders>
              <w:left w:val="single" w:sz="4" w:space="0" w:color="000000"/>
              <w:bottom w:val="single" w:sz="4" w:space="0" w:color="000000"/>
            </w:tcBorders>
            <w:shd w:val="clear" w:color="auto" w:fill="auto"/>
          </w:tcPr>
          <w:p w14:paraId="2720F590" w14:textId="77777777" w:rsidR="005E15A8" w:rsidRDefault="005E15A8" w:rsidP="00250278">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0FC8CAFF" w14:textId="33045D84" w:rsidR="005E15A8" w:rsidRPr="00B50121" w:rsidRDefault="006A4FBC" w:rsidP="00250278">
            <w:pPr>
              <w:snapToGrid w:val="0"/>
              <w:rPr>
                <w:lang w:val="nl-NL"/>
              </w:rPr>
            </w:pPr>
            <w:r w:rsidRPr="00F46A21">
              <w:rPr>
                <w:rFonts w:ascii="Arial" w:hAnsi="Arial" w:cs="Arial"/>
              </w:rPr>
              <w:t>8 Vreeland Road, 07932 Florham Park, NJ, US</w:t>
            </w:r>
          </w:p>
        </w:tc>
      </w:tr>
      <w:tr w:rsidR="005E15A8" w:rsidRPr="002442B1" w14:paraId="30D6C92D" w14:textId="77777777" w:rsidTr="00250278">
        <w:tc>
          <w:tcPr>
            <w:tcW w:w="3397" w:type="dxa"/>
            <w:tcBorders>
              <w:left w:val="single" w:sz="4" w:space="0" w:color="000000"/>
              <w:bottom w:val="single" w:sz="4" w:space="0" w:color="000000"/>
            </w:tcBorders>
            <w:shd w:val="clear" w:color="auto" w:fill="auto"/>
          </w:tcPr>
          <w:p w14:paraId="63A47FBD" w14:textId="77777777" w:rsidR="005E15A8" w:rsidRDefault="005E15A8" w:rsidP="00250278">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38C5672D" w14:textId="77777777" w:rsidR="002442B1" w:rsidRDefault="002442B1" w:rsidP="00250278">
            <w:pPr>
              <w:snapToGrid w:val="0"/>
            </w:pPr>
            <w:r w:rsidRPr="002442B1">
              <w:t xml:space="preserve">One Avenue L </w:t>
            </w:r>
          </w:p>
          <w:p w14:paraId="08140A4F" w14:textId="77777777" w:rsidR="002442B1" w:rsidRDefault="002442B1" w:rsidP="00250278">
            <w:pPr>
              <w:snapToGrid w:val="0"/>
            </w:pPr>
            <w:r w:rsidRPr="002442B1">
              <w:t xml:space="preserve">07105 Newark </w:t>
            </w:r>
          </w:p>
          <w:p w14:paraId="03DC2DD4" w14:textId="77777777" w:rsidR="005E15A8" w:rsidRPr="002442B1" w:rsidRDefault="002442B1" w:rsidP="00250278">
            <w:pPr>
              <w:snapToGrid w:val="0"/>
            </w:pPr>
            <w:r w:rsidRPr="002442B1">
              <w:t>United States</w:t>
            </w:r>
          </w:p>
        </w:tc>
      </w:tr>
    </w:tbl>
    <w:p w14:paraId="3AF08ECD" w14:textId="77777777" w:rsidR="005E15A8" w:rsidRPr="002442B1" w:rsidRDefault="005E15A8">
      <w:pPr>
        <w:rPr>
          <w:lang w:val="en-US"/>
        </w:rPr>
      </w:pPr>
    </w:p>
    <w:p w14:paraId="39A324F1" w14:textId="77777777" w:rsidR="005E15A8" w:rsidRPr="002442B1" w:rsidRDefault="005E15A8">
      <w:pPr>
        <w:rPr>
          <w:lang w:val="en-US"/>
        </w:rPr>
      </w:pPr>
    </w:p>
    <w:p w14:paraId="42CCFC8E" w14:textId="77777777" w:rsidR="00FD6AFA" w:rsidRPr="002442B1" w:rsidRDefault="00FD6AFA">
      <w:pPr>
        <w:rPr>
          <w:lang w:val="en-US"/>
        </w:rPr>
      </w:pPr>
    </w:p>
    <w:p w14:paraId="53616C0A" w14:textId="77777777" w:rsidR="009D0C0B" w:rsidRDefault="00FA480B">
      <w:pPr>
        <w:pStyle w:val="Titre3"/>
        <w:rPr>
          <w:rFonts w:eastAsia="Calibri"/>
          <w:lang w:eastAsia="en-US"/>
        </w:rPr>
      </w:pPr>
      <w:bookmarkStart w:id="17" w:name="_Toc536627247"/>
      <w:r>
        <w:lastRenderedPageBreak/>
        <w:t>Product composition and formulation</w:t>
      </w:r>
      <w:bookmarkEnd w:id="17"/>
    </w:p>
    <w:bookmarkEnd w:id="9"/>
    <w:p w14:paraId="5B7A8C67"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07694448" w14:textId="77777777" w:rsidR="009D0C0B" w:rsidRDefault="009D0C0B">
      <w:pPr>
        <w:spacing w:line="260" w:lineRule="atLeast"/>
        <w:rPr>
          <w:rFonts w:eastAsia="Calibri"/>
          <w:lang w:eastAsia="en-US"/>
        </w:rPr>
      </w:pPr>
    </w:p>
    <w:p w14:paraId="6C6D311B" w14:textId="77777777" w:rsidR="009D0C0B" w:rsidRDefault="00FA480B">
      <w:pPr>
        <w:spacing w:line="260" w:lineRule="atLeast"/>
        <w:rPr>
          <w:rFonts w:eastAsia="Calibri"/>
          <w:lang w:eastAsia="en-US"/>
        </w:rPr>
      </w:pPr>
      <w:r>
        <w:rPr>
          <w:rFonts w:eastAsia="Calibri"/>
          <w:lang w:eastAsia="en-US"/>
        </w:rPr>
        <w:t>Does the product have the same identity and composition as the product evaluated in connection with the approval for listing of</w:t>
      </w:r>
      <w:r w:rsidR="00CE2822">
        <w:rPr>
          <w:rFonts w:eastAsia="Calibri"/>
          <w:lang w:eastAsia="en-US"/>
        </w:rPr>
        <w:t xml:space="preserve"> the active substance</w:t>
      </w:r>
      <w:r>
        <w:rPr>
          <w:rFonts w:eastAsia="Calibri"/>
          <w:lang w:eastAsia="en-US"/>
        </w:rPr>
        <w:t>s on the Union list of approved active substances under Regulation No. 528/2012?</w:t>
      </w:r>
    </w:p>
    <w:p w14:paraId="3401C66E" w14:textId="77777777" w:rsidR="009D0C0B" w:rsidRDefault="00FA480B">
      <w:pPr>
        <w:spacing w:line="260" w:lineRule="atLeast"/>
        <w:ind w:left="720"/>
        <w:rPr>
          <w:rFonts w:eastAsia="Calibri"/>
          <w:lang w:eastAsia="en-US"/>
        </w:rPr>
      </w:pPr>
      <w:r>
        <w:rPr>
          <w:rFonts w:eastAsia="Calibri"/>
          <w:lang w:eastAsia="en-US"/>
        </w:rPr>
        <w:t xml:space="preserve">Yes </w:t>
      </w:r>
      <w:r>
        <w:rPr>
          <w:rFonts w:eastAsia="Calibri"/>
          <w:lang w:eastAsia="en-US"/>
        </w:rPr>
        <w:tab/>
      </w:r>
      <w:bookmarkStart w:id="18" w:name="__Fieldmark__1124_528645922"/>
      <w:r>
        <w:fldChar w:fldCharType="begin">
          <w:ffData>
            <w:name w:val=""/>
            <w:enabled/>
            <w:calcOnExit w:val="0"/>
            <w:checkBox>
              <w:sizeAuto/>
              <w:default w:val="0"/>
              <w:checked w:val="0"/>
            </w:checkBox>
          </w:ffData>
        </w:fldChar>
      </w:r>
      <w:r>
        <w:instrText xml:space="preserve"> FORMCHECKBOX </w:instrText>
      </w:r>
      <w:r w:rsidR="00112DD6">
        <w:fldChar w:fldCharType="separate"/>
      </w:r>
      <w:r>
        <w:fldChar w:fldCharType="end"/>
      </w:r>
      <w:bookmarkEnd w:id="18"/>
    </w:p>
    <w:p w14:paraId="432639E9" w14:textId="77777777" w:rsidR="009D0C0B" w:rsidRDefault="00FA480B">
      <w:pPr>
        <w:spacing w:line="260" w:lineRule="atLeast"/>
        <w:ind w:left="720"/>
      </w:pPr>
      <w:r>
        <w:rPr>
          <w:rFonts w:eastAsia="Calibri"/>
          <w:lang w:eastAsia="en-US"/>
        </w:rPr>
        <w:t xml:space="preserve">No </w:t>
      </w:r>
      <w:r>
        <w:rPr>
          <w:rFonts w:eastAsia="Calibri"/>
          <w:lang w:eastAsia="en-US"/>
        </w:rPr>
        <w:tab/>
      </w:r>
      <w:r w:rsidR="008450B3">
        <w:fldChar w:fldCharType="begin">
          <w:ffData>
            <w:name w:val=""/>
            <w:enabled/>
            <w:calcOnExit w:val="0"/>
            <w:checkBox>
              <w:sizeAuto/>
              <w:default w:val="1"/>
            </w:checkBox>
          </w:ffData>
        </w:fldChar>
      </w:r>
      <w:r w:rsidR="008450B3">
        <w:instrText xml:space="preserve"> FORMCHECKBOX </w:instrText>
      </w:r>
      <w:r w:rsidR="00112DD6">
        <w:fldChar w:fldCharType="separate"/>
      </w:r>
      <w:r w:rsidR="008450B3">
        <w:fldChar w:fldCharType="end"/>
      </w:r>
    </w:p>
    <w:p w14:paraId="2C887238" w14:textId="77777777" w:rsidR="009D0C0B" w:rsidRDefault="00FA480B">
      <w:pPr>
        <w:pStyle w:val="Titre4"/>
      </w:pPr>
      <w:bookmarkStart w:id="19" w:name="_Toc536627248"/>
      <w:r>
        <w:t>Identity of the active substance</w:t>
      </w:r>
      <w:bookmarkEnd w:id="19"/>
    </w:p>
    <w:p w14:paraId="09928844" w14:textId="77777777" w:rsidR="00BE10F4" w:rsidRPr="00BE10F4" w:rsidRDefault="00BE10F4" w:rsidP="00BE10F4">
      <w:pPr>
        <w:pStyle w:val="Corpsdetexte"/>
        <w:rPr>
          <w:lang w:val="de-DE"/>
        </w:rPr>
      </w:pPr>
    </w:p>
    <w:tbl>
      <w:tblPr>
        <w:tblW w:w="0" w:type="auto"/>
        <w:tblInd w:w="-5" w:type="dxa"/>
        <w:tblLayout w:type="fixed"/>
        <w:tblLook w:val="0000" w:firstRow="0" w:lastRow="0" w:firstColumn="0" w:lastColumn="0" w:noHBand="0" w:noVBand="0"/>
      </w:tblPr>
      <w:tblGrid>
        <w:gridCol w:w="4077"/>
        <w:gridCol w:w="5363"/>
      </w:tblGrid>
      <w:tr w:rsidR="009D0C0B" w14:paraId="050A175C" w14:textId="77777777">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55825BD6" w14:textId="77777777" w:rsidR="009D0C0B" w:rsidRDefault="008450B3">
            <w:pPr>
              <w:spacing w:line="260" w:lineRule="atLeast"/>
              <w:jc w:val="center"/>
            </w:pPr>
            <w:r>
              <w:rPr>
                <w:rFonts w:eastAsia="Calibri"/>
                <w:b/>
                <w:lang w:eastAsia="en-US"/>
              </w:rPr>
              <w:t>Main constituents</w:t>
            </w:r>
          </w:p>
        </w:tc>
      </w:tr>
      <w:tr w:rsidR="009D0C0B" w14:paraId="326AD673" w14:textId="77777777">
        <w:tc>
          <w:tcPr>
            <w:tcW w:w="4077" w:type="dxa"/>
            <w:tcBorders>
              <w:top w:val="single" w:sz="4" w:space="0" w:color="000000"/>
              <w:left w:val="single" w:sz="4" w:space="0" w:color="000000"/>
              <w:bottom w:val="single" w:sz="4" w:space="0" w:color="000000"/>
            </w:tcBorders>
            <w:shd w:val="clear" w:color="auto" w:fill="auto"/>
          </w:tcPr>
          <w:p w14:paraId="6F2EC623" w14:textId="77777777" w:rsidR="009D0C0B" w:rsidRDefault="00FA480B">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07422E0" w14:textId="77777777" w:rsidR="009D0C0B" w:rsidRPr="00C50C79" w:rsidRDefault="00C50C79">
            <w:pPr>
              <w:snapToGrid w:val="0"/>
              <w:spacing w:line="260" w:lineRule="atLeast"/>
              <w:rPr>
                <w:rFonts w:eastAsia="Calibri"/>
                <w:lang w:eastAsia="en-US"/>
              </w:rPr>
            </w:pPr>
            <w:r w:rsidRPr="00C50C79">
              <w:t>Cypermethrin</w:t>
            </w:r>
          </w:p>
        </w:tc>
      </w:tr>
      <w:tr w:rsidR="009D0C0B" w:rsidRPr="004F0A3C" w14:paraId="41818634" w14:textId="77777777">
        <w:tc>
          <w:tcPr>
            <w:tcW w:w="4077" w:type="dxa"/>
            <w:tcBorders>
              <w:top w:val="single" w:sz="4" w:space="0" w:color="000000"/>
              <w:left w:val="single" w:sz="4" w:space="0" w:color="000000"/>
              <w:bottom w:val="single" w:sz="4" w:space="0" w:color="000000"/>
            </w:tcBorders>
            <w:shd w:val="clear" w:color="auto" w:fill="auto"/>
          </w:tcPr>
          <w:p w14:paraId="47B1C2FB" w14:textId="77777777" w:rsidR="009D0C0B" w:rsidRDefault="00FA480B">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99202C9" w14:textId="77777777" w:rsidR="009D0C0B" w:rsidRPr="004F0A3C" w:rsidRDefault="004F0A3C" w:rsidP="004F0A3C">
            <w:pPr>
              <w:snapToGrid w:val="0"/>
              <w:spacing w:line="260" w:lineRule="atLeast"/>
            </w:pPr>
            <w:r w:rsidRPr="004F0A3C">
              <w:t>(RS)-α-cyano-3phénoxybenzyl-(1RS)- cis,trans-3-(2,2-dichlorovinyl)-2,2-diméthylcyclopropanecarboxylate</w:t>
            </w:r>
          </w:p>
        </w:tc>
      </w:tr>
      <w:tr w:rsidR="009D0C0B" w14:paraId="7F1AE10B" w14:textId="77777777">
        <w:tc>
          <w:tcPr>
            <w:tcW w:w="4077" w:type="dxa"/>
            <w:tcBorders>
              <w:top w:val="single" w:sz="4" w:space="0" w:color="000000"/>
              <w:left w:val="single" w:sz="4" w:space="0" w:color="000000"/>
              <w:bottom w:val="single" w:sz="4" w:space="0" w:color="000000"/>
            </w:tcBorders>
            <w:shd w:val="clear" w:color="auto" w:fill="auto"/>
          </w:tcPr>
          <w:p w14:paraId="210640AD" w14:textId="77777777" w:rsidR="009D0C0B" w:rsidRDefault="00FA480B">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7EBE0C7" w14:textId="77777777" w:rsidR="009D0C0B" w:rsidRPr="004F0A3C" w:rsidRDefault="004F0A3C" w:rsidP="004F0A3C">
            <w:pPr>
              <w:snapToGrid w:val="0"/>
              <w:spacing w:line="260" w:lineRule="atLeast"/>
            </w:pPr>
            <w:r w:rsidRPr="004F0A3C">
              <w:t>257-842-9</w:t>
            </w:r>
          </w:p>
        </w:tc>
      </w:tr>
      <w:tr w:rsidR="009D0C0B" w14:paraId="22CFC38C" w14:textId="77777777">
        <w:tc>
          <w:tcPr>
            <w:tcW w:w="4077" w:type="dxa"/>
            <w:tcBorders>
              <w:top w:val="single" w:sz="4" w:space="0" w:color="000000"/>
              <w:left w:val="single" w:sz="4" w:space="0" w:color="000000"/>
              <w:bottom w:val="single" w:sz="4" w:space="0" w:color="000000"/>
            </w:tcBorders>
            <w:shd w:val="clear" w:color="auto" w:fill="auto"/>
          </w:tcPr>
          <w:p w14:paraId="45387063" w14:textId="77777777" w:rsidR="009D0C0B" w:rsidRDefault="00FA480B">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13C5684" w14:textId="77777777" w:rsidR="009D0C0B" w:rsidRPr="004F0A3C" w:rsidRDefault="004F0A3C" w:rsidP="004F0A3C">
            <w:pPr>
              <w:snapToGrid w:val="0"/>
              <w:spacing w:line="260" w:lineRule="atLeast"/>
            </w:pPr>
            <w:r w:rsidRPr="004F0A3C">
              <w:t>52315-07-8</w:t>
            </w:r>
          </w:p>
        </w:tc>
      </w:tr>
      <w:tr w:rsidR="009D0C0B" w14:paraId="08021620" w14:textId="77777777">
        <w:tc>
          <w:tcPr>
            <w:tcW w:w="4077" w:type="dxa"/>
            <w:tcBorders>
              <w:top w:val="single" w:sz="4" w:space="0" w:color="000000"/>
              <w:left w:val="single" w:sz="4" w:space="0" w:color="000000"/>
              <w:bottom w:val="single" w:sz="4" w:space="0" w:color="000000"/>
            </w:tcBorders>
            <w:shd w:val="clear" w:color="auto" w:fill="auto"/>
          </w:tcPr>
          <w:p w14:paraId="178D912D" w14:textId="77777777" w:rsidR="009D0C0B" w:rsidRDefault="00FA480B">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D07317B" w14:textId="77777777" w:rsidR="009D0C0B" w:rsidRDefault="009D0C0B">
            <w:pPr>
              <w:snapToGrid w:val="0"/>
              <w:spacing w:line="260" w:lineRule="atLeast"/>
              <w:rPr>
                <w:rFonts w:eastAsia="Calibri"/>
                <w:b/>
                <w:lang w:eastAsia="en-US"/>
              </w:rPr>
            </w:pPr>
          </w:p>
        </w:tc>
      </w:tr>
      <w:tr w:rsidR="009D0C0B" w:rsidRPr="005D45FE" w14:paraId="3EDCD8D7" w14:textId="77777777">
        <w:tc>
          <w:tcPr>
            <w:tcW w:w="4077" w:type="dxa"/>
            <w:tcBorders>
              <w:top w:val="single" w:sz="4" w:space="0" w:color="000000"/>
              <w:left w:val="single" w:sz="4" w:space="0" w:color="000000"/>
              <w:bottom w:val="single" w:sz="4" w:space="0" w:color="000000"/>
            </w:tcBorders>
            <w:shd w:val="clear" w:color="auto" w:fill="auto"/>
          </w:tcPr>
          <w:p w14:paraId="53178651" w14:textId="77777777" w:rsidR="009D0C0B" w:rsidRPr="005D45FE" w:rsidRDefault="00FA480B">
            <w:pPr>
              <w:spacing w:line="260" w:lineRule="atLeast"/>
              <w:rPr>
                <w:rFonts w:eastAsia="Calibri"/>
                <w:lang w:eastAsia="en-US"/>
              </w:rPr>
            </w:pPr>
            <w:r w:rsidRPr="005D45FE">
              <w:rPr>
                <w:rFonts w:eastAsia="Calibri"/>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888B036" w14:textId="77777777" w:rsidR="009D0C0B" w:rsidRPr="005D45FE" w:rsidRDefault="005D45FE" w:rsidP="005D45FE">
            <w:pPr>
              <w:snapToGrid w:val="0"/>
              <w:spacing w:line="260" w:lineRule="atLeast"/>
              <w:rPr>
                <w:rFonts w:eastAsia="Calibri"/>
                <w:lang w:eastAsia="en-US"/>
              </w:rPr>
            </w:pPr>
            <w:r w:rsidRPr="005D45FE">
              <w:rPr>
                <w:rFonts w:eastAsia="Calibri"/>
                <w:lang w:eastAsia="en-US"/>
              </w:rPr>
              <w:t>920 g/kg</w:t>
            </w:r>
          </w:p>
        </w:tc>
      </w:tr>
      <w:tr w:rsidR="009D0C0B" w14:paraId="74C80390" w14:textId="77777777">
        <w:trPr>
          <w:trHeight w:val="1359"/>
        </w:trPr>
        <w:tc>
          <w:tcPr>
            <w:tcW w:w="4077" w:type="dxa"/>
            <w:tcBorders>
              <w:top w:val="single" w:sz="4" w:space="0" w:color="000000"/>
              <w:left w:val="single" w:sz="4" w:space="0" w:color="000000"/>
              <w:bottom w:val="single" w:sz="4" w:space="0" w:color="000000"/>
            </w:tcBorders>
            <w:shd w:val="clear" w:color="auto" w:fill="auto"/>
          </w:tcPr>
          <w:p w14:paraId="3977860D" w14:textId="77777777" w:rsidR="009D0C0B" w:rsidRDefault="00FA480B">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95E6150" w14:textId="77777777" w:rsidR="009D0C0B" w:rsidRDefault="005D45FE">
            <w:pPr>
              <w:snapToGrid w:val="0"/>
              <w:spacing w:line="260" w:lineRule="atLeast"/>
              <w:rPr>
                <w:rFonts w:eastAsia="Calibri"/>
                <w:b/>
                <w:lang w:eastAsia="en-US"/>
              </w:rPr>
            </w:pPr>
            <w:r>
              <w:rPr>
                <w:rFonts w:eastAsia="Calibri"/>
                <w:b/>
                <w:noProof/>
                <w:lang w:val="fr-FR" w:eastAsia="fr-FR"/>
              </w:rPr>
              <w:drawing>
                <wp:inline distT="0" distB="0" distL="0" distR="0" wp14:anchorId="11262E63" wp14:editId="532BBEB0">
                  <wp:extent cx="2733675" cy="84616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9230" cy="854073"/>
                          </a:xfrm>
                          <a:prstGeom prst="rect">
                            <a:avLst/>
                          </a:prstGeom>
                          <a:noFill/>
                          <a:ln>
                            <a:noFill/>
                          </a:ln>
                        </pic:spPr>
                      </pic:pic>
                    </a:graphicData>
                  </a:graphic>
                </wp:inline>
              </w:drawing>
            </w:r>
          </w:p>
        </w:tc>
      </w:tr>
    </w:tbl>
    <w:p w14:paraId="383DB2C9" w14:textId="77777777" w:rsidR="009D0C0B" w:rsidRDefault="009D0C0B">
      <w:pPr>
        <w:spacing w:line="260" w:lineRule="atLeast"/>
        <w:rPr>
          <w:rFonts w:eastAsia="Calibri"/>
          <w:lang w:eastAsia="fr-FR"/>
        </w:rPr>
      </w:pPr>
    </w:p>
    <w:tbl>
      <w:tblPr>
        <w:tblW w:w="9440" w:type="dxa"/>
        <w:tblInd w:w="-5" w:type="dxa"/>
        <w:tblLayout w:type="fixed"/>
        <w:tblLook w:val="0000" w:firstRow="0" w:lastRow="0" w:firstColumn="0" w:lastColumn="0" w:noHBand="0" w:noVBand="0"/>
      </w:tblPr>
      <w:tblGrid>
        <w:gridCol w:w="4077"/>
        <w:gridCol w:w="5363"/>
      </w:tblGrid>
      <w:tr w:rsidR="008450B3" w14:paraId="5A0ACAE8" w14:textId="77777777" w:rsidTr="005D45FE">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32008C15" w14:textId="77777777" w:rsidR="008450B3" w:rsidRDefault="008450B3" w:rsidP="00250278">
            <w:pPr>
              <w:spacing w:line="260" w:lineRule="atLeast"/>
              <w:jc w:val="center"/>
            </w:pPr>
            <w:r>
              <w:rPr>
                <w:rFonts w:eastAsia="Calibri"/>
                <w:b/>
                <w:lang w:eastAsia="en-US"/>
              </w:rPr>
              <w:t>Main constituents</w:t>
            </w:r>
          </w:p>
        </w:tc>
      </w:tr>
      <w:tr w:rsidR="005D45FE" w14:paraId="3EE00822" w14:textId="77777777" w:rsidTr="005D45FE">
        <w:tc>
          <w:tcPr>
            <w:tcW w:w="4077" w:type="dxa"/>
            <w:tcBorders>
              <w:top w:val="single" w:sz="4" w:space="0" w:color="000000"/>
              <w:left w:val="single" w:sz="4" w:space="0" w:color="000000"/>
              <w:bottom w:val="single" w:sz="4" w:space="0" w:color="000000"/>
            </w:tcBorders>
            <w:shd w:val="clear" w:color="auto" w:fill="auto"/>
          </w:tcPr>
          <w:p w14:paraId="6B1718D8" w14:textId="77777777" w:rsidR="005D45FE" w:rsidRDefault="005D45FE" w:rsidP="00250278">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0210C41" w14:textId="77777777" w:rsidR="005D45FE" w:rsidRPr="005D45FE" w:rsidRDefault="005D45FE" w:rsidP="005D45FE">
            <w:pPr>
              <w:snapToGrid w:val="0"/>
              <w:spacing w:line="260" w:lineRule="atLeast"/>
            </w:pPr>
            <w:r w:rsidRPr="005D45FE">
              <w:t xml:space="preserve">Propiconazole </w:t>
            </w:r>
          </w:p>
        </w:tc>
      </w:tr>
      <w:tr w:rsidR="005D45FE" w14:paraId="0B3280F2" w14:textId="77777777" w:rsidTr="005D45FE">
        <w:tc>
          <w:tcPr>
            <w:tcW w:w="4077" w:type="dxa"/>
            <w:tcBorders>
              <w:top w:val="single" w:sz="4" w:space="0" w:color="000000"/>
              <w:left w:val="single" w:sz="4" w:space="0" w:color="000000"/>
              <w:bottom w:val="single" w:sz="4" w:space="0" w:color="000000"/>
            </w:tcBorders>
            <w:shd w:val="clear" w:color="auto" w:fill="auto"/>
          </w:tcPr>
          <w:p w14:paraId="33A4D732" w14:textId="77777777" w:rsidR="005D45FE" w:rsidRDefault="005D45FE" w:rsidP="00250278">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5E060A5" w14:textId="77777777" w:rsidR="00E713B2" w:rsidRPr="00E713B2" w:rsidRDefault="00E713B2" w:rsidP="00E713B2">
            <w:pPr>
              <w:snapToGrid w:val="0"/>
              <w:spacing w:line="260" w:lineRule="atLeast"/>
            </w:pPr>
            <w:r w:rsidRPr="00E713B2">
              <w:t>1-[[2-(2,4-dichlorophényl)-</w:t>
            </w:r>
          </w:p>
          <w:p w14:paraId="1BE87EB9" w14:textId="77777777" w:rsidR="00E713B2" w:rsidRPr="00E713B2" w:rsidRDefault="00E713B2" w:rsidP="00E713B2">
            <w:pPr>
              <w:snapToGrid w:val="0"/>
              <w:spacing w:line="260" w:lineRule="atLeast"/>
            </w:pPr>
            <w:r w:rsidRPr="00E713B2">
              <w:t>4-propyl-1,3-dioxolane-2-</w:t>
            </w:r>
          </w:p>
          <w:p w14:paraId="41523E72" w14:textId="77777777" w:rsidR="005D45FE" w:rsidRPr="005D45FE" w:rsidRDefault="00E713B2" w:rsidP="00E713B2">
            <w:pPr>
              <w:snapToGrid w:val="0"/>
              <w:spacing w:line="260" w:lineRule="atLeast"/>
            </w:pPr>
            <w:r w:rsidRPr="00E713B2">
              <w:t>yl]méthyl]-1H-1,2,4-triazole</w:t>
            </w:r>
          </w:p>
        </w:tc>
      </w:tr>
      <w:tr w:rsidR="005D45FE" w14:paraId="2CD82D81" w14:textId="77777777" w:rsidTr="005D45FE">
        <w:tc>
          <w:tcPr>
            <w:tcW w:w="4077" w:type="dxa"/>
            <w:tcBorders>
              <w:top w:val="single" w:sz="4" w:space="0" w:color="000000"/>
              <w:left w:val="single" w:sz="4" w:space="0" w:color="000000"/>
              <w:bottom w:val="single" w:sz="4" w:space="0" w:color="000000"/>
            </w:tcBorders>
            <w:shd w:val="clear" w:color="auto" w:fill="auto"/>
          </w:tcPr>
          <w:p w14:paraId="2B897C1D" w14:textId="77777777" w:rsidR="005D45FE" w:rsidRDefault="005D45FE" w:rsidP="00250278">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46B20DA" w14:textId="77777777" w:rsidR="005D45FE" w:rsidRPr="005D45FE" w:rsidRDefault="00E713B2" w:rsidP="00250278">
            <w:pPr>
              <w:snapToGrid w:val="0"/>
              <w:spacing w:line="260" w:lineRule="atLeast"/>
            </w:pPr>
            <w:r w:rsidRPr="00E713B2">
              <w:t>262-104-4</w:t>
            </w:r>
          </w:p>
        </w:tc>
      </w:tr>
      <w:tr w:rsidR="005D45FE" w14:paraId="7A6F63D6" w14:textId="77777777" w:rsidTr="005D45FE">
        <w:tc>
          <w:tcPr>
            <w:tcW w:w="4077" w:type="dxa"/>
            <w:tcBorders>
              <w:top w:val="single" w:sz="4" w:space="0" w:color="000000"/>
              <w:left w:val="single" w:sz="4" w:space="0" w:color="000000"/>
              <w:bottom w:val="single" w:sz="4" w:space="0" w:color="000000"/>
            </w:tcBorders>
            <w:shd w:val="clear" w:color="auto" w:fill="auto"/>
          </w:tcPr>
          <w:p w14:paraId="7C566D53" w14:textId="77777777" w:rsidR="005D45FE" w:rsidRDefault="005D45FE" w:rsidP="00250278">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AAD0396" w14:textId="77777777" w:rsidR="005D45FE" w:rsidRPr="005D45FE" w:rsidRDefault="00E713B2" w:rsidP="00250278">
            <w:pPr>
              <w:snapToGrid w:val="0"/>
              <w:spacing w:line="260" w:lineRule="atLeast"/>
            </w:pPr>
            <w:r w:rsidRPr="00E713B2">
              <w:t>60207-90-1</w:t>
            </w:r>
          </w:p>
        </w:tc>
      </w:tr>
      <w:tr w:rsidR="005D45FE" w14:paraId="6F7A27B9" w14:textId="77777777" w:rsidTr="005D45FE">
        <w:tc>
          <w:tcPr>
            <w:tcW w:w="4077" w:type="dxa"/>
            <w:tcBorders>
              <w:top w:val="single" w:sz="4" w:space="0" w:color="000000"/>
              <w:left w:val="single" w:sz="4" w:space="0" w:color="000000"/>
              <w:bottom w:val="single" w:sz="4" w:space="0" w:color="000000"/>
            </w:tcBorders>
            <w:shd w:val="clear" w:color="auto" w:fill="auto"/>
          </w:tcPr>
          <w:p w14:paraId="1E55FA7C" w14:textId="77777777" w:rsidR="005D45FE" w:rsidRDefault="005D45FE" w:rsidP="00250278">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37736B2" w14:textId="77777777" w:rsidR="005D45FE" w:rsidRPr="005D45FE" w:rsidRDefault="005D45FE" w:rsidP="00250278">
            <w:pPr>
              <w:snapToGrid w:val="0"/>
              <w:spacing w:line="260" w:lineRule="atLeast"/>
            </w:pPr>
          </w:p>
        </w:tc>
      </w:tr>
      <w:tr w:rsidR="005D45FE" w14:paraId="203C12B6" w14:textId="77777777" w:rsidTr="005D45FE">
        <w:tc>
          <w:tcPr>
            <w:tcW w:w="4077" w:type="dxa"/>
            <w:tcBorders>
              <w:top w:val="single" w:sz="4" w:space="0" w:color="000000"/>
              <w:left w:val="single" w:sz="4" w:space="0" w:color="000000"/>
              <w:bottom w:val="single" w:sz="4" w:space="0" w:color="000000"/>
            </w:tcBorders>
            <w:shd w:val="clear" w:color="auto" w:fill="auto"/>
          </w:tcPr>
          <w:p w14:paraId="3C52D4FA" w14:textId="77777777" w:rsidR="005D45FE" w:rsidRDefault="005D45FE" w:rsidP="00250278">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0C13C88" w14:textId="77777777" w:rsidR="005D45FE" w:rsidRPr="005D45FE" w:rsidRDefault="00E713B2" w:rsidP="00250278">
            <w:pPr>
              <w:snapToGrid w:val="0"/>
              <w:spacing w:line="260" w:lineRule="atLeast"/>
            </w:pPr>
            <w:r w:rsidRPr="00E713B2">
              <w:t>930 g/kg</w:t>
            </w:r>
          </w:p>
        </w:tc>
      </w:tr>
      <w:tr w:rsidR="005D45FE" w14:paraId="428B86DB" w14:textId="77777777" w:rsidTr="005D45FE">
        <w:trPr>
          <w:trHeight w:val="1359"/>
        </w:trPr>
        <w:tc>
          <w:tcPr>
            <w:tcW w:w="4077" w:type="dxa"/>
            <w:tcBorders>
              <w:top w:val="single" w:sz="4" w:space="0" w:color="000000"/>
              <w:left w:val="single" w:sz="4" w:space="0" w:color="000000"/>
              <w:bottom w:val="single" w:sz="4" w:space="0" w:color="000000"/>
            </w:tcBorders>
            <w:shd w:val="clear" w:color="auto" w:fill="auto"/>
          </w:tcPr>
          <w:p w14:paraId="3BA699C6" w14:textId="77777777" w:rsidR="005D45FE" w:rsidRDefault="005D45FE" w:rsidP="00250278">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166099D" w14:textId="77777777" w:rsidR="005D45FE" w:rsidRPr="005D45FE" w:rsidRDefault="00A33650" w:rsidP="00250278">
            <w:pPr>
              <w:snapToGrid w:val="0"/>
              <w:spacing w:line="260" w:lineRule="atLeast"/>
            </w:pPr>
            <w:r>
              <w:rPr>
                <w:noProof/>
                <w:lang w:val="fr-FR" w:eastAsia="fr-FR"/>
              </w:rPr>
              <w:drawing>
                <wp:inline distT="0" distB="0" distL="0" distR="0" wp14:anchorId="025C2FA0" wp14:editId="259BBBA9">
                  <wp:extent cx="2190750" cy="94138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457" cy="942975"/>
                          </a:xfrm>
                          <a:prstGeom prst="rect">
                            <a:avLst/>
                          </a:prstGeom>
                          <a:noFill/>
                          <a:ln>
                            <a:noFill/>
                          </a:ln>
                        </pic:spPr>
                      </pic:pic>
                    </a:graphicData>
                  </a:graphic>
                </wp:inline>
              </w:drawing>
            </w:r>
          </w:p>
        </w:tc>
      </w:tr>
    </w:tbl>
    <w:p w14:paraId="7DC14996" w14:textId="77777777" w:rsidR="008450B3" w:rsidRDefault="008450B3">
      <w:pPr>
        <w:spacing w:line="260" w:lineRule="atLeast"/>
        <w:rPr>
          <w:rFonts w:eastAsia="Calibri"/>
          <w:lang w:eastAsia="fr-FR"/>
        </w:rPr>
      </w:pPr>
    </w:p>
    <w:tbl>
      <w:tblPr>
        <w:tblW w:w="0" w:type="auto"/>
        <w:tblInd w:w="-5" w:type="dxa"/>
        <w:tblLayout w:type="fixed"/>
        <w:tblLook w:val="0000" w:firstRow="0" w:lastRow="0" w:firstColumn="0" w:lastColumn="0" w:noHBand="0" w:noVBand="0"/>
      </w:tblPr>
      <w:tblGrid>
        <w:gridCol w:w="4077"/>
        <w:gridCol w:w="5363"/>
      </w:tblGrid>
      <w:tr w:rsidR="008450B3" w14:paraId="206C913F" w14:textId="77777777" w:rsidTr="00250278">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7B30F67A" w14:textId="77777777" w:rsidR="008450B3" w:rsidRDefault="008450B3" w:rsidP="00250278">
            <w:pPr>
              <w:spacing w:line="260" w:lineRule="atLeast"/>
              <w:jc w:val="center"/>
            </w:pPr>
            <w:r>
              <w:rPr>
                <w:rFonts w:eastAsia="Calibri"/>
                <w:b/>
                <w:lang w:eastAsia="en-US"/>
              </w:rPr>
              <w:t>Main constituents</w:t>
            </w:r>
          </w:p>
        </w:tc>
      </w:tr>
      <w:tr w:rsidR="008450B3" w14:paraId="28749C87" w14:textId="77777777" w:rsidTr="00250278">
        <w:tc>
          <w:tcPr>
            <w:tcW w:w="4077" w:type="dxa"/>
            <w:tcBorders>
              <w:top w:val="single" w:sz="4" w:space="0" w:color="000000"/>
              <w:left w:val="single" w:sz="4" w:space="0" w:color="000000"/>
              <w:bottom w:val="single" w:sz="4" w:space="0" w:color="000000"/>
            </w:tcBorders>
            <w:shd w:val="clear" w:color="auto" w:fill="auto"/>
          </w:tcPr>
          <w:p w14:paraId="000CD929" w14:textId="77777777" w:rsidR="008450B3" w:rsidRDefault="008450B3" w:rsidP="00250278">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7F3A103" w14:textId="77777777" w:rsidR="008450B3" w:rsidRPr="00326A0D" w:rsidRDefault="00326A0D" w:rsidP="00250278">
            <w:pPr>
              <w:snapToGrid w:val="0"/>
              <w:spacing w:line="260" w:lineRule="atLeast"/>
              <w:rPr>
                <w:rFonts w:eastAsia="Calibri"/>
                <w:lang w:eastAsia="en-US"/>
              </w:rPr>
            </w:pPr>
            <w:r w:rsidRPr="00326A0D">
              <w:rPr>
                <w:rFonts w:eastAsia="Calibri"/>
                <w:lang w:eastAsia="en-US"/>
              </w:rPr>
              <w:t xml:space="preserve">Tebuconazole </w:t>
            </w:r>
          </w:p>
        </w:tc>
      </w:tr>
      <w:tr w:rsidR="008450B3" w:rsidRPr="002A2E88" w14:paraId="41F82EBE" w14:textId="77777777" w:rsidTr="00250278">
        <w:tc>
          <w:tcPr>
            <w:tcW w:w="4077" w:type="dxa"/>
            <w:tcBorders>
              <w:top w:val="single" w:sz="4" w:space="0" w:color="000000"/>
              <w:left w:val="single" w:sz="4" w:space="0" w:color="000000"/>
              <w:bottom w:val="single" w:sz="4" w:space="0" w:color="000000"/>
            </w:tcBorders>
            <w:shd w:val="clear" w:color="auto" w:fill="auto"/>
          </w:tcPr>
          <w:p w14:paraId="1CA59D2A" w14:textId="77777777" w:rsidR="008450B3" w:rsidRDefault="008450B3" w:rsidP="00250278">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88B056A" w14:textId="77777777" w:rsidR="002545A1" w:rsidRPr="00AA571F" w:rsidRDefault="002545A1" w:rsidP="002545A1">
            <w:pPr>
              <w:snapToGrid w:val="0"/>
              <w:spacing w:line="260" w:lineRule="atLeast"/>
              <w:rPr>
                <w:rFonts w:eastAsia="Calibri"/>
                <w:lang w:val="fr-FR" w:eastAsia="en-US"/>
              </w:rPr>
            </w:pPr>
            <w:r w:rsidRPr="00AA571F">
              <w:rPr>
                <w:rFonts w:eastAsia="Calibri"/>
                <w:lang w:val="fr-FR" w:eastAsia="en-US"/>
              </w:rPr>
              <w:t>1-(4-</w:t>
            </w:r>
            <w:proofErr w:type="gramStart"/>
            <w:r w:rsidRPr="00AA571F">
              <w:rPr>
                <w:rFonts w:eastAsia="Calibri"/>
                <w:lang w:val="fr-FR" w:eastAsia="en-US"/>
              </w:rPr>
              <w:t>chlorophényl)-</w:t>
            </w:r>
            <w:proofErr w:type="gramEnd"/>
            <w:r w:rsidRPr="00AA571F">
              <w:rPr>
                <w:rFonts w:eastAsia="Calibri"/>
                <w:lang w:val="fr-FR" w:eastAsia="en-US"/>
              </w:rPr>
              <w:t>4,4-</w:t>
            </w:r>
          </w:p>
          <w:p w14:paraId="285B6CFB" w14:textId="77777777" w:rsidR="002545A1" w:rsidRPr="00AA571F" w:rsidRDefault="002545A1" w:rsidP="002545A1">
            <w:pPr>
              <w:snapToGrid w:val="0"/>
              <w:spacing w:line="260" w:lineRule="atLeast"/>
              <w:rPr>
                <w:rFonts w:eastAsia="Calibri"/>
                <w:lang w:val="fr-FR" w:eastAsia="en-US"/>
              </w:rPr>
            </w:pPr>
            <w:proofErr w:type="gramStart"/>
            <w:r w:rsidRPr="00AA571F">
              <w:rPr>
                <w:rFonts w:eastAsia="Calibri"/>
                <w:lang w:val="fr-FR" w:eastAsia="en-US"/>
              </w:rPr>
              <w:t>diméthyl</w:t>
            </w:r>
            <w:proofErr w:type="gramEnd"/>
            <w:r w:rsidRPr="00AA571F">
              <w:rPr>
                <w:rFonts w:eastAsia="Calibri"/>
                <w:lang w:val="fr-FR" w:eastAsia="en-US"/>
              </w:rPr>
              <w:t>-3-(1,2,4-triazole-</w:t>
            </w:r>
          </w:p>
          <w:p w14:paraId="567098DF" w14:textId="77777777" w:rsidR="002545A1" w:rsidRPr="00AA571F" w:rsidRDefault="002545A1" w:rsidP="002545A1">
            <w:pPr>
              <w:snapToGrid w:val="0"/>
              <w:spacing w:line="260" w:lineRule="atLeast"/>
              <w:rPr>
                <w:rFonts w:eastAsia="Calibri"/>
                <w:lang w:val="fr-FR" w:eastAsia="en-US"/>
              </w:rPr>
            </w:pPr>
            <w:r w:rsidRPr="00AA571F">
              <w:rPr>
                <w:rFonts w:eastAsia="Calibri"/>
                <w:lang w:val="fr-FR" w:eastAsia="en-US"/>
              </w:rPr>
              <w:t>1-</w:t>
            </w:r>
            <w:proofErr w:type="gramStart"/>
            <w:r w:rsidRPr="00AA571F">
              <w:rPr>
                <w:rFonts w:eastAsia="Calibri"/>
                <w:lang w:val="fr-FR" w:eastAsia="en-US"/>
              </w:rPr>
              <w:t>ylméthyl)pentane</w:t>
            </w:r>
            <w:proofErr w:type="gramEnd"/>
            <w:r w:rsidRPr="00AA571F">
              <w:rPr>
                <w:rFonts w:eastAsia="Calibri"/>
                <w:lang w:val="fr-FR" w:eastAsia="en-US"/>
              </w:rPr>
              <w:t>-</w:t>
            </w:r>
          </w:p>
          <w:p w14:paraId="38A58BFD" w14:textId="77777777" w:rsidR="008450B3" w:rsidRPr="0099727B" w:rsidRDefault="002545A1" w:rsidP="002545A1">
            <w:pPr>
              <w:snapToGrid w:val="0"/>
              <w:spacing w:line="260" w:lineRule="atLeast"/>
              <w:rPr>
                <w:rFonts w:eastAsia="Calibri"/>
                <w:lang w:val="fr-FR" w:eastAsia="en-US"/>
              </w:rPr>
            </w:pPr>
            <w:r w:rsidRPr="006B20C8">
              <w:rPr>
                <w:rFonts w:eastAsia="Calibri"/>
                <w:lang w:val="fr-FR" w:eastAsia="en-US"/>
              </w:rPr>
              <w:t>3-ol</w:t>
            </w:r>
          </w:p>
        </w:tc>
      </w:tr>
      <w:tr w:rsidR="008450B3" w14:paraId="27D4E337" w14:textId="77777777" w:rsidTr="00250278">
        <w:tc>
          <w:tcPr>
            <w:tcW w:w="4077" w:type="dxa"/>
            <w:tcBorders>
              <w:top w:val="single" w:sz="4" w:space="0" w:color="000000"/>
              <w:left w:val="single" w:sz="4" w:space="0" w:color="000000"/>
              <w:bottom w:val="single" w:sz="4" w:space="0" w:color="000000"/>
            </w:tcBorders>
            <w:shd w:val="clear" w:color="auto" w:fill="auto"/>
          </w:tcPr>
          <w:p w14:paraId="692613F3" w14:textId="77777777" w:rsidR="008450B3" w:rsidRDefault="008450B3" w:rsidP="00250278">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4D844D0" w14:textId="77777777" w:rsidR="008450B3" w:rsidRPr="002545A1" w:rsidRDefault="002545A1" w:rsidP="00250278">
            <w:pPr>
              <w:snapToGrid w:val="0"/>
              <w:spacing w:line="260" w:lineRule="atLeast"/>
              <w:rPr>
                <w:rFonts w:eastAsia="Calibri"/>
                <w:lang w:eastAsia="en-US"/>
              </w:rPr>
            </w:pPr>
            <w:r w:rsidRPr="002545A1">
              <w:rPr>
                <w:rFonts w:eastAsia="Calibri"/>
                <w:lang w:eastAsia="en-US"/>
              </w:rPr>
              <w:t>403-640-2</w:t>
            </w:r>
          </w:p>
        </w:tc>
      </w:tr>
      <w:tr w:rsidR="008450B3" w14:paraId="10AF8DA6" w14:textId="77777777" w:rsidTr="00250278">
        <w:tc>
          <w:tcPr>
            <w:tcW w:w="4077" w:type="dxa"/>
            <w:tcBorders>
              <w:top w:val="single" w:sz="4" w:space="0" w:color="000000"/>
              <w:left w:val="single" w:sz="4" w:space="0" w:color="000000"/>
              <w:bottom w:val="single" w:sz="4" w:space="0" w:color="000000"/>
            </w:tcBorders>
            <w:shd w:val="clear" w:color="auto" w:fill="auto"/>
          </w:tcPr>
          <w:p w14:paraId="2D1D6E01" w14:textId="77777777" w:rsidR="008450B3" w:rsidRDefault="008450B3" w:rsidP="00250278">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D11D89B" w14:textId="77777777" w:rsidR="008450B3" w:rsidRPr="002545A1" w:rsidRDefault="002545A1" w:rsidP="00250278">
            <w:pPr>
              <w:snapToGrid w:val="0"/>
              <w:spacing w:line="260" w:lineRule="atLeast"/>
              <w:rPr>
                <w:rFonts w:eastAsia="Calibri"/>
                <w:lang w:eastAsia="en-US"/>
              </w:rPr>
            </w:pPr>
            <w:r w:rsidRPr="002545A1">
              <w:rPr>
                <w:rFonts w:eastAsia="Calibri"/>
                <w:lang w:eastAsia="en-US"/>
              </w:rPr>
              <w:t>107534-96-3</w:t>
            </w:r>
          </w:p>
        </w:tc>
      </w:tr>
      <w:tr w:rsidR="008450B3" w14:paraId="5C60EC65" w14:textId="77777777" w:rsidTr="00250278">
        <w:tc>
          <w:tcPr>
            <w:tcW w:w="4077" w:type="dxa"/>
            <w:tcBorders>
              <w:top w:val="single" w:sz="4" w:space="0" w:color="000000"/>
              <w:left w:val="single" w:sz="4" w:space="0" w:color="000000"/>
              <w:bottom w:val="single" w:sz="4" w:space="0" w:color="000000"/>
            </w:tcBorders>
            <w:shd w:val="clear" w:color="auto" w:fill="auto"/>
          </w:tcPr>
          <w:p w14:paraId="39D9DCE4" w14:textId="77777777" w:rsidR="008450B3" w:rsidRDefault="008450B3" w:rsidP="00250278">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5FBEA85" w14:textId="77777777" w:rsidR="008450B3" w:rsidRPr="002545A1" w:rsidRDefault="008450B3" w:rsidP="00250278">
            <w:pPr>
              <w:snapToGrid w:val="0"/>
              <w:spacing w:line="260" w:lineRule="atLeast"/>
              <w:rPr>
                <w:rFonts w:eastAsia="Calibri"/>
                <w:lang w:eastAsia="en-US"/>
              </w:rPr>
            </w:pPr>
          </w:p>
        </w:tc>
      </w:tr>
      <w:tr w:rsidR="008450B3" w14:paraId="24339B0C" w14:textId="77777777" w:rsidTr="00250278">
        <w:tc>
          <w:tcPr>
            <w:tcW w:w="4077" w:type="dxa"/>
            <w:tcBorders>
              <w:top w:val="single" w:sz="4" w:space="0" w:color="000000"/>
              <w:left w:val="single" w:sz="4" w:space="0" w:color="000000"/>
              <w:bottom w:val="single" w:sz="4" w:space="0" w:color="000000"/>
            </w:tcBorders>
            <w:shd w:val="clear" w:color="auto" w:fill="auto"/>
          </w:tcPr>
          <w:p w14:paraId="0D59D71B" w14:textId="77777777" w:rsidR="008450B3" w:rsidRDefault="008450B3" w:rsidP="00250278">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A9DD650" w14:textId="77777777" w:rsidR="008450B3" w:rsidRPr="002545A1" w:rsidRDefault="002545A1" w:rsidP="00250278">
            <w:pPr>
              <w:snapToGrid w:val="0"/>
              <w:spacing w:line="260" w:lineRule="atLeast"/>
              <w:rPr>
                <w:rFonts w:eastAsia="Calibri"/>
                <w:lang w:eastAsia="en-US"/>
              </w:rPr>
            </w:pPr>
            <w:r w:rsidRPr="002545A1">
              <w:rPr>
                <w:rFonts w:eastAsia="Calibri"/>
                <w:lang w:eastAsia="en-US"/>
              </w:rPr>
              <w:t>950 g/kg</w:t>
            </w:r>
          </w:p>
        </w:tc>
      </w:tr>
      <w:tr w:rsidR="008450B3" w14:paraId="745A4CD0" w14:textId="77777777" w:rsidTr="00250278">
        <w:trPr>
          <w:trHeight w:val="1359"/>
        </w:trPr>
        <w:tc>
          <w:tcPr>
            <w:tcW w:w="4077" w:type="dxa"/>
            <w:tcBorders>
              <w:top w:val="single" w:sz="4" w:space="0" w:color="000000"/>
              <w:left w:val="single" w:sz="4" w:space="0" w:color="000000"/>
              <w:bottom w:val="single" w:sz="4" w:space="0" w:color="000000"/>
            </w:tcBorders>
            <w:shd w:val="clear" w:color="auto" w:fill="auto"/>
          </w:tcPr>
          <w:p w14:paraId="6ACFE8FC" w14:textId="77777777" w:rsidR="008450B3" w:rsidRDefault="008450B3" w:rsidP="00250278">
            <w:pPr>
              <w:spacing w:line="260" w:lineRule="atLeast"/>
              <w:rPr>
                <w:rFonts w:eastAsia="Calibri"/>
                <w:b/>
                <w:lang w:eastAsia="en-US"/>
              </w:rPr>
            </w:pPr>
            <w:r>
              <w:rPr>
                <w:rFonts w:eastAsia="Calibri"/>
                <w:b/>
                <w:lang w:eastAsia="en-US"/>
              </w:rPr>
              <w:lastRenderedPageBreak/>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529EC48" w14:textId="77777777" w:rsidR="008450B3" w:rsidRPr="002545A1" w:rsidRDefault="00054E25" w:rsidP="00250278">
            <w:pPr>
              <w:snapToGrid w:val="0"/>
              <w:spacing w:line="260" w:lineRule="atLeast"/>
              <w:rPr>
                <w:rFonts w:eastAsia="Calibri"/>
                <w:lang w:eastAsia="en-US"/>
              </w:rPr>
            </w:pPr>
            <w:r>
              <w:rPr>
                <w:rFonts w:eastAsia="Calibri"/>
                <w:noProof/>
                <w:lang w:val="fr-FR" w:eastAsia="fr-FR"/>
              </w:rPr>
              <w:drawing>
                <wp:inline distT="0" distB="0" distL="0" distR="0" wp14:anchorId="627AF9A6" wp14:editId="25D870C0">
                  <wp:extent cx="1533525" cy="853999"/>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1372" cy="858369"/>
                          </a:xfrm>
                          <a:prstGeom prst="rect">
                            <a:avLst/>
                          </a:prstGeom>
                          <a:noFill/>
                          <a:ln>
                            <a:noFill/>
                          </a:ln>
                        </pic:spPr>
                      </pic:pic>
                    </a:graphicData>
                  </a:graphic>
                </wp:inline>
              </w:drawing>
            </w:r>
          </w:p>
        </w:tc>
      </w:tr>
    </w:tbl>
    <w:p w14:paraId="4741AC6A" w14:textId="77777777" w:rsidR="008450B3" w:rsidRDefault="008450B3">
      <w:pPr>
        <w:spacing w:line="260" w:lineRule="atLeast"/>
        <w:rPr>
          <w:rFonts w:eastAsia="Calibri"/>
          <w:lang w:eastAsia="fr-FR"/>
        </w:rPr>
      </w:pPr>
    </w:p>
    <w:tbl>
      <w:tblPr>
        <w:tblW w:w="0" w:type="auto"/>
        <w:tblInd w:w="-5" w:type="dxa"/>
        <w:tblLayout w:type="fixed"/>
        <w:tblLook w:val="0000" w:firstRow="0" w:lastRow="0" w:firstColumn="0" w:lastColumn="0" w:noHBand="0" w:noVBand="0"/>
      </w:tblPr>
      <w:tblGrid>
        <w:gridCol w:w="4077"/>
        <w:gridCol w:w="5363"/>
      </w:tblGrid>
      <w:tr w:rsidR="008450B3" w14:paraId="7DD2DF69" w14:textId="77777777" w:rsidTr="00250278">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3D804B3B" w14:textId="77777777" w:rsidR="008450B3" w:rsidRDefault="008450B3" w:rsidP="00250278">
            <w:pPr>
              <w:spacing w:line="260" w:lineRule="atLeast"/>
              <w:jc w:val="center"/>
            </w:pPr>
            <w:r>
              <w:rPr>
                <w:rFonts w:eastAsia="Calibri"/>
                <w:b/>
                <w:lang w:eastAsia="en-US"/>
              </w:rPr>
              <w:t>Main constituents</w:t>
            </w:r>
          </w:p>
        </w:tc>
      </w:tr>
      <w:tr w:rsidR="008450B3" w14:paraId="02A4FF38" w14:textId="77777777" w:rsidTr="00250278">
        <w:tc>
          <w:tcPr>
            <w:tcW w:w="4077" w:type="dxa"/>
            <w:tcBorders>
              <w:top w:val="single" w:sz="4" w:space="0" w:color="000000"/>
              <w:left w:val="single" w:sz="4" w:space="0" w:color="000000"/>
              <w:bottom w:val="single" w:sz="4" w:space="0" w:color="000000"/>
            </w:tcBorders>
            <w:shd w:val="clear" w:color="auto" w:fill="auto"/>
          </w:tcPr>
          <w:p w14:paraId="1DD1BC34" w14:textId="77777777" w:rsidR="008450B3" w:rsidRDefault="008450B3" w:rsidP="00250278">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22DD083" w14:textId="77777777" w:rsidR="008450B3" w:rsidRPr="0094431E" w:rsidRDefault="0094431E" w:rsidP="00250278">
            <w:pPr>
              <w:snapToGrid w:val="0"/>
              <w:spacing w:line="260" w:lineRule="atLeast"/>
              <w:rPr>
                <w:rFonts w:eastAsia="Calibri"/>
                <w:lang w:eastAsia="en-US"/>
              </w:rPr>
            </w:pPr>
            <w:r w:rsidRPr="0094431E">
              <w:rPr>
                <w:rFonts w:eastAsia="Calibri"/>
                <w:lang w:eastAsia="en-US"/>
              </w:rPr>
              <w:t>IPBC</w:t>
            </w:r>
          </w:p>
        </w:tc>
      </w:tr>
      <w:tr w:rsidR="008450B3" w14:paraId="70753CA7" w14:textId="77777777" w:rsidTr="00250278">
        <w:tc>
          <w:tcPr>
            <w:tcW w:w="4077" w:type="dxa"/>
            <w:tcBorders>
              <w:top w:val="single" w:sz="4" w:space="0" w:color="000000"/>
              <w:left w:val="single" w:sz="4" w:space="0" w:color="000000"/>
              <w:bottom w:val="single" w:sz="4" w:space="0" w:color="000000"/>
            </w:tcBorders>
            <w:shd w:val="clear" w:color="auto" w:fill="auto"/>
          </w:tcPr>
          <w:p w14:paraId="0EDFC1B7" w14:textId="77777777" w:rsidR="008450B3" w:rsidRDefault="008450B3" w:rsidP="00250278">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9175011" w14:textId="77777777" w:rsidR="00F7569F" w:rsidRPr="00F7569F" w:rsidRDefault="00F7569F" w:rsidP="00F7569F">
            <w:pPr>
              <w:snapToGrid w:val="0"/>
              <w:spacing w:line="260" w:lineRule="atLeast"/>
              <w:rPr>
                <w:rFonts w:eastAsia="Calibri"/>
                <w:lang w:eastAsia="en-US"/>
              </w:rPr>
            </w:pPr>
            <w:r w:rsidRPr="00F7569F">
              <w:rPr>
                <w:rFonts w:eastAsia="Calibri"/>
                <w:lang w:eastAsia="en-US"/>
              </w:rPr>
              <w:t>Butylcarbamate de</w:t>
            </w:r>
          </w:p>
          <w:p w14:paraId="4E676AB3" w14:textId="77777777" w:rsidR="008450B3" w:rsidRPr="00F7569F" w:rsidRDefault="00F7569F" w:rsidP="00F7569F">
            <w:pPr>
              <w:snapToGrid w:val="0"/>
              <w:spacing w:line="260" w:lineRule="atLeast"/>
              <w:rPr>
                <w:rFonts w:eastAsia="Calibri"/>
                <w:lang w:eastAsia="en-US"/>
              </w:rPr>
            </w:pPr>
            <w:r w:rsidRPr="00F7569F">
              <w:rPr>
                <w:rFonts w:eastAsia="Calibri"/>
                <w:lang w:eastAsia="en-US"/>
              </w:rPr>
              <w:t>3-iodo-2-propynyle</w:t>
            </w:r>
          </w:p>
        </w:tc>
      </w:tr>
      <w:tr w:rsidR="008450B3" w14:paraId="7CEDFAFC" w14:textId="77777777" w:rsidTr="00250278">
        <w:tc>
          <w:tcPr>
            <w:tcW w:w="4077" w:type="dxa"/>
            <w:tcBorders>
              <w:top w:val="single" w:sz="4" w:space="0" w:color="000000"/>
              <w:left w:val="single" w:sz="4" w:space="0" w:color="000000"/>
              <w:bottom w:val="single" w:sz="4" w:space="0" w:color="000000"/>
            </w:tcBorders>
            <w:shd w:val="clear" w:color="auto" w:fill="auto"/>
          </w:tcPr>
          <w:p w14:paraId="5CA4B486" w14:textId="77777777" w:rsidR="008450B3" w:rsidRDefault="008450B3" w:rsidP="00250278">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5AE5B36" w14:textId="77777777" w:rsidR="008450B3" w:rsidRPr="00F7569F" w:rsidRDefault="00F7569F" w:rsidP="00250278">
            <w:pPr>
              <w:snapToGrid w:val="0"/>
              <w:spacing w:line="260" w:lineRule="atLeast"/>
              <w:rPr>
                <w:rFonts w:eastAsia="Calibri"/>
                <w:lang w:eastAsia="en-US"/>
              </w:rPr>
            </w:pPr>
            <w:r w:rsidRPr="00F7569F">
              <w:rPr>
                <w:rFonts w:eastAsia="Calibri"/>
                <w:lang w:eastAsia="en-US"/>
              </w:rPr>
              <w:t>259-627-5</w:t>
            </w:r>
          </w:p>
        </w:tc>
      </w:tr>
      <w:tr w:rsidR="008450B3" w14:paraId="22DDA6F5" w14:textId="77777777" w:rsidTr="00250278">
        <w:tc>
          <w:tcPr>
            <w:tcW w:w="4077" w:type="dxa"/>
            <w:tcBorders>
              <w:top w:val="single" w:sz="4" w:space="0" w:color="000000"/>
              <w:left w:val="single" w:sz="4" w:space="0" w:color="000000"/>
              <w:bottom w:val="single" w:sz="4" w:space="0" w:color="000000"/>
            </w:tcBorders>
            <w:shd w:val="clear" w:color="auto" w:fill="auto"/>
          </w:tcPr>
          <w:p w14:paraId="50C2839E" w14:textId="77777777" w:rsidR="008450B3" w:rsidRDefault="008450B3" w:rsidP="00250278">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14017CB" w14:textId="77777777" w:rsidR="008450B3" w:rsidRPr="00F7569F" w:rsidRDefault="00F7569F" w:rsidP="00250278">
            <w:pPr>
              <w:snapToGrid w:val="0"/>
              <w:spacing w:line="260" w:lineRule="atLeast"/>
              <w:rPr>
                <w:rFonts w:eastAsia="Calibri"/>
                <w:lang w:eastAsia="en-US"/>
              </w:rPr>
            </w:pPr>
            <w:r w:rsidRPr="00F7569F">
              <w:rPr>
                <w:rFonts w:eastAsia="Calibri"/>
                <w:lang w:eastAsia="en-US"/>
              </w:rPr>
              <w:t>55406-53-6</w:t>
            </w:r>
          </w:p>
        </w:tc>
      </w:tr>
      <w:tr w:rsidR="008450B3" w14:paraId="25EF2FC4" w14:textId="77777777" w:rsidTr="00250278">
        <w:tc>
          <w:tcPr>
            <w:tcW w:w="4077" w:type="dxa"/>
            <w:tcBorders>
              <w:top w:val="single" w:sz="4" w:space="0" w:color="000000"/>
              <w:left w:val="single" w:sz="4" w:space="0" w:color="000000"/>
              <w:bottom w:val="single" w:sz="4" w:space="0" w:color="000000"/>
            </w:tcBorders>
            <w:shd w:val="clear" w:color="auto" w:fill="auto"/>
          </w:tcPr>
          <w:p w14:paraId="2C5AC12C" w14:textId="77777777" w:rsidR="008450B3" w:rsidRDefault="008450B3" w:rsidP="00250278">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0B1895B" w14:textId="77777777" w:rsidR="008450B3" w:rsidRPr="00F7569F" w:rsidRDefault="008450B3" w:rsidP="00250278">
            <w:pPr>
              <w:snapToGrid w:val="0"/>
              <w:spacing w:line="260" w:lineRule="atLeast"/>
              <w:rPr>
                <w:rFonts w:eastAsia="Calibri"/>
                <w:lang w:eastAsia="en-US"/>
              </w:rPr>
            </w:pPr>
          </w:p>
        </w:tc>
      </w:tr>
      <w:tr w:rsidR="008450B3" w14:paraId="79C36405" w14:textId="77777777" w:rsidTr="00250278">
        <w:tc>
          <w:tcPr>
            <w:tcW w:w="4077" w:type="dxa"/>
            <w:tcBorders>
              <w:top w:val="single" w:sz="4" w:space="0" w:color="000000"/>
              <w:left w:val="single" w:sz="4" w:space="0" w:color="000000"/>
              <w:bottom w:val="single" w:sz="4" w:space="0" w:color="000000"/>
            </w:tcBorders>
            <w:shd w:val="clear" w:color="auto" w:fill="auto"/>
          </w:tcPr>
          <w:p w14:paraId="64084586" w14:textId="77777777" w:rsidR="008450B3" w:rsidRDefault="008450B3" w:rsidP="00250278">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C5FFEEC" w14:textId="77777777" w:rsidR="008450B3" w:rsidRPr="00F7569F" w:rsidRDefault="00F7569F" w:rsidP="00250278">
            <w:pPr>
              <w:snapToGrid w:val="0"/>
              <w:spacing w:line="260" w:lineRule="atLeast"/>
              <w:rPr>
                <w:rFonts w:eastAsia="Calibri"/>
                <w:lang w:eastAsia="en-US"/>
              </w:rPr>
            </w:pPr>
            <w:r w:rsidRPr="00F7569F">
              <w:rPr>
                <w:rFonts w:eastAsia="Calibri"/>
                <w:lang w:eastAsia="en-US"/>
              </w:rPr>
              <w:t>980 g/kg</w:t>
            </w:r>
          </w:p>
        </w:tc>
      </w:tr>
      <w:tr w:rsidR="008450B3" w14:paraId="709E9232" w14:textId="77777777" w:rsidTr="00250278">
        <w:trPr>
          <w:trHeight w:val="1359"/>
        </w:trPr>
        <w:tc>
          <w:tcPr>
            <w:tcW w:w="4077" w:type="dxa"/>
            <w:tcBorders>
              <w:top w:val="single" w:sz="4" w:space="0" w:color="000000"/>
              <w:left w:val="single" w:sz="4" w:space="0" w:color="000000"/>
              <w:bottom w:val="single" w:sz="4" w:space="0" w:color="000000"/>
            </w:tcBorders>
            <w:shd w:val="clear" w:color="auto" w:fill="auto"/>
          </w:tcPr>
          <w:p w14:paraId="57E10E2C" w14:textId="77777777" w:rsidR="008450B3" w:rsidRDefault="008450B3" w:rsidP="00250278">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FE99FA6" w14:textId="77777777" w:rsidR="008450B3" w:rsidRDefault="00F7569F" w:rsidP="00250278">
            <w:pPr>
              <w:snapToGrid w:val="0"/>
              <w:spacing w:line="260" w:lineRule="atLeast"/>
              <w:rPr>
                <w:rFonts w:eastAsia="Calibri"/>
                <w:b/>
                <w:lang w:eastAsia="en-US"/>
              </w:rPr>
            </w:pPr>
            <w:r>
              <w:rPr>
                <w:rFonts w:eastAsia="Calibri"/>
                <w:b/>
                <w:noProof/>
                <w:lang w:val="fr-FR" w:eastAsia="fr-FR"/>
              </w:rPr>
              <w:drawing>
                <wp:inline distT="0" distB="0" distL="0" distR="0" wp14:anchorId="79B7A71B" wp14:editId="1592A6D4">
                  <wp:extent cx="2933700" cy="61351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6181" cy="614031"/>
                          </a:xfrm>
                          <a:prstGeom prst="rect">
                            <a:avLst/>
                          </a:prstGeom>
                          <a:noFill/>
                          <a:ln>
                            <a:noFill/>
                          </a:ln>
                        </pic:spPr>
                      </pic:pic>
                    </a:graphicData>
                  </a:graphic>
                </wp:inline>
              </w:drawing>
            </w:r>
          </w:p>
        </w:tc>
      </w:tr>
    </w:tbl>
    <w:p w14:paraId="0E5B81C7" w14:textId="77777777" w:rsidR="008450B3" w:rsidRDefault="008450B3">
      <w:pPr>
        <w:spacing w:line="260" w:lineRule="atLeast"/>
        <w:rPr>
          <w:rFonts w:eastAsia="Calibri"/>
          <w:lang w:eastAsia="fr-FR"/>
        </w:rPr>
      </w:pPr>
    </w:p>
    <w:p w14:paraId="678E5B46" w14:textId="77777777" w:rsidR="009D0C0B" w:rsidRDefault="00FF204E">
      <w:pPr>
        <w:pStyle w:val="Titre4"/>
        <w:rPr>
          <w:rFonts w:ascii="Times New Roman" w:hAnsi="Times New Roman" w:cs="Times New Roman"/>
          <w:i/>
          <w:lang w:eastAsia="fr-FR"/>
        </w:rPr>
      </w:pPr>
      <w:bookmarkStart w:id="20" w:name="_Toc536627249"/>
      <w:r>
        <w:t>Candidate</w:t>
      </w:r>
      <w:r w:rsidR="00FA480B">
        <w:t xml:space="preserve"> for substitution</w:t>
      </w:r>
      <w:bookmarkEnd w:id="20"/>
    </w:p>
    <w:p w14:paraId="5B507E2B" w14:textId="77777777" w:rsidR="00B83C49" w:rsidRDefault="00B83C49">
      <w:pPr>
        <w:spacing w:line="260" w:lineRule="atLeast"/>
        <w:rPr>
          <w:rFonts w:ascii="Times New Roman" w:eastAsia="Calibri" w:hAnsi="Times New Roman" w:cs="Times New Roman"/>
          <w:i/>
          <w:lang w:eastAsia="fr-FR"/>
        </w:rPr>
      </w:pPr>
    </w:p>
    <w:p w14:paraId="3A052D7C" w14:textId="77455321" w:rsidR="004110EC" w:rsidRDefault="004110EC">
      <w:pPr>
        <w:spacing w:line="260" w:lineRule="atLeast"/>
        <w:rPr>
          <w:rFonts w:eastAsia="Calibri"/>
          <w:lang w:eastAsia="en-US"/>
        </w:rPr>
      </w:pPr>
      <w:r>
        <w:rPr>
          <w:rFonts w:eastAsia="Calibri"/>
          <w:lang w:eastAsia="en-US"/>
        </w:rPr>
        <w:t xml:space="preserve">The active substance tebuconazole contained in the biocidal product X6122B1 is candidate for substitution in accordance </w:t>
      </w:r>
      <w:r w:rsidRPr="0064186D">
        <w:rPr>
          <w:rFonts w:eastAsia="Calibri"/>
          <w:lang w:eastAsia="en-US"/>
        </w:rPr>
        <w:t>with Article 10 of BPR</w:t>
      </w:r>
      <w:r>
        <w:rPr>
          <w:rFonts w:eastAsia="Calibri"/>
          <w:lang w:eastAsia="en-US"/>
        </w:rPr>
        <w:t xml:space="preserve"> because it fulfills the following 2 of the PBT </w:t>
      </w:r>
      <w:r w:rsidR="00AA571F">
        <w:rPr>
          <w:rFonts w:eastAsia="Calibri"/>
          <w:lang w:eastAsia="en-US"/>
        </w:rPr>
        <w:t>criteria:</w:t>
      </w:r>
      <w:r>
        <w:rPr>
          <w:rFonts w:eastAsia="Calibri"/>
          <w:lang w:eastAsia="en-US"/>
        </w:rPr>
        <w:t xml:space="preserve"> </w:t>
      </w:r>
      <w:proofErr w:type="gramStart"/>
      <w:r>
        <w:rPr>
          <w:rFonts w:eastAsia="Calibri"/>
          <w:lang w:eastAsia="en-US"/>
        </w:rPr>
        <w:t>vP</w:t>
      </w:r>
      <w:proofErr w:type="gramEnd"/>
      <w:r>
        <w:rPr>
          <w:rFonts w:eastAsia="Calibri"/>
          <w:lang w:eastAsia="en-US"/>
        </w:rPr>
        <w:t xml:space="preserve"> and T.</w:t>
      </w:r>
    </w:p>
    <w:p w14:paraId="73AEBD2B" w14:textId="77777777" w:rsidR="00B83C49" w:rsidRDefault="004110EC">
      <w:pPr>
        <w:spacing w:line="260" w:lineRule="atLeast"/>
        <w:rPr>
          <w:rFonts w:eastAsia="Calibri"/>
          <w:lang w:eastAsia="en-US"/>
        </w:rPr>
      </w:pPr>
      <w:r w:rsidRPr="0064186D">
        <w:rPr>
          <w:rFonts w:eastAsia="Calibri"/>
          <w:lang w:eastAsia="en-US"/>
        </w:rPr>
        <w:t>The active substance</w:t>
      </w:r>
      <w:r w:rsidR="005D4BCD">
        <w:rPr>
          <w:rFonts w:eastAsia="Calibri"/>
          <w:lang w:eastAsia="en-US"/>
        </w:rPr>
        <w:t>s</w:t>
      </w:r>
      <w:r w:rsidRPr="0064186D">
        <w:rPr>
          <w:rFonts w:eastAsia="Calibri"/>
          <w:lang w:eastAsia="en-US"/>
        </w:rPr>
        <w:t xml:space="preserve"> cypermethrin</w:t>
      </w:r>
      <w:r w:rsidR="005D4BCD">
        <w:rPr>
          <w:rFonts w:eastAsia="Calibri"/>
          <w:lang w:eastAsia="en-US"/>
        </w:rPr>
        <w:t>, propiconazole and IPBC</w:t>
      </w:r>
      <w:r w:rsidRPr="0064186D">
        <w:rPr>
          <w:rFonts w:eastAsia="Calibri"/>
          <w:lang w:eastAsia="en-US"/>
        </w:rPr>
        <w:t xml:space="preserve"> </w:t>
      </w:r>
      <w:r>
        <w:rPr>
          <w:rFonts w:eastAsia="Calibri"/>
          <w:lang w:eastAsia="en-US"/>
        </w:rPr>
        <w:t xml:space="preserve">contained in the biocidal product </w:t>
      </w:r>
      <w:r w:rsidR="005D4BCD">
        <w:rPr>
          <w:rFonts w:eastAsia="Calibri"/>
          <w:lang w:eastAsia="en-US"/>
        </w:rPr>
        <w:t>X6122B1</w:t>
      </w:r>
      <w:r>
        <w:rPr>
          <w:rFonts w:eastAsia="Calibri"/>
          <w:lang w:eastAsia="en-US"/>
        </w:rPr>
        <w:t xml:space="preserve"> </w:t>
      </w:r>
      <w:r w:rsidR="005D4BCD">
        <w:rPr>
          <w:rFonts w:eastAsia="Calibri"/>
          <w:lang w:eastAsia="en-US"/>
        </w:rPr>
        <w:t>are</w:t>
      </w:r>
      <w:r w:rsidRPr="0064186D">
        <w:rPr>
          <w:rFonts w:eastAsia="Calibri"/>
          <w:lang w:eastAsia="en-US"/>
        </w:rPr>
        <w:t xml:space="preserve"> not candidate for substitution in accordance with Article 10 of BPR</w:t>
      </w:r>
      <w:r>
        <w:rPr>
          <w:rFonts w:eastAsia="Calibri"/>
          <w:lang w:eastAsia="en-US"/>
        </w:rPr>
        <w:t>.</w:t>
      </w:r>
    </w:p>
    <w:p w14:paraId="119C13A2" w14:textId="77777777" w:rsidR="004110EC" w:rsidRDefault="004110EC">
      <w:pPr>
        <w:spacing w:line="260" w:lineRule="atLeast"/>
        <w:rPr>
          <w:rFonts w:eastAsia="Calibri"/>
          <w:lang w:eastAsia="en-US"/>
        </w:rPr>
      </w:pPr>
    </w:p>
    <w:p w14:paraId="0F369698" w14:textId="77777777" w:rsidR="0039605F" w:rsidRDefault="0039605F">
      <w:pPr>
        <w:spacing w:line="260" w:lineRule="atLeast"/>
        <w:rPr>
          <w:rFonts w:eastAsia="Calibri"/>
          <w:lang w:eastAsia="en-US"/>
        </w:rPr>
      </w:pPr>
    </w:p>
    <w:p w14:paraId="313B8DE9" w14:textId="154B2563" w:rsidR="009D0C0B" w:rsidRPr="00B50121" w:rsidRDefault="00FA480B" w:rsidP="0039605F">
      <w:pPr>
        <w:pStyle w:val="Titre4"/>
        <w:keepNext w:val="0"/>
        <w:widowControl w:val="0"/>
        <w:rPr>
          <w:b/>
          <w:bCs/>
          <w:color w:val="000000"/>
          <w:lang w:val="en-US" w:eastAsia="en-GB"/>
        </w:rPr>
      </w:pPr>
      <w:bookmarkStart w:id="21" w:name="_Toc536627250"/>
      <w:r w:rsidRPr="00B50121">
        <w:rPr>
          <w:lang w:val="en-US"/>
        </w:rPr>
        <w:t>Qualitative and quantitative information on the composition of the biocidal product</w:t>
      </w:r>
      <w:bookmarkEnd w:id="21"/>
      <w:r w:rsidRPr="00B50121">
        <w:rPr>
          <w:vertAlign w:val="superscript"/>
          <w:lang w:val="en-US"/>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701"/>
        <w:gridCol w:w="2410"/>
        <w:gridCol w:w="1134"/>
        <w:gridCol w:w="1559"/>
        <w:gridCol w:w="1418"/>
        <w:gridCol w:w="1559"/>
      </w:tblGrid>
      <w:tr w:rsidR="009D0C0B" w14:paraId="3A15A184" w14:textId="77777777" w:rsidTr="0039605F">
        <w:trPr>
          <w:tblHeader/>
        </w:trPr>
        <w:tc>
          <w:tcPr>
            <w:tcW w:w="1701" w:type="dxa"/>
            <w:tcBorders>
              <w:top w:val="single" w:sz="4" w:space="0" w:color="000000"/>
              <w:left w:val="single" w:sz="4" w:space="0" w:color="000000"/>
              <w:bottom w:val="single" w:sz="4" w:space="0" w:color="000000"/>
            </w:tcBorders>
            <w:shd w:val="clear" w:color="auto" w:fill="auto"/>
          </w:tcPr>
          <w:p w14:paraId="54BFF025" w14:textId="77777777" w:rsidR="009D0C0B" w:rsidRDefault="00FA480B" w:rsidP="0039605F">
            <w:pPr>
              <w:widowControl w:val="0"/>
              <w:rPr>
                <w:b/>
                <w:bCs/>
                <w:color w:val="000000"/>
                <w:szCs w:val="24"/>
                <w:lang w:eastAsia="en-GB"/>
              </w:rPr>
            </w:pPr>
            <w:r>
              <w:rPr>
                <w:b/>
                <w:bCs/>
                <w:color w:val="000000"/>
                <w:szCs w:val="24"/>
                <w:lang w:eastAsia="en-GB"/>
              </w:rPr>
              <w:t>Common name</w:t>
            </w:r>
          </w:p>
        </w:tc>
        <w:tc>
          <w:tcPr>
            <w:tcW w:w="2410" w:type="dxa"/>
            <w:tcBorders>
              <w:top w:val="single" w:sz="4" w:space="0" w:color="000000"/>
              <w:left w:val="single" w:sz="4" w:space="0" w:color="000000"/>
              <w:bottom w:val="single" w:sz="4" w:space="0" w:color="000000"/>
            </w:tcBorders>
            <w:shd w:val="clear" w:color="auto" w:fill="auto"/>
          </w:tcPr>
          <w:p w14:paraId="626CA6BD" w14:textId="77777777" w:rsidR="009D0C0B" w:rsidRDefault="00FA480B" w:rsidP="0039605F">
            <w:pPr>
              <w:widowControl w:val="0"/>
              <w:rPr>
                <w:b/>
                <w:bCs/>
                <w:color w:val="000000"/>
                <w:szCs w:val="24"/>
                <w:lang w:eastAsia="en-GB"/>
              </w:rPr>
            </w:pPr>
            <w:r>
              <w:rPr>
                <w:b/>
                <w:bCs/>
                <w:color w:val="000000"/>
                <w:szCs w:val="24"/>
                <w:lang w:eastAsia="en-GB"/>
              </w:rPr>
              <w:t>IUPAC name</w:t>
            </w:r>
          </w:p>
        </w:tc>
        <w:tc>
          <w:tcPr>
            <w:tcW w:w="1134" w:type="dxa"/>
            <w:tcBorders>
              <w:top w:val="single" w:sz="4" w:space="0" w:color="000000"/>
              <w:left w:val="single" w:sz="4" w:space="0" w:color="000000"/>
              <w:bottom w:val="single" w:sz="4" w:space="0" w:color="000000"/>
            </w:tcBorders>
            <w:shd w:val="clear" w:color="auto" w:fill="auto"/>
          </w:tcPr>
          <w:p w14:paraId="7D457EB1" w14:textId="77777777" w:rsidR="009D0C0B" w:rsidRDefault="00FA480B" w:rsidP="0039605F">
            <w:pPr>
              <w:widowControl w:val="0"/>
              <w:rPr>
                <w:b/>
                <w:bCs/>
                <w:color w:val="000000"/>
                <w:szCs w:val="24"/>
                <w:lang w:eastAsia="en-GB"/>
              </w:rPr>
            </w:pPr>
            <w:r>
              <w:rPr>
                <w:b/>
                <w:bCs/>
                <w:color w:val="000000"/>
                <w:szCs w:val="24"/>
                <w:lang w:eastAsia="en-GB"/>
              </w:rPr>
              <w:t>Function</w:t>
            </w:r>
          </w:p>
        </w:tc>
        <w:tc>
          <w:tcPr>
            <w:tcW w:w="1559" w:type="dxa"/>
            <w:tcBorders>
              <w:top w:val="single" w:sz="4" w:space="0" w:color="000000"/>
              <w:left w:val="single" w:sz="4" w:space="0" w:color="000000"/>
              <w:bottom w:val="single" w:sz="4" w:space="0" w:color="000000"/>
            </w:tcBorders>
            <w:shd w:val="clear" w:color="auto" w:fill="auto"/>
          </w:tcPr>
          <w:p w14:paraId="6E1A4AED" w14:textId="77777777" w:rsidR="009D0C0B" w:rsidRDefault="00FA480B" w:rsidP="0039605F">
            <w:pPr>
              <w:widowControl w:val="0"/>
              <w:rPr>
                <w:b/>
                <w:bCs/>
                <w:color w:val="000000"/>
                <w:szCs w:val="24"/>
                <w:lang w:eastAsia="en-GB"/>
              </w:rPr>
            </w:pPr>
            <w:r>
              <w:rPr>
                <w:b/>
                <w:bCs/>
                <w:color w:val="000000"/>
                <w:szCs w:val="24"/>
                <w:lang w:eastAsia="en-GB"/>
              </w:rPr>
              <w:t>CAS number</w:t>
            </w:r>
          </w:p>
        </w:tc>
        <w:tc>
          <w:tcPr>
            <w:tcW w:w="1418" w:type="dxa"/>
            <w:tcBorders>
              <w:top w:val="single" w:sz="4" w:space="0" w:color="000000"/>
              <w:left w:val="single" w:sz="4" w:space="0" w:color="000000"/>
              <w:bottom w:val="single" w:sz="4" w:space="0" w:color="000000"/>
            </w:tcBorders>
            <w:shd w:val="clear" w:color="auto" w:fill="auto"/>
          </w:tcPr>
          <w:p w14:paraId="01B96568" w14:textId="77777777" w:rsidR="009D0C0B" w:rsidRDefault="00FA480B" w:rsidP="0039605F">
            <w:pPr>
              <w:widowControl w:val="0"/>
              <w:rPr>
                <w:b/>
                <w:bCs/>
                <w:color w:val="000000"/>
                <w:szCs w:val="24"/>
                <w:lang w:eastAsia="en-GB"/>
              </w:rPr>
            </w:pPr>
            <w:r>
              <w:rPr>
                <w:b/>
                <w:bCs/>
                <w:color w:val="000000"/>
                <w:szCs w:val="24"/>
                <w:lang w:eastAsia="en-GB"/>
              </w:rPr>
              <w:t>EC number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73EB46" w14:textId="7E82EB7B" w:rsidR="009D0C0B" w:rsidRDefault="00FA480B" w:rsidP="006E26A4">
            <w:pPr>
              <w:widowControl w:val="0"/>
            </w:pPr>
            <w:r>
              <w:rPr>
                <w:b/>
                <w:bCs/>
                <w:color w:val="000000"/>
                <w:szCs w:val="24"/>
                <w:lang w:eastAsia="en-GB"/>
              </w:rPr>
              <w:t>Content (%)</w:t>
            </w:r>
            <w:r w:rsidR="003403ED">
              <w:rPr>
                <w:b/>
                <w:bCs/>
                <w:color w:val="000000"/>
                <w:szCs w:val="24"/>
                <w:lang w:eastAsia="en-GB"/>
              </w:rPr>
              <w:t xml:space="preserve"> </w:t>
            </w:r>
            <w:r w:rsidR="00986944">
              <w:rPr>
                <w:b/>
                <w:bCs/>
                <w:color w:val="000000"/>
                <w:szCs w:val="24"/>
                <w:lang w:eastAsia="en-GB"/>
              </w:rPr>
              <w:t>(</w:t>
            </w:r>
            <w:r w:rsidR="006E26A4">
              <w:rPr>
                <w:b/>
                <w:bCs/>
                <w:color w:val="000000"/>
                <w:szCs w:val="24"/>
                <w:lang w:eastAsia="en-GB"/>
              </w:rPr>
              <w:t>technical</w:t>
            </w:r>
            <w:r w:rsidR="00986944">
              <w:rPr>
                <w:b/>
                <w:bCs/>
                <w:color w:val="000000"/>
                <w:szCs w:val="24"/>
                <w:lang w:eastAsia="en-GB"/>
              </w:rPr>
              <w:t>)</w:t>
            </w:r>
          </w:p>
        </w:tc>
      </w:tr>
      <w:tr w:rsidR="00CF77DF" w:rsidRPr="00F4797A" w14:paraId="121CC5D4" w14:textId="77777777" w:rsidTr="0039605F">
        <w:tc>
          <w:tcPr>
            <w:tcW w:w="1701" w:type="dxa"/>
            <w:tcBorders>
              <w:left w:val="single" w:sz="4" w:space="0" w:color="000000"/>
              <w:bottom w:val="single" w:sz="4" w:space="0" w:color="000000"/>
            </w:tcBorders>
            <w:shd w:val="clear" w:color="auto" w:fill="auto"/>
          </w:tcPr>
          <w:p w14:paraId="002E7EA3" w14:textId="28C89574" w:rsidR="00CF77DF" w:rsidRPr="00986944" w:rsidRDefault="00641823" w:rsidP="0039605F">
            <w:pPr>
              <w:widowControl w:val="0"/>
              <w:snapToGrid w:val="0"/>
              <w:rPr>
                <w:lang w:val="pl-PL"/>
              </w:rPr>
            </w:pPr>
            <w:r w:rsidRPr="00986944">
              <w:rPr>
                <w:lang w:val="pl-PL"/>
              </w:rPr>
              <w:t>Cypermethrin</w:t>
            </w:r>
          </w:p>
        </w:tc>
        <w:tc>
          <w:tcPr>
            <w:tcW w:w="2410" w:type="dxa"/>
            <w:tcBorders>
              <w:left w:val="single" w:sz="4" w:space="0" w:color="000000"/>
              <w:bottom w:val="single" w:sz="4" w:space="0" w:color="000000"/>
            </w:tcBorders>
            <w:shd w:val="clear" w:color="auto" w:fill="auto"/>
          </w:tcPr>
          <w:p w14:paraId="3E6A9734" w14:textId="77777777" w:rsidR="00641823" w:rsidRPr="00986944" w:rsidRDefault="00641823" w:rsidP="0039605F">
            <w:pPr>
              <w:widowControl w:val="0"/>
              <w:snapToGrid w:val="0"/>
              <w:rPr>
                <w:lang w:val="pl-PL"/>
              </w:rPr>
            </w:pPr>
            <w:r w:rsidRPr="00986944">
              <w:rPr>
                <w:lang w:val="pl-PL"/>
              </w:rPr>
              <w:t xml:space="preserve">(RS)-α-cyano-3phenoxybenzyl-(1RS)- cis, trans-3-(dichlorovinyl)-2,2-dimethylcyclopropanecarboxylate </w:t>
            </w:r>
          </w:p>
          <w:p w14:paraId="12BCE74B" w14:textId="77777777" w:rsidR="00CF77DF" w:rsidRPr="00986944" w:rsidRDefault="00CF77DF" w:rsidP="0039605F">
            <w:pPr>
              <w:widowControl w:val="0"/>
              <w:snapToGrid w:val="0"/>
              <w:rPr>
                <w:lang w:val="pl-PL"/>
              </w:rPr>
            </w:pPr>
          </w:p>
        </w:tc>
        <w:tc>
          <w:tcPr>
            <w:tcW w:w="1134" w:type="dxa"/>
            <w:tcBorders>
              <w:left w:val="single" w:sz="4" w:space="0" w:color="000000"/>
              <w:bottom w:val="single" w:sz="4" w:space="0" w:color="000000"/>
            </w:tcBorders>
            <w:shd w:val="clear" w:color="auto" w:fill="auto"/>
          </w:tcPr>
          <w:p w14:paraId="7401E4F0" w14:textId="7F90CE1C" w:rsidR="00CF77DF" w:rsidRPr="00986944" w:rsidRDefault="00CF77DF" w:rsidP="006E26A4">
            <w:pPr>
              <w:widowControl w:val="0"/>
              <w:snapToGrid w:val="0"/>
              <w:rPr>
                <w:lang w:val="pl-PL"/>
              </w:rPr>
            </w:pPr>
            <w:r w:rsidRPr="00986944">
              <w:rPr>
                <w:lang w:val="pl-PL"/>
              </w:rPr>
              <w:t xml:space="preserve">Active substance </w:t>
            </w:r>
          </w:p>
        </w:tc>
        <w:tc>
          <w:tcPr>
            <w:tcW w:w="1559" w:type="dxa"/>
            <w:tcBorders>
              <w:left w:val="single" w:sz="4" w:space="0" w:color="000000"/>
              <w:bottom w:val="single" w:sz="4" w:space="0" w:color="000000"/>
            </w:tcBorders>
            <w:shd w:val="clear" w:color="auto" w:fill="auto"/>
          </w:tcPr>
          <w:p w14:paraId="07B8B858" w14:textId="77777777" w:rsidR="00CF77DF" w:rsidRPr="00986944" w:rsidRDefault="00CF77DF" w:rsidP="0039605F">
            <w:pPr>
              <w:widowControl w:val="0"/>
              <w:snapToGrid w:val="0"/>
              <w:rPr>
                <w:lang w:val="pl-PL"/>
              </w:rPr>
            </w:pPr>
            <w:r w:rsidRPr="00986944">
              <w:rPr>
                <w:lang w:val="pl-PL"/>
              </w:rPr>
              <w:t>52315-07-8</w:t>
            </w:r>
          </w:p>
        </w:tc>
        <w:tc>
          <w:tcPr>
            <w:tcW w:w="1418" w:type="dxa"/>
            <w:tcBorders>
              <w:left w:val="single" w:sz="4" w:space="0" w:color="000000"/>
              <w:bottom w:val="single" w:sz="4" w:space="0" w:color="000000"/>
            </w:tcBorders>
            <w:shd w:val="clear" w:color="auto" w:fill="auto"/>
          </w:tcPr>
          <w:p w14:paraId="5484B5E6" w14:textId="77777777" w:rsidR="00CF77DF" w:rsidRPr="00986944" w:rsidRDefault="00CF77DF" w:rsidP="0039605F">
            <w:pPr>
              <w:widowControl w:val="0"/>
              <w:snapToGrid w:val="0"/>
              <w:rPr>
                <w:lang w:val="pl-PL"/>
              </w:rPr>
            </w:pPr>
            <w:r w:rsidRPr="00986944">
              <w:rPr>
                <w:lang w:val="pl-PL"/>
              </w:rPr>
              <w:t>257-842-9</w:t>
            </w:r>
          </w:p>
        </w:tc>
        <w:tc>
          <w:tcPr>
            <w:tcW w:w="1559" w:type="dxa"/>
            <w:tcBorders>
              <w:left w:val="single" w:sz="4" w:space="0" w:color="000000"/>
              <w:bottom w:val="single" w:sz="4" w:space="0" w:color="000000"/>
              <w:right w:val="single" w:sz="4" w:space="0" w:color="000000"/>
            </w:tcBorders>
            <w:shd w:val="clear" w:color="auto" w:fill="auto"/>
          </w:tcPr>
          <w:p w14:paraId="02431FA9" w14:textId="2B371CC0" w:rsidR="00CF77DF" w:rsidRPr="00986944" w:rsidRDefault="00CF77DF" w:rsidP="0039605F">
            <w:pPr>
              <w:widowControl w:val="0"/>
              <w:rPr>
                <w:rFonts w:cs="Arial"/>
                <w:color w:val="000000"/>
              </w:rPr>
            </w:pPr>
            <w:r w:rsidRPr="0021636F">
              <w:rPr>
                <w:rFonts w:cs="Arial"/>
                <w:color w:val="000000"/>
              </w:rPr>
              <w:t>0.</w:t>
            </w:r>
            <w:r w:rsidR="006E26A4" w:rsidRPr="0021636F">
              <w:rPr>
                <w:rFonts w:cs="Arial"/>
                <w:color w:val="000000"/>
              </w:rPr>
              <w:t>0</w:t>
            </w:r>
            <w:r w:rsidR="006E26A4">
              <w:rPr>
                <w:rFonts w:cs="Arial"/>
                <w:color w:val="000000"/>
              </w:rPr>
              <w:t>8</w:t>
            </w:r>
            <w:r w:rsidR="006E26A4" w:rsidRPr="00986944">
              <w:rPr>
                <w:rFonts w:cs="Arial"/>
                <w:color w:val="000000"/>
              </w:rPr>
              <w:t xml:space="preserve"> </w:t>
            </w:r>
          </w:p>
          <w:p w14:paraId="64224778" w14:textId="77777777" w:rsidR="00CF77DF" w:rsidRPr="00986944" w:rsidRDefault="00CF77DF" w:rsidP="0039605F">
            <w:pPr>
              <w:widowControl w:val="0"/>
              <w:rPr>
                <w:rFonts w:cs="Arial"/>
              </w:rPr>
            </w:pPr>
          </w:p>
        </w:tc>
      </w:tr>
      <w:tr w:rsidR="00CF77DF" w:rsidRPr="00F4797A" w14:paraId="0F97C866" w14:textId="77777777" w:rsidTr="0039605F">
        <w:tc>
          <w:tcPr>
            <w:tcW w:w="1701" w:type="dxa"/>
            <w:tcBorders>
              <w:left w:val="single" w:sz="4" w:space="0" w:color="000000"/>
              <w:bottom w:val="single" w:sz="4" w:space="0" w:color="000000"/>
            </w:tcBorders>
            <w:shd w:val="clear" w:color="auto" w:fill="auto"/>
          </w:tcPr>
          <w:p w14:paraId="054456C5" w14:textId="4D48C478" w:rsidR="00CF77DF" w:rsidRPr="00986944" w:rsidRDefault="00641823" w:rsidP="0039605F">
            <w:pPr>
              <w:widowControl w:val="0"/>
              <w:snapToGrid w:val="0"/>
              <w:rPr>
                <w:lang w:val="pl-PL"/>
              </w:rPr>
            </w:pPr>
            <w:r w:rsidRPr="00986944">
              <w:rPr>
                <w:lang w:val="pl-PL"/>
              </w:rPr>
              <w:t>Propiconazole</w:t>
            </w:r>
          </w:p>
        </w:tc>
        <w:tc>
          <w:tcPr>
            <w:tcW w:w="2410" w:type="dxa"/>
            <w:tcBorders>
              <w:left w:val="single" w:sz="4" w:space="0" w:color="000000"/>
              <w:bottom w:val="single" w:sz="4" w:space="0" w:color="000000"/>
            </w:tcBorders>
            <w:shd w:val="clear" w:color="auto" w:fill="auto"/>
          </w:tcPr>
          <w:p w14:paraId="35827C7B" w14:textId="77777777" w:rsidR="00641823" w:rsidRPr="00986944" w:rsidRDefault="00641823" w:rsidP="0039605F">
            <w:pPr>
              <w:widowControl w:val="0"/>
              <w:snapToGrid w:val="0"/>
              <w:rPr>
                <w:lang w:val="pl-PL"/>
              </w:rPr>
            </w:pPr>
            <w:r w:rsidRPr="00986944">
              <w:rPr>
                <w:lang w:val="pl-PL"/>
              </w:rPr>
              <w:t>1-[[2-(2,4- dichlorophenyl)-4-propyl-1,3-dioxolan-2-yl]methyl]-1H-1,2,4-triazole</w:t>
            </w:r>
          </w:p>
          <w:p w14:paraId="29C16775" w14:textId="77777777" w:rsidR="00CF77DF" w:rsidRPr="00986944" w:rsidRDefault="00CF77DF" w:rsidP="0039605F">
            <w:pPr>
              <w:widowControl w:val="0"/>
              <w:snapToGrid w:val="0"/>
              <w:rPr>
                <w:lang w:val="pl-PL"/>
              </w:rPr>
            </w:pPr>
          </w:p>
        </w:tc>
        <w:tc>
          <w:tcPr>
            <w:tcW w:w="1134" w:type="dxa"/>
            <w:tcBorders>
              <w:left w:val="single" w:sz="4" w:space="0" w:color="000000"/>
              <w:bottom w:val="single" w:sz="4" w:space="0" w:color="000000"/>
            </w:tcBorders>
            <w:shd w:val="clear" w:color="auto" w:fill="auto"/>
          </w:tcPr>
          <w:p w14:paraId="7BAACD90" w14:textId="7C56C91D" w:rsidR="00CF77DF" w:rsidRPr="00986944" w:rsidRDefault="00CF77DF" w:rsidP="006E26A4">
            <w:pPr>
              <w:widowControl w:val="0"/>
              <w:snapToGrid w:val="0"/>
              <w:rPr>
                <w:lang w:val="pl-PL"/>
              </w:rPr>
            </w:pPr>
            <w:r w:rsidRPr="00986944">
              <w:rPr>
                <w:lang w:val="pl-PL"/>
              </w:rPr>
              <w:t>Active substance</w:t>
            </w:r>
          </w:p>
        </w:tc>
        <w:tc>
          <w:tcPr>
            <w:tcW w:w="1559" w:type="dxa"/>
            <w:tcBorders>
              <w:left w:val="single" w:sz="4" w:space="0" w:color="000000"/>
              <w:bottom w:val="single" w:sz="4" w:space="0" w:color="000000"/>
            </w:tcBorders>
            <w:shd w:val="clear" w:color="auto" w:fill="auto"/>
          </w:tcPr>
          <w:p w14:paraId="629D1A40" w14:textId="77777777" w:rsidR="00CF77DF" w:rsidRPr="00986944" w:rsidRDefault="00CF77DF" w:rsidP="0039605F">
            <w:pPr>
              <w:widowControl w:val="0"/>
              <w:snapToGrid w:val="0"/>
              <w:rPr>
                <w:lang w:val="pl-PL"/>
              </w:rPr>
            </w:pPr>
            <w:r w:rsidRPr="00986944">
              <w:rPr>
                <w:lang w:val="pl-PL"/>
              </w:rPr>
              <w:t>60207-90-1</w:t>
            </w:r>
          </w:p>
        </w:tc>
        <w:tc>
          <w:tcPr>
            <w:tcW w:w="1418" w:type="dxa"/>
            <w:tcBorders>
              <w:left w:val="single" w:sz="4" w:space="0" w:color="000000"/>
              <w:bottom w:val="single" w:sz="4" w:space="0" w:color="000000"/>
            </w:tcBorders>
            <w:shd w:val="clear" w:color="auto" w:fill="auto"/>
          </w:tcPr>
          <w:p w14:paraId="4004FCB7" w14:textId="77777777" w:rsidR="00CF77DF" w:rsidRPr="00986944" w:rsidRDefault="00CF77DF" w:rsidP="0039605F">
            <w:pPr>
              <w:widowControl w:val="0"/>
              <w:snapToGrid w:val="0"/>
              <w:rPr>
                <w:lang w:val="pl-PL"/>
              </w:rPr>
            </w:pPr>
            <w:r w:rsidRPr="00986944">
              <w:t>262-104-4</w:t>
            </w:r>
          </w:p>
        </w:tc>
        <w:tc>
          <w:tcPr>
            <w:tcW w:w="1559" w:type="dxa"/>
            <w:tcBorders>
              <w:left w:val="single" w:sz="4" w:space="0" w:color="000000"/>
              <w:bottom w:val="single" w:sz="4" w:space="0" w:color="000000"/>
              <w:right w:val="single" w:sz="4" w:space="0" w:color="000000"/>
            </w:tcBorders>
            <w:shd w:val="clear" w:color="auto" w:fill="auto"/>
          </w:tcPr>
          <w:p w14:paraId="1A5FCECD" w14:textId="286E55CC" w:rsidR="00CF77DF" w:rsidRPr="00986944" w:rsidRDefault="00CF77DF" w:rsidP="0039605F">
            <w:pPr>
              <w:widowControl w:val="0"/>
              <w:rPr>
                <w:rFonts w:cs="Arial"/>
                <w:color w:val="000000"/>
              </w:rPr>
            </w:pPr>
            <w:r w:rsidRPr="00986944">
              <w:rPr>
                <w:rFonts w:cs="Arial"/>
                <w:color w:val="000000"/>
              </w:rPr>
              <w:t>0.1</w:t>
            </w:r>
            <w:r w:rsidR="006E26A4">
              <w:rPr>
                <w:rFonts w:cs="Arial"/>
                <w:color w:val="000000"/>
              </w:rPr>
              <w:t>6</w:t>
            </w:r>
            <w:r w:rsidRPr="00986944">
              <w:rPr>
                <w:rFonts w:cs="Arial"/>
                <w:color w:val="000000"/>
              </w:rPr>
              <w:t xml:space="preserve"> </w:t>
            </w:r>
          </w:p>
          <w:p w14:paraId="688D4B89" w14:textId="77777777" w:rsidR="00CF77DF" w:rsidRPr="00986944" w:rsidRDefault="00CF77DF" w:rsidP="0039605F">
            <w:pPr>
              <w:widowControl w:val="0"/>
              <w:rPr>
                <w:rFonts w:cs="Arial"/>
              </w:rPr>
            </w:pPr>
          </w:p>
        </w:tc>
      </w:tr>
      <w:tr w:rsidR="00CF77DF" w:rsidRPr="00CF77DF" w14:paraId="67742C5E" w14:textId="77777777" w:rsidTr="0039605F">
        <w:tc>
          <w:tcPr>
            <w:tcW w:w="1701" w:type="dxa"/>
            <w:tcBorders>
              <w:left w:val="single" w:sz="4" w:space="0" w:color="000000"/>
              <w:bottom w:val="single" w:sz="4" w:space="0" w:color="000000"/>
            </w:tcBorders>
            <w:shd w:val="clear" w:color="auto" w:fill="auto"/>
          </w:tcPr>
          <w:p w14:paraId="4CEFADAC" w14:textId="424D066E" w:rsidR="00CF77DF" w:rsidRPr="00986944" w:rsidRDefault="00CF77DF" w:rsidP="0039605F">
            <w:pPr>
              <w:widowControl w:val="0"/>
              <w:snapToGrid w:val="0"/>
              <w:rPr>
                <w:lang w:val="pl-PL"/>
              </w:rPr>
            </w:pPr>
            <w:r w:rsidRPr="00986944">
              <w:rPr>
                <w:lang w:val="pl-PL"/>
              </w:rPr>
              <w:t>Tebuconazole</w:t>
            </w:r>
          </w:p>
        </w:tc>
        <w:tc>
          <w:tcPr>
            <w:tcW w:w="2410" w:type="dxa"/>
            <w:tcBorders>
              <w:left w:val="single" w:sz="4" w:space="0" w:color="000000"/>
              <w:bottom w:val="single" w:sz="4" w:space="0" w:color="000000"/>
            </w:tcBorders>
            <w:shd w:val="clear" w:color="auto" w:fill="auto"/>
          </w:tcPr>
          <w:p w14:paraId="21E6774D" w14:textId="77777777" w:rsidR="00CF77DF" w:rsidRPr="00986944" w:rsidRDefault="00CF77DF" w:rsidP="0039605F">
            <w:pPr>
              <w:widowControl w:val="0"/>
              <w:snapToGrid w:val="0"/>
              <w:rPr>
                <w:lang w:val="pl-PL"/>
              </w:rPr>
            </w:pPr>
            <w:r w:rsidRPr="00986944">
              <w:rPr>
                <w:lang w:val="pl-PL"/>
              </w:rPr>
              <w:t>1-(4-chlorophenyl)-4,4- dimethyl-3-(1,2,4-triazol-1-ylmethyl)pentan-3-ol</w:t>
            </w:r>
          </w:p>
        </w:tc>
        <w:tc>
          <w:tcPr>
            <w:tcW w:w="1134" w:type="dxa"/>
            <w:tcBorders>
              <w:left w:val="single" w:sz="4" w:space="0" w:color="000000"/>
              <w:bottom w:val="single" w:sz="4" w:space="0" w:color="000000"/>
            </w:tcBorders>
            <w:shd w:val="clear" w:color="auto" w:fill="auto"/>
          </w:tcPr>
          <w:p w14:paraId="217B9A51" w14:textId="2BDE3B1E" w:rsidR="00CF77DF" w:rsidRPr="00986944" w:rsidRDefault="00CF77DF" w:rsidP="006E26A4">
            <w:pPr>
              <w:widowControl w:val="0"/>
              <w:snapToGrid w:val="0"/>
              <w:rPr>
                <w:lang w:val="pl-PL"/>
              </w:rPr>
            </w:pPr>
            <w:r w:rsidRPr="00986944">
              <w:rPr>
                <w:lang w:val="pl-PL"/>
              </w:rPr>
              <w:t>Active substance</w:t>
            </w:r>
          </w:p>
        </w:tc>
        <w:tc>
          <w:tcPr>
            <w:tcW w:w="1559" w:type="dxa"/>
            <w:tcBorders>
              <w:left w:val="single" w:sz="4" w:space="0" w:color="000000"/>
              <w:bottom w:val="single" w:sz="4" w:space="0" w:color="000000"/>
            </w:tcBorders>
            <w:shd w:val="clear" w:color="auto" w:fill="auto"/>
          </w:tcPr>
          <w:p w14:paraId="1DDBEAFF" w14:textId="77777777" w:rsidR="00CF77DF" w:rsidRPr="00986944" w:rsidRDefault="00CF77DF" w:rsidP="0039605F">
            <w:pPr>
              <w:widowControl w:val="0"/>
              <w:snapToGrid w:val="0"/>
              <w:rPr>
                <w:lang w:val="pl-PL"/>
              </w:rPr>
            </w:pPr>
            <w:r w:rsidRPr="00986944">
              <w:rPr>
                <w:lang w:val="pl-PL"/>
              </w:rPr>
              <w:t>107534-96-3</w:t>
            </w:r>
          </w:p>
        </w:tc>
        <w:tc>
          <w:tcPr>
            <w:tcW w:w="1418" w:type="dxa"/>
            <w:tcBorders>
              <w:left w:val="single" w:sz="4" w:space="0" w:color="000000"/>
              <w:bottom w:val="single" w:sz="4" w:space="0" w:color="000000"/>
            </w:tcBorders>
            <w:shd w:val="clear" w:color="auto" w:fill="auto"/>
          </w:tcPr>
          <w:p w14:paraId="18D2FCC0" w14:textId="77777777" w:rsidR="00CF77DF" w:rsidRPr="0021636F" w:rsidRDefault="00CF77DF" w:rsidP="0039605F">
            <w:pPr>
              <w:widowControl w:val="0"/>
              <w:snapToGrid w:val="0"/>
              <w:rPr>
                <w:lang w:val="pl-PL"/>
              </w:rPr>
            </w:pPr>
            <w:r w:rsidRPr="0021636F">
              <w:t>403-640-2</w:t>
            </w:r>
          </w:p>
        </w:tc>
        <w:tc>
          <w:tcPr>
            <w:tcW w:w="1559" w:type="dxa"/>
            <w:tcBorders>
              <w:left w:val="single" w:sz="4" w:space="0" w:color="000000"/>
              <w:bottom w:val="single" w:sz="4" w:space="0" w:color="000000"/>
              <w:right w:val="single" w:sz="4" w:space="0" w:color="000000"/>
            </w:tcBorders>
            <w:shd w:val="clear" w:color="auto" w:fill="auto"/>
          </w:tcPr>
          <w:p w14:paraId="7137097E" w14:textId="078EB6BC" w:rsidR="00CF77DF" w:rsidRPr="0021636F" w:rsidRDefault="00CF77DF" w:rsidP="006E26A4">
            <w:pPr>
              <w:widowControl w:val="0"/>
              <w:rPr>
                <w:rFonts w:cs="Arial"/>
              </w:rPr>
            </w:pPr>
            <w:r w:rsidRPr="0021636F">
              <w:rPr>
                <w:rFonts w:cs="Arial"/>
                <w:color w:val="000000"/>
              </w:rPr>
              <w:t>0.05</w:t>
            </w:r>
            <w:r w:rsidR="00986944" w:rsidRPr="0021636F">
              <w:rPr>
                <w:rFonts w:cs="Arial"/>
                <w:color w:val="000000"/>
              </w:rPr>
              <w:t xml:space="preserve"> </w:t>
            </w:r>
          </w:p>
        </w:tc>
      </w:tr>
      <w:tr w:rsidR="00CF77DF" w:rsidRPr="00CF77DF" w14:paraId="62DC0549" w14:textId="77777777" w:rsidTr="0039605F">
        <w:tc>
          <w:tcPr>
            <w:tcW w:w="1701" w:type="dxa"/>
            <w:tcBorders>
              <w:left w:val="single" w:sz="4" w:space="0" w:color="000000"/>
              <w:bottom w:val="single" w:sz="4" w:space="0" w:color="auto"/>
            </w:tcBorders>
            <w:shd w:val="clear" w:color="auto" w:fill="auto"/>
          </w:tcPr>
          <w:p w14:paraId="4DB0471F" w14:textId="6195C5A1" w:rsidR="00CF77DF" w:rsidRPr="00986944" w:rsidRDefault="00641823" w:rsidP="0039605F">
            <w:pPr>
              <w:widowControl w:val="0"/>
              <w:snapToGrid w:val="0"/>
              <w:rPr>
                <w:lang w:val="pl-PL"/>
              </w:rPr>
            </w:pPr>
            <w:r w:rsidRPr="00986944">
              <w:rPr>
                <w:lang w:val="pl-PL"/>
              </w:rPr>
              <w:t>IPBC</w:t>
            </w:r>
          </w:p>
        </w:tc>
        <w:tc>
          <w:tcPr>
            <w:tcW w:w="2410" w:type="dxa"/>
            <w:tcBorders>
              <w:left w:val="single" w:sz="4" w:space="0" w:color="000000"/>
              <w:bottom w:val="single" w:sz="4" w:space="0" w:color="auto"/>
            </w:tcBorders>
            <w:shd w:val="clear" w:color="auto" w:fill="auto"/>
          </w:tcPr>
          <w:p w14:paraId="0913675F" w14:textId="77777777" w:rsidR="00641823" w:rsidRPr="00986944" w:rsidRDefault="00641823" w:rsidP="0039605F">
            <w:pPr>
              <w:widowControl w:val="0"/>
              <w:snapToGrid w:val="0"/>
              <w:rPr>
                <w:lang w:val="pl-PL"/>
              </w:rPr>
            </w:pPr>
            <w:r w:rsidRPr="00986944">
              <w:rPr>
                <w:lang w:val="pl-PL"/>
              </w:rPr>
              <w:t>3-iodo-2-</w:t>
            </w:r>
          </w:p>
          <w:p w14:paraId="48716866" w14:textId="77777777" w:rsidR="00641823" w:rsidRPr="00986944" w:rsidRDefault="00641823" w:rsidP="0039605F">
            <w:pPr>
              <w:widowControl w:val="0"/>
              <w:snapToGrid w:val="0"/>
              <w:rPr>
                <w:lang w:val="pl-PL"/>
              </w:rPr>
            </w:pPr>
            <w:r w:rsidRPr="00986944">
              <w:rPr>
                <w:lang w:val="pl-PL"/>
              </w:rPr>
              <w:t xml:space="preserve">propynylbutylcarbamate </w:t>
            </w:r>
          </w:p>
          <w:p w14:paraId="7EA5594F" w14:textId="77777777" w:rsidR="00CF77DF" w:rsidRPr="00986944" w:rsidRDefault="00CF77DF" w:rsidP="0039605F">
            <w:pPr>
              <w:widowControl w:val="0"/>
              <w:snapToGrid w:val="0"/>
              <w:rPr>
                <w:lang w:val="pl-PL"/>
              </w:rPr>
            </w:pPr>
          </w:p>
        </w:tc>
        <w:tc>
          <w:tcPr>
            <w:tcW w:w="1134" w:type="dxa"/>
            <w:tcBorders>
              <w:left w:val="single" w:sz="4" w:space="0" w:color="000000"/>
              <w:bottom w:val="single" w:sz="4" w:space="0" w:color="auto"/>
            </w:tcBorders>
            <w:shd w:val="clear" w:color="auto" w:fill="auto"/>
          </w:tcPr>
          <w:p w14:paraId="28601EDE" w14:textId="0904ECB1" w:rsidR="00CF77DF" w:rsidRPr="00986944" w:rsidRDefault="00CF77DF" w:rsidP="006E26A4">
            <w:pPr>
              <w:widowControl w:val="0"/>
              <w:snapToGrid w:val="0"/>
              <w:rPr>
                <w:lang w:val="pl-PL"/>
              </w:rPr>
            </w:pPr>
            <w:r w:rsidRPr="00986944">
              <w:rPr>
                <w:lang w:val="pl-PL"/>
              </w:rPr>
              <w:lastRenderedPageBreak/>
              <w:t>Active substance</w:t>
            </w:r>
          </w:p>
        </w:tc>
        <w:tc>
          <w:tcPr>
            <w:tcW w:w="1559" w:type="dxa"/>
            <w:tcBorders>
              <w:left w:val="single" w:sz="4" w:space="0" w:color="000000"/>
              <w:bottom w:val="single" w:sz="4" w:space="0" w:color="auto"/>
            </w:tcBorders>
            <w:shd w:val="clear" w:color="auto" w:fill="auto"/>
          </w:tcPr>
          <w:p w14:paraId="0A8CE52C" w14:textId="77777777" w:rsidR="00CF77DF" w:rsidRPr="00986944" w:rsidRDefault="00CF77DF" w:rsidP="0039605F">
            <w:pPr>
              <w:widowControl w:val="0"/>
              <w:snapToGrid w:val="0"/>
              <w:rPr>
                <w:lang w:val="pl-PL"/>
              </w:rPr>
            </w:pPr>
            <w:r w:rsidRPr="00986944">
              <w:rPr>
                <w:lang w:val="pl-PL"/>
              </w:rPr>
              <w:t>55406-53-6</w:t>
            </w:r>
          </w:p>
        </w:tc>
        <w:tc>
          <w:tcPr>
            <w:tcW w:w="1418" w:type="dxa"/>
            <w:tcBorders>
              <w:left w:val="single" w:sz="4" w:space="0" w:color="000000"/>
              <w:bottom w:val="single" w:sz="4" w:space="0" w:color="auto"/>
            </w:tcBorders>
            <w:shd w:val="clear" w:color="auto" w:fill="auto"/>
          </w:tcPr>
          <w:p w14:paraId="5A407724" w14:textId="77777777" w:rsidR="00CF77DF" w:rsidRPr="0021636F" w:rsidRDefault="00CF77DF" w:rsidP="0039605F">
            <w:pPr>
              <w:widowControl w:val="0"/>
              <w:snapToGrid w:val="0"/>
              <w:rPr>
                <w:lang w:val="pl-PL"/>
              </w:rPr>
            </w:pPr>
            <w:r w:rsidRPr="0021636F">
              <w:rPr>
                <w:position w:val="1"/>
              </w:rPr>
              <w:t>259-627-5</w:t>
            </w:r>
          </w:p>
        </w:tc>
        <w:tc>
          <w:tcPr>
            <w:tcW w:w="1559" w:type="dxa"/>
            <w:tcBorders>
              <w:left w:val="single" w:sz="4" w:space="0" w:color="000000"/>
              <w:bottom w:val="single" w:sz="4" w:space="0" w:color="auto"/>
              <w:right w:val="single" w:sz="4" w:space="0" w:color="000000"/>
            </w:tcBorders>
            <w:shd w:val="clear" w:color="auto" w:fill="auto"/>
          </w:tcPr>
          <w:p w14:paraId="762775B8" w14:textId="1CF90417" w:rsidR="00CF77DF" w:rsidRPr="0021636F" w:rsidRDefault="00CF77DF" w:rsidP="006E26A4">
            <w:pPr>
              <w:widowControl w:val="0"/>
              <w:rPr>
                <w:rFonts w:cs="Arial"/>
              </w:rPr>
            </w:pPr>
            <w:r w:rsidRPr="0021636F">
              <w:rPr>
                <w:rFonts w:cs="Arial"/>
                <w:color w:val="000000"/>
              </w:rPr>
              <w:t>0.</w:t>
            </w:r>
            <w:r w:rsidR="006E26A4" w:rsidRPr="0021636F">
              <w:rPr>
                <w:rFonts w:cs="Arial"/>
                <w:color w:val="000000"/>
              </w:rPr>
              <w:t>0</w:t>
            </w:r>
            <w:r w:rsidR="006E26A4">
              <w:rPr>
                <w:rFonts w:cs="Arial"/>
                <w:color w:val="000000"/>
              </w:rPr>
              <w:t>5</w:t>
            </w:r>
            <w:r w:rsidR="006E26A4" w:rsidRPr="0021636F">
              <w:rPr>
                <w:rFonts w:cs="Arial"/>
                <w:color w:val="000000"/>
              </w:rPr>
              <w:t xml:space="preserve"> </w:t>
            </w:r>
          </w:p>
        </w:tc>
      </w:tr>
      <w:tr w:rsidR="008F4AAF" w:rsidRPr="00CF77DF" w14:paraId="16AB47DE" w14:textId="77777777" w:rsidTr="0039605F">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F0643" w14:textId="2714C0DB" w:rsidR="008F4AAF" w:rsidRPr="00986944" w:rsidRDefault="00641823" w:rsidP="0039605F">
            <w:pPr>
              <w:widowControl w:val="0"/>
              <w:snapToGrid w:val="0"/>
              <w:jc w:val="left"/>
              <w:rPr>
                <w:lang w:val="pl-PL"/>
              </w:rPr>
            </w:pPr>
            <w:r w:rsidRPr="00986944">
              <w:rPr>
                <w:rFonts w:cs="Arial"/>
                <w:lang w:val="fr-FR"/>
              </w:rPr>
              <w:t>Solvent naphta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F79FF" w14:textId="77777777" w:rsidR="008F4AAF" w:rsidRPr="00EC0D24" w:rsidRDefault="008F4AAF" w:rsidP="0039605F">
            <w:pPr>
              <w:widowControl w:val="0"/>
              <w:autoSpaceDE w:val="0"/>
              <w:autoSpaceDN w:val="0"/>
              <w:adjustRightInd w:val="0"/>
              <w:jc w:val="left"/>
              <w:rPr>
                <w:rFonts w:cs="Arial"/>
                <w:lang w:val="fr-FR"/>
              </w:rPr>
            </w:pPr>
            <w:r w:rsidRPr="00EC0D24">
              <w:rPr>
                <w:rFonts w:cs="Arial"/>
                <w:lang w:val="fr-FR"/>
              </w:rPr>
              <w:t>Hydrocarbons, C10-C13, n-alkanes,</w:t>
            </w:r>
          </w:p>
          <w:p w14:paraId="7FD7D8E4" w14:textId="77777777" w:rsidR="008F4AAF" w:rsidRPr="00986944" w:rsidRDefault="008F4AAF" w:rsidP="0039605F">
            <w:pPr>
              <w:widowControl w:val="0"/>
              <w:autoSpaceDE w:val="0"/>
              <w:autoSpaceDN w:val="0"/>
              <w:adjustRightInd w:val="0"/>
              <w:jc w:val="left"/>
              <w:rPr>
                <w:rFonts w:cs="Arial"/>
              </w:rPr>
            </w:pPr>
            <w:r w:rsidRPr="00986944">
              <w:rPr>
                <w:rFonts w:cs="Arial"/>
              </w:rPr>
              <w:t>isoalkanes, cyclics,</w:t>
            </w:r>
          </w:p>
          <w:p w14:paraId="28FFFD0D" w14:textId="16A897F2" w:rsidR="008F4AAF" w:rsidRPr="00986944" w:rsidRDefault="008F4AAF" w:rsidP="0039605F">
            <w:pPr>
              <w:widowControl w:val="0"/>
              <w:snapToGrid w:val="0"/>
              <w:jc w:val="left"/>
              <w:rPr>
                <w:lang w:val="pl-PL"/>
              </w:rPr>
            </w:pPr>
            <w:r w:rsidRPr="00986944">
              <w:rPr>
                <w:rFonts w:cs="Arial"/>
              </w:rPr>
              <w:t>&lt; 2% aromatics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9BA4D9" w14:textId="5CD9CECB" w:rsidR="008F4AAF" w:rsidRPr="00986944" w:rsidRDefault="008F4AAF" w:rsidP="0039605F">
            <w:pPr>
              <w:widowControl w:val="0"/>
              <w:snapToGrid w:val="0"/>
              <w:jc w:val="left"/>
              <w:rPr>
                <w:lang w:val="pl-PL"/>
              </w:rPr>
            </w:pPr>
            <w:r w:rsidRPr="00986944">
              <w:rPr>
                <w:rFonts w:cs="Arial"/>
              </w:rPr>
              <w:t>Solvent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1023D4" w14:textId="39930F00" w:rsidR="008F4AAF" w:rsidRPr="00986944" w:rsidRDefault="008F4AAF" w:rsidP="007F3363">
            <w:pPr>
              <w:widowControl w:val="0"/>
              <w:snapToGrid w:val="0"/>
              <w:jc w:val="left"/>
              <w:rPr>
                <w:lang w:val="pl-P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3B2D65" w14:textId="4C96B6A3" w:rsidR="008F4AAF" w:rsidRPr="0021636F" w:rsidRDefault="008F4AAF" w:rsidP="0039605F">
            <w:pPr>
              <w:widowControl w:val="0"/>
              <w:snapToGrid w:val="0"/>
              <w:jc w:val="left"/>
              <w:rPr>
                <w:position w:val="1"/>
              </w:rPr>
            </w:pPr>
            <w:r w:rsidRPr="0021636F">
              <w:rPr>
                <w:rFonts w:cs="Arial"/>
              </w:rPr>
              <w:t>918-481-9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494A12" w14:textId="19E98828" w:rsidR="008F4AAF" w:rsidRPr="0021636F" w:rsidRDefault="008F4AAF" w:rsidP="0039605F">
            <w:pPr>
              <w:widowControl w:val="0"/>
              <w:jc w:val="left"/>
              <w:rPr>
                <w:rFonts w:cs="Arial"/>
                <w:color w:val="000000"/>
              </w:rPr>
            </w:pPr>
            <w:r w:rsidRPr="0021636F">
              <w:rPr>
                <w:rFonts w:cs="Arial"/>
              </w:rPr>
              <w:t>97.15</w:t>
            </w:r>
          </w:p>
        </w:tc>
      </w:tr>
    </w:tbl>
    <w:p w14:paraId="2DC39BA9" w14:textId="42AA2F78" w:rsidR="00F4797A" w:rsidRDefault="00F4797A" w:rsidP="0039605F">
      <w:pPr>
        <w:pStyle w:val="Absatz"/>
        <w:widowControl w:val="0"/>
        <w:rPr>
          <w:lang w:eastAsia="en-US"/>
        </w:rPr>
      </w:pPr>
    </w:p>
    <w:p w14:paraId="44376994" w14:textId="77777777" w:rsidR="00F4797A" w:rsidRDefault="00F4797A" w:rsidP="0039605F">
      <w:pPr>
        <w:pStyle w:val="Absatz"/>
        <w:widowControl w:val="0"/>
        <w:rPr>
          <w:lang w:eastAsia="en-US"/>
        </w:rPr>
      </w:pPr>
    </w:p>
    <w:p w14:paraId="1CDA1BAC" w14:textId="77777777" w:rsidR="009D0C0B" w:rsidRDefault="00FA480B">
      <w:pPr>
        <w:pStyle w:val="Titre4"/>
        <w:rPr>
          <w:rFonts w:ascii="Times New Roman" w:hAnsi="Times New Roman" w:cs="Times New Roman"/>
          <w:i/>
          <w:lang w:eastAsia="fr-FR"/>
        </w:rPr>
      </w:pPr>
      <w:bookmarkStart w:id="22" w:name="_Toc536627251"/>
      <w:r>
        <w:t>Information on technical equivalence</w:t>
      </w:r>
      <w:bookmarkEnd w:id="22"/>
    </w:p>
    <w:p w14:paraId="76646535" w14:textId="77777777" w:rsidR="009D0C0B" w:rsidRDefault="009D0C0B">
      <w:pPr>
        <w:spacing w:line="260" w:lineRule="atLeast"/>
        <w:rPr>
          <w:rFonts w:ascii="Times New Roman" w:eastAsia="Calibri" w:hAnsi="Times New Roman" w:cs="Times New Roman"/>
          <w:i/>
          <w:szCs w:val="24"/>
          <w:lang w:eastAsia="en-US"/>
        </w:rPr>
      </w:pPr>
    </w:p>
    <w:p w14:paraId="048B864A" w14:textId="77777777" w:rsidR="00607E74" w:rsidRDefault="00607E74" w:rsidP="00607E74">
      <w:pPr>
        <w:spacing w:line="260" w:lineRule="atLeast"/>
        <w:rPr>
          <w:rFonts w:eastAsia="Calibri"/>
          <w:lang w:eastAsia="en-US"/>
        </w:rPr>
      </w:pPr>
      <w:r>
        <w:rPr>
          <w:rFonts w:eastAsia="Calibri"/>
          <w:lang w:eastAsia="en-US"/>
        </w:rPr>
        <w:t>Not applicable.</w:t>
      </w:r>
    </w:p>
    <w:p w14:paraId="77AB64E0" w14:textId="77777777" w:rsidR="00607E74" w:rsidRDefault="00607E74">
      <w:pPr>
        <w:spacing w:line="260" w:lineRule="atLeast"/>
        <w:rPr>
          <w:rFonts w:ascii="Times New Roman" w:eastAsia="Calibri" w:hAnsi="Times New Roman" w:cs="Times New Roman"/>
          <w:i/>
          <w:szCs w:val="24"/>
          <w:lang w:eastAsia="en-US"/>
        </w:rPr>
      </w:pPr>
    </w:p>
    <w:p w14:paraId="0549D4B9" w14:textId="77777777" w:rsidR="009D0C0B" w:rsidRPr="00EC0D24" w:rsidRDefault="00FA480B">
      <w:pPr>
        <w:pStyle w:val="Titre4"/>
        <w:rPr>
          <w:rFonts w:cs="Times"/>
          <w:bCs/>
          <w:szCs w:val="29"/>
        </w:rPr>
      </w:pPr>
      <w:bookmarkStart w:id="23" w:name="_Toc536627252"/>
      <w:r w:rsidRPr="00EC0D24">
        <w:t>Information on the substance(s) of concern</w:t>
      </w:r>
      <w:bookmarkEnd w:id="23"/>
    </w:p>
    <w:p w14:paraId="48C05804" w14:textId="59B35022" w:rsidR="001C2517" w:rsidRDefault="001C2517" w:rsidP="001C2517">
      <w:pPr>
        <w:jc w:val="left"/>
        <w:rPr>
          <w:rFonts w:eastAsia="Calibri" w:cs="Times"/>
          <w:bCs/>
          <w:szCs w:val="29"/>
        </w:rPr>
      </w:pPr>
    </w:p>
    <w:p w14:paraId="0555A4A0" w14:textId="15FD5A23" w:rsidR="001C2517" w:rsidRPr="00F43DDA" w:rsidRDefault="001C2517" w:rsidP="001C2517">
      <w:pPr>
        <w:jc w:val="left"/>
        <w:rPr>
          <w:rFonts w:cs="Arial"/>
        </w:rPr>
      </w:pPr>
      <w:r w:rsidRPr="00F43DDA">
        <w:rPr>
          <w:rFonts w:cs="Arial"/>
        </w:rPr>
        <w:t>The coforrmulant Hydrocarbons, C10-C13, n-alkanes, isoalkanes</w:t>
      </w:r>
      <w:proofErr w:type="gramStart"/>
      <w:r w:rsidRPr="00F43DDA">
        <w:rPr>
          <w:rFonts w:cs="Arial"/>
        </w:rPr>
        <w:t>,cyclics</w:t>
      </w:r>
      <w:proofErr w:type="gramEnd"/>
      <w:r w:rsidRPr="00F43DDA">
        <w:rPr>
          <w:rFonts w:cs="Arial"/>
        </w:rPr>
        <w:t xml:space="preserve"> triggers a classification Asp Tox. Cat 1 - H304 of product. </w:t>
      </w:r>
      <w:r>
        <w:rPr>
          <w:rFonts w:cs="Arial"/>
        </w:rPr>
        <w:t>This</w:t>
      </w:r>
      <w:r w:rsidRPr="00F43DDA">
        <w:rPr>
          <w:rFonts w:cs="Arial"/>
        </w:rPr>
        <w:t xml:space="preserve"> coformulant is considered substance of concern. </w:t>
      </w:r>
    </w:p>
    <w:p w14:paraId="327D2087" w14:textId="77777777" w:rsidR="001C2517" w:rsidRDefault="001C2517">
      <w:pPr>
        <w:spacing w:line="260" w:lineRule="atLeast"/>
        <w:rPr>
          <w:rFonts w:eastAsia="Calibri" w:cs="Times"/>
          <w:bCs/>
          <w:szCs w:val="29"/>
        </w:rPr>
      </w:pPr>
    </w:p>
    <w:p w14:paraId="4CE6C06B" w14:textId="33B1E7CD" w:rsidR="009D0C0B" w:rsidRDefault="008E37D8">
      <w:pPr>
        <w:spacing w:line="260" w:lineRule="atLeast"/>
        <w:rPr>
          <w:lang w:eastAsia="en-GB"/>
        </w:rPr>
      </w:pPr>
      <w:r>
        <w:rPr>
          <w:lang w:eastAsia="en-GB"/>
        </w:rPr>
        <w:t>T</w:t>
      </w:r>
      <w:r w:rsidRPr="008E37D8">
        <w:rPr>
          <w:lang w:eastAsia="en-GB"/>
        </w:rPr>
        <w:t xml:space="preserve">he substance of concern is the solvent which </w:t>
      </w:r>
      <w:r w:rsidR="009B5713">
        <w:rPr>
          <w:lang w:eastAsia="en-GB"/>
        </w:rPr>
        <w:t xml:space="preserve">is </w:t>
      </w:r>
      <w:r w:rsidRPr="008E37D8">
        <w:rPr>
          <w:lang w:eastAsia="en-GB"/>
        </w:rPr>
        <w:t xml:space="preserve">present at a significant content in the product. </w:t>
      </w:r>
      <w:r>
        <w:rPr>
          <w:lang w:eastAsia="en-GB"/>
        </w:rPr>
        <w:t xml:space="preserve">Consequently, </w:t>
      </w:r>
      <w:r w:rsidRPr="008E37D8">
        <w:rPr>
          <w:lang w:eastAsia="en-GB"/>
        </w:rPr>
        <w:t>a method in order to monitor the content of naphta solvent in the product</w:t>
      </w:r>
      <w:r>
        <w:rPr>
          <w:lang w:eastAsia="en-GB"/>
        </w:rPr>
        <w:t xml:space="preserve"> is not relevant</w:t>
      </w:r>
      <w:r w:rsidRPr="008E37D8">
        <w:rPr>
          <w:lang w:eastAsia="en-GB"/>
        </w:rPr>
        <w:t>.</w:t>
      </w:r>
    </w:p>
    <w:p w14:paraId="0E94F510" w14:textId="77777777" w:rsidR="00055A3C" w:rsidRDefault="00055A3C" w:rsidP="00055A3C">
      <w:pPr>
        <w:spacing w:line="260" w:lineRule="atLeast"/>
        <w:rPr>
          <w:rFonts w:ascii="Times New Roman" w:eastAsia="Calibri" w:hAnsi="Times New Roman" w:cs="Times New Roman"/>
          <w:i/>
          <w:szCs w:val="24"/>
          <w:lang w:eastAsia="en-US"/>
        </w:rPr>
      </w:pPr>
    </w:p>
    <w:p w14:paraId="038A1905" w14:textId="2552EF91" w:rsidR="00055A3C" w:rsidRPr="00EC0D24" w:rsidRDefault="00055A3C" w:rsidP="00055A3C">
      <w:pPr>
        <w:pStyle w:val="Titre4"/>
        <w:rPr>
          <w:rFonts w:cs="Times"/>
          <w:bCs/>
          <w:szCs w:val="29"/>
        </w:rPr>
      </w:pPr>
      <w:bookmarkStart w:id="24" w:name="_Toc536627253"/>
      <w:r w:rsidRPr="001919CC">
        <w:t>Assessment of endocrine disruption (ED) properties of co-formulants in biocidal products</w:t>
      </w:r>
      <w:bookmarkEnd w:id="24"/>
    </w:p>
    <w:p w14:paraId="3D54F7EF" w14:textId="043C5D2F" w:rsidR="00127143" w:rsidRPr="000E1EAD" w:rsidRDefault="00127143" w:rsidP="00127143">
      <w:pPr>
        <w:rPr>
          <w:iCs/>
        </w:rPr>
      </w:pPr>
      <w:r w:rsidRPr="000E1EAD">
        <w:rPr>
          <w:iCs/>
        </w:rPr>
        <w:t xml:space="preserve">According to our assessment, none of the </w:t>
      </w:r>
      <w:r w:rsidR="00C533B6">
        <w:rPr>
          <w:iCs/>
        </w:rPr>
        <w:t>co-</w:t>
      </w:r>
      <w:r w:rsidRPr="000E1EAD">
        <w:rPr>
          <w:iCs/>
        </w:rPr>
        <w:t>formulants contained in t</w:t>
      </w:r>
      <w:r w:rsidRPr="000E1EAD">
        <w:rPr>
          <w:rFonts w:eastAsia="Calibri"/>
          <w:lang w:eastAsia="en-US"/>
        </w:rPr>
        <w:t>he biocidal product X6122B1</w:t>
      </w:r>
      <w:r w:rsidRPr="000E1EAD">
        <w:t xml:space="preserve"> </w:t>
      </w:r>
      <w:r w:rsidRPr="000E1EAD">
        <w:rPr>
          <w:iCs/>
        </w:rPr>
        <w:t xml:space="preserve">are identified as endocrine disruptors. </w:t>
      </w:r>
    </w:p>
    <w:p w14:paraId="59F43FAD" w14:textId="77777777" w:rsidR="00127143" w:rsidRPr="000E1EAD" w:rsidRDefault="00127143" w:rsidP="00127143">
      <w:pPr>
        <w:rPr>
          <w:bCs/>
        </w:rPr>
      </w:pPr>
    </w:p>
    <w:p w14:paraId="7FB86369" w14:textId="3A5B41B3" w:rsidR="00127143" w:rsidRPr="000E1EAD" w:rsidRDefault="00127143" w:rsidP="00127143">
      <w:pPr>
        <w:rPr>
          <w:iCs/>
        </w:rPr>
      </w:pPr>
      <w:r w:rsidRPr="000E1EAD">
        <w:rPr>
          <w:bCs/>
        </w:rPr>
        <w:t>Please refer to Confidential Annex.</w:t>
      </w:r>
    </w:p>
    <w:p w14:paraId="4B70ADCD" w14:textId="77777777" w:rsidR="009D0C0B" w:rsidRDefault="00FA480B">
      <w:pPr>
        <w:pStyle w:val="Titre4"/>
      </w:pPr>
      <w:bookmarkStart w:id="25" w:name="_Toc536627254"/>
      <w:r>
        <w:t>Type of formulation</w:t>
      </w:r>
      <w:bookmarkEnd w:id="2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DE3E39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CC85EA6" w14:textId="77777777" w:rsidR="009D0C0B" w:rsidRDefault="00726C39">
            <w:pPr>
              <w:snapToGrid w:val="0"/>
            </w:pPr>
            <w:r>
              <w:t>Any other liquid</w:t>
            </w:r>
          </w:p>
        </w:tc>
      </w:tr>
    </w:tbl>
    <w:p w14:paraId="5A9EF72A" w14:textId="77777777" w:rsidR="009D0C0B" w:rsidRDefault="009D0C0B">
      <w:bookmarkStart w:id="26" w:name="d0e452"/>
    </w:p>
    <w:p w14:paraId="1F7CE1E6" w14:textId="77777777" w:rsidR="009D0C0B" w:rsidRDefault="009D0C0B"/>
    <w:p w14:paraId="14F2EDA7" w14:textId="12AD2BD0" w:rsidR="009D0C0B" w:rsidRDefault="00FA480B">
      <w:pPr>
        <w:pStyle w:val="Titre3"/>
      </w:pPr>
      <w:bookmarkStart w:id="27" w:name="_Toc536627255"/>
      <w:r>
        <w:t>Hazard and precautionary statements</w:t>
      </w:r>
      <w:bookmarkEnd w:id="27"/>
    </w:p>
    <w:p w14:paraId="4693E2E1" w14:textId="0434E4D9" w:rsidR="00C25B18" w:rsidRPr="00EC0D24" w:rsidRDefault="00C25B18" w:rsidP="00C25B18">
      <w:pPr>
        <w:pStyle w:val="Titre4"/>
      </w:pPr>
      <w:bookmarkStart w:id="28" w:name="_Toc536627256"/>
      <w:bookmarkStart w:id="29" w:name="_Toc253495062"/>
      <w:r w:rsidRPr="00EC0D24">
        <w:t>Classification of the active substance</w:t>
      </w:r>
      <w:r w:rsidR="00A70EBF">
        <w:t>s</w:t>
      </w:r>
      <w:bookmarkEnd w:id="28"/>
      <w:r w:rsidRPr="00EC0D24">
        <w:t xml:space="preserve"> </w:t>
      </w:r>
    </w:p>
    <w:p w14:paraId="3273A8F5" w14:textId="77777777" w:rsidR="00C25B18" w:rsidRPr="00607E74" w:rsidRDefault="00C25B18" w:rsidP="00C25B18">
      <w:pPr>
        <w:rPr>
          <w:rFonts w:cs="Arial"/>
        </w:rPr>
      </w:pPr>
      <w:r w:rsidRPr="00607E74">
        <w:rPr>
          <w:rFonts w:cs="Arial"/>
        </w:rPr>
        <w:t>The current classification can be displayed here as appropriate.</w:t>
      </w:r>
    </w:p>
    <w:p w14:paraId="1A2582F7" w14:textId="77777777" w:rsidR="00C25B18" w:rsidRPr="00575E63" w:rsidRDefault="00C25B18" w:rsidP="00C25B18">
      <w:pPr>
        <w:rPr>
          <w:rFonts w:ascii="Arial" w:hAnsi="Arial" w:cs="Arial"/>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61"/>
        <w:gridCol w:w="6095"/>
      </w:tblGrid>
      <w:tr w:rsidR="00C25B18" w:rsidRPr="00607E74" w14:paraId="0F4E7C9D" w14:textId="77777777" w:rsidTr="0039605F">
        <w:trPr>
          <w:trHeight w:val="347"/>
        </w:trPr>
        <w:tc>
          <w:tcPr>
            <w:tcW w:w="3261" w:type="dxa"/>
          </w:tcPr>
          <w:p w14:paraId="2C1E0DE8" w14:textId="77777777" w:rsidR="00C25B18" w:rsidRPr="00607E74" w:rsidRDefault="00C25B18" w:rsidP="008E0250">
            <w:pPr>
              <w:pStyle w:val="NormalWeb"/>
              <w:snapToGrid w:val="0"/>
              <w:spacing w:before="60" w:after="60" w:line="276" w:lineRule="auto"/>
              <w:rPr>
                <w:rFonts w:ascii="Verdana" w:eastAsia="Calibri" w:hAnsi="Verdana" w:cs="Arial"/>
                <w:b/>
                <w:color w:val="000000"/>
                <w:sz w:val="20"/>
                <w:lang w:eastAsia="sv-SE"/>
              </w:rPr>
            </w:pPr>
            <w:r w:rsidRPr="00607E74">
              <w:rPr>
                <w:rFonts w:ascii="Verdana" w:eastAsia="Calibri" w:hAnsi="Verdana" w:cs="Arial"/>
                <w:b/>
                <w:color w:val="000000"/>
                <w:sz w:val="20"/>
                <w:lang w:eastAsia="sv-SE"/>
              </w:rPr>
              <w:t>Classification - Regulation (EC) 1272/2008</w:t>
            </w:r>
          </w:p>
        </w:tc>
        <w:tc>
          <w:tcPr>
            <w:tcW w:w="6095" w:type="dxa"/>
          </w:tcPr>
          <w:p w14:paraId="18083E66" w14:textId="77777777" w:rsidR="00C25B18" w:rsidRPr="00607E74" w:rsidRDefault="00C25B18" w:rsidP="008E0250">
            <w:pPr>
              <w:pStyle w:val="Contenudetableau"/>
              <w:snapToGrid w:val="0"/>
              <w:spacing w:before="60" w:after="60" w:line="276" w:lineRule="auto"/>
              <w:jc w:val="center"/>
              <w:rPr>
                <w:rFonts w:eastAsia="Calibri" w:cs="Arial"/>
                <w:color w:val="000000"/>
                <w:lang w:eastAsia="sv-SE"/>
              </w:rPr>
            </w:pPr>
            <w:r w:rsidRPr="00607E74">
              <w:rPr>
                <w:rFonts w:eastAsia="Calibri" w:cs="Arial"/>
                <w:b/>
                <w:color w:val="000000"/>
                <w:lang w:eastAsia="sv-SE"/>
              </w:rPr>
              <w:t>Tebuconazole</w:t>
            </w:r>
          </w:p>
        </w:tc>
      </w:tr>
      <w:tr w:rsidR="00C25B18" w:rsidRPr="00607E74" w14:paraId="19C8074E" w14:textId="77777777" w:rsidTr="0039605F">
        <w:trPr>
          <w:trHeight w:val="357"/>
        </w:trPr>
        <w:tc>
          <w:tcPr>
            <w:tcW w:w="3261" w:type="dxa"/>
          </w:tcPr>
          <w:p w14:paraId="510F574B"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Hazard statement</w:t>
            </w:r>
          </w:p>
        </w:tc>
        <w:tc>
          <w:tcPr>
            <w:tcW w:w="6095" w:type="dxa"/>
          </w:tcPr>
          <w:p w14:paraId="5494C44B"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Acute Tox 4 – H302</w:t>
            </w:r>
          </w:p>
          <w:p w14:paraId="6A3B483C" w14:textId="77777777" w:rsidR="00F66A04" w:rsidRPr="00607E74" w:rsidRDefault="00F66A04" w:rsidP="00F66A04">
            <w:pPr>
              <w:snapToGrid w:val="0"/>
              <w:spacing w:before="60" w:after="60" w:line="276" w:lineRule="auto"/>
              <w:rPr>
                <w:rFonts w:cs="Arial"/>
              </w:rPr>
            </w:pPr>
            <w:r w:rsidRPr="00607E74">
              <w:rPr>
                <w:rFonts w:cs="Arial"/>
                <w:color w:val="000000"/>
                <w:lang w:val="en-US"/>
              </w:rPr>
              <w:t>Repr 2 – H361d</w:t>
            </w:r>
          </w:p>
          <w:p w14:paraId="2C1B15B6" w14:textId="75367778" w:rsidR="004D427D" w:rsidRDefault="004D427D" w:rsidP="008E0250">
            <w:pPr>
              <w:snapToGrid w:val="0"/>
              <w:spacing w:before="60" w:after="60" w:line="276" w:lineRule="auto"/>
              <w:rPr>
                <w:rFonts w:cs="Arial"/>
              </w:rPr>
            </w:pPr>
            <w:r>
              <w:rPr>
                <w:rFonts w:cs="Arial"/>
              </w:rPr>
              <w:t>H400 – Toxic to aquatic life</w:t>
            </w:r>
          </w:p>
          <w:p w14:paraId="7F4F2193" w14:textId="35238D35" w:rsidR="00C25B18" w:rsidRPr="00607E74" w:rsidRDefault="004D427D" w:rsidP="004D427D">
            <w:pPr>
              <w:snapToGrid w:val="0"/>
              <w:spacing w:before="60" w:after="60" w:line="276" w:lineRule="auto"/>
              <w:rPr>
                <w:rFonts w:cs="Arial"/>
              </w:rPr>
            </w:pPr>
            <w:r w:rsidRPr="00607E74">
              <w:rPr>
                <w:rFonts w:cs="Arial"/>
              </w:rPr>
              <w:t>H41</w:t>
            </w:r>
            <w:r>
              <w:rPr>
                <w:rFonts w:cs="Arial"/>
              </w:rPr>
              <w:t>0</w:t>
            </w:r>
            <w:r w:rsidRPr="00607E74">
              <w:rPr>
                <w:rFonts w:cs="Arial"/>
              </w:rPr>
              <w:t xml:space="preserve"> </w:t>
            </w:r>
            <w:r w:rsidR="00C25B18" w:rsidRPr="00607E74">
              <w:rPr>
                <w:rFonts w:cs="Arial"/>
              </w:rPr>
              <w:t xml:space="preserve">– </w:t>
            </w:r>
            <w:r>
              <w:rPr>
                <w:rFonts w:cs="Arial"/>
              </w:rPr>
              <w:t>Very t</w:t>
            </w:r>
            <w:r w:rsidR="00C25B18" w:rsidRPr="00607E74">
              <w:rPr>
                <w:rFonts w:cs="Arial"/>
              </w:rPr>
              <w:t>oxic to aquatic life with long lasting effects</w:t>
            </w:r>
            <w:r>
              <w:rPr>
                <w:rFonts w:cs="Arial"/>
              </w:rPr>
              <w:t xml:space="preserve"> (chronic M-factor = 10)</w:t>
            </w:r>
          </w:p>
        </w:tc>
      </w:tr>
      <w:tr w:rsidR="00C25B18" w:rsidRPr="00607E74" w14:paraId="50464C80" w14:textId="77777777" w:rsidTr="0039605F">
        <w:trPr>
          <w:trHeight w:val="468"/>
        </w:trPr>
        <w:tc>
          <w:tcPr>
            <w:tcW w:w="3261" w:type="dxa"/>
          </w:tcPr>
          <w:p w14:paraId="29CCFB67"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 xml:space="preserve">Precautionary statements </w:t>
            </w:r>
          </w:p>
        </w:tc>
        <w:tc>
          <w:tcPr>
            <w:tcW w:w="6095" w:type="dxa"/>
          </w:tcPr>
          <w:p w14:paraId="37D55D82"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P273 – Avoid release to the environment</w:t>
            </w:r>
          </w:p>
          <w:p w14:paraId="0F711BD2"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P391 – Collect spillage</w:t>
            </w:r>
          </w:p>
          <w:p w14:paraId="014507BB" w14:textId="77777777" w:rsidR="00C25B18" w:rsidRPr="00607E74" w:rsidRDefault="00C25B18" w:rsidP="008E0250">
            <w:pPr>
              <w:autoSpaceDE w:val="0"/>
              <w:autoSpaceDN w:val="0"/>
              <w:adjustRightInd w:val="0"/>
              <w:spacing w:before="60" w:after="60" w:line="276" w:lineRule="auto"/>
              <w:ind w:left="34"/>
              <w:rPr>
                <w:rFonts w:cs="Arial"/>
                <w:color w:val="000000"/>
              </w:rPr>
            </w:pPr>
            <w:r w:rsidRPr="00607E74">
              <w:rPr>
                <w:rFonts w:cs="Arial"/>
              </w:rPr>
              <w:lastRenderedPageBreak/>
              <w:t>P501 - Dispose of contents/container in accordance with local/ regional/national/international regulation (to be specified).</w:t>
            </w:r>
          </w:p>
        </w:tc>
      </w:tr>
    </w:tbl>
    <w:p w14:paraId="33F1B3DA" w14:textId="77777777" w:rsidR="00C25B18" w:rsidRPr="00D00CF0" w:rsidRDefault="00C25B18" w:rsidP="00C25B18">
      <w:pPr>
        <w:pStyle w:val="Standard-italics"/>
        <w:keepNext w:val="0"/>
        <w:rPr>
          <w:rFonts w:cs="Arial"/>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61"/>
        <w:gridCol w:w="6095"/>
      </w:tblGrid>
      <w:tr w:rsidR="00C25B18" w:rsidRPr="00607E74" w14:paraId="3CC88C8B" w14:textId="77777777" w:rsidTr="0039605F">
        <w:trPr>
          <w:trHeight w:val="347"/>
        </w:trPr>
        <w:tc>
          <w:tcPr>
            <w:tcW w:w="3261" w:type="dxa"/>
          </w:tcPr>
          <w:p w14:paraId="5A8D7FF8" w14:textId="77777777" w:rsidR="00C25B18" w:rsidRPr="00607E74" w:rsidRDefault="00C25B18" w:rsidP="008E0250">
            <w:pPr>
              <w:pStyle w:val="NormalWeb"/>
              <w:snapToGrid w:val="0"/>
              <w:spacing w:before="60" w:after="60" w:line="276" w:lineRule="auto"/>
              <w:rPr>
                <w:rFonts w:ascii="Verdana" w:eastAsia="Calibri" w:hAnsi="Verdana" w:cs="Arial"/>
                <w:b/>
                <w:color w:val="000000"/>
                <w:sz w:val="20"/>
                <w:lang w:eastAsia="sv-SE"/>
              </w:rPr>
            </w:pPr>
            <w:r w:rsidRPr="00607E74">
              <w:rPr>
                <w:rFonts w:ascii="Verdana" w:eastAsia="Calibri" w:hAnsi="Verdana" w:cs="Arial"/>
                <w:b/>
                <w:color w:val="000000"/>
                <w:sz w:val="20"/>
                <w:lang w:eastAsia="sv-SE"/>
              </w:rPr>
              <w:t>Classification - Regulation (EC) 1272/2008</w:t>
            </w:r>
          </w:p>
        </w:tc>
        <w:tc>
          <w:tcPr>
            <w:tcW w:w="6095" w:type="dxa"/>
          </w:tcPr>
          <w:p w14:paraId="01733BC4" w14:textId="77777777" w:rsidR="00C25B18" w:rsidRPr="00607E74" w:rsidRDefault="00C25B18" w:rsidP="008E0250">
            <w:pPr>
              <w:pStyle w:val="Contenudetableau"/>
              <w:snapToGrid w:val="0"/>
              <w:spacing w:before="60" w:after="60" w:line="276" w:lineRule="auto"/>
              <w:jc w:val="center"/>
              <w:rPr>
                <w:rFonts w:eastAsia="Calibri" w:cs="Arial"/>
                <w:color w:val="000000"/>
                <w:lang w:eastAsia="sv-SE"/>
              </w:rPr>
            </w:pPr>
            <w:r w:rsidRPr="00607E74">
              <w:rPr>
                <w:rFonts w:eastAsia="Calibri" w:cs="Arial"/>
                <w:b/>
                <w:color w:val="000000"/>
                <w:lang w:eastAsia="sv-SE"/>
              </w:rPr>
              <w:t>Propiconazole</w:t>
            </w:r>
          </w:p>
        </w:tc>
      </w:tr>
      <w:tr w:rsidR="00C25B18" w:rsidRPr="00607E74" w14:paraId="3C58F05E" w14:textId="77777777" w:rsidTr="0039605F">
        <w:trPr>
          <w:trHeight w:val="357"/>
        </w:trPr>
        <w:tc>
          <w:tcPr>
            <w:tcW w:w="3261" w:type="dxa"/>
          </w:tcPr>
          <w:p w14:paraId="74C48F21"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Hazard statement</w:t>
            </w:r>
          </w:p>
        </w:tc>
        <w:tc>
          <w:tcPr>
            <w:tcW w:w="6095" w:type="dxa"/>
          </w:tcPr>
          <w:p w14:paraId="33B3DA1A" w14:textId="77777777" w:rsidR="00F66A04" w:rsidRPr="00EC0D24" w:rsidRDefault="00F66A04" w:rsidP="00F66A04">
            <w:pPr>
              <w:snapToGrid w:val="0"/>
              <w:spacing w:before="60" w:after="60" w:line="276" w:lineRule="auto"/>
              <w:rPr>
                <w:rFonts w:cs="Arial"/>
                <w:color w:val="000000"/>
                <w:lang w:val="fr-FR"/>
              </w:rPr>
            </w:pPr>
            <w:r w:rsidRPr="00EC0D24">
              <w:rPr>
                <w:rFonts w:cs="Arial"/>
                <w:color w:val="000000"/>
                <w:lang w:val="fr-FR"/>
              </w:rPr>
              <w:t>Acute Tox 4 – H302</w:t>
            </w:r>
          </w:p>
          <w:p w14:paraId="15C2EDB1" w14:textId="77777777" w:rsidR="00F66A04" w:rsidRPr="00EC0D24" w:rsidRDefault="00F66A04" w:rsidP="00F66A04">
            <w:pPr>
              <w:snapToGrid w:val="0"/>
              <w:spacing w:before="60" w:after="60" w:line="276" w:lineRule="auto"/>
              <w:rPr>
                <w:rFonts w:cs="Arial"/>
                <w:lang w:val="fr-FR"/>
              </w:rPr>
            </w:pPr>
            <w:r w:rsidRPr="00EC0D24">
              <w:rPr>
                <w:rFonts w:cs="Arial"/>
                <w:color w:val="000000"/>
                <w:lang w:val="fr-FR"/>
              </w:rPr>
              <w:t>Skin Sens 1 – H317</w:t>
            </w:r>
          </w:p>
          <w:p w14:paraId="72255565" w14:textId="77777777" w:rsidR="00C25B18" w:rsidRPr="00607E74" w:rsidRDefault="00C25B18" w:rsidP="008E0250">
            <w:pPr>
              <w:snapToGrid w:val="0"/>
              <w:spacing w:before="60" w:after="60" w:line="276" w:lineRule="auto"/>
              <w:rPr>
                <w:rFonts w:cs="Arial"/>
              </w:rPr>
            </w:pPr>
            <w:r w:rsidRPr="00607E74">
              <w:rPr>
                <w:rFonts w:cs="Arial"/>
              </w:rPr>
              <w:t>H400 – Very toxic to aquatic life</w:t>
            </w:r>
          </w:p>
          <w:p w14:paraId="1D4A0971" w14:textId="77777777" w:rsidR="00C25B18" w:rsidRPr="00607E74" w:rsidRDefault="00C25B18" w:rsidP="008E0250">
            <w:pPr>
              <w:snapToGrid w:val="0"/>
              <w:spacing w:before="60" w:after="60" w:line="276" w:lineRule="auto"/>
              <w:rPr>
                <w:rFonts w:cs="Arial"/>
              </w:rPr>
            </w:pPr>
            <w:r w:rsidRPr="00607E74">
              <w:rPr>
                <w:rFonts w:cs="Arial"/>
              </w:rPr>
              <w:t>H410 – Very toxic to aquatic life with long lasting effects</w:t>
            </w:r>
          </w:p>
        </w:tc>
      </w:tr>
      <w:tr w:rsidR="00C25B18" w:rsidRPr="00607E74" w14:paraId="099647F3" w14:textId="77777777" w:rsidTr="0039605F">
        <w:trPr>
          <w:trHeight w:val="468"/>
        </w:trPr>
        <w:tc>
          <w:tcPr>
            <w:tcW w:w="3261" w:type="dxa"/>
          </w:tcPr>
          <w:p w14:paraId="3B0A2874"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 xml:space="preserve">Precautionary statements </w:t>
            </w:r>
          </w:p>
        </w:tc>
        <w:tc>
          <w:tcPr>
            <w:tcW w:w="6095" w:type="dxa"/>
          </w:tcPr>
          <w:p w14:paraId="0FBECFF9"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P273 – Avoid release to the environment</w:t>
            </w:r>
          </w:p>
          <w:p w14:paraId="263D312A"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P391 – Collect spillage</w:t>
            </w:r>
          </w:p>
          <w:p w14:paraId="1493EA75" w14:textId="77777777" w:rsidR="00C25B18" w:rsidRPr="00607E74" w:rsidRDefault="00C25B18" w:rsidP="008E0250">
            <w:pPr>
              <w:autoSpaceDE w:val="0"/>
              <w:autoSpaceDN w:val="0"/>
              <w:adjustRightInd w:val="0"/>
              <w:spacing w:before="60" w:after="60" w:line="276" w:lineRule="auto"/>
              <w:ind w:left="34"/>
              <w:rPr>
                <w:rFonts w:cs="Arial"/>
                <w:color w:val="000000"/>
              </w:rPr>
            </w:pPr>
            <w:r w:rsidRPr="00607E74">
              <w:rPr>
                <w:rFonts w:cs="Arial"/>
              </w:rPr>
              <w:t>P501 - Dispose of contents/container in accordance with local/ regional/national/international regulation (to be specified).</w:t>
            </w:r>
          </w:p>
        </w:tc>
      </w:tr>
    </w:tbl>
    <w:p w14:paraId="2C5F43A8" w14:textId="77777777" w:rsidR="00293AFD" w:rsidRDefault="00293AFD" w:rsidP="00293AFD">
      <w:pPr>
        <w:pStyle w:val="Standard-italics"/>
        <w:keepNext w:val="0"/>
        <w:rPr>
          <w:rFonts w:cs="Arial"/>
          <w:color w:val="000000"/>
        </w:rPr>
      </w:pPr>
      <w:r w:rsidRPr="00BD5723">
        <w:rPr>
          <w:rFonts w:cs="Arial"/>
          <w:b/>
          <w:color w:val="000000"/>
        </w:rPr>
        <w:t>Remark:</w:t>
      </w:r>
      <w:r w:rsidRPr="00BD5723">
        <w:rPr>
          <w:rFonts w:cs="Arial"/>
          <w:color w:val="000000"/>
        </w:rPr>
        <w:t xml:space="preserve"> a RAC opinion</w:t>
      </w:r>
      <w:r>
        <w:rPr>
          <w:rStyle w:val="Appelnotedebasdep"/>
          <w:rFonts w:cs="Arial"/>
          <w:color w:val="000000"/>
        </w:rPr>
        <w:footnoteReference w:id="2"/>
      </w:r>
      <w:r w:rsidRPr="00BD5723">
        <w:rPr>
          <w:rFonts w:cs="Arial"/>
          <w:color w:val="000000"/>
        </w:rPr>
        <w:t xml:space="preserve"> is available for propiconazole</w:t>
      </w:r>
      <w:r>
        <w:rPr>
          <w:rFonts w:cs="Arial"/>
          <w:color w:val="000000"/>
        </w:rPr>
        <w:t>. This opinion adds to the current harmonised classification the classification Reprotox 1B,</w:t>
      </w:r>
      <w:r w:rsidRPr="00BD5723">
        <w:rPr>
          <w:rFonts w:cs="Arial"/>
          <w:color w:val="000000"/>
        </w:rPr>
        <w:t xml:space="preserve"> H360D.</w:t>
      </w:r>
    </w:p>
    <w:p w14:paraId="7AB85A0A" w14:textId="77777777" w:rsidR="00FD41AA" w:rsidRPr="00D00CF0" w:rsidRDefault="00FD41AA" w:rsidP="00C25B18">
      <w:pPr>
        <w:pStyle w:val="Standard-italics"/>
        <w:keepNext w:val="0"/>
        <w:rPr>
          <w:rFonts w:cs="Arial"/>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61"/>
        <w:gridCol w:w="6095"/>
      </w:tblGrid>
      <w:tr w:rsidR="00C25B18" w:rsidRPr="00607E74" w14:paraId="1D5CC9B2" w14:textId="77777777" w:rsidTr="0039605F">
        <w:trPr>
          <w:trHeight w:val="347"/>
        </w:trPr>
        <w:tc>
          <w:tcPr>
            <w:tcW w:w="3261" w:type="dxa"/>
          </w:tcPr>
          <w:p w14:paraId="38678968" w14:textId="77777777" w:rsidR="00C25B18" w:rsidRPr="00607E74" w:rsidRDefault="00C25B18" w:rsidP="008E0250">
            <w:pPr>
              <w:pStyle w:val="NormalWeb"/>
              <w:snapToGrid w:val="0"/>
              <w:spacing w:before="60" w:after="60" w:line="276" w:lineRule="auto"/>
              <w:rPr>
                <w:rFonts w:ascii="Verdana" w:eastAsia="Calibri" w:hAnsi="Verdana" w:cs="Arial"/>
                <w:b/>
                <w:color w:val="000000"/>
                <w:sz w:val="20"/>
                <w:lang w:eastAsia="sv-SE"/>
              </w:rPr>
            </w:pPr>
            <w:r w:rsidRPr="00607E74">
              <w:rPr>
                <w:rFonts w:ascii="Verdana" w:eastAsia="Calibri" w:hAnsi="Verdana" w:cs="Arial"/>
                <w:b/>
                <w:color w:val="000000"/>
                <w:sz w:val="20"/>
                <w:lang w:eastAsia="sv-SE"/>
              </w:rPr>
              <w:t>Classification - Regulation (EC) 1272/2008</w:t>
            </w:r>
          </w:p>
        </w:tc>
        <w:tc>
          <w:tcPr>
            <w:tcW w:w="6095" w:type="dxa"/>
          </w:tcPr>
          <w:p w14:paraId="770F3478" w14:textId="77777777" w:rsidR="00C25B18" w:rsidRPr="00607E74" w:rsidRDefault="00C25B18" w:rsidP="008E0250">
            <w:pPr>
              <w:pStyle w:val="Contenudetableau"/>
              <w:snapToGrid w:val="0"/>
              <w:spacing w:before="60" w:after="60" w:line="276" w:lineRule="auto"/>
              <w:jc w:val="center"/>
              <w:rPr>
                <w:rFonts w:eastAsia="Calibri" w:cs="Arial"/>
                <w:color w:val="000000"/>
                <w:lang w:eastAsia="sv-SE"/>
              </w:rPr>
            </w:pPr>
            <w:r w:rsidRPr="00607E74">
              <w:rPr>
                <w:rFonts w:eastAsia="Calibri" w:cs="Arial"/>
                <w:b/>
                <w:color w:val="000000"/>
                <w:lang w:eastAsia="sv-SE"/>
              </w:rPr>
              <w:t>Cypermethrin</w:t>
            </w:r>
          </w:p>
        </w:tc>
      </w:tr>
      <w:tr w:rsidR="00C25B18" w:rsidRPr="00607E74" w14:paraId="3126D570" w14:textId="77777777" w:rsidTr="0039605F">
        <w:trPr>
          <w:trHeight w:val="357"/>
        </w:trPr>
        <w:tc>
          <w:tcPr>
            <w:tcW w:w="3261" w:type="dxa"/>
          </w:tcPr>
          <w:p w14:paraId="0BB26CF0"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Hazard statement</w:t>
            </w:r>
          </w:p>
        </w:tc>
        <w:tc>
          <w:tcPr>
            <w:tcW w:w="6095" w:type="dxa"/>
          </w:tcPr>
          <w:p w14:paraId="5709DA4D"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Acute Tox 4 – H302</w:t>
            </w:r>
          </w:p>
          <w:p w14:paraId="30088EC5"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Acute Tox 4 – H332</w:t>
            </w:r>
          </w:p>
          <w:p w14:paraId="5359EA64"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STOT SE 3 – H335</w:t>
            </w:r>
          </w:p>
          <w:p w14:paraId="3B81DB77" w14:textId="77777777" w:rsidR="00C25B18" w:rsidRPr="00607E74" w:rsidRDefault="00C25B18" w:rsidP="00F66A04">
            <w:pPr>
              <w:snapToGrid w:val="0"/>
              <w:spacing w:before="60" w:after="60" w:line="276" w:lineRule="auto"/>
              <w:rPr>
                <w:rFonts w:cs="Arial"/>
              </w:rPr>
            </w:pPr>
            <w:r w:rsidRPr="00607E74">
              <w:rPr>
                <w:rFonts w:cs="Arial"/>
              </w:rPr>
              <w:t>H400 – Very toxic to aquatic life</w:t>
            </w:r>
          </w:p>
          <w:p w14:paraId="7FCD3599" w14:textId="77777777" w:rsidR="00C25B18" w:rsidRPr="00607E74" w:rsidRDefault="00C25B18" w:rsidP="008E0250">
            <w:pPr>
              <w:snapToGrid w:val="0"/>
              <w:spacing w:before="60" w:after="60" w:line="276" w:lineRule="auto"/>
              <w:rPr>
                <w:rFonts w:cs="Arial"/>
              </w:rPr>
            </w:pPr>
            <w:r w:rsidRPr="00607E74">
              <w:rPr>
                <w:rFonts w:cs="Arial"/>
              </w:rPr>
              <w:t>H410 – Very toxic to aquatic life with long lasting effects</w:t>
            </w:r>
          </w:p>
          <w:p w14:paraId="7E8E38D2" w14:textId="77777777" w:rsidR="00C25B18" w:rsidRPr="00607E74" w:rsidRDefault="00C25B18" w:rsidP="008E0250">
            <w:pPr>
              <w:snapToGrid w:val="0"/>
              <w:spacing w:before="60" w:after="60" w:line="276" w:lineRule="auto"/>
              <w:rPr>
                <w:rFonts w:cs="Arial"/>
              </w:rPr>
            </w:pPr>
            <w:r w:rsidRPr="00607E74">
              <w:rPr>
                <w:rFonts w:cs="Arial"/>
              </w:rPr>
              <w:t>M-factor = 1000</w:t>
            </w:r>
          </w:p>
        </w:tc>
      </w:tr>
      <w:tr w:rsidR="00C25B18" w:rsidRPr="00607E74" w14:paraId="440998D9" w14:textId="77777777" w:rsidTr="0039605F">
        <w:trPr>
          <w:trHeight w:val="468"/>
        </w:trPr>
        <w:tc>
          <w:tcPr>
            <w:tcW w:w="3261" w:type="dxa"/>
          </w:tcPr>
          <w:p w14:paraId="39D6FAFC"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 xml:space="preserve">Precautionary statements </w:t>
            </w:r>
          </w:p>
        </w:tc>
        <w:tc>
          <w:tcPr>
            <w:tcW w:w="6095" w:type="dxa"/>
          </w:tcPr>
          <w:p w14:paraId="07677276"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P273 – Avoid release to the environment</w:t>
            </w:r>
          </w:p>
          <w:p w14:paraId="269ED556"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P391 – Collect spillage</w:t>
            </w:r>
          </w:p>
          <w:p w14:paraId="366B0E1F" w14:textId="77777777" w:rsidR="00C25B18" w:rsidRPr="00607E74" w:rsidRDefault="00C25B18" w:rsidP="008E0250">
            <w:pPr>
              <w:autoSpaceDE w:val="0"/>
              <w:autoSpaceDN w:val="0"/>
              <w:adjustRightInd w:val="0"/>
              <w:spacing w:before="60" w:after="60" w:line="276" w:lineRule="auto"/>
              <w:ind w:left="34"/>
              <w:rPr>
                <w:rFonts w:cs="Arial"/>
                <w:color w:val="000000"/>
              </w:rPr>
            </w:pPr>
            <w:r w:rsidRPr="00607E74">
              <w:rPr>
                <w:rFonts w:cs="Arial"/>
              </w:rPr>
              <w:t>P501 - Dispose of contents/container in accordance with local/ regional/national/international regulation (to be specified).</w:t>
            </w:r>
          </w:p>
        </w:tc>
      </w:tr>
    </w:tbl>
    <w:p w14:paraId="3F3991A7" w14:textId="77777777" w:rsidR="00C25B18" w:rsidRPr="00D00CF0" w:rsidRDefault="00C25B18" w:rsidP="00C25B18">
      <w:pPr>
        <w:pStyle w:val="Standard-italics"/>
        <w:keepNext w:val="0"/>
        <w:rPr>
          <w:rFonts w:cs="Arial"/>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C25B18" w:rsidRPr="00607E74" w14:paraId="72CE8F5F" w14:textId="77777777" w:rsidTr="008E0250">
        <w:trPr>
          <w:trHeight w:val="347"/>
        </w:trPr>
        <w:tc>
          <w:tcPr>
            <w:tcW w:w="4678" w:type="dxa"/>
          </w:tcPr>
          <w:p w14:paraId="1E957ED3" w14:textId="77777777" w:rsidR="00C25B18" w:rsidRPr="00607E74" w:rsidRDefault="00C25B18" w:rsidP="008E0250">
            <w:pPr>
              <w:pStyle w:val="NormalWeb"/>
              <w:snapToGrid w:val="0"/>
              <w:spacing w:before="60" w:after="60" w:line="276" w:lineRule="auto"/>
              <w:rPr>
                <w:rFonts w:ascii="Verdana" w:eastAsia="Calibri" w:hAnsi="Verdana" w:cs="Arial"/>
                <w:b/>
                <w:color w:val="000000"/>
                <w:sz w:val="20"/>
                <w:lang w:eastAsia="sv-SE"/>
              </w:rPr>
            </w:pPr>
            <w:r w:rsidRPr="00607E74">
              <w:rPr>
                <w:rFonts w:ascii="Verdana" w:eastAsia="Calibri" w:hAnsi="Verdana" w:cs="Arial"/>
                <w:b/>
                <w:color w:val="000000"/>
                <w:sz w:val="20"/>
                <w:lang w:eastAsia="sv-SE"/>
              </w:rPr>
              <w:t>Classification - Regulation (EC) 1272/2008</w:t>
            </w:r>
          </w:p>
        </w:tc>
        <w:tc>
          <w:tcPr>
            <w:tcW w:w="4678" w:type="dxa"/>
          </w:tcPr>
          <w:p w14:paraId="682F1F3F" w14:textId="77777777" w:rsidR="00C25B18" w:rsidRPr="00607E74" w:rsidRDefault="00C25B18" w:rsidP="008E0250">
            <w:pPr>
              <w:pStyle w:val="Contenudetableau"/>
              <w:snapToGrid w:val="0"/>
              <w:spacing w:before="60" w:after="60" w:line="276" w:lineRule="auto"/>
              <w:jc w:val="center"/>
              <w:rPr>
                <w:rFonts w:eastAsia="Calibri" w:cs="Arial"/>
                <w:color w:val="000000"/>
                <w:lang w:eastAsia="sv-SE"/>
              </w:rPr>
            </w:pPr>
            <w:r w:rsidRPr="00607E74">
              <w:rPr>
                <w:rFonts w:eastAsia="Calibri" w:cs="Arial"/>
                <w:b/>
                <w:color w:val="000000"/>
                <w:lang w:eastAsia="sv-SE"/>
              </w:rPr>
              <w:t>IPBC</w:t>
            </w:r>
          </w:p>
        </w:tc>
      </w:tr>
      <w:tr w:rsidR="00C25B18" w:rsidRPr="00607E74" w14:paraId="1592D8DD" w14:textId="77777777" w:rsidTr="008E0250">
        <w:trPr>
          <w:trHeight w:val="357"/>
        </w:trPr>
        <w:tc>
          <w:tcPr>
            <w:tcW w:w="4678" w:type="dxa"/>
          </w:tcPr>
          <w:p w14:paraId="795F2765"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Hazard statement</w:t>
            </w:r>
          </w:p>
        </w:tc>
        <w:tc>
          <w:tcPr>
            <w:tcW w:w="4678" w:type="dxa"/>
          </w:tcPr>
          <w:p w14:paraId="52773F82" w14:textId="77777777" w:rsidR="00F66A04" w:rsidRPr="00EC0D24" w:rsidRDefault="00F66A04" w:rsidP="00F66A04">
            <w:pPr>
              <w:snapToGrid w:val="0"/>
              <w:spacing w:before="60" w:after="60" w:line="276" w:lineRule="auto"/>
              <w:rPr>
                <w:rFonts w:cs="Arial"/>
                <w:color w:val="000000"/>
                <w:lang w:val="fr-FR"/>
              </w:rPr>
            </w:pPr>
            <w:r w:rsidRPr="00EC0D24">
              <w:rPr>
                <w:rFonts w:cs="Arial"/>
                <w:color w:val="000000"/>
                <w:lang w:val="fr-FR"/>
              </w:rPr>
              <w:t>Acute Tox 4 – H302</w:t>
            </w:r>
          </w:p>
          <w:p w14:paraId="43CC34C5" w14:textId="77777777" w:rsidR="00F66A04" w:rsidRPr="00EC0D24" w:rsidRDefault="00F66A04" w:rsidP="00F66A04">
            <w:pPr>
              <w:snapToGrid w:val="0"/>
              <w:spacing w:before="60" w:after="60" w:line="276" w:lineRule="auto"/>
              <w:rPr>
                <w:rFonts w:cs="Arial"/>
                <w:color w:val="000000"/>
                <w:lang w:val="fr-FR"/>
              </w:rPr>
            </w:pPr>
            <w:r w:rsidRPr="00EC0D24">
              <w:rPr>
                <w:rFonts w:cs="Arial"/>
                <w:color w:val="000000"/>
                <w:lang w:val="fr-FR"/>
              </w:rPr>
              <w:t>Skin Sens 1 – H317</w:t>
            </w:r>
          </w:p>
          <w:p w14:paraId="0C113B8B"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Eye Irrit 1 – H318</w:t>
            </w:r>
          </w:p>
          <w:p w14:paraId="0C25EC09"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Acute Tox 3 -  H331</w:t>
            </w:r>
          </w:p>
          <w:p w14:paraId="25DCD303" w14:textId="77777777" w:rsidR="00F66A04" w:rsidRPr="00607E74" w:rsidRDefault="00F66A04" w:rsidP="00F66A04">
            <w:pPr>
              <w:snapToGrid w:val="0"/>
              <w:spacing w:before="60" w:after="60" w:line="276" w:lineRule="auto"/>
              <w:rPr>
                <w:rFonts w:cs="Arial"/>
              </w:rPr>
            </w:pPr>
            <w:r w:rsidRPr="00607E74">
              <w:rPr>
                <w:rFonts w:cs="Arial"/>
                <w:color w:val="000000"/>
                <w:lang w:val="en-US"/>
              </w:rPr>
              <w:t>STOT RE 1 - H372</w:t>
            </w:r>
          </w:p>
          <w:p w14:paraId="2397E758" w14:textId="77777777" w:rsidR="00C25B18" w:rsidRPr="00607E74" w:rsidRDefault="00C25B18" w:rsidP="008E0250">
            <w:pPr>
              <w:snapToGrid w:val="0"/>
              <w:spacing w:before="60" w:after="60" w:line="276" w:lineRule="auto"/>
              <w:rPr>
                <w:rFonts w:cs="Arial"/>
              </w:rPr>
            </w:pPr>
            <w:r w:rsidRPr="00607E74">
              <w:rPr>
                <w:rFonts w:cs="Arial"/>
              </w:rPr>
              <w:lastRenderedPageBreak/>
              <w:t>H400– – Very toxic to aquatic life</w:t>
            </w:r>
          </w:p>
        </w:tc>
      </w:tr>
      <w:tr w:rsidR="00C25B18" w:rsidRPr="00607E74" w14:paraId="38E3208A" w14:textId="77777777" w:rsidTr="008E0250">
        <w:trPr>
          <w:trHeight w:val="468"/>
        </w:trPr>
        <w:tc>
          <w:tcPr>
            <w:tcW w:w="4678" w:type="dxa"/>
          </w:tcPr>
          <w:p w14:paraId="3D964B1C"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lastRenderedPageBreak/>
              <w:t xml:space="preserve">Precautionary statements </w:t>
            </w:r>
          </w:p>
        </w:tc>
        <w:tc>
          <w:tcPr>
            <w:tcW w:w="4678" w:type="dxa"/>
          </w:tcPr>
          <w:p w14:paraId="49CC4D2F"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P273 – Avoid release to the environment</w:t>
            </w:r>
          </w:p>
          <w:p w14:paraId="3DB9E003"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P391 – Collect spillage</w:t>
            </w:r>
          </w:p>
          <w:p w14:paraId="1ED3A810" w14:textId="77777777" w:rsidR="00C25B18" w:rsidRPr="00607E74" w:rsidRDefault="00C25B18" w:rsidP="008E0250">
            <w:pPr>
              <w:autoSpaceDE w:val="0"/>
              <w:autoSpaceDN w:val="0"/>
              <w:adjustRightInd w:val="0"/>
              <w:spacing w:before="60" w:after="60" w:line="276" w:lineRule="auto"/>
              <w:ind w:left="34"/>
              <w:rPr>
                <w:rFonts w:cs="Arial"/>
                <w:color w:val="000000"/>
              </w:rPr>
            </w:pPr>
            <w:r w:rsidRPr="00607E74">
              <w:rPr>
                <w:rFonts w:cs="Arial"/>
              </w:rPr>
              <w:t>P501 - Dispose of contents/container in accordance with local/ regional/national/international regulation (to be specified).</w:t>
            </w:r>
          </w:p>
        </w:tc>
      </w:tr>
    </w:tbl>
    <w:p w14:paraId="7C6426D8" w14:textId="77777777" w:rsidR="00C25B18" w:rsidRPr="00D00CF0" w:rsidRDefault="00C25B18" w:rsidP="00C25B18">
      <w:pPr>
        <w:pStyle w:val="Standard-italics"/>
        <w:keepNext w:val="0"/>
        <w:rPr>
          <w:rFonts w:cs="Arial"/>
        </w:rPr>
      </w:pPr>
    </w:p>
    <w:p w14:paraId="29332F12" w14:textId="77777777" w:rsidR="00C25B18" w:rsidRPr="00C25B18" w:rsidRDefault="00C25B18" w:rsidP="00C25B18">
      <w:pPr>
        <w:pStyle w:val="Titre4"/>
        <w:tabs>
          <w:tab w:val="clear" w:pos="0"/>
        </w:tabs>
      </w:pPr>
      <w:bookmarkStart w:id="30" w:name="_Toc536627257"/>
      <w:r w:rsidRPr="00C25B18">
        <w:t>Classification of the biocidal product</w:t>
      </w:r>
      <w:bookmarkEnd w:id="29"/>
      <w:bookmarkEnd w:id="30"/>
    </w:p>
    <w:p w14:paraId="2BA19018" w14:textId="77777777" w:rsidR="00C25B18" w:rsidRDefault="00C25B18">
      <w:pPr>
        <w:rPr>
          <w:b/>
        </w:rPr>
      </w:pPr>
    </w:p>
    <w:p w14:paraId="25DE2874" w14:textId="0CAC4912" w:rsidR="003E5500" w:rsidRDefault="003E5500" w:rsidP="003E5500">
      <w:pPr>
        <w:rPr>
          <w:rFonts w:ascii="Times New Roman" w:hAnsi="Times New Roman" w:cs="Times New Roman"/>
          <w:i/>
          <w:szCs w:val="24"/>
          <w:lang w:eastAsia="en-GB"/>
        </w:rPr>
      </w:pPr>
      <w:r>
        <w:rPr>
          <w:b/>
        </w:rPr>
        <w:t>Classification and labelling of the biocidal product according to the Regulation (EC) 1272/2008</w:t>
      </w:r>
    </w:p>
    <w:p w14:paraId="58A7EB56" w14:textId="77777777" w:rsidR="00250278" w:rsidRPr="00D00CF0" w:rsidRDefault="00250278" w:rsidP="00250278">
      <w:pPr>
        <w:pStyle w:val="Standard-italics"/>
        <w:keepNext w:val="0"/>
        <w:rPr>
          <w:rFonts w:cs="Arial"/>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61"/>
        <w:gridCol w:w="6095"/>
      </w:tblGrid>
      <w:tr w:rsidR="003E5500" w:rsidRPr="005100FD" w14:paraId="24BED6C9" w14:textId="77777777" w:rsidTr="003E5500">
        <w:trPr>
          <w:trHeight w:val="347"/>
        </w:trPr>
        <w:tc>
          <w:tcPr>
            <w:tcW w:w="9356" w:type="dxa"/>
            <w:gridSpan w:val="2"/>
          </w:tcPr>
          <w:p w14:paraId="2CB2F092" w14:textId="2F89E382" w:rsidR="003E5500" w:rsidRPr="00607E74" w:rsidRDefault="003E5500" w:rsidP="003E5500">
            <w:pPr>
              <w:pStyle w:val="NormalWeb"/>
              <w:snapToGrid w:val="0"/>
              <w:spacing w:before="60" w:after="60" w:line="276" w:lineRule="auto"/>
              <w:rPr>
                <w:rFonts w:ascii="Verdana" w:eastAsia="Calibri" w:hAnsi="Verdana" w:cs="Arial"/>
                <w:b/>
                <w:color w:val="000000"/>
                <w:sz w:val="20"/>
                <w:lang w:eastAsia="sv-SE"/>
              </w:rPr>
            </w:pPr>
            <w:r w:rsidRPr="00607E74">
              <w:rPr>
                <w:rFonts w:ascii="Verdana" w:eastAsia="Calibri" w:hAnsi="Verdana" w:cs="Arial"/>
                <w:b/>
                <w:color w:val="000000"/>
                <w:sz w:val="20"/>
                <w:lang w:eastAsia="sv-SE"/>
              </w:rPr>
              <w:t>Classification</w:t>
            </w:r>
          </w:p>
          <w:p w14:paraId="32DEB47C" w14:textId="7E28DB63" w:rsidR="003E5500" w:rsidRPr="00293AFD" w:rsidRDefault="003E5500" w:rsidP="00293AFD">
            <w:pPr>
              <w:rPr>
                <w:rFonts w:eastAsia="Calibri" w:cs="Arial"/>
                <w:color w:val="000000"/>
                <w:lang w:val="fr-FR" w:eastAsia="sv-SE"/>
              </w:rPr>
            </w:pPr>
          </w:p>
        </w:tc>
      </w:tr>
      <w:tr w:rsidR="003E5500" w:rsidRPr="005100FD" w14:paraId="0FA98958" w14:textId="77777777" w:rsidTr="0039605F">
        <w:trPr>
          <w:trHeight w:val="347"/>
        </w:trPr>
        <w:tc>
          <w:tcPr>
            <w:tcW w:w="3261" w:type="dxa"/>
          </w:tcPr>
          <w:p w14:paraId="2945FA1C" w14:textId="7606A119" w:rsidR="003E5500" w:rsidRPr="003E5500" w:rsidRDefault="003E5500" w:rsidP="00250278">
            <w:pPr>
              <w:pStyle w:val="NormalWeb"/>
              <w:snapToGrid w:val="0"/>
              <w:spacing w:before="60" w:after="60" w:line="276" w:lineRule="auto"/>
              <w:rPr>
                <w:rFonts w:ascii="Verdana" w:eastAsia="Calibri" w:hAnsi="Verdana" w:cs="Arial"/>
                <w:color w:val="000000"/>
                <w:sz w:val="20"/>
                <w:lang w:eastAsia="sv-SE"/>
              </w:rPr>
            </w:pPr>
            <w:r w:rsidRPr="003E5500">
              <w:rPr>
                <w:rFonts w:ascii="Verdana" w:eastAsia="Calibri" w:hAnsi="Verdana" w:cs="Arial"/>
                <w:color w:val="000000"/>
                <w:sz w:val="20"/>
                <w:lang w:eastAsia="sv-SE"/>
              </w:rPr>
              <w:t>Hazard category</w:t>
            </w:r>
          </w:p>
        </w:tc>
        <w:tc>
          <w:tcPr>
            <w:tcW w:w="6095" w:type="dxa"/>
          </w:tcPr>
          <w:p w14:paraId="173A1F7B" w14:textId="77777777" w:rsidR="003E5500" w:rsidRDefault="003E5500" w:rsidP="003E5500">
            <w:pPr>
              <w:rPr>
                <w:rFonts w:cs="Arial"/>
              </w:rPr>
            </w:pPr>
            <w:r w:rsidRPr="00607E74">
              <w:rPr>
                <w:rFonts w:cs="Arial"/>
              </w:rPr>
              <w:t>Asp Tox Cat 1</w:t>
            </w:r>
          </w:p>
          <w:p w14:paraId="2BD66B9B" w14:textId="77777777" w:rsidR="003E5500" w:rsidRDefault="003E5500" w:rsidP="003E5500">
            <w:pPr>
              <w:rPr>
                <w:rFonts w:cs="Arial"/>
              </w:rPr>
            </w:pPr>
            <w:r>
              <w:rPr>
                <w:rFonts w:cs="Arial"/>
              </w:rPr>
              <w:t>Aquatic acute 1</w:t>
            </w:r>
          </w:p>
          <w:p w14:paraId="7C98DED5" w14:textId="5BEADC71" w:rsidR="003E5500" w:rsidRPr="00607E74" w:rsidRDefault="003E5500" w:rsidP="003E5500">
            <w:pPr>
              <w:rPr>
                <w:rFonts w:cs="Arial"/>
              </w:rPr>
            </w:pPr>
            <w:r>
              <w:rPr>
                <w:rFonts w:cs="Arial"/>
              </w:rPr>
              <w:t>Aquatic chronic 1</w:t>
            </w:r>
          </w:p>
        </w:tc>
      </w:tr>
      <w:tr w:rsidR="00250278" w:rsidRPr="00607E74" w14:paraId="32F37C4B" w14:textId="77777777" w:rsidTr="0039605F">
        <w:trPr>
          <w:trHeight w:val="357"/>
        </w:trPr>
        <w:tc>
          <w:tcPr>
            <w:tcW w:w="3261" w:type="dxa"/>
          </w:tcPr>
          <w:p w14:paraId="48429969" w14:textId="77777777" w:rsidR="00250278" w:rsidRPr="00607E74" w:rsidRDefault="00250278" w:rsidP="00250278">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Hazard statement</w:t>
            </w:r>
          </w:p>
        </w:tc>
        <w:tc>
          <w:tcPr>
            <w:tcW w:w="6095" w:type="dxa"/>
          </w:tcPr>
          <w:p w14:paraId="3E043A6B" w14:textId="00755D14" w:rsidR="00473643" w:rsidRPr="00607E74" w:rsidRDefault="00473643" w:rsidP="000F5B5F">
            <w:pPr>
              <w:autoSpaceDE w:val="0"/>
              <w:autoSpaceDN w:val="0"/>
              <w:adjustRightInd w:val="0"/>
              <w:rPr>
                <w:rFonts w:eastAsiaTheme="minorHAnsi" w:cs="Arial"/>
                <w:color w:val="000000"/>
                <w:lang w:val="en-US" w:eastAsia="en-US"/>
              </w:rPr>
            </w:pPr>
            <w:r w:rsidRPr="00607E74">
              <w:rPr>
                <w:rFonts w:eastAsiaTheme="minorHAnsi" w:cs="Arial"/>
                <w:color w:val="000000"/>
                <w:lang w:val="en-US" w:eastAsia="en-US"/>
              </w:rPr>
              <w:t xml:space="preserve">H304 May be fatal if swallowed and enters airways, </w:t>
            </w:r>
          </w:p>
          <w:p w14:paraId="4341FC94" w14:textId="77777777" w:rsidR="00250278" w:rsidRPr="00607E74" w:rsidRDefault="00250278" w:rsidP="000F5B5F">
            <w:pPr>
              <w:snapToGrid w:val="0"/>
              <w:rPr>
                <w:rFonts w:cs="Arial"/>
              </w:rPr>
            </w:pPr>
            <w:r w:rsidRPr="00607E74">
              <w:rPr>
                <w:rFonts w:cs="Arial"/>
              </w:rPr>
              <w:t>H400 – Very toxic to aquatic life</w:t>
            </w:r>
          </w:p>
          <w:p w14:paraId="55838E35" w14:textId="77777777" w:rsidR="00250278" w:rsidRPr="00607E74" w:rsidRDefault="00250278" w:rsidP="000F5B5F">
            <w:pPr>
              <w:snapToGrid w:val="0"/>
              <w:rPr>
                <w:rFonts w:cs="Arial"/>
              </w:rPr>
            </w:pPr>
            <w:r w:rsidRPr="00607E74">
              <w:rPr>
                <w:rFonts w:cs="Arial"/>
              </w:rPr>
              <w:t>H410 – Very toxic to aquatic life with long lasting effects</w:t>
            </w:r>
          </w:p>
        </w:tc>
      </w:tr>
      <w:tr w:rsidR="000A16F0" w:rsidRPr="00607E74" w14:paraId="3DE18742" w14:textId="77777777" w:rsidTr="0039605F">
        <w:trPr>
          <w:trHeight w:val="357"/>
        </w:trPr>
        <w:tc>
          <w:tcPr>
            <w:tcW w:w="3261" w:type="dxa"/>
          </w:tcPr>
          <w:p w14:paraId="124B707D" w14:textId="3C89814A" w:rsidR="000A16F0" w:rsidRPr="0021636F" w:rsidRDefault="000A16F0" w:rsidP="00250278">
            <w:pPr>
              <w:pStyle w:val="NormalWeb"/>
              <w:snapToGrid w:val="0"/>
              <w:spacing w:before="60" w:after="60" w:line="276" w:lineRule="auto"/>
              <w:rPr>
                <w:rFonts w:ascii="Verdana" w:eastAsia="Calibri" w:hAnsi="Verdana" w:cs="Arial"/>
                <w:color w:val="000000"/>
                <w:sz w:val="20"/>
                <w:lang w:eastAsia="sv-SE"/>
              </w:rPr>
            </w:pPr>
            <w:r w:rsidRPr="0021636F">
              <w:rPr>
                <w:rFonts w:ascii="Verdana" w:hAnsi="Verdana" w:cs="Arial"/>
                <w:sz w:val="20"/>
              </w:rPr>
              <w:t>Pictograms</w:t>
            </w:r>
          </w:p>
        </w:tc>
        <w:tc>
          <w:tcPr>
            <w:tcW w:w="6095" w:type="dxa"/>
          </w:tcPr>
          <w:p w14:paraId="73271870" w14:textId="68524A1B" w:rsidR="000A16F0" w:rsidRPr="0021636F" w:rsidRDefault="000A16F0" w:rsidP="000F5B5F">
            <w:pPr>
              <w:autoSpaceDE w:val="0"/>
              <w:autoSpaceDN w:val="0"/>
              <w:adjustRightInd w:val="0"/>
              <w:rPr>
                <w:rFonts w:eastAsiaTheme="minorHAnsi" w:cs="Arial"/>
                <w:color w:val="000000"/>
                <w:lang w:val="en-US" w:eastAsia="en-US"/>
              </w:rPr>
            </w:pPr>
            <w:r w:rsidRPr="0021636F">
              <w:object w:dxaOrig="1245" w:dyaOrig="1290" w14:anchorId="4551A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4.5pt" o:ole="">
                  <v:imagedata r:id="rId13" o:title=""/>
                </v:shape>
                <o:OLEObject Type="Embed" ProgID="PBrush" ShapeID="_x0000_i1025" DrawAspect="Content" ObjectID="_1617025611" r:id="rId14"/>
              </w:object>
            </w:r>
            <w:r w:rsidRPr="0021636F">
              <w:rPr>
                <w:noProof/>
                <w:lang w:val="fr-FR" w:eastAsia="fr-FR"/>
              </w:rPr>
              <w:drawing>
                <wp:inline distT="0" distB="0" distL="0" distR="0" wp14:anchorId="37F1DB0E" wp14:editId="546D7B7B">
                  <wp:extent cx="771525" cy="771525"/>
                  <wp:effectExtent l="0" t="0" r="9525" b="9525"/>
                  <wp:docPr id="9" name="Image 9" descr="Résultat de recherche d'images pour &quot;logo H41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H410&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r>
      <w:tr w:rsidR="003E5500" w:rsidRPr="00607E74" w14:paraId="6A81DEE2" w14:textId="77777777" w:rsidTr="003E5500">
        <w:trPr>
          <w:trHeight w:val="170"/>
        </w:trPr>
        <w:tc>
          <w:tcPr>
            <w:tcW w:w="9356" w:type="dxa"/>
            <w:gridSpan w:val="2"/>
            <w:vAlign w:val="center"/>
          </w:tcPr>
          <w:p w14:paraId="766DB9E8" w14:textId="77777777" w:rsidR="003E5500" w:rsidRPr="0021636F" w:rsidRDefault="003E5500" w:rsidP="003E5500">
            <w:pPr>
              <w:autoSpaceDE w:val="0"/>
              <w:autoSpaceDN w:val="0"/>
              <w:adjustRightInd w:val="0"/>
              <w:jc w:val="left"/>
              <w:rPr>
                <w:rFonts w:eastAsiaTheme="minorHAnsi" w:cs="Arial"/>
                <w:color w:val="000000"/>
                <w:sz w:val="12"/>
                <w:szCs w:val="12"/>
                <w:lang w:val="en-US" w:eastAsia="en-US"/>
              </w:rPr>
            </w:pPr>
          </w:p>
        </w:tc>
      </w:tr>
      <w:tr w:rsidR="003E5500" w:rsidRPr="00607E74" w14:paraId="13603505" w14:textId="77777777" w:rsidTr="003E5500">
        <w:trPr>
          <w:trHeight w:val="357"/>
        </w:trPr>
        <w:tc>
          <w:tcPr>
            <w:tcW w:w="9356" w:type="dxa"/>
            <w:gridSpan w:val="2"/>
            <w:vAlign w:val="center"/>
          </w:tcPr>
          <w:p w14:paraId="3C4738F0" w14:textId="0659339A" w:rsidR="003E5500" w:rsidRPr="0021636F" w:rsidRDefault="003E5500" w:rsidP="003E5500">
            <w:pPr>
              <w:autoSpaceDE w:val="0"/>
              <w:autoSpaceDN w:val="0"/>
              <w:adjustRightInd w:val="0"/>
              <w:jc w:val="left"/>
              <w:rPr>
                <w:rFonts w:eastAsiaTheme="minorHAnsi" w:cs="Arial"/>
                <w:color w:val="000000"/>
                <w:lang w:val="en-US" w:eastAsia="en-US"/>
              </w:rPr>
            </w:pPr>
            <w:r w:rsidRPr="0021636F">
              <w:rPr>
                <w:rFonts w:eastAsia="Calibri" w:cs="Arial"/>
                <w:b/>
                <w:color w:val="000000"/>
                <w:lang w:eastAsia="sv-SE"/>
              </w:rPr>
              <w:t>Labelling</w:t>
            </w:r>
          </w:p>
        </w:tc>
      </w:tr>
      <w:tr w:rsidR="003E5500" w:rsidRPr="00607E74" w14:paraId="38701151" w14:textId="77777777" w:rsidTr="000F5B5F">
        <w:trPr>
          <w:trHeight w:val="331"/>
        </w:trPr>
        <w:tc>
          <w:tcPr>
            <w:tcW w:w="3261" w:type="dxa"/>
            <w:vAlign w:val="center"/>
          </w:tcPr>
          <w:p w14:paraId="30699F0C" w14:textId="763D2619" w:rsidR="003E5500" w:rsidRPr="0021636F" w:rsidRDefault="003E5500" w:rsidP="003E5500">
            <w:pPr>
              <w:pStyle w:val="NormalWeb"/>
              <w:snapToGrid w:val="0"/>
              <w:spacing w:before="60" w:after="60" w:line="276" w:lineRule="auto"/>
              <w:jc w:val="left"/>
              <w:rPr>
                <w:rFonts w:ascii="Verdana" w:eastAsia="Calibri" w:hAnsi="Verdana" w:cs="Arial"/>
                <w:color w:val="000000"/>
                <w:sz w:val="20"/>
                <w:lang w:eastAsia="sv-SE"/>
              </w:rPr>
            </w:pPr>
            <w:r w:rsidRPr="0021636F">
              <w:rPr>
                <w:rFonts w:ascii="Verdana" w:eastAsia="Times New Roman" w:hAnsi="Verdana" w:cs="Arial"/>
                <w:sz w:val="20"/>
              </w:rPr>
              <w:t>Signal words</w:t>
            </w:r>
          </w:p>
        </w:tc>
        <w:tc>
          <w:tcPr>
            <w:tcW w:w="6095" w:type="dxa"/>
            <w:vAlign w:val="center"/>
          </w:tcPr>
          <w:p w14:paraId="5F075C62" w14:textId="045179AD" w:rsidR="003E5500" w:rsidRPr="0021636F" w:rsidRDefault="000F5B5F" w:rsidP="003E5500">
            <w:pPr>
              <w:autoSpaceDE w:val="0"/>
              <w:autoSpaceDN w:val="0"/>
              <w:adjustRightInd w:val="0"/>
              <w:jc w:val="left"/>
              <w:rPr>
                <w:rFonts w:eastAsiaTheme="minorHAnsi" w:cs="Arial"/>
                <w:color w:val="000000"/>
                <w:lang w:val="en-US" w:eastAsia="en-US"/>
              </w:rPr>
            </w:pPr>
            <w:r w:rsidRPr="0021636F">
              <w:rPr>
                <w:rFonts w:cs="Arial"/>
              </w:rPr>
              <w:t>Danger</w:t>
            </w:r>
          </w:p>
        </w:tc>
      </w:tr>
      <w:tr w:rsidR="003E5500" w:rsidRPr="00607E74" w14:paraId="0DA863D1" w14:textId="77777777" w:rsidTr="003E5500">
        <w:trPr>
          <w:trHeight w:val="357"/>
        </w:trPr>
        <w:tc>
          <w:tcPr>
            <w:tcW w:w="3261" w:type="dxa"/>
            <w:vAlign w:val="center"/>
          </w:tcPr>
          <w:p w14:paraId="4B24DA3C" w14:textId="39FBA108" w:rsidR="003E5500" w:rsidRPr="0021636F" w:rsidRDefault="000F5B5F" w:rsidP="003E5500">
            <w:pPr>
              <w:pStyle w:val="NormalWeb"/>
              <w:snapToGrid w:val="0"/>
              <w:spacing w:before="60" w:after="60" w:line="276" w:lineRule="auto"/>
              <w:jc w:val="left"/>
              <w:rPr>
                <w:rFonts w:ascii="Verdana" w:eastAsia="Calibri" w:hAnsi="Verdana" w:cs="Arial"/>
                <w:color w:val="000000"/>
                <w:sz w:val="20"/>
                <w:lang w:eastAsia="sv-SE"/>
              </w:rPr>
            </w:pPr>
            <w:r w:rsidRPr="0021636F">
              <w:rPr>
                <w:rFonts w:ascii="Verdana" w:eastAsia="Times New Roman" w:hAnsi="Verdana" w:cs="Arial"/>
                <w:sz w:val="20"/>
              </w:rPr>
              <w:t>Hazard statements</w:t>
            </w:r>
          </w:p>
        </w:tc>
        <w:tc>
          <w:tcPr>
            <w:tcW w:w="6095" w:type="dxa"/>
            <w:vAlign w:val="center"/>
          </w:tcPr>
          <w:p w14:paraId="3C3966EC" w14:textId="77777777" w:rsidR="000F5B5F" w:rsidRPr="0021636F" w:rsidRDefault="000F5B5F" w:rsidP="000F5B5F">
            <w:pPr>
              <w:snapToGrid w:val="0"/>
              <w:rPr>
                <w:rFonts w:cs="Arial"/>
              </w:rPr>
            </w:pPr>
            <w:r w:rsidRPr="0021636F">
              <w:rPr>
                <w:rFonts w:cs="Arial"/>
              </w:rPr>
              <w:t>H304: May be fatal if swallowed and enters airways</w:t>
            </w:r>
          </w:p>
          <w:p w14:paraId="5FD51C37" w14:textId="012E528A" w:rsidR="003E5500" w:rsidRPr="0021636F" w:rsidRDefault="000F5B5F" w:rsidP="000F5B5F">
            <w:pPr>
              <w:autoSpaceDE w:val="0"/>
              <w:autoSpaceDN w:val="0"/>
              <w:adjustRightInd w:val="0"/>
              <w:jc w:val="left"/>
              <w:rPr>
                <w:rFonts w:eastAsiaTheme="minorHAnsi" w:cs="Arial"/>
                <w:color w:val="000000"/>
                <w:lang w:val="en-US" w:eastAsia="en-US"/>
              </w:rPr>
            </w:pPr>
            <w:r w:rsidRPr="0021636F">
              <w:rPr>
                <w:rFonts w:cs="Arial"/>
              </w:rPr>
              <w:t>H410 – Very toxic to aquatic life with long lasting effects</w:t>
            </w:r>
          </w:p>
        </w:tc>
      </w:tr>
      <w:tr w:rsidR="00250278" w:rsidRPr="00607E74" w14:paraId="765F6E18" w14:textId="77777777" w:rsidTr="000A16F0">
        <w:trPr>
          <w:trHeight w:val="468"/>
        </w:trPr>
        <w:tc>
          <w:tcPr>
            <w:tcW w:w="3261" w:type="dxa"/>
          </w:tcPr>
          <w:p w14:paraId="41F41872" w14:textId="77777777" w:rsidR="00250278" w:rsidRPr="0021636F" w:rsidRDefault="00250278" w:rsidP="000A16F0">
            <w:pPr>
              <w:pStyle w:val="NormalWeb"/>
              <w:snapToGrid w:val="0"/>
              <w:spacing w:before="60" w:after="60" w:line="276" w:lineRule="auto"/>
              <w:jc w:val="left"/>
              <w:rPr>
                <w:rFonts w:ascii="Verdana" w:eastAsia="Calibri" w:hAnsi="Verdana" w:cs="Arial"/>
                <w:color w:val="000000"/>
                <w:sz w:val="20"/>
                <w:lang w:eastAsia="sv-SE"/>
              </w:rPr>
            </w:pPr>
            <w:r w:rsidRPr="0021636F">
              <w:rPr>
                <w:rFonts w:ascii="Verdana" w:eastAsia="Calibri" w:hAnsi="Verdana" w:cs="Arial"/>
                <w:color w:val="000000"/>
                <w:sz w:val="20"/>
                <w:lang w:eastAsia="sv-SE"/>
              </w:rPr>
              <w:t xml:space="preserve">Precautionary statements </w:t>
            </w:r>
          </w:p>
        </w:tc>
        <w:tc>
          <w:tcPr>
            <w:tcW w:w="6095" w:type="dxa"/>
          </w:tcPr>
          <w:p w14:paraId="42962ADE" w14:textId="5D2B5960" w:rsidR="00E91F44" w:rsidRPr="0021636F" w:rsidRDefault="00E91F44"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 xml:space="preserve">P101: </w:t>
            </w:r>
            <w:r w:rsidRPr="0021636F">
              <w:rPr>
                <w:rFonts w:eastAsiaTheme="minorHAnsi" w:cs="Arial"/>
                <w:lang w:val="en-US" w:eastAsia="en-US"/>
              </w:rPr>
              <w:t>If medical advice is needed,</w:t>
            </w:r>
            <w:r w:rsidRPr="0021636F">
              <w:rPr>
                <w:rFonts w:eastAsiaTheme="minorHAnsi" w:cs="Arial"/>
                <w:color w:val="000000"/>
                <w:lang w:val="en-US" w:eastAsia="en-US"/>
              </w:rPr>
              <w:t xml:space="preserve"> </w:t>
            </w:r>
            <w:r w:rsidRPr="0021636F">
              <w:rPr>
                <w:rFonts w:eastAsiaTheme="minorHAnsi" w:cs="Arial"/>
                <w:lang w:val="en-US" w:eastAsia="en-US"/>
              </w:rPr>
              <w:t>have product container or</w:t>
            </w:r>
            <w:r w:rsidRPr="0021636F">
              <w:rPr>
                <w:rFonts w:eastAsiaTheme="minorHAnsi" w:cs="Arial"/>
                <w:color w:val="000000"/>
                <w:lang w:val="en-US" w:eastAsia="en-US"/>
              </w:rPr>
              <w:t xml:space="preserve"> </w:t>
            </w:r>
            <w:r w:rsidRPr="0021636F">
              <w:rPr>
                <w:rFonts w:eastAsiaTheme="minorHAnsi" w:cs="Arial"/>
                <w:lang w:val="en-US" w:eastAsia="en-US"/>
              </w:rPr>
              <w:t>label at hand.</w:t>
            </w:r>
          </w:p>
          <w:p w14:paraId="15F76E47" w14:textId="10E6264C" w:rsidR="00E91F44" w:rsidRDefault="00E91F44" w:rsidP="000A16F0">
            <w:pPr>
              <w:autoSpaceDE w:val="0"/>
              <w:autoSpaceDN w:val="0"/>
              <w:adjustRightInd w:val="0"/>
              <w:jc w:val="left"/>
              <w:rPr>
                <w:rFonts w:eastAsiaTheme="minorHAnsi" w:cs="Arial"/>
                <w:lang w:val="en-US" w:eastAsia="en-US"/>
              </w:rPr>
            </w:pPr>
            <w:r w:rsidRPr="0021636F">
              <w:rPr>
                <w:rFonts w:eastAsiaTheme="minorHAnsi" w:cs="Arial"/>
                <w:color w:val="000000"/>
                <w:lang w:val="en-US" w:eastAsia="en-US"/>
              </w:rPr>
              <w:t xml:space="preserve">P102: </w:t>
            </w:r>
            <w:r w:rsidRPr="0021636F">
              <w:rPr>
                <w:rFonts w:eastAsiaTheme="minorHAnsi" w:cs="Arial"/>
                <w:lang w:val="en-US" w:eastAsia="en-US"/>
              </w:rPr>
              <w:t>Keep out of reach of</w:t>
            </w:r>
            <w:r w:rsidRPr="0021636F">
              <w:rPr>
                <w:rFonts w:eastAsiaTheme="minorHAnsi" w:cs="Arial"/>
                <w:color w:val="000000"/>
                <w:lang w:val="en-US" w:eastAsia="en-US"/>
              </w:rPr>
              <w:t xml:space="preserve"> </w:t>
            </w:r>
            <w:r w:rsidRPr="0021636F">
              <w:rPr>
                <w:rFonts w:eastAsiaTheme="minorHAnsi" w:cs="Arial"/>
                <w:lang w:val="en-US" w:eastAsia="en-US"/>
              </w:rPr>
              <w:t>children.</w:t>
            </w:r>
          </w:p>
          <w:p w14:paraId="34DC7499" w14:textId="00F694A4" w:rsidR="00FA22D0" w:rsidRPr="00B7552D" w:rsidRDefault="00FA22D0" w:rsidP="000A16F0">
            <w:pPr>
              <w:autoSpaceDE w:val="0"/>
              <w:autoSpaceDN w:val="0"/>
              <w:adjustRightInd w:val="0"/>
              <w:jc w:val="left"/>
              <w:rPr>
                <w:rFonts w:eastAsiaTheme="minorHAnsi" w:cs="Arial"/>
                <w:lang w:val="en-US" w:eastAsia="en-US"/>
              </w:rPr>
            </w:pPr>
            <w:r>
              <w:rPr>
                <w:rFonts w:eastAsiaTheme="minorHAnsi" w:cs="Arial"/>
                <w:lang w:val="en-US" w:eastAsia="en-US"/>
              </w:rPr>
              <w:t xml:space="preserve">P103: </w:t>
            </w:r>
            <w:r w:rsidRPr="00B7552D">
              <w:rPr>
                <w:rFonts w:eastAsiaTheme="minorHAnsi" w:cs="Arial"/>
                <w:lang w:val="en-US" w:eastAsia="en-US"/>
              </w:rPr>
              <w:t>Read label before use</w:t>
            </w:r>
          </w:p>
          <w:p w14:paraId="4C5AA707" w14:textId="77777777" w:rsidR="00F66A04" w:rsidRPr="0021636F" w:rsidRDefault="00F66A04"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P301 +P310: F SWALLOWED: Immediately call a POISON CENTER or doctor/physician.</w:t>
            </w:r>
          </w:p>
          <w:p w14:paraId="4CC69AAC" w14:textId="77777777" w:rsidR="00F66A04" w:rsidRPr="0021636F" w:rsidRDefault="00F66A04"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P331: Do NOT induce vomiting.</w:t>
            </w:r>
          </w:p>
          <w:p w14:paraId="7A289E3C" w14:textId="77777777" w:rsidR="00F66A04" w:rsidRPr="0021636F" w:rsidRDefault="00F66A04"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P405: Store locked up.</w:t>
            </w:r>
          </w:p>
          <w:p w14:paraId="034B5744" w14:textId="77777777" w:rsidR="00250278" w:rsidRPr="0021636F" w:rsidRDefault="00250278"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P273 – Avoid release to the environment</w:t>
            </w:r>
          </w:p>
          <w:p w14:paraId="7C5F7BBB" w14:textId="77777777" w:rsidR="00250278" w:rsidRPr="0021636F" w:rsidRDefault="00250278"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P391 – Collect spillage</w:t>
            </w:r>
          </w:p>
          <w:p w14:paraId="761A9F55" w14:textId="31808256" w:rsidR="00250278" w:rsidRPr="0021636F" w:rsidRDefault="00250278"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P501 - Dispose of contents/container in accordance with local/ regional/national/international regulation (to be</w:t>
            </w:r>
            <w:r w:rsidR="007712D1" w:rsidRPr="0021636F">
              <w:rPr>
                <w:rFonts w:eastAsiaTheme="minorHAnsi" w:cs="Arial"/>
                <w:color w:val="000000"/>
                <w:lang w:val="en-US" w:eastAsia="en-US"/>
              </w:rPr>
              <w:t xml:space="preserve"> </w:t>
            </w:r>
            <w:r w:rsidRPr="0021636F">
              <w:rPr>
                <w:rFonts w:eastAsiaTheme="minorHAnsi" w:cs="Arial"/>
                <w:color w:val="000000"/>
                <w:lang w:val="en-US" w:eastAsia="en-US"/>
              </w:rPr>
              <w:t>specified).</w:t>
            </w:r>
          </w:p>
        </w:tc>
      </w:tr>
      <w:tr w:rsidR="000A16F0" w:rsidRPr="00607E74" w14:paraId="15AC9018" w14:textId="77777777" w:rsidTr="000A16F0">
        <w:trPr>
          <w:trHeight w:val="170"/>
        </w:trPr>
        <w:tc>
          <w:tcPr>
            <w:tcW w:w="9356" w:type="dxa"/>
            <w:gridSpan w:val="2"/>
          </w:tcPr>
          <w:p w14:paraId="0E66B7F9" w14:textId="682AB3E6" w:rsidR="000A16F0" w:rsidRPr="000A16F0" w:rsidRDefault="000A16F0" w:rsidP="00F66A04">
            <w:pPr>
              <w:autoSpaceDE w:val="0"/>
              <w:autoSpaceDN w:val="0"/>
              <w:adjustRightInd w:val="0"/>
              <w:rPr>
                <w:rFonts w:eastAsiaTheme="minorHAnsi" w:cs="Arial"/>
                <w:color w:val="000000"/>
                <w:sz w:val="12"/>
                <w:szCs w:val="12"/>
                <w:lang w:val="en-US" w:eastAsia="en-US"/>
              </w:rPr>
            </w:pPr>
          </w:p>
        </w:tc>
      </w:tr>
      <w:tr w:rsidR="000A16F0" w:rsidRPr="00607E74" w14:paraId="5430D5D7" w14:textId="77777777" w:rsidTr="000A16F0">
        <w:trPr>
          <w:trHeight w:val="468"/>
        </w:trPr>
        <w:tc>
          <w:tcPr>
            <w:tcW w:w="3261" w:type="dxa"/>
            <w:vAlign w:val="center"/>
          </w:tcPr>
          <w:p w14:paraId="4BF72CB4" w14:textId="1A1BAA0B" w:rsidR="000A16F0" w:rsidRPr="000A16F0" w:rsidRDefault="000A16F0" w:rsidP="000A16F0">
            <w:pPr>
              <w:pStyle w:val="NormalWeb"/>
              <w:snapToGrid w:val="0"/>
              <w:spacing w:before="60" w:after="60" w:line="276" w:lineRule="auto"/>
              <w:jc w:val="left"/>
              <w:rPr>
                <w:rFonts w:ascii="Verdana" w:eastAsia="Calibri" w:hAnsi="Verdana" w:cs="Arial"/>
                <w:color w:val="000000"/>
                <w:sz w:val="20"/>
                <w:lang w:eastAsia="sv-SE"/>
              </w:rPr>
            </w:pPr>
            <w:r w:rsidRPr="000A16F0">
              <w:rPr>
                <w:rFonts w:ascii="Verdana" w:hAnsi="Verdana" w:cs="Arial"/>
                <w:sz w:val="20"/>
              </w:rPr>
              <w:t>Note</w:t>
            </w:r>
          </w:p>
        </w:tc>
        <w:tc>
          <w:tcPr>
            <w:tcW w:w="6095" w:type="dxa"/>
            <w:vAlign w:val="center"/>
          </w:tcPr>
          <w:p w14:paraId="32571AB9" w14:textId="77777777" w:rsidR="000A16F0" w:rsidRPr="000A16F0" w:rsidRDefault="000A16F0" w:rsidP="000A16F0">
            <w:pPr>
              <w:jc w:val="left"/>
              <w:rPr>
                <w:rFonts w:cs="Arial"/>
              </w:rPr>
            </w:pPr>
            <w:r w:rsidRPr="000A16F0">
              <w:rPr>
                <w:rFonts w:cs="Arial"/>
              </w:rPr>
              <w:t>EUH 066: Repeated exposure may cause skin dryness or cracking</w:t>
            </w:r>
          </w:p>
          <w:p w14:paraId="647AC051" w14:textId="52A903EC" w:rsidR="000A16F0" w:rsidRPr="000A16F0" w:rsidRDefault="000A16F0" w:rsidP="000A16F0">
            <w:pPr>
              <w:autoSpaceDE w:val="0"/>
              <w:autoSpaceDN w:val="0"/>
              <w:adjustRightInd w:val="0"/>
              <w:jc w:val="left"/>
              <w:rPr>
                <w:rFonts w:eastAsiaTheme="minorHAnsi" w:cs="Arial"/>
                <w:color w:val="000000"/>
                <w:lang w:val="en-US" w:eastAsia="en-US"/>
              </w:rPr>
            </w:pPr>
            <w:r w:rsidRPr="000A16F0">
              <w:rPr>
                <w:rFonts w:cs="Arial"/>
              </w:rPr>
              <w:t>EUH 208: Contains propiconazole. May produce an allergic reaction</w:t>
            </w:r>
          </w:p>
        </w:tc>
      </w:tr>
    </w:tbl>
    <w:p w14:paraId="4D825AEA" w14:textId="661C964B" w:rsidR="00855CD6" w:rsidRDefault="00855CD6">
      <w:pPr>
        <w:suppressAutoHyphens w:val="0"/>
        <w:jc w:val="left"/>
        <w:rPr>
          <w:rFonts w:ascii="Arial" w:hAnsi="Arial" w:cs="Arial"/>
        </w:rPr>
      </w:pPr>
      <w:r>
        <w:rPr>
          <w:rFonts w:ascii="Arial" w:hAnsi="Arial" w:cs="Arial"/>
        </w:rPr>
        <w:br w:type="page"/>
      </w:r>
    </w:p>
    <w:p w14:paraId="71BEAD36" w14:textId="77777777" w:rsidR="00250278" w:rsidRPr="00D00CF0" w:rsidRDefault="00250278" w:rsidP="00250278">
      <w:pPr>
        <w:rPr>
          <w:rFonts w:ascii="Arial" w:hAnsi="Arial" w:cs="Arial"/>
        </w:rPr>
      </w:pPr>
    </w:p>
    <w:p w14:paraId="590760E1" w14:textId="77777777" w:rsidR="009D0C0B" w:rsidRDefault="009D0C0B"/>
    <w:p w14:paraId="0B1C73D4" w14:textId="77777777" w:rsidR="009D0C0B" w:rsidRDefault="00FA480B">
      <w:pPr>
        <w:pStyle w:val="Titre3"/>
      </w:pPr>
      <w:bookmarkStart w:id="31" w:name="_Toc536627258"/>
      <w:r>
        <w:t>Authorised use(s)</w:t>
      </w:r>
      <w:bookmarkEnd w:id="31"/>
    </w:p>
    <w:p w14:paraId="5D94488E" w14:textId="18768E27" w:rsidR="009D0C0B" w:rsidRDefault="00FA480B">
      <w:pPr>
        <w:pStyle w:val="Titre4"/>
      </w:pPr>
      <w:bookmarkStart w:id="32" w:name="_Toc536627259"/>
      <w:r>
        <w:t>Use description</w:t>
      </w:r>
      <w:bookmarkEnd w:id="32"/>
    </w:p>
    <w:p w14:paraId="60EE1510" w14:textId="25087CB9" w:rsidR="00174DE7" w:rsidRPr="00EC0D24" w:rsidRDefault="00174DE7" w:rsidP="00174DE7">
      <w:pPr>
        <w:pStyle w:val="Lgende"/>
        <w:spacing w:after="120"/>
        <w:rPr>
          <w:rFonts w:ascii="Verdana" w:hAnsi="Verdana"/>
          <w:lang w:val="de-DE"/>
        </w:rPr>
      </w:pPr>
      <w:bookmarkStart w:id="33" w:name="d0e455"/>
      <w:bookmarkEnd w:id="26"/>
      <w:r w:rsidRPr="00174DE7">
        <w:rPr>
          <w:rFonts w:ascii="Verdana" w:hAnsi="Verdana"/>
        </w:rPr>
        <w:t>Use # 1 – Preventive treatment for wood in use class 1</w:t>
      </w:r>
      <w:r w:rsidR="00564259">
        <w:rPr>
          <w:rFonts w:ascii="Verdana" w:hAnsi="Verdana"/>
        </w:rPr>
        <w:t xml:space="preserve"> </w:t>
      </w:r>
      <w:r w:rsidR="0086173D">
        <w:rPr>
          <w:rFonts w:ascii="Verdana" w:hAnsi="Verdana"/>
        </w:rPr>
        <w:t>- Professio</w:t>
      </w:r>
      <w:r w:rsidR="004C6D1B">
        <w:rPr>
          <w:rFonts w:ascii="Verdana" w:hAnsi="Verdana"/>
        </w:rPr>
        <w:t>nal</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74DE7" w:rsidRPr="00174DE7" w14:paraId="4DBD31BC" w14:textId="77777777" w:rsidTr="00B21D4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5594D4" w14:textId="77777777" w:rsidR="00174DE7" w:rsidRPr="00174DE7" w:rsidRDefault="00174DE7" w:rsidP="00B21D4B">
            <w:pPr>
              <w:rPr>
                <w:b/>
              </w:rPr>
            </w:pPr>
            <w:bookmarkStart w:id="34" w:name="d0e1044"/>
            <w:bookmarkEnd w:id="33"/>
            <w:r w:rsidRPr="00174DE7">
              <w:rPr>
                <w:b/>
                <w:color w:val="000000"/>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53B4470" w14:textId="77777777" w:rsidR="00174DE7" w:rsidRPr="00174DE7" w:rsidRDefault="00174DE7" w:rsidP="00B21D4B">
            <w:pPr>
              <w:snapToGrid w:val="0"/>
              <w:ind w:left="49"/>
              <w:rPr>
                <w:rFonts w:cs="Arial"/>
              </w:rPr>
            </w:pPr>
            <w:r w:rsidRPr="00174DE7">
              <w:rPr>
                <w:rFonts w:cs="Arial"/>
              </w:rPr>
              <w:t>8 – Wood preservatives</w:t>
            </w:r>
          </w:p>
        </w:tc>
      </w:tr>
      <w:tr w:rsidR="00174DE7" w:rsidRPr="00174DE7" w14:paraId="186090AE"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29EA36" w14:textId="77777777" w:rsidR="00174DE7" w:rsidRPr="00174DE7" w:rsidRDefault="00174DE7" w:rsidP="00B21D4B">
            <w:pPr>
              <w:rPr>
                <w:b/>
              </w:rPr>
            </w:pPr>
            <w:r w:rsidRPr="00174DE7">
              <w:rPr>
                <w:b/>
                <w:color w:val="000000"/>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90B0F8E" w14:textId="623F46EE" w:rsidR="00174DE7" w:rsidRPr="00174DE7" w:rsidRDefault="00174DE7" w:rsidP="002A6946">
            <w:pPr>
              <w:snapToGrid w:val="0"/>
              <w:ind w:left="49"/>
              <w:rPr>
                <w:rFonts w:cs="Arial"/>
              </w:rPr>
            </w:pPr>
            <w:r w:rsidRPr="00174DE7">
              <w:rPr>
                <w:rFonts w:cs="Arial"/>
              </w:rPr>
              <w:t xml:space="preserve">Preventive treatment for wood </w:t>
            </w:r>
            <w:r w:rsidR="002A6946">
              <w:rPr>
                <w:rFonts w:cs="Arial"/>
              </w:rPr>
              <w:t>in</w:t>
            </w:r>
            <w:r w:rsidR="002A6946" w:rsidRPr="00174DE7">
              <w:rPr>
                <w:rFonts w:cs="Arial"/>
              </w:rPr>
              <w:t xml:space="preserve"> </w:t>
            </w:r>
            <w:r w:rsidRPr="00174DE7">
              <w:rPr>
                <w:rFonts w:cs="Arial"/>
              </w:rPr>
              <w:t xml:space="preserve">use </w:t>
            </w:r>
            <w:r w:rsidRPr="0021636F">
              <w:rPr>
                <w:rFonts w:cs="Arial"/>
              </w:rPr>
              <w:t>class 1</w:t>
            </w:r>
            <w:r w:rsidRPr="00174DE7">
              <w:rPr>
                <w:rFonts w:cs="Arial"/>
              </w:rPr>
              <w:t xml:space="preserve"> </w:t>
            </w:r>
          </w:p>
        </w:tc>
      </w:tr>
      <w:tr w:rsidR="00174DE7" w:rsidRPr="00174DE7" w14:paraId="2A1A3732"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9B31BC" w14:textId="77777777" w:rsidR="00174DE7" w:rsidRPr="00174DE7" w:rsidRDefault="00174DE7" w:rsidP="00B21D4B">
            <w:pPr>
              <w:rPr>
                <w:b/>
              </w:rPr>
            </w:pPr>
            <w:r w:rsidRPr="00174DE7">
              <w:rPr>
                <w:b/>
                <w:color w:val="000000"/>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CFE0ED" w14:textId="77777777" w:rsidR="00174DE7" w:rsidRPr="00174DE7" w:rsidRDefault="00174DE7" w:rsidP="00B21D4B">
            <w:pPr>
              <w:ind w:left="49"/>
              <w:rPr>
                <w:rFonts w:eastAsia="Calibri" w:cs="Arial"/>
                <w:bCs/>
                <w:lang w:eastAsia="sv-SE"/>
              </w:rPr>
            </w:pPr>
            <w:r w:rsidRPr="00174DE7">
              <w:rPr>
                <w:rFonts w:eastAsia="Calibri" w:cs="Arial"/>
                <w:lang w:eastAsia="fr-FR"/>
              </w:rPr>
              <w:t>Wood boring insects</w:t>
            </w:r>
          </w:p>
          <w:p w14:paraId="10F49F98"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House longhorn beetle</w:t>
            </w:r>
            <w:r w:rsidRPr="00174DE7">
              <w:rPr>
                <w:rFonts w:eastAsia="Calibri" w:cs="Arial"/>
                <w:lang w:eastAsia="sv-SE"/>
              </w:rPr>
              <w:t xml:space="preserve"> (</w:t>
            </w:r>
            <w:r w:rsidRPr="00174DE7">
              <w:rPr>
                <w:rFonts w:eastAsia="Calibri" w:cs="Arial"/>
                <w:i/>
                <w:lang w:eastAsia="sv-SE"/>
              </w:rPr>
              <w:t>Hylotrupes bajulus</w:t>
            </w:r>
            <w:r w:rsidRPr="00174DE7">
              <w:rPr>
                <w:rFonts w:eastAsia="Calibri" w:cs="Arial"/>
                <w:lang w:eastAsia="sv-SE"/>
              </w:rPr>
              <w:t>)</w:t>
            </w:r>
          </w:p>
          <w:p w14:paraId="139B463D"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 xml:space="preserve">Common furniture beetle </w:t>
            </w:r>
            <w:r w:rsidRPr="00174DE7">
              <w:rPr>
                <w:rFonts w:eastAsia="Calibri" w:cs="Arial"/>
                <w:lang w:eastAsia="sv-SE"/>
              </w:rPr>
              <w:t>(</w:t>
            </w:r>
            <w:r w:rsidRPr="00174DE7">
              <w:rPr>
                <w:rFonts w:eastAsia="Calibri" w:cs="Arial"/>
                <w:i/>
                <w:lang w:eastAsia="sv-SE"/>
              </w:rPr>
              <w:t>Anobium punctatum</w:t>
            </w:r>
            <w:r w:rsidRPr="00174DE7">
              <w:rPr>
                <w:rFonts w:eastAsia="Calibri" w:cs="Arial"/>
                <w:lang w:eastAsia="sv-SE"/>
              </w:rPr>
              <w:t xml:space="preserve">) </w:t>
            </w:r>
          </w:p>
          <w:p w14:paraId="46E25898"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Powder post beetles</w:t>
            </w:r>
            <w:r w:rsidRPr="00174DE7">
              <w:rPr>
                <w:rFonts w:eastAsia="Calibri" w:cs="Arial"/>
                <w:lang w:eastAsia="sv-SE"/>
              </w:rPr>
              <w:t xml:space="preserve"> (</w:t>
            </w:r>
            <w:r w:rsidRPr="00174DE7">
              <w:rPr>
                <w:rFonts w:eastAsia="Calibri" w:cs="Arial"/>
                <w:i/>
                <w:lang w:eastAsia="sv-SE"/>
              </w:rPr>
              <w:t>Lyctus brunneus</w:t>
            </w:r>
            <w:r w:rsidRPr="00174DE7">
              <w:rPr>
                <w:rFonts w:eastAsia="Calibri" w:cs="Arial"/>
                <w:lang w:eastAsia="sv-SE"/>
              </w:rPr>
              <w:t>)</w:t>
            </w:r>
          </w:p>
          <w:p w14:paraId="746D8F2A" w14:textId="77777777" w:rsidR="00174DE7" w:rsidRPr="00174DE7" w:rsidRDefault="00174DE7" w:rsidP="00B21D4B">
            <w:pPr>
              <w:spacing w:before="200"/>
            </w:pPr>
            <w:r w:rsidRPr="00174DE7">
              <w:rPr>
                <w:rFonts w:eastAsia="Calibri" w:cs="Arial"/>
                <w:lang w:eastAsia="sv-SE"/>
              </w:rPr>
              <w:t>Termites (</w:t>
            </w:r>
            <w:r w:rsidRPr="00174DE7">
              <w:rPr>
                <w:rFonts w:eastAsia="Calibri" w:cs="Arial"/>
                <w:i/>
                <w:lang w:eastAsia="sv-SE"/>
              </w:rPr>
              <w:t>Reticulitermes spp.</w:t>
            </w:r>
            <w:r w:rsidRPr="00174DE7">
              <w:rPr>
                <w:rFonts w:eastAsia="Calibri" w:cs="Arial"/>
                <w:lang w:eastAsia="sv-SE"/>
              </w:rPr>
              <w:t>)</w:t>
            </w:r>
          </w:p>
        </w:tc>
      </w:tr>
      <w:tr w:rsidR="00174DE7" w:rsidRPr="00174DE7" w14:paraId="6CD4403C"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AC43315" w14:textId="77777777" w:rsidR="00174DE7" w:rsidRPr="00174DE7" w:rsidRDefault="00174DE7" w:rsidP="00B21D4B">
            <w:pPr>
              <w:rPr>
                <w:b/>
              </w:rPr>
            </w:pPr>
            <w:r w:rsidRPr="00174DE7">
              <w:rPr>
                <w:b/>
                <w:color w:val="000000"/>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130041" w14:textId="3091026A" w:rsidR="00C12CE0" w:rsidRDefault="00174DE7" w:rsidP="00C12CE0">
            <w:pPr>
              <w:rPr>
                <w:rFonts w:cs="Arial"/>
              </w:rPr>
            </w:pPr>
            <w:r w:rsidRPr="00174DE7">
              <w:rPr>
                <w:rFonts w:cs="Arial"/>
              </w:rPr>
              <w:t xml:space="preserve">Preventive treatment for wood </w:t>
            </w:r>
            <w:r w:rsidR="00515746">
              <w:rPr>
                <w:rFonts w:cs="Arial"/>
              </w:rPr>
              <w:t>i</w:t>
            </w:r>
            <w:r w:rsidR="00515746" w:rsidRPr="00174DE7">
              <w:rPr>
                <w:rFonts w:cs="Arial"/>
              </w:rPr>
              <w:t xml:space="preserve">n </w:t>
            </w:r>
            <w:r w:rsidRPr="00174DE7">
              <w:rPr>
                <w:rFonts w:cs="Arial"/>
              </w:rPr>
              <w:t xml:space="preserve">use class 1 </w:t>
            </w:r>
          </w:p>
          <w:p w14:paraId="63E89620" w14:textId="20E6D6F9" w:rsidR="00174DE7" w:rsidRPr="00174DE7" w:rsidRDefault="00C12CE0" w:rsidP="00C12CE0">
            <w:r>
              <w:rPr>
                <w:rFonts w:cs="Arial"/>
              </w:rPr>
              <w:t>Softwood and hardwood</w:t>
            </w:r>
          </w:p>
        </w:tc>
      </w:tr>
      <w:tr w:rsidR="00174DE7" w:rsidRPr="00174DE7" w14:paraId="176D318C"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B12C3E" w14:textId="77777777" w:rsidR="00174DE7" w:rsidRPr="00174DE7" w:rsidRDefault="00174DE7" w:rsidP="00B21D4B">
            <w:pPr>
              <w:rPr>
                <w:b/>
              </w:rPr>
            </w:pPr>
            <w:r w:rsidRPr="00174DE7">
              <w:rPr>
                <w:b/>
                <w:color w:val="000000"/>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FB1653" w14:textId="77777777" w:rsidR="00174DE7" w:rsidRPr="00174DE7" w:rsidRDefault="00174DE7" w:rsidP="00B21D4B">
            <w:r w:rsidRPr="00174DE7">
              <w:t>Superficial application / brush / roller /pad treatment</w:t>
            </w:r>
          </w:p>
          <w:p w14:paraId="739432C9" w14:textId="77777777" w:rsidR="00174DE7" w:rsidRPr="00174DE7" w:rsidRDefault="00174DE7" w:rsidP="00B21D4B">
            <w:r w:rsidRPr="00174DE7">
              <w:rPr>
                <w:rFonts w:cs="Arial"/>
              </w:rPr>
              <w:t>Superficial application / spray treatment</w:t>
            </w:r>
          </w:p>
        </w:tc>
      </w:tr>
      <w:tr w:rsidR="00174DE7" w:rsidRPr="00174DE7" w14:paraId="10BB128A"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128A52" w14:textId="77777777" w:rsidR="00174DE7" w:rsidRPr="00174DE7" w:rsidRDefault="00174DE7" w:rsidP="00B21D4B">
            <w:pPr>
              <w:rPr>
                <w:b/>
              </w:rPr>
            </w:pPr>
            <w:r w:rsidRPr="00174DE7">
              <w:rPr>
                <w:b/>
                <w:color w:val="000000"/>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514A0D" w14:textId="77777777" w:rsidR="00174DE7" w:rsidRPr="00174DE7" w:rsidRDefault="00174DE7" w:rsidP="00B21D4B">
            <w:r w:rsidRPr="00174DE7">
              <w:t>The product is ready to use</w:t>
            </w:r>
          </w:p>
          <w:p w14:paraId="0E929B89" w14:textId="77777777" w:rsidR="00174DE7" w:rsidRPr="00174DE7" w:rsidRDefault="00174DE7" w:rsidP="00B21D4B"/>
          <w:p w14:paraId="3572DBB5" w14:textId="7C44CC8E" w:rsidR="00174DE7" w:rsidRPr="00174DE7" w:rsidRDefault="00174DE7" w:rsidP="00B21D4B">
            <w:r w:rsidRPr="00174DE7">
              <w:t xml:space="preserve">The </w:t>
            </w:r>
            <w:r w:rsidR="005F619C">
              <w:t>product</w:t>
            </w:r>
            <w:r w:rsidR="005F619C" w:rsidRPr="00174DE7">
              <w:t xml:space="preserve"> </w:t>
            </w:r>
            <w:r w:rsidRPr="00174DE7">
              <w:t xml:space="preserve">is </w:t>
            </w:r>
            <w:r w:rsidR="005F619C">
              <w:t>applied</w:t>
            </w:r>
            <w:r w:rsidR="005F619C" w:rsidRPr="00174DE7">
              <w:t xml:space="preserve"> </w:t>
            </w:r>
            <w:r w:rsidRPr="00174DE7">
              <w:t xml:space="preserve">by </w:t>
            </w:r>
            <w:r w:rsidR="00855CD6">
              <w:t>superficial</w:t>
            </w:r>
            <w:r w:rsidRPr="00174DE7">
              <w:t xml:space="preserve"> application</w:t>
            </w:r>
            <w:r w:rsidR="00855CD6">
              <w:t>, t</w:t>
            </w:r>
            <w:r w:rsidRPr="00174DE7">
              <w:t xml:space="preserve">he application rate is </w:t>
            </w:r>
          </w:p>
          <w:p w14:paraId="126390EA" w14:textId="77777777" w:rsidR="00174DE7" w:rsidRPr="00174DE7" w:rsidRDefault="00174DE7" w:rsidP="00174DE7">
            <w:pPr>
              <w:pStyle w:val="Paragraphedeliste"/>
              <w:widowControl w:val="0"/>
              <w:numPr>
                <w:ilvl w:val="0"/>
                <w:numId w:val="29"/>
              </w:numPr>
              <w:suppressAutoHyphens w:val="0"/>
              <w:autoSpaceDE w:val="0"/>
              <w:autoSpaceDN w:val="0"/>
              <w:adjustRightInd w:val="0"/>
              <w:contextualSpacing/>
              <w:jc w:val="left"/>
            </w:pPr>
            <w:r w:rsidRPr="00174DE7">
              <w:t>CU1: 200 g of product /m²</w:t>
            </w:r>
          </w:p>
        </w:tc>
      </w:tr>
      <w:tr w:rsidR="00174DE7" w:rsidRPr="00174DE7" w14:paraId="2E495CD4"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C2EE14" w14:textId="77777777" w:rsidR="00174DE7" w:rsidRPr="00174DE7" w:rsidRDefault="00174DE7" w:rsidP="00B21D4B">
            <w:pPr>
              <w:rPr>
                <w:b/>
              </w:rPr>
            </w:pPr>
            <w:r w:rsidRPr="00174DE7">
              <w:rPr>
                <w:b/>
                <w:color w:val="000000"/>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346D14" w14:textId="51A58F76" w:rsidR="00174DE7" w:rsidRPr="00174DE7" w:rsidRDefault="00855CD6" w:rsidP="0026139B">
            <w:r>
              <w:t>P</w:t>
            </w:r>
            <w:r w:rsidR="00174DE7" w:rsidRPr="00174DE7">
              <w:t>rofessional</w:t>
            </w:r>
          </w:p>
        </w:tc>
      </w:tr>
      <w:tr w:rsidR="00174DE7" w:rsidRPr="00174DE7" w14:paraId="4659948B"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7AEC35" w14:textId="77777777" w:rsidR="00174DE7" w:rsidRPr="00174DE7" w:rsidRDefault="00174DE7" w:rsidP="00B21D4B">
            <w:pPr>
              <w:rPr>
                <w:b/>
              </w:rPr>
            </w:pPr>
            <w:r w:rsidRPr="00174DE7">
              <w:rPr>
                <w:b/>
                <w:color w:val="000000"/>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5A01D25" w14:textId="77777777" w:rsidR="00641A2A" w:rsidRPr="006128DA" w:rsidRDefault="00641A2A" w:rsidP="00641A2A">
            <w:pPr>
              <w:rPr>
                <w:rFonts w:cs="Arial"/>
                <w:bCs/>
              </w:rPr>
            </w:pPr>
            <w:r w:rsidRPr="005F29A1">
              <w:rPr>
                <w:rFonts w:cs="Arial"/>
                <w:bCs/>
              </w:rPr>
              <w:t>Can /Tin, Metal: , 0.75, 1, 2.5, 5, 25, 30, 55, 200 L</w:t>
            </w:r>
          </w:p>
          <w:p w14:paraId="4A8B0BBA" w14:textId="77777777" w:rsidR="00641A2A" w:rsidRPr="006128DA" w:rsidRDefault="00641A2A" w:rsidP="00641A2A">
            <w:pPr>
              <w:rPr>
                <w:rFonts w:cs="Arial"/>
                <w:bCs/>
              </w:rPr>
            </w:pPr>
            <w:r w:rsidRPr="006128DA">
              <w:rPr>
                <w:rFonts w:cs="Arial"/>
                <w:bCs/>
              </w:rPr>
              <w:t>IBC (intermediate bulk container), Plastic: HDPE , 1000 L</w:t>
            </w:r>
          </w:p>
          <w:p w14:paraId="534DBF01" w14:textId="77777777" w:rsidR="00641A2A" w:rsidRPr="006128DA" w:rsidRDefault="00641A2A" w:rsidP="00641A2A">
            <w:pPr>
              <w:rPr>
                <w:rFonts w:cs="Arial"/>
                <w:bCs/>
              </w:rPr>
            </w:pPr>
            <w:r w:rsidRPr="006128DA">
              <w:rPr>
                <w:rFonts w:cs="Arial"/>
                <w:bCs/>
              </w:rPr>
              <w:t>The 30 L can is internally coated with an epoxyphenolic lacquer.</w:t>
            </w:r>
          </w:p>
          <w:p w14:paraId="68A55A6F" w14:textId="77777777" w:rsidR="00641A2A" w:rsidRPr="006128DA" w:rsidRDefault="00641A2A" w:rsidP="00641A2A">
            <w:pPr>
              <w:rPr>
                <w:rFonts w:cs="Arial"/>
                <w:bCs/>
              </w:rPr>
            </w:pPr>
          </w:p>
          <w:p w14:paraId="3B8A6F7F" w14:textId="77777777" w:rsidR="00641A2A" w:rsidRPr="00F53F23" w:rsidRDefault="00641A2A" w:rsidP="00641A2A">
            <w:pPr>
              <w:rPr>
                <w:rFonts w:cs="Arial"/>
                <w:bCs/>
              </w:rPr>
            </w:pPr>
            <w:r w:rsidRPr="00F53F23">
              <w:rPr>
                <w:rFonts w:cs="Arial"/>
                <w:bCs/>
              </w:rPr>
              <w:t>Tin-plate can up to 200 L and HDPE 1000 L IBC for professionnal users. Hermetically closed with a cap.</w:t>
            </w:r>
          </w:p>
          <w:p w14:paraId="48E423E4" w14:textId="77777777" w:rsidR="00641A2A" w:rsidRPr="00944F5E" w:rsidRDefault="00641A2A" w:rsidP="00641A2A">
            <w:pPr>
              <w:rPr>
                <w:rFonts w:cs="Arial"/>
                <w:bCs/>
              </w:rPr>
            </w:pPr>
          </w:p>
          <w:p w14:paraId="39C49A20" w14:textId="4B8D8CA9" w:rsidR="00B21D4B" w:rsidRPr="00174DE7" w:rsidRDefault="00B21D4B" w:rsidP="00641A2A"/>
        </w:tc>
      </w:tr>
    </w:tbl>
    <w:p w14:paraId="2155A078" w14:textId="54C11253" w:rsidR="009D0C0B" w:rsidRDefault="009D0C0B">
      <w:pPr>
        <w:keepNext/>
        <w:widowControl w:val="0"/>
        <w:autoSpaceDE w:val="0"/>
        <w:spacing w:after="120"/>
        <w:rPr>
          <w:b/>
          <w:bCs/>
          <w:i/>
          <w:iCs/>
        </w:rPr>
      </w:pPr>
    </w:p>
    <w:p w14:paraId="6CF9CFAB" w14:textId="17381B81" w:rsidR="009D0C0B" w:rsidRDefault="00FA480B">
      <w:pPr>
        <w:pStyle w:val="Titre4"/>
        <w:rPr>
          <w:rFonts w:cs="Times"/>
          <w:bCs/>
          <w:szCs w:val="29"/>
        </w:rPr>
      </w:pPr>
      <w:bookmarkStart w:id="35" w:name="_Toc536627260"/>
      <w:r>
        <w:t>Use-specific instructions for use</w:t>
      </w:r>
      <w:bookmarkEnd w:id="3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E79BB49"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6A0B62D" w14:textId="77777777" w:rsidR="009D0C0B" w:rsidRDefault="009D0C0B">
            <w:pPr>
              <w:widowControl w:val="0"/>
              <w:autoSpaceDE w:val="0"/>
              <w:snapToGrid w:val="0"/>
              <w:spacing w:before="80"/>
              <w:rPr>
                <w:rFonts w:cs="Times"/>
                <w:bCs/>
                <w:szCs w:val="29"/>
              </w:rPr>
            </w:pPr>
          </w:p>
        </w:tc>
      </w:tr>
    </w:tbl>
    <w:p w14:paraId="3F129851" w14:textId="77777777" w:rsidR="009D0C0B" w:rsidRDefault="009D0C0B">
      <w:pPr>
        <w:keepNext/>
        <w:widowControl w:val="0"/>
        <w:autoSpaceDE w:val="0"/>
        <w:spacing w:after="120"/>
        <w:rPr>
          <w:rFonts w:eastAsia="Calibri"/>
          <w:b/>
          <w:i/>
          <w:caps/>
          <w:sz w:val="22"/>
          <w:szCs w:val="22"/>
          <w:lang w:val="de-DE" w:eastAsia="en-US"/>
        </w:rPr>
      </w:pPr>
    </w:p>
    <w:p w14:paraId="476A2920" w14:textId="77777777" w:rsidR="009D0C0B" w:rsidRDefault="00FA480B">
      <w:pPr>
        <w:pStyle w:val="Titre4"/>
        <w:rPr>
          <w:rFonts w:cs="Times"/>
          <w:bCs/>
          <w:szCs w:val="29"/>
        </w:rPr>
      </w:pPr>
      <w:bookmarkStart w:id="36" w:name="_Toc536627261"/>
      <w:r>
        <w:t>Use-specific risk mitigation measures</w:t>
      </w:r>
      <w:bookmarkEnd w:id="36"/>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AB890F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B29CA4D" w14:textId="5FAD5C07" w:rsidR="00AD004D" w:rsidRPr="0021636F" w:rsidRDefault="00AD004D" w:rsidP="0039605F">
            <w:pPr>
              <w:suppressAutoHyphens w:val="0"/>
              <w:spacing w:line="276" w:lineRule="auto"/>
              <w:rPr>
                <w:rFonts w:eastAsia="Calibri" w:cs="Arial"/>
                <w:szCs w:val="22"/>
                <w:lang w:val="en-US" w:eastAsia="sv-SE"/>
              </w:rPr>
            </w:pPr>
            <w:r w:rsidRPr="0021636F">
              <w:rPr>
                <w:rFonts w:eastAsia="Calibri" w:cs="Arial"/>
                <w:b/>
                <w:szCs w:val="22"/>
                <w:lang w:val="en-US" w:eastAsia="sv-SE"/>
              </w:rPr>
              <w:t xml:space="preserve">Professional user only:  </w:t>
            </w:r>
            <w:r w:rsidRPr="0021636F">
              <w:rPr>
                <w:rFonts w:eastAsia="Calibri" w:cs="Arial"/>
                <w:szCs w:val="22"/>
                <w:lang w:val="en-US" w:eastAsia="sv-SE"/>
              </w:rPr>
              <w:t>For brushing, wear protective chemical resistant gloves (glove material to be specified by the authorisation holder within the product information) and coated coverall (category IV type 6) during application phase.</w:t>
            </w:r>
          </w:p>
          <w:p w14:paraId="4EB89853" w14:textId="44025737" w:rsidR="009D0C0B" w:rsidRDefault="00AD004D" w:rsidP="00AD004D">
            <w:pPr>
              <w:widowControl w:val="0"/>
              <w:autoSpaceDE w:val="0"/>
              <w:snapToGrid w:val="0"/>
              <w:spacing w:before="80"/>
              <w:rPr>
                <w:rFonts w:cs="Times"/>
                <w:bCs/>
                <w:szCs w:val="29"/>
              </w:rPr>
            </w:pPr>
            <w:r w:rsidRPr="0021636F">
              <w:rPr>
                <w:rFonts w:eastAsia="Calibri" w:cs="Arial"/>
                <w:b/>
                <w:szCs w:val="22"/>
                <w:lang w:val="en-US" w:eastAsia="sv-SE"/>
              </w:rPr>
              <w:t xml:space="preserve">Professional user only:  </w:t>
            </w:r>
            <w:r w:rsidRPr="0021636F">
              <w:rPr>
                <w:rFonts w:eastAsia="Calibri" w:cs="Arial"/>
                <w:szCs w:val="22"/>
                <w:lang w:val="en-US" w:eastAsia="sv-SE"/>
              </w:rPr>
              <w:t xml:space="preserve">For spraying, wear protective chemical resistant gloves (glove material to be specified by the authorisation holder within the product information) and impermeable </w:t>
            </w:r>
            <w:r w:rsidR="00735835" w:rsidRPr="0021636F">
              <w:rPr>
                <w:rFonts w:eastAsia="Calibri" w:cs="Arial"/>
                <w:szCs w:val="22"/>
                <w:lang w:val="en-US" w:eastAsia="sv-SE"/>
              </w:rPr>
              <w:t>coverall (</w:t>
            </w:r>
            <w:r w:rsidRPr="0021636F">
              <w:rPr>
                <w:rFonts w:eastAsia="Calibri" w:cs="Arial"/>
                <w:szCs w:val="22"/>
                <w:lang w:val="en-US" w:eastAsia="sv-SE"/>
              </w:rPr>
              <w:t xml:space="preserve">category IV type 4) during </w:t>
            </w:r>
            <w:r w:rsidR="00735835" w:rsidRPr="0021636F">
              <w:rPr>
                <w:rFonts w:eastAsia="Calibri" w:cs="Arial"/>
                <w:szCs w:val="22"/>
                <w:lang w:val="en-US" w:eastAsia="sv-SE"/>
              </w:rPr>
              <w:t>spraying, gloves,</w:t>
            </w:r>
            <w:r w:rsidRPr="0021636F">
              <w:rPr>
                <w:rFonts w:eastAsia="Calibri" w:cs="Arial"/>
                <w:szCs w:val="22"/>
                <w:lang w:val="en-US" w:eastAsia="sv-SE"/>
              </w:rPr>
              <w:t xml:space="preserve"> and coated coverall (category IV type 6) during cleaning phase.</w:t>
            </w:r>
            <w:r w:rsidRPr="001716D1">
              <w:rPr>
                <w:rFonts w:eastAsia="Calibri" w:cs="Arial"/>
                <w:szCs w:val="22"/>
                <w:lang w:val="en-US" w:eastAsia="sv-SE"/>
              </w:rPr>
              <w:t xml:space="preserve"> </w:t>
            </w:r>
          </w:p>
        </w:tc>
      </w:tr>
    </w:tbl>
    <w:p w14:paraId="359EA515" w14:textId="77777777" w:rsidR="009D0C0B" w:rsidRPr="00EC0D24" w:rsidRDefault="009D0C0B">
      <w:pPr>
        <w:keepNext/>
        <w:widowControl w:val="0"/>
        <w:autoSpaceDE w:val="0"/>
        <w:spacing w:after="120"/>
        <w:rPr>
          <w:rFonts w:eastAsia="Calibri"/>
          <w:b/>
          <w:i/>
          <w:caps/>
          <w:sz w:val="22"/>
          <w:szCs w:val="22"/>
          <w:lang w:val="de-DE" w:eastAsia="en-US"/>
        </w:rPr>
      </w:pPr>
    </w:p>
    <w:p w14:paraId="222FDD70" w14:textId="77777777" w:rsidR="009D0C0B" w:rsidRPr="00EC0D24" w:rsidRDefault="00FA480B">
      <w:pPr>
        <w:pStyle w:val="Titre4"/>
        <w:rPr>
          <w:rFonts w:cs="Times"/>
          <w:bCs/>
          <w:szCs w:val="29"/>
        </w:rPr>
      </w:pPr>
      <w:bookmarkStart w:id="37" w:name="_Toc536627262"/>
      <w:r w:rsidRPr="00EC0D24">
        <w:t>Where specific to the use, the particulars of likely direct or indirect effects, first aid instructions and emergency measures to protect the environment</w:t>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9ABE2D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14EDE1E" w14:textId="77777777" w:rsidR="009D0C0B" w:rsidRDefault="009D0C0B">
            <w:pPr>
              <w:widowControl w:val="0"/>
              <w:autoSpaceDE w:val="0"/>
              <w:snapToGrid w:val="0"/>
              <w:spacing w:before="80"/>
              <w:rPr>
                <w:rFonts w:cs="Times"/>
                <w:bCs/>
                <w:szCs w:val="29"/>
              </w:rPr>
            </w:pPr>
          </w:p>
        </w:tc>
      </w:tr>
    </w:tbl>
    <w:p w14:paraId="022B1A72" w14:textId="77777777" w:rsidR="009D0C0B" w:rsidRPr="00EC0D24" w:rsidRDefault="00FA480B">
      <w:pPr>
        <w:pStyle w:val="Titre4"/>
        <w:rPr>
          <w:rFonts w:cs="Times"/>
          <w:bCs/>
          <w:szCs w:val="29"/>
        </w:rPr>
      </w:pPr>
      <w:bookmarkStart w:id="38" w:name="_Toc536627263"/>
      <w:r w:rsidRPr="00EC0D24">
        <w:t>Where specific to the use, the instructions for safe disposal of the product and its packaging</w:t>
      </w:r>
      <w:bookmarkEnd w:id="38"/>
      <w:r w:rsidRPr="00EC0D24">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C6F51D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AA238F1" w14:textId="77777777" w:rsidR="009D0C0B" w:rsidRDefault="009D0C0B">
            <w:pPr>
              <w:widowControl w:val="0"/>
              <w:autoSpaceDE w:val="0"/>
              <w:snapToGrid w:val="0"/>
              <w:spacing w:before="80"/>
              <w:rPr>
                <w:rFonts w:cs="Times"/>
                <w:bCs/>
                <w:szCs w:val="29"/>
              </w:rPr>
            </w:pPr>
          </w:p>
        </w:tc>
      </w:tr>
    </w:tbl>
    <w:p w14:paraId="65A473BC" w14:textId="77777777" w:rsidR="009D0C0B" w:rsidRDefault="009D0C0B">
      <w:pPr>
        <w:widowControl w:val="0"/>
        <w:autoSpaceDE w:val="0"/>
        <w:rPr>
          <w:rFonts w:cs="Times"/>
          <w:bCs/>
          <w:szCs w:val="29"/>
        </w:rPr>
      </w:pPr>
    </w:p>
    <w:p w14:paraId="70F8D513" w14:textId="77777777" w:rsidR="009D0C0B" w:rsidRPr="00943FA9" w:rsidRDefault="00FA480B">
      <w:pPr>
        <w:pStyle w:val="Titre4"/>
        <w:rPr>
          <w:rFonts w:cs="Times"/>
          <w:bCs/>
          <w:szCs w:val="29"/>
          <w:lang w:val="en-US"/>
        </w:rPr>
      </w:pPr>
      <w:bookmarkStart w:id="39" w:name="_Toc536627264"/>
      <w:r w:rsidRPr="00943FA9">
        <w:rPr>
          <w:lang w:val="en-US"/>
        </w:rPr>
        <w:t>Where specific to the use, the conditions of storage and shelf-life of the product under normal conditions of storage</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DE54CC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5133BAE" w14:textId="77777777" w:rsidR="009D0C0B" w:rsidRDefault="009D0C0B">
            <w:pPr>
              <w:widowControl w:val="0"/>
              <w:autoSpaceDE w:val="0"/>
              <w:snapToGrid w:val="0"/>
              <w:spacing w:before="80"/>
              <w:rPr>
                <w:rFonts w:cs="Times"/>
                <w:bCs/>
                <w:szCs w:val="29"/>
              </w:rPr>
            </w:pPr>
          </w:p>
        </w:tc>
      </w:tr>
    </w:tbl>
    <w:p w14:paraId="00BECAC8" w14:textId="77777777" w:rsidR="009D0C0B" w:rsidRDefault="009D0C0B">
      <w:pPr>
        <w:widowControl w:val="0"/>
        <w:autoSpaceDE w:val="0"/>
        <w:rPr>
          <w:rFonts w:cs="Times"/>
          <w:bCs/>
          <w:szCs w:val="29"/>
        </w:rPr>
      </w:pPr>
    </w:p>
    <w:p w14:paraId="32760A63" w14:textId="03AEB8E8" w:rsidR="002771BE" w:rsidRDefault="002771BE">
      <w:pPr>
        <w:widowControl w:val="0"/>
        <w:autoSpaceDE w:val="0"/>
        <w:rPr>
          <w:rFonts w:cs="Times"/>
          <w:bCs/>
          <w:szCs w:val="29"/>
        </w:rPr>
      </w:pPr>
    </w:p>
    <w:p w14:paraId="60F8590C" w14:textId="3776FBC4" w:rsidR="00564259" w:rsidRDefault="00564259">
      <w:pPr>
        <w:widowControl w:val="0"/>
        <w:autoSpaceDE w:val="0"/>
        <w:rPr>
          <w:rFonts w:cs="Times"/>
          <w:bCs/>
          <w:szCs w:val="29"/>
        </w:rPr>
      </w:pPr>
    </w:p>
    <w:p w14:paraId="7ADB671F" w14:textId="77777777" w:rsidR="00564259" w:rsidRDefault="00564259" w:rsidP="00564259">
      <w:pPr>
        <w:pStyle w:val="Titre4"/>
      </w:pPr>
      <w:bookmarkStart w:id="40" w:name="_Toc536627265"/>
      <w:r>
        <w:t>Use description</w:t>
      </w:r>
      <w:bookmarkEnd w:id="40"/>
    </w:p>
    <w:p w14:paraId="4E101C4D" w14:textId="336C4FAF" w:rsidR="00564259" w:rsidRPr="00EC0D24" w:rsidRDefault="00564259" w:rsidP="00564259">
      <w:pPr>
        <w:pStyle w:val="Lgende"/>
        <w:spacing w:after="120"/>
        <w:rPr>
          <w:rFonts w:ascii="Verdana" w:hAnsi="Verdana"/>
          <w:lang w:val="de-DE"/>
        </w:rPr>
      </w:pPr>
      <w:r>
        <w:rPr>
          <w:rFonts w:ascii="Verdana" w:hAnsi="Verdana"/>
        </w:rPr>
        <w:t>Use # 2</w:t>
      </w:r>
      <w:r w:rsidRPr="00174DE7">
        <w:rPr>
          <w:rFonts w:ascii="Verdana" w:hAnsi="Verdana"/>
        </w:rPr>
        <w:t xml:space="preserve"> – Preventive tr</w:t>
      </w:r>
      <w:r>
        <w:rPr>
          <w:rFonts w:ascii="Verdana" w:hAnsi="Verdana"/>
        </w:rPr>
        <w:t>eatment for wood in</w:t>
      </w:r>
      <w:r w:rsidR="004C6D1B">
        <w:rPr>
          <w:rFonts w:ascii="Verdana" w:hAnsi="Verdana"/>
        </w:rPr>
        <w:t xml:space="preserve"> use</w:t>
      </w:r>
      <w:r w:rsidR="0086173D">
        <w:rPr>
          <w:rFonts w:ascii="Verdana" w:hAnsi="Verdana"/>
        </w:rPr>
        <w:t xml:space="preserve"> class 1- Non-Profession</w:t>
      </w:r>
      <w:r w:rsidR="004C6D1B">
        <w:rPr>
          <w:rFonts w:ascii="Verdana" w:hAnsi="Verdana"/>
        </w:rPr>
        <w:t>al</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64259" w:rsidRPr="00174DE7" w14:paraId="06CF6FDB" w14:textId="77777777" w:rsidTr="0086173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1AA28B" w14:textId="77777777" w:rsidR="00564259" w:rsidRPr="00174DE7" w:rsidRDefault="00564259" w:rsidP="0086173D">
            <w:pPr>
              <w:rPr>
                <w:b/>
              </w:rPr>
            </w:pPr>
            <w:r w:rsidRPr="00174DE7">
              <w:rPr>
                <w:b/>
                <w:color w:val="000000"/>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7DA8FE8" w14:textId="77777777" w:rsidR="00564259" w:rsidRPr="00174DE7" w:rsidRDefault="00564259" w:rsidP="0086173D">
            <w:pPr>
              <w:snapToGrid w:val="0"/>
              <w:ind w:left="49"/>
              <w:rPr>
                <w:rFonts w:cs="Arial"/>
              </w:rPr>
            </w:pPr>
            <w:r w:rsidRPr="00174DE7">
              <w:rPr>
                <w:rFonts w:cs="Arial"/>
              </w:rPr>
              <w:t>8 – Wood preservatives</w:t>
            </w:r>
          </w:p>
        </w:tc>
      </w:tr>
      <w:tr w:rsidR="00564259" w:rsidRPr="00174DE7" w14:paraId="79CD2F2D"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02DD5A" w14:textId="77777777" w:rsidR="00564259" w:rsidRPr="00174DE7" w:rsidRDefault="00564259" w:rsidP="0086173D">
            <w:pPr>
              <w:rPr>
                <w:b/>
              </w:rPr>
            </w:pPr>
            <w:r w:rsidRPr="00174DE7">
              <w:rPr>
                <w:b/>
                <w:color w:val="000000"/>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BF2B9C3" w14:textId="77777777" w:rsidR="00564259" w:rsidRPr="00174DE7" w:rsidRDefault="00564259" w:rsidP="0086173D">
            <w:pPr>
              <w:snapToGrid w:val="0"/>
              <w:ind w:left="49"/>
              <w:rPr>
                <w:rFonts w:cs="Arial"/>
              </w:rPr>
            </w:pPr>
            <w:r w:rsidRPr="00174DE7">
              <w:rPr>
                <w:rFonts w:cs="Arial"/>
              </w:rPr>
              <w:t xml:space="preserve">Preventive treatment for wood </w:t>
            </w:r>
            <w:r>
              <w:rPr>
                <w:rFonts w:cs="Arial"/>
              </w:rPr>
              <w:t>in</w:t>
            </w:r>
            <w:r w:rsidRPr="00174DE7">
              <w:rPr>
                <w:rFonts w:cs="Arial"/>
              </w:rPr>
              <w:t xml:space="preserve"> use </w:t>
            </w:r>
            <w:r w:rsidRPr="0021636F">
              <w:rPr>
                <w:rFonts w:cs="Arial"/>
              </w:rPr>
              <w:t>class 1</w:t>
            </w:r>
            <w:r w:rsidRPr="00174DE7">
              <w:rPr>
                <w:rFonts w:cs="Arial"/>
              </w:rPr>
              <w:t xml:space="preserve"> </w:t>
            </w:r>
          </w:p>
        </w:tc>
      </w:tr>
      <w:tr w:rsidR="00564259" w:rsidRPr="00174DE7" w14:paraId="4D4621BB"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97BA2C" w14:textId="77777777" w:rsidR="00564259" w:rsidRPr="00174DE7" w:rsidRDefault="00564259" w:rsidP="0086173D">
            <w:pPr>
              <w:rPr>
                <w:b/>
              </w:rPr>
            </w:pPr>
            <w:r w:rsidRPr="00174DE7">
              <w:rPr>
                <w:b/>
                <w:color w:val="000000"/>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CE0853" w14:textId="77777777" w:rsidR="00564259" w:rsidRPr="00174DE7" w:rsidRDefault="00564259" w:rsidP="0086173D">
            <w:pPr>
              <w:ind w:left="49"/>
              <w:rPr>
                <w:rFonts w:eastAsia="Calibri" w:cs="Arial"/>
                <w:bCs/>
                <w:lang w:eastAsia="sv-SE"/>
              </w:rPr>
            </w:pPr>
            <w:r w:rsidRPr="00174DE7">
              <w:rPr>
                <w:rFonts w:eastAsia="Calibri" w:cs="Arial"/>
                <w:lang w:eastAsia="fr-FR"/>
              </w:rPr>
              <w:t>Wood boring insects</w:t>
            </w:r>
          </w:p>
          <w:p w14:paraId="1D21FF91" w14:textId="77777777" w:rsidR="00564259" w:rsidRPr="00174DE7" w:rsidRDefault="00564259" w:rsidP="0086173D">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House longhorn beetle</w:t>
            </w:r>
            <w:r w:rsidRPr="00174DE7">
              <w:rPr>
                <w:rFonts w:eastAsia="Calibri" w:cs="Arial"/>
                <w:lang w:eastAsia="sv-SE"/>
              </w:rPr>
              <w:t xml:space="preserve"> (</w:t>
            </w:r>
            <w:r w:rsidRPr="00174DE7">
              <w:rPr>
                <w:rFonts w:eastAsia="Calibri" w:cs="Arial"/>
                <w:i/>
                <w:lang w:eastAsia="sv-SE"/>
              </w:rPr>
              <w:t>Hylotrupes bajulus</w:t>
            </w:r>
            <w:r w:rsidRPr="00174DE7">
              <w:rPr>
                <w:rFonts w:eastAsia="Calibri" w:cs="Arial"/>
                <w:lang w:eastAsia="sv-SE"/>
              </w:rPr>
              <w:t>)</w:t>
            </w:r>
          </w:p>
          <w:p w14:paraId="3C5625FB" w14:textId="77777777" w:rsidR="00564259" w:rsidRPr="00174DE7" w:rsidRDefault="00564259" w:rsidP="0086173D">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 xml:space="preserve">Common furniture beetle </w:t>
            </w:r>
            <w:r w:rsidRPr="00174DE7">
              <w:rPr>
                <w:rFonts w:eastAsia="Calibri" w:cs="Arial"/>
                <w:lang w:eastAsia="sv-SE"/>
              </w:rPr>
              <w:t>(</w:t>
            </w:r>
            <w:r w:rsidRPr="00174DE7">
              <w:rPr>
                <w:rFonts w:eastAsia="Calibri" w:cs="Arial"/>
                <w:i/>
                <w:lang w:eastAsia="sv-SE"/>
              </w:rPr>
              <w:t>Anobium punctatum</w:t>
            </w:r>
            <w:r w:rsidRPr="00174DE7">
              <w:rPr>
                <w:rFonts w:eastAsia="Calibri" w:cs="Arial"/>
                <w:lang w:eastAsia="sv-SE"/>
              </w:rPr>
              <w:t xml:space="preserve">) </w:t>
            </w:r>
          </w:p>
          <w:p w14:paraId="4FFBF2E3" w14:textId="77777777" w:rsidR="00564259" w:rsidRPr="00174DE7" w:rsidRDefault="00564259" w:rsidP="0086173D">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Powder post beetles</w:t>
            </w:r>
            <w:r w:rsidRPr="00174DE7">
              <w:rPr>
                <w:rFonts w:eastAsia="Calibri" w:cs="Arial"/>
                <w:lang w:eastAsia="sv-SE"/>
              </w:rPr>
              <w:t xml:space="preserve"> (</w:t>
            </w:r>
            <w:r w:rsidRPr="00174DE7">
              <w:rPr>
                <w:rFonts w:eastAsia="Calibri" w:cs="Arial"/>
                <w:i/>
                <w:lang w:eastAsia="sv-SE"/>
              </w:rPr>
              <w:t>Lyctus brunneus</w:t>
            </w:r>
            <w:r w:rsidRPr="00174DE7">
              <w:rPr>
                <w:rFonts w:eastAsia="Calibri" w:cs="Arial"/>
                <w:lang w:eastAsia="sv-SE"/>
              </w:rPr>
              <w:t>)</w:t>
            </w:r>
          </w:p>
          <w:p w14:paraId="0FA1CD1A" w14:textId="77777777" w:rsidR="00564259" w:rsidRPr="00174DE7" w:rsidRDefault="00564259" w:rsidP="0086173D">
            <w:pPr>
              <w:spacing w:before="200"/>
            </w:pPr>
            <w:r w:rsidRPr="00174DE7">
              <w:rPr>
                <w:rFonts w:eastAsia="Calibri" w:cs="Arial"/>
                <w:lang w:eastAsia="sv-SE"/>
              </w:rPr>
              <w:t>Termites (</w:t>
            </w:r>
            <w:r w:rsidRPr="00174DE7">
              <w:rPr>
                <w:rFonts w:eastAsia="Calibri" w:cs="Arial"/>
                <w:i/>
                <w:lang w:eastAsia="sv-SE"/>
              </w:rPr>
              <w:t>Reticulitermes spp.</w:t>
            </w:r>
            <w:r w:rsidRPr="00174DE7">
              <w:rPr>
                <w:rFonts w:eastAsia="Calibri" w:cs="Arial"/>
                <w:lang w:eastAsia="sv-SE"/>
              </w:rPr>
              <w:t>)</w:t>
            </w:r>
          </w:p>
        </w:tc>
      </w:tr>
      <w:tr w:rsidR="00564259" w:rsidRPr="00174DE7" w14:paraId="31D0673B"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88E11F" w14:textId="77777777" w:rsidR="00564259" w:rsidRPr="00174DE7" w:rsidRDefault="00564259" w:rsidP="0086173D">
            <w:pPr>
              <w:rPr>
                <w:b/>
              </w:rPr>
            </w:pPr>
            <w:r w:rsidRPr="00174DE7">
              <w:rPr>
                <w:b/>
                <w:color w:val="000000"/>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31221A" w14:textId="77777777" w:rsidR="00564259" w:rsidRDefault="00564259" w:rsidP="0086173D">
            <w:pPr>
              <w:rPr>
                <w:rFonts w:cs="Arial"/>
              </w:rPr>
            </w:pPr>
            <w:r w:rsidRPr="00174DE7">
              <w:rPr>
                <w:rFonts w:cs="Arial"/>
              </w:rPr>
              <w:t xml:space="preserve">Preventive treatment for wood </w:t>
            </w:r>
            <w:r>
              <w:rPr>
                <w:rFonts w:cs="Arial"/>
              </w:rPr>
              <w:t>i</w:t>
            </w:r>
            <w:r w:rsidRPr="00174DE7">
              <w:rPr>
                <w:rFonts w:cs="Arial"/>
              </w:rPr>
              <w:t xml:space="preserve">n use class 1 </w:t>
            </w:r>
          </w:p>
          <w:p w14:paraId="23F60FFF" w14:textId="5CEC1EA8" w:rsidR="00564259" w:rsidRPr="00174DE7" w:rsidRDefault="00E522F0" w:rsidP="0086173D">
            <w:r>
              <w:rPr>
                <w:rFonts w:cs="Arial"/>
              </w:rPr>
              <w:t>Softwood and hardwood</w:t>
            </w:r>
          </w:p>
        </w:tc>
      </w:tr>
      <w:tr w:rsidR="00564259" w:rsidRPr="00174DE7" w14:paraId="09D89144"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1501C0" w14:textId="77777777" w:rsidR="00564259" w:rsidRPr="00174DE7" w:rsidRDefault="00564259" w:rsidP="0086173D">
            <w:pPr>
              <w:rPr>
                <w:b/>
              </w:rPr>
            </w:pPr>
            <w:r w:rsidRPr="00174DE7">
              <w:rPr>
                <w:b/>
                <w:color w:val="000000"/>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F0E8E1" w14:textId="77777777" w:rsidR="00564259" w:rsidRPr="00174DE7" w:rsidRDefault="00564259" w:rsidP="0086173D">
            <w:r w:rsidRPr="00174DE7">
              <w:t>Superficial application / brush / roller /pad treatment</w:t>
            </w:r>
          </w:p>
          <w:p w14:paraId="7023008A" w14:textId="77777777" w:rsidR="00564259" w:rsidRPr="00174DE7" w:rsidRDefault="00564259" w:rsidP="0086173D">
            <w:r w:rsidRPr="00174DE7">
              <w:rPr>
                <w:rFonts w:cs="Arial"/>
              </w:rPr>
              <w:t>Superficial application / spray treatment</w:t>
            </w:r>
          </w:p>
        </w:tc>
      </w:tr>
      <w:tr w:rsidR="00564259" w:rsidRPr="00174DE7" w14:paraId="0742F5A0"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499D2B" w14:textId="77777777" w:rsidR="00564259" w:rsidRPr="00174DE7" w:rsidRDefault="00564259" w:rsidP="0086173D">
            <w:pPr>
              <w:rPr>
                <w:b/>
              </w:rPr>
            </w:pPr>
            <w:r w:rsidRPr="00174DE7">
              <w:rPr>
                <w:b/>
                <w:color w:val="000000"/>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1F4EB1" w14:textId="77777777" w:rsidR="00564259" w:rsidRPr="00174DE7" w:rsidRDefault="00564259" w:rsidP="0086173D">
            <w:r w:rsidRPr="00174DE7">
              <w:t>The product is ready to use</w:t>
            </w:r>
          </w:p>
          <w:p w14:paraId="771AAE7E" w14:textId="77777777" w:rsidR="00564259" w:rsidRPr="00174DE7" w:rsidRDefault="00564259" w:rsidP="0086173D"/>
          <w:p w14:paraId="55A521F1" w14:textId="77777777" w:rsidR="00564259" w:rsidRPr="00174DE7" w:rsidRDefault="00564259" w:rsidP="0086173D">
            <w:r w:rsidRPr="00174DE7">
              <w:t xml:space="preserve">The </w:t>
            </w:r>
            <w:r>
              <w:t>product</w:t>
            </w:r>
            <w:r w:rsidRPr="00174DE7">
              <w:t xml:space="preserve"> is </w:t>
            </w:r>
            <w:r>
              <w:t>applied</w:t>
            </w:r>
            <w:r w:rsidRPr="00174DE7">
              <w:t xml:space="preserve"> by </w:t>
            </w:r>
            <w:r>
              <w:t>superficial</w:t>
            </w:r>
            <w:r w:rsidRPr="00174DE7">
              <w:t xml:space="preserve"> application</w:t>
            </w:r>
            <w:r>
              <w:t>, t</w:t>
            </w:r>
            <w:r w:rsidRPr="00174DE7">
              <w:t xml:space="preserve">he application rate is </w:t>
            </w:r>
          </w:p>
          <w:p w14:paraId="3B13F24B" w14:textId="77777777" w:rsidR="00564259" w:rsidRPr="00174DE7" w:rsidRDefault="00564259" w:rsidP="0086173D">
            <w:pPr>
              <w:pStyle w:val="Paragraphedeliste"/>
              <w:widowControl w:val="0"/>
              <w:numPr>
                <w:ilvl w:val="0"/>
                <w:numId w:val="29"/>
              </w:numPr>
              <w:suppressAutoHyphens w:val="0"/>
              <w:autoSpaceDE w:val="0"/>
              <w:autoSpaceDN w:val="0"/>
              <w:adjustRightInd w:val="0"/>
              <w:contextualSpacing/>
              <w:jc w:val="left"/>
            </w:pPr>
            <w:r w:rsidRPr="00174DE7">
              <w:t>CU1: 200 g of product /m²</w:t>
            </w:r>
          </w:p>
        </w:tc>
      </w:tr>
      <w:tr w:rsidR="00564259" w:rsidRPr="00174DE7" w14:paraId="47DB8202"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D5AE74" w14:textId="77777777" w:rsidR="00564259" w:rsidRPr="00174DE7" w:rsidRDefault="00564259" w:rsidP="0086173D">
            <w:pPr>
              <w:rPr>
                <w:b/>
              </w:rPr>
            </w:pPr>
            <w:r w:rsidRPr="00174DE7">
              <w:rPr>
                <w:b/>
                <w:color w:val="000000"/>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6925BE0" w14:textId="4AB8B1C9" w:rsidR="00564259" w:rsidRPr="00174DE7" w:rsidRDefault="004C6D1B" w:rsidP="0086173D">
            <w:r>
              <w:t>N</w:t>
            </w:r>
            <w:r w:rsidR="00564259" w:rsidRPr="00174DE7">
              <w:t>on-professional</w:t>
            </w:r>
          </w:p>
        </w:tc>
      </w:tr>
      <w:tr w:rsidR="00564259" w:rsidRPr="00174DE7" w14:paraId="379FC578"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175434" w14:textId="77777777" w:rsidR="00564259" w:rsidRPr="00174DE7" w:rsidRDefault="00564259" w:rsidP="0086173D">
            <w:pPr>
              <w:rPr>
                <w:b/>
              </w:rPr>
            </w:pPr>
            <w:r w:rsidRPr="00174DE7">
              <w:rPr>
                <w:b/>
                <w:color w:val="000000"/>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90621AF" w14:textId="77777777" w:rsidR="00564259" w:rsidRPr="006128DA" w:rsidRDefault="00564259" w:rsidP="0086173D">
            <w:pPr>
              <w:rPr>
                <w:rFonts w:cs="Arial"/>
                <w:bCs/>
              </w:rPr>
            </w:pPr>
            <w:r w:rsidRPr="005F29A1">
              <w:rPr>
                <w:rFonts w:cs="Arial"/>
                <w:bCs/>
              </w:rPr>
              <w:t>Can /Tin, Metal: , 0.75, 1, 2.5, 5, 25, 30, 55, 200 L</w:t>
            </w:r>
          </w:p>
          <w:p w14:paraId="5B472BC3" w14:textId="77777777" w:rsidR="00564259" w:rsidRPr="006128DA" w:rsidRDefault="00564259" w:rsidP="0086173D">
            <w:pPr>
              <w:rPr>
                <w:rFonts w:cs="Arial"/>
                <w:bCs/>
              </w:rPr>
            </w:pPr>
            <w:r w:rsidRPr="006128DA">
              <w:rPr>
                <w:rFonts w:cs="Arial"/>
                <w:bCs/>
              </w:rPr>
              <w:t>IBC (intermediate bulk container), Plastic: HDPE , 1000 L</w:t>
            </w:r>
          </w:p>
          <w:p w14:paraId="5466B4FA" w14:textId="77777777" w:rsidR="00564259" w:rsidRPr="006128DA" w:rsidRDefault="00564259" w:rsidP="0086173D">
            <w:pPr>
              <w:rPr>
                <w:rFonts w:cs="Arial"/>
                <w:bCs/>
              </w:rPr>
            </w:pPr>
            <w:r w:rsidRPr="006128DA">
              <w:rPr>
                <w:rFonts w:cs="Arial"/>
                <w:bCs/>
              </w:rPr>
              <w:t>The 30 L can is internally coated with an epoxyphenolic lacquer.</w:t>
            </w:r>
          </w:p>
          <w:p w14:paraId="0339AC32" w14:textId="77777777" w:rsidR="00564259" w:rsidRPr="006128DA" w:rsidRDefault="00564259" w:rsidP="0086173D">
            <w:pPr>
              <w:rPr>
                <w:rFonts w:cs="Arial"/>
                <w:bCs/>
              </w:rPr>
            </w:pPr>
          </w:p>
          <w:p w14:paraId="5A0D7AFD" w14:textId="4D5AFE8B" w:rsidR="00564259" w:rsidRDefault="00564259" w:rsidP="0086173D">
            <w:pPr>
              <w:rPr>
                <w:rFonts w:cs="Arial"/>
                <w:bCs/>
              </w:rPr>
            </w:pPr>
            <w:r w:rsidRPr="006128DA">
              <w:rPr>
                <w:rFonts w:cs="Arial"/>
                <w:bCs/>
              </w:rPr>
              <w:t>Tin-plate can up to 30 L for non-professional users.</w:t>
            </w:r>
          </w:p>
          <w:p w14:paraId="36E408B7" w14:textId="77777777" w:rsidR="004C6D1B" w:rsidRPr="00944F5E" w:rsidRDefault="004C6D1B" w:rsidP="0086173D">
            <w:pPr>
              <w:rPr>
                <w:rFonts w:cs="Arial"/>
                <w:bCs/>
              </w:rPr>
            </w:pPr>
          </w:p>
          <w:p w14:paraId="52343345" w14:textId="77777777" w:rsidR="00564259" w:rsidRPr="00174DE7" w:rsidRDefault="00564259" w:rsidP="0086173D">
            <w:r w:rsidRPr="002A77D8">
              <w:rPr>
                <w:rFonts w:cs="Arial"/>
                <w:bCs/>
              </w:rPr>
              <w:t>Packagings for non-professional users are hermetically closed with a cap and fitted with a child-resistant fastening and a tactile warning of danger</w:t>
            </w:r>
          </w:p>
        </w:tc>
      </w:tr>
    </w:tbl>
    <w:p w14:paraId="0767598D" w14:textId="77777777" w:rsidR="00564259" w:rsidRDefault="00564259" w:rsidP="00564259">
      <w:pPr>
        <w:keepNext/>
        <w:widowControl w:val="0"/>
        <w:autoSpaceDE w:val="0"/>
        <w:spacing w:after="120"/>
        <w:rPr>
          <w:b/>
          <w:bCs/>
          <w:i/>
          <w:iCs/>
        </w:rPr>
      </w:pPr>
    </w:p>
    <w:p w14:paraId="22E3183E" w14:textId="77777777" w:rsidR="00564259" w:rsidRDefault="00564259" w:rsidP="00564259">
      <w:pPr>
        <w:pStyle w:val="Titre4"/>
        <w:rPr>
          <w:rFonts w:cs="Times"/>
          <w:bCs/>
          <w:szCs w:val="29"/>
        </w:rPr>
      </w:pPr>
      <w:bookmarkStart w:id="41" w:name="_Toc536627266"/>
      <w:r>
        <w:t>Use-specific instructions for use</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564259" w14:paraId="2D7010E5"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D25C7D4" w14:textId="77777777" w:rsidR="00564259" w:rsidRDefault="00564259" w:rsidP="0086173D">
            <w:pPr>
              <w:widowControl w:val="0"/>
              <w:autoSpaceDE w:val="0"/>
              <w:snapToGrid w:val="0"/>
              <w:spacing w:before="80"/>
              <w:rPr>
                <w:rFonts w:cs="Times"/>
                <w:bCs/>
                <w:szCs w:val="29"/>
              </w:rPr>
            </w:pPr>
          </w:p>
        </w:tc>
      </w:tr>
    </w:tbl>
    <w:p w14:paraId="3F44E4DA" w14:textId="77777777" w:rsidR="00564259" w:rsidRDefault="00564259" w:rsidP="00564259">
      <w:pPr>
        <w:keepNext/>
        <w:widowControl w:val="0"/>
        <w:autoSpaceDE w:val="0"/>
        <w:spacing w:after="120"/>
        <w:rPr>
          <w:rFonts w:eastAsia="Calibri"/>
          <w:b/>
          <w:i/>
          <w:caps/>
          <w:sz w:val="22"/>
          <w:szCs w:val="22"/>
          <w:lang w:val="de-DE" w:eastAsia="en-US"/>
        </w:rPr>
      </w:pPr>
    </w:p>
    <w:p w14:paraId="510C59DC" w14:textId="77777777" w:rsidR="00564259" w:rsidRDefault="00564259" w:rsidP="00564259">
      <w:pPr>
        <w:pStyle w:val="Titre4"/>
        <w:rPr>
          <w:rFonts w:cs="Times"/>
          <w:bCs/>
          <w:szCs w:val="29"/>
        </w:rPr>
      </w:pPr>
      <w:bookmarkStart w:id="42" w:name="_Toc536627267"/>
      <w:r>
        <w:t>Use-specific risk mitigation measures</w:t>
      </w:r>
      <w:bookmarkEnd w:id="42"/>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564259" w14:paraId="03AC7303"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DFFA6BC" w14:textId="1C868C78" w:rsidR="00564259" w:rsidRDefault="00564259" w:rsidP="0086173D">
            <w:pPr>
              <w:widowControl w:val="0"/>
              <w:autoSpaceDE w:val="0"/>
              <w:snapToGrid w:val="0"/>
              <w:spacing w:before="80"/>
              <w:rPr>
                <w:rFonts w:cs="Times"/>
                <w:bCs/>
                <w:szCs w:val="29"/>
              </w:rPr>
            </w:pPr>
            <w:r w:rsidRPr="001716D1">
              <w:rPr>
                <w:rFonts w:eastAsia="Calibri" w:cs="Arial"/>
                <w:szCs w:val="22"/>
                <w:lang w:val="en-US" w:eastAsia="sv-SE"/>
              </w:rPr>
              <w:t xml:space="preserve"> </w:t>
            </w:r>
          </w:p>
        </w:tc>
      </w:tr>
    </w:tbl>
    <w:p w14:paraId="09C4DF2F" w14:textId="77777777" w:rsidR="00564259" w:rsidRPr="00EC0D24" w:rsidRDefault="00564259" w:rsidP="00564259">
      <w:pPr>
        <w:keepNext/>
        <w:widowControl w:val="0"/>
        <w:autoSpaceDE w:val="0"/>
        <w:spacing w:after="120"/>
        <w:rPr>
          <w:rFonts w:eastAsia="Calibri"/>
          <w:b/>
          <w:i/>
          <w:caps/>
          <w:sz w:val="22"/>
          <w:szCs w:val="22"/>
          <w:lang w:val="de-DE" w:eastAsia="en-US"/>
        </w:rPr>
      </w:pPr>
    </w:p>
    <w:p w14:paraId="60B2BE2D" w14:textId="77777777" w:rsidR="00564259" w:rsidRPr="00EC0D24" w:rsidRDefault="00564259" w:rsidP="00564259">
      <w:pPr>
        <w:pStyle w:val="Titre4"/>
        <w:rPr>
          <w:rFonts w:cs="Times"/>
          <w:bCs/>
          <w:szCs w:val="29"/>
        </w:rPr>
      </w:pPr>
      <w:bookmarkStart w:id="43" w:name="_Toc536627268"/>
      <w:r w:rsidRPr="00EC0D24">
        <w:t>Where specific to the use, the particulars of likely direct or indirect effects, first aid instructions and emergency measures to protect the environment</w:t>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564259" w14:paraId="01E60081"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436B5B7" w14:textId="77777777" w:rsidR="00564259" w:rsidRDefault="00564259" w:rsidP="0086173D">
            <w:pPr>
              <w:widowControl w:val="0"/>
              <w:autoSpaceDE w:val="0"/>
              <w:snapToGrid w:val="0"/>
              <w:spacing w:before="80"/>
              <w:rPr>
                <w:rFonts w:cs="Times"/>
                <w:bCs/>
                <w:szCs w:val="29"/>
              </w:rPr>
            </w:pPr>
          </w:p>
        </w:tc>
      </w:tr>
    </w:tbl>
    <w:p w14:paraId="6FAE123A" w14:textId="77777777" w:rsidR="00564259" w:rsidRPr="00EC0D24" w:rsidRDefault="00564259" w:rsidP="00564259">
      <w:pPr>
        <w:pStyle w:val="Titre4"/>
        <w:rPr>
          <w:rFonts w:cs="Times"/>
          <w:bCs/>
          <w:szCs w:val="29"/>
        </w:rPr>
      </w:pPr>
      <w:bookmarkStart w:id="44" w:name="_Toc536627269"/>
      <w:r w:rsidRPr="00EC0D24">
        <w:t>Where specific to the use, the instructions for safe disposal of the product and its packaging</w:t>
      </w:r>
      <w:bookmarkEnd w:id="44"/>
      <w:r w:rsidRPr="00EC0D24">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564259" w14:paraId="49D904D4"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3FE3236" w14:textId="77777777" w:rsidR="00564259" w:rsidRDefault="00564259" w:rsidP="0086173D">
            <w:pPr>
              <w:widowControl w:val="0"/>
              <w:autoSpaceDE w:val="0"/>
              <w:snapToGrid w:val="0"/>
              <w:spacing w:before="80"/>
              <w:rPr>
                <w:rFonts w:cs="Times"/>
                <w:bCs/>
                <w:szCs w:val="29"/>
              </w:rPr>
            </w:pPr>
          </w:p>
        </w:tc>
      </w:tr>
    </w:tbl>
    <w:p w14:paraId="259B103C" w14:textId="77777777" w:rsidR="00564259" w:rsidRDefault="00564259" w:rsidP="00564259">
      <w:pPr>
        <w:widowControl w:val="0"/>
        <w:autoSpaceDE w:val="0"/>
        <w:rPr>
          <w:rFonts w:cs="Times"/>
          <w:bCs/>
          <w:szCs w:val="29"/>
        </w:rPr>
      </w:pPr>
    </w:p>
    <w:p w14:paraId="48CA91C2" w14:textId="77777777" w:rsidR="00564259" w:rsidRPr="00943FA9" w:rsidRDefault="00564259" w:rsidP="00564259">
      <w:pPr>
        <w:pStyle w:val="Titre4"/>
        <w:rPr>
          <w:rFonts w:cs="Times"/>
          <w:bCs/>
          <w:szCs w:val="29"/>
          <w:lang w:val="en-US"/>
        </w:rPr>
      </w:pPr>
      <w:bookmarkStart w:id="45" w:name="_Toc536627270"/>
      <w:r w:rsidRPr="00943FA9">
        <w:rPr>
          <w:lang w:val="en-US"/>
        </w:rPr>
        <w:t>Where specific to the use, the conditions of storage and shelf-life of the product under normal conditions of storage</w:t>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564259" w14:paraId="1401BAC9"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E468FA7" w14:textId="77777777" w:rsidR="00564259" w:rsidRDefault="00564259" w:rsidP="0086173D">
            <w:pPr>
              <w:widowControl w:val="0"/>
              <w:autoSpaceDE w:val="0"/>
              <w:snapToGrid w:val="0"/>
              <w:spacing w:before="80"/>
              <w:rPr>
                <w:rFonts w:cs="Times"/>
                <w:bCs/>
                <w:szCs w:val="29"/>
              </w:rPr>
            </w:pPr>
          </w:p>
        </w:tc>
      </w:tr>
    </w:tbl>
    <w:p w14:paraId="6AA56DA9" w14:textId="77777777" w:rsidR="00564259" w:rsidRDefault="00564259">
      <w:pPr>
        <w:widowControl w:val="0"/>
        <w:autoSpaceDE w:val="0"/>
        <w:rPr>
          <w:rFonts w:cs="Times"/>
          <w:bCs/>
          <w:szCs w:val="29"/>
        </w:rPr>
      </w:pPr>
    </w:p>
    <w:p w14:paraId="7579467D" w14:textId="5E83D337" w:rsidR="002771BE" w:rsidRDefault="002771BE" w:rsidP="002771BE">
      <w:pPr>
        <w:pStyle w:val="Titre4"/>
      </w:pPr>
      <w:bookmarkStart w:id="46" w:name="_Toc536627271"/>
      <w:r>
        <w:t>Use description</w:t>
      </w:r>
      <w:bookmarkEnd w:id="46"/>
    </w:p>
    <w:p w14:paraId="6BD660D2" w14:textId="1059FEBF" w:rsidR="00174DE7" w:rsidRPr="00174DE7" w:rsidRDefault="00174DE7" w:rsidP="00174DE7">
      <w:pPr>
        <w:pStyle w:val="Lgende"/>
        <w:spacing w:after="120"/>
        <w:rPr>
          <w:rFonts w:ascii="Verdana" w:hAnsi="Verdana"/>
        </w:rPr>
      </w:pPr>
      <w:r w:rsidRPr="00174DE7">
        <w:rPr>
          <w:rFonts w:ascii="Verdana" w:hAnsi="Verdana"/>
        </w:rPr>
        <w:t xml:space="preserve">Use # </w:t>
      </w:r>
      <w:r w:rsidR="0086173D">
        <w:rPr>
          <w:rFonts w:ascii="Verdana" w:hAnsi="Verdana"/>
        </w:rPr>
        <w:t>3</w:t>
      </w:r>
      <w:r w:rsidRPr="00174DE7">
        <w:rPr>
          <w:rFonts w:ascii="Verdana" w:hAnsi="Verdana"/>
        </w:rPr>
        <w:t xml:space="preserve"> – curative treatment for wood in service</w:t>
      </w:r>
      <w:r w:rsidR="0086173D">
        <w:rPr>
          <w:rFonts w:ascii="Verdana" w:hAnsi="Verdana"/>
        </w:rPr>
        <w:t xml:space="preserve"> - Professional</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74DE7" w:rsidRPr="00174DE7" w14:paraId="3A49BAC8" w14:textId="77777777" w:rsidTr="00B21D4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E07C55" w14:textId="77777777" w:rsidR="00174DE7" w:rsidRPr="00174DE7" w:rsidRDefault="00174DE7" w:rsidP="00B21D4B">
            <w:pPr>
              <w:rPr>
                <w:b/>
              </w:rPr>
            </w:pPr>
            <w:r w:rsidRPr="00174DE7">
              <w:rPr>
                <w:b/>
                <w:color w:val="000000"/>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F0E7FCE" w14:textId="77777777" w:rsidR="00174DE7" w:rsidRPr="00174DE7" w:rsidRDefault="00174DE7" w:rsidP="00B21D4B">
            <w:r w:rsidRPr="00174DE7">
              <w:t>8</w:t>
            </w:r>
          </w:p>
        </w:tc>
      </w:tr>
      <w:tr w:rsidR="00174DE7" w:rsidRPr="00174DE7" w14:paraId="30F724F7"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8F664B" w14:textId="77777777" w:rsidR="00174DE7" w:rsidRPr="00174DE7" w:rsidRDefault="00174DE7" w:rsidP="00B21D4B">
            <w:pPr>
              <w:rPr>
                <w:b/>
              </w:rPr>
            </w:pPr>
            <w:r w:rsidRPr="00174DE7">
              <w:rPr>
                <w:b/>
                <w:color w:val="000000"/>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542AB4" w14:textId="77777777" w:rsidR="00174DE7" w:rsidRPr="00174DE7" w:rsidRDefault="00174DE7" w:rsidP="00B21D4B">
            <w:r w:rsidRPr="00174DE7">
              <w:rPr>
                <w:rFonts w:cs="Arial"/>
              </w:rPr>
              <w:t>Curative treatment for wood in service</w:t>
            </w:r>
          </w:p>
        </w:tc>
      </w:tr>
      <w:tr w:rsidR="00174DE7" w:rsidRPr="00174DE7" w14:paraId="411DFA2C"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51EEF3" w14:textId="77777777" w:rsidR="00174DE7" w:rsidRPr="00174DE7" w:rsidRDefault="00174DE7" w:rsidP="00B21D4B">
            <w:pPr>
              <w:rPr>
                <w:b/>
              </w:rPr>
            </w:pPr>
            <w:r w:rsidRPr="00174DE7">
              <w:rPr>
                <w:b/>
                <w:color w:val="000000"/>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48A43D" w14:textId="77777777" w:rsidR="00174DE7" w:rsidRPr="00174DE7" w:rsidRDefault="00174DE7" w:rsidP="00B21D4B">
            <w:pPr>
              <w:ind w:left="49"/>
              <w:rPr>
                <w:rFonts w:eastAsia="Calibri" w:cs="Arial"/>
                <w:bCs/>
                <w:lang w:val="sv-SE" w:eastAsia="sv-SE"/>
              </w:rPr>
            </w:pPr>
            <w:r w:rsidRPr="00174DE7">
              <w:rPr>
                <w:rFonts w:eastAsia="Calibri" w:cs="Arial"/>
                <w:lang w:val="en-US" w:eastAsia="fr-FR"/>
              </w:rPr>
              <w:t>Wood boring insects</w:t>
            </w:r>
          </w:p>
          <w:p w14:paraId="4BD18855"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House longhorn beetle</w:t>
            </w:r>
            <w:r w:rsidRPr="00174DE7">
              <w:rPr>
                <w:rFonts w:eastAsia="Calibri" w:cs="Arial"/>
                <w:lang w:val="en-US" w:eastAsia="sv-SE"/>
              </w:rPr>
              <w:t xml:space="preserve"> (</w:t>
            </w:r>
            <w:r w:rsidRPr="00174DE7">
              <w:rPr>
                <w:rFonts w:eastAsia="Calibri" w:cs="Arial"/>
                <w:i/>
                <w:lang w:val="en-US" w:eastAsia="sv-SE"/>
              </w:rPr>
              <w:t>Hylotrupes bajulus</w:t>
            </w:r>
            <w:r w:rsidRPr="00174DE7">
              <w:rPr>
                <w:rFonts w:eastAsia="Calibri" w:cs="Arial"/>
                <w:lang w:val="en-US" w:eastAsia="sv-SE"/>
              </w:rPr>
              <w:t>)</w:t>
            </w:r>
          </w:p>
          <w:p w14:paraId="40680C5B"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 xml:space="preserve">Common furniture beetle </w:t>
            </w:r>
            <w:r w:rsidRPr="00174DE7">
              <w:rPr>
                <w:rFonts w:eastAsia="Calibri" w:cs="Arial"/>
                <w:lang w:val="en-US" w:eastAsia="sv-SE"/>
              </w:rPr>
              <w:t>(</w:t>
            </w:r>
            <w:r w:rsidRPr="00174DE7">
              <w:rPr>
                <w:rFonts w:eastAsia="Calibri" w:cs="Arial"/>
                <w:i/>
                <w:lang w:val="en-US" w:eastAsia="sv-SE"/>
              </w:rPr>
              <w:t>Anobium punctatum</w:t>
            </w:r>
            <w:r w:rsidRPr="00174DE7">
              <w:rPr>
                <w:rFonts w:eastAsia="Calibri" w:cs="Arial"/>
                <w:lang w:val="en-US" w:eastAsia="sv-SE"/>
              </w:rPr>
              <w:t xml:space="preserve">) </w:t>
            </w:r>
          </w:p>
          <w:p w14:paraId="72AED2FA"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Powder post beetles</w:t>
            </w:r>
            <w:r w:rsidRPr="00174DE7">
              <w:rPr>
                <w:rFonts w:eastAsia="Calibri" w:cs="Arial"/>
                <w:lang w:val="en-US" w:eastAsia="sv-SE"/>
              </w:rPr>
              <w:t xml:space="preserve"> (</w:t>
            </w:r>
            <w:r w:rsidRPr="00174DE7">
              <w:rPr>
                <w:rFonts w:eastAsia="Calibri" w:cs="Arial"/>
                <w:i/>
                <w:lang w:val="en-US" w:eastAsia="sv-SE"/>
              </w:rPr>
              <w:t>Lyctus brunneus</w:t>
            </w:r>
            <w:r w:rsidRPr="00174DE7">
              <w:rPr>
                <w:rFonts w:eastAsia="Calibri" w:cs="Arial"/>
                <w:lang w:val="en-US" w:eastAsia="sv-SE"/>
              </w:rPr>
              <w:t>)</w:t>
            </w:r>
          </w:p>
          <w:p w14:paraId="37E0AB72" w14:textId="77777777" w:rsidR="00174DE7" w:rsidRPr="00174DE7" w:rsidRDefault="00174DE7" w:rsidP="00B21D4B">
            <w:pPr>
              <w:spacing w:before="200"/>
              <w:rPr>
                <w:lang w:val="fr-FR"/>
              </w:rPr>
            </w:pPr>
            <w:r w:rsidRPr="00174DE7">
              <w:rPr>
                <w:rFonts w:eastAsia="Calibri" w:cs="Arial"/>
                <w:lang w:val="fr-FR" w:eastAsia="sv-SE"/>
              </w:rPr>
              <w:t>Termites (</w:t>
            </w:r>
            <w:r w:rsidRPr="00174DE7">
              <w:rPr>
                <w:rFonts w:eastAsia="Calibri" w:cs="Arial"/>
                <w:i/>
                <w:lang w:val="fr-FR" w:eastAsia="sv-SE"/>
              </w:rPr>
              <w:t>Reticulitermes spp.</w:t>
            </w:r>
            <w:r w:rsidRPr="00174DE7">
              <w:rPr>
                <w:rFonts w:eastAsia="Calibri" w:cs="Arial"/>
                <w:lang w:val="fr-FR" w:eastAsia="sv-SE"/>
              </w:rPr>
              <w:t>)</w:t>
            </w:r>
          </w:p>
        </w:tc>
      </w:tr>
      <w:tr w:rsidR="00174DE7" w:rsidRPr="00174DE7" w14:paraId="6E955487"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1347F2" w14:textId="77777777" w:rsidR="00174DE7" w:rsidRPr="00174DE7" w:rsidRDefault="00174DE7" w:rsidP="00B21D4B">
            <w:pPr>
              <w:rPr>
                <w:b/>
              </w:rPr>
            </w:pPr>
            <w:r w:rsidRPr="00174DE7">
              <w:rPr>
                <w:b/>
                <w:color w:val="000000"/>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13FC9B7" w14:textId="77777777" w:rsidR="00174DE7" w:rsidRDefault="00174DE7" w:rsidP="000A42B8">
            <w:pPr>
              <w:rPr>
                <w:rFonts w:cs="Arial"/>
              </w:rPr>
            </w:pPr>
            <w:r w:rsidRPr="00174DE7">
              <w:rPr>
                <w:rFonts w:cs="Arial"/>
              </w:rPr>
              <w:t>Curative treatment for wood in service (wood not exposed to weathering and leaching)</w:t>
            </w:r>
          </w:p>
          <w:p w14:paraId="1CBBE037" w14:textId="37B308B9" w:rsidR="00F00B58" w:rsidRPr="00174DE7" w:rsidRDefault="00F00B58" w:rsidP="000A42B8">
            <w:pPr>
              <w:rPr>
                <w:lang w:val="en-US"/>
              </w:rPr>
            </w:pPr>
            <w:r>
              <w:rPr>
                <w:rFonts w:cs="Arial"/>
              </w:rPr>
              <w:t>Softwood and hardwood</w:t>
            </w:r>
          </w:p>
        </w:tc>
      </w:tr>
      <w:tr w:rsidR="00174DE7" w:rsidRPr="00174DE7" w14:paraId="01E3BB95"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D8A1DF" w14:textId="77777777" w:rsidR="00174DE7" w:rsidRPr="00174DE7" w:rsidRDefault="00174DE7" w:rsidP="00B21D4B">
            <w:pPr>
              <w:rPr>
                <w:b/>
              </w:rPr>
            </w:pPr>
            <w:r w:rsidRPr="00174DE7">
              <w:rPr>
                <w:b/>
                <w:color w:val="000000"/>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C6D855" w14:textId="77777777" w:rsidR="00174DE7" w:rsidRPr="00174DE7" w:rsidRDefault="00174DE7" w:rsidP="00B21D4B">
            <w:r w:rsidRPr="00174DE7">
              <w:t>Superficial application / brush / roller /pad treatment</w:t>
            </w:r>
          </w:p>
          <w:p w14:paraId="4D65F325" w14:textId="77777777" w:rsidR="00174DE7" w:rsidRPr="00174DE7" w:rsidRDefault="00174DE7" w:rsidP="00B21D4B">
            <w:pPr>
              <w:rPr>
                <w:rFonts w:cs="Arial"/>
              </w:rPr>
            </w:pPr>
            <w:r w:rsidRPr="00174DE7">
              <w:rPr>
                <w:rFonts w:cs="Arial"/>
              </w:rPr>
              <w:t>Superficial application / spray treatment</w:t>
            </w:r>
          </w:p>
          <w:p w14:paraId="5B2DAA1B" w14:textId="77777777" w:rsidR="00174DE7" w:rsidRPr="00174DE7" w:rsidRDefault="00174DE7" w:rsidP="00B21D4B">
            <w:r w:rsidRPr="00174DE7">
              <w:t>Injection (combinated with a superficial application)</w:t>
            </w:r>
          </w:p>
        </w:tc>
      </w:tr>
      <w:tr w:rsidR="00174DE7" w:rsidRPr="00174DE7" w14:paraId="2360A933"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9FFA94" w14:textId="77777777" w:rsidR="00174DE7" w:rsidRPr="00174DE7" w:rsidRDefault="00174DE7" w:rsidP="00B21D4B">
            <w:pPr>
              <w:rPr>
                <w:b/>
              </w:rPr>
            </w:pPr>
            <w:r w:rsidRPr="00174DE7">
              <w:rPr>
                <w:b/>
                <w:color w:val="000000"/>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5CC321" w14:textId="638E0B1E" w:rsidR="00174DE7" w:rsidRPr="00174DE7" w:rsidRDefault="00174DE7" w:rsidP="00B21D4B">
            <w:pPr>
              <w:ind w:left="83"/>
              <w:rPr>
                <w:rFonts w:eastAsia="Calibri" w:cs="Arial"/>
                <w:bCs/>
                <w:lang w:val="en-US" w:eastAsia="sv-SE"/>
              </w:rPr>
            </w:pPr>
            <w:r w:rsidRPr="00174DE7">
              <w:rPr>
                <w:rFonts w:eastAsia="Calibri" w:cs="Arial"/>
                <w:lang w:val="en-US" w:eastAsia="sv-SE"/>
              </w:rPr>
              <w:t xml:space="preserve">The </w:t>
            </w:r>
            <w:r w:rsidR="00FD4222" w:rsidRPr="00174DE7">
              <w:rPr>
                <w:rFonts w:eastAsia="Calibri" w:cs="Arial"/>
                <w:lang w:val="en-US" w:eastAsia="sv-SE"/>
              </w:rPr>
              <w:t>produ</w:t>
            </w:r>
            <w:r w:rsidR="00FD4222">
              <w:rPr>
                <w:rFonts w:eastAsia="Calibri" w:cs="Arial"/>
                <w:lang w:val="en-US" w:eastAsia="sv-SE"/>
              </w:rPr>
              <w:t>ct</w:t>
            </w:r>
            <w:r w:rsidR="00FD4222" w:rsidRPr="00174DE7">
              <w:rPr>
                <w:rFonts w:eastAsia="Calibri" w:cs="Arial"/>
                <w:lang w:val="en-US" w:eastAsia="sv-SE"/>
              </w:rPr>
              <w:t xml:space="preserve"> </w:t>
            </w:r>
            <w:r w:rsidRPr="00174DE7">
              <w:rPr>
                <w:rFonts w:eastAsia="Calibri" w:cs="Arial"/>
                <w:lang w:val="en-US" w:eastAsia="sv-SE"/>
              </w:rPr>
              <w:t>is ready to use.</w:t>
            </w:r>
          </w:p>
          <w:p w14:paraId="1DB69EC9" w14:textId="77777777" w:rsidR="00174DE7" w:rsidRPr="00174DE7" w:rsidRDefault="00174DE7" w:rsidP="00B21D4B">
            <w:pPr>
              <w:ind w:left="83"/>
              <w:rPr>
                <w:rFonts w:eastAsia="Calibri" w:cs="Arial"/>
                <w:bCs/>
                <w:lang w:val="en-US" w:eastAsia="sv-SE"/>
              </w:rPr>
            </w:pPr>
          </w:p>
          <w:p w14:paraId="5DC2933B" w14:textId="5B4D7722" w:rsidR="00174DE7" w:rsidRPr="00174DE7" w:rsidRDefault="005F619C" w:rsidP="00B21D4B">
            <w:pPr>
              <w:ind w:left="83"/>
              <w:rPr>
                <w:rFonts w:eastAsia="Calibri" w:cs="Arial"/>
                <w:bCs/>
                <w:lang w:val="sv-SE" w:eastAsia="sv-SE"/>
              </w:rPr>
            </w:pPr>
            <w:r>
              <w:rPr>
                <w:rFonts w:eastAsia="Calibri" w:cs="Arial"/>
                <w:lang w:val="en-US" w:eastAsia="sv-SE"/>
              </w:rPr>
              <w:t>For the treatment with a</w:t>
            </w:r>
            <w:r w:rsidR="00174DE7" w:rsidRPr="00174DE7">
              <w:rPr>
                <w:rFonts w:eastAsia="Calibri" w:cs="Arial"/>
                <w:lang w:val="en-US" w:eastAsia="sv-SE"/>
              </w:rPr>
              <w:t xml:space="preserve"> </w:t>
            </w:r>
            <w:r>
              <w:rPr>
                <w:rFonts w:eastAsia="Calibri" w:cs="Arial"/>
                <w:lang w:val="en-US" w:eastAsia="sv-SE"/>
              </w:rPr>
              <w:t xml:space="preserve">superficial application, </w:t>
            </w:r>
            <w:r>
              <w:rPr>
                <w:rFonts w:eastAsia="Calibri" w:cs="Arial"/>
                <w:lang w:val="sv-SE" w:eastAsia="sv-SE"/>
              </w:rPr>
              <w:t>t</w:t>
            </w:r>
            <w:r w:rsidR="00174DE7" w:rsidRPr="00174DE7">
              <w:rPr>
                <w:rFonts w:eastAsia="Calibri" w:cs="Arial"/>
                <w:lang w:val="sv-SE" w:eastAsia="sv-SE"/>
              </w:rPr>
              <w:t xml:space="preserve">he application rate is : </w:t>
            </w:r>
          </w:p>
          <w:p w14:paraId="0C971ECC" w14:textId="77777777" w:rsidR="00174DE7" w:rsidRPr="00174DE7" w:rsidRDefault="00174DE7" w:rsidP="00174DE7">
            <w:pPr>
              <w:numPr>
                <w:ilvl w:val="0"/>
                <w:numId w:val="30"/>
              </w:numPr>
              <w:suppressAutoHyphens w:val="0"/>
              <w:spacing w:line="260" w:lineRule="atLeast"/>
              <w:ind w:left="474" w:hanging="283"/>
              <w:jc w:val="left"/>
              <w:rPr>
                <w:rFonts w:eastAsia="Calibri" w:cs="Arial"/>
                <w:b/>
                <w:bCs/>
                <w:szCs w:val="24"/>
                <w:lang w:val="en-US" w:eastAsia="sv-SE"/>
              </w:rPr>
            </w:pPr>
            <w:r w:rsidRPr="00174DE7">
              <w:rPr>
                <w:rFonts w:eastAsia="Calibri" w:cs="Arial"/>
                <w:lang w:val="en-US" w:eastAsia="sv-SE"/>
              </w:rPr>
              <w:t xml:space="preserve">300 g of product / m² of wood </w:t>
            </w:r>
          </w:p>
          <w:p w14:paraId="1C8532DB" w14:textId="77777777" w:rsidR="00174DE7" w:rsidRPr="00174DE7" w:rsidRDefault="00174DE7" w:rsidP="00B21D4B">
            <w:pPr>
              <w:rPr>
                <w:rFonts w:eastAsia="Calibri" w:cs="Arial"/>
                <w:bCs/>
                <w:lang w:val="en-US" w:eastAsia="sv-SE"/>
              </w:rPr>
            </w:pPr>
          </w:p>
          <w:p w14:paraId="3CFCBE9F" w14:textId="291DF99B" w:rsidR="00174DE7" w:rsidRPr="00174DE7" w:rsidRDefault="00174DE7" w:rsidP="00B21D4B">
            <w:pPr>
              <w:ind w:left="83"/>
              <w:rPr>
                <w:rFonts w:eastAsia="Calibri" w:cs="Arial"/>
                <w:bCs/>
                <w:lang w:val="en-US" w:eastAsia="sv-SE"/>
              </w:rPr>
            </w:pPr>
            <w:r w:rsidRPr="00174DE7">
              <w:rPr>
                <w:rFonts w:eastAsia="Calibri" w:cs="Arial"/>
                <w:lang w:val="en-US" w:eastAsia="sv-SE"/>
              </w:rPr>
              <w:lastRenderedPageBreak/>
              <w:t>When the application is performed by injection (</w:t>
            </w:r>
            <w:r w:rsidR="009B7448">
              <w:rPr>
                <w:rFonts w:eastAsia="Calibri" w:cs="Arial"/>
                <w:lang w:val="en-US" w:eastAsia="sv-SE"/>
              </w:rPr>
              <w:t xml:space="preserve">always </w:t>
            </w:r>
            <w:r w:rsidRPr="00174DE7">
              <w:rPr>
                <w:rFonts w:eastAsia="Calibri" w:cs="Arial"/>
                <w:lang w:val="en-US" w:eastAsia="sv-SE"/>
              </w:rPr>
              <w:t xml:space="preserve">combined with superficial application), the application rate is : </w:t>
            </w:r>
          </w:p>
          <w:p w14:paraId="4729A30B" w14:textId="77777777" w:rsidR="00174DE7" w:rsidRPr="00174DE7" w:rsidRDefault="00174DE7" w:rsidP="00B21D4B">
            <w:pPr>
              <w:rPr>
                <w:lang w:val="en-US"/>
              </w:rPr>
            </w:pPr>
            <w:r w:rsidRPr="00174DE7">
              <w:rPr>
                <w:rFonts w:eastAsia="Calibri" w:cs="Arial"/>
                <w:lang w:val="en-US" w:eastAsia="sv-SE"/>
              </w:rPr>
              <w:t>180 mL of product / m² of wood (equivalent to 145 g of product /m² of wood) (+ 300 g of product / m² of wood)</w:t>
            </w:r>
          </w:p>
        </w:tc>
      </w:tr>
      <w:tr w:rsidR="00174DE7" w:rsidRPr="00174DE7" w14:paraId="0B409041"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47D8F3" w14:textId="77777777" w:rsidR="00174DE7" w:rsidRPr="00174DE7" w:rsidRDefault="00174DE7" w:rsidP="00B21D4B">
            <w:pPr>
              <w:rPr>
                <w:b/>
              </w:rPr>
            </w:pPr>
            <w:r w:rsidRPr="00174DE7">
              <w:rPr>
                <w:b/>
                <w:color w:val="000000"/>
                <w:szCs w:val="24"/>
                <w:lang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5AD0CC" w14:textId="678EA692" w:rsidR="00174DE7" w:rsidRPr="00174DE7" w:rsidRDefault="00174DE7" w:rsidP="00B21D4B">
            <w:r w:rsidRPr="00174DE7">
              <w:t>Professional</w:t>
            </w:r>
          </w:p>
          <w:p w14:paraId="7808F8E0" w14:textId="77777777" w:rsidR="00174DE7" w:rsidRPr="00174DE7" w:rsidRDefault="00174DE7" w:rsidP="00B21D4B"/>
        </w:tc>
      </w:tr>
      <w:tr w:rsidR="00174DE7" w:rsidRPr="00174DE7" w14:paraId="5B6CB0D8"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6EAD039" w14:textId="77777777" w:rsidR="00174DE7" w:rsidRPr="00174DE7" w:rsidRDefault="00174DE7" w:rsidP="00B21D4B">
            <w:pPr>
              <w:rPr>
                <w:b/>
              </w:rPr>
            </w:pPr>
            <w:r w:rsidRPr="00174DE7">
              <w:rPr>
                <w:b/>
                <w:color w:val="000000"/>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D974508" w14:textId="77777777" w:rsidR="00641A2A" w:rsidRPr="00F53F23" w:rsidRDefault="00641A2A" w:rsidP="00641A2A">
            <w:pPr>
              <w:rPr>
                <w:rFonts w:cs="Arial"/>
                <w:bCs/>
              </w:rPr>
            </w:pPr>
            <w:r w:rsidRPr="00F53F23">
              <w:rPr>
                <w:rFonts w:cs="Arial"/>
                <w:bCs/>
              </w:rPr>
              <w:t>Can /Tin, Metal: , 0.75 L, 1, 2.5, 5, 25, 30, 55 and 200 L</w:t>
            </w:r>
          </w:p>
          <w:p w14:paraId="5F402FCD" w14:textId="77777777" w:rsidR="00641A2A" w:rsidRPr="00F53F23" w:rsidRDefault="00641A2A" w:rsidP="00641A2A">
            <w:pPr>
              <w:rPr>
                <w:rFonts w:cs="Arial"/>
                <w:bCs/>
              </w:rPr>
            </w:pPr>
          </w:p>
          <w:p w14:paraId="3C76BAE4" w14:textId="77777777" w:rsidR="00641A2A" w:rsidRPr="00F53F23" w:rsidRDefault="00641A2A" w:rsidP="00641A2A">
            <w:pPr>
              <w:rPr>
                <w:rFonts w:cs="Arial"/>
                <w:bCs/>
              </w:rPr>
            </w:pPr>
            <w:r w:rsidRPr="00F53F23">
              <w:rPr>
                <w:rFonts w:cs="Arial"/>
                <w:bCs/>
              </w:rPr>
              <w:t>IBC (intermediate bulk container), Plastic: HDPE , 1 000 L</w:t>
            </w:r>
          </w:p>
          <w:p w14:paraId="31EC9A7D" w14:textId="77777777" w:rsidR="00641A2A" w:rsidRPr="00F53F23" w:rsidRDefault="00641A2A" w:rsidP="00641A2A">
            <w:pPr>
              <w:rPr>
                <w:rFonts w:cs="Arial"/>
                <w:bCs/>
              </w:rPr>
            </w:pPr>
          </w:p>
          <w:p w14:paraId="00A6BF49" w14:textId="6699304A" w:rsidR="00641A2A" w:rsidRPr="00944F5E" w:rsidRDefault="00641A2A" w:rsidP="00641A2A">
            <w:pPr>
              <w:rPr>
                <w:rFonts w:cs="Arial"/>
                <w:bCs/>
              </w:rPr>
            </w:pPr>
            <w:r w:rsidRPr="00F53F23">
              <w:rPr>
                <w:rFonts w:cs="Arial"/>
                <w:bCs/>
              </w:rPr>
              <w:t>The 30 L tin-plate can is internally coated with an epoxyphenolic lacquer.</w:t>
            </w:r>
          </w:p>
          <w:p w14:paraId="18050533" w14:textId="77777777" w:rsidR="00641A2A" w:rsidRPr="002A77D8" w:rsidRDefault="00641A2A" w:rsidP="00641A2A">
            <w:pPr>
              <w:rPr>
                <w:rFonts w:cs="Arial"/>
                <w:bCs/>
              </w:rPr>
            </w:pPr>
            <w:r w:rsidRPr="00944F5E">
              <w:rPr>
                <w:rFonts w:cs="Arial"/>
                <w:bCs/>
              </w:rPr>
              <w:t>Tin-plate can up to 200 L and HDPE 1000 L IBC for professionnal us</w:t>
            </w:r>
            <w:r w:rsidRPr="002A77D8">
              <w:rPr>
                <w:rFonts w:cs="Arial"/>
                <w:bCs/>
              </w:rPr>
              <w:t>ers. Hermetically closed with a cap.</w:t>
            </w:r>
          </w:p>
          <w:p w14:paraId="394306E7" w14:textId="1CF3FBDD" w:rsidR="00174DE7" w:rsidRPr="00174DE7" w:rsidRDefault="00174DE7" w:rsidP="0026139B"/>
        </w:tc>
      </w:tr>
    </w:tbl>
    <w:p w14:paraId="388CCEF9" w14:textId="77777777" w:rsidR="002771BE" w:rsidRDefault="002771BE" w:rsidP="002771BE">
      <w:pPr>
        <w:keepNext/>
        <w:widowControl w:val="0"/>
        <w:autoSpaceDE w:val="0"/>
        <w:spacing w:after="120"/>
        <w:rPr>
          <w:b/>
          <w:bCs/>
          <w:i/>
          <w:iCs/>
        </w:rPr>
      </w:pPr>
    </w:p>
    <w:p w14:paraId="0CED035F" w14:textId="024ADD65" w:rsidR="002771BE" w:rsidRDefault="002771BE" w:rsidP="002771BE">
      <w:pPr>
        <w:pStyle w:val="Titre4"/>
        <w:rPr>
          <w:rFonts w:cs="Times"/>
          <w:bCs/>
          <w:szCs w:val="29"/>
        </w:rPr>
      </w:pPr>
      <w:bookmarkStart w:id="47" w:name="_Toc536627272"/>
      <w:r>
        <w:t>Use-specific instructions for use</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rsidRPr="00174DE7" w14:paraId="531CDA10"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9447620" w14:textId="77777777" w:rsidR="002771BE" w:rsidRPr="000C2A41" w:rsidRDefault="00174DE7" w:rsidP="00174DE7">
            <w:pPr>
              <w:pStyle w:val="Paragraphedeliste"/>
              <w:widowControl w:val="0"/>
              <w:numPr>
                <w:ilvl w:val="0"/>
                <w:numId w:val="30"/>
              </w:numPr>
              <w:autoSpaceDE w:val="0"/>
              <w:snapToGrid w:val="0"/>
              <w:spacing w:before="80"/>
              <w:rPr>
                <w:rFonts w:cs="Times"/>
                <w:bCs/>
                <w:szCs w:val="29"/>
              </w:rPr>
            </w:pPr>
            <w:r w:rsidRPr="00174DE7">
              <w:rPr>
                <w:rFonts w:cs="Arial"/>
              </w:rPr>
              <w:t>Curative treatments performed by injection must always be combined with curative treatments applied by surperficial application.</w:t>
            </w:r>
          </w:p>
          <w:p w14:paraId="7BA70FFA" w14:textId="3AB93530" w:rsidR="000C2A41" w:rsidRPr="002A2E88" w:rsidRDefault="000C2A41" w:rsidP="000C2A41">
            <w:pPr>
              <w:pStyle w:val="Paragraphedeliste"/>
              <w:widowControl w:val="0"/>
              <w:numPr>
                <w:ilvl w:val="0"/>
                <w:numId w:val="30"/>
              </w:numPr>
              <w:autoSpaceDE w:val="0"/>
              <w:snapToGrid w:val="0"/>
              <w:spacing w:before="80"/>
              <w:rPr>
                <w:rFonts w:cs="Times"/>
                <w:bCs/>
              </w:rPr>
            </w:pPr>
            <w:r w:rsidRPr="00B7552D">
              <w:rPr>
                <w:lang w:eastAsia="en-GB"/>
              </w:rPr>
              <w:t>Use only for the treatement of wood not be exposed to weathering and leaching</w:t>
            </w:r>
          </w:p>
        </w:tc>
      </w:tr>
    </w:tbl>
    <w:p w14:paraId="14E6758D" w14:textId="77777777" w:rsidR="002771BE" w:rsidRPr="00943FA9" w:rsidRDefault="002771BE" w:rsidP="002771BE">
      <w:pPr>
        <w:keepNext/>
        <w:widowControl w:val="0"/>
        <w:autoSpaceDE w:val="0"/>
        <w:spacing w:after="120"/>
        <w:rPr>
          <w:rFonts w:eastAsia="Calibri"/>
          <w:b/>
          <w:i/>
          <w:caps/>
          <w:sz w:val="22"/>
          <w:szCs w:val="22"/>
          <w:lang w:val="en-US" w:eastAsia="en-US"/>
        </w:rPr>
      </w:pPr>
    </w:p>
    <w:p w14:paraId="68385E9D" w14:textId="77777777" w:rsidR="002771BE" w:rsidRDefault="002771BE" w:rsidP="002771BE">
      <w:pPr>
        <w:pStyle w:val="Titre4"/>
        <w:rPr>
          <w:rFonts w:cs="Times"/>
          <w:bCs/>
          <w:szCs w:val="29"/>
        </w:rPr>
      </w:pPr>
      <w:bookmarkStart w:id="48" w:name="_Toc536627273"/>
      <w:r>
        <w:t>Use-specific risk mitigation measures</w:t>
      </w:r>
      <w:bookmarkEnd w:id="48"/>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739D3667"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32A0F8B" w14:textId="08AF02F6" w:rsidR="00AD004D" w:rsidRPr="0021636F" w:rsidRDefault="00AD004D" w:rsidP="0021636F">
            <w:pPr>
              <w:pStyle w:val="Paragraphedeliste"/>
              <w:numPr>
                <w:ilvl w:val="0"/>
                <w:numId w:val="31"/>
              </w:numPr>
              <w:suppressAutoHyphens w:val="0"/>
              <w:spacing w:line="276" w:lineRule="auto"/>
              <w:rPr>
                <w:rFonts w:eastAsia="Calibri" w:cs="Arial"/>
                <w:szCs w:val="22"/>
                <w:lang w:val="en-US" w:eastAsia="sv-SE"/>
              </w:rPr>
            </w:pPr>
            <w:r w:rsidRPr="0021636F">
              <w:rPr>
                <w:rFonts w:eastAsia="Calibri" w:cs="Arial"/>
                <w:b/>
                <w:szCs w:val="22"/>
                <w:lang w:val="en-US" w:eastAsia="sv-SE"/>
              </w:rPr>
              <w:t xml:space="preserve">Professional user only:  </w:t>
            </w:r>
            <w:r w:rsidRPr="0021636F">
              <w:rPr>
                <w:rFonts w:eastAsia="Calibri" w:cs="Arial"/>
                <w:szCs w:val="22"/>
                <w:lang w:val="en-US" w:eastAsia="sv-SE"/>
              </w:rPr>
              <w:t>For brushing, wear protective chemical resistant gloves (glove material to be specified by the authorisation holder within the product information) and coated coverall (category IV type 6) during application phase.</w:t>
            </w:r>
          </w:p>
          <w:p w14:paraId="3DAF24F8" w14:textId="1D09C5CE" w:rsidR="00AD004D" w:rsidRPr="0021636F" w:rsidRDefault="00AD004D" w:rsidP="0039605F">
            <w:pPr>
              <w:pStyle w:val="Paragraphedeliste"/>
              <w:numPr>
                <w:ilvl w:val="0"/>
                <w:numId w:val="31"/>
              </w:numPr>
              <w:suppressAutoHyphens w:val="0"/>
              <w:spacing w:line="276" w:lineRule="auto"/>
              <w:rPr>
                <w:rFonts w:eastAsia="Calibri" w:cs="Arial"/>
                <w:szCs w:val="22"/>
                <w:lang w:val="en-US" w:eastAsia="sv-SE"/>
              </w:rPr>
            </w:pPr>
            <w:r w:rsidRPr="0021636F">
              <w:rPr>
                <w:rFonts w:eastAsia="Calibri" w:cs="Arial"/>
                <w:b/>
                <w:szCs w:val="22"/>
                <w:lang w:val="en-US" w:eastAsia="sv-SE"/>
              </w:rPr>
              <w:t xml:space="preserve">Professional user only:  </w:t>
            </w:r>
            <w:r w:rsidRPr="0021636F">
              <w:rPr>
                <w:rFonts w:eastAsia="Calibri" w:cs="Arial"/>
                <w:szCs w:val="22"/>
                <w:lang w:val="en-US" w:eastAsia="sv-SE"/>
              </w:rPr>
              <w:t xml:space="preserve">For spraying, wear protective chemical resistant gloves (glove material to be specified by the authorisation holder within the product information) and impermeable </w:t>
            </w:r>
            <w:proofErr w:type="gramStart"/>
            <w:r w:rsidRPr="0021636F">
              <w:rPr>
                <w:rFonts w:eastAsia="Calibri" w:cs="Arial"/>
                <w:szCs w:val="22"/>
                <w:lang w:val="en-US" w:eastAsia="sv-SE"/>
              </w:rPr>
              <w:t>coverall  (</w:t>
            </w:r>
            <w:proofErr w:type="gramEnd"/>
            <w:r w:rsidRPr="0021636F">
              <w:rPr>
                <w:rFonts w:eastAsia="Calibri" w:cs="Arial"/>
                <w:szCs w:val="22"/>
                <w:lang w:val="en-US" w:eastAsia="sv-SE"/>
              </w:rPr>
              <w:t xml:space="preserve">category IV type 4) during spraying and gloves and coated coverall (category IV type 6) during cleaning phase. </w:t>
            </w:r>
          </w:p>
          <w:p w14:paraId="036E902A" w14:textId="28D8B6B8" w:rsidR="009E047D" w:rsidRPr="0021636F" w:rsidRDefault="009E047D" w:rsidP="0021636F">
            <w:pPr>
              <w:pStyle w:val="Paragraphedeliste"/>
              <w:numPr>
                <w:ilvl w:val="0"/>
                <w:numId w:val="31"/>
              </w:numPr>
              <w:suppressAutoHyphens w:val="0"/>
              <w:spacing w:line="276" w:lineRule="auto"/>
              <w:rPr>
                <w:rFonts w:eastAsia="Calibri" w:cs="Arial"/>
                <w:szCs w:val="22"/>
                <w:lang w:val="en-US" w:eastAsia="sv-SE"/>
              </w:rPr>
            </w:pPr>
            <w:r w:rsidRPr="0021636F">
              <w:rPr>
                <w:rFonts w:eastAsia="Calibri" w:cs="Arial"/>
                <w:b/>
                <w:szCs w:val="22"/>
                <w:lang w:val="en-US" w:eastAsia="sv-SE"/>
              </w:rPr>
              <w:t xml:space="preserve">Professional user </w:t>
            </w:r>
            <w:r w:rsidR="00735835" w:rsidRPr="0021636F">
              <w:rPr>
                <w:rFonts w:eastAsia="Calibri" w:cs="Arial"/>
                <w:b/>
                <w:szCs w:val="22"/>
                <w:lang w:val="en-US" w:eastAsia="sv-SE"/>
              </w:rPr>
              <w:t>only:</w:t>
            </w:r>
            <w:r w:rsidRPr="0021636F">
              <w:rPr>
                <w:rFonts w:eastAsia="Calibri" w:cs="Arial"/>
                <w:szCs w:val="22"/>
                <w:lang w:val="en-US" w:eastAsia="sv-SE"/>
              </w:rPr>
              <w:t xml:space="preserve"> For injection combined to brushing, wear protective chemical resistant gloves (glove material to be specified by the authorisation holder within the product information) and coated coverall (category IV type 6) during application by brushing and gloves during injection.</w:t>
            </w:r>
          </w:p>
          <w:p w14:paraId="0552FACC" w14:textId="0D1C1B33" w:rsidR="002771BE" w:rsidRPr="0021636F" w:rsidRDefault="009E047D" w:rsidP="0021636F">
            <w:pPr>
              <w:pStyle w:val="Paragraphedeliste"/>
              <w:numPr>
                <w:ilvl w:val="0"/>
                <w:numId w:val="31"/>
              </w:numPr>
              <w:suppressAutoHyphens w:val="0"/>
              <w:spacing w:line="276" w:lineRule="auto"/>
              <w:rPr>
                <w:rFonts w:cs="Times"/>
                <w:bCs/>
                <w:szCs w:val="29"/>
                <w:lang w:val="en-US"/>
              </w:rPr>
            </w:pPr>
            <w:r w:rsidRPr="0021636F">
              <w:rPr>
                <w:rFonts w:eastAsia="Calibri" w:cs="Arial"/>
                <w:b/>
                <w:szCs w:val="22"/>
                <w:lang w:val="en-US" w:eastAsia="sv-SE"/>
              </w:rPr>
              <w:t xml:space="preserve">Professional user only </w:t>
            </w:r>
            <w:r w:rsidRPr="0021636F">
              <w:rPr>
                <w:rFonts w:eastAsia="Calibri" w:cs="Arial"/>
                <w:szCs w:val="22"/>
                <w:lang w:val="en-US" w:eastAsia="sv-SE"/>
              </w:rPr>
              <w:t xml:space="preserve">For injection combined to spraying, wear protective chemical resistant gloves (glove material to be specified by the authorisation holder within the product information) and impermeable coverall (category IV type 4) during application by </w:t>
            </w:r>
            <w:r w:rsidR="00636D94" w:rsidRPr="0021636F">
              <w:rPr>
                <w:rFonts w:eastAsia="Calibri" w:cs="Arial"/>
                <w:szCs w:val="22"/>
                <w:lang w:val="en-US" w:eastAsia="sv-SE"/>
              </w:rPr>
              <w:t>spraying</w:t>
            </w:r>
            <w:r w:rsidRPr="0021636F">
              <w:rPr>
                <w:rFonts w:eastAsia="Calibri" w:cs="Arial"/>
                <w:szCs w:val="22"/>
                <w:lang w:val="en-US" w:eastAsia="sv-SE"/>
              </w:rPr>
              <w:t>, gloves during injection and gloves and coated coverall (category IV type 6) during cleaning of equipments.</w:t>
            </w:r>
          </w:p>
          <w:p w14:paraId="3F70CEC8" w14:textId="7CBA8772" w:rsidR="00385B9B" w:rsidRPr="00385B9B" w:rsidRDefault="00385B9B" w:rsidP="00385B9B">
            <w:pPr>
              <w:numPr>
                <w:ilvl w:val="0"/>
                <w:numId w:val="31"/>
              </w:numPr>
              <w:suppressAutoHyphens w:val="0"/>
              <w:spacing w:line="276" w:lineRule="auto"/>
              <w:rPr>
                <w:rFonts w:cs="Times"/>
                <w:bCs/>
                <w:szCs w:val="29"/>
                <w:lang w:val="en-US"/>
              </w:rPr>
            </w:pPr>
            <w:r w:rsidRPr="00385B9B">
              <w:rPr>
                <w:rFonts w:cs="Times"/>
                <w:bCs/>
                <w:szCs w:val="29"/>
                <w:lang w:val="en-US"/>
              </w:rPr>
              <w:t xml:space="preserve">For outdoor treatment, </w:t>
            </w:r>
            <w:r w:rsidR="001B6222">
              <w:rPr>
                <w:rFonts w:cs="Times"/>
                <w:bCs/>
                <w:szCs w:val="29"/>
                <w:lang w:val="en-US"/>
              </w:rPr>
              <w:t xml:space="preserve">apply only by brushing and </w:t>
            </w:r>
            <w:r w:rsidRPr="00385B9B">
              <w:rPr>
                <w:rFonts w:cs="Times"/>
                <w:bCs/>
                <w:szCs w:val="29"/>
                <w:lang w:val="en-US"/>
              </w:rPr>
              <w:t xml:space="preserve">cover the ground with an appropriate plastic sheet to prevent any emission to the terrestrial compartment   </w:t>
            </w:r>
          </w:p>
          <w:p w14:paraId="55BB6EF4" w14:textId="0A59FAA7" w:rsidR="00EE62C4" w:rsidRDefault="00385B9B" w:rsidP="00385B9B">
            <w:pPr>
              <w:numPr>
                <w:ilvl w:val="0"/>
                <w:numId w:val="31"/>
              </w:numPr>
              <w:suppressAutoHyphens w:val="0"/>
              <w:spacing w:line="276" w:lineRule="auto"/>
              <w:rPr>
                <w:rFonts w:cs="Times"/>
                <w:bCs/>
                <w:szCs w:val="29"/>
                <w:lang w:val="en-US"/>
              </w:rPr>
            </w:pPr>
            <w:r w:rsidRPr="00385B9B">
              <w:rPr>
                <w:rFonts w:cs="Times"/>
                <w:bCs/>
                <w:szCs w:val="29"/>
                <w:lang w:val="en-US"/>
              </w:rPr>
              <w:t>Do not apply where the product can reach surface water during outdoor application</w:t>
            </w:r>
          </w:p>
          <w:p w14:paraId="5592964F" w14:textId="04A35A13" w:rsidR="00385B9B" w:rsidRPr="0039605F" w:rsidRDefault="00385B9B">
            <w:pPr>
              <w:numPr>
                <w:ilvl w:val="0"/>
                <w:numId w:val="31"/>
              </w:numPr>
              <w:suppressAutoHyphens w:val="0"/>
              <w:spacing w:line="276" w:lineRule="auto"/>
              <w:rPr>
                <w:rFonts w:cs="Times"/>
                <w:bCs/>
                <w:szCs w:val="29"/>
                <w:lang w:val="en-US"/>
              </w:rPr>
            </w:pPr>
            <w:r w:rsidRPr="00385B9B">
              <w:rPr>
                <w:rFonts w:cs="Times"/>
                <w:bCs/>
                <w:szCs w:val="29"/>
                <w:lang w:val="en-US"/>
              </w:rPr>
              <w:t>Treated wood should not be used near an aquatic environment.</w:t>
            </w:r>
          </w:p>
        </w:tc>
      </w:tr>
    </w:tbl>
    <w:p w14:paraId="713D0839" w14:textId="77777777" w:rsidR="002771BE" w:rsidRPr="00EC0D24" w:rsidRDefault="002771BE" w:rsidP="002771BE">
      <w:pPr>
        <w:keepNext/>
        <w:widowControl w:val="0"/>
        <w:autoSpaceDE w:val="0"/>
        <w:spacing w:after="120"/>
        <w:rPr>
          <w:rFonts w:eastAsia="Calibri"/>
          <w:b/>
          <w:i/>
          <w:caps/>
          <w:sz w:val="22"/>
          <w:szCs w:val="22"/>
          <w:lang w:val="de-DE" w:eastAsia="en-US"/>
        </w:rPr>
      </w:pPr>
    </w:p>
    <w:p w14:paraId="4D7167D2" w14:textId="77777777" w:rsidR="002771BE" w:rsidRPr="00EC0D24" w:rsidRDefault="002771BE" w:rsidP="002771BE">
      <w:pPr>
        <w:pStyle w:val="Titre4"/>
        <w:rPr>
          <w:rFonts w:cs="Times"/>
          <w:bCs/>
          <w:szCs w:val="29"/>
        </w:rPr>
      </w:pPr>
      <w:bookmarkStart w:id="49" w:name="_Toc536627274"/>
      <w:r w:rsidRPr="00EC0D24">
        <w:t>Where specific to the use, the particulars of likely direct or indirect effects, first aid instructions and emergency measures to protect the environment</w:t>
      </w:r>
      <w:bookmarkEnd w:id="4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6DE272DE"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2A8B989" w14:textId="77777777" w:rsidR="002771BE" w:rsidRDefault="002771BE" w:rsidP="005D37EC">
            <w:pPr>
              <w:widowControl w:val="0"/>
              <w:autoSpaceDE w:val="0"/>
              <w:snapToGrid w:val="0"/>
              <w:spacing w:before="80"/>
              <w:rPr>
                <w:rFonts w:cs="Times"/>
                <w:bCs/>
                <w:szCs w:val="29"/>
              </w:rPr>
            </w:pPr>
          </w:p>
        </w:tc>
      </w:tr>
    </w:tbl>
    <w:p w14:paraId="235D8E09" w14:textId="77777777" w:rsidR="002771BE" w:rsidRPr="00EC0D24" w:rsidRDefault="002771BE" w:rsidP="002771BE">
      <w:pPr>
        <w:pStyle w:val="Titre4"/>
        <w:rPr>
          <w:rFonts w:cs="Times"/>
          <w:bCs/>
          <w:szCs w:val="29"/>
        </w:rPr>
      </w:pPr>
      <w:bookmarkStart w:id="50" w:name="_Toc536627275"/>
      <w:r w:rsidRPr="00EC0D24">
        <w:lastRenderedPageBreak/>
        <w:t>Where specific to the use, the instructions for safe disposal of the product and its packaging</w:t>
      </w:r>
      <w:bookmarkEnd w:id="50"/>
      <w:r w:rsidRPr="00EC0D24">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4EA97BCC"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71EAB96" w14:textId="77777777" w:rsidR="002771BE" w:rsidRDefault="002771BE" w:rsidP="005D37EC">
            <w:pPr>
              <w:widowControl w:val="0"/>
              <w:autoSpaceDE w:val="0"/>
              <w:snapToGrid w:val="0"/>
              <w:spacing w:before="80"/>
              <w:rPr>
                <w:rFonts w:cs="Times"/>
                <w:bCs/>
                <w:szCs w:val="29"/>
              </w:rPr>
            </w:pPr>
          </w:p>
        </w:tc>
      </w:tr>
    </w:tbl>
    <w:p w14:paraId="56FF26F0" w14:textId="77777777" w:rsidR="002771BE" w:rsidRDefault="002771BE" w:rsidP="002771BE">
      <w:pPr>
        <w:widowControl w:val="0"/>
        <w:autoSpaceDE w:val="0"/>
        <w:rPr>
          <w:rFonts w:cs="Times"/>
          <w:bCs/>
          <w:szCs w:val="29"/>
        </w:rPr>
      </w:pPr>
    </w:p>
    <w:p w14:paraId="15859943" w14:textId="77777777" w:rsidR="002771BE" w:rsidRPr="00943FA9" w:rsidRDefault="002771BE" w:rsidP="002771BE">
      <w:pPr>
        <w:pStyle w:val="Titre4"/>
        <w:rPr>
          <w:rFonts w:cs="Times"/>
          <w:bCs/>
          <w:szCs w:val="29"/>
          <w:lang w:val="en-US"/>
        </w:rPr>
      </w:pPr>
      <w:bookmarkStart w:id="51" w:name="_Toc536627276"/>
      <w:r w:rsidRPr="00943FA9">
        <w:rPr>
          <w:lang w:val="en-US"/>
        </w:rPr>
        <w:t>Where specific to the use, the conditions of storage and shelf-life of the product under normal conditions of storage</w:t>
      </w:r>
      <w:bookmarkEnd w:id="5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0031BACB"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1554B2C" w14:textId="77777777" w:rsidR="002771BE" w:rsidRDefault="002771BE" w:rsidP="005D37EC">
            <w:pPr>
              <w:widowControl w:val="0"/>
              <w:autoSpaceDE w:val="0"/>
              <w:snapToGrid w:val="0"/>
              <w:spacing w:before="80"/>
              <w:rPr>
                <w:rFonts w:cs="Times"/>
                <w:bCs/>
                <w:szCs w:val="29"/>
              </w:rPr>
            </w:pPr>
          </w:p>
        </w:tc>
      </w:tr>
    </w:tbl>
    <w:p w14:paraId="0ED7AF21" w14:textId="687E7BEA" w:rsidR="002771BE" w:rsidRDefault="002771BE" w:rsidP="002771BE">
      <w:pPr>
        <w:widowControl w:val="0"/>
        <w:autoSpaceDE w:val="0"/>
        <w:rPr>
          <w:rFonts w:cs="Times"/>
          <w:bCs/>
          <w:szCs w:val="29"/>
        </w:rPr>
      </w:pPr>
    </w:p>
    <w:p w14:paraId="5764AD1A" w14:textId="6B60F9EE" w:rsidR="0086173D" w:rsidRDefault="0086173D" w:rsidP="002771BE">
      <w:pPr>
        <w:widowControl w:val="0"/>
        <w:autoSpaceDE w:val="0"/>
        <w:rPr>
          <w:rFonts w:cs="Times"/>
          <w:bCs/>
          <w:szCs w:val="29"/>
        </w:rPr>
      </w:pPr>
    </w:p>
    <w:p w14:paraId="5293C5E6" w14:textId="77777777" w:rsidR="0086173D" w:rsidRDefault="0086173D" w:rsidP="0086173D">
      <w:pPr>
        <w:pStyle w:val="Titre4"/>
      </w:pPr>
      <w:bookmarkStart w:id="52" w:name="_Toc536627277"/>
      <w:r>
        <w:t>Use description</w:t>
      </w:r>
      <w:bookmarkEnd w:id="52"/>
    </w:p>
    <w:p w14:paraId="0A1BFA99" w14:textId="7B986D58" w:rsidR="0086173D" w:rsidRPr="00174DE7" w:rsidRDefault="0086173D" w:rsidP="0086173D">
      <w:pPr>
        <w:pStyle w:val="Lgende"/>
        <w:spacing w:after="120"/>
        <w:rPr>
          <w:rFonts w:ascii="Verdana" w:hAnsi="Verdana"/>
        </w:rPr>
      </w:pPr>
      <w:r>
        <w:rPr>
          <w:rFonts w:ascii="Verdana" w:hAnsi="Verdana"/>
        </w:rPr>
        <w:t>Use # 4</w:t>
      </w:r>
      <w:r w:rsidRPr="00174DE7">
        <w:rPr>
          <w:rFonts w:ascii="Verdana" w:hAnsi="Verdana"/>
        </w:rPr>
        <w:t xml:space="preserve"> – curative treatment for wood in service</w:t>
      </w:r>
      <w:r>
        <w:rPr>
          <w:rFonts w:ascii="Verdana" w:hAnsi="Verdana"/>
        </w:rPr>
        <w:t xml:space="preserve"> – Non-professional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86173D" w:rsidRPr="00174DE7" w14:paraId="501FC111" w14:textId="77777777" w:rsidTr="0086173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698497" w14:textId="77777777" w:rsidR="0086173D" w:rsidRPr="00174DE7" w:rsidRDefault="0086173D" w:rsidP="0086173D">
            <w:pPr>
              <w:rPr>
                <w:b/>
              </w:rPr>
            </w:pPr>
            <w:r w:rsidRPr="00174DE7">
              <w:rPr>
                <w:b/>
                <w:color w:val="000000"/>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11079DB" w14:textId="77777777" w:rsidR="0086173D" w:rsidRPr="00174DE7" w:rsidRDefault="0086173D" w:rsidP="0086173D">
            <w:r w:rsidRPr="00174DE7">
              <w:t>8</w:t>
            </w:r>
          </w:p>
        </w:tc>
      </w:tr>
      <w:tr w:rsidR="0086173D" w:rsidRPr="00174DE7" w14:paraId="3625A613"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3E8257" w14:textId="77777777" w:rsidR="0086173D" w:rsidRPr="00174DE7" w:rsidRDefault="0086173D" w:rsidP="0086173D">
            <w:pPr>
              <w:rPr>
                <w:b/>
              </w:rPr>
            </w:pPr>
            <w:r w:rsidRPr="00174DE7">
              <w:rPr>
                <w:b/>
                <w:color w:val="000000"/>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21B234B" w14:textId="77777777" w:rsidR="0086173D" w:rsidRPr="00174DE7" w:rsidRDefault="0086173D" w:rsidP="0086173D">
            <w:r w:rsidRPr="00174DE7">
              <w:rPr>
                <w:rFonts w:cs="Arial"/>
              </w:rPr>
              <w:t>Curative treatment for wood in service</w:t>
            </w:r>
          </w:p>
        </w:tc>
      </w:tr>
      <w:tr w:rsidR="0086173D" w:rsidRPr="00174DE7" w14:paraId="68CF3491"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60F8B9" w14:textId="77777777" w:rsidR="0086173D" w:rsidRPr="00174DE7" w:rsidRDefault="0086173D" w:rsidP="0086173D">
            <w:pPr>
              <w:rPr>
                <w:b/>
              </w:rPr>
            </w:pPr>
            <w:r w:rsidRPr="00174DE7">
              <w:rPr>
                <w:b/>
                <w:color w:val="000000"/>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32B888" w14:textId="77777777" w:rsidR="0086173D" w:rsidRPr="00174DE7" w:rsidRDefault="0086173D" w:rsidP="0086173D">
            <w:pPr>
              <w:ind w:left="49"/>
              <w:rPr>
                <w:rFonts w:eastAsia="Calibri" w:cs="Arial"/>
                <w:bCs/>
                <w:lang w:val="sv-SE" w:eastAsia="sv-SE"/>
              </w:rPr>
            </w:pPr>
            <w:r w:rsidRPr="00174DE7">
              <w:rPr>
                <w:rFonts w:eastAsia="Calibri" w:cs="Arial"/>
                <w:lang w:val="en-US" w:eastAsia="fr-FR"/>
              </w:rPr>
              <w:t>Wood boring insects</w:t>
            </w:r>
          </w:p>
          <w:p w14:paraId="70DE25C0" w14:textId="77777777" w:rsidR="0086173D" w:rsidRPr="00174DE7" w:rsidRDefault="0086173D" w:rsidP="0086173D">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House longhorn beetle</w:t>
            </w:r>
            <w:r w:rsidRPr="00174DE7">
              <w:rPr>
                <w:rFonts w:eastAsia="Calibri" w:cs="Arial"/>
                <w:lang w:val="en-US" w:eastAsia="sv-SE"/>
              </w:rPr>
              <w:t xml:space="preserve"> (</w:t>
            </w:r>
            <w:r w:rsidRPr="00174DE7">
              <w:rPr>
                <w:rFonts w:eastAsia="Calibri" w:cs="Arial"/>
                <w:i/>
                <w:lang w:val="en-US" w:eastAsia="sv-SE"/>
              </w:rPr>
              <w:t>Hylotrupes bajulus</w:t>
            </w:r>
            <w:r w:rsidRPr="00174DE7">
              <w:rPr>
                <w:rFonts w:eastAsia="Calibri" w:cs="Arial"/>
                <w:lang w:val="en-US" w:eastAsia="sv-SE"/>
              </w:rPr>
              <w:t>)</w:t>
            </w:r>
          </w:p>
          <w:p w14:paraId="155B29C5" w14:textId="77777777" w:rsidR="0086173D" w:rsidRPr="00174DE7" w:rsidRDefault="0086173D" w:rsidP="0086173D">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 xml:space="preserve">Common furniture beetle </w:t>
            </w:r>
            <w:r w:rsidRPr="00174DE7">
              <w:rPr>
                <w:rFonts w:eastAsia="Calibri" w:cs="Arial"/>
                <w:lang w:val="en-US" w:eastAsia="sv-SE"/>
              </w:rPr>
              <w:t>(</w:t>
            </w:r>
            <w:r w:rsidRPr="00174DE7">
              <w:rPr>
                <w:rFonts w:eastAsia="Calibri" w:cs="Arial"/>
                <w:i/>
                <w:lang w:val="en-US" w:eastAsia="sv-SE"/>
              </w:rPr>
              <w:t>Anobium punctatum</w:t>
            </w:r>
            <w:r w:rsidRPr="00174DE7">
              <w:rPr>
                <w:rFonts w:eastAsia="Calibri" w:cs="Arial"/>
                <w:lang w:val="en-US" w:eastAsia="sv-SE"/>
              </w:rPr>
              <w:t xml:space="preserve">) </w:t>
            </w:r>
          </w:p>
          <w:p w14:paraId="655E1726" w14:textId="77777777" w:rsidR="0086173D" w:rsidRPr="00174DE7" w:rsidRDefault="0086173D" w:rsidP="0086173D">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Powder post beetles</w:t>
            </w:r>
            <w:r w:rsidRPr="00174DE7">
              <w:rPr>
                <w:rFonts w:eastAsia="Calibri" w:cs="Arial"/>
                <w:lang w:val="en-US" w:eastAsia="sv-SE"/>
              </w:rPr>
              <w:t xml:space="preserve"> (</w:t>
            </w:r>
            <w:r w:rsidRPr="00174DE7">
              <w:rPr>
                <w:rFonts w:eastAsia="Calibri" w:cs="Arial"/>
                <w:i/>
                <w:lang w:val="en-US" w:eastAsia="sv-SE"/>
              </w:rPr>
              <w:t>Lyctus brunneus</w:t>
            </w:r>
            <w:r w:rsidRPr="00174DE7">
              <w:rPr>
                <w:rFonts w:eastAsia="Calibri" w:cs="Arial"/>
                <w:lang w:val="en-US" w:eastAsia="sv-SE"/>
              </w:rPr>
              <w:t>)</w:t>
            </w:r>
          </w:p>
          <w:p w14:paraId="65AAE990" w14:textId="77777777" w:rsidR="0086173D" w:rsidRPr="00174DE7" w:rsidRDefault="0086173D" w:rsidP="0086173D">
            <w:pPr>
              <w:spacing w:before="200"/>
              <w:rPr>
                <w:lang w:val="fr-FR"/>
              </w:rPr>
            </w:pPr>
            <w:r w:rsidRPr="00174DE7">
              <w:rPr>
                <w:rFonts w:eastAsia="Calibri" w:cs="Arial"/>
                <w:lang w:val="fr-FR" w:eastAsia="sv-SE"/>
              </w:rPr>
              <w:t>Termites (</w:t>
            </w:r>
            <w:r w:rsidRPr="00174DE7">
              <w:rPr>
                <w:rFonts w:eastAsia="Calibri" w:cs="Arial"/>
                <w:i/>
                <w:lang w:val="fr-FR" w:eastAsia="sv-SE"/>
              </w:rPr>
              <w:t>Reticulitermes spp.</w:t>
            </w:r>
            <w:r w:rsidRPr="00174DE7">
              <w:rPr>
                <w:rFonts w:eastAsia="Calibri" w:cs="Arial"/>
                <w:lang w:val="fr-FR" w:eastAsia="sv-SE"/>
              </w:rPr>
              <w:t>)</w:t>
            </w:r>
          </w:p>
        </w:tc>
      </w:tr>
      <w:tr w:rsidR="0086173D" w:rsidRPr="00174DE7" w14:paraId="2EB1B8FB"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209728" w14:textId="77777777" w:rsidR="0086173D" w:rsidRPr="00174DE7" w:rsidRDefault="0086173D" w:rsidP="0086173D">
            <w:pPr>
              <w:rPr>
                <w:b/>
              </w:rPr>
            </w:pPr>
            <w:r w:rsidRPr="00174DE7">
              <w:rPr>
                <w:b/>
                <w:color w:val="000000"/>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53DCBB" w14:textId="77777777" w:rsidR="0086173D" w:rsidRDefault="0086173D" w:rsidP="0086173D">
            <w:pPr>
              <w:rPr>
                <w:rFonts w:cs="Arial"/>
              </w:rPr>
            </w:pPr>
            <w:r w:rsidRPr="00174DE7">
              <w:rPr>
                <w:rFonts w:cs="Arial"/>
              </w:rPr>
              <w:t>Curative treatment for wood in service (wood not exposed to weathering and leaching)</w:t>
            </w:r>
          </w:p>
          <w:p w14:paraId="0547CDE0" w14:textId="265A4123" w:rsidR="0086173D" w:rsidRPr="00174DE7" w:rsidRDefault="00E522F0" w:rsidP="0086173D">
            <w:pPr>
              <w:rPr>
                <w:lang w:val="en-US"/>
              </w:rPr>
            </w:pPr>
            <w:r>
              <w:rPr>
                <w:rFonts w:cs="Arial"/>
              </w:rPr>
              <w:t>Softwood and hardwood</w:t>
            </w:r>
          </w:p>
        </w:tc>
      </w:tr>
      <w:tr w:rsidR="0086173D" w:rsidRPr="00174DE7" w14:paraId="2189D30F"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124E45" w14:textId="77777777" w:rsidR="0086173D" w:rsidRPr="00174DE7" w:rsidRDefault="0086173D" w:rsidP="0086173D">
            <w:pPr>
              <w:rPr>
                <w:b/>
              </w:rPr>
            </w:pPr>
            <w:r w:rsidRPr="00174DE7">
              <w:rPr>
                <w:b/>
                <w:color w:val="000000"/>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51AC26" w14:textId="77777777" w:rsidR="0086173D" w:rsidRPr="00174DE7" w:rsidRDefault="0086173D" w:rsidP="0086173D">
            <w:r w:rsidRPr="00174DE7">
              <w:t>Superficial application / brush / roller /pad treatment</w:t>
            </w:r>
          </w:p>
          <w:p w14:paraId="7845E3AD" w14:textId="77777777" w:rsidR="0086173D" w:rsidRPr="00174DE7" w:rsidRDefault="0086173D" w:rsidP="0086173D">
            <w:pPr>
              <w:rPr>
                <w:rFonts w:cs="Arial"/>
              </w:rPr>
            </w:pPr>
            <w:r w:rsidRPr="00174DE7">
              <w:rPr>
                <w:rFonts w:cs="Arial"/>
              </w:rPr>
              <w:t>Superficial application / spray treatment</w:t>
            </w:r>
          </w:p>
          <w:p w14:paraId="2C3C54B1" w14:textId="46946C11" w:rsidR="0086173D" w:rsidRPr="00174DE7" w:rsidRDefault="0086173D">
            <w:r w:rsidRPr="00174DE7">
              <w:t>Injection (combinated</w:t>
            </w:r>
            <w:r w:rsidR="00EE62C4">
              <w:t xml:space="preserve"> with brush</w:t>
            </w:r>
            <w:r w:rsidR="00AE7B9B">
              <w:t xml:space="preserve"> application</w:t>
            </w:r>
            <w:r w:rsidRPr="00174DE7">
              <w:t>)</w:t>
            </w:r>
          </w:p>
        </w:tc>
      </w:tr>
      <w:tr w:rsidR="0086173D" w:rsidRPr="00174DE7" w14:paraId="65723A60"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F72A83D" w14:textId="77777777" w:rsidR="0086173D" w:rsidRPr="00174DE7" w:rsidRDefault="0086173D" w:rsidP="0086173D">
            <w:pPr>
              <w:rPr>
                <w:b/>
              </w:rPr>
            </w:pPr>
            <w:r w:rsidRPr="00174DE7">
              <w:rPr>
                <w:b/>
                <w:color w:val="000000"/>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ACF212" w14:textId="77777777" w:rsidR="0086173D" w:rsidRPr="00174DE7" w:rsidRDefault="0086173D" w:rsidP="0086173D">
            <w:pPr>
              <w:ind w:left="83"/>
              <w:rPr>
                <w:rFonts w:eastAsia="Calibri" w:cs="Arial"/>
                <w:bCs/>
                <w:lang w:val="en-US" w:eastAsia="sv-SE"/>
              </w:rPr>
            </w:pPr>
            <w:r w:rsidRPr="00174DE7">
              <w:rPr>
                <w:rFonts w:eastAsia="Calibri" w:cs="Arial"/>
                <w:lang w:val="en-US" w:eastAsia="sv-SE"/>
              </w:rPr>
              <w:t>The produ</w:t>
            </w:r>
            <w:r>
              <w:rPr>
                <w:rFonts w:eastAsia="Calibri" w:cs="Arial"/>
                <w:lang w:val="en-US" w:eastAsia="sv-SE"/>
              </w:rPr>
              <w:t>ct</w:t>
            </w:r>
            <w:r w:rsidRPr="00174DE7">
              <w:rPr>
                <w:rFonts w:eastAsia="Calibri" w:cs="Arial"/>
                <w:lang w:val="en-US" w:eastAsia="sv-SE"/>
              </w:rPr>
              <w:t xml:space="preserve"> is ready to use.</w:t>
            </w:r>
          </w:p>
          <w:p w14:paraId="01CF6214" w14:textId="77777777" w:rsidR="0086173D" w:rsidRPr="00174DE7" w:rsidRDefault="0086173D" w:rsidP="0086173D">
            <w:pPr>
              <w:ind w:left="83"/>
              <w:rPr>
                <w:rFonts w:eastAsia="Calibri" w:cs="Arial"/>
                <w:bCs/>
                <w:lang w:val="en-US" w:eastAsia="sv-SE"/>
              </w:rPr>
            </w:pPr>
          </w:p>
          <w:p w14:paraId="0BF23BF6" w14:textId="77777777" w:rsidR="0086173D" w:rsidRPr="00174DE7" w:rsidRDefault="0086173D" w:rsidP="0086173D">
            <w:pPr>
              <w:ind w:left="83"/>
              <w:rPr>
                <w:rFonts w:eastAsia="Calibri" w:cs="Arial"/>
                <w:bCs/>
                <w:lang w:val="sv-SE" w:eastAsia="sv-SE"/>
              </w:rPr>
            </w:pPr>
            <w:r>
              <w:rPr>
                <w:rFonts w:eastAsia="Calibri" w:cs="Arial"/>
                <w:lang w:val="en-US" w:eastAsia="sv-SE"/>
              </w:rPr>
              <w:t>For the treatment with a</w:t>
            </w:r>
            <w:r w:rsidRPr="00174DE7">
              <w:rPr>
                <w:rFonts w:eastAsia="Calibri" w:cs="Arial"/>
                <w:lang w:val="en-US" w:eastAsia="sv-SE"/>
              </w:rPr>
              <w:t xml:space="preserve"> </w:t>
            </w:r>
            <w:r>
              <w:rPr>
                <w:rFonts w:eastAsia="Calibri" w:cs="Arial"/>
                <w:lang w:val="en-US" w:eastAsia="sv-SE"/>
              </w:rPr>
              <w:t xml:space="preserve">superficial application, </w:t>
            </w:r>
            <w:r>
              <w:rPr>
                <w:rFonts w:eastAsia="Calibri" w:cs="Arial"/>
                <w:lang w:val="sv-SE" w:eastAsia="sv-SE"/>
              </w:rPr>
              <w:t>t</w:t>
            </w:r>
            <w:r w:rsidRPr="00174DE7">
              <w:rPr>
                <w:rFonts w:eastAsia="Calibri" w:cs="Arial"/>
                <w:lang w:val="sv-SE" w:eastAsia="sv-SE"/>
              </w:rPr>
              <w:t xml:space="preserve">he application rate is : </w:t>
            </w:r>
          </w:p>
          <w:p w14:paraId="66F303AA" w14:textId="77777777" w:rsidR="0086173D" w:rsidRPr="00174DE7" w:rsidRDefault="0086173D" w:rsidP="0086173D">
            <w:pPr>
              <w:numPr>
                <w:ilvl w:val="0"/>
                <w:numId w:val="30"/>
              </w:numPr>
              <w:suppressAutoHyphens w:val="0"/>
              <w:spacing w:line="260" w:lineRule="atLeast"/>
              <w:ind w:left="474" w:hanging="283"/>
              <w:jc w:val="left"/>
              <w:rPr>
                <w:rFonts w:eastAsia="Calibri" w:cs="Arial"/>
                <w:b/>
                <w:bCs/>
                <w:szCs w:val="24"/>
                <w:lang w:val="en-US" w:eastAsia="sv-SE"/>
              </w:rPr>
            </w:pPr>
            <w:r w:rsidRPr="00174DE7">
              <w:rPr>
                <w:rFonts w:eastAsia="Calibri" w:cs="Arial"/>
                <w:lang w:val="en-US" w:eastAsia="sv-SE"/>
              </w:rPr>
              <w:t xml:space="preserve">300 g of product / m² of wood </w:t>
            </w:r>
          </w:p>
          <w:p w14:paraId="13E0838B" w14:textId="77777777" w:rsidR="0086173D" w:rsidRPr="00174DE7" w:rsidRDefault="0086173D" w:rsidP="0086173D">
            <w:pPr>
              <w:rPr>
                <w:rFonts w:eastAsia="Calibri" w:cs="Arial"/>
                <w:bCs/>
                <w:lang w:val="en-US" w:eastAsia="sv-SE"/>
              </w:rPr>
            </w:pPr>
          </w:p>
          <w:p w14:paraId="27231A2E" w14:textId="7DFD67E0" w:rsidR="0086173D" w:rsidRPr="00174DE7" w:rsidRDefault="0086173D" w:rsidP="0086173D">
            <w:pPr>
              <w:ind w:left="83"/>
              <w:rPr>
                <w:rFonts w:eastAsia="Calibri" w:cs="Arial"/>
                <w:bCs/>
                <w:lang w:val="en-US" w:eastAsia="sv-SE"/>
              </w:rPr>
            </w:pPr>
            <w:r w:rsidRPr="00174DE7">
              <w:rPr>
                <w:rFonts w:eastAsia="Calibri" w:cs="Arial"/>
                <w:lang w:val="en-US" w:eastAsia="sv-SE"/>
              </w:rPr>
              <w:t>When the application is performed by injection (</w:t>
            </w:r>
            <w:r w:rsidR="009B7448">
              <w:rPr>
                <w:rFonts w:eastAsia="Calibri" w:cs="Arial"/>
                <w:lang w:val="en-US" w:eastAsia="sv-SE"/>
              </w:rPr>
              <w:t xml:space="preserve">always </w:t>
            </w:r>
            <w:r w:rsidRPr="00174DE7">
              <w:rPr>
                <w:rFonts w:eastAsia="Calibri" w:cs="Arial"/>
                <w:lang w:val="en-US" w:eastAsia="sv-SE"/>
              </w:rPr>
              <w:t>combined with superficial application</w:t>
            </w:r>
            <w:r w:rsidR="009B7448">
              <w:rPr>
                <w:rFonts w:eastAsia="Calibri" w:cs="Arial"/>
                <w:lang w:val="en-US" w:eastAsia="sv-SE"/>
              </w:rPr>
              <w:t xml:space="preserve"> by brushing</w:t>
            </w:r>
            <w:r w:rsidRPr="00174DE7">
              <w:rPr>
                <w:rFonts w:eastAsia="Calibri" w:cs="Arial"/>
                <w:lang w:val="en-US" w:eastAsia="sv-SE"/>
              </w:rPr>
              <w:t xml:space="preserve">), the application rate is : </w:t>
            </w:r>
          </w:p>
          <w:p w14:paraId="08B01069" w14:textId="77777777" w:rsidR="0086173D" w:rsidRPr="00174DE7" w:rsidRDefault="0086173D" w:rsidP="0086173D">
            <w:pPr>
              <w:rPr>
                <w:lang w:val="en-US"/>
              </w:rPr>
            </w:pPr>
            <w:r w:rsidRPr="00174DE7">
              <w:rPr>
                <w:rFonts w:eastAsia="Calibri" w:cs="Arial"/>
                <w:lang w:val="en-US" w:eastAsia="sv-SE"/>
              </w:rPr>
              <w:t>180 mL of product / m² of wood (equivalent to 145 g of product /m² of wood) (+ 300 g of product / m² of wood)</w:t>
            </w:r>
          </w:p>
        </w:tc>
      </w:tr>
      <w:tr w:rsidR="0086173D" w:rsidRPr="00174DE7" w14:paraId="459854AD"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36517C" w14:textId="77777777" w:rsidR="0086173D" w:rsidRPr="00174DE7" w:rsidRDefault="0086173D" w:rsidP="0086173D">
            <w:pPr>
              <w:rPr>
                <w:b/>
              </w:rPr>
            </w:pPr>
            <w:r w:rsidRPr="00174DE7">
              <w:rPr>
                <w:b/>
                <w:color w:val="000000"/>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0E0EF5E" w14:textId="142A0FAD" w:rsidR="0086173D" w:rsidRPr="00174DE7" w:rsidRDefault="0026139B" w:rsidP="0086173D">
            <w:r>
              <w:t>N</w:t>
            </w:r>
            <w:r w:rsidR="0086173D" w:rsidRPr="00174DE7">
              <w:t>on professional users</w:t>
            </w:r>
          </w:p>
          <w:p w14:paraId="104BC384" w14:textId="77777777" w:rsidR="0086173D" w:rsidRPr="00174DE7" w:rsidRDefault="0086173D" w:rsidP="0086173D"/>
        </w:tc>
      </w:tr>
      <w:tr w:rsidR="0086173D" w:rsidRPr="00174DE7" w14:paraId="676A4DBA"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F553C0" w14:textId="77777777" w:rsidR="0086173D" w:rsidRPr="00174DE7" w:rsidRDefault="0086173D" w:rsidP="0086173D">
            <w:pPr>
              <w:rPr>
                <w:b/>
              </w:rPr>
            </w:pPr>
            <w:r w:rsidRPr="00174DE7">
              <w:rPr>
                <w:b/>
                <w:color w:val="000000"/>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9AE3F7" w14:textId="77777777" w:rsidR="0086173D" w:rsidRPr="00F53F23" w:rsidRDefault="0086173D" w:rsidP="0086173D">
            <w:pPr>
              <w:rPr>
                <w:rFonts w:cs="Arial"/>
                <w:bCs/>
              </w:rPr>
            </w:pPr>
            <w:r w:rsidRPr="00F53F23">
              <w:rPr>
                <w:rFonts w:cs="Arial"/>
                <w:bCs/>
              </w:rPr>
              <w:t>Can /Tin, Metal: , 0.75 L, 1, 2.5, 5, 25, 30, 55 and 200 L</w:t>
            </w:r>
          </w:p>
          <w:p w14:paraId="2E282DE8" w14:textId="77777777" w:rsidR="0086173D" w:rsidRPr="00F53F23" w:rsidRDefault="0086173D" w:rsidP="0086173D">
            <w:pPr>
              <w:rPr>
                <w:rFonts w:cs="Arial"/>
                <w:bCs/>
              </w:rPr>
            </w:pPr>
          </w:p>
          <w:p w14:paraId="5675F971" w14:textId="77777777" w:rsidR="0086173D" w:rsidRPr="00F53F23" w:rsidRDefault="0086173D" w:rsidP="0086173D">
            <w:pPr>
              <w:rPr>
                <w:rFonts w:cs="Arial"/>
                <w:bCs/>
              </w:rPr>
            </w:pPr>
            <w:r w:rsidRPr="00F53F23">
              <w:rPr>
                <w:rFonts w:cs="Arial"/>
                <w:bCs/>
              </w:rPr>
              <w:t>IBC (intermediate bulk container), Plastic: HDPE , 1 000 L</w:t>
            </w:r>
          </w:p>
          <w:p w14:paraId="06EF596E" w14:textId="77777777" w:rsidR="0086173D" w:rsidRPr="00F53F23" w:rsidRDefault="0086173D" w:rsidP="0086173D">
            <w:pPr>
              <w:rPr>
                <w:rFonts w:cs="Arial"/>
                <w:bCs/>
              </w:rPr>
            </w:pPr>
          </w:p>
          <w:p w14:paraId="474FE884" w14:textId="77AB75A2" w:rsidR="0086173D" w:rsidRDefault="0086173D" w:rsidP="0086173D">
            <w:pPr>
              <w:rPr>
                <w:rFonts w:cs="Arial"/>
                <w:bCs/>
              </w:rPr>
            </w:pPr>
            <w:r w:rsidRPr="00F53F23">
              <w:rPr>
                <w:rFonts w:cs="Arial"/>
                <w:bCs/>
              </w:rPr>
              <w:t>The 30 L tin-plate can is internally coated with an epoxyphenolic lacquer. Tin-plate can up to 30 L for non-professional users.</w:t>
            </w:r>
          </w:p>
          <w:p w14:paraId="07CCC0B7" w14:textId="77777777" w:rsidR="0026139B" w:rsidRPr="002A77D8" w:rsidRDefault="0026139B" w:rsidP="0086173D">
            <w:pPr>
              <w:rPr>
                <w:rFonts w:cs="Arial"/>
                <w:bCs/>
              </w:rPr>
            </w:pPr>
          </w:p>
          <w:p w14:paraId="5F97E60B" w14:textId="77777777" w:rsidR="0086173D" w:rsidRPr="00255290" w:rsidRDefault="0086173D" w:rsidP="0086173D">
            <w:pPr>
              <w:rPr>
                <w:rFonts w:cs="Arial"/>
                <w:bCs/>
              </w:rPr>
            </w:pPr>
            <w:r w:rsidRPr="00255290">
              <w:rPr>
                <w:rFonts w:cs="Arial"/>
                <w:bCs/>
              </w:rPr>
              <w:t>Packagings for non-professional users are hermetically closed with a cap and fitted with a child-resistant fastening and a tactile warning of danger.</w:t>
            </w:r>
          </w:p>
          <w:p w14:paraId="616128E2" w14:textId="77777777" w:rsidR="0086173D" w:rsidRPr="00174DE7" w:rsidRDefault="0086173D" w:rsidP="0086173D"/>
        </w:tc>
      </w:tr>
    </w:tbl>
    <w:p w14:paraId="7434BA6C" w14:textId="77777777" w:rsidR="0086173D" w:rsidRDefault="0086173D" w:rsidP="0086173D">
      <w:pPr>
        <w:keepNext/>
        <w:widowControl w:val="0"/>
        <w:autoSpaceDE w:val="0"/>
        <w:spacing w:after="120"/>
        <w:rPr>
          <w:b/>
          <w:bCs/>
          <w:i/>
          <w:iCs/>
        </w:rPr>
      </w:pPr>
    </w:p>
    <w:p w14:paraId="25E0C9FB" w14:textId="77777777" w:rsidR="0086173D" w:rsidRDefault="0086173D" w:rsidP="0086173D">
      <w:pPr>
        <w:pStyle w:val="Titre4"/>
        <w:rPr>
          <w:rFonts w:cs="Times"/>
          <w:bCs/>
          <w:szCs w:val="29"/>
        </w:rPr>
      </w:pPr>
      <w:bookmarkStart w:id="53" w:name="_Toc536627278"/>
      <w:r>
        <w:t>Use-specific instructions for use</w:t>
      </w:r>
      <w:bookmarkEnd w:id="5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173D" w:rsidRPr="00174DE7" w14:paraId="200A2538"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955190C" w14:textId="4786B7C6" w:rsidR="0086173D" w:rsidRPr="000C2A41" w:rsidRDefault="0086173D" w:rsidP="0086173D">
            <w:pPr>
              <w:pStyle w:val="Paragraphedeliste"/>
              <w:widowControl w:val="0"/>
              <w:numPr>
                <w:ilvl w:val="0"/>
                <w:numId w:val="30"/>
              </w:numPr>
              <w:autoSpaceDE w:val="0"/>
              <w:snapToGrid w:val="0"/>
              <w:spacing w:before="80"/>
              <w:rPr>
                <w:rFonts w:cs="Times"/>
                <w:bCs/>
                <w:szCs w:val="29"/>
              </w:rPr>
            </w:pPr>
            <w:r w:rsidRPr="00174DE7">
              <w:rPr>
                <w:rFonts w:cs="Arial"/>
              </w:rPr>
              <w:t>Curative treatments performed by injection must always be combined with curative treatments applied by surperficial application</w:t>
            </w:r>
            <w:r w:rsidR="00AE7B9B">
              <w:rPr>
                <w:rFonts w:cs="Arial"/>
              </w:rPr>
              <w:t xml:space="preserve"> (only with brushing application)</w:t>
            </w:r>
            <w:r w:rsidRPr="00174DE7">
              <w:rPr>
                <w:rFonts w:cs="Arial"/>
              </w:rPr>
              <w:t>.</w:t>
            </w:r>
          </w:p>
          <w:p w14:paraId="3BB168B1" w14:textId="2677D1E6" w:rsidR="000C2A41" w:rsidRPr="00AA130E" w:rsidRDefault="000C2A41" w:rsidP="0086173D">
            <w:pPr>
              <w:pStyle w:val="Paragraphedeliste"/>
              <w:widowControl w:val="0"/>
              <w:numPr>
                <w:ilvl w:val="0"/>
                <w:numId w:val="30"/>
              </w:numPr>
              <w:autoSpaceDE w:val="0"/>
              <w:snapToGrid w:val="0"/>
              <w:spacing w:before="80"/>
              <w:rPr>
                <w:rFonts w:cs="Times"/>
                <w:bCs/>
              </w:rPr>
            </w:pPr>
            <w:r w:rsidRPr="00B7552D">
              <w:rPr>
                <w:lang w:eastAsia="en-GB"/>
              </w:rPr>
              <w:t>Use only for the treatement of wood not be exposed to weathering and leaching</w:t>
            </w:r>
          </w:p>
        </w:tc>
      </w:tr>
    </w:tbl>
    <w:p w14:paraId="4042A3CB" w14:textId="77777777" w:rsidR="0086173D" w:rsidRPr="00943FA9" w:rsidRDefault="0086173D" w:rsidP="0086173D">
      <w:pPr>
        <w:keepNext/>
        <w:widowControl w:val="0"/>
        <w:autoSpaceDE w:val="0"/>
        <w:spacing w:after="120"/>
        <w:rPr>
          <w:rFonts w:eastAsia="Calibri"/>
          <w:b/>
          <w:i/>
          <w:caps/>
          <w:sz w:val="22"/>
          <w:szCs w:val="22"/>
          <w:lang w:val="en-US" w:eastAsia="en-US"/>
        </w:rPr>
      </w:pPr>
    </w:p>
    <w:p w14:paraId="57928367" w14:textId="77777777" w:rsidR="0086173D" w:rsidRDefault="0086173D" w:rsidP="0086173D">
      <w:pPr>
        <w:pStyle w:val="Titre4"/>
        <w:rPr>
          <w:rFonts w:cs="Times"/>
          <w:bCs/>
          <w:szCs w:val="29"/>
        </w:rPr>
      </w:pPr>
      <w:bookmarkStart w:id="54" w:name="_Toc536627279"/>
      <w:r>
        <w:t>Use-specific risk mitigation measures</w:t>
      </w:r>
      <w:bookmarkEnd w:id="54"/>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173D" w14:paraId="3D755E5D"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AC7EC66" w14:textId="77777777" w:rsidR="0086173D" w:rsidRPr="0021636F" w:rsidRDefault="0086173D" w:rsidP="0086173D">
            <w:pPr>
              <w:pStyle w:val="Paragraphedeliste"/>
              <w:numPr>
                <w:ilvl w:val="0"/>
                <w:numId w:val="31"/>
              </w:numPr>
              <w:suppressAutoHyphens w:val="0"/>
              <w:spacing w:line="276" w:lineRule="auto"/>
              <w:rPr>
                <w:rFonts w:eastAsia="Calibri" w:cs="Arial"/>
                <w:szCs w:val="22"/>
                <w:lang w:val="en-US" w:eastAsia="sv-SE"/>
              </w:rPr>
            </w:pPr>
            <w:r w:rsidRPr="0021636F">
              <w:rPr>
                <w:rFonts w:eastAsia="Calibri" w:cs="Arial"/>
                <w:b/>
                <w:szCs w:val="22"/>
                <w:lang w:val="en-US" w:eastAsia="sv-SE"/>
              </w:rPr>
              <w:t xml:space="preserve">Professional user only:  </w:t>
            </w:r>
            <w:r w:rsidRPr="0021636F">
              <w:rPr>
                <w:rFonts w:eastAsia="Calibri" w:cs="Arial"/>
                <w:szCs w:val="22"/>
                <w:lang w:val="en-US" w:eastAsia="sv-SE"/>
              </w:rPr>
              <w:t>For brushing, wear protective chemical resistant gloves (glove material to be specified by the authorisation holder within the product information) and coated coverall (category IV type 6) during application phase.</w:t>
            </w:r>
          </w:p>
          <w:p w14:paraId="52C4C0B2" w14:textId="34F345B8" w:rsidR="0086173D" w:rsidRPr="0021636F" w:rsidRDefault="0086173D" w:rsidP="0086173D">
            <w:pPr>
              <w:pStyle w:val="Paragraphedeliste"/>
              <w:numPr>
                <w:ilvl w:val="0"/>
                <w:numId w:val="31"/>
              </w:numPr>
              <w:suppressAutoHyphens w:val="0"/>
              <w:spacing w:line="276" w:lineRule="auto"/>
              <w:rPr>
                <w:rFonts w:eastAsia="Calibri" w:cs="Arial"/>
                <w:szCs w:val="22"/>
                <w:lang w:val="en-US" w:eastAsia="sv-SE"/>
              </w:rPr>
            </w:pPr>
            <w:r w:rsidRPr="0021636F">
              <w:rPr>
                <w:rFonts w:eastAsia="Calibri" w:cs="Arial"/>
                <w:b/>
                <w:szCs w:val="22"/>
                <w:lang w:val="en-US" w:eastAsia="sv-SE"/>
              </w:rPr>
              <w:t xml:space="preserve">Professional user only:  </w:t>
            </w:r>
            <w:r w:rsidRPr="0021636F">
              <w:rPr>
                <w:rFonts w:eastAsia="Calibri" w:cs="Arial"/>
                <w:szCs w:val="22"/>
                <w:lang w:val="en-US" w:eastAsia="sv-SE"/>
              </w:rPr>
              <w:t xml:space="preserve">For spraying, wear protective chemical resistant gloves (glove material to be specified by the authorisation holder within the product information) and impermeable </w:t>
            </w:r>
            <w:r w:rsidR="002A2E88" w:rsidRPr="0021636F">
              <w:rPr>
                <w:rFonts w:eastAsia="Calibri" w:cs="Arial"/>
                <w:szCs w:val="22"/>
                <w:lang w:val="en-US" w:eastAsia="sv-SE"/>
              </w:rPr>
              <w:t>coverall (</w:t>
            </w:r>
            <w:r w:rsidRPr="0021636F">
              <w:rPr>
                <w:rFonts w:eastAsia="Calibri" w:cs="Arial"/>
                <w:szCs w:val="22"/>
                <w:lang w:val="en-US" w:eastAsia="sv-SE"/>
              </w:rPr>
              <w:t xml:space="preserve">category IV type 4) during spraying and gloves and coated coverall (category IV type 6) during cleaning phase. </w:t>
            </w:r>
          </w:p>
          <w:p w14:paraId="61215CFB" w14:textId="77777777" w:rsidR="0086173D" w:rsidRPr="0021636F" w:rsidRDefault="0086173D" w:rsidP="0086173D">
            <w:pPr>
              <w:pStyle w:val="Paragraphedeliste"/>
              <w:numPr>
                <w:ilvl w:val="0"/>
                <w:numId w:val="31"/>
              </w:numPr>
              <w:suppressAutoHyphens w:val="0"/>
              <w:spacing w:line="276" w:lineRule="auto"/>
              <w:rPr>
                <w:rFonts w:eastAsia="Calibri" w:cs="Arial"/>
                <w:szCs w:val="22"/>
                <w:lang w:val="en-US" w:eastAsia="sv-SE"/>
              </w:rPr>
            </w:pPr>
            <w:r w:rsidRPr="0021636F">
              <w:rPr>
                <w:rFonts w:eastAsia="Calibri" w:cs="Arial"/>
                <w:b/>
                <w:szCs w:val="22"/>
                <w:lang w:val="en-US" w:eastAsia="sv-SE"/>
              </w:rPr>
              <w:t>Professional user only:</w:t>
            </w:r>
            <w:r w:rsidRPr="0021636F">
              <w:rPr>
                <w:rFonts w:eastAsia="Calibri" w:cs="Arial"/>
                <w:szCs w:val="22"/>
                <w:lang w:val="en-US" w:eastAsia="sv-SE"/>
              </w:rPr>
              <w:t xml:space="preserve"> For injection combined to brushing, wear protective chemical resistant gloves (glove material to be specified by the authorisation holder within the product information) and coated coverall (category IV type 6) during application by brushing and gloves during injection.</w:t>
            </w:r>
          </w:p>
          <w:p w14:paraId="57F8EDBC" w14:textId="77777777" w:rsidR="0086173D" w:rsidRPr="0021636F" w:rsidRDefault="0086173D" w:rsidP="0086173D">
            <w:pPr>
              <w:pStyle w:val="Paragraphedeliste"/>
              <w:numPr>
                <w:ilvl w:val="0"/>
                <w:numId w:val="31"/>
              </w:numPr>
              <w:suppressAutoHyphens w:val="0"/>
              <w:spacing w:line="276" w:lineRule="auto"/>
              <w:rPr>
                <w:rFonts w:cs="Times"/>
                <w:bCs/>
                <w:szCs w:val="29"/>
                <w:lang w:val="en-US"/>
              </w:rPr>
            </w:pPr>
            <w:r w:rsidRPr="0021636F">
              <w:rPr>
                <w:rFonts w:eastAsia="Calibri" w:cs="Arial"/>
                <w:b/>
                <w:szCs w:val="22"/>
                <w:lang w:val="en-US" w:eastAsia="sv-SE"/>
              </w:rPr>
              <w:t xml:space="preserve">Professional user only </w:t>
            </w:r>
            <w:r w:rsidRPr="0021636F">
              <w:rPr>
                <w:rFonts w:eastAsia="Calibri" w:cs="Arial"/>
                <w:szCs w:val="22"/>
                <w:lang w:val="en-US" w:eastAsia="sv-SE"/>
              </w:rPr>
              <w:t>For injection combined to spraying, wear protective chemical resistant gloves (glove material to be specified by the authorisation holder within the product information) and impermeable coverall (category IV type 4) during application by spraying, gloves during injection and gloves and coated coverall (category IV type 6) during cleaning of equipments.</w:t>
            </w:r>
          </w:p>
          <w:p w14:paraId="03C53C5D" w14:textId="2AC4395B" w:rsidR="0086173D" w:rsidRPr="00385B9B" w:rsidRDefault="0086173D" w:rsidP="0086173D">
            <w:pPr>
              <w:numPr>
                <w:ilvl w:val="0"/>
                <w:numId w:val="31"/>
              </w:numPr>
              <w:suppressAutoHyphens w:val="0"/>
              <w:spacing w:line="276" w:lineRule="auto"/>
              <w:rPr>
                <w:rFonts w:cs="Times"/>
                <w:bCs/>
                <w:szCs w:val="29"/>
                <w:lang w:val="en-US"/>
              </w:rPr>
            </w:pPr>
            <w:r w:rsidRPr="00385B9B">
              <w:rPr>
                <w:rFonts w:cs="Times"/>
                <w:bCs/>
                <w:szCs w:val="29"/>
                <w:lang w:val="en-US"/>
              </w:rPr>
              <w:t xml:space="preserve">For outdoor treatment, </w:t>
            </w:r>
            <w:r w:rsidR="001B6222">
              <w:rPr>
                <w:rFonts w:cs="Times"/>
                <w:bCs/>
                <w:szCs w:val="29"/>
                <w:lang w:val="en-US"/>
              </w:rPr>
              <w:t xml:space="preserve">apply only by brushing and </w:t>
            </w:r>
            <w:r w:rsidRPr="00385B9B">
              <w:rPr>
                <w:rFonts w:cs="Times"/>
                <w:bCs/>
                <w:szCs w:val="29"/>
                <w:lang w:val="en-US"/>
              </w:rPr>
              <w:t xml:space="preserve">cover the ground with an appropriate plastic sheet to prevent any emission to the terrestrial compartment   </w:t>
            </w:r>
          </w:p>
          <w:p w14:paraId="5459D85B" w14:textId="77777777" w:rsidR="0086173D" w:rsidRDefault="0086173D">
            <w:pPr>
              <w:numPr>
                <w:ilvl w:val="0"/>
                <w:numId w:val="31"/>
              </w:numPr>
              <w:suppressAutoHyphens w:val="0"/>
              <w:spacing w:line="276" w:lineRule="auto"/>
              <w:rPr>
                <w:rFonts w:cs="Times"/>
                <w:bCs/>
                <w:szCs w:val="29"/>
                <w:lang w:val="en-US"/>
              </w:rPr>
            </w:pPr>
            <w:r w:rsidRPr="00385B9B">
              <w:rPr>
                <w:rFonts w:cs="Times"/>
                <w:bCs/>
                <w:szCs w:val="29"/>
                <w:lang w:val="en-US"/>
              </w:rPr>
              <w:t>Do not apply where the product can reach surface water during outdoor application</w:t>
            </w:r>
          </w:p>
          <w:p w14:paraId="3CF927B7" w14:textId="012A9E43" w:rsidR="00B7552D" w:rsidRPr="002A2E88" w:rsidRDefault="00B7552D">
            <w:pPr>
              <w:numPr>
                <w:ilvl w:val="0"/>
                <w:numId w:val="31"/>
              </w:numPr>
              <w:suppressAutoHyphens w:val="0"/>
              <w:spacing w:line="276" w:lineRule="auto"/>
              <w:rPr>
                <w:rFonts w:cs="Times"/>
                <w:bCs/>
                <w:szCs w:val="29"/>
                <w:lang w:val="en-US"/>
              </w:rPr>
            </w:pPr>
            <w:r w:rsidRPr="00385B9B">
              <w:rPr>
                <w:rFonts w:cs="Times"/>
                <w:bCs/>
                <w:szCs w:val="29"/>
                <w:lang w:val="en-US"/>
              </w:rPr>
              <w:t>Treated wood should not be used near an aquatic environment.</w:t>
            </w:r>
          </w:p>
        </w:tc>
      </w:tr>
    </w:tbl>
    <w:p w14:paraId="5AB1E92E" w14:textId="77777777" w:rsidR="0086173D" w:rsidRPr="00EC0D24" w:rsidRDefault="0086173D" w:rsidP="0086173D">
      <w:pPr>
        <w:keepNext/>
        <w:widowControl w:val="0"/>
        <w:autoSpaceDE w:val="0"/>
        <w:spacing w:after="120"/>
        <w:rPr>
          <w:rFonts w:eastAsia="Calibri"/>
          <w:b/>
          <w:i/>
          <w:caps/>
          <w:sz w:val="22"/>
          <w:szCs w:val="22"/>
          <w:lang w:val="de-DE" w:eastAsia="en-US"/>
        </w:rPr>
      </w:pPr>
    </w:p>
    <w:p w14:paraId="764B69EA" w14:textId="77777777" w:rsidR="0086173D" w:rsidRPr="00EC0D24" w:rsidRDefault="0086173D" w:rsidP="0086173D">
      <w:pPr>
        <w:pStyle w:val="Titre4"/>
        <w:rPr>
          <w:rFonts w:cs="Times"/>
          <w:bCs/>
          <w:szCs w:val="29"/>
        </w:rPr>
      </w:pPr>
      <w:bookmarkStart w:id="55" w:name="_Toc536627280"/>
      <w:r w:rsidRPr="00EC0D24">
        <w:t>Where specific to the use, the particulars of likely direct or indirect effects, first aid instructions and emergency measures to protect the environment</w:t>
      </w:r>
      <w:bookmarkEnd w:id="5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173D" w14:paraId="0418F85E"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62B3EE7" w14:textId="77777777" w:rsidR="0086173D" w:rsidRDefault="0086173D" w:rsidP="0086173D">
            <w:pPr>
              <w:widowControl w:val="0"/>
              <w:autoSpaceDE w:val="0"/>
              <w:snapToGrid w:val="0"/>
              <w:spacing w:before="80"/>
              <w:rPr>
                <w:rFonts w:cs="Times"/>
                <w:bCs/>
                <w:szCs w:val="29"/>
              </w:rPr>
            </w:pPr>
          </w:p>
        </w:tc>
      </w:tr>
    </w:tbl>
    <w:p w14:paraId="4CFCD676" w14:textId="77777777" w:rsidR="0086173D" w:rsidRPr="00EC0D24" w:rsidRDefault="0086173D" w:rsidP="0086173D">
      <w:pPr>
        <w:pStyle w:val="Titre4"/>
        <w:rPr>
          <w:rFonts w:cs="Times"/>
          <w:bCs/>
          <w:szCs w:val="29"/>
        </w:rPr>
      </w:pPr>
      <w:bookmarkStart w:id="56" w:name="_Toc536627281"/>
      <w:r w:rsidRPr="00EC0D24">
        <w:t>Where specific to the use, the instructions for safe disposal of the product and its packaging</w:t>
      </w:r>
      <w:bookmarkEnd w:id="56"/>
      <w:r w:rsidRPr="00EC0D24">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173D" w14:paraId="425931CA"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ABC3C12" w14:textId="77777777" w:rsidR="0086173D" w:rsidRDefault="0086173D" w:rsidP="0086173D">
            <w:pPr>
              <w:widowControl w:val="0"/>
              <w:autoSpaceDE w:val="0"/>
              <w:snapToGrid w:val="0"/>
              <w:spacing w:before="80"/>
              <w:rPr>
                <w:rFonts w:cs="Times"/>
                <w:bCs/>
                <w:szCs w:val="29"/>
              </w:rPr>
            </w:pPr>
          </w:p>
        </w:tc>
      </w:tr>
    </w:tbl>
    <w:p w14:paraId="72D7F583" w14:textId="77777777" w:rsidR="0086173D" w:rsidRDefault="0086173D" w:rsidP="0086173D">
      <w:pPr>
        <w:widowControl w:val="0"/>
        <w:autoSpaceDE w:val="0"/>
        <w:rPr>
          <w:rFonts w:cs="Times"/>
          <w:bCs/>
          <w:szCs w:val="29"/>
        </w:rPr>
      </w:pPr>
    </w:p>
    <w:p w14:paraId="61F28857" w14:textId="77777777" w:rsidR="0086173D" w:rsidRPr="00943FA9" w:rsidRDefault="0086173D" w:rsidP="0086173D">
      <w:pPr>
        <w:pStyle w:val="Titre4"/>
        <w:rPr>
          <w:rFonts w:cs="Times"/>
          <w:bCs/>
          <w:szCs w:val="29"/>
          <w:lang w:val="en-US"/>
        </w:rPr>
      </w:pPr>
      <w:bookmarkStart w:id="57" w:name="_Toc536627282"/>
      <w:r w:rsidRPr="00943FA9">
        <w:rPr>
          <w:lang w:val="en-US"/>
        </w:rPr>
        <w:t>Where specific to the use, the conditions of storage and shelf-life of the product under normal conditions of storage</w:t>
      </w:r>
      <w:bookmarkEnd w:id="5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173D" w14:paraId="3CE8F999"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0656539" w14:textId="77777777" w:rsidR="0086173D" w:rsidRDefault="0086173D" w:rsidP="0086173D">
            <w:pPr>
              <w:widowControl w:val="0"/>
              <w:autoSpaceDE w:val="0"/>
              <w:snapToGrid w:val="0"/>
              <w:spacing w:before="80"/>
              <w:rPr>
                <w:rFonts w:cs="Times"/>
                <w:bCs/>
                <w:szCs w:val="29"/>
              </w:rPr>
            </w:pPr>
          </w:p>
        </w:tc>
      </w:tr>
    </w:tbl>
    <w:p w14:paraId="0260FD6D" w14:textId="77777777" w:rsidR="0086173D" w:rsidRDefault="0086173D" w:rsidP="002771BE">
      <w:pPr>
        <w:widowControl w:val="0"/>
        <w:autoSpaceDE w:val="0"/>
        <w:rPr>
          <w:rFonts w:cs="Times"/>
          <w:bCs/>
          <w:szCs w:val="29"/>
        </w:rPr>
      </w:pPr>
    </w:p>
    <w:p w14:paraId="31C1911C" w14:textId="77777777" w:rsidR="0086173D" w:rsidRDefault="0086173D" w:rsidP="002771BE">
      <w:pPr>
        <w:widowControl w:val="0"/>
        <w:autoSpaceDE w:val="0"/>
        <w:rPr>
          <w:rFonts w:cs="Times"/>
          <w:bCs/>
          <w:szCs w:val="29"/>
        </w:rPr>
      </w:pPr>
    </w:p>
    <w:p w14:paraId="01D94110" w14:textId="77777777" w:rsidR="002771BE" w:rsidRDefault="002771BE" w:rsidP="002771BE">
      <w:pPr>
        <w:widowControl w:val="0"/>
        <w:autoSpaceDE w:val="0"/>
        <w:rPr>
          <w:rFonts w:cs="Times"/>
          <w:bCs/>
          <w:szCs w:val="29"/>
        </w:rPr>
      </w:pPr>
    </w:p>
    <w:p w14:paraId="06A1A33E" w14:textId="0A4C2D27" w:rsidR="002771BE" w:rsidRDefault="002771BE" w:rsidP="002771BE">
      <w:pPr>
        <w:pStyle w:val="Titre4"/>
      </w:pPr>
      <w:bookmarkStart w:id="58" w:name="_Toc536627283"/>
      <w:r>
        <w:lastRenderedPageBreak/>
        <w:t>Use description</w:t>
      </w:r>
      <w:bookmarkEnd w:id="58"/>
    </w:p>
    <w:p w14:paraId="6722F295" w14:textId="5317E3A9" w:rsidR="00AA3A73" w:rsidRPr="00AA3A73" w:rsidRDefault="00AA3A73" w:rsidP="00AA3A73">
      <w:pPr>
        <w:pStyle w:val="Lgende"/>
        <w:spacing w:after="120"/>
        <w:rPr>
          <w:rFonts w:ascii="Verdana" w:hAnsi="Verdana"/>
        </w:rPr>
      </w:pPr>
      <w:r w:rsidRPr="00AA3A73">
        <w:rPr>
          <w:rFonts w:ascii="Verdana" w:hAnsi="Verdana"/>
        </w:rPr>
        <w:t xml:space="preserve">Use # </w:t>
      </w:r>
      <w:r w:rsidR="0086173D">
        <w:rPr>
          <w:rFonts w:ascii="Verdana" w:hAnsi="Verdana"/>
        </w:rPr>
        <w:t>5</w:t>
      </w:r>
      <w:r w:rsidRPr="00AA3A73">
        <w:rPr>
          <w:rFonts w:ascii="Verdana" w:hAnsi="Verdana"/>
        </w:rPr>
        <w:t xml:space="preserve"> – industrial treatment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AA3A73" w:rsidRPr="00AA3A73" w14:paraId="7221C208" w14:textId="77777777" w:rsidTr="00B21D4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E2DF23" w14:textId="77777777" w:rsidR="00AA3A73" w:rsidRPr="00AA3A73" w:rsidRDefault="00AA3A73" w:rsidP="00B21D4B">
            <w:pPr>
              <w:rPr>
                <w:b/>
              </w:rPr>
            </w:pPr>
            <w:r w:rsidRPr="00AA3A73">
              <w:rPr>
                <w:b/>
                <w:color w:val="000000"/>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97443E" w14:textId="77777777" w:rsidR="00AA3A73" w:rsidRPr="00AA3A73" w:rsidRDefault="00AA3A73" w:rsidP="00B21D4B">
            <w:pPr>
              <w:snapToGrid w:val="0"/>
              <w:ind w:left="49"/>
              <w:rPr>
                <w:rFonts w:cs="Arial"/>
              </w:rPr>
            </w:pPr>
            <w:r w:rsidRPr="00AA3A73">
              <w:rPr>
                <w:rFonts w:cs="Arial"/>
              </w:rPr>
              <w:t>8 – Wood preservatives</w:t>
            </w:r>
          </w:p>
        </w:tc>
      </w:tr>
      <w:tr w:rsidR="00AA3A73" w:rsidRPr="00AA3A73" w14:paraId="5BB0C0FE"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1DA000" w14:textId="77777777" w:rsidR="00AA3A73" w:rsidRPr="00AA3A73" w:rsidRDefault="00AA3A73" w:rsidP="00B21D4B">
            <w:pPr>
              <w:rPr>
                <w:b/>
              </w:rPr>
            </w:pPr>
            <w:r w:rsidRPr="00AA3A73">
              <w:rPr>
                <w:b/>
                <w:color w:val="000000"/>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F8FD37A" w14:textId="43974975" w:rsidR="00AA3A73" w:rsidRPr="00AA3A73" w:rsidRDefault="00AA3A73" w:rsidP="00B21D4B">
            <w:pPr>
              <w:snapToGrid w:val="0"/>
              <w:ind w:left="49"/>
              <w:rPr>
                <w:rFonts w:cs="Arial"/>
              </w:rPr>
            </w:pPr>
            <w:r w:rsidRPr="00AA3A73">
              <w:rPr>
                <w:rFonts w:cs="Arial"/>
              </w:rPr>
              <w:t xml:space="preserve">Preventive treatment for wood </w:t>
            </w:r>
            <w:r w:rsidR="002A6946">
              <w:rPr>
                <w:rFonts w:cs="Arial"/>
              </w:rPr>
              <w:t>i</w:t>
            </w:r>
            <w:r w:rsidRPr="00AA3A73">
              <w:rPr>
                <w:rFonts w:cs="Arial"/>
              </w:rPr>
              <w:t xml:space="preserve">n use </w:t>
            </w:r>
            <w:r w:rsidRPr="0021636F">
              <w:rPr>
                <w:rFonts w:cs="Arial"/>
              </w:rPr>
              <w:t>class 1</w:t>
            </w:r>
          </w:p>
        </w:tc>
      </w:tr>
      <w:tr w:rsidR="00AA3A73" w:rsidRPr="00AA3A73" w14:paraId="1D57B427"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E8A9AA" w14:textId="77777777" w:rsidR="00AA3A73" w:rsidRPr="00AA3A73" w:rsidRDefault="00AA3A73" w:rsidP="00B21D4B">
            <w:pPr>
              <w:rPr>
                <w:b/>
              </w:rPr>
            </w:pPr>
            <w:r w:rsidRPr="00AA3A73">
              <w:rPr>
                <w:b/>
                <w:color w:val="000000"/>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C1ACFC" w14:textId="77777777" w:rsidR="00AA3A73" w:rsidRPr="00AA3A73" w:rsidRDefault="00AA3A73" w:rsidP="00B21D4B">
            <w:pPr>
              <w:ind w:left="49"/>
              <w:rPr>
                <w:rFonts w:eastAsia="Calibri" w:cs="Arial"/>
                <w:bCs/>
                <w:lang w:eastAsia="sv-SE"/>
              </w:rPr>
            </w:pPr>
            <w:r w:rsidRPr="00AA3A73">
              <w:rPr>
                <w:rFonts w:eastAsia="Calibri" w:cs="Arial"/>
                <w:lang w:eastAsia="fr-FR"/>
              </w:rPr>
              <w:t>Wood boring insects</w:t>
            </w:r>
          </w:p>
          <w:p w14:paraId="0F160B4D" w14:textId="77777777" w:rsidR="00AA3A73" w:rsidRPr="00AA3A73" w:rsidRDefault="00AA3A73" w:rsidP="00AA3A73">
            <w:pPr>
              <w:numPr>
                <w:ilvl w:val="0"/>
                <w:numId w:val="28"/>
              </w:numPr>
              <w:suppressAutoHyphens w:val="0"/>
              <w:spacing w:line="260" w:lineRule="atLeast"/>
              <w:ind w:left="407" w:hanging="182"/>
              <w:contextualSpacing/>
              <w:jc w:val="left"/>
              <w:rPr>
                <w:rFonts w:eastAsia="Calibri" w:cs="Arial"/>
                <w:bCs/>
                <w:lang w:eastAsia="sv-SE"/>
              </w:rPr>
            </w:pPr>
            <w:r w:rsidRPr="00AA3A73">
              <w:rPr>
                <w:rFonts w:eastAsia="Calibri" w:cs="Arial"/>
                <w:lang w:eastAsia="fr-FR"/>
              </w:rPr>
              <w:t>House longhorn beetle</w:t>
            </w:r>
            <w:r w:rsidRPr="00AA3A73">
              <w:rPr>
                <w:rFonts w:eastAsia="Calibri" w:cs="Arial"/>
                <w:lang w:eastAsia="sv-SE"/>
              </w:rPr>
              <w:t xml:space="preserve"> (</w:t>
            </w:r>
            <w:r w:rsidRPr="00AA3A73">
              <w:rPr>
                <w:rFonts w:eastAsia="Calibri" w:cs="Arial"/>
                <w:i/>
                <w:lang w:eastAsia="sv-SE"/>
              </w:rPr>
              <w:t>Hylotrupes bajulus</w:t>
            </w:r>
            <w:r w:rsidRPr="00AA3A73">
              <w:rPr>
                <w:rFonts w:eastAsia="Calibri" w:cs="Arial"/>
                <w:lang w:eastAsia="sv-SE"/>
              </w:rPr>
              <w:t>)</w:t>
            </w:r>
          </w:p>
          <w:p w14:paraId="5BBC54F3" w14:textId="77777777" w:rsidR="00AA3A73" w:rsidRPr="00AA3A73" w:rsidRDefault="00AA3A73" w:rsidP="00AA3A73">
            <w:pPr>
              <w:numPr>
                <w:ilvl w:val="0"/>
                <w:numId w:val="28"/>
              </w:numPr>
              <w:suppressAutoHyphens w:val="0"/>
              <w:spacing w:line="260" w:lineRule="atLeast"/>
              <w:ind w:left="407" w:hanging="182"/>
              <w:contextualSpacing/>
              <w:jc w:val="left"/>
              <w:rPr>
                <w:rFonts w:eastAsia="Calibri" w:cs="Arial"/>
                <w:bCs/>
                <w:lang w:eastAsia="sv-SE"/>
              </w:rPr>
            </w:pPr>
            <w:r w:rsidRPr="00AA3A73">
              <w:rPr>
                <w:rFonts w:eastAsia="Calibri" w:cs="Arial"/>
                <w:lang w:eastAsia="fr-FR"/>
              </w:rPr>
              <w:t xml:space="preserve">Common furniture beetle </w:t>
            </w:r>
            <w:r w:rsidRPr="00AA3A73">
              <w:rPr>
                <w:rFonts w:eastAsia="Calibri" w:cs="Arial"/>
                <w:lang w:eastAsia="sv-SE"/>
              </w:rPr>
              <w:t>(</w:t>
            </w:r>
            <w:r w:rsidRPr="00AA3A73">
              <w:rPr>
                <w:rFonts w:eastAsia="Calibri" w:cs="Arial"/>
                <w:i/>
                <w:lang w:eastAsia="sv-SE"/>
              </w:rPr>
              <w:t>Anobium punctatum</w:t>
            </w:r>
            <w:r w:rsidRPr="00AA3A73">
              <w:rPr>
                <w:rFonts w:eastAsia="Calibri" w:cs="Arial"/>
                <w:lang w:eastAsia="sv-SE"/>
              </w:rPr>
              <w:t xml:space="preserve">) </w:t>
            </w:r>
          </w:p>
          <w:p w14:paraId="6313CF28" w14:textId="77777777" w:rsidR="00AA3A73" w:rsidRPr="00AA3A73" w:rsidRDefault="00AA3A73" w:rsidP="00AA3A73">
            <w:pPr>
              <w:numPr>
                <w:ilvl w:val="0"/>
                <w:numId w:val="28"/>
              </w:numPr>
              <w:suppressAutoHyphens w:val="0"/>
              <w:spacing w:line="260" w:lineRule="atLeast"/>
              <w:ind w:left="407" w:hanging="182"/>
              <w:contextualSpacing/>
              <w:jc w:val="left"/>
              <w:rPr>
                <w:rFonts w:eastAsia="Calibri" w:cs="Arial"/>
                <w:bCs/>
                <w:lang w:eastAsia="sv-SE"/>
              </w:rPr>
            </w:pPr>
            <w:r w:rsidRPr="00AA3A73">
              <w:rPr>
                <w:rFonts w:eastAsia="Calibri" w:cs="Arial"/>
                <w:lang w:eastAsia="fr-FR"/>
              </w:rPr>
              <w:t>Powder post beetles</w:t>
            </w:r>
            <w:r w:rsidRPr="00AA3A73">
              <w:rPr>
                <w:rFonts w:eastAsia="Calibri" w:cs="Arial"/>
                <w:lang w:eastAsia="sv-SE"/>
              </w:rPr>
              <w:t xml:space="preserve"> (</w:t>
            </w:r>
            <w:r w:rsidRPr="00AA3A73">
              <w:rPr>
                <w:rFonts w:eastAsia="Calibri" w:cs="Arial"/>
                <w:i/>
                <w:lang w:eastAsia="sv-SE"/>
              </w:rPr>
              <w:t>Lyctus brunneus</w:t>
            </w:r>
            <w:r w:rsidRPr="00AA3A73">
              <w:rPr>
                <w:rFonts w:eastAsia="Calibri" w:cs="Arial"/>
                <w:lang w:eastAsia="sv-SE"/>
              </w:rPr>
              <w:t>)</w:t>
            </w:r>
          </w:p>
          <w:p w14:paraId="09FF2C6B" w14:textId="77777777" w:rsidR="00AA3A73" w:rsidRPr="00AA3A73" w:rsidRDefault="00AA3A73" w:rsidP="00B21D4B">
            <w:pPr>
              <w:spacing w:before="200"/>
            </w:pPr>
            <w:r w:rsidRPr="00AA3A73">
              <w:rPr>
                <w:rFonts w:eastAsia="Calibri" w:cs="Arial"/>
                <w:lang w:eastAsia="sv-SE"/>
              </w:rPr>
              <w:t>Termites (</w:t>
            </w:r>
            <w:r w:rsidRPr="00AA3A73">
              <w:rPr>
                <w:rFonts w:eastAsia="Calibri" w:cs="Arial"/>
                <w:i/>
                <w:lang w:eastAsia="sv-SE"/>
              </w:rPr>
              <w:t>Reticulitermes spp.</w:t>
            </w:r>
            <w:r w:rsidRPr="00AA3A73">
              <w:rPr>
                <w:rFonts w:eastAsia="Calibri" w:cs="Arial"/>
                <w:lang w:eastAsia="sv-SE"/>
              </w:rPr>
              <w:t>)</w:t>
            </w:r>
          </w:p>
        </w:tc>
      </w:tr>
      <w:tr w:rsidR="00AA3A73" w:rsidRPr="00AA3A73" w14:paraId="5592D1FC"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A7073F" w14:textId="77777777" w:rsidR="00AA3A73" w:rsidRPr="00AA3A73" w:rsidRDefault="00AA3A73" w:rsidP="00B21D4B">
            <w:pPr>
              <w:rPr>
                <w:b/>
              </w:rPr>
            </w:pPr>
            <w:r w:rsidRPr="00AA3A73">
              <w:rPr>
                <w:b/>
                <w:color w:val="000000"/>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C0FC68" w14:textId="4F3A7CC6" w:rsidR="00F00B58" w:rsidRDefault="00AA3A73" w:rsidP="00F00B58">
            <w:pPr>
              <w:rPr>
                <w:rFonts w:cs="Arial"/>
                <w:highlight w:val="yellow"/>
              </w:rPr>
            </w:pPr>
            <w:r w:rsidRPr="00AA3A73">
              <w:rPr>
                <w:rFonts w:cs="Arial"/>
              </w:rPr>
              <w:t xml:space="preserve">Preventive treatment for wood </w:t>
            </w:r>
            <w:r w:rsidR="006A07F2">
              <w:rPr>
                <w:rFonts w:cs="Arial"/>
              </w:rPr>
              <w:t>i</w:t>
            </w:r>
            <w:r w:rsidR="006A07F2" w:rsidRPr="00AA3A73">
              <w:rPr>
                <w:rFonts w:cs="Arial"/>
              </w:rPr>
              <w:t xml:space="preserve">n </w:t>
            </w:r>
            <w:r w:rsidRPr="00AA3A73">
              <w:rPr>
                <w:rFonts w:cs="Arial"/>
              </w:rPr>
              <w:t xml:space="preserve">use class 1 </w:t>
            </w:r>
          </w:p>
          <w:p w14:paraId="4ACDD5E0" w14:textId="5F24A607" w:rsidR="00AA3A73" w:rsidRPr="00AA3A73" w:rsidRDefault="00F00B58" w:rsidP="00F00B58">
            <w:r w:rsidRPr="0021636F">
              <w:rPr>
                <w:rFonts w:cs="Arial"/>
              </w:rPr>
              <w:t>Softwood and hardwood</w:t>
            </w:r>
          </w:p>
        </w:tc>
      </w:tr>
      <w:tr w:rsidR="00AA3A73" w:rsidRPr="00AA3A73" w14:paraId="14DF504A"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8E81B1" w14:textId="77777777" w:rsidR="00AA3A73" w:rsidRPr="00AA3A73" w:rsidRDefault="00AA3A73" w:rsidP="00B21D4B">
            <w:pPr>
              <w:rPr>
                <w:b/>
              </w:rPr>
            </w:pPr>
            <w:r w:rsidRPr="00AA3A73">
              <w:rPr>
                <w:b/>
                <w:color w:val="000000"/>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21258A5" w14:textId="77777777" w:rsidR="00AA3A73" w:rsidRPr="00AA3A73" w:rsidRDefault="00AA3A73" w:rsidP="00B21D4B">
            <w:r w:rsidRPr="00AA3A73">
              <w:rPr>
                <w:rFonts w:cs="Arial"/>
              </w:rPr>
              <w:t>Superficial application / short dipping treatment</w:t>
            </w:r>
          </w:p>
        </w:tc>
      </w:tr>
      <w:tr w:rsidR="00AA3A73" w:rsidRPr="00AA3A73" w14:paraId="7FB99458"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17F004" w14:textId="77777777" w:rsidR="00AA3A73" w:rsidRPr="00AA3A73" w:rsidRDefault="00AA3A73" w:rsidP="00B21D4B">
            <w:pPr>
              <w:rPr>
                <w:b/>
              </w:rPr>
            </w:pPr>
            <w:r w:rsidRPr="00AA3A73">
              <w:rPr>
                <w:b/>
                <w:color w:val="000000"/>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5F9EB8" w14:textId="77777777" w:rsidR="00AA3A73" w:rsidRPr="00AA3A73" w:rsidRDefault="00AA3A73" w:rsidP="00B21D4B">
            <w:r w:rsidRPr="00AA3A73">
              <w:t>The product is ready to use</w:t>
            </w:r>
          </w:p>
          <w:p w14:paraId="4258EDCF" w14:textId="77777777" w:rsidR="00AA3A73" w:rsidRPr="00AA3A73" w:rsidRDefault="00AA3A73" w:rsidP="00B21D4B"/>
          <w:p w14:paraId="0C42C792" w14:textId="6BF6879E" w:rsidR="00AA3A73" w:rsidRPr="00AA3A73" w:rsidRDefault="005F619C" w:rsidP="00B21D4B">
            <w:r>
              <w:t>When t</w:t>
            </w:r>
            <w:r w:rsidR="00AA3A73" w:rsidRPr="00AA3A73">
              <w:t xml:space="preserve">he application is performed by </w:t>
            </w:r>
            <w:r>
              <w:t>short dipping, t</w:t>
            </w:r>
            <w:r w:rsidR="00AA3A73" w:rsidRPr="00AA3A73">
              <w:t xml:space="preserve">he application rate is </w:t>
            </w:r>
            <w:r>
              <w:t>:</w:t>
            </w:r>
          </w:p>
          <w:p w14:paraId="78EEE44F" w14:textId="77777777" w:rsidR="00AA3A73" w:rsidRPr="00AA3A73" w:rsidRDefault="00AA3A73" w:rsidP="00AA3A73">
            <w:pPr>
              <w:pStyle w:val="Paragraphedeliste"/>
              <w:widowControl w:val="0"/>
              <w:numPr>
                <w:ilvl w:val="0"/>
                <w:numId w:val="29"/>
              </w:numPr>
              <w:suppressAutoHyphens w:val="0"/>
              <w:autoSpaceDE w:val="0"/>
              <w:autoSpaceDN w:val="0"/>
              <w:adjustRightInd w:val="0"/>
              <w:contextualSpacing/>
              <w:jc w:val="left"/>
            </w:pPr>
            <w:r w:rsidRPr="00AA3A73">
              <w:t>CU1: 200 g of product  /m²</w:t>
            </w:r>
          </w:p>
        </w:tc>
      </w:tr>
      <w:tr w:rsidR="00AA3A73" w:rsidRPr="00AA3A73" w14:paraId="31FF9CF3"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7CF885" w14:textId="77777777" w:rsidR="00AA3A73" w:rsidRPr="00AA3A73" w:rsidRDefault="00AA3A73" w:rsidP="00B21D4B">
            <w:pPr>
              <w:rPr>
                <w:b/>
              </w:rPr>
            </w:pPr>
            <w:r w:rsidRPr="00AA3A73">
              <w:rPr>
                <w:b/>
                <w:color w:val="000000"/>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E56C63C" w14:textId="77777777" w:rsidR="00AA3A73" w:rsidRPr="00AA3A73" w:rsidRDefault="00AA3A73" w:rsidP="00B21D4B">
            <w:r w:rsidRPr="00AA3A73">
              <w:t>Industrial</w:t>
            </w:r>
          </w:p>
        </w:tc>
      </w:tr>
      <w:tr w:rsidR="00AA3A73" w:rsidRPr="00AA3A73" w14:paraId="2D0E51AF"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34F61D" w14:textId="77777777" w:rsidR="00AA3A73" w:rsidRPr="00AA3A73" w:rsidRDefault="00AA3A73" w:rsidP="00B21D4B">
            <w:pPr>
              <w:rPr>
                <w:b/>
              </w:rPr>
            </w:pPr>
            <w:r w:rsidRPr="00AA3A73">
              <w:rPr>
                <w:b/>
                <w:color w:val="000000"/>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D2763A" w14:textId="2BD258A6" w:rsidR="00AA3A73" w:rsidRPr="00AA3A73" w:rsidRDefault="00641A2A" w:rsidP="000330B1">
            <w:r w:rsidRPr="0021636F">
              <w:rPr>
                <w:rFonts w:cs="Arial"/>
                <w:bCs/>
              </w:rPr>
              <w:t>IBC (intermediate bulk container), Plastic: HDPE, 1000 L</w:t>
            </w:r>
            <w:r w:rsidR="000330B1" w:rsidRPr="0021636F">
              <w:rPr>
                <w:rFonts w:cs="Arial"/>
                <w:bCs/>
              </w:rPr>
              <w:t xml:space="preserve"> or tinplate, 200L,</w:t>
            </w:r>
            <w:r w:rsidRPr="0021636F">
              <w:rPr>
                <w:rFonts w:cs="Arial"/>
                <w:bCs/>
              </w:rPr>
              <w:t xml:space="preserve"> Hermetically closed with a cap.</w:t>
            </w:r>
          </w:p>
        </w:tc>
      </w:tr>
    </w:tbl>
    <w:p w14:paraId="685C2B3F" w14:textId="39133C34" w:rsidR="002771BE" w:rsidRDefault="002771BE" w:rsidP="002771BE">
      <w:pPr>
        <w:keepNext/>
        <w:widowControl w:val="0"/>
        <w:autoSpaceDE w:val="0"/>
        <w:spacing w:after="120"/>
        <w:rPr>
          <w:b/>
          <w:bCs/>
          <w:i/>
          <w:iCs/>
        </w:rPr>
      </w:pPr>
    </w:p>
    <w:p w14:paraId="32F3EE39" w14:textId="276CEF6D" w:rsidR="002771BE" w:rsidRDefault="002771BE" w:rsidP="002771BE">
      <w:pPr>
        <w:pStyle w:val="Titre4"/>
        <w:rPr>
          <w:rFonts w:cs="Times"/>
          <w:bCs/>
          <w:szCs w:val="29"/>
        </w:rPr>
      </w:pPr>
      <w:bookmarkStart w:id="59" w:name="_Toc536627284"/>
      <w:r>
        <w:t>Use-specific instructions for use</w:t>
      </w:r>
      <w:bookmarkEnd w:id="5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472C335A"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306CE7B" w14:textId="77777777" w:rsidR="002771BE" w:rsidRDefault="002771BE" w:rsidP="005D37EC">
            <w:pPr>
              <w:widowControl w:val="0"/>
              <w:autoSpaceDE w:val="0"/>
              <w:snapToGrid w:val="0"/>
              <w:spacing w:before="80"/>
              <w:rPr>
                <w:rFonts w:cs="Times"/>
                <w:bCs/>
                <w:szCs w:val="29"/>
              </w:rPr>
            </w:pPr>
          </w:p>
        </w:tc>
      </w:tr>
    </w:tbl>
    <w:p w14:paraId="05BAE867" w14:textId="77777777" w:rsidR="002771BE" w:rsidRDefault="002771BE" w:rsidP="002771BE">
      <w:pPr>
        <w:keepNext/>
        <w:widowControl w:val="0"/>
        <w:autoSpaceDE w:val="0"/>
        <w:spacing w:after="120"/>
        <w:rPr>
          <w:rFonts w:eastAsia="Calibri"/>
          <w:b/>
          <w:i/>
          <w:caps/>
          <w:sz w:val="22"/>
          <w:szCs w:val="22"/>
          <w:lang w:val="de-DE" w:eastAsia="en-US"/>
        </w:rPr>
      </w:pPr>
    </w:p>
    <w:p w14:paraId="6E726FB0" w14:textId="77777777" w:rsidR="002771BE" w:rsidRDefault="002771BE" w:rsidP="002771BE">
      <w:pPr>
        <w:pStyle w:val="Titre4"/>
        <w:rPr>
          <w:rFonts w:cs="Times"/>
          <w:bCs/>
          <w:szCs w:val="29"/>
        </w:rPr>
      </w:pPr>
      <w:bookmarkStart w:id="60" w:name="_Toc536627285"/>
      <w:r>
        <w:t>Use-specific risk mitigation measures</w:t>
      </w:r>
      <w:bookmarkEnd w:id="60"/>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rsidRPr="00293AFD" w14:paraId="520B04D3"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B5E8C0D" w14:textId="5DF60919" w:rsidR="00193D75" w:rsidRPr="00293AFD" w:rsidRDefault="00193D75" w:rsidP="00293AFD">
            <w:pPr>
              <w:pStyle w:val="Paragraphedeliste"/>
              <w:numPr>
                <w:ilvl w:val="0"/>
                <w:numId w:val="28"/>
              </w:numPr>
              <w:rPr>
                <w:rFonts w:cs="Arial"/>
                <w:szCs w:val="18"/>
                <w:lang w:eastAsia="en-US"/>
              </w:rPr>
            </w:pPr>
            <w:r w:rsidRPr="00293AFD">
              <w:rPr>
                <w:rFonts w:cs="Arial"/>
                <w:szCs w:val="18"/>
                <w:lang w:eastAsia="en-US"/>
              </w:rPr>
              <w:t xml:space="preserve">Wear protective chemical resistant gloves (glove material to be specified by the authorisation holder within the product information) </w:t>
            </w:r>
            <w:r w:rsidR="00D67A94" w:rsidRPr="00293AFD">
              <w:rPr>
                <w:rFonts w:cs="Arial"/>
                <w:szCs w:val="18"/>
                <w:lang w:eastAsia="en-US"/>
              </w:rPr>
              <w:t xml:space="preserve">and clothes </w:t>
            </w:r>
            <w:r w:rsidR="004C1769">
              <w:rPr>
                <w:rFonts w:cs="Arial"/>
                <w:szCs w:val="18"/>
                <w:lang w:eastAsia="en-US"/>
              </w:rPr>
              <w:t xml:space="preserve">(category IV type 6) </w:t>
            </w:r>
            <w:r w:rsidRPr="00293AFD">
              <w:rPr>
                <w:rFonts w:cs="Arial"/>
                <w:szCs w:val="18"/>
                <w:lang w:eastAsia="en-US"/>
              </w:rPr>
              <w:t xml:space="preserve">during </w:t>
            </w:r>
            <w:r w:rsidR="00D67A94" w:rsidRPr="00293AFD">
              <w:rPr>
                <w:rFonts w:cs="Arial"/>
                <w:szCs w:val="18"/>
                <w:lang w:eastAsia="en-US"/>
              </w:rPr>
              <w:t>mixing and loading and gloves during application</w:t>
            </w:r>
            <w:r w:rsidRPr="00293AFD">
              <w:rPr>
                <w:rFonts w:cs="Arial"/>
                <w:szCs w:val="18"/>
                <w:lang w:eastAsia="en-US"/>
              </w:rPr>
              <w:t>.</w:t>
            </w:r>
          </w:p>
          <w:p w14:paraId="680622B6" w14:textId="719558C5" w:rsidR="005100FD" w:rsidRDefault="005100FD" w:rsidP="00293AFD">
            <w:pPr>
              <w:pStyle w:val="Paragraphedeliste"/>
              <w:numPr>
                <w:ilvl w:val="0"/>
                <w:numId w:val="28"/>
              </w:numPr>
              <w:rPr>
                <w:rFonts w:cs="Arial"/>
                <w:szCs w:val="18"/>
                <w:lang w:eastAsia="en-US"/>
              </w:rPr>
            </w:pPr>
            <w:r w:rsidRPr="000D2353">
              <w:rPr>
                <w:rFonts w:cs="Arial"/>
                <w:szCs w:val="18"/>
                <w:lang w:eastAsia="en-US"/>
              </w:rPr>
              <w:t>Prevent any release to the environment during the product application phase as well as during the storage and the transport of treated timber.</w:t>
            </w:r>
          </w:p>
          <w:p w14:paraId="22506E23" w14:textId="029DEF63" w:rsidR="00AC7292" w:rsidRPr="000D2353" w:rsidRDefault="00AC7292" w:rsidP="00293AFD">
            <w:pPr>
              <w:pStyle w:val="Paragraphedeliste"/>
              <w:numPr>
                <w:ilvl w:val="0"/>
                <w:numId w:val="28"/>
              </w:numPr>
              <w:rPr>
                <w:rFonts w:cs="Arial"/>
                <w:szCs w:val="18"/>
                <w:lang w:eastAsia="en-US"/>
              </w:rPr>
            </w:pPr>
            <w:r w:rsidRPr="009B3804">
              <w:rPr>
                <w:rFonts w:cs="Arial"/>
              </w:rPr>
              <w:t>Industrial application shall be conducted within a contained area on impermeable hard standing with bunding</w:t>
            </w:r>
          </w:p>
          <w:p w14:paraId="4E6E8678" w14:textId="129ACCEE" w:rsidR="005100FD" w:rsidRPr="00293AFD" w:rsidRDefault="005100FD" w:rsidP="00293AFD">
            <w:pPr>
              <w:pStyle w:val="Paragraphedeliste"/>
              <w:numPr>
                <w:ilvl w:val="0"/>
                <w:numId w:val="28"/>
              </w:numPr>
              <w:rPr>
                <w:rFonts w:cs="Arial"/>
                <w:szCs w:val="18"/>
                <w:lang w:eastAsia="en-US"/>
              </w:rPr>
            </w:pPr>
            <w:r w:rsidRPr="00293AFD">
              <w:rPr>
                <w:rFonts w:cs="Arial"/>
                <w:szCs w:val="18"/>
                <w:lang w:eastAsia="en-US"/>
              </w:rPr>
              <w:t>During the application phase, prevent any release of cleaning water (after cleaning of floors, tanks, containers) to the environment (sewer, soil, water).</w:t>
            </w:r>
          </w:p>
          <w:p w14:paraId="01298815" w14:textId="77DA7212" w:rsidR="005100FD" w:rsidRPr="00293AFD" w:rsidRDefault="005100FD" w:rsidP="00293AFD">
            <w:pPr>
              <w:pStyle w:val="Paragraphedeliste"/>
              <w:numPr>
                <w:ilvl w:val="0"/>
                <w:numId w:val="28"/>
              </w:numPr>
              <w:rPr>
                <w:rFonts w:cs="Arial"/>
                <w:szCs w:val="18"/>
                <w:lang w:eastAsia="en-US"/>
              </w:rPr>
            </w:pPr>
            <w:r w:rsidRPr="00293AFD">
              <w:rPr>
                <w:rFonts w:cs="Arial"/>
                <w:szCs w:val="18"/>
                <w:lang w:eastAsia="en-US"/>
              </w:rPr>
              <w:t>Freshly treated timber shall be stored after treatment under shelter and on impermeable hard standing to prevent losses to soil, sewer, or water, and any losses from the application of the product shall be collected for reuse or disposal. Before use, store the timber in an area sheltered from the weather.</w:t>
            </w:r>
          </w:p>
          <w:p w14:paraId="37339C96" w14:textId="64939EE2" w:rsidR="002771BE" w:rsidRPr="00293AFD" w:rsidRDefault="005100FD" w:rsidP="00293AFD">
            <w:pPr>
              <w:pStyle w:val="Paragraphedeliste"/>
              <w:numPr>
                <w:ilvl w:val="0"/>
                <w:numId w:val="28"/>
              </w:numPr>
              <w:rPr>
                <w:rFonts w:cs="Arial"/>
                <w:szCs w:val="18"/>
                <w:lang w:eastAsia="en-US"/>
              </w:rPr>
            </w:pPr>
            <w:r w:rsidRPr="00293AFD">
              <w:rPr>
                <w:rFonts w:cs="Arial"/>
                <w:szCs w:val="18"/>
                <w:lang w:eastAsia="en-US"/>
              </w:rPr>
              <w:t>Any contaminated water/soil shall be collected, contained and treated as hazardous waste.</w:t>
            </w:r>
          </w:p>
        </w:tc>
      </w:tr>
    </w:tbl>
    <w:p w14:paraId="0BC506CB" w14:textId="77777777" w:rsidR="002771BE" w:rsidRPr="00FB5AD6" w:rsidRDefault="002771BE" w:rsidP="002771BE">
      <w:pPr>
        <w:keepNext/>
        <w:widowControl w:val="0"/>
        <w:autoSpaceDE w:val="0"/>
        <w:spacing w:after="120"/>
        <w:rPr>
          <w:rFonts w:eastAsia="Calibri"/>
          <w:b/>
          <w:i/>
          <w:caps/>
          <w:sz w:val="22"/>
          <w:szCs w:val="22"/>
          <w:lang w:val="en-US" w:eastAsia="en-US"/>
        </w:rPr>
      </w:pPr>
    </w:p>
    <w:p w14:paraId="20A2620E" w14:textId="77777777" w:rsidR="002771BE" w:rsidRPr="00FB5AD6" w:rsidRDefault="002771BE" w:rsidP="002771BE">
      <w:pPr>
        <w:pStyle w:val="Titre4"/>
        <w:rPr>
          <w:rFonts w:cs="Times"/>
          <w:bCs/>
          <w:szCs w:val="29"/>
          <w:lang w:val="en-US"/>
        </w:rPr>
      </w:pPr>
      <w:bookmarkStart w:id="61" w:name="_Toc536627286"/>
      <w:r w:rsidRPr="00FB5AD6">
        <w:rPr>
          <w:lang w:val="en-US"/>
        </w:rPr>
        <w:t>Where specific to the use, the particulars of likely direct or indirect effects, first aid instructions and emergency measures to protect the environment</w:t>
      </w:r>
      <w:bookmarkEnd w:id="6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4344413B"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098716E" w14:textId="77777777" w:rsidR="002771BE" w:rsidRDefault="002771BE" w:rsidP="005D37EC">
            <w:pPr>
              <w:widowControl w:val="0"/>
              <w:autoSpaceDE w:val="0"/>
              <w:snapToGrid w:val="0"/>
              <w:spacing w:before="80"/>
              <w:rPr>
                <w:rFonts w:cs="Times"/>
                <w:bCs/>
                <w:szCs w:val="29"/>
              </w:rPr>
            </w:pPr>
          </w:p>
        </w:tc>
      </w:tr>
    </w:tbl>
    <w:p w14:paraId="2C875E16" w14:textId="77777777" w:rsidR="002771BE" w:rsidRPr="00EC0D24" w:rsidRDefault="002771BE" w:rsidP="002771BE">
      <w:pPr>
        <w:pStyle w:val="Titre4"/>
        <w:rPr>
          <w:rFonts w:cs="Times"/>
          <w:bCs/>
          <w:szCs w:val="29"/>
        </w:rPr>
      </w:pPr>
      <w:bookmarkStart w:id="62" w:name="_Toc536627287"/>
      <w:r w:rsidRPr="00EC0D24">
        <w:lastRenderedPageBreak/>
        <w:t>Where specific to the use, the instructions for safe disposal of the product and its packaging</w:t>
      </w:r>
      <w:bookmarkEnd w:id="62"/>
      <w:r w:rsidRPr="00EC0D24">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591DF6C3"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03129D0" w14:textId="77777777" w:rsidR="002771BE" w:rsidRDefault="002771BE" w:rsidP="005D37EC">
            <w:pPr>
              <w:widowControl w:val="0"/>
              <w:autoSpaceDE w:val="0"/>
              <w:snapToGrid w:val="0"/>
              <w:spacing w:before="80"/>
              <w:rPr>
                <w:rFonts w:cs="Times"/>
                <w:bCs/>
                <w:szCs w:val="29"/>
              </w:rPr>
            </w:pPr>
          </w:p>
        </w:tc>
      </w:tr>
    </w:tbl>
    <w:p w14:paraId="6D908DC0" w14:textId="77777777" w:rsidR="002771BE" w:rsidRDefault="002771BE" w:rsidP="002771BE">
      <w:pPr>
        <w:widowControl w:val="0"/>
        <w:autoSpaceDE w:val="0"/>
        <w:rPr>
          <w:rFonts w:cs="Times"/>
          <w:bCs/>
          <w:szCs w:val="29"/>
        </w:rPr>
      </w:pPr>
    </w:p>
    <w:p w14:paraId="5D9AE2B4" w14:textId="77777777" w:rsidR="002771BE" w:rsidRPr="00FB5AD6" w:rsidRDefault="002771BE" w:rsidP="002771BE">
      <w:pPr>
        <w:pStyle w:val="Titre4"/>
        <w:rPr>
          <w:rFonts w:cs="Times"/>
          <w:bCs/>
          <w:szCs w:val="29"/>
          <w:lang w:val="en-US"/>
        </w:rPr>
      </w:pPr>
      <w:bookmarkStart w:id="63" w:name="_Toc536627288"/>
      <w:r w:rsidRPr="00FB5AD6">
        <w:rPr>
          <w:lang w:val="en-US"/>
        </w:rPr>
        <w:t>Where specific to the use, the conditions of storage and shelf-life of the product under normal conditions of storage</w:t>
      </w:r>
      <w:bookmarkEnd w:id="6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5920AD69"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9F7F939" w14:textId="77777777" w:rsidR="002771BE" w:rsidRDefault="002771BE" w:rsidP="005D37EC">
            <w:pPr>
              <w:widowControl w:val="0"/>
              <w:autoSpaceDE w:val="0"/>
              <w:snapToGrid w:val="0"/>
              <w:spacing w:before="80"/>
              <w:rPr>
                <w:rFonts w:cs="Times"/>
                <w:bCs/>
                <w:szCs w:val="29"/>
              </w:rPr>
            </w:pPr>
          </w:p>
        </w:tc>
      </w:tr>
    </w:tbl>
    <w:p w14:paraId="55A98DB4" w14:textId="77777777" w:rsidR="002771BE" w:rsidRDefault="002771BE" w:rsidP="002771BE">
      <w:pPr>
        <w:widowControl w:val="0"/>
        <w:autoSpaceDE w:val="0"/>
        <w:rPr>
          <w:rFonts w:cs="Times"/>
          <w:bCs/>
          <w:szCs w:val="29"/>
        </w:rPr>
      </w:pPr>
    </w:p>
    <w:p w14:paraId="4490C691" w14:textId="77777777" w:rsidR="0039605F" w:rsidRDefault="0039605F" w:rsidP="002771BE">
      <w:pPr>
        <w:widowControl w:val="0"/>
        <w:autoSpaceDE w:val="0"/>
        <w:rPr>
          <w:rFonts w:cs="Times"/>
          <w:bCs/>
          <w:szCs w:val="29"/>
        </w:rPr>
      </w:pPr>
    </w:p>
    <w:p w14:paraId="253C97EC" w14:textId="77777777" w:rsidR="0039605F" w:rsidRDefault="0039605F" w:rsidP="002771BE">
      <w:pPr>
        <w:widowControl w:val="0"/>
        <w:autoSpaceDE w:val="0"/>
        <w:rPr>
          <w:rFonts w:cs="Times"/>
          <w:bCs/>
          <w:szCs w:val="29"/>
        </w:rPr>
      </w:pPr>
    </w:p>
    <w:p w14:paraId="56683BB8" w14:textId="77777777" w:rsidR="009D0C0B" w:rsidRDefault="00FA480B">
      <w:pPr>
        <w:pStyle w:val="Titre3"/>
      </w:pPr>
      <w:bookmarkStart w:id="64" w:name="_Toc536627289"/>
      <w:r>
        <w:t>General directions for use</w:t>
      </w:r>
      <w:bookmarkEnd w:id="64"/>
    </w:p>
    <w:p w14:paraId="77C7EC04" w14:textId="1929F102" w:rsidR="009D0C0B" w:rsidRDefault="00FA480B">
      <w:pPr>
        <w:pStyle w:val="Titre4"/>
      </w:pPr>
      <w:bookmarkStart w:id="65" w:name="_Toc536627290"/>
      <w:r>
        <w:t>Instructions for use</w:t>
      </w:r>
      <w:bookmarkEnd w:id="6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AA3A73" w14:paraId="2977687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964E71E" w14:textId="77777777" w:rsidR="00AA3A73" w:rsidRPr="00AA3A73" w:rsidRDefault="00AA3A73" w:rsidP="00AA3A73">
            <w:pPr>
              <w:numPr>
                <w:ilvl w:val="0"/>
                <w:numId w:val="31"/>
              </w:numPr>
              <w:suppressAutoHyphens w:val="0"/>
              <w:spacing w:line="276" w:lineRule="auto"/>
              <w:ind w:hanging="218"/>
              <w:rPr>
                <w:rFonts w:eastAsia="Calibri" w:cs="Arial"/>
                <w:bCs/>
                <w:szCs w:val="22"/>
                <w:lang w:val="en-US" w:eastAsia="sv-SE"/>
              </w:rPr>
            </w:pPr>
            <w:r w:rsidRPr="00AA3A73">
              <w:rPr>
                <w:rFonts w:eastAsia="Calibri" w:cs="Arial"/>
                <w:szCs w:val="22"/>
                <w:lang w:val="en-US" w:eastAsia="sv-SE"/>
              </w:rPr>
              <w:t>Always read the label or leaflet before use and follow all the instructions provided.</w:t>
            </w:r>
          </w:p>
          <w:p w14:paraId="4BB63E0D" w14:textId="5051B4F5" w:rsidR="009D0C0B" w:rsidRPr="00AA3A73" w:rsidRDefault="00AA3A73" w:rsidP="00AA3A73">
            <w:pPr>
              <w:pStyle w:val="Paragraphedeliste"/>
              <w:numPr>
                <w:ilvl w:val="0"/>
                <w:numId w:val="31"/>
              </w:numPr>
              <w:snapToGrid w:val="0"/>
            </w:pPr>
            <w:r w:rsidRPr="00AA3A73">
              <w:rPr>
                <w:rFonts w:eastAsia="Calibri" w:cs="Arial"/>
                <w:szCs w:val="22"/>
                <w:lang w:val="en-US" w:eastAsia="sv-SE"/>
              </w:rPr>
              <w:t>The users should inform if the treatment is ineffective and report straightforward to the registration holder</w:t>
            </w:r>
          </w:p>
        </w:tc>
      </w:tr>
    </w:tbl>
    <w:p w14:paraId="64EE8A38" w14:textId="77777777" w:rsidR="009D0C0B" w:rsidRDefault="00FA480B">
      <w:pPr>
        <w:pStyle w:val="Titre4"/>
      </w:pPr>
      <w:bookmarkStart w:id="66" w:name="_Toc536627291"/>
      <w:r>
        <w:t>Risk mitigation measures</w:t>
      </w:r>
      <w:bookmarkEnd w:id="6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16642" w14:paraId="6DBDD39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E397803" w14:textId="0BEF93D2" w:rsidR="009D0C0B" w:rsidRPr="00C16642" w:rsidRDefault="00912430" w:rsidP="00FB5AD6">
            <w:pPr>
              <w:numPr>
                <w:ilvl w:val="0"/>
                <w:numId w:val="31"/>
              </w:numPr>
              <w:suppressAutoHyphens w:val="0"/>
              <w:spacing w:line="276" w:lineRule="auto"/>
              <w:ind w:hanging="218"/>
              <w:rPr>
                <w:rFonts w:eastAsia="Calibri" w:cs="Arial"/>
                <w:szCs w:val="22"/>
                <w:lang w:val="en-US" w:eastAsia="sv-SE"/>
              </w:rPr>
            </w:pPr>
            <w:r w:rsidRPr="009C32F5">
              <w:rPr>
                <w:rFonts w:eastAsia="Calibri" w:cs="Arial"/>
                <w:szCs w:val="22"/>
                <w:lang w:val="en-US" w:eastAsia="sv-SE"/>
              </w:rPr>
              <w:t>Do not apply on wood likely to be in contact with food, feed, drinks and livestock.</w:t>
            </w:r>
          </w:p>
        </w:tc>
      </w:tr>
    </w:tbl>
    <w:p w14:paraId="266C4E02" w14:textId="77777777" w:rsidR="009D0C0B" w:rsidRPr="00FB5AD6" w:rsidRDefault="00FA480B">
      <w:pPr>
        <w:pStyle w:val="Titre4"/>
        <w:rPr>
          <w:lang w:val="en-US"/>
        </w:rPr>
      </w:pPr>
      <w:bookmarkStart w:id="67" w:name="_Toc536627292"/>
      <w:r w:rsidRPr="00FB5AD6">
        <w:rPr>
          <w:lang w:val="en-US"/>
        </w:rPr>
        <w:t>Particulars of likely direct or indirect effects, first aid instructions and emergency measures to protect the environment</w:t>
      </w:r>
      <w:bookmarkEnd w:id="6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40D254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A8977C8" w14:textId="77777777" w:rsidR="00E110EC" w:rsidRPr="00E110EC" w:rsidRDefault="00E110EC" w:rsidP="00E110EC">
            <w:pPr>
              <w:numPr>
                <w:ilvl w:val="0"/>
                <w:numId w:val="42"/>
              </w:numPr>
              <w:suppressAutoHyphens w:val="0"/>
              <w:spacing w:after="200" w:line="276" w:lineRule="auto"/>
              <w:ind w:hanging="720"/>
              <w:jc w:val="left"/>
              <w:rPr>
                <w:rFonts w:ascii="Arial" w:eastAsia="Calibri" w:hAnsi="Arial" w:cs="Arial"/>
                <w:szCs w:val="22"/>
                <w:lang w:val="en-US" w:eastAsia="en-US"/>
              </w:rPr>
            </w:pPr>
            <w:r w:rsidRPr="00E110EC">
              <w:rPr>
                <w:rFonts w:ascii="Arial" w:eastAsia="Calibri" w:hAnsi="Arial" w:cs="Arial"/>
                <w:szCs w:val="22"/>
                <w:lang w:val="en-US" w:eastAsia="en-US"/>
              </w:rPr>
              <w:t>Inhalation: Remove victim to fresh air and keep at rest in a position comfortable for breathing. Seek medical advice immediately if symptoms occur and/or large quantities have been inhaled.</w:t>
            </w:r>
          </w:p>
          <w:p w14:paraId="46C4F3F2" w14:textId="77777777" w:rsidR="00E110EC" w:rsidRPr="00E110EC" w:rsidRDefault="00E110EC" w:rsidP="00E110EC">
            <w:pPr>
              <w:numPr>
                <w:ilvl w:val="0"/>
                <w:numId w:val="42"/>
              </w:numPr>
              <w:suppressAutoHyphens w:val="0"/>
              <w:spacing w:after="200" w:line="276" w:lineRule="auto"/>
              <w:ind w:hanging="720"/>
              <w:jc w:val="left"/>
              <w:rPr>
                <w:rFonts w:ascii="Arial" w:eastAsia="Calibri" w:hAnsi="Arial" w:cs="Arial"/>
                <w:szCs w:val="22"/>
                <w:lang w:val="en-US" w:eastAsia="en-US"/>
              </w:rPr>
            </w:pPr>
            <w:r w:rsidRPr="00E110EC">
              <w:rPr>
                <w:rFonts w:ascii="Arial" w:eastAsia="Calibri" w:hAnsi="Arial" w:cs="Arial"/>
                <w:szCs w:val="22"/>
                <w:lang w:val="en-US" w:eastAsia="en-US"/>
              </w:rPr>
              <w:t>Do not give fluids or induce vomiting in case of impaired consciousness;</w:t>
            </w:r>
            <w:r w:rsidRPr="00E110EC">
              <w:rPr>
                <w:rFonts w:ascii="Arial" w:eastAsia="Calibri" w:hAnsi="Arial" w:cs="Arial"/>
                <w:color w:val="3C3C3C"/>
                <w:sz w:val="18"/>
                <w:szCs w:val="18"/>
                <w:shd w:val="clear" w:color="auto" w:fill="FFFFFF"/>
                <w:lang w:val="en-US" w:eastAsia="en-US"/>
              </w:rPr>
              <w:t xml:space="preserve"> </w:t>
            </w:r>
            <w:r w:rsidRPr="00E110EC">
              <w:rPr>
                <w:rFonts w:ascii="Arial" w:eastAsia="Calibri" w:hAnsi="Arial" w:cs="Arial"/>
                <w:szCs w:val="22"/>
                <w:lang w:val="en-US" w:eastAsia="en-US"/>
              </w:rPr>
              <w:t>place in recovery position and seek medical advice immediately.</w:t>
            </w:r>
          </w:p>
          <w:p w14:paraId="0CCF5EEA" w14:textId="77777777" w:rsidR="00E110EC" w:rsidRPr="00E110EC" w:rsidRDefault="00E110EC" w:rsidP="00E110EC">
            <w:pPr>
              <w:numPr>
                <w:ilvl w:val="0"/>
                <w:numId w:val="42"/>
              </w:numPr>
              <w:suppressAutoHyphens w:val="0"/>
              <w:spacing w:after="200" w:line="276" w:lineRule="auto"/>
              <w:ind w:hanging="720"/>
              <w:jc w:val="left"/>
              <w:rPr>
                <w:rFonts w:ascii="Arial" w:eastAsia="Calibri" w:hAnsi="Arial" w:cs="Arial"/>
                <w:szCs w:val="22"/>
                <w:lang w:val="en-US" w:eastAsia="en-US"/>
              </w:rPr>
            </w:pPr>
            <w:r w:rsidRPr="00E110EC">
              <w:rPr>
                <w:rFonts w:ascii="Arial" w:eastAsia="Calibri" w:hAnsi="Arial" w:cs="Arial"/>
                <w:szCs w:val="22"/>
                <w:lang w:val="en-US" w:eastAsia="en-US"/>
              </w:rPr>
              <w:t>Ingestion: Wash out mouth with water. Do not drink or induce vomiting. Contact poison treatment specialist. Seek medical advice immediately if symptoms occur and/or large quantities have been ingested.</w:t>
            </w:r>
          </w:p>
          <w:p w14:paraId="0A78DBE0" w14:textId="77777777" w:rsidR="00E110EC" w:rsidRPr="00E110EC" w:rsidRDefault="00E110EC" w:rsidP="00E110EC">
            <w:pPr>
              <w:numPr>
                <w:ilvl w:val="0"/>
                <w:numId w:val="42"/>
              </w:numPr>
              <w:suppressAutoHyphens w:val="0"/>
              <w:spacing w:after="200" w:line="276" w:lineRule="auto"/>
              <w:ind w:hanging="720"/>
              <w:jc w:val="left"/>
              <w:rPr>
                <w:rFonts w:ascii="Arial" w:eastAsia="Calibri" w:hAnsi="Arial" w:cs="Arial"/>
                <w:szCs w:val="22"/>
                <w:lang w:val="en-US" w:eastAsia="en-US"/>
              </w:rPr>
            </w:pPr>
            <w:r w:rsidRPr="00E110EC">
              <w:rPr>
                <w:rFonts w:ascii="Arial" w:eastAsia="Calibri" w:hAnsi="Arial" w:cs="Arial"/>
                <w:szCs w:val="22"/>
                <w:lang w:val="en-US" w:eastAsia="en-US"/>
              </w:rPr>
              <w:t>Skin contact: Remove contaminated clothing and shoes. Wash contaminated skin with soap and water. Contact poison treatment specialist if symptoms occur.</w:t>
            </w:r>
          </w:p>
          <w:p w14:paraId="5997E1F0" w14:textId="77777777" w:rsidR="00E110EC" w:rsidRPr="00E110EC" w:rsidRDefault="00E110EC" w:rsidP="00E110EC">
            <w:pPr>
              <w:numPr>
                <w:ilvl w:val="0"/>
                <w:numId w:val="42"/>
              </w:numPr>
              <w:suppressAutoHyphens w:val="0"/>
              <w:spacing w:after="200" w:line="276" w:lineRule="auto"/>
              <w:ind w:hanging="720"/>
              <w:jc w:val="left"/>
              <w:rPr>
                <w:rFonts w:ascii="Arial" w:eastAsia="Calibri" w:hAnsi="Arial" w:cs="Arial"/>
                <w:szCs w:val="22"/>
                <w:lang w:val="en-US" w:eastAsia="en-US"/>
              </w:rPr>
            </w:pPr>
            <w:r w:rsidRPr="00E110EC">
              <w:rPr>
                <w:rFonts w:ascii="Arial" w:eastAsia="Calibri" w:hAnsi="Arial" w:cs="Arial"/>
                <w:szCs w:val="22"/>
                <w:lang w:val="en-US" w:eastAsia="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32C38B8E" w14:textId="77777777" w:rsidR="00E110EC" w:rsidRPr="00E110EC" w:rsidRDefault="00E110EC" w:rsidP="00E110EC">
            <w:pPr>
              <w:numPr>
                <w:ilvl w:val="0"/>
                <w:numId w:val="42"/>
              </w:numPr>
              <w:suppressAutoHyphens w:val="0"/>
              <w:spacing w:after="200" w:line="276" w:lineRule="auto"/>
              <w:ind w:hanging="720"/>
              <w:jc w:val="left"/>
              <w:rPr>
                <w:rFonts w:ascii="Calibri" w:eastAsia="Calibri" w:hAnsi="Calibri" w:cs="Times New Roman"/>
                <w:sz w:val="22"/>
                <w:szCs w:val="22"/>
                <w:lang w:val="en-US" w:eastAsia="en-US"/>
              </w:rPr>
            </w:pPr>
            <w:r w:rsidRPr="00E110EC">
              <w:rPr>
                <w:rFonts w:ascii="Arial" w:eastAsia="Calibri" w:hAnsi="Arial" w:cs="Arial"/>
                <w:szCs w:val="22"/>
                <w:lang w:val="en-US" w:eastAsia="en-US"/>
              </w:rPr>
              <w:t>Keep the container or label available.</w:t>
            </w:r>
          </w:p>
          <w:p w14:paraId="23F97513" w14:textId="77777777" w:rsidR="009D0C0B" w:rsidRDefault="009D0C0B">
            <w:pPr>
              <w:snapToGrid w:val="0"/>
            </w:pPr>
          </w:p>
        </w:tc>
      </w:tr>
    </w:tbl>
    <w:p w14:paraId="775C0AA7" w14:textId="77777777" w:rsidR="009D0C0B" w:rsidRPr="00FB5AD6" w:rsidRDefault="00FA480B">
      <w:pPr>
        <w:pStyle w:val="Titre4"/>
        <w:rPr>
          <w:lang w:val="en-US"/>
        </w:rPr>
      </w:pPr>
      <w:bookmarkStart w:id="68" w:name="_Toc536627293"/>
      <w:r w:rsidRPr="00FB5AD6">
        <w:rPr>
          <w:lang w:val="en-US"/>
        </w:rPr>
        <w:t>Instructions for safe disposal of the product and its packaging</w:t>
      </w:r>
      <w:bookmarkEnd w:id="6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BED372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A1F68B3" w14:textId="77777777" w:rsidR="00E44B0F" w:rsidRDefault="00E44B0F" w:rsidP="00293AFD">
            <w:pPr>
              <w:pStyle w:val="Paragraphedeliste"/>
              <w:numPr>
                <w:ilvl w:val="0"/>
                <w:numId w:val="31"/>
              </w:numPr>
            </w:pPr>
            <w:r w:rsidRPr="00293AFD">
              <w:t>Do not discharge unused product on the ground, into water courses, into pipes (sink, toilets…) nor down the drains.</w:t>
            </w:r>
          </w:p>
          <w:p w14:paraId="21119E28" w14:textId="0F1E7011" w:rsidR="009D0C0B" w:rsidRDefault="004F42D8" w:rsidP="00E44B0F">
            <w:pPr>
              <w:pStyle w:val="Paragraphedeliste"/>
              <w:numPr>
                <w:ilvl w:val="0"/>
                <w:numId w:val="31"/>
              </w:numPr>
            </w:pPr>
            <w:r w:rsidRPr="00293AFD">
              <w:t>Dispose of unused product, its packaging and all other waste (i.e. plastic sheet) in accordance with local regulations.</w:t>
            </w:r>
          </w:p>
        </w:tc>
      </w:tr>
    </w:tbl>
    <w:p w14:paraId="166AA09A" w14:textId="77777777" w:rsidR="009D0C0B" w:rsidRPr="00FB5AD6" w:rsidRDefault="00FA480B">
      <w:pPr>
        <w:pStyle w:val="Titre4"/>
        <w:rPr>
          <w:lang w:val="en-US"/>
        </w:rPr>
      </w:pPr>
      <w:bookmarkStart w:id="69" w:name="_Toc536627294"/>
      <w:r w:rsidRPr="00FB5AD6">
        <w:rPr>
          <w:lang w:val="en-US"/>
        </w:rPr>
        <w:lastRenderedPageBreak/>
        <w:t>Conditions of storage and shelf-life of the product under normal conditions of storage</w:t>
      </w:r>
      <w:bookmarkEnd w:id="6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A3897F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66A87DA" w14:textId="7FABF817" w:rsidR="009D0C0B" w:rsidRDefault="00B21D4B" w:rsidP="00932144">
            <w:pPr>
              <w:pStyle w:val="Paragraphedeliste"/>
              <w:numPr>
                <w:ilvl w:val="0"/>
                <w:numId w:val="31"/>
              </w:numPr>
            </w:pPr>
            <w:r>
              <w:t>Shelf life: 24 months</w:t>
            </w:r>
          </w:p>
          <w:p w14:paraId="7E892BC7" w14:textId="1E448692" w:rsidR="00B21D4B" w:rsidRPr="009536C2" w:rsidRDefault="00B7425B" w:rsidP="00932144">
            <w:pPr>
              <w:pStyle w:val="Paragraphedeliste"/>
              <w:numPr>
                <w:ilvl w:val="0"/>
                <w:numId w:val="31"/>
              </w:numPr>
            </w:pPr>
            <w:r w:rsidRPr="00B100F1">
              <w:t xml:space="preserve">Do not store at a temperature </w:t>
            </w:r>
            <w:r w:rsidRPr="009536C2">
              <w:t>higher than 20°C</w:t>
            </w:r>
          </w:p>
          <w:p w14:paraId="139FF2F7" w14:textId="0CCE0917" w:rsidR="00C10647" w:rsidRDefault="00C10647" w:rsidP="00932144">
            <w:pPr>
              <w:pStyle w:val="Paragraphedeliste"/>
              <w:numPr>
                <w:ilvl w:val="0"/>
                <w:numId w:val="31"/>
              </w:numPr>
            </w:pPr>
            <w:r w:rsidRPr="009536C2">
              <w:t>Protect from light</w:t>
            </w:r>
            <w:r w:rsidR="0056727E" w:rsidRPr="009536C2">
              <w:t xml:space="preserve"> </w:t>
            </w:r>
            <w:r w:rsidR="0056727E" w:rsidRPr="009536C2">
              <w:rPr>
                <w:rFonts w:cs="Arial"/>
              </w:rPr>
              <w:t>(only bulk containers)</w:t>
            </w:r>
            <w:r w:rsidRPr="009536C2">
              <w:t>.</w:t>
            </w:r>
          </w:p>
        </w:tc>
      </w:tr>
    </w:tbl>
    <w:p w14:paraId="682BAFD5" w14:textId="77777777" w:rsidR="009D0C0B" w:rsidRDefault="009D0C0B">
      <w:pPr>
        <w:pStyle w:val="Absatz"/>
        <w:rPr>
          <w:lang w:eastAsia="en-US"/>
        </w:rPr>
      </w:pPr>
    </w:p>
    <w:p w14:paraId="6F056002" w14:textId="77777777" w:rsidR="009D0C0B" w:rsidRDefault="009D0C0B">
      <w:pPr>
        <w:pStyle w:val="Absatz"/>
        <w:rPr>
          <w:lang w:eastAsia="en-US"/>
        </w:rPr>
      </w:pPr>
    </w:p>
    <w:p w14:paraId="3C412091" w14:textId="77777777" w:rsidR="009D0C0B" w:rsidRDefault="00FA480B">
      <w:pPr>
        <w:pStyle w:val="Titre3"/>
      </w:pPr>
      <w:bookmarkStart w:id="70" w:name="_Toc536627295"/>
      <w:r>
        <w:t>Other information</w:t>
      </w:r>
      <w:bookmarkEnd w:id="7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B62098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2C6F6AC" w14:textId="77777777" w:rsidR="009D0C0B" w:rsidRDefault="00AA3A73" w:rsidP="00AA3A73">
            <w:pPr>
              <w:pStyle w:val="Paragraphedeliste"/>
              <w:numPr>
                <w:ilvl w:val="0"/>
                <w:numId w:val="31"/>
              </w:numPr>
            </w:pPr>
            <w:r w:rsidRPr="00782478">
              <w:t>The authorization holder should report any observed incidents related to the efficacy to the Competent Authorities (CA)</w:t>
            </w:r>
          </w:p>
          <w:p w14:paraId="298B2DA0" w14:textId="45F1EA9E" w:rsidR="003B508D" w:rsidRDefault="003B508D" w:rsidP="00AA3A73">
            <w:pPr>
              <w:pStyle w:val="Paragraphedeliste"/>
              <w:numPr>
                <w:ilvl w:val="0"/>
                <w:numId w:val="31"/>
              </w:numPr>
            </w:pPr>
            <w:r w:rsidRPr="002D3812">
              <w:t>Treated wood should not be intended for uses involving contact with food, feed or livestock.</w:t>
            </w:r>
          </w:p>
        </w:tc>
      </w:tr>
    </w:tbl>
    <w:p w14:paraId="5B142E92" w14:textId="77777777" w:rsidR="009D0C0B" w:rsidRDefault="009D0C0B">
      <w:pPr>
        <w:pStyle w:val="Absatz"/>
        <w:rPr>
          <w:lang w:eastAsia="en-US"/>
        </w:rPr>
      </w:pPr>
    </w:p>
    <w:bookmarkEnd w:id="34"/>
    <w:p w14:paraId="304B8F86" w14:textId="77777777" w:rsidR="009D0C0B" w:rsidRDefault="009D0C0B">
      <w:pPr>
        <w:tabs>
          <w:tab w:val="left" w:pos="500"/>
        </w:tabs>
        <w:ind w:left="500" w:hanging="500"/>
        <w:rPr>
          <w:lang w:eastAsia="en-US"/>
        </w:rPr>
      </w:pPr>
    </w:p>
    <w:p w14:paraId="5DCDE484" w14:textId="77777777" w:rsidR="009D0C0B" w:rsidRDefault="00FA480B">
      <w:pPr>
        <w:pStyle w:val="Titre3"/>
        <w:rPr>
          <w:rFonts w:eastAsia="Calibri"/>
          <w:sz w:val="18"/>
          <w:lang w:eastAsia="en-US"/>
        </w:rPr>
      </w:pPr>
      <w:bookmarkStart w:id="71" w:name="_Toc536627296"/>
      <w:r>
        <w:t>Packaging of the biocidal product</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630"/>
        <w:gridCol w:w="1641"/>
        <w:gridCol w:w="1462"/>
        <w:gridCol w:w="1696"/>
        <w:gridCol w:w="1699"/>
      </w:tblGrid>
      <w:tr w:rsidR="00473643" w:rsidRPr="00163645" w14:paraId="5E647CFB" w14:textId="77777777" w:rsidTr="00331B06">
        <w:tc>
          <w:tcPr>
            <w:tcW w:w="1403" w:type="dxa"/>
            <w:shd w:val="clear" w:color="auto" w:fill="FFFFCC"/>
          </w:tcPr>
          <w:p w14:paraId="3EC477D1" w14:textId="77777777" w:rsidR="00473643" w:rsidRPr="00163645" w:rsidRDefault="00473643" w:rsidP="00066DCF">
            <w:pPr>
              <w:rPr>
                <w:rFonts w:cs="Arial"/>
                <w:b/>
                <w:lang w:eastAsia="en-US"/>
              </w:rPr>
            </w:pPr>
            <w:r w:rsidRPr="00163645">
              <w:rPr>
                <w:rFonts w:cs="Arial"/>
                <w:b/>
                <w:lang w:eastAsia="en-US"/>
              </w:rPr>
              <w:t>Type of packaging</w:t>
            </w:r>
            <w:r w:rsidRPr="00163645" w:rsidDel="00F33E33">
              <w:rPr>
                <w:rFonts w:cs="Arial"/>
                <w:b/>
                <w:lang w:eastAsia="en-US"/>
              </w:rPr>
              <w:t xml:space="preserve"> </w:t>
            </w:r>
          </w:p>
        </w:tc>
        <w:tc>
          <w:tcPr>
            <w:tcW w:w="1640" w:type="dxa"/>
            <w:shd w:val="clear" w:color="auto" w:fill="FFFFCC"/>
          </w:tcPr>
          <w:p w14:paraId="12355AEE" w14:textId="77777777" w:rsidR="00473643" w:rsidRPr="00163645" w:rsidRDefault="00473643" w:rsidP="00066DCF">
            <w:pPr>
              <w:rPr>
                <w:rFonts w:cs="Arial"/>
                <w:b/>
                <w:lang w:eastAsia="en-US"/>
              </w:rPr>
            </w:pPr>
            <w:r w:rsidRPr="00163645">
              <w:rPr>
                <w:rFonts w:cs="Arial"/>
                <w:b/>
                <w:lang w:eastAsia="en-US"/>
              </w:rPr>
              <w:t>Size/volume</w:t>
            </w:r>
            <w:r w:rsidRPr="00163645" w:rsidDel="00F33E33">
              <w:rPr>
                <w:rFonts w:cs="Arial"/>
                <w:b/>
                <w:lang w:eastAsia="en-US"/>
              </w:rPr>
              <w:t xml:space="preserve"> </w:t>
            </w:r>
            <w:r w:rsidRPr="00163645">
              <w:rPr>
                <w:rFonts w:cs="Arial"/>
                <w:b/>
                <w:lang w:eastAsia="en-US"/>
              </w:rPr>
              <w:t>of the packaging</w:t>
            </w:r>
          </w:p>
        </w:tc>
        <w:tc>
          <w:tcPr>
            <w:tcW w:w="1651" w:type="dxa"/>
            <w:shd w:val="clear" w:color="auto" w:fill="FFFFCC"/>
          </w:tcPr>
          <w:p w14:paraId="23EE134F" w14:textId="77777777" w:rsidR="00473643" w:rsidRPr="00163645" w:rsidRDefault="00473643" w:rsidP="00066DCF">
            <w:pPr>
              <w:rPr>
                <w:rFonts w:cs="Arial"/>
                <w:b/>
                <w:lang w:eastAsia="en-US"/>
              </w:rPr>
            </w:pPr>
            <w:r w:rsidRPr="00163645">
              <w:rPr>
                <w:rFonts w:cs="Arial"/>
                <w:b/>
                <w:lang w:eastAsia="en-US"/>
              </w:rPr>
              <w:t>Material of the packaging</w:t>
            </w:r>
          </w:p>
        </w:tc>
        <w:tc>
          <w:tcPr>
            <w:tcW w:w="1597" w:type="dxa"/>
            <w:shd w:val="clear" w:color="auto" w:fill="FFFFCC"/>
          </w:tcPr>
          <w:p w14:paraId="7F679609" w14:textId="77777777" w:rsidR="00473643" w:rsidRPr="00163645" w:rsidRDefault="00473643" w:rsidP="00066DCF">
            <w:pPr>
              <w:rPr>
                <w:rFonts w:cs="Arial"/>
                <w:b/>
                <w:lang w:eastAsia="en-US"/>
              </w:rPr>
            </w:pPr>
            <w:r w:rsidRPr="00163645">
              <w:rPr>
                <w:rFonts w:cs="Arial"/>
                <w:b/>
                <w:lang w:eastAsia="en-US"/>
              </w:rPr>
              <w:t>Type and material of closure(s)</w:t>
            </w:r>
          </w:p>
        </w:tc>
        <w:tc>
          <w:tcPr>
            <w:tcW w:w="1706" w:type="dxa"/>
            <w:shd w:val="clear" w:color="auto" w:fill="FFFFCC"/>
          </w:tcPr>
          <w:p w14:paraId="43F3DD64" w14:textId="77777777" w:rsidR="00473643" w:rsidRPr="00163645" w:rsidRDefault="00473643" w:rsidP="00066DCF">
            <w:pPr>
              <w:rPr>
                <w:rFonts w:cs="Arial"/>
                <w:b/>
                <w:lang w:val="fr-BE" w:eastAsia="en-US"/>
              </w:rPr>
            </w:pPr>
            <w:r w:rsidRPr="00163645">
              <w:rPr>
                <w:rFonts w:cs="Arial"/>
                <w:b/>
                <w:lang w:val="fr-BE" w:eastAsia="en-US"/>
              </w:rPr>
              <w:t>Intended user (e.g. professional, non-professional)</w:t>
            </w:r>
          </w:p>
        </w:tc>
        <w:tc>
          <w:tcPr>
            <w:tcW w:w="1709" w:type="dxa"/>
            <w:shd w:val="clear" w:color="auto" w:fill="FFFFCC"/>
          </w:tcPr>
          <w:p w14:paraId="7D81248F" w14:textId="77777777" w:rsidR="00473643" w:rsidRPr="00163645" w:rsidRDefault="00473643" w:rsidP="00066DCF">
            <w:pPr>
              <w:rPr>
                <w:rFonts w:cs="Arial"/>
                <w:b/>
                <w:lang w:eastAsia="en-US"/>
              </w:rPr>
            </w:pPr>
            <w:r w:rsidRPr="00163645">
              <w:rPr>
                <w:rFonts w:cs="Arial"/>
                <w:b/>
                <w:lang w:eastAsia="en-US"/>
              </w:rPr>
              <w:t>Compatibility of the product with the proposed packaging materials (Yes/No)</w:t>
            </w:r>
          </w:p>
        </w:tc>
      </w:tr>
      <w:tr w:rsidR="00473643" w:rsidRPr="00163645" w14:paraId="29C8C85F" w14:textId="77777777" w:rsidTr="00331B06">
        <w:tc>
          <w:tcPr>
            <w:tcW w:w="1403" w:type="dxa"/>
            <w:shd w:val="clear" w:color="auto" w:fill="auto"/>
          </w:tcPr>
          <w:p w14:paraId="501B8CEA" w14:textId="77777777" w:rsidR="00473643" w:rsidRPr="00163645" w:rsidRDefault="00473643" w:rsidP="00066DCF">
            <w:pPr>
              <w:rPr>
                <w:rFonts w:cs="Arial"/>
                <w:lang w:eastAsia="en-US"/>
              </w:rPr>
            </w:pPr>
            <w:r w:rsidRPr="00163645">
              <w:rPr>
                <w:rFonts w:cs="Arial"/>
                <w:lang w:eastAsia="en-US"/>
              </w:rPr>
              <w:t>Can</w:t>
            </w:r>
          </w:p>
        </w:tc>
        <w:tc>
          <w:tcPr>
            <w:tcW w:w="1640" w:type="dxa"/>
            <w:shd w:val="clear" w:color="auto" w:fill="auto"/>
          </w:tcPr>
          <w:p w14:paraId="4BF9BDC8" w14:textId="77777777" w:rsidR="00473643" w:rsidRPr="00163645" w:rsidRDefault="00473643" w:rsidP="00066DCF">
            <w:pPr>
              <w:rPr>
                <w:rFonts w:cs="Arial"/>
                <w:lang w:eastAsia="en-US"/>
              </w:rPr>
            </w:pPr>
            <w:r w:rsidRPr="00163645">
              <w:rPr>
                <w:rFonts w:cs="Arial"/>
              </w:rPr>
              <w:t>0.75 L, 1 L, 2.5 L, 5 L, 25 L, 30 L, 55 L and 200 L</w:t>
            </w:r>
          </w:p>
        </w:tc>
        <w:tc>
          <w:tcPr>
            <w:tcW w:w="1651" w:type="dxa"/>
            <w:shd w:val="clear" w:color="auto" w:fill="auto"/>
          </w:tcPr>
          <w:p w14:paraId="46F27427" w14:textId="77777777" w:rsidR="00473643" w:rsidRPr="00163645" w:rsidRDefault="00473643" w:rsidP="00066DCF">
            <w:pPr>
              <w:rPr>
                <w:rFonts w:cs="Arial"/>
                <w:lang w:eastAsia="en-US"/>
              </w:rPr>
            </w:pPr>
            <w:r w:rsidRPr="00163645">
              <w:rPr>
                <w:rFonts w:cs="Arial"/>
                <w:lang w:eastAsia="en-US"/>
              </w:rPr>
              <w:t>Metal (tin plate, with an internal epoxyphenolic lacquer only for the 30L container)</w:t>
            </w:r>
          </w:p>
        </w:tc>
        <w:tc>
          <w:tcPr>
            <w:tcW w:w="1597" w:type="dxa"/>
            <w:shd w:val="clear" w:color="auto" w:fill="auto"/>
          </w:tcPr>
          <w:p w14:paraId="5E5ED57B" w14:textId="77777777" w:rsidR="00473643" w:rsidRPr="00B100F1" w:rsidRDefault="00473643" w:rsidP="00066DCF">
            <w:pPr>
              <w:rPr>
                <w:rFonts w:cs="Arial"/>
                <w:lang w:eastAsia="en-US"/>
              </w:rPr>
            </w:pPr>
            <w:r w:rsidRPr="00B100F1">
              <w:rPr>
                <w:rFonts w:cs="Arial"/>
                <w:lang w:eastAsia="en-US"/>
              </w:rPr>
              <w:t>Hermetically closed</w:t>
            </w:r>
          </w:p>
        </w:tc>
        <w:tc>
          <w:tcPr>
            <w:tcW w:w="1706" w:type="dxa"/>
            <w:vMerge w:val="restart"/>
            <w:shd w:val="clear" w:color="auto" w:fill="auto"/>
          </w:tcPr>
          <w:p w14:paraId="7730BD4D" w14:textId="26DF56AE" w:rsidR="00473643" w:rsidRPr="00B100F1" w:rsidRDefault="00473643" w:rsidP="00066DCF">
            <w:pPr>
              <w:rPr>
                <w:rFonts w:cs="Arial"/>
                <w:lang w:eastAsia="en-US"/>
              </w:rPr>
            </w:pPr>
            <w:r w:rsidRPr="00B100F1">
              <w:rPr>
                <w:rFonts w:cs="Arial"/>
                <w:lang w:eastAsia="en-US"/>
              </w:rPr>
              <w:t xml:space="preserve">professional </w:t>
            </w:r>
          </w:p>
        </w:tc>
        <w:tc>
          <w:tcPr>
            <w:tcW w:w="1709" w:type="dxa"/>
            <w:vMerge w:val="restart"/>
          </w:tcPr>
          <w:p w14:paraId="23DB2936" w14:textId="77777777" w:rsidR="00473643" w:rsidRPr="00163645" w:rsidRDefault="00473643" w:rsidP="00066DCF">
            <w:pPr>
              <w:rPr>
                <w:rFonts w:cs="Arial"/>
                <w:lang w:eastAsia="en-US"/>
              </w:rPr>
            </w:pPr>
            <w:r w:rsidRPr="00163645">
              <w:rPr>
                <w:rFonts w:cs="Arial"/>
                <w:lang w:eastAsia="en-US"/>
              </w:rPr>
              <w:t>Y</w:t>
            </w:r>
          </w:p>
        </w:tc>
      </w:tr>
      <w:tr w:rsidR="00473643" w:rsidRPr="00163645" w14:paraId="1994E276" w14:textId="77777777" w:rsidTr="00331B06">
        <w:tc>
          <w:tcPr>
            <w:tcW w:w="1403" w:type="dxa"/>
            <w:shd w:val="clear" w:color="auto" w:fill="auto"/>
          </w:tcPr>
          <w:p w14:paraId="16BBB07E" w14:textId="77777777" w:rsidR="00473643" w:rsidRPr="00163645" w:rsidRDefault="00473643" w:rsidP="00066DCF">
            <w:pPr>
              <w:rPr>
                <w:rFonts w:cs="Arial"/>
                <w:lang w:eastAsia="en-US"/>
              </w:rPr>
            </w:pPr>
            <w:r w:rsidRPr="00163645">
              <w:rPr>
                <w:rFonts w:cs="Arial"/>
                <w:lang w:eastAsia="en-US"/>
              </w:rPr>
              <w:t>Bulk containers</w:t>
            </w:r>
          </w:p>
        </w:tc>
        <w:tc>
          <w:tcPr>
            <w:tcW w:w="1640" w:type="dxa"/>
            <w:shd w:val="clear" w:color="auto" w:fill="auto"/>
          </w:tcPr>
          <w:p w14:paraId="396E8C4B" w14:textId="77777777" w:rsidR="00473643" w:rsidRPr="00163645" w:rsidRDefault="00473643" w:rsidP="00066DCF">
            <w:pPr>
              <w:rPr>
                <w:rFonts w:cs="Arial"/>
                <w:lang w:eastAsia="en-US"/>
              </w:rPr>
            </w:pPr>
            <w:r w:rsidRPr="00163645">
              <w:rPr>
                <w:rFonts w:cs="Arial"/>
                <w:lang w:eastAsia="en-US"/>
              </w:rPr>
              <w:t>1000L</w:t>
            </w:r>
          </w:p>
        </w:tc>
        <w:tc>
          <w:tcPr>
            <w:tcW w:w="1651" w:type="dxa"/>
            <w:shd w:val="clear" w:color="auto" w:fill="auto"/>
          </w:tcPr>
          <w:p w14:paraId="6108EDC3" w14:textId="77777777" w:rsidR="00473643" w:rsidRPr="00163645" w:rsidRDefault="00473643" w:rsidP="00066DCF">
            <w:pPr>
              <w:rPr>
                <w:rFonts w:cs="Arial"/>
                <w:lang w:eastAsia="en-US"/>
              </w:rPr>
            </w:pPr>
            <w:r w:rsidRPr="00163645">
              <w:rPr>
                <w:rFonts w:cs="Arial"/>
                <w:lang w:eastAsia="en-US"/>
              </w:rPr>
              <w:t>HDPE</w:t>
            </w:r>
          </w:p>
        </w:tc>
        <w:tc>
          <w:tcPr>
            <w:tcW w:w="1597" w:type="dxa"/>
            <w:shd w:val="clear" w:color="auto" w:fill="auto"/>
          </w:tcPr>
          <w:p w14:paraId="2E964DD9" w14:textId="77777777" w:rsidR="00473643" w:rsidRPr="00163645" w:rsidRDefault="00473643" w:rsidP="00066DCF">
            <w:pPr>
              <w:rPr>
                <w:rFonts w:cs="Arial"/>
                <w:lang w:eastAsia="en-US"/>
              </w:rPr>
            </w:pPr>
          </w:p>
        </w:tc>
        <w:tc>
          <w:tcPr>
            <w:tcW w:w="1706" w:type="dxa"/>
            <w:vMerge/>
            <w:shd w:val="clear" w:color="auto" w:fill="auto"/>
          </w:tcPr>
          <w:p w14:paraId="573548E9" w14:textId="77777777" w:rsidR="00473643" w:rsidRPr="00163645" w:rsidRDefault="00473643" w:rsidP="00066DCF">
            <w:pPr>
              <w:rPr>
                <w:rFonts w:cs="Arial"/>
                <w:lang w:eastAsia="en-US"/>
              </w:rPr>
            </w:pPr>
          </w:p>
        </w:tc>
        <w:tc>
          <w:tcPr>
            <w:tcW w:w="1709" w:type="dxa"/>
            <w:vMerge/>
          </w:tcPr>
          <w:p w14:paraId="323AECA2" w14:textId="77777777" w:rsidR="00473643" w:rsidRPr="00163645" w:rsidRDefault="00473643" w:rsidP="00066DCF">
            <w:pPr>
              <w:rPr>
                <w:rFonts w:cs="Arial"/>
                <w:lang w:eastAsia="en-US"/>
              </w:rPr>
            </w:pPr>
          </w:p>
        </w:tc>
      </w:tr>
      <w:tr w:rsidR="00331B06" w:rsidRPr="00163645" w14:paraId="11456E13" w14:textId="77777777" w:rsidTr="00331B06">
        <w:tc>
          <w:tcPr>
            <w:tcW w:w="1403" w:type="dxa"/>
            <w:shd w:val="clear" w:color="auto" w:fill="auto"/>
          </w:tcPr>
          <w:p w14:paraId="7936C80E" w14:textId="49644B8B" w:rsidR="00331B06" w:rsidRPr="00163645" w:rsidRDefault="00331B06" w:rsidP="00066DCF">
            <w:pPr>
              <w:rPr>
                <w:rFonts w:cs="Arial"/>
                <w:lang w:eastAsia="en-US"/>
              </w:rPr>
            </w:pPr>
            <w:r w:rsidRPr="00163645">
              <w:rPr>
                <w:rFonts w:cs="Arial"/>
                <w:lang w:eastAsia="en-US"/>
              </w:rPr>
              <w:t>Bulk containers</w:t>
            </w:r>
          </w:p>
        </w:tc>
        <w:tc>
          <w:tcPr>
            <w:tcW w:w="1640" w:type="dxa"/>
            <w:shd w:val="clear" w:color="auto" w:fill="auto"/>
          </w:tcPr>
          <w:p w14:paraId="45A5B7B3" w14:textId="27B2F475" w:rsidR="00331B06" w:rsidRPr="00163645" w:rsidRDefault="00331B06" w:rsidP="00066DCF">
            <w:pPr>
              <w:rPr>
                <w:rFonts w:cs="Arial"/>
                <w:lang w:eastAsia="en-US"/>
              </w:rPr>
            </w:pPr>
            <w:r w:rsidRPr="00163645">
              <w:rPr>
                <w:rFonts w:cs="Arial"/>
                <w:lang w:eastAsia="en-US"/>
              </w:rPr>
              <w:t>1000L</w:t>
            </w:r>
          </w:p>
        </w:tc>
        <w:tc>
          <w:tcPr>
            <w:tcW w:w="1651" w:type="dxa"/>
            <w:shd w:val="clear" w:color="auto" w:fill="auto"/>
          </w:tcPr>
          <w:p w14:paraId="01851630" w14:textId="1758E1A2" w:rsidR="00331B06" w:rsidRPr="00163645" w:rsidRDefault="00331B06" w:rsidP="00066DCF">
            <w:pPr>
              <w:rPr>
                <w:rFonts w:cs="Arial"/>
                <w:lang w:eastAsia="en-US"/>
              </w:rPr>
            </w:pPr>
            <w:r w:rsidRPr="00163645">
              <w:rPr>
                <w:rFonts w:cs="Arial"/>
                <w:lang w:eastAsia="en-US"/>
              </w:rPr>
              <w:t>HDPE</w:t>
            </w:r>
          </w:p>
        </w:tc>
        <w:tc>
          <w:tcPr>
            <w:tcW w:w="1597" w:type="dxa"/>
            <w:shd w:val="clear" w:color="auto" w:fill="auto"/>
          </w:tcPr>
          <w:p w14:paraId="69B0DFD7" w14:textId="179B9B0B" w:rsidR="00331B06" w:rsidRPr="00163645" w:rsidRDefault="00331B06" w:rsidP="00331B06">
            <w:pPr>
              <w:rPr>
                <w:rFonts w:cs="Arial"/>
                <w:lang w:eastAsia="en-US"/>
              </w:rPr>
            </w:pPr>
          </w:p>
        </w:tc>
        <w:tc>
          <w:tcPr>
            <w:tcW w:w="1706" w:type="dxa"/>
            <w:vMerge w:val="restart"/>
            <w:shd w:val="clear" w:color="auto" w:fill="auto"/>
          </w:tcPr>
          <w:p w14:paraId="418821FC" w14:textId="2F9C80E1" w:rsidR="00331B06" w:rsidRPr="00163645" w:rsidRDefault="00331B06" w:rsidP="00066DCF">
            <w:pPr>
              <w:rPr>
                <w:rFonts w:cs="Arial"/>
                <w:lang w:eastAsia="en-US"/>
              </w:rPr>
            </w:pPr>
            <w:r>
              <w:rPr>
                <w:rFonts w:cs="Arial"/>
                <w:lang w:eastAsia="en-US"/>
              </w:rPr>
              <w:t>industrial</w:t>
            </w:r>
          </w:p>
        </w:tc>
        <w:tc>
          <w:tcPr>
            <w:tcW w:w="1709" w:type="dxa"/>
            <w:vMerge w:val="restart"/>
          </w:tcPr>
          <w:p w14:paraId="1E8C8E8D" w14:textId="6685538E" w:rsidR="00331B06" w:rsidRPr="00163645" w:rsidRDefault="00331B06" w:rsidP="00066DCF">
            <w:pPr>
              <w:rPr>
                <w:rFonts w:cs="Arial"/>
                <w:lang w:eastAsia="en-US"/>
              </w:rPr>
            </w:pPr>
            <w:r>
              <w:rPr>
                <w:rFonts w:cs="Arial"/>
                <w:lang w:eastAsia="en-US"/>
              </w:rPr>
              <w:t>Y</w:t>
            </w:r>
          </w:p>
        </w:tc>
      </w:tr>
      <w:tr w:rsidR="00331B06" w:rsidRPr="00163645" w14:paraId="6B86FA56" w14:textId="77777777" w:rsidTr="00331B06">
        <w:tc>
          <w:tcPr>
            <w:tcW w:w="1403" w:type="dxa"/>
            <w:shd w:val="clear" w:color="auto" w:fill="auto"/>
          </w:tcPr>
          <w:p w14:paraId="5BB3B695" w14:textId="365FC19D" w:rsidR="00331B06" w:rsidRPr="00163645" w:rsidRDefault="00331B06" w:rsidP="00066DCF">
            <w:pPr>
              <w:rPr>
                <w:rFonts w:cs="Arial"/>
                <w:lang w:eastAsia="en-US"/>
              </w:rPr>
            </w:pPr>
            <w:r w:rsidRPr="00163645">
              <w:rPr>
                <w:rFonts w:cs="Arial"/>
                <w:lang w:eastAsia="en-US"/>
              </w:rPr>
              <w:t>Can</w:t>
            </w:r>
          </w:p>
        </w:tc>
        <w:tc>
          <w:tcPr>
            <w:tcW w:w="1640" w:type="dxa"/>
            <w:shd w:val="clear" w:color="auto" w:fill="auto"/>
          </w:tcPr>
          <w:p w14:paraId="18706034" w14:textId="4F3ADB66" w:rsidR="00331B06" w:rsidRPr="00163645" w:rsidRDefault="00331B06" w:rsidP="00066DCF">
            <w:pPr>
              <w:rPr>
                <w:rFonts w:cs="Arial"/>
              </w:rPr>
            </w:pPr>
            <w:r w:rsidRPr="00163645">
              <w:rPr>
                <w:rFonts w:cs="Arial"/>
              </w:rPr>
              <w:t>200 L</w:t>
            </w:r>
          </w:p>
        </w:tc>
        <w:tc>
          <w:tcPr>
            <w:tcW w:w="1651" w:type="dxa"/>
            <w:shd w:val="clear" w:color="auto" w:fill="auto"/>
          </w:tcPr>
          <w:p w14:paraId="2A2757D9" w14:textId="05D3B48B" w:rsidR="00331B06" w:rsidRPr="00163645" w:rsidRDefault="00331B06" w:rsidP="004F5ED3">
            <w:pPr>
              <w:rPr>
                <w:rFonts w:cs="Arial"/>
                <w:lang w:eastAsia="en-US"/>
              </w:rPr>
            </w:pPr>
            <w:r w:rsidRPr="00163645">
              <w:rPr>
                <w:rFonts w:cs="Arial"/>
                <w:lang w:eastAsia="en-US"/>
              </w:rPr>
              <w:t>Metal (tin plate</w:t>
            </w:r>
            <w:r>
              <w:rPr>
                <w:rFonts w:cs="Arial"/>
                <w:lang w:eastAsia="en-US"/>
              </w:rPr>
              <w:t>)</w:t>
            </w:r>
          </w:p>
        </w:tc>
        <w:tc>
          <w:tcPr>
            <w:tcW w:w="1597" w:type="dxa"/>
            <w:shd w:val="clear" w:color="auto" w:fill="auto"/>
          </w:tcPr>
          <w:p w14:paraId="4261F912" w14:textId="5467E0FC" w:rsidR="00331B06" w:rsidRPr="00163645" w:rsidRDefault="00331B06" w:rsidP="00066DCF">
            <w:pPr>
              <w:rPr>
                <w:rFonts w:cs="Arial"/>
                <w:lang w:eastAsia="en-US"/>
              </w:rPr>
            </w:pPr>
            <w:r w:rsidRPr="00163645">
              <w:rPr>
                <w:rFonts w:cs="Arial"/>
                <w:lang w:eastAsia="en-US"/>
              </w:rPr>
              <w:t>Hermetically closed</w:t>
            </w:r>
          </w:p>
        </w:tc>
        <w:tc>
          <w:tcPr>
            <w:tcW w:w="1706" w:type="dxa"/>
            <w:vMerge/>
            <w:shd w:val="clear" w:color="auto" w:fill="auto"/>
          </w:tcPr>
          <w:p w14:paraId="439D0E31" w14:textId="77777777" w:rsidR="00331B06" w:rsidRPr="00163645" w:rsidRDefault="00331B06" w:rsidP="00066DCF">
            <w:pPr>
              <w:rPr>
                <w:rFonts w:cs="Arial"/>
                <w:lang w:eastAsia="en-US"/>
              </w:rPr>
            </w:pPr>
          </w:p>
        </w:tc>
        <w:tc>
          <w:tcPr>
            <w:tcW w:w="1709" w:type="dxa"/>
            <w:vMerge/>
          </w:tcPr>
          <w:p w14:paraId="7B3641CB" w14:textId="77777777" w:rsidR="00331B06" w:rsidRPr="00163645" w:rsidRDefault="00331B06" w:rsidP="00066DCF">
            <w:pPr>
              <w:rPr>
                <w:rFonts w:cs="Arial"/>
                <w:lang w:eastAsia="en-US"/>
              </w:rPr>
            </w:pPr>
          </w:p>
        </w:tc>
      </w:tr>
      <w:tr w:rsidR="00331B06" w:rsidRPr="00163645" w14:paraId="35BC78B0" w14:textId="77777777" w:rsidTr="00331B06">
        <w:tc>
          <w:tcPr>
            <w:tcW w:w="1403" w:type="dxa"/>
            <w:shd w:val="clear" w:color="auto" w:fill="auto"/>
          </w:tcPr>
          <w:p w14:paraId="7FC09A03" w14:textId="77777777" w:rsidR="00331B06" w:rsidRPr="00163645" w:rsidRDefault="00331B06" w:rsidP="00066DCF">
            <w:pPr>
              <w:rPr>
                <w:rFonts w:cs="Arial"/>
                <w:lang w:eastAsia="en-US"/>
              </w:rPr>
            </w:pPr>
            <w:r w:rsidRPr="00163645">
              <w:rPr>
                <w:rFonts w:cs="Arial"/>
                <w:lang w:eastAsia="en-US"/>
              </w:rPr>
              <w:t>Can</w:t>
            </w:r>
          </w:p>
        </w:tc>
        <w:tc>
          <w:tcPr>
            <w:tcW w:w="1640" w:type="dxa"/>
            <w:shd w:val="clear" w:color="auto" w:fill="auto"/>
          </w:tcPr>
          <w:p w14:paraId="1AE15A6E" w14:textId="77777777" w:rsidR="00331B06" w:rsidRPr="00163645" w:rsidRDefault="00331B06" w:rsidP="00066DCF">
            <w:pPr>
              <w:rPr>
                <w:rFonts w:cs="Arial"/>
                <w:lang w:eastAsia="en-US"/>
              </w:rPr>
            </w:pPr>
            <w:r w:rsidRPr="00163645">
              <w:rPr>
                <w:rFonts w:cs="Arial"/>
              </w:rPr>
              <w:t>0.75 L, 1 L, 2.5 L, 5 L, 25 L and 30 L</w:t>
            </w:r>
          </w:p>
        </w:tc>
        <w:tc>
          <w:tcPr>
            <w:tcW w:w="1651" w:type="dxa"/>
            <w:shd w:val="clear" w:color="auto" w:fill="auto"/>
          </w:tcPr>
          <w:p w14:paraId="5256F2D2" w14:textId="7E82D13F" w:rsidR="00331B06" w:rsidRPr="00FB5AD6" w:rsidRDefault="00331B06" w:rsidP="004F5ED3">
            <w:pPr>
              <w:rPr>
                <w:rFonts w:cs="Arial"/>
                <w:lang w:val="en-US" w:eastAsia="en-US"/>
              </w:rPr>
            </w:pPr>
            <w:r w:rsidRPr="00163645">
              <w:rPr>
                <w:rFonts w:cs="Arial"/>
                <w:lang w:eastAsia="en-US"/>
              </w:rPr>
              <w:t>Metal</w:t>
            </w:r>
            <w:r>
              <w:rPr>
                <w:rFonts w:cs="Arial"/>
                <w:lang w:eastAsia="en-US"/>
              </w:rPr>
              <w:t xml:space="preserve"> </w:t>
            </w:r>
            <w:r w:rsidRPr="00163645">
              <w:rPr>
                <w:rFonts w:cs="Arial"/>
                <w:lang w:eastAsia="en-US"/>
              </w:rPr>
              <w:t>(tin plate</w:t>
            </w:r>
            <w:r>
              <w:rPr>
                <w:rFonts w:cs="Arial"/>
                <w:lang w:eastAsia="en-US"/>
              </w:rPr>
              <w:t xml:space="preserve">). </w:t>
            </w:r>
            <w:r w:rsidRPr="00163645">
              <w:rPr>
                <w:rFonts w:cs="Arial"/>
                <w:lang w:eastAsia="en-US"/>
              </w:rPr>
              <w:t xml:space="preserve"> </w:t>
            </w:r>
            <w:r>
              <w:rPr>
                <w:rFonts w:cs="Arial"/>
                <w:lang w:eastAsia="en-US"/>
              </w:rPr>
              <w:t>A</w:t>
            </w:r>
            <w:r w:rsidRPr="00163645">
              <w:rPr>
                <w:rFonts w:cs="Arial"/>
                <w:lang w:eastAsia="en-US"/>
              </w:rPr>
              <w:t xml:space="preserve">n internal epoxyphenolic lacquer </w:t>
            </w:r>
            <w:r>
              <w:rPr>
                <w:rFonts w:cs="Arial"/>
                <w:lang w:eastAsia="en-US"/>
              </w:rPr>
              <w:t xml:space="preserve">is added </w:t>
            </w:r>
            <w:r w:rsidRPr="00163645">
              <w:rPr>
                <w:rFonts w:cs="Arial"/>
                <w:lang w:eastAsia="en-US"/>
              </w:rPr>
              <w:t>only for the 30L container</w:t>
            </w:r>
            <w:r>
              <w:rPr>
                <w:rFonts w:cs="Arial"/>
                <w:lang w:eastAsia="en-US"/>
              </w:rPr>
              <w:t>.</w:t>
            </w:r>
          </w:p>
        </w:tc>
        <w:tc>
          <w:tcPr>
            <w:tcW w:w="1597" w:type="dxa"/>
            <w:shd w:val="clear" w:color="auto" w:fill="auto"/>
          </w:tcPr>
          <w:p w14:paraId="6CAE395A" w14:textId="77777777" w:rsidR="00331B06" w:rsidRPr="00163645" w:rsidRDefault="00331B06" w:rsidP="00066DCF">
            <w:pPr>
              <w:rPr>
                <w:rFonts w:cs="Arial"/>
                <w:lang w:eastAsia="en-US"/>
              </w:rPr>
            </w:pPr>
            <w:r w:rsidRPr="00163645">
              <w:rPr>
                <w:rFonts w:cs="Arial"/>
                <w:lang w:eastAsia="en-US"/>
              </w:rPr>
              <w:t>Hermetically closed</w:t>
            </w:r>
          </w:p>
        </w:tc>
        <w:tc>
          <w:tcPr>
            <w:tcW w:w="1706" w:type="dxa"/>
            <w:shd w:val="clear" w:color="auto" w:fill="auto"/>
          </w:tcPr>
          <w:p w14:paraId="72DB3471" w14:textId="77777777" w:rsidR="00331B06" w:rsidRPr="00163645" w:rsidRDefault="00331B06" w:rsidP="00066DCF">
            <w:pPr>
              <w:rPr>
                <w:rFonts w:cs="Arial"/>
                <w:lang w:eastAsia="en-US"/>
              </w:rPr>
            </w:pPr>
            <w:r w:rsidRPr="00163645">
              <w:rPr>
                <w:rFonts w:cs="Arial"/>
                <w:lang w:eastAsia="en-US"/>
              </w:rPr>
              <w:t xml:space="preserve">Non-professional </w:t>
            </w:r>
          </w:p>
        </w:tc>
        <w:tc>
          <w:tcPr>
            <w:tcW w:w="1709" w:type="dxa"/>
          </w:tcPr>
          <w:p w14:paraId="5E77D1E7" w14:textId="77777777" w:rsidR="00331B06" w:rsidRPr="00163645" w:rsidRDefault="00331B06" w:rsidP="00066DCF">
            <w:pPr>
              <w:rPr>
                <w:rFonts w:cs="Arial"/>
                <w:lang w:eastAsia="en-US"/>
              </w:rPr>
            </w:pPr>
            <w:r w:rsidRPr="00163645">
              <w:rPr>
                <w:rFonts w:cs="Arial"/>
                <w:lang w:eastAsia="en-US"/>
              </w:rPr>
              <w:t>Y</w:t>
            </w:r>
          </w:p>
        </w:tc>
      </w:tr>
    </w:tbl>
    <w:p w14:paraId="1A6ED5C0" w14:textId="77777777" w:rsidR="009D0C0B" w:rsidRDefault="009D0C0B">
      <w:pPr>
        <w:spacing w:line="260" w:lineRule="atLeast"/>
        <w:rPr>
          <w:rFonts w:eastAsia="Calibri"/>
          <w:lang w:eastAsia="en-US"/>
        </w:rPr>
      </w:pPr>
    </w:p>
    <w:p w14:paraId="290AEA1D" w14:textId="77777777" w:rsidR="009D0C0B" w:rsidRDefault="009D0C0B">
      <w:pPr>
        <w:rPr>
          <w:rFonts w:eastAsia="Calibri"/>
          <w:lang w:eastAsia="en-US"/>
        </w:rPr>
      </w:pPr>
    </w:p>
    <w:p w14:paraId="22C41954" w14:textId="77777777" w:rsidR="009D0C0B" w:rsidRDefault="00FA480B">
      <w:pPr>
        <w:pStyle w:val="Titre3"/>
      </w:pPr>
      <w:bookmarkStart w:id="72" w:name="_Toc536627297"/>
      <w:bookmarkStart w:id="73" w:name="d0e2119"/>
      <w:r>
        <w:rPr>
          <w:lang w:eastAsia="en-US"/>
        </w:rPr>
        <w:t>Documentation</w:t>
      </w:r>
      <w:bookmarkEnd w:id="72"/>
    </w:p>
    <w:p w14:paraId="580C673B" w14:textId="77777777" w:rsidR="009D0C0B" w:rsidRPr="00FB5AD6" w:rsidRDefault="00FA480B">
      <w:pPr>
        <w:pStyle w:val="Titre4"/>
        <w:rPr>
          <w:rFonts w:ascii="Times New Roman" w:hAnsi="Times New Roman" w:cs="Times New Roman"/>
          <w:i/>
          <w:iCs/>
          <w:lang w:val="en-US" w:eastAsia="en-US"/>
        </w:rPr>
      </w:pPr>
      <w:bookmarkStart w:id="74" w:name="_Toc536627298"/>
      <w:r w:rsidRPr="00FB5AD6">
        <w:rPr>
          <w:lang w:val="en-US"/>
        </w:rPr>
        <w:t>Data submitted in relation to product application</w:t>
      </w:r>
      <w:bookmarkEnd w:id="74"/>
    </w:p>
    <w:p w14:paraId="6EE139B8" w14:textId="77777777" w:rsidR="00CE343C" w:rsidRPr="00553C82" w:rsidRDefault="00CE343C">
      <w:pPr>
        <w:spacing w:line="260" w:lineRule="atLeast"/>
        <w:rPr>
          <w:rFonts w:eastAsia="Calibri" w:cs="Times New Roman"/>
          <w:i/>
          <w:iCs/>
          <w:lang w:eastAsia="en-US"/>
        </w:rPr>
      </w:pPr>
    </w:p>
    <w:p w14:paraId="51702847" w14:textId="77777777" w:rsidR="00473643" w:rsidRPr="00553C82" w:rsidRDefault="00473643" w:rsidP="00473643">
      <w:pPr>
        <w:spacing w:line="276" w:lineRule="auto"/>
        <w:rPr>
          <w:b/>
          <w:bCs/>
          <w:u w:val="single"/>
          <w:lang w:eastAsia="en-US"/>
        </w:rPr>
      </w:pPr>
      <w:r w:rsidRPr="00553C82">
        <w:rPr>
          <w:b/>
          <w:u w:val="single"/>
          <w:lang w:eastAsia="de-DE"/>
        </w:rPr>
        <w:t>Physical, chemical and technical properties</w:t>
      </w:r>
      <w:r w:rsidRPr="00553C82">
        <w:rPr>
          <w:b/>
          <w:bCs/>
          <w:u w:val="single"/>
          <w:lang w:eastAsia="en-US"/>
        </w:rPr>
        <w:t xml:space="preserve"> of the product</w:t>
      </w:r>
    </w:p>
    <w:p w14:paraId="56C5FCF0" w14:textId="77777777" w:rsidR="00473643" w:rsidRPr="00553C82" w:rsidRDefault="00473643" w:rsidP="00473643">
      <w:pPr>
        <w:spacing w:line="276" w:lineRule="auto"/>
        <w:rPr>
          <w:rFonts w:cs="Arial"/>
        </w:rPr>
      </w:pPr>
      <w:r w:rsidRPr="00553C82">
        <w:rPr>
          <w:rFonts w:cs="Arial"/>
        </w:rPr>
        <w:t>Physico-chemical properties studies and analytical methods on the biocidal product X6122B1 were provided by PPG.</w:t>
      </w:r>
    </w:p>
    <w:p w14:paraId="04857887" w14:textId="77777777" w:rsidR="00473643" w:rsidRPr="00553C82" w:rsidRDefault="00473643">
      <w:pPr>
        <w:spacing w:line="260" w:lineRule="atLeast"/>
        <w:rPr>
          <w:rFonts w:eastAsia="Calibri" w:cs="Times New Roman"/>
          <w:i/>
          <w:iCs/>
          <w:lang w:eastAsia="en-US"/>
        </w:rPr>
      </w:pPr>
    </w:p>
    <w:p w14:paraId="4697D2E9" w14:textId="77777777" w:rsidR="00CE343C" w:rsidRPr="00553C82" w:rsidRDefault="00A026F7">
      <w:pPr>
        <w:spacing w:line="260" w:lineRule="atLeast"/>
        <w:rPr>
          <w:rFonts w:eastAsia="Calibri" w:cs="Times New Roman"/>
          <w:i/>
          <w:iCs/>
          <w:lang w:eastAsia="en-US"/>
        </w:rPr>
      </w:pPr>
      <w:r>
        <w:rPr>
          <w:rFonts w:cs="Arial"/>
          <w:b/>
          <w:u w:val="single"/>
        </w:rPr>
        <w:t xml:space="preserve">Efficacy </w:t>
      </w:r>
      <w:r w:rsidR="00ED312B">
        <w:rPr>
          <w:rFonts w:cs="Arial"/>
          <w:b/>
          <w:u w:val="single"/>
        </w:rPr>
        <w:t>data</w:t>
      </w:r>
    </w:p>
    <w:p w14:paraId="49830305" w14:textId="77777777" w:rsidR="00CE343C" w:rsidRPr="00553C82" w:rsidRDefault="00CE343C">
      <w:pPr>
        <w:spacing w:line="260" w:lineRule="atLeast"/>
        <w:rPr>
          <w:rFonts w:eastAsia="Calibri" w:cs="Times New Roman"/>
          <w:i/>
          <w:iCs/>
          <w:lang w:eastAsia="en-US"/>
        </w:rPr>
      </w:pPr>
    </w:p>
    <w:p w14:paraId="21DB2EF7"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Laboratory efficacy study conducted according to the standard EN 113</w:t>
      </w:r>
      <w:r w:rsidRPr="00ED312B">
        <w:rPr>
          <w:rStyle w:val="Appelnotedebasdep"/>
          <w:rFonts w:cs="Arial"/>
          <w:lang w:val="en-US" w:eastAsia="en-US"/>
        </w:rPr>
        <w:footnoteReference w:id="3"/>
      </w:r>
      <w:r w:rsidRPr="00ED312B">
        <w:rPr>
          <w:rFonts w:cs="Arial"/>
          <w:lang w:val="en-US" w:eastAsia="en-US"/>
        </w:rPr>
        <w:t xml:space="preserve">, with the product </w:t>
      </w:r>
      <w:r w:rsidRPr="00ED312B">
        <w:rPr>
          <w:rFonts w:cs="Arial"/>
        </w:rPr>
        <w:t xml:space="preserve">X6122B1 </w:t>
      </w:r>
      <w:r w:rsidRPr="00ED312B">
        <w:rPr>
          <w:rFonts w:cs="Arial"/>
          <w:lang w:val="en-US" w:eastAsia="en-US"/>
        </w:rPr>
        <w:t>after ageing following EN 73</w:t>
      </w:r>
      <w:r w:rsidRPr="00ED312B">
        <w:rPr>
          <w:rStyle w:val="Appelnotedebasdep"/>
          <w:rFonts w:cs="Arial"/>
          <w:lang w:val="en-US" w:eastAsia="en-US"/>
        </w:rPr>
        <w:footnoteReference w:id="4"/>
      </w:r>
      <w:r w:rsidRPr="00ED312B">
        <w:rPr>
          <w:rFonts w:cs="Arial"/>
          <w:lang w:val="en-US" w:eastAsia="en-US"/>
        </w:rPr>
        <w:t xml:space="preserve"> (evaporating procedure);</w:t>
      </w:r>
    </w:p>
    <w:p w14:paraId="70A574FF"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 xml:space="preserve">Laboratory efficacy study conducted according to the standard EN 113, with the product </w:t>
      </w:r>
      <w:r w:rsidRPr="00ED312B">
        <w:rPr>
          <w:rFonts w:cs="Arial"/>
        </w:rPr>
        <w:t xml:space="preserve">X6122B1 </w:t>
      </w:r>
      <w:r w:rsidRPr="00ED312B">
        <w:rPr>
          <w:rFonts w:cs="Arial"/>
          <w:lang w:val="en-US" w:eastAsia="en-US"/>
        </w:rPr>
        <w:t>after ageing following EN 84</w:t>
      </w:r>
      <w:r w:rsidRPr="00ED312B">
        <w:rPr>
          <w:rStyle w:val="Appelnotedebasdep"/>
          <w:rFonts w:cs="Arial"/>
          <w:lang w:val="en-US" w:eastAsia="en-US"/>
        </w:rPr>
        <w:footnoteReference w:id="5"/>
      </w:r>
      <w:r w:rsidRPr="00ED312B">
        <w:rPr>
          <w:rFonts w:cs="Arial"/>
          <w:lang w:val="en-US" w:eastAsia="en-US"/>
        </w:rPr>
        <w:t xml:space="preserve"> (leaching procedure);</w:t>
      </w:r>
    </w:p>
    <w:p w14:paraId="16864E7B"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Laboratory efficacy study conducted according to the standard EN 118</w:t>
      </w:r>
      <w:r w:rsidRPr="00ED312B">
        <w:rPr>
          <w:rStyle w:val="Appelnotedebasdep"/>
          <w:rFonts w:cs="Arial"/>
          <w:lang w:val="en-US" w:eastAsia="en-US"/>
        </w:rPr>
        <w:footnoteReference w:id="6"/>
      </w:r>
      <w:r w:rsidRPr="00ED312B">
        <w:rPr>
          <w:rFonts w:cs="Arial"/>
          <w:lang w:val="en-US" w:eastAsia="en-US"/>
        </w:rPr>
        <w:t xml:space="preserve">, with the product </w:t>
      </w:r>
      <w:r w:rsidRPr="00ED312B">
        <w:rPr>
          <w:rFonts w:cs="Arial"/>
        </w:rPr>
        <w:t>X6122B1</w:t>
      </w:r>
      <w:r w:rsidRPr="00ED312B">
        <w:rPr>
          <w:rFonts w:cs="Arial"/>
          <w:lang w:val="en-US" w:eastAsia="en-US"/>
        </w:rPr>
        <w:t xml:space="preserve">, after ageing following EN 73 (evaporating procedure) against </w:t>
      </w:r>
      <w:r w:rsidRPr="00ED312B">
        <w:rPr>
          <w:rFonts w:cs="Arial"/>
          <w:i/>
          <w:lang w:val="en-US" w:eastAsia="en-US"/>
        </w:rPr>
        <w:t>Reticulitermes flavipes</w:t>
      </w:r>
      <w:r w:rsidRPr="00ED312B">
        <w:rPr>
          <w:rFonts w:cs="Arial"/>
          <w:lang w:val="en-US" w:eastAsia="en-US"/>
        </w:rPr>
        <w:t>;</w:t>
      </w:r>
    </w:p>
    <w:p w14:paraId="397D7144"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 xml:space="preserve">Laboratory efficacy study conducted according to the standard EN 118, with the product </w:t>
      </w:r>
      <w:r w:rsidRPr="00ED312B">
        <w:rPr>
          <w:rFonts w:cs="Arial"/>
        </w:rPr>
        <w:t>X6122B1</w:t>
      </w:r>
      <w:r w:rsidRPr="00ED312B">
        <w:rPr>
          <w:rFonts w:cs="Arial"/>
          <w:lang w:val="en-US" w:eastAsia="en-US"/>
        </w:rPr>
        <w:t xml:space="preserve">, after ageing following EN 84 (leaching procedure) against </w:t>
      </w:r>
      <w:r w:rsidRPr="00ED312B">
        <w:rPr>
          <w:rFonts w:cs="Arial"/>
          <w:i/>
          <w:lang w:val="en-US" w:eastAsia="en-US"/>
        </w:rPr>
        <w:t>Reticulitermes flavipes</w:t>
      </w:r>
      <w:r w:rsidRPr="00ED312B">
        <w:rPr>
          <w:rFonts w:cs="Arial"/>
          <w:lang w:val="en-US" w:eastAsia="en-US"/>
        </w:rPr>
        <w:t>;</w:t>
      </w:r>
    </w:p>
    <w:p w14:paraId="1C6F1A78"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Laboratory efficacy study conducted according to the standard EN 46-1</w:t>
      </w:r>
      <w:r w:rsidRPr="00ED312B">
        <w:rPr>
          <w:rFonts w:cs="Arial"/>
          <w:vertAlign w:val="superscript"/>
          <w:lang w:val="en-US" w:eastAsia="en-US"/>
        </w:rPr>
        <w:footnoteReference w:id="7"/>
      </w:r>
      <w:r w:rsidRPr="00ED312B">
        <w:rPr>
          <w:rFonts w:cs="Arial"/>
          <w:lang w:val="en-US" w:eastAsia="en-US"/>
        </w:rPr>
        <w:t xml:space="preserve">, with the product </w:t>
      </w:r>
      <w:r w:rsidRPr="00ED312B">
        <w:rPr>
          <w:rFonts w:cs="Arial"/>
        </w:rPr>
        <w:t>X6122B1</w:t>
      </w:r>
      <w:r w:rsidRPr="00ED312B">
        <w:rPr>
          <w:rFonts w:cs="Arial"/>
          <w:lang w:val="en-US" w:eastAsia="en-US"/>
        </w:rPr>
        <w:t>, after ageing following EN 73 (evaporating procedure);</w:t>
      </w:r>
    </w:p>
    <w:p w14:paraId="6D571C1F"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 xml:space="preserve">Laboratory efficacy study conducted according to the standard EN 46-1, with the product </w:t>
      </w:r>
      <w:r w:rsidRPr="00ED312B">
        <w:rPr>
          <w:rFonts w:cs="Arial"/>
        </w:rPr>
        <w:t>X6122B1</w:t>
      </w:r>
      <w:r w:rsidRPr="00ED312B">
        <w:rPr>
          <w:rFonts w:cs="Arial"/>
          <w:lang w:val="en-US" w:eastAsia="en-US"/>
        </w:rPr>
        <w:t>, after ageing following EN 84 (leaching procedure);</w:t>
      </w:r>
    </w:p>
    <w:p w14:paraId="41DEC9BF"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Laboratory efficacy study conducted according to the standard EN 49-1</w:t>
      </w:r>
      <w:r w:rsidRPr="00ED312B">
        <w:rPr>
          <w:rFonts w:cs="Arial"/>
          <w:vertAlign w:val="superscript"/>
          <w:lang w:val="en-US" w:eastAsia="en-US"/>
        </w:rPr>
        <w:footnoteReference w:id="8"/>
      </w:r>
      <w:r w:rsidRPr="00ED312B">
        <w:rPr>
          <w:rFonts w:cs="Arial"/>
          <w:lang w:val="en-US" w:eastAsia="en-US"/>
        </w:rPr>
        <w:t xml:space="preserve">, with the product </w:t>
      </w:r>
      <w:r w:rsidRPr="00ED312B">
        <w:rPr>
          <w:rFonts w:cs="Arial"/>
        </w:rPr>
        <w:t>X6122B1</w:t>
      </w:r>
      <w:r w:rsidRPr="00ED312B">
        <w:rPr>
          <w:rFonts w:cs="Arial"/>
          <w:lang w:val="en-US" w:eastAsia="en-US"/>
        </w:rPr>
        <w:t>, after ageing following EN 73 (evaporating procedure);</w:t>
      </w:r>
    </w:p>
    <w:p w14:paraId="1AEE813A"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 xml:space="preserve">Laboratory efficacy study conducted according to the standard EN 49-1, with the product </w:t>
      </w:r>
      <w:r w:rsidRPr="00ED312B">
        <w:rPr>
          <w:rFonts w:cs="Arial"/>
        </w:rPr>
        <w:t>X6122B1</w:t>
      </w:r>
      <w:r w:rsidRPr="00ED312B">
        <w:rPr>
          <w:rFonts w:cs="Arial"/>
          <w:lang w:val="en-US" w:eastAsia="en-US"/>
        </w:rPr>
        <w:t>, after ageing following EN 84 leaching procedure);</w:t>
      </w:r>
    </w:p>
    <w:p w14:paraId="4AE04392"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Laboratory efficacy study conducted according to the standard EN 20-1</w:t>
      </w:r>
      <w:r w:rsidRPr="00ED312B">
        <w:rPr>
          <w:rStyle w:val="Appelnotedebasdep"/>
          <w:rFonts w:cs="Arial"/>
          <w:lang w:val="en-US" w:eastAsia="en-US"/>
        </w:rPr>
        <w:footnoteReference w:id="9"/>
      </w:r>
      <w:r w:rsidRPr="00ED312B">
        <w:rPr>
          <w:rFonts w:cs="Arial"/>
          <w:lang w:val="en-US" w:eastAsia="en-US"/>
        </w:rPr>
        <w:t xml:space="preserve">, with the product </w:t>
      </w:r>
      <w:r w:rsidRPr="00ED312B">
        <w:rPr>
          <w:rFonts w:cs="Arial"/>
        </w:rPr>
        <w:t>X6122B1</w:t>
      </w:r>
      <w:r w:rsidRPr="00ED312B">
        <w:rPr>
          <w:rFonts w:cs="Arial"/>
          <w:lang w:val="en-US" w:eastAsia="en-US"/>
        </w:rPr>
        <w:t>, after ageing following EN 73 (evaporating procedure);</w:t>
      </w:r>
    </w:p>
    <w:p w14:paraId="188D060B" w14:textId="77777777" w:rsidR="00ED312B" w:rsidRPr="00ED312B" w:rsidRDefault="00ED312B" w:rsidP="00ED312B">
      <w:pPr>
        <w:numPr>
          <w:ilvl w:val="0"/>
          <w:numId w:val="25"/>
        </w:numPr>
        <w:suppressAutoHyphens w:val="0"/>
        <w:spacing w:line="260" w:lineRule="atLeast"/>
        <w:ind w:left="426"/>
        <w:contextualSpacing/>
        <w:rPr>
          <w:rFonts w:cs="Arial"/>
          <w:lang w:eastAsia="en-US"/>
        </w:rPr>
      </w:pPr>
      <w:r w:rsidRPr="00ED312B">
        <w:rPr>
          <w:rFonts w:cs="Arial"/>
          <w:lang w:val="en-US" w:eastAsia="en-US"/>
        </w:rPr>
        <w:t>Laboratory efficacy study conducted according to the standard EN 1390</w:t>
      </w:r>
      <w:r w:rsidRPr="00ED312B">
        <w:rPr>
          <w:rStyle w:val="Appelnotedebasdep"/>
          <w:rFonts w:cs="Arial"/>
          <w:lang w:val="en-US" w:eastAsia="en-US"/>
        </w:rPr>
        <w:footnoteReference w:id="10"/>
      </w:r>
      <w:r w:rsidRPr="00ED312B">
        <w:rPr>
          <w:rFonts w:cs="Arial"/>
          <w:lang w:val="en-US" w:eastAsia="en-US"/>
        </w:rPr>
        <w:t xml:space="preserve">, with the product </w:t>
      </w:r>
      <w:r w:rsidRPr="00ED312B">
        <w:rPr>
          <w:rFonts w:cs="Arial"/>
        </w:rPr>
        <w:t>X6122B1;</w:t>
      </w:r>
    </w:p>
    <w:p w14:paraId="752D8AD7" w14:textId="77777777" w:rsidR="00ED312B" w:rsidRPr="00ED312B" w:rsidRDefault="00ED312B" w:rsidP="00ED312B">
      <w:pPr>
        <w:numPr>
          <w:ilvl w:val="0"/>
          <w:numId w:val="25"/>
        </w:numPr>
        <w:suppressAutoHyphens w:val="0"/>
        <w:spacing w:line="260" w:lineRule="atLeast"/>
        <w:ind w:left="426"/>
        <w:contextualSpacing/>
        <w:rPr>
          <w:rFonts w:cs="Arial"/>
          <w:lang w:eastAsia="en-US"/>
        </w:rPr>
      </w:pPr>
      <w:r w:rsidRPr="00ED312B">
        <w:rPr>
          <w:rFonts w:cs="Arial"/>
          <w:lang w:val="en-US" w:eastAsia="en-US"/>
        </w:rPr>
        <w:t>Laboratory efficacy study conducted according to the standard EN 48</w:t>
      </w:r>
      <w:r w:rsidRPr="00ED312B">
        <w:rPr>
          <w:rStyle w:val="Appelnotedebasdep"/>
          <w:rFonts w:cs="Arial"/>
          <w:lang w:val="en-US" w:eastAsia="en-US"/>
        </w:rPr>
        <w:footnoteReference w:id="11"/>
      </w:r>
      <w:r w:rsidRPr="00ED312B">
        <w:rPr>
          <w:rFonts w:cs="Arial"/>
          <w:lang w:val="en-US" w:eastAsia="en-US"/>
        </w:rPr>
        <w:t xml:space="preserve">, with the product </w:t>
      </w:r>
      <w:r w:rsidRPr="00ED312B">
        <w:rPr>
          <w:rFonts w:cs="Arial"/>
        </w:rPr>
        <w:t>X6122B1;</w:t>
      </w:r>
    </w:p>
    <w:p w14:paraId="6F3458CF" w14:textId="77777777" w:rsidR="00ED312B" w:rsidRPr="00ED312B" w:rsidRDefault="00ED312B" w:rsidP="00ED312B"/>
    <w:p w14:paraId="463FDD08" w14:textId="77777777" w:rsidR="00CE343C" w:rsidRDefault="00CE343C">
      <w:pPr>
        <w:spacing w:line="260" w:lineRule="atLeast"/>
      </w:pPr>
    </w:p>
    <w:p w14:paraId="1B0F6209" w14:textId="77777777" w:rsidR="009D0C0B" w:rsidRDefault="00FA480B">
      <w:pPr>
        <w:pStyle w:val="Titre4"/>
        <w:rPr>
          <w:rFonts w:ascii="Times New Roman" w:hAnsi="Times New Roman" w:cs="Times New Roman"/>
          <w:i/>
          <w:iCs/>
          <w:lang w:eastAsia="en-US"/>
        </w:rPr>
      </w:pPr>
      <w:bookmarkStart w:id="75" w:name="_Toc536627299"/>
      <w:r>
        <w:t>Access to documentation</w:t>
      </w:r>
      <w:bookmarkEnd w:id="75"/>
    </w:p>
    <w:p w14:paraId="3830BCDA" w14:textId="77777777" w:rsidR="009D0C0B" w:rsidRDefault="009D0C0B">
      <w:pPr>
        <w:rPr>
          <w:rFonts w:ascii="Times New Roman" w:eastAsia="Calibri" w:hAnsi="Times New Roman" w:cs="Times New Roman"/>
          <w:i/>
          <w:iCs/>
          <w:lang w:eastAsia="en-US"/>
        </w:rPr>
      </w:pPr>
    </w:p>
    <w:bookmarkEnd w:id="73"/>
    <w:p w14:paraId="40C9B8E8" w14:textId="77777777" w:rsidR="00473643" w:rsidRPr="002B6442" w:rsidRDefault="00473643" w:rsidP="00473643">
      <w:pPr>
        <w:autoSpaceDE w:val="0"/>
        <w:autoSpaceDN w:val="0"/>
        <w:adjustRightInd w:val="0"/>
        <w:rPr>
          <w:rFonts w:cs="Arial"/>
        </w:rPr>
      </w:pPr>
      <w:r w:rsidRPr="002B6442">
        <w:rPr>
          <w:rFonts w:cs="Arial"/>
        </w:rPr>
        <w:t>PPG has access to analytical methods:</w:t>
      </w:r>
    </w:p>
    <w:p w14:paraId="15C78196" w14:textId="77777777" w:rsidR="00473643" w:rsidRPr="002B6442" w:rsidRDefault="00473643" w:rsidP="00F32B7F">
      <w:pPr>
        <w:pStyle w:val="Paragraphedeliste"/>
        <w:numPr>
          <w:ilvl w:val="0"/>
          <w:numId w:val="21"/>
        </w:numPr>
        <w:suppressAutoHyphens w:val="0"/>
        <w:autoSpaceDE w:val="0"/>
        <w:autoSpaceDN w:val="0"/>
        <w:adjustRightInd w:val="0"/>
        <w:contextualSpacing/>
        <w:rPr>
          <w:rFonts w:cs="Arial"/>
        </w:rPr>
      </w:pPr>
      <w:r w:rsidRPr="002B6442">
        <w:rPr>
          <w:rFonts w:cs="Arial"/>
        </w:rPr>
        <w:t>On the active substance Cypermethrin with a Letter of Access of Agriphar.</w:t>
      </w:r>
    </w:p>
    <w:p w14:paraId="21C32126" w14:textId="77777777" w:rsidR="00473643" w:rsidRPr="002B6442" w:rsidRDefault="00473643" w:rsidP="00F32B7F">
      <w:pPr>
        <w:pStyle w:val="Paragraphedeliste"/>
        <w:numPr>
          <w:ilvl w:val="0"/>
          <w:numId w:val="21"/>
        </w:numPr>
        <w:suppressAutoHyphens w:val="0"/>
        <w:autoSpaceDE w:val="0"/>
        <w:autoSpaceDN w:val="0"/>
        <w:adjustRightInd w:val="0"/>
        <w:contextualSpacing/>
        <w:rPr>
          <w:rFonts w:cs="Arial"/>
        </w:rPr>
      </w:pPr>
      <w:r w:rsidRPr="002B6442">
        <w:rPr>
          <w:rFonts w:cs="Arial"/>
        </w:rPr>
        <w:t>On the active substance propiconazole with a Letter of Access of Janssen PMP</w:t>
      </w:r>
    </w:p>
    <w:p w14:paraId="55DB777C" w14:textId="77777777" w:rsidR="00473643" w:rsidRPr="002B6442" w:rsidRDefault="00473643" w:rsidP="00F32B7F">
      <w:pPr>
        <w:pStyle w:val="Paragraphedeliste"/>
        <w:numPr>
          <w:ilvl w:val="0"/>
          <w:numId w:val="21"/>
        </w:numPr>
        <w:suppressAutoHyphens w:val="0"/>
        <w:autoSpaceDE w:val="0"/>
        <w:autoSpaceDN w:val="0"/>
        <w:adjustRightInd w:val="0"/>
        <w:contextualSpacing/>
        <w:rPr>
          <w:rFonts w:cs="Arial"/>
        </w:rPr>
      </w:pPr>
      <w:r w:rsidRPr="002B6442">
        <w:rPr>
          <w:rFonts w:cs="Arial"/>
        </w:rPr>
        <w:t xml:space="preserve">On the active substance tebuconazole with a Letter of Access of Lanxess </w:t>
      </w:r>
    </w:p>
    <w:p w14:paraId="5F83B13A" w14:textId="77777777" w:rsidR="00473643" w:rsidRPr="002B6442" w:rsidRDefault="00473643" w:rsidP="00F32B7F">
      <w:pPr>
        <w:pStyle w:val="Paragraphedeliste"/>
        <w:numPr>
          <w:ilvl w:val="0"/>
          <w:numId w:val="21"/>
        </w:numPr>
        <w:suppressAutoHyphens w:val="0"/>
        <w:autoSpaceDE w:val="0"/>
        <w:autoSpaceDN w:val="0"/>
        <w:adjustRightInd w:val="0"/>
        <w:contextualSpacing/>
        <w:rPr>
          <w:rFonts w:cs="Arial"/>
        </w:rPr>
      </w:pPr>
      <w:r w:rsidRPr="002B6442">
        <w:rPr>
          <w:rFonts w:cs="Arial"/>
        </w:rPr>
        <w:t>On the active substance IPBC with a Letter of Access of Troy Chemical</w:t>
      </w:r>
    </w:p>
    <w:p w14:paraId="5A32EE76" w14:textId="77777777" w:rsidR="009D0C0B" w:rsidRPr="002B6442" w:rsidRDefault="009D0C0B"/>
    <w:p w14:paraId="6EF31063" w14:textId="77777777" w:rsidR="009D0C0B" w:rsidRPr="00FB5AD6" w:rsidRDefault="009D0C0B">
      <w:pPr>
        <w:spacing w:line="260" w:lineRule="atLeast"/>
        <w:rPr>
          <w:rFonts w:eastAsia="Calibri"/>
          <w:lang w:val="en-US" w:eastAsia="en-US"/>
        </w:rPr>
      </w:pPr>
    </w:p>
    <w:p w14:paraId="7DC898E7" w14:textId="77777777" w:rsidR="009D0C0B" w:rsidRPr="00FB5AD6" w:rsidRDefault="009D0C0B">
      <w:pPr>
        <w:pageBreakBefore/>
        <w:rPr>
          <w:rFonts w:eastAsia="Calibri"/>
          <w:sz w:val="24"/>
          <w:szCs w:val="24"/>
          <w:u w:val="single"/>
          <w:lang w:val="en-US" w:eastAsia="en-US"/>
        </w:rPr>
      </w:pPr>
    </w:p>
    <w:p w14:paraId="139EC856" w14:textId="77777777" w:rsidR="009D0C0B" w:rsidRDefault="00FA480B">
      <w:pPr>
        <w:pStyle w:val="Titre2"/>
      </w:pPr>
      <w:bookmarkStart w:id="76" w:name="_Toc536627300"/>
      <w:r>
        <w:t>Assessment of the biocidal product</w:t>
      </w:r>
      <w:bookmarkEnd w:id="76"/>
      <w:r>
        <w:t xml:space="preserve"> </w:t>
      </w:r>
    </w:p>
    <w:p w14:paraId="4D784CCE" w14:textId="77777777" w:rsidR="009D0C0B" w:rsidRPr="00FB5AD6" w:rsidRDefault="00FA480B">
      <w:pPr>
        <w:pStyle w:val="Titre3"/>
        <w:rPr>
          <w:lang w:val="en-US"/>
        </w:rPr>
      </w:pPr>
      <w:bookmarkStart w:id="77" w:name="_Toc536627301"/>
      <w:r w:rsidRPr="00FB5AD6">
        <w:rPr>
          <w:lang w:val="en-US"/>
        </w:rPr>
        <w:t>Intended use(s) as applied for by the applicant</w:t>
      </w:r>
      <w:bookmarkEnd w:id="77"/>
      <w:r w:rsidRPr="00FB5AD6">
        <w:rPr>
          <w:lang w:val="en-US"/>
        </w:rPr>
        <w:t xml:space="preserve"> </w:t>
      </w:r>
    </w:p>
    <w:p w14:paraId="1B275234" w14:textId="77777777" w:rsidR="009D0C0B" w:rsidRPr="00A504D2" w:rsidRDefault="00FA480B">
      <w:pPr>
        <w:pStyle w:val="Lgende"/>
        <w:spacing w:after="120"/>
        <w:ind w:left="0" w:firstLine="0"/>
        <w:rPr>
          <w:rFonts w:ascii="Verdana" w:hAnsi="Verdana" w:cs="Verdana"/>
        </w:rPr>
      </w:pPr>
      <w:r>
        <w:rPr>
          <w:rFonts w:ascii="Verdana" w:hAnsi="Verdana" w:cs="Verdana"/>
        </w:rPr>
        <w:t xml:space="preserve">Intended use # 1 – </w:t>
      </w:r>
      <w:r w:rsidR="00A504D2" w:rsidRPr="00A504D2">
        <w:rPr>
          <w:rFonts w:ascii="Verdana" w:hAnsi="Verdana" w:cs="Verdana"/>
        </w:rPr>
        <w:t>Preventive_Softwood</w:t>
      </w:r>
      <w:r w:rsidR="00A504D2" w:rsidRPr="00A504D2" w:rsidDel="006E06E7">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11D9B44A" w14:textId="77777777">
        <w:tc>
          <w:tcPr>
            <w:tcW w:w="2707" w:type="dxa"/>
            <w:tcBorders>
              <w:top w:val="single" w:sz="4" w:space="0" w:color="000000"/>
              <w:left w:val="single" w:sz="4" w:space="0" w:color="000000"/>
              <w:bottom w:val="single" w:sz="4" w:space="0" w:color="000000"/>
            </w:tcBorders>
            <w:shd w:val="clear" w:color="auto" w:fill="auto"/>
          </w:tcPr>
          <w:p w14:paraId="4E8966C9" w14:textId="77777777" w:rsidR="009D0C0B" w:rsidRDefault="00FA480B">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08391B51" w14:textId="77777777" w:rsidR="009D0C0B" w:rsidRPr="00AD5AD8" w:rsidRDefault="007F4F02" w:rsidP="00AD5AD8">
            <w:pPr>
              <w:rPr>
                <w:rFonts w:cs="Arial"/>
                <w:bCs/>
              </w:rPr>
            </w:pPr>
            <w:r w:rsidRPr="00AD5AD8">
              <w:rPr>
                <w:rFonts w:cs="Arial"/>
                <w:bCs/>
              </w:rPr>
              <w:t>PT8</w:t>
            </w:r>
          </w:p>
        </w:tc>
      </w:tr>
      <w:tr w:rsidR="009D0C0B" w14:paraId="43AB180B" w14:textId="77777777">
        <w:tc>
          <w:tcPr>
            <w:tcW w:w="2707" w:type="dxa"/>
            <w:tcBorders>
              <w:left w:val="single" w:sz="4" w:space="0" w:color="000000"/>
              <w:bottom w:val="single" w:sz="4" w:space="0" w:color="000000"/>
            </w:tcBorders>
            <w:shd w:val="clear" w:color="auto" w:fill="auto"/>
          </w:tcPr>
          <w:p w14:paraId="67E647C2" w14:textId="77777777" w:rsidR="009D0C0B" w:rsidRDefault="00FA480B" w:rsidP="0021636F">
            <w:pPr>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085BC542" w14:textId="77777777" w:rsidR="007F4F02" w:rsidRPr="00AD5AD8" w:rsidRDefault="008B3B8C" w:rsidP="00AD5AD8">
            <w:pPr>
              <w:rPr>
                <w:rFonts w:cs="Arial"/>
                <w:bCs/>
              </w:rPr>
            </w:pPr>
            <w:r w:rsidRPr="00AD5AD8">
              <w:rPr>
                <w:rFonts w:cs="Arial"/>
                <w:bCs/>
              </w:rPr>
              <w:t>Softwood: Preventive treatment - Use class 1. Indoor.</w:t>
            </w:r>
          </w:p>
        </w:tc>
      </w:tr>
      <w:tr w:rsidR="009D0C0B" w14:paraId="703243A3" w14:textId="77777777">
        <w:tc>
          <w:tcPr>
            <w:tcW w:w="2707" w:type="dxa"/>
            <w:tcBorders>
              <w:left w:val="single" w:sz="4" w:space="0" w:color="000000"/>
              <w:bottom w:val="single" w:sz="4" w:space="0" w:color="000000"/>
            </w:tcBorders>
            <w:shd w:val="clear" w:color="auto" w:fill="auto"/>
          </w:tcPr>
          <w:p w14:paraId="15C63823" w14:textId="77777777" w:rsidR="009D0C0B" w:rsidRDefault="00FA480B" w:rsidP="0021636F">
            <w:pPr>
              <w:jc w:val="left"/>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70645DE5" w14:textId="77777777" w:rsidR="008B3B8C" w:rsidRPr="00AD5AD8" w:rsidRDefault="008B3B8C" w:rsidP="00AD5AD8">
            <w:pPr>
              <w:rPr>
                <w:rFonts w:cs="Arial"/>
                <w:bCs/>
              </w:rPr>
            </w:pPr>
            <w:r w:rsidRPr="00AD5AD8">
              <w:rPr>
                <w:rFonts w:cs="Arial"/>
                <w:bCs/>
              </w:rPr>
              <w:t>Hylotrupes bajulus L.-Larvae-House longhorn beetle</w:t>
            </w:r>
          </w:p>
          <w:p w14:paraId="55730975" w14:textId="77777777" w:rsidR="008B3B8C" w:rsidRPr="00AD5AD8" w:rsidRDefault="008B3B8C" w:rsidP="00AD5AD8">
            <w:pPr>
              <w:rPr>
                <w:rFonts w:cs="Arial"/>
                <w:bCs/>
              </w:rPr>
            </w:pPr>
          </w:p>
          <w:p w14:paraId="393EC3AB" w14:textId="77777777" w:rsidR="008B3B8C" w:rsidRPr="00AD5AD8" w:rsidRDefault="008B3B8C" w:rsidP="00AD5AD8">
            <w:pPr>
              <w:rPr>
                <w:rFonts w:cs="Arial"/>
                <w:bCs/>
              </w:rPr>
            </w:pPr>
            <w:r w:rsidRPr="00AD5AD8">
              <w:rPr>
                <w:rFonts w:cs="Arial"/>
                <w:bCs/>
              </w:rPr>
              <w:t>Anobium punctatum De Geer-Larvae-Common furniture beetle Lyctus brunneus-Larvae-Powder post beetles</w:t>
            </w:r>
          </w:p>
          <w:p w14:paraId="37E53BC2" w14:textId="77777777" w:rsidR="00FD1A2B" w:rsidRPr="00AD5AD8" w:rsidRDefault="008B3B8C" w:rsidP="00AD5AD8">
            <w:pPr>
              <w:rPr>
                <w:rFonts w:cs="Arial"/>
                <w:bCs/>
              </w:rPr>
            </w:pPr>
            <w:r w:rsidRPr="00AD5AD8">
              <w:rPr>
                <w:rFonts w:cs="Arial"/>
                <w:bCs/>
              </w:rPr>
              <w:t>Reticulitermes sp.-soldiers, nymphs and workers-Subterranean termites</w:t>
            </w:r>
          </w:p>
        </w:tc>
      </w:tr>
      <w:tr w:rsidR="009D0C0B" w14:paraId="5C160BD9" w14:textId="77777777">
        <w:tc>
          <w:tcPr>
            <w:tcW w:w="2707" w:type="dxa"/>
            <w:tcBorders>
              <w:left w:val="single" w:sz="4" w:space="0" w:color="000000"/>
              <w:bottom w:val="single" w:sz="4" w:space="0" w:color="000000"/>
            </w:tcBorders>
            <w:shd w:val="clear" w:color="auto" w:fill="auto"/>
          </w:tcPr>
          <w:p w14:paraId="5359ACF7" w14:textId="77777777" w:rsidR="009D0C0B" w:rsidRDefault="00FA480B">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324D572C" w14:textId="77777777" w:rsidR="009D0C0B" w:rsidRPr="00AD5AD8" w:rsidRDefault="008B3B8C" w:rsidP="00AD5AD8">
            <w:pPr>
              <w:rPr>
                <w:rFonts w:cs="Arial"/>
                <w:bCs/>
              </w:rPr>
            </w:pPr>
            <w:r w:rsidRPr="00AD5AD8">
              <w:rPr>
                <w:rFonts w:cs="Arial"/>
                <w:bCs/>
              </w:rPr>
              <w:t>Indoor</w:t>
            </w:r>
          </w:p>
        </w:tc>
      </w:tr>
      <w:tr w:rsidR="00FD1A2B" w14:paraId="6C696E0F" w14:textId="77777777">
        <w:tc>
          <w:tcPr>
            <w:tcW w:w="2707" w:type="dxa"/>
            <w:tcBorders>
              <w:left w:val="single" w:sz="4" w:space="0" w:color="000000"/>
              <w:bottom w:val="single" w:sz="4" w:space="0" w:color="000000"/>
            </w:tcBorders>
            <w:shd w:val="clear" w:color="auto" w:fill="auto"/>
          </w:tcPr>
          <w:p w14:paraId="54D16E01" w14:textId="77777777" w:rsidR="00FD1A2B" w:rsidRDefault="00FD1A2B">
            <w:pPr>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017604F8" w14:textId="77777777" w:rsidR="008B3B8C" w:rsidRPr="008B3B8C" w:rsidRDefault="008B3B8C" w:rsidP="00AD5AD8">
            <w:pPr>
              <w:rPr>
                <w:rFonts w:cs="Arial"/>
                <w:bCs/>
              </w:rPr>
            </w:pPr>
            <w:r w:rsidRPr="008B3B8C">
              <w:rPr>
                <w:rFonts w:cs="Arial"/>
                <w:bCs/>
              </w:rPr>
              <w:t>superficial application -</w:t>
            </w:r>
          </w:p>
          <w:p w14:paraId="27A94116" w14:textId="77777777" w:rsidR="008B3B8C" w:rsidRPr="006128DA" w:rsidRDefault="008B3B8C" w:rsidP="00AD5AD8">
            <w:pPr>
              <w:rPr>
                <w:rFonts w:cs="Arial"/>
                <w:bCs/>
              </w:rPr>
            </w:pPr>
            <w:r w:rsidRPr="006128DA">
              <w:rPr>
                <w:rFonts w:cs="Arial"/>
                <w:bCs/>
              </w:rPr>
              <w:t>Superficial application / brush / roller / pad treatment Superficial application / spray treatment</w:t>
            </w:r>
          </w:p>
          <w:p w14:paraId="2332BC2A" w14:textId="77777777" w:rsidR="00FD1A2B" w:rsidRPr="00AD5AD8" w:rsidRDefault="00FD1A2B" w:rsidP="00AD5AD8">
            <w:pPr>
              <w:rPr>
                <w:rFonts w:cs="Arial"/>
                <w:bCs/>
              </w:rPr>
            </w:pPr>
          </w:p>
        </w:tc>
      </w:tr>
      <w:tr w:rsidR="00FD1A2B" w14:paraId="413BD59C" w14:textId="77777777">
        <w:tc>
          <w:tcPr>
            <w:tcW w:w="2707" w:type="dxa"/>
            <w:tcBorders>
              <w:left w:val="single" w:sz="4" w:space="0" w:color="000000"/>
              <w:bottom w:val="single" w:sz="4" w:space="0" w:color="000000"/>
            </w:tcBorders>
            <w:shd w:val="clear" w:color="auto" w:fill="auto"/>
          </w:tcPr>
          <w:p w14:paraId="23B032FE" w14:textId="77777777" w:rsidR="00FD1A2B" w:rsidRDefault="00FD1A2B" w:rsidP="0021636F">
            <w:pPr>
              <w:jc w:val="left"/>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39A10DF8" w14:textId="77777777" w:rsidR="008B3B8C" w:rsidRPr="00AD5AD8" w:rsidRDefault="008B3B8C" w:rsidP="00AD5AD8">
            <w:pPr>
              <w:rPr>
                <w:rFonts w:cs="Arial"/>
                <w:bCs/>
              </w:rPr>
            </w:pPr>
            <w:r w:rsidRPr="008B3B8C">
              <w:rPr>
                <w:rFonts w:cs="Arial"/>
                <w:bCs/>
              </w:rPr>
              <w:t>200 g/m²</w:t>
            </w:r>
          </w:p>
          <w:p w14:paraId="72A1B8CF" w14:textId="77777777" w:rsidR="00FD1A2B" w:rsidRPr="00AD5AD8" w:rsidRDefault="00FD1A2B" w:rsidP="00AD5AD8">
            <w:pPr>
              <w:rPr>
                <w:rFonts w:cs="Arial"/>
                <w:bCs/>
              </w:rPr>
            </w:pPr>
          </w:p>
        </w:tc>
      </w:tr>
      <w:tr w:rsidR="009D0C0B" w:rsidRPr="00F6579D" w14:paraId="529D529D" w14:textId="77777777">
        <w:tc>
          <w:tcPr>
            <w:tcW w:w="2707" w:type="dxa"/>
            <w:tcBorders>
              <w:left w:val="single" w:sz="4" w:space="0" w:color="000000"/>
              <w:bottom w:val="single" w:sz="4" w:space="0" w:color="000000"/>
            </w:tcBorders>
            <w:shd w:val="clear" w:color="auto" w:fill="auto"/>
          </w:tcPr>
          <w:p w14:paraId="2F7E979E" w14:textId="77777777" w:rsidR="009D0C0B" w:rsidRDefault="00FA480B">
            <w:pPr>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268B48FD" w14:textId="77777777" w:rsidR="008B3B8C" w:rsidRPr="007A5B15" w:rsidRDefault="008B3B8C" w:rsidP="00AD5AD8">
            <w:pPr>
              <w:rPr>
                <w:rFonts w:cs="Arial"/>
                <w:bCs/>
                <w:lang w:val="it-IT"/>
              </w:rPr>
            </w:pPr>
            <w:r w:rsidRPr="007A5B15">
              <w:rPr>
                <w:rFonts w:cs="Arial"/>
                <w:bCs/>
                <w:lang w:val="it-IT"/>
              </w:rPr>
              <w:t>Professional</w:t>
            </w:r>
          </w:p>
          <w:p w14:paraId="487BDB6A" w14:textId="77777777" w:rsidR="009D0C0B" w:rsidRPr="007A5B15" w:rsidRDefault="008B3B8C" w:rsidP="008B3B8C">
            <w:pPr>
              <w:snapToGrid w:val="0"/>
              <w:rPr>
                <w:rFonts w:cs="Arial"/>
                <w:bCs/>
                <w:lang w:val="it-IT"/>
              </w:rPr>
            </w:pPr>
            <w:r w:rsidRPr="007A5B15">
              <w:rPr>
                <w:rFonts w:cs="Arial"/>
                <w:bCs/>
                <w:lang w:val="it-IT"/>
              </w:rPr>
              <w:t>General public (non-professional)</w:t>
            </w:r>
          </w:p>
        </w:tc>
      </w:tr>
      <w:tr w:rsidR="009D0C0B" w14:paraId="02A89D97" w14:textId="77777777">
        <w:tc>
          <w:tcPr>
            <w:tcW w:w="2707" w:type="dxa"/>
            <w:tcBorders>
              <w:left w:val="single" w:sz="4" w:space="0" w:color="000000"/>
              <w:bottom w:val="single" w:sz="4" w:space="0" w:color="000000"/>
            </w:tcBorders>
            <w:shd w:val="clear" w:color="auto" w:fill="auto"/>
          </w:tcPr>
          <w:p w14:paraId="78773A75" w14:textId="77777777" w:rsidR="009D0C0B" w:rsidRDefault="00FA480B">
            <w:pPr>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110A8A26" w14:textId="77777777" w:rsidR="008B3B8C" w:rsidRPr="008B3B8C" w:rsidRDefault="008B3B8C" w:rsidP="00AD5AD8">
            <w:pPr>
              <w:rPr>
                <w:rFonts w:cs="Arial"/>
                <w:bCs/>
              </w:rPr>
            </w:pPr>
            <w:r w:rsidRPr="008B3B8C">
              <w:rPr>
                <w:rFonts w:cs="Arial"/>
                <w:bCs/>
              </w:rPr>
              <w:t>Can /Tin, Metal: , 0.75, 1, 2.5, 5, 25, 30, 55, 200 L</w:t>
            </w:r>
          </w:p>
          <w:p w14:paraId="5C62A028" w14:textId="77777777" w:rsidR="008B3B8C" w:rsidRPr="006128DA" w:rsidRDefault="008B3B8C" w:rsidP="00AD5AD8">
            <w:pPr>
              <w:rPr>
                <w:rFonts w:cs="Arial"/>
                <w:bCs/>
              </w:rPr>
            </w:pPr>
            <w:r w:rsidRPr="006128DA">
              <w:rPr>
                <w:rFonts w:cs="Arial"/>
                <w:bCs/>
              </w:rPr>
              <w:t>IBC (intermediate bulk container), Plastic: HDPE , 1000 L</w:t>
            </w:r>
          </w:p>
          <w:p w14:paraId="4EA6FBE4" w14:textId="77777777" w:rsidR="008B3B8C" w:rsidRPr="006128DA" w:rsidRDefault="008B3B8C" w:rsidP="00AD5AD8">
            <w:pPr>
              <w:rPr>
                <w:rFonts w:cs="Arial"/>
                <w:bCs/>
              </w:rPr>
            </w:pPr>
            <w:r w:rsidRPr="006128DA">
              <w:rPr>
                <w:rFonts w:cs="Arial"/>
                <w:bCs/>
              </w:rPr>
              <w:t>The 30 L can is internally coated with an epoxyphenolic lacquer.</w:t>
            </w:r>
          </w:p>
          <w:p w14:paraId="771A401A" w14:textId="77777777" w:rsidR="008B3B8C" w:rsidRPr="00F53F23" w:rsidRDefault="008B3B8C" w:rsidP="00AD5AD8">
            <w:pPr>
              <w:rPr>
                <w:rFonts w:cs="Arial"/>
                <w:bCs/>
              </w:rPr>
            </w:pPr>
          </w:p>
          <w:p w14:paraId="451A2353" w14:textId="77777777" w:rsidR="008B3B8C" w:rsidRPr="00F53F23" w:rsidRDefault="008B3B8C" w:rsidP="00AD5AD8">
            <w:pPr>
              <w:rPr>
                <w:rFonts w:cs="Arial"/>
                <w:bCs/>
              </w:rPr>
            </w:pPr>
            <w:r w:rsidRPr="00F53F23">
              <w:rPr>
                <w:rFonts w:cs="Arial"/>
                <w:bCs/>
              </w:rPr>
              <w:t>Tin-plate can up to 30 L for non-professional users.</w:t>
            </w:r>
          </w:p>
          <w:p w14:paraId="16CA06FD" w14:textId="77777777" w:rsidR="008B3B8C" w:rsidRPr="00944F5E" w:rsidRDefault="008B3B8C" w:rsidP="00AD5AD8">
            <w:pPr>
              <w:rPr>
                <w:rFonts w:cs="Arial"/>
                <w:bCs/>
              </w:rPr>
            </w:pPr>
            <w:r w:rsidRPr="00944F5E">
              <w:rPr>
                <w:rFonts w:cs="Arial"/>
                <w:bCs/>
              </w:rPr>
              <w:t>Tin-plate can up to 200 L and HDPE 1000 L IBC for professionnal users. Hermetically closed with a cap.</w:t>
            </w:r>
          </w:p>
          <w:p w14:paraId="06ADF18F" w14:textId="77777777" w:rsidR="008B3B8C" w:rsidRPr="002A77D8" w:rsidRDefault="008B3B8C" w:rsidP="00AD5AD8">
            <w:pPr>
              <w:rPr>
                <w:rFonts w:cs="Arial"/>
                <w:bCs/>
              </w:rPr>
            </w:pPr>
          </w:p>
          <w:p w14:paraId="5A18C0C8" w14:textId="77777777" w:rsidR="00F31271" w:rsidRPr="00AD5AD8" w:rsidRDefault="008B3B8C" w:rsidP="00AD5AD8">
            <w:pPr>
              <w:rPr>
                <w:rFonts w:cs="Arial"/>
                <w:bCs/>
              </w:rPr>
            </w:pPr>
            <w:r w:rsidRPr="002A77D8">
              <w:rPr>
                <w:rFonts w:cs="Arial"/>
                <w:bCs/>
              </w:rPr>
              <w:t>Packagings for non-professional users are hermetically closed with a cap and</w:t>
            </w:r>
            <w:r w:rsidRPr="00A937F3">
              <w:rPr>
                <w:rFonts w:cs="Arial"/>
                <w:bCs/>
              </w:rPr>
              <w:t xml:space="preserve"> fitted with a child-resistant fastening and a tactile warning of danger</w:t>
            </w:r>
          </w:p>
        </w:tc>
      </w:tr>
    </w:tbl>
    <w:p w14:paraId="19B250AC" w14:textId="77777777" w:rsidR="009D0C0B" w:rsidRDefault="009D0C0B">
      <w:pPr>
        <w:pStyle w:val="Absatz"/>
      </w:pPr>
    </w:p>
    <w:p w14:paraId="68CD8D68" w14:textId="77777777" w:rsidR="00066DCF" w:rsidRPr="00AD5AD8" w:rsidRDefault="00066DCF" w:rsidP="00066DCF">
      <w:pPr>
        <w:pStyle w:val="Lgende"/>
        <w:spacing w:after="120"/>
        <w:ind w:left="0" w:firstLine="0"/>
        <w:rPr>
          <w:rFonts w:ascii="Verdana" w:hAnsi="Verdana" w:cs="Verdana"/>
        </w:rPr>
      </w:pPr>
      <w:r>
        <w:rPr>
          <w:rFonts w:ascii="Verdana" w:hAnsi="Verdana" w:cs="Verdana"/>
        </w:rPr>
        <w:t xml:space="preserve">Intended use # 2 – </w:t>
      </w:r>
      <w:r w:rsidR="008B3B8C" w:rsidRPr="00AD5AD8">
        <w:rPr>
          <w:rFonts w:ascii="Verdana" w:hAnsi="Verdana" w:cs="Verdana"/>
        </w:rPr>
        <w:t>Preventive_Hardwood</w:t>
      </w:r>
      <w:r w:rsidR="008B3B8C" w:rsidDel="008B3B8C">
        <w:rPr>
          <w:rFonts w:ascii="Verdana" w:hAnsi="Verdana" w:cs="Verdana"/>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066DCF" w14:paraId="09E2832B" w14:textId="77777777" w:rsidTr="00066DCF">
        <w:tc>
          <w:tcPr>
            <w:tcW w:w="2707" w:type="dxa"/>
            <w:tcBorders>
              <w:top w:val="single" w:sz="4" w:space="0" w:color="000000"/>
              <w:left w:val="single" w:sz="4" w:space="0" w:color="000000"/>
              <w:bottom w:val="single" w:sz="4" w:space="0" w:color="000000"/>
            </w:tcBorders>
            <w:shd w:val="clear" w:color="auto" w:fill="auto"/>
          </w:tcPr>
          <w:p w14:paraId="30B6C518" w14:textId="77777777" w:rsidR="00066DCF" w:rsidRDefault="00066DCF" w:rsidP="00066DCF">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6EB3FC4A" w14:textId="77777777" w:rsidR="00066DCF" w:rsidRDefault="00066DCF" w:rsidP="00066DCF">
            <w:pPr>
              <w:snapToGrid w:val="0"/>
              <w:rPr>
                <w:rFonts w:cs="Arial"/>
                <w:bCs/>
                <w:lang w:val="de-DE"/>
              </w:rPr>
            </w:pPr>
            <w:r>
              <w:rPr>
                <w:rFonts w:cs="Arial"/>
                <w:bCs/>
                <w:lang w:val="de-DE"/>
              </w:rPr>
              <w:t>PT8</w:t>
            </w:r>
          </w:p>
        </w:tc>
      </w:tr>
      <w:tr w:rsidR="00066DCF" w14:paraId="6F5A99BF" w14:textId="77777777" w:rsidTr="00066DCF">
        <w:tc>
          <w:tcPr>
            <w:tcW w:w="2707" w:type="dxa"/>
            <w:tcBorders>
              <w:left w:val="single" w:sz="4" w:space="0" w:color="000000"/>
              <w:bottom w:val="single" w:sz="4" w:space="0" w:color="000000"/>
            </w:tcBorders>
            <w:shd w:val="clear" w:color="auto" w:fill="auto"/>
          </w:tcPr>
          <w:p w14:paraId="51CECBD5" w14:textId="77777777" w:rsidR="00066DCF" w:rsidRDefault="00066DCF" w:rsidP="0021636F">
            <w:pPr>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056E8199" w14:textId="77777777" w:rsidR="008B3B8C" w:rsidRDefault="008B3B8C" w:rsidP="008B3B8C">
            <w:pPr>
              <w:pStyle w:val="Corpsdetexte"/>
              <w:ind w:left="240" w:right="828"/>
            </w:pPr>
            <w:r>
              <w:t>Hardwood: Preventive treatment - Use classes 1, 2 and 3.1. Indoor and outdoor.</w:t>
            </w:r>
          </w:p>
          <w:p w14:paraId="7B6E8E8A" w14:textId="77777777" w:rsidR="008B3B8C" w:rsidRDefault="008B3B8C" w:rsidP="008B3B8C">
            <w:pPr>
              <w:pStyle w:val="Corpsdetexte"/>
              <w:ind w:left="240" w:right="828"/>
            </w:pPr>
            <w:r>
              <w:t>Treated wood intended to be used outdoor and exposed to weathering must be protected with a topcoat.</w:t>
            </w:r>
          </w:p>
          <w:p w14:paraId="5B5F3AAB" w14:textId="77777777" w:rsidR="00066DCF" w:rsidRPr="00066DCF" w:rsidRDefault="00066DCF" w:rsidP="00066DCF">
            <w:pPr>
              <w:snapToGrid w:val="0"/>
              <w:rPr>
                <w:rFonts w:cs="Arial"/>
                <w:bCs/>
                <w:lang w:val="en-US"/>
              </w:rPr>
            </w:pPr>
          </w:p>
        </w:tc>
      </w:tr>
      <w:tr w:rsidR="00066DCF" w:rsidRPr="00AD5AD8" w14:paraId="5A17AF4F" w14:textId="77777777" w:rsidTr="00066DCF">
        <w:tc>
          <w:tcPr>
            <w:tcW w:w="2707" w:type="dxa"/>
            <w:tcBorders>
              <w:left w:val="single" w:sz="4" w:space="0" w:color="000000"/>
              <w:bottom w:val="single" w:sz="4" w:space="0" w:color="000000"/>
            </w:tcBorders>
            <w:shd w:val="clear" w:color="auto" w:fill="auto"/>
          </w:tcPr>
          <w:p w14:paraId="01C9163F" w14:textId="610D0D01" w:rsidR="00066DCF" w:rsidRPr="00AD5AD8" w:rsidRDefault="00066DCF" w:rsidP="0021636F">
            <w:pPr>
              <w:jc w:val="left"/>
              <w:rPr>
                <w:rFonts w:cs="Arial"/>
                <w:bCs/>
              </w:rPr>
            </w:pPr>
            <w:r>
              <w:rPr>
                <w:rFonts w:cs="Arial"/>
                <w:bCs/>
              </w:rPr>
              <w:t>Target</w:t>
            </w:r>
            <w:r w:rsidR="007712D1">
              <w:rPr>
                <w:rFonts w:cs="Arial"/>
                <w:bCs/>
              </w:rPr>
              <w:t xml:space="preserve"> </w:t>
            </w:r>
            <w:r>
              <w:rPr>
                <w:rFonts w:cs="Arial"/>
                <w:bCs/>
              </w:rPr>
              <w:t>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1A672B0F" w14:textId="77777777" w:rsidR="008B3B8C" w:rsidRPr="005F29A1" w:rsidRDefault="008B3B8C" w:rsidP="00AD5AD8">
            <w:pPr>
              <w:rPr>
                <w:rFonts w:cs="Arial"/>
                <w:bCs/>
              </w:rPr>
            </w:pPr>
            <w:r w:rsidRPr="008B3B8C">
              <w:rPr>
                <w:rFonts w:cs="Arial"/>
                <w:bCs/>
              </w:rPr>
              <w:t>Hylotrupes bajulus L.-Larvae-House longhorn beetle</w:t>
            </w:r>
          </w:p>
          <w:p w14:paraId="02EB8C76" w14:textId="77777777" w:rsidR="008B3B8C" w:rsidRPr="00AD5AD8" w:rsidRDefault="008B3B8C" w:rsidP="00AD5AD8">
            <w:pPr>
              <w:rPr>
                <w:rFonts w:cs="Arial"/>
                <w:bCs/>
              </w:rPr>
            </w:pPr>
          </w:p>
          <w:p w14:paraId="21784337" w14:textId="77777777" w:rsidR="008B3B8C" w:rsidRPr="005F29A1" w:rsidRDefault="008B3B8C" w:rsidP="00AD5AD8">
            <w:pPr>
              <w:rPr>
                <w:rFonts w:cs="Arial"/>
                <w:bCs/>
              </w:rPr>
            </w:pPr>
            <w:r w:rsidRPr="008B3B8C">
              <w:rPr>
                <w:rFonts w:cs="Arial"/>
                <w:bCs/>
              </w:rPr>
              <w:t>Anobium punctatum De Geer-Larvae-Common furniture beetle</w:t>
            </w:r>
          </w:p>
          <w:p w14:paraId="1DB75F3D" w14:textId="77777777" w:rsidR="008B3B8C" w:rsidRPr="006128DA" w:rsidRDefault="008B3B8C" w:rsidP="00AD5AD8">
            <w:pPr>
              <w:rPr>
                <w:rFonts w:cs="Arial"/>
                <w:bCs/>
              </w:rPr>
            </w:pPr>
            <w:r w:rsidRPr="006128DA">
              <w:rPr>
                <w:rFonts w:cs="Arial"/>
                <w:bCs/>
              </w:rPr>
              <w:t>Lyctus brunneus-Larvae-Powder post beetles</w:t>
            </w:r>
          </w:p>
          <w:p w14:paraId="1ECD71DE" w14:textId="77777777" w:rsidR="008B3B8C" w:rsidRPr="00F53F23" w:rsidRDefault="008B3B8C" w:rsidP="00AD5AD8">
            <w:pPr>
              <w:rPr>
                <w:rFonts w:cs="Arial"/>
                <w:bCs/>
              </w:rPr>
            </w:pPr>
            <w:r w:rsidRPr="006128DA">
              <w:rPr>
                <w:rFonts w:cs="Arial"/>
                <w:bCs/>
              </w:rPr>
              <w:t>Reticulitermes sp.-soldiers, nymphs and workers-Subterranean termites Basidiomycetes:-No data-Brown rot fungi</w:t>
            </w:r>
          </w:p>
          <w:p w14:paraId="4A9608CC" w14:textId="77777777" w:rsidR="008B3B8C" w:rsidRPr="00F53F23" w:rsidRDefault="008B3B8C" w:rsidP="00AD5AD8">
            <w:pPr>
              <w:rPr>
                <w:rFonts w:cs="Arial"/>
                <w:bCs/>
              </w:rPr>
            </w:pPr>
            <w:r w:rsidRPr="00F53F23">
              <w:rPr>
                <w:rFonts w:cs="Arial"/>
                <w:bCs/>
              </w:rPr>
              <w:t>Basidiomycetes:-No data-White rot fungi</w:t>
            </w:r>
          </w:p>
          <w:p w14:paraId="78DC47F5" w14:textId="77777777" w:rsidR="008B3B8C" w:rsidRPr="00944F5E" w:rsidRDefault="008B3B8C" w:rsidP="00AD5AD8">
            <w:pPr>
              <w:rPr>
                <w:rFonts w:cs="Arial"/>
                <w:bCs/>
              </w:rPr>
            </w:pPr>
          </w:p>
          <w:p w14:paraId="35C177A4" w14:textId="77777777" w:rsidR="00066DCF" w:rsidRPr="00AD5AD8" w:rsidRDefault="00066DCF" w:rsidP="00AD5AD8">
            <w:pPr>
              <w:rPr>
                <w:rFonts w:cs="Arial"/>
                <w:bCs/>
              </w:rPr>
            </w:pPr>
          </w:p>
        </w:tc>
      </w:tr>
      <w:tr w:rsidR="00066DCF" w14:paraId="17D4F059" w14:textId="77777777" w:rsidTr="00066DCF">
        <w:tc>
          <w:tcPr>
            <w:tcW w:w="2707" w:type="dxa"/>
            <w:tcBorders>
              <w:left w:val="single" w:sz="4" w:space="0" w:color="000000"/>
              <w:bottom w:val="single" w:sz="4" w:space="0" w:color="000000"/>
            </w:tcBorders>
            <w:shd w:val="clear" w:color="auto" w:fill="auto"/>
          </w:tcPr>
          <w:p w14:paraId="59AD56A5" w14:textId="77777777" w:rsidR="00066DCF" w:rsidRDefault="00066DCF" w:rsidP="00066DCF">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69E1D5D3" w14:textId="77777777" w:rsidR="00066DCF" w:rsidRDefault="00066DCF" w:rsidP="00066DCF">
            <w:pPr>
              <w:snapToGrid w:val="0"/>
              <w:rPr>
                <w:rFonts w:cs="Arial"/>
                <w:bCs/>
                <w:lang w:val="de-DE"/>
              </w:rPr>
            </w:pPr>
            <w:r w:rsidRPr="00FD1A2B">
              <w:rPr>
                <w:rFonts w:cs="Arial"/>
                <w:bCs/>
                <w:lang w:val="de-DE"/>
              </w:rPr>
              <w:t>Indoor, Outdoor</w:t>
            </w:r>
          </w:p>
        </w:tc>
      </w:tr>
      <w:tr w:rsidR="00066DCF" w:rsidRPr="00AD5AD8" w14:paraId="509B8D1E" w14:textId="77777777" w:rsidTr="00066DCF">
        <w:tc>
          <w:tcPr>
            <w:tcW w:w="2707" w:type="dxa"/>
            <w:tcBorders>
              <w:left w:val="single" w:sz="4" w:space="0" w:color="000000"/>
              <w:bottom w:val="single" w:sz="4" w:space="0" w:color="000000"/>
            </w:tcBorders>
            <w:shd w:val="clear" w:color="auto" w:fill="auto"/>
          </w:tcPr>
          <w:p w14:paraId="5F154100" w14:textId="77777777" w:rsidR="00066DCF" w:rsidRPr="00AD5AD8" w:rsidRDefault="00066DCF" w:rsidP="00066DCF">
            <w:pPr>
              <w:rPr>
                <w:rFonts w:cs="Arial"/>
                <w:bCs/>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4D6B7F75" w14:textId="77777777" w:rsidR="005F29A1" w:rsidRPr="005F29A1" w:rsidRDefault="005F29A1" w:rsidP="00AD5AD8">
            <w:pPr>
              <w:rPr>
                <w:rFonts w:cs="Arial"/>
                <w:bCs/>
              </w:rPr>
            </w:pPr>
            <w:r w:rsidRPr="005F29A1">
              <w:rPr>
                <w:rFonts w:cs="Arial"/>
                <w:bCs/>
              </w:rPr>
              <w:t>superficial application -</w:t>
            </w:r>
          </w:p>
          <w:p w14:paraId="300578E8" w14:textId="77777777" w:rsidR="005F29A1" w:rsidRPr="006128DA" w:rsidRDefault="005F29A1" w:rsidP="00AD5AD8">
            <w:pPr>
              <w:rPr>
                <w:rFonts w:cs="Arial"/>
                <w:bCs/>
              </w:rPr>
            </w:pPr>
            <w:r w:rsidRPr="005F29A1">
              <w:rPr>
                <w:rFonts w:cs="Arial"/>
                <w:bCs/>
              </w:rPr>
              <w:t>Superficial application / brush / roller / pad treatment Superficial application / spray treatment</w:t>
            </w:r>
          </w:p>
          <w:p w14:paraId="5CFC281B" w14:textId="77777777" w:rsidR="00066DCF" w:rsidRPr="00AD5AD8" w:rsidRDefault="00066DCF" w:rsidP="00AD5AD8">
            <w:pPr>
              <w:rPr>
                <w:rFonts w:cs="Arial"/>
                <w:bCs/>
              </w:rPr>
            </w:pPr>
          </w:p>
        </w:tc>
      </w:tr>
      <w:tr w:rsidR="00066DCF" w14:paraId="67E5A514" w14:textId="77777777" w:rsidTr="00066DCF">
        <w:tc>
          <w:tcPr>
            <w:tcW w:w="2707" w:type="dxa"/>
            <w:tcBorders>
              <w:left w:val="single" w:sz="4" w:space="0" w:color="000000"/>
              <w:bottom w:val="single" w:sz="4" w:space="0" w:color="000000"/>
            </w:tcBorders>
            <w:shd w:val="clear" w:color="auto" w:fill="auto"/>
          </w:tcPr>
          <w:p w14:paraId="7A8194A8" w14:textId="77777777" w:rsidR="00066DCF" w:rsidRDefault="00066DCF" w:rsidP="0021636F">
            <w:pPr>
              <w:jc w:val="left"/>
              <w:rPr>
                <w:rFonts w:cs="Arial"/>
                <w:bCs/>
                <w:lang w:val="en-US"/>
              </w:rPr>
            </w:pPr>
            <w:r>
              <w:rPr>
                <w:rFonts w:cs="Arial"/>
                <w:bCs/>
              </w:rPr>
              <w:lastRenderedPageBreak/>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5830EC4A" w14:textId="77777777" w:rsidR="00066DCF" w:rsidRPr="00066DCF" w:rsidRDefault="005F29A1" w:rsidP="00066DCF">
            <w:pPr>
              <w:snapToGrid w:val="0"/>
              <w:rPr>
                <w:rFonts w:cs="Arial"/>
                <w:bCs/>
                <w:lang w:val="en-US"/>
              </w:rPr>
            </w:pPr>
            <w:r>
              <w:t>200 g/m</w:t>
            </w:r>
          </w:p>
        </w:tc>
      </w:tr>
      <w:tr w:rsidR="00066DCF" w14:paraId="04AD2E9C" w14:textId="77777777" w:rsidTr="00066DCF">
        <w:tc>
          <w:tcPr>
            <w:tcW w:w="2707" w:type="dxa"/>
            <w:tcBorders>
              <w:left w:val="single" w:sz="4" w:space="0" w:color="000000"/>
              <w:bottom w:val="single" w:sz="4" w:space="0" w:color="000000"/>
            </w:tcBorders>
            <w:shd w:val="clear" w:color="auto" w:fill="auto"/>
          </w:tcPr>
          <w:p w14:paraId="6FFAD411" w14:textId="77777777" w:rsidR="00066DCF" w:rsidRDefault="00066DCF" w:rsidP="00066DCF">
            <w:pPr>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04A68E49" w14:textId="77777777" w:rsidR="00066DCF" w:rsidRPr="00F31271" w:rsidRDefault="00066DCF" w:rsidP="00066DCF">
            <w:pPr>
              <w:snapToGrid w:val="0"/>
              <w:rPr>
                <w:rFonts w:cs="Arial"/>
                <w:bCs/>
                <w:lang w:val="de-DE"/>
              </w:rPr>
            </w:pPr>
            <w:r w:rsidRPr="00F31271">
              <w:rPr>
                <w:rFonts w:cs="Arial"/>
                <w:bCs/>
                <w:lang w:val="de-DE"/>
              </w:rPr>
              <w:t>Professional, General public (nonprofessional)</w:t>
            </w:r>
          </w:p>
        </w:tc>
      </w:tr>
      <w:tr w:rsidR="00066DCF" w:rsidRPr="00AD5AD8" w14:paraId="01BE4961" w14:textId="77777777" w:rsidTr="00066DCF">
        <w:tc>
          <w:tcPr>
            <w:tcW w:w="2707" w:type="dxa"/>
            <w:tcBorders>
              <w:left w:val="single" w:sz="4" w:space="0" w:color="000000"/>
              <w:bottom w:val="single" w:sz="4" w:space="0" w:color="000000"/>
            </w:tcBorders>
            <w:shd w:val="clear" w:color="auto" w:fill="auto"/>
          </w:tcPr>
          <w:p w14:paraId="02E1D0F8" w14:textId="77777777" w:rsidR="00066DCF" w:rsidRPr="00AD5AD8" w:rsidRDefault="00066DCF" w:rsidP="00066DCF">
            <w:pPr>
              <w:rPr>
                <w:rFonts w:cs="Arial"/>
                <w:bC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2C1A79B6" w14:textId="77777777" w:rsidR="005F29A1" w:rsidRPr="006128DA" w:rsidRDefault="005F29A1" w:rsidP="00AD5AD8">
            <w:pPr>
              <w:rPr>
                <w:rFonts w:cs="Arial"/>
                <w:bCs/>
              </w:rPr>
            </w:pPr>
            <w:r w:rsidRPr="005F29A1">
              <w:rPr>
                <w:rFonts w:cs="Arial"/>
                <w:bCs/>
              </w:rPr>
              <w:t>Can /Tin, Metal: , 0.75, 1, 2.5, 5, 25, 30, 55, 200 L</w:t>
            </w:r>
          </w:p>
          <w:p w14:paraId="0EBBF6C4" w14:textId="77777777" w:rsidR="005F29A1" w:rsidRPr="006128DA" w:rsidRDefault="005F29A1" w:rsidP="00AD5AD8">
            <w:pPr>
              <w:rPr>
                <w:rFonts w:cs="Arial"/>
                <w:bCs/>
              </w:rPr>
            </w:pPr>
            <w:r w:rsidRPr="006128DA">
              <w:rPr>
                <w:rFonts w:cs="Arial"/>
                <w:bCs/>
              </w:rPr>
              <w:t>IBC (intermediate bulk container), Plastic: HDPE , 1000 L</w:t>
            </w:r>
          </w:p>
          <w:p w14:paraId="5BF677CC" w14:textId="77777777" w:rsidR="005F29A1" w:rsidRPr="006128DA" w:rsidRDefault="005F29A1" w:rsidP="00AD5AD8">
            <w:pPr>
              <w:rPr>
                <w:rFonts w:cs="Arial"/>
                <w:bCs/>
              </w:rPr>
            </w:pPr>
            <w:r w:rsidRPr="006128DA">
              <w:rPr>
                <w:rFonts w:cs="Arial"/>
                <w:bCs/>
              </w:rPr>
              <w:t>The 30 L can is internally coated with an epoxyphenolic lacquer.</w:t>
            </w:r>
          </w:p>
          <w:p w14:paraId="195EA899" w14:textId="77777777" w:rsidR="005F29A1" w:rsidRPr="006128DA" w:rsidRDefault="005F29A1" w:rsidP="00AD5AD8">
            <w:pPr>
              <w:rPr>
                <w:rFonts w:cs="Arial"/>
                <w:bCs/>
              </w:rPr>
            </w:pPr>
          </w:p>
          <w:p w14:paraId="5F76C71A" w14:textId="77777777" w:rsidR="005F29A1" w:rsidRPr="006128DA" w:rsidRDefault="005F29A1" w:rsidP="00AD5AD8">
            <w:pPr>
              <w:rPr>
                <w:rFonts w:cs="Arial"/>
                <w:bCs/>
              </w:rPr>
            </w:pPr>
            <w:r w:rsidRPr="006128DA">
              <w:rPr>
                <w:rFonts w:cs="Arial"/>
                <w:bCs/>
              </w:rPr>
              <w:t>Tin-plate can up to 30 L for non-professional users.</w:t>
            </w:r>
          </w:p>
          <w:p w14:paraId="6AC12242" w14:textId="77777777" w:rsidR="005F29A1" w:rsidRPr="00F53F23" w:rsidRDefault="005F29A1" w:rsidP="00AD5AD8">
            <w:pPr>
              <w:rPr>
                <w:rFonts w:cs="Arial"/>
                <w:bCs/>
              </w:rPr>
            </w:pPr>
            <w:r w:rsidRPr="00F53F23">
              <w:rPr>
                <w:rFonts w:cs="Arial"/>
                <w:bCs/>
              </w:rPr>
              <w:t>Tin-plate can up to 200 L and HDPE 1000 L IBC for professionnal users. Hermetically closed with a cap.</w:t>
            </w:r>
          </w:p>
          <w:p w14:paraId="0E4C3ACF" w14:textId="77777777" w:rsidR="005F29A1" w:rsidRPr="00944F5E" w:rsidRDefault="005F29A1" w:rsidP="00AD5AD8">
            <w:pPr>
              <w:rPr>
                <w:rFonts w:cs="Arial"/>
                <w:bCs/>
              </w:rPr>
            </w:pPr>
          </w:p>
          <w:p w14:paraId="1D78E234" w14:textId="77777777" w:rsidR="005F29A1" w:rsidRPr="00944F5E" w:rsidRDefault="005F29A1" w:rsidP="00AD5AD8">
            <w:pPr>
              <w:rPr>
                <w:rFonts w:cs="Arial"/>
                <w:bCs/>
              </w:rPr>
            </w:pPr>
          </w:p>
          <w:p w14:paraId="418AB7E9" w14:textId="77777777" w:rsidR="00066DCF" w:rsidRPr="00AD5AD8" w:rsidRDefault="005F29A1" w:rsidP="00AD5AD8">
            <w:pPr>
              <w:rPr>
                <w:rFonts w:cs="Arial"/>
                <w:bCs/>
              </w:rPr>
            </w:pPr>
            <w:r w:rsidRPr="002A77D8">
              <w:rPr>
                <w:rFonts w:cs="Arial"/>
                <w:bCs/>
              </w:rPr>
              <w:t>Packagings for non-professional users are hermetically closed with a cap and fitted with a child-resistant fastening and a tactile warning of danger</w:t>
            </w:r>
          </w:p>
        </w:tc>
      </w:tr>
    </w:tbl>
    <w:p w14:paraId="7C11B8A5" w14:textId="77777777" w:rsidR="00066DCF" w:rsidRDefault="00066DCF" w:rsidP="00066DCF">
      <w:pPr>
        <w:pStyle w:val="Absatz"/>
      </w:pPr>
    </w:p>
    <w:p w14:paraId="4EE58ACD" w14:textId="77777777" w:rsidR="009A1FAB" w:rsidRDefault="009A1FAB" w:rsidP="009A1FAB">
      <w:pPr>
        <w:pStyle w:val="Absatz"/>
      </w:pPr>
    </w:p>
    <w:p w14:paraId="570ACACA" w14:textId="77777777" w:rsidR="009A1FAB" w:rsidRPr="00AD5AD8" w:rsidRDefault="009A1FAB" w:rsidP="009A1FAB">
      <w:pPr>
        <w:pStyle w:val="Lgende"/>
        <w:spacing w:after="120"/>
        <w:ind w:left="0" w:firstLine="0"/>
        <w:rPr>
          <w:rFonts w:ascii="Verdana" w:hAnsi="Verdana" w:cs="Verdana"/>
        </w:rPr>
      </w:pPr>
      <w:r>
        <w:rPr>
          <w:rFonts w:ascii="Verdana" w:hAnsi="Verdana" w:cs="Verdana"/>
        </w:rPr>
        <w:t xml:space="preserve">Intended use # 3 – </w:t>
      </w:r>
      <w:r w:rsidR="006128DA" w:rsidRPr="00AD5AD8">
        <w:rPr>
          <w:rFonts w:ascii="Verdana" w:hAnsi="Verdana" w:cs="Verdana"/>
        </w:rPr>
        <w:t>Curative</w:t>
      </w:r>
      <w:r w:rsidR="006128DA" w:rsidDel="006128DA">
        <w:rPr>
          <w:rFonts w:ascii="Verdana" w:hAnsi="Verdana" w:cs="Verdana"/>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A1FAB" w14:paraId="219F3DFF" w14:textId="77777777" w:rsidTr="00AD0582">
        <w:tc>
          <w:tcPr>
            <w:tcW w:w="2707" w:type="dxa"/>
            <w:tcBorders>
              <w:top w:val="single" w:sz="4" w:space="0" w:color="000000"/>
              <w:left w:val="single" w:sz="4" w:space="0" w:color="000000"/>
              <w:bottom w:val="single" w:sz="4" w:space="0" w:color="000000"/>
            </w:tcBorders>
            <w:shd w:val="clear" w:color="auto" w:fill="auto"/>
          </w:tcPr>
          <w:p w14:paraId="54128BF0" w14:textId="77777777" w:rsidR="009A1FAB" w:rsidRDefault="009A1FAB" w:rsidP="00AD0582">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668F46E2" w14:textId="77777777" w:rsidR="009A1FAB" w:rsidRDefault="009A1FAB" w:rsidP="00AD0582">
            <w:pPr>
              <w:snapToGrid w:val="0"/>
              <w:rPr>
                <w:rFonts w:cs="Arial"/>
                <w:bCs/>
                <w:lang w:val="de-DE"/>
              </w:rPr>
            </w:pPr>
            <w:r>
              <w:rPr>
                <w:rFonts w:cs="Arial"/>
                <w:bCs/>
                <w:lang w:val="de-DE"/>
              </w:rPr>
              <w:t>PT8</w:t>
            </w:r>
          </w:p>
        </w:tc>
      </w:tr>
      <w:tr w:rsidR="009A1FAB" w:rsidRPr="00AD5AD8" w14:paraId="39DA0CA4" w14:textId="77777777" w:rsidTr="00AD0582">
        <w:tc>
          <w:tcPr>
            <w:tcW w:w="2707" w:type="dxa"/>
            <w:tcBorders>
              <w:left w:val="single" w:sz="4" w:space="0" w:color="000000"/>
              <w:bottom w:val="single" w:sz="4" w:space="0" w:color="000000"/>
            </w:tcBorders>
            <w:shd w:val="clear" w:color="auto" w:fill="auto"/>
          </w:tcPr>
          <w:p w14:paraId="751A16B5" w14:textId="77777777" w:rsidR="009A1FAB" w:rsidRPr="00AD5AD8" w:rsidRDefault="009A1FAB" w:rsidP="0021636F">
            <w:pPr>
              <w:jc w:val="left"/>
              <w:rPr>
                <w:rFonts w:cs="Arial"/>
                <w:bC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04E60B01" w14:textId="77777777" w:rsidR="006128DA" w:rsidRPr="00AD5AD8" w:rsidRDefault="006128DA" w:rsidP="00AD5AD8">
            <w:pPr>
              <w:rPr>
                <w:rFonts w:cs="Arial"/>
                <w:bCs/>
              </w:rPr>
            </w:pPr>
            <w:r w:rsidRPr="00AD5AD8">
              <w:rPr>
                <w:rFonts w:cs="Arial"/>
                <w:bCs/>
              </w:rPr>
              <w:t>Curative treatment / wood in service.</w:t>
            </w:r>
          </w:p>
          <w:p w14:paraId="0840D28C" w14:textId="42B22406" w:rsidR="009A1FAB" w:rsidRPr="00AD5AD8" w:rsidRDefault="006128DA" w:rsidP="007A5B15">
            <w:pPr>
              <w:rPr>
                <w:rFonts w:cs="Arial"/>
                <w:bCs/>
              </w:rPr>
            </w:pPr>
            <w:r w:rsidRPr="00AD5AD8">
              <w:rPr>
                <w:rFonts w:cs="Arial"/>
                <w:bCs/>
              </w:rPr>
              <w:t>Wood not exposed to weathering and leaching.</w:t>
            </w:r>
          </w:p>
        </w:tc>
      </w:tr>
      <w:tr w:rsidR="009A1FAB" w:rsidRPr="00AD5AD8" w14:paraId="433AD86B" w14:textId="77777777" w:rsidTr="00AD0582">
        <w:tc>
          <w:tcPr>
            <w:tcW w:w="2707" w:type="dxa"/>
            <w:tcBorders>
              <w:left w:val="single" w:sz="4" w:space="0" w:color="000000"/>
              <w:bottom w:val="single" w:sz="4" w:space="0" w:color="000000"/>
            </w:tcBorders>
            <w:shd w:val="clear" w:color="auto" w:fill="auto"/>
          </w:tcPr>
          <w:p w14:paraId="7D23C9DD" w14:textId="77777777" w:rsidR="009A1FAB" w:rsidRPr="00AD5AD8" w:rsidRDefault="009A1FAB" w:rsidP="0021636F">
            <w:pPr>
              <w:jc w:val="left"/>
              <w:rPr>
                <w:rFonts w:cs="Arial"/>
                <w:bC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61041EC4" w14:textId="77777777" w:rsidR="006128DA" w:rsidRPr="00AD5AD8" w:rsidRDefault="006128DA" w:rsidP="00AD5AD8">
            <w:pPr>
              <w:rPr>
                <w:rFonts w:cs="Arial"/>
                <w:bCs/>
              </w:rPr>
            </w:pPr>
            <w:r w:rsidRPr="00AD5AD8">
              <w:rPr>
                <w:rFonts w:cs="Arial"/>
                <w:bCs/>
              </w:rPr>
              <w:t>Hylotrupes bajulus L.-Larvae-House longhorn beetle</w:t>
            </w:r>
          </w:p>
          <w:p w14:paraId="761D2C3A" w14:textId="77777777" w:rsidR="006128DA" w:rsidRPr="00AD5AD8" w:rsidRDefault="006128DA" w:rsidP="00AD5AD8">
            <w:pPr>
              <w:rPr>
                <w:rFonts w:cs="Arial"/>
                <w:bCs/>
              </w:rPr>
            </w:pPr>
            <w:r w:rsidRPr="00AD5AD8">
              <w:rPr>
                <w:rFonts w:cs="Arial"/>
                <w:bCs/>
              </w:rPr>
              <w:t>Anobium punctatum De Geer-Larvae-Common furniture beetle Lyctus brunneus-Larvae-Powder post beetles</w:t>
            </w:r>
          </w:p>
          <w:p w14:paraId="5836A3E8" w14:textId="77777777" w:rsidR="009A1FAB" w:rsidRPr="00AD5AD8" w:rsidRDefault="006128DA" w:rsidP="00AD5AD8">
            <w:pPr>
              <w:rPr>
                <w:rFonts w:cs="Arial"/>
                <w:bCs/>
              </w:rPr>
            </w:pPr>
            <w:r w:rsidRPr="00AD5AD8">
              <w:rPr>
                <w:rFonts w:cs="Arial"/>
                <w:bCs/>
              </w:rPr>
              <w:t>Reticulitermes sp.-soldiers, workers and nymphs-Subterranean termites</w:t>
            </w:r>
          </w:p>
        </w:tc>
      </w:tr>
      <w:tr w:rsidR="009A1FAB" w14:paraId="4A7E6621" w14:textId="77777777" w:rsidTr="00AD0582">
        <w:tc>
          <w:tcPr>
            <w:tcW w:w="2707" w:type="dxa"/>
            <w:tcBorders>
              <w:left w:val="single" w:sz="4" w:space="0" w:color="000000"/>
              <w:bottom w:val="single" w:sz="4" w:space="0" w:color="000000"/>
            </w:tcBorders>
            <w:shd w:val="clear" w:color="auto" w:fill="auto"/>
          </w:tcPr>
          <w:p w14:paraId="438D523E" w14:textId="77777777" w:rsidR="009A1FAB" w:rsidRDefault="009A1FAB" w:rsidP="00AD0582">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1F98F868" w14:textId="433DDC90" w:rsidR="009A1FAB" w:rsidRDefault="009A1FAB" w:rsidP="007A5B15">
            <w:pPr>
              <w:snapToGrid w:val="0"/>
              <w:rPr>
                <w:rFonts w:cs="Arial"/>
                <w:bCs/>
                <w:lang w:val="de-DE"/>
              </w:rPr>
            </w:pPr>
            <w:r w:rsidRPr="00FD1A2B">
              <w:rPr>
                <w:rFonts w:cs="Arial"/>
                <w:bCs/>
                <w:lang w:val="de-DE"/>
              </w:rPr>
              <w:t>Indoor, Outdoor</w:t>
            </w:r>
          </w:p>
        </w:tc>
      </w:tr>
      <w:tr w:rsidR="009A1FAB" w:rsidRPr="00AD5AD8" w14:paraId="48E02C81" w14:textId="77777777" w:rsidTr="00AD0582">
        <w:tc>
          <w:tcPr>
            <w:tcW w:w="2707" w:type="dxa"/>
            <w:tcBorders>
              <w:left w:val="single" w:sz="4" w:space="0" w:color="000000"/>
              <w:bottom w:val="single" w:sz="4" w:space="0" w:color="000000"/>
            </w:tcBorders>
            <w:shd w:val="clear" w:color="auto" w:fill="auto"/>
          </w:tcPr>
          <w:p w14:paraId="6E20CA3D" w14:textId="77777777" w:rsidR="009A1FAB" w:rsidRPr="00AD5AD8" w:rsidRDefault="009A1FAB" w:rsidP="00AD0582">
            <w:pPr>
              <w:rPr>
                <w:rFonts w:cs="Arial"/>
                <w:bCs/>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7AFB8696" w14:textId="77777777" w:rsidR="00F53F23" w:rsidRPr="00F53F23" w:rsidRDefault="00F53F23" w:rsidP="00AD5AD8">
            <w:pPr>
              <w:rPr>
                <w:rFonts w:cs="Arial"/>
                <w:bCs/>
              </w:rPr>
            </w:pPr>
            <w:r w:rsidRPr="00F53F23">
              <w:rPr>
                <w:rFonts w:cs="Arial"/>
                <w:bCs/>
              </w:rPr>
              <w:t>superficial application -</w:t>
            </w:r>
          </w:p>
          <w:p w14:paraId="1E670F39" w14:textId="77777777" w:rsidR="00F53F23" w:rsidRPr="00F53F23" w:rsidRDefault="00F53F23" w:rsidP="00AD5AD8">
            <w:pPr>
              <w:rPr>
                <w:rFonts w:cs="Arial"/>
                <w:bCs/>
              </w:rPr>
            </w:pPr>
            <w:r w:rsidRPr="00F53F23">
              <w:rPr>
                <w:rFonts w:cs="Arial"/>
                <w:bCs/>
              </w:rPr>
              <w:t>Superficial application / brush / roller / pad treatment Superficial application / spray treatment</w:t>
            </w:r>
          </w:p>
          <w:p w14:paraId="72BFB261" w14:textId="77777777" w:rsidR="00F53F23" w:rsidRPr="00AD5AD8" w:rsidRDefault="00F53F23" w:rsidP="00AD5AD8">
            <w:pPr>
              <w:rPr>
                <w:rFonts w:cs="Arial"/>
                <w:bCs/>
              </w:rPr>
            </w:pPr>
          </w:p>
          <w:p w14:paraId="3F2B27AD" w14:textId="77777777" w:rsidR="00F53F23" w:rsidRPr="00F53F23" w:rsidRDefault="00F53F23" w:rsidP="00AD5AD8">
            <w:pPr>
              <w:rPr>
                <w:rFonts w:cs="Arial"/>
                <w:bCs/>
              </w:rPr>
            </w:pPr>
            <w:r w:rsidRPr="00F53F23">
              <w:rPr>
                <w:rFonts w:cs="Arial"/>
                <w:bCs/>
              </w:rPr>
              <w:t>Injection (only for curative treatment, always done with a superficial treatment)</w:t>
            </w:r>
          </w:p>
          <w:p w14:paraId="759DFC2C" w14:textId="77777777" w:rsidR="009A1FAB" w:rsidRPr="00AD5AD8" w:rsidRDefault="009A1FAB" w:rsidP="00AD5AD8">
            <w:pPr>
              <w:rPr>
                <w:rFonts w:cs="Arial"/>
                <w:bCs/>
              </w:rPr>
            </w:pPr>
          </w:p>
        </w:tc>
      </w:tr>
      <w:tr w:rsidR="009A1FAB" w:rsidRPr="00AD5AD8" w14:paraId="52372C40" w14:textId="77777777" w:rsidTr="00AD0582">
        <w:tc>
          <w:tcPr>
            <w:tcW w:w="2707" w:type="dxa"/>
            <w:tcBorders>
              <w:left w:val="single" w:sz="4" w:space="0" w:color="000000"/>
              <w:bottom w:val="single" w:sz="4" w:space="0" w:color="000000"/>
            </w:tcBorders>
            <w:shd w:val="clear" w:color="auto" w:fill="auto"/>
          </w:tcPr>
          <w:p w14:paraId="5B1828E7" w14:textId="77777777" w:rsidR="009A1FAB" w:rsidRPr="00AD5AD8" w:rsidRDefault="009A1FAB" w:rsidP="00AD5AD8">
            <w:pPr>
              <w:rPr>
                <w:rFonts w:cs="Arial"/>
                <w:bCs/>
              </w:rPr>
            </w:pPr>
            <w:r w:rsidRPr="00AD5AD8">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48E6102B" w14:textId="77777777" w:rsidR="00F53F23" w:rsidRPr="00F53F23" w:rsidRDefault="00F53F23" w:rsidP="00AD5AD8">
            <w:pPr>
              <w:rPr>
                <w:rFonts w:cs="Arial"/>
                <w:bCs/>
              </w:rPr>
            </w:pPr>
            <w:r w:rsidRPr="00F53F23">
              <w:rPr>
                <w:rFonts w:cs="Arial"/>
                <w:bCs/>
              </w:rPr>
              <w:t>300 g/m² for superficial application, and 180 mL/m² or 145 g/m² for injection (20 mL per hole, 9 holes/m²) - - -</w:t>
            </w:r>
          </w:p>
          <w:p w14:paraId="3D070AD4" w14:textId="77777777" w:rsidR="009A1FAB" w:rsidRPr="00AD5AD8" w:rsidRDefault="00F53F23" w:rsidP="00AD5AD8">
            <w:pPr>
              <w:rPr>
                <w:rFonts w:cs="Arial"/>
                <w:bCs/>
              </w:rPr>
            </w:pPr>
            <w:r w:rsidRPr="00F53F23">
              <w:rPr>
                <w:rFonts w:cs="Arial"/>
                <w:bCs/>
              </w:rPr>
              <w:t>Three layers of the product are applied, with at least 1 hour of drying between each layer. However, the product is applied only once. If applied according to the instructions for use, and if the treated wood is used in the correct field of use, the preservative efficacy is guaranteed for at least 10 years (CTB-P+ certification).</w:t>
            </w:r>
          </w:p>
        </w:tc>
      </w:tr>
      <w:tr w:rsidR="009A1FAB" w:rsidRPr="00F6579D" w14:paraId="6CA10404" w14:textId="77777777" w:rsidTr="00AD0582">
        <w:tc>
          <w:tcPr>
            <w:tcW w:w="2707" w:type="dxa"/>
            <w:tcBorders>
              <w:left w:val="single" w:sz="4" w:space="0" w:color="000000"/>
              <w:bottom w:val="single" w:sz="4" w:space="0" w:color="000000"/>
            </w:tcBorders>
            <w:shd w:val="clear" w:color="auto" w:fill="auto"/>
          </w:tcPr>
          <w:p w14:paraId="29A966CC" w14:textId="77777777" w:rsidR="009A1FAB" w:rsidRPr="00AD5AD8" w:rsidRDefault="009A1FAB" w:rsidP="00AD5AD8">
            <w:pPr>
              <w:rPr>
                <w:rFonts w:cs="Arial"/>
                <w:bCs/>
              </w:rPr>
            </w:pPr>
            <w:r w:rsidRPr="00AD5AD8">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62D967E4" w14:textId="77777777" w:rsidR="00F53F23" w:rsidRPr="007A5B15" w:rsidRDefault="00F53F23" w:rsidP="00AD5AD8">
            <w:pPr>
              <w:rPr>
                <w:rFonts w:cs="Arial"/>
                <w:bCs/>
                <w:lang w:val="it-IT"/>
              </w:rPr>
            </w:pPr>
            <w:r w:rsidRPr="007A5B15">
              <w:rPr>
                <w:rFonts w:cs="Arial"/>
                <w:bCs/>
                <w:lang w:val="it-IT"/>
              </w:rPr>
              <w:t>Professional</w:t>
            </w:r>
          </w:p>
          <w:p w14:paraId="4973701E" w14:textId="77777777" w:rsidR="009A1FAB" w:rsidRPr="007A5B15" w:rsidRDefault="00F53F23" w:rsidP="00AD5AD8">
            <w:pPr>
              <w:rPr>
                <w:rFonts w:cs="Arial"/>
                <w:bCs/>
                <w:lang w:val="it-IT"/>
              </w:rPr>
            </w:pPr>
            <w:r w:rsidRPr="007A5B15">
              <w:rPr>
                <w:rFonts w:cs="Arial"/>
                <w:bCs/>
                <w:lang w:val="it-IT"/>
              </w:rPr>
              <w:t>General public (non-professional)</w:t>
            </w:r>
          </w:p>
        </w:tc>
      </w:tr>
      <w:tr w:rsidR="009A1FAB" w:rsidRPr="00AD5AD8" w14:paraId="5F21C174" w14:textId="77777777" w:rsidTr="00AD0582">
        <w:tc>
          <w:tcPr>
            <w:tcW w:w="2707" w:type="dxa"/>
            <w:tcBorders>
              <w:left w:val="single" w:sz="4" w:space="0" w:color="000000"/>
              <w:bottom w:val="single" w:sz="4" w:space="0" w:color="000000"/>
            </w:tcBorders>
            <w:shd w:val="clear" w:color="auto" w:fill="auto"/>
          </w:tcPr>
          <w:p w14:paraId="7823F47A" w14:textId="77777777" w:rsidR="009A1FAB" w:rsidRPr="00AD5AD8" w:rsidRDefault="009A1FAB" w:rsidP="00AD0582">
            <w:pPr>
              <w:rPr>
                <w:rFonts w:cs="Arial"/>
                <w:bC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1666E33C" w14:textId="77777777" w:rsidR="00F53F23" w:rsidRPr="00F53F23" w:rsidRDefault="00F53F23" w:rsidP="00AD5AD8">
            <w:pPr>
              <w:rPr>
                <w:rFonts w:cs="Arial"/>
                <w:bCs/>
              </w:rPr>
            </w:pPr>
            <w:r w:rsidRPr="00F53F23">
              <w:rPr>
                <w:rFonts w:cs="Arial"/>
                <w:bCs/>
              </w:rPr>
              <w:t>Can /Tin, Metal: , 0.75 L, 1, 2.5, 5, 25, 30, 55 and 200 L</w:t>
            </w:r>
          </w:p>
          <w:p w14:paraId="04283278" w14:textId="77777777" w:rsidR="00F53F23" w:rsidRPr="00F53F23" w:rsidRDefault="00F53F23" w:rsidP="00AD5AD8">
            <w:pPr>
              <w:rPr>
                <w:rFonts w:cs="Arial"/>
                <w:bCs/>
              </w:rPr>
            </w:pPr>
          </w:p>
          <w:p w14:paraId="1524C584" w14:textId="77777777" w:rsidR="00F53F23" w:rsidRPr="00F53F23" w:rsidRDefault="00F53F23" w:rsidP="00AD5AD8">
            <w:pPr>
              <w:rPr>
                <w:rFonts w:cs="Arial"/>
                <w:bCs/>
              </w:rPr>
            </w:pPr>
            <w:r w:rsidRPr="00F53F23">
              <w:rPr>
                <w:rFonts w:cs="Arial"/>
                <w:bCs/>
              </w:rPr>
              <w:t>IBC (intermediate bulk container), Plastic: HDPE , 1 000 L</w:t>
            </w:r>
          </w:p>
          <w:p w14:paraId="3EBA1AF7" w14:textId="77777777" w:rsidR="00F53F23" w:rsidRPr="00F53F23" w:rsidRDefault="00F53F23" w:rsidP="00AD5AD8">
            <w:pPr>
              <w:rPr>
                <w:rFonts w:cs="Arial"/>
                <w:bCs/>
              </w:rPr>
            </w:pPr>
          </w:p>
          <w:p w14:paraId="50043116" w14:textId="77777777" w:rsidR="00F53F23" w:rsidRPr="00944F5E" w:rsidRDefault="00F53F23" w:rsidP="00AD5AD8">
            <w:pPr>
              <w:rPr>
                <w:rFonts w:cs="Arial"/>
                <w:bCs/>
              </w:rPr>
            </w:pPr>
            <w:r w:rsidRPr="00F53F23">
              <w:rPr>
                <w:rFonts w:cs="Arial"/>
                <w:bCs/>
              </w:rPr>
              <w:t>The 30 L tin-plate can is internally coated with an epoxyphenolic lacquer. Tin-plate can up to 30 L for non-professional users.</w:t>
            </w:r>
          </w:p>
          <w:p w14:paraId="4BDBEC3D" w14:textId="77777777" w:rsidR="00F53F23" w:rsidRPr="002A77D8" w:rsidRDefault="00F53F23" w:rsidP="00AD5AD8">
            <w:pPr>
              <w:rPr>
                <w:rFonts w:cs="Arial"/>
                <w:bCs/>
              </w:rPr>
            </w:pPr>
            <w:r w:rsidRPr="00944F5E">
              <w:rPr>
                <w:rFonts w:cs="Arial"/>
                <w:bCs/>
              </w:rPr>
              <w:t>Tin-plate can up to 200 L and HDPE 1000 L IBC for professionnal us</w:t>
            </w:r>
            <w:r w:rsidRPr="002A77D8">
              <w:rPr>
                <w:rFonts w:cs="Arial"/>
                <w:bCs/>
              </w:rPr>
              <w:t>ers. Hermetically closed with a cap.</w:t>
            </w:r>
          </w:p>
          <w:p w14:paraId="036F3920" w14:textId="77777777" w:rsidR="00F53F23" w:rsidRPr="00255290" w:rsidRDefault="00F53F23" w:rsidP="00AD5AD8">
            <w:pPr>
              <w:rPr>
                <w:rFonts w:cs="Arial"/>
                <w:bCs/>
              </w:rPr>
            </w:pPr>
            <w:r w:rsidRPr="00255290">
              <w:rPr>
                <w:rFonts w:cs="Arial"/>
                <w:bCs/>
              </w:rPr>
              <w:t>Packagings for non-professional users are hermetically closed with a cap and fitted with a child-resistant fastening and a tactile warning of danger.</w:t>
            </w:r>
          </w:p>
          <w:p w14:paraId="5CEF306E" w14:textId="77777777" w:rsidR="009A1FAB" w:rsidRPr="00AD5AD8" w:rsidRDefault="009A1FAB" w:rsidP="00AD5AD8">
            <w:pPr>
              <w:rPr>
                <w:rFonts w:cs="Arial"/>
                <w:bCs/>
              </w:rPr>
            </w:pPr>
          </w:p>
        </w:tc>
      </w:tr>
    </w:tbl>
    <w:p w14:paraId="2D0762A6" w14:textId="77777777" w:rsidR="009A1FAB" w:rsidRDefault="009A1FAB" w:rsidP="009A1FAB">
      <w:pPr>
        <w:pStyle w:val="Absatz"/>
      </w:pPr>
    </w:p>
    <w:p w14:paraId="0F60362D" w14:textId="77777777" w:rsidR="00F53F23" w:rsidRDefault="00F53F23" w:rsidP="00F53F23">
      <w:pPr>
        <w:pStyle w:val="Absatz"/>
      </w:pPr>
    </w:p>
    <w:p w14:paraId="790B14D7" w14:textId="77777777" w:rsidR="00F53F23" w:rsidRPr="00AF797B" w:rsidRDefault="00F53F23" w:rsidP="00F53F23">
      <w:pPr>
        <w:pStyle w:val="Lgende"/>
        <w:spacing w:after="120"/>
        <w:ind w:left="0" w:firstLine="0"/>
        <w:rPr>
          <w:rFonts w:ascii="Verdana" w:hAnsi="Verdana" w:cs="Verdana"/>
        </w:rPr>
      </w:pPr>
      <w:r>
        <w:rPr>
          <w:rFonts w:ascii="Verdana" w:hAnsi="Verdana" w:cs="Verdana"/>
        </w:rPr>
        <w:t xml:space="preserve">Intended use # 4 – </w:t>
      </w:r>
      <w:r w:rsidRPr="00AD5AD8">
        <w:rPr>
          <w:rFonts w:ascii="Verdana" w:hAnsi="Verdana" w:cs="Verdana"/>
        </w:rPr>
        <w:t>Industry_Softwood</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F53F23" w14:paraId="23A6402E" w14:textId="77777777" w:rsidTr="005D37EC">
        <w:tc>
          <w:tcPr>
            <w:tcW w:w="2707" w:type="dxa"/>
            <w:tcBorders>
              <w:top w:val="single" w:sz="4" w:space="0" w:color="000000"/>
              <w:left w:val="single" w:sz="4" w:space="0" w:color="000000"/>
              <w:bottom w:val="single" w:sz="4" w:space="0" w:color="000000"/>
            </w:tcBorders>
            <w:shd w:val="clear" w:color="auto" w:fill="auto"/>
          </w:tcPr>
          <w:p w14:paraId="392B7AA9" w14:textId="77777777" w:rsidR="00F53F23" w:rsidRDefault="00F53F23" w:rsidP="005D37EC">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540D774A" w14:textId="77777777" w:rsidR="00F53F23" w:rsidRDefault="00F53F23" w:rsidP="005D37EC">
            <w:pPr>
              <w:snapToGrid w:val="0"/>
              <w:rPr>
                <w:rFonts w:cs="Arial"/>
                <w:bCs/>
                <w:lang w:val="de-DE"/>
              </w:rPr>
            </w:pPr>
            <w:r>
              <w:rPr>
                <w:rFonts w:cs="Arial"/>
                <w:bCs/>
                <w:lang w:val="de-DE"/>
              </w:rPr>
              <w:t>PT8</w:t>
            </w:r>
          </w:p>
        </w:tc>
      </w:tr>
      <w:tr w:rsidR="00F53F23" w:rsidRPr="00AF797B" w14:paraId="53BB1B78" w14:textId="77777777" w:rsidTr="005D37EC">
        <w:tc>
          <w:tcPr>
            <w:tcW w:w="2707" w:type="dxa"/>
            <w:tcBorders>
              <w:left w:val="single" w:sz="4" w:space="0" w:color="000000"/>
              <w:bottom w:val="single" w:sz="4" w:space="0" w:color="000000"/>
            </w:tcBorders>
            <w:shd w:val="clear" w:color="auto" w:fill="auto"/>
          </w:tcPr>
          <w:p w14:paraId="3BF8E693" w14:textId="77777777" w:rsidR="00F53F23" w:rsidRPr="00AF797B" w:rsidRDefault="00F53F23" w:rsidP="0021636F">
            <w:pPr>
              <w:jc w:val="left"/>
              <w:rPr>
                <w:rFonts w:cs="Arial"/>
                <w:bC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56B26247" w14:textId="77777777" w:rsidR="00F53F23" w:rsidRPr="00AD5AD8" w:rsidRDefault="00F53F23" w:rsidP="00AD5AD8">
            <w:pPr>
              <w:rPr>
                <w:rFonts w:cs="Arial"/>
                <w:bCs/>
              </w:rPr>
            </w:pPr>
            <w:r w:rsidRPr="00AD5AD8">
              <w:rPr>
                <w:rFonts w:cs="Arial"/>
                <w:bCs/>
              </w:rPr>
              <w:t>This product is used by industrial users, by short-time dipping, for preventive treatment.</w:t>
            </w:r>
          </w:p>
          <w:p w14:paraId="14712592" w14:textId="77777777" w:rsidR="00F53F23" w:rsidRPr="00AF797B" w:rsidRDefault="00F53F23" w:rsidP="00F53F23">
            <w:pPr>
              <w:rPr>
                <w:rFonts w:cs="Arial"/>
                <w:bCs/>
              </w:rPr>
            </w:pPr>
            <w:r w:rsidRPr="00AD5AD8">
              <w:rPr>
                <w:rFonts w:cs="Arial"/>
                <w:bCs/>
              </w:rPr>
              <w:t>The application rate is 200 g/m². This corresponds to a dipping during 3 minutes, with a mean intake of 15 to 20 litres of the product per m3 (for traditional framework)</w:t>
            </w:r>
          </w:p>
        </w:tc>
      </w:tr>
      <w:tr w:rsidR="00F53F23" w:rsidRPr="00AF797B" w14:paraId="39E5BF65" w14:textId="77777777" w:rsidTr="005D37EC">
        <w:tc>
          <w:tcPr>
            <w:tcW w:w="2707" w:type="dxa"/>
            <w:tcBorders>
              <w:left w:val="single" w:sz="4" w:space="0" w:color="000000"/>
              <w:bottom w:val="single" w:sz="4" w:space="0" w:color="000000"/>
            </w:tcBorders>
            <w:shd w:val="clear" w:color="auto" w:fill="auto"/>
          </w:tcPr>
          <w:p w14:paraId="4C19A4BB" w14:textId="77777777" w:rsidR="00F53F23" w:rsidRPr="00AF797B" w:rsidRDefault="00F53F23" w:rsidP="0021636F">
            <w:pPr>
              <w:jc w:val="left"/>
              <w:rPr>
                <w:rFonts w:cs="Arial"/>
                <w:bC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0ED1877B" w14:textId="77777777" w:rsidR="00F53F23" w:rsidRPr="00AD5AD8" w:rsidRDefault="00F53F23" w:rsidP="00AD5AD8">
            <w:pPr>
              <w:rPr>
                <w:rFonts w:cs="Arial"/>
                <w:bCs/>
              </w:rPr>
            </w:pPr>
            <w:r w:rsidRPr="00AD5AD8">
              <w:rPr>
                <w:rFonts w:cs="Arial"/>
                <w:bCs/>
              </w:rPr>
              <w:t>Hylotrupes bajulus L.-Larvae-House longhorn beetle</w:t>
            </w:r>
          </w:p>
          <w:p w14:paraId="17474297" w14:textId="77777777" w:rsidR="00F53F23" w:rsidRPr="00AD5AD8" w:rsidRDefault="00F53F23" w:rsidP="00AD5AD8">
            <w:pPr>
              <w:rPr>
                <w:rFonts w:cs="Arial"/>
                <w:bCs/>
              </w:rPr>
            </w:pPr>
          </w:p>
          <w:p w14:paraId="23D26A95" w14:textId="77777777" w:rsidR="00F53F23" w:rsidRPr="00AD5AD8" w:rsidRDefault="00F53F23" w:rsidP="00AD5AD8">
            <w:pPr>
              <w:rPr>
                <w:rFonts w:cs="Arial"/>
                <w:bCs/>
              </w:rPr>
            </w:pPr>
            <w:r w:rsidRPr="00AD5AD8">
              <w:rPr>
                <w:rFonts w:cs="Arial"/>
                <w:bCs/>
              </w:rPr>
              <w:t>Anobium punctatum De Geer-Larvae-Common furniture beetle Lyctus brunneus-Larvae-Powder post beetles</w:t>
            </w:r>
          </w:p>
          <w:p w14:paraId="5A4F93CB" w14:textId="77777777" w:rsidR="00F53F23" w:rsidRPr="00AF797B" w:rsidRDefault="00F53F23" w:rsidP="00F53F23">
            <w:pPr>
              <w:rPr>
                <w:rFonts w:cs="Arial"/>
                <w:bCs/>
              </w:rPr>
            </w:pPr>
            <w:r w:rsidRPr="00AD5AD8">
              <w:rPr>
                <w:rFonts w:cs="Arial"/>
                <w:bCs/>
              </w:rPr>
              <w:t>Reticulitermes sp.-soldiers, workers and nymphs-Subterranean termites</w:t>
            </w:r>
          </w:p>
        </w:tc>
      </w:tr>
      <w:tr w:rsidR="00F53F23" w:rsidRPr="00AD5AD8" w14:paraId="69F36D6C" w14:textId="77777777" w:rsidTr="005D37EC">
        <w:tc>
          <w:tcPr>
            <w:tcW w:w="2707" w:type="dxa"/>
            <w:tcBorders>
              <w:left w:val="single" w:sz="4" w:space="0" w:color="000000"/>
              <w:bottom w:val="single" w:sz="4" w:space="0" w:color="000000"/>
            </w:tcBorders>
            <w:shd w:val="clear" w:color="auto" w:fill="auto"/>
          </w:tcPr>
          <w:p w14:paraId="3DEC47B4" w14:textId="77777777" w:rsidR="00F53F23" w:rsidRPr="00AD5AD8" w:rsidRDefault="00F53F23" w:rsidP="005D37EC">
            <w:pPr>
              <w:rPr>
                <w:rFonts w:cs="Arial"/>
                <w:bCs/>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2C879F35" w14:textId="77777777" w:rsidR="00F53F23" w:rsidRPr="00AD5AD8" w:rsidRDefault="00F53F23" w:rsidP="00AD5AD8">
            <w:pPr>
              <w:rPr>
                <w:rFonts w:cs="Arial"/>
                <w:bCs/>
              </w:rPr>
            </w:pPr>
            <w:r w:rsidRPr="00AD5AD8">
              <w:rPr>
                <w:rFonts w:cs="Arial"/>
                <w:bCs/>
              </w:rPr>
              <w:t>Indoor</w:t>
            </w:r>
          </w:p>
        </w:tc>
      </w:tr>
      <w:tr w:rsidR="00F53F23" w:rsidRPr="00AF797B" w14:paraId="4EC129AA" w14:textId="77777777" w:rsidTr="005D37EC">
        <w:tc>
          <w:tcPr>
            <w:tcW w:w="2707" w:type="dxa"/>
            <w:tcBorders>
              <w:left w:val="single" w:sz="4" w:space="0" w:color="000000"/>
              <w:bottom w:val="single" w:sz="4" w:space="0" w:color="000000"/>
            </w:tcBorders>
            <w:shd w:val="clear" w:color="auto" w:fill="auto"/>
          </w:tcPr>
          <w:p w14:paraId="3AB9B8C7" w14:textId="77777777" w:rsidR="00F53F23" w:rsidRPr="00AF797B" w:rsidRDefault="00F53F23" w:rsidP="005D37EC">
            <w:pPr>
              <w:rPr>
                <w:rFonts w:cs="Arial"/>
                <w:bCs/>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01F27D64" w14:textId="77777777" w:rsidR="00F53F23" w:rsidRPr="00AF797B" w:rsidRDefault="00F53F23" w:rsidP="005D37EC">
            <w:pPr>
              <w:rPr>
                <w:rFonts w:cs="Arial"/>
                <w:bCs/>
              </w:rPr>
            </w:pPr>
            <w:r w:rsidRPr="00F53F23">
              <w:rPr>
                <w:rFonts w:cs="Arial"/>
                <w:bCs/>
              </w:rPr>
              <w:t xml:space="preserve">Open system: dip treatment </w:t>
            </w:r>
          </w:p>
        </w:tc>
      </w:tr>
      <w:tr w:rsidR="00F53F23" w:rsidRPr="00AF797B" w14:paraId="54C02FEA" w14:textId="77777777" w:rsidTr="005D37EC">
        <w:tc>
          <w:tcPr>
            <w:tcW w:w="2707" w:type="dxa"/>
            <w:tcBorders>
              <w:left w:val="single" w:sz="4" w:space="0" w:color="000000"/>
              <w:bottom w:val="single" w:sz="4" w:space="0" w:color="000000"/>
            </w:tcBorders>
            <w:shd w:val="clear" w:color="auto" w:fill="auto"/>
          </w:tcPr>
          <w:p w14:paraId="63682B69" w14:textId="77777777" w:rsidR="00F53F23" w:rsidRPr="00AF797B" w:rsidRDefault="00F53F23" w:rsidP="0021636F">
            <w:pPr>
              <w:jc w:val="left"/>
              <w:rPr>
                <w:rFonts w:cs="Arial"/>
                <w:bCs/>
              </w:rPr>
            </w:pPr>
            <w:r w:rsidRPr="00AF797B">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2E564505" w14:textId="6DB9BE1D" w:rsidR="00F53F23" w:rsidRPr="00685696" w:rsidRDefault="00F53F23" w:rsidP="00AD5AD8">
            <w:pPr>
              <w:rPr>
                <w:rFonts w:cs="Arial"/>
                <w:bCs/>
              </w:rPr>
            </w:pPr>
            <w:r w:rsidRPr="00F53F23">
              <w:rPr>
                <w:rFonts w:cs="Arial"/>
                <w:bCs/>
              </w:rPr>
              <w:t xml:space="preserve">200 g/m² </w:t>
            </w:r>
          </w:p>
          <w:p w14:paraId="3EA29D8B" w14:textId="77777777" w:rsidR="00F53F23" w:rsidRPr="00944F5E" w:rsidRDefault="00F53F23" w:rsidP="00AD5AD8">
            <w:pPr>
              <w:rPr>
                <w:rFonts w:cs="Arial"/>
                <w:bCs/>
              </w:rPr>
            </w:pPr>
            <w:r w:rsidRPr="00685696">
              <w:rPr>
                <w:rFonts w:cs="Arial"/>
                <w:bCs/>
              </w:rPr>
              <w:t>The product is applied once. If applied according to the instructions for use, and if the treated wood is used in the correct field of use, the preservative efficacy is guaranteed for at least 10 years. The product is certified as CTB-P+.</w:t>
            </w:r>
          </w:p>
          <w:p w14:paraId="7F82B755" w14:textId="77777777" w:rsidR="00F53F23" w:rsidRPr="00AF797B" w:rsidRDefault="00F53F23" w:rsidP="005D37EC">
            <w:pPr>
              <w:rPr>
                <w:rFonts w:cs="Arial"/>
                <w:bCs/>
              </w:rPr>
            </w:pPr>
          </w:p>
        </w:tc>
      </w:tr>
      <w:tr w:rsidR="00F53F23" w:rsidRPr="00AF797B" w14:paraId="611537C4" w14:textId="77777777" w:rsidTr="005D37EC">
        <w:tc>
          <w:tcPr>
            <w:tcW w:w="2707" w:type="dxa"/>
            <w:tcBorders>
              <w:left w:val="single" w:sz="4" w:space="0" w:color="000000"/>
              <w:bottom w:val="single" w:sz="4" w:space="0" w:color="000000"/>
            </w:tcBorders>
            <w:shd w:val="clear" w:color="auto" w:fill="auto"/>
          </w:tcPr>
          <w:p w14:paraId="6BFAFD8B" w14:textId="77777777" w:rsidR="00F53F23" w:rsidRPr="00AF797B" w:rsidRDefault="00F53F23" w:rsidP="005D37EC">
            <w:pPr>
              <w:rPr>
                <w:rFonts w:cs="Arial"/>
                <w:bCs/>
              </w:rPr>
            </w:pPr>
            <w:r w:rsidRPr="00AF797B">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16DDC006" w14:textId="77777777" w:rsidR="00F53F23" w:rsidRPr="00685696" w:rsidRDefault="00F53F23" w:rsidP="00AD5AD8">
            <w:pPr>
              <w:rPr>
                <w:rFonts w:cs="Arial"/>
                <w:bCs/>
              </w:rPr>
            </w:pPr>
            <w:r w:rsidRPr="00F53F23">
              <w:rPr>
                <w:rFonts w:cs="Arial"/>
                <w:bCs/>
              </w:rPr>
              <w:t>Industrial</w:t>
            </w:r>
          </w:p>
          <w:p w14:paraId="541C69D7" w14:textId="77777777" w:rsidR="00F53F23" w:rsidRPr="00AF797B" w:rsidRDefault="00F53F23" w:rsidP="005D37EC">
            <w:pPr>
              <w:rPr>
                <w:rFonts w:cs="Arial"/>
                <w:bCs/>
              </w:rPr>
            </w:pPr>
          </w:p>
        </w:tc>
      </w:tr>
      <w:tr w:rsidR="00F53F23" w:rsidRPr="00AF797B" w14:paraId="1441D08F" w14:textId="77777777" w:rsidTr="005D37EC">
        <w:tc>
          <w:tcPr>
            <w:tcW w:w="2707" w:type="dxa"/>
            <w:tcBorders>
              <w:left w:val="single" w:sz="4" w:space="0" w:color="000000"/>
              <w:bottom w:val="single" w:sz="4" w:space="0" w:color="000000"/>
            </w:tcBorders>
            <w:shd w:val="clear" w:color="auto" w:fill="auto"/>
          </w:tcPr>
          <w:p w14:paraId="0609522B" w14:textId="77777777" w:rsidR="00F53F23" w:rsidRPr="00AF797B" w:rsidRDefault="00F53F23" w:rsidP="0021636F">
            <w:pPr>
              <w:jc w:val="left"/>
              <w:rPr>
                <w:rFonts w:cs="Arial"/>
                <w:bC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2EA1E7AE" w14:textId="4E81C6FC" w:rsidR="00F53F23" w:rsidRPr="00AF797B" w:rsidRDefault="00F53F23" w:rsidP="005D37EC">
            <w:pPr>
              <w:rPr>
                <w:rFonts w:cs="Arial"/>
                <w:bCs/>
              </w:rPr>
            </w:pPr>
            <w:r w:rsidRPr="00F53F23">
              <w:rPr>
                <w:rFonts w:cs="Arial"/>
                <w:bCs/>
              </w:rPr>
              <w:t xml:space="preserve">IBC (intermediate bulk container), Plastic: </w:t>
            </w:r>
            <w:r w:rsidR="00735835" w:rsidRPr="00F53F23">
              <w:rPr>
                <w:rFonts w:cs="Arial"/>
                <w:bCs/>
              </w:rPr>
              <w:t>HDPE,</w:t>
            </w:r>
            <w:r w:rsidRPr="00F53F23">
              <w:rPr>
                <w:rFonts w:cs="Arial"/>
                <w:bCs/>
              </w:rPr>
              <w:t xml:space="preserve"> 1000 L Hermetically closed with a cap.</w:t>
            </w:r>
          </w:p>
        </w:tc>
      </w:tr>
    </w:tbl>
    <w:p w14:paraId="3BEAC954" w14:textId="77777777" w:rsidR="00F53F23" w:rsidRDefault="00F53F23" w:rsidP="00F53F23">
      <w:pPr>
        <w:pStyle w:val="Absatz"/>
      </w:pPr>
    </w:p>
    <w:p w14:paraId="393A6B04" w14:textId="77777777" w:rsidR="00F53F23" w:rsidRPr="00066DCF" w:rsidRDefault="00F53F23" w:rsidP="00F53F23">
      <w:pPr>
        <w:pStyle w:val="Absatz"/>
      </w:pPr>
    </w:p>
    <w:p w14:paraId="11284795" w14:textId="77777777" w:rsidR="009D0C0B" w:rsidRPr="00066DCF" w:rsidRDefault="009D0C0B">
      <w:pPr>
        <w:pStyle w:val="Absatz"/>
      </w:pPr>
    </w:p>
    <w:p w14:paraId="514ECB69" w14:textId="77777777" w:rsidR="009D0C0B" w:rsidRDefault="00FA480B">
      <w:pPr>
        <w:pStyle w:val="Titre3"/>
        <w:rPr>
          <w:rFonts w:eastAsia="Calibri"/>
          <w:lang w:eastAsia="sv-SE"/>
        </w:rPr>
      </w:pPr>
      <w:bookmarkStart w:id="78" w:name="_Toc536627302"/>
      <w:r>
        <w:t>Physical, chemical and technical properties</w:t>
      </w:r>
      <w:bookmarkEnd w:id="78"/>
      <w:r>
        <w:t xml:space="preserve"> </w:t>
      </w:r>
    </w:p>
    <w:p w14:paraId="56DE6265" w14:textId="77777777" w:rsidR="00066DCF" w:rsidRPr="00AD5AD8" w:rsidRDefault="00066DCF" w:rsidP="00066DCF">
      <w:pPr>
        <w:keepNext/>
        <w:tabs>
          <w:tab w:val="left" w:pos="1304"/>
        </w:tabs>
        <w:spacing w:before="240" w:after="60" w:line="280" w:lineRule="atLeast"/>
        <w:ind w:left="1304"/>
        <w:outlineLvl w:val="2"/>
        <w:rPr>
          <w:rFonts w:cs="Arial"/>
          <w:b/>
          <w:bCs/>
          <w:szCs w:val="28"/>
        </w:rPr>
      </w:pPr>
      <w:r w:rsidRPr="00AD5AD8">
        <w:rPr>
          <w:rFonts w:cs="Arial"/>
          <w:b/>
          <w:bCs/>
          <w:szCs w:val="28"/>
        </w:rPr>
        <w:t>Identity, composition of the biocidal product, packaging</w:t>
      </w:r>
    </w:p>
    <w:p w14:paraId="5338F562" w14:textId="77777777" w:rsidR="006E26A4" w:rsidRDefault="00066DCF" w:rsidP="00066DCF">
      <w:pPr>
        <w:pStyle w:val="En-tteheaderprotocols"/>
        <w:tabs>
          <w:tab w:val="clear" w:pos="4536"/>
          <w:tab w:val="clear" w:pos="9072"/>
        </w:tabs>
        <w:rPr>
          <w:rFonts w:ascii="Verdana" w:hAnsi="Verdana" w:cs="Arial"/>
          <w:iCs/>
          <w:lang w:val="en-GB"/>
        </w:rPr>
      </w:pPr>
      <w:r w:rsidRPr="00AD5AD8">
        <w:rPr>
          <w:rFonts w:ascii="Verdana" w:hAnsi="Verdana" w:cs="Arial"/>
          <w:iCs/>
          <w:lang w:val="en-GB"/>
        </w:rPr>
        <w:t xml:space="preserve">The biocidal product is not the same as the one assessed for the inclusion of the active substances in annex 1 of directive 98/8/EC. The composition of the product is confidential and is presented in a confidential annex. Active substances are supplied in premixes. </w:t>
      </w:r>
    </w:p>
    <w:p w14:paraId="2C71A212" w14:textId="4B2A983A" w:rsidR="00066DCF" w:rsidRPr="00AD5AD8" w:rsidRDefault="00066DCF" w:rsidP="00066DCF">
      <w:pPr>
        <w:pStyle w:val="En-tteheaderprotocols"/>
        <w:tabs>
          <w:tab w:val="clear" w:pos="4536"/>
          <w:tab w:val="clear" w:pos="9072"/>
        </w:tabs>
        <w:rPr>
          <w:rFonts w:ascii="Verdana" w:hAnsi="Verdana" w:cs="Arial"/>
          <w:iCs/>
          <w:lang w:val="en-GB"/>
        </w:rPr>
      </w:pPr>
      <w:r w:rsidRPr="00AD5AD8">
        <w:rPr>
          <w:rFonts w:ascii="Verdana" w:hAnsi="Verdana" w:cs="Arial"/>
          <w:iCs/>
          <w:lang w:val="en-GB"/>
        </w:rPr>
        <w:t>The product contains 0.07% of pure cypermethrin (cis</w:t>
      </w:r>
      <w:proofErr w:type="gramStart"/>
      <w:r w:rsidRPr="00AD5AD8">
        <w:rPr>
          <w:rFonts w:ascii="Verdana" w:hAnsi="Verdana" w:cs="Arial"/>
          <w:iCs/>
          <w:lang w:val="en-GB"/>
        </w:rPr>
        <w:t>:trans</w:t>
      </w:r>
      <w:proofErr w:type="gramEnd"/>
      <w:r w:rsidRPr="00AD5AD8">
        <w:rPr>
          <w:rFonts w:ascii="Verdana" w:hAnsi="Verdana" w:cs="Arial"/>
          <w:iCs/>
          <w:lang w:val="en-GB"/>
        </w:rPr>
        <w:t>/ 40:60), 0.15% of pure propiconazole</w:t>
      </w:r>
      <w:r w:rsidRPr="00B100F1">
        <w:rPr>
          <w:rFonts w:ascii="Verdana" w:hAnsi="Verdana" w:cs="Arial"/>
          <w:iCs/>
          <w:lang w:val="en-GB"/>
        </w:rPr>
        <w:t>, 0.049% of pure IPBC and 0.0475% of pure tebuconazole.</w:t>
      </w:r>
    </w:p>
    <w:p w14:paraId="045BC87C" w14:textId="39F22142" w:rsidR="006E26A4" w:rsidRPr="00AD5AD8" w:rsidRDefault="006E26A4" w:rsidP="006E26A4">
      <w:pPr>
        <w:pStyle w:val="En-tteheaderprotocols"/>
        <w:tabs>
          <w:tab w:val="clear" w:pos="4536"/>
          <w:tab w:val="clear" w:pos="9072"/>
        </w:tabs>
        <w:rPr>
          <w:rFonts w:ascii="Verdana" w:hAnsi="Verdana" w:cs="Arial"/>
          <w:iCs/>
          <w:lang w:val="en-GB"/>
        </w:rPr>
      </w:pPr>
      <w:r w:rsidRPr="00AD5AD8">
        <w:rPr>
          <w:rFonts w:ascii="Verdana" w:hAnsi="Verdana" w:cs="Arial"/>
          <w:iCs/>
          <w:lang w:val="en-GB"/>
        </w:rPr>
        <w:t>The product contains 0.0</w:t>
      </w:r>
      <w:r>
        <w:rPr>
          <w:rFonts w:ascii="Verdana" w:hAnsi="Verdana" w:cs="Arial"/>
          <w:iCs/>
          <w:lang w:val="en-GB"/>
        </w:rPr>
        <w:t>8</w:t>
      </w:r>
      <w:r w:rsidRPr="00AD5AD8">
        <w:rPr>
          <w:rFonts w:ascii="Verdana" w:hAnsi="Verdana" w:cs="Arial"/>
          <w:iCs/>
          <w:lang w:val="en-GB"/>
        </w:rPr>
        <w:t xml:space="preserve">% of </w:t>
      </w:r>
      <w:r>
        <w:rPr>
          <w:rFonts w:ascii="Verdana" w:hAnsi="Verdana" w:cs="Arial"/>
          <w:iCs/>
          <w:lang w:val="en-GB"/>
        </w:rPr>
        <w:t>technical</w:t>
      </w:r>
      <w:r w:rsidRPr="00AD5AD8">
        <w:rPr>
          <w:rFonts w:ascii="Verdana" w:hAnsi="Verdana" w:cs="Arial"/>
          <w:iCs/>
          <w:lang w:val="en-GB"/>
        </w:rPr>
        <w:t xml:space="preserve"> cypermethrin, 0.1</w:t>
      </w:r>
      <w:r>
        <w:rPr>
          <w:rFonts w:ascii="Verdana" w:hAnsi="Verdana" w:cs="Arial"/>
          <w:iCs/>
          <w:lang w:val="en-GB"/>
        </w:rPr>
        <w:t>6</w:t>
      </w:r>
      <w:r w:rsidRPr="00AD5AD8">
        <w:rPr>
          <w:rFonts w:ascii="Verdana" w:hAnsi="Verdana" w:cs="Arial"/>
          <w:iCs/>
          <w:lang w:val="en-GB"/>
        </w:rPr>
        <w:t xml:space="preserve">% of </w:t>
      </w:r>
      <w:r>
        <w:rPr>
          <w:rFonts w:ascii="Verdana" w:hAnsi="Verdana" w:cs="Arial"/>
          <w:iCs/>
          <w:lang w:val="en-GB"/>
        </w:rPr>
        <w:t>technical</w:t>
      </w:r>
      <w:r w:rsidRPr="00AD5AD8">
        <w:rPr>
          <w:rFonts w:ascii="Verdana" w:hAnsi="Verdana" w:cs="Arial"/>
          <w:iCs/>
          <w:lang w:val="en-GB"/>
        </w:rPr>
        <w:t xml:space="preserve"> propiconazole</w:t>
      </w:r>
      <w:r w:rsidRPr="00B100F1">
        <w:rPr>
          <w:rFonts w:ascii="Verdana" w:hAnsi="Verdana" w:cs="Arial"/>
          <w:iCs/>
          <w:lang w:val="en-GB"/>
        </w:rPr>
        <w:t>, 0.0</w:t>
      </w:r>
      <w:r>
        <w:rPr>
          <w:rFonts w:ascii="Verdana" w:hAnsi="Verdana" w:cs="Arial"/>
          <w:iCs/>
          <w:lang w:val="en-GB"/>
        </w:rPr>
        <w:t>5</w:t>
      </w:r>
      <w:r w:rsidRPr="00B100F1">
        <w:rPr>
          <w:rFonts w:ascii="Verdana" w:hAnsi="Verdana" w:cs="Arial"/>
          <w:iCs/>
          <w:lang w:val="en-GB"/>
        </w:rPr>
        <w:t xml:space="preserve">% of </w:t>
      </w:r>
      <w:r>
        <w:rPr>
          <w:rFonts w:ascii="Verdana" w:hAnsi="Verdana" w:cs="Arial"/>
          <w:iCs/>
          <w:lang w:val="en-GB"/>
        </w:rPr>
        <w:t>technical</w:t>
      </w:r>
      <w:r w:rsidRPr="00B100F1">
        <w:rPr>
          <w:rFonts w:ascii="Verdana" w:hAnsi="Verdana" w:cs="Arial"/>
          <w:iCs/>
          <w:lang w:val="en-GB"/>
        </w:rPr>
        <w:t xml:space="preserve"> IPBC and 0.05% of </w:t>
      </w:r>
      <w:r>
        <w:rPr>
          <w:rFonts w:ascii="Verdana" w:hAnsi="Verdana" w:cs="Arial"/>
          <w:iCs/>
          <w:lang w:val="en-GB"/>
        </w:rPr>
        <w:t>technical</w:t>
      </w:r>
      <w:r w:rsidRPr="00B100F1">
        <w:rPr>
          <w:rFonts w:ascii="Verdana" w:hAnsi="Verdana" w:cs="Arial"/>
          <w:iCs/>
          <w:lang w:val="en-GB"/>
        </w:rPr>
        <w:t xml:space="preserve"> tebuconazole.</w:t>
      </w:r>
    </w:p>
    <w:p w14:paraId="1E635D2A" w14:textId="77777777" w:rsidR="00066DCF" w:rsidRDefault="00066DCF" w:rsidP="00066DCF">
      <w:pPr>
        <w:pStyle w:val="En-tteheaderprotocols"/>
        <w:tabs>
          <w:tab w:val="clear" w:pos="4536"/>
          <w:tab w:val="clear" w:pos="9072"/>
        </w:tabs>
        <w:rPr>
          <w:rFonts w:ascii="Verdana" w:hAnsi="Verdana" w:cs="Arial"/>
          <w:iCs/>
          <w:lang w:val="en-GB"/>
        </w:rPr>
      </w:pPr>
    </w:p>
    <w:p w14:paraId="3C1ECAED" w14:textId="77777777" w:rsidR="006E26A4" w:rsidRPr="00AD5AD8" w:rsidRDefault="006E26A4" w:rsidP="00066DCF">
      <w:pPr>
        <w:pStyle w:val="En-tteheaderprotocols"/>
        <w:tabs>
          <w:tab w:val="clear" w:pos="4536"/>
          <w:tab w:val="clear" w:pos="9072"/>
        </w:tabs>
        <w:rPr>
          <w:rFonts w:ascii="Verdana" w:hAnsi="Verdana" w:cs="Arial"/>
          <w:iCs/>
          <w:lang w:val="en-GB"/>
        </w:rPr>
      </w:pPr>
    </w:p>
    <w:p w14:paraId="64F9D8D1" w14:textId="1E203431" w:rsidR="00066DCF" w:rsidRPr="00AD5AD8" w:rsidRDefault="00066DCF" w:rsidP="00066DCF">
      <w:pPr>
        <w:pStyle w:val="En-tteheaderprotocols"/>
        <w:tabs>
          <w:tab w:val="clear" w:pos="4536"/>
          <w:tab w:val="clear" w:pos="9072"/>
        </w:tabs>
        <w:rPr>
          <w:rFonts w:ascii="Verdana" w:hAnsi="Verdana" w:cs="Arial"/>
          <w:iCs/>
          <w:lang w:val="en-GB"/>
        </w:rPr>
      </w:pPr>
      <w:r w:rsidRPr="00AD5AD8">
        <w:rPr>
          <w:rFonts w:ascii="Verdana" w:hAnsi="Verdana" w:cs="Arial"/>
          <w:iCs/>
          <w:lang w:val="en-GB"/>
        </w:rPr>
        <w:t>The product does not contain PT6 conservative.</w:t>
      </w:r>
    </w:p>
    <w:p w14:paraId="5FFFAB7B" w14:textId="77777777" w:rsidR="00066DCF" w:rsidRPr="00AD5AD8" w:rsidRDefault="00066DCF" w:rsidP="00066DCF">
      <w:pPr>
        <w:keepNext/>
        <w:tabs>
          <w:tab w:val="left" w:pos="1304"/>
        </w:tabs>
        <w:spacing w:before="240" w:after="60" w:line="240" w:lineRule="atLeast"/>
        <w:outlineLvl w:val="3"/>
        <w:rPr>
          <w:rFonts w:cs="Arial"/>
          <w:szCs w:val="22"/>
        </w:rPr>
      </w:pPr>
      <w:r w:rsidRPr="00AD5AD8">
        <w:rPr>
          <w:rFonts w:cs="Arial"/>
          <w:szCs w:val="22"/>
        </w:rPr>
        <w:t>Formulation type: Another Liquid (AL), ready to use</w:t>
      </w:r>
    </w:p>
    <w:p w14:paraId="6E627A8D" w14:textId="77777777" w:rsidR="00066DCF" w:rsidRPr="00AD5AD8" w:rsidRDefault="00066DCF" w:rsidP="00066DCF">
      <w:pPr>
        <w:pStyle w:val="En-tteheaderprotocols"/>
        <w:tabs>
          <w:tab w:val="clear" w:pos="4536"/>
          <w:tab w:val="clear" w:pos="9072"/>
        </w:tabs>
        <w:rPr>
          <w:rFonts w:ascii="Verdana" w:hAnsi="Verdana" w:cs="Arial"/>
          <w:iCs/>
          <w:lang w:val="en-GB"/>
        </w:rPr>
      </w:pPr>
    </w:p>
    <w:p w14:paraId="53047080" w14:textId="77777777" w:rsidR="00066DCF" w:rsidRPr="00AD5AD8" w:rsidRDefault="00066DCF" w:rsidP="00066DCF">
      <w:pPr>
        <w:pStyle w:val="En-tteheaderprotocols"/>
        <w:tabs>
          <w:tab w:val="clear" w:pos="4536"/>
          <w:tab w:val="clear" w:pos="9072"/>
        </w:tabs>
        <w:rPr>
          <w:rFonts w:ascii="Verdana" w:hAnsi="Verdana" w:cs="Arial"/>
          <w:iCs/>
          <w:lang w:val="en-GB"/>
        </w:rPr>
      </w:pPr>
      <w:r w:rsidRPr="00AD5AD8">
        <w:rPr>
          <w:rFonts w:ascii="Verdana" w:hAnsi="Verdana" w:cs="Arial"/>
          <w:iCs/>
          <w:lang w:val="en-GB"/>
        </w:rPr>
        <w:t>Hydrocarbon and H304 co-formulant content: ≥10%.</w:t>
      </w:r>
    </w:p>
    <w:p w14:paraId="6C5CD350" w14:textId="77777777" w:rsidR="00066DCF" w:rsidRDefault="00066DCF">
      <w:pPr>
        <w:spacing w:line="260" w:lineRule="atLeast"/>
        <w:ind w:left="360"/>
        <w:contextualSpacing/>
        <w:rPr>
          <w:rFonts w:eastAsia="Calibri"/>
          <w:lang w:eastAsia="sv-SE"/>
        </w:rPr>
      </w:pPr>
    </w:p>
    <w:p w14:paraId="402384B8" w14:textId="77777777" w:rsidR="00066DCF" w:rsidRDefault="00066DCF">
      <w:pPr>
        <w:spacing w:line="260" w:lineRule="atLeast"/>
        <w:ind w:left="360"/>
        <w:contextualSpacing/>
        <w:rPr>
          <w:rFonts w:eastAsia="Calibri"/>
          <w:lang w:eastAsia="sv-SE"/>
        </w:rPr>
        <w:sectPr w:rsidR="00066DCF" w:rsidSect="0039605F">
          <w:headerReference w:type="default" r:id="rId16"/>
          <w:footerReference w:type="default" r:id="rId17"/>
          <w:pgSz w:w="11906" w:h="16838"/>
          <w:pgMar w:top="1021" w:right="991" w:bottom="1021" w:left="1418" w:header="709" w:footer="709" w:gutter="0"/>
          <w:cols w:space="708"/>
          <w:docGrid w:linePitch="360"/>
        </w:sectPr>
      </w:pPr>
    </w:p>
    <w:p w14:paraId="2DA76CF9" w14:textId="77777777" w:rsidR="00066DCF" w:rsidRDefault="00066DCF">
      <w:pPr>
        <w:spacing w:line="260" w:lineRule="atLeast"/>
        <w:ind w:left="360"/>
        <w:contextualSpacing/>
        <w:rPr>
          <w:rFonts w:eastAsia="Calibri"/>
          <w:lang w:eastAsia="sv-SE"/>
        </w:rPr>
      </w:pPr>
    </w:p>
    <w:p w14:paraId="0B0C560A" w14:textId="77777777" w:rsidR="00066DCF" w:rsidRPr="00AD5AD8" w:rsidRDefault="00066DCF" w:rsidP="00066DCF">
      <w:pPr>
        <w:keepNext/>
        <w:tabs>
          <w:tab w:val="left" w:pos="1304"/>
        </w:tabs>
        <w:spacing w:before="240" w:after="60" w:line="240" w:lineRule="atLeast"/>
        <w:ind w:left="1304"/>
        <w:outlineLvl w:val="3"/>
        <w:rPr>
          <w:rFonts w:cs="Arial"/>
          <w:b/>
          <w:bCs/>
          <w:szCs w:val="28"/>
        </w:rPr>
      </w:pPr>
      <w:r w:rsidRPr="00AD5AD8">
        <w:rPr>
          <w:b/>
          <w:bCs/>
          <w:szCs w:val="28"/>
        </w:rPr>
        <w:t>Physico-chemical properties</w:t>
      </w: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90"/>
        <w:gridCol w:w="1503"/>
        <w:gridCol w:w="4885"/>
        <w:gridCol w:w="2448"/>
        <w:gridCol w:w="1984"/>
      </w:tblGrid>
      <w:tr w:rsidR="00066DCF" w:rsidRPr="00685696" w14:paraId="4A88C187" w14:textId="77777777" w:rsidTr="00AD5AD8">
        <w:trPr>
          <w:trHeight w:val="233"/>
          <w:tblHeader/>
        </w:trPr>
        <w:tc>
          <w:tcPr>
            <w:tcW w:w="2160" w:type="dxa"/>
            <w:shd w:val="clear" w:color="auto" w:fill="E0E0E0"/>
            <w:vAlign w:val="center"/>
          </w:tcPr>
          <w:p w14:paraId="734D7F58" w14:textId="77777777" w:rsidR="00066DCF" w:rsidRPr="00685696" w:rsidRDefault="00066DCF" w:rsidP="00066DCF">
            <w:pPr>
              <w:rPr>
                <w:rFonts w:cs="Arial"/>
                <w:b/>
                <w:lang w:eastAsia="en-US"/>
              </w:rPr>
            </w:pPr>
            <w:r w:rsidRPr="00685696">
              <w:rPr>
                <w:rFonts w:cs="Arial"/>
                <w:b/>
                <w:lang w:eastAsia="en-US"/>
              </w:rPr>
              <w:t>Property</w:t>
            </w:r>
          </w:p>
        </w:tc>
        <w:tc>
          <w:tcPr>
            <w:tcW w:w="1690" w:type="dxa"/>
            <w:shd w:val="clear" w:color="auto" w:fill="E0E0E0"/>
            <w:vAlign w:val="center"/>
          </w:tcPr>
          <w:p w14:paraId="7F1B3845" w14:textId="77777777" w:rsidR="00066DCF" w:rsidRPr="00685696" w:rsidRDefault="00066DCF" w:rsidP="00066DCF">
            <w:pPr>
              <w:rPr>
                <w:rFonts w:cs="Arial"/>
                <w:b/>
                <w:lang w:eastAsia="en-US"/>
              </w:rPr>
            </w:pPr>
            <w:r w:rsidRPr="00685696">
              <w:rPr>
                <w:rFonts w:cs="Arial"/>
                <w:b/>
                <w:lang w:eastAsia="en-US"/>
              </w:rPr>
              <w:t>Guideline  and Method</w:t>
            </w:r>
          </w:p>
        </w:tc>
        <w:tc>
          <w:tcPr>
            <w:tcW w:w="1503" w:type="dxa"/>
            <w:shd w:val="clear" w:color="auto" w:fill="E0E0E0"/>
            <w:vAlign w:val="center"/>
          </w:tcPr>
          <w:p w14:paraId="524A9F15" w14:textId="77777777" w:rsidR="00066DCF" w:rsidRPr="00685696" w:rsidRDefault="00066DCF" w:rsidP="00066DCF">
            <w:pPr>
              <w:rPr>
                <w:rFonts w:cs="Arial"/>
                <w:b/>
                <w:lang w:eastAsia="en-US"/>
              </w:rPr>
            </w:pPr>
            <w:r w:rsidRPr="00685696">
              <w:rPr>
                <w:rFonts w:cs="Arial"/>
                <w:b/>
                <w:lang w:eastAsia="en-US"/>
              </w:rPr>
              <w:t>Purity of the test substance (% (w/w)</w:t>
            </w:r>
          </w:p>
        </w:tc>
        <w:tc>
          <w:tcPr>
            <w:tcW w:w="4885" w:type="dxa"/>
            <w:shd w:val="clear" w:color="auto" w:fill="E0E0E0"/>
            <w:vAlign w:val="center"/>
          </w:tcPr>
          <w:p w14:paraId="13C5D7C0" w14:textId="77777777" w:rsidR="00066DCF" w:rsidRPr="00685696" w:rsidRDefault="00066DCF" w:rsidP="00066DCF">
            <w:pPr>
              <w:rPr>
                <w:rFonts w:cs="Arial"/>
                <w:b/>
                <w:lang w:eastAsia="en-US"/>
              </w:rPr>
            </w:pPr>
            <w:r w:rsidRPr="00685696">
              <w:rPr>
                <w:rFonts w:cs="Arial"/>
                <w:b/>
                <w:lang w:eastAsia="en-US"/>
              </w:rPr>
              <w:t>Results</w:t>
            </w:r>
          </w:p>
        </w:tc>
        <w:tc>
          <w:tcPr>
            <w:tcW w:w="2448" w:type="dxa"/>
            <w:shd w:val="clear" w:color="auto" w:fill="E0E0E0"/>
            <w:vAlign w:val="center"/>
          </w:tcPr>
          <w:p w14:paraId="27F2A28A" w14:textId="77777777" w:rsidR="00066DCF" w:rsidRPr="00685696" w:rsidRDefault="00066DCF" w:rsidP="00066DCF">
            <w:pPr>
              <w:jc w:val="center"/>
              <w:rPr>
                <w:rFonts w:cs="Arial"/>
                <w:b/>
                <w:lang w:eastAsia="en-US"/>
              </w:rPr>
            </w:pPr>
            <w:r w:rsidRPr="00685696">
              <w:rPr>
                <w:rFonts w:cs="Arial"/>
                <w:b/>
                <w:lang w:eastAsia="en-US"/>
              </w:rPr>
              <w:t>Comments</w:t>
            </w:r>
          </w:p>
        </w:tc>
        <w:tc>
          <w:tcPr>
            <w:tcW w:w="1984" w:type="dxa"/>
            <w:shd w:val="clear" w:color="auto" w:fill="E0E0E0"/>
            <w:vAlign w:val="center"/>
          </w:tcPr>
          <w:p w14:paraId="22524E0B" w14:textId="77777777" w:rsidR="00066DCF" w:rsidRPr="00685696" w:rsidRDefault="00066DCF" w:rsidP="00066DCF">
            <w:pPr>
              <w:rPr>
                <w:rFonts w:cs="Arial"/>
                <w:b/>
                <w:lang w:eastAsia="en-US"/>
              </w:rPr>
            </w:pPr>
            <w:r w:rsidRPr="00685696">
              <w:rPr>
                <w:rFonts w:cs="Arial"/>
                <w:b/>
                <w:lang w:eastAsia="en-US"/>
              </w:rPr>
              <w:t>Reference</w:t>
            </w:r>
          </w:p>
        </w:tc>
      </w:tr>
      <w:tr w:rsidR="00066DCF" w:rsidRPr="00685696" w14:paraId="20752301" w14:textId="77777777" w:rsidTr="00AD5AD8">
        <w:trPr>
          <w:trHeight w:val="233"/>
        </w:trPr>
        <w:tc>
          <w:tcPr>
            <w:tcW w:w="2160" w:type="dxa"/>
          </w:tcPr>
          <w:p w14:paraId="7B754775" w14:textId="77777777" w:rsidR="00066DCF" w:rsidRPr="00685696" w:rsidRDefault="00066DCF" w:rsidP="00066DCF">
            <w:pPr>
              <w:rPr>
                <w:rFonts w:cs="Arial"/>
                <w:lang w:eastAsia="de-DE"/>
              </w:rPr>
            </w:pPr>
            <w:r w:rsidRPr="00685696">
              <w:rPr>
                <w:rFonts w:cs="Arial"/>
                <w:lang w:eastAsia="de-DE"/>
              </w:rPr>
              <w:t>Physical state at 20 °C and 101.3 kPa</w:t>
            </w:r>
          </w:p>
        </w:tc>
        <w:tc>
          <w:tcPr>
            <w:tcW w:w="1690" w:type="dxa"/>
            <w:vMerge w:val="restart"/>
          </w:tcPr>
          <w:p w14:paraId="5D435787" w14:textId="77777777" w:rsidR="00066DCF" w:rsidRPr="00685696" w:rsidRDefault="00066DCF" w:rsidP="00066DCF">
            <w:pPr>
              <w:rPr>
                <w:rFonts w:cs="Arial"/>
                <w:lang w:eastAsia="de-DE"/>
              </w:rPr>
            </w:pPr>
            <w:r w:rsidRPr="00685696">
              <w:rPr>
                <w:rFonts w:eastAsiaTheme="minorHAnsi" w:cs="Arial"/>
                <w:color w:val="000000"/>
                <w:lang w:val="fr-FR" w:eastAsia="en-US"/>
              </w:rPr>
              <w:t>METDESCR</w:t>
            </w:r>
          </w:p>
        </w:tc>
        <w:tc>
          <w:tcPr>
            <w:tcW w:w="1503" w:type="dxa"/>
            <w:vMerge w:val="restart"/>
          </w:tcPr>
          <w:p w14:paraId="7B81B1FA" w14:textId="77777777" w:rsidR="00066DCF" w:rsidRPr="00685696" w:rsidRDefault="00066DCF" w:rsidP="00066DCF">
            <w:pPr>
              <w:rPr>
                <w:rFonts w:cs="Arial"/>
                <w:lang w:eastAsia="de-DE"/>
              </w:rPr>
            </w:pPr>
            <w:r w:rsidRPr="00685696">
              <w:rPr>
                <w:rFonts w:cs="Arial"/>
                <w:lang w:eastAsia="de-DE"/>
              </w:rPr>
              <w:t>X6122B1</w:t>
            </w:r>
          </w:p>
          <w:p w14:paraId="3995BF27" w14:textId="77777777" w:rsidR="00066DCF" w:rsidRPr="00685696" w:rsidRDefault="00066DCF" w:rsidP="00066DCF">
            <w:pPr>
              <w:rPr>
                <w:rFonts w:cs="Arial"/>
                <w:lang w:eastAsia="de-DE"/>
              </w:rPr>
            </w:pPr>
            <w:r w:rsidRPr="00685696">
              <w:rPr>
                <w:rFonts w:cs="Arial"/>
                <w:lang w:eastAsia="de-DE"/>
              </w:rPr>
              <w:t>Lot/batch No.: PaP V 83.2</w:t>
            </w:r>
          </w:p>
          <w:p w14:paraId="40D31468" w14:textId="77777777" w:rsidR="00066DCF" w:rsidRPr="00685696" w:rsidRDefault="00066DCF" w:rsidP="00066DCF">
            <w:pPr>
              <w:rPr>
                <w:rFonts w:cs="Arial"/>
                <w:lang w:eastAsia="de-DE"/>
              </w:rPr>
            </w:pPr>
          </w:p>
          <w:p w14:paraId="7CC2C06E" w14:textId="77777777" w:rsidR="00066DCF" w:rsidRPr="00685696" w:rsidRDefault="00066DCF" w:rsidP="00066DCF">
            <w:pPr>
              <w:rPr>
                <w:rFonts w:cs="Arial"/>
                <w:lang w:eastAsia="de-DE"/>
              </w:rPr>
            </w:pPr>
          </w:p>
        </w:tc>
        <w:tc>
          <w:tcPr>
            <w:tcW w:w="4885" w:type="dxa"/>
          </w:tcPr>
          <w:p w14:paraId="565D3651"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Liquid, transparent, no deposit, no phase partition</w:t>
            </w:r>
          </w:p>
        </w:tc>
        <w:tc>
          <w:tcPr>
            <w:tcW w:w="2448" w:type="dxa"/>
            <w:vMerge w:val="restart"/>
          </w:tcPr>
          <w:p w14:paraId="50F9B317" w14:textId="77777777" w:rsidR="00066DCF" w:rsidRPr="00685696" w:rsidRDefault="00066DCF" w:rsidP="00066DCF">
            <w:pPr>
              <w:rPr>
                <w:rFonts w:cs="Arial"/>
                <w:lang w:eastAsia="de-DE"/>
              </w:rPr>
            </w:pPr>
            <w:r w:rsidRPr="00685696">
              <w:rPr>
                <w:rFonts w:cs="Arial"/>
                <w:lang w:eastAsia="de-DE"/>
              </w:rPr>
              <w:t>Acceptable</w:t>
            </w:r>
          </w:p>
        </w:tc>
        <w:tc>
          <w:tcPr>
            <w:tcW w:w="1984" w:type="dxa"/>
            <w:vMerge w:val="restart"/>
          </w:tcPr>
          <w:p w14:paraId="16586841" w14:textId="77777777" w:rsidR="00066DCF" w:rsidRPr="00685696" w:rsidRDefault="00066DCF" w:rsidP="00066DCF">
            <w:pPr>
              <w:rPr>
                <w:rFonts w:cs="Arial"/>
                <w:lang w:eastAsia="de-DE"/>
              </w:rPr>
            </w:pPr>
            <w:r w:rsidRPr="00685696">
              <w:rPr>
                <w:rFonts w:cs="Arial"/>
                <w:lang w:eastAsia="de-DE"/>
              </w:rPr>
              <w:t>Simon F. 2015</w:t>
            </w:r>
          </w:p>
          <w:p w14:paraId="58A4327F" w14:textId="77777777" w:rsidR="00066DCF" w:rsidRPr="00685696" w:rsidRDefault="00066DCF" w:rsidP="00066DCF">
            <w:pPr>
              <w:rPr>
                <w:rFonts w:cs="Arial"/>
                <w:lang w:eastAsia="de-DE"/>
              </w:rPr>
            </w:pPr>
            <w:r w:rsidRPr="00685696">
              <w:rPr>
                <w:rFonts w:cs="Arial"/>
                <w:lang w:eastAsia="de-DE"/>
              </w:rPr>
              <w:t>150313/PaPV93.8</w:t>
            </w:r>
          </w:p>
          <w:p w14:paraId="2E320469" w14:textId="77777777" w:rsidR="00066DCF" w:rsidRPr="00685696" w:rsidRDefault="00066DCF" w:rsidP="00066DCF">
            <w:pPr>
              <w:rPr>
                <w:rFonts w:cs="Arial"/>
                <w:lang w:eastAsia="de-DE"/>
              </w:rPr>
            </w:pPr>
          </w:p>
          <w:p w14:paraId="4FDFF48E"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Legay S 2015</w:t>
            </w:r>
          </w:p>
          <w:p w14:paraId="5DB5BF34" w14:textId="77777777" w:rsidR="00066DCF" w:rsidRPr="00685696" w:rsidRDefault="00066DCF" w:rsidP="00066DCF">
            <w:pPr>
              <w:rPr>
                <w:rFonts w:cs="Arial"/>
                <w:lang w:eastAsia="de-DE"/>
              </w:rPr>
            </w:pPr>
            <w:r w:rsidRPr="00685696">
              <w:rPr>
                <w:rFonts w:cs="Arial"/>
                <w:bCs/>
              </w:rPr>
              <w:t>402/14/1095F/abc-e</w:t>
            </w:r>
          </w:p>
        </w:tc>
      </w:tr>
      <w:tr w:rsidR="00066DCF" w:rsidRPr="00685696" w14:paraId="2BBC2480" w14:textId="77777777" w:rsidTr="00AD5AD8">
        <w:trPr>
          <w:trHeight w:val="233"/>
        </w:trPr>
        <w:tc>
          <w:tcPr>
            <w:tcW w:w="2160" w:type="dxa"/>
          </w:tcPr>
          <w:p w14:paraId="48CCB388" w14:textId="77777777" w:rsidR="00066DCF" w:rsidRPr="00685696" w:rsidRDefault="00066DCF" w:rsidP="00066DCF">
            <w:pPr>
              <w:rPr>
                <w:rFonts w:cs="Arial"/>
                <w:lang w:eastAsia="de-DE"/>
              </w:rPr>
            </w:pPr>
            <w:r w:rsidRPr="00685696">
              <w:rPr>
                <w:rFonts w:cs="Arial"/>
                <w:lang w:eastAsia="de-DE"/>
              </w:rPr>
              <w:t>Colour at 20 °C and 101.3 kPa</w:t>
            </w:r>
          </w:p>
        </w:tc>
        <w:tc>
          <w:tcPr>
            <w:tcW w:w="1690" w:type="dxa"/>
            <w:vMerge/>
          </w:tcPr>
          <w:p w14:paraId="70103DE6" w14:textId="77777777" w:rsidR="00066DCF" w:rsidRPr="00685696" w:rsidRDefault="00066DCF" w:rsidP="00066DCF">
            <w:pPr>
              <w:rPr>
                <w:rFonts w:cs="Arial"/>
                <w:lang w:eastAsia="de-DE"/>
              </w:rPr>
            </w:pPr>
          </w:p>
        </w:tc>
        <w:tc>
          <w:tcPr>
            <w:tcW w:w="1503" w:type="dxa"/>
            <w:vMerge/>
          </w:tcPr>
          <w:p w14:paraId="3A23840F" w14:textId="77777777" w:rsidR="00066DCF" w:rsidRPr="00685696" w:rsidRDefault="00066DCF" w:rsidP="00066DCF">
            <w:pPr>
              <w:rPr>
                <w:rFonts w:cs="Arial"/>
                <w:lang w:eastAsia="de-DE"/>
              </w:rPr>
            </w:pPr>
          </w:p>
        </w:tc>
        <w:tc>
          <w:tcPr>
            <w:tcW w:w="4885" w:type="dxa"/>
          </w:tcPr>
          <w:p w14:paraId="7F8E15AD"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pale yellow, transparent at initial time and yellow, transparent</w:t>
            </w:r>
          </w:p>
        </w:tc>
        <w:tc>
          <w:tcPr>
            <w:tcW w:w="2448" w:type="dxa"/>
            <w:vMerge/>
          </w:tcPr>
          <w:p w14:paraId="08E29313" w14:textId="77777777" w:rsidR="00066DCF" w:rsidRPr="00685696" w:rsidRDefault="00066DCF" w:rsidP="00066DCF">
            <w:pPr>
              <w:rPr>
                <w:rFonts w:cs="Arial"/>
                <w:lang w:eastAsia="de-DE"/>
              </w:rPr>
            </w:pPr>
          </w:p>
        </w:tc>
        <w:tc>
          <w:tcPr>
            <w:tcW w:w="1984" w:type="dxa"/>
            <w:vMerge/>
          </w:tcPr>
          <w:p w14:paraId="7730F1E0" w14:textId="77777777" w:rsidR="00066DCF" w:rsidRPr="00685696" w:rsidRDefault="00066DCF" w:rsidP="00066DCF">
            <w:pPr>
              <w:rPr>
                <w:rFonts w:cs="Arial"/>
                <w:lang w:eastAsia="de-DE"/>
              </w:rPr>
            </w:pPr>
          </w:p>
        </w:tc>
      </w:tr>
      <w:tr w:rsidR="00066DCF" w:rsidRPr="00685696" w14:paraId="290FE785" w14:textId="77777777" w:rsidTr="00AD5AD8">
        <w:trPr>
          <w:trHeight w:val="233"/>
        </w:trPr>
        <w:tc>
          <w:tcPr>
            <w:tcW w:w="2160" w:type="dxa"/>
          </w:tcPr>
          <w:p w14:paraId="6BD0FB5E" w14:textId="77777777" w:rsidR="00066DCF" w:rsidRPr="00685696" w:rsidRDefault="00066DCF" w:rsidP="00066DCF">
            <w:pPr>
              <w:rPr>
                <w:rFonts w:cs="Arial"/>
                <w:lang w:eastAsia="de-DE"/>
              </w:rPr>
            </w:pPr>
            <w:r w:rsidRPr="00685696">
              <w:rPr>
                <w:rFonts w:cs="Arial"/>
                <w:lang w:eastAsia="de-DE"/>
              </w:rPr>
              <w:t>Odour at 20 °C and 101.3 kPa</w:t>
            </w:r>
          </w:p>
        </w:tc>
        <w:tc>
          <w:tcPr>
            <w:tcW w:w="1690" w:type="dxa"/>
            <w:vMerge/>
          </w:tcPr>
          <w:p w14:paraId="4B48402E" w14:textId="77777777" w:rsidR="00066DCF" w:rsidRPr="00685696" w:rsidRDefault="00066DCF" w:rsidP="00066DCF">
            <w:pPr>
              <w:rPr>
                <w:rFonts w:cs="Arial"/>
                <w:lang w:eastAsia="de-DE"/>
              </w:rPr>
            </w:pPr>
          </w:p>
        </w:tc>
        <w:tc>
          <w:tcPr>
            <w:tcW w:w="1503" w:type="dxa"/>
            <w:vMerge/>
          </w:tcPr>
          <w:p w14:paraId="2DD30871" w14:textId="77777777" w:rsidR="00066DCF" w:rsidRPr="00685696" w:rsidRDefault="00066DCF" w:rsidP="00066DCF">
            <w:pPr>
              <w:rPr>
                <w:rFonts w:cs="Arial"/>
                <w:lang w:eastAsia="de-DE"/>
              </w:rPr>
            </w:pPr>
          </w:p>
        </w:tc>
        <w:tc>
          <w:tcPr>
            <w:tcW w:w="4885" w:type="dxa"/>
          </w:tcPr>
          <w:p w14:paraId="13F7A7D4"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White spirit like odour</w:t>
            </w:r>
          </w:p>
        </w:tc>
        <w:tc>
          <w:tcPr>
            <w:tcW w:w="2448" w:type="dxa"/>
            <w:vMerge/>
          </w:tcPr>
          <w:p w14:paraId="1EEE1C27" w14:textId="77777777" w:rsidR="00066DCF" w:rsidRPr="00685696" w:rsidRDefault="00066DCF" w:rsidP="00066DCF">
            <w:pPr>
              <w:rPr>
                <w:rFonts w:cs="Arial"/>
                <w:lang w:eastAsia="de-DE"/>
              </w:rPr>
            </w:pPr>
          </w:p>
        </w:tc>
        <w:tc>
          <w:tcPr>
            <w:tcW w:w="1984" w:type="dxa"/>
            <w:vMerge/>
          </w:tcPr>
          <w:p w14:paraId="2FBAB71F" w14:textId="77777777" w:rsidR="00066DCF" w:rsidRPr="00685696" w:rsidRDefault="00066DCF" w:rsidP="00066DCF">
            <w:pPr>
              <w:rPr>
                <w:rFonts w:cs="Arial"/>
                <w:lang w:eastAsia="de-DE"/>
              </w:rPr>
            </w:pPr>
          </w:p>
        </w:tc>
      </w:tr>
      <w:tr w:rsidR="00066DCF" w:rsidRPr="00685696" w14:paraId="263E329C" w14:textId="77777777" w:rsidTr="00AD5AD8">
        <w:trPr>
          <w:trHeight w:val="233"/>
        </w:trPr>
        <w:tc>
          <w:tcPr>
            <w:tcW w:w="2160" w:type="dxa"/>
          </w:tcPr>
          <w:p w14:paraId="6231A930" w14:textId="77777777" w:rsidR="00066DCF" w:rsidRPr="00685696" w:rsidRDefault="00066DCF" w:rsidP="00066DCF">
            <w:pPr>
              <w:rPr>
                <w:rFonts w:cs="Arial"/>
                <w:lang w:eastAsia="de-DE"/>
              </w:rPr>
            </w:pPr>
            <w:r w:rsidRPr="00685696">
              <w:rPr>
                <w:rFonts w:cs="Arial"/>
                <w:lang w:eastAsia="de-DE"/>
              </w:rPr>
              <w:t>Acidity / alkalinity</w:t>
            </w:r>
          </w:p>
        </w:tc>
        <w:tc>
          <w:tcPr>
            <w:tcW w:w="1690" w:type="dxa"/>
          </w:tcPr>
          <w:p w14:paraId="26348868" w14:textId="77777777" w:rsidR="00066DCF" w:rsidRPr="00685696" w:rsidRDefault="00066DCF" w:rsidP="00066DCF">
            <w:pPr>
              <w:rPr>
                <w:rFonts w:cs="Arial"/>
                <w:lang w:eastAsia="de-DE"/>
              </w:rPr>
            </w:pPr>
          </w:p>
        </w:tc>
        <w:tc>
          <w:tcPr>
            <w:tcW w:w="1503" w:type="dxa"/>
          </w:tcPr>
          <w:p w14:paraId="4861BBD2" w14:textId="77777777" w:rsidR="00066DCF" w:rsidRPr="00685696" w:rsidRDefault="00066DCF" w:rsidP="00066DCF">
            <w:pPr>
              <w:rPr>
                <w:rFonts w:cs="Arial"/>
                <w:lang w:eastAsia="de-DE"/>
              </w:rPr>
            </w:pPr>
          </w:p>
        </w:tc>
        <w:tc>
          <w:tcPr>
            <w:tcW w:w="4885" w:type="dxa"/>
          </w:tcPr>
          <w:p w14:paraId="686F5069" w14:textId="77777777" w:rsidR="00066DCF" w:rsidRPr="00685696" w:rsidRDefault="00066DCF" w:rsidP="00066DCF">
            <w:pPr>
              <w:rPr>
                <w:rFonts w:cs="Arial"/>
                <w:lang w:eastAsia="de-DE"/>
              </w:rPr>
            </w:pPr>
            <w:r w:rsidRPr="00685696">
              <w:rPr>
                <w:rFonts w:cs="Arial"/>
                <w:lang w:eastAsia="de-DE"/>
              </w:rPr>
              <w:t>Not required as X6122B1 is a non-aqueous ready-to-use product.</w:t>
            </w:r>
          </w:p>
        </w:tc>
        <w:tc>
          <w:tcPr>
            <w:tcW w:w="2448" w:type="dxa"/>
          </w:tcPr>
          <w:p w14:paraId="116CC648"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Acceptable. Not required for non-aqueous liquid which are not applied as dilution.</w:t>
            </w:r>
          </w:p>
        </w:tc>
        <w:tc>
          <w:tcPr>
            <w:tcW w:w="1984" w:type="dxa"/>
          </w:tcPr>
          <w:p w14:paraId="14FF6E7B" w14:textId="77777777" w:rsidR="00066DCF" w:rsidRPr="00685696" w:rsidRDefault="00066DCF" w:rsidP="00066DCF">
            <w:pPr>
              <w:keepNext/>
              <w:tabs>
                <w:tab w:val="left" w:pos="1304"/>
              </w:tabs>
              <w:spacing w:after="60" w:line="240" w:lineRule="atLeast"/>
              <w:outlineLvl w:val="3"/>
              <w:rPr>
                <w:rFonts w:cs="Arial"/>
                <w:bCs/>
              </w:rPr>
            </w:pPr>
          </w:p>
        </w:tc>
      </w:tr>
      <w:tr w:rsidR="00066DCF" w:rsidRPr="00685696" w14:paraId="310F63CC" w14:textId="77777777" w:rsidTr="00AD5AD8">
        <w:trPr>
          <w:trHeight w:val="233"/>
        </w:trPr>
        <w:tc>
          <w:tcPr>
            <w:tcW w:w="2160" w:type="dxa"/>
            <w:tcBorders>
              <w:top w:val="single" w:sz="4" w:space="0" w:color="auto"/>
              <w:left w:val="single" w:sz="4" w:space="0" w:color="auto"/>
              <w:bottom w:val="single" w:sz="4" w:space="0" w:color="auto"/>
              <w:right w:val="single" w:sz="4" w:space="0" w:color="auto"/>
            </w:tcBorders>
          </w:tcPr>
          <w:p w14:paraId="3B2860EA" w14:textId="77777777" w:rsidR="00066DCF" w:rsidRPr="00685696" w:rsidRDefault="00066DCF" w:rsidP="00066DCF">
            <w:pPr>
              <w:rPr>
                <w:rFonts w:cs="Arial"/>
                <w:lang w:eastAsia="de-DE"/>
              </w:rPr>
            </w:pPr>
            <w:bookmarkStart w:id="79" w:name="_Toc244336298"/>
            <w:r w:rsidRPr="00685696">
              <w:rPr>
                <w:rFonts w:cs="Arial"/>
                <w:lang w:eastAsia="de-DE"/>
              </w:rPr>
              <w:t>Relative density / bulk density</w:t>
            </w:r>
            <w:bookmarkEnd w:id="79"/>
          </w:p>
        </w:tc>
        <w:tc>
          <w:tcPr>
            <w:tcW w:w="1690" w:type="dxa"/>
            <w:tcBorders>
              <w:top w:val="single" w:sz="4" w:space="0" w:color="auto"/>
              <w:left w:val="single" w:sz="4" w:space="0" w:color="auto"/>
              <w:bottom w:val="single" w:sz="4" w:space="0" w:color="auto"/>
              <w:right w:val="single" w:sz="4" w:space="0" w:color="auto"/>
            </w:tcBorders>
          </w:tcPr>
          <w:p w14:paraId="171ACD79" w14:textId="77777777" w:rsidR="00066DCF" w:rsidRPr="00685696" w:rsidRDefault="00066DCF" w:rsidP="00066DCF">
            <w:pPr>
              <w:pStyle w:val="Default"/>
              <w:jc w:val="center"/>
              <w:rPr>
                <w:rFonts w:ascii="Verdana" w:hAnsi="Verdana" w:cs="Arial"/>
                <w:sz w:val="20"/>
                <w:szCs w:val="20"/>
              </w:rPr>
            </w:pPr>
            <w:r w:rsidRPr="00685696">
              <w:rPr>
                <w:rFonts w:ascii="Verdana" w:hAnsi="Verdana" w:cs="Arial"/>
                <w:sz w:val="20"/>
                <w:szCs w:val="20"/>
              </w:rPr>
              <w:t>OECD 109</w:t>
            </w:r>
          </w:p>
          <w:p w14:paraId="7A4953F9" w14:textId="77777777" w:rsidR="00066DCF" w:rsidRPr="00685696" w:rsidRDefault="00066DCF" w:rsidP="00066DCF">
            <w:pPr>
              <w:keepNext/>
              <w:tabs>
                <w:tab w:val="left" w:pos="1304"/>
              </w:tabs>
              <w:spacing w:after="60" w:line="240" w:lineRule="atLeast"/>
              <w:jc w:val="center"/>
              <w:outlineLvl w:val="3"/>
              <w:rPr>
                <w:rFonts w:cs="Arial"/>
                <w:b/>
                <w:bCs/>
              </w:rPr>
            </w:pPr>
          </w:p>
        </w:tc>
        <w:tc>
          <w:tcPr>
            <w:tcW w:w="1503" w:type="dxa"/>
            <w:tcBorders>
              <w:top w:val="single" w:sz="4" w:space="0" w:color="auto"/>
              <w:left w:val="single" w:sz="4" w:space="0" w:color="auto"/>
              <w:bottom w:val="single" w:sz="4" w:space="0" w:color="auto"/>
              <w:right w:val="single" w:sz="4" w:space="0" w:color="auto"/>
            </w:tcBorders>
          </w:tcPr>
          <w:p w14:paraId="6A27806C" w14:textId="77777777" w:rsidR="00066DCF" w:rsidRPr="00685696" w:rsidRDefault="00066DCF" w:rsidP="00066DCF">
            <w:pPr>
              <w:rPr>
                <w:rFonts w:cs="Arial"/>
                <w:lang w:eastAsia="de-DE"/>
              </w:rPr>
            </w:pPr>
            <w:r w:rsidRPr="00685696">
              <w:rPr>
                <w:rFonts w:cs="Arial"/>
                <w:lang w:eastAsia="de-DE"/>
              </w:rPr>
              <w:t>X6122B1</w:t>
            </w:r>
          </w:p>
          <w:p w14:paraId="0876B0F0" w14:textId="77777777" w:rsidR="00066DCF" w:rsidRPr="00685696" w:rsidRDefault="00066DCF" w:rsidP="00066DCF">
            <w:pPr>
              <w:rPr>
                <w:rFonts w:cs="Arial"/>
                <w:lang w:eastAsia="de-DE"/>
              </w:rPr>
            </w:pPr>
            <w:r w:rsidRPr="00685696">
              <w:rPr>
                <w:rFonts w:cs="Arial"/>
                <w:lang w:eastAsia="de-DE"/>
              </w:rPr>
              <w:t>Lot/batch No.: PaP V 83.2</w:t>
            </w:r>
          </w:p>
          <w:p w14:paraId="4C6EAAC6" w14:textId="77777777" w:rsidR="00066DCF" w:rsidRPr="00685696" w:rsidRDefault="00066DCF" w:rsidP="00066DCF">
            <w:pPr>
              <w:keepNext/>
              <w:tabs>
                <w:tab w:val="left" w:pos="1304"/>
              </w:tabs>
              <w:spacing w:after="60" w:line="240" w:lineRule="atLeast"/>
              <w:outlineLvl w:val="3"/>
              <w:rPr>
                <w:rFonts w:cs="Arial"/>
                <w:b/>
                <w:bCs/>
              </w:rPr>
            </w:pPr>
          </w:p>
        </w:tc>
        <w:tc>
          <w:tcPr>
            <w:tcW w:w="4885" w:type="dxa"/>
            <w:tcBorders>
              <w:top w:val="single" w:sz="4" w:space="0" w:color="auto"/>
              <w:left w:val="single" w:sz="4" w:space="0" w:color="auto"/>
              <w:bottom w:val="single" w:sz="4" w:space="0" w:color="auto"/>
              <w:right w:val="single" w:sz="4" w:space="0" w:color="auto"/>
            </w:tcBorders>
          </w:tcPr>
          <w:p w14:paraId="4C9A41A0"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According to OECD No.109 (pycnometers method), the mean relative density of X6122B1 was:</w:t>
            </w:r>
          </w:p>
          <w:p w14:paraId="54D46CD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D (21.3°C / 4°C) = 0.803</w:t>
            </w:r>
          </w:p>
        </w:tc>
        <w:tc>
          <w:tcPr>
            <w:tcW w:w="2448" w:type="dxa"/>
            <w:tcBorders>
              <w:top w:val="single" w:sz="4" w:space="0" w:color="auto"/>
              <w:left w:val="single" w:sz="4" w:space="0" w:color="auto"/>
              <w:bottom w:val="single" w:sz="4" w:space="0" w:color="auto"/>
              <w:right w:val="single" w:sz="4" w:space="0" w:color="auto"/>
            </w:tcBorders>
          </w:tcPr>
          <w:p w14:paraId="74606C83"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w:t>
            </w:r>
          </w:p>
        </w:tc>
        <w:tc>
          <w:tcPr>
            <w:tcW w:w="1984" w:type="dxa"/>
            <w:tcBorders>
              <w:top w:val="single" w:sz="4" w:space="0" w:color="auto"/>
              <w:left w:val="single" w:sz="4" w:space="0" w:color="auto"/>
              <w:bottom w:val="single" w:sz="4" w:space="0" w:color="auto"/>
              <w:right w:val="single" w:sz="4" w:space="0" w:color="auto"/>
            </w:tcBorders>
          </w:tcPr>
          <w:p w14:paraId="322FD9D2"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Legay S 2015</w:t>
            </w:r>
          </w:p>
          <w:p w14:paraId="70C42D6B" w14:textId="77777777" w:rsidR="00066DCF" w:rsidRPr="00685696" w:rsidRDefault="00066DCF" w:rsidP="00066DCF">
            <w:pPr>
              <w:rPr>
                <w:rFonts w:cs="Arial"/>
                <w:lang w:eastAsia="de-DE"/>
              </w:rPr>
            </w:pPr>
            <w:r w:rsidRPr="00685696">
              <w:rPr>
                <w:rFonts w:cs="Arial"/>
                <w:bCs/>
              </w:rPr>
              <w:t>402/14/1095F/abc-e</w:t>
            </w:r>
          </w:p>
        </w:tc>
      </w:tr>
      <w:tr w:rsidR="00066DCF" w:rsidRPr="00685696" w14:paraId="36C942DA" w14:textId="77777777" w:rsidTr="00AD5AD8">
        <w:trPr>
          <w:trHeight w:val="212"/>
        </w:trPr>
        <w:tc>
          <w:tcPr>
            <w:tcW w:w="2160" w:type="dxa"/>
          </w:tcPr>
          <w:p w14:paraId="367461C0" w14:textId="77777777" w:rsidR="00066DCF" w:rsidRPr="00685696" w:rsidRDefault="00066DCF" w:rsidP="00066DCF">
            <w:pPr>
              <w:rPr>
                <w:rFonts w:cs="Arial"/>
                <w:lang w:eastAsia="de-DE"/>
              </w:rPr>
            </w:pPr>
            <w:r w:rsidRPr="00685696">
              <w:rPr>
                <w:rFonts w:cs="Arial"/>
                <w:lang w:eastAsia="de-DE"/>
              </w:rPr>
              <w:lastRenderedPageBreak/>
              <w:t xml:space="preserve">Storage stability test – </w:t>
            </w:r>
            <w:r w:rsidRPr="00685696">
              <w:rPr>
                <w:rFonts w:cs="Arial"/>
                <w:b/>
                <w:lang w:eastAsia="de-DE"/>
              </w:rPr>
              <w:t>accelerated storage</w:t>
            </w:r>
          </w:p>
        </w:tc>
        <w:tc>
          <w:tcPr>
            <w:tcW w:w="1690" w:type="dxa"/>
          </w:tcPr>
          <w:p w14:paraId="29D6D805" w14:textId="77777777" w:rsidR="00066DCF" w:rsidRPr="00685696" w:rsidRDefault="00066DCF" w:rsidP="00066DCF">
            <w:pPr>
              <w:pStyle w:val="Default"/>
              <w:jc w:val="both"/>
              <w:rPr>
                <w:rFonts w:ascii="Verdana" w:hAnsi="Verdana" w:cs="Arial"/>
                <w:sz w:val="20"/>
                <w:szCs w:val="20"/>
                <w:lang w:val="en-US"/>
              </w:rPr>
            </w:pPr>
            <w:r w:rsidRPr="00685696">
              <w:rPr>
                <w:rFonts w:ascii="Verdana" w:hAnsi="Verdana" w:cs="Arial"/>
                <w:sz w:val="20"/>
                <w:szCs w:val="20"/>
                <w:lang w:val="en-US"/>
              </w:rPr>
              <w:t xml:space="preserve">CIPAC MT 46.3 </w:t>
            </w:r>
          </w:p>
          <w:p w14:paraId="322A066B" w14:textId="77777777" w:rsidR="00066DCF" w:rsidRPr="00685696" w:rsidRDefault="00066DCF" w:rsidP="00066DCF">
            <w:pPr>
              <w:keepNext/>
              <w:tabs>
                <w:tab w:val="left" w:pos="1304"/>
              </w:tabs>
              <w:spacing w:after="60" w:line="240" w:lineRule="atLeast"/>
              <w:outlineLvl w:val="3"/>
              <w:rPr>
                <w:rFonts w:cs="Arial"/>
              </w:rPr>
            </w:pPr>
            <w:r w:rsidRPr="00685696">
              <w:rPr>
                <w:rFonts w:cs="Arial"/>
              </w:rPr>
              <w:t xml:space="preserve">(8 weeks at 40 ± 2ºC in commercial packaging) </w:t>
            </w:r>
          </w:p>
          <w:p w14:paraId="1144FF1B" w14:textId="024DA723" w:rsidR="00066DCF" w:rsidRPr="00685696" w:rsidRDefault="00066DCF" w:rsidP="00066DCF">
            <w:pPr>
              <w:keepNext/>
              <w:tabs>
                <w:tab w:val="left" w:pos="1304"/>
              </w:tabs>
              <w:spacing w:after="60" w:line="240" w:lineRule="atLeast"/>
              <w:outlineLvl w:val="3"/>
              <w:rPr>
                <w:rFonts w:cs="Arial"/>
                <w:b/>
                <w:bCs/>
              </w:rPr>
            </w:pPr>
            <w:r w:rsidRPr="00685696">
              <w:rPr>
                <w:rFonts w:cs="Arial"/>
              </w:rPr>
              <w:t>Analytical method validated in report 402/13/1139F/ab-e (see point 2.2.3)</w:t>
            </w:r>
            <w:r w:rsidR="00ED4060">
              <w:rPr>
                <w:rFonts w:cs="Arial"/>
              </w:rPr>
              <w:t xml:space="preserve"> and 635281-1 (for PBC</w:t>
            </w:r>
            <w:r w:rsidR="00973211">
              <w:rPr>
                <w:rFonts w:cs="Arial"/>
              </w:rPr>
              <w:t xml:space="preserve"> but not sufficiently validated</w:t>
            </w:r>
            <w:r w:rsidR="00ED4060">
              <w:rPr>
                <w:rFonts w:cs="Arial"/>
              </w:rPr>
              <w:t>)</w:t>
            </w:r>
          </w:p>
        </w:tc>
        <w:tc>
          <w:tcPr>
            <w:tcW w:w="1503" w:type="dxa"/>
          </w:tcPr>
          <w:p w14:paraId="1EFB662F" w14:textId="77777777" w:rsidR="00066DCF" w:rsidRPr="00685696" w:rsidRDefault="00066DCF" w:rsidP="00066DCF">
            <w:pPr>
              <w:rPr>
                <w:rFonts w:cs="Arial"/>
                <w:lang w:eastAsia="de-DE"/>
              </w:rPr>
            </w:pPr>
            <w:r w:rsidRPr="00685696">
              <w:rPr>
                <w:rFonts w:cs="Arial"/>
                <w:lang w:eastAsia="de-DE"/>
              </w:rPr>
              <w:t>X6122B1</w:t>
            </w:r>
          </w:p>
          <w:p w14:paraId="2D8BD578" w14:textId="77777777" w:rsidR="00066DCF" w:rsidRPr="00685696" w:rsidRDefault="00066DCF" w:rsidP="00066DCF">
            <w:pPr>
              <w:rPr>
                <w:rFonts w:cs="Arial"/>
                <w:lang w:eastAsia="de-DE"/>
              </w:rPr>
            </w:pPr>
            <w:r w:rsidRPr="00685696">
              <w:rPr>
                <w:rFonts w:cs="Arial"/>
                <w:lang w:eastAsia="de-DE"/>
              </w:rPr>
              <w:t>Lot/batch No.: PaP V 83.2</w:t>
            </w:r>
          </w:p>
          <w:p w14:paraId="68891F81" w14:textId="77777777" w:rsidR="00066DCF" w:rsidRPr="00685696" w:rsidRDefault="00066DCF" w:rsidP="00066DCF">
            <w:pPr>
              <w:keepNext/>
              <w:tabs>
                <w:tab w:val="left" w:pos="1304"/>
              </w:tabs>
              <w:spacing w:after="60" w:line="240" w:lineRule="atLeast"/>
              <w:outlineLvl w:val="3"/>
              <w:rPr>
                <w:rFonts w:cs="Arial"/>
                <w:b/>
                <w:bCs/>
              </w:rPr>
            </w:pPr>
          </w:p>
        </w:tc>
        <w:tc>
          <w:tcPr>
            <w:tcW w:w="4885" w:type="dxa"/>
          </w:tcPr>
          <w:p w14:paraId="6F8A7991"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Packaging: 5L in HDPE and 1 L bottle in metal without lacquer</w:t>
            </w:r>
          </w:p>
          <w:p w14:paraId="2E66AA7C"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product X6122B1 was found to be a pale yellow, transparent liquid at initial time and a yellow, transparent liquid after 8 weeks at 40 ± 2°C. No deposit or phase partition was observed after 8 weeks at 40 ± 2°C. The appearance of X6122B1 was considered to be stable after an accelerated storage procedure at 40 ± 2°C for 8 weeks.</w:t>
            </w:r>
          </w:p>
          <w:p w14:paraId="33A725CC"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appearance of the packaging materials (5 L bottle in HDPE and 1 L bottle in metal) were considered to be stable after an accelerated storage procedure for 8 weeks at 40 ± 2°C. No significant weight change were observed (-1.8% for the HDPE packaging and -1.2% for the metal packaging). No sign of corrosion were noted.</w:t>
            </w:r>
          </w:p>
          <w:p w14:paraId="2E61D947"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MASS CHANGES</w:t>
            </w:r>
          </w:p>
          <w:p w14:paraId="7AD94E4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Initial total mass (product + packaging): 4376 g for the HDPE packaging, 857.27 g for the metal packaging</w:t>
            </w:r>
          </w:p>
          <w:p w14:paraId="7D9D2A0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Mass at sampling (product + packaging): after storage: 4297 g for the HDPE packaging, 847.37 g for the metal packaging</w:t>
            </w:r>
          </w:p>
          <w:p w14:paraId="11620A6A" w14:textId="77777777" w:rsidR="00066DCF" w:rsidRPr="00685696" w:rsidRDefault="00066DCF" w:rsidP="00066DCF">
            <w:pPr>
              <w:keepNext/>
              <w:tabs>
                <w:tab w:val="left" w:pos="1304"/>
              </w:tabs>
              <w:spacing w:after="60" w:line="240" w:lineRule="atLeast"/>
              <w:outlineLvl w:val="3"/>
              <w:rPr>
                <w:rFonts w:cs="Arial"/>
                <w:bCs/>
              </w:rPr>
            </w:pPr>
          </w:p>
          <w:p w14:paraId="79363D13"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cypermethrin content was 0.074% w/w at initial time and 0.073% w/w after 8 weeks at 40 ± 2°C.</w:t>
            </w:r>
          </w:p>
          <w:p w14:paraId="30D2076D"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The IPBC content was 0052% w/w at initial time and 0.040% w/w after 8 weeks at 40 ± 2°C. </w:t>
            </w:r>
          </w:p>
          <w:p w14:paraId="0473AE74"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The tebuconazole content was 0.049% w/w at initial time and 0.049% w/w after 8 weeks at 40 ± 2°C. </w:t>
            </w:r>
          </w:p>
          <w:p w14:paraId="64F8410D"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lastRenderedPageBreak/>
              <w:t xml:space="preserve">The propiconazole content was 0.159% w/w at initial time and 0.160% w/w after 8 weeks at 40 ± 2°C. </w:t>
            </w:r>
          </w:p>
          <w:p w14:paraId="3A47FCCA" w14:textId="77777777" w:rsidR="00066DCF" w:rsidRDefault="00066DCF">
            <w:pPr>
              <w:keepNext/>
              <w:tabs>
                <w:tab w:val="left" w:pos="1304"/>
              </w:tabs>
              <w:spacing w:after="60" w:line="240" w:lineRule="atLeast"/>
              <w:outlineLvl w:val="3"/>
              <w:rPr>
                <w:rFonts w:cs="Arial"/>
                <w:bCs/>
              </w:rPr>
            </w:pPr>
            <w:r w:rsidRPr="00685696">
              <w:rPr>
                <w:rFonts w:cs="Arial"/>
                <w:bCs/>
              </w:rPr>
              <w:t>With a variation of -1.4% for cypermethrin, no variation for tebuconazole and a variation of +0.6% for propiconazole vs. the values at initial time, the test item was considered to be stable after the accelerated storage procedure. The variation was - 23.1% for IPBC.  PBC was identified as degradation product.</w:t>
            </w:r>
          </w:p>
          <w:p w14:paraId="76B9B7A8" w14:textId="77777777" w:rsidR="002A51CD" w:rsidRDefault="002A51CD">
            <w:pPr>
              <w:keepNext/>
              <w:tabs>
                <w:tab w:val="left" w:pos="1304"/>
              </w:tabs>
              <w:spacing w:after="60" w:line="240" w:lineRule="atLeast"/>
              <w:outlineLvl w:val="3"/>
              <w:rPr>
                <w:rFonts w:cs="Arial"/>
                <w:bCs/>
              </w:rPr>
            </w:pPr>
          </w:p>
          <w:p w14:paraId="4DC7A5E9" w14:textId="5855E1DC" w:rsidR="002A51CD" w:rsidRDefault="002A51CD" w:rsidP="002A51CD">
            <w:pPr>
              <w:keepNext/>
              <w:tabs>
                <w:tab w:val="left" w:pos="1304"/>
              </w:tabs>
              <w:spacing w:after="60" w:line="240" w:lineRule="atLeast"/>
              <w:outlineLvl w:val="3"/>
              <w:rPr>
                <w:rFonts w:cs="Arial"/>
                <w:bCs/>
              </w:rPr>
            </w:pPr>
            <w:r>
              <w:rPr>
                <w:rFonts w:cs="Arial"/>
                <w:bCs/>
              </w:rPr>
              <w:t>Determination of degradation product from IPBC has been performed</w:t>
            </w:r>
            <w:r w:rsidR="00E90A23">
              <w:rPr>
                <w:rFonts w:cs="Arial"/>
                <w:bCs/>
              </w:rPr>
              <w:t xml:space="preserve"> in report </w:t>
            </w:r>
            <w:r w:rsidR="00E90A23">
              <w:rPr>
                <w:rFonts w:cs="Arial"/>
                <w:bCs/>
                <w:lang w:val="pt-PT"/>
              </w:rPr>
              <w:t>M. Klamer 2016:</w:t>
            </w:r>
          </w:p>
          <w:p w14:paraId="7F34BB79" w14:textId="77777777" w:rsidR="002A51CD" w:rsidRDefault="002A51CD" w:rsidP="002A51CD">
            <w:pPr>
              <w:keepNext/>
              <w:tabs>
                <w:tab w:val="left" w:pos="1304"/>
              </w:tabs>
              <w:spacing w:after="60" w:line="240" w:lineRule="atLeast"/>
              <w:outlineLvl w:val="3"/>
              <w:rPr>
                <w:rFonts w:cs="Arial"/>
                <w:bCs/>
              </w:rPr>
            </w:pPr>
            <w:r>
              <w:rPr>
                <w:rFonts w:cs="Arial"/>
                <w:bCs/>
              </w:rPr>
              <w:t>Before storage: 0.052% w/w IPBC and no PCB found (&lt;LOQ)</w:t>
            </w:r>
          </w:p>
          <w:p w14:paraId="30B53F59" w14:textId="25091D60" w:rsidR="002A51CD" w:rsidRPr="00685696" w:rsidRDefault="002A51CD" w:rsidP="002A51CD">
            <w:pPr>
              <w:keepNext/>
              <w:tabs>
                <w:tab w:val="left" w:pos="1304"/>
              </w:tabs>
              <w:spacing w:after="60" w:line="240" w:lineRule="atLeast"/>
              <w:outlineLvl w:val="3"/>
              <w:rPr>
                <w:rFonts w:cs="Arial"/>
                <w:bCs/>
              </w:rPr>
            </w:pPr>
            <w:r>
              <w:rPr>
                <w:rFonts w:cs="Arial"/>
                <w:bCs/>
              </w:rPr>
              <w:t>After storage: 0.038% w/w IPBC and 0.011% PBC</w:t>
            </w:r>
          </w:p>
        </w:tc>
        <w:tc>
          <w:tcPr>
            <w:tcW w:w="2448" w:type="dxa"/>
          </w:tcPr>
          <w:p w14:paraId="344BF919" w14:textId="77777777" w:rsidR="00066DCF" w:rsidRPr="00B100F1" w:rsidRDefault="00066DCF" w:rsidP="00066DCF">
            <w:pPr>
              <w:keepNext/>
              <w:tabs>
                <w:tab w:val="left" w:pos="1304"/>
              </w:tabs>
              <w:spacing w:after="60" w:line="240" w:lineRule="atLeast"/>
              <w:outlineLvl w:val="3"/>
              <w:rPr>
                <w:rFonts w:cs="Arial"/>
                <w:bCs/>
              </w:rPr>
            </w:pPr>
            <w:r w:rsidRPr="00B100F1">
              <w:rPr>
                <w:rFonts w:cs="Arial"/>
                <w:bCs/>
              </w:rPr>
              <w:lastRenderedPageBreak/>
              <w:t>The product compatible with metal box and HDPE container.</w:t>
            </w:r>
          </w:p>
          <w:p w14:paraId="103F7F1F" w14:textId="4D7C56DE" w:rsidR="002A51CD" w:rsidRPr="00B100F1" w:rsidRDefault="00066DCF" w:rsidP="00066DCF">
            <w:pPr>
              <w:keepNext/>
              <w:tabs>
                <w:tab w:val="left" w:pos="1304"/>
              </w:tabs>
              <w:spacing w:after="60" w:line="240" w:lineRule="atLeast"/>
              <w:outlineLvl w:val="3"/>
              <w:rPr>
                <w:rFonts w:cs="Arial"/>
                <w:bCs/>
              </w:rPr>
            </w:pPr>
            <w:r w:rsidRPr="00B100F1">
              <w:rPr>
                <w:rFonts w:cs="Arial"/>
                <w:bCs/>
              </w:rPr>
              <w:t>Variation of IPBC after storage is higher than 10%. A study has been performed to identify PBC as the degradation product. Its content after storage was found to be 0.011%w/</w:t>
            </w:r>
            <w:r w:rsidR="00B100F1" w:rsidRPr="00B100F1">
              <w:rPr>
                <w:rFonts w:cs="Arial"/>
                <w:bCs/>
              </w:rPr>
              <w:t>w, which</w:t>
            </w:r>
            <w:r w:rsidRPr="00B100F1">
              <w:rPr>
                <w:rFonts w:cs="Arial"/>
                <w:bCs/>
              </w:rPr>
              <w:t xml:space="preserve"> corresponds to the loss of IPBC.  </w:t>
            </w:r>
            <w:r w:rsidR="002A51CD" w:rsidRPr="00B100F1">
              <w:rPr>
                <w:rFonts w:cs="Arial"/>
                <w:bCs/>
              </w:rPr>
              <w:t xml:space="preserve"> Validation data are reported in the section “analytical method”.</w:t>
            </w:r>
            <w:r w:rsidR="00CB5450" w:rsidRPr="00B100F1">
              <w:rPr>
                <w:rFonts w:cs="Arial"/>
                <w:bCs/>
              </w:rPr>
              <w:t xml:space="preserve"> The method is not completely validated. However, it is clear that IPBC will degrade into PBC.</w:t>
            </w:r>
            <w:r w:rsidR="000B6A15" w:rsidRPr="00B100F1">
              <w:rPr>
                <w:rFonts w:cs="Arial"/>
                <w:bCs/>
              </w:rPr>
              <w:t xml:space="preserve"> </w:t>
            </w:r>
            <w:r w:rsidR="00A225D2">
              <w:rPr>
                <w:rFonts w:cs="Arial"/>
                <w:bCs/>
              </w:rPr>
              <w:t>In order to accept such variations, a fully validated method and justification that the degradation products do not lead to human health concern and do not affect the efficacy should be provided as stated in Echa guidance on the BPR.</w:t>
            </w:r>
          </w:p>
          <w:p w14:paraId="51D32478" w14:textId="63BB98CC" w:rsidR="00066DCF" w:rsidRPr="00B100F1" w:rsidRDefault="00A225D2" w:rsidP="00A225D2">
            <w:pPr>
              <w:keepNext/>
              <w:tabs>
                <w:tab w:val="left" w:pos="1304"/>
              </w:tabs>
              <w:spacing w:after="60" w:line="240" w:lineRule="atLeast"/>
              <w:outlineLvl w:val="3"/>
              <w:rPr>
                <w:rFonts w:cs="Arial"/>
                <w:b/>
                <w:bCs/>
              </w:rPr>
            </w:pPr>
            <w:r>
              <w:rPr>
                <w:rFonts w:cs="Arial"/>
                <w:bCs/>
              </w:rPr>
              <w:t>With the available data, s</w:t>
            </w:r>
            <w:r w:rsidR="000B6A15" w:rsidRPr="00B100F1">
              <w:rPr>
                <w:rFonts w:cs="Arial"/>
                <w:bCs/>
              </w:rPr>
              <w:t>ince the variations after storage is higher than 10%, t</w:t>
            </w:r>
            <w:r w:rsidR="00066DCF" w:rsidRPr="00B100F1">
              <w:rPr>
                <w:rFonts w:cs="Arial"/>
                <w:bCs/>
              </w:rPr>
              <w:t xml:space="preserve">he product </w:t>
            </w:r>
            <w:r w:rsidR="009B764A" w:rsidRPr="00B100F1">
              <w:rPr>
                <w:rFonts w:cs="Arial"/>
                <w:bCs/>
              </w:rPr>
              <w:t xml:space="preserve">is </w:t>
            </w:r>
            <w:r w:rsidR="009B764A" w:rsidRPr="00B100F1">
              <w:rPr>
                <w:rFonts w:cs="Arial"/>
                <w:bCs/>
              </w:rPr>
              <w:lastRenderedPageBreak/>
              <w:t>not considered stable at 40°C</w:t>
            </w:r>
            <w:r w:rsidR="00347D65" w:rsidRPr="00B100F1">
              <w:rPr>
                <w:rFonts w:cs="Arial"/>
                <w:bCs/>
              </w:rPr>
              <w:t xml:space="preserve"> and should </w:t>
            </w:r>
            <w:r w:rsidR="00FB3797" w:rsidRPr="00B100F1">
              <w:rPr>
                <w:rFonts w:cs="Arial"/>
                <w:bCs/>
              </w:rPr>
              <w:t xml:space="preserve">not </w:t>
            </w:r>
            <w:r w:rsidR="00347D65" w:rsidRPr="00B100F1">
              <w:rPr>
                <w:rFonts w:cs="Arial"/>
                <w:bCs/>
              </w:rPr>
              <w:t xml:space="preserve">be stored at </w:t>
            </w:r>
            <w:r w:rsidR="00FB3797" w:rsidRPr="00B100F1">
              <w:rPr>
                <w:rFonts w:cs="Arial"/>
                <w:bCs/>
              </w:rPr>
              <w:t>a temperature higher than 20°C (</w:t>
            </w:r>
            <w:r w:rsidR="00347D65" w:rsidRPr="00B100F1">
              <w:rPr>
                <w:rFonts w:cs="Arial"/>
                <w:bCs/>
              </w:rPr>
              <w:t>temperature of the shelf life study)</w:t>
            </w:r>
            <w:r w:rsidR="00B109C0" w:rsidRPr="00B100F1">
              <w:rPr>
                <w:rFonts w:cs="Arial"/>
                <w:bCs/>
              </w:rPr>
              <w:t xml:space="preserve">. </w:t>
            </w:r>
          </w:p>
        </w:tc>
        <w:tc>
          <w:tcPr>
            <w:tcW w:w="1984" w:type="dxa"/>
          </w:tcPr>
          <w:p w14:paraId="2C2AF4E6" w14:textId="77777777" w:rsidR="00066DCF" w:rsidRPr="00FB5AD6" w:rsidRDefault="00066DCF" w:rsidP="00066DCF">
            <w:pPr>
              <w:keepNext/>
              <w:tabs>
                <w:tab w:val="left" w:pos="1304"/>
              </w:tabs>
              <w:spacing w:after="60" w:line="240" w:lineRule="atLeast"/>
              <w:outlineLvl w:val="3"/>
              <w:rPr>
                <w:rFonts w:cs="Arial"/>
                <w:bCs/>
                <w:lang w:val="pt-PT"/>
              </w:rPr>
            </w:pPr>
            <w:r w:rsidRPr="00FB5AD6">
              <w:rPr>
                <w:rFonts w:cs="Arial"/>
                <w:bCs/>
                <w:lang w:val="pt-PT"/>
              </w:rPr>
              <w:lastRenderedPageBreak/>
              <w:t>Legay S 2015</w:t>
            </w:r>
          </w:p>
          <w:p w14:paraId="0701E537" w14:textId="77777777" w:rsidR="00066DCF" w:rsidRPr="00FB5AD6" w:rsidRDefault="00066DCF" w:rsidP="00066DCF">
            <w:pPr>
              <w:keepNext/>
              <w:tabs>
                <w:tab w:val="left" w:pos="1304"/>
              </w:tabs>
              <w:spacing w:after="60" w:line="240" w:lineRule="atLeast"/>
              <w:outlineLvl w:val="3"/>
              <w:rPr>
                <w:rFonts w:cs="Arial"/>
                <w:bCs/>
                <w:lang w:val="pt-PT"/>
              </w:rPr>
            </w:pPr>
            <w:r w:rsidRPr="00FB5AD6">
              <w:rPr>
                <w:rFonts w:cs="Arial"/>
                <w:bCs/>
                <w:lang w:val="pt-PT"/>
              </w:rPr>
              <w:t>402/14/1095F/abc-e</w:t>
            </w:r>
          </w:p>
          <w:p w14:paraId="6EC3114C" w14:textId="77777777" w:rsidR="00066DCF" w:rsidRPr="00FB5AD6" w:rsidRDefault="00066DCF" w:rsidP="00066DCF">
            <w:pPr>
              <w:keepNext/>
              <w:tabs>
                <w:tab w:val="left" w:pos="1304"/>
              </w:tabs>
              <w:spacing w:after="60" w:line="240" w:lineRule="atLeast"/>
              <w:outlineLvl w:val="3"/>
              <w:rPr>
                <w:rFonts w:cs="Arial"/>
                <w:bCs/>
                <w:lang w:val="pt-PT"/>
              </w:rPr>
            </w:pPr>
            <w:r w:rsidRPr="00FB5AD6">
              <w:rPr>
                <w:rFonts w:cs="Arial"/>
                <w:bCs/>
                <w:lang w:val="pt-PT"/>
              </w:rPr>
              <w:t>M. Klamer 2016</w:t>
            </w:r>
          </w:p>
          <w:p w14:paraId="71F31014" w14:textId="77777777" w:rsidR="002A51CD" w:rsidRDefault="00066DCF" w:rsidP="002A51CD">
            <w:pPr>
              <w:keepNext/>
              <w:tabs>
                <w:tab w:val="left" w:pos="1304"/>
              </w:tabs>
              <w:spacing w:after="60" w:line="240" w:lineRule="atLeast"/>
              <w:outlineLvl w:val="3"/>
              <w:rPr>
                <w:rFonts w:cs="Arial"/>
                <w:bCs/>
                <w:lang w:val="pt-PT"/>
              </w:rPr>
            </w:pPr>
            <w:r w:rsidRPr="00685696">
              <w:rPr>
                <w:rFonts w:cs="Arial"/>
                <w:bCs/>
              </w:rPr>
              <w:t>Report no. 635281-1 rev1</w:t>
            </w:r>
            <w:r w:rsidR="002A51CD">
              <w:rPr>
                <w:rFonts w:cs="Arial"/>
                <w:bCs/>
                <w:lang w:val="pt-PT"/>
              </w:rPr>
              <w:t xml:space="preserve"> </w:t>
            </w:r>
          </w:p>
          <w:p w14:paraId="2A1124AF" w14:textId="77777777" w:rsidR="002A51CD" w:rsidRDefault="002A51CD" w:rsidP="002A51CD">
            <w:pPr>
              <w:keepNext/>
              <w:tabs>
                <w:tab w:val="left" w:pos="1304"/>
              </w:tabs>
              <w:spacing w:after="60" w:line="240" w:lineRule="atLeast"/>
              <w:outlineLvl w:val="3"/>
              <w:rPr>
                <w:rFonts w:cs="Arial"/>
                <w:bCs/>
                <w:lang w:val="pt-PT"/>
              </w:rPr>
            </w:pPr>
          </w:p>
          <w:p w14:paraId="6EB92371" w14:textId="77777777" w:rsidR="002A51CD" w:rsidRDefault="002A51CD" w:rsidP="002A51CD">
            <w:pPr>
              <w:keepNext/>
              <w:tabs>
                <w:tab w:val="left" w:pos="1304"/>
              </w:tabs>
              <w:spacing w:after="60" w:line="240" w:lineRule="atLeast"/>
              <w:outlineLvl w:val="3"/>
              <w:rPr>
                <w:rFonts w:cs="Arial"/>
                <w:bCs/>
                <w:lang w:val="pt-PT"/>
              </w:rPr>
            </w:pPr>
          </w:p>
          <w:p w14:paraId="4F918609" w14:textId="77777777" w:rsidR="002A51CD" w:rsidRDefault="002A51CD" w:rsidP="002A51CD">
            <w:pPr>
              <w:keepNext/>
              <w:tabs>
                <w:tab w:val="left" w:pos="1304"/>
              </w:tabs>
              <w:spacing w:after="60" w:line="240" w:lineRule="atLeast"/>
              <w:outlineLvl w:val="3"/>
              <w:rPr>
                <w:rFonts w:cs="Arial"/>
                <w:bCs/>
                <w:lang w:val="pt-PT"/>
              </w:rPr>
            </w:pPr>
          </w:p>
          <w:p w14:paraId="1CCFD4F9" w14:textId="77777777" w:rsidR="002A51CD" w:rsidRDefault="002A51CD" w:rsidP="002A51CD">
            <w:pPr>
              <w:keepNext/>
              <w:tabs>
                <w:tab w:val="left" w:pos="1304"/>
              </w:tabs>
              <w:spacing w:after="60" w:line="240" w:lineRule="atLeast"/>
              <w:outlineLvl w:val="3"/>
              <w:rPr>
                <w:rFonts w:cs="Arial"/>
                <w:bCs/>
                <w:lang w:val="pt-PT"/>
              </w:rPr>
            </w:pPr>
          </w:p>
          <w:p w14:paraId="6C2A15CB" w14:textId="77777777" w:rsidR="002A51CD" w:rsidRDefault="002A51CD" w:rsidP="002A51CD">
            <w:pPr>
              <w:keepNext/>
              <w:tabs>
                <w:tab w:val="left" w:pos="1304"/>
              </w:tabs>
              <w:spacing w:after="60" w:line="240" w:lineRule="atLeast"/>
              <w:outlineLvl w:val="3"/>
              <w:rPr>
                <w:rFonts w:cs="Arial"/>
                <w:bCs/>
                <w:lang w:val="pt-PT"/>
              </w:rPr>
            </w:pPr>
          </w:p>
          <w:p w14:paraId="2592F593" w14:textId="77777777" w:rsidR="002A51CD" w:rsidRDefault="002A51CD" w:rsidP="002A51CD">
            <w:pPr>
              <w:keepNext/>
              <w:tabs>
                <w:tab w:val="left" w:pos="1304"/>
              </w:tabs>
              <w:spacing w:after="60" w:line="240" w:lineRule="atLeast"/>
              <w:outlineLvl w:val="3"/>
              <w:rPr>
                <w:rFonts w:cs="Arial"/>
                <w:bCs/>
                <w:lang w:val="pt-PT"/>
              </w:rPr>
            </w:pPr>
          </w:p>
          <w:p w14:paraId="11E3C060" w14:textId="77777777" w:rsidR="002A51CD" w:rsidRDefault="002A51CD" w:rsidP="002A51CD">
            <w:pPr>
              <w:keepNext/>
              <w:tabs>
                <w:tab w:val="left" w:pos="1304"/>
              </w:tabs>
              <w:spacing w:after="60" w:line="240" w:lineRule="atLeast"/>
              <w:outlineLvl w:val="3"/>
              <w:rPr>
                <w:rFonts w:cs="Arial"/>
                <w:bCs/>
                <w:lang w:val="pt-PT"/>
              </w:rPr>
            </w:pPr>
          </w:p>
          <w:p w14:paraId="6957F0A6" w14:textId="77777777" w:rsidR="002A51CD" w:rsidRDefault="002A51CD" w:rsidP="002A51CD">
            <w:pPr>
              <w:keepNext/>
              <w:tabs>
                <w:tab w:val="left" w:pos="1304"/>
              </w:tabs>
              <w:spacing w:after="60" w:line="240" w:lineRule="atLeast"/>
              <w:outlineLvl w:val="3"/>
              <w:rPr>
                <w:rFonts w:cs="Arial"/>
                <w:bCs/>
                <w:lang w:val="pt-PT"/>
              </w:rPr>
            </w:pPr>
          </w:p>
          <w:p w14:paraId="6DB7FEF9" w14:textId="77777777" w:rsidR="002A51CD" w:rsidRDefault="002A51CD" w:rsidP="002A51CD">
            <w:pPr>
              <w:keepNext/>
              <w:tabs>
                <w:tab w:val="left" w:pos="1304"/>
              </w:tabs>
              <w:spacing w:after="60" w:line="240" w:lineRule="atLeast"/>
              <w:outlineLvl w:val="3"/>
              <w:rPr>
                <w:rFonts w:cs="Arial"/>
                <w:bCs/>
                <w:lang w:val="pt-PT"/>
              </w:rPr>
            </w:pPr>
          </w:p>
          <w:p w14:paraId="46BD7B29" w14:textId="77777777" w:rsidR="002A51CD" w:rsidRDefault="002A51CD" w:rsidP="002A51CD">
            <w:pPr>
              <w:keepNext/>
              <w:tabs>
                <w:tab w:val="left" w:pos="1304"/>
              </w:tabs>
              <w:spacing w:after="60" w:line="240" w:lineRule="atLeast"/>
              <w:outlineLvl w:val="3"/>
              <w:rPr>
                <w:rFonts w:cs="Arial"/>
                <w:bCs/>
                <w:lang w:val="pt-PT"/>
              </w:rPr>
            </w:pPr>
          </w:p>
          <w:p w14:paraId="6E2AB287" w14:textId="77777777" w:rsidR="002A51CD" w:rsidRDefault="002A51CD" w:rsidP="002A51CD">
            <w:pPr>
              <w:keepNext/>
              <w:tabs>
                <w:tab w:val="left" w:pos="1304"/>
              </w:tabs>
              <w:spacing w:after="60" w:line="240" w:lineRule="atLeast"/>
              <w:outlineLvl w:val="3"/>
              <w:rPr>
                <w:rFonts w:cs="Arial"/>
                <w:bCs/>
                <w:lang w:val="pt-PT"/>
              </w:rPr>
            </w:pPr>
          </w:p>
          <w:p w14:paraId="770FCEB0" w14:textId="77777777" w:rsidR="002A51CD" w:rsidRDefault="002A51CD" w:rsidP="002A51CD">
            <w:pPr>
              <w:keepNext/>
              <w:tabs>
                <w:tab w:val="left" w:pos="1304"/>
              </w:tabs>
              <w:spacing w:after="60" w:line="240" w:lineRule="atLeast"/>
              <w:outlineLvl w:val="3"/>
              <w:rPr>
                <w:rFonts w:cs="Arial"/>
                <w:bCs/>
                <w:lang w:val="pt-PT"/>
              </w:rPr>
            </w:pPr>
          </w:p>
          <w:p w14:paraId="34793AA3" w14:textId="77777777" w:rsidR="002A51CD" w:rsidRDefault="002A51CD" w:rsidP="002A51CD">
            <w:pPr>
              <w:keepNext/>
              <w:tabs>
                <w:tab w:val="left" w:pos="1304"/>
              </w:tabs>
              <w:spacing w:after="60" w:line="240" w:lineRule="atLeast"/>
              <w:outlineLvl w:val="3"/>
              <w:rPr>
                <w:rFonts w:cs="Arial"/>
                <w:bCs/>
                <w:lang w:val="pt-PT"/>
              </w:rPr>
            </w:pPr>
          </w:p>
          <w:p w14:paraId="29CB4D11" w14:textId="77777777" w:rsidR="002A51CD" w:rsidRDefault="002A51CD" w:rsidP="002A51CD">
            <w:pPr>
              <w:keepNext/>
              <w:tabs>
                <w:tab w:val="left" w:pos="1304"/>
              </w:tabs>
              <w:spacing w:after="60" w:line="240" w:lineRule="atLeast"/>
              <w:outlineLvl w:val="3"/>
              <w:rPr>
                <w:rFonts w:cs="Arial"/>
                <w:bCs/>
                <w:lang w:val="pt-PT"/>
              </w:rPr>
            </w:pPr>
          </w:p>
          <w:p w14:paraId="77585472" w14:textId="77777777" w:rsidR="002A51CD" w:rsidRDefault="002A51CD" w:rsidP="002A51CD">
            <w:pPr>
              <w:keepNext/>
              <w:tabs>
                <w:tab w:val="left" w:pos="1304"/>
              </w:tabs>
              <w:spacing w:after="60" w:line="240" w:lineRule="atLeast"/>
              <w:outlineLvl w:val="3"/>
              <w:rPr>
                <w:rFonts w:cs="Arial"/>
                <w:bCs/>
                <w:lang w:val="pt-PT"/>
              </w:rPr>
            </w:pPr>
          </w:p>
          <w:p w14:paraId="12ACA05D" w14:textId="77777777" w:rsidR="002A51CD" w:rsidRDefault="002A51CD" w:rsidP="002A51CD">
            <w:pPr>
              <w:keepNext/>
              <w:tabs>
                <w:tab w:val="left" w:pos="1304"/>
              </w:tabs>
              <w:spacing w:after="60" w:line="240" w:lineRule="atLeast"/>
              <w:outlineLvl w:val="3"/>
              <w:rPr>
                <w:rFonts w:cs="Arial"/>
                <w:bCs/>
                <w:lang w:val="pt-PT"/>
              </w:rPr>
            </w:pPr>
          </w:p>
          <w:p w14:paraId="0390C883" w14:textId="77777777" w:rsidR="002A51CD" w:rsidRDefault="002A51CD" w:rsidP="002A51CD">
            <w:pPr>
              <w:keepNext/>
              <w:tabs>
                <w:tab w:val="left" w:pos="1304"/>
              </w:tabs>
              <w:spacing w:after="60" w:line="240" w:lineRule="atLeast"/>
              <w:outlineLvl w:val="3"/>
              <w:rPr>
                <w:rFonts w:cs="Arial"/>
                <w:bCs/>
                <w:lang w:val="pt-PT"/>
              </w:rPr>
            </w:pPr>
          </w:p>
          <w:p w14:paraId="6468E9F5" w14:textId="77777777" w:rsidR="002A51CD" w:rsidRDefault="002A51CD" w:rsidP="002A51CD">
            <w:pPr>
              <w:keepNext/>
              <w:tabs>
                <w:tab w:val="left" w:pos="1304"/>
              </w:tabs>
              <w:spacing w:after="60" w:line="240" w:lineRule="atLeast"/>
              <w:outlineLvl w:val="3"/>
              <w:rPr>
                <w:rFonts w:cs="Arial"/>
                <w:bCs/>
                <w:lang w:val="pt-PT"/>
              </w:rPr>
            </w:pPr>
          </w:p>
          <w:p w14:paraId="27E447D4" w14:textId="77777777" w:rsidR="002A51CD" w:rsidRDefault="002A51CD" w:rsidP="002A51CD">
            <w:pPr>
              <w:keepNext/>
              <w:tabs>
                <w:tab w:val="left" w:pos="1304"/>
              </w:tabs>
              <w:spacing w:after="60" w:line="240" w:lineRule="atLeast"/>
              <w:outlineLvl w:val="3"/>
              <w:rPr>
                <w:rFonts w:cs="Arial"/>
                <w:bCs/>
                <w:lang w:val="pt-PT"/>
              </w:rPr>
            </w:pPr>
          </w:p>
          <w:p w14:paraId="7BA45219" w14:textId="77777777" w:rsidR="002A51CD" w:rsidRDefault="002A51CD" w:rsidP="002A51CD">
            <w:pPr>
              <w:keepNext/>
              <w:tabs>
                <w:tab w:val="left" w:pos="1304"/>
              </w:tabs>
              <w:spacing w:after="60" w:line="240" w:lineRule="atLeast"/>
              <w:outlineLvl w:val="3"/>
              <w:rPr>
                <w:rFonts w:cs="Arial"/>
                <w:bCs/>
                <w:lang w:val="pt-PT"/>
              </w:rPr>
            </w:pPr>
          </w:p>
          <w:p w14:paraId="69EE9139" w14:textId="77777777" w:rsidR="002A51CD" w:rsidRDefault="002A51CD" w:rsidP="002A51CD">
            <w:pPr>
              <w:keepNext/>
              <w:tabs>
                <w:tab w:val="left" w:pos="1304"/>
              </w:tabs>
              <w:spacing w:after="60" w:line="240" w:lineRule="atLeast"/>
              <w:outlineLvl w:val="3"/>
              <w:rPr>
                <w:rFonts w:cs="Arial"/>
                <w:bCs/>
                <w:lang w:val="pt-PT"/>
              </w:rPr>
            </w:pPr>
          </w:p>
          <w:p w14:paraId="00463990" w14:textId="77777777" w:rsidR="002A51CD" w:rsidRDefault="002A51CD" w:rsidP="002A51CD">
            <w:pPr>
              <w:keepNext/>
              <w:tabs>
                <w:tab w:val="left" w:pos="1304"/>
              </w:tabs>
              <w:spacing w:after="60" w:line="240" w:lineRule="atLeast"/>
              <w:outlineLvl w:val="3"/>
              <w:rPr>
                <w:rFonts w:cs="Arial"/>
                <w:bCs/>
                <w:lang w:val="pt-PT"/>
              </w:rPr>
            </w:pPr>
          </w:p>
          <w:p w14:paraId="211AF479" w14:textId="77777777" w:rsidR="002A51CD" w:rsidRDefault="002A51CD" w:rsidP="002A51CD">
            <w:pPr>
              <w:keepNext/>
              <w:tabs>
                <w:tab w:val="left" w:pos="1304"/>
              </w:tabs>
              <w:spacing w:after="60" w:line="240" w:lineRule="atLeast"/>
              <w:outlineLvl w:val="3"/>
              <w:rPr>
                <w:rFonts w:cs="Arial"/>
                <w:bCs/>
                <w:lang w:val="pt-PT"/>
              </w:rPr>
            </w:pPr>
          </w:p>
          <w:p w14:paraId="2221916A" w14:textId="77777777" w:rsidR="002A51CD" w:rsidRDefault="002A51CD" w:rsidP="002A51CD">
            <w:pPr>
              <w:keepNext/>
              <w:tabs>
                <w:tab w:val="left" w:pos="1304"/>
              </w:tabs>
              <w:spacing w:after="60" w:line="240" w:lineRule="atLeast"/>
              <w:outlineLvl w:val="3"/>
              <w:rPr>
                <w:rFonts w:cs="Arial"/>
                <w:bCs/>
                <w:lang w:val="pt-PT"/>
              </w:rPr>
            </w:pPr>
          </w:p>
          <w:p w14:paraId="7CD44DFF" w14:textId="77777777" w:rsidR="002A51CD" w:rsidRDefault="002A51CD" w:rsidP="002A51CD">
            <w:pPr>
              <w:keepNext/>
              <w:tabs>
                <w:tab w:val="left" w:pos="1304"/>
              </w:tabs>
              <w:spacing w:after="60" w:line="240" w:lineRule="atLeast"/>
              <w:outlineLvl w:val="3"/>
              <w:rPr>
                <w:rFonts w:cs="Arial"/>
                <w:bCs/>
                <w:lang w:val="pt-PT"/>
              </w:rPr>
            </w:pPr>
          </w:p>
          <w:p w14:paraId="77C11C34" w14:textId="77777777" w:rsidR="002A51CD" w:rsidRDefault="002A51CD" w:rsidP="002A51CD">
            <w:pPr>
              <w:keepNext/>
              <w:tabs>
                <w:tab w:val="left" w:pos="1304"/>
              </w:tabs>
              <w:spacing w:after="60" w:line="240" w:lineRule="atLeast"/>
              <w:outlineLvl w:val="3"/>
              <w:rPr>
                <w:rFonts w:cs="Arial"/>
                <w:bCs/>
                <w:lang w:val="pt-PT"/>
              </w:rPr>
            </w:pPr>
          </w:p>
          <w:p w14:paraId="4663FEBC" w14:textId="77777777" w:rsidR="002A51CD" w:rsidRDefault="002A51CD" w:rsidP="002A51CD">
            <w:pPr>
              <w:keepNext/>
              <w:tabs>
                <w:tab w:val="left" w:pos="1304"/>
              </w:tabs>
              <w:spacing w:after="60" w:line="240" w:lineRule="atLeast"/>
              <w:outlineLvl w:val="3"/>
              <w:rPr>
                <w:rFonts w:cs="Arial"/>
                <w:bCs/>
                <w:lang w:val="pt-PT"/>
              </w:rPr>
            </w:pPr>
          </w:p>
          <w:p w14:paraId="05305847" w14:textId="77777777" w:rsidR="002A51CD" w:rsidRDefault="002A51CD" w:rsidP="002A51CD">
            <w:pPr>
              <w:keepNext/>
              <w:tabs>
                <w:tab w:val="left" w:pos="1304"/>
              </w:tabs>
              <w:spacing w:after="60" w:line="240" w:lineRule="atLeast"/>
              <w:outlineLvl w:val="3"/>
              <w:rPr>
                <w:rFonts w:cs="Arial"/>
                <w:bCs/>
                <w:lang w:val="pt-PT"/>
              </w:rPr>
            </w:pPr>
          </w:p>
          <w:p w14:paraId="2AB75770" w14:textId="77777777" w:rsidR="002A51CD" w:rsidRDefault="002A51CD" w:rsidP="002A51CD">
            <w:pPr>
              <w:keepNext/>
              <w:tabs>
                <w:tab w:val="left" w:pos="1304"/>
              </w:tabs>
              <w:spacing w:after="60" w:line="240" w:lineRule="atLeast"/>
              <w:outlineLvl w:val="3"/>
              <w:rPr>
                <w:rFonts w:cs="Arial"/>
                <w:bCs/>
                <w:lang w:val="pt-PT"/>
              </w:rPr>
            </w:pPr>
          </w:p>
          <w:p w14:paraId="56A22DA4" w14:textId="77777777" w:rsidR="002A51CD" w:rsidRDefault="002A51CD" w:rsidP="002A51CD">
            <w:pPr>
              <w:keepNext/>
              <w:tabs>
                <w:tab w:val="left" w:pos="1304"/>
              </w:tabs>
              <w:spacing w:after="60" w:line="240" w:lineRule="atLeast"/>
              <w:outlineLvl w:val="3"/>
              <w:rPr>
                <w:rFonts w:cs="Arial"/>
                <w:bCs/>
                <w:lang w:val="pt-PT"/>
              </w:rPr>
            </w:pPr>
          </w:p>
          <w:p w14:paraId="26BDD122" w14:textId="77777777" w:rsidR="002A51CD" w:rsidRDefault="002A51CD" w:rsidP="002A51CD">
            <w:pPr>
              <w:keepNext/>
              <w:tabs>
                <w:tab w:val="left" w:pos="1304"/>
              </w:tabs>
              <w:spacing w:after="60" w:line="240" w:lineRule="atLeast"/>
              <w:outlineLvl w:val="3"/>
              <w:rPr>
                <w:rFonts w:cs="Arial"/>
                <w:bCs/>
                <w:lang w:val="pt-PT"/>
              </w:rPr>
            </w:pPr>
          </w:p>
          <w:p w14:paraId="5B0CD60C" w14:textId="77777777" w:rsidR="002A51CD" w:rsidRDefault="002A51CD" w:rsidP="002A51CD">
            <w:pPr>
              <w:keepNext/>
              <w:tabs>
                <w:tab w:val="left" w:pos="1304"/>
              </w:tabs>
              <w:spacing w:after="60" w:line="240" w:lineRule="atLeast"/>
              <w:outlineLvl w:val="3"/>
              <w:rPr>
                <w:rFonts w:cs="Arial"/>
                <w:bCs/>
                <w:lang w:val="pt-PT"/>
              </w:rPr>
            </w:pPr>
          </w:p>
          <w:p w14:paraId="167C7C41" w14:textId="77777777" w:rsidR="002A51CD" w:rsidRDefault="002A51CD" w:rsidP="002A51CD">
            <w:pPr>
              <w:keepNext/>
              <w:tabs>
                <w:tab w:val="left" w:pos="1304"/>
              </w:tabs>
              <w:spacing w:after="60" w:line="240" w:lineRule="atLeast"/>
              <w:outlineLvl w:val="3"/>
              <w:rPr>
                <w:rFonts w:cs="Arial"/>
                <w:bCs/>
                <w:lang w:val="pt-PT"/>
              </w:rPr>
            </w:pPr>
          </w:p>
          <w:p w14:paraId="40B780B0" w14:textId="77777777" w:rsidR="002A51CD" w:rsidRDefault="002A51CD" w:rsidP="002A51CD">
            <w:pPr>
              <w:keepNext/>
              <w:tabs>
                <w:tab w:val="left" w:pos="1304"/>
              </w:tabs>
              <w:spacing w:after="60" w:line="240" w:lineRule="atLeast"/>
              <w:outlineLvl w:val="3"/>
              <w:rPr>
                <w:rFonts w:cs="Arial"/>
                <w:bCs/>
                <w:lang w:val="pt-PT"/>
              </w:rPr>
            </w:pPr>
          </w:p>
          <w:p w14:paraId="4C7B71CA" w14:textId="19362F57" w:rsidR="00066DCF" w:rsidRPr="00685696" w:rsidRDefault="00066DCF" w:rsidP="002A51CD">
            <w:pPr>
              <w:keepNext/>
              <w:tabs>
                <w:tab w:val="left" w:pos="1304"/>
              </w:tabs>
              <w:spacing w:after="60" w:line="240" w:lineRule="atLeast"/>
              <w:outlineLvl w:val="3"/>
              <w:rPr>
                <w:rFonts w:cs="Arial"/>
                <w:bCs/>
              </w:rPr>
            </w:pPr>
          </w:p>
        </w:tc>
      </w:tr>
      <w:tr w:rsidR="00066DCF" w:rsidRPr="00F6579D" w14:paraId="4F77FE28" w14:textId="77777777" w:rsidTr="00AD5AD8">
        <w:trPr>
          <w:trHeight w:val="233"/>
        </w:trPr>
        <w:tc>
          <w:tcPr>
            <w:tcW w:w="2160" w:type="dxa"/>
          </w:tcPr>
          <w:p w14:paraId="62167152" w14:textId="77777777" w:rsidR="00066DCF" w:rsidRPr="00685696" w:rsidRDefault="00066DCF" w:rsidP="00066DCF">
            <w:pPr>
              <w:rPr>
                <w:rFonts w:cs="Arial"/>
                <w:lang w:eastAsia="de-DE"/>
              </w:rPr>
            </w:pPr>
            <w:r w:rsidRPr="00685696">
              <w:rPr>
                <w:rFonts w:cs="Arial"/>
                <w:lang w:eastAsia="de-DE"/>
              </w:rPr>
              <w:lastRenderedPageBreak/>
              <w:t xml:space="preserve">Storage stability test – </w:t>
            </w:r>
            <w:r w:rsidRPr="00685696">
              <w:rPr>
                <w:rFonts w:cs="Arial"/>
                <w:b/>
                <w:lang w:eastAsia="de-DE"/>
              </w:rPr>
              <w:t>long term storage at ambient temperature</w:t>
            </w:r>
          </w:p>
        </w:tc>
        <w:tc>
          <w:tcPr>
            <w:tcW w:w="1690" w:type="dxa"/>
          </w:tcPr>
          <w:p w14:paraId="1206459C" w14:textId="77777777" w:rsidR="00066DCF" w:rsidRPr="00685696" w:rsidRDefault="00066DCF" w:rsidP="00066DCF">
            <w:pPr>
              <w:pStyle w:val="Default"/>
              <w:jc w:val="both"/>
              <w:rPr>
                <w:rFonts w:ascii="Verdana" w:hAnsi="Verdana" w:cs="Arial"/>
                <w:sz w:val="20"/>
                <w:szCs w:val="20"/>
                <w:lang w:val="en-US"/>
              </w:rPr>
            </w:pPr>
            <w:r w:rsidRPr="00685696">
              <w:rPr>
                <w:rFonts w:ascii="Verdana" w:hAnsi="Verdana" w:cs="Arial"/>
                <w:sz w:val="20"/>
                <w:szCs w:val="20"/>
                <w:lang w:val="en-US"/>
              </w:rPr>
              <w:t>Technical Monograph No.17, 2nd edition, CropLife International</w:t>
            </w:r>
          </w:p>
          <w:p w14:paraId="15A93DF4" w14:textId="77777777" w:rsidR="00066DCF" w:rsidRPr="00685696" w:rsidRDefault="00066DCF" w:rsidP="00066DCF">
            <w:pPr>
              <w:pStyle w:val="Default"/>
              <w:jc w:val="both"/>
              <w:rPr>
                <w:rFonts w:ascii="Verdana" w:hAnsi="Verdana" w:cs="Arial"/>
                <w:sz w:val="20"/>
                <w:szCs w:val="20"/>
                <w:lang w:val="en-US"/>
              </w:rPr>
            </w:pPr>
          </w:p>
          <w:p w14:paraId="18BA69AC" w14:textId="77777777" w:rsidR="00066DCF" w:rsidRPr="00685696" w:rsidRDefault="00066DCF" w:rsidP="00066DCF">
            <w:pPr>
              <w:pStyle w:val="Default"/>
              <w:jc w:val="both"/>
              <w:rPr>
                <w:rFonts w:ascii="Verdana" w:hAnsi="Verdana" w:cs="Arial"/>
                <w:sz w:val="20"/>
                <w:szCs w:val="20"/>
                <w:lang w:val="en-US"/>
              </w:rPr>
            </w:pPr>
            <w:r w:rsidRPr="00685696">
              <w:rPr>
                <w:rFonts w:ascii="Verdana" w:hAnsi="Verdana" w:cs="Arial"/>
                <w:sz w:val="20"/>
                <w:szCs w:val="20"/>
                <w:lang w:val="en-US"/>
              </w:rPr>
              <w:t>Analytical method validated in report 402/13/1139F/ab-e (see point 2.2.3)</w:t>
            </w:r>
          </w:p>
        </w:tc>
        <w:tc>
          <w:tcPr>
            <w:tcW w:w="1503" w:type="dxa"/>
          </w:tcPr>
          <w:p w14:paraId="4274AF85" w14:textId="77777777" w:rsidR="00066DCF" w:rsidRPr="00685696" w:rsidRDefault="00066DCF" w:rsidP="00066DCF">
            <w:pPr>
              <w:rPr>
                <w:rFonts w:cs="Arial"/>
                <w:lang w:eastAsia="de-DE"/>
              </w:rPr>
            </w:pPr>
            <w:r w:rsidRPr="00685696">
              <w:rPr>
                <w:rFonts w:cs="Arial"/>
                <w:lang w:eastAsia="de-DE"/>
              </w:rPr>
              <w:t>X6122B1</w:t>
            </w:r>
          </w:p>
          <w:p w14:paraId="117E5876"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lang w:eastAsia="de-DE"/>
              </w:rPr>
              <w:t xml:space="preserve">Lot/batch No XVIII 193 NDF </w:t>
            </w:r>
          </w:p>
        </w:tc>
        <w:tc>
          <w:tcPr>
            <w:tcW w:w="4885" w:type="dxa"/>
          </w:tcPr>
          <w:p w14:paraId="371463DC"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long term storage study at ambient temperature during 24 months has been performed with the product X6122B1 in its commercial packaging (1L tin plate cans without internal varnish, which is the worst case for metallic packaging).</w:t>
            </w:r>
          </w:p>
          <w:p w14:paraId="2447C338" w14:textId="77777777" w:rsidR="00066DCF" w:rsidRPr="00685696" w:rsidRDefault="00066DCF" w:rsidP="00066DCF">
            <w:pPr>
              <w:keepNext/>
              <w:tabs>
                <w:tab w:val="left" w:pos="1304"/>
              </w:tabs>
              <w:spacing w:after="60" w:line="240" w:lineRule="atLeast"/>
              <w:outlineLvl w:val="3"/>
              <w:rPr>
                <w:rFonts w:cs="Arial"/>
                <w:bCs/>
              </w:rPr>
            </w:pPr>
          </w:p>
          <w:p w14:paraId="7018FC14" w14:textId="77777777" w:rsidR="00066DCF" w:rsidRPr="00685696" w:rsidRDefault="00066DCF" w:rsidP="00066DCF">
            <w:pPr>
              <w:keepNext/>
              <w:tabs>
                <w:tab w:val="left" w:pos="1304"/>
              </w:tabs>
              <w:spacing w:after="60" w:line="240" w:lineRule="atLeast"/>
              <w:outlineLvl w:val="3"/>
              <w:rPr>
                <w:rFonts w:cs="Arial"/>
                <w:b/>
                <w:bCs/>
                <w:u w:val="single"/>
              </w:rPr>
            </w:pPr>
            <w:r w:rsidRPr="00685696">
              <w:rPr>
                <w:rFonts w:cs="Arial"/>
                <w:b/>
                <w:bCs/>
                <w:u w:val="single"/>
              </w:rPr>
              <w:t>Appearance</w:t>
            </w:r>
          </w:p>
          <w:p w14:paraId="098B8913"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appearance of X6122B1 was considered to be stable after 6, 12, 18 and 24 months of storage at ambient temperature (colourless, limpid liquid and initial time and after 6 months, light yellow, transparent liquid after 12/18/24 months, with no deposit or phase partition).</w:t>
            </w:r>
          </w:p>
          <w:p w14:paraId="4916507B" w14:textId="77777777" w:rsidR="00066DCF" w:rsidRPr="00685696" w:rsidRDefault="00066DCF" w:rsidP="00066DCF">
            <w:pPr>
              <w:keepNext/>
              <w:tabs>
                <w:tab w:val="left" w:pos="1304"/>
              </w:tabs>
              <w:spacing w:after="60" w:line="240" w:lineRule="atLeast"/>
              <w:outlineLvl w:val="3"/>
              <w:rPr>
                <w:rFonts w:cs="Arial"/>
                <w:bCs/>
              </w:rPr>
            </w:pPr>
          </w:p>
          <w:p w14:paraId="781A4975" w14:textId="77777777" w:rsidR="00066DCF" w:rsidRPr="00685696" w:rsidRDefault="00066DCF" w:rsidP="00066DCF">
            <w:pPr>
              <w:keepNext/>
              <w:tabs>
                <w:tab w:val="left" w:pos="1304"/>
              </w:tabs>
              <w:spacing w:after="60" w:line="240" w:lineRule="atLeast"/>
              <w:outlineLvl w:val="3"/>
              <w:rPr>
                <w:rFonts w:cs="Arial"/>
                <w:b/>
                <w:bCs/>
                <w:u w:val="single"/>
              </w:rPr>
            </w:pPr>
            <w:r w:rsidRPr="00685696">
              <w:rPr>
                <w:rFonts w:cs="Arial"/>
                <w:b/>
                <w:bCs/>
                <w:u w:val="single"/>
              </w:rPr>
              <w:t>Packaging stability</w:t>
            </w:r>
          </w:p>
          <w:p w14:paraId="23811859"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appearance of the packaging material (1L metal packaging) was considered to be stable after 6</w:t>
            </w:r>
            <w:proofErr w:type="gramStart"/>
            <w:r w:rsidRPr="00685696">
              <w:rPr>
                <w:rFonts w:cs="Arial"/>
                <w:bCs/>
              </w:rPr>
              <w:t>,12</w:t>
            </w:r>
            <w:proofErr w:type="gramEnd"/>
            <w:r w:rsidRPr="00685696">
              <w:rPr>
                <w:rFonts w:cs="Arial"/>
                <w:bCs/>
              </w:rPr>
              <w:t>, 18, 24 months of storage at ambient temperature (no sign of corrosion or degradation). No significant weight change was observed after 6 and 12 months of storage (-0.49% after 6 months, -0.84% after 12 months, -1.30% after 18 months, -1.93% after 24 months).</w:t>
            </w:r>
          </w:p>
          <w:p w14:paraId="2A8FD823" w14:textId="77777777" w:rsidR="00066DCF" w:rsidRPr="00685696" w:rsidRDefault="00066DCF" w:rsidP="00066DCF">
            <w:pPr>
              <w:keepNext/>
              <w:tabs>
                <w:tab w:val="left" w:pos="1304"/>
              </w:tabs>
              <w:spacing w:after="60" w:line="240" w:lineRule="atLeast"/>
              <w:outlineLvl w:val="3"/>
              <w:rPr>
                <w:rFonts w:cs="Arial"/>
                <w:bCs/>
              </w:rPr>
            </w:pPr>
          </w:p>
          <w:p w14:paraId="6B638D54" w14:textId="77777777" w:rsidR="00066DCF" w:rsidRPr="00685696" w:rsidRDefault="00066DCF" w:rsidP="00066DCF">
            <w:pPr>
              <w:keepNext/>
              <w:tabs>
                <w:tab w:val="left" w:pos="1304"/>
              </w:tabs>
              <w:spacing w:after="60" w:line="240" w:lineRule="atLeast"/>
              <w:outlineLvl w:val="3"/>
              <w:rPr>
                <w:rFonts w:cs="Arial"/>
                <w:b/>
                <w:bCs/>
                <w:u w:val="single"/>
              </w:rPr>
            </w:pPr>
            <w:r w:rsidRPr="00685696">
              <w:rPr>
                <w:rFonts w:cs="Arial"/>
                <w:b/>
                <w:bCs/>
                <w:u w:val="single"/>
              </w:rPr>
              <w:t>Active ingredient contents</w:t>
            </w:r>
          </w:p>
          <w:p w14:paraId="6531CED1"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cypermethrin content was 0.070% w/w at initial time and 0.071% w/w after 24 months. With variations of +1.4% after 24 months vs. the value at initial time, the test item was considered to be stable after 24 months of storage at ambient temperature.</w:t>
            </w:r>
          </w:p>
          <w:p w14:paraId="42D8192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The propiconazole content was 0.160% w/w at initial time and 0.166% w/w after 24 months. With variations +3.8% after 24 months vs. the </w:t>
            </w:r>
            <w:r w:rsidRPr="00685696">
              <w:rPr>
                <w:rFonts w:cs="Arial"/>
                <w:bCs/>
              </w:rPr>
              <w:lastRenderedPageBreak/>
              <w:t>value at initial time, the test item was considered to be stable after 24 months of storage at ambient temperature.</w:t>
            </w:r>
          </w:p>
          <w:p w14:paraId="77496586" w14:textId="547F0468" w:rsidR="00066DCF" w:rsidRPr="00685696" w:rsidRDefault="00066DCF" w:rsidP="00066DCF">
            <w:pPr>
              <w:keepNext/>
              <w:tabs>
                <w:tab w:val="left" w:pos="1304"/>
              </w:tabs>
              <w:spacing w:after="60" w:line="240" w:lineRule="atLeast"/>
              <w:outlineLvl w:val="3"/>
              <w:rPr>
                <w:rFonts w:cs="Arial"/>
                <w:bCs/>
              </w:rPr>
            </w:pPr>
            <w:r w:rsidRPr="00685696">
              <w:rPr>
                <w:rFonts w:cs="Arial"/>
                <w:bCs/>
              </w:rPr>
              <w:t>The tebuconazole content was 0.050% w/w at initial time, 0.050% w/w after 24 months. With no variation after 24 months vs. the value at initial time, the test item was considered to be stable after 24 months of storage at ambient temperature.</w:t>
            </w:r>
          </w:p>
          <w:p w14:paraId="55C8B1A6" w14:textId="0D4022F4" w:rsidR="00215140" w:rsidRPr="00685696" w:rsidRDefault="00066DCF" w:rsidP="002A51CD">
            <w:pPr>
              <w:keepNext/>
              <w:tabs>
                <w:tab w:val="left" w:pos="1304"/>
              </w:tabs>
              <w:spacing w:after="60" w:line="240" w:lineRule="atLeast"/>
              <w:outlineLvl w:val="3"/>
              <w:rPr>
                <w:rFonts w:cs="Arial"/>
                <w:bCs/>
              </w:rPr>
            </w:pPr>
            <w:r w:rsidRPr="00685696">
              <w:rPr>
                <w:rFonts w:cs="Arial"/>
                <w:bCs/>
              </w:rPr>
              <w:t xml:space="preserve">The IPBC content was 0.048% w/w at initial time, 0.050% w/w after 24 months. With a variation of +4.2% after 24 months  vs. the value at initial time, the test item was considered to be stable 24 months of storage at ambient temperature. </w:t>
            </w:r>
          </w:p>
        </w:tc>
        <w:tc>
          <w:tcPr>
            <w:tcW w:w="2448" w:type="dxa"/>
          </w:tcPr>
          <w:p w14:paraId="0F5423C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lastRenderedPageBreak/>
              <w:t>The product is considered stable when stored 2 years.</w:t>
            </w:r>
          </w:p>
          <w:p w14:paraId="29ECF6B6"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Test has only been performed with tinplate can without internal lacquer. Compatibility with HDPE has been demonstrated during the accelerated storage stability study.</w:t>
            </w:r>
          </w:p>
        </w:tc>
        <w:tc>
          <w:tcPr>
            <w:tcW w:w="1984" w:type="dxa"/>
          </w:tcPr>
          <w:p w14:paraId="02C17C29"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Legay S. 2013</w:t>
            </w:r>
          </w:p>
          <w:p w14:paraId="53C4F4C7"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13/1139F/c</w:t>
            </w:r>
          </w:p>
          <w:p w14:paraId="45EF65DD"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Legay S 2016</w:t>
            </w:r>
          </w:p>
          <w:p w14:paraId="62ACF93D" w14:textId="77777777" w:rsidR="00066DCF" w:rsidRDefault="00066DCF" w:rsidP="00066DCF">
            <w:pPr>
              <w:keepNext/>
              <w:tabs>
                <w:tab w:val="left" w:pos="1304"/>
              </w:tabs>
              <w:spacing w:after="60" w:line="240" w:lineRule="atLeast"/>
              <w:outlineLvl w:val="3"/>
              <w:rPr>
                <w:rFonts w:cs="Arial"/>
                <w:bCs/>
                <w:lang w:val="pt-PT"/>
              </w:rPr>
            </w:pPr>
            <w:r w:rsidRPr="0003570B">
              <w:rPr>
                <w:rFonts w:cs="Arial"/>
                <w:bCs/>
                <w:lang w:val="pt-PT"/>
              </w:rPr>
              <w:t>Final report No.402/13/1139F/c-e</w:t>
            </w:r>
          </w:p>
          <w:p w14:paraId="20E28CB4" w14:textId="77777777" w:rsidR="00215140" w:rsidRDefault="00215140" w:rsidP="00066DCF">
            <w:pPr>
              <w:keepNext/>
              <w:tabs>
                <w:tab w:val="left" w:pos="1304"/>
              </w:tabs>
              <w:spacing w:after="60" w:line="240" w:lineRule="atLeast"/>
              <w:outlineLvl w:val="3"/>
              <w:rPr>
                <w:rFonts w:cs="Arial"/>
                <w:bCs/>
                <w:lang w:val="pt-PT"/>
              </w:rPr>
            </w:pPr>
          </w:p>
          <w:p w14:paraId="467810EA" w14:textId="77777777" w:rsidR="00215140" w:rsidRDefault="00215140" w:rsidP="00066DCF">
            <w:pPr>
              <w:keepNext/>
              <w:tabs>
                <w:tab w:val="left" w:pos="1304"/>
              </w:tabs>
              <w:spacing w:after="60" w:line="240" w:lineRule="atLeast"/>
              <w:outlineLvl w:val="3"/>
              <w:rPr>
                <w:rFonts w:cs="Arial"/>
                <w:bCs/>
                <w:lang w:val="pt-PT"/>
              </w:rPr>
            </w:pPr>
          </w:p>
          <w:p w14:paraId="072DB83A" w14:textId="77777777" w:rsidR="00215140" w:rsidRDefault="00215140" w:rsidP="00066DCF">
            <w:pPr>
              <w:keepNext/>
              <w:tabs>
                <w:tab w:val="left" w:pos="1304"/>
              </w:tabs>
              <w:spacing w:after="60" w:line="240" w:lineRule="atLeast"/>
              <w:outlineLvl w:val="3"/>
              <w:rPr>
                <w:rFonts w:cs="Arial"/>
                <w:bCs/>
                <w:lang w:val="pt-PT"/>
              </w:rPr>
            </w:pPr>
          </w:p>
          <w:p w14:paraId="00014D09" w14:textId="77777777" w:rsidR="00215140" w:rsidRDefault="00215140" w:rsidP="00066DCF">
            <w:pPr>
              <w:keepNext/>
              <w:tabs>
                <w:tab w:val="left" w:pos="1304"/>
              </w:tabs>
              <w:spacing w:after="60" w:line="240" w:lineRule="atLeast"/>
              <w:outlineLvl w:val="3"/>
              <w:rPr>
                <w:rFonts w:cs="Arial"/>
                <w:bCs/>
                <w:lang w:val="pt-PT"/>
              </w:rPr>
            </w:pPr>
          </w:p>
          <w:p w14:paraId="4CF4FC14" w14:textId="77777777" w:rsidR="00215140" w:rsidRDefault="00215140" w:rsidP="00066DCF">
            <w:pPr>
              <w:keepNext/>
              <w:tabs>
                <w:tab w:val="left" w:pos="1304"/>
              </w:tabs>
              <w:spacing w:after="60" w:line="240" w:lineRule="atLeast"/>
              <w:outlineLvl w:val="3"/>
              <w:rPr>
                <w:rFonts w:cs="Arial"/>
                <w:bCs/>
                <w:lang w:val="pt-PT"/>
              </w:rPr>
            </w:pPr>
          </w:p>
          <w:p w14:paraId="6D7772BE" w14:textId="77777777" w:rsidR="00215140" w:rsidRDefault="00215140" w:rsidP="00066DCF">
            <w:pPr>
              <w:keepNext/>
              <w:tabs>
                <w:tab w:val="left" w:pos="1304"/>
              </w:tabs>
              <w:spacing w:after="60" w:line="240" w:lineRule="atLeast"/>
              <w:outlineLvl w:val="3"/>
              <w:rPr>
                <w:rFonts w:cs="Arial"/>
                <w:bCs/>
                <w:lang w:val="pt-PT"/>
              </w:rPr>
            </w:pPr>
          </w:p>
          <w:p w14:paraId="1A79C4CF" w14:textId="77777777" w:rsidR="00215140" w:rsidRDefault="00215140" w:rsidP="00066DCF">
            <w:pPr>
              <w:keepNext/>
              <w:tabs>
                <w:tab w:val="left" w:pos="1304"/>
              </w:tabs>
              <w:spacing w:after="60" w:line="240" w:lineRule="atLeast"/>
              <w:outlineLvl w:val="3"/>
              <w:rPr>
                <w:rFonts w:cs="Arial"/>
                <w:bCs/>
                <w:lang w:val="pt-PT"/>
              </w:rPr>
            </w:pPr>
          </w:p>
          <w:p w14:paraId="4C7FEE53" w14:textId="77777777" w:rsidR="00215140" w:rsidRDefault="00215140" w:rsidP="00066DCF">
            <w:pPr>
              <w:keepNext/>
              <w:tabs>
                <w:tab w:val="left" w:pos="1304"/>
              </w:tabs>
              <w:spacing w:after="60" w:line="240" w:lineRule="atLeast"/>
              <w:outlineLvl w:val="3"/>
              <w:rPr>
                <w:rFonts w:cs="Arial"/>
                <w:bCs/>
                <w:lang w:val="pt-PT"/>
              </w:rPr>
            </w:pPr>
          </w:p>
          <w:p w14:paraId="62E6B7AC" w14:textId="77777777" w:rsidR="00215140" w:rsidRDefault="00215140" w:rsidP="00066DCF">
            <w:pPr>
              <w:keepNext/>
              <w:tabs>
                <w:tab w:val="left" w:pos="1304"/>
              </w:tabs>
              <w:spacing w:after="60" w:line="240" w:lineRule="atLeast"/>
              <w:outlineLvl w:val="3"/>
              <w:rPr>
                <w:rFonts w:cs="Arial"/>
                <w:bCs/>
                <w:lang w:val="pt-PT"/>
              </w:rPr>
            </w:pPr>
          </w:p>
          <w:p w14:paraId="4821334D" w14:textId="77777777" w:rsidR="00215140" w:rsidRDefault="00215140" w:rsidP="00066DCF">
            <w:pPr>
              <w:keepNext/>
              <w:tabs>
                <w:tab w:val="left" w:pos="1304"/>
              </w:tabs>
              <w:spacing w:after="60" w:line="240" w:lineRule="atLeast"/>
              <w:outlineLvl w:val="3"/>
              <w:rPr>
                <w:rFonts w:cs="Arial"/>
                <w:bCs/>
                <w:lang w:val="pt-PT"/>
              </w:rPr>
            </w:pPr>
          </w:p>
          <w:p w14:paraId="3CB9E771" w14:textId="77777777" w:rsidR="00215140" w:rsidRDefault="00215140" w:rsidP="00066DCF">
            <w:pPr>
              <w:keepNext/>
              <w:tabs>
                <w:tab w:val="left" w:pos="1304"/>
              </w:tabs>
              <w:spacing w:after="60" w:line="240" w:lineRule="atLeast"/>
              <w:outlineLvl w:val="3"/>
              <w:rPr>
                <w:rFonts w:cs="Arial"/>
                <w:bCs/>
                <w:lang w:val="pt-PT"/>
              </w:rPr>
            </w:pPr>
          </w:p>
          <w:p w14:paraId="42F0A50E" w14:textId="77777777" w:rsidR="00215140" w:rsidRDefault="00215140" w:rsidP="00066DCF">
            <w:pPr>
              <w:keepNext/>
              <w:tabs>
                <w:tab w:val="left" w:pos="1304"/>
              </w:tabs>
              <w:spacing w:after="60" w:line="240" w:lineRule="atLeast"/>
              <w:outlineLvl w:val="3"/>
              <w:rPr>
                <w:rFonts w:cs="Arial"/>
                <w:bCs/>
                <w:lang w:val="pt-PT"/>
              </w:rPr>
            </w:pPr>
          </w:p>
          <w:p w14:paraId="24F8DD1C" w14:textId="77777777" w:rsidR="00215140" w:rsidRDefault="00215140" w:rsidP="00066DCF">
            <w:pPr>
              <w:keepNext/>
              <w:tabs>
                <w:tab w:val="left" w:pos="1304"/>
              </w:tabs>
              <w:spacing w:after="60" w:line="240" w:lineRule="atLeast"/>
              <w:outlineLvl w:val="3"/>
              <w:rPr>
                <w:rFonts w:cs="Arial"/>
                <w:bCs/>
                <w:lang w:val="pt-PT"/>
              </w:rPr>
            </w:pPr>
          </w:p>
          <w:p w14:paraId="7A473889" w14:textId="77777777" w:rsidR="00215140" w:rsidRDefault="00215140" w:rsidP="00066DCF">
            <w:pPr>
              <w:keepNext/>
              <w:tabs>
                <w:tab w:val="left" w:pos="1304"/>
              </w:tabs>
              <w:spacing w:after="60" w:line="240" w:lineRule="atLeast"/>
              <w:outlineLvl w:val="3"/>
              <w:rPr>
                <w:rFonts w:cs="Arial"/>
                <w:bCs/>
                <w:lang w:val="pt-PT"/>
              </w:rPr>
            </w:pPr>
          </w:p>
          <w:p w14:paraId="1950D6E9" w14:textId="77777777" w:rsidR="00215140" w:rsidRDefault="00215140" w:rsidP="00066DCF">
            <w:pPr>
              <w:keepNext/>
              <w:tabs>
                <w:tab w:val="left" w:pos="1304"/>
              </w:tabs>
              <w:spacing w:after="60" w:line="240" w:lineRule="atLeast"/>
              <w:outlineLvl w:val="3"/>
              <w:rPr>
                <w:rFonts w:cs="Arial"/>
                <w:bCs/>
                <w:lang w:val="pt-PT"/>
              </w:rPr>
            </w:pPr>
          </w:p>
          <w:p w14:paraId="4D5154ED" w14:textId="77777777" w:rsidR="00215140" w:rsidRDefault="00215140" w:rsidP="00066DCF">
            <w:pPr>
              <w:keepNext/>
              <w:tabs>
                <w:tab w:val="left" w:pos="1304"/>
              </w:tabs>
              <w:spacing w:after="60" w:line="240" w:lineRule="atLeast"/>
              <w:outlineLvl w:val="3"/>
              <w:rPr>
                <w:rFonts w:cs="Arial"/>
                <w:bCs/>
                <w:lang w:val="pt-PT"/>
              </w:rPr>
            </w:pPr>
          </w:p>
          <w:p w14:paraId="4433EF59" w14:textId="77777777" w:rsidR="00215140" w:rsidRDefault="00215140" w:rsidP="00066DCF">
            <w:pPr>
              <w:keepNext/>
              <w:tabs>
                <w:tab w:val="left" w:pos="1304"/>
              </w:tabs>
              <w:spacing w:after="60" w:line="240" w:lineRule="atLeast"/>
              <w:outlineLvl w:val="3"/>
              <w:rPr>
                <w:rFonts w:cs="Arial"/>
                <w:bCs/>
                <w:lang w:val="pt-PT"/>
              </w:rPr>
            </w:pPr>
          </w:p>
          <w:p w14:paraId="17720EB6" w14:textId="77777777" w:rsidR="00215140" w:rsidRDefault="00215140" w:rsidP="00066DCF">
            <w:pPr>
              <w:keepNext/>
              <w:tabs>
                <w:tab w:val="left" w:pos="1304"/>
              </w:tabs>
              <w:spacing w:after="60" w:line="240" w:lineRule="atLeast"/>
              <w:outlineLvl w:val="3"/>
              <w:rPr>
                <w:rFonts w:cs="Arial"/>
                <w:bCs/>
                <w:lang w:val="pt-PT"/>
              </w:rPr>
            </w:pPr>
          </w:p>
          <w:p w14:paraId="0DAB2CBE" w14:textId="77777777" w:rsidR="00215140" w:rsidRDefault="00215140" w:rsidP="00066DCF">
            <w:pPr>
              <w:keepNext/>
              <w:tabs>
                <w:tab w:val="left" w:pos="1304"/>
              </w:tabs>
              <w:spacing w:after="60" w:line="240" w:lineRule="atLeast"/>
              <w:outlineLvl w:val="3"/>
              <w:rPr>
                <w:rFonts w:cs="Arial"/>
                <w:bCs/>
                <w:lang w:val="pt-PT"/>
              </w:rPr>
            </w:pPr>
          </w:p>
          <w:p w14:paraId="7AE03994" w14:textId="77777777" w:rsidR="00215140" w:rsidRDefault="00215140" w:rsidP="00066DCF">
            <w:pPr>
              <w:keepNext/>
              <w:tabs>
                <w:tab w:val="left" w:pos="1304"/>
              </w:tabs>
              <w:spacing w:after="60" w:line="240" w:lineRule="atLeast"/>
              <w:outlineLvl w:val="3"/>
              <w:rPr>
                <w:rFonts w:cs="Arial"/>
                <w:bCs/>
                <w:lang w:val="pt-PT"/>
              </w:rPr>
            </w:pPr>
          </w:p>
          <w:p w14:paraId="070DEAB0" w14:textId="77777777" w:rsidR="00215140" w:rsidRDefault="00215140" w:rsidP="00066DCF">
            <w:pPr>
              <w:keepNext/>
              <w:tabs>
                <w:tab w:val="left" w:pos="1304"/>
              </w:tabs>
              <w:spacing w:after="60" w:line="240" w:lineRule="atLeast"/>
              <w:outlineLvl w:val="3"/>
              <w:rPr>
                <w:rFonts w:cs="Arial"/>
                <w:bCs/>
                <w:lang w:val="pt-PT"/>
              </w:rPr>
            </w:pPr>
          </w:p>
          <w:p w14:paraId="3BF12898" w14:textId="77777777" w:rsidR="00215140" w:rsidRDefault="00215140" w:rsidP="00066DCF">
            <w:pPr>
              <w:keepNext/>
              <w:tabs>
                <w:tab w:val="left" w:pos="1304"/>
              </w:tabs>
              <w:spacing w:after="60" w:line="240" w:lineRule="atLeast"/>
              <w:outlineLvl w:val="3"/>
              <w:rPr>
                <w:rFonts w:cs="Arial"/>
                <w:bCs/>
                <w:lang w:val="pt-PT"/>
              </w:rPr>
            </w:pPr>
          </w:p>
          <w:p w14:paraId="2DAF3413" w14:textId="77777777" w:rsidR="00215140" w:rsidRDefault="00215140" w:rsidP="00066DCF">
            <w:pPr>
              <w:keepNext/>
              <w:tabs>
                <w:tab w:val="left" w:pos="1304"/>
              </w:tabs>
              <w:spacing w:after="60" w:line="240" w:lineRule="atLeast"/>
              <w:outlineLvl w:val="3"/>
              <w:rPr>
                <w:rFonts w:cs="Arial"/>
                <w:bCs/>
                <w:lang w:val="pt-PT"/>
              </w:rPr>
            </w:pPr>
          </w:p>
          <w:p w14:paraId="356D831C" w14:textId="77777777" w:rsidR="00215140" w:rsidRDefault="00215140" w:rsidP="00066DCF">
            <w:pPr>
              <w:keepNext/>
              <w:tabs>
                <w:tab w:val="left" w:pos="1304"/>
              </w:tabs>
              <w:spacing w:after="60" w:line="240" w:lineRule="atLeast"/>
              <w:outlineLvl w:val="3"/>
              <w:rPr>
                <w:rFonts w:cs="Arial"/>
                <w:bCs/>
                <w:lang w:val="pt-PT"/>
              </w:rPr>
            </w:pPr>
          </w:p>
          <w:p w14:paraId="454BAA94" w14:textId="77777777" w:rsidR="00215140" w:rsidRDefault="00215140" w:rsidP="00066DCF">
            <w:pPr>
              <w:keepNext/>
              <w:tabs>
                <w:tab w:val="left" w:pos="1304"/>
              </w:tabs>
              <w:spacing w:after="60" w:line="240" w:lineRule="atLeast"/>
              <w:outlineLvl w:val="3"/>
              <w:rPr>
                <w:rFonts w:cs="Arial"/>
                <w:bCs/>
                <w:lang w:val="pt-PT"/>
              </w:rPr>
            </w:pPr>
          </w:p>
          <w:p w14:paraId="02DBCEB4" w14:textId="77777777" w:rsidR="00215140" w:rsidRDefault="00215140" w:rsidP="00066DCF">
            <w:pPr>
              <w:keepNext/>
              <w:tabs>
                <w:tab w:val="left" w:pos="1304"/>
              </w:tabs>
              <w:spacing w:after="60" w:line="240" w:lineRule="atLeast"/>
              <w:outlineLvl w:val="3"/>
              <w:rPr>
                <w:rFonts w:cs="Arial"/>
                <w:bCs/>
                <w:lang w:val="pt-PT"/>
              </w:rPr>
            </w:pPr>
          </w:p>
          <w:p w14:paraId="45958830" w14:textId="77777777" w:rsidR="00215140" w:rsidRDefault="00215140" w:rsidP="00066DCF">
            <w:pPr>
              <w:keepNext/>
              <w:tabs>
                <w:tab w:val="left" w:pos="1304"/>
              </w:tabs>
              <w:spacing w:after="60" w:line="240" w:lineRule="atLeast"/>
              <w:outlineLvl w:val="3"/>
              <w:rPr>
                <w:rFonts w:cs="Arial"/>
                <w:bCs/>
                <w:lang w:val="pt-PT"/>
              </w:rPr>
            </w:pPr>
          </w:p>
          <w:p w14:paraId="14966725" w14:textId="77777777" w:rsidR="00215140" w:rsidRDefault="00215140" w:rsidP="00066DCF">
            <w:pPr>
              <w:keepNext/>
              <w:tabs>
                <w:tab w:val="left" w:pos="1304"/>
              </w:tabs>
              <w:spacing w:after="60" w:line="240" w:lineRule="atLeast"/>
              <w:outlineLvl w:val="3"/>
              <w:rPr>
                <w:rFonts w:cs="Arial"/>
                <w:bCs/>
                <w:lang w:val="pt-PT"/>
              </w:rPr>
            </w:pPr>
          </w:p>
          <w:p w14:paraId="68FFA86B" w14:textId="77777777" w:rsidR="00215140" w:rsidRDefault="00215140" w:rsidP="00066DCF">
            <w:pPr>
              <w:keepNext/>
              <w:tabs>
                <w:tab w:val="left" w:pos="1304"/>
              </w:tabs>
              <w:spacing w:after="60" w:line="240" w:lineRule="atLeast"/>
              <w:outlineLvl w:val="3"/>
              <w:rPr>
                <w:rFonts w:cs="Arial"/>
                <w:bCs/>
                <w:lang w:val="pt-PT"/>
              </w:rPr>
            </w:pPr>
          </w:p>
          <w:p w14:paraId="32ECF0A1" w14:textId="77777777" w:rsidR="00215140" w:rsidRDefault="00215140" w:rsidP="00066DCF">
            <w:pPr>
              <w:keepNext/>
              <w:tabs>
                <w:tab w:val="left" w:pos="1304"/>
              </w:tabs>
              <w:spacing w:after="60" w:line="240" w:lineRule="atLeast"/>
              <w:outlineLvl w:val="3"/>
              <w:rPr>
                <w:rFonts w:cs="Arial"/>
                <w:bCs/>
                <w:lang w:val="pt-PT"/>
              </w:rPr>
            </w:pPr>
          </w:p>
          <w:p w14:paraId="46D82F92" w14:textId="77777777" w:rsidR="00215140" w:rsidRDefault="00215140" w:rsidP="00066DCF">
            <w:pPr>
              <w:keepNext/>
              <w:tabs>
                <w:tab w:val="left" w:pos="1304"/>
              </w:tabs>
              <w:spacing w:after="60" w:line="240" w:lineRule="atLeast"/>
              <w:outlineLvl w:val="3"/>
              <w:rPr>
                <w:rFonts w:cs="Arial"/>
                <w:bCs/>
                <w:lang w:val="pt-PT"/>
              </w:rPr>
            </w:pPr>
          </w:p>
          <w:p w14:paraId="6EA5E122" w14:textId="77777777" w:rsidR="00215140" w:rsidRDefault="00215140" w:rsidP="00066DCF">
            <w:pPr>
              <w:keepNext/>
              <w:tabs>
                <w:tab w:val="left" w:pos="1304"/>
              </w:tabs>
              <w:spacing w:after="60" w:line="240" w:lineRule="atLeast"/>
              <w:outlineLvl w:val="3"/>
              <w:rPr>
                <w:rFonts w:cs="Arial"/>
                <w:bCs/>
                <w:lang w:val="pt-PT"/>
              </w:rPr>
            </w:pPr>
          </w:p>
          <w:p w14:paraId="6CBAC12C" w14:textId="77777777" w:rsidR="00215140" w:rsidRDefault="00215140" w:rsidP="00066DCF">
            <w:pPr>
              <w:keepNext/>
              <w:tabs>
                <w:tab w:val="left" w:pos="1304"/>
              </w:tabs>
              <w:spacing w:after="60" w:line="240" w:lineRule="atLeast"/>
              <w:outlineLvl w:val="3"/>
              <w:rPr>
                <w:rFonts w:cs="Arial"/>
                <w:bCs/>
                <w:lang w:val="pt-PT"/>
              </w:rPr>
            </w:pPr>
          </w:p>
          <w:p w14:paraId="53919D82" w14:textId="77777777" w:rsidR="00215140" w:rsidRDefault="00215140" w:rsidP="00066DCF">
            <w:pPr>
              <w:keepNext/>
              <w:tabs>
                <w:tab w:val="left" w:pos="1304"/>
              </w:tabs>
              <w:spacing w:after="60" w:line="240" w:lineRule="atLeast"/>
              <w:outlineLvl w:val="3"/>
              <w:rPr>
                <w:rFonts w:cs="Arial"/>
                <w:bCs/>
                <w:lang w:val="pt-PT"/>
              </w:rPr>
            </w:pPr>
          </w:p>
          <w:p w14:paraId="14546D0E" w14:textId="77777777" w:rsidR="00215140" w:rsidRDefault="00215140" w:rsidP="00066DCF">
            <w:pPr>
              <w:keepNext/>
              <w:tabs>
                <w:tab w:val="left" w:pos="1304"/>
              </w:tabs>
              <w:spacing w:after="60" w:line="240" w:lineRule="atLeast"/>
              <w:outlineLvl w:val="3"/>
              <w:rPr>
                <w:rFonts w:cs="Arial"/>
                <w:bCs/>
                <w:lang w:val="pt-PT"/>
              </w:rPr>
            </w:pPr>
          </w:p>
          <w:p w14:paraId="05E869FC" w14:textId="77777777" w:rsidR="00215140" w:rsidRDefault="00215140" w:rsidP="00066DCF">
            <w:pPr>
              <w:keepNext/>
              <w:tabs>
                <w:tab w:val="left" w:pos="1304"/>
              </w:tabs>
              <w:spacing w:after="60" w:line="240" w:lineRule="atLeast"/>
              <w:outlineLvl w:val="3"/>
              <w:rPr>
                <w:rFonts w:cs="Arial"/>
                <w:bCs/>
                <w:lang w:val="pt-PT"/>
              </w:rPr>
            </w:pPr>
          </w:p>
          <w:p w14:paraId="4036AF5B" w14:textId="77777777" w:rsidR="00215140" w:rsidRDefault="00215140" w:rsidP="00066DCF">
            <w:pPr>
              <w:keepNext/>
              <w:tabs>
                <w:tab w:val="left" w:pos="1304"/>
              </w:tabs>
              <w:spacing w:after="60" w:line="240" w:lineRule="atLeast"/>
              <w:outlineLvl w:val="3"/>
              <w:rPr>
                <w:rFonts w:cs="Arial"/>
                <w:bCs/>
                <w:lang w:val="pt-PT"/>
              </w:rPr>
            </w:pPr>
          </w:p>
          <w:p w14:paraId="0CF2027D" w14:textId="77777777" w:rsidR="00215140" w:rsidRDefault="00215140" w:rsidP="00066DCF">
            <w:pPr>
              <w:keepNext/>
              <w:tabs>
                <w:tab w:val="left" w:pos="1304"/>
              </w:tabs>
              <w:spacing w:after="60" w:line="240" w:lineRule="atLeast"/>
              <w:outlineLvl w:val="3"/>
              <w:rPr>
                <w:rFonts w:cs="Arial"/>
                <w:bCs/>
                <w:lang w:val="pt-PT"/>
              </w:rPr>
            </w:pPr>
          </w:p>
          <w:p w14:paraId="3B563360" w14:textId="77777777" w:rsidR="00215140" w:rsidRDefault="00215140" w:rsidP="00066DCF">
            <w:pPr>
              <w:keepNext/>
              <w:tabs>
                <w:tab w:val="left" w:pos="1304"/>
              </w:tabs>
              <w:spacing w:after="60" w:line="240" w:lineRule="atLeast"/>
              <w:outlineLvl w:val="3"/>
              <w:rPr>
                <w:rFonts w:cs="Arial"/>
                <w:bCs/>
                <w:lang w:val="pt-PT"/>
              </w:rPr>
            </w:pPr>
          </w:p>
          <w:p w14:paraId="74FDCC07" w14:textId="77777777" w:rsidR="00215140" w:rsidRDefault="00215140" w:rsidP="00066DCF">
            <w:pPr>
              <w:keepNext/>
              <w:tabs>
                <w:tab w:val="left" w:pos="1304"/>
              </w:tabs>
              <w:spacing w:after="60" w:line="240" w:lineRule="atLeast"/>
              <w:outlineLvl w:val="3"/>
              <w:rPr>
                <w:rFonts w:cs="Arial"/>
                <w:bCs/>
                <w:lang w:val="pt-PT"/>
              </w:rPr>
            </w:pPr>
          </w:p>
          <w:p w14:paraId="0C23AB86" w14:textId="11839C98" w:rsidR="00215140" w:rsidRPr="0003570B" w:rsidRDefault="00215140" w:rsidP="00066DCF">
            <w:pPr>
              <w:keepNext/>
              <w:tabs>
                <w:tab w:val="left" w:pos="1304"/>
              </w:tabs>
              <w:spacing w:after="60" w:line="240" w:lineRule="atLeast"/>
              <w:outlineLvl w:val="3"/>
              <w:rPr>
                <w:rFonts w:cs="Arial"/>
                <w:bCs/>
                <w:lang w:val="pt-PT"/>
              </w:rPr>
            </w:pPr>
          </w:p>
        </w:tc>
      </w:tr>
      <w:tr w:rsidR="00066DCF" w:rsidRPr="00F6579D" w14:paraId="3375FB2F" w14:textId="77777777" w:rsidTr="00AD5AD8">
        <w:trPr>
          <w:trHeight w:val="233"/>
        </w:trPr>
        <w:tc>
          <w:tcPr>
            <w:tcW w:w="2160" w:type="dxa"/>
          </w:tcPr>
          <w:p w14:paraId="495E3380" w14:textId="61AECD9E" w:rsidR="00066DCF" w:rsidRPr="00685696" w:rsidRDefault="00066DCF" w:rsidP="00066DCF">
            <w:pPr>
              <w:rPr>
                <w:rFonts w:cs="Arial"/>
                <w:lang w:eastAsia="de-DE"/>
              </w:rPr>
            </w:pPr>
            <w:r w:rsidRPr="00685696">
              <w:rPr>
                <w:rFonts w:cs="Arial"/>
                <w:lang w:eastAsia="de-DE"/>
              </w:rPr>
              <w:lastRenderedPageBreak/>
              <w:t xml:space="preserve">Storage stability test – </w:t>
            </w:r>
            <w:r w:rsidRPr="00685696">
              <w:rPr>
                <w:rFonts w:cs="Arial"/>
                <w:b/>
                <w:lang w:eastAsia="de-DE"/>
              </w:rPr>
              <w:t>low temperature stability test for liquids</w:t>
            </w:r>
          </w:p>
        </w:tc>
        <w:tc>
          <w:tcPr>
            <w:tcW w:w="1690" w:type="dxa"/>
          </w:tcPr>
          <w:p w14:paraId="3DEA8FB7" w14:textId="77777777" w:rsidR="00066DCF" w:rsidRPr="00685696" w:rsidRDefault="00066DCF" w:rsidP="00066DCF">
            <w:pPr>
              <w:pStyle w:val="Default"/>
              <w:jc w:val="both"/>
              <w:rPr>
                <w:rFonts w:ascii="Verdana" w:hAnsi="Verdana" w:cs="Arial"/>
                <w:sz w:val="20"/>
                <w:szCs w:val="20"/>
                <w:lang w:val="en-US"/>
              </w:rPr>
            </w:pPr>
            <w:r w:rsidRPr="00685696">
              <w:rPr>
                <w:rFonts w:ascii="Verdana" w:hAnsi="Verdana" w:cs="Arial"/>
                <w:sz w:val="20"/>
                <w:szCs w:val="20"/>
                <w:lang w:val="en-US"/>
              </w:rPr>
              <w:t xml:space="preserve">CIPAC MT 39.3 </w:t>
            </w:r>
          </w:p>
          <w:p w14:paraId="6A982DA1"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rPr>
              <w:t xml:space="preserve">(7 days at 0 ± 1ºC in closed glass bottle) </w:t>
            </w:r>
          </w:p>
        </w:tc>
        <w:tc>
          <w:tcPr>
            <w:tcW w:w="1503" w:type="dxa"/>
          </w:tcPr>
          <w:p w14:paraId="6B1B64A2" w14:textId="77777777" w:rsidR="00066DCF" w:rsidRPr="00685696" w:rsidRDefault="00066DCF" w:rsidP="00066DCF">
            <w:pPr>
              <w:rPr>
                <w:rFonts w:cs="Arial"/>
                <w:lang w:eastAsia="de-DE"/>
              </w:rPr>
            </w:pPr>
            <w:r w:rsidRPr="00685696">
              <w:rPr>
                <w:rFonts w:cs="Arial"/>
                <w:lang w:eastAsia="de-DE"/>
              </w:rPr>
              <w:t>X6122B1</w:t>
            </w:r>
          </w:p>
          <w:p w14:paraId="14F09151" w14:textId="77777777" w:rsidR="00066DCF" w:rsidRPr="00685696" w:rsidRDefault="00066DCF" w:rsidP="00066DCF">
            <w:pPr>
              <w:rPr>
                <w:rFonts w:cs="Arial"/>
                <w:lang w:eastAsia="de-DE"/>
              </w:rPr>
            </w:pPr>
            <w:r w:rsidRPr="00685696">
              <w:rPr>
                <w:rFonts w:cs="Arial"/>
                <w:lang w:eastAsia="de-DE"/>
              </w:rPr>
              <w:t>Lot/batch No.: PaP V 83.2</w:t>
            </w:r>
          </w:p>
          <w:p w14:paraId="6C038AA5" w14:textId="77777777" w:rsidR="00066DCF" w:rsidRPr="00685696" w:rsidRDefault="00066DCF" w:rsidP="00066DCF">
            <w:pPr>
              <w:keepNext/>
              <w:tabs>
                <w:tab w:val="left" w:pos="1304"/>
              </w:tabs>
              <w:spacing w:after="60" w:line="240" w:lineRule="atLeast"/>
              <w:outlineLvl w:val="3"/>
              <w:rPr>
                <w:rFonts w:cs="Arial"/>
                <w:b/>
                <w:bCs/>
              </w:rPr>
            </w:pPr>
          </w:p>
        </w:tc>
        <w:tc>
          <w:tcPr>
            <w:tcW w:w="4885" w:type="dxa"/>
          </w:tcPr>
          <w:p w14:paraId="5EEABAF3"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test item was physically stable after storage at 0 ± 2°C for 7 days in HDPE bottles. No deposit or phase partition was observed. No change regarding the appearance of the product has been noted.</w:t>
            </w:r>
          </w:p>
        </w:tc>
        <w:tc>
          <w:tcPr>
            <w:tcW w:w="2448" w:type="dxa"/>
          </w:tcPr>
          <w:p w14:paraId="6E12E267"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 The preparation is stable after storage 7 days at 0°C.</w:t>
            </w:r>
          </w:p>
        </w:tc>
        <w:tc>
          <w:tcPr>
            <w:tcW w:w="1984" w:type="dxa"/>
          </w:tcPr>
          <w:p w14:paraId="6584795C"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Legay S. 2015</w:t>
            </w:r>
          </w:p>
          <w:p w14:paraId="2630A6A6"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402/14/1095F/defgh-e</w:t>
            </w:r>
          </w:p>
        </w:tc>
      </w:tr>
      <w:tr w:rsidR="00066DCF" w:rsidRPr="00685696" w14:paraId="3B3AD0AC" w14:textId="77777777" w:rsidTr="00AD5AD8">
        <w:trPr>
          <w:trHeight w:val="233"/>
        </w:trPr>
        <w:tc>
          <w:tcPr>
            <w:tcW w:w="2160" w:type="dxa"/>
          </w:tcPr>
          <w:p w14:paraId="5031FB7C" w14:textId="77777777" w:rsidR="00066DCF" w:rsidRPr="00685696" w:rsidRDefault="00066DCF" w:rsidP="00066DCF">
            <w:pPr>
              <w:rPr>
                <w:rFonts w:cs="Arial"/>
                <w:lang w:eastAsia="en-US"/>
              </w:rPr>
            </w:pPr>
            <w:r w:rsidRPr="00685696">
              <w:rPr>
                <w:rFonts w:cs="Arial"/>
                <w:lang w:eastAsia="en-US"/>
              </w:rPr>
              <w:t xml:space="preserve">Effects on content of the active substance and technical characteristics of the biocidal product - </w:t>
            </w:r>
            <w:r w:rsidRPr="00685696">
              <w:rPr>
                <w:rFonts w:cs="Arial"/>
                <w:b/>
                <w:lang w:eastAsia="en-US"/>
              </w:rPr>
              <w:t>light</w:t>
            </w:r>
          </w:p>
        </w:tc>
        <w:tc>
          <w:tcPr>
            <w:tcW w:w="1690" w:type="dxa"/>
          </w:tcPr>
          <w:p w14:paraId="2889B3D7" w14:textId="77777777" w:rsidR="00066DCF" w:rsidRPr="00685696" w:rsidRDefault="00066DCF" w:rsidP="00066DCF">
            <w:pPr>
              <w:rPr>
                <w:rFonts w:cs="Arial"/>
                <w:lang w:eastAsia="en-US"/>
              </w:rPr>
            </w:pPr>
          </w:p>
        </w:tc>
        <w:tc>
          <w:tcPr>
            <w:tcW w:w="1503" w:type="dxa"/>
          </w:tcPr>
          <w:p w14:paraId="45C5193F" w14:textId="77777777" w:rsidR="00066DCF" w:rsidRPr="00685696" w:rsidRDefault="00066DCF" w:rsidP="00066DCF">
            <w:pPr>
              <w:rPr>
                <w:rFonts w:cs="Arial"/>
                <w:lang w:eastAsia="en-US"/>
              </w:rPr>
            </w:pPr>
          </w:p>
        </w:tc>
        <w:tc>
          <w:tcPr>
            <w:tcW w:w="4885" w:type="dxa"/>
          </w:tcPr>
          <w:p w14:paraId="35664D12" w14:textId="77777777" w:rsidR="00066DCF" w:rsidRPr="00685696" w:rsidRDefault="00066DCF" w:rsidP="00066DCF">
            <w:pPr>
              <w:rPr>
                <w:rFonts w:cs="Arial"/>
                <w:lang w:eastAsia="en-US"/>
              </w:rPr>
            </w:pPr>
            <w:r w:rsidRPr="00685696">
              <w:rPr>
                <w:rFonts w:cs="Arial"/>
                <w:lang w:eastAsia="en-US"/>
              </w:rPr>
              <w:t xml:space="preserve">Not required as the biocidal product is packed in opaque commercial packagings. Moreover, active substances are not sensitive to light. </w:t>
            </w:r>
          </w:p>
        </w:tc>
        <w:tc>
          <w:tcPr>
            <w:tcW w:w="2448" w:type="dxa"/>
          </w:tcPr>
          <w:p w14:paraId="30A77472" w14:textId="53613EC9" w:rsidR="00066DCF" w:rsidRPr="00685696" w:rsidRDefault="00C10647" w:rsidP="00066DCF">
            <w:pPr>
              <w:rPr>
                <w:rFonts w:cs="Arial"/>
                <w:lang w:eastAsia="en-US"/>
              </w:rPr>
            </w:pPr>
            <w:r w:rsidRPr="00B100F1">
              <w:rPr>
                <w:rFonts w:cs="Arial"/>
                <w:lang w:eastAsia="en-US"/>
              </w:rPr>
              <w:t xml:space="preserve">Not acceptable. Cypermethrin is sensitive to light and one packaging (HDPE) is not </w:t>
            </w:r>
            <w:r w:rsidR="007712D1" w:rsidRPr="00B100F1">
              <w:rPr>
                <w:rFonts w:cs="Arial"/>
                <w:lang w:eastAsia="en-US"/>
              </w:rPr>
              <w:t xml:space="preserve">a </w:t>
            </w:r>
            <w:r w:rsidRPr="00B100F1">
              <w:rPr>
                <w:rFonts w:cs="Arial"/>
                <w:lang w:eastAsia="en-US"/>
              </w:rPr>
              <w:t xml:space="preserve">barrier </w:t>
            </w:r>
            <w:proofErr w:type="gramStart"/>
            <w:r w:rsidRPr="00B100F1">
              <w:rPr>
                <w:rFonts w:cs="Arial"/>
                <w:lang w:eastAsia="en-US"/>
              </w:rPr>
              <w:t xml:space="preserve">to </w:t>
            </w:r>
            <w:r w:rsidR="007712D1" w:rsidRPr="00B100F1">
              <w:rPr>
                <w:rFonts w:cs="Arial"/>
                <w:lang w:eastAsia="en-US"/>
              </w:rPr>
              <w:t xml:space="preserve"> the</w:t>
            </w:r>
            <w:proofErr w:type="gramEnd"/>
            <w:r w:rsidR="007712D1" w:rsidRPr="00B100F1">
              <w:rPr>
                <w:rFonts w:cs="Arial"/>
                <w:lang w:eastAsia="en-US"/>
              </w:rPr>
              <w:t xml:space="preserve"> </w:t>
            </w:r>
            <w:r w:rsidRPr="00B100F1">
              <w:rPr>
                <w:rFonts w:cs="Arial"/>
                <w:lang w:eastAsia="en-US"/>
              </w:rPr>
              <w:t>light. Therefore, the product should be stored away from light.</w:t>
            </w:r>
          </w:p>
          <w:p w14:paraId="232B0924" w14:textId="77777777" w:rsidR="00066DCF" w:rsidRPr="00685696" w:rsidRDefault="00066DCF" w:rsidP="00066DCF">
            <w:pPr>
              <w:rPr>
                <w:rFonts w:cs="Arial"/>
                <w:lang w:eastAsia="en-US"/>
              </w:rPr>
            </w:pPr>
          </w:p>
        </w:tc>
        <w:tc>
          <w:tcPr>
            <w:tcW w:w="1984" w:type="dxa"/>
          </w:tcPr>
          <w:p w14:paraId="450A67BE" w14:textId="77777777" w:rsidR="00066DCF" w:rsidRPr="00685696" w:rsidRDefault="00066DCF" w:rsidP="00066DCF">
            <w:pPr>
              <w:rPr>
                <w:rFonts w:cs="Arial"/>
                <w:lang w:eastAsia="en-US"/>
              </w:rPr>
            </w:pPr>
          </w:p>
        </w:tc>
      </w:tr>
      <w:tr w:rsidR="00066DCF" w:rsidRPr="00685696" w14:paraId="5AFADDD5" w14:textId="77777777" w:rsidTr="00AD5AD8">
        <w:trPr>
          <w:trHeight w:val="233"/>
        </w:trPr>
        <w:tc>
          <w:tcPr>
            <w:tcW w:w="2160" w:type="dxa"/>
          </w:tcPr>
          <w:p w14:paraId="5A64187F" w14:textId="77777777" w:rsidR="00066DCF" w:rsidRPr="00685696" w:rsidRDefault="00066DCF" w:rsidP="00066DCF">
            <w:pPr>
              <w:rPr>
                <w:rFonts w:cs="Arial"/>
                <w:lang w:eastAsia="de-DE"/>
              </w:rPr>
            </w:pPr>
            <w:r w:rsidRPr="00685696">
              <w:rPr>
                <w:rFonts w:cs="Arial"/>
                <w:lang w:eastAsia="de-DE"/>
              </w:rPr>
              <w:lastRenderedPageBreak/>
              <w:t xml:space="preserve">Effects on content of the active substance and technical characteristics of the biocidal product – </w:t>
            </w:r>
            <w:r w:rsidRPr="00685696">
              <w:rPr>
                <w:rFonts w:cs="Arial"/>
                <w:b/>
                <w:lang w:eastAsia="de-DE"/>
              </w:rPr>
              <w:t>temperature and humidity</w:t>
            </w:r>
          </w:p>
        </w:tc>
        <w:tc>
          <w:tcPr>
            <w:tcW w:w="1690" w:type="dxa"/>
          </w:tcPr>
          <w:p w14:paraId="4D0C9AF3" w14:textId="77777777" w:rsidR="00066DCF" w:rsidRPr="00685696" w:rsidRDefault="00066DCF" w:rsidP="00066DCF">
            <w:pPr>
              <w:rPr>
                <w:rFonts w:cs="Arial"/>
                <w:lang w:eastAsia="de-DE"/>
              </w:rPr>
            </w:pPr>
          </w:p>
        </w:tc>
        <w:tc>
          <w:tcPr>
            <w:tcW w:w="1503" w:type="dxa"/>
          </w:tcPr>
          <w:p w14:paraId="77A13BCF" w14:textId="77777777" w:rsidR="00066DCF" w:rsidRPr="00685696" w:rsidRDefault="00066DCF" w:rsidP="00066DCF">
            <w:pPr>
              <w:rPr>
                <w:rFonts w:cs="Arial"/>
                <w:lang w:eastAsia="de-DE"/>
              </w:rPr>
            </w:pPr>
          </w:p>
        </w:tc>
        <w:tc>
          <w:tcPr>
            <w:tcW w:w="4885" w:type="dxa"/>
          </w:tcPr>
          <w:p w14:paraId="7F8064BD" w14:textId="77777777" w:rsidR="00066DCF" w:rsidRPr="00685696" w:rsidRDefault="00066DCF" w:rsidP="00066DCF">
            <w:pPr>
              <w:rPr>
                <w:rFonts w:cs="Arial"/>
                <w:lang w:eastAsia="de-DE"/>
              </w:rPr>
            </w:pPr>
            <w:r w:rsidRPr="00685696">
              <w:rPr>
                <w:rFonts w:cs="Arial"/>
                <w:lang w:eastAsia="de-DE"/>
              </w:rPr>
              <w:t xml:space="preserve">The test item X6122B1 was not considered to be stable after 8 weeks at 40 ± 2°C but stable after 7 days at 0 ± 2°C. </w:t>
            </w:r>
          </w:p>
          <w:p w14:paraId="7BA5A044" w14:textId="77777777" w:rsidR="00066DCF" w:rsidRPr="00685696" w:rsidRDefault="00066DCF" w:rsidP="00066DCF">
            <w:pPr>
              <w:rPr>
                <w:rFonts w:cs="Arial"/>
                <w:lang w:eastAsia="de-DE"/>
              </w:rPr>
            </w:pPr>
            <w:r w:rsidRPr="00685696">
              <w:rPr>
                <w:rFonts w:cs="Arial"/>
                <w:lang w:eastAsia="de-DE"/>
              </w:rPr>
              <w:t>The individual commercial packagings are hermetically closed with a cap. With their closure systems, the packagings are leak-tight.</w:t>
            </w:r>
          </w:p>
        </w:tc>
        <w:tc>
          <w:tcPr>
            <w:tcW w:w="2448" w:type="dxa"/>
          </w:tcPr>
          <w:p w14:paraId="1C02496A" w14:textId="77777777" w:rsidR="00066DCF" w:rsidRPr="00685696" w:rsidRDefault="006B5529" w:rsidP="00066DCF">
            <w:pPr>
              <w:rPr>
                <w:rFonts w:cs="Arial"/>
                <w:lang w:eastAsia="de-DE"/>
              </w:rPr>
            </w:pPr>
            <w:r w:rsidRPr="00685696">
              <w:rPr>
                <w:rFonts w:cs="Arial"/>
                <w:bCs/>
              </w:rPr>
              <w:t>The product is not considered stable at 40°C.</w:t>
            </w:r>
          </w:p>
        </w:tc>
        <w:tc>
          <w:tcPr>
            <w:tcW w:w="1984" w:type="dxa"/>
          </w:tcPr>
          <w:p w14:paraId="1EC732F7" w14:textId="77777777" w:rsidR="00066DCF" w:rsidRPr="00685696" w:rsidRDefault="00066DCF" w:rsidP="00066DCF">
            <w:pPr>
              <w:rPr>
                <w:rFonts w:cs="Arial"/>
                <w:lang w:eastAsia="de-DE"/>
              </w:rPr>
            </w:pPr>
          </w:p>
        </w:tc>
      </w:tr>
      <w:tr w:rsidR="00066DCF" w:rsidRPr="00685696" w14:paraId="21C29C37" w14:textId="77777777" w:rsidTr="00AD5AD8">
        <w:trPr>
          <w:trHeight w:val="233"/>
        </w:trPr>
        <w:tc>
          <w:tcPr>
            <w:tcW w:w="2160" w:type="dxa"/>
          </w:tcPr>
          <w:p w14:paraId="651D25BE" w14:textId="77777777" w:rsidR="00066DCF" w:rsidRPr="00685696" w:rsidRDefault="00066DCF" w:rsidP="00066DCF">
            <w:pPr>
              <w:rPr>
                <w:rFonts w:cs="Arial"/>
                <w:lang w:eastAsia="de-DE"/>
              </w:rPr>
            </w:pPr>
            <w:r w:rsidRPr="00685696">
              <w:rPr>
                <w:rFonts w:cs="Arial"/>
                <w:lang w:eastAsia="de-DE"/>
              </w:rPr>
              <w:t xml:space="preserve">Effects on content of the active substance and technical characteristics of the biocidal product - </w:t>
            </w:r>
            <w:r w:rsidRPr="00685696">
              <w:rPr>
                <w:rFonts w:cs="Arial"/>
                <w:b/>
                <w:lang w:eastAsia="de-DE"/>
              </w:rPr>
              <w:t>reactivity towards container material</w:t>
            </w:r>
          </w:p>
        </w:tc>
        <w:tc>
          <w:tcPr>
            <w:tcW w:w="1690" w:type="dxa"/>
          </w:tcPr>
          <w:p w14:paraId="2A3DE369" w14:textId="77777777" w:rsidR="00066DCF" w:rsidRPr="00685696" w:rsidRDefault="00066DCF" w:rsidP="00066DCF">
            <w:pPr>
              <w:rPr>
                <w:rFonts w:cs="Arial"/>
                <w:lang w:eastAsia="de-DE"/>
              </w:rPr>
            </w:pPr>
          </w:p>
        </w:tc>
        <w:tc>
          <w:tcPr>
            <w:tcW w:w="1503" w:type="dxa"/>
          </w:tcPr>
          <w:p w14:paraId="2349F083" w14:textId="77777777" w:rsidR="00066DCF" w:rsidRPr="00685696" w:rsidRDefault="00066DCF" w:rsidP="00066DCF">
            <w:pPr>
              <w:rPr>
                <w:rFonts w:cs="Arial"/>
                <w:lang w:eastAsia="de-DE"/>
              </w:rPr>
            </w:pPr>
          </w:p>
        </w:tc>
        <w:tc>
          <w:tcPr>
            <w:tcW w:w="4885" w:type="dxa"/>
          </w:tcPr>
          <w:p w14:paraId="669CA25C" w14:textId="77777777" w:rsidR="00066DCF" w:rsidRPr="00685696" w:rsidRDefault="00066DCF" w:rsidP="00066DCF">
            <w:pPr>
              <w:rPr>
                <w:rFonts w:cs="Arial"/>
                <w:lang w:eastAsia="de-DE"/>
              </w:rPr>
            </w:pPr>
            <w:r w:rsidRPr="00685696">
              <w:rPr>
                <w:rFonts w:cs="Arial"/>
                <w:lang w:eastAsia="de-DE"/>
              </w:rPr>
              <w:t>The product is compatible with metal can and HDPE containers (see results of the accelerated storage stability and shelf life study). Therefore no further data are required.</w:t>
            </w:r>
          </w:p>
        </w:tc>
        <w:tc>
          <w:tcPr>
            <w:tcW w:w="2448" w:type="dxa"/>
          </w:tcPr>
          <w:p w14:paraId="220D9C49" w14:textId="77777777" w:rsidR="00066DCF" w:rsidRPr="00685696" w:rsidRDefault="00066DCF" w:rsidP="00066DCF">
            <w:pPr>
              <w:rPr>
                <w:rFonts w:cs="Arial"/>
                <w:lang w:eastAsia="de-DE"/>
              </w:rPr>
            </w:pPr>
            <w:r w:rsidRPr="00685696">
              <w:rPr>
                <w:rFonts w:cs="Arial"/>
                <w:lang w:eastAsia="de-DE"/>
              </w:rPr>
              <w:t xml:space="preserve">Acceptable. </w:t>
            </w:r>
          </w:p>
        </w:tc>
        <w:tc>
          <w:tcPr>
            <w:tcW w:w="1984" w:type="dxa"/>
          </w:tcPr>
          <w:p w14:paraId="7F314F78" w14:textId="77777777" w:rsidR="00066DCF" w:rsidRPr="00685696" w:rsidRDefault="00066DCF" w:rsidP="00066DCF">
            <w:pPr>
              <w:rPr>
                <w:rFonts w:cs="Arial"/>
                <w:lang w:eastAsia="de-DE"/>
              </w:rPr>
            </w:pPr>
          </w:p>
        </w:tc>
      </w:tr>
      <w:tr w:rsidR="00066DCF" w:rsidRPr="00685696" w14:paraId="08C1933D" w14:textId="77777777" w:rsidTr="00AD5AD8">
        <w:trPr>
          <w:trHeight w:val="233"/>
        </w:trPr>
        <w:tc>
          <w:tcPr>
            <w:tcW w:w="2160" w:type="dxa"/>
          </w:tcPr>
          <w:p w14:paraId="41EFB9EE" w14:textId="77777777" w:rsidR="00066DCF" w:rsidRPr="00685696" w:rsidRDefault="00066DCF" w:rsidP="00066DCF">
            <w:pPr>
              <w:rPr>
                <w:rFonts w:cs="Arial"/>
                <w:lang w:eastAsia="de-DE"/>
              </w:rPr>
            </w:pPr>
            <w:r w:rsidRPr="00685696">
              <w:rPr>
                <w:rFonts w:cs="Arial"/>
                <w:lang w:eastAsia="de-DE"/>
              </w:rPr>
              <w:t>Wettability</w:t>
            </w:r>
          </w:p>
        </w:tc>
        <w:tc>
          <w:tcPr>
            <w:tcW w:w="1690" w:type="dxa"/>
          </w:tcPr>
          <w:p w14:paraId="24BCB209" w14:textId="77777777" w:rsidR="00066DCF" w:rsidRPr="00685696" w:rsidRDefault="00066DCF" w:rsidP="00066DCF">
            <w:pPr>
              <w:rPr>
                <w:rFonts w:cs="Arial"/>
                <w:lang w:eastAsia="de-DE"/>
              </w:rPr>
            </w:pPr>
          </w:p>
        </w:tc>
        <w:tc>
          <w:tcPr>
            <w:tcW w:w="1503" w:type="dxa"/>
          </w:tcPr>
          <w:p w14:paraId="7606BD30" w14:textId="77777777" w:rsidR="00066DCF" w:rsidRPr="00685696" w:rsidRDefault="00066DCF" w:rsidP="00066DCF">
            <w:pPr>
              <w:rPr>
                <w:rFonts w:cs="Arial"/>
                <w:lang w:eastAsia="de-DE"/>
              </w:rPr>
            </w:pPr>
          </w:p>
        </w:tc>
        <w:tc>
          <w:tcPr>
            <w:tcW w:w="4885" w:type="dxa"/>
          </w:tcPr>
          <w:p w14:paraId="7B94C3EF"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152D9E70"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1223F6D9" w14:textId="77777777" w:rsidR="00066DCF" w:rsidRPr="00685696" w:rsidRDefault="00066DCF" w:rsidP="00066DCF">
            <w:pPr>
              <w:rPr>
                <w:rFonts w:cs="Arial"/>
                <w:lang w:eastAsia="de-DE"/>
              </w:rPr>
            </w:pPr>
          </w:p>
        </w:tc>
      </w:tr>
      <w:tr w:rsidR="00066DCF" w:rsidRPr="00685696" w14:paraId="183410EA" w14:textId="77777777" w:rsidTr="00AD5AD8">
        <w:trPr>
          <w:trHeight w:val="233"/>
        </w:trPr>
        <w:tc>
          <w:tcPr>
            <w:tcW w:w="2160" w:type="dxa"/>
          </w:tcPr>
          <w:p w14:paraId="053A4BAD" w14:textId="77777777" w:rsidR="00066DCF" w:rsidRPr="00685696" w:rsidRDefault="00066DCF" w:rsidP="00066DCF">
            <w:pPr>
              <w:rPr>
                <w:rFonts w:cs="Arial"/>
                <w:lang w:eastAsia="de-DE"/>
              </w:rPr>
            </w:pPr>
            <w:r w:rsidRPr="00685696">
              <w:rPr>
                <w:rFonts w:cs="Arial"/>
                <w:lang w:eastAsia="de-DE"/>
              </w:rPr>
              <w:t>Suspensibility, spontaneity and dispersion stability</w:t>
            </w:r>
          </w:p>
        </w:tc>
        <w:tc>
          <w:tcPr>
            <w:tcW w:w="1690" w:type="dxa"/>
          </w:tcPr>
          <w:p w14:paraId="2875EE63" w14:textId="77777777" w:rsidR="00066DCF" w:rsidRPr="00685696" w:rsidRDefault="00066DCF" w:rsidP="00066DCF">
            <w:pPr>
              <w:rPr>
                <w:rFonts w:cs="Arial"/>
                <w:lang w:eastAsia="de-DE"/>
              </w:rPr>
            </w:pPr>
          </w:p>
        </w:tc>
        <w:tc>
          <w:tcPr>
            <w:tcW w:w="1503" w:type="dxa"/>
          </w:tcPr>
          <w:p w14:paraId="4F470AD4" w14:textId="77777777" w:rsidR="00066DCF" w:rsidRPr="00685696" w:rsidRDefault="00066DCF" w:rsidP="00066DCF">
            <w:pPr>
              <w:rPr>
                <w:rFonts w:cs="Arial"/>
                <w:lang w:eastAsia="de-DE"/>
              </w:rPr>
            </w:pPr>
          </w:p>
        </w:tc>
        <w:tc>
          <w:tcPr>
            <w:tcW w:w="4885" w:type="dxa"/>
          </w:tcPr>
          <w:p w14:paraId="73775010"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434768FA"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25931FB4" w14:textId="77777777" w:rsidR="00066DCF" w:rsidRPr="00685696" w:rsidRDefault="00066DCF" w:rsidP="00066DCF">
            <w:pPr>
              <w:rPr>
                <w:rFonts w:cs="Arial"/>
                <w:lang w:eastAsia="de-DE"/>
              </w:rPr>
            </w:pPr>
          </w:p>
        </w:tc>
      </w:tr>
      <w:tr w:rsidR="00066DCF" w:rsidRPr="00685696" w14:paraId="2B858FE9" w14:textId="77777777" w:rsidTr="00AD5AD8">
        <w:trPr>
          <w:trHeight w:val="233"/>
        </w:trPr>
        <w:tc>
          <w:tcPr>
            <w:tcW w:w="2160" w:type="dxa"/>
          </w:tcPr>
          <w:p w14:paraId="2079904A" w14:textId="77777777" w:rsidR="00066DCF" w:rsidRPr="00685696" w:rsidRDefault="00066DCF" w:rsidP="00066DCF">
            <w:pPr>
              <w:rPr>
                <w:rFonts w:cs="Arial"/>
                <w:lang w:eastAsia="de-DE"/>
              </w:rPr>
            </w:pPr>
            <w:r w:rsidRPr="00685696">
              <w:rPr>
                <w:rFonts w:cs="Arial"/>
                <w:lang w:eastAsia="de-DE"/>
              </w:rPr>
              <w:t>Wet sieve analysis and dry sieve test</w:t>
            </w:r>
          </w:p>
        </w:tc>
        <w:tc>
          <w:tcPr>
            <w:tcW w:w="1690" w:type="dxa"/>
          </w:tcPr>
          <w:p w14:paraId="72A131F5" w14:textId="77777777" w:rsidR="00066DCF" w:rsidRPr="00685696" w:rsidRDefault="00066DCF" w:rsidP="00066DCF">
            <w:pPr>
              <w:rPr>
                <w:rFonts w:cs="Arial"/>
                <w:lang w:eastAsia="de-DE"/>
              </w:rPr>
            </w:pPr>
          </w:p>
        </w:tc>
        <w:tc>
          <w:tcPr>
            <w:tcW w:w="1503" w:type="dxa"/>
          </w:tcPr>
          <w:p w14:paraId="2D06845C" w14:textId="77777777" w:rsidR="00066DCF" w:rsidRPr="00685696" w:rsidRDefault="00066DCF" w:rsidP="00066DCF">
            <w:pPr>
              <w:rPr>
                <w:rFonts w:cs="Arial"/>
                <w:lang w:eastAsia="de-DE"/>
              </w:rPr>
            </w:pPr>
          </w:p>
        </w:tc>
        <w:tc>
          <w:tcPr>
            <w:tcW w:w="4885" w:type="dxa"/>
          </w:tcPr>
          <w:p w14:paraId="6E1076BD"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08A82F25"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372542EF" w14:textId="77777777" w:rsidR="00066DCF" w:rsidRPr="00685696" w:rsidRDefault="00066DCF" w:rsidP="00066DCF">
            <w:pPr>
              <w:rPr>
                <w:rFonts w:cs="Arial"/>
                <w:lang w:eastAsia="de-DE"/>
              </w:rPr>
            </w:pPr>
          </w:p>
        </w:tc>
      </w:tr>
      <w:tr w:rsidR="00066DCF" w:rsidRPr="00685696" w14:paraId="00C109A8" w14:textId="77777777" w:rsidTr="00AD5AD8">
        <w:trPr>
          <w:trHeight w:val="233"/>
        </w:trPr>
        <w:tc>
          <w:tcPr>
            <w:tcW w:w="2160" w:type="dxa"/>
          </w:tcPr>
          <w:p w14:paraId="3DEEA341" w14:textId="77777777" w:rsidR="00066DCF" w:rsidRPr="00685696" w:rsidRDefault="00066DCF" w:rsidP="00066DCF">
            <w:pPr>
              <w:rPr>
                <w:rFonts w:cs="Arial"/>
                <w:lang w:eastAsia="de-DE"/>
              </w:rPr>
            </w:pPr>
            <w:r w:rsidRPr="00685696">
              <w:rPr>
                <w:rFonts w:cs="Arial"/>
                <w:lang w:eastAsia="de-DE"/>
              </w:rPr>
              <w:t>Emulsifiability, re-emulsifiability and emulsion stability</w:t>
            </w:r>
          </w:p>
        </w:tc>
        <w:tc>
          <w:tcPr>
            <w:tcW w:w="1690" w:type="dxa"/>
          </w:tcPr>
          <w:p w14:paraId="06F9C4A4" w14:textId="77777777" w:rsidR="00066DCF" w:rsidRPr="00685696" w:rsidRDefault="00066DCF" w:rsidP="00066DCF">
            <w:pPr>
              <w:rPr>
                <w:rFonts w:cs="Arial"/>
                <w:lang w:eastAsia="de-DE"/>
              </w:rPr>
            </w:pPr>
          </w:p>
        </w:tc>
        <w:tc>
          <w:tcPr>
            <w:tcW w:w="1503" w:type="dxa"/>
          </w:tcPr>
          <w:p w14:paraId="36F97AC1" w14:textId="77777777" w:rsidR="00066DCF" w:rsidRPr="00685696" w:rsidRDefault="00066DCF" w:rsidP="00066DCF">
            <w:pPr>
              <w:rPr>
                <w:rFonts w:cs="Arial"/>
                <w:lang w:eastAsia="de-DE"/>
              </w:rPr>
            </w:pPr>
          </w:p>
        </w:tc>
        <w:tc>
          <w:tcPr>
            <w:tcW w:w="4885" w:type="dxa"/>
          </w:tcPr>
          <w:p w14:paraId="1BE71A47"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0BE7D94F"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58885210" w14:textId="77777777" w:rsidR="00066DCF" w:rsidRPr="00685696" w:rsidRDefault="00066DCF" w:rsidP="00066DCF">
            <w:pPr>
              <w:rPr>
                <w:rFonts w:cs="Arial"/>
                <w:lang w:eastAsia="de-DE"/>
              </w:rPr>
            </w:pPr>
          </w:p>
        </w:tc>
      </w:tr>
      <w:tr w:rsidR="00066DCF" w:rsidRPr="00685696" w14:paraId="22984FEE" w14:textId="77777777" w:rsidTr="00AD5AD8">
        <w:trPr>
          <w:trHeight w:val="233"/>
        </w:trPr>
        <w:tc>
          <w:tcPr>
            <w:tcW w:w="2160" w:type="dxa"/>
          </w:tcPr>
          <w:p w14:paraId="089C1D58" w14:textId="77777777" w:rsidR="00066DCF" w:rsidRPr="00685696" w:rsidRDefault="00066DCF" w:rsidP="00066DCF">
            <w:pPr>
              <w:rPr>
                <w:rFonts w:cs="Arial"/>
                <w:lang w:eastAsia="de-DE"/>
              </w:rPr>
            </w:pPr>
            <w:r w:rsidRPr="00685696">
              <w:rPr>
                <w:rFonts w:cs="Arial"/>
                <w:lang w:eastAsia="de-DE"/>
              </w:rPr>
              <w:t>Disintegration time</w:t>
            </w:r>
          </w:p>
        </w:tc>
        <w:tc>
          <w:tcPr>
            <w:tcW w:w="1690" w:type="dxa"/>
          </w:tcPr>
          <w:p w14:paraId="681E6BFE" w14:textId="77777777" w:rsidR="00066DCF" w:rsidRPr="00685696" w:rsidRDefault="00066DCF" w:rsidP="00066DCF">
            <w:pPr>
              <w:rPr>
                <w:rFonts w:cs="Arial"/>
                <w:lang w:eastAsia="de-DE"/>
              </w:rPr>
            </w:pPr>
          </w:p>
        </w:tc>
        <w:tc>
          <w:tcPr>
            <w:tcW w:w="1503" w:type="dxa"/>
          </w:tcPr>
          <w:p w14:paraId="7221EF5C" w14:textId="77777777" w:rsidR="00066DCF" w:rsidRPr="00685696" w:rsidRDefault="00066DCF" w:rsidP="00066DCF">
            <w:pPr>
              <w:rPr>
                <w:rFonts w:cs="Arial"/>
                <w:lang w:eastAsia="de-DE"/>
              </w:rPr>
            </w:pPr>
          </w:p>
        </w:tc>
        <w:tc>
          <w:tcPr>
            <w:tcW w:w="4885" w:type="dxa"/>
          </w:tcPr>
          <w:p w14:paraId="1AE89D27"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68E1970A"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316C4B7A" w14:textId="77777777" w:rsidR="00066DCF" w:rsidRPr="00685696" w:rsidRDefault="00066DCF" w:rsidP="00066DCF">
            <w:pPr>
              <w:rPr>
                <w:rFonts w:cs="Arial"/>
                <w:lang w:eastAsia="de-DE"/>
              </w:rPr>
            </w:pPr>
          </w:p>
        </w:tc>
      </w:tr>
      <w:tr w:rsidR="00066DCF" w:rsidRPr="00685696" w14:paraId="6BD67074" w14:textId="77777777" w:rsidTr="00AD5AD8">
        <w:trPr>
          <w:trHeight w:val="233"/>
        </w:trPr>
        <w:tc>
          <w:tcPr>
            <w:tcW w:w="2160" w:type="dxa"/>
          </w:tcPr>
          <w:p w14:paraId="483F1150" w14:textId="77777777" w:rsidR="00066DCF" w:rsidRPr="00685696" w:rsidRDefault="00066DCF" w:rsidP="00066DCF">
            <w:pPr>
              <w:rPr>
                <w:rFonts w:cs="Arial"/>
                <w:lang w:eastAsia="de-DE"/>
              </w:rPr>
            </w:pPr>
            <w:r w:rsidRPr="00685696">
              <w:rPr>
                <w:rFonts w:cs="Arial"/>
                <w:lang w:eastAsia="de-DE"/>
              </w:rPr>
              <w:t>Particle size distribution, content of dust/fines, attrition, friability</w:t>
            </w:r>
          </w:p>
        </w:tc>
        <w:tc>
          <w:tcPr>
            <w:tcW w:w="1690" w:type="dxa"/>
          </w:tcPr>
          <w:p w14:paraId="3687F837" w14:textId="77777777" w:rsidR="00066DCF" w:rsidRPr="00685696" w:rsidRDefault="00066DCF" w:rsidP="00066DCF">
            <w:pPr>
              <w:pStyle w:val="Default"/>
              <w:jc w:val="both"/>
              <w:rPr>
                <w:rFonts w:ascii="Verdana" w:hAnsi="Verdana" w:cs="Arial"/>
                <w:sz w:val="20"/>
                <w:szCs w:val="20"/>
                <w:lang w:val="en-US"/>
              </w:rPr>
            </w:pPr>
          </w:p>
        </w:tc>
        <w:tc>
          <w:tcPr>
            <w:tcW w:w="1503" w:type="dxa"/>
          </w:tcPr>
          <w:p w14:paraId="194A1AC4" w14:textId="77777777" w:rsidR="00066DCF" w:rsidRPr="00685696" w:rsidRDefault="00066DCF" w:rsidP="00066DCF">
            <w:pPr>
              <w:keepNext/>
              <w:tabs>
                <w:tab w:val="left" w:pos="1304"/>
              </w:tabs>
              <w:spacing w:after="60" w:line="240" w:lineRule="atLeast"/>
              <w:outlineLvl w:val="3"/>
              <w:rPr>
                <w:rFonts w:cs="Arial"/>
                <w:b/>
                <w:bCs/>
              </w:rPr>
            </w:pPr>
          </w:p>
        </w:tc>
        <w:tc>
          <w:tcPr>
            <w:tcW w:w="4885" w:type="dxa"/>
          </w:tcPr>
          <w:p w14:paraId="4AF1A14D"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lang w:eastAsia="de-DE"/>
              </w:rPr>
              <w:t>Not applicable</w:t>
            </w:r>
          </w:p>
        </w:tc>
        <w:tc>
          <w:tcPr>
            <w:tcW w:w="2448" w:type="dxa"/>
          </w:tcPr>
          <w:p w14:paraId="32C5E77B" w14:textId="77777777" w:rsidR="00066DCF" w:rsidRPr="00685696" w:rsidRDefault="00066DCF" w:rsidP="00066DCF">
            <w:pPr>
              <w:pStyle w:val="Default"/>
              <w:jc w:val="both"/>
              <w:rPr>
                <w:rFonts w:ascii="Verdana" w:hAnsi="Verdana" w:cs="Arial"/>
                <w:b/>
                <w:bCs/>
                <w:sz w:val="20"/>
                <w:szCs w:val="20"/>
                <w:lang w:val="en-US"/>
              </w:rPr>
            </w:pPr>
            <w:r w:rsidRPr="00685696">
              <w:rPr>
                <w:rFonts w:ascii="Verdana" w:hAnsi="Verdana" w:cs="Arial"/>
                <w:sz w:val="20"/>
                <w:szCs w:val="20"/>
                <w:lang w:eastAsia="de-DE"/>
              </w:rPr>
              <w:t>Not applicable</w:t>
            </w:r>
          </w:p>
        </w:tc>
        <w:tc>
          <w:tcPr>
            <w:tcW w:w="1984" w:type="dxa"/>
          </w:tcPr>
          <w:p w14:paraId="6D4E31B9" w14:textId="77777777" w:rsidR="00066DCF" w:rsidRPr="00685696" w:rsidRDefault="00066DCF" w:rsidP="00066DCF">
            <w:pPr>
              <w:rPr>
                <w:rFonts w:cs="Arial"/>
                <w:lang w:eastAsia="de-DE"/>
              </w:rPr>
            </w:pPr>
          </w:p>
        </w:tc>
      </w:tr>
      <w:tr w:rsidR="00066DCF" w:rsidRPr="00685696" w14:paraId="2937BD0A" w14:textId="77777777" w:rsidTr="00AD5AD8">
        <w:trPr>
          <w:trHeight w:val="233"/>
        </w:trPr>
        <w:tc>
          <w:tcPr>
            <w:tcW w:w="2160" w:type="dxa"/>
          </w:tcPr>
          <w:p w14:paraId="1CA501DC" w14:textId="77777777" w:rsidR="00066DCF" w:rsidRPr="00685696" w:rsidRDefault="00066DCF" w:rsidP="00066DCF">
            <w:pPr>
              <w:rPr>
                <w:rFonts w:cs="Arial"/>
                <w:lang w:eastAsia="de-DE"/>
              </w:rPr>
            </w:pPr>
            <w:r w:rsidRPr="00685696">
              <w:rPr>
                <w:rFonts w:cs="Arial"/>
                <w:lang w:eastAsia="de-DE"/>
              </w:rPr>
              <w:t>Persistent foaming</w:t>
            </w:r>
          </w:p>
        </w:tc>
        <w:tc>
          <w:tcPr>
            <w:tcW w:w="1690" w:type="dxa"/>
          </w:tcPr>
          <w:p w14:paraId="0145282C" w14:textId="77777777" w:rsidR="00066DCF" w:rsidRPr="00685696" w:rsidRDefault="00066DCF" w:rsidP="00066DCF">
            <w:pPr>
              <w:pStyle w:val="Default"/>
              <w:jc w:val="both"/>
              <w:rPr>
                <w:rFonts w:ascii="Verdana" w:hAnsi="Verdana" w:cs="Arial"/>
                <w:sz w:val="20"/>
                <w:szCs w:val="20"/>
                <w:lang w:eastAsia="de-DE"/>
              </w:rPr>
            </w:pPr>
          </w:p>
        </w:tc>
        <w:tc>
          <w:tcPr>
            <w:tcW w:w="1503" w:type="dxa"/>
          </w:tcPr>
          <w:p w14:paraId="5522CBE4" w14:textId="77777777" w:rsidR="00066DCF" w:rsidRPr="00685696" w:rsidRDefault="00066DCF" w:rsidP="00066DCF">
            <w:pPr>
              <w:rPr>
                <w:rFonts w:cs="Arial"/>
                <w:lang w:eastAsia="de-DE"/>
              </w:rPr>
            </w:pPr>
          </w:p>
        </w:tc>
        <w:tc>
          <w:tcPr>
            <w:tcW w:w="4885" w:type="dxa"/>
          </w:tcPr>
          <w:p w14:paraId="32F4D49A"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758CF707"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3BEDB4A4" w14:textId="77777777" w:rsidR="00066DCF" w:rsidRPr="00685696" w:rsidRDefault="00066DCF" w:rsidP="00066DCF">
            <w:pPr>
              <w:rPr>
                <w:rFonts w:cs="Arial"/>
                <w:lang w:eastAsia="de-DE"/>
              </w:rPr>
            </w:pPr>
          </w:p>
        </w:tc>
      </w:tr>
      <w:tr w:rsidR="00066DCF" w:rsidRPr="00685696" w14:paraId="0CFCA51A" w14:textId="77777777" w:rsidTr="00AD5AD8">
        <w:trPr>
          <w:trHeight w:val="233"/>
        </w:trPr>
        <w:tc>
          <w:tcPr>
            <w:tcW w:w="2160" w:type="dxa"/>
          </w:tcPr>
          <w:p w14:paraId="5A5BEAB8" w14:textId="77777777" w:rsidR="00066DCF" w:rsidRPr="00685696" w:rsidRDefault="00066DCF" w:rsidP="00066DCF">
            <w:pPr>
              <w:rPr>
                <w:rFonts w:cs="Arial"/>
                <w:lang w:eastAsia="de-DE"/>
              </w:rPr>
            </w:pPr>
            <w:r w:rsidRPr="00685696">
              <w:rPr>
                <w:rFonts w:cs="Arial"/>
                <w:lang w:eastAsia="de-DE"/>
              </w:rPr>
              <w:lastRenderedPageBreak/>
              <w:t>Flowability/Pourability/Dustability</w:t>
            </w:r>
          </w:p>
        </w:tc>
        <w:tc>
          <w:tcPr>
            <w:tcW w:w="1690" w:type="dxa"/>
          </w:tcPr>
          <w:p w14:paraId="134876A1" w14:textId="77777777" w:rsidR="00066DCF" w:rsidRPr="00685696" w:rsidRDefault="00066DCF" w:rsidP="00066DCF">
            <w:pPr>
              <w:rPr>
                <w:rFonts w:cs="Arial"/>
                <w:lang w:eastAsia="de-DE"/>
              </w:rPr>
            </w:pPr>
          </w:p>
        </w:tc>
        <w:tc>
          <w:tcPr>
            <w:tcW w:w="1503" w:type="dxa"/>
          </w:tcPr>
          <w:p w14:paraId="5DFBB389" w14:textId="77777777" w:rsidR="00066DCF" w:rsidRPr="00685696" w:rsidRDefault="00066DCF" w:rsidP="00066DCF">
            <w:pPr>
              <w:rPr>
                <w:rFonts w:cs="Arial"/>
                <w:lang w:eastAsia="de-DE"/>
              </w:rPr>
            </w:pPr>
          </w:p>
        </w:tc>
        <w:tc>
          <w:tcPr>
            <w:tcW w:w="4885" w:type="dxa"/>
          </w:tcPr>
          <w:p w14:paraId="1C237FB0"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18E65284"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56F841AE" w14:textId="77777777" w:rsidR="00066DCF" w:rsidRPr="00685696" w:rsidRDefault="00066DCF" w:rsidP="00066DCF">
            <w:pPr>
              <w:rPr>
                <w:rFonts w:cs="Arial"/>
                <w:lang w:eastAsia="de-DE"/>
              </w:rPr>
            </w:pPr>
          </w:p>
        </w:tc>
      </w:tr>
      <w:tr w:rsidR="00066DCF" w:rsidRPr="00685696" w14:paraId="4DDC5CB6" w14:textId="77777777" w:rsidTr="00AD5AD8">
        <w:trPr>
          <w:trHeight w:val="233"/>
        </w:trPr>
        <w:tc>
          <w:tcPr>
            <w:tcW w:w="2160" w:type="dxa"/>
          </w:tcPr>
          <w:p w14:paraId="535697B5" w14:textId="77777777" w:rsidR="00066DCF" w:rsidRPr="00685696" w:rsidRDefault="00066DCF" w:rsidP="00066DCF">
            <w:pPr>
              <w:rPr>
                <w:rFonts w:cs="Arial"/>
                <w:lang w:eastAsia="de-DE"/>
              </w:rPr>
            </w:pPr>
            <w:r w:rsidRPr="00685696">
              <w:rPr>
                <w:rFonts w:cs="Arial"/>
                <w:lang w:eastAsia="de-DE"/>
              </w:rPr>
              <w:t>Burning rate — smoke generators</w:t>
            </w:r>
          </w:p>
        </w:tc>
        <w:tc>
          <w:tcPr>
            <w:tcW w:w="1690" w:type="dxa"/>
          </w:tcPr>
          <w:p w14:paraId="3C06DC9C" w14:textId="77777777" w:rsidR="00066DCF" w:rsidRPr="00685696" w:rsidRDefault="00066DCF" w:rsidP="00066DCF">
            <w:pPr>
              <w:rPr>
                <w:rFonts w:cs="Arial"/>
                <w:lang w:eastAsia="de-DE"/>
              </w:rPr>
            </w:pPr>
          </w:p>
        </w:tc>
        <w:tc>
          <w:tcPr>
            <w:tcW w:w="1503" w:type="dxa"/>
          </w:tcPr>
          <w:p w14:paraId="6E4A2F0D" w14:textId="77777777" w:rsidR="00066DCF" w:rsidRPr="00685696" w:rsidRDefault="00066DCF" w:rsidP="00066DCF">
            <w:pPr>
              <w:rPr>
                <w:rFonts w:cs="Arial"/>
                <w:lang w:eastAsia="de-DE"/>
              </w:rPr>
            </w:pPr>
          </w:p>
        </w:tc>
        <w:tc>
          <w:tcPr>
            <w:tcW w:w="4885" w:type="dxa"/>
          </w:tcPr>
          <w:p w14:paraId="2EFBF285"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1293A845"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45AB0B46" w14:textId="77777777" w:rsidR="00066DCF" w:rsidRPr="00685696" w:rsidRDefault="00066DCF" w:rsidP="00066DCF">
            <w:pPr>
              <w:rPr>
                <w:rFonts w:cs="Arial"/>
                <w:lang w:eastAsia="de-DE"/>
              </w:rPr>
            </w:pPr>
          </w:p>
        </w:tc>
      </w:tr>
      <w:tr w:rsidR="00066DCF" w:rsidRPr="00685696" w14:paraId="10AFED38" w14:textId="77777777" w:rsidTr="00AD5AD8">
        <w:trPr>
          <w:trHeight w:val="233"/>
        </w:trPr>
        <w:tc>
          <w:tcPr>
            <w:tcW w:w="2160" w:type="dxa"/>
          </w:tcPr>
          <w:p w14:paraId="19DD9B9E" w14:textId="77777777" w:rsidR="00066DCF" w:rsidRPr="00685696" w:rsidRDefault="00066DCF" w:rsidP="00066DCF">
            <w:pPr>
              <w:rPr>
                <w:rFonts w:cs="Arial"/>
                <w:lang w:eastAsia="de-DE"/>
              </w:rPr>
            </w:pPr>
            <w:r w:rsidRPr="00685696">
              <w:rPr>
                <w:rFonts w:cs="Arial"/>
                <w:lang w:eastAsia="de-DE"/>
              </w:rPr>
              <w:t>Burning completeness — smoke generators</w:t>
            </w:r>
          </w:p>
        </w:tc>
        <w:tc>
          <w:tcPr>
            <w:tcW w:w="1690" w:type="dxa"/>
          </w:tcPr>
          <w:p w14:paraId="65A7CCA5" w14:textId="77777777" w:rsidR="00066DCF" w:rsidRPr="00685696" w:rsidRDefault="00066DCF" w:rsidP="00066DCF">
            <w:pPr>
              <w:rPr>
                <w:rFonts w:cs="Arial"/>
                <w:lang w:eastAsia="de-DE"/>
              </w:rPr>
            </w:pPr>
          </w:p>
        </w:tc>
        <w:tc>
          <w:tcPr>
            <w:tcW w:w="1503" w:type="dxa"/>
          </w:tcPr>
          <w:p w14:paraId="7162C462" w14:textId="77777777" w:rsidR="00066DCF" w:rsidRPr="00685696" w:rsidRDefault="00066DCF" w:rsidP="00066DCF">
            <w:pPr>
              <w:rPr>
                <w:rFonts w:cs="Arial"/>
                <w:lang w:eastAsia="de-DE"/>
              </w:rPr>
            </w:pPr>
          </w:p>
        </w:tc>
        <w:tc>
          <w:tcPr>
            <w:tcW w:w="4885" w:type="dxa"/>
          </w:tcPr>
          <w:p w14:paraId="7514D9C3"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3BF2F8EA"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7343F236" w14:textId="77777777" w:rsidR="00066DCF" w:rsidRPr="00685696" w:rsidRDefault="00066DCF" w:rsidP="00066DCF">
            <w:pPr>
              <w:rPr>
                <w:rFonts w:cs="Arial"/>
                <w:lang w:eastAsia="de-DE"/>
              </w:rPr>
            </w:pPr>
          </w:p>
        </w:tc>
      </w:tr>
      <w:tr w:rsidR="00066DCF" w:rsidRPr="00685696" w14:paraId="72195FC7" w14:textId="77777777" w:rsidTr="00AD5AD8">
        <w:trPr>
          <w:trHeight w:val="233"/>
        </w:trPr>
        <w:tc>
          <w:tcPr>
            <w:tcW w:w="2160" w:type="dxa"/>
          </w:tcPr>
          <w:p w14:paraId="482C2A86" w14:textId="77777777" w:rsidR="00066DCF" w:rsidRPr="00685696" w:rsidRDefault="00066DCF" w:rsidP="00066DCF">
            <w:pPr>
              <w:rPr>
                <w:rFonts w:cs="Arial"/>
                <w:lang w:eastAsia="de-DE"/>
              </w:rPr>
            </w:pPr>
            <w:r w:rsidRPr="00685696">
              <w:rPr>
                <w:rFonts w:cs="Arial"/>
                <w:lang w:eastAsia="de-DE"/>
              </w:rPr>
              <w:t>Composition of smoke — smoke generators</w:t>
            </w:r>
          </w:p>
        </w:tc>
        <w:tc>
          <w:tcPr>
            <w:tcW w:w="1690" w:type="dxa"/>
          </w:tcPr>
          <w:p w14:paraId="616844D3" w14:textId="77777777" w:rsidR="00066DCF" w:rsidRPr="00685696" w:rsidRDefault="00066DCF" w:rsidP="00066DCF">
            <w:pPr>
              <w:rPr>
                <w:rFonts w:cs="Arial"/>
                <w:lang w:eastAsia="de-DE"/>
              </w:rPr>
            </w:pPr>
          </w:p>
        </w:tc>
        <w:tc>
          <w:tcPr>
            <w:tcW w:w="1503" w:type="dxa"/>
          </w:tcPr>
          <w:p w14:paraId="78252CF0" w14:textId="77777777" w:rsidR="00066DCF" w:rsidRPr="00685696" w:rsidRDefault="00066DCF" w:rsidP="00066DCF">
            <w:pPr>
              <w:rPr>
                <w:rFonts w:cs="Arial"/>
                <w:lang w:eastAsia="de-DE"/>
              </w:rPr>
            </w:pPr>
          </w:p>
        </w:tc>
        <w:tc>
          <w:tcPr>
            <w:tcW w:w="4885" w:type="dxa"/>
          </w:tcPr>
          <w:p w14:paraId="4539EEAB"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5A85FD25"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614D6B47" w14:textId="77777777" w:rsidR="00066DCF" w:rsidRPr="00685696" w:rsidRDefault="00066DCF" w:rsidP="00066DCF">
            <w:pPr>
              <w:rPr>
                <w:rFonts w:cs="Arial"/>
                <w:lang w:eastAsia="de-DE"/>
              </w:rPr>
            </w:pPr>
          </w:p>
        </w:tc>
      </w:tr>
      <w:tr w:rsidR="00066DCF" w:rsidRPr="00685696" w14:paraId="1D2D2378" w14:textId="77777777" w:rsidTr="00AD5AD8">
        <w:trPr>
          <w:trHeight w:val="233"/>
        </w:trPr>
        <w:tc>
          <w:tcPr>
            <w:tcW w:w="2160" w:type="dxa"/>
          </w:tcPr>
          <w:p w14:paraId="527C3F17" w14:textId="77777777" w:rsidR="00066DCF" w:rsidRPr="00685696" w:rsidRDefault="00066DCF" w:rsidP="00066DCF">
            <w:pPr>
              <w:rPr>
                <w:rFonts w:cs="Arial"/>
                <w:lang w:eastAsia="de-DE"/>
              </w:rPr>
            </w:pPr>
            <w:r w:rsidRPr="00685696">
              <w:rPr>
                <w:rFonts w:cs="Arial"/>
                <w:lang w:eastAsia="de-DE"/>
              </w:rPr>
              <w:t>Spraying pattern — aerosols</w:t>
            </w:r>
          </w:p>
        </w:tc>
        <w:tc>
          <w:tcPr>
            <w:tcW w:w="1690" w:type="dxa"/>
          </w:tcPr>
          <w:p w14:paraId="038D417B" w14:textId="77777777" w:rsidR="00066DCF" w:rsidRPr="00685696" w:rsidRDefault="00066DCF" w:rsidP="00066DCF">
            <w:pPr>
              <w:rPr>
                <w:rFonts w:cs="Arial"/>
                <w:lang w:eastAsia="de-DE"/>
              </w:rPr>
            </w:pPr>
          </w:p>
        </w:tc>
        <w:tc>
          <w:tcPr>
            <w:tcW w:w="1503" w:type="dxa"/>
          </w:tcPr>
          <w:p w14:paraId="5D15C347" w14:textId="77777777" w:rsidR="00066DCF" w:rsidRPr="00685696" w:rsidRDefault="00066DCF" w:rsidP="00066DCF">
            <w:pPr>
              <w:rPr>
                <w:rFonts w:cs="Arial"/>
                <w:lang w:eastAsia="de-DE"/>
              </w:rPr>
            </w:pPr>
          </w:p>
        </w:tc>
        <w:tc>
          <w:tcPr>
            <w:tcW w:w="4885" w:type="dxa"/>
          </w:tcPr>
          <w:p w14:paraId="26F17275"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17C0A90E"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55223A8D" w14:textId="77777777" w:rsidR="00066DCF" w:rsidRPr="00685696" w:rsidRDefault="00066DCF" w:rsidP="00066DCF">
            <w:pPr>
              <w:rPr>
                <w:rFonts w:cs="Arial"/>
                <w:lang w:eastAsia="de-DE"/>
              </w:rPr>
            </w:pPr>
          </w:p>
        </w:tc>
      </w:tr>
      <w:tr w:rsidR="00B7352E" w:rsidRPr="00685696" w14:paraId="4588DB74" w14:textId="77777777" w:rsidTr="00AD5AD8">
        <w:trPr>
          <w:trHeight w:val="778"/>
        </w:trPr>
        <w:tc>
          <w:tcPr>
            <w:tcW w:w="2160" w:type="dxa"/>
          </w:tcPr>
          <w:p w14:paraId="67B669D0" w14:textId="77777777" w:rsidR="00B7352E" w:rsidRPr="00685696" w:rsidRDefault="00B7352E" w:rsidP="00066DCF">
            <w:pPr>
              <w:rPr>
                <w:rFonts w:cs="Arial"/>
                <w:lang w:eastAsia="de-DE"/>
              </w:rPr>
            </w:pPr>
            <w:r w:rsidRPr="00685696">
              <w:rPr>
                <w:rFonts w:cs="Arial"/>
                <w:lang w:eastAsia="de-DE"/>
              </w:rPr>
              <w:t>Physical compatibility</w:t>
            </w:r>
          </w:p>
        </w:tc>
        <w:tc>
          <w:tcPr>
            <w:tcW w:w="1690" w:type="dxa"/>
          </w:tcPr>
          <w:p w14:paraId="5C064BBE" w14:textId="77777777" w:rsidR="00B7352E" w:rsidRPr="00685696" w:rsidRDefault="00B7352E" w:rsidP="00066DCF">
            <w:pPr>
              <w:rPr>
                <w:rFonts w:cs="Arial"/>
                <w:lang w:eastAsia="de-DE"/>
              </w:rPr>
            </w:pPr>
          </w:p>
        </w:tc>
        <w:tc>
          <w:tcPr>
            <w:tcW w:w="1503" w:type="dxa"/>
          </w:tcPr>
          <w:p w14:paraId="7894A989" w14:textId="77777777" w:rsidR="00B7352E" w:rsidRPr="00685696" w:rsidRDefault="00B7352E" w:rsidP="00066DCF">
            <w:pPr>
              <w:rPr>
                <w:rFonts w:cs="Arial"/>
                <w:lang w:eastAsia="de-DE"/>
              </w:rPr>
            </w:pPr>
          </w:p>
        </w:tc>
        <w:tc>
          <w:tcPr>
            <w:tcW w:w="4885" w:type="dxa"/>
          </w:tcPr>
          <w:p w14:paraId="7A38F416" w14:textId="77777777" w:rsidR="00B7352E" w:rsidRPr="00685696" w:rsidRDefault="00B7352E" w:rsidP="00066DCF">
            <w:pPr>
              <w:rPr>
                <w:rFonts w:cs="Arial"/>
                <w:lang w:eastAsia="de-DE"/>
              </w:rPr>
            </w:pPr>
            <w:r w:rsidRPr="00685696">
              <w:rPr>
                <w:rFonts w:cs="Arial"/>
                <w:lang w:eastAsia="de-DE"/>
              </w:rPr>
              <w:t>Not applicable</w:t>
            </w:r>
          </w:p>
        </w:tc>
        <w:tc>
          <w:tcPr>
            <w:tcW w:w="2448" w:type="dxa"/>
          </w:tcPr>
          <w:p w14:paraId="75F8F1FD" w14:textId="77777777" w:rsidR="00B7352E" w:rsidRPr="00685696" w:rsidRDefault="00B7352E" w:rsidP="00066DCF">
            <w:pPr>
              <w:rPr>
                <w:rFonts w:cs="Arial"/>
                <w:lang w:eastAsia="de-DE"/>
              </w:rPr>
            </w:pPr>
            <w:r w:rsidRPr="00685696">
              <w:rPr>
                <w:rFonts w:cs="Arial"/>
                <w:lang w:eastAsia="de-DE"/>
              </w:rPr>
              <w:t>Not applicable</w:t>
            </w:r>
          </w:p>
        </w:tc>
        <w:tc>
          <w:tcPr>
            <w:tcW w:w="1984" w:type="dxa"/>
            <w:vMerge w:val="restart"/>
          </w:tcPr>
          <w:p w14:paraId="6A687CCE" w14:textId="771D8A83" w:rsidR="00B7352E" w:rsidRPr="00B7352E" w:rsidRDefault="00B7352E" w:rsidP="00B7352E">
            <w:pPr>
              <w:rPr>
                <w:rFonts w:cs="Arial"/>
                <w:lang w:eastAsia="de-DE"/>
              </w:rPr>
            </w:pPr>
            <w:r w:rsidRPr="00B7352E">
              <w:rPr>
                <w:lang w:eastAsia="en-GB"/>
              </w:rPr>
              <w:t xml:space="preserve">The product is not intended to be mixed and is a RTU formulation. Compability with packaging has been </w:t>
            </w:r>
            <w:r>
              <w:rPr>
                <w:lang w:eastAsia="en-GB"/>
              </w:rPr>
              <w:t>d</w:t>
            </w:r>
            <w:r w:rsidRPr="00B7352E">
              <w:rPr>
                <w:lang w:eastAsia="en-GB"/>
              </w:rPr>
              <w:t>emonstrated with the material HDPE and tinplate can. Consequently, no further data are necessary.</w:t>
            </w:r>
          </w:p>
        </w:tc>
      </w:tr>
      <w:tr w:rsidR="00B7352E" w:rsidRPr="00685696" w14:paraId="70FCCAF6" w14:textId="77777777" w:rsidTr="00AD5AD8">
        <w:trPr>
          <w:trHeight w:val="778"/>
        </w:trPr>
        <w:tc>
          <w:tcPr>
            <w:tcW w:w="2160" w:type="dxa"/>
          </w:tcPr>
          <w:p w14:paraId="2E57CB35" w14:textId="77777777" w:rsidR="00B7352E" w:rsidRPr="00685696" w:rsidRDefault="00B7352E" w:rsidP="00066DCF">
            <w:pPr>
              <w:rPr>
                <w:rFonts w:cs="Arial"/>
                <w:lang w:eastAsia="de-DE"/>
              </w:rPr>
            </w:pPr>
            <w:r w:rsidRPr="00685696">
              <w:rPr>
                <w:rFonts w:cs="Arial"/>
                <w:lang w:eastAsia="de-DE"/>
              </w:rPr>
              <w:t>Chemical compatibility</w:t>
            </w:r>
          </w:p>
        </w:tc>
        <w:tc>
          <w:tcPr>
            <w:tcW w:w="1690" w:type="dxa"/>
          </w:tcPr>
          <w:p w14:paraId="791B7077" w14:textId="77777777" w:rsidR="00B7352E" w:rsidRPr="00685696" w:rsidRDefault="00B7352E" w:rsidP="00066DCF">
            <w:pPr>
              <w:rPr>
                <w:rFonts w:cs="Arial"/>
                <w:lang w:eastAsia="de-DE"/>
              </w:rPr>
            </w:pPr>
          </w:p>
        </w:tc>
        <w:tc>
          <w:tcPr>
            <w:tcW w:w="1503" w:type="dxa"/>
          </w:tcPr>
          <w:p w14:paraId="2CB6789F" w14:textId="77777777" w:rsidR="00B7352E" w:rsidRPr="00685696" w:rsidRDefault="00B7352E" w:rsidP="00066DCF">
            <w:pPr>
              <w:rPr>
                <w:rFonts w:cs="Arial"/>
                <w:lang w:eastAsia="de-DE"/>
              </w:rPr>
            </w:pPr>
          </w:p>
        </w:tc>
        <w:tc>
          <w:tcPr>
            <w:tcW w:w="4885" w:type="dxa"/>
          </w:tcPr>
          <w:p w14:paraId="6F3E3B1C" w14:textId="77777777" w:rsidR="00B7352E" w:rsidRPr="00685696" w:rsidRDefault="00B7352E" w:rsidP="00066DCF">
            <w:pPr>
              <w:rPr>
                <w:rFonts w:cs="Arial"/>
                <w:lang w:eastAsia="de-DE"/>
              </w:rPr>
            </w:pPr>
            <w:r w:rsidRPr="00685696">
              <w:rPr>
                <w:rFonts w:cs="Arial"/>
                <w:lang w:eastAsia="de-DE"/>
              </w:rPr>
              <w:t>Not applicable</w:t>
            </w:r>
          </w:p>
        </w:tc>
        <w:tc>
          <w:tcPr>
            <w:tcW w:w="2448" w:type="dxa"/>
          </w:tcPr>
          <w:p w14:paraId="416E88B9" w14:textId="77777777" w:rsidR="00B7352E" w:rsidRPr="00685696" w:rsidRDefault="00B7352E" w:rsidP="00066DCF">
            <w:pPr>
              <w:rPr>
                <w:rFonts w:cs="Arial"/>
                <w:lang w:eastAsia="de-DE"/>
              </w:rPr>
            </w:pPr>
            <w:r w:rsidRPr="00685696">
              <w:rPr>
                <w:rFonts w:cs="Arial"/>
                <w:lang w:eastAsia="de-DE"/>
              </w:rPr>
              <w:t>Not applicable</w:t>
            </w:r>
          </w:p>
        </w:tc>
        <w:tc>
          <w:tcPr>
            <w:tcW w:w="1984" w:type="dxa"/>
            <w:vMerge/>
          </w:tcPr>
          <w:p w14:paraId="487FFC3F" w14:textId="77777777" w:rsidR="00B7352E" w:rsidRPr="00685696" w:rsidRDefault="00B7352E" w:rsidP="00066DCF">
            <w:pPr>
              <w:rPr>
                <w:rFonts w:cs="Arial"/>
                <w:lang w:eastAsia="de-DE"/>
              </w:rPr>
            </w:pPr>
          </w:p>
        </w:tc>
      </w:tr>
      <w:tr w:rsidR="00066DCF" w:rsidRPr="00685696" w14:paraId="0BBA66B9" w14:textId="77777777" w:rsidTr="00AD5AD8">
        <w:trPr>
          <w:trHeight w:val="420"/>
        </w:trPr>
        <w:tc>
          <w:tcPr>
            <w:tcW w:w="2160" w:type="dxa"/>
          </w:tcPr>
          <w:p w14:paraId="2D03238C" w14:textId="77777777" w:rsidR="00066DCF" w:rsidRPr="00685696" w:rsidRDefault="00066DCF" w:rsidP="00066DCF">
            <w:pPr>
              <w:rPr>
                <w:rFonts w:cs="Arial"/>
                <w:lang w:eastAsia="de-DE"/>
              </w:rPr>
            </w:pPr>
            <w:r w:rsidRPr="00685696">
              <w:rPr>
                <w:rFonts w:cs="Arial"/>
                <w:lang w:eastAsia="de-DE"/>
              </w:rPr>
              <w:t>Degree of dissolution and dilution stability</w:t>
            </w:r>
          </w:p>
        </w:tc>
        <w:tc>
          <w:tcPr>
            <w:tcW w:w="1690" w:type="dxa"/>
          </w:tcPr>
          <w:p w14:paraId="6C778627" w14:textId="77777777" w:rsidR="00066DCF" w:rsidRPr="00685696" w:rsidRDefault="00066DCF" w:rsidP="00066DCF">
            <w:pPr>
              <w:rPr>
                <w:rFonts w:cs="Arial"/>
                <w:lang w:eastAsia="de-DE"/>
              </w:rPr>
            </w:pPr>
          </w:p>
        </w:tc>
        <w:tc>
          <w:tcPr>
            <w:tcW w:w="1503" w:type="dxa"/>
          </w:tcPr>
          <w:p w14:paraId="40626D45" w14:textId="77777777" w:rsidR="00066DCF" w:rsidRPr="00685696" w:rsidRDefault="00066DCF" w:rsidP="00066DCF">
            <w:pPr>
              <w:rPr>
                <w:rFonts w:cs="Arial"/>
                <w:lang w:eastAsia="de-DE"/>
              </w:rPr>
            </w:pPr>
          </w:p>
        </w:tc>
        <w:tc>
          <w:tcPr>
            <w:tcW w:w="4885" w:type="dxa"/>
          </w:tcPr>
          <w:p w14:paraId="1B06C783"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6E209F17"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74841F87" w14:textId="77777777" w:rsidR="00066DCF" w:rsidRPr="00685696" w:rsidRDefault="00066DCF" w:rsidP="00066DCF">
            <w:pPr>
              <w:rPr>
                <w:rFonts w:cs="Arial"/>
                <w:lang w:eastAsia="de-DE"/>
              </w:rPr>
            </w:pPr>
          </w:p>
        </w:tc>
      </w:tr>
      <w:tr w:rsidR="00066DCF" w:rsidRPr="00891CAF" w14:paraId="45E33777" w14:textId="77777777" w:rsidTr="00AD5AD8">
        <w:trPr>
          <w:trHeight w:val="354"/>
        </w:trPr>
        <w:tc>
          <w:tcPr>
            <w:tcW w:w="2160" w:type="dxa"/>
          </w:tcPr>
          <w:p w14:paraId="0903713F" w14:textId="77777777" w:rsidR="00066DCF" w:rsidRPr="00685696" w:rsidRDefault="00066DCF" w:rsidP="00066DCF">
            <w:pPr>
              <w:rPr>
                <w:rFonts w:cs="Arial"/>
                <w:lang w:eastAsia="de-DE"/>
              </w:rPr>
            </w:pPr>
            <w:r w:rsidRPr="00685696">
              <w:rPr>
                <w:rFonts w:cs="Arial"/>
                <w:lang w:eastAsia="de-DE"/>
              </w:rPr>
              <w:t>Surface tension</w:t>
            </w:r>
          </w:p>
        </w:tc>
        <w:tc>
          <w:tcPr>
            <w:tcW w:w="1690" w:type="dxa"/>
          </w:tcPr>
          <w:p w14:paraId="641C2D8A" w14:textId="77777777" w:rsidR="00066DCF" w:rsidRPr="00685696" w:rsidRDefault="00066DCF" w:rsidP="00066DCF">
            <w:pPr>
              <w:keepNext/>
              <w:tabs>
                <w:tab w:val="left" w:pos="1304"/>
              </w:tabs>
              <w:spacing w:after="60" w:line="240" w:lineRule="atLeast"/>
              <w:outlineLvl w:val="3"/>
              <w:rPr>
                <w:rFonts w:cs="Arial"/>
              </w:rPr>
            </w:pPr>
            <w:r w:rsidRPr="00685696">
              <w:rPr>
                <w:rFonts w:cs="Arial"/>
              </w:rPr>
              <w:t>EEC A5</w:t>
            </w:r>
          </w:p>
          <w:p w14:paraId="280BF50E"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OECD Guideline 115 (Surface Tension of </w:t>
            </w:r>
            <w:r w:rsidRPr="00685696">
              <w:rPr>
                <w:rFonts w:cs="Arial"/>
                <w:bCs/>
              </w:rPr>
              <w:lastRenderedPageBreak/>
              <w:t>Aqueous Solutions)</w:t>
            </w:r>
          </w:p>
        </w:tc>
        <w:tc>
          <w:tcPr>
            <w:tcW w:w="1503" w:type="dxa"/>
          </w:tcPr>
          <w:p w14:paraId="6DC4DF7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lastRenderedPageBreak/>
              <w:t>X6122B1</w:t>
            </w:r>
          </w:p>
          <w:p w14:paraId="34BDE014"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Lot/batch No PaP V83.2</w:t>
            </w:r>
          </w:p>
        </w:tc>
        <w:tc>
          <w:tcPr>
            <w:tcW w:w="4885" w:type="dxa"/>
          </w:tcPr>
          <w:p w14:paraId="734A1EE0"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According to EC A.5 and OECD No.115 (ring method), X6122B1 was considered as surface-active (mean surface tension at 20.8°C of the pure test item: 25.47 mN/m).</w:t>
            </w:r>
          </w:p>
        </w:tc>
        <w:tc>
          <w:tcPr>
            <w:tcW w:w="2448" w:type="dxa"/>
          </w:tcPr>
          <w:p w14:paraId="7D8F7FBE"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w:t>
            </w:r>
          </w:p>
        </w:tc>
        <w:tc>
          <w:tcPr>
            <w:tcW w:w="1984" w:type="dxa"/>
          </w:tcPr>
          <w:p w14:paraId="05248C58"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Legay S. 2015</w:t>
            </w:r>
          </w:p>
          <w:p w14:paraId="6628CA3B" w14:textId="77777777" w:rsidR="00066DCF" w:rsidRPr="00685696" w:rsidRDefault="00066DCF" w:rsidP="00066DCF">
            <w:pPr>
              <w:keepNext/>
              <w:tabs>
                <w:tab w:val="left" w:pos="1304"/>
              </w:tabs>
              <w:spacing w:after="60" w:line="240" w:lineRule="atLeast"/>
              <w:outlineLvl w:val="3"/>
              <w:rPr>
                <w:rFonts w:cs="Arial"/>
                <w:b/>
                <w:bCs/>
                <w:lang w:val="it-IT"/>
              </w:rPr>
            </w:pPr>
            <w:r w:rsidRPr="00685696">
              <w:rPr>
                <w:rFonts w:cs="Arial"/>
                <w:bCs/>
                <w:lang w:val="it-IT"/>
              </w:rPr>
              <w:t>402/14/1095F/defgh-e</w:t>
            </w:r>
          </w:p>
        </w:tc>
      </w:tr>
      <w:tr w:rsidR="00066DCF" w:rsidRPr="00891CAF" w14:paraId="661C8157" w14:textId="77777777" w:rsidTr="00AD5AD8">
        <w:trPr>
          <w:trHeight w:val="1379"/>
        </w:trPr>
        <w:tc>
          <w:tcPr>
            <w:tcW w:w="2160" w:type="dxa"/>
          </w:tcPr>
          <w:p w14:paraId="38D397A3" w14:textId="77777777" w:rsidR="00066DCF" w:rsidRPr="00685696" w:rsidRDefault="00066DCF" w:rsidP="00066DCF">
            <w:pPr>
              <w:rPr>
                <w:rFonts w:cs="Arial"/>
                <w:lang w:eastAsia="de-DE"/>
              </w:rPr>
            </w:pPr>
            <w:r w:rsidRPr="00685696">
              <w:rPr>
                <w:rFonts w:cs="Arial"/>
                <w:lang w:eastAsia="de-DE"/>
              </w:rPr>
              <w:t>Viscosity</w:t>
            </w:r>
          </w:p>
        </w:tc>
        <w:tc>
          <w:tcPr>
            <w:tcW w:w="1690" w:type="dxa"/>
          </w:tcPr>
          <w:p w14:paraId="286D2607"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rPr>
              <w:t>OECD 114</w:t>
            </w:r>
          </w:p>
        </w:tc>
        <w:tc>
          <w:tcPr>
            <w:tcW w:w="1503" w:type="dxa"/>
          </w:tcPr>
          <w:p w14:paraId="7E589DE6"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X6122B1</w:t>
            </w:r>
          </w:p>
          <w:p w14:paraId="28AE8C13"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Lot/batch No PaP V83.2</w:t>
            </w:r>
          </w:p>
        </w:tc>
        <w:tc>
          <w:tcPr>
            <w:tcW w:w="4885" w:type="dxa"/>
          </w:tcPr>
          <w:p w14:paraId="4B4070C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According to OECD No.114, the mean kinematic viscosity of X6122B1, determined using a flow cup method was the following:</w:t>
            </w:r>
          </w:p>
          <w:p w14:paraId="0233146E"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&lt; 6.62 mm²/s at 20.0 ± 0.5°C</w:t>
            </w:r>
          </w:p>
          <w:p w14:paraId="7CA371C9"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&lt; 6.62 mm²/s at 40.0 ± 0.5°C</w:t>
            </w:r>
          </w:p>
        </w:tc>
        <w:tc>
          <w:tcPr>
            <w:tcW w:w="2448" w:type="dxa"/>
          </w:tcPr>
          <w:p w14:paraId="2551243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 As the product contains H304 compounds at a content &gt;10%, the formulation is classified H304 Cat1, SGH08</w:t>
            </w:r>
          </w:p>
        </w:tc>
        <w:tc>
          <w:tcPr>
            <w:tcW w:w="1984" w:type="dxa"/>
          </w:tcPr>
          <w:p w14:paraId="34E6DD4C" w14:textId="77777777" w:rsidR="00066DCF" w:rsidRPr="00685696" w:rsidRDefault="00066DCF" w:rsidP="00066DCF">
            <w:pPr>
              <w:rPr>
                <w:rFonts w:cs="Arial"/>
                <w:lang w:val="it-IT"/>
              </w:rPr>
            </w:pPr>
            <w:r w:rsidRPr="00685696">
              <w:rPr>
                <w:rFonts w:cs="Arial"/>
                <w:lang w:val="it-IT"/>
              </w:rPr>
              <w:t>Legay S. 2015</w:t>
            </w:r>
          </w:p>
          <w:p w14:paraId="17C4707F" w14:textId="77777777" w:rsidR="00066DCF" w:rsidRPr="00685696" w:rsidRDefault="00066DCF" w:rsidP="00066DCF">
            <w:pPr>
              <w:rPr>
                <w:rFonts w:cs="Arial"/>
                <w:lang w:val="it-IT"/>
              </w:rPr>
            </w:pPr>
            <w:r w:rsidRPr="00685696">
              <w:rPr>
                <w:rFonts w:cs="Arial"/>
                <w:lang w:val="it-IT"/>
              </w:rPr>
              <w:t>402/14/1095F/defgh-e</w:t>
            </w:r>
          </w:p>
        </w:tc>
      </w:tr>
    </w:tbl>
    <w:p w14:paraId="6E9AD233" w14:textId="77777777" w:rsidR="00066DCF" w:rsidRDefault="00066DCF" w:rsidP="00066DCF">
      <w:pPr>
        <w:rPr>
          <w:lang w:val="de-DE" w:eastAsia="de-DE"/>
        </w:rPr>
      </w:pPr>
      <w:bookmarkStart w:id="80" w:name="_Toc389729029"/>
      <w:bookmarkStart w:id="81" w:name="_Toc403472741"/>
      <w:bookmarkStart w:id="82" w:name="_Toc421091487"/>
    </w:p>
    <w:p w14:paraId="447EE870" w14:textId="77777777" w:rsidR="00066DCF" w:rsidRDefault="00066DCF" w:rsidP="00066DCF">
      <w:pPr>
        <w:rPr>
          <w:lang w:val="de-DE" w:eastAsia="de-DE"/>
        </w:rPr>
      </w:pPr>
    </w:p>
    <w:p w14:paraId="53A7D88B" w14:textId="77777777" w:rsidR="00066DCF" w:rsidRPr="00112A68" w:rsidRDefault="00066DCF" w:rsidP="00066DCF">
      <w:pPr>
        <w:rPr>
          <w:lang w:val="de-DE" w:eastAsia="de-DE"/>
        </w:rPr>
      </w:pPr>
    </w:p>
    <w:p w14:paraId="692B2DC0" w14:textId="77777777" w:rsidR="00066DCF" w:rsidRPr="00B60CAC" w:rsidRDefault="00066DCF" w:rsidP="00B60CAC">
      <w:pPr>
        <w:pStyle w:val="Titre3"/>
      </w:pPr>
      <w:bookmarkStart w:id="83" w:name="_Toc536627303"/>
      <w:r w:rsidRPr="00B60CAC">
        <w:t>Physical hazards and respective characteristics</w:t>
      </w:r>
      <w:bookmarkEnd w:id="80"/>
      <w:bookmarkEnd w:id="81"/>
      <w:bookmarkEnd w:id="82"/>
      <w:bookmarkEnd w:id="83"/>
    </w:p>
    <w:tbl>
      <w:tblPr>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701"/>
        <w:gridCol w:w="1417"/>
        <w:gridCol w:w="4961"/>
        <w:gridCol w:w="2127"/>
        <w:gridCol w:w="2328"/>
      </w:tblGrid>
      <w:tr w:rsidR="00066DCF" w:rsidRPr="00685696" w14:paraId="451C47CD" w14:textId="77777777" w:rsidTr="00066DCF">
        <w:trPr>
          <w:trHeight w:val="181"/>
          <w:tblHeader/>
        </w:trPr>
        <w:tc>
          <w:tcPr>
            <w:tcW w:w="2197" w:type="dxa"/>
            <w:shd w:val="clear" w:color="auto" w:fill="E0E0E0"/>
            <w:vAlign w:val="center"/>
          </w:tcPr>
          <w:p w14:paraId="3887161D" w14:textId="77777777" w:rsidR="00066DCF" w:rsidRPr="00685696" w:rsidRDefault="00066DCF" w:rsidP="00066DCF">
            <w:pPr>
              <w:rPr>
                <w:rFonts w:cs="Arial"/>
                <w:b/>
                <w:lang w:eastAsia="de-DE"/>
              </w:rPr>
            </w:pPr>
            <w:r w:rsidRPr="00685696">
              <w:rPr>
                <w:rFonts w:cs="Arial"/>
                <w:b/>
                <w:lang w:eastAsia="de-DE"/>
              </w:rPr>
              <w:t>Property</w:t>
            </w:r>
          </w:p>
        </w:tc>
        <w:tc>
          <w:tcPr>
            <w:tcW w:w="1701" w:type="dxa"/>
            <w:shd w:val="clear" w:color="auto" w:fill="E0E0E0"/>
            <w:vAlign w:val="center"/>
          </w:tcPr>
          <w:p w14:paraId="31681793" w14:textId="77777777" w:rsidR="00066DCF" w:rsidRPr="00685696" w:rsidRDefault="00066DCF" w:rsidP="00066DCF">
            <w:pPr>
              <w:rPr>
                <w:rFonts w:cs="Arial"/>
                <w:b/>
                <w:lang w:eastAsia="de-DE"/>
              </w:rPr>
            </w:pPr>
            <w:r w:rsidRPr="00685696">
              <w:rPr>
                <w:rFonts w:cs="Arial"/>
                <w:b/>
                <w:lang w:eastAsia="de-DE"/>
              </w:rPr>
              <w:t>Guideline  and Method</w:t>
            </w:r>
          </w:p>
        </w:tc>
        <w:tc>
          <w:tcPr>
            <w:tcW w:w="1417" w:type="dxa"/>
            <w:shd w:val="clear" w:color="auto" w:fill="E0E0E0"/>
            <w:vAlign w:val="center"/>
          </w:tcPr>
          <w:p w14:paraId="015D2F5C" w14:textId="77777777" w:rsidR="00066DCF" w:rsidRPr="00685696" w:rsidRDefault="00066DCF" w:rsidP="00066DCF">
            <w:pPr>
              <w:rPr>
                <w:rFonts w:cs="Arial"/>
                <w:b/>
                <w:lang w:eastAsia="de-DE"/>
              </w:rPr>
            </w:pPr>
            <w:r w:rsidRPr="00685696">
              <w:rPr>
                <w:rFonts w:cs="Arial"/>
                <w:b/>
                <w:lang w:eastAsia="de-DE"/>
              </w:rPr>
              <w:t>Purity of the test substance (% (w/w)</w:t>
            </w:r>
          </w:p>
        </w:tc>
        <w:tc>
          <w:tcPr>
            <w:tcW w:w="4961" w:type="dxa"/>
            <w:shd w:val="clear" w:color="auto" w:fill="E0E0E0"/>
            <w:vAlign w:val="center"/>
          </w:tcPr>
          <w:p w14:paraId="6EEE7E70" w14:textId="77777777" w:rsidR="00066DCF" w:rsidRPr="00685696" w:rsidRDefault="00066DCF" w:rsidP="00066DCF">
            <w:pPr>
              <w:rPr>
                <w:rFonts w:cs="Arial"/>
                <w:b/>
                <w:lang w:eastAsia="de-DE"/>
              </w:rPr>
            </w:pPr>
            <w:r w:rsidRPr="00685696">
              <w:rPr>
                <w:rFonts w:cs="Arial"/>
                <w:b/>
                <w:lang w:eastAsia="de-DE"/>
              </w:rPr>
              <w:t>Results</w:t>
            </w:r>
          </w:p>
        </w:tc>
        <w:tc>
          <w:tcPr>
            <w:tcW w:w="2127" w:type="dxa"/>
            <w:shd w:val="clear" w:color="auto" w:fill="E0E0E0"/>
            <w:vAlign w:val="center"/>
          </w:tcPr>
          <w:p w14:paraId="4E757A5C" w14:textId="77777777" w:rsidR="00066DCF" w:rsidRPr="00685696" w:rsidRDefault="00066DCF" w:rsidP="00066DCF">
            <w:pPr>
              <w:jc w:val="center"/>
              <w:rPr>
                <w:rFonts w:cs="Arial"/>
                <w:b/>
                <w:lang w:eastAsia="de-DE"/>
              </w:rPr>
            </w:pPr>
            <w:r w:rsidRPr="00685696">
              <w:rPr>
                <w:rFonts w:cs="Arial"/>
                <w:b/>
                <w:lang w:eastAsia="de-DE"/>
              </w:rPr>
              <w:t>Comments</w:t>
            </w:r>
          </w:p>
        </w:tc>
        <w:tc>
          <w:tcPr>
            <w:tcW w:w="2328" w:type="dxa"/>
            <w:shd w:val="clear" w:color="auto" w:fill="E0E0E0"/>
            <w:vAlign w:val="center"/>
          </w:tcPr>
          <w:p w14:paraId="0BE4018D" w14:textId="77777777" w:rsidR="00066DCF" w:rsidRPr="00685696" w:rsidRDefault="00066DCF" w:rsidP="00066DCF">
            <w:pPr>
              <w:rPr>
                <w:rFonts w:cs="Arial"/>
                <w:b/>
                <w:lang w:eastAsia="de-DE"/>
              </w:rPr>
            </w:pPr>
            <w:r w:rsidRPr="00685696">
              <w:rPr>
                <w:rFonts w:cs="Arial"/>
                <w:b/>
                <w:lang w:eastAsia="de-DE"/>
              </w:rPr>
              <w:t>Reference</w:t>
            </w:r>
          </w:p>
        </w:tc>
      </w:tr>
      <w:tr w:rsidR="00066DCF" w:rsidRPr="00891CAF" w14:paraId="126F6F2B" w14:textId="77777777" w:rsidTr="00066DCF">
        <w:trPr>
          <w:trHeight w:val="181"/>
        </w:trPr>
        <w:tc>
          <w:tcPr>
            <w:tcW w:w="2197" w:type="dxa"/>
          </w:tcPr>
          <w:p w14:paraId="68FB6B8C" w14:textId="77777777" w:rsidR="00066DCF" w:rsidRPr="00685696" w:rsidRDefault="00066DCF" w:rsidP="00066DCF">
            <w:pPr>
              <w:rPr>
                <w:rFonts w:cs="Arial"/>
                <w:lang w:eastAsia="de-DE"/>
              </w:rPr>
            </w:pPr>
            <w:r w:rsidRPr="00685696">
              <w:rPr>
                <w:rFonts w:cs="Arial"/>
                <w:lang w:eastAsia="de-DE"/>
              </w:rPr>
              <w:t>Explosives</w:t>
            </w:r>
          </w:p>
        </w:tc>
        <w:tc>
          <w:tcPr>
            <w:tcW w:w="1701" w:type="dxa"/>
          </w:tcPr>
          <w:p w14:paraId="1059BF2A" w14:textId="77777777" w:rsidR="00066DCF" w:rsidRPr="00685696" w:rsidRDefault="00066DCF" w:rsidP="00066DCF">
            <w:pPr>
              <w:autoSpaceDE w:val="0"/>
              <w:autoSpaceDN w:val="0"/>
              <w:adjustRightInd w:val="0"/>
              <w:rPr>
                <w:rFonts w:eastAsiaTheme="minorHAnsi" w:cs="Arial"/>
                <w:color w:val="000000"/>
                <w:lang w:val="fr-FR" w:eastAsia="en-US"/>
              </w:rPr>
            </w:pPr>
          </w:p>
          <w:tbl>
            <w:tblPr>
              <w:tblW w:w="0" w:type="auto"/>
              <w:tblInd w:w="35" w:type="dxa"/>
              <w:tblBorders>
                <w:top w:val="nil"/>
                <w:left w:val="nil"/>
                <w:bottom w:val="nil"/>
                <w:right w:val="nil"/>
              </w:tblBorders>
              <w:tblLayout w:type="fixed"/>
              <w:tblLook w:val="0000" w:firstRow="0" w:lastRow="0" w:firstColumn="0" w:lastColumn="0" w:noHBand="0" w:noVBand="0"/>
            </w:tblPr>
            <w:tblGrid>
              <w:gridCol w:w="1396"/>
            </w:tblGrid>
            <w:tr w:rsidR="00066DCF" w:rsidRPr="00685696" w14:paraId="5F9014B0" w14:textId="77777777" w:rsidTr="00066DCF">
              <w:trPr>
                <w:trHeight w:val="113"/>
              </w:trPr>
              <w:tc>
                <w:tcPr>
                  <w:tcW w:w="1396" w:type="dxa"/>
                </w:tcPr>
                <w:p w14:paraId="5E0777E9" w14:textId="77777777" w:rsidR="00066DCF" w:rsidRPr="00685696" w:rsidRDefault="00066DCF" w:rsidP="00066DCF">
                  <w:pPr>
                    <w:autoSpaceDE w:val="0"/>
                    <w:autoSpaceDN w:val="0"/>
                    <w:adjustRightInd w:val="0"/>
                    <w:rPr>
                      <w:rFonts w:eastAsiaTheme="minorHAnsi" w:cs="Arial"/>
                      <w:color w:val="000000"/>
                      <w:lang w:val="fr-FR" w:eastAsia="en-US"/>
                    </w:rPr>
                  </w:pPr>
                  <w:r w:rsidRPr="00685696">
                    <w:rPr>
                      <w:rFonts w:eastAsiaTheme="minorHAnsi" w:cs="Arial"/>
                      <w:color w:val="000000"/>
                      <w:lang w:val="fr-FR" w:eastAsia="en-US"/>
                    </w:rPr>
                    <w:t>D.S.C./ (Q)SAR</w:t>
                  </w:r>
                </w:p>
              </w:tc>
            </w:tr>
          </w:tbl>
          <w:p w14:paraId="3576851F" w14:textId="77777777" w:rsidR="00066DCF" w:rsidRPr="00685696" w:rsidRDefault="00066DCF" w:rsidP="00066DCF">
            <w:pPr>
              <w:keepNext/>
              <w:tabs>
                <w:tab w:val="left" w:pos="1304"/>
              </w:tabs>
              <w:spacing w:after="60" w:line="240" w:lineRule="atLeast"/>
              <w:outlineLvl w:val="3"/>
              <w:rPr>
                <w:rFonts w:cs="Arial"/>
                <w:b/>
                <w:bCs/>
              </w:rPr>
            </w:pPr>
          </w:p>
        </w:tc>
        <w:tc>
          <w:tcPr>
            <w:tcW w:w="1417" w:type="dxa"/>
          </w:tcPr>
          <w:p w14:paraId="1EDDC04B"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X6122B1</w:t>
            </w:r>
          </w:p>
          <w:p w14:paraId="3C26C26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Lot/batch No PaP V83.2</w:t>
            </w:r>
          </w:p>
          <w:p w14:paraId="35FCDC5C" w14:textId="77777777" w:rsidR="00066DCF" w:rsidRPr="00685696" w:rsidRDefault="00066DCF" w:rsidP="00066DCF">
            <w:pPr>
              <w:keepNext/>
              <w:tabs>
                <w:tab w:val="left" w:pos="1304"/>
              </w:tabs>
              <w:spacing w:after="60" w:line="240" w:lineRule="atLeast"/>
              <w:outlineLvl w:val="3"/>
              <w:rPr>
                <w:rFonts w:cs="Arial"/>
                <w:bCs/>
              </w:rPr>
            </w:pPr>
          </w:p>
          <w:p w14:paraId="409E8153"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Expert statement</w:t>
            </w:r>
          </w:p>
        </w:tc>
        <w:tc>
          <w:tcPr>
            <w:tcW w:w="4961" w:type="dxa"/>
          </w:tcPr>
          <w:p w14:paraId="1BD42712"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According to the evaluation of propiconazole, cypermethrin cis</w:t>
            </w:r>
            <w:proofErr w:type="gramStart"/>
            <w:r w:rsidRPr="00685696">
              <w:rPr>
                <w:rFonts w:cs="Arial"/>
                <w:bCs/>
              </w:rPr>
              <w:t>:trans</w:t>
            </w:r>
            <w:proofErr w:type="gramEnd"/>
            <w:r w:rsidRPr="00685696">
              <w:rPr>
                <w:rFonts w:cs="Arial"/>
                <w:bCs/>
              </w:rPr>
              <w:t xml:space="preserve"> / 40:60, IPBC and tebuconazole under Biocidal Products Directive, these active substances (0.32% w/w total) have no potential explosive properties. </w:t>
            </w:r>
          </w:p>
          <w:p w14:paraId="34EB8FD1"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Based on data available in literature, safety data sheet and/or on their structure, all other ingredients (99.56% w/w) are not expected to have explosive properties. </w:t>
            </w:r>
          </w:p>
          <w:p w14:paraId="4BF91A32"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Moreover, according to Differential Scanning Calorimetry (DSC) graphs, no exothermic reaction was observed in the temperature range from 20°C to 500°C. Only two endothermic reactions noted with an energy of 92J/g and 49J/g respectively Therefore, the test item is </w:t>
            </w:r>
            <w:r w:rsidRPr="00685696">
              <w:rPr>
                <w:rFonts w:cs="Arial"/>
                <w:bCs/>
              </w:rPr>
              <w:lastRenderedPageBreak/>
              <w:t xml:space="preserve">unlikely to be explosive and the test on explosive properties according to UN Test series 1 to 3 described in Part </w:t>
            </w:r>
            <w:proofErr w:type="gramStart"/>
            <w:r w:rsidRPr="00685696">
              <w:rPr>
                <w:rFonts w:cs="Arial"/>
                <w:bCs/>
              </w:rPr>
              <w:t>I</w:t>
            </w:r>
            <w:proofErr w:type="gramEnd"/>
            <w:r w:rsidRPr="00685696">
              <w:rPr>
                <w:rFonts w:cs="Arial"/>
                <w:bCs/>
              </w:rPr>
              <w:t xml:space="preserve"> of the UN-MTC should not be performed.</w:t>
            </w:r>
          </w:p>
        </w:tc>
        <w:tc>
          <w:tcPr>
            <w:tcW w:w="2127" w:type="dxa"/>
          </w:tcPr>
          <w:p w14:paraId="2E6EBEC4"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lastRenderedPageBreak/>
              <w:t>Acceptable. The product is not explosive.</w:t>
            </w:r>
          </w:p>
        </w:tc>
        <w:tc>
          <w:tcPr>
            <w:tcW w:w="2328" w:type="dxa"/>
          </w:tcPr>
          <w:p w14:paraId="69992D6F"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Raphalen E., Legay S. 2015</w:t>
            </w:r>
          </w:p>
          <w:p w14:paraId="3470D90F"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402/14/1095F/i-e</w:t>
            </w:r>
          </w:p>
          <w:p w14:paraId="6843F734" w14:textId="77777777" w:rsidR="00066DCF" w:rsidRPr="00685696" w:rsidRDefault="00066DCF" w:rsidP="00066DCF">
            <w:pPr>
              <w:keepNext/>
              <w:tabs>
                <w:tab w:val="left" w:pos="1304"/>
              </w:tabs>
              <w:spacing w:after="60" w:line="240" w:lineRule="atLeast"/>
              <w:outlineLvl w:val="3"/>
              <w:rPr>
                <w:rFonts w:cs="Arial"/>
                <w:b/>
                <w:bCs/>
                <w:lang w:val="it-IT"/>
              </w:rPr>
            </w:pPr>
            <w:r w:rsidRPr="00685696">
              <w:rPr>
                <w:rFonts w:cs="Arial"/>
                <w:bCs/>
                <w:lang w:val="it-IT"/>
              </w:rPr>
              <w:t>Detrimont H., Ambrosi D. 2015 Report 15/06</w:t>
            </w:r>
          </w:p>
        </w:tc>
      </w:tr>
      <w:tr w:rsidR="00066DCF" w:rsidRPr="00685696" w14:paraId="72BAE2E7" w14:textId="77777777" w:rsidTr="00066DCF">
        <w:trPr>
          <w:trHeight w:val="181"/>
        </w:trPr>
        <w:tc>
          <w:tcPr>
            <w:tcW w:w="2197" w:type="dxa"/>
          </w:tcPr>
          <w:p w14:paraId="58087FF7" w14:textId="77777777" w:rsidR="00066DCF" w:rsidRPr="00685696" w:rsidRDefault="00066DCF" w:rsidP="00066DCF">
            <w:pPr>
              <w:rPr>
                <w:rFonts w:cs="Arial"/>
                <w:lang w:eastAsia="de-DE"/>
              </w:rPr>
            </w:pPr>
            <w:r w:rsidRPr="00685696">
              <w:rPr>
                <w:rFonts w:cs="Arial"/>
                <w:lang w:eastAsia="de-DE"/>
              </w:rPr>
              <w:t>Flammable gases</w:t>
            </w:r>
          </w:p>
        </w:tc>
        <w:tc>
          <w:tcPr>
            <w:tcW w:w="1701" w:type="dxa"/>
          </w:tcPr>
          <w:p w14:paraId="5921FB2C" w14:textId="77777777" w:rsidR="00066DCF" w:rsidRPr="00685696" w:rsidRDefault="00066DCF" w:rsidP="00066DCF">
            <w:pPr>
              <w:rPr>
                <w:rFonts w:cs="Arial"/>
                <w:lang w:eastAsia="de-DE"/>
              </w:rPr>
            </w:pPr>
          </w:p>
        </w:tc>
        <w:tc>
          <w:tcPr>
            <w:tcW w:w="1417" w:type="dxa"/>
          </w:tcPr>
          <w:p w14:paraId="07ADBC07" w14:textId="77777777" w:rsidR="00066DCF" w:rsidRPr="00685696" w:rsidRDefault="00066DCF" w:rsidP="00066DCF">
            <w:pPr>
              <w:rPr>
                <w:rFonts w:cs="Arial"/>
                <w:lang w:eastAsia="de-DE"/>
              </w:rPr>
            </w:pPr>
          </w:p>
        </w:tc>
        <w:tc>
          <w:tcPr>
            <w:tcW w:w="4961" w:type="dxa"/>
          </w:tcPr>
          <w:p w14:paraId="2F130161"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0728BFDB"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4154F153" w14:textId="77777777" w:rsidR="00066DCF" w:rsidRPr="00685696" w:rsidRDefault="00066DCF" w:rsidP="00066DCF">
            <w:pPr>
              <w:rPr>
                <w:rFonts w:cs="Arial"/>
                <w:lang w:eastAsia="de-DE"/>
              </w:rPr>
            </w:pPr>
          </w:p>
        </w:tc>
      </w:tr>
      <w:tr w:rsidR="00066DCF" w:rsidRPr="00685696" w14:paraId="7FBEDBEB" w14:textId="77777777" w:rsidTr="00066DCF">
        <w:trPr>
          <w:trHeight w:val="181"/>
        </w:trPr>
        <w:tc>
          <w:tcPr>
            <w:tcW w:w="2197" w:type="dxa"/>
          </w:tcPr>
          <w:p w14:paraId="069FAB63" w14:textId="77777777" w:rsidR="00066DCF" w:rsidRPr="00685696" w:rsidRDefault="00066DCF" w:rsidP="00066DCF">
            <w:pPr>
              <w:rPr>
                <w:rFonts w:cs="Arial"/>
                <w:lang w:eastAsia="de-DE"/>
              </w:rPr>
            </w:pPr>
            <w:r w:rsidRPr="00685696">
              <w:rPr>
                <w:rFonts w:cs="Arial"/>
                <w:lang w:eastAsia="de-DE"/>
              </w:rPr>
              <w:t>Flammable aerosols</w:t>
            </w:r>
          </w:p>
        </w:tc>
        <w:tc>
          <w:tcPr>
            <w:tcW w:w="1701" w:type="dxa"/>
          </w:tcPr>
          <w:p w14:paraId="367EA4FF" w14:textId="77777777" w:rsidR="00066DCF" w:rsidRPr="00685696" w:rsidRDefault="00066DCF" w:rsidP="00066DCF">
            <w:pPr>
              <w:rPr>
                <w:rFonts w:cs="Arial"/>
                <w:lang w:eastAsia="de-DE"/>
              </w:rPr>
            </w:pPr>
          </w:p>
        </w:tc>
        <w:tc>
          <w:tcPr>
            <w:tcW w:w="1417" w:type="dxa"/>
          </w:tcPr>
          <w:p w14:paraId="338C8EAC" w14:textId="77777777" w:rsidR="00066DCF" w:rsidRPr="00685696" w:rsidRDefault="00066DCF" w:rsidP="00066DCF">
            <w:pPr>
              <w:rPr>
                <w:rFonts w:cs="Arial"/>
                <w:lang w:eastAsia="de-DE"/>
              </w:rPr>
            </w:pPr>
          </w:p>
        </w:tc>
        <w:tc>
          <w:tcPr>
            <w:tcW w:w="4961" w:type="dxa"/>
          </w:tcPr>
          <w:p w14:paraId="324A33A1"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63AB647A"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413A96FA" w14:textId="77777777" w:rsidR="00066DCF" w:rsidRPr="00685696" w:rsidRDefault="00066DCF" w:rsidP="00066DCF">
            <w:pPr>
              <w:rPr>
                <w:rFonts w:cs="Arial"/>
                <w:lang w:eastAsia="de-DE"/>
              </w:rPr>
            </w:pPr>
          </w:p>
        </w:tc>
      </w:tr>
      <w:tr w:rsidR="00066DCF" w:rsidRPr="00685696" w14:paraId="38608475" w14:textId="77777777" w:rsidTr="00066DCF">
        <w:trPr>
          <w:trHeight w:val="181"/>
        </w:trPr>
        <w:tc>
          <w:tcPr>
            <w:tcW w:w="2197" w:type="dxa"/>
          </w:tcPr>
          <w:p w14:paraId="5807C42D" w14:textId="77777777" w:rsidR="00066DCF" w:rsidRPr="00685696" w:rsidRDefault="00066DCF" w:rsidP="00066DCF">
            <w:pPr>
              <w:rPr>
                <w:rFonts w:cs="Arial"/>
                <w:lang w:eastAsia="de-DE"/>
              </w:rPr>
            </w:pPr>
            <w:r w:rsidRPr="00685696">
              <w:rPr>
                <w:rFonts w:cs="Arial"/>
                <w:lang w:eastAsia="de-DE"/>
              </w:rPr>
              <w:t>Oxidising gases</w:t>
            </w:r>
          </w:p>
        </w:tc>
        <w:tc>
          <w:tcPr>
            <w:tcW w:w="1701" w:type="dxa"/>
          </w:tcPr>
          <w:p w14:paraId="3CFDCB4A" w14:textId="77777777" w:rsidR="00066DCF" w:rsidRPr="00685696" w:rsidRDefault="00066DCF" w:rsidP="00066DCF">
            <w:pPr>
              <w:rPr>
                <w:rFonts w:cs="Arial"/>
                <w:lang w:eastAsia="de-DE"/>
              </w:rPr>
            </w:pPr>
          </w:p>
        </w:tc>
        <w:tc>
          <w:tcPr>
            <w:tcW w:w="1417" w:type="dxa"/>
          </w:tcPr>
          <w:p w14:paraId="6F6CA0A9" w14:textId="77777777" w:rsidR="00066DCF" w:rsidRPr="00685696" w:rsidRDefault="00066DCF" w:rsidP="00066DCF">
            <w:pPr>
              <w:rPr>
                <w:rFonts w:cs="Arial"/>
                <w:lang w:eastAsia="de-DE"/>
              </w:rPr>
            </w:pPr>
          </w:p>
        </w:tc>
        <w:tc>
          <w:tcPr>
            <w:tcW w:w="4961" w:type="dxa"/>
          </w:tcPr>
          <w:p w14:paraId="355C57E0"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32A3F62E"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57281954" w14:textId="77777777" w:rsidR="00066DCF" w:rsidRPr="00685696" w:rsidRDefault="00066DCF" w:rsidP="00066DCF">
            <w:pPr>
              <w:rPr>
                <w:rFonts w:cs="Arial"/>
                <w:lang w:eastAsia="de-DE"/>
              </w:rPr>
            </w:pPr>
          </w:p>
        </w:tc>
      </w:tr>
      <w:tr w:rsidR="00066DCF" w:rsidRPr="00685696" w14:paraId="7EC617CA" w14:textId="77777777" w:rsidTr="00066DCF">
        <w:trPr>
          <w:trHeight w:val="181"/>
        </w:trPr>
        <w:tc>
          <w:tcPr>
            <w:tcW w:w="2197" w:type="dxa"/>
          </w:tcPr>
          <w:p w14:paraId="69C64748" w14:textId="77777777" w:rsidR="00066DCF" w:rsidRPr="00685696" w:rsidRDefault="00066DCF" w:rsidP="00066DCF">
            <w:pPr>
              <w:rPr>
                <w:rFonts w:cs="Arial"/>
                <w:lang w:eastAsia="de-DE"/>
              </w:rPr>
            </w:pPr>
            <w:r w:rsidRPr="00685696">
              <w:rPr>
                <w:rFonts w:cs="Arial"/>
                <w:lang w:eastAsia="de-DE"/>
              </w:rPr>
              <w:t>Gases under pressure</w:t>
            </w:r>
          </w:p>
        </w:tc>
        <w:tc>
          <w:tcPr>
            <w:tcW w:w="1701" w:type="dxa"/>
          </w:tcPr>
          <w:p w14:paraId="76A979A2" w14:textId="77777777" w:rsidR="00066DCF" w:rsidRPr="00685696" w:rsidRDefault="00066DCF" w:rsidP="00066DCF">
            <w:pPr>
              <w:rPr>
                <w:rFonts w:cs="Arial"/>
                <w:lang w:eastAsia="de-DE"/>
              </w:rPr>
            </w:pPr>
          </w:p>
        </w:tc>
        <w:tc>
          <w:tcPr>
            <w:tcW w:w="1417" w:type="dxa"/>
          </w:tcPr>
          <w:p w14:paraId="5EAC2BF1" w14:textId="77777777" w:rsidR="00066DCF" w:rsidRPr="00685696" w:rsidRDefault="00066DCF" w:rsidP="00066DCF">
            <w:pPr>
              <w:rPr>
                <w:rFonts w:cs="Arial"/>
                <w:lang w:eastAsia="de-DE"/>
              </w:rPr>
            </w:pPr>
          </w:p>
        </w:tc>
        <w:tc>
          <w:tcPr>
            <w:tcW w:w="4961" w:type="dxa"/>
          </w:tcPr>
          <w:p w14:paraId="0E1EB291"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4AB51B60"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20E7FC48" w14:textId="77777777" w:rsidR="00066DCF" w:rsidRPr="00685696" w:rsidRDefault="00066DCF" w:rsidP="00066DCF">
            <w:pPr>
              <w:rPr>
                <w:rFonts w:cs="Arial"/>
                <w:lang w:eastAsia="de-DE"/>
              </w:rPr>
            </w:pPr>
          </w:p>
        </w:tc>
      </w:tr>
      <w:tr w:rsidR="00066DCF" w:rsidRPr="00891CAF" w14:paraId="14AC4390" w14:textId="77777777" w:rsidTr="00066DCF">
        <w:trPr>
          <w:trHeight w:val="181"/>
        </w:trPr>
        <w:tc>
          <w:tcPr>
            <w:tcW w:w="2197" w:type="dxa"/>
          </w:tcPr>
          <w:p w14:paraId="108BA516" w14:textId="77777777" w:rsidR="00066DCF" w:rsidRPr="00685696" w:rsidRDefault="00066DCF" w:rsidP="00066DCF">
            <w:pPr>
              <w:rPr>
                <w:rFonts w:cs="Arial"/>
                <w:lang w:eastAsia="de-DE"/>
              </w:rPr>
            </w:pPr>
            <w:r w:rsidRPr="00685696">
              <w:rPr>
                <w:rFonts w:cs="Arial"/>
                <w:lang w:eastAsia="de-DE"/>
              </w:rPr>
              <w:t>Flammable liquids</w:t>
            </w:r>
          </w:p>
        </w:tc>
        <w:tc>
          <w:tcPr>
            <w:tcW w:w="1701" w:type="dxa"/>
          </w:tcPr>
          <w:p w14:paraId="5848E47A" w14:textId="77777777" w:rsidR="00066DCF" w:rsidRPr="00685696" w:rsidRDefault="00066DCF" w:rsidP="00066DCF">
            <w:pPr>
              <w:pStyle w:val="Default"/>
              <w:jc w:val="both"/>
              <w:rPr>
                <w:rFonts w:ascii="Verdana" w:hAnsi="Verdana" w:cs="Arial"/>
                <w:sz w:val="20"/>
                <w:szCs w:val="20"/>
                <w:lang w:val="en-US"/>
              </w:rPr>
            </w:pPr>
            <w:r w:rsidRPr="00685696">
              <w:rPr>
                <w:rFonts w:ascii="Verdana" w:hAnsi="Verdana" w:cs="Arial"/>
                <w:sz w:val="20"/>
                <w:szCs w:val="20"/>
                <w:lang w:val="en-US"/>
              </w:rPr>
              <w:t>EEC A9 (closed cup)</w:t>
            </w:r>
          </w:p>
          <w:p w14:paraId="7F7211F4" w14:textId="77777777" w:rsidR="00066DCF" w:rsidRPr="00685696" w:rsidRDefault="00066DCF" w:rsidP="00066DCF">
            <w:pPr>
              <w:keepNext/>
              <w:tabs>
                <w:tab w:val="left" w:pos="1304"/>
              </w:tabs>
              <w:spacing w:after="60" w:line="240" w:lineRule="atLeast"/>
              <w:outlineLvl w:val="3"/>
              <w:rPr>
                <w:rFonts w:cs="Arial"/>
                <w:b/>
                <w:bCs/>
                <w:lang w:val="en-US"/>
              </w:rPr>
            </w:pPr>
          </w:p>
        </w:tc>
        <w:tc>
          <w:tcPr>
            <w:tcW w:w="1417" w:type="dxa"/>
          </w:tcPr>
          <w:p w14:paraId="5627C496"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X6122B1</w:t>
            </w:r>
          </w:p>
          <w:p w14:paraId="4EAD8D93"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Lot/batch No PaP V83.2</w:t>
            </w:r>
          </w:p>
          <w:p w14:paraId="731D2D7F" w14:textId="77777777" w:rsidR="00066DCF" w:rsidRPr="00685696" w:rsidRDefault="00066DCF" w:rsidP="00066DCF">
            <w:pPr>
              <w:keepNext/>
              <w:tabs>
                <w:tab w:val="left" w:pos="1304"/>
              </w:tabs>
              <w:spacing w:after="60" w:line="240" w:lineRule="atLeast"/>
              <w:outlineLvl w:val="3"/>
              <w:rPr>
                <w:rFonts w:cs="Arial"/>
                <w:b/>
                <w:bCs/>
              </w:rPr>
            </w:pPr>
          </w:p>
        </w:tc>
        <w:tc>
          <w:tcPr>
            <w:tcW w:w="4961" w:type="dxa"/>
          </w:tcPr>
          <w:p w14:paraId="41674CF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According to EC A.9 method (Pensky-Martens apparatus), the product X6122B1 is not flammable (flash point: 62.8 degree C).</w:t>
            </w:r>
          </w:p>
        </w:tc>
        <w:tc>
          <w:tcPr>
            <w:tcW w:w="2127" w:type="dxa"/>
          </w:tcPr>
          <w:p w14:paraId="33003B8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 The product is not flammable.</w:t>
            </w:r>
          </w:p>
        </w:tc>
        <w:tc>
          <w:tcPr>
            <w:tcW w:w="2328" w:type="dxa"/>
          </w:tcPr>
          <w:p w14:paraId="2AF892CB"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Legay S. 2015</w:t>
            </w:r>
          </w:p>
          <w:p w14:paraId="1D244D0A" w14:textId="77777777" w:rsidR="00066DCF" w:rsidRPr="00685696" w:rsidRDefault="00066DCF" w:rsidP="00066DCF">
            <w:pPr>
              <w:keepNext/>
              <w:tabs>
                <w:tab w:val="left" w:pos="1304"/>
              </w:tabs>
              <w:spacing w:after="60" w:line="240" w:lineRule="atLeast"/>
              <w:outlineLvl w:val="3"/>
              <w:rPr>
                <w:rFonts w:cs="Arial"/>
                <w:b/>
                <w:bCs/>
                <w:lang w:val="it-IT"/>
              </w:rPr>
            </w:pPr>
            <w:r w:rsidRPr="00685696">
              <w:rPr>
                <w:rFonts w:cs="Arial"/>
                <w:bCs/>
                <w:lang w:val="it-IT"/>
              </w:rPr>
              <w:t>402/14/1095F/defgh-e</w:t>
            </w:r>
          </w:p>
        </w:tc>
      </w:tr>
      <w:tr w:rsidR="00066DCF" w:rsidRPr="00685696" w14:paraId="6F6996BA" w14:textId="77777777" w:rsidTr="00066DCF">
        <w:trPr>
          <w:trHeight w:val="181"/>
        </w:trPr>
        <w:tc>
          <w:tcPr>
            <w:tcW w:w="2197" w:type="dxa"/>
          </w:tcPr>
          <w:p w14:paraId="2FA8B75E" w14:textId="77777777" w:rsidR="00066DCF" w:rsidRPr="00685696" w:rsidRDefault="00066DCF" w:rsidP="00066DCF">
            <w:pPr>
              <w:rPr>
                <w:rFonts w:cs="Arial"/>
                <w:lang w:eastAsia="de-DE"/>
              </w:rPr>
            </w:pPr>
            <w:r w:rsidRPr="00685696">
              <w:rPr>
                <w:rFonts w:cs="Arial"/>
                <w:lang w:eastAsia="de-DE"/>
              </w:rPr>
              <w:t>Flammable solids</w:t>
            </w:r>
          </w:p>
        </w:tc>
        <w:tc>
          <w:tcPr>
            <w:tcW w:w="1701" w:type="dxa"/>
          </w:tcPr>
          <w:p w14:paraId="768F52A2" w14:textId="77777777" w:rsidR="00066DCF" w:rsidRPr="00685696" w:rsidRDefault="00066DCF" w:rsidP="00066DCF">
            <w:pPr>
              <w:rPr>
                <w:rFonts w:cs="Arial"/>
                <w:lang w:eastAsia="de-DE"/>
              </w:rPr>
            </w:pPr>
          </w:p>
        </w:tc>
        <w:tc>
          <w:tcPr>
            <w:tcW w:w="1417" w:type="dxa"/>
          </w:tcPr>
          <w:p w14:paraId="7362079C" w14:textId="77777777" w:rsidR="00066DCF" w:rsidRPr="00685696" w:rsidRDefault="00066DCF" w:rsidP="00066DCF">
            <w:pPr>
              <w:rPr>
                <w:rFonts w:cs="Arial"/>
                <w:lang w:eastAsia="de-DE"/>
              </w:rPr>
            </w:pPr>
          </w:p>
        </w:tc>
        <w:tc>
          <w:tcPr>
            <w:tcW w:w="4961" w:type="dxa"/>
          </w:tcPr>
          <w:p w14:paraId="12CAE821"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0D380897"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39AE5116" w14:textId="77777777" w:rsidR="00066DCF" w:rsidRPr="00685696" w:rsidRDefault="00066DCF" w:rsidP="00066DCF">
            <w:pPr>
              <w:rPr>
                <w:rFonts w:cs="Arial"/>
                <w:lang w:eastAsia="de-DE"/>
              </w:rPr>
            </w:pPr>
          </w:p>
        </w:tc>
      </w:tr>
      <w:tr w:rsidR="00066DCF" w:rsidRPr="00685696" w14:paraId="3CF65DAE" w14:textId="77777777" w:rsidTr="00066DCF">
        <w:trPr>
          <w:trHeight w:val="181"/>
        </w:trPr>
        <w:tc>
          <w:tcPr>
            <w:tcW w:w="2197" w:type="dxa"/>
          </w:tcPr>
          <w:p w14:paraId="40C84053" w14:textId="77777777" w:rsidR="00066DCF" w:rsidRPr="00685696" w:rsidRDefault="00066DCF" w:rsidP="00066DCF">
            <w:pPr>
              <w:rPr>
                <w:rFonts w:cs="Arial"/>
                <w:lang w:eastAsia="de-DE"/>
              </w:rPr>
            </w:pPr>
            <w:r w:rsidRPr="00685696">
              <w:rPr>
                <w:rFonts w:cs="Arial"/>
                <w:lang w:eastAsia="de-DE"/>
              </w:rPr>
              <w:t>Self-reactive substances and mixtures</w:t>
            </w:r>
          </w:p>
        </w:tc>
        <w:tc>
          <w:tcPr>
            <w:tcW w:w="1701" w:type="dxa"/>
          </w:tcPr>
          <w:p w14:paraId="5D589993" w14:textId="77777777" w:rsidR="00066DCF" w:rsidRPr="00685696" w:rsidRDefault="00066DCF" w:rsidP="00066DCF">
            <w:pPr>
              <w:rPr>
                <w:rFonts w:cs="Arial"/>
                <w:lang w:eastAsia="de-DE"/>
              </w:rPr>
            </w:pPr>
            <w:r w:rsidRPr="00685696">
              <w:rPr>
                <w:rFonts w:cs="Arial"/>
                <w:lang w:eastAsia="de-DE"/>
              </w:rPr>
              <w:t>Expert statement</w:t>
            </w:r>
          </w:p>
        </w:tc>
        <w:tc>
          <w:tcPr>
            <w:tcW w:w="1417" w:type="dxa"/>
          </w:tcPr>
          <w:p w14:paraId="2B088C0C" w14:textId="77777777" w:rsidR="00066DCF" w:rsidRPr="00685696" w:rsidRDefault="00066DCF" w:rsidP="00066DCF">
            <w:pPr>
              <w:rPr>
                <w:rFonts w:cs="Arial"/>
                <w:lang w:eastAsia="de-DE"/>
              </w:rPr>
            </w:pPr>
          </w:p>
        </w:tc>
        <w:tc>
          <w:tcPr>
            <w:tcW w:w="4961" w:type="dxa"/>
          </w:tcPr>
          <w:p w14:paraId="01F17491" w14:textId="77777777" w:rsidR="00066DCF" w:rsidRPr="00685696" w:rsidRDefault="00066DCF" w:rsidP="00066DCF">
            <w:pPr>
              <w:autoSpaceDE w:val="0"/>
              <w:autoSpaceDN w:val="0"/>
              <w:adjustRightInd w:val="0"/>
              <w:rPr>
                <w:rFonts w:eastAsia="ArialMT" w:cs="Arial"/>
                <w:lang w:val="en-US" w:eastAsia="en-US"/>
              </w:rPr>
            </w:pPr>
            <w:r w:rsidRPr="00685696">
              <w:rPr>
                <w:rFonts w:eastAsia="ArialMT" w:cs="Arial"/>
                <w:lang w:val="en-US" w:eastAsia="en-US"/>
              </w:rPr>
              <w:t xml:space="preserve">According to Regulation (EC) No.1272/2008, homogeneous mixtures of organic substances </w:t>
            </w:r>
          </w:p>
          <w:p w14:paraId="271187BD" w14:textId="77777777" w:rsidR="00066DCF" w:rsidRPr="00685696" w:rsidRDefault="00066DCF" w:rsidP="00066DCF">
            <w:pPr>
              <w:autoSpaceDE w:val="0"/>
              <w:autoSpaceDN w:val="0"/>
              <w:adjustRightInd w:val="0"/>
              <w:rPr>
                <w:rFonts w:eastAsia="ArialMT" w:cs="Arial"/>
                <w:lang w:val="en-US" w:eastAsia="en-US"/>
              </w:rPr>
            </w:pPr>
            <w:r w:rsidRPr="00685696">
              <w:rPr>
                <w:rFonts w:eastAsia="ArialMT" w:cs="Arial"/>
                <w:lang w:val="en-US" w:eastAsia="en-US"/>
              </w:rPr>
              <w:t xml:space="preserve">should be considered for classification in this hazard class unless their exothermic decomposition energy is </w:t>
            </w:r>
          </w:p>
          <w:p w14:paraId="669125D1" w14:textId="77777777" w:rsidR="00066DCF" w:rsidRPr="00685696" w:rsidRDefault="00066DCF" w:rsidP="00066DCF">
            <w:pPr>
              <w:autoSpaceDE w:val="0"/>
              <w:autoSpaceDN w:val="0"/>
              <w:adjustRightInd w:val="0"/>
              <w:rPr>
                <w:rFonts w:cs="Arial"/>
                <w:lang w:val="en-US" w:eastAsia="de-DE"/>
              </w:rPr>
            </w:pPr>
            <w:proofErr w:type="gramStart"/>
            <w:r w:rsidRPr="00685696">
              <w:rPr>
                <w:rFonts w:eastAsia="ArialMT" w:cs="Arial"/>
                <w:lang w:val="en-US" w:eastAsia="en-US"/>
              </w:rPr>
              <w:t>less</w:t>
            </w:r>
            <w:proofErr w:type="gramEnd"/>
            <w:r w:rsidRPr="00685696">
              <w:rPr>
                <w:rFonts w:eastAsia="ArialMT" w:cs="Arial"/>
                <w:lang w:val="en-US" w:eastAsia="en-US"/>
              </w:rPr>
              <w:t xml:space="preserve"> than  300  J/g.  As  no  exothermic  reaction was  observed in  the  temperature  range  used  from  20°C  to 500°C (DSC graphs), testing is considered as unnecessary.</w:t>
            </w:r>
          </w:p>
        </w:tc>
        <w:tc>
          <w:tcPr>
            <w:tcW w:w="2127" w:type="dxa"/>
          </w:tcPr>
          <w:p w14:paraId="6964B0B2" w14:textId="77777777" w:rsidR="00066DCF" w:rsidRPr="00685696" w:rsidRDefault="00066DCF" w:rsidP="00066DCF">
            <w:pPr>
              <w:rPr>
                <w:rFonts w:cs="Arial"/>
                <w:lang w:eastAsia="de-DE"/>
              </w:rPr>
            </w:pPr>
            <w:r w:rsidRPr="00685696">
              <w:rPr>
                <w:rFonts w:cs="Arial"/>
                <w:lang w:eastAsia="de-DE"/>
              </w:rPr>
              <w:t>Acceptable. As no exothermic decomposition has been observed, the product is not considered self-reactive.</w:t>
            </w:r>
          </w:p>
        </w:tc>
        <w:tc>
          <w:tcPr>
            <w:tcW w:w="2328" w:type="dxa"/>
          </w:tcPr>
          <w:p w14:paraId="56DB7A79" w14:textId="77777777" w:rsidR="00066DCF" w:rsidRPr="00685696" w:rsidRDefault="00066DCF" w:rsidP="00066DCF">
            <w:pPr>
              <w:rPr>
                <w:rFonts w:cs="Arial"/>
                <w:lang w:eastAsia="de-DE"/>
              </w:rPr>
            </w:pPr>
          </w:p>
        </w:tc>
      </w:tr>
      <w:tr w:rsidR="00066DCF" w:rsidRPr="00685696" w14:paraId="1721B6D7" w14:textId="77777777" w:rsidTr="00066DCF">
        <w:trPr>
          <w:trHeight w:val="181"/>
        </w:trPr>
        <w:tc>
          <w:tcPr>
            <w:tcW w:w="2197" w:type="dxa"/>
          </w:tcPr>
          <w:p w14:paraId="5274C15D" w14:textId="77777777" w:rsidR="00066DCF" w:rsidRPr="00685696" w:rsidRDefault="00066DCF" w:rsidP="00066DCF">
            <w:pPr>
              <w:rPr>
                <w:rFonts w:cs="Arial"/>
                <w:lang w:eastAsia="de-DE"/>
              </w:rPr>
            </w:pPr>
            <w:r w:rsidRPr="00685696">
              <w:rPr>
                <w:rFonts w:cs="Arial"/>
                <w:lang w:eastAsia="de-DE"/>
              </w:rPr>
              <w:t>Pyrophoric liquids</w:t>
            </w:r>
          </w:p>
        </w:tc>
        <w:tc>
          <w:tcPr>
            <w:tcW w:w="1701" w:type="dxa"/>
          </w:tcPr>
          <w:p w14:paraId="642AEEDD" w14:textId="77777777" w:rsidR="00066DCF" w:rsidRPr="00685696" w:rsidRDefault="00066DCF" w:rsidP="00066DCF">
            <w:pPr>
              <w:rPr>
                <w:rFonts w:cs="Arial"/>
                <w:lang w:eastAsia="de-DE"/>
              </w:rPr>
            </w:pPr>
          </w:p>
        </w:tc>
        <w:tc>
          <w:tcPr>
            <w:tcW w:w="1417" w:type="dxa"/>
          </w:tcPr>
          <w:p w14:paraId="5E1A8B92" w14:textId="77777777" w:rsidR="00066DCF" w:rsidRPr="00685696" w:rsidRDefault="00066DCF" w:rsidP="00066DCF">
            <w:pPr>
              <w:rPr>
                <w:rFonts w:cs="Arial"/>
                <w:lang w:eastAsia="de-DE"/>
              </w:rPr>
            </w:pPr>
          </w:p>
        </w:tc>
        <w:tc>
          <w:tcPr>
            <w:tcW w:w="4961" w:type="dxa"/>
          </w:tcPr>
          <w:p w14:paraId="3B694079" w14:textId="77777777" w:rsidR="00066DCF" w:rsidRPr="00685696" w:rsidRDefault="00066DCF" w:rsidP="00066DCF">
            <w:pPr>
              <w:rPr>
                <w:rFonts w:cs="Arial"/>
                <w:lang w:eastAsia="de-DE"/>
              </w:rPr>
            </w:pPr>
            <w:r w:rsidRPr="00685696">
              <w:rPr>
                <w:rFonts w:cs="Arial"/>
                <w:lang w:eastAsia="de-DE"/>
              </w:rPr>
              <w:t>Not required as experience in manufacture and handling shows that the product does not ignite spontaneously on coming into contact with air at normal temperature.</w:t>
            </w:r>
          </w:p>
        </w:tc>
        <w:tc>
          <w:tcPr>
            <w:tcW w:w="2127" w:type="dxa"/>
          </w:tcPr>
          <w:p w14:paraId="4FDB3307" w14:textId="77777777" w:rsidR="00066DCF" w:rsidRPr="00685696" w:rsidRDefault="00066DCF" w:rsidP="00066DCF">
            <w:pPr>
              <w:rPr>
                <w:rFonts w:cs="Arial"/>
                <w:lang w:eastAsia="de-DE"/>
              </w:rPr>
            </w:pPr>
            <w:r w:rsidRPr="00685696">
              <w:rPr>
                <w:rFonts w:cs="Arial"/>
                <w:lang w:eastAsia="de-DE"/>
              </w:rPr>
              <w:t xml:space="preserve">Acceptable. </w:t>
            </w:r>
          </w:p>
        </w:tc>
        <w:tc>
          <w:tcPr>
            <w:tcW w:w="2328" w:type="dxa"/>
          </w:tcPr>
          <w:p w14:paraId="274181EA" w14:textId="77777777" w:rsidR="00066DCF" w:rsidRPr="00685696" w:rsidRDefault="00066DCF" w:rsidP="00066DCF">
            <w:pPr>
              <w:rPr>
                <w:rFonts w:cs="Arial"/>
                <w:lang w:eastAsia="de-DE"/>
              </w:rPr>
            </w:pPr>
          </w:p>
        </w:tc>
      </w:tr>
      <w:tr w:rsidR="00066DCF" w:rsidRPr="00685696" w14:paraId="4E4783DD" w14:textId="77777777" w:rsidTr="00066DCF">
        <w:trPr>
          <w:trHeight w:val="181"/>
        </w:trPr>
        <w:tc>
          <w:tcPr>
            <w:tcW w:w="2197" w:type="dxa"/>
          </w:tcPr>
          <w:p w14:paraId="03701EDD" w14:textId="77777777" w:rsidR="00066DCF" w:rsidRPr="00685696" w:rsidRDefault="00066DCF" w:rsidP="00066DCF">
            <w:pPr>
              <w:rPr>
                <w:rFonts w:cs="Arial"/>
                <w:lang w:eastAsia="de-DE"/>
              </w:rPr>
            </w:pPr>
            <w:r w:rsidRPr="00685696">
              <w:rPr>
                <w:rFonts w:cs="Arial"/>
                <w:lang w:eastAsia="de-DE"/>
              </w:rPr>
              <w:t>Pyrophoric solids</w:t>
            </w:r>
          </w:p>
        </w:tc>
        <w:tc>
          <w:tcPr>
            <w:tcW w:w="1701" w:type="dxa"/>
          </w:tcPr>
          <w:p w14:paraId="7F5CC612" w14:textId="77777777" w:rsidR="00066DCF" w:rsidRPr="00685696" w:rsidRDefault="00066DCF" w:rsidP="00066DCF">
            <w:pPr>
              <w:rPr>
                <w:rFonts w:cs="Arial"/>
                <w:lang w:eastAsia="de-DE"/>
              </w:rPr>
            </w:pPr>
          </w:p>
        </w:tc>
        <w:tc>
          <w:tcPr>
            <w:tcW w:w="1417" w:type="dxa"/>
          </w:tcPr>
          <w:p w14:paraId="25278CD0" w14:textId="77777777" w:rsidR="00066DCF" w:rsidRPr="00685696" w:rsidRDefault="00066DCF" w:rsidP="00066DCF">
            <w:pPr>
              <w:rPr>
                <w:rFonts w:cs="Arial"/>
                <w:lang w:eastAsia="de-DE"/>
              </w:rPr>
            </w:pPr>
          </w:p>
        </w:tc>
        <w:tc>
          <w:tcPr>
            <w:tcW w:w="4961" w:type="dxa"/>
          </w:tcPr>
          <w:p w14:paraId="7951CD2B"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5238E102"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6B1CE343" w14:textId="77777777" w:rsidR="00066DCF" w:rsidRPr="00685696" w:rsidRDefault="00066DCF" w:rsidP="00066DCF">
            <w:pPr>
              <w:rPr>
                <w:rFonts w:cs="Arial"/>
                <w:lang w:eastAsia="de-DE"/>
              </w:rPr>
            </w:pPr>
          </w:p>
        </w:tc>
      </w:tr>
      <w:tr w:rsidR="00066DCF" w:rsidRPr="00891CAF" w14:paraId="74AE5A87" w14:textId="77777777" w:rsidTr="00066DCF">
        <w:trPr>
          <w:trHeight w:val="181"/>
        </w:trPr>
        <w:tc>
          <w:tcPr>
            <w:tcW w:w="2197" w:type="dxa"/>
          </w:tcPr>
          <w:p w14:paraId="289A9F4F" w14:textId="77777777" w:rsidR="00066DCF" w:rsidRPr="00685696" w:rsidRDefault="00066DCF" w:rsidP="00066DCF">
            <w:pPr>
              <w:rPr>
                <w:rFonts w:cs="Arial"/>
                <w:lang w:eastAsia="de-DE"/>
              </w:rPr>
            </w:pPr>
            <w:r w:rsidRPr="00685696">
              <w:rPr>
                <w:rFonts w:cs="Arial"/>
                <w:lang w:eastAsia="de-DE"/>
              </w:rPr>
              <w:lastRenderedPageBreak/>
              <w:t>Self-heating substances and mixtures</w:t>
            </w:r>
          </w:p>
        </w:tc>
        <w:tc>
          <w:tcPr>
            <w:tcW w:w="1701" w:type="dxa"/>
          </w:tcPr>
          <w:p w14:paraId="4EDE745D" w14:textId="77777777" w:rsidR="00066DCF" w:rsidRPr="00685696" w:rsidRDefault="00066DCF" w:rsidP="00066DCF">
            <w:pPr>
              <w:rPr>
                <w:rFonts w:cs="Arial"/>
                <w:lang w:eastAsia="de-DE"/>
              </w:rPr>
            </w:pPr>
            <w:r w:rsidRPr="00685696">
              <w:rPr>
                <w:rFonts w:cs="Arial"/>
                <w:lang w:eastAsia="de-DE"/>
              </w:rPr>
              <w:t>D.S.C. / (Q)SAR</w:t>
            </w:r>
          </w:p>
        </w:tc>
        <w:tc>
          <w:tcPr>
            <w:tcW w:w="1417" w:type="dxa"/>
          </w:tcPr>
          <w:p w14:paraId="4722E562"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X6122B1</w:t>
            </w:r>
          </w:p>
          <w:p w14:paraId="20C6B306"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Lot/batch No PaP V83.2</w:t>
            </w:r>
          </w:p>
          <w:p w14:paraId="01CEBF88" w14:textId="77777777" w:rsidR="00066DCF" w:rsidRPr="00685696" w:rsidRDefault="00066DCF" w:rsidP="00066DCF">
            <w:pPr>
              <w:keepNext/>
              <w:tabs>
                <w:tab w:val="left" w:pos="1304"/>
              </w:tabs>
              <w:spacing w:after="60" w:line="240" w:lineRule="atLeast"/>
              <w:outlineLvl w:val="3"/>
              <w:rPr>
                <w:rFonts w:cs="Arial"/>
                <w:bCs/>
              </w:rPr>
            </w:pPr>
          </w:p>
          <w:p w14:paraId="7396696B" w14:textId="77777777" w:rsidR="00066DCF" w:rsidRPr="00685696" w:rsidRDefault="00066DCF" w:rsidP="00066DCF">
            <w:pPr>
              <w:rPr>
                <w:rFonts w:cs="Arial"/>
                <w:lang w:eastAsia="de-DE"/>
              </w:rPr>
            </w:pPr>
            <w:r w:rsidRPr="00685696">
              <w:rPr>
                <w:rFonts w:cs="Arial"/>
                <w:bCs/>
              </w:rPr>
              <w:t>Expert statement</w:t>
            </w:r>
          </w:p>
        </w:tc>
        <w:tc>
          <w:tcPr>
            <w:tcW w:w="4961" w:type="dxa"/>
          </w:tcPr>
          <w:p w14:paraId="6C5723BC" w14:textId="77777777" w:rsidR="00066DCF" w:rsidRPr="00685696" w:rsidRDefault="00066DCF" w:rsidP="00066DCF">
            <w:pPr>
              <w:rPr>
                <w:rFonts w:cs="Arial"/>
                <w:lang w:eastAsia="de-DE"/>
              </w:rPr>
            </w:pPr>
            <w:r w:rsidRPr="00685696">
              <w:rPr>
                <w:rFonts w:cs="Arial"/>
                <w:lang w:eastAsia="de-DE"/>
              </w:rPr>
              <w:t>Based on most recent approach of structural formulas, 98.78% of the formulants are not considered to have potential self-reactive properties unlike the pure components propiconazole, cypermethrin cis</w:t>
            </w:r>
            <w:proofErr w:type="gramStart"/>
            <w:r w:rsidRPr="00685696">
              <w:rPr>
                <w:rFonts w:cs="Arial"/>
                <w:lang w:eastAsia="de-DE"/>
              </w:rPr>
              <w:t>:trans</w:t>
            </w:r>
            <w:proofErr w:type="gramEnd"/>
            <w:r w:rsidRPr="00685696">
              <w:rPr>
                <w:rFonts w:cs="Arial"/>
                <w:lang w:eastAsia="de-DE"/>
              </w:rPr>
              <w:t xml:space="preserve"> / 40:60, IPBC and tebuconazole (0.32% w/w total). </w:t>
            </w:r>
          </w:p>
          <w:p w14:paraId="6602C96C" w14:textId="77777777" w:rsidR="00066DCF" w:rsidRPr="00685696" w:rsidRDefault="00066DCF" w:rsidP="00066DCF">
            <w:pPr>
              <w:rPr>
                <w:rFonts w:cs="Arial"/>
                <w:lang w:eastAsia="de-DE"/>
              </w:rPr>
            </w:pPr>
            <w:r w:rsidRPr="00685696">
              <w:rPr>
                <w:rFonts w:cs="Arial"/>
                <w:lang w:eastAsia="de-DE"/>
              </w:rPr>
              <w:t xml:space="preserve">Data are lacking to conclude on the self-reactivity for one formulant (0.89% w/w). </w:t>
            </w:r>
          </w:p>
          <w:p w14:paraId="13F62441" w14:textId="77777777" w:rsidR="00066DCF" w:rsidRPr="00685696" w:rsidRDefault="00066DCF" w:rsidP="00066DCF">
            <w:pPr>
              <w:rPr>
                <w:rFonts w:cs="Arial"/>
                <w:lang w:eastAsia="de-DE"/>
              </w:rPr>
            </w:pPr>
            <w:r w:rsidRPr="00685696">
              <w:rPr>
                <w:rFonts w:cs="Arial"/>
                <w:lang w:eastAsia="de-DE"/>
              </w:rPr>
              <w:t xml:space="preserve">Bases on these data, it is not expected that the product is a self heating mixture. </w:t>
            </w:r>
          </w:p>
          <w:p w14:paraId="64D99A4B" w14:textId="77777777" w:rsidR="00066DCF" w:rsidRPr="00685696" w:rsidRDefault="00066DCF" w:rsidP="00066DCF">
            <w:pPr>
              <w:rPr>
                <w:rFonts w:cs="Arial"/>
                <w:lang w:eastAsia="de-DE"/>
              </w:rPr>
            </w:pPr>
          </w:p>
          <w:p w14:paraId="0B01106F" w14:textId="77777777" w:rsidR="00066DCF" w:rsidRPr="00685696" w:rsidRDefault="00066DCF" w:rsidP="00066DCF">
            <w:pPr>
              <w:rPr>
                <w:rFonts w:cs="Arial"/>
                <w:lang w:eastAsia="de-DE"/>
              </w:rPr>
            </w:pPr>
          </w:p>
        </w:tc>
        <w:tc>
          <w:tcPr>
            <w:tcW w:w="2127" w:type="dxa"/>
          </w:tcPr>
          <w:p w14:paraId="42E015FE" w14:textId="77777777" w:rsidR="00066DCF" w:rsidRPr="00685696" w:rsidRDefault="00066DCF" w:rsidP="00066DCF">
            <w:pPr>
              <w:rPr>
                <w:rFonts w:cs="Arial"/>
                <w:lang w:eastAsia="de-DE"/>
              </w:rPr>
            </w:pPr>
            <w:r w:rsidRPr="00685696">
              <w:rPr>
                <w:rFonts w:cs="Arial"/>
                <w:lang w:eastAsia="de-DE"/>
              </w:rPr>
              <w:t>Acceptable. Based on the composition and on the DSC results, the preparation is not a self-heating substance.</w:t>
            </w:r>
          </w:p>
        </w:tc>
        <w:tc>
          <w:tcPr>
            <w:tcW w:w="2328" w:type="dxa"/>
          </w:tcPr>
          <w:p w14:paraId="29B8766F"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Raphalen E., Legay S. 2015</w:t>
            </w:r>
          </w:p>
          <w:p w14:paraId="24A44CE7"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402/14/1095F/i-e</w:t>
            </w:r>
          </w:p>
          <w:p w14:paraId="4E2705D2" w14:textId="77777777" w:rsidR="00066DCF" w:rsidRPr="00685696" w:rsidRDefault="00066DCF" w:rsidP="00066DCF">
            <w:pPr>
              <w:keepNext/>
              <w:tabs>
                <w:tab w:val="left" w:pos="1304"/>
              </w:tabs>
              <w:spacing w:after="60" w:line="240" w:lineRule="atLeast"/>
              <w:outlineLvl w:val="3"/>
              <w:rPr>
                <w:rFonts w:cs="Arial"/>
                <w:bCs/>
                <w:lang w:val="it-IT"/>
              </w:rPr>
            </w:pPr>
          </w:p>
          <w:p w14:paraId="4A172334" w14:textId="77777777" w:rsidR="00066DCF" w:rsidRPr="00685696" w:rsidRDefault="00066DCF" w:rsidP="00066DCF">
            <w:pPr>
              <w:rPr>
                <w:rFonts w:cs="Arial"/>
                <w:lang w:val="it-IT" w:eastAsia="de-DE"/>
              </w:rPr>
            </w:pPr>
            <w:r w:rsidRPr="00685696">
              <w:rPr>
                <w:rFonts w:cs="Arial"/>
                <w:bCs/>
                <w:lang w:val="it-IT"/>
              </w:rPr>
              <w:t>Detrimont H., Ambrosi D. 2015 Report 15/06</w:t>
            </w:r>
          </w:p>
        </w:tc>
      </w:tr>
      <w:tr w:rsidR="00066DCF" w:rsidRPr="00685696" w14:paraId="592489AE" w14:textId="77777777" w:rsidTr="00066DCF">
        <w:trPr>
          <w:trHeight w:val="181"/>
        </w:trPr>
        <w:tc>
          <w:tcPr>
            <w:tcW w:w="2197" w:type="dxa"/>
          </w:tcPr>
          <w:p w14:paraId="5FD3E8AC" w14:textId="77777777" w:rsidR="00066DCF" w:rsidRPr="00685696" w:rsidRDefault="00066DCF" w:rsidP="00066DCF">
            <w:pPr>
              <w:rPr>
                <w:rFonts w:cs="Arial"/>
                <w:lang w:eastAsia="de-DE"/>
              </w:rPr>
            </w:pPr>
            <w:r w:rsidRPr="00685696">
              <w:rPr>
                <w:rFonts w:cs="Arial"/>
                <w:lang w:eastAsia="de-DE"/>
              </w:rPr>
              <w:t>Substances and mixtures which in contact with water emit flammable gases</w:t>
            </w:r>
          </w:p>
        </w:tc>
        <w:tc>
          <w:tcPr>
            <w:tcW w:w="1701" w:type="dxa"/>
          </w:tcPr>
          <w:p w14:paraId="5F920398" w14:textId="77777777" w:rsidR="00066DCF" w:rsidRPr="00685696" w:rsidRDefault="00066DCF" w:rsidP="00066DCF">
            <w:pPr>
              <w:rPr>
                <w:rFonts w:cs="Arial"/>
                <w:lang w:eastAsia="de-DE"/>
              </w:rPr>
            </w:pPr>
          </w:p>
        </w:tc>
        <w:tc>
          <w:tcPr>
            <w:tcW w:w="1417" w:type="dxa"/>
          </w:tcPr>
          <w:p w14:paraId="7FA0DABF" w14:textId="77777777" w:rsidR="00066DCF" w:rsidRPr="00685696" w:rsidRDefault="00066DCF" w:rsidP="00066DCF">
            <w:pPr>
              <w:rPr>
                <w:rFonts w:cs="Arial"/>
                <w:lang w:eastAsia="de-DE"/>
              </w:rPr>
            </w:pPr>
          </w:p>
        </w:tc>
        <w:tc>
          <w:tcPr>
            <w:tcW w:w="4961" w:type="dxa"/>
          </w:tcPr>
          <w:p w14:paraId="58F4CD3E" w14:textId="77777777" w:rsidR="00066DCF" w:rsidRPr="00685696" w:rsidRDefault="00066DCF" w:rsidP="00066DCF">
            <w:pPr>
              <w:rPr>
                <w:rFonts w:cs="Arial"/>
                <w:lang w:eastAsia="de-DE"/>
              </w:rPr>
            </w:pPr>
            <w:r w:rsidRPr="00685696">
              <w:rPr>
                <w:rFonts w:cs="Arial"/>
                <w:lang w:eastAsia="de-DE"/>
              </w:rPr>
              <w:t>Not required as experience in handling and use shows that the product does not react with water.</w:t>
            </w:r>
          </w:p>
        </w:tc>
        <w:tc>
          <w:tcPr>
            <w:tcW w:w="2127" w:type="dxa"/>
          </w:tcPr>
          <w:p w14:paraId="4272A71A"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438179A5" w14:textId="77777777" w:rsidR="00066DCF" w:rsidRPr="00685696" w:rsidRDefault="00066DCF" w:rsidP="00066DCF">
            <w:pPr>
              <w:rPr>
                <w:rFonts w:cs="Arial"/>
                <w:lang w:eastAsia="de-DE"/>
              </w:rPr>
            </w:pPr>
          </w:p>
        </w:tc>
      </w:tr>
      <w:tr w:rsidR="00066DCF" w:rsidRPr="00685696" w14:paraId="3B504FC8" w14:textId="77777777" w:rsidTr="00066DCF">
        <w:trPr>
          <w:trHeight w:val="181"/>
        </w:trPr>
        <w:tc>
          <w:tcPr>
            <w:tcW w:w="2197" w:type="dxa"/>
          </w:tcPr>
          <w:p w14:paraId="69C2B0C6" w14:textId="77777777" w:rsidR="00066DCF" w:rsidRPr="00685696" w:rsidRDefault="00066DCF" w:rsidP="00066DCF">
            <w:pPr>
              <w:rPr>
                <w:rFonts w:cs="Arial"/>
                <w:lang w:eastAsia="de-DE"/>
              </w:rPr>
            </w:pPr>
            <w:r w:rsidRPr="00685696">
              <w:rPr>
                <w:rFonts w:cs="Arial"/>
                <w:lang w:eastAsia="de-DE"/>
              </w:rPr>
              <w:t>Oxidising liquids</w:t>
            </w:r>
          </w:p>
        </w:tc>
        <w:tc>
          <w:tcPr>
            <w:tcW w:w="1701" w:type="dxa"/>
          </w:tcPr>
          <w:p w14:paraId="6D049097" w14:textId="77777777" w:rsidR="00066DCF" w:rsidRPr="00685696" w:rsidRDefault="00066DCF" w:rsidP="00066DCF">
            <w:pPr>
              <w:rPr>
                <w:rFonts w:cs="Arial"/>
                <w:lang w:eastAsia="de-DE"/>
              </w:rPr>
            </w:pPr>
            <w:r w:rsidRPr="00685696">
              <w:rPr>
                <w:rFonts w:cs="Arial"/>
                <w:lang w:eastAsia="de-DE"/>
              </w:rPr>
              <w:t>(Q)SAR</w:t>
            </w:r>
          </w:p>
        </w:tc>
        <w:tc>
          <w:tcPr>
            <w:tcW w:w="1417" w:type="dxa"/>
          </w:tcPr>
          <w:p w14:paraId="632BE9F0"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Expert statement</w:t>
            </w:r>
          </w:p>
        </w:tc>
        <w:tc>
          <w:tcPr>
            <w:tcW w:w="4961" w:type="dxa"/>
          </w:tcPr>
          <w:p w14:paraId="26BA8A69"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Considering the high proportion of not-oxidising ingredients (in total 99.10% w/w), the product X6122B1 is not expected to present a significant hazard for oxidising properties, and testing is considered as unnecessary.</w:t>
            </w:r>
          </w:p>
        </w:tc>
        <w:tc>
          <w:tcPr>
            <w:tcW w:w="2127" w:type="dxa"/>
          </w:tcPr>
          <w:p w14:paraId="5D5C9909"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 Based on the composition, the product is not an oxidizing liquid.</w:t>
            </w:r>
          </w:p>
        </w:tc>
        <w:tc>
          <w:tcPr>
            <w:tcW w:w="2328" w:type="dxa"/>
          </w:tcPr>
          <w:p w14:paraId="4467E5A1"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Detrimont H., Ambrosi D. 2015</w:t>
            </w:r>
          </w:p>
          <w:p w14:paraId="60E138E3"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15/06</w:t>
            </w:r>
          </w:p>
        </w:tc>
      </w:tr>
      <w:tr w:rsidR="00066DCF" w:rsidRPr="00685696" w14:paraId="3C5EC78D" w14:textId="77777777" w:rsidTr="00066DCF">
        <w:trPr>
          <w:trHeight w:val="181"/>
        </w:trPr>
        <w:tc>
          <w:tcPr>
            <w:tcW w:w="2197" w:type="dxa"/>
          </w:tcPr>
          <w:p w14:paraId="1311740A" w14:textId="77777777" w:rsidR="00066DCF" w:rsidRPr="00685696" w:rsidRDefault="00066DCF" w:rsidP="00066DCF">
            <w:pPr>
              <w:rPr>
                <w:rFonts w:cs="Arial"/>
                <w:lang w:eastAsia="de-DE"/>
              </w:rPr>
            </w:pPr>
            <w:r w:rsidRPr="00685696">
              <w:rPr>
                <w:rFonts w:cs="Arial"/>
                <w:lang w:eastAsia="de-DE"/>
              </w:rPr>
              <w:t>Oxidising solids</w:t>
            </w:r>
          </w:p>
        </w:tc>
        <w:tc>
          <w:tcPr>
            <w:tcW w:w="1701" w:type="dxa"/>
          </w:tcPr>
          <w:p w14:paraId="1F9D68F2" w14:textId="77777777" w:rsidR="00066DCF" w:rsidRPr="00685696" w:rsidRDefault="00066DCF" w:rsidP="00066DCF">
            <w:pPr>
              <w:rPr>
                <w:rFonts w:cs="Arial"/>
                <w:lang w:eastAsia="de-DE"/>
              </w:rPr>
            </w:pPr>
          </w:p>
        </w:tc>
        <w:tc>
          <w:tcPr>
            <w:tcW w:w="1417" w:type="dxa"/>
          </w:tcPr>
          <w:p w14:paraId="74CFC010" w14:textId="77777777" w:rsidR="00066DCF" w:rsidRPr="00685696" w:rsidRDefault="00066DCF" w:rsidP="00066DCF">
            <w:pPr>
              <w:rPr>
                <w:rFonts w:cs="Arial"/>
                <w:lang w:eastAsia="de-DE"/>
              </w:rPr>
            </w:pPr>
          </w:p>
        </w:tc>
        <w:tc>
          <w:tcPr>
            <w:tcW w:w="4961" w:type="dxa"/>
          </w:tcPr>
          <w:p w14:paraId="61080FD6"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0D545F7C"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78DFCA3F" w14:textId="77777777" w:rsidR="00066DCF" w:rsidRPr="00685696" w:rsidRDefault="00066DCF" w:rsidP="00066DCF">
            <w:pPr>
              <w:rPr>
                <w:rFonts w:cs="Arial"/>
                <w:lang w:eastAsia="de-DE"/>
              </w:rPr>
            </w:pPr>
          </w:p>
        </w:tc>
      </w:tr>
      <w:tr w:rsidR="00066DCF" w:rsidRPr="00685696" w14:paraId="1F02514B" w14:textId="77777777" w:rsidTr="00066DCF">
        <w:trPr>
          <w:trHeight w:val="181"/>
        </w:trPr>
        <w:tc>
          <w:tcPr>
            <w:tcW w:w="2197" w:type="dxa"/>
          </w:tcPr>
          <w:p w14:paraId="1B1A3F05" w14:textId="77777777" w:rsidR="00066DCF" w:rsidRPr="00685696" w:rsidRDefault="00066DCF" w:rsidP="00066DCF">
            <w:pPr>
              <w:rPr>
                <w:rFonts w:cs="Arial"/>
                <w:lang w:eastAsia="de-DE"/>
              </w:rPr>
            </w:pPr>
            <w:r w:rsidRPr="00685696">
              <w:rPr>
                <w:rFonts w:cs="Arial"/>
                <w:lang w:eastAsia="de-DE"/>
              </w:rPr>
              <w:t>Organic peroxides</w:t>
            </w:r>
          </w:p>
        </w:tc>
        <w:tc>
          <w:tcPr>
            <w:tcW w:w="1701" w:type="dxa"/>
          </w:tcPr>
          <w:p w14:paraId="58F071A4" w14:textId="77777777" w:rsidR="00066DCF" w:rsidRPr="00685696" w:rsidRDefault="00066DCF" w:rsidP="00066DCF">
            <w:pPr>
              <w:rPr>
                <w:rFonts w:cs="Arial"/>
                <w:lang w:eastAsia="de-DE"/>
              </w:rPr>
            </w:pPr>
          </w:p>
        </w:tc>
        <w:tc>
          <w:tcPr>
            <w:tcW w:w="1417" w:type="dxa"/>
          </w:tcPr>
          <w:p w14:paraId="1B447DB7" w14:textId="77777777" w:rsidR="00066DCF" w:rsidRPr="00685696" w:rsidRDefault="00066DCF" w:rsidP="00066DCF">
            <w:pPr>
              <w:rPr>
                <w:rFonts w:cs="Arial"/>
                <w:lang w:eastAsia="de-DE"/>
              </w:rPr>
            </w:pPr>
          </w:p>
        </w:tc>
        <w:tc>
          <w:tcPr>
            <w:tcW w:w="4961" w:type="dxa"/>
          </w:tcPr>
          <w:p w14:paraId="2D97A6DB"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2DE8DD13"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5976009C" w14:textId="77777777" w:rsidR="00066DCF" w:rsidRPr="00685696" w:rsidRDefault="00066DCF" w:rsidP="00066DCF">
            <w:pPr>
              <w:rPr>
                <w:rFonts w:cs="Arial"/>
                <w:lang w:eastAsia="de-DE"/>
              </w:rPr>
            </w:pPr>
          </w:p>
        </w:tc>
      </w:tr>
      <w:tr w:rsidR="00066DCF" w:rsidRPr="00685696" w14:paraId="75F84BA0" w14:textId="77777777" w:rsidTr="00066DCF">
        <w:trPr>
          <w:trHeight w:val="181"/>
        </w:trPr>
        <w:tc>
          <w:tcPr>
            <w:tcW w:w="2197" w:type="dxa"/>
          </w:tcPr>
          <w:p w14:paraId="36F55DF3" w14:textId="77777777" w:rsidR="00066DCF" w:rsidRPr="00685696" w:rsidRDefault="00066DCF" w:rsidP="00066DCF">
            <w:pPr>
              <w:rPr>
                <w:rFonts w:cs="Arial"/>
                <w:lang w:eastAsia="de-DE"/>
              </w:rPr>
            </w:pPr>
            <w:r w:rsidRPr="00685696">
              <w:rPr>
                <w:rFonts w:cs="Arial"/>
                <w:lang w:eastAsia="de-DE"/>
              </w:rPr>
              <w:t>Corrosive to metals</w:t>
            </w:r>
          </w:p>
        </w:tc>
        <w:tc>
          <w:tcPr>
            <w:tcW w:w="1701" w:type="dxa"/>
          </w:tcPr>
          <w:p w14:paraId="7E21F37D" w14:textId="77777777" w:rsidR="00066DCF" w:rsidRPr="00685696" w:rsidRDefault="00066DCF" w:rsidP="00066DCF">
            <w:pPr>
              <w:rPr>
                <w:rFonts w:cs="Arial"/>
                <w:lang w:eastAsia="de-DE"/>
              </w:rPr>
            </w:pPr>
          </w:p>
        </w:tc>
        <w:tc>
          <w:tcPr>
            <w:tcW w:w="1417" w:type="dxa"/>
          </w:tcPr>
          <w:p w14:paraId="7786F5CC" w14:textId="77777777" w:rsidR="00066DCF" w:rsidRPr="00685696" w:rsidRDefault="00066DCF" w:rsidP="00066DCF">
            <w:pPr>
              <w:rPr>
                <w:rFonts w:cs="Arial"/>
                <w:lang w:eastAsia="de-DE"/>
              </w:rPr>
            </w:pPr>
          </w:p>
        </w:tc>
        <w:tc>
          <w:tcPr>
            <w:tcW w:w="4961" w:type="dxa"/>
          </w:tcPr>
          <w:p w14:paraId="0F9088D3" w14:textId="77777777" w:rsidR="00066DCF" w:rsidRPr="00685696" w:rsidRDefault="00066DCF" w:rsidP="00066DCF">
            <w:pPr>
              <w:rPr>
                <w:rFonts w:cs="Arial"/>
                <w:lang w:eastAsia="de-DE"/>
              </w:rPr>
            </w:pPr>
            <w:r w:rsidRPr="00685696">
              <w:rPr>
                <w:rFonts w:cs="Arial"/>
                <w:lang w:eastAsia="de-DE"/>
              </w:rPr>
              <w:t>Not required as no ingredient is classified as corrosive to metals and experience in handling and use shows that the product is not corrosive to metals.</w:t>
            </w:r>
          </w:p>
          <w:p w14:paraId="36DDC7EA" w14:textId="77777777" w:rsidR="00066DCF" w:rsidRPr="00685696" w:rsidRDefault="00066DCF" w:rsidP="00066DCF">
            <w:pPr>
              <w:rPr>
                <w:rFonts w:cs="Arial"/>
                <w:lang w:eastAsia="de-DE"/>
              </w:rPr>
            </w:pPr>
            <w:r w:rsidRPr="00685696">
              <w:rPr>
                <w:rFonts w:cs="Arial"/>
                <w:lang w:eastAsia="de-DE"/>
              </w:rPr>
              <w:t>Moreover, compatibility of the product with metal can has been demonstrated during the accelerated and shelf life study.</w:t>
            </w:r>
          </w:p>
        </w:tc>
        <w:tc>
          <w:tcPr>
            <w:tcW w:w="2127" w:type="dxa"/>
          </w:tcPr>
          <w:p w14:paraId="754B3DDC" w14:textId="77777777" w:rsidR="00066DCF" w:rsidRPr="00685696" w:rsidRDefault="00066DCF" w:rsidP="00066DCF">
            <w:pPr>
              <w:rPr>
                <w:rFonts w:cs="Arial"/>
                <w:lang w:eastAsia="de-DE"/>
              </w:rPr>
            </w:pPr>
            <w:r w:rsidRPr="00685696">
              <w:rPr>
                <w:rFonts w:cs="Arial"/>
                <w:lang w:eastAsia="de-DE"/>
              </w:rPr>
              <w:t>Acceptable</w:t>
            </w:r>
          </w:p>
        </w:tc>
        <w:tc>
          <w:tcPr>
            <w:tcW w:w="2328" w:type="dxa"/>
          </w:tcPr>
          <w:p w14:paraId="629129AA" w14:textId="77777777" w:rsidR="00066DCF" w:rsidRPr="00685696" w:rsidRDefault="00066DCF" w:rsidP="00066DCF">
            <w:pPr>
              <w:rPr>
                <w:rFonts w:cs="Arial"/>
                <w:lang w:eastAsia="de-DE"/>
              </w:rPr>
            </w:pPr>
          </w:p>
        </w:tc>
      </w:tr>
      <w:tr w:rsidR="00066DCF" w:rsidRPr="00685696" w14:paraId="6F44754B" w14:textId="77777777" w:rsidTr="00066DCF">
        <w:trPr>
          <w:trHeight w:val="181"/>
        </w:trPr>
        <w:tc>
          <w:tcPr>
            <w:tcW w:w="2197" w:type="dxa"/>
          </w:tcPr>
          <w:p w14:paraId="517A3668" w14:textId="77777777" w:rsidR="00066DCF" w:rsidRPr="00685696" w:rsidRDefault="00066DCF" w:rsidP="00066DCF">
            <w:pPr>
              <w:rPr>
                <w:rFonts w:cs="Arial"/>
                <w:lang w:eastAsia="de-DE"/>
              </w:rPr>
            </w:pPr>
            <w:r w:rsidRPr="00685696">
              <w:rPr>
                <w:rFonts w:cs="Arial"/>
                <w:lang w:eastAsia="de-DE"/>
              </w:rPr>
              <w:t xml:space="preserve">Auto-ignition temperatures of </w:t>
            </w:r>
            <w:r w:rsidRPr="00685696">
              <w:rPr>
                <w:rFonts w:cs="Arial"/>
                <w:lang w:eastAsia="de-DE"/>
              </w:rPr>
              <w:lastRenderedPageBreak/>
              <w:t>products (liquids and gases)</w:t>
            </w:r>
          </w:p>
        </w:tc>
        <w:tc>
          <w:tcPr>
            <w:tcW w:w="1701" w:type="dxa"/>
          </w:tcPr>
          <w:p w14:paraId="5886023B" w14:textId="77777777" w:rsidR="00066DCF" w:rsidRPr="00685696" w:rsidRDefault="00066DCF" w:rsidP="00066DCF">
            <w:pPr>
              <w:rPr>
                <w:rFonts w:cs="Arial"/>
                <w:lang w:eastAsia="de-DE"/>
              </w:rPr>
            </w:pPr>
            <w:r w:rsidRPr="00685696">
              <w:rPr>
                <w:rFonts w:cs="Arial"/>
                <w:lang w:eastAsia="de-DE"/>
              </w:rPr>
              <w:lastRenderedPageBreak/>
              <w:t>(Q)SAR</w:t>
            </w:r>
          </w:p>
        </w:tc>
        <w:tc>
          <w:tcPr>
            <w:tcW w:w="1417" w:type="dxa"/>
          </w:tcPr>
          <w:p w14:paraId="2810721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Expert statement</w:t>
            </w:r>
          </w:p>
        </w:tc>
        <w:tc>
          <w:tcPr>
            <w:tcW w:w="4961" w:type="dxa"/>
          </w:tcPr>
          <w:p w14:paraId="19F5C256"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As 99.99% of ingredients are not-auto-flammable, the product X6122B1 is not expected to present a significant hazard for </w:t>
            </w:r>
            <w:r w:rsidRPr="00685696">
              <w:rPr>
                <w:rFonts w:cs="Arial"/>
                <w:bCs/>
              </w:rPr>
              <w:lastRenderedPageBreak/>
              <w:t>auto-flammability, and testing is considered as unnecessary.</w:t>
            </w:r>
          </w:p>
        </w:tc>
        <w:tc>
          <w:tcPr>
            <w:tcW w:w="2127" w:type="dxa"/>
          </w:tcPr>
          <w:p w14:paraId="042D18E4"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lastRenderedPageBreak/>
              <w:t xml:space="preserve">Acceptable. The product is not expected to be </w:t>
            </w:r>
            <w:r w:rsidRPr="00685696">
              <w:rPr>
                <w:rFonts w:cs="Arial"/>
                <w:bCs/>
              </w:rPr>
              <w:lastRenderedPageBreak/>
              <w:t>auto-flammable in the conditions of use.</w:t>
            </w:r>
          </w:p>
        </w:tc>
        <w:tc>
          <w:tcPr>
            <w:tcW w:w="2328" w:type="dxa"/>
          </w:tcPr>
          <w:p w14:paraId="5120866B"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lastRenderedPageBreak/>
              <w:t>Detrimont H., Ambrosi D. 2015</w:t>
            </w:r>
          </w:p>
          <w:p w14:paraId="67D19B6C"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15/06</w:t>
            </w:r>
          </w:p>
        </w:tc>
      </w:tr>
      <w:tr w:rsidR="00066DCF" w:rsidRPr="00685696" w14:paraId="001AB3FB" w14:textId="77777777" w:rsidTr="00066DCF">
        <w:trPr>
          <w:trHeight w:val="484"/>
        </w:trPr>
        <w:tc>
          <w:tcPr>
            <w:tcW w:w="2197" w:type="dxa"/>
          </w:tcPr>
          <w:p w14:paraId="3054B023" w14:textId="77777777" w:rsidR="00066DCF" w:rsidRPr="00685696" w:rsidRDefault="00066DCF" w:rsidP="00066DCF">
            <w:pPr>
              <w:rPr>
                <w:rFonts w:cs="Arial"/>
                <w:lang w:eastAsia="de-DE"/>
              </w:rPr>
            </w:pPr>
            <w:r w:rsidRPr="00685696">
              <w:rPr>
                <w:rFonts w:cs="Arial"/>
                <w:lang w:eastAsia="de-DE"/>
              </w:rPr>
              <w:t>Relative self-ignition temperature for solids</w:t>
            </w:r>
          </w:p>
        </w:tc>
        <w:tc>
          <w:tcPr>
            <w:tcW w:w="1701" w:type="dxa"/>
          </w:tcPr>
          <w:p w14:paraId="3BF60C27" w14:textId="77777777" w:rsidR="00066DCF" w:rsidRPr="00685696" w:rsidRDefault="00066DCF" w:rsidP="00066DCF">
            <w:pPr>
              <w:rPr>
                <w:rFonts w:cs="Arial"/>
                <w:lang w:eastAsia="de-DE"/>
              </w:rPr>
            </w:pPr>
          </w:p>
        </w:tc>
        <w:tc>
          <w:tcPr>
            <w:tcW w:w="1417" w:type="dxa"/>
          </w:tcPr>
          <w:p w14:paraId="693CFB0C" w14:textId="77777777" w:rsidR="00066DCF" w:rsidRPr="00685696" w:rsidRDefault="00066DCF" w:rsidP="00066DCF">
            <w:pPr>
              <w:rPr>
                <w:rFonts w:cs="Arial"/>
                <w:lang w:eastAsia="de-DE"/>
              </w:rPr>
            </w:pPr>
          </w:p>
        </w:tc>
        <w:tc>
          <w:tcPr>
            <w:tcW w:w="4961" w:type="dxa"/>
          </w:tcPr>
          <w:p w14:paraId="6377F51E"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0C03601C"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788ACE56" w14:textId="77777777" w:rsidR="00066DCF" w:rsidRPr="00685696" w:rsidRDefault="00066DCF" w:rsidP="00066DCF">
            <w:pPr>
              <w:rPr>
                <w:rFonts w:cs="Arial"/>
                <w:lang w:eastAsia="de-DE"/>
              </w:rPr>
            </w:pPr>
          </w:p>
        </w:tc>
      </w:tr>
      <w:tr w:rsidR="00066DCF" w:rsidRPr="00685696" w14:paraId="1DAE4988" w14:textId="77777777" w:rsidTr="00066DCF">
        <w:trPr>
          <w:trHeight w:val="322"/>
        </w:trPr>
        <w:tc>
          <w:tcPr>
            <w:tcW w:w="2197" w:type="dxa"/>
          </w:tcPr>
          <w:p w14:paraId="1B7745AE" w14:textId="77777777" w:rsidR="00066DCF" w:rsidRPr="00685696" w:rsidRDefault="00066DCF" w:rsidP="00066DCF">
            <w:pPr>
              <w:rPr>
                <w:rFonts w:cs="Arial"/>
                <w:lang w:eastAsia="de-DE"/>
              </w:rPr>
            </w:pPr>
            <w:r w:rsidRPr="00685696">
              <w:rPr>
                <w:rFonts w:cs="Arial"/>
                <w:lang w:eastAsia="de-DE"/>
              </w:rPr>
              <w:t>Dust explosion hazard</w:t>
            </w:r>
          </w:p>
        </w:tc>
        <w:tc>
          <w:tcPr>
            <w:tcW w:w="1701" w:type="dxa"/>
          </w:tcPr>
          <w:p w14:paraId="49B8DF1B" w14:textId="77777777" w:rsidR="00066DCF" w:rsidRPr="00685696" w:rsidRDefault="00066DCF" w:rsidP="00066DCF">
            <w:pPr>
              <w:rPr>
                <w:rFonts w:cs="Arial"/>
                <w:lang w:eastAsia="de-DE"/>
              </w:rPr>
            </w:pPr>
          </w:p>
        </w:tc>
        <w:tc>
          <w:tcPr>
            <w:tcW w:w="1417" w:type="dxa"/>
          </w:tcPr>
          <w:p w14:paraId="5453EE31" w14:textId="77777777" w:rsidR="00066DCF" w:rsidRPr="00685696" w:rsidRDefault="00066DCF" w:rsidP="00066DCF">
            <w:pPr>
              <w:rPr>
                <w:rFonts w:cs="Arial"/>
                <w:lang w:eastAsia="de-DE"/>
              </w:rPr>
            </w:pPr>
          </w:p>
        </w:tc>
        <w:tc>
          <w:tcPr>
            <w:tcW w:w="4961" w:type="dxa"/>
          </w:tcPr>
          <w:p w14:paraId="32E5B068"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30AD611F"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0673A5DA" w14:textId="77777777" w:rsidR="00066DCF" w:rsidRPr="00685696" w:rsidRDefault="00066DCF" w:rsidP="00066DCF">
            <w:pPr>
              <w:rPr>
                <w:rFonts w:cs="Arial"/>
                <w:lang w:eastAsia="de-DE"/>
              </w:rPr>
            </w:pPr>
          </w:p>
        </w:tc>
      </w:tr>
    </w:tbl>
    <w:p w14:paraId="424795C3" w14:textId="77777777" w:rsidR="00066DCF" w:rsidRDefault="00066DCF" w:rsidP="00066DCF"/>
    <w:p w14:paraId="4F492BE3" w14:textId="77777777" w:rsidR="00066DCF" w:rsidRDefault="00066DCF" w:rsidP="00066DCF"/>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066DCF" w:rsidRPr="00685696" w14:paraId="49AC91DD" w14:textId="77777777" w:rsidTr="00066DCF">
        <w:tc>
          <w:tcPr>
            <w:tcW w:w="5000" w:type="pct"/>
            <w:tcBorders>
              <w:top w:val="single" w:sz="4" w:space="0" w:color="auto"/>
              <w:left w:val="single" w:sz="4" w:space="0" w:color="auto"/>
              <w:bottom w:val="single" w:sz="6" w:space="0" w:color="auto"/>
              <w:right w:val="single" w:sz="6" w:space="0" w:color="auto"/>
            </w:tcBorders>
            <w:shd w:val="clear" w:color="auto" w:fill="CCFFCC"/>
          </w:tcPr>
          <w:p w14:paraId="45257955" w14:textId="77777777" w:rsidR="00066DCF" w:rsidRPr="00685696" w:rsidRDefault="00066DCF" w:rsidP="00066DCF">
            <w:pPr>
              <w:rPr>
                <w:rFonts w:cs="Arial"/>
                <w:b/>
                <w:bCs/>
                <w:lang w:eastAsia="en-US"/>
              </w:rPr>
            </w:pPr>
            <w:r w:rsidRPr="00685696">
              <w:rPr>
                <w:rFonts w:cs="Arial"/>
                <w:b/>
                <w:bCs/>
                <w:lang w:eastAsia="en-US"/>
              </w:rPr>
              <w:t>Conclusion on the p</w:t>
            </w:r>
            <w:r w:rsidRPr="00685696">
              <w:rPr>
                <w:rFonts w:cs="Arial"/>
                <w:b/>
                <w:lang w:eastAsia="de-DE"/>
              </w:rPr>
              <w:t>hysical, chemical and technical properties</w:t>
            </w:r>
            <w:r w:rsidRPr="00685696">
              <w:rPr>
                <w:rFonts w:cs="Arial"/>
                <w:b/>
                <w:bCs/>
                <w:lang w:eastAsia="en-US"/>
              </w:rPr>
              <w:t xml:space="preserve"> of the product</w:t>
            </w:r>
          </w:p>
        </w:tc>
      </w:tr>
      <w:tr w:rsidR="00066DCF" w:rsidRPr="00685696" w14:paraId="64F1440B" w14:textId="77777777" w:rsidTr="00066DCF">
        <w:trPr>
          <w:trHeight w:val="65"/>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88E0687" w14:textId="77777777" w:rsidR="00CE1B41" w:rsidRDefault="00066DCF" w:rsidP="00066DCF">
            <w:pPr>
              <w:spacing w:after="200" w:line="276" w:lineRule="auto"/>
              <w:rPr>
                <w:rFonts w:cs="Arial"/>
                <w:b/>
                <w:lang w:val="en-US" w:eastAsia="en-US"/>
              </w:rPr>
            </w:pPr>
            <w:r w:rsidRPr="00685696">
              <w:rPr>
                <w:rFonts w:cs="Arial"/>
                <w:lang w:eastAsia="en-US"/>
              </w:rPr>
              <w:t xml:space="preserve">The formulation X6122B1 is Another Liquid (AL) formulation. </w:t>
            </w:r>
            <w:r w:rsidRPr="00685696">
              <w:rPr>
                <w:rFonts w:cs="Arial"/>
                <w:lang w:val="en-US" w:eastAsia="en-US"/>
              </w:rPr>
              <w:t xml:space="preserve">All studies have been performed in accordance with the current requirements and the results are deemed to be acceptable. The appearance of the product is that of yellow transparent liquid, with a </w:t>
            </w:r>
            <w:r w:rsidRPr="00685696">
              <w:rPr>
                <w:rFonts w:cs="Arial"/>
                <w:bCs/>
              </w:rPr>
              <w:t>white spirit like odour</w:t>
            </w:r>
            <w:r w:rsidRPr="00685696">
              <w:rPr>
                <w:rFonts w:cs="Arial"/>
                <w:lang w:val="en-US" w:eastAsia="en-US"/>
              </w:rPr>
              <w:t>. It is not explosive and has no oxidizing properties. The product is not considered flammable and has a flash point of 62.8°C. It is not auto-flammable in the conditions of use. The viscosity of the preparation at 40°C is 6.62mm2/s. Since the product contains H304 compounds at a content &gt;10%, the formulation is classified H304 Cat 1, SGH08.</w:t>
            </w:r>
            <w:r w:rsidRPr="00685696">
              <w:rPr>
                <w:rFonts w:cs="Arial"/>
                <w:b/>
                <w:lang w:val="en-US" w:eastAsia="en-US"/>
              </w:rPr>
              <w:t xml:space="preserve"> </w:t>
            </w:r>
          </w:p>
          <w:p w14:paraId="7C6498E8" w14:textId="2EE1AF7D" w:rsidR="00066DCF" w:rsidRPr="00B100F1" w:rsidRDefault="00066DCF" w:rsidP="00066DCF">
            <w:pPr>
              <w:spacing w:after="200" w:line="276" w:lineRule="auto"/>
              <w:rPr>
                <w:rFonts w:cs="Arial"/>
                <w:lang w:val="en-US" w:eastAsia="en-US"/>
              </w:rPr>
            </w:pPr>
            <w:r w:rsidRPr="00685696">
              <w:rPr>
                <w:rFonts w:cs="Arial"/>
                <w:lang w:val="en-US" w:eastAsia="en-US"/>
              </w:rPr>
              <w:t xml:space="preserve">There is an effect of high temperature on the stability of the formulation since after 8 weeks at 40°C in HDPE container and metal can, the active ingredient content of IPBC decreased from more than 10% and degrades into PBC. Others active substance contents and technical properties were unchanged. The product </w:t>
            </w:r>
            <w:r w:rsidR="00B97CB2" w:rsidRPr="00685696">
              <w:rPr>
                <w:rFonts w:cs="Arial"/>
                <w:lang w:val="en-US" w:eastAsia="en-US"/>
              </w:rPr>
              <w:t xml:space="preserve">is not considered stable at </w:t>
            </w:r>
            <w:r w:rsidRPr="00685696">
              <w:rPr>
                <w:rFonts w:cs="Arial"/>
                <w:lang w:val="en-US" w:eastAsia="en-US"/>
              </w:rPr>
              <w:t xml:space="preserve">40°C. There is no effect of low temperature on the stability of the formulation since after 7 days at 0°C, there are no modification of the properties of the product. </w:t>
            </w:r>
            <w:r w:rsidRPr="00685696">
              <w:rPr>
                <w:rFonts w:cs="Arial"/>
                <w:lang w:eastAsia="en-US"/>
              </w:rPr>
              <w:t xml:space="preserve">The product is stable 2 years at </w:t>
            </w:r>
            <w:r w:rsidR="00347D65">
              <w:rPr>
                <w:rFonts w:cs="Arial"/>
                <w:lang w:eastAsia="en-US"/>
              </w:rPr>
              <w:t>20°C</w:t>
            </w:r>
            <w:r w:rsidRPr="00685696">
              <w:rPr>
                <w:rFonts w:cs="Arial"/>
                <w:lang w:eastAsia="en-US"/>
              </w:rPr>
              <w:t xml:space="preserve"> when stored in tinplate can.</w:t>
            </w:r>
            <w:r w:rsidRPr="00685696">
              <w:rPr>
                <w:rFonts w:cs="Arial"/>
                <w:b/>
                <w:lang w:eastAsia="en-US"/>
              </w:rPr>
              <w:t xml:space="preserve"> </w:t>
            </w:r>
            <w:r w:rsidRPr="00685696">
              <w:rPr>
                <w:rFonts w:cs="Arial"/>
                <w:lang w:eastAsia="en-US"/>
              </w:rPr>
              <w:t xml:space="preserve">Compatibility has been demonstrated with HDPE packaging during the accelerated storage stability. </w:t>
            </w:r>
            <w:r w:rsidR="00C10647">
              <w:rPr>
                <w:rFonts w:cs="Arial"/>
                <w:lang w:eastAsia="en-US"/>
              </w:rPr>
              <w:t>The product should be stored away from light</w:t>
            </w:r>
            <w:r w:rsidR="0056727E">
              <w:rPr>
                <w:rFonts w:cs="Arial"/>
                <w:lang w:eastAsia="en-US"/>
              </w:rPr>
              <w:t xml:space="preserve"> (</w:t>
            </w:r>
            <w:r w:rsidR="00752A58">
              <w:rPr>
                <w:rFonts w:cs="Arial"/>
                <w:lang w:eastAsia="en-US"/>
              </w:rPr>
              <w:t>only</w:t>
            </w:r>
            <w:r w:rsidR="0056727E">
              <w:rPr>
                <w:rFonts w:cs="Arial"/>
                <w:lang w:eastAsia="en-US"/>
              </w:rPr>
              <w:t xml:space="preserve"> for HDPE bulk containers, metal tinplate are considered as barriers to light)</w:t>
            </w:r>
            <w:r w:rsidR="00D73ADB">
              <w:rPr>
                <w:rFonts w:cs="Arial"/>
                <w:lang w:eastAsia="en-US"/>
              </w:rPr>
              <w:t xml:space="preserve"> and </w:t>
            </w:r>
            <w:r w:rsidR="00D73ADB" w:rsidRPr="00B100F1">
              <w:rPr>
                <w:rFonts w:cs="Arial"/>
                <w:lang w:eastAsia="en-US"/>
              </w:rPr>
              <w:t>should not be stored at a temperature higher than 20°C</w:t>
            </w:r>
            <w:r w:rsidR="00C10647" w:rsidRPr="00B100F1">
              <w:rPr>
                <w:rFonts w:cs="Arial"/>
                <w:lang w:eastAsia="en-US"/>
              </w:rPr>
              <w:t xml:space="preserve">. </w:t>
            </w:r>
            <w:r w:rsidRPr="00B100F1">
              <w:rPr>
                <w:rFonts w:cs="Arial"/>
                <w:lang w:val="en-US" w:eastAsia="en-US"/>
              </w:rPr>
              <w:t>Its technical characteristics are acceptable for an AL formulation.</w:t>
            </w:r>
          </w:p>
          <w:p w14:paraId="3A4B0361" w14:textId="77777777" w:rsidR="00066DCF" w:rsidRPr="00B100F1" w:rsidRDefault="00066DCF" w:rsidP="00066DCF">
            <w:pPr>
              <w:spacing w:line="276" w:lineRule="auto"/>
              <w:rPr>
                <w:rFonts w:cs="Arial"/>
                <w:lang w:val="en-US" w:eastAsia="en-US"/>
              </w:rPr>
            </w:pPr>
            <w:r w:rsidRPr="00B100F1">
              <w:rPr>
                <w:rFonts w:cs="Arial"/>
                <w:lang w:val="en-US" w:eastAsia="en-US"/>
              </w:rPr>
              <w:t>Shelf life: 2 years</w:t>
            </w:r>
          </w:p>
          <w:p w14:paraId="0E83BDF5" w14:textId="22273790" w:rsidR="00066DCF" w:rsidRPr="00B100F1" w:rsidRDefault="00D73ADB" w:rsidP="00066DCF">
            <w:pPr>
              <w:spacing w:line="276" w:lineRule="auto"/>
              <w:rPr>
                <w:rFonts w:cs="Arial"/>
                <w:lang w:val="en-US" w:eastAsia="en-US"/>
              </w:rPr>
            </w:pPr>
            <w:r w:rsidRPr="00B100F1">
              <w:rPr>
                <w:rFonts w:cs="Arial"/>
                <w:lang w:val="en-US" w:eastAsia="en-US"/>
              </w:rPr>
              <w:t>Do not store at a temperature higher than 20°C</w:t>
            </w:r>
          </w:p>
          <w:p w14:paraId="6ACD66E5" w14:textId="10C3C623" w:rsidR="00C10647" w:rsidRPr="00685696" w:rsidRDefault="00C10647" w:rsidP="00066DCF">
            <w:pPr>
              <w:spacing w:line="276" w:lineRule="auto"/>
              <w:rPr>
                <w:rFonts w:cs="Arial"/>
                <w:lang w:val="en-US" w:eastAsia="en-US"/>
              </w:rPr>
            </w:pPr>
            <w:r w:rsidRPr="00B100F1">
              <w:rPr>
                <w:rFonts w:cs="Arial"/>
                <w:lang w:val="en-US" w:eastAsia="en-US"/>
              </w:rPr>
              <w:t>Protect from light</w:t>
            </w:r>
            <w:r w:rsidR="0056727E">
              <w:rPr>
                <w:rFonts w:cs="Arial"/>
                <w:lang w:val="en-US" w:eastAsia="en-US"/>
              </w:rPr>
              <w:t xml:space="preserve"> (</w:t>
            </w:r>
            <w:r w:rsidR="0056727E">
              <w:rPr>
                <w:rFonts w:ascii="Arial" w:hAnsi="Arial" w:cs="Arial"/>
              </w:rPr>
              <w:t>only bulk containers)</w:t>
            </w:r>
            <w:r w:rsidRPr="00B100F1">
              <w:rPr>
                <w:rFonts w:cs="Arial"/>
                <w:lang w:val="en-US" w:eastAsia="en-US"/>
              </w:rPr>
              <w:t>.</w:t>
            </w:r>
          </w:p>
        </w:tc>
      </w:tr>
    </w:tbl>
    <w:p w14:paraId="16CC46B8" w14:textId="77777777" w:rsidR="00066DCF" w:rsidRDefault="00066DCF">
      <w:pPr>
        <w:spacing w:line="260" w:lineRule="atLeast"/>
        <w:ind w:left="360"/>
        <w:contextualSpacing/>
        <w:rPr>
          <w:rFonts w:eastAsia="Calibri"/>
          <w:lang w:eastAsia="sv-SE"/>
        </w:rPr>
      </w:pPr>
    </w:p>
    <w:p w14:paraId="35C1C9D3" w14:textId="77777777" w:rsidR="00066DCF" w:rsidRDefault="00066DCF">
      <w:pPr>
        <w:spacing w:line="260" w:lineRule="atLeast"/>
        <w:ind w:left="360"/>
        <w:contextualSpacing/>
        <w:rPr>
          <w:rFonts w:eastAsia="Calibri"/>
          <w:lang w:eastAsia="sv-SE"/>
        </w:rPr>
      </w:pPr>
    </w:p>
    <w:p w14:paraId="66687A58" w14:textId="77777777" w:rsidR="00066DCF" w:rsidRDefault="00066DCF">
      <w:pPr>
        <w:spacing w:line="260" w:lineRule="atLeast"/>
        <w:ind w:left="360"/>
        <w:contextualSpacing/>
        <w:rPr>
          <w:rFonts w:eastAsia="Calibri"/>
          <w:lang w:eastAsia="sv-SE"/>
        </w:rPr>
      </w:pPr>
    </w:p>
    <w:p w14:paraId="512A61E0" w14:textId="77777777" w:rsidR="00066DCF" w:rsidRDefault="00066DCF">
      <w:pPr>
        <w:spacing w:line="260" w:lineRule="atLeast"/>
        <w:ind w:left="360"/>
        <w:contextualSpacing/>
        <w:rPr>
          <w:rFonts w:eastAsia="Calibri"/>
          <w:lang w:eastAsia="sv-SE"/>
        </w:rPr>
      </w:pPr>
    </w:p>
    <w:p w14:paraId="61F9BB65" w14:textId="77777777" w:rsidR="00066DCF" w:rsidRDefault="00066DCF">
      <w:pPr>
        <w:spacing w:line="260" w:lineRule="atLeast"/>
        <w:ind w:left="360"/>
        <w:contextualSpacing/>
        <w:rPr>
          <w:rFonts w:eastAsia="Calibri"/>
          <w:lang w:eastAsia="sv-SE"/>
        </w:rPr>
        <w:sectPr w:rsidR="00066DCF" w:rsidSect="00066DCF">
          <w:pgSz w:w="16838" w:h="11906" w:orient="landscape"/>
          <w:pgMar w:top="1418" w:right="1021" w:bottom="709" w:left="1021" w:header="709" w:footer="709" w:gutter="0"/>
          <w:cols w:space="708"/>
          <w:docGrid w:linePitch="360"/>
        </w:sectPr>
      </w:pPr>
    </w:p>
    <w:p w14:paraId="4496F68C" w14:textId="77777777" w:rsidR="00066DCF" w:rsidRDefault="00066DCF">
      <w:pPr>
        <w:spacing w:line="260" w:lineRule="atLeast"/>
        <w:ind w:left="360"/>
        <w:contextualSpacing/>
        <w:rPr>
          <w:rFonts w:eastAsia="Calibri"/>
          <w:lang w:eastAsia="sv-SE"/>
        </w:rPr>
      </w:pPr>
    </w:p>
    <w:p w14:paraId="6E7D1F11" w14:textId="77777777" w:rsidR="00FC1D49" w:rsidRDefault="00FC1D49" w:rsidP="00FC1D49">
      <w:pPr>
        <w:pStyle w:val="Titre3"/>
      </w:pPr>
      <w:bookmarkStart w:id="84" w:name="_Toc536627304"/>
      <w:r w:rsidRPr="00A73167">
        <w:t>Methods for detection and identification</w:t>
      </w:r>
      <w:bookmarkEnd w:id="84"/>
    </w:p>
    <w:p w14:paraId="511DB095" w14:textId="77777777" w:rsidR="00FC1D49" w:rsidRPr="00685696" w:rsidRDefault="00FC1D49" w:rsidP="00FC1D49">
      <w:pPr>
        <w:keepNext/>
        <w:tabs>
          <w:tab w:val="left" w:pos="1304"/>
        </w:tabs>
        <w:spacing w:before="240" w:after="60" w:line="240" w:lineRule="atLeast"/>
        <w:ind w:left="1304"/>
        <w:outlineLvl w:val="3"/>
        <w:rPr>
          <w:rFonts w:cs="Arial"/>
          <w:b/>
          <w:bCs/>
          <w:szCs w:val="28"/>
        </w:rPr>
      </w:pPr>
      <w:r w:rsidRPr="00685696">
        <w:rPr>
          <w:rFonts w:cs="Arial"/>
          <w:b/>
          <w:bCs/>
          <w:szCs w:val="28"/>
        </w:rPr>
        <w:t>Physico-chemical properties and Analytical method for determination of active ingredient and impurities in the technical active ingredient</w:t>
      </w:r>
    </w:p>
    <w:p w14:paraId="7B0C230F" w14:textId="77777777" w:rsidR="00FC1D49" w:rsidRPr="00685696" w:rsidRDefault="00FC1D49" w:rsidP="00FC1D49">
      <w:pPr>
        <w:keepNext/>
        <w:tabs>
          <w:tab w:val="left" w:pos="1304"/>
        </w:tabs>
        <w:spacing w:before="240" w:after="60" w:line="240" w:lineRule="atLeast"/>
        <w:outlineLvl w:val="3"/>
        <w:rPr>
          <w:rFonts w:cs="Arial"/>
          <w:bCs/>
          <w:szCs w:val="28"/>
        </w:rPr>
      </w:pPr>
      <w:r w:rsidRPr="00685696">
        <w:rPr>
          <w:rFonts w:cs="Arial"/>
          <w:szCs w:val="22"/>
        </w:rPr>
        <w:t xml:space="preserve">Physical and chemical properties of the active substances and analytical methods for determination of active ingredients in the technical active ingredient have already been evaluated at EU level and are presented in the CAR of the active substances. The notifier PPG of the product </w:t>
      </w:r>
      <w:r w:rsidRPr="00685696">
        <w:rPr>
          <w:rFonts w:cs="Arial"/>
          <w:lang w:val="en-US"/>
        </w:rPr>
        <w:t xml:space="preserve">X6122B1 </w:t>
      </w:r>
      <w:r w:rsidRPr="00685696">
        <w:rPr>
          <w:rFonts w:cs="Arial"/>
          <w:szCs w:val="22"/>
        </w:rPr>
        <w:t xml:space="preserve">is not the applicant that supported the annex I inclusion dossier of the active substances but it </w:t>
      </w:r>
      <w:r w:rsidRPr="00685696">
        <w:rPr>
          <w:rFonts w:cs="Arial"/>
          <w:bCs/>
          <w:szCs w:val="28"/>
        </w:rPr>
        <w:t>has a letter of access to these data.</w:t>
      </w:r>
    </w:p>
    <w:p w14:paraId="7F767208" w14:textId="77777777" w:rsidR="003B2B14" w:rsidRDefault="003B2B14" w:rsidP="00FC1D49">
      <w:pPr>
        <w:rPr>
          <w:rFonts w:cs="Arial"/>
          <w:b/>
          <w:u w:val="single"/>
          <w:lang w:eastAsia="de-DE"/>
        </w:rPr>
      </w:pPr>
    </w:p>
    <w:p w14:paraId="63344D4E" w14:textId="77777777" w:rsidR="00FC1D49" w:rsidRPr="00685696" w:rsidRDefault="00FC1D49" w:rsidP="00FC1D49">
      <w:pPr>
        <w:rPr>
          <w:rFonts w:cs="Arial"/>
        </w:rPr>
      </w:pPr>
      <w:r w:rsidRPr="00685696">
        <w:rPr>
          <w:rFonts w:cs="Arial"/>
          <w:b/>
          <w:u w:val="single"/>
          <w:lang w:eastAsia="de-DE"/>
        </w:rPr>
        <w:t>Summary for Propiconazole:</w:t>
      </w:r>
    </w:p>
    <w:tbl>
      <w:tblPr>
        <w:tblpPr w:leftFromText="141" w:rightFromText="141" w:vertAnchor="text" w:horzAnchor="margin"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FC1D49" w:rsidRPr="00685696" w14:paraId="45E839A4" w14:textId="77777777" w:rsidTr="00AD0582">
        <w:tc>
          <w:tcPr>
            <w:tcW w:w="4395" w:type="dxa"/>
          </w:tcPr>
          <w:p w14:paraId="68869EF9" w14:textId="77777777" w:rsidR="00FC1D49" w:rsidRPr="00685696" w:rsidRDefault="00FC1D49" w:rsidP="00AD0582">
            <w:pPr>
              <w:rPr>
                <w:rFonts w:cs="Arial"/>
                <w:lang w:eastAsia="de-DE"/>
              </w:rPr>
            </w:pPr>
          </w:p>
        </w:tc>
        <w:tc>
          <w:tcPr>
            <w:tcW w:w="4819" w:type="dxa"/>
          </w:tcPr>
          <w:p w14:paraId="0F8D970B" w14:textId="77777777" w:rsidR="00FC1D49" w:rsidRPr="00685696" w:rsidRDefault="00FC1D49" w:rsidP="00AD0582">
            <w:pPr>
              <w:rPr>
                <w:rFonts w:cs="Arial"/>
                <w:lang w:eastAsia="de-DE"/>
              </w:rPr>
            </w:pPr>
            <w:r w:rsidRPr="00685696">
              <w:rPr>
                <w:rFonts w:cs="Arial"/>
                <w:lang w:eastAsia="de-DE"/>
              </w:rPr>
              <w:t>Principle of method</w:t>
            </w:r>
          </w:p>
        </w:tc>
      </w:tr>
      <w:tr w:rsidR="00FC1D49" w:rsidRPr="00685696" w14:paraId="6C01681A" w14:textId="77777777" w:rsidTr="00AD0582">
        <w:tc>
          <w:tcPr>
            <w:tcW w:w="4395" w:type="dxa"/>
          </w:tcPr>
          <w:p w14:paraId="78F82EB4" w14:textId="77777777" w:rsidR="00FC1D49" w:rsidRPr="00685696" w:rsidRDefault="00FC1D49" w:rsidP="00AD0582">
            <w:pPr>
              <w:rPr>
                <w:rFonts w:cs="Arial"/>
                <w:lang w:eastAsia="de-DE"/>
              </w:rPr>
            </w:pPr>
            <w:r w:rsidRPr="00685696">
              <w:rPr>
                <w:rFonts w:cs="Arial"/>
                <w:lang w:eastAsia="de-DE"/>
              </w:rPr>
              <w:t xml:space="preserve">Technical active substance as manufactured: </w:t>
            </w:r>
          </w:p>
        </w:tc>
        <w:tc>
          <w:tcPr>
            <w:tcW w:w="4819" w:type="dxa"/>
          </w:tcPr>
          <w:p w14:paraId="64249F55" w14:textId="77777777" w:rsidR="00FC1D49" w:rsidRPr="00685696" w:rsidRDefault="00FC1D49" w:rsidP="00AD0582">
            <w:pPr>
              <w:rPr>
                <w:rFonts w:cs="Arial"/>
                <w:lang w:val="en-US" w:eastAsia="de-DE"/>
              </w:rPr>
            </w:pPr>
            <w:r w:rsidRPr="00685696">
              <w:rPr>
                <w:rFonts w:cs="Arial"/>
              </w:rPr>
              <w:t>GC-FID packed column, internal standardization</w:t>
            </w:r>
          </w:p>
        </w:tc>
      </w:tr>
      <w:tr w:rsidR="00FC1D49" w:rsidRPr="00685696" w14:paraId="0C35A2DF" w14:textId="77777777" w:rsidTr="00AD0582">
        <w:tc>
          <w:tcPr>
            <w:tcW w:w="4395" w:type="dxa"/>
          </w:tcPr>
          <w:p w14:paraId="0D03A0B0" w14:textId="77777777" w:rsidR="00FC1D49" w:rsidRPr="00685696" w:rsidRDefault="00FC1D49" w:rsidP="00AD0582">
            <w:pPr>
              <w:rPr>
                <w:rFonts w:cs="Arial"/>
                <w:lang w:eastAsia="de-DE"/>
              </w:rPr>
            </w:pPr>
            <w:r w:rsidRPr="00685696">
              <w:rPr>
                <w:rFonts w:cs="Arial"/>
                <w:lang w:eastAsia="de-DE"/>
              </w:rPr>
              <w:t xml:space="preserve">Impurities in technical active substance: </w:t>
            </w:r>
          </w:p>
        </w:tc>
        <w:tc>
          <w:tcPr>
            <w:tcW w:w="4819" w:type="dxa"/>
          </w:tcPr>
          <w:p w14:paraId="5F384180" w14:textId="77777777" w:rsidR="00FC1D49" w:rsidRPr="00685696" w:rsidRDefault="00FC1D49" w:rsidP="00AD0582">
            <w:pPr>
              <w:rPr>
                <w:rFonts w:cs="Arial"/>
                <w:lang w:eastAsia="de-DE"/>
              </w:rPr>
            </w:pPr>
            <w:r w:rsidRPr="00685696">
              <w:rPr>
                <w:rFonts w:eastAsiaTheme="minorHAnsi" w:cs="Arial"/>
                <w:lang w:val="en-US" w:eastAsia="en-US"/>
              </w:rPr>
              <w:t xml:space="preserve">GC-FID </w:t>
            </w:r>
          </w:p>
        </w:tc>
      </w:tr>
    </w:tbl>
    <w:p w14:paraId="00B5F08D" w14:textId="77777777" w:rsidR="00FC1D49" w:rsidRPr="00685696" w:rsidRDefault="00FC1D49" w:rsidP="00FC1D49">
      <w:pPr>
        <w:rPr>
          <w:rFonts w:cs="Arial"/>
          <w:b/>
        </w:rPr>
      </w:pPr>
    </w:p>
    <w:p w14:paraId="5ED9F2CA" w14:textId="77777777" w:rsidR="00FC1D49" w:rsidRPr="00685696" w:rsidRDefault="00FC1D49" w:rsidP="00FC1D49">
      <w:pPr>
        <w:keepNext/>
        <w:tabs>
          <w:tab w:val="left" w:pos="1304"/>
        </w:tabs>
        <w:outlineLvl w:val="2"/>
        <w:rPr>
          <w:rFonts w:cs="Arial"/>
          <w:b/>
          <w:bCs/>
          <w:noProof/>
        </w:rPr>
      </w:pPr>
    </w:p>
    <w:p w14:paraId="6A44179B" w14:textId="77777777" w:rsidR="00FC1D49" w:rsidRPr="00685696" w:rsidRDefault="00FC1D49" w:rsidP="00FC1D49">
      <w:pPr>
        <w:keepNext/>
        <w:tabs>
          <w:tab w:val="left" w:pos="1304"/>
        </w:tabs>
        <w:outlineLvl w:val="2"/>
        <w:rPr>
          <w:rFonts w:cs="Arial"/>
          <w:b/>
          <w:bCs/>
          <w:noProof/>
        </w:rPr>
      </w:pPr>
    </w:p>
    <w:p w14:paraId="514A9403" w14:textId="77777777" w:rsidR="00FC1D49" w:rsidRPr="00685696" w:rsidRDefault="00FC1D49" w:rsidP="00FC1D49">
      <w:pPr>
        <w:keepNext/>
        <w:tabs>
          <w:tab w:val="left" w:pos="1304"/>
        </w:tabs>
        <w:outlineLvl w:val="3"/>
        <w:rPr>
          <w:rFonts w:cs="Arial"/>
          <w:bCs/>
        </w:rPr>
      </w:pPr>
    </w:p>
    <w:p w14:paraId="351D16D9" w14:textId="77777777" w:rsidR="00FC1D49" w:rsidRPr="00685696" w:rsidRDefault="00FC1D49" w:rsidP="00FC1D49">
      <w:pPr>
        <w:tabs>
          <w:tab w:val="left" w:pos="1785"/>
        </w:tabs>
        <w:rPr>
          <w:rFonts w:cs="Arial"/>
          <w:b/>
          <w:u w:val="single"/>
          <w:lang w:eastAsia="de-DE"/>
        </w:rPr>
      </w:pPr>
    </w:p>
    <w:p w14:paraId="380261EB" w14:textId="77777777" w:rsidR="00FC1D49" w:rsidRPr="00685696" w:rsidRDefault="00FC1D49" w:rsidP="00FC1D49">
      <w:pPr>
        <w:tabs>
          <w:tab w:val="left" w:pos="1785"/>
        </w:tabs>
        <w:rPr>
          <w:rFonts w:cs="Arial"/>
          <w:b/>
          <w:u w:val="single"/>
          <w:lang w:eastAsia="de-DE"/>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19"/>
      </w:tblGrid>
      <w:tr w:rsidR="00FC1D49" w:rsidRPr="00685696" w14:paraId="2229B1FE" w14:textId="77777777" w:rsidTr="00AD0582">
        <w:tc>
          <w:tcPr>
            <w:tcW w:w="4395" w:type="dxa"/>
            <w:tcBorders>
              <w:top w:val="nil"/>
              <w:left w:val="nil"/>
              <w:bottom w:val="nil"/>
            </w:tcBorders>
          </w:tcPr>
          <w:p w14:paraId="4E733B1A" w14:textId="77777777" w:rsidR="00FC1D49" w:rsidRPr="00685696" w:rsidRDefault="00FC1D49" w:rsidP="00AD0582">
            <w:pPr>
              <w:rPr>
                <w:rFonts w:cs="Arial"/>
              </w:rPr>
            </w:pPr>
            <w:r w:rsidRPr="00685696">
              <w:rPr>
                <w:rFonts w:cs="Arial"/>
              </w:rPr>
              <w:t>Soil (principle of method and LOQ)</w:t>
            </w:r>
          </w:p>
        </w:tc>
        <w:tc>
          <w:tcPr>
            <w:tcW w:w="4819" w:type="dxa"/>
          </w:tcPr>
          <w:p w14:paraId="35AF4045" w14:textId="77777777" w:rsidR="00FC1D49" w:rsidRPr="00685696" w:rsidRDefault="00FC1D49" w:rsidP="00AD0582">
            <w:pPr>
              <w:widowControl w:val="0"/>
              <w:rPr>
                <w:rFonts w:cs="Arial"/>
              </w:rPr>
            </w:pPr>
            <w:r w:rsidRPr="00685696">
              <w:rPr>
                <w:rFonts w:cs="Arial"/>
              </w:rPr>
              <w:t xml:space="preserve">GLC-NPD; LOQ : 0.02 mg/kg (parent compound) </w:t>
            </w:r>
          </w:p>
          <w:p w14:paraId="1F415928" w14:textId="77777777" w:rsidR="00FC1D49" w:rsidRPr="00685696" w:rsidRDefault="00FC1D49" w:rsidP="00AD0582">
            <w:pPr>
              <w:widowControl w:val="0"/>
              <w:rPr>
                <w:rFonts w:cs="Arial"/>
              </w:rPr>
            </w:pPr>
          </w:p>
          <w:p w14:paraId="29060EF3" w14:textId="77777777" w:rsidR="00FC1D49" w:rsidRPr="00685696" w:rsidRDefault="00FC1D49" w:rsidP="00AD0582">
            <w:pPr>
              <w:widowControl w:val="0"/>
              <w:rPr>
                <w:rFonts w:cs="Arial"/>
              </w:rPr>
            </w:pPr>
            <w:r w:rsidRPr="00685696">
              <w:rPr>
                <w:rFonts w:cs="Arial"/>
              </w:rPr>
              <w:t xml:space="preserve">GLC-ECD; LOQ : 0.05 mg/kg (total; 2,4-DCBA) </w:t>
            </w:r>
          </w:p>
          <w:p w14:paraId="68785BB0" w14:textId="77777777" w:rsidR="00FC1D49" w:rsidRPr="00685696" w:rsidRDefault="00FC1D49" w:rsidP="00AD0582">
            <w:pPr>
              <w:widowControl w:val="0"/>
              <w:rPr>
                <w:rFonts w:cs="Arial"/>
              </w:rPr>
            </w:pPr>
          </w:p>
          <w:p w14:paraId="6C625FDA" w14:textId="77777777" w:rsidR="00FC1D49" w:rsidRPr="00685696" w:rsidRDefault="00FC1D49" w:rsidP="00AD0582">
            <w:pPr>
              <w:widowControl w:val="0"/>
              <w:rPr>
                <w:rFonts w:cs="Arial"/>
              </w:rPr>
            </w:pPr>
            <w:r w:rsidRPr="00685696">
              <w:rPr>
                <w:rFonts w:cs="Arial"/>
              </w:rPr>
              <w:t xml:space="preserve">HPLC-UV; LOQ : 0.01 mg/kg as 1,2,4-triazole (total; 1,2,4-triazole) </w:t>
            </w:r>
          </w:p>
          <w:p w14:paraId="15042423" w14:textId="77777777" w:rsidR="00FC1D49" w:rsidRPr="00685696" w:rsidRDefault="00FC1D49" w:rsidP="00AD0582">
            <w:pPr>
              <w:widowControl w:val="0"/>
              <w:rPr>
                <w:rFonts w:cs="Arial"/>
              </w:rPr>
            </w:pPr>
          </w:p>
          <w:p w14:paraId="5AEB0298" w14:textId="77777777" w:rsidR="00FC1D49" w:rsidRPr="00685696" w:rsidRDefault="00FC1D49" w:rsidP="00AD0582">
            <w:pPr>
              <w:widowControl w:val="0"/>
              <w:rPr>
                <w:rFonts w:cs="Arial"/>
              </w:rPr>
            </w:pPr>
            <w:r w:rsidRPr="00685696">
              <w:rPr>
                <w:rFonts w:cs="Arial"/>
              </w:rPr>
              <w:t xml:space="preserve">LC-LC-ESI/MS/MS; LOQ : 0.005 mg/kg (CGA 118 244) </w:t>
            </w:r>
          </w:p>
          <w:p w14:paraId="04CF5DAF" w14:textId="77777777" w:rsidR="00FC1D49" w:rsidRPr="00685696" w:rsidRDefault="00FC1D49" w:rsidP="00AD0582">
            <w:pPr>
              <w:widowControl w:val="0"/>
              <w:rPr>
                <w:rFonts w:cs="Arial"/>
              </w:rPr>
            </w:pPr>
          </w:p>
          <w:p w14:paraId="2249BB99" w14:textId="77777777" w:rsidR="00FC1D49" w:rsidRPr="00685696" w:rsidRDefault="00FC1D49" w:rsidP="00AD0582">
            <w:pPr>
              <w:widowControl w:val="0"/>
              <w:rPr>
                <w:rFonts w:cs="Arial"/>
              </w:rPr>
            </w:pPr>
            <w:r w:rsidRPr="00685696">
              <w:rPr>
                <w:rFonts w:cs="Arial"/>
              </w:rPr>
              <w:t>HPLC-LC/MS/MS; LOQ: 0.005 mg/kg as parent compound and its degradation products CGA 21795, CGA 91305, CGA 118244, CGA 118245, CGA 136735 and CGA 71019 (1,2,4-triazole)</w:t>
            </w:r>
          </w:p>
          <w:p w14:paraId="01AE98D4" w14:textId="77777777" w:rsidR="00FC1D49" w:rsidRPr="00685696" w:rsidRDefault="00FC1D49" w:rsidP="00AD0582">
            <w:pPr>
              <w:widowControl w:val="0"/>
              <w:rPr>
                <w:rFonts w:cs="Arial"/>
                <w:b/>
                <w:iCs/>
                <w:lang w:eastAsia="fr-FR"/>
              </w:rPr>
            </w:pPr>
          </w:p>
        </w:tc>
      </w:tr>
      <w:tr w:rsidR="00FC1D49" w:rsidRPr="00685696" w14:paraId="2C21E761" w14:textId="77777777" w:rsidTr="00AD0582">
        <w:tc>
          <w:tcPr>
            <w:tcW w:w="4395" w:type="dxa"/>
            <w:tcBorders>
              <w:top w:val="nil"/>
              <w:left w:val="nil"/>
              <w:bottom w:val="nil"/>
            </w:tcBorders>
          </w:tcPr>
          <w:p w14:paraId="349E20DD" w14:textId="77777777" w:rsidR="00FC1D49" w:rsidRPr="00685696" w:rsidRDefault="00FC1D49" w:rsidP="00AD0582">
            <w:pPr>
              <w:rPr>
                <w:rFonts w:cs="Arial"/>
              </w:rPr>
            </w:pPr>
            <w:r w:rsidRPr="00685696">
              <w:rPr>
                <w:rFonts w:cs="Arial"/>
              </w:rPr>
              <w:t>Air (principle of method and LOQ)</w:t>
            </w:r>
          </w:p>
        </w:tc>
        <w:tc>
          <w:tcPr>
            <w:tcW w:w="4819" w:type="dxa"/>
          </w:tcPr>
          <w:p w14:paraId="315F829F" w14:textId="77777777" w:rsidR="00FC1D49" w:rsidRPr="00685696" w:rsidRDefault="00FC1D49" w:rsidP="00AD0582">
            <w:pPr>
              <w:widowControl w:val="0"/>
              <w:rPr>
                <w:rFonts w:cs="Arial"/>
              </w:rPr>
            </w:pPr>
            <w:r w:rsidRPr="00685696">
              <w:rPr>
                <w:rFonts w:cs="Arial"/>
              </w:rPr>
              <w:t>GLC-NPD; LOQ : 10 μg/m3 (parent compound) GC-MS; LOQ : 10 μg/m3 (parent compound)</w:t>
            </w:r>
          </w:p>
          <w:p w14:paraId="3822DA6A" w14:textId="77777777" w:rsidR="00FC1D49" w:rsidRPr="00685696" w:rsidRDefault="00FC1D49" w:rsidP="00AD0582">
            <w:pPr>
              <w:widowControl w:val="0"/>
              <w:rPr>
                <w:rFonts w:cs="Arial"/>
                <w:b/>
                <w:iCs/>
                <w:lang w:eastAsia="fr-FR"/>
              </w:rPr>
            </w:pPr>
          </w:p>
        </w:tc>
      </w:tr>
      <w:tr w:rsidR="00FC1D49" w:rsidRPr="00685696" w14:paraId="167ED093" w14:textId="77777777" w:rsidTr="00AD0582">
        <w:trPr>
          <w:trHeight w:val="627"/>
        </w:trPr>
        <w:tc>
          <w:tcPr>
            <w:tcW w:w="4395" w:type="dxa"/>
            <w:tcBorders>
              <w:top w:val="nil"/>
              <w:left w:val="nil"/>
              <w:bottom w:val="nil"/>
            </w:tcBorders>
          </w:tcPr>
          <w:p w14:paraId="2BB64A08" w14:textId="77777777" w:rsidR="00FC1D49" w:rsidRPr="00685696" w:rsidRDefault="00FC1D49" w:rsidP="00AD0582">
            <w:pPr>
              <w:rPr>
                <w:rFonts w:cs="Arial"/>
              </w:rPr>
            </w:pPr>
            <w:r w:rsidRPr="00685696">
              <w:rPr>
                <w:rFonts w:cs="Arial"/>
              </w:rPr>
              <w:t>Water (principle of method and LOQ)</w:t>
            </w:r>
          </w:p>
          <w:p w14:paraId="0B42EDED" w14:textId="77777777" w:rsidR="00FC1D49" w:rsidRPr="00685696" w:rsidRDefault="00FC1D49" w:rsidP="00AD0582">
            <w:pPr>
              <w:rPr>
                <w:rFonts w:cs="Arial"/>
              </w:rPr>
            </w:pPr>
          </w:p>
          <w:p w14:paraId="21AE487C" w14:textId="77777777" w:rsidR="00FC1D49" w:rsidRPr="00685696" w:rsidRDefault="00FC1D49" w:rsidP="00AD0582">
            <w:pPr>
              <w:rPr>
                <w:rFonts w:cs="Arial"/>
              </w:rPr>
            </w:pPr>
          </w:p>
        </w:tc>
        <w:tc>
          <w:tcPr>
            <w:tcW w:w="4819" w:type="dxa"/>
          </w:tcPr>
          <w:p w14:paraId="361F770B" w14:textId="77777777" w:rsidR="00FC1D49" w:rsidRPr="00685696" w:rsidRDefault="00FC1D49" w:rsidP="00AD0582">
            <w:pPr>
              <w:widowControl w:val="0"/>
              <w:rPr>
                <w:rFonts w:cs="Arial"/>
              </w:rPr>
            </w:pPr>
            <w:r w:rsidRPr="00685696">
              <w:rPr>
                <w:rFonts w:cs="Arial"/>
              </w:rPr>
              <w:t>GLC-ECD; LOQ : 0.05 μg/l (parent compound in potable water) GC-MS : 0.05 μg/l (parent compound in potable water and surface water) Sediment HPLC-LC/MS/MS: 0.010 mg/kg (parent compound and its degradation products CGA 217495, CGA 91305 and CGA 136735)</w:t>
            </w:r>
          </w:p>
          <w:p w14:paraId="7026AB19" w14:textId="77777777" w:rsidR="00FC1D49" w:rsidRPr="00685696" w:rsidRDefault="00FC1D49" w:rsidP="00AD0582">
            <w:pPr>
              <w:widowControl w:val="0"/>
              <w:rPr>
                <w:rFonts w:cs="Arial"/>
                <w:b/>
                <w:iCs/>
                <w:lang w:val="en-US" w:eastAsia="fr-FR"/>
              </w:rPr>
            </w:pPr>
          </w:p>
        </w:tc>
      </w:tr>
      <w:tr w:rsidR="00FC1D49" w:rsidRPr="00685696" w14:paraId="2AEE45EC" w14:textId="77777777" w:rsidTr="00AD0582">
        <w:tc>
          <w:tcPr>
            <w:tcW w:w="4395" w:type="dxa"/>
            <w:tcBorders>
              <w:top w:val="nil"/>
              <w:left w:val="nil"/>
              <w:bottom w:val="nil"/>
            </w:tcBorders>
          </w:tcPr>
          <w:p w14:paraId="1A145FDC" w14:textId="77777777" w:rsidR="00FC1D49" w:rsidRPr="00685696" w:rsidRDefault="00FC1D49" w:rsidP="00AD0582">
            <w:pPr>
              <w:rPr>
                <w:rFonts w:eastAsiaTheme="minorHAnsi" w:cs="Arial"/>
                <w:color w:val="000000"/>
                <w:lang w:val="en-US" w:eastAsia="en-US"/>
              </w:rPr>
            </w:pPr>
            <w:r w:rsidRPr="00685696">
              <w:rPr>
                <w:rFonts w:eastAsiaTheme="minorHAnsi" w:cs="Arial"/>
                <w:color w:val="000000"/>
                <w:lang w:val="en-US" w:eastAsia="en-US"/>
              </w:rPr>
              <w:t>Body fluids and tissues (principle of method and LOQ)</w:t>
            </w:r>
          </w:p>
        </w:tc>
        <w:tc>
          <w:tcPr>
            <w:tcW w:w="4819" w:type="dxa"/>
          </w:tcPr>
          <w:p w14:paraId="1AAE4734" w14:textId="77777777" w:rsidR="00FC1D49" w:rsidRPr="00685696" w:rsidRDefault="00FC1D49" w:rsidP="00AD0582">
            <w:pPr>
              <w:widowControl w:val="0"/>
              <w:rPr>
                <w:rFonts w:eastAsiaTheme="minorHAnsi" w:cs="Arial"/>
                <w:color w:val="000000"/>
                <w:lang w:val="en-US" w:eastAsia="en-US"/>
              </w:rPr>
            </w:pPr>
            <w:r w:rsidRPr="00685696">
              <w:rPr>
                <w:rFonts w:cs="Arial"/>
              </w:rPr>
              <w:t>Not applicable (not toxic or very toxic substance)</w:t>
            </w:r>
          </w:p>
        </w:tc>
      </w:tr>
      <w:tr w:rsidR="00FC1D49" w:rsidRPr="00685696" w14:paraId="1EE9B11C" w14:textId="77777777" w:rsidTr="00AD0582">
        <w:tc>
          <w:tcPr>
            <w:tcW w:w="4395" w:type="dxa"/>
            <w:tcBorders>
              <w:top w:val="nil"/>
              <w:left w:val="nil"/>
              <w:bottom w:val="nil"/>
            </w:tcBorders>
          </w:tcPr>
          <w:p w14:paraId="11FD32C6" w14:textId="77777777" w:rsidR="00FC1D49" w:rsidRPr="00685696" w:rsidRDefault="00FC1D49" w:rsidP="00AD0582">
            <w:pPr>
              <w:rPr>
                <w:rFonts w:cs="Arial"/>
              </w:rPr>
            </w:pPr>
            <w:r w:rsidRPr="00685696">
              <w:rPr>
                <w:rFonts w:eastAsiaTheme="minorHAnsi" w:cs="Arial"/>
                <w:color w:val="000000"/>
                <w:lang w:val="en-US" w:eastAsia="en-US"/>
              </w:rPr>
              <w:t>Food/feed of plant origin (principle of method and LOQ for methods for monitoring purposes)</w:t>
            </w:r>
          </w:p>
        </w:tc>
        <w:tc>
          <w:tcPr>
            <w:tcW w:w="4819" w:type="dxa"/>
          </w:tcPr>
          <w:p w14:paraId="399186B5" w14:textId="77777777" w:rsidR="00FC1D49" w:rsidRPr="00685696" w:rsidRDefault="00FC1D49" w:rsidP="00AD0582">
            <w:pPr>
              <w:widowControl w:val="0"/>
              <w:rPr>
                <w:rFonts w:cs="Arial"/>
                <w:b/>
                <w:iCs/>
                <w:lang w:val="en-US" w:eastAsia="fr-FR"/>
              </w:rPr>
            </w:pPr>
            <w:r w:rsidRPr="00685696">
              <w:rPr>
                <w:rFonts w:cs="Arial"/>
              </w:rPr>
              <w:t>Not applicable</w:t>
            </w:r>
          </w:p>
        </w:tc>
      </w:tr>
      <w:tr w:rsidR="00FC1D49" w:rsidRPr="00685696" w14:paraId="60D00B52" w14:textId="77777777" w:rsidTr="00AD0582">
        <w:tc>
          <w:tcPr>
            <w:tcW w:w="4395" w:type="dxa"/>
            <w:tcBorders>
              <w:top w:val="nil"/>
              <w:left w:val="nil"/>
              <w:bottom w:val="nil"/>
            </w:tcBorders>
          </w:tcPr>
          <w:p w14:paraId="063C5378" w14:textId="77777777" w:rsidR="00FC1D49" w:rsidRPr="00685696" w:rsidRDefault="00FC1D49" w:rsidP="00AD0582">
            <w:pPr>
              <w:rPr>
                <w:rFonts w:cs="Arial"/>
              </w:rPr>
            </w:pPr>
            <w:r w:rsidRPr="00685696">
              <w:rPr>
                <w:rFonts w:eastAsiaTheme="minorHAnsi" w:cs="Arial"/>
                <w:color w:val="000000"/>
                <w:lang w:val="en-US" w:eastAsia="en-US"/>
              </w:rPr>
              <w:t>Food/feed of animal origin (principle of method and LOQ for methods for monitoring purposes)</w:t>
            </w:r>
          </w:p>
        </w:tc>
        <w:tc>
          <w:tcPr>
            <w:tcW w:w="4819" w:type="dxa"/>
          </w:tcPr>
          <w:p w14:paraId="535AE355" w14:textId="77777777" w:rsidR="00FC1D49" w:rsidRPr="00685696" w:rsidRDefault="00FC1D49" w:rsidP="00AD0582">
            <w:pPr>
              <w:widowControl w:val="0"/>
              <w:rPr>
                <w:rFonts w:cs="Arial"/>
                <w:iCs/>
                <w:lang w:val="en-US" w:eastAsia="fr-FR"/>
              </w:rPr>
            </w:pPr>
            <w:r w:rsidRPr="00685696">
              <w:rPr>
                <w:rFonts w:cs="Arial"/>
              </w:rPr>
              <w:t>Not applicable</w:t>
            </w:r>
          </w:p>
        </w:tc>
      </w:tr>
    </w:tbl>
    <w:p w14:paraId="284F21A8" w14:textId="77777777" w:rsidR="00FC1D49" w:rsidRPr="00685696" w:rsidRDefault="00FC1D49" w:rsidP="00FC1D49">
      <w:pPr>
        <w:keepNext/>
        <w:tabs>
          <w:tab w:val="left" w:pos="1304"/>
        </w:tabs>
        <w:outlineLvl w:val="2"/>
        <w:rPr>
          <w:rFonts w:cs="Arial"/>
          <w:bCs/>
          <w:noProof/>
        </w:rPr>
      </w:pPr>
    </w:p>
    <w:p w14:paraId="7ECAEDD6" w14:textId="77777777" w:rsidR="00FC1D49" w:rsidRPr="00685696" w:rsidRDefault="00FC1D49" w:rsidP="00FC1D49">
      <w:pPr>
        <w:keepNext/>
        <w:tabs>
          <w:tab w:val="left" w:pos="1304"/>
        </w:tabs>
        <w:outlineLvl w:val="2"/>
        <w:rPr>
          <w:rFonts w:cs="Arial"/>
          <w:bCs/>
          <w:noProof/>
        </w:rPr>
      </w:pPr>
      <w:r w:rsidRPr="00685696">
        <w:rPr>
          <w:rFonts w:cs="Arial"/>
          <w:bCs/>
          <w:noProof/>
        </w:rPr>
        <w:t>Methods for body fluids and tissues and food and feeding stuffs of plant origin are not required since propiconazole is not classified as toxic or highly toxic and as the use pattern of product will not result in any contact with food or feeding stuff of plant origin.</w:t>
      </w:r>
    </w:p>
    <w:p w14:paraId="1FEC41CD" w14:textId="77777777" w:rsidR="003B2B14" w:rsidRPr="00685696" w:rsidRDefault="003B2B14" w:rsidP="00FC1D49">
      <w:pPr>
        <w:keepNext/>
        <w:tabs>
          <w:tab w:val="left" w:pos="1304"/>
        </w:tabs>
        <w:spacing w:before="240" w:after="60" w:line="240" w:lineRule="atLeast"/>
        <w:outlineLvl w:val="3"/>
        <w:rPr>
          <w:rFonts w:cs="Arial"/>
          <w:szCs w:val="22"/>
        </w:rPr>
      </w:pPr>
    </w:p>
    <w:p w14:paraId="5DD1EB9C" w14:textId="77777777" w:rsidR="00FC1D49" w:rsidRPr="00685696" w:rsidRDefault="00FC1D49" w:rsidP="00FC1D49">
      <w:pPr>
        <w:rPr>
          <w:rFonts w:cs="Arial"/>
        </w:rPr>
      </w:pPr>
      <w:r w:rsidRPr="00685696">
        <w:rPr>
          <w:rFonts w:cs="Arial"/>
          <w:b/>
          <w:u w:val="single"/>
          <w:lang w:eastAsia="de-DE"/>
        </w:rPr>
        <w:t>Summary for Cypermethrin:</w:t>
      </w:r>
    </w:p>
    <w:tbl>
      <w:tblPr>
        <w:tblpPr w:leftFromText="141" w:rightFromText="141" w:vertAnchor="text" w:horzAnchor="margin" w:tblpX="108"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7"/>
        <w:gridCol w:w="4927"/>
      </w:tblGrid>
      <w:tr w:rsidR="00FC1D49" w:rsidRPr="00685696" w14:paraId="1A3A36AF" w14:textId="77777777" w:rsidTr="003B2B14">
        <w:tc>
          <w:tcPr>
            <w:tcW w:w="4287" w:type="dxa"/>
          </w:tcPr>
          <w:p w14:paraId="5948B861" w14:textId="77777777" w:rsidR="00FC1D49" w:rsidRPr="00685696" w:rsidRDefault="00FC1D49" w:rsidP="003B2B14">
            <w:pPr>
              <w:rPr>
                <w:rFonts w:cs="Arial"/>
                <w:lang w:eastAsia="de-DE"/>
              </w:rPr>
            </w:pPr>
          </w:p>
        </w:tc>
        <w:tc>
          <w:tcPr>
            <w:tcW w:w="4927" w:type="dxa"/>
          </w:tcPr>
          <w:p w14:paraId="55D652FA" w14:textId="77777777" w:rsidR="00FC1D49" w:rsidRPr="00685696" w:rsidRDefault="00FC1D49" w:rsidP="003B2B14">
            <w:pPr>
              <w:rPr>
                <w:rFonts w:cs="Arial"/>
                <w:lang w:eastAsia="de-DE"/>
              </w:rPr>
            </w:pPr>
            <w:r w:rsidRPr="00685696">
              <w:rPr>
                <w:rFonts w:cs="Arial"/>
                <w:lang w:eastAsia="de-DE"/>
              </w:rPr>
              <w:t>Principle of method</w:t>
            </w:r>
          </w:p>
        </w:tc>
      </w:tr>
      <w:tr w:rsidR="00FC1D49" w:rsidRPr="00685696" w14:paraId="74EBF4BC" w14:textId="77777777" w:rsidTr="003B2B14">
        <w:tc>
          <w:tcPr>
            <w:tcW w:w="4287" w:type="dxa"/>
          </w:tcPr>
          <w:p w14:paraId="4650A6B3" w14:textId="77777777" w:rsidR="00FC1D49" w:rsidRPr="00685696" w:rsidRDefault="00FC1D49" w:rsidP="003B2B14">
            <w:pPr>
              <w:rPr>
                <w:rFonts w:cs="Arial"/>
                <w:lang w:eastAsia="de-DE"/>
              </w:rPr>
            </w:pPr>
            <w:r w:rsidRPr="00685696">
              <w:rPr>
                <w:rFonts w:cs="Arial"/>
                <w:lang w:eastAsia="de-DE"/>
              </w:rPr>
              <w:t xml:space="preserve">Technical active substance as manufactured: </w:t>
            </w:r>
          </w:p>
        </w:tc>
        <w:tc>
          <w:tcPr>
            <w:tcW w:w="4927" w:type="dxa"/>
          </w:tcPr>
          <w:p w14:paraId="1F17F3AD" w14:textId="77777777" w:rsidR="00FC1D49" w:rsidRPr="00685696" w:rsidRDefault="00FC1D49" w:rsidP="003B2B14">
            <w:pPr>
              <w:rPr>
                <w:rFonts w:cs="Arial"/>
                <w:lang w:val="en-US" w:eastAsia="de-DE"/>
              </w:rPr>
            </w:pPr>
            <w:r w:rsidRPr="00685696">
              <w:rPr>
                <w:rFonts w:eastAsiaTheme="minorHAnsi" w:cs="Arial"/>
                <w:lang w:val="en-US" w:eastAsia="en-US"/>
              </w:rPr>
              <w:t>HPLC-UV at 210 nm</w:t>
            </w:r>
          </w:p>
        </w:tc>
      </w:tr>
      <w:tr w:rsidR="00FC1D49" w:rsidRPr="00685696" w14:paraId="47498C63" w14:textId="77777777" w:rsidTr="003B2B14">
        <w:tc>
          <w:tcPr>
            <w:tcW w:w="4287" w:type="dxa"/>
          </w:tcPr>
          <w:p w14:paraId="1B18B5AD" w14:textId="77777777" w:rsidR="00FC1D49" w:rsidRPr="00685696" w:rsidRDefault="00FC1D49" w:rsidP="003B2B14">
            <w:pPr>
              <w:rPr>
                <w:rFonts w:cs="Arial"/>
                <w:lang w:eastAsia="de-DE"/>
              </w:rPr>
            </w:pPr>
            <w:r w:rsidRPr="00685696">
              <w:rPr>
                <w:rFonts w:cs="Arial"/>
                <w:lang w:eastAsia="de-DE"/>
              </w:rPr>
              <w:t xml:space="preserve">Impurities in technical active substance: </w:t>
            </w:r>
          </w:p>
        </w:tc>
        <w:tc>
          <w:tcPr>
            <w:tcW w:w="4927" w:type="dxa"/>
          </w:tcPr>
          <w:p w14:paraId="1DFE7E8C" w14:textId="77777777" w:rsidR="00FC1D49" w:rsidRPr="00685696" w:rsidRDefault="00FC1D49" w:rsidP="003B2B14">
            <w:pPr>
              <w:rPr>
                <w:rFonts w:cs="Arial"/>
                <w:lang w:eastAsia="de-DE"/>
              </w:rPr>
            </w:pPr>
            <w:r w:rsidRPr="00685696">
              <w:rPr>
                <w:rFonts w:eastAsiaTheme="minorHAnsi" w:cs="Arial"/>
                <w:lang w:val="en-US" w:eastAsia="en-US"/>
              </w:rPr>
              <w:t>HPLC-FID at 260°C</w:t>
            </w:r>
          </w:p>
        </w:tc>
      </w:tr>
    </w:tbl>
    <w:p w14:paraId="6B9B8F66" w14:textId="77777777" w:rsidR="00FC1D49" w:rsidRDefault="00FC1D49" w:rsidP="00FC1D49">
      <w:pPr>
        <w:rPr>
          <w:rFonts w:cs="Arial"/>
          <w:b/>
        </w:rPr>
      </w:pPr>
    </w:p>
    <w:p w14:paraId="5B06895F" w14:textId="77777777" w:rsidR="00FC1D49" w:rsidRPr="00685696" w:rsidRDefault="00FC1D49" w:rsidP="00FC1D49">
      <w:pPr>
        <w:tabs>
          <w:tab w:val="left" w:pos="1785"/>
        </w:tabs>
        <w:rPr>
          <w:rFonts w:cs="Arial"/>
          <w:b/>
          <w:u w:val="single"/>
          <w:lang w:eastAsia="de-D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961"/>
      </w:tblGrid>
      <w:tr w:rsidR="00FC1D49" w:rsidRPr="00112DD6" w14:paraId="2467502B" w14:textId="77777777" w:rsidTr="003B2B14">
        <w:tc>
          <w:tcPr>
            <w:tcW w:w="4253" w:type="dxa"/>
          </w:tcPr>
          <w:p w14:paraId="24D0D6B5" w14:textId="77777777" w:rsidR="00FC1D49" w:rsidRPr="00685696" w:rsidRDefault="00FC1D49" w:rsidP="00AD0582">
            <w:pPr>
              <w:rPr>
                <w:rFonts w:cs="Arial"/>
              </w:rPr>
            </w:pPr>
            <w:r w:rsidRPr="00685696">
              <w:rPr>
                <w:rFonts w:cs="Arial"/>
              </w:rPr>
              <w:t>Soil (principle of method and LOQ)</w:t>
            </w:r>
          </w:p>
        </w:tc>
        <w:tc>
          <w:tcPr>
            <w:tcW w:w="4961" w:type="dxa"/>
          </w:tcPr>
          <w:p w14:paraId="7AC9A562" w14:textId="77777777" w:rsidR="00FC1D49" w:rsidRPr="00ED68BA" w:rsidRDefault="00FC1D49" w:rsidP="00AD0582">
            <w:pPr>
              <w:widowControl w:val="0"/>
              <w:rPr>
                <w:rFonts w:cs="Arial"/>
                <w:iCs/>
                <w:u w:val="single"/>
                <w:lang w:val="fr-FR" w:eastAsia="fr-FR"/>
              </w:rPr>
            </w:pPr>
            <w:r w:rsidRPr="00ED68BA">
              <w:rPr>
                <w:rFonts w:cs="Arial"/>
                <w:iCs/>
                <w:u w:val="single"/>
                <w:lang w:val="fr-FR" w:eastAsia="fr-FR"/>
              </w:rPr>
              <w:t xml:space="preserve">Cypermethrin 40:60 </w:t>
            </w:r>
            <w:proofErr w:type="gramStart"/>
            <w:r w:rsidRPr="00ED68BA">
              <w:rPr>
                <w:rFonts w:cs="Arial"/>
                <w:iCs/>
                <w:u w:val="single"/>
                <w:lang w:val="fr-FR" w:eastAsia="fr-FR"/>
              </w:rPr>
              <w:t>cis:trans</w:t>
            </w:r>
            <w:proofErr w:type="gramEnd"/>
          </w:p>
          <w:p w14:paraId="24DA9352" w14:textId="77777777" w:rsidR="00FC1D49" w:rsidRPr="00ED68BA" w:rsidRDefault="00FC1D49" w:rsidP="00AD0582">
            <w:pPr>
              <w:widowControl w:val="0"/>
              <w:rPr>
                <w:rFonts w:cs="Arial"/>
                <w:iCs/>
                <w:lang w:val="fr-FR" w:eastAsia="fr-FR"/>
              </w:rPr>
            </w:pPr>
            <w:r w:rsidRPr="00ED68BA">
              <w:rPr>
                <w:rFonts w:cs="Arial"/>
                <w:iCs/>
                <w:lang w:val="fr-FR" w:eastAsia="fr-FR"/>
              </w:rPr>
              <w:t>GC-MS</w:t>
            </w:r>
          </w:p>
          <w:p w14:paraId="705267DC" w14:textId="77777777" w:rsidR="00FC1D49" w:rsidRPr="00FD7F3B" w:rsidRDefault="00FC1D49" w:rsidP="00AD0582">
            <w:pPr>
              <w:widowControl w:val="0"/>
              <w:rPr>
                <w:rFonts w:cs="Arial"/>
                <w:b/>
                <w:iCs/>
                <w:lang w:val="fr-FR" w:eastAsia="fr-FR"/>
              </w:rPr>
            </w:pPr>
            <w:r w:rsidRPr="00ED68BA">
              <w:rPr>
                <w:rFonts w:cs="Arial"/>
                <w:b/>
                <w:iCs/>
                <w:lang w:val="fr-FR" w:eastAsia="fr-FR"/>
              </w:rPr>
              <w:t xml:space="preserve">LOQ 0.05 mg/kg </w:t>
            </w:r>
          </w:p>
        </w:tc>
      </w:tr>
      <w:tr w:rsidR="00FC1D49" w:rsidRPr="00112DD6" w14:paraId="7DCFC909" w14:textId="77777777" w:rsidTr="003B2B14">
        <w:tc>
          <w:tcPr>
            <w:tcW w:w="4253" w:type="dxa"/>
          </w:tcPr>
          <w:p w14:paraId="2A7B552B" w14:textId="77777777" w:rsidR="00FC1D49" w:rsidRPr="00685696" w:rsidRDefault="00FC1D49" w:rsidP="00AD0582">
            <w:pPr>
              <w:rPr>
                <w:rFonts w:cs="Arial"/>
              </w:rPr>
            </w:pPr>
            <w:r w:rsidRPr="00685696">
              <w:rPr>
                <w:rFonts w:cs="Arial"/>
              </w:rPr>
              <w:t>Air (principle of method and LOQ)</w:t>
            </w:r>
          </w:p>
        </w:tc>
        <w:tc>
          <w:tcPr>
            <w:tcW w:w="4961" w:type="dxa"/>
          </w:tcPr>
          <w:p w14:paraId="587F1A67" w14:textId="77777777" w:rsidR="00FC1D49" w:rsidRPr="00685696" w:rsidRDefault="00FC1D49" w:rsidP="00AD0582">
            <w:pPr>
              <w:widowControl w:val="0"/>
              <w:rPr>
                <w:rFonts w:cs="Arial"/>
                <w:iCs/>
                <w:u w:val="single"/>
                <w:lang w:val="fr-FR" w:eastAsia="fr-FR"/>
              </w:rPr>
            </w:pPr>
            <w:r w:rsidRPr="00685696">
              <w:rPr>
                <w:rFonts w:cs="Arial"/>
                <w:iCs/>
                <w:u w:val="single"/>
                <w:lang w:val="fr-FR" w:eastAsia="fr-FR"/>
              </w:rPr>
              <w:t xml:space="preserve">Cypermethrin 40:60 </w:t>
            </w:r>
            <w:proofErr w:type="gramStart"/>
            <w:r w:rsidRPr="00685696">
              <w:rPr>
                <w:rFonts w:cs="Arial"/>
                <w:iCs/>
                <w:u w:val="single"/>
                <w:lang w:val="fr-FR" w:eastAsia="fr-FR"/>
              </w:rPr>
              <w:t>cis:trans</w:t>
            </w:r>
            <w:proofErr w:type="gramEnd"/>
          </w:p>
          <w:p w14:paraId="1F24BBB5" w14:textId="77777777" w:rsidR="00FC1D49" w:rsidRPr="00685696" w:rsidRDefault="00FC1D49" w:rsidP="00AD0582">
            <w:pPr>
              <w:widowControl w:val="0"/>
              <w:rPr>
                <w:rFonts w:cs="Arial"/>
                <w:iCs/>
                <w:lang w:val="fr-FR" w:eastAsia="fr-FR"/>
              </w:rPr>
            </w:pPr>
            <w:r w:rsidRPr="00685696">
              <w:rPr>
                <w:rFonts w:cs="Arial"/>
                <w:iCs/>
                <w:lang w:val="fr-FR" w:eastAsia="fr-FR"/>
              </w:rPr>
              <w:t>GC-MS</w:t>
            </w:r>
          </w:p>
          <w:p w14:paraId="5F41E3DF" w14:textId="77777777" w:rsidR="00FC1D49" w:rsidRPr="00685696" w:rsidRDefault="00FC1D49" w:rsidP="00AD0582">
            <w:pPr>
              <w:widowControl w:val="0"/>
              <w:rPr>
                <w:rFonts w:cs="Arial"/>
                <w:b/>
                <w:iCs/>
                <w:lang w:val="fr-FR" w:eastAsia="fr-FR"/>
              </w:rPr>
            </w:pPr>
            <w:r w:rsidRPr="00685696">
              <w:rPr>
                <w:rFonts w:cs="Arial"/>
                <w:b/>
                <w:iCs/>
                <w:lang w:val="fr-FR" w:eastAsia="fr-FR"/>
              </w:rPr>
              <w:t xml:space="preserve">LOQ 0.375 </w:t>
            </w:r>
            <w:r w:rsidRPr="00685696">
              <w:rPr>
                <w:rFonts w:cs="Arial"/>
                <w:b/>
                <w:iCs/>
                <w:lang w:eastAsia="fr-FR"/>
              </w:rPr>
              <w:t>μ</w:t>
            </w:r>
            <w:r w:rsidRPr="00685696">
              <w:rPr>
                <w:rFonts w:cs="Arial"/>
                <w:b/>
                <w:iCs/>
                <w:lang w:val="fr-FR" w:eastAsia="fr-FR"/>
              </w:rPr>
              <w:t>g/m</w:t>
            </w:r>
            <w:r w:rsidRPr="00685696">
              <w:rPr>
                <w:rFonts w:cs="Arial"/>
                <w:b/>
                <w:iCs/>
                <w:vertAlign w:val="superscript"/>
                <w:lang w:val="fr-FR" w:eastAsia="fr-FR"/>
              </w:rPr>
              <w:t>3</w:t>
            </w:r>
          </w:p>
        </w:tc>
      </w:tr>
      <w:tr w:rsidR="00FC1D49" w:rsidRPr="00112DD6" w14:paraId="49864491" w14:textId="77777777" w:rsidTr="003B2B14">
        <w:trPr>
          <w:trHeight w:val="627"/>
        </w:trPr>
        <w:tc>
          <w:tcPr>
            <w:tcW w:w="4253" w:type="dxa"/>
          </w:tcPr>
          <w:p w14:paraId="2760551C" w14:textId="77777777" w:rsidR="00FC1D49" w:rsidRPr="00685696" w:rsidRDefault="00FC1D49" w:rsidP="00AD0582">
            <w:pPr>
              <w:rPr>
                <w:rFonts w:cs="Arial"/>
              </w:rPr>
            </w:pPr>
            <w:r w:rsidRPr="00685696">
              <w:rPr>
                <w:rFonts w:cs="Arial"/>
              </w:rPr>
              <w:t>Water (principle of method and LOQ)</w:t>
            </w:r>
          </w:p>
          <w:p w14:paraId="35ADC9F2" w14:textId="77777777" w:rsidR="00FC1D49" w:rsidRPr="00685696" w:rsidRDefault="00FC1D49" w:rsidP="00AD0582">
            <w:pPr>
              <w:rPr>
                <w:rFonts w:cs="Arial"/>
              </w:rPr>
            </w:pPr>
          </w:p>
          <w:p w14:paraId="67291A49" w14:textId="77777777" w:rsidR="00FC1D49" w:rsidRPr="00685696" w:rsidRDefault="00FC1D49" w:rsidP="00AD0582">
            <w:pPr>
              <w:rPr>
                <w:rFonts w:cs="Arial"/>
              </w:rPr>
            </w:pPr>
          </w:p>
        </w:tc>
        <w:tc>
          <w:tcPr>
            <w:tcW w:w="4961" w:type="dxa"/>
          </w:tcPr>
          <w:p w14:paraId="2EE24666" w14:textId="77777777" w:rsidR="00FC1D49" w:rsidRPr="00685696" w:rsidRDefault="00FC1D49" w:rsidP="00AD0582">
            <w:pPr>
              <w:widowControl w:val="0"/>
              <w:rPr>
                <w:rFonts w:cs="Arial"/>
                <w:iCs/>
                <w:u w:val="single"/>
                <w:lang w:val="fr-FR" w:eastAsia="fr-FR"/>
              </w:rPr>
            </w:pPr>
            <w:r w:rsidRPr="00685696">
              <w:rPr>
                <w:rFonts w:cs="Arial"/>
                <w:iCs/>
                <w:u w:val="single"/>
                <w:lang w:val="fr-FR" w:eastAsia="fr-FR"/>
              </w:rPr>
              <w:t xml:space="preserve">Cypermethrin 40:60 </w:t>
            </w:r>
            <w:proofErr w:type="gramStart"/>
            <w:r w:rsidRPr="00685696">
              <w:rPr>
                <w:rFonts w:cs="Arial"/>
                <w:iCs/>
                <w:u w:val="single"/>
                <w:lang w:val="fr-FR" w:eastAsia="fr-FR"/>
              </w:rPr>
              <w:t>cis:trans</w:t>
            </w:r>
            <w:proofErr w:type="gramEnd"/>
          </w:p>
          <w:p w14:paraId="39B395C4" w14:textId="77777777" w:rsidR="00FC1D49" w:rsidRPr="00685696" w:rsidRDefault="00FC1D49" w:rsidP="00AD0582">
            <w:pPr>
              <w:widowControl w:val="0"/>
              <w:rPr>
                <w:rFonts w:cs="Arial"/>
                <w:iCs/>
                <w:lang w:val="fr-FR" w:eastAsia="fr-FR"/>
              </w:rPr>
            </w:pPr>
            <w:r w:rsidRPr="00685696">
              <w:rPr>
                <w:rFonts w:cs="Arial"/>
                <w:iCs/>
                <w:lang w:val="fr-FR" w:eastAsia="fr-FR"/>
              </w:rPr>
              <w:t>GC-electron capture</w:t>
            </w:r>
          </w:p>
          <w:p w14:paraId="39854A75" w14:textId="77777777" w:rsidR="00FC1D49" w:rsidRPr="00685696" w:rsidRDefault="00FC1D49" w:rsidP="00AD0582">
            <w:pPr>
              <w:widowControl w:val="0"/>
              <w:rPr>
                <w:rFonts w:cs="Arial"/>
                <w:b/>
                <w:iCs/>
                <w:lang w:val="fr-FR" w:eastAsia="fr-FR"/>
              </w:rPr>
            </w:pPr>
            <w:r w:rsidRPr="00685696">
              <w:rPr>
                <w:rFonts w:cs="Arial"/>
                <w:b/>
                <w:iCs/>
                <w:lang w:val="fr-FR" w:eastAsia="fr-FR"/>
              </w:rPr>
              <w:t xml:space="preserve">LOQ 0.01 µg/L </w:t>
            </w:r>
          </w:p>
        </w:tc>
      </w:tr>
      <w:tr w:rsidR="00FC1D49" w:rsidRPr="00685696" w14:paraId="299E41EE" w14:textId="77777777" w:rsidTr="003B2B14">
        <w:tc>
          <w:tcPr>
            <w:tcW w:w="4253" w:type="dxa"/>
          </w:tcPr>
          <w:p w14:paraId="3F015541" w14:textId="77777777" w:rsidR="00FC1D49" w:rsidRPr="00685696" w:rsidRDefault="00FC1D49" w:rsidP="00AD0582">
            <w:pPr>
              <w:rPr>
                <w:rFonts w:eastAsiaTheme="minorHAnsi" w:cs="Arial"/>
                <w:color w:val="000000"/>
                <w:lang w:val="en-US" w:eastAsia="en-US"/>
              </w:rPr>
            </w:pPr>
            <w:r w:rsidRPr="00685696">
              <w:rPr>
                <w:rFonts w:eastAsiaTheme="minorHAnsi" w:cs="Arial"/>
                <w:color w:val="000000"/>
                <w:lang w:val="en-US" w:eastAsia="en-US"/>
              </w:rPr>
              <w:t>Body fluids and tissues (principle of method and LOQ)</w:t>
            </w:r>
          </w:p>
        </w:tc>
        <w:tc>
          <w:tcPr>
            <w:tcW w:w="4961" w:type="dxa"/>
          </w:tcPr>
          <w:p w14:paraId="31306BA4" w14:textId="77777777" w:rsidR="00FC1D49" w:rsidRPr="00685696" w:rsidRDefault="00FC1D49" w:rsidP="00AD0582">
            <w:pPr>
              <w:widowControl w:val="0"/>
              <w:rPr>
                <w:rFonts w:eastAsiaTheme="minorHAnsi" w:cs="Arial"/>
                <w:color w:val="000000"/>
                <w:lang w:val="en-US" w:eastAsia="en-US"/>
              </w:rPr>
            </w:pPr>
            <w:r w:rsidRPr="00685696">
              <w:rPr>
                <w:rFonts w:eastAsiaTheme="minorHAnsi" w:cs="Arial"/>
                <w:color w:val="000000"/>
                <w:lang w:val="en-US" w:eastAsia="en-US"/>
              </w:rPr>
              <w:t xml:space="preserve">Not required as </w:t>
            </w:r>
            <w:r w:rsidRPr="00685696">
              <w:rPr>
                <w:rFonts w:cs="Arial"/>
                <w:iCs/>
                <w:lang w:val="en-US" w:eastAsia="fr-FR"/>
              </w:rPr>
              <w:t>Cypermethrin</w:t>
            </w:r>
            <w:r w:rsidRPr="00685696">
              <w:rPr>
                <w:rFonts w:eastAsiaTheme="minorHAnsi" w:cs="Arial"/>
                <w:color w:val="000000"/>
                <w:lang w:val="en-US" w:eastAsia="en-US"/>
              </w:rPr>
              <w:t xml:space="preserve"> is not classified as toxic or highly toxic</w:t>
            </w:r>
          </w:p>
        </w:tc>
      </w:tr>
      <w:tr w:rsidR="00FC1D49" w:rsidRPr="00685696" w14:paraId="28D4B12A" w14:textId="77777777" w:rsidTr="003B2B14">
        <w:tc>
          <w:tcPr>
            <w:tcW w:w="4253" w:type="dxa"/>
          </w:tcPr>
          <w:p w14:paraId="375408A6" w14:textId="77777777" w:rsidR="00FC1D49" w:rsidRPr="00685696" w:rsidRDefault="00FC1D49" w:rsidP="00AD0582">
            <w:pPr>
              <w:rPr>
                <w:rFonts w:cs="Arial"/>
              </w:rPr>
            </w:pPr>
            <w:r w:rsidRPr="00685696">
              <w:rPr>
                <w:rFonts w:eastAsiaTheme="minorHAnsi" w:cs="Arial"/>
                <w:color w:val="000000"/>
                <w:lang w:val="en-US" w:eastAsia="en-US"/>
              </w:rPr>
              <w:t>Food/feed of plant origin (principle of method and LOQ for methods for monitoring purposes)</w:t>
            </w:r>
          </w:p>
        </w:tc>
        <w:tc>
          <w:tcPr>
            <w:tcW w:w="4961" w:type="dxa"/>
          </w:tcPr>
          <w:p w14:paraId="2DDCA332" w14:textId="77777777" w:rsidR="00FC1D49" w:rsidRPr="00B7552D" w:rsidRDefault="00FC1D49" w:rsidP="00AD0582">
            <w:pPr>
              <w:widowControl w:val="0"/>
              <w:rPr>
                <w:rFonts w:cs="Arial"/>
                <w:iCs/>
                <w:u w:val="single"/>
                <w:lang w:eastAsia="fr-FR"/>
              </w:rPr>
            </w:pPr>
            <w:r w:rsidRPr="00B7552D">
              <w:rPr>
                <w:rFonts w:cs="Arial"/>
                <w:iCs/>
                <w:u w:val="single"/>
                <w:lang w:eastAsia="fr-FR"/>
              </w:rPr>
              <w:t>Cypermethrin 40:60 cis:trans</w:t>
            </w:r>
          </w:p>
          <w:p w14:paraId="046D754F" w14:textId="77777777" w:rsidR="00FC1D49" w:rsidRPr="00B7552D" w:rsidRDefault="00FC1D49" w:rsidP="00AD0582">
            <w:pPr>
              <w:widowControl w:val="0"/>
              <w:rPr>
                <w:rFonts w:cs="Arial"/>
                <w:iCs/>
                <w:lang w:eastAsia="fr-FR"/>
              </w:rPr>
            </w:pPr>
            <w:r w:rsidRPr="00B7552D">
              <w:rPr>
                <w:rFonts w:cs="Arial"/>
                <w:iCs/>
                <w:lang w:eastAsia="fr-FR"/>
              </w:rPr>
              <w:t>GC-electron capture</w:t>
            </w:r>
          </w:p>
          <w:p w14:paraId="7639F764" w14:textId="77777777" w:rsidR="00FC1D49" w:rsidRPr="00685696" w:rsidRDefault="00FC1D49" w:rsidP="00AD0582">
            <w:pPr>
              <w:widowControl w:val="0"/>
              <w:rPr>
                <w:rFonts w:cs="Arial"/>
                <w:b/>
                <w:iCs/>
                <w:lang w:val="en-US" w:eastAsia="fr-FR"/>
              </w:rPr>
            </w:pPr>
            <w:r w:rsidRPr="00685696">
              <w:rPr>
                <w:rFonts w:cs="Arial"/>
                <w:b/>
                <w:iCs/>
                <w:lang w:val="en-US" w:eastAsia="fr-FR"/>
              </w:rPr>
              <w:t xml:space="preserve">LOD 0.05 mg/kg </w:t>
            </w:r>
            <w:r w:rsidRPr="00685696">
              <w:rPr>
                <w:rFonts w:cs="Arial"/>
                <w:iCs/>
                <w:lang w:val="en-US" w:eastAsia="fr-FR"/>
              </w:rPr>
              <w:t>(oilseed rape)</w:t>
            </w:r>
            <w:r w:rsidRPr="00685696">
              <w:rPr>
                <w:rFonts w:cs="Arial"/>
                <w:b/>
                <w:iCs/>
                <w:lang w:val="en-US" w:eastAsia="fr-FR"/>
              </w:rPr>
              <w:t xml:space="preserve"> 0.025 mg/kg </w:t>
            </w:r>
            <w:r w:rsidRPr="00685696">
              <w:rPr>
                <w:rFonts w:cs="Arial"/>
                <w:iCs/>
                <w:lang w:val="en-US" w:eastAsia="fr-FR"/>
              </w:rPr>
              <w:t>(wheat)</w:t>
            </w:r>
          </w:p>
        </w:tc>
      </w:tr>
      <w:tr w:rsidR="00FC1D49" w:rsidRPr="00685696" w14:paraId="2E41ADE6" w14:textId="77777777" w:rsidTr="003B2B14">
        <w:tc>
          <w:tcPr>
            <w:tcW w:w="4253" w:type="dxa"/>
          </w:tcPr>
          <w:p w14:paraId="029D593A" w14:textId="77777777" w:rsidR="00FC1D49" w:rsidRPr="00685696" w:rsidRDefault="00FC1D49" w:rsidP="00AD0582">
            <w:pPr>
              <w:rPr>
                <w:rFonts w:cs="Arial"/>
              </w:rPr>
            </w:pPr>
            <w:r w:rsidRPr="00685696">
              <w:rPr>
                <w:rFonts w:eastAsiaTheme="minorHAnsi" w:cs="Arial"/>
                <w:color w:val="000000"/>
                <w:lang w:val="en-US" w:eastAsia="en-US"/>
              </w:rPr>
              <w:t>Food/feed of animal origin (principle of method and LOQ for methods for monitoring purposes)</w:t>
            </w:r>
          </w:p>
        </w:tc>
        <w:tc>
          <w:tcPr>
            <w:tcW w:w="4961" w:type="dxa"/>
          </w:tcPr>
          <w:p w14:paraId="6974A5B0" w14:textId="77777777" w:rsidR="00FC1D49" w:rsidRPr="00685696" w:rsidRDefault="00FC1D49" w:rsidP="00AD0582">
            <w:pPr>
              <w:widowControl w:val="0"/>
              <w:rPr>
                <w:rFonts w:cs="Arial"/>
                <w:iCs/>
                <w:u w:val="single"/>
                <w:lang w:val="en-US" w:eastAsia="fr-FR"/>
              </w:rPr>
            </w:pPr>
            <w:r w:rsidRPr="00685696">
              <w:rPr>
                <w:rFonts w:cs="Arial"/>
                <w:iCs/>
                <w:u w:val="single"/>
                <w:lang w:val="en-US" w:eastAsia="fr-FR"/>
              </w:rPr>
              <w:t>Cypermethrin 40:60 cis:trans</w:t>
            </w:r>
          </w:p>
          <w:p w14:paraId="3B0543CE" w14:textId="77777777" w:rsidR="00FC1D49" w:rsidRPr="00685696" w:rsidRDefault="00FC1D49" w:rsidP="00AD0582">
            <w:pPr>
              <w:widowControl w:val="0"/>
              <w:rPr>
                <w:rFonts w:cs="Arial"/>
                <w:iCs/>
                <w:lang w:val="en-US" w:eastAsia="fr-FR"/>
              </w:rPr>
            </w:pPr>
            <w:r w:rsidRPr="00685696">
              <w:rPr>
                <w:rFonts w:cs="Arial"/>
                <w:iCs/>
                <w:lang w:val="en-US" w:eastAsia="fr-FR"/>
              </w:rPr>
              <w:t>GC-MS</w:t>
            </w:r>
          </w:p>
          <w:p w14:paraId="540711C6" w14:textId="77777777" w:rsidR="00FC1D49" w:rsidRPr="00685696" w:rsidRDefault="00FC1D49" w:rsidP="00AD0582">
            <w:pPr>
              <w:widowControl w:val="0"/>
              <w:rPr>
                <w:rFonts w:cs="Arial"/>
                <w:iCs/>
                <w:lang w:val="en-US" w:eastAsia="fr-FR"/>
              </w:rPr>
            </w:pPr>
            <w:r w:rsidRPr="00685696">
              <w:rPr>
                <w:rFonts w:cs="Arial"/>
                <w:b/>
                <w:iCs/>
                <w:lang w:val="en-US" w:eastAsia="fr-FR"/>
              </w:rPr>
              <w:t xml:space="preserve">LOQ 0.05 mg/kg </w:t>
            </w:r>
            <w:r w:rsidRPr="00685696">
              <w:rPr>
                <w:rFonts w:cs="Arial"/>
                <w:iCs/>
                <w:lang w:val="en-US" w:eastAsia="fr-FR"/>
              </w:rPr>
              <w:t xml:space="preserve">for bovine tissues, </w:t>
            </w:r>
            <w:r w:rsidRPr="00685696">
              <w:rPr>
                <w:rFonts w:cs="Arial"/>
                <w:b/>
                <w:iCs/>
                <w:lang w:val="en-US" w:eastAsia="fr-FR"/>
              </w:rPr>
              <w:t xml:space="preserve">0.005 mg/kg </w:t>
            </w:r>
            <w:r w:rsidRPr="00685696">
              <w:rPr>
                <w:rFonts w:cs="Arial"/>
                <w:iCs/>
                <w:lang w:val="en-US" w:eastAsia="fr-FR"/>
              </w:rPr>
              <w:t xml:space="preserve">for milk, </w:t>
            </w:r>
            <w:r w:rsidRPr="00685696">
              <w:rPr>
                <w:rFonts w:cs="Arial"/>
                <w:b/>
                <w:iCs/>
                <w:lang w:val="en-US" w:eastAsia="fr-FR"/>
              </w:rPr>
              <w:t>0.01 mg/kg</w:t>
            </w:r>
            <w:r w:rsidRPr="00685696">
              <w:rPr>
                <w:rFonts w:cs="Arial"/>
                <w:iCs/>
                <w:lang w:val="en-US" w:eastAsia="fr-FR"/>
              </w:rPr>
              <w:t xml:space="preserve"> for eggs</w:t>
            </w:r>
          </w:p>
        </w:tc>
      </w:tr>
    </w:tbl>
    <w:p w14:paraId="28B929A5" w14:textId="77777777" w:rsidR="00FC1D49" w:rsidRPr="00685696" w:rsidRDefault="00FC1D49" w:rsidP="00FC1D49">
      <w:pPr>
        <w:keepNext/>
        <w:tabs>
          <w:tab w:val="left" w:pos="1304"/>
        </w:tabs>
        <w:outlineLvl w:val="2"/>
        <w:rPr>
          <w:rFonts w:cs="Arial"/>
          <w:bCs/>
          <w:noProof/>
        </w:rPr>
      </w:pPr>
    </w:p>
    <w:p w14:paraId="627F77A8" w14:textId="77777777" w:rsidR="00FC1D49" w:rsidRPr="00685696" w:rsidRDefault="00FC1D49" w:rsidP="00FC1D49">
      <w:pPr>
        <w:keepNext/>
        <w:tabs>
          <w:tab w:val="left" w:pos="1304"/>
        </w:tabs>
        <w:outlineLvl w:val="2"/>
        <w:rPr>
          <w:rFonts w:cs="Arial"/>
          <w:bCs/>
          <w:noProof/>
        </w:rPr>
      </w:pPr>
      <w:r w:rsidRPr="00685696">
        <w:rPr>
          <w:rFonts w:cs="Arial"/>
          <w:bCs/>
          <w:noProof/>
        </w:rPr>
        <w:t>Methods for body fluids and tissues and food and feeding stuffs of plant origin are not required since cypermethrin is not classified as toxic or highly toxic and as the use pattern of product will not result in any contact with food or feeding stuff of plant origin.</w:t>
      </w:r>
    </w:p>
    <w:p w14:paraId="4F1E4444" w14:textId="77777777" w:rsidR="00FC1D49" w:rsidRPr="00685696" w:rsidRDefault="00FC1D49" w:rsidP="00FC1D49">
      <w:pPr>
        <w:pStyle w:val="Paragraphedeliste"/>
        <w:rPr>
          <w:rFonts w:cs="Arial"/>
          <w:b/>
          <w:bCs/>
          <w:szCs w:val="28"/>
        </w:rPr>
      </w:pPr>
    </w:p>
    <w:p w14:paraId="7A2CF0E7" w14:textId="77777777" w:rsidR="003B2B14" w:rsidRDefault="003B2B14" w:rsidP="00FC1D49">
      <w:pPr>
        <w:rPr>
          <w:rFonts w:cs="Arial"/>
          <w:b/>
          <w:u w:val="single"/>
          <w:lang w:eastAsia="de-DE"/>
        </w:rPr>
      </w:pPr>
    </w:p>
    <w:p w14:paraId="572DD58B" w14:textId="77777777" w:rsidR="00FC1D49" w:rsidRPr="00685696" w:rsidRDefault="00FC1D49" w:rsidP="00FC1D49">
      <w:pPr>
        <w:rPr>
          <w:rFonts w:cs="Arial"/>
        </w:rPr>
      </w:pPr>
      <w:r w:rsidRPr="00685696">
        <w:rPr>
          <w:rFonts w:cs="Arial"/>
          <w:b/>
          <w:u w:val="single"/>
          <w:lang w:eastAsia="de-DE"/>
        </w:rPr>
        <w:t>Summary for IPBC:</w:t>
      </w:r>
    </w:p>
    <w:tbl>
      <w:tblPr>
        <w:tblpPr w:leftFromText="141" w:rightFromText="141" w:vertAnchor="text" w:horzAnchor="margin" w:tblpX="108"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7"/>
        <w:gridCol w:w="4927"/>
      </w:tblGrid>
      <w:tr w:rsidR="00FC1D49" w:rsidRPr="00685696" w14:paraId="4C03BA90" w14:textId="77777777" w:rsidTr="003B2B14">
        <w:tc>
          <w:tcPr>
            <w:tcW w:w="4287" w:type="dxa"/>
          </w:tcPr>
          <w:p w14:paraId="14662478" w14:textId="77777777" w:rsidR="00FC1D49" w:rsidRPr="00685696" w:rsidRDefault="00FC1D49" w:rsidP="003B2B14">
            <w:pPr>
              <w:rPr>
                <w:rFonts w:cs="Arial"/>
                <w:lang w:eastAsia="de-DE"/>
              </w:rPr>
            </w:pPr>
          </w:p>
        </w:tc>
        <w:tc>
          <w:tcPr>
            <w:tcW w:w="4927" w:type="dxa"/>
          </w:tcPr>
          <w:p w14:paraId="2D91C372" w14:textId="77777777" w:rsidR="00FC1D49" w:rsidRPr="00685696" w:rsidRDefault="00FC1D49" w:rsidP="003B2B14">
            <w:pPr>
              <w:rPr>
                <w:rFonts w:cs="Arial"/>
                <w:lang w:eastAsia="de-DE"/>
              </w:rPr>
            </w:pPr>
            <w:r w:rsidRPr="00685696">
              <w:rPr>
                <w:rFonts w:cs="Arial"/>
                <w:lang w:eastAsia="de-DE"/>
              </w:rPr>
              <w:t>Principle of method</w:t>
            </w:r>
          </w:p>
        </w:tc>
      </w:tr>
      <w:tr w:rsidR="00FC1D49" w:rsidRPr="00685696" w14:paraId="3635033D" w14:textId="77777777" w:rsidTr="003B2B14">
        <w:tc>
          <w:tcPr>
            <w:tcW w:w="4287" w:type="dxa"/>
          </w:tcPr>
          <w:p w14:paraId="46191176" w14:textId="77777777" w:rsidR="00FC1D49" w:rsidRPr="00685696" w:rsidRDefault="00FC1D49" w:rsidP="003B2B14">
            <w:pPr>
              <w:rPr>
                <w:rFonts w:cs="Arial"/>
                <w:lang w:eastAsia="de-DE"/>
              </w:rPr>
            </w:pPr>
            <w:r w:rsidRPr="00685696">
              <w:rPr>
                <w:rFonts w:cs="Arial"/>
                <w:lang w:eastAsia="de-DE"/>
              </w:rPr>
              <w:t xml:space="preserve">Technical active substance as manufactured: </w:t>
            </w:r>
          </w:p>
        </w:tc>
        <w:tc>
          <w:tcPr>
            <w:tcW w:w="4927" w:type="dxa"/>
          </w:tcPr>
          <w:p w14:paraId="4ABFABF7" w14:textId="77777777" w:rsidR="00FC1D49" w:rsidRPr="00685696" w:rsidRDefault="00FC1D49" w:rsidP="003B2B14">
            <w:pPr>
              <w:rPr>
                <w:rFonts w:cs="Arial"/>
                <w:lang w:val="en-US" w:eastAsia="de-DE"/>
              </w:rPr>
            </w:pPr>
            <w:r w:rsidRPr="00685696">
              <w:rPr>
                <w:rFonts w:eastAsiaTheme="minorHAnsi" w:cs="Arial"/>
                <w:lang w:val="en-US" w:eastAsia="en-US"/>
              </w:rPr>
              <w:t>HPLC-UV and GC-FID</w:t>
            </w:r>
          </w:p>
        </w:tc>
      </w:tr>
      <w:tr w:rsidR="00FC1D49" w:rsidRPr="00685696" w14:paraId="74661C7F" w14:textId="77777777" w:rsidTr="003B2B14">
        <w:tc>
          <w:tcPr>
            <w:tcW w:w="4287" w:type="dxa"/>
          </w:tcPr>
          <w:p w14:paraId="2ACA1334" w14:textId="77777777" w:rsidR="00FC1D49" w:rsidRPr="00685696" w:rsidRDefault="00FC1D49" w:rsidP="003B2B14">
            <w:pPr>
              <w:rPr>
                <w:rFonts w:cs="Arial"/>
                <w:lang w:eastAsia="de-DE"/>
              </w:rPr>
            </w:pPr>
            <w:r w:rsidRPr="00685696">
              <w:rPr>
                <w:rFonts w:cs="Arial"/>
                <w:lang w:eastAsia="de-DE"/>
              </w:rPr>
              <w:t xml:space="preserve">Impurities in technical active substance: </w:t>
            </w:r>
          </w:p>
        </w:tc>
        <w:tc>
          <w:tcPr>
            <w:tcW w:w="4927" w:type="dxa"/>
          </w:tcPr>
          <w:p w14:paraId="254F75C7" w14:textId="77777777" w:rsidR="00FC1D49" w:rsidRPr="00685696" w:rsidRDefault="00FC1D49" w:rsidP="003B2B14">
            <w:pPr>
              <w:rPr>
                <w:rFonts w:cs="Arial"/>
                <w:lang w:eastAsia="de-DE"/>
              </w:rPr>
            </w:pPr>
            <w:r w:rsidRPr="00685696">
              <w:rPr>
                <w:rFonts w:eastAsiaTheme="minorHAnsi" w:cs="Arial"/>
                <w:lang w:val="en-US" w:eastAsia="en-US"/>
              </w:rPr>
              <w:t>HPLC-UV and GC-FID</w:t>
            </w:r>
          </w:p>
        </w:tc>
      </w:tr>
    </w:tbl>
    <w:p w14:paraId="0C601FBD" w14:textId="77777777" w:rsidR="00FC1D49" w:rsidRPr="00685696" w:rsidRDefault="00FC1D49" w:rsidP="00FC1D49">
      <w:pPr>
        <w:rPr>
          <w:rFonts w:cs="Arial"/>
          <w:b/>
        </w:rPr>
      </w:pPr>
    </w:p>
    <w:p w14:paraId="2F86B041" w14:textId="77777777" w:rsidR="00FC1D49" w:rsidRPr="00685696" w:rsidRDefault="00FC1D49" w:rsidP="00FC1D49">
      <w:pPr>
        <w:tabs>
          <w:tab w:val="left" w:pos="1785"/>
        </w:tabs>
        <w:rPr>
          <w:rFonts w:cs="Arial"/>
          <w:b/>
          <w:u w:val="single"/>
          <w:lang w:eastAsia="de-D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961"/>
      </w:tblGrid>
      <w:tr w:rsidR="00FC1D49" w:rsidRPr="00685696" w14:paraId="06A48FB1" w14:textId="77777777" w:rsidTr="003B2B14">
        <w:tc>
          <w:tcPr>
            <w:tcW w:w="4253" w:type="dxa"/>
          </w:tcPr>
          <w:p w14:paraId="5D246E46" w14:textId="77777777" w:rsidR="00FC1D49" w:rsidRPr="00685696" w:rsidRDefault="00FC1D49" w:rsidP="00AD0582">
            <w:pPr>
              <w:rPr>
                <w:rFonts w:cs="Arial"/>
              </w:rPr>
            </w:pPr>
            <w:r w:rsidRPr="00685696">
              <w:rPr>
                <w:rFonts w:cs="Arial"/>
              </w:rPr>
              <w:t>Soil (principle of method and LOQ)</w:t>
            </w:r>
          </w:p>
        </w:tc>
        <w:tc>
          <w:tcPr>
            <w:tcW w:w="4961" w:type="dxa"/>
          </w:tcPr>
          <w:p w14:paraId="59A76A44" w14:textId="77777777" w:rsidR="00FC1D49" w:rsidRPr="00685696" w:rsidRDefault="00FC1D49" w:rsidP="00AD0582">
            <w:pPr>
              <w:widowControl w:val="0"/>
              <w:rPr>
                <w:rFonts w:cs="Arial"/>
                <w:b/>
                <w:iCs/>
                <w:lang w:eastAsia="fr-FR"/>
              </w:rPr>
            </w:pPr>
            <w:r w:rsidRPr="00685696">
              <w:rPr>
                <w:rFonts w:cs="Arial"/>
              </w:rPr>
              <w:t>IPBC/PBC: HPLC-MS/MS, LOQ = 0.01 mg/kg</w:t>
            </w:r>
          </w:p>
        </w:tc>
      </w:tr>
      <w:tr w:rsidR="00FC1D49" w:rsidRPr="00685696" w14:paraId="6A46BAE7" w14:textId="77777777" w:rsidTr="003B2B14">
        <w:tc>
          <w:tcPr>
            <w:tcW w:w="4253" w:type="dxa"/>
          </w:tcPr>
          <w:p w14:paraId="72293CBC" w14:textId="77777777" w:rsidR="00FC1D49" w:rsidRPr="00685696" w:rsidRDefault="00FC1D49" w:rsidP="00AD0582">
            <w:pPr>
              <w:rPr>
                <w:rFonts w:cs="Arial"/>
              </w:rPr>
            </w:pPr>
            <w:r w:rsidRPr="00685696">
              <w:rPr>
                <w:rFonts w:cs="Arial"/>
              </w:rPr>
              <w:t>Air (principle of method and LOQ)</w:t>
            </w:r>
          </w:p>
        </w:tc>
        <w:tc>
          <w:tcPr>
            <w:tcW w:w="4961" w:type="dxa"/>
          </w:tcPr>
          <w:p w14:paraId="330BE46B" w14:textId="77777777" w:rsidR="00FC1D49" w:rsidRPr="00685696" w:rsidRDefault="00FC1D49" w:rsidP="00AD0582">
            <w:pPr>
              <w:widowControl w:val="0"/>
              <w:rPr>
                <w:rFonts w:cs="Arial"/>
                <w:b/>
                <w:iCs/>
                <w:lang w:eastAsia="fr-FR"/>
              </w:rPr>
            </w:pPr>
            <w:r w:rsidRPr="00685696">
              <w:rPr>
                <w:rFonts w:cs="Arial"/>
              </w:rPr>
              <w:t>Not necessary, IPBC is not volatile and spray applications only involve non-respirable particles.</w:t>
            </w:r>
          </w:p>
        </w:tc>
      </w:tr>
      <w:tr w:rsidR="00FC1D49" w:rsidRPr="00685696" w14:paraId="6B136642" w14:textId="77777777" w:rsidTr="003B2B14">
        <w:trPr>
          <w:trHeight w:val="627"/>
        </w:trPr>
        <w:tc>
          <w:tcPr>
            <w:tcW w:w="4253" w:type="dxa"/>
          </w:tcPr>
          <w:p w14:paraId="367D2E8C" w14:textId="77777777" w:rsidR="00FC1D49" w:rsidRPr="00685696" w:rsidRDefault="00FC1D49" w:rsidP="00AD0582">
            <w:pPr>
              <w:rPr>
                <w:rFonts w:cs="Arial"/>
              </w:rPr>
            </w:pPr>
            <w:r w:rsidRPr="00685696">
              <w:rPr>
                <w:rFonts w:cs="Arial"/>
              </w:rPr>
              <w:t>Water (principle of method and LOQ)</w:t>
            </w:r>
          </w:p>
          <w:p w14:paraId="7B6F89A5" w14:textId="77777777" w:rsidR="00FC1D49" w:rsidRPr="00685696" w:rsidRDefault="00FC1D49" w:rsidP="00AD0582">
            <w:pPr>
              <w:rPr>
                <w:rFonts w:cs="Arial"/>
              </w:rPr>
            </w:pPr>
          </w:p>
          <w:p w14:paraId="01008884" w14:textId="77777777" w:rsidR="00FC1D49" w:rsidRPr="00685696" w:rsidRDefault="00FC1D49" w:rsidP="00AD0582">
            <w:pPr>
              <w:rPr>
                <w:rFonts w:cs="Arial"/>
              </w:rPr>
            </w:pPr>
          </w:p>
        </w:tc>
        <w:tc>
          <w:tcPr>
            <w:tcW w:w="4961" w:type="dxa"/>
          </w:tcPr>
          <w:p w14:paraId="0C81CFF3" w14:textId="77777777" w:rsidR="00FC1D49" w:rsidRPr="00685696" w:rsidRDefault="00FC1D49" w:rsidP="00AD0582">
            <w:pPr>
              <w:widowControl w:val="0"/>
              <w:rPr>
                <w:rFonts w:cs="Arial"/>
                <w:b/>
                <w:iCs/>
                <w:lang w:val="fr-FR" w:eastAsia="fr-FR"/>
              </w:rPr>
            </w:pPr>
            <w:r w:rsidRPr="00685696">
              <w:rPr>
                <w:rFonts w:cs="Arial"/>
              </w:rPr>
              <w:t>IPBC/PBC: Both for surface water, ground water and drinking water. HPLC-MS/MS, LOQ = 0.1 µg/L</w:t>
            </w:r>
          </w:p>
        </w:tc>
      </w:tr>
      <w:tr w:rsidR="00FC1D49" w:rsidRPr="00685696" w14:paraId="71824F95" w14:textId="77777777" w:rsidTr="003B2B14">
        <w:tc>
          <w:tcPr>
            <w:tcW w:w="4253" w:type="dxa"/>
          </w:tcPr>
          <w:p w14:paraId="6246D42B" w14:textId="77777777" w:rsidR="00FC1D49" w:rsidRPr="00685696" w:rsidRDefault="00FC1D49" w:rsidP="00AD0582">
            <w:pPr>
              <w:rPr>
                <w:rFonts w:eastAsiaTheme="minorHAnsi" w:cs="Arial"/>
                <w:color w:val="000000"/>
                <w:lang w:val="en-US" w:eastAsia="en-US"/>
              </w:rPr>
            </w:pPr>
            <w:r w:rsidRPr="00685696">
              <w:rPr>
                <w:rFonts w:eastAsiaTheme="minorHAnsi" w:cs="Arial"/>
                <w:color w:val="000000"/>
                <w:lang w:val="en-US" w:eastAsia="en-US"/>
              </w:rPr>
              <w:t>Body fluids and tissues (principle of method and LOQ)</w:t>
            </w:r>
          </w:p>
        </w:tc>
        <w:tc>
          <w:tcPr>
            <w:tcW w:w="4961" w:type="dxa"/>
          </w:tcPr>
          <w:p w14:paraId="5246644A" w14:textId="77777777" w:rsidR="00FC1D49" w:rsidRPr="00685696" w:rsidRDefault="00FC1D49" w:rsidP="00AD0582">
            <w:pPr>
              <w:widowControl w:val="0"/>
              <w:rPr>
                <w:rFonts w:eastAsiaTheme="minorHAnsi" w:cs="Arial"/>
                <w:color w:val="000000"/>
                <w:lang w:val="en-US" w:eastAsia="en-US"/>
              </w:rPr>
            </w:pPr>
            <w:r w:rsidRPr="00685696">
              <w:rPr>
                <w:rFonts w:cs="Arial"/>
              </w:rPr>
              <w:t xml:space="preserve">Relevant residues for monitoring human body fluid and tissues were PBC and IPBC. In blood and muscle IPBC degraded rapidly (to PBC) and it was not possible to determine IPBC residues above 70%. Analysis was done by HPLC using </w:t>
            </w:r>
            <w:r w:rsidRPr="00685696">
              <w:rPr>
                <w:rFonts w:cs="Arial"/>
              </w:rPr>
              <w:lastRenderedPageBreak/>
              <w:t>reversedphase liquid chromatography and a water / methanol gradient on a C18-column. Detection was made with a MS/MS system using positive electrospray ionisation. LOQ for PBC and IPBC in urine and blood at 0.05 mg/L. LOQ for PBC and IPBC in meat at 0.1 mg/L.</w:t>
            </w:r>
          </w:p>
        </w:tc>
      </w:tr>
      <w:tr w:rsidR="00FC1D49" w:rsidRPr="00685696" w14:paraId="0220687D" w14:textId="77777777" w:rsidTr="003B2B14">
        <w:tc>
          <w:tcPr>
            <w:tcW w:w="4253" w:type="dxa"/>
          </w:tcPr>
          <w:p w14:paraId="2F340C21" w14:textId="77777777" w:rsidR="00FC1D49" w:rsidRPr="00685696" w:rsidRDefault="00FC1D49" w:rsidP="00AD0582">
            <w:pPr>
              <w:rPr>
                <w:rFonts w:cs="Arial"/>
              </w:rPr>
            </w:pPr>
            <w:r w:rsidRPr="00685696">
              <w:rPr>
                <w:rFonts w:eastAsiaTheme="minorHAnsi" w:cs="Arial"/>
                <w:color w:val="000000"/>
                <w:lang w:val="en-US" w:eastAsia="en-US"/>
              </w:rPr>
              <w:lastRenderedPageBreak/>
              <w:t>Food/feed of plant origin (principle of method and LOQ for methods for monitoring purposes)</w:t>
            </w:r>
          </w:p>
        </w:tc>
        <w:tc>
          <w:tcPr>
            <w:tcW w:w="4961" w:type="dxa"/>
          </w:tcPr>
          <w:p w14:paraId="7AC21158" w14:textId="77777777" w:rsidR="00FC1D49" w:rsidRPr="00685696" w:rsidRDefault="00FC1D49" w:rsidP="00AD0582">
            <w:pPr>
              <w:widowControl w:val="0"/>
              <w:rPr>
                <w:rFonts w:cs="Arial"/>
                <w:b/>
                <w:iCs/>
                <w:lang w:val="en-US" w:eastAsia="fr-FR"/>
              </w:rPr>
            </w:pPr>
            <w:r w:rsidRPr="00685696">
              <w:rPr>
                <w:color w:val="000000"/>
              </w:rPr>
              <w:t>Not necessary, IPBC-based wood preservation products or materials treated with such products are not used in a manner which may cause contact with such materials.</w:t>
            </w:r>
          </w:p>
        </w:tc>
      </w:tr>
      <w:tr w:rsidR="00FC1D49" w:rsidRPr="00685696" w14:paraId="536DA6DC" w14:textId="77777777" w:rsidTr="003B2B14">
        <w:tc>
          <w:tcPr>
            <w:tcW w:w="4253" w:type="dxa"/>
          </w:tcPr>
          <w:p w14:paraId="30553F47" w14:textId="77777777" w:rsidR="00FC1D49" w:rsidRPr="00685696" w:rsidRDefault="00FC1D49" w:rsidP="00AD0582">
            <w:pPr>
              <w:rPr>
                <w:rFonts w:cs="Arial"/>
              </w:rPr>
            </w:pPr>
            <w:r w:rsidRPr="00685696">
              <w:rPr>
                <w:rFonts w:eastAsiaTheme="minorHAnsi" w:cs="Arial"/>
                <w:color w:val="000000"/>
                <w:lang w:val="en-US" w:eastAsia="en-US"/>
              </w:rPr>
              <w:t>Food/feed of animal origin (principle of method and LOQ for methods for monitoring purposes)</w:t>
            </w:r>
          </w:p>
        </w:tc>
        <w:tc>
          <w:tcPr>
            <w:tcW w:w="4961" w:type="dxa"/>
          </w:tcPr>
          <w:p w14:paraId="516965A7" w14:textId="77777777" w:rsidR="00FC1D49" w:rsidRPr="00685696" w:rsidRDefault="00FC1D49" w:rsidP="00AD0582">
            <w:pPr>
              <w:widowControl w:val="0"/>
              <w:rPr>
                <w:rFonts w:cs="Arial"/>
                <w:iCs/>
                <w:lang w:val="en-US" w:eastAsia="fr-FR"/>
              </w:rPr>
            </w:pPr>
            <w:r w:rsidRPr="00685696">
              <w:rPr>
                <w:color w:val="000000"/>
              </w:rPr>
              <w:t>Not necessary, IPBC-based wood preservation products or materials treated with such products are not used in a manner which may cause contact with such materials.</w:t>
            </w:r>
          </w:p>
        </w:tc>
      </w:tr>
    </w:tbl>
    <w:p w14:paraId="30A7350B" w14:textId="77777777" w:rsidR="00FC1D49" w:rsidRPr="00685696" w:rsidRDefault="00FC1D49" w:rsidP="00FC1D49">
      <w:pPr>
        <w:keepNext/>
        <w:tabs>
          <w:tab w:val="left" w:pos="1304"/>
        </w:tabs>
        <w:outlineLvl w:val="2"/>
        <w:rPr>
          <w:rFonts w:cs="Arial"/>
          <w:bCs/>
          <w:noProof/>
        </w:rPr>
      </w:pPr>
    </w:p>
    <w:p w14:paraId="19AAA8C9" w14:textId="77777777" w:rsidR="00FC1D49" w:rsidRPr="00685696" w:rsidRDefault="00FC1D49" w:rsidP="00FC1D49">
      <w:pPr>
        <w:keepNext/>
        <w:tabs>
          <w:tab w:val="left" w:pos="1304"/>
        </w:tabs>
        <w:outlineLvl w:val="2"/>
        <w:rPr>
          <w:rFonts w:cs="Arial"/>
          <w:bCs/>
          <w:noProof/>
        </w:rPr>
      </w:pPr>
      <w:r w:rsidRPr="00685696">
        <w:rPr>
          <w:rFonts w:cs="Arial"/>
          <w:bCs/>
          <w:noProof/>
        </w:rPr>
        <w:t>Since the active substance is toxic, an analytical method for body fluids and tissues is required and is available in the CAR of the active substance. Methods for food and feeding stuffs of plant origin are not required since the use pattern of product will not result in any contact with food or feeding stuff of plant origin.</w:t>
      </w:r>
    </w:p>
    <w:p w14:paraId="4319ECEE" w14:textId="77777777" w:rsidR="00FC1D49" w:rsidRPr="00685696" w:rsidRDefault="00FC1D49" w:rsidP="00FC1D49">
      <w:pPr>
        <w:keepNext/>
        <w:tabs>
          <w:tab w:val="left" w:pos="1304"/>
        </w:tabs>
        <w:outlineLvl w:val="2"/>
        <w:rPr>
          <w:rFonts w:cs="Arial"/>
          <w:bCs/>
          <w:noProof/>
        </w:rPr>
      </w:pPr>
    </w:p>
    <w:p w14:paraId="54A32BFE" w14:textId="77777777" w:rsidR="00FC1D49" w:rsidRDefault="00FC1D49" w:rsidP="00FC1D49">
      <w:pPr>
        <w:pStyle w:val="Paragraphedeliste"/>
        <w:rPr>
          <w:rFonts w:cs="Arial"/>
          <w:b/>
          <w:bCs/>
          <w:szCs w:val="28"/>
          <w:highlight w:val="yellow"/>
        </w:rPr>
      </w:pPr>
    </w:p>
    <w:p w14:paraId="12DB9EB2" w14:textId="074BFB57" w:rsidR="00FC1D49" w:rsidRPr="00685696" w:rsidRDefault="00FC1D49" w:rsidP="00FC1D49">
      <w:pPr>
        <w:rPr>
          <w:rFonts w:cs="Arial"/>
        </w:rPr>
      </w:pPr>
      <w:r w:rsidRPr="00685696">
        <w:rPr>
          <w:rFonts w:cs="Arial"/>
          <w:b/>
          <w:u w:val="single"/>
          <w:lang w:eastAsia="de-DE"/>
        </w:rPr>
        <w:t>Summary for tebuconazole:</w:t>
      </w:r>
    </w:p>
    <w:tbl>
      <w:tblPr>
        <w:tblpPr w:leftFromText="141" w:rightFromText="141" w:vertAnchor="text" w:horzAnchor="margin" w:tblpY="17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927"/>
      </w:tblGrid>
      <w:tr w:rsidR="00FC1D49" w:rsidRPr="00685696" w14:paraId="4C56CB90" w14:textId="77777777" w:rsidTr="00AD0582">
        <w:tc>
          <w:tcPr>
            <w:tcW w:w="4395" w:type="dxa"/>
          </w:tcPr>
          <w:p w14:paraId="0E63C9F7" w14:textId="77777777" w:rsidR="00FC1D49" w:rsidRPr="00685696" w:rsidRDefault="00FC1D49" w:rsidP="00AD0582">
            <w:pPr>
              <w:rPr>
                <w:rFonts w:cs="Arial"/>
                <w:lang w:eastAsia="de-DE"/>
              </w:rPr>
            </w:pPr>
          </w:p>
        </w:tc>
        <w:tc>
          <w:tcPr>
            <w:tcW w:w="4927" w:type="dxa"/>
          </w:tcPr>
          <w:p w14:paraId="2547BE28" w14:textId="77777777" w:rsidR="00FC1D49" w:rsidRPr="00685696" w:rsidRDefault="00FC1D49" w:rsidP="00AD0582">
            <w:pPr>
              <w:rPr>
                <w:rFonts w:cs="Arial"/>
                <w:lang w:eastAsia="de-DE"/>
              </w:rPr>
            </w:pPr>
            <w:r w:rsidRPr="00685696">
              <w:rPr>
                <w:rFonts w:cs="Arial"/>
                <w:lang w:eastAsia="de-DE"/>
              </w:rPr>
              <w:t>Principle of method</w:t>
            </w:r>
          </w:p>
        </w:tc>
      </w:tr>
      <w:tr w:rsidR="00FC1D49" w:rsidRPr="00685696" w14:paraId="32142890" w14:textId="77777777" w:rsidTr="00AD0582">
        <w:tc>
          <w:tcPr>
            <w:tcW w:w="4395" w:type="dxa"/>
          </w:tcPr>
          <w:p w14:paraId="38CC34A5" w14:textId="77777777" w:rsidR="00FC1D49" w:rsidRPr="00685696" w:rsidRDefault="00FC1D49" w:rsidP="00AD0582">
            <w:pPr>
              <w:rPr>
                <w:rFonts w:cs="Arial"/>
                <w:lang w:eastAsia="de-DE"/>
              </w:rPr>
            </w:pPr>
            <w:r w:rsidRPr="00685696">
              <w:rPr>
                <w:rFonts w:cs="Arial"/>
                <w:lang w:eastAsia="de-DE"/>
              </w:rPr>
              <w:t xml:space="preserve">Technical active substance as manufactured: </w:t>
            </w:r>
          </w:p>
        </w:tc>
        <w:tc>
          <w:tcPr>
            <w:tcW w:w="4927" w:type="dxa"/>
          </w:tcPr>
          <w:p w14:paraId="0D0C75E9" w14:textId="77777777" w:rsidR="00FC1D49" w:rsidRPr="00685696" w:rsidRDefault="00FC1D49" w:rsidP="00AD0582">
            <w:pPr>
              <w:rPr>
                <w:rFonts w:cs="Arial"/>
                <w:lang w:val="en-US" w:eastAsia="de-DE"/>
              </w:rPr>
            </w:pPr>
            <w:r w:rsidRPr="00685696">
              <w:rPr>
                <w:rFonts w:eastAsiaTheme="minorHAnsi" w:cs="Arial"/>
                <w:lang w:val="en-US" w:eastAsia="en-US"/>
              </w:rPr>
              <w:t>GC-FID</w:t>
            </w:r>
          </w:p>
        </w:tc>
      </w:tr>
      <w:tr w:rsidR="00FC1D49" w:rsidRPr="00685696" w14:paraId="42FE88C1" w14:textId="77777777" w:rsidTr="00AD0582">
        <w:tc>
          <w:tcPr>
            <w:tcW w:w="4395" w:type="dxa"/>
          </w:tcPr>
          <w:p w14:paraId="4A64E9A3" w14:textId="77777777" w:rsidR="00FC1D49" w:rsidRPr="00685696" w:rsidRDefault="00FC1D49" w:rsidP="00AD0582">
            <w:pPr>
              <w:rPr>
                <w:rFonts w:cs="Arial"/>
                <w:lang w:eastAsia="de-DE"/>
              </w:rPr>
            </w:pPr>
            <w:r w:rsidRPr="00685696">
              <w:rPr>
                <w:rFonts w:cs="Arial"/>
                <w:lang w:eastAsia="de-DE"/>
              </w:rPr>
              <w:t xml:space="preserve">Impurities in technical active substance: </w:t>
            </w:r>
          </w:p>
        </w:tc>
        <w:tc>
          <w:tcPr>
            <w:tcW w:w="4927" w:type="dxa"/>
          </w:tcPr>
          <w:p w14:paraId="1C63FD71" w14:textId="77777777" w:rsidR="00FC1D49" w:rsidRPr="00685696" w:rsidRDefault="00FC1D49" w:rsidP="00AD0582">
            <w:pPr>
              <w:rPr>
                <w:rFonts w:cs="Arial"/>
                <w:lang w:eastAsia="de-DE"/>
              </w:rPr>
            </w:pPr>
            <w:r w:rsidRPr="00685696">
              <w:rPr>
                <w:rFonts w:eastAsiaTheme="minorHAnsi" w:cs="Arial"/>
                <w:lang w:val="en-US" w:eastAsia="en-US"/>
              </w:rPr>
              <w:t>GC-FID</w:t>
            </w:r>
          </w:p>
        </w:tc>
      </w:tr>
    </w:tbl>
    <w:p w14:paraId="39D13080" w14:textId="77777777" w:rsidR="00FC1D49" w:rsidRPr="00685696" w:rsidRDefault="00FC1D49" w:rsidP="00FC1D49">
      <w:pPr>
        <w:rPr>
          <w:rFonts w:cs="Arial"/>
          <w:b/>
        </w:rPr>
      </w:pPr>
    </w:p>
    <w:p w14:paraId="77749972" w14:textId="77777777" w:rsidR="00FC1D49" w:rsidRPr="00685696" w:rsidRDefault="00FC1D49" w:rsidP="00FC1D49">
      <w:pPr>
        <w:tabs>
          <w:tab w:val="left" w:pos="1785"/>
        </w:tabs>
        <w:rPr>
          <w:rFonts w:cs="Arial"/>
          <w:b/>
          <w:u w:val="single"/>
          <w:lang w:eastAsia="de-D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961"/>
      </w:tblGrid>
      <w:tr w:rsidR="00FC1D49" w:rsidRPr="00685696" w14:paraId="243D8CB9" w14:textId="77777777" w:rsidTr="003B2B14">
        <w:tc>
          <w:tcPr>
            <w:tcW w:w="4395" w:type="dxa"/>
          </w:tcPr>
          <w:p w14:paraId="6F1C4A53" w14:textId="77777777" w:rsidR="00FC1D49" w:rsidRPr="00685696" w:rsidRDefault="00FC1D49" w:rsidP="00AD0582">
            <w:pPr>
              <w:rPr>
                <w:rFonts w:cs="Arial"/>
              </w:rPr>
            </w:pPr>
            <w:r w:rsidRPr="00685696">
              <w:rPr>
                <w:rFonts w:cs="Arial"/>
              </w:rPr>
              <w:t>Soil (principle of method and LOQ)</w:t>
            </w:r>
          </w:p>
        </w:tc>
        <w:tc>
          <w:tcPr>
            <w:tcW w:w="4961" w:type="dxa"/>
          </w:tcPr>
          <w:p w14:paraId="2B5C35CF" w14:textId="77777777" w:rsidR="00FC1D49" w:rsidRPr="00685696" w:rsidRDefault="00FC1D49" w:rsidP="00AD0582">
            <w:pPr>
              <w:widowControl w:val="0"/>
              <w:rPr>
                <w:rFonts w:cs="Arial"/>
              </w:rPr>
            </w:pPr>
            <w:r w:rsidRPr="00685696">
              <w:rPr>
                <w:rFonts w:cs="Arial"/>
              </w:rPr>
              <w:t>The DFG Method S 19 describes the analytical procedures for the determination of tebuconazole in soil. The extraction from soil is performed with acetone followed by the clean-up procedures of gel permeation chromatography (GPC) on Bio Beads S-X3 polystyrene gel. Tebuconazole is analysed by gas chromatography on fused silica gel with a nitrogen/phosphorus detector or mass specific detector. Evaluation is carried out with external standard. Limit of quantification (LOQ): 0.01mg/kg</w:t>
            </w:r>
          </w:p>
          <w:p w14:paraId="0B891028" w14:textId="77777777" w:rsidR="00FC1D49" w:rsidRPr="00685696" w:rsidRDefault="00FC1D49" w:rsidP="00AD0582">
            <w:pPr>
              <w:widowControl w:val="0"/>
              <w:rPr>
                <w:rFonts w:cs="Arial"/>
                <w:b/>
                <w:iCs/>
                <w:lang w:val="en-US" w:eastAsia="fr-FR"/>
              </w:rPr>
            </w:pPr>
          </w:p>
        </w:tc>
      </w:tr>
      <w:tr w:rsidR="00FC1D49" w:rsidRPr="00685696" w14:paraId="1AF28E19" w14:textId="77777777" w:rsidTr="003B2B14">
        <w:tc>
          <w:tcPr>
            <w:tcW w:w="4395" w:type="dxa"/>
          </w:tcPr>
          <w:p w14:paraId="684C65E7" w14:textId="77777777" w:rsidR="00FC1D49" w:rsidRPr="00685696" w:rsidRDefault="00FC1D49" w:rsidP="00AD0582">
            <w:pPr>
              <w:rPr>
                <w:rFonts w:cs="Arial"/>
              </w:rPr>
            </w:pPr>
            <w:r w:rsidRPr="00685696">
              <w:rPr>
                <w:rFonts w:cs="Arial"/>
              </w:rPr>
              <w:t>Air (principle of method and LOQ)</w:t>
            </w:r>
          </w:p>
        </w:tc>
        <w:tc>
          <w:tcPr>
            <w:tcW w:w="4961" w:type="dxa"/>
          </w:tcPr>
          <w:p w14:paraId="55EE40CF" w14:textId="77777777" w:rsidR="00FC1D49" w:rsidRPr="00685696" w:rsidRDefault="00FC1D49" w:rsidP="00AD0582">
            <w:pPr>
              <w:widowControl w:val="0"/>
              <w:rPr>
                <w:rFonts w:cs="Arial"/>
              </w:rPr>
            </w:pPr>
            <w:r w:rsidRPr="00685696">
              <w:rPr>
                <w:rFonts w:cs="Arial"/>
              </w:rPr>
              <w:t>Air is sucked through Tenax or XAD-2 adsorption tubes at a rate of 2 l/min during a period of 6 hours. The adsorbed active ingredient is extracted with ethyl acetate and determined after gas chromatographic separation by means of a nitrogen and phosphorous selective detector (GC-NPD). A confirmatory procedure is based on gas chromatography using mass selective detection (GCMSD). No deviation from the described Tenax sampling and extraction technique is necessary. The same crude extracts could be investigated by both different GC methods. Evaluation is carried out with external standard. Limit of quantification (LOQ): 0.001 mg a.i./ m3 air</w:t>
            </w:r>
          </w:p>
          <w:p w14:paraId="303922A3" w14:textId="77777777" w:rsidR="00FC1D49" w:rsidRPr="00685696" w:rsidRDefault="00FC1D49" w:rsidP="00AD0582">
            <w:pPr>
              <w:widowControl w:val="0"/>
              <w:rPr>
                <w:rFonts w:cs="Arial"/>
                <w:b/>
                <w:iCs/>
                <w:lang w:eastAsia="fr-FR"/>
              </w:rPr>
            </w:pPr>
          </w:p>
        </w:tc>
      </w:tr>
      <w:tr w:rsidR="00FC1D49" w:rsidRPr="00685696" w14:paraId="76B537A2" w14:textId="77777777" w:rsidTr="003B2B14">
        <w:trPr>
          <w:trHeight w:val="627"/>
        </w:trPr>
        <w:tc>
          <w:tcPr>
            <w:tcW w:w="4395" w:type="dxa"/>
          </w:tcPr>
          <w:p w14:paraId="6642287A" w14:textId="77777777" w:rsidR="00FC1D49" w:rsidRPr="00685696" w:rsidRDefault="00FC1D49" w:rsidP="00AD0582">
            <w:pPr>
              <w:rPr>
                <w:rFonts w:cs="Arial"/>
              </w:rPr>
            </w:pPr>
            <w:r w:rsidRPr="00685696">
              <w:rPr>
                <w:rFonts w:cs="Arial"/>
              </w:rPr>
              <w:lastRenderedPageBreak/>
              <w:t>Water (principle of method and LOQ)</w:t>
            </w:r>
          </w:p>
          <w:p w14:paraId="1317B088" w14:textId="77777777" w:rsidR="00FC1D49" w:rsidRPr="00685696" w:rsidRDefault="00FC1D49" w:rsidP="00AD0582">
            <w:pPr>
              <w:rPr>
                <w:rFonts w:cs="Arial"/>
              </w:rPr>
            </w:pPr>
          </w:p>
          <w:p w14:paraId="0EDC0D94" w14:textId="77777777" w:rsidR="00FC1D49" w:rsidRPr="00685696" w:rsidRDefault="00FC1D49" w:rsidP="00AD0582">
            <w:pPr>
              <w:rPr>
                <w:rFonts w:cs="Arial"/>
              </w:rPr>
            </w:pPr>
          </w:p>
        </w:tc>
        <w:tc>
          <w:tcPr>
            <w:tcW w:w="4961" w:type="dxa"/>
          </w:tcPr>
          <w:p w14:paraId="2B0194C6" w14:textId="77777777" w:rsidR="00FC1D49" w:rsidRPr="00685696" w:rsidRDefault="00FC1D49" w:rsidP="00AD0582">
            <w:pPr>
              <w:widowControl w:val="0"/>
              <w:rPr>
                <w:rFonts w:cs="Arial"/>
                <w:b/>
                <w:iCs/>
                <w:lang w:val="en-US" w:eastAsia="fr-FR"/>
              </w:rPr>
            </w:pPr>
            <w:r w:rsidRPr="00685696">
              <w:rPr>
                <w:rFonts w:cs="Arial"/>
              </w:rPr>
              <w:t>Determination for tebuconazole in surfacewater is performed according to DFG Method W 5. Water samples are analysed by means of gas chromatography on fused silica gel after extraction with dichloromethane and clean up by gel permeation chromatography on Bio Beads S-X3 polystyrene gel. For detection a mass selective detector (MSD) is used. Evaluation is carried out with external standard. Limit of quantification (LOQ) surface- ground- and drinking water: 0.05 µg/l</w:t>
            </w:r>
          </w:p>
        </w:tc>
      </w:tr>
      <w:tr w:rsidR="00FC1D49" w:rsidRPr="00685696" w14:paraId="3494C361" w14:textId="77777777" w:rsidTr="003B2B14">
        <w:tc>
          <w:tcPr>
            <w:tcW w:w="4395" w:type="dxa"/>
          </w:tcPr>
          <w:p w14:paraId="21243B8A" w14:textId="77777777" w:rsidR="00FC1D49" w:rsidRPr="00685696" w:rsidRDefault="00FC1D49" w:rsidP="00AD0582">
            <w:pPr>
              <w:rPr>
                <w:rFonts w:eastAsiaTheme="minorHAnsi" w:cs="Arial"/>
                <w:color w:val="000000"/>
                <w:lang w:val="en-US" w:eastAsia="en-US"/>
              </w:rPr>
            </w:pPr>
            <w:r w:rsidRPr="00685696">
              <w:rPr>
                <w:rFonts w:eastAsiaTheme="minorHAnsi" w:cs="Arial"/>
                <w:color w:val="000000"/>
                <w:lang w:val="en-US" w:eastAsia="en-US"/>
              </w:rPr>
              <w:t>Body fluids and tissues (principle of method and LOQ)</w:t>
            </w:r>
          </w:p>
        </w:tc>
        <w:tc>
          <w:tcPr>
            <w:tcW w:w="4961" w:type="dxa"/>
          </w:tcPr>
          <w:p w14:paraId="060CD003" w14:textId="77777777" w:rsidR="00FC1D49" w:rsidRPr="00685696" w:rsidRDefault="00FC1D49" w:rsidP="00AD0582">
            <w:pPr>
              <w:widowControl w:val="0"/>
              <w:rPr>
                <w:rFonts w:eastAsiaTheme="minorHAnsi" w:cs="Arial"/>
                <w:color w:val="000000"/>
                <w:lang w:val="en-US" w:eastAsia="en-US"/>
              </w:rPr>
            </w:pPr>
            <w:r w:rsidRPr="00685696">
              <w:rPr>
                <w:rFonts w:cs="Arial"/>
              </w:rPr>
              <w:t>Relevant only for toxic substances.</w:t>
            </w:r>
          </w:p>
        </w:tc>
      </w:tr>
      <w:tr w:rsidR="00FC1D49" w:rsidRPr="00685696" w14:paraId="0532A71C" w14:textId="77777777" w:rsidTr="003B2B14">
        <w:tc>
          <w:tcPr>
            <w:tcW w:w="4395" w:type="dxa"/>
          </w:tcPr>
          <w:p w14:paraId="4A18343C" w14:textId="77777777" w:rsidR="00FC1D49" w:rsidRPr="00685696" w:rsidRDefault="00FC1D49" w:rsidP="00AD0582">
            <w:pPr>
              <w:rPr>
                <w:rFonts w:cs="Arial"/>
              </w:rPr>
            </w:pPr>
            <w:r w:rsidRPr="00685696">
              <w:rPr>
                <w:rFonts w:eastAsiaTheme="minorHAnsi" w:cs="Arial"/>
                <w:color w:val="000000"/>
                <w:lang w:val="en-US" w:eastAsia="en-US"/>
              </w:rPr>
              <w:t>Food/feed of plant origin (principle of method and LOQ for methods for monitoring purposes)</w:t>
            </w:r>
          </w:p>
        </w:tc>
        <w:tc>
          <w:tcPr>
            <w:tcW w:w="4961" w:type="dxa"/>
          </w:tcPr>
          <w:p w14:paraId="1D98AD07" w14:textId="77777777" w:rsidR="00FC1D49" w:rsidRPr="00685696" w:rsidRDefault="00FC1D49" w:rsidP="00AD0582">
            <w:pPr>
              <w:widowControl w:val="0"/>
              <w:rPr>
                <w:rFonts w:cs="Arial"/>
                <w:b/>
                <w:iCs/>
                <w:lang w:val="en-US" w:eastAsia="fr-FR"/>
              </w:rPr>
            </w:pPr>
            <w:r w:rsidRPr="00685696">
              <w:rPr>
                <w:rFonts w:cs="Arial"/>
              </w:rPr>
              <w:t>Not relevant</w:t>
            </w:r>
          </w:p>
        </w:tc>
      </w:tr>
      <w:tr w:rsidR="00FC1D49" w:rsidRPr="00685696" w14:paraId="3EE006D2" w14:textId="77777777" w:rsidTr="003B2B14">
        <w:tc>
          <w:tcPr>
            <w:tcW w:w="4395" w:type="dxa"/>
          </w:tcPr>
          <w:p w14:paraId="03418E2E" w14:textId="77777777" w:rsidR="00FC1D49" w:rsidRPr="00685696" w:rsidRDefault="00FC1D49" w:rsidP="00AD0582">
            <w:pPr>
              <w:rPr>
                <w:rFonts w:cs="Arial"/>
              </w:rPr>
            </w:pPr>
            <w:r w:rsidRPr="00685696">
              <w:rPr>
                <w:rFonts w:eastAsiaTheme="minorHAnsi" w:cs="Arial"/>
                <w:color w:val="000000"/>
                <w:lang w:val="en-US" w:eastAsia="en-US"/>
              </w:rPr>
              <w:t>Food/feed of animal origin (principle of method and LOQ for methods for monitoring purposes)</w:t>
            </w:r>
          </w:p>
        </w:tc>
        <w:tc>
          <w:tcPr>
            <w:tcW w:w="4961" w:type="dxa"/>
          </w:tcPr>
          <w:p w14:paraId="04F82640" w14:textId="77777777" w:rsidR="00FC1D49" w:rsidRPr="00685696" w:rsidRDefault="00FC1D49" w:rsidP="00AD0582">
            <w:pPr>
              <w:widowControl w:val="0"/>
              <w:rPr>
                <w:rFonts w:cs="Arial"/>
                <w:iCs/>
                <w:lang w:val="en-US" w:eastAsia="fr-FR"/>
              </w:rPr>
            </w:pPr>
            <w:r w:rsidRPr="00685696">
              <w:rPr>
                <w:rFonts w:cs="Arial"/>
              </w:rPr>
              <w:t>Not relevant</w:t>
            </w:r>
          </w:p>
        </w:tc>
      </w:tr>
    </w:tbl>
    <w:p w14:paraId="33727F25" w14:textId="77777777" w:rsidR="00FC1D49" w:rsidRPr="00685696" w:rsidRDefault="00FC1D49" w:rsidP="00FC1D49">
      <w:pPr>
        <w:keepNext/>
        <w:tabs>
          <w:tab w:val="left" w:pos="1304"/>
        </w:tabs>
        <w:outlineLvl w:val="2"/>
        <w:rPr>
          <w:rFonts w:cs="Arial"/>
          <w:bCs/>
          <w:noProof/>
        </w:rPr>
      </w:pPr>
    </w:p>
    <w:p w14:paraId="4A848954" w14:textId="77777777" w:rsidR="00FC1D49" w:rsidRPr="00685696" w:rsidRDefault="00FC1D49" w:rsidP="00FC1D49">
      <w:pPr>
        <w:keepNext/>
        <w:tabs>
          <w:tab w:val="left" w:pos="1304"/>
        </w:tabs>
        <w:outlineLvl w:val="2"/>
        <w:rPr>
          <w:rFonts w:cs="Arial"/>
          <w:bCs/>
          <w:noProof/>
        </w:rPr>
      </w:pPr>
      <w:r w:rsidRPr="00685696">
        <w:rPr>
          <w:rFonts w:cs="Arial"/>
          <w:bCs/>
          <w:noProof/>
        </w:rPr>
        <w:t>Methods for body fluids and tissues and food and feeding stuffs of plant origin are not required since tebuconazole is not classified as toxic or highly toxic and as the use pattern of product will not result in any contact with food or feeding stuff of plant origin.</w:t>
      </w:r>
    </w:p>
    <w:p w14:paraId="59954204" w14:textId="0EA928DB" w:rsidR="00FC1D49" w:rsidRPr="00685696" w:rsidRDefault="00FC1D49" w:rsidP="00FC1D49">
      <w:pPr>
        <w:pStyle w:val="Paragraphedeliste"/>
        <w:rPr>
          <w:rFonts w:cs="Arial"/>
          <w:b/>
          <w:bCs/>
          <w:szCs w:val="28"/>
        </w:rPr>
      </w:pPr>
    </w:p>
    <w:p w14:paraId="4E127FE0" w14:textId="77777777" w:rsidR="00FC1D49" w:rsidRPr="00685696" w:rsidRDefault="00FC1D49" w:rsidP="0039605F">
      <w:pPr>
        <w:spacing w:before="240" w:after="60" w:line="240" w:lineRule="atLeast"/>
        <w:ind w:left="284"/>
        <w:outlineLvl w:val="3"/>
        <w:rPr>
          <w:b/>
          <w:bCs/>
          <w:szCs w:val="28"/>
        </w:rPr>
      </w:pPr>
      <w:r w:rsidRPr="00685696">
        <w:rPr>
          <w:b/>
          <w:bCs/>
          <w:szCs w:val="28"/>
        </w:rPr>
        <w:t>Analytical method for determining the active substance and relevant component in the biocidal product</w:t>
      </w: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FC1D49" w:rsidRPr="00685696" w14:paraId="0CAAA85B" w14:textId="77777777" w:rsidTr="00AD0582">
        <w:tc>
          <w:tcPr>
            <w:tcW w:w="1800" w:type="dxa"/>
            <w:tcBorders>
              <w:right w:val="single" w:sz="4" w:space="0" w:color="auto"/>
            </w:tcBorders>
            <w:shd w:val="clear" w:color="auto" w:fill="auto"/>
          </w:tcPr>
          <w:p w14:paraId="36C087D9" w14:textId="77777777" w:rsidR="00FC1D49" w:rsidRPr="00685696" w:rsidRDefault="00FC1D49" w:rsidP="0039605F">
            <w:pPr>
              <w:pStyle w:val="OECD-table"/>
              <w:keepNext w:val="0"/>
              <w:rPr>
                <w:rFonts w:ascii="Verdana" w:hAnsi="Verdana" w:cs="Arial"/>
                <w:b/>
              </w:rPr>
            </w:pPr>
            <w:r w:rsidRPr="00685696">
              <w:rPr>
                <w:rFonts w:ascii="Verdana" w:hAnsi="Verdana" w:cs="Arial"/>
                <w:b/>
              </w:rPr>
              <w:t>Report:</w:t>
            </w:r>
          </w:p>
        </w:tc>
        <w:tc>
          <w:tcPr>
            <w:tcW w:w="7328" w:type="dxa"/>
            <w:tcBorders>
              <w:left w:val="single" w:sz="4" w:space="0" w:color="auto"/>
            </w:tcBorders>
            <w:shd w:val="clear" w:color="auto" w:fill="auto"/>
          </w:tcPr>
          <w:p w14:paraId="132850A6" w14:textId="77777777" w:rsidR="00FC1D49" w:rsidRPr="00685696" w:rsidRDefault="00FC1D49" w:rsidP="0039605F">
            <w:pPr>
              <w:pStyle w:val="OECD-table"/>
              <w:keepNext w:val="0"/>
              <w:rPr>
                <w:rFonts w:ascii="Verdana" w:hAnsi="Verdana" w:cs="Arial"/>
                <w:b/>
                <w:lang w:val="nl-NL"/>
              </w:rPr>
            </w:pPr>
            <w:r w:rsidRPr="00685696">
              <w:rPr>
                <w:rFonts w:ascii="Verdana" w:eastAsia="SimSun" w:hAnsi="Verdana" w:cs="Arial"/>
                <w:b/>
                <w:bCs w:val="0"/>
                <w:lang w:val="nl-NL" w:eastAsia="zh-CN" w:bidi="he-IL"/>
              </w:rPr>
              <w:t>Raphalen E., 2013</w:t>
            </w:r>
          </w:p>
        </w:tc>
      </w:tr>
      <w:tr w:rsidR="00FC1D49" w:rsidRPr="00685696" w14:paraId="0C7DCAE1" w14:textId="77777777" w:rsidTr="00AD0582">
        <w:tc>
          <w:tcPr>
            <w:tcW w:w="1800" w:type="dxa"/>
            <w:tcBorders>
              <w:right w:val="single" w:sz="4" w:space="0" w:color="auto"/>
            </w:tcBorders>
            <w:shd w:val="clear" w:color="auto" w:fill="auto"/>
          </w:tcPr>
          <w:p w14:paraId="0A095971" w14:textId="77777777" w:rsidR="00FC1D49" w:rsidRPr="00685696" w:rsidRDefault="00FC1D49" w:rsidP="0039605F">
            <w:pPr>
              <w:pStyle w:val="OECD-table"/>
              <w:keepNext w:val="0"/>
              <w:rPr>
                <w:rFonts w:ascii="Verdana" w:hAnsi="Verdana" w:cs="Arial"/>
              </w:rPr>
            </w:pPr>
            <w:r w:rsidRPr="00685696">
              <w:rPr>
                <w:rFonts w:ascii="Verdana" w:hAnsi="Verdana" w:cs="Arial"/>
              </w:rPr>
              <w:t>Title:</w:t>
            </w:r>
          </w:p>
        </w:tc>
        <w:tc>
          <w:tcPr>
            <w:tcW w:w="7328" w:type="dxa"/>
            <w:tcBorders>
              <w:left w:val="single" w:sz="4" w:space="0" w:color="auto"/>
            </w:tcBorders>
            <w:shd w:val="clear" w:color="auto" w:fill="auto"/>
          </w:tcPr>
          <w:p w14:paraId="23B9083D" w14:textId="77777777" w:rsidR="00FC1D49" w:rsidRPr="00685696" w:rsidRDefault="00FC1D49" w:rsidP="00CE1B41">
            <w:pPr>
              <w:autoSpaceDE w:val="0"/>
              <w:autoSpaceDN w:val="0"/>
              <w:adjustRightInd w:val="0"/>
              <w:rPr>
                <w:rFonts w:cs="Arial"/>
                <w:bCs/>
                <w:lang w:val="en-US" w:eastAsia="de-DE"/>
              </w:rPr>
            </w:pPr>
            <w:r w:rsidRPr="00685696">
              <w:rPr>
                <w:rFonts w:cs="Arial"/>
                <w:color w:val="000000"/>
              </w:rPr>
              <w:t>Physico-chemical tests on a ready-to-use solvent based product (X6122B1): Validation of analytical method and chemical analysis of active ingredients declared in the test item, Chemical analysis of active ingredients in a wood preservative</w:t>
            </w:r>
          </w:p>
        </w:tc>
      </w:tr>
      <w:tr w:rsidR="00FC1D49" w:rsidRPr="00685696" w14:paraId="58695033" w14:textId="77777777" w:rsidTr="00AD0582">
        <w:tc>
          <w:tcPr>
            <w:tcW w:w="1800" w:type="dxa"/>
            <w:tcBorders>
              <w:right w:val="single" w:sz="4" w:space="0" w:color="auto"/>
            </w:tcBorders>
            <w:shd w:val="clear" w:color="auto" w:fill="auto"/>
          </w:tcPr>
          <w:p w14:paraId="50DCCE7D" w14:textId="77777777" w:rsidR="00FC1D49" w:rsidRPr="00685696" w:rsidRDefault="00FC1D49" w:rsidP="0039605F">
            <w:pPr>
              <w:pStyle w:val="OECD-table"/>
              <w:keepNext w:val="0"/>
              <w:rPr>
                <w:rFonts w:ascii="Verdana" w:hAnsi="Verdana" w:cs="Arial"/>
              </w:rPr>
            </w:pPr>
            <w:r w:rsidRPr="00685696">
              <w:rPr>
                <w:rFonts w:ascii="Verdana" w:hAnsi="Verdana" w:cs="Arial"/>
              </w:rPr>
              <w:t>Document No</w:t>
            </w:r>
          </w:p>
        </w:tc>
        <w:tc>
          <w:tcPr>
            <w:tcW w:w="7328" w:type="dxa"/>
            <w:tcBorders>
              <w:left w:val="single" w:sz="4" w:space="0" w:color="auto"/>
            </w:tcBorders>
            <w:shd w:val="clear" w:color="auto" w:fill="auto"/>
          </w:tcPr>
          <w:p w14:paraId="41EA6674" w14:textId="77777777" w:rsidR="00FC1D49" w:rsidRPr="00685696" w:rsidRDefault="00FC1D49" w:rsidP="0039605F">
            <w:pPr>
              <w:pStyle w:val="OECD-table"/>
              <w:keepNext w:val="0"/>
              <w:rPr>
                <w:rFonts w:ascii="Verdana" w:hAnsi="Verdana" w:cs="Arial"/>
                <w:szCs w:val="20"/>
              </w:rPr>
            </w:pPr>
            <w:r w:rsidRPr="00685696">
              <w:rPr>
                <w:rFonts w:ascii="Verdana" w:hAnsi="Verdana" w:cs="Arial"/>
                <w:szCs w:val="20"/>
              </w:rPr>
              <w:t>402/13/1139F/ab-e</w:t>
            </w:r>
          </w:p>
        </w:tc>
      </w:tr>
      <w:tr w:rsidR="00FC1D49" w:rsidRPr="00685696" w14:paraId="21A6C656" w14:textId="77777777" w:rsidTr="00AD0582">
        <w:tc>
          <w:tcPr>
            <w:tcW w:w="1800" w:type="dxa"/>
            <w:tcBorders>
              <w:right w:val="single" w:sz="4" w:space="0" w:color="auto"/>
            </w:tcBorders>
            <w:shd w:val="clear" w:color="auto" w:fill="auto"/>
          </w:tcPr>
          <w:p w14:paraId="5B36891F" w14:textId="77777777" w:rsidR="00FC1D49" w:rsidRPr="00685696" w:rsidRDefault="00FC1D49" w:rsidP="0039605F">
            <w:pPr>
              <w:pStyle w:val="OECD-table"/>
              <w:keepNext w:val="0"/>
              <w:rPr>
                <w:rFonts w:ascii="Verdana" w:hAnsi="Verdana"/>
              </w:rPr>
            </w:pPr>
            <w:r w:rsidRPr="00685696">
              <w:rPr>
                <w:rFonts w:ascii="Verdana" w:hAnsi="Verdana"/>
              </w:rPr>
              <w:t>Test facility</w:t>
            </w:r>
          </w:p>
        </w:tc>
        <w:tc>
          <w:tcPr>
            <w:tcW w:w="7328" w:type="dxa"/>
            <w:tcBorders>
              <w:left w:val="single" w:sz="4" w:space="0" w:color="auto"/>
            </w:tcBorders>
            <w:shd w:val="clear" w:color="auto" w:fill="auto"/>
          </w:tcPr>
          <w:p w14:paraId="563746DF" w14:textId="77777777" w:rsidR="00FC1D49" w:rsidRPr="00685696" w:rsidRDefault="00FC1D49" w:rsidP="0039605F">
            <w:pPr>
              <w:pStyle w:val="OECD-table"/>
              <w:keepNext w:val="0"/>
              <w:rPr>
                <w:rFonts w:ascii="Verdana" w:hAnsi="Verdana"/>
                <w:szCs w:val="20"/>
              </w:rPr>
            </w:pPr>
            <w:r w:rsidRPr="00685696">
              <w:rPr>
                <w:rFonts w:ascii="Verdana" w:eastAsia="Calibri" w:hAnsi="Verdana"/>
                <w:bCs w:val="0"/>
                <w:noProof/>
                <w:lang w:val="fr-FR" w:eastAsia="fr-FR"/>
              </w:rPr>
              <w:drawing>
                <wp:inline distT="0" distB="0" distL="0" distR="0" wp14:anchorId="5A3485A5" wp14:editId="2BF7FA5D">
                  <wp:extent cx="2400300" cy="765059"/>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765059"/>
                          </a:xfrm>
                          <a:prstGeom prst="rect">
                            <a:avLst/>
                          </a:prstGeom>
                          <a:noFill/>
                          <a:ln>
                            <a:noFill/>
                          </a:ln>
                        </pic:spPr>
                      </pic:pic>
                    </a:graphicData>
                  </a:graphic>
                </wp:inline>
              </w:drawing>
            </w:r>
          </w:p>
        </w:tc>
      </w:tr>
      <w:tr w:rsidR="00FC1D49" w:rsidRPr="00685696" w14:paraId="35587E94" w14:textId="77777777" w:rsidTr="00AD0582">
        <w:tc>
          <w:tcPr>
            <w:tcW w:w="1800" w:type="dxa"/>
            <w:tcBorders>
              <w:right w:val="single" w:sz="4" w:space="0" w:color="auto"/>
            </w:tcBorders>
            <w:shd w:val="clear" w:color="auto" w:fill="auto"/>
          </w:tcPr>
          <w:p w14:paraId="1613853F" w14:textId="77777777" w:rsidR="00FC1D49" w:rsidRPr="00685696" w:rsidRDefault="00FC1D49" w:rsidP="0039605F">
            <w:pPr>
              <w:pStyle w:val="OECD-table"/>
              <w:keepNext w:val="0"/>
              <w:rPr>
                <w:rFonts w:ascii="Verdana" w:hAnsi="Verdana" w:cs="Arial"/>
              </w:rPr>
            </w:pPr>
            <w:r w:rsidRPr="00685696">
              <w:rPr>
                <w:rFonts w:ascii="Verdana" w:hAnsi="Verdana" w:cs="Arial"/>
              </w:rPr>
              <w:t>Guidelines:</w:t>
            </w:r>
          </w:p>
        </w:tc>
        <w:tc>
          <w:tcPr>
            <w:tcW w:w="7328" w:type="dxa"/>
            <w:tcBorders>
              <w:left w:val="single" w:sz="4" w:space="0" w:color="auto"/>
            </w:tcBorders>
            <w:shd w:val="clear" w:color="auto" w:fill="auto"/>
          </w:tcPr>
          <w:p w14:paraId="05EB779D" w14:textId="77777777" w:rsidR="00FC1D49" w:rsidRPr="00685696" w:rsidRDefault="00FC1D49" w:rsidP="0039605F">
            <w:pPr>
              <w:pStyle w:val="OECD-table"/>
              <w:keepNext w:val="0"/>
              <w:rPr>
                <w:rFonts w:ascii="Verdana" w:hAnsi="Verdana" w:cs="Arial"/>
              </w:rPr>
            </w:pPr>
            <w:r w:rsidRPr="00685696">
              <w:rPr>
                <w:rFonts w:ascii="Verdana" w:hAnsi="Verdana" w:cs="Arial"/>
              </w:rPr>
              <w:t xml:space="preserve">SANCO/3030/99 rev.4. </w:t>
            </w:r>
          </w:p>
        </w:tc>
      </w:tr>
      <w:tr w:rsidR="00FC1D49" w:rsidRPr="00685696" w14:paraId="0AC0C7B2" w14:textId="77777777" w:rsidTr="00AD0582">
        <w:tc>
          <w:tcPr>
            <w:tcW w:w="1800" w:type="dxa"/>
            <w:tcBorders>
              <w:right w:val="single" w:sz="4" w:space="0" w:color="auto"/>
            </w:tcBorders>
            <w:shd w:val="clear" w:color="auto" w:fill="auto"/>
          </w:tcPr>
          <w:p w14:paraId="1EFCC49E" w14:textId="77777777" w:rsidR="00FC1D49" w:rsidRPr="00685696" w:rsidRDefault="00FC1D49" w:rsidP="0039605F">
            <w:pPr>
              <w:pStyle w:val="OECD-table"/>
              <w:keepNext w:val="0"/>
              <w:rPr>
                <w:rFonts w:ascii="Verdana" w:hAnsi="Verdana" w:cs="Arial"/>
              </w:rPr>
            </w:pPr>
            <w:r w:rsidRPr="00685696">
              <w:rPr>
                <w:rFonts w:ascii="Verdana" w:hAnsi="Verdana" w:cs="Arial"/>
              </w:rPr>
              <w:t>GLP</w:t>
            </w:r>
          </w:p>
        </w:tc>
        <w:tc>
          <w:tcPr>
            <w:tcW w:w="7328" w:type="dxa"/>
            <w:tcBorders>
              <w:left w:val="single" w:sz="4" w:space="0" w:color="auto"/>
            </w:tcBorders>
            <w:shd w:val="clear" w:color="auto" w:fill="auto"/>
          </w:tcPr>
          <w:p w14:paraId="620F947F" w14:textId="77777777" w:rsidR="00FC1D49" w:rsidRPr="00685696" w:rsidRDefault="00FC1D49" w:rsidP="0039605F">
            <w:pPr>
              <w:pStyle w:val="OECD-table"/>
              <w:keepNext w:val="0"/>
              <w:rPr>
                <w:rFonts w:ascii="Verdana" w:hAnsi="Verdana" w:cs="Arial"/>
              </w:rPr>
            </w:pPr>
            <w:r w:rsidRPr="00685696">
              <w:rPr>
                <w:rFonts w:ascii="Verdana" w:hAnsi="Verdana" w:cs="Arial"/>
              </w:rPr>
              <w:t>Yes</w:t>
            </w:r>
          </w:p>
        </w:tc>
      </w:tr>
    </w:tbl>
    <w:p w14:paraId="20B9BF4C" w14:textId="77777777" w:rsidR="00FC1D49" w:rsidRPr="00685696" w:rsidRDefault="00FC1D49" w:rsidP="0039605F">
      <w:pPr>
        <w:tabs>
          <w:tab w:val="left" w:pos="1304"/>
        </w:tabs>
        <w:spacing w:before="240" w:after="60" w:line="240" w:lineRule="atLeast"/>
        <w:ind w:left="1304"/>
        <w:outlineLvl w:val="3"/>
        <w:rPr>
          <w:b/>
          <w:bCs/>
          <w:szCs w:val="28"/>
        </w:rPr>
      </w:pPr>
      <w:r w:rsidRPr="00685696">
        <w:rPr>
          <w:b/>
          <w:bCs/>
          <w:szCs w:val="28"/>
        </w:rPr>
        <w:t>Preparation of accuracy samples:</w:t>
      </w:r>
    </w:p>
    <w:p w14:paraId="10EC92F7" w14:textId="77777777" w:rsidR="00FC1D49" w:rsidRPr="00685696" w:rsidRDefault="00FC1D49" w:rsidP="0039605F">
      <w:pPr>
        <w:tabs>
          <w:tab w:val="left" w:pos="1304"/>
        </w:tabs>
        <w:spacing w:before="240" w:after="60" w:line="240" w:lineRule="atLeast"/>
        <w:outlineLvl w:val="3"/>
        <w:rPr>
          <w:bCs/>
          <w:szCs w:val="28"/>
        </w:rPr>
      </w:pPr>
      <w:r w:rsidRPr="00685696">
        <w:rPr>
          <w:bCs/>
          <w:szCs w:val="28"/>
        </w:rPr>
        <w:t>The active substances contents in X6122B1 are determined using a liquid chromatography method with UV detection at 235 nm for propiconazole and 210 nm for cypermethrin, tebuconazole and IPBC (HPLC-UV). Quantification is performed using external standard calibration.</w:t>
      </w:r>
    </w:p>
    <w:p w14:paraId="5ECEC4BA" w14:textId="77777777" w:rsidR="00FC1D49" w:rsidRPr="00685696" w:rsidRDefault="00FC1D49" w:rsidP="0039605F">
      <w:pPr>
        <w:tabs>
          <w:tab w:val="left" w:pos="1304"/>
        </w:tabs>
        <w:spacing w:before="240" w:after="60" w:line="240" w:lineRule="atLeast"/>
        <w:outlineLvl w:val="3"/>
        <w:rPr>
          <w:bCs/>
          <w:szCs w:val="28"/>
        </w:rPr>
      </w:pPr>
      <w:r w:rsidRPr="00685696">
        <w:rPr>
          <w:bCs/>
          <w:szCs w:val="28"/>
        </w:rPr>
        <w:t>A quantity of test item was accurately weighed in order to obtain a concentration near 75 mg/L in propiconazole, 35 mg/L in cypermethrin, 25 mg/L tebuconazole and IPBC. The product was diluted in acetone and the solution was shaken. The active substances contents in X6122B1 are determined using a liquid chromatography method with UV detection at 235 nm for propiconazole and 210 nm for cypermethrin, tebuconazole and IPBC (HPLC-UV). Quantification is performed using external standard calibration.</w:t>
      </w:r>
    </w:p>
    <w:p w14:paraId="3D5DF9D9" w14:textId="77777777" w:rsidR="00FC1D49" w:rsidRDefault="00FC1D49" w:rsidP="0039605F">
      <w:pPr>
        <w:tabs>
          <w:tab w:val="left" w:pos="1304"/>
        </w:tabs>
        <w:outlineLvl w:val="3"/>
        <w:rPr>
          <w:bCs/>
          <w:szCs w:val="28"/>
        </w:rPr>
      </w:pPr>
    </w:p>
    <w:p w14:paraId="0FBD273C" w14:textId="77777777" w:rsidR="008551C7" w:rsidRDefault="008551C7" w:rsidP="0039605F">
      <w:pPr>
        <w:tabs>
          <w:tab w:val="left" w:pos="1304"/>
        </w:tabs>
        <w:outlineLvl w:val="3"/>
        <w:rPr>
          <w:bCs/>
          <w:szCs w:val="28"/>
        </w:rPr>
      </w:pPr>
    </w:p>
    <w:p w14:paraId="6696E437" w14:textId="77777777" w:rsidR="008551C7" w:rsidRDefault="008551C7" w:rsidP="0039605F">
      <w:pPr>
        <w:tabs>
          <w:tab w:val="left" w:pos="1304"/>
        </w:tabs>
        <w:outlineLvl w:val="3"/>
        <w:rPr>
          <w:bCs/>
          <w:szCs w:val="28"/>
        </w:rPr>
      </w:pPr>
    </w:p>
    <w:p w14:paraId="45BDED65" w14:textId="77777777" w:rsidR="008551C7" w:rsidRPr="00685696" w:rsidRDefault="008551C7" w:rsidP="0039605F">
      <w:pPr>
        <w:tabs>
          <w:tab w:val="left" w:pos="1304"/>
        </w:tabs>
        <w:outlineLvl w:val="3"/>
        <w:rPr>
          <w:bCs/>
          <w:szCs w:val="28"/>
        </w:rPr>
      </w:pPr>
    </w:p>
    <w:p w14:paraId="5946D159" w14:textId="77777777" w:rsidR="00FC1D49" w:rsidRPr="00685696" w:rsidRDefault="00FC1D49" w:rsidP="0039605F">
      <w:pPr>
        <w:tabs>
          <w:tab w:val="left" w:pos="1304"/>
        </w:tabs>
        <w:outlineLvl w:val="3"/>
        <w:rPr>
          <w:bCs/>
          <w:szCs w:val="28"/>
          <w:u w:val="single"/>
        </w:rPr>
      </w:pPr>
      <w:r w:rsidRPr="00685696">
        <w:rPr>
          <w:bCs/>
          <w:szCs w:val="28"/>
          <w:u w:val="single"/>
        </w:rPr>
        <w:lastRenderedPageBreak/>
        <w:t>Material</w:t>
      </w:r>
    </w:p>
    <w:p w14:paraId="0CDA232B" w14:textId="77777777" w:rsidR="00FC1D49" w:rsidRPr="00685696" w:rsidRDefault="00FC1D49" w:rsidP="0039605F">
      <w:pPr>
        <w:tabs>
          <w:tab w:val="left" w:pos="1304"/>
        </w:tabs>
        <w:outlineLvl w:val="3"/>
        <w:rPr>
          <w:bCs/>
          <w:szCs w:val="28"/>
        </w:rPr>
      </w:pPr>
      <w:r w:rsidRPr="00685696">
        <w:rPr>
          <w:bCs/>
          <w:szCs w:val="28"/>
        </w:rPr>
        <w:t>Instrument: HPLC Alliance Waters or equivalent, UV PDA Waters 2998 or equivalent</w:t>
      </w:r>
    </w:p>
    <w:p w14:paraId="2783E850" w14:textId="77777777" w:rsidR="00FC1D49" w:rsidRPr="00685696" w:rsidRDefault="00FC1D49" w:rsidP="0039605F">
      <w:pPr>
        <w:tabs>
          <w:tab w:val="left" w:pos="1304"/>
        </w:tabs>
        <w:outlineLvl w:val="3"/>
        <w:rPr>
          <w:bCs/>
          <w:szCs w:val="28"/>
        </w:rPr>
      </w:pPr>
      <w:r w:rsidRPr="00685696">
        <w:rPr>
          <w:bCs/>
          <w:szCs w:val="28"/>
        </w:rPr>
        <w:t xml:space="preserve">Column: Ascentis Express C18 or equivalent, length of 10 cm, internal diameter of 4.6 mm, </w:t>
      </w:r>
      <w:proofErr w:type="gramStart"/>
      <w:r w:rsidRPr="00685696">
        <w:rPr>
          <w:bCs/>
          <w:szCs w:val="28"/>
        </w:rPr>
        <w:t>particle</w:t>
      </w:r>
      <w:proofErr w:type="gramEnd"/>
      <w:r w:rsidRPr="00685696">
        <w:rPr>
          <w:bCs/>
          <w:szCs w:val="28"/>
        </w:rPr>
        <w:t xml:space="preserve"> size of 5 µm</w:t>
      </w:r>
    </w:p>
    <w:p w14:paraId="0A7407AD" w14:textId="77777777" w:rsidR="00FC1D49" w:rsidRPr="00685696" w:rsidRDefault="00FC1D49" w:rsidP="0039605F">
      <w:pPr>
        <w:tabs>
          <w:tab w:val="left" w:pos="1304"/>
        </w:tabs>
        <w:outlineLvl w:val="3"/>
        <w:rPr>
          <w:bCs/>
          <w:szCs w:val="28"/>
          <w:lang w:val="it-IT"/>
        </w:rPr>
      </w:pPr>
      <w:r w:rsidRPr="00685696">
        <w:rPr>
          <w:bCs/>
          <w:szCs w:val="28"/>
          <w:lang w:val="it-IT"/>
        </w:rPr>
        <w:t>Column temperature: 30°C</w:t>
      </w:r>
    </w:p>
    <w:p w14:paraId="20573DAF" w14:textId="77777777" w:rsidR="00FC1D49" w:rsidRPr="00685696" w:rsidRDefault="00FC1D49" w:rsidP="0039605F">
      <w:pPr>
        <w:tabs>
          <w:tab w:val="left" w:pos="1304"/>
        </w:tabs>
        <w:outlineLvl w:val="3"/>
        <w:rPr>
          <w:bCs/>
          <w:szCs w:val="28"/>
          <w:lang w:val="it-IT"/>
        </w:rPr>
      </w:pPr>
      <w:r w:rsidRPr="00685696">
        <w:rPr>
          <w:bCs/>
          <w:szCs w:val="28"/>
          <w:lang w:val="it-IT"/>
        </w:rPr>
        <w:t xml:space="preserve">Mobile phase: </w:t>
      </w:r>
    </w:p>
    <w:p w14:paraId="4DE62124" w14:textId="77777777" w:rsidR="00FC1D49" w:rsidRPr="00685696" w:rsidRDefault="00FC1D49" w:rsidP="0039605F">
      <w:pPr>
        <w:tabs>
          <w:tab w:val="left" w:pos="1304"/>
        </w:tabs>
        <w:outlineLvl w:val="3"/>
        <w:rPr>
          <w:bCs/>
          <w:szCs w:val="28"/>
          <w:lang w:val="it-IT"/>
        </w:rPr>
      </w:pPr>
      <w:r w:rsidRPr="00685696">
        <w:rPr>
          <w:bCs/>
          <w:szCs w:val="28"/>
          <w:lang w:val="it-IT"/>
        </w:rPr>
        <w:t>A: acetonitrile</w:t>
      </w:r>
    </w:p>
    <w:p w14:paraId="10922F42" w14:textId="77777777" w:rsidR="00FC1D49" w:rsidRPr="00685696" w:rsidRDefault="00FC1D49" w:rsidP="0039605F">
      <w:pPr>
        <w:tabs>
          <w:tab w:val="left" w:pos="1304"/>
        </w:tabs>
        <w:outlineLvl w:val="3"/>
        <w:rPr>
          <w:bCs/>
          <w:szCs w:val="28"/>
        </w:rPr>
      </w:pPr>
      <w:r w:rsidRPr="00685696">
        <w:rPr>
          <w:bCs/>
          <w:szCs w:val="28"/>
        </w:rPr>
        <w:t>B: water</w:t>
      </w:r>
    </w:p>
    <w:p w14:paraId="532BADE6" w14:textId="77777777" w:rsidR="00FC1D49" w:rsidRPr="00685696" w:rsidRDefault="00FC1D49" w:rsidP="0039605F">
      <w:pPr>
        <w:tabs>
          <w:tab w:val="left" w:pos="1304"/>
        </w:tabs>
        <w:outlineLvl w:val="3"/>
        <w:rPr>
          <w:bCs/>
          <w:szCs w:val="28"/>
        </w:rPr>
      </w:pPr>
      <w:r w:rsidRPr="00685696">
        <w:rPr>
          <w:bCs/>
          <w:szCs w:val="28"/>
        </w:rPr>
        <w:t xml:space="preserve">Gradient: </w:t>
      </w:r>
    </w:p>
    <w:p w14:paraId="4DBB2FDD" w14:textId="77777777" w:rsidR="00FC1D49" w:rsidRPr="00685696" w:rsidRDefault="00FC1D49" w:rsidP="0039605F">
      <w:pPr>
        <w:tabs>
          <w:tab w:val="left" w:pos="1304"/>
        </w:tabs>
        <w:outlineLvl w:val="3"/>
        <w:rPr>
          <w:bCs/>
          <w:szCs w:val="28"/>
        </w:rPr>
      </w:pPr>
      <w:r w:rsidRPr="00685696">
        <w:rPr>
          <w:bCs/>
          <w:szCs w:val="28"/>
        </w:rPr>
        <w:t>Time (minutes)</w:t>
      </w:r>
      <w:r w:rsidRPr="00685696">
        <w:rPr>
          <w:bCs/>
          <w:szCs w:val="28"/>
        </w:rPr>
        <w:tab/>
        <w:t xml:space="preserve">% </w:t>
      </w:r>
      <w:proofErr w:type="gramStart"/>
      <w:r w:rsidRPr="00685696">
        <w:rPr>
          <w:bCs/>
          <w:szCs w:val="28"/>
        </w:rPr>
        <w:t>A</w:t>
      </w:r>
      <w:proofErr w:type="gramEnd"/>
      <w:r w:rsidRPr="00685696">
        <w:rPr>
          <w:bCs/>
          <w:szCs w:val="28"/>
        </w:rPr>
        <w:tab/>
        <w:t>% B</w:t>
      </w:r>
    </w:p>
    <w:p w14:paraId="21280CED" w14:textId="77777777" w:rsidR="00FC1D49" w:rsidRPr="00685696" w:rsidRDefault="00FC1D49" w:rsidP="0039605F">
      <w:pPr>
        <w:tabs>
          <w:tab w:val="left" w:pos="1304"/>
        </w:tabs>
        <w:outlineLvl w:val="3"/>
        <w:rPr>
          <w:bCs/>
          <w:szCs w:val="28"/>
        </w:rPr>
      </w:pPr>
      <w:r w:rsidRPr="00685696">
        <w:rPr>
          <w:bCs/>
          <w:szCs w:val="28"/>
        </w:rPr>
        <w:t>0.0</w:t>
      </w:r>
      <w:r w:rsidRPr="00685696">
        <w:rPr>
          <w:bCs/>
          <w:szCs w:val="28"/>
        </w:rPr>
        <w:tab/>
        <w:t xml:space="preserve">     50</w:t>
      </w:r>
      <w:r w:rsidRPr="00685696">
        <w:rPr>
          <w:bCs/>
          <w:szCs w:val="28"/>
        </w:rPr>
        <w:tab/>
        <w:t xml:space="preserve">   50</w:t>
      </w:r>
    </w:p>
    <w:p w14:paraId="18849932" w14:textId="77777777" w:rsidR="00FC1D49" w:rsidRPr="00685696" w:rsidRDefault="00FC1D49" w:rsidP="0039605F">
      <w:pPr>
        <w:tabs>
          <w:tab w:val="left" w:pos="1304"/>
        </w:tabs>
        <w:outlineLvl w:val="3"/>
        <w:rPr>
          <w:bCs/>
          <w:szCs w:val="28"/>
        </w:rPr>
      </w:pPr>
      <w:r w:rsidRPr="00685696">
        <w:rPr>
          <w:bCs/>
          <w:szCs w:val="28"/>
        </w:rPr>
        <w:t>3.0</w:t>
      </w:r>
      <w:r w:rsidRPr="00685696">
        <w:rPr>
          <w:bCs/>
          <w:szCs w:val="28"/>
        </w:rPr>
        <w:tab/>
        <w:t xml:space="preserve">     50</w:t>
      </w:r>
      <w:r w:rsidRPr="00685696">
        <w:rPr>
          <w:bCs/>
          <w:szCs w:val="28"/>
        </w:rPr>
        <w:tab/>
        <w:t xml:space="preserve">   50</w:t>
      </w:r>
    </w:p>
    <w:p w14:paraId="31F5D660" w14:textId="77777777" w:rsidR="00FC1D49" w:rsidRPr="00685696" w:rsidRDefault="00FC1D49" w:rsidP="0039605F">
      <w:pPr>
        <w:tabs>
          <w:tab w:val="left" w:pos="1304"/>
        </w:tabs>
        <w:outlineLvl w:val="3"/>
        <w:rPr>
          <w:bCs/>
          <w:szCs w:val="28"/>
        </w:rPr>
      </w:pPr>
      <w:r w:rsidRPr="00685696">
        <w:rPr>
          <w:bCs/>
          <w:szCs w:val="28"/>
        </w:rPr>
        <w:t>6.0</w:t>
      </w:r>
      <w:r w:rsidRPr="00685696">
        <w:rPr>
          <w:bCs/>
          <w:szCs w:val="28"/>
        </w:rPr>
        <w:tab/>
        <w:t xml:space="preserve">     45</w:t>
      </w:r>
      <w:r w:rsidRPr="00685696">
        <w:rPr>
          <w:bCs/>
          <w:szCs w:val="28"/>
        </w:rPr>
        <w:tab/>
        <w:t xml:space="preserve">   55</w:t>
      </w:r>
    </w:p>
    <w:p w14:paraId="3F2DF818" w14:textId="77777777" w:rsidR="00FC1D49" w:rsidRPr="00685696" w:rsidRDefault="00FC1D49" w:rsidP="0039605F">
      <w:pPr>
        <w:tabs>
          <w:tab w:val="left" w:pos="1304"/>
        </w:tabs>
        <w:outlineLvl w:val="3"/>
        <w:rPr>
          <w:bCs/>
          <w:szCs w:val="28"/>
        </w:rPr>
      </w:pPr>
      <w:r w:rsidRPr="00685696">
        <w:rPr>
          <w:bCs/>
          <w:szCs w:val="28"/>
        </w:rPr>
        <w:t>10.0</w:t>
      </w:r>
      <w:r w:rsidRPr="00685696">
        <w:rPr>
          <w:bCs/>
          <w:szCs w:val="28"/>
        </w:rPr>
        <w:tab/>
        <w:t xml:space="preserve">     90</w:t>
      </w:r>
      <w:r w:rsidRPr="00685696">
        <w:rPr>
          <w:bCs/>
          <w:szCs w:val="28"/>
        </w:rPr>
        <w:tab/>
        <w:t xml:space="preserve">   10</w:t>
      </w:r>
    </w:p>
    <w:p w14:paraId="619374AD" w14:textId="77777777" w:rsidR="00FC1D49" w:rsidRPr="00685696" w:rsidRDefault="00FC1D49" w:rsidP="0039605F">
      <w:pPr>
        <w:tabs>
          <w:tab w:val="left" w:pos="1304"/>
        </w:tabs>
        <w:outlineLvl w:val="3"/>
        <w:rPr>
          <w:bCs/>
          <w:szCs w:val="28"/>
        </w:rPr>
      </w:pPr>
      <w:r w:rsidRPr="00685696">
        <w:rPr>
          <w:bCs/>
          <w:szCs w:val="28"/>
        </w:rPr>
        <w:t>20.0</w:t>
      </w:r>
      <w:r w:rsidRPr="00685696">
        <w:rPr>
          <w:bCs/>
          <w:szCs w:val="28"/>
        </w:rPr>
        <w:tab/>
        <w:t xml:space="preserve">     90</w:t>
      </w:r>
      <w:r w:rsidRPr="00685696">
        <w:rPr>
          <w:bCs/>
          <w:szCs w:val="28"/>
        </w:rPr>
        <w:tab/>
        <w:t xml:space="preserve">   10</w:t>
      </w:r>
    </w:p>
    <w:p w14:paraId="70F00762" w14:textId="77777777" w:rsidR="00FC1D49" w:rsidRPr="00685696" w:rsidRDefault="00FC1D49" w:rsidP="0039605F">
      <w:pPr>
        <w:tabs>
          <w:tab w:val="left" w:pos="1304"/>
        </w:tabs>
        <w:outlineLvl w:val="3"/>
        <w:rPr>
          <w:bCs/>
          <w:szCs w:val="28"/>
        </w:rPr>
      </w:pPr>
    </w:p>
    <w:p w14:paraId="43582214" w14:textId="77777777" w:rsidR="00FC1D49" w:rsidRPr="00685696" w:rsidRDefault="00FC1D49" w:rsidP="0039605F">
      <w:pPr>
        <w:tabs>
          <w:tab w:val="left" w:pos="1304"/>
        </w:tabs>
        <w:outlineLvl w:val="3"/>
        <w:rPr>
          <w:bCs/>
          <w:szCs w:val="28"/>
        </w:rPr>
      </w:pPr>
      <w:r w:rsidRPr="00685696">
        <w:rPr>
          <w:bCs/>
          <w:szCs w:val="28"/>
        </w:rPr>
        <w:t>Flow rate: 1 mL/min</w:t>
      </w:r>
    </w:p>
    <w:p w14:paraId="27202D43" w14:textId="77777777" w:rsidR="00FC1D49" w:rsidRPr="00685696" w:rsidRDefault="00FC1D49" w:rsidP="0039605F">
      <w:pPr>
        <w:tabs>
          <w:tab w:val="left" w:pos="1304"/>
        </w:tabs>
        <w:outlineLvl w:val="3"/>
        <w:rPr>
          <w:bCs/>
          <w:szCs w:val="28"/>
        </w:rPr>
      </w:pPr>
      <w:r w:rsidRPr="00685696">
        <w:rPr>
          <w:bCs/>
          <w:szCs w:val="28"/>
        </w:rPr>
        <w:t>Injection volume: 10 µL</w:t>
      </w:r>
    </w:p>
    <w:p w14:paraId="18752E92" w14:textId="77777777" w:rsidR="00FC1D49" w:rsidRPr="00685696" w:rsidRDefault="00FC1D49" w:rsidP="0039605F">
      <w:pPr>
        <w:tabs>
          <w:tab w:val="left" w:pos="1304"/>
        </w:tabs>
        <w:outlineLvl w:val="3"/>
        <w:rPr>
          <w:bCs/>
          <w:szCs w:val="28"/>
        </w:rPr>
      </w:pPr>
      <w:r w:rsidRPr="00685696">
        <w:rPr>
          <w:bCs/>
          <w:szCs w:val="28"/>
        </w:rPr>
        <w:t>UV detector: UV set at 235 nm for propiconazole, UV set at 210 nm for cypermethrin, tebuconazole and IPBC</w:t>
      </w:r>
    </w:p>
    <w:p w14:paraId="62885899" w14:textId="77777777" w:rsidR="00FC1D49" w:rsidRPr="00685696" w:rsidRDefault="00FC1D49" w:rsidP="0039605F">
      <w:pPr>
        <w:tabs>
          <w:tab w:val="left" w:pos="1304"/>
        </w:tabs>
        <w:outlineLvl w:val="3"/>
        <w:rPr>
          <w:bCs/>
          <w:szCs w:val="28"/>
        </w:rPr>
      </w:pPr>
    </w:p>
    <w:p w14:paraId="23BBE350" w14:textId="77777777" w:rsidR="00FC1D49" w:rsidRPr="00685696" w:rsidRDefault="00FC1D49" w:rsidP="0039605F">
      <w:pPr>
        <w:tabs>
          <w:tab w:val="left" w:pos="1304"/>
        </w:tabs>
        <w:outlineLvl w:val="3"/>
        <w:rPr>
          <w:bCs/>
          <w:szCs w:val="28"/>
          <w:u w:val="single"/>
        </w:rPr>
      </w:pPr>
      <w:r w:rsidRPr="00685696">
        <w:rPr>
          <w:bCs/>
          <w:szCs w:val="28"/>
          <w:u w:val="single"/>
        </w:rPr>
        <w:t>Retention times:</w:t>
      </w:r>
    </w:p>
    <w:p w14:paraId="7A0C45F5" w14:textId="77777777" w:rsidR="00FC1D49" w:rsidRPr="00685696" w:rsidRDefault="00FC1D49" w:rsidP="0039605F">
      <w:pPr>
        <w:tabs>
          <w:tab w:val="left" w:pos="1304"/>
        </w:tabs>
        <w:outlineLvl w:val="3"/>
        <w:rPr>
          <w:bCs/>
          <w:szCs w:val="28"/>
        </w:rPr>
      </w:pPr>
      <w:r w:rsidRPr="00685696">
        <w:rPr>
          <w:bCs/>
          <w:szCs w:val="28"/>
        </w:rPr>
        <w:t>Propiconazole: approximately 5.10 min</w:t>
      </w:r>
    </w:p>
    <w:p w14:paraId="43E4B64C" w14:textId="77777777" w:rsidR="00FC1D49" w:rsidRPr="00685696" w:rsidRDefault="00FC1D49" w:rsidP="0039605F">
      <w:pPr>
        <w:tabs>
          <w:tab w:val="left" w:pos="1304"/>
        </w:tabs>
        <w:outlineLvl w:val="3"/>
        <w:rPr>
          <w:bCs/>
          <w:szCs w:val="28"/>
        </w:rPr>
      </w:pPr>
      <w:r w:rsidRPr="00685696">
        <w:rPr>
          <w:bCs/>
          <w:szCs w:val="28"/>
        </w:rPr>
        <w:t>Cypermethrin 1: approximately 11.91 minutes</w:t>
      </w:r>
    </w:p>
    <w:p w14:paraId="383269D6" w14:textId="77777777" w:rsidR="00FC1D49" w:rsidRPr="00685696" w:rsidRDefault="00FC1D49" w:rsidP="0039605F">
      <w:pPr>
        <w:tabs>
          <w:tab w:val="left" w:pos="1304"/>
        </w:tabs>
        <w:outlineLvl w:val="3"/>
        <w:rPr>
          <w:bCs/>
          <w:szCs w:val="28"/>
        </w:rPr>
      </w:pPr>
      <w:r w:rsidRPr="00685696">
        <w:rPr>
          <w:bCs/>
          <w:szCs w:val="28"/>
        </w:rPr>
        <w:t>Cypermethrin 2: approximately 11.97 minutes</w:t>
      </w:r>
    </w:p>
    <w:p w14:paraId="0113039F" w14:textId="77777777" w:rsidR="00FC1D49" w:rsidRPr="00685696" w:rsidRDefault="00FC1D49" w:rsidP="0039605F">
      <w:pPr>
        <w:tabs>
          <w:tab w:val="left" w:pos="1304"/>
        </w:tabs>
        <w:outlineLvl w:val="3"/>
        <w:rPr>
          <w:bCs/>
          <w:szCs w:val="28"/>
        </w:rPr>
      </w:pPr>
      <w:r w:rsidRPr="00685696">
        <w:rPr>
          <w:bCs/>
          <w:szCs w:val="28"/>
        </w:rPr>
        <w:t>Cypermethrin 3: approximately 12.02 minutes</w:t>
      </w:r>
    </w:p>
    <w:p w14:paraId="517EAC2C" w14:textId="77777777" w:rsidR="00FC1D49" w:rsidRPr="00685696" w:rsidRDefault="00FC1D49" w:rsidP="0039605F">
      <w:pPr>
        <w:tabs>
          <w:tab w:val="left" w:pos="1304"/>
        </w:tabs>
        <w:outlineLvl w:val="3"/>
        <w:rPr>
          <w:bCs/>
          <w:szCs w:val="28"/>
        </w:rPr>
      </w:pPr>
      <w:r w:rsidRPr="00685696">
        <w:rPr>
          <w:bCs/>
          <w:szCs w:val="28"/>
        </w:rPr>
        <w:t>Tebuconazole: approximately 3.75 minutes</w:t>
      </w:r>
    </w:p>
    <w:p w14:paraId="03A003C8" w14:textId="77777777" w:rsidR="00FC1D49" w:rsidRPr="00685696" w:rsidRDefault="00FC1D49" w:rsidP="0039605F">
      <w:pPr>
        <w:tabs>
          <w:tab w:val="left" w:pos="1304"/>
        </w:tabs>
        <w:outlineLvl w:val="3"/>
        <w:rPr>
          <w:bCs/>
          <w:szCs w:val="28"/>
        </w:rPr>
      </w:pPr>
      <w:r w:rsidRPr="00685696">
        <w:rPr>
          <w:bCs/>
          <w:szCs w:val="28"/>
        </w:rPr>
        <w:t>IPBC: approximately 2.44 minutes</w:t>
      </w:r>
    </w:p>
    <w:p w14:paraId="2CBDCEE6" w14:textId="77777777" w:rsidR="00FC1D49" w:rsidRPr="00685696" w:rsidRDefault="00FC1D49" w:rsidP="0039605F">
      <w:pPr>
        <w:tabs>
          <w:tab w:val="left" w:pos="1304"/>
        </w:tabs>
        <w:outlineLvl w:val="3"/>
        <w:rPr>
          <w:bCs/>
          <w:szCs w:val="28"/>
        </w:rPr>
      </w:pPr>
    </w:p>
    <w:p w14:paraId="08B70CB9" w14:textId="77777777" w:rsidR="00FC1D49" w:rsidRPr="00685696" w:rsidRDefault="00FC1D49" w:rsidP="0039605F">
      <w:pPr>
        <w:tabs>
          <w:tab w:val="left" w:pos="1304"/>
        </w:tabs>
        <w:outlineLvl w:val="3"/>
        <w:rPr>
          <w:bCs/>
          <w:szCs w:val="28"/>
          <w:u w:val="single"/>
        </w:rPr>
      </w:pPr>
      <w:r w:rsidRPr="00685696">
        <w:rPr>
          <w:bCs/>
          <w:szCs w:val="28"/>
          <w:u w:val="single"/>
        </w:rPr>
        <w:t>Reference items:</w:t>
      </w:r>
    </w:p>
    <w:p w14:paraId="716FCD67" w14:textId="77777777" w:rsidR="00FC1D49" w:rsidRPr="00685696" w:rsidRDefault="00FC1D49" w:rsidP="0039605F">
      <w:pPr>
        <w:tabs>
          <w:tab w:val="left" w:pos="1304"/>
        </w:tabs>
        <w:outlineLvl w:val="3"/>
        <w:rPr>
          <w:bCs/>
          <w:szCs w:val="28"/>
        </w:rPr>
      </w:pPr>
      <w:r w:rsidRPr="00685696">
        <w:rPr>
          <w:bCs/>
          <w:szCs w:val="28"/>
        </w:rPr>
        <w:t>Propiconazole CAS No.60207-90-1, batch SZE8059X, purity: 98.9%, expiry date: February 28, 2014, supplier: Sigma</w:t>
      </w:r>
    </w:p>
    <w:p w14:paraId="6927CB19" w14:textId="77777777" w:rsidR="00FC1D49" w:rsidRPr="00685696" w:rsidRDefault="00FC1D49" w:rsidP="0039605F">
      <w:pPr>
        <w:tabs>
          <w:tab w:val="left" w:pos="1304"/>
        </w:tabs>
        <w:outlineLvl w:val="3"/>
        <w:rPr>
          <w:bCs/>
          <w:szCs w:val="28"/>
        </w:rPr>
      </w:pPr>
      <w:r w:rsidRPr="00685696">
        <w:rPr>
          <w:bCs/>
          <w:szCs w:val="28"/>
        </w:rPr>
        <w:t>Cypermethrin CAS No.52315-07-8, batch SZBC047XV, purity: 94.3%, expiry date: February 16, 2017, supplier: Sigma</w:t>
      </w:r>
    </w:p>
    <w:p w14:paraId="36A76077" w14:textId="77777777" w:rsidR="00FC1D49" w:rsidRPr="00685696" w:rsidRDefault="00FC1D49" w:rsidP="0039605F">
      <w:pPr>
        <w:tabs>
          <w:tab w:val="left" w:pos="1304"/>
        </w:tabs>
        <w:outlineLvl w:val="3"/>
        <w:rPr>
          <w:bCs/>
          <w:szCs w:val="28"/>
        </w:rPr>
      </w:pPr>
      <w:r w:rsidRPr="00685696">
        <w:rPr>
          <w:bCs/>
          <w:szCs w:val="28"/>
        </w:rPr>
        <w:t>Tebuconazole CAS No.107534-96-3, batch SZBB055XV, purity: 99.5%, expiry date: February 24, 2016, supplier: Sigma</w:t>
      </w:r>
    </w:p>
    <w:p w14:paraId="4E2C7BAA" w14:textId="77777777" w:rsidR="00FC1D49" w:rsidRPr="00685696" w:rsidRDefault="00FC1D49" w:rsidP="0039605F">
      <w:pPr>
        <w:tabs>
          <w:tab w:val="left" w:pos="1304"/>
        </w:tabs>
        <w:outlineLvl w:val="3"/>
        <w:rPr>
          <w:bCs/>
          <w:szCs w:val="28"/>
        </w:rPr>
      </w:pPr>
      <w:r w:rsidRPr="00685696">
        <w:rPr>
          <w:bCs/>
          <w:szCs w:val="28"/>
        </w:rPr>
        <w:t>IPBC CAS No.55406-53-6, batch I2LBG, purity: 98.1%, expiry date: August 28, 2014, supplier: TCI</w:t>
      </w:r>
    </w:p>
    <w:p w14:paraId="1B90F8B5" w14:textId="77777777" w:rsidR="00FC1D49" w:rsidRPr="00685696" w:rsidRDefault="00FC1D49" w:rsidP="0039605F">
      <w:pPr>
        <w:tabs>
          <w:tab w:val="left" w:pos="1304"/>
        </w:tabs>
        <w:outlineLvl w:val="3"/>
        <w:rPr>
          <w:bCs/>
          <w:szCs w:val="28"/>
        </w:rPr>
      </w:pPr>
    </w:p>
    <w:p w14:paraId="23A20A54" w14:textId="77777777" w:rsidR="00FC1D49" w:rsidRPr="00685696" w:rsidRDefault="00FC1D49" w:rsidP="0039605F">
      <w:pPr>
        <w:tabs>
          <w:tab w:val="left" w:pos="1304"/>
        </w:tabs>
        <w:outlineLvl w:val="3"/>
        <w:rPr>
          <w:bCs/>
          <w:szCs w:val="28"/>
        </w:rPr>
      </w:pPr>
      <w:r w:rsidRPr="00685696">
        <w:rPr>
          <w:bCs/>
          <w:szCs w:val="28"/>
          <w:u w:val="single"/>
        </w:rPr>
        <w:t>Test item:</w:t>
      </w:r>
      <w:r w:rsidRPr="00685696">
        <w:rPr>
          <w:bCs/>
          <w:szCs w:val="28"/>
        </w:rPr>
        <w:t xml:space="preserve"> X6122B1, Batch No.: XVIII 193 NDF, Manufacturing date: 18 June 2013</w:t>
      </w:r>
    </w:p>
    <w:p w14:paraId="1A72F270" w14:textId="77777777" w:rsidR="00FC1D49" w:rsidRPr="00AA571F" w:rsidRDefault="00FC1D49" w:rsidP="0039605F">
      <w:pPr>
        <w:tabs>
          <w:tab w:val="left" w:pos="1304"/>
        </w:tabs>
        <w:outlineLvl w:val="3"/>
        <w:rPr>
          <w:bCs/>
          <w:szCs w:val="28"/>
        </w:rPr>
      </w:pPr>
      <w:r w:rsidRPr="00AA571F">
        <w:rPr>
          <w:bCs/>
          <w:szCs w:val="28"/>
        </w:rPr>
        <w:t>Propiconazole CAS No.60207-90-1: 0.15% w/w (nominal content)</w:t>
      </w:r>
    </w:p>
    <w:p w14:paraId="46CB75D3" w14:textId="77777777" w:rsidR="00FC1D49" w:rsidRPr="00AA571F" w:rsidRDefault="00FC1D49" w:rsidP="0039605F">
      <w:pPr>
        <w:tabs>
          <w:tab w:val="left" w:pos="1304"/>
        </w:tabs>
        <w:outlineLvl w:val="3"/>
        <w:rPr>
          <w:bCs/>
          <w:szCs w:val="28"/>
        </w:rPr>
      </w:pPr>
      <w:r w:rsidRPr="00AA571F">
        <w:rPr>
          <w:bCs/>
          <w:szCs w:val="28"/>
        </w:rPr>
        <w:t>Cypermethrin CAS No.52315-07-8: 0.07% w/w (nominal content)</w:t>
      </w:r>
    </w:p>
    <w:p w14:paraId="0673EFE8" w14:textId="77777777" w:rsidR="00FC1D49" w:rsidRPr="00AA571F" w:rsidRDefault="00FC1D49" w:rsidP="0039605F">
      <w:pPr>
        <w:tabs>
          <w:tab w:val="left" w:pos="1304"/>
        </w:tabs>
        <w:outlineLvl w:val="3"/>
        <w:rPr>
          <w:bCs/>
          <w:szCs w:val="28"/>
        </w:rPr>
      </w:pPr>
      <w:r w:rsidRPr="00AA571F">
        <w:rPr>
          <w:bCs/>
          <w:szCs w:val="28"/>
        </w:rPr>
        <w:t>Tebuconazole CAS No.107534-96-3: 0.05% w/w (nominal content)</w:t>
      </w:r>
    </w:p>
    <w:p w14:paraId="28C73900" w14:textId="77777777" w:rsidR="00FC1D49" w:rsidRPr="008551C7" w:rsidRDefault="00FC1D49" w:rsidP="0039605F">
      <w:pPr>
        <w:tabs>
          <w:tab w:val="left" w:pos="1304"/>
        </w:tabs>
        <w:outlineLvl w:val="3"/>
        <w:rPr>
          <w:bCs/>
          <w:szCs w:val="28"/>
          <w:lang w:val="en-US"/>
        </w:rPr>
      </w:pPr>
      <w:r w:rsidRPr="008551C7">
        <w:rPr>
          <w:bCs/>
          <w:szCs w:val="28"/>
          <w:lang w:val="en-US"/>
        </w:rPr>
        <w:t>IPBC CAS No.55406-53-6: 0.05% w/w (nominal content) Batch No.: XVIII 193 NDF</w:t>
      </w:r>
    </w:p>
    <w:p w14:paraId="7DE284CC" w14:textId="77777777" w:rsidR="00FC1D49" w:rsidRPr="008551C7" w:rsidRDefault="00FC1D49" w:rsidP="00FC1D49">
      <w:pPr>
        <w:keepNext/>
        <w:tabs>
          <w:tab w:val="left" w:pos="142"/>
        </w:tabs>
        <w:spacing w:before="240" w:after="60" w:line="240" w:lineRule="atLeast"/>
        <w:ind w:left="1276"/>
        <w:outlineLvl w:val="3"/>
        <w:rPr>
          <w:b/>
          <w:bCs/>
          <w:szCs w:val="28"/>
          <w:lang w:val="en-US"/>
        </w:rPr>
      </w:pPr>
      <w:r w:rsidRPr="008551C7">
        <w:rPr>
          <w:b/>
          <w:bCs/>
          <w:szCs w:val="28"/>
          <w:lang w:val="en-US"/>
        </w:rPr>
        <w:t>Validation of the analytical method:</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6372"/>
      </w:tblGrid>
      <w:tr w:rsidR="00FC1D49" w:rsidRPr="00685696" w14:paraId="7EE45A58" w14:textId="77777777" w:rsidTr="00AD0582">
        <w:trPr>
          <w:cantSplit/>
          <w:trHeight w:val="941"/>
        </w:trPr>
        <w:tc>
          <w:tcPr>
            <w:tcW w:w="2714" w:type="dxa"/>
            <w:tcBorders>
              <w:top w:val="single" w:sz="6" w:space="0" w:color="auto"/>
              <w:left w:val="single" w:sz="6" w:space="0" w:color="auto"/>
              <w:bottom w:val="single" w:sz="6" w:space="0" w:color="auto"/>
              <w:right w:val="double" w:sz="4" w:space="0" w:color="auto"/>
            </w:tcBorders>
          </w:tcPr>
          <w:p w14:paraId="760D711B" w14:textId="77777777" w:rsidR="00FC1D49" w:rsidRPr="00685696" w:rsidRDefault="00FC1D49" w:rsidP="00AD0582">
            <w:pPr>
              <w:rPr>
                <w:rFonts w:cs="Arial"/>
              </w:rPr>
            </w:pPr>
            <w:r w:rsidRPr="00685696">
              <w:rPr>
                <w:rFonts w:cs="Arial"/>
              </w:rPr>
              <w:t>Specificity</w:t>
            </w:r>
          </w:p>
        </w:tc>
        <w:tc>
          <w:tcPr>
            <w:tcW w:w="6372" w:type="dxa"/>
            <w:tcBorders>
              <w:top w:val="single" w:sz="6" w:space="0" w:color="auto"/>
              <w:left w:val="double" w:sz="4" w:space="0" w:color="auto"/>
              <w:bottom w:val="single" w:sz="4" w:space="0" w:color="auto"/>
              <w:right w:val="single" w:sz="6" w:space="0" w:color="auto"/>
            </w:tcBorders>
          </w:tcPr>
          <w:p w14:paraId="7CB90155" w14:textId="77777777" w:rsidR="00FC1D49" w:rsidRPr="00685696" w:rsidRDefault="00FC1D49" w:rsidP="00AD0582">
            <w:pPr>
              <w:rPr>
                <w:rFonts w:cs="Arial"/>
                <w:lang w:val="en-US"/>
              </w:rPr>
            </w:pPr>
            <w:r w:rsidRPr="00685696">
              <w:rPr>
                <w:rFonts w:cs="Arial"/>
                <w:lang w:val="en-US"/>
              </w:rPr>
              <w:t>No interference at the selected wavelengths (235 nm for propiconazole and 210 nm for cypermethrin, tebuconazole and IPBC) was detected at the retention time of each active substance in HPLC-UV in blank formulation samples diluted in acetone. The applied method to quantify each active substance in the test item 13/1139F/1 is considered as specific.</w:t>
            </w:r>
          </w:p>
          <w:p w14:paraId="607502B4" w14:textId="77777777" w:rsidR="00FC1D49" w:rsidRPr="00685696" w:rsidRDefault="00FC1D49" w:rsidP="00AD0582">
            <w:pPr>
              <w:rPr>
                <w:rFonts w:cs="Arial"/>
                <w:lang w:val="en-US"/>
              </w:rPr>
            </w:pPr>
          </w:p>
          <w:p w14:paraId="03F591BB" w14:textId="77777777" w:rsidR="00FC1D49" w:rsidRPr="00685696" w:rsidRDefault="00FC1D49" w:rsidP="00AD0582">
            <w:pPr>
              <w:rPr>
                <w:rFonts w:cs="Arial"/>
                <w:lang w:val="en-US"/>
              </w:rPr>
            </w:pPr>
          </w:p>
        </w:tc>
      </w:tr>
      <w:tr w:rsidR="00FC1D49" w:rsidRPr="00685696" w14:paraId="382BA9BA" w14:textId="77777777" w:rsidTr="00AD0582">
        <w:trPr>
          <w:cantSplit/>
          <w:trHeight w:val="941"/>
        </w:trPr>
        <w:tc>
          <w:tcPr>
            <w:tcW w:w="2714" w:type="dxa"/>
            <w:tcBorders>
              <w:top w:val="single" w:sz="6" w:space="0" w:color="auto"/>
              <w:left w:val="single" w:sz="6" w:space="0" w:color="auto"/>
              <w:right w:val="double" w:sz="4" w:space="0" w:color="auto"/>
            </w:tcBorders>
            <w:hideMark/>
          </w:tcPr>
          <w:p w14:paraId="196AD0A4" w14:textId="77777777" w:rsidR="00FC1D49" w:rsidRPr="00685696" w:rsidRDefault="00FC1D49" w:rsidP="00AD0582">
            <w:pPr>
              <w:spacing w:line="288" w:lineRule="auto"/>
              <w:rPr>
                <w:rFonts w:cs="Arial"/>
              </w:rPr>
            </w:pPr>
            <w:r w:rsidRPr="00685696">
              <w:rPr>
                <w:rFonts w:cs="Arial"/>
              </w:rPr>
              <w:lastRenderedPageBreak/>
              <w:t>Linearity</w:t>
            </w:r>
          </w:p>
        </w:tc>
        <w:tc>
          <w:tcPr>
            <w:tcW w:w="6372" w:type="dxa"/>
            <w:tcBorders>
              <w:top w:val="single" w:sz="6" w:space="0" w:color="auto"/>
              <w:left w:val="double" w:sz="4" w:space="0" w:color="auto"/>
              <w:bottom w:val="single" w:sz="4" w:space="0" w:color="auto"/>
              <w:right w:val="single" w:sz="6" w:space="0" w:color="auto"/>
            </w:tcBorders>
            <w:hideMark/>
          </w:tcPr>
          <w:p w14:paraId="31D2E1FF" w14:textId="77777777" w:rsidR="00FC1D49" w:rsidRPr="00685696" w:rsidRDefault="00FC1D49" w:rsidP="00AD0582">
            <w:pPr>
              <w:rPr>
                <w:rFonts w:cs="Arial"/>
                <w:lang w:val="en-US"/>
              </w:rPr>
            </w:pPr>
            <w:r w:rsidRPr="00685696">
              <w:rPr>
                <w:rFonts w:cs="Arial"/>
                <w:lang w:val="en-US"/>
              </w:rPr>
              <w:t>5 calibration standards were used for the determination of the linearity. 2 series were performed with each substance.</w:t>
            </w:r>
          </w:p>
          <w:p w14:paraId="0234B2E1" w14:textId="77777777" w:rsidR="00FC1D49" w:rsidRPr="00685696" w:rsidRDefault="00FC1D49" w:rsidP="00AD0582">
            <w:pPr>
              <w:rPr>
                <w:rFonts w:cs="Arial"/>
                <w:b/>
                <w:lang w:val="en-US"/>
              </w:rPr>
            </w:pPr>
          </w:p>
          <w:p w14:paraId="3ABF20E7" w14:textId="77777777" w:rsidR="00FC1D49" w:rsidRPr="00685696" w:rsidRDefault="00FC1D49" w:rsidP="00AD0582">
            <w:pPr>
              <w:rPr>
                <w:rFonts w:cs="Arial"/>
                <w:b/>
                <w:lang w:val="en-US"/>
              </w:rPr>
            </w:pPr>
            <w:r w:rsidRPr="00685696">
              <w:rPr>
                <w:rFonts w:cs="Arial"/>
                <w:b/>
                <w:lang w:val="en-US"/>
              </w:rPr>
              <w:t>Propiconazole</w:t>
            </w:r>
          </w:p>
          <w:p w14:paraId="515E1C7B" w14:textId="77777777" w:rsidR="00FC1D49" w:rsidRPr="00685696" w:rsidRDefault="00FC1D49" w:rsidP="00AD0582">
            <w:pPr>
              <w:rPr>
                <w:rFonts w:cs="Arial"/>
                <w:lang w:val="en-US"/>
              </w:rPr>
            </w:pPr>
            <w:r w:rsidRPr="00685696">
              <w:rPr>
                <w:rFonts w:cs="Arial"/>
                <w:lang w:val="en-US"/>
              </w:rPr>
              <w:t>Serie 1:the linear function corresponds to y = 2.464581*103*x + 9.797599*10</w:t>
            </w:r>
            <w:r w:rsidRPr="00685696">
              <w:rPr>
                <w:rFonts w:cs="Arial"/>
                <w:vertAlign w:val="superscript"/>
                <w:lang w:val="en-US"/>
              </w:rPr>
              <w:t>3</w:t>
            </w:r>
            <w:r w:rsidRPr="00685696">
              <w:rPr>
                <w:rFonts w:cs="Arial"/>
                <w:lang w:val="en-US"/>
              </w:rPr>
              <w:t>(y = peak area, x = propiconazole content in mg/L)</w:t>
            </w:r>
          </w:p>
          <w:p w14:paraId="22776E02" w14:textId="77777777" w:rsidR="00FC1D49" w:rsidRPr="00685696" w:rsidRDefault="00FC1D49" w:rsidP="00AD0582">
            <w:pPr>
              <w:rPr>
                <w:rFonts w:cs="Arial"/>
                <w:lang w:val="en-US"/>
              </w:rPr>
            </w:pPr>
            <w:r w:rsidRPr="00685696">
              <w:rPr>
                <w:rFonts w:cs="Arial"/>
                <w:lang w:val="en-US"/>
              </w:rPr>
              <w:t>The determination coefficient r² is equal to 0.993179 so the correlation coefficient r is equal to 0.9966 showing a good linearity.</w:t>
            </w:r>
          </w:p>
          <w:p w14:paraId="5AC3F59A" w14:textId="77777777" w:rsidR="00FC1D49" w:rsidRPr="00685696" w:rsidRDefault="00FC1D49" w:rsidP="00AD0582">
            <w:pPr>
              <w:rPr>
                <w:rFonts w:cs="Arial"/>
                <w:lang w:val="en-US"/>
              </w:rPr>
            </w:pPr>
            <w:r w:rsidRPr="00685696">
              <w:rPr>
                <w:rFonts w:cs="Arial"/>
                <w:lang w:val="en-US"/>
              </w:rPr>
              <w:t>Serie 2:the linear function corresponds to y = 2.559888*103*x – 1.153212*10</w:t>
            </w:r>
            <w:r w:rsidRPr="00685696">
              <w:rPr>
                <w:rFonts w:cs="Arial"/>
                <w:vertAlign w:val="superscript"/>
                <w:lang w:val="en-US"/>
              </w:rPr>
              <w:t>3</w:t>
            </w:r>
            <w:r w:rsidRPr="00685696">
              <w:rPr>
                <w:rFonts w:cs="Arial"/>
                <w:lang w:val="en-US"/>
              </w:rPr>
              <w:t>(y = peak area, x = propiconazole content in mg/L)</w:t>
            </w:r>
          </w:p>
          <w:p w14:paraId="2AB1FB99" w14:textId="77777777" w:rsidR="00FC1D49" w:rsidRPr="00685696" w:rsidRDefault="00FC1D49" w:rsidP="00AD0582">
            <w:pPr>
              <w:rPr>
                <w:rFonts w:cs="Arial"/>
                <w:lang w:val="en-US"/>
              </w:rPr>
            </w:pPr>
            <w:r w:rsidRPr="00685696">
              <w:rPr>
                <w:rFonts w:cs="Arial"/>
                <w:lang w:val="en-US"/>
              </w:rPr>
              <w:t>The determination coefficient r² is equal to 0.998901 so the correlation coefficient r is equal to 0.9995 showing a good linearity.</w:t>
            </w:r>
          </w:p>
          <w:p w14:paraId="090DF095" w14:textId="77777777" w:rsidR="00FC1D49" w:rsidRPr="00685696" w:rsidRDefault="00FC1D49" w:rsidP="00AD0582">
            <w:pPr>
              <w:rPr>
                <w:rFonts w:cs="Arial"/>
                <w:lang w:val="en-US"/>
              </w:rPr>
            </w:pPr>
          </w:p>
          <w:p w14:paraId="76D328FE" w14:textId="77777777" w:rsidR="00FC1D49" w:rsidRPr="00685696" w:rsidRDefault="00FC1D49" w:rsidP="00AD0582">
            <w:pPr>
              <w:rPr>
                <w:rFonts w:cs="Arial"/>
                <w:b/>
                <w:lang w:val="en-US"/>
              </w:rPr>
            </w:pPr>
            <w:r w:rsidRPr="00685696">
              <w:rPr>
                <w:rFonts w:cs="Arial"/>
                <w:b/>
                <w:lang w:val="en-US"/>
              </w:rPr>
              <w:t>Cypermethrin</w:t>
            </w:r>
          </w:p>
          <w:p w14:paraId="1DD88034" w14:textId="77777777" w:rsidR="00FC1D49" w:rsidRPr="00685696" w:rsidRDefault="00FC1D49" w:rsidP="00AD0582">
            <w:pPr>
              <w:rPr>
                <w:rFonts w:cs="Arial"/>
                <w:lang w:val="en-US"/>
              </w:rPr>
            </w:pPr>
            <w:r w:rsidRPr="00685696">
              <w:rPr>
                <w:rFonts w:cs="Arial"/>
                <w:lang w:val="en-US"/>
              </w:rPr>
              <w:t>Serie 1:the linear function corresponds to y = 5.289900*104*x + 1.133484*10</w:t>
            </w:r>
            <w:r w:rsidRPr="00685696">
              <w:rPr>
                <w:rFonts w:cs="Arial"/>
                <w:vertAlign w:val="superscript"/>
                <w:lang w:val="en-US"/>
              </w:rPr>
              <w:t>5</w:t>
            </w:r>
            <w:r w:rsidRPr="00685696">
              <w:rPr>
                <w:rFonts w:cs="Arial"/>
                <w:lang w:val="en-US"/>
              </w:rPr>
              <w:t xml:space="preserve"> (y = peak area, x = cypermethrin content in mg/L)</w:t>
            </w:r>
          </w:p>
          <w:p w14:paraId="15BAFBF9" w14:textId="77777777" w:rsidR="00FC1D49" w:rsidRPr="00685696" w:rsidRDefault="00FC1D49" w:rsidP="00AD0582">
            <w:pPr>
              <w:rPr>
                <w:rFonts w:cs="Arial"/>
                <w:lang w:val="en-US"/>
              </w:rPr>
            </w:pPr>
            <w:r w:rsidRPr="00685696">
              <w:rPr>
                <w:rFonts w:cs="Arial"/>
                <w:lang w:val="en-US"/>
              </w:rPr>
              <w:t>The determination coefficient r² is equal to 0.990089 so the correlation coefficient r is equal to 0.9950 showing a good linearity.</w:t>
            </w:r>
          </w:p>
          <w:p w14:paraId="416131F5" w14:textId="77777777" w:rsidR="00FC1D49" w:rsidRPr="00685696" w:rsidRDefault="00FC1D49" w:rsidP="00AD0582">
            <w:pPr>
              <w:rPr>
                <w:rFonts w:cs="Arial"/>
                <w:lang w:val="en-US"/>
              </w:rPr>
            </w:pPr>
            <w:r w:rsidRPr="00685696">
              <w:rPr>
                <w:rFonts w:cs="Arial"/>
                <w:lang w:val="en-US"/>
              </w:rPr>
              <w:t>Serie 2:the linear function corresponds to y = 5.768062*104*x – 2.804116*10</w:t>
            </w:r>
            <w:r w:rsidRPr="00685696">
              <w:rPr>
                <w:rFonts w:cs="Arial"/>
                <w:vertAlign w:val="superscript"/>
                <w:lang w:val="en-US"/>
              </w:rPr>
              <w:t>4</w:t>
            </w:r>
            <w:r w:rsidRPr="00685696">
              <w:rPr>
                <w:rFonts w:cs="Arial"/>
                <w:lang w:val="en-US"/>
              </w:rPr>
              <w:t xml:space="preserve"> (y = peak area, x = cypermethrin content in mg/L)</w:t>
            </w:r>
          </w:p>
          <w:p w14:paraId="48C66E2D" w14:textId="77777777" w:rsidR="00FC1D49" w:rsidRPr="00685696" w:rsidRDefault="00FC1D49" w:rsidP="00AD0582">
            <w:pPr>
              <w:rPr>
                <w:rFonts w:cs="Arial"/>
                <w:lang w:val="en-US"/>
              </w:rPr>
            </w:pPr>
            <w:r w:rsidRPr="00685696">
              <w:rPr>
                <w:rFonts w:cs="Arial"/>
                <w:lang w:val="en-US"/>
              </w:rPr>
              <w:t>The determination coefficient r² is equal to 0.998963 so the correlation coefficient r is equal to 0.9995 showing a good linearity.</w:t>
            </w:r>
          </w:p>
          <w:p w14:paraId="7F7D9CF2" w14:textId="77777777" w:rsidR="00FC1D49" w:rsidRPr="00685696" w:rsidRDefault="00FC1D49" w:rsidP="00AD0582">
            <w:pPr>
              <w:rPr>
                <w:rFonts w:cs="Arial"/>
                <w:lang w:val="en-US"/>
              </w:rPr>
            </w:pPr>
          </w:p>
          <w:p w14:paraId="10FADFA3" w14:textId="77777777" w:rsidR="00FC1D49" w:rsidRPr="00685696" w:rsidRDefault="00FC1D49" w:rsidP="00AD0582">
            <w:pPr>
              <w:rPr>
                <w:rFonts w:cs="Arial"/>
                <w:b/>
                <w:lang w:val="en-US"/>
              </w:rPr>
            </w:pPr>
            <w:r w:rsidRPr="00685696">
              <w:rPr>
                <w:rFonts w:cs="Arial"/>
                <w:b/>
                <w:lang w:val="en-US"/>
              </w:rPr>
              <w:t>Tebuconazole</w:t>
            </w:r>
          </w:p>
          <w:p w14:paraId="03621D1A" w14:textId="77777777" w:rsidR="00FC1D49" w:rsidRPr="00685696" w:rsidRDefault="00FC1D49" w:rsidP="00AD0582">
            <w:pPr>
              <w:rPr>
                <w:rFonts w:cs="Arial"/>
                <w:lang w:val="en-US"/>
              </w:rPr>
            </w:pPr>
            <w:r w:rsidRPr="00685696">
              <w:rPr>
                <w:rFonts w:cs="Arial"/>
                <w:lang w:val="en-US"/>
              </w:rPr>
              <w:t>Serie 1:the linear function corresponds to y = 1.532965*10</w:t>
            </w:r>
            <w:r w:rsidRPr="00685696">
              <w:rPr>
                <w:rFonts w:cs="Arial"/>
                <w:vertAlign w:val="superscript"/>
                <w:lang w:val="en-US"/>
              </w:rPr>
              <w:t>4</w:t>
            </w:r>
            <w:r w:rsidRPr="00685696">
              <w:rPr>
                <w:rFonts w:cs="Arial"/>
                <w:lang w:val="en-US"/>
              </w:rPr>
              <w:t>*x + 3.271327*10</w:t>
            </w:r>
            <w:r w:rsidRPr="00685696">
              <w:rPr>
                <w:rFonts w:cs="Arial"/>
                <w:vertAlign w:val="superscript"/>
                <w:lang w:val="en-US"/>
              </w:rPr>
              <w:t>4</w:t>
            </w:r>
            <w:r w:rsidRPr="00685696">
              <w:rPr>
                <w:rFonts w:cs="Arial"/>
                <w:lang w:val="en-US"/>
              </w:rPr>
              <w:t>(y = peak area, x = tebuconazole content in mg/L)</w:t>
            </w:r>
          </w:p>
          <w:p w14:paraId="66031A5A" w14:textId="77777777" w:rsidR="00FC1D49" w:rsidRPr="00685696" w:rsidRDefault="00FC1D49" w:rsidP="00AD0582">
            <w:pPr>
              <w:rPr>
                <w:rFonts w:cs="Arial"/>
                <w:lang w:val="en-US"/>
              </w:rPr>
            </w:pPr>
            <w:r w:rsidRPr="00685696">
              <w:rPr>
                <w:rFonts w:cs="Arial"/>
                <w:lang w:val="en-US"/>
              </w:rPr>
              <w:t>The determination coefficient r² is equal to 0.991533 so the correlation coefficient r is equal to 0.9958 showing a good linearity.</w:t>
            </w:r>
          </w:p>
          <w:p w14:paraId="2016D978" w14:textId="77777777" w:rsidR="00FC1D49" w:rsidRPr="00685696" w:rsidRDefault="00FC1D49" w:rsidP="00AD0582">
            <w:pPr>
              <w:rPr>
                <w:rFonts w:cs="Arial"/>
                <w:lang w:val="en-US"/>
              </w:rPr>
            </w:pPr>
            <w:r w:rsidRPr="00685696">
              <w:rPr>
                <w:rFonts w:cs="Arial"/>
                <w:lang w:val="en-US"/>
              </w:rPr>
              <w:t>Serie 2:the linear function corresponds to y = 1.790398*10</w:t>
            </w:r>
            <w:r w:rsidRPr="00685696">
              <w:rPr>
                <w:rFonts w:cs="Arial"/>
                <w:vertAlign w:val="superscript"/>
                <w:lang w:val="en-US"/>
              </w:rPr>
              <w:t>4</w:t>
            </w:r>
            <w:r w:rsidRPr="00685696">
              <w:rPr>
                <w:rFonts w:cs="Arial"/>
                <w:lang w:val="en-US"/>
              </w:rPr>
              <w:t>*x – 3.099961*10</w:t>
            </w:r>
            <w:r w:rsidRPr="00685696">
              <w:rPr>
                <w:rFonts w:cs="Arial"/>
                <w:vertAlign w:val="superscript"/>
                <w:lang w:val="en-US"/>
              </w:rPr>
              <w:t>4</w:t>
            </w:r>
            <w:r w:rsidRPr="00685696">
              <w:rPr>
                <w:rFonts w:cs="Arial"/>
                <w:lang w:val="en-US"/>
              </w:rPr>
              <w:t>(y = peak area, x = tebuconazole content in mg/L)</w:t>
            </w:r>
          </w:p>
          <w:p w14:paraId="27A1A437" w14:textId="77777777" w:rsidR="00FC1D49" w:rsidRPr="00685696" w:rsidRDefault="00FC1D49" w:rsidP="00AD0582">
            <w:pPr>
              <w:rPr>
                <w:rFonts w:cs="Arial"/>
                <w:lang w:val="en-US"/>
              </w:rPr>
            </w:pPr>
            <w:r w:rsidRPr="00685696">
              <w:rPr>
                <w:rFonts w:cs="Arial"/>
                <w:lang w:val="en-US"/>
              </w:rPr>
              <w:t xml:space="preserve">The determination coefficient r² is equal to 0.996142 so the correlation coefficient r is equal to 0.9981 showing a good linearity. </w:t>
            </w:r>
          </w:p>
          <w:p w14:paraId="7F25A0BA" w14:textId="77777777" w:rsidR="00FC1D49" w:rsidRPr="00685696" w:rsidRDefault="00FC1D49" w:rsidP="00AD0582">
            <w:pPr>
              <w:rPr>
                <w:rFonts w:cs="Arial"/>
                <w:lang w:val="en-US"/>
              </w:rPr>
            </w:pPr>
          </w:p>
          <w:p w14:paraId="6193FC19" w14:textId="77777777" w:rsidR="00FC1D49" w:rsidRPr="00685696" w:rsidRDefault="00FC1D49" w:rsidP="00AD0582">
            <w:pPr>
              <w:rPr>
                <w:rFonts w:cs="Arial"/>
                <w:b/>
                <w:lang w:val="en-US"/>
              </w:rPr>
            </w:pPr>
            <w:r w:rsidRPr="00685696">
              <w:rPr>
                <w:rFonts w:cs="Arial"/>
                <w:b/>
                <w:lang w:val="en-US"/>
              </w:rPr>
              <w:t>IPBC</w:t>
            </w:r>
          </w:p>
          <w:p w14:paraId="053B4718" w14:textId="77777777" w:rsidR="00FC1D49" w:rsidRPr="00685696" w:rsidRDefault="00FC1D49" w:rsidP="00AD0582">
            <w:pPr>
              <w:rPr>
                <w:rFonts w:cs="Arial"/>
                <w:lang w:val="en-US"/>
              </w:rPr>
            </w:pPr>
            <w:r w:rsidRPr="00685696">
              <w:rPr>
                <w:rFonts w:cs="Arial"/>
                <w:lang w:val="en-US"/>
              </w:rPr>
              <w:t>Serie 1:the linear function corresponds to y = 1.555349*103*x + 2.681051*10</w:t>
            </w:r>
            <w:r w:rsidRPr="00685696">
              <w:rPr>
                <w:rFonts w:cs="Arial"/>
                <w:vertAlign w:val="superscript"/>
                <w:lang w:val="en-US"/>
              </w:rPr>
              <w:t>1</w:t>
            </w:r>
            <w:r w:rsidRPr="00685696">
              <w:rPr>
                <w:rFonts w:cs="Arial"/>
                <w:lang w:val="en-US"/>
              </w:rPr>
              <w:t>(y = peak area, x = IPBC content in mg/L)</w:t>
            </w:r>
          </w:p>
          <w:p w14:paraId="4E23086F" w14:textId="77777777" w:rsidR="00FC1D49" w:rsidRPr="00685696" w:rsidRDefault="00FC1D49" w:rsidP="00AD0582">
            <w:pPr>
              <w:rPr>
                <w:rFonts w:cs="Arial"/>
                <w:lang w:val="en-US"/>
              </w:rPr>
            </w:pPr>
            <w:r w:rsidRPr="00685696">
              <w:rPr>
                <w:rFonts w:cs="Arial"/>
                <w:lang w:val="en-US"/>
              </w:rPr>
              <w:t>The determination coefficient r² is equal to 0.996143 so the correlation coefficient r is equal to 0.9981 showing a good linearity.</w:t>
            </w:r>
          </w:p>
          <w:p w14:paraId="31076450" w14:textId="77777777" w:rsidR="00FC1D49" w:rsidRPr="00685696" w:rsidRDefault="00FC1D49" w:rsidP="00AD0582">
            <w:pPr>
              <w:rPr>
                <w:rFonts w:cs="Arial"/>
                <w:lang w:val="en-US"/>
              </w:rPr>
            </w:pPr>
            <w:r w:rsidRPr="00685696">
              <w:rPr>
                <w:rFonts w:cs="Arial"/>
                <w:lang w:val="en-US"/>
              </w:rPr>
              <w:t>Serie 2:the linear function corresponds to y = 1.639031*103*x – 3.214651*10</w:t>
            </w:r>
            <w:r w:rsidRPr="00685696">
              <w:rPr>
                <w:rFonts w:cs="Arial"/>
                <w:vertAlign w:val="superscript"/>
                <w:lang w:val="en-US"/>
              </w:rPr>
              <w:t>3</w:t>
            </w:r>
            <w:r w:rsidRPr="00685696">
              <w:rPr>
                <w:rFonts w:cs="Arial"/>
                <w:lang w:val="en-US"/>
              </w:rPr>
              <w:t>(y = peak area, x = IPBC content in mg/L)</w:t>
            </w:r>
          </w:p>
          <w:p w14:paraId="03A030AD" w14:textId="77777777" w:rsidR="00FC1D49" w:rsidRPr="00685696" w:rsidRDefault="00FC1D49" w:rsidP="00AD0582">
            <w:pPr>
              <w:rPr>
                <w:rFonts w:cs="Arial"/>
                <w:lang w:val="en-US"/>
              </w:rPr>
            </w:pPr>
            <w:r w:rsidRPr="00685696">
              <w:rPr>
                <w:rFonts w:cs="Arial"/>
                <w:lang w:val="en-US"/>
              </w:rPr>
              <w:t>The determination coefficient r² is equal to 0.998027 so the correlation coefficient r is equal to 0.9990 showing a good linearity.</w:t>
            </w:r>
          </w:p>
          <w:p w14:paraId="337807A2" w14:textId="77777777" w:rsidR="00FC1D49" w:rsidRPr="00685696" w:rsidRDefault="00FC1D49" w:rsidP="00AD0582">
            <w:pPr>
              <w:rPr>
                <w:rFonts w:cs="Arial"/>
                <w:lang w:val="en-US"/>
              </w:rPr>
            </w:pPr>
            <w:r w:rsidRPr="00685696">
              <w:rPr>
                <w:rFonts w:cs="Arial"/>
                <w:lang w:val="en-US"/>
              </w:rPr>
              <w:lastRenderedPageBreak/>
              <w:t>The applied method to quantify each active substance at the declared value in the test item 13/1139F/1 is considered as linear on the calibration range.</w:t>
            </w:r>
          </w:p>
          <w:p w14:paraId="1EC9A0D4" w14:textId="77777777" w:rsidR="00FC1D49" w:rsidRPr="00685696" w:rsidRDefault="00FC1D49" w:rsidP="00AD0582">
            <w:pPr>
              <w:rPr>
                <w:rFonts w:cs="Arial"/>
                <w:lang w:val="en-US"/>
              </w:rPr>
            </w:pPr>
          </w:p>
        </w:tc>
      </w:tr>
      <w:tr w:rsidR="00FC1D49" w:rsidRPr="00685696" w14:paraId="28D34B41" w14:textId="77777777" w:rsidTr="00AD0582">
        <w:trPr>
          <w:cantSplit/>
          <w:trHeight w:val="543"/>
        </w:trPr>
        <w:tc>
          <w:tcPr>
            <w:tcW w:w="2714" w:type="dxa"/>
            <w:tcBorders>
              <w:top w:val="single" w:sz="6" w:space="0" w:color="auto"/>
              <w:left w:val="single" w:sz="6" w:space="0" w:color="auto"/>
              <w:bottom w:val="single" w:sz="6" w:space="0" w:color="auto"/>
              <w:right w:val="double" w:sz="4" w:space="0" w:color="auto"/>
            </w:tcBorders>
            <w:hideMark/>
          </w:tcPr>
          <w:p w14:paraId="7E1B0DB2" w14:textId="77777777" w:rsidR="00FC1D49" w:rsidRPr="00685696" w:rsidRDefault="00FC1D49" w:rsidP="00AD0582">
            <w:pPr>
              <w:spacing w:line="288" w:lineRule="auto"/>
              <w:rPr>
                <w:rFonts w:cs="Arial"/>
              </w:rPr>
            </w:pPr>
            <w:r w:rsidRPr="00685696">
              <w:rPr>
                <w:rFonts w:cs="Arial"/>
              </w:rPr>
              <w:lastRenderedPageBreak/>
              <w:t>Precision</w:t>
            </w:r>
          </w:p>
        </w:tc>
        <w:tc>
          <w:tcPr>
            <w:tcW w:w="6372" w:type="dxa"/>
            <w:tcBorders>
              <w:top w:val="single" w:sz="6" w:space="0" w:color="auto"/>
              <w:left w:val="double" w:sz="4" w:space="0" w:color="auto"/>
              <w:bottom w:val="single" w:sz="4" w:space="0" w:color="auto"/>
              <w:right w:val="single" w:sz="6" w:space="0" w:color="auto"/>
            </w:tcBorders>
          </w:tcPr>
          <w:p w14:paraId="6EE970A7" w14:textId="77777777" w:rsidR="00FC1D49" w:rsidRPr="00685696" w:rsidRDefault="00FC1D49" w:rsidP="00AD0582">
            <w:pPr>
              <w:spacing w:line="288" w:lineRule="auto"/>
              <w:rPr>
                <w:rFonts w:cs="Arial"/>
                <w:lang w:val="en-US"/>
              </w:rPr>
            </w:pPr>
            <w:r w:rsidRPr="00685696">
              <w:rPr>
                <w:rFonts w:cs="Arial"/>
                <w:lang w:val="en-US"/>
              </w:rPr>
              <w:t>Precision was performed with 6 samples of the test item.</w:t>
            </w:r>
          </w:p>
          <w:p w14:paraId="0C93B4C7" w14:textId="77777777" w:rsidR="00FC1D49" w:rsidRPr="00685696" w:rsidRDefault="00FC1D49" w:rsidP="00AD0582">
            <w:pPr>
              <w:spacing w:line="288" w:lineRule="auto"/>
              <w:rPr>
                <w:rFonts w:cs="Arial"/>
                <w:b/>
                <w:lang w:val="en-US"/>
              </w:rPr>
            </w:pPr>
            <w:r w:rsidRPr="00685696">
              <w:rPr>
                <w:rFonts w:cs="Arial"/>
                <w:b/>
                <w:lang w:val="en-US"/>
              </w:rPr>
              <w:t>Propiconazole</w:t>
            </w:r>
          </w:p>
          <w:p w14:paraId="198ADE62" w14:textId="77777777" w:rsidR="00FC1D49" w:rsidRPr="00685696" w:rsidRDefault="00FC1D49" w:rsidP="00AD0582">
            <w:pPr>
              <w:spacing w:line="288" w:lineRule="auto"/>
              <w:rPr>
                <w:rFonts w:cs="Arial"/>
                <w:lang w:val="en-US"/>
              </w:rPr>
            </w:pPr>
            <w:r w:rsidRPr="00685696">
              <w:rPr>
                <w:rFonts w:cs="Arial"/>
                <w:lang w:val="en-US"/>
              </w:rPr>
              <w:t>RSD=1.25% (RSD</w:t>
            </w:r>
            <w:r w:rsidRPr="00685696">
              <w:rPr>
                <w:rFonts w:cs="Arial"/>
                <w:vertAlign w:val="subscript"/>
                <w:lang w:val="en-US"/>
              </w:rPr>
              <w:t>R</w:t>
            </w:r>
            <w:r w:rsidRPr="00685696">
              <w:rPr>
                <w:rFonts w:cs="Arial"/>
                <w:lang w:val="en-US"/>
              </w:rPr>
              <w:t>=3.56% with C=0.0015)</w:t>
            </w:r>
          </w:p>
          <w:p w14:paraId="7F820FE4" w14:textId="77777777" w:rsidR="00FC1D49" w:rsidRPr="00685696" w:rsidRDefault="00FC1D49" w:rsidP="00AD0582">
            <w:pPr>
              <w:spacing w:line="288" w:lineRule="auto"/>
              <w:rPr>
                <w:rFonts w:cs="Arial"/>
                <w:b/>
                <w:lang w:val="en-US"/>
              </w:rPr>
            </w:pPr>
            <w:r w:rsidRPr="00685696">
              <w:rPr>
                <w:rFonts w:cs="Arial"/>
                <w:b/>
                <w:lang w:val="en-US"/>
              </w:rPr>
              <w:t>Cypermethrin</w:t>
            </w:r>
          </w:p>
          <w:p w14:paraId="3BA8AA2B" w14:textId="77777777" w:rsidR="00FC1D49" w:rsidRPr="00685696" w:rsidRDefault="00FC1D49" w:rsidP="00AD0582">
            <w:pPr>
              <w:spacing w:line="288" w:lineRule="auto"/>
              <w:rPr>
                <w:rFonts w:cs="Arial"/>
                <w:lang w:val="en-US"/>
              </w:rPr>
            </w:pPr>
            <w:r w:rsidRPr="00685696">
              <w:rPr>
                <w:rFonts w:cs="Arial"/>
                <w:lang w:val="en-US"/>
              </w:rPr>
              <w:t>RSD=1.43% (RSD</w:t>
            </w:r>
            <w:r w:rsidRPr="00685696">
              <w:rPr>
                <w:rFonts w:cs="Arial"/>
                <w:vertAlign w:val="subscript"/>
                <w:lang w:val="en-US"/>
              </w:rPr>
              <w:t>R</w:t>
            </w:r>
            <w:r w:rsidRPr="00685696">
              <w:rPr>
                <w:rFonts w:cs="Arial"/>
                <w:lang w:val="en-US"/>
              </w:rPr>
              <w:t>=3.99% with C=0.0007)</w:t>
            </w:r>
          </w:p>
          <w:p w14:paraId="509515B4" w14:textId="77777777" w:rsidR="00FC1D49" w:rsidRPr="00685696" w:rsidRDefault="00FC1D49" w:rsidP="00AD0582">
            <w:pPr>
              <w:spacing w:line="288" w:lineRule="auto"/>
              <w:rPr>
                <w:rFonts w:cs="Arial"/>
                <w:lang w:val="en-US"/>
              </w:rPr>
            </w:pPr>
            <w:r w:rsidRPr="00685696">
              <w:rPr>
                <w:rFonts w:cs="Arial"/>
                <w:b/>
                <w:lang w:val="en-US"/>
              </w:rPr>
              <w:t>Tebuconazole</w:t>
            </w:r>
            <w:r w:rsidRPr="00685696">
              <w:rPr>
                <w:rFonts w:cs="Arial"/>
                <w:lang w:val="en-US"/>
              </w:rPr>
              <w:t xml:space="preserve"> </w:t>
            </w:r>
          </w:p>
          <w:p w14:paraId="026E6B51" w14:textId="77777777" w:rsidR="00FC1D49" w:rsidRPr="00685696" w:rsidRDefault="00FC1D49" w:rsidP="00AD0582">
            <w:pPr>
              <w:spacing w:line="288" w:lineRule="auto"/>
              <w:rPr>
                <w:rFonts w:cs="Arial"/>
                <w:lang w:val="en-US"/>
              </w:rPr>
            </w:pPr>
            <w:r w:rsidRPr="00685696">
              <w:rPr>
                <w:rFonts w:cs="Arial"/>
                <w:lang w:val="en-US"/>
              </w:rPr>
              <w:t>RSD=2.00% (RSD</w:t>
            </w:r>
            <w:r w:rsidRPr="00685696">
              <w:rPr>
                <w:rFonts w:cs="Arial"/>
                <w:vertAlign w:val="subscript"/>
                <w:lang w:val="en-US"/>
              </w:rPr>
              <w:t>R</w:t>
            </w:r>
            <w:r w:rsidRPr="00685696">
              <w:rPr>
                <w:rFonts w:cs="Arial"/>
                <w:lang w:val="en-US"/>
              </w:rPr>
              <w:t>=4.21% with C=0.0005)</w:t>
            </w:r>
          </w:p>
          <w:p w14:paraId="6117BC7E" w14:textId="77777777" w:rsidR="00FC1D49" w:rsidRPr="00685696" w:rsidRDefault="00FC1D49" w:rsidP="00AD0582">
            <w:pPr>
              <w:spacing w:line="288" w:lineRule="auto"/>
              <w:rPr>
                <w:rFonts w:cs="Arial"/>
                <w:b/>
                <w:lang w:val="en-US"/>
              </w:rPr>
            </w:pPr>
            <w:r w:rsidRPr="00685696">
              <w:rPr>
                <w:rFonts w:cs="Arial"/>
                <w:b/>
                <w:lang w:val="en-US"/>
              </w:rPr>
              <w:t>IPBC</w:t>
            </w:r>
          </w:p>
          <w:p w14:paraId="66A72536" w14:textId="77777777" w:rsidR="00FC1D49" w:rsidRPr="00685696" w:rsidRDefault="00FC1D49" w:rsidP="00AD0582">
            <w:pPr>
              <w:spacing w:line="288" w:lineRule="auto"/>
              <w:rPr>
                <w:rFonts w:cs="Arial"/>
                <w:lang w:val="en-US"/>
              </w:rPr>
            </w:pPr>
            <w:r w:rsidRPr="00685696">
              <w:rPr>
                <w:rFonts w:cs="Arial"/>
                <w:lang w:val="en-US"/>
              </w:rPr>
              <w:t>RSD=2.08% (RSD</w:t>
            </w:r>
            <w:r w:rsidRPr="00685696">
              <w:rPr>
                <w:rFonts w:cs="Arial"/>
                <w:vertAlign w:val="subscript"/>
                <w:lang w:val="en-US"/>
              </w:rPr>
              <w:t>R</w:t>
            </w:r>
            <w:r w:rsidRPr="00685696">
              <w:rPr>
                <w:rFonts w:cs="Arial"/>
                <w:lang w:val="en-US"/>
              </w:rPr>
              <w:t>=4.21% with C=0.0005)</w:t>
            </w:r>
          </w:p>
          <w:p w14:paraId="354B67A1" w14:textId="77777777" w:rsidR="00FC1D49" w:rsidRPr="00685696" w:rsidRDefault="00FC1D49" w:rsidP="00AD0582">
            <w:pPr>
              <w:spacing w:line="288" w:lineRule="auto"/>
              <w:rPr>
                <w:rFonts w:cs="Arial"/>
                <w:lang w:val="en-US"/>
              </w:rPr>
            </w:pPr>
          </w:p>
        </w:tc>
      </w:tr>
      <w:tr w:rsidR="00FC1D49" w:rsidRPr="00685696" w14:paraId="3B0C96AB" w14:textId="77777777" w:rsidTr="00AD0582">
        <w:trPr>
          <w:cantSplit/>
          <w:trHeight w:val="1271"/>
        </w:trPr>
        <w:tc>
          <w:tcPr>
            <w:tcW w:w="2714" w:type="dxa"/>
            <w:tcBorders>
              <w:top w:val="single" w:sz="6" w:space="0" w:color="auto"/>
              <w:left w:val="single" w:sz="6" w:space="0" w:color="auto"/>
              <w:bottom w:val="single" w:sz="6" w:space="0" w:color="auto"/>
              <w:right w:val="double" w:sz="4" w:space="0" w:color="auto"/>
            </w:tcBorders>
            <w:hideMark/>
          </w:tcPr>
          <w:p w14:paraId="4CFAC631" w14:textId="77777777" w:rsidR="00FC1D49" w:rsidRPr="00685696" w:rsidRDefault="00FC1D49" w:rsidP="00AD0582">
            <w:pPr>
              <w:spacing w:line="288" w:lineRule="auto"/>
              <w:rPr>
                <w:rFonts w:cs="Arial"/>
              </w:rPr>
            </w:pPr>
            <w:r w:rsidRPr="00685696">
              <w:rPr>
                <w:rFonts w:cs="Arial"/>
              </w:rPr>
              <w:t>Accuracy</w:t>
            </w:r>
          </w:p>
        </w:tc>
        <w:tc>
          <w:tcPr>
            <w:tcW w:w="6372" w:type="dxa"/>
            <w:tcBorders>
              <w:top w:val="single" w:sz="6" w:space="0" w:color="auto"/>
              <w:left w:val="double" w:sz="4" w:space="0" w:color="auto"/>
              <w:bottom w:val="single" w:sz="4" w:space="0" w:color="auto"/>
              <w:right w:val="single" w:sz="6" w:space="0" w:color="auto"/>
            </w:tcBorders>
            <w:hideMark/>
          </w:tcPr>
          <w:p w14:paraId="4B922DE0" w14:textId="77777777" w:rsidR="00FC1D49" w:rsidRPr="00685696" w:rsidRDefault="00FC1D49" w:rsidP="00AD0582">
            <w:pPr>
              <w:rPr>
                <w:rFonts w:cs="Arial"/>
                <w:lang w:val="en-US"/>
              </w:rPr>
            </w:pPr>
            <w:r w:rsidRPr="00685696">
              <w:rPr>
                <w:rFonts w:cs="Arial"/>
                <w:lang w:val="en-US"/>
              </w:rPr>
              <w:t>Accuracy was determined by analysis of 12 independent determinations in which known amounts of the reference substance were added to a blank formulation. The accuracy results are expressed as the recovery rate. The matrix was spiked at following active substance concentrations:</w:t>
            </w:r>
          </w:p>
          <w:p w14:paraId="41F6CFAE" w14:textId="77777777" w:rsidR="00FC1D49" w:rsidRPr="00685696" w:rsidRDefault="00FC1D49" w:rsidP="00F32B7F">
            <w:pPr>
              <w:pStyle w:val="Paragraphedeliste"/>
              <w:numPr>
                <w:ilvl w:val="0"/>
                <w:numId w:val="21"/>
              </w:numPr>
              <w:suppressAutoHyphens w:val="0"/>
              <w:contextualSpacing/>
              <w:rPr>
                <w:rFonts w:cs="Arial"/>
                <w:lang w:val="en-US"/>
              </w:rPr>
            </w:pPr>
            <w:r w:rsidRPr="00685696">
              <w:rPr>
                <w:rFonts w:cs="Arial"/>
                <w:lang w:val="en-US"/>
              </w:rPr>
              <w:t>35mg/L for cypermethrin</w:t>
            </w:r>
          </w:p>
          <w:p w14:paraId="348A0FDE" w14:textId="77777777" w:rsidR="00FC1D49" w:rsidRPr="00685696" w:rsidRDefault="00FC1D49" w:rsidP="00F32B7F">
            <w:pPr>
              <w:pStyle w:val="Paragraphedeliste"/>
              <w:numPr>
                <w:ilvl w:val="0"/>
                <w:numId w:val="21"/>
              </w:numPr>
              <w:suppressAutoHyphens w:val="0"/>
              <w:contextualSpacing/>
              <w:rPr>
                <w:rFonts w:cs="Arial"/>
                <w:lang w:val="en-US"/>
              </w:rPr>
            </w:pPr>
            <w:r w:rsidRPr="00685696">
              <w:rPr>
                <w:rFonts w:cs="Arial"/>
                <w:lang w:val="en-US"/>
              </w:rPr>
              <w:t>75mg/L for propiconazole</w:t>
            </w:r>
          </w:p>
          <w:p w14:paraId="2F8F8055" w14:textId="77777777" w:rsidR="00FC1D49" w:rsidRPr="00685696" w:rsidRDefault="00FC1D49" w:rsidP="00F32B7F">
            <w:pPr>
              <w:pStyle w:val="Paragraphedeliste"/>
              <w:numPr>
                <w:ilvl w:val="0"/>
                <w:numId w:val="21"/>
              </w:numPr>
              <w:suppressAutoHyphens w:val="0"/>
              <w:contextualSpacing/>
              <w:rPr>
                <w:rFonts w:cs="Arial"/>
                <w:lang w:val="en-US"/>
              </w:rPr>
            </w:pPr>
            <w:r w:rsidRPr="00685696">
              <w:rPr>
                <w:rFonts w:cs="Arial"/>
                <w:lang w:val="en-US"/>
              </w:rPr>
              <w:t>25mg/L for tebuconazole</w:t>
            </w:r>
          </w:p>
          <w:p w14:paraId="2F3AF7B3" w14:textId="77777777" w:rsidR="00FC1D49" w:rsidRPr="00685696" w:rsidRDefault="00FC1D49" w:rsidP="00F32B7F">
            <w:pPr>
              <w:pStyle w:val="Paragraphedeliste"/>
              <w:numPr>
                <w:ilvl w:val="0"/>
                <w:numId w:val="21"/>
              </w:numPr>
              <w:suppressAutoHyphens w:val="0"/>
              <w:contextualSpacing/>
              <w:rPr>
                <w:rFonts w:cs="Arial"/>
                <w:lang w:val="en-US"/>
              </w:rPr>
            </w:pPr>
            <w:r w:rsidRPr="00685696">
              <w:rPr>
                <w:rFonts w:cs="Arial"/>
                <w:lang w:val="en-US"/>
              </w:rPr>
              <w:t>25mg/L for IPBC</w:t>
            </w:r>
          </w:p>
          <w:p w14:paraId="043D580F" w14:textId="77777777" w:rsidR="00FC1D49" w:rsidRPr="00685696" w:rsidRDefault="00FC1D49" w:rsidP="00AD0582">
            <w:pPr>
              <w:rPr>
                <w:rFonts w:cs="Arial"/>
                <w:lang w:val="en-US"/>
              </w:rPr>
            </w:pPr>
          </w:p>
          <w:p w14:paraId="4067FC9C" w14:textId="77777777" w:rsidR="00FC1D49" w:rsidRPr="00685696" w:rsidRDefault="00FC1D49" w:rsidP="00AD0582">
            <w:pPr>
              <w:rPr>
                <w:rFonts w:cs="Arial"/>
                <w:b/>
                <w:lang w:val="en-US"/>
              </w:rPr>
            </w:pPr>
            <w:r w:rsidRPr="00685696">
              <w:rPr>
                <w:rFonts w:cs="Arial"/>
                <w:b/>
                <w:lang w:val="en-US"/>
              </w:rPr>
              <w:t>Propiconazole</w:t>
            </w:r>
          </w:p>
          <w:p w14:paraId="7052B93F" w14:textId="77777777" w:rsidR="00FC1D49" w:rsidRPr="00685696" w:rsidRDefault="00FC1D49" w:rsidP="00AD0582">
            <w:pPr>
              <w:rPr>
                <w:rFonts w:cs="Arial"/>
                <w:lang w:val="en-US"/>
              </w:rPr>
            </w:pPr>
            <w:r w:rsidRPr="00685696">
              <w:rPr>
                <w:rFonts w:cs="Arial"/>
                <w:lang w:val="en-US"/>
              </w:rPr>
              <w:t xml:space="preserve">Mean recovery rate = 101.9% (n = 12), </w:t>
            </w:r>
          </w:p>
          <w:p w14:paraId="30999827" w14:textId="77777777" w:rsidR="00FC1D49" w:rsidRPr="00685696" w:rsidRDefault="00FC1D49" w:rsidP="00AD0582">
            <w:pPr>
              <w:rPr>
                <w:rFonts w:cs="Arial"/>
                <w:b/>
                <w:lang w:val="en-US"/>
              </w:rPr>
            </w:pPr>
            <w:r w:rsidRPr="00685696">
              <w:rPr>
                <w:rFonts w:cs="Arial"/>
                <w:b/>
                <w:lang w:val="en-US"/>
              </w:rPr>
              <w:t>Cypermethrin</w:t>
            </w:r>
          </w:p>
          <w:p w14:paraId="0F6EEA29" w14:textId="77777777" w:rsidR="00FC1D49" w:rsidRPr="00685696" w:rsidRDefault="00FC1D49" w:rsidP="00AD0582">
            <w:pPr>
              <w:rPr>
                <w:rFonts w:cs="Arial"/>
                <w:lang w:val="en-US"/>
              </w:rPr>
            </w:pPr>
            <w:r w:rsidRPr="00685696">
              <w:rPr>
                <w:rFonts w:cs="Arial"/>
                <w:lang w:val="en-US"/>
              </w:rPr>
              <w:t>Mean recovery rate = 100.6% (n = 12)</w:t>
            </w:r>
          </w:p>
          <w:p w14:paraId="2D19E024" w14:textId="77777777" w:rsidR="00FC1D49" w:rsidRPr="00685696" w:rsidRDefault="00FC1D49" w:rsidP="00AD0582">
            <w:pPr>
              <w:rPr>
                <w:rFonts w:cs="Arial"/>
                <w:b/>
                <w:lang w:val="en-US"/>
              </w:rPr>
            </w:pPr>
            <w:r w:rsidRPr="00685696">
              <w:rPr>
                <w:rFonts w:cs="Arial"/>
                <w:b/>
                <w:lang w:val="en-US"/>
              </w:rPr>
              <w:t>Tebuconazole</w:t>
            </w:r>
          </w:p>
          <w:p w14:paraId="54B89639" w14:textId="77777777" w:rsidR="00FC1D49" w:rsidRPr="00685696" w:rsidRDefault="00FC1D49" w:rsidP="00AD0582">
            <w:pPr>
              <w:rPr>
                <w:rFonts w:cs="Arial"/>
                <w:lang w:val="en-US"/>
              </w:rPr>
            </w:pPr>
            <w:r w:rsidRPr="00685696">
              <w:rPr>
                <w:rFonts w:cs="Arial"/>
                <w:lang w:val="en-US"/>
              </w:rPr>
              <w:t>Mean recovery rate = 101.0% (n = 12)</w:t>
            </w:r>
          </w:p>
          <w:p w14:paraId="4867FE0B" w14:textId="77777777" w:rsidR="00FC1D49" w:rsidRPr="00685696" w:rsidRDefault="00FC1D49" w:rsidP="00AD0582">
            <w:pPr>
              <w:rPr>
                <w:rFonts w:cs="Arial"/>
                <w:b/>
                <w:lang w:val="en-US"/>
              </w:rPr>
            </w:pPr>
            <w:r w:rsidRPr="00685696">
              <w:rPr>
                <w:rFonts w:cs="Arial"/>
                <w:b/>
                <w:lang w:val="en-US"/>
              </w:rPr>
              <w:t>IPBC</w:t>
            </w:r>
          </w:p>
          <w:p w14:paraId="5889D711" w14:textId="77777777" w:rsidR="00FC1D49" w:rsidRPr="00685696" w:rsidRDefault="00FC1D49" w:rsidP="00AD0582">
            <w:pPr>
              <w:rPr>
                <w:rFonts w:cs="Arial"/>
                <w:lang w:val="en-US"/>
              </w:rPr>
            </w:pPr>
            <w:r w:rsidRPr="00685696">
              <w:rPr>
                <w:rFonts w:cs="Arial"/>
                <w:lang w:val="en-US"/>
              </w:rPr>
              <w:t>Mean recovery rate = 104.4% (n = 12)</w:t>
            </w:r>
          </w:p>
        </w:tc>
      </w:tr>
    </w:tbl>
    <w:p w14:paraId="6CFD02BF" w14:textId="4F1F3D73" w:rsidR="00FC1D49" w:rsidRPr="005B478F" w:rsidRDefault="00FC1D49" w:rsidP="00FC1D49">
      <w:pPr>
        <w:keepNext/>
        <w:tabs>
          <w:tab w:val="left" w:pos="142"/>
        </w:tabs>
        <w:spacing w:before="240" w:after="60" w:line="240" w:lineRule="atLeast"/>
        <w:outlineLvl w:val="3"/>
        <w:rPr>
          <w:bCs/>
          <w:szCs w:val="28"/>
        </w:rPr>
      </w:pPr>
      <w:r w:rsidRPr="005B478F">
        <w:rPr>
          <w:bCs/>
          <w:szCs w:val="28"/>
        </w:rPr>
        <w:t>Specificity, linearity, precision and accuracy were checked and are found acceptable.</w:t>
      </w:r>
      <w:r w:rsidR="0099727B" w:rsidRPr="005B478F">
        <w:rPr>
          <w:bCs/>
          <w:szCs w:val="28"/>
        </w:rPr>
        <w:t xml:space="preserve"> Another method has been provided below (E. Jacobsen, M.Klamer, 2016) but it is not sufficiently validated. Method (Raphalen E, 2013) is sufficient.</w:t>
      </w:r>
    </w:p>
    <w:p w14:paraId="415F576B" w14:textId="77777777" w:rsidR="00FC1D49" w:rsidRDefault="00FC1D49" w:rsidP="00FC1D49">
      <w:pPr>
        <w:keepNext/>
        <w:tabs>
          <w:tab w:val="left" w:pos="142"/>
        </w:tabs>
        <w:spacing w:before="240" w:after="60" w:line="240" w:lineRule="atLeast"/>
        <w:outlineLvl w:val="3"/>
        <w:rPr>
          <w:b/>
          <w:bCs/>
          <w:szCs w:val="28"/>
        </w:rPr>
      </w:pP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164BAF" w:rsidRPr="00685696" w14:paraId="0B239EC4" w14:textId="77777777" w:rsidTr="00B829B6">
        <w:tc>
          <w:tcPr>
            <w:tcW w:w="1800" w:type="dxa"/>
            <w:tcBorders>
              <w:right w:val="single" w:sz="4" w:space="0" w:color="auto"/>
            </w:tcBorders>
            <w:shd w:val="clear" w:color="auto" w:fill="auto"/>
          </w:tcPr>
          <w:p w14:paraId="7578E073" w14:textId="77777777" w:rsidR="00164BAF" w:rsidRPr="00685696" w:rsidRDefault="00164BAF" w:rsidP="00B829B6">
            <w:pPr>
              <w:pStyle w:val="OECD-table"/>
              <w:keepNext w:val="0"/>
              <w:rPr>
                <w:rFonts w:ascii="Verdana" w:hAnsi="Verdana" w:cs="Arial"/>
                <w:b/>
              </w:rPr>
            </w:pPr>
            <w:r w:rsidRPr="00685696">
              <w:rPr>
                <w:rFonts w:ascii="Verdana" w:hAnsi="Verdana" w:cs="Arial"/>
                <w:b/>
              </w:rPr>
              <w:t>Report:</w:t>
            </w:r>
          </w:p>
        </w:tc>
        <w:tc>
          <w:tcPr>
            <w:tcW w:w="7328" w:type="dxa"/>
            <w:tcBorders>
              <w:left w:val="single" w:sz="4" w:space="0" w:color="auto"/>
            </w:tcBorders>
            <w:shd w:val="clear" w:color="auto" w:fill="auto"/>
          </w:tcPr>
          <w:p w14:paraId="39479B75" w14:textId="283A805A" w:rsidR="00164BAF" w:rsidRPr="00685696" w:rsidRDefault="00164BAF" w:rsidP="00B829B6">
            <w:pPr>
              <w:pStyle w:val="OECD-table"/>
              <w:keepNext w:val="0"/>
              <w:rPr>
                <w:rFonts w:ascii="Verdana" w:hAnsi="Verdana" w:cs="Arial"/>
                <w:b/>
                <w:lang w:val="nl-NL"/>
              </w:rPr>
            </w:pPr>
            <w:r>
              <w:rPr>
                <w:rFonts w:ascii="Verdana" w:eastAsia="SimSun" w:hAnsi="Verdana" w:cs="Arial"/>
                <w:b/>
                <w:bCs w:val="0"/>
                <w:lang w:val="nl-NL" w:eastAsia="zh-CN" w:bidi="he-IL"/>
              </w:rPr>
              <w:t>E. Jacobsen, M.Klamer, 2016</w:t>
            </w:r>
          </w:p>
        </w:tc>
      </w:tr>
      <w:tr w:rsidR="00164BAF" w:rsidRPr="00685696" w14:paraId="0A06C01D" w14:textId="77777777" w:rsidTr="00B829B6">
        <w:tc>
          <w:tcPr>
            <w:tcW w:w="1800" w:type="dxa"/>
            <w:tcBorders>
              <w:right w:val="single" w:sz="4" w:space="0" w:color="auto"/>
            </w:tcBorders>
            <w:shd w:val="clear" w:color="auto" w:fill="auto"/>
          </w:tcPr>
          <w:p w14:paraId="708E6EB6" w14:textId="77777777" w:rsidR="00164BAF" w:rsidRPr="00685696" w:rsidRDefault="00164BAF" w:rsidP="00B829B6">
            <w:pPr>
              <w:pStyle w:val="OECD-table"/>
              <w:keepNext w:val="0"/>
              <w:rPr>
                <w:rFonts w:ascii="Verdana" w:hAnsi="Verdana" w:cs="Arial"/>
              </w:rPr>
            </w:pPr>
            <w:r w:rsidRPr="00685696">
              <w:rPr>
                <w:rFonts w:ascii="Verdana" w:hAnsi="Verdana" w:cs="Arial"/>
              </w:rPr>
              <w:t>Title:</w:t>
            </w:r>
          </w:p>
        </w:tc>
        <w:tc>
          <w:tcPr>
            <w:tcW w:w="7328" w:type="dxa"/>
            <w:tcBorders>
              <w:left w:val="single" w:sz="4" w:space="0" w:color="auto"/>
            </w:tcBorders>
            <w:shd w:val="clear" w:color="auto" w:fill="auto"/>
          </w:tcPr>
          <w:p w14:paraId="233A2E16" w14:textId="1FF1C34B" w:rsidR="00164BAF" w:rsidRPr="00685696" w:rsidRDefault="00164BAF" w:rsidP="00B829B6">
            <w:pPr>
              <w:autoSpaceDE w:val="0"/>
              <w:autoSpaceDN w:val="0"/>
              <w:adjustRightInd w:val="0"/>
              <w:rPr>
                <w:rFonts w:cs="Arial"/>
                <w:bCs/>
                <w:lang w:val="en-US" w:eastAsia="de-DE"/>
              </w:rPr>
            </w:pPr>
            <w:r>
              <w:rPr>
                <w:rFonts w:cs="Arial"/>
                <w:color w:val="000000"/>
              </w:rPr>
              <w:t>Method report IPBC/PBC</w:t>
            </w:r>
          </w:p>
        </w:tc>
      </w:tr>
      <w:tr w:rsidR="00164BAF" w:rsidRPr="00685696" w14:paraId="4C5103BC" w14:textId="77777777" w:rsidTr="00B829B6">
        <w:tc>
          <w:tcPr>
            <w:tcW w:w="1800" w:type="dxa"/>
            <w:tcBorders>
              <w:right w:val="single" w:sz="4" w:space="0" w:color="auto"/>
            </w:tcBorders>
            <w:shd w:val="clear" w:color="auto" w:fill="auto"/>
          </w:tcPr>
          <w:p w14:paraId="4004BBE7" w14:textId="77777777" w:rsidR="00164BAF" w:rsidRPr="00685696" w:rsidRDefault="00164BAF" w:rsidP="00B829B6">
            <w:pPr>
              <w:pStyle w:val="OECD-table"/>
              <w:keepNext w:val="0"/>
              <w:rPr>
                <w:rFonts w:ascii="Verdana" w:hAnsi="Verdana" w:cs="Arial"/>
              </w:rPr>
            </w:pPr>
            <w:r w:rsidRPr="00685696">
              <w:rPr>
                <w:rFonts w:ascii="Verdana" w:hAnsi="Verdana" w:cs="Arial"/>
              </w:rPr>
              <w:t>Document No</w:t>
            </w:r>
          </w:p>
        </w:tc>
        <w:tc>
          <w:tcPr>
            <w:tcW w:w="7328" w:type="dxa"/>
            <w:tcBorders>
              <w:left w:val="single" w:sz="4" w:space="0" w:color="auto"/>
            </w:tcBorders>
            <w:shd w:val="clear" w:color="auto" w:fill="auto"/>
          </w:tcPr>
          <w:p w14:paraId="10A95C92" w14:textId="0FED6E40" w:rsidR="00164BAF" w:rsidRPr="00685696" w:rsidRDefault="00164BAF" w:rsidP="00B829B6">
            <w:pPr>
              <w:pStyle w:val="OECD-table"/>
              <w:keepNext w:val="0"/>
              <w:rPr>
                <w:rFonts w:ascii="Verdana" w:hAnsi="Verdana" w:cs="Arial"/>
                <w:szCs w:val="20"/>
              </w:rPr>
            </w:pPr>
            <w:r>
              <w:rPr>
                <w:rFonts w:ascii="Verdana" w:hAnsi="Verdana" w:cs="Arial"/>
                <w:szCs w:val="20"/>
              </w:rPr>
              <w:t>635281_650541</w:t>
            </w:r>
          </w:p>
        </w:tc>
      </w:tr>
      <w:tr w:rsidR="00164BAF" w:rsidRPr="00685696" w14:paraId="46C6D6E6" w14:textId="77777777" w:rsidTr="00B829B6">
        <w:tc>
          <w:tcPr>
            <w:tcW w:w="1800" w:type="dxa"/>
            <w:tcBorders>
              <w:right w:val="single" w:sz="4" w:space="0" w:color="auto"/>
            </w:tcBorders>
            <w:shd w:val="clear" w:color="auto" w:fill="auto"/>
          </w:tcPr>
          <w:p w14:paraId="5B093410" w14:textId="77777777" w:rsidR="00164BAF" w:rsidRPr="00685696" w:rsidRDefault="00164BAF" w:rsidP="00B829B6">
            <w:pPr>
              <w:pStyle w:val="OECD-table"/>
              <w:keepNext w:val="0"/>
              <w:rPr>
                <w:rFonts w:ascii="Verdana" w:hAnsi="Verdana"/>
              </w:rPr>
            </w:pPr>
            <w:r w:rsidRPr="00685696">
              <w:rPr>
                <w:rFonts w:ascii="Verdana" w:hAnsi="Verdana"/>
              </w:rPr>
              <w:t>Test facility</w:t>
            </w:r>
          </w:p>
        </w:tc>
        <w:tc>
          <w:tcPr>
            <w:tcW w:w="7328" w:type="dxa"/>
            <w:tcBorders>
              <w:left w:val="single" w:sz="4" w:space="0" w:color="auto"/>
            </w:tcBorders>
            <w:shd w:val="clear" w:color="auto" w:fill="auto"/>
          </w:tcPr>
          <w:p w14:paraId="0B1F31D1" w14:textId="58A7226C" w:rsidR="00164BAF" w:rsidRPr="00685696" w:rsidRDefault="00164BAF" w:rsidP="00B829B6">
            <w:pPr>
              <w:pStyle w:val="OECD-table"/>
              <w:keepNext w:val="0"/>
              <w:rPr>
                <w:rFonts w:ascii="Verdana" w:hAnsi="Verdana"/>
                <w:szCs w:val="20"/>
              </w:rPr>
            </w:pPr>
            <w:r>
              <w:rPr>
                <w:rFonts w:ascii="Verdana" w:hAnsi="Verdana"/>
                <w:szCs w:val="20"/>
              </w:rPr>
              <w:t>Danish Technological Institute, Aarhus Laboratory for Chemistry and Microbiology</w:t>
            </w:r>
          </w:p>
        </w:tc>
      </w:tr>
      <w:tr w:rsidR="00164BAF" w:rsidRPr="00685696" w14:paraId="11379BC8" w14:textId="77777777" w:rsidTr="00B829B6">
        <w:tc>
          <w:tcPr>
            <w:tcW w:w="1800" w:type="dxa"/>
            <w:tcBorders>
              <w:right w:val="single" w:sz="4" w:space="0" w:color="auto"/>
            </w:tcBorders>
            <w:shd w:val="clear" w:color="auto" w:fill="auto"/>
          </w:tcPr>
          <w:p w14:paraId="552F0354" w14:textId="77777777" w:rsidR="00164BAF" w:rsidRPr="00685696" w:rsidRDefault="00164BAF" w:rsidP="00B829B6">
            <w:pPr>
              <w:pStyle w:val="OECD-table"/>
              <w:keepNext w:val="0"/>
              <w:rPr>
                <w:rFonts w:ascii="Verdana" w:hAnsi="Verdana" w:cs="Arial"/>
              </w:rPr>
            </w:pPr>
            <w:r w:rsidRPr="00685696">
              <w:rPr>
                <w:rFonts w:ascii="Verdana" w:hAnsi="Verdana" w:cs="Arial"/>
              </w:rPr>
              <w:t>Guidelines:</w:t>
            </w:r>
          </w:p>
        </w:tc>
        <w:tc>
          <w:tcPr>
            <w:tcW w:w="7328" w:type="dxa"/>
            <w:tcBorders>
              <w:left w:val="single" w:sz="4" w:space="0" w:color="auto"/>
            </w:tcBorders>
            <w:shd w:val="clear" w:color="auto" w:fill="auto"/>
          </w:tcPr>
          <w:p w14:paraId="079F9C30" w14:textId="77777777" w:rsidR="00164BAF" w:rsidRPr="00685696" w:rsidRDefault="00164BAF" w:rsidP="00B829B6">
            <w:pPr>
              <w:pStyle w:val="OECD-table"/>
              <w:keepNext w:val="0"/>
              <w:rPr>
                <w:rFonts w:ascii="Verdana" w:hAnsi="Verdana" w:cs="Arial"/>
              </w:rPr>
            </w:pPr>
            <w:r w:rsidRPr="00685696">
              <w:rPr>
                <w:rFonts w:ascii="Verdana" w:hAnsi="Verdana" w:cs="Arial"/>
              </w:rPr>
              <w:t xml:space="preserve">SANCO/3030/99 rev.4. </w:t>
            </w:r>
          </w:p>
        </w:tc>
      </w:tr>
      <w:tr w:rsidR="00164BAF" w:rsidRPr="00685696" w14:paraId="5C914D92" w14:textId="77777777" w:rsidTr="00B829B6">
        <w:tc>
          <w:tcPr>
            <w:tcW w:w="1800" w:type="dxa"/>
            <w:tcBorders>
              <w:right w:val="single" w:sz="4" w:space="0" w:color="auto"/>
            </w:tcBorders>
            <w:shd w:val="clear" w:color="auto" w:fill="auto"/>
          </w:tcPr>
          <w:p w14:paraId="1D5FFFEE" w14:textId="77777777" w:rsidR="00164BAF" w:rsidRPr="00685696" w:rsidRDefault="00164BAF" w:rsidP="00B829B6">
            <w:pPr>
              <w:pStyle w:val="OECD-table"/>
              <w:keepNext w:val="0"/>
              <w:rPr>
                <w:rFonts w:ascii="Verdana" w:hAnsi="Verdana" w:cs="Arial"/>
              </w:rPr>
            </w:pPr>
            <w:r w:rsidRPr="00685696">
              <w:rPr>
                <w:rFonts w:ascii="Verdana" w:hAnsi="Verdana" w:cs="Arial"/>
              </w:rPr>
              <w:t>GLP</w:t>
            </w:r>
          </w:p>
        </w:tc>
        <w:tc>
          <w:tcPr>
            <w:tcW w:w="7328" w:type="dxa"/>
            <w:tcBorders>
              <w:left w:val="single" w:sz="4" w:space="0" w:color="auto"/>
            </w:tcBorders>
            <w:shd w:val="clear" w:color="auto" w:fill="auto"/>
          </w:tcPr>
          <w:p w14:paraId="06EA10C0" w14:textId="77777777" w:rsidR="00164BAF" w:rsidRPr="00685696" w:rsidRDefault="00164BAF" w:rsidP="00B829B6">
            <w:pPr>
              <w:pStyle w:val="OECD-table"/>
              <w:keepNext w:val="0"/>
              <w:rPr>
                <w:rFonts w:ascii="Verdana" w:hAnsi="Verdana" w:cs="Arial"/>
              </w:rPr>
            </w:pPr>
            <w:r w:rsidRPr="00685696">
              <w:rPr>
                <w:rFonts w:ascii="Verdana" w:hAnsi="Verdana" w:cs="Arial"/>
              </w:rPr>
              <w:t>Yes</w:t>
            </w:r>
          </w:p>
        </w:tc>
      </w:tr>
    </w:tbl>
    <w:p w14:paraId="04CADC7A" w14:textId="77777777" w:rsidR="00164BAF" w:rsidRDefault="00164BAF" w:rsidP="00FC1D49">
      <w:pPr>
        <w:keepNext/>
        <w:tabs>
          <w:tab w:val="left" w:pos="142"/>
        </w:tabs>
        <w:spacing w:before="240" w:after="60" w:line="240" w:lineRule="atLeast"/>
        <w:outlineLvl w:val="3"/>
        <w:rPr>
          <w:b/>
          <w:bCs/>
          <w:szCs w:val="28"/>
        </w:rPr>
      </w:pPr>
    </w:p>
    <w:p w14:paraId="54177FFC" w14:textId="429C4DB8" w:rsidR="00CE1B41" w:rsidRDefault="00164BAF" w:rsidP="00FC1D49">
      <w:pPr>
        <w:keepNext/>
        <w:tabs>
          <w:tab w:val="left" w:pos="142"/>
        </w:tabs>
        <w:spacing w:before="240" w:after="60" w:line="240" w:lineRule="atLeast"/>
        <w:outlineLvl w:val="3"/>
        <w:rPr>
          <w:bCs/>
          <w:szCs w:val="28"/>
        </w:rPr>
      </w:pPr>
      <w:r>
        <w:rPr>
          <w:b/>
          <w:bCs/>
          <w:szCs w:val="28"/>
        </w:rPr>
        <w:t xml:space="preserve">Principle: </w:t>
      </w:r>
      <w:r>
        <w:rPr>
          <w:bCs/>
          <w:szCs w:val="28"/>
        </w:rPr>
        <w:t xml:space="preserve">the method involves dilution with methanol. Samples are shaken </w:t>
      </w:r>
      <w:r w:rsidR="005948B7">
        <w:rPr>
          <w:bCs/>
          <w:szCs w:val="28"/>
        </w:rPr>
        <w:t xml:space="preserve">for 30 min, </w:t>
      </w:r>
      <w:r>
        <w:rPr>
          <w:bCs/>
          <w:szCs w:val="28"/>
        </w:rPr>
        <w:t xml:space="preserve">placed in an ultrasonic bath </w:t>
      </w:r>
      <w:r w:rsidR="004D06FA">
        <w:rPr>
          <w:bCs/>
          <w:szCs w:val="28"/>
        </w:rPr>
        <w:t>for 15min</w:t>
      </w:r>
      <w:r w:rsidR="005948B7">
        <w:rPr>
          <w:bCs/>
          <w:szCs w:val="28"/>
        </w:rPr>
        <w:t xml:space="preserve"> and then filtered at 45µm</w:t>
      </w:r>
      <w:r>
        <w:rPr>
          <w:bCs/>
          <w:szCs w:val="28"/>
        </w:rPr>
        <w:t>. Analysis by reversed phase HPLC with diode aray detection and by using an external standard.</w:t>
      </w:r>
    </w:p>
    <w:p w14:paraId="1917D647" w14:textId="77777777" w:rsidR="003076B2" w:rsidRDefault="003076B2" w:rsidP="00FC1D49">
      <w:pPr>
        <w:keepNext/>
        <w:tabs>
          <w:tab w:val="left" w:pos="142"/>
        </w:tabs>
        <w:spacing w:before="240" w:after="60" w:line="240" w:lineRule="atLeast"/>
        <w:outlineLvl w:val="3"/>
        <w:rPr>
          <w:bCs/>
          <w:szCs w:val="28"/>
        </w:rPr>
      </w:pPr>
    </w:p>
    <w:p w14:paraId="42842DB2" w14:textId="38630968" w:rsidR="003076B2" w:rsidRPr="003076B2" w:rsidRDefault="003076B2" w:rsidP="00FC1D49">
      <w:pPr>
        <w:keepNext/>
        <w:tabs>
          <w:tab w:val="left" w:pos="142"/>
        </w:tabs>
        <w:spacing w:before="240" w:after="60" w:line="240" w:lineRule="atLeast"/>
        <w:outlineLvl w:val="3"/>
        <w:rPr>
          <w:bCs/>
          <w:szCs w:val="28"/>
          <w:u w:val="single"/>
        </w:rPr>
      </w:pPr>
      <w:r w:rsidRPr="003076B2">
        <w:rPr>
          <w:bCs/>
          <w:szCs w:val="28"/>
          <w:u w:val="single"/>
        </w:rPr>
        <w:t>Analytical conditions</w:t>
      </w:r>
    </w:p>
    <w:p w14:paraId="1E96519C" w14:textId="77777777" w:rsidR="003076B2" w:rsidRPr="003076B2" w:rsidRDefault="003076B2" w:rsidP="003076B2">
      <w:pPr>
        <w:suppressAutoHyphens w:val="0"/>
        <w:autoSpaceDE w:val="0"/>
        <w:autoSpaceDN w:val="0"/>
        <w:adjustRightInd w:val="0"/>
        <w:jc w:val="left"/>
        <w:rPr>
          <w:color w:val="000000"/>
          <w:lang w:val="en-US" w:eastAsia="fr-FR"/>
        </w:rPr>
      </w:pPr>
      <w:r w:rsidRPr="003076B2">
        <w:rPr>
          <w:color w:val="000000"/>
          <w:lang w:val="en-US" w:eastAsia="fr-FR"/>
        </w:rPr>
        <w:t xml:space="preserve">Agilent HPLC-DAD 1260 </w:t>
      </w:r>
    </w:p>
    <w:p w14:paraId="07C58246" w14:textId="77777777" w:rsidR="003076B2" w:rsidRPr="003076B2" w:rsidRDefault="003076B2" w:rsidP="003076B2">
      <w:pPr>
        <w:suppressAutoHyphens w:val="0"/>
        <w:autoSpaceDE w:val="0"/>
        <w:autoSpaceDN w:val="0"/>
        <w:adjustRightInd w:val="0"/>
        <w:jc w:val="left"/>
        <w:rPr>
          <w:color w:val="000000"/>
          <w:lang w:val="en-US" w:eastAsia="fr-FR"/>
        </w:rPr>
      </w:pPr>
      <w:r w:rsidRPr="003076B2">
        <w:rPr>
          <w:color w:val="000000"/>
          <w:lang w:val="en-US" w:eastAsia="fr-FR"/>
        </w:rPr>
        <w:t>Column: Kinetex C18, 100A, 150 mm, 4</w:t>
      </w:r>
      <w:proofErr w:type="gramStart"/>
      <w:r w:rsidRPr="003076B2">
        <w:rPr>
          <w:color w:val="000000"/>
          <w:lang w:val="en-US" w:eastAsia="fr-FR"/>
        </w:rPr>
        <w:t>,6</w:t>
      </w:r>
      <w:proofErr w:type="gramEnd"/>
      <w:r w:rsidRPr="003076B2">
        <w:rPr>
          <w:color w:val="000000"/>
          <w:lang w:val="en-US" w:eastAsia="fr-FR"/>
        </w:rPr>
        <w:t xml:space="preserve"> mm, 5 </w:t>
      </w:r>
      <w:r w:rsidRPr="003076B2">
        <w:rPr>
          <w:color w:val="000000"/>
          <w:lang w:val="fr-FR" w:eastAsia="fr-FR"/>
        </w:rPr>
        <w:t>μ</w:t>
      </w:r>
      <w:r w:rsidRPr="003076B2">
        <w:rPr>
          <w:color w:val="000000"/>
          <w:lang w:val="en-US" w:eastAsia="fr-FR"/>
        </w:rPr>
        <w:t xml:space="preserve">m, Phenomenex </w:t>
      </w:r>
    </w:p>
    <w:p w14:paraId="3F237E89" w14:textId="77777777" w:rsidR="003076B2" w:rsidRPr="003076B2" w:rsidRDefault="003076B2" w:rsidP="003076B2">
      <w:pPr>
        <w:suppressAutoHyphens w:val="0"/>
        <w:autoSpaceDE w:val="0"/>
        <w:autoSpaceDN w:val="0"/>
        <w:adjustRightInd w:val="0"/>
        <w:jc w:val="left"/>
        <w:rPr>
          <w:color w:val="000000"/>
          <w:lang w:val="en-US" w:eastAsia="fr-FR"/>
        </w:rPr>
      </w:pPr>
      <w:r w:rsidRPr="003076B2">
        <w:rPr>
          <w:color w:val="000000"/>
          <w:lang w:val="en-US" w:eastAsia="fr-FR"/>
        </w:rPr>
        <w:t xml:space="preserve">Column temperature: 32 °C </w:t>
      </w:r>
    </w:p>
    <w:p w14:paraId="4FBA3612" w14:textId="77777777" w:rsidR="003076B2" w:rsidRPr="003076B2" w:rsidRDefault="003076B2" w:rsidP="003076B2">
      <w:pPr>
        <w:suppressAutoHyphens w:val="0"/>
        <w:autoSpaceDE w:val="0"/>
        <w:autoSpaceDN w:val="0"/>
        <w:adjustRightInd w:val="0"/>
        <w:jc w:val="left"/>
        <w:rPr>
          <w:color w:val="000000"/>
          <w:lang w:val="en-US" w:eastAsia="fr-FR"/>
        </w:rPr>
      </w:pPr>
      <w:r w:rsidRPr="003076B2">
        <w:rPr>
          <w:color w:val="000000"/>
          <w:lang w:val="en-US" w:eastAsia="fr-FR"/>
        </w:rPr>
        <w:t xml:space="preserve">Program: Gradient with mobile phases of MilliQ-water (pH 3 with phosphor acid) and acetonitrile, 65%:35% to 0%:100% in 16 min, 0%:100% to 65%:35% in 3 min. Total time 20 min. </w:t>
      </w:r>
    </w:p>
    <w:p w14:paraId="35B92463" w14:textId="77777777" w:rsidR="003076B2" w:rsidRPr="003076B2" w:rsidRDefault="003076B2" w:rsidP="003076B2">
      <w:pPr>
        <w:suppressAutoHyphens w:val="0"/>
        <w:autoSpaceDE w:val="0"/>
        <w:autoSpaceDN w:val="0"/>
        <w:adjustRightInd w:val="0"/>
        <w:jc w:val="left"/>
        <w:rPr>
          <w:color w:val="000000"/>
          <w:lang w:val="en-US" w:eastAsia="fr-FR"/>
        </w:rPr>
      </w:pPr>
      <w:r w:rsidRPr="003076B2">
        <w:rPr>
          <w:color w:val="000000"/>
          <w:lang w:val="en-US" w:eastAsia="fr-FR"/>
        </w:rPr>
        <w:t xml:space="preserve">Flow: 0.75 mL/min. </w:t>
      </w:r>
    </w:p>
    <w:p w14:paraId="636DF66D" w14:textId="77777777" w:rsidR="00A71096" w:rsidRDefault="003076B2" w:rsidP="00A71096">
      <w:pPr>
        <w:suppressAutoHyphens w:val="0"/>
        <w:autoSpaceDE w:val="0"/>
        <w:autoSpaceDN w:val="0"/>
        <w:adjustRightInd w:val="0"/>
        <w:jc w:val="left"/>
        <w:rPr>
          <w:color w:val="000000"/>
          <w:lang w:val="en-US" w:eastAsia="fr-FR"/>
        </w:rPr>
      </w:pPr>
      <w:r w:rsidRPr="003076B2">
        <w:rPr>
          <w:color w:val="000000"/>
          <w:lang w:val="en-US" w:eastAsia="fr-FR"/>
        </w:rPr>
        <w:t xml:space="preserve">Injection volume 25 </w:t>
      </w:r>
      <w:r w:rsidRPr="003076B2">
        <w:rPr>
          <w:color w:val="000000"/>
          <w:lang w:val="fr-FR" w:eastAsia="fr-FR"/>
        </w:rPr>
        <w:t>μ</w:t>
      </w:r>
      <w:r w:rsidRPr="003076B2">
        <w:rPr>
          <w:color w:val="000000"/>
          <w:lang w:val="en-US" w:eastAsia="fr-FR"/>
        </w:rPr>
        <w:t xml:space="preserve">L </w:t>
      </w:r>
    </w:p>
    <w:p w14:paraId="5AFF013D" w14:textId="77777777" w:rsidR="00A71096" w:rsidRDefault="003076B2" w:rsidP="00A71096">
      <w:pPr>
        <w:suppressAutoHyphens w:val="0"/>
        <w:autoSpaceDE w:val="0"/>
        <w:autoSpaceDN w:val="0"/>
        <w:adjustRightInd w:val="0"/>
        <w:jc w:val="left"/>
        <w:rPr>
          <w:color w:val="000000"/>
          <w:lang w:val="en-US" w:eastAsia="fr-FR"/>
        </w:rPr>
      </w:pPr>
      <w:r w:rsidRPr="003076B2">
        <w:rPr>
          <w:color w:val="000000"/>
          <w:lang w:val="en-US" w:eastAsia="fr-FR"/>
        </w:rPr>
        <w:t>Detection: DAD, 200 nm</w:t>
      </w:r>
    </w:p>
    <w:p w14:paraId="2C4DEE2E" w14:textId="77777777" w:rsidR="00A71096" w:rsidRDefault="00A71096" w:rsidP="00A71096">
      <w:pPr>
        <w:suppressAutoHyphens w:val="0"/>
        <w:autoSpaceDE w:val="0"/>
        <w:autoSpaceDN w:val="0"/>
        <w:adjustRightInd w:val="0"/>
        <w:jc w:val="left"/>
        <w:rPr>
          <w:color w:val="000000"/>
          <w:lang w:val="en-US" w:eastAsia="fr-FR"/>
        </w:rPr>
      </w:pPr>
    </w:p>
    <w:p w14:paraId="4142CF99" w14:textId="77777777" w:rsidR="00A71096" w:rsidRDefault="003076B2" w:rsidP="00A71096">
      <w:pPr>
        <w:suppressAutoHyphens w:val="0"/>
        <w:autoSpaceDE w:val="0"/>
        <w:autoSpaceDN w:val="0"/>
        <w:adjustRightInd w:val="0"/>
        <w:jc w:val="left"/>
        <w:rPr>
          <w:b/>
          <w:color w:val="000000"/>
          <w:lang w:val="en-US" w:eastAsia="fr-FR"/>
        </w:rPr>
      </w:pPr>
      <w:r w:rsidRPr="00B829B6">
        <w:rPr>
          <w:b/>
          <w:color w:val="000000"/>
          <w:lang w:val="en-US" w:eastAsia="fr-FR"/>
        </w:rPr>
        <w:t>Findings</w:t>
      </w:r>
    </w:p>
    <w:p w14:paraId="451693A0" w14:textId="77777777" w:rsidR="00A71096" w:rsidRDefault="00A71096" w:rsidP="00A71096">
      <w:pPr>
        <w:suppressAutoHyphens w:val="0"/>
        <w:autoSpaceDE w:val="0"/>
        <w:autoSpaceDN w:val="0"/>
        <w:adjustRightInd w:val="0"/>
        <w:jc w:val="left"/>
        <w:rPr>
          <w:b/>
          <w:color w:val="000000"/>
          <w:lang w:val="en-US" w:eastAsia="fr-FR"/>
        </w:rPr>
      </w:pPr>
    </w:p>
    <w:p w14:paraId="06193C6A" w14:textId="77777777" w:rsidR="00A71096" w:rsidRDefault="003076B2" w:rsidP="00A71096">
      <w:pPr>
        <w:suppressAutoHyphens w:val="0"/>
        <w:autoSpaceDE w:val="0"/>
        <w:autoSpaceDN w:val="0"/>
        <w:adjustRightInd w:val="0"/>
        <w:jc w:val="left"/>
        <w:rPr>
          <w:b/>
          <w:color w:val="000000"/>
          <w:lang w:val="en-US" w:eastAsia="fr-FR"/>
        </w:rPr>
      </w:pPr>
      <w:r w:rsidRPr="00B829B6">
        <w:rPr>
          <w:b/>
          <w:color w:val="000000"/>
          <w:lang w:val="en-US" w:eastAsia="fr-FR"/>
        </w:rPr>
        <w:t>Specificity</w:t>
      </w:r>
    </w:p>
    <w:p w14:paraId="78BF015A" w14:textId="112F5C84" w:rsidR="003076B2" w:rsidRDefault="003076B2" w:rsidP="00A71096">
      <w:pPr>
        <w:suppressAutoHyphens w:val="0"/>
        <w:autoSpaceDE w:val="0"/>
        <w:autoSpaceDN w:val="0"/>
        <w:adjustRightInd w:val="0"/>
        <w:jc w:val="left"/>
        <w:rPr>
          <w:color w:val="000000"/>
          <w:lang w:val="en-US" w:eastAsia="fr-FR"/>
        </w:rPr>
      </w:pPr>
      <w:r>
        <w:rPr>
          <w:color w:val="000000"/>
          <w:lang w:val="en-US" w:eastAsia="fr-FR"/>
        </w:rPr>
        <w:t>Chromatograms have been provided for calibration standards, test item before and after storage and for blank formulation. No interferences at the retention time of IPBC and PBC were noticed.</w:t>
      </w:r>
      <w:r w:rsidR="00B829B6">
        <w:rPr>
          <w:color w:val="000000"/>
          <w:lang w:val="en-US" w:eastAsia="fr-FR"/>
        </w:rPr>
        <w:t xml:space="preserve"> Specificity is acceptable.</w:t>
      </w:r>
      <w:r>
        <w:rPr>
          <w:color w:val="000000"/>
          <w:lang w:val="en-US" w:eastAsia="fr-FR"/>
        </w:rPr>
        <w:t xml:space="preserve"> </w:t>
      </w:r>
    </w:p>
    <w:p w14:paraId="111E8192" w14:textId="1CF87D6A" w:rsidR="003076B2" w:rsidRPr="00B829B6" w:rsidRDefault="003076B2" w:rsidP="003076B2">
      <w:pPr>
        <w:keepNext/>
        <w:tabs>
          <w:tab w:val="left" w:pos="142"/>
        </w:tabs>
        <w:spacing w:before="240" w:after="60" w:line="240" w:lineRule="atLeast"/>
        <w:outlineLvl w:val="3"/>
        <w:rPr>
          <w:b/>
          <w:color w:val="000000"/>
          <w:lang w:val="en-US" w:eastAsia="fr-FR"/>
        </w:rPr>
      </w:pPr>
      <w:r w:rsidRPr="00B829B6">
        <w:rPr>
          <w:b/>
          <w:color w:val="000000"/>
          <w:lang w:val="en-US" w:eastAsia="fr-FR"/>
        </w:rPr>
        <w:lastRenderedPageBreak/>
        <w:t>Linearity</w:t>
      </w:r>
    </w:p>
    <w:p w14:paraId="621937AB" w14:textId="4A95424C" w:rsidR="003076B2" w:rsidRDefault="003076B2" w:rsidP="003076B2">
      <w:pPr>
        <w:keepNext/>
        <w:tabs>
          <w:tab w:val="left" w:pos="142"/>
        </w:tabs>
        <w:spacing w:before="240" w:after="60" w:line="240" w:lineRule="atLeast"/>
        <w:outlineLvl w:val="3"/>
        <w:rPr>
          <w:color w:val="000000"/>
          <w:lang w:val="en-US" w:eastAsia="fr-FR"/>
        </w:rPr>
      </w:pPr>
      <w:r>
        <w:rPr>
          <w:color w:val="000000"/>
          <w:lang w:val="en-US" w:eastAsia="fr-FR"/>
        </w:rPr>
        <w:t xml:space="preserve">Calibration has been performed with 8 standards </w:t>
      </w:r>
      <w:r w:rsidR="0000054C">
        <w:rPr>
          <w:color w:val="000000"/>
          <w:lang w:val="en-US" w:eastAsia="fr-FR"/>
        </w:rPr>
        <w:t xml:space="preserve">(duplicate) </w:t>
      </w:r>
      <w:r>
        <w:rPr>
          <w:color w:val="000000"/>
          <w:lang w:val="en-US" w:eastAsia="fr-FR"/>
        </w:rPr>
        <w:t>ranging from 0.5 to 140µg/mL</w:t>
      </w:r>
      <w:r w:rsidR="00002546">
        <w:rPr>
          <w:color w:val="000000"/>
          <w:lang w:val="en-US" w:eastAsia="fr-FR"/>
        </w:rPr>
        <w:t xml:space="preserve"> (or to 150µg/mL for PBC)</w:t>
      </w:r>
      <w:r>
        <w:rPr>
          <w:color w:val="000000"/>
          <w:lang w:val="en-US" w:eastAsia="fr-FR"/>
        </w:rPr>
        <w:t xml:space="preserve">. Regressions are liner for PBC and IPBC with a correlation coefficient &gt;0.99. </w:t>
      </w:r>
      <w:r w:rsidR="00B829B6">
        <w:rPr>
          <w:color w:val="000000"/>
          <w:lang w:val="en-US" w:eastAsia="fr-FR"/>
        </w:rPr>
        <w:t>Linearity is acceptable.</w:t>
      </w:r>
    </w:p>
    <w:p w14:paraId="4F4B75F1" w14:textId="28D69E11" w:rsidR="003076B2" w:rsidRPr="00B829B6" w:rsidRDefault="003076B2" w:rsidP="003076B2">
      <w:pPr>
        <w:keepNext/>
        <w:tabs>
          <w:tab w:val="left" w:pos="142"/>
        </w:tabs>
        <w:spacing w:before="240" w:after="60" w:line="240" w:lineRule="atLeast"/>
        <w:outlineLvl w:val="3"/>
        <w:rPr>
          <w:b/>
          <w:color w:val="000000"/>
          <w:lang w:val="en-US" w:eastAsia="fr-FR"/>
        </w:rPr>
      </w:pPr>
      <w:r w:rsidRPr="00B829B6">
        <w:rPr>
          <w:b/>
          <w:color w:val="000000"/>
          <w:lang w:val="en-US" w:eastAsia="fr-FR"/>
        </w:rPr>
        <w:t>Accuracy</w:t>
      </w:r>
    </w:p>
    <w:p w14:paraId="6A8EE1A4" w14:textId="27BF7FAD"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 xml:space="preserve">Accuracy has been performed with test item fortified at </w:t>
      </w:r>
      <w:r w:rsidR="004743DC">
        <w:rPr>
          <w:color w:val="000000"/>
          <w:lang w:val="en-US" w:eastAsia="fr-FR"/>
        </w:rPr>
        <w:t>one level:</w:t>
      </w:r>
    </w:p>
    <w:p w14:paraId="4C9FC117" w14:textId="3A96A4F8" w:rsidR="004743DC" w:rsidRDefault="004743DC" w:rsidP="004743DC">
      <w:pPr>
        <w:keepNext/>
        <w:tabs>
          <w:tab w:val="left" w:pos="142"/>
        </w:tabs>
        <w:spacing w:before="240" w:after="60" w:line="240" w:lineRule="atLeast"/>
        <w:outlineLvl w:val="3"/>
        <w:rPr>
          <w:color w:val="000000"/>
          <w:lang w:val="en-US" w:eastAsia="fr-FR"/>
        </w:rPr>
      </w:pPr>
      <w:r>
        <w:rPr>
          <w:color w:val="000000"/>
          <w:lang w:val="en-US" w:eastAsia="fr-FR"/>
        </w:rPr>
        <w:t>IPBC: fortification at 41.63µg/mL – mean recovery=102% (n=2)</w:t>
      </w:r>
    </w:p>
    <w:p w14:paraId="404393F6" w14:textId="2F9F9817" w:rsidR="004743DC" w:rsidRPr="00DA3856" w:rsidRDefault="004743DC" w:rsidP="004743DC">
      <w:pPr>
        <w:keepNext/>
        <w:tabs>
          <w:tab w:val="left" w:pos="142"/>
        </w:tabs>
        <w:spacing w:before="240" w:after="60" w:line="240" w:lineRule="atLeast"/>
        <w:outlineLvl w:val="3"/>
        <w:rPr>
          <w:color w:val="000000"/>
          <w:lang w:val="en-US" w:eastAsia="fr-FR"/>
        </w:rPr>
      </w:pPr>
      <w:r>
        <w:rPr>
          <w:color w:val="000000"/>
          <w:lang w:val="en-US" w:eastAsia="fr-FR"/>
        </w:rPr>
        <w:t>PBC: fortification at 11.17µg/mL – mean recovery=103% (n=2)</w:t>
      </w:r>
    </w:p>
    <w:p w14:paraId="64E024B4" w14:textId="0213BA23" w:rsidR="004743DC" w:rsidRDefault="00DA3856" w:rsidP="003076B2">
      <w:pPr>
        <w:keepNext/>
        <w:tabs>
          <w:tab w:val="left" w:pos="142"/>
        </w:tabs>
        <w:spacing w:before="240" w:after="60" w:line="240" w:lineRule="atLeast"/>
        <w:outlineLvl w:val="3"/>
        <w:rPr>
          <w:color w:val="000000"/>
          <w:lang w:val="en-US" w:eastAsia="fr-FR"/>
        </w:rPr>
      </w:pPr>
      <w:r>
        <w:rPr>
          <w:color w:val="000000"/>
          <w:lang w:val="en-US" w:eastAsia="fr-FR"/>
        </w:rPr>
        <w:t>Mean recoveries are in acceptable limit. Nevertheless, two fortification levels should have been tested.</w:t>
      </w:r>
    </w:p>
    <w:p w14:paraId="03EFFD57" w14:textId="52885C50" w:rsidR="003076B2" w:rsidRPr="00B829B6" w:rsidRDefault="003076B2" w:rsidP="003076B2">
      <w:pPr>
        <w:keepNext/>
        <w:tabs>
          <w:tab w:val="left" w:pos="142"/>
        </w:tabs>
        <w:spacing w:before="240" w:after="60" w:line="240" w:lineRule="atLeast"/>
        <w:outlineLvl w:val="3"/>
        <w:rPr>
          <w:b/>
          <w:color w:val="000000"/>
          <w:lang w:val="en-US" w:eastAsia="fr-FR"/>
        </w:rPr>
      </w:pPr>
      <w:r w:rsidRPr="00B829B6">
        <w:rPr>
          <w:b/>
          <w:color w:val="000000"/>
          <w:lang w:val="en-US" w:eastAsia="fr-FR"/>
        </w:rPr>
        <w:t>Precision</w:t>
      </w:r>
    </w:p>
    <w:p w14:paraId="5B1D2D68" w14:textId="3C2D1D24"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Precision has been performed with duplicate determination on the test item before and after storage. However, number of samples for the determination of the mean recovery is insufficient. At least 5 samples should have been determined.</w:t>
      </w:r>
    </w:p>
    <w:p w14:paraId="3BC4CCAA" w14:textId="66D483B4"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Before storage</w:t>
      </w:r>
    </w:p>
    <w:p w14:paraId="2750EE59" w14:textId="41C73BB7"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IPBC content: 0.0507/0.0522 % (RSD= 1.50%)</w:t>
      </w:r>
    </w:p>
    <w:p w14:paraId="01CD7326" w14:textId="1F02D8A4"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After storage</w:t>
      </w:r>
    </w:p>
    <w:p w14:paraId="779EB7EC" w14:textId="1B33499F"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IPBC content: 0.0378/0.0382% (RSD=0.61%)</w:t>
      </w:r>
    </w:p>
    <w:p w14:paraId="4B3DC174" w14:textId="15B8ED5D"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PBC content: 0.0199/0.0203% (RSD=1.50%)</w:t>
      </w:r>
    </w:p>
    <w:p w14:paraId="199C215F" w14:textId="34E6DDDF"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Precision should have been performed on 5 independent samples. A RSD calculated using two measurements is not reliable. Precision is not fully demonstrated.</w:t>
      </w:r>
    </w:p>
    <w:p w14:paraId="1A373210" w14:textId="02E86EEA" w:rsidR="003076B2" w:rsidRPr="00696513" w:rsidRDefault="00696513" w:rsidP="003076B2">
      <w:pPr>
        <w:keepNext/>
        <w:tabs>
          <w:tab w:val="left" w:pos="142"/>
        </w:tabs>
        <w:spacing w:before="240" w:after="60" w:line="240" w:lineRule="atLeast"/>
        <w:outlineLvl w:val="3"/>
        <w:rPr>
          <w:b/>
          <w:color w:val="000000"/>
          <w:lang w:val="en-US" w:eastAsia="fr-FR"/>
        </w:rPr>
      </w:pPr>
      <w:r w:rsidRPr="00696513">
        <w:rPr>
          <w:b/>
          <w:color w:val="000000"/>
          <w:lang w:val="en-US" w:eastAsia="fr-FR"/>
        </w:rPr>
        <w:t>LOQ</w:t>
      </w:r>
    </w:p>
    <w:p w14:paraId="4B973566" w14:textId="392D2332" w:rsidR="00696513" w:rsidRDefault="00696513" w:rsidP="003076B2">
      <w:pPr>
        <w:keepNext/>
        <w:tabs>
          <w:tab w:val="left" w:pos="142"/>
        </w:tabs>
        <w:spacing w:before="240" w:after="60" w:line="240" w:lineRule="atLeast"/>
        <w:outlineLvl w:val="3"/>
        <w:rPr>
          <w:color w:val="000000"/>
          <w:lang w:val="en-US" w:eastAsia="fr-FR"/>
        </w:rPr>
      </w:pPr>
      <w:r>
        <w:rPr>
          <w:color w:val="000000"/>
          <w:lang w:val="en-US" w:eastAsia="fr-FR"/>
        </w:rPr>
        <w:t>No LOQ can be set since accuracy and precision data are insufficient.</w:t>
      </w:r>
    </w:p>
    <w:p w14:paraId="5B8B2058" w14:textId="54488F5B" w:rsidR="00FC1D49" w:rsidRPr="00AB5CE8" w:rsidRDefault="003076B2">
      <w:pPr>
        <w:keepNext/>
        <w:tabs>
          <w:tab w:val="left" w:pos="142"/>
        </w:tabs>
        <w:spacing w:before="240" w:after="60" w:line="240" w:lineRule="atLeast"/>
        <w:outlineLvl w:val="3"/>
        <w:rPr>
          <w:rFonts w:ascii="Arial" w:hAnsi="Arial"/>
          <w:b/>
          <w:bCs/>
          <w:szCs w:val="28"/>
        </w:rPr>
        <w:sectPr w:rsidR="00FC1D49" w:rsidRPr="00AB5CE8" w:rsidSect="00AD0582">
          <w:pgSz w:w="11906" w:h="16838"/>
          <w:pgMar w:top="1021" w:right="709" w:bottom="1021" w:left="1418" w:header="709" w:footer="709" w:gutter="0"/>
          <w:cols w:space="708"/>
          <w:docGrid w:linePitch="360"/>
        </w:sectPr>
      </w:pPr>
      <w:r w:rsidRPr="004743DC">
        <w:rPr>
          <w:b/>
          <w:color w:val="000000"/>
          <w:lang w:val="en-US" w:eastAsia="fr-FR"/>
        </w:rPr>
        <w:t>Conclusion</w:t>
      </w:r>
      <w:r w:rsidR="00B829B6" w:rsidRPr="004743DC">
        <w:rPr>
          <w:bCs/>
          <w:szCs w:val="28"/>
        </w:rPr>
        <w:t>The method is not fully validate</w:t>
      </w:r>
      <w:r w:rsidR="004743DC" w:rsidRPr="004743DC">
        <w:rPr>
          <w:bCs/>
          <w:szCs w:val="28"/>
        </w:rPr>
        <w:t>d according to guidance SANCO3030</w:t>
      </w:r>
      <w:r w:rsidR="00B829B6" w:rsidRPr="004743DC">
        <w:rPr>
          <w:bCs/>
          <w:szCs w:val="28"/>
        </w:rPr>
        <w:t>/99/rev.4.</w:t>
      </w:r>
      <w:r w:rsidR="004743DC">
        <w:rPr>
          <w:bCs/>
          <w:szCs w:val="28"/>
        </w:rPr>
        <w:t xml:space="preserve"> Precision </w:t>
      </w:r>
      <w:r w:rsidR="00DA3856">
        <w:rPr>
          <w:bCs/>
          <w:szCs w:val="28"/>
        </w:rPr>
        <w:t xml:space="preserve">and accuracy </w:t>
      </w:r>
      <w:r w:rsidR="004743DC">
        <w:rPr>
          <w:bCs/>
          <w:szCs w:val="28"/>
        </w:rPr>
        <w:t xml:space="preserve">data are insufficient. </w:t>
      </w:r>
      <w:r w:rsidR="00605CE4" w:rsidRPr="005B478F">
        <w:rPr>
          <w:rFonts w:ascii="Arial" w:hAnsi="Arial"/>
          <w:bCs/>
          <w:szCs w:val="28"/>
        </w:rPr>
        <w:t>Since another method is available (Raphalen E, 2013), no further</w:t>
      </w:r>
      <w:r w:rsidR="00F43858">
        <w:rPr>
          <w:rFonts w:ascii="Arial" w:hAnsi="Arial"/>
          <w:bCs/>
          <w:szCs w:val="28"/>
        </w:rPr>
        <w:t xml:space="preserve"> </w:t>
      </w:r>
      <w:r w:rsidR="00605CE4" w:rsidRPr="005B478F">
        <w:rPr>
          <w:rFonts w:ascii="Arial" w:hAnsi="Arial"/>
          <w:bCs/>
          <w:szCs w:val="28"/>
        </w:rPr>
        <w:t>data will be required.</w:t>
      </w:r>
      <w:r w:rsidR="00F43858">
        <w:rPr>
          <w:rFonts w:ascii="Arial" w:hAnsi="Arial"/>
          <w:bCs/>
          <w:szCs w:val="28"/>
        </w:rPr>
        <w:t xml:space="preserve">                                                                                                                           </w:t>
      </w:r>
    </w:p>
    <w:p w14:paraId="01AC1726" w14:textId="77777777" w:rsidR="009D0C0B" w:rsidRDefault="00FA480B">
      <w:pPr>
        <w:pStyle w:val="Titre3"/>
      </w:pPr>
      <w:bookmarkStart w:id="85" w:name="_Toc536627305"/>
      <w:r>
        <w:lastRenderedPageBreak/>
        <w:t>Efficacy against target organisms</w:t>
      </w:r>
      <w:bookmarkEnd w:id="85"/>
    </w:p>
    <w:p w14:paraId="4200AC80" w14:textId="77777777" w:rsidR="009D0C0B" w:rsidRDefault="00FA480B">
      <w:pPr>
        <w:pStyle w:val="Titre4"/>
        <w:rPr>
          <w:rFonts w:ascii="Times New Roman" w:hAnsi="Times New Roman" w:cs="Times New Roman"/>
          <w:i/>
          <w:iCs/>
          <w:lang w:eastAsia="en-US"/>
        </w:rPr>
      </w:pPr>
      <w:bookmarkStart w:id="86" w:name="_Toc536627306"/>
      <w:r>
        <w:t>Function and field of use</w:t>
      </w:r>
      <w:bookmarkEnd w:id="86"/>
    </w:p>
    <w:p w14:paraId="2EE67DF9" w14:textId="77777777" w:rsidR="00B23141" w:rsidRPr="00B23141" w:rsidRDefault="00B23141" w:rsidP="00B23141">
      <w:pPr>
        <w:rPr>
          <w:rFonts w:cs="Arial"/>
        </w:rPr>
      </w:pPr>
      <w:r w:rsidRPr="00B23141">
        <w:rPr>
          <w:rFonts w:cs="Arial"/>
        </w:rPr>
        <w:t xml:space="preserve">MG 02: preservatives </w:t>
      </w:r>
    </w:p>
    <w:p w14:paraId="5B7B9146" w14:textId="77777777" w:rsidR="00B23141" w:rsidRPr="00B23141" w:rsidRDefault="00B23141" w:rsidP="00B23141">
      <w:pPr>
        <w:rPr>
          <w:rFonts w:cs="Arial"/>
        </w:rPr>
      </w:pPr>
      <w:r w:rsidRPr="00B23141">
        <w:rPr>
          <w:rFonts w:cs="Arial"/>
        </w:rPr>
        <w:t>Product Type 08: wood preservative</w:t>
      </w:r>
    </w:p>
    <w:p w14:paraId="2E80FFC6" w14:textId="77777777" w:rsidR="00B23141" w:rsidRPr="00B23141" w:rsidRDefault="00B23141" w:rsidP="00B23141">
      <w:pPr>
        <w:rPr>
          <w:rFonts w:cs="Arial"/>
        </w:rPr>
      </w:pPr>
    </w:p>
    <w:p w14:paraId="25E12480" w14:textId="77777777" w:rsidR="00B23141" w:rsidRPr="00B23141" w:rsidRDefault="00B23141" w:rsidP="00B23141">
      <w:pPr>
        <w:rPr>
          <w:rFonts w:cs="Arial"/>
        </w:rPr>
      </w:pPr>
      <w:r w:rsidRPr="00B23141">
        <w:rPr>
          <w:rFonts w:cs="Arial"/>
        </w:rPr>
        <w:t xml:space="preserve">The product X6122B1 </w:t>
      </w:r>
      <w:r w:rsidRPr="00B23141">
        <w:rPr>
          <w:rFonts w:cs="Arial"/>
          <w:lang w:eastAsia="en-US"/>
        </w:rPr>
        <w:t xml:space="preserve">is a </w:t>
      </w:r>
      <w:r w:rsidRPr="00B23141">
        <w:rPr>
          <w:rFonts w:cs="Arial"/>
        </w:rPr>
        <w:t xml:space="preserve">solvent-based ready for use wood preservative product. The product is intended to be used by superficial application for preventive and curative treatments by superficial application (that could be completed by injection). </w:t>
      </w:r>
    </w:p>
    <w:p w14:paraId="4942069C" w14:textId="77777777" w:rsidR="00B23141" w:rsidRPr="00B23141" w:rsidRDefault="00B23141" w:rsidP="00B23141">
      <w:pPr>
        <w:rPr>
          <w:rFonts w:cs="Arial"/>
        </w:rPr>
      </w:pPr>
    </w:p>
    <w:p w14:paraId="05046CC9" w14:textId="77777777" w:rsidR="00B23141" w:rsidRPr="00B23141" w:rsidRDefault="00B23141" w:rsidP="00B23141">
      <w:pPr>
        <w:rPr>
          <w:rFonts w:cs="Arial"/>
        </w:rPr>
      </w:pPr>
      <w:r w:rsidRPr="00B23141">
        <w:rPr>
          <w:rFonts w:cs="Arial"/>
        </w:rPr>
        <w:t>The product is applied by industrial, professional and non-professional users.</w:t>
      </w:r>
    </w:p>
    <w:p w14:paraId="15CE13E5" w14:textId="77777777" w:rsidR="00B23141" w:rsidRDefault="00B23141">
      <w:pPr>
        <w:spacing w:line="260" w:lineRule="atLeast"/>
        <w:rPr>
          <w:rFonts w:ascii="Times New Roman" w:eastAsia="Calibri" w:hAnsi="Times New Roman" w:cs="Times New Roman"/>
          <w:i/>
          <w:iCs/>
          <w:lang w:eastAsia="en-US"/>
        </w:rPr>
      </w:pPr>
    </w:p>
    <w:p w14:paraId="1DDDE680" w14:textId="77777777" w:rsidR="00B23141" w:rsidRDefault="00B23141">
      <w:pPr>
        <w:spacing w:line="260" w:lineRule="atLeast"/>
        <w:rPr>
          <w:rFonts w:ascii="Times New Roman" w:eastAsia="Calibri" w:hAnsi="Times New Roman" w:cs="Times New Roman"/>
          <w:i/>
          <w:iCs/>
          <w:lang w:eastAsia="en-US"/>
        </w:rPr>
      </w:pPr>
    </w:p>
    <w:p w14:paraId="64E079B7" w14:textId="77777777" w:rsidR="009D0C0B" w:rsidRPr="008551C7" w:rsidRDefault="00FA480B">
      <w:pPr>
        <w:pStyle w:val="Titre4"/>
        <w:rPr>
          <w:rFonts w:ascii="Times New Roman" w:hAnsi="Times New Roman" w:cs="Times New Roman"/>
          <w:i/>
          <w:iCs/>
          <w:lang w:val="en-US" w:eastAsia="en-US"/>
        </w:rPr>
      </w:pPr>
      <w:bookmarkStart w:id="87" w:name="_Toc536627307"/>
      <w:r w:rsidRPr="008551C7">
        <w:rPr>
          <w:lang w:val="en-US"/>
        </w:rPr>
        <w:t>Organisms to be controlled and products, organisms or objects to be protected</w:t>
      </w:r>
      <w:bookmarkEnd w:id="87"/>
    </w:p>
    <w:p w14:paraId="12AA4AAF" w14:textId="77777777" w:rsidR="000727F7" w:rsidRPr="000727F7" w:rsidRDefault="000727F7" w:rsidP="000727F7">
      <w:pPr>
        <w:rPr>
          <w:rFonts w:cs="Arial"/>
        </w:rPr>
      </w:pPr>
      <w:r w:rsidRPr="000727F7">
        <w:rPr>
          <w:rFonts w:cs="Arial"/>
        </w:rPr>
        <w:t>The product X6122B1 is intended to be used by superficial application for preventive treatment for wood used in use classes 1 to 3.1 and is also intended to be used for curative treatment by superficial application (that could be completed by injection), for wood in service</w:t>
      </w:r>
    </w:p>
    <w:p w14:paraId="29FFCFF3" w14:textId="77777777" w:rsidR="000727F7" w:rsidRPr="000727F7" w:rsidRDefault="000727F7" w:rsidP="000727F7">
      <w:pPr>
        <w:rPr>
          <w:rFonts w:cs="Arial"/>
          <w:u w:val="single"/>
          <w:lang w:val="en-US"/>
        </w:rPr>
      </w:pPr>
    </w:p>
    <w:p w14:paraId="55D975D7" w14:textId="77777777" w:rsidR="000727F7" w:rsidRPr="000727F7" w:rsidRDefault="000727F7" w:rsidP="000727F7">
      <w:pPr>
        <w:rPr>
          <w:rFonts w:cs="Arial"/>
          <w:u w:val="single"/>
          <w:lang w:val="en-US"/>
        </w:rPr>
      </w:pPr>
      <w:r w:rsidRPr="000727F7">
        <w:rPr>
          <w:rFonts w:cs="Arial"/>
          <w:u w:val="single"/>
          <w:lang w:val="en-US"/>
        </w:rPr>
        <w:t>The application rates recommended by the applicant are the following:</w:t>
      </w:r>
    </w:p>
    <w:p w14:paraId="128AADC6" w14:textId="77777777" w:rsidR="000727F7" w:rsidRPr="000727F7" w:rsidRDefault="000727F7" w:rsidP="000727F7">
      <w:pPr>
        <w:ind w:left="284" w:hanging="284"/>
        <w:rPr>
          <w:rFonts w:cs="Arial"/>
        </w:rPr>
      </w:pPr>
      <w:r w:rsidRPr="000727F7">
        <w:rPr>
          <w:rFonts w:cs="Arial"/>
        </w:rPr>
        <w:t>-</w:t>
      </w:r>
      <w:r w:rsidRPr="000727F7">
        <w:rPr>
          <w:rFonts w:cs="Arial"/>
        </w:rPr>
        <w:tab/>
        <w:t>Preventive treatment: superficial application at 200 g of product / m² of wood</w:t>
      </w:r>
    </w:p>
    <w:p w14:paraId="6D393149" w14:textId="77777777" w:rsidR="000727F7" w:rsidRPr="000727F7" w:rsidRDefault="000727F7" w:rsidP="000727F7">
      <w:pPr>
        <w:ind w:left="284" w:hanging="284"/>
        <w:rPr>
          <w:rFonts w:cs="Arial"/>
          <w:lang w:val="en-US"/>
        </w:rPr>
      </w:pPr>
      <w:r w:rsidRPr="000727F7">
        <w:rPr>
          <w:rFonts w:cs="Arial"/>
        </w:rPr>
        <w:t>-</w:t>
      </w:r>
      <w:r w:rsidRPr="000727F7">
        <w:rPr>
          <w:rFonts w:cs="Arial"/>
        </w:rPr>
        <w:tab/>
        <w:t xml:space="preserve">Curative treatment: superficial application at 300 g of product / m² of wood, </w:t>
      </w:r>
      <w:r w:rsidRPr="000727F7">
        <w:rPr>
          <w:rFonts w:cs="Arial"/>
          <w:lang w:val="en-US"/>
        </w:rPr>
        <w:t>completed by injection if need be</w:t>
      </w:r>
      <w:r w:rsidRPr="000727F7">
        <w:rPr>
          <w:rFonts w:cs="Arial"/>
        </w:rPr>
        <w:t xml:space="preserve"> at 180 mL/m²</w:t>
      </w:r>
    </w:p>
    <w:p w14:paraId="4624ABBD" w14:textId="77777777" w:rsidR="000727F7" w:rsidRDefault="000727F7">
      <w:pPr>
        <w:spacing w:line="260" w:lineRule="atLeast"/>
        <w:rPr>
          <w:rFonts w:ascii="Times New Roman" w:eastAsia="Calibri" w:hAnsi="Times New Roman" w:cs="Times New Roman"/>
          <w:i/>
          <w:iCs/>
          <w:szCs w:val="24"/>
          <w:lang w:eastAsia="en-US"/>
        </w:rPr>
      </w:pPr>
    </w:p>
    <w:p w14:paraId="07DD52FF" w14:textId="77777777" w:rsidR="000727F7" w:rsidRDefault="000727F7">
      <w:pPr>
        <w:spacing w:line="260" w:lineRule="atLeast"/>
        <w:rPr>
          <w:rFonts w:ascii="Times New Roman" w:eastAsia="Calibri" w:hAnsi="Times New Roman" w:cs="Times New Roman"/>
          <w:i/>
          <w:iCs/>
          <w:szCs w:val="24"/>
          <w:lang w:eastAsia="en-US"/>
        </w:rPr>
      </w:pPr>
    </w:p>
    <w:p w14:paraId="50C5B23D" w14:textId="77777777" w:rsidR="009D0C0B" w:rsidRPr="008551C7" w:rsidRDefault="00FA480B">
      <w:pPr>
        <w:pStyle w:val="Titre4"/>
        <w:rPr>
          <w:rFonts w:ascii="Times New Roman" w:hAnsi="Times New Roman" w:cs="Times New Roman"/>
          <w:i/>
          <w:iCs/>
          <w:lang w:val="en-US" w:eastAsia="en-US"/>
        </w:rPr>
      </w:pPr>
      <w:bookmarkStart w:id="88" w:name="_Toc536627308"/>
      <w:r w:rsidRPr="008551C7">
        <w:rPr>
          <w:lang w:val="en-US"/>
        </w:rPr>
        <w:t>Effects on target organisms, including unacceptable suffering</w:t>
      </w:r>
      <w:bookmarkEnd w:id="88"/>
    </w:p>
    <w:p w14:paraId="4B53B171" w14:textId="09D18EB6" w:rsidR="00C14677" w:rsidRPr="00C14677" w:rsidRDefault="00C14677" w:rsidP="00C14677">
      <w:pPr>
        <w:keepNext/>
        <w:spacing w:before="100" w:beforeAutospacing="1" w:after="119"/>
        <w:rPr>
          <w:rFonts w:eastAsia="Arial Unicode MS" w:cs="Arial"/>
          <w:lang w:val="en-US" w:eastAsia="en-US"/>
        </w:rPr>
      </w:pPr>
      <w:r w:rsidRPr="00C14677">
        <w:rPr>
          <w:rFonts w:eastAsia="Arial Unicode MS" w:cs="Arial"/>
          <w:lang w:val="en-US" w:eastAsia="en-US"/>
        </w:rPr>
        <w:t>According to the uses claimed by the applicant, the product X6122B1 is intended to be used for the preservation of wood used in use classes 1 to 3.1 by superficial application against wood boring beetles (</w:t>
      </w:r>
      <w:r w:rsidRPr="00C14677">
        <w:rPr>
          <w:rFonts w:eastAsia="Arial Unicode MS" w:cs="Arial"/>
          <w:i/>
          <w:lang w:val="en-US" w:eastAsia="en-US"/>
        </w:rPr>
        <w:t>Hylotrupes bajulus, Anobium punctatum</w:t>
      </w:r>
      <w:r w:rsidRPr="00C14677">
        <w:rPr>
          <w:rFonts w:eastAsia="Arial Unicode MS" w:cs="Arial"/>
          <w:lang w:val="en-US" w:eastAsia="en-US"/>
        </w:rPr>
        <w:t xml:space="preserve"> and </w:t>
      </w:r>
      <w:r w:rsidRPr="00C14677">
        <w:rPr>
          <w:rFonts w:eastAsia="Arial Unicode MS" w:cs="Arial"/>
          <w:i/>
          <w:lang w:val="en-US" w:eastAsia="en-US"/>
        </w:rPr>
        <w:t>Lyctus brunneus</w:t>
      </w:r>
      <w:r w:rsidRPr="00C14677">
        <w:rPr>
          <w:rFonts w:eastAsia="Arial Unicode MS" w:cs="Arial"/>
          <w:lang w:val="en-US" w:eastAsia="en-US"/>
        </w:rPr>
        <w:t>), wood rotting fungi (</w:t>
      </w:r>
      <w:r w:rsidRPr="00C14677">
        <w:rPr>
          <w:rFonts w:eastAsia="Arial Unicode MS" w:cs="Arial"/>
          <w:i/>
          <w:lang w:val="en-US" w:eastAsia="en-US"/>
        </w:rPr>
        <w:t xml:space="preserve">Coniophora puteana, </w:t>
      </w:r>
      <w:r w:rsidRPr="00B100F1">
        <w:rPr>
          <w:rFonts w:eastAsia="Arial Unicode MS" w:cs="Arial"/>
          <w:i/>
          <w:lang w:val="en-US" w:eastAsia="en-US"/>
        </w:rPr>
        <w:t>Gloe</w:t>
      </w:r>
      <w:r w:rsidR="00273D40" w:rsidRPr="00B100F1">
        <w:rPr>
          <w:rFonts w:eastAsia="Arial Unicode MS" w:cs="Arial"/>
          <w:i/>
          <w:lang w:val="en-US" w:eastAsia="en-US"/>
        </w:rPr>
        <w:t>o</w:t>
      </w:r>
      <w:r w:rsidRPr="00B100F1">
        <w:rPr>
          <w:rFonts w:eastAsia="Arial Unicode MS" w:cs="Arial"/>
          <w:i/>
          <w:lang w:val="en-US" w:eastAsia="en-US"/>
        </w:rPr>
        <w:t>ph</w:t>
      </w:r>
      <w:r w:rsidR="00273D40" w:rsidRPr="00B100F1">
        <w:rPr>
          <w:rFonts w:eastAsia="Arial Unicode MS" w:cs="Arial"/>
          <w:i/>
          <w:lang w:val="en-US" w:eastAsia="en-US"/>
        </w:rPr>
        <w:t>yl</w:t>
      </w:r>
      <w:r w:rsidRPr="00B100F1">
        <w:rPr>
          <w:rFonts w:eastAsia="Arial Unicode MS" w:cs="Arial"/>
          <w:i/>
          <w:lang w:val="en-US" w:eastAsia="en-US"/>
        </w:rPr>
        <w:t>lum</w:t>
      </w:r>
      <w:r w:rsidRPr="00C14677">
        <w:rPr>
          <w:rFonts w:eastAsia="Arial Unicode MS" w:cs="Arial"/>
          <w:i/>
          <w:lang w:val="en-US" w:eastAsia="en-US"/>
        </w:rPr>
        <w:t xml:space="preserve"> trabeum, Poria Placenta</w:t>
      </w:r>
      <w:r w:rsidRPr="00C14677">
        <w:rPr>
          <w:rFonts w:eastAsia="Arial Unicode MS" w:cs="Arial"/>
          <w:lang w:val="en-US" w:eastAsia="en-US"/>
        </w:rPr>
        <w:t xml:space="preserve"> and </w:t>
      </w:r>
      <w:r w:rsidRPr="00C14677">
        <w:rPr>
          <w:rFonts w:eastAsia="Arial Unicode MS" w:cs="Arial"/>
          <w:i/>
          <w:lang w:val="en-US" w:eastAsia="en-US"/>
        </w:rPr>
        <w:t>Coriolus versicolor</w:t>
      </w:r>
      <w:r w:rsidRPr="00C14677">
        <w:rPr>
          <w:rFonts w:eastAsia="Arial Unicode MS" w:cs="Arial"/>
          <w:lang w:val="en-US" w:eastAsia="en-US"/>
        </w:rPr>
        <w:t>) and subterranean termites (</w:t>
      </w:r>
      <w:r w:rsidRPr="00C14677">
        <w:rPr>
          <w:rFonts w:eastAsia="Arial Unicode MS" w:cs="Arial"/>
          <w:i/>
          <w:lang w:val="en-US" w:eastAsia="en-US"/>
        </w:rPr>
        <w:t>Reticulitermes spp.</w:t>
      </w:r>
      <w:r w:rsidRPr="00C14677">
        <w:rPr>
          <w:rFonts w:eastAsia="Arial Unicode MS" w:cs="Arial"/>
          <w:lang w:val="en-US" w:eastAsia="en-US"/>
        </w:rPr>
        <w:t xml:space="preserve">). </w:t>
      </w:r>
    </w:p>
    <w:p w14:paraId="64CB0960" w14:textId="77777777" w:rsidR="00C14677" w:rsidRPr="00C14677" w:rsidRDefault="00C14677" w:rsidP="00C14677">
      <w:pPr>
        <w:keepNext/>
        <w:spacing w:before="100" w:beforeAutospacing="1" w:after="119"/>
        <w:rPr>
          <w:rFonts w:eastAsia="Arial Unicode MS" w:cs="Arial"/>
          <w:lang w:val="en-US" w:eastAsia="en-US"/>
        </w:rPr>
      </w:pPr>
      <w:r w:rsidRPr="00C14677">
        <w:rPr>
          <w:rFonts w:eastAsia="Arial Unicode MS" w:cs="Arial"/>
          <w:lang w:val="en-US" w:eastAsia="en-US"/>
        </w:rPr>
        <w:t>This product is also intended to be used for the curative treatment of wood against wood boring beetles (</w:t>
      </w:r>
      <w:r w:rsidRPr="00C14677">
        <w:rPr>
          <w:rFonts w:eastAsia="Arial Unicode MS" w:cs="Arial"/>
          <w:i/>
          <w:lang w:val="en-US" w:eastAsia="en-US"/>
        </w:rPr>
        <w:t>Hylotrupes bajulus, Anobium punctatum</w:t>
      </w:r>
      <w:r w:rsidRPr="00C14677">
        <w:rPr>
          <w:rFonts w:eastAsia="Arial Unicode MS" w:cs="Arial"/>
          <w:lang w:val="en-US" w:eastAsia="en-US"/>
        </w:rPr>
        <w:t xml:space="preserve"> and </w:t>
      </w:r>
      <w:r w:rsidRPr="00C14677">
        <w:rPr>
          <w:rFonts w:eastAsia="Arial Unicode MS" w:cs="Arial"/>
          <w:i/>
          <w:lang w:val="en-US" w:eastAsia="en-US"/>
        </w:rPr>
        <w:t>Lyctus brunneus</w:t>
      </w:r>
      <w:r w:rsidRPr="00C14677">
        <w:rPr>
          <w:rFonts w:eastAsia="Arial Unicode MS" w:cs="Arial"/>
          <w:lang w:val="en-US" w:eastAsia="en-US"/>
        </w:rPr>
        <w:t>) and subterranean termites (</w:t>
      </w:r>
      <w:r w:rsidRPr="00C14677">
        <w:rPr>
          <w:rFonts w:eastAsia="Arial Unicode MS" w:cs="Arial"/>
          <w:i/>
          <w:lang w:val="en-US" w:eastAsia="en-US"/>
        </w:rPr>
        <w:t>Reticulitermes spp</w:t>
      </w:r>
      <w:r w:rsidRPr="00C14677">
        <w:rPr>
          <w:rFonts w:eastAsia="Arial Unicode MS" w:cs="Arial"/>
          <w:lang w:val="en-US" w:eastAsia="en-US"/>
        </w:rPr>
        <w:t>.), by superficial application, completed by injection if need be.</w:t>
      </w:r>
    </w:p>
    <w:p w14:paraId="5C339319" w14:textId="77777777" w:rsidR="00C14677" w:rsidRPr="00C14677" w:rsidRDefault="00C14677" w:rsidP="00C14677">
      <w:pPr>
        <w:rPr>
          <w:rFonts w:cs="Arial"/>
          <w:lang w:val="en-US" w:eastAsia="en-US"/>
        </w:rPr>
      </w:pPr>
    </w:p>
    <w:p w14:paraId="419EFD26" w14:textId="77777777" w:rsidR="00C14677" w:rsidRPr="00C14677" w:rsidRDefault="00C14677" w:rsidP="00C14677">
      <w:pPr>
        <w:rPr>
          <w:rFonts w:cs="Arial"/>
          <w:lang w:eastAsia="en-US"/>
        </w:rPr>
      </w:pPr>
      <w:r w:rsidRPr="00C14677">
        <w:rPr>
          <w:rFonts w:cs="Arial"/>
          <w:lang w:eastAsia="en-US"/>
        </w:rPr>
        <w:t>The development stages claimed are larvae and adults.</w:t>
      </w:r>
    </w:p>
    <w:p w14:paraId="0B627732" w14:textId="77777777" w:rsidR="00C14677" w:rsidRPr="00C14677" w:rsidRDefault="00C14677" w:rsidP="00C14677">
      <w:pPr>
        <w:rPr>
          <w:rFonts w:cs="Arial"/>
          <w:lang w:val="en-US"/>
        </w:rPr>
      </w:pPr>
    </w:p>
    <w:p w14:paraId="5B836B37" w14:textId="77777777" w:rsidR="00C14677" w:rsidRPr="00C14677" w:rsidRDefault="00C14677" w:rsidP="00C14677">
      <w:pPr>
        <w:pStyle w:val="NormalWeb"/>
        <w:keepNext/>
        <w:numPr>
          <w:ilvl w:val="0"/>
          <w:numId w:val="27"/>
        </w:numPr>
        <w:suppressAutoHyphens w:val="0"/>
        <w:spacing w:before="0" w:after="120"/>
        <w:rPr>
          <w:rFonts w:ascii="Verdana" w:hAnsi="Verdana" w:cs="Arial"/>
          <w:b/>
          <w:color w:val="000000"/>
          <w:sz w:val="20"/>
          <w:u w:val="single"/>
        </w:rPr>
      </w:pPr>
      <w:r w:rsidRPr="00C14677">
        <w:rPr>
          <w:rFonts w:ascii="Verdana" w:hAnsi="Verdana" w:cs="Arial"/>
          <w:b/>
          <w:color w:val="000000"/>
          <w:sz w:val="20"/>
          <w:u w:val="single"/>
        </w:rPr>
        <w:t>Results of the efficacy data</w:t>
      </w:r>
    </w:p>
    <w:p w14:paraId="4A5C11B7" w14:textId="4C7CB1DE" w:rsidR="00C14677" w:rsidRPr="00691885" w:rsidRDefault="00C14677" w:rsidP="00DE251C">
      <w:pPr>
        <w:pStyle w:val="Paragraphedeliste"/>
        <w:numPr>
          <w:ilvl w:val="0"/>
          <w:numId w:val="26"/>
        </w:numPr>
        <w:suppressAutoHyphens w:val="0"/>
        <w:spacing w:line="260" w:lineRule="atLeast"/>
        <w:contextualSpacing/>
        <w:rPr>
          <w:rFonts w:cs="Arial"/>
          <w:lang w:val="en-US" w:eastAsia="en-US"/>
        </w:rPr>
      </w:pPr>
      <w:r w:rsidRPr="00DE251C">
        <w:rPr>
          <w:rFonts w:cs="Arial"/>
          <w:u w:val="single"/>
          <w:lang w:val="en-US" w:eastAsia="en-US"/>
        </w:rPr>
        <w:t>Regarding the claim against wood rotting fungi</w:t>
      </w:r>
      <w:r w:rsidRPr="00434364">
        <w:rPr>
          <w:rFonts w:cs="Arial"/>
          <w:lang w:val="en-US" w:eastAsia="en-US"/>
        </w:rPr>
        <w:t>, for superficial application, the product X6122B1 is efficient, according to EN 113+EN84</w:t>
      </w:r>
      <w:r w:rsidRPr="00315E5F">
        <w:rPr>
          <w:rFonts w:cs="Arial"/>
          <w:lang w:val="en-US" w:eastAsia="en-US"/>
        </w:rPr>
        <w:t xml:space="preserve">, against wood rotting fungi (including </w:t>
      </w:r>
      <w:r w:rsidRPr="00315E5F">
        <w:rPr>
          <w:rFonts w:cs="Arial"/>
          <w:i/>
          <w:lang w:val="en-US" w:eastAsia="en-US"/>
        </w:rPr>
        <w:t>C. Versicolor</w:t>
      </w:r>
      <w:r w:rsidRPr="00691885">
        <w:rPr>
          <w:rFonts w:cs="Arial"/>
          <w:lang w:val="en-US" w:eastAsia="en-US"/>
        </w:rPr>
        <w:t>) for use classes 2 and 3.1</w:t>
      </w:r>
      <w:r w:rsidRPr="00691885">
        <w:rPr>
          <w:szCs w:val="22"/>
          <w:lang w:val="en-US" w:eastAsia="en-US"/>
        </w:rPr>
        <w:t xml:space="preserve"> </w:t>
      </w:r>
      <w:r w:rsidRPr="00691885">
        <w:rPr>
          <w:rFonts w:cs="Arial"/>
          <w:lang w:val="en-US" w:eastAsia="en-US"/>
        </w:rPr>
        <w:t>at the application rate of 200 g of product X6122B1 / m² of wood.</w:t>
      </w:r>
      <w:r w:rsidR="00691885">
        <w:rPr>
          <w:rFonts w:cs="Arial"/>
          <w:lang w:val="en-US" w:eastAsia="en-US"/>
        </w:rPr>
        <w:t xml:space="preserve"> </w:t>
      </w:r>
      <w:r w:rsidRPr="00434364">
        <w:rPr>
          <w:rFonts w:cs="Arial"/>
          <w:lang w:val="en-US" w:eastAsia="en-US"/>
        </w:rPr>
        <w:t>Nevertheless, the product is not efficient, according to the efficacy criteria of EN 113+EN73, against wood r</w:t>
      </w:r>
      <w:r w:rsidRPr="00315E5F">
        <w:rPr>
          <w:rFonts w:cs="Arial"/>
          <w:lang w:val="en-US" w:eastAsia="en-US"/>
        </w:rPr>
        <w:t xml:space="preserve">otting fungi. </w:t>
      </w:r>
      <w:r w:rsidRPr="00B100F1">
        <w:rPr>
          <w:rFonts w:cs="Arial"/>
          <w:lang w:val="en-US" w:eastAsia="en-US"/>
        </w:rPr>
        <w:t>Indeed for one fungi (</w:t>
      </w:r>
      <w:r w:rsidRPr="00B100F1">
        <w:rPr>
          <w:rFonts w:cs="Arial"/>
          <w:i/>
          <w:lang w:val="en-US" w:eastAsia="en-US"/>
        </w:rPr>
        <w:t>Poria placenta</w:t>
      </w:r>
      <w:r w:rsidRPr="00B100F1">
        <w:rPr>
          <w:rFonts w:cs="Arial"/>
          <w:lang w:val="en-US" w:eastAsia="en-US"/>
        </w:rPr>
        <w:t>), the efficacy is not demonstrated at the highest concentration</w:t>
      </w:r>
      <w:r w:rsidRPr="00691885">
        <w:rPr>
          <w:rFonts w:cs="Arial"/>
          <w:lang w:val="en-US" w:eastAsia="en-US"/>
        </w:rPr>
        <w:t xml:space="preserve"> tested where the mean mass loss reduction in the treated blocks is higher than maximum value authorized by the efficacy criteria of the standard (3%).</w:t>
      </w:r>
    </w:p>
    <w:p w14:paraId="492086F3" w14:textId="77777777" w:rsidR="00C14677" w:rsidRPr="00C14677" w:rsidRDefault="00C14677" w:rsidP="00C14677">
      <w:pPr>
        <w:pStyle w:val="Paragraphedeliste"/>
        <w:rPr>
          <w:rFonts w:cs="Arial"/>
          <w:lang w:val="en-US" w:eastAsia="en-US"/>
        </w:rPr>
      </w:pPr>
      <w:r w:rsidRPr="00C14677">
        <w:rPr>
          <w:rFonts w:cs="Arial"/>
          <w:lang w:val="en-US" w:eastAsia="en-US"/>
        </w:rPr>
        <w:t xml:space="preserve">The applicant argued that for </w:t>
      </w:r>
      <w:r w:rsidRPr="00C14677">
        <w:rPr>
          <w:rFonts w:cs="Arial"/>
          <w:i/>
          <w:lang w:val="en-US" w:eastAsia="en-US"/>
        </w:rPr>
        <w:t>P. placenta</w:t>
      </w:r>
      <w:r w:rsidRPr="00C14677">
        <w:rPr>
          <w:rFonts w:cs="Arial"/>
          <w:lang w:val="en-US" w:eastAsia="en-US"/>
        </w:rPr>
        <w:t xml:space="preserve"> is responsible for brown rot only on softwood and </w:t>
      </w:r>
      <w:r w:rsidRPr="00C14677">
        <w:rPr>
          <w:rFonts w:cs="Arial"/>
          <w:i/>
          <w:lang w:val="en-US" w:eastAsia="en-US"/>
        </w:rPr>
        <w:t>C. versicolor</w:t>
      </w:r>
      <w:r w:rsidRPr="00C14677">
        <w:rPr>
          <w:rFonts w:cs="Arial"/>
          <w:lang w:val="en-US" w:eastAsia="en-US"/>
        </w:rPr>
        <w:t xml:space="preserve"> is responsible for white rot only on hardwood (EN113: annex D), then a preventive efficacy against wood rotting fungi can be claimed only for hardwood. </w:t>
      </w:r>
    </w:p>
    <w:p w14:paraId="7FE60093" w14:textId="77777777" w:rsidR="00C14677" w:rsidRPr="00C14677" w:rsidRDefault="00C14677" w:rsidP="00C14677">
      <w:pPr>
        <w:pStyle w:val="Paragraphedeliste"/>
        <w:rPr>
          <w:rFonts w:cs="Arial"/>
          <w:lang w:val="en-US" w:eastAsia="en-US"/>
        </w:rPr>
      </w:pPr>
      <w:r w:rsidRPr="00C14677">
        <w:rPr>
          <w:rFonts w:cs="Arial"/>
          <w:lang w:val="en-US" w:eastAsia="en-US"/>
        </w:rPr>
        <w:t xml:space="preserve">FR CA </w:t>
      </w:r>
      <w:r w:rsidR="0039021B">
        <w:rPr>
          <w:rFonts w:cs="Arial"/>
          <w:lang w:val="en-US" w:eastAsia="en-US"/>
        </w:rPr>
        <w:t xml:space="preserve">do </w:t>
      </w:r>
      <w:r w:rsidRPr="00C14677">
        <w:rPr>
          <w:rFonts w:cs="Arial"/>
          <w:lang w:val="en-US" w:eastAsia="en-US"/>
        </w:rPr>
        <w:t>not agree with this argumentation, indeed:</w:t>
      </w:r>
    </w:p>
    <w:p w14:paraId="35B1019D" w14:textId="66C06E08" w:rsidR="00C14677" w:rsidRPr="00C14677" w:rsidRDefault="00C14677" w:rsidP="00C14677">
      <w:pPr>
        <w:pStyle w:val="Paragraphedeliste"/>
        <w:numPr>
          <w:ilvl w:val="0"/>
          <w:numId w:val="26"/>
        </w:numPr>
        <w:suppressAutoHyphens w:val="0"/>
        <w:spacing w:line="260" w:lineRule="atLeast"/>
        <w:ind w:left="1134"/>
        <w:contextualSpacing/>
        <w:rPr>
          <w:rFonts w:cs="Arial"/>
          <w:lang w:val="en-US" w:eastAsia="en-US"/>
        </w:rPr>
      </w:pPr>
      <w:proofErr w:type="gramStart"/>
      <w:r w:rsidRPr="00C14677">
        <w:rPr>
          <w:rFonts w:cs="Arial"/>
          <w:lang w:val="en-US" w:eastAsia="en-US"/>
        </w:rPr>
        <w:lastRenderedPageBreak/>
        <w:t>according</w:t>
      </w:r>
      <w:proofErr w:type="gramEnd"/>
      <w:r w:rsidRPr="00C14677">
        <w:rPr>
          <w:rFonts w:cs="Arial"/>
          <w:lang w:val="en-US" w:eastAsia="en-US"/>
        </w:rPr>
        <w:t xml:space="preserve"> to EN 599, for use class 2, the efficacy of the product should be demonstrated according to EN 113 + EN 73 </w:t>
      </w:r>
      <w:r w:rsidR="00F41A56">
        <w:rPr>
          <w:rFonts w:cs="Arial"/>
          <w:lang w:val="en-US" w:eastAsia="en-US"/>
        </w:rPr>
        <w:t>whereas</w:t>
      </w:r>
      <w:r w:rsidR="00F41A56" w:rsidRPr="00C14677">
        <w:rPr>
          <w:rFonts w:cs="Arial"/>
          <w:lang w:val="en-US" w:eastAsia="en-US"/>
        </w:rPr>
        <w:t xml:space="preserve"> </w:t>
      </w:r>
      <w:r w:rsidRPr="00C14677">
        <w:rPr>
          <w:rFonts w:cs="Arial"/>
          <w:lang w:val="en-US" w:eastAsia="en-US"/>
        </w:rPr>
        <w:t xml:space="preserve">for use class 3, the efficacy should be demonstrated according to both EN 113 + EN73 and EN 113 + EN 84. </w:t>
      </w:r>
    </w:p>
    <w:p w14:paraId="6297A166" w14:textId="63F0FE3C" w:rsidR="00C14677" w:rsidRPr="00C14677" w:rsidRDefault="00C14677" w:rsidP="00C14677">
      <w:pPr>
        <w:pStyle w:val="Paragraphedeliste"/>
        <w:numPr>
          <w:ilvl w:val="0"/>
          <w:numId w:val="26"/>
        </w:numPr>
        <w:suppressAutoHyphens w:val="0"/>
        <w:spacing w:line="260" w:lineRule="atLeast"/>
        <w:ind w:left="1134"/>
        <w:contextualSpacing/>
        <w:rPr>
          <w:rFonts w:cs="Arial"/>
          <w:lang w:val="en-US" w:eastAsia="en-US"/>
        </w:rPr>
      </w:pPr>
      <w:r w:rsidRPr="00C14677">
        <w:rPr>
          <w:rFonts w:cs="Arial"/>
          <w:lang w:val="en-US" w:eastAsia="en-US"/>
        </w:rPr>
        <w:t>a demonstration of the efficacy on brown rot with the three model fungi of the EN 113 + EN 73 and/or EN 84 (</w:t>
      </w:r>
      <w:r w:rsidRPr="00C14677">
        <w:rPr>
          <w:rFonts w:cs="Arial"/>
          <w:i/>
          <w:lang w:val="en-US" w:eastAsia="en-US"/>
        </w:rPr>
        <w:t>Coniophora puteana</w:t>
      </w:r>
      <w:r w:rsidRPr="00C14677">
        <w:rPr>
          <w:rFonts w:cs="Arial"/>
          <w:lang w:val="en-US" w:eastAsia="en-US"/>
        </w:rPr>
        <w:t xml:space="preserve">, </w:t>
      </w:r>
      <w:r w:rsidRPr="00C14677">
        <w:rPr>
          <w:rFonts w:cs="Arial"/>
          <w:i/>
          <w:lang w:val="en-US" w:eastAsia="en-US"/>
        </w:rPr>
        <w:t>Poria placenta</w:t>
      </w:r>
      <w:r w:rsidRPr="00C14677">
        <w:rPr>
          <w:rFonts w:cs="Arial"/>
          <w:lang w:val="en-US" w:eastAsia="en-US"/>
        </w:rPr>
        <w:t xml:space="preserve"> and </w:t>
      </w:r>
      <w:r w:rsidRPr="00C14677">
        <w:rPr>
          <w:rFonts w:cs="Arial"/>
          <w:i/>
          <w:lang w:val="en-US" w:eastAsia="en-US"/>
        </w:rPr>
        <w:t>Gloe</w:t>
      </w:r>
      <w:r w:rsidR="00812828">
        <w:rPr>
          <w:rFonts w:cs="Arial"/>
          <w:i/>
          <w:lang w:val="en-US" w:eastAsia="en-US"/>
        </w:rPr>
        <w:t>o</w:t>
      </w:r>
      <w:r w:rsidRPr="00C14677">
        <w:rPr>
          <w:rFonts w:cs="Arial"/>
          <w:i/>
          <w:lang w:val="en-US" w:eastAsia="en-US"/>
        </w:rPr>
        <w:t xml:space="preserve">phyllum trabeum) </w:t>
      </w:r>
      <w:r w:rsidRPr="00C14677">
        <w:rPr>
          <w:rFonts w:cs="Arial"/>
          <w:lang w:val="en-US" w:eastAsia="en-US"/>
        </w:rPr>
        <w:t>tested on the representative wood category softwood</w:t>
      </w:r>
      <w:r w:rsidRPr="00C14677">
        <w:rPr>
          <w:rFonts w:cs="Arial"/>
          <w:i/>
          <w:lang w:val="en-US" w:eastAsia="en-US"/>
        </w:rPr>
        <w:t xml:space="preserve"> </w:t>
      </w:r>
      <w:r w:rsidRPr="00C14677">
        <w:rPr>
          <w:rFonts w:cs="Arial"/>
          <w:lang w:val="en-US" w:eastAsia="en-US"/>
        </w:rPr>
        <w:t xml:space="preserve">is a minimum to claim an efficacy against wood rotting fungi for use class 2 and 3. </w:t>
      </w:r>
    </w:p>
    <w:p w14:paraId="6E17BD30" w14:textId="77777777" w:rsidR="00C14677" w:rsidRPr="00C14677" w:rsidRDefault="00C14677" w:rsidP="00C14677">
      <w:pPr>
        <w:pStyle w:val="Paragraphedeliste"/>
        <w:numPr>
          <w:ilvl w:val="0"/>
          <w:numId w:val="26"/>
        </w:numPr>
        <w:suppressAutoHyphens w:val="0"/>
        <w:spacing w:line="260" w:lineRule="atLeast"/>
        <w:ind w:left="1134"/>
        <w:contextualSpacing/>
        <w:rPr>
          <w:rFonts w:cs="Arial"/>
          <w:lang w:val="en-US" w:eastAsia="en-US"/>
        </w:rPr>
      </w:pPr>
      <w:r w:rsidRPr="00C14677">
        <w:rPr>
          <w:rFonts w:cs="Arial"/>
          <w:lang w:val="en-US" w:eastAsia="en-US"/>
        </w:rPr>
        <w:t xml:space="preserve">the demonstration of efficacy on white rot with the model fungi of the EN 113 + EN 73 and/or EN 84 </w:t>
      </w:r>
      <w:r w:rsidRPr="00C14677">
        <w:rPr>
          <w:rFonts w:cs="Arial"/>
          <w:i/>
          <w:lang w:val="en-US" w:eastAsia="en-US"/>
        </w:rPr>
        <w:t>C. versicolor</w:t>
      </w:r>
      <w:r w:rsidRPr="00C14677">
        <w:rPr>
          <w:rFonts w:cs="Arial"/>
          <w:lang w:val="en-US" w:eastAsia="en-US"/>
        </w:rPr>
        <w:t xml:space="preserve"> on the representative wood categories softwood and/or hardwood is only an option from UC3 (as an additional biological test), to complete the claim “wood rotting fungi”, tested on softwood and/or hardwood.</w:t>
      </w:r>
    </w:p>
    <w:p w14:paraId="1FC1D34D" w14:textId="77777777" w:rsidR="00C14677" w:rsidRPr="00C14677" w:rsidRDefault="00C14677" w:rsidP="00C14677">
      <w:pPr>
        <w:pStyle w:val="Paragraphedeliste"/>
        <w:rPr>
          <w:rFonts w:cs="Arial"/>
          <w:lang w:val="en-US" w:eastAsia="en-US"/>
        </w:rPr>
      </w:pPr>
    </w:p>
    <w:p w14:paraId="69D3E3FF" w14:textId="77777777" w:rsidR="00C14677" w:rsidRPr="00C14677" w:rsidRDefault="00C14677" w:rsidP="00C14677">
      <w:pPr>
        <w:pStyle w:val="Paragraphedeliste"/>
        <w:rPr>
          <w:rFonts w:cs="Arial"/>
          <w:lang w:val="en-US" w:eastAsia="en-US"/>
        </w:rPr>
      </w:pPr>
      <w:r w:rsidRPr="00C14677">
        <w:rPr>
          <w:rFonts w:cs="Arial"/>
          <w:lang w:val="en-US" w:eastAsia="en-US"/>
        </w:rPr>
        <w:t xml:space="preserve">Then minimum requirements for a claim against wood rotting fungi (i.e efficacy on brown rot tested on the representative wood category softwood) are not achieved for UC 2 and 3, and the reasoning of the applicant (selecting only fungi that would attack hardwood) is not allowed by EN 599 norm. </w:t>
      </w:r>
    </w:p>
    <w:p w14:paraId="00DEA23B" w14:textId="77777777" w:rsidR="00C14677" w:rsidRPr="00C14677" w:rsidRDefault="00C14677" w:rsidP="00C14677">
      <w:pPr>
        <w:pStyle w:val="Paragraphedeliste"/>
        <w:rPr>
          <w:rFonts w:cs="Arial"/>
          <w:lang w:val="en-US" w:eastAsia="en-US"/>
        </w:rPr>
      </w:pPr>
    </w:p>
    <w:p w14:paraId="780256D2" w14:textId="77777777" w:rsidR="00C14677" w:rsidRPr="00C14677" w:rsidRDefault="00C14677" w:rsidP="00C14677">
      <w:pPr>
        <w:pStyle w:val="Paragraphedeliste"/>
        <w:rPr>
          <w:rFonts w:cs="Arial"/>
          <w:lang w:val="en-US" w:eastAsia="en-US"/>
        </w:rPr>
      </w:pPr>
      <w:r w:rsidRPr="00C14677">
        <w:rPr>
          <w:rFonts w:cs="Arial"/>
          <w:lang w:val="en-US" w:eastAsia="en-US"/>
        </w:rPr>
        <w:t>Note that as for use class 3.1, the demonstration of the efficacy is based on the EN 113 standard, the EN 599</w:t>
      </w:r>
      <w:r w:rsidRPr="00C14677">
        <w:rPr>
          <w:rFonts w:cs="Arial"/>
          <w:vertAlign w:val="superscript"/>
        </w:rPr>
        <w:footnoteReference w:id="12"/>
      </w:r>
      <w:r w:rsidRPr="00C14677">
        <w:rPr>
          <w:rFonts w:cs="Arial"/>
          <w:lang w:val="en-US" w:eastAsia="en-US"/>
        </w:rPr>
        <w:t xml:space="preserve"> requires the use of a top coat (§5.2.17 &amp; §5.2.18). Then it means that when applied by superficial application, for use class 3.1, a top coat would have to be applied, if the claim against wood rotting fungi was accepted.</w:t>
      </w:r>
    </w:p>
    <w:p w14:paraId="0CC9A8A2" w14:textId="77777777" w:rsidR="00C14677" w:rsidRPr="00C14677" w:rsidRDefault="00C14677" w:rsidP="00C14677">
      <w:pPr>
        <w:pStyle w:val="Paragraphedeliste"/>
        <w:rPr>
          <w:rFonts w:cs="Arial"/>
          <w:lang w:val="en-US" w:eastAsia="en-US"/>
        </w:rPr>
      </w:pPr>
    </w:p>
    <w:p w14:paraId="2F5714E9" w14:textId="77777777" w:rsidR="00C14677" w:rsidRPr="00C14677" w:rsidRDefault="00C14677" w:rsidP="00C14677">
      <w:pPr>
        <w:pStyle w:val="Paragraphedeliste"/>
        <w:numPr>
          <w:ilvl w:val="0"/>
          <w:numId w:val="25"/>
        </w:numPr>
        <w:suppressAutoHyphens w:val="0"/>
        <w:spacing w:line="260" w:lineRule="atLeast"/>
        <w:ind w:left="709"/>
        <w:contextualSpacing/>
        <w:rPr>
          <w:rFonts w:cs="Arial"/>
          <w:lang w:val="en-US"/>
        </w:rPr>
      </w:pPr>
      <w:r w:rsidRPr="00AD5AD8">
        <w:rPr>
          <w:rFonts w:cs="Arial"/>
          <w:u w:val="single"/>
          <w:lang w:eastAsia="en-US"/>
        </w:rPr>
        <w:t>Regarding the preventive efficacy claim against wood boring beetles</w:t>
      </w:r>
      <w:r w:rsidRPr="00C14677">
        <w:rPr>
          <w:rFonts w:cs="Arial"/>
          <w:lang w:eastAsia="en-US"/>
        </w:rPr>
        <w:t xml:space="preserve">, for superficial application, the product X6122B1 is efficient according to respectively EN 46 (+EN73/84), EN 49 (+EN73/84) and EN 20-1 (+EN73), against </w:t>
      </w:r>
      <w:r w:rsidRPr="00C14677">
        <w:rPr>
          <w:rFonts w:cs="Arial"/>
          <w:i/>
          <w:lang w:eastAsia="en-US"/>
        </w:rPr>
        <w:t>Hylotrupes bajulus, Anobium punctatum and</w:t>
      </w:r>
      <w:r w:rsidRPr="00C14677">
        <w:rPr>
          <w:rFonts w:cs="Arial"/>
          <w:lang w:eastAsia="en-US"/>
        </w:rPr>
        <w:t xml:space="preserve"> </w:t>
      </w:r>
      <w:r w:rsidRPr="00C14677">
        <w:rPr>
          <w:rFonts w:cs="Arial"/>
          <w:i/>
          <w:lang w:eastAsia="en-US"/>
        </w:rPr>
        <w:t>Lyctus brunneus</w:t>
      </w:r>
      <w:r w:rsidRPr="00C14677">
        <w:rPr>
          <w:rFonts w:cs="Arial"/>
          <w:lang w:eastAsia="en-US"/>
        </w:rPr>
        <w:t xml:space="preserve"> at the application rate of 200 g of product X6122B1 / m² of wood.</w:t>
      </w:r>
    </w:p>
    <w:p w14:paraId="3ACA021E" w14:textId="77777777" w:rsidR="00C14677" w:rsidRPr="00C14677" w:rsidRDefault="00C14677" w:rsidP="00C14677">
      <w:pPr>
        <w:pStyle w:val="Paragraphedeliste"/>
        <w:numPr>
          <w:ilvl w:val="0"/>
          <w:numId w:val="25"/>
        </w:numPr>
        <w:suppressAutoHyphens w:val="0"/>
        <w:spacing w:line="260" w:lineRule="atLeast"/>
        <w:ind w:left="709"/>
        <w:contextualSpacing/>
        <w:rPr>
          <w:rFonts w:cs="Arial"/>
          <w:lang w:val="en-US"/>
        </w:rPr>
      </w:pPr>
      <w:r w:rsidRPr="00AD5AD8">
        <w:rPr>
          <w:rFonts w:cs="Arial"/>
          <w:u w:val="single"/>
          <w:lang w:eastAsia="en-US"/>
        </w:rPr>
        <w:t>Regarding the preventive efficacy claim against termites</w:t>
      </w:r>
      <w:r w:rsidRPr="00C14677">
        <w:rPr>
          <w:rFonts w:cs="Arial"/>
          <w:lang w:eastAsia="en-US"/>
        </w:rPr>
        <w:t xml:space="preserve"> (</w:t>
      </w:r>
      <w:r w:rsidRPr="00C14677">
        <w:rPr>
          <w:rFonts w:cs="Arial"/>
          <w:i/>
          <w:lang w:eastAsia="en-US"/>
        </w:rPr>
        <w:t>Reticulitermes spp.</w:t>
      </w:r>
      <w:r w:rsidRPr="00C14677">
        <w:rPr>
          <w:rFonts w:cs="Arial"/>
          <w:lang w:eastAsia="en-US"/>
        </w:rPr>
        <w:t xml:space="preserve">), for superficial application, the product </w:t>
      </w:r>
      <w:r w:rsidRPr="00C14677">
        <w:rPr>
          <w:rFonts w:cs="Arial"/>
        </w:rPr>
        <w:t>X6222B1</w:t>
      </w:r>
      <w:r w:rsidRPr="00C14677">
        <w:rPr>
          <w:rFonts w:cs="Arial"/>
          <w:lang w:eastAsia="en-US"/>
        </w:rPr>
        <w:t xml:space="preserve"> is efficient according to EN 118 (+EN73/84), against </w:t>
      </w:r>
      <w:r w:rsidRPr="00C14677">
        <w:rPr>
          <w:rFonts w:cs="Arial"/>
          <w:i/>
          <w:lang w:eastAsia="en-US"/>
        </w:rPr>
        <w:t>Reticulitermes spp.</w:t>
      </w:r>
      <w:r w:rsidRPr="00C14677">
        <w:rPr>
          <w:rFonts w:cs="Arial"/>
          <w:lang w:eastAsia="en-US"/>
        </w:rPr>
        <w:t xml:space="preserve">, at the application rate of 200 g of product </w:t>
      </w:r>
      <w:r w:rsidRPr="00C14677">
        <w:rPr>
          <w:rFonts w:cs="Arial"/>
        </w:rPr>
        <w:t>X6122B1</w:t>
      </w:r>
      <w:r w:rsidRPr="00C14677">
        <w:rPr>
          <w:rFonts w:cs="Arial"/>
          <w:lang w:eastAsia="en-US"/>
        </w:rPr>
        <w:t xml:space="preserve"> / m² of wood.</w:t>
      </w:r>
    </w:p>
    <w:p w14:paraId="72BFF9B5" w14:textId="77777777" w:rsidR="00C14677" w:rsidRPr="00C14677" w:rsidRDefault="00C14677" w:rsidP="00C14677">
      <w:pPr>
        <w:pStyle w:val="Paragraphedeliste"/>
        <w:numPr>
          <w:ilvl w:val="0"/>
          <w:numId w:val="25"/>
        </w:numPr>
        <w:suppressAutoHyphens w:val="0"/>
        <w:spacing w:line="260" w:lineRule="atLeast"/>
        <w:ind w:left="709"/>
        <w:contextualSpacing/>
        <w:rPr>
          <w:rFonts w:cs="Arial"/>
          <w:lang w:val="en-US"/>
        </w:rPr>
      </w:pPr>
      <w:r w:rsidRPr="00AD5AD8">
        <w:rPr>
          <w:rFonts w:cs="Arial"/>
          <w:u w:val="single"/>
          <w:lang w:val="en-US" w:eastAsia="en-US"/>
        </w:rPr>
        <w:t>Regarding the curative efficacy claim against wood boring beetles</w:t>
      </w:r>
      <w:r w:rsidRPr="00C14677">
        <w:rPr>
          <w:rFonts w:cs="Arial"/>
          <w:lang w:val="en-US" w:eastAsia="en-US"/>
        </w:rPr>
        <w:t xml:space="preserve"> (</w:t>
      </w:r>
      <w:r w:rsidRPr="00C14677">
        <w:rPr>
          <w:rFonts w:cs="Arial"/>
          <w:i/>
          <w:lang w:val="en-US" w:eastAsia="en-US"/>
        </w:rPr>
        <w:t>Hylotrupes bajulus</w:t>
      </w:r>
      <w:r w:rsidRPr="00C14677">
        <w:rPr>
          <w:rFonts w:cs="Arial"/>
          <w:lang w:val="en-US" w:eastAsia="en-US"/>
        </w:rPr>
        <w:t xml:space="preserve">, </w:t>
      </w:r>
      <w:r w:rsidRPr="00C14677">
        <w:rPr>
          <w:rFonts w:cs="Arial"/>
          <w:i/>
          <w:lang w:val="en-US" w:eastAsia="en-US"/>
        </w:rPr>
        <w:t>Anobium punctatum</w:t>
      </w:r>
      <w:r w:rsidRPr="00C14677">
        <w:rPr>
          <w:rFonts w:cs="Arial"/>
          <w:lang w:val="en-US" w:eastAsia="en-US"/>
        </w:rPr>
        <w:t xml:space="preserve"> and </w:t>
      </w:r>
      <w:r w:rsidRPr="00C14677">
        <w:rPr>
          <w:rFonts w:cs="Arial"/>
          <w:i/>
          <w:lang w:val="en-US" w:eastAsia="en-US"/>
        </w:rPr>
        <w:t>Lyctus brunneus</w:t>
      </w:r>
      <w:r w:rsidRPr="00C14677">
        <w:rPr>
          <w:rFonts w:cs="Arial"/>
          <w:lang w:val="en-US" w:eastAsia="en-US"/>
        </w:rPr>
        <w:t xml:space="preserve">), for superficial application, the product X6122B1 is efficient according to respectively EN 1390 and EN 48 against </w:t>
      </w:r>
      <w:r w:rsidRPr="00C14677">
        <w:rPr>
          <w:rFonts w:cs="Arial"/>
          <w:i/>
          <w:lang w:val="en-US" w:eastAsia="en-US"/>
        </w:rPr>
        <w:t>Hylotrupes bajulus</w:t>
      </w:r>
      <w:r w:rsidRPr="00C14677">
        <w:rPr>
          <w:rFonts w:cs="Arial"/>
          <w:lang w:val="en-US" w:eastAsia="en-US"/>
        </w:rPr>
        <w:t xml:space="preserve"> and </w:t>
      </w:r>
      <w:r w:rsidRPr="00C14677">
        <w:rPr>
          <w:rFonts w:cs="Arial"/>
          <w:i/>
          <w:lang w:val="en-US" w:eastAsia="en-US"/>
        </w:rPr>
        <w:t>Anobium punctatum</w:t>
      </w:r>
      <w:r w:rsidRPr="00C14677">
        <w:rPr>
          <w:rFonts w:cs="Arial"/>
          <w:lang w:val="en-US" w:eastAsia="en-US"/>
        </w:rPr>
        <w:t xml:space="preserve"> with a slow action activity, at the application rate of 300 g of product X6122B1 / m² of wood. According to EN 14128</w:t>
      </w:r>
      <w:r w:rsidRPr="00C14677">
        <w:rPr>
          <w:rStyle w:val="Appelnotedebasdep"/>
          <w:rFonts w:cs="Arial"/>
          <w:lang w:val="en-US" w:eastAsia="en-US"/>
        </w:rPr>
        <w:footnoteReference w:id="13"/>
      </w:r>
      <w:r w:rsidRPr="00C14677">
        <w:rPr>
          <w:rFonts w:cs="Arial"/>
          <w:lang w:val="en-US" w:eastAsia="en-US"/>
        </w:rPr>
        <w:t xml:space="preserve">, if curative treatment against </w:t>
      </w:r>
      <w:r w:rsidRPr="00C14677">
        <w:rPr>
          <w:rFonts w:cs="Arial"/>
          <w:i/>
          <w:lang w:val="en-US" w:eastAsia="en-US"/>
        </w:rPr>
        <w:t>Lyctus brunneus</w:t>
      </w:r>
      <w:r w:rsidRPr="00C14677">
        <w:rPr>
          <w:rFonts w:cs="Arial"/>
          <w:lang w:val="en-US" w:eastAsia="en-US"/>
        </w:rPr>
        <w:t xml:space="preserve"> is required, a curative wood preservative "for </w:t>
      </w:r>
      <w:r w:rsidRPr="00C14677">
        <w:rPr>
          <w:rFonts w:cs="Arial"/>
          <w:i/>
          <w:lang w:val="en-US" w:eastAsia="en-US"/>
        </w:rPr>
        <w:t>Hylotrupes</w:t>
      </w:r>
      <w:r w:rsidRPr="00C14677">
        <w:rPr>
          <w:rFonts w:cs="Arial"/>
          <w:lang w:val="en-US" w:eastAsia="en-US"/>
        </w:rPr>
        <w:t xml:space="preserve"> </w:t>
      </w:r>
      <w:r w:rsidRPr="00C14677">
        <w:rPr>
          <w:rFonts w:cs="Arial"/>
          <w:i/>
          <w:lang w:val="en-US" w:eastAsia="en-US"/>
        </w:rPr>
        <w:t xml:space="preserve">bajulus </w:t>
      </w:r>
      <w:r w:rsidRPr="00C14677">
        <w:rPr>
          <w:rFonts w:cs="Arial"/>
          <w:lang w:val="en-US" w:eastAsia="en-US"/>
        </w:rPr>
        <w:t xml:space="preserve">and </w:t>
      </w:r>
      <w:r w:rsidRPr="00C14677">
        <w:rPr>
          <w:rFonts w:cs="Arial"/>
          <w:i/>
          <w:lang w:val="en-US" w:eastAsia="en-US"/>
        </w:rPr>
        <w:t xml:space="preserve">Anobium </w:t>
      </w:r>
      <w:r w:rsidRPr="00C14677">
        <w:rPr>
          <w:rFonts w:cs="Arial"/>
          <w:lang w:val="en-US" w:eastAsia="en-US"/>
        </w:rPr>
        <w:t xml:space="preserve">punctatum" should be applied. The curative efficacy against wood boring beetles is then validated. </w:t>
      </w:r>
    </w:p>
    <w:p w14:paraId="49DB9987" w14:textId="77777777" w:rsidR="00C14677" w:rsidRPr="00C14677" w:rsidRDefault="00C14677" w:rsidP="00C14677">
      <w:pPr>
        <w:pStyle w:val="Paragraphedeliste"/>
        <w:numPr>
          <w:ilvl w:val="0"/>
          <w:numId w:val="25"/>
        </w:numPr>
        <w:suppressAutoHyphens w:val="0"/>
        <w:spacing w:line="260" w:lineRule="atLeast"/>
        <w:ind w:left="709"/>
        <w:contextualSpacing/>
        <w:rPr>
          <w:rFonts w:cs="Arial"/>
          <w:lang w:val="en-US"/>
        </w:rPr>
      </w:pPr>
      <w:r w:rsidRPr="00AD5AD8">
        <w:rPr>
          <w:rFonts w:cs="Arial"/>
          <w:u w:val="single"/>
          <w:lang w:val="en-US" w:eastAsia="en-US"/>
        </w:rPr>
        <w:t>Regarding the curative efficacy claim against termites</w:t>
      </w:r>
      <w:r w:rsidRPr="00C14677">
        <w:rPr>
          <w:rFonts w:cs="Arial"/>
          <w:lang w:val="en-US" w:eastAsia="en-US"/>
        </w:rPr>
        <w:t xml:space="preserve"> (</w:t>
      </w:r>
      <w:r w:rsidRPr="00C14677">
        <w:rPr>
          <w:rFonts w:cs="Arial"/>
          <w:i/>
          <w:lang w:val="en-US" w:eastAsia="en-US"/>
        </w:rPr>
        <w:t>Reticulitermes spp.</w:t>
      </w:r>
      <w:r w:rsidRPr="00C14677">
        <w:rPr>
          <w:rFonts w:cs="Arial"/>
          <w:lang w:val="en-US" w:eastAsia="en-US"/>
        </w:rPr>
        <w:t>), no curative efficacy standard are available against termites. However, the objective of curative products are, as for the preventive treatments against termites (tested following the standard EN 118 + EN73/84), to protect wood against termites and to eliminate termites in the wood. Indeed, their function is not to destroy the entire colony (which is not in the wood). Moreover the target stages in the preventive and in the curative efficacy treatments are the same, which means the dose of active substance in both treatments are the same. Then the efficacy demonstrated in the preventive efficacy test can be extrapolated for a curative application.</w:t>
      </w:r>
    </w:p>
    <w:p w14:paraId="089DA4CA" w14:textId="77777777" w:rsidR="00C14677" w:rsidRPr="00C14677" w:rsidRDefault="00C14677" w:rsidP="00C14677">
      <w:pPr>
        <w:pStyle w:val="Paragraphedeliste"/>
        <w:numPr>
          <w:ilvl w:val="0"/>
          <w:numId w:val="25"/>
        </w:numPr>
        <w:suppressAutoHyphens w:val="0"/>
        <w:spacing w:line="260" w:lineRule="atLeast"/>
        <w:ind w:left="709"/>
        <w:contextualSpacing/>
        <w:rPr>
          <w:rFonts w:cs="Arial"/>
          <w:lang w:val="en-US"/>
        </w:rPr>
      </w:pPr>
      <w:r w:rsidRPr="00AD5AD8">
        <w:rPr>
          <w:rFonts w:cs="Arial"/>
          <w:u w:val="single"/>
          <w:lang w:val="en-US" w:eastAsia="en-US"/>
        </w:rPr>
        <w:t>Regarding the curative efficacy claim against wood boring beetles</w:t>
      </w:r>
      <w:r w:rsidRPr="00C14677">
        <w:rPr>
          <w:rFonts w:cs="Arial"/>
          <w:lang w:val="en-US" w:eastAsia="en-US"/>
        </w:rPr>
        <w:t>, by injection, this treatment is always performed in combination with superficial application. Then, efficacy demonstrated for superficial treatment is sufficient and no additional data is needed. Curative treatment by injection, in combination with a superficial treatment, at the application rate of 180 mL of product X6122B1 / m² of wood is validated.</w:t>
      </w:r>
    </w:p>
    <w:p w14:paraId="22C79D92" w14:textId="77777777" w:rsidR="00C14677" w:rsidRPr="00C14677" w:rsidRDefault="00C14677">
      <w:pPr>
        <w:spacing w:line="260" w:lineRule="atLeast"/>
        <w:rPr>
          <w:rFonts w:eastAsia="Calibri" w:cs="Times New Roman"/>
          <w:i/>
          <w:iCs/>
          <w:szCs w:val="24"/>
          <w:lang w:val="en-US" w:eastAsia="en-US"/>
        </w:rPr>
      </w:pPr>
    </w:p>
    <w:p w14:paraId="5EF4A8C1" w14:textId="77777777" w:rsidR="00C14677" w:rsidRDefault="00C14677">
      <w:pPr>
        <w:spacing w:line="260" w:lineRule="atLeast"/>
        <w:rPr>
          <w:rFonts w:ascii="Times New Roman" w:eastAsia="Calibri" w:hAnsi="Times New Roman" w:cs="Times New Roman"/>
          <w:i/>
          <w:iCs/>
          <w:szCs w:val="24"/>
          <w:lang w:eastAsia="en-US"/>
        </w:rPr>
      </w:pPr>
    </w:p>
    <w:p w14:paraId="6AFACF39" w14:textId="77777777" w:rsidR="009D0C0B" w:rsidRPr="008551C7" w:rsidRDefault="00FA480B">
      <w:pPr>
        <w:pStyle w:val="Titre4"/>
        <w:rPr>
          <w:rFonts w:ascii="Times New Roman" w:hAnsi="Times New Roman" w:cs="Times New Roman"/>
          <w:i/>
          <w:iCs/>
          <w:lang w:val="en-US" w:eastAsia="en-US"/>
        </w:rPr>
      </w:pPr>
      <w:bookmarkStart w:id="89" w:name="_Toc536627309"/>
      <w:r w:rsidRPr="008551C7">
        <w:rPr>
          <w:lang w:val="en-US"/>
        </w:rPr>
        <w:t>Mode of action, including time delay</w:t>
      </w:r>
      <w:bookmarkEnd w:id="89"/>
    </w:p>
    <w:p w14:paraId="1267FBE4" w14:textId="77777777" w:rsidR="0045722E" w:rsidRDefault="00A50A34" w:rsidP="00A50A34">
      <w:pPr>
        <w:rPr>
          <w:rFonts w:cs="Arial"/>
        </w:rPr>
      </w:pPr>
      <w:r w:rsidRPr="00A50A34">
        <w:rPr>
          <w:rFonts w:cs="Arial"/>
        </w:rPr>
        <w:t>Cypermethrin is a synthetic pyrethroid with contact and stomach action. It acts by preventing the transmission of impulses along the nervous system of the insect. It is thought that this is achieved by blocking the sodium channels in nerve membranes, thus preventing action potentials passing down the nerve axon (see AR for Cypermethrin PT08, 12/07/2012).</w:t>
      </w:r>
    </w:p>
    <w:p w14:paraId="32ECB91D" w14:textId="3A3708CF" w:rsidR="00A50A34" w:rsidRPr="00A50A34" w:rsidRDefault="00A50A34" w:rsidP="00A50A34">
      <w:pPr>
        <w:rPr>
          <w:rFonts w:cs="Arial"/>
        </w:rPr>
      </w:pPr>
      <w:r w:rsidRPr="00A50A34">
        <w:rPr>
          <w:rFonts w:cs="Arial"/>
        </w:rPr>
        <w:t xml:space="preserve"> </w:t>
      </w:r>
    </w:p>
    <w:p w14:paraId="3E866DAB" w14:textId="77777777" w:rsidR="00A50A34" w:rsidRPr="00A50A34" w:rsidRDefault="00A50A34" w:rsidP="00A50A34">
      <w:pPr>
        <w:rPr>
          <w:rFonts w:cs="Arial"/>
        </w:rPr>
      </w:pPr>
      <w:r w:rsidRPr="00A50A34">
        <w:rPr>
          <w:rFonts w:cs="Arial"/>
        </w:rPr>
        <w:t>As other triazole fungicides, tebuconazole and propiconazole are DMIs (DeMethylation Inhibitors). These substances inhibit the C14 demethylation step in the ergosterol biosynthesis of fungi (Fungicide Resistance Action Committee, FRAC2).</w:t>
      </w:r>
    </w:p>
    <w:p w14:paraId="462A14AF" w14:textId="77777777" w:rsidR="00A50A34" w:rsidRPr="00A50A34" w:rsidRDefault="00A50A34" w:rsidP="00A50A34">
      <w:pPr>
        <w:rPr>
          <w:rFonts w:cs="Arial"/>
        </w:rPr>
      </w:pPr>
    </w:p>
    <w:p w14:paraId="57685610" w14:textId="77777777" w:rsidR="00A50A34" w:rsidRPr="00A50A34" w:rsidRDefault="00A50A34" w:rsidP="00A50A34">
      <w:pPr>
        <w:rPr>
          <w:rFonts w:cs="Arial"/>
        </w:rPr>
      </w:pPr>
      <w:r w:rsidRPr="00A50A34">
        <w:rPr>
          <w:rFonts w:cs="Arial"/>
        </w:rPr>
        <w:t>IPBC has a Carbamate structure. The target sites of Carbamates in fungi are cell membrane permeability and fatty acids (according to the information provided by FRAC (Fungicide Resistance Action Committee).</w:t>
      </w:r>
    </w:p>
    <w:p w14:paraId="58BA9182" w14:textId="77777777" w:rsidR="00A50A34" w:rsidRPr="00A50A34" w:rsidRDefault="00A50A34" w:rsidP="00A50A34">
      <w:pPr>
        <w:rPr>
          <w:rFonts w:cs="Arial"/>
        </w:rPr>
      </w:pPr>
    </w:p>
    <w:p w14:paraId="086CFF12" w14:textId="77777777" w:rsidR="00A50A34" w:rsidRPr="00A50A34" w:rsidRDefault="00A50A34" w:rsidP="00A50A34">
      <w:pPr>
        <w:rPr>
          <w:rFonts w:cs="Arial"/>
        </w:rPr>
      </w:pPr>
      <w:r w:rsidRPr="00A50A34">
        <w:rPr>
          <w:rFonts w:cs="Arial"/>
        </w:rPr>
        <w:t>There is no time delay between the application of the product and the beginning of the preventive fungicidal and insecticidal activities. The effect is immediate.</w:t>
      </w:r>
    </w:p>
    <w:p w14:paraId="58821D05" w14:textId="475C8E52" w:rsidR="00A50A34" w:rsidRPr="00A50A34" w:rsidRDefault="00A50A34" w:rsidP="00A50A34">
      <w:pPr>
        <w:rPr>
          <w:rFonts w:cs="Arial"/>
          <w:sz w:val="24"/>
        </w:rPr>
      </w:pPr>
      <w:r w:rsidRPr="00A50A34">
        <w:rPr>
          <w:rFonts w:cs="Arial"/>
        </w:rPr>
        <w:t xml:space="preserve">Regarding the curative insecticidal efficacy, based on the elements presented in the dossier, the product demonstrated a slow action on </w:t>
      </w:r>
      <w:r w:rsidRPr="00A50A34">
        <w:rPr>
          <w:rFonts w:cs="Arial"/>
          <w:i/>
        </w:rPr>
        <w:t>Hylotrupes bajulus</w:t>
      </w:r>
      <w:r w:rsidRPr="00A50A34">
        <w:rPr>
          <w:rFonts w:cs="Arial"/>
        </w:rPr>
        <w:t xml:space="preserve"> and a </w:t>
      </w:r>
      <w:r w:rsidR="00620965">
        <w:rPr>
          <w:rFonts w:cs="Arial"/>
        </w:rPr>
        <w:t>fast acting</w:t>
      </w:r>
      <w:r w:rsidRPr="00A50A34">
        <w:rPr>
          <w:rFonts w:cs="Arial"/>
        </w:rPr>
        <w:t xml:space="preserve"> on </w:t>
      </w:r>
      <w:r w:rsidRPr="00A50A34">
        <w:rPr>
          <w:rFonts w:cs="Arial"/>
          <w:i/>
        </w:rPr>
        <w:t>Anobium punctatum.</w:t>
      </w:r>
    </w:p>
    <w:p w14:paraId="12A02D99" w14:textId="77777777" w:rsidR="00A50A34" w:rsidRDefault="00A50A34">
      <w:pPr>
        <w:spacing w:line="260" w:lineRule="atLeast"/>
        <w:ind w:left="360"/>
        <w:rPr>
          <w:rFonts w:ascii="Times New Roman" w:eastAsia="Calibri" w:hAnsi="Times New Roman" w:cs="Times New Roman"/>
          <w:i/>
          <w:iCs/>
          <w:szCs w:val="24"/>
          <w:lang w:eastAsia="en-US"/>
        </w:rPr>
      </w:pPr>
    </w:p>
    <w:p w14:paraId="260205D3" w14:textId="77777777" w:rsidR="00A50A34" w:rsidRPr="003012CB" w:rsidRDefault="00A50A34">
      <w:pPr>
        <w:spacing w:line="260" w:lineRule="atLeast"/>
        <w:ind w:left="360"/>
        <w:rPr>
          <w:rFonts w:ascii="Times New Roman" w:eastAsia="Calibri" w:hAnsi="Times New Roman" w:cs="Times New Roman"/>
          <w:i/>
          <w:iCs/>
          <w:szCs w:val="24"/>
          <w:lang w:eastAsia="en-US"/>
        </w:rPr>
      </w:pPr>
    </w:p>
    <w:p w14:paraId="36A62ED1" w14:textId="77777777" w:rsidR="009D0C0B" w:rsidRPr="003012CB" w:rsidRDefault="00FA480B">
      <w:pPr>
        <w:pStyle w:val="Titre4"/>
        <w:rPr>
          <w:rFonts w:ascii="Times New Roman" w:hAnsi="Times New Roman" w:cs="Times New Roman"/>
          <w:i/>
          <w:iCs/>
          <w:lang w:eastAsia="en-US"/>
        </w:rPr>
      </w:pPr>
      <w:bookmarkStart w:id="90" w:name="_Toc536627310"/>
      <w:r w:rsidRPr="003012CB">
        <w:t>Efficacy data</w:t>
      </w:r>
      <w:bookmarkEnd w:id="90"/>
      <w:r w:rsidRPr="003012CB">
        <w:t xml:space="preserve"> </w:t>
      </w:r>
    </w:p>
    <w:p w14:paraId="205EE67D" w14:textId="77777777" w:rsidR="009D0C0B" w:rsidRDefault="009D0C0B">
      <w:pPr>
        <w:spacing w:line="260" w:lineRule="atLeast"/>
        <w:ind w:left="360"/>
        <w:rPr>
          <w:rFonts w:ascii="Times New Roman" w:eastAsia="Calibri" w:hAnsi="Times New Roman" w:cs="Arial"/>
          <w:bCs/>
          <w:i/>
          <w:caps/>
          <w:szCs w:val="28"/>
          <w:lang w:eastAsia="en-US"/>
        </w:rPr>
      </w:pPr>
    </w:p>
    <w:p w14:paraId="73BD05B9" w14:textId="77777777" w:rsidR="003012CB" w:rsidRDefault="003012CB">
      <w:pPr>
        <w:spacing w:line="260" w:lineRule="atLeast"/>
        <w:ind w:left="360"/>
        <w:rPr>
          <w:rFonts w:ascii="Times New Roman" w:eastAsia="Calibri" w:hAnsi="Times New Roman" w:cs="Arial"/>
          <w:bCs/>
          <w:i/>
          <w:caps/>
          <w:szCs w:val="28"/>
          <w:lang w:eastAsia="en-US"/>
        </w:rPr>
        <w:sectPr w:rsidR="003012CB" w:rsidSect="008E0250">
          <w:pgSz w:w="11906" w:h="16838"/>
          <w:pgMar w:top="1021" w:right="709" w:bottom="1021" w:left="1418" w:header="709" w:footer="709" w:gutter="0"/>
          <w:cols w:space="708"/>
          <w:docGrid w:linePitch="360"/>
        </w:sectPr>
      </w:pPr>
    </w:p>
    <w:p w14:paraId="359192E1" w14:textId="77777777" w:rsidR="003012CB" w:rsidRDefault="003012CB">
      <w:pPr>
        <w:spacing w:line="260" w:lineRule="atLeast"/>
        <w:ind w:left="360"/>
        <w:rPr>
          <w:rFonts w:ascii="Times New Roman" w:eastAsia="Calibri" w:hAnsi="Times New Roman" w:cs="Arial"/>
          <w:bCs/>
          <w:i/>
          <w:caps/>
          <w:szCs w:val="28"/>
          <w:lang w:eastAsia="en-US"/>
        </w:rPr>
      </w:pPr>
    </w:p>
    <w:p w14:paraId="2CBC8134" w14:textId="77777777" w:rsidR="003012CB" w:rsidRPr="003012CB" w:rsidRDefault="003012CB">
      <w:pPr>
        <w:spacing w:line="260" w:lineRule="atLeast"/>
        <w:ind w:left="360"/>
        <w:rPr>
          <w:rFonts w:ascii="Times New Roman" w:eastAsia="Calibri" w:hAnsi="Times New Roman" w:cs="Arial"/>
          <w:bCs/>
          <w:i/>
          <w:caps/>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1"/>
        <w:gridCol w:w="1922"/>
        <w:gridCol w:w="1582"/>
        <w:gridCol w:w="1390"/>
        <w:gridCol w:w="1541"/>
        <w:gridCol w:w="2845"/>
        <w:gridCol w:w="2564"/>
        <w:gridCol w:w="1671"/>
      </w:tblGrid>
      <w:tr w:rsidR="003012CB" w:rsidRPr="00A23906" w14:paraId="0B615E91" w14:textId="77777777" w:rsidTr="0021636F">
        <w:trPr>
          <w:trHeight w:val="303"/>
        </w:trPr>
        <w:tc>
          <w:tcPr>
            <w:tcW w:w="5000" w:type="pct"/>
            <w:gridSpan w:val="8"/>
            <w:shd w:val="clear" w:color="auto" w:fill="FFFFCC"/>
            <w:vAlign w:val="center"/>
          </w:tcPr>
          <w:p w14:paraId="56B57BF6" w14:textId="77777777" w:rsidR="003012CB" w:rsidRPr="00EC1787" w:rsidRDefault="003012CB" w:rsidP="00853BF6">
            <w:pPr>
              <w:jc w:val="center"/>
              <w:rPr>
                <w:b/>
                <w:color w:val="000000"/>
                <w:sz w:val="18"/>
                <w:szCs w:val="18"/>
                <w:lang w:eastAsia="de-DE"/>
              </w:rPr>
            </w:pPr>
            <w:r w:rsidRPr="00EC1787">
              <w:rPr>
                <w:b/>
                <w:color w:val="000000"/>
                <w:sz w:val="18"/>
                <w:szCs w:val="18"/>
                <w:lang w:eastAsia="de-DE"/>
              </w:rPr>
              <w:t>Experimental data on the efficacy of the biocidal product against target organism(s)</w:t>
            </w:r>
          </w:p>
        </w:tc>
      </w:tr>
      <w:tr w:rsidR="003012CB" w:rsidRPr="00EC1787" w14:paraId="2442B45D" w14:textId="77777777" w:rsidTr="0021636F">
        <w:tc>
          <w:tcPr>
            <w:tcW w:w="430" w:type="pct"/>
            <w:shd w:val="clear" w:color="auto" w:fill="FFFFFF"/>
          </w:tcPr>
          <w:p w14:paraId="31759E1E" w14:textId="77777777" w:rsidR="003012CB" w:rsidRPr="00EC1787" w:rsidRDefault="003012CB" w:rsidP="00853BF6">
            <w:pPr>
              <w:jc w:val="center"/>
              <w:rPr>
                <w:b/>
                <w:color w:val="000000"/>
                <w:sz w:val="18"/>
                <w:szCs w:val="18"/>
                <w:lang w:eastAsia="de-DE"/>
              </w:rPr>
            </w:pPr>
            <w:r w:rsidRPr="00EC1787">
              <w:rPr>
                <w:b/>
                <w:color w:val="000000"/>
                <w:sz w:val="18"/>
                <w:szCs w:val="18"/>
                <w:lang w:eastAsia="de-DE"/>
              </w:rPr>
              <w:t>Function</w:t>
            </w:r>
          </w:p>
        </w:tc>
        <w:tc>
          <w:tcPr>
            <w:tcW w:w="650" w:type="pct"/>
            <w:shd w:val="clear" w:color="auto" w:fill="FFFFFF"/>
          </w:tcPr>
          <w:p w14:paraId="083FBCA5" w14:textId="77777777" w:rsidR="003012CB" w:rsidRPr="00EC1787" w:rsidRDefault="003012CB" w:rsidP="00853BF6">
            <w:pPr>
              <w:rPr>
                <w:b/>
                <w:color w:val="000000"/>
                <w:sz w:val="18"/>
                <w:szCs w:val="18"/>
                <w:lang w:eastAsia="de-DE"/>
              </w:rPr>
            </w:pPr>
            <w:r w:rsidRPr="00EC1787">
              <w:rPr>
                <w:b/>
                <w:color w:val="000000"/>
                <w:sz w:val="18"/>
                <w:szCs w:val="18"/>
                <w:lang w:eastAsia="de-DE"/>
              </w:rPr>
              <w:t>Field of use envisaged</w:t>
            </w:r>
          </w:p>
        </w:tc>
        <w:tc>
          <w:tcPr>
            <w:tcW w:w="535" w:type="pct"/>
            <w:shd w:val="clear" w:color="auto" w:fill="FFFFFF"/>
          </w:tcPr>
          <w:p w14:paraId="1034ADF5" w14:textId="77777777" w:rsidR="003012CB" w:rsidRPr="00EC1787" w:rsidRDefault="003012CB" w:rsidP="00853BF6">
            <w:pPr>
              <w:rPr>
                <w:b/>
                <w:i/>
                <w:color w:val="000000"/>
                <w:sz w:val="18"/>
                <w:szCs w:val="18"/>
                <w:lang w:eastAsia="de-DE"/>
              </w:rPr>
            </w:pPr>
            <w:r w:rsidRPr="00EC1787">
              <w:rPr>
                <w:b/>
                <w:color w:val="000000"/>
                <w:sz w:val="18"/>
                <w:szCs w:val="18"/>
                <w:lang w:eastAsia="de-DE"/>
              </w:rPr>
              <w:t>Test substance</w:t>
            </w:r>
          </w:p>
        </w:tc>
        <w:tc>
          <w:tcPr>
            <w:tcW w:w="470" w:type="pct"/>
            <w:shd w:val="clear" w:color="auto" w:fill="FFFFFF"/>
          </w:tcPr>
          <w:p w14:paraId="50024354" w14:textId="77777777" w:rsidR="003012CB" w:rsidRPr="00EC1787" w:rsidRDefault="003012CB" w:rsidP="00853BF6">
            <w:pPr>
              <w:rPr>
                <w:b/>
                <w:i/>
                <w:color w:val="000000"/>
                <w:sz w:val="18"/>
                <w:szCs w:val="18"/>
                <w:lang w:eastAsia="de-DE"/>
              </w:rPr>
            </w:pPr>
            <w:r w:rsidRPr="00EC1787">
              <w:rPr>
                <w:b/>
                <w:color w:val="000000"/>
                <w:sz w:val="18"/>
                <w:szCs w:val="18"/>
                <w:lang w:eastAsia="de-DE"/>
              </w:rPr>
              <w:t>Test organism(s)</w:t>
            </w:r>
          </w:p>
        </w:tc>
        <w:tc>
          <w:tcPr>
            <w:tcW w:w="521" w:type="pct"/>
            <w:shd w:val="clear" w:color="auto" w:fill="FFFFFF"/>
          </w:tcPr>
          <w:p w14:paraId="01DDD79E" w14:textId="77777777" w:rsidR="003012CB" w:rsidRPr="00EC1787" w:rsidRDefault="003012CB" w:rsidP="00853BF6">
            <w:pPr>
              <w:rPr>
                <w:b/>
                <w:color w:val="000000"/>
                <w:sz w:val="18"/>
                <w:szCs w:val="18"/>
                <w:lang w:eastAsia="de-DE"/>
              </w:rPr>
            </w:pPr>
            <w:r w:rsidRPr="00EC1787">
              <w:rPr>
                <w:b/>
                <w:color w:val="000000"/>
                <w:sz w:val="18"/>
                <w:szCs w:val="18"/>
                <w:lang w:eastAsia="de-DE"/>
              </w:rPr>
              <w:t>Test method</w:t>
            </w:r>
          </w:p>
        </w:tc>
        <w:tc>
          <w:tcPr>
            <w:tcW w:w="962" w:type="pct"/>
            <w:shd w:val="clear" w:color="auto" w:fill="FFFFFF"/>
          </w:tcPr>
          <w:p w14:paraId="36A583AB" w14:textId="77777777" w:rsidR="003012CB" w:rsidRPr="00EC1787" w:rsidRDefault="003012CB" w:rsidP="00853BF6">
            <w:pPr>
              <w:rPr>
                <w:b/>
                <w:color w:val="000000"/>
                <w:sz w:val="18"/>
                <w:szCs w:val="18"/>
                <w:lang w:eastAsia="de-DE"/>
              </w:rPr>
            </w:pPr>
            <w:r w:rsidRPr="00EC1787">
              <w:rPr>
                <w:b/>
                <w:color w:val="000000"/>
                <w:sz w:val="18"/>
                <w:szCs w:val="18"/>
                <w:lang w:eastAsia="de-DE"/>
              </w:rPr>
              <w:t>Test system / concentrations applied / exposure time</w:t>
            </w:r>
          </w:p>
        </w:tc>
        <w:tc>
          <w:tcPr>
            <w:tcW w:w="867" w:type="pct"/>
            <w:shd w:val="clear" w:color="auto" w:fill="FFFFFF"/>
          </w:tcPr>
          <w:p w14:paraId="06B9049A" w14:textId="77777777" w:rsidR="003012CB" w:rsidRPr="00EC1787" w:rsidRDefault="003012CB" w:rsidP="00853BF6">
            <w:pPr>
              <w:rPr>
                <w:b/>
                <w:color w:val="000000"/>
                <w:sz w:val="18"/>
                <w:szCs w:val="18"/>
                <w:lang w:eastAsia="de-DE"/>
              </w:rPr>
            </w:pPr>
            <w:r w:rsidRPr="00EC1787">
              <w:rPr>
                <w:b/>
                <w:color w:val="000000"/>
                <w:sz w:val="18"/>
                <w:szCs w:val="18"/>
                <w:lang w:eastAsia="de-DE"/>
              </w:rPr>
              <w:t>Test results: effects</w:t>
            </w:r>
          </w:p>
        </w:tc>
        <w:tc>
          <w:tcPr>
            <w:tcW w:w="565" w:type="pct"/>
            <w:shd w:val="clear" w:color="auto" w:fill="FFFFFF"/>
          </w:tcPr>
          <w:p w14:paraId="02F24B63" w14:textId="77777777" w:rsidR="003012CB" w:rsidRPr="00EC1787" w:rsidRDefault="003012CB" w:rsidP="00853BF6">
            <w:pPr>
              <w:rPr>
                <w:b/>
                <w:color w:val="000000"/>
                <w:sz w:val="18"/>
                <w:szCs w:val="18"/>
                <w:lang w:eastAsia="de-DE"/>
              </w:rPr>
            </w:pPr>
            <w:r w:rsidRPr="00EC1787">
              <w:rPr>
                <w:b/>
                <w:color w:val="000000"/>
                <w:sz w:val="18"/>
                <w:szCs w:val="18"/>
                <w:lang w:eastAsia="de-DE"/>
              </w:rPr>
              <w:t>Reference</w:t>
            </w:r>
          </w:p>
        </w:tc>
      </w:tr>
      <w:tr w:rsidR="003012CB" w:rsidRPr="00EC1787" w14:paraId="07A9171D" w14:textId="77777777" w:rsidTr="0021636F">
        <w:tc>
          <w:tcPr>
            <w:tcW w:w="430" w:type="pct"/>
          </w:tcPr>
          <w:p w14:paraId="2E0E0B63" w14:textId="77777777" w:rsidR="003012CB" w:rsidRPr="00EC1787" w:rsidRDefault="003012CB" w:rsidP="00853BF6">
            <w:pPr>
              <w:rPr>
                <w:color w:val="000000"/>
                <w:sz w:val="16"/>
                <w:szCs w:val="16"/>
                <w:lang w:eastAsia="de-DE"/>
              </w:rPr>
            </w:pPr>
            <w:r w:rsidRPr="00EC1787">
              <w:rPr>
                <w:rFonts w:ascii="Arial" w:hAnsi="Arial" w:cs="Arial"/>
                <w:sz w:val="16"/>
                <w:szCs w:val="16"/>
              </w:rPr>
              <w:t>MG 02: preservatives</w:t>
            </w:r>
          </w:p>
        </w:tc>
        <w:tc>
          <w:tcPr>
            <w:tcW w:w="650" w:type="pct"/>
          </w:tcPr>
          <w:p w14:paraId="6BD796E6"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48C4EFC3"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462EEF92" w14:textId="77777777" w:rsidR="003012CB" w:rsidRDefault="003012CB" w:rsidP="00853BF6">
            <w:pPr>
              <w:rPr>
                <w:color w:val="000000"/>
                <w:sz w:val="16"/>
                <w:szCs w:val="16"/>
                <w:lang w:eastAsia="de-DE"/>
              </w:rPr>
            </w:pPr>
            <w:r>
              <w:rPr>
                <w:color w:val="000000"/>
                <w:sz w:val="16"/>
                <w:szCs w:val="16"/>
                <w:lang w:eastAsia="de-DE"/>
              </w:rPr>
              <w:t>X6122B1</w:t>
            </w:r>
          </w:p>
          <w:p w14:paraId="11A984D1" w14:textId="77777777" w:rsidR="003012CB" w:rsidRPr="00EC1787" w:rsidRDefault="003012CB" w:rsidP="00853BF6">
            <w:pPr>
              <w:rPr>
                <w:color w:val="000000"/>
                <w:sz w:val="16"/>
                <w:szCs w:val="16"/>
                <w:lang w:eastAsia="de-DE"/>
              </w:rPr>
            </w:pPr>
            <w:r>
              <w:rPr>
                <w:color w:val="000000"/>
                <w:sz w:val="16"/>
                <w:szCs w:val="16"/>
                <w:lang w:eastAsia="de-DE"/>
              </w:rPr>
              <w:t>batch Pap V 129.2</w:t>
            </w:r>
          </w:p>
        </w:tc>
        <w:tc>
          <w:tcPr>
            <w:tcW w:w="470" w:type="pct"/>
          </w:tcPr>
          <w:p w14:paraId="2F58F20F" w14:textId="77777777" w:rsidR="003012CB" w:rsidRPr="00657E9B" w:rsidRDefault="003012CB" w:rsidP="00853BF6">
            <w:pPr>
              <w:rPr>
                <w:i/>
                <w:color w:val="000000"/>
                <w:sz w:val="16"/>
                <w:szCs w:val="16"/>
                <w:lang w:val="pt-PT" w:eastAsia="de-DE"/>
              </w:rPr>
            </w:pPr>
            <w:r w:rsidRPr="00657E9B">
              <w:rPr>
                <w:i/>
                <w:color w:val="000000"/>
                <w:sz w:val="16"/>
                <w:szCs w:val="16"/>
                <w:lang w:val="pt-PT" w:eastAsia="de-DE"/>
              </w:rPr>
              <w:t>C. puteana</w:t>
            </w:r>
          </w:p>
          <w:p w14:paraId="024B02C5" w14:textId="77777777" w:rsidR="003012CB" w:rsidRPr="00657E9B" w:rsidRDefault="003012CB" w:rsidP="00853BF6">
            <w:pPr>
              <w:rPr>
                <w:i/>
                <w:color w:val="000000"/>
                <w:sz w:val="16"/>
                <w:szCs w:val="16"/>
                <w:lang w:val="pt-PT" w:eastAsia="de-DE"/>
              </w:rPr>
            </w:pPr>
            <w:r w:rsidRPr="00657E9B">
              <w:rPr>
                <w:i/>
                <w:color w:val="000000"/>
                <w:sz w:val="16"/>
                <w:szCs w:val="16"/>
                <w:lang w:val="pt-PT" w:eastAsia="de-DE"/>
              </w:rPr>
              <w:t>G.trabeum</w:t>
            </w:r>
          </w:p>
          <w:p w14:paraId="12B5E077" w14:textId="77777777" w:rsidR="003012CB" w:rsidRPr="00657E9B" w:rsidRDefault="003012CB" w:rsidP="00853BF6">
            <w:pPr>
              <w:rPr>
                <w:i/>
                <w:color w:val="000000"/>
                <w:sz w:val="16"/>
                <w:szCs w:val="16"/>
                <w:lang w:val="pt-PT" w:eastAsia="de-DE"/>
              </w:rPr>
            </w:pPr>
            <w:r w:rsidRPr="00657E9B">
              <w:rPr>
                <w:i/>
                <w:color w:val="000000"/>
                <w:sz w:val="16"/>
                <w:szCs w:val="16"/>
                <w:lang w:val="pt-PT" w:eastAsia="de-DE"/>
              </w:rPr>
              <w:t>P.placenta</w:t>
            </w:r>
          </w:p>
          <w:p w14:paraId="6670DEBE" w14:textId="77777777" w:rsidR="003012CB" w:rsidRPr="007A5B15" w:rsidRDefault="003012CB" w:rsidP="00853BF6">
            <w:pPr>
              <w:rPr>
                <w:color w:val="000000"/>
                <w:sz w:val="16"/>
                <w:szCs w:val="16"/>
                <w:lang w:val="it-IT" w:eastAsia="de-DE"/>
              </w:rPr>
            </w:pPr>
            <w:r w:rsidRPr="007A5B15">
              <w:rPr>
                <w:i/>
                <w:color w:val="000000"/>
                <w:sz w:val="16"/>
                <w:szCs w:val="16"/>
                <w:lang w:val="it-IT" w:eastAsia="de-DE"/>
              </w:rPr>
              <w:t>C.versicolor</w:t>
            </w:r>
          </w:p>
        </w:tc>
        <w:tc>
          <w:tcPr>
            <w:tcW w:w="521" w:type="pct"/>
          </w:tcPr>
          <w:p w14:paraId="131E01A2" w14:textId="77777777" w:rsidR="003012CB" w:rsidRPr="00EC1787" w:rsidRDefault="003012CB" w:rsidP="00853BF6">
            <w:pPr>
              <w:rPr>
                <w:color w:val="000000"/>
                <w:sz w:val="16"/>
                <w:szCs w:val="16"/>
                <w:lang w:eastAsia="de-DE"/>
              </w:rPr>
            </w:pPr>
            <w:r w:rsidRPr="00EC1787">
              <w:rPr>
                <w:color w:val="000000"/>
                <w:sz w:val="16"/>
                <w:szCs w:val="16"/>
                <w:lang w:eastAsia="de-DE"/>
              </w:rPr>
              <w:t>EN 113 after EN 73 (evaporation)</w:t>
            </w:r>
          </w:p>
        </w:tc>
        <w:tc>
          <w:tcPr>
            <w:tcW w:w="962" w:type="pct"/>
          </w:tcPr>
          <w:p w14:paraId="013158D4" w14:textId="77777777" w:rsidR="003012CB" w:rsidRPr="00EC1787" w:rsidRDefault="003012CB" w:rsidP="00853BF6">
            <w:pPr>
              <w:rPr>
                <w:color w:val="000000"/>
                <w:sz w:val="16"/>
                <w:szCs w:val="16"/>
                <w:lang w:eastAsia="de-DE"/>
              </w:rPr>
            </w:pPr>
            <w:r w:rsidRPr="00EC1787">
              <w:rPr>
                <w:color w:val="000000"/>
                <w:sz w:val="16"/>
                <w:szCs w:val="16"/>
                <w:lang w:eastAsia="de-DE"/>
              </w:rPr>
              <w:t>Following the recommendation of the standard:</w:t>
            </w:r>
          </w:p>
          <w:p w14:paraId="7A60B9E7" w14:textId="63349D72" w:rsidR="00EE1486" w:rsidRDefault="00EE1486" w:rsidP="00853BF6">
            <w:pPr>
              <w:rPr>
                <w:color w:val="000000"/>
                <w:sz w:val="16"/>
                <w:szCs w:val="16"/>
                <w:lang w:eastAsia="de-DE"/>
              </w:rPr>
            </w:pPr>
            <w:r w:rsidRPr="00EE1486">
              <w:rPr>
                <w:color w:val="000000"/>
                <w:sz w:val="16"/>
                <w:szCs w:val="16"/>
                <w:lang w:eastAsia="de-DE"/>
              </w:rPr>
              <w:t>The targeted retention</w:t>
            </w:r>
            <w:r>
              <w:rPr>
                <w:color w:val="000000"/>
                <w:sz w:val="16"/>
                <w:szCs w:val="16"/>
                <w:lang w:eastAsia="de-DE"/>
              </w:rPr>
              <w:t>s</w:t>
            </w:r>
            <w:r w:rsidRPr="00EE1486">
              <w:rPr>
                <w:color w:val="000000"/>
                <w:sz w:val="16"/>
                <w:szCs w:val="16"/>
                <w:lang w:eastAsia="de-DE"/>
              </w:rPr>
              <w:t xml:space="preserve"> of test product </w:t>
            </w:r>
            <w:r w:rsidR="00191190">
              <w:rPr>
                <w:color w:val="000000"/>
                <w:sz w:val="16"/>
                <w:szCs w:val="16"/>
                <w:lang w:eastAsia="de-DE"/>
              </w:rPr>
              <w:t>were</w:t>
            </w:r>
            <w:r w:rsidRPr="00EE1486">
              <w:rPr>
                <w:color w:val="000000"/>
                <w:sz w:val="16"/>
                <w:szCs w:val="16"/>
                <w:lang w:eastAsia="de-DE"/>
              </w:rPr>
              <w:t xml:space="preserve"> 0-20-40-60-80 and 100 kg/m3</w:t>
            </w:r>
            <w:r>
              <w:rPr>
                <w:color w:val="000000"/>
                <w:sz w:val="16"/>
                <w:szCs w:val="16"/>
                <w:lang w:eastAsia="de-DE"/>
              </w:rPr>
              <w:t xml:space="preserve"> of wood. This retentions correspond to the following target concentrations tested</w:t>
            </w:r>
          </w:p>
          <w:p w14:paraId="5D298099" w14:textId="44CCAE17" w:rsidR="003012CB" w:rsidRPr="00B100F1" w:rsidRDefault="003012CB" w:rsidP="00853BF6">
            <w:pPr>
              <w:rPr>
                <w:color w:val="000000"/>
                <w:sz w:val="16"/>
                <w:szCs w:val="16"/>
                <w:lang w:eastAsia="de-DE"/>
              </w:rPr>
            </w:pPr>
            <w:r w:rsidRPr="00B100F1">
              <w:rPr>
                <w:color w:val="000000"/>
                <w:sz w:val="16"/>
                <w:szCs w:val="16"/>
                <w:lang w:eastAsia="de-DE"/>
              </w:rPr>
              <w:t xml:space="preserve">On scots pine blocks, the targeted concentrations to be tested were 0.0, 4.3, 8.55, 12.82, 17.09 and 21.37 </w:t>
            </w:r>
            <w:r w:rsidR="00F00B58" w:rsidRPr="00B100F1">
              <w:rPr>
                <w:color w:val="000000"/>
                <w:sz w:val="16"/>
                <w:szCs w:val="16"/>
                <w:lang w:eastAsia="de-DE"/>
              </w:rPr>
              <w:t>%w/w</w:t>
            </w:r>
            <w:r w:rsidRPr="00B100F1">
              <w:rPr>
                <w:color w:val="000000"/>
                <w:sz w:val="16"/>
                <w:szCs w:val="16"/>
                <w:lang w:eastAsia="de-DE"/>
              </w:rPr>
              <w:t xml:space="preserve">. </w:t>
            </w:r>
          </w:p>
          <w:p w14:paraId="1C3767A5" w14:textId="4A08F32F" w:rsidR="003012CB" w:rsidRPr="00EC1787" w:rsidRDefault="003012CB" w:rsidP="00853BF6">
            <w:pPr>
              <w:rPr>
                <w:color w:val="000000"/>
                <w:sz w:val="16"/>
                <w:szCs w:val="16"/>
                <w:lang w:eastAsia="de-DE"/>
              </w:rPr>
            </w:pPr>
            <w:r w:rsidRPr="00B100F1">
              <w:rPr>
                <w:color w:val="000000"/>
                <w:sz w:val="16"/>
                <w:szCs w:val="16"/>
                <w:lang w:eastAsia="de-DE"/>
              </w:rPr>
              <w:t xml:space="preserve">On beech blocks, the targeted concentrations to be tested were 0.0, 5.63, 11.27, 16.90, 22.53 and 28.16 </w:t>
            </w:r>
            <w:r w:rsidR="00EE1486" w:rsidRPr="00B100F1">
              <w:rPr>
                <w:color w:val="000000"/>
                <w:sz w:val="16"/>
                <w:szCs w:val="16"/>
                <w:lang w:eastAsia="de-DE"/>
              </w:rPr>
              <w:t>% w/w</w:t>
            </w:r>
            <w:r w:rsidRPr="00B100F1">
              <w:rPr>
                <w:color w:val="000000"/>
                <w:sz w:val="16"/>
                <w:szCs w:val="16"/>
                <w:lang w:eastAsia="de-DE"/>
              </w:rPr>
              <w:t>.</w:t>
            </w:r>
          </w:p>
          <w:p w14:paraId="148FDFC3" w14:textId="77777777" w:rsidR="003012CB" w:rsidRPr="00EC1787" w:rsidRDefault="003012CB" w:rsidP="00853BF6">
            <w:pPr>
              <w:rPr>
                <w:color w:val="000000"/>
                <w:sz w:val="16"/>
                <w:szCs w:val="16"/>
                <w:lang w:eastAsia="de-DE"/>
              </w:rPr>
            </w:pPr>
            <w:r w:rsidRPr="00EC1787">
              <w:rPr>
                <w:color w:val="000000"/>
                <w:sz w:val="16"/>
                <w:szCs w:val="16"/>
                <w:lang w:eastAsia="de-DE"/>
              </w:rPr>
              <w:t>The product was applied by vacuum impregnation</w:t>
            </w:r>
          </w:p>
          <w:p w14:paraId="6E8805DE"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- 6 blocks tested for each treatment and each fungal strain. </w:t>
            </w:r>
            <w:r w:rsidRPr="00EC1787">
              <w:rPr>
                <w:i/>
                <w:color w:val="000000"/>
                <w:sz w:val="16"/>
                <w:szCs w:val="16"/>
                <w:lang w:eastAsia="de-DE"/>
              </w:rPr>
              <w:t>C. puteana</w:t>
            </w:r>
            <w:r w:rsidRPr="00EC1787">
              <w:rPr>
                <w:color w:val="000000"/>
                <w:sz w:val="16"/>
                <w:szCs w:val="16"/>
                <w:lang w:eastAsia="de-DE"/>
              </w:rPr>
              <w:t xml:space="preserve">, </w:t>
            </w:r>
            <w:r w:rsidRPr="00EC1787">
              <w:rPr>
                <w:i/>
                <w:color w:val="000000"/>
                <w:sz w:val="16"/>
                <w:szCs w:val="16"/>
                <w:lang w:eastAsia="de-DE"/>
              </w:rPr>
              <w:t>G. trabeum</w:t>
            </w:r>
            <w:r w:rsidRPr="00EC1787">
              <w:rPr>
                <w:color w:val="000000"/>
                <w:sz w:val="16"/>
                <w:szCs w:val="16"/>
                <w:lang w:eastAsia="de-DE"/>
              </w:rPr>
              <w:t xml:space="preserve"> and </w:t>
            </w:r>
            <w:r w:rsidRPr="00EC1787">
              <w:rPr>
                <w:i/>
                <w:color w:val="000000"/>
                <w:sz w:val="16"/>
                <w:szCs w:val="16"/>
                <w:lang w:eastAsia="de-DE"/>
              </w:rPr>
              <w:t>P. placenta</w:t>
            </w:r>
            <w:r w:rsidRPr="00EC1787">
              <w:rPr>
                <w:color w:val="000000"/>
                <w:sz w:val="16"/>
                <w:szCs w:val="16"/>
                <w:lang w:eastAsia="de-DE"/>
              </w:rPr>
              <w:t xml:space="preserve"> are tested on pine. </w:t>
            </w:r>
            <w:r w:rsidRPr="00EC1787">
              <w:rPr>
                <w:i/>
                <w:color w:val="000000"/>
                <w:sz w:val="16"/>
                <w:szCs w:val="16"/>
                <w:lang w:eastAsia="de-DE"/>
              </w:rPr>
              <w:t>C. versicolor</w:t>
            </w:r>
            <w:r w:rsidRPr="00EC1787">
              <w:rPr>
                <w:color w:val="000000"/>
                <w:sz w:val="16"/>
                <w:szCs w:val="16"/>
                <w:lang w:eastAsia="de-DE"/>
              </w:rPr>
              <w:t xml:space="preserve"> is tested on beech replicates</w:t>
            </w:r>
          </w:p>
          <w:p w14:paraId="7356012B"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 Number of replicates: 6 replicates for each treatment and each fungal strain. </w:t>
            </w:r>
          </w:p>
          <w:p w14:paraId="4577C1A3" w14:textId="77777777" w:rsidR="003012CB" w:rsidRPr="00EC1787" w:rsidRDefault="003012CB" w:rsidP="00853BF6">
            <w:pPr>
              <w:rPr>
                <w:color w:val="000000"/>
                <w:sz w:val="16"/>
                <w:szCs w:val="16"/>
                <w:lang w:eastAsia="de-DE"/>
              </w:rPr>
            </w:pPr>
            <w:r w:rsidRPr="00EC1787">
              <w:rPr>
                <w:color w:val="000000"/>
                <w:sz w:val="16"/>
                <w:szCs w:val="16"/>
                <w:lang w:eastAsia="de-DE"/>
              </w:rPr>
              <w:t>CONTROLS</w:t>
            </w:r>
          </w:p>
          <w:p w14:paraId="1E4C5D2A" w14:textId="77777777" w:rsidR="003012CB" w:rsidRPr="00EC1787" w:rsidRDefault="003012CB" w:rsidP="00853BF6">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729ECAA7" w14:textId="77777777" w:rsidR="003012CB" w:rsidRPr="00EC1787" w:rsidRDefault="003012CB" w:rsidP="00853BF6">
            <w:pPr>
              <w:rPr>
                <w:color w:val="000000"/>
                <w:sz w:val="16"/>
                <w:szCs w:val="16"/>
                <w:lang w:eastAsia="de-DE"/>
              </w:rPr>
            </w:pPr>
          </w:p>
          <w:p w14:paraId="50D163ED" w14:textId="77777777" w:rsidR="003012CB" w:rsidRPr="00EC1787" w:rsidRDefault="003012CB" w:rsidP="00853BF6">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0BF34D4C"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w:t>
            </w:r>
            <w:r w:rsidRPr="00EC1787">
              <w:rPr>
                <w:color w:val="000000"/>
                <w:sz w:val="16"/>
                <w:szCs w:val="16"/>
                <w:lang w:eastAsia="de-DE"/>
              </w:rPr>
              <w:lastRenderedPageBreak/>
              <w:t xml:space="preserve">beginning and at the end of the exposure period. </w:t>
            </w:r>
          </w:p>
          <w:p w14:paraId="0FE91A0E" w14:textId="77777777" w:rsidR="003012CB" w:rsidRPr="00EC1787" w:rsidRDefault="003012CB" w:rsidP="00853BF6">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67" w:type="pct"/>
          </w:tcPr>
          <w:p w14:paraId="7C993C76" w14:textId="77777777" w:rsidR="003012CB" w:rsidRPr="00B100F1" w:rsidRDefault="003012CB" w:rsidP="00853BF6">
            <w:pPr>
              <w:rPr>
                <w:color w:val="000000"/>
                <w:sz w:val="16"/>
                <w:szCs w:val="16"/>
                <w:lang w:eastAsia="de-DE"/>
              </w:rPr>
            </w:pPr>
            <w:r w:rsidRPr="00B100F1">
              <w:rPr>
                <w:color w:val="000000"/>
                <w:sz w:val="16"/>
                <w:szCs w:val="16"/>
                <w:lang w:eastAsia="de-DE"/>
              </w:rPr>
              <w:lastRenderedPageBreak/>
              <w:t>The study is validated as more than 20 % of mass loss is observed in the control (&gt;30 % in each control)</w:t>
            </w:r>
          </w:p>
          <w:p w14:paraId="1DB16F9C" w14:textId="77777777" w:rsidR="003012CB" w:rsidRPr="00B100F1" w:rsidRDefault="003012CB" w:rsidP="00853BF6">
            <w:pPr>
              <w:rPr>
                <w:color w:val="000000"/>
                <w:sz w:val="16"/>
                <w:szCs w:val="16"/>
                <w:lang w:eastAsia="de-DE"/>
              </w:rPr>
            </w:pPr>
          </w:p>
          <w:p w14:paraId="3B136726" w14:textId="77777777" w:rsidR="003012CB" w:rsidRPr="00B100F1" w:rsidRDefault="003012CB" w:rsidP="00853BF6">
            <w:pPr>
              <w:rPr>
                <w:color w:val="000000"/>
                <w:sz w:val="16"/>
                <w:szCs w:val="16"/>
                <w:lang w:eastAsia="de-DE"/>
              </w:rPr>
            </w:pPr>
            <w:r w:rsidRPr="00B100F1">
              <w:rPr>
                <w:color w:val="000000"/>
                <w:sz w:val="16"/>
                <w:szCs w:val="16"/>
                <w:lang w:eastAsia="de-DE"/>
              </w:rPr>
              <w:t>Mid toxic values of the test product X6122B1:</w:t>
            </w:r>
          </w:p>
          <w:p w14:paraId="7268EE79" w14:textId="77777777" w:rsidR="003012CB" w:rsidRPr="00B100F1" w:rsidRDefault="003012CB" w:rsidP="00853BF6">
            <w:pPr>
              <w:rPr>
                <w:color w:val="000000"/>
                <w:sz w:val="16"/>
                <w:szCs w:val="16"/>
                <w:lang w:eastAsia="de-DE"/>
              </w:rPr>
            </w:pPr>
            <w:r w:rsidRPr="00B100F1">
              <w:rPr>
                <w:color w:val="000000"/>
                <w:sz w:val="16"/>
                <w:szCs w:val="16"/>
                <w:lang w:eastAsia="de-DE"/>
              </w:rPr>
              <w:t xml:space="preserve"> - </w:t>
            </w:r>
            <w:r w:rsidRPr="00B100F1">
              <w:rPr>
                <w:i/>
                <w:color w:val="000000"/>
                <w:sz w:val="16"/>
                <w:szCs w:val="16"/>
                <w:lang w:eastAsia="de-DE"/>
              </w:rPr>
              <w:t>C. puteana</w:t>
            </w:r>
            <w:r w:rsidRPr="00B100F1">
              <w:rPr>
                <w:color w:val="000000"/>
                <w:sz w:val="16"/>
                <w:szCs w:val="16"/>
                <w:lang w:eastAsia="de-DE"/>
              </w:rPr>
              <w:t>: 58.28 kg/m</w:t>
            </w:r>
            <w:r w:rsidRPr="00B100F1">
              <w:rPr>
                <w:color w:val="000000"/>
                <w:sz w:val="16"/>
                <w:szCs w:val="16"/>
                <w:vertAlign w:val="superscript"/>
                <w:lang w:eastAsia="de-DE"/>
              </w:rPr>
              <w:t>3</w:t>
            </w:r>
          </w:p>
          <w:p w14:paraId="3E9197B6" w14:textId="77777777" w:rsidR="003012CB" w:rsidRPr="00B100F1" w:rsidRDefault="003012CB" w:rsidP="00853BF6">
            <w:pPr>
              <w:rPr>
                <w:color w:val="000000"/>
                <w:sz w:val="16"/>
                <w:szCs w:val="16"/>
                <w:lang w:eastAsia="de-DE"/>
              </w:rPr>
            </w:pPr>
            <w:r w:rsidRPr="00B100F1">
              <w:rPr>
                <w:color w:val="000000"/>
                <w:sz w:val="16"/>
                <w:szCs w:val="16"/>
                <w:lang w:eastAsia="de-DE"/>
              </w:rPr>
              <w:t xml:space="preserve"> - </w:t>
            </w:r>
            <w:r w:rsidRPr="00B100F1">
              <w:rPr>
                <w:i/>
                <w:color w:val="000000"/>
                <w:sz w:val="16"/>
                <w:szCs w:val="16"/>
                <w:lang w:eastAsia="de-DE"/>
              </w:rPr>
              <w:t>G. trabeum</w:t>
            </w:r>
            <w:r w:rsidRPr="00B100F1">
              <w:rPr>
                <w:color w:val="000000"/>
                <w:sz w:val="16"/>
                <w:szCs w:val="16"/>
                <w:lang w:eastAsia="de-DE"/>
              </w:rPr>
              <w:t xml:space="preserve"> 19.58-39.07 : 29.33 kg/m</w:t>
            </w:r>
            <w:r w:rsidRPr="00B100F1">
              <w:rPr>
                <w:color w:val="000000"/>
                <w:sz w:val="16"/>
                <w:szCs w:val="16"/>
                <w:vertAlign w:val="superscript"/>
                <w:lang w:eastAsia="de-DE"/>
              </w:rPr>
              <w:t>3</w:t>
            </w:r>
          </w:p>
          <w:p w14:paraId="7275EF6A" w14:textId="77777777" w:rsidR="003012CB" w:rsidRPr="00B100F1" w:rsidRDefault="003012CB" w:rsidP="00853BF6">
            <w:pPr>
              <w:rPr>
                <w:color w:val="000000"/>
                <w:sz w:val="16"/>
                <w:szCs w:val="16"/>
                <w:lang w:eastAsia="de-DE"/>
              </w:rPr>
            </w:pPr>
            <w:r w:rsidRPr="00B100F1">
              <w:rPr>
                <w:color w:val="000000"/>
                <w:sz w:val="16"/>
                <w:szCs w:val="16"/>
                <w:lang w:eastAsia="de-DE"/>
              </w:rPr>
              <w:t xml:space="preserve"> - </w:t>
            </w:r>
            <w:r w:rsidRPr="00B100F1">
              <w:rPr>
                <w:i/>
                <w:color w:val="000000"/>
                <w:sz w:val="16"/>
                <w:szCs w:val="16"/>
                <w:lang w:eastAsia="de-DE"/>
              </w:rPr>
              <w:t>C. versicolor</w:t>
            </w:r>
            <w:r w:rsidRPr="00B100F1">
              <w:rPr>
                <w:color w:val="000000"/>
                <w:sz w:val="16"/>
                <w:szCs w:val="16"/>
                <w:lang w:eastAsia="de-DE"/>
              </w:rPr>
              <w:t>: 79.5 – 98.59: 89.05 kg/m</w:t>
            </w:r>
            <w:r w:rsidRPr="00B100F1">
              <w:rPr>
                <w:color w:val="000000"/>
                <w:sz w:val="16"/>
                <w:szCs w:val="16"/>
                <w:vertAlign w:val="superscript"/>
                <w:lang w:eastAsia="de-DE"/>
              </w:rPr>
              <w:t>3</w:t>
            </w:r>
          </w:p>
          <w:p w14:paraId="316EAE98" w14:textId="77777777" w:rsidR="003012CB" w:rsidRPr="00B100F1" w:rsidRDefault="003012CB" w:rsidP="00853BF6">
            <w:pPr>
              <w:rPr>
                <w:color w:val="000000"/>
                <w:sz w:val="16"/>
                <w:szCs w:val="16"/>
                <w:lang w:eastAsia="de-DE"/>
              </w:rPr>
            </w:pPr>
          </w:p>
          <w:p w14:paraId="7E2CC512" w14:textId="77777777" w:rsidR="003012CB" w:rsidRPr="00B100F1" w:rsidRDefault="003012CB" w:rsidP="00853BF6">
            <w:pPr>
              <w:rPr>
                <w:color w:val="000000"/>
                <w:sz w:val="16"/>
                <w:szCs w:val="16"/>
                <w:lang w:eastAsia="de-DE"/>
              </w:rPr>
            </w:pPr>
            <w:r w:rsidRPr="00B100F1">
              <w:rPr>
                <w:color w:val="000000"/>
                <w:sz w:val="16"/>
                <w:szCs w:val="16"/>
                <w:lang w:eastAsia="de-DE"/>
              </w:rPr>
              <w:t>For P. placenta the efficacy is not demonstrated at the highest concentration tested 21.37% which mean that the brv is higher than 97.24 kg product/m</w:t>
            </w:r>
            <w:r w:rsidRPr="00B100F1">
              <w:rPr>
                <w:color w:val="000000"/>
                <w:sz w:val="16"/>
                <w:szCs w:val="16"/>
                <w:vertAlign w:val="superscript"/>
                <w:lang w:eastAsia="de-DE"/>
              </w:rPr>
              <w:t>3</w:t>
            </w:r>
            <w:r w:rsidRPr="00B100F1">
              <w:rPr>
                <w:color w:val="000000"/>
                <w:sz w:val="16"/>
                <w:szCs w:val="16"/>
                <w:lang w:eastAsia="de-DE"/>
              </w:rPr>
              <w:t xml:space="preserve"> of wood</w:t>
            </w:r>
          </w:p>
          <w:p w14:paraId="16914B2A" w14:textId="77777777" w:rsidR="003012CB" w:rsidRPr="00B100F1" w:rsidRDefault="003012CB" w:rsidP="00853BF6">
            <w:pPr>
              <w:rPr>
                <w:b/>
                <w:color w:val="000000"/>
                <w:sz w:val="16"/>
                <w:szCs w:val="16"/>
                <w:lang w:eastAsia="de-DE"/>
              </w:rPr>
            </w:pPr>
          </w:p>
          <w:p w14:paraId="5EFD350A" w14:textId="77777777" w:rsidR="003012CB" w:rsidRPr="00B100F1" w:rsidRDefault="003012CB" w:rsidP="00853BF6">
            <w:pPr>
              <w:rPr>
                <w:b/>
                <w:color w:val="000000"/>
                <w:sz w:val="16"/>
                <w:szCs w:val="16"/>
                <w:lang w:eastAsia="de-DE"/>
              </w:rPr>
            </w:pPr>
            <w:r w:rsidRPr="00B100F1">
              <w:rPr>
                <w:b/>
                <w:color w:val="000000"/>
                <w:sz w:val="16"/>
                <w:szCs w:val="16"/>
                <w:lang w:eastAsia="de-DE"/>
              </w:rPr>
              <w:t>Thus, the biological reference value of the test product X6122B1 after evaporative ageing procedure, cannot be determined.</w:t>
            </w:r>
          </w:p>
          <w:p w14:paraId="32E8B5F9" w14:textId="77777777" w:rsidR="003012CB" w:rsidRPr="00B100F1" w:rsidRDefault="003012CB" w:rsidP="00853BF6">
            <w:pPr>
              <w:rPr>
                <w:color w:val="000000"/>
                <w:sz w:val="16"/>
                <w:szCs w:val="16"/>
                <w:lang w:eastAsia="de-DE"/>
              </w:rPr>
            </w:pPr>
          </w:p>
        </w:tc>
        <w:tc>
          <w:tcPr>
            <w:tcW w:w="565" w:type="pct"/>
          </w:tcPr>
          <w:p w14:paraId="2499D62B" w14:textId="77777777" w:rsidR="003012CB" w:rsidRPr="00B100F1" w:rsidRDefault="003012CB" w:rsidP="00853BF6">
            <w:pPr>
              <w:rPr>
                <w:color w:val="000000"/>
                <w:sz w:val="16"/>
                <w:szCs w:val="16"/>
                <w:lang w:val="de-DE" w:eastAsia="de-DE"/>
              </w:rPr>
            </w:pPr>
            <w:r w:rsidRPr="00B100F1">
              <w:rPr>
                <w:color w:val="000000"/>
                <w:sz w:val="16"/>
                <w:szCs w:val="16"/>
                <w:lang w:val="de-DE" w:eastAsia="de-DE"/>
              </w:rPr>
              <w:t>Schumacher P. and Fennert E.M., 2017</w:t>
            </w:r>
          </w:p>
          <w:p w14:paraId="3CB9F8C0" w14:textId="77777777" w:rsidR="003012CB" w:rsidRPr="00B100F1" w:rsidRDefault="003012CB" w:rsidP="00853BF6">
            <w:pPr>
              <w:rPr>
                <w:color w:val="000000"/>
                <w:sz w:val="16"/>
                <w:szCs w:val="16"/>
                <w:lang w:val="en-US" w:eastAsia="de-DE"/>
              </w:rPr>
            </w:pPr>
            <w:r w:rsidRPr="00B100F1">
              <w:rPr>
                <w:color w:val="000000"/>
                <w:sz w:val="16"/>
                <w:szCs w:val="16"/>
                <w:lang w:eastAsia="de-DE"/>
              </w:rPr>
              <w:t>S6.7_01</w:t>
            </w:r>
          </w:p>
          <w:p w14:paraId="4588C261" w14:textId="77777777" w:rsidR="003012CB" w:rsidRPr="00B100F1" w:rsidRDefault="003012CB" w:rsidP="00853BF6">
            <w:pPr>
              <w:rPr>
                <w:color w:val="000000"/>
                <w:sz w:val="16"/>
                <w:szCs w:val="16"/>
                <w:lang w:eastAsia="de-DE"/>
              </w:rPr>
            </w:pPr>
          </w:p>
          <w:p w14:paraId="2A95DAE8" w14:textId="77777777" w:rsidR="003012CB" w:rsidRPr="00B100F1" w:rsidRDefault="003012CB" w:rsidP="00853BF6">
            <w:pPr>
              <w:rPr>
                <w:color w:val="000000"/>
                <w:sz w:val="16"/>
                <w:szCs w:val="16"/>
                <w:lang w:eastAsia="de-DE"/>
              </w:rPr>
            </w:pPr>
            <w:r w:rsidRPr="00B100F1">
              <w:rPr>
                <w:color w:val="000000"/>
                <w:sz w:val="16"/>
                <w:szCs w:val="16"/>
                <w:lang w:eastAsia="de-DE"/>
              </w:rPr>
              <w:t>32/16/9803/03</w:t>
            </w:r>
          </w:p>
          <w:p w14:paraId="51FBBDB0" w14:textId="77777777" w:rsidR="003012CB" w:rsidRPr="00B100F1" w:rsidRDefault="003012CB" w:rsidP="00853BF6">
            <w:pPr>
              <w:rPr>
                <w:color w:val="000000"/>
                <w:sz w:val="16"/>
                <w:szCs w:val="16"/>
                <w:lang w:eastAsia="de-DE"/>
              </w:rPr>
            </w:pPr>
          </w:p>
          <w:p w14:paraId="41A8E6BF" w14:textId="5466355A" w:rsidR="003012CB" w:rsidRPr="00B100F1" w:rsidRDefault="003012CB" w:rsidP="007135F4">
            <w:pPr>
              <w:rPr>
                <w:color w:val="000000"/>
                <w:sz w:val="16"/>
                <w:szCs w:val="16"/>
                <w:lang w:eastAsia="de-DE"/>
              </w:rPr>
            </w:pPr>
            <w:r w:rsidRPr="00B100F1">
              <w:rPr>
                <w:color w:val="000000"/>
                <w:sz w:val="16"/>
                <w:szCs w:val="16"/>
                <w:lang w:eastAsia="de-DE"/>
              </w:rPr>
              <w:t xml:space="preserve">IC </w:t>
            </w:r>
            <w:r w:rsidR="007135F4" w:rsidRPr="00B100F1">
              <w:rPr>
                <w:color w:val="000000"/>
                <w:sz w:val="16"/>
                <w:szCs w:val="16"/>
                <w:lang w:eastAsia="de-DE"/>
              </w:rPr>
              <w:t>1</w:t>
            </w:r>
          </w:p>
        </w:tc>
      </w:tr>
      <w:tr w:rsidR="003012CB" w:rsidRPr="00EC1787" w14:paraId="78E3FE6C" w14:textId="77777777" w:rsidTr="0021636F">
        <w:tc>
          <w:tcPr>
            <w:tcW w:w="430" w:type="pct"/>
          </w:tcPr>
          <w:p w14:paraId="7CE87252" w14:textId="77777777" w:rsidR="003012CB" w:rsidRPr="00EC1787" w:rsidRDefault="003012CB" w:rsidP="00853BF6">
            <w:pPr>
              <w:rPr>
                <w:color w:val="000000"/>
                <w:sz w:val="16"/>
                <w:szCs w:val="16"/>
                <w:lang w:eastAsia="de-DE"/>
              </w:rPr>
            </w:pPr>
            <w:r w:rsidRPr="00EC1787">
              <w:rPr>
                <w:rFonts w:ascii="Arial" w:hAnsi="Arial" w:cs="Arial"/>
                <w:sz w:val="16"/>
                <w:szCs w:val="16"/>
              </w:rPr>
              <w:t>MG 02: preservatives</w:t>
            </w:r>
          </w:p>
        </w:tc>
        <w:tc>
          <w:tcPr>
            <w:tcW w:w="650" w:type="pct"/>
          </w:tcPr>
          <w:p w14:paraId="7C76BC3B"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72201ACB"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54B0C539" w14:textId="77777777" w:rsidR="003012CB" w:rsidRDefault="003012CB" w:rsidP="00853BF6">
            <w:pPr>
              <w:rPr>
                <w:color w:val="000000"/>
                <w:sz w:val="16"/>
                <w:szCs w:val="16"/>
                <w:lang w:eastAsia="de-DE"/>
              </w:rPr>
            </w:pPr>
            <w:r>
              <w:rPr>
                <w:color w:val="000000"/>
                <w:sz w:val="16"/>
                <w:szCs w:val="16"/>
                <w:lang w:eastAsia="de-DE"/>
              </w:rPr>
              <w:t>X6122B1</w:t>
            </w:r>
          </w:p>
          <w:p w14:paraId="1C8AEFB4" w14:textId="77777777" w:rsidR="003012CB" w:rsidRPr="00EC1787" w:rsidRDefault="003012CB" w:rsidP="00853BF6">
            <w:pPr>
              <w:rPr>
                <w:color w:val="000000"/>
                <w:sz w:val="16"/>
                <w:szCs w:val="16"/>
                <w:lang w:eastAsia="de-DE"/>
              </w:rPr>
            </w:pPr>
            <w:r>
              <w:rPr>
                <w:color w:val="000000"/>
                <w:sz w:val="16"/>
                <w:szCs w:val="16"/>
                <w:lang w:eastAsia="de-DE"/>
              </w:rPr>
              <w:t>batch Pap V 129.2</w:t>
            </w:r>
          </w:p>
        </w:tc>
        <w:tc>
          <w:tcPr>
            <w:tcW w:w="470" w:type="pct"/>
          </w:tcPr>
          <w:p w14:paraId="191A979F" w14:textId="77777777" w:rsidR="003012CB" w:rsidRPr="0096155A" w:rsidRDefault="003012CB" w:rsidP="00853BF6">
            <w:pPr>
              <w:rPr>
                <w:i/>
                <w:color w:val="000000"/>
                <w:sz w:val="16"/>
                <w:szCs w:val="16"/>
                <w:lang w:val="pt-PT" w:eastAsia="de-DE"/>
              </w:rPr>
            </w:pPr>
            <w:r w:rsidRPr="0096155A">
              <w:rPr>
                <w:i/>
                <w:color w:val="000000"/>
                <w:sz w:val="16"/>
                <w:szCs w:val="16"/>
                <w:lang w:val="pt-PT" w:eastAsia="de-DE"/>
              </w:rPr>
              <w:t>C. puteana</w:t>
            </w:r>
          </w:p>
          <w:p w14:paraId="2C377053" w14:textId="77777777" w:rsidR="003012CB" w:rsidRPr="0096155A" w:rsidRDefault="003012CB" w:rsidP="00853BF6">
            <w:pPr>
              <w:rPr>
                <w:i/>
                <w:color w:val="000000"/>
                <w:sz w:val="16"/>
                <w:szCs w:val="16"/>
                <w:lang w:val="pt-PT" w:eastAsia="de-DE"/>
              </w:rPr>
            </w:pPr>
            <w:r w:rsidRPr="0096155A">
              <w:rPr>
                <w:i/>
                <w:color w:val="000000"/>
                <w:sz w:val="16"/>
                <w:szCs w:val="16"/>
                <w:lang w:val="pt-PT" w:eastAsia="de-DE"/>
              </w:rPr>
              <w:t>G.trabeum</w:t>
            </w:r>
          </w:p>
          <w:p w14:paraId="65DCF784" w14:textId="77777777" w:rsidR="003012CB" w:rsidRPr="0096155A" w:rsidRDefault="003012CB" w:rsidP="00853BF6">
            <w:pPr>
              <w:rPr>
                <w:i/>
                <w:color w:val="000000"/>
                <w:sz w:val="16"/>
                <w:szCs w:val="16"/>
                <w:lang w:val="pt-PT" w:eastAsia="de-DE"/>
              </w:rPr>
            </w:pPr>
            <w:r w:rsidRPr="0096155A">
              <w:rPr>
                <w:i/>
                <w:color w:val="000000"/>
                <w:sz w:val="16"/>
                <w:szCs w:val="16"/>
                <w:lang w:val="pt-PT" w:eastAsia="de-DE"/>
              </w:rPr>
              <w:t>P.placenta</w:t>
            </w:r>
          </w:p>
          <w:p w14:paraId="69107B36" w14:textId="77777777" w:rsidR="003012CB" w:rsidRPr="007A5B15" w:rsidRDefault="003012CB" w:rsidP="00853BF6">
            <w:pPr>
              <w:rPr>
                <w:color w:val="000000"/>
                <w:sz w:val="16"/>
                <w:szCs w:val="16"/>
                <w:lang w:val="it-IT" w:eastAsia="de-DE"/>
              </w:rPr>
            </w:pPr>
            <w:r w:rsidRPr="007A5B15">
              <w:rPr>
                <w:i/>
                <w:color w:val="000000"/>
                <w:sz w:val="16"/>
                <w:szCs w:val="16"/>
                <w:lang w:val="it-IT" w:eastAsia="de-DE"/>
              </w:rPr>
              <w:t>C.versicolor</w:t>
            </w:r>
          </w:p>
        </w:tc>
        <w:tc>
          <w:tcPr>
            <w:tcW w:w="521" w:type="pct"/>
          </w:tcPr>
          <w:p w14:paraId="3853B4EA" w14:textId="77777777" w:rsidR="003012CB" w:rsidRPr="00EC1787" w:rsidRDefault="003012CB" w:rsidP="00853BF6">
            <w:pPr>
              <w:rPr>
                <w:color w:val="000000"/>
                <w:sz w:val="16"/>
                <w:szCs w:val="16"/>
                <w:lang w:eastAsia="de-DE"/>
              </w:rPr>
            </w:pPr>
            <w:r w:rsidRPr="00EC1787">
              <w:rPr>
                <w:color w:val="000000"/>
                <w:sz w:val="16"/>
                <w:szCs w:val="16"/>
                <w:lang w:eastAsia="de-DE"/>
              </w:rPr>
              <w:t>EN 113 After EN 84 (leaching)</w:t>
            </w:r>
          </w:p>
        </w:tc>
        <w:tc>
          <w:tcPr>
            <w:tcW w:w="962" w:type="pct"/>
          </w:tcPr>
          <w:p w14:paraId="7E5036DE" w14:textId="77777777" w:rsidR="003012CB" w:rsidRPr="00EC1787" w:rsidRDefault="003012CB" w:rsidP="00853BF6">
            <w:pPr>
              <w:rPr>
                <w:color w:val="000000"/>
                <w:sz w:val="16"/>
                <w:szCs w:val="16"/>
                <w:lang w:eastAsia="de-DE"/>
              </w:rPr>
            </w:pPr>
            <w:r w:rsidRPr="00EC1787">
              <w:rPr>
                <w:color w:val="000000"/>
                <w:sz w:val="16"/>
                <w:szCs w:val="16"/>
                <w:lang w:eastAsia="de-DE"/>
              </w:rPr>
              <w:t>Following the recommendation of the standard:</w:t>
            </w:r>
          </w:p>
          <w:p w14:paraId="33E3933D" w14:textId="75349036" w:rsidR="00EE1486" w:rsidRDefault="00EE1486" w:rsidP="00853BF6">
            <w:pPr>
              <w:rPr>
                <w:color w:val="000000"/>
                <w:sz w:val="16"/>
                <w:szCs w:val="16"/>
                <w:highlight w:val="yellow"/>
                <w:lang w:eastAsia="de-DE"/>
              </w:rPr>
            </w:pPr>
            <w:r w:rsidRPr="00EE1486">
              <w:rPr>
                <w:color w:val="000000"/>
                <w:sz w:val="16"/>
                <w:szCs w:val="16"/>
                <w:lang w:eastAsia="de-DE"/>
              </w:rPr>
              <w:t>The targeted retention</w:t>
            </w:r>
            <w:r>
              <w:rPr>
                <w:color w:val="000000"/>
                <w:sz w:val="16"/>
                <w:szCs w:val="16"/>
                <w:lang w:eastAsia="de-DE"/>
              </w:rPr>
              <w:t>s</w:t>
            </w:r>
            <w:r w:rsidRPr="00EE1486">
              <w:rPr>
                <w:color w:val="000000"/>
                <w:sz w:val="16"/>
                <w:szCs w:val="16"/>
                <w:lang w:eastAsia="de-DE"/>
              </w:rPr>
              <w:t xml:space="preserve"> of test product </w:t>
            </w:r>
            <w:r w:rsidR="00191190">
              <w:rPr>
                <w:color w:val="000000"/>
                <w:sz w:val="16"/>
                <w:szCs w:val="16"/>
                <w:lang w:eastAsia="de-DE"/>
              </w:rPr>
              <w:t>were</w:t>
            </w:r>
            <w:r w:rsidRPr="00EE1486">
              <w:rPr>
                <w:color w:val="000000"/>
                <w:sz w:val="16"/>
                <w:szCs w:val="16"/>
                <w:lang w:eastAsia="de-DE"/>
              </w:rPr>
              <w:t xml:space="preserve"> 0-20-40-60-80 and 100 kg/m3</w:t>
            </w:r>
            <w:r>
              <w:rPr>
                <w:color w:val="000000"/>
                <w:sz w:val="16"/>
                <w:szCs w:val="16"/>
                <w:lang w:eastAsia="de-DE"/>
              </w:rPr>
              <w:t xml:space="preserve"> of wood. This retentions correspond to the following target concentrations tested</w:t>
            </w:r>
          </w:p>
          <w:p w14:paraId="6655D5E3" w14:textId="62CF5F19" w:rsidR="003012CB" w:rsidRPr="00B100F1" w:rsidRDefault="003012CB" w:rsidP="00853BF6">
            <w:pPr>
              <w:rPr>
                <w:color w:val="000000"/>
                <w:sz w:val="16"/>
                <w:szCs w:val="16"/>
                <w:lang w:eastAsia="de-DE"/>
              </w:rPr>
            </w:pPr>
            <w:r w:rsidRPr="00B100F1">
              <w:rPr>
                <w:color w:val="000000"/>
                <w:sz w:val="16"/>
                <w:szCs w:val="16"/>
                <w:lang w:eastAsia="de-DE"/>
              </w:rPr>
              <w:t>On scots pine blocks, the targeted concentrations to be tested were 0.0, 4.3, 8.55, 12.82, 17.09 and 21</w:t>
            </w:r>
            <w:r w:rsidR="00B100F1" w:rsidRPr="00B100F1">
              <w:rPr>
                <w:color w:val="000000"/>
                <w:sz w:val="16"/>
                <w:szCs w:val="16"/>
                <w:lang w:eastAsia="de-DE"/>
              </w:rPr>
              <w:t>. %</w:t>
            </w:r>
            <w:r w:rsidR="00F00B58" w:rsidRPr="00B100F1">
              <w:rPr>
                <w:color w:val="000000"/>
                <w:sz w:val="16"/>
                <w:szCs w:val="16"/>
                <w:lang w:eastAsia="de-DE"/>
              </w:rPr>
              <w:t xml:space="preserve"> w/w</w:t>
            </w:r>
            <w:r w:rsidRPr="00B100F1">
              <w:rPr>
                <w:color w:val="000000"/>
                <w:sz w:val="16"/>
                <w:szCs w:val="16"/>
                <w:lang w:eastAsia="de-DE"/>
              </w:rPr>
              <w:t xml:space="preserve">. </w:t>
            </w:r>
          </w:p>
          <w:p w14:paraId="05FB4D65" w14:textId="24B6E7D3" w:rsidR="003012CB" w:rsidRPr="00EC1787" w:rsidRDefault="003012CB" w:rsidP="00853BF6">
            <w:pPr>
              <w:rPr>
                <w:color w:val="000000"/>
                <w:sz w:val="16"/>
                <w:szCs w:val="16"/>
                <w:lang w:eastAsia="de-DE"/>
              </w:rPr>
            </w:pPr>
            <w:r w:rsidRPr="00B100F1">
              <w:rPr>
                <w:color w:val="000000"/>
                <w:sz w:val="16"/>
                <w:szCs w:val="16"/>
                <w:lang w:eastAsia="de-DE"/>
              </w:rPr>
              <w:t xml:space="preserve">On beech blocks, the targeted concentrations to be tested were 0.0, 5.63, 11.27, 16.90, 22.53 and </w:t>
            </w:r>
            <w:r w:rsidR="00EE1486" w:rsidRPr="00B100F1">
              <w:rPr>
                <w:color w:val="000000"/>
                <w:sz w:val="16"/>
                <w:szCs w:val="16"/>
                <w:lang w:eastAsia="de-DE"/>
              </w:rPr>
              <w:t>% w/w</w:t>
            </w:r>
            <w:r w:rsidRPr="00B100F1">
              <w:rPr>
                <w:color w:val="000000"/>
                <w:sz w:val="16"/>
                <w:szCs w:val="16"/>
                <w:lang w:eastAsia="de-DE"/>
              </w:rPr>
              <w:t xml:space="preserve"> of product/m3 of wood.</w:t>
            </w:r>
          </w:p>
          <w:p w14:paraId="14D4CCB3"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- 6 blocks tested for each treatment and each fungal strain. </w:t>
            </w:r>
            <w:r w:rsidRPr="00EC1787">
              <w:rPr>
                <w:i/>
                <w:color w:val="000000"/>
                <w:sz w:val="16"/>
                <w:szCs w:val="16"/>
                <w:lang w:eastAsia="de-DE"/>
              </w:rPr>
              <w:t>C. puteana, G. trabeum</w:t>
            </w:r>
            <w:r w:rsidRPr="00EC1787">
              <w:rPr>
                <w:color w:val="000000"/>
                <w:sz w:val="16"/>
                <w:szCs w:val="16"/>
                <w:lang w:eastAsia="de-DE"/>
              </w:rPr>
              <w:t xml:space="preserve"> and </w:t>
            </w:r>
            <w:r w:rsidRPr="00EC1787">
              <w:rPr>
                <w:i/>
                <w:color w:val="000000"/>
                <w:sz w:val="16"/>
                <w:szCs w:val="16"/>
                <w:lang w:eastAsia="de-DE"/>
              </w:rPr>
              <w:t>P. placenta</w:t>
            </w:r>
            <w:r w:rsidRPr="00EC1787">
              <w:rPr>
                <w:color w:val="000000"/>
                <w:sz w:val="16"/>
                <w:szCs w:val="16"/>
                <w:lang w:eastAsia="de-DE"/>
              </w:rPr>
              <w:t xml:space="preserve"> are tested on pine. C. versicolor is tested on beech replicates</w:t>
            </w:r>
          </w:p>
          <w:p w14:paraId="42BD9A90" w14:textId="77777777" w:rsidR="003012CB" w:rsidRPr="00EC1787" w:rsidRDefault="003012CB" w:rsidP="00853BF6">
            <w:pPr>
              <w:rPr>
                <w:color w:val="000000"/>
                <w:sz w:val="16"/>
                <w:szCs w:val="16"/>
                <w:lang w:eastAsia="de-DE"/>
              </w:rPr>
            </w:pPr>
            <w:r w:rsidRPr="00EC1787">
              <w:rPr>
                <w:color w:val="000000"/>
                <w:sz w:val="16"/>
                <w:szCs w:val="16"/>
                <w:lang w:eastAsia="de-DE"/>
              </w:rPr>
              <w:t>The product was applied by vacuum impregnation</w:t>
            </w:r>
          </w:p>
          <w:p w14:paraId="7EDF4E3D"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 Number of replicates: 6 replicates for each treatment and each fungal strain. </w:t>
            </w:r>
          </w:p>
          <w:p w14:paraId="57C988BF" w14:textId="77777777" w:rsidR="003012CB" w:rsidRPr="00EC1787" w:rsidRDefault="003012CB" w:rsidP="00853BF6">
            <w:pPr>
              <w:rPr>
                <w:color w:val="000000"/>
                <w:sz w:val="16"/>
                <w:szCs w:val="16"/>
                <w:lang w:eastAsia="de-DE"/>
              </w:rPr>
            </w:pPr>
            <w:r w:rsidRPr="00EC1787">
              <w:rPr>
                <w:color w:val="000000"/>
                <w:sz w:val="16"/>
                <w:szCs w:val="16"/>
                <w:lang w:eastAsia="de-DE"/>
              </w:rPr>
              <w:t>CONTROLS</w:t>
            </w:r>
          </w:p>
          <w:p w14:paraId="698FFAB3" w14:textId="77777777" w:rsidR="003012CB" w:rsidRPr="00EC1787" w:rsidRDefault="003012CB" w:rsidP="00853BF6">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539193C5" w14:textId="77777777" w:rsidR="003012CB" w:rsidRPr="00EC1787" w:rsidRDefault="003012CB" w:rsidP="00853BF6">
            <w:pPr>
              <w:rPr>
                <w:color w:val="000000"/>
                <w:sz w:val="16"/>
                <w:szCs w:val="16"/>
                <w:lang w:eastAsia="de-DE"/>
              </w:rPr>
            </w:pPr>
          </w:p>
          <w:p w14:paraId="12DED83E" w14:textId="77777777" w:rsidR="003012CB" w:rsidRPr="00EC1787" w:rsidRDefault="003012CB" w:rsidP="00853BF6">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0A1A76AD"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w:t>
            </w:r>
            <w:r w:rsidRPr="00EC1787">
              <w:rPr>
                <w:color w:val="000000"/>
                <w:sz w:val="16"/>
                <w:szCs w:val="16"/>
                <w:lang w:eastAsia="de-DE"/>
              </w:rPr>
              <w:lastRenderedPageBreak/>
              <w:t xml:space="preserve">beginning and at the end of the exposure period. </w:t>
            </w:r>
          </w:p>
          <w:p w14:paraId="34478E82" w14:textId="77777777" w:rsidR="003012CB" w:rsidRPr="00EC1787" w:rsidRDefault="003012CB" w:rsidP="00853BF6">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67" w:type="pct"/>
          </w:tcPr>
          <w:p w14:paraId="3832EBE4" w14:textId="77777777" w:rsidR="003012CB" w:rsidRPr="00EC1787" w:rsidRDefault="003012CB" w:rsidP="00853BF6">
            <w:pPr>
              <w:rPr>
                <w:color w:val="000000"/>
                <w:sz w:val="16"/>
                <w:szCs w:val="16"/>
                <w:lang w:eastAsia="de-DE"/>
              </w:rPr>
            </w:pPr>
            <w:r w:rsidRPr="00EC1787">
              <w:rPr>
                <w:color w:val="000000"/>
                <w:sz w:val="16"/>
                <w:szCs w:val="16"/>
                <w:lang w:eastAsia="de-DE"/>
              </w:rPr>
              <w:lastRenderedPageBreak/>
              <w:t>The study is validated as more than 20 % of mass loss is observed in the control (&gt;</w:t>
            </w:r>
            <w:r>
              <w:rPr>
                <w:color w:val="000000"/>
                <w:sz w:val="16"/>
                <w:szCs w:val="16"/>
                <w:lang w:eastAsia="de-DE"/>
              </w:rPr>
              <w:t>2</w:t>
            </w:r>
            <w:r w:rsidRPr="00EC1787">
              <w:rPr>
                <w:color w:val="000000"/>
                <w:sz w:val="16"/>
                <w:szCs w:val="16"/>
                <w:lang w:eastAsia="de-DE"/>
              </w:rPr>
              <w:t>0 % in each control)</w:t>
            </w:r>
          </w:p>
          <w:p w14:paraId="14905B6E" w14:textId="77777777" w:rsidR="003012CB" w:rsidRPr="00EC1787" w:rsidRDefault="003012CB" w:rsidP="00853BF6">
            <w:pPr>
              <w:rPr>
                <w:color w:val="000000"/>
                <w:sz w:val="16"/>
                <w:szCs w:val="16"/>
                <w:lang w:eastAsia="de-DE"/>
              </w:rPr>
            </w:pPr>
          </w:p>
          <w:p w14:paraId="01103706" w14:textId="17E860CC" w:rsidR="003012CB" w:rsidRPr="00EC1787" w:rsidRDefault="003012CB" w:rsidP="00EE1486">
            <w:pPr>
              <w:rPr>
                <w:b/>
                <w:color w:val="000000"/>
                <w:sz w:val="16"/>
                <w:szCs w:val="16"/>
                <w:lang w:eastAsia="de-DE"/>
              </w:rPr>
            </w:pPr>
            <w:r w:rsidRPr="00B100F1">
              <w:rPr>
                <w:b/>
                <w:color w:val="000000"/>
                <w:sz w:val="16"/>
                <w:szCs w:val="16"/>
                <w:lang w:eastAsia="de-DE"/>
              </w:rPr>
              <w:t>The study demonstrates the efficacy of the product X6122B1 at the application rate of 69 kg/m</w:t>
            </w:r>
            <w:r w:rsidRPr="00B100F1">
              <w:rPr>
                <w:b/>
                <w:color w:val="000000"/>
                <w:sz w:val="16"/>
                <w:szCs w:val="16"/>
                <w:vertAlign w:val="superscript"/>
                <w:lang w:eastAsia="de-DE"/>
              </w:rPr>
              <w:t>3</w:t>
            </w:r>
            <w:r w:rsidRPr="00B100F1">
              <w:rPr>
                <w:b/>
                <w:color w:val="000000"/>
                <w:sz w:val="16"/>
                <w:szCs w:val="16"/>
                <w:lang w:eastAsia="de-DE"/>
              </w:rPr>
              <w:t xml:space="preserve"> on </w:t>
            </w:r>
            <w:r w:rsidRPr="00B100F1">
              <w:rPr>
                <w:b/>
                <w:i/>
                <w:color w:val="000000"/>
                <w:sz w:val="16"/>
                <w:szCs w:val="16"/>
                <w:lang w:eastAsia="de-DE"/>
              </w:rPr>
              <w:t>C. puteana, G. trabeum, P. placenta</w:t>
            </w:r>
            <w:r w:rsidRPr="00B100F1">
              <w:rPr>
                <w:b/>
                <w:color w:val="000000"/>
                <w:sz w:val="16"/>
                <w:szCs w:val="16"/>
                <w:lang w:eastAsia="de-DE"/>
              </w:rPr>
              <w:t xml:space="preserve"> and 90.08 kg/m</w:t>
            </w:r>
            <w:r w:rsidRPr="00B100F1">
              <w:rPr>
                <w:b/>
                <w:color w:val="000000"/>
                <w:sz w:val="16"/>
                <w:szCs w:val="16"/>
                <w:vertAlign w:val="superscript"/>
                <w:lang w:eastAsia="de-DE"/>
              </w:rPr>
              <w:t>3</w:t>
            </w:r>
            <w:r w:rsidRPr="00B100F1">
              <w:rPr>
                <w:b/>
                <w:color w:val="000000"/>
                <w:sz w:val="16"/>
                <w:szCs w:val="16"/>
                <w:lang w:eastAsia="de-DE"/>
              </w:rPr>
              <w:t xml:space="preserve"> for </w:t>
            </w:r>
            <w:r w:rsidRPr="00B100F1">
              <w:rPr>
                <w:b/>
                <w:i/>
                <w:color w:val="000000"/>
                <w:sz w:val="16"/>
                <w:szCs w:val="16"/>
                <w:lang w:eastAsia="de-DE"/>
              </w:rPr>
              <w:t>C. versicolor</w:t>
            </w:r>
            <w:r w:rsidRPr="00B100F1">
              <w:rPr>
                <w:b/>
                <w:color w:val="000000"/>
                <w:sz w:val="16"/>
                <w:szCs w:val="16"/>
                <w:lang w:eastAsia="de-DE"/>
              </w:rPr>
              <w:t>. It corresponds to an application rate of 180.16 g of X6122B1 / m² of wood.</w:t>
            </w:r>
          </w:p>
        </w:tc>
        <w:tc>
          <w:tcPr>
            <w:tcW w:w="565" w:type="pct"/>
          </w:tcPr>
          <w:p w14:paraId="661B8D29" w14:textId="77777777" w:rsidR="003012CB" w:rsidRPr="0096155A" w:rsidRDefault="003012CB" w:rsidP="00853BF6">
            <w:pPr>
              <w:rPr>
                <w:color w:val="000000"/>
                <w:sz w:val="16"/>
                <w:szCs w:val="16"/>
                <w:lang w:val="de-DE" w:eastAsia="de-DE"/>
              </w:rPr>
            </w:pPr>
            <w:r w:rsidRPr="0096155A">
              <w:rPr>
                <w:color w:val="000000"/>
                <w:sz w:val="16"/>
                <w:szCs w:val="16"/>
                <w:lang w:val="de-DE" w:eastAsia="de-DE"/>
              </w:rPr>
              <w:t>Schumacher P. and Fennert E.M., 2017</w:t>
            </w:r>
          </w:p>
          <w:p w14:paraId="4A034FA3" w14:textId="77777777" w:rsidR="003012CB" w:rsidRPr="007A140B" w:rsidRDefault="003012CB" w:rsidP="00853BF6">
            <w:pPr>
              <w:rPr>
                <w:color w:val="000000"/>
                <w:sz w:val="16"/>
                <w:szCs w:val="16"/>
                <w:lang w:val="en-US" w:eastAsia="de-DE"/>
              </w:rPr>
            </w:pPr>
            <w:r w:rsidRPr="007A140B">
              <w:rPr>
                <w:color w:val="000000"/>
                <w:sz w:val="16"/>
                <w:szCs w:val="16"/>
                <w:lang w:eastAsia="de-DE"/>
              </w:rPr>
              <w:t>S6.7_0</w:t>
            </w:r>
            <w:r>
              <w:rPr>
                <w:color w:val="000000"/>
                <w:sz w:val="16"/>
                <w:szCs w:val="16"/>
                <w:lang w:eastAsia="de-DE"/>
              </w:rPr>
              <w:t>2</w:t>
            </w:r>
          </w:p>
          <w:p w14:paraId="7C12FB2D" w14:textId="77777777" w:rsidR="003012CB" w:rsidRPr="00EC1787" w:rsidRDefault="003012CB" w:rsidP="00853BF6">
            <w:pPr>
              <w:rPr>
                <w:color w:val="000000"/>
                <w:sz w:val="16"/>
                <w:szCs w:val="16"/>
                <w:lang w:eastAsia="de-DE"/>
              </w:rPr>
            </w:pPr>
          </w:p>
          <w:p w14:paraId="7F3ADAD0" w14:textId="77777777" w:rsidR="003012CB" w:rsidRPr="00EC1787" w:rsidRDefault="003012CB" w:rsidP="00853BF6">
            <w:pPr>
              <w:rPr>
                <w:color w:val="000000"/>
                <w:sz w:val="16"/>
                <w:szCs w:val="16"/>
                <w:lang w:eastAsia="de-DE"/>
              </w:rPr>
            </w:pPr>
            <w:r>
              <w:rPr>
                <w:color w:val="000000"/>
                <w:sz w:val="16"/>
                <w:szCs w:val="16"/>
                <w:lang w:eastAsia="de-DE"/>
              </w:rPr>
              <w:t>32/16/9803/02</w:t>
            </w:r>
          </w:p>
          <w:p w14:paraId="0FE96C4E" w14:textId="77777777" w:rsidR="003012CB" w:rsidRPr="00EC1787" w:rsidRDefault="003012CB" w:rsidP="00853BF6">
            <w:pPr>
              <w:rPr>
                <w:color w:val="000000"/>
                <w:sz w:val="16"/>
                <w:szCs w:val="16"/>
                <w:lang w:eastAsia="de-DE"/>
              </w:rPr>
            </w:pPr>
          </w:p>
          <w:p w14:paraId="08ECA0DD" w14:textId="48D62F1A" w:rsidR="003012CB" w:rsidRPr="00EC1787" w:rsidRDefault="008522CF" w:rsidP="007135F4">
            <w:pPr>
              <w:rPr>
                <w:color w:val="000000"/>
                <w:sz w:val="16"/>
                <w:szCs w:val="16"/>
                <w:lang w:val="fr-FR" w:eastAsia="de-DE"/>
              </w:rPr>
            </w:pPr>
            <w:r w:rsidRPr="00B100F1">
              <w:rPr>
                <w:color w:val="000000"/>
                <w:sz w:val="16"/>
                <w:szCs w:val="16"/>
                <w:lang w:eastAsia="de-DE"/>
              </w:rPr>
              <w:t xml:space="preserve"> </w:t>
            </w:r>
            <w:r w:rsidR="003012CB" w:rsidRPr="00B100F1">
              <w:rPr>
                <w:color w:val="000000"/>
                <w:sz w:val="16"/>
                <w:szCs w:val="16"/>
                <w:lang w:eastAsia="de-DE"/>
              </w:rPr>
              <w:t xml:space="preserve">IC </w:t>
            </w:r>
            <w:r w:rsidR="007135F4" w:rsidRPr="00B100F1">
              <w:rPr>
                <w:color w:val="000000"/>
                <w:sz w:val="16"/>
                <w:szCs w:val="16"/>
                <w:lang w:eastAsia="de-DE"/>
              </w:rPr>
              <w:t>1</w:t>
            </w:r>
          </w:p>
        </w:tc>
      </w:tr>
      <w:tr w:rsidR="003012CB" w:rsidRPr="00EC1787" w14:paraId="73E1C1CC" w14:textId="77777777" w:rsidTr="0021636F">
        <w:tc>
          <w:tcPr>
            <w:tcW w:w="430" w:type="pct"/>
          </w:tcPr>
          <w:p w14:paraId="5DA461A7" w14:textId="77777777" w:rsidR="003012CB" w:rsidRPr="00EC1787" w:rsidRDefault="003012CB" w:rsidP="00853BF6">
            <w:pPr>
              <w:rPr>
                <w:color w:val="000000"/>
                <w:sz w:val="16"/>
                <w:szCs w:val="16"/>
                <w:lang w:eastAsia="de-DE"/>
              </w:rPr>
            </w:pPr>
            <w:r w:rsidRPr="00EC1787">
              <w:rPr>
                <w:rFonts w:ascii="Arial" w:hAnsi="Arial" w:cs="Arial"/>
                <w:sz w:val="16"/>
                <w:szCs w:val="16"/>
              </w:rPr>
              <w:t>MG 02: preservatives</w:t>
            </w:r>
          </w:p>
        </w:tc>
        <w:tc>
          <w:tcPr>
            <w:tcW w:w="650" w:type="pct"/>
          </w:tcPr>
          <w:p w14:paraId="06433D95"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5C9E1E8C"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3906BB26" w14:textId="77777777" w:rsidR="003012CB" w:rsidRDefault="003012CB" w:rsidP="00853BF6">
            <w:pPr>
              <w:rPr>
                <w:color w:val="000000"/>
                <w:sz w:val="16"/>
                <w:szCs w:val="16"/>
                <w:lang w:eastAsia="de-DE"/>
              </w:rPr>
            </w:pPr>
            <w:r>
              <w:rPr>
                <w:color w:val="000000"/>
                <w:sz w:val="16"/>
                <w:szCs w:val="16"/>
                <w:lang w:eastAsia="de-DE"/>
              </w:rPr>
              <w:t>X6122B1</w:t>
            </w:r>
          </w:p>
          <w:p w14:paraId="524675EC" w14:textId="77777777" w:rsidR="003012CB" w:rsidRPr="00EC1787" w:rsidRDefault="003012CB" w:rsidP="00853BF6">
            <w:pPr>
              <w:rPr>
                <w:color w:val="000000"/>
                <w:sz w:val="16"/>
                <w:szCs w:val="16"/>
                <w:lang w:eastAsia="de-DE"/>
              </w:rPr>
            </w:pPr>
            <w:r>
              <w:rPr>
                <w:color w:val="000000"/>
                <w:sz w:val="16"/>
                <w:szCs w:val="16"/>
                <w:lang w:eastAsia="de-DE"/>
              </w:rPr>
              <w:t>batch 1405900037</w:t>
            </w:r>
          </w:p>
        </w:tc>
        <w:tc>
          <w:tcPr>
            <w:tcW w:w="470" w:type="pct"/>
          </w:tcPr>
          <w:p w14:paraId="7426C5C2"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 xml:space="preserve">Subterranean termite: </w:t>
            </w:r>
            <w:r w:rsidRPr="00EC1787">
              <w:rPr>
                <w:i/>
                <w:color w:val="000000"/>
                <w:sz w:val="16"/>
                <w:szCs w:val="16"/>
                <w:lang w:val="fr-FR" w:eastAsia="de-DE"/>
              </w:rPr>
              <w:t xml:space="preserve">Reticulitermes </w:t>
            </w:r>
            <w:r>
              <w:rPr>
                <w:i/>
                <w:color w:val="000000"/>
                <w:sz w:val="16"/>
                <w:szCs w:val="16"/>
                <w:lang w:val="fr-FR" w:eastAsia="de-DE"/>
              </w:rPr>
              <w:t>flavipes</w:t>
            </w:r>
          </w:p>
        </w:tc>
        <w:tc>
          <w:tcPr>
            <w:tcW w:w="521" w:type="pct"/>
          </w:tcPr>
          <w:p w14:paraId="0E7D9A51"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EN 118 + EN 73 (evaporation)</w:t>
            </w:r>
          </w:p>
        </w:tc>
        <w:tc>
          <w:tcPr>
            <w:tcW w:w="962" w:type="pct"/>
          </w:tcPr>
          <w:p w14:paraId="0395CC34"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brushing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24C791E7"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245.9</w:t>
            </w:r>
            <w:r w:rsidRPr="00EC1787">
              <w:rPr>
                <w:color w:val="000000"/>
                <w:sz w:val="16"/>
                <w:szCs w:val="16"/>
                <w:lang w:eastAsia="de-DE"/>
              </w:rPr>
              <w:t xml:space="preserve"> mL/m² and 2</w:t>
            </w:r>
            <w:r>
              <w:rPr>
                <w:color w:val="000000"/>
                <w:sz w:val="16"/>
                <w:szCs w:val="16"/>
                <w:lang w:eastAsia="de-DE"/>
              </w:rPr>
              <w:t>48</w:t>
            </w:r>
            <w:r w:rsidRPr="00EC1787">
              <w:rPr>
                <w:color w:val="000000"/>
                <w:sz w:val="16"/>
                <w:szCs w:val="16"/>
                <w:lang w:eastAsia="de-DE"/>
              </w:rPr>
              <w:t xml:space="preserve">.6 mL/m² (mean </w:t>
            </w:r>
            <w:r>
              <w:rPr>
                <w:color w:val="000000"/>
                <w:sz w:val="16"/>
                <w:szCs w:val="16"/>
                <w:lang w:eastAsia="de-DE"/>
              </w:rPr>
              <w:t>247.2</w:t>
            </w:r>
            <w:r w:rsidRPr="00EC1787">
              <w:rPr>
                <w:color w:val="000000"/>
                <w:sz w:val="16"/>
                <w:szCs w:val="16"/>
                <w:lang w:eastAsia="de-DE"/>
              </w:rPr>
              <w:t xml:space="preserve"> mL/m²).</w:t>
            </w:r>
          </w:p>
          <w:p w14:paraId="17350870" w14:textId="77777777" w:rsidR="003012CB" w:rsidRPr="00EC1787" w:rsidRDefault="003012CB" w:rsidP="00853BF6">
            <w:pPr>
              <w:rPr>
                <w:color w:val="000000"/>
                <w:sz w:val="16"/>
                <w:szCs w:val="16"/>
                <w:lang w:eastAsia="de-DE"/>
              </w:rPr>
            </w:pPr>
            <w:r w:rsidRPr="00EC1787">
              <w:rPr>
                <w:color w:val="000000"/>
                <w:sz w:val="16"/>
                <w:szCs w:val="16"/>
                <w:lang w:eastAsia="de-DE"/>
              </w:rPr>
              <w:t>250 workers, 4 nymphs and 1 soldier termite were used for each test block.</w:t>
            </w:r>
          </w:p>
          <w:p w14:paraId="68916908" w14:textId="77777777" w:rsidR="003012CB" w:rsidRPr="00EC1787" w:rsidRDefault="003012CB" w:rsidP="00853BF6">
            <w:pPr>
              <w:rPr>
                <w:color w:val="000000"/>
                <w:sz w:val="16"/>
                <w:szCs w:val="16"/>
                <w:lang w:eastAsia="de-DE"/>
              </w:rPr>
            </w:pPr>
            <w:r w:rsidRPr="00EC1787">
              <w:rPr>
                <w:color w:val="000000"/>
                <w:sz w:val="16"/>
                <w:szCs w:val="16"/>
                <w:lang w:eastAsia="de-DE"/>
              </w:rPr>
              <w:t>5 replicates for the treated block and 5 replicates for the control are performed.</w:t>
            </w:r>
          </w:p>
          <w:p w14:paraId="2D774886" w14:textId="77777777" w:rsidR="003012CB" w:rsidRPr="00EC1787" w:rsidRDefault="003012CB" w:rsidP="00853BF6">
            <w:pPr>
              <w:rPr>
                <w:color w:val="000000"/>
                <w:sz w:val="16"/>
                <w:szCs w:val="16"/>
                <w:lang w:eastAsia="de-DE"/>
              </w:rPr>
            </w:pPr>
            <w:r w:rsidRPr="00EC1787">
              <w:rPr>
                <w:color w:val="000000"/>
                <w:sz w:val="16"/>
                <w:szCs w:val="16"/>
                <w:lang w:eastAsia="de-DE"/>
              </w:rPr>
              <w:t>The investigated effects are the mortality of the insects.</w:t>
            </w:r>
          </w:p>
          <w:p w14:paraId="542616BE"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54435D99" w14:textId="77777777" w:rsidR="003012CB" w:rsidRPr="00EC1787" w:rsidRDefault="003012CB" w:rsidP="00853BF6">
            <w:pPr>
              <w:rPr>
                <w:color w:val="000000"/>
                <w:sz w:val="16"/>
                <w:szCs w:val="16"/>
                <w:lang w:eastAsia="de-DE"/>
              </w:rPr>
            </w:pPr>
            <w:r w:rsidRPr="00EC1787">
              <w:rPr>
                <w:color w:val="000000"/>
                <w:sz w:val="16"/>
                <w:szCs w:val="16"/>
                <w:lang w:eastAsia="de-DE"/>
              </w:rPr>
              <w:t>- Intervals of examination: one time, after 8 weeks exposure of the blocks to the insects.</w:t>
            </w:r>
          </w:p>
        </w:tc>
        <w:tc>
          <w:tcPr>
            <w:tcW w:w="867" w:type="pct"/>
          </w:tcPr>
          <w:p w14:paraId="376AA9F9"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study is validated as the survival rate in the control is higher than 50 % (</w:t>
            </w:r>
            <w:r>
              <w:rPr>
                <w:color w:val="000000"/>
                <w:sz w:val="16"/>
                <w:szCs w:val="16"/>
                <w:lang w:val="en-US" w:eastAsia="de-DE"/>
              </w:rPr>
              <w:t>65.3</w:t>
            </w:r>
            <w:r w:rsidRPr="00EC1787">
              <w:rPr>
                <w:color w:val="000000"/>
                <w:sz w:val="16"/>
                <w:szCs w:val="16"/>
                <w:lang w:val="en-US" w:eastAsia="de-DE"/>
              </w:rPr>
              <w:t xml:space="preserve"> %) and the control test blocks are ranked 4.</w:t>
            </w:r>
          </w:p>
          <w:p w14:paraId="120784CF" w14:textId="77777777" w:rsidR="003012CB" w:rsidRPr="00EC1787" w:rsidRDefault="003012CB" w:rsidP="00853BF6">
            <w:pPr>
              <w:rPr>
                <w:b/>
                <w:color w:val="000000"/>
                <w:sz w:val="16"/>
                <w:szCs w:val="16"/>
                <w:lang w:val="en-US" w:eastAsia="de-DE"/>
              </w:rPr>
            </w:pPr>
            <w:r w:rsidRPr="00EC1787">
              <w:rPr>
                <w:b/>
                <w:color w:val="000000"/>
                <w:sz w:val="16"/>
                <w:szCs w:val="16"/>
                <w:lang w:val="en-US" w:eastAsia="de-DE"/>
              </w:rPr>
              <w:t>All the treated blocks are ranked 1</w:t>
            </w:r>
            <w:r>
              <w:rPr>
                <w:b/>
                <w:color w:val="000000"/>
                <w:sz w:val="16"/>
                <w:szCs w:val="16"/>
                <w:lang w:val="en-US" w:eastAsia="de-DE"/>
              </w:rPr>
              <w:t xml:space="preserve"> (except 1)</w:t>
            </w:r>
            <w:r w:rsidRPr="00EC1787">
              <w:rPr>
                <w:b/>
                <w:color w:val="000000"/>
                <w:sz w:val="16"/>
                <w:szCs w:val="16"/>
                <w:lang w:val="en-US" w:eastAsia="de-DE"/>
              </w:rPr>
              <w:t xml:space="preserve"> at the end of the study which demonstrates the efficacy of the product </w:t>
            </w:r>
            <w:r>
              <w:rPr>
                <w:b/>
                <w:color w:val="000000"/>
                <w:sz w:val="16"/>
                <w:szCs w:val="16"/>
                <w:lang w:val="en-US" w:eastAsia="de-DE"/>
              </w:rPr>
              <w:t>X6122B1</w:t>
            </w:r>
            <w:r w:rsidRPr="00EC1787">
              <w:rPr>
                <w:b/>
                <w:color w:val="000000"/>
                <w:sz w:val="16"/>
                <w:szCs w:val="16"/>
                <w:lang w:val="en-US" w:eastAsia="de-DE"/>
              </w:rPr>
              <w:t xml:space="preserve"> at the application rate of 2</w:t>
            </w:r>
            <w:r>
              <w:rPr>
                <w:b/>
                <w:color w:val="000000"/>
                <w:sz w:val="16"/>
                <w:szCs w:val="16"/>
                <w:lang w:val="en-US" w:eastAsia="de-DE"/>
              </w:rPr>
              <w:t xml:space="preserve">47 mL (equivalent to 199.45 g) </w:t>
            </w:r>
            <w:r w:rsidRPr="00EC1787">
              <w:rPr>
                <w:b/>
                <w:color w:val="000000"/>
                <w:sz w:val="16"/>
                <w:szCs w:val="16"/>
                <w:lang w:val="en-US" w:eastAsia="de-DE"/>
              </w:rPr>
              <w:t>of product / m² of wood.</w:t>
            </w:r>
          </w:p>
        </w:tc>
        <w:tc>
          <w:tcPr>
            <w:tcW w:w="565" w:type="pct"/>
          </w:tcPr>
          <w:p w14:paraId="457EBA63" w14:textId="77777777" w:rsidR="003012CB" w:rsidRPr="00A64501" w:rsidRDefault="003012CB" w:rsidP="00853BF6">
            <w:pPr>
              <w:rPr>
                <w:color w:val="000000"/>
                <w:sz w:val="16"/>
                <w:szCs w:val="16"/>
                <w:lang w:val="en-US" w:eastAsia="de-DE"/>
              </w:rPr>
            </w:pPr>
            <w:r w:rsidRPr="00A64501">
              <w:rPr>
                <w:color w:val="000000"/>
                <w:sz w:val="16"/>
                <w:szCs w:val="16"/>
                <w:lang w:val="en-US" w:eastAsia="de-DE"/>
              </w:rPr>
              <w:t>Ansard D. and</w:t>
            </w:r>
          </w:p>
          <w:p w14:paraId="29C142DB" w14:textId="77777777" w:rsidR="003012CB" w:rsidRPr="00A64501" w:rsidRDefault="003012CB" w:rsidP="00853BF6">
            <w:pPr>
              <w:rPr>
                <w:color w:val="000000"/>
                <w:sz w:val="16"/>
                <w:szCs w:val="16"/>
                <w:lang w:val="en-US" w:eastAsia="de-DE"/>
              </w:rPr>
            </w:pPr>
            <w:r w:rsidRPr="00A64501">
              <w:rPr>
                <w:color w:val="000000"/>
                <w:sz w:val="16"/>
                <w:szCs w:val="16"/>
                <w:lang w:val="en-US" w:eastAsia="de-DE"/>
              </w:rPr>
              <w:t>Paulmier I.,</w:t>
            </w:r>
          </w:p>
          <w:p w14:paraId="762E8BB2" w14:textId="77777777" w:rsidR="003012CB" w:rsidRPr="00A64501" w:rsidRDefault="003012CB" w:rsidP="00853BF6">
            <w:pPr>
              <w:rPr>
                <w:color w:val="000000"/>
                <w:sz w:val="16"/>
                <w:szCs w:val="16"/>
                <w:lang w:val="en-US" w:eastAsia="de-DE"/>
              </w:rPr>
            </w:pPr>
            <w:r w:rsidRPr="00A64501">
              <w:rPr>
                <w:color w:val="000000"/>
                <w:sz w:val="16"/>
                <w:szCs w:val="16"/>
                <w:lang w:val="en-US" w:eastAsia="de-DE"/>
              </w:rPr>
              <w:t>2015</w:t>
            </w:r>
          </w:p>
          <w:p w14:paraId="72B21815" w14:textId="77777777" w:rsidR="003012CB" w:rsidRPr="00EC1787" w:rsidRDefault="003012CB" w:rsidP="00853BF6">
            <w:pPr>
              <w:rPr>
                <w:color w:val="000000"/>
                <w:sz w:val="16"/>
                <w:szCs w:val="16"/>
                <w:lang w:val="fr-FR" w:eastAsia="de-DE"/>
              </w:rPr>
            </w:pPr>
            <w:r w:rsidRPr="00A64501">
              <w:rPr>
                <w:color w:val="000000"/>
                <w:sz w:val="16"/>
                <w:szCs w:val="16"/>
                <w:lang w:val="en-US" w:eastAsia="de-DE"/>
              </w:rPr>
              <w:t>S6.7_03</w:t>
            </w:r>
          </w:p>
          <w:p w14:paraId="3552D78A" w14:textId="77777777" w:rsidR="003012CB" w:rsidRPr="00A64501" w:rsidRDefault="003012CB" w:rsidP="00853BF6">
            <w:pPr>
              <w:rPr>
                <w:color w:val="000000"/>
                <w:sz w:val="16"/>
                <w:szCs w:val="16"/>
                <w:lang w:val="en-US" w:eastAsia="de-DE"/>
              </w:rPr>
            </w:pPr>
          </w:p>
          <w:p w14:paraId="462390FD" w14:textId="77777777" w:rsidR="003012CB" w:rsidRPr="00EC1787" w:rsidRDefault="003012CB" w:rsidP="00853BF6">
            <w:pPr>
              <w:rPr>
                <w:color w:val="000000"/>
                <w:sz w:val="16"/>
                <w:szCs w:val="16"/>
                <w:lang w:val="fr-FR" w:eastAsia="de-DE"/>
              </w:rPr>
            </w:pPr>
            <w:r>
              <w:rPr>
                <w:color w:val="000000"/>
                <w:sz w:val="16"/>
                <w:szCs w:val="16"/>
                <w:lang w:val="fr-FR" w:eastAsia="de-DE"/>
              </w:rPr>
              <w:t>401/14/136F/e-e</w:t>
            </w:r>
          </w:p>
          <w:p w14:paraId="5D7E1B2A" w14:textId="77777777" w:rsidR="003012CB" w:rsidRPr="00EC1787" w:rsidRDefault="003012CB" w:rsidP="00853BF6">
            <w:pPr>
              <w:rPr>
                <w:color w:val="000000"/>
                <w:sz w:val="16"/>
                <w:szCs w:val="16"/>
                <w:lang w:val="fr-FR" w:eastAsia="de-DE"/>
              </w:rPr>
            </w:pPr>
          </w:p>
          <w:p w14:paraId="49E5119E"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 xml:space="preserve">IC </w:t>
            </w:r>
            <w:r>
              <w:rPr>
                <w:color w:val="000000"/>
                <w:sz w:val="16"/>
                <w:szCs w:val="16"/>
                <w:lang w:val="fr-FR" w:eastAsia="de-DE"/>
              </w:rPr>
              <w:t>1</w:t>
            </w:r>
          </w:p>
        </w:tc>
      </w:tr>
      <w:tr w:rsidR="003012CB" w:rsidRPr="00EC1787" w14:paraId="3DAB6876" w14:textId="77777777" w:rsidTr="0021636F">
        <w:tc>
          <w:tcPr>
            <w:tcW w:w="430" w:type="pct"/>
          </w:tcPr>
          <w:p w14:paraId="36D4A26D" w14:textId="77777777" w:rsidR="003012CB" w:rsidRPr="00EC1787" w:rsidRDefault="003012CB" w:rsidP="00853BF6">
            <w:pPr>
              <w:rPr>
                <w:color w:val="000000"/>
                <w:sz w:val="16"/>
                <w:szCs w:val="16"/>
                <w:lang w:eastAsia="de-DE"/>
              </w:rPr>
            </w:pPr>
            <w:r w:rsidRPr="00EC1787">
              <w:rPr>
                <w:rFonts w:ascii="Arial" w:hAnsi="Arial" w:cs="Arial"/>
                <w:sz w:val="16"/>
                <w:szCs w:val="16"/>
              </w:rPr>
              <w:t>MG 02: preservatives</w:t>
            </w:r>
          </w:p>
        </w:tc>
        <w:tc>
          <w:tcPr>
            <w:tcW w:w="650" w:type="pct"/>
          </w:tcPr>
          <w:p w14:paraId="1667F80E"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2DA3FD5D"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073BAF2E" w14:textId="77777777" w:rsidR="003012CB" w:rsidRDefault="003012CB" w:rsidP="00853BF6">
            <w:pPr>
              <w:rPr>
                <w:color w:val="000000"/>
                <w:sz w:val="16"/>
                <w:szCs w:val="16"/>
                <w:lang w:eastAsia="de-DE"/>
              </w:rPr>
            </w:pPr>
            <w:r>
              <w:rPr>
                <w:color w:val="000000"/>
                <w:sz w:val="16"/>
                <w:szCs w:val="16"/>
                <w:lang w:eastAsia="de-DE"/>
              </w:rPr>
              <w:t>X6122B1</w:t>
            </w:r>
          </w:p>
          <w:p w14:paraId="17BC3BC0" w14:textId="77777777" w:rsidR="003012CB" w:rsidRPr="00EC1787" w:rsidRDefault="003012CB" w:rsidP="00853BF6">
            <w:pPr>
              <w:rPr>
                <w:color w:val="000000"/>
                <w:sz w:val="16"/>
                <w:szCs w:val="16"/>
                <w:lang w:eastAsia="de-DE"/>
              </w:rPr>
            </w:pPr>
            <w:r>
              <w:rPr>
                <w:color w:val="000000"/>
                <w:sz w:val="16"/>
                <w:szCs w:val="16"/>
                <w:lang w:eastAsia="de-DE"/>
              </w:rPr>
              <w:t>batch Pap V 129.2</w:t>
            </w:r>
          </w:p>
        </w:tc>
        <w:tc>
          <w:tcPr>
            <w:tcW w:w="470" w:type="pct"/>
          </w:tcPr>
          <w:p w14:paraId="2B4CE588"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 xml:space="preserve">European subterranean termite: </w:t>
            </w:r>
            <w:r w:rsidRPr="00EC1787">
              <w:rPr>
                <w:i/>
                <w:color w:val="000000"/>
                <w:sz w:val="16"/>
                <w:szCs w:val="16"/>
                <w:lang w:val="fr-FR" w:eastAsia="de-DE"/>
              </w:rPr>
              <w:t>Reticulitermes grassei</w:t>
            </w:r>
          </w:p>
        </w:tc>
        <w:tc>
          <w:tcPr>
            <w:tcW w:w="521" w:type="pct"/>
          </w:tcPr>
          <w:p w14:paraId="400E4F66"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EN 118 + EN 84 (leaching)</w:t>
            </w:r>
          </w:p>
        </w:tc>
        <w:tc>
          <w:tcPr>
            <w:tcW w:w="962" w:type="pct"/>
          </w:tcPr>
          <w:p w14:paraId="0008D05A"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 xml:space="preserve">The ready to use </w:t>
            </w:r>
            <w:r>
              <w:rPr>
                <w:color w:val="000000"/>
                <w:sz w:val="16"/>
                <w:szCs w:val="16"/>
                <w:lang w:val="en-US" w:eastAsia="de-DE"/>
              </w:rPr>
              <w:t>X6122B1</w:t>
            </w:r>
            <w:r w:rsidRPr="00EC1787">
              <w:rPr>
                <w:color w:val="000000"/>
                <w:sz w:val="16"/>
                <w:szCs w:val="16"/>
                <w:lang w:val="en-US" w:eastAsia="de-DE"/>
              </w:rPr>
              <w:t xml:space="preserve"> is applied by brushing on sapwood test blocks (Pinus sylvaticus) and followed by an artificial weathering according to the EN 84 standard method (leaching).</w:t>
            </w:r>
          </w:p>
          <w:p w14:paraId="6D2DCD6E"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248.6</w:t>
            </w:r>
            <w:r w:rsidRPr="00EC1787">
              <w:rPr>
                <w:color w:val="000000"/>
                <w:sz w:val="16"/>
                <w:szCs w:val="16"/>
                <w:lang w:eastAsia="de-DE"/>
              </w:rPr>
              <w:t xml:space="preserve"> mL/m² and </w:t>
            </w:r>
            <w:r>
              <w:rPr>
                <w:color w:val="000000"/>
                <w:sz w:val="16"/>
                <w:szCs w:val="16"/>
                <w:lang w:eastAsia="de-DE"/>
              </w:rPr>
              <w:t>250</w:t>
            </w:r>
            <w:r w:rsidRPr="00EC1787">
              <w:rPr>
                <w:color w:val="000000"/>
                <w:sz w:val="16"/>
                <w:szCs w:val="16"/>
                <w:lang w:eastAsia="de-DE"/>
              </w:rPr>
              <w:t xml:space="preserve"> mL/m² (mean </w:t>
            </w:r>
            <w:r>
              <w:rPr>
                <w:color w:val="000000"/>
                <w:sz w:val="16"/>
                <w:szCs w:val="16"/>
                <w:lang w:eastAsia="de-DE"/>
              </w:rPr>
              <w:t>249.33</w:t>
            </w:r>
            <w:r w:rsidRPr="00EC1787">
              <w:rPr>
                <w:color w:val="000000"/>
                <w:sz w:val="16"/>
                <w:szCs w:val="16"/>
                <w:lang w:eastAsia="de-DE"/>
              </w:rPr>
              <w:t xml:space="preserve"> mL/m²).</w:t>
            </w:r>
          </w:p>
          <w:p w14:paraId="112EF2C5" w14:textId="77777777" w:rsidR="003012CB" w:rsidRPr="00EC1787" w:rsidRDefault="003012CB" w:rsidP="00853BF6">
            <w:pPr>
              <w:rPr>
                <w:color w:val="000000"/>
                <w:sz w:val="16"/>
                <w:szCs w:val="16"/>
                <w:lang w:eastAsia="de-DE"/>
              </w:rPr>
            </w:pPr>
            <w:r w:rsidRPr="00EC1787">
              <w:rPr>
                <w:color w:val="000000"/>
                <w:sz w:val="16"/>
                <w:szCs w:val="16"/>
                <w:lang w:eastAsia="de-DE"/>
              </w:rPr>
              <w:lastRenderedPageBreak/>
              <w:t>250 workers, 4 nymphs and 1 soldier termite were used for each test block.</w:t>
            </w:r>
          </w:p>
          <w:p w14:paraId="51242FC7" w14:textId="77777777" w:rsidR="003012CB" w:rsidRPr="00EC1787" w:rsidRDefault="003012CB" w:rsidP="00853BF6">
            <w:pPr>
              <w:rPr>
                <w:color w:val="000000"/>
                <w:sz w:val="16"/>
                <w:szCs w:val="16"/>
                <w:lang w:eastAsia="de-DE"/>
              </w:rPr>
            </w:pPr>
            <w:r w:rsidRPr="00EC1787">
              <w:rPr>
                <w:color w:val="000000"/>
                <w:sz w:val="16"/>
                <w:szCs w:val="16"/>
                <w:lang w:eastAsia="de-DE"/>
              </w:rPr>
              <w:t>5 replicates for the treated block and 5 replicates for the control are performed.</w:t>
            </w:r>
          </w:p>
          <w:p w14:paraId="7449D8AE" w14:textId="77777777" w:rsidR="003012CB" w:rsidRPr="00EC1787" w:rsidRDefault="003012CB" w:rsidP="00853BF6">
            <w:pPr>
              <w:rPr>
                <w:color w:val="000000"/>
                <w:sz w:val="16"/>
                <w:szCs w:val="16"/>
                <w:lang w:eastAsia="de-DE"/>
              </w:rPr>
            </w:pPr>
            <w:r w:rsidRPr="00EC1787">
              <w:rPr>
                <w:color w:val="000000"/>
                <w:sz w:val="16"/>
                <w:szCs w:val="16"/>
                <w:lang w:eastAsia="de-DE"/>
              </w:rPr>
              <w:t>The investigated effects are the mortality of the insects.</w:t>
            </w:r>
          </w:p>
          <w:p w14:paraId="500A80EC"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3E00C55C" w14:textId="77777777" w:rsidR="003012CB" w:rsidRPr="00EC1787" w:rsidRDefault="003012CB" w:rsidP="00853BF6">
            <w:pPr>
              <w:rPr>
                <w:color w:val="000000"/>
                <w:sz w:val="16"/>
                <w:szCs w:val="16"/>
                <w:lang w:val="en-US" w:eastAsia="de-DE"/>
              </w:rPr>
            </w:pPr>
            <w:r w:rsidRPr="00EC1787">
              <w:rPr>
                <w:color w:val="000000"/>
                <w:sz w:val="16"/>
                <w:szCs w:val="16"/>
                <w:lang w:eastAsia="de-DE"/>
              </w:rPr>
              <w:t>- Intervals of examination: one time, after 8 weeks exposure of the blocks to the insects.</w:t>
            </w:r>
          </w:p>
        </w:tc>
        <w:tc>
          <w:tcPr>
            <w:tcW w:w="867" w:type="pct"/>
          </w:tcPr>
          <w:p w14:paraId="3EA03C47"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lastRenderedPageBreak/>
              <w:t>The study is validated as the survival rate in the control is higher than 50 % (</w:t>
            </w:r>
            <w:r>
              <w:rPr>
                <w:color w:val="000000"/>
                <w:sz w:val="16"/>
                <w:szCs w:val="16"/>
                <w:lang w:val="en-US" w:eastAsia="de-DE"/>
              </w:rPr>
              <w:t>70.3</w:t>
            </w:r>
            <w:r w:rsidRPr="00EC1787">
              <w:rPr>
                <w:color w:val="000000"/>
                <w:sz w:val="16"/>
                <w:szCs w:val="16"/>
                <w:lang w:val="en-US" w:eastAsia="de-DE"/>
              </w:rPr>
              <w:t xml:space="preserve"> %) and the control test blocks are ranked 4.</w:t>
            </w:r>
          </w:p>
          <w:p w14:paraId="2435522D" w14:textId="77777777" w:rsidR="003012CB" w:rsidRPr="00EC1787" w:rsidRDefault="003012CB" w:rsidP="00853BF6">
            <w:pPr>
              <w:rPr>
                <w:b/>
                <w:color w:val="000000"/>
                <w:sz w:val="16"/>
                <w:szCs w:val="16"/>
                <w:lang w:val="en-US" w:eastAsia="de-DE"/>
              </w:rPr>
            </w:pPr>
            <w:r w:rsidRPr="00EC1787">
              <w:rPr>
                <w:b/>
                <w:color w:val="000000"/>
                <w:sz w:val="16"/>
                <w:szCs w:val="16"/>
                <w:lang w:val="en-US" w:eastAsia="de-DE"/>
              </w:rPr>
              <w:t xml:space="preserve">All the treated blocks are ranked </w:t>
            </w:r>
            <w:r>
              <w:rPr>
                <w:b/>
                <w:color w:val="000000"/>
                <w:sz w:val="16"/>
                <w:szCs w:val="16"/>
                <w:lang w:val="en-US" w:eastAsia="de-DE"/>
              </w:rPr>
              <w:t xml:space="preserve">0 or </w:t>
            </w:r>
            <w:r w:rsidRPr="00EC1787">
              <w:rPr>
                <w:b/>
                <w:color w:val="000000"/>
                <w:sz w:val="16"/>
                <w:szCs w:val="16"/>
                <w:lang w:val="en-US" w:eastAsia="de-DE"/>
              </w:rPr>
              <w:t xml:space="preserve">1 at the end of the study which demonstrates the efficacy of the product </w:t>
            </w:r>
            <w:r>
              <w:rPr>
                <w:b/>
                <w:color w:val="000000"/>
                <w:sz w:val="16"/>
                <w:szCs w:val="16"/>
                <w:lang w:val="en-US" w:eastAsia="de-DE"/>
              </w:rPr>
              <w:t>X6122B1</w:t>
            </w:r>
            <w:r w:rsidRPr="00EC1787">
              <w:rPr>
                <w:b/>
                <w:color w:val="000000"/>
                <w:sz w:val="16"/>
                <w:szCs w:val="16"/>
                <w:lang w:val="en-US" w:eastAsia="de-DE"/>
              </w:rPr>
              <w:t xml:space="preserve"> at the application rate of </w:t>
            </w:r>
            <w:r>
              <w:rPr>
                <w:b/>
                <w:color w:val="000000"/>
                <w:sz w:val="16"/>
                <w:szCs w:val="16"/>
                <w:lang w:val="en-US" w:eastAsia="de-DE"/>
              </w:rPr>
              <w:t>247</w:t>
            </w:r>
            <w:r w:rsidRPr="00EC1787">
              <w:rPr>
                <w:b/>
                <w:color w:val="000000"/>
                <w:sz w:val="16"/>
                <w:szCs w:val="16"/>
                <w:lang w:val="en-US" w:eastAsia="de-DE"/>
              </w:rPr>
              <w:t xml:space="preserve"> </w:t>
            </w:r>
            <w:r w:rsidRPr="00EC1787">
              <w:rPr>
                <w:b/>
                <w:color w:val="000000"/>
                <w:sz w:val="16"/>
                <w:szCs w:val="16"/>
                <w:lang w:val="en-US" w:eastAsia="de-DE"/>
              </w:rPr>
              <w:lastRenderedPageBreak/>
              <w:t>ml</w:t>
            </w:r>
            <w:r>
              <w:rPr>
                <w:b/>
                <w:color w:val="000000"/>
                <w:sz w:val="16"/>
                <w:szCs w:val="16"/>
                <w:lang w:val="en-US" w:eastAsia="de-DE"/>
              </w:rPr>
              <w:t xml:space="preserve"> (199.45 g)</w:t>
            </w:r>
            <w:r w:rsidRPr="00EC1787">
              <w:rPr>
                <w:b/>
                <w:color w:val="000000"/>
                <w:sz w:val="16"/>
                <w:szCs w:val="16"/>
                <w:lang w:val="en-US" w:eastAsia="de-DE"/>
              </w:rPr>
              <w:t xml:space="preserve"> of product / m² of wood.</w:t>
            </w:r>
          </w:p>
        </w:tc>
        <w:tc>
          <w:tcPr>
            <w:tcW w:w="565" w:type="pct"/>
          </w:tcPr>
          <w:p w14:paraId="2C9E4EC8" w14:textId="77777777" w:rsidR="003012CB" w:rsidRPr="0007791B" w:rsidRDefault="003012CB" w:rsidP="00853BF6">
            <w:pPr>
              <w:rPr>
                <w:color w:val="000000"/>
                <w:sz w:val="16"/>
                <w:szCs w:val="16"/>
                <w:lang w:val="en-US" w:eastAsia="de-DE"/>
              </w:rPr>
            </w:pPr>
            <w:r w:rsidRPr="0007791B">
              <w:rPr>
                <w:color w:val="000000"/>
                <w:sz w:val="16"/>
                <w:szCs w:val="16"/>
                <w:lang w:val="en-US" w:eastAsia="de-DE"/>
              </w:rPr>
              <w:lastRenderedPageBreak/>
              <w:t>Ansard D. and</w:t>
            </w:r>
            <w:r>
              <w:rPr>
                <w:color w:val="000000"/>
                <w:sz w:val="16"/>
                <w:szCs w:val="16"/>
                <w:lang w:val="en-US" w:eastAsia="de-DE"/>
              </w:rPr>
              <w:t xml:space="preserve"> </w:t>
            </w:r>
            <w:r w:rsidRPr="0007791B">
              <w:rPr>
                <w:color w:val="000000"/>
                <w:sz w:val="16"/>
                <w:szCs w:val="16"/>
                <w:lang w:val="en-US" w:eastAsia="de-DE"/>
              </w:rPr>
              <w:t>Paulmier I.,</w:t>
            </w:r>
          </w:p>
          <w:p w14:paraId="50411E9B" w14:textId="77777777" w:rsidR="003012CB" w:rsidRPr="0007791B" w:rsidRDefault="003012CB" w:rsidP="00853BF6">
            <w:pPr>
              <w:rPr>
                <w:color w:val="000000"/>
                <w:sz w:val="16"/>
                <w:szCs w:val="16"/>
                <w:lang w:val="en-US" w:eastAsia="de-DE"/>
              </w:rPr>
            </w:pPr>
            <w:r w:rsidRPr="0007791B">
              <w:rPr>
                <w:color w:val="000000"/>
                <w:sz w:val="16"/>
                <w:szCs w:val="16"/>
                <w:lang w:val="en-US" w:eastAsia="de-DE"/>
              </w:rPr>
              <w:t>2016</w:t>
            </w:r>
          </w:p>
          <w:p w14:paraId="6D3FF2E1" w14:textId="77777777" w:rsidR="003012CB" w:rsidRPr="00EC1787" w:rsidRDefault="003012CB" w:rsidP="00853BF6">
            <w:pPr>
              <w:rPr>
                <w:color w:val="000000"/>
                <w:sz w:val="16"/>
                <w:szCs w:val="16"/>
                <w:lang w:val="fr-FR" w:eastAsia="de-DE"/>
              </w:rPr>
            </w:pPr>
            <w:r w:rsidRPr="0007791B">
              <w:rPr>
                <w:color w:val="000000"/>
                <w:sz w:val="16"/>
                <w:szCs w:val="16"/>
                <w:lang w:val="en-US" w:eastAsia="de-DE"/>
              </w:rPr>
              <w:t>S6.7_04</w:t>
            </w:r>
          </w:p>
          <w:p w14:paraId="49558205" w14:textId="77777777" w:rsidR="003012CB" w:rsidRDefault="003012CB" w:rsidP="00853BF6">
            <w:pPr>
              <w:rPr>
                <w:color w:val="000000"/>
                <w:sz w:val="16"/>
                <w:szCs w:val="16"/>
                <w:lang w:val="fr-FR" w:eastAsia="de-DE"/>
              </w:rPr>
            </w:pPr>
          </w:p>
          <w:p w14:paraId="7069E363" w14:textId="77777777" w:rsidR="003012CB" w:rsidRDefault="003012CB" w:rsidP="00853BF6">
            <w:pPr>
              <w:rPr>
                <w:color w:val="000000"/>
                <w:sz w:val="16"/>
                <w:szCs w:val="16"/>
                <w:lang w:val="fr-FR" w:eastAsia="de-DE"/>
              </w:rPr>
            </w:pPr>
            <w:r>
              <w:rPr>
                <w:color w:val="000000"/>
                <w:sz w:val="16"/>
                <w:szCs w:val="16"/>
                <w:lang w:val="fr-FR" w:eastAsia="de-DE"/>
              </w:rPr>
              <w:t>401/16/039F/b-e</w:t>
            </w:r>
          </w:p>
          <w:p w14:paraId="29454A8C" w14:textId="77777777" w:rsidR="003012CB" w:rsidRPr="00EC1787" w:rsidRDefault="003012CB" w:rsidP="00853BF6">
            <w:pPr>
              <w:rPr>
                <w:color w:val="000000"/>
                <w:sz w:val="16"/>
                <w:szCs w:val="16"/>
                <w:lang w:val="fr-FR" w:eastAsia="de-DE"/>
              </w:rPr>
            </w:pPr>
          </w:p>
          <w:p w14:paraId="6249A0D1"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IC 1</w:t>
            </w:r>
          </w:p>
        </w:tc>
      </w:tr>
      <w:tr w:rsidR="003012CB" w:rsidRPr="00EC1787" w14:paraId="54555D36" w14:textId="77777777" w:rsidTr="0021636F">
        <w:tc>
          <w:tcPr>
            <w:tcW w:w="430" w:type="pct"/>
          </w:tcPr>
          <w:p w14:paraId="73D35E57" w14:textId="77777777" w:rsidR="003012CB" w:rsidRPr="00B20360" w:rsidRDefault="003012CB" w:rsidP="00853BF6">
            <w:pPr>
              <w:rPr>
                <w:color w:val="000000"/>
                <w:sz w:val="16"/>
                <w:szCs w:val="16"/>
                <w:lang w:eastAsia="de-DE"/>
              </w:rPr>
            </w:pPr>
            <w:r w:rsidRPr="00B20360">
              <w:rPr>
                <w:rFonts w:ascii="Arial" w:hAnsi="Arial" w:cs="Arial"/>
                <w:sz w:val="16"/>
                <w:szCs w:val="16"/>
              </w:rPr>
              <w:t>MG 02: preservatives</w:t>
            </w:r>
          </w:p>
        </w:tc>
        <w:tc>
          <w:tcPr>
            <w:tcW w:w="650" w:type="pct"/>
          </w:tcPr>
          <w:p w14:paraId="0ED729E4" w14:textId="77777777" w:rsidR="003012CB" w:rsidRPr="00B20360" w:rsidRDefault="003012CB" w:rsidP="00853BF6">
            <w:pPr>
              <w:rPr>
                <w:rFonts w:ascii="Arial" w:hAnsi="Arial" w:cs="Arial"/>
                <w:color w:val="000000"/>
                <w:sz w:val="16"/>
                <w:szCs w:val="16"/>
                <w:lang w:eastAsia="de-DE"/>
              </w:rPr>
            </w:pPr>
            <w:r w:rsidRPr="00B20360">
              <w:rPr>
                <w:rFonts w:ascii="Arial" w:hAnsi="Arial" w:cs="Arial"/>
                <w:color w:val="000000"/>
                <w:sz w:val="16"/>
                <w:szCs w:val="16"/>
                <w:lang w:eastAsia="de-DE"/>
              </w:rPr>
              <w:t>Wood preservative</w:t>
            </w:r>
          </w:p>
          <w:p w14:paraId="6F6ED416" w14:textId="77777777" w:rsidR="003012CB" w:rsidRPr="00B20360" w:rsidRDefault="003012CB" w:rsidP="00853BF6">
            <w:pPr>
              <w:rPr>
                <w:rFonts w:ascii="Arial" w:hAnsi="Arial" w:cs="Arial"/>
                <w:color w:val="000000"/>
                <w:sz w:val="16"/>
                <w:szCs w:val="16"/>
                <w:lang w:eastAsia="de-DE"/>
              </w:rPr>
            </w:pPr>
            <w:r w:rsidRPr="00B20360">
              <w:rPr>
                <w:rFonts w:ascii="Arial" w:hAnsi="Arial" w:cs="Arial"/>
                <w:color w:val="000000"/>
                <w:sz w:val="16"/>
                <w:szCs w:val="16"/>
                <w:lang w:eastAsia="de-DE"/>
              </w:rPr>
              <w:t>Preventive treatment</w:t>
            </w:r>
          </w:p>
        </w:tc>
        <w:tc>
          <w:tcPr>
            <w:tcW w:w="535" w:type="pct"/>
          </w:tcPr>
          <w:p w14:paraId="09CB3C0B" w14:textId="77777777" w:rsidR="003012CB" w:rsidRPr="00B20360" w:rsidRDefault="003012CB" w:rsidP="00853BF6">
            <w:pPr>
              <w:rPr>
                <w:color w:val="000000"/>
                <w:sz w:val="16"/>
                <w:szCs w:val="16"/>
                <w:lang w:eastAsia="de-DE"/>
              </w:rPr>
            </w:pPr>
            <w:r w:rsidRPr="00B20360">
              <w:rPr>
                <w:color w:val="000000"/>
                <w:sz w:val="16"/>
                <w:szCs w:val="16"/>
                <w:lang w:eastAsia="de-DE"/>
              </w:rPr>
              <w:t>X6122B1</w:t>
            </w:r>
          </w:p>
          <w:p w14:paraId="54CB22C6" w14:textId="77777777" w:rsidR="003012CB" w:rsidRPr="00B20360" w:rsidRDefault="003012CB" w:rsidP="00853BF6">
            <w:pPr>
              <w:rPr>
                <w:color w:val="000000"/>
                <w:sz w:val="16"/>
                <w:szCs w:val="16"/>
                <w:lang w:eastAsia="de-DE"/>
              </w:rPr>
            </w:pPr>
            <w:r w:rsidRPr="00B20360">
              <w:rPr>
                <w:color w:val="000000"/>
                <w:sz w:val="16"/>
                <w:szCs w:val="16"/>
                <w:lang w:eastAsia="de-DE"/>
              </w:rPr>
              <w:t>batch 1405900037</w:t>
            </w:r>
          </w:p>
        </w:tc>
        <w:tc>
          <w:tcPr>
            <w:tcW w:w="470" w:type="pct"/>
          </w:tcPr>
          <w:p w14:paraId="1001E94A" w14:textId="77777777" w:rsidR="003012CB" w:rsidRPr="00B20360" w:rsidRDefault="003012CB" w:rsidP="00853BF6">
            <w:pPr>
              <w:autoSpaceDE w:val="0"/>
              <w:autoSpaceDN w:val="0"/>
              <w:adjustRightInd w:val="0"/>
              <w:rPr>
                <w:rFonts w:ascii="Arial" w:hAnsi="Arial" w:cs="Arial"/>
                <w:color w:val="000000"/>
                <w:lang w:val="en-US" w:eastAsia="fr-FR"/>
              </w:rPr>
            </w:pPr>
            <w:r w:rsidRPr="00B20360">
              <w:rPr>
                <w:color w:val="000000"/>
                <w:sz w:val="16"/>
                <w:szCs w:val="16"/>
                <w:lang w:eastAsia="de-DE"/>
              </w:rPr>
              <w:t xml:space="preserve">House longhorn beetle: </w:t>
            </w:r>
            <w:r w:rsidRPr="00B20360">
              <w:rPr>
                <w:i/>
                <w:color w:val="000000"/>
                <w:sz w:val="16"/>
                <w:szCs w:val="16"/>
                <w:lang w:eastAsia="de-DE"/>
              </w:rPr>
              <w:t>Hylotrupes bajulus</w:t>
            </w:r>
            <w:r w:rsidRPr="00B20360">
              <w:rPr>
                <w:color w:val="000000"/>
                <w:sz w:val="16"/>
                <w:szCs w:val="16"/>
                <w:lang w:eastAsia="de-DE"/>
              </w:rPr>
              <w:t xml:space="preserve"> (L.)</w:t>
            </w:r>
            <w:r w:rsidRPr="00B20360">
              <w:rPr>
                <w:rFonts w:ascii="Arial" w:hAnsi="Arial" w:cs="Arial"/>
                <w:color w:val="000000"/>
                <w:lang w:val="en-US" w:eastAsia="fr-FR"/>
              </w:rPr>
              <w:t xml:space="preserve"> </w:t>
            </w:r>
          </w:p>
        </w:tc>
        <w:tc>
          <w:tcPr>
            <w:tcW w:w="521" w:type="pct"/>
          </w:tcPr>
          <w:p w14:paraId="345F69D1" w14:textId="77777777" w:rsidR="003012CB" w:rsidRPr="00B20360" w:rsidRDefault="003012CB" w:rsidP="00853BF6">
            <w:pPr>
              <w:rPr>
                <w:color w:val="000000"/>
                <w:sz w:val="16"/>
                <w:szCs w:val="16"/>
                <w:lang w:eastAsia="de-DE"/>
              </w:rPr>
            </w:pPr>
            <w:r w:rsidRPr="00B20360">
              <w:rPr>
                <w:color w:val="000000"/>
                <w:sz w:val="16"/>
                <w:szCs w:val="16"/>
                <w:lang w:eastAsia="de-DE"/>
              </w:rPr>
              <w:t>EN 46 + EN 73 (evaporation)</w:t>
            </w:r>
          </w:p>
        </w:tc>
        <w:tc>
          <w:tcPr>
            <w:tcW w:w="962" w:type="pct"/>
          </w:tcPr>
          <w:p w14:paraId="4B6B37AA" w14:textId="77777777" w:rsidR="003012CB" w:rsidRPr="00B20360" w:rsidRDefault="003012CB" w:rsidP="00853BF6">
            <w:pPr>
              <w:rPr>
                <w:color w:val="000000"/>
                <w:sz w:val="16"/>
                <w:szCs w:val="16"/>
                <w:lang w:eastAsia="de-DE"/>
              </w:rPr>
            </w:pPr>
            <w:r w:rsidRPr="00B20360">
              <w:rPr>
                <w:color w:val="000000"/>
                <w:sz w:val="16"/>
                <w:szCs w:val="16"/>
                <w:lang w:eastAsia="de-DE"/>
              </w:rPr>
              <w:t>The ready to use product X6122B1 is applied by dipping on sapwood test blocks (</w:t>
            </w:r>
            <w:r w:rsidRPr="00B20360">
              <w:rPr>
                <w:i/>
                <w:color w:val="000000"/>
                <w:sz w:val="16"/>
                <w:szCs w:val="16"/>
                <w:lang w:eastAsia="de-DE"/>
              </w:rPr>
              <w:t>Pinus sylvaticus</w:t>
            </w:r>
            <w:r w:rsidRPr="00B20360">
              <w:rPr>
                <w:color w:val="000000"/>
                <w:sz w:val="16"/>
                <w:szCs w:val="16"/>
                <w:lang w:eastAsia="de-DE"/>
              </w:rPr>
              <w:t>) and followed by an artificial weathering according to the EN 73 standard method (evaporation).</w:t>
            </w:r>
          </w:p>
          <w:p w14:paraId="6B434C32" w14:textId="77777777" w:rsidR="003012CB" w:rsidRPr="00B20360" w:rsidRDefault="003012CB" w:rsidP="00853BF6">
            <w:pPr>
              <w:rPr>
                <w:color w:val="000000"/>
                <w:sz w:val="16"/>
                <w:szCs w:val="16"/>
                <w:lang w:eastAsia="de-DE"/>
              </w:rPr>
            </w:pPr>
            <w:r w:rsidRPr="00B20360">
              <w:rPr>
                <w:color w:val="000000"/>
                <w:sz w:val="16"/>
                <w:szCs w:val="16"/>
                <w:lang w:eastAsia="de-DE"/>
              </w:rPr>
              <w:t xml:space="preserve">The quantity really applied on each test block varied between </w:t>
            </w:r>
            <w:r>
              <w:rPr>
                <w:color w:val="000000"/>
                <w:sz w:val="16"/>
                <w:szCs w:val="16"/>
                <w:lang w:eastAsia="de-DE"/>
              </w:rPr>
              <w:t>197.6</w:t>
            </w:r>
            <w:r w:rsidRPr="00B20360">
              <w:rPr>
                <w:color w:val="000000"/>
                <w:sz w:val="16"/>
                <w:szCs w:val="16"/>
                <w:lang w:eastAsia="de-DE"/>
              </w:rPr>
              <w:t xml:space="preserve"> g/m² and </w:t>
            </w:r>
            <w:r>
              <w:rPr>
                <w:color w:val="000000"/>
                <w:sz w:val="16"/>
                <w:szCs w:val="16"/>
                <w:lang w:eastAsia="de-DE"/>
              </w:rPr>
              <w:t>199.2</w:t>
            </w:r>
            <w:r w:rsidRPr="00B20360">
              <w:rPr>
                <w:color w:val="000000"/>
                <w:sz w:val="16"/>
                <w:szCs w:val="16"/>
                <w:lang w:eastAsia="de-DE"/>
              </w:rPr>
              <w:t xml:space="preserve"> g/m² (mean </w:t>
            </w:r>
            <w:r>
              <w:rPr>
                <w:color w:val="000000"/>
                <w:sz w:val="16"/>
                <w:szCs w:val="16"/>
                <w:lang w:eastAsia="de-DE"/>
              </w:rPr>
              <w:t>198.5</w:t>
            </w:r>
            <w:r w:rsidRPr="00B20360">
              <w:rPr>
                <w:color w:val="000000"/>
                <w:sz w:val="16"/>
                <w:szCs w:val="16"/>
                <w:lang w:eastAsia="de-DE"/>
              </w:rPr>
              <w:t xml:space="preserve"> g/m²).</w:t>
            </w:r>
          </w:p>
          <w:p w14:paraId="0FCF1965" w14:textId="77777777" w:rsidR="003012CB" w:rsidRPr="00B20360" w:rsidRDefault="003012CB" w:rsidP="00853BF6">
            <w:pPr>
              <w:rPr>
                <w:color w:val="000000"/>
                <w:sz w:val="16"/>
                <w:szCs w:val="16"/>
                <w:lang w:val="en-US" w:eastAsia="de-DE"/>
              </w:rPr>
            </w:pPr>
            <w:r w:rsidRPr="00B20360">
              <w:rPr>
                <w:color w:val="000000"/>
                <w:sz w:val="16"/>
                <w:szCs w:val="16"/>
                <w:lang w:val="en-US" w:eastAsia="de-DE"/>
              </w:rPr>
              <w:t xml:space="preserve">10 recently hatched larvae of </w:t>
            </w:r>
            <w:r w:rsidRPr="00B20360">
              <w:rPr>
                <w:i/>
                <w:color w:val="000000"/>
                <w:sz w:val="16"/>
                <w:szCs w:val="16"/>
                <w:lang w:val="en-US" w:eastAsia="de-DE"/>
              </w:rPr>
              <w:t>H. bajulus</w:t>
            </w:r>
            <w:r w:rsidRPr="00B20360">
              <w:rPr>
                <w:color w:val="000000"/>
                <w:sz w:val="16"/>
                <w:szCs w:val="16"/>
                <w:lang w:val="en-US" w:eastAsia="de-DE"/>
              </w:rPr>
              <w:t xml:space="preserve"> for each are used for each test block.</w:t>
            </w:r>
          </w:p>
          <w:p w14:paraId="170DFBA7" w14:textId="77777777" w:rsidR="003012CB" w:rsidRPr="00B20360" w:rsidRDefault="003012CB" w:rsidP="00853BF6">
            <w:pPr>
              <w:rPr>
                <w:color w:val="000000"/>
                <w:sz w:val="16"/>
                <w:szCs w:val="16"/>
                <w:lang w:val="en-US" w:eastAsia="de-DE"/>
              </w:rPr>
            </w:pPr>
            <w:r w:rsidRPr="00B20360">
              <w:rPr>
                <w:color w:val="000000"/>
                <w:sz w:val="16"/>
                <w:szCs w:val="16"/>
                <w:lang w:val="en-US" w:eastAsia="de-DE"/>
              </w:rPr>
              <w:t>6 replicates for the treated block and 3 replicates for the control are performed.</w:t>
            </w:r>
          </w:p>
          <w:p w14:paraId="0E7C05D8" w14:textId="77777777" w:rsidR="003012CB" w:rsidRPr="00B20360" w:rsidRDefault="003012CB" w:rsidP="00853BF6">
            <w:pPr>
              <w:rPr>
                <w:color w:val="000000"/>
                <w:sz w:val="16"/>
                <w:szCs w:val="16"/>
                <w:lang w:val="en-US" w:eastAsia="de-DE"/>
              </w:rPr>
            </w:pPr>
            <w:r w:rsidRPr="00B20360">
              <w:rPr>
                <w:color w:val="000000"/>
                <w:sz w:val="16"/>
                <w:szCs w:val="16"/>
                <w:lang w:val="en-US" w:eastAsia="de-DE"/>
              </w:rPr>
              <w:t>The effect investigated is the mortality of insect’s larvae.</w:t>
            </w:r>
          </w:p>
          <w:p w14:paraId="46F8F095" w14:textId="77777777" w:rsidR="003012CB" w:rsidRPr="00B20360" w:rsidRDefault="003012CB" w:rsidP="00853BF6">
            <w:pPr>
              <w:rPr>
                <w:color w:val="000000"/>
                <w:sz w:val="16"/>
                <w:szCs w:val="16"/>
                <w:lang w:val="en-US" w:eastAsia="de-DE"/>
              </w:rPr>
            </w:pPr>
            <w:r w:rsidRPr="00B20360">
              <w:rPr>
                <w:color w:val="000000"/>
                <w:sz w:val="16"/>
                <w:szCs w:val="16"/>
                <w:lang w:val="en-US" w:eastAsia="de-DE"/>
              </w:rPr>
              <w:t xml:space="preserve">The method for recording / scoring effects is the recovery of the insects and count of dead and alive larvae and count of dead larvae having tunneled or not. </w:t>
            </w:r>
          </w:p>
          <w:p w14:paraId="5732580C" w14:textId="77777777" w:rsidR="003012CB" w:rsidRPr="00B20360" w:rsidRDefault="003012CB" w:rsidP="00853BF6">
            <w:pPr>
              <w:rPr>
                <w:color w:val="000000"/>
                <w:sz w:val="16"/>
                <w:szCs w:val="16"/>
                <w:lang w:val="en-US" w:eastAsia="de-DE"/>
              </w:rPr>
            </w:pPr>
            <w:r w:rsidRPr="00B20360">
              <w:rPr>
                <w:color w:val="000000"/>
                <w:sz w:val="16"/>
                <w:szCs w:val="16"/>
                <w:lang w:val="en-US" w:eastAsia="de-DE"/>
              </w:rPr>
              <w:t>- Intervals of examination: one time, after 1 month exposure of the blocks to the insects.</w:t>
            </w:r>
          </w:p>
        </w:tc>
        <w:tc>
          <w:tcPr>
            <w:tcW w:w="867" w:type="pct"/>
          </w:tcPr>
          <w:p w14:paraId="4168AEFC" w14:textId="77777777" w:rsidR="003012CB" w:rsidRPr="00B20360" w:rsidRDefault="003012CB" w:rsidP="00853BF6">
            <w:pPr>
              <w:rPr>
                <w:color w:val="000000"/>
                <w:sz w:val="16"/>
                <w:szCs w:val="16"/>
                <w:lang w:eastAsia="de-DE"/>
              </w:rPr>
            </w:pPr>
            <w:r w:rsidRPr="00B20360">
              <w:rPr>
                <w:color w:val="000000"/>
                <w:sz w:val="16"/>
                <w:szCs w:val="16"/>
                <w:lang w:eastAsia="de-DE"/>
              </w:rPr>
              <w:t>The study is validated as the survival rate in the control is higher than 70 % (100%).</w:t>
            </w:r>
          </w:p>
          <w:p w14:paraId="680DBF3A" w14:textId="77777777" w:rsidR="003012CB" w:rsidRPr="00B20360" w:rsidRDefault="003012CB" w:rsidP="00853BF6">
            <w:pPr>
              <w:rPr>
                <w:color w:val="000000"/>
                <w:sz w:val="16"/>
                <w:szCs w:val="16"/>
                <w:lang w:eastAsia="de-DE"/>
              </w:rPr>
            </w:pPr>
            <w:r w:rsidRPr="00B20360">
              <w:rPr>
                <w:color w:val="000000"/>
                <w:sz w:val="16"/>
                <w:szCs w:val="16"/>
                <w:lang w:eastAsia="de-DE"/>
              </w:rPr>
              <w:t>On the treated test block, 100 % or the larvae was dead and had not tunnelled.</w:t>
            </w:r>
          </w:p>
          <w:p w14:paraId="726E116C" w14:textId="77777777" w:rsidR="003012CB" w:rsidRPr="00B20360" w:rsidRDefault="003012CB" w:rsidP="00853BF6">
            <w:pPr>
              <w:rPr>
                <w:b/>
                <w:color w:val="000000"/>
                <w:sz w:val="16"/>
                <w:szCs w:val="16"/>
                <w:lang w:eastAsia="de-DE"/>
              </w:rPr>
            </w:pPr>
            <w:r w:rsidRPr="00B20360">
              <w:rPr>
                <w:b/>
                <w:color w:val="000000"/>
                <w:sz w:val="16"/>
                <w:szCs w:val="16"/>
                <w:lang w:eastAsia="de-DE"/>
              </w:rPr>
              <w:t xml:space="preserve">This study demonstrated the efficacy of the product at </w:t>
            </w:r>
            <w:r>
              <w:rPr>
                <w:b/>
                <w:color w:val="000000"/>
                <w:sz w:val="16"/>
                <w:szCs w:val="16"/>
                <w:lang w:eastAsia="de-DE"/>
              </w:rPr>
              <w:t>198.5</w:t>
            </w:r>
            <w:r w:rsidRPr="00B20360">
              <w:rPr>
                <w:b/>
                <w:color w:val="000000"/>
                <w:sz w:val="16"/>
                <w:szCs w:val="16"/>
                <w:lang w:eastAsia="de-DE"/>
              </w:rPr>
              <w:t xml:space="preserve"> g of product</w:t>
            </w:r>
            <w:r>
              <w:rPr>
                <w:b/>
                <w:color w:val="000000"/>
                <w:sz w:val="16"/>
                <w:szCs w:val="16"/>
                <w:lang w:eastAsia="de-DE"/>
              </w:rPr>
              <w:t xml:space="preserve"> X6122B1</w:t>
            </w:r>
            <w:r w:rsidRPr="00B20360">
              <w:rPr>
                <w:b/>
                <w:color w:val="000000"/>
                <w:sz w:val="16"/>
                <w:szCs w:val="16"/>
                <w:lang w:eastAsia="de-DE"/>
              </w:rPr>
              <w:t xml:space="preserve"> / m² of wood against </w:t>
            </w:r>
            <w:r w:rsidRPr="00B20360">
              <w:rPr>
                <w:b/>
                <w:i/>
                <w:color w:val="000000"/>
                <w:sz w:val="16"/>
                <w:szCs w:val="16"/>
                <w:lang w:eastAsia="de-DE"/>
              </w:rPr>
              <w:t>Hylotrupes bajulus</w:t>
            </w:r>
            <w:r w:rsidRPr="00B20360">
              <w:rPr>
                <w:b/>
                <w:color w:val="000000"/>
                <w:sz w:val="16"/>
                <w:szCs w:val="16"/>
                <w:lang w:eastAsia="de-DE"/>
              </w:rPr>
              <w:t xml:space="preserve"> larvae</w:t>
            </w:r>
          </w:p>
        </w:tc>
        <w:tc>
          <w:tcPr>
            <w:tcW w:w="565" w:type="pct"/>
          </w:tcPr>
          <w:p w14:paraId="039F5805" w14:textId="77777777" w:rsidR="003012CB" w:rsidRPr="008551C7" w:rsidRDefault="003012CB" w:rsidP="00853BF6">
            <w:pPr>
              <w:rPr>
                <w:color w:val="000000"/>
                <w:sz w:val="16"/>
                <w:szCs w:val="16"/>
                <w:lang w:val="de-DE" w:eastAsia="de-DE"/>
              </w:rPr>
            </w:pPr>
            <w:r w:rsidRPr="008551C7">
              <w:rPr>
                <w:color w:val="000000"/>
                <w:sz w:val="16"/>
                <w:szCs w:val="16"/>
                <w:lang w:val="de-DE" w:eastAsia="de-DE"/>
              </w:rPr>
              <w:t>Schumacher P. and Fennert E.-M., 2015</w:t>
            </w:r>
          </w:p>
          <w:p w14:paraId="13006DFE" w14:textId="77777777" w:rsidR="003012CB" w:rsidRPr="00B20360" w:rsidRDefault="003012CB" w:rsidP="00853BF6">
            <w:pPr>
              <w:rPr>
                <w:color w:val="000000"/>
                <w:sz w:val="16"/>
                <w:szCs w:val="16"/>
                <w:lang w:val="en-US" w:eastAsia="de-DE"/>
              </w:rPr>
            </w:pPr>
            <w:r w:rsidRPr="00B20360">
              <w:rPr>
                <w:color w:val="000000"/>
                <w:sz w:val="16"/>
                <w:szCs w:val="16"/>
                <w:lang w:eastAsia="de-DE"/>
              </w:rPr>
              <w:t>S6.7_05</w:t>
            </w:r>
          </w:p>
          <w:p w14:paraId="12886944" w14:textId="77777777" w:rsidR="003012CB" w:rsidRPr="00B20360" w:rsidRDefault="003012CB" w:rsidP="00853BF6">
            <w:pPr>
              <w:rPr>
                <w:color w:val="000000"/>
                <w:sz w:val="16"/>
                <w:szCs w:val="16"/>
                <w:lang w:eastAsia="de-DE"/>
              </w:rPr>
            </w:pPr>
            <w:r w:rsidRPr="00B20360">
              <w:rPr>
                <w:color w:val="000000"/>
                <w:sz w:val="16"/>
                <w:szCs w:val="16"/>
                <w:lang w:eastAsia="de-DE"/>
              </w:rPr>
              <w:t>32/14/9803/01</w:t>
            </w:r>
          </w:p>
          <w:p w14:paraId="163B0DD4" w14:textId="77777777" w:rsidR="003012CB" w:rsidRPr="00B20360" w:rsidRDefault="003012CB" w:rsidP="00853BF6">
            <w:pPr>
              <w:rPr>
                <w:color w:val="000000"/>
                <w:sz w:val="16"/>
                <w:szCs w:val="16"/>
                <w:lang w:eastAsia="de-DE"/>
              </w:rPr>
            </w:pPr>
          </w:p>
          <w:p w14:paraId="728E335D" w14:textId="77777777" w:rsidR="003012CB" w:rsidRPr="00B20360" w:rsidRDefault="003012CB" w:rsidP="00853BF6">
            <w:pPr>
              <w:rPr>
                <w:color w:val="000000"/>
                <w:sz w:val="16"/>
                <w:szCs w:val="16"/>
                <w:lang w:eastAsia="de-DE"/>
              </w:rPr>
            </w:pPr>
            <w:r w:rsidRPr="00B20360">
              <w:rPr>
                <w:color w:val="000000"/>
                <w:sz w:val="16"/>
                <w:szCs w:val="16"/>
                <w:lang w:eastAsia="de-DE"/>
              </w:rPr>
              <w:t>IC1</w:t>
            </w:r>
          </w:p>
        </w:tc>
      </w:tr>
      <w:tr w:rsidR="003012CB" w:rsidRPr="00B20360" w14:paraId="6B04A6C4" w14:textId="77777777" w:rsidTr="0021636F">
        <w:tc>
          <w:tcPr>
            <w:tcW w:w="430" w:type="pct"/>
          </w:tcPr>
          <w:p w14:paraId="69E5C625" w14:textId="77777777" w:rsidR="003012CB" w:rsidRPr="00EC1787" w:rsidRDefault="003012CB" w:rsidP="00853BF6">
            <w:pPr>
              <w:rPr>
                <w:color w:val="000000"/>
                <w:sz w:val="16"/>
                <w:szCs w:val="16"/>
                <w:lang w:eastAsia="de-DE"/>
              </w:rPr>
            </w:pPr>
            <w:r w:rsidRPr="00EC1787">
              <w:rPr>
                <w:rFonts w:ascii="Arial" w:hAnsi="Arial" w:cs="Arial"/>
                <w:sz w:val="16"/>
                <w:szCs w:val="16"/>
              </w:rPr>
              <w:lastRenderedPageBreak/>
              <w:t>MG 02: preservatives</w:t>
            </w:r>
          </w:p>
        </w:tc>
        <w:tc>
          <w:tcPr>
            <w:tcW w:w="650" w:type="pct"/>
          </w:tcPr>
          <w:p w14:paraId="2EEF5801"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2F0FDAAF"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0E452785" w14:textId="77777777" w:rsidR="003012CB" w:rsidRDefault="003012CB" w:rsidP="00853BF6">
            <w:pPr>
              <w:rPr>
                <w:color w:val="000000"/>
                <w:sz w:val="16"/>
                <w:szCs w:val="16"/>
                <w:lang w:eastAsia="de-DE"/>
              </w:rPr>
            </w:pPr>
            <w:r>
              <w:rPr>
                <w:color w:val="000000"/>
                <w:sz w:val="16"/>
                <w:szCs w:val="16"/>
                <w:lang w:eastAsia="de-DE"/>
              </w:rPr>
              <w:t>X6122B1</w:t>
            </w:r>
          </w:p>
          <w:p w14:paraId="0E09D8C9" w14:textId="77777777" w:rsidR="003012CB" w:rsidRPr="00EC1787" w:rsidRDefault="003012CB" w:rsidP="00853BF6">
            <w:pPr>
              <w:rPr>
                <w:color w:val="000000"/>
                <w:sz w:val="16"/>
                <w:szCs w:val="16"/>
                <w:lang w:eastAsia="de-DE"/>
              </w:rPr>
            </w:pPr>
            <w:r>
              <w:rPr>
                <w:color w:val="000000"/>
                <w:sz w:val="16"/>
                <w:szCs w:val="16"/>
                <w:lang w:eastAsia="de-DE"/>
              </w:rPr>
              <w:t>batch Pap V 129.2</w:t>
            </w:r>
          </w:p>
        </w:tc>
        <w:tc>
          <w:tcPr>
            <w:tcW w:w="470" w:type="pct"/>
          </w:tcPr>
          <w:p w14:paraId="2ACE44BA"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House longhorn beetle: </w:t>
            </w:r>
            <w:r w:rsidRPr="00EC1787">
              <w:rPr>
                <w:i/>
                <w:color w:val="000000"/>
                <w:sz w:val="16"/>
                <w:szCs w:val="16"/>
                <w:lang w:eastAsia="de-DE"/>
              </w:rPr>
              <w:t>Hylotrupes bajulus</w:t>
            </w:r>
            <w:r w:rsidRPr="00EC1787">
              <w:rPr>
                <w:color w:val="000000"/>
                <w:sz w:val="16"/>
                <w:szCs w:val="16"/>
                <w:lang w:eastAsia="de-DE"/>
              </w:rPr>
              <w:t xml:space="preserve"> (L.)</w:t>
            </w:r>
          </w:p>
        </w:tc>
        <w:tc>
          <w:tcPr>
            <w:tcW w:w="521" w:type="pct"/>
          </w:tcPr>
          <w:p w14:paraId="462F65C4" w14:textId="77777777" w:rsidR="003012CB" w:rsidRPr="00EC1787" w:rsidRDefault="003012CB" w:rsidP="00853BF6">
            <w:pPr>
              <w:rPr>
                <w:color w:val="000000"/>
                <w:sz w:val="16"/>
                <w:szCs w:val="16"/>
                <w:lang w:eastAsia="de-DE"/>
              </w:rPr>
            </w:pPr>
            <w:r w:rsidRPr="00EC1787">
              <w:rPr>
                <w:color w:val="000000"/>
                <w:sz w:val="16"/>
                <w:szCs w:val="16"/>
                <w:lang w:eastAsia="de-DE"/>
              </w:rPr>
              <w:t>EN 46 + EN 84 (leaching)</w:t>
            </w:r>
          </w:p>
        </w:tc>
        <w:tc>
          <w:tcPr>
            <w:tcW w:w="962" w:type="pct"/>
          </w:tcPr>
          <w:p w14:paraId="235FF402"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ready to use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84 standard method (leaching).</w:t>
            </w:r>
          </w:p>
          <w:p w14:paraId="3320C878"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198.2</w:t>
            </w:r>
            <w:r w:rsidRPr="00EC1787">
              <w:rPr>
                <w:color w:val="000000"/>
                <w:sz w:val="16"/>
                <w:szCs w:val="16"/>
                <w:lang w:eastAsia="de-DE"/>
              </w:rPr>
              <w:t xml:space="preserve"> g/m² and </w:t>
            </w:r>
            <w:r>
              <w:rPr>
                <w:color w:val="000000"/>
                <w:sz w:val="16"/>
                <w:szCs w:val="16"/>
                <w:lang w:eastAsia="de-DE"/>
              </w:rPr>
              <w:t>199.2</w:t>
            </w:r>
            <w:r w:rsidRPr="00EC1787">
              <w:rPr>
                <w:color w:val="000000"/>
                <w:sz w:val="16"/>
                <w:szCs w:val="16"/>
                <w:lang w:eastAsia="de-DE"/>
              </w:rPr>
              <w:t xml:space="preserve"> g/m² (mean 1</w:t>
            </w:r>
            <w:r>
              <w:rPr>
                <w:color w:val="000000"/>
                <w:sz w:val="16"/>
                <w:szCs w:val="16"/>
                <w:lang w:eastAsia="de-DE"/>
              </w:rPr>
              <w:t>98</w:t>
            </w:r>
            <w:r w:rsidRPr="00EC1787">
              <w:rPr>
                <w:color w:val="000000"/>
                <w:sz w:val="16"/>
                <w:szCs w:val="16"/>
                <w:lang w:eastAsia="de-DE"/>
              </w:rPr>
              <w:t>.</w:t>
            </w:r>
            <w:r>
              <w:rPr>
                <w:color w:val="000000"/>
                <w:sz w:val="16"/>
                <w:szCs w:val="16"/>
                <w:lang w:eastAsia="de-DE"/>
              </w:rPr>
              <w:t>9</w:t>
            </w:r>
            <w:r w:rsidRPr="00EC1787">
              <w:rPr>
                <w:color w:val="000000"/>
                <w:sz w:val="16"/>
                <w:szCs w:val="16"/>
                <w:lang w:eastAsia="de-DE"/>
              </w:rPr>
              <w:t xml:space="preserve"> g/m²).</w:t>
            </w:r>
          </w:p>
          <w:p w14:paraId="0BB771F9"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6 replicates for the treated block and 3 replicates for the control are performed.</w:t>
            </w:r>
          </w:p>
          <w:p w14:paraId="179C10C9"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effect investigated is the mortality of insect’s larvae.</w:t>
            </w:r>
          </w:p>
          <w:p w14:paraId="593CB2C1"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 xml:space="preserve">The method for recording / scoring effects is the recovery of the insects and count of dead and alive larvae and count of dead larvae having tunneled or not. </w:t>
            </w:r>
          </w:p>
          <w:p w14:paraId="08A277C0" w14:textId="77777777" w:rsidR="003012CB" w:rsidRPr="00EC1787" w:rsidRDefault="003012CB" w:rsidP="00853BF6">
            <w:pPr>
              <w:rPr>
                <w:color w:val="000000"/>
                <w:sz w:val="16"/>
                <w:szCs w:val="16"/>
                <w:lang w:eastAsia="de-DE"/>
              </w:rPr>
            </w:pPr>
            <w:r w:rsidRPr="00EC1787">
              <w:rPr>
                <w:color w:val="000000"/>
                <w:sz w:val="16"/>
                <w:szCs w:val="16"/>
                <w:lang w:val="en-US" w:eastAsia="de-DE"/>
              </w:rPr>
              <w:t>- Intervals of examination: one time, after 1 month exposure of the blocks to the insects.</w:t>
            </w:r>
          </w:p>
        </w:tc>
        <w:tc>
          <w:tcPr>
            <w:tcW w:w="867" w:type="pct"/>
          </w:tcPr>
          <w:p w14:paraId="5BD8A7DC" w14:textId="77777777" w:rsidR="003012CB" w:rsidRPr="00EC1787" w:rsidRDefault="003012CB" w:rsidP="00853BF6">
            <w:pPr>
              <w:rPr>
                <w:color w:val="000000"/>
                <w:sz w:val="16"/>
                <w:szCs w:val="16"/>
                <w:lang w:eastAsia="de-DE"/>
              </w:rPr>
            </w:pPr>
            <w:r w:rsidRPr="00EC1787">
              <w:rPr>
                <w:color w:val="000000"/>
                <w:sz w:val="16"/>
                <w:szCs w:val="16"/>
                <w:lang w:eastAsia="de-DE"/>
              </w:rPr>
              <w:t>The study is validated as the survival rate in the control is higher than 70 % (90%).</w:t>
            </w:r>
          </w:p>
          <w:p w14:paraId="21AC9C15" w14:textId="5D8F0DE1" w:rsidR="003012CB" w:rsidRDefault="003012CB" w:rsidP="00853BF6">
            <w:pPr>
              <w:rPr>
                <w:color w:val="000000"/>
                <w:sz w:val="16"/>
                <w:szCs w:val="16"/>
                <w:lang w:eastAsia="de-DE"/>
              </w:rPr>
            </w:pPr>
            <w:r w:rsidRPr="00EC1787">
              <w:rPr>
                <w:color w:val="000000"/>
                <w:sz w:val="16"/>
                <w:szCs w:val="16"/>
                <w:lang w:eastAsia="de-DE"/>
              </w:rPr>
              <w:t>On the treated test block, 100 % or the larvae was dead and had not tunnelled.</w:t>
            </w:r>
          </w:p>
          <w:p w14:paraId="75ECA073" w14:textId="77777777" w:rsidR="003012CB" w:rsidRPr="00EC1787" w:rsidRDefault="003012CB" w:rsidP="00853BF6">
            <w:pPr>
              <w:rPr>
                <w:b/>
                <w:color w:val="000000"/>
                <w:sz w:val="16"/>
                <w:szCs w:val="16"/>
                <w:lang w:eastAsia="de-DE"/>
              </w:rPr>
            </w:pPr>
            <w:r w:rsidRPr="00EC1787">
              <w:rPr>
                <w:b/>
                <w:color w:val="000000"/>
                <w:sz w:val="16"/>
                <w:szCs w:val="16"/>
                <w:lang w:eastAsia="de-DE"/>
              </w:rPr>
              <w:t xml:space="preserve">This study demonstrated the efficacy of the product at </w:t>
            </w:r>
            <w:r>
              <w:rPr>
                <w:b/>
                <w:color w:val="000000"/>
                <w:sz w:val="16"/>
                <w:szCs w:val="16"/>
                <w:lang w:eastAsia="de-DE"/>
              </w:rPr>
              <w:t>198.9</w:t>
            </w:r>
            <w:r w:rsidRPr="00EC1787">
              <w:rPr>
                <w:b/>
                <w:color w:val="000000"/>
                <w:sz w:val="16"/>
                <w:szCs w:val="16"/>
                <w:lang w:eastAsia="de-DE"/>
              </w:rPr>
              <w:t xml:space="preserve"> g of product</w:t>
            </w:r>
            <w:r>
              <w:rPr>
                <w:b/>
                <w:color w:val="000000"/>
                <w:sz w:val="16"/>
                <w:szCs w:val="16"/>
                <w:lang w:eastAsia="de-DE"/>
              </w:rPr>
              <w:t xml:space="preserve"> X6122B1</w:t>
            </w:r>
            <w:r w:rsidRPr="00EC1787">
              <w:rPr>
                <w:b/>
                <w:color w:val="000000"/>
                <w:sz w:val="16"/>
                <w:szCs w:val="16"/>
                <w:lang w:eastAsia="de-DE"/>
              </w:rPr>
              <w:t xml:space="preserve"> / m² of wood against </w:t>
            </w:r>
            <w:r w:rsidRPr="00EC1787">
              <w:rPr>
                <w:b/>
                <w:i/>
                <w:color w:val="000000"/>
                <w:sz w:val="16"/>
                <w:szCs w:val="16"/>
                <w:lang w:eastAsia="de-DE"/>
              </w:rPr>
              <w:t>Hylotrupes bajulus</w:t>
            </w:r>
            <w:r w:rsidRPr="00EC1787">
              <w:rPr>
                <w:b/>
                <w:color w:val="000000"/>
                <w:sz w:val="16"/>
                <w:szCs w:val="16"/>
                <w:lang w:eastAsia="de-DE"/>
              </w:rPr>
              <w:t xml:space="preserve"> larvae</w:t>
            </w:r>
          </w:p>
        </w:tc>
        <w:tc>
          <w:tcPr>
            <w:tcW w:w="565" w:type="pct"/>
          </w:tcPr>
          <w:p w14:paraId="11D45F48" w14:textId="77777777" w:rsidR="003012CB" w:rsidRPr="00B20360" w:rsidRDefault="003012CB" w:rsidP="00853BF6">
            <w:pPr>
              <w:rPr>
                <w:color w:val="000000"/>
                <w:sz w:val="16"/>
                <w:szCs w:val="16"/>
                <w:lang w:eastAsia="de-DE"/>
              </w:rPr>
            </w:pPr>
            <w:r w:rsidRPr="00B20360">
              <w:rPr>
                <w:color w:val="000000"/>
                <w:sz w:val="16"/>
                <w:szCs w:val="16"/>
                <w:lang w:eastAsia="de-DE"/>
              </w:rPr>
              <w:t>Brunet C. and</w:t>
            </w:r>
            <w:r>
              <w:rPr>
                <w:color w:val="000000"/>
                <w:sz w:val="16"/>
                <w:szCs w:val="16"/>
                <w:lang w:eastAsia="de-DE"/>
              </w:rPr>
              <w:t xml:space="preserve"> </w:t>
            </w:r>
            <w:r w:rsidRPr="00B20360">
              <w:rPr>
                <w:color w:val="000000"/>
                <w:sz w:val="16"/>
                <w:szCs w:val="16"/>
                <w:lang w:eastAsia="de-DE"/>
              </w:rPr>
              <w:t>Paulmier I.,</w:t>
            </w:r>
          </w:p>
          <w:p w14:paraId="1B57F83E" w14:textId="77777777" w:rsidR="003012CB" w:rsidRDefault="003012CB" w:rsidP="00853BF6">
            <w:pPr>
              <w:rPr>
                <w:color w:val="000000"/>
                <w:sz w:val="16"/>
                <w:szCs w:val="16"/>
                <w:lang w:eastAsia="de-DE"/>
              </w:rPr>
            </w:pPr>
            <w:r w:rsidRPr="00B20360">
              <w:rPr>
                <w:color w:val="000000"/>
                <w:sz w:val="16"/>
                <w:szCs w:val="16"/>
                <w:lang w:eastAsia="de-DE"/>
              </w:rPr>
              <w:t>2016</w:t>
            </w:r>
          </w:p>
          <w:p w14:paraId="18DB2703" w14:textId="77777777" w:rsidR="003012CB" w:rsidRPr="00B20360" w:rsidRDefault="003012CB" w:rsidP="00853BF6">
            <w:pPr>
              <w:rPr>
                <w:color w:val="000000"/>
                <w:sz w:val="16"/>
                <w:szCs w:val="16"/>
                <w:lang w:eastAsia="de-DE"/>
              </w:rPr>
            </w:pPr>
          </w:p>
          <w:p w14:paraId="2A745251" w14:textId="77777777" w:rsidR="003012CB" w:rsidRPr="00B20360" w:rsidRDefault="003012CB" w:rsidP="00853BF6">
            <w:pPr>
              <w:rPr>
                <w:color w:val="000000"/>
                <w:sz w:val="16"/>
                <w:szCs w:val="16"/>
                <w:lang w:val="en-US" w:eastAsia="de-DE"/>
              </w:rPr>
            </w:pPr>
            <w:r w:rsidRPr="00B20360">
              <w:rPr>
                <w:color w:val="000000"/>
                <w:sz w:val="16"/>
                <w:szCs w:val="16"/>
                <w:lang w:eastAsia="de-DE"/>
              </w:rPr>
              <w:t>S6.7_06</w:t>
            </w:r>
          </w:p>
          <w:p w14:paraId="4B86B80E" w14:textId="77777777" w:rsidR="003012CB" w:rsidRPr="00EC1787" w:rsidRDefault="003012CB" w:rsidP="00853BF6">
            <w:pPr>
              <w:rPr>
                <w:color w:val="000000"/>
                <w:sz w:val="16"/>
                <w:szCs w:val="16"/>
                <w:lang w:eastAsia="de-DE"/>
              </w:rPr>
            </w:pPr>
            <w:r>
              <w:rPr>
                <w:color w:val="000000"/>
                <w:sz w:val="16"/>
                <w:szCs w:val="16"/>
                <w:lang w:eastAsia="de-DE"/>
              </w:rPr>
              <w:t>401/16/039F/a-e</w:t>
            </w:r>
          </w:p>
          <w:p w14:paraId="0A4FC7A2" w14:textId="77777777" w:rsidR="003012CB" w:rsidRPr="00EC1787" w:rsidRDefault="003012CB" w:rsidP="00853BF6">
            <w:pPr>
              <w:rPr>
                <w:color w:val="000000"/>
                <w:sz w:val="16"/>
                <w:szCs w:val="16"/>
                <w:lang w:eastAsia="de-DE"/>
              </w:rPr>
            </w:pPr>
          </w:p>
          <w:p w14:paraId="31AA3D76" w14:textId="77777777" w:rsidR="003012CB" w:rsidRPr="00EC1787" w:rsidRDefault="003012CB" w:rsidP="00853BF6">
            <w:pPr>
              <w:rPr>
                <w:color w:val="000000"/>
                <w:sz w:val="16"/>
                <w:szCs w:val="16"/>
                <w:lang w:eastAsia="de-DE"/>
              </w:rPr>
            </w:pPr>
            <w:r w:rsidRPr="00EC1787">
              <w:rPr>
                <w:color w:val="000000"/>
                <w:sz w:val="16"/>
                <w:szCs w:val="16"/>
                <w:lang w:eastAsia="de-DE"/>
              </w:rPr>
              <w:t>IC 1</w:t>
            </w:r>
          </w:p>
        </w:tc>
      </w:tr>
      <w:tr w:rsidR="003012CB" w:rsidRPr="00B20360" w14:paraId="7B05BE6A" w14:textId="77777777" w:rsidTr="0021636F">
        <w:tc>
          <w:tcPr>
            <w:tcW w:w="430" w:type="pct"/>
          </w:tcPr>
          <w:p w14:paraId="2C7E914F" w14:textId="77777777" w:rsidR="003012CB" w:rsidRPr="00EC1787" w:rsidRDefault="003012CB" w:rsidP="00853BF6">
            <w:pPr>
              <w:rPr>
                <w:rFonts w:ascii="Arial" w:hAnsi="Arial" w:cs="Arial"/>
                <w:sz w:val="16"/>
                <w:szCs w:val="16"/>
              </w:rPr>
            </w:pPr>
            <w:r w:rsidRPr="00EC1787">
              <w:rPr>
                <w:rFonts w:ascii="Arial" w:hAnsi="Arial" w:cs="Arial"/>
                <w:sz w:val="16"/>
                <w:szCs w:val="16"/>
              </w:rPr>
              <w:t>MG 02: preservatives</w:t>
            </w:r>
          </w:p>
        </w:tc>
        <w:tc>
          <w:tcPr>
            <w:tcW w:w="650" w:type="pct"/>
          </w:tcPr>
          <w:p w14:paraId="0E9950F4"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2AC35E88"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240E6299" w14:textId="77777777" w:rsidR="003012CB" w:rsidRPr="00B20360" w:rsidRDefault="003012CB" w:rsidP="00853BF6">
            <w:pPr>
              <w:rPr>
                <w:color w:val="000000"/>
                <w:sz w:val="16"/>
                <w:szCs w:val="16"/>
                <w:lang w:eastAsia="de-DE"/>
              </w:rPr>
            </w:pPr>
            <w:r w:rsidRPr="00B20360">
              <w:rPr>
                <w:color w:val="000000"/>
                <w:sz w:val="16"/>
                <w:szCs w:val="16"/>
                <w:lang w:eastAsia="de-DE"/>
              </w:rPr>
              <w:t>X6122B1</w:t>
            </w:r>
          </w:p>
          <w:p w14:paraId="56E93D3B" w14:textId="77777777" w:rsidR="003012CB" w:rsidRPr="00B20360" w:rsidRDefault="003012CB" w:rsidP="00853BF6">
            <w:pPr>
              <w:rPr>
                <w:color w:val="000000"/>
                <w:sz w:val="16"/>
                <w:szCs w:val="16"/>
                <w:lang w:eastAsia="de-DE"/>
              </w:rPr>
            </w:pPr>
            <w:r w:rsidRPr="00B20360">
              <w:rPr>
                <w:color w:val="000000"/>
                <w:sz w:val="16"/>
                <w:szCs w:val="16"/>
                <w:lang w:eastAsia="de-DE"/>
              </w:rPr>
              <w:t>batch 1405900037</w:t>
            </w:r>
          </w:p>
        </w:tc>
        <w:tc>
          <w:tcPr>
            <w:tcW w:w="470" w:type="pct"/>
          </w:tcPr>
          <w:p w14:paraId="4CDEDC5F" w14:textId="77777777" w:rsidR="003012CB" w:rsidRPr="00EC1787" w:rsidRDefault="003012CB" w:rsidP="00853BF6">
            <w:pPr>
              <w:rPr>
                <w:color w:val="000000"/>
                <w:sz w:val="16"/>
                <w:szCs w:val="16"/>
                <w:lang w:eastAsia="de-DE"/>
              </w:rPr>
            </w:pPr>
            <w:r w:rsidRPr="00EC1787">
              <w:rPr>
                <w:color w:val="000000"/>
                <w:sz w:val="16"/>
                <w:szCs w:val="16"/>
                <w:lang w:eastAsia="de-DE"/>
              </w:rPr>
              <w:t>Common furniture beetle</w:t>
            </w:r>
          </w:p>
        </w:tc>
        <w:tc>
          <w:tcPr>
            <w:tcW w:w="521" w:type="pct"/>
          </w:tcPr>
          <w:p w14:paraId="1CB8FD7C" w14:textId="77777777" w:rsidR="003012CB" w:rsidRPr="00EC1787" w:rsidRDefault="003012CB" w:rsidP="00853BF6">
            <w:pPr>
              <w:rPr>
                <w:color w:val="000000"/>
                <w:sz w:val="16"/>
                <w:szCs w:val="16"/>
                <w:lang w:eastAsia="de-DE"/>
              </w:rPr>
            </w:pPr>
            <w:r w:rsidRPr="00EC1787">
              <w:rPr>
                <w:color w:val="000000"/>
                <w:sz w:val="16"/>
                <w:szCs w:val="16"/>
                <w:lang w:eastAsia="de-DE"/>
              </w:rPr>
              <w:t>EN 49 + EN 73</w:t>
            </w:r>
          </w:p>
          <w:p w14:paraId="7FE130C5" w14:textId="77777777" w:rsidR="003012CB" w:rsidRPr="00EC1787" w:rsidRDefault="003012CB" w:rsidP="00853BF6">
            <w:pPr>
              <w:rPr>
                <w:color w:val="000000"/>
                <w:sz w:val="16"/>
                <w:szCs w:val="16"/>
                <w:lang w:eastAsia="de-DE"/>
              </w:rPr>
            </w:pPr>
            <w:r w:rsidRPr="00EC1787">
              <w:rPr>
                <w:color w:val="000000"/>
                <w:sz w:val="16"/>
                <w:szCs w:val="16"/>
                <w:lang w:eastAsia="de-DE"/>
              </w:rPr>
              <w:t>(evaporation)</w:t>
            </w:r>
          </w:p>
        </w:tc>
        <w:tc>
          <w:tcPr>
            <w:tcW w:w="962" w:type="pct"/>
          </w:tcPr>
          <w:p w14:paraId="7D18F4A4"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416E3A2E" w14:textId="77777777" w:rsidR="003012CB" w:rsidRPr="00EC1787" w:rsidRDefault="003012CB" w:rsidP="00853BF6">
            <w:pPr>
              <w:rPr>
                <w:color w:val="000000"/>
                <w:sz w:val="16"/>
                <w:szCs w:val="16"/>
                <w:lang w:eastAsia="de-DE"/>
              </w:rPr>
            </w:pPr>
            <w:r w:rsidRPr="00EC1787">
              <w:rPr>
                <w:color w:val="000000"/>
                <w:sz w:val="16"/>
                <w:szCs w:val="16"/>
                <w:lang w:eastAsia="de-DE"/>
              </w:rPr>
              <w:t>The quantity really applied on each test block varied between 19</w:t>
            </w:r>
            <w:r>
              <w:rPr>
                <w:color w:val="000000"/>
                <w:sz w:val="16"/>
                <w:szCs w:val="16"/>
                <w:lang w:eastAsia="de-DE"/>
              </w:rPr>
              <w:t>9</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and </w:t>
            </w:r>
            <w:r>
              <w:rPr>
                <w:color w:val="000000"/>
                <w:sz w:val="16"/>
                <w:szCs w:val="16"/>
                <w:lang w:eastAsia="de-DE"/>
              </w:rPr>
              <w:t>201.7</w:t>
            </w:r>
            <w:r w:rsidRPr="00EC1787">
              <w:rPr>
                <w:color w:val="000000"/>
                <w:sz w:val="16"/>
                <w:szCs w:val="16"/>
                <w:lang w:eastAsia="de-DE"/>
              </w:rPr>
              <w:t xml:space="preserve"> g/m² (mean </w:t>
            </w:r>
            <w:r>
              <w:rPr>
                <w:color w:val="000000"/>
                <w:sz w:val="16"/>
                <w:szCs w:val="16"/>
                <w:lang w:eastAsia="de-DE"/>
              </w:rPr>
              <w:t>200.3</w:t>
            </w:r>
            <w:r w:rsidRPr="00EC1787">
              <w:rPr>
                <w:color w:val="000000"/>
                <w:sz w:val="16"/>
                <w:szCs w:val="16"/>
                <w:lang w:eastAsia="de-DE"/>
              </w:rPr>
              <w:t xml:space="preserve"> g/m²).</w:t>
            </w:r>
          </w:p>
          <w:p w14:paraId="3CBAC144"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5 replicates for the treated block and for the control are performed.</w:t>
            </w:r>
          </w:p>
          <w:p w14:paraId="63951D46"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efficacy of the product is based on the comparison of egg laying, eggs emergence and mortality larvae between control blocks and treated blocks.</w:t>
            </w:r>
          </w:p>
          <w:p w14:paraId="6A9102E2" w14:textId="77777777" w:rsidR="003012CB" w:rsidRPr="00EC1787" w:rsidRDefault="003012CB" w:rsidP="00853BF6">
            <w:pPr>
              <w:rPr>
                <w:color w:val="000000"/>
                <w:sz w:val="16"/>
                <w:szCs w:val="16"/>
                <w:lang w:eastAsia="de-DE"/>
              </w:rPr>
            </w:pPr>
            <w:r w:rsidRPr="00EC1787">
              <w:rPr>
                <w:color w:val="000000"/>
                <w:sz w:val="16"/>
                <w:szCs w:val="16"/>
                <w:lang w:val="en-US" w:eastAsia="de-DE"/>
              </w:rPr>
              <w:t>The method for recording / scoring effects is the count of eggs laid, eggs hatched and alive larvae found.</w:t>
            </w:r>
          </w:p>
        </w:tc>
        <w:tc>
          <w:tcPr>
            <w:tcW w:w="867" w:type="pct"/>
          </w:tcPr>
          <w:p w14:paraId="58288CFD" w14:textId="1B2EA90C" w:rsidR="003012CB" w:rsidRDefault="003012CB" w:rsidP="00853BF6">
            <w:pPr>
              <w:rPr>
                <w:color w:val="000000"/>
                <w:sz w:val="16"/>
                <w:szCs w:val="16"/>
                <w:lang w:eastAsia="de-DE"/>
              </w:rPr>
            </w:pPr>
            <w:r w:rsidRPr="00EC1787">
              <w:rPr>
                <w:color w:val="000000"/>
                <w:sz w:val="16"/>
                <w:szCs w:val="16"/>
                <w:lang w:eastAsia="de-DE"/>
              </w:rPr>
              <w:t>The study is validated as more than 50 alive larvae in total are found in the control and as alive larvae are found in each control block</w:t>
            </w:r>
            <w:r w:rsidR="00A6536D">
              <w:rPr>
                <w:color w:val="000000"/>
                <w:sz w:val="16"/>
                <w:szCs w:val="16"/>
                <w:lang w:eastAsia="de-DE"/>
              </w:rPr>
              <w:t>.</w:t>
            </w:r>
          </w:p>
          <w:p w14:paraId="681801E8" w14:textId="572CB581" w:rsidR="00A6536D" w:rsidRPr="00EC1787" w:rsidRDefault="00A6536D" w:rsidP="00853BF6">
            <w:pPr>
              <w:rPr>
                <w:color w:val="000000"/>
                <w:sz w:val="16"/>
                <w:szCs w:val="16"/>
                <w:lang w:eastAsia="de-DE"/>
              </w:rPr>
            </w:pPr>
            <w:r>
              <w:rPr>
                <w:color w:val="000000"/>
                <w:sz w:val="16"/>
                <w:szCs w:val="16"/>
                <w:lang w:eastAsia="de-DE"/>
              </w:rPr>
              <w:t xml:space="preserve">On the treated block, </w:t>
            </w:r>
            <w:r w:rsidR="001C233C">
              <w:rPr>
                <w:color w:val="000000"/>
                <w:sz w:val="16"/>
                <w:szCs w:val="16"/>
                <w:lang w:eastAsia="de-DE"/>
              </w:rPr>
              <w:t>100% of mort</w:t>
            </w:r>
            <w:r w:rsidR="009D0DE0">
              <w:rPr>
                <w:color w:val="000000"/>
                <w:sz w:val="16"/>
                <w:szCs w:val="16"/>
                <w:lang w:eastAsia="de-DE"/>
              </w:rPr>
              <w:t>a</w:t>
            </w:r>
            <w:r w:rsidR="001C233C">
              <w:rPr>
                <w:color w:val="000000"/>
                <w:sz w:val="16"/>
                <w:szCs w:val="16"/>
                <w:lang w:eastAsia="de-DE"/>
              </w:rPr>
              <w:t>lity is observed</w:t>
            </w:r>
          </w:p>
          <w:p w14:paraId="26B5AD8A" w14:textId="77777777" w:rsidR="003012CB" w:rsidRPr="00EC1787" w:rsidRDefault="003012CB" w:rsidP="00853BF6">
            <w:pPr>
              <w:rPr>
                <w:color w:val="000000"/>
                <w:sz w:val="16"/>
                <w:szCs w:val="16"/>
                <w:lang w:eastAsia="de-DE"/>
              </w:rPr>
            </w:pPr>
            <w:r w:rsidRPr="00EC1787">
              <w:rPr>
                <w:b/>
                <w:color w:val="000000"/>
                <w:sz w:val="16"/>
                <w:szCs w:val="16"/>
                <w:lang w:eastAsia="de-DE"/>
              </w:rPr>
              <w:t>This study demonstrated the efficacy of the product at 200</w:t>
            </w:r>
            <w:r>
              <w:rPr>
                <w:b/>
                <w:color w:val="000000"/>
                <w:sz w:val="16"/>
                <w:szCs w:val="16"/>
                <w:lang w:eastAsia="de-DE"/>
              </w:rPr>
              <w:t>.3</w:t>
            </w:r>
            <w:r w:rsidRPr="00EC1787">
              <w:rPr>
                <w:b/>
                <w:color w:val="000000"/>
                <w:sz w:val="16"/>
                <w:szCs w:val="16"/>
                <w:lang w:eastAsia="de-DE"/>
              </w:rPr>
              <w:t xml:space="preserve"> g of product</w:t>
            </w:r>
            <w:r>
              <w:rPr>
                <w:b/>
                <w:color w:val="000000"/>
                <w:sz w:val="16"/>
                <w:szCs w:val="16"/>
                <w:lang w:eastAsia="de-DE"/>
              </w:rPr>
              <w:t xml:space="preserve"> X6122B1</w:t>
            </w:r>
            <w:r w:rsidRPr="00EC1787">
              <w:rPr>
                <w:b/>
                <w:color w:val="000000"/>
                <w:sz w:val="16"/>
                <w:szCs w:val="16"/>
                <w:lang w:eastAsia="de-DE"/>
              </w:rPr>
              <w:t xml:space="preserve"> / m² of wood against </w:t>
            </w:r>
            <w:r w:rsidRPr="00EC1787">
              <w:rPr>
                <w:b/>
                <w:i/>
                <w:color w:val="000000"/>
                <w:sz w:val="16"/>
                <w:szCs w:val="16"/>
                <w:lang w:eastAsia="de-DE"/>
              </w:rPr>
              <w:t>Anobium punctatum</w:t>
            </w:r>
          </w:p>
        </w:tc>
        <w:tc>
          <w:tcPr>
            <w:tcW w:w="565" w:type="pct"/>
          </w:tcPr>
          <w:p w14:paraId="22CF42A1"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Brunet C.and Paulmier I., 201</w:t>
            </w:r>
            <w:r>
              <w:rPr>
                <w:color w:val="000000"/>
                <w:sz w:val="16"/>
                <w:szCs w:val="16"/>
                <w:lang w:val="fr-FR" w:eastAsia="de-DE"/>
              </w:rPr>
              <w:t>7</w:t>
            </w:r>
          </w:p>
          <w:p w14:paraId="043BD683" w14:textId="77777777" w:rsidR="003012CB" w:rsidRPr="00EC1787" w:rsidRDefault="003012CB" w:rsidP="00853BF6">
            <w:pPr>
              <w:rPr>
                <w:color w:val="000000"/>
                <w:sz w:val="16"/>
                <w:szCs w:val="16"/>
                <w:lang w:val="fr-FR" w:eastAsia="de-DE"/>
              </w:rPr>
            </w:pPr>
            <w:r>
              <w:rPr>
                <w:color w:val="000000"/>
                <w:sz w:val="16"/>
                <w:szCs w:val="16"/>
                <w:lang w:val="fr-FR" w:eastAsia="de-DE"/>
              </w:rPr>
              <w:t>S6.7_07</w:t>
            </w:r>
          </w:p>
          <w:p w14:paraId="06A0FFAA"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401/14/</w:t>
            </w:r>
            <w:r>
              <w:rPr>
                <w:color w:val="000000"/>
                <w:sz w:val="16"/>
                <w:szCs w:val="16"/>
                <w:lang w:val="fr-FR" w:eastAsia="de-DE"/>
              </w:rPr>
              <w:t>136</w:t>
            </w:r>
            <w:r w:rsidRPr="00EC1787">
              <w:rPr>
                <w:color w:val="000000"/>
                <w:sz w:val="16"/>
                <w:szCs w:val="16"/>
                <w:lang w:val="fr-FR" w:eastAsia="de-DE"/>
              </w:rPr>
              <w:t>F/</w:t>
            </w:r>
            <w:proofErr w:type="gramStart"/>
            <w:r w:rsidRPr="00EC1787">
              <w:rPr>
                <w:color w:val="000000"/>
                <w:sz w:val="16"/>
                <w:szCs w:val="16"/>
                <w:lang w:val="fr-FR" w:eastAsia="de-DE"/>
              </w:rPr>
              <w:t>a</w:t>
            </w:r>
            <w:r>
              <w:rPr>
                <w:color w:val="000000"/>
                <w:sz w:val="16"/>
                <w:szCs w:val="16"/>
                <w:lang w:val="fr-FR" w:eastAsia="de-DE"/>
              </w:rPr>
              <w:t>,b</w:t>
            </w:r>
            <w:proofErr w:type="gramEnd"/>
            <w:r>
              <w:rPr>
                <w:color w:val="000000"/>
                <w:sz w:val="16"/>
                <w:szCs w:val="16"/>
                <w:lang w:val="fr-FR" w:eastAsia="de-DE"/>
              </w:rPr>
              <w:t>,e</w:t>
            </w:r>
          </w:p>
          <w:p w14:paraId="697CC657" w14:textId="77777777" w:rsidR="003012CB" w:rsidRPr="00EC1787" w:rsidRDefault="003012CB" w:rsidP="00853BF6">
            <w:pPr>
              <w:rPr>
                <w:color w:val="000000"/>
                <w:sz w:val="16"/>
                <w:szCs w:val="16"/>
                <w:lang w:val="fr-FR" w:eastAsia="de-DE"/>
              </w:rPr>
            </w:pPr>
          </w:p>
          <w:p w14:paraId="72D1F089" w14:textId="77777777" w:rsidR="003012CB" w:rsidRPr="00EC1787" w:rsidRDefault="003012CB" w:rsidP="00853BF6">
            <w:pPr>
              <w:rPr>
                <w:color w:val="000000"/>
                <w:sz w:val="16"/>
                <w:szCs w:val="16"/>
                <w:lang w:val="en-US" w:eastAsia="de-DE"/>
              </w:rPr>
            </w:pPr>
            <w:r w:rsidRPr="00EC1787">
              <w:rPr>
                <w:color w:val="000000"/>
                <w:sz w:val="16"/>
                <w:szCs w:val="16"/>
                <w:lang w:val="fr-FR" w:eastAsia="de-DE"/>
              </w:rPr>
              <w:t>IC1</w:t>
            </w:r>
          </w:p>
        </w:tc>
      </w:tr>
      <w:tr w:rsidR="003012CB" w:rsidRPr="00B20360" w14:paraId="45C4FA8F" w14:textId="77777777" w:rsidTr="0021636F">
        <w:tc>
          <w:tcPr>
            <w:tcW w:w="430" w:type="pct"/>
          </w:tcPr>
          <w:p w14:paraId="2666D215" w14:textId="77777777" w:rsidR="003012CB" w:rsidRPr="00EC1787" w:rsidRDefault="003012CB" w:rsidP="00853BF6">
            <w:pPr>
              <w:rPr>
                <w:rFonts w:ascii="Arial" w:hAnsi="Arial" w:cs="Arial"/>
                <w:sz w:val="16"/>
                <w:szCs w:val="16"/>
              </w:rPr>
            </w:pPr>
            <w:r w:rsidRPr="00EC1787">
              <w:rPr>
                <w:rFonts w:ascii="Arial" w:hAnsi="Arial" w:cs="Arial"/>
                <w:sz w:val="16"/>
                <w:szCs w:val="16"/>
              </w:rPr>
              <w:t>MG 02: preservatives</w:t>
            </w:r>
          </w:p>
        </w:tc>
        <w:tc>
          <w:tcPr>
            <w:tcW w:w="650" w:type="pct"/>
          </w:tcPr>
          <w:p w14:paraId="519646EB"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0D2B96AB"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5C3FC3CF" w14:textId="77777777" w:rsidR="003012CB" w:rsidRPr="00B20360" w:rsidRDefault="003012CB" w:rsidP="00853BF6">
            <w:pPr>
              <w:rPr>
                <w:color w:val="000000"/>
                <w:sz w:val="16"/>
                <w:szCs w:val="16"/>
                <w:lang w:eastAsia="de-DE"/>
              </w:rPr>
            </w:pPr>
            <w:r w:rsidRPr="00B20360">
              <w:rPr>
                <w:color w:val="000000"/>
                <w:sz w:val="16"/>
                <w:szCs w:val="16"/>
                <w:lang w:eastAsia="de-DE"/>
              </w:rPr>
              <w:t>X6122B1</w:t>
            </w:r>
          </w:p>
          <w:p w14:paraId="1547C40E" w14:textId="77777777" w:rsidR="003012CB" w:rsidRPr="00B20360" w:rsidRDefault="003012CB" w:rsidP="00853BF6">
            <w:pPr>
              <w:rPr>
                <w:color w:val="000000"/>
                <w:sz w:val="16"/>
                <w:szCs w:val="16"/>
                <w:lang w:eastAsia="de-DE"/>
              </w:rPr>
            </w:pPr>
            <w:r w:rsidRPr="00B20360">
              <w:rPr>
                <w:color w:val="000000"/>
                <w:sz w:val="16"/>
                <w:szCs w:val="16"/>
                <w:lang w:eastAsia="de-DE"/>
              </w:rPr>
              <w:t>batch 1405900037</w:t>
            </w:r>
          </w:p>
        </w:tc>
        <w:tc>
          <w:tcPr>
            <w:tcW w:w="470" w:type="pct"/>
          </w:tcPr>
          <w:p w14:paraId="7D38F71E" w14:textId="77777777" w:rsidR="003012CB" w:rsidRPr="00EC1787" w:rsidRDefault="003012CB" w:rsidP="00853BF6">
            <w:pPr>
              <w:rPr>
                <w:color w:val="000000"/>
                <w:sz w:val="16"/>
                <w:szCs w:val="16"/>
                <w:lang w:eastAsia="de-DE"/>
              </w:rPr>
            </w:pPr>
            <w:r w:rsidRPr="00EC1787">
              <w:rPr>
                <w:color w:val="000000"/>
                <w:sz w:val="16"/>
                <w:szCs w:val="16"/>
                <w:lang w:eastAsia="de-DE"/>
              </w:rPr>
              <w:t>Common furniture beetle</w:t>
            </w:r>
          </w:p>
        </w:tc>
        <w:tc>
          <w:tcPr>
            <w:tcW w:w="521" w:type="pct"/>
          </w:tcPr>
          <w:p w14:paraId="0D6D3648" w14:textId="77777777" w:rsidR="003012CB" w:rsidRPr="00EC1787" w:rsidRDefault="003012CB" w:rsidP="00853BF6">
            <w:pPr>
              <w:rPr>
                <w:color w:val="000000"/>
                <w:sz w:val="16"/>
                <w:szCs w:val="16"/>
                <w:lang w:eastAsia="de-DE"/>
              </w:rPr>
            </w:pPr>
            <w:r w:rsidRPr="00EC1787">
              <w:rPr>
                <w:color w:val="000000"/>
                <w:sz w:val="16"/>
                <w:szCs w:val="16"/>
                <w:lang w:eastAsia="de-DE"/>
              </w:rPr>
              <w:t>EN 49 + EN 84</w:t>
            </w:r>
          </w:p>
          <w:p w14:paraId="31C82FB7" w14:textId="77777777" w:rsidR="003012CB" w:rsidRPr="00EC1787" w:rsidRDefault="003012CB" w:rsidP="00853BF6">
            <w:pPr>
              <w:rPr>
                <w:color w:val="000000"/>
                <w:sz w:val="16"/>
                <w:szCs w:val="16"/>
                <w:lang w:eastAsia="de-DE"/>
              </w:rPr>
            </w:pPr>
            <w:r w:rsidRPr="00EC1787">
              <w:rPr>
                <w:color w:val="000000"/>
                <w:sz w:val="16"/>
                <w:szCs w:val="16"/>
                <w:lang w:eastAsia="de-DE"/>
              </w:rPr>
              <w:t>(leaching</w:t>
            </w:r>
            <w:r>
              <w:rPr>
                <w:color w:val="000000"/>
                <w:sz w:val="16"/>
                <w:szCs w:val="16"/>
                <w:lang w:eastAsia="de-DE"/>
              </w:rPr>
              <w:t>)</w:t>
            </w:r>
          </w:p>
        </w:tc>
        <w:tc>
          <w:tcPr>
            <w:tcW w:w="962" w:type="pct"/>
          </w:tcPr>
          <w:p w14:paraId="67DB44DD"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ready to use product 06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 xml:space="preserve">Pinus </w:t>
            </w:r>
            <w:r w:rsidRPr="00EC1787">
              <w:rPr>
                <w:i/>
                <w:color w:val="000000"/>
                <w:sz w:val="16"/>
                <w:szCs w:val="16"/>
                <w:lang w:eastAsia="de-DE"/>
              </w:rPr>
              <w:lastRenderedPageBreak/>
              <w:t>sylvaticus</w:t>
            </w:r>
            <w:r w:rsidRPr="00EC1787">
              <w:rPr>
                <w:color w:val="000000"/>
                <w:sz w:val="16"/>
                <w:szCs w:val="16"/>
                <w:lang w:eastAsia="de-DE"/>
              </w:rPr>
              <w:t>) and followed by an artificial weathering according to the EN 84 standard method (leaching).</w:t>
            </w:r>
          </w:p>
          <w:p w14:paraId="61EDB3C4" w14:textId="77777777" w:rsidR="003012CB" w:rsidRPr="00EC1787" w:rsidRDefault="003012CB" w:rsidP="00853BF6">
            <w:pPr>
              <w:rPr>
                <w:color w:val="000000"/>
                <w:sz w:val="16"/>
                <w:szCs w:val="16"/>
                <w:lang w:eastAsia="de-DE"/>
              </w:rPr>
            </w:pPr>
            <w:r w:rsidRPr="00EC1787">
              <w:rPr>
                <w:color w:val="000000"/>
                <w:sz w:val="16"/>
                <w:szCs w:val="16"/>
                <w:lang w:eastAsia="de-DE"/>
              </w:rPr>
              <w:t>The quantity really applied on each test block varied between 198.</w:t>
            </w:r>
            <w:r>
              <w:rPr>
                <w:color w:val="000000"/>
                <w:sz w:val="16"/>
                <w:szCs w:val="16"/>
                <w:lang w:eastAsia="de-DE"/>
              </w:rPr>
              <w:t>9</w:t>
            </w:r>
            <w:r w:rsidRPr="00EC1787">
              <w:rPr>
                <w:color w:val="000000"/>
                <w:sz w:val="16"/>
                <w:szCs w:val="16"/>
                <w:lang w:eastAsia="de-DE"/>
              </w:rPr>
              <w:t xml:space="preserve"> g/m² and 20</w:t>
            </w:r>
            <w:r>
              <w:rPr>
                <w:color w:val="000000"/>
                <w:sz w:val="16"/>
                <w:szCs w:val="16"/>
                <w:lang w:eastAsia="de-DE"/>
              </w:rPr>
              <w:t>1</w:t>
            </w:r>
            <w:r w:rsidRPr="00EC1787">
              <w:rPr>
                <w:color w:val="000000"/>
                <w:sz w:val="16"/>
                <w:szCs w:val="16"/>
                <w:lang w:eastAsia="de-DE"/>
              </w:rPr>
              <w:t xml:space="preserve">.2 g/m² (mean </w:t>
            </w:r>
            <w:r>
              <w:rPr>
                <w:color w:val="000000"/>
                <w:sz w:val="16"/>
                <w:szCs w:val="16"/>
                <w:lang w:eastAsia="de-DE"/>
              </w:rPr>
              <w:t>200</w:t>
            </w:r>
            <w:r w:rsidRPr="00EC1787">
              <w:rPr>
                <w:color w:val="000000"/>
                <w:sz w:val="16"/>
                <w:szCs w:val="16"/>
                <w:lang w:eastAsia="de-DE"/>
              </w:rPr>
              <w:t xml:space="preserve"> g/m²).</w:t>
            </w:r>
          </w:p>
          <w:p w14:paraId="77164C1A"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5 replicates for the treated block and for the control are performed.</w:t>
            </w:r>
          </w:p>
          <w:p w14:paraId="2D7282D9"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efficacy of the product is based on the comparison of egg laying, eggs emergence and mortality larvae between control blocks and treated blocks.</w:t>
            </w:r>
          </w:p>
          <w:p w14:paraId="1D128CFC" w14:textId="77777777" w:rsidR="003012CB" w:rsidRPr="00EC1787" w:rsidRDefault="003012CB" w:rsidP="00853BF6">
            <w:pPr>
              <w:rPr>
                <w:color w:val="000000"/>
                <w:sz w:val="16"/>
                <w:szCs w:val="16"/>
                <w:lang w:eastAsia="de-DE"/>
              </w:rPr>
            </w:pPr>
            <w:r w:rsidRPr="00EC1787">
              <w:rPr>
                <w:color w:val="000000"/>
                <w:sz w:val="16"/>
                <w:szCs w:val="16"/>
                <w:lang w:val="en-US" w:eastAsia="de-DE"/>
              </w:rPr>
              <w:t>The method for recording / scoring effects is the count of eggs laid, eggs hatched and alive larvae found.</w:t>
            </w:r>
          </w:p>
        </w:tc>
        <w:tc>
          <w:tcPr>
            <w:tcW w:w="867" w:type="pct"/>
          </w:tcPr>
          <w:p w14:paraId="6BB76454" w14:textId="0B8111E9" w:rsidR="003012CB" w:rsidRDefault="003012CB" w:rsidP="00853BF6">
            <w:pPr>
              <w:rPr>
                <w:color w:val="000000"/>
                <w:sz w:val="16"/>
                <w:szCs w:val="16"/>
                <w:lang w:eastAsia="de-DE"/>
              </w:rPr>
            </w:pPr>
            <w:r w:rsidRPr="00EC1787">
              <w:rPr>
                <w:color w:val="000000"/>
                <w:sz w:val="16"/>
                <w:szCs w:val="16"/>
                <w:lang w:eastAsia="de-DE"/>
              </w:rPr>
              <w:lastRenderedPageBreak/>
              <w:t xml:space="preserve">The study is validated as more than 50 alive larvae in total are found in the control and as </w:t>
            </w:r>
            <w:r w:rsidRPr="00EC1787">
              <w:rPr>
                <w:color w:val="000000"/>
                <w:sz w:val="16"/>
                <w:szCs w:val="16"/>
                <w:lang w:eastAsia="de-DE"/>
              </w:rPr>
              <w:lastRenderedPageBreak/>
              <w:t>alive larvae are found in each control block</w:t>
            </w:r>
          </w:p>
          <w:p w14:paraId="55DC7BE4" w14:textId="77777777" w:rsidR="00656C1A" w:rsidRPr="00EC1787" w:rsidRDefault="00656C1A" w:rsidP="00656C1A">
            <w:pPr>
              <w:rPr>
                <w:color w:val="000000"/>
                <w:sz w:val="16"/>
                <w:szCs w:val="16"/>
                <w:lang w:eastAsia="de-DE"/>
              </w:rPr>
            </w:pPr>
            <w:r>
              <w:rPr>
                <w:color w:val="000000"/>
                <w:sz w:val="16"/>
                <w:szCs w:val="16"/>
                <w:lang w:eastAsia="de-DE"/>
              </w:rPr>
              <w:t>On the treated block, 100% of moratility is observed</w:t>
            </w:r>
          </w:p>
          <w:p w14:paraId="7198D8FB" w14:textId="77777777" w:rsidR="00656C1A" w:rsidRPr="00EC1787" w:rsidRDefault="00656C1A" w:rsidP="00853BF6">
            <w:pPr>
              <w:rPr>
                <w:color w:val="000000"/>
                <w:sz w:val="16"/>
                <w:szCs w:val="16"/>
                <w:lang w:eastAsia="de-DE"/>
              </w:rPr>
            </w:pPr>
          </w:p>
          <w:p w14:paraId="7590E0F9" w14:textId="77777777" w:rsidR="003012CB" w:rsidRPr="00EC1787" w:rsidRDefault="003012CB" w:rsidP="00853BF6">
            <w:pPr>
              <w:rPr>
                <w:color w:val="000000"/>
                <w:sz w:val="16"/>
                <w:szCs w:val="16"/>
                <w:lang w:eastAsia="de-DE"/>
              </w:rPr>
            </w:pPr>
            <w:r w:rsidRPr="00EC1787">
              <w:rPr>
                <w:b/>
                <w:color w:val="000000"/>
                <w:sz w:val="16"/>
                <w:szCs w:val="16"/>
                <w:lang w:eastAsia="de-DE"/>
              </w:rPr>
              <w:t>This study demonstrated the efficacy of the product</w:t>
            </w:r>
            <w:r>
              <w:rPr>
                <w:b/>
                <w:color w:val="000000"/>
                <w:sz w:val="16"/>
                <w:szCs w:val="16"/>
                <w:lang w:eastAsia="de-DE"/>
              </w:rPr>
              <w:t xml:space="preserve"> </w:t>
            </w:r>
            <w:r w:rsidRPr="00EC1787">
              <w:rPr>
                <w:b/>
                <w:color w:val="000000"/>
                <w:sz w:val="16"/>
                <w:szCs w:val="16"/>
                <w:lang w:eastAsia="de-DE"/>
              </w:rPr>
              <w:t xml:space="preserve">at 200 g of product </w:t>
            </w:r>
            <w:r>
              <w:rPr>
                <w:b/>
                <w:color w:val="000000"/>
                <w:sz w:val="16"/>
                <w:szCs w:val="16"/>
                <w:lang w:eastAsia="de-DE"/>
              </w:rPr>
              <w:t xml:space="preserve">X6122B1 </w:t>
            </w:r>
            <w:r w:rsidRPr="00EC1787">
              <w:rPr>
                <w:b/>
                <w:color w:val="000000"/>
                <w:sz w:val="16"/>
                <w:szCs w:val="16"/>
                <w:lang w:eastAsia="de-DE"/>
              </w:rPr>
              <w:t xml:space="preserve">/ m² of wood against </w:t>
            </w:r>
            <w:r w:rsidRPr="00EC1787">
              <w:rPr>
                <w:b/>
                <w:i/>
                <w:color w:val="000000"/>
                <w:sz w:val="16"/>
                <w:szCs w:val="16"/>
                <w:lang w:eastAsia="de-DE"/>
              </w:rPr>
              <w:t>Anobium punctatum</w:t>
            </w:r>
          </w:p>
        </w:tc>
        <w:tc>
          <w:tcPr>
            <w:tcW w:w="565" w:type="pct"/>
          </w:tcPr>
          <w:p w14:paraId="5213B767"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lastRenderedPageBreak/>
              <w:t>Brunet C.and Paulmier I., 201</w:t>
            </w:r>
            <w:r>
              <w:rPr>
                <w:color w:val="000000"/>
                <w:sz w:val="16"/>
                <w:szCs w:val="16"/>
                <w:lang w:val="fr-FR" w:eastAsia="de-DE"/>
              </w:rPr>
              <w:t>7</w:t>
            </w:r>
          </w:p>
          <w:p w14:paraId="596FC980" w14:textId="77777777" w:rsidR="003012CB" w:rsidRPr="00EC1787" w:rsidRDefault="003012CB" w:rsidP="00853BF6">
            <w:pPr>
              <w:rPr>
                <w:color w:val="000000"/>
                <w:sz w:val="16"/>
                <w:szCs w:val="16"/>
                <w:lang w:val="fr-FR" w:eastAsia="de-DE"/>
              </w:rPr>
            </w:pPr>
            <w:r>
              <w:rPr>
                <w:color w:val="000000"/>
                <w:sz w:val="16"/>
                <w:szCs w:val="16"/>
                <w:lang w:val="fr-FR" w:eastAsia="de-DE"/>
              </w:rPr>
              <w:t>S6.7_08</w:t>
            </w:r>
          </w:p>
          <w:p w14:paraId="30922099"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lastRenderedPageBreak/>
              <w:t>401/14/</w:t>
            </w:r>
            <w:r>
              <w:rPr>
                <w:color w:val="000000"/>
                <w:sz w:val="16"/>
                <w:szCs w:val="16"/>
                <w:lang w:val="fr-FR" w:eastAsia="de-DE"/>
              </w:rPr>
              <w:t>136</w:t>
            </w:r>
            <w:r w:rsidRPr="00EC1787">
              <w:rPr>
                <w:color w:val="000000"/>
                <w:sz w:val="16"/>
                <w:szCs w:val="16"/>
                <w:lang w:val="fr-FR" w:eastAsia="de-DE"/>
              </w:rPr>
              <w:t>F/</w:t>
            </w:r>
            <w:proofErr w:type="gramStart"/>
            <w:r w:rsidRPr="00EC1787">
              <w:rPr>
                <w:color w:val="000000"/>
                <w:sz w:val="16"/>
                <w:szCs w:val="16"/>
                <w:lang w:val="fr-FR" w:eastAsia="de-DE"/>
              </w:rPr>
              <w:t>a</w:t>
            </w:r>
            <w:r>
              <w:rPr>
                <w:color w:val="000000"/>
                <w:sz w:val="16"/>
                <w:szCs w:val="16"/>
                <w:lang w:val="fr-FR" w:eastAsia="de-DE"/>
              </w:rPr>
              <w:t>,b</w:t>
            </w:r>
            <w:proofErr w:type="gramEnd"/>
            <w:r>
              <w:rPr>
                <w:color w:val="000000"/>
                <w:sz w:val="16"/>
                <w:szCs w:val="16"/>
                <w:lang w:val="fr-FR" w:eastAsia="de-DE"/>
              </w:rPr>
              <w:t>,e</w:t>
            </w:r>
          </w:p>
          <w:p w14:paraId="70F9530A" w14:textId="77777777" w:rsidR="003012CB" w:rsidRPr="00EC1787" w:rsidRDefault="003012CB" w:rsidP="00853BF6">
            <w:pPr>
              <w:rPr>
                <w:color w:val="000000"/>
                <w:sz w:val="16"/>
                <w:szCs w:val="16"/>
                <w:lang w:val="fr-FR" w:eastAsia="de-DE"/>
              </w:rPr>
            </w:pPr>
          </w:p>
          <w:p w14:paraId="27F38F16" w14:textId="77777777" w:rsidR="003012CB" w:rsidRPr="00EC1787" w:rsidRDefault="003012CB" w:rsidP="00853BF6">
            <w:pPr>
              <w:rPr>
                <w:color w:val="000000"/>
                <w:sz w:val="16"/>
                <w:szCs w:val="16"/>
                <w:lang w:val="en-US" w:eastAsia="de-DE"/>
              </w:rPr>
            </w:pPr>
            <w:r w:rsidRPr="00EC1787">
              <w:rPr>
                <w:color w:val="000000"/>
                <w:sz w:val="16"/>
                <w:szCs w:val="16"/>
                <w:lang w:val="fr-FR" w:eastAsia="de-DE"/>
              </w:rPr>
              <w:t>IC1</w:t>
            </w:r>
          </w:p>
        </w:tc>
      </w:tr>
      <w:tr w:rsidR="003012CB" w:rsidRPr="00B20360" w14:paraId="3286C7F6" w14:textId="77777777" w:rsidTr="0021636F">
        <w:trPr>
          <w:trHeight w:val="4880"/>
        </w:trPr>
        <w:tc>
          <w:tcPr>
            <w:tcW w:w="430" w:type="pct"/>
          </w:tcPr>
          <w:p w14:paraId="30CD294D" w14:textId="77777777" w:rsidR="003012CB" w:rsidRPr="00EC1787" w:rsidRDefault="003012CB" w:rsidP="00853BF6">
            <w:pPr>
              <w:rPr>
                <w:color w:val="000000"/>
                <w:sz w:val="16"/>
                <w:szCs w:val="16"/>
                <w:lang w:eastAsia="de-DE"/>
              </w:rPr>
            </w:pPr>
            <w:r w:rsidRPr="00EC1787">
              <w:rPr>
                <w:rFonts w:ascii="Arial" w:hAnsi="Arial" w:cs="Arial"/>
                <w:sz w:val="16"/>
                <w:szCs w:val="16"/>
              </w:rPr>
              <w:lastRenderedPageBreak/>
              <w:t>MG 02: preservatives</w:t>
            </w:r>
          </w:p>
        </w:tc>
        <w:tc>
          <w:tcPr>
            <w:tcW w:w="650" w:type="pct"/>
          </w:tcPr>
          <w:p w14:paraId="49B63149"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6D8D8DD7"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6A876684" w14:textId="77777777" w:rsidR="003012CB" w:rsidRPr="00B20360" w:rsidRDefault="003012CB" w:rsidP="00853BF6">
            <w:pPr>
              <w:rPr>
                <w:color w:val="000000"/>
                <w:sz w:val="16"/>
                <w:szCs w:val="16"/>
                <w:lang w:eastAsia="de-DE"/>
              </w:rPr>
            </w:pPr>
            <w:r w:rsidRPr="00B20360">
              <w:rPr>
                <w:color w:val="000000"/>
                <w:sz w:val="16"/>
                <w:szCs w:val="16"/>
                <w:lang w:eastAsia="de-DE"/>
              </w:rPr>
              <w:t>X6122B1</w:t>
            </w:r>
          </w:p>
          <w:p w14:paraId="6774C811" w14:textId="77777777" w:rsidR="003012CB" w:rsidRPr="00B20360" w:rsidRDefault="003012CB" w:rsidP="00853BF6">
            <w:pPr>
              <w:rPr>
                <w:color w:val="000000"/>
                <w:sz w:val="16"/>
                <w:szCs w:val="16"/>
                <w:lang w:eastAsia="de-DE"/>
              </w:rPr>
            </w:pPr>
            <w:r w:rsidRPr="00B20360">
              <w:rPr>
                <w:color w:val="000000"/>
                <w:sz w:val="16"/>
                <w:szCs w:val="16"/>
                <w:lang w:eastAsia="de-DE"/>
              </w:rPr>
              <w:t>batch 1405900037</w:t>
            </w:r>
          </w:p>
        </w:tc>
        <w:tc>
          <w:tcPr>
            <w:tcW w:w="470" w:type="pct"/>
          </w:tcPr>
          <w:p w14:paraId="062C2685"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Powder post beetle: </w:t>
            </w:r>
            <w:r w:rsidRPr="00EC1787">
              <w:rPr>
                <w:i/>
                <w:color w:val="000000"/>
                <w:sz w:val="16"/>
                <w:szCs w:val="16"/>
                <w:lang w:eastAsia="de-DE"/>
              </w:rPr>
              <w:t>Lyctus brunneus</w:t>
            </w:r>
          </w:p>
        </w:tc>
        <w:tc>
          <w:tcPr>
            <w:tcW w:w="521" w:type="pct"/>
          </w:tcPr>
          <w:p w14:paraId="66CE76D5" w14:textId="77777777" w:rsidR="003012CB" w:rsidRPr="00EC1787" w:rsidRDefault="003012CB" w:rsidP="00853BF6">
            <w:pPr>
              <w:rPr>
                <w:color w:val="000000"/>
                <w:sz w:val="16"/>
                <w:szCs w:val="16"/>
                <w:lang w:eastAsia="de-DE"/>
              </w:rPr>
            </w:pPr>
            <w:r w:rsidRPr="00EC1787">
              <w:rPr>
                <w:color w:val="000000"/>
                <w:sz w:val="16"/>
                <w:szCs w:val="16"/>
                <w:lang w:eastAsia="de-DE"/>
              </w:rPr>
              <w:t>EN 20-1 + EN 73 (evaporation)</w:t>
            </w:r>
          </w:p>
        </w:tc>
        <w:tc>
          <w:tcPr>
            <w:tcW w:w="962" w:type="pct"/>
          </w:tcPr>
          <w:p w14:paraId="19B1C444"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brushing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53C313FB" w14:textId="77777777" w:rsidR="003012CB" w:rsidRPr="00EC1787" w:rsidRDefault="003012CB" w:rsidP="00853BF6">
            <w:pPr>
              <w:rPr>
                <w:color w:val="000000"/>
                <w:sz w:val="16"/>
                <w:szCs w:val="16"/>
                <w:lang w:eastAsia="de-DE"/>
              </w:rPr>
            </w:pPr>
            <w:r w:rsidRPr="00EC1787">
              <w:rPr>
                <w:color w:val="000000"/>
                <w:sz w:val="16"/>
                <w:szCs w:val="16"/>
                <w:lang w:eastAsia="de-DE"/>
              </w:rPr>
              <w:t>The quantity really applied on each test block varied between 19</w:t>
            </w:r>
            <w:r>
              <w:rPr>
                <w:color w:val="000000"/>
                <w:sz w:val="16"/>
                <w:szCs w:val="16"/>
                <w:lang w:eastAsia="de-DE"/>
              </w:rPr>
              <w:t>6</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and 19</w:t>
            </w:r>
            <w:r>
              <w:rPr>
                <w:color w:val="000000"/>
                <w:sz w:val="16"/>
                <w:szCs w:val="16"/>
                <w:lang w:eastAsia="de-DE"/>
              </w:rPr>
              <w:t>8</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(mean 19</w:t>
            </w:r>
            <w:r>
              <w:rPr>
                <w:color w:val="000000"/>
                <w:sz w:val="16"/>
                <w:szCs w:val="16"/>
                <w:lang w:eastAsia="de-DE"/>
              </w:rPr>
              <w:t>7</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w:t>
            </w:r>
          </w:p>
          <w:p w14:paraId="7DE2759F"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10 recently hatched larvae of </w:t>
            </w:r>
            <w:r w:rsidRPr="00EC1787">
              <w:rPr>
                <w:i/>
                <w:color w:val="000000"/>
                <w:sz w:val="16"/>
                <w:szCs w:val="16"/>
                <w:lang w:eastAsia="de-DE"/>
              </w:rPr>
              <w:t>L. bruneus</w:t>
            </w:r>
            <w:r w:rsidRPr="00EC1787">
              <w:rPr>
                <w:color w:val="000000"/>
                <w:sz w:val="16"/>
                <w:szCs w:val="16"/>
                <w:lang w:eastAsia="de-DE"/>
              </w:rPr>
              <w:t xml:space="preserve"> for each are used for each test block.</w:t>
            </w:r>
          </w:p>
          <w:p w14:paraId="73C7551C" w14:textId="77777777" w:rsidR="003012CB" w:rsidRPr="00EC1787" w:rsidRDefault="003012CB" w:rsidP="00853BF6">
            <w:pPr>
              <w:rPr>
                <w:color w:val="000000"/>
                <w:sz w:val="16"/>
                <w:szCs w:val="16"/>
                <w:lang w:eastAsia="de-DE"/>
              </w:rPr>
            </w:pPr>
            <w:r w:rsidRPr="00EC1787">
              <w:rPr>
                <w:color w:val="000000"/>
                <w:sz w:val="16"/>
                <w:szCs w:val="16"/>
                <w:lang w:eastAsia="de-DE"/>
              </w:rPr>
              <w:t>5 replicates for the treated block and 5 replicates for the control are performed.</w:t>
            </w:r>
          </w:p>
          <w:p w14:paraId="41191938" w14:textId="77777777" w:rsidR="003012CB" w:rsidRPr="00EC1787" w:rsidRDefault="003012CB" w:rsidP="00853BF6">
            <w:pPr>
              <w:rPr>
                <w:color w:val="000000"/>
                <w:sz w:val="16"/>
                <w:szCs w:val="16"/>
                <w:lang w:eastAsia="de-DE"/>
              </w:rPr>
            </w:pPr>
            <w:r w:rsidRPr="00EC1787">
              <w:rPr>
                <w:color w:val="000000"/>
                <w:sz w:val="16"/>
                <w:szCs w:val="16"/>
                <w:lang w:eastAsia="de-DE"/>
              </w:rPr>
              <w:t>The investigated effects are the mortality of the insects.</w:t>
            </w:r>
          </w:p>
          <w:p w14:paraId="7AE95188" w14:textId="77777777" w:rsidR="003012CB" w:rsidRPr="00EC1787" w:rsidRDefault="003012CB" w:rsidP="00853BF6">
            <w:pPr>
              <w:rPr>
                <w:color w:val="000000"/>
                <w:sz w:val="16"/>
                <w:szCs w:val="16"/>
                <w:lang w:eastAsia="de-DE"/>
              </w:rPr>
            </w:pPr>
            <w:r w:rsidRPr="00EC1787">
              <w:rPr>
                <w:color w:val="000000"/>
                <w:sz w:val="16"/>
                <w:szCs w:val="16"/>
                <w:lang w:eastAsia="de-DE"/>
              </w:rPr>
              <w:t>The method for recording / scoring effects is the recovery and the counting of the insects (alive/dead) and the number of drilled openings.</w:t>
            </w:r>
          </w:p>
          <w:p w14:paraId="63E9C697" w14:textId="77777777" w:rsidR="003012CB" w:rsidRPr="00EC1787" w:rsidRDefault="003012CB" w:rsidP="00853BF6">
            <w:pPr>
              <w:rPr>
                <w:color w:val="000000"/>
                <w:sz w:val="16"/>
                <w:szCs w:val="16"/>
                <w:lang w:eastAsia="de-DE"/>
              </w:rPr>
            </w:pPr>
            <w:r w:rsidRPr="00EC1787">
              <w:rPr>
                <w:color w:val="000000"/>
                <w:sz w:val="16"/>
                <w:szCs w:val="16"/>
                <w:lang w:eastAsia="de-DE"/>
              </w:rPr>
              <w:t>- Intervals of examination is one examination, 20 weeks after beginning of exposure of the adults.</w:t>
            </w:r>
          </w:p>
        </w:tc>
        <w:tc>
          <w:tcPr>
            <w:tcW w:w="867" w:type="pct"/>
          </w:tcPr>
          <w:p w14:paraId="1A74762F" w14:textId="77777777" w:rsidR="003012CB" w:rsidRPr="00EC1787" w:rsidRDefault="003012CB" w:rsidP="00853BF6">
            <w:pPr>
              <w:rPr>
                <w:color w:val="000000"/>
                <w:sz w:val="16"/>
                <w:szCs w:val="16"/>
                <w:lang w:eastAsia="de-DE"/>
              </w:rPr>
            </w:pPr>
            <w:r w:rsidRPr="00EC1787">
              <w:rPr>
                <w:color w:val="000000"/>
                <w:sz w:val="16"/>
                <w:szCs w:val="16"/>
                <w:lang w:eastAsia="de-DE"/>
              </w:rPr>
              <w:t>The study is validated as:</w:t>
            </w:r>
          </w:p>
          <w:p w14:paraId="00E6AF10" w14:textId="77777777" w:rsidR="003012CB" w:rsidRPr="00EC1787" w:rsidRDefault="003012CB" w:rsidP="003012CB">
            <w:pPr>
              <w:numPr>
                <w:ilvl w:val="0"/>
                <w:numId w:val="25"/>
              </w:numPr>
              <w:suppressAutoHyphens w:val="0"/>
              <w:ind w:left="405"/>
              <w:contextualSpacing/>
              <w:rPr>
                <w:color w:val="000000"/>
                <w:sz w:val="16"/>
                <w:szCs w:val="16"/>
                <w:lang w:eastAsia="de-DE"/>
              </w:rPr>
            </w:pPr>
            <w:r w:rsidRPr="00EC1787">
              <w:rPr>
                <w:color w:val="000000"/>
                <w:sz w:val="16"/>
                <w:szCs w:val="16"/>
                <w:lang w:eastAsia="de-DE"/>
              </w:rPr>
              <w:t>At least, for each control, 20 insects are found</w:t>
            </w:r>
          </w:p>
          <w:p w14:paraId="2CD69EF4" w14:textId="77777777" w:rsidR="003012CB" w:rsidRDefault="003012CB" w:rsidP="003012CB">
            <w:pPr>
              <w:numPr>
                <w:ilvl w:val="0"/>
                <w:numId w:val="25"/>
              </w:numPr>
              <w:suppressAutoHyphens w:val="0"/>
              <w:ind w:left="405"/>
              <w:contextualSpacing/>
              <w:rPr>
                <w:color w:val="000000"/>
                <w:sz w:val="16"/>
                <w:szCs w:val="16"/>
                <w:lang w:eastAsia="de-DE"/>
              </w:rPr>
            </w:pPr>
            <w:r w:rsidRPr="00EC1787">
              <w:rPr>
                <w:color w:val="000000"/>
                <w:sz w:val="16"/>
                <w:szCs w:val="16"/>
                <w:lang w:eastAsia="de-DE"/>
              </w:rPr>
              <w:t>Adult emergence has started at the end test in the control and at least 85 %</w:t>
            </w:r>
            <w:r>
              <w:rPr>
                <w:color w:val="000000"/>
                <w:sz w:val="16"/>
                <w:szCs w:val="16"/>
                <w:lang w:eastAsia="de-DE"/>
              </w:rPr>
              <w:t xml:space="preserve"> (95.3 %)</w:t>
            </w:r>
            <w:r w:rsidRPr="00EC1787">
              <w:rPr>
                <w:color w:val="000000"/>
                <w:sz w:val="16"/>
                <w:szCs w:val="16"/>
                <w:lang w:eastAsia="de-DE"/>
              </w:rPr>
              <w:t xml:space="preserve"> of the insects are found alive</w:t>
            </w:r>
          </w:p>
          <w:p w14:paraId="409CBB93" w14:textId="77777777" w:rsidR="003012CB" w:rsidRDefault="003012CB" w:rsidP="00853BF6">
            <w:pPr>
              <w:contextualSpacing/>
              <w:rPr>
                <w:color w:val="000000"/>
                <w:sz w:val="16"/>
                <w:szCs w:val="16"/>
                <w:lang w:eastAsia="de-DE"/>
              </w:rPr>
            </w:pPr>
            <w:r>
              <w:rPr>
                <w:color w:val="000000"/>
                <w:sz w:val="16"/>
                <w:szCs w:val="16"/>
                <w:lang w:eastAsia="de-DE"/>
              </w:rPr>
              <w:t>In the test block 100 % of mortality is observed.</w:t>
            </w:r>
          </w:p>
          <w:p w14:paraId="57D4DFF0" w14:textId="77777777" w:rsidR="003012CB" w:rsidRPr="00681B6C" w:rsidRDefault="003012CB" w:rsidP="00853BF6">
            <w:pPr>
              <w:contextualSpacing/>
              <w:rPr>
                <w:b/>
                <w:color w:val="000000"/>
                <w:sz w:val="16"/>
                <w:szCs w:val="16"/>
                <w:lang w:eastAsia="de-DE"/>
              </w:rPr>
            </w:pPr>
            <w:r w:rsidRPr="00681B6C">
              <w:rPr>
                <w:b/>
                <w:color w:val="000000"/>
                <w:sz w:val="16"/>
                <w:szCs w:val="16"/>
                <w:lang w:eastAsia="de-DE"/>
              </w:rPr>
              <w:t xml:space="preserve">This study demonstrated the efficacy of the product at 197.1 g of product </w:t>
            </w:r>
            <w:r>
              <w:rPr>
                <w:b/>
                <w:color w:val="000000"/>
                <w:sz w:val="16"/>
                <w:szCs w:val="16"/>
                <w:lang w:eastAsia="de-DE"/>
              </w:rPr>
              <w:t>X6122B1</w:t>
            </w:r>
            <w:r w:rsidRPr="00681B6C">
              <w:rPr>
                <w:b/>
                <w:color w:val="000000"/>
                <w:sz w:val="16"/>
                <w:szCs w:val="16"/>
                <w:lang w:eastAsia="de-DE"/>
              </w:rPr>
              <w:t xml:space="preserve">/ m²of wood against </w:t>
            </w:r>
            <w:r w:rsidRPr="00681B6C">
              <w:rPr>
                <w:b/>
                <w:i/>
                <w:color w:val="000000"/>
                <w:sz w:val="16"/>
                <w:szCs w:val="16"/>
                <w:lang w:eastAsia="de-DE"/>
              </w:rPr>
              <w:t>Lyctus brunneus</w:t>
            </w:r>
          </w:p>
          <w:p w14:paraId="1C9FE124" w14:textId="77777777" w:rsidR="003012CB" w:rsidRPr="00EC1787" w:rsidRDefault="003012CB" w:rsidP="00853BF6">
            <w:pPr>
              <w:ind w:left="45"/>
              <w:rPr>
                <w:color w:val="000000"/>
                <w:sz w:val="16"/>
                <w:szCs w:val="16"/>
                <w:lang w:eastAsia="de-DE"/>
              </w:rPr>
            </w:pPr>
          </w:p>
        </w:tc>
        <w:tc>
          <w:tcPr>
            <w:tcW w:w="565" w:type="pct"/>
          </w:tcPr>
          <w:p w14:paraId="3C8CEB95" w14:textId="77777777" w:rsidR="003012CB" w:rsidRPr="00E31360" w:rsidRDefault="003012CB" w:rsidP="00853BF6">
            <w:pPr>
              <w:rPr>
                <w:color w:val="000000"/>
                <w:sz w:val="16"/>
                <w:szCs w:val="16"/>
                <w:lang w:val="en-US" w:eastAsia="de-DE"/>
              </w:rPr>
            </w:pPr>
            <w:r w:rsidRPr="00E31360">
              <w:rPr>
                <w:color w:val="000000"/>
                <w:sz w:val="16"/>
                <w:szCs w:val="16"/>
                <w:lang w:val="en-US" w:eastAsia="de-DE"/>
              </w:rPr>
              <w:t>Brunet C. and Paulmier I.,</w:t>
            </w:r>
          </w:p>
          <w:p w14:paraId="0536943D" w14:textId="77777777" w:rsidR="003012CB" w:rsidRPr="00E31360" w:rsidRDefault="003012CB" w:rsidP="00853BF6">
            <w:pPr>
              <w:rPr>
                <w:color w:val="000000"/>
                <w:sz w:val="16"/>
                <w:szCs w:val="16"/>
                <w:lang w:val="en-US" w:eastAsia="de-DE"/>
              </w:rPr>
            </w:pPr>
            <w:r w:rsidRPr="00E31360">
              <w:rPr>
                <w:color w:val="000000"/>
                <w:sz w:val="16"/>
                <w:szCs w:val="16"/>
                <w:lang w:val="en-US" w:eastAsia="de-DE"/>
              </w:rPr>
              <w:t>201</w:t>
            </w:r>
            <w:r>
              <w:rPr>
                <w:color w:val="000000"/>
                <w:sz w:val="16"/>
                <w:szCs w:val="16"/>
                <w:lang w:val="en-US" w:eastAsia="de-DE"/>
              </w:rPr>
              <w:t>6</w:t>
            </w:r>
          </w:p>
          <w:p w14:paraId="19E1AB39" w14:textId="77777777" w:rsidR="003012CB" w:rsidRDefault="003012CB" w:rsidP="00853BF6">
            <w:pPr>
              <w:rPr>
                <w:color w:val="000000"/>
                <w:sz w:val="16"/>
                <w:szCs w:val="16"/>
                <w:lang w:val="en-US" w:eastAsia="de-DE"/>
              </w:rPr>
            </w:pPr>
            <w:r w:rsidRPr="00E31360">
              <w:rPr>
                <w:color w:val="000000"/>
                <w:sz w:val="16"/>
                <w:szCs w:val="16"/>
                <w:lang w:val="en-US" w:eastAsia="de-DE"/>
              </w:rPr>
              <w:t>S6.7_09</w:t>
            </w:r>
          </w:p>
          <w:p w14:paraId="017272FE" w14:textId="77777777" w:rsidR="003012CB" w:rsidRDefault="003012CB" w:rsidP="00853BF6">
            <w:pPr>
              <w:rPr>
                <w:color w:val="000000"/>
                <w:sz w:val="16"/>
                <w:szCs w:val="16"/>
                <w:lang w:val="en-US" w:eastAsia="de-DE"/>
              </w:rPr>
            </w:pPr>
          </w:p>
          <w:p w14:paraId="709D19F7" w14:textId="77777777" w:rsidR="003012CB" w:rsidRDefault="003012CB" w:rsidP="00853BF6">
            <w:pPr>
              <w:rPr>
                <w:color w:val="000000"/>
                <w:sz w:val="16"/>
                <w:szCs w:val="16"/>
                <w:lang w:val="en-US" w:eastAsia="de-DE"/>
              </w:rPr>
            </w:pPr>
            <w:r>
              <w:rPr>
                <w:color w:val="000000"/>
                <w:sz w:val="16"/>
                <w:szCs w:val="16"/>
                <w:lang w:val="en-US" w:eastAsia="de-DE"/>
              </w:rPr>
              <w:t>401/14/136F/c/e</w:t>
            </w:r>
          </w:p>
          <w:p w14:paraId="480649B7" w14:textId="77777777" w:rsidR="007C2343" w:rsidRDefault="007C2343" w:rsidP="00853BF6">
            <w:pPr>
              <w:rPr>
                <w:color w:val="000000"/>
                <w:sz w:val="16"/>
                <w:szCs w:val="16"/>
                <w:lang w:val="en-US" w:eastAsia="de-DE"/>
              </w:rPr>
            </w:pPr>
          </w:p>
          <w:p w14:paraId="1EB2201D" w14:textId="066E1A3D" w:rsidR="007C2343" w:rsidRPr="00E31360" w:rsidRDefault="007C2343" w:rsidP="00853BF6">
            <w:pPr>
              <w:rPr>
                <w:color w:val="000000"/>
                <w:sz w:val="16"/>
                <w:szCs w:val="16"/>
                <w:lang w:val="en-US" w:eastAsia="de-DE"/>
              </w:rPr>
            </w:pPr>
            <w:r>
              <w:rPr>
                <w:color w:val="000000"/>
                <w:sz w:val="16"/>
                <w:szCs w:val="16"/>
                <w:lang w:val="en-US" w:eastAsia="de-DE"/>
              </w:rPr>
              <w:t>IC1</w:t>
            </w:r>
          </w:p>
        </w:tc>
      </w:tr>
      <w:tr w:rsidR="003012CB" w:rsidRPr="00B20360" w14:paraId="4F2D4652" w14:textId="77777777" w:rsidTr="0021636F">
        <w:tc>
          <w:tcPr>
            <w:tcW w:w="430" w:type="pct"/>
          </w:tcPr>
          <w:p w14:paraId="77B1FC06" w14:textId="77777777" w:rsidR="003012CB" w:rsidRPr="00EC1787" w:rsidRDefault="003012CB" w:rsidP="00853BF6">
            <w:pPr>
              <w:rPr>
                <w:color w:val="000000"/>
                <w:sz w:val="16"/>
                <w:szCs w:val="16"/>
                <w:lang w:eastAsia="de-DE"/>
              </w:rPr>
            </w:pPr>
            <w:r w:rsidRPr="00EC1787">
              <w:rPr>
                <w:rFonts w:ascii="Arial" w:hAnsi="Arial" w:cs="Arial"/>
                <w:sz w:val="16"/>
                <w:szCs w:val="16"/>
              </w:rPr>
              <w:lastRenderedPageBreak/>
              <w:t>MG 02: preservatives</w:t>
            </w:r>
          </w:p>
        </w:tc>
        <w:tc>
          <w:tcPr>
            <w:tcW w:w="650" w:type="pct"/>
          </w:tcPr>
          <w:p w14:paraId="021E5799"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6113498B"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Curative treatment</w:t>
            </w:r>
          </w:p>
        </w:tc>
        <w:tc>
          <w:tcPr>
            <w:tcW w:w="535" w:type="pct"/>
          </w:tcPr>
          <w:p w14:paraId="3BF945D8" w14:textId="77777777" w:rsidR="003012CB" w:rsidRDefault="003012CB" w:rsidP="00853BF6">
            <w:pPr>
              <w:rPr>
                <w:color w:val="000000"/>
                <w:sz w:val="16"/>
                <w:szCs w:val="16"/>
                <w:lang w:eastAsia="de-DE"/>
              </w:rPr>
            </w:pPr>
            <w:r>
              <w:rPr>
                <w:color w:val="000000"/>
                <w:sz w:val="16"/>
                <w:szCs w:val="16"/>
                <w:lang w:eastAsia="de-DE"/>
              </w:rPr>
              <w:t>X6122B1</w:t>
            </w:r>
          </w:p>
          <w:p w14:paraId="64F952F9" w14:textId="77777777" w:rsidR="003012CB" w:rsidRPr="00EC1787" w:rsidRDefault="003012CB" w:rsidP="00853BF6">
            <w:pPr>
              <w:rPr>
                <w:color w:val="000000"/>
                <w:sz w:val="16"/>
                <w:szCs w:val="16"/>
                <w:lang w:eastAsia="de-DE"/>
              </w:rPr>
            </w:pPr>
            <w:r>
              <w:rPr>
                <w:color w:val="000000"/>
                <w:sz w:val="16"/>
                <w:szCs w:val="16"/>
                <w:lang w:eastAsia="de-DE"/>
              </w:rPr>
              <w:t>batch Pap V 129.2</w:t>
            </w:r>
          </w:p>
        </w:tc>
        <w:tc>
          <w:tcPr>
            <w:tcW w:w="470" w:type="pct"/>
          </w:tcPr>
          <w:p w14:paraId="4BF0FCB0"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 xml:space="preserve">House longhorn beetle: </w:t>
            </w:r>
            <w:r w:rsidRPr="00EC1787">
              <w:rPr>
                <w:i/>
                <w:color w:val="000000"/>
                <w:sz w:val="16"/>
                <w:szCs w:val="16"/>
                <w:lang w:val="en-US" w:eastAsia="de-DE"/>
              </w:rPr>
              <w:t>Hylotrupes bajulus (L.)</w:t>
            </w:r>
          </w:p>
        </w:tc>
        <w:tc>
          <w:tcPr>
            <w:tcW w:w="521" w:type="pct"/>
          </w:tcPr>
          <w:p w14:paraId="771ACACB"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EN 1390</w:t>
            </w:r>
          </w:p>
        </w:tc>
        <w:tc>
          <w:tcPr>
            <w:tcW w:w="962" w:type="pct"/>
          </w:tcPr>
          <w:p w14:paraId="59E2CC4C"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 xml:space="preserve">The ready to use product </w:t>
            </w:r>
            <w:r>
              <w:rPr>
                <w:color w:val="000000"/>
                <w:sz w:val="16"/>
                <w:szCs w:val="16"/>
                <w:lang w:val="en-US" w:eastAsia="de-DE"/>
              </w:rPr>
              <w:t>X6122B1</w:t>
            </w:r>
            <w:r w:rsidRPr="00EC1787">
              <w:rPr>
                <w:color w:val="000000"/>
                <w:sz w:val="16"/>
                <w:szCs w:val="16"/>
                <w:lang w:val="en-US" w:eastAsia="de-DE"/>
              </w:rPr>
              <w:t>is applied by brushing on sapwood test blocks (</w:t>
            </w:r>
            <w:r w:rsidRPr="00EC1787">
              <w:rPr>
                <w:i/>
                <w:color w:val="000000"/>
                <w:sz w:val="16"/>
                <w:szCs w:val="16"/>
                <w:lang w:val="en-US" w:eastAsia="de-DE"/>
              </w:rPr>
              <w:t>Pinus sylvestris</w:t>
            </w:r>
            <w:r w:rsidRPr="00EC1787">
              <w:rPr>
                <w:color w:val="000000"/>
                <w:sz w:val="16"/>
                <w:szCs w:val="16"/>
                <w:lang w:val="en-US" w:eastAsia="de-DE"/>
              </w:rPr>
              <w:t xml:space="preserve">) </w:t>
            </w:r>
          </w:p>
          <w:p w14:paraId="6CC477DE"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quantity really applied on each test block varied between 299.</w:t>
            </w:r>
            <w:r>
              <w:rPr>
                <w:color w:val="000000"/>
                <w:sz w:val="16"/>
                <w:szCs w:val="16"/>
                <w:lang w:val="en-US" w:eastAsia="de-DE"/>
              </w:rPr>
              <w:t>4</w:t>
            </w:r>
            <w:r w:rsidRPr="00EC1787">
              <w:rPr>
                <w:color w:val="000000"/>
                <w:sz w:val="16"/>
                <w:szCs w:val="16"/>
                <w:lang w:val="en-US" w:eastAsia="de-DE"/>
              </w:rPr>
              <w:t xml:space="preserve"> mL/m² and 300.</w:t>
            </w:r>
            <w:r>
              <w:rPr>
                <w:color w:val="000000"/>
                <w:sz w:val="16"/>
                <w:szCs w:val="16"/>
                <w:lang w:val="en-US" w:eastAsia="de-DE"/>
              </w:rPr>
              <w:t>4</w:t>
            </w:r>
            <w:r w:rsidRPr="00EC1787">
              <w:rPr>
                <w:color w:val="000000"/>
                <w:sz w:val="16"/>
                <w:szCs w:val="16"/>
                <w:lang w:val="en-US" w:eastAsia="de-DE"/>
              </w:rPr>
              <w:t xml:space="preserve"> mL/m² (mean </w:t>
            </w:r>
            <w:r>
              <w:rPr>
                <w:color w:val="000000"/>
                <w:sz w:val="16"/>
                <w:szCs w:val="16"/>
                <w:lang w:val="en-US" w:eastAsia="de-DE"/>
              </w:rPr>
              <w:t>299.9</w:t>
            </w:r>
            <w:r w:rsidRPr="00EC1787">
              <w:rPr>
                <w:color w:val="000000"/>
                <w:sz w:val="16"/>
                <w:szCs w:val="16"/>
                <w:lang w:val="en-US" w:eastAsia="de-DE"/>
              </w:rPr>
              <w:t xml:space="preserve"> mL/m²).</w:t>
            </w:r>
          </w:p>
          <w:p w14:paraId="48376DF1"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 xml:space="preserve">6 larvae of </w:t>
            </w:r>
            <w:r w:rsidRPr="00EC1787">
              <w:rPr>
                <w:i/>
                <w:color w:val="000000"/>
                <w:sz w:val="16"/>
                <w:szCs w:val="16"/>
                <w:lang w:val="en-US" w:eastAsia="de-DE"/>
              </w:rPr>
              <w:t>Hylotrupes bajulus</w:t>
            </w:r>
            <w:r w:rsidRPr="00EC1787">
              <w:rPr>
                <w:color w:val="000000"/>
                <w:sz w:val="16"/>
                <w:szCs w:val="16"/>
                <w:lang w:val="en-US" w:eastAsia="de-DE"/>
              </w:rPr>
              <w:t xml:space="preserve"> were used for each test block.</w:t>
            </w:r>
          </w:p>
          <w:p w14:paraId="11819EC7" w14:textId="77777777" w:rsidR="003012CB" w:rsidRPr="00EC1787" w:rsidRDefault="003012CB" w:rsidP="00853BF6">
            <w:pPr>
              <w:rPr>
                <w:color w:val="000000"/>
                <w:sz w:val="16"/>
                <w:szCs w:val="16"/>
                <w:lang w:eastAsia="de-DE"/>
              </w:rPr>
            </w:pPr>
            <w:r w:rsidRPr="00EC1787">
              <w:rPr>
                <w:color w:val="000000"/>
                <w:sz w:val="16"/>
                <w:szCs w:val="16"/>
                <w:lang w:eastAsia="de-DE"/>
              </w:rPr>
              <w:t>10 replicates for the treated block and 2 replicates for the control are performed.</w:t>
            </w:r>
          </w:p>
          <w:p w14:paraId="34B5052C" w14:textId="77777777" w:rsidR="003012CB" w:rsidRPr="00EC1787" w:rsidRDefault="003012CB" w:rsidP="00853BF6">
            <w:pPr>
              <w:rPr>
                <w:color w:val="000000"/>
                <w:sz w:val="16"/>
                <w:szCs w:val="16"/>
                <w:lang w:eastAsia="de-DE"/>
              </w:rPr>
            </w:pPr>
            <w:r w:rsidRPr="00EC1787">
              <w:rPr>
                <w:color w:val="000000"/>
                <w:sz w:val="16"/>
                <w:szCs w:val="16"/>
                <w:lang w:eastAsia="de-DE"/>
              </w:rPr>
              <w:t>The investigated effects are the mortality of the larvae.</w:t>
            </w:r>
          </w:p>
          <w:p w14:paraId="1F942A66"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 Method for recording / scoring effects: recovery of the insects and count of the dead and alive larvae. Calculation of the percentage of mortality. </w:t>
            </w:r>
          </w:p>
          <w:p w14:paraId="122B547D" w14:textId="77777777" w:rsidR="003012CB" w:rsidRPr="00EC1787" w:rsidRDefault="003012CB" w:rsidP="00853BF6">
            <w:pPr>
              <w:rPr>
                <w:color w:val="000000"/>
                <w:sz w:val="16"/>
                <w:szCs w:val="16"/>
                <w:lang w:eastAsia="de-DE"/>
              </w:rPr>
            </w:pPr>
            <w:r w:rsidRPr="00EC1787">
              <w:rPr>
                <w:color w:val="000000"/>
                <w:sz w:val="16"/>
                <w:szCs w:val="16"/>
                <w:lang w:eastAsia="de-DE"/>
              </w:rPr>
              <w:t>- Intervals of examination: one time, 25 weeks after exposure of the larvae in the wood block to the tested product.</w:t>
            </w:r>
          </w:p>
          <w:p w14:paraId="2354F330" w14:textId="77777777" w:rsidR="003012CB" w:rsidRPr="00EC1787" w:rsidRDefault="003012CB" w:rsidP="00853BF6">
            <w:pPr>
              <w:rPr>
                <w:color w:val="000000"/>
                <w:sz w:val="16"/>
                <w:szCs w:val="16"/>
                <w:lang w:eastAsia="de-DE"/>
              </w:rPr>
            </w:pPr>
            <w:r w:rsidRPr="00EC1787">
              <w:rPr>
                <w:color w:val="000000"/>
                <w:sz w:val="16"/>
                <w:szCs w:val="16"/>
                <w:lang w:eastAsia="de-DE"/>
              </w:rPr>
              <w:t>The efficacy criterion according to the EN 14128 is a mortality higher than 80 %</w:t>
            </w:r>
          </w:p>
        </w:tc>
        <w:tc>
          <w:tcPr>
            <w:tcW w:w="867" w:type="pct"/>
          </w:tcPr>
          <w:p w14:paraId="0D023F9F"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study is validated as the survival rate in the control is higher than 75 % (</w:t>
            </w:r>
            <w:r>
              <w:rPr>
                <w:color w:val="000000"/>
                <w:sz w:val="16"/>
                <w:szCs w:val="16"/>
                <w:lang w:val="en-US" w:eastAsia="de-DE"/>
              </w:rPr>
              <w:t>100</w:t>
            </w:r>
            <w:r w:rsidRPr="00EC1787">
              <w:rPr>
                <w:color w:val="000000"/>
                <w:sz w:val="16"/>
                <w:szCs w:val="16"/>
                <w:lang w:val="en-US" w:eastAsia="de-DE"/>
              </w:rPr>
              <w:t>%).</w:t>
            </w:r>
          </w:p>
          <w:p w14:paraId="2A4F7FAB" w14:textId="28B0E577" w:rsidR="003012CB" w:rsidRPr="00681B6C" w:rsidRDefault="003012CB" w:rsidP="00853BF6">
            <w:pPr>
              <w:rPr>
                <w:b/>
                <w:color w:val="000000"/>
                <w:sz w:val="16"/>
                <w:szCs w:val="16"/>
                <w:lang w:eastAsia="de-DE"/>
              </w:rPr>
            </w:pPr>
            <w:r w:rsidRPr="00EC1787">
              <w:rPr>
                <w:b/>
                <w:color w:val="000000"/>
                <w:sz w:val="16"/>
                <w:szCs w:val="16"/>
                <w:lang w:val="en-US" w:eastAsia="de-DE"/>
              </w:rPr>
              <w:t>The mortality observed in the treated block is higher than 80 % (</w:t>
            </w:r>
            <w:r>
              <w:rPr>
                <w:b/>
                <w:color w:val="000000"/>
                <w:sz w:val="16"/>
                <w:szCs w:val="16"/>
                <w:lang w:val="en-US" w:eastAsia="de-DE"/>
              </w:rPr>
              <w:t>96.6</w:t>
            </w:r>
            <w:r w:rsidRPr="00EC1787">
              <w:rPr>
                <w:b/>
                <w:color w:val="000000"/>
                <w:sz w:val="16"/>
                <w:szCs w:val="16"/>
                <w:lang w:val="en-US" w:eastAsia="de-DE"/>
              </w:rPr>
              <w:t xml:space="preserve"> %) which validated the </w:t>
            </w:r>
            <w:r w:rsidR="00C25DF6">
              <w:rPr>
                <w:b/>
                <w:color w:val="000000"/>
                <w:sz w:val="16"/>
                <w:szCs w:val="16"/>
                <w:lang w:val="en-US" w:eastAsia="de-DE"/>
              </w:rPr>
              <w:t>s</w:t>
            </w:r>
            <w:r w:rsidRPr="00B100F1">
              <w:rPr>
                <w:b/>
                <w:color w:val="000000"/>
                <w:sz w:val="16"/>
                <w:szCs w:val="16"/>
                <w:lang w:val="en-US" w:eastAsia="de-DE"/>
              </w:rPr>
              <w:t>low</w:t>
            </w:r>
            <w:r w:rsidRPr="00EC1787">
              <w:rPr>
                <w:b/>
                <w:color w:val="000000"/>
                <w:sz w:val="16"/>
                <w:szCs w:val="16"/>
                <w:lang w:val="en-US" w:eastAsia="de-DE"/>
              </w:rPr>
              <w:t xml:space="preserve"> action efficacy of the product at the application rate of 300 ml of product</w:t>
            </w:r>
            <w:r>
              <w:rPr>
                <w:b/>
                <w:color w:val="000000"/>
                <w:sz w:val="16"/>
                <w:szCs w:val="16"/>
                <w:lang w:val="en-US" w:eastAsia="de-DE"/>
              </w:rPr>
              <w:t xml:space="preserve"> </w:t>
            </w:r>
            <w:r>
              <w:rPr>
                <w:b/>
                <w:color w:val="000000"/>
                <w:sz w:val="16"/>
                <w:szCs w:val="16"/>
                <w:lang w:eastAsia="de-DE"/>
              </w:rPr>
              <w:t>X6122B1</w:t>
            </w:r>
            <w:r w:rsidRPr="00EC1787">
              <w:rPr>
                <w:b/>
                <w:color w:val="000000"/>
                <w:sz w:val="16"/>
                <w:szCs w:val="16"/>
                <w:lang w:val="en-US" w:eastAsia="de-DE"/>
              </w:rPr>
              <w:t xml:space="preserve"> / m² of wood, 24 weeks after is application.</w:t>
            </w:r>
          </w:p>
        </w:tc>
        <w:tc>
          <w:tcPr>
            <w:tcW w:w="565" w:type="pct"/>
          </w:tcPr>
          <w:p w14:paraId="46E192D8" w14:textId="77777777" w:rsidR="003012CB" w:rsidRPr="00EA707F" w:rsidRDefault="003012CB" w:rsidP="00853BF6">
            <w:pPr>
              <w:rPr>
                <w:color w:val="000000"/>
                <w:sz w:val="16"/>
                <w:szCs w:val="16"/>
                <w:lang w:val="en-US" w:eastAsia="de-DE"/>
              </w:rPr>
            </w:pPr>
            <w:r w:rsidRPr="00EC1787">
              <w:rPr>
                <w:color w:val="000000"/>
                <w:sz w:val="16"/>
                <w:szCs w:val="16"/>
                <w:lang w:val="en-US" w:eastAsia="de-DE"/>
              </w:rPr>
              <w:t xml:space="preserve">Brunet C. and </w:t>
            </w:r>
            <w:r w:rsidRPr="00EA707F">
              <w:rPr>
                <w:color w:val="000000"/>
                <w:sz w:val="16"/>
                <w:szCs w:val="16"/>
                <w:lang w:val="en-US" w:eastAsia="de-DE"/>
              </w:rPr>
              <w:t>Brunet C. and</w:t>
            </w:r>
            <w:r>
              <w:rPr>
                <w:color w:val="000000"/>
                <w:sz w:val="16"/>
                <w:szCs w:val="16"/>
                <w:lang w:val="en-US" w:eastAsia="de-DE"/>
              </w:rPr>
              <w:t xml:space="preserve"> </w:t>
            </w:r>
            <w:r w:rsidRPr="00EA707F">
              <w:rPr>
                <w:color w:val="000000"/>
                <w:sz w:val="16"/>
                <w:szCs w:val="16"/>
                <w:lang w:val="en-US" w:eastAsia="de-DE"/>
              </w:rPr>
              <w:t>Paulmier I.,</w:t>
            </w:r>
          </w:p>
          <w:p w14:paraId="56CB4C7F" w14:textId="77777777" w:rsidR="003012CB" w:rsidRDefault="003012CB" w:rsidP="00853BF6">
            <w:pPr>
              <w:rPr>
                <w:color w:val="000000"/>
                <w:sz w:val="16"/>
                <w:szCs w:val="16"/>
                <w:lang w:val="en-US" w:eastAsia="de-DE"/>
              </w:rPr>
            </w:pPr>
          </w:p>
          <w:p w14:paraId="504290C8" w14:textId="77777777" w:rsidR="003012CB" w:rsidRPr="00EA707F" w:rsidRDefault="003012CB" w:rsidP="00853BF6">
            <w:pPr>
              <w:rPr>
                <w:color w:val="000000"/>
                <w:sz w:val="16"/>
                <w:szCs w:val="16"/>
                <w:lang w:val="en-US" w:eastAsia="de-DE"/>
              </w:rPr>
            </w:pPr>
            <w:r w:rsidRPr="00EA707F">
              <w:rPr>
                <w:color w:val="000000"/>
                <w:sz w:val="16"/>
                <w:szCs w:val="16"/>
                <w:lang w:val="en-US" w:eastAsia="de-DE"/>
              </w:rPr>
              <w:t>2015</w:t>
            </w:r>
          </w:p>
          <w:p w14:paraId="24B93109" w14:textId="77777777" w:rsidR="003012CB" w:rsidRPr="00EA707F" w:rsidRDefault="003012CB" w:rsidP="00853BF6">
            <w:pPr>
              <w:rPr>
                <w:color w:val="000000"/>
                <w:sz w:val="16"/>
                <w:szCs w:val="16"/>
                <w:lang w:val="en-US" w:eastAsia="de-DE"/>
              </w:rPr>
            </w:pPr>
            <w:r w:rsidRPr="00EA707F">
              <w:rPr>
                <w:color w:val="000000"/>
                <w:sz w:val="16"/>
                <w:szCs w:val="16"/>
                <w:lang w:val="en-US" w:eastAsia="de-DE"/>
              </w:rPr>
              <w:t>S6.7_10</w:t>
            </w:r>
          </w:p>
          <w:p w14:paraId="6F9ADAB7" w14:textId="77777777" w:rsidR="003012CB" w:rsidRDefault="003012CB" w:rsidP="00853BF6">
            <w:pPr>
              <w:rPr>
                <w:color w:val="000000"/>
                <w:sz w:val="16"/>
                <w:szCs w:val="16"/>
                <w:lang w:val="en-US" w:eastAsia="de-DE"/>
              </w:rPr>
            </w:pPr>
          </w:p>
          <w:p w14:paraId="22C5A461" w14:textId="77777777" w:rsidR="003012CB" w:rsidRDefault="003012CB" w:rsidP="00853BF6">
            <w:pPr>
              <w:rPr>
                <w:color w:val="000000"/>
                <w:sz w:val="16"/>
                <w:szCs w:val="16"/>
                <w:lang w:val="en-US" w:eastAsia="de-DE"/>
              </w:rPr>
            </w:pPr>
            <w:r>
              <w:rPr>
                <w:color w:val="000000"/>
                <w:sz w:val="16"/>
                <w:szCs w:val="16"/>
                <w:lang w:val="en-US" w:eastAsia="de-DE"/>
              </w:rPr>
              <w:t>401/16/039F/c-e</w:t>
            </w:r>
          </w:p>
          <w:p w14:paraId="133FE77F" w14:textId="77777777" w:rsidR="003012CB" w:rsidRDefault="003012CB" w:rsidP="00853BF6">
            <w:pPr>
              <w:rPr>
                <w:color w:val="000000"/>
                <w:sz w:val="16"/>
                <w:szCs w:val="16"/>
                <w:lang w:val="en-US" w:eastAsia="de-DE"/>
              </w:rPr>
            </w:pPr>
          </w:p>
          <w:p w14:paraId="15A0A6D7" w14:textId="77777777" w:rsidR="003012CB" w:rsidRPr="00EA707F" w:rsidRDefault="003012CB" w:rsidP="00853BF6">
            <w:pPr>
              <w:rPr>
                <w:color w:val="000000"/>
                <w:sz w:val="16"/>
                <w:szCs w:val="16"/>
                <w:lang w:val="en-US" w:eastAsia="de-DE"/>
              </w:rPr>
            </w:pPr>
            <w:r w:rsidRPr="00EA707F">
              <w:rPr>
                <w:color w:val="000000"/>
                <w:sz w:val="16"/>
                <w:szCs w:val="16"/>
                <w:lang w:val="en-US" w:eastAsia="de-DE"/>
              </w:rPr>
              <w:t>IC 1</w:t>
            </w:r>
          </w:p>
        </w:tc>
      </w:tr>
      <w:tr w:rsidR="003012CB" w:rsidRPr="00B20360" w14:paraId="3AF588ED" w14:textId="77777777" w:rsidTr="0021636F">
        <w:tc>
          <w:tcPr>
            <w:tcW w:w="430" w:type="pct"/>
          </w:tcPr>
          <w:p w14:paraId="78A8EB47" w14:textId="77777777" w:rsidR="007135F4" w:rsidRDefault="007135F4" w:rsidP="00853BF6">
            <w:pPr>
              <w:rPr>
                <w:color w:val="000000"/>
                <w:sz w:val="16"/>
                <w:szCs w:val="16"/>
                <w:lang w:eastAsia="de-DE"/>
              </w:rPr>
            </w:pPr>
            <w:r w:rsidRPr="007135F4">
              <w:rPr>
                <w:color w:val="000000"/>
                <w:sz w:val="16"/>
                <w:szCs w:val="16"/>
                <w:lang w:eastAsia="de-DE"/>
              </w:rPr>
              <w:t xml:space="preserve">MG 02: </w:t>
            </w:r>
          </w:p>
          <w:p w14:paraId="16EF84D1" w14:textId="5BD9CCBD" w:rsidR="003012CB" w:rsidRPr="00030D16" w:rsidRDefault="007135F4" w:rsidP="00853BF6">
            <w:pPr>
              <w:rPr>
                <w:color w:val="000000"/>
                <w:sz w:val="16"/>
                <w:szCs w:val="16"/>
                <w:lang w:eastAsia="de-DE"/>
              </w:rPr>
            </w:pPr>
            <w:r w:rsidRPr="007135F4">
              <w:rPr>
                <w:color w:val="000000"/>
                <w:sz w:val="16"/>
                <w:szCs w:val="16"/>
                <w:lang w:eastAsia="de-DE"/>
              </w:rPr>
              <w:t>preservatives</w:t>
            </w:r>
          </w:p>
        </w:tc>
        <w:tc>
          <w:tcPr>
            <w:tcW w:w="650" w:type="pct"/>
          </w:tcPr>
          <w:p w14:paraId="7DC71545"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598805FB" w14:textId="7EB068DA" w:rsidR="003012CB" w:rsidRPr="00EC1787" w:rsidRDefault="00D73358" w:rsidP="00853BF6">
            <w:pPr>
              <w:rPr>
                <w:rFonts w:ascii="Arial" w:hAnsi="Arial" w:cs="Arial"/>
                <w:color w:val="000000"/>
                <w:sz w:val="16"/>
                <w:szCs w:val="16"/>
                <w:lang w:eastAsia="de-DE"/>
              </w:rPr>
            </w:pPr>
            <w:r>
              <w:rPr>
                <w:rFonts w:ascii="Arial" w:hAnsi="Arial" w:cs="Arial"/>
                <w:color w:val="000000"/>
                <w:sz w:val="16"/>
                <w:szCs w:val="16"/>
                <w:lang w:eastAsia="de-DE"/>
              </w:rPr>
              <w:t>Curative</w:t>
            </w:r>
            <w:r w:rsidRPr="00EC1787">
              <w:rPr>
                <w:rFonts w:ascii="Arial" w:hAnsi="Arial" w:cs="Arial"/>
                <w:color w:val="000000"/>
                <w:sz w:val="16"/>
                <w:szCs w:val="16"/>
                <w:lang w:eastAsia="de-DE"/>
              </w:rPr>
              <w:t xml:space="preserve"> </w:t>
            </w:r>
            <w:r w:rsidR="003012CB" w:rsidRPr="00EC1787">
              <w:rPr>
                <w:rFonts w:ascii="Arial" w:hAnsi="Arial" w:cs="Arial"/>
                <w:color w:val="000000"/>
                <w:sz w:val="16"/>
                <w:szCs w:val="16"/>
                <w:lang w:eastAsia="de-DE"/>
              </w:rPr>
              <w:t>treatment</w:t>
            </w:r>
          </w:p>
        </w:tc>
        <w:tc>
          <w:tcPr>
            <w:tcW w:w="535" w:type="pct"/>
          </w:tcPr>
          <w:p w14:paraId="525A4938" w14:textId="77777777" w:rsidR="003012CB" w:rsidRPr="00B20360" w:rsidRDefault="003012CB" w:rsidP="00853BF6">
            <w:pPr>
              <w:rPr>
                <w:color w:val="000000"/>
                <w:sz w:val="16"/>
                <w:szCs w:val="16"/>
                <w:lang w:eastAsia="de-DE"/>
              </w:rPr>
            </w:pPr>
            <w:r w:rsidRPr="00B20360">
              <w:rPr>
                <w:color w:val="000000"/>
                <w:sz w:val="16"/>
                <w:szCs w:val="16"/>
                <w:lang w:eastAsia="de-DE"/>
              </w:rPr>
              <w:t>X6122B1</w:t>
            </w:r>
          </w:p>
          <w:p w14:paraId="6CB7DDC8" w14:textId="77777777" w:rsidR="003012CB" w:rsidRPr="00B20360" w:rsidRDefault="003012CB" w:rsidP="00853BF6">
            <w:pPr>
              <w:rPr>
                <w:color w:val="000000"/>
                <w:sz w:val="16"/>
                <w:szCs w:val="16"/>
                <w:lang w:eastAsia="de-DE"/>
              </w:rPr>
            </w:pPr>
            <w:r w:rsidRPr="00B20360">
              <w:rPr>
                <w:color w:val="000000"/>
                <w:sz w:val="16"/>
                <w:szCs w:val="16"/>
                <w:lang w:eastAsia="de-DE"/>
              </w:rPr>
              <w:t>batch 1405900037</w:t>
            </w:r>
          </w:p>
        </w:tc>
        <w:tc>
          <w:tcPr>
            <w:tcW w:w="470" w:type="pct"/>
          </w:tcPr>
          <w:p w14:paraId="64C425D5" w14:textId="77777777" w:rsidR="003012CB" w:rsidRPr="00C44877" w:rsidRDefault="003012CB" w:rsidP="00853BF6">
            <w:pPr>
              <w:rPr>
                <w:color w:val="000000"/>
                <w:sz w:val="16"/>
                <w:szCs w:val="16"/>
                <w:lang w:eastAsia="de-DE"/>
              </w:rPr>
            </w:pPr>
            <w:r w:rsidRPr="00C44877">
              <w:rPr>
                <w:color w:val="000000"/>
                <w:sz w:val="16"/>
                <w:szCs w:val="16"/>
                <w:lang w:eastAsia="de-DE"/>
              </w:rPr>
              <w:t>Common furniture beetle:</w:t>
            </w:r>
          </w:p>
          <w:p w14:paraId="53EC5709" w14:textId="77777777" w:rsidR="003012CB" w:rsidRPr="00C44877" w:rsidRDefault="003012CB" w:rsidP="00853BF6">
            <w:pPr>
              <w:rPr>
                <w:color w:val="000000"/>
                <w:sz w:val="16"/>
                <w:szCs w:val="16"/>
                <w:lang w:eastAsia="de-DE"/>
              </w:rPr>
            </w:pPr>
            <w:r w:rsidRPr="00C44877">
              <w:rPr>
                <w:i/>
                <w:color w:val="000000"/>
                <w:sz w:val="16"/>
                <w:szCs w:val="16"/>
                <w:lang w:eastAsia="de-DE"/>
              </w:rPr>
              <w:t>Anobium punctatum (L)</w:t>
            </w:r>
          </w:p>
        </w:tc>
        <w:tc>
          <w:tcPr>
            <w:tcW w:w="521" w:type="pct"/>
          </w:tcPr>
          <w:p w14:paraId="2CD3DB5F" w14:textId="77777777" w:rsidR="003012CB" w:rsidRPr="00C44877" w:rsidRDefault="003012CB" w:rsidP="00853BF6">
            <w:pPr>
              <w:rPr>
                <w:color w:val="000000"/>
                <w:sz w:val="16"/>
                <w:szCs w:val="16"/>
                <w:lang w:eastAsia="de-DE"/>
              </w:rPr>
            </w:pPr>
            <w:r w:rsidRPr="00C44877">
              <w:rPr>
                <w:color w:val="000000"/>
                <w:sz w:val="16"/>
                <w:szCs w:val="16"/>
                <w:lang w:eastAsia="de-DE"/>
              </w:rPr>
              <w:t>EN48</w:t>
            </w:r>
          </w:p>
        </w:tc>
        <w:tc>
          <w:tcPr>
            <w:tcW w:w="962" w:type="pct"/>
          </w:tcPr>
          <w:p w14:paraId="5693A2F4" w14:textId="77777777" w:rsidR="003012CB" w:rsidRPr="007C1854" w:rsidRDefault="003012CB" w:rsidP="00853BF6">
            <w:pPr>
              <w:rPr>
                <w:color w:val="000000"/>
                <w:sz w:val="16"/>
                <w:szCs w:val="16"/>
                <w:lang w:eastAsia="de-DE"/>
              </w:rPr>
            </w:pPr>
            <w:r w:rsidRPr="007C1854">
              <w:rPr>
                <w:color w:val="000000"/>
                <w:sz w:val="16"/>
                <w:szCs w:val="16"/>
                <w:lang w:eastAsia="de-DE"/>
              </w:rPr>
              <w:t>The ready to use product X6122B1 is applied by brushing on sapwood test blocks (</w:t>
            </w:r>
            <w:r w:rsidRPr="007C1854">
              <w:rPr>
                <w:i/>
                <w:color w:val="000000"/>
                <w:sz w:val="16"/>
                <w:szCs w:val="16"/>
                <w:lang w:eastAsia="de-DE"/>
              </w:rPr>
              <w:t>Pinus sylvestris</w:t>
            </w:r>
            <w:r w:rsidRPr="007C1854">
              <w:rPr>
                <w:color w:val="000000"/>
                <w:sz w:val="16"/>
                <w:szCs w:val="16"/>
                <w:lang w:eastAsia="de-DE"/>
              </w:rPr>
              <w:t xml:space="preserve">) </w:t>
            </w:r>
          </w:p>
          <w:p w14:paraId="78DF4381" w14:textId="77777777" w:rsidR="003012CB" w:rsidRPr="007C1854" w:rsidRDefault="003012CB" w:rsidP="00853BF6">
            <w:pPr>
              <w:rPr>
                <w:color w:val="000000"/>
                <w:sz w:val="16"/>
                <w:szCs w:val="16"/>
                <w:lang w:eastAsia="de-DE"/>
              </w:rPr>
            </w:pPr>
            <w:r w:rsidRPr="007C1854">
              <w:rPr>
                <w:color w:val="000000"/>
                <w:sz w:val="16"/>
                <w:szCs w:val="16"/>
                <w:lang w:eastAsia="de-DE"/>
              </w:rPr>
              <w:t>The quantity really applied on each test block varied between 300.5 g/m² and 301.8 g/m² (mean 301g/m²).</w:t>
            </w:r>
          </w:p>
          <w:p w14:paraId="282D960A" w14:textId="77777777" w:rsidR="003012CB" w:rsidRPr="007C1854" w:rsidRDefault="003012CB" w:rsidP="00853BF6">
            <w:pPr>
              <w:rPr>
                <w:color w:val="000000"/>
                <w:sz w:val="16"/>
                <w:szCs w:val="16"/>
                <w:lang w:eastAsia="de-DE"/>
              </w:rPr>
            </w:pPr>
            <w:r w:rsidRPr="007C1854">
              <w:rPr>
                <w:color w:val="000000"/>
                <w:sz w:val="16"/>
                <w:szCs w:val="16"/>
                <w:lang w:eastAsia="de-DE"/>
              </w:rPr>
              <w:t xml:space="preserve">12 larvae of </w:t>
            </w:r>
            <w:r w:rsidRPr="007C1854">
              <w:rPr>
                <w:i/>
                <w:color w:val="000000"/>
                <w:sz w:val="16"/>
                <w:szCs w:val="16"/>
                <w:lang w:eastAsia="de-DE"/>
              </w:rPr>
              <w:t>Anobium punctatum</w:t>
            </w:r>
            <w:r w:rsidRPr="007C1854">
              <w:rPr>
                <w:color w:val="000000"/>
                <w:sz w:val="16"/>
                <w:szCs w:val="16"/>
                <w:lang w:eastAsia="de-DE"/>
              </w:rPr>
              <w:t xml:space="preserve"> were used for each test block.</w:t>
            </w:r>
          </w:p>
          <w:p w14:paraId="77E1BFF1" w14:textId="77777777" w:rsidR="003012CB" w:rsidRPr="00C44877" w:rsidRDefault="003012CB" w:rsidP="00853BF6">
            <w:pPr>
              <w:rPr>
                <w:color w:val="000000"/>
                <w:sz w:val="16"/>
                <w:szCs w:val="16"/>
                <w:lang w:eastAsia="de-DE"/>
              </w:rPr>
            </w:pPr>
            <w:r w:rsidRPr="00C44877">
              <w:rPr>
                <w:color w:val="000000"/>
                <w:sz w:val="16"/>
                <w:szCs w:val="16"/>
                <w:lang w:eastAsia="de-DE"/>
              </w:rPr>
              <w:t>6</w:t>
            </w:r>
            <w:r w:rsidRPr="00030D16">
              <w:rPr>
                <w:color w:val="000000"/>
                <w:sz w:val="16"/>
                <w:szCs w:val="16"/>
                <w:lang w:eastAsia="de-DE"/>
              </w:rPr>
              <w:t xml:space="preserve"> replicates for the treated block and </w:t>
            </w:r>
            <w:r w:rsidRPr="00C44877">
              <w:rPr>
                <w:color w:val="000000"/>
                <w:sz w:val="16"/>
                <w:szCs w:val="16"/>
                <w:lang w:eastAsia="de-DE"/>
              </w:rPr>
              <w:t>3 replicates for the control are performed.</w:t>
            </w:r>
          </w:p>
          <w:p w14:paraId="2A8D773D" w14:textId="77777777" w:rsidR="003012CB" w:rsidRPr="00C44877" w:rsidRDefault="003012CB" w:rsidP="00853BF6">
            <w:pPr>
              <w:rPr>
                <w:color w:val="000000"/>
                <w:sz w:val="16"/>
                <w:szCs w:val="16"/>
                <w:lang w:eastAsia="de-DE"/>
              </w:rPr>
            </w:pPr>
            <w:r w:rsidRPr="00C44877">
              <w:rPr>
                <w:color w:val="000000"/>
                <w:sz w:val="16"/>
                <w:szCs w:val="16"/>
                <w:lang w:eastAsia="de-DE"/>
              </w:rPr>
              <w:t>The investigated effects are the mortality of the larvae.</w:t>
            </w:r>
          </w:p>
          <w:p w14:paraId="10242E36" w14:textId="77777777" w:rsidR="003012CB" w:rsidRPr="00C44877" w:rsidRDefault="003012CB" w:rsidP="00853BF6">
            <w:pPr>
              <w:rPr>
                <w:color w:val="000000"/>
                <w:sz w:val="16"/>
                <w:szCs w:val="16"/>
                <w:lang w:eastAsia="de-DE"/>
              </w:rPr>
            </w:pPr>
            <w:r w:rsidRPr="00C44877">
              <w:rPr>
                <w:color w:val="000000"/>
                <w:sz w:val="16"/>
                <w:szCs w:val="16"/>
                <w:lang w:eastAsia="de-DE"/>
              </w:rPr>
              <w:t xml:space="preserve">- Method for recording / scoring effects: recovery of the insects and count of the dead and alive larvae. Calculation of the percentage of mortality. </w:t>
            </w:r>
          </w:p>
          <w:p w14:paraId="570D994B" w14:textId="77777777" w:rsidR="003012CB" w:rsidRPr="00C44877" w:rsidRDefault="003012CB" w:rsidP="00853BF6">
            <w:pPr>
              <w:rPr>
                <w:color w:val="000000"/>
                <w:sz w:val="16"/>
                <w:szCs w:val="16"/>
                <w:lang w:eastAsia="de-DE"/>
              </w:rPr>
            </w:pPr>
            <w:r w:rsidRPr="00C44877">
              <w:rPr>
                <w:color w:val="000000"/>
                <w:sz w:val="16"/>
                <w:szCs w:val="16"/>
                <w:lang w:eastAsia="de-DE"/>
              </w:rPr>
              <w:lastRenderedPageBreak/>
              <w:t>- Intervals of examination: one time, 8 weeks after exposure of the larvae in the wood block to the tested product.</w:t>
            </w:r>
          </w:p>
          <w:p w14:paraId="3FBEBD9E" w14:textId="4D9055C3" w:rsidR="003012CB" w:rsidRPr="00C44877" w:rsidRDefault="003012CB" w:rsidP="00C25DF6">
            <w:pPr>
              <w:rPr>
                <w:color w:val="000000"/>
                <w:sz w:val="16"/>
                <w:szCs w:val="16"/>
                <w:lang w:eastAsia="de-DE"/>
              </w:rPr>
            </w:pPr>
            <w:r w:rsidRPr="00C44877">
              <w:rPr>
                <w:color w:val="000000"/>
                <w:sz w:val="16"/>
                <w:szCs w:val="16"/>
                <w:lang w:eastAsia="de-DE"/>
              </w:rPr>
              <w:t xml:space="preserve">The efficacy criterion according to </w:t>
            </w:r>
            <w:r w:rsidRPr="00B100F1">
              <w:rPr>
                <w:color w:val="000000"/>
                <w:sz w:val="16"/>
                <w:szCs w:val="16"/>
                <w:lang w:eastAsia="de-DE"/>
              </w:rPr>
              <w:t xml:space="preserve">the EN 14128 is mortality higher than </w:t>
            </w:r>
            <w:r w:rsidR="00C25DF6" w:rsidRPr="00B100F1">
              <w:rPr>
                <w:color w:val="000000"/>
                <w:sz w:val="16"/>
                <w:szCs w:val="16"/>
                <w:lang w:eastAsia="de-DE"/>
              </w:rPr>
              <w:t xml:space="preserve">80 </w:t>
            </w:r>
            <w:r w:rsidRPr="00B100F1">
              <w:rPr>
                <w:color w:val="000000"/>
                <w:sz w:val="16"/>
                <w:szCs w:val="16"/>
                <w:lang w:eastAsia="de-DE"/>
              </w:rPr>
              <w:t>%.</w:t>
            </w:r>
          </w:p>
        </w:tc>
        <w:tc>
          <w:tcPr>
            <w:tcW w:w="867" w:type="pct"/>
          </w:tcPr>
          <w:p w14:paraId="137D3B68" w14:textId="77777777" w:rsidR="003012CB" w:rsidRPr="007C1854" w:rsidRDefault="003012CB" w:rsidP="00853BF6">
            <w:pPr>
              <w:rPr>
                <w:color w:val="000000"/>
                <w:sz w:val="16"/>
                <w:szCs w:val="16"/>
                <w:lang w:eastAsia="de-DE"/>
              </w:rPr>
            </w:pPr>
            <w:r w:rsidRPr="007C1854">
              <w:rPr>
                <w:color w:val="000000"/>
                <w:sz w:val="16"/>
                <w:szCs w:val="16"/>
                <w:lang w:eastAsia="de-DE"/>
              </w:rPr>
              <w:lastRenderedPageBreak/>
              <w:t>The study is validated as the survival rate in the control is higher than 70 % (100%).</w:t>
            </w:r>
          </w:p>
          <w:p w14:paraId="465CB290" w14:textId="77777777" w:rsidR="003012CB" w:rsidRPr="00EC1787" w:rsidRDefault="003012CB" w:rsidP="00853BF6">
            <w:pPr>
              <w:rPr>
                <w:color w:val="000000"/>
                <w:sz w:val="16"/>
                <w:szCs w:val="16"/>
                <w:lang w:eastAsia="de-DE"/>
              </w:rPr>
            </w:pPr>
            <w:r w:rsidRPr="007C1854">
              <w:rPr>
                <w:b/>
                <w:color w:val="000000"/>
                <w:sz w:val="16"/>
                <w:szCs w:val="16"/>
                <w:lang w:eastAsia="de-DE"/>
              </w:rPr>
              <w:t>The mortality observed in the treated block is higher than 80 % (90.9 %) validated the efficacy of the product, at the application rate of 300 g of product X6122B1/ m² of wood.</w:t>
            </w:r>
          </w:p>
        </w:tc>
        <w:tc>
          <w:tcPr>
            <w:tcW w:w="565" w:type="pct"/>
          </w:tcPr>
          <w:p w14:paraId="6D3B177A" w14:textId="77777777" w:rsidR="003012CB" w:rsidRPr="00C44877" w:rsidRDefault="003012CB" w:rsidP="00853BF6">
            <w:pPr>
              <w:rPr>
                <w:color w:val="000000"/>
                <w:sz w:val="16"/>
                <w:szCs w:val="16"/>
                <w:lang w:eastAsia="de-DE"/>
              </w:rPr>
            </w:pPr>
            <w:r w:rsidRPr="00C44877">
              <w:rPr>
                <w:color w:val="000000"/>
                <w:sz w:val="16"/>
                <w:szCs w:val="16"/>
                <w:lang w:eastAsia="de-DE"/>
              </w:rPr>
              <w:t>Brunet C. and Paulmier I., 2016</w:t>
            </w:r>
          </w:p>
          <w:p w14:paraId="0F008302" w14:textId="77777777" w:rsidR="003012CB" w:rsidRPr="00C44877" w:rsidRDefault="003012CB" w:rsidP="00853BF6">
            <w:pPr>
              <w:rPr>
                <w:color w:val="000000"/>
                <w:sz w:val="16"/>
                <w:szCs w:val="16"/>
                <w:lang w:eastAsia="de-DE"/>
              </w:rPr>
            </w:pPr>
          </w:p>
          <w:p w14:paraId="21AE958E" w14:textId="77777777" w:rsidR="003012CB" w:rsidRDefault="003012CB" w:rsidP="00853BF6">
            <w:pPr>
              <w:rPr>
                <w:color w:val="000000"/>
                <w:sz w:val="16"/>
                <w:szCs w:val="16"/>
                <w:lang w:eastAsia="de-DE"/>
              </w:rPr>
            </w:pPr>
            <w:r>
              <w:rPr>
                <w:color w:val="000000"/>
                <w:sz w:val="16"/>
                <w:szCs w:val="16"/>
                <w:lang w:eastAsia="de-DE"/>
              </w:rPr>
              <w:t>S6.7_11</w:t>
            </w:r>
          </w:p>
          <w:p w14:paraId="41AC3A68" w14:textId="77777777" w:rsidR="003012CB" w:rsidRPr="00C44877" w:rsidRDefault="003012CB" w:rsidP="00853BF6">
            <w:pPr>
              <w:rPr>
                <w:color w:val="000000"/>
                <w:sz w:val="16"/>
                <w:szCs w:val="16"/>
                <w:lang w:eastAsia="de-DE"/>
              </w:rPr>
            </w:pPr>
          </w:p>
          <w:p w14:paraId="07498F1C" w14:textId="77777777" w:rsidR="003012CB" w:rsidRPr="00C44877" w:rsidRDefault="003012CB" w:rsidP="00853BF6">
            <w:pPr>
              <w:rPr>
                <w:color w:val="000000"/>
                <w:sz w:val="16"/>
                <w:szCs w:val="16"/>
                <w:lang w:eastAsia="de-DE"/>
              </w:rPr>
            </w:pPr>
            <w:r w:rsidRPr="00C44877">
              <w:rPr>
                <w:color w:val="000000"/>
                <w:sz w:val="16"/>
                <w:szCs w:val="16"/>
                <w:lang w:eastAsia="de-DE"/>
              </w:rPr>
              <w:t>401/14/136F/e/e</w:t>
            </w:r>
          </w:p>
          <w:p w14:paraId="2C03EB28" w14:textId="77777777" w:rsidR="003012CB" w:rsidRPr="00C44877" w:rsidRDefault="003012CB" w:rsidP="00853BF6">
            <w:pPr>
              <w:rPr>
                <w:color w:val="000000"/>
                <w:sz w:val="16"/>
                <w:szCs w:val="16"/>
                <w:lang w:eastAsia="de-DE"/>
              </w:rPr>
            </w:pPr>
          </w:p>
          <w:p w14:paraId="2D612A09" w14:textId="77777777" w:rsidR="003012CB" w:rsidRPr="00C44877" w:rsidRDefault="003012CB" w:rsidP="00853BF6">
            <w:pPr>
              <w:rPr>
                <w:color w:val="000000"/>
                <w:sz w:val="16"/>
                <w:szCs w:val="16"/>
                <w:lang w:eastAsia="de-DE"/>
              </w:rPr>
            </w:pPr>
          </w:p>
          <w:p w14:paraId="03966035" w14:textId="77777777" w:rsidR="003012CB" w:rsidRPr="007A140B" w:rsidRDefault="003012CB" w:rsidP="00853BF6">
            <w:pPr>
              <w:rPr>
                <w:color w:val="000000"/>
                <w:sz w:val="16"/>
                <w:szCs w:val="16"/>
                <w:lang w:eastAsia="de-DE"/>
              </w:rPr>
            </w:pPr>
            <w:r w:rsidRPr="00C44877">
              <w:rPr>
                <w:color w:val="000000"/>
                <w:sz w:val="16"/>
                <w:szCs w:val="16"/>
                <w:lang w:eastAsia="de-DE"/>
              </w:rPr>
              <w:t>IC1</w:t>
            </w:r>
          </w:p>
        </w:tc>
      </w:tr>
    </w:tbl>
    <w:p w14:paraId="7892C45C" w14:textId="77777777" w:rsidR="009D0C0B" w:rsidRPr="003012CB" w:rsidRDefault="009D0C0B">
      <w:pPr>
        <w:spacing w:line="260" w:lineRule="atLeast"/>
        <w:rPr>
          <w:rFonts w:eastAsia="Calibri"/>
          <w:b/>
          <w:bCs/>
          <w:lang w:eastAsia="en-US"/>
        </w:rPr>
      </w:pPr>
    </w:p>
    <w:p w14:paraId="3183FC94" w14:textId="77777777" w:rsidR="009D0C0B" w:rsidRDefault="009D0C0B">
      <w:pPr>
        <w:spacing w:line="260" w:lineRule="atLeast"/>
        <w:rPr>
          <w:rFonts w:ascii="Times New Roman" w:eastAsia="Calibri" w:hAnsi="Times New Roman" w:cs="Times New Roman"/>
          <w:i/>
          <w:iCs/>
          <w:lang w:eastAsia="en-US"/>
        </w:rPr>
      </w:pPr>
    </w:p>
    <w:p w14:paraId="2F7D76AF" w14:textId="77777777" w:rsidR="003012CB" w:rsidRDefault="003012CB">
      <w:pPr>
        <w:spacing w:line="260" w:lineRule="atLeast"/>
        <w:rPr>
          <w:rFonts w:ascii="Times New Roman" w:eastAsia="Calibri" w:hAnsi="Times New Roman" w:cs="Times New Roman"/>
          <w:i/>
          <w:iCs/>
          <w:lang w:eastAsia="en-US"/>
        </w:rPr>
        <w:sectPr w:rsidR="003012CB" w:rsidSect="003012CB">
          <w:pgSz w:w="16838" w:h="11906" w:orient="landscape"/>
          <w:pgMar w:top="1418" w:right="1021" w:bottom="709" w:left="1021" w:header="709" w:footer="709" w:gutter="0"/>
          <w:cols w:space="708"/>
          <w:docGrid w:linePitch="360"/>
        </w:sectPr>
      </w:pPr>
    </w:p>
    <w:p w14:paraId="7B3EE4E6" w14:textId="77777777" w:rsidR="003012CB" w:rsidRDefault="003012CB">
      <w:pPr>
        <w:spacing w:line="260" w:lineRule="atLeast"/>
        <w:rPr>
          <w:rFonts w:ascii="Times New Roman" w:eastAsia="Calibri" w:hAnsi="Times New Roman" w:cs="Times New Roman"/>
          <w:i/>
          <w:iCs/>
          <w:lang w:eastAsia="en-US"/>
        </w:rPr>
      </w:pPr>
    </w:p>
    <w:p w14:paraId="36E036C7" w14:textId="77777777" w:rsidR="003012CB" w:rsidRPr="003012CB" w:rsidRDefault="003012CB">
      <w:pPr>
        <w:spacing w:line="260" w:lineRule="atLeast"/>
        <w:rPr>
          <w:rFonts w:ascii="Times New Roman" w:eastAsia="Calibri" w:hAnsi="Times New Roman" w:cs="Times New Roman"/>
          <w:i/>
          <w:iCs/>
          <w:lang w:eastAsia="en-US"/>
        </w:rPr>
      </w:pPr>
    </w:p>
    <w:tbl>
      <w:tblPr>
        <w:tblW w:w="0" w:type="auto"/>
        <w:tblInd w:w="-5" w:type="dxa"/>
        <w:tblLayout w:type="fixed"/>
        <w:tblLook w:val="0000" w:firstRow="0" w:lastRow="0" w:firstColumn="0" w:lastColumn="0" w:noHBand="0" w:noVBand="0"/>
      </w:tblPr>
      <w:tblGrid>
        <w:gridCol w:w="9445"/>
      </w:tblGrid>
      <w:tr w:rsidR="009C7F83" w:rsidRPr="009C7F83" w14:paraId="369B50AE"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52A2476F" w14:textId="77777777" w:rsidR="009D0C0B" w:rsidRPr="009C7F83" w:rsidRDefault="00FA480B">
            <w:pPr>
              <w:spacing w:line="260" w:lineRule="atLeast"/>
            </w:pPr>
            <w:r w:rsidRPr="009C7F83">
              <w:rPr>
                <w:rFonts w:eastAsia="Calibri"/>
                <w:b/>
                <w:bCs/>
                <w:lang w:eastAsia="en-US"/>
              </w:rPr>
              <w:t>Conclusion on the efficacy of the product</w:t>
            </w:r>
          </w:p>
        </w:tc>
      </w:tr>
      <w:tr w:rsidR="009C7F83" w:rsidRPr="009C7F83" w14:paraId="6B908ED5"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7F72F780" w14:textId="77777777" w:rsidR="009C7F83" w:rsidRPr="0039605F" w:rsidRDefault="009C7F83" w:rsidP="009C7F83">
            <w:pPr>
              <w:rPr>
                <w:rFonts w:cs="Arial"/>
                <w:lang w:val="en-US" w:eastAsia="en-US"/>
              </w:rPr>
            </w:pPr>
            <w:r w:rsidRPr="0039605F">
              <w:rPr>
                <w:rFonts w:cs="Arial"/>
                <w:lang w:val="en-US" w:eastAsia="en-US"/>
              </w:rPr>
              <w:t>French competent authorities (FR CA) assessed that the product X6122B1, has shown a sufficient efficacy for</w:t>
            </w:r>
          </w:p>
          <w:p w14:paraId="788DF6F6" w14:textId="10C91C2D" w:rsidR="009C7F83" w:rsidRPr="0039605F" w:rsidRDefault="009C7F83" w:rsidP="009C7F83">
            <w:pPr>
              <w:pStyle w:val="Paragraphedeliste"/>
              <w:numPr>
                <w:ilvl w:val="0"/>
                <w:numId w:val="25"/>
              </w:numPr>
              <w:suppressAutoHyphens w:val="0"/>
              <w:spacing w:line="260" w:lineRule="atLeast"/>
              <w:ind w:left="426"/>
              <w:contextualSpacing/>
              <w:rPr>
                <w:rFonts w:cs="Arial"/>
                <w:lang w:val="en-US" w:eastAsia="en-US"/>
              </w:rPr>
            </w:pPr>
            <w:r w:rsidRPr="0039605F">
              <w:rPr>
                <w:rFonts w:cs="Arial"/>
                <w:lang w:val="en-US" w:eastAsia="en-US"/>
              </w:rPr>
              <w:t>For</w:t>
            </w:r>
            <w:r w:rsidRPr="0039605F">
              <w:rPr>
                <w:rFonts w:cs="Arial"/>
              </w:rPr>
              <w:t xml:space="preserve"> the preventive treatment: superficial application at 200 g of product / m² of wood used in use class 1 against wood boring beetles and termites (</w:t>
            </w:r>
            <w:r w:rsidRPr="0039605F">
              <w:rPr>
                <w:rFonts w:cs="Arial"/>
                <w:i/>
              </w:rPr>
              <w:t>Reticulitermes spp.</w:t>
            </w:r>
            <w:r w:rsidRPr="0039605F">
              <w:rPr>
                <w:rFonts w:cs="Arial"/>
              </w:rPr>
              <w:t>)</w:t>
            </w:r>
            <w:r w:rsidR="002A6946">
              <w:rPr>
                <w:rFonts w:cs="Arial"/>
              </w:rPr>
              <w:t>, on</w:t>
            </w:r>
            <w:r w:rsidR="00E522F0">
              <w:rPr>
                <w:rFonts w:cs="Arial"/>
              </w:rPr>
              <w:t xml:space="preserve"> </w:t>
            </w:r>
            <w:r w:rsidR="002A6946">
              <w:rPr>
                <w:rFonts w:cs="Arial"/>
              </w:rPr>
              <w:t>softwood and hardwood</w:t>
            </w:r>
          </w:p>
          <w:p w14:paraId="62C625EC" w14:textId="0D7D32D0" w:rsidR="009C7F83" w:rsidRPr="0039605F" w:rsidRDefault="009C7F83" w:rsidP="009C7F83">
            <w:pPr>
              <w:pStyle w:val="Paragraphedeliste"/>
              <w:numPr>
                <w:ilvl w:val="0"/>
                <w:numId w:val="25"/>
              </w:numPr>
              <w:suppressAutoHyphens w:val="0"/>
              <w:spacing w:line="260" w:lineRule="atLeast"/>
              <w:ind w:left="426"/>
              <w:contextualSpacing/>
              <w:rPr>
                <w:rFonts w:cs="Arial"/>
                <w:lang w:val="en-US" w:eastAsia="en-US"/>
              </w:rPr>
            </w:pPr>
            <w:r w:rsidRPr="0039605F">
              <w:rPr>
                <w:rFonts w:cs="Arial"/>
                <w:lang w:val="en-US" w:eastAsia="en-US"/>
              </w:rPr>
              <w:t>For the curative treatment when used by superficial application for wood in service (not exposed to weathering and leaching) against wood boring beetles and termites (Reticulitermes spp.), at 300 g of product/m² that could be completed by injection application at 180 mL /m² if need be</w:t>
            </w:r>
            <w:r w:rsidR="002A6946">
              <w:rPr>
                <w:rFonts w:cs="Arial"/>
                <w:lang w:val="en-US" w:eastAsia="en-US"/>
              </w:rPr>
              <w:t>, on softwood and hardwood</w:t>
            </w:r>
            <w:r w:rsidRPr="0039605F">
              <w:rPr>
                <w:rFonts w:cs="Arial"/>
                <w:lang w:val="en-US" w:eastAsia="en-US"/>
              </w:rPr>
              <w:t>.</w:t>
            </w:r>
          </w:p>
          <w:p w14:paraId="66A9BFF3" w14:textId="77777777" w:rsidR="00CE392D" w:rsidRPr="0045722E" w:rsidRDefault="00CE392D">
            <w:pPr>
              <w:snapToGrid w:val="0"/>
              <w:spacing w:line="260" w:lineRule="atLeast"/>
              <w:rPr>
                <w:rFonts w:cs="Arial"/>
                <w:lang w:val="en-US"/>
              </w:rPr>
            </w:pPr>
          </w:p>
          <w:p w14:paraId="3D5B1DBC" w14:textId="552CB92B" w:rsidR="00CE392D" w:rsidRPr="0045722E" w:rsidRDefault="00CE392D">
            <w:pPr>
              <w:snapToGrid w:val="0"/>
              <w:spacing w:line="260" w:lineRule="atLeast"/>
              <w:rPr>
                <w:rFonts w:eastAsia="Calibri"/>
                <w:b/>
                <w:bCs/>
                <w:lang w:val="en-US" w:eastAsia="en-US"/>
              </w:rPr>
            </w:pPr>
            <w:r w:rsidRPr="00B100F1">
              <w:rPr>
                <w:rFonts w:cs="Arial"/>
                <w:lang w:val="en-US"/>
              </w:rPr>
              <w:t>FR CA consider</w:t>
            </w:r>
            <w:r w:rsidR="00315E5F" w:rsidRPr="00B100F1">
              <w:rPr>
                <w:rFonts w:cs="Arial"/>
                <w:lang w:val="en-US"/>
              </w:rPr>
              <w:t>s</w:t>
            </w:r>
            <w:r w:rsidRPr="00B100F1">
              <w:rPr>
                <w:rFonts w:cs="Arial"/>
                <w:lang w:val="en-US"/>
              </w:rPr>
              <w:t xml:space="preserve"> that the efficacy data are not sufficient to demonstrate the efficacy of the product X6122B1</w:t>
            </w:r>
            <w:r w:rsidR="005D37EC" w:rsidRPr="00B100F1">
              <w:rPr>
                <w:rFonts w:cs="Arial"/>
                <w:lang w:val="en-US"/>
              </w:rPr>
              <w:t xml:space="preserve"> against wood rotting fungi</w:t>
            </w:r>
            <w:r w:rsidRPr="00B100F1">
              <w:rPr>
                <w:rFonts w:cs="Arial"/>
                <w:lang w:val="en-US"/>
              </w:rPr>
              <w:t>. Indeed, at the application rate claimed by the applicant, the efficacy is not demonstrated against all the mandatory fungi strains of the EN 113 after an ageing following the EN 73.</w:t>
            </w:r>
          </w:p>
        </w:tc>
      </w:tr>
    </w:tbl>
    <w:p w14:paraId="23C483E8" w14:textId="77777777" w:rsidR="009D0C0B" w:rsidRPr="009C7F83" w:rsidRDefault="009D0C0B">
      <w:pPr>
        <w:spacing w:line="260" w:lineRule="atLeast"/>
        <w:ind w:left="360"/>
        <w:rPr>
          <w:rFonts w:eastAsia="Calibri"/>
          <w:lang w:eastAsia="en-US"/>
        </w:rPr>
      </w:pPr>
    </w:p>
    <w:p w14:paraId="45051EF1" w14:textId="77777777" w:rsidR="009D0C0B" w:rsidRPr="00FE333D" w:rsidRDefault="00FA480B">
      <w:pPr>
        <w:pStyle w:val="Titre4"/>
        <w:rPr>
          <w:rFonts w:ascii="Times New Roman" w:hAnsi="Times New Roman" w:cs="Times New Roman"/>
          <w:i/>
          <w:iCs/>
          <w:lang w:val="en-US" w:eastAsia="en-US"/>
        </w:rPr>
      </w:pPr>
      <w:bookmarkStart w:id="91" w:name="_Toc536627311"/>
      <w:r w:rsidRPr="00FE333D">
        <w:rPr>
          <w:lang w:val="en-US"/>
        </w:rPr>
        <w:t>Occurrence of resistance and resistance management</w:t>
      </w:r>
      <w:bookmarkEnd w:id="91"/>
    </w:p>
    <w:p w14:paraId="7080DE36" w14:textId="77777777" w:rsidR="001B60C7" w:rsidRPr="001B60C7" w:rsidRDefault="001B60C7" w:rsidP="001B60C7">
      <w:pPr>
        <w:rPr>
          <w:rFonts w:cs="Arial"/>
          <w:lang w:val="en-US"/>
        </w:rPr>
      </w:pPr>
      <w:bookmarkStart w:id="92" w:name="_Toc389748705"/>
      <w:bookmarkStart w:id="93" w:name="_Toc389750120"/>
      <w:bookmarkStart w:id="94" w:name="_Toc389807558"/>
      <w:bookmarkStart w:id="95" w:name="_Toc389807924"/>
      <w:r w:rsidRPr="001B60C7">
        <w:rPr>
          <w:rFonts w:cs="Arial"/>
          <w:lang w:val="en-US"/>
        </w:rPr>
        <w:t xml:space="preserve">Resistance to pyrethroid insecticides such as cypermethrin has been reported for a number of pests both in ariculture and public health. However, no data has been found in the literature regarding resistance occurrence to cypermethrin among wood-boring beetle and termites. </w:t>
      </w:r>
    </w:p>
    <w:p w14:paraId="1AD9B594" w14:textId="77777777" w:rsidR="001B60C7" w:rsidRPr="001B60C7" w:rsidRDefault="001B60C7" w:rsidP="001B60C7">
      <w:pPr>
        <w:rPr>
          <w:rFonts w:cs="Arial"/>
          <w:i/>
          <w:iCs/>
          <w:lang w:eastAsia="en-US"/>
        </w:rPr>
      </w:pPr>
    </w:p>
    <w:p w14:paraId="2D17C143" w14:textId="77777777" w:rsidR="001B60C7" w:rsidRPr="001B60C7" w:rsidRDefault="001B60C7" w:rsidP="001B60C7">
      <w:pPr>
        <w:rPr>
          <w:rFonts w:cs="Arial"/>
          <w:lang w:val="en-US"/>
        </w:rPr>
      </w:pPr>
      <w:r w:rsidRPr="001B60C7">
        <w:rPr>
          <w:rFonts w:cs="Arial"/>
          <w:lang w:val="en-US"/>
        </w:rPr>
        <w:t>Tebuconazole and Propiconazole are DeMethylation Inhibitor (DMI) fungicides within Sterol</w:t>
      </w:r>
      <w:r w:rsidRPr="001B60C7">
        <w:rPr>
          <w:rFonts w:cs="Arial"/>
          <w:lang w:val="en-US"/>
        </w:rPr>
        <w:br/>
        <w:t>Biosynthesis Inhibitor (SBI) Class I. According to the FRAC Code List, DMI fungicides show no</w:t>
      </w:r>
      <w:r w:rsidRPr="001B60C7">
        <w:rPr>
          <w:rFonts w:cs="Arial"/>
          <w:lang w:val="en-US"/>
        </w:rPr>
        <w:br/>
        <w:t>cross resistance to other SBI classes. There are big differences in the activity spectra of DMI</w:t>
      </w:r>
      <w:r w:rsidRPr="001B60C7">
        <w:rPr>
          <w:rFonts w:cs="Arial"/>
          <w:lang w:val="en-US"/>
        </w:rPr>
        <w:br/>
        <w:t>fungicides. Resistance to DMI fungicides is known in various fungal species. Several resistance</w:t>
      </w:r>
      <w:r w:rsidRPr="001B60C7">
        <w:rPr>
          <w:rFonts w:cs="Arial"/>
          <w:lang w:val="en-US"/>
        </w:rPr>
        <w:br/>
        <w:t>mechanisms are known incl. target site mutations in cyp51 (erg 11) gene, e.g. V136A, Y137F</w:t>
      </w:r>
      <w:proofErr w:type="gramStart"/>
      <w:r w:rsidRPr="001B60C7">
        <w:rPr>
          <w:rFonts w:cs="Arial"/>
          <w:lang w:val="en-US"/>
        </w:rPr>
        <w:t>,</w:t>
      </w:r>
      <w:proofErr w:type="gramEnd"/>
      <w:r w:rsidRPr="001B60C7">
        <w:rPr>
          <w:rFonts w:cs="Arial"/>
          <w:lang w:val="en-US"/>
        </w:rPr>
        <w:br/>
        <w:t>A379G, I381V; cyp51 promotor; ABC transporters and others. It is considered generally wise to</w:t>
      </w:r>
      <w:r w:rsidRPr="001B60C7">
        <w:rPr>
          <w:rFonts w:cs="Arial"/>
          <w:lang w:val="en-US"/>
        </w:rPr>
        <w:br/>
        <w:t>accept that cross resistance is present between DMI fungicides active against the same fungus,</w:t>
      </w:r>
      <w:r w:rsidRPr="001B60C7">
        <w:rPr>
          <w:rFonts w:cs="Arial"/>
          <w:lang w:val="en-US"/>
        </w:rPr>
        <w:br/>
        <w:t>and the risk of resistance formation against DMI fungicides is regarded to be medium</w:t>
      </w:r>
      <w:r w:rsidRPr="001B60C7">
        <w:rPr>
          <w:rFonts w:cs="Arial"/>
          <w:lang w:val="en-US"/>
        </w:rPr>
        <w:br/>
        <w:t>(Resistance management required).</w:t>
      </w:r>
    </w:p>
    <w:p w14:paraId="035E00A9" w14:textId="77777777" w:rsidR="001B60C7" w:rsidRPr="001B60C7" w:rsidRDefault="001B60C7" w:rsidP="001B60C7">
      <w:pPr>
        <w:rPr>
          <w:rFonts w:cs="Arial"/>
          <w:lang w:val="en-US"/>
        </w:rPr>
      </w:pPr>
      <w:r w:rsidRPr="001B60C7">
        <w:rPr>
          <w:rFonts w:cs="Arial"/>
          <w:lang w:val="en-US"/>
        </w:rPr>
        <w:t>For wood preservation with tebuconazole-and propiconazole-containing products, cases of resistances are not reported or known up to the time being.</w:t>
      </w:r>
      <w:r w:rsidRPr="001B60C7" w:rsidDel="007A4BC9">
        <w:rPr>
          <w:rFonts w:cs="Arial"/>
          <w:lang w:val="en-US"/>
        </w:rPr>
        <w:t xml:space="preserve"> </w:t>
      </w:r>
    </w:p>
    <w:p w14:paraId="484BF44A" w14:textId="77777777" w:rsidR="001B60C7" w:rsidRPr="001B60C7" w:rsidRDefault="001B60C7" w:rsidP="001B60C7">
      <w:pPr>
        <w:rPr>
          <w:rFonts w:cs="Arial"/>
          <w:lang w:val="en-US"/>
        </w:rPr>
      </w:pPr>
    </w:p>
    <w:p w14:paraId="24E78AC2" w14:textId="77777777" w:rsidR="001B60C7" w:rsidRPr="001B60C7" w:rsidRDefault="001B60C7" w:rsidP="001B60C7">
      <w:pPr>
        <w:rPr>
          <w:rFonts w:cs="Arial"/>
          <w:lang w:val="en-US"/>
        </w:rPr>
      </w:pPr>
      <w:r w:rsidRPr="001B60C7">
        <w:rPr>
          <w:rFonts w:cs="Arial"/>
          <w:lang w:val="en-US"/>
        </w:rPr>
        <w:t xml:space="preserve">The risk of resistance formation against Carbamate fungicides is regarded to be low to medium by FRAC (Fungicide Resistance Action Committee. This applies to the use of Carbamate fungicides in agriculture, where yearly applications to the same fields are possible (even more than one application per season is possible). </w:t>
      </w:r>
    </w:p>
    <w:p w14:paraId="61C30014" w14:textId="77777777" w:rsidR="001B60C7" w:rsidRPr="001B60C7" w:rsidRDefault="001B60C7" w:rsidP="001B60C7">
      <w:pPr>
        <w:rPr>
          <w:rFonts w:cs="Arial"/>
          <w:lang w:val="en-US"/>
        </w:rPr>
      </w:pPr>
      <w:r w:rsidRPr="001B60C7">
        <w:rPr>
          <w:rFonts w:cs="Arial"/>
          <w:lang w:val="en-US"/>
        </w:rPr>
        <w:t>With regard to the use of Carbamates in wood preservation, resistance formation constitutes an even smaller problem: The number of treatments to a wooden structure is generally low (in many cases, only one application is made per lifetime of timber structures), resulting in a low selection pressure.</w:t>
      </w:r>
    </w:p>
    <w:p w14:paraId="10E6E3AC" w14:textId="77777777" w:rsidR="001B60C7" w:rsidRPr="001B60C7" w:rsidRDefault="001B60C7" w:rsidP="001B60C7">
      <w:pPr>
        <w:rPr>
          <w:rFonts w:cs="Arial"/>
          <w:lang w:val="en-US"/>
        </w:rPr>
      </w:pPr>
    </w:p>
    <w:p w14:paraId="04B90040" w14:textId="77777777" w:rsidR="001B60C7" w:rsidRPr="001B60C7" w:rsidRDefault="001B60C7" w:rsidP="001B60C7">
      <w:pPr>
        <w:rPr>
          <w:rFonts w:cs="Arial"/>
          <w:lang w:val="en-US"/>
        </w:rPr>
      </w:pPr>
      <w:r w:rsidRPr="001B60C7">
        <w:rPr>
          <w:rFonts w:cs="Arial"/>
          <w:lang w:val="en-US"/>
        </w:rPr>
        <w:t>To ensure a satisfactory level of efficacy and avoid the development of resistance, the following recommendations have to be implemented:</w:t>
      </w:r>
    </w:p>
    <w:p w14:paraId="484B44A8" w14:textId="77777777" w:rsidR="001B60C7" w:rsidRPr="001B60C7" w:rsidRDefault="001B60C7" w:rsidP="001B60C7">
      <w:pPr>
        <w:rPr>
          <w:rFonts w:cs="Arial"/>
          <w:lang w:val="en-US"/>
        </w:rPr>
      </w:pPr>
    </w:p>
    <w:p w14:paraId="0A95BDB9" w14:textId="77777777" w:rsidR="001B60C7" w:rsidRPr="001B60C7" w:rsidRDefault="001B60C7" w:rsidP="001B60C7">
      <w:pPr>
        <w:rPr>
          <w:rFonts w:cs="Arial"/>
          <w:lang w:val="en-US"/>
        </w:rPr>
      </w:pPr>
      <w:r w:rsidRPr="001B60C7">
        <w:rPr>
          <w:rFonts w:cs="Arial"/>
          <w:lang w:val="en-US"/>
        </w:rPr>
        <w:t xml:space="preserve"> - Always read the label or leaflet before use and follow all the instructions provided. </w:t>
      </w:r>
    </w:p>
    <w:p w14:paraId="2D9C09C5" w14:textId="77777777" w:rsidR="001B60C7" w:rsidRPr="001B60C7" w:rsidRDefault="001B60C7" w:rsidP="001B60C7">
      <w:pPr>
        <w:rPr>
          <w:rFonts w:cs="Arial"/>
          <w:lang w:val="en-US"/>
        </w:rPr>
      </w:pPr>
      <w:r w:rsidRPr="001B60C7">
        <w:rPr>
          <w:rFonts w:cs="Arial"/>
          <w:lang w:val="en-US"/>
        </w:rPr>
        <w:t>- The users should inform if the treatment is ineffective and report straightforward to the registration holder.</w:t>
      </w:r>
    </w:p>
    <w:bookmarkEnd w:id="92"/>
    <w:bookmarkEnd w:id="93"/>
    <w:bookmarkEnd w:id="94"/>
    <w:bookmarkEnd w:id="95"/>
    <w:p w14:paraId="562FA0CF" w14:textId="77777777" w:rsidR="001B60C7" w:rsidRPr="001B60C7" w:rsidRDefault="001B60C7">
      <w:pPr>
        <w:spacing w:line="260" w:lineRule="atLeast"/>
        <w:rPr>
          <w:rFonts w:eastAsia="Calibri" w:cs="Times New Roman"/>
          <w:i/>
          <w:iCs/>
          <w:szCs w:val="24"/>
          <w:lang w:val="en-US" w:eastAsia="en-US"/>
        </w:rPr>
      </w:pPr>
    </w:p>
    <w:p w14:paraId="7C3901A8" w14:textId="77777777" w:rsidR="001B60C7" w:rsidRDefault="001B60C7">
      <w:pPr>
        <w:spacing w:line="260" w:lineRule="atLeast"/>
        <w:rPr>
          <w:rFonts w:ascii="Times New Roman" w:eastAsia="Calibri" w:hAnsi="Times New Roman" w:cs="Times New Roman"/>
          <w:i/>
          <w:iCs/>
          <w:szCs w:val="24"/>
          <w:lang w:eastAsia="en-US"/>
        </w:rPr>
      </w:pPr>
    </w:p>
    <w:p w14:paraId="32018FC8" w14:textId="77777777" w:rsidR="009D0C0B" w:rsidRDefault="009D0C0B">
      <w:pPr>
        <w:spacing w:line="260" w:lineRule="atLeast"/>
        <w:rPr>
          <w:rFonts w:ascii="Times New Roman" w:eastAsia="Calibri" w:hAnsi="Times New Roman" w:cs="Times New Roman"/>
          <w:i/>
          <w:iCs/>
          <w:szCs w:val="24"/>
          <w:lang w:eastAsia="en-US"/>
        </w:rPr>
      </w:pPr>
    </w:p>
    <w:p w14:paraId="00F5A7FA" w14:textId="77777777" w:rsidR="009D0C0B" w:rsidRDefault="00FA480B">
      <w:pPr>
        <w:pStyle w:val="Titre4"/>
        <w:rPr>
          <w:rFonts w:ascii="Times New Roman" w:hAnsi="Times New Roman" w:cs="Times New Roman"/>
          <w:i/>
          <w:iCs/>
          <w:lang w:eastAsia="en-US"/>
        </w:rPr>
      </w:pPr>
      <w:bookmarkStart w:id="96" w:name="_Toc536627312"/>
      <w:r>
        <w:lastRenderedPageBreak/>
        <w:t>Evaluation of the label claims</w:t>
      </w:r>
      <w:bookmarkEnd w:id="96"/>
    </w:p>
    <w:p w14:paraId="6B39DDC3" w14:textId="77777777" w:rsidR="000B39DA" w:rsidRPr="000B39DA" w:rsidRDefault="000B39DA" w:rsidP="000B39DA">
      <w:pPr>
        <w:rPr>
          <w:rFonts w:cs="Arial"/>
          <w:lang w:val="en-US"/>
        </w:rPr>
      </w:pPr>
      <w:r w:rsidRPr="000B39DA">
        <w:rPr>
          <w:rFonts w:cs="Arial"/>
          <w:lang w:val="en-US"/>
        </w:rPr>
        <w:t xml:space="preserve">French competent authorities (FR CA) assessed that the product </w:t>
      </w:r>
      <w:r w:rsidRPr="000B39DA">
        <w:rPr>
          <w:rFonts w:cs="Arial"/>
          <w:color w:val="000000"/>
          <w:lang w:val="en-US"/>
        </w:rPr>
        <w:t xml:space="preserve">X6122B1 </w:t>
      </w:r>
      <w:r w:rsidRPr="000B39DA">
        <w:rPr>
          <w:rFonts w:cs="Arial"/>
          <w:lang w:val="en-US"/>
        </w:rPr>
        <w:t>has shown a sufficient efficacy for the control of wood boring beetles (</w:t>
      </w:r>
      <w:r w:rsidRPr="000B39DA">
        <w:rPr>
          <w:rFonts w:cs="Arial"/>
          <w:i/>
          <w:lang w:val="en-US"/>
        </w:rPr>
        <w:t>Hylotrupes bajulus, Anobium punctatum</w:t>
      </w:r>
      <w:r w:rsidRPr="000B39DA">
        <w:rPr>
          <w:rFonts w:cs="Arial"/>
          <w:lang w:val="en-US"/>
        </w:rPr>
        <w:t xml:space="preserve"> and </w:t>
      </w:r>
      <w:r w:rsidRPr="000B39DA">
        <w:rPr>
          <w:rFonts w:cs="Arial"/>
          <w:i/>
          <w:lang w:val="en-US"/>
        </w:rPr>
        <w:t>Lyctus brunneus</w:t>
      </w:r>
      <w:r w:rsidRPr="000B39DA">
        <w:rPr>
          <w:rFonts w:cs="Arial"/>
          <w:lang w:val="en-US"/>
        </w:rPr>
        <w:t>) and termites (</w:t>
      </w:r>
      <w:r w:rsidRPr="000B39DA">
        <w:rPr>
          <w:rFonts w:cs="Arial"/>
          <w:i/>
          <w:lang w:val="en-US"/>
        </w:rPr>
        <w:t>Reticulitermes spp.</w:t>
      </w:r>
      <w:r w:rsidRPr="000B39DA">
        <w:rPr>
          <w:rFonts w:cs="Arial"/>
          <w:lang w:val="en-US"/>
        </w:rPr>
        <w:t xml:space="preserve">). </w:t>
      </w:r>
    </w:p>
    <w:p w14:paraId="25FD67AC" w14:textId="7F6B49B7" w:rsidR="000B39DA" w:rsidRPr="000B39DA" w:rsidRDefault="000B39DA" w:rsidP="000B39DA">
      <w:pPr>
        <w:rPr>
          <w:rFonts w:cs="Arial"/>
          <w:lang w:val="en-US"/>
        </w:rPr>
      </w:pPr>
      <w:r w:rsidRPr="00B100F1">
        <w:rPr>
          <w:rFonts w:cs="Arial"/>
          <w:lang w:val="en-US"/>
        </w:rPr>
        <w:t>However, regarding the claim against wood rotting fungi, FR CA consider</w:t>
      </w:r>
      <w:r w:rsidR="0045722E" w:rsidRPr="00B100F1">
        <w:rPr>
          <w:rFonts w:cs="Arial"/>
          <w:lang w:val="en-US"/>
        </w:rPr>
        <w:t>s</w:t>
      </w:r>
      <w:r w:rsidRPr="00B100F1">
        <w:rPr>
          <w:rFonts w:cs="Arial"/>
          <w:lang w:val="en-US"/>
        </w:rPr>
        <w:t xml:space="preserve"> that the efficacy data are not sufficient to demonstrate the efficacy of the product X6122B1. Indeed, at the application rate claimed by the applicant, the efficacy is not demonstrated against all the mandatory fungi strains of the EN 113 after an ageing following the EN 73. Consequently this claim is not proposed for an authorization and then the preventive efficacy in use classes 2 and 3 is not demonstrated.</w:t>
      </w:r>
    </w:p>
    <w:p w14:paraId="057EEACF" w14:textId="77777777" w:rsidR="000B39DA" w:rsidRPr="000B39DA" w:rsidRDefault="000B39DA" w:rsidP="000B39DA">
      <w:pPr>
        <w:rPr>
          <w:rFonts w:cs="Arial"/>
          <w:lang w:val="en-US"/>
        </w:rPr>
      </w:pPr>
    </w:p>
    <w:p w14:paraId="7102B8F3" w14:textId="77777777" w:rsidR="000B39DA" w:rsidRPr="000B39DA" w:rsidRDefault="000B39DA" w:rsidP="000B39DA">
      <w:pPr>
        <w:rPr>
          <w:rFonts w:cs="Arial"/>
        </w:rPr>
      </w:pPr>
    </w:p>
    <w:p w14:paraId="107E337F" w14:textId="77777777" w:rsidR="000B39DA" w:rsidRPr="000B39DA" w:rsidRDefault="000B39DA" w:rsidP="000B39DA">
      <w:pPr>
        <w:rPr>
          <w:rFonts w:cs="Arial"/>
          <w:u w:val="single"/>
          <w:lang w:val="en-US"/>
        </w:rPr>
      </w:pPr>
      <w:r w:rsidRPr="000B39DA">
        <w:rPr>
          <w:rFonts w:cs="Arial"/>
          <w:u w:val="single"/>
          <w:lang w:val="en-US"/>
        </w:rPr>
        <w:t xml:space="preserve">The application rates validated are the following: </w:t>
      </w:r>
    </w:p>
    <w:p w14:paraId="548A544B" w14:textId="2FC876B9" w:rsidR="000B39DA" w:rsidRPr="000B39DA" w:rsidRDefault="000B39DA" w:rsidP="000B39DA">
      <w:pPr>
        <w:ind w:left="284" w:hanging="284"/>
        <w:rPr>
          <w:rFonts w:cs="Arial"/>
        </w:rPr>
      </w:pPr>
      <w:r w:rsidRPr="000B39DA">
        <w:rPr>
          <w:rFonts w:cs="Arial"/>
        </w:rPr>
        <w:t>-</w:t>
      </w:r>
      <w:r w:rsidRPr="000B39DA">
        <w:rPr>
          <w:rFonts w:cs="Arial"/>
        </w:rPr>
        <w:tab/>
        <w:t>Preventive treatment</w:t>
      </w:r>
      <w:r w:rsidR="00CE392D">
        <w:rPr>
          <w:rFonts w:cs="Arial"/>
        </w:rPr>
        <w:t xml:space="preserve"> against wood boring beetles and termites</w:t>
      </w:r>
      <w:r w:rsidRPr="000B39DA">
        <w:rPr>
          <w:rFonts w:cs="Arial"/>
        </w:rPr>
        <w:t>: superficial application at 200 g of product / m² of wood</w:t>
      </w:r>
    </w:p>
    <w:p w14:paraId="59D0B42F" w14:textId="387F515A" w:rsidR="000B39DA" w:rsidRPr="000B39DA" w:rsidRDefault="000B39DA" w:rsidP="000B39DA">
      <w:pPr>
        <w:ind w:left="284" w:hanging="284"/>
        <w:rPr>
          <w:rFonts w:cs="Arial"/>
          <w:lang w:val="en-US"/>
        </w:rPr>
      </w:pPr>
      <w:r w:rsidRPr="000B39DA">
        <w:rPr>
          <w:rFonts w:cs="Arial"/>
        </w:rPr>
        <w:t>-</w:t>
      </w:r>
      <w:r w:rsidRPr="000B39DA">
        <w:rPr>
          <w:rFonts w:cs="Arial"/>
        </w:rPr>
        <w:tab/>
        <w:t>Curative treatment</w:t>
      </w:r>
      <w:r w:rsidR="00CE392D">
        <w:rPr>
          <w:rFonts w:cs="Arial"/>
        </w:rPr>
        <w:t xml:space="preserve"> against wood boring beetles and termites</w:t>
      </w:r>
      <w:r w:rsidRPr="000B39DA">
        <w:rPr>
          <w:rFonts w:cs="Arial"/>
        </w:rPr>
        <w:t xml:space="preserve">: superficial application at 300 g of product / m² of wood, </w:t>
      </w:r>
      <w:r w:rsidRPr="000B39DA">
        <w:rPr>
          <w:rFonts w:cs="Arial"/>
          <w:lang w:val="en-US"/>
        </w:rPr>
        <w:t>completed by injection if need be</w:t>
      </w:r>
      <w:r w:rsidRPr="000B39DA">
        <w:rPr>
          <w:rFonts w:cs="Arial"/>
        </w:rPr>
        <w:t xml:space="preserve"> at 180 mL/m²</w:t>
      </w:r>
    </w:p>
    <w:p w14:paraId="369D6157" w14:textId="77777777" w:rsidR="000B39DA" w:rsidRPr="000B39DA" w:rsidRDefault="000B39DA">
      <w:pPr>
        <w:spacing w:line="260" w:lineRule="atLeast"/>
        <w:rPr>
          <w:rFonts w:ascii="Times New Roman" w:eastAsia="Calibri" w:hAnsi="Times New Roman" w:cs="Arial"/>
          <w:bCs/>
          <w:i/>
          <w:iCs/>
          <w:caps/>
          <w:szCs w:val="28"/>
          <w:lang w:val="en-US" w:eastAsia="en-US"/>
        </w:rPr>
      </w:pPr>
    </w:p>
    <w:p w14:paraId="4EAC2085" w14:textId="77777777" w:rsidR="000B39DA" w:rsidRDefault="000B39DA">
      <w:pPr>
        <w:spacing w:line="260" w:lineRule="atLeast"/>
        <w:rPr>
          <w:rFonts w:ascii="Times New Roman" w:eastAsia="Calibri" w:hAnsi="Times New Roman" w:cs="Arial"/>
          <w:bCs/>
          <w:i/>
          <w:iCs/>
          <w:caps/>
          <w:szCs w:val="28"/>
          <w:lang w:eastAsia="en-US"/>
        </w:rPr>
      </w:pPr>
    </w:p>
    <w:p w14:paraId="3C6866F5" w14:textId="77777777" w:rsidR="009D0C0B" w:rsidRDefault="00FA480B">
      <w:pPr>
        <w:pStyle w:val="Titre3"/>
        <w:pageBreakBefore/>
        <w:rPr>
          <w:rFonts w:ascii="Times New Roman" w:eastAsia="Calibri" w:hAnsi="Times New Roman" w:cs="Times New Roman"/>
          <w:i/>
          <w:iCs/>
          <w:lang w:eastAsia="en-US"/>
        </w:rPr>
      </w:pPr>
      <w:bookmarkStart w:id="97" w:name="_Toc536627313"/>
      <w:r>
        <w:lastRenderedPageBreak/>
        <w:t>Risk assessment for human health</w:t>
      </w:r>
      <w:bookmarkEnd w:id="97"/>
    </w:p>
    <w:p w14:paraId="0C429A47" w14:textId="77777777" w:rsidR="009D4550" w:rsidRPr="009D4550" w:rsidRDefault="009D4550" w:rsidP="009D4550">
      <w:pPr>
        <w:pStyle w:val="Titre4"/>
      </w:pPr>
      <w:bookmarkStart w:id="98" w:name="_Toc298153812"/>
      <w:bookmarkStart w:id="99" w:name="_Toc536627314"/>
      <w:r w:rsidRPr="009D4550">
        <w:t>Hazard potential</w:t>
      </w:r>
      <w:bookmarkEnd w:id="98"/>
      <w:bookmarkEnd w:id="99"/>
    </w:p>
    <w:p w14:paraId="72253E07" w14:textId="63ED1636" w:rsidR="009D4550" w:rsidRPr="00434364" w:rsidRDefault="009D4550" w:rsidP="009D4550">
      <w:pPr>
        <w:pStyle w:val="Titre5"/>
      </w:pPr>
      <w:bookmarkStart w:id="100" w:name="_Toc281929704"/>
      <w:bookmarkStart w:id="101" w:name="_Toc253495075"/>
      <w:r w:rsidRPr="00434364">
        <w:t>Toxicology of the active substance</w:t>
      </w:r>
      <w:r w:rsidR="006A5740">
        <w:t>s</w:t>
      </w:r>
    </w:p>
    <w:bookmarkEnd w:id="100"/>
    <w:p w14:paraId="08F4516C" w14:textId="50B36862" w:rsidR="00363C14" w:rsidRDefault="009D4550" w:rsidP="009D4550">
      <w:pPr>
        <w:rPr>
          <w:rFonts w:cs="Arial"/>
        </w:rPr>
      </w:pPr>
      <w:r w:rsidRPr="00F43DDA">
        <w:rPr>
          <w:rFonts w:cs="Arial"/>
        </w:rPr>
        <w:t>The toxicology of the active substance</w:t>
      </w:r>
      <w:r w:rsidR="006A5740">
        <w:rPr>
          <w:rFonts w:cs="Arial"/>
        </w:rPr>
        <w:t>s</w:t>
      </w:r>
      <w:r w:rsidRPr="00F43DDA">
        <w:rPr>
          <w:rFonts w:cs="Arial"/>
        </w:rPr>
        <w:t xml:space="preserve"> </w:t>
      </w:r>
      <w:r w:rsidR="006A5740" w:rsidRPr="00F43DDA">
        <w:rPr>
          <w:rFonts w:cs="Arial"/>
        </w:rPr>
        <w:t>w</w:t>
      </w:r>
      <w:r w:rsidR="006A5740">
        <w:rPr>
          <w:rFonts w:cs="Arial"/>
        </w:rPr>
        <w:t xml:space="preserve">ere </w:t>
      </w:r>
      <w:r w:rsidRPr="00F43DDA">
        <w:rPr>
          <w:rFonts w:cs="Arial"/>
        </w:rPr>
        <w:t>examined extensively according to standard requirements. The results of this toxicological assessment can be found in the CAR</w:t>
      </w:r>
      <w:r w:rsidR="00363C14">
        <w:rPr>
          <w:rStyle w:val="Appelnotedebasdep"/>
          <w:rFonts w:cs="Arial"/>
        </w:rPr>
        <w:footnoteReference w:id="14"/>
      </w:r>
      <w:r w:rsidRPr="00F43DDA">
        <w:rPr>
          <w:rFonts w:cs="Arial"/>
        </w:rPr>
        <w:t xml:space="preserve">. </w:t>
      </w:r>
    </w:p>
    <w:p w14:paraId="19C98124" w14:textId="39DD786F" w:rsidR="009D4550" w:rsidRPr="00F43DDA" w:rsidRDefault="009D4550" w:rsidP="009D4550">
      <w:pPr>
        <w:rPr>
          <w:rFonts w:cs="Arial"/>
        </w:rPr>
      </w:pPr>
      <w:r w:rsidRPr="00F43DDA">
        <w:rPr>
          <w:rFonts w:cs="Arial"/>
        </w:rPr>
        <w:t>The threshold limits and labelling regarding human health risks listed in Annex 4 „Toxicology and metabolism” must be taken into consideration.</w:t>
      </w:r>
    </w:p>
    <w:p w14:paraId="626BF973" w14:textId="77777777" w:rsidR="009D4550" w:rsidRPr="00F43DDA" w:rsidRDefault="009D4550" w:rsidP="009D4550">
      <w:pPr>
        <w:rPr>
          <w:rFonts w:cs="Arial"/>
        </w:rPr>
      </w:pPr>
    </w:p>
    <w:p w14:paraId="634D9388" w14:textId="77777777" w:rsidR="009D4550" w:rsidRPr="00F43DDA" w:rsidRDefault="009D4550" w:rsidP="009D4550">
      <w:pPr>
        <w:rPr>
          <w:rFonts w:cs="Arial"/>
        </w:rPr>
      </w:pPr>
      <w:r w:rsidRPr="00F43DDA">
        <w:rPr>
          <w:rFonts w:cs="Arial"/>
        </w:rPr>
        <w:t>See the Assessment Reports of the active substances.</w:t>
      </w:r>
    </w:p>
    <w:p w14:paraId="3221B1AF" w14:textId="77777777" w:rsidR="009D4550" w:rsidRPr="00F43DDA" w:rsidRDefault="009D4550" w:rsidP="009D4550">
      <w:pPr>
        <w:rPr>
          <w:rFonts w:cs="Arial"/>
        </w:rPr>
      </w:pPr>
    </w:p>
    <w:p w14:paraId="51AA41EB" w14:textId="77777777" w:rsidR="009D4550" w:rsidRPr="00F43DDA" w:rsidRDefault="009D4550" w:rsidP="009D4550">
      <w:pPr>
        <w:rPr>
          <w:rFonts w:cs="Arial"/>
        </w:rPr>
      </w:pPr>
      <w:r w:rsidRPr="00F43DDA">
        <w:rPr>
          <w:rFonts w:cs="Arial"/>
        </w:rPr>
        <w:t>The relevant critical endpoints are summarised in the following table:</w:t>
      </w:r>
    </w:p>
    <w:p w14:paraId="0BAFA8D2" w14:textId="77777777" w:rsidR="009D4550" w:rsidRPr="00F43DDA" w:rsidRDefault="009D4550" w:rsidP="009D4550">
      <w:pPr>
        <w:rPr>
          <w:rFonts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95"/>
        <w:gridCol w:w="2410"/>
        <w:gridCol w:w="1276"/>
        <w:gridCol w:w="992"/>
        <w:gridCol w:w="2027"/>
      </w:tblGrid>
      <w:tr w:rsidR="009D4550" w:rsidRPr="00CE392D" w14:paraId="36EFE138" w14:textId="77777777" w:rsidTr="0039605F">
        <w:trPr>
          <w:cantSplit/>
        </w:trPr>
        <w:tc>
          <w:tcPr>
            <w:tcW w:w="1440" w:type="dxa"/>
          </w:tcPr>
          <w:p w14:paraId="6CEC2899" w14:textId="77777777" w:rsidR="009D4550" w:rsidRPr="00F43DDA" w:rsidRDefault="009D4550" w:rsidP="009D4550">
            <w:pPr>
              <w:spacing w:before="60" w:after="60"/>
              <w:rPr>
                <w:rFonts w:cs="Arial"/>
                <w:b/>
                <w:bCs/>
              </w:rPr>
            </w:pPr>
            <w:r w:rsidRPr="00F43DDA">
              <w:rPr>
                <w:rFonts w:cs="Arial"/>
                <w:b/>
                <w:bCs/>
              </w:rPr>
              <w:br w:type="page"/>
              <w:t>Reference dose</w:t>
            </w:r>
          </w:p>
        </w:tc>
        <w:tc>
          <w:tcPr>
            <w:tcW w:w="1395" w:type="dxa"/>
          </w:tcPr>
          <w:p w14:paraId="3ADE6B25" w14:textId="77777777" w:rsidR="009D4550" w:rsidRPr="00F43DDA" w:rsidRDefault="009D4550" w:rsidP="009D4550">
            <w:pPr>
              <w:spacing w:before="60" w:after="60"/>
              <w:rPr>
                <w:rFonts w:cs="Arial"/>
                <w:b/>
                <w:bCs/>
              </w:rPr>
            </w:pPr>
            <w:r w:rsidRPr="00F43DDA">
              <w:rPr>
                <w:rFonts w:cs="Arial"/>
                <w:b/>
                <w:bCs/>
              </w:rPr>
              <w:t xml:space="preserve">Value </w:t>
            </w:r>
          </w:p>
          <w:p w14:paraId="01C14422" w14:textId="77777777" w:rsidR="009D4550" w:rsidRPr="00F43DDA" w:rsidRDefault="009D4550" w:rsidP="009D4550">
            <w:pPr>
              <w:spacing w:before="60" w:after="60"/>
              <w:rPr>
                <w:rFonts w:cs="Arial"/>
                <w:b/>
                <w:bCs/>
              </w:rPr>
            </w:pPr>
            <w:r w:rsidRPr="00F43DDA">
              <w:rPr>
                <w:rFonts w:cs="Arial"/>
                <w:b/>
                <w:bCs/>
              </w:rPr>
              <w:t>(mg/kg bw/day)</w:t>
            </w:r>
          </w:p>
        </w:tc>
        <w:tc>
          <w:tcPr>
            <w:tcW w:w="2410" w:type="dxa"/>
          </w:tcPr>
          <w:p w14:paraId="6E5F9016" w14:textId="77777777" w:rsidR="009D4550" w:rsidRPr="00F43DDA" w:rsidRDefault="009D4550" w:rsidP="009D4550">
            <w:pPr>
              <w:spacing w:before="60" w:after="60"/>
              <w:rPr>
                <w:rFonts w:cs="Arial"/>
                <w:b/>
                <w:bCs/>
              </w:rPr>
            </w:pPr>
            <w:r w:rsidRPr="00F43DDA">
              <w:rPr>
                <w:rFonts w:cs="Arial"/>
                <w:b/>
                <w:bCs/>
              </w:rPr>
              <w:t>Study</w:t>
            </w:r>
          </w:p>
        </w:tc>
        <w:tc>
          <w:tcPr>
            <w:tcW w:w="1276" w:type="dxa"/>
          </w:tcPr>
          <w:p w14:paraId="63277DA0" w14:textId="77777777" w:rsidR="009D4550" w:rsidRPr="00F43DDA" w:rsidRDefault="009D4550" w:rsidP="009D4550">
            <w:pPr>
              <w:spacing w:before="60" w:after="60"/>
              <w:rPr>
                <w:rFonts w:cs="Arial"/>
                <w:b/>
                <w:bCs/>
              </w:rPr>
            </w:pPr>
            <w:r w:rsidRPr="00F43DDA">
              <w:rPr>
                <w:rFonts w:cs="Arial"/>
                <w:b/>
                <w:bCs/>
              </w:rPr>
              <w:t>NOAEL</w:t>
            </w:r>
          </w:p>
          <w:p w14:paraId="7D0B479A" w14:textId="77777777" w:rsidR="009D4550" w:rsidRPr="00F43DDA" w:rsidRDefault="009D4550" w:rsidP="009D4550">
            <w:pPr>
              <w:spacing w:before="60" w:after="60"/>
              <w:rPr>
                <w:rFonts w:cs="Arial"/>
                <w:b/>
                <w:bCs/>
              </w:rPr>
            </w:pPr>
            <w:r w:rsidRPr="00F43DDA">
              <w:rPr>
                <w:rFonts w:cs="Arial"/>
                <w:b/>
                <w:bCs/>
              </w:rPr>
              <w:t>(mg/kg bw/day)</w:t>
            </w:r>
          </w:p>
        </w:tc>
        <w:tc>
          <w:tcPr>
            <w:tcW w:w="992" w:type="dxa"/>
          </w:tcPr>
          <w:p w14:paraId="34C6CF0A" w14:textId="77777777" w:rsidR="009D4550" w:rsidRPr="00F43DDA" w:rsidRDefault="009D4550" w:rsidP="009D4550">
            <w:pPr>
              <w:spacing w:before="60" w:after="60"/>
              <w:rPr>
                <w:rFonts w:cs="Arial"/>
                <w:b/>
                <w:bCs/>
              </w:rPr>
            </w:pPr>
            <w:r w:rsidRPr="00F43DDA">
              <w:rPr>
                <w:rFonts w:cs="Arial"/>
                <w:b/>
                <w:bCs/>
              </w:rPr>
              <w:t>Uncertainty Factor</w:t>
            </w:r>
          </w:p>
        </w:tc>
        <w:tc>
          <w:tcPr>
            <w:tcW w:w="2027" w:type="dxa"/>
          </w:tcPr>
          <w:p w14:paraId="4A018248" w14:textId="77777777" w:rsidR="009D4550" w:rsidRPr="00F43DDA" w:rsidRDefault="009D4550" w:rsidP="009D4550">
            <w:pPr>
              <w:spacing w:before="60" w:after="60"/>
              <w:rPr>
                <w:rFonts w:cs="Arial"/>
                <w:b/>
                <w:bCs/>
              </w:rPr>
            </w:pPr>
            <w:r w:rsidRPr="00F43DDA">
              <w:rPr>
                <w:rFonts w:cs="Arial"/>
                <w:b/>
                <w:bCs/>
              </w:rPr>
              <w:t>Oral absorption</w:t>
            </w:r>
          </w:p>
        </w:tc>
      </w:tr>
      <w:tr w:rsidR="009D4550" w:rsidRPr="00CE392D" w14:paraId="3123E663" w14:textId="77777777" w:rsidTr="009D4550">
        <w:trPr>
          <w:cantSplit/>
        </w:trPr>
        <w:tc>
          <w:tcPr>
            <w:tcW w:w="9540" w:type="dxa"/>
            <w:gridSpan w:val="6"/>
          </w:tcPr>
          <w:p w14:paraId="2B9FEBC0" w14:textId="77777777" w:rsidR="009D4550" w:rsidRPr="00F43DDA" w:rsidRDefault="009D4550" w:rsidP="009D4550">
            <w:pPr>
              <w:spacing w:before="60" w:after="60"/>
              <w:rPr>
                <w:rFonts w:cs="Arial"/>
                <w:b/>
              </w:rPr>
            </w:pPr>
            <w:r w:rsidRPr="00F43DDA">
              <w:rPr>
                <w:rFonts w:cs="Arial"/>
                <w:b/>
              </w:rPr>
              <w:t>Cypermethrine</w:t>
            </w:r>
          </w:p>
        </w:tc>
      </w:tr>
      <w:tr w:rsidR="009D4550" w:rsidRPr="00CE392D" w14:paraId="42C658B1" w14:textId="77777777" w:rsidTr="0039605F">
        <w:trPr>
          <w:cantSplit/>
        </w:trPr>
        <w:tc>
          <w:tcPr>
            <w:tcW w:w="1440" w:type="dxa"/>
          </w:tcPr>
          <w:p w14:paraId="494A424D" w14:textId="77777777" w:rsidR="009D4550" w:rsidRPr="00F43DDA" w:rsidRDefault="009D4550" w:rsidP="009D4550">
            <w:pPr>
              <w:spacing w:before="60" w:after="60"/>
              <w:rPr>
                <w:rFonts w:cs="Arial"/>
              </w:rPr>
            </w:pPr>
            <w:r w:rsidRPr="00F43DDA">
              <w:rPr>
                <w:rFonts w:cs="Arial"/>
              </w:rPr>
              <w:t>Long-term AEL</w:t>
            </w:r>
          </w:p>
        </w:tc>
        <w:tc>
          <w:tcPr>
            <w:tcW w:w="1395" w:type="dxa"/>
          </w:tcPr>
          <w:p w14:paraId="40DE51C0" w14:textId="77777777" w:rsidR="009D4550" w:rsidRPr="00F43DDA" w:rsidRDefault="009D4550" w:rsidP="009D4550">
            <w:pPr>
              <w:spacing w:before="60" w:after="60"/>
              <w:rPr>
                <w:rFonts w:cs="Arial"/>
              </w:rPr>
            </w:pPr>
            <w:r w:rsidRPr="00F43DDA">
              <w:rPr>
                <w:rFonts w:cs="Arial"/>
              </w:rPr>
              <w:t>0.022</w:t>
            </w:r>
          </w:p>
        </w:tc>
        <w:tc>
          <w:tcPr>
            <w:tcW w:w="2410" w:type="dxa"/>
          </w:tcPr>
          <w:p w14:paraId="2BF2FB0F" w14:textId="77777777" w:rsidR="009D4550" w:rsidRPr="00F43DDA" w:rsidRDefault="009D4550" w:rsidP="009D4550">
            <w:pPr>
              <w:spacing w:before="60" w:after="60"/>
              <w:rPr>
                <w:rFonts w:cs="Arial"/>
              </w:rPr>
            </w:pPr>
            <w:r w:rsidRPr="00F43DDA">
              <w:rPr>
                <w:rFonts w:cs="Arial"/>
              </w:rPr>
              <w:t xml:space="preserve">2-year rat study </w:t>
            </w:r>
          </w:p>
        </w:tc>
        <w:tc>
          <w:tcPr>
            <w:tcW w:w="1276" w:type="dxa"/>
          </w:tcPr>
          <w:p w14:paraId="23962CCB" w14:textId="77777777" w:rsidR="009D4550" w:rsidRPr="00F43DDA" w:rsidRDefault="009D4550" w:rsidP="009D4550">
            <w:pPr>
              <w:spacing w:before="60" w:after="60"/>
              <w:rPr>
                <w:rFonts w:cs="Arial"/>
              </w:rPr>
            </w:pPr>
            <w:r w:rsidRPr="00F43DDA">
              <w:rPr>
                <w:rFonts w:cs="Arial"/>
              </w:rPr>
              <w:t>5</w:t>
            </w:r>
          </w:p>
        </w:tc>
        <w:tc>
          <w:tcPr>
            <w:tcW w:w="992" w:type="dxa"/>
          </w:tcPr>
          <w:p w14:paraId="53412004" w14:textId="77777777" w:rsidR="009D4550" w:rsidRPr="00F43DDA" w:rsidRDefault="009D4550" w:rsidP="009D4550">
            <w:pPr>
              <w:spacing w:before="60" w:after="60"/>
              <w:rPr>
                <w:rFonts w:cs="Arial"/>
              </w:rPr>
            </w:pPr>
            <w:r w:rsidRPr="00F43DDA">
              <w:rPr>
                <w:rFonts w:cs="Arial"/>
              </w:rPr>
              <w:t>100</w:t>
            </w:r>
          </w:p>
        </w:tc>
        <w:tc>
          <w:tcPr>
            <w:tcW w:w="2027" w:type="dxa"/>
          </w:tcPr>
          <w:p w14:paraId="0476231B" w14:textId="77777777" w:rsidR="009D4550" w:rsidRPr="00F43DDA" w:rsidRDefault="009D4550" w:rsidP="009D4550">
            <w:pPr>
              <w:spacing w:before="60" w:after="60"/>
              <w:rPr>
                <w:rFonts w:cs="Arial"/>
              </w:rPr>
            </w:pPr>
            <w:r w:rsidRPr="00F43DDA">
              <w:rPr>
                <w:rFonts w:cs="Arial"/>
              </w:rPr>
              <w:t xml:space="preserve">44% (animal) </w:t>
            </w:r>
          </w:p>
          <w:p w14:paraId="432D7AA1" w14:textId="77777777" w:rsidR="009D4550" w:rsidRPr="00F43DDA" w:rsidRDefault="009D4550" w:rsidP="009D4550">
            <w:pPr>
              <w:spacing w:before="60" w:after="60"/>
              <w:rPr>
                <w:rFonts w:cs="Arial"/>
              </w:rPr>
            </w:pPr>
            <w:r w:rsidRPr="00F43DDA">
              <w:rPr>
                <w:rFonts w:cs="Arial"/>
              </w:rPr>
              <w:t>57% (human)</w:t>
            </w:r>
          </w:p>
        </w:tc>
      </w:tr>
      <w:tr w:rsidR="009D4550" w:rsidRPr="00CE392D" w14:paraId="263BC1E5" w14:textId="77777777" w:rsidTr="0039605F">
        <w:trPr>
          <w:cantSplit/>
        </w:trPr>
        <w:tc>
          <w:tcPr>
            <w:tcW w:w="1440" w:type="dxa"/>
          </w:tcPr>
          <w:p w14:paraId="4E454ED9" w14:textId="77777777" w:rsidR="009D4550" w:rsidRPr="00F43DDA" w:rsidRDefault="009D4550" w:rsidP="009D4550">
            <w:pPr>
              <w:spacing w:before="60" w:after="60"/>
              <w:rPr>
                <w:rFonts w:cs="Arial"/>
              </w:rPr>
            </w:pPr>
            <w:r w:rsidRPr="00F43DDA">
              <w:rPr>
                <w:rFonts w:cs="Arial"/>
              </w:rPr>
              <w:t>Medium-term AEL</w:t>
            </w:r>
          </w:p>
        </w:tc>
        <w:tc>
          <w:tcPr>
            <w:tcW w:w="1395" w:type="dxa"/>
          </w:tcPr>
          <w:p w14:paraId="53EEBEC9" w14:textId="77777777" w:rsidR="009D4550" w:rsidRPr="00F43DDA" w:rsidRDefault="009D4550" w:rsidP="009D4550">
            <w:pPr>
              <w:spacing w:before="60" w:after="60"/>
              <w:rPr>
                <w:rFonts w:cs="Arial"/>
              </w:rPr>
            </w:pPr>
            <w:r w:rsidRPr="00F43DDA">
              <w:rPr>
                <w:rFonts w:cs="Arial"/>
              </w:rPr>
              <w:t>0.055</w:t>
            </w:r>
          </w:p>
        </w:tc>
        <w:tc>
          <w:tcPr>
            <w:tcW w:w="2410" w:type="dxa"/>
          </w:tcPr>
          <w:p w14:paraId="091A0AB3" w14:textId="77777777" w:rsidR="009D4550" w:rsidRPr="00F43DDA" w:rsidRDefault="009D4550" w:rsidP="009D4550">
            <w:pPr>
              <w:spacing w:before="60" w:after="60"/>
              <w:rPr>
                <w:rFonts w:cs="Arial"/>
              </w:rPr>
            </w:pPr>
            <w:r w:rsidRPr="00F43DDA">
              <w:rPr>
                <w:rFonts w:cs="Arial"/>
              </w:rPr>
              <w:t>90-days dog</w:t>
            </w:r>
          </w:p>
        </w:tc>
        <w:tc>
          <w:tcPr>
            <w:tcW w:w="1276" w:type="dxa"/>
          </w:tcPr>
          <w:p w14:paraId="47193B29" w14:textId="77777777" w:rsidR="009D4550" w:rsidRPr="00F43DDA" w:rsidRDefault="009D4550" w:rsidP="009D4550">
            <w:pPr>
              <w:spacing w:before="60" w:after="60"/>
              <w:rPr>
                <w:rFonts w:cs="Arial"/>
              </w:rPr>
            </w:pPr>
            <w:r w:rsidRPr="00F43DDA">
              <w:rPr>
                <w:rFonts w:cs="Arial"/>
              </w:rPr>
              <w:t>12.5</w:t>
            </w:r>
          </w:p>
        </w:tc>
        <w:tc>
          <w:tcPr>
            <w:tcW w:w="992" w:type="dxa"/>
          </w:tcPr>
          <w:p w14:paraId="2DFF6E56" w14:textId="77777777" w:rsidR="009D4550" w:rsidRPr="00F43DDA" w:rsidRDefault="009D4550" w:rsidP="009D4550">
            <w:pPr>
              <w:spacing w:before="60" w:after="60"/>
              <w:rPr>
                <w:rFonts w:cs="Arial"/>
              </w:rPr>
            </w:pPr>
            <w:r w:rsidRPr="00F43DDA">
              <w:rPr>
                <w:rFonts w:cs="Arial"/>
              </w:rPr>
              <w:t>100</w:t>
            </w:r>
          </w:p>
        </w:tc>
        <w:tc>
          <w:tcPr>
            <w:tcW w:w="2027" w:type="dxa"/>
          </w:tcPr>
          <w:p w14:paraId="3B3895EF" w14:textId="77777777" w:rsidR="009D4550" w:rsidRPr="00F43DDA" w:rsidRDefault="009D4550" w:rsidP="009D4550">
            <w:pPr>
              <w:spacing w:before="60" w:after="60"/>
              <w:rPr>
                <w:rFonts w:cs="Arial"/>
              </w:rPr>
            </w:pPr>
            <w:r w:rsidRPr="00F43DDA">
              <w:rPr>
                <w:rFonts w:cs="Arial"/>
              </w:rPr>
              <w:t xml:space="preserve">44% (animal) </w:t>
            </w:r>
          </w:p>
          <w:p w14:paraId="04DCD09D" w14:textId="77777777" w:rsidR="009D4550" w:rsidRPr="00F43DDA" w:rsidRDefault="009D4550" w:rsidP="009D4550">
            <w:pPr>
              <w:spacing w:before="60" w:after="60"/>
              <w:rPr>
                <w:rFonts w:cs="Arial"/>
              </w:rPr>
            </w:pPr>
            <w:r w:rsidRPr="00F43DDA">
              <w:rPr>
                <w:rFonts w:cs="Arial"/>
              </w:rPr>
              <w:t>57% (human)</w:t>
            </w:r>
          </w:p>
        </w:tc>
      </w:tr>
      <w:tr w:rsidR="009D4550" w:rsidRPr="00CE392D" w14:paraId="3F536E10" w14:textId="77777777" w:rsidTr="0039605F">
        <w:trPr>
          <w:cantSplit/>
        </w:trPr>
        <w:tc>
          <w:tcPr>
            <w:tcW w:w="1440" w:type="dxa"/>
          </w:tcPr>
          <w:p w14:paraId="5D8A4422" w14:textId="77777777" w:rsidR="009D4550" w:rsidRPr="00F43DDA" w:rsidRDefault="009D4550" w:rsidP="009D4550">
            <w:pPr>
              <w:spacing w:before="60" w:after="60"/>
              <w:rPr>
                <w:rFonts w:cs="Arial"/>
              </w:rPr>
            </w:pPr>
            <w:r w:rsidRPr="00F43DDA">
              <w:rPr>
                <w:rFonts w:cs="Arial"/>
              </w:rPr>
              <w:t>Short-term AEL</w:t>
            </w:r>
          </w:p>
        </w:tc>
        <w:tc>
          <w:tcPr>
            <w:tcW w:w="1395" w:type="dxa"/>
          </w:tcPr>
          <w:p w14:paraId="1C64B34E" w14:textId="77777777" w:rsidR="009D4550" w:rsidRPr="00F43DDA" w:rsidRDefault="009D4550" w:rsidP="009D4550">
            <w:pPr>
              <w:spacing w:before="60" w:after="60"/>
              <w:rPr>
                <w:rFonts w:cs="Arial"/>
              </w:rPr>
            </w:pPr>
            <w:r w:rsidRPr="00F43DDA">
              <w:rPr>
                <w:rFonts w:cs="Arial"/>
              </w:rPr>
              <w:t>0.088</w:t>
            </w:r>
          </w:p>
        </w:tc>
        <w:tc>
          <w:tcPr>
            <w:tcW w:w="2410" w:type="dxa"/>
          </w:tcPr>
          <w:p w14:paraId="5E3F80D7" w14:textId="77777777" w:rsidR="009D4550" w:rsidRPr="00F43DDA" w:rsidRDefault="009D4550" w:rsidP="009D4550">
            <w:pPr>
              <w:spacing w:before="60" w:after="60"/>
              <w:rPr>
                <w:rFonts w:cs="Arial"/>
              </w:rPr>
            </w:pPr>
            <w:r w:rsidRPr="00F43DDA">
              <w:rPr>
                <w:rFonts w:cs="Arial"/>
              </w:rPr>
              <w:t>Acute delayed neurotoxicity in rat</w:t>
            </w:r>
          </w:p>
        </w:tc>
        <w:tc>
          <w:tcPr>
            <w:tcW w:w="1276" w:type="dxa"/>
          </w:tcPr>
          <w:p w14:paraId="453E9936" w14:textId="77777777" w:rsidR="009D4550" w:rsidRPr="00F43DDA" w:rsidRDefault="009D4550" w:rsidP="009D4550">
            <w:pPr>
              <w:spacing w:before="60" w:after="60"/>
              <w:rPr>
                <w:rFonts w:cs="Arial"/>
              </w:rPr>
            </w:pPr>
            <w:r w:rsidRPr="00F43DDA">
              <w:rPr>
                <w:rFonts w:cs="Arial"/>
              </w:rPr>
              <w:t>20</w:t>
            </w:r>
          </w:p>
        </w:tc>
        <w:tc>
          <w:tcPr>
            <w:tcW w:w="992" w:type="dxa"/>
          </w:tcPr>
          <w:p w14:paraId="0D88960B" w14:textId="77777777" w:rsidR="009D4550" w:rsidRPr="00F43DDA" w:rsidRDefault="009D4550" w:rsidP="009D4550">
            <w:pPr>
              <w:spacing w:before="60" w:after="60"/>
              <w:rPr>
                <w:rFonts w:cs="Arial"/>
              </w:rPr>
            </w:pPr>
            <w:r w:rsidRPr="00F43DDA">
              <w:rPr>
                <w:rFonts w:cs="Arial"/>
              </w:rPr>
              <w:t>100</w:t>
            </w:r>
          </w:p>
        </w:tc>
        <w:tc>
          <w:tcPr>
            <w:tcW w:w="2027" w:type="dxa"/>
          </w:tcPr>
          <w:p w14:paraId="4BF0ED47" w14:textId="77777777" w:rsidR="009D4550" w:rsidRPr="00F43DDA" w:rsidRDefault="009D4550" w:rsidP="009D4550">
            <w:pPr>
              <w:spacing w:before="60" w:after="60"/>
              <w:rPr>
                <w:rFonts w:cs="Arial"/>
              </w:rPr>
            </w:pPr>
            <w:r w:rsidRPr="00F43DDA">
              <w:rPr>
                <w:rFonts w:cs="Arial"/>
              </w:rPr>
              <w:t xml:space="preserve">44% (animal) </w:t>
            </w:r>
          </w:p>
          <w:p w14:paraId="74CB88FE" w14:textId="77777777" w:rsidR="009D4550" w:rsidRPr="00F43DDA" w:rsidRDefault="009D4550" w:rsidP="009D4550">
            <w:pPr>
              <w:spacing w:before="60" w:after="60"/>
              <w:rPr>
                <w:rFonts w:cs="Arial"/>
              </w:rPr>
            </w:pPr>
            <w:r w:rsidRPr="00F43DDA">
              <w:rPr>
                <w:rFonts w:cs="Arial"/>
              </w:rPr>
              <w:t>57% (human)</w:t>
            </w:r>
          </w:p>
        </w:tc>
      </w:tr>
      <w:tr w:rsidR="009D4550" w:rsidRPr="00CE392D" w14:paraId="131AB7DD" w14:textId="77777777" w:rsidTr="009D4550">
        <w:trPr>
          <w:cantSplit/>
        </w:trPr>
        <w:tc>
          <w:tcPr>
            <w:tcW w:w="9540" w:type="dxa"/>
            <w:gridSpan w:val="6"/>
          </w:tcPr>
          <w:p w14:paraId="7EB223F7" w14:textId="77777777" w:rsidR="009D4550" w:rsidRPr="00F43DDA" w:rsidRDefault="009D4550" w:rsidP="009D4550">
            <w:pPr>
              <w:rPr>
                <w:rFonts w:cs="Arial"/>
                <w:b/>
              </w:rPr>
            </w:pPr>
            <w:r w:rsidRPr="00F43DDA">
              <w:rPr>
                <w:rFonts w:cs="Arial"/>
                <w:b/>
              </w:rPr>
              <w:t>Propiconazole</w:t>
            </w:r>
          </w:p>
        </w:tc>
      </w:tr>
      <w:tr w:rsidR="009D4550" w:rsidRPr="00CE392D" w14:paraId="0BDB83E6" w14:textId="77777777" w:rsidTr="0039605F">
        <w:trPr>
          <w:cantSplit/>
        </w:trPr>
        <w:tc>
          <w:tcPr>
            <w:tcW w:w="1440" w:type="dxa"/>
          </w:tcPr>
          <w:p w14:paraId="030C59F4" w14:textId="77777777" w:rsidR="009D4550" w:rsidRPr="00F43DDA" w:rsidRDefault="009D4550" w:rsidP="009D4550">
            <w:pPr>
              <w:spacing w:before="60" w:after="60"/>
              <w:rPr>
                <w:rFonts w:cs="Arial"/>
              </w:rPr>
            </w:pPr>
            <w:r w:rsidRPr="00F43DDA">
              <w:rPr>
                <w:rFonts w:cs="Arial"/>
              </w:rPr>
              <w:t>Long-term AEL</w:t>
            </w:r>
          </w:p>
        </w:tc>
        <w:tc>
          <w:tcPr>
            <w:tcW w:w="1395" w:type="dxa"/>
          </w:tcPr>
          <w:p w14:paraId="0BE38FC1" w14:textId="77777777" w:rsidR="009D4550" w:rsidRPr="00F43DDA" w:rsidRDefault="009D4550" w:rsidP="009D4550">
            <w:pPr>
              <w:spacing w:before="60" w:after="60"/>
              <w:rPr>
                <w:rFonts w:cs="Arial"/>
              </w:rPr>
            </w:pPr>
            <w:r w:rsidRPr="00F43DDA">
              <w:rPr>
                <w:rFonts w:cs="Arial"/>
              </w:rPr>
              <w:t>0.04</w:t>
            </w:r>
          </w:p>
        </w:tc>
        <w:tc>
          <w:tcPr>
            <w:tcW w:w="2410" w:type="dxa"/>
          </w:tcPr>
          <w:p w14:paraId="340E95BD" w14:textId="77777777" w:rsidR="009D4550" w:rsidRPr="00F43DDA" w:rsidRDefault="009D4550" w:rsidP="009D4550">
            <w:pPr>
              <w:spacing w:before="60" w:after="60"/>
              <w:rPr>
                <w:rFonts w:cs="Arial"/>
              </w:rPr>
            </w:pPr>
            <w:r w:rsidRPr="00F43DDA">
              <w:rPr>
                <w:rFonts w:cs="Arial"/>
              </w:rPr>
              <w:t xml:space="preserve">2-year rat study </w:t>
            </w:r>
          </w:p>
        </w:tc>
        <w:tc>
          <w:tcPr>
            <w:tcW w:w="1276" w:type="dxa"/>
          </w:tcPr>
          <w:p w14:paraId="2E934E17" w14:textId="77777777" w:rsidR="009D4550" w:rsidRPr="00F43DDA" w:rsidRDefault="009D4550" w:rsidP="009D4550">
            <w:pPr>
              <w:spacing w:before="60" w:after="60"/>
              <w:rPr>
                <w:rFonts w:cs="Arial"/>
              </w:rPr>
            </w:pPr>
            <w:r w:rsidRPr="00F43DDA">
              <w:rPr>
                <w:rFonts w:cs="Arial"/>
              </w:rPr>
              <w:t>3.6</w:t>
            </w:r>
          </w:p>
        </w:tc>
        <w:tc>
          <w:tcPr>
            <w:tcW w:w="992" w:type="dxa"/>
          </w:tcPr>
          <w:p w14:paraId="64279C29" w14:textId="77777777" w:rsidR="009D4550" w:rsidRPr="00F43DDA" w:rsidRDefault="009D4550" w:rsidP="009D4550">
            <w:pPr>
              <w:spacing w:before="60" w:after="60"/>
              <w:rPr>
                <w:rFonts w:cs="Arial"/>
              </w:rPr>
            </w:pPr>
            <w:r w:rsidRPr="00F43DDA">
              <w:rPr>
                <w:rFonts w:cs="Arial"/>
              </w:rPr>
              <w:t>100</w:t>
            </w:r>
          </w:p>
        </w:tc>
        <w:tc>
          <w:tcPr>
            <w:tcW w:w="2027" w:type="dxa"/>
          </w:tcPr>
          <w:p w14:paraId="5E9EC43F" w14:textId="77777777" w:rsidR="009D4550" w:rsidRPr="00F43DDA" w:rsidRDefault="009D4550" w:rsidP="009D4550">
            <w:pPr>
              <w:spacing w:before="60" w:after="60"/>
              <w:rPr>
                <w:rFonts w:cs="Arial"/>
              </w:rPr>
            </w:pPr>
            <w:r w:rsidRPr="00F43DDA">
              <w:rPr>
                <w:rFonts w:cs="Arial"/>
              </w:rPr>
              <w:t>86% (100%)</w:t>
            </w:r>
          </w:p>
        </w:tc>
      </w:tr>
      <w:tr w:rsidR="009D4550" w:rsidRPr="00CE392D" w14:paraId="7E884318" w14:textId="77777777" w:rsidTr="0039605F">
        <w:trPr>
          <w:cantSplit/>
        </w:trPr>
        <w:tc>
          <w:tcPr>
            <w:tcW w:w="1440" w:type="dxa"/>
          </w:tcPr>
          <w:p w14:paraId="7F5FCE51" w14:textId="77777777" w:rsidR="009D4550" w:rsidRPr="00F43DDA" w:rsidRDefault="009D4550" w:rsidP="009D4550">
            <w:pPr>
              <w:spacing w:before="60" w:after="60"/>
              <w:rPr>
                <w:rFonts w:cs="Arial"/>
              </w:rPr>
            </w:pPr>
            <w:r w:rsidRPr="00F43DDA">
              <w:rPr>
                <w:rFonts w:cs="Arial"/>
              </w:rPr>
              <w:t>Medium-term AEL</w:t>
            </w:r>
          </w:p>
        </w:tc>
        <w:tc>
          <w:tcPr>
            <w:tcW w:w="1395" w:type="dxa"/>
          </w:tcPr>
          <w:p w14:paraId="197AE95F" w14:textId="77777777" w:rsidR="009D4550" w:rsidRPr="00F43DDA" w:rsidRDefault="009D4550" w:rsidP="009D4550">
            <w:pPr>
              <w:spacing w:before="60" w:after="60"/>
              <w:rPr>
                <w:rFonts w:cs="Arial"/>
              </w:rPr>
            </w:pPr>
            <w:r w:rsidRPr="00F43DDA">
              <w:rPr>
                <w:rFonts w:cs="Arial"/>
              </w:rPr>
              <w:t>0.08</w:t>
            </w:r>
          </w:p>
        </w:tc>
        <w:tc>
          <w:tcPr>
            <w:tcW w:w="2410" w:type="dxa"/>
          </w:tcPr>
          <w:p w14:paraId="1B57A360" w14:textId="77777777" w:rsidR="009D4550" w:rsidRPr="00F43DDA" w:rsidRDefault="009D4550" w:rsidP="009D4550">
            <w:pPr>
              <w:spacing w:before="60" w:after="60"/>
              <w:rPr>
                <w:rFonts w:cs="Arial"/>
              </w:rPr>
            </w:pPr>
            <w:r w:rsidRPr="00F43DDA">
              <w:rPr>
                <w:rFonts w:cs="Arial"/>
              </w:rPr>
              <w:t>2-generation rat study</w:t>
            </w:r>
          </w:p>
        </w:tc>
        <w:tc>
          <w:tcPr>
            <w:tcW w:w="1276" w:type="dxa"/>
          </w:tcPr>
          <w:p w14:paraId="0C2366C1" w14:textId="77777777" w:rsidR="009D4550" w:rsidRPr="00F43DDA" w:rsidRDefault="009D4550" w:rsidP="009D4550">
            <w:pPr>
              <w:spacing w:before="60" w:after="60"/>
              <w:rPr>
                <w:rFonts w:cs="Arial"/>
              </w:rPr>
            </w:pPr>
            <w:r w:rsidRPr="00F43DDA">
              <w:rPr>
                <w:rFonts w:cs="Arial"/>
              </w:rPr>
              <w:t>8</w:t>
            </w:r>
          </w:p>
        </w:tc>
        <w:tc>
          <w:tcPr>
            <w:tcW w:w="992" w:type="dxa"/>
          </w:tcPr>
          <w:p w14:paraId="4529BB87" w14:textId="77777777" w:rsidR="009D4550" w:rsidRPr="00F43DDA" w:rsidRDefault="009D4550" w:rsidP="009D4550">
            <w:pPr>
              <w:spacing w:before="60" w:after="60"/>
              <w:rPr>
                <w:rFonts w:cs="Arial"/>
              </w:rPr>
            </w:pPr>
            <w:r w:rsidRPr="00F43DDA">
              <w:rPr>
                <w:rFonts w:cs="Arial"/>
              </w:rPr>
              <w:t>100</w:t>
            </w:r>
          </w:p>
        </w:tc>
        <w:tc>
          <w:tcPr>
            <w:tcW w:w="2027" w:type="dxa"/>
          </w:tcPr>
          <w:p w14:paraId="6D0BF378" w14:textId="77777777" w:rsidR="009D4550" w:rsidRPr="00F43DDA" w:rsidRDefault="009D4550" w:rsidP="009D4550">
            <w:pPr>
              <w:spacing w:before="60" w:after="60"/>
              <w:rPr>
                <w:rFonts w:cs="Arial"/>
              </w:rPr>
            </w:pPr>
            <w:r w:rsidRPr="00F43DDA">
              <w:rPr>
                <w:rFonts w:cs="Arial"/>
              </w:rPr>
              <w:t>86% (100%)</w:t>
            </w:r>
          </w:p>
        </w:tc>
      </w:tr>
      <w:tr w:rsidR="009D4550" w:rsidRPr="00CE392D" w14:paraId="497452F8" w14:textId="77777777" w:rsidTr="0039605F">
        <w:trPr>
          <w:cantSplit/>
          <w:trHeight w:val="316"/>
        </w:trPr>
        <w:tc>
          <w:tcPr>
            <w:tcW w:w="1440" w:type="dxa"/>
          </w:tcPr>
          <w:p w14:paraId="4C82DD57" w14:textId="77777777" w:rsidR="009D4550" w:rsidRPr="00F43DDA" w:rsidRDefault="009D4550" w:rsidP="009D4550">
            <w:pPr>
              <w:spacing w:before="60" w:after="60"/>
              <w:rPr>
                <w:rFonts w:cs="Arial"/>
              </w:rPr>
            </w:pPr>
            <w:r w:rsidRPr="00F43DDA">
              <w:rPr>
                <w:rFonts w:cs="Arial"/>
              </w:rPr>
              <w:t>Short-term AEL</w:t>
            </w:r>
          </w:p>
        </w:tc>
        <w:tc>
          <w:tcPr>
            <w:tcW w:w="1395" w:type="dxa"/>
          </w:tcPr>
          <w:p w14:paraId="5372228E" w14:textId="77777777" w:rsidR="009D4550" w:rsidRPr="00F43DDA" w:rsidRDefault="009D4550" w:rsidP="009D4550">
            <w:pPr>
              <w:spacing w:before="60" w:after="60"/>
              <w:rPr>
                <w:rFonts w:cs="Arial"/>
              </w:rPr>
            </w:pPr>
            <w:r w:rsidRPr="00F43DDA">
              <w:rPr>
                <w:rFonts w:cs="Arial"/>
              </w:rPr>
              <w:t>0.3</w:t>
            </w:r>
          </w:p>
        </w:tc>
        <w:tc>
          <w:tcPr>
            <w:tcW w:w="2410" w:type="dxa"/>
          </w:tcPr>
          <w:p w14:paraId="5CA47428" w14:textId="77777777" w:rsidR="009D4550" w:rsidRPr="00F43DDA" w:rsidRDefault="009D4550" w:rsidP="009D4550">
            <w:pPr>
              <w:spacing w:before="60" w:after="60"/>
              <w:rPr>
                <w:rFonts w:cs="Arial"/>
              </w:rPr>
            </w:pPr>
            <w:r w:rsidRPr="00F43DDA">
              <w:rPr>
                <w:rFonts w:cs="Arial"/>
              </w:rPr>
              <w:t>developmental toxicity study in rat</w:t>
            </w:r>
          </w:p>
        </w:tc>
        <w:tc>
          <w:tcPr>
            <w:tcW w:w="1276" w:type="dxa"/>
          </w:tcPr>
          <w:p w14:paraId="2C0902D1" w14:textId="77777777" w:rsidR="009D4550" w:rsidRPr="00F43DDA" w:rsidRDefault="009D4550" w:rsidP="009D4550">
            <w:pPr>
              <w:spacing w:before="60" w:after="60"/>
              <w:rPr>
                <w:rFonts w:cs="Arial"/>
              </w:rPr>
            </w:pPr>
            <w:r w:rsidRPr="00F43DDA">
              <w:rPr>
                <w:rFonts w:cs="Arial"/>
              </w:rPr>
              <w:t>30</w:t>
            </w:r>
          </w:p>
        </w:tc>
        <w:tc>
          <w:tcPr>
            <w:tcW w:w="992" w:type="dxa"/>
          </w:tcPr>
          <w:p w14:paraId="70BDCF0F" w14:textId="77777777" w:rsidR="009D4550" w:rsidRPr="00F43DDA" w:rsidRDefault="009D4550" w:rsidP="009D4550">
            <w:pPr>
              <w:spacing w:before="60" w:after="60"/>
              <w:rPr>
                <w:rFonts w:cs="Arial"/>
              </w:rPr>
            </w:pPr>
            <w:r w:rsidRPr="00F43DDA">
              <w:rPr>
                <w:rFonts w:cs="Arial"/>
              </w:rPr>
              <w:t>100</w:t>
            </w:r>
          </w:p>
        </w:tc>
        <w:tc>
          <w:tcPr>
            <w:tcW w:w="2027" w:type="dxa"/>
          </w:tcPr>
          <w:p w14:paraId="3CBD6910" w14:textId="77777777" w:rsidR="009D4550" w:rsidRPr="00F43DDA" w:rsidRDefault="009D4550" w:rsidP="009D4550">
            <w:pPr>
              <w:spacing w:before="60" w:after="60"/>
              <w:rPr>
                <w:rFonts w:cs="Arial"/>
              </w:rPr>
            </w:pPr>
            <w:r w:rsidRPr="00F43DDA">
              <w:rPr>
                <w:rFonts w:cs="Arial"/>
              </w:rPr>
              <w:t>86% (100%)</w:t>
            </w:r>
          </w:p>
        </w:tc>
      </w:tr>
      <w:tr w:rsidR="009D4550" w:rsidRPr="00CE392D" w14:paraId="233640CD" w14:textId="77777777" w:rsidTr="009D4550">
        <w:trPr>
          <w:cantSplit/>
        </w:trPr>
        <w:tc>
          <w:tcPr>
            <w:tcW w:w="9540" w:type="dxa"/>
            <w:gridSpan w:val="6"/>
          </w:tcPr>
          <w:p w14:paraId="0E9FCADD" w14:textId="77777777" w:rsidR="009D4550" w:rsidRPr="00F43DDA" w:rsidRDefault="009D4550" w:rsidP="009D4550">
            <w:pPr>
              <w:spacing w:before="60" w:after="60"/>
              <w:rPr>
                <w:rFonts w:cs="Arial"/>
                <w:b/>
              </w:rPr>
            </w:pPr>
            <w:r w:rsidRPr="00F43DDA">
              <w:rPr>
                <w:rFonts w:cs="Arial"/>
                <w:b/>
              </w:rPr>
              <w:t>Tebuconazole</w:t>
            </w:r>
          </w:p>
        </w:tc>
      </w:tr>
      <w:tr w:rsidR="009D4550" w:rsidRPr="00CE392D" w14:paraId="1F23F965" w14:textId="77777777" w:rsidTr="0039605F">
        <w:trPr>
          <w:cantSplit/>
        </w:trPr>
        <w:tc>
          <w:tcPr>
            <w:tcW w:w="1440" w:type="dxa"/>
          </w:tcPr>
          <w:p w14:paraId="7360BB02" w14:textId="77777777" w:rsidR="009D4550" w:rsidRPr="00F43DDA" w:rsidRDefault="009D4550" w:rsidP="009D4550">
            <w:pPr>
              <w:spacing w:before="60" w:after="60"/>
              <w:rPr>
                <w:rFonts w:cs="Arial"/>
              </w:rPr>
            </w:pPr>
            <w:r w:rsidRPr="00F43DDA">
              <w:rPr>
                <w:rFonts w:cs="Arial"/>
              </w:rPr>
              <w:t>Long-term AEL</w:t>
            </w:r>
          </w:p>
        </w:tc>
        <w:tc>
          <w:tcPr>
            <w:tcW w:w="1395" w:type="dxa"/>
          </w:tcPr>
          <w:p w14:paraId="60F320F4" w14:textId="77777777" w:rsidR="009D4550" w:rsidRPr="00F43DDA" w:rsidRDefault="009D4550" w:rsidP="009D4550">
            <w:pPr>
              <w:spacing w:before="60" w:after="60"/>
              <w:rPr>
                <w:rFonts w:cs="Arial"/>
              </w:rPr>
            </w:pPr>
            <w:r w:rsidRPr="00F43DDA">
              <w:rPr>
                <w:rFonts w:cs="Arial"/>
              </w:rPr>
              <w:t>0.03</w:t>
            </w:r>
          </w:p>
        </w:tc>
        <w:tc>
          <w:tcPr>
            <w:tcW w:w="2410" w:type="dxa"/>
          </w:tcPr>
          <w:p w14:paraId="6A4419C3" w14:textId="77777777" w:rsidR="009D4550" w:rsidRPr="00F43DDA" w:rsidRDefault="009D4550" w:rsidP="009D4550">
            <w:pPr>
              <w:spacing w:before="60" w:after="60"/>
              <w:rPr>
                <w:rFonts w:cs="Arial"/>
              </w:rPr>
            </w:pPr>
            <w:r w:rsidRPr="00F43DDA">
              <w:rPr>
                <w:rFonts w:cs="Arial"/>
              </w:rPr>
              <w:t>1-year dog study</w:t>
            </w:r>
          </w:p>
        </w:tc>
        <w:tc>
          <w:tcPr>
            <w:tcW w:w="1276" w:type="dxa"/>
          </w:tcPr>
          <w:p w14:paraId="519D47F9" w14:textId="77777777" w:rsidR="009D4550" w:rsidRPr="00F43DDA" w:rsidRDefault="009D4550" w:rsidP="009D4550">
            <w:pPr>
              <w:spacing w:before="60" w:after="60"/>
              <w:rPr>
                <w:rFonts w:cs="Arial"/>
              </w:rPr>
            </w:pPr>
            <w:r w:rsidRPr="00F43DDA">
              <w:rPr>
                <w:rFonts w:cs="Arial"/>
              </w:rPr>
              <w:t>3</w:t>
            </w:r>
          </w:p>
        </w:tc>
        <w:tc>
          <w:tcPr>
            <w:tcW w:w="992" w:type="dxa"/>
          </w:tcPr>
          <w:p w14:paraId="19DEF825" w14:textId="77777777" w:rsidR="009D4550" w:rsidRPr="00F43DDA" w:rsidRDefault="009D4550" w:rsidP="009D4550">
            <w:pPr>
              <w:spacing w:before="60" w:after="60"/>
              <w:rPr>
                <w:rFonts w:cs="Arial"/>
              </w:rPr>
            </w:pPr>
            <w:r w:rsidRPr="00F43DDA">
              <w:rPr>
                <w:rFonts w:cs="Arial"/>
              </w:rPr>
              <w:t>100</w:t>
            </w:r>
          </w:p>
        </w:tc>
        <w:tc>
          <w:tcPr>
            <w:tcW w:w="2027" w:type="dxa"/>
          </w:tcPr>
          <w:p w14:paraId="19E2715F" w14:textId="77777777" w:rsidR="009D4550" w:rsidRPr="00F43DDA" w:rsidRDefault="009D4550" w:rsidP="009D4550">
            <w:pPr>
              <w:spacing w:before="60" w:after="60"/>
              <w:rPr>
                <w:rFonts w:cs="Arial"/>
              </w:rPr>
            </w:pPr>
            <w:r w:rsidRPr="00F43DDA">
              <w:rPr>
                <w:rFonts w:cs="Arial"/>
              </w:rPr>
              <w:t>100%</w:t>
            </w:r>
          </w:p>
        </w:tc>
      </w:tr>
      <w:tr w:rsidR="009D4550" w:rsidRPr="00CE392D" w14:paraId="738594D9" w14:textId="77777777" w:rsidTr="0039605F">
        <w:trPr>
          <w:cantSplit/>
        </w:trPr>
        <w:tc>
          <w:tcPr>
            <w:tcW w:w="1440" w:type="dxa"/>
          </w:tcPr>
          <w:p w14:paraId="42234DCA" w14:textId="77777777" w:rsidR="009D4550" w:rsidRPr="00F43DDA" w:rsidRDefault="009D4550" w:rsidP="009D4550">
            <w:pPr>
              <w:spacing w:before="60" w:after="60"/>
              <w:rPr>
                <w:rFonts w:cs="Arial"/>
              </w:rPr>
            </w:pPr>
            <w:r w:rsidRPr="00F43DDA">
              <w:rPr>
                <w:rFonts w:cs="Arial"/>
              </w:rPr>
              <w:t>Medium-term AEL</w:t>
            </w:r>
          </w:p>
        </w:tc>
        <w:tc>
          <w:tcPr>
            <w:tcW w:w="1395" w:type="dxa"/>
          </w:tcPr>
          <w:p w14:paraId="5F6C1DC4" w14:textId="77777777" w:rsidR="009D4550" w:rsidRPr="00F43DDA" w:rsidRDefault="009D4550" w:rsidP="009D4550">
            <w:pPr>
              <w:spacing w:before="60" w:after="60"/>
              <w:rPr>
                <w:rFonts w:cs="Arial"/>
              </w:rPr>
            </w:pPr>
            <w:r w:rsidRPr="00F43DDA">
              <w:rPr>
                <w:rFonts w:cs="Arial"/>
              </w:rPr>
              <w:t>0.03</w:t>
            </w:r>
          </w:p>
        </w:tc>
        <w:tc>
          <w:tcPr>
            <w:tcW w:w="2410" w:type="dxa"/>
          </w:tcPr>
          <w:p w14:paraId="51BECACF" w14:textId="77777777" w:rsidR="009D4550" w:rsidRPr="00F43DDA" w:rsidRDefault="009D4550" w:rsidP="009D4550">
            <w:pPr>
              <w:spacing w:before="60" w:after="60"/>
              <w:rPr>
                <w:rFonts w:cs="Arial"/>
              </w:rPr>
            </w:pPr>
            <w:r w:rsidRPr="00F43DDA">
              <w:rPr>
                <w:rFonts w:cs="Arial"/>
              </w:rPr>
              <w:t>1-year dog study</w:t>
            </w:r>
          </w:p>
        </w:tc>
        <w:tc>
          <w:tcPr>
            <w:tcW w:w="1276" w:type="dxa"/>
          </w:tcPr>
          <w:p w14:paraId="1F77428A" w14:textId="77777777" w:rsidR="009D4550" w:rsidRPr="00F43DDA" w:rsidRDefault="009D4550" w:rsidP="009D4550">
            <w:pPr>
              <w:spacing w:before="60" w:after="60"/>
              <w:rPr>
                <w:rFonts w:cs="Arial"/>
              </w:rPr>
            </w:pPr>
            <w:r w:rsidRPr="00F43DDA">
              <w:rPr>
                <w:rFonts w:cs="Arial"/>
              </w:rPr>
              <w:t>3</w:t>
            </w:r>
          </w:p>
        </w:tc>
        <w:tc>
          <w:tcPr>
            <w:tcW w:w="992" w:type="dxa"/>
          </w:tcPr>
          <w:p w14:paraId="3D406BB8" w14:textId="77777777" w:rsidR="009D4550" w:rsidRPr="00F43DDA" w:rsidRDefault="009D4550" w:rsidP="009D4550">
            <w:pPr>
              <w:spacing w:before="60" w:after="60"/>
              <w:rPr>
                <w:rFonts w:cs="Arial"/>
              </w:rPr>
            </w:pPr>
            <w:r w:rsidRPr="00F43DDA">
              <w:rPr>
                <w:rFonts w:cs="Arial"/>
              </w:rPr>
              <w:t>100</w:t>
            </w:r>
          </w:p>
        </w:tc>
        <w:tc>
          <w:tcPr>
            <w:tcW w:w="2027" w:type="dxa"/>
          </w:tcPr>
          <w:p w14:paraId="6B714589" w14:textId="77777777" w:rsidR="009D4550" w:rsidRPr="00F43DDA" w:rsidRDefault="009D4550" w:rsidP="009D4550">
            <w:pPr>
              <w:spacing w:before="60" w:after="60"/>
              <w:rPr>
                <w:rFonts w:cs="Arial"/>
              </w:rPr>
            </w:pPr>
            <w:r w:rsidRPr="00F43DDA">
              <w:rPr>
                <w:rFonts w:cs="Arial"/>
              </w:rPr>
              <w:t>100%</w:t>
            </w:r>
          </w:p>
        </w:tc>
      </w:tr>
      <w:tr w:rsidR="009D4550" w:rsidRPr="00CE392D" w14:paraId="1DADC5AC" w14:textId="77777777" w:rsidTr="0039605F">
        <w:trPr>
          <w:cantSplit/>
        </w:trPr>
        <w:tc>
          <w:tcPr>
            <w:tcW w:w="1440" w:type="dxa"/>
          </w:tcPr>
          <w:p w14:paraId="66AC413D" w14:textId="77777777" w:rsidR="009D4550" w:rsidRPr="00F43DDA" w:rsidRDefault="009D4550" w:rsidP="009D4550">
            <w:pPr>
              <w:spacing w:before="60" w:after="60"/>
              <w:rPr>
                <w:rFonts w:cs="Arial"/>
              </w:rPr>
            </w:pPr>
            <w:r w:rsidRPr="00F43DDA">
              <w:rPr>
                <w:rFonts w:cs="Arial"/>
              </w:rPr>
              <w:t>Short-term AEL</w:t>
            </w:r>
          </w:p>
        </w:tc>
        <w:tc>
          <w:tcPr>
            <w:tcW w:w="1395" w:type="dxa"/>
          </w:tcPr>
          <w:p w14:paraId="794FBD77" w14:textId="77777777" w:rsidR="009D4550" w:rsidRPr="00F43DDA" w:rsidRDefault="009D4550" w:rsidP="009D4550">
            <w:pPr>
              <w:spacing w:before="60" w:after="60"/>
              <w:rPr>
                <w:rFonts w:cs="Arial"/>
              </w:rPr>
            </w:pPr>
            <w:r w:rsidRPr="00F43DDA">
              <w:rPr>
                <w:rFonts w:cs="Arial"/>
              </w:rPr>
              <w:t>0.03</w:t>
            </w:r>
          </w:p>
        </w:tc>
        <w:tc>
          <w:tcPr>
            <w:tcW w:w="2410" w:type="dxa"/>
          </w:tcPr>
          <w:p w14:paraId="03246530" w14:textId="77777777" w:rsidR="009D4550" w:rsidRPr="00F43DDA" w:rsidRDefault="009D4550" w:rsidP="009D4550">
            <w:pPr>
              <w:spacing w:before="60" w:after="60"/>
              <w:rPr>
                <w:rFonts w:cs="Arial"/>
              </w:rPr>
            </w:pPr>
            <w:r w:rsidRPr="00F43DDA">
              <w:rPr>
                <w:rFonts w:cs="Arial"/>
              </w:rPr>
              <w:t>1-year dog study</w:t>
            </w:r>
          </w:p>
        </w:tc>
        <w:tc>
          <w:tcPr>
            <w:tcW w:w="1276" w:type="dxa"/>
          </w:tcPr>
          <w:p w14:paraId="264A85BB" w14:textId="77777777" w:rsidR="009D4550" w:rsidRPr="00F43DDA" w:rsidRDefault="009D4550" w:rsidP="009D4550">
            <w:pPr>
              <w:spacing w:before="60" w:after="60"/>
              <w:rPr>
                <w:rFonts w:cs="Arial"/>
              </w:rPr>
            </w:pPr>
            <w:r w:rsidRPr="00F43DDA">
              <w:rPr>
                <w:rFonts w:cs="Arial"/>
              </w:rPr>
              <w:t>3</w:t>
            </w:r>
          </w:p>
        </w:tc>
        <w:tc>
          <w:tcPr>
            <w:tcW w:w="992" w:type="dxa"/>
          </w:tcPr>
          <w:p w14:paraId="13F91F9F" w14:textId="77777777" w:rsidR="009D4550" w:rsidRPr="00F43DDA" w:rsidRDefault="009D4550" w:rsidP="009D4550">
            <w:pPr>
              <w:spacing w:before="60" w:after="60"/>
              <w:rPr>
                <w:rFonts w:cs="Arial"/>
              </w:rPr>
            </w:pPr>
            <w:r w:rsidRPr="00F43DDA">
              <w:rPr>
                <w:rFonts w:cs="Arial"/>
              </w:rPr>
              <w:t>100</w:t>
            </w:r>
          </w:p>
        </w:tc>
        <w:tc>
          <w:tcPr>
            <w:tcW w:w="2027" w:type="dxa"/>
          </w:tcPr>
          <w:p w14:paraId="573EC238" w14:textId="77777777" w:rsidR="009D4550" w:rsidRPr="00F43DDA" w:rsidRDefault="009D4550" w:rsidP="009D4550">
            <w:pPr>
              <w:spacing w:before="60" w:after="60"/>
              <w:rPr>
                <w:rFonts w:cs="Arial"/>
              </w:rPr>
            </w:pPr>
            <w:r w:rsidRPr="00F43DDA">
              <w:rPr>
                <w:rFonts w:cs="Arial"/>
              </w:rPr>
              <w:t>100%</w:t>
            </w:r>
          </w:p>
        </w:tc>
      </w:tr>
      <w:tr w:rsidR="009D4550" w:rsidRPr="00CE392D" w14:paraId="43C85118" w14:textId="77777777" w:rsidTr="009D4550">
        <w:trPr>
          <w:cantSplit/>
        </w:trPr>
        <w:tc>
          <w:tcPr>
            <w:tcW w:w="9540" w:type="dxa"/>
            <w:gridSpan w:val="6"/>
          </w:tcPr>
          <w:p w14:paraId="2E851D78" w14:textId="77777777" w:rsidR="009D4550" w:rsidRPr="00F43DDA" w:rsidRDefault="009D4550" w:rsidP="009D4550">
            <w:pPr>
              <w:spacing w:before="60" w:after="60"/>
              <w:rPr>
                <w:rFonts w:cs="Arial"/>
                <w:b/>
              </w:rPr>
            </w:pPr>
            <w:r w:rsidRPr="00F43DDA">
              <w:rPr>
                <w:rFonts w:cs="Arial"/>
                <w:b/>
              </w:rPr>
              <w:t>IPBC</w:t>
            </w:r>
          </w:p>
        </w:tc>
      </w:tr>
      <w:tr w:rsidR="009D4550" w:rsidRPr="00CE392D" w14:paraId="045182AA" w14:textId="77777777" w:rsidTr="0039605F">
        <w:trPr>
          <w:cantSplit/>
        </w:trPr>
        <w:tc>
          <w:tcPr>
            <w:tcW w:w="1440" w:type="dxa"/>
          </w:tcPr>
          <w:p w14:paraId="76DBF103" w14:textId="77777777" w:rsidR="009D4550" w:rsidRPr="00F43DDA" w:rsidRDefault="009D4550" w:rsidP="009D4550">
            <w:pPr>
              <w:spacing w:before="60" w:after="60"/>
              <w:rPr>
                <w:rFonts w:cs="Arial"/>
              </w:rPr>
            </w:pPr>
            <w:r w:rsidRPr="00F43DDA">
              <w:rPr>
                <w:rFonts w:cs="Arial"/>
              </w:rPr>
              <w:t>Long-term AEL</w:t>
            </w:r>
          </w:p>
        </w:tc>
        <w:tc>
          <w:tcPr>
            <w:tcW w:w="1395" w:type="dxa"/>
          </w:tcPr>
          <w:p w14:paraId="6EBA047C" w14:textId="77777777" w:rsidR="009D4550" w:rsidRPr="00F43DDA" w:rsidRDefault="009D4550" w:rsidP="009D4550">
            <w:pPr>
              <w:spacing w:before="60" w:after="60"/>
              <w:rPr>
                <w:rFonts w:cs="Arial"/>
              </w:rPr>
            </w:pPr>
            <w:r w:rsidRPr="00F43DDA">
              <w:rPr>
                <w:rFonts w:cs="Arial"/>
              </w:rPr>
              <w:t>0.2</w:t>
            </w:r>
          </w:p>
        </w:tc>
        <w:tc>
          <w:tcPr>
            <w:tcW w:w="2410" w:type="dxa"/>
          </w:tcPr>
          <w:p w14:paraId="714B07BF" w14:textId="77777777" w:rsidR="009D4550" w:rsidRPr="00F43DDA" w:rsidRDefault="009D4550" w:rsidP="009D4550">
            <w:pPr>
              <w:spacing w:before="60" w:after="60"/>
              <w:rPr>
                <w:rFonts w:cs="Arial"/>
              </w:rPr>
            </w:pPr>
            <w:r w:rsidRPr="00F43DDA">
              <w:rPr>
                <w:rFonts w:cs="Arial"/>
              </w:rPr>
              <w:t>2-year rat study</w:t>
            </w:r>
          </w:p>
        </w:tc>
        <w:tc>
          <w:tcPr>
            <w:tcW w:w="1276" w:type="dxa"/>
          </w:tcPr>
          <w:p w14:paraId="66753095" w14:textId="77777777" w:rsidR="009D4550" w:rsidRPr="00F43DDA" w:rsidRDefault="009D4550" w:rsidP="009D4550">
            <w:pPr>
              <w:spacing w:before="60" w:after="60"/>
              <w:rPr>
                <w:rFonts w:cs="Arial"/>
              </w:rPr>
            </w:pPr>
            <w:r w:rsidRPr="00F43DDA">
              <w:rPr>
                <w:rFonts w:cs="Arial"/>
              </w:rPr>
              <w:t>20</w:t>
            </w:r>
          </w:p>
        </w:tc>
        <w:tc>
          <w:tcPr>
            <w:tcW w:w="992" w:type="dxa"/>
          </w:tcPr>
          <w:p w14:paraId="38D5AA42" w14:textId="77777777" w:rsidR="009D4550" w:rsidRPr="00F43DDA" w:rsidRDefault="009D4550" w:rsidP="009D4550">
            <w:pPr>
              <w:spacing w:before="60" w:after="60"/>
              <w:rPr>
                <w:rFonts w:cs="Arial"/>
              </w:rPr>
            </w:pPr>
            <w:r w:rsidRPr="00F43DDA">
              <w:rPr>
                <w:rFonts w:cs="Arial"/>
              </w:rPr>
              <w:t>100</w:t>
            </w:r>
          </w:p>
        </w:tc>
        <w:tc>
          <w:tcPr>
            <w:tcW w:w="2027" w:type="dxa"/>
          </w:tcPr>
          <w:p w14:paraId="77F16F8E" w14:textId="77777777" w:rsidR="009D4550" w:rsidRPr="00F43DDA" w:rsidRDefault="009D4550" w:rsidP="009D4550">
            <w:pPr>
              <w:spacing w:before="60" w:after="60"/>
              <w:rPr>
                <w:rFonts w:cs="Arial"/>
              </w:rPr>
            </w:pPr>
            <w:r w:rsidRPr="00F43DDA">
              <w:rPr>
                <w:rFonts w:cs="Arial"/>
              </w:rPr>
              <w:t>&gt;90% (100%)</w:t>
            </w:r>
          </w:p>
        </w:tc>
      </w:tr>
      <w:tr w:rsidR="009D4550" w:rsidRPr="00CE392D" w14:paraId="357B411B" w14:textId="77777777" w:rsidTr="0039605F">
        <w:trPr>
          <w:cantSplit/>
        </w:trPr>
        <w:tc>
          <w:tcPr>
            <w:tcW w:w="1440" w:type="dxa"/>
          </w:tcPr>
          <w:p w14:paraId="460E72C6" w14:textId="0DB854BE" w:rsidR="009D4550" w:rsidRPr="00F43DDA" w:rsidRDefault="0033534F" w:rsidP="009D4550">
            <w:pPr>
              <w:spacing w:before="60" w:after="60"/>
              <w:rPr>
                <w:rFonts w:cs="Arial"/>
              </w:rPr>
            </w:pPr>
            <w:r>
              <w:rPr>
                <w:rFonts w:cs="Arial"/>
              </w:rPr>
              <w:t>Medium</w:t>
            </w:r>
            <w:r w:rsidR="009D4550" w:rsidRPr="00F43DDA">
              <w:rPr>
                <w:rFonts w:cs="Arial"/>
              </w:rPr>
              <w:t>-term AEL</w:t>
            </w:r>
          </w:p>
        </w:tc>
        <w:tc>
          <w:tcPr>
            <w:tcW w:w="1395" w:type="dxa"/>
          </w:tcPr>
          <w:p w14:paraId="3355E68E" w14:textId="77777777" w:rsidR="009D4550" w:rsidRPr="00F43DDA" w:rsidRDefault="009D4550" w:rsidP="009D4550">
            <w:pPr>
              <w:spacing w:before="60" w:after="60"/>
              <w:rPr>
                <w:rFonts w:cs="Arial"/>
              </w:rPr>
            </w:pPr>
            <w:r w:rsidRPr="00F43DDA">
              <w:rPr>
                <w:rFonts w:cs="Arial"/>
              </w:rPr>
              <w:t>0.35</w:t>
            </w:r>
          </w:p>
        </w:tc>
        <w:tc>
          <w:tcPr>
            <w:tcW w:w="2410" w:type="dxa"/>
          </w:tcPr>
          <w:p w14:paraId="017A9A26" w14:textId="77777777" w:rsidR="009D4550" w:rsidRPr="00F43DDA" w:rsidRDefault="009D4550" w:rsidP="009D4550">
            <w:pPr>
              <w:spacing w:before="60" w:after="60"/>
              <w:rPr>
                <w:rFonts w:cs="Arial"/>
              </w:rPr>
            </w:pPr>
            <w:r w:rsidRPr="00F43DDA">
              <w:rPr>
                <w:rFonts w:cs="Arial"/>
              </w:rPr>
              <w:t>90-day rat study</w:t>
            </w:r>
          </w:p>
        </w:tc>
        <w:tc>
          <w:tcPr>
            <w:tcW w:w="1276" w:type="dxa"/>
          </w:tcPr>
          <w:p w14:paraId="57785EFF" w14:textId="77777777" w:rsidR="009D4550" w:rsidRPr="00F43DDA" w:rsidRDefault="009D4550" w:rsidP="009D4550">
            <w:pPr>
              <w:spacing w:before="60" w:after="60"/>
              <w:rPr>
                <w:rFonts w:cs="Arial"/>
              </w:rPr>
            </w:pPr>
            <w:r w:rsidRPr="00F43DDA">
              <w:rPr>
                <w:rFonts w:cs="Arial"/>
              </w:rPr>
              <w:t>3.5</w:t>
            </w:r>
          </w:p>
        </w:tc>
        <w:tc>
          <w:tcPr>
            <w:tcW w:w="992" w:type="dxa"/>
          </w:tcPr>
          <w:p w14:paraId="3FE14982" w14:textId="77777777" w:rsidR="009D4550" w:rsidRPr="00F43DDA" w:rsidRDefault="009D4550" w:rsidP="009D4550">
            <w:pPr>
              <w:spacing w:before="60" w:after="60"/>
              <w:rPr>
                <w:rFonts w:cs="Arial"/>
              </w:rPr>
            </w:pPr>
            <w:r w:rsidRPr="00F43DDA">
              <w:rPr>
                <w:rFonts w:cs="Arial"/>
              </w:rPr>
              <w:t>100</w:t>
            </w:r>
          </w:p>
        </w:tc>
        <w:tc>
          <w:tcPr>
            <w:tcW w:w="2027" w:type="dxa"/>
          </w:tcPr>
          <w:p w14:paraId="40CDE29C" w14:textId="77777777" w:rsidR="009D4550" w:rsidRPr="00F43DDA" w:rsidRDefault="009D4550" w:rsidP="009D4550">
            <w:pPr>
              <w:spacing w:before="60" w:after="60"/>
              <w:rPr>
                <w:rFonts w:cs="Arial"/>
              </w:rPr>
            </w:pPr>
            <w:r w:rsidRPr="00F43DDA">
              <w:rPr>
                <w:rFonts w:cs="Arial"/>
              </w:rPr>
              <w:t>&gt;90% (100%)</w:t>
            </w:r>
          </w:p>
        </w:tc>
      </w:tr>
      <w:tr w:rsidR="009D4550" w:rsidRPr="00CE392D" w14:paraId="1B12E646" w14:textId="77777777" w:rsidTr="0039605F">
        <w:trPr>
          <w:cantSplit/>
        </w:trPr>
        <w:tc>
          <w:tcPr>
            <w:tcW w:w="1440" w:type="dxa"/>
          </w:tcPr>
          <w:p w14:paraId="547D78C2" w14:textId="77777777" w:rsidR="009D4550" w:rsidRPr="00F43DDA" w:rsidRDefault="009D4550" w:rsidP="009D4550">
            <w:pPr>
              <w:spacing w:before="60" w:after="60"/>
              <w:rPr>
                <w:rFonts w:cs="Arial"/>
              </w:rPr>
            </w:pPr>
            <w:r w:rsidRPr="00F43DDA">
              <w:rPr>
                <w:rFonts w:cs="Arial"/>
              </w:rPr>
              <w:t>Short-term AEL</w:t>
            </w:r>
          </w:p>
        </w:tc>
        <w:tc>
          <w:tcPr>
            <w:tcW w:w="1395" w:type="dxa"/>
          </w:tcPr>
          <w:p w14:paraId="6C8E7D0C" w14:textId="77777777" w:rsidR="009D4550" w:rsidRPr="00F43DDA" w:rsidRDefault="009D4550" w:rsidP="009D4550">
            <w:pPr>
              <w:spacing w:before="60" w:after="60"/>
              <w:rPr>
                <w:rFonts w:cs="Arial"/>
              </w:rPr>
            </w:pPr>
            <w:r w:rsidRPr="00F43DDA">
              <w:rPr>
                <w:rFonts w:cs="Arial"/>
              </w:rPr>
              <w:t>0.35</w:t>
            </w:r>
          </w:p>
        </w:tc>
        <w:tc>
          <w:tcPr>
            <w:tcW w:w="2410" w:type="dxa"/>
          </w:tcPr>
          <w:p w14:paraId="316015A5" w14:textId="77777777" w:rsidR="009D4550" w:rsidRPr="00F43DDA" w:rsidRDefault="009D4550" w:rsidP="009D4550">
            <w:pPr>
              <w:spacing w:before="60" w:after="60"/>
              <w:rPr>
                <w:rFonts w:cs="Arial"/>
              </w:rPr>
            </w:pPr>
            <w:r w:rsidRPr="00F43DDA">
              <w:rPr>
                <w:rFonts w:cs="Arial"/>
              </w:rPr>
              <w:t>90-day rat study</w:t>
            </w:r>
          </w:p>
        </w:tc>
        <w:tc>
          <w:tcPr>
            <w:tcW w:w="1276" w:type="dxa"/>
          </w:tcPr>
          <w:p w14:paraId="4E2B1E27" w14:textId="77777777" w:rsidR="009D4550" w:rsidRPr="00F43DDA" w:rsidRDefault="009D4550" w:rsidP="009D4550">
            <w:pPr>
              <w:spacing w:before="60" w:after="60"/>
              <w:rPr>
                <w:rFonts w:cs="Arial"/>
              </w:rPr>
            </w:pPr>
            <w:r w:rsidRPr="00F43DDA">
              <w:rPr>
                <w:rFonts w:cs="Arial"/>
              </w:rPr>
              <w:t>3.5</w:t>
            </w:r>
          </w:p>
        </w:tc>
        <w:tc>
          <w:tcPr>
            <w:tcW w:w="992" w:type="dxa"/>
          </w:tcPr>
          <w:p w14:paraId="67309562" w14:textId="77777777" w:rsidR="009D4550" w:rsidRPr="00F43DDA" w:rsidRDefault="009D4550" w:rsidP="009D4550">
            <w:pPr>
              <w:spacing w:before="60" w:after="60"/>
              <w:rPr>
                <w:rFonts w:cs="Arial"/>
              </w:rPr>
            </w:pPr>
            <w:r w:rsidRPr="00F43DDA">
              <w:rPr>
                <w:rFonts w:cs="Arial"/>
              </w:rPr>
              <w:t>100</w:t>
            </w:r>
          </w:p>
        </w:tc>
        <w:tc>
          <w:tcPr>
            <w:tcW w:w="2027" w:type="dxa"/>
          </w:tcPr>
          <w:p w14:paraId="4DDFBAED" w14:textId="77777777" w:rsidR="009D4550" w:rsidRPr="00F43DDA" w:rsidRDefault="009D4550" w:rsidP="009D4550">
            <w:pPr>
              <w:spacing w:before="60" w:after="60"/>
              <w:rPr>
                <w:rFonts w:cs="Arial"/>
              </w:rPr>
            </w:pPr>
            <w:r w:rsidRPr="00F43DDA">
              <w:rPr>
                <w:rFonts w:cs="Arial"/>
              </w:rPr>
              <w:t>&gt;90% (100%)</w:t>
            </w:r>
          </w:p>
        </w:tc>
      </w:tr>
    </w:tbl>
    <w:p w14:paraId="3F18CC8B" w14:textId="77777777" w:rsidR="009D4550" w:rsidRPr="00F43DDA" w:rsidRDefault="009D4550" w:rsidP="009D4550">
      <w:pPr>
        <w:rPr>
          <w:rFonts w:cs="Arial"/>
        </w:rPr>
      </w:pPr>
    </w:p>
    <w:p w14:paraId="356BC46B" w14:textId="77777777" w:rsidR="009D4550" w:rsidRPr="008551C7" w:rsidRDefault="009D4550" w:rsidP="009D4550">
      <w:pPr>
        <w:pStyle w:val="Titre5"/>
        <w:spacing w:before="240"/>
        <w:rPr>
          <w:lang w:val="en-US"/>
        </w:rPr>
      </w:pPr>
      <w:bookmarkStart w:id="102" w:name="_Toc281929705"/>
      <w:r w:rsidRPr="008551C7">
        <w:rPr>
          <w:lang w:val="en-US"/>
        </w:rPr>
        <w:t xml:space="preserve">Toxicology of the substance(s) of concern </w:t>
      </w:r>
    </w:p>
    <w:p w14:paraId="5FB09F43" w14:textId="0A42C7A2" w:rsidR="009D4550" w:rsidRPr="00F43DDA" w:rsidRDefault="009D4550" w:rsidP="00F43DDA">
      <w:pPr>
        <w:jc w:val="left"/>
        <w:rPr>
          <w:rFonts w:cs="Arial"/>
        </w:rPr>
      </w:pPr>
      <w:r w:rsidRPr="00F43DDA">
        <w:rPr>
          <w:rFonts w:cs="Arial"/>
        </w:rPr>
        <w:t>The coforrmulant Hydrocarbons, C10-C13,</w:t>
      </w:r>
      <w:r w:rsidR="00CE392D" w:rsidRPr="00F43DDA">
        <w:rPr>
          <w:rFonts w:cs="Arial"/>
        </w:rPr>
        <w:t xml:space="preserve"> </w:t>
      </w:r>
      <w:r w:rsidRPr="00F43DDA">
        <w:rPr>
          <w:rFonts w:cs="Arial"/>
        </w:rPr>
        <w:t>n-alkanes,</w:t>
      </w:r>
      <w:r w:rsidR="00CE392D" w:rsidRPr="00F43DDA">
        <w:rPr>
          <w:rFonts w:cs="Arial"/>
        </w:rPr>
        <w:t xml:space="preserve"> </w:t>
      </w:r>
      <w:r w:rsidRPr="00F43DDA">
        <w:rPr>
          <w:rFonts w:cs="Arial"/>
        </w:rPr>
        <w:t>isoalkanes</w:t>
      </w:r>
      <w:proofErr w:type="gramStart"/>
      <w:r w:rsidRPr="00F43DDA">
        <w:rPr>
          <w:rFonts w:cs="Arial"/>
        </w:rPr>
        <w:t>,cyclics</w:t>
      </w:r>
      <w:proofErr w:type="gramEnd"/>
      <w:r w:rsidRPr="00F43DDA">
        <w:rPr>
          <w:rFonts w:cs="Arial"/>
        </w:rPr>
        <w:t xml:space="preserve"> </w:t>
      </w:r>
      <w:r w:rsidR="0033534F">
        <w:rPr>
          <w:rFonts w:cs="Arial"/>
        </w:rPr>
        <w:t xml:space="preserve">(EC number: 918-481-9) </w:t>
      </w:r>
      <w:r w:rsidRPr="00F43DDA">
        <w:rPr>
          <w:rFonts w:cs="Arial"/>
        </w:rPr>
        <w:t xml:space="preserve">triggers a classification Asp Tox. Cat 1 - H304 of product. </w:t>
      </w:r>
      <w:r w:rsidR="0045722E">
        <w:rPr>
          <w:rFonts w:cs="Arial"/>
        </w:rPr>
        <w:t>This</w:t>
      </w:r>
      <w:r w:rsidRPr="00F43DDA">
        <w:rPr>
          <w:rFonts w:cs="Arial"/>
        </w:rPr>
        <w:t xml:space="preserve"> coformulant is considered substance of concern. </w:t>
      </w:r>
    </w:p>
    <w:p w14:paraId="15DAB9C4" w14:textId="77777777" w:rsidR="00CE392D" w:rsidRPr="006E1577" w:rsidRDefault="00CE392D" w:rsidP="009D4550">
      <w:pPr>
        <w:rPr>
          <w:rFonts w:ascii="Arial" w:hAnsi="Arial" w:cs="Arial"/>
        </w:rPr>
      </w:pPr>
    </w:p>
    <w:p w14:paraId="03154150" w14:textId="77777777" w:rsidR="009D4550" w:rsidRPr="00193AF5" w:rsidRDefault="009D4550" w:rsidP="009D4550">
      <w:pPr>
        <w:pStyle w:val="Titre5"/>
        <w:spacing w:before="240"/>
      </w:pPr>
      <w:bookmarkStart w:id="103" w:name="_Toc281929706"/>
      <w:bookmarkEnd w:id="102"/>
      <w:r w:rsidRPr="00193AF5">
        <w:t>Toxicolo</w:t>
      </w:r>
      <w:r w:rsidRPr="009D4550">
        <w:t>gy of the</w:t>
      </w:r>
      <w:r w:rsidRPr="00193AF5">
        <w:t xml:space="preserve"> biocidal product</w:t>
      </w:r>
    </w:p>
    <w:bookmarkEnd w:id="103"/>
    <w:p w14:paraId="311E3115" w14:textId="1C161ECA" w:rsidR="006A5740" w:rsidRDefault="006A5740" w:rsidP="009D4550">
      <w:pPr>
        <w:pStyle w:val="BfRBBStandard"/>
        <w:rPr>
          <w:rFonts w:ascii="Verdana" w:eastAsia="Times New Roman" w:hAnsi="Verdana"/>
          <w:sz w:val="20"/>
          <w:szCs w:val="20"/>
          <w:lang w:val="en-GB" w:eastAsia="sv-SE"/>
        </w:rPr>
      </w:pPr>
      <w:r w:rsidRPr="00B7552D">
        <w:rPr>
          <w:rFonts w:ascii="Verdana" w:eastAsia="Times New Roman" w:hAnsi="Verdana"/>
          <w:sz w:val="20"/>
          <w:szCs w:val="20"/>
          <w:lang w:val="en-GB" w:eastAsia="sv-SE"/>
        </w:rPr>
        <w:t xml:space="preserve">X6122B1 is not </w:t>
      </w:r>
      <w:r>
        <w:rPr>
          <w:rFonts w:ascii="Verdana" w:eastAsia="Times New Roman" w:hAnsi="Verdana"/>
          <w:sz w:val="20"/>
          <w:szCs w:val="20"/>
          <w:lang w:val="en-GB" w:eastAsia="sv-SE"/>
        </w:rPr>
        <w:t xml:space="preserve">a </w:t>
      </w:r>
      <w:r w:rsidRPr="00B7552D">
        <w:rPr>
          <w:rFonts w:ascii="Verdana" w:eastAsia="Times New Roman" w:hAnsi="Verdana"/>
          <w:sz w:val="20"/>
          <w:szCs w:val="20"/>
          <w:lang w:val="en-GB" w:eastAsia="sv-SE"/>
        </w:rPr>
        <w:t>representative product of one active substance</w:t>
      </w:r>
      <w:r w:rsidRPr="006A5740">
        <w:rPr>
          <w:rFonts w:ascii="Verdana" w:eastAsia="Times New Roman" w:hAnsi="Verdana"/>
          <w:sz w:val="20"/>
          <w:szCs w:val="20"/>
          <w:lang w:val="en-GB" w:eastAsia="sv-SE"/>
        </w:rPr>
        <w:t xml:space="preserve"> </w:t>
      </w:r>
      <w:r>
        <w:rPr>
          <w:rFonts w:ascii="Verdana" w:eastAsia="Times New Roman" w:hAnsi="Verdana"/>
          <w:sz w:val="20"/>
          <w:szCs w:val="20"/>
          <w:lang w:val="en-GB" w:eastAsia="sv-SE"/>
        </w:rPr>
        <w:t xml:space="preserve">assessed during </w:t>
      </w:r>
      <w:r w:rsidRPr="00F43DDA">
        <w:rPr>
          <w:rFonts w:ascii="Verdana" w:eastAsia="Times New Roman" w:hAnsi="Verdana"/>
          <w:sz w:val="20"/>
          <w:szCs w:val="20"/>
          <w:lang w:val="en-GB" w:eastAsia="sv-SE"/>
        </w:rPr>
        <w:t>the EU- review program for inclusion of the active substance in Annex I of Directive 98/8/EC</w:t>
      </w:r>
      <w:r w:rsidRPr="00B7552D">
        <w:rPr>
          <w:rFonts w:ascii="Verdana" w:eastAsia="Times New Roman" w:hAnsi="Verdana"/>
          <w:sz w:val="20"/>
          <w:szCs w:val="20"/>
          <w:lang w:val="en-GB" w:eastAsia="sv-SE"/>
        </w:rPr>
        <w:t>.</w:t>
      </w:r>
    </w:p>
    <w:p w14:paraId="61775AE0" w14:textId="17A7E3CE" w:rsidR="009D4550" w:rsidRPr="00F43DDA" w:rsidRDefault="006A5740" w:rsidP="009D4550">
      <w:pPr>
        <w:pStyle w:val="BfRBBStandard"/>
        <w:rPr>
          <w:rFonts w:ascii="Verdana" w:eastAsia="Times New Roman" w:hAnsi="Verdana"/>
          <w:sz w:val="20"/>
          <w:szCs w:val="20"/>
          <w:lang w:val="en-GB" w:eastAsia="sv-SE"/>
        </w:rPr>
      </w:pPr>
      <w:r w:rsidRPr="00F43DDA">
        <w:rPr>
          <w:rFonts w:ascii="Verdana" w:eastAsia="Times New Roman" w:hAnsi="Verdana"/>
          <w:sz w:val="20"/>
          <w:szCs w:val="20"/>
          <w:lang w:val="en-GB" w:eastAsia="sv-SE"/>
        </w:rPr>
        <w:t>The toxicology of the biocidal product was examined appropriately according to standard requirements.</w:t>
      </w:r>
    </w:p>
    <w:p w14:paraId="3AE621CA" w14:textId="77777777" w:rsidR="009D4550" w:rsidRPr="00F43DDA" w:rsidRDefault="009D4550" w:rsidP="009D4550">
      <w:pPr>
        <w:pStyle w:val="BfRBBStandard"/>
        <w:rPr>
          <w:rFonts w:ascii="Verdana" w:eastAsia="Times New Roman" w:hAnsi="Verdana"/>
          <w:sz w:val="20"/>
          <w:szCs w:val="20"/>
          <w:lang w:val="en-GB" w:eastAsia="sv-SE"/>
        </w:rPr>
      </w:pPr>
      <w:r w:rsidRPr="00F43DDA">
        <w:rPr>
          <w:rFonts w:ascii="Verdana" w:eastAsia="Times New Roman" w:hAnsi="Verdana"/>
          <w:sz w:val="20"/>
          <w:szCs w:val="20"/>
          <w:lang w:val="en-GB" w:eastAsia="sv-SE"/>
        </w:rPr>
        <w:t xml:space="preserve">The basis for the health assessment of the biocidal product is laid out in Annex </w:t>
      </w:r>
      <w:proofErr w:type="gramStart"/>
      <w:r w:rsidRPr="00F43DDA">
        <w:rPr>
          <w:rFonts w:ascii="Verdana" w:eastAsia="Times New Roman" w:hAnsi="Verdana"/>
          <w:sz w:val="20"/>
          <w:szCs w:val="20"/>
          <w:lang w:val="en-GB" w:eastAsia="sv-SE"/>
        </w:rPr>
        <w:t>5 ”</w:t>
      </w:r>
      <w:proofErr w:type="gramEnd"/>
      <w:r w:rsidRPr="00F43DDA">
        <w:rPr>
          <w:rFonts w:ascii="Verdana" w:eastAsia="Times New Roman" w:hAnsi="Verdana"/>
          <w:sz w:val="20"/>
          <w:szCs w:val="20"/>
          <w:lang w:val="en-GB" w:eastAsia="sv-SE"/>
        </w:rPr>
        <w:t>Toxicology – biocidal product”</w:t>
      </w:r>
    </w:p>
    <w:p w14:paraId="29AB07C5" w14:textId="77777777" w:rsidR="009D4550" w:rsidRDefault="009D4550" w:rsidP="009D4550">
      <w:pPr>
        <w:pStyle w:val="BfRBBStandard"/>
        <w:rPr>
          <w:rFonts w:eastAsia="Times New Roman"/>
          <w:sz w:val="20"/>
          <w:szCs w:val="20"/>
          <w:lang w:val="en-GB" w:eastAsia="sv-SE"/>
        </w:rPr>
      </w:pPr>
    </w:p>
    <w:p w14:paraId="2155CBB0" w14:textId="12BF613F" w:rsidR="009D4550" w:rsidRPr="009D4550" w:rsidRDefault="0045722E" w:rsidP="009D4550">
      <w:pPr>
        <w:pStyle w:val="Titre6"/>
        <w:spacing w:before="240"/>
      </w:pPr>
      <w:r w:rsidRPr="009D4550">
        <w:rPr>
          <w:caps w:val="0"/>
        </w:rPr>
        <w:t>PERCUTANEOUS ABSORPTION</w:t>
      </w:r>
    </w:p>
    <w:p w14:paraId="7373DE79" w14:textId="77777777" w:rsidR="009D4550" w:rsidRPr="002C3F50" w:rsidRDefault="009D4550" w:rsidP="00F43DDA">
      <w:pPr>
        <w:rPr>
          <w:lang w:eastAsia="sv-SE"/>
        </w:rPr>
      </w:pPr>
      <w:r w:rsidRPr="002C3F50">
        <w:rPr>
          <w:lang w:eastAsia="sv-SE"/>
        </w:rPr>
        <w:t xml:space="preserve">In order to complete the human risk assessment for the formulation X6122B1, three </w:t>
      </w:r>
      <w:r w:rsidRPr="006E1577">
        <w:rPr>
          <w:i/>
          <w:lang w:eastAsia="sv-SE"/>
        </w:rPr>
        <w:t>in vitro</w:t>
      </w:r>
      <w:r w:rsidRPr="002C3F50">
        <w:rPr>
          <w:lang w:eastAsia="sv-SE"/>
        </w:rPr>
        <w:t xml:space="preserve"> dermal absorption studies were performed to determine the dermal penetration potency of cypermethrin, propiconazole and tebuconazole.</w:t>
      </w:r>
    </w:p>
    <w:p w14:paraId="3F2AC95C" w14:textId="77777777" w:rsidR="009D4550" w:rsidRPr="00F43DDA" w:rsidRDefault="009D4550" w:rsidP="009D4550">
      <w:pPr>
        <w:rPr>
          <w:rFonts w:cs="Arial"/>
        </w:rPr>
      </w:pPr>
    </w:p>
    <w:p w14:paraId="677B9C92" w14:textId="4FCFF0E1" w:rsidR="009D4550" w:rsidRPr="00F43DDA" w:rsidRDefault="009D4550" w:rsidP="009D4550">
      <w:pPr>
        <w:rPr>
          <w:rFonts w:cs="Arial"/>
          <w:b/>
          <w:bCs/>
          <w:color w:val="000000"/>
        </w:rPr>
      </w:pPr>
      <w:r w:rsidRPr="00F43DDA">
        <w:rPr>
          <w:rFonts w:cs="Arial"/>
          <w:b/>
          <w:bCs/>
          <w:color w:val="000000"/>
        </w:rPr>
        <w:t>Dermal absorption of cypermethrin in formulation X6122B1</w:t>
      </w:r>
      <w:r w:rsidR="00382787">
        <w:rPr>
          <w:rStyle w:val="Appelnotedebasdep"/>
          <w:rFonts w:cs="Arial"/>
          <w:b/>
          <w:bCs/>
          <w:color w:val="000000"/>
        </w:rPr>
        <w:footnoteReference w:id="15"/>
      </w:r>
    </w:p>
    <w:p w14:paraId="0C327831" w14:textId="77777777" w:rsidR="009D4550" w:rsidRPr="00434364" w:rsidRDefault="009D4550" w:rsidP="009D4550">
      <w:pPr>
        <w:rPr>
          <w:b/>
          <w:bCs/>
          <w:color w:val="000000"/>
        </w:rPr>
      </w:pPr>
    </w:p>
    <w:p w14:paraId="0739998A" w14:textId="68DBA91A" w:rsidR="009D4550" w:rsidRPr="00F43DDA" w:rsidRDefault="009D4550" w:rsidP="009D4550">
      <w:pPr>
        <w:rPr>
          <w:rFonts w:cs="Arial"/>
          <w:color w:val="000000"/>
        </w:rPr>
      </w:pPr>
      <w:r w:rsidRPr="00F43DDA">
        <w:rPr>
          <w:rFonts w:cs="Arial"/>
          <w:color w:val="000000"/>
        </w:rPr>
        <w:t xml:space="preserve">The absorption profile and the distribution of the test item cypermethrin in formulation X6122B1 subsequent to the application on human skin was analysed using an </w:t>
      </w:r>
      <w:r w:rsidRPr="00F43DDA">
        <w:rPr>
          <w:rFonts w:cs="Arial"/>
          <w:i/>
          <w:iCs/>
          <w:color w:val="000000"/>
        </w:rPr>
        <w:t xml:space="preserve">in vitro </w:t>
      </w:r>
      <w:r w:rsidRPr="00F43DDA">
        <w:rPr>
          <w:rFonts w:cs="Arial"/>
          <w:color w:val="000000"/>
        </w:rPr>
        <w:t xml:space="preserve">flow-through diffusion cell. Cypermethrin was tested at one concentration corresponding to the content of the pure product </w:t>
      </w:r>
      <w:r w:rsidR="00382787">
        <w:rPr>
          <w:rFonts w:cs="Arial"/>
          <w:color w:val="000000"/>
        </w:rPr>
        <w:t xml:space="preserve">(0.07% w/w) </w:t>
      </w:r>
      <w:r w:rsidRPr="00F43DDA">
        <w:rPr>
          <w:rFonts w:cs="Arial"/>
          <w:color w:val="000000"/>
        </w:rPr>
        <w:t xml:space="preserve">for a contact time of 8 hours (corresponding to a normal working day) and followed by an exposure time of 24 hours. The study was performed according to the “OECD guideline for the testing of chemicals: Test No.428: Skin Absorption: </w:t>
      </w:r>
      <w:r w:rsidRPr="00F43DDA">
        <w:rPr>
          <w:rFonts w:cs="Arial"/>
          <w:i/>
          <w:iCs/>
          <w:color w:val="000000"/>
        </w:rPr>
        <w:t xml:space="preserve">in vitro </w:t>
      </w:r>
      <w:r w:rsidRPr="00F43DDA">
        <w:rPr>
          <w:rFonts w:cs="Arial"/>
          <w:color w:val="000000"/>
        </w:rPr>
        <w:t>method (13 April 2004)”. The study was also designed using the Guidance on Dermal Absorption (EFSA Journal 2012</w:t>
      </w:r>
      <w:proofErr w:type="gramStart"/>
      <w:r w:rsidRPr="00F43DDA">
        <w:rPr>
          <w:rFonts w:cs="Arial"/>
          <w:color w:val="000000"/>
        </w:rPr>
        <w:t>;10</w:t>
      </w:r>
      <w:proofErr w:type="gramEnd"/>
      <w:r w:rsidRPr="00F43DDA">
        <w:rPr>
          <w:rFonts w:cs="Arial"/>
          <w:color w:val="000000"/>
        </w:rPr>
        <w:t xml:space="preserve">(4):2665) The dermal absorption of the test item was expressed as percentage of the recovered amount per chamber. </w:t>
      </w:r>
    </w:p>
    <w:p w14:paraId="47C3FD47" w14:textId="54E8807F" w:rsidR="009D4550" w:rsidRPr="00F43DDA" w:rsidRDefault="009D4550" w:rsidP="009D4550">
      <w:pPr>
        <w:rPr>
          <w:rFonts w:cs="Arial"/>
          <w:color w:val="000000"/>
        </w:rPr>
      </w:pPr>
      <w:r w:rsidRPr="00F43DDA">
        <w:rPr>
          <w:rFonts w:cs="Arial"/>
          <w:color w:val="000000"/>
        </w:rPr>
        <w:t xml:space="preserve">Eight replicates were reported. One replicate was excluded considering </w:t>
      </w:r>
      <w:proofErr w:type="gramStart"/>
      <w:r w:rsidRPr="00F43DDA">
        <w:rPr>
          <w:rFonts w:cs="Arial"/>
          <w:color w:val="000000"/>
        </w:rPr>
        <w:t>its</w:t>
      </w:r>
      <w:proofErr w:type="gramEnd"/>
      <w:r w:rsidRPr="00F43DDA">
        <w:rPr>
          <w:rFonts w:cs="Arial"/>
          <w:color w:val="000000"/>
        </w:rPr>
        <w:t xml:space="preserve"> as outlier</w:t>
      </w:r>
      <w:r w:rsidR="00382787">
        <w:rPr>
          <w:rFonts w:cs="Arial"/>
          <w:color w:val="000000"/>
        </w:rPr>
        <w:t xml:space="preserve"> due to strongly deviating of absorption rate (outlier according to Nalimov)</w:t>
      </w:r>
      <w:r w:rsidRPr="00F43DDA">
        <w:rPr>
          <w:rFonts w:cs="Arial"/>
          <w:color w:val="000000"/>
        </w:rPr>
        <w:t>. The mean recovery rate was &lt;95%</w:t>
      </w:r>
      <w:r w:rsidR="008C5EA6">
        <w:rPr>
          <w:rFonts w:cs="Arial"/>
          <w:color w:val="000000"/>
        </w:rPr>
        <w:t xml:space="preserve"> since several replicates had a recovery &lt; 95%</w:t>
      </w:r>
      <w:r w:rsidRPr="00F43DDA">
        <w:rPr>
          <w:rFonts w:cs="Arial"/>
          <w:color w:val="000000"/>
        </w:rPr>
        <w:t>. In this context, a correction of recovery was realised.</w:t>
      </w:r>
    </w:p>
    <w:p w14:paraId="44D864D5" w14:textId="28115115" w:rsidR="009D4550" w:rsidRPr="00F43DDA" w:rsidRDefault="009D4550" w:rsidP="009D4550">
      <w:pPr>
        <w:rPr>
          <w:rFonts w:cs="Arial"/>
          <w:color w:val="000000"/>
        </w:rPr>
      </w:pPr>
      <w:r w:rsidRPr="00F43DDA">
        <w:rPr>
          <w:rFonts w:cs="Arial"/>
          <w:color w:val="000000"/>
        </w:rPr>
        <w:t>The mean value of total absorption at 12 h was below 75%, therefore the stratum corneum (strips 3 - ∞</w:t>
      </w:r>
      <w:proofErr w:type="gramStart"/>
      <w:r w:rsidRPr="00F43DDA">
        <w:rPr>
          <w:rFonts w:cs="Arial"/>
          <w:color w:val="000000"/>
        </w:rPr>
        <w:t>)  were</w:t>
      </w:r>
      <w:proofErr w:type="gramEnd"/>
      <w:r w:rsidRPr="00F43DDA">
        <w:rPr>
          <w:rFonts w:cs="Arial"/>
          <w:color w:val="000000"/>
        </w:rPr>
        <w:t xml:space="preserve"> taken into account to determine absorption.</w:t>
      </w:r>
    </w:p>
    <w:p w14:paraId="3CA129A1" w14:textId="3B606CEB" w:rsidR="009D4550" w:rsidRPr="00F43DDA" w:rsidRDefault="009D4550" w:rsidP="009D4550">
      <w:pPr>
        <w:rPr>
          <w:rFonts w:cs="Arial"/>
          <w:color w:val="000000"/>
        </w:rPr>
      </w:pPr>
      <w:r w:rsidRPr="00F43DDA">
        <w:rPr>
          <w:rFonts w:cs="Arial"/>
          <w:color w:val="000000"/>
        </w:rPr>
        <w:t xml:space="preserve">Considering the amount in stratum corneum, skin, receptor fluid (RF), gauze and chamber wash RF, a dermal absorption of 24.88% with a standard deviation of 10.93% is obtained. </w:t>
      </w:r>
    </w:p>
    <w:p w14:paraId="0DC6CEB2" w14:textId="77777777" w:rsidR="009D4550" w:rsidRPr="00F43DDA" w:rsidRDefault="009D4550" w:rsidP="009D4550">
      <w:pPr>
        <w:rPr>
          <w:rFonts w:cs="Arial"/>
          <w:color w:val="000000"/>
        </w:rPr>
      </w:pPr>
      <w:r w:rsidRPr="00F43DDA">
        <w:rPr>
          <w:rFonts w:cs="Arial"/>
          <w:color w:val="000000"/>
        </w:rPr>
        <w:t xml:space="preserve">As the standard deviation is superior to 25% of mean absorption, it is added to mean dermal absoption. </w:t>
      </w:r>
    </w:p>
    <w:p w14:paraId="1EF447E6" w14:textId="77777777" w:rsidR="009D4550" w:rsidRPr="00F43DDA" w:rsidRDefault="009D4550" w:rsidP="009D4550">
      <w:pPr>
        <w:rPr>
          <w:rFonts w:cs="Arial"/>
          <w:color w:val="000000"/>
        </w:rPr>
      </w:pPr>
      <w:r w:rsidRPr="00F43DDA">
        <w:rPr>
          <w:rFonts w:cs="Arial"/>
          <w:color w:val="000000"/>
        </w:rPr>
        <w:t>To conclude a dermal absorption value of 36% is proposed.</w:t>
      </w:r>
    </w:p>
    <w:p w14:paraId="1C77161A" w14:textId="77777777" w:rsidR="009D4550" w:rsidRPr="00F43DDA" w:rsidRDefault="009D4550" w:rsidP="009D4550">
      <w:pPr>
        <w:rPr>
          <w:rFonts w:cs="Arial"/>
          <w:color w:val="000000"/>
        </w:rPr>
      </w:pPr>
    </w:p>
    <w:p w14:paraId="1F97AB3B" w14:textId="77777777" w:rsidR="009D4550" w:rsidRPr="00F43DDA" w:rsidRDefault="009D4550" w:rsidP="009D4550">
      <w:pPr>
        <w:rPr>
          <w:rFonts w:cs="Arial"/>
          <w:b/>
          <w:bCs/>
          <w:color w:val="000000"/>
        </w:rPr>
      </w:pPr>
      <w:r w:rsidRPr="00F43DDA">
        <w:rPr>
          <w:rFonts w:cs="Arial"/>
          <w:b/>
          <w:bCs/>
          <w:color w:val="000000"/>
        </w:rPr>
        <w:t>Dermal absorption of propiconazole in formulation X6122B1</w:t>
      </w:r>
    </w:p>
    <w:p w14:paraId="1890AA5D" w14:textId="77777777" w:rsidR="009D4550" w:rsidRPr="00F43DDA" w:rsidRDefault="009D4550" w:rsidP="009D4550">
      <w:pPr>
        <w:rPr>
          <w:rFonts w:cs="Arial"/>
          <w:color w:val="000000"/>
        </w:rPr>
      </w:pPr>
    </w:p>
    <w:p w14:paraId="00E4608B" w14:textId="77777777" w:rsidR="009D4550" w:rsidRPr="00F43DDA" w:rsidRDefault="009D4550" w:rsidP="009D4550">
      <w:pPr>
        <w:rPr>
          <w:rFonts w:cs="Arial"/>
          <w:color w:val="000000"/>
        </w:rPr>
      </w:pPr>
      <w:r w:rsidRPr="00F43DDA">
        <w:rPr>
          <w:rFonts w:cs="Arial"/>
          <w:color w:val="000000"/>
        </w:rPr>
        <w:t xml:space="preserve">The absorption profile and the distribution of the test item propiconazole in formulation X6122B1 subsequent to the application on human skin was analysed using an </w:t>
      </w:r>
      <w:r w:rsidRPr="00F43DDA">
        <w:rPr>
          <w:rFonts w:cs="Arial"/>
          <w:i/>
          <w:color w:val="000000"/>
        </w:rPr>
        <w:t>in vitro</w:t>
      </w:r>
      <w:r w:rsidRPr="00F43DDA">
        <w:rPr>
          <w:rFonts w:cs="Arial"/>
          <w:color w:val="000000"/>
        </w:rPr>
        <w:t xml:space="preserve"> flow-through diffusion cell. Propiconazole was tested at one concentration corresponding to the content of the pure product for a contact time of 8 hours (corresponding to a normal working day) and followed by an exposure time of 24 hours. The study was performed according to the “OECD guideline for the testing of chemicals: Test No.428: Skin Absorption: </w:t>
      </w:r>
      <w:r w:rsidRPr="00F43DDA">
        <w:rPr>
          <w:rFonts w:cs="Arial"/>
          <w:i/>
          <w:color w:val="000000"/>
        </w:rPr>
        <w:t>in vitro</w:t>
      </w:r>
      <w:r w:rsidRPr="00F43DDA">
        <w:rPr>
          <w:rFonts w:cs="Arial"/>
          <w:color w:val="000000"/>
        </w:rPr>
        <w:t xml:space="preserve"> method. The study was also designed using the Guidance on Dermal Absorption (EFSA Journal 2012</w:t>
      </w:r>
      <w:proofErr w:type="gramStart"/>
      <w:r w:rsidRPr="00F43DDA">
        <w:rPr>
          <w:rFonts w:cs="Arial"/>
          <w:color w:val="000000"/>
        </w:rPr>
        <w:t>;10</w:t>
      </w:r>
      <w:proofErr w:type="gramEnd"/>
      <w:r w:rsidRPr="00F43DDA">
        <w:rPr>
          <w:rFonts w:cs="Arial"/>
          <w:color w:val="000000"/>
        </w:rPr>
        <w:t xml:space="preserve">(4):2665). </w:t>
      </w:r>
    </w:p>
    <w:p w14:paraId="54587529" w14:textId="77777777" w:rsidR="009D4550" w:rsidRPr="00F43DDA" w:rsidRDefault="009D4550" w:rsidP="009D4550">
      <w:pPr>
        <w:rPr>
          <w:rFonts w:cs="Arial"/>
          <w:color w:val="000000"/>
        </w:rPr>
      </w:pPr>
      <w:r w:rsidRPr="00F43DDA">
        <w:rPr>
          <w:rFonts w:cs="Arial"/>
          <w:color w:val="000000"/>
        </w:rPr>
        <w:lastRenderedPageBreak/>
        <w:t xml:space="preserve">The dermal absorption of the test item was expressed as percentage of the recovered amount per chamber. </w:t>
      </w:r>
    </w:p>
    <w:p w14:paraId="6093765E" w14:textId="77777777" w:rsidR="009D4550" w:rsidRPr="00F43DDA" w:rsidRDefault="009D4550">
      <w:r w:rsidRPr="00F43DDA">
        <w:t xml:space="preserve">Nine replicates were reported and used for evaluation. </w:t>
      </w:r>
    </w:p>
    <w:p w14:paraId="1430DC9A" w14:textId="77777777" w:rsidR="009D4550" w:rsidRPr="00F43DDA" w:rsidRDefault="009D4550">
      <w:r w:rsidRPr="00F43DDA">
        <w:t>A correction of recovery was realised.</w:t>
      </w:r>
    </w:p>
    <w:p w14:paraId="318BBB5D" w14:textId="77777777" w:rsidR="009D4550" w:rsidRPr="00F43DDA" w:rsidRDefault="009D4550">
      <w:r w:rsidRPr="00F43DDA">
        <w:t>The mean value of total absorption at 12 h was inferior to 75%, therefore the stratum corneum (strips 3 - ∞</w:t>
      </w:r>
      <w:proofErr w:type="gramStart"/>
      <w:r w:rsidRPr="00F43DDA">
        <w:t>)  were</w:t>
      </w:r>
      <w:proofErr w:type="gramEnd"/>
      <w:r w:rsidRPr="00F43DDA">
        <w:t xml:space="preserve"> taken into account to determine absorption. For two cells, all strips of stratum corneum were removed with strip 1-2. In this context, the strip 1-2 were taken into consideration to determine the dermal absorption. </w:t>
      </w:r>
    </w:p>
    <w:p w14:paraId="589FBA32" w14:textId="77777777" w:rsidR="009D4550" w:rsidRPr="00F43DDA" w:rsidRDefault="009D4550">
      <w:r w:rsidRPr="00F43DDA">
        <w:t xml:space="preserve">Considering the amount in stratum corneum, skin, receptor fluid (RF), gauze and chamber wash RF, </w:t>
      </w:r>
      <w:proofErr w:type="gramStart"/>
      <w:r w:rsidRPr="00F43DDA">
        <w:t>a  dermal</w:t>
      </w:r>
      <w:proofErr w:type="gramEnd"/>
      <w:r w:rsidRPr="00F43DDA">
        <w:t xml:space="preserve"> absorption of 14.88% with a standard deviation of 11% is obtained. </w:t>
      </w:r>
    </w:p>
    <w:p w14:paraId="02B70116" w14:textId="77777777" w:rsidR="009D4550" w:rsidRPr="0045722E" w:rsidRDefault="009D4550">
      <w:r w:rsidRPr="00F43DDA">
        <w:t xml:space="preserve">As the standard deviation is superior to 25% of mean absorption, it is added to mean dermal </w:t>
      </w:r>
      <w:r w:rsidRPr="0045722E">
        <w:t xml:space="preserve">absoption. </w:t>
      </w:r>
    </w:p>
    <w:p w14:paraId="41B15234" w14:textId="77777777" w:rsidR="009D4550" w:rsidRPr="0039605F" w:rsidRDefault="009D4550">
      <w:r w:rsidRPr="0039605F">
        <w:t>To conclude a dermal absorption value of 26% is proposed.</w:t>
      </w:r>
    </w:p>
    <w:p w14:paraId="4AAB6AFC" w14:textId="77777777" w:rsidR="009D4550" w:rsidRPr="0045722E" w:rsidRDefault="009D4550"/>
    <w:p w14:paraId="2D342B14" w14:textId="77777777" w:rsidR="009D4550" w:rsidRPr="00F43DDA" w:rsidRDefault="009D4550">
      <w:pPr>
        <w:rPr>
          <w:b/>
          <w:bCs/>
        </w:rPr>
      </w:pPr>
      <w:r w:rsidRPr="00F43DDA">
        <w:rPr>
          <w:b/>
          <w:bCs/>
        </w:rPr>
        <w:t>Dermal absorption of tebuconazole in formulation X6122B1</w:t>
      </w:r>
    </w:p>
    <w:p w14:paraId="45655676" w14:textId="77777777" w:rsidR="009D4550" w:rsidRPr="00F43DDA" w:rsidRDefault="009D4550"/>
    <w:p w14:paraId="5BB2CF8C" w14:textId="77777777" w:rsidR="00434364" w:rsidRDefault="009D4550">
      <w:r w:rsidRPr="00F43DDA">
        <w:t xml:space="preserve">The absorption profile and the distribution of the test item tebuconazole in formulation X6122B1 subsequent to the application on human skin was analysed using an </w:t>
      </w:r>
      <w:r w:rsidRPr="00F43DDA">
        <w:rPr>
          <w:i/>
        </w:rPr>
        <w:t>in vitro</w:t>
      </w:r>
      <w:r w:rsidRPr="00F43DDA">
        <w:t xml:space="preserve"> flow-through diffusion cell. Tebuconazole was tested at one concentration corresponding to the content of the pure product for a contact time of 8 hours (corresponding to a normal working day) and followed by an exposure time of 24 hours.</w:t>
      </w:r>
    </w:p>
    <w:p w14:paraId="75D1102A" w14:textId="77777777" w:rsidR="009D4550" w:rsidRPr="00F43DDA" w:rsidRDefault="009D4550">
      <w:r w:rsidRPr="00F43DDA">
        <w:t xml:space="preserve"> </w:t>
      </w:r>
      <w:r w:rsidRPr="00F43DDA">
        <w:br/>
        <w:t xml:space="preserve">The study was performed according to the “OECD guideline for the testing of chemicals: Test No.428: Skin Absorption: </w:t>
      </w:r>
      <w:r w:rsidRPr="00F43DDA">
        <w:rPr>
          <w:i/>
        </w:rPr>
        <w:t>in vitro</w:t>
      </w:r>
      <w:r w:rsidRPr="00F43DDA">
        <w:t xml:space="preserve"> method (13 April 2004)”. The study was also designed using the Guidance on Dermal Absorption (EFSA Journal 2012</w:t>
      </w:r>
      <w:proofErr w:type="gramStart"/>
      <w:r w:rsidRPr="00F43DDA">
        <w:t>;10</w:t>
      </w:r>
      <w:proofErr w:type="gramEnd"/>
      <w:r w:rsidRPr="00F43DDA">
        <w:t xml:space="preserve">(4):2665). The dermal absorption of the test item is expressed as percentage of the recovered amount per chamber. </w:t>
      </w:r>
    </w:p>
    <w:p w14:paraId="70660115" w14:textId="77777777" w:rsidR="009D4550" w:rsidRPr="00F43DDA" w:rsidRDefault="009D4550">
      <w:r w:rsidRPr="00F43DDA">
        <w:t xml:space="preserve">Nine replicates were reported and used for evaluation. </w:t>
      </w:r>
    </w:p>
    <w:p w14:paraId="14447D24" w14:textId="77777777" w:rsidR="009D4550" w:rsidRPr="00F43DDA" w:rsidRDefault="009D4550">
      <w:r w:rsidRPr="00F43DDA">
        <w:t>A correction of recovery was realised.</w:t>
      </w:r>
    </w:p>
    <w:p w14:paraId="228180F5" w14:textId="77777777" w:rsidR="009D4550" w:rsidRPr="00F43DDA" w:rsidRDefault="009D4550">
      <w:r w:rsidRPr="00F43DDA">
        <w:t>The mean value of total absorption at 12 h was inferior to 75%, therefore the stratum corneum (strips 3 - ∞</w:t>
      </w:r>
      <w:proofErr w:type="gramStart"/>
      <w:r w:rsidRPr="00F43DDA">
        <w:t>)  were</w:t>
      </w:r>
      <w:proofErr w:type="gramEnd"/>
      <w:r w:rsidRPr="00F43DDA">
        <w:t xml:space="preserve"> taken into account to determine absorption. For four cells, all strips of stratum corneum were removed with strip 1-2. In this context, the strip 1-2 were taken into consideration to determine the dermal absorption. </w:t>
      </w:r>
    </w:p>
    <w:p w14:paraId="5D3CF74A" w14:textId="77777777" w:rsidR="009D4550" w:rsidRPr="00F43DDA" w:rsidRDefault="009D4550">
      <w:r w:rsidRPr="00F43DDA">
        <w:t xml:space="preserve">Considering the amount in stratum corneum, skin, receptor fluid (RF), gauze and chamber wash RF, a dermal absorption of 23.82% with a standard deviation of 7% is obtained. </w:t>
      </w:r>
    </w:p>
    <w:p w14:paraId="06E7CC3F" w14:textId="77777777" w:rsidR="009D4550" w:rsidRPr="00F43DDA" w:rsidRDefault="009D4550">
      <w:r w:rsidRPr="00F43DDA">
        <w:t xml:space="preserve">As the standard deviation is superior to 25% of mean absorption, it is added to mean dermal absoption. </w:t>
      </w:r>
    </w:p>
    <w:p w14:paraId="059331C1" w14:textId="77777777" w:rsidR="009D4550" w:rsidRPr="00F43DDA" w:rsidRDefault="009D4550">
      <w:r w:rsidRPr="00F43DDA">
        <w:t>To conclude a dermal absorption value of 31% is proposed.</w:t>
      </w:r>
    </w:p>
    <w:p w14:paraId="7AE87AAC" w14:textId="77777777" w:rsidR="009D4550" w:rsidRPr="00F43DDA" w:rsidRDefault="009D4550"/>
    <w:p w14:paraId="43B71637" w14:textId="77777777" w:rsidR="009D4550" w:rsidRPr="00F43DDA" w:rsidRDefault="009D4550">
      <w:pPr>
        <w:rPr>
          <w:b/>
          <w:bCs/>
        </w:rPr>
      </w:pPr>
      <w:r w:rsidRPr="00F43DDA">
        <w:rPr>
          <w:b/>
          <w:bCs/>
        </w:rPr>
        <w:t>Dermal absorption of IPBC in formulation X6122B1</w:t>
      </w:r>
    </w:p>
    <w:p w14:paraId="61DC0E06" w14:textId="77777777" w:rsidR="009D4550" w:rsidRPr="00F43DDA" w:rsidRDefault="009D4550">
      <w:pPr>
        <w:rPr>
          <w:b/>
          <w:bCs/>
        </w:rPr>
      </w:pPr>
    </w:p>
    <w:p w14:paraId="5212F869" w14:textId="0AB8E264" w:rsidR="009D4550" w:rsidRPr="00F43DDA" w:rsidRDefault="009D4550">
      <w:r w:rsidRPr="00F43DDA">
        <w:t xml:space="preserve">No dermal absorption study was provided for this active substance. Considering a concentration of 0.05% in the product, the default value of 75% </w:t>
      </w:r>
      <w:r w:rsidR="00A42876">
        <w:t>proposed in the EFSA guidance on dermal absorption</w:t>
      </w:r>
      <w:r w:rsidR="00A42876">
        <w:rPr>
          <w:rStyle w:val="Appelnotedebasdep"/>
        </w:rPr>
        <w:footnoteReference w:id="16"/>
      </w:r>
      <w:r w:rsidR="00A42876">
        <w:t xml:space="preserve"> </w:t>
      </w:r>
      <w:r w:rsidRPr="00F43DDA">
        <w:t>is used.</w:t>
      </w:r>
    </w:p>
    <w:p w14:paraId="3CD0B421" w14:textId="77777777" w:rsidR="009D4550" w:rsidRDefault="009D4550" w:rsidP="009D4550">
      <w:pPr>
        <w:rPr>
          <w:rFonts w:ascii="Arial" w:hAnsi="Arial" w:cs="Arial"/>
          <w:color w:val="000000"/>
        </w:rPr>
      </w:pPr>
    </w:p>
    <w:p w14:paraId="2D9B239E" w14:textId="77777777" w:rsidR="009D4550" w:rsidRPr="009D4550" w:rsidRDefault="009D4550" w:rsidP="009D4550">
      <w:pPr>
        <w:pStyle w:val="Titre6"/>
        <w:spacing w:before="240"/>
      </w:pPr>
      <w:r w:rsidRPr="009D4550">
        <w:t>Acute toxicity</w:t>
      </w:r>
    </w:p>
    <w:p w14:paraId="53533226" w14:textId="3924B823" w:rsidR="009D4550" w:rsidRPr="00F43DDA" w:rsidRDefault="009D4550" w:rsidP="009D4550">
      <w:pPr>
        <w:rPr>
          <w:rFonts w:cs="Arial"/>
          <w:color w:val="000000"/>
        </w:rPr>
      </w:pPr>
      <w:r w:rsidRPr="00FE333D">
        <w:rPr>
          <w:rFonts w:cs="Arial"/>
          <w:color w:val="000000"/>
          <w:lang w:val="de-DE"/>
        </w:rPr>
        <w:t xml:space="preserve">The formulation X6122B1 is a ready-for-use solvent-based product </w:t>
      </w:r>
      <w:r w:rsidRPr="00B100F1">
        <w:rPr>
          <w:rFonts w:cs="Arial"/>
          <w:color w:val="000000"/>
          <w:lang w:val="de-DE"/>
        </w:rPr>
        <w:t xml:space="preserve">containing </w:t>
      </w:r>
      <w:r w:rsidRPr="00B100F1">
        <w:rPr>
          <w:rFonts w:cs="Arial"/>
          <w:color w:val="000000"/>
        </w:rPr>
        <w:t xml:space="preserve">0.08% w/w cypermethrin, </w:t>
      </w:r>
      <w:r w:rsidRPr="00B100F1">
        <w:rPr>
          <w:rFonts w:cs="Arial"/>
          <w:color w:val="000000"/>
          <w:lang w:val="de-DE"/>
        </w:rPr>
        <w:t>0.16% w/w propiconazole, 0.05% w/w tebuconazole and 0.05% w/w IPBC</w:t>
      </w:r>
      <w:r w:rsidR="004F3DEB" w:rsidRPr="00B100F1">
        <w:rPr>
          <w:rFonts w:cs="Arial"/>
          <w:color w:val="000000"/>
          <w:lang w:val="de-DE"/>
        </w:rPr>
        <w:t xml:space="preserve"> (technical active susbtances content)</w:t>
      </w:r>
      <w:r w:rsidRPr="00B100F1">
        <w:rPr>
          <w:rFonts w:cs="Arial"/>
          <w:color w:val="000000"/>
          <w:lang w:val="de-DE"/>
        </w:rPr>
        <w:t>.</w:t>
      </w:r>
      <w:r w:rsidRPr="00FE333D">
        <w:rPr>
          <w:rFonts w:cs="Arial"/>
          <w:color w:val="000000"/>
          <w:lang w:val="de-DE"/>
        </w:rPr>
        <w:t xml:space="preserve"> </w:t>
      </w:r>
      <w:r w:rsidRPr="00F43DDA">
        <w:rPr>
          <w:rFonts w:cs="Arial"/>
          <w:color w:val="000000"/>
        </w:rPr>
        <w:t xml:space="preserve">In order to avoid unnecessary animal experiment, no acute oral toxicity study was conducted. Therefore, the classification is determined by calculation according to the CLP regulation for oral, dermal and inhaltion routes. </w:t>
      </w:r>
    </w:p>
    <w:p w14:paraId="39B7B9B1" w14:textId="77777777" w:rsidR="009D4550" w:rsidRPr="00F43DDA" w:rsidRDefault="009D4550" w:rsidP="009D4550">
      <w:pPr>
        <w:rPr>
          <w:rFonts w:cs="Arial"/>
          <w:color w:val="000000"/>
        </w:rPr>
      </w:pPr>
    </w:p>
    <w:p w14:paraId="585B85A1" w14:textId="77777777" w:rsidR="009D4550" w:rsidRPr="00F43DDA" w:rsidRDefault="009D4550" w:rsidP="009D4550">
      <w:pPr>
        <w:rPr>
          <w:rFonts w:cs="Arial"/>
          <w:color w:val="000000"/>
        </w:rPr>
      </w:pPr>
      <w:r w:rsidRPr="00F43DDA">
        <w:rPr>
          <w:rFonts w:cs="Arial"/>
          <w:color w:val="000000"/>
        </w:rPr>
        <w:t xml:space="preserve"> According to the criteria of Annex I to Regulation (EC) No.1272/2008, the proposed classification for the formulation X6122B1 on acute toxicity is: not classified.</w:t>
      </w:r>
    </w:p>
    <w:p w14:paraId="4A225285" w14:textId="77777777" w:rsidR="009D4550" w:rsidRPr="009D4550" w:rsidRDefault="009D4550" w:rsidP="009D4550">
      <w:pPr>
        <w:pStyle w:val="Titre6"/>
        <w:spacing w:before="240"/>
      </w:pPr>
      <w:r w:rsidRPr="009D4550">
        <w:lastRenderedPageBreak/>
        <w:t>Irritation and corrosivity</w:t>
      </w:r>
    </w:p>
    <w:p w14:paraId="21C49AC6" w14:textId="77777777" w:rsidR="009D4550" w:rsidRPr="00F43DDA" w:rsidRDefault="009D4550" w:rsidP="009D4550">
      <w:pPr>
        <w:rPr>
          <w:rFonts w:cs="Arial"/>
          <w:color w:val="000000"/>
        </w:rPr>
      </w:pPr>
      <w:r w:rsidRPr="00F43DDA">
        <w:rPr>
          <w:rFonts w:cs="Arial"/>
          <w:color w:val="000000"/>
        </w:rPr>
        <w:t>In order to avoid unnecessary animal experiment, no a study was conducted. Therefore, the classification is determined by calculation according to the CLP regulation.</w:t>
      </w:r>
    </w:p>
    <w:p w14:paraId="0E726B55" w14:textId="77777777" w:rsidR="009D4550" w:rsidRPr="00F43DDA" w:rsidRDefault="009D4550" w:rsidP="009D4550">
      <w:pPr>
        <w:rPr>
          <w:rFonts w:cs="Arial"/>
          <w:color w:val="000000"/>
        </w:rPr>
      </w:pPr>
      <w:r w:rsidRPr="00F43DDA">
        <w:rPr>
          <w:rFonts w:cs="Arial"/>
          <w:color w:val="000000"/>
        </w:rPr>
        <w:t>According to the criteria of Annex I to Regulation (EC) No.1272/2008, the proposed classification for the formulation X6122B1 on dermal and eyes irritation is: not classified.</w:t>
      </w:r>
    </w:p>
    <w:p w14:paraId="568C67B5" w14:textId="77777777" w:rsidR="009D4550" w:rsidRPr="009D4550" w:rsidRDefault="009D4550" w:rsidP="009D4550">
      <w:pPr>
        <w:pStyle w:val="Titre6"/>
        <w:spacing w:before="240"/>
      </w:pPr>
      <w:r w:rsidRPr="009D4550">
        <w:t>Sensitisation</w:t>
      </w:r>
    </w:p>
    <w:p w14:paraId="63735DB3" w14:textId="77777777" w:rsidR="009D4550" w:rsidRPr="00F43DDA" w:rsidRDefault="009D4550" w:rsidP="009D4550">
      <w:pPr>
        <w:rPr>
          <w:rFonts w:cs="Arial"/>
          <w:color w:val="000000"/>
        </w:rPr>
      </w:pPr>
      <w:r w:rsidRPr="00F43DDA">
        <w:rPr>
          <w:rFonts w:cs="Arial"/>
          <w:color w:val="000000"/>
        </w:rPr>
        <w:t>In order to avoid unnecessary animal experiment, no study was conducted. Therefore, the classification is determined by calculation according to the CLP regulation.</w:t>
      </w:r>
    </w:p>
    <w:p w14:paraId="5BDE78CA" w14:textId="77777777" w:rsidR="009D4550" w:rsidRPr="00F43DDA" w:rsidRDefault="009D4550" w:rsidP="009D4550">
      <w:r w:rsidRPr="00F43DDA">
        <w:rPr>
          <w:rFonts w:cs="Arial"/>
          <w:color w:val="000000"/>
        </w:rPr>
        <w:t>According to the criteria of Annex I to Regulation (EC) No.1272/2008, the proposed classification for the formulation X6122B1 on sensitisation is: not classified.</w:t>
      </w:r>
    </w:p>
    <w:p w14:paraId="00CCB248" w14:textId="77777777" w:rsidR="009D4550" w:rsidRPr="009D4550" w:rsidRDefault="009D4550" w:rsidP="009D4550">
      <w:pPr>
        <w:pStyle w:val="Titre6"/>
        <w:spacing w:before="240"/>
      </w:pPr>
      <w:r w:rsidRPr="009D4550">
        <w:t>Other studies</w:t>
      </w:r>
    </w:p>
    <w:p w14:paraId="47E01FEA" w14:textId="77777777" w:rsidR="009D4550" w:rsidRPr="00F43DDA" w:rsidRDefault="009D4550" w:rsidP="009D4550">
      <w:pPr>
        <w:rPr>
          <w:rFonts w:cs="Arial"/>
          <w:color w:val="000000"/>
        </w:rPr>
      </w:pPr>
      <w:r w:rsidRPr="00F43DDA">
        <w:rPr>
          <w:rFonts w:cs="Arial"/>
          <w:color w:val="000000"/>
        </w:rPr>
        <w:t>No other study has been submitted.</w:t>
      </w:r>
    </w:p>
    <w:p w14:paraId="7C3530D7" w14:textId="77777777" w:rsidR="009D4550" w:rsidRPr="00F43DDA" w:rsidRDefault="009D4550" w:rsidP="009D4550">
      <w:pPr>
        <w:rPr>
          <w:rFonts w:cs="Arial"/>
          <w:color w:val="000000"/>
        </w:rPr>
      </w:pPr>
    </w:p>
    <w:p w14:paraId="1F9FB5CC" w14:textId="77777777" w:rsidR="009D4550" w:rsidRPr="00F43DDA" w:rsidRDefault="009D4550" w:rsidP="009D4550">
      <w:pPr>
        <w:rPr>
          <w:rFonts w:cs="Arial"/>
          <w:color w:val="000000"/>
        </w:rPr>
      </w:pPr>
      <w:r w:rsidRPr="00F43DDA">
        <w:rPr>
          <w:rFonts w:cs="Arial"/>
          <w:color w:val="000000"/>
        </w:rPr>
        <w:t xml:space="preserve">According to the CLP Regulation and based on the available data on active substances and co-formulants, the product should be classified: </w:t>
      </w:r>
    </w:p>
    <w:p w14:paraId="4D0E192B" w14:textId="77777777" w:rsidR="009D4550" w:rsidRPr="00F43DDA" w:rsidRDefault="009D4550" w:rsidP="00F32B7F">
      <w:pPr>
        <w:pStyle w:val="Paragraphedeliste"/>
        <w:numPr>
          <w:ilvl w:val="0"/>
          <w:numId w:val="22"/>
        </w:numPr>
        <w:suppressAutoHyphens w:val="0"/>
        <w:spacing w:line="260" w:lineRule="atLeast"/>
        <w:contextualSpacing/>
        <w:rPr>
          <w:rFonts w:cs="Arial"/>
          <w:color w:val="000000"/>
        </w:rPr>
      </w:pPr>
      <w:r w:rsidRPr="00F43DDA">
        <w:rPr>
          <w:rFonts w:cs="Arial"/>
          <w:color w:val="000000"/>
        </w:rPr>
        <w:t>Asp Tox. Cat 1 - H304 May be fatal if swallowed and enters airways.</w:t>
      </w:r>
    </w:p>
    <w:p w14:paraId="30E85A18" w14:textId="50EA03B9" w:rsidR="009D4550" w:rsidRPr="00F43DDA" w:rsidRDefault="009D4550" w:rsidP="00F32B7F">
      <w:pPr>
        <w:pStyle w:val="Paragraphedeliste"/>
        <w:numPr>
          <w:ilvl w:val="0"/>
          <w:numId w:val="22"/>
        </w:numPr>
        <w:suppressAutoHyphens w:val="0"/>
        <w:spacing w:line="260" w:lineRule="atLeast"/>
        <w:contextualSpacing/>
        <w:rPr>
          <w:rFonts w:cs="Arial"/>
          <w:color w:val="000000"/>
        </w:rPr>
      </w:pPr>
      <w:r w:rsidRPr="00F43DDA">
        <w:rPr>
          <w:rFonts w:cs="Arial"/>
          <w:color w:val="000000"/>
        </w:rPr>
        <w:t>EUH</w:t>
      </w:r>
      <w:r w:rsidR="009F60AE">
        <w:rPr>
          <w:rFonts w:cs="Arial"/>
          <w:color w:val="000000"/>
        </w:rPr>
        <w:t xml:space="preserve"> </w:t>
      </w:r>
      <w:r w:rsidRPr="00F43DDA">
        <w:rPr>
          <w:rFonts w:cs="Arial"/>
          <w:color w:val="000000"/>
        </w:rPr>
        <w:t>066: Repeated exposure may cause skin dryness or cracking.</w:t>
      </w:r>
    </w:p>
    <w:p w14:paraId="5CD50B88" w14:textId="3C9DB6C9" w:rsidR="009D4550" w:rsidRDefault="009D4550" w:rsidP="00F32B7F">
      <w:pPr>
        <w:pStyle w:val="Paragraphedeliste"/>
        <w:numPr>
          <w:ilvl w:val="0"/>
          <w:numId w:val="22"/>
        </w:numPr>
        <w:suppressAutoHyphens w:val="0"/>
        <w:spacing w:line="260" w:lineRule="atLeast"/>
        <w:contextualSpacing/>
        <w:rPr>
          <w:rFonts w:cs="Arial"/>
          <w:color w:val="000000"/>
        </w:rPr>
      </w:pPr>
      <w:r w:rsidRPr="00F43DDA">
        <w:rPr>
          <w:rFonts w:cs="Arial"/>
          <w:color w:val="000000"/>
        </w:rPr>
        <w:t>EUH</w:t>
      </w:r>
      <w:r w:rsidR="009F60AE">
        <w:rPr>
          <w:rFonts w:cs="Arial"/>
          <w:color w:val="000000"/>
        </w:rPr>
        <w:t xml:space="preserve"> </w:t>
      </w:r>
      <w:r w:rsidRPr="00F43DDA">
        <w:rPr>
          <w:rFonts w:cs="Arial"/>
          <w:color w:val="000000"/>
        </w:rPr>
        <w:t>208: Contains propiconazole. May produce an allergic reaction.</w:t>
      </w:r>
    </w:p>
    <w:p w14:paraId="530265DB" w14:textId="77777777" w:rsidR="0045722E" w:rsidRDefault="0045722E" w:rsidP="00B7552D">
      <w:pPr>
        <w:suppressAutoHyphens w:val="0"/>
        <w:spacing w:line="260" w:lineRule="atLeast"/>
        <w:contextualSpacing/>
        <w:rPr>
          <w:rFonts w:cs="Arial"/>
          <w:color w:val="000000"/>
        </w:rPr>
      </w:pPr>
    </w:p>
    <w:p w14:paraId="18BE0269" w14:textId="7000DCBB" w:rsidR="00E44996" w:rsidRDefault="00E44996" w:rsidP="00B7552D">
      <w:pPr>
        <w:suppressAutoHyphens w:val="0"/>
        <w:spacing w:line="260" w:lineRule="atLeast"/>
        <w:contextualSpacing/>
        <w:rPr>
          <w:color w:val="000000"/>
        </w:rPr>
      </w:pPr>
      <w:r w:rsidRPr="00B7552D">
        <w:rPr>
          <w:rFonts w:cs="Arial"/>
          <w:color w:val="000000"/>
        </w:rPr>
        <w:t>The classification “Asp Tox. Cat 1 - H304” and the labelling EUH 066: Repeated exposure may</w:t>
      </w:r>
      <w:r w:rsidRPr="00E44996">
        <w:rPr>
          <w:rFonts w:cs="Arial"/>
          <w:color w:val="000000"/>
        </w:rPr>
        <w:t xml:space="preserve"> cause skin dryness or cracking</w:t>
      </w:r>
      <w:r>
        <w:rPr>
          <w:rFonts w:cs="Arial"/>
          <w:color w:val="000000"/>
        </w:rPr>
        <w:t xml:space="preserve"> are linked to the co-formulant: </w:t>
      </w:r>
      <w:r>
        <w:rPr>
          <w:color w:val="000000"/>
        </w:rPr>
        <w:t>Hydrocarbons, C10-C13.</w:t>
      </w:r>
    </w:p>
    <w:p w14:paraId="029F3840" w14:textId="77777777" w:rsidR="00E44996" w:rsidRPr="00B7552D" w:rsidRDefault="00E44996" w:rsidP="00B7552D">
      <w:pPr>
        <w:suppressAutoHyphens w:val="0"/>
        <w:spacing w:line="260" w:lineRule="atLeast"/>
        <w:contextualSpacing/>
        <w:rPr>
          <w:rFonts w:cs="Arial"/>
          <w:color w:val="000000"/>
        </w:rPr>
      </w:pPr>
    </w:p>
    <w:p w14:paraId="3F752320" w14:textId="765F1DE1" w:rsidR="00E44996" w:rsidRDefault="00E44996" w:rsidP="00B7552D">
      <w:pPr>
        <w:suppressAutoHyphens w:val="0"/>
        <w:spacing w:line="260" w:lineRule="atLeast"/>
        <w:contextualSpacing/>
        <w:rPr>
          <w:color w:val="000000"/>
        </w:rPr>
      </w:pPr>
      <w:r>
        <w:rPr>
          <w:rFonts w:cs="Arial"/>
          <w:color w:val="000000"/>
        </w:rPr>
        <w:t xml:space="preserve">Therefore, </w:t>
      </w:r>
      <w:r>
        <w:rPr>
          <w:color w:val="000000"/>
        </w:rPr>
        <w:t>Hydrocarbons, C10-C13 is considered as a SOC. According to the</w:t>
      </w:r>
      <w:r w:rsidR="00BA520A">
        <w:rPr>
          <w:color w:val="000000"/>
        </w:rPr>
        <w:t xml:space="preserve"> Guidance on the Biocidal Products Regulation Volume III HH parts b+C</w:t>
      </w:r>
      <w:r>
        <w:rPr>
          <w:color w:val="000000"/>
        </w:rPr>
        <w:t xml:space="preserve">, this SOC is allocated to BAND A. </w:t>
      </w:r>
      <w:r w:rsidR="00BA520A">
        <w:rPr>
          <w:color w:val="000000"/>
        </w:rPr>
        <w:t xml:space="preserve">Application of P-statements associated to H statement is considered appropriate to manage the risk linked to this substance. </w:t>
      </w:r>
    </w:p>
    <w:p w14:paraId="5F6D608F" w14:textId="77777777" w:rsidR="009F5DC6" w:rsidRDefault="009F5DC6" w:rsidP="00B7552D">
      <w:pPr>
        <w:suppressAutoHyphens w:val="0"/>
        <w:spacing w:line="260" w:lineRule="atLeast"/>
        <w:contextualSpacing/>
        <w:rPr>
          <w:color w:val="000000"/>
        </w:rPr>
      </w:pPr>
    </w:p>
    <w:p w14:paraId="3F313588" w14:textId="77777777" w:rsidR="009F5DC6" w:rsidRDefault="009F5DC6" w:rsidP="009F5DC6">
      <w:pPr>
        <w:keepNext/>
        <w:autoSpaceDE w:val="0"/>
        <w:autoSpaceDN w:val="0"/>
        <w:spacing w:before="120"/>
        <w:rPr>
          <w:rFonts w:cs="Arial"/>
        </w:rPr>
      </w:pPr>
      <w:r w:rsidRPr="00275290">
        <w:rPr>
          <w:rFonts w:cs="Arial"/>
        </w:rPr>
        <w:t>According to the PT07-AR of tebuconazole (2013), the PT07-AR of propiconazole (2013), the PT08-AR of cypermethrin (2013), the PT13-AR of IPBC (2015) no definite conclusions can be drawn concerning the endocrine disruption activity of each active substance.</w:t>
      </w:r>
      <w:r>
        <w:rPr>
          <w:rFonts w:cs="Arial"/>
        </w:rPr>
        <w:t xml:space="preserve"> </w:t>
      </w:r>
    </w:p>
    <w:p w14:paraId="021E495C" w14:textId="5DDF7E6B" w:rsidR="009F5DC6" w:rsidRDefault="009F5DC6" w:rsidP="00B7552D">
      <w:pPr>
        <w:suppressAutoHyphens w:val="0"/>
        <w:spacing w:line="260" w:lineRule="atLeast"/>
        <w:contextualSpacing/>
        <w:rPr>
          <w:color w:val="000000"/>
        </w:rPr>
      </w:pPr>
      <w:r w:rsidRPr="006C1F4C">
        <w:rPr>
          <w:rFonts w:cs="Arial"/>
        </w:rPr>
        <w:t xml:space="preserve">Nevertheless, a number of scientific publications </w:t>
      </w:r>
      <w:r w:rsidRPr="00D86F47">
        <w:rPr>
          <w:rFonts w:cs="Arial"/>
        </w:rPr>
        <w:t>mention potential endocrine disruption activity of propiconazole and tebuconazole. These effects will</w:t>
      </w:r>
      <w:r w:rsidRPr="006C1F4C">
        <w:rPr>
          <w:rFonts w:cs="Arial"/>
        </w:rPr>
        <w:t xml:space="preserve"> be assessed more in details at the renewal stage of these biocidal active substances approval in the frame of the EU Regulation No 528/2012 (scheduled in 2019), and according to the criteria mentioned in the future </w:t>
      </w:r>
      <w:r w:rsidRPr="006C1F4C">
        <w:rPr>
          <w:i/>
          <w:iCs/>
        </w:rPr>
        <w:t>Guidance for the identification of endocrine disruptors in the context of Regulations (EU) No 528/2012 and (EC) No 1107/2009.</w:t>
      </w:r>
      <w:r w:rsidRPr="006C1F4C">
        <w:rPr>
          <w:iCs/>
        </w:rPr>
        <w:t xml:space="preserve"> In case these active substances were identified as ED, the conditions for the product authorisation will have to be revised.</w:t>
      </w:r>
    </w:p>
    <w:p w14:paraId="4499281A" w14:textId="77777777" w:rsidR="00E44996" w:rsidRPr="00B7552D" w:rsidRDefault="00E44996" w:rsidP="00B7552D">
      <w:pPr>
        <w:suppressAutoHyphens w:val="0"/>
        <w:spacing w:line="260" w:lineRule="atLeast"/>
        <w:contextualSpacing/>
        <w:rPr>
          <w:rFonts w:cs="Arial"/>
          <w:color w:val="000000"/>
        </w:rPr>
      </w:pPr>
    </w:p>
    <w:p w14:paraId="74283ED0" w14:textId="77777777" w:rsidR="009D4550" w:rsidRPr="009D4550" w:rsidRDefault="009D4550" w:rsidP="009D4550">
      <w:pPr>
        <w:pStyle w:val="Titre4"/>
      </w:pPr>
      <w:bookmarkStart w:id="104" w:name="_Toc253495071"/>
      <w:bookmarkStart w:id="105" w:name="_Toc536627315"/>
      <w:bookmarkEnd w:id="101"/>
      <w:r w:rsidRPr="009D4550">
        <w:t>Human exposure assessment</w:t>
      </w:r>
      <w:bookmarkEnd w:id="104"/>
      <w:bookmarkEnd w:id="105"/>
    </w:p>
    <w:p w14:paraId="46FEACAB" w14:textId="77777777" w:rsidR="009D4550" w:rsidRPr="002131ED" w:rsidRDefault="009D4550" w:rsidP="009D4550">
      <w:pPr>
        <w:rPr>
          <w:rFonts w:ascii="Arial" w:hAnsi="Arial" w:cs="Arial"/>
        </w:rPr>
      </w:pPr>
    </w:p>
    <w:p w14:paraId="333306BF" w14:textId="4699C09D" w:rsidR="009D4550" w:rsidRPr="00F43DDA" w:rsidRDefault="009D4550" w:rsidP="009D4550">
      <w:pPr>
        <w:rPr>
          <w:rFonts w:cs="Arial"/>
          <w:color w:val="000000"/>
        </w:rPr>
      </w:pPr>
      <w:r w:rsidRPr="00F43DDA">
        <w:rPr>
          <w:rFonts w:cs="Arial"/>
          <w:color w:val="000000"/>
        </w:rPr>
        <w:t xml:space="preserve">The product X6122B1 is a ready-for-use solvent-based wood preservative for industrial, professional and non-professional uses. The product contains </w:t>
      </w:r>
      <w:r w:rsidRPr="00B100F1">
        <w:rPr>
          <w:rFonts w:cs="Arial"/>
          <w:color w:val="000000"/>
        </w:rPr>
        <w:t>0.08% w/w cypermethrin, 0.16% propiconazole, 0.05% w/w tebuconazole and 0.05% w/w IPBC</w:t>
      </w:r>
      <w:r w:rsidR="004F3DEB" w:rsidRPr="00B100F1">
        <w:rPr>
          <w:rFonts w:cs="Arial"/>
          <w:color w:val="000000"/>
        </w:rPr>
        <w:t xml:space="preserve"> </w:t>
      </w:r>
      <w:r w:rsidR="004F3DEB" w:rsidRPr="00B100F1">
        <w:rPr>
          <w:rFonts w:cs="Arial"/>
          <w:color w:val="000000"/>
          <w:lang w:val="de-DE"/>
        </w:rPr>
        <w:t>(technical active susbtances content</w:t>
      </w:r>
      <w:r w:rsidRPr="00B100F1">
        <w:rPr>
          <w:rFonts w:cs="Arial"/>
          <w:color w:val="000000"/>
        </w:rPr>
        <w:t>.</w:t>
      </w:r>
    </w:p>
    <w:p w14:paraId="47969312" w14:textId="77777777" w:rsidR="009D4550" w:rsidRPr="00F43DDA" w:rsidRDefault="009D4550" w:rsidP="009D4550">
      <w:pPr>
        <w:rPr>
          <w:rFonts w:cs="Arial"/>
          <w:color w:val="000000"/>
        </w:rPr>
      </w:pPr>
    </w:p>
    <w:p w14:paraId="7694F087" w14:textId="471CBF6A" w:rsidR="009D4550" w:rsidRPr="00F43DDA" w:rsidRDefault="009D4550" w:rsidP="009D4550">
      <w:pPr>
        <w:rPr>
          <w:rFonts w:cs="Arial"/>
          <w:color w:val="000000"/>
        </w:rPr>
      </w:pPr>
      <w:r w:rsidRPr="00F43DDA">
        <w:rPr>
          <w:rFonts w:cs="Arial"/>
          <w:color w:val="000000"/>
        </w:rPr>
        <w:t>The product X6122B1 is intended to be used for the preventive and curative treatment of interior and</w:t>
      </w:r>
      <w:r w:rsidR="003C1F4F">
        <w:rPr>
          <w:rFonts w:cs="Arial"/>
          <w:color w:val="000000"/>
        </w:rPr>
        <w:t xml:space="preserve"> </w:t>
      </w:r>
      <w:r w:rsidRPr="00F43DDA">
        <w:rPr>
          <w:rFonts w:cs="Arial"/>
          <w:color w:val="000000"/>
        </w:rPr>
        <w:t>exterior woods.</w:t>
      </w:r>
    </w:p>
    <w:p w14:paraId="4ADC66D3" w14:textId="77777777" w:rsidR="009D4550" w:rsidRPr="00F43DDA" w:rsidRDefault="009D4550" w:rsidP="009D4550">
      <w:pPr>
        <w:rPr>
          <w:rFonts w:cs="Arial"/>
          <w:color w:val="000000"/>
        </w:rPr>
      </w:pPr>
      <w:r w:rsidRPr="00F43DDA">
        <w:rPr>
          <w:rFonts w:cs="Arial"/>
          <w:color w:val="000000"/>
        </w:rPr>
        <w:t xml:space="preserve">These preventive and curative treatments are done by professionals and non-professionals by brush application, spray application or injection. The product can also be used by industrial users to treat wood by short dipping. </w:t>
      </w:r>
    </w:p>
    <w:p w14:paraId="04618931" w14:textId="77777777" w:rsidR="009D4550" w:rsidRPr="00F43DDA" w:rsidRDefault="009D4550" w:rsidP="009D4550">
      <w:pPr>
        <w:rPr>
          <w:rFonts w:cs="Arial"/>
          <w:color w:val="000000"/>
        </w:rPr>
      </w:pPr>
      <w:r w:rsidRPr="00F43DDA">
        <w:rPr>
          <w:rFonts w:cs="Arial"/>
          <w:color w:val="000000"/>
        </w:rPr>
        <w:lastRenderedPageBreak/>
        <w:t>The application doses are 200 g/m² for preventive treatment and 300 g/m² for curative treatment. The maximum application dose of 300 g/m² used for curative treatments is considered a worst-case exposure and therefore will be taken into account for the human risk assessment.</w:t>
      </w:r>
    </w:p>
    <w:p w14:paraId="2CD8DCCB" w14:textId="73F973B2" w:rsidR="009D4550" w:rsidRDefault="009D4550" w:rsidP="009D4550">
      <w:pPr>
        <w:rPr>
          <w:rFonts w:cs="Arial"/>
          <w:color w:val="000000"/>
        </w:rPr>
      </w:pPr>
      <w:r w:rsidRPr="00F43DDA">
        <w:rPr>
          <w:rFonts w:cs="Arial"/>
          <w:color w:val="000000"/>
        </w:rPr>
        <w:br/>
        <w:t>For products intended to be applied by injection, the dose of application is 145 g/</w:t>
      </w:r>
      <w:r w:rsidR="00C03422" w:rsidRPr="00F43DDA">
        <w:rPr>
          <w:rFonts w:cs="Arial"/>
          <w:color w:val="000000"/>
        </w:rPr>
        <w:t>m².</w:t>
      </w:r>
    </w:p>
    <w:p w14:paraId="54B08750" w14:textId="77777777" w:rsidR="00DE251C" w:rsidRPr="00F43DDA" w:rsidRDefault="00DE251C" w:rsidP="009D4550">
      <w:pPr>
        <w:rPr>
          <w:rFonts w:cs="Arial"/>
          <w:color w:val="000000"/>
        </w:rPr>
      </w:pPr>
    </w:p>
    <w:p w14:paraId="169B0FDF" w14:textId="77777777" w:rsidR="009D4550" w:rsidRPr="00FE333D" w:rsidRDefault="009D4550" w:rsidP="009D4550">
      <w:pPr>
        <w:pStyle w:val="Titre5"/>
        <w:spacing w:before="240"/>
        <w:rPr>
          <w:lang w:val="en-US"/>
        </w:rPr>
      </w:pPr>
      <w:bookmarkStart w:id="106" w:name="_Toc183317888"/>
      <w:bookmarkStart w:id="107" w:name="_Toc281929693"/>
      <w:r w:rsidRPr="00FE333D">
        <w:rPr>
          <w:lang w:val="en-US"/>
        </w:rPr>
        <w:t>Identification of main paths of human exposure towards active substance from its use in biocidal product</w:t>
      </w:r>
      <w:bookmarkEnd w:id="106"/>
      <w:bookmarkEnd w:id="107"/>
    </w:p>
    <w:p w14:paraId="3E6E16D9" w14:textId="77777777" w:rsidR="009D4550" w:rsidRPr="00F43DDA" w:rsidRDefault="009D4550" w:rsidP="009D4550">
      <w:pPr>
        <w:rPr>
          <w:rFonts w:eastAsiaTheme="minorHAnsi" w:cs="Arial"/>
          <w:color w:val="000000"/>
          <w:lang w:val="en-US" w:eastAsia="en-US"/>
        </w:rPr>
      </w:pPr>
      <w:r w:rsidRPr="00F43DDA">
        <w:rPr>
          <w:rFonts w:eastAsiaTheme="minorHAnsi" w:cs="Arial"/>
          <w:color w:val="000000"/>
          <w:lang w:eastAsia="en-US"/>
        </w:rPr>
        <w:t>Th</w:t>
      </w:r>
      <w:r w:rsidRPr="00F43DDA">
        <w:rPr>
          <w:rFonts w:eastAsiaTheme="minorHAnsi" w:cs="Arial"/>
          <w:color w:val="000000"/>
          <w:lang w:val="en-US" w:eastAsia="en-US"/>
        </w:rPr>
        <w:t>e active substances cypermethrin, tebuconazole, propiconazole and IPBC were assessed for exposure of humans when dipping, brushing and spraying (indoor and/or outdoor).</w:t>
      </w:r>
    </w:p>
    <w:p w14:paraId="206F684A" w14:textId="77777777" w:rsidR="009D4550" w:rsidRPr="00F43DDA" w:rsidRDefault="009D4550" w:rsidP="009D4550">
      <w:pPr>
        <w:rPr>
          <w:rFonts w:eastAsiaTheme="minorHAnsi" w:cs="Arial"/>
          <w:color w:val="000000"/>
          <w:lang w:val="en-US" w:eastAsia="en-US"/>
        </w:rPr>
      </w:pPr>
    </w:p>
    <w:p w14:paraId="6D00901C" w14:textId="77777777" w:rsidR="009D4550" w:rsidRPr="00F43DDA" w:rsidRDefault="009D4550" w:rsidP="009D4550">
      <w:pPr>
        <w:rPr>
          <w:rFonts w:eastAsiaTheme="minorHAnsi" w:cs="Arial"/>
          <w:color w:val="000000"/>
          <w:lang w:eastAsia="en-US"/>
        </w:rPr>
      </w:pPr>
      <w:r w:rsidRPr="00F43DDA">
        <w:rPr>
          <w:rFonts w:eastAsiaTheme="minorHAnsi" w:cs="Arial"/>
          <w:color w:val="000000"/>
          <w:lang w:val="en-US" w:eastAsia="en-US"/>
        </w:rPr>
        <w:t>F</w:t>
      </w:r>
      <w:r w:rsidRPr="00F43DDA">
        <w:rPr>
          <w:rFonts w:eastAsiaTheme="minorHAnsi" w:cs="Arial"/>
          <w:color w:val="000000"/>
          <w:lang w:eastAsia="en-US"/>
        </w:rPr>
        <w:t>or the primary exposure to the product, only professional and non-professional users are in contact with the product during mixing and loading, application (dipping, brushing, spraying or injection) and cleaning of the equipment. Dermal and inhalation routes were considered as the main exposure routes during the primary exposure.</w:t>
      </w:r>
    </w:p>
    <w:p w14:paraId="49A568F9" w14:textId="77777777" w:rsidR="009D4550" w:rsidRPr="00F43DDA" w:rsidRDefault="009D4550" w:rsidP="009D4550">
      <w:pPr>
        <w:rPr>
          <w:rFonts w:eastAsiaTheme="minorHAnsi" w:cs="Arial"/>
          <w:color w:val="000000"/>
          <w:lang w:val="en-US" w:eastAsia="en-US"/>
        </w:rPr>
      </w:pPr>
    </w:p>
    <w:p w14:paraId="69B8FA63" w14:textId="77777777" w:rsidR="009D4550" w:rsidRPr="00F43DDA" w:rsidRDefault="009D4550" w:rsidP="009D4550">
      <w:pPr>
        <w:autoSpaceDE w:val="0"/>
        <w:autoSpaceDN w:val="0"/>
        <w:adjustRightInd w:val="0"/>
        <w:rPr>
          <w:rFonts w:eastAsiaTheme="minorHAnsi" w:cs="Arial"/>
          <w:color w:val="000000"/>
          <w:lang w:val="en-US" w:eastAsia="en-US"/>
        </w:rPr>
      </w:pPr>
      <w:r w:rsidRPr="00F43DDA">
        <w:rPr>
          <w:rFonts w:eastAsiaTheme="minorHAnsi" w:cs="Arial"/>
          <w:color w:val="000000"/>
          <w:lang w:val="en-US" w:eastAsia="en-US"/>
        </w:rPr>
        <w:t xml:space="preserve">For the secondary exposure, consumers and also professionals might be in contact with the product. Exposure may occur soon after application with a short exposure period (acute phase) or exposure may be long-term and repeated (chronic phase). </w:t>
      </w:r>
    </w:p>
    <w:p w14:paraId="786A9150" w14:textId="77777777" w:rsidR="009D4550" w:rsidRPr="00F43DDA" w:rsidRDefault="009D4550" w:rsidP="009D4550">
      <w:pPr>
        <w:autoSpaceDE w:val="0"/>
        <w:autoSpaceDN w:val="0"/>
        <w:adjustRightInd w:val="0"/>
        <w:rPr>
          <w:rFonts w:eastAsiaTheme="minorHAnsi" w:cs="Arial"/>
          <w:color w:val="000000"/>
          <w:lang w:val="en-US" w:eastAsia="en-US"/>
        </w:rPr>
      </w:pPr>
    </w:p>
    <w:p w14:paraId="2B5592BD" w14:textId="402AA051" w:rsidR="009D4550" w:rsidRPr="00F43DDA" w:rsidRDefault="009D4550" w:rsidP="009D4550">
      <w:pPr>
        <w:pStyle w:val="Lgende"/>
        <w:keepNext/>
        <w:rPr>
          <w:rFonts w:ascii="Verdana" w:hAnsi="Verdana" w:cs="Arial"/>
        </w:rPr>
      </w:pPr>
      <w:r w:rsidRPr="00F43DDA">
        <w:rPr>
          <w:rFonts w:ascii="Verdana" w:hAnsi="Verdana" w:cs="Arial"/>
        </w:rPr>
        <w:t xml:space="preserve">Table </w:t>
      </w:r>
      <w:r w:rsidRPr="00F43DDA">
        <w:rPr>
          <w:rFonts w:ascii="Verdana" w:hAnsi="Verdana" w:cs="Arial"/>
        </w:rPr>
        <w:fldChar w:fldCharType="begin"/>
      </w:r>
      <w:r w:rsidRPr="00F43DDA">
        <w:rPr>
          <w:rFonts w:ascii="Verdana" w:hAnsi="Verdana" w:cs="Arial"/>
        </w:rPr>
        <w:instrText xml:space="preserve"> SEQ Tableau \* ARABIC </w:instrText>
      </w:r>
      <w:r w:rsidRPr="00F43DDA">
        <w:rPr>
          <w:rFonts w:ascii="Verdana" w:hAnsi="Verdana" w:cs="Arial"/>
        </w:rPr>
        <w:fldChar w:fldCharType="separate"/>
      </w:r>
      <w:r w:rsidR="00666966">
        <w:rPr>
          <w:rFonts w:ascii="Verdana" w:hAnsi="Verdana" w:cs="Arial"/>
          <w:noProof/>
        </w:rPr>
        <w:t>1</w:t>
      </w:r>
      <w:r w:rsidRPr="00F43DDA">
        <w:rPr>
          <w:rFonts w:ascii="Verdana" w:hAnsi="Verdana" w:cs="Arial"/>
        </w:rPr>
        <w:fldChar w:fldCharType="end"/>
      </w:r>
      <w:r w:rsidRPr="00F43DDA">
        <w:rPr>
          <w:rFonts w:ascii="Verdana" w:hAnsi="Verdana" w:cs="Arial"/>
        </w:rPr>
        <w:t>: Summary of main paths of human ex</w:t>
      </w:r>
      <w:r w:rsidR="00FE333D">
        <w:rPr>
          <w:rFonts w:ascii="Verdana" w:hAnsi="Verdana" w:cs="Arial"/>
        </w:rPr>
        <w:t>p</w:t>
      </w:r>
      <w:r w:rsidRPr="00F43DDA">
        <w:rPr>
          <w:rFonts w:ascii="Verdana" w:hAnsi="Verdana" w:cs="Arial"/>
        </w:rPr>
        <w:t>osure</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9D4550" w:rsidRPr="00F43DDA" w14:paraId="77CE7B4A" w14:textId="77777777" w:rsidTr="009D4550">
        <w:tc>
          <w:tcPr>
            <w:tcW w:w="1701" w:type="dxa"/>
          </w:tcPr>
          <w:p w14:paraId="0CEB2D10" w14:textId="77777777" w:rsidR="009D4550" w:rsidRPr="00F43DDA" w:rsidRDefault="009D4550" w:rsidP="009D4550">
            <w:pPr>
              <w:rPr>
                <w:rFonts w:cs="Arial"/>
                <w:b/>
              </w:rPr>
            </w:pPr>
            <w:r w:rsidRPr="00F43DDA">
              <w:rPr>
                <w:rFonts w:cs="Arial"/>
                <w:b/>
              </w:rPr>
              <w:t>Exposure path</w:t>
            </w:r>
          </w:p>
        </w:tc>
        <w:tc>
          <w:tcPr>
            <w:tcW w:w="1701" w:type="dxa"/>
          </w:tcPr>
          <w:p w14:paraId="352C6E78" w14:textId="77777777" w:rsidR="009D4550" w:rsidRPr="00F43DDA" w:rsidRDefault="009D4550" w:rsidP="009D4550">
            <w:pPr>
              <w:rPr>
                <w:rFonts w:cs="Arial"/>
                <w:b/>
              </w:rPr>
            </w:pPr>
            <w:r w:rsidRPr="00F43DDA">
              <w:rPr>
                <w:rFonts w:cs="Arial"/>
                <w:b/>
              </w:rPr>
              <w:t>Industrial use</w:t>
            </w:r>
          </w:p>
        </w:tc>
        <w:tc>
          <w:tcPr>
            <w:tcW w:w="1843" w:type="dxa"/>
          </w:tcPr>
          <w:p w14:paraId="0496B927" w14:textId="77777777" w:rsidR="009D4550" w:rsidRPr="00F43DDA" w:rsidRDefault="009D4550" w:rsidP="009D4550">
            <w:pPr>
              <w:rPr>
                <w:rFonts w:cs="Arial"/>
                <w:b/>
              </w:rPr>
            </w:pPr>
            <w:r w:rsidRPr="00F43DDA">
              <w:rPr>
                <w:rFonts w:cs="Arial"/>
                <w:b/>
              </w:rPr>
              <w:t>Professional use</w:t>
            </w:r>
          </w:p>
        </w:tc>
        <w:tc>
          <w:tcPr>
            <w:tcW w:w="1843" w:type="dxa"/>
          </w:tcPr>
          <w:p w14:paraId="2549D28E" w14:textId="77777777" w:rsidR="009D4550" w:rsidRPr="00F43DDA" w:rsidRDefault="009D4550" w:rsidP="009D4550">
            <w:pPr>
              <w:rPr>
                <w:rFonts w:cs="Arial"/>
                <w:b/>
              </w:rPr>
            </w:pPr>
            <w:r w:rsidRPr="00F43DDA">
              <w:rPr>
                <w:rFonts w:cs="Arial"/>
                <w:b/>
              </w:rPr>
              <w:t>General public</w:t>
            </w:r>
          </w:p>
        </w:tc>
        <w:tc>
          <w:tcPr>
            <w:tcW w:w="2126" w:type="dxa"/>
          </w:tcPr>
          <w:p w14:paraId="1C1F4CB5" w14:textId="77777777" w:rsidR="009D4550" w:rsidRPr="00F43DDA" w:rsidRDefault="009D4550" w:rsidP="009D4550">
            <w:pPr>
              <w:rPr>
                <w:rFonts w:cs="Arial"/>
                <w:b/>
              </w:rPr>
            </w:pPr>
            <w:r w:rsidRPr="00F43DDA">
              <w:rPr>
                <w:rFonts w:cs="Arial"/>
                <w:b/>
                <w:i/>
              </w:rPr>
              <w:t>via</w:t>
            </w:r>
            <w:r w:rsidRPr="00F43DDA">
              <w:rPr>
                <w:rFonts w:cs="Arial"/>
                <w:b/>
              </w:rPr>
              <w:t xml:space="preserve"> the environment</w:t>
            </w:r>
          </w:p>
        </w:tc>
      </w:tr>
      <w:tr w:rsidR="009D4550" w:rsidRPr="00F43DDA" w14:paraId="55B3651D" w14:textId="77777777" w:rsidTr="009D4550">
        <w:tc>
          <w:tcPr>
            <w:tcW w:w="1701" w:type="dxa"/>
          </w:tcPr>
          <w:p w14:paraId="475CC749" w14:textId="77777777" w:rsidR="009D4550" w:rsidRPr="00F43DDA" w:rsidRDefault="009D4550" w:rsidP="009D4550">
            <w:pPr>
              <w:rPr>
                <w:rFonts w:cs="Arial"/>
              </w:rPr>
            </w:pPr>
            <w:r w:rsidRPr="00F43DDA">
              <w:rPr>
                <w:rFonts w:cs="Arial"/>
              </w:rPr>
              <w:t>Inhalation</w:t>
            </w:r>
          </w:p>
        </w:tc>
        <w:tc>
          <w:tcPr>
            <w:tcW w:w="1701" w:type="dxa"/>
          </w:tcPr>
          <w:p w14:paraId="4D5609AB" w14:textId="77777777" w:rsidR="009D4550" w:rsidRPr="00F43DDA" w:rsidRDefault="009D4550" w:rsidP="009D4550">
            <w:pPr>
              <w:rPr>
                <w:rFonts w:cs="Arial"/>
              </w:rPr>
            </w:pPr>
            <w:r w:rsidRPr="00F43DDA">
              <w:rPr>
                <w:rFonts w:cs="Arial"/>
              </w:rPr>
              <w:t>yes</w:t>
            </w:r>
          </w:p>
        </w:tc>
        <w:tc>
          <w:tcPr>
            <w:tcW w:w="1843" w:type="dxa"/>
          </w:tcPr>
          <w:p w14:paraId="78BDD044" w14:textId="77777777" w:rsidR="009D4550" w:rsidRPr="00F43DDA" w:rsidRDefault="009D4550" w:rsidP="009D4550">
            <w:pPr>
              <w:rPr>
                <w:rFonts w:cs="Arial"/>
              </w:rPr>
            </w:pPr>
            <w:r w:rsidRPr="00F43DDA">
              <w:rPr>
                <w:rFonts w:cs="Arial"/>
              </w:rPr>
              <w:t>yes</w:t>
            </w:r>
          </w:p>
        </w:tc>
        <w:tc>
          <w:tcPr>
            <w:tcW w:w="1843" w:type="dxa"/>
          </w:tcPr>
          <w:p w14:paraId="24EBB72B" w14:textId="77777777" w:rsidR="009D4550" w:rsidRPr="00F43DDA" w:rsidRDefault="009D4550" w:rsidP="009D4550">
            <w:pPr>
              <w:rPr>
                <w:rFonts w:cs="Arial"/>
              </w:rPr>
            </w:pPr>
            <w:r w:rsidRPr="00F43DDA">
              <w:rPr>
                <w:rFonts w:cs="Arial"/>
              </w:rPr>
              <w:t>Yes</w:t>
            </w:r>
          </w:p>
        </w:tc>
        <w:tc>
          <w:tcPr>
            <w:tcW w:w="2126" w:type="dxa"/>
          </w:tcPr>
          <w:p w14:paraId="01DEA6D8" w14:textId="77777777" w:rsidR="009D4550" w:rsidRPr="00F43DDA" w:rsidRDefault="009D4550" w:rsidP="009D4550">
            <w:pPr>
              <w:rPr>
                <w:rFonts w:cs="Arial"/>
              </w:rPr>
            </w:pPr>
            <w:r w:rsidRPr="00F43DDA">
              <w:rPr>
                <w:rFonts w:cs="Arial"/>
              </w:rPr>
              <w:t>Not appropriate</w:t>
            </w:r>
          </w:p>
        </w:tc>
      </w:tr>
      <w:tr w:rsidR="009D4550" w:rsidRPr="00F43DDA" w14:paraId="1882F7C4" w14:textId="77777777" w:rsidTr="009D4550">
        <w:tc>
          <w:tcPr>
            <w:tcW w:w="1701" w:type="dxa"/>
          </w:tcPr>
          <w:p w14:paraId="5E3AEFAA" w14:textId="77777777" w:rsidR="009D4550" w:rsidRPr="00F43DDA" w:rsidRDefault="009D4550" w:rsidP="009D4550">
            <w:pPr>
              <w:rPr>
                <w:rFonts w:cs="Arial"/>
              </w:rPr>
            </w:pPr>
            <w:r w:rsidRPr="00F43DDA">
              <w:rPr>
                <w:rFonts w:cs="Arial"/>
              </w:rPr>
              <w:t>Dermal</w:t>
            </w:r>
          </w:p>
        </w:tc>
        <w:tc>
          <w:tcPr>
            <w:tcW w:w="1701" w:type="dxa"/>
          </w:tcPr>
          <w:p w14:paraId="16092D58" w14:textId="77777777" w:rsidR="009D4550" w:rsidRPr="00F43DDA" w:rsidRDefault="009D4550" w:rsidP="009D4550">
            <w:pPr>
              <w:rPr>
                <w:rFonts w:cs="Arial"/>
              </w:rPr>
            </w:pPr>
            <w:r w:rsidRPr="00F43DDA">
              <w:rPr>
                <w:rFonts w:cs="Arial"/>
              </w:rPr>
              <w:t>yes</w:t>
            </w:r>
          </w:p>
        </w:tc>
        <w:tc>
          <w:tcPr>
            <w:tcW w:w="1843" w:type="dxa"/>
          </w:tcPr>
          <w:p w14:paraId="791D419D" w14:textId="77777777" w:rsidR="009D4550" w:rsidRPr="00F43DDA" w:rsidRDefault="009D4550" w:rsidP="009D4550">
            <w:pPr>
              <w:rPr>
                <w:rFonts w:cs="Arial"/>
              </w:rPr>
            </w:pPr>
            <w:r w:rsidRPr="00F43DDA">
              <w:rPr>
                <w:rFonts w:cs="Arial"/>
              </w:rPr>
              <w:t>yes</w:t>
            </w:r>
          </w:p>
        </w:tc>
        <w:tc>
          <w:tcPr>
            <w:tcW w:w="1843" w:type="dxa"/>
          </w:tcPr>
          <w:p w14:paraId="726B0A29" w14:textId="77777777" w:rsidR="009D4550" w:rsidRPr="00F43DDA" w:rsidRDefault="009D4550" w:rsidP="009D4550">
            <w:pPr>
              <w:rPr>
                <w:rFonts w:cs="Arial"/>
              </w:rPr>
            </w:pPr>
            <w:r w:rsidRPr="00F43DDA">
              <w:rPr>
                <w:rFonts w:cs="Arial"/>
              </w:rPr>
              <w:t>Yes</w:t>
            </w:r>
          </w:p>
        </w:tc>
        <w:tc>
          <w:tcPr>
            <w:tcW w:w="2126" w:type="dxa"/>
          </w:tcPr>
          <w:p w14:paraId="0F71B6EA" w14:textId="77777777" w:rsidR="009D4550" w:rsidRPr="00F43DDA" w:rsidRDefault="009D4550" w:rsidP="009D4550">
            <w:pPr>
              <w:rPr>
                <w:rFonts w:cs="Arial"/>
              </w:rPr>
            </w:pPr>
            <w:r w:rsidRPr="00F43DDA">
              <w:rPr>
                <w:rFonts w:cs="Arial"/>
              </w:rPr>
              <w:t>Not appropriate</w:t>
            </w:r>
          </w:p>
        </w:tc>
      </w:tr>
      <w:tr w:rsidR="009D4550" w:rsidRPr="00F43DDA" w14:paraId="5FA3CC50" w14:textId="77777777" w:rsidTr="009D4550">
        <w:tc>
          <w:tcPr>
            <w:tcW w:w="1701" w:type="dxa"/>
          </w:tcPr>
          <w:p w14:paraId="7367DBFD" w14:textId="77777777" w:rsidR="009D4550" w:rsidRPr="00F43DDA" w:rsidRDefault="009D4550" w:rsidP="009D4550">
            <w:pPr>
              <w:rPr>
                <w:rFonts w:cs="Arial"/>
              </w:rPr>
            </w:pPr>
            <w:r w:rsidRPr="00F43DDA">
              <w:rPr>
                <w:rFonts w:cs="Arial"/>
              </w:rPr>
              <w:t>Oral</w:t>
            </w:r>
          </w:p>
        </w:tc>
        <w:tc>
          <w:tcPr>
            <w:tcW w:w="1701" w:type="dxa"/>
          </w:tcPr>
          <w:p w14:paraId="726F652E" w14:textId="77777777" w:rsidR="009D4550" w:rsidRPr="00F43DDA" w:rsidRDefault="009D4550" w:rsidP="009D4550">
            <w:pPr>
              <w:rPr>
                <w:rFonts w:cs="Arial"/>
              </w:rPr>
            </w:pPr>
            <w:r w:rsidRPr="00F43DDA">
              <w:rPr>
                <w:rFonts w:cs="Arial"/>
              </w:rPr>
              <w:t>Not appropriate</w:t>
            </w:r>
          </w:p>
        </w:tc>
        <w:tc>
          <w:tcPr>
            <w:tcW w:w="1843" w:type="dxa"/>
          </w:tcPr>
          <w:p w14:paraId="368981AF" w14:textId="77777777" w:rsidR="009D4550" w:rsidRPr="00F43DDA" w:rsidRDefault="009D4550" w:rsidP="009D4550">
            <w:pPr>
              <w:rPr>
                <w:rFonts w:cs="Arial"/>
              </w:rPr>
            </w:pPr>
            <w:r w:rsidRPr="00F43DDA">
              <w:rPr>
                <w:rFonts w:cs="Arial"/>
              </w:rPr>
              <w:t>Not appropriate</w:t>
            </w:r>
          </w:p>
        </w:tc>
        <w:tc>
          <w:tcPr>
            <w:tcW w:w="1843" w:type="dxa"/>
          </w:tcPr>
          <w:p w14:paraId="5440E6AC" w14:textId="77777777" w:rsidR="009D4550" w:rsidRPr="00F43DDA" w:rsidRDefault="009D4550" w:rsidP="009D4550">
            <w:pPr>
              <w:rPr>
                <w:rFonts w:cs="Arial"/>
              </w:rPr>
            </w:pPr>
            <w:r w:rsidRPr="00F43DDA">
              <w:rPr>
                <w:rFonts w:cs="Arial"/>
              </w:rPr>
              <w:t>yes</w:t>
            </w:r>
          </w:p>
        </w:tc>
        <w:tc>
          <w:tcPr>
            <w:tcW w:w="2126" w:type="dxa"/>
          </w:tcPr>
          <w:p w14:paraId="58DE34FE" w14:textId="77777777" w:rsidR="009D4550" w:rsidRPr="00F43DDA" w:rsidRDefault="009D4550" w:rsidP="009D4550">
            <w:pPr>
              <w:rPr>
                <w:rFonts w:cs="Arial"/>
              </w:rPr>
            </w:pPr>
            <w:r w:rsidRPr="00F43DDA">
              <w:rPr>
                <w:rFonts w:cs="Arial"/>
              </w:rPr>
              <w:t>Not appropriate</w:t>
            </w:r>
          </w:p>
        </w:tc>
      </w:tr>
    </w:tbl>
    <w:p w14:paraId="29E20350" w14:textId="77777777" w:rsidR="009D4550" w:rsidRPr="00F43DDA" w:rsidRDefault="009D4550" w:rsidP="009D4550">
      <w:pPr>
        <w:rPr>
          <w:rFonts w:cs="Arial"/>
        </w:rPr>
      </w:pPr>
    </w:p>
    <w:p w14:paraId="5EA5DD44" w14:textId="77777777" w:rsidR="009D4550" w:rsidRPr="00F43DDA" w:rsidRDefault="009D4550" w:rsidP="009D4550">
      <w:pPr>
        <w:rPr>
          <w:rFonts w:cs="Arial"/>
          <w:lang w:val="en-US" w:eastAsia="fr-FR"/>
        </w:rPr>
      </w:pPr>
      <w:r w:rsidRPr="00F43DDA">
        <w:rPr>
          <w:rFonts w:cs="Arial"/>
          <w:lang w:val="en-US" w:eastAsia="fr-FR"/>
        </w:rPr>
        <w:t>Physico-chemical and toxicological data of cypermethrine, tebuconazole, propiconazole and IPBC are summarized in the following table:</w:t>
      </w:r>
    </w:p>
    <w:p w14:paraId="1C26654D" w14:textId="77777777" w:rsidR="009D4550" w:rsidRPr="00F43DDA" w:rsidRDefault="009D4550" w:rsidP="009D4550">
      <w:pPr>
        <w:rPr>
          <w:rFonts w:cs="Arial"/>
          <w:lang w:val="en-US"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620"/>
        <w:gridCol w:w="1172"/>
        <w:gridCol w:w="1430"/>
        <w:gridCol w:w="1278"/>
        <w:gridCol w:w="1278"/>
        <w:gridCol w:w="1395"/>
      </w:tblGrid>
      <w:tr w:rsidR="009D4550" w:rsidRPr="00F43DDA" w14:paraId="793787ED" w14:textId="77777777" w:rsidTr="00F43DDA">
        <w:tc>
          <w:tcPr>
            <w:tcW w:w="1583" w:type="dxa"/>
            <w:vAlign w:val="center"/>
          </w:tcPr>
          <w:p w14:paraId="08090E85" w14:textId="77777777" w:rsidR="009D4550" w:rsidRPr="00F43DDA" w:rsidRDefault="009D4550" w:rsidP="009D4550">
            <w:pPr>
              <w:rPr>
                <w:rFonts w:cs="Arial"/>
                <w:lang w:val="en-US" w:eastAsia="fr-FR"/>
              </w:rPr>
            </w:pPr>
            <w:r w:rsidRPr="00F43DDA">
              <w:rPr>
                <w:rFonts w:cs="Arial"/>
                <w:lang w:val="en-US" w:eastAsia="fr-FR"/>
              </w:rPr>
              <w:t>Active Substance</w:t>
            </w:r>
          </w:p>
        </w:tc>
        <w:tc>
          <w:tcPr>
            <w:tcW w:w="1502" w:type="dxa"/>
            <w:vAlign w:val="center"/>
          </w:tcPr>
          <w:p w14:paraId="5E7ECC19" w14:textId="383E2F9D" w:rsidR="009D4550" w:rsidRPr="00F43DDA" w:rsidRDefault="009D4550" w:rsidP="009D4550">
            <w:pPr>
              <w:rPr>
                <w:rFonts w:cs="Arial"/>
                <w:lang w:val="en-US" w:eastAsia="fr-FR"/>
              </w:rPr>
            </w:pPr>
            <w:r w:rsidRPr="00F43DDA">
              <w:rPr>
                <w:rFonts w:cs="Arial"/>
                <w:lang w:val="en-US" w:eastAsia="fr-FR"/>
              </w:rPr>
              <w:t>Concentration</w:t>
            </w:r>
            <w:r w:rsidR="004F3DEB">
              <w:rPr>
                <w:rFonts w:cs="Arial"/>
                <w:lang w:val="en-US" w:eastAsia="fr-FR"/>
              </w:rPr>
              <w:t xml:space="preserve"> in technical active substance</w:t>
            </w:r>
          </w:p>
          <w:p w14:paraId="4168B55F" w14:textId="77777777" w:rsidR="009D4550" w:rsidRPr="00F43DDA" w:rsidRDefault="009D4550" w:rsidP="009D4550">
            <w:pPr>
              <w:rPr>
                <w:rFonts w:cs="Arial"/>
                <w:lang w:val="en-US" w:eastAsia="fr-FR"/>
              </w:rPr>
            </w:pPr>
            <w:r w:rsidRPr="00F43DDA">
              <w:rPr>
                <w:rFonts w:cs="Arial"/>
                <w:lang w:val="en-US" w:eastAsia="fr-FR"/>
              </w:rPr>
              <w:t>(% w/w)</w:t>
            </w:r>
          </w:p>
        </w:tc>
        <w:tc>
          <w:tcPr>
            <w:tcW w:w="1153" w:type="dxa"/>
            <w:vAlign w:val="center"/>
          </w:tcPr>
          <w:p w14:paraId="6902D2A1" w14:textId="77777777" w:rsidR="009D4550" w:rsidRPr="00F43DDA" w:rsidRDefault="009D4550" w:rsidP="009D4550">
            <w:pPr>
              <w:rPr>
                <w:rFonts w:cs="Arial"/>
                <w:lang w:val="en-US" w:eastAsia="fr-FR"/>
              </w:rPr>
            </w:pPr>
            <w:r w:rsidRPr="00F43DDA">
              <w:rPr>
                <w:rFonts w:cs="Arial"/>
                <w:lang w:val="en-US" w:eastAsia="fr-FR"/>
              </w:rPr>
              <w:t>Molecular weight</w:t>
            </w:r>
          </w:p>
          <w:p w14:paraId="2C575184" w14:textId="77777777" w:rsidR="009D4550" w:rsidRPr="00F43DDA" w:rsidRDefault="009D4550" w:rsidP="009D4550">
            <w:pPr>
              <w:rPr>
                <w:rFonts w:cs="Arial"/>
                <w:lang w:val="en-US" w:eastAsia="fr-FR"/>
              </w:rPr>
            </w:pPr>
            <w:r w:rsidRPr="00F43DDA">
              <w:rPr>
                <w:rFonts w:cs="Arial"/>
                <w:lang w:val="en-US" w:eastAsia="fr-FR"/>
              </w:rPr>
              <w:t>(g/mol)</w:t>
            </w:r>
          </w:p>
        </w:tc>
        <w:tc>
          <w:tcPr>
            <w:tcW w:w="1824" w:type="dxa"/>
            <w:vAlign w:val="center"/>
          </w:tcPr>
          <w:p w14:paraId="2CDF056D" w14:textId="77777777" w:rsidR="009D4550" w:rsidRPr="00F43DDA" w:rsidRDefault="009D4550" w:rsidP="009D4550">
            <w:pPr>
              <w:rPr>
                <w:rFonts w:cs="Arial"/>
                <w:lang w:val="en-US" w:eastAsia="fr-FR"/>
              </w:rPr>
            </w:pPr>
            <w:r w:rsidRPr="00F43DDA">
              <w:rPr>
                <w:rFonts w:cs="Arial"/>
                <w:lang w:val="en-US" w:eastAsia="fr-FR"/>
              </w:rPr>
              <w:t>Vapor Pressure</w:t>
            </w:r>
          </w:p>
          <w:p w14:paraId="02E00396" w14:textId="77777777" w:rsidR="009D4550" w:rsidRPr="00F43DDA" w:rsidRDefault="009D4550" w:rsidP="009D4550">
            <w:pPr>
              <w:rPr>
                <w:rFonts w:cs="Arial"/>
                <w:lang w:val="en-US" w:eastAsia="fr-FR"/>
              </w:rPr>
            </w:pPr>
            <w:r w:rsidRPr="00F43DDA">
              <w:rPr>
                <w:rFonts w:cs="Arial"/>
                <w:lang w:val="en-US" w:eastAsia="fr-FR"/>
              </w:rPr>
              <w:t>(Pa)</w:t>
            </w:r>
          </w:p>
        </w:tc>
        <w:tc>
          <w:tcPr>
            <w:tcW w:w="1150" w:type="dxa"/>
            <w:vAlign w:val="center"/>
          </w:tcPr>
          <w:p w14:paraId="66F654ED" w14:textId="77777777" w:rsidR="009D4550" w:rsidRPr="00F43DDA" w:rsidRDefault="009D4550" w:rsidP="009D4550">
            <w:pPr>
              <w:rPr>
                <w:rFonts w:cs="Arial"/>
                <w:lang w:val="en-US" w:eastAsia="fr-FR"/>
              </w:rPr>
            </w:pPr>
            <w:r w:rsidRPr="00F43DDA">
              <w:rPr>
                <w:rFonts w:cs="Arial"/>
                <w:lang w:val="en-US" w:eastAsia="fr-FR"/>
              </w:rPr>
              <w:t>Inhalation absorption</w:t>
            </w:r>
          </w:p>
        </w:tc>
        <w:tc>
          <w:tcPr>
            <w:tcW w:w="1150" w:type="dxa"/>
            <w:vAlign w:val="center"/>
          </w:tcPr>
          <w:p w14:paraId="1324F439" w14:textId="77777777" w:rsidR="009D4550" w:rsidRPr="00F43DDA" w:rsidRDefault="009D4550" w:rsidP="009D4550">
            <w:pPr>
              <w:rPr>
                <w:rFonts w:cs="Arial"/>
                <w:lang w:val="en-US" w:eastAsia="fr-FR"/>
              </w:rPr>
            </w:pPr>
            <w:r w:rsidRPr="00F43DDA">
              <w:rPr>
                <w:rFonts w:cs="Arial"/>
                <w:lang w:val="en-US" w:eastAsia="fr-FR"/>
              </w:rPr>
              <w:t>Dermal absorption</w:t>
            </w:r>
          </w:p>
        </w:tc>
        <w:tc>
          <w:tcPr>
            <w:tcW w:w="1527" w:type="dxa"/>
            <w:vAlign w:val="center"/>
          </w:tcPr>
          <w:p w14:paraId="0BB9FD4F" w14:textId="77777777" w:rsidR="009D4550" w:rsidRPr="00F43DDA" w:rsidRDefault="009D4550" w:rsidP="009D4550">
            <w:pPr>
              <w:rPr>
                <w:rFonts w:cs="Arial"/>
                <w:lang w:val="en-US" w:eastAsia="fr-FR"/>
              </w:rPr>
            </w:pPr>
            <w:r w:rsidRPr="00F43DDA">
              <w:rPr>
                <w:rFonts w:cs="Arial"/>
                <w:lang w:val="en-US" w:eastAsia="fr-FR"/>
              </w:rPr>
              <w:t>Oral absorption</w:t>
            </w:r>
          </w:p>
        </w:tc>
      </w:tr>
      <w:tr w:rsidR="009D4550" w:rsidRPr="00F43DDA" w14:paraId="3C2CF601" w14:textId="77777777" w:rsidTr="00F43DDA">
        <w:tc>
          <w:tcPr>
            <w:tcW w:w="1583" w:type="dxa"/>
            <w:vAlign w:val="center"/>
          </w:tcPr>
          <w:p w14:paraId="62669332" w14:textId="77777777" w:rsidR="009D4550" w:rsidRPr="00F43DDA" w:rsidRDefault="009D4550" w:rsidP="009D4550">
            <w:pPr>
              <w:rPr>
                <w:rFonts w:cs="Arial"/>
                <w:lang w:val="en-US" w:eastAsia="fr-FR"/>
              </w:rPr>
            </w:pPr>
            <w:r w:rsidRPr="00F43DDA">
              <w:rPr>
                <w:rFonts w:cs="Arial"/>
                <w:lang w:val="en-US" w:eastAsia="fr-FR"/>
              </w:rPr>
              <w:t>Cypermethrin</w:t>
            </w:r>
          </w:p>
        </w:tc>
        <w:tc>
          <w:tcPr>
            <w:tcW w:w="1502" w:type="dxa"/>
            <w:vAlign w:val="center"/>
          </w:tcPr>
          <w:p w14:paraId="1429C7FF" w14:textId="3E550ECE" w:rsidR="009D4550" w:rsidRPr="00B100F1" w:rsidRDefault="009D4550" w:rsidP="009D4550">
            <w:pPr>
              <w:rPr>
                <w:rFonts w:cs="Arial"/>
                <w:lang w:val="en-US" w:eastAsia="fr-FR"/>
              </w:rPr>
            </w:pPr>
            <w:r w:rsidRPr="00B100F1">
              <w:rPr>
                <w:rFonts w:cs="Arial"/>
                <w:lang w:val="en-US" w:eastAsia="fr-FR"/>
              </w:rPr>
              <w:t>0.08</w:t>
            </w:r>
          </w:p>
        </w:tc>
        <w:tc>
          <w:tcPr>
            <w:tcW w:w="1153" w:type="dxa"/>
            <w:vAlign w:val="center"/>
          </w:tcPr>
          <w:p w14:paraId="21EA4B85" w14:textId="77777777" w:rsidR="009D4550" w:rsidRPr="00F43DDA" w:rsidRDefault="009D4550" w:rsidP="009D4550">
            <w:pPr>
              <w:rPr>
                <w:rFonts w:cs="Arial"/>
                <w:lang w:val="en-US" w:eastAsia="fr-FR"/>
              </w:rPr>
            </w:pPr>
            <w:r w:rsidRPr="00F43DDA">
              <w:rPr>
                <w:rFonts w:cs="Arial"/>
                <w:lang w:val="en-US" w:eastAsia="fr-FR"/>
              </w:rPr>
              <w:t>416</w:t>
            </w:r>
          </w:p>
        </w:tc>
        <w:tc>
          <w:tcPr>
            <w:tcW w:w="1824" w:type="dxa"/>
            <w:vAlign w:val="center"/>
          </w:tcPr>
          <w:p w14:paraId="345FE48A" w14:textId="77777777" w:rsidR="00434364" w:rsidRPr="00F43DDA" w:rsidRDefault="009D4550" w:rsidP="009D4550">
            <w:pPr>
              <w:rPr>
                <w:rFonts w:cs="Arial"/>
                <w:lang w:val="en-US" w:eastAsia="fr-FR"/>
              </w:rPr>
            </w:pPr>
            <w:r w:rsidRPr="00F43DDA">
              <w:rPr>
                <w:rFonts w:cs="Arial"/>
                <w:lang w:val="en-US" w:eastAsia="fr-FR"/>
              </w:rPr>
              <w:t>2.3*10-7 (20°C)</w:t>
            </w:r>
          </w:p>
          <w:p w14:paraId="5DCF56F3" w14:textId="0ADC895E" w:rsidR="009D4550" w:rsidRPr="00F43DDA" w:rsidRDefault="009D4550" w:rsidP="009D4550">
            <w:pPr>
              <w:rPr>
                <w:rFonts w:cs="Arial"/>
                <w:lang w:val="en-US" w:eastAsia="fr-FR"/>
              </w:rPr>
            </w:pPr>
            <w:r w:rsidRPr="00F43DDA">
              <w:rPr>
                <w:rFonts w:cs="Arial"/>
                <w:lang w:val="en-US" w:eastAsia="fr-FR"/>
              </w:rPr>
              <w:t>6*10</w:t>
            </w:r>
            <w:r w:rsidRPr="00F43DDA">
              <w:rPr>
                <w:rFonts w:cs="Arial"/>
                <w:vertAlign w:val="superscript"/>
                <w:lang w:val="en-US" w:eastAsia="fr-FR"/>
              </w:rPr>
              <w:t xml:space="preserve">-7 </w:t>
            </w:r>
            <w:r w:rsidRPr="00F43DDA">
              <w:rPr>
                <w:rFonts w:cs="Arial"/>
                <w:lang w:val="en-US" w:eastAsia="fr-FR"/>
              </w:rPr>
              <w:t>(25°C)</w:t>
            </w:r>
          </w:p>
        </w:tc>
        <w:tc>
          <w:tcPr>
            <w:tcW w:w="1150" w:type="dxa"/>
            <w:vAlign w:val="center"/>
          </w:tcPr>
          <w:p w14:paraId="764799CA" w14:textId="77777777" w:rsidR="009D4550" w:rsidRPr="00F43DDA" w:rsidRDefault="009D4550" w:rsidP="009D4550">
            <w:pPr>
              <w:rPr>
                <w:rFonts w:cs="Arial"/>
                <w:lang w:val="en-US" w:eastAsia="fr-FR"/>
              </w:rPr>
            </w:pPr>
            <w:r w:rsidRPr="00F43DDA">
              <w:rPr>
                <w:rFonts w:cs="Arial"/>
                <w:lang w:val="en-US" w:eastAsia="fr-FR"/>
              </w:rPr>
              <w:t>100%</w:t>
            </w:r>
          </w:p>
        </w:tc>
        <w:tc>
          <w:tcPr>
            <w:tcW w:w="1150" w:type="dxa"/>
            <w:vAlign w:val="center"/>
          </w:tcPr>
          <w:p w14:paraId="33E3E1B4" w14:textId="77777777" w:rsidR="009D4550" w:rsidRPr="00F43DDA" w:rsidRDefault="009D4550" w:rsidP="009D4550">
            <w:pPr>
              <w:rPr>
                <w:rFonts w:cs="Arial"/>
                <w:lang w:val="en-US" w:eastAsia="fr-FR"/>
              </w:rPr>
            </w:pPr>
            <w:r w:rsidRPr="00F43DDA">
              <w:rPr>
                <w:rFonts w:cs="Arial"/>
                <w:lang w:val="en-US" w:eastAsia="fr-FR"/>
              </w:rPr>
              <w:t>36%</w:t>
            </w:r>
          </w:p>
        </w:tc>
        <w:tc>
          <w:tcPr>
            <w:tcW w:w="1527" w:type="dxa"/>
            <w:vAlign w:val="center"/>
          </w:tcPr>
          <w:p w14:paraId="48569207" w14:textId="77777777" w:rsidR="009D4550" w:rsidRPr="00F43DDA" w:rsidRDefault="009D4550" w:rsidP="009D4550">
            <w:pPr>
              <w:rPr>
                <w:rFonts w:cs="Arial"/>
                <w:lang w:val="en-US" w:eastAsia="fr-FR"/>
              </w:rPr>
            </w:pPr>
            <w:r w:rsidRPr="00F43DDA">
              <w:rPr>
                <w:rFonts w:cs="Arial"/>
                <w:lang w:val="en-US" w:eastAsia="fr-FR"/>
              </w:rPr>
              <w:t>57%</w:t>
            </w:r>
          </w:p>
        </w:tc>
      </w:tr>
      <w:tr w:rsidR="009D4550" w:rsidRPr="00F43DDA" w14:paraId="4469F4E5" w14:textId="77777777" w:rsidTr="00F43DDA">
        <w:tc>
          <w:tcPr>
            <w:tcW w:w="1583" w:type="dxa"/>
            <w:vAlign w:val="center"/>
          </w:tcPr>
          <w:p w14:paraId="23E64793" w14:textId="77777777" w:rsidR="009D4550" w:rsidRPr="00F43DDA" w:rsidRDefault="009D4550" w:rsidP="009D4550">
            <w:pPr>
              <w:rPr>
                <w:rFonts w:cs="Arial"/>
                <w:lang w:val="en-US" w:eastAsia="fr-FR"/>
              </w:rPr>
            </w:pPr>
            <w:r w:rsidRPr="00F43DDA">
              <w:rPr>
                <w:rFonts w:cs="Arial"/>
                <w:lang w:val="en-US" w:eastAsia="fr-FR"/>
              </w:rPr>
              <w:t>Tebuconazole</w:t>
            </w:r>
          </w:p>
        </w:tc>
        <w:tc>
          <w:tcPr>
            <w:tcW w:w="1502" w:type="dxa"/>
            <w:vAlign w:val="center"/>
          </w:tcPr>
          <w:p w14:paraId="5454A99E" w14:textId="77777777" w:rsidR="009D4550" w:rsidRPr="00B100F1" w:rsidRDefault="009D4550" w:rsidP="009D4550">
            <w:pPr>
              <w:rPr>
                <w:rFonts w:cs="Arial"/>
                <w:lang w:val="en-US" w:eastAsia="fr-FR"/>
              </w:rPr>
            </w:pPr>
            <w:r w:rsidRPr="00B100F1">
              <w:rPr>
                <w:rFonts w:cs="Arial"/>
                <w:lang w:val="en-US" w:eastAsia="fr-FR"/>
              </w:rPr>
              <w:t>0.05</w:t>
            </w:r>
          </w:p>
        </w:tc>
        <w:tc>
          <w:tcPr>
            <w:tcW w:w="1153" w:type="dxa"/>
            <w:vAlign w:val="center"/>
          </w:tcPr>
          <w:p w14:paraId="4EFBFCB9" w14:textId="77777777" w:rsidR="009D4550" w:rsidRPr="00F43DDA" w:rsidRDefault="009D4550" w:rsidP="009D4550">
            <w:pPr>
              <w:rPr>
                <w:rFonts w:cs="Arial"/>
                <w:lang w:val="en-US" w:eastAsia="fr-FR"/>
              </w:rPr>
            </w:pPr>
            <w:r w:rsidRPr="00F43DDA">
              <w:rPr>
                <w:rFonts w:cs="Arial"/>
                <w:lang w:val="en-US" w:eastAsia="fr-FR"/>
              </w:rPr>
              <w:t>308</w:t>
            </w:r>
          </w:p>
        </w:tc>
        <w:tc>
          <w:tcPr>
            <w:tcW w:w="1824" w:type="dxa"/>
            <w:vAlign w:val="center"/>
          </w:tcPr>
          <w:p w14:paraId="341B1562" w14:textId="77777777" w:rsidR="009D4550" w:rsidRPr="00F43DDA" w:rsidRDefault="009D4550" w:rsidP="009D4550">
            <w:pPr>
              <w:rPr>
                <w:rFonts w:cs="Arial"/>
                <w:lang w:val="en-US" w:eastAsia="fr-FR"/>
              </w:rPr>
            </w:pPr>
            <w:r w:rsidRPr="00F43DDA">
              <w:rPr>
                <w:rFonts w:cs="Arial"/>
                <w:lang w:val="en-US" w:eastAsia="fr-FR"/>
              </w:rPr>
              <w:t>1.7*10</w:t>
            </w:r>
            <w:r w:rsidRPr="00F43DDA">
              <w:rPr>
                <w:rFonts w:cs="Arial"/>
                <w:vertAlign w:val="superscript"/>
                <w:lang w:val="en-US" w:eastAsia="fr-FR"/>
              </w:rPr>
              <w:t>-6</w:t>
            </w:r>
          </w:p>
        </w:tc>
        <w:tc>
          <w:tcPr>
            <w:tcW w:w="1150" w:type="dxa"/>
            <w:vAlign w:val="center"/>
          </w:tcPr>
          <w:p w14:paraId="0E1011B8" w14:textId="77777777" w:rsidR="009D4550" w:rsidRPr="00F43DDA" w:rsidRDefault="009D4550" w:rsidP="009D4550">
            <w:pPr>
              <w:rPr>
                <w:rFonts w:cs="Arial"/>
                <w:lang w:val="en-US" w:eastAsia="fr-FR"/>
              </w:rPr>
            </w:pPr>
            <w:r w:rsidRPr="00F43DDA">
              <w:rPr>
                <w:rFonts w:cs="Arial"/>
                <w:lang w:val="en-US" w:eastAsia="fr-FR"/>
              </w:rPr>
              <w:t>100%</w:t>
            </w:r>
          </w:p>
        </w:tc>
        <w:tc>
          <w:tcPr>
            <w:tcW w:w="1150" w:type="dxa"/>
            <w:vAlign w:val="center"/>
          </w:tcPr>
          <w:p w14:paraId="19846D67" w14:textId="77777777" w:rsidR="009D4550" w:rsidRPr="00F43DDA" w:rsidRDefault="009D4550" w:rsidP="009D4550">
            <w:pPr>
              <w:rPr>
                <w:rFonts w:cs="Arial"/>
                <w:lang w:val="en-US" w:eastAsia="fr-FR"/>
              </w:rPr>
            </w:pPr>
            <w:r w:rsidRPr="00F43DDA">
              <w:rPr>
                <w:rFonts w:cs="Arial"/>
                <w:lang w:val="en-US" w:eastAsia="fr-FR"/>
              </w:rPr>
              <w:t>31%</w:t>
            </w:r>
          </w:p>
        </w:tc>
        <w:tc>
          <w:tcPr>
            <w:tcW w:w="1527" w:type="dxa"/>
            <w:vAlign w:val="center"/>
          </w:tcPr>
          <w:p w14:paraId="0865CCAE" w14:textId="77777777" w:rsidR="009D4550" w:rsidRPr="00F43DDA" w:rsidRDefault="009D4550" w:rsidP="009D4550">
            <w:pPr>
              <w:rPr>
                <w:rFonts w:cs="Arial"/>
                <w:lang w:val="en-US" w:eastAsia="fr-FR"/>
              </w:rPr>
            </w:pPr>
            <w:r w:rsidRPr="00F43DDA">
              <w:rPr>
                <w:rFonts w:cs="Arial"/>
                <w:lang w:val="en-US" w:eastAsia="fr-FR"/>
              </w:rPr>
              <w:t xml:space="preserve"> 100%</w:t>
            </w:r>
          </w:p>
        </w:tc>
      </w:tr>
      <w:tr w:rsidR="009D4550" w:rsidRPr="00F43DDA" w14:paraId="264A48F0" w14:textId="77777777" w:rsidTr="00F43DDA">
        <w:tc>
          <w:tcPr>
            <w:tcW w:w="1583" w:type="dxa"/>
            <w:vAlign w:val="center"/>
          </w:tcPr>
          <w:p w14:paraId="2FE4CC2F" w14:textId="77777777" w:rsidR="009D4550" w:rsidRPr="00F43DDA" w:rsidRDefault="009D4550" w:rsidP="009D4550">
            <w:pPr>
              <w:rPr>
                <w:rFonts w:cs="Arial"/>
                <w:lang w:val="en-US" w:eastAsia="fr-FR"/>
              </w:rPr>
            </w:pPr>
            <w:r w:rsidRPr="00F43DDA">
              <w:rPr>
                <w:rFonts w:cs="Arial"/>
                <w:lang w:val="en-US" w:eastAsia="fr-FR"/>
              </w:rPr>
              <w:t>Propiconazole</w:t>
            </w:r>
          </w:p>
        </w:tc>
        <w:tc>
          <w:tcPr>
            <w:tcW w:w="1502" w:type="dxa"/>
            <w:vAlign w:val="center"/>
          </w:tcPr>
          <w:p w14:paraId="7779FC7D" w14:textId="6025C455" w:rsidR="009D4550" w:rsidRPr="00B100F1" w:rsidRDefault="009D4550" w:rsidP="009D4550">
            <w:pPr>
              <w:rPr>
                <w:rFonts w:cs="Arial"/>
                <w:lang w:val="en-US" w:eastAsia="fr-FR"/>
              </w:rPr>
            </w:pPr>
            <w:r w:rsidRPr="00B100F1">
              <w:rPr>
                <w:rFonts w:cs="Arial"/>
                <w:lang w:val="en-US" w:eastAsia="fr-FR"/>
              </w:rPr>
              <w:t>0.16</w:t>
            </w:r>
          </w:p>
        </w:tc>
        <w:tc>
          <w:tcPr>
            <w:tcW w:w="1153" w:type="dxa"/>
            <w:vAlign w:val="center"/>
          </w:tcPr>
          <w:p w14:paraId="1DD84A50" w14:textId="77777777" w:rsidR="009D4550" w:rsidRPr="00F43DDA" w:rsidRDefault="009D4550" w:rsidP="009D4550">
            <w:pPr>
              <w:rPr>
                <w:rFonts w:cs="Arial"/>
                <w:lang w:val="en-US" w:eastAsia="fr-FR"/>
              </w:rPr>
            </w:pPr>
            <w:r w:rsidRPr="00F43DDA">
              <w:rPr>
                <w:rFonts w:cs="Arial"/>
                <w:lang w:val="en-US" w:eastAsia="fr-FR"/>
              </w:rPr>
              <w:t>342</w:t>
            </w:r>
          </w:p>
        </w:tc>
        <w:tc>
          <w:tcPr>
            <w:tcW w:w="1824" w:type="dxa"/>
            <w:vAlign w:val="center"/>
          </w:tcPr>
          <w:p w14:paraId="0DA79F21" w14:textId="77777777" w:rsidR="009D4550" w:rsidRPr="00F43DDA" w:rsidRDefault="009D4550" w:rsidP="009D4550">
            <w:pPr>
              <w:rPr>
                <w:rFonts w:cs="Arial"/>
                <w:lang w:val="en-US" w:eastAsia="fr-FR"/>
              </w:rPr>
            </w:pPr>
            <w:r w:rsidRPr="00F43DDA">
              <w:rPr>
                <w:rFonts w:cs="Arial"/>
                <w:lang w:val="en-US" w:eastAsia="fr-FR"/>
              </w:rPr>
              <w:t>5.6*10</w:t>
            </w:r>
            <w:r w:rsidRPr="00F43DDA">
              <w:rPr>
                <w:rFonts w:cs="Arial"/>
                <w:vertAlign w:val="superscript"/>
                <w:lang w:val="en-US" w:eastAsia="fr-FR"/>
              </w:rPr>
              <w:t>-5</w:t>
            </w:r>
          </w:p>
        </w:tc>
        <w:tc>
          <w:tcPr>
            <w:tcW w:w="1150" w:type="dxa"/>
            <w:vAlign w:val="center"/>
          </w:tcPr>
          <w:p w14:paraId="72907413" w14:textId="77777777" w:rsidR="009D4550" w:rsidRPr="00F43DDA" w:rsidRDefault="009D4550" w:rsidP="009D4550">
            <w:pPr>
              <w:rPr>
                <w:rFonts w:cs="Arial"/>
                <w:lang w:val="en-US" w:eastAsia="fr-FR"/>
              </w:rPr>
            </w:pPr>
            <w:r w:rsidRPr="00F43DDA">
              <w:rPr>
                <w:rFonts w:cs="Arial"/>
                <w:lang w:val="en-US" w:eastAsia="fr-FR"/>
              </w:rPr>
              <w:t>100%</w:t>
            </w:r>
          </w:p>
        </w:tc>
        <w:tc>
          <w:tcPr>
            <w:tcW w:w="1150" w:type="dxa"/>
            <w:vAlign w:val="center"/>
          </w:tcPr>
          <w:p w14:paraId="2AC1FADC" w14:textId="77777777" w:rsidR="009D4550" w:rsidRPr="00F43DDA" w:rsidRDefault="009D4550" w:rsidP="009D4550">
            <w:pPr>
              <w:rPr>
                <w:rFonts w:cs="Arial"/>
                <w:lang w:val="en-US" w:eastAsia="fr-FR"/>
              </w:rPr>
            </w:pPr>
            <w:r w:rsidRPr="00F43DDA">
              <w:rPr>
                <w:rFonts w:cs="Arial"/>
                <w:lang w:val="en-US" w:eastAsia="fr-FR"/>
              </w:rPr>
              <w:t>26%</w:t>
            </w:r>
          </w:p>
        </w:tc>
        <w:tc>
          <w:tcPr>
            <w:tcW w:w="1527" w:type="dxa"/>
            <w:vAlign w:val="center"/>
          </w:tcPr>
          <w:p w14:paraId="11E8AD3A" w14:textId="498E912C" w:rsidR="009D4550" w:rsidRPr="00F43DDA" w:rsidRDefault="009D4550">
            <w:pPr>
              <w:rPr>
                <w:rFonts w:cs="Arial"/>
                <w:lang w:val="en-US" w:eastAsia="fr-FR"/>
              </w:rPr>
            </w:pPr>
            <w:r w:rsidRPr="00F43DDA">
              <w:rPr>
                <w:rFonts w:cs="Arial"/>
                <w:lang w:val="en-US" w:eastAsia="fr-FR"/>
              </w:rPr>
              <w:t>86%</w:t>
            </w:r>
            <w:r w:rsidR="00434364" w:rsidRPr="00F43DDA">
              <w:rPr>
                <w:rFonts w:cs="Arial"/>
                <w:lang w:val="en-US" w:eastAsia="fr-FR"/>
              </w:rPr>
              <w:t xml:space="preserve"> </w:t>
            </w:r>
            <w:r w:rsidRPr="00F43DDA">
              <w:rPr>
                <w:rFonts w:cs="Arial"/>
                <w:lang w:val="en-US" w:eastAsia="fr-FR"/>
              </w:rPr>
              <w:t>(100%)</w:t>
            </w:r>
          </w:p>
        </w:tc>
      </w:tr>
      <w:tr w:rsidR="009D4550" w:rsidRPr="00F43DDA" w14:paraId="6F1F4657" w14:textId="77777777" w:rsidTr="00F43DDA">
        <w:tc>
          <w:tcPr>
            <w:tcW w:w="1583" w:type="dxa"/>
            <w:vAlign w:val="center"/>
          </w:tcPr>
          <w:p w14:paraId="0ADCE1E1" w14:textId="77777777" w:rsidR="009D4550" w:rsidRPr="00F43DDA" w:rsidRDefault="009D4550" w:rsidP="009D4550">
            <w:pPr>
              <w:rPr>
                <w:rFonts w:cs="Arial"/>
                <w:lang w:val="en-US" w:eastAsia="fr-FR"/>
              </w:rPr>
            </w:pPr>
            <w:r w:rsidRPr="00F43DDA">
              <w:rPr>
                <w:rFonts w:cs="Arial"/>
                <w:lang w:val="en-US" w:eastAsia="fr-FR"/>
              </w:rPr>
              <w:t>IPBC</w:t>
            </w:r>
          </w:p>
        </w:tc>
        <w:tc>
          <w:tcPr>
            <w:tcW w:w="1502" w:type="dxa"/>
            <w:vAlign w:val="center"/>
          </w:tcPr>
          <w:p w14:paraId="56D21B2D" w14:textId="77777777" w:rsidR="009D4550" w:rsidRPr="00B100F1" w:rsidRDefault="009D4550" w:rsidP="009D4550">
            <w:pPr>
              <w:rPr>
                <w:rFonts w:cs="Arial"/>
                <w:lang w:val="en-US" w:eastAsia="fr-FR"/>
              </w:rPr>
            </w:pPr>
            <w:r w:rsidRPr="00B100F1">
              <w:rPr>
                <w:rFonts w:cs="Arial"/>
                <w:lang w:val="en-US" w:eastAsia="fr-FR"/>
              </w:rPr>
              <w:t>0.05</w:t>
            </w:r>
          </w:p>
          <w:p w14:paraId="55696E27" w14:textId="77777777" w:rsidR="009D4550" w:rsidRPr="00B100F1" w:rsidRDefault="009D4550" w:rsidP="009D4550">
            <w:pPr>
              <w:rPr>
                <w:rFonts w:cs="Arial"/>
                <w:lang w:val="en-US" w:eastAsia="fr-FR"/>
              </w:rPr>
            </w:pPr>
          </w:p>
        </w:tc>
        <w:tc>
          <w:tcPr>
            <w:tcW w:w="1153" w:type="dxa"/>
            <w:vAlign w:val="center"/>
          </w:tcPr>
          <w:p w14:paraId="48B3C215" w14:textId="77777777" w:rsidR="009D4550" w:rsidRPr="00F43DDA" w:rsidRDefault="009D4550" w:rsidP="009D4550">
            <w:pPr>
              <w:rPr>
                <w:rFonts w:cs="Arial"/>
                <w:lang w:val="en-US" w:eastAsia="fr-FR"/>
              </w:rPr>
            </w:pPr>
            <w:r w:rsidRPr="00F43DDA">
              <w:rPr>
                <w:rFonts w:cs="Arial"/>
                <w:lang w:val="en-US" w:eastAsia="fr-FR"/>
              </w:rPr>
              <w:t>281</w:t>
            </w:r>
          </w:p>
        </w:tc>
        <w:tc>
          <w:tcPr>
            <w:tcW w:w="1824" w:type="dxa"/>
            <w:vAlign w:val="center"/>
          </w:tcPr>
          <w:p w14:paraId="33297965" w14:textId="77777777" w:rsidR="009D4550" w:rsidRPr="00F43DDA" w:rsidRDefault="009D4550" w:rsidP="009D4550">
            <w:pPr>
              <w:rPr>
                <w:rFonts w:cs="Arial"/>
                <w:lang w:val="en-US" w:eastAsia="fr-FR"/>
              </w:rPr>
            </w:pPr>
            <w:r w:rsidRPr="00F43DDA">
              <w:rPr>
                <w:rFonts w:cs="Arial"/>
                <w:lang w:val="en-US" w:eastAsia="fr-FR"/>
              </w:rPr>
              <w:t>2,36-4,5 *10-3</w:t>
            </w:r>
          </w:p>
        </w:tc>
        <w:tc>
          <w:tcPr>
            <w:tcW w:w="1150" w:type="dxa"/>
            <w:vAlign w:val="center"/>
          </w:tcPr>
          <w:p w14:paraId="5922E265" w14:textId="77777777" w:rsidR="009D4550" w:rsidRPr="00F43DDA" w:rsidRDefault="009D4550" w:rsidP="009D4550">
            <w:pPr>
              <w:rPr>
                <w:rFonts w:cs="Arial"/>
                <w:lang w:val="en-US" w:eastAsia="fr-FR"/>
              </w:rPr>
            </w:pPr>
            <w:r w:rsidRPr="00F43DDA">
              <w:rPr>
                <w:rFonts w:cs="Arial"/>
                <w:lang w:val="en-US" w:eastAsia="fr-FR"/>
              </w:rPr>
              <w:t>100%</w:t>
            </w:r>
          </w:p>
        </w:tc>
        <w:tc>
          <w:tcPr>
            <w:tcW w:w="1150" w:type="dxa"/>
            <w:vAlign w:val="center"/>
          </w:tcPr>
          <w:p w14:paraId="2A541A34" w14:textId="77777777" w:rsidR="009D4550" w:rsidRPr="00F43DDA" w:rsidRDefault="009D4550" w:rsidP="009D4550">
            <w:pPr>
              <w:rPr>
                <w:rFonts w:cs="Arial"/>
                <w:lang w:val="en-US" w:eastAsia="fr-FR"/>
              </w:rPr>
            </w:pPr>
            <w:r w:rsidRPr="00F43DDA">
              <w:rPr>
                <w:rFonts w:cs="Arial"/>
                <w:lang w:val="en-US" w:eastAsia="fr-FR"/>
              </w:rPr>
              <w:t>75%</w:t>
            </w:r>
          </w:p>
        </w:tc>
        <w:tc>
          <w:tcPr>
            <w:tcW w:w="1527" w:type="dxa"/>
            <w:vAlign w:val="center"/>
          </w:tcPr>
          <w:p w14:paraId="396EEA4C" w14:textId="04C8B8C9" w:rsidR="009D4550" w:rsidRPr="00F43DDA" w:rsidRDefault="009D4550">
            <w:pPr>
              <w:rPr>
                <w:rFonts w:cs="Arial"/>
                <w:lang w:val="en-US" w:eastAsia="fr-FR"/>
              </w:rPr>
            </w:pPr>
            <w:r w:rsidRPr="00F43DDA">
              <w:rPr>
                <w:rFonts w:cs="Arial"/>
                <w:lang w:val="en-US" w:eastAsia="fr-FR"/>
              </w:rPr>
              <w:t>&gt;90%</w:t>
            </w:r>
            <w:r w:rsidR="00434364" w:rsidRPr="00F43DDA">
              <w:rPr>
                <w:rFonts w:cs="Arial"/>
                <w:lang w:val="en-US" w:eastAsia="fr-FR"/>
              </w:rPr>
              <w:t xml:space="preserve"> (</w:t>
            </w:r>
            <w:r w:rsidRPr="00F43DDA">
              <w:rPr>
                <w:rFonts w:cs="Arial"/>
                <w:lang w:val="en-US" w:eastAsia="fr-FR"/>
              </w:rPr>
              <w:t>100%)</w:t>
            </w:r>
          </w:p>
        </w:tc>
      </w:tr>
    </w:tbl>
    <w:p w14:paraId="1DDA648E" w14:textId="77777777" w:rsidR="009D4550" w:rsidRPr="00F43DDA" w:rsidRDefault="009D4550" w:rsidP="009D4550"/>
    <w:p w14:paraId="5E505342" w14:textId="77777777" w:rsidR="009D4550" w:rsidRPr="002131ED" w:rsidRDefault="009D4550" w:rsidP="009D4550">
      <w:pPr>
        <w:rPr>
          <w:rFonts w:ascii="Arial" w:hAnsi="Arial" w:cs="Arial"/>
        </w:rPr>
      </w:pPr>
    </w:p>
    <w:p w14:paraId="4A96E33E" w14:textId="77777777" w:rsidR="009D4550" w:rsidRDefault="009D4550" w:rsidP="009D4550">
      <w:pPr>
        <w:pStyle w:val="Titre5"/>
        <w:spacing w:before="240"/>
        <w:rPr>
          <w:lang w:val="en-US"/>
        </w:rPr>
      </w:pPr>
      <w:bookmarkStart w:id="108" w:name="_Ref246312412"/>
      <w:bookmarkStart w:id="109" w:name="_Toc253495074"/>
      <w:r w:rsidRPr="00FE333D">
        <w:rPr>
          <w:lang w:val="en-US"/>
        </w:rPr>
        <w:t>Direct exposure as a result of use of the active substance in biocidal product</w:t>
      </w:r>
    </w:p>
    <w:p w14:paraId="6BC722C4" w14:textId="74FAE84F" w:rsidR="00DE016A" w:rsidRPr="00B7552D" w:rsidRDefault="00DE016A" w:rsidP="00B7552D">
      <w:pPr>
        <w:pStyle w:val="Absatz"/>
        <w:ind w:left="0"/>
        <w:rPr>
          <w:rFonts w:cs="Arial"/>
          <w:lang w:val="en-US" w:eastAsia="fr-FR"/>
        </w:rPr>
      </w:pPr>
      <w:r w:rsidRPr="00B7552D">
        <w:rPr>
          <w:rFonts w:ascii="Verdana" w:hAnsi="Verdana" w:cs="Arial"/>
          <w:lang w:val="en-US" w:eastAsia="fr-FR"/>
        </w:rPr>
        <w:t>Industrial, professional and non-professional uses are claimed.</w:t>
      </w:r>
    </w:p>
    <w:p w14:paraId="6D3115DC" w14:textId="77777777" w:rsidR="00845150" w:rsidRDefault="00845150" w:rsidP="00B7552D">
      <w:pPr>
        <w:pStyle w:val="Absatz"/>
        <w:ind w:left="0"/>
        <w:rPr>
          <w:rFonts w:cs="Arial"/>
          <w:lang w:val="en-US" w:eastAsia="fr-FR"/>
        </w:rPr>
      </w:pPr>
    </w:p>
    <w:p w14:paraId="6FFA6B7F" w14:textId="521BCBD6" w:rsidR="00DE016A" w:rsidRPr="00B7552D" w:rsidRDefault="00DE016A" w:rsidP="00B7552D">
      <w:pPr>
        <w:pStyle w:val="Absatz"/>
        <w:ind w:left="0"/>
        <w:rPr>
          <w:rFonts w:cs="Arial"/>
          <w:lang w:val="en-US" w:eastAsia="fr-FR"/>
        </w:rPr>
      </w:pPr>
      <w:r w:rsidRPr="00B7552D">
        <w:rPr>
          <w:rFonts w:ascii="Verdana" w:hAnsi="Verdana" w:cs="Arial"/>
          <w:lang w:val="en-US" w:eastAsia="fr-FR"/>
        </w:rPr>
        <w:t>Industrial:</w:t>
      </w:r>
    </w:p>
    <w:p w14:paraId="58AF2498" w14:textId="2FF36332" w:rsidR="00DE016A" w:rsidRPr="00B7552D" w:rsidRDefault="00DE016A" w:rsidP="00B7552D">
      <w:pPr>
        <w:pStyle w:val="Absatz"/>
        <w:numPr>
          <w:ilvl w:val="0"/>
          <w:numId w:val="22"/>
        </w:numPr>
        <w:rPr>
          <w:rFonts w:cs="Arial"/>
          <w:lang w:val="en-US" w:eastAsia="fr-FR"/>
        </w:rPr>
      </w:pPr>
      <w:r w:rsidRPr="00B7552D">
        <w:rPr>
          <w:rFonts w:ascii="Verdana" w:hAnsi="Verdana" w:cs="Arial"/>
          <w:lang w:val="en-US" w:eastAsia="fr-FR"/>
        </w:rPr>
        <w:t>Automated dipping</w:t>
      </w:r>
      <w:r w:rsidR="00845150" w:rsidRPr="00845150">
        <w:rPr>
          <w:rFonts w:cs="Arial"/>
          <w:lang w:val="en-US" w:eastAsia="fr-FR"/>
        </w:rPr>
        <w:t xml:space="preserve"> </w:t>
      </w:r>
      <w:r w:rsidR="00845150">
        <w:rPr>
          <w:rFonts w:cs="Arial"/>
          <w:lang w:val="en-US" w:eastAsia="fr-FR"/>
        </w:rPr>
        <w:t>(</w:t>
      </w:r>
      <w:r w:rsidR="00845150" w:rsidRPr="00275290">
        <w:rPr>
          <w:rFonts w:cs="Arial"/>
          <w:lang w:val="en-US" w:eastAsia="fr-FR"/>
        </w:rPr>
        <w:t>an application dose of 200 g/m</w:t>
      </w:r>
      <w:r w:rsidR="00845150" w:rsidRPr="00B7552D">
        <w:rPr>
          <w:rFonts w:cs="Arial"/>
          <w:vertAlign w:val="superscript"/>
          <w:lang w:val="en-US" w:eastAsia="fr-FR"/>
        </w:rPr>
        <w:t>2</w:t>
      </w:r>
      <w:r w:rsidR="00845150">
        <w:rPr>
          <w:rFonts w:cs="Arial"/>
          <w:lang w:val="en-US" w:eastAsia="fr-FR"/>
        </w:rPr>
        <w:t>)</w:t>
      </w:r>
    </w:p>
    <w:p w14:paraId="1BECF99F" w14:textId="77777777" w:rsidR="00845150" w:rsidRDefault="00845150" w:rsidP="00B7552D">
      <w:pPr>
        <w:pStyle w:val="Absatz"/>
        <w:ind w:left="0"/>
        <w:rPr>
          <w:rFonts w:cs="Arial"/>
          <w:lang w:val="en-US" w:eastAsia="fr-FR"/>
        </w:rPr>
      </w:pPr>
    </w:p>
    <w:p w14:paraId="6115F589" w14:textId="3EAF4CE5" w:rsidR="00DE016A" w:rsidRPr="00B7552D" w:rsidRDefault="00DE016A" w:rsidP="00B7552D">
      <w:pPr>
        <w:pStyle w:val="Absatz"/>
        <w:ind w:left="0"/>
        <w:rPr>
          <w:rFonts w:cs="Arial"/>
          <w:lang w:val="en-US" w:eastAsia="fr-FR"/>
        </w:rPr>
      </w:pPr>
      <w:r w:rsidRPr="00B7552D">
        <w:rPr>
          <w:rFonts w:ascii="Verdana" w:hAnsi="Verdana" w:cs="Arial"/>
          <w:lang w:val="en-US" w:eastAsia="fr-FR"/>
        </w:rPr>
        <w:lastRenderedPageBreak/>
        <w:t>Professional:</w:t>
      </w:r>
    </w:p>
    <w:p w14:paraId="0BC81244" w14:textId="4AB37639" w:rsidR="00845150" w:rsidRDefault="00845150" w:rsidP="00B7552D">
      <w:pPr>
        <w:pStyle w:val="Paragraphedeliste"/>
        <w:numPr>
          <w:ilvl w:val="0"/>
          <w:numId w:val="22"/>
        </w:numPr>
        <w:rPr>
          <w:rFonts w:cs="Arial"/>
          <w:lang w:val="en-US" w:eastAsia="fr-FR"/>
        </w:rPr>
      </w:pPr>
      <w:r w:rsidRPr="00845150">
        <w:rPr>
          <w:rFonts w:cs="Arial"/>
          <w:lang w:val="en-US" w:eastAsia="fr-FR"/>
        </w:rPr>
        <w:t xml:space="preserve">Brushing </w:t>
      </w:r>
      <w:r>
        <w:rPr>
          <w:rFonts w:cs="Arial"/>
          <w:lang w:val="en-US" w:eastAsia="fr-FR"/>
        </w:rPr>
        <w:t>(</w:t>
      </w:r>
      <w:r w:rsidRPr="00845150">
        <w:rPr>
          <w:rFonts w:cs="Arial"/>
          <w:lang w:val="en-US" w:eastAsia="fr-FR"/>
        </w:rPr>
        <w:t>an application dose of 200 g/m</w:t>
      </w:r>
      <w:r w:rsidRPr="00845150">
        <w:rPr>
          <w:rFonts w:cs="Arial"/>
          <w:vertAlign w:val="superscript"/>
          <w:lang w:val="en-US" w:eastAsia="fr-FR"/>
        </w:rPr>
        <w:t>2</w:t>
      </w:r>
      <w:r w:rsidRPr="00845150">
        <w:rPr>
          <w:rFonts w:cs="Arial"/>
          <w:lang w:val="en-US" w:eastAsia="fr-FR"/>
        </w:rPr>
        <w:t xml:space="preserve"> for preventive treatment and 300 g/m</w:t>
      </w:r>
      <w:r w:rsidRPr="00845150">
        <w:rPr>
          <w:rFonts w:cs="Arial"/>
          <w:vertAlign w:val="superscript"/>
          <w:lang w:val="en-US" w:eastAsia="fr-FR"/>
        </w:rPr>
        <w:t>2</w:t>
      </w:r>
      <w:r w:rsidRPr="00845150">
        <w:rPr>
          <w:rFonts w:cs="Arial"/>
          <w:lang w:val="en-US" w:eastAsia="fr-FR"/>
        </w:rPr>
        <w:t xml:space="preserve"> for curative treatment</w:t>
      </w:r>
      <w:r>
        <w:rPr>
          <w:rFonts w:cs="Arial"/>
          <w:lang w:val="en-US" w:eastAsia="fr-FR"/>
        </w:rPr>
        <w:t>)</w:t>
      </w:r>
    </w:p>
    <w:p w14:paraId="4AD91A7C" w14:textId="77777777" w:rsidR="00845150" w:rsidRDefault="00845150" w:rsidP="00B7552D">
      <w:pPr>
        <w:pStyle w:val="Paragraphedeliste"/>
        <w:numPr>
          <w:ilvl w:val="0"/>
          <w:numId w:val="22"/>
        </w:numPr>
        <w:rPr>
          <w:rFonts w:cs="Arial"/>
          <w:lang w:val="en-US" w:eastAsia="fr-FR"/>
        </w:rPr>
      </w:pPr>
      <w:r>
        <w:rPr>
          <w:rFonts w:cs="Arial"/>
          <w:lang w:val="en-US" w:eastAsia="fr-FR"/>
        </w:rPr>
        <w:t>Spraying (</w:t>
      </w:r>
      <w:r w:rsidRPr="00845150">
        <w:rPr>
          <w:rFonts w:cs="Arial"/>
          <w:lang w:val="en-US" w:eastAsia="fr-FR"/>
        </w:rPr>
        <w:t>an application dose of 200 g/m</w:t>
      </w:r>
      <w:r w:rsidRPr="00845150">
        <w:rPr>
          <w:rFonts w:cs="Arial"/>
          <w:vertAlign w:val="superscript"/>
          <w:lang w:val="en-US" w:eastAsia="fr-FR"/>
        </w:rPr>
        <w:t>2</w:t>
      </w:r>
      <w:r w:rsidRPr="00845150">
        <w:rPr>
          <w:rFonts w:cs="Arial"/>
          <w:lang w:val="en-US" w:eastAsia="fr-FR"/>
        </w:rPr>
        <w:t xml:space="preserve"> for preventive treatment and 300 g/m</w:t>
      </w:r>
      <w:r w:rsidRPr="00845150">
        <w:rPr>
          <w:rFonts w:cs="Arial"/>
          <w:vertAlign w:val="superscript"/>
          <w:lang w:val="en-US" w:eastAsia="fr-FR"/>
        </w:rPr>
        <w:t>2</w:t>
      </w:r>
      <w:r w:rsidRPr="00845150">
        <w:rPr>
          <w:rFonts w:cs="Arial"/>
          <w:lang w:val="en-US" w:eastAsia="fr-FR"/>
        </w:rPr>
        <w:t xml:space="preserve"> for curative treatment</w:t>
      </w:r>
      <w:r>
        <w:rPr>
          <w:rFonts w:cs="Arial"/>
          <w:lang w:val="en-US" w:eastAsia="fr-FR"/>
        </w:rPr>
        <w:t>)</w:t>
      </w:r>
      <w:r w:rsidRPr="00845150">
        <w:rPr>
          <w:rFonts w:cs="Arial"/>
          <w:lang w:val="en-US" w:eastAsia="fr-FR"/>
        </w:rPr>
        <w:t xml:space="preserve">. </w:t>
      </w:r>
    </w:p>
    <w:p w14:paraId="2A23D204" w14:textId="3C5C3059" w:rsidR="00845150" w:rsidRPr="00845150" w:rsidRDefault="00845150" w:rsidP="00B7552D">
      <w:pPr>
        <w:pStyle w:val="Paragraphedeliste"/>
        <w:numPr>
          <w:ilvl w:val="0"/>
          <w:numId w:val="22"/>
        </w:numPr>
        <w:rPr>
          <w:rFonts w:cs="Arial"/>
          <w:lang w:val="en-US" w:eastAsia="fr-FR"/>
        </w:rPr>
      </w:pPr>
      <w:r w:rsidRPr="00845150">
        <w:rPr>
          <w:rFonts w:cs="Arial"/>
          <w:lang w:val="en-US" w:eastAsia="fr-FR"/>
        </w:rPr>
        <w:t>Injection</w:t>
      </w:r>
      <w:r>
        <w:rPr>
          <w:rFonts w:cs="Arial"/>
          <w:lang w:val="en-US" w:eastAsia="fr-FR"/>
        </w:rPr>
        <w:t xml:space="preserve"> </w:t>
      </w:r>
      <w:r w:rsidRPr="00845150">
        <w:rPr>
          <w:rFonts w:cs="Arial"/>
          <w:lang w:val="en-US" w:eastAsia="fr-FR"/>
        </w:rPr>
        <w:t>in combination with superficial treatment (brush or spray) for curative treatment</w:t>
      </w:r>
      <w:r>
        <w:rPr>
          <w:rFonts w:cs="Arial"/>
          <w:lang w:val="en-US" w:eastAsia="fr-FR"/>
        </w:rPr>
        <w:t xml:space="preserve"> (an</w:t>
      </w:r>
      <w:r w:rsidRPr="00845150">
        <w:rPr>
          <w:rFonts w:cs="Arial"/>
          <w:lang w:val="en-US" w:eastAsia="fr-FR"/>
        </w:rPr>
        <w:t xml:space="preserve"> application dose of 145 g/m</w:t>
      </w:r>
      <w:r w:rsidRPr="00845150">
        <w:rPr>
          <w:rFonts w:cs="Arial"/>
          <w:vertAlign w:val="superscript"/>
          <w:lang w:val="en-US" w:eastAsia="fr-FR"/>
        </w:rPr>
        <w:t>2</w:t>
      </w:r>
      <w:r w:rsidRPr="00845150">
        <w:rPr>
          <w:rFonts w:cs="Arial"/>
          <w:lang w:val="en-US" w:eastAsia="fr-FR"/>
        </w:rPr>
        <w:t>)</w:t>
      </w:r>
      <w:r>
        <w:rPr>
          <w:rFonts w:cs="Arial"/>
          <w:lang w:val="en-US" w:eastAsia="fr-FR"/>
        </w:rPr>
        <w:t>.</w:t>
      </w:r>
    </w:p>
    <w:p w14:paraId="37B7A977" w14:textId="77777777" w:rsidR="00845150" w:rsidRDefault="00845150" w:rsidP="00845150">
      <w:pPr>
        <w:pStyle w:val="Absatz"/>
        <w:ind w:left="0"/>
        <w:rPr>
          <w:rFonts w:ascii="Verdana" w:hAnsi="Verdana" w:cs="Arial"/>
          <w:lang w:val="en-US" w:eastAsia="fr-FR"/>
        </w:rPr>
      </w:pPr>
    </w:p>
    <w:p w14:paraId="17283F8F" w14:textId="6EB64D8F" w:rsidR="00845150" w:rsidRPr="00C95369" w:rsidRDefault="00845150" w:rsidP="00845150">
      <w:pPr>
        <w:pStyle w:val="Absatz"/>
        <w:ind w:left="0"/>
        <w:rPr>
          <w:rFonts w:ascii="Verdana" w:hAnsi="Verdana" w:cs="Arial"/>
          <w:lang w:val="en-US" w:eastAsia="fr-FR"/>
        </w:rPr>
      </w:pPr>
      <w:r>
        <w:rPr>
          <w:rFonts w:ascii="Verdana" w:hAnsi="Verdana" w:cs="Arial"/>
          <w:lang w:val="en-US" w:eastAsia="fr-FR"/>
        </w:rPr>
        <w:t>Non-p</w:t>
      </w:r>
      <w:r w:rsidRPr="00C95369">
        <w:rPr>
          <w:rFonts w:ascii="Verdana" w:hAnsi="Verdana" w:cs="Arial"/>
          <w:lang w:val="en-US" w:eastAsia="fr-FR"/>
        </w:rPr>
        <w:t>rofessional:</w:t>
      </w:r>
    </w:p>
    <w:p w14:paraId="4CF61A1E" w14:textId="676BF623" w:rsidR="00845150" w:rsidRDefault="00845150" w:rsidP="00845150">
      <w:pPr>
        <w:pStyle w:val="Paragraphedeliste"/>
        <w:numPr>
          <w:ilvl w:val="0"/>
          <w:numId w:val="22"/>
        </w:numPr>
        <w:rPr>
          <w:rFonts w:cs="Arial"/>
          <w:lang w:val="en-US" w:eastAsia="fr-FR"/>
        </w:rPr>
      </w:pPr>
      <w:r w:rsidRPr="00845150">
        <w:rPr>
          <w:rFonts w:cs="Arial"/>
          <w:lang w:val="en-US" w:eastAsia="fr-FR"/>
        </w:rPr>
        <w:t xml:space="preserve">Brushing </w:t>
      </w:r>
      <w:r>
        <w:rPr>
          <w:rFonts w:cs="Arial"/>
          <w:lang w:val="en-US" w:eastAsia="fr-FR"/>
        </w:rPr>
        <w:t>(</w:t>
      </w:r>
      <w:r w:rsidRPr="00845150">
        <w:rPr>
          <w:rFonts w:cs="Arial"/>
          <w:lang w:val="en-US" w:eastAsia="fr-FR"/>
        </w:rPr>
        <w:t>an application dose of 300 g/m</w:t>
      </w:r>
      <w:r w:rsidRPr="00845150">
        <w:rPr>
          <w:rFonts w:cs="Arial"/>
          <w:vertAlign w:val="superscript"/>
          <w:lang w:val="en-US" w:eastAsia="fr-FR"/>
        </w:rPr>
        <w:t>2</w:t>
      </w:r>
      <w:r w:rsidRPr="00845150">
        <w:rPr>
          <w:rFonts w:cs="Arial"/>
          <w:lang w:val="en-US" w:eastAsia="fr-FR"/>
        </w:rPr>
        <w:t xml:space="preserve"> for curative treatment</w:t>
      </w:r>
      <w:r>
        <w:rPr>
          <w:rFonts w:cs="Arial"/>
          <w:lang w:val="en-US" w:eastAsia="fr-FR"/>
        </w:rPr>
        <w:t>)</w:t>
      </w:r>
    </w:p>
    <w:p w14:paraId="1854CF89" w14:textId="37F6EF07" w:rsidR="00845150" w:rsidRDefault="00845150" w:rsidP="00845150">
      <w:pPr>
        <w:pStyle w:val="Paragraphedeliste"/>
        <w:numPr>
          <w:ilvl w:val="0"/>
          <w:numId w:val="22"/>
        </w:numPr>
        <w:rPr>
          <w:rFonts w:cs="Arial"/>
          <w:lang w:val="en-US" w:eastAsia="fr-FR"/>
        </w:rPr>
      </w:pPr>
      <w:r>
        <w:rPr>
          <w:rFonts w:cs="Arial"/>
          <w:lang w:val="en-US" w:eastAsia="fr-FR"/>
        </w:rPr>
        <w:t>Spraying (</w:t>
      </w:r>
      <w:r w:rsidRPr="00845150">
        <w:rPr>
          <w:rFonts w:cs="Arial"/>
          <w:lang w:val="en-US" w:eastAsia="fr-FR"/>
        </w:rPr>
        <w:t>an application dose of 300 g/m</w:t>
      </w:r>
      <w:r w:rsidRPr="00845150">
        <w:rPr>
          <w:rFonts w:cs="Arial"/>
          <w:vertAlign w:val="superscript"/>
          <w:lang w:val="en-US" w:eastAsia="fr-FR"/>
        </w:rPr>
        <w:t>2</w:t>
      </w:r>
      <w:r w:rsidRPr="00845150">
        <w:rPr>
          <w:rFonts w:cs="Arial"/>
          <w:lang w:val="en-US" w:eastAsia="fr-FR"/>
        </w:rPr>
        <w:t xml:space="preserve"> for curative treatment</w:t>
      </w:r>
      <w:r>
        <w:rPr>
          <w:rFonts w:cs="Arial"/>
          <w:lang w:val="en-US" w:eastAsia="fr-FR"/>
        </w:rPr>
        <w:t>)</w:t>
      </w:r>
      <w:r w:rsidRPr="00845150">
        <w:rPr>
          <w:rFonts w:cs="Arial"/>
          <w:lang w:val="en-US" w:eastAsia="fr-FR"/>
        </w:rPr>
        <w:t xml:space="preserve">. </w:t>
      </w:r>
    </w:p>
    <w:p w14:paraId="08AA7E0F" w14:textId="47ABFA03" w:rsidR="00845150" w:rsidRPr="00845150" w:rsidRDefault="00845150" w:rsidP="00845150">
      <w:pPr>
        <w:pStyle w:val="Paragraphedeliste"/>
        <w:numPr>
          <w:ilvl w:val="0"/>
          <w:numId w:val="22"/>
        </w:numPr>
        <w:rPr>
          <w:rFonts w:cs="Arial"/>
          <w:lang w:val="en-US" w:eastAsia="fr-FR"/>
        </w:rPr>
      </w:pPr>
      <w:r w:rsidRPr="00845150">
        <w:rPr>
          <w:rFonts w:cs="Arial"/>
          <w:lang w:val="en-US" w:eastAsia="fr-FR"/>
        </w:rPr>
        <w:t>Injection</w:t>
      </w:r>
      <w:r>
        <w:rPr>
          <w:rFonts w:cs="Arial"/>
          <w:lang w:val="en-US" w:eastAsia="fr-FR"/>
        </w:rPr>
        <w:t xml:space="preserve"> </w:t>
      </w:r>
      <w:r w:rsidRPr="00845150">
        <w:rPr>
          <w:rFonts w:cs="Arial"/>
          <w:lang w:val="en-US" w:eastAsia="fr-FR"/>
        </w:rPr>
        <w:t>in combination with superficial treatment (brush or spray) for curative treatment</w:t>
      </w:r>
      <w:r>
        <w:rPr>
          <w:rFonts w:cs="Arial"/>
          <w:lang w:val="en-US" w:eastAsia="fr-FR"/>
        </w:rPr>
        <w:t xml:space="preserve"> (an</w:t>
      </w:r>
      <w:r w:rsidRPr="00845150">
        <w:rPr>
          <w:rFonts w:cs="Arial"/>
          <w:lang w:val="en-US" w:eastAsia="fr-FR"/>
        </w:rPr>
        <w:t xml:space="preserve"> application dose of 145 g/m</w:t>
      </w:r>
      <w:r w:rsidRPr="00845150">
        <w:rPr>
          <w:rFonts w:cs="Arial"/>
          <w:vertAlign w:val="superscript"/>
          <w:lang w:val="en-US" w:eastAsia="fr-FR"/>
        </w:rPr>
        <w:t>2</w:t>
      </w:r>
      <w:r w:rsidRPr="00845150">
        <w:rPr>
          <w:rFonts w:cs="Arial"/>
          <w:lang w:val="en-US" w:eastAsia="fr-FR"/>
        </w:rPr>
        <w:t>)</w:t>
      </w:r>
      <w:r>
        <w:rPr>
          <w:rFonts w:cs="Arial"/>
          <w:lang w:val="en-US" w:eastAsia="fr-FR"/>
        </w:rPr>
        <w:t>.</w:t>
      </w:r>
    </w:p>
    <w:p w14:paraId="27107D9A" w14:textId="513A7C1F" w:rsidR="00DE016A" w:rsidRDefault="00DE016A" w:rsidP="00B7552D">
      <w:pPr>
        <w:pStyle w:val="Absatz"/>
        <w:ind w:left="720"/>
        <w:rPr>
          <w:lang w:val="en-US"/>
        </w:rPr>
      </w:pPr>
    </w:p>
    <w:p w14:paraId="518D9A62" w14:textId="77777777" w:rsidR="00DE016A" w:rsidRPr="00DE016A" w:rsidRDefault="00DE016A" w:rsidP="00B7552D">
      <w:pPr>
        <w:pStyle w:val="Absatz"/>
        <w:ind w:left="0"/>
        <w:rPr>
          <w:lang w:val="en-US"/>
        </w:rPr>
      </w:pPr>
    </w:p>
    <w:p w14:paraId="19989A51" w14:textId="77777777" w:rsidR="009D4550" w:rsidRDefault="009D4550" w:rsidP="009D4550">
      <w:pPr>
        <w:pStyle w:val="Titre6"/>
      </w:pPr>
      <w:r w:rsidRPr="009D4550">
        <w:t>Exposure of professional users</w:t>
      </w:r>
    </w:p>
    <w:p w14:paraId="27F53489" w14:textId="77777777" w:rsidR="00717CA1" w:rsidRPr="00363C14" w:rsidRDefault="00717CA1" w:rsidP="00B7552D">
      <w:pPr>
        <w:pStyle w:val="Absatz"/>
      </w:pPr>
    </w:p>
    <w:p w14:paraId="0E64D245" w14:textId="333D8225" w:rsidR="009D4550" w:rsidRDefault="009D4550" w:rsidP="009D4550">
      <w:pPr>
        <w:pStyle w:val="BfRBBStandard"/>
        <w:rPr>
          <w:rFonts w:eastAsia="Times New Roman"/>
          <w:i/>
          <w:sz w:val="20"/>
          <w:szCs w:val="20"/>
          <w:lang w:val="en-GB" w:eastAsia="sv-SE"/>
        </w:rPr>
      </w:pPr>
      <w:r w:rsidRPr="002131ED">
        <w:rPr>
          <w:rFonts w:eastAsia="Times New Roman"/>
          <w:i/>
          <w:sz w:val="20"/>
          <w:szCs w:val="20"/>
          <w:lang w:val="en-GB" w:eastAsia="sv-SE"/>
        </w:rPr>
        <w:t xml:space="preserve">Safety for professional </w:t>
      </w:r>
      <w:proofErr w:type="gramStart"/>
      <w:r w:rsidRPr="002131ED">
        <w:rPr>
          <w:rFonts w:eastAsia="Times New Roman"/>
          <w:i/>
          <w:sz w:val="20"/>
          <w:szCs w:val="20"/>
          <w:lang w:val="en-GB" w:eastAsia="sv-SE"/>
        </w:rPr>
        <w:t>operators</w:t>
      </w:r>
      <w:proofErr w:type="gramEnd"/>
      <w:r w:rsidR="003B66A4">
        <w:rPr>
          <w:rFonts w:eastAsia="Times New Roman"/>
          <w:i/>
          <w:sz w:val="20"/>
          <w:szCs w:val="20"/>
          <w:lang w:val="en-GB" w:eastAsia="sv-SE"/>
        </w:rPr>
        <w:t xml:space="preserve"> summary is page </w:t>
      </w:r>
      <w:r w:rsidR="000656F7">
        <w:rPr>
          <w:rFonts w:eastAsia="Times New Roman"/>
          <w:i/>
          <w:sz w:val="20"/>
          <w:szCs w:val="20"/>
          <w:lang w:val="en-GB" w:eastAsia="sv-SE"/>
        </w:rPr>
        <w:t>205</w:t>
      </w:r>
      <w:r w:rsidR="003B66A4">
        <w:rPr>
          <w:rFonts w:eastAsia="Times New Roman"/>
          <w:i/>
          <w:sz w:val="20"/>
          <w:szCs w:val="20"/>
          <w:lang w:val="en-GB" w:eastAsia="sv-SE"/>
        </w:rPr>
        <w:t xml:space="preserve"> of the PAR.</w:t>
      </w:r>
    </w:p>
    <w:p w14:paraId="4CE3676C" w14:textId="77777777" w:rsidR="009D4550" w:rsidRPr="00275290" w:rsidRDefault="009D4550" w:rsidP="009D4550">
      <w:pPr>
        <w:pStyle w:val="BfRBBStandard"/>
        <w:rPr>
          <w:rFonts w:ascii="Verdana" w:eastAsia="Times New Roman" w:hAnsi="Verdana"/>
          <w:i/>
          <w:sz w:val="20"/>
          <w:szCs w:val="20"/>
          <w:lang w:val="en-GB" w:eastAsia="sv-SE"/>
        </w:rPr>
      </w:pPr>
    </w:p>
    <w:p w14:paraId="4B038994" w14:textId="77777777" w:rsidR="009D4550" w:rsidRPr="00275290" w:rsidRDefault="009D4550" w:rsidP="009D4550">
      <w:pPr>
        <w:rPr>
          <w:rFonts w:cs="Arial"/>
          <w:b/>
        </w:rPr>
      </w:pPr>
    </w:p>
    <w:p w14:paraId="61C1C975" w14:textId="77777777" w:rsidR="009D4550" w:rsidRPr="00275290" w:rsidRDefault="009D4550" w:rsidP="009D4550">
      <w:pPr>
        <w:rPr>
          <w:rFonts w:cs="Arial"/>
          <w:lang w:val="en-US" w:eastAsia="fr-FR"/>
        </w:rPr>
      </w:pPr>
      <w:r w:rsidRPr="00275290">
        <w:rPr>
          <w:rFonts w:cs="Arial"/>
          <w:lang w:val="en-US"/>
        </w:rPr>
        <w:t>X6122B1</w:t>
      </w:r>
      <w:r w:rsidRPr="00275290">
        <w:rPr>
          <w:rFonts w:cs="Arial"/>
          <w:lang w:val="en-US" w:eastAsia="fr-FR"/>
        </w:rPr>
        <w:t xml:space="preserve"> is a RTU product that can be applied by dipping at an application dose of 200 g/m</w:t>
      </w:r>
      <w:r w:rsidRPr="00275290">
        <w:rPr>
          <w:rFonts w:cs="Arial"/>
          <w:vertAlign w:val="superscript"/>
          <w:lang w:val="en-US" w:eastAsia="fr-FR"/>
        </w:rPr>
        <w:t>2</w:t>
      </w:r>
      <w:r w:rsidRPr="00275290">
        <w:rPr>
          <w:rFonts w:cs="Arial"/>
          <w:lang w:val="en-US" w:eastAsia="fr-FR"/>
        </w:rPr>
        <w:t>, brushing or spraying at an application dose of 200 g/m</w:t>
      </w:r>
      <w:r w:rsidRPr="00275290">
        <w:rPr>
          <w:rFonts w:cs="Arial"/>
          <w:vertAlign w:val="superscript"/>
          <w:lang w:val="en-US" w:eastAsia="fr-FR"/>
        </w:rPr>
        <w:t>2</w:t>
      </w:r>
      <w:r w:rsidRPr="00275290">
        <w:rPr>
          <w:rFonts w:cs="Arial"/>
          <w:lang w:val="en-US" w:eastAsia="fr-FR"/>
        </w:rPr>
        <w:t xml:space="preserve"> for preventive treatment and 300 g/m</w:t>
      </w:r>
      <w:r w:rsidRPr="00275290">
        <w:rPr>
          <w:rFonts w:cs="Arial"/>
          <w:vertAlign w:val="superscript"/>
          <w:lang w:val="en-US" w:eastAsia="fr-FR"/>
        </w:rPr>
        <w:t>2</w:t>
      </w:r>
      <w:r w:rsidRPr="00275290">
        <w:rPr>
          <w:rFonts w:cs="Arial"/>
          <w:lang w:val="en-US" w:eastAsia="fr-FR"/>
        </w:rPr>
        <w:t xml:space="preserve"> for curative treatment. An application dose of 145 g/m</w:t>
      </w:r>
      <w:r w:rsidRPr="00275290">
        <w:rPr>
          <w:rFonts w:cs="Arial"/>
          <w:vertAlign w:val="superscript"/>
          <w:lang w:val="en-US" w:eastAsia="fr-FR"/>
        </w:rPr>
        <w:t>2</w:t>
      </w:r>
      <w:r w:rsidRPr="00275290">
        <w:rPr>
          <w:rFonts w:cs="Arial"/>
          <w:lang w:val="en-US" w:eastAsia="fr-FR"/>
        </w:rPr>
        <w:t xml:space="preserve"> is considered for injection, in combination with superficial treatment (brush or spray) for curative treatment.</w:t>
      </w:r>
    </w:p>
    <w:p w14:paraId="625A6D69" w14:textId="77777777" w:rsidR="009D4550" w:rsidRPr="00275290" w:rsidRDefault="009D4550" w:rsidP="009D4550">
      <w:pPr>
        <w:rPr>
          <w:rFonts w:cs="Arial"/>
          <w:lang w:val="en-US" w:eastAsia="fr-FR"/>
        </w:rPr>
      </w:pPr>
    </w:p>
    <w:p w14:paraId="4224422A" w14:textId="408A9DDB" w:rsidR="009D4550" w:rsidRPr="00275290" w:rsidRDefault="009D4550" w:rsidP="009D4550">
      <w:pPr>
        <w:autoSpaceDE w:val="0"/>
        <w:autoSpaceDN w:val="0"/>
        <w:rPr>
          <w:rFonts w:cs="Arial"/>
        </w:rPr>
      </w:pPr>
      <w:r w:rsidRPr="00275290">
        <w:rPr>
          <w:rFonts w:cs="Arial"/>
        </w:rPr>
        <w:t xml:space="preserve">A dermal and inhalation exposure to the product containing </w:t>
      </w:r>
      <w:r w:rsidRPr="00B100F1">
        <w:rPr>
          <w:rFonts w:cs="Arial"/>
        </w:rPr>
        <w:t xml:space="preserve">0.08% (w/w) of cypermethrine, 0.16% (w/w) of propiconazole, 0.05% (w/w) of tebuconazole and 0.05% (w/w) of IPBC </w:t>
      </w:r>
      <w:r w:rsidR="004F3DEB" w:rsidRPr="00B100F1">
        <w:rPr>
          <w:rFonts w:cs="Arial"/>
          <w:color w:val="000000"/>
          <w:lang w:val="de-DE"/>
        </w:rPr>
        <w:t>(technical active susbtances content</w:t>
      </w:r>
      <w:r w:rsidR="004F3DEB" w:rsidRPr="00B100F1">
        <w:rPr>
          <w:rFonts w:cs="Arial"/>
        </w:rPr>
        <w:t>)</w:t>
      </w:r>
      <w:r w:rsidR="004F3DEB">
        <w:rPr>
          <w:rFonts w:cs="Arial"/>
        </w:rPr>
        <w:t xml:space="preserve"> </w:t>
      </w:r>
      <w:r w:rsidRPr="00275290">
        <w:rPr>
          <w:rFonts w:cs="Arial"/>
        </w:rPr>
        <w:t>can occur during the mixing and loading, the application and the equipment’s cleaning.</w:t>
      </w:r>
    </w:p>
    <w:p w14:paraId="040B2A1E" w14:textId="77777777" w:rsidR="009D4550" w:rsidRPr="00275290" w:rsidRDefault="009D4550" w:rsidP="009D4550">
      <w:pPr>
        <w:autoSpaceDE w:val="0"/>
        <w:autoSpaceDN w:val="0"/>
        <w:rPr>
          <w:rFonts w:cs="Arial"/>
        </w:rPr>
      </w:pPr>
    </w:p>
    <w:p w14:paraId="3B5B60BE" w14:textId="77777777" w:rsidR="009D4550" w:rsidRPr="00275290" w:rsidRDefault="009D4550" w:rsidP="009D4550">
      <w:pPr>
        <w:autoSpaceDE w:val="0"/>
        <w:autoSpaceDN w:val="0"/>
        <w:rPr>
          <w:rFonts w:cs="Arial"/>
        </w:rPr>
      </w:pPr>
      <w:r w:rsidRPr="00275290">
        <w:rPr>
          <w:rFonts w:cs="Arial"/>
        </w:rPr>
        <w:t xml:space="preserve">The assessment of exposure during curative treatment is presented below and it covers the </w:t>
      </w:r>
      <w:r w:rsidRPr="00EC2BD5">
        <w:rPr>
          <w:rFonts w:cs="Arial"/>
        </w:rPr>
        <w:t>preventive treatment.</w:t>
      </w:r>
      <w:r w:rsidRPr="00275290">
        <w:rPr>
          <w:rFonts w:cs="Arial"/>
        </w:rPr>
        <w:t xml:space="preserve">  </w:t>
      </w:r>
    </w:p>
    <w:p w14:paraId="3B9B3A6E" w14:textId="77777777" w:rsidR="009D4550" w:rsidRPr="00275290" w:rsidRDefault="009D4550" w:rsidP="009D4550">
      <w:pPr>
        <w:autoSpaceDE w:val="0"/>
        <w:autoSpaceDN w:val="0"/>
        <w:rPr>
          <w:rFonts w:cs="Arial"/>
        </w:rPr>
      </w:pPr>
    </w:p>
    <w:p w14:paraId="04ED411E" w14:textId="474CB89F" w:rsidR="00717CA1" w:rsidRPr="009D4550" w:rsidRDefault="00717CA1" w:rsidP="00B7552D">
      <w:pPr>
        <w:pStyle w:val="Titre7"/>
        <w:numPr>
          <w:ilvl w:val="6"/>
          <w:numId w:val="36"/>
        </w:numPr>
      </w:pPr>
      <w:r w:rsidRPr="009D4550">
        <w:t xml:space="preserve">Exposure of </w:t>
      </w:r>
      <w:r>
        <w:t>Industrial</w:t>
      </w:r>
      <w:r w:rsidRPr="009D4550">
        <w:t xml:space="preserve"> users</w:t>
      </w:r>
    </w:p>
    <w:p w14:paraId="4D1D6CE5" w14:textId="77777777" w:rsidR="009D4550" w:rsidRPr="00275290" w:rsidRDefault="009D4550" w:rsidP="009D4550">
      <w:pPr>
        <w:autoSpaceDE w:val="0"/>
        <w:autoSpaceDN w:val="0"/>
        <w:rPr>
          <w:rFonts w:cs="Arial"/>
          <w:b/>
          <w:u w:val="single"/>
        </w:rPr>
      </w:pPr>
    </w:p>
    <w:p w14:paraId="7CE76C59" w14:textId="77777777" w:rsidR="009D4550" w:rsidRPr="00275290" w:rsidRDefault="009D4550" w:rsidP="009D4550">
      <w:pPr>
        <w:autoSpaceDE w:val="0"/>
        <w:autoSpaceDN w:val="0"/>
        <w:rPr>
          <w:rFonts w:cs="Arial"/>
          <w:b/>
          <w:u w:val="single"/>
        </w:rPr>
      </w:pPr>
      <w:r w:rsidRPr="00275290">
        <w:rPr>
          <w:rFonts w:cs="Arial"/>
          <w:b/>
          <w:u w:val="single"/>
        </w:rPr>
        <w:t xml:space="preserve">Industrial uses – automated dipping application </w:t>
      </w:r>
    </w:p>
    <w:p w14:paraId="55348665" w14:textId="77777777" w:rsidR="009D4550" w:rsidRPr="00275290" w:rsidRDefault="009D4550" w:rsidP="009D4550">
      <w:pPr>
        <w:autoSpaceDE w:val="0"/>
        <w:autoSpaceDN w:val="0"/>
        <w:rPr>
          <w:rFonts w:cs="Arial"/>
          <w:b/>
          <w:u w:val="single"/>
        </w:rPr>
      </w:pPr>
    </w:p>
    <w:p w14:paraId="5B14B877" w14:textId="77777777" w:rsidR="009D4550" w:rsidRPr="00275290" w:rsidRDefault="009D4550" w:rsidP="009D4550">
      <w:pPr>
        <w:autoSpaceDE w:val="0"/>
        <w:autoSpaceDN w:val="0"/>
        <w:rPr>
          <w:rFonts w:cs="Arial"/>
        </w:rPr>
      </w:pPr>
    </w:p>
    <w:p w14:paraId="44F59D06" w14:textId="77777777" w:rsidR="009D4550" w:rsidRPr="00275290" w:rsidRDefault="009D4550" w:rsidP="009D4550">
      <w:pPr>
        <w:autoSpaceDE w:val="0"/>
        <w:autoSpaceDN w:val="0"/>
        <w:rPr>
          <w:rFonts w:cs="Arial"/>
        </w:rPr>
      </w:pPr>
      <w:r w:rsidRPr="00275290">
        <w:rPr>
          <w:rFonts w:cs="Arial"/>
        </w:rPr>
        <w:t>This product is a RTU and should not be diluted before use. There may be a preparatory phase in which the product is decanted, this will often be a full or semi-automatic process with limited exposure to the operator. The “</w:t>
      </w:r>
      <w:r w:rsidRPr="00275290">
        <w:rPr>
          <w:rFonts w:cs="Arial"/>
          <w:i/>
        </w:rPr>
        <w:t>mixing and loading model 7</w:t>
      </w:r>
      <w:r w:rsidRPr="00275290">
        <w:rPr>
          <w:rFonts w:cs="Arial"/>
        </w:rPr>
        <w:t xml:space="preserve">” from the TNsG part 2 p. 142 is used with the manual pouring data as a worst case approach to determine this exposure. </w:t>
      </w:r>
    </w:p>
    <w:p w14:paraId="1D95C952" w14:textId="77777777" w:rsidR="009D4550" w:rsidRPr="00275290" w:rsidRDefault="009D4550" w:rsidP="009D4550">
      <w:pPr>
        <w:tabs>
          <w:tab w:val="left" w:pos="0"/>
        </w:tabs>
        <w:autoSpaceDE w:val="0"/>
        <w:autoSpaceDN w:val="0"/>
        <w:rPr>
          <w:rFonts w:cs="Arial"/>
        </w:rPr>
      </w:pPr>
    </w:p>
    <w:p w14:paraId="165915F9" w14:textId="3B11F452" w:rsidR="009D4550" w:rsidRPr="00275290" w:rsidRDefault="009D4550" w:rsidP="009D4550">
      <w:pPr>
        <w:tabs>
          <w:tab w:val="left" w:pos="0"/>
        </w:tabs>
        <w:autoSpaceDE w:val="0"/>
        <w:autoSpaceDN w:val="0"/>
        <w:rPr>
          <w:rFonts w:cs="Arial"/>
        </w:rPr>
      </w:pPr>
      <w:r w:rsidRPr="00275290">
        <w:rPr>
          <w:rFonts w:cs="Arial"/>
        </w:rPr>
        <w:t>To predict exposure for this primary exposure scenario, the indicative exposure values from the “</w:t>
      </w:r>
      <w:r w:rsidRPr="00275290">
        <w:rPr>
          <w:rFonts w:cs="Arial"/>
          <w:i/>
        </w:rPr>
        <w:t>Handling Model 1</w:t>
      </w:r>
      <w:r w:rsidRPr="00275290">
        <w:rPr>
          <w:rFonts w:cs="Arial"/>
        </w:rPr>
        <w:t>” are used: Recommendation 6 of HEAd hoc WG (TNsG part 2, p. 160 and User Guidance p.26), considering 4 cycles per day.</w:t>
      </w:r>
      <w:r w:rsidR="000D2ACF">
        <w:rPr>
          <w:rFonts w:cs="Arial"/>
        </w:rPr>
        <w:t xml:space="preserve"> The percentiles proposed in the user guidance were used.</w:t>
      </w:r>
    </w:p>
    <w:p w14:paraId="72ACBA5C" w14:textId="77777777" w:rsidR="009D4550" w:rsidRPr="00275290" w:rsidRDefault="009D4550" w:rsidP="009D4550">
      <w:pPr>
        <w:tabs>
          <w:tab w:val="left" w:pos="0"/>
        </w:tabs>
        <w:autoSpaceDE w:val="0"/>
        <w:autoSpaceDN w:val="0"/>
        <w:rPr>
          <w:rFonts w:cs="Arial"/>
        </w:rPr>
      </w:pPr>
    </w:p>
    <w:p w14:paraId="67765182" w14:textId="77777777" w:rsidR="009D4550" w:rsidRPr="00275290" w:rsidRDefault="009D4550" w:rsidP="009D4550">
      <w:pPr>
        <w:tabs>
          <w:tab w:val="left" w:pos="0"/>
        </w:tabs>
        <w:autoSpaceDE w:val="0"/>
        <w:autoSpaceDN w:val="0"/>
        <w:rPr>
          <w:rFonts w:cs="Arial"/>
        </w:rPr>
      </w:pPr>
      <w:r w:rsidRPr="00275290">
        <w:rPr>
          <w:rFonts w:cs="Arial"/>
        </w:rPr>
        <w:t>There is no generic model in the TNsG for cleaning of internal surfaces of dipping tanks. To predict exposure for this scenario, the indicative exposure values from the “</w:t>
      </w:r>
      <w:r w:rsidRPr="00275290">
        <w:rPr>
          <w:rFonts w:cs="Arial"/>
          <w:i/>
        </w:rPr>
        <w:t>Handling Model 1</w:t>
      </w:r>
      <w:r w:rsidRPr="00275290">
        <w:rPr>
          <w:rFonts w:cs="Arial"/>
        </w:rPr>
        <w:t>” are used (TNsG user Guidance 2004, p.26), considering 1 cycles per day. Thus, this assessment is covered by assessment of application (for which 4 cycles are considered).</w:t>
      </w:r>
    </w:p>
    <w:p w14:paraId="4121CC42" w14:textId="77777777" w:rsidR="009D4550" w:rsidRPr="00275290" w:rsidRDefault="009D4550" w:rsidP="009D4550">
      <w:pPr>
        <w:autoSpaceDE w:val="0"/>
        <w:autoSpaceDN w:val="0"/>
        <w:rPr>
          <w:rFonts w:cs="Arial"/>
        </w:rPr>
      </w:pPr>
      <w:r w:rsidRPr="00275290">
        <w:rPr>
          <w:rFonts w:cs="Arial"/>
        </w:rPr>
        <w:t xml:space="preserve">The cleaning is not realised every day. Therefore, the exposure during this task will not add to the exposure during decanting and application. </w:t>
      </w:r>
    </w:p>
    <w:p w14:paraId="48A5C642" w14:textId="77777777" w:rsidR="009D4550" w:rsidRPr="00275290" w:rsidRDefault="009D4550" w:rsidP="009D4550">
      <w:pPr>
        <w:autoSpaceDE w:val="0"/>
        <w:autoSpaceDN w:val="0"/>
        <w:rPr>
          <w:rFonts w:cs="Arial"/>
        </w:rPr>
      </w:pPr>
    </w:p>
    <w:tbl>
      <w:tblPr>
        <w:tblStyle w:val="Grilledutableau1"/>
        <w:tblW w:w="0" w:type="auto"/>
        <w:tblLook w:val="04A0" w:firstRow="1" w:lastRow="0" w:firstColumn="1" w:lastColumn="0" w:noHBand="0" w:noVBand="1"/>
      </w:tblPr>
      <w:tblGrid>
        <w:gridCol w:w="1952"/>
        <w:gridCol w:w="1972"/>
        <w:gridCol w:w="1951"/>
        <w:gridCol w:w="1947"/>
        <w:gridCol w:w="1947"/>
      </w:tblGrid>
      <w:tr w:rsidR="009D4550" w:rsidRPr="00275290" w14:paraId="46B4A700" w14:textId="77777777" w:rsidTr="009D4550">
        <w:trPr>
          <w:tblHeader/>
        </w:trPr>
        <w:tc>
          <w:tcPr>
            <w:tcW w:w="1983" w:type="dxa"/>
            <w:vAlign w:val="center"/>
          </w:tcPr>
          <w:p w14:paraId="1AB3BA5B" w14:textId="77777777" w:rsidR="009D4550" w:rsidRPr="00275290" w:rsidRDefault="009D4550" w:rsidP="009D4550">
            <w:pPr>
              <w:autoSpaceDE w:val="0"/>
              <w:autoSpaceDN w:val="0"/>
              <w:adjustRightInd w:val="0"/>
              <w:spacing w:before="60" w:after="60"/>
              <w:rPr>
                <w:rFonts w:cs="Arial"/>
                <w:sz w:val="20"/>
                <w:szCs w:val="20"/>
              </w:rPr>
            </w:pPr>
          </w:p>
        </w:tc>
        <w:tc>
          <w:tcPr>
            <w:tcW w:w="1984" w:type="dxa"/>
            <w:vAlign w:val="center"/>
          </w:tcPr>
          <w:p w14:paraId="7C00E981" w14:textId="77777777" w:rsidR="009D4550" w:rsidRPr="00275290" w:rsidRDefault="009D4550" w:rsidP="009D4550">
            <w:pPr>
              <w:tabs>
                <w:tab w:val="left" w:pos="426"/>
              </w:tabs>
              <w:autoSpaceDE w:val="0"/>
              <w:autoSpaceDN w:val="0"/>
              <w:adjustRightInd w:val="0"/>
              <w:spacing w:before="60" w:after="60"/>
              <w:rPr>
                <w:rFonts w:cs="Arial"/>
                <w:sz w:val="20"/>
                <w:szCs w:val="20"/>
              </w:rPr>
            </w:pPr>
            <w:r w:rsidRPr="00275290">
              <w:rPr>
                <w:rFonts w:cs="Arial"/>
                <w:sz w:val="20"/>
                <w:szCs w:val="20"/>
              </w:rPr>
              <w:t>Active substance</w:t>
            </w:r>
          </w:p>
        </w:tc>
        <w:tc>
          <w:tcPr>
            <w:tcW w:w="1984" w:type="dxa"/>
            <w:vAlign w:val="center"/>
          </w:tcPr>
          <w:p w14:paraId="4A0AFFC3" w14:textId="77777777" w:rsidR="009D4550" w:rsidRPr="00275290" w:rsidRDefault="009D4550" w:rsidP="009D4550">
            <w:pPr>
              <w:autoSpaceDE w:val="0"/>
              <w:autoSpaceDN w:val="0"/>
              <w:adjustRightInd w:val="0"/>
              <w:spacing w:before="60" w:after="60"/>
              <w:rPr>
                <w:rFonts w:cs="Arial"/>
                <w:sz w:val="20"/>
                <w:szCs w:val="20"/>
              </w:rPr>
            </w:pPr>
            <w:r w:rsidRPr="00275290">
              <w:rPr>
                <w:rFonts w:cs="Arial"/>
                <w:sz w:val="20"/>
                <w:szCs w:val="20"/>
              </w:rPr>
              <w:t>Inhalation Exposure</w:t>
            </w:r>
          </w:p>
          <w:p w14:paraId="2302A619" w14:textId="77777777" w:rsidR="009D4550" w:rsidRPr="00275290" w:rsidRDefault="009D4550" w:rsidP="009D4550">
            <w:pPr>
              <w:autoSpaceDE w:val="0"/>
              <w:autoSpaceDN w:val="0"/>
              <w:adjustRightInd w:val="0"/>
              <w:spacing w:before="60" w:after="60"/>
              <w:rPr>
                <w:rFonts w:cs="Arial"/>
                <w:sz w:val="20"/>
                <w:szCs w:val="20"/>
              </w:rPr>
            </w:pPr>
            <w:r w:rsidRPr="00275290">
              <w:rPr>
                <w:rFonts w:cs="Arial"/>
                <w:sz w:val="20"/>
                <w:szCs w:val="20"/>
              </w:rPr>
              <w:t>(mg/kg bw/j)</w:t>
            </w:r>
          </w:p>
        </w:tc>
        <w:tc>
          <w:tcPr>
            <w:tcW w:w="1984" w:type="dxa"/>
            <w:vAlign w:val="center"/>
          </w:tcPr>
          <w:p w14:paraId="37AAC0C9" w14:textId="77777777" w:rsidR="009D4550" w:rsidRPr="00275290" w:rsidRDefault="009D4550" w:rsidP="009D4550">
            <w:pPr>
              <w:autoSpaceDE w:val="0"/>
              <w:autoSpaceDN w:val="0"/>
              <w:adjustRightInd w:val="0"/>
              <w:spacing w:before="60" w:after="60"/>
              <w:rPr>
                <w:rFonts w:cs="Arial"/>
                <w:sz w:val="20"/>
                <w:szCs w:val="20"/>
              </w:rPr>
            </w:pPr>
            <w:r w:rsidRPr="00275290">
              <w:rPr>
                <w:rFonts w:cs="Arial"/>
                <w:sz w:val="20"/>
                <w:szCs w:val="20"/>
              </w:rPr>
              <w:t>Dermal Exposure</w:t>
            </w:r>
          </w:p>
          <w:p w14:paraId="2CB29F3C" w14:textId="77777777" w:rsidR="009D4550" w:rsidRPr="00275290" w:rsidRDefault="009D4550" w:rsidP="009D4550">
            <w:pPr>
              <w:autoSpaceDE w:val="0"/>
              <w:autoSpaceDN w:val="0"/>
              <w:adjustRightInd w:val="0"/>
              <w:spacing w:before="60" w:after="60"/>
              <w:rPr>
                <w:rFonts w:cs="Arial"/>
                <w:sz w:val="20"/>
                <w:szCs w:val="20"/>
              </w:rPr>
            </w:pPr>
            <w:r w:rsidRPr="00275290">
              <w:rPr>
                <w:rFonts w:cs="Arial"/>
                <w:sz w:val="20"/>
                <w:szCs w:val="20"/>
              </w:rPr>
              <w:t>(mg/kg bw/d)</w:t>
            </w:r>
          </w:p>
        </w:tc>
        <w:tc>
          <w:tcPr>
            <w:tcW w:w="1984" w:type="dxa"/>
            <w:vAlign w:val="center"/>
          </w:tcPr>
          <w:p w14:paraId="5B938DD2" w14:textId="77777777" w:rsidR="009D4550" w:rsidRPr="00275290" w:rsidRDefault="009D4550" w:rsidP="009D4550">
            <w:pPr>
              <w:autoSpaceDE w:val="0"/>
              <w:autoSpaceDN w:val="0"/>
              <w:adjustRightInd w:val="0"/>
              <w:spacing w:before="60" w:after="60"/>
              <w:rPr>
                <w:rFonts w:cs="Arial"/>
                <w:sz w:val="20"/>
                <w:szCs w:val="20"/>
              </w:rPr>
            </w:pPr>
            <w:r w:rsidRPr="00275290">
              <w:rPr>
                <w:rFonts w:cs="Arial"/>
                <w:sz w:val="20"/>
                <w:szCs w:val="20"/>
              </w:rPr>
              <w:t>Total Exposure (mg/kg bw/d)</w:t>
            </w:r>
          </w:p>
        </w:tc>
      </w:tr>
      <w:tr w:rsidR="009D4550" w:rsidRPr="00275290" w14:paraId="553E061C" w14:textId="77777777" w:rsidTr="009D4550">
        <w:tc>
          <w:tcPr>
            <w:tcW w:w="9919" w:type="dxa"/>
            <w:gridSpan w:val="5"/>
            <w:shd w:val="clear" w:color="auto" w:fill="BFBFBF" w:themeFill="background1" w:themeFillShade="BF"/>
            <w:vAlign w:val="center"/>
          </w:tcPr>
          <w:p w14:paraId="1B77928E" w14:textId="77777777" w:rsidR="009D4550" w:rsidRPr="00275290" w:rsidRDefault="009D4550" w:rsidP="009D4550">
            <w:pPr>
              <w:rPr>
                <w:rFonts w:cs="Arial"/>
                <w:sz w:val="20"/>
                <w:szCs w:val="20"/>
                <w:lang w:val="en-US"/>
              </w:rPr>
            </w:pPr>
            <w:r w:rsidRPr="00275290">
              <w:rPr>
                <w:rFonts w:cs="Arial"/>
                <w:sz w:val="20"/>
                <w:szCs w:val="20"/>
                <w:lang w:val="en-US"/>
              </w:rPr>
              <w:t>Automated dipping 200g/m</w:t>
            </w:r>
            <w:r w:rsidRPr="00275290">
              <w:rPr>
                <w:rFonts w:cs="Arial"/>
                <w:sz w:val="20"/>
                <w:szCs w:val="20"/>
                <w:vertAlign w:val="superscript"/>
                <w:lang w:val="en-US"/>
              </w:rPr>
              <w:t>2</w:t>
            </w:r>
            <w:r w:rsidRPr="00275290">
              <w:rPr>
                <w:rFonts w:cs="Arial"/>
                <w:sz w:val="20"/>
                <w:szCs w:val="20"/>
                <w:lang w:val="en-US"/>
              </w:rPr>
              <w:t xml:space="preserve"> – without PPE except gloves during application</w:t>
            </w:r>
          </w:p>
        </w:tc>
      </w:tr>
      <w:tr w:rsidR="009D4550" w:rsidRPr="00275290" w14:paraId="7F7108F8" w14:textId="77777777" w:rsidTr="009D4550">
        <w:tc>
          <w:tcPr>
            <w:tcW w:w="1983" w:type="dxa"/>
            <w:vMerge w:val="restart"/>
            <w:vAlign w:val="center"/>
          </w:tcPr>
          <w:p w14:paraId="477D46AC" w14:textId="77777777" w:rsidR="009D4550" w:rsidRPr="00275290" w:rsidRDefault="009D4550" w:rsidP="009D4550">
            <w:pPr>
              <w:rPr>
                <w:rFonts w:cs="Arial"/>
                <w:sz w:val="20"/>
                <w:szCs w:val="20"/>
                <w:lang w:val="en-US"/>
              </w:rPr>
            </w:pPr>
            <w:r w:rsidRPr="00275290">
              <w:rPr>
                <w:rFonts w:cs="Arial"/>
                <w:sz w:val="20"/>
                <w:szCs w:val="20"/>
                <w:lang w:val="en-US"/>
              </w:rPr>
              <w:t>Transfer of product</w:t>
            </w:r>
          </w:p>
        </w:tc>
        <w:tc>
          <w:tcPr>
            <w:tcW w:w="1984" w:type="dxa"/>
            <w:vAlign w:val="center"/>
          </w:tcPr>
          <w:p w14:paraId="2C0D20E8"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0EB437C1" w14:textId="77777777" w:rsidR="009D4550" w:rsidRPr="00275290" w:rsidRDefault="009D4550" w:rsidP="009D4550">
            <w:pPr>
              <w:rPr>
                <w:rFonts w:cs="Arial"/>
                <w:bCs/>
                <w:color w:val="000000"/>
                <w:sz w:val="20"/>
                <w:szCs w:val="20"/>
              </w:rPr>
            </w:pPr>
            <w:r w:rsidRPr="00275290">
              <w:rPr>
                <w:rFonts w:cs="Arial"/>
                <w:bCs/>
                <w:color w:val="000000"/>
                <w:sz w:val="20"/>
                <w:szCs w:val="20"/>
              </w:rPr>
              <w:t>2,61E-06</w:t>
            </w:r>
          </w:p>
        </w:tc>
        <w:tc>
          <w:tcPr>
            <w:tcW w:w="1984" w:type="dxa"/>
            <w:vAlign w:val="center"/>
          </w:tcPr>
          <w:p w14:paraId="32CBA7ED" w14:textId="77777777" w:rsidR="009D4550" w:rsidRPr="00275290" w:rsidRDefault="009D4550" w:rsidP="009D4550">
            <w:pPr>
              <w:rPr>
                <w:rFonts w:cs="Arial"/>
                <w:bCs/>
                <w:color w:val="000000"/>
                <w:sz w:val="20"/>
                <w:szCs w:val="20"/>
              </w:rPr>
            </w:pPr>
            <w:r w:rsidRPr="00275290">
              <w:rPr>
                <w:rFonts w:cs="Arial"/>
                <w:bCs/>
                <w:color w:val="000000"/>
                <w:sz w:val="20"/>
                <w:szCs w:val="20"/>
              </w:rPr>
              <w:t>4,85E-03</w:t>
            </w:r>
          </w:p>
        </w:tc>
        <w:tc>
          <w:tcPr>
            <w:tcW w:w="1984" w:type="dxa"/>
            <w:vAlign w:val="center"/>
          </w:tcPr>
          <w:p w14:paraId="49F60D82" w14:textId="77777777" w:rsidR="009D4550" w:rsidRPr="00275290" w:rsidRDefault="009D4550" w:rsidP="009D4550">
            <w:pPr>
              <w:rPr>
                <w:rFonts w:cs="Arial"/>
                <w:bCs/>
                <w:color w:val="000000"/>
                <w:sz w:val="20"/>
                <w:szCs w:val="20"/>
              </w:rPr>
            </w:pPr>
            <w:r w:rsidRPr="00275290">
              <w:rPr>
                <w:rFonts w:cs="Arial"/>
                <w:bCs/>
                <w:color w:val="000000"/>
                <w:sz w:val="20"/>
                <w:szCs w:val="20"/>
              </w:rPr>
              <w:t>4,85E-03</w:t>
            </w:r>
          </w:p>
        </w:tc>
      </w:tr>
      <w:tr w:rsidR="009D4550" w:rsidRPr="00275290" w14:paraId="2FDEDC24" w14:textId="77777777" w:rsidTr="009D4550">
        <w:tc>
          <w:tcPr>
            <w:tcW w:w="1983" w:type="dxa"/>
            <w:vMerge/>
            <w:vAlign w:val="center"/>
          </w:tcPr>
          <w:p w14:paraId="2E71FCA5" w14:textId="77777777" w:rsidR="009D4550" w:rsidRPr="00275290" w:rsidRDefault="009D4550" w:rsidP="009D4550">
            <w:pPr>
              <w:rPr>
                <w:rFonts w:cs="Arial"/>
                <w:sz w:val="20"/>
                <w:szCs w:val="20"/>
                <w:lang w:val="en-US"/>
              </w:rPr>
            </w:pPr>
          </w:p>
        </w:tc>
        <w:tc>
          <w:tcPr>
            <w:tcW w:w="1984" w:type="dxa"/>
            <w:vAlign w:val="center"/>
          </w:tcPr>
          <w:p w14:paraId="65F604CE"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984" w:type="dxa"/>
            <w:vAlign w:val="center"/>
          </w:tcPr>
          <w:p w14:paraId="2A233BE3" w14:textId="77777777" w:rsidR="009D4550" w:rsidRPr="00275290" w:rsidRDefault="009D4550" w:rsidP="009D4550">
            <w:pPr>
              <w:rPr>
                <w:rFonts w:cs="Arial"/>
                <w:bCs/>
                <w:color w:val="000000"/>
                <w:sz w:val="20"/>
                <w:szCs w:val="20"/>
              </w:rPr>
            </w:pPr>
            <w:r w:rsidRPr="00275290">
              <w:rPr>
                <w:rFonts w:cs="Arial"/>
                <w:bCs/>
                <w:color w:val="000000"/>
                <w:sz w:val="20"/>
                <w:szCs w:val="20"/>
              </w:rPr>
              <w:t>5,22E-06</w:t>
            </w:r>
          </w:p>
        </w:tc>
        <w:tc>
          <w:tcPr>
            <w:tcW w:w="1984" w:type="dxa"/>
            <w:vAlign w:val="center"/>
          </w:tcPr>
          <w:p w14:paraId="24BD4045" w14:textId="77777777" w:rsidR="009D4550" w:rsidRPr="00275290" w:rsidRDefault="009D4550" w:rsidP="009D4550">
            <w:pPr>
              <w:rPr>
                <w:rFonts w:cs="Arial"/>
                <w:bCs/>
                <w:color w:val="000000"/>
                <w:sz w:val="20"/>
                <w:szCs w:val="20"/>
              </w:rPr>
            </w:pPr>
            <w:r w:rsidRPr="00275290">
              <w:rPr>
                <w:rFonts w:cs="Arial"/>
                <w:bCs/>
                <w:color w:val="000000"/>
                <w:sz w:val="20"/>
                <w:szCs w:val="20"/>
              </w:rPr>
              <w:t>7,00E-03</w:t>
            </w:r>
          </w:p>
        </w:tc>
        <w:tc>
          <w:tcPr>
            <w:tcW w:w="1984" w:type="dxa"/>
            <w:vAlign w:val="center"/>
          </w:tcPr>
          <w:p w14:paraId="0B575184" w14:textId="77777777" w:rsidR="009D4550" w:rsidRPr="00275290" w:rsidRDefault="009D4550" w:rsidP="009D4550">
            <w:pPr>
              <w:rPr>
                <w:rFonts w:cs="Arial"/>
                <w:bCs/>
                <w:color w:val="000000"/>
                <w:sz w:val="20"/>
                <w:szCs w:val="20"/>
              </w:rPr>
            </w:pPr>
            <w:r w:rsidRPr="00275290">
              <w:rPr>
                <w:rFonts w:cs="Arial"/>
                <w:bCs/>
                <w:color w:val="000000"/>
                <w:sz w:val="20"/>
                <w:szCs w:val="20"/>
              </w:rPr>
              <w:t>7,01E-03</w:t>
            </w:r>
          </w:p>
        </w:tc>
      </w:tr>
      <w:tr w:rsidR="009D4550" w:rsidRPr="00275290" w14:paraId="054C01A9" w14:textId="77777777" w:rsidTr="009D4550">
        <w:tc>
          <w:tcPr>
            <w:tcW w:w="1983" w:type="dxa"/>
            <w:vMerge/>
            <w:vAlign w:val="center"/>
          </w:tcPr>
          <w:p w14:paraId="13B02AD8" w14:textId="77777777" w:rsidR="009D4550" w:rsidRPr="00275290" w:rsidRDefault="009D4550" w:rsidP="009D4550">
            <w:pPr>
              <w:rPr>
                <w:rFonts w:cs="Arial"/>
                <w:sz w:val="20"/>
                <w:szCs w:val="20"/>
                <w:lang w:val="en-US"/>
              </w:rPr>
            </w:pPr>
          </w:p>
        </w:tc>
        <w:tc>
          <w:tcPr>
            <w:tcW w:w="1984" w:type="dxa"/>
            <w:vAlign w:val="center"/>
          </w:tcPr>
          <w:p w14:paraId="68686B2C"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984" w:type="dxa"/>
            <w:vAlign w:val="center"/>
          </w:tcPr>
          <w:p w14:paraId="08E45480" w14:textId="77777777" w:rsidR="009D4550" w:rsidRPr="00275290" w:rsidRDefault="009D4550" w:rsidP="009D4550">
            <w:pPr>
              <w:rPr>
                <w:rFonts w:cs="Arial"/>
                <w:bCs/>
                <w:color w:val="000000"/>
                <w:sz w:val="20"/>
                <w:szCs w:val="20"/>
              </w:rPr>
            </w:pPr>
            <w:r w:rsidRPr="00275290">
              <w:rPr>
                <w:rFonts w:cs="Arial"/>
                <w:bCs/>
                <w:color w:val="000000"/>
                <w:sz w:val="20"/>
                <w:szCs w:val="20"/>
              </w:rPr>
              <w:t>1,63E-06</w:t>
            </w:r>
          </w:p>
        </w:tc>
        <w:tc>
          <w:tcPr>
            <w:tcW w:w="1984" w:type="dxa"/>
            <w:vAlign w:val="center"/>
          </w:tcPr>
          <w:p w14:paraId="3A8A59FD" w14:textId="77777777" w:rsidR="009D4550" w:rsidRPr="00275290" w:rsidRDefault="009D4550" w:rsidP="009D4550">
            <w:pPr>
              <w:rPr>
                <w:rFonts w:cs="Arial"/>
                <w:bCs/>
                <w:color w:val="000000"/>
                <w:sz w:val="20"/>
                <w:szCs w:val="20"/>
              </w:rPr>
            </w:pPr>
            <w:r w:rsidRPr="00275290">
              <w:rPr>
                <w:rFonts w:cs="Arial"/>
                <w:bCs/>
                <w:color w:val="000000"/>
                <w:sz w:val="20"/>
                <w:szCs w:val="20"/>
              </w:rPr>
              <w:t>2,61E-03</w:t>
            </w:r>
          </w:p>
        </w:tc>
        <w:tc>
          <w:tcPr>
            <w:tcW w:w="1984" w:type="dxa"/>
            <w:vAlign w:val="center"/>
          </w:tcPr>
          <w:p w14:paraId="68AB0E2F" w14:textId="77777777" w:rsidR="009D4550" w:rsidRPr="00275290" w:rsidRDefault="009D4550" w:rsidP="009D4550">
            <w:pPr>
              <w:rPr>
                <w:rFonts w:cs="Arial"/>
                <w:bCs/>
                <w:color w:val="000000"/>
                <w:sz w:val="20"/>
                <w:szCs w:val="20"/>
              </w:rPr>
            </w:pPr>
            <w:r w:rsidRPr="00275290">
              <w:rPr>
                <w:rFonts w:cs="Arial"/>
                <w:bCs/>
                <w:color w:val="000000"/>
                <w:sz w:val="20"/>
                <w:szCs w:val="20"/>
              </w:rPr>
              <w:t>2,61E-03</w:t>
            </w:r>
          </w:p>
        </w:tc>
      </w:tr>
      <w:tr w:rsidR="009D4550" w:rsidRPr="00275290" w14:paraId="04FA3701" w14:textId="77777777" w:rsidTr="009D4550">
        <w:tc>
          <w:tcPr>
            <w:tcW w:w="1983" w:type="dxa"/>
            <w:vMerge/>
            <w:vAlign w:val="center"/>
          </w:tcPr>
          <w:p w14:paraId="4FE8690A" w14:textId="77777777" w:rsidR="009D4550" w:rsidRPr="00275290" w:rsidRDefault="009D4550" w:rsidP="009D4550">
            <w:pPr>
              <w:rPr>
                <w:rFonts w:cs="Arial"/>
                <w:sz w:val="20"/>
                <w:szCs w:val="20"/>
                <w:lang w:val="en-US"/>
              </w:rPr>
            </w:pPr>
          </w:p>
        </w:tc>
        <w:tc>
          <w:tcPr>
            <w:tcW w:w="1984" w:type="dxa"/>
            <w:vAlign w:val="center"/>
          </w:tcPr>
          <w:p w14:paraId="22128AC3"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984" w:type="dxa"/>
            <w:vAlign w:val="center"/>
          </w:tcPr>
          <w:p w14:paraId="3C62246C" w14:textId="77777777" w:rsidR="009D4550" w:rsidRPr="00275290" w:rsidRDefault="009D4550" w:rsidP="009D4550">
            <w:pPr>
              <w:rPr>
                <w:rFonts w:cs="Arial"/>
                <w:bCs/>
                <w:color w:val="000000"/>
                <w:sz w:val="20"/>
                <w:szCs w:val="20"/>
              </w:rPr>
            </w:pPr>
            <w:r w:rsidRPr="00275290">
              <w:rPr>
                <w:rFonts w:cs="Arial"/>
                <w:bCs/>
                <w:color w:val="000000"/>
                <w:sz w:val="20"/>
                <w:szCs w:val="20"/>
              </w:rPr>
              <w:t>1,63E-06</w:t>
            </w:r>
          </w:p>
        </w:tc>
        <w:tc>
          <w:tcPr>
            <w:tcW w:w="1984" w:type="dxa"/>
            <w:vAlign w:val="center"/>
          </w:tcPr>
          <w:p w14:paraId="1C1C04F3" w14:textId="77777777" w:rsidR="009D4550" w:rsidRPr="00275290" w:rsidRDefault="009D4550" w:rsidP="009D4550">
            <w:pPr>
              <w:rPr>
                <w:rFonts w:cs="Arial"/>
                <w:bCs/>
                <w:color w:val="000000"/>
                <w:sz w:val="20"/>
                <w:szCs w:val="20"/>
              </w:rPr>
            </w:pPr>
            <w:r w:rsidRPr="00275290">
              <w:rPr>
                <w:rFonts w:cs="Arial"/>
                <w:bCs/>
                <w:color w:val="000000"/>
                <w:sz w:val="20"/>
                <w:szCs w:val="20"/>
              </w:rPr>
              <w:t>6,31E-03</w:t>
            </w:r>
          </w:p>
        </w:tc>
        <w:tc>
          <w:tcPr>
            <w:tcW w:w="1984" w:type="dxa"/>
            <w:vAlign w:val="center"/>
          </w:tcPr>
          <w:p w14:paraId="79F69D37" w14:textId="77777777" w:rsidR="009D4550" w:rsidRPr="00275290" w:rsidRDefault="009D4550" w:rsidP="009D4550">
            <w:pPr>
              <w:rPr>
                <w:rFonts w:cs="Arial"/>
                <w:bCs/>
                <w:color w:val="000000"/>
                <w:sz w:val="20"/>
                <w:szCs w:val="20"/>
              </w:rPr>
            </w:pPr>
            <w:r w:rsidRPr="00275290">
              <w:rPr>
                <w:rFonts w:cs="Arial"/>
                <w:bCs/>
                <w:color w:val="000000"/>
                <w:sz w:val="20"/>
                <w:szCs w:val="20"/>
              </w:rPr>
              <w:t>6,31E-03</w:t>
            </w:r>
          </w:p>
        </w:tc>
      </w:tr>
      <w:tr w:rsidR="009D4550" w:rsidRPr="00275290" w14:paraId="6223F976" w14:textId="77777777" w:rsidTr="009D4550">
        <w:tc>
          <w:tcPr>
            <w:tcW w:w="1983" w:type="dxa"/>
            <w:vMerge w:val="restart"/>
            <w:vAlign w:val="center"/>
          </w:tcPr>
          <w:p w14:paraId="0E1CC3C2" w14:textId="77777777" w:rsidR="009D4550" w:rsidRPr="00275290" w:rsidRDefault="009D4550" w:rsidP="009D4550">
            <w:pPr>
              <w:rPr>
                <w:rFonts w:cs="Arial"/>
                <w:sz w:val="20"/>
                <w:szCs w:val="20"/>
                <w:lang w:val="en-US"/>
              </w:rPr>
            </w:pPr>
            <w:r w:rsidRPr="00275290">
              <w:rPr>
                <w:rFonts w:cs="Arial"/>
                <w:sz w:val="20"/>
                <w:szCs w:val="20"/>
                <w:lang w:val="en-US"/>
              </w:rPr>
              <w:t>Automated dipping</w:t>
            </w:r>
          </w:p>
        </w:tc>
        <w:tc>
          <w:tcPr>
            <w:tcW w:w="1984" w:type="dxa"/>
            <w:vAlign w:val="center"/>
          </w:tcPr>
          <w:p w14:paraId="008EAB45"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7C4D159C" w14:textId="77777777" w:rsidR="009D4550" w:rsidRPr="00275290" w:rsidRDefault="009D4550" w:rsidP="009D4550">
            <w:pPr>
              <w:rPr>
                <w:rFonts w:cs="Arial"/>
                <w:bCs/>
                <w:color w:val="000000"/>
                <w:sz w:val="20"/>
                <w:szCs w:val="20"/>
              </w:rPr>
            </w:pPr>
            <w:r w:rsidRPr="00275290">
              <w:rPr>
                <w:rFonts w:cs="Arial"/>
                <w:bCs/>
                <w:color w:val="000000"/>
                <w:sz w:val="20"/>
                <w:szCs w:val="20"/>
              </w:rPr>
              <w:t>4,00E-05</w:t>
            </w:r>
          </w:p>
        </w:tc>
        <w:tc>
          <w:tcPr>
            <w:tcW w:w="1984" w:type="dxa"/>
            <w:vAlign w:val="center"/>
          </w:tcPr>
          <w:p w14:paraId="3442ED92" w14:textId="77777777" w:rsidR="009D4550" w:rsidRPr="00275290" w:rsidRDefault="009D4550" w:rsidP="009D4550">
            <w:pPr>
              <w:rPr>
                <w:rFonts w:cs="Arial"/>
                <w:sz w:val="20"/>
                <w:szCs w:val="20"/>
                <w:lang w:val="en-US"/>
              </w:rPr>
            </w:pPr>
            <w:r w:rsidRPr="00275290">
              <w:rPr>
                <w:rFonts w:cs="Arial"/>
                <w:bCs/>
                <w:color w:val="000000"/>
                <w:sz w:val="20"/>
                <w:szCs w:val="20"/>
              </w:rPr>
              <w:t>8,03E-03</w:t>
            </w:r>
          </w:p>
        </w:tc>
        <w:tc>
          <w:tcPr>
            <w:tcW w:w="1984" w:type="dxa"/>
            <w:vAlign w:val="center"/>
          </w:tcPr>
          <w:p w14:paraId="06A0CEA3" w14:textId="77777777" w:rsidR="009D4550" w:rsidRPr="00275290" w:rsidRDefault="009D4550" w:rsidP="009D4550">
            <w:pPr>
              <w:rPr>
                <w:rFonts w:cs="Arial"/>
                <w:bCs/>
                <w:color w:val="000000"/>
                <w:sz w:val="20"/>
                <w:szCs w:val="20"/>
              </w:rPr>
            </w:pPr>
            <w:r w:rsidRPr="00275290">
              <w:rPr>
                <w:rFonts w:cs="Arial"/>
                <w:bCs/>
                <w:color w:val="000000"/>
                <w:sz w:val="20"/>
                <w:szCs w:val="20"/>
              </w:rPr>
              <w:t>8,07E-03</w:t>
            </w:r>
          </w:p>
        </w:tc>
      </w:tr>
      <w:tr w:rsidR="009D4550" w:rsidRPr="00275290" w14:paraId="79BAB551" w14:textId="77777777" w:rsidTr="009D4550">
        <w:tc>
          <w:tcPr>
            <w:tcW w:w="1983" w:type="dxa"/>
            <w:vMerge/>
            <w:vAlign w:val="center"/>
          </w:tcPr>
          <w:p w14:paraId="19261131" w14:textId="77777777" w:rsidR="009D4550" w:rsidRPr="00275290" w:rsidRDefault="009D4550" w:rsidP="009D4550">
            <w:pPr>
              <w:rPr>
                <w:rFonts w:cs="Arial"/>
                <w:sz w:val="20"/>
                <w:szCs w:val="20"/>
                <w:lang w:val="en-US"/>
              </w:rPr>
            </w:pPr>
          </w:p>
        </w:tc>
        <w:tc>
          <w:tcPr>
            <w:tcW w:w="1984" w:type="dxa"/>
            <w:vAlign w:val="center"/>
          </w:tcPr>
          <w:p w14:paraId="646E38CD"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984" w:type="dxa"/>
            <w:vAlign w:val="center"/>
          </w:tcPr>
          <w:p w14:paraId="7385EC8F" w14:textId="77777777" w:rsidR="009D4550" w:rsidRPr="00275290" w:rsidRDefault="009D4550" w:rsidP="009D4550">
            <w:pPr>
              <w:rPr>
                <w:rFonts w:cs="Arial"/>
                <w:sz w:val="20"/>
                <w:szCs w:val="20"/>
                <w:lang w:val="en-US"/>
              </w:rPr>
            </w:pPr>
            <w:r w:rsidRPr="00275290">
              <w:rPr>
                <w:rFonts w:cs="Arial"/>
                <w:bCs/>
                <w:color w:val="000000"/>
                <w:sz w:val="20"/>
                <w:szCs w:val="20"/>
              </w:rPr>
              <w:t>8,00E-05</w:t>
            </w:r>
          </w:p>
        </w:tc>
        <w:tc>
          <w:tcPr>
            <w:tcW w:w="1984" w:type="dxa"/>
            <w:vAlign w:val="center"/>
          </w:tcPr>
          <w:p w14:paraId="73D10CDA" w14:textId="77777777" w:rsidR="009D4550" w:rsidRPr="00275290" w:rsidRDefault="009D4550" w:rsidP="009D4550">
            <w:pPr>
              <w:rPr>
                <w:rFonts w:cs="Arial"/>
                <w:bCs/>
                <w:color w:val="000000"/>
                <w:sz w:val="20"/>
                <w:szCs w:val="20"/>
              </w:rPr>
            </w:pPr>
            <w:r w:rsidRPr="00275290">
              <w:rPr>
                <w:rFonts w:cs="Arial"/>
                <w:bCs/>
                <w:color w:val="000000"/>
                <w:sz w:val="20"/>
                <w:szCs w:val="20"/>
              </w:rPr>
              <w:t>1,16E-02</w:t>
            </w:r>
          </w:p>
        </w:tc>
        <w:tc>
          <w:tcPr>
            <w:tcW w:w="1984" w:type="dxa"/>
            <w:vAlign w:val="center"/>
          </w:tcPr>
          <w:p w14:paraId="35E6FE68" w14:textId="77777777" w:rsidR="009D4550" w:rsidRPr="00275290" w:rsidRDefault="009D4550" w:rsidP="009D4550">
            <w:pPr>
              <w:rPr>
                <w:rFonts w:cs="Arial"/>
                <w:bCs/>
                <w:color w:val="000000"/>
                <w:sz w:val="20"/>
                <w:szCs w:val="20"/>
              </w:rPr>
            </w:pPr>
            <w:r w:rsidRPr="00275290">
              <w:rPr>
                <w:rFonts w:cs="Arial"/>
                <w:bCs/>
                <w:color w:val="000000"/>
                <w:sz w:val="20"/>
                <w:szCs w:val="20"/>
              </w:rPr>
              <w:t>1,17E-02</w:t>
            </w:r>
          </w:p>
        </w:tc>
      </w:tr>
      <w:tr w:rsidR="009D4550" w:rsidRPr="00275290" w14:paraId="7329A2E4" w14:textId="77777777" w:rsidTr="009D4550">
        <w:tc>
          <w:tcPr>
            <w:tcW w:w="1983" w:type="dxa"/>
            <w:vMerge/>
            <w:vAlign w:val="center"/>
          </w:tcPr>
          <w:p w14:paraId="0ACAE6F4" w14:textId="77777777" w:rsidR="009D4550" w:rsidRPr="00275290" w:rsidRDefault="009D4550" w:rsidP="009D4550">
            <w:pPr>
              <w:rPr>
                <w:rFonts w:cs="Arial"/>
                <w:sz w:val="20"/>
                <w:szCs w:val="20"/>
                <w:lang w:val="en-US"/>
              </w:rPr>
            </w:pPr>
          </w:p>
        </w:tc>
        <w:tc>
          <w:tcPr>
            <w:tcW w:w="1984" w:type="dxa"/>
            <w:tcBorders>
              <w:bottom w:val="single" w:sz="4" w:space="0" w:color="auto"/>
            </w:tcBorders>
            <w:vAlign w:val="center"/>
          </w:tcPr>
          <w:p w14:paraId="250AE24E"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984" w:type="dxa"/>
            <w:tcBorders>
              <w:bottom w:val="single" w:sz="4" w:space="0" w:color="auto"/>
            </w:tcBorders>
            <w:vAlign w:val="center"/>
          </w:tcPr>
          <w:p w14:paraId="2D987EA3" w14:textId="77777777" w:rsidR="009D4550" w:rsidRPr="00275290" w:rsidRDefault="009D4550" w:rsidP="009D4550">
            <w:pPr>
              <w:rPr>
                <w:rFonts w:cs="Arial"/>
                <w:bCs/>
                <w:color w:val="000000"/>
                <w:sz w:val="20"/>
                <w:szCs w:val="20"/>
              </w:rPr>
            </w:pPr>
            <w:r w:rsidRPr="00275290">
              <w:rPr>
                <w:rFonts w:cs="Arial"/>
                <w:bCs/>
                <w:color w:val="000000"/>
                <w:sz w:val="20"/>
                <w:szCs w:val="20"/>
              </w:rPr>
              <w:t>2,50E-05</w:t>
            </w:r>
          </w:p>
        </w:tc>
        <w:tc>
          <w:tcPr>
            <w:tcW w:w="1984" w:type="dxa"/>
            <w:tcBorders>
              <w:bottom w:val="single" w:sz="4" w:space="0" w:color="auto"/>
            </w:tcBorders>
            <w:vAlign w:val="center"/>
          </w:tcPr>
          <w:p w14:paraId="4E3F04D0" w14:textId="77777777" w:rsidR="009D4550" w:rsidRPr="00275290" w:rsidRDefault="009D4550" w:rsidP="009D4550">
            <w:pPr>
              <w:rPr>
                <w:rFonts w:cs="Arial"/>
                <w:bCs/>
                <w:color w:val="000000"/>
                <w:sz w:val="20"/>
                <w:szCs w:val="20"/>
              </w:rPr>
            </w:pPr>
            <w:r w:rsidRPr="00275290">
              <w:rPr>
                <w:rFonts w:cs="Arial"/>
                <w:bCs/>
                <w:color w:val="000000"/>
                <w:sz w:val="20"/>
                <w:szCs w:val="20"/>
              </w:rPr>
              <w:t>4,32E-03</w:t>
            </w:r>
          </w:p>
        </w:tc>
        <w:tc>
          <w:tcPr>
            <w:tcW w:w="1984" w:type="dxa"/>
            <w:tcBorders>
              <w:bottom w:val="single" w:sz="4" w:space="0" w:color="auto"/>
            </w:tcBorders>
            <w:vAlign w:val="center"/>
          </w:tcPr>
          <w:p w14:paraId="62A871FB" w14:textId="77777777" w:rsidR="009D4550" w:rsidRPr="00275290" w:rsidRDefault="009D4550" w:rsidP="009D4550">
            <w:pPr>
              <w:rPr>
                <w:rFonts w:cs="Arial"/>
                <w:bCs/>
                <w:color w:val="000000"/>
                <w:sz w:val="20"/>
                <w:szCs w:val="20"/>
              </w:rPr>
            </w:pPr>
            <w:r w:rsidRPr="00275290">
              <w:rPr>
                <w:rFonts w:cs="Arial"/>
                <w:bCs/>
                <w:color w:val="000000"/>
                <w:sz w:val="20"/>
                <w:szCs w:val="20"/>
              </w:rPr>
              <w:t>4,34E-03</w:t>
            </w:r>
          </w:p>
        </w:tc>
      </w:tr>
      <w:tr w:rsidR="009D4550" w:rsidRPr="00275290" w14:paraId="047A6EF0" w14:textId="77777777" w:rsidTr="009D4550">
        <w:tc>
          <w:tcPr>
            <w:tcW w:w="1983" w:type="dxa"/>
            <w:vMerge/>
            <w:tcBorders>
              <w:bottom w:val="single" w:sz="4" w:space="0" w:color="auto"/>
            </w:tcBorders>
            <w:vAlign w:val="center"/>
          </w:tcPr>
          <w:p w14:paraId="1F5AF692" w14:textId="77777777" w:rsidR="009D4550" w:rsidRPr="00275290" w:rsidRDefault="009D4550" w:rsidP="009D4550">
            <w:pPr>
              <w:rPr>
                <w:rFonts w:cs="Arial"/>
                <w:sz w:val="20"/>
                <w:szCs w:val="20"/>
                <w:lang w:val="en-US"/>
              </w:rPr>
            </w:pPr>
          </w:p>
        </w:tc>
        <w:tc>
          <w:tcPr>
            <w:tcW w:w="1984" w:type="dxa"/>
            <w:tcBorders>
              <w:bottom w:val="single" w:sz="4" w:space="0" w:color="auto"/>
            </w:tcBorders>
            <w:vAlign w:val="center"/>
          </w:tcPr>
          <w:p w14:paraId="7FB20EAF"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984" w:type="dxa"/>
            <w:tcBorders>
              <w:bottom w:val="single" w:sz="4" w:space="0" w:color="auto"/>
            </w:tcBorders>
            <w:vAlign w:val="center"/>
          </w:tcPr>
          <w:p w14:paraId="6CEA52FF" w14:textId="77777777" w:rsidR="009D4550" w:rsidRPr="00275290" w:rsidRDefault="009D4550" w:rsidP="009D4550">
            <w:pPr>
              <w:rPr>
                <w:rFonts w:cs="Arial"/>
                <w:bCs/>
                <w:color w:val="000000"/>
                <w:sz w:val="20"/>
                <w:szCs w:val="20"/>
              </w:rPr>
            </w:pPr>
            <w:r w:rsidRPr="00275290">
              <w:rPr>
                <w:rFonts w:cs="Arial"/>
                <w:bCs/>
                <w:color w:val="000000"/>
                <w:sz w:val="20"/>
                <w:szCs w:val="20"/>
              </w:rPr>
              <w:t>2,50E-05</w:t>
            </w:r>
          </w:p>
        </w:tc>
        <w:tc>
          <w:tcPr>
            <w:tcW w:w="1984" w:type="dxa"/>
            <w:tcBorders>
              <w:bottom w:val="single" w:sz="4" w:space="0" w:color="auto"/>
            </w:tcBorders>
            <w:vAlign w:val="center"/>
          </w:tcPr>
          <w:p w14:paraId="747EF18D" w14:textId="77777777" w:rsidR="009D4550" w:rsidRPr="00275290" w:rsidRDefault="009D4550" w:rsidP="009D4550">
            <w:pPr>
              <w:rPr>
                <w:rFonts w:cs="Arial"/>
                <w:bCs/>
                <w:color w:val="000000"/>
                <w:sz w:val="20"/>
                <w:szCs w:val="20"/>
              </w:rPr>
            </w:pPr>
            <w:r w:rsidRPr="00275290">
              <w:rPr>
                <w:rFonts w:cs="Arial"/>
                <w:bCs/>
                <w:color w:val="000000"/>
                <w:sz w:val="20"/>
                <w:szCs w:val="20"/>
              </w:rPr>
              <w:t>1,05E-02</w:t>
            </w:r>
          </w:p>
        </w:tc>
        <w:tc>
          <w:tcPr>
            <w:tcW w:w="1984" w:type="dxa"/>
            <w:tcBorders>
              <w:bottom w:val="single" w:sz="4" w:space="0" w:color="auto"/>
            </w:tcBorders>
            <w:vAlign w:val="center"/>
          </w:tcPr>
          <w:p w14:paraId="4505A43C" w14:textId="77777777" w:rsidR="009D4550" w:rsidRPr="00275290" w:rsidRDefault="009D4550" w:rsidP="009D4550">
            <w:pPr>
              <w:rPr>
                <w:rFonts w:cs="Arial"/>
                <w:bCs/>
                <w:color w:val="000000"/>
                <w:sz w:val="20"/>
                <w:szCs w:val="20"/>
              </w:rPr>
            </w:pPr>
            <w:r w:rsidRPr="00275290">
              <w:rPr>
                <w:rFonts w:cs="Arial"/>
                <w:bCs/>
                <w:color w:val="000000"/>
                <w:sz w:val="20"/>
                <w:szCs w:val="20"/>
              </w:rPr>
              <w:t>1,05E-02</w:t>
            </w:r>
          </w:p>
        </w:tc>
      </w:tr>
      <w:tr w:rsidR="009D4550" w:rsidRPr="00275290" w14:paraId="671ACEDD" w14:textId="77777777" w:rsidTr="009D4550">
        <w:tc>
          <w:tcPr>
            <w:tcW w:w="1983" w:type="dxa"/>
            <w:vMerge w:val="restart"/>
            <w:tcBorders>
              <w:top w:val="single" w:sz="4" w:space="0" w:color="auto"/>
              <w:left w:val="single" w:sz="4" w:space="0" w:color="auto"/>
            </w:tcBorders>
            <w:shd w:val="clear" w:color="auto" w:fill="C6D9F1" w:themeFill="text2" w:themeFillTint="33"/>
            <w:vAlign w:val="center"/>
          </w:tcPr>
          <w:p w14:paraId="67FE9832" w14:textId="77777777" w:rsidR="009D4550" w:rsidRPr="00275290" w:rsidRDefault="009D4550" w:rsidP="009D4550">
            <w:pPr>
              <w:rPr>
                <w:rFonts w:cs="Arial"/>
                <w:sz w:val="20"/>
                <w:szCs w:val="20"/>
                <w:lang w:val="en-US"/>
              </w:rPr>
            </w:pPr>
            <w:r w:rsidRPr="00275290">
              <w:rPr>
                <w:rFonts w:cs="Arial"/>
                <w:sz w:val="20"/>
                <w:szCs w:val="20"/>
                <w:lang w:val="en-US"/>
              </w:rPr>
              <w:t xml:space="preserve">Transfer + Application </w:t>
            </w:r>
          </w:p>
        </w:tc>
        <w:tc>
          <w:tcPr>
            <w:tcW w:w="1984" w:type="dxa"/>
            <w:tcBorders>
              <w:top w:val="single" w:sz="4" w:space="0" w:color="auto"/>
            </w:tcBorders>
            <w:shd w:val="clear" w:color="auto" w:fill="C6D9F1" w:themeFill="text2" w:themeFillTint="33"/>
            <w:vAlign w:val="center"/>
          </w:tcPr>
          <w:p w14:paraId="2D219A0C"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3968" w:type="dxa"/>
            <w:gridSpan w:val="2"/>
            <w:tcBorders>
              <w:top w:val="single" w:sz="4" w:space="0" w:color="auto"/>
            </w:tcBorders>
            <w:shd w:val="clear" w:color="auto" w:fill="C6D9F1" w:themeFill="text2" w:themeFillTint="33"/>
            <w:vAlign w:val="center"/>
          </w:tcPr>
          <w:p w14:paraId="7D1F76B4"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top w:val="single" w:sz="4" w:space="0" w:color="auto"/>
              <w:right w:val="single" w:sz="4" w:space="0" w:color="auto"/>
            </w:tcBorders>
            <w:shd w:val="clear" w:color="auto" w:fill="C6D9F1" w:themeFill="text2" w:themeFillTint="33"/>
            <w:vAlign w:val="center"/>
          </w:tcPr>
          <w:p w14:paraId="3B19C802" w14:textId="77777777" w:rsidR="009D4550" w:rsidRPr="00275290" w:rsidRDefault="009D4550" w:rsidP="009D4550">
            <w:pPr>
              <w:rPr>
                <w:rFonts w:cs="Arial"/>
                <w:color w:val="000000"/>
                <w:sz w:val="20"/>
                <w:szCs w:val="20"/>
              </w:rPr>
            </w:pPr>
            <w:r w:rsidRPr="00275290">
              <w:rPr>
                <w:rFonts w:cs="Arial"/>
                <w:color w:val="000000"/>
                <w:sz w:val="20"/>
                <w:szCs w:val="20"/>
              </w:rPr>
              <w:t>1,29E-02</w:t>
            </w:r>
          </w:p>
        </w:tc>
      </w:tr>
      <w:tr w:rsidR="009D4550" w:rsidRPr="00275290" w14:paraId="5A06B8DE" w14:textId="77777777" w:rsidTr="009D4550">
        <w:tc>
          <w:tcPr>
            <w:tcW w:w="1983" w:type="dxa"/>
            <w:vMerge/>
            <w:tcBorders>
              <w:left w:val="single" w:sz="4" w:space="0" w:color="auto"/>
            </w:tcBorders>
            <w:shd w:val="clear" w:color="auto" w:fill="C6D9F1" w:themeFill="text2" w:themeFillTint="33"/>
            <w:vAlign w:val="center"/>
          </w:tcPr>
          <w:p w14:paraId="0A7EE1D5"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40AA7149"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3968" w:type="dxa"/>
            <w:gridSpan w:val="2"/>
            <w:shd w:val="clear" w:color="auto" w:fill="C6D9F1" w:themeFill="text2" w:themeFillTint="33"/>
            <w:vAlign w:val="center"/>
          </w:tcPr>
          <w:p w14:paraId="65C8CD3E"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6376A78D" w14:textId="77777777" w:rsidR="009D4550" w:rsidRPr="00275290" w:rsidRDefault="009D4550" w:rsidP="009D4550">
            <w:pPr>
              <w:rPr>
                <w:rFonts w:cs="Arial"/>
                <w:color w:val="000000"/>
                <w:sz w:val="20"/>
                <w:szCs w:val="20"/>
              </w:rPr>
            </w:pPr>
            <w:r w:rsidRPr="00275290">
              <w:rPr>
                <w:rFonts w:cs="Arial"/>
                <w:color w:val="000000"/>
                <w:sz w:val="20"/>
                <w:szCs w:val="20"/>
              </w:rPr>
              <w:t>1,87E-02</w:t>
            </w:r>
          </w:p>
        </w:tc>
      </w:tr>
      <w:tr w:rsidR="009D4550" w:rsidRPr="00275290" w14:paraId="029B0B56" w14:textId="77777777" w:rsidTr="009D4550">
        <w:tc>
          <w:tcPr>
            <w:tcW w:w="1983" w:type="dxa"/>
            <w:vMerge/>
            <w:tcBorders>
              <w:left w:val="single" w:sz="4" w:space="0" w:color="auto"/>
            </w:tcBorders>
            <w:shd w:val="clear" w:color="auto" w:fill="C6D9F1" w:themeFill="text2" w:themeFillTint="33"/>
            <w:vAlign w:val="center"/>
          </w:tcPr>
          <w:p w14:paraId="4EEF0506"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42A091FE"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3968" w:type="dxa"/>
            <w:gridSpan w:val="2"/>
            <w:shd w:val="clear" w:color="auto" w:fill="C6D9F1" w:themeFill="text2" w:themeFillTint="33"/>
            <w:vAlign w:val="center"/>
          </w:tcPr>
          <w:p w14:paraId="250D9CCF"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16457B62" w14:textId="77777777" w:rsidR="009D4550" w:rsidRPr="00275290" w:rsidRDefault="009D4550" w:rsidP="009D4550">
            <w:pPr>
              <w:rPr>
                <w:rFonts w:cs="Arial"/>
                <w:sz w:val="20"/>
                <w:szCs w:val="20"/>
                <w:lang w:val="fr-FR"/>
              </w:rPr>
            </w:pPr>
            <w:r w:rsidRPr="00275290">
              <w:rPr>
                <w:rFonts w:cs="Arial"/>
                <w:color w:val="000000"/>
                <w:sz w:val="20"/>
                <w:szCs w:val="20"/>
              </w:rPr>
              <w:t>6,96E-03</w:t>
            </w:r>
          </w:p>
        </w:tc>
      </w:tr>
      <w:tr w:rsidR="009D4550" w:rsidRPr="00275290" w14:paraId="504AB83F" w14:textId="77777777" w:rsidTr="009D4550">
        <w:tc>
          <w:tcPr>
            <w:tcW w:w="1983" w:type="dxa"/>
            <w:vMerge/>
            <w:tcBorders>
              <w:left w:val="single" w:sz="4" w:space="0" w:color="auto"/>
            </w:tcBorders>
            <w:shd w:val="clear" w:color="auto" w:fill="C6D9F1" w:themeFill="text2" w:themeFillTint="33"/>
            <w:vAlign w:val="center"/>
          </w:tcPr>
          <w:p w14:paraId="110EA694"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7A19486B"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3968" w:type="dxa"/>
            <w:gridSpan w:val="2"/>
            <w:shd w:val="clear" w:color="auto" w:fill="C6D9F1" w:themeFill="text2" w:themeFillTint="33"/>
            <w:vAlign w:val="center"/>
          </w:tcPr>
          <w:p w14:paraId="36FC1ABF"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009ADE31" w14:textId="77777777" w:rsidR="009D4550" w:rsidRPr="00275290" w:rsidRDefault="009D4550" w:rsidP="009D4550">
            <w:pPr>
              <w:rPr>
                <w:rFonts w:cs="Arial"/>
                <w:color w:val="000000"/>
                <w:sz w:val="20"/>
                <w:szCs w:val="20"/>
              </w:rPr>
            </w:pPr>
            <w:r w:rsidRPr="00275290">
              <w:rPr>
                <w:rFonts w:cs="Arial"/>
                <w:color w:val="000000"/>
                <w:sz w:val="20"/>
                <w:szCs w:val="20"/>
              </w:rPr>
              <w:t>1,68E-02</w:t>
            </w:r>
          </w:p>
        </w:tc>
      </w:tr>
      <w:tr w:rsidR="009D4550" w:rsidRPr="00275290" w14:paraId="3BE8ABEB" w14:textId="77777777" w:rsidTr="009D4550">
        <w:tc>
          <w:tcPr>
            <w:tcW w:w="9919" w:type="dxa"/>
            <w:gridSpan w:val="5"/>
            <w:tcBorders>
              <w:left w:val="single" w:sz="4" w:space="0" w:color="auto"/>
              <w:right w:val="single" w:sz="4" w:space="0" w:color="auto"/>
            </w:tcBorders>
            <w:shd w:val="clear" w:color="auto" w:fill="BFBFBF" w:themeFill="background1" w:themeFillShade="BF"/>
            <w:vAlign w:val="center"/>
          </w:tcPr>
          <w:p w14:paraId="5D8B1670" w14:textId="77777777" w:rsidR="009D4550" w:rsidRPr="00275290" w:rsidRDefault="009D4550" w:rsidP="009D4550">
            <w:pPr>
              <w:rPr>
                <w:rFonts w:cs="Arial"/>
                <w:sz w:val="20"/>
                <w:szCs w:val="20"/>
                <w:lang w:val="en-US"/>
              </w:rPr>
            </w:pPr>
            <w:r w:rsidRPr="00275290">
              <w:rPr>
                <w:rFonts w:cs="Arial"/>
                <w:sz w:val="20"/>
                <w:szCs w:val="20"/>
                <w:lang w:val="en-US"/>
              </w:rPr>
              <w:t>Automated dipping 200g/m</w:t>
            </w:r>
            <w:r w:rsidRPr="00275290">
              <w:rPr>
                <w:rFonts w:cs="Arial"/>
                <w:sz w:val="20"/>
                <w:szCs w:val="20"/>
                <w:vertAlign w:val="superscript"/>
                <w:lang w:val="en-US"/>
              </w:rPr>
              <w:t>2</w:t>
            </w:r>
            <w:r w:rsidRPr="00275290">
              <w:rPr>
                <w:rFonts w:cs="Arial"/>
                <w:sz w:val="20"/>
                <w:szCs w:val="20"/>
                <w:lang w:val="en-US"/>
              </w:rPr>
              <w:t xml:space="preserve"> – with gloves/clothes during M&amp;L and gloves during application</w:t>
            </w:r>
          </w:p>
        </w:tc>
      </w:tr>
      <w:tr w:rsidR="009D4550" w:rsidRPr="00275290" w14:paraId="166D7CE9" w14:textId="77777777" w:rsidTr="009D4550">
        <w:tc>
          <w:tcPr>
            <w:tcW w:w="1983" w:type="dxa"/>
            <w:vMerge w:val="restart"/>
            <w:tcBorders>
              <w:left w:val="single" w:sz="4" w:space="0" w:color="auto"/>
            </w:tcBorders>
            <w:shd w:val="clear" w:color="auto" w:fill="auto"/>
            <w:vAlign w:val="center"/>
          </w:tcPr>
          <w:p w14:paraId="6818190E" w14:textId="77777777" w:rsidR="009D4550" w:rsidRPr="00275290" w:rsidRDefault="009D4550" w:rsidP="009D4550">
            <w:pPr>
              <w:rPr>
                <w:rFonts w:cs="Arial"/>
                <w:sz w:val="20"/>
                <w:szCs w:val="20"/>
                <w:lang w:val="en-US"/>
              </w:rPr>
            </w:pPr>
            <w:r w:rsidRPr="00275290">
              <w:rPr>
                <w:rFonts w:cs="Arial"/>
                <w:sz w:val="20"/>
                <w:szCs w:val="20"/>
                <w:lang w:val="en-US"/>
              </w:rPr>
              <w:t>Transfer of product</w:t>
            </w:r>
          </w:p>
        </w:tc>
        <w:tc>
          <w:tcPr>
            <w:tcW w:w="1984" w:type="dxa"/>
            <w:shd w:val="clear" w:color="auto" w:fill="auto"/>
            <w:vAlign w:val="center"/>
          </w:tcPr>
          <w:p w14:paraId="7F86213F"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shd w:val="clear" w:color="auto" w:fill="auto"/>
            <w:vAlign w:val="center"/>
          </w:tcPr>
          <w:p w14:paraId="57B6750E" w14:textId="77777777" w:rsidR="009D4550" w:rsidRPr="00275290" w:rsidRDefault="009D4550" w:rsidP="009D4550">
            <w:pPr>
              <w:rPr>
                <w:rFonts w:cs="Arial"/>
                <w:bCs/>
                <w:color w:val="000000"/>
                <w:sz w:val="20"/>
                <w:szCs w:val="20"/>
              </w:rPr>
            </w:pPr>
            <w:r w:rsidRPr="00275290">
              <w:rPr>
                <w:rFonts w:cs="Arial"/>
                <w:bCs/>
                <w:color w:val="000000"/>
                <w:sz w:val="20"/>
                <w:szCs w:val="20"/>
              </w:rPr>
              <w:t>2,61E-06</w:t>
            </w:r>
          </w:p>
        </w:tc>
        <w:tc>
          <w:tcPr>
            <w:tcW w:w="1984" w:type="dxa"/>
            <w:shd w:val="clear" w:color="auto" w:fill="auto"/>
            <w:vAlign w:val="center"/>
          </w:tcPr>
          <w:p w14:paraId="0DB58E01" w14:textId="6F5789C9" w:rsidR="009D4550" w:rsidRPr="00275290" w:rsidRDefault="009D4550" w:rsidP="009D4550">
            <w:pPr>
              <w:rPr>
                <w:rFonts w:cs="Arial"/>
                <w:bCs/>
                <w:color w:val="000000"/>
                <w:sz w:val="20"/>
                <w:szCs w:val="20"/>
              </w:rPr>
            </w:pPr>
            <w:r w:rsidRPr="00275290">
              <w:rPr>
                <w:rFonts w:cs="Arial"/>
                <w:bCs/>
                <w:color w:val="000000"/>
                <w:sz w:val="20"/>
                <w:szCs w:val="20"/>
              </w:rPr>
              <w:t>4,85E-05</w:t>
            </w:r>
          </w:p>
        </w:tc>
        <w:tc>
          <w:tcPr>
            <w:tcW w:w="1984" w:type="dxa"/>
            <w:tcBorders>
              <w:right w:val="single" w:sz="4" w:space="0" w:color="auto"/>
            </w:tcBorders>
            <w:shd w:val="clear" w:color="auto" w:fill="auto"/>
            <w:vAlign w:val="center"/>
          </w:tcPr>
          <w:p w14:paraId="09156FC5" w14:textId="77777777" w:rsidR="009D4550" w:rsidRPr="00275290" w:rsidRDefault="009D4550" w:rsidP="009D4550">
            <w:pPr>
              <w:rPr>
                <w:rFonts w:cs="Arial"/>
                <w:bCs/>
                <w:color w:val="000000"/>
                <w:sz w:val="20"/>
                <w:szCs w:val="20"/>
              </w:rPr>
            </w:pPr>
            <w:r w:rsidRPr="00275290">
              <w:rPr>
                <w:rFonts w:cs="Arial"/>
                <w:bCs/>
                <w:color w:val="000000"/>
                <w:sz w:val="20"/>
                <w:szCs w:val="20"/>
              </w:rPr>
              <w:t>5,11E-05</w:t>
            </w:r>
          </w:p>
        </w:tc>
      </w:tr>
      <w:tr w:rsidR="009D4550" w:rsidRPr="00275290" w14:paraId="616C0C13" w14:textId="77777777" w:rsidTr="009D4550">
        <w:tc>
          <w:tcPr>
            <w:tcW w:w="1983" w:type="dxa"/>
            <w:vMerge/>
            <w:tcBorders>
              <w:left w:val="single" w:sz="4" w:space="0" w:color="auto"/>
            </w:tcBorders>
            <w:shd w:val="clear" w:color="auto" w:fill="auto"/>
            <w:vAlign w:val="center"/>
          </w:tcPr>
          <w:p w14:paraId="015DADCC" w14:textId="77777777" w:rsidR="009D4550" w:rsidRPr="00275290" w:rsidRDefault="009D4550" w:rsidP="009D4550">
            <w:pPr>
              <w:rPr>
                <w:rFonts w:cs="Arial"/>
                <w:sz w:val="20"/>
                <w:szCs w:val="20"/>
                <w:lang w:val="en-US"/>
              </w:rPr>
            </w:pPr>
          </w:p>
        </w:tc>
        <w:tc>
          <w:tcPr>
            <w:tcW w:w="1984" w:type="dxa"/>
            <w:shd w:val="clear" w:color="auto" w:fill="auto"/>
            <w:vAlign w:val="center"/>
          </w:tcPr>
          <w:p w14:paraId="01E1129A"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shd w:val="clear" w:color="auto" w:fill="auto"/>
            <w:vAlign w:val="center"/>
          </w:tcPr>
          <w:p w14:paraId="329346DC" w14:textId="77777777" w:rsidR="009D4550" w:rsidRPr="00275290" w:rsidRDefault="009D4550" w:rsidP="009D4550">
            <w:pPr>
              <w:rPr>
                <w:rFonts w:cs="Arial"/>
                <w:bCs/>
                <w:color w:val="000000"/>
                <w:sz w:val="20"/>
                <w:szCs w:val="20"/>
              </w:rPr>
            </w:pPr>
            <w:r w:rsidRPr="00275290">
              <w:rPr>
                <w:rFonts w:cs="Arial"/>
                <w:bCs/>
                <w:color w:val="000000"/>
                <w:sz w:val="20"/>
                <w:szCs w:val="20"/>
              </w:rPr>
              <w:t>5,22E-06</w:t>
            </w:r>
          </w:p>
        </w:tc>
        <w:tc>
          <w:tcPr>
            <w:tcW w:w="1984" w:type="dxa"/>
            <w:shd w:val="clear" w:color="auto" w:fill="auto"/>
            <w:vAlign w:val="center"/>
          </w:tcPr>
          <w:p w14:paraId="57122BA4" w14:textId="406F894D" w:rsidR="009D4550" w:rsidRPr="00275290" w:rsidRDefault="009D4550" w:rsidP="009D4550">
            <w:pPr>
              <w:rPr>
                <w:rFonts w:cs="Arial"/>
                <w:bCs/>
                <w:color w:val="000000"/>
                <w:sz w:val="20"/>
                <w:szCs w:val="20"/>
              </w:rPr>
            </w:pPr>
            <w:r w:rsidRPr="00275290">
              <w:rPr>
                <w:rFonts w:cs="Arial"/>
                <w:bCs/>
                <w:color w:val="000000"/>
                <w:sz w:val="20"/>
                <w:szCs w:val="20"/>
              </w:rPr>
              <w:t>7,00E-05</w:t>
            </w:r>
          </w:p>
        </w:tc>
        <w:tc>
          <w:tcPr>
            <w:tcW w:w="1984" w:type="dxa"/>
            <w:tcBorders>
              <w:right w:val="single" w:sz="4" w:space="0" w:color="auto"/>
            </w:tcBorders>
            <w:shd w:val="clear" w:color="auto" w:fill="auto"/>
            <w:vAlign w:val="center"/>
          </w:tcPr>
          <w:p w14:paraId="6F21093B" w14:textId="77777777" w:rsidR="009D4550" w:rsidRPr="00275290" w:rsidRDefault="009D4550" w:rsidP="009D4550">
            <w:pPr>
              <w:rPr>
                <w:rFonts w:cs="Arial"/>
                <w:bCs/>
                <w:color w:val="000000"/>
                <w:sz w:val="20"/>
                <w:szCs w:val="20"/>
              </w:rPr>
            </w:pPr>
            <w:r w:rsidRPr="00275290">
              <w:rPr>
                <w:rFonts w:cs="Arial"/>
                <w:bCs/>
                <w:color w:val="000000"/>
                <w:sz w:val="20"/>
                <w:szCs w:val="20"/>
              </w:rPr>
              <w:t>7,52E-05</w:t>
            </w:r>
          </w:p>
        </w:tc>
      </w:tr>
      <w:tr w:rsidR="009D4550" w:rsidRPr="00275290" w14:paraId="0981319B" w14:textId="77777777" w:rsidTr="009D4550">
        <w:tc>
          <w:tcPr>
            <w:tcW w:w="1983" w:type="dxa"/>
            <w:vMerge/>
            <w:tcBorders>
              <w:left w:val="single" w:sz="4" w:space="0" w:color="auto"/>
            </w:tcBorders>
            <w:shd w:val="clear" w:color="auto" w:fill="auto"/>
            <w:vAlign w:val="center"/>
          </w:tcPr>
          <w:p w14:paraId="0918279F" w14:textId="77777777" w:rsidR="009D4550" w:rsidRPr="00275290" w:rsidRDefault="009D4550" w:rsidP="009D4550">
            <w:pPr>
              <w:rPr>
                <w:rFonts w:cs="Arial"/>
                <w:sz w:val="20"/>
                <w:szCs w:val="20"/>
                <w:lang w:val="en-US"/>
              </w:rPr>
            </w:pPr>
          </w:p>
        </w:tc>
        <w:tc>
          <w:tcPr>
            <w:tcW w:w="1984" w:type="dxa"/>
            <w:shd w:val="clear" w:color="auto" w:fill="auto"/>
            <w:vAlign w:val="center"/>
          </w:tcPr>
          <w:p w14:paraId="7EB4B5C1" w14:textId="77777777" w:rsidR="009D4550" w:rsidRPr="00275290" w:rsidRDefault="009D4550" w:rsidP="009D4550">
            <w:pPr>
              <w:rPr>
                <w:rFonts w:cs="Arial"/>
                <w:sz w:val="20"/>
                <w:szCs w:val="20"/>
                <w:lang w:val="en-US"/>
              </w:rPr>
            </w:pPr>
            <w:r w:rsidRPr="00275290">
              <w:rPr>
                <w:rFonts w:cs="Arial"/>
                <w:sz w:val="20"/>
                <w:szCs w:val="20"/>
                <w:lang w:val="fr-FR"/>
              </w:rPr>
              <w:t>Tébuconazole</w:t>
            </w:r>
          </w:p>
        </w:tc>
        <w:tc>
          <w:tcPr>
            <w:tcW w:w="1984" w:type="dxa"/>
            <w:shd w:val="clear" w:color="auto" w:fill="auto"/>
            <w:vAlign w:val="center"/>
          </w:tcPr>
          <w:p w14:paraId="75ADB9C0" w14:textId="77777777" w:rsidR="009D4550" w:rsidRPr="00275290" w:rsidRDefault="009D4550" w:rsidP="009D4550">
            <w:pPr>
              <w:rPr>
                <w:rFonts w:cs="Arial"/>
                <w:bCs/>
                <w:color w:val="000000"/>
                <w:sz w:val="20"/>
                <w:szCs w:val="20"/>
              </w:rPr>
            </w:pPr>
            <w:r w:rsidRPr="00275290">
              <w:rPr>
                <w:rFonts w:cs="Arial"/>
                <w:bCs/>
                <w:color w:val="000000"/>
                <w:sz w:val="20"/>
                <w:szCs w:val="20"/>
              </w:rPr>
              <w:t>1,63E-06</w:t>
            </w:r>
          </w:p>
        </w:tc>
        <w:tc>
          <w:tcPr>
            <w:tcW w:w="1984" w:type="dxa"/>
            <w:shd w:val="clear" w:color="auto" w:fill="auto"/>
            <w:vAlign w:val="center"/>
          </w:tcPr>
          <w:p w14:paraId="24BBF8B5" w14:textId="11F3364D" w:rsidR="009D4550" w:rsidRPr="00275290" w:rsidRDefault="009D4550" w:rsidP="009D4550">
            <w:pPr>
              <w:rPr>
                <w:rFonts w:cs="Arial"/>
                <w:bCs/>
                <w:color w:val="000000"/>
                <w:sz w:val="20"/>
                <w:szCs w:val="20"/>
              </w:rPr>
            </w:pPr>
            <w:r w:rsidRPr="00275290">
              <w:rPr>
                <w:rFonts w:cs="Arial"/>
                <w:bCs/>
                <w:color w:val="000000"/>
                <w:sz w:val="20"/>
                <w:szCs w:val="20"/>
              </w:rPr>
              <w:t>2,61E-05</w:t>
            </w:r>
          </w:p>
        </w:tc>
        <w:tc>
          <w:tcPr>
            <w:tcW w:w="1984" w:type="dxa"/>
            <w:tcBorders>
              <w:right w:val="single" w:sz="4" w:space="0" w:color="auto"/>
            </w:tcBorders>
            <w:shd w:val="clear" w:color="auto" w:fill="auto"/>
            <w:vAlign w:val="center"/>
          </w:tcPr>
          <w:p w14:paraId="5A40F844" w14:textId="77777777" w:rsidR="009D4550" w:rsidRPr="00275290" w:rsidRDefault="009D4550" w:rsidP="009D4550">
            <w:pPr>
              <w:rPr>
                <w:rFonts w:cs="Arial"/>
                <w:bCs/>
                <w:color w:val="000000"/>
                <w:sz w:val="20"/>
                <w:szCs w:val="20"/>
              </w:rPr>
            </w:pPr>
            <w:r w:rsidRPr="00275290">
              <w:rPr>
                <w:rFonts w:cs="Arial"/>
                <w:bCs/>
                <w:color w:val="000000"/>
                <w:sz w:val="20"/>
                <w:szCs w:val="20"/>
              </w:rPr>
              <w:t>2,77E-05</w:t>
            </w:r>
          </w:p>
        </w:tc>
      </w:tr>
      <w:tr w:rsidR="009D4550" w:rsidRPr="00275290" w14:paraId="5F0236DD" w14:textId="77777777" w:rsidTr="009D4550">
        <w:tc>
          <w:tcPr>
            <w:tcW w:w="1983" w:type="dxa"/>
            <w:vMerge/>
            <w:tcBorders>
              <w:left w:val="single" w:sz="4" w:space="0" w:color="auto"/>
            </w:tcBorders>
            <w:shd w:val="clear" w:color="auto" w:fill="auto"/>
            <w:vAlign w:val="center"/>
          </w:tcPr>
          <w:p w14:paraId="3C58C62D" w14:textId="77777777" w:rsidR="009D4550" w:rsidRPr="00275290" w:rsidRDefault="009D4550" w:rsidP="009D4550">
            <w:pPr>
              <w:rPr>
                <w:rFonts w:cs="Arial"/>
                <w:sz w:val="20"/>
                <w:szCs w:val="20"/>
                <w:lang w:val="en-US"/>
              </w:rPr>
            </w:pPr>
          </w:p>
        </w:tc>
        <w:tc>
          <w:tcPr>
            <w:tcW w:w="1984" w:type="dxa"/>
            <w:shd w:val="clear" w:color="auto" w:fill="auto"/>
            <w:vAlign w:val="center"/>
          </w:tcPr>
          <w:p w14:paraId="34B76F09"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shd w:val="clear" w:color="auto" w:fill="auto"/>
            <w:vAlign w:val="center"/>
          </w:tcPr>
          <w:p w14:paraId="7C2B7911" w14:textId="77777777" w:rsidR="009D4550" w:rsidRPr="00275290" w:rsidRDefault="009D4550" w:rsidP="009D4550">
            <w:pPr>
              <w:rPr>
                <w:rFonts w:cs="Arial"/>
                <w:bCs/>
                <w:color w:val="000000"/>
                <w:sz w:val="20"/>
                <w:szCs w:val="20"/>
              </w:rPr>
            </w:pPr>
            <w:r w:rsidRPr="00275290">
              <w:rPr>
                <w:rFonts w:cs="Arial"/>
                <w:bCs/>
                <w:color w:val="000000"/>
                <w:sz w:val="20"/>
                <w:szCs w:val="20"/>
              </w:rPr>
              <w:t>1,63E-06</w:t>
            </w:r>
          </w:p>
        </w:tc>
        <w:tc>
          <w:tcPr>
            <w:tcW w:w="1984" w:type="dxa"/>
            <w:shd w:val="clear" w:color="auto" w:fill="auto"/>
            <w:vAlign w:val="center"/>
          </w:tcPr>
          <w:p w14:paraId="2AD08859" w14:textId="3A76EDF5" w:rsidR="009D4550" w:rsidRPr="00275290" w:rsidRDefault="009D4550" w:rsidP="009D4550">
            <w:pPr>
              <w:rPr>
                <w:rFonts w:cs="Arial"/>
                <w:bCs/>
                <w:color w:val="000000"/>
                <w:sz w:val="20"/>
                <w:szCs w:val="20"/>
              </w:rPr>
            </w:pPr>
            <w:r w:rsidRPr="00275290">
              <w:rPr>
                <w:rFonts w:cs="Arial"/>
                <w:bCs/>
                <w:color w:val="000000"/>
                <w:sz w:val="20"/>
                <w:szCs w:val="20"/>
              </w:rPr>
              <w:t>6,31E-05</w:t>
            </w:r>
          </w:p>
        </w:tc>
        <w:tc>
          <w:tcPr>
            <w:tcW w:w="1984" w:type="dxa"/>
            <w:tcBorders>
              <w:right w:val="single" w:sz="4" w:space="0" w:color="auto"/>
            </w:tcBorders>
            <w:shd w:val="clear" w:color="auto" w:fill="auto"/>
            <w:vAlign w:val="center"/>
          </w:tcPr>
          <w:p w14:paraId="1D0B8BE3" w14:textId="77777777" w:rsidR="009D4550" w:rsidRPr="00275290" w:rsidRDefault="009D4550" w:rsidP="009D4550">
            <w:pPr>
              <w:rPr>
                <w:rFonts w:cs="Arial"/>
                <w:bCs/>
                <w:color w:val="000000"/>
                <w:sz w:val="20"/>
                <w:szCs w:val="20"/>
              </w:rPr>
            </w:pPr>
            <w:r w:rsidRPr="00275290">
              <w:rPr>
                <w:rFonts w:cs="Arial"/>
                <w:bCs/>
                <w:color w:val="000000"/>
                <w:sz w:val="20"/>
                <w:szCs w:val="20"/>
              </w:rPr>
              <w:t>6,48E-05</w:t>
            </w:r>
          </w:p>
        </w:tc>
      </w:tr>
      <w:tr w:rsidR="009D4550" w:rsidRPr="00275290" w14:paraId="5BD43571" w14:textId="77777777" w:rsidTr="009D4550">
        <w:tc>
          <w:tcPr>
            <w:tcW w:w="1983" w:type="dxa"/>
            <w:vMerge w:val="restart"/>
            <w:tcBorders>
              <w:left w:val="single" w:sz="4" w:space="0" w:color="auto"/>
            </w:tcBorders>
            <w:shd w:val="clear" w:color="auto" w:fill="auto"/>
            <w:vAlign w:val="center"/>
          </w:tcPr>
          <w:p w14:paraId="72FFAD59" w14:textId="77777777" w:rsidR="009D4550" w:rsidRPr="00275290" w:rsidRDefault="009D4550" w:rsidP="009D4550">
            <w:pPr>
              <w:rPr>
                <w:rFonts w:cs="Arial"/>
                <w:sz w:val="20"/>
                <w:szCs w:val="20"/>
                <w:lang w:val="en-US"/>
              </w:rPr>
            </w:pPr>
            <w:r w:rsidRPr="00275290">
              <w:rPr>
                <w:rFonts w:cs="Arial"/>
                <w:sz w:val="20"/>
                <w:szCs w:val="20"/>
                <w:lang w:val="en-US"/>
              </w:rPr>
              <w:t>Automated dipping</w:t>
            </w:r>
          </w:p>
        </w:tc>
        <w:tc>
          <w:tcPr>
            <w:tcW w:w="1984" w:type="dxa"/>
            <w:shd w:val="clear" w:color="auto" w:fill="auto"/>
            <w:vAlign w:val="center"/>
          </w:tcPr>
          <w:p w14:paraId="55AA3334"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shd w:val="clear" w:color="auto" w:fill="auto"/>
            <w:vAlign w:val="center"/>
          </w:tcPr>
          <w:p w14:paraId="7D7B461A" w14:textId="77777777" w:rsidR="009D4550" w:rsidRPr="00275290" w:rsidRDefault="009D4550" w:rsidP="009D4550">
            <w:pPr>
              <w:rPr>
                <w:rFonts w:cs="Arial"/>
                <w:bCs/>
                <w:color w:val="000000"/>
                <w:sz w:val="20"/>
                <w:szCs w:val="20"/>
              </w:rPr>
            </w:pPr>
            <w:r w:rsidRPr="00275290">
              <w:rPr>
                <w:rFonts w:cs="Arial"/>
                <w:bCs/>
                <w:color w:val="000000"/>
                <w:sz w:val="20"/>
                <w:szCs w:val="20"/>
              </w:rPr>
              <w:t>4,00E-05</w:t>
            </w:r>
          </w:p>
        </w:tc>
        <w:tc>
          <w:tcPr>
            <w:tcW w:w="1984" w:type="dxa"/>
            <w:shd w:val="clear" w:color="auto" w:fill="auto"/>
            <w:vAlign w:val="center"/>
          </w:tcPr>
          <w:p w14:paraId="7D3D4914" w14:textId="77777777" w:rsidR="009D4550" w:rsidRPr="00275290" w:rsidRDefault="009D4550" w:rsidP="009D4550">
            <w:pPr>
              <w:rPr>
                <w:rFonts w:cs="Arial"/>
                <w:sz w:val="20"/>
                <w:szCs w:val="20"/>
                <w:lang w:val="en-US"/>
              </w:rPr>
            </w:pPr>
            <w:r w:rsidRPr="00275290">
              <w:rPr>
                <w:rFonts w:cs="Arial"/>
                <w:bCs/>
                <w:color w:val="000000"/>
                <w:sz w:val="20"/>
                <w:szCs w:val="20"/>
              </w:rPr>
              <w:t>8,03E-03</w:t>
            </w:r>
          </w:p>
        </w:tc>
        <w:tc>
          <w:tcPr>
            <w:tcW w:w="1984" w:type="dxa"/>
            <w:tcBorders>
              <w:right w:val="single" w:sz="4" w:space="0" w:color="auto"/>
            </w:tcBorders>
            <w:shd w:val="clear" w:color="auto" w:fill="auto"/>
            <w:vAlign w:val="center"/>
          </w:tcPr>
          <w:p w14:paraId="33298B5D" w14:textId="77777777" w:rsidR="009D4550" w:rsidRPr="00275290" w:rsidRDefault="009D4550" w:rsidP="009D4550">
            <w:pPr>
              <w:rPr>
                <w:rFonts w:cs="Arial"/>
                <w:bCs/>
                <w:color w:val="000000"/>
                <w:sz w:val="20"/>
                <w:szCs w:val="20"/>
              </w:rPr>
            </w:pPr>
            <w:r w:rsidRPr="00275290">
              <w:rPr>
                <w:rFonts w:cs="Arial"/>
                <w:bCs/>
                <w:color w:val="000000"/>
                <w:sz w:val="20"/>
                <w:szCs w:val="20"/>
              </w:rPr>
              <w:t>8,07E-03</w:t>
            </w:r>
          </w:p>
        </w:tc>
      </w:tr>
      <w:tr w:rsidR="009D4550" w:rsidRPr="00275290" w14:paraId="483C4888" w14:textId="77777777" w:rsidTr="009D4550">
        <w:tc>
          <w:tcPr>
            <w:tcW w:w="1983" w:type="dxa"/>
            <w:vMerge/>
            <w:tcBorders>
              <w:left w:val="single" w:sz="4" w:space="0" w:color="auto"/>
            </w:tcBorders>
            <w:shd w:val="clear" w:color="auto" w:fill="auto"/>
            <w:vAlign w:val="center"/>
          </w:tcPr>
          <w:p w14:paraId="771314E7" w14:textId="77777777" w:rsidR="009D4550" w:rsidRPr="00275290" w:rsidRDefault="009D4550" w:rsidP="009D4550">
            <w:pPr>
              <w:rPr>
                <w:rFonts w:cs="Arial"/>
                <w:sz w:val="20"/>
                <w:szCs w:val="20"/>
                <w:lang w:val="en-US"/>
              </w:rPr>
            </w:pPr>
          </w:p>
        </w:tc>
        <w:tc>
          <w:tcPr>
            <w:tcW w:w="1984" w:type="dxa"/>
            <w:shd w:val="clear" w:color="auto" w:fill="auto"/>
            <w:vAlign w:val="center"/>
          </w:tcPr>
          <w:p w14:paraId="3215CE7E"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shd w:val="clear" w:color="auto" w:fill="auto"/>
            <w:vAlign w:val="center"/>
          </w:tcPr>
          <w:p w14:paraId="099F72E5" w14:textId="77777777" w:rsidR="009D4550" w:rsidRPr="00275290" w:rsidRDefault="009D4550" w:rsidP="009D4550">
            <w:pPr>
              <w:rPr>
                <w:rFonts w:cs="Arial"/>
                <w:bCs/>
                <w:color w:val="000000"/>
                <w:sz w:val="20"/>
                <w:szCs w:val="20"/>
              </w:rPr>
            </w:pPr>
            <w:r w:rsidRPr="00275290">
              <w:rPr>
                <w:rFonts w:cs="Arial"/>
                <w:bCs/>
                <w:color w:val="000000"/>
                <w:sz w:val="20"/>
                <w:szCs w:val="20"/>
              </w:rPr>
              <w:t>8,00E-05</w:t>
            </w:r>
          </w:p>
        </w:tc>
        <w:tc>
          <w:tcPr>
            <w:tcW w:w="1984" w:type="dxa"/>
            <w:shd w:val="clear" w:color="auto" w:fill="auto"/>
            <w:vAlign w:val="center"/>
          </w:tcPr>
          <w:p w14:paraId="45077ABB" w14:textId="77777777" w:rsidR="009D4550" w:rsidRPr="00275290" w:rsidRDefault="009D4550" w:rsidP="009D4550">
            <w:pPr>
              <w:rPr>
                <w:rFonts w:cs="Arial"/>
                <w:bCs/>
                <w:color w:val="000000"/>
                <w:sz w:val="20"/>
                <w:szCs w:val="20"/>
              </w:rPr>
            </w:pPr>
            <w:r w:rsidRPr="00275290">
              <w:rPr>
                <w:rFonts w:cs="Arial"/>
                <w:bCs/>
                <w:color w:val="000000"/>
                <w:sz w:val="20"/>
                <w:szCs w:val="20"/>
              </w:rPr>
              <w:t>1,16E-02</w:t>
            </w:r>
          </w:p>
        </w:tc>
        <w:tc>
          <w:tcPr>
            <w:tcW w:w="1984" w:type="dxa"/>
            <w:tcBorders>
              <w:right w:val="single" w:sz="4" w:space="0" w:color="auto"/>
            </w:tcBorders>
            <w:shd w:val="clear" w:color="auto" w:fill="auto"/>
            <w:vAlign w:val="center"/>
          </w:tcPr>
          <w:p w14:paraId="4AFC32F9" w14:textId="77777777" w:rsidR="009D4550" w:rsidRPr="00275290" w:rsidRDefault="009D4550" w:rsidP="009D4550">
            <w:pPr>
              <w:rPr>
                <w:rFonts w:cs="Arial"/>
                <w:bCs/>
                <w:color w:val="000000"/>
                <w:sz w:val="20"/>
                <w:szCs w:val="20"/>
              </w:rPr>
            </w:pPr>
            <w:r w:rsidRPr="00275290">
              <w:rPr>
                <w:rFonts w:cs="Arial"/>
                <w:bCs/>
                <w:color w:val="000000"/>
                <w:sz w:val="20"/>
                <w:szCs w:val="20"/>
              </w:rPr>
              <w:t>1,17E-02</w:t>
            </w:r>
          </w:p>
        </w:tc>
      </w:tr>
      <w:tr w:rsidR="009D4550" w:rsidRPr="00275290" w14:paraId="1DF72B6C" w14:textId="77777777" w:rsidTr="009D4550">
        <w:tc>
          <w:tcPr>
            <w:tcW w:w="1983" w:type="dxa"/>
            <w:vMerge/>
            <w:tcBorders>
              <w:left w:val="single" w:sz="4" w:space="0" w:color="auto"/>
            </w:tcBorders>
            <w:shd w:val="clear" w:color="auto" w:fill="auto"/>
            <w:vAlign w:val="center"/>
          </w:tcPr>
          <w:p w14:paraId="4BB76D96" w14:textId="77777777" w:rsidR="009D4550" w:rsidRPr="00275290" w:rsidRDefault="009D4550" w:rsidP="009D4550">
            <w:pPr>
              <w:rPr>
                <w:rFonts w:cs="Arial"/>
                <w:sz w:val="20"/>
                <w:szCs w:val="20"/>
                <w:lang w:val="en-US"/>
              </w:rPr>
            </w:pPr>
          </w:p>
        </w:tc>
        <w:tc>
          <w:tcPr>
            <w:tcW w:w="1984" w:type="dxa"/>
            <w:shd w:val="clear" w:color="auto" w:fill="auto"/>
            <w:vAlign w:val="center"/>
          </w:tcPr>
          <w:p w14:paraId="56F3E7B6" w14:textId="77777777" w:rsidR="009D4550" w:rsidRPr="00275290" w:rsidRDefault="009D4550" w:rsidP="009D4550">
            <w:pPr>
              <w:rPr>
                <w:rFonts w:cs="Arial"/>
                <w:sz w:val="20"/>
                <w:szCs w:val="20"/>
                <w:lang w:val="en-US"/>
              </w:rPr>
            </w:pPr>
            <w:r w:rsidRPr="00275290">
              <w:rPr>
                <w:rFonts w:cs="Arial"/>
                <w:sz w:val="20"/>
                <w:szCs w:val="20"/>
                <w:lang w:val="fr-FR"/>
              </w:rPr>
              <w:t>Tébuconazole</w:t>
            </w:r>
          </w:p>
        </w:tc>
        <w:tc>
          <w:tcPr>
            <w:tcW w:w="1984" w:type="dxa"/>
            <w:shd w:val="clear" w:color="auto" w:fill="auto"/>
            <w:vAlign w:val="center"/>
          </w:tcPr>
          <w:p w14:paraId="660D1140" w14:textId="77777777" w:rsidR="009D4550" w:rsidRPr="00275290" w:rsidRDefault="009D4550" w:rsidP="009D4550">
            <w:pPr>
              <w:rPr>
                <w:rFonts w:cs="Arial"/>
                <w:bCs/>
                <w:color w:val="000000"/>
                <w:sz w:val="20"/>
                <w:szCs w:val="20"/>
              </w:rPr>
            </w:pPr>
            <w:r w:rsidRPr="00275290">
              <w:rPr>
                <w:rFonts w:cs="Arial"/>
                <w:bCs/>
                <w:color w:val="000000"/>
                <w:sz w:val="20"/>
                <w:szCs w:val="20"/>
              </w:rPr>
              <w:t>2,50E-05</w:t>
            </w:r>
          </w:p>
        </w:tc>
        <w:tc>
          <w:tcPr>
            <w:tcW w:w="1984" w:type="dxa"/>
            <w:shd w:val="clear" w:color="auto" w:fill="auto"/>
            <w:vAlign w:val="center"/>
          </w:tcPr>
          <w:p w14:paraId="1E5B9FD1" w14:textId="77777777" w:rsidR="009D4550" w:rsidRPr="00275290" w:rsidRDefault="009D4550" w:rsidP="009D4550">
            <w:pPr>
              <w:rPr>
                <w:rFonts w:cs="Arial"/>
                <w:bCs/>
                <w:color w:val="000000"/>
                <w:sz w:val="20"/>
                <w:szCs w:val="20"/>
              </w:rPr>
            </w:pPr>
            <w:r w:rsidRPr="00275290">
              <w:rPr>
                <w:rFonts w:cs="Arial"/>
                <w:bCs/>
                <w:color w:val="000000"/>
                <w:sz w:val="20"/>
                <w:szCs w:val="20"/>
              </w:rPr>
              <w:t>4,32E-03</w:t>
            </w:r>
          </w:p>
        </w:tc>
        <w:tc>
          <w:tcPr>
            <w:tcW w:w="1984" w:type="dxa"/>
            <w:tcBorders>
              <w:right w:val="single" w:sz="4" w:space="0" w:color="auto"/>
            </w:tcBorders>
            <w:shd w:val="clear" w:color="auto" w:fill="auto"/>
            <w:vAlign w:val="center"/>
          </w:tcPr>
          <w:p w14:paraId="3C0EC70E" w14:textId="77777777" w:rsidR="009D4550" w:rsidRPr="00275290" w:rsidRDefault="009D4550" w:rsidP="009D4550">
            <w:pPr>
              <w:rPr>
                <w:rFonts w:cs="Arial"/>
                <w:bCs/>
                <w:color w:val="000000"/>
                <w:sz w:val="20"/>
                <w:szCs w:val="20"/>
              </w:rPr>
            </w:pPr>
            <w:r w:rsidRPr="00275290">
              <w:rPr>
                <w:rFonts w:cs="Arial"/>
                <w:bCs/>
                <w:color w:val="000000"/>
                <w:sz w:val="20"/>
                <w:szCs w:val="20"/>
              </w:rPr>
              <w:t>4,34E-03</w:t>
            </w:r>
          </w:p>
        </w:tc>
      </w:tr>
      <w:tr w:rsidR="009D4550" w:rsidRPr="00275290" w14:paraId="42643E3D" w14:textId="77777777" w:rsidTr="009D4550">
        <w:tc>
          <w:tcPr>
            <w:tcW w:w="1983" w:type="dxa"/>
            <w:vMerge/>
            <w:tcBorders>
              <w:left w:val="single" w:sz="4" w:space="0" w:color="auto"/>
            </w:tcBorders>
            <w:shd w:val="clear" w:color="auto" w:fill="auto"/>
            <w:vAlign w:val="center"/>
          </w:tcPr>
          <w:p w14:paraId="2E497EB7" w14:textId="77777777" w:rsidR="009D4550" w:rsidRPr="00275290" w:rsidRDefault="009D4550" w:rsidP="009D4550">
            <w:pPr>
              <w:rPr>
                <w:rFonts w:cs="Arial"/>
                <w:sz w:val="20"/>
                <w:szCs w:val="20"/>
                <w:lang w:val="en-US"/>
              </w:rPr>
            </w:pPr>
          </w:p>
        </w:tc>
        <w:tc>
          <w:tcPr>
            <w:tcW w:w="1984" w:type="dxa"/>
            <w:shd w:val="clear" w:color="auto" w:fill="auto"/>
            <w:vAlign w:val="center"/>
          </w:tcPr>
          <w:p w14:paraId="548EF9F6"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shd w:val="clear" w:color="auto" w:fill="auto"/>
            <w:vAlign w:val="center"/>
          </w:tcPr>
          <w:p w14:paraId="0C183726" w14:textId="77777777" w:rsidR="009D4550" w:rsidRPr="00275290" w:rsidRDefault="009D4550" w:rsidP="009D4550">
            <w:pPr>
              <w:rPr>
                <w:rFonts w:cs="Arial"/>
                <w:bCs/>
                <w:color w:val="000000"/>
                <w:sz w:val="20"/>
                <w:szCs w:val="20"/>
              </w:rPr>
            </w:pPr>
            <w:r w:rsidRPr="00275290">
              <w:rPr>
                <w:rFonts w:cs="Arial"/>
                <w:bCs/>
                <w:color w:val="000000"/>
                <w:sz w:val="20"/>
                <w:szCs w:val="20"/>
              </w:rPr>
              <w:t>2,50E-05</w:t>
            </w:r>
          </w:p>
        </w:tc>
        <w:tc>
          <w:tcPr>
            <w:tcW w:w="1984" w:type="dxa"/>
            <w:shd w:val="clear" w:color="auto" w:fill="auto"/>
            <w:vAlign w:val="center"/>
          </w:tcPr>
          <w:p w14:paraId="18086C0C" w14:textId="77777777" w:rsidR="009D4550" w:rsidRPr="00275290" w:rsidRDefault="009D4550" w:rsidP="009D4550">
            <w:pPr>
              <w:rPr>
                <w:rFonts w:cs="Arial"/>
                <w:bCs/>
                <w:color w:val="000000"/>
                <w:sz w:val="20"/>
                <w:szCs w:val="20"/>
              </w:rPr>
            </w:pPr>
            <w:r w:rsidRPr="00275290">
              <w:rPr>
                <w:rFonts w:cs="Arial"/>
                <w:bCs/>
                <w:color w:val="000000"/>
                <w:sz w:val="20"/>
                <w:szCs w:val="20"/>
              </w:rPr>
              <w:t>1,05E-02</w:t>
            </w:r>
          </w:p>
        </w:tc>
        <w:tc>
          <w:tcPr>
            <w:tcW w:w="1984" w:type="dxa"/>
            <w:tcBorders>
              <w:right w:val="single" w:sz="4" w:space="0" w:color="auto"/>
            </w:tcBorders>
            <w:shd w:val="clear" w:color="auto" w:fill="auto"/>
            <w:vAlign w:val="center"/>
          </w:tcPr>
          <w:p w14:paraId="1625C787" w14:textId="77777777" w:rsidR="009D4550" w:rsidRPr="00275290" w:rsidRDefault="009D4550" w:rsidP="009D4550">
            <w:pPr>
              <w:rPr>
                <w:rFonts w:cs="Arial"/>
                <w:bCs/>
                <w:color w:val="000000"/>
                <w:sz w:val="20"/>
                <w:szCs w:val="20"/>
              </w:rPr>
            </w:pPr>
            <w:r w:rsidRPr="00275290">
              <w:rPr>
                <w:rFonts w:cs="Arial"/>
                <w:bCs/>
                <w:color w:val="000000"/>
                <w:sz w:val="20"/>
                <w:szCs w:val="20"/>
              </w:rPr>
              <w:t>1,05E-02</w:t>
            </w:r>
          </w:p>
        </w:tc>
      </w:tr>
      <w:tr w:rsidR="009D4550" w:rsidRPr="00275290" w14:paraId="1CF3583E" w14:textId="77777777" w:rsidTr="009D4550">
        <w:tc>
          <w:tcPr>
            <w:tcW w:w="1983" w:type="dxa"/>
            <w:vMerge w:val="restart"/>
            <w:tcBorders>
              <w:left w:val="single" w:sz="4" w:space="0" w:color="auto"/>
            </w:tcBorders>
            <w:shd w:val="clear" w:color="auto" w:fill="C6D9F1" w:themeFill="text2" w:themeFillTint="33"/>
            <w:vAlign w:val="center"/>
          </w:tcPr>
          <w:p w14:paraId="1AB48CD8" w14:textId="77777777" w:rsidR="009D4550" w:rsidRPr="00275290" w:rsidRDefault="009D4550" w:rsidP="009D4550">
            <w:pPr>
              <w:rPr>
                <w:rFonts w:cs="Arial"/>
                <w:sz w:val="20"/>
                <w:szCs w:val="20"/>
                <w:lang w:val="en-US"/>
              </w:rPr>
            </w:pPr>
            <w:r w:rsidRPr="00275290">
              <w:rPr>
                <w:rFonts w:cs="Arial"/>
                <w:sz w:val="20"/>
                <w:szCs w:val="20"/>
                <w:lang w:val="en-US"/>
              </w:rPr>
              <w:t xml:space="preserve">Transfer + Application </w:t>
            </w:r>
          </w:p>
        </w:tc>
        <w:tc>
          <w:tcPr>
            <w:tcW w:w="1984" w:type="dxa"/>
            <w:shd w:val="clear" w:color="auto" w:fill="C6D9F1" w:themeFill="text2" w:themeFillTint="33"/>
            <w:vAlign w:val="center"/>
          </w:tcPr>
          <w:p w14:paraId="1B8BF66A"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3968" w:type="dxa"/>
            <w:gridSpan w:val="2"/>
            <w:shd w:val="clear" w:color="auto" w:fill="C6D9F1" w:themeFill="text2" w:themeFillTint="33"/>
            <w:vAlign w:val="center"/>
          </w:tcPr>
          <w:p w14:paraId="6378FFF8"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3400C787" w14:textId="77777777" w:rsidR="009D4550" w:rsidRPr="00275290" w:rsidRDefault="009D4550" w:rsidP="009D4550">
            <w:pPr>
              <w:rPr>
                <w:rFonts w:cs="Arial"/>
                <w:bCs/>
                <w:color w:val="000000"/>
                <w:sz w:val="20"/>
                <w:szCs w:val="20"/>
              </w:rPr>
            </w:pPr>
            <w:r w:rsidRPr="00275290">
              <w:rPr>
                <w:rFonts w:cs="Arial"/>
                <w:bCs/>
                <w:color w:val="000000"/>
                <w:sz w:val="20"/>
                <w:szCs w:val="20"/>
              </w:rPr>
              <w:t>8,12E-03</w:t>
            </w:r>
          </w:p>
        </w:tc>
      </w:tr>
      <w:tr w:rsidR="009D4550" w:rsidRPr="00275290" w14:paraId="19F308C7" w14:textId="77777777" w:rsidTr="009D4550">
        <w:tc>
          <w:tcPr>
            <w:tcW w:w="1983" w:type="dxa"/>
            <w:vMerge/>
            <w:tcBorders>
              <w:left w:val="single" w:sz="4" w:space="0" w:color="auto"/>
            </w:tcBorders>
            <w:shd w:val="clear" w:color="auto" w:fill="C6D9F1" w:themeFill="text2" w:themeFillTint="33"/>
            <w:vAlign w:val="center"/>
          </w:tcPr>
          <w:p w14:paraId="3E8CFFF7" w14:textId="77777777" w:rsidR="009D4550" w:rsidRPr="00275290" w:rsidRDefault="009D4550" w:rsidP="009D4550">
            <w:pPr>
              <w:rPr>
                <w:rFonts w:cs="Arial"/>
                <w:sz w:val="20"/>
                <w:szCs w:val="20"/>
                <w:lang w:val="en-US"/>
              </w:rPr>
            </w:pPr>
          </w:p>
        </w:tc>
        <w:tc>
          <w:tcPr>
            <w:tcW w:w="1984" w:type="dxa"/>
            <w:shd w:val="clear" w:color="auto" w:fill="C6D9F1" w:themeFill="text2" w:themeFillTint="33"/>
            <w:vAlign w:val="center"/>
          </w:tcPr>
          <w:p w14:paraId="42447E79"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3968" w:type="dxa"/>
            <w:gridSpan w:val="2"/>
            <w:shd w:val="clear" w:color="auto" w:fill="C6D9F1" w:themeFill="text2" w:themeFillTint="33"/>
            <w:vAlign w:val="center"/>
          </w:tcPr>
          <w:p w14:paraId="58B4B655"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27C3B492" w14:textId="77777777" w:rsidR="009D4550" w:rsidRPr="00275290" w:rsidRDefault="009D4550" w:rsidP="009D4550">
            <w:pPr>
              <w:rPr>
                <w:rFonts w:cs="Arial"/>
                <w:bCs/>
                <w:color w:val="000000"/>
                <w:sz w:val="20"/>
                <w:szCs w:val="20"/>
              </w:rPr>
            </w:pPr>
            <w:r w:rsidRPr="00275290">
              <w:rPr>
                <w:rFonts w:cs="Arial"/>
                <w:bCs/>
                <w:color w:val="000000"/>
                <w:sz w:val="20"/>
                <w:szCs w:val="20"/>
              </w:rPr>
              <w:t>1,17E-02</w:t>
            </w:r>
          </w:p>
        </w:tc>
      </w:tr>
      <w:tr w:rsidR="009D4550" w:rsidRPr="00275290" w14:paraId="1E33ADE8" w14:textId="77777777" w:rsidTr="009D4550">
        <w:tc>
          <w:tcPr>
            <w:tcW w:w="1983" w:type="dxa"/>
            <w:vMerge/>
            <w:tcBorders>
              <w:left w:val="single" w:sz="4" w:space="0" w:color="auto"/>
            </w:tcBorders>
            <w:shd w:val="clear" w:color="auto" w:fill="C6D9F1" w:themeFill="text2" w:themeFillTint="33"/>
            <w:vAlign w:val="center"/>
          </w:tcPr>
          <w:p w14:paraId="1BA47590" w14:textId="77777777" w:rsidR="009D4550" w:rsidRPr="00275290" w:rsidRDefault="009D4550" w:rsidP="009D4550">
            <w:pPr>
              <w:rPr>
                <w:rFonts w:cs="Arial"/>
                <w:sz w:val="20"/>
                <w:szCs w:val="20"/>
                <w:lang w:val="en-US"/>
              </w:rPr>
            </w:pPr>
          </w:p>
        </w:tc>
        <w:tc>
          <w:tcPr>
            <w:tcW w:w="1984" w:type="dxa"/>
            <w:shd w:val="clear" w:color="auto" w:fill="C6D9F1" w:themeFill="text2" w:themeFillTint="33"/>
            <w:vAlign w:val="center"/>
          </w:tcPr>
          <w:p w14:paraId="0F3EE2CB" w14:textId="77777777" w:rsidR="009D4550" w:rsidRPr="00275290" w:rsidRDefault="009D4550" w:rsidP="009D4550">
            <w:pPr>
              <w:rPr>
                <w:rFonts w:cs="Arial"/>
                <w:sz w:val="20"/>
                <w:szCs w:val="20"/>
                <w:lang w:val="en-US"/>
              </w:rPr>
            </w:pPr>
            <w:r w:rsidRPr="00275290">
              <w:rPr>
                <w:rFonts w:cs="Arial"/>
                <w:sz w:val="20"/>
                <w:szCs w:val="20"/>
                <w:lang w:val="fr-FR"/>
              </w:rPr>
              <w:t>Tébuconazole</w:t>
            </w:r>
          </w:p>
        </w:tc>
        <w:tc>
          <w:tcPr>
            <w:tcW w:w="3968" w:type="dxa"/>
            <w:gridSpan w:val="2"/>
            <w:shd w:val="clear" w:color="auto" w:fill="C6D9F1" w:themeFill="text2" w:themeFillTint="33"/>
            <w:vAlign w:val="center"/>
          </w:tcPr>
          <w:p w14:paraId="7A8F322D"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6284DD89" w14:textId="77777777" w:rsidR="009D4550" w:rsidRPr="00275290" w:rsidRDefault="009D4550" w:rsidP="009D4550">
            <w:pPr>
              <w:rPr>
                <w:rFonts w:cs="Arial"/>
                <w:bCs/>
                <w:color w:val="000000"/>
                <w:sz w:val="20"/>
                <w:szCs w:val="20"/>
              </w:rPr>
            </w:pPr>
            <w:r w:rsidRPr="00275290">
              <w:rPr>
                <w:rFonts w:cs="Arial"/>
                <w:bCs/>
                <w:color w:val="000000"/>
                <w:sz w:val="20"/>
                <w:szCs w:val="20"/>
              </w:rPr>
              <w:t>4,37E-03</w:t>
            </w:r>
          </w:p>
        </w:tc>
      </w:tr>
      <w:tr w:rsidR="009D4550" w:rsidRPr="00275290" w14:paraId="4816F74F" w14:textId="77777777" w:rsidTr="009D4550">
        <w:tc>
          <w:tcPr>
            <w:tcW w:w="1983" w:type="dxa"/>
            <w:vMerge/>
            <w:tcBorders>
              <w:left w:val="single" w:sz="4" w:space="0" w:color="auto"/>
              <w:bottom w:val="single" w:sz="4" w:space="0" w:color="auto"/>
            </w:tcBorders>
            <w:shd w:val="clear" w:color="auto" w:fill="C6D9F1" w:themeFill="text2" w:themeFillTint="33"/>
            <w:vAlign w:val="center"/>
          </w:tcPr>
          <w:p w14:paraId="3FA36EA7" w14:textId="77777777" w:rsidR="009D4550" w:rsidRPr="00275290" w:rsidRDefault="009D4550" w:rsidP="009D4550">
            <w:pPr>
              <w:rPr>
                <w:rFonts w:cs="Arial"/>
                <w:sz w:val="20"/>
                <w:szCs w:val="20"/>
                <w:lang w:val="en-US"/>
              </w:rPr>
            </w:pPr>
          </w:p>
        </w:tc>
        <w:tc>
          <w:tcPr>
            <w:tcW w:w="1984" w:type="dxa"/>
            <w:tcBorders>
              <w:bottom w:val="single" w:sz="4" w:space="0" w:color="auto"/>
            </w:tcBorders>
            <w:shd w:val="clear" w:color="auto" w:fill="C6D9F1" w:themeFill="text2" w:themeFillTint="33"/>
            <w:vAlign w:val="center"/>
          </w:tcPr>
          <w:p w14:paraId="7BD8E08B"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3968" w:type="dxa"/>
            <w:gridSpan w:val="2"/>
            <w:tcBorders>
              <w:bottom w:val="single" w:sz="4" w:space="0" w:color="auto"/>
            </w:tcBorders>
            <w:shd w:val="clear" w:color="auto" w:fill="C6D9F1" w:themeFill="text2" w:themeFillTint="33"/>
            <w:vAlign w:val="center"/>
          </w:tcPr>
          <w:p w14:paraId="4A2B3992"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right w:val="single" w:sz="4" w:space="0" w:color="auto"/>
            </w:tcBorders>
            <w:shd w:val="clear" w:color="auto" w:fill="C6D9F1" w:themeFill="text2" w:themeFillTint="33"/>
            <w:vAlign w:val="center"/>
          </w:tcPr>
          <w:p w14:paraId="774C604A" w14:textId="77777777" w:rsidR="009D4550" w:rsidRPr="00275290" w:rsidRDefault="009D4550" w:rsidP="009D4550">
            <w:pPr>
              <w:rPr>
                <w:rFonts w:cs="Arial"/>
                <w:bCs/>
                <w:color w:val="000000"/>
                <w:sz w:val="20"/>
                <w:szCs w:val="20"/>
              </w:rPr>
            </w:pPr>
            <w:r w:rsidRPr="00275290">
              <w:rPr>
                <w:rFonts w:cs="Arial"/>
                <w:bCs/>
                <w:color w:val="000000"/>
                <w:sz w:val="20"/>
                <w:szCs w:val="20"/>
              </w:rPr>
              <w:t>1,05E-02</w:t>
            </w:r>
          </w:p>
        </w:tc>
      </w:tr>
    </w:tbl>
    <w:p w14:paraId="341A786D" w14:textId="77777777" w:rsidR="009D4550" w:rsidRPr="00275290" w:rsidRDefault="009D4550" w:rsidP="009D4550">
      <w:pPr>
        <w:autoSpaceDE w:val="0"/>
        <w:autoSpaceDN w:val="0"/>
        <w:rPr>
          <w:rFonts w:cs="Arial"/>
        </w:rPr>
      </w:pPr>
    </w:p>
    <w:p w14:paraId="768AC88F" w14:textId="260B7537" w:rsidR="009D4550" w:rsidRPr="00717CA1" w:rsidRDefault="00717CA1" w:rsidP="00B7552D">
      <w:pPr>
        <w:pStyle w:val="Titre7"/>
        <w:numPr>
          <w:ilvl w:val="6"/>
          <w:numId w:val="36"/>
        </w:numPr>
      </w:pPr>
      <w:r w:rsidRPr="009D4550">
        <w:t>Exposure of professional users</w:t>
      </w:r>
    </w:p>
    <w:p w14:paraId="453D036B" w14:textId="77777777" w:rsidR="009D4550" w:rsidRPr="00275290" w:rsidRDefault="009D4550" w:rsidP="009D4550">
      <w:pPr>
        <w:autoSpaceDE w:val="0"/>
        <w:autoSpaceDN w:val="0"/>
        <w:rPr>
          <w:rFonts w:cs="Arial"/>
        </w:rPr>
      </w:pPr>
    </w:p>
    <w:p w14:paraId="50B9083F" w14:textId="77777777" w:rsidR="009D4550" w:rsidRPr="00275290" w:rsidRDefault="009D4550" w:rsidP="009D4550">
      <w:pPr>
        <w:autoSpaceDE w:val="0"/>
        <w:autoSpaceDN w:val="0"/>
        <w:rPr>
          <w:rFonts w:cs="Arial"/>
          <w:b/>
          <w:i/>
          <w:u w:val="single"/>
        </w:rPr>
      </w:pPr>
      <w:r w:rsidRPr="00275290">
        <w:rPr>
          <w:rFonts w:cs="Arial"/>
          <w:b/>
          <w:i/>
          <w:u w:val="single"/>
        </w:rPr>
        <w:t>Brush application</w:t>
      </w:r>
    </w:p>
    <w:p w14:paraId="657E33B3" w14:textId="77777777" w:rsidR="009D4550" w:rsidRPr="00275290" w:rsidRDefault="009D4550" w:rsidP="009D4550">
      <w:pPr>
        <w:autoSpaceDE w:val="0"/>
        <w:autoSpaceDN w:val="0"/>
        <w:rPr>
          <w:rFonts w:cs="Arial"/>
        </w:rPr>
      </w:pPr>
    </w:p>
    <w:p w14:paraId="35923990" w14:textId="77777777" w:rsidR="009D4550" w:rsidRPr="00275290" w:rsidRDefault="009D4550" w:rsidP="009D4550">
      <w:pPr>
        <w:autoSpaceDE w:val="0"/>
        <w:autoSpaceDN w:val="0"/>
        <w:rPr>
          <w:rFonts w:cs="Arial"/>
        </w:rPr>
      </w:pPr>
      <w:r w:rsidRPr="00275290">
        <w:rPr>
          <w:rFonts w:cs="Arial"/>
        </w:rPr>
        <w:t>Professional exposure during the application phase has been considered using “</w:t>
      </w:r>
      <w:r w:rsidRPr="00275290">
        <w:rPr>
          <w:rFonts w:cs="Arial"/>
          <w:i/>
        </w:rPr>
        <w:t>Non-professional application of paints by brushing and rolling</w:t>
      </w:r>
      <w:r w:rsidRPr="00275290">
        <w:rPr>
          <w:rFonts w:cs="Arial"/>
        </w:rPr>
        <w:t>” from the Recommendation no. 10 of the BPC Ad hoc Working Group on Human Exposure</w:t>
      </w:r>
      <w:r w:rsidRPr="00275290">
        <w:rPr>
          <w:vertAlign w:val="superscript"/>
        </w:rPr>
        <w:footnoteReference w:id="17"/>
      </w:r>
      <w:r w:rsidRPr="00275290">
        <w:rPr>
          <w:rFonts w:cs="Arial"/>
        </w:rPr>
        <w:t>. The mixing and loading phase is not considered since the product is a RTU that can be applied directly with a brush.</w:t>
      </w:r>
    </w:p>
    <w:p w14:paraId="45B7137E" w14:textId="77777777" w:rsidR="009D4550" w:rsidRPr="00275290" w:rsidRDefault="009D4550" w:rsidP="009D4550">
      <w:pPr>
        <w:autoSpaceDE w:val="0"/>
        <w:autoSpaceDN w:val="0"/>
        <w:rPr>
          <w:rFonts w:cs="Arial"/>
        </w:rPr>
      </w:pPr>
      <w:r w:rsidRPr="00275290">
        <w:rPr>
          <w:rFonts w:cs="Arial"/>
        </w:rPr>
        <w:t>Exposure during the cleaning of equipment (brush) has been assessed with the exposure model from the Opinion no. 11 of HEEG</w:t>
      </w:r>
      <w:r w:rsidRPr="00275290">
        <w:rPr>
          <w:vertAlign w:val="superscript"/>
        </w:rPr>
        <w:footnoteReference w:id="18"/>
      </w:r>
      <w:r w:rsidRPr="00275290">
        <w:rPr>
          <w:rFonts w:cs="Arial"/>
        </w:rPr>
        <w:t>.</w:t>
      </w:r>
    </w:p>
    <w:p w14:paraId="1B739BDF" w14:textId="77777777" w:rsidR="009D4550" w:rsidRPr="00275290" w:rsidRDefault="009D4550" w:rsidP="009D4550">
      <w:pPr>
        <w:autoSpaceDE w:val="0"/>
        <w:autoSpaceDN w:val="0"/>
        <w:rPr>
          <w:rFonts w:cs="Arial"/>
        </w:rPr>
      </w:pPr>
    </w:p>
    <w:tbl>
      <w:tblPr>
        <w:tblStyle w:val="Grilledutableau1"/>
        <w:tblW w:w="0" w:type="auto"/>
        <w:tblLook w:val="04A0" w:firstRow="1" w:lastRow="0" w:firstColumn="1" w:lastColumn="0" w:noHBand="0" w:noVBand="1"/>
      </w:tblPr>
      <w:tblGrid>
        <w:gridCol w:w="1949"/>
        <w:gridCol w:w="1970"/>
        <w:gridCol w:w="1954"/>
        <w:gridCol w:w="1948"/>
        <w:gridCol w:w="1948"/>
      </w:tblGrid>
      <w:tr w:rsidR="009D4550" w:rsidRPr="00275290" w14:paraId="41310790" w14:textId="77777777" w:rsidTr="009D4550">
        <w:trPr>
          <w:tblHeader/>
        </w:trPr>
        <w:tc>
          <w:tcPr>
            <w:tcW w:w="1983" w:type="dxa"/>
            <w:vAlign w:val="center"/>
          </w:tcPr>
          <w:p w14:paraId="3D2F7E59"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Scenario</w:t>
            </w:r>
          </w:p>
        </w:tc>
        <w:tc>
          <w:tcPr>
            <w:tcW w:w="1984" w:type="dxa"/>
            <w:vAlign w:val="center"/>
          </w:tcPr>
          <w:p w14:paraId="620EE8FB" w14:textId="77777777" w:rsidR="009D4550" w:rsidRPr="00275290" w:rsidRDefault="009D4550" w:rsidP="009D4550">
            <w:pPr>
              <w:tabs>
                <w:tab w:val="left" w:pos="426"/>
              </w:tabs>
              <w:autoSpaceDE w:val="0"/>
              <w:autoSpaceDN w:val="0"/>
              <w:adjustRightInd w:val="0"/>
              <w:spacing w:before="60" w:after="60"/>
              <w:rPr>
                <w:rFonts w:cs="Arial"/>
                <w:b/>
                <w:sz w:val="20"/>
                <w:szCs w:val="20"/>
              </w:rPr>
            </w:pPr>
            <w:r w:rsidRPr="00275290">
              <w:rPr>
                <w:rFonts w:cs="Arial"/>
                <w:b/>
                <w:sz w:val="20"/>
                <w:szCs w:val="20"/>
              </w:rPr>
              <w:t>Active substance</w:t>
            </w:r>
          </w:p>
        </w:tc>
        <w:tc>
          <w:tcPr>
            <w:tcW w:w="1984" w:type="dxa"/>
            <w:vAlign w:val="center"/>
          </w:tcPr>
          <w:p w14:paraId="710CDE6A"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Inhalation Exposure</w:t>
            </w:r>
          </w:p>
          <w:p w14:paraId="15BD84AB"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bw/j)</w:t>
            </w:r>
          </w:p>
        </w:tc>
        <w:tc>
          <w:tcPr>
            <w:tcW w:w="1984" w:type="dxa"/>
            <w:vAlign w:val="center"/>
          </w:tcPr>
          <w:p w14:paraId="229746DA"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Dermal Exposure</w:t>
            </w:r>
          </w:p>
          <w:p w14:paraId="2085CB8D"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984" w:type="dxa"/>
            <w:vAlign w:val="center"/>
          </w:tcPr>
          <w:p w14:paraId="47DE9619"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Total Exposure (mg/kg bw/d)</w:t>
            </w:r>
          </w:p>
        </w:tc>
      </w:tr>
      <w:tr w:rsidR="009D4550" w:rsidRPr="00275290" w14:paraId="2AFCFC96" w14:textId="77777777" w:rsidTr="009D4550">
        <w:tc>
          <w:tcPr>
            <w:tcW w:w="9919" w:type="dxa"/>
            <w:gridSpan w:val="5"/>
            <w:shd w:val="clear" w:color="auto" w:fill="BFBFBF" w:themeFill="background1" w:themeFillShade="BF"/>
            <w:vAlign w:val="center"/>
          </w:tcPr>
          <w:p w14:paraId="10FBE7EC" w14:textId="77777777" w:rsidR="009D4550" w:rsidRPr="00275290" w:rsidRDefault="009D4550" w:rsidP="009D4550">
            <w:pPr>
              <w:rPr>
                <w:rFonts w:cs="Arial"/>
                <w:b/>
                <w:sz w:val="20"/>
                <w:szCs w:val="20"/>
                <w:lang w:val="en-US"/>
              </w:rPr>
            </w:pPr>
            <w:r w:rsidRPr="00275290">
              <w:rPr>
                <w:rFonts w:cs="Arial"/>
                <w:b/>
                <w:sz w:val="20"/>
                <w:szCs w:val="20"/>
                <w:lang w:val="en-US"/>
              </w:rPr>
              <w:t>Brushing 300g/m</w:t>
            </w:r>
            <w:r w:rsidRPr="00275290">
              <w:rPr>
                <w:rFonts w:cs="Arial"/>
                <w:b/>
                <w:sz w:val="20"/>
                <w:szCs w:val="20"/>
                <w:vertAlign w:val="superscript"/>
                <w:lang w:val="en-US"/>
              </w:rPr>
              <w:t>2</w:t>
            </w:r>
            <w:r w:rsidRPr="00275290">
              <w:rPr>
                <w:rFonts w:cs="Arial"/>
                <w:b/>
                <w:sz w:val="20"/>
                <w:szCs w:val="20"/>
                <w:lang w:val="en-US"/>
              </w:rPr>
              <w:t xml:space="preserve"> – without PPE</w:t>
            </w:r>
          </w:p>
        </w:tc>
      </w:tr>
      <w:tr w:rsidR="009D4550" w:rsidRPr="00275290" w14:paraId="4B27E9AB" w14:textId="77777777" w:rsidTr="009D4550">
        <w:tc>
          <w:tcPr>
            <w:tcW w:w="1983" w:type="dxa"/>
            <w:vAlign w:val="center"/>
          </w:tcPr>
          <w:p w14:paraId="4672D4A4" w14:textId="77777777" w:rsidR="009D4550" w:rsidRPr="00275290" w:rsidRDefault="009D4550" w:rsidP="009D4550">
            <w:pPr>
              <w:rPr>
                <w:rFonts w:cs="Arial"/>
                <w:sz w:val="20"/>
                <w:szCs w:val="20"/>
                <w:lang w:val="fr-FR"/>
              </w:rPr>
            </w:pPr>
            <w:r w:rsidRPr="00275290">
              <w:rPr>
                <w:rFonts w:cs="Arial"/>
                <w:sz w:val="20"/>
                <w:szCs w:val="20"/>
                <w:lang w:val="fr-FR"/>
              </w:rPr>
              <w:t>M&amp;L</w:t>
            </w:r>
          </w:p>
        </w:tc>
        <w:tc>
          <w:tcPr>
            <w:tcW w:w="7936" w:type="dxa"/>
            <w:gridSpan w:val="4"/>
            <w:vAlign w:val="center"/>
          </w:tcPr>
          <w:p w14:paraId="3E5482BA" w14:textId="77777777" w:rsidR="009D4550" w:rsidRPr="00275290" w:rsidRDefault="009D4550" w:rsidP="009D4550">
            <w:pPr>
              <w:rPr>
                <w:rFonts w:cs="Arial"/>
                <w:sz w:val="20"/>
                <w:szCs w:val="20"/>
                <w:lang w:val="fr-FR"/>
              </w:rPr>
            </w:pPr>
            <w:r w:rsidRPr="00275290">
              <w:rPr>
                <w:rFonts w:cs="Arial"/>
                <w:sz w:val="20"/>
                <w:szCs w:val="20"/>
                <w:lang w:val="fr-FR"/>
              </w:rPr>
              <w:t xml:space="preserve">n.a </w:t>
            </w:r>
          </w:p>
        </w:tc>
      </w:tr>
      <w:tr w:rsidR="009D4550" w:rsidRPr="00275290" w14:paraId="760F5D33" w14:textId="77777777" w:rsidTr="009D4550">
        <w:tc>
          <w:tcPr>
            <w:tcW w:w="1983" w:type="dxa"/>
            <w:vMerge w:val="restart"/>
            <w:vAlign w:val="center"/>
          </w:tcPr>
          <w:p w14:paraId="553C25A1" w14:textId="77777777" w:rsidR="009D4550" w:rsidRPr="00275290" w:rsidRDefault="009D4550" w:rsidP="009D4550">
            <w:pPr>
              <w:rPr>
                <w:rFonts w:cs="Arial"/>
                <w:sz w:val="20"/>
                <w:szCs w:val="20"/>
                <w:lang w:val="en-US"/>
              </w:rPr>
            </w:pPr>
            <w:r w:rsidRPr="00275290">
              <w:rPr>
                <w:rFonts w:cs="Arial"/>
                <w:sz w:val="20"/>
                <w:szCs w:val="20"/>
                <w:lang w:val="en-US"/>
              </w:rPr>
              <w:t>Product application phase</w:t>
            </w:r>
          </w:p>
        </w:tc>
        <w:tc>
          <w:tcPr>
            <w:tcW w:w="1984" w:type="dxa"/>
            <w:vAlign w:val="center"/>
          </w:tcPr>
          <w:p w14:paraId="7F7C6987"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62E94A4A" w14:textId="77777777" w:rsidR="009D4550" w:rsidRPr="00275290" w:rsidRDefault="009D4550" w:rsidP="009D4550">
            <w:pPr>
              <w:rPr>
                <w:rFonts w:cs="Arial"/>
                <w:bCs/>
                <w:color w:val="000000"/>
                <w:sz w:val="20"/>
                <w:szCs w:val="20"/>
              </w:rPr>
            </w:pPr>
            <w:r w:rsidRPr="00275290">
              <w:rPr>
                <w:rFonts w:cs="Arial"/>
                <w:bCs/>
                <w:color w:val="000000"/>
                <w:sz w:val="20"/>
                <w:szCs w:val="20"/>
              </w:rPr>
              <w:t>1,09E-04</w:t>
            </w:r>
          </w:p>
        </w:tc>
        <w:tc>
          <w:tcPr>
            <w:tcW w:w="1984" w:type="dxa"/>
            <w:vAlign w:val="center"/>
          </w:tcPr>
          <w:p w14:paraId="2AD3E89A" w14:textId="77777777" w:rsidR="009D4550" w:rsidRPr="00275290" w:rsidRDefault="009D4550" w:rsidP="009D4550">
            <w:pPr>
              <w:rPr>
                <w:rFonts w:cs="Arial"/>
                <w:bCs/>
                <w:color w:val="000000"/>
                <w:sz w:val="20"/>
                <w:szCs w:val="20"/>
              </w:rPr>
            </w:pPr>
            <w:r w:rsidRPr="00275290">
              <w:rPr>
                <w:rFonts w:cs="Arial"/>
                <w:bCs/>
                <w:color w:val="000000"/>
                <w:sz w:val="20"/>
                <w:szCs w:val="20"/>
              </w:rPr>
              <w:t>9,49E-03</w:t>
            </w:r>
          </w:p>
        </w:tc>
        <w:tc>
          <w:tcPr>
            <w:tcW w:w="1984" w:type="dxa"/>
            <w:vAlign w:val="center"/>
          </w:tcPr>
          <w:p w14:paraId="1E8F2F1E" w14:textId="77777777" w:rsidR="009D4550" w:rsidRPr="00275290" w:rsidRDefault="009D4550" w:rsidP="009D4550">
            <w:pPr>
              <w:rPr>
                <w:rFonts w:cs="Arial"/>
                <w:bCs/>
                <w:color w:val="000000"/>
                <w:sz w:val="20"/>
                <w:szCs w:val="20"/>
              </w:rPr>
            </w:pPr>
            <w:r w:rsidRPr="00275290">
              <w:rPr>
                <w:rFonts w:cs="Arial"/>
                <w:bCs/>
                <w:color w:val="000000"/>
                <w:sz w:val="20"/>
                <w:szCs w:val="20"/>
              </w:rPr>
              <w:t>9,60E-03</w:t>
            </w:r>
          </w:p>
        </w:tc>
      </w:tr>
      <w:tr w:rsidR="009D4550" w:rsidRPr="00275290" w14:paraId="66E25384" w14:textId="77777777" w:rsidTr="009D4550">
        <w:tc>
          <w:tcPr>
            <w:tcW w:w="1983" w:type="dxa"/>
            <w:vMerge/>
            <w:vAlign w:val="center"/>
          </w:tcPr>
          <w:p w14:paraId="46775C6C" w14:textId="77777777" w:rsidR="009D4550" w:rsidRPr="00275290" w:rsidRDefault="009D4550" w:rsidP="009D4550">
            <w:pPr>
              <w:rPr>
                <w:rFonts w:cs="Arial"/>
                <w:sz w:val="20"/>
                <w:szCs w:val="20"/>
                <w:lang w:val="fr-FR"/>
              </w:rPr>
            </w:pPr>
          </w:p>
        </w:tc>
        <w:tc>
          <w:tcPr>
            <w:tcW w:w="1984" w:type="dxa"/>
            <w:vAlign w:val="center"/>
          </w:tcPr>
          <w:p w14:paraId="6C216E7A"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vAlign w:val="center"/>
          </w:tcPr>
          <w:p w14:paraId="599836F4" w14:textId="77777777" w:rsidR="009D4550" w:rsidRPr="00275290" w:rsidRDefault="009D4550" w:rsidP="009D4550">
            <w:pPr>
              <w:rPr>
                <w:rFonts w:cs="Arial"/>
                <w:bCs/>
                <w:color w:val="000000"/>
                <w:sz w:val="20"/>
                <w:szCs w:val="20"/>
              </w:rPr>
            </w:pPr>
            <w:r w:rsidRPr="00275290">
              <w:rPr>
                <w:rFonts w:cs="Arial"/>
                <w:bCs/>
                <w:color w:val="000000"/>
                <w:sz w:val="20"/>
                <w:szCs w:val="20"/>
              </w:rPr>
              <w:t>2,17E-04</w:t>
            </w:r>
          </w:p>
        </w:tc>
        <w:tc>
          <w:tcPr>
            <w:tcW w:w="1984" w:type="dxa"/>
            <w:vAlign w:val="center"/>
          </w:tcPr>
          <w:p w14:paraId="3F811990" w14:textId="77777777" w:rsidR="009D4550" w:rsidRPr="00275290" w:rsidRDefault="009D4550" w:rsidP="009D4550">
            <w:pPr>
              <w:rPr>
                <w:rFonts w:cs="Arial"/>
                <w:bCs/>
                <w:color w:val="000000"/>
                <w:sz w:val="20"/>
                <w:szCs w:val="20"/>
              </w:rPr>
            </w:pPr>
            <w:r w:rsidRPr="00275290">
              <w:rPr>
                <w:rFonts w:cs="Arial"/>
                <w:bCs/>
                <w:color w:val="000000"/>
                <w:sz w:val="20"/>
                <w:szCs w:val="20"/>
              </w:rPr>
              <w:t>1,37E-02</w:t>
            </w:r>
          </w:p>
        </w:tc>
        <w:tc>
          <w:tcPr>
            <w:tcW w:w="1984" w:type="dxa"/>
            <w:vAlign w:val="center"/>
          </w:tcPr>
          <w:p w14:paraId="56BE8ADE" w14:textId="77777777" w:rsidR="009D4550" w:rsidRPr="00275290" w:rsidRDefault="009D4550" w:rsidP="009D4550">
            <w:pPr>
              <w:rPr>
                <w:rFonts w:cs="Arial"/>
                <w:bCs/>
                <w:color w:val="000000"/>
                <w:sz w:val="20"/>
                <w:szCs w:val="20"/>
              </w:rPr>
            </w:pPr>
            <w:r w:rsidRPr="00275290">
              <w:rPr>
                <w:rFonts w:cs="Arial"/>
                <w:bCs/>
                <w:color w:val="000000"/>
                <w:sz w:val="20"/>
                <w:szCs w:val="20"/>
              </w:rPr>
              <w:t>1,39E-02</w:t>
            </w:r>
          </w:p>
        </w:tc>
      </w:tr>
      <w:tr w:rsidR="009D4550" w:rsidRPr="00275290" w14:paraId="47D88BAF" w14:textId="77777777" w:rsidTr="009D4550">
        <w:tc>
          <w:tcPr>
            <w:tcW w:w="1983" w:type="dxa"/>
            <w:vMerge/>
            <w:vAlign w:val="center"/>
          </w:tcPr>
          <w:p w14:paraId="13AAEC3C" w14:textId="77777777" w:rsidR="009D4550" w:rsidRPr="00275290" w:rsidRDefault="009D4550" w:rsidP="009D4550">
            <w:pPr>
              <w:rPr>
                <w:rFonts w:cs="Arial"/>
                <w:sz w:val="20"/>
                <w:szCs w:val="20"/>
                <w:lang w:val="fr-FR"/>
              </w:rPr>
            </w:pPr>
          </w:p>
        </w:tc>
        <w:tc>
          <w:tcPr>
            <w:tcW w:w="1984" w:type="dxa"/>
            <w:vAlign w:val="center"/>
          </w:tcPr>
          <w:p w14:paraId="1F358840"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1984" w:type="dxa"/>
            <w:vAlign w:val="center"/>
          </w:tcPr>
          <w:p w14:paraId="63B8B98B" w14:textId="77777777" w:rsidR="009D4550" w:rsidRPr="00275290" w:rsidRDefault="009D4550" w:rsidP="009D4550">
            <w:pPr>
              <w:rPr>
                <w:rFonts w:cs="Arial"/>
                <w:bCs/>
                <w:color w:val="000000"/>
                <w:sz w:val="20"/>
                <w:szCs w:val="20"/>
              </w:rPr>
            </w:pPr>
            <w:r w:rsidRPr="00275290">
              <w:rPr>
                <w:rFonts w:cs="Arial"/>
                <w:bCs/>
                <w:color w:val="000000"/>
                <w:sz w:val="20"/>
                <w:szCs w:val="20"/>
              </w:rPr>
              <w:t>6,79E-05</w:t>
            </w:r>
          </w:p>
        </w:tc>
        <w:tc>
          <w:tcPr>
            <w:tcW w:w="1984" w:type="dxa"/>
            <w:vAlign w:val="center"/>
          </w:tcPr>
          <w:p w14:paraId="40B2EF79" w14:textId="77777777" w:rsidR="009D4550" w:rsidRPr="00275290" w:rsidRDefault="009D4550" w:rsidP="009D4550">
            <w:pPr>
              <w:rPr>
                <w:rFonts w:cs="Arial"/>
                <w:bCs/>
                <w:color w:val="000000"/>
                <w:sz w:val="20"/>
                <w:szCs w:val="20"/>
              </w:rPr>
            </w:pPr>
            <w:r w:rsidRPr="00275290">
              <w:rPr>
                <w:rFonts w:cs="Arial"/>
                <w:bCs/>
                <w:color w:val="000000"/>
                <w:sz w:val="20"/>
                <w:szCs w:val="20"/>
              </w:rPr>
              <w:t>5,11E-03</w:t>
            </w:r>
          </w:p>
        </w:tc>
        <w:tc>
          <w:tcPr>
            <w:tcW w:w="1984" w:type="dxa"/>
            <w:vAlign w:val="center"/>
          </w:tcPr>
          <w:p w14:paraId="2B99D6F7" w14:textId="77777777" w:rsidR="009D4550" w:rsidRPr="00275290" w:rsidRDefault="009D4550" w:rsidP="009D4550">
            <w:pPr>
              <w:rPr>
                <w:rFonts w:cs="Arial"/>
                <w:bCs/>
                <w:color w:val="000000"/>
                <w:sz w:val="20"/>
                <w:szCs w:val="20"/>
              </w:rPr>
            </w:pPr>
            <w:r w:rsidRPr="00275290">
              <w:rPr>
                <w:rFonts w:cs="Arial"/>
                <w:bCs/>
                <w:color w:val="000000"/>
                <w:sz w:val="20"/>
                <w:szCs w:val="20"/>
              </w:rPr>
              <w:t>5,18E-03</w:t>
            </w:r>
          </w:p>
        </w:tc>
      </w:tr>
      <w:tr w:rsidR="009D4550" w:rsidRPr="00275290" w14:paraId="6C0BB8C2" w14:textId="77777777" w:rsidTr="009D4550">
        <w:tc>
          <w:tcPr>
            <w:tcW w:w="1983" w:type="dxa"/>
            <w:vMerge/>
            <w:vAlign w:val="center"/>
          </w:tcPr>
          <w:p w14:paraId="59739D20" w14:textId="77777777" w:rsidR="009D4550" w:rsidRPr="00275290" w:rsidRDefault="009D4550" w:rsidP="009D4550">
            <w:pPr>
              <w:rPr>
                <w:rFonts w:cs="Arial"/>
                <w:sz w:val="20"/>
                <w:szCs w:val="20"/>
                <w:lang w:val="fr-FR"/>
              </w:rPr>
            </w:pPr>
          </w:p>
        </w:tc>
        <w:tc>
          <w:tcPr>
            <w:tcW w:w="1984" w:type="dxa"/>
            <w:vAlign w:val="center"/>
          </w:tcPr>
          <w:p w14:paraId="435FCBB0"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vAlign w:val="center"/>
          </w:tcPr>
          <w:p w14:paraId="4D15EA77" w14:textId="77777777" w:rsidR="009D4550" w:rsidRPr="00275290" w:rsidRDefault="009D4550" w:rsidP="009D4550">
            <w:pPr>
              <w:rPr>
                <w:rFonts w:cs="Arial"/>
                <w:bCs/>
                <w:color w:val="000000"/>
                <w:sz w:val="20"/>
                <w:szCs w:val="20"/>
              </w:rPr>
            </w:pPr>
            <w:r w:rsidRPr="00275290">
              <w:rPr>
                <w:rFonts w:cs="Arial"/>
                <w:bCs/>
                <w:color w:val="000000"/>
                <w:sz w:val="20"/>
                <w:szCs w:val="20"/>
              </w:rPr>
              <w:t>6,79E-05</w:t>
            </w:r>
          </w:p>
        </w:tc>
        <w:tc>
          <w:tcPr>
            <w:tcW w:w="1984" w:type="dxa"/>
            <w:vAlign w:val="center"/>
          </w:tcPr>
          <w:p w14:paraId="5CD0B4AA" w14:textId="77777777" w:rsidR="009D4550" w:rsidRPr="00275290" w:rsidRDefault="009D4550" w:rsidP="009D4550">
            <w:pPr>
              <w:rPr>
                <w:rFonts w:cs="Arial"/>
                <w:bCs/>
                <w:color w:val="000000"/>
                <w:sz w:val="20"/>
                <w:szCs w:val="20"/>
              </w:rPr>
            </w:pPr>
            <w:r w:rsidRPr="00275290">
              <w:rPr>
                <w:rFonts w:cs="Arial"/>
                <w:bCs/>
                <w:color w:val="000000"/>
                <w:sz w:val="20"/>
                <w:szCs w:val="20"/>
              </w:rPr>
              <w:t>1,24E-02</w:t>
            </w:r>
          </w:p>
        </w:tc>
        <w:tc>
          <w:tcPr>
            <w:tcW w:w="1984" w:type="dxa"/>
            <w:vAlign w:val="center"/>
          </w:tcPr>
          <w:p w14:paraId="4DAFCB01" w14:textId="77777777" w:rsidR="009D4550" w:rsidRPr="00275290" w:rsidRDefault="009D4550" w:rsidP="009D4550">
            <w:pPr>
              <w:rPr>
                <w:rFonts w:cs="Arial"/>
                <w:bCs/>
                <w:color w:val="000000"/>
                <w:sz w:val="20"/>
                <w:szCs w:val="20"/>
              </w:rPr>
            </w:pPr>
            <w:r w:rsidRPr="00275290">
              <w:rPr>
                <w:rFonts w:cs="Arial"/>
                <w:bCs/>
                <w:color w:val="000000"/>
                <w:sz w:val="20"/>
                <w:szCs w:val="20"/>
              </w:rPr>
              <w:t>1,24E-02</w:t>
            </w:r>
          </w:p>
        </w:tc>
      </w:tr>
      <w:tr w:rsidR="009D4550" w:rsidRPr="00275290" w14:paraId="0DEB3AD3" w14:textId="77777777" w:rsidTr="009D4550">
        <w:tc>
          <w:tcPr>
            <w:tcW w:w="1983" w:type="dxa"/>
            <w:vMerge w:val="restart"/>
            <w:vAlign w:val="center"/>
          </w:tcPr>
          <w:p w14:paraId="18BBCAB0" w14:textId="77777777" w:rsidR="009D4550" w:rsidRPr="00275290" w:rsidRDefault="009D4550" w:rsidP="009D4550">
            <w:pPr>
              <w:rPr>
                <w:rFonts w:cs="Arial"/>
                <w:sz w:val="20"/>
                <w:szCs w:val="20"/>
                <w:lang w:val="en-US"/>
              </w:rPr>
            </w:pPr>
            <w:r w:rsidRPr="00275290">
              <w:rPr>
                <w:rFonts w:cs="Arial"/>
                <w:sz w:val="20"/>
                <w:szCs w:val="20"/>
                <w:lang w:val="en-US"/>
              </w:rPr>
              <w:t>Brush cleaning phase</w:t>
            </w:r>
          </w:p>
        </w:tc>
        <w:tc>
          <w:tcPr>
            <w:tcW w:w="1984" w:type="dxa"/>
            <w:vAlign w:val="center"/>
          </w:tcPr>
          <w:p w14:paraId="775B7E1A"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0C01A62E"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vAlign w:val="center"/>
          </w:tcPr>
          <w:p w14:paraId="3650FA91" w14:textId="77777777" w:rsidR="009D4550" w:rsidRPr="00275290" w:rsidRDefault="009D4550" w:rsidP="009D4550">
            <w:pPr>
              <w:rPr>
                <w:rFonts w:cs="Arial"/>
                <w:color w:val="000000"/>
                <w:sz w:val="20"/>
                <w:szCs w:val="20"/>
              </w:rPr>
            </w:pPr>
            <w:r w:rsidRPr="00275290">
              <w:rPr>
                <w:rFonts w:cs="Arial"/>
                <w:color w:val="000000"/>
                <w:sz w:val="20"/>
                <w:szCs w:val="20"/>
              </w:rPr>
              <w:t>7,17E-04</w:t>
            </w:r>
          </w:p>
        </w:tc>
        <w:tc>
          <w:tcPr>
            <w:tcW w:w="1984" w:type="dxa"/>
            <w:vAlign w:val="center"/>
          </w:tcPr>
          <w:p w14:paraId="5BA96DEE" w14:textId="77777777" w:rsidR="009D4550" w:rsidRPr="00275290" w:rsidRDefault="009D4550" w:rsidP="009D4550">
            <w:pPr>
              <w:rPr>
                <w:rFonts w:cs="Arial"/>
                <w:color w:val="000000"/>
                <w:sz w:val="20"/>
                <w:szCs w:val="20"/>
              </w:rPr>
            </w:pPr>
            <w:r w:rsidRPr="00275290">
              <w:rPr>
                <w:rFonts w:cs="Arial"/>
                <w:color w:val="000000"/>
                <w:sz w:val="20"/>
                <w:szCs w:val="20"/>
              </w:rPr>
              <w:t>7,17E-04</w:t>
            </w:r>
          </w:p>
        </w:tc>
      </w:tr>
      <w:tr w:rsidR="009D4550" w:rsidRPr="00275290" w14:paraId="6F150566" w14:textId="77777777" w:rsidTr="009D4550">
        <w:tc>
          <w:tcPr>
            <w:tcW w:w="1983" w:type="dxa"/>
            <w:vMerge/>
            <w:vAlign w:val="center"/>
          </w:tcPr>
          <w:p w14:paraId="143C71B1" w14:textId="77777777" w:rsidR="009D4550" w:rsidRPr="00275290" w:rsidRDefault="009D4550" w:rsidP="009D4550">
            <w:pPr>
              <w:rPr>
                <w:rFonts w:cs="Arial"/>
                <w:sz w:val="20"/>
                <w:szCs w:val="20"/>
                <w:lang w:val="en-US"/>
              </w:rPr>
            </w:pPr>
          </w:p>
        </w:tc>
        <w:tc>
          <w:tcPr>
            <w:tcW w:w="1984" w:type="dxa"/>
            <w:vAlign w:val="center"/>
          </w:tcPr>
          <w:p w14:paraId="6DE26040"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vAlign w:val="center"/>
          </w:tcPr>
          <w:p w14:paraId="209365FF"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vAlign w:val="center"/>
          </w:tcPr>
          <w:p w14:paraId="51BCAD18" w14:textId="77777777" w:rsidR="009D4550" w:rsidRPr="00275290" w:rsidRDefault="009D4550" w:rsidP="009D4550">
            <w:pPr>
              <w:rPr>
                <w:rFonts w:cs="Arial"/>
                <w:color w:val="000000"/>
                <w:sz w:val="20"/>
                <w:szCs w:val="20"/>
              </w:rPr>
            </w:pPr>
            <w:r w:rsidRPr="00275290">
              <w:rPr>
                <w:rFonts w:cs="Arial"/>
                <w:color w:val="000000"/>
                <w:sz w:val="20"/>
                <w:szCs w:val="20"/>
              </w:rPr>
              <w:t>9,32E-04</w:t>
            </w:r>
          </w:p>
        </w:tc>
        <w:tc>
          <w:tcPr>
            <w:tcW w:w="1984" w:type="dxa"/>
            <w:vAlign w:val="center"/>
          </w:tcPr>
          <w:p w14:paraId="4E495A2B" w14:textId="77777777" w:rsidR="009D4550" w:rsidRPr="00275290" w:rsidRDefault="009D4550" w:rsidP="009D4550">
            <w:pPr>
              <w:rPr>
                <w:rFonts w:cs="Arial"/>
                <w:color w:val="000000"/>
                <w:sz w:val="20"/>
                <w:szCs w:val="20"/>
              </w:rPr>
            </w:pPr>
            <w:r w:rsidRPr="00275290">
              <w:rPr>
                <w:rFonts w:cs="Arial"/>
                <w:color w:val="000000"/>
                <w:sz w:val="20"/>
                <w:szCs w:val="20"/>
              </w:rPr>
              <w:t>9,32E-04</w:t>
            </w:r>
          </w:p>
        </w:tc>
      </w:tr>
      <w:tr w:rsidR="009D4550" w:rsidRPr="00275290" w14:paraId="3FB53924" w14:textId="77777777" w:rsidTr="009D4550">
        <w:tc>
          <w:tcPr>
            <w:tcW w:w="1983" w:type="dxa"/>
            <w:vMerge/>
            <w:vAlign w:val="center"/>
          </w:tcPr>
          <w:p w14:paraId="147D1BD5" w14:textId="77777777" w:rsidR="009D4550" w:rsidRPr="00275290" w:rsidRDefault="009D4550" w:rsidP="009D4550">
            <w:pPr>
              <w:rPr>
                <w:rFonts w:cs="Arial"/>
                <w:sz w:val="20"/>
                <w:szCs w:val="20"/>
                <w:lang w:val="en-US"/>
              </w:rPr>
            </w:pPr>
          </w:p>
        </w:tc>
        <w:tc>
          <w:tcPr>
            <w:tcW w:w="1984" w:type="dxa"/>
            <w:tcBorders>
              <w:bottom w:val="single" w:sz="4" w:space="0" w:color="auto"/>
            </w:tcBorders>
            <w:vAlign w:val="center"/>
          </w:tcPr>
          <w:p w14:paraId="1EA184EF"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1984" w:type="dxa"/>
            <w:tcBorders>
              <w:bottom w:val="single" w:sz="4" w:space="0" w:color="auto"/>
            </w:tcBorders>
            <w:vAlign w:val="center"/>
          </w:tcPr>
          <w:p w14:paraId="35759466"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tcBorders>
            <w:vAlign w:val="center"/>
          </w:tcPr>
          <w:p w14:paraId="7ACAE325" w14:textId="77777777" w:rsidR="009D4550" w:rsidRPr="00275290" w:rsidRDefault="009D4550" w:rsidP="009D4550">
            <w:pPr>
              <w:rPr>
                <w:rFonts w:cs="Arial"/>
                <w:color w:val="000000"/>
                <w:sz w:val="20"/>
                <w:szCs w:val="20"/>
              </w:rPr>
            </w:pPr>
            <w:r w:rsidRPr="00275290">
              <w:rPr>
                <w:rFonts w:cs="Arial"/>
                <w:color w:val="000000"/>
                <w:sz w:val="20"/>
                <w:szCs w:val="20"/>
              </w:rPr>
              <w:t>4,94E-04</w:t>
            </w:r>
          </w:p>
        </w:tc>
        <w:tc>
          <w:tcPr>
            <w:tcW w:w="1984" w:type="dxa"/>
            <w:tcBorders>
              <w:bottom w:val="single" w:sz="4" w:space="0" w:color="auto"/>
            </w:tcBorders>
            <w:vAlign w:val="center"/>
          </w:tcPr>
          <w:p w14:paraId="5478F754" w14:textId="77777777" w:rsidR="009D4550" w:rsidRPr="00275290" w:rsidRDefault="009D4550" w:rsidP="009D4550">
            <w:pPr>
              <w:rPr>
                <w:rFonts w:cs="Arial"/>
                <w:color w:val="000000"/>
                <w:sz w:val="20"/>
                <w:szCs w:val="20"/>
              </w:rPr>
            </w:pPr>
            <w:r w:rsidRPr="00275290">
              <w:rPr>
                <w:rFonts w:cs="Arial"/>
                <w:color w:val="000000"/>
                <w:sz w:val="20"/>
                <w:szCs w:val="20"/>
              </w:rPr>
              <w:t>4,94E-04</w:t>
            </w:r>
          </w:p>
        </w:tc>
      </w:tr>
      <w:tr w:rsidR="009D4550" w:rsidRPr="00275290" w14:paraId="18F23080" w14:textId="77777777" w:rsidTr="009D4550">
        <w:tc>
          <w:tcPr>
            <w:tcW w:w="1983" w:type="dxa"/>
            <w:vMerge/>
            <w:tcBorders>
              <w:bottom w:val="single" w:sz="4" w:space="0" w:color="auto"/>
            </w:tcBorders>
            <w:vAlign w:val="center"/>
          </w:tcPr>
          <w:p w14:paraId="265DFBF0" w14:textId="77777777" w:rsidR="009D4550" w:rsidRPr="00275290" w:rsidRDefault="009D4550" w:rsidP="009D4550">
            <w:pPr>
              <w:rPr>
                <w:rFonts w:cs="Arial"/>
                <w:sz w:val="20"/>
                <w:szCs w:val="20"/>
                <w:lang w:val="en-US"/>
              </w:rPr>
            </w:pPr>
          </w:p>
        </w:tc>
        <w:tc>
          <w:tcPr>
            <w:tcW w:w="1984" w:type="dxa"/>
            <w:tcBorders>
              <w:bottom w:val="single" w:sz="4" w:space="0" w:color="auto"/>
            </w:tcBorders>
            <w:vAlign w:val="center"/>
          </w:tcPr>
          <w:p w14:paraId="7E96E234"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tcBorders>
              <w:bottom w:val="single" w:sz="4" w:space="0" w:color="auto"/>
            </w:tcBorders>
            <w:vAlign w:val="center"/>
          </w:tcPr>
          <w:p w14:paraId="7D70D1AF" w14:textId="77777777" w:rsidR="009D4550" w:rsidRPr="00275290" w:rsidRDefault="009D4550" w:rsidP="009D4550">
            <w:pPr>
              <w:rPr>
                <w:rFonts w:cs="Arial"/>
                <w:sz w:val="20"/>
                <w:szCs w:val="20"/>
                <w:lang w:val="en-US"/>
              </w:rPr>
            </w:pPr>
          </w:p>
        </w:tc>
        <w:tc>
          <w:tcPr>
            <w:tcW w:w="1984" w:type="dxa"/>
            <w:tcBorders>
              <w:bottom w:val="single" w:sz="4" w:space="0" w:color="auto"/>
            </w:tcBorders>
            <w:vAlign w:val="center"/>
          </w:tcPr>
          <w:p w14:paraId="6C291CE2" w14:textId="77777777" w:rsidR="009D4550" w:rsidRPr="00275290" w:rsidRDefault="009D4550" w:rsidP="009D4550">
            <w:pPr>
              <w:rPr>
                <w:rFonts w:cs="Arial"/>
                <w:color w:val="000000"/>
                <w:sz w:val="20"/>
                <w:szCs w:val="20"/>
              </w:rPr>
            </w:pPr>
            <w:r w:rsidRPr="00275290">
              <w:rPr>
                <w:rFonts w:cs="Arial"/>
                <w:color w:val="000000"/>
                <w:sz w:val="20"/>
                <w:szCs w:val="20"/>
              </w:rPr>
              <w:t>8,63E-04</w:t>
            </w:r>
          </w:p>
        </w:tc>
        <w:tc>
          <w:tcPr>
            <w:tcW w:w="1984" w:type="dxa"/>
            <w:tcBorders>
              <w:bottom w:val="single" w:sz="4" w:space="0" w:color="auto"/>
            </w:tcBorders>
            <w:vAlign w:val="center"/>
          </w:tcPr>
          <w:p w14:paraId="0046031D" w14:textId="77777777" w:rsidR="009D4550" w:rsidRPr="00275290" w:rsidRDefault="009D4550" w:rsidP="009D4550">
            <w:pPr>
              <w:rPr>
                <w:rFonts w:cs="Arial"/>
                <w:color w:val="000000"/>
                <w:sz w:val="20"/>
                <w:szCs w:val="20"/>
              </w:rPr>
            </w:pPr>
            <w:r w:rsidRPr="00275290">
              <w:rPr>
                <w:rFonts w:cs="Arial"/>
                <w:color w:val="000000"/>
                <w:sz w:val="20"/>
                <w:szCs w:val="20"/>
              </w:rPr>
              <w:t>8,63E-04</w:t>
            </w:r>
          </w:p>
        </w:tc>
      </w:tr>
      <w:tr w:rsidR="009D4550" w:rsidRPr="00275290" w14:paraId="32284B4C" w14:textId="77777777" w:rsidTr="009D4550">
        <w:tc>
          <w:tcPr>
            <w:tcW w:w="1983" w:type="dxa"/>
            <w:vMerge w:val="restart"/>
            <w:tcBorders>
              <w:top w:val="single" w:sz="4" w:space="0" w:color="auto"/>
              <w:left w:val="single" w:sz="4" w:space="0" w:color="auto"/>
            </w:tcBorders>
            <w:shd w:val="clear" w:color="auto" w:fill="C6D9F1" w:themeFill="text2" w:themeFillTint="33"/>
            <w:vAlign w:val="center"/>
          </w:tcPr>
          <w:p w14:paraId="1E3B647D" w14:textId="77777777" w:rsidR="009D4550" w:rsidRPr="00275290" w:rsidRDefault="009D4550" w:rsidP="009D4550">
            <w:pPr>
              <w:rPr>
                <w:rFonts w:cs="Arial"/>
                <w:sz w:val="20"/>
                <w:szCs w:val="20"/>
                <w:lang w:val="en-US"/>
              </w:rPr>
            </w:pPr>
            <w:r w:rsidRPr="00275290">
              <w:rPr>
                <w:rFonts w:cs="Arial"/>
                <w:sz w:val="20"/>
                <w:szCs w:val="20"/>
                <w:lang w:val="en-US"/>
              </w:rPr>
              <w:t>Application + cleaning</w:t>
            </w:r>
          </w:p>
        </w:tc>
        <w:tc>
          <w:tcPr>
            <w:tcW w:w="1984" w:type="dxa"/>
            <w:tcBorders>
              <w:top w:val="single" w:sz="4" w:space="0" w:color="auto"/>
            </w:tcBorders>
            <w:shd w:val="clear" w:color="auto" w:fill="C6D9F1" w:themeFill="text2" w:themeFillTint="33"/>
            <w:vAlign w:val="center"/>
          </w:tcPr>
          <w:p w14:paraId="678AC3EA"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3968" w:type="dxa"/>
            <w:gridSpan w:val="2"/>
            <w:tcBorders>
              <w:top w:val="single" w:sz="4" w:space="0" w:color="auto"/>
            </w:tcBorders>
            <w:shd w:val="clear" w:color="auto" w:fill="C6D9F1" w:themeFill="text2" w:themeFillTint="33"/>
            <w:vAlign w:val="center"/>
          </w:tcPr>
          <w:p w14:paraId="518AD660"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top w:val="single" w:sz="4" w:space="0" w:color="auto"/>
              <w:right w:val="single" w:sz="4" w:space="0" w:color="auto"/>
            </w:tcBorders>
            <w:shd w:val="clear" w:color="auto" w:fill="C6D9F1" w:themeFill="text2" w:themeFillTint="33"/>
            <w:vAlign w:val="center"/>
          </w:tcPr>
          <w:p w14:paraId="564F1011" w14:textId="77777777" w:rsidR="009D4550" w:rsidRPr="00275290" w:rsidRDefault="009D4550" w:rsidP="009D4550">
            <w:pPr>
              <w:rPr>
                <w:rFonts w:cs="Arial"/>
                <w:color w:val="000000"/>
                <w:sz w:val="20"/>
                <w:szCs w:val="20"/>
              </w:rPr>
            </w:pPr>
            <w:r w:rsidRPr="00275290">
              <w:rPr>
                <w:rFonts w:cs="Arial"/>
                <w:color w:val="000000"/>
                <w:sz w:val="20"/>
                <w:szCs w:val="20"/>
              </w:rPr>
              <w:t>1,03E-02</w:t>
            </w:r>
          </w:p>
        </w:tc>
      </w:tr>
      <w:tr w:rsidR="009D4550" w:rsidRPr="00275290" w14:paraId="606B2023" w14:textId="77777777" w:rsidTr="009D4550">
        <w:tc>
          <w:tcPr>
            <w:tcW w:w="1983" w:type="dxa"/>
            <w:vMerge/>
            <w:tcBorders>
              <w:left w:val="single" w:sz="4" w:space="0" w:color="auto"/>
            </w:tcBorders>
            <w:shd w:val="clear" w:color="auto" w:fill="C6D9F1" w:themeFill="text2" w:themeFillTint="33"/>
            <w:vAlign w:val="center"/>
          </w:tcPr>
          <w:p w14:paraId="4EDD6465"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1E6162F7"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3968" w:type="dxa"/>
            <w:gridSpan w:val="2"/>
            <w:shd w:val="clear" w:color="auto" w:fill="C6D9F1" w:themeFill="text2" w:themeFillTint="33"/>
            <w:vAlign w:val="center"/>
          </w:tcPr>
          <w:p w14:paraId="191E6344"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3DD2F0C2" w14:textId="77777777" w:rsidR="009D4550" w:rsidRPr="00275290" w:rsidRDefault="009D4550" w:rsidP="009D4550">
            <w:pPr>
              <w:rPr>
                <w:rFonts w:cs="Arial"/>
                <w:color w:val="000000"/>
                <w:sz w:val="20"/>
                <w:szCs w:val="20"/>
              </w:rPr>
            </w:pPr>
            <w:r w:rsidRPr="00275290">
              <w:rPr>
                <w:rFonts w:cs="Arial"/>
                <w:color w:val="000000"/>
                <w:sz w:val="20"/>
                <w:szCs w:val="20"/>
              </w:rPr>
              <w:t>1,49E-02</w:t>
            </w:r>
          </w:p>
        </w:tc>
      </w:tr>
      <w:tr w:rsidR="009D4550" w:rsidRPr="00275290" w14:paraId="05BDFC3A" w14:textId="77777777" w:rsidTr="009D4550">
        <w:tc>
          <w:tcPr>
            <w:tcW w:w="1983" w:type="dxa"/>
            <w:vMerge/>
            <w:tcBorders>
              <w:left w:val="single" w:sz="4" w:space="0" w:color="auto"/>
            </w:tcBorders>
            <w:shd w:val="clear" w:color="auto" w:fill="C6D9F1" w:themeFill="text2" w:themeFillTint="33"/>
            <w:vAlign w:val="center"/>
          </w:tcPr>
          <w:p w14:paraId="08BCBA81"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4B4BADE5"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3968" w:type="dxa"/>
            <w:gridSpan w:val="2"/>
            <w:shd w:val="clear" w:color="auto" w:fill="C6D9F1" w:themeFill="text2" w:themeFillTint="33"/>
            <w:vAlign w:val="center"/>
          </w:tcPr>
          <w:p w14:paraId="315B0B86"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0CD5EBA6" w14:textId="77777777" w:rsidR="009D4550" w:rsidRPr="00275290" w:rsidRDefault="009D4550" w:rsidP="009D4550">
            <w:pPr>
              <w:rPr>
                <w:rFonts w:cs="Arial"/>
                <w:color w:val="000000"/>
                <w:sz w:val="20"/>
                <w:szCs w:val="20"/>
              </w:rPr>
            </w:pPr>
            <w:r w:rsidRPr="00275290">
              <w:rPr>
                <w:rFonts w:cs="Arial"/>
                <w:color w:val="000000"/>
                <w:sz w:val="20"/>
                <w:szCs w:val="20"/>
              </w:rPr>
              <w:t>5,67E-03</w:t>
            </w:r>
          </w:p>
        </w:tc>
      </w:tr>
      <w:tr w:rsidR="009D4550" w:rsidRPr="00275290" w14:paraId="1AC58673" w14:textId="77777777" w:rsidTr="009D4550">
        <w:tc>
          <w:tcPr>
            <w:tcW w:w="1983" w:type="dxa"/>
            <w:vMerge/>
            <w:tcBorders>
              <w:left w:val="single" w:sz="4" w:space="0" w:color="auto"/>
            </w:tcBorders>
            <w:shd w:val="clear" w:color="auto" w:fill="C6D9F1" w:themeFill="text2" w:themeFillTint="33"/>
            <w:vAlign w:val="center"/>
          </w:tcPr>
          <w:p w14:paraId="6481E408"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6615F220"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3968" w:type="dxa"/>
            <w:gridSpan w:val="2"/>
            <w:shd w:val="clear" w:color="auto" w:fill="C6D9F1" w:themeFill="text2" w:themeFillTint="33"/>
            <w:vAlign w:val="center"/>
          </w:tcPr>
          <w:p w14:paraId="72F6B30D"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7D3FFC78" w14:textId="77777777" w:rsidR="009D4550" w:rsidRPr="00275290" w:rsidRDefault="009D4550" w:rsidP="009D4550">
            <w:pPr>
              <w:rPr>
                <w:rFonts w:cs="Arial"/>
                <w:color w:val="000000"/>
                <w:sz w:val="20"/>
                <w:szCs w:val="20"/>
              </w:rPr>
            </w:pPr>
            <w:r w:rsidRPr="00275290">
              <w:rPr>
                <w:rFonts w:cs="Arial"/>
                <w:color w:val="000000"/>
                <w:sz w:val="20"/>
                <w:szCs w:val="20"/>
              </w:rPr>
              <w:t>1,33E-02</w:t>
            </w:r>
          </w:p>
        </w:tc>
      </w:tr>
      <w:tr w:rsidR="009D4550" w:rsidRPr="00275290" w14:paraId="3C7135E3" w14:textId="77777777" w:rsidTr="009D4550">
        <w:tc>
          <w:tcPr>
            <w:tcW w:w="9919" w:type="dxa"/>
            <w:gridSpan w:val="5"/>
            <w:tcBorders>
              <w:left w:val="single" w:sz="4" w:space="0" w:color="auto"/>
              <w:right w:val="single" w:sz="4" w:space="0" w:color="auto"/>
            </w:tcBorders>
            <w:shd w:val="clear" w:color="auto" w:fill="BFBFBF" w:themeFill="background1" w:themeFillShade="BF"/>
            <w:vAlign w:val="center"/>
          </w:tcPr>
          <w:p w14:paraId="26C3B130" w14:textId="77777777" w:rsidR="009D4550" w:rsidRPr="00275290" w:rsidRDefault="009D4550" w:rsidP="009D4550">
            <w:pPr>
              <w:rPr>
                <w:rFonts w:cs="Arial"/>
                <w:color w:val="000000"/>
                <w:sz w:val="20"/>
                <w:szCs w:val="20"/>
              </w:rPr>
            </w:pPr>
            <w:r w:rsidRPr="00275290">
              <w:rPr>
                <w:rFonts w:cs="Arial"/>
                <w:sz w:val="20"/>
                <w:szCs w:val="20"/>
                <w:lang w:val="en-US"/>
              </w:rPr>
              <w:t>Brushing 300g/m</w:t>
            </w:r>
            <w:r w:rsidRPr="00275290">
              <w:rPr>
                <w:rFonts w:cs="Arial"/>
                <w:sz w:val="20"/>
                <w:szCs w:val="20"/>
                <w:vertAlign w:val="superscript"/>
                <w:lang w:val="en-US"/>
              </w:rPr>
              <w:t>2</w:t>
            </w:r>
            <w:r w:rsidRPr="00275290">
              <w:rPr>
                <w:rFonts w:cs="Arial"/>
                <w:sz w:val="20"/>
                <w:szCs w:val="20"/>
                <w:lang w:val="en-US"/>
              </w:rPr>
              <w:t xml:space="preserve"> – with gloves and coated coverall during application and no PPE during cleaning</w:t>
            </w:r>
          </w:p>
        </w:tc>
      </w:tr>
      <w:tr w:rsidR="009D4550" w:rsidRPr="00275290" w14:paraId="3E0C9FEB" w14:textId="77777777" w:rsidTr="009D4550">
        <w:tc>
          <w:tcPr>
            <w:tcW w:w="1983" w:type="dxa"/>
            <w:tcBorders>
              <w:left w:val="single" w:sz="4" w:space="0" w:color="auto"/>
            </w:tcBorders>
            <w:shd w:val="clear" w:color="auto" w:fill="auto"/>
            <w:vAlign w:val="center"/>
          </w:tcPr>
          <w:p w14:paraId="5E2D08D3" w14:textId="77777777" w:rsidR="009D4550" w:rsidRPr="00275290" w:rsidRDefault="009D4550" w:rsidP="009D4550">
            <w:pPr>
              <w:rPr>
                <w:rFonts w:cs="Arial"/>
                <w:sz w:val="20"/>
                <w:szCs w:val="20"/>
                <w:lang w:val="fr-FR"/>
              </w:rPr>
            </w:pPr>
            <w:r w:rsidRPr="00275290">
              <w:rPr>
                <w:rFonts w:cs="Arial"/>
                <w:sz w:val="20"/>
                <w:szCs w:val="20"/>
                <w:lang w:val="fr-FR"/>
              </w:rPr>
              <w:t>M&amp;L</w:t>
            </w:r>
          </w:p>
        </w:tc>
        <w:tc>
          <w:tcPr>
            <w:tcW w:w="7936" w:type="dxa"/>
            <w:gridSpan w:val="4"/>
            <w:tcBorders>
              <w:right w:val="single" w:sz="4" w:space="0" w:color="auto"/>
            </w:tcBorders>
            <w:shd w:val="clear" w:color="auto" w:fill="auto"/>
            <w:vAlign w:val="center"/>
          </w:tcPr>
          <w:p w14:paraId="00B86BCF" w14:textId="77777777" w:rsidR="009D4550" w:rsidRPr="00275290" w:rsidRDefault="009D4550" w:rsidP="009D4550">
            <w:pPr>
              <w:rPr>
                <w:rFonts w:cs="Arial"/>
                <w:sz w:val="20"/>
                <w:szCs w:val="20"/>
                <w:lang w:val="fr-FR"/>
              </w:rPr>
            </w:pPr>
            <w:r w:rsidRPr="00275290">
              <w:rPr>
                <w:rFonts w:cs="Arial"/>
                <w:sz w:val="20"/>
                <w:szCs w:val="20"/>
                <w:lang w:val="fr-FR"/>
              </w:rPr>
              <w:t xml:space="preserve">n.a </w:t>
            </w:r>
          </w:p>
        </w:tc>
      </w:tr>
      <w:tr w:rsidR="009D4550" w:rsidRPr="00275290" w14:paraId="783C7053" w14:textId="77777777" w:rsidTr="009D4550">
        <w:tc>
          <w:tcPr>
            <w:tcW w:w="1983" w:type="dxa"/>
            <w:vMerge w:val="restart"/>
            <w:tcBorders>
              <w:left w:val="single" w:sz="4" w:space="0" w:color="auto"/>
            </w:tcBorders>
            <w:shd w:val="clear" w:color="auto" w:fill="auto"/>
            <w:vAlign w:val="center"/>
          </w:tcPr>
          <w:p w14:paraId="055FCB4C" w14:textId="77777777" w:rsidR="009D4550" w:rsidRPr="00275290" w:rsidRDefault="009D4550" w:rsidP="009D4550">
            <w:pPr>
              <w:rPr>
                <w:rFonts w:cs="Arial"/>
                <w:sz w:val="20"/>
                <w:szCs w:val="20"/>
                <w:lang w:val="en-US"/>
              </w:rPr>
            </w:pPr>
            <w:r w:rsidRPr="00275290">
              <w:rPr>
                <w:rFonts w:cs="Arial"/>
                <w:sz w:val="20"/>
                <w:szCs w:val="20"/>
                <w:lang w:val="en-US"/>
              </w:rPr>
              <w:t>Product application phase</w:t>
            </w:r>
          </w:p>
        </w:tc>
        <w:tc>
          <w:tcPr>
            <w:tcW w:w="1984" w:type="dxa"/>
            <w:shd w:val="clear" w:color="auto" w:fill="auto"/>
            <w:vAlign w:val="center"/>
          </w:tcPr>
          <w:p w14:paraId="4706E825"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shd w:val="clear" w:color="auto" w:fill="auto"/>
            <w:vAlign w:val="center"/>
          </w:tcPr>
          <w:p w14:paraId="6F049C7E" w14:textId="77777777" w:rsidR="009D4550" w:rsidRPr="00275290" w:rsidRDefault="009D4550" w:rsidP="009D4550">
            <w:pPr>
              <w:rPr>
                <w:rFonts w:cs="Arial"/>
                <w:bCs/>
                <w:color w:val="000000"/>
                <w:sz w:val="20"/>
                <w:szCs w:val="20"/>
              </w:rPr>
            </w:pPr>
            <w:r w:rsidRPr="00275290">
              <w:rPr>
                <w:rFonts w:cs="Arial"/>
                <w:bCs/>
                <w:color w:val="000000"/>
                <w:sz w:val="20"/>
                <w:szCs w:val="20"/>
              </w:rPr>
              <w:t>1,09E-04</w:t>
            </w:r>
          </w:p>
        </w:tc>
        <w:tc>
          <w:tcPr>
            <w:tcW w:w="1984" w:type="dxa"/>
            <w:shd w:val="clear" w:color="auto" w:fill="auto"/>
            <w:vAlign w:val="center"/>
          </w:tcPr>
          <w:p w14:paraId="1EF491CD" w14:textId="77777777" w:rsidR="009D4550" w:rsidRPr="00275290" w:rsidRDefault="009D4550" w:rsidP="009D4550">
            <w:pPr>
              <w:rPr>
                <w:rFonts w:cs="Arial"/>
                <w:bCs/>
                <w:color w:val="000000"/>
                <w:sz w:val="20"/>
                <w:szCs w:val="20"/>
              </w:rPr>
            </w:pPr>
            <w:r w:rsidRPr="00275290">
              <w:rPr>
                <w:rFonts w:cs="Arial"/>
                <w:bCs/>
                <w:color w:val="000000"/>
                <w:sz w:val="20"/>
                <w:szCs w:val="20"/>
              </w:rPr>
              <w:t>1,05E-03</w:t>
            </w:r>
          </w:p>
        </w:tc>
        <w:tc>
          <w:tcPr>
            <w:tcW w:w="1984" w:type="dxa"/>
            <w:tcBorders>
              <w:right w:val="single" w:sz="4" w:space="0" w:color="auto"/>
            </w:tcBorders>
            <w:shd w:val="clear" w:color="auto" w:fill="auto"/>
            <w:vAlign w:val="center"/>
          </w:tcPr>
          <w:p w14:paraId="278A1B0C" w14:textId="77777777" w:rsidR="009D4550" w:rsidRPr="00275290" w:rsidRDefault="009D4550" w:rsidP="009D4550">
            <w:pPr>
              <w:rPr>
                <w:rFonts w:cs="Arial"/>
                <w:bCs/>
                <w:color w:val="000000"/>
                <w:sz w:val="20"/>
                <w:szCs w:val="20"/>
              </w:rPr>
            </w:pPr>
            <w:r w:rsidRPr="00275290">
              <w:rPr>
                <w:rFonts w:cs="Arial"/>
                <w:bCs/>
                <w:color w:val="000000"/>
                <w:sz w:val="20"/>
                <w:szCs w:val="20"/>
              </w:rPr>
              <w:t>1,16E-03</w:t>
            </w:r>
          </w:p>
        </w:tc>
      </w:tr>
      <w:tr w:rsidR="009D4550" w:rsidRPr="00275290" w14:paraId="56CEF78E" w14:textId="77777777" w:rsidTr="009D4550">
        <w:tc>
          <w:tcPr>
            <w:tcW w:w="1983" w:type="dxa"/>
            <w:vMerge/>
            <w:tcBorders>
              <w:left w:val="single" w:sz="4" w:space="0" w:color="auto"/>
            </w:tcBorders>
            <w:shd w:val="clear" w:color="auto" w:fill="auto"/>
            <w:vAlign w:val="center"/>
          </w:tcPr>
          <w:p w14:paraId="41AE1F9B" w14:textId="77777777" w:rsidR="009D4550" w:rsidRPr="00275290" w:rsidRDefault="009D4550" w:rsidP="009D4550">
            <w:pPr>
              <w:rPr>
                <w:rFonts w:cs="Arial"/>
                <w:sz w:val="20"/>
                <w:szCs w:val="20"/>
                <w:lang w:val="en-US"/>
              </w:rPr>
            </w:pPr>
          </w:p>
        </w:tc>
        <w:tc>
          <w:tcPr>
            <w:tcW w:w="1984" w:type="dxa"/>
            <w:shd w:val="clear" w:color="auto" w:fill="auto"/>
            <w:vAlign w:val="center"/>
          </w:tcPr>
          <w:p w14:paraId="4FFF5619"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shd w:val="clear" w:color="auto" w:fill="auto"/>
            <w:vAlign w:val="center"/>
          </w:tcPr>
          <w:p w14:paraId="1196E04A" w14:textId="77777777" w:rsidR="009D4550" w:rsidRPr="00275290" w:rsidRDefault="009D4550" w:rsidP="009D4550">
            <w:pPr>
              <w:rPr>
                <w:rFonts w:cs="Arial"/>
                <w:bCs/>
                <w:color w:val="000000"/>
                <w:sz w:val="20"/>
                <w:szCs w:val="20"/>
              </w:rPr>
            </w:pPr>
            <w:r w:rsidRPr="00275290">
              <w:rPr>
                <w:rFonts w:cs="Arial"/>
                <w:bCs/>
                <w:color w:val="000000"/>
                <w:sz w:val="20"/>
                <w:szCs w:val="20"/>
              </w:rPr>
              <w:t>1,09E-04</w:t>
            </w:r>
          </w:p>
        </w:tc>
        <w:tc>
          <w:tcPr>
            <w:tcW w:w="1984" w:type="dxa"/>
            <w:shd w:val="clear" w:color="auto" w:fill="auto"/>
            <w:vAlign w:val="center"/>
          </w:tcPr>
          <w:p w14:paraId="64273D3D" w14:textId="77777777" w:rsidR="009D4550" w:rsidRPr="00275290" w:rsidRDefault="009D4550" w:rsidP="009D4550">
            <w:pPr>
              <w:rPr>
                <w:rFonts w:cs="Arial"/>
                <w:bCs/>
                <w:color w:val="000000"/>
                <w:sz w:val="20"/>
                <w:szCs w:val="20"/>
              </w:rPr>
            </w:pPr>
            <w:r w:rsidRPr="00275290">
              <w:rPr>
                <w:rFonts w:cs="Arial"/>
                <w:bCs/>
                <w:color w:val="000000"/>
                <w:sz w:val="20"/>
                <w:szCs w:val="20"/>
              </w:rPr>
              <w:t>1,52E-03</w:t>
            </w:r>
          </w:p>
        </w:tc>
        <w:tc>
          <w:tcPr>
            <w:tcW w:w="1984" w:type="dxa"/>
            <w:tcBorders>
              <w:right w:val="single" w:sz="4" w:space="0" w:color="auto"/>
            </w:tcBorders>
            <w:shd w:val="clear" w:color="auto" w:fill="auto"/>
            <w:vAlign w:val="center"/>
          </w:tcPr>
          <w:p w14:paraId="50653C81" w14:textId="77777777" w:rsidR="009D4550" w:rsidRPr="00275290" w:rsidRDefault="009D4550" w:rsidP="009D4550">
            <w:pPr>
              <w:rPr>
                <w:rFonts w:cs="Arial"/>
                <w:bCs/>
                <w:color w:val="000000"/>
                <w:sz w:val="20"/>
                <w:szCs w:val="20"/>
              </w:rPr>
            </w:pPr>
            <w:r w:rsidRPr="00275290">
              <w:rPr>
                <w:rFonts w:cs="Arial"/>
                <w:bCs/>
                <w:color w:val="000000"/>
                <w:sz w:val="20"/>
                <w:szCs w:val="20"/>
              </w:rPr>
              <w:t>1,74E-03</w:t>
            </w:r>
          </w:p>
        </w:tc>
      </w:tr>
      <w:tr w:rsidR="009D4550" w:rsidRPr="00275290" w14:paraId="4FD83D56" w14:textId="77777777" w:rsidTr="009D4550">
        <w:tc>
          <w:tcPr>
            <w:tcW w:w="1983" w:type="dxa"/>
            <w:vMerge/>
            <w:tcBorders>
              <w:left w:val="single" w:sz="4" w:space="0" w:color="auto"/>
            </w:tcBorders>
            <w:shd w:val="clear" w:color="auto" w:fill="auto"/>
            <w:vAlign w:val="center"/>
          </w:tcPr>
          <w:p w14:paraId="5CFBE27E" w14:textId="77777777" w:rsidR="009D4550" w:rsidRPr="00275290" w:rsidRDefault="009D4550" w:rsidP="009D4550">
            <w:pPr>
              <w:rPr>
                <w:rFonts w:cs="Arial"/>
                <w:sz w:val="20"/>
                <w:szCs w:val="20"/>
                <w:lang w:val="en-US"/>
              </w:rPr>
            </w:pPr>
          </w:p>
        </w:tc>
        <w:tc>
          <w:tcPr>
            <w:tcW w:w="1984" w:type="dxa"/>
            <w:shd w:val="clear" w:color="auto" w:fill="auto"/>
            <w:vAlign w:val="center"/>
          </w:tcPr>
          <w:p w14:paraId="462CE8CB"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1984" w:type="dxa"/>
            <w:shd w:val="clear" w:color="auto" w:fill="auto"/>
            <w:vAlign w:val="center"/>
          </w:tcPr>
          <w:p w14:paraId="43EB989A" w14:textId="77777777" w:rsidR="009D4550" w:rsidRPr="00275290" w:rsidRDefault="009D4550" w:rsidP="009D4550">
            <w:pPr>
              <w:rPr>
                <w:rFonts w:cs="Arial"/>
                <w:bCs/>
                <w:color w:val="000000"/>
                <w:sz w:val="20"/>
                <w:szCs w:val="20"/>
              </w:rPr>
            </w:pPr>
            <w:r w:rsidRPr="00275290">
              <w:rPr>
                <w:rFonts w:cs="Arial"/>
                <w:bCs/>
                <w:color w:val="000000"/>
                <w:sz w:val="20"/>
                <w:szCs w:val="20"/>
              </w:rPr>
              <w:t>2,17E-04</w:t>
            </w:r>
          </w:p>
        </w:tc>
        <w:tc>
          <w:tcPr>
            <w:tcW w:w="1984" w:type="dxa"/>
            <w:shd w:val="clear" w:color="auto" w:fill="auto"/>
            <w:vAlign w:val="center"/>
          </w:tcPr>
          <w:p w14:paraId="404A1227" w14:textId="77777777" w:rsidR="009D4550" w:rsidRPr="00275290" w:rsidRDefault="009D4550" w:rsidP="009D4550">
            <w:pPr>
              <w:rPr>
                <w:rFonts w:cs="Arial"/>
                <w:bCs/>
                <w:color w:val="000000"/>
                <w:sz w:val="20"/>
                <w:szCs w:val="20"/>
              </w:rPr>
            </w:pPr>
            <w:r w:rsidRPr="00275290">
              <w:rPr>
                <w:rFonts w:cs="Arial"/>
                <w:bCs/>
                <w:color w:val="000000"/>
                <w:sz w:val="20"/>
                <w:szCs w:val="20"/>
              </w:rPr>
              <w:t>5,67E-04</w:t>
            </w:r>
          </w:p>
        </w:tc>
        <w:tc>
          <w:tcPr>
            <w:tcW w:w="1984" w:type="dxa"/>
            <w:tcBorders>
              <w:right w:val="single" w:sz="4" w:space="0" w:color="auto"/>
            </w:tcBorders>
            <w:shd w:val="clear" w:color="auto" w:fill="auto"/>
            <w:vAlign w:val="center"/>
          </w:tcPr>
          <w:p w14:paraId="74A74392" w14:textId="77777777" w:rsidR="009D4550" w:rsidRPr="00275290" w:rsidRDefault="009D4550" w:rsidP="009D4550">
            <w:pPr>
              <w:rPr>
                <w:rFonts w:cs="Arial"/>
                <w:bCs/>
                <w:color w:val="000000"/>
                <w:sz w:val="20"/>
                <w:szCs w:val="20"/>
              </w:rPr>
            </w:pPr>
            <w:r w:rsidRPr="00275290">
              <w:rPr>
                <w:rFonts w:cs="Arial"/>
                <w:bCs/>
                <w:color w:val="000000"/>
                <w:sz w:val="20"/>
                <w:szCs w:val="20"/>
              </w:rPr>
              <w:t>6,34E-04</w:t>
            </w:r>
          </w:p>
        </w:tc>
      </w:tr>
      <w:tr w:rsidR="009D4550" w:rsidRPr="00275290" w14:paraId="3FC233B6" w14:textId="77777777" w:rsidTr="009D4550">
        <w:tc>
          <w:tcPr>
            <w:tcW w:w="1983" w:type="dxa"/>
            <w:vMerge/>
            <w:tcBorders>
              <w:left w:val="single" w:sz="4" w:space="0" w:color="auto"/>
            </w:tcBorders>
            <w:shd w:val="clear" w:color="auto" w:fill="auto"/>
            <w:vAlign w:val="center"/>
          </w:tcPr>
          <w:p w14:paraId="35B5EB7A" w14:textId="77777777" w:rsidR="009D4550" w:rsidRPr="00275290" w:rsidRDefault="009D4550" w:rsidP="009D4550">
            <w:pPr>
              <w:rPr>
                <w:rFonts w:cs="Arial"/>
                <w:sz w:val="20"/>
                <w:szCs w:val="20"/>
                <w:lang w:val="en-US"/>
              </w:rPr>
            </w:pPr>
          </w:p>
        </w:tc>
        <w:tc>
          <w:tcPr>
            <w:tcW w:w="1984" w:type="dxa"/>
            <w:shd w:val="clear" w:color="auto" w:fill="auto"/>
            <w:vAlign w:val="center"/>
          </w:tcPr>
          <w:p w14:paraId="1F177BFE"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shd w:val="clear" w:color="auto" w:fill="auto"/>
            <w:vAlign w:val="center"/>
          </w:tcPr>
          <w:p w14:paraId="62FC7C7D" w14:textId="77777777" w:rsidR="009D4550" w:rsidRPr="00275290" w:rsidRDefault="009D4550" w:rsidP="009D4550">
            <w:pPr>
              <w:rPr>
                <w:rFonts w:cs="Arial"/>
                <w:bCs/>
                <w:color w:val="000000"/>
                <w:sz w:val="20"/>
                <w:szCs w:val="20"/>
              </w:rPr>
            </w:pPr>
            <w:r w:rsidRPr="00275290">
              <w:rPr>
                <w:rFonts w:cs="Arial"/>
                <w:bCs/>
                <w:color w:val="000000"/>
                <w:sz w:val="20"/>
                <w:szCs w:val="20"/>
              </w:rPr>
              <w:t>6,79E-05</w:t>
            </w:r>
          </w:p>
        </w:tc>
        <w:tc>
          <w:tcPr>
            <w:tcW w:w="1984" w:type="dxa"/>
            <w:shd w:val="clear" w:color="auto" w:fill="auto"/>
            <w:vAlign w:val="center"/>
          </w:tcPr>
          <w:p w14:paraId="0B40B09D" w14:textId="77777777" w:rsidR="009D4550" w:rsidRPr="00275290" w:rsidRDefault="009D4550" w:rsidP="009D4550">
            <w:pPr>
              <w:rPr>
                <w:rFonts w:cs="Arial"/>
                <w:bCs/>
                <w:color w:val="000000"/>
                <w:sz w:val="20"/>
                <w:szCs w:val="20"/>
              </w:rPr>
            </w:pPr>
            <w:r w:rsidRPr="00275290">
              <w:rPr>
                <w:rFonts w:cs="Arial"/>
                <w:bCs/>
                <w:color w:val="000000"/>
                <w:sz w:val="20"/>
                <w:szCs w:val="20"/>
              </w:rPr>
              <w:t>1,37E-03</w:t>
            </w:r>
          </w:p>
        </w:tc>
        <w:tc>
          <w:tcPr>
            <w:tcW w:w="1984" w:type="dxa"/>
            <w:tcBorders>
              <w:right w:val="single" w:sz="4" w:space="0" w:color="auto"/>
            </w:tcBorders>
            <w:shd w:val="clear" w:color="auto" w:fill="auto"/>
            <w:vAlign w:val="center"/>
          </w:tcPr>
          <w:p w14:paraId="4BC42B69" w14:textId="77777777" w:rsidR="009D4550" w:rsidRPr="00275290" w:rsidRDefault="009D4550" w:rsidP="009D4550">
            <w:pPr>
              <w:rPr>
                <w:rFonts w:cs="Arial"/>
                <w:bCs/>
                <w:color w:val="000000"/>
                <w:sz w:val="20"/>
                <w:szCs w:val="20"/>
              </w:rPr>
            </w:pPr>
            <w:r w:rsidRPr="00275290">
              <w:rPr>
                <w:rFonts w:cs="Arial"/>
                <w:bCs/>
                <w:color w:val="000000"/>
                <w:sz w:val="20"/>
                <w:szCs w:val="20"/>
              </w:rPr>
              <w:t>1,44E-03</w:t>
            </w:r>
          </w:p>
        </w:tc>
      </w:tr>
      <w:tr w:rsidR="009D4550" w:rsidRPr="00275290" w14:paraId="5B62323A" w14:textId="77777777" w:rsidTr="009D4550">
        <w:tc>
          <w:tcPr>
            <w:tcW w:w="1983" w:type="dxa"/>
            <w:vMerge w:val="restart"/>
            <w:tcBorders>
              <w:left w:val="single" w:sz="4" w:space="0" w:color="auto"/>
            </w:tcBorders>
            <w:shd w:val="clear" w:color="auto" w:fill="auto"/>
            <w:vAlign w:val="center"/>
          </w:tcPr>
          <w:p w14:paraId="18469B6C" w14:textId="77777777" w:rsidR="009D4550" w:rsidRPr="00275290" w:rsidRDefault="009D4550" w:rsidP="009D4550">
            <w:pPr>
              <w:rPr>
                <w:rFonts w:cs="Arial"/>
                <w:sz w:val="20"/>
                <w:szCs w:val="20"/>
                <w:lang w:val="en-US"/>
              </w:rPr>
            </w:pPr>
            <w:r w:rsidRPr="00275290">
              <w:rPr>
                <w:rFonts w:cs="Arial"/>
                <w:sz w:val="20"/>
                <w:szCs w:val="20"/>
                <w:lang w:val="en-US"/>
              </w:rPr>
              <w:t>Brush cleaning phase</w:t>
            </w:r>
          </w:p>
        </w:tc>
        <w:tc>
          <w:tcPr>
            <w:tcW w:w="1984" w:type="dxa"/>
            <w:shd w:val="clear" w:color="auto" w:fill="auto"/>
            <w:vAlign w:val="center"/>
          </w:tcPr>
          <w:p w14:paraId="67C52A97"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shd w:val="clear" w:color="auto" w:fill="auto"/>
            <w:vAlign w:val="center"/>
          </w:tcPr>
          <w:p w14:paraId="11FFD114" w14:textId="77777777" w:rsidR="009D4550" w:rsidRPr="00275290" w:rsidRDefault="009D4550" w:rsidP="009D4550">
            <w:pPr>
              <w:rPr>
                <w:rFonts w:cs="Arial"/>
                <w:bCs/>
                <w:color w:val="000000"/>
                <w:sz w:val="20"/>
                <w:szCs w:val="20"/>
              </w:rPr>
            </w:pPr>
            <w:r w:rsidRPr="00275290">
              <w:rPr>
                <w:rFonts w:cs="Arial"/>
                <w:bCs/>
                <w:color w:val="000000"/>
                <w:sz w:val="20"/>
                <w:szCs w:val="20"/>
              </w:rPr>
              <w:t>6,79E-05</w:t>
            </w:r>
          </w:p>
        </w:tc>
        <w:tc>
          <w:tcPr>
            <w:tcW w:w="1984" w:type="dxa"/>
            <w:shd w:val="clear" w:color="auto" w:fill="auto"/>
            <w:vAlign w:val="center"/>
          </w:tcPr>
          <w:p w14:paraId="1E04A729" w14:textId="77777777" w:rsidR="009D4550" w:rsidRPr="00275290" w:rsidRDefault="009D4550" w:rsidP="009D4550">
            <w:pPr>
              <w:rPr>
                <w:rFonts w:cs="Arial"/>
                <w:color w:val="000000"/>
                <w:sz w:val="20"/>
                <w:szCs w:val="20"/>
              </w:rPr>
            </w:pPr>
            <w:r w:rsidRPr="00275290">
              <w:rPr>
                <w:rFonts w:cs="Arial"/>
                <w:color w:val="000000"/>
                <w:sz w:val="20"/>
                <w:szCs w:val="20"/>
              </w:rPr>
              <w:t>7,17E-04</w:t>
            </w:r>
          </w:p>
        </w:tc>
        <w:tc>
          <w:tcPr>
            <w:tcW w:w="1984" w:type="dxa"/>
            <w:tcBorders>
              <w:right w:val="single" w:sz="4" w:space="0" w:color="auto"/>
            </w:tcBorders>
            <w:shd w:val="clear" w:color="auto" w:fill="auto"/>
            <w:vAlign w:val="center"/>
          </w:tcPr>
          <w:p w14:paraId="338DA0E5" w14:textId="77777777" w:rsidR="009D4550" w:rsidRPr="00275290" w:rsidRDefault="009D4550" w:rsidP="009D4550">
            <w:pPr>
              <w:rPr>
                <w:rFonts w:cs="Arial"/>
                <w:color w:val="000000"/>
                <w:sz w:val="20"/>
                <w:szCs w:val="20"/>
              </w:rPr>
            </w:pPr>
            <w:r w:rsidRPr="00275290">
              <w:rPr>
                <w:rFonts w:cs="Arial"/>
                <w:color w:val="000000"/>
                <w:sz w:val="20"/>
                <w:szCs w:val="20"/>
              </w:rPr>
              <w:t>7,17E-04</w:t>
            </w:r>
          </w:p>
        </w:tc>
      </w:tr>
      <w:tr w:rsidR="009D4550" w:rsidRPr="00275290" w14:paraId="2CB668E7" w14:textId="77777777" w:rsidTr="009D4550">
        <w:tc>
          <w:tcPr>
            <w:tcW w:w="1983" w:type="dxa"/>
            <w:vMerge/>
            <w:tcBorders>
              <w:left w:val="single" w:sz="4" w:space="0" w:color="auto"/>
            </w:tcBorders>
            <w:shd w:val="clear" w:color="auto" w:fill="auto"/>
            <w:vAlign w:val="center"/>
          </w:tcPr>
          <w:p w14:paraId="612DCE62" w14:textId="77777777" w:rsidR="009D4550" w:rsidRPr="00275290" w:rsidRDefault="009D4550" w:rsidP="009D4550">
            <w:pPr>
              <w:rPr>
                <w:rFonts w:cs="Arial"/>
                <w:sz w:val="20"/>
                <w:szCs w:val="20"/>
                <w:lang w:val="en-US"/>
              </w:rPr>
            </w:pPr>
          </w:p>
        </w:tc>
        <w:tc>
          <w:tcPr>
            <w:tcW w:w="1984" w:type="dxa"/>
            <w:shd w:val="clear" w:color="auto" w:fill="auto"/>
            <w:vAlign w:val="center"/>
          </w:tcPr>
          <w:p w14:paraId="35537459"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shd w:val="clear" w:color="auto" w:fill="auto"/>
            <w:vAlign w:val="center"/>
          </w:tcPr>
          <w:p w14:paraId="5DA33FA4"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shd w:val="clear" w:color="auto" w:fill="auto"/>
            <w:vAlign w:val="center"/>
          </w:tcPr>
          <w:p w14:paraId="5ACD5117" w14:textId="77777777" w:rsidR="009D4550" w:rsidRPr="00275290" w:rsidRDefault="009D4550" w:rsidP="009D4550">
            <w:pPr>
              <w:rPr>
                <w:rFonts w:cs="Arial"/>
                <w:sz w:val="20"/>
                <w:szCs w:val="20"/>
                <w:lang w:val="en-US"/>
              </w:rPr>
            </w:pPr>
            <w:r w:rsidRPr="00275290">
              <w:rPr>
                <w:rFonts w:cs="Arial"/>
                <w:color w:val="000000"/>
                <w:sz w:val="20"/>
                <w:szCs w:val="20"/>
              </w:rPr>
              <w:t>9,32E-04</w:t>
            </w:r>
          </w:p>
        </w:tc>
        <w:tc>
          <w:tcPr>
            <w:tcW w:w="1984" w:type="dxa"/>
            <w:tcBorders>
              <w:right w:val="single" w:sz="4" w:space="0" w:color="auto"/>
            </w:tcBorders>
            <w:shd w:val="clear" w:color="auto" w:fill="auto"/>
            <w:vAlign w:val="center"/>
          </w:tcPr>
          <w:p w14:paraId="11ACC962" w14:textId="77777777" w:rsidR="009D4550" w:rsidRPr="00275290" w:rsidRDefault="009D4550" w:rsidP="009D4550">
            <w:pPr>
              <w:rPr>
                <w:rFonts w:cs="Arial"/>
                <w:color w:val="000000"/>
                <w:sz w:val="20"/>
                <w:szCs w:val="20"/>
              </w:rPr>
            </w:pPr>
            <w:r w:rsidRPr="00275290">
              <w:rPr>
                <w:rFonts w:cs="Arial"/>
                <w:color w:val="000000"/>
                <w:sz w:val="20"/>
                <w:szCs w:val="20"/>
              </w:rPr>
              <w:t>9,32E-04</w:t>
            </w:r>
          </w:p>
        </w:tc>
      </w:tr>
      <w:tr w:rsidR="009D4550" w:rsidRPr="00275290" w14:paraId="0A7BB3E7" w14:textId="77777777" w:rsidTr="009D4550">
        <w:tc>
          <w:tcPr>
            <w:tcW w:w="1983" w:type="dxa"/>
            <w:vMerge/>
            <w:tcBorders>
              <w:left w:val="single" w:sz="4" w:space="0" w:color="auto"/>
            </w:tcBorders>
            <w:shd w:val="clear" w:color="auto" w:fill="auto"/>
            <w:vAlign w:val="center"/>
          </w:tcPr>
          <w:p w14:paraId="6CE33783" w14:textId="77777777" w:rsidR="009D4550" w:rsidRPr="00275290" w:rsidRDefault="009D4550" w:rsidP="009D4550">
            <w:pPr>
              <w:rPr>
                <w:rFonts w:cs="Arial"/>
                <w:sz w:val="20"/>
                <w:szCs w:val="20"/>
                <w:lang w:val="en-US"/>
              </w:rPr>
            </w:pPr>
          </w:p>
        </w:tc>
        <w:tc>
          <w:tcPr>
            <w:tcW w:w="1984" w:type="dxa"/>
            <w:shd w:val="clear" w:color="auto" w:fill="auto"/>
            <w:vAlign w:val="center"/>
          </w:tcPr>
          <w:p w14:paraId="63D5955F"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1984" w:type="dxa"/>
            <w:shd w:val="clear" w:color="auto" w:fill="auto"/>
            <w:vAlign w:val="center"/>
          </w:tcPr>
          <w:p w14:paraId="13D05639"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shd w:val="clear" w:color="auto" w:fill="auto"/>
            <w:vAlign w:val="center"/>
          </w:tcPr>
          <w:p w14:paraId="3A889416" w14:textId="77777777" w:rsidR="009D4550" w:rsidRPr="00275290" w:rsidRDefault="009D4550" w:rsidP="009D4550">
            <w:pPr>
              <w:rPr>
                <w:rFonts w:cs="Arial"/>
                <w:sz w:val="20"/>
                <w:szCs w:val="20"/>
                <w:lang w:val="en-US"/>
              </w:rPr>
            </w:pPr>
            <w:r w:rsidRPr="00275290">
              <w:rPr>
                <w:rFonts w:cs="Arial"/>
                <w:color w:val="000000"/>
                <w:sz w:val="20"/>
                <w:szCs w:val="20"/>
              </w:rPr>
              <w:t>4,94E-04</w:t>
            </w:r>
          </w:p>
        </w:tc>
        <w:tc>
          <w:tcPr>
            <w:tcW w:w="1984" w:type="dxa"/>
            <w:tcBorders>
              <w:right w:val="single" w:sz="4" w:space="0" w:color="auto"/>
            </w:tcBorders>
            <w:shd w:val="clear" w:color="auto" w:fill="auto"/>
            <w:vAlign w:val="center"/>
          </w:tcPr>
          <w:p w14:paraId="24A5DF7E" w14:textId="77777777" w:rsidR="009D4550" w:rsidRPr="00275290" w:rsidRDefault="009D4550" w:rsidP="009D4550">
            <w:pPr>
              <w:rPr>
                <w:rFonts w:cs="Arial"/>
                <w:color w:val="000000"/>
                <w:sz w:val="20"/>
                <w:szCs w:val="20"/>
              </w:rPr>
            </w:pPr>
            <w:r w:rsidRPr="00275290">
              <w:rPr>
                <w:rFonts w:cs="Arial"/>
                <w:color w:val="000000"/>
                <w:sz w:val="20"/>
                <w:szCs w:val="20"/>
              </w:rPr>
              <w:t>4,94E-04</w:t>
            </w:r>
          </w:p>
        </w:tc>
      </w:tr>
      <w:tr w:rsidR="009D4550" w:rsidRPr="00275290" w14:paraId="1FC1DF7E" w14:textId="77777777" w:rsidTr="009D4550">
        <w:tc>
          <w:tcPr>
            <w:tcW w:w="1983" w:type="dxa"/>
            <w:vMerge/>
            <w:tcBorders>
              <w:left w:val="single" w:sz="4" w:space="0" w:color="auto"/>
            </w:tcBorders>
            <w:shd w:val="clear" w:color="auto" w:fill="auto"/>
            <w:vAlign w:val="center"/>
          </w:tcPr>
          <w:p w14:paraId="46B15133" w14:textId="77777777" w:rsidR="009D4550" w:rsidRPr="00275290" w:rsidRDefault="009D4550" w:rsidP="009D4550">
            <w:pPr>
              <w:rPr>
                <w:rFonts w:cs="Arial"/>
                <w:sz w:val="20"/>
                <w:szCs w:val="20"/>
                <w:lang w:val="en-US"/>
              </w:rPr>
            </w:pPr>
          </w:p>
        </w:tc>
        <w:tc>
          <w:tcPr>
            <w:tcW w:w="1984" w:type="dxa"/>
            <w:shd w:val="clear" w:color="auto" w:fill="auto"/>
            <w:vAlign w:val="center"/>
          </w:tcPr>
          <w:p w14:paraId="1B84F8C8"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shd w:val="clear" w:color="auto" w:fill="auto"/>
            <w:vAlign w:val="center"/>
          </w:tcPr>
          <w:p w14:paraId="5748CFAB"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shd w:val="clear" w:color="auto" w:fill="auto"/>
            <w:vAlign w:val="center"/>
          </w:tcPr>
          <w:p w14:paraId="1F53CA1C" w14:textId="77777777" w:rsidR="009D4550" w:rsidRPr="00275290" w:rsidRDefault="009D4550" w:rsidP="009D4550">
            <w:pPr>
              <w:rPr>
                <w:rFonts w:cs="Arial"/>
                <w:sz w:val="20"/>
                <w:szCs w:val="20"/>
                <w:lang w:val="en-US"/>
              </w:rPr>
            </w:pPr>
            <w:r w:rsidRPr="00275290">
              <w:rPr>
                <w:rFonts w:cs="Arial"/>
                <w:color w:val="000000"/>
                <w:sz w:val="20"/>
                <w:szCs w:val="20"/>
              </w:rPr>
              <w:t>8,63E-04</w:t>
            </w:r>
          </w:p>
        </w:tc>
        <w:tc>
          <w:tcPr>
            <w:tcW w:w="1984" w:type="dxa"/>
            <w:tcBorders>
              <w:right w:val="single" w:sz="4" w:space="0" w:color="auto"/>
            </w:tcBorders>
            <w:shd w:val="clear" w:color="auto" w:fill="auto"/>
            <w:vAlign w:val="center"/>
          </w:tcPr>
          <w:p w14:paraId="6C7D58BB" w14:textId="77777777" w:rsidR="009D4550" w:rsidRPr="00275290" w:rsidRDefault="009D4550" w:rsidP="009D4550">
            <w:pPr>
              <w:rPr>
                <w:rFonts w:cs="Arial"/>
                <w:color w:val="000000"/>
                <w:sz w:val="20"/>
                <w:szCs w:val="20"/>
              </w:rPr>
            </w:pPr>
            <w:r w:rsidRPr="00275290">
              <w:rPr>
                <w:rFonts w:cs="Arial"/>
                <w:color w:val="000000"/>
                <w:sz w:val="20"/>
                <w:szCs w:val="20"/>
              </w:rPr>
              <w:t>8,63E-04</w:t>
            </w:r>
          </w:p>
        </w:tc>
      </w:tr>
      <w:tr w:rsidR="009D4550" w:rsidRPr="00275290" w14:paraId="17CD8D32" w14:textId="77777777" w:rsidTr="009D4550">
        <w:tc>
          <w:tcPr>
            <w:tcW w:w="1983" w:type="dxa"/>
            <w:vMerge w:val="restart"/>
            <w:tcBorders>
              <w:left w:val="single" w:sz="4" w:space="0" w:color="auto"/>
            </w:tcBorders>
            <w:shd w:val="clear" w:color="auto" w:fill="C6D9F1" w:themeFill="text2" w:themeFillTint="33"/>
            <w:vAlign w:val="center"/>
          </w:tcPr>
          <w:p w14:paraId="6BA7AB6E" w14:textId="77777777" w:rsidR="009D4550" w:rsidRPr="00275290" w:rsidRDefault="009D4550" w:rsidP="009D4550">
            <w:pPr>
              <w:rPr>
                <w:rFonts w:cs="Arial"/>
                <w:sz w:val="20"/>
                <w:szCs w:val="20"/>
                <w:lang w:val="en-US"/>
              </w:rPr>
            </w:pPr>
            <w:r w:rsidRPr="00275290">
              <w:rPr>
                <w:rFonts w:cs="Arial"/>
                <w:sz w:val="20"/>
                <w:szCs w:val="20"/>
                <w:lang w:val="en-US"/>
              </w:rPr>
              <w:t>Application + cleaning</w:t>
            </w:r>
          </w:p>
        </w:tc>
        <w:tc>
          <w:tcPr>
            <w:tcW w:w="1984" w:type="dxa"/>
            <w:shd w:val="clear" w:color="auto" w:fill="C6D9F1" w:themeFill="text2" w:themeFillTint="33"/>
            <w:vAlign w:val="center"/>
          </w:tcPr>
          <w:p w14:paraId="1A687FD1"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3968" w:type="dxa"/>
            <w:gridSpan w:val="2"/>
            <w:shd w:val="clear" w:color="auto" w:fill="C6D9F1" w:themeFill="text2" w:themeFillTint="33"/>
            <w:vAlign w:val="center"/>
          </w:tcPr>
          <w:p w14:paraId="35FC3B49"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287B2880" w14:textId="77777777" w:rsidR="009D4550" w:rsidRPr="00275290" w:rsidRDefault="009D4550" w:rsidP="009D4550">
            <w:pPr>
              <w:rPr>
                <w:rFonts w:cs="Arial"/>
                <w:color w:val="000000"/>
                <w:sz w:val="20"/>
                <w:szCs w:val="20"/>
              </w:rPr>
            </w:pPr>
            <w:r w:rsidRPr="00275290">
              <w:rPr>
                <w:rFonts w:cs="Arial"/>
                <w:color w:val="000000"/>
                <w:sz w:val="20"/>
                <w:szCs w:val="20"/>
              </w:rPr>
              <w:t>1,88E-03</w:t>
            </w:r>
          </w:p>
        </w:tc>
      </w:tr>
      <w:tr w:rsidR="009D4550" w:rsidRPr="00275290" w14:paraId="2E057F7A" w14:textId="77777777" w:rsidTr="009D4550">
        <w:tc>
          <w:tcPr>
            <w:tcW w:w="1983" w:type="dxa"/>
            <w:vMerge/>
            <w:tcBorders>
              <w:left w:val="single" w:sz="4" w:space="0" w:color="auto"/>
            </w:tcBorders>
            <w:shd w:val="clear" w:color="auto" w:fill="C6D9F1" w:themeFill="text2" w:themeFillTint="33"/>
            <w:vAlign w:val="center"/>
          </w:tcPr>
          <w:p w14:paraId="43AE70B6" w14:textId="77777777" w:rsidR="009D4550" w:rsidRPr="00275290" w:rsidRDefault="009D4550" w:rsidP="009D4550">
            <w:pPr>
              <w:rPr>
                <w:rFonts w:cs="Arial"/>
                <w:sz w:val="20"/>
                <w:szCs w:val="20"/>
                <w:lang w:val="en-US"/>
              </w:rPr>
            </w:pPr>
          </w:p>
        </w:tc>
        <w:tc>
          <w:tcPr>
            <w:tcW w:w="1984" w:type="dxa"/>
            <w:shd w:val="clear" w:color="auto" w:fill="C6D9F1" w:themeFill="text2" w:themeFillTint="33"/>
            <w:vAlign w:val="center"/>
          </w:tcPr>
          <w:p w14:paraId="1626BCC7"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3968" w:type="dxa"/>
            <w:gridSpan w:val="2"/>
            <w:shd w:val="clear" w:color="auto" w:fill="C6D9F1" w:themeFill="text2" w:themeFillTint="33"/>
            <w:vAlign w:val="center"/>
          </w:tcPr>
          <w:p w14:paraId="6724DCC8"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0C36D13B" w14:textId="77777777" w:rsidR="009D4550" w:rsidRPr="00275290" w:rsidRDefault="009D4550" w:rsidP="009D4550">
            <w:pPr>
              <w:rPr>
                <w:rFonts w:cs="Arial"/>
                <w:color w:val="000000"/>
                <w:sz w:val="20"/>
                <w:szCs w:val="20"/>
              </w:rPr>
            </w:pPr>
            <w:r w:rsidRPr="00275290">
              <w:rPr>
                <w:rFonts w:cs="Arial"/>
                <w:color w:val="000000"/>
                <w:sz w:val="20"/>
                <w:szCs w:val="20"/>
              </w:rPr>
              <w:t>2,67E-03</w:t>
            </w:r>
          </w:p>
        </w:tc>
      </w:tr>
      <w:tr w:rsidR="009D4550" w:rsidRPr="00275290" w14:paraId="36317943" w14:textId="77777777" w:rsidTr="009D4550">
        <w:tc>
          <w:tcPr>
            <w:tcW w:w="1983" w:type="dxa"/>
            <w:vMerge/>
            <w:tcBorders>
              <w:left w:val="single" w:sz="4" w:space="0" w:color="auto"/>
            </w:tcBorders>
            <w:shd w:val="clear" w:color="auto" w:fill="C6D9F1" w:themeFill="text2" w:themeFillTint="33"/>
            <w:vAlign w:val="center"/>
          </w:tcPr>
          <w:p w14:paraId="23F84A42" w14:textId="77777777" w:rsidR="009D4550" w:rsidRPr="00275290" w:rsidRDefault="009D4550" w:rsidP="009D4550">
            <w:pPr>
              <w:rPr>
                <w:rFonts w:cs="Arial"/>
                <w:sz w:val="20"/>
                <w:szCs w:val="20"/>
                <w:lang w:val="en-US"/>
              </w:rPr>
            </w:pPr>
          </w:p>
        </w:tc>
        <w:tc>
          <w:tcPr>
            <w:tcW w:w="1984" w:type="dxa"/>
            <w:shd w:val="clear" w:color="auto" w:fill="C6D9F1" w:themeFill="text2" w:themeFillTint="33"/>
            <w:vAlign w:val="center"/>
          </w:tcPr>
          <w:p w14:paraId="07457EC7"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3968" w:type="dxa"/>
            <w:gridSpan w:val="2"/>
            <w:shd w:val="clear" w:color="auto" w:fill="C6D9F1" w:themeFill="text2" w:themeFillTint="33"/>
            <w:vAlign w:val="center"/>
          </w:tcPr>
          <w:p w14:paraId="101D3FA2"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4D1EEB30" w14:textId="77777777" w:rsidR="009D4550" w:rsidRPr="00275290" w:rsidRDefault="009D4550" w:rsidP="009D4550">
            <w:pPr>
              <w:rPr>
                <w:rFonts w:cs="Arial"/>
                <w:color w:val="000000"/>
                <w:sz w:val="20"/>
                <w:szCs w:val="20"/>
              </w:rPr>
            </w:pPr>
            <w:r w:rsidRPr="00275290">
              <w:rPr>
                <w:rFonts w:cs="Arial"/>
                <w:color w:val="000000"/>
                <w:sz w:val="20"/>
                <w:szCs w:val="20"/>
              </w:rPr>
              <w:t>1,13E-03</w:t>
            </w:r>
          </w:p>
        </w:tc>
      </w:tr>
      <w:tr w:rsidR="009D4550" w:rsidRPr="00275290" w14:paraId="264DC207" w14:textId="77777777" w:rsidTr="009D4550">
        <w:tc>
          <w:tcPr>
            <w:tcW w:w="1983" w:type="dxa"/>
            <w:vMerge/>
            <w:tcBorders>
              <w:left w:val="single" w:sz="4" w:space="0" w:color="auto"/>
              <w:bottom w:val="single" w:sz="4" w:space="0" w:color="auto"/>
            </w:tcBorders>
            <w:shd w:val="clear" w:color="auto" w:fill="C6D9F1" w:themeFill="text2" w:themeFillTint="33"/>
            <w:vAlign w:val="center"/>
          </w:tcPr>
          <w:p w14:paraId="2305DD9A" w14:textId="77777777" w:rsidR="009D4550" w:rsidRPr="00275290" w:rsidRDefault="009D4550" w:rsidP="009D4550">
            <w:pPr>
              <w:rPr>
                <w:rFonts w:cs="Arial"/>
                <w:sz w:val="20"/>
                <w:szCs w:val="20"/>
                <w:lang w:val="en-US"/>
              </w:rPr>
            </w:pPr>
          </w:p>
        </w:tc>
        <w:tc>
          <w:tcPr>
            <w:tcW w:w="1984" w:type="dxa"/>
            <w:tcBorders>
              <w:bottom w:val="single" w:sz="4" w:space="0" w:color="auto"/>
            </w:tcBorders>
            <w:shd w:val="clear" w:color="auto" w:fill="C6D9F1" w:themeFill="text2" w:themeFillTint="33"/>
            <w:vAlign w:val="center"/>
          </w:tcPr>
          <w:p w14:paraId="331323C1"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3968" w:type="dxa"/>
            <w:gridSpan w:val="2"/>
            <w:tcBorders>
              <w:bottom w:val="single" w:sz="4" w:space="0" w:color="auto"/>
            </w:tcBorders>
            <w:shd w:val="clear" w:color="auto" w:fill="C6D9F1" w:themeFill="text2" w:themeFillTint="33"/>
            <w:vAlign w:val="center"/>
          </w:tcPr>
          <w:p w14:paraId="004F6F8B"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right w:val="single" w:sz="4" w:space="0" w:color="auto"/>
            </w:tcBorders>
            <w:shd w:val="clear" w:color="auto" w:fill="C6D9F1" w:themeFill="text2" w:themeFillTint="33"/>
            <w:vAlign w:val="center"/>
          </w:tcPr>
          <w:p w14:paraId="0276E577" w14:textId="77777777" w:rsidR="009D4550" w:rsidRPr="00275290" w:rsidRDefault="009D4550" w:rsidP="009D4550">
            <w:pPr>
              <w:rPr>
                <w:rFonts w:cs="Arial"/>
                <w:color w:val="000000"/>
                <w:sz w:val="20"/>
                <w:szCs w:val="20"/>
              </w:rPr>
            </w:pPr>
            <w:r w:rsidRPr="00275290">
              <w:rPr>
                <w:rFonts w:cs="Arial"/>
                <w:color w:val="000000"/>
                <w:sz w:val="20"/>
                <w:szCs w:val="20"/>
              </w:rPr>
              <w:t>2,30E-03</w:t>
            </w:r>
          </w:p>
        </w:tc>
      </w:tr>
    </w:tbl>
    <w:p w14:paraId="34B05B0B" w14:textId="77777777" w:rsidR="009D4550" w:rsidRPr="00275290" w:rsidRDefault="009D4550" w:rsidP="009D4550">
      <w:pPr>
        <w:autoSpaceDE w:val="0"/>
        <w:autoSpaceDN w:val="0"/>
        <w:rPr>
          <w:rFonts w:cs="Arial"/>
        </w:rPr>
      </w:pPr>
    </w:p>
    <w:p w14:paraId="5FAC522C" w14:textId="77777777" w:rsidR="009D4550" w:rsidRPr="00275290" w:rsidRDefault="009D4550" w:rsidP="009D4550">
      <w:pPr>
        <w:autoSpaceDE w:val="0"/>
        <w:autoSpaceDN w:val="0"/>
        <w:rPr>
          <w:rFonts w:cs="Arial"/>
        </w:rPr>
      </w:pPr>
    </w:p>
    <w:p w14:paraId="70D950CD" w14:textId="77777777" w:rsidR="009D4550" w:rsidRPr="00275290" w:rsidRDefault="009D4550" w:rsidP="009D4550">
      <w:pPr>
        <w:autoSpaceDE w:val="0"/>
        <w:autoSpaceDN w:val="0"/>
        <w:rPr>
          <w:rFonts w:cs="Arial"/>
          <w:b/>
          <w:i/>
          <w:u w:val="single"/>
        </w:rPr>
      </w:pPr>
      <w:r w:rsidRPr="00275290">
        <w:rPr>
          <w:rFonts w:cs="Arial"/>
          <w:b/>
          <w:i/>
          <w:u w:val="single"/>
        </w:rPr>
        <w:t>Spray application</w:t>
      </w:r>
    </w:p>
    <w:p w14:paraId="5BFDBB1D" w14:textId="77777777" w:rsidR="009D4550" w:rsidRPr="00275290" w:rsidRDefault="009D4550" w:rsidP="009D4550">
      <w:pPr>
        <w:autoSpaceDE w:val="0"/>
        <w:autoSpaceDN w:val="0"/>
        <w:rPr>
          <w:rFonts w:cs="Arial"/>
        </w:rPr>
      </w:pPr>
    </w:p>
    <w:p w14:paraId="30001E14" w14:textId="77777777" w:rsidR="009D4550" w:rsidRPr="00275290" w:rsidRDefault="009D4550" w:rsidP="009D4550">
      <w:pPr>
        <w:autoSpaceDE w:val="0"/>
        <w:autoSpaceDN w:val="0"/>
        <w:rPr>
          <w:rFonts w:cs="Arial"/>
        </w:rPr>
      </w:pPr>
      <w:r w:rsidRPr="00275290">
        <w:rPr>
          <w:rFonts w:cs="Arial"/>
        </w:rPr>
        <w:t>Professional exposure during the mixing and loading and the application phase has been considered using “</w:t>
      </w:r>
      <w:r w:rsidRPr="00275290">
        <w:rPr>
          <w:rFonts w:cs="Arial"/>
          <w:i/>
        </w:rPr>
        <w:t>the spraying model 2</w:t>
      </w:r>
      <w:r w:rsidRPr="00275290">
        <w:rPr>
          <w:rFonts w:cs="Arial"/>
        </w:rPr>
        <w:t>” according to the Recommendation no. 6 of the BPC Ad hoc Working Group on Human Exposure</w:t>
      </w:r>
      <w:r w:rsidRPr="00275290">
        <w:rPr>
          <w:vertAlign w:val="superscript"/>
        </w:rPr>
        <w:footnoteReference w:id="19"/>
      </w:r>
      <w:r w:rsidRPr="00275290">
        <w:rPr>
          <w:rFonts w:cs="Arial"/>
        </w:rPr>
        <w:t xml:space="preserve">. </w:t>
      </w:r>
    </w:p>
    <w:p w14:paraId="0F8EB73E" w14:textId="77777777" w:rsidR="009D4550" w:rsidRPr="00275290" w:rsidRDefault="009D4550" w:rsidP="009D4550">
      <w:pPr>
        <w:autoSpaceDE w:val="0"/>
        <w:autoSpaceDN w:val="0"/>
        <w:rPr>
          <w:rFonts w:cs="Arial"/>
        </w:rPr>
      </w:pPr>
      <w:r w:rsidRPr="00275290">
        <w:rPr>
          <w:rFonts w:cs="Arial"/>
        </w:rPr>
        <w:t>Exposure during the cleaning of equipment has been assessed with the BEAT scenario “</w:t>
      </w:r>
      <w:r w:rsidRPr="00275290">
        <w:rPr>
          <w:rFonts w:cs="Arial"/>
          <w:i/>
        </w:rPr>
        <w:t>Cleaning of the spray equipment</w:t>
      </w:r>
      <w:r w:rsidRPr="00275290">
        <w:rPr>
          <w:rFonts w:cs="Arial"/>
        </w:rPr>
        <w:t>” from TNsG second version of 2007</w:t>
      </w:r>
      <w:r w:rsidRPr="00275290">
        <w:rPr>
          <w:vertAlign w:val="superscript"/>
        </w:rPr>
        <w:footnoteReference w:id="20"/>
      </w:r>
      <w:r w:rsidRPr="00275290">
        <w:rPr>
          <w:rFonts w:cs="Arial"/>
        </w:rPr>
        <w:t>.</w:t>
      </w:r>
    </w:p>
    <w:p w14:paraId="71186E0F" w14:textId="77777777" w:rsidR="009D4550" w:rsidRPr="00275290" w:rsidRDefault="009D4550" w:rsidP="009D4550">
      <w:pPr>
        <w:autoSpaceDE w:val="0"/>
        <w:autoSpaceDN w:val="0"/>
        <w:rPr>
          <w:rFonts w:cs="Arial"/>
        </w:rPr>
      </w:pPr>
    </w:p>
    <w:tbl>
      <w:tblPr>
        <w:tblStyle w:val="Grilledutableau1"/>
        <w:tblW w:w="0" w:type="auto"/>
        <w:tblLook w:val="04A0" w:firstRow="1" w:lastRow="0" w:firstColumn="1" w:lastColumn="0" w:noHBand="0" w:noVBand="1"/>
      </w:tblPr>
      <w:tblGrid>
        <w:gridCol w:w="1949"/>
        <w:gridCol w:w="1970"/>
        <w:gridCol w:w="1954"/>
        <w:gridCol w:w="1948"/>
        <w:gridCol w:w="1948"/>
      </w:tblGrid>
      <w:tr w:rsidR="009D4550" w:rsidRPr="00275290" w14:paraId="608EAECF" w14:textId="77777777" w:rsidTr="009D4550">
        <w:trPr>
          <w:cantSplit/>
          <w:tblHeader/>
        </w:trPr>
        <w:tc>
          <w:tcPr>
            <w:tcW w:w="1983" w:type="dxa"/>
            <w:vAlign w:val="center"/>
          </w:tcPr>
          <w:p w14:paraId="5143198D"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Scenario</w:t>
            </w:r>
          </w:p>
        </w:tc>
        <w:tc>
          <w:tcPr>
            <w:tcW w:w="1984" w:type="dxa"/>
            <w:vAlign w:val="center"/>
          </w:tcPr>
          <w:p w14:paraId="163829D7" w14:textId="77777777" w:rsidR="009D4550" w:rsidRPr="00275290" w:rsidRDefault="009D4550" w:rsidP="009D4550">
            <w:pPr>
              <w:tabs>
                <w:tab w:val="left" w:pos="426"/>
              </w:tabs>
              <w:autoSpaceDE w:val="0"/>
              <w:autoSpaceDN w:val="0"/>
              <w:adjustRightInd w:val="0"/>
              <w:spacing w:before="60" w:after="60"/>
              <w:rPr>
                <w:rFonts w:cs="Arial"/>
                <w:b/>
                <w:sz w:val="20"/>
                <w:szCs w:val="20"/>
              </w:rPr>
            </w:pPr>
            <w:r w:rsidRPr="00275290">
              <w:rPr>
                <w:rFonts w:cs="Arial"/>
                <w:b/>
                <w:sz w:val="20"/>
                <w:szCs w:val="20"/>
              </w:rPr>
              <w:t>Active substance</w:t>
            </w:r>
          </w:p>
        </w:tc>
        <w:tc>
          <w:tcPr>
            <w:tcW w:w="1984" w:type="dxa"/>
            <w:vAlign w:val="center"/>
          </w:tcPr>
          <w:p w14:paraId="03A9DB00"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Inhalation Exposure</w:t>
            </w:r>
          </w:p>
          <w:p w14:paraId="264343D4"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bw/j)</w:t>
            </w:r>
          </w:p>
        </w:tc>
        <w:tc>
          <w:tcPr>
            <w:tcW w:w="1984" w:type="dxa"/>
            <w:vAlign w:val="center"/>
          </w:tcPr>
          <w:p w14:paraId="7D8DD1A9"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Demal Exposure</w:t>
            </w:r>
          </w:p>
          <w:p w14:paraId="44B142B2"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984" w:type="dxa"/>
            <w:vAlign w:val="center"/>
          </w:tcPr>
          <w:p w14:paraId="5F587BB5"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Total Exposure (mg/kg bw/d)</w:t>
            </w:r>
          </w:p>
        </w:tc>
      </w:tr>
      <w:tr w:rsidR="009D4550" w:rsidRPr="00275290" w14:paraId="7A8B7924" w14:textId="77777777" w:rsidTr="009D4550">
        <w:tc>
          <w:tcPr>
            <w:tcW w:w="9919" w:type="dxa"/>
            <w:gridSpan w:val="5"/>
            <w:shd w:val="clear" w:color="auto" w:fill="BFBFBF"/>
            <w:vAlign w:val="center"/>
          </w:tcPr>
          <w:p w14:paraId="5CD53628" w14:textId="77777777" w:rsidR="009D4550" w:rsidRPr="00275290" w:rsidRDefault="009D4550" w:rsidP="009D4550">
            <w:pPr>
              <w:rPr>
                <w:rFonts w:cs="Arial"/>
                <w:b/>
                <w:sz w:val="20"/>
                <w:szCs w:val="20"/>
                <w:lang w:val="en-US"/>
              </w:rPr>
            </w:pPr>
            <w:r w:rsidRPr="00275290">
              <w:rPr>
                <w:rFonts w:cs="Arial"/>
                <w:b/>
                <w:sz w:val="20"/>
                <w:szCs w:val="20"/>
                <w:lang w:val="en-US"/>
              </w:rPr>
              <w:t>Spraying 300g/m</w:t>
            </w:r>
            <w:r w:rsidRPr="00275290">
              <w:rPr>
                <w:rFonts w:cs="Arial"/>
                <w:b/>
                <w:sz w:val="20"/>
                <w:szCs w:val="20"/>
                <w:vertAlign w:val="superscript"/>
                <w:lang w:val="en-US"/>
              </w:rPr>
              <w:t>2</w:t>
            </w:r>
            <w:r w:rsidRPr="00275290">
              <w:rPr>
                <w:rFonts w:cs="Arial"/>
                <w:b/>
                <w:sz w:val="20"/>
                <w:szCs w:val="20"/>
                <w:lang w:val="en-US"/>
              </w:rPr>
              <w:t xml:space="preserve"> – without PPE</w:t>
            </w:r>
          </w:p>
        </w:tc>
      </w:tr>
      <w:tr w:rsidR="009D4550" w:rsidRPr="00275290" w14:paraId="2DB83AD5" w14:textId="77777777" w:rsidTr="009D4550">
        <w:tc>
          <w:tcPr>
            <w:tcW w:w="1983" w:type="dxa"/>
            <w:vAlign w:val="center"/>
          </w:tcPr>
          <w:p w14:paraId="53B34766" w14:textId="77777777" w:rsidR="009D4550" w:rsidRPr="00275290" w:rsidRDefault="009D4550" w:rsidP="009D4550">
            <w:pPr>
              <w:rPr>
                <w:rFonts w:cs="Arial"/>
                <w:sz w:val="20"/>
                <w:szCs w:val="20"/>
                <w:lang w:val="fr-FR"/>
              </w:rPr>
            </w:pPr>
            <w:r w:rsidRPr="00275290">
              <w:rPr>
                <w:rFonts w:cs="Arial"/>
                <w:sz w:val="20"/>
                <w:szCs w:val="20"/>
                <w:lang w:val="fr-FR"/>
              </w:rPr>
              <w:t>M&amp;L</w:t>
            </w:r>
          </w:p>
        </w:tc>
        <w:tc>
          <w:tcPr>
            <w:tcW w:w="7936" w:type="dxa"/>
            <w:gridSpan w:val="4"/>
            <w:vAlign w:val="center"/>
          </w:tcPr>
          <w:p w14:paraId="1FC6EE7F" w14:textId="77777777" w:rsidR="009D4550" w:rsidRPr="00275290" w:rsidRDefault="009D4550" w:rsidP="009D4550">
            <w:pPr>
              <w:rPr>
                <w:rFonts w:cs="Arial"/>
                <w:sz w:val="20"/>
                <w:szCs w:val="20"/>
                <w:lang w:val="fr-FR"/>
              </w:rPr>
            </w:pPr>
            <w:r w:rsidRPr="00275290">
              <w:rPr>
                <w:rFonts w:cs="Arial"/>
                <w:sz w:val="20"/>
                <w:szCs w:val="20"/>
                <w:lang w:val="fr-FR"/>
              </w:rPr>
              <w:t xml:space="preserve">Included in the model </w:t>
            </w:r>
          </w:p>
        </w:tc>
      </w:tr>
      <w:tr w:rsidR="009D4550" w:rsidRPr="00275290" w14:paraId="50AE8364" w14:textId="77777777" w:rsidTr="009D4550">
        <w:tc>
          <w:tcPr>
            <w:tcW w:w="1983" w:type="dxa"/>
            <w:vMerge w:val="restart"/>
            <w:vAlign w:val="center"/>
          </w:tcPr>
          <w:p w14:paraId="0FB5B5CE" w14:textId="77777777" w:rsidR="009D4550" w:rsidRPr="00275290" w:rsidRDefault="009D4550" w:rsidP="009D4550">
            <w:pPr>
              <w:rPr>
                <w:rFonts w:cs="Arial"/>
                <w:sz w:val="20"/>
                <w:szCs w:val="20"/>
                <w:lang w:val="en-US"/>
              </w:rPr>
            </w:pPr>
            <w:r w:rsidRPr="00275290">
              <w:rPr>
                <w:rFonts w:cs="Arial"/>
                <w:sz w:val="20"/>
                <w:szCs w:val="20"/>
                <w:lang w:val="en-US"/>
              </w:rPr>
              <w:t>Product application phase</w:t>
            </w:r>
          </w:p>
        </w:tc>
        <w:tc>
          <w:tcPr>
            <w:tcW w:w="1984" w:type="dxa"/>
            <w:vAlign w:val="center"/>
          </w:tcPr>
          <w:p w14:paraId="490C4AB2"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779A649B" w14:textId="77777777" w:rsidR="009D4550" w:rsidRPr="00275290" w:rsidRDefault="009D4550" w:rsidP="009D4550">
            <w:pPr>
              <w:rPr>
                <w:rFonts w:cs="Arial"/>
                <w:bCs/>
                <w:color w:val="000000"/>
                <w:sz w:val="20"/>
                <w:szCs w:val="20"/>
              </w:rPr>
            </w:pPr>
            <w:r w:rsidRPr="00275290">
              <w:rPr>
                <w:rFonts w:cs="Arial"/>
                <w:bCs/>
                <w:color w:val="000000"/>
                <w:sz w:val="20"/>
                <w:szCs w:val="20"/>
              </w:rPr>
              <w:t>1,90E-03</w:t>
            </w:r>
          </w:p>
        </w:tc>
        <w:tc>
          <w:tcPr>
            <w:tcW w:w="1984" w:type="dxa"/>
            <w:vAlign w:val="center"/>
          </w:tcPr>
          <w:p w14:paraId="79127542" w14:textId="77777777" w:rsidR="009D4550" w:rsidRPr="00275290" w:rsidRDefault="009D4550" w:rsidP="009D4550">
            <w:pPr>
              <w:rPr>
                <w:rFonts w:cs="Arial"/>
                <w:bCs/>
                <w:color w:val="000000"/>
                <w:sz w:val="20"/>
                <w:szCs w:val="20"/>
              </w:rPr>
            </w:pPr>
            <w:r w:rsidRPr="00275290">
              <w:rPr>
                <w:rFonts w:cs="Arial"/>
                <w:bCs/>
                <w:color w:val="000000"/>
                <w:sz w:val="20"/>
                <w:szCs w:val="20"/>
              </w:rPr>
              <w:t>2,14E-01</w:t>
            </w:r>
          </w:p>
        </w:tc>
        <w:tc>
          <w:tcPr>
            <w:tcW w:w="1984" w:type="dxa"/>
            <w:vAlign w:val="center"/>
          </w:tcPr>
          <w:p w14:paraId="542954FE" w14:textId="77777777" w:rsidR="009D4550" w:rsidRPr="00275290" w:rsidRDefault="009D4550" w:rsidP="009D4550">
            <w:pPr>
              <w:rPr>
                <w:rFonts w:cs="Arial"/>
                <w:bCs/>
                <w:color w:val="000000"/>
                <w:sz w:val="20"/>
                <w:szCs w:val="20"/>
              </w:rPr>
            </w:pPr>
            <w:r w:rsidRPr="00275290">
              <w:rPr>
                <w:rFonts w:cs="Arial"/>
                <w:bCs/>
                <w:color w:val="000000"/>
                <w:sz w:val="20"/>
                <w:szCs w:val="20"/>
              </w:rPr>
              <w:t>2,16E-01</w:t>
            </w:r>
          </w:p>
        </w:tc>
      </w:tr>
      <w:tr w:rsidR="009D4550" w:rsidRPr="00275290" w14:paraId="226C64D1" w14:textId="77777777" w:rsidTr="009D4550">
        <w:tc>
          <w:tcPr>
            <w:tcW w:w="1983" w:type="dxa"/>
            <w:vMerge/>
            <w:vAlign w:val="center"/>
          </w:tcPr>
          <w:p w14:paraId="51F37B7A" w14:textId="77777777" w:rsidR="009D4550" w:rsidRPr="00275290" w:rsidRDefault="009D4550" w:rsidP="009D4550">
            <w:pPr>
              <w:rPr>
                <w:rFonts w:cs="Arial"/>
                <w:sz w:val="20"/>
                <w:szCs w:val="20"/>
                <w:lang w:val="en-US"/>
              </w:rPr>
            </w:pPr>
          </w:p>
        </w:tc>
        <w:tc>
          <w:tcPr>
            <w:tcW w:w="1984" w:type="dxa"/>
            <w:vAlign w:val="center"/>
          </w:tcPr>
          <w:p w14:paraId="04D4E398" w14:textId="77777777" w:rsidR="009D4550" w:rsidRPr="00275290" w:rsidRDefault="009D4550" w:rsidP="009D4550">
            <w:pPr>
              <w:rPr>
                <w:rFonts w:cs="Arial"/>
                <w:sz w:val="20"/>
                <w:szCs w:val="20"/>
                <w:lang w:val="en-US"/>
              </w:rPr>
            </w:pPr>
            <w:r w:rsidRPr="00275290">
              <w:rPr>
                <w:rFonts w:cs="Arial"/>
                <w:sz w:val="20"/>
                <w:szCs w:val="20"/>
                <w:lang w:val="en-US"/>
              </w:rPr>
              <w:t>Propiconazole</w:t>
            </w:r>
          </w:p>
        </w:tc>
        <w:tc>
          <w:tcPr>
            <w:tcW w:w="1984" w:type="dxa"/>
            <w:vAlign w:val="center"/>
          </w:tcPr>
          <w:p w14:paraId="762C03C0" w14:textId="7264A398" w:rsidR="009D4550" w:rsidRPr="00275290" w:rsidRDefault="009D4550" w:rsidP="009D4550">
            <w:pPr>
              <w:rPr>
                <w:rFonts w:cs="Arial"/>
                <w:bCs/>
                <w:color w:val="000000"/>
                <w:sz w:val="20"/>
                <w:szCs w:val="20"/>
              </w:rPr>
            </w:pPr>
            <w:r w:rsidRPr="00275290">
              <w:rPr>
                <w:rFonts w:cs="Arial"/>
                <w:bCs/>
                <w:color w:val="000000"/>
                <w:sz w:val="20"/>
                <w:szCs w:val="20"/>
              </w:rPr>
              <w:t>3,80E-03</w:t>
            </w:r>
          </w:p>
        </w:tc>
        <w:tc>
          <w:tcPr>
            <w:tcW w:w="1984" w:type="dxa"/>
            <w:vAlign w:val="center"/>
          </w:tcPr>
          <w:p w14:paraId="1198CC2C" w14:textId="34A328E5" w:rsidR="009D4550" w:rsidRPr="00275290" w:rsidRDefault="009D4550" w:rsidP="009D4550">
            <w:pPr>
              <w:rPr>
                <w:rFonts w:cs="Arial"/>
                <w:bCs/>
                <w:color w:val="000000"/>
                <w:sz w:val="20"/>
                <w:szCs w:val="20"/>
              </w:rPr>
            </w:pPr>
            <w:r w:rsidRPr="00275290">
              <w:rPr>
                <w:rFonts w:cs="Arial"/>
                <w:bCs/>
                <w:color w:val="000000"/>
                <w:sz w:val="20"/>
                <w:szCs w:val="20"/>
              </w:rPr>
              <w:t>3,09E-01</w:t>
            </w:r>
          </w:p>
        </w:tc>
        <w:tc>
          <w:tcPr>
            <w:tcW w:w="1984" w:type="dxa"/>
            <w:vAlign w:val="center"/>
          </w:tcPr>
          <w:p w14:paraId="2DDD6B5C" w14:textId="47692124" w:rsidR="009D4550" w:rsidRPr="00275290" w:rsidRDefault="009D4550" w:rsidP="009D4550">
            <w:pPr>
              <w:rPr>
                <w:rFonts w:cs="Arial"/>
                <w:bCs/>
                <w:color w:val="000000"/>
                <w:sz w:val="20"/>
                <w:szCs w:val="20"/>
              </w:rPr>
            </w:pPr>
            <w:r w:rsidRPr="00275290">
              <w:rPr>
                <w:rFonts w:cs="Arial"/>
                <w:bCs/>
                <w:color w:val="000000"/>
                <w:sz w:val="20"/>
                <w:szCs w:val="20"/>
              </w:rPr>
              <w:t>3,13E-01</w:t>
            </w:r>
          </w:p>
        </w:tc>
      </w:tr>
      <w:tr w:rsidR="009D4550" w:rsidRPr="00275290" w14:paraId="50363416" w14:textId="77777777" w:rsidTr="009D4550">
        <w:tc>
          <w:tcPr>
            <w:tcW w:w="1983" w:type="dxa"/>
            <w:vMerge/>
            <w:vAlign w:val="center"/>
          </w:tcPr>
          <w:p w14:paraId="336468D6" w14:textId="77777777" w:rsidR="009D4550" w:rsidRPr="00275290" w:rsidRDefault="009D4550" w:rsidP="009D4550">
            <w:pPr>
              <w:rPr>
                <w:rFonts w:cs="Arial"/>
                <w:sz w:val="20"/>
                <w:szCs w:val="20"/>
                <w:lang w:val="en-US"/>
              </w:rPr>
            </w:pPr>
          </w:p>
        </w:tc>
        <w:tc>
          <w:tcPr>
            <w:tcW w:w="1984" w:type="dxa"/>
            <w:vAlign w:val="center"/>
          </w:tcPr>
          <w:p w14:paraId="2E16BB73" w14:textId="77777777" w:rsidR="009D4550" w:rsidRPr="00275290" w:rsidRDefault="009D4550" w:rsidP="009D4550">
            <w:pPr>
              <w:rPr>
                <w:rFonts w:cs="Arial"/>
                <w:sz w:val="20"/>
                <w:szCs w:val="20"/>
                <w:lang w:val="en-US"/>
              </w:rPr>
            </w:pPr>
            <w:r w:rsidRPr="00275290">
              <w:rPr>
                <w:rFonts w:cs="Arial"/>
                <w:sz w:val="20"/>
                <w:szCs w:val="20"/>
                <w:lang w:val="en-US"/>
              </w:rPr>
              <w:t xml:space="preserve">Tébuconazole </w:t>
            </w:r>
          </w:p>
        </w:tc>
        <w:tc>
          <w:tcPr>
            <w:tcW w:w="1984" w:type="dxa"/>
            <w:vAlign w:val="center"/>
          </w:tcPr>
          <w:p w14:paraId="3921FF39" w14:textId="77777777" w:rsidR="009D4550" w:rsidRPr="00275290" w:rsidRDefault="009D4550" w:rsidP="009D4550">
            <w:pPr>
              <w:rPr>
                <w:rFonts w:cs="Arial"/>
                <w:bCs/>
                <w:color w:val="000000"/>
                <w:sz w:val="20"/>
                <w:szCs w:val="20"/>
              </w:rPr>
            </w:pPr>
            <w:r w:rsidRPr="00275290">
              <w:rPr>
                <w:rFonts w:cs="Arial"/>
                <w:bCs/>
                <w:color w:val="000000"/>
                <w:sz w:val="20"/>
                <w:szCs w:val="20"/>
              </w:rPr>
              <w:t>1,19E-03</w:t>
            </w:r>
          </w:p>
        </w:tc>
        <w:tc>
          <w:tcPr>
            <w:tcW w:w="1984" w:type="dxa"/>
            <w:vAlign w:val="center"/>
          </w:tcPr>
          <w:p w14:paraId="6848FC61" w14:textId="77777777" w:rsidR="009D4550" w:rsidRPr="00275290" w:rsidRDefault="009D4550" w:rsidP="009D4550">
            <w:pPr>
              <w:rPr>
                <w:rFonts w:cs="Arial"/>
                <w:bCs/>
                <w:color w:val="000000"/>
                <w:sz w:val="20"/>
                <w:szCs w:val="20"/>
              </w:rPr>
            </w:pPr>
            <w:r w:rsidRPr="00275290">
              <w:rPr>
                <w:rFonts w:cs="Arial"/>
                <w:bCs/>
                <w:color w:val="000000"/>
                <w:sz w:val="20"/>
                <w:szCs w:val="20"/>
              </w:rPr>
              <w:t>1,15E-01</w:t>
            </w:r>
          </w:p>
        </w:tc>
        <w:tc>
          <w:tcPr>
            <w:tcW w:w="1984" w:type="dxa"/>
            <w:vAlign w:val="center"/>
          </w:tcPr>
          <w:p w14:paraId="53070ACD" w14:textId="77777777" w:rsidR="009D4550" w:rsidRPr="00275290" w:rsidRDefault="009D4550" w:rsidP="009D4550">
            <w:pPr>
              <w:rPr>
                <w:rFonts w:cs="Arial"/>
                <w:bCs/>
                <w:color w:val="000000"/>
                <w:sz w:val="20"/>
                <w:szCs w:val="20"/>
              </w:rPr>
            </w:pPr>
            <w:r w:rsidRPr="00275290">
              <w:rPr>
                <w:rFonts w:cs="Arial"/>
                <w:bCs/>
                <w:color w:val="000000"/>
                <w:sz w:val="20"/>
                <w:szCs w:val="20"/>
              </w:rPr>
              <w:t>1,16E-01</w:t>
            </w:r>
          </w:p>
        </w:tc>
      </w:tr>
      <w:tr w:rsidR="009D4550" w:rsidRPr="00275290" w14:paraId="07F0E399" w14:textId="77777777" w:rsidTr="009D4550">
        <w:tc>
          <w:tcPr>
            <w:tcW w:w="1983" w:type="dxa"/>
            <w:vMerge/>
            <w:vAlign w:val="center"/>
          </w:tcPr>
          <w:p w14:paraId="4A79131F" w14:textId="77777777" w:rsidR="009D4550" w:rsidRPr="00275290" w:rsidRDefault="009D4550" w:rsidP="009D4550">
            <w:pPr>
              <w:rPr>
                <w:rFonts w:cs="Arial"/>
                <w:sz w:val="20"/>
                <w:szCs w:val="20"/>
                <w:lang w:val="en-US"/>
              </w:rPr>
            </w:pPr>
          </w:p>
        </w:tc>
        <w:tc>
          <w:tcPr>
            <w:tcW w:w="1984" w:type="dxa"/>
            <w:vAlign w:val="center"/>
          </w:tcPr>
          <w:p w14:paraId="21DF7204"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984" w:type="dxa"/>
            <w:vAlign w:val="center"/>
          </w:tcPr>
          <w:p w14:paraId="1425D08F" w14:textId="77777777" w:rsidR="009D4550" w:rsidRPr="00275290" w:rsidRDefault="009D4550" w:rsidP="009D4550">
            <w:pPr>
              <w:rPr>
                <w:rFonts w:cs="Arial"/>
                <w:bCs/>
                <w:color w:val="000000"/>
                <w:sz w:val="20"/>
                <w:szCs w:val="20"/>
              </w:rPr>
            </w:pPr>
            <w:r w:rsidRPr="00275290">
              <w:rPr>
                <w:rFonts w:cs="Arial"/>
                <w:bCs/>
                <w:color w:val="000000"/>
                <w:sz w:val="20"/>
                <w:szCs w:val="20"/>
              </w:rPr>
              <w:t>1,19E-03</w:t>
            </w:r>
          </w:p>
        </w:tc>
        <w:tc>
          <w:tcPr>
            <w:tcW w:w="1984" w:type="dxa"/>
            <w:vAlign w:val="center"/>
          </w:tcPr>
          <w:p w14:paraId="09BEADE8" w14:textId="77777777" w:rsidR="009D4550" w:rsidRPr="00275290" w:rsidRDefault="009D4550" w:rsidP="009D4550">
            <w:pPr>
              <w:rPr>
                <w:rFonts w:cs="Arial"/>
                <w:bCs/>
                <w:color w:val="000000"/>
                <w:sz w:val="20"/>
                <w:szCs w:val="20"/>
              </w:rPr>
            </w:pPr>
            <w:r w:rsidRPr="00275290">
              <w:rPr>
                <w:rFonts w:cs="Arial"/>
                <w:bCs/>
                <w:color w:val="000000"/>
                <w:sz w:val="20"/>
                <w:szCs w:val="20"/>
              </w:rPr>
              <w:t>2,78E-01</w:t>
            </w:r>
          </w:p>
        </w:tc>
        <w:tc>
          <w:tcPr>
            <w:tcW w:w="1984" w:type="dxa"/>
            <w:vAlign w:val="center"/>
          </w:tcPr>
          <w:p w14:paraId="73225A58" w14:textId="77777777" w:rsidR="009D4550" w:rsidRPr="00275290" w:rsidRDefault="009D4550" w:rsidP="009D4550">
            <w:pPr>
              <w:rPr>
                <w:rFonts w:cs="Arial"/>
                <w:bCs/>
                <w:color w:val="000000"/>
                <w:sz w:val="20"/>
                <w:szCs w:val="20"/>
              </w:rPr>
            </w:pPr>
            <w:r w:rsidRPr="00275290">
              <w:rPr>
                <w:rFonts w:cs="Arial"/>
                <w:bCs/>
                <w:color w:val="000000"/>
                <w:sz w:val="20"/>
                <w:szCs w:val="20"/>
              </w:rPr>
              <w:t>2,80E-01</w:t>
            </w:r>
          </w:p>
        </w:tc>
      </w:tr>
      <w:tr w:rsidR="009D4550" w:rsidRPr="00275290" w14:paraId="6E4FA74A" w14:textId="77777777" w:rsidTr="009D4550">
        <w:tc>
          <w:tcPr>
            <w:tcW w:w="1983" w:type="dxa"/>
            <w:vMerge w:val="restart"/>
            <w:vAlign w:val="center"/>
          </w:tcPr>
          <w:p w14:paraId="3F582159" w14:textId="77777777" w:rsidR="009D4550" w:rsidRPr="00275290" w:rsidRDefault="009D4550" w:rsidP="009D4550">
            <w:pPr>
              <w:rPr>
                <w:rFonts w:cs="Arial"/>
                <w:sz w:val="20"/>
                <w:szCs w:val="20"/>
                <w:lang w:val="en-US"/>
              </w:rPr>
            </w:pPr>
            <w:r w:rsidRPr="00275290">
              <w:rPr>
                <w:rFonts w:cs="Arial"/>
                <w:sz w:val="20"/>
                <w:szCs w:val="20"/>
                <w:lang w:val="en-US"/>
              </w:rPr>
              <w:t xml:space="preserve">Cleaning of the spray equipment </w:t>
            </w:r>
          </w:p>
        </w:tc>
        <w:tc>
          <w:tcPr>
            <w:tcW w:w="1984" w:type="dxa"/>
            <w:vAlign w:val="center"/>
          </w:tcPr>
          <w:p w14:paraId="33043916"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440ECE18"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vAlign w:val="center"/>
          </w:tcPr>
          <w:p w14:paraId="0705450A" w14:textId="0F5A4C3F" w:rsidR="009D4550" w:rsidRPr="00275290" w:rsidRDefault="009D4550" w:rsidP="009D4550">
            <w:pPr>
              <w:rPr>
                <w:rFonts w:cs="Arial"/>
                <w:bCs/>
                <w:color w:val="000000"/>
                <w:sz w:val="20"/>
                <w:szCs w:val="20"/>
              </w:rPr>
            </w:pPr>
            <w:r w:rsidRPr="00275290">
              <w:rPr>
                <w:rFonts w:cs="Arial"/>
                <w:bCs/>
                <w:color w:val="000000"/>
                <w:sz w:val="20"/>
                <w:szCs w:val="20"/>
              </w:rPr>
              <w:t>2,</w:t>
            </w:r>
            <w:r w:rsidR="004A10DD">
              <w:rPr>
                <w:rFonts w:cs="Arial"/>
                <w:bCs/>
                <w:color w:val="000000"/>
                <w:sz w:val="20"/>
                <w:szCs w:val="20"/>
              </w:rPr>
              <w:t>46</w:t>
            </w:r>
            <w:r w:rsidRPr="00275290">
              <w:rPr>
                <w:rFonts w:cs="Arial"/>
                <w:bCs/>
                <w:color w:val="000000"/>
                <w:sz w:val="20"/>
                <w:szCs w:val="20"/>
              </w:rPr>
              <w:t>E-03</w:t>
            </w:r>
          </w:p>
        </w:tc>
        <w:tc>
          <w:tcPr>
            <w:tcW w:w="1984" w:type="dxa"/>
            <w:vAlign w:val="center"/>
          </w:tcPr>
          <w:p w14:paraId="70364DB2" w14:textId="162BB87F" w:rsidR="009D4550" w:rsidRPr="00275290" w:rsidRDefault="009D4550" w:rsidP="009D4550">
            <w:pPr>
              <w:rPr>
                <w:rFonts w:cs="Arial"/>
                <w:bCs/>
                <w:color w:val="000000"/>
                <w:sz w:val="20"/>
                <w:szCs w:val="20"/>
              </w:rPr>
            </w:pPr>
            <w:r w:rsidRPr="00275290">
              <w:rPr>
                <w:rFonts w:cs="Arial"/>
                <w:bCs/>
                <w:color w:val="000000"/>
                <w:sz w:val="20"/>
                <w:szCs w:val="20"/>
              </w:rPr>
              <w:t>2,</w:t>
            </w:r>
            <w:r w:rsidR="004A10DD">
              <w:rPr>
                <w:rFonts w:cs="Arial"/>
                <w:bCs/>
                <w:color w:val="000000"/>
                <w:sz w:val="20"/>
                <w:szCs w:val="20"/>
              </w:rPr>
              <w:t>46</w:t>
            </w:r>
            <w:r w:rsidRPr="00275290">
              <w:rPr>
                <w:rFonts w:cs="Arial"/>
                <w:bCs/>
                <w:color w:val="000000"/>
                <w:sz w:val="20"/>
                <w:szCs w:val="20"/>
              </w:rPr>
              <w:t>E-03</w:t>
            </w:r>
          </w:p>
        </w:tc>
      </w:tr>
      <w:tr w:rsidR="009D4550" w:rsidRPr="00275290" w14:paraId="0F041879" w14:textId="77777777" w:rsidTr="009D4550">
        <w:tc>
          <w:tcPr>
            <w:tcW w:w="1983" w:type="dxa"/>
            <w:vMerge/>
            <w:vAlign w:val="center"/>
          </w:tcPr>
          <w:p w14:paraId="00D1A504" w14:textId="77777777" w:rsidR="009D4550" w:rsidRPr="00275290" w:rsidRDefault="009D4550" w:rsidP="009D4550">
            <w:pPr>
              <w:rPr>
                <w:rFonts w:cs="Arial"/>
                <w:sz w:val="20"/>
                <w:szCs w:val="20"/>
                <w:lang w:val="fr-FR"/>
              </w:rPr>
            </w:pPr>
          </w:p>
        </w:tc>
        <w:tc>
          <w:tcPr>
            <w:tcW w:w="1984" w:type="dxa"/>
            <w:vAlign w:val="center"/>
          </w:tcPr>
          <w:p w14:paraId="05B449EC" w14:textId="77777777" w:rsidR="009D4550" w:rsidRPr="00275290" w:rsidRDefault="009D4550" w:rsidP="009D4550">
            <w:pPr>
              <w:rPr>
                <w:rFonts w:cs="Arial"/>
                <w:sz w:val="20"/>
                <w:szCs w:val="20"/>
                <w:lang w:val="en-US"/>
              </w:rPr>
            </w:pPr>
            <w:r w:rsidRPr="00275290">
              <w:rPr>
                <w:rFonts w:cs="Arial"/>
                <w:sz w:val="20"/>
                <w:szCs w:val="20"/>
                <w:lang w:val="en-US"/>
              </w:rPr>
              <w:t>Propiconazole</w:t>
            </w:r>
          </w:p>
        </w:tc>
        <w:tc>
          <w:tcPr>
            <w:tcW w:w="1984" w:type="dxa"/>
            <w:vAlign w:val="center"/>
          </w:tcPr>
          <w:p w14:paraId="70849070"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vAlign w:val="center"/>
          </w:tcPr>
          <w:p w14:paraId="28A61CBF" w14:textId="2651AF0A"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56</w:t>
            </w:r>
            <w:r w:rsidRPr="00275290">
              <w:rPr>
                <w:rFonts w:cs="Arial"/>
                <w:bCs/>
                <w:color w:val="000000"/>
                <w:sz w:val="20"/>
                <w:szCs w:val="20"/>
              </w:rPr>
              <w:t>E-03</w:t>
            </w:r>
          </w:p>
        </w:tc>
        <w:tc>
          <w:tcPr>
            <w:tcW w:w="1984" w:type="dxa"/>
            <w:vAlign w:val="center"/>
          </w:tcPr>
          <w:p w14:paraId="07A98FF3" w14:textId="26B4D060"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56</w:t>
            </w:r>
            <w:r w:rsidRPr="00275290">
              <w:rPr>
                <w:rFonts w:cs="Arial"/>
                <w:bCs/>
                <w:color w:val="000000"/>
                <w:sz w:val="20"/>
                <w:szCs w:val="20"/>
              </w:rPr>
              <w:t>E-03</w:t>
            </w:r>
          </w:p>
        </w:tc>
      </w:tr>
      <w:tr w:rsidR="009D4550" w:rsidRPr="00275290" w14:paraId="76798ABE" w14:textId="77777777" w:rsidTr="009D4550">
        <w:tc>
          <w:tcPr>
            <w:tcW w:w="1983" w:type="dxa"/>
            <w:vMerge/>
            <w:vAlign w:val="center"/>
          </w:tcPr>
          <w:p w14:paraId="2B2BA077" w14:textId="77777777" w:rsidR="009D4550" w:rsidRPr="00275290" w:rsidRDefault="009D4550" w:rsidP="009D4550">
            <w:pPr>
              <w:rPr>
                <w:rFonts w:cs="Arial"/>
                <w:sz w:val="20"/>
                <w:szCs w:val="20"/>
                <w:lang w:val="fr-FR"/>
              </w:rPr>
            </w:pPr>
          </w:p>
        </w:tc>
        <w:tc>
          <w:tcPr>
            <w:tcW w:w="1984" w:type="dxa"/>
            <w:tcBorders>
              <w:bottom w:val="single" w:sz="4" w:space="0" w:color="auto"/>
            </w:tcBorders>
            <w:vAlign w:val="center"/>
          </w:tcPr>
          <w:p w14:paraId="43B7CC26" w14:textId="77777777" w:rsidR="009D4550" w:rsidRPr="00275290" w:rsidRDefault="009D4550" w:rsidP="009D4550">
            <w:pPr>
              <w:rPr>
                <w:rFonts w:cs="Arial"/>
                <w:sz w:val="20"/>
                <w:szCs w:val="20"/>
                <w:lang w:val="en-US"/>
              </w:rPr>
            </w:pPr>
            <w:r w:rsidRPr="00275290">
              <w:rPr>
                <w:rFonts w:cs="Arial"/>
                <w:sz w:val="20"/>
                <w:szCs w:val="20"/>
                <w:lang w:val="en-US"/>
              </w:rPr>
              <w:t xml:space="preserve">Tébuconazole </w:t>
            </w:r>
          </w:p>
        </w:tc>
        <w:tc>
          <w:tcPr>
            <w:tcW w:w="1984" w:type="dxa"/>
            <w:tcBorders>
              <w:bottom w:val="single" w:sz="4" w:space="0" w:color="auto"/>
            </w:tcBorders>
            <w:vAlign w:val="center"/>
          </w:tcPr>
          <w:p w14:paraId="7D1F9C40"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tcBorders>
            <w:vAlign w:val="center"/>
          </w:tcPr>
          <w:p w14:paraId="40BA4A45" w14:textId="01AAC021" w:rsidR="009D4550" w:rsidRPr="00275290" w:rsidRDefault="009D4550" w:rsidP="009D4550">
            <w:pPr>
              <w:rPr>
                <w:rFonts w:cs="Arial"/>
                <w:bCs/>
                <w:color w:val="000000"/>
                <w:sz w:val="20"/>
                <w:szCs w:val="20"/>
              </w:rPr>
            </w:pPr>
            <w:r w:rsidRPr="00275290">
              <w:rPr>
                <w:rFonts w:cs="Arial"/>
                <w:bCs/>
                <w:color w:val="000000"/>
                <w:sz w:val="20"/>
                <w:szCs w:val="20"/>
              </w:rPr>
              <w:t>1,</w:t>
            </w:r>
            <w:r w:rsidR="004A10DD">
              <w:rPr>
                <w:rFonts w:cs="Arial"/>
                <w:bCs/>
                <w:color w:val="000000"/>
                <w:sz w:val="20"/>
                <w:szCs w:val="20"/>
              </w:rPr>
              <w:t>33</w:t>
            </w:r>
            <w:r w:rsidRPr="00275290">
              <w:rPr>
                <w:rFonts w:cs="Arial"/>
                <w:bCs/>
                <w:color w:val="000000"/>
                <w:sz w:val="20"/>
                <w:szCs w:val="20"/>
              </w:rPr>
              <w:t>E-03</w:t>
            </w:r>
          </w:p>
        </w:tc>
        <w:tc>
          <w:tcPr>
            <w:tcW w:w="1984" w:type="dxa"/>
            <w:tcBorders>
              <w:bottom w:val="single" w:sz="4" w:space="0" w:color="auto"/>
            </w:tcBorders>
            <w:vAlign w:val="center"/>
          </w:tcPr>
          <w:p w14:paraId="45C01F32" w14:textId="0E996FE2" w:rsidR="009D4550" w:rsidRPr="00275290" w:rsidRDefault="009D4550" w:rsidP="009D4550">
            <w:pPr>
              <w:rPr>
                <w:rFonts w:cs="Arial"/>
                <w:bCs/>
                <w:color w:val="000000"/>
                <w:sz w:val="20"/>
                <w:szCs w:val="20"/>
              </w:rPr>
            </w:pPr>
            <w:r w:rsidRPr="00275290">
              <w:rPr>
                <w:rFonts w:cs="Arial"/>
                <w:bCs/>
                <w:color w:val="000000"/>
                <w:sz w:val="20"/>
                <w:szCs w:val="20"/>
              </w:rPr>
              <w:t>1,</w:t>
            </w:r>
            <w:r w:rsidR="004A10DD">
              <w:rPr>
                <w:rFonts w:cs="Arial"/>
                <w:bCs/>
                <w:color w:val="000000"/>
                <w:sz w:val="20"/>
                <w:szCs w:val="20"/>
              </w:rPr>
              <w:t>33</w:t>
            </w:r>
            <w:r w:rsidRPr="00275290">
              <w:rPr>
                <w:rFonts w:cs="Arial"/>
                <w:bCs/>
                <w:color w:val="000000"/>
                <w:sz w:val="20"/>
                <w:szCs w:val="20"/>
              </w:rPr>
              <w:t>E-03</w:t>
            </w:r>
          </w:p>
        </w:tc>
      </w:tr>
      <w:tr w:rsidR="009D4550" w:rsidRPr="00275290" w14:paraId="1132F133" w14:textId="77777777" w:rsidTr="009D4550">
        <w:tc>
          <w:tcPr>
            <w:tcW w:w="1983" w:type="dxa"/>
            <w:vMerge/>
            <w:tcBorders>
              <w:bottom w:val="single" w:sz="4" w:space="0" w:color="auto"/>
            </w:tcBorders>
            <w:vAlign w:val="center"/>
          </w:tcPr>
          <w:p w14:paraId="2FCC831A" w14:textId="77777777" w:rsidR="009D4550" w:rsidRPr="00275290" w:rsidRDefault="009D4550" w:rsidP="009D4550">
            <w:pPr>
              <w:rPr>
                <w:rFonts w:cs="Arial"/>
                <w:sz w:val="20"/>
                <w:szCs w:val="20"/>
                <w:lang w:val="fr-FR"/>
              </w:rPr>
            </w:pPr>
          </w:p>
        </w:tc>
        <w:tc>
          <w:tcPr>
            <w:tcW w:w="1984" w:type="dxa"/>
            <w:tcBorders>
              <w:bottom w:val="single" w:sz="4" w:space="0" w:color="auto"/>
            </w:tcBorders>
            <w:vAlign w:val="center"/>
          </w:tcPr>
          <w:p w14:paraId="53CE3B76"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984" w:type="dxa"/>
            <w:tcBorders>
              <w:bottom w:val="single" w:sz="4" w:space="0" w:color="auto"/>
            </w:tcBorders>
            <w:vAlign w:val="center"/>
          </w:tcPr>
          <w:p w14:paraId="29CBEE7E"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tcBorders>
            <w:vAlign w:val="center"/>
          </w:tcPr>
          <w:p w14:paraId="0F891C56" w14:textId="2F65E5EE"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21</w:t>
            </w:r>
            <w:r w:rsidRPr="00275290">
              <w:rPr>
                <w:rFonts w:cs="Arial"/>
                <w:bCs/>
                <w:color w:val="000000"/>
                <w:sz w:val="20"/>
                <w:szCs w:val="20"/>
              </w:rPr>
              <w:t>E-03</w:t>
            </w:r>
          </w:p>
        </w:tc>
        <w:tc>
          <w:tcPr>
            <w:tcW w:w="1984" w:type="dxa"/>
            <w:tcBorders>
              <w:bottom w:val="single" w:sz="4" w:space="0" w:color="auto"/>
            </w:tcBorders>
            <w:vAlign w:val="center"/>
          </w:tcPr>
          <w:p w14:paraId="1A10CA70" w14:textId="7332A81C"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21</w:t>
            </w:r>
            <w:r w:rsidRPr="00275290">
              <w:rPr>
                <w:rFonts w:cs="Arial"/>
                <w:bCs/>
                <w:color w:val="000000"/>
                <w:sz w:val="20"/>
                <w:szCs w:val="20"/>
              </w:rPr>
              <w:t>E-03</w:t>
            </w:r>
          </w:p>
        </w:tc>
      </w:tr>
      <w:tr w:rsidR="009D4550" w:rsidRPr="00275290" w14:paraId="30B58195" w14:textId="77777777" w:rsidTr="009D4550">
        <w:tc>
          <w:tcPr>
            <w:tcW w:w="1983" w:type="dxa"/>
            <w:vMerge w:val="restart"/>
            <w:tcBorders>
              <w:top w:val="single" w:sz="4" w:space="0" w:color="auto"/>
              <w:left w:val="single" w:sz="4" w:space="0" w:color="auto"/>
            </w:tcBorders>
            <w:shd w:val="clear" w:color="auto" w:fill="C6D9F1"/>
            <w:vAlign w:val="center"/>
          </w:tcPr>
          <w:p w14:paraId="6A5BE214" w14:textId="77777777" w:rsidR="009D4550" w:rsidRPr="00275290" w:rsidRDefault="009D4550" w:rsidP="009D4550">
            <w:pPr>
              <w:rPr>
                <w:rFonts w:cs="Arial"/>
                <w:sz w:val="20"/>
                <w:szCs w:val="20"/>
                <w:lang w:val="fr-FR"/>
              </w:rPr>
            </w:pPr>
            <w:r w:rsidRPr="00275290">
              <w:rPr>
                <w:rFonts w:cs="Arial"/>
                <w:sz w:val="20"/>
                <w:szCs w:val="20"/>
                <w:lang w:val="fr-FR"/>
              </w:rPr>
              <w:t>Appli + cleaning</w:t>
            </w:r>
          </w:p>
        </w:tc>
        <w:tc>
          <w:tcPr>
            <w:tcW w:w="1984" w:type="dxa"/>
            <w:tcBorders>
              <w:top w:val="single" w:sz="4" w:space="0" w:color="auto"/>
            </w:tcBorders>
            <w:shd w:val="clear" w:color="auto" w:fill="C6D9F1"/>
            <w:vAlign w:val="center"/>
          </w:tcPr>
          <w:p w14:paraId="61FD0E14"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tcBorders>
              <w:top w:val="single" w:sz="4" w:space="0" w:color="auto"/>
            </w:tcBorders>
            <w:shd w:val="clear" w:color="auto" w:fill="C6D9F1"/>
            <w:vAlign w:val="center"/>
          </w:tcPr>
          <w:p w14:paraId="4411F5EC" w14:textId="77777777" w:rsidR="009D4550" w:rsidRPr="00275290" w:rsidRDefault="009D4550" w:rsidP="009D4550">
            <w:pPr>
              <w:rPr>
                <w:rFonts w:cs="Arial"/>
                <w:sz w:val="20"/>
                <w:szCs w:val="20"/>
                <w:lang w:val="en-US"/>
              </w:rPr>
            </w:pPr>
          </w:p>
        </w:tc>
        <w:tc>
          <w:tcPr>
            <w:tcW w:w="1984" w:type="dxa"/>
            <w:tcBorders>
              <w:top w:val="single" w:sz="4" w:space="0" w:color="auto"/>
            </w:tcBorders>
            <w:shd w:val="clear" w:color="auto" w:fill="C6D9F1"/>
            <w:vAlign w:val="center"/>
          </w:tcPr>
          <w:p w14:paraId="001444B7" w14:textId="77777777" w:rsidR="009D4550" w:rsidRPr="00275290" w:rsidRDefault="009D4550" w:rsidP="009D4550">
            <w:pPr>
              <w:rPr>
                <w:rFonts w:cs="Arial"/>
                <w:sz w:val="20"/>
                <w:szCs w:val="20"/>
                <w:lang w:val="fr-FR"/>
              </w:rPr>
            </w:pPr>
          </w:p>
        </w:tc>
        <w:tc>
          <w:tcPr>
            <w:tcW w:w="1984" w:type="dxa"/>
            <w:tcBorders>
              <w:top w:val="single" w:sz="4" w:space="0" w:color="auto"/>
              <w:right w:val="single" w:sz="4" w:space="0" w:color="auto"/>
            </w:tcBorders>
            <w:shd w:val="clear" w:color="auto" w:fill="C6D9F1"/>
            <w:vAlign w:val="center"/>
          </w:tcPr>
          <w:p w14:paraId="249CDC20" w14:textId="77777777" w:rsidR="009D4550" w:rsidRPr="00275290" w:rsidRDefault="009D4550" w:rsidP="009D4550">
            <w:pPr>
              <w:rPr>
                <w:rFonts w:cs="Arial"/>
                <w:color w:val="000000"/>
                <w:sz w:val="20"/>
                <w:szCs w:val="20"/>
              </w:rPr>
            </w:pPr>
            <w:r w:rsidRPr="00275290">
              <w:rPr>
                <w:rFonts w:cs="Arial"/>
                <w:color w:val="000000"/>
                <w:sz w:val="20"/>
                <w:szCs w:val="20"/>
              </w:rPr>
              <w:t>2,18E-01</w:t>
            </w:r>
          </w:p>
        </w:tc>
      </w:tr>
      <w:tr w:rsidR="009D4550" w:rsidRPr="00275290" w14:paraId="66165D18" w14:textId="77777777" w:rsidTr="009D4550">
        <w:tc>
          <w:tcPr>
            <w:tcW w:w="1983" w:type="dxa"/>
            <w:vMerge/>
            <w:tcBorders>
              <w:left w:val="single" w:sz="4" w:space="0" w:color="auto"/>
            </w:tcBorders>
            <w:shd w:val="clear" w:color="auto" w:fill="C6D9F1"/>
            <w:vAlign w:val="center"/>
          </w:tcPr>
          <w:p w14:paraId="3E38FCF5" w14:textId="77777777" w:rsidR="009D4550" w:rsidRPr="00275290" w:rsidRDefault="009D4550" w:rsidP="009D4550">
            <w:pPr>
              <w:rPr>
                <w:rFonts w:cs="Arial"/>
                <w:sz w:val="20"/>
                <w:szCs w:val="20"/>
                <w:lang w:val="fr-FR"/>
              </w:rPr>
            </w:pPr>
          </w:p>
        </w:tc>
        <w:tc>
          <w:tcPr>
            <w:tcW w:w="1984" w:type="dxa"/>
            <w:shd w:val="clear" w:color="auto" w:fill="C6D9F1"/>
            <w:vAlign w:val="center"/>
          </w:tcPr>
          <w:p w14:paraId="2B4D15F3" w14:textId="77777777" w:rsidR="009D4550" w:rsidRPr="00275290" w:rsidRDefault="009D4550" w:rsidP="009D4550">
            <w:pPr>
              <w:rPr>
                <w:rFonts w:cs="Arial"/>
                <w:sz w:val="20"/>
                <w:szCs w:val="20"/>
                <w:lang w:val="en-US"/>
              </w:rPr>
            </w:pPr>
            <w:r w:rsidRPr="00275290">
              <w:rPr>
                <w:rFonts w:cs="Arial"/>
                <w:sz w:val="20"/>
                <w:szCs w:val="20"/>
                <w:lang w:val="en-US"/>
              </w:rPr>
              <w:t>Propiconazole</w:t>
            </w:r>
          </w:p>
        </w:tc>
        <w:tc>
          <w:tcPr>
            <w:tcW w:w="1984" w:type="dxa"/>
            <w:shd w:val="clear" w:color="auto" w:fill="C6D9F1"/>
            <w:vAlign w:val="center"/>
          </w:tcPr>
          <w:p w14:paraId="474FE80A" w14:textId="77777777" w:rsidR="009D4550" w:rsidRPr="00275290" w:rsidRDefault="009D4550" w:rsidP="009D4550">
            <w:pPr>
              <w:rPr>
                <w:rFonts w:cs="Arial"/>
                <w:sz w:val="20"/>
                <w:szCs w:val="20"/>
                <w:lang w:val="en-US"/>
              </w:rPr>
            </w:pPr>
          </w:p>
        </w:tc>
        <w:tc>
          <w:tcPr>
            <w:tcW w:w="1984" w:type="dxa"/>
            <w:shd w:val="clear" w:color="auto" w:fill="C6D9F1"/>
            <w:vAlign w:val="center"/>
          </w:tcPr>
          <w:p w14:paraId="5F859C86" w14:textId="77777777" w:rsidR="009D4550" w:rsidRPr="00275290" w:rsidRDefault="009D4550" w:rsidP="009D4550">
            <w:pPr>
              <w:rPr>
                <w:rFonts w:cs="Arial"/>
                <w:sz w:val="20"/>
                <w:szCs w:val="20"/>
                <w:lang w:val="fr-FR"/>
              </w:rPr>
            </w:pPr>
          </w:p>
        </w:tc>
        <w:tc>
          <w:tcPr>
            <w:tcW w:w="1984" w:type="dxa"/>
            <w:tcBorders>
              <w:right w:val="single" w:sz="4" w:space="0" w:color="auto"/>
            </w:tcBorders>
            <w:shd w:val="clear" w:color="auto" w:fill="C6D9F1"/>
            <w:vAlign w:val="center"/>
          </w:tcPr>
          <w:p w14:paraId="23D2B92B" w14:textId="79683367" w:rsidR="009D4550" w:rsidRPr="00275290" w:rsidRDefault="009D4550" w:rsidP="009D4550">
            <w:pPr>
              <w:rPr>
                <w:rFonts w:cs="Arial"/>
                <w:color w:val="000000"/>
                <w:sz w:val="20"/>
                <w:szCs w:val="20"/>
              </w:rPr>
            </w:pPr>
            <w:r w:rsidRPr="00275290">
              <w:rPr>
                <w:rFonts w:cs="Arial"/>
                <w:color w:val="000000"/>
                <w:sz w:val="20"/>
                <w:szCs w:val="20"/>
              </w:rPr>
              <w:t>3,1</w:t>
            </w:r>
            <w:r w:rsidR="004A10DD">
              <w:rPr>
                <w:rFonts w:cs="Arial"/>
                <w:color w:val="000000"/>
                <w:sz w:val="20"/>
                <w:szCs w:val="20"/>
              </w:rPr>
              <w:t>6</w:t>
            </w:r>
            <w:r w:rsidRPr="00275290">
              <w:rPr>
                <w:rFonts w:cs="Arial"/>
                <w:color w:val="000000"/>
                <w:sz w:val="20"/>
                <w:szCs w:val="20"/>
              </w:rPr>
              <w:t>E-01</w:t>
            </w:r>
          </w:p>
        </w:tc>
      </w:tr>
      <w:tr w:rsidR="009D4550" w:rsidRPr="00275290" w14:paraId="70289130" w14:textId="77777777" w:rsidTr="009D4550">
        <w:tc>
          <w:tcPr>
            <w:tcW w:w="1983" w:type="dxa"/>
            <w:vMerge/>
            <w:tcBorders>
              <w:left w:val="single" w:sz="4" w:space="0" w:color="auto"/>
            </w:tcBorders>
            <w:shd w:val="clear" w:color="auto" w:fill="C6D9F1"/>
            <w:vAlign w:val="center"/>
          </w:tcPr>
          <w:p w14:paraId="02FE3D96" w14:textId="77777777" w:rsidR="009D4550" w:rsidRPr="00275290" w:rsidRDefault="009D4550" w:rsidP="009D4550">
            <w:pPr>
              <w:rPr>
                <w:rFonts w:cs="Arial"/>
                <w:sz w:val="20"/>
                <w:szCs w:val="20"/>
                <w:lang w:val="fr-FR"/>
              </w:rPr>
            </w:pPr>
          </w:p>
        </w:tc>
        <w:tc>
          <w:tcPr>
            <w:tcW w:w="1984" w:type="dxa"/>
            <w:tcBorders>
              <w:bottom w:val="single" w:sz="4" w:space="0" w:color="auto"/>
            </w:tcBorders>
            <w:shd w:val="clear" w:color="auto" w:fill="C6D9F1"/>
            <w:vAlign w:val="center"/>
          </w:tcPr>
          <w:p w14:paraId="6E8D4B20" w14:textId="77777777" w:rsidR="009D4550" w:rsidRPr="00275290" w:rsidRDefault="009D4550" w:rsidP="009D4550">
            <w:pPr>
              <w:rPr>
                <w:rFonts w:cs="Arial"/>
                <w:sz w:val="20"/>
                <w:szCs w:val="20"/>
                <w:lang w:val="en-US"/>
              </w:rPr>
            </w:pPr>
            <w:r w:rsidRPr="00275290">
              <w:rPr>
                <w:rFonts w:cs="Arial"/>
                <w:sz w:val="20"/>
                <w:szCs w:val="20"/>
                <w:lang w:val="en-US"/>
              </w:rPr>
              <w:t xml:space="preserve">Tébuconazole </w:t>
            </w:r>
          </w:p>
        </w:tc>
        <w:tc>
          <w:tcPr>
            <w:tcW w:w="1984" w:type="dxa"/>
            <w:tcBorders>
              <w:bottom w:val="single" w:sz="4" w:space="0" w:color="auto"/>
            </w:tcBorders>
            <w:shd w:val="clear" w:color="auto" w:fill="C6D9F1"/>
            <w:vAlign w:val="center"/>
          </w:tcPr>
          <w:p w14:paraId="3D880E34" w14:textId="77777777" w:rsidR="009D4550" w:rsidRPr="00275290" w:rsidRDefault="009D4550" w:rsidP="009D4550">
            <w:pPr>
              <w:rPr>
                <w:rFonts w:cs="Arial"/>
                <w:sz w:val="20"/>
                <w:szCs w:val="20"/>
                <w:lang w:val="en-US"/>
              </w:rPr>
            </w:pPr>
          </w:p>
        </w:tc>
        <w:tc>
          <w:tcPr>
            <w:tcW w:w="1984" w:type="dxa"/>
            <w:tcBorders>
              <w:bottom w:val="single" w:sz="4" w:space="0" w:color="auto"/>
            </w:tcBorders>
            <w:shd w:val="clear" w:color="auto" w:fill="C6D9F1"/>
            <w:vAlign w:val="center"/>
          </w:tcPr>
          <w:p w14:paraId="2795A9F3" w14:textId="77777777" w:rsidR="009D4550" w:rsidRPr="00275290" w:rsidRDefault="009D4550" w:rsidP="009D4550">
            <w:pPr>
              <w:rPr>
                <w:rFonts w:cs="Arial"/>
                <w:sz w:val="20"/>
                <w:szCs w:val="20"/>
                <w:lang w:val="fr-FR"/>
              </w:rPr>
            </w:pPr>
          </w:p>
        </w:tc>
        <w:tc>
          <w:tcPr>
            <w:tcW w:w="1984" w:type="dxa"/>
            <w:tcBorders>
              <w:bottom w:val="single" w:sz="4" w:space="0" w:color="auto"/>
              <w:right w:val="single" w:sz="4" w:space="0" w:color="auto"/>
            </w:tcBorders>
            <w:shd w:val="clear" w:color="auto" w:fill="C6D9F1"/>
            <w:vAlign w:val="center"/>
          </w:tcPr>
          <w:p w14:paraId="33A58693" w14:textId="77777777" w:rsidR="009D4550" w:rsidRPr="00275290" w:rsidRDefault="009D4550" w:rsidP="009D4550">
            <w:pPr>
              <w:rPr>
                <w:rFonts w:cs="Arial"/>
                <w:color w:val="000000"/>
                <w:sz w:val="20"/>
                <w:szCs w:val="20"/>
              </w:rPr>
            </w:pPr>
            <w:r w:rsidRPr="00275290">
              <w:rPr>
                <w:rFonts w:cs="Arial"/>
                <w:color w:val="000000"/>
                <w:sz w:val="20"/>
                <w:szCs w:val="20"/>
              </w:rPr>
              <w:t>1,18E-01</w:t>
            </w:r>
          </w:p>
        </w:tc>
      </w:tr>
      <w:tr w:rsidR="009D4550" w:rsidRPr="00275290" w14:paraId="677CE950" w14:textId="77777777" w:rsidTr="009D4550">
        <w:tc>
          <w:tcPr>
            <w:tcW w:w="1983" w:type="dxa"/>
            <w:vMerge/>
            <w:tcBorders>
              <w:left w:val="single" w:sz="4" w:space="0" w:color="auto"/>
              <w:bottom w:val="single" w:sz="4" w:space="0" w:color="auto"/>
            </w:tcBorders>
            <w:shd w:val="clear" w:color="auto" w:fill="C6D9F1"/>
            <w:vAlign w:val="center"/>
          </w:tcPr>
          <w:p w14:paraId="5F56CBD5" w14:textId="77777777" w:rsidR="009D4550" w:rsidRPr="00275290" w:rsidRDefault="009D4550" w:rsidP="009D4550">
            <w:pPr>
              <w:rPr>
                <w:rFonts w:cs="Arial"/>
                <w:sz w:val="20"/>
                <w:szCs w:val="20"/>
                <w:lang w:val="fr-FR"/>
              </w:rPr>
            </w:pPr>
          </w:p>
        </w:tc>
        <w:tc>
          <w:tcPr>
            <w:tcW w:w="1984" w:type="dxa"/>
            <w:tcBorders>
              <w:bottom w:val="single" w:sz="4" w:space="0" w:color="auto"/>
            </w:tcBorders>
            <w:shd w:val="clear" w:color="auto" w:fill="C6D9F1"/>
            <w:vAlign w:val="center"/>
          </w:tcPr>
          <w:p w14:paraId="1FD68BB7"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984" w:type="dxa"/>
            <w:tcBorders>
              <w:bottom w:val="single" w:sz="4" w:space="0" w:color="auto"/>
            </w:tcBorders>
            <w:shd w:val="clear" w:color="auto" w:fill="C6D9F1"/>
            <w:vAlign w:val="center"/>
          </w:tcPr>
          <w:p w14:paraId="04BA9D16" w14:textId="77777777" w:rsidR="009D4550" w:rsidRPr="00275290" w:rsidRDefault="009D4550" w:rsidP="009D4550">
            <w:pPr>
              <w:rPr>
                <w:rFonts w:cs="Arial"/>
                <w:sz w:val="20"/>
                <w:szCs w:val="20"/>
                <w:lang w:val="en-US"/>
              </w:rPr>
            </w:pPr>
          </w:p>
        </w:tc>
        <w:tc>
          <w:tcPr>
            <w:tcW w:w="1984" w:type="dxa"/>
            <w:tcBorders>
              <w:bottom w:val="single" w:sz="4" w:space="0" w:color="auto"/>
            </w:tcBorders>
            <w:shd w:val="clear" w:color="auto" w:fill="C6D9F1"/>
            <w:vAlign w:val="center"/>
          </w:tcPr>
          <w:p w14:paraId="062911EA" w14:textId="77777777" w:rsidR="009D4550" w:rsidRPr="00275290" w:rsidRDefault="009D4550" w:rsidP="009D4550">
            <w:pPr>
              <w:rPr>
                <w:rFonts w:cs="Arial"/>
                <w:sz w:val="20"/>
                <w:szCs w:val="20"/>
                <w:lang w:val="fr-FR"/>
              </w:rPr>
            </w:pPr>
          </w:p>
        </w:tc>
        <w:tc>
          <w:tcPr>
            <w:tcW w:w="1984" w:type="dxa"/>
            <w:tcBorders>
              <w:bottom w:val="single" w:sz="4" w:space="0" w:color="auto"/>
              <w:right w:val="single" w:sz="4" w:space="0" w:color="auto"/>
            </w:tcBorders>
            <w:shd w:val="clear" w:color="auto" w:fill="C6D9F1"/>
            <w:vAlign w:val="center"/>
          </w:tcPr>
          <w:p w14:paraId="70A0E4F8" w14:textId="77777777" w:rsidR="009D4550" w:rsidRPr="00275290" w:rsidRDefault="009D4550" w:rsidP="009D4550">
            <w:pPr>
              <w:rPr>
                <w:rFonts w:cs="Arial"/>
                <w:color w:val="000000"/>
                <w:sz w:val="20"/>
                <w:szCs w:val="20"/>
              </w:rPr>
            </w:pPr>
            <w:r w:rsidRPr="00275290">
              <w:rPr>
                <w:rFonts w:cs="Arial"/>
                <w:color w:val="000000"/>
                <w:sz w:val="20"/>
                <w:szCs w:val="20"/>
              </w:rPr>
              <w:t>2,83E-01</w:t>
            </w:r>
          </w:p>
        </w:tc>
      </w:tr>
      <w:tr w:rsidR="009D4550" w:rsidRPr="00275290" w14:paraId="78696107" w14:textId="77777777" w:rsidTr="00932144">
        <w:trPr>
          <w:cantSplit/>
        </w:trPr>
        <w:tc>
          <w:tcPr>
            <w:tcW w:w="9919" w:type="dxa"/>
            <w:gridSpan w:val="5"/>
            <w:shd w:val="clear" w:color="auto" w:fill="BFBFBF"/>
            <w:vAlign w:val="center"/>
          </w:tcPr>
          <w:p w14:paraId="3E0F9F91" w14:textId="77777777" w:rsidR="009D4550" w:rsidRPr="00275290" w:rsidRDefault="009D4550" w:rsidP="009D4550">
            <w:pPr>
              <w:rPr>
                <w:rFonts w:cs="Arial"/>
                <w:b/>
                <w:sz w:val="20"/>
                <w:szCs w:val="20"/>
                <w:lang w:val="en-US"/>
              </w:rPr>
            </w:pPr>
            <w:r w:rsidRPr="00275290">
              <w:rPr>
                <w:rFonts w:cs="Arial"/>
                <w:b/>
                <w:sz w:val="20"/>
                <w:szCs w:val="20"/>
                <w:lang w:val="en-US"/>
              </w:rPr>
              <w:lastRenderedPageBreak/>
              <w:t>Spraying 300g/m</w:t>
            </w:r>
            <w:r w:rsidRPr="00275290">
              <w:rPr>
                <w:rFonts w:cs="Arial"/>
                <w:b/>
                <w:sz w:val="20"/>
                <w:szCs w:val="20"/>
                <w:vertAlign w:val="superscript"/>
                <w:lang w:val="en-US"/>
              </w:rPr>
              <w:t>2</w:t>
            </w:r>
            <w:r w:rsidRPr="00275290">
              <w:rPr>
                <w:rFonts w:cs="Arial"/>
                <w:b/>
                <w:sz w:val="20"/>
                <w:szCs w:val="20"/>
                <w:lang w:val="en-US"/>
              </w:rPr>
              <w:t xml:space="preserve"> – with gloves and impermeable coverall during spraying and gloves and coated coverall during cleaning </w:t>
            </w:r>
          </w:p>
        </w:tc>
      </w:tr>
      <w:tr w:rsidR="009D4550" w:rsidRPr="00275290" w14:paraId="7145BADF" w14:textId="77777777" w:rsidTr="009D4550">
        <w:tc>
          <w:tcPr>
            <w:tcW w:w="1983" w:type="dxa"/>
            <w:vAlign w:val="center"/>
          </w:tcPr>
          <w:p w14:paraId="7DBC4432" w14:textId="77777777" w:rsidR="009D4550" w:rsidRPr="00275290" w:rsidRDefault="009D4550" w:rsidP="009D4550">
            <w:pPr>
              <w:rPr>
                <w:rFonts w:cs="Arial"/>
                <w:sz w:val="20"/>
                <w:szCs w:val="20"/>
                <w:lang w:val="fr-FR"/>
              </w:rPr>
            </w:pPr>
            <w:r w:rsidRPr="00275290">
              <w:rPr>
                <w:rFonts w:cs="Arial"/>
                <w:sz w:val="20"/>
                <w:szCs w:val="20"/>
                <w:lang w:val="fr-FR"/>
              </w:rPr>
              <w:t>M&amp;L</w:t>
            </w:r>
          </w:p>
        </w:tc>
        <w:tc>
          <w:tcPr>
            <w:tcW w:w="7936" w:type="dxa"/>
            <w:gridSpan w:val="4"/>
            <w:vAlign w:val="center"/>
          </w:tcPr>
          <w:p w14:paraId="3A913FB4" w14:textId="77777777" w:rsidR="009D4550" w:rsidRPr="00275290" w:rsidRDefault="009D4550" w:rsidP="009D4550">
            <w:pPr>
              <w:rPr>
                <w:rFonts w:cs="Arial"/>
                <w:sz w:val="20"/>
                <w:szCs w:val="20"/>
                <w:lang w:val="fr-FR"/>
              </w:rPr>
            </w:pPr>
            <w:r w:rsidRPr="00275290">
              <w:rPr>
                <w:rFonts w:cs="Arial"/>
                <w:sz w:val="20"/>
                <w:szCs w:val="20"/>
                <w:lang w:val="fr-FR"/>
              </w:rPr>
              <w:t>Included in  the model</w:t>
            </w:r>
          </w:p>
        </w:tc>
      </w:tr>
      <w:tr w:rsidR="009D4550" w:rsidRPr="00275290" w14:paraId="6630367A" w14:textId="77777777" w:rsidTr="009D4550">
        <w:tc>
          <w:tcPr>
            <w:tcW w:w="1983" w:type="dxa"/>
            <w:vMerge w:val="restart"/>
            <w:vAlign w:val="center"/>
          </w:tcPr>
          <w:p w14:paraId="1B1EFF17" w14:textId="77777777" w:rsidR="009D4550" w:rsidRPr="00275290" w:rsidRDefault="009D4550" w:rsidP="009D4550">
            <w:pPr>
              <w:rPr>
                <w:rFonts w:cs="Arial"/>
                <w:sz w:val="20"/>
                <w:szCs w:val="20"/>
                <w:lang w:val="en-US"/>
              </w:rPr>
            </w:pPr>
            <w:r w:rsidRPr="00275290">
              <w:rPr>
                <w:rFonts w:cs="Arial"/>
                <w:sz w:val="20"/>
                <w:szCs w:val="20"/>
                <w:lang w:val="en-US"/>
              </w:rPr>
              <w:t>Product application phase</w:t>
            </w:r>
          </w:p>
          <w:p w14:paraId="0F2CD56C" w14:textId="77777777" w:rsidR="009D4550" w:rsidRPr="00275290" w:rsidRDefault="009D4550" w:rsidP="009D4550">
            <w:pPr>
              <w:rPr>
                <w:rFonts w:cs="Arial"/>
                <w:sz w:val="20"/>
                <w:szCs w:val="20"/>
                <w:lang w:val="en-US"/>
              </w:rPr>
            </w:pPr>
          </w:p>
        </w:tc>
        <w:tc>
          <w:tcPr>
            <w:tcW w:w="1984" w:type="dxa"/>
            <w:vAlign w:val="center"/>
          </w:tcPr>
          <w:p w14:paraId="46044F53"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2E63FABF" w14:textId="77777777" w:rsidR="009D4550" w:rsidRPr="00275290" w:rsidRDefault="009D4550" w:rsidP="009D4550">
            <w:pPr>
              <w:rPr>
                <w:rFonts w:cs="Arial"/>
                <w:bCs/>
                <w:color w:val="000000"/>
                <w:sz w:val="20"/>
                <w:szCs w:val="20"/>
              </w:rPr>
            </w:pPr>
            <w:r w:rsidRPr="00275290">
              <w:rPr>
                <w:rFonts w:cs="Arial"/>
                <w:bCs/>
                <w:color w:val="000000"/>
                <w:sz w:val="20"/>
                <w:szCs w:val="20"/>
              </w:rPr>
              <w:t>1,90E-03</w:t>
            </w:r>
          </w:p>
        </w:tc>
        <w:tc>
          <w:tcPr>
            <w:tcW w:w="1984" w:type="dxa"/>
            <w:vAlign w:val="center"/>
          </w:tcPr>
          <w:p w14:paraId="4C9731D3" w14:textId="77777777" w:rsidR="009D4550" w:rsidRPr="00275290" w:rsidRDefault="009D4550" w:rsidP="009D4550">
            <w:pPr>
              <w:rPr>
                <w:rFonts w:cs="Arial"/>
                <w:bCs/>
                <w:color w:val="000000"/>
                <w:sz w:val="20"/>
                <w:szCs w:val="20"/>
              </w:rPr>
            </w:pPr>
            <w:r w:rsidRPr="00275290">
              <w:rPr>
                <w:rFonts w:cs="Arial"/>
                <w:bCs/>
                <w:color w:val="000000"/>
                <w:sz w:val="20"/>
                <w:szCs w:val="20"/>
              </w:rPr>
              <w:t>8,16E-03</w:t>
            </w:r>
          </w:p>
        </w:tc>
        <w:tc>
          <w:tcPr>
            <w:tcW w:w="1984" w:type="dxa"/>
            <w:vAlign w:val="center"/>
          </w:tcPr>
          <w:p w14:paraId="5F5F4D95" w14:textId="77777777" w:rsidR="009D4550" w:rsidRPr="00275290" w:rsidRDefault="009D4550" w:rsidP="009D4550">
            <w:pPr>
              <w:rPr>
                <w:rFonts w:cs="Arial"/>
                <w:bCs/>
                <w:color w:val="000000"/>
                <w:sz w:val="20"/>
                <w:szCs w:val="20"/>
              </w:rPr>
            </w:pPr>
            <w:r w:rsidRPr="00275290">
              <w:rPr>
                <w:rFonts w:cs="Arial"/>
                <w:bCs/>
                <w:color w:val="000000"/>
                <w:sz w:val="20"/>
                <w:szCs w:val="20"/>
              </w:rPr>
              <w:t>1,01E-02</w:t>
            </w:r>
          </w:p>
        </w:tc>
      </w:tr>
      <w:tr w:rsidR="009D4550" w:rsidRPr="00275290" w14:paraId="2ACFB670" w14:textId="77777777" w:rsidTr="009D4550">
        <w:tc>
          <w:tcPr>
            <w:tcW w:w="1983" w:type="dxa"/>
            <w:vMerge/>
            <w:vAlign w:val="center"/>
          </w:tcPr>
          <w:p w14:paraId="62A6CEFE" w14:textId="77777777" w:rsidR="009D4550" w:rsidRPr="00275290" w:rsidRDefault="009D4550" w:rsidP="009D4550">
            <w:pPr>
              <w:rPr>
                <w:rFonts w:cs="Arial"/>
                <w:sz w:val="20"/>
                <w:szCs w:val="20"/>
                <w:lang w:val="fr-FR"/>
              </w:rPr>
            </w:pPr>
          </w:p>
        </w:tc>
        <w:tc>
          <w:tcPr>
            <w:tcW w:w="1984" w:type="dxa"/>
            <w:vAlign w:val="center"/>
          </w:tcPr>
          <w:p w14:paraId="345FDCF6"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984" w:type="dxa"/>
            <w:vAlign w:val="center"/>
          </w:tcPr>
          <w:p w14:paraId="5CAC986A" w14:textId="77777777" w:rsidR="009D4550" w:rsidRPr="00275290" w:rsidRDefault="009D4550" w:rsidP="009D4550">
            <w:pPr>
              <w:rPr>
                <w:rFonts w:cs="Arial"/>
                <w:bCs/>
                <w:color w:val="000000"/>
                <w:sz w:val="20"/>
                <w:szCs w:val="20"/>
              </w:rPr>
            </w:pPr>
            <w:r w:rsidRPr="00275290">
              <w:rPr>
                <w:rFonts w:cs="Arial"/>
                <w:bCs/>
                <w:color w:val="000000"/>
                <w:sz w:val="20"/>
                <w:szCs w:val="20"/>
              </w:rPr>
              <w:t>3,80E-03</w:t>
            </w:r>
          </w:p>
        </w:tc>
        <w:tc>
          <w:tcPr>
            <w:tcW w:w="1984" w:type="dxa"/>
            <w:vAlign w:val="center"/>
          </w:tcPr>
          <w:p w14:paraId="64600C8C" w14:textId="79D48A3B" w:rsidR="009D4550" w:rsidRPr="00275290" w:rsidRDefault="00D956D4" w:rsidP="00D956D4">
            <w:pPr>
              <w:rPr>
                <w:rFonts w:cs="Arial"/>
                <w:bCs/>
                <w:color w:val="000000"/>
                <w:sz w:val="20"/>
                <w:szCs w:val="20"/>
              </w:rPr>
            </w:pPr>
            <w:r>
              <w:rPr>
                <w:rFonts w:cs="Arial"/>
                <w:bCs/>
                <w:color w:val="000000"/>
                <w:sz w:val="20"/>
                <w:szCs w:val="20"/>
              </w:rPr>
              <w:t>1.18</w:t>
            </w:r>
            <w:r w:rsidR="009D4550" w:rsidRPr="00275290">
              <w:rPr>
                <w:rFonts w:cs="Arial"/>
                <w:bCs/>
                <w:color w:val="000000"/>
                <w:sz w:val="20"/>
                <w:szCs w:val="20"/>
              </w:rPr>
              <w:t>E-0</w:t>
            </w:r>
            <w:r>
              <w:rPr>
                <w:rFonts w:cs="Arial"/>
                <w:bCs/>
                <w:color w:val="000000"/>
                <w:sz w:val="20"/>
                <w:szCs w:val="20"/>
              </w:rPr>
              <w:t>2</w:t>
            </w:r>
          </w:p>
        </w:tc>
        <w:tc>
          <w:tcPr>
            <w:tcW w:w="1984" w:type="dxa"/>
            <w:vAlign w:val="center"/>
          </w:tcPr>
          <w:p w14:paraId="53CE423B" w14:textId="69C7F045" w:rsidR="009D4550" w:rsidRPr="00275290" w:rsidRDefault="009D4550" w:rsidP="00D956D4">
            <w:pPr>
              <w:rPr>
                <w:rFonts w:cs="Arial"/>
                <w:bCs/>
                <w:color w:val="000000"/>
                <w:sz w:val="20"/>
                <w:szCs w:val="20"/>
              </w:rPr>
            </w:pPr>
            <w:r w:rsidRPr="00275290">
              <w:rPr>
                <w:rFonts w:cs="Arial"/>
                <w:bCs/>
                <w:color w:val="000000"/>
                <w:sz w:val="20"/>
                <w:szCs w:val="20"/>
              </w:rPr>
              <w:t>1,</w:t>
            </w:r>
            <w:r w:rsidR="00D956D4">
              <w:rPr>
                <w:rFonts w:cs="Arial"/>
                <w:bCs/>
                <w:color w:val="000000"/>
                <w:sz w:val="20"/>
                <w:szCs w:val="20"/>
              </w:rPr>
              <w:t>56</w:t>
            </w:r>
            <w:r w:rsidR="00D956D4" w:rsidRPr="00275290">
              <w:rPr>
                <w:rFonts w:cs="Arial"/>
                <w:bCs/>
                <w:color w:val="000000"/>
                <w:sz w:val="20"/>
                <w:szCs w:val="20"/>
              </w:rPr>
              <w:t>E</w:t>
            </w:r>
            <w:r w:rsidRPr="00275290">
              <w:rPr>
                <w:rFonts w:cs="Arial"/>
                <w:bCs/>
                <w:color w:val="000000"/>
                <w:sz w:val="20"/>
                <w:szCs w:val="20"/>
              </w:rPr>
              <w:t>-02</w:t>
            </w:r>
          </w:p>
        </w:tc>
      </w:tr>
      <w:tr w:rsidR="009D4550" w:rsidRPr="00275290" w14:paraId="024E1981" w14:textId="77777777" w:rsidTr="009D4550">
        <w:tc>
          <w:tcPr>
            <w:tcW w:w="1983" w:type="dxa"/>
            <w:vMerge/>
            <w:vAlign w:val="center"/>
          </w:tcPr>
          <w:p w14:paraId="7D96BAD4" w14:textId="77777777" w:rsidR="009D4550" w:rsidRPr="00275290" w:rsidRDefault="009D4550" w:rsidP="009D4550">
            <w:pPr>
              <w:rPr>
                <w:rFonts w:cs="Arial"/>
                <w:sz w:val="20"/>
                <w:szCs w:val="20"/>
                <w:lang w:val="fr-FR"/>
              </w:rPr>
            </w:pPr>
          </w:p>
        </w:tc>
        <w:tc>
          <w:tcPr>
            <w:tcW w:w="1984" w:type="dxa"/>
            <w:vAlign w:val="center"/>
          </w:tcPr>
          <w:p w14:paraId="1A8A568C" w14:textId="77777777" w:rsidR="009D4550" w:rsidRPr="00275290" w:rsidRDefault="009D4550" w:rsidP="009D4550">
            <w:pPr>
              <w:rPr>
                <w:rFonts w:cs="Arial"/>
                <w:sz w:val="20"/>
                <w:szCs w:val="20"/>
                <w:lang w:val="fr-FR"/>
              </w:rPr>
            </w:pPr>
            <w:r w:rsidRPr="00275290">
              <w:rPr>
                <w:rFonts w:cs="Arial"/>
                <w:sz w:val="20"/>
                <w:szCs w:val="20"/>
                <w:lang w:val="fr-FR"/>
              </w:rPr>
              <w:t xml:space="preserve">Tébuconazole </w:t>
            </w:r>
          </w:p>
        </w:tc>
        <w:tc>
          <w:tcPr>
            <w:tcW w:w="1984" w:type="dxa"/>
            <w:vAlign w:val="center"/>
          </w:tcPr>
          <w:p w14:paraId="4826F254" w14:textId="77777777" w:rsidR="009D4550" w:rsidRPr="00275290" w:rsidRDefault="009D4550" w:rsidP="009D4550">
            <w:pPr>
              <w:rPr>
                <w:rFonts w:cs="Arial"/>
                <w:bCs/>
                <w:color w:val="000000"/>
                <w:sz w:val="20"/>
                <w:szCs w:val="20"/>
              </w:rPr>
            </w:pPr>
            <w:r w:rsidRPr="00275290">
              <w:rPr>
                <w:rFonts w:cs="Arial"/>
                <w:bCs/>
                <w:color w:val="000000"/>
                <w:sz w:val="20"/>
                <w:szCs w:val="20"/>
              </w:rPr>
              <w:t>1,19E-03</w:t>
            </w:r>
          </w:p>
        </w:tc>
        <w:tc>
          <w:tcPr>
            <w:tcW w:w="1984" w:type="dxa"/>
            <w:vAlign w:val="center"/>
          </w:tcPr>
          <w:p w14:paraId="192B6692" w14:textId="1E65F044" w:rsidR="009D4550" w:rsidRPr="00275290" w:rsidRDefault="00D956D4" w:rsidP="009D4550">
            <w:pPr>
              <w:rPr>
                <w:rFonts w:cs="Arial"/>
                <w:bCs/>
                <w:color w:val="000000"/>
                <w:sz w:val="20"/>
                <w:szCs w:val="20"/>
              </w:rPr>
            </w:pPr>
            <w:r>
              <w:rPr>
                <w:rFonts w:cs="Arial"/>
                <w:bCs/>
                <w:color w:val="000000"/>
                <w:sz w:val="20"/>
                <w:szCs w:val="20"/>
              </w:rPr>
              <w:t>4.39</w:t>
            </w:r>
            <w:r w:rsidR="009D4550" w:rsidRPr="00275290">
              <w:rPr>
                <w:rFonts w:cs="Arial"/>
                <w:bCs/>
                <w:color w:val="000000"/>
                <w:sz w:val="20"/>
                <w:szCs w:val="20"/>
              </w:rPr>
              <w:t>E-03</w:t>
            </w:r>
          </w:p>
        </w:tc>
        <w:tc>
          <w:tcPr>
            <w:tcW w:w="1984" w:type="dxa"/>
            <w:vAlign w:val="center"/>
          </w:tcPr>
          <w:p w14:paraId="310AB1A7" w14:textId="47BF1E38" w:rsidR="009D4550" w:rsidRPr="00275290" w:rsidRDefault="00D956D4" w:rsidP="009D4550">
            <w:pPr>
              <w:rPr>
                <w:rFonts w:cs="Arial"/>
                <w:bCs/>
                <w:color w:val="000000"/>
                <w:sz w:val="20"/>
                <w:szCs w:val="20"/>
              </w:rPr>
            </w:pPr>
            <w:r>
              <w:rPr>
                <w:rFonts w:cs="Arial"/>
                <w:bCs/>
                <w:color w:val="000000"/>
                <w:sz w:val="20"/>
                <w:szCs w:val="20"/>
              </w:rPr>
              <w:t>5.58</w:t>
            </w:r>
            <w:r w:rsidR="009D4550" w:rsidRPr="00275290">
              <w:rPr>
                <w:rFonts w:cs="Arial"/>
                <w:bCs/>
                <w:color w:val="000000"/>
                <w:sz w:val="20"/>
                <w:szCs w:val="20"/>
              </w:rPr>
              <w:t>E-03</w:t>
            </w:r>
          </w:p>
        </w:tc>
      </w:tr>
      <w:tr w:rsidR="009D4550" w:rsidRPr="00275290" w14:paraId="4314ED37" w14:textId="77777777" w:rsidTr="009D4550">
        <w:tc>
          <w:tcPr>
            <w:tcW w:w="1983" w:type="dxa"/>
            <w:vMerge/>
            <w:vAlign w:val="center"/>
          </w:tcPr>
          <w:p w14:paraId="0935286F" w14:textId="77777777" w:rsidR="009D4550" w:rsidRPr="00275290" w:rsidRDefault="009D4550" w:rsidP="009D4550">
            <w:pPr>
              <w:rPr>
                <w:rFonts w:cs="Arial"/>
                <w:sz w:val="20"/>
                <w:szCs w:val="20"/>
                <w:lang w:val="fr-FR"/>
              </w:rPr>
            </w:pPr>
          </w:p>
        </w:tc>
        <w:tc>
          <w:tcPr>
            <w:tcW w:w="1984" w:type="dxa"/>
            <w:vAlign w:val="center"/>
          </w:tcPr>
          <w:p w14:paraId="575CD123"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984" w:type="dxa"/>
            <w:vAlign w:val="center"/>
          </w:tcPr>
          <w:p w14:paraId="1ED01FFF" w14:textId="77777777" w:rsidR="009D4550" w:rsidRPr="00275290" w:rsidRDefault="009D4550" w:rsidP="009D4550">
            <w:pPr>
              <w:rPr>
                <w:rFonts w:cs="Arial"/>
                <w:bCs/>
                <w:color w:val="000000"/>
                <w:sz w:val="20"/>
                <w:szCs w:val="20"/>
              </w:rPr>
            </w:pPr>
            <w:r w:rsidRPr="00275290">
              <w:rPr>
                <w:rFonts w:cs="Arial"/>
                <w:bCs/>
                <w:color w:val="000000"/>
                <w:sz w:val="20"/>
                <w:szCs w:val="20"/>
              </w:rPr>
              <w:t>1,19E-03</w:t>
            </w:r>
          </w:p>
        </w:tc>
        <w:tc>
          <w:tcPr>
            <w:tcW w:w="1984" w:type="dxa"/>
            <w:vAlign w:val="center"/>
          </w:tcPr>
          <w:p w14:paraId="31684098" w14:textId="69EEC856" w:rsidR="009D4550" w:rsidRPr="00275290" w:rsidRDefault="00D956D4" w:rsidP="009D4550">
            <w:pPr>
              <w:rPr>
                <w:rFonts w:cs="Arial"/>
                <w:bCs/>
                <w:color w:val="000000"/>
                <w:sz w:val="20"/>
                <w:szCs w:val="20"/>
              </w:rPr>
            </w:pPr>
            <w:r>
              <w:rPr>
                <w:rFonts w:cs="Arial"/>
                <w:bCs/>
                <w:color w:val="000000"/>
                <w:sz w:val="20"/>
                <w:szCs w:val="20"/>
              </w:rPr>
              <w:t>1.06</w:t>
            </w:r>
            <w:r w:rsidR="009D4550" w:rsidRPr="00275290">
              <w:rPr>
                <w:rFonts w:cs="Arial"/>
                <w:bCs/>
                <w:color w:val="000000"/>
                <w:sz w:val="20"/>
                <w:szCs w:val="20"/>
              </w:rPr>
              <w:t>E-0</w:t>
            </w:r>
            <w:r>
              <w:rPr>
                <w:rFonts w:cs="Arial"/>
                <w:bCs/>
                <w:color w:val="000000"/>
                <w:sz w:val="20"/>
                <w:szCs w:val="20"/>
              </w:rPr>
              <w:t>2</w:t>
            </w:r>
          </w:p>
        </w:tc>
        <w:tc>
          <w:tcPr>
            <w:tcW w:w="1984" w:type="dxa"/>
            <w:vAlign w:val="center"/>
          </w:tcPr>
          <w:p w14:paraId="0782E196" w14:textId="796305B2" w:rsidR="009D4550" w:rsidRPr="00275290" w:rsidRDefault="00D956D4" w:rsidP="009D4550">
            <w:pPr>
              <w:rPr>
                <w:rFonts w:cs="Arial"/>
                <w:bCs/>
                <w:color w:val="000000"/>
                <w:sz w:val="20"/>
                <w:szCs w:val="20"/>
              </w:rPr>
            </w:pPr>
            <w:r>
              <w:rPr>
                <w:rFonts w:cs="Arial"/>
                <w:bCs/>
                <w:color w:val="000000"/>
                <w:sz w:val="20"/>
                <w:szCs w:val="20"/>
              </w:rPr>
              <w:t>1.18</w:t>
            </w:r>
            <w:r w:rsidR="009D4550" w:rsidRPr="00275290">
              <w:rPr>
                <w:rFonts w:cs="Arial"/>
                <w:bCs/>
                <w:color w:val="000000"/>
                <w:sz w:val="20"/>
                <w:szCs w:val="20"/>
              </w:rPr>
              <w:t>E-0</w:t>
            </w:r>
            <w:r>
              <w:rPr>
                <w:rFonts w:cs="Arial"/>
                <w:bCs/>
                <w:color w:val="000000"/>
                <w:sz w:val="20"/>
                <w:szCs w:val="20"/>
              </w:rPr>
              <w:t>2</w:t>
            </w:r>
          </w:p>
        </w:tc>
      </w:tr>
      <w:tr w:rsidR="009D4550" w:rsidRPr="00275290" w14:paraId="570DFF19" w14:textId="77777777" w:rsidTr="009D4550">
        <w:tc>
          <w:tcPr>
            <w:tcW w:w="1983" w:type="dxa"/>
            <w:vMerge w:val="restart"/>
            <w:vAlign w:val="center"/>
          </w:tcPr>
          <w:p w14:paraId="14DD39E4" w14:textId="77777777" w:rsidR="009D4550" w:rsidRPr="00275290" w:rsidRDefault="009D4550" w:rsidP="009D4550">
            <w:pPr>
              <w:rPr>
                <w:rFonts w:cs="Arial"/>
                <w:sz w:val="20"/>
                <w:szCs w:val="20"/>
                <w:lang w:val="en-US"/>
              </w:rPr>
            </w:pPr>
            <w:r w:rsidRPr="00275290">
              <w:rPr>
                <w:rFonts w:cs="Arial"/>
                <w:sz w:val="20"/>
                <w:szCs w:val="20"/>
                <w:lang w:val="en-US"/>
              </w:rPr>
              <w:t xml:space="preserve">Cleaning of the spray equipment </w:t>
            </w:r>
          </w:p>
        </w:tc>
        <w:tc>
          <w:tcPr>
            <w:tcW w:w="1984" w:type="dxa"/>
            <w:vAlign w:val="center"/>
          </w:tcPr>
          <w:p w14:paraId="06028A51"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2A80F887"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vAlign w:val="center"/>
          </w:tcPr>
          <w:p w14:paraId="30CB283D" w14:textId="66DE710D"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21</w:t>
            </w:r>
            <w:r w:rsidRPr="00275290">
              <w:rPr>
                <w:rFonts w:cs="Arial"/>
                <w:bCs/>
                <w:color w:val="000000"/>
                <w:sz w:val="20"/>
                <w:szCs w:val="20"/>
              </w:rPr>
              <w:t>E-04</w:t>
            </w:r>
          </w:p>
        </w:tc>
        <w:tc>
          <w:tcPr>
            <w:tcW w:w="1984" w:type="dxa"/>
            <w:vAlign w:val="center"/>
          </w:tcPr>
          <w:p w14:paraId="7CD373CA" w14:textId="7EA3F56E"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21</w:t>
            </w:r>
            <w:r w:rsidRPr="00275290">
              <w:rPr>
                <w:rFonts w:cs="Arial"/>
                <w:bCs/>
                <w:color w:val="000000"/>
                <w:sz w:val="20"/>
                <w:szCs w:val="20"/>
              </w:rPr>
              <w:t>E-04</w:t>
            </w:r>
          </w:p>
        </w:tc>
      </w:tr>
      <w:tr w:rsidR="009D4550" w:rsidRPr="00275290" w14:paraId="662949FF" w14:textId="77777777" w:rsidTr="009D4550">
        <w:tc>
          <w:tcPr>
            <w:tcW w:w="1983" w:type="dxa"/>
            <w:vMerge/>
            <w:vAlign w:val="center"/>
          </w:tcPr>
          <w:p w14:paraId="4F003F84" w14:textId="77777777" w:rsidR="009D4550" w:rsidRPr="00275290" w:rsidRDefault="009D4550" w:rsidP="009D4550">
            <w:pPr>
              <w:rPr>
                <w:rFonts w:cs="Arial"/>
                <w:sz w:val="20"/>
                <w:szCs w:val="20"/>
                <w:lang w:val="fr-FR"/>
              </w:rPr>
            </w:pPr>
          </w:p>
        </w:tc>
        <w:tc>
          <w:tcPr>
            <w:tcW w:w="1984" w:type="dxa"/>
            <w:vAlign w:val="center"/>
          </w:tcPr>
          <w:p w14:paraId="57919833"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984" w:type="dxa"/>
            <w:vAlign w:val="center"/>
          </w:tcPr>
          <w:p w14:paraId="0788AFED"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vAlign w:val="center"/>
          </w:tcPr>
          <w:p w14:paraId="21D1D0F2" w14:textId="730B8ADF" w:rsidR="009D4550" w:rsidRPr="00275290" w:rsidRDefault="004A10DD" w:rsidP="009D4550">
            <w:pPr>
              <w:rPr>
                <w:rFonts w:cs="Arial"/>
                <w:bCs/>
                <w:color w:val="000000"/>
                <w:sz w:val="20"/>
                <w:szCs w:val="20"/>
              </w:rPr>
            </w:pPr>
            <w:r>
              <w:rPr>
                <w:rFonts w:cs="Arial"/>
                <w:bCs/>
                <w:color w:val="000000"/>
                <w:sz w:val="20"/>
                <w:szCs w:val="20"/>
              </w:rPr>
              <w:t>4.63</w:t>
            </w:r>
            <w:r w:rsidR="009D4550" w:rsidRPr="00275290">
              <w:rPr>
                <w:rFonts w:cs="Arial"/>
                <w:bCs/>
                <w:color w:val="000000"/>
                <w:sz w:val="20"/>
                <w:szCs w:val="20"/>
              </w:rPr>
              <w:t>E-04</w:t>
            </w:r>
          </w:p>
        </w:tc>
        <w:tc>
          <w:tcPr>
            <w:tcW w:w="1984" w:type="dxa"/>
            <w:vAlign w:val="center"/>
          </w:tcPr>
          <w:p w14:paraId="09499016" w14:textId="1CDB8E6A" w:rsidR="009D4550" w:rsidRPr="00275290" w:rsidRDefault="004A10DD" w:rsidP="009D4550">
            <w:pPr>
              <w:rPr>
                <w:rFonts w:cs="Arial"/>
                <w:bCs/>
                <w:color w:val="000000"/>
                <w:sz w:val="20"/>
                <w:szCs w:val="20"/>
              </w:rPr>
            </w:pPr>
            <w:r>
              <w:rPr>
                <w:rFonts w:cs="Arial"/>
                <w:bCs/>
                <w:color w:val="000000"/>
                <w:sz w:val="20"/>
                <w:szCs w:val="20"/>
              </w:rPr>
              <w:t>4.63</w:t>
            </w:r>
            <w:r w:rsidR="009D4550" w:rsidRPr="00275290">
              <w:rPr>
                <w:rFonts w:cs="Arial"/>
                <w:bCs/>
                <w:color w:val="000000"/>
                <w:sz w:val="20"/>
                <w:szCs w:val="20"/>
              </w:rPr>
              <w:t>E-04</w:t>
            </w:r>
          </w:p>
        </w:tc>
      </w:tr>
      <w:tr w:rsidR="009D4550" w:rsidRPr="00275290" w14:paraId="06DA7FB1" w14:textId="77777777" w:rsidTr="009D4550">
        <w:tc>
          <w:tcPr>
            <w:tcW w:w="1983" w:type="dxa"/>
            <w:vMerge/>
            <w:vAlign w:val="center"/>
          </w:tcPr>
          <w:p w14:paraId="5908A9B5" w14:textId="77777777" w:rsidR="009D4550" w:rsidRPr="00275290" w:rsidRDefault="009D4550" w:rsidP="009D4550">
            <w:pPr>
              <w:rPr>
                <w:rFonts w:cs="Arial"/>
                <w:sz w:val="20"/>
                <w:szCs w:val="20"/>
                <w:lang w:val="fr-FR"/>
              </w:rPr>
            </w:pPr>
          </w:p>
        </w:tc>
        <w:tc>
          <w:tcPr>
            <w:tcW w:w="1984" w:type="dxa"/>
            <w:tcBorders>
              <w:bottom w:val="single" w:sz="4" w:space="0" w:color="auto"/>
            </w:tcBorders>
            <w:vAlign w:val="center"/>
          </w:tcPr>
          <w:p w14:paraId="3C635813"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984" w:type="dxa"/>
            <w:tcBorders>
              <w:bottom w:val="single" w:sz="4" w:space="0" w:color="auto"/>
            </w:tcBorders>
            <w:vAlign w:val="center"/>
          </w:tcPr>
          <w:p w14:paraId="4A36AA24"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tcBorders>
            <w:vAlign w:val="center"/>
          </w:tcPr>
          <w:p w14:paraId="2E2A0DBB" w14:textId="2DF346A9" w:rsidR="009D4550" w:rsidRPr="00275290" w:rsidRDefault="009D4550" w:rsidP="009D4550">
            <w:pPr>
              <w:rPr>
                <w:rFonts w:cs="Arial"/>
                <w:bCs/>
                <w:color w:val="000000"/>
                <w:sz w:val="20"/>
                <w:szCs w:val="20"/>
              </w:rPr>
            </w:pPr>
            <w:r w:rsidRPr="00275290">
              <w:rPr>
                <w:rFonts w:cs="Arial"/>
                <w:bCs/>
                <w:color w:val="000000"/>
                <w:sz w:val="20"/>
                <w:szCs w:val="20"/>
              </w:rPr>
              <w:t>1,</w:t>
            </w:r>
            <w:r w:rsidR="004A10DD">
              <w:rPr>
                <w:rFonts w:cs="Arial"/>
                <w:bCs/>
                <w:color w:val="000000"/>
                <w:sz w:val="20"/>
                <w:szCs w:val="20"/>
              </w:rPr>
              <w:t>73</w:t>
            </w:r>
            <w:r w:rsidRPr="00275290">
              <w:rPr>
                <w:rFonts w:cs="Arial"/>
                <w:bCs/>
                <w:color w:val="000000"/>
                <w:sz w:val="20"/>
                <w:szCs w:val="20"/>
              </w:rPr>
              <w:t>E-04</w:t>
            </w:r>
          </w:p>
        </w:tc>
        <w:tc>
          <w:tcPr>
            <w:tcW w:w="1984" w:type="dxa"/>
            <w:tcBorders>
              <w:bottom w:val="single" w:sz="4" w:space="0" w:color="auto"/>
            </w:tcBorders>
            <w:vAlign w:val="center"/>
          </w:tcPr>
          <w:p w14:paraId="1E5D92EE" w14:textId="68EA862D" w:rsidR="009D4550" w:rsidRPr="00275290" w:rsidRDefault="009D4550" w:rsidP="009D4550">
            <w:pPr>
              <w:rPr>
                <w:rFonts w:cs="Arial"/>
                <w:bCs/>
                <w:color w:val="000000"/>
                <w:sz w:val="20"/>
                <w:szCs w:val="20"/>
              </w:rPr>
            </w:pPr>
            <w:r w:rsidRPr="00275290">
              <w:rPr>
                <w:rFonts w:cs="Arial"/>
                <w:bCs/>
                <w:color w:val="000000"/>
                <w:sz w:val="20"/>
                <w:szCs w:val="20"/>
              </w:rPr>
              <w:t>1,</w:t>
            </w:r>
            <w:r w:rsidR="004A10DD">
              <w:rPr>
                <w:rFonts w:cs="Arial"/>
                <w:bCs/>
                <w:color w:val="000000"/>
                <w:sz w:val="20"/>
                <w:szCs w:val="20"/>
              </w:rPr>
              <w:t>73</w:t>
            </w:r>
            <w:r w:rsidRPr="00275290">
              <w:rPr>
                <w:rFonts w:cs="Arial"/>
                <w:bCs/>
                <w:color w:val="000000"/>
                <w:sz w:val="20"/>
                <w:szCs w:val="20"/>
              </w:rPr>
              <w:t>E-04</w:t>
            </w:r>
          </w:p>
        </w:tc>
      </w:tr>
      <w:tr w:rsidR="009D4550" w:rsidRPr="00275290" w14:paraId="73FC1FA5" w14:textId="77777777" w:rsidTr="009D4550">
        <w:tc>
          <w:tcPr>
            <w:tcW w:w="1983" w:type="dxa"/>
            <w:vMerge/>
            <w:tcBorders>
              <w:bottom w:val="single" w:sz="4" w:space="0" w:color="auto"/>
            </w:tcBorders>
            <w:vAlign w:val="center"/>
          </w:tcPr>
          <w:p w14:paraId="07616ADE" w14:textId="77777777" w:rsidR="009D4550" w:rsidRPr="00275290" w:rsidRDefault="009D4550" w:rsidP="009D4550">
            <w:pPr>
              <w:rPr>
                <w:rFonts w:cs="Arial"/>
                <w:sz w:val="20"/>
                <w:szCs w:val="20"/>
                <w:lang w:val="fr-FR"/>
              </w:rPr>
            </w:pPr>
          </w:p>
        </w:tc>
        <w:tc>
          <w:tcPr>
            <w:tcW w:w="1984" w:type="dxa"/>
            <w:tcBorders>
              <w:bottom w:val="single" w:sz="4" w:space="0" w:color="auto"/>
            </w:tcBorders>
            <w:vAlign w:val="center"/>
          </w:tcPr>
          <w:p w14:paraId="3F4D77A7"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984" w:type="dxa"/>
            <w:tcBorders>
              <w:bottom w:val="single" w:sz="4" w:space="0" w:color="auto"/>
            </w:tcBorders>
            <w:vAlign w:val="center"/>
          </w:tcPr>
          <w:p w14:paraId="19F41391"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tcBorders>
            <w:vAlign w:val="center"/>
          </w:tcPr>
          <w:p w14:paraId="439F699B" w14:textId="082A62D0" w:rsidR="009D4550" w:rsidRPr="00275290" w:rsidRDefault="009D4550" w:rsidP="009D4550">
            <w:pPr>
              <w:rPr>
                <w:rFonts w:cs="Arial"/>
                <w:bCs/>
                <w:color w:val="000000"/>
                <w:sz w:val="20"/>
                <w:szCs w:val="20"/>
              </w:rPr>
            </w:pPr>
            <w:r w:rsidRPr="00275290">
              <w:rPr>
                <w:rFonts w:cs="Arial"/>
                <w:bCs/>
                <w:color w:val="000000"/>
                <w:sz w:val="20"/>
                <w:szCs w:val="20"/>
              </w:rPr>
              <w:t>4,</w:t>
            </w:r>
            <w:r w:rsidR="004A10DD">
              <w:rPr>
                <w:rFonts w:cs="Arial"/>
                <w:bCs/>
                <w:color w:val="000000"/>
                <w:sz w:val="20"/>
                <w:szCs w:val="20"/>
              </w:rPr>
              <w:t>18</w:t>
            </w:r>
            <w:r w:rsidRPr="00275290">
              <w:rPr>
                <w:rFonts w:cs="Arial"/>
                <w:bCs/>
                <w:color w:val="000000"/>
                <w:sz w:val="20"/>
                <w:szCs w:val="20"/>
              </w:rPr>
              <w:t>E-04</w:t>
            </w:r>
          </w:p>
        </w:tc>
        <w:tc>
          <w:tcPr>
            <w:tcW w:w="1984" w:type="dxa"/>
            <w:tcBorders>
              <w:bottom w:val="single" w:sz="4" w:space="0" w:color="auto"/>
            </w:tcBorders>
            <w:vAlign w:val="center"/>
          </w:tcPr>
          <w:p w14:paraId="55A34788" w14:textId="5D1D7FB5" w:rsidR="009D4550" w:rsidRPr="00275290" w:rsidRDefault="009D4550" w:rsidP="009D4550">
            <w:pPr>
              <w:rPr>
                <w:rFonts w:cs="Arial"/>
                <w:bCs/>
                <w:color w:val="000000"/>
                <w:sz w:val="20"/>
                <w:szCs w:val="20"/>
              </w:rPr>
            </w:pPr>
            <w:r w:rsidRPr="00275290">
              <w:rPr>
                <w:rFonts w:cs="Arial"/>
                <w:bCs/>
                <w:color w:val="000000"/>
                <w:sz w:val="20"/>
                <w:szCs w:val="20"/>
              </w:rPr>
              <w:t>4,</w:t>
            </w:r>
            <w:r w:rsidR="004A10DD">
              <w:rPr>
                <w:rFonts w:cs="Arial"/>
                <w:bCs/>
                <w:color w:val="000000"/>
                <w:sz w:val="20"/>
                <w:szCs w:val="20"/>
              </w:rPr>
              <w:t>18</w:t>
            </w:r>
            <w:r w:rsidRPr="00275290">
              <w:rPr>
                <w:rFonts w:cs="Arial"/>
                <w:bCs/>
                <w:color w:val="000000"/>
                <w:sz w:val="20"/>
                <w:szCs w:val="20"/>
              </w:rPr>
              <w:t>E-04</w:t>
            </w:r>
          </w:p>
        </w:tc>
      </w:tr>
      <w:tr w:rsidR="009D4550" w:rsidRPr="00275290" w14:paraId="3A5C0000" w14:textId="77777777" w:rsidTr="009D4550">
        <w:tc>
          <w:tcPr>
            <w:tcW w:w="1983" w:type="dxa"/>
            <w:vMerge w:val="restart"/>
            <w:tcBorders>
              <w:top w:val="single" w:sz="4" w:space="0" w:color="auto"/>
              <w:left w:val="single" w:sz="4" w:space="0" w:color="auto"/>
            </w:tcBorders>
            <w:shd w:val="clear" w:color="auto" w:fill="C6D9F1"/>
            <w:vAlign w:val="center"/>
          </w:tcPr>
          <w:p w14:paraId="2A56E4B8" w14:textId="77777777" w:rsidR="009D4550" w:rsidRPr="00275290" w:rsidRDefault="009D4550" w:rsidP="009D4550">
            <w:pPr>
              <w:rPr>
                <w:rFonts w:cs="Arial"/>
                <w:sz w:val="20"/>
                <w:szCs w:val="20"/>
                <w:lang w:val="fr-FR"/>
              </w:rPr>
            </w:pPr>
            <w:r w:rsidRPr="00275290">
              <w:rPr>
                <w:rFonts w:cs="Arial"/>
                <w:sz w:val="20"/>
                <w:szCs w:val="20"/>
                <w:lang w:val="fr-FR"/>
              </w:rPr>
              <w:t>Appli (PPE)+ cleaning</w:t>
            </w:r>
          </w:p>
        </w:tc>
        <w:tc>
          <w:tcPr>
            <w:tcW w:w="1984" w:type="dxa"/>
            <w:tcBorders>
              <w:top w:val="single" w:sz="4" w:space="0" w:color="auto"/>
            </w:tcBorders>
            <w:shd w:val="clear" w:color="auto" w:fill="C6D9F1"/>
            <w:vAlign w:val="center"/>
          </w:tcPr>
          <w:p w14:paraId="62913059"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tcBorders>
              <w:top w:val="single" w:sz="4" w:space="0" w:color="auto"/>
            </w:tcBorders>
            <w:shd w:val="clear" w:color="auto" w:fill="C6D9F1"/>
            <w:vAlign w:val="center"/>
          </w:tcPr>
          <w:p w14:paraId="76F8A770" w14:textId="77777777" w:rsidR="009D4550" w:rsidRPr="00275290" w:rsidRDefault="009D4550" w:rsidP="009D4550">
            <w:pPr>
              <w:rPr>
                <w:rFonts w:cs="Arial"/>
                <w:sz w:val="20"/>
                <w:szCs w:val="20"/>
                <w:lang w:val="en-US"/>
              </w:rPr>
            </w:pPr>
          </w:p>
        </w:tc>
        <w:tc>
          <w:tcPr>
            <w:tcW w:w="1984" w:type="dxa"/>
            <w:tcBorders>
              <w:top w:val="single" w:sz="4" w:space="0" w:color="auto"/>
            </w:tcBorders>
            <w:shd w:val="clear" w:color="auto" w:fill="C6D9F1"/>
            <w:vAlign w:val="center"/>
          </w:tcPr>
          <w:p w14:paraId="3C3C5D1D" w14:textId="77777777" w:rsidR="009D4550" w:rsidRPr="00275290" w:rsidRDefault="009D4550" w:rsidP="009D4550">
            <w:pPr>
              <w:rPr>
                <w:rFonts w:cs="Arial"/>
                <w:sz w:val="20"/>
                <w:szCs w:val="20"/>
                <w:lang w:val="fr-FR"/>
              </w:rPr>
            </w:pPr>
          </w:p>
        </w:tc>
        <w:tc>
          <w:tcPr>
            <w:tcW w:w="1984" w:type="dxa"/>
            <w:tcBorders>
              <w:top w:val="single" w:sz="4" w:space="0" w:color="auto"/>
              <w:right w:val="single" w:sz="4" w:space="0" w:color="auto"/>
            </w:tcBorders>
            <w:shd w:val="clear" w:color="auto" w:fill="C6D9F1"/>
            <w:vAlign w:val="center"/>
          </w:tcPr>
          <w:p w14:paraId="72CCEAE3" w14:textId="77777777" w:rsidR="009D4550" w:rsidRPr="00275290" w:rsidRDefault="009D4550" w:rsidP="009D4550">
            <w:pPr>
              <w:rPr>
                <w:rFonts w:cs="Arial"/>
                <w:bCs/>
                <w:color w:val="000000"/>
                <w:sz w:val="20"/>
                <w:szCs w:val="20"/>
              </w:rPr>
            </w:pPr>
            <w:r w:rsidRPr="00275290">
              <w:rPr>
                <w:rFonts w:cs="Arial"/>
                <w:bCs/>
                <w:color w:val="000000"/>
                <w:sz w:val="20"/>
                <w:szCs w:val="20"/>
              </w:rPr>
              <w:t>1,04E-02</w:t>
            </w:r>
          </w:p>
        </w:tc>
      </w:tr>
      <w:tr w:rsidR="009D4550" w:rsidRPr="00275290" w14:paraId="2C3FF76B" w14:textId="77777777" w:rsidTr="009D4550">
        <w:tc>
          <w:tcPr>
            <w:tcW w:w="1983" w:type="dxa"/>
            <w:vMerge/>
            <w:tcBorders>
              <w:left w:val="single" w:sz="4" w:space="0" w:color="auto"/>
            </w:tcBorders>
            <w:shd w:val="clear" w:color="auto" w:fill="C6D9F1"/>
            <w:vAlign w:val="center"/>
          </w:tcPr>
          <w:p w14:paraId="7678CB73" w14:textId="77777777" w:rsidR="009D4550" w:rsidRPr="00275290" w:rsidRDefault="009D4550" w:rsidP="009D4550">
            <w:pPr>
              <w:rPr>
                <w:rFonts w:cs="Arial"/>
                <w:sz w:val="20"/>
                <w:szCs w:val="20"/>
                <w:lang w:val="fr-FR"/>
              </w:rPr>
            </w:pPr>
          </w:p>
        </w:tc>
        <w:tc>
          <w:tcPr>
            <w:tcW w:w="1984" w:type="dxa"/>
            <w:shd w:val="clear" w:color="auto" w:fill="C6D9F1"/>
            <w:vAlign w:val="center"/>
          </w:tcPr>
          <w:p w14:paraId="1321F79C"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984" w:type="dxa"/>
            <w:shd w:val="clear" w:color="auto" w:fill="C6D9F1"/>
            <w:vAlign w:val="center"/>
          </w:tcPr>
          <w:p w14:paraId="1924E6D4" w14:textId="77777777" w:rsidR="009D4550" w:rsidRPr="00275290" w:rsidRDefault="009D4550" w:rsidP="009D4550">
            <w:pPr>
              <w:rPr>
                <w:rFonts w:cs="Arial"/>
                <w:sz w:val="20"/>
                <w:szCs w:val="20"/>
                <w:lang w:val="en-US"/>
              </w:rPr>
            </w:pPr>
          </w:p>
        </w:tc>
        <w:tc>
          <w:tcPr>
            <w:tcW w:w="1984" w:type="dxa"/>
            <w:shd w:val="clear" w:color="auto" w:fill="C6D9F1"/>
            <w:vAlign w:val="center"/>
          </w:tcPr>
          <w:p w14:paraId="37B80D9C" w14:textId="77777777" w:rsidR="009D4550" w:rsidRPr="00275290" w:rsidRDefault="009D4550" w:rsidP="009D4550">
            <w:pPr>
              <w:rPr>
                <w:rFonts w:cs="Arial"/>
                <w:sz w:val="20"/>
                <w:szCs w:val="20"/>
                <w:lang w:val="fr-FR"/>
              </w:rPr>
            </w:pPr>
          </w:p>
        </w:tc>
        <w:tc>
          <w:tcPr>
            <w:tcW w:w="1984" w:type="dxa"/>
            <w:tcBorders>
              <w:right w:val="single" w:sz="4" w:space="0" w:color="auto"/>
            </w:tcBorders>
            <w:shd w:val="clear" w:color="auto" w:fill="C6D9F1"/>
            <w:vAlign w:val="center"/>
          </w:tcPr>
          <w:p w14:paraId="2AEEF529" w14:textId="4FB91ACB" w:rsidR="009D4550" w:rsidRPr="00275290" w:rsidRDefault="009D4550" w:rsidP="009D4550">
            <w:pPr>
              <w:rPr>
                <w:rFonts w:cs="Arial"/>
                <w:bCs/>
                <w:color w:val="000000"/>
                <w:sz w:val="20"/>
                <w:szCs w:val="20"/>
              </w:rPr>
            </w:pPr>
            <w:r w:rsidRPr="00275290">
              <w:rPr>
                <w:rFonts w:cs="Arial"/>
                <w:bCs/>
                <w:color w:val="000000"/>
                <w:sz w:val="20"/>
                <w:szCs w:val="20"/>
              </w:rPr>
              <w:t>1,</w:t>
            </w:r>
            <w:r w:rsidR="00D956D4">
              <w:rPr>
                <w:rFonts w:cs="Arial"/>
                <w:bCs/>
                <w:color w:val="000000"/>
                <w:sz w:val="20"/>
                <w:szCs w:val="20"/>
              </w:rPr>
              <w:t>61</w:t>
            </w:r>
            <w:r w:rsidRPr="00275290">
              <w:rPr>
                <w:rFonts w:cs="Arial"/>
                <w:bCs/>
                <w:color w:val="000000"/>
                <w:sz w:val="20"/>
                <w:szCs w:val="20"/>
              </w:rPr>
              <w:t>E-02</w:t>
            </w:r>
          </w:p>
        </w:tc>
      </w:tr>
      <w:tr w:rsidR="009D4550" w:rsidRPr="00275290" w14:paraId="3ACEDA5A" w14:textId="77777777" w:rsidTr="009D4550">
        <w:tc>
          <w:tcPr>
            <w:tcW w:w="1983" w:type="dxa"/>
            <w:vMerge/>
            <w:tcBorders>
              <w:left w:val="single" w:sz="4" w:space="0" w:color="auto"/>
            </w:tcBorders>
            <w:shd w:val="clear" w:color="auto" w:fill="C6D9F1"/>
            <w:vAlign w:val="center"/>
          </w:tcPr>
          <w:p w14:paraId="2D038F53" w14:textId="77777777" w:rsidR="009D4550" w:rsidRPr="00275290" w:rsidRDefault="009D4550" w:rsidP="009D4550">
            <w:pPr>
              <w:rPr>
                <w:rFonts w:cs="Arial"/>
                <w:sz w:val="20"/>
                <w:szCs w:val="20"/>
                <w:lang w:val="fr-FR"/>
              </w:rPr>
            </w:pPr>
          </w:p>
        </w:tc>
        <w:tc>
          <w:tcPr>
            <w:tcW w:w="1984" w:type="dxa"/>
            <w:shd w:val="clear" w:color="auto" w:fill="C6D9F1"/>
            <w:vAlign w:val="center"/>
          </w:tcPr>
          <w:p w14:paraId="7C9E399E"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984" w:type="dxa"/>
            <w:shd w:val="clear" w:color="auto" w:fill="C6D9F1"/>
            <w:vAlign w:val="center"/>
          </w:tcPr>
          <w:p w14:paraId="5D1553C3" w14:textId="77777777" w:rsidR="009D4550" w:rsidRPr="00275290" w:rsidRDefault="009D4550" w:rsidP="009D4550">
            <w:pPr>
              <w:rPr>
                <w:rFonts w:cs="Arial"/>
                <w:sz w:val="20"/>
                <w:szCs w:val="20"/>
                <w:lang w:val="en-US"/>
              </w:rPr>
            </w:pPr>
          </w:p>
        </w:tc>
        <w:tc>
          <w:tcPr>
            <w:tcW w:w="1984" w:type="dxa"/>
            <w:shd w:val="clear" w:color="auto" w:fill="C6D9F1"/>
            <w:vAlign w:val="center"/>
          </w:tcPr>
          <w:p w14:paraId="163B594D" w14:textId="77777777" w:rsidR="009D4550" w:rsidRPr="00275290" w:rsidRDefault="009D4550" w:rsidP="009D4550">
            <w:pPr>
              <w:rPr>
                <w:rFonts w:cs="Arial"/>
                <w:sz w:val="20"/>
                <w:szCs w:val="20"/>
                <w:lang w:val="fr-FR"/>
              </w:rPr>
            </w:pPr>
          </w:p>
        </w:tc>
        <w:tc>
          <w:tcPr>
            <w:tcW w:w="1984" w:type="dxa"/>
            <w:tcBorders>
              <w:right w:val="single" w:sz="4" w:space="0" w:color="auto"/>
            </w:tcBorders>
            <w:shd w:val="clear" w:color="auto" w:fill="C6D9F1"/>
            <w:vAlign w:val="center"/>
          </w:tcPr>
          <w:p w14:paraId="7DDDA34E" w14:textId="0B45C7FF" w:rsidR="009D4550" w:rsidRPr="00275290" w:rsidRDefault="004A10DD" w:rsidP="009D4550">
            <w:pPr>
              <w:rPr>
                <w:rFonts w:cs="Arial"/>
                <w:bCs/>
                <w:color w:val="000000"/>
                <w:sz w:val="20"/>
                <w:szCs w:val="20"/>
              </w:rPr>
            </w:pPr>
            <w:r>
              <w:rPr>
                <w:rFonts w:cs="Arial"/>
                <w:bCs/>
                <w:color w:val="000000"/>
                <w:sz w:val="20"/>
                <w:szCs w:val="20"/>
              </w:rPr>
              <w:t>5.75</w:t>
            </w:r>
            <w:r w:rsidR="009D4550" w:rsidRPr="00275290">
              <w:rPr>
                <w:rFonts w:cs="Arial"/>
                <w:bCs/>
                <w:color w:val="000000"/>
                <w:sz w:val="20"/>
                <w:szCs w:val="20"/>
              </w:rPr>
              <w:t>E-03</w:t>
            </w:r>
          </w:p>
        </w:tc>
      </w:tr>
      <w:tr w:rsidR="009D4550" w:rsidRPr="00275290" w14:paraId="72FBEC84" w14:textId="77777777" w:rsidTr="009D4550">
        <w:tc>
          <w:tcPr>
            <w:tcW w:w="1983" w:type="dxa"/>
            <w:vMerge/>
            <w:tcBorders>
              <w:left w:val="single" w:sz="4" w:space="0" w:color="auto"/>
              <w:bottom w:val="single" w:sz="4" w:space="0" w:color="auto"/>
            </w:tcBorders>
            <w:shd w:val="clear" w:color="auto" w:fill="C6D9F1"/>
            <w:vAlign w:val="center"/>
          </w:tcPr>
          <w:p w14:paraId="2C9B81A4" w14:textId="77777777" w:rsidR="009D4550" w:rsidRPr="00275290" w:rsidRDefault="009D4550" w:rsidP="009D4550">
            <w:pPr>
              <w:rPr>
                <w:rFonts w:cs="Arial"/>
                <w:sz w:val="20"/>
                <w:szCs w:val="20"/>
                <w:lang w:val="fr-FR"/>
              </w:rPr>
            </w:pPr>
          </w:p>
        </w:tc>
        <w:tc>
          <w:tcPr>
            <w:tcW w:w="1984" w:type="dxa"/>
            <w:tcBorders>
              <w:bottom w:val="single" w:sz="4" w:space="0" w:color="auto"/>
            </w:tcBorders>
            <w:shd w:val="clear" w:color="auto" w:fill="C6D9F1"/>
            <w:vAlign w:val="center"/>
          </w:tcPr>
          <w:p w14:paraId="64C94D56"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984" w:type="dxa"/>
            <w:tcBorders>
              <w:bottom w:val="single" w:sz="4" w:space="0" w:color="auto"/>
            </w:tcBorders>
            <w:shd w:val="clear" w:color="auto" w:fill="C6D9F1"/>
            <w:vAlign w:val="center"/>
          </w:tcPr>
          <w:p w14:paraId="19A8D780" w14:textId="77777777" w:rsidR="009D4550" w:rsidRPr="00275290" w:rsidRDefault="009D4550" w:rsidP="009D4550">
            <w:pPr>
              <w:rPr>
                <w:rFonts w:cs="Arial"/>
                <w:sz w:val="20"/>
                <w:szCs w:val="20"/>
                <w:lang w:val="en-US"/>
              </w:rPr>
            </w:pPr>
          </w:p>
        </w:tc>
        <w:tc>
          <w:tcPr>
            <w:tcW w:w="1984" w:type="dxa"/>
            <w:tcBorders>
              <w:bottom w:val="single" w:sz="4" w:space="0" w:color="auto"/>
            </w:tcBorders>
            <w:shd w:val="clear" w:color="auto" w:fill="C6D9F1"/>
            <w:vAlign w:val="center"/>
          </w:tcPr>
          <w:p w14:paraId="7D601B9E" w14:textId="77777777" w:rsidR="009D4550" w:rsidRPr="00275290" w:rsidRDefault="009D4550" w:rsidP="009D4550">
            <w:pPr>
              <w:rPr>
                <w:rFonts w:cs="Arial"/>
                <w:sz w:val="20"/>
                <w:szCs w:val="20"/>
                <w:lang w:val="fr-FR"/>
              </w:rPr>
            </w:pPr>
          </w:p>
        </w:tc>
        <w:tc>
          <w:tcPr>
            <w:tcW w:w="1984" w:type="dxa"/>
            <w:tcBorders>
              <w:bottom w:val="single" w:sz="4" w:space="0" w:color="auto"/>
              <w:right w:val="single" w:sz="4" w:space="0" w:color="auto"/>
            </w:tcBorders>
            <w:shd w:val="clear" w:color="auto" w:fill="C6D9F1"/>
            <w:vAlign w:val="center"/>
          </w:tcPr>
          <w:p w14:paraId="6B107F98" w14:textId="654205B3" w:rsidR="009D4550" w:rsidRPr="00275290" w:rsidRDefault="00D956D4" w:rsidP="009D4550">
            <w:pPr>
              <w:rPr>
                <w:rFonts w:cs="Arial"/>
                <w:bCs/>
                <w:color w:val="000000"/>
                <w:sz w:val="20"/>
                <w:szCs w:val="20"/>
              </w:rPr>
            </w:pPr>
            <w:r>
              <w:rPr>
                <w:rFonts w:cs="Arial"/>
                <w:bCs/>
                <w:color w:val="000000"/>
                <w:sz w:val="20"/>
                <w:szCs w:val="20"/>
              </w:rPr>
              <w:t>1.23</w:t>
            </w:r>
            <w:r w:rsidR="009D4550" w:rsidRPr="00275290">
              <w:rPr>
                <w:rFonts w:cs="Arial"/>
                <w:bCs/>
                <w:color w:val="000000"/>
                <w:sz w:val="20"/>
                <w:szCs w:val="20"/>
              </w:rPr>
              <w:t>E-0</w:t>
            </w:r>
            <w:r>
              <w:rPr>
                <w:rFonts w:cs="Arial"/>
                <w:bCs/>
                <w:color w:val="000000"/>
                <w:sz w:val="20"/>
                <w:szCs w:val="20"/>
              </w:rPr>
              <w:t>2</w:t>
            </w:r>
          </w:p>
        </w:tc>
      </w:tr>
    </w:tbl>
    <w:p w14:paraId="45AD7F5C" w14:textId="77777777" w:rsidR="009D4550" w:rsidRPr="00275290" w:rsidRDefault="009D4550" w:rsidP="009D4550">
      <w:pPr>
        <w:autoSpaceDE w:val="0"/>
        <w:autoSpaceDN w:val="0"/>
        <w:rPr>
          <w:rFonts w:cs="Arial"/>
        </w:rPr>
      </w:pPr>
    </w:p>
    <w:p w14:paraId="50FC915F" w14:textId="77777777" w:rsidR="00633030" w:rsidRPr="00633030" w:rsidRDefault="00633030" w:rsidP="00633030">
      <w:pPr>
        <w:autoSpaceDE w:val="0"/>
        <w:autoSpaceDN w:val="0"/>
        <w:rPr>
          <w:rFonts w:cs="Arial"/>
          <w:b/>
          <w:i/>
          <w:u w:val="single"/>
        </w:rPr>
      </w:pPr>
      <w:r w:rsidRPr="00633030">
        <w:rPr>
          <w:rFonts w:cs="Arial"/>
          <w:b/>
          <w:i/>
          <w:u w:val="single"/>
        </w:rPr>
        <w:t>Injection</w:t>
      </w:r>
    </w:p>
    <w:p w14:paraId="0461BB1D" w14:textId="77777777" w:rsidR="00633030" w:rsidRPr="00633030" w:rsidRDefault="00633030" w:rsidP="00633030">
      <w:pPr>
        <w:autoSpaceDE w:val="0"/>
        <w:autoSpaceDN w:val="0"/>
        <w:rPr>
          <w:rFonts w:cs="Arial"/>
          <w:b/>
          <w:i/>
          <w:u w:val="single"/>
        </w:rPr>
      </w:pPr>
    </w:p>
    <w:p w14:paraId="3453F398" w14:textId="77777777" w:rsidR="00633030" w:rsidRPr="00633030" w:rsidRDefault="00633030" w:rsidP="00633030">
      <w:pPr>
        <w:autoSpaceDE w:val="0"/>
        <w:autoSpaceDN w:val="0"/>
        <w:rPr>
          <w:rFonts w:cs="Arial"/>
        </w:rPr>
      </w:pPr>
      <w:r w:rsidRPr="00633030">
        <w:rPr>
          <w:rFonts w:cs="Arial"/>
        </w:rPr>
        <w:t xml:space="preserve">An injection can be performed in combination with superficial application. </w:t>
      </w:r>
    </w:p>
    <w:p w14:paraId="13B4E091" w14:textId="77777777" w:rsidR="00633030" w:rsidRPr="00633030" w:rsidRDefault="00633030" w:rsidP="00633030">
      <w:pPr>
        <w:autoSpaceDE w:val="0"/>
        <w:autoSpaceDN w:val="0"/>
        <w:rPr>
          <w:rFonts w:cs="Arial"/>
        </w:rPr>
      </w:pPr>
      <w:r w:rsidRPr="00633030">
        <w:rPr>
          <w:rFonts w:cs="Arial"/>
        </w:rPr>
        <w:t>In first step, exposure during this injection phase is determined according to the subsoil treatment model 2, as recommended in the Recommendation no. 6 of the BPC Ad hoc Working Group on Human Exposure</w:t>
      </w:r>
      <w:r w:rsidRPr="00633030">
        <w:rPr>
          <w:vertAlign w:val="superscript"/>
        </w:rPr>
        <w:footnoteReference w:id="21"/>
      </w:r>
      <w:r w:rsidRPr="00633030">
        <w:rPr>
          <w:rFonts w:cs="Arial"/>
        </w:rPr>
        <w:t xml:space="preserve">. </w:t>
      </w:r>
    </w:p>
    <w:p w14:paraId="1D17E60E" w14:textId="77777777" w:rsidR="00633030" w:rsidRPr="00633030" w:rsidRDefault="00633030" w:rsidP="00633030">
      <w:pPr>
        <w:autoSpaceDE w:val="0"/>
        <w:autoSpaceDN w:val="0"/>
        <w:rPr>
          <w:rFonts w:cs="Arial"/>
        </w:rPr>
      </w:pPr>
    </w:p>
    <w:p w14:paraId="38E17696" w14:textId="77777777" w:rsidR="00633030" w:rsidRPr="00633030" w:rsidRDefault="00633030" w:rsidP="00633030">
      <w:pPr>
        <w:autoSpaceDE w:val="0"/>
        <w:autoSpaceDN w:val="0"/>
        <w:rPr>
          <w:rFonts w:cs="Arial"/>
        </w:rPr>
      </w:pPr>
      <w:r w:rsidRPr="00633030">
        <w:rPr>
          <w:rFonts w:cs="Arial"/>
        </w:rPr>
        <w:t>Exposure during the cleaning of equipment has been assessed with the BEAT scenario “</w:t>
      </w:r>
      <w:r w:rsidRPr="00633030">
        <w:rPr>
          <w:rFonts w:cs="Arial"/>
          <w:i/>
        </w:rPr>
        <w:t>Cleaning of the spray equipment</w:t>
      </w:r>
      <w:r w:rsidRPr="00633030">
        <w:rPr>
          <w:rFonts w:cs="Arial"/>
        </w:rPr>
        <w:t>” from TNsG second version of 2007</w:t>
      </w:r>
      <w:r w:rsidRPr="00633030">
        <w:rPr>
          <w:vertAlign w:val="superscript"/>
        </w:rPr>
        <w:footnoteReference w:id="22"/>
      </w:r>
      <w:r w:rsidRPr="00633030">
        <w:rPr>
          <w:rFonts w:cs="Arial"/>
        </w:rPr>
        <w:t>.</w:t>
      </w:r>
    </w:p>
    <w:p w14:paraId="3C8F279E" w14:textId="77777777" w:rsidR="00633030" w:rsidRPr="00633030" w:rsidRDefault="00633030" w:rsidP="00633030">
      <w:pPr>
        <w:autoSpaceDE w:val="0"/>
        <w:rPr>
          <w:rFonts w:cs="Arial"/>
          <w:i/>
          <w:lang w:eastAsia="sv-SE"/>
        </w:rPr>
      </w:pPr>
    </w:p>
    <w:tbl>
      <w:tblPr>
        <w:tblStyle w:val="Grilledutableau1"/>
        <w:tblW w:w="0" w:type="auto"/>
        <w:tblLook w:val="04A0" w:firstRow="1" w:lastRow="0" w:firstColumn="1" w:lastColumn="0" w:noHBand="0" w:noVBand="1"/>
      </w:tblPr>
      <w:tblGrid>
        <w:gridCol w:w="1947"/>
        <w:gridCol w:w="1976"/>
        <w:gridCol w:w="1954"/>
        <w:gridCol w:w="1946"/>
        <w:gridCol w:w="1946"/>
      </w:tblGrid>
      <w:tr w:rsidR="00633030" w:rsidRPr="00EE493F" w14:paraId="0539C6CC" w14:textId="77777777" w:rsidTr="000116E6">
        <w:trPr>
          <w:cantSplit/>
          <w:tblHeader/>
        </w:trPr>
        <w:tc>
          <w:tcPr>
            <w:tcW w:w="1983" w:type="dxa"/>
            <w:vAlign w:val="center"/>
          </w:tcPr>
          <w:p w14:paraId="5AEFAB0B"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Scenario</w:t>
            </w:r>
          </w:p>
        </w:tc>
        <w:tc>
          <w:tcPr>
            <w:tcW w:w="1984" w:type="dxa"/>
            <w:vAlign w:val="center"/>
          </w:tcPr>
          <w:p w14:paraId="3781AC40" w14:textId="77777777" w:rsidR="00633030" w:rsidRPr="00932144" w:rsidRDefault="00633030" w:rsidP="00633030">
            <w:pPr>
              <w:tabs>
                <w:tab w:val="left" w:pos="426"/>
              </w:tabs>
              <w:autoSpaceDE w:val="0"/>
              <w:autoSpaceDN w:val="0"/>
              <w:adjustRightInd w:val="0"/>
              <w:spacing w:before="60" w:after="60"/>
              <w:rPr>
                <w:rFonts w:cs="Arial"/>
                <w:b/>
                <w:sz w:val="20"/>
                <w:szCs w:val="20"/>
              </w:rPr>
            </w:pPr>
            <w:r w:rsidRPr="00EE493F">
              <w:rPr>
                <w:rFonts w:cs="Arial"/>
                <w:b/>
              </w:rPr>
              <w:t>Active substance</w:t>
            </w:r>
          </w:p>
        </w:tc>
        <w:tc>
          <w:tcPr>
            <w:tcW w:w="1984" w:type="dxa"/>
            <w:vAlign w:val="center"/>
          </w:tcPr>
          <w:p w14:paraId="04B9D245"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Inhalation Exposure</w:t>
            </w:r>
          </w:p>
          <w:p w14:paraId="67C44B53"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(mg/kg bw/j)</w:t>
            </w:r>
          </w:p>
        </w:tc>
        <w:tc>
          <w:tcPr>
            <w:tcW w:w="1984" w:type="dxa"/>
            <w:vAlign w:val="center"/>
          </w:tcPr>
          <w:p w14:paraId="708A9A13"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Demal Exposure</w:t>
            </w:r>
          </w:p>
          <w:p w14:paraId="1045AC76"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(mg/kg bw/d)</w:t>
            </w:r>
          </w:p>
        </w:tc>
        <w:tc>
          <w:tcPr>
            <w:tcW w:w="1984" w:type="dxa"/>
            <w:vAlign w:val="center"/>
          </w:tcPr>
          <w:p w14:paraId="5BF5F160"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Total Exposure (mg/kg bw/d)</w:t>
            </w:r>
          </w:p>
        </w:tc>
      </w:tr>
      <w:tr w:rsidR="00633030" w:rsidRPr="00EE493F" w14:paraId="5FEEE6D2" w14:textId="77777777" w:rsidTr="000116E6">
        <w:tc>
          <w:tcPr>
            <w:tcW w:w="9919" w:type="dxa"/>
            <w:gridSpan w:val="5"/>
            <w:shd w:val="clear" w:color="auto" w:fill="BFBFBF"/>
            <w:vAlign w:val="center"/>
          </w:tcPr>
          <w:p w14:paraId="148C2833" w14:textId="6D78885A" w:rsidR="00633030" w:rsidRPr="00932144" w:rsidRDefault="00633030" w:rsidP="00633030">
            <w:pPr>
              <w:rPr>
                <w:rFonts w:cs="Arial"/>
                <w:b/>
                <w:sz w:val="20"/>
                <w:szCs w:val="20"/>
                <w:lang w:val="en-US"/>
              </w:rPr>
            </w:pPr>
            <w:r w:rsidRPr="00EE493F">
              <w:rPr>
                <w:rFonts w:cs="Arial"/>
                <w:b/>
                <w:lang w:val="en-US"/>
              </w:rPr>
              <w:t>Injection  145 g/m</w:t>
            </w:r>
            <w:r w:rsidRPr="00EE493F">
              <w:rPr>
                <w:rFonts w:cs="Arial"/>
                <w:b/>
                <w:vertAlign w:val="superscript"/>
                <w:lang w:val="en-US"/>
              </w:rPr>
              <w:t>2</w:t>
            </w:r>
            <w:r w:rsidRPr="00EE493F">
              <w:rPr>
                <w:rFonts w:cs="Arial"/>
                <w:b/>
                <w:lang w:val="en-US"/>
              </w:rPr>
              <w:t xml:space="preserve"> – with gloves during injection and no PPE during cleaning</w:t>
            </w:r>
          </w:p>
        </w:tc>
      </w:tr>
      <w:tr w:rsidR="00633030" w:rsidRPr="00EE493F" w14:paraId="2DCBE613" w14:textId="77777777" w:rsidTr="000116E6">
        <w:tc>
          <w:tcPr>
            <w:tcW w:w="1983" w:type="dxa"/>
            <w:vAlign w:val="center"/>
          </w:tcPr>
          <w:p w14:paraId="6B19EC44" w14:textId="77777777" w:rsidR="00633030" w:rsidRPr="00932144" w:rsidRDefault="00633030" w:rsidP="00633030">
            <w:pPr>
              <w:rPr>
                <w:rFonts w:cs="Arial"/>
                <w:sz w:val="20"/>
                <w:szCs w:val="20"/>
                <w:lang w:val="fr-FR"/>
              </w:rPr>
            </w:pPr>
            <w:r w:rsidRPr="00EE493F">
              <w:rPr>
                <w:rFonts w:cs="Arial"/>
                <w:lang w:val="fr-FR"/>
              </w:rPr>
              <w:t>M&amp;L</w:t>
            </w:r>
          </w:p>
        </w:tc>
        <w:tc>
          <w:tcPr>
            <w:tcW w:w="7936" w:type="dxa"/>
            <w:gridSpan w:val="4"/>
            <w:vAlign w:val="center"/>
          </w:tcPr>
          <w:p w14:paraId="5C89CEB5" w14:textId="77777777" w:rsidR="00633030" w:rsidRPr="00932144" w:rsidRDefault="00633030" w:rsidP="00633030">
            <w:pPr>
              <w:rPr>
                <w:rFonts w:cs="Arial"/>
                <w:sz w:val="20"/>
                <w:szCs w:val="20"/>
                <w:lang w:val="fr-FR"/>
              </w:rPr>
            </w:pPr>
            <w:r w:rsidRPr="00EE493F">
              <w:rPr>
                <w:rFonts w:cs="Arial"/>
                <w:lang w:val="fr-FR"/>
              </w:rPr>
              <w:t xml:space="preserve">Included in the model </w:t>
            </w:r>
          </w:p>
        </w:tc>
      </w:tr>
      <w:tr w:rsidR="00633030" w:rsidRPr="00EE493F" w14:paraId="321FF8DC" w14:textId="77777777" w:rsidTr="00932144">
        <w:tc>
          <w:tcPr>
            <w:tcW w:w="1983" w:type="dxa"/>
            <w:vMerge w:val="restart"/>
            <w:vAlign w:val="center"/>
          </w:tcPr>
          <w:p w14:paraId="02462519" w14:textId="77777777" w:rsidR="00633030" w:rsidRPr="00932144" w:rsidRDefault="00633030" w:rsidP="00633030">
            <w:pPr>
              <w:rPr>
                <w:rFonts w:cs="Arial"/>
                <w:sz w:val="20"/>
                <w:szCs w:val="20"/>
                <w:lang w:val="en-US"/>
              </w:rPr>
            </w:pPr>
            <w:r w:rsidRPr="00EE493F">
              <w:rPr>
                <w:rFonts w:cs="Arial"/>
                <w:lang w:val="en-US"/>
              </w:rPr>
              <w:t>Product application phase</w:t>
            </w:r>
          </w:p>
        </w:tc>
        <w:tc>
          <w:tcPr>
            <w:tcW w:w="1984" w:type="dxa"/>
            <w:vAlign w:val="center"/>
          </w:tcPr>
          <w:p w14:paraId="5809DA6A" w14:textId="77777777" w:rsidR="00633030" w:rsidRPr="00932144" w:rsidRDefault="00633030" w:rsidP="00633030">
            <w:pPr>
              <w:rPr>
                <w:rFonts w:cs="Arial"/>
                <w:sz w:val="20"/>
                <w:szCs w:val="20"/>
                <w:lang w:val="fr-FR"/>
              </w:rPr>
            </w:pPr>
            <w:r w:rsidRPr="00EE493F">
              <w:rPr>
                <w:rFonts w:cs="Arial"/>
                <w:lang w:val="fr-FR"/>
              </w:rPr>
              <w:t>Cyperméthrine</w:t>
            </w:r>
          </w:p>
        </w:tc>
        <w:tc>
          <w:tcPr>
            <w:tcW w:w="1984" w:type="dxa"/>
            <w:vAlign w:val="center"/>
          </w:tcPr>
          <w:p w14:paraId="0D0D0668" w14:textId="5EA41281" w:rsidR="00633030" w:rsidRPr="00932144" w:rsidRDefault="00633030" w:rsidP="00932144">
            <w:pPr>
              <w:jc w:val="center"/>
              <w:rPr>
                <w:rFonts w:cs="Arial"/>
                <w:sz w:val="20"/>
                <w:szCs w:val="20"/>
                <w:lang w:val="fr-FR"/>
              </w:rPr>
            </w:pPr>
            <w:r w:rsidRPr="00932144">
              <w:rPr>
                <w:rFonts w:cs="Arial"/>
                <w:sz w:val="20"/>
                <w:szCs w:val="20"/>
                <w:lang w:val="fr-FR"/>
              </w:rPr>
              <w:t>1.27E-05</w:t>
            </w:r>
          </w:p>
        </w:tc>
        <w:tc>
          <w:tcPr>
            <w:tcW w:w="1984" w:type="dxa"/>
            <w:vAlign w:val="center"/>
          </w:tcPr>
          <w:p w14:paraId="47BB6B7E" w14:textId="753A3BE4" w:rsidR="00633030" w:rsidRPr="00932144" w:rsidRDefault="00633030" w:rsidP="00932144">
            <w:pPr>
              <w:jc w:val="center"/>
              <w:rPr>
                <w:rFonts w:cs="Arial"/>
                <w:sz w:val="20"/>
                <w:szCs w:val="20"/>
                <w:lang w:val="fr-FR"/>
              </w:rPr>
            </w:pPr>
            <w:r w:rsidRPr="00932144">
              <w:rPr>
                <w:rFonts w:cs="Arial"/>
                <w:sz w:val="20"/>
                <w:szCs w:val="20"/>
                <w:lang w:val="fr-FR"/>
              </w:rPr>
              <w:t>3.07E-03</w:t>
            </w:r>
          </w:p>
        </w:tc>
        <w:tc>
          <w:tcPr>
            <w:tcW w:w="1984" w:type="dxa"/>
            <w:vAlign w:val="center"/>
          </w:tcPr>
          <w:p w14:paraId="7C17A4F3" w14:textId="05014440" w:rsidR="00633030" w:rsidRPr="00932144" w:rsidRDefault="00633030" w:rsidP="00932144">
            <w:pPr>
              <w:jc w:val="center"/>
              <w:rPr>
                <w:rFonts w:cs="Arial"/>
                <w:sz w:val="20"/>
                <w:szCs w:val="20"/>
                <w:lang w:val="fr-FR"/>
              </w:rPr>
            </w:pPr>
            <w:r w:rsidRPr="00932144">
              <w:rPr>
                <w:rFonts w:cs="Arial"/>
                <w:sz w:val="20"/>
                <w:szCs w:val="20"/>
                <w:lang w:val="fr-FR"/>
              </w:rPr>
              <w:t>3.08E-03</w:t>
            </w:r>
          </w:p>
        </w:tc>
      </w:tr>
      <w:tr w:rsidR="00633030" w:rsidRPr="00EE493F" w14:paraId="3A8986AC" w14:textId="77777777" w:rsidTr="00932144">
        <w:tc>
          <w:tcPr>
            <w:tcW w:w="1983" w:type="dxa"/>
            <w:vMerge/>
            <w:vAlign w:val="center"/>
          </w:tcPr>
          <w:p w14:paraId="0F9AF00F" w14:textId="77777777" w:rsidR="00633030" w:rsidRPr="00932144" w:rsidRDefault="00633030" w:rsidP="00633030">
            <w:pPr>
              <w:rPr>
                <w:rFonts w:cs="Arial"/>
                <w:sz w:val="20"/>
                <w:szCs w:val="20"/>
                <w:lang w:val="en-US"/>
              </w:rPr>
            </w:pPr>
          </w:p>
        </w:tc>
        <w:tc>
          <w:tcPr>
            <w:tcW w:w="1984" w:type="dxa"/>
            <w:vAlign w:val="center"/>
          </w:tcPr>
          <w:p w14:paraId="45F824A6" w14:textId="77777777" w:rsidR="00633030" w:rsidRPr="00932144" w:rsidRDefault="00633030" w:rsidP="00633030">
            <w:pPr>
              <w:rPr>
                <w:rFonts w:cs="Arial"/>
                <w:sz w:val="20"/>
                <w:szCs w:val="20"/>
                <w:lang w:val="en-US"/>
              </w:rPr>
            </w:pPr>
            <w:r w:rsidRPr="00EE493F">
              <w:rPr>
                <w:rFonts w:cs="Arial"/>
                <w:lang w:val="en-US"/>
              </w:rPr>
              <w:t>Propiconazole</w:t>
            </w:r>
          </w:p>
        </w:tc>
        <w:tc>
          <w:tcPr>
            <w:tcW w:w="1984" w:type="dxa"/>
            <w:vAlign w:val="center"/>
          </w:tcPr>
          <w:p w14:paraId="5BA2CCCB" w14:textId="66920CE3" w:rsidR="00633030" w:rsidRPr="00932144" w:rsidRDefault="00633030" w:rsidP="00932144">
            <w:pPr>
              <w:jc w:val="center"/>
              <w:rPr>
                <w:rFonts w:cs="Arial"/>
                <w:sz w:val="20"/>
                <w:szCs w:val="20"/>
                <w:lang w:val="fr-FR"/>
              </w:rPr>
            </w:pPr>
            <w:r w:rsidRPr="00932144">
              <w:rPr>
                <w:rFonts w:cs="Arial"/>
                <w:sz w:val="20"/>
                <w:szCs w:val="20"/>
                <w:lang w:val="fr-FR"/>
              </w:rPr>
              <w:t>2.53E-05</w:t>
            </w:r>
          </w:p>
        </w:tc>
        <w:tc>
          <w:tcPr>
            <w:tcW w:w="1984" w:type="dxa"/>
            <w:vAlign w:val="center"/>
          </w:tcPr>
          <w:p w14:paraId="0F977572" w14:textId="3DB6392F" w:rsidR="00633030" w:rsidRPr="00932144" w:rsidRDefault="00633030" w:rsidP="00932144">
            <w:pPr>
              <w:jc w:val="center"/>
              <w:rPr>
                <w:rFonts w:cs="Arial"/>
                <w:sz w:val="20"/>
                <w:szCs w:val="20"/>
                <w:lang w:val="fr-FR"/>
              </w:rPr>
            </w:pPr>
            <w:r w:rsidRPr="00932144">
              <w:rPr>
                <w:rFonts w:cs="Arial"/>
                <w:sz w:val="20"/>
                <w:szCs w:val="20"/>
                <w:lang w:val="fr-FR"/>
              </w:rPr>
              <w:t>4.44E-03</w:t>
            </w:r>
          </w:p>
        </w:tc>
        <w:tc>
          <w:tcPr>
            <w:tcW w:w="1984" w:type="dxa"/>
            <w:vAlign w:val="center"/>
          </w:tcPr>
          <w:p w14:paraId="408146E5" w14:textId="12BC8DA1" w:rsidR="00633030" w:rsidRPr="00932144" w:rsidRDefault="00633030" w:rsidP="00932144">
            <w:pPr>
              <w:jc w:val="center"/>
              <w:rPr>
                <w:rFonts w:cs="Arial"/>
                <w:sz w:val="20"/>
                <w:szCs w:val="20"/>
                <w:lang w:val="fr-FR"/>
              </w:rPr>
            </w:pPr>
            <w:r w:rsidRPr="00932144">
              <w:rPr>
                <w:rFonts w:cs="Arial"/>
                <w:sz w:val="20"/>
                <w:szCs w:val="20"/>
                <w:lang w:val="fr-FR"/>
              </w:rPr>
              <w:t>4.46E-03</w:t>
            </w:r>
          </w:p>
        </w:tc>
      </w:tr>
      <w:tr w:rsidR="00633030" w:rsidRPr="00EE493F" w14:paraId="45E5942F" w14:textId="77777777" w:rsidTr="00932144">
        <w:tc>
          <w:tcPr>
            <w:tcW w:w="1983" w:type="dxa"/>
            <w:vMerge/>
            <w:vAlign w:val="center"/>
          </w:tcPr>
          <w:p w14:paraId="49005943" w14:textId="77777777" w:rsidR="00633030" w:rsidRPr="00932144" w:rsidRDefault="00633030" w:rsidP="00633030">
            <w:pPr>
              <w:rPr>
                <w:rFonts w:cs="Arial"/>
                <w:sz w:val="20"/>
                <w:szCs w:val="20"/>
                <w:lang w:val="en-US"/>
              </w:rPr>
            </w:pPr>
          </w:p>
        </w:tc>
        <w:tc>
          <w:tcPr>
            <w:tcW w:w="1984" w:type="dxa"/>
            <w:vAlign w:val="center"/>
          </w:tcPr>
          <w:p w14:paraId="2D6D44F2" w14:textId="77777777" w:rsidR="00633030" w:rsidRPr="00932144" w:rsidRDefault="00633030" w:rsidP="00633030">
            <w:pPr>
              <w:rPr>
                <w:rFonts w:cs="Arial"/>
                <w:sz w:val="20"/>
                <w:szCs w:val="20"/>
                <w:lang w:val="en-US"/>
              </w:rPr>
            </w:pPr>
            <w:r w:rsidRPr="00EE493F">
              <w:rPr>
                <w:rFonts w:cs="Arial"/>
                <w:lang w:val="en-US"/>
              </w:rPr>
              <w:t xml:space="preserve">Tébuconazole </w:t>
            </w:r>
          </w:p>
        </w:tc>
        <w:tc>
          <w:tcPr>
            <w:tcW w:w="1984" w:type="dxa"/>
            <w:vAlign w:val="center"/>
          </w:tcPr>
          <w:p w14:paraId="53FAB714" w14:textId="05C0D1F9" w:rsidR="00633030" w:rsidRPr="00932144" w:rsidRDefault="00633030" w:rsidP="00932144">
            <w:pPr>
              <w:jc w:val="center"/>
              <w:rPr>
                <w:rFonts w:cs="Arial"/>
                <w:sz w:val="20"/>
                <w:szCs w:val="20"/>
                <w:lang w:val="fr-FR"/>
              </w:rPr>
            </w:pPr>
            <w:r w:rsidRPr="00932144">
              <w:rPr>
                <w:rFonts w:cs="Arial"/>
                <w:sz w:val="20"/>
                <w:szCs w:val="20"/>
                <w:lang w:val="fr-FR"/>
              </w:rPr>
              <w:t>7.92E-06</w:t>
            </w:r>
          </w:p>
        </w:tc>
        <w:tc>
          <w:tcPr>
            <w:tcW w:w="1984" w:type="dxa"/>
            <w:vAlign w:val="center"/>
          </w:tcPr>
          <w:p w14:paraId="544E58D3" w14:textId="6DBB406B" w:rsidR="00633030" w:rsidRPr="00932144" w:rsidRDefault="00633030" w:rsidP="00932144">
            <w:pPr>
              <w:jc w:val="center"/>
              <w:rPr>
                <w:rFonts w:cs="Arial"/>
                <w:sz w:val="20"/>
                <w:szCs w:val="20"/>
                <w:lang w:val="fr-FR"/>
              </w:rPr>
            </w:pPr>
            <w:r w:rsidRPr="00932144">
              <w:rPr>
                <w:rFonts w:cs="Arial"/>
                <w:sz w:val="20"/>
                <w:szCs w:val="20"/>
                <w:lang w:val="fr-FR"/>
              </w:rPr>
              <w:t>1.65E-03</w:t>
            </w:r>
          </w:p>
        </w:tc>
        <w:tc>
          <w:tcPr>
            <w:tcW w:w="1984" w:type="dxa"/>
            <w:vAlign w:val="center"/>
          </w:tcPr>
          <w:p w14:paraId="5CB27955" w14:textId="70435BAE" w:rsidR="00633030" w:rsidRPr="00932144" w:rsidRDefault="00633030" w:rsidP="00932144">
            <w:pPr>
              <w:jc w:val="center"/>
              <w:rPr>
                <w:rFonts w:cs="Arial"/>
                <w:sz w:val="20"/>
                <w:szCs w:val="20"/>
                <w:lang w:val="fr-FR"/>
              </w:rPr>
            </w:pPr>
            <w:r w:rsidRPr="00932144">
              <w:rPr>
                <w:rFonts w:cs="Arial"/>
                <w:sz w:val="20"/>
                <w:szCs w:val="20"/>
                <w:lang w:val="fr-FR"/>
              </w:rPr>
              <w:t>1.66E-03</w:t>
            </w:r>
          </w:p>
        </w:tc>
      </w:tr>
      <w:tr w:rsidR="00633030" w:rsidRPr="00EE493F" w14:paraId="0B83FEAC" w14:textId="77777777" w:rsidTr="00932144">
        <w:tc>
          <w:tcPr>
            <w:tcW w:w="1983" w:type="dxa"/>
            <w:vMerge/>
            <w:vAlign w:val="center"/>
          </w:tcPr>
          <w:p w14:paraId="1372B4E8" w14:textId="77777777" w:rsidR="00633030" w:rsidRPr="00932144" w:rsidRDefault="00633030" w:rsidP="00633030">
            <w:pPr>
              <w:rPr>
                <w:rFonts w:cs="Arial"/>
                <w:sz w:val="20"/>
                <w:szCs w:val="20"/>
                <w:lang w:val="en-US"/>
              </w:rPr>
            </w:pPr>
          </w:p>
        </w:tc>
        <w:tc>
          <w:tcPr>
            <w:tcW w:w="1984" w:type="dxa"/>
            <w:vAlign w:val="center"/>
          </w:tcPr>
          <w:p w14:paraId="3292D5FD" w14:textId="77777777" w:rsidR="00633030" w:rsidRPr="00932144" w:rsidRDefault="00633030" w:rsidP="00633030">
            <w:pPr>
              <w:rPr>
                <w:rFonts w:cs="Arial"/>
                <w:sz w:val="20"/>
                <w:szCs w:val="20"/>
                <w:lang w:val="en-US"/>
              </w:rPr>
            </w:pPr>
            <w:r w:rsidRPr="00EE493F">
              <w:rPr>
                <w:rFonts w:cs="Arial"/>
                <w:lang w:val="en-US"/>
              </w:rPr>
              <w:t>IPBC</w:t>
            </w:r>
          </w:p>
        </w:tc>
        <w:tc>
          <w:tcPr>
            <w:tcW w:w="1984" w:type="dxa"/>
            <w:vAlign w:val="center"/>
          </w:tcPr>
          <w:p w14:paraId="46281D1B" w14:textId="753C50E5" w:rsidR="00633030" w:rsidRPr="00932144" w:rsidRDefault="00633030" w:rsidP="00932144">
            <w:pPr>
              <w:jc w:val="center"/>
              <w:rPr>
                <w:rFonts w:cs="Arial"/>
                <w:sz w:val="20"/>
                <w:szCs w:val="20"/>
                <w:lang w:val="fr-FR"/>
              </w:rPr>
            </w:pPr>
            <w:r w:rsidRPr="00932144">
              <w:rPr>
                <w:rFonts w:cs="Arial"/>
                <w:sz w:val="20"/>
                <w:szCs w:val="20"/>
                <w:lang w:val="fr-FR"/>
              </w:rPr>
              <w:t>7.92E-06</w:t>
            </w:r>
          </w:p>
        </w:tc>
        <w:tc>
          <w:tcPr>
            <w:tcW w:w="1984" w:type="dxa"/>
            <w:vAlign w:val="center"/>
          </w:tcPr>
          <w:p w14:paraId="0BF1789E" w14:textId="762B1101" w:rsidR="00633030" w:rsidRPr="00932144" w:rsidRDefault="00633030" w:rsidP="00932144">
            <w:pPr>
              <w:jc w:val="center"/>
              <w:rPr>
                <w:rFonts w:cs="Arial"/>
                <w:sz w:val="20"/>
                <w:szCs w:val="20"/>
                <w:lang w:val="fr-FR"/>
              </w:rPr>
            </w:pPr>
            <w:r w:rsidRPr="00932144">
              <w:rPr>
                <w:rFonts w:cs="Arial"/>
                <w:sz w:val="20"/>
                <w:szCs w:val="20"/>
                <w:lang w:val="fr-FR"/>
              </w:rPr>
              <w:t>4.00E-03</w:t>
            </w:r>
          </w:p>
        </w:tc>
        <w:tc>
          <w:tcPr>
            <w:tcW w:w="1984" w:type="dxa"/>
            <w:vAlign w:val="center"/>
          </w:tcPr>
          <w:p w14:paraId="49ACF6C7" w14:textId="21C2F5DB" w:rsidR="00633030" w:rsidRPr="00932144" w:rsidRDefault="00633030" w:rsidP="00932144">
            <w:pPr>
              <w:jc w:val="center"/>
              <w:rPr>
                <w:rFonts w:cs="Arial"/>
                <w:sz w:val="20"/>
                <w:szCs w:val="20"/>
                <w:lang w:val="fr-FR"/>
              </w:rPr>
            </w:pPr>
            <w:r w:rsidRPr="00932144">
              <w:rPr>
                <w:rFonts w:cs="Arial"/>
                <w:sz w:val="20"/>
                <w:szCs w:val="20"/>
                <w:lang w:val="fr-FR"/>
              </w:rPr>
              <w:t>4.01E-03</w:t>
            </w:r>
          </w:p>
        </w:tc>
      </w:tr>
      <w:tr w:rsidR="00633030" w:rsidRPr="00EE493F" w14:paraId="6036CDEF" w14:textId="77777777" w:rsidTr="00932144">
        <w:tc>
          <w:tcPr>
            <w:tcW w:w="1983" w:type="dxa"/>
            <w:vMerge w:val="restart"/>
            <w:vAlign w:val="center"/>
          </w:tcPr>
          <w:p w14:paraId="61CDBFCF" w14:textId="77777777" w:rsidR="00633030" w:rsidRPr="00932144" w:rsidRDefault="00633030" w:rsidP="00633030">
            <w:pPr>
              <w:rPr>
                <w:rFonts w:cs="Arial"/>
                <w:sz w:val="20"/>
                <w:szCs w:val="20"/>
                <w:lang w:val="en-US"/>
              </w:rPr>
            </w:pPr>
            <w:r w:rsidRPr="00EE493F">
              <w:rPr>
                <w:rFonts w:cs="Arial"/>
                <w:lang w:val="en-US"/>
              </w:rPr>
              <w:t xml:space="preserve">Cleaning of the equipment </w:t>
            </w:r>
          </w:p>
        </w:tc>
        <w:tc>
          <w:tcPr>
            <w:tcW w:w="1984" w:type="dxa"/>
            <w:vAlign w:val="center"/>
          </w:tcPr>
          <w:p w14:paraId="2D44524D" w14:textId="77777777" w:rsidR="00633030" w:rsidRPr="00932144" w:rsidRDefault="00633030" w:rsidP="00633030">
            <w:pPr>
              <w:rPr>
                <w:rFonts w:cs="Arial"/>
                <w:sz w:val="20"/>
                <w:szCs w:val="20"/>
                <w:lang w:val="fr-FR"/>
              </w:rPr>
            </w:pPr>
            <w:r w:rsidRPr="00EE493F">
              <w:rPr>
                <w:rFonts w:cs="Arial"/>
                <w:lang w:val="fr-FR"/>
              </w:rPr>
              <w:t>Cyperméthrine</w:t>
            </w:r>
          </w:p>
        </w:tc>
        <w:tc>
          <w:tcPr>
            <w:tcW w:w="1984" w:type="dxa"/>
            <w:vAlign w:val="center"/>
          </w:tcPr>
          <w:p w14:paraId="31160F3E" w14:textId="39B78050" w:rsidR="00633030" w:rsidRPr="00932144" w:rsidRDefault="00633030" w:rsidP="00932144">
            <w:pPr>
              <w:jc w:val="center"/>
              <w:rPr>
                <w:rFonts w:cs="Arial"/>
                <w:sz w:val="20"/>
                <w:szCs w:val="20"/>
                <w:lang w:val="fr-FR"/>
              </w:rPr>
            </w:pPr>
            <w:r w:rsidRPr="00932144">
              <w:rPr>
                <w:rFonts w:cs="Arial"/>
                <w:lang w:val="fr-FR"/>
              </w:rPr>
              <w:t>NA</w:t>
            </w:r>
          </w:p>
        </w:tc>
        <w:tc>
          <w:tcPr>
            <w:tcW w:w="1984" w:type="dxa"/>
            <w:vAlign w:val="center"/>
          </w:tcPr>
          <w:p w14:paraId="36538B00" w14:textId="5FA95812" w:rsidR="00633030" w:rsidRPr="00932144" w:rsidRDefault="00633030" w:rsidP="00932144">
            <w:pPr>
              <w:jc w:val="center"/>
              <w:rPr>
                <w:rFonts w:cs="Arial"/>
                <w:sz w:val="20"/>
                <w:szCs w:val="20"/>
                <w:lang w:val="fr-FR"/>
              </w:rPr>
            </w:pPr>
            <w:r w:rsidRPr="00932144">
              <w:rPr>
                <w:rFonts w:cs="Arial"/>
                <w:sz w:val="20"/>
                <w:szCs w:val="20"/>
                <w:lang w:val="fr-FR"/>
              </w:rPr>
              <w:t>2.65E-03</w:t>
            </w:r>
          </w:p>
        </w:tc>
        <w:tc>
          <w:tcPr>
            <w:tcW w:w="1984" w:type="dxa"/>
            <w:vAlign w:val="center"/>
          </w:tcPr>
          <w:p w14:paraId="3E0851CC" w14:textId="30E19DF0" w:rsidR="00633030" w:rsidRPr="00932144" w:rsidRDefault="00633030" w:rsidP="00932144">
            <w:pPr>
              <w:jc w:val="center"/>
              <w:rPr>
                <w:rFonts w:cs="Arial"/>
                <w:sz w:val="20"/>
                <w:szCs w:val="20"/>
                <w:lang w:val="fr-FR"/>
              </w:rPr>
            </w:pPr>
            <w:r w:rsidRPr="00932144">
              <w:rPr>
                <w:rFonts w:cs="Arial"/>
                <w:sz w:val="20"/>
                <w:szCs w:val="20"/>
                <w:lang w:val="fr-FR"/>
              </w:rPr>
              <w:t>2.</w:t>
            </w:r>
            <w:r w:rsidR="00042983">
              <w:rPr>
                <w:rFonts w:cs="Arial"/>
                <w:sz w:val="20"/>
                <w:szCs w:val="20"/>
                <w:lang w:val="fr-FR"/>
              </w:rPr>
              <w:t>46</w:t>
            </w:r>
            <w:r w:rsidRPr="00932144">
              <w:rPr>
                <w:rFonts w:cs="Arial"/>
                <w:sz w:val="20"/>
                <w:szCs w:val="20"/>
                <w:lang w:val="fr-FR"/>
              </w:rPr>
              <w:t>E-03</w:t>
            </w:r>
          </w:p>
        </w:tc>
      </w:tr>
      <w:tr w:rsidR="00633030" w:rsidRPr="00EE493F" w14:paraId="4EC85145" w14:textId="77777777" w:rsidTr="00932144">
        <w:tc>
          <w:tcPr>
            <w:tcW w:w="1983" w:type="dxa"/>
            <w:vMerge/>
            <w:vAlign w:val="center"/>
          </w:tcPr>
          <w:p w14:paraId="318726F6" w14:textId="77777777" w:rsidR="00633030" w:rsidRPr="00932144" w:rsidRDefault="00633030" w:rsidP="00633030">
            <w:pPr>
              <w:rPr>
                <w:rFonts w:cs="Arial"/>
                <w:sz w:val="20"/>
                <w:szCs w:val="20"/>
                <w:lang w:val="fr-FR"/>
              </w:rPr>
            </w:pPr>
          </w:p>
        </w:tc>
        <w:tc>
          <w:tcPr>
            <w:tcW w:w="1984" w:type="dxa"/>
            <w:vAlign w:val="center"/>
          </w:tcPr>
          <w:p w14:paraId="28EE7CBE" w14:textId="77777777" w:rsidR="00633030" w:rsidRPr="00932144" w:rsidRDefault="00633030" w:rsidP="00633030">
            <w:pPr>
              <w:rPr>
                <w:rFonts w:cs="Arial"/>
                <w:sz w:val="20"/>
                <w:szCs w:val="20"/>
                <w:lang w:val="en-US"/>
              </w:rPr>
            </w:pPr>
            <w:r w:rsidRPr="00EE493F">
              <w:rPr>
                <w:rFonts w:cs="Arial"/>
                <w:lang w:val="en-US"/>
              </w:rPr>
              <w:t>Propiconazole</w:t>
            </w:r>
          </w:p>
        </w:tc>
        <w:tc>
          <w:tcPr>
            <w:tcW w:w="1984" w:type="dxa"/>
            <w:vAlign w:val="center"/>
          </w:tcPr>
          <w:p w14:paraId="6034428A" w14:textId="4FC24059" w:rsidR="00633030" w:rsidRPr="00932144" w:rsidRDefault="00633030" w:rsidP="00932144">
            <w:pPr>
              <w:jc w:val="center"/>
              <w:rPr>
                <w:rFonts w:cs="Arial"/>
                <w:sz w:val="20"/>
                <w:szCs w:val="20"/>
                <w:lang w:val="fr-FR"/>
              </w:rPr>
            </w:pPr>
            <w:r w:rsidRPr="00932144">
              <w:rPr>
                <w:rFonts w:cs="Arial"/>
                <w:lang w:val="fr-FR"/>
              </w:rPr>
              <w:t>NA</w:t>
            </w:r>
          </w:p>
        </w:tc>
        <w:tc>
          <w:tcPr>
            <w:tcW w:w="1984" w:type="dxa"/>
            <w:vAlign w:val="center"/>
          </w:tcPr>
          <w:p w14:paraId="4FE986D7" w14:textId="6CBF2403" w:rsidR="00633030" w:rsidRPr="00932144" w:rsidRDefault="00633030" w:rsidP="00932144">
            <w:pPr>
              <w:jc w:val="center"/>
              <w:rPr>
                <w:rFonts w:cs="Arial"/>
                <w:sz w:val="20"/>
                <w:szCs w:val="20"/>
                <w:lang w:val="fr-FR"/>
              </w:rPr>
            </w:pPr>
            <w:r w:rsidRPr="00932144">
              <w:rPr>
                <w:rFonts w:cs="Arial"/>
                <w:sz w:val="20"/>
                <w:szCs w:val="20"/>
                <w:lang w:val="fr-FR"/>
              </w:rPr>
              <w:t>3.82E-03</w:t>
            </w:r>
          </w:p>
        </w:tc>
        <w:tc>
          <w:tcPr>
            <w:tcW w:w="1984" w:type="dxa"/>
            <w:vAlign w:val="center"/>
          </w:tcPr>
          <w:p w14:paraId="4CE6D6B9" w14:textId="5A74C7F8" w:rsidR="00633030" w:rsidRPr="00932144" w:rsidRDefault="00633030" w:rsidP="00932144">
            <w:pPr>
              <w:jc w:val="center"/>
              <w:rPr>
                <w:rFonts w:cs="Arial"/>
                <w:sz w:val="20"/>
                <w:szCs w:val="20"/>
                <w:lang w:val="fr-FR"/>
              </w:rPr>
            </w:pPr>
            <w:r w:rsidRPr="00932144">
              <w:rPr>
                <w:rFonts w:cs="Arial"/>
                <w:sz w:val="20"/>
                <w:szCs w:val="20"/>
                <w:lang w:val="fr-FR"/>
              </w:rPr>
              <w:t>3.</w:t>
            </w:r>
            <w:r w:rsidR="00042983">
              <w:rPr>
                <w:rFonts w:cs="Arial"/>
                <w:sz w:val="20"/>
                <w:szCs w:val="20"/>
                <w:lang w:val="fr-FR"/>
              </w:rPr>
              <w:t>56</w:t>
            </w:r>
            <w:r w:rsidRPr="00932144">
              <w:rPr>
                <w:rFonts w:cs="Arial"/>
                <w:sz w:val="20"/>
                <w:szCs w:val="20"/>
                <w:lang w:val="fr-FR"/>
              </w:rPr>
              <w:t>E-03</w:t>
            </w:r>
          </w:p>
        </w:tc>
      </w:tr>
      <w:tr w:rsidR="00633030" w:rsidRPr="00EE493F" w14:paraId="3BB6F2E2" w14:textId="77777777" w:rsidTr="00932144">
        <w:tc>
          <w:tcPr>
            <w:tcW w:w="1983" w:type="dxa"/>
            <w:vMerge/>
            <w:vAlign w:val="center"/>
          </w:tcPr>
          <w:p w14:paraId="75E2AAA4" w14:textId="77777777" w:rsidR="00633030" w:rsidRPr="00932144" w:rsidRDefault="00633030" w:rsidP="00633030">
            <w:pPr>
              <w:rPr>
                <w:rFonts w:cs="Arial"/>
                <w:sz w:val="20"/>
                <w:szCs w:val="20"/>
                <w:lang w:val="fr-FR"/>
              </w:rPr>
            </w:pPr>
          </w:p>
        </w:tc>
        <w:tc>
          <w:tcPr>
            <w:tcW w:w="1984" w:type="dxa"/>
            <w:tcBorders>
              <w:bottom w:val="single" w:sz="4" w:space="0" w:color="auto"/>
            </w:tcBorders>
            <w:vAlign w:val="center"/>
          </w:tcPr>
          <w:p w14:paraId="13B948F9" w14:textId="77777777" w:rsidR="00633030" w:rsidRPr="00932144" w:rsidRDefault="00633030" w:rsidP="00633030">
            <w:pPr>
              <w:rPr>
                <w:rFonts w:cs="Arial"/>
                <w:sz w:val="20"/>
                <w:szCs w:val="20"/>
                <w:lang w:val="en-US"/>
              </w:rPr>
            </w:pPr>
            <w:r w:rsidRPr="00EE493F">
              <w:rPr>
                <w:rFonts w:cs="Arial"/>
                <w:lang w:val="en-US"/>
              </w:rPr>
              <w:t xml:space="preserve">Tébuconazole </w:t>
            </w:r>
          </w:p>
        </w:tc>
        <w:tc>
          <w:tcPr>
            <w:tcW w:w="1984" w:type="dxa"/>
            <w:tcBorders>
              <w:bottom w:val="single" w:sz="4" w:space="0" w:color="auto"/>
            </w:tcBorders>
            <w:vAlign w:val="center"/>
          </w:tcPr>
          <w:p w14:paraId="46312171" w14:textId="6A2B7484" w:rsidR="00633030" w:rsidRPr="00932144" w:rsidRDefault="00633030" w:rsidP="00932144">
            <w:pPr>
              <w:jc w:val="center"/>
              <w:rPr>
                <w:rFonts w:cs="Arial"/>
                <w:sz w:val="20"/>
                <w:szCs w:val="20"/>
                <w:lang w:val="fr-FR"/>
              </w:rPr>
            </w:pPr>
            <w:r w:rsidRPr="00932144">
              <w:rPr>
                <w:rFonts w:cs="Arial"/>
                <w:lang w:val="fr-FR"/>
              </w:rPr>
              <w:t>NA</w:t>
            </w:r>
          </w:p>
        </w:tc>
        <w:tc>
          <w:tcPr>
            <w:tcW w:w="1984" w:type="dxa"/>
            <w:tcBorders>
              <w:bottom w:val="single" w:sz="4" w:space="0" w:color="auto"/>
            </w:tcBorders>
            <w:vAlign w:val="center"/>
          </w:tcPr>
          <w:p w14:paraId="65DCD39A" w14:textId="39D9CF2A" w:rsidR="00633030" w:rsidRPr="00932144" w:rsidRDefault="00633030" w:rsidP="00932144">
            <w:pPr>
              <w:jc w:val="center"/>
              <w:rPr>
                <w:rFonts w:cs="Arial"/>
                <w:sz w:val="20"/>
                <w:szCs w:val="20"/>
                <w:lang w:val="fr-FR"/>
              </w:rPr>
            </w:pPr>
            <w:r w:rsidRPr="00932144">
              <w:rPr>
                <w:rFonts w:cs="Arial"/>
                <w:sz w:val="20"/>
                <w:szCs w:val="20"/>
                <w:lang w:val="fr-FR"/>
              </w:rPr>
              <w:t>1.42E-03</w:t>
            </w:r>
          </w:p>
        </w:tc>
        <w:tc>
          <w:tcPr>
            <w:tcW w:w="1984" w:type="dxa"/>
            <w:tcBorders>
              <w:bottom w:val="single" w:sz="4" w:space="0" w:color="auto"/>
            </w:tcBorders>
            <w:vAlign w:val="center"/>
          </w:tcPr>
          <w:p w14:paraId="63AE95D5" w14:textId="4D284F62" w:rsidR="00633030" w:rsidRPr="00932144" w:rsidRDefault="00633030" w:rsidP="00932144">
            <w:pPr>
              <w:jc w:val="center"/>
              <w:rPr>
                <w:rFonts w:cs="Arial"/>
                <w:sz w:val="20"/>
                <w:szCs w:val="20"/>
                <w:lang w:val="fr-FR"/>
              </w:rPr>
            </w:pPr>
            <w:r w:rsidRPr="00932144">
              <w:rPr>
                <w:rFonts w:cs="Arial"/>
                <w:sz w:val="20"/>
                <w:szCs w:val="20"/>
                <w:lang w:val="fr-FR"/>
              </w:rPr>
              <w:t>1.</w:t>
            </w:r>
            <w:r w:rsidR="00042983">
              <w:rPr>
                <w:rFonts w:cs="Arial"/>
                <w:sz w:val="20"/>
                <w:szCs w:val="20"/>
                <w:lang w:val="fr-FR"/>
              </w:rPr>
              <w:t>33</w:t>
            </w:r>
            <w:r w:rsidRPr="00932144">
              <w:rPr>
                <w:rFonts w:cs="Arial"/>
                <w:sz w:val="20"/>
                <w:szCs w:val="20"/>
                <w:lang w:val="fr-FR"/>
              </w:rPr>
              <w:t>E-03</w:t>
            </w:r>
          </w:p>
        </w:tc>
      </w:tr>
      <w:tr w:rsidR="00633030" w:rsidRPr="00EE493F" w14:paraId="1787DDE5" w14:textId="77777777" w:rsidTr="00932144">
        <w:tc>
          <w:tcPr>
            <w:tcW w:w="1983" w:type="dxa"/>
            <w:vMerge/>
            <w:tcBorders>
              <w:bottom w:val="single" w:sz="4" w:space="0" w:color="auto"/>
            </w:tcBorders>
            <w:vAlign w:val="center"/>
          </w:tcPr>
          <w:p w14:paraId="74908E28" w14:textId="77777777" w:rsidR="00633030" w:rsidRPr="00932144" w:rsidRDefault="00633030" w:rsidP="00633030">
            <w:pPr>
              <w:rPr>
                <w:rFonts w:cs="Arial"/>
                <w:sz w:val="20"/>
                <w:szCs w:val="20"/>
                <w:lang w:val="fr-FR"/>
              </w:rPr>
            </w:pPr>
          </w:p>
        </w:tc>
        <w:tc>
          <w:tcPr>
            <w:tcW w:w="1984" w:type="dxa"/>
            <w:tcBorders>
              <w:bottom w:val="single" w:sz="4" w:space="0" w:color="auto"/>
            </w:tcBorders>
            <w:vAlign w:val="center"/>
          </w:tcPr>
          <w:p w14:paraId="68AA8E5D" w14:textId="77777777" w:rsidR="00633030" w:rsidRPr="00932144" w:rsidRDefault="00633030" w:rsidP="00633030">
            <w:pPr>
              <w:rPr>
                <w:rFonts w:cs="Arial"/>
                <w:sz w:val="20"/>
                <w:szCs w:val="20"/>
                <w:lang w:val="en-US"/>
              </w:rPr>
            </w:pPr>
            <w:r w:rsidRPr="00EE493F">
              <w:rPr>
                <w:rFonts w:cs="Arial"/>
                <w:lang w:val="en-US"/>
              </w:rPr>
              <w:t>IPBC</w:t>
            </w:r>
          </w:p>
        </w:tc>
        <w:tc>
          <w:tcPr>
            <w:tcW w:w="1984" w:type="dxa"/>
            <w:tcBorders>
              <w:bottom w:val="single" w:sz="4" w:space="0" w:color="auto"/>
            </w:tcBorders>
            <w:vAlign w:val="center"/>
          </w:tcPr>
          <w:p w14:paraId="72246CF5" w14:textId="2021D228" w:rsidR="00633030" w:rsidRPr="00932144" w:rsidRDefault="00633030" w:rsidP="00932144">
            <w:pPr>
              <w:jc w:val="center"/>
              <w:rPr>
                <w:rFonts w:cs="Arial"/>
                <w:sz w:val="20"/>
                <w:szCs w:val="20"/>
                <w:lang w:val="fr-FR"/>
              </w:rPr>
            </w:pPr>
            <w:r w:rsidRPr="00932144">
              <w:rPr>
                <w:rFonts w:cs="Arial"/>
                <w:lang w:val="fr-FR"/>
              </w:rPr>
              <w:t>NA</w:t>
            </w:r>
          </w:p>
        </w:tc>
        <w:tc>
          <w:tcPr>
            <w:tcW w:w="1984" w:type="dxa"/>
            <w:tcBorders>
              <w:bottom w:val="single" w:sz="4" w:space="0" w:color="auto"/>
            </w:tcBorders>
            <w:vAlign w:val="center"/>
          </w:tcPr>
          <w:p w14:paraId="7A74F7C6" w14:textId="3211F1C7" w:rsidR="00633030" w:rsidRPr="00932144" w:rsidRDefault="00633030" w:rsidP="00932144">
            <w:pPr>
              <w:jc w:val="center"/>
              <w:rPr>
                <w:rFonts w:cs="Arial"/>
                <w:sz w:val="20"/>
                <w:szCs w:val="20"/>
                <w:lang w:val="fr-FR"/>
              </w:rPr>
            </w:pPr>
            <w:r w:rsidRPr="00932144">
              <w:rPr>
                <w:rFonts w:cs="Arial"/>
                <w:sz w:val="20"/>
                <w:szCs w:val="20"/>
                <w:lang w:val="fr-FR"/>
              </w:rPr>
              <w:t>3.45E-03</w:t>
            </w:r>
          </w:p>
        </w:tc>
        <w:tc>
          <w:tcPr>
            <w:tcW w:w="1984" w:type="dxa"/>
            <w:tcBorders>
              <w:bottom w:val="single" w:sz="4" w:space="0" w:color="auto"/>
            </w:tcBorders>
            <w:vAlign w:val="center"/>
          </w:tcPr>
          <w:p w14:paraId="74526209" w14:textId="1E7A37B9" w:rsidR="00633030" w:rsidRPr="00932144" w:rsidRDefault="00633030" w:rsidP="00932144">
            <w:pPr>
              <w:jc w:val="center"/>
              <w:rPr>
                <w:rFonts w:cs="Arial"/>
                <w:sz w:val="20"/>
                <w:szCs w:val="20"/>
                <w:lang w:val="fr-FR"/>
              </w:rPr>
            </w:pPr>
            <w:r w:rsidRPr="00932144">
              <w:rPr>
                <w:rFonts w:cs="Arial"/>
                <w:sz w:val="20"/>
                <w:szCs w:val="20"/>
                <w:lang w:val="fr-FR"/>
              </w:rPr>
              <w:t>3.</w:t>
            </w:r>
            <w:r w:rsidR="00042983">
              <w:rPr>
                <w:rFonts w:cs="Arial"/>
                <w:sz w:val="20"/>
                <w:szCs w:val="20"/>
                <w:lang w:val="fr-FR"/>
              </w:rPr>
              <w:t>21</w:t>
            </w:r>
            <w:r w:rsidRPr="00932144">
              <w:rPr>
                <w:rFonts w:cs="Arial"/>
                <w:sz w:val="20"/>
                <w:szCs w:val="20"/>
                <w:lang w:val="fr-FR"/>
              </w:rPr>
              <w:t>E-03</w:t>
            </w:r>
          </w:p>
        </w:tc>
      </w:tr>
      <w:tr w:rsidR="00633030" w:rsidRPr="00EE493F" w14:paraId="28D7357D" w14:textId="77777777" w:rsidTr="00932144">
        <w:tc>
          <w:tcPr>
            <w:tcW w:w="1983" w:type="dxa"/>
            <w:vMerge w:val="restart"/>
            <w:tcBorders>
              <w:top w:val="single" w:sz="4" w:space="0" w:color="auto"/>
              <w:left w:val="single" w:sz="4" w:space="0" w:color="auto"/>
            </w:tcBorders>
            <w:shd w:val="clear" w:color="auto" w:fill="C6D9F1"/>
            <w:vAlign w:val="center"/>
          </w:tcPr>
          <w:p w14:paraId="52585FF3" w14:textId="77777777" w:rsidR="00633030" w:rsidRPr="00932144" w:rsidRDefault="00633030" w:rsidP="00633030">
            <w:pPr>
              <w:rPr>
                <w:rFonts w:cs="Arial"/>
                <w:sz w:val="20"/>
                <w:szCs w:val="20"/>
                <w:lang w:val="fr-FR"/>
              </w:rPr>
            </w:pPr>
            <w:r w:rsidRPr="00EE493F">
              <w:rPr>
                <w:rFonts w:cs="Arial"/>
                <w:lang w:val="fr-FR"/>
              </w:rPr>
              <w:t>Appli + cleaning</w:t>
            </w:r>
          </w:p>
        </w:tc>
        <w:tc>
          <w:tcPr>
            <w:tcW w:w="1984" w:type="dxa"/>
            <w:tcBorders>
              <w:top w:val="single" w:sz="4" w:space="0" w:color="auto"/>
            </w:tcBorders>
            <w:shd w:val="clear" w:color="auto" w:fill="C6D9F1"/>
            <w:vAlign w:val="center"/>
          </w:tcPr>
          <w:p w14:paraId="2365CB3D" w14:textId="77777777" w:rsidR="00633030" w:rsidRPr="00932144" w:rsidRDefault="00633030" w:rsidP="00633030">
            <w:pPr>
              <w:rPr>
                <w:rFonts w:cs="Arial"/>
                <w:sz w:val="20"/>
                <w:szCs w:val="20"/>
                <w:lang w:val="fr-FR"/>
              </w:rPr>
            </w:pPr>
            <w:r w:rsidRPr="00EE493F">
              <w:rPr>
                <w:rFonts w:cs="Arial"/>
                <w:lang w:val="fr-FR"/>
              </w:rPr>
              <w:t>Cyperméthrine</w:t>
            </w:r>
          </w:p>
        </w:tc>
        <w:tc>
          <w:tcPr>
            <w:tcW w:w="1984" w:type="dxa"/>
            <w:tcBorders>
              <w:top w:val="single" w:sz="4" w:space="0" w:color="auto"/>
            </w:tcBorders>
            <w:shd w:val="clear" w:color="auto" w:fill="C6D9F1"/>
            <w:vAlign w:val="center"/>
          </w:tcPr>
          <w:p w14:paraId="1332B476" w14:textId="6DB062C6" w:rsidR="00633030" w:rsidRPr="00932144" w:rsidRDefault="00633030" w:rsidP="00932144">
            <w:pPr>
              <w:jc w:val="center"/>
              <w:rPr>
                <w:rFonts w:cs="Arial"/>
                <w:sz w:val="20"/>
                <w:szCs w:val="20"/>
                <w:lang w:val="fr-FR"/>
              </w:rPr>
            </w:pPr>
            <w:r w:rsidRPr="00932144">
              <w:rPr>
                <w:rFonts w:cs="Arial"/>
                <w:lang w:val="fr-FR"/>
              </w:rPr>
              <w:t>1.27E-05</w:t>
            </w:r>
          </w:p>
        </w:tc>
        <w:tc>
          <w:tcPr>
            <w:tcW w:w="1984" w:type="dxa"/>
            <w:tcBorders>
              <w:top w:val="single" w:sz="4" w:space="0" w:color="auto"/>
            </w:tcBorders>
            <w:shd w:val="clear" w:color="auto" w:fill="C6D9F1"/>
            <w:vAlign w:val="center"/>
          </w:tcPr>
          <w:p w14:paraId="1B41C96B" w14:textId="7025D886" w:rsidR="00633030" w:rsidRPr="00932144" w:rsidRDefault="000C5FB6" w:rsidP="00932144">
            <w:pPr>
              <w:jc w:val="center"/>
              <w:rPr>
                <w:rFonts w:cs="Arial"/>
                <w:sz w:val="20"/>
                <w:szCs w:val="20"/>
                <w:lang w:val="fr-FR"/>
              </w:rPr>
            </w:pPr>
            <w:r w:rsidRPr="00932144">
              <w:rPr>
                <w:rFonts w:cs="Arial"/>
                <w:lang w:val="fr-FR"/>
              </w:rPr>
              <w:t>5.72E-03</w:t>
            </w:r>
          </w:p>
        </w:tc>
        <w:tc>
          <w:tcPr>
            <w:tcW w:w="1984" w:type="dxa"/>
            <w:tcBorders>
              <w:top w:val="single" w:sz="4" w:space="0" w:color="auto"/>
              <w:right w:val="single" w:sz="4" w:space="0" w:color="auto"/>
            </w:tcBorders>
            <w:shd w:val="clear" w:color="auto" w:fill="C6D9F1"/>
            <w:vAlign w:val="center"/>
          </w:tcPr>
          <w:p w14:paraId="45D8CA57" w14:textId="51B874DF" w:rsidR="00633030" w:rsidRPr="00932144" w:rsidRDefault="000C5FB6" w:rsidP="00932144">
            <w:pPr>
              <w:jc w:val="center"/>
              <w:rPr>
                <w:rFonts w:cs="Arial"/>
                <w:sz w:val="20"/>
                <w:szCs w:val="20"/>
                <w:lang w:val="fr-FR"/>
              </w:rPr>
            </w:pPr>
            <w:r w:rsidRPr="00932144">
              <w:rPr>
                <w:rFonts w:cs="Arial"/>
                <w:lang w:val="fr-FR"/>
              </w:rPr>
              <w:t>5.</w:t>
            </w:r>
            <w:r w:rsidR="00042983">
              <w:rPr>
                <w:rFonts w:cs="Arial"/>
                <w:lang w:val="fr-FR"/>
              </w:rPr>
              <w:t>55</w:t>
            </w:r>
            <w:r w:rsidRPr="00932144">
              <w:rPr>
                <w:rFonts w:cs="Arial"/>
                <w:lang w:val="fr-FR"/>
              </w:rPr>
              <w:t>E-03</w:t>
            </w:r>
          </w:p>
        </w:tc>
      </w:tr>
      <w:tr w:rsidR="00633030" w:rsidRPr="00EE493F" w14:paraId="153B8F7B" w14:textId="77777777" w:rsidTr="00932144">
        <w:tc>
          <w:tcPr>
            <w:tcW w:w="1983" w:type="dxa"/>
            <w:vMerge/>
            <w:tcBorders>
              <w:left w:val="single" w:sz="4" w:space="0" w:color="auto"/>
            </w:tcBorders>
            <w:shd w:val="clear" w:color="auto" w:fill="C6D9F1"/>
            <w:vAlign w:val="center"/>
          </w:tcPr>
          <w:p w14:paraId="632BB3A1" w14:textId="77777777" w:rsidR="00633030" w:rsidRPr="00932144" w:rsidRDefault="00633030" w:rsidP="00633030">
            <w:pPr>
              <w:rPr>
                <w:rFonts w:cs="Arial"/>
                <w:sz w:val="20"/>
                <w:szCs w:val="20"/>
                <w:lang w:val="fr-FR"/>
              </w:rPr>
            </w:pPr>
          </w:p>
        </w:tc>
        <w:tc>
          <w:tcPr>
            <w:tcW w:w="1984" w:type="dxa"/>
            <w:shd w:val="clear" w:color="auto" w:fill="C6D9F1"/>
            <w:vAlign w:val="center"/>
          </w:tcPr>
          <w:p w14:paraId="1E9722AC" w14:textId="77777777" w:rsidR="00633030" w:rsidRPr="00932144" w:rsidRDefault="00633030" w:rsidP="00633030">
            <w:pPr>
              <w:rPr>
                <w:rFonts w:cs="Arial"/>
                <w:sz w:val="20"/>
                <w:szCs w:val="20"/>
                <w:lang w:val="en-US"/>
              </w:rPr>
            </w:pPr>
            <w:r w:rsidRPr="00EE493F">
              <w:rPr>
                <w:rFonts w:cs="Arial"/>
                <w:lang w:val="en-US"/>
              </w:rPr>
              <w:t>Propiconazole</w:t>
            </w:r>
          </w:p>
        </w:tc>
        <w:tc>
          <w:tcPr>
            <w:tcW w:w="1984" w:type="dxa"/>
            <w:shd w:val="clear" w:color="auto" w:fill="C6D9F1"/>
            <w:vAlign w:val="center"/>
          </w:tcPr>
          <w:p w14:paraId="2719EBA4" w14:textId="4E28FEA7" w:rsidR="00633030" w:rsidRPr="00932144" w:rsidRDefault="000C5FB6" w:rsidP="00932144">
            <w:pPr>
              <w:jc w:val="center"/>
              <w:rPr>
                <w:rFonts w:cs="Arial"/>
                <w:sz w:val="20"/>
                <w:szCs w:val="20"/>
                <w:lang w:val="fr-FR"/>
              </w:rPr>
            </w:pPr>
            <w:r w:rsidRPr="00932144">
              <w:rPr>
                <w:rFonts w:cs="Arial"/>
                <w:lang w:val="fr-FR"/>
              </w:rPr>
              <w:t>2.53E-05</w:t>
            </w:r>
          </w:p>
        </w:tc>
        <w:tc>
          <w:tcPr>
            <w:tcW w:w="1984" w:type="dxa"/>
            <w:shd w:val="clear" w:color="auto" w:fill="C6D9F1"/>
            <w:vAlign w:val="center"/>
          </w:tcPr>
          <w:p w14:paraId="2871AD2C" w14:textId="4D5A7307" w:rsidR="00633030" w:rsidRPr="00932144" w:rsidRDefault="000C5FB6" w:rsidP="00932144">
            <w:pPr>
              <w:jc w:val="center"/>
              <w:rPr>
                <w:rFonts w:cs="Arial"/>
                <w:sz w:val="20"/>
                <w:szCs w:val="20"/>
                <w:lang w:val="fr-FR"/>
              </w:rPr>
            </w:pPr>
            <w:r w:rsidRPr="00932144">
              <w:rPr>
                <w:rFonts w:cs="Arial"/>
                <w:lang w:val="fr-FR"/>
              </w:rPr>
              <w:t>8.26E-03</w:t>
            </w:r>
          </w:p>
        </w:tc>
        <w:tc>
          <w:tcPr>
            <w:tcW w:w="1984" w:type="dxa"/>
            <w:tcBorders>
              <w:right w:val="single" w:sz="4" w:space="0" w:color="auto"/>
            </w:tcBorders>
            <w:shd w:val="clear" w:color="auto" w:fill="C6D9F1"/>
            <w:vAlign w:val="center"/>
          </w:tcPr>
          <w:p w14:paraId="2C0D4C79" w14:textId="2C685F7C" w:rsidR="00633030" w:rsidRPr="00932144" w:rsidRDefault="000C5FB6" w:rsidP="00932144">
            <w:pPr>
              <w:jc w:val="center"/>
              <w:rPr>
                <w:rFonts w:cs="Arial"/>
                <w:sz w:val="20"/>
                <w:szCs w:val="20"/>
                <w:lang w:val="fr-FR"/>
              </w:rPr>
            </w:pPr>
            <w:r w:rsidRPr="00932144">
              <w:rPr>
                <w:rFonts w:cs="Arial"/>
                <w:lang w:val="fr-FR"/>
              </w:rPr>
              <w:t>8.</w:t>
            </w:r>
            <w:r w:rsidR="00042983">
              <w:rPr>
                <w:rFonts w:cs="Arial"/>
                <w:lang w:val="fr-FR"/>
              </w:rPr>
              <w:t>02</w:t>
            </w:r>
            <w:r w:rsidRPr="00932144">
              <w:rPr>
                <w:rFonts w:cs="Arial"/>
                <w:lang w:val="fr-FR"/>
              </w:rPr>
              <w:t>E-03</w:t>
            </w:r>
          </w:p>
        </w:tc>
      </w:tr>
      <w:tr w:rsidR="00633030" w:rsidRPr="00EE493F" w14:paraId="273DB3EA" w14:textId="77777777" w:rsidTr="00932144">
        <w:tc>
          <w:tcPr>
            <w:tcW w:w="1983" w:type="dxa"/>
            <w:vMerge/>
            <w:tcBorders>
              <w:left w:val="single" w:sz="4" w:space="0" w:color="auto"/>
            </w:tcBorders>
            <w:shd w:val="clear" w:color="auto" w:fill="C6D9F1"/>
            <w:vAlign w:val="center"/>
          </w:tcPr>
          <w:p w14:paraId="28FC2D23" w14:textId="77777777" w:rsidR="00633030" w:rsidRPr="00932144" w:rsidRDefault="00633030" w:rsidP="00633030">
            <w:pPr>
              <w:rPr>
                <w:rFonts w:cs="Arial"/>
                <w:sz w:val="20"/>
                <w:szCs w:val="20"/>
                <w:lang w:val="fr-FR"/>
              </w:rPr>
            </w:pPr>
          </w:p>
        </w:tc>
        <w:tc>
          <w:tcPr>
            <w:tcW w:w="1984" w:type="dxa"/>
            <w:tcBorders>
              <w:bottom w:val="single" w:sz="4" w:space="0" w:color="auto"/>
            </w:tcBorders>
            <w:shd w:val="clear" w:color="auto" w:fill="C6D9F1"/>
            <w:vAlign w:val="center"/>
          </w:tcPr>
          <w:p w14:paraId="6D5C6E2E" w14:textId="77777777" w:rsidR="00633030" w:rsidRPr="00932144" w:rsidRDefault="00633030" w:rsidP="00633030">
            <w:pPr>
              <w:rPr>
                <w:rFonts w:cs="Arial"/>
                <w:sz w:val="20"/>
                <w:szCs w:val="20"/>
                <w:lang w:val="en-US"/>
              </w:rPr>
            </w:pPr>
            <w:r w:rsidRPr="00EE493F">
              <w:rPr>
                <w:rFonts w:cs="Arial"/>
                <w:lang w:val="en-US"/>
              </w:rPr>
              <w:t xml:space="preserve">Tébuconazole </w:t>
            </w:r>
          </w:p>
        </w:tc>
        <w:tc>
          <w:tcPr>
            <w:tcW w:w="1984" w:type="dxa"/>
            <w:tcBorders>
              <w:bottom w:val="single" w:sz="4" w:space="0" w:color="auto"/>
            </w:tcBorders>
            <w:shd w:val="clear" w:color="auto" w:fill="C6D9F1"/>
            <w:vAlign w:val="center"/>
          </w:tcPr>
          <w:p w14:paraId="0DFBCC15" w14:textId="6D1CED01" w:rsidR="00633030" w:rsidRPr="00932144" w:rsidRDefault="000C5FB6" w:rsidP="00932144">
            <w:pPr>
              <w:jc w:val="center"/>
              <w:rPr>
                <w:rFonts w:cs="Arial"/>
                <w:sz w:val="20"/>
                <w:szCs w:val="20"/>
                <w:lang w:val="fr-FR"/>
              </w:rPr>
            </w:pPr>
            <w:r w:rsidRPr="00932144">
              <w:rPr>
                <w:rFonts w:cs="Arial"/>
                <w:lang w:val="fr-FR"/>
              </w:rPr>
              <w:t>7.92E-06</w:t>
            </w:r>
          </w:p>
        </w:tc>
        <w:tc>
          <w:tcPr>
            <w:tcW w:w="1984" w:type="dxa"/>
            <w:tcBorders>
              <w:bottom w:val="single" w:sz="4" w:space="0" w:color="auto"/>
            </w:tcBorders>
            <w:shd w:val="clear" w:color="auto" w:fill="C6D9F1"/>
            <w:vAlign w:val="center"/>
          </w:tcPr>
          <w:p w14:paraId="0FD0EE5D" w14:textId="6A59870C" w:rsidR="00633030" w:rsidRPr="00932144" w:rsidRDefault="000C5FB6" w:rsidP="00932144">
            <w:pPr>
              <w:jc w:val="center"/>
              <w:rPr>
                <w:rFonts w:cs="Arial"/>
                <w:sz w:val="20"/>
                <w:szCs w:val="20"/>
                <w:lang w:val="fr-FR"/>
              </w:rPr>
            </w:pPr>
            <w:r w:rsidRPr="00932144">
              <w:rPr>
                <w:rFonts w:cs="Arial"/>
                <w:lang w:val="fr-FR"/>
              </w:rPr>
              <w:t>3.08E-03</w:t>
            </w:r>
          </w:p>
        </w:tc>
        <w:tc>
          <w:tcPr>
            <w:tcW w:w="1984" w:type="dxa"/>
            <w:tcBorders>
              <w:bottom w:val="single" w:sz="4" w:space="0" w:color="auto"/>
              <w:right w:val="single" w:sz="4" w:space="0" w:color="auto"/>
            </w:tcBorders>
            <w:shd w:val="clear" w:color="auto" w:fill="C6D9F1"/>
            <w:vAlign w:val="center"/>
          </w:tcPr>
          <w:p w14:paraId="5D552A1E" w14:textId="3B23F509" w:rsidR="00633030" w:rsidRPr="00932144" w:rsidRDefault="00042983" w:rsidP="00932144">
            <w:pPr>
              <w:jc w:val="center"/>
              <w:rPr>
                <w:rFonts w:cs="Arial"/>
                <w:sz w:val="20"/>
                <w:szCs w:val="20"/>
                <w:lang w:val="fr-FR"/>
              </w:rPr>
            </w:pPr>
            <w:r>
              <w:rPr>
                <w:rFonts w:cs="Arial"/>
                <w:lang w:val="fr-FR"/>
              </w:rPr>
              <w:t>2.99</w:t>
            </w:r>
            <w:r w:rsidR="000C5FB6" w:rsidRPr="00932144">
              <w:rPr>
                <w:rFonts w:cs="Arial"/>
                <w:lang w:val="fr-FR"/>
              </w:rPr>
              <w:t>E-03</w:t>
            </w:r>
          </w:p>
        </w:tc>
      </w:tr>
      <w:tr w:rsidR="00633030" w:rsidRPr="00EE493F" w14:paraId="1BB5B4D1" w14:textId="77777777" w:rsidTr="00932144">
        <w:tc>
          <w:tcPr>
            <w:tcW w:w="1983" w:type="dxa"/>
            <w:vMerge/>
            <w:tcBorders>
              <w:left w:val="single" w:sz="4" w:space="0" w:color="auto"/>
              <w:bottom w:val="single" w:sz="4" w:space="0" w:color="auto"/>
            </w:tcBorders>
            <w:shd w:val="clear" w:color="auto" w:fill="C6D9F1"/>
            <w:vAlign w:val="center"/>
          </w:tcPr>
          <w:p w14:paraId="052BEAE2" w14:textId="77777777" w:rsidR="00633030" w:rsidRPr="00932144" w:rsidRDefault="00633030" w:rsidP="00633030">
            <w:pPr>
              <w:rPr>
                <w:rFonts w:cs="Arial"/>
                <w:sz w:val="20"/>
                <w:szCs w:val="20"/>
                <w:lang w:val="fr-FR"/>
              </w:rPr>
            </w:pPr>
          </w:p>
        </w:tc>
        <w:tc>
          <w:tcPr>
            <w:tcW w:w="1984" w:type="dxa"/>
            <w:tcBorders>
              <w:bottom w:val="single" w:sz="4" w:space="0" w:color="auto"/>
            </w:tcBorders>
            <w:shd w:val="clear" w:color="auto" w:fill="C6D9F1"/>
            <w:vAlign w:val="center"/>
          </w:tcPr>
          <w:p w14:paraId="00DE8F89" w14:textId="77777777" w:rsidR="00633030" w:rsidRPr="00932144" w:rsidRDefault="00633030" w:rsidP="00633030">
            <w:pPr>
              <w:rPr>
                <w:rFonts w:cs="Arial"/>
                <w:sz w:val="20"/>
                <w:szCs w:val="20"/>
                <w:lang w:val="en-US"/>
              </w:rPr>
            </w:pPr>
            <w:r w:rsidRPr="00EE493F">
              <w:rPr>
                <w:rFonts w:cs="Arial"/>
                <w:lang w:val="en-US"/>
              </w:rPr>
              <w:t>IPBC</w:t>
            </w:r>
          </w:p>
        </w:tc>
        <w:tc>
          <w:tcPr>
            <w:tcW w:w="1984" w:type="dxa"/>
            <w:tcBorders>
              <w:bottom w:val="single" w:sz="4" w:space="0" w:color="auto"/>
            </w:tcBorders>
            <w:shd w:val="clear" w:color="auto" w:fill="C6D9F1"/>
            <w:vAlign w:val="center"/>
          </w:tcPr>
          <w:p w14:paraId="75352D6B" w14:textId="12622369" w:rsidR="00633030" w:rsidRPr="00932144" w:rsidRDefault="000C5FB6" w:rsidP="00932144">
            <w:pPr>
              <w:jc w:val="center"/>
              <w:rPr>
                <w:rFonts w:cs="Arial"/>
                <w:sz w:val="20"/>
                <w:szCs w:val="20"/>
                <w:lang w:val="fr-FR"/>
              </w:rPr>
            </w:pPr>
            <w:r w:rsidRPr="00932144">
              <w:rPr>
                <w:rFonts w:cs="Arial"/>
                <w:lang w:val="fr-FR"/>
              </w:rPr>
              <w:t>7.92E-06</w:t>
            </w:r>
          </w:p>
        </w:tc>
        <w:tc>
          <w:tcPr>
            <w:tcW w:w="1984" w:type="dxa"/>
            <w:tcBorders>
              <w:bottom w:val="single" w:sz="4" w:space="0" w:color="auto"/>
            </w:tcBorders>
            <w:shd w:val="clear" w:color="auto" w:fill="C6D9F1"/>
            <w:vAlign w:val="center"/>
          </w:tcPr>
          <w:p w14:paraId="141C59FC" w14:textId="2F0406F2" w:rsidR="00633030" w:rsidRPr="00932144" w:rsidRDefault="000C5FB6" w:rsidP="00932144">
            <w:pPr>
              <w:jc w:val="center"/>
              <w:rPr>
                <w:rFonts w:cs="Arial"/>
                <w:sz w:val="20"/>
                <w:szCs w:val="20"/>
                <w:lang w:val="fr-FR"/>
              </w:rPr>
            </w:pPr>
            <w:r w:rsidRPr="00932144">
              <w:rPr>
                <w:rFonts w:cs="Arial"/>
                <w:lang w:val="fr-FR"/>
              </w:rPr>
              <w:t>7.45E-03</w:t>
            </w:r>
          </w:p>
        </w:tc>
        <w:tc>
          <w:tcPr>
            <w:tcW w:w="1984" w:type="dxa"/>
            <w:tcBorders>
              <w:bottom w:val="single" w:sz="4" w:space="0" w:color="auto"/>
              <w:right w:val="single" w:sz="4" w:space="0" w:color="auto"/>
            </w:tcBorders>
            <w:shd w:val="clear" w:color="auto" w:fill="C6D9F1"/>
            <w:vAlign w:val="center"/>
          </w:tcPr>
          <w:p w14:paraId="1EB4DE02" w14:textId="6D7C1DB4" w:rsidR="00633030" w:rsidRPr="00932144" w:rsidRDefault="000C5FB6" w:rsidP="00932144">
            <w:pPr>
              <w:jc w:val="center"/>
              <w:rPr>
                <w:rFonts w:cs="Arial"/>
                <w:sz w:val="20"/>
                <w:szCs w:val="20"/>
                <w:lang w:val="fr-FR"/>
              </w:rPr>
            </w:pPr>
            <w:r w:rsidRPr="00932144">
              <w:rPr>
                <w:rFonts w:cs="Arial"/>
                <w:lang w:val="fr-FR"/>
              </w:rPr>
              <w:t>7.</w:t>
            </w:r>
            <w:r w:rsidR="00042983">
              <w:rPr>
                <w:rFonts w:cs="Arial"/>
                <w:lang w:val="fr-FR"/>
              </w:rPr>
              <w:t>22</w:t>
            </w:r>
            <w:r w:rsidRPr="00932144">
              <w:rPr>
                <w:rFonts w:cs="Arial"/>
                <w:lang w:val="fr-FR"/>
              </w:rPr>
              <w:t>E-03</w:t>
            </w:r>
          </w:p>
        </w:tc>
      </w:tr>
      <w:tr w:rsidR="00633030" w:rsidRPr="00EE493F" w14:paraId="37971862" w14:textId="77777777" w:rsidTr="000116E6">
        <w:tc>
          <w:tcPr>
            <w:tcW w:w="9919" w:type="dxa"/>
            <w:gridSpan w:val="5"/>
            <w:shd w:val="clear" w:color="auto" w:fill="BFBFBF"/>
            <w:vAlign w:val="center"/>
          </w:tcPr>
          <w:p w14:paraId="24E67159" w14:textId="0B8A3717" w:rsidR="00633030" w:rsidRPr="00932144" w:rsidRDefault="00633030" w:rsidP="00932144">
            <w:pPr>
              <w:keepNext/>
              <w:rPr>
                <w:rFonts w:cs="Arial"/>
                <w:b/>
                <w:sz w:val="20"/>
                <w:szCs w:val="20"/>
                <w:lang w:val="en-US"/>
              </w:rPr>
            </w:pPr>
            <w:r w:rsidRPr="00EE493F">
              <w:rPr>
                <w:rFonts w:cs="Arial"/>
                <w:b/>
                <w:lang w:val="en-US"/>
              </w:rPr>
              <w:lastRenderedPageBreak/>
              <w:t>Injection  145g/m</w:t>
            </w:r>
            <w:r w:rsidRPr="00EE493F">
              <w:rPr>
                <w:rFonts w:cs="Arial"/>
                <w:b/>
                <w:vertAlign w:val="superscript"/>
                <w:lang w:val="en-US"/>
              </w:rPr>
              <w:t>2</w:t>
            </w:r>
            <w:r w:rsidRPr="00EE493F">
              <w:rPr>
                <w:rFonts w:cs="Arial"/>
                <w:b/>
                <w:lang w:val="en-US"/>
              </w:rPr>
              <w:t xml:space="preserve"> – with gloves during injection and gloves and coated coverall during cleaning</w:t>
            </w:r>
          </w:p>
        </w:tc>
      </w:tr>
      <w:tr w:rsidR="00633030" w:rsidRPr="00EE493F" w14:paraId="3BD1F9E7" w14:textId="77777777" w:rsidTr="000116E6">
        <w:tc>
          <w:tcPr>
            <w:tcW w:w="1983" w:type="dxa"/>
            <w:vAlign w:val="center"/>
          </w:tcPr>
          <w:p w14:paraId="3A8F3228" w14:textId="77777777" w:rsidR="00633030" w:rsidRPr="00932144" w:rsidRDefault="00633030" w:rsidP="00932144">
            <w:pPr>
              <w:keepNext/>
              <w:rPr>
                <w:rFonts w:cs="Arial"/>
                <w:sz w:val="20"/>
                <w:szCs w:val="20"/>
                <w:lang w:val="fr-FR"/>
              </w:rPr>
            </w:pPr>
            <w:r w:rsidRPr="00EE493F">
              <w:rPr>
                <w:rFonts w:cs="Arial"/>
                <w:lang w:val="fr-FR"/>
              </w:rPr>
              <w:t>M&amp;L</w:t>
            </w:r>
          </w:p>
        </w:tc>
        <w:tc>
          <w:tcPr>
            <w:tcW w:w="7936" w:type="dxa"/>
            <w:gridSpan w:val="4"/>
            <w:vAlign w:val="center"/>
          </w:tcPr>
          <w:p w14:paraId="2283F81B" w14:textId="77777777" w:rsidR="00633030" w:rsidRPr="00932144" w:rsidRDefault="00633030" w:rsidP="00932144">
            <w:pPr>
              <w:keepNext/>
              <w:rPr>
                <w:rFonts w:cs="Arial"/>
                <w:sz w:val="20"/>
                <w:szCs w:val="20"/>
                <w:lang w:val="fr-FR"/>
              </w:rPr>
            </w:pPr>
            <w:r w:rsidRPr="00EE493F">
              <w:rPr>
                <w:rFonts w:cs="Arial"/>
                <w:lang w:val="fr-FR"/>
              </w:rPr>
              <w:t xml:space="preserve">Included in the model </w:t>
            </w:r>
          </w:p>
        </w:tc>
      </w:tr>
      <w:tr w:rsidR="00633030" w:rsidRPr="00EE493F" w14:paraId="0EB16F02" w14:textId="77777777" w:rsidTr="000116E6">
        <w:tc>
          <w:tcPr>
            <w:tcW w:w="1983" w:type="dxa"/>
            <w:vMerge w:val="restart"/>
            <w:vAlign w:val="center"/>
          </w:tcPr>
          <w:p w14:paraId="016CE172" w14:textId="77777777" w:rsidR="00633030" w:rsidRPr="00932144" w:rsidRDefault="00633030" w:rsidP="00932144">
            <w:pPr>
              <w:keepNext/>
              <w:rPr>
                <w:rFonts w:cs="Arial"/>
                <w:sz w:val="20"/>
                <w:szCs w:val="20"/>
                <w:lang w:val="en-US"/>
              </w:rPr>
            </w:pPr>
            <w:r w:rsidRPr="00EE493F">
              <w:rPr>
                <w:rFonts w:cs="Arial"/>
                <w:lang w:val="en-US"/>
              </w:rPr>
              <w:t>Product application phase</w:t>
            </w:r>
          </w:p>
        </w:tc>
        <w:tc>
          <w:tcPr>
            <w:tcW w:w="1984" w:type="dxa"/>
            <w:vAlign w:val="center"/>
          </w:tcPr>
          <w:p w14:paraId="491193AD" w14:textId="77777777" w:rsidR="00633030" w:rsidRPr="00932144" w:rsidRDefault="00633030" w:rsidP="00932144">
            <w:pPr>
              <w:keepNext/>
              <w:rPr>
                <w:rFonts w:cs="Arial"/>
                <w:sz w:val="20"/>
                <w:szCs w:val="20"/>
                <w:lang w:val="fr-FR"/>
              </w:rPr>
            </w:pPr>
            <w:r w:rsidRPr="00EE493F">
              <w:rPr>
                <w:rFonts w:cs="Arial"/>
                <w:lang w:val="fr-FR"/>
              </w:rPr>
              <w:t>Cyperméthrine</w:t>
            </w:r>
          </w:p>
        </w:tc>
        <w:tc>
          <w:tcPr>
            <w:tcW w:w="1984" w:type="dxa"/>
            <w:vAlign w:val="bottom"/>
          </w:tcPr>
          <w:p w14:paraId="425B35B5" w14:textId="28370F42" w:rsidR="00633030" w:rsidRPr="00932144" w:rsidRDefault="00633030" w:rsidP="00932144">
            <w:pPr>
              <w:keepNext/>
              <w:jc w:val="center"/>
              <w:rPr>
                <w:rFonts w:cs="Arial"/>
                <w:sz w:val="20"/>
                <w:szCs w:val="20"/>
                <w:lang w:val="fr-FR"/>
              </w:rPr>
            </w:pPr>
            <w:r w:rsidRPr="00932144">
              <w:rPr>
                <w:rFonts w:cs="Arial"/>
                <w:sz w:val="20"/>
                <w:szCs w:val="20"/>
                <w:lang w:val="fr-FR"/>
              </w:rPr>
              <w:t>1.27E-05</w:t>
            </w:r>
          </w:p>
        </w:tc>
        <w:tc>
          <w:tcPr>
            <w:tcW w:w="1984" w:type="dxa"/>
            <w:vAlign w:val="bottom"/>
          </w:tcPr>
          <w:p w14:paraId="4028283C" w14:textId="635128F2" w:rsidR="00633030" w:rsidRPr="00932144" w:rsidRDefault="00633030" w:rsidP="00932144">
            <w:pPr>
              <w:keepNext/>
              <w:jc w:val="center"/>
              <w:rPr>
                <w:rFonts w:cs="Arial"/>
                <w:sz w:val="20"/>
                <w:szCs w:val="20"/>
                <w:lang w:val="fr-FR"/>
              </w:rPr>
            </w:pPr>
            <w:r w:rsidRPr="00932144">
              <w:rPr>
                <w:rFonts w:cs="Arial"/>
                <w:sz w:val="20"/>
                <w:szCs w:val="20"/>
                <w:lang w:val="fr-FR"/>
              </w:rPr>
              <w:t>3.07E-03</w:t>
            </w:r>
          </w:p>
        </w:tc>
        <w:tc>
          <w:tcPr>
            <w:tcW w:w="1984" w:type="dxa"/>
            <w:vAlign w:val="bottom"/>
          </w:tcPr>
          <w:p w14:paraId="5F9C6A93" w14:textId="3B9CC12D" w:rsidR="00633030" w:rsidRPr="00932144" w:rsidRDefault="00633030" w:rsidP="00932144">
            <w:pPr>
              <w:keepNext/>
              <w:jc w:val="center"/>
              <w:rPr>
                <w:rFonts w:cs="Arial"/>
                <w:sz w:val="20"/>
                <w:szCs w:val="20"/>
                <w:lang w:val="fr-FR"/>
              </w:rPr>
            </w:pPr>
            <w:r w:rsidRPr="00932144">
              <w:rPr>
                <w:rFonts w:cs="Arial"/>
                <w:sz w:val="20"/>
                <w:szCs w:val="20"/>
                <w:lang w:val="fr-FR"/>
              </w:rPr>
              <w:t>3.08E-03</w:t>
            </w:r>
          </w:p>
        </w:tc>
      </w:tr>
      <w:tr w:rsidR="00633030" w:rsidRPr="00EE493F" w14:paraId="2EB7F18D" w14:textId="77777777" w:rsidTr="00932144">
        <w:tc>
          <w:tcPr>
            <w:tcW w:w="1983" w:type="dxa"/>
            <w:vMerge/>
            <w:vAlign w:val="center"/>
          </w:tcPr>
          <w:p w14:paraId="47FC5EE4" w14:textId="77777777" w:rsidR="00633030" w:rsidRPr="00932144" w:rsidRDefault="00633030" w:rsidP="00932144">
            <w:pPr>
              <w:keepNext/>
              <w:rPr>
                <w:rFonts w:cs="Arial"/>
                <w:sz w:val="20"/>
                <w:szCs w:val="20"/>
                <w:lang w:val="en-US"/>
              </w:rPr>
            </w:pPr>
          </w:p>
        </w:tc>
        <w:tc>
          <w:tcPr>
            <w:tcW w:w="1984" w:type="dxa"/>
            <w:vAlign w:val="center"/>
          </w:tcPr>
          <w:p w14:paraId="37D12F63" w14:textId="77777777" w:rsidR="00633030" w:rsidRPr="00932144" w:rsidRDefault="00633030" w:rsidP="00932144">
            <w:pPr>
              <w:keepNext/>
              <w:rPr>
                <w:rFonts w:cs="Arial"/>
                <w:sz w:val="20"/>
                <w:szCs w:val="20"/>
                <w:lang w:val="en-US"/>
              </w:rPr>
            </w:pPr>
            <w:r w:rsidRPr="00EE493F">
              <w:rPr>
                <w:rFonts w:cs="Arial"/>
                <w:lang w:val="en-US"/>
              </w:rPr>
              <w:t>Propiconazole</w:t>
            </w:r>
          </w:p>
        </w:tc>
        <w:tc>
          <w:tcPr>
            <w:tcW w:w="1984" w:type="dxa"/>
            <w:vAlign w:val="center"/>
          </w:tcPr>
          <w:p w14:paraId="6F13CBA5" w14:textId="07ABBF75" w:rsidR="00633030" w:rsidRPr="00932144" w:rsidRDefault="00633030" w:rsidP="00932144">
            <w:pPr>
              <w:keepNext/>
              <w:jc w:val="center"/>
              <w:rPr>
                <w:rFonts w:cs="Arial"/>
                <w:sz w:val="20"/>
                <w:szCs w:val="20"/>
                <w:lang w:val="fr-FR"/>
              </w:rPr>
            </w:pPr>
            <w:r w:rsidRPr="00932144">
              <w:rPr>
                <w:rFonts w:cs="Arial"/>
                <w:sz w:val="20"/>
                <w:szCs w:val="20"/>
                <w:lang w:val="fr-FR"/>
              </w:rPr>
              <w:t>2.53E-05</w:t>
            </w:r>
          </w:p>
        </w:tc>
        <w:tc>
          <w:tcPr>
            <w:tcW w:w="1984" w:type="dxa"/>
            <w:vAlign w:val="center"/>
          </w:tcPr>
          <w:p w14:paraId="65785B3F" w14:textId="62DC9264" w:rsidR="00633030" w:rsidRPr="00932144" w:rsidRDefault="00633030" w:rsidP="00932144">
            <w:pPr>
              <w:keepNext/>
              <w:jc w:val="center"/>
              <w:rPr>
                <w:rFonts w:cs="Arial"/>
                <w:sz w:val="20"/>
                <w:szCs w:val="20"/>
                <w:lang w:val="fr-FR"/>
              </w:rPr>
            </w:pPr>
            <w:r w:rsidRPr="00932144">
              <w:rPr>
                <w:rFonts w:cs="Arial"/>
                <w:sz w:val="20"/>
                <w:szCs w:val="20"/>
                <w:lang w:val="fr-FR"/>
              </w:rPr>
              <w:t>4.44E-03</w:t>
            </w:r>
          </w:p>
        </w:tc>
        <w:tc>
          <w:tcPr>
            <w:tcW w:w="1984" w:type="dxa"/>
            <w:vAlign w:val="center"/>
          </w:tcPr>
          <w:p w14:paraId="555165B7" w14:textId="42E8EA95" w:rsidR="00633030" w:rsidRPr="00932144" w:rsidRDefault="00633030" w:rsidP="00932144">
            <w:pPr>
              <w:keepNext/>
              <w:jc w:val="center"/>
              <w:rPr>
                <w:rFonts w:cs="Arial"/>
                <w:sz w:val="20"/>
                <w:szCs w:val="20"/>
                <w:lang w:val="fr-FR"/>
              </w:rPr>
            </w:pPr>
            <w:r w:rsidRPr="00932144">
              <w:rPr>
                <w:rFonts w:cs="Arial"/>
                <w:sz w:val="20"/>
                <w:szCs w:val="20"/>
                <w:lang w:val="fr-FR"/>
              </w:rPr>
              <w:t>4.46E-03</w:t>
            </w:r>
          </w:p>
        </w:tc>
      </w:tr>
      <w:tr w:rsidR="00633030" w:rsidRPr="00EE493F" w14:paraId="0519035D" w14:textId="77777777" w:rsidTr="00932144">
        <w:tc>
          <w:tcPr>
            <w:tcW w:w="1983" w:type="dxa"/>
            <w:vMerge/>
            <w:vAlign w:val="center"/>
          </w:tcPr>
          <w:p w14:paraId="61BA806B" w14:textId="77777777" w:rsidR="00633030" w:rsidRPr="00932144" w:rsidRDefault="00633030" w:rsidP="00932144">
            <w:pPr>
              <w:keepNext/>
              <w:rPr>
                <w:rFonts w:cs="Arial"/>
                <w:sz w:val="20"/>
                <w:szCs w:val="20"/>
                <w:lang w:val="en-US"/>
              </w:rPr>
            </w:pPr>
          </w:p>
        </w:tc>
        <w:tc>
          <w:tcPr>
            <w:tcW w:w="1984" w:type="dxa"/>
            <w:vAlign w:val="center"/>
          </w:tcPr>
          <w:p w14:paraId="4ADD6CAD" w14:textId="77777777" w:rsidR="00633030" w:rsidRPr="00932144" w:rsidRDefault="00633030" w:rsidP="00932144">
            <w:pPr>
              <w:keepNext/>
              <w:rPr>
                <w:rFonts w:cs="Arial"/>
                <w:sz w:val="20"/>
                <w:szCs w:val="20"/>
                <w:lang w:val="en-US"/>
              </w:rPr>
            </w:pPr>
            <w:r w:rsidRPr="00EE493F">
              <w:rPr>
                <w:rFonts w:cs="Arial"/>
                <w:lang w:val="en-US"/>
              </w:rPr>
              <w:t xml:space="preserve">Tébuconazole </w:t>
            </w:r>
          </w:p>
        </w:tc>
        <w:tc>
          <w:tcPr>
            <w:tcW w:w="1984" w:type="dxa"/>
            <w:vAlign w:val="center"/>
          </w:tcPr>
          <w:p w14:paraId="2B9F0097" w14:textId="7C7C3150" w:rsidR="00633030" w:rsidRPr="00932144" w:rsidRDefault="00633030" w:rsidP="00932144">
            <w:pPr>
              <w:keepNext/>
              <w:jc w:val="center"/>
              <w:rPr>
                <w:rFonts w:cs="Arial"/>
                <w:sz w:val="20"/>
                <w:szCs w:val="20"/>
                <w:lang w:val="fr-FR"/>
              </w:rPr>
            </w:pPr>
            <w:r w:rsidRPr="00932144">
              <w:rPr>
                <w:rFonts w:cs="Arial"/>
                <w:sz w:val="20"/>
                <w:szCs w:val="20"/>
                <w:lang w:val="fr-FR"/>
              </w:rPr>
              <w:t>7.92E-06</w:t>
            </w:r>
          </w:p>
        </w:tc>
        <w:tc>
          <w:tcPr>
            <w:tcW w:w="1984" w:type="dxa"/>
            <w:vAlign w:val="center"/>
          </w:tcPr>
          <w:p w14:paraId="0DE66F3C" w14:textId="437CCC70" w:rsidR="00633030" w:rsidRPr="00932144" w:rsidRDefault="00633030" w:rsidP="00932144">
            <w:pPr>
              <w:keepNext/>
              <w:jc w:val="center"/>
              <w:rPr>
                <w:rFonts w:cs="Arial"/>
                <w:sz w:val="20"/>
                <w:szCs w:val="20"/>
                <w:lang w:val="fr-FR"/>
              </w:rPr>
            </w:pPr>
            <w:r w:rsidRPr="00932144">
              <w:rPr>
                <w:rFonts w:cs="Arial"/>
                <w:sz w:val="20"/>
                <w:szCs w:val="20"/>
                <w:lang w:val="fr-FR"/>
              </w:rPr>
              <w:t>1.65E-03</w:t>
            </w:r>
          </w:p>
        </w:tc>
        <w:tc>
          <w:tcPr>
            <w:tcW w:w="1984" w:type="dxa"/>
            <w:vAlign w:val="center"/>
          </w:tcPr>
          <w:p w14:paraId="5C46041F" w14:textId="25BBC0A0" w:rsidR="00633030" w:rsidRPr="00932144" w:rsidRDefault="00633030" w:rsidP="00932144">
            <w:pPr>
              <w:keepNext/>
              <w:jc w:val="center"/>
              <w:rPr>
                <w:rFonts w:cs="Arial"/>
                <w:sz w:val="20"/>
                <w:szCs w:val="20"/>
                <w:lang w:val="fr-FR"/>
              </w:rPr>
            </w:pPr>
            <w:r w:rsidRPr="00932144">
              <w:rPr>
                <w:rFonts w:cs="Arial"/>
                <w:sz w:val="20"/>
                <w:szCs w:val="20"/>
                <w:lang w:val="fr-FR"/>
              </w:rPr>
              <w:t>1.66E-03</w:t>
            </w:r>
          </w:p>
        </w:tc>
      </w:tr>
      <w:tr w:rsidR="00633030" w:rsidRPr="00EE493F" w14:paraId="49E0C74D" w14:textId="77777777" w:rsidTr="00932144">
        <w:tc>
          <w:tcPr>
            <w:tcW w:w="1983" w:type="dxa"/>
            <w:vMerge/>
            <w:vAlign w:val="center"/>
          </w:tcPr>
          <w:p w14:paraId="2BA2C20E" w14:textId="77777777" w:rsidR="00633030" w:rsidRPr="00932144" w:rsidRDefault="00633030" w:rsidP="00633030">
            <w:pPr>
              <w:rPr>
                <w:rFonts w:cs="Arial"/>
                <w:sz w:val="20"/>
                <w:szCs w:val="20"/>
                <w:lang w:val="en-US"/>
              </w:rPr>
            </w:pPr>
          </w:p>
        </w:tc>
        <w:tc>
          <w:tcPr>
            <w:tcW w:w="1984" w:type="dxa"/>
            <w:vAlign w:val="center"/>
          </w:tcPr>
          <w:p w14:paraId="1DFB6090" w14:textId="77777777" w:rsidR="00633030" w:rsidRPr="00932144" w:rsidRDefault="00633030" w:rsidP="00633030">
            <w:pPr>
              <w:rPr>
                <w:rFonts w:cs="Arial"/>
                <w:sz w:val="20"/>
                <w:szCs w:val="20"/>
                <w:lang w:val="en-US"/>
              </w:rPr>
            </w:pPr>
            <w:r w:rsidRPr="00EE493F">
              <w:rPr>
                <w:rFonts w:cs="Arial"/>
                <w:lang w:val="en-US"/>
              </w:rPr>
              <w:t>IPBC</w:t>
            </w:r>
          </w:p>
        </w:tc>
        <w:tc>
          <w:tcPr>
            <w:tcW w:w="1984" w:type="dxa"/>
            <w:vAlign w:val="center"/>
          </w:tcPr>
          <w:p w14:paraId="4FB4471C" w14:textId="2ED98F18" w:rsidR="00633030" w:rsidRPr="00932144" w:rsidRDefault="00633030" w:rsidP="00633030">
            <w:pPr>
              <w:jc w:val="center"/>
              <w:rPr>
                <w:rFonts w:cs="Arial"/>
                <w:sz w:val="20"/>
                <w:szCs w:val="20"/>
                <w:lang w:val="fr-FR"/>
              </w:rPr>
            </w:pPr>
            <w:r w:rsidRPr="00932144">
              <w:rPr>
                <w:rFonts w:cs="Arial"/>
                <w:sz w:val="20"/>
                <w:szCs w:val="20"/>
                <w:lang w:val="fr-FR"/>
              </w:rPr>
              <w:t>7.92E-06</w:t>
            </w:r>
          </w:p>
        </w:tc>
        <w:tc>
          <w:tcPr>
            <w:tcW w:w="1984" w:type="dxa"/>
            <w:vAlign w:val="center"/>
          </w:tcPr>
          <w:p w14:paraId="5218CBFF" w14:textId="6B5364CE" w:rsidR="00633030" w:rsidRPr="00932144" w:rsidRDefault="00633030" w:rsidP="00633030">
            <w:pPr>
              <w:jc w:val="center"/>
              <w:rPr>
                <w:rFonts w:cs="Arial"/>
                <w:sz w:val="20"/>
                <w:szCs w:val="20"/>
                <w:lang w:val="fr-FR"/>
              </w:rPr>
            </w:pPr>
            <w:r w:rsidRPr="00932144">
              <w:rPr>
                <w:rFonts w:cs="Arial"/>
                <w:sz w:val="20"/>
                <w:szCs w:val="20"/>
                <w:lang w:val="fr-FR"/>
              </w:rPr>
              <w:t>4.00E-03</w:t>
            </w:r>
          </w:p>
        </w:tc>
        <w:tc>
          <w:tcPr>
            <w:tcW w:w="1984" w:type="dxa"/>
            <w:vAlign w:val="center"/>
          </w:tcPr>
          <w:p w14:paraId="1C56D2C6" w14:textId="794F31E9" w:rsidR="00633030" w:rsidRPr="00932144" w:rsidRDefault="00633030" w:rsidP="00633030">
            <w:pPr>
              <w:jc w:val="center"/>
              <w:rPr>
                <w:rFonts w:cs="Arial"/>
                <w:sz w:val="20"/>
                <w:szCs w:val="20"/>
                <w:lang w:val="fr-FR"/>
              </w:rPr>
            </w:pPr>
            <w:r w:rsidRPr="00932144">
              <w:rPr>
                <w:rFonts w:cs="Arial"/>
                <w:sz w:val="20"/>
                <w:szCs w:val="20"/>
                <w:lang w:val="fr-FR"/>
              </w:rPr>
              <w:t>4.01E-03</w:t>
            </w:r>
          </w:p>
        </w:tc>
      </w:tr>
      <w:tr w:rsidR="00633030" w:rsidRPr="00EE493F" w14:paraId="26823D1E" w14:textId="77777777" w:rsidTr="00932144">
        <w:tc>
          <w:tcPr>
            <w:tcW w:w="1983" w:type="dxa"/>
            <w:vMerge w:val="restart"/>
            <w:vAlign w:val="center"/>
          </w:tcPr>
          <w:p w14:paraId="4F4AB8DA" w14:textId="77777777" w:rsidR="00633030" w:rsidRPr="00932144" w:rsidRDefault="00633030" w:rsidP="00633030">
            <w:pPr>
              <w:rPr>
                <w:rFonts w:cs="Arial"/>
                <w:sz w:val="20"/>
                <w:szCs w:val="20"/>
                <w:lang w:val="en-US"/>
              </w:rPr>
            </w:pPr>
            <w:r w:rsidRPr="00EE493F">
              <w:rPr>
                <w:rFonts w:cs="Arial"/>
                <w:lang w:val="en-US"/>
              </w:rPr>
              <w:t xml:space="preserve">Cleaning of the equipment </w:t>
            </w:r>
          </w:p>
        </w:tc>
        <w:tc>
          <w:tcPr>
            <w:tcW w:w="1984" w:type="dxa"/>
            <w:vAlign w:val="center"/>
          </w:tcPr>
          <w:p w14:paraId="00A261E9" w14:textId="77777777" w:rsidR="00633030" w:rsidRPr="00932144" w:rsidRDefault="00633030" w:rsidP="00633030">
            <w:pPr>
              <w:rPr>
                <w:rFonts w:cs="Arial"/>
                <w:sz w:val="20"/>
                <w:szCs w:val="20"/>
                <w:lang w:val="fr-FR"/>
              </w:rPr>
            </w:pPr>
            <w:r w:rsidRPr="00EE493F">
              <w:rPr>
                <w:rFonts w:cs="Arial"/>
                <w:lang w:val="fr-FR"/>
              </w:rPr>
              <w:t>Cyperméthrine</w:t>
            </w:r>
          </w:p>
        </w:tc>
        <w:tc>
          <w:tcPr>
            <w:tcW w:w="1984" w:type="dxa"/>
            <w:vAlign w:val="center"/>
          </w:tcPr>
          <w:p w14:paraId="7092CB88" w14:textId="77777777" w:rsidR="00633030" w:rsidRPr="00932144" w:rsidRDefault="00633030" w:rsidP="00633030">
            <w:pPr>
              <w:jc w:val="center"/>
              <w:rPr>
                <w:rFonts w:cs="Arial"/>
                <w:sz w:val="20"/>
                <w:szCs w:val="20"/>
                <w:lang w:val="fr-FR"/>
              </w:rPr>
            </w:pPr>
            <w:r w:rsidRPr="00932144">
              <w:rPr>
                <w:rFonts w:cs="Arial"/>
                <w:lang w:val="fr-FR"/>
              </w:rPr>
              <w:t>NA</w:t>
            </w:r>
          </w:p>
        </w:tc>
        <w:tc>
          <w:tcPr>
            <w:tcW w:w="1984" w:type="dxa"/>
            <w:vAlign w:val="center"/>
          </w:tcPr>
          <w:p w14:paraId="4A9720D6" w14:textId="4B99CB77" w:rsidR="00633030" w:rsidRPr="00932144" w:rsidRDefault="00633030" w:rsidP="00633030">
            <w:pPr>
              <w:jc w:val="center"/>
              <w:rPr>
                <w:rFonts w:cs="Arial"/>
                <w:sz w:val="20"/>
                <w:szCs w:val="20"/>
                <w:lang w:val="fr-FR"/>
              </w:rPr>
            </w:pPr>
            <w:r w:rsidRPr="00932144">
              <w:rPr>
                <w:rFonts w:cs="Arial"/>
                <w:sz w:val="20"/>
                <w:szCs w:val="20"/>
                <w:lang w:val="fr-FR"/>
              </w:rPr>
              <w:t>3.57E-04</w:t>
            </w:r>
          </w:p>
        </w:tc>
        <w:tc>
          <w:tcPr>
            <w:tcW w:w="1984" w:type="dxa"/>
            <w:vAlign w:val="center"/>
          </w:tcPr>
          <w:p w14:paraId="22D37D7F" w14:textId="4D8C6E83" w:rsidR="00633030" w:rsidRPr="00932144" w:rsidRDefault="00633030" w:rsidP="00633030">
            <w:pPr>
              <w:jc w:val="center"/>
              <w:rPr>
                <w:rFonts w:cs="Arial"/>
                <w:sz w:val="20"/>
                <w:szCs w:val="20"/>
                <w:lang w:val="fr-FR"/>
              </w:rPr>
            </w:pPr>
            <w:r w:rsidRPr="00932144">
              <w:rPr>
                <w:rFonts w:cs="Arial"/>
                <w:sz w:val="20"/>
                <w:szCs w:val="20"/>
                <w:lang w:val="fr-FR"/>
              </w:rPr>
              <w:t>3.</w:t>
            </w:r>
            <w:r w:rsidR="00042983">
              <w:rPr>
                <w:rFonts w:cs="Arial"/>
                <w:sz w:val="20"/>
                <w:szCs w:val="20"/>
                <w:lang w:val="fr-FR"/>
              </w:rPr>
              <w:t>21</w:t>
            </w:r>
            <w:r w:rsidRPr="00932144">
              <w:rPr>
                <w:rFonts w:cs="Arial"/>
                <w:sz w:val="20"/>
                <w:szCs w:val="20"/>
                <w:lang w:val="fr-FR"/>
              </w:rPr>
              <w:t>E-04</w:t>
            </w:r>
          </w:p>
        </w:tc>
      </w:tr>
      <w:tr w:rsidR="00633030" w:rsidRPr="00EE493F" w14:paraId="055AB518" w14:textId="77777777" w:rsidTr="00932144">
        <w:tc>
          <w:tcPr>
            <w:tcW w:w="1983" w:type="dxa"/>
            <w:vMerge/>
            <w:vAlign w:val="center"/>
          </w:tcPr>
          <w:p w14:paraId="6D6F626A" w14:textId="77777777" w:rsidR="00633030" w:rsidRPr="00932144" w:rsidRDefault="00633030" w:rsidP="00633030">
            <w:pPr>
              <w:rPr>
                <w:rFonts w:cs="Arial"/>
                <w:sz w:val="20"/>
                <w:szCs w:val="20"/>
                <w:lang w:val="fr-FR"/>
              </w:rPr>
            </w:pPr>
          </w:p>
        </w:tc>
        <w:tc>
          <w:tcPr>
            <w:tcW w:w="1984" w:type="dxa"/>
            <w:vAlign w:val="center"/>
          </w:tcPr>
          <w:p w14:paraId="651F7763" w14:textId="77777777" w:rsidR="00633030" w:rsidRPr="00932144" w:rsidRDefault="00633030" w:rsidP="00633030">
            <w:pPr>
              <w:rPr>
                <w:rFonts w:cs="Arial"/>
                <w:sz w:val="20"/>
                <w:szCs w:val="20"/>
                <w:lang w:val="en-US"/>
              </w:rPr>
            </w:pPr>
            <w:r w:rsidRPr="00EE493F">
              <w:rPr>
                <w:rFonts w:cs="Arial"/>
                <w:lang w:val="en-US"/>
              </w:rPr>
              <w:t>Propiconazole</w:t>
            </w:r>
          </w:p>
        </w:tc>
        <w:tc>
          <w:tcPr>
            <w:tcW w:w="1984" w:type="dxa"/>
            <w:vAlign w:val="center"/>
          </w:tcPr>
          <w:p w14:paraId="03340CFA" w14:textId="77777777" w:rsidR="00633030" w:rsidRPr="00932144" w:rsidRDefault="00633030" w:rsidP="00633030">
            <w:pPr>
              <w:jc w:val="center"/>
              <w:rPr>
                <w:rFonts w:cs="Arial"/>
                <w:sz w:val="20"/>
                <w:szCs w:val="20"/>
                <w:lang w:val="fr-FR"/>
              </w:rPr>
            </w:pPr>
            <w:r w:rsidRPr="00932144">
              <w:rPr>
                <w:rFonts w:cs="Arial"/>
                <w:lang w:val="fr-FR"/>
              </w:rPr>
              <w:t>NA</w:t>
            </w:r>
          </w:p>
        </w:tc>
        <w:tc>
          <w:tcPr>
            <w:tcW w:w="1984" w:type="dxa"/>
            <w:vAlign w:val="center"/>
          </w:tcPr>
          <w:p w14:paraId="7EE27788" w14:textId="44E1F76C" w:rsidR="00633030" w:rsidRPr="00932144" w:rsidRDefault="00633030" w:rsidP="00633030">
            <w:pPr>
              <w:jc w:val="center"/>
              <w:rPr>
                <w:rFonts w:cs="Arial"/>
                <w:sz w:val="20"/>
                <w:szCs w:val="20"/>
                <w:lang w:val="fr-FR"/>
              </w:rPr>
            </w:pPr>
            <w:r w:rsidRPr="00932144">
              <w:rPr>
                <w:rFonts w:cs="Arial"/>
                <w:sz w:val="20"/>
                <w:szCs w:val="20"/>
                <w:lang w:val="fr-FR"/>
              </w:rPr>
              <w:t>5.16E-04</w:t>
            </w:r>
          </w:p>
        </w:tc>
        <w:tc>
          <w:tcPr>
            <w:tcW w:w="1984" w:type="dxa"/>
            <w:vAlign w:val="center"/>
          </w:tcPr>
          <w:p w14:paraId="51109CC3" w14:textId="1F7875A1" w:rsidR="00633030" w:rsidRPr="00932144" w:rsidRDefault="00042983" w:rsidP="00633030">
            <w:pPr>
              <w:jc w:val="center"/>
              <w:rPr>
                <w:rFonts w:cs="Arial"/>
                <w:sz w:val="20"/>
                <w:szCs w:val="20"/>
                <w:lang w:val="fr-FR"/>
              </w:rPr>
            </w:pPr>
            <w:r>
              <w:rPr>
                <w:rFonts w:cs="Arial"/>
                <w:sz w:val="20"/>
                <w:szCs w:val="20"/>
                <w:lang w:val="fr-FR"/>
              </w:rPr>
              <w:t>4.63</w:t>
            </w:r>
            <w:r w:rsidR="00633030" w:rsidRPr="00932144">
              <w:rPr>
                <w:rFonts w:cs="Arial"/>
                <w:sz w:val="20"/>
                <w:szCs w:val="20"/>
                <w:lang w:val="fr-FR"/>
              </w:rPr>
              <w:t>E-04</w:t>
            </w:r>
          </w:p>
        </w:tc>
      </w:tr>
      <w:tr w:rsidR="00633030" w:rsidRPr="00EE493F" w14:paraId="1AA2FEF9" w14:textId="77777777" w:rsidTr="00932144">
        <w:tc>
          <w:tcPr>
            <w:tcW w:w="1983" w:type="dxa"/>
            <w:vMerge/>
            <w:vAlign w:val="center"/>
          </w:tcPr>
          <w:p w14:paraId="03E1FB71" w14:textId="77777777" w:rsidR="00633030" w:rsidRPr="00932144" w:rsidRDefault="00633030" w:rsidP="00633030">
            <w:pPr>
              <w:rPr>
                <w:rFonts w:cs="Arial"/>
                <w:sz w:val="20"/>
                <w:szCs w:val="20"/>
                <w:lang w:val="fr-FR"/>
              </w:rPr>
            </w:pPr>
          </w:p>
        </w:tc>
        <w:tc>
          <w:tcPr>
            <w:tcW w:w="1984" w:type="dxa"/>
            <w:tcBorders>
              <w:bottom w:val="single" w:sz="4" w:space="0" w:color="auto"/>
            </w:tcBorders>
            <w:vAlign w:val="center"/>
          </w:tcPr>
          <w:p w14:paraId="0F77C77D" w14:textId="77777777" w:rsidR="00633030" w:rsidRPr="00932144" w:rsidRDefault="00633030" w:rsidP="00633030">
            <w:pPr>
              <w:rPr>
                <w:rFonts w:cs="Arial"/>
                <w:sz w:val="20"/>
                <w:szCs w:val="20"/>
                <w:lang w:val="en-US"/>
              </w:rPr>
            </w:pPr>
            <w:r w:rsidRPr="00EE493F">
              <w:rPr>
                <w:rFonts w:cs="Arial"/>
                <w:lang w:val="en-US"/>
              </w:rPr>
              <w:t xml:space="preserve">Tébuconazole </w:t>
            </w:r>
          </w:p>
        </w:tc>
        <w:tc>
          <w:tcPr>
            <w:tcW w:w="1984" w:type="dxa"/>
            <w:tcBorders>
              <w:bottom w:val="single" w:sz="4" w:space="0" w:color="auto"/>
            </w:tcBorders>
            <w:vAlign w:val="center"/>
          </w:tcPr>
          <w:p w14:paraId="012CCB0C" w14:textId="77777777" w:rsidR="00633030" w:rsidRPr="00932144" w:rsidRDefault="00633030" w:rsidP="00633030">
            <w:pPr>
              <w:jc w:val="center"/>
              <w:rPr>
                <w:rFonts w:cs="Arial"/>
                <w:sz w:val="20"/>
                <w:szCs w:val="20"/>
                <w:lang w:val="fr-FR"/>
              </w:rPr>
            </w:pPr>
            <w:r w:rsidRPr="00932144">
              <w:rPr>
                <w:rFonts w:cs="Arial"/>
                <w:lang w:val="fr-FR"/>
              </w:rPr>
              <w:t>NA</w:t>
            </w:r>
          </w:p>
        </w:tc>
        <w:tc>
          <w:tcPr>
            <w:tcW w:w="1984" w:type="dxa"/>
            <w:tcBorders>
              <w:bottom w:val="single" w:sz="4" w:space="0" w:color="auto"/>
            </w:tcBorders>
            <w:vAlign w:val="center"/>
          </w:tcPr>
          <w:p w14:paraId="2E764D86" w14:textId="00FAC578" w:rsidR="00633030" w:rsidRPr="00932144" w:rsidRDefault="00633030" w:rsidP="00633030">
            <w:pPr>
              <w:jc w:val="center"/>
              <w:rPr>
                <w:rFonts w:cs="Arial"/>
                <w:sz w:val="20"/>
                <w:szCs w:val="20"/>
                <w:lang w:val="fr-FR"/>
              </w:rPr>
            </w:pPr>
            <w:r w:rsidRPr="00932144">
              <w:rPr>
                <w:rFonts w:cs="Arial"/>
                <w:sz w:val="20"/>
                <w:szCs w:val="20"/>
                <w:lang w:val="fr-FR"/>
              </w:rPr>
              <w:t>1.92E-04</w:t>
            </w:r>
          </w:p>
        </w:tc>
        <w:tc>
          <w:tcPr>
            <w:tcW w:w="1984" w:type="dxa"/>
            <w:tcBorders>
              <w:bottom w:val="single" w:sz="4" w:space="0" w:color="auto"/>
            </w:tcBorders>
            <w:vAlign w:val="center"/>
          </w:tcPr>
          <w:p w14:paraId="0B88D012" w14:textId="6B455363" w:rsidR="00633030" w:rsidRPr="00932144" w:rsidRDefault="00633030" w:rsidP="00633030">
            <w:pPr>
              <w:jc w:val="center"/>
              <w:rPr>
                <w:rFonts w:cs="Arial"/>
                <w:sz w:val="20"/>
                <w:szCs w:val="20"/>
                <w:lang w:val="fr-FR"/>
              </w:rPr>
            </w:pPr>
            <w:r w:rsidRPr="00932144">
              <w:rPr>
                <w:rFonts w:cs="Arial"/>
                <w:sz w:val="20"/>
                <w:szCs w:val="20"/>
                <w:lang w:val="fr-FR"/>
              </w:rPr>
              <w:t>1</w:t>
            </w:r>
            <w:r w:rsidR="00042983">
              <w:rPr>
                <w:rFonts w:cs="Arial"/>
                <w:sz w:val="20"/>
                <w:szCs w:val="20"/>
                <w:lang w:val="fr-FR"/>
              </w:rPr>
              <w:t>.73</w:t>
            </w:r>
            <w:r w:rsidRPr="00932144">
              <w:rPr>
                <w:rFonts w:cs="Arial"/>
                <w:sz w:val="20"/>
                <w:szCs w:val="20"/>
                <w:lang w:val="fr-FR"/>
              </w:rPr>
              <w:t>E-04</w:t>
            </w:r>
          </w:p>
        </w:tc>
      </w:tr>
      <w:tr w:rsidR="00633030" w:rsidRPr="00EE493F" w14:paraId="603DD8FE" w14:textId="77777777" w:rsidTr="00932144">
        <w:tc>
          <w:tcPr>
            <w:tcW w:w="1983" w:type="dxa"/>
            <w:vMerge/>
            <w:tcBorders>
              <w:bottom w:val="single" w:sz="4" w:space="0" w:color="auto"/>
            </w:tcBorders>
            <w:vAlign w:val="center"/>
          </w:tcPr>
          <w:p w14:paraId="7A1C49AB" w14:textId="77777777" w:rsidR="00633030" w:rsidRPr="00932144" w:rsidRDefault="00633030" w:rsidP="00633030">
            <w:pPr>
              <w:rPr>
                <w:rFonts w:cs="Arial"/>
                <w:sz w:val="20"/>
                <w:szCs w:val="20"/>
                <w:lang w:val="fr-FR"/>
              </w:rPr>
            </w:pPr>
          </w:p>
        </w:tc>
        <w:tc>
          <w:tcPr>
            <w:tcW w:w="1984" w:type="dxa"/>
            <w:tcBorders>
              <w:bottom w:val="single" w:sz="4" w:space="0" w:color="auto"/>
            </w:tcBorders>
            <w:vAlign w:val="center"/>
          </w:tcPr>
          <w:p w14:paraId="2A4317F3" w14:textId="77777777" w:rsidR="00633030" w:rsidRPr="00932144" w:rsidRDefault="00633030" w:rsidP="00633030">
            <w:pPr>
              <w:rPr>
                <w:rFonts w:cs="Arial"/>
                <w:sz w:val="20"/>
                <w:szCs w:val="20"/>
                <w:lang w:val="en-US"/>
              </w:rPr>
            </w:pPr>
            <w:r w:rsidRPr="00EE493F">
              <w:rPr>
                <w:rFonts w:cs="Arial"/>
                <w:lang w:val="en-US"/>
              </w:rPr>
              <w:t>IPBC</w:t>
            </w:r>
          </w:p>
        </w:tc>
        <w:tc>
          <w:tcPr>
            <w:tcW w:w="1984" w:type="dxa"/>
            <w:tcBorders>
              <w:bottom w:val="single" w:sz="4" w:space="0" w:color="auto"/>
            </w:tcBorders>
            <w:vAlign w:val="center"/>
          </w:tcPr>
          <w:p w14:paraId="6AFA99DE" w14:textId="77777777" w:rsidR="00633030" w:rsidRPr="00932144" w:rsidRDefault="00633030" w:rsidP="00633030">
            <w:pPr>
              <w:jc w:val="center"/>
              <w:rPr>
                <w:rFonts w:cs="Arial"/>
                <w:sz w:val="20"/>
                <w:szCs w:val="20"/>
                <w:lang w:val="fr-FR"/>
              </w:rPr>
            </w:pPr>
            <w:r w:rsidRPr="00932144">
              <w:rPr>
                <w:rFonts w:cs="Arial"/>
                <w:lang w:val="fr-FR"/>
              </w:rPr>
              <w:t>NA</w:t>
            </w:r>
          </w:p>
        </w:tc>
        <w:tc>
          <w:tcPr>
            <w:tcW w:w="1984" w:type="dxa"/>
            <w:tcBorders>
              <w:bottom w:val="single" w:sz="4" w:space="0" w:color="auto"/>
            </w:tcBorders>
            <w:vAlign w:val="center"/>
          </w:tcPr>
          <w:p w14:paraId="2AEDDCA0" w14:textId="382A292D" w:rsidR="00633030" w:rsidRPr="00932144" w:rsidRDefault="00633030" w:rsidP="00633030">
            <w:pPr>
              <w:jc w:val="center"/>
              <w:rPr>
                <w:rFonts w:cs="Arial"/>
                <w:sz w:val="20"/>
                <w:szCs w:val="20"/>
                <w:lang w:val="fr-FR"/>
              </w:rPr>
            </w:pPr>
            <w:r w:rsidRPr="00932144">
              <w:rPr>
                <w:rFonts w:cs="Arial"/>
                <w:sz w:val="20"/>
                <w:szCs w:val="20"/>
                <w:lang w:val="fr-FR"/>
              </w:rPr>
              <w:t>4.65E-04</w:t>
            </w:r>
          </w:p>
        </w:tc>
        <w:tc>
          <w:tcPr>
            <w:tcW w:w="1984" w:type="dxa"/>
            <w:tcBorders>
              <w:bottom w:val="single" w:sz="4" w:space="0" w:color="auto"/>
            </w:tcBorders>
            <w:vAlign w:val="center"/>
          </w:tcPr>
          <w:p w14:paraId="0235AD16" w14:textId="5D9CFC1E" w:rsidR="00633030" w:rsidRPr="00932144" w:rsidRDefault="00633030" w:rsidP="00633030">
            <w:pPr>
              <w:jc w:val="center"/>
              <w:rPr>
                <w:rFonts w:cs="Arial"/>
                <w:sz w:val="20"/>
                <w:szCs w:val="20"/>
                <w:lang w:val="fr-FR"/>
              </w:rPr>
            </w:pPr>
            <w:r w:rsidRPr="00932144">
              <w:rPr>
                <w:rFonts w:cs="Arial"/>
                <w:sz w:val="20"/>
                <w:szCs w:val="20"/>
                <w:lang w:val="fr-FR"/>
              </w:rPr>
              <w:t>4.</w:t>
            </w:r>
            <w:r w:rsidR="00042983">
              <w:rPr>
                <w:rFonts w:cs="Arial"/>
                <w:sz w:val="20"/>
                <w:szCs w:val="20"/>
                <w:lang w:val="fr-FR"/>
              </w:rPr>
              <w:t>18</w:t>
            </w:r>
            <w:r w:rsidRPr="00932144">
              <w:rPr>
                <w:rFonts w:cs="Arial"/>
                <w:sz w:val="20"/>
                <w:szCs w:val="20"/>
                <w:lang w:val="fr-FR"/>
              </w:rPr>
              <w:t>E-04</w:t>
            </w:r>
          </w:p>
        </w:tc>
      </w:tr>
      <w:tr w:rsidR="00633030" w:rsidRPr="00EE493F" w14:paraId="388A3354" w14:textId="77777777" w:rsidTr="000116E6">
        <w:tc>
          <w:tcPr>
            <w:tcW w:w="1983" w:type="dxa"/>
            <w:vMerge w:val="restart"/>
            <w:tcBorders>
              <w:top w:val="single" w:sz="4" w:space="0" w:color="auto"/>
              <w:left w:val="single" w:sz="4" w:space="0" w:color="auto"/>
            </w:tcBorders>
            <w:shd w:val="clear" w:color="auto" w:fill="C6D9F1"/>
            <w:vAlign w:val="center"/>
          </w:tcPr>
          <w:p w14:paraId="3FBA645D" w14:textId="77777777" w:rsidR="00633030" w:rsidRPr="00932144" w:rsidRDefault="00633030" w:rsidP="00633030">
            <w:pPr>
              <w:rPr>
                <w:rFonts w:cs="Arial"/>
                <w:sz w:val="20"/>
                <w:szCs w:val="20"/>
                <w:lang w:val="fr-FR"/>
              </w:rPr>
            </w:pPr>
            <w:r w:rsidRPr="00EE493F">
              <w:rPr>
                <w:rFonts w:cs="Arial"/>
                <w:lang w:val="fr-FR"/>
              </w:rPr>
              <w:t>Appli + cleaning</w:t>
            </w:r>
          </w:p>
        </w:tc>
        <w:tc>
          <w:tcPr>
            <w:tcW w:w="1984" w:type="dxa"/>
            <w:tcBorders>
              <w:top w:val="single" w:sz="4" w:space="0" w:color="auto"/>
            </w:tcBorders>
            <w:shd w:val="clear" w:color="auto" w:fill="C6D9F1"/>
            <w:vAlign w:val="center"/>
          </w:tcPr>
          <w:p w14:paraId="6CA91754" w14:textId="77777777" w:rsidR="00633030" w:rsidRPr="00932144" w:rsidRDefault="00633030" w:rsidP="00633030">
            <w:pPr>
              <w:rPr>
                <w:rFonts w:cs="Arial"/>
                <w:sz w:val="20"/>
                <w:szCs w:val="20"/>
                <w:lang w:val="fr-FR"/>
              </w:rPr>
            </w:pPr>
            <w:r w:rsidRPr="00EE493F">
              <w:rPr>
                <w:rFonts w:cs="Arial"/>
                <w:lang w:val="fr-FR"/>
              </w:rPr>
              <w:t>Cyperméthrine</w:t>
            </w:r>
          </w:p>
        </w:tc>
        <w:tc>
          <w:tcPr>
            <w:tcW w:w="1984" w:type="dxa"/>
            <w:tcBorders>
              <w:top w:val="single" w:sz="4" w:space="0" w:color="auto"/>
            </w:tcBorders>
            <w:shd w:val="clear" w:color="auto" w:fill="C6D9F1"/>
            <w:vAlign w:val="bottom"/>
          </w:tcPr>
          <w:p w14:paraId="2DF0DFA9" w14:textId="63A25207" w:rsidR="00633030" w:rsidRPr="00932144" w:rsidRDefault="000C5FB6" w:rsidP="000C5FB6">
            <w:pPr>
              <w:jc w:val="center"/>
              <w:rPr>
                <w:rFonts w:cs="Arial"/>
                <w:sz w:val="20"/>
                <w:szCs w:val="20"/>
                <w:lang w:val="fr-FR"/>
              </w:rPr>
            </w:pPr>
            <w:r w:rsidRPr="00932144">
              <w:rPr>
                <w:rFonts w:cs="Arial"/>
                <w:lang w:val="fr-FR"/>
              </w:rPr>
              <w:t>1.27E-05</w:t>
            </w:r>
          </w:p>
        </w:tc>
        <w:tc>
          <w:tcPr>
            <w:tcW w:w="1984" w:type="dxa"/>
            <w:tcBorders>
              <w:top w:val="single" w:sz="4" w:space="0" w:color="auto"/>
            </w:tcBorders>
            <w:shd w:val="clear" w:color="auto" w:fill="C6D9F1"/>
            <w:vAlign w:val="bottom"/>
          </w:tcPr>
          <w:p w14:paraId="0CC130B0" w14:textId="69914D81" w:rsidR="00633030" w:rsidRPr="00932144" w:rsidRDefault="000C5FB6" w:rsidP="000C5FB6">
            <w:pPr>
              <w:jc w:val="center"/>
              <w:rPr>
                <w:rFonts w:cs="Arial"/>
                <w:sz w:val="20"/>
                <w:szCs w:val="20"/>
                <w:lang w:val="fr-FR"/>
              </w:rPr>
            </w:pPr>
            <w:r w:rsidRPr="00932144">
              <w:rPr>
                <w:rFonts w:cs="Arial"/>
                <w:lang w:val="fr-FR"/>
              </w:rPr>
              <w:t>3.43E-03</w:t>
            </w:r>
          </w:p>
        </w:tc>
        <w:tc>
          <w:tcPr>
            <w:tcW w:w="1984" w:type="dxa"/>
            <w:tcBorders>
              <w:top w:val="single" w:sz="4" w:space="0" w:color="auto"/>
              <w:right w:val="single" w:sz="4" w:space="0" w:color="auto"/>
            </w:tcBorders>
            <w:shd w:val="clear" w:color="auto" w:fill="C6D9F1"/>
            <w:vAlign w:val="bottom"/>
          </w:tcPr>
          <w:p w14:paraId="6A757EB1" w14:textId="6A80EE2D" w:rsidR="00633030" w:rsidRPr="00932144" w:rsidRDefault="000C5FB6" w:rsidP="000C5FB6">
            <w:pPr>
              <w:jc w:val="center"/>
              <w:rPr>
                <w:rFonts w:cs="Arial"/>
                <w:sz w:val="20"/>
                <w:szCs w:val="20"/>
                <w:lang w:val="fr-FR"/>
              </w:rPr>
            </w:pPr>
            <w:r w:rsidRPr="00932144">
              <w:rPr>
                <w:rFonts w:cs="Arial"/>
                <w:lang w:val="fr-FR"/>
              </w:rPr>
              <w:t>3.4</w:t>
            </w:r>
            <w:r w:rsidR="00042983">
              <w:rPr>
                <w:rFonts w:cs="Arial"/>
                <w:lang w:val="fr-FR"/>
              </w:rPr>
              <w:t>1</w:t>
            </w:r>
            <w:r w:rsidRPr="00932144">
              <w:rPr>
                <w:rFonts w:cs="Arial"/>
                <w:lang w:val="fr-FR"/>
              </w:rPr>
              <w:t>E-03</w:t>
            </w:r>
          </w:p>
        </w:tc>
      </w:tr>
      <w:tr w:rsidR="00633030" w:rsidRPr="00EE493F" w14:paraId="0F461CF3" w14:textId="77777777" w:rsidTr="000116E6">
        <w:tc>
          <w:tcPr>
            <w:tcW w:w="1983" w:type="dxa"/>
            <w:vMerge/>
            <w:tcBorders>
              <w:left w:val="single" w:sz="4" w:space="0" w:color="auto"/>
            </w:tcBorders>
            <w:shd w:val="clear" w:color="auto" w:fill="C6D9F1"/>
            <w:vAlign w:val="center"/>
          </w:tcPr>
          <w:p w14:paraId="28DFEDFE" w14:textId="77777777" w:rsidR="00633030" w:rsidRPr="00932144" w:rsidRDefault="00633030" w:rsidP="00633030">
            <w:pPr>
              <w:rPr>
                <w:rFonts w:cs="Arial"/>
                <w:sz w:val="20"/>
                <w:szCs w:val="20"/>
                <w:lang w:val="fr-FR"/>
              </w:rPr>
            </w:pPr>
          </w:p>
        </w:tc>
        <w:tc>
          <w:tcPr>
            <w:tcW w:w="1984" w:type="dxa"/>
            <w:shd w:val="clear" w:color="auto" w:fill="C6D9F1"/>
            <w:vAlign w:val="center"/>
          </w:tcPr>
          <w:p w14:paraId="31B9DFE6" w14:textId="77777777" w:rsidR="00633030" w:rsidRPr="00932144" w:rsidRDefault="00633030" w:rsidP="00633030">
            <w:pPr>
              <w:rPr>
                <w:rFonts w:cs="Arial"/>
                <w:sz w:val="20"/>
                <w:szCs w:val="20"/>
                <w:lang w:val="en-US"/>
              </w:rPr>
            </w:pPr>
            <w:r w:rsidRPr="00EE493F">
              <w:rPr>
                <w:rFonts w:cs="Arial"/>
                <w:lang w:val="en-US"/>
              </w:rPr>
              <w:t>Propiconazole</w:t>
            </w:r>
          </w:p>
        </w:tc>
        <w:tc>
          <w:tcPr>
            <w:tcW w:w="1984" w:type="dxa"/>
            <w:shd w:val="clear" w:color="auto" w:fill="C6D9F1"/>
            <w:vAlign w:val="bottom"/>
          </w:tcPr>
          <w:p w14:paraId="42CF3DFE" w14:textId="055FE8B3" w:rsidR="00633030" w:rsidRPr="00932144" w:rsidRDefault="000C5FB6" w:rsidP="000C5FB6">
            <w:pPr>
              <w:jc w:val="center"/>
              <w:rPr>
                <w:rFonts w:cs="Arial"/>
                <w:sz w:val="20"/>
                <w:szCs w:val="20"/>
                <w:lang w:val="fr-FR"/>
              </w:rPr>
            </w:pPr>
            <w:r w:rsidRPr="00932144">
              <w:rPr>
                <w:rFonts w:cs="Arial"/>
                <w:lang w:val="fr-FR"/>
              </w:rPr>
              <w:t>2.53E-05</w:t>
            </w:r>
          </w:p>
        </w:tc>
        <w:tc>
          <w:tcPr>
            <w:tcW w:w="1984" w:type="dxa"/>
            <w:shd w:val="clear" w:color="auto" w:fill="C6D9F1"/>
            <w:vAlign w:val="bottom"/>
          </w:tcPr>
          <w:p w14:paraId="2389FF09" w14:textId="3E6932FA" w:rsidR="00633030" w:rsidRPr="00932144" w:rsidRDefault="000C5FB6" w:rsidP="000C5FB6">
            <w:pPr>
              <w:jc w:val="center"/>
              <w:rPr>
                <w:rFonts w:cs="Arial"/>
                <w:sz w:val="20"/>
                <w:szCs w:val="20"/>
                <w:lang w:val="fr-FR"/>
              </w:rPr>
            </w:pPr>
            <w:r w:rsidRPr="00932144">
              <w:rPr>
                <w:rFonts w:cs="Arial"/>
                <w:lang w:val="fr-FR"/>
              </w:rPr>
              <w:t>4.95E-03</w:t>
            </w:r>
          </w:p>
        </w:tc>
        <w:tc>
          <w:tcPr>
            <w:tcW w:w="1984" w:type="dxa"/>
            <w:tcBorders>
              <w:right w:val="single" w:sz="4" w:space="0" w:color="auto"/>
            </w:tcBorders>
            <w:shd w:val="clear" w:color="auto" w:fill="C6D9F1"/>
            <w:vAlign w:val="bottom"/>
          </w:tcPr>
          <w:p w14:paraId="0009B3DF" w14:textId="6F3E2809" w:rsidR="00633030" w:rsidRPr="00932144" w:rsidRDefault="000C5FB6" w:rsidP="000C5FB6">
            <w:pPr>
              <w:jc w:val="center"/>
              <w:rPr>
                <w:rFonts w:cs="Arial"/>
                <w:sz w:val="20"/>
                <w:szCs w:val="20"/>
                <w:lang w:val="fr-FR"/>
              </w:rPr>
            </w:pPr>
            <w:r w:rsidRPr="00932144">
              <w:rPr>
                <w:rFonts w:cs="Arial"/>
                <w:lang w:val="fr-FR"/>
              </w:rPr>
              <w:t>4.9</w:t>
            </w:r>
            <w:r w:rsidR="00042983">
              <w:rPr>
                <w:rFonts w:cs="Arial"/>
                <w:lang w:val="fr-FR"/>
              </w:rPr>
              <w:t>3</w:t>
            </w:r>
            <w:r w:rsidRPr="00932144">
              <w:rPr>
                <w:rFonts w:cs="Arial"/>
                <w:lang w:val="fr-FR"/>
              </w:rPr>
              <w:t>E-03</w:t>
            </w:r>
          </w:p>
        </w:tc>
      </w:tr>
      <w:tr w:rsidR="00633030" w:rsidRPr="00EE493F" w14:paraId="4B45685F" w14:textId="77777777" w:rsidTr="000116E6">
        <w:tc>
          <w:tcPr>
            <w:tcW w:w="1983" w:type="dxa"/>
            <w:vMerge/>
            <w:tcBorders>
              <w:left w:val="single" w:sz="4" w:space="0" w:color="auto"/>
            </w:tcBorders>
            <w:shd w:val="clear" w:color="auto" w:fill="C6D9F1"/>
            <w:vAlign w:val="center"/>
          </w:tcPr>
          <w:p w14:paraId="0FD14CD4" w14:textId="77777777" w:rsidR="00633030" w:rsidRPr="00932144" w:rsidRDefault="00633030" w:rsidP="00633030">
            <w:pPr>
              <w:rPr>
                <w:rFonts w:cs="Arial"/>
                <w:sz w:val="20"/>
                <w:szCs w:val="20"/>
                <w:lang w:val="fr-FR"/>
              </w:rPr>
            </w:pPr>
          </w:p>
        </w:tc>
        <w:tc>
          <w:tcPr>
            <w:tcW w:w="1984" w:type="dxa"/>
            <w:tcBorders>
              <w:bottom w:val="single" w:sz="4" w:space="0" w:color="auto"/>
            </w:tcBorders>
            <w:shd w:val="clear" w:color="auto" w:fill="C6D9F1"/>
            <w:vAlign w:val="center"/>
          </w:tcPr>
          <w:p w14:paraId="6B7D2B23" w14:textId="77777777" w:rsidR="00633030" w:rsidRPr="00932144" w:rsidRDefault="00633030" w:rsidP="00633030">
            <w:pPr>
              <w:rPr>
                <w:rFonts w:cs="Arial"/>
                <w:sz w:val="20"/>
                <w:szCs w:val="20"/>
                <w:lang w:val="en-US"/>
              </w:rPr>
            </w:pPr>
            <w:r w:rsidRPr="00EE493F">
              <w:rPr>
                <w:rFonts w:cs="Arial"/>
                <w:lang w:val="en-US"/>
              </w:rPr>
              <w:t xml:space="preserve">Tébuconazole </w:t>
            </w:r>
          </w:p>
        </w:tc>
        <w:tc>
          <w:tcPr>
            <w:tcW w:w="1984" w:type="dxa"/>
            <w:tcBorders>
              <w:bottom w:val="single" w:sz="4" w:space="0" w:color="auto"/>
            </w:tcBorders>
            <w:shd w:val="clear" w:color="auto" w:fill="C6D9F1"/>
            <w:vAlign w:val="bottom"/>
          </w:tcPr>
          <w:p w14:paraId="3BECC85B" w14:textId="1FEE2412" w:rsidR="00633030" w:rsidRPr="00932144" w:rsidRDefault="000C5FB6" w:rsidP="000C5FB6">
            <w:pPr>
              <w:jc w:val="center"/>
              <w:rPr>
                <w:rFonts w:cs="Arial"/>
                <w:sz w:val="20"/>
                <w:szCs w:val="20"/>
                <w:lang w:val="fr-FR"/>
              </w:rPr>
            </w:pPr>
            <w:r w:rsidRPr="00932144">
              <w:rPr>
                <w:rFonts w:cs="Arial"/>
                <w:lang w:val="fr-FR"/>
              </w:rPr>
              <w:t>7.92E-06</w:t>
            </w:r>
          </w:p>
        </w:tc>
        <w:tc>
          <w:tcPr>
            <w:tcW w:w="1984" w:type="dxa"/>
            <w:tcBorders>
              <w:bottom w:val="single" w:sz="4" w:space="0" w:color="auto"/>
            </w:tcBorders>
            <w:shd w:val="clear" w:color="auto" w:fill="C6D9F1"/>
            <w:vAlign w:val="bottom"/>
          </w:tcPr>
          <w:p w14:paraId="05CF2F3E" w14:textId="33A447D7" w:rsidR="00633030" w:rsidRPr="00932144" w:rsidRDefault="000C5FB6" w:rsidP="000C5FB6">
            <w:pPr>
              <w:jc w:val="center"/>
              <w:rPr>
                <w:rFonts w:cs="Arial"/>
                <w:sz w:val="20"/>
                <w:szCs w:val="20"/>
                <w:lang w:val="fr-FR"/>
              </w:rPr>
            </w:pPr>
            <w:r w:rsidRPr="00932144">
              <w:rPr>
                <w:rFonts w:cs="Arial"/>
                <w:lang w:val="fr-FR"/>
              </w:rPr>
              <w:t>1.85E-03</w:t>
            </w:r>
          </w:p>
        </w:tc>
        <w:tc>
          <w:tcPr>
            <w:tcW w:w="1984" w:type="dxa"/>
            <w:tcBorders>
              <w:bottom w:val="single" w:sz="4" w:space="0" w:color="auto"/>
              <w:right w:val="single" w:sz="4" w:space="0" w:color="auto"/>
            </w:tcBorders>
            <w:shd w:val="clear" w:color="auto" w:fill="C6D9F1"/>
            <w:vAlign w:val="bottom"/>
          </w:tcPr>
          <w:p w14:paraId="78540B60" w14:textId="3E92CC7E" w:rsidR="00633030" w:rsidRPr="00932144" w:rsidRDefault="000C5FB6" w:rsidP="000C5FB6">
            <w:pPr>
              <w:jc w:val="center"/>
              <w:rPr>
                <w:rFonts w:cs="Arial"/>
                <w:sz w:val="20"/>
                <w:szCs w:val="20"/>
                <w:lang w:val="fr-FR"/>
              </w:rPr>
            </w:pPr>
            <w:r w:rsidRPr="00932144">
              <w:rPr>
                <w:rFonts w:cs="Arial"/>
                <w:lang w:val="fr-FR"/>
              </w:rPr>
              <w:t>1.8</w:t>
            </w:r>
            <w:r w:rsidR="00042983">
              <w:rPr>
                <w:rFonts w:cs="Arial"/>
                <w:lang w:val="fr-FR"/>
              </w:rPr>
              <w:t>3</w:t>
            </w:r>
            <w:r w:rsidRPr="00932144">
              <w:rPr>
                <w:rFonts w:cs="Arial"/>
                <w:lang w:val="fr-FR"/>
              </w:rPr>
              <w:t>E-03</w:t>
            </w:r>
          </w:p>
        </w:tc>
      </w:tr>
      <w:tr w:rsidR="000C5FB6" w:rsidRPr="00EE493F" w14:paraId="74E32C14" w14:textId="77777777" w:rsidTr="000116E6">
        <w:tc>
          <w:tcPr>
            <w:tcW w:w="1983" w:type="dxa"/>
            <w:vMerge/>
            <w:tcBorders>
              <w:left w:val="single" w:sz="4" w:space="0" w:color="auto"/>
              <w:bottom w:val="single" w:sz="4" w:space="0" w:color="auto"/>
            </w:tcBorders>
            <w:shd w:val="clear" w:color="auto" w:fill="C6D9F1"/>
            <w:vAlign w:val="center"/>
          </w:tcPr>
          <w:p w14:paraId="40C1E026" w14:textId="77777777" w:rsidR="000C5FB6" w:rsidRPr="00932144" w:rsidRDefault="000C5FB6" w:rsidP="00633030">
            <w:pPr>
              <w:rPr>
                <w:rFonts w:cs="Arial"/>
                <w:sz w:val="20"/>
                <w:szCs w:val="20"/>
                <w:lang w:val="fr-FR"/>
              </w:rPr>
            </w:pPr>
          </w:p>
        </w:tc>
        <w:tc>
          <w:tcPr>
            <w:tcW w:w="1984" w:type="dxa"/>
            <w:tcBorders>
              <w:bottom w:val="single" w:sz="4" w:space="0" w:color="auto"/>
            </w:tcBorders>
            <w:shd w:val="clear" w:color="auto" w:fill="C6D9F1"/>
            <w:vAlign w:val="center"/>
          </w:tcPr>
          <w:p w14:paraId="68C0F143" w14:textId="77777777" w:rsidR="000C5FB6" w:rsidRPr="00932144" w:rsidRDefault="000C5FB6" w:rsidP="00633030">
            <w:pPr>
              <w:rPr>
                <w:rFonts w:cs="Arial"/>
                <w:sz w:val="20"/>
                <w:szCs w:val="20"/>
                <w:lang w:val="en-US"/>
              </w:rPr>
            </w:pPr>
            <w:r w:rsidRPr="00EE493F">
              <w:rPr>
                <w:rFonts w:cs="Arial"/>
                <w:lang w:val="en-US"/>
              </w:rPr>
              <w:t>IPBC</w:t>
            </w:r>
          </w:p>
        </w:tc>
        <w:tc>
          <w:tcPr>
            <w:tcW w:w="1984" w:type="dxa"/>
            <w:tcBorders>
              <w:bottom w:val="single" w:sz="4" w:space="0" w:color="auto"/>
            </w:tcBorders>
            <w:shd w:val="clear" w:color="auto" w:fill="C6D9F1"/>
            <w:vAlign w:val="bottom"/>
          </w:tcPr>
          <w:p w14:paraId="4CF480EA" w14:textId="31829E65" w:rsidR="000C5FB6" w:rsidRPr="00932144" w:rsidRDefault="000C5FB6" w:rsidP="000C5FB6">
            <w:pPr>
              <w:jc w:val="center"/>
              <w:rPr>
                <w:rFonts w:cs="Arial"/>
                <w:sz w:val="20"/>
                <w:szCs w:val="20"/>
                <w:lang w:val="fr-FR"/>
              </w:rPr>
            </w:pPr>
            <w:r w:rsidRPr="00932144">
              <w:rPr>
                <w:rFonts w:cs="Arial"/>
                <w:lang w:val="fr-FR"/>
              </w:rPr>
              <w:t>7.92E-06</w:t>
            </w:r>
          </w:p>
        </w:tc>
        <w:tc>
          <w:tcPr>
            <w:tcW w:w="1984" w:type="dxa"/>
            <w:tcBorders>
              <w:bottom w:val="single" w:sz="4" w:space="0" w:color="auto"/>
            </w:tcBorders>
            <w:shd w:val="clear" w:color="auto" w:fill="C6D9F1"/>
            <w:vAlign w:val="bottom"/>
          </w:tcPr>
          <w:p w14:paraId="5B026839" w14:textId="69FF858E" w:rsidR="000C5FB6" w:rsidRPr="00932144" w:rsidRDefault="000C5FB6" w:rsidP="00633030">
            <w:pPr>
              <w:jc w:val="center"/>
              <w:rPr>
                <w:rFonts w:cs="Arial"/>
                <w:sz w:val="20"/>
                <w:szCs w:val="20"/>
                <w:lang w:val="fr-FR"/>
              </w:rPr>
            </w:pPr>
            <w:r w:rsidRPr="00932144">
              <w:rPr>
                <w:rFonts w:cs="Arial"/>
                <w:lang w:val="fr-FR"/>
              </w:rPr>
              <w:t>4.47E-03</w:t>
            </w:r>
          </w:p>
        </w:tc>
        <w:tc>
          <w:tcPr>
            <w:tcW w:w="1984" w:type="dxa"/>
            <w:tcBorders>
              <w:bottom w:val="single" w:sz="4" w:space="0" w:color="auto"/>
              <w:right w:val="single" w:sz="4" w:space="0" w:color="auto"/>
            </w:tcBorders>
            <w:shd w:val="clear" w:color="auto" w:fill="C6D9F1"/>
            <w:vAlign w:val="bottom"/>
          </w:tcPr>
          <w:p w14:paraId="06653D09" w14:textId="20BBD4EB" w:rsidR="000C5FB6" w:rsidRPr="00932144" w:rsidRDefault="000C5FB6" w:rsidP="00633030">
            <w:pPr>
              <w:jc w:val="center"/>
              <w:rPr>
                <w:rFonts w:cs="Arial"/>
                <w:sz w:val="20"/>
                <w:szCs w:val="20"/>
                <w:lang w:val="fr-FR"/>
              </w:rPr>
            </w:pPr>
            <w:r w:rsidRPr="00932144">
              <w:rPr>
                <w:rFonts w:cs="Arial"/>
                <w:lang w:val="fr-FR"/>
              </w:rPr>
              <w:t>4.4</w:t>
            </w:r>
            <w:r w:rsidR="00042983">
              <w:rPr>
                <w:rFonts w:cs="Arial"/>
                <w:lang w:val="fr-FR"/>
              </w:rPr>
              <w:t>3</w:t>
            </w:r>
            <w:r w:rsidRPr="00932144">
              <w:rPr>
                <w:rFonts w:cs="Arial"/>
                <w:lang w:val="fr-FR"/>
              </w:rPr>
              <w:t>E-03</w:t>
            </w:r>
          </w:p>
        </w:tc>
      </w:tr>
    </w:tbl>
    <w:p w14:paraId="4A1EE2BE" w14:textId="77777777" w:rsidR="00633030" w:rsidRPr="00633030" w:rsidRDefault="00633030" w:rsidP="00633030">
      <w:pPr>
        <w:autoSpaceDE w:val="0"/>
        <w:rPr>
          <w:rFonts w:cs="Arial"/>
          <w:i/>
          <w:lang w:eastAsia="sv-SE"/>
        </w:rPr>
      </w:pPr>
    </w:p>
    <w:p w14:paraId="1DED6705" w14:textId="77777777" w:rsidR="00633030" w:rsidRPr="00633030" w:rsidRDefault="00633030" w:rsidP="00633030">
      <w:pPr>
        <w:autoSpaceDE w:val="0"/>
        <w:rPr>
          <w:rFonts w:cs="Arial"/>
          <w:lang w:eastAsia="sv-SE"/>
        </w:rPr>
      </w:pPr>
      <w:r w:rsidRPr="00633030">
        <w:rPr>
          <w:rFonts w:cs="Arial"/>
          <w:lang w:eastAsia="sv-SE"/>
        </w:rPr>
        <w:t>Then, as the injection is performed in combination with superficial treatment, the exposure determined above is combined with the exposure during the application by brushing and spraying.</w:t>
      </w:r>
    </w:p>
    <w:p w14:paraId="3795F60C" w14:textId="77777777" w:rsidR="00633030" w:rsidRPr="00633030" w:rsidRDefault="00633030" w:rsidP="00633030">
      <w:pPr>
        <w:autoSpaceDE w:val="0"/>
        <w:rPr>
          <w:rFonts w:cs="Arial"/>
          <w:lang w:eastAsia="sv-SE"/>
        </w:rPr>
      </w:pPr>
    </w:p>
    <w:p w14:paraId="0F0CEBED" w14:textId="77777777" w:rsidR="00633030" w:rsidRPr="00633030" w:rsidRDefault="00633030" w:rsidP="00633030">
      <w:pPr>
        <w:autoSpaceDE w:val="0"/>
        <w:rPr>
          <w:rFonts w:cs="Arial"/>
          <w:u w:val="single"/>
          <w:lang w:eastAsia="sv-SE"/>
        </w:rPr>
      </w:pPr>
      <w:r w:rsidRPr="00633030">
        <w:rPr>
          <w:rFonts w:cs="Arial"/>
          <w:lang w:eastAsia="sv-SE"/>
        </w:rPr>
        <w:t xml:space="preserve"> </w:t>
      </w:r>
      <w:r w:rsidRPr="00633030">
        <w:rPr>
          <w:rFonts w:cs="Arial"/>
          <w:u w:val="single"/>
          <w:lang w:eastAsia="sv-SE"/>
        </w:rPr>
        <w:t>Injection combined with brush treatment</w:t>
      </w:r>
    </w:p>
    <w:p w14:paraId="7DC39419" w14:textId="77777777" w:rsidR="00633030" w:rsidRPr="00633030" w:rsidRDefault="00633030" w:rsidP="00633030">
      <w:pPr>
        <w:autoSpaceDE w:val="0"/>
        <w:rPr>
          <w:rFonts w:cs="Arial"/>
          <w:lang w:eastAsia="sv-SE"/>
        </w:rPr>
      </w:pPr>
    </w:p>
    <w:tbl>
      <w:tblPr>
        <w:tblStyle w:val="Grilledutableau1"/>
        <w:tblW w:w="0" w:type="auto"/>
        <w:tblLook w:val="04A0" w:firstRow="1" w:lastRow="0" w:firstColumn="1" w:lastColumn="0" w:noHBand="0" w:noVBand="1"/>
      </w:tblPr>
      <w:tblGrid>
        <w:gridCol w:w="1965"/>
        <w:gridCol w:w="1980"/>
        <w:gridCol w:w="5824"/>
      </w:tblGrid>
      <w:tr w:rsidR="0028390E" w:rsidRPr="00EE493F" w14:paraId="0A4E9FB4" w14:textId="77777777" w:rsidTr="000116E6">
        <w:trPr>
          <w:cantSplit/>
          <w:tblHeader/>
        </w:trPr>
        <w:tc>
          <w:tcPr>
            <w:tcW w:w="1983" w:type="dxa"/>
            <w:vAlign w:val="center"/>
          </w:tcPr>
          <w:p w14:paraId="53157B57" w14:textId="77777777" w:rsidR="0028390E" w:rsidRPr="00932144" w:rsidRDefault="0028390E" w:rsidP="00633030">
            <w:pPr>
              <w:autoSpaceDE w:val="0"/>
              <w:autoSpaceDN w:val="0"/>
              <w:adjustRightInd w:val="0"/>
              <w:spacing w:before="60" w:after="60"/>
              <w:rPr>
                <w:rFonts w:cs="Arial"/>
                <w:b/>
                <w:sz w:val="20"/>
                <w:szCs w:val="20"/>
              </w:rPr>
            </w:pPr>
            <w:r w:rsidRPr="00EE493F">
              <w:rPr>
                <w:rFonts w:cs="Arial"/>
                <w:b/>
              </w:rPr>
              <w:t>Scenario</w:t>
            </w:r>
          </w:p>
        </w:tc>
        <w:tc>
          <w:tcPr>
            <w:tcW w:w="1984" w:type="dxa"/>
            <w:vAlign w:val="center"/>
          </w:tcPr>
          <w:p w14:paraId="7A29A6F9" w14:textId="77777777" w:rsidR="0028390E" w:rsidRPr="00932144" w:rsidRDefault="0028390E" w:rsidP="00633030">
            <w:pPr>
              <w:tabs>
                <w:tab w:val="left" w:pos="426"/>
              </w:tabs>
              <w:autoSpaceDE w:val="0"/>
              <w:autoSpaceDN w:val="0"/>
              <w:adjustRightInd w:val="0"/>
              <w:spacing w:before="60" w:after="60"/>
              <w:rPr>
                <w:rFonts w:cs="Arial"/>
                <w:b/>
                <w:sz w:val="20"/>
                <w:szCs w:val="20"/>
              </w:rPr>
            </w:pPr>
            <w:r w:rsidRPr="00EE493F">
              <w:rPr>
                <w:rFonts w:cs="Arial"/>
                <w:b/>
              </w:rPr>
              <w:t>Active substance</w:t>
            </w:r>
          </w:p>
        </w:tc>
        <w:tc>
          <w:tcPr>
            <w:tcW w:w="5952" w:type="dxa"/>
            <w:vAlign w:val="center"/>
          </w:tcPr>
          <w:p w14:paraId="7653DCE8" w14:textId="77777777" w:rsidR="0028390E" w:rsidRPr="00932144" w:rsidRDefault="0028390E" w:rsidP="00633030">
            <w:pPr>
              <w:autoSpaceDE w:val="0"/>
              <w:autoSpaceDN w:val="0"/>
              <w:adjustRightInd w:val="0"/>
              <w:spacing w:before="60" w:after="60"/>
              <w:rPr>
                <w:rFonts w:cs="Arial"/>
                <w:b/>
                <w:sz w:val="20"/>
                <w:szCs w:val="20"/>
              </w:rPr>
            </w:pPr>
            <w:r w:rsidRPr="00EE493F">
              <w:rPr>
                <w:rFonts w:cs="Arial"/>
                <w:b/>
              </w:rPr>
              <w:t>Total Exposure (mg/kg bw/d)</w:t>
            </w:r>
          </w:p>
        </w:tc>
      </w:tr>
      <w:tr w:rsidR="00633030" w:rsidRPr="00EE493F" w14:paraId="554BCA7E" w14:textId="77777777" w:rsidTr="000116E6">
        <w:tc>
          <w:tcPr>
            <w:tcW w:w="9919" w:type="dxa"/>
            <w:gridSpan w:val="3"/>
            <w:shd w:val="clear" w:color="auto" w:fill="BFBFBF"/>
            <w:vAlign w:val="center"/>
          </w:tcPr>
          <w:p w14:paraId="055173C4" w14:textId="35F0A7E1" w:rsidR="00633030" w:rsidRPr="00932144" w:rsidRDefault="00633030" w:rsidP="00633030">
            <w:pPr>
              <w:rPr>
                <w:rFonts w:cs="Arial"/>
                <w:b/>
                <w:sz w:val="20"/>
                <w:szCs w:val="20"/>
                <w:lang w:val="en-US"/>
              </w:rPr>
            </w:pPr>
            <w:r w:rsidRPr="00EE493F">
              <w:rPr>
                <w:rFonts w:cs="Arial"/>
                <w:b/>
                <w:lang w:val="en-US"/>
              </w:rPr>
              <w:t>Injection  1</w:t>
            </w:r>
            <w:r w:rsidR="000C5FB6" w:rsidRPr="00EE493F">
              <w:rPr>
                <w:rFonts w:cs="Arial"/>
                <w:b/>
                <w:lang w:val="en-US"/>
              </w:rPr>
              <w:t>45</w:t>
            </w:r>
            <w:r w:rsidRPr="00EE493F">
              <w:rPr>
                <w:rFonts w:cs="Arial"/>
                <w:b/>
                <w:lang w:val="en-US"/>
              </w:rPr>
              <w:t xml:space="preserve"> g/m</w:t>
            </w:r>
            <w:r w:rsidRPr="00EE493F">
              <w:rPr>
                <w:rFonts w:cs="Arial"/>
                <w:b/>
                <w:vertAlign w:val="superscript"/>
                <w:lang w:val="en-US"/>
              </w:rPr>
              <w:t>2</w:t>
            </w:r>
            <w:r w:rsidRPr="00EE493F">
              <w:rPr>
                <w:rFonts w:cs="Arial"/>
                <w:b/>
                <w:lang w:val="en-US"/>
              </w:rPr>
              <w:t xml:space="preserve"> in combination with brush treatment at 300 g/m2</w:t>
            </w:r>
          </w:p>
          <w:p w14:paraId="20D2E299" w14:textId="52AC9429" w:rsidR="00633030" w:rsidRPr="00932144" w:rsidRDefault="00633030" w:rsidP="000C5FB6">
            <w:pPr>
              <w:rPr>
                <w:rFonts w:cs="Arial"/>
                <w:b/>
                <w:sz w:val="20"/>
                <w:szCs w:val="20"/>
                <w:lang w:val="en-US"/>
              </w:rPr>
            </w:pPr>
            <w:r w:rsidRPr="00EE493F">
              <w:rPr>
                <w:rFonts w:cs="Arial"/>
                <w:b/>
                <w:lang w:val="en-US"/>
              </w:rPr>
              <w:t xml:space="preserve">With </w:t>
            </w:r>
            <w:r w:rsidR="000C5FB6" w:rsidRPr="00EE493F">
              <w:rPr>
                <w:rFonts w:cs="Arial"/>
                <w:b/>
                <w:lang w:val="en-US"/>
              </w:rPr>
              <w:t xml:space="preserve">gloves and coated coverall </w:t>
            </w:r>
            <w:r w:rsidRPr="00EE493F">
              <w:rPr>
                <w:rFonts w:cs="Arial"/>
                <w:b/>
                <w:lang w:val="en-US"/>
              </w:rPr>
              <w:t xml:space="preserve"> during application </w:t>
            </w:r>
            <w:r w:rsidR="000C5FB6" w:rsidRPr="00EE493F">
              <w:rPr>
                <w:rFonts w:cs="Arial"/>
                <w:b/>
                <w:lang w:val="en-US"/>
              </w:rPr>
              <w:t xml:space="preserve">by brushing , </w:t>
            </w:r>
            <w:r w:rsidRPr="00EE493F">
              <w:rPr>
                <w:rFonts w:cs="Arial"/>
                <w:b/>
                <w:lang w:val="en-US"/>
              </w:rPr>
              <w:t>gloves during injection and no PPE during cleaning</w:t>
            </w:r>
          </w:p>
        </w:tc>
      </w:tr>
      <w:tr w:rsidR="0028390E" w:rsidRPr="00EE493F" w14:paraId="35B21C88" w14:textId="77777777" w:rsidTr="000116E6">
        <w:tc>
          <w:tcPr>
            <w:tcW w:w="1983" w:type="dxa"/>
            <w:vMerge w:val="restart"/>
            <w:vAlign w:val="center"/>
          </w:tcPr>
          <w:p w14:paraId="57A4257B" w14:textId="77777777" w:rsidR="0028390E" w:rsidRPr="00932144" w:rsidRDefault="0028390E" w:rsidP="00633030">
            <w:pPr>
              <w:rPr>
                <w:rFonts w:cs="Arial"/>
                <w:sz w:val="20"/>
                <w:szCs w:val="20"/>
                <w:lang w:val="en-US"/>
              </w:rPr>
            </w:pPr>
            <w:r w:rsidRPr="00EE493F">
              <w:rPr>
                <w:rFonts w:cs="Arial"/>
                <w:lang w:val="en-US"/>
              </w:rPr>
              <w:t>Brush treatment</w:t>
            </w:r>
          </w:p>
        </w:tc>
        <w:tc>
          <w:tcPr>
            <w:tcW w:w="1984" w:type="dxa"/>
            <w:vAlign w:val="center"/>
          </w:tcPr>
          <w:p w14:paraId="4F3EB421" w14:textId="77777777" w:rsidR="0028390E" w:rsidRPr="00932144" w:rsidRDefault="0028390E" w:rsidP="00633030">
            <w:pPr>
              <w:rPr>
                <w:rFonts w:cs="Arial"/>
                <w:sz w:val="20"/>
                <w:szCs w:val="20"/>
                <w:lang w:val="fr-FR"/>
              </w:rPr>
            </w:pPr>
            <w:r w:rsidRPr="00EE493F">
              <w:rPr>
                <w:rFonts w:cs="Arial"/>
                <w:lang w:val="fr-FR"/>
              </w:rPr>
              <w:t>Cyperméthrine</w:t>
            </w:r>
          </w:p>
        </w:tc>
        <w:tc>
          <w:tcPr>
            <w:tcW w:w="5952" w:type="dxa"/>
            <w:vAlign w:val="bottom"/>
          </w:tcPr>
          <w:p w14:paraId="2752FC9F" w14:textId="1F02793E" w:rsidR="0028390E" w:rsidRPr="00932144" w:rsidRDefault="0028390E" w:rsidP="00633030">
            <w:pPr>
              <w:jc w:val="center"/>
              <w:rPr>
                <w:rFonts w:cs="Arial"/>
                <w:sz w:val="20"/>
                <w:szCs w:val="20"/>
                <w:lang w:val="fr-FR"/>
              </w:rPr>
            </w:pPr>
            <w:r w:rsidRPr="00932144">
              <w:rPr>
                <w:rFonts w:cs="Arial"/>
                <w:lang w:val="fr-FR"/>
              </w:rPr>
              <w:t>1</w:t>
            </w:r>
            <w:r w:rsidR="003C1F4F" w:rsidRPr="00EE493F">
              <w:rPr>
                <w:rFonts w:cs="Arial"/>
                <w:lang w:val="fr-FR"/>
              </w:rPr>
              <w:t>.</w:t>
            </w:r>
            <w:r w:rsidRPr="00932144">
              <w:rPr>
                <w:rFonts w:cs="Arial"/>
                <w:lang w:val="fr-FR"/>
              </w:rPr>
              <w:t>88E-03</w:t>
            </w:r>
          </w:p>
        </w:tc>
      </w:tr>
      <w:tr w:rsidR="0028390E" w:rsidRPr="00EE493F" w14:paraId="52968C5B" w14:textId="77777777" w:rsidTr="000116E6">
        <w:tc>
          <w:tcPr>
            <w:tcW w:w="1983" w:type="dxa"/>
            <w:vMerge/>
            <w:vAlign w:val="center"/>
          </w:tcPr>
          <w:p w14:paraId="0CFD4CCD" w14:textId="77777777" w:rsidR="0028390E" w:rsidRPr="00932144" w:rsidRDefault="0028390E" w:rsidP="00633030">
            <w:pPr>
              <w:rPr>
                <w:rFonts w:cs="Arial"/>
                <w:sz w:val="20"/>
                <w:szCs w:val="20"/>
                <w:lang w:val="en-US"/>
              </w:rPr>
            </w:pPr>
          </w:p>
        </w:tc>
        <w:tc>
          <w:tcPr>
            <w:tcW w:w="1984" w:type="dxa"/>
            <w:vAlign w:val="center"/>
          </w:tcPr>
          <w:p w14:paraId="6C77FB35" w14:textId="77777777" w:rsidR="0028390E" w:rsidRPr="00932144" w:rsidRDefault="0028390E" w:rsidP="00633030">
            <w:pPr>
              <w:rPr>
                <w:rFonts w:cs="Arial"/>
                <w:sz w:val="20"/>
                <w:szCs w:val="20"/>
                <w:lang w:val="en-US"/>
              </w:rPr>
            </w:pPr>
            <w:r w:rsidRPr="00EE493F">
              <w:rPr>
                <w:rFonts w:cs="Arial"/>
                <w:lang w:val="en-US"/>
              </w:rPr>
              <w:t>Propiconazole</w:t>
            </w:r>
          </w:p>
        </w:tc>
        <w:tc>
          <w:tcPr>
            <w:tcW w:w="5952" w:type="dxa"/>
            <w:vAlign w:val="bottom"/>
          </w:tcPr>
          <w:p w14:paraId="7B56F8DF" w14:textId="3CF20C40" w:rsidR="0028390E" w:rsidRPr="00932144" w:rsidRDefault="0028390E" w:rsidP="00633030">
            <w:pPr>
              <w:jc w:val="center"/>
              <w:rPr>
                <w:rFonts w:cs="Arial"/>
                <w:sz w:val="20"/>
                <w:szCs w:val="20"/>
                <w:lang w:val="fr-FR"/>
              </w:rPr>
            </w:pPr>
            <w:r w:rsidRPr="00932144">
              <w:rPr>
                <w:rFonts w:cs="Arial"/>
                <w:lang w:val="fr-FR"/>
              </w:rPr>
              <w:t>2</w:t>
            </w:r>
            <w:r w:rsidR="003C1F4F" w:rsidRPr="00EE493F">
              <w:rPr>
                <w:rFonts w:cs="Arial"/>
                <w:lang w:val="fr-FR"/>
              </w:rPr>
              <w:t>.</w:t>
            </w:r>
            <w:r w:rsidRPr="00932144">
              <w:rPr>
                <w:rFonts w:cs="Arial"/>
                <w:lang w:val="fr-FR"/>
              </w:rPr>
              <w:t>67E-03</w:t>
            </w:r>
          </w:p>
        </w:tc>
      </w:tr>
      <w:tr w:rsidR="0028390E" w:rsidRPr="00EE493F" w14:paraId="76FF5E70" w14:textId="77777777" w:rsidTr="000116E6">
        <w:tc>
          <w:tcPr>
            <w:tcW w:w="1983" w:type="dxa"/>
            <w:vMerge/>
            <w:vAlign w:val="center"/>
          </w:tcPr>
          <w:p w14:paraId="749356F2" w14:textId="77777777" w:rsidR="0028390E" w:rsidRPr="00932144" w:rsidRDefault="0028390E" w:rsidP="00633030">
            <w:pPr>
              <w:rPr>
                <w:rFonts w:cs="Arial"/>
                <w:sz w:val="20"/>
                <w:szCs w:val="20"/>
                <w:lang w:val="en-US"/>
              </w:rPr>
            </w:pPr>
          </w:p>
        </w:tc>
        <w:tc>
          <w:tcPr>
            <w:tcW w:w="1984" w:type="dxa"/>
            <w:vAlign w:val="center"/>
          </w:tcPr>
          <w:p w14:paraId="537B8497" w14:textId="77777777" w:rsidR="0028390E" w:rsidRPr="00932144" w:rsidRDefault="0028390E" w:rsidP="00633030">
            <w:pPr>
              <w:rPr>
                <w:rFonts w:cs="Arial"/>
                <w:sz w:val="20"/>
                <w:szCs w:val="20"/>
                <w:lang w:val="en-US"/>
              </w:rPr>
            </w:pPr>
            <w:r w:rsidRPr="00EE493F">
              <w:rPr>
                <w:rFonts w:cs="Arial"/>
                <w:lang w:val="en-US"/>
              </w:rPr>
              <w:t xml:space="preserve">Tébuconazole </w:t>
            </w:r>
          </w:p>
        </w:tc>
        <w:tc>
          <w:tcPr>
            <w:tcW w:w="5952" w:type="dxa"/>
            <w:vAlign w:val="bottom"/>
          </w:tcPr>
          <w:p w14:paraId="08CE8CE2" w14:textId="2CCCCD17" w:rsidR="0028390E" w:rsidRPr="00932144" w:rsidRDefault="0028390E">
            <w:pPr>
              <w:jc w:val="center"/>
              <w:rPr>
                <w:rFonts w:cs="Arial"/>
                <w:sz w:val="20"/>
                <w:szCs w:val="20"/>
                <w:lang w:val="fr-FR"/>
              </w:rPr>
            </w:pPr>
            <w:r w:rsidRPr="00932144">
              <w:rPr>
                <w:rFonts w:cs="Arial"/>
                <w:lang w:val="fr-FR"/>
              </w:rPr>
              <w:t>1</w:t>
            </w:r>
            <w:r w:rsidR="003C1F4F" w:rsidRPr="00EE493F">
              <w:rPr>
                <w:rFonts w:cs="Arial"/>
                <w:lang w:val="fr-FR"/>
              </w:rPr>
              <w:t>.</w:t>
            </w:r>
            <w:r w:rsidRPr="00932144">
              <w:rPr>
                <w:rFonts w:cs="Arial"/>
                <w:lang w:val="fr-FR"/>
              </w:rPr>
              <w:t>13E-03</w:t>
            </w:r>
          </w:p>
        </w:tc>
      </w:tr>
      <w:tr w:rsidR="0028390E" w:rsidRPr="00EE493F" w14:paraId="13515C80" w14:textId="77777777" w:rsidTr="000116E6">
        <w:tc>
          <w:tcPr>
            <w:tcW w:w="1983" w:type="dxa"/>
            <w:vMerge/>
            <w:vAlign w:val="center"/>
          </w:tcPr>
          <w:p w14:paraId="3DD6F290" w14:textId="77777777" w:rsidR="0028390E" w:rsidRPr="00932144" w:rsidRDefault="0028390E" w:rsidP="00633030">
            <w:pPr>
              <w:rPr>
                <w:rFonts w:cs="Arial"/>
                <w:sz w:val="20"/>
                <w:szCs w:val="20"/>
                <w:lang w:val="en-US"/>
              </w:rPr>
            </w:pPr>
          </w:p>
        </w:tc>
        <w:tc>
          <w:tcPr>
            <w:tcW w:w="1984" w:type="dxa"/>
            <w:vAlign w:val="center"/>
          </w:tcPr>
          <w:p w14:paraId="7A244C29" w14:textId="77777777" w:rsidR="0028390E" w:rsidRPr="00932144" w:rsidRDefault="0028390E" w:rsidP="00633030">
            <w:pPr>
              <w:rPr>
                <w:rFonts w:cs="Arial"/>
                <w:sz w:val="20"/>
                <w:szCs w:val="20"/>
                <w:lang w:val="en-US"/>
              </w:rPr>
            </w:pPr>
            <w:r w:rsidRPr="00EE493F">
              <w:rPr>
                <w:rFonts w:cs="Arial"/>
                <w:lang w:val="en-US"/>
              </w:rPr>
              <w:t>IPBC</w:t>
            </w:r>
          </w:p>
        </w:tc>
        <w:tc>
          <w:tcPr>
            <w:tcW w:w="5952" w:type="dxa"/>
            <w:vAlign w:val="bottom"/>
          </w:tcPr>
          <w:p w14:paraId="0A344BEC" w14:textId="395F5924" w:rsidR="0028390E" w:rsidRPr="00932144" w:rsidRDefault="0028390E" w:rsidP="00633030">
            <w:pPr>
              <w:jc w:val="center"/>
              <w:rPr>
                <w:rFonts w:cs="Arial"/>
                <w:sz w:val="20"/>
                <w:szCs w:val="20"/>
                <w:lang w:val="fr-FR"/>
              </w:rPr>
            </w:pPr>
            <w:r w:rsidRPr="00932144">
              <w:rPr>
                <w:rFonts w:cs="Arial"/>
                <w:lang w:val="fr-FR"/>
              </w:rPr>
              <w:t>2,30E-03</w:t>
            </w:r>
          </w:p>
        </w:tc>
      </w:tr>
      <w:tr w:rsidR="00CC4986" w:rsidRPr="00EE493F" w14:paraId="2D4BB6B9" w14:textId="77777777" w:rsidTr="000116E6">
        <w:tc>
          <w:tcPr>
            <w:tcW w:w="1983" w:type="dxa"/>
            <w:vMerge w:val="restart"/>
            <w:vAlign w:val="center"/>
          </w:tcPr>
          <w:p w14:paraId="33566415" w14:textId="77777777" w:rsidR="00CC4986" w:rsidRPr="00932144" w:rsidRDefault="00CC4986" w:rsidP="00633030">
            <w:pPr>
              <w:rPr>
                <w:rFonts w:cs="Arial"/>
                <w:sz w:val="20"/>
                <w:szCs w:val="20"/>
                <w:lang w:val="en-US"/>
              </w:rPr>
            </w:pPr>
            <w:r w:rsidRPr="00EE493F">
              <w:rPr>
                <w:rFonts w:cs="Arial"/>
                <w:lang w:val="en-US"/>
              </w:rPr>
              <w:t xml:space="preserve">Injection  </w:t>
            </w:r>
          </w:p>
        </w:tc>
        <w:tc>
          <w:tcPr>
            <w:tcW w:w="1984" w:type="dxa"/>
            <w:vAlign w:val="center"/>
          </w:tcPr>
          <w:p w14:paraId="144A3B58" w14:textId="77777777" w:rsidR="00CC4986" w:rsidRPr="00932144" w:rsidRDefault="00CC4986" w:rsidP="00633030">
            <w:pPr>
              <w:rPr>
                <w:rFonts w:cs="Arial"/>
                <w:sz w:val="20"/>
                <w:szCs w:val="20"/>
                <w:lang w:val="fr-FR"/>
              </w:rPr>
            </w:pPr>
            <w:r w:rsidRPr="00EE493F">
              <w:rPr>
                <w:rFonts w:cs="Arial"/>
                <w:lang w:val="fr-FR"/>
              </w:rPr>
              <w:t>Cyperméthrine</w:t>
            </w:r>
          </w:p>
        </w:tc>
        <w:tc>
          <w:tcPr>
            <w:tcW w:w="5952" w:type="dxa"/>
            <w:vAlign w:val="center"/>
          </w:tcPr>
          <w:p w14:paraId="12C1BBBB" w14:textId="60E3F85C" w:rsidR="00CC4986" w:rsidRPr="00932144" w:rsidRDefault="00CC4986" w:rsidP="00633030">
            <w:pPr>
              <w:jc w:val="center"/>
              <w:rPr>
                <w:b/>
                <w:bCs/>
                <w:color w:val="FF0000"/>
                <w:sz w:val="20"/>
                <w:szCs w:val="20"/>
              </w:rPr>
            </w:pPr>
            <w:r w:rsidRPr="00932144">
              <w:rPr>
                <w:rFonts w:cs="Arial"/>
                <w:lang w:val="fr-FR"/>
              </w:rPr>
              <w:t>5.</w:t>
            </w:r>
            <w:r>
              <w:rPr>
                <w:rFonts w:cs="Arial"/>
                <w:lang w:val="fr-FR"/>
              </w:rPr>
              <w:t>55</w:t>
            </w:r>
            <w:r w:rsidRPr="00932144">
              <w:rPr>
                <w:rFonts w:cs="Arial"/>
                <w:lang w:val="fr-FR"/>
              </w:rPr>
              <w:t>E-03</w:t>
            </w:r>
          </w:p>
        </w:tc>
      </w:tr>
      <w:tr w:rsidR="00CC4986" w:rsidRPr="00EE493F" w14:paraId="10142801" w14:textId="77777777" w:rsidTr="000116E6">
        <w:tc>
          <w:tcPr>
            <w:tcW w:w="1983" w:type="dxa"/>
            <w:vMerge/>
            <w:vAlign w:val="center"/>
          </w:tcPr>
          <w:p w14:paraId="4CAD9D1D" w14:textId="77777777" w:rsidR="00CC4986" w:rsidRPr="00932144" w:rsidRDefault="00CC4986" w:rsidP="00633030">
            <w:pPr>
              <w:rPr>
                <w:rFonts w:cs="Arial"/>
                <w:sz w:val="20"/>
                <w:szCs w:val="20"/>
                <w:lang w:val="fr-FR"/>
              </w:rPr>
            </w:pPr>
          </w:p>
        </w:tc>
        <w:tc>
          <w:tcPr>
            <w:tcW w:w="1984" w:type="dxa"/>
            <w:vAlign w:val="center"/>
          </w:tcPr>
          <w:p w14:paraId="3B714D6F" w14:textId="77777777" w:rsidR="00CC4986" w:rsidRPr="00932144" w:rsidRDefault="00CC4986" w:rsidP="00633030">
            <w:pPr>
              <w:rPr>
                <w:rFonts w:cs="Arial"/>
                <w:sz w:val="20"/>
                <w:szCs w:val="20"/>
                <w:lang w:val="en-US"/>
              </w:rPr>
            </w:pPr>
            <w:r w:rsidRPr="00EE493F">
              <w:rPr>
                <w:rFonts w:cs="Arial"/>
                <w:lang w:val="en-US"/>
              </w:rPr>
              <w:t>Propiconazole</w:t>
            </w:r>
          </w:p>
        </w:tc>
        <w:tc>
          <w:tcPr>
            <w:tcW w:w="5952" w:type="dxa"/>
            <w:vAlign w:val="center"/>
          </w:tcPr>
          <w:p w14:paraId="00BDE559" w14:textId="24BBDC15" w:rsidR="00CC4986" w:rsidRPr="00932144" w:rsidRDefault="00CC4986" w:rsidP="00633030">
            <w:pPr>
              <w:jc w:val="center"/>
              <w:rPr>
                <w:b/>
                <w:bCs/>
                <w:color w:val="FF0000"/>
                <w:sz w:val="20"/>
                <w:szCs w:val="20"/>
              </w:rPr>
            </w:pPr>
            <w:r w:rsidRPr="00932144">
              <w:rPr>
                <w:rFonts w:cs="Arial"/>
                <w:lang w:val="fr-FR"/>
              </w:rPr>
              <w:t>8.</w:t>
            </w:r>
            <w:r>
              <w:rPr>
                <w:rFonts w:cs="Arial"/>
                <w:lang w:val="fr-FR"/>
              </w:rPr>
              <w:t>02</w:t>
            </w:r>
            <w:r w:rsidRPr="00932144">
              <w:rPr>
                <w:rFonts w:cs="Arial"/>
                <w:lang w:val="fr-FR"/>
              </w:rPr>
              <w:t>E-03</w:t>
            </w:r>
          </w:p>
        </w:tc>
      </w:tr>
      <w:tr w:rsidR="00CC4986" w:rsidRPr="00EE493F" w14:paraId="3CDEDAEF" w14:textId="77777777" w:rsidTr="000116E6">
        <w:tc>
          <w:tcPr>
            <w:tcW w:w="1983" w:type="dxa"/>
            <w:vMerge/>
            <w:vAlign w:val="center"/>
          </w:tcPr>
          <w:p w14:paraId="704F6955" w14:textId="77777777" w:rsidR="00CC4986" w:rsidRPr="00932144" w:rsidRDefault="00CC4986" w:rsidP="00633030">
            <w:pPr>
              <w:rPr>
                <w:rFonts w:cs="Arial"/>
                <w:sz w:val="20"/>
                <w:szCs w:val="20"/>
                <w:lang w:val="fr-FR"/>
              </w:rPr>
            </w:pPr>
          </w:p>
        </w:tc>
        <w:tc>
          <w:tcPr>
            <w:tcW w:w="1984" w:type="dxa"/>
            <w:tcBorders>
              <w:bottom w:val="single" w:sz="4" w:space="0" w:color="auto"/>
            </w:tcBorders>
            <w:vAlign w:val="center"/>
          </w:tcPr>
          <w:p w14:paraId="3188C559" w14:textId="77777777" w:rsidR="00CC4986" w:rsidRPr="00932144" w:rsidRDefault="00CC4986" w:rsidP="00633030">
            <w:pPr>
              <w:rPr>
                <w:rFonts w:cs="Arial"/>
                <w:sz w:val="20"/>
                <w:szCs w:val="20"/>
                <w:lang w:val="en-US"/>
              </w:rPr>
            </w:pPr>
            <w:r w:rsidRPr="00EE493F">
              <w:rPr>
                <w:rFonts w:cs="Arial"/>
                <w:lang w:val="en-US"/>
              </w:rPr>
              <w:t xml:space="preserve">Tébuconazole </w:t>
            </w:r>
          </w:p>
        </w:tc>
        <w:tc>
          <w:tcPr>
            <w:tcW w:w="5952" w:type="dxa"/>
            <w:tcBorders>
              <w:bottom w:val="single" w:sz="4" w:space="0" w:color="auto"/>
            </w:tcBorders>
            <w:vAlign w:val="center"/>
          </w:tcPr>
          <w:p w14:paraId="181A1D33" w14:textId="55F6D25E" w:rsidR="00CC4986" w:rsidRPr="00932144" w:rsidRDefault="00CC4986" w:rsidP="00633030">
            <w:pPr>
              <w:jc w:val="center"/>
              <w:rPr>
                <w:b/>
                <w:bCs/>
                <w:color w:val="FF0000"/>
                <w:sz w:val="20"/>
                <w:szCs w:val="20"/>
              </w:rPr>
            </w:pPr>
            <w:r>
              <w:rPr>
                <w:rFonts w:cs="Arial"/>
                <w:lang w:val="fr-FR"/>
              </w:rPr>
              <w:t>2.99</w:t>
            </w:r>
            <w:r w:rsidRPr="00932144">
              <w:rPr>
                <w:rFonts w:cs="Arial"/>
                <w:lang w:val="fr-FR"/>
              </w:rPr>
              <w:t>E-03</w:t>
            </w:r>
          </w:p>
        </w:tc>
      </w:tr>
      <w:tr w:rsidR="00CC4986" w:rsidRPr="00EE493F" w14:paraId="745C04D4" w14:textId="77777777" w:rsidTr="000116E6">
        <w:tc>
          <w:tcPr>
            <w:tcW w:w="1983" w:type="dxa"/>
            <w:vMerge/>
            <w:tcBorders>
              <w:bottom w:val="single" w:sz="4" w:space="0" w:color="auto"/>
            </w:tcBorders>
            <w:vAlign w:val="center"/>
          </w:tcPr>
          <w:p w14:paraId="4C81DF83" w14:textId="77777777" w:rsidR="00CC4986" w:rsidRPr="00932144" w:rsidRDefault="00CC4986" w:rsidP="00633030">
            <w:pPr>
              <w:rPr>
                <w:rFonts w:cs="Arial"/>
                <w:sz w:val="20"/>
                <w:szCs w:val="20"/>
                <w:lang w:val="fr-FR"/>
              </w:rPr>
            </w:pPr>
          </w:p>
        </w:tc>
        <w:tc>
          <w:tcPr>
            <w:tcW w:w="1984" w:type="dxa"/>
            <w:tcBorders>
              <w:bottom w:val="single" w:sz="4" w:space="0" w:color="auto"/>
            </w:tcBorders>
            <w:vAlign w:val="center"/>
          </w:tcPr>
          <w:p w14:paraId="2D687284" w14:textId="77777777" w:rsidR="00CC4986" w:rsidRPr="00932144" w:rsidRDefault="00CC4986" w:rsidP="00633030">
            <w:pPr>
              <w:rPr>
                <w:rFonts w:cs="Arial"/>
                <w:sz w:val="20"/>
                <w:szCs w:val="20"/>
                <w:lang w:val="en-US"/>
              </w:rPr>
            </w:pPr>
            <w:r w:rsidRPr="00EE493F">
              <w:rPr>
                <w:rFonts w:cs="Arial"/>
                <w:lang w:val="en-US"/>
              </w:rPr>
              <w:t>IPBC</w:t>
            </w:r>
          </w:p>
        </w:tc>
        <w:tc>
          <w:tcPr>
            <w:tcW w:w="5952" w:type="dxa"/>
            <w:tcBorders>
              <w:bottom w:val="single" w:sz="4" w:space="0" w:color="auto"/>
            </w:tcBorders>
            <w:vAlign w:val="center"/>
          </w:tcPr>
          <w:p w14:paraId="2C41D383" w14:textId="78F13796" w:rsidR="00CC4986" w:rsidRPr="00932144" w:rsidRDefault="00CC4986" w:rsidP="00633030">
            <w:pPr>
              <w:jc w:val="center"/>
              <w:rPr>
                <w:b/>
                <w:bCs/>
                <w:color w:val="FF0000"/>
                <w:sz w:val="20"/>
                <w:szCs w:val="20"/>
              </w:rPr>
            </w:pPr>
            <w:r w:rsidRPr="00932144">
              <w:rPr>
                <w:rFonts w:cs="Arial"/>
                <w:lang w:val="fr-FR"/>
              </w:rPr>
              <w:t>7.</w:t>
            </w:r>
            <w:r>
              <w:rPr>
                <w:rFonts w:cs="Arial"/>
                <w:lang w:val="fr-FR"/>
              </w:rPr>
              <w:t>22</w:t>
            </w:r>
            <w:r w:rsidRPr="00932144">
              <w:rPr>
                <w:rFonts w:cs="Arial"/>
                <w:lang w:val="fr-FR"/>
              </w:rPr>
              <w:t>E-03</w:t>
            </w:r>
          </w:p>
        </w:tc>
      </w:tr>
      <w:tr w:rsidR="00CC4986" w:rsidRPr="00EE493F" w14:paraId="0D8E1F59" w14:textId="77777777" w:rsidTr="000116E6">
        <w:tc>
          <w:tcPr>
            <w:tcW w:w="1983" w:type="dxa"/>
            <w:vMerge w:val="restart"/>
            <w:tcBorders>
              <w:top w:val="single" w:sz="4" w:space="0" w:color="auto"/>
              <w:left w:val="single" w:sz="4" w:space="0" w:color="auto"/>
            </w:tcBorders>
            <w:shd w:val="clear" w:color="auto" w:fill="C6D9F1"/>
            <w:vAlign w:val="center"/>
          </w:tcPr>
          <w:p w14:paraId="09323AB8" w14:textId="77777777" w:rsidR="00CC4986" w:rsidRPr="00932144" w:rsidRDefault="00CC4986" w:rsidP="00633030">
            <w:pPr>
              <w:rPr>
                <w:rFonts w:cs="Arial"/>
                <w:sz w:val="20"/>
                <w:szCs w:val="20"/>
                <w:lang w:val="fr-FR"/>
              </w:rPr>
            </w:pPr>
            <w:r w:rsidRPr="00EE493F">
              <w:rPr>
                <w:rFonts w:cs="Arial"/>
                <w:lang w:val="fr-FR"/>
              </w:rPr>
              <w:t>Brush + injection</w:t>
            </w:r>
          </w:p>
        </w:tc>
        <w:tc>
          <w:tcPr>
            <w:tcW w:w="1984" w:type="dxa"/>
            <w:tcBorders>
              <w:top w:val="single" w:sz="4" w:space="0" w:color="auto"/>
            </w:tcBorders>
            <w:shd w:val="clear" w:color="auto" w:fill="C6D9F1"/>
            <w:vAlign w:val="center"/>
          </w:tcPr>
          <w:p w14:paraId="67036880" w14:textId="77777777" w:rsidR="00CC4986" w:rsidRPr="00932144" w:rsidRDefault="00CC4986" w:rsidP="00633030">
            <w:pPr>
              <w:rPr>
                <w:rFonts w:cs="Arial"/>
                <w:sz w:val="20"/>
                <w:szCs w:val="20"/>
                <w:lang w:val="fr-FR"/>
              </w:rPr>
            </w:pPr>
            <w:r w:rsidRPr="00EE493F">
              <w:rPr>
                <w:rFonts w:cs="Arial"/>
                <w:lang w:val="fr-FR"/>
              </w:rPr>
              <w:t>Cyperméthrine</w:t>
            </w:r>
          </w:p>
        </w:tc>
        <w:tc>
          <w:tcPr>
            <w:tcW w:w="5952" w:type="dxa"/>
            <w:tcBorders>
              <w:top w:val="single" w:sz="4" w:space="0" w:color="auto"/>
              <w:right w:val="single" w:sz="4" w:space="0" w:color="auto"/>
            </w:tcBorders>
            <w:shd w:val="clear" w:color="auto" w:fill="C6D9F1"/>
            <w:vAlign w:val="bottom"/>
          </w:tcPr>
          <w:p w14:paraId="6237B0FF" w14:textId="58EE74B8" w:rsidR="00CC4986" w:rsidRPr="00B7552D" w:rsidRDefault="00CC4986" w:rsidP="00633030">
            <w:pPr>
              <w:jc w:val="center"/>
              <w:rPr>
                <w:rFonts w:cs="Arial"/>
                <w:lang w:val="fr-FR"/>
              </w:rPr>
            </w:pPr>
            <w:r w:rsidRPr="00B7552D">
              <w:rPr>
                <w:rFonts w:cs="Arial"/>
                <w:lang w:val="fr-FR"/>
              </w:rPr>
              <w:t>7.43E-03</w:t>
            </w:r>
          </w:p>
        </w:tc>
      </w:tr>
      <w:tr w:rsidR="00CC4986" w:rsidRPr="00EE493F" w14:paraId="6BDE53AA" w14:textId="77777777" w:rsidTr="000116E6">
        <w:tc>
          <w:tcPr>
            <w:tcW w:w="1983" w:type="dxa"/>
            <w:vMerge/>
            <w:tcBorders>
              <w:left w:val="single" w:sz="4" w:space="0" w:color="auto"/>
            </w:tcBorders>
            <w:shd w:val="clear" w:color="auto" w:fill="C6D9F1"/>
            <w:vAlign w:val="center"/>
          </w:tcPr>
          <w:p w14:paraId="205564B6" w14:textId="77777777" w:rsidR="00CC4986" w:rsidRPr="00932144" w:rsidRDefault="00CC4986" w:rsidP="00633030">
            <w:pPr>
              <w:rPr>
                <w:rFonts w:cs="Arial"/>
                <w:sz w:val="20"/>
                <w:szCs w:val="20"/>
                <w:lang w:val="fr-FR"/>
              </w:rPr>
            </w:pPr>
          </w:p>
        </w:tc>
        <w:tc>
          <w:tcPr>
            <w:tcW w:w="1984" w:type="dxa"/>
            <w:shd w:val="clear" w:color="auto" w:fill="C6D9F1"/>
            <w:vAlign w:val="center"/>
          </w:tcPr>
          <w:p w14:paraId="0705699F" w14:textId="77777777" w:rsidR="00CC4986" w:rsidRPr="00932144" w:rsidRDefault="00CC4986" w:rsidP="00633030">
            <w:pPr>
              <w:rPr>
                <w:rFonts w:cs="Arial"/>
                <w:sz w:val="20"/>
                <w:szCs w:val="20"/>
                <w:lang w:val="en-US"/>
              </w:rPr>
            </w:pPr>
            <w:r w:rsidRPr="00EE493F">
              <w:rPr>
                <w:rFonts w:cs="Arial"/>
                <w:lang w:val="en-US"/>
              </w:rPr>
              <w:t>Propiconazole</w:t>
            </w:r>
          </w:p>
        </w:tc>
        <w:tc>
          <w:tcPr>
            <w:tcW w:w="5952" w:type="dxa"/>
            <w:tcBorders>
              <w:right w:val="single" w:sz="4" w:space="0" w:color="auto"/>
            </w:tcBorders>
            <w:shd w:val="clear" w:color="auto" w:fill="C6D9F1"/>
            <w:vAlign w:val="bottom"/>
          </w:tcPr>
          <w:p w14:paraId="03ABAB7C" w14:textId="4F00A12B" w:rsidR="00CC4986" w:rsidRPr="00B7552D" w:rsidRDefault="00CC4986" w:rsidP="00633030">
            <w:pPr>
              <w:jc w:val="center"/>
              <w:rPr>
                <w:rFonts w:cs="Arial"/>
                <w:lang w:val="fr-FR"/>
              </w:rPr>
            </w:pPr>
            <w:r w:rsidRPr="00B7552D">
              <w:rPr>
                <w:rFonts w:cs="Arial"/>
                <w:lang w:val="fr-FR"/>
              </w:rPr>
              <w:t>1.07E-02</w:t>
            </w:r>
          </w:p>
        </w:tc>
      </w:tr>
      <w:tr w:rsidR="00CC4986" w:rsidRPr="00EE493F" w14:paraId="176BF2C6" w14:textId="77777777" w:rsidTr="000116E6">
        <w:tc>
          <w:tcPr>
            <w:tcW w:w="1983" w:type="dxa"/>
            <w:vMerge/>
            <w:tcBorders>
              <w:left w:val="single" w:sz="4" w:space="0" w:color="auto"/>
            </w:tcBorders>
            <w:shd w:val="clear" w:color="auto" w:fill="C6D9F1"/>
            <w:vAlign w:val="center"/>
          </w:tcPr>
          <w:p w14:paraId="4B3C939F" w14:textId="77777777" w:rsidR="00CC4986" w:rsidRPr="00932144" w:rsidRDefault="00CC4986" w:rsidP="00633030">
            <w:pPr>
              <w:rPr>
                <w:rFonts w:cs="Arial"/>
                <w:sz w:val="20"/>
                <w:szCs w:val="20"/>
                <w:lang w:val="fr-FR"/>
              </w:rPr>
            </w:pPr>
          </w:p>
        </w:tc>
        <w:tc>
          <w:tcPr>
            <w:tcW w:w="1984" w:type="dxa"/>
            <w:tcBorders>
              <w:bottom w:val="single" w:sz="4" w:space="0" w:color="auto"/>
            </w:tcBorders>
            <w:shd w:val="clear" w:color="auto" w:fill="C6D9F1"/>
            <w:vAlign w:val="center"/>
          </w:tcPr>
          <w:p w14:paraId="6DF82622" w14:textId="77777777" w:rsidR="00CC4986" w:rsidRPr="00932144" w:rsidRDefault="00CC4986" w:rsidP="00633030">
            <w:pPr>
              <w:rPr>
                <w:rFonts w:cs="Arial"/>
                <w:sz w:val="20"/>
                <w:szCs w:val="20"/>
                <w:lang w:val="en-US"/>
              </w:rPr>
            </w:pPr>
            <w:r w:rsidRPr="00EE493F">
              <w:rPr>
                <w:rFonts w:cs="Arial"/>
                <w:lang w:val="en-US"/>
              </w:rPr>
              <w:t xml:space="preserve">Tébuconazole </w:t>
            </w:r>
          </w:p>
        </w:tc>
        <w:tc>
          <w:tcPr>
            <w:tcW w:w="5952" w:type="dxa"/>
            <w:tcBorders>
              <w:bottom w:val="single" w:sz="4" w:space="0" w:color="auto"/>
              <w:right w:val="single" w:sz="4" w:space="0" w:color="auto"/>
            </w:tcBorders>
            <w:shd w:val="clear" w:color="auto" w:fill="C6D9F1"/>
            <w:vAlign w:val="bottom"/>
          </w:tcPr>
          <w:p w14:paraId="02CD420F" w14:textId="6633BECB" w:rsidR="00CC4986" w:rsidRPr="00B7552D" w:rsidRDefault="00CC4986" w:rsidP="00633030">
            <w:pPr>
              <w:jc w:val="center"/>
              <w:rPr>
                <w:rFonts w:cs="Arial"/>
                <w:lang w:val="fr-FR"/>
              </w:rPr>
            </w:pPr>
            <w:r w:rsidRPr="00B7552D">
              <w:rPr>
                <w:rFonts w:cs="Arial"/>
                <w:lang w:val="fr-FR"/>
              </w:rPr>
              <w:t>4.12E-03</w:t>
            </w:r>
          </w:p>
        </w:tc>
      </w:tr>
      <w:tr w:rsidR="00CC4986" w:rsidRPr="00EE493F" w14:paraId="1FCD75FE" w14:textId="77777777" w:rsidTr="000116E6">
        <w:tc>
          <w:tcPr>
            <w:tcW w:w="1983" w:type="dxa"/>
            <w:vMerge/>
            <w:tcBorders>
              <w:left w:val="single" w:sz="4" w:space="0" w:color="auto"/>
              <w:bottom w:val="single" w:sz="4" w:space="0" w:color="auto"/>
            </w:tcBorders>
            <w:shd w:val="clear" w:color="auto" w:fill="C6D9F1"/>
            <w:vAlign w:val="center"/>
          </w:tcPr>
          <w:p w14:paraId="234D5EAF" w14:textId="77777777" w:rsidR="00CC4986" w:rsidRPr="00932144" w:rsidRDefault="00CC4986" w:rsidP="00633030">
            <w:pPr>
              <w:rPr>
                <w:rFonts w:cs="Arial"/>
                <w:sz w:val="20"/>
                <w:szCs w:val="20"/>
                <w:lang w:val="fr-FR"/>
              </w:rPr>
            </w:pPr>
          </w:p>
        </w:tc>
        <w:tc>
          <w:tcPr>
            <w:tcW w:w="1984" w:type="dxa"/>
            <w:tcBorders>
              <w:bottom w:val="single" w:sz="4" w:space="0" w:color="auto"/>
            </w:tcBorders>
            <w:shd w:val="clear" w:color="auto" w:fill="C6D9F1"/>
            <w:vAlign w:val="center"/>
          </w:tcPr>
          <w:p w14:paraId="6A3619BC" w14:textId="77777777" w:rsidR="00CC4986" w:rsidRPr="00932144" w:rsidRDefault="00CC4986" w:rsidP="00633030">
            <w:pPr>
              <w:rPr>
                <w:rFonts w:cs="Arial"/>
                <w:sz w:val="20"/>
                <w:szCs w:val="20"/>
                <w:lang w:val="en-US"/>
              </w:rPr>
            </w:pPr>
            <w:r w:rsidRPr="00EE493F">
              <w:rPr>
                <w:rFonts w:cs="Arial"/>
                <w:lang w:val="en-US"/>
              </w:rPr>
              <w:t>IPBC</w:t>
            </w:r>
          </w:p>
        </w:tc>
        <w:tc>
          <w:tcPr>
            <w:tcW w:w="5952" w:type="dxa"/>
            <w:tcBorders>
              <w:bottom w:val="single" w:sz="4" w:space="0" w:color="auto"/>
              <w:right w:val="single" w:sz="4" w:space="0" w:color="auto"/>
            </w:tcBorders>
            <w:shd w:val="clear" w:color="auto" w:fill="C6D9F1"/>
            <w:vAlign w:val="bottom"/>
          </w:tcPr>
          <w:p w14:paraId="59C2C35C" w14:textId="6A2B5938" w:rsidR="00CC4986" w:rsidRPr="00B7552D" w:rsidRDefault="00CC4986" w:rsidP="00633030">
            <w:pPr>
              <w:jc w:val="center"/>
              <w:rPr>
                <w:rFonts w:cs="Arial"/>
                <w:lang w:val="fr-FR"/>
              </w:rPr>
            </w:pPr>
            <w:r w:rsidRPr="00B7552D">
              <w:rPr>
                <w:rFonts w:cs="Arial"/>
                <w:lang w:val="fr-FR"/>
              </w:rPr>
              <w:t>9.52E-03</w:t>
            </w:r>
          </w:p>
        </w:tc>
      </w:tr>
    </w:tbl>
    <w:p w14:paraId="28345563" w14:textId="77777777" w:rsidR="00633030" w:rsidRPr="00633030" w:rsidRDefault="00633030" w:rsidP="00633030">
      <w:pPr>
        <w:autoSpaceDE w:val="0"/>
        <w:rPr>
          <w:rFonts w:cs="Arial"/>
          <w:lang w:eastAsia="sv-SE"/>
        </w:rPr>
      </w:pPr>
    </w:p>
    <w:p w14:paraId="7ABC6EB5" w14:textId="77777777" w:rsidR="00633030" w:rsidRPr="00633030" w:rsidRDefault="00633030" w:rsidP="00633030">
      <w:pPr>
        <w:keepNext/>
        <w:autoSpaceDE w:val="0"/>
        <w:spacing w:line="260" w:lineRule="atLeast"/>
        <w:rPr>
          <w:rFonts w:cs="Arial"/>
          <w:u w:val="single"/>
          <w:lang w:eastAsia="sv-SE"/>
        </w:rPr>
      </w:pPr>
      <w:r w:rsidRPr="00633030">
        <w:rPr>
          <w:rFonts w:cs="Arial"/>
          <w:u w:val="single"/>
          <w:lang w:eastAsia="sv-SE"/>
        </w:rPr>
        <w:lastRenderedPageBreak/>
        <w:t>Injection combined with spray treatment</w:t>
      </w:r>
    </w:p>
    <w:p w14:paraId="29F01B5A" w14:textId="77777777" w:rsidR="00633030" w:rsidRPr="00633030" w:rsidRDefault="00633030" w:rsidP="00633030">
      <w:pPr>
        <w:keepNext/>
        <w:autoSpaceDE w:val="0"/>
        <w:spacing w:line="260" w:lineRule="atLeast"/>
        <w:rPr>
          <w:rFonts w:cs="Arial"/>
          <w:lang w:eastAsia="sv-SE"/>
        </w:rPr>
      </w:pPr>
    </w:p>
    <w:tbl>
      <w:tblPr>
        <w:tblStyle w:val="Grilledutableau1"/>
        <w:tblW w:w="0" w:type="auto"/>
        <w:tblLook w:val="04A0" w:firstRow="1" w:lastRow="0" w:firstColumn="1" w:lastColumn="0" w:noHBand="0" w:noVBand="1"/>
      </w:tblPr>
      <w:tblGrid>
        <w:gridCol w:w="1965"/>
        <w:gridCol w:w="1980"/>
        <w:gridCol w:w="5824"/>
      </w:tblGrid>
      <w:tr w:rsidR="00EA6001" w:rsidRPr="00633030" w14:paraId="52EC99DF" w14:textId="77777777" w:rsidTr="000116E6">
        <w:trPr>
          <w:cantSplit/>
          <w:tblHeader/>
        </w:trPr>
        <w:tc>
          <w:tcPr>
            <w:tcW w:w="1983" w:type="dxa"/>
            <w:vAlign w:val="center"/>
          </w:tcPr>
          <w:p w14:paraId="7B562070" w14:textId="77777777" w:rsidR="00EA6001" w:rsidRPr="00633030" w:rsidRDefault="00EA6001" w:rsidP="00633030">
            <w:pPr>
              <w:keepNext/>
              <w:autoSpaceDE w:val="0"/>
              <w:autoSpaceDN w:val="0"/>
              <w:adjustRightInd w:val="0"/>
              <w:spacing w:before="60" w:after="60"/>
              <w:rPr>
                <w:rFonts w:cs="Arial"/>
                <w:b/>
              </w:rPr>
            </w:pPr>
            <w:r w:rsidRPr="00633030">
              <w:rPr>
                <w:rFonts w:cs="Arial"/>
                <w:b/>
              </w:rPr>
              <w:t>Scenario</w:t>
            </w:r>
          </w:p>
        </w:tc>
        <w:tc>
          <w:tcPr>
            <w:tcW w:w="1984" w:type="dxa"/>
            <w:vAlign w:val="center"/>
          </w:tcPr>
          <w:p w14:paraId="3227533D" w14:textId="77777777" w:rsidR="00EA6001" w:rsidRPr="00633030" w:rsidRDefault="00EA6001" w:rsidP="00633030">
            <w:pPr>
              <w:keepNext/>
              <w:tabs>
                <w:tab w:val="left" w:pos="426"/>
              </w:tabs>
              <w:autoSpaceDE w:val="0"/>
              <w:autoSpaceDN w:val="0"/>
              <w:adjustRightInd w:val="0"/>
              <w:spacing w:before="60" w:after="60"/>
              <w:rPr>
                <w:rFonts w:cs="Arial"/>
                <w:b/>
              </w:rPr>
            </w:pPr>
            <w:r w:rsidRPr="00633030">
              <w:rPr>
                <w:rFonts w:cs="Arial"/>
                <w:b/>
              </w:rPr>
              <w:t>Active substance</w:t>
            </w:r>
          </w:p>
        </w:tc>
        <w:tc>
          <w:tcPr>
            <w:tcW w:w="5952" w:type="dxa"/>
            <w:vAlign w:val="center"/>
          </w:tcPr>
          <w:p w14:paraId="3065F81F" w14:textId="77777777" w:rsidR="00EA6001" w:rsidRPr="00633030" w:rsidRDefault="00EA6001" w:rsidP="00633030">
            <w:pPr>
              <w:keepNext/>
              <w:autoSpaceDE w:val="0"/>
              <w:autoSpaceDN w:val="0"/>
              <w:adjustRightInd w:val="0"/>
              <w:spacing w:before="60" w:after="60"/>
              <w:rPr>
                <w:rFonts w:cs="Arial"/>
                <w:b/>
              </w:rPr>
            </w:pPr>
            <w:r w:rsidRPr="00633030">
              <w:rPr>
                <w:rFonts w:cs="Arial"/>
                <w:b/>
              </w:rPr>
              <w:t>Total Exposure (mg/kg bw/d)</w:t>
            </w:r>
          </w:p>
        </w:tc>
      </w:tr>
      <w:tr w:rsidR="00633030" w:rsidRPr="00633030" w14:paraId="074E169D" w14:textId="77777777" w:rsidTr="000116E6">
        <w:tc>
          <w:tcPr>
            <w:tcW w:w="9919" w:type="dxa"/>
            <w:gridSpan w:val="3"/>
            <w:shd w:val="clear" w:color="auto" w:fill="BFBFBF"/>
            <w:vAlign w:val="center"/>
          </w:tcPr>
          <w:p w14:paraId="59D7ED55" w14:textId="514A9330" w:rsidR="00633030" w:rsidRPr="00633030" w:rsidRDefault="00633030" w:rsidP="00633030">
            <w:pPr>
              <w:keepNext/>
              <w:rPr>
                <w:rFonts w:cs="Arial"/>
                <w:b/>
                <w:lang w:val="en-US"/>
              </w:rPr>
            </w:pPr>
            <w:r w:rsidRPr="00633030">
              <w:rPr>
                <w:rFonts w:cs="Arial"/>
                <w:b/>
                <w:lang w:val="en-US"/>
              </w:rPr>
              <w:t>Injection  1</w:t>
            </w:r>
            <w:r w:rsidR="0028390E">
              <w:rPr>
                <w:rFonts w:cs="Arial"/>
                <w:b/>
                <w:lang w:val="en-US"/>
              </w:rPr>
              <w:t>45</w:t>
            </w:r>
            <w:r w:rsidRPr="00633030">
              <w:rPr>
                <w:rFonts w:cs="Arial"/>
                <w:b/>
                <w:lang w:val="en-US"/>
              </w:rPr>
              <w:t xml:space="preserve"> g/m</w:t>
            </w:r>
            <w:r w:rsidRPr="00633030">
              <w:rPr>
                <w:rFonts w:cs="Arial"/>
                <w:b/>
                <w:vertAlign w:val="superscript"/>
                <w:lang w:val="en-US"/>
              </w:rPr>
              <w:t>2</w:t>
            </w:r>
            <w:r w:rsidRPr="00633030">
              <w:rPr>
                <w:rFonts w:cs="Arial"/>
                <w:b/>
                <w:lang w:val="en-US"/>
              </w:rPr>
              <w:t xml:space="preserve"> in combination with spray treatment at 300 g/m2</w:t>
            </w:r>
          </w:p>
          <w:p w14:paraId="4BB8B03E" w14:textId="493DF191" w:rsidR="00633030" w:rsidRPr="00EA6001" w:rsidRDefault="0028390E" w:rsidP="00932144">
            <w:pPr>
              <w:pStyle w:val="Commentaire"/>
              <w:rPr>
                <w:rFonts w:cs="Arial"/>
                <w:b/>
                <w:lang w:val="en-US"/>
              </w:rPr>
            </w:pPr>
            <w:r w:rsidRPr="00932144">
              <w:rPr>
                <w:rFonts w:ascii="Verdana" w:hAnsi="Verdana" w:cs="Arial"/>
                <w:b/>
                <w:lang w:val="en-US" w:eastAsia="zh-CN"/>
              </w:rPr>
              <w:t>With gloves and impermeable coverall during spraying, gloves during injection and gloves and coated coverall during cleaning of equipment</w:t>
            </w:r>
            <w:r w:rsidR="00EA6001">
              <w:rPr>
                <w:rFonts w:ascii="Verdana" w:hAnsi="Verdana" w:cs="Arial"/>
                <w:b/>
                <w:lang w:val="en-US" w:eastAsia="zh-CN"/>
              </w:rPr>
              <w:t>s</w:t>
            </w:r>
            <w:r w:rsidRPr="00932144">
              <w:rPr>
                <w:rFonts w:ascii="Verdana" w:hAnsi="Verdana" w:cs="Arial"/>
                <w:b/>
                <w:lang w:val="en-US" w:eastAsia="zh-CN"/>
              </w:rPr>
              <w:t>.</w:t>
            </w:r>
          </w:p>
        </w:tc>
      </w:tr>
      <w:tr w:rsidR="00D956D4" w:rsidRPr="00633030" w14:paraId="6FBE30F6" w14:textId="77777777" w:rsidTr="00932144">
        <w:tc>
          <w:tcPr>
            <w:tcW w:w="1983" w:type="dxa"/>
            <w:vMerge w:val="restart"/>
            <w:vAlign w:val="center"/>
          </w:tcPr>
          <w:p w14:paraId="59C64193" w14:textId="77777777" w:rsidR="00D956D4" w:rsidRPr="00633030" w:rsidRDefault="00D956D4" w:rsidP="00932144">
            <w:pPr>
              <w:keepNext/>
              <w:rPr>
                <w:rFonts w:cs="Arial"/>
                <w:lang w:val="en-US"/>
              </w:rPr>
            </w:pPr>
            <w:r w:rsidRPr="00633030">
              <w:rPr>
                <w:rFonts w:cs="Arial"/>
                <w:lang w:val="en-US"/>
              </w:rPr>
              <w:t>Spray treatment</w:t>
            </w:r>
          </w:p>
        </w:tc>
        <w:tc>
          <w:tcPr>
            <w:tcW w:w="1984" w:type="dxa"/>
            <w:vAlign w:val="center"/>
          </w:tcPr>
          <w:p w14:paraId="25CE9B9D" w14:textId="77777777" w:rsidR="00D956D4" w:rsidRPr="00633030" w:rsidRDefault="00D956D4" w:rsidP="00932144">
            <w:pPr>
              <w:keepNext/>
              <w:rPr>
                <w:rFonts w:cs="Arial"/>
                <w:lang w:val="fr-FR"/>
              </w:rPr>
            </w:pPr>
            <w:r w:rsidRPr="00633030">
              <w:rPr>
                <w:rFonts w:cs="Arial"/>
                <w:lang w:val="fr-FR"/>
              </w:rPr>
              <w:t>Cyperméthrine</w:t>
            </w:r>
          </w:p>
        </w:tc>
        <w:tc>
          <w:tcPr>
            <w:tcW w:w="5952" w:type="dxa"/>
            <w:vAlign w:val="center"/>
          </w:tcPr>
          <w:p w14:paraId="67CAF24C" w14:textId="68F5EA6E" w:rsidR="00D956D4" w:rsidRPr="00932144" w:rsidRDefault="00D956D4" w:rsidP="00932144">
            <w:pPr>
              <w:keepNext/>
              <w:jc w:val="center"/>
              <w:rPr>
                <w:rFonts w:cs="Arial"/>
                <w:lang w:val="fr-FR"/>
              </w:rPr>
            </w:pPr>
            <w:r w:rsidRPr="00275290">
              <w:rPr>
                <w:rFonts w:cs="Arial"/>
                <w:bCs/>
                <w:color w:val="000000"/>
                <w:sz w:val="20"/>
                <w:szCs w:val="20"/>
              </w:rPr>
              <w:t>1,04E-02</w:t>
            </w:r>
          </w:p>
        </w:tc>
      </w:tr>
      <w:tr w:rsidR="00D956D4" w:rsidRPr="00633030" w14:paraId="5169CDAA" w14:textId="77777777" w:rsidTr="00932144">
        <w:tc>
          <w:tcPr>
            <w:tcW w:w="1983" w:type="dxa"/>
            <w:vMerge/>
            <w:vAlign w:val="center"/>
          </w:tcPr>
          <w:p w14:paraId="6E694806" w14:textId="77777777" w:rsidR="00D956D4" w:rsidRPr="00633030" w:rsidRDefault="00D956D4" w:rsidP="00932144">
            <w:pPr>
              <w:keepNext/>
              <w:rPr>
                <w:rFonts w:cs="Arial"/>
                <w:lang w:val="en-US"/>
              </w:rPr>
            </w:pPr>
          </w:p>
        </w:tc>
        <w:tc>
          <w:tcPr>
            <w:tcW w:w="1984" w:type="dxa"/>
            <w:vAlign w:val="center"/>
          </w:tcPr>
          <w:p w14:paraId="57FCF55B" w14:textId="77777777" w:rsidR="00D956D4" w:rsidRPr="00633030" w:rsidRDefault="00D956D4" w:rsidP="00932144">
            <w:pPr>
              <w:keepNext/>
              <w:rPr>
                <w:rFonts w:cs="Arial"/>
                <w:lang w:val="en-US"/>
              </w:rPr>
            </w:pPr>
            <w:r w:rsidRPr="00633030">
              <w:rPr>
                <w:rFonts w:cs="Arial"/>
                <w:lang w:val="en-US"/>
              </w:rPr>
              <w:t>Propiconazole</w:t>
            </w:r>
          </w:p>
        </w:tc>
        <w:tc>
          <w:tcPr>
            <w:tcW w:w="5952" w:type="dxa"/>
            <w:vAlign w:val="center"/>
          </w:tcPr>
          <w:p w14:paraId="54D6D9AE" w14:textId="0525E602" w:rsidR="00D956D4" w:rsidRPr="00932144" w:rsidRDefault="00D956D4" w:rsidP="00932144">
            <w:pPr>
              <w:keepNext/>
              <w:jc w:val="center"/>
              <w:rPr>
                <w:rFonts w:cs="Arial"/>
                <w:lang w:val="fr-FR"/>
              </w:rPr>
            </w:pPr>
            <w:r w:rsidRPr="00275290">
              <w:rPr>
                <w:rFonts w:cs="Arial"/>
                <w:bCs/>
                <w:color w:val="000000"/>
                <w:sz w:val="20"/>
                <w:szCs w:val="20"/>
              </w:rPr>
              <w:t>1,</w:t>
            </w:r>
            <w:r>
              <w:rPr>
                <w:rFonts w:cs="Arial"/>
                <w:bCs/>
                <w:color w:val="000000"/>
                <w:sz w:val="20"/>
                <w:szCs w:val="20"/>
              </w:rPr>
              <w:t>61</w:t>
            </w:r>
            <w:r w:rsidRPr="00275290">
              <w:rPr>
                <w:rFonts w:cs="Arial"/>
                <w:bCs/>
                <w:color w:val="000000"/>
                <w:sz w:val="20"/>
                <w:szCs w:val="20"/>
              </w:rPr>
              <w:t>E-02</w:t>
            </w:r>
          </w:p>
        </w:tc>
      </w:tr>
      <w:tr w:rsidR="00D956D4" w:rsidRPr="00633030" w14:paraId="3F22E375" w14:textId="77777777" w:rsidTr="00932144">
        <w:tc>
          <w:tcPr>
            <w:tcW w:w="1983" w:type="dxa"/>
            <w:vMerge/>
            <w:vAlign w:val="center"/>
          </w:tcPr>
          <w:p w14:paraId="6303CA59" w14:textId="77777777" w:rsidR="00D956D4" w:rsidRPr="00633030" w:rsidRDefault="00D956D4" w:rsidP="00932144">
            <w:pPr>
              <w:keepNext/>
              <w:rPr>
                <w:rFonts w:cs="Arial"/>
                <w:lang w:val="en-US"/>
              </w:rPr>
            </w:pPr>
          </w:p>
        </w:tc>
        <w:tc>
          <w:tcPr>
            <w:tcW w:w="1984" w:type="dxa"/>
            <w:vAlign w:val="center"/>
          </w:tcPr>
          <w:p w14:paraId="23769F23" w14:textId="77777777" w:rsidR="00D956D4" w:rsidRPr="00633030" w:rsidRDefault="00D956D4" w:rsidP="00932144">
            <w:pPr>
              <w:keepNext/>
              <w:rPr>
                <w:rFonts w:cs="Arial"/>
                <w:lang w:val="en-US"/>
              </w:rPr>
            </w:pPr>
            <w:r w:rsidRPr="00633030">
              <w:rPr>
                <w:rFonts w:cs="Arial"/>
                <w:lang w:val="en-US"/>
              </w:rPr>
              <w:t xml:space="preserve">Tébuconazole </w:t>
            </w:r>
          </w:p>
        </w:tc>
        <w:tc>
          <w:tcPr>
            <w:tcW w:w="5952" w:type="dxa"/>
            <w:vAlign w:val="center"/>
          </w:tcPr>
          <w:p w14:paraId="6E86A989" w14:textId="0E58AB72" w:rsidR="00D956D4" w:rsidRPr="00932144" w:rsidRDefault="00D956D4" w:rsidP="00932144">
            <w:pPr>
              <w:keepNext/>
              <w:jc w:val="center"/>
              <w:rPr>
                <w:rFonts w:cs="Arial"/>
                <w:lang w:val="fr-FR"/>
              </w:rPr>
            </w:pPr>
            <w:r>
              <w:rPr>
                <w:rFonts w:cs="Arial"/>
                <w:bCs/>
                <w:color w:val="000000"/>
                <w:sz w:val="20"/>
                <w:szCs w:val="20"/>
              </w:rPr>
              <w:t>5.77</w:t>
            </w:r>
            <w:r w:rsidRPr="00275290">
              <w:rPr>
                <w:rFonts w:cs="Arial"/>
                <w:bCs/>
                <w:color w:val="000000"/>
                <w:sz w:val="20"/>
                <w:szCs w:val="20"/>
              </w:rPr>
              <w:t>E-03</w:t>
            </w:r>
          </w:p>
        </w:tc>
      </w:tr>
      <w:tr w:rsidR="00D956D4" w:rsidRPr="00633030" w14:paraId="30D828F2" w14:textId="77777777" w:rsidTr="00932144">
        <w:tc>
          <w:tcPr>
            <w:tcW w:w="1983" w:type="dxa"/>
            <w:vMerge/>
            <w:vAlign w:val="center"/>
          </w:tcPr>
          <w:p w14:paraId="387CCE8E" w14:textId="77777777" w:rsidR="00D956D4" w:rsidRPr="00633030" w:rsidRDefault="00D956D4" w:rsidP="00932144">
            <w:pPr>
              <w:keepNext/>
              <w:rPr>
                <w:rFonts w:cs="Arial"/>
                <w:lang w:val="en-US"/>
              </w:rPr>
            </w:pPr>
          </w:p>
        </w:tc>
        <w:tc>
          <w:tcPr>
            <w:tcW w:w="1984" w:type="dxa"/>
            <w:vAlign w:val="center"/>
          </w:tcPr>
          <w:p w14:paraId="270CE944" w14:textId="77777777" w:rsidR="00D956D4" w:rsidRPr="00633030" w:rsidRDefault="00D956D4" w:rsidP="00932144">
            <w:pPr>
              <w:keepNext/>
              <w:rPr>
                <w:rFonts w:cs="Arial"/>
                <w:lang w:val="en-US"/>
              </w:rPr>
            </w:pPr>
            <w:r w:rsidRPr="00633030">
              <w:rPr>
                <w:rFonts w:cs="Arial"/>
                <w:lang w:val="en-US"/>
              </w:rPr>
              <w:t>IPBC</w:t>
            </w:r>
          </w:p>
        </w:tc>
        <w:tc>
          <w:tcPr>
            <w:tcW w:w="5952" w:type="dxa"/>
            <w:vAlign w:val="center"/>
          </w:tcPr>
          <w:p w14:paraId="563B0268" w14:textId="502C70AC" w:rsidR="00D956D4" w:rsidRPr="00932144" w:rsidRDefault="00D956D4" w:rsidP="00932144">
            <w:pPr>
              <w:keepNext/>
              <w:jc w:val="center"/>
              <w:rPr>
                <w:rFonts w:cs="Arial"/>
                <w:lang w:val="fr-FR"/>
              </w:rPr>
            </w:pPr>
            <w:r>
              <w:rPr>
                <w:rFonts w:cs="Arial"/>
                <w:bCs/>
                <w:color w:val="000000"/>
                <w:sz w:val="20"/>
                <w:szCs w:val="20"/>
              </w:rPr>
              <w:t>1.23</w:t>
            </w:r>
            <w:r w:rsidRPr="00275290">
              <w:rPr>
                <w:rFonts w:cs="Arial"/>
                <w:bCs/>
                <w:color w:val="000000"/>
                <w:sz w:val="20"/>
                <w:szCs w:val="20"/>
              </w:rPr>
              <w:t>E-0</w:t>
            </w:r>
            <w:r>
              <w:rPr>
                <w:rFonts w:cs="Arial"/>
                <w:bCs/>
                <w:color w:val="000000"/>
                <w:sz w:val="20"/>
                <w:szCs w:val="20"/>
              </w:rPr>
              <w:t>2</w:t>
            </w:r>
          </w:p>
        </w:tc>
      </w:tr>
      <w:tr w:rsidR="00CC4986" w:rsidRPr="00633030" w14:paraId="12A08763" w14:textId="77777777" w:rsidTr="000116E6">
        <w:tc>
          <w:tcPr>
            <w:tcW w:w="1983" w:type="dxa"/>
            <w:vMerge w:val="restart"/>
            <w:vAlign w:val="center"/>
          </w:tcPr>
          <w:p w14:paraId="6FA7AB98" w14:textId="77777777" w:rsidR="00CC4986" w:rsidRPr="00633030" w:rsidRDefault="00CC4986" w:rsidP="00633030">
            <w:pPr>
              <w:rPr>
                <w:rFonts w:cs="Arial"/>
                <w:lang w:val="en-US"/>
              </w:rPr>
            </w:pPr>
            <w:r w:rsidRPr="00633030">
              <w:rPr>
                <w:rFonts w:cs="Arial"/>
                <w:lang w:val="en-US"/>
              </w:rPr>
              <w:t xml:space="preserve">Injection  </w:t>
            </w:r>
          </w:p>
        </w:tc>
        <w:tc>
          <w:tcPr>
            <w:tcW w:w="1984" w:type="dxa"/>
            <w:vAlign w:val="center"/>
          </w:tcPr>
          <w:p w14:paraId="0E6EE4B3" w14:textId="77777777" w:rsidR="00CC4986" w:rsidRPr="00633030" w:rsidRDefault="00CC4986" w:rsidP="00633030">
            <w:pPr>
              <w:rPr>
                <w:rFonts w:cs="Arial"/>
                <w:lang w:val="fr-FR"/>
              </w:rPr>
            </w:pPr>
            <w:r w:rsidRPr="00633030">
              <w:rPr>
                <w:rFonts w:cs="Arial"/>
                <w:lang w:val="fr-FR"/>
              </w:rPr>
              <w:t>Cyperméthrine</w:t>
            </w:r>
          </w:p>
        </w:tc>
        <w:tc>
          <w:tcPr>
            <w:tcW w:w="5952" w:type="dxa"/>
            <w:vAlign w:val="bottom"/>
          </w:tcPr>
          <w:p w14:paraId="7184E70B" w14:textId="53EB44DC" w:rsidR="00CC4986" w:rsidRPr="00932144" w:rsidRDefault="00CC4986" w:rsidP="00932144">
            <w:pPr>
              <w:jc w:val="center"/>
              <w:rPr>
                <w:rFonts w:cs="Arial"/>
                <w:lang w:val="fr-FR"/>
              </w:rPr>
            </w:pPr>
            <w:r w:rsidRPr="00932144">
              <w:rPr>
                <w:rFonts w:cs="Arial"/>
                <w:lang w:val="fr-FR"/>
              </w:rPr>
              <w:t>3.4</w:t>
            </w:r>
            <w:r>
              <w:rPr>
                <w:rFonts w:cs="Arial"/>
                <w:lang w:val="fr-FR"/>
              </w:rPr>
              <w:t>1</w:t>
            </w:r>
            <w:r w:rsidRPr="00932144">
              <w:rPr>
                <w:rFonts w:cs="Arial"/>
                <w:lang w:val="fr-FR"/>
              </w:rPr>
              <w:t>E-03</w:t>
            </w:r>
          </w:p>
        </w:tc>
      </w:tr>
      <w:tr w:rsidR="00CC4986" w:rsidRPr="00633030" w14:paraId="0B5B51FF" w14:textId="77777777" w:rsidTr="000116E6">
        <w:tc>
          <w:tcPr>
            <w:tcW w:w="1983" w:type="dxa"/>
            <w:vMerge/>
            <w:vAlign w:val="center"/>
          </w:tcPr>
          <w:p w14:paraId="33769424" w14:textId="77777777" w:rsidR="00CC4986" w:rsidRPr="00633030" w:rsidRDefault="00CC4986" w:rsidP="00633030">
            <w:pPr>
              <w:rPr>
                <w:rFonts w:cs="Arial"/>
                <w:lang w:val="fr-FR"/>
              </w:rPr>
            </w:pPr>
          </w:p>
        </w:tc>
        <w:tc>
          <w:tcPr>
            <w:tcW w:w="1984" w:type="dxa"/>
            <w:vAlign w:val="center"/>
          </w:tcPr>
          <w:p w14:paraId="671E053D" w14:textId="77777777" w:rsidR="00CC4986" w:rsidRPr="00633030" w:rsidRDefault="00CC4986" w:rsidP="00633030">
            <w:pPr>
              <w:rPr>
                <w:rFonts w:cs="Arial"/>
                <w:lang w:val="en-US"/>
              </w:rPr>
            </w:pPr>
            <w:r w:rsidRPr="00633030">
              <w:rPr>
                <w:rFonts w:cs="Arial"/>
                <w:lang w:val="en-US"/>
              </w:rPr>
              <w:t>Propiconazole</w:t>
            </w:r>
          </w:p>
        </w:tc>
        <w:tc>
          <w:tcPr>
            <w:tcW w:w="5952" w:type="dxa"/>
            <w:vAlign w:val="bottom"/>
          </w:tcPr>
          <w:p w14:paraId="1DF9987A" w14:textId="03BD859D" w:rsidR="00CC4986" w:rsidRPr="00932144" w:rsidRDefault="00CC4986" w:rsidP="00932144">
            <w:pPr>
              <w:jc w:val="center"/>
              <w:rPr>
                <w:rFonts w:cs="Arial"/>
                <w:lang w:val="fr-FR"/>
              </w:rPr>
            </w:pPr>
            <w:r w:rsidRPr="00932144">
              <w:rPr>
                <w:rFonts w:cs="Arial"/>
                <w:lang w:val="fr-FR"/>
              </w:rPr>
              <w:t>4.9</w:t>
            </w:r>
            <w:r>
              <w:rPr>
                <w:rFonts w:cs="Arial"/>
                <w:lang w:val="fr-FR"/>
              </w:rPr>
              <w:t>3</w:t>
            </w:r>
            <w:r w:rsidRPr="00932144">
              <w:rPr>
                <w:rFonts w:cs="Arial"/>
                <w:lang w:val="fr-FR"/>
              </w:rPr>
              <w:t>E-03</w:t>
            </w:r>
          </w:p>
        </w:tc>
      </w:tr>
      <w:tr w:rsidR="00CC4986" w:rsidRPr="00633030" w14:paraId="1C77556B" w14:textId="77777777" w:rsidTr="000116E6">
        <w:tc>
          <w:tcPr>
            <w:tcW w:w="1983" w:type="dxa"/>
            <w:vMerge/>
            <w:vAlign w:val="center"/>
          </w:tcPr>
          <w:p w14:paraId="496556AA" w14:textId="77777777" w:rsidR="00CC4986" w:rsidRPr="00633030" w:rsidRDefault="00CC4986" w:rsidP="00633030">
            <w:pPr>
              <w:rPr>
                <w:rFonts w:cs="Arial"/>
                <w:lang w:val="fr-FR"/>
              </w:rPr>
            </w:pPr>
          </w:p>
        </w:tc>
        <w:tc>
          <w:tcPr>
            <w:tcW w:w="1984" w:type="dxa"/>
            <w:tcBorders>
              <w:bottom w:val="single" w:sz="4" w:space="0" w:color="auto"/>
            </w:tcBorders>
            <w:vAlign w:val="center"/>
          </w:tcPr>
          <w:p w14:paraId="4FBA85FB" w14:textId="77777777" w:rsidR="00CC4986" w:rsidRPr="00633030" w:rsidRDefault="00CC4986" w:rsidP="00633030">
            <w:pPr>
              <w:rPr>
                <w:rFonts w:cs="Arial"/>
                <w:lang w:val="en-US"/>
              </w:rPr>
            </w:pPr>
            <w:r w:rsidRPr="00633030">
              <w:rPr>
                <w:rFonts w:cs="Arial"/>
                <w:lang w:val="en-US"/>
              </w:rPr>
              <w:t xml:space="preserve">Tébuconazole </w:t>
            </w:r>
          </w:p>
        </w:tc>
        <w:tc>
          <w:tcPr>
            <w:tcW w:w="5952" w:type="dxa"/>
            <w:tcBorders>
              <w:bottom w:val="single" w:sz="4" w:space="0" w:color="auto"/>
            </w:tcBorders>
            <w:vAlign w:val="bottom"/>
          </w:tcPr>
          <w:p w14:paraId="54780C29" w14:textId="18BB9BC6" w:rsidR="00CC4986" w:rsidRPr="00932144" w:rsidRDefault="00CC4986" w:rsidP="00932144">
            <w:pPr>
              <w:jc w:val="center"/>
              <w:rPr>
                <w:rFonts w:cs="Arial"/>
                <w:lang w:val="fr-FR"/>
              </w:rPr>
            </w:pPr>
            <w:r w:rsidRPr="00932144">
              <w:rPr>
                <w:rFonts w:cs="Arial"/>
                <w:lang w:val="fr-FR"/>
              </w:rPr>
              <w:t>1.8</w:t>
            </w:r>
            <w:r>
              <w:rPr>
                <w:rFonts w:cs="Arial"/>
                <w:lang w:val="fr-FR"/>
              </w:rPr>
              <w:t>3</w:t>
            </w:r>
            <w:r w:rsidRPr="00932144">
              <w:rPr>
                <w:rFonts w:cs="Arial"/>
                <w:lang w:val="fr-FR"/>
              </w:rPr>
              <w:t>E-03</w:t>
            </w:r>
          </w:p>
        </w:tc>
      </w:tr>
      <w:tr w:rsidR="00CC4986" w:rsidRPr="00633030" w14:paraId="3E1E59A4" w14:textId="77777777" w:rsidTr="000116E6">
        <w:tc>
          <w:tcPr>
            <w:tcW w:w="1983" w:type="dxa"/>
            <w:vMerge/>
            <w:tcBorders>
              <w:bottom w:val="single" w:sz="4" w:space="0" w:color="auto"/>
            </w:tcBorders>
            <w:vAlign w:val="center"/>
          </w:tcPr>
          <w:p w14:paraId="29149927" w14:textId="77777777" w:rsidR="00CC4986" w:rsidRPr="00633030" w:rsidRDefault="00CC4986" w:rsidP="00633030">
            <w:pPr>
              <w:rPr>
                <w:rFonts w:cs="Arial"/>
                <w:lang w:val="fr-FR"/>
              </w:rPr>
            </w:pPr>
          </w:p>
        </w:tc>
        <w:tc>
          <w:tcPr>
            <w:tcW w:w="1984" w:type="dxa"/>
            <w:tcBorders>
              <w:bottom w:val="single" w:sz="4" w:space="0" w:color="auto"/>
            </w:tcBorders>
            <w:vAlign w:val="center"/>
          </w:tcPr>
          <w:p w14:paraId="16443840" w14:textId="77777777" w:rsidR="00CC4986" w:rsidRPr="00633030" w:rsidRDefault="00CC4986" w:rsidP="00633030">
            <w:pPr>
              <w:rPr>
                <w:rFonts w:cs="Arial"/>
                <w:lang w:val="en-US"/>
              </w:rPr>
            </w:pPr>
            <w:r w:rsidRPr="00633030">
              <w:rPr>
                <w:rFonts w:cs="Arial"/>
                <w:lang w:val="en-US"/>
              </w:rPr>
              <w:t>IPBC</w:t>
            </w:r>
          </w:p>
        </w:tc>
        <w:tc>
          <w:tcPr>
            <w:tcW w:w="5952" w:type="dxa"/>
            <w:tcBorders>
              <w:bottom w:val="single" w:sz="4" w:space="0" w:color="auto"/>
            </w:tcBorders>
            <w:vAlign w:val="bottom"/>
          </w:tcPr>
          <w:p w14:paraId="31E876B2" w14:textId="7053B632" w:rsidR="00CC4986" w:rsidRPr="00932144" w:rsidRDefault="00CC4986" w:rsidP="00932144">
            <w:pPr>
              <w:jc w:val="center"/>
              <w:rPr>
                <w:rFonts w:cs="Arial"/>
                <w:lang w:val="fr-FR"/>
              </w:rPr>
            </w:pPr>
            <w:r w:rsidRPr="00932144">
              <w:rPr>
                <w:rFonts w:cs="Arial"/>
                <w:lang w:val="fr-FR"/>
              </w:rPr>
              <w:t>4.4</w:t>
            </w:r>
            <w:r>
              <w:rPr>
                <w:rFonts w:cs="Arial"/>
                <w:lang w:val="fr-FR"/>
              </w:rPr>
              <w:t>3</w:t>
            </w:r>
            <w:r w:rsidRPr="00932144">
              <w:rPr>
                <w:rFonts w:cs="Arial"/>
                <w:lang w:val="fr-FR"/>
              </w:rPr>
              <w:t>E-03</w:t>
            </w:r>
          </w:p>
        </w:tc>
      </w:tr>
      <w:tr w:rsidR="00EA6001" w:rsidRPr="00633030" w14:paraId="3AB7D273" w14:textId="77777777" w:rsidTr="000116E6">
        <w:tc>
          <w:tcPr>
            <w:tcW w:w="1983" w:type="dxa"/>
            <w:vMerge w:val="restart"/>
            <w:tcBorders>
              <w:top w:val="single" w:sz="4" w:space="0" w:color="auto"/>
              <w:left w:val="single" w:sz="4" w:space="0" w:color="auto"/>
            </w:tcBorders>
            <w:shd w:val="clear" w:color="auto" w:fill="C6D9F1"/>
            <w:vAlign w:val="center"/>
          </w:tcPr>
          <w:p w14:paraId="2D61AD4A" w14:textId="43DE144E" w:rsidR="00EA6001" w:rsidRPr="00633030" w:rsidRDefault="008D64AC" w:rsidP="00633030">
            <w:pPr>
              <w:rPr>
                <w:rFonts w:cs="Arial"/>
                <w:lang w:val="fr-FR"/>
              </w:rPr>
            </w:pPr>
            <w:r>
              <w:rPr>
                <w:rFonts w:cs="Arial"/>
                <w:lang w:val="fr-FR"/>
              </w:rPr>
              <w:t>Spray</w:t>
            </w:r>
            <w:r w:rsidR="00EA6001" w:rsidRPr="00633030">
              <w:rPr>
                <w:rFonts w:cs="Arial"/>
                <w:lang w:val="fr-FR"/>
              </w:rPr>
              <w:t xml:space="preserve"> + injection</w:t>
            </w:r>
          </w:p>
        </w:tc>
        <w:tc>
          <w:tcPr>
            <w:tcW w:w="1984" w:type="dxa"/>
            <w:tcBorders>
              <w:top w:val="single" w:sz="4" w:space="0" w:color="auto"/>
            </w:tcBorders>
            <w:shd w:val="clear" w:color="auto" w:fill="C6D9F1"/>
            <w:vAlign w:val="center"/>
          </w:tcPr>
          <w:p w14:paraId="1741B904" w14:textId="77777777" w:rsidR="00EA6001" w:rsidRPr="00633030" w:rsidRDefault="00EA6001" w:rsidP="00633030">
            <w:pPr>
              <w:rPr>
                <w:rFonts w:cs="Arial"/>
                <w:lang w:val="fr-FR"/>
              </w:rPr>
            </w:pPr>
            <w:r w:rsidRPr="00633030">
              <w:rPr>
                <w:rFonts w:cs="Arial"/>
                <w:lang w:val="fr-FR"/>
              </w:rPr>
              <w:t>Cyperméthrine</w:t>
            </w:r>
          </w:p>
        </w:tc>
        <w:tc>
          <w:tcPr>
            <w:tcW w:w="5952" w:type="dxa"/>
            <w:tcBorders>
              <w:top w:val="single" w:sz="4" w:space="0" w:color="auto"/>
              <w:right w:val="single" w:sz="4" w:space="0" w:color="auto"/>
            </w:tcBorders>
            <w:shd w:val="clear" w:color="auto" w:fill="C6D9F1"/>
            <w:vAlign w:val="bottom"/>
          </w:tcPr>
          <w:p w14:paraId="400FD6FF" w14:textId="1CD3388C" w:rsidR="00EA6001" w:rsidRPr="00932144" w:rsidRDefault="00EA6001" w:rsidP="00932144">
            <w:pPr>
              <w:jc w:val="center"/>
              <w:rPr>
                <w:rFonts w:cs="Arial"/>
                <w:lang w:val="fr-FR"/>
              </w:rPr>
            </w:pPr>
            <w:r w:rsidRPr="00932144">
              <w:rPr>
                <w:rFonts w:cs="Arial"/>
                <w:lang w:val="fr-FR"/>
              </w:rPr>
              <w:t>1.38E-02</w:t>
            </w:r>
          </w:p>
        </w:tc>
      </w:tr>
      <w:tr w:rsidR="00EA6001" w:rsidRPr="00633030" w14:paraId="38371A59" w14:textId="77777777" w:rsidTr="000116E6">
        <w:tc>
          <w:tcPr>
            <w:tcW w:w="1983" w:type="dxa"/>
            <w:vMerge/>
            <w:tcBorders>
              <w:left w:val="single" w:sz="4" w:space="0" w:color="auto"/>
            </w:tcBorders>
            <w:shd w:val="clear" w:color="auto" w:fill="C6D9F1"/>
            <w:vAlign w:val="center"/>
          </w:tcPr>
          <w:p w14:paraId="39114923" w14:textId="77777777" w:rsidR="00EA6001" w:rsidRPr="00633030" w:rsidRDefault="00EA6001" w:rsidP="00633030">
            <w:pPr>
              <w:rPr>
                <w:rFonts w:cs="Arial"/>
                <w:lang w:val="fr-FR"/>
              </w:rPr>
            </w:pPr>
          </w:p>
        </w:tc>
        <w:tc>
          <w:tcPr>
            <w:tcW w:w="1984" w:type="dxa"/>
            <w:shd w:val="clear" w:color="auto" w:fill="C6D9F1"/>
            <w:vAlign w:val="center"/>
          </w:tcPr>
          <w:p w14:paraId="672FA8DE" w14:textId="77777777" w:rsidR="00EA6001" w:rsidRPr="00633030" w:rsidRDefault="00EA6001" w:rsidP="00633030">
            <w:pPr>
              <w:rPr>
                <w:rFonts w:cs="Arial"/>
                <w:lang w:val="en-US"/>
              </w:rPr>
            </w:pPr>
            <w:r w:rsidRPr="00633030">
              <w:rPr>
                <w:rFonts w:cs="Arial"/>
                <w:lang w:val="en-US"/>
              </w:rPr>
              <w:t>Propiconazole</w:t>
            </w:r>
          </w:p>
        </w:tc>
        <w:tc>
          <w:tcPr>
            <w:tcW w:w="5952" w:type="dxa"/>
            <w:tcBorders>
              <w:right w:val="single" w:sz="4" w:space="0" w:color="auto"/>
            </w:tcBorders>
            <w:shd w:val="clear" w:color="auto" w:fill="C6D9F1"/>
            <w:vAlign w:val="bottom"/>
          </w:tcPr>
          <w:p w14:paraId="033F8DFF" w14:textId="56819001" w:rsidR="00EA6001" w:rsidRPr="00932144" w:rsidRDefault="00CC4986" w:rsidP="00932144">
            <w:pPr>
              <w:jc w:val="center"/>
              <w:rPr>
                <w:rFonts w:cs="Arial"/>
                <w:lang w:val="fr-FR"/>
              </w:rPr>
            </w:pPr>
            <w:r>
              <w:rPr>
                <w:rFonts w:cs="Arial"/>
                <w:lang w:val="fr-FR"/>
              </w:rPr>
              <w:t>2.10</w:t>
            </w:r>
            <w:r w:rsidR="00EA6001" w:rsidRPr="00932144">
              <w:rPr>
                <w:rFonts w:cs="Arial"/>
                <w:lang w:val="fr-FR"/>
              </w:rPr>
              <w:t>E-02</w:t>
            </w:r>
          </w:p>
        </w:tc>
      </w:tr>
      <w:tr w:rsidR="00EA6001" w:rsidRPr="00633030" w14:paraId="02347A4B" w14:textId="77777777" w:rsidTr="000116E6">
        <w:tc>
          <w:tcPr>
            <w:tcW w:w="1983" w:type="dxa"/>
            <w:vMerge/>
            <w:tcBorders>
              <w:left w:val="single" w:sz="4" w:space="0" w:color="auto"/>
            </w:tcBorders>
            <w:shd w:val="clear" w:color="auto" w:fill="C6D9F1"/>
            <w:vAlign w:val="center"/>
          </w:tcPr>
          <w:p w14:paraId="34FA9057" w14:textId="77777777" w:rsidR="00EA6001" w:rsidRPr="00633030" w:rsidRDefault="00EA6001" w:rsidP="00633030">
            <w:pPr>
              <w:rPr>
                <w:rFonts w:cs="Arial"/>
                <w:lang w:val="fr-FR"/>
              </w:rPr>
            </w:pPr>
          </w:p>
        </w:tc>
        <w:tc>
          <w:tcPr>
            <w:tcW w:w="1984" w:type="dxa"/>
            <w:tcBorders>
              <w:bottom w:val="single" w:sz="4" w:space="0" w:color="auto"/>
            </w:tcBorders>
            <w:shd w:val="clear" w:color="auto" w:fill="C6D9F1"/>
            <w:vAlign w:val="center"/>
          </w:tcPr>
          <w:p w14:paraId="0B803971" w14:textId="77777777" w:rsidR="00EA6001" w:rsidRPr="00633030" w:rsidRDefault="00EA6001" w:rsidP="00633030">
            <w:pPr>
              <w:rPr>
                <w:rFonts w:cs="Arial"/>
                <w:lang w:val="en-US"/>
              </w:rPr>
            </w:pPr>
            <w:r w:rsidRPr="00633030">
              <w:rPr>
                <w:rFonts w:cs="Arial"/>
                <w:lang w:val="en-US"/>
              </w:rPr>
              <w:t xml:space="preserve">Tébuconazole </w:t>
            </w:r>
          </w:p>
        </w:tc>
        <w:tc>
          <w:tcPr>
            <w:tcW w:w="5952" w:type="dxa"/>
            <w:tcBorders>
              <w:bottom w:val="single" w:sz="4" w:space="0" w:color="auto"/>
              <w:right w:val="single" w:sz="4" w:space="0" w:color="auto"/>
            </w:tcBorders>
            <w:shd w:val="clear" w:color="auto" w:fill="C6D9F1"/>
            <w:vAlign w:val="bottom"/>
          </w:tcPr>
          <w:p w14:paraId="7EAE5D0B" w14:textId="437E494F" w:rsidR="00EA6001" w:rsidRPr="00932144" w:rsidRDefault="00CC4986" w:rsidP="00932144">
            <w:pPr>
              <w:jc w:val="center"/>
              <w:rPr>
                <w:rFonts w:cs="Arial"/>
                <w:lang w:val="fr-FR"/>
              </w:rPr>
            </w:pPr>
            <w:r>
              <w:rPr>
                <w:rFonts w:cs="Arial"/>
                <w:lang w:val="fr-FR"/>
              </w:rPr>
              <w:t>7.60</w:t>
            </w:r>
            <w:r w:rsidR="00EA6001" w:rsidRPr="00932144">
              <w:rPr>
                <w:rFonts w:cs="Arial"/>
                <w:lang w:val="fr-FR"/>
              </w:rPr>
              <w:t>E-03</w:t>
            </w:r>
          </w:p>
        </w:tc>
      </w:tr>
      <w:tr w:rsidR="00EA6001" w:rsidRPr="00633030" w14:paraId="4BB3DC3E" w14:textId="77777777" w:rsidTr="000116E6">
        <w:tc>
          <w:tcPr>
            <w:tcW w:w="1983" w:type="dxa"/>
            <w:vMerge/>
            <w:tcBorders>
              <w:left w:val="single" w:sz="4" w:space="0" w:color="auto"/>
              <w:bottom w:val="single" w:sz="4" w:space="0" w:color="auto"/>
            </w:tcBorders>
            <w:shd w:val="clear" w:color="auto" w:fill="C6D9F1"/>
            <w:vAlign w:val="center"/>
          </w:tcPr>
          <w:p w14:paraId="32443623" w14:textId="77777777" w:rsidR="00EA6001" w:rsidRPr="00633030" w:rsidRDefault="00EA6001" w:rsidP="00633030">
            <w:pPr>
              <w:rPr>
                <w:rFonts w:cs="Arial"/>
                <w:lang w:val="fr-FR"/>
              </w:rPr>
            </w:pPr>
          </w:p>
        </w:tc>
        <w:tc>
          <w:tcPr>
            <w:tcW w:w="1984" w:type="dxa"/>
            <w:tcBorders>
              <w:bottom w:val="single" w:sz="4" w:space="0" w:color="auto"/>
            </w:tcBorders>
            <w:shd w:val="clear" w:color="auto" w:fill="C6D9F1"/>
            <w:vAlign w:val="center"/>
          </w:tcPr>
          <w:p w14:paraId="7DDD9A9B" w14:textId="77777777" w:rsidR="00EA6001" w:rsidRPr="00633030" w:rsidRDefault="00EA6001" w:rsidP="00633030">
            <w:pPr>
              <w:rPr>
                <w:rFonts w:cs="Arial"/>
                <w:lang w:val="en-US"/>
              </w:rPr>
            </w:pPr>
            <w:r w:rsidRPr="00633030">
              <w:rPr>
                <w:rFonts w:cs="Arial"/>
                <w:lang w:val="en-US"/>
              </w:rPr>
              <w:t>IPBC</w:t>
            </w:r>
          </w:p>
        </w:tc>
        <w:tc>
          <w:tcPr>
            <w:tcW w:w="5952" w:type="dxa"/>
            <w:tcBorders>
              <w:bottom w:val="single" w:sz="4" w:space="0" w:color="auto"/>
              <w:right w:val="single" w:sz="4" w:space="0" w:color="auto"/>
            </w:tcBorders>
            <w:shd w:val="clear" w:color="auto" w:fill="C6D9F1"/>
            <w:vAlign w:val="bottom"/>
          </w:tcPr>
          <w:p w14:paraId="116ADD2E" w14:textId="4EB5DBC3" w:rsidR="00EA6001" w:rsidRPr="00932144" w:rsidRDefault="00EA6001" w:rsidP="00932144">
            <w:pPr>
              <w:jc w:val="center"/>
              <w:rPr>
                <w:rFonts w:cs="Arial"/>
                <w:lang w:val="fr-FR"/>
              </w:rPr>
            </w:pPr>
            <w:r w:rsidRPr="00932144">
              <w:rPr>
                <w:rFonts w:cs="Arial"/>
                <w:lang w:val="fr-FR"/>
              </w:rPr>
              <w:t>1.</w:t>
            </w:r>
            <w:r w:rsidR="00D956D4">
              <w:rPr>
                <w:rFonts w:cs="Arial"/>
                <w:lang w:val="fr-FR"/>
              </w:rPr>
              <w:t>6</w:t>
            </w:r>
            <w:r w:rsidR="00CC4986">
              <w:rPr>
                <w:rFonts w:cs="Arial"/>
                <w:lang w:val="fr-FR"/>
              </w:rPr>
              <w:t>7</w:t>
            </w:r>
            <w:r w:rsidRPr="00932144">
              <w:rPr>
                <w:rFonts w:cs="Arial"/>
                <w:lang w:val="fr-FR"/>
              </w:rPr>
              <w:t>E-02</w:t>
            </w:r>
          </w:p>
        </w:tc>
      </w:tr>
    </w:tbl>
    <w:p w14:paraId="4E1508A5" w14:textId="77777777" w:rsidR="00633030" w:rsidRPr="00633030" w:rsidRDefault="00633030" w:rsidP="00633030">
      <w:pPr>
        <w:autoSpaceDE w:val="0"/>
        <w:rPr>
          <w:rFonts w:ascii="Arial" w:hAnsi="Arial" w:cs="Arial"/>
          <w:lang w:eastAsia="sv-SE"/>
        </w:rPr>
      </w:pPr>
    </w:p>
    <w:p w14:paraId="2BFBCC8E" w14:textId="77777777" w:rsidR="009D4550" w:rsidRPr="00275290" w:rsidRDefault="009D4550" w:rsidP="009D4550">
      <w:pPr>
        <w:rPr>
          <w:rFonts w:cs="Arial"/>
          <w:b/>
        </w:rPr>
      </w:pPr>
    </w:p>
    <w:p w14:paraId="2C010F87" w14:textId="77777777" w:rsidR="009D4550" w:rsidRPr="002131ED" w:rsidRDefault="009D4550" w:rsidP="009D4550">
      <w:pPr>
        <w:rPr>
          <w:rFonts w:ascii="Arial" w:hAnsi="Arial" w:cs="Arial"/>
          <w:b/>
        </w:rPr>
      </w:pPr>
    </w:p>
    <w:p w14:paraId="3FBD8662" w14:textId="77777777" w:rsidR="009D4550" w:rsidRPr="009D4550" w:rsidRDefault="009D4550" w:rsidP="009D4550">
      <w:pPr>
        <w:pStyle w:val="Titre6"/>
      </w:pPr>
      <w:r w:rsidRPr="009D4550">
        <w:t xml:space="preserve">Exposure of non-professional users </w:t>
      </w:r>
    </w:p>
    <w:p w14:paraId="64D93D5C" w14:textId="20D5FA3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Non-professional exposure during the application phase has been considered using “</w:t>
      </w:r>
      <w:r w:rsidRPr="00275290">
        <w:rPr>
          <w:rFonts w:ascii="Verdana" w:eastAsia="Times New Roman" w:hAnsi="Verdana"/>
          <w:i/>
          <w:sz w:val="20"/>
          <w:szCs w:val="20"/>
          <w:lang w:val="en-GB" w:eastAsia="sv-SE"/>
        </w:rPr>
        <w:t>Non-professional application of paints by brushing and rolling</w:t>
      </w:r>
      <w:r w:rsidRPr="00275290">
        <w:rPr>
          <w:rFonts w:ascii="Verdana" w:eastAsia="Times New Roman" w:hAnsi="Verdana"/>
          <w:sz w:val="20"/>
          <w:szCs w:val="20"/>
          <w:lang w:val="en-GB" w:eastAsia="sv-SE"/>
        </w:rPr>
        <w:t>” from the Recommendation no. 10 of the BPC Ad hoc Working Group on Human Exposure</w:t>
      </w:r>
      <w:r w:rsidRPr="00275290">
        <w:rPr>
          <w:rStyle w:val="Appelnotedebasdep"/>
          <w:rFonts w:ascii="Verdana" w:eastAsia="Times New Roman" w:hAnsi="Verdana"/>
          <w:sz w:val="20"/>
          <w:szCs w:val="20"/>
          <w:lang w:val="en-GB" w:eastAsia="sv-SE"/>
        </w:rPr>
        <w:footnoteReference w:id="23"/>
      </w:r>
      <w:r w:rsidRPr="00275290">
        <w:rPr>
          <w:rFonts w:ascii="Verdana" w:eastAsia="Times New Roman" w:hAnsi="Verdana"/>
          <w:sz w:val="20"/>
          <w:szCs w:val="20"/>
          <w:lang w:val="en-GB" w:eastAsia="sv-SE"/>
        </w:rPr>
        <w:t>.</w:t>
      </w:r>
      <w:r w:rsidR="00AC641B">
        <w:rPr>
          <w:rFonts w:ascii="Verdana" w:eastAsia="Times New Roman" w:hAnsi="Verdana"/>
          <w:sz w:val="20"/>
          <w:szCs w:val="20"/>
          <w:lang w:val="en-GB" w:eastAsia="sv-SE"/>
        </w:rPr>
        <w:t xml:space="preserve"> Considering the heavy packaging for non professional (up to 30L), a pouring </w:t>
      </w:r>
      <w:r w:rsidR="00BF26A6">
        <w:rPr>
          <w:rFonts w:ascii="Verdana" w:eastAsia="Times New Roman" w:hAnsi="Verdana"/>
          <w:sz w:val="20"/>
          <w:szCs w:val="20"/>
          <w:lang w:val="en-GB" w:eastAsia="sv-SE"/>
        </w:rPr>
        <w:t xml:space="preserve">phase </w:t>
      </w:r>
      <w:r w:rsidR="00AC641B">
        <w:rPr>
          <w:rFonts w:ascii="Verdana" w:eastAsia="Times New Roman" w:hAnsi="Verdana"/>
          <w:sz w:val="20"/>
          <w:szCs w:val="20"/>
          <w:lang w:val="en-GB" w:eastAsia="sv-SE"/>
        </w:rPr>
        <w:t xml:space="preserve">is considered. </w:t>
      </w:r>
      <w:r w:rsidR="00BF26A6">
        <w:rPr>
          <w:rFonts w:ascii="Verdana" w:eastAsia="Times New Roman" w:hAnsi="Verdana"/>
          <w:sz w:val="20"/>
          <w:szCs w:val="20"/>
          <w:lang w:val="en-GB" w:eastAsia="sv-SE"/>
        </w:rPr>
        <w:t>The exposure is determined according to the mixing and loading model 4.</w:t>
      </w:r>
    </w:p>
    <w:p w14:paraId="7D13D18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Exposure during the cleaning of equipment (brush) has been assessed with the exposure model from the Opinion no. 11 of HEEG</w:t>
      </w:r>
      <w:r w:rsidRPr="00275290">
        <w:rPr>
          <w:rStyle w:val="Appelnotedebasdep"/>
          <w:rFonts w:ascii="Verdana" w:eastAsia="Times New Roman" w:hAnsi="Verdana"/>
          <w:sz w:val="20"/>
          <w:szCs w:val="20"/>
          <w:lang w:val="en-GB" w:eastAsia="sv-SE"/>
        </w:rPr>
        <w:footnoteReference w:id="24"/>
      </w:r>
      <w:r w:rsidRPr="00275290">
        <w:rPr>
          <w:rFonts w:ascii="Verdana" w:eastAsia="Times New Roman" w:hAnsi="Verdana"/>
          <w:sz w:val="20"/>
          <w:szCs w:val="20"/>
          <w:lang w:val="en-GB" w:eastAsia="sv-SE"/>
        </w:rPr>
        <w:t>.</w:t>
      </w:r>
    </w:p>
    <w:p w14:paraId="7C592EF5" w14:textId="77777777" w:rsidR="009D4550" w:rsidRPr="00275290" w:rsidRDefault="009D4550" w:rsidP="009D4550">
      <w:pPr>
        <w:pStyle w:val="BfRBBStandard"/>
        <w:rPr>
          <w:rFonts w:ascii="Verdana" w:eastAsia="Times New Roman" w:hAnsi="Verdana"/>
          <w:sz w:val="20"/>
          <w:szCs w:val="20"/>
          <w:lang w:val="en-GB" w:eastAsia="sv-SE"/>
        </w:rPr>
      </w:pPr>
    </w:p>
    <w:p w14:paraId="046B58D4"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972"/>
        <w:gridCol w:w="1951"/>
        <w:gridCol w:w="1947"/>
        <w:gridCol w:w="1947"/>
      </w:tblGrid>
      <w:tr w:rsidR="009D4550" w:rsidRPr="00275290" w14:paraId="2B28860A" w14:textId="77777777" w:rsidTr="00BF26A6">
        <w:tc>
          <w:tcPr>
            <w:tcW w:w="1952" w:type="dxa"/>
            <w:vAlign w:val="center"/>
          </w:tcPr>
          <w:p w14:paraId="253B7F2E"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972" w:type="dxa"/>
            <w:vAlign w:val="center"/>
          </w:tcPr>
          <w:p w14:paraId="768ACA18"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951" w:type="dxa"/>
            <w:vAlign w:val="center"/>
          </w:tcPr>
          <w:p w14:paraId="4577F860" w14:textId="77777777" w:rsidR="009D4550" w:rsidRPr="00275290" w:rsidRDefault="009D4550" w:rsidP="009D4550">
            <w:pPr>
              <w:autoSpaceDE w:val="0"/>
              <w:autoSpaceDN w:val="0"/>
              <w:adjustRightInd w:val="0"/>
              <w:spacing w:before="60" w:after="60"/>
              <w:rPr>
                <w:rFonts w:cs="Arial"/>
              </w:rPr>
            </w:pPr>
            <w:r w:rsidRPr="00275290">
              <w:rPr>
                <w:rFonts w:cs="Arial"/>
              </w:rPr>
              <w:t>Inhalation Exposure</w:t>
            </w:r>
          </w:p>
          <w:p w14:paraId="268045E1" w14:textId="77777777" w:rsidR="009D4550" w:rsidRPr="00275290" w:rsidRDefault="009D4550" w:rsidP="009D4550">
            <w:pPr>
              <w:autoSpaceDE w:val="0"/>
              <w:autoSpaceDN w:val="0"/>
              <w:adjustRightInd w:val="0"/>
              <w:spacing w:before="60" w:after="60"/>
              <w:rPr>
                <w:rFonts w:cs="Arial"/>
              </w:rPr>
            </w:pPr>
            <w:r w:rsidRPr="00275290">
              <w:rPr>
                <w:rFonts w:cs="Arial"/>
              </w:rPr>
              <w:t>(mg/kg bw/j)</w:t>
            </w:r>
          </w:p>
        </w:tc>
        <w:tc>
          <w:tcPr>
            <w:tcW w:w="1947" w:type="dxa"/>
            <w:vAlign w:val="center"/>
          </w:tcPr>
          <w:p w14:paraId="22059BC3" w14:textId="77777777" w:rsidR="009D4550" w:rsidRPr="00275290" w:rsidRDefault="009D4550" w:rsidP="009D4550">
            <w:pPr>
              <w:autoSpaceDE w:val="0"/>
              <w:autoSpaceDN w:val="0"/>
              <w:adjustRightInd w:val="0"/>
              <w:spacing w:before="60" w:after="60"/>
              <w:rPr>
                <w:rFonts w:cs="Arial"/>
              </w:rPr>
            </w:pPr>
            <w:r w:rsidRPr="00275290">
              <w:rPr>
                <w:rFonts w:cs="Arial"/>
              </w:rPr>
              <w:t>Dermal Exposure</w:t>
            </w:r>
          </w:p>
          <w:p w14:paraId="4C354535" w14:textId="77777777" w:rsidR="009D4550" w:rsidRPr="00275290" w:rsidRDefault="009D4550" w:rsidP="009D4550">
            <w:pPr>
              <w:autoSpaceDE w:val="0"/>
              <w:autoSpaceDN w:val="0"/>
              <w:adjustRightInd w:val="0"/>
              <w:spacing w:before="60" w:after="60"/>
              <w:rPr>
                <w:rFonts w:cs="Arial"/>
              </w:rPr>
            </w:pPr>
            <w:r w:rsidRPr="00275290">
              <w:rPr>
                <w:rFonts w:cs="Arial"/>
              </w:rPr>
              <w:t>(mg/kg bw/d)</w:t>
            </w:r>
          </w:p>
        </w:tc>
        <w:tc>
          <w:tcPr>
            <w:tcW w:w="1947" w:type="dxa"/>
            <w:vAlign w:val="center"/>
          </w:tcPr>
          <w:p w14:paraId="32ACD307" w14:textId="77777777" w:rsidR="009D4550" w:rsidRPr="00275290" w:rsidRDefault="009D4550" w:rsidP="009D4550">
            <w:pPr>
              <w:autoSpaceDE w:val="0"/>
              <w:autoSpaceDN w:val="0"/>
              <w:adjustRightInd w:val="0"/>
              <w:spacing w:before="60" w:after="60"/>
              <w:rPr>
                <w:rFonts w:cs="Arial"/>
              </w:rPr>
            </w:pPr>
            <w:r w:rsidRPr="00275290">
              <w:rPr>
                <w:rFonts w:cs="Arial"/>
              </w:rPr>
              <w:t>Total Exposure (mg/kg bw/d)</w:t>
            </w:r>
          </w:p>
        </w:tc>
      </w:tr>
      <w:tr w:rsidR="009D4550" w:rsidRPr="00275290" w14:paraId="58365F88" w14:textId="77777777" w:rsidTr="00BF26A6">
        <w:tc>
          <w:tcPr>
            <w:tcW w:w="9769" w:type="dxa"/>
            <w:gridSpan w:val="5"/>
            <w:shd w:val="clear" w:color="auto" w:fill="BFBFBF" w:themeFill="background1" w:themeFillShade="BF"/>
            <w:vAlign w:val="center"/>
          </w:tcPr>
          <w:p w14:paraId="4CAB06F2" w14:textId="77777777" w:rsidR="009D4550" w:rsidRPr="00275290" w:rsidRDefault="009D4550" w:rsidP="009D4550">
            <w:pPr>
              <w:rPr>
                <w:rFonts w:cs="Arial"/>
                <w:lang w:val="en-US"/>
              </w:rPr>
            </w:pPr>
            <w:r w:rsidRPr="00275290">
              <w:rPr>
                <w:rFonts w:cs="Arial"/>
                <w:lang w:val="en-US"/>
              </w:rPr>
              <w:t>Brushing 300g/m</w:t>
            </w:r>
            <w:r w:rsidRPr="00275290">
              <w:rPr>
                <w:rFonts w:cs="Arial"/>
                <w:vertAlign w:val="superscript"/>
                <w:lang w:val="en-US"/>
              </w:rPr>
              <w:t>2</w:t>
            </w:r>
            <w:r w:rsidRPr="00275290">
              <w:rPr>
                <w:rFonts w:cs="Arial"/>
                <w:lang w:val="en-US"/>
              </w:rPr>
              <w:t xml:space="preserve"> </w:t>
            </w:r>
          </w:p>
        </w:tc>
      </w:tr>
      <w:tr w:rsidR="00BF26A6" w:rsidRPr="00275290" w14:paraId="53E1BA97" w14:textId="77777777" w:rsidTr="00BF26A6">
        <w:tc>
          <w:tcPr>
            <w:tcW w:w="1952" w:type="dxa"/>
            <w:vMerge w:val="restart"/>
            <w:vAlign w:val="center"/>
          </w:tcPr>
          <w:p w14:paraId="3F7DBE24" w14:textId="3E9C37F2" w:rsidR="00BF26A6" w:rsidRPr="00275290" w:rsidRDefault="00BF26A6" w:rsidP="00BF26A6">
            <w:pPr>
              <w:rPr>
                <w:rFonts w:cs="Arial"/>
                <w:lang w:val="en-US"/>
              </w:rPr>
            </w:pPr>
            <w:r w:rsidRPr="00275290">
              <w:rPr>
                <w:rFonts w:cs="Arial"/>
                <w:lang w:val="fr-FR"/>
              </w:rPr>
              <w:t>M&amp;L</w:t>
            </w:r>
          </w:p>
        </w:tc>
        <w:tc>
          <w:tcPr>
            <w:tcW w:w="1972" w:type="dxa"/>
            <w:vAlign w:val="center"/>
          </w:tcPr>
          <w:p w14:paraId="55F450E8" w14:textId="2CACFA30" w:rsidR="00BF26A6" w:rsidRPr="00275290" w:rsidRDefault="00BF26A6" w:rsidP="00BF26A6">
            <w:pPr>
              <w:rPr>
                <w:rFonts w:cs="Arial"/>
                <w:lang w:val="fr-FR"/>
              </w:rPr>
            </w:pPr>
            <w:r w:rsidRPr="00275290">
              <w:rPr>
                <w:rFonts w:cs="Arial"/>
                <w:lang w:val="fr-FR"/>
              </w:rPr>
              <w:t>Cyperméthrine</w:t>
            </w:r>
          </w:p>
        </w:tc>
        <w:tc>
          <w:tcPr>
            <w:tcW w:w="1951" w:type="dxa"/>
            <w:vAlign w:val="center"/>
          </w:tcPr>
          <w:p w14:paraId="18D0A85A" w14:textId="55B8136B" w:rsidR="00BF26A6" w:rsidRPr="00275290" w:rsidRDefault="00BF26A6" w:rsidP="00BF26A6">
            <w:pPr>
              <w:rPr>
                <w:rFonts w:cs="Arial"/>
                <w:color w:val="000000"/>
              </w:rPr>
            </w:pPr>
            <w:r>
              <w:rPr>
                <w:rFonts w:cs="Arial"/>
                <w:color w:val="000000"/>
              </w:rPr>
              <w:t>-</w:t>
            </w:r>
          </w:p>
        </w:tc>
        <w:tc>
          <w:tcPr>
            <w:tcW w:w="1947" w:type="dxa"/>
            <w:vAlign w:val="center"/>
          </w:tcPr>
          <w:p w14:paraId="17D756E5" w14:textId="1A29B32C"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1,93E-03</w:t>
            </w:r>
          </w:p>
        </w:tc>
        <w:tc>
          <w:tcPr>
            <w:tcW w:w="1947" w:type="dxa"/>
            <w:vAlign w:val="center"/>
          </w:tcPr>
          <w:p w14:paraId="3B2D4CA2" w14:textId="0050437C"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1,93E-03</w:t>
            </w:r>
          </w:p>
        </w:tc>
      </w:tr>
      <w:tr w:rsidR="00BF26A6" w:rsidRPr="00275290" w14:paraId="63DE4134" w14:textId="77777777" w:rsidTr="00BF26A6">
        <w:tc>
          <w:tcPr>
            <w:tcW w:w="1952" w:type="dxa"/>
            <w:vMerge/>
            <w:vAlign w:val="center"/>
          </w:tcPr>
          <w:p w14:paraId="15C02799" w14:textId="77777777" w:rsidR="00BF26A6" w:rsidRPr="00275290" w:rsidRDefault="00BF26A6" w:rsidP="00BF26A6">
            <w:pPr>
              <w:rPr>
                <w:rFonts w:cs="Arial"/>
                <w:lang w:val="en-US"/>
              </w:rPr>
            </w:pPr>
          </w:p>
        </w:tc>
        <w:tc>
          <w:tcPr>
            <w:tcW w:w="1972" w:type="dxa"/>
            <w:vAlign w:val="center"/>
          </w:tcPr>
          <w:p w14:paraId="07BBCBE9" w14:textId="0306C1EF" w:rsidR="00BF26A6" w:rsidRPr="00275290" w:rsidRDefault="00BF26A6" w:rsidP="00BF26A6">
            <w:pPr>
              <w:rPr>
                <w:rFonts w:cs="Arial"/>
                <w:lang w:val="fr-FR"/>
              </w:rPr>
            </w:pPr>
            <w:r w:rsidRPr="00275290">
              <w:rPr>
                <w:rFonts w:cs="Arial"/>
                <w:lang w:val="fr-FR"/>
              </w:rPr>
              <w:t>Propiconazole</w:t>
            </w:r>
          </w:p>
        </w:tc>
        <w:tc>
          <w:tcPr>
            <w:tcW w:w="1951" w:type="dxa"/>
            <w:vAlign w:val="center"/>
          </w:tcPr>
          <w:p w14:paraId="4A8A6D61" w14:textId="7CFE0BCE" w:rsidR="00BF26A6" w:rsidRPr="00275290" w:rsidRDefault="00644EBA" w:rsidP="00BF26A6">
            <w:pPr>
              <w:rPr>
                <w:rFonts w:cs="Arial"/>
                <w:color w:val="000000"/>
              </w:rPr>
            </w:pPr>
            <w:r>
              <w:rPr>
                <w:rFonts w:cs="Arial"/>
                <w:color w:val="000000"/>
              </w:rPr>
              <w:t>-</w:t>
            </w:r>
          </w:p>
        </w:tc>
        <w:tc>
          <w:tcPr>
            <w:tcW w:w="1947" w:type="dxa"/>
            <w:vAlign w:val="center"/>
          </w:tcPr>
          <w:p w14:paraId="3B9303DF" w14:textId="055A6E03"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2,78E-03</w:t>
            </w:r>
          </w:p>
        </w:tc>
        <w:tc>
          <w:tcPr>
            <w:tcW w:w="1947" w:type="dxa"/>
            <w:vAlign w:val="center"/>
          </w:tcPr>
          <w:p w14:paraId="12084F7E" w14:textId="01D1D7F3"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2,78E-03</w:t>
            </w:r>
          </w:p>
        </w:tc>
      </w:tr>
      <w:tr w:rsidR="00BF26A6" w:rsidRPr="00275290" w14:paraId="5EDD87FA" w14:textId="77777777" w:rsidTr="00BF26A6">
        <w:tc>
          <w:tcPr>
            <w:tcW w:w="1952" w:type="dxa"/>
            <w:vMerge/>
            <w:vAlign w:val="center"/>
          </w:tcPr>
          <w:p w14:paraId="60785D14" w14:textId="77777777" w:rsidR="00BF26A6" w:rsidRPr="00275290" w:rsidRDefault="00BF26A6" w:rsidP="00BF26A6">
            <w:pPr>
              <w:rPr>
                <w:rFonts w:cs="Arial"/>
                <w:lang w:val="en-US"/>
              </w:rPr>
            </w:pPr>
          </w:p>
        </w:tc>
        <w:tc>
          <w:tcPr>
            <w:tcW w:w="1972" w:type="dxa"/>
            <w:vAlign w:val="center"/>
          </w:tcPr>
          <w:p w14:paraId="0497A568" w14:textId="354A8DAB" w:rsidR="00BF26A6" w:rsidRPr="00275290" w:rsidRDefault="00BF26A6" w:rsidP="00BF26A6">
            <w:pPr>
              <w:rPr>
                <w:rFonts w:cs="Arial"/>
                <w:lang w:val="fr-FR"/>
              </w:rPr>
            </w:pPr>
            <w:r w:rsidRPr="00275290">
              <w:rPr>
                <w:rFonts w:cs="Arial"/>
                <w:lang w:val="fr-FR"/>
              </w:rPr>
              <w:t xml:space="preserve">Tébuconazole </w:t>
            </w:r>
          </w:p>
        </w:tc>
        <w:tc>
          <w:tcPr>
            <w:tcW w:w="1951" w:type="dxa"/>
            <w:vAlign w:val="center"/>
          </w:tcPr>
          <w:p w14:paraId="48B131CA" w14:textId="325A256F" w:rsidR="00BF26A6" w:rsidRPr="00275290" w:rsidRDefault="00644EBA" w:rsidP="00BF26A6">
            <w:pPr>
              <w:rPr>
                <w:rFonts w:cs="Arial"/>
                <w:color w:val="000000"/>
              </w:rPr>
            </w:pPr>
            <w:r>
              <w:rPr>
                <w:rFonts w:cs="Arial"/>
                <w:color w:val="000000"/>
              </w:rPr>
              <w:t>-</w:t>
            </w:r>
          </w:p>
        </w:tc>
        <w:tc>
          <w:tcPr>
            <w:tcW w:w="1947" w:type="dxa"/>
            <w:vAlign w:val="center"/>
          </w:tcPr>
          <w:p w14:paraId="50CFF643" w14:textId="61831CEB"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1,04E-03</w:t>
            </w:r>
          </w:p>
        </w:tc>
        <w:tc>
          <w:tcPr>
            <w:tcW w:w="1947" w:type="dxa"/>
            <w:vAlign w:val="center"/>
          </w:tcPr>
          <w:p w14:paraId="5527470C" w14:textId="17E9ED87"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1,04E-03</w:t>
            </w:r>
          </w:p>
        </w:tc>
      </w:tr>
      <w:tr w:rsidR="00BF26A6" w:rsidRPr="00275290" w14:paraId="7ADC0561" w14:textId="77777777" w:rsidTr="00BF26A6">
        <w:tc>
          <w:tcPr>
            <w:tcW w:w="1952" w:type="dxa"/>
            <w:vMerge/>
            <w:vAlign w:val="center"/>
          </w:tcPr>
          <w:p w14:paraId="73B65BE2" w14:textId="77777777" w:rsidR="00BF26A6" w:rsidRPr="00275290" w:rsidRDefault="00BF26A6" w:rsidP="00BF26A6">
            <w:pPr>
              <w:rPr>
                <w:rFonts w:cs="Arial"/>
                <w:lang w:val="en-US"/>
              </w:rPr>
            </w:pPr>
          </w:p>
        </w:tc>
        <w:tc>
          <w:tcPr>
            <w:tcW w:w="1972" w:type="dxa"/>
            <w:vAlign w:val="center"/>
          </w:tcPr>
          <w:p w14:paraId="35EFD3AE" w14:textId="0829BA89" w:rsidR="00BF26A6" w:rsidRPr="00275290" w:rsidRDefault="00BF26A6" w:rsidP="00BF26A6">
            <w:pPr>
              <w:rPr>
                <w:rFonts w:cs="Arial"/>
                <w:lang w:val="fr-FR"/>
              </w:rPr>
            </w:pPr>
            <w:r w:rsidRPr="00275290">
              <w:rPr>
                <w:rFonts w:cs="Arial"/>
                <w:lang w:val="fr-FR"/>
              </w:rPr>
              <w:t>IPBC</w:t>
            </w:r>
          </w:p>
        </w:tc>
        <w:tc>
          <w:tcPr>
            <w:tcW w:w="1951" w:type="dxa"/>
            <w:vAlign w:val="center"/>
          </w:tcPr>
          <w:p w14:paraId="4C988750" w14:textId="77777777" w:rsidR="00BF26A6" w:rsidRPr="00275290" w:rsidRDefault="00BF26A6" w:rsidP="00BF26A6">
            <w:pPr>
              <w:rPr>
                <w:rFonts w:cs="Arial"/>
                <w:color w:val="000000"/>
              </w:rPr>
            </w:pPr>
          </w:p>
        </w:tc>
        <w:tc>
          <w:tcPr>
            <w:tcW w:w="1947" w:type="dxa"/>
            <w:vAlign w:val="center"/>
          </w:tcPr>
          <w:p w14:paraId="128BDE62" w14:textId="2B859CF1"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2,51E-03</w:t>
            </w:r>
          </w:p>
        </w:tc>
        <w:tc>
          <w:tcPr>
            <w:tcW w:w="1947" w:type="dxa"/>
            <w:vAlign w:val="center"/>
          </w:tcPr>
          <w:p w14:paraId="1ADF12AC" w14:textId="217FD1D4"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2,51E-03</w:t>
            </w:r>
          </w:p>
        </w:tc>
      </w:tr>
      <w:tr w:rsidR="009D4550" w:rsidRPr="00275290" w14:paraId="0351C76D" w14:textId="77777777" w:rsidTr="00BF26A6">
        <w:tc>
          <w:tcPr>
            <w:tcW w:w="1952" w:type="dxa"/>
            <w:vMerge w:val="restart"/>
            <w:vAlign w:val="center"/>
          </w:tcPr>
          <w:p w14:paraId="43A0E7AE" w14:textId="77777777" w:rsidR="009D4550" w:rsidRPr="00275290" w:rsidRDefault="009D4550" w:rsidP="009D4550">
            <w:pPr>
              <w:rPr>
                <w:rFonts w:cs="Arial"/>
                <w:lang w:val="en-US"/>
              </w:rPr>
            </w:pPr>
            <w:r w:rsidRPr="00275290">
              <w:rPr>
                <w:rFonts w:cs="Arial"/>
                <w:lang w:val="en-US"/>
              </w:rPr>
              <w:t>Product application phase</w:t>
            </w:r>
          </w:p>
        </w:tc>
        <w:tc>
          <w:tcPr>
            <w:tcW w:w="1972" w:type="dxa"/>
            <w:vAlign w:val="center"/>
          </w:tcPr>
          <w:p w14:paraId="0EE4D1FC" w14:textId="77777777" w:rsidR="009D4550" w:rsidRPr="00275290" w:rsidRDefault="009D4550" w:rsidP="009D4550">
            <w:pPr>
              <w:rPr>
                <w:rFonts w:cs="Arial"/>
                <w:lang w:val="fr-FR"/>
              </w:rPr>
            </w:pPr>
            <w:r w:rsidRPr="00275290">
              <w:rPr>
                <w:rFonts w:cs="Arial"/>
                <w:lang w:val="fr-FR"/>
              </w:rPr>
              <w:t>Cyperméthrine</w:t>
            </w:r>
          </w:p>
        </w:tc>
        <w:tc>
          <w:tcPr>
            <w:tcW w:w="1951" w:type="dxa"/>
            <w:vAlign w:val="center"/>
          </w:tcPr>
          <w:p w14:paraId="7B5866DE" w14:textId="77777777" w:rsidR="009D4550" w:rsidRPr="00275290" w:rsidRDefault="009D4550" w:rsidP="009D4550">
            <w:pPr>
              <w:rPr>
                <w:rFonts w:cs="Arial"/>
                <w:color w:val="000000"/>
              </w:rPr>
            </w:pPr>
            <w:r w:rsidRPr="00275290">
              <w:rPr>
                <w:rFonts w:cs="Arial"/>
                <w:color w:val="000000"/>
              </w:rPr>
              <w:t>1,09E-04</w:t>
            </w:r>
          </w:p>
        </w:tc>
        <w:tc>
          <w:tcPr>
            <w:tcW w:w="1947" w:type="dxa"/>
            <w:vAlign w:val="center"/>
          </w:tcPr>
          <w:p w14:paraId="096F46F1" w14:textId="77777777" w:rsidR="009D4550" w:rsidRPr="00275290" w:rsidRDefault="009D4550" w:rsidP="009D4550">
            <w:pPr>
              <w:rPr>
                <w:rFonts w:cs="Arial"/>
                <w:color w:val="000000"/>
              </w:rPr>
            </w:pPr>
            <w:r w:rsidRPr="00275290">
              <w:rPr>
                <w:rFonts w:cs="Arial"/>
                <w:color w:val="000000"/>
              </w:rPr>
              <w:t>9,49E-03</w:t>
            </w:r>
          </w:p>
        </w:tc>
        <w:tc>
          <w:tcPr>
            <w:tcW w:w="1947" w:type="dxa"/>
            <w:vAlign w:val="center"/>
          </w:tcPr>
          <w:p w14:paraId="0D013B6F" w14:textId="77777777" w:rsidR="009D4550" w:rsidRPr="00275290" w:rsidRDefault="009D4550" w:rsidP="009D4550">
            <w:pPr>
              <w:rPr>
                <w:rFonts w:cs="Arial"/>
                <w:color w:val="000000"/>
              </w:rPr>
            </w:pPr>
            <w:r w:rsidRPr="00275290">
              <w:rPr>
                <w:rFonts w:cs="Arial"/>
                <w:color w:val="000000"/>
              </w:rPr>
              <w:t>9,60E-03</w:t>
            </w:r>
          </w:p>
        </w:tc>
      </w:tr>
      <w:tr w:rsidR="009D4550" w:rsidRPr="00275290" w14:paraId="54DD941F" w14:textId="77777777" w:rsidTr="00BF26A6">
        <w:tc>
          <w:tcPr>
            <w:tcW w:w="1952" w:type="dxa"/>
            <w:vMerge/>
            <w:vAlign w:val="center"/>
          </w:tcPr>
          <w:p w14:paraId="735C599E" w14:textId="77777777" w:rsidR="009D4550" w:rsidRPr="00275290" w:rsidRDefault="009D4550" w:rsidP="009D4550">
            <w:pPr>
              <w:rPr>
                <w:rFonts w:cs="Arial"/>
                <w:lang w:val="fr-FR"/>
              </w:rPr>
            </w:pPr>
          </w:p>
        </w:tc>
        <w:tc>
          <w:tcPr>
            <w:tcW w:w="1972" w:type="dxa"/>
            <w:vAlign w:val="center"/>
          </w:tcPr>
          <w:p w14:paraId="38E6E502" w14:textId="77777777" w:rsidR="009D4550" w:rsidRPr="00275290" w:rsidRDefault="009D4550" w:rsidP="009D4550">
            <w:pPr>
              <w:rPr>
                <w:rFonts w:cs="Arial"/>
                <w:lang w:val="fr-FR"/>
              </w:rPr>
            </w:pPr>
            <w:r w:rsidRPr="00275290">
              <w:rPr>
                <w:rFonts w:cs="Arial"/>
                <w:lang w:val="fr-FR"/>
              </w:rPr>
              <w:t>Propiconazole</w:t>
            </w:r>
          </w:p>
        </w:tc>
        <w:tc>
          <w:tcPr>
            <w:tcW w:w="1951" w:type="dxa"/>
            <w:vAlign w:val="center"/>
          </w:tcPr>
          <w:p w14:paraId="0CEC49C8" w14:textId="77777777" w:rsidR="009D4550" w:rsidRPr="00275290" w:rsidRDefault="009D4550" w:rsidP="009D4550">
            <w:pPr>
              <w:rPr>
                <w:rFonts w:cs="Arial"/>
                <w:color w:val="000000"/>
              </w:rPr>
            </w:pPr>
            <w:r w:rsidRPr="00275290">
              <w:rPr>
                <w:rFonts w:cs="Arial"/>
                <w:color w:val="000000"/>
              </w:rPr>
              <w:t>2,17E-04</w:t>
            </w:r>
          </w:p>
        </w:tc>
        <w:tc>
          <w:tcPr>
            <w:tcW w:w="1947" w:type="dxa"/>
            <w:vAlign w:val="center"/>
          </w:tcPr>
          <w:p w14:paraId="5FD73F24" w14:textId="77777777" w:rsidR="009D4550" w:rsidRPr="00275290" w:rsidRDefault="009D4550" w:rsidP="009D4550">
            <w:pPr>
              <w:rPr>
                <w:rFonts w:cs="Arial"/>
                <w:color w:val="000000"/>
              </w:rPr>
            </w:pPr>
            <w:r w:rsidRPr="00275290">
              <w:rPr>
                <w:rFonts w:cs="Arial"/>
                <w:color w:val="000000"/>
              </w:rPr>
              <w:t>1,37E-02</w:t>
            </w:r>
          </w:p>
        </w:tc>
        <w:tc>
          <w:tcPr>
            <w:tcW w:w="1947" w:type="dxa"/>
            <w:vAlign w:val="center"/>
          </w:tcPr>
          <w:p w14:paraId="5F9E3ED6" w14:textId="77777777" w:rsidR="009D4550" w:rsidRPr="00275290" w:rsidRDefault="009D4550" w:rsidP="009D4550">
            <w:pPr>
              <w:rPr>
                <w:rFonts w:cs="Arial"/>
                <w:color w:val="000000"/>
              </w:rPr>
            </w:pPr>
            <w:r w:rsidRPr="00275290">
              <w:rPr>
                <w:rFonts w:cs="Arial"/>
                <w:color w:val="000000"/>
              </w:rPr>
              <w:t>1,39E-02</w:t>
            </w:r>
          </w:p>
        </w:tc>
      </w:tr>
      <w:tr w:rsidR="009D4550" w:rsidRPr="00275290" w14:paraId="44833700" w14:textId="77777777" w:rsidTr="00BF26A6">
        <w:tc>
          <w:tcPr>
            <w:tcW w:w="1952" w:type="dxa"/>
            <w:vMerge/>
            <w:vAlign w:val="center"/>
          </w:tcPr>
          <w:p w14:paraId="5388572E" w14:textId="77777777" w:rsidR="009D4550" w:rsidRPr="00275290" w:rsidRDefault="009D4550" w:rsidP="009D4550">
            <w:pPr>
              <w:rPr>
                <w:rFonts w:cs="Arial"/>
                <w:lang w:val="fr-FR"/>
              </w:rPr>
            </w:pPr>
          </w:p>
        </w:tc>
        <w:tc>
          <w:tcPr>
            <w:tcW w:w="1972" w:type="dxa"/>
            <w:vAlign w:val="center"/>
          </w:tcPr>
          <w:p w14:paraId="30856B76" w14:textId="77777777" w:rsidR="009D4550" w:rsidRPr="00275290" w:rsidRDefault="009D4550" w:rsidP="009D4550">
            <w:pPr>
              <w:rPr>
                <w:rFonts w:cs="Arial"/>
                <w:lang w:val="fr-FR"/>
              </w:rPr>
            </w:pPr>
            <w:r w:rsidRPr="00275290">
              <w:rPr>
                <w:rFonts w:cs="Arial"/>
                <w:lang w:val="fr-FR"/>
              </w:rPr>
              <w:t xml:space="preserve">Tébuconazole </w:t>
            </w:r>
          </w:p>
        </w:tc>
        <w:tc>
          <w:tcPr>
            <w:tcW w:w="1951" w:type="dxa"/>
            <w:vAlign w:val="center"/>
          </w:tcPr>
          <w:p w14:paraId="097848FD" w14:textId="77777777" w:rsidR="009D4550" w:rsidRPr="00275290" w:rsidRDefault="009D4550" w:rsidP="009D4550">
            <w:pPr>
              <w:rPr>
                <w:rFonts w:cs="Arial"/>
                <w:color w:val="000000"/>
              </w:rPr>
            </w:pPr>
            <w:r w:rsidRPr="00275290">
              <w:rPr>
                <w:rFonts w:cs="Arial"/>
                <w:color w:val="000000"/>
              </w:rPr>
              <w:t>6,79E-05</w:t>
            </w:r>
          </w:p>
        </w:tc>
        <w:tc>
          <w:tcPr>
            <w:tcW w:w="1947" w:type="dxa"/>
            <w:vAlign w:val="center"/>
          </w:tcPr>
          <w:p w14:paraId="6694D173" w14:textId="77777777" w:rsidR="009D4550" w:rsidRPr="00275290" w:rsidRDefault="009D4550" w:rsidP="009D4550">
            <w:pPr>
              <w:rPr>
                <w:rFonts w:cs="Arial"/>
                <w:color w:val="000000"/>
              </w:rPr>
            </w:pPr>
            <w:r w:rsidRPr="00275290">
              <w:rPr>
                <w:rFonts w:cs="Arial"/>
                <w:color w:val="000000"/>
              </w:rPr>
              <w:t>5,11E-03</w:t>
            </w:r>
          </w:p>
        </w:tc>
        <w:tc>
          <w:tcPr>
            <w:tcW w:w="1947" w:type="dxa"/>
            <w:vAlign w:val="center"/>
          </w:tcPr>
          <w:p w14:paraId="763403D0" w14:textId="77777777" w:rsidR="009D4550" w:rsidRPr="00275290" w:rsidRDefault="009D4550" w:rsidP="009D4550">
            <w:pPr>
              <w:rPr>
                <w:rFonts w:cs="Arial"/>
                <w:color w:val="000000"/>
              </w:rPr>
            </w:pPr>
            <w:r w:rsidRPr="00275290">
              <w:rPr>
                <w:rFonts w:cs="Arial"/>
                <w:color w:val="000000"/>
              </w:rPr>
              <w:t>5,18E-03</w:t>
            </w:r>
          </w:p>
        </w:tc>
      </w:tr>
      <w:tr w:rsidR="009D4550" w:rsidRPr="00275290" w14:paraId="7E631B6D" w14:textId="77777777" w:rsidTr="00BF26A6">
        <w:tc>
          <w:tcPr>
            <w:tcW w:w="1952" w:type="dxa"/>
            <w:vMerge/>
            <w:vAlign w:val="center"/>
          </w:tcPr>
          <w:p w14:paraId="78E1DF53" w14:textId="77777777" w:rsidR="009D4550" w:rsidRPr="00275290" w:rsidRDefault="009D4550" w:rsidP="009D4550">
            <w:pPr>
              <w:rPr>
                <w:rFonts w:cs="Arial"/>
                <w:lang w:val="fr-FR"/>
              </w:rPr>
            </w:pPr>
          </w:p>
        </w:tc>
        <w:tc>
          <w:tcPr>
            <w:tcW w:w="1972" w:type="dxa"/>
            <w:vAlign w:val="center"/>
          </w:tcPr>
          <w:p w14:paraId="0C417BAD" w14:textId="77777777" w:rsidR="009D4550" w:rsidRPr="00275290" w:rsidRDefault="009D4550" w:rsidP="009D4550">
            <w:pPr>
              <w:rPr>
                <w:rFonts w:cs="Arial"/>
                <w:lang w:val="fr-FR"/>
              </w:rPr>
            </w:pPr>
            <w:r w:rsidRPr="00275290">
              <w:rPr>
                <w:rFonts w:cs="Arial"/>
                <w:lang w:val="fr-FR"/>
              </w:rPr>
              <w:t>IPBC</w:t>
            </w:r>
          </w:p>
        </w:tc>
        <w:tc>
          <w:tcPr>
            <w:tcW w:w="1951" w:type="dxa"/>
            <w:vAlign w:val="center"/>
          </w:tcPr>
          <w:p w14:paraId="47324D86" w14:textId="77777777" w:rsidR="009D4550" w:rsidRPr="00275290" w:rsidRDefault="009D4550" w:rsidP="009D4550">
            <w:pPr>
              <w:rPr>
                <w:rFonts w:cs="Arial"/>
                <w:color w:val="000000"/>
              </w:rPr>
            </w:pPr>
            <w:r w:rsidRPr="00275290">
              <w:rPr>
                <w:rFonts w:cs="Arial"/>
                <w:color w:val="000000"/>
              </w:rPr>
              <w:t>6,79E-05</w:t>
            </w:r>
          </w:p>
        </w:tc>
        <w:tc>
          <w:tcPr>
            <w:tcW w:w="1947" w:type="dxa"/>
            <w:vAlign w:val="center"/>
          </w:tcPr>
          <w:p w14:paraId="6FD4F7ED" w14:textId="77777777" w:rsidR="009D4550" w:rsidRPr="00275290" w:rsidRDefault="009D4550" w:rsidP="009D4550">
            <w:pPr>
              <w:rPr>
                <w:rFonts w:cs="Arial"/>
                <w:color w:val="000000"/>
              </w:rPr>
            </w:pPr>
            <w:r w:rsidRPr="00275290">
              <w:rPr>
                <w:rFonts w:cs="Arial"/>
                <w:color w:val="000000"/>
              </w:rPr>
              <w:t>1,24E-02</w:t>
            </w:r>
          </w:p>
        </w:tc>
        <w:tc>
          <w:tcPr>
            <w:tcW w:w="1947" w:type="dxa"/>
            <w:vAlign w:val="center"/>
          </w:tcPr>
          <w:p w14:paraId="58382EAA" w14:textId="77777777" w:rsidR="009D4550" w:rsidRPr="00275290" w:rsidRDefault="009D4550" w:rsidP="009D4550">
            <w:pPr>
              <w:rPr>
                <w:rFonts w:cs="Arial"/>
                <w:color w:val="000000"/>
              </w:rPr>
            </w:pPr>
            <w:r w:rsidRPr="00275290">
              <w:rPr>
                <w:rFonts w:cs="Arial"/>
                <w:color w:val="000000"/>
              </w:rPr>
              <w:t>1,24E-02</w:t>
            </w:r>
          </w:p>
        </w:tc>
      </w:tr>
      <w:tr w:rsidR="009D4550" w:rsidRPr="00275290" w14:paraId="5112ECF2" w14:textId="77777777" w:rsidTr="00BF26A6">
        <w:tc>
          <w:tcPr>
            <w:tcW w:w="1952" w:type="dxa"/>
            <w:vMerge w:val="restart"/>
            <w:vAlign w:val="center"/>
          </w:tcPr>
          <w:p w14:paraId="3B20257A" w14:textId="77777777" w:rsidR="009D4550" w:rsidRPr="00275290" w:rsidRDefault="009D4550" w:rsidP="009D4550">
            <w:pPr>
              <w:rPr>
                <w:rFonts w:cs="Arial"/>
                <w:lang w:val="en-US"/>
              </w:rPr>
            </w:pPr>
            <w:r w:rsidRPr="00275290">
              <w:rPr>
                <w:rFonts w:cs="Arial"/>
                <w:lang w:val="en-US"/>
              </w:rPr>
              <w:t>Brush cleaning phase</w:t>
            </w:r>
          </w:p>
        </w:tc>
        <w:tc>
          <w:tcPr>
            <w:tcW w:w="1972" w:type="dxa"/>
            <w:vAlign w:val="center"/>
          </w:tcPr>
          <w:p w14:paraId="5B4A7CFB" w14:textId="77777777" w:rsidR="009D4550" w:rsidRPr="00275290" w:rsidRDefault="009D4550" w:rsidP="009D4550">
            <w:pPr>
              <w:rPr>
                <w:rFonts w:cs="Arial"/>
                <w:lang w:val="fr-FR"/>
              </w:rPr>
            </w:pPr>
            <w:r w:rsidRPr="00275290">
              <w:rPr>
                <w:rFonts w:cs="Arial"/>
                <w:lang w:val="fr-FR"/>
              </w:rPr>
              <w:t>Cyperméthrine</w:t>
            </w:r>
          </w:p>
        </w:tc>
        <w:tc>
          <w:tcPr>
            <w:tcW w:w="1951" w:type="dxa"/>
            <w:vAlign w:val="center"/>
          </w:tcPr>
          <w:p w14:paraId="53A983D9" w14:textId="77777777" w:rsidR="009D4550" w:rsidRPr="00275290" w:rsidRDefault="009D4550" w:rsidP="009D4550">
            <w:pPr>
              <w:rPr>
                <w:rFonts w:cs="Arial"/>
                <w:lang w:val="fr-FR"/>
              </w:rPr>
            </w:pPr>
            <w:r w:rsidRPr="00275290">
              <w:rPr>
                <w:rFonts w:cs="Arial"/>
                <w:lang w:val="fr-FR"/>
              </w:rPr>
              <w:t>-</w:t>
            </w:r>
          </w:p>
        </w:tc>
        <w:tc>
          <w:tcPr>
            <w:tcW w:w="1947" w:type="dxa"/>
            <w:vAlign w:val="center"/>
          </w:tcPr>
          <w:p w14:paraId="2933ED6E" w14:textId="77777777" w:rsidR="009D4550" w:rsidRPr="00275290" w:rsidRDefault="009D4550" w:rsidP="009D4550">
            <w:pPr>
              <w:rPr>
                <w:rFonts w:cs="Arial"/>
                <w:color w:val="000000"/>
              </w:rPr>
            </w:pPr>
            <w:r w:rsidRPr="00275290">
              <w:rPr>
                <w:rFonts w:cs="Arial"/>
                <w:color w:val="000000"/>
              </w:rPr>
              <w:t>7,17E-04</w:t>
            </w:r>
          </w:p>
        </w:tc>
        <w:tc>
          <w:tcPr>
            <w:tcW w:w="1947" w:type="dxa"/>
            <w:vAlign w:val="center"/>
          </w:tcPr>
          <w:p w14:paraId="48286762" w14:textId="77777777" w:rsidR="009D4550" w:rsidRPr="00275290" w:rsidRDefault="009D4550" w:rsidP="009D4550">
            <w:pPr>
              <w:rPr>
                <w:rFonts w:cs="Arial"/>
                <w:color w:val="000000"/>
              </w:rPr>
            </w:pPr>
            <w:r w:rsidRPr="00275290">
              <w:rPr>
                <w:rFonts w:cs="Arial"/>
                <w:color w:val="000000"/>
              </w:rPr>
              <w:t>7,17E-04</w:t>
            </w:r>
          </w:p>
        </w:tc>
      </w:tr>
      <w:tr w:rsidR="009D4550" w:rsidRPr="00275290" w14:paraId="73E2A7D5" w14:textId="77777777" w:rsidTr="00BF26A6">
        <w:tc>
          <w:tcPr>
            <w:tcW w:w="1952" w:type="dxa"/>
            <w:vMerge/>
            <w:vAlign w:val="center"/>
          </w:tcPr>
          <w:p w14:paraId="5E18F1A7" w14:textId="77777777" w:rsidR="009D4550" w:rsidRPr="00275290" w:rsidRDefault="009D4550" w:rsidP="009D4550">
            <w:pPr>
              <w:rPr>
                <w:rFonts w:cs="Arial"/>
                <w:lang w:val="en-US"/>
              </w:rPr>
            </w:pPr>
          </w:p>
        </w:tc>
        <w:tc>
          <w:tcPr>
            <w:tcW w:w="1972" w:type="dxa"/>
            <w:vAlign w:val="center"/>
          </w:tcPr>
          <w:p w14:paraId="7DFB8987" w14:textId="77777777" w:rsidR="009D4550" w:rsidRPr="00275290" w:rsidRDefault="009D4550" w:rsidP="009D4550">
            <w:pPr>
              <w:rPr>
                <w:rFonts w:cs="Arial"/>
                <w:lang w:val="en-US"/>
              </w:rPr>
            </w:pPr>
            <w:r w:rsidRPr="00275290">
              <w:rPr>
                <w:rFonts w:cs="Arial"/>
                <w:lang w:val="en-US"/>
              </w:rPr>
              <w:t>Propiconazole</w:t>
            </w:r>
          </w:p>
        </w:tc>
        <w:tc>
          <w:tcPr>
            <w:tcW w:w="1951" w:type="dxa"/>
            <w:vAlign w:val="center"/>
          </w:tcPr>
          <w:p w14:paraId="35D7F588" w14:textId="77777777" w:rsidR="009D4550" w:rsidRPr="00275290" w:rsidRDefault="009D4550" w:rsidP="009D4550">
            <w:pPr>
              <w:rPr>
                <w:rFonts w:cs="Arial"/>
                <w:lang w:val="en-US"/>
              </w:rPr>
            </w:pPr>
            <w:r w:rsidRPr="00275290">
              <w:rPr>
                <w:rFonts w:cs="Arial"/>
                <w:lang w:val="en-US"/>
              </w:rPr>
              <w:t>-</w:t>
            </w:r>
          </w:p>
        </w:tc>
        <w:tc>
          <w:tcPr>
            <w:tcW w:w="1947" w:type="dxa"/>
            <w:vAlign w:val="center"/>
          </w:tcPr>
          <w:p w14:paraId="38F3350E" w14:textId="77777777" w:rsidR="009D4550" w:rsidRPr="00275290" w:rsidRDefault="009D4550" w:rsidP="009D4550">
            <w:pPr>
              <w:rPr>
                <w:rFonts w:cs="Arial"/>
                <w:color w:val="000000"/>
              </w:rPr>
            </w:pPr>
            <w:r w:rsidRPr="00275290">
              <w:rPr>
                <w:rFonts w:cs="Arial"/>
                <w:color w:val="000000"/>
              </w:rPr>
              <w:t>9,32E-04</w:t>
            </w:r>
          </w:p>
        </w:tc>
        <w:tc>
          <w:tcPr>
            <w:tcW w:w="1947" w:type="dxa"/>
            <w:vAlign w:val="center"/>
          </w:tcPr>
          <w:p w14:paraId="65471AF9" w14:textId="77777777" w:rsidR="009D4550" w:rsidRPr="00275290" w:rsidRDefault="009D4550" w:rsidP="009D4550">
            <w:pPr>
              <w:rPr>
                <w:rFonts w:cs="Arial"/>
                <w:color w:val="000000"/>
              </w:rPr>
            </w:pPr>
            <w:r w:rsidRPr="00275290">
              <w:rPr>
                <w:rFonts w:cs="Arial"/>
                <w:color w:val="000000"/>
              </w:rPr>
              <w:t>9,32E-04</w:t>
            </w:r>
          </w:p>
        </w:tc>
      </w:tr>
      <w:tr w:rsidR="009D4550" w:rsidRPr="00275290" w14:paraId="69E9BA74" w14:textId="77777777" w:rsidTr="00BF26A6">
        <w:tc>
          <w:tcPr>
            <w:tcW w:w="1952" w:type="dxa"/>
            <w:vMerge/>
            <w:vAlign w:val="center"/>
          </w:tcPr>
          <w:p w14:paraId="594D8D5D" w14:textId="77777777" w:rsidR="009D4550" w:rsidRPr="00275290" w:rsidRDefault="009D4550" w:rsidP="009D4550">
            <w:pPr>
              <w:rPr>
                <w:rFonts w:cs="Arial"/>
                <w:lang w:val="en-US"/>
              </w:rPr>
            </w:pPr>
          </w:p>
        </w:tc>
        <w:tc>
          <w:tcPr>
            <w:tcW w:w="1972" w:type="dxa"/>
            <w:vAlign w:val="center"/>
          </w:tcPr>
          <w:p w14:paraId="0F3513B6" w14:textId="77777777" w:rsidR="009D4550" w:rsidRPr="00275290" w:rsidRDefault="009D4550" w:rsidP="009D4550">
            <w:pPr>
              <w:rPr>
                <w:rFonts w:cs="Arial"/>
                <w:lang w:val="en-US"/>
              </w:rPr>
            </w:pPr>
            <w:r w:rsidRPr="00275290">
              <w:rPr>
                <w:rFonts w:cs="Arial"/>
                <w:lang w:val="en-US"/>
              </w:rPr>
              <w:t>Tébuconazole</w:t>
            </w:r>
          </w:p>
        </w:tc>
        <w:tc>
          <w:tcPr>
            <w:tcW w:w="1951" w:type="dxa"/>
            <w:vAlign w:val="center"/>
          </w:tcPr>
          <w:p w14:paraId="0241E851" w14:textId="77777777" w:rsidR="009D4550" w:rsidRPr="00275290" w:rsidRDefault="009D4550" w:rsidP="009D4550">
            <w:pPr>
              <w:rPr>
                <w:rFonts w:cs="Arial"/>
                <w:lang w:val="en-US"/>
              </w:rPr>
            </w:pPr>
            <w:r w:rsidRPr="00275290">
              <w:rPr>
                <w:rFonts w:cs="Arial"/>
                <w:lang w:val="en-US"/>
              </w:rPr>
              <w:t>-</w:t>
            </w:r>
          </w:p>
        </w:tc>
        <w:tc>
          <w:tcPr>
            <w:tcW w:w="1947" w:type="dxa"/>
            <w:vAlign w:val="center"/>
          </w:tcPr>
          <w:p w14:paraId="357A0B92" w14:textId="77777777" w:rsidR="009D4550" w:rsidRPr="00275290" w:rsidRDefault="009D4550" w:rsidP="009D4550">
            <w:pPr>
              <w:rPr>
                <w:rFonts w:cs="Arial"/>
                <w:color w:val="000000"/>
              </w:rPr>
            </w:pPr>
            <w:r w:rsidRPr="00275290">
              <w:rPr>
                <w:rFonts w:cs="Arial"/>
                <w:color w:val="000000"/>
              </w:rPr>
              <w:t>4,94E-04</w:t>
            </w:r>
          </w:p>
        </w:tc>
        <w:tc>
          <w:tcPr>
            <w:tcW w:w="1947" w:type="dxa"/>
            <w:vAlign w:val="center"/>
          </w:tcPr>
          <w:p w14:paraId="261AB6F6" w14:textId="77777777" w:rsidR="009D4550" w:rsidRPr="00275290" w:rsidRDefault="009D4550" w:rsidP="009D4550">
            <w:pPr>
              <w:rPr>
                <w:rFonts w:cs="Arial"/>
                <w:color w:val="000000"/>
              </w:rPr>
            </w:pPr>
            <w:r w:rsidRPr="00275290">
              <w:rPr>
                <w:rFonts w:cs="Arial"/>
                <w:color w:val="000000"/>
              </w:rPr>
              <w:t>4,94E-04</w:t>
            </w:r>
          </w:p>
        </w:tc>
      </w:tr>
      <w:tr w:rsidR="009D4550" w:rsidRPr="00275290" w14:paraId="4BC35D2C" w14:textId="77777777" w:rsidTr="00BF26A6">
        <w:tc>
          <w:tcPr>
            <w:tcW w:w="1952" w:type="dxa"/>
            <w:vMerge/>
            <w:vAlign w:val="center"/>
          </w:tcPr>
          <w:p w14:paraId="46A2F218" w14:textId="77777777" w:rsidR="009D4550" w:rsidRPr="00275290" w:rsidRDefault="009D4550" w:rsidP="009D4550">
            <w:pPr>
              <w:rPr>
                <w:rFonts w:cs="Arial"/>
                <w:lang w:val="en-US"/>
              </w:rPr>
            </w:pPr>
          </w:p>
        </w:tc>
        <w:tc>
          <w:tcPr>
            <w:tcW w:w="1972" w:type="dxa"/>
            <w:vAlign w:val="center"/>
          </w:tcPr>
          <w:p w14:paraId="742E6984" w14:textId="77777777" w:rsidR="009D4550" w:rsidRPr="00275290" w:rsidRDefault="009D4550" w:rsidP="009D4550">
            <w:pPr>
              <w:rPr>
                <w:rFonts w:cs="Arial"/>
                <w:lang w:val="en-US"/>
              </w:rPr>
            </w:pPr>
            <w:r w:rsidRPr="00275290">
              <w:rPr>
                <w:rFonts w:cs="Arial"/>
                <w:lang w:val="en-US"/>
              </w:rPr>
              <w:t>IPBC</w:t>
            </w:r>
          </w:p>
        </w:tc>
        <w:tc>
          <w:tcPr>
            <w:tcW w:w="1951" w:type="dxa"/>
            <w:vAlign w:val="center"/>
          </w:tcPr>
          <w:p w14:paraId="3392F540" w14:textId="77777777" w:rsidR="009D4550" w:rsidRPr="00275290" w:rsidRDefault="009D4550" w:rsidP="009D4550">
            <w:pPr>
              <w:rPr>
                <w:rFonts w:cs="Arial"/>
                <w:lang w:val="en-US"/>
              </w:rPr>
            </w:pPr>
            <w:r w:rsidRPr="00275290">
              <w:rPr>
                <w:rFonts w:cs="Arial"/>
                <w:lang w:val="en-US"/>
              </w:rPr>
              <w:t>-</w:t>
            </w:r>
          </w:p>
        </w:tc>
        <w:tc>
          <w:tcPr>
            <w:tcW w:w="1947" w:type="dxa"/>
            <w:vAlign w:val="center"/>
          </w:tcPr>
          <w:p w14:paraId="27D75B50" w14:textId="77777777" w:rsidR="009D4550" w:rsidRPr="00275290" w:rsidRDefault="009D4550" w:rsidP="009D4550">
            <w:pPr>
              <w:rPr>
                <w:rFonts w:cs="Arial"/>
                <w:color w:val="000000"/>
              </w:rPr>
            </w:pPr>
            <w:r w:rsidRPr="00275290">
              <w:rPr>
                <w:rFonts w:cs="Arial"/>
                <w:color w:val="000000"/>
              </w:rPr>
              <w:t>8,63E-04</w:t>
            </w:r>
          </w:p>
        </w:tc>
        <w:tc>
          <w:tcPr>
            <w:tcW w:w="1947" w:type="dxa"/>
            <w:vAlign w:val="center"/>
          </w:tcPr>
          <w:p w14:paraId="0BD6D559" w14:textId="77777777" w:rsidR="009D4550" w:rsidRPr="00275290" w:rsidRDefault="009D4550" w:rsidP="009D4550">
            <w:pPr>
              <w:rPr>
                <w:rFonts w:cs="Arial"/>
                <w:color w:val="000000"/>
              </w:rPr>
            </w:pPr>
            <w:r w:rsidRPr="00275290">
              <w:rPr>
                <w:rFonts w:cs="Arial"/>
                <w:color w:val="000000"/>
              </w:rPr>
              <w:t>8,63E-04</w:t>
            </w:r>
          </w:p>
        </w:tc>
      </w:tr>
      <w:tr w:rsidR="009D4550" w:rsidRPr="00275290" w14:paraId="2607DE22" w14:textId="77777777" w:rsidTr="000E1EAD">
        <w:tc>
          <w:tcPr>
            <w:tcW w:w="1952" w:type="dxa"/>
            <w:vMerge w:val="restart"/>
            <w:shd w:val="clear" w:color="auto" w:fill="C6D9F1" w:themeFill="text2" w:themeFillTint="33"/>
            <w:vAlign w:val="center"/>
          </w:tcPr>
          <w:p w14:paraId="20DA3069" w14:textId="4BECE0D4" w:rsidR="009D4550" w:rsidRPr="00275290" w:rsidRDefault="00BF26A6" w:rsidP="009D4550">
            <w:pPr>
              <w:rPr>
                <w:rFonts w:cs="Arial"/>
                <w:lang w:val="en-US"/>
              </w:rPr>
            </w:pPr>
            <w:r>
              <w:rPr>
                <w:rFonts w:cs="Arial"/>
                <w:lang w:val="en-US"/>
              </w:rPr>
              <w:lastRenderedPageBreak/>
              <w:t>M&amp;L + a</w:t>
            </w:r>
            <w:r w:rsidR="009D4550" w:rsidRPr="00275290">
              <w:rPr>
                <w:rFonts w:cs="Arial"/>
                <w:lang w:val="en-US"/>
              </w:rPr>
              <w:t>ppli + cleaning</w:t>
            </w:r>
          </w:p>
        </w:tc>
        <w:tc>
          <w:tcPr>
            <w:tcW w:w="1972" w:type="dxa"/>
            <w:shd w:val="clear" w:color="auto" w:fill="C6D9F1" w:themeFill="text2" w:themeFillTint="33"/>
            <w:vAlign w:val="center"/>
          </w:tcPr>
          <w:p w14:paraId="6D7FF44C" w14:textId="77777777" w:rsidR="009D4550" w:rsidRPr="00275290" w:rsidRDefault="009D4550" w:rsidP="009D4550">
            <w:pPr>
              <w:rPr>
                <w:rFonts w:cs="Arial"/>
                <w:lang w:val="fr-FR"/>
              </w:rPr>
            </w:pPr>
            <w:r w:rsidRPr="00275290">
              <w:rPr>
                <w:rFonts w:cs="Arial"/>
                <w:lang w:val="fr-FR"/>
              </w:rPr>
              <w:t>Cyperméthrine</w:t>
            </w:r>
          </w:p>
        </w:tc>
        <w:tc>
          <w:tcPr>
            <w:tcW w:w="1951" w:type="dxa"/>
            <w:shd w:val="clear" w:color="auto" w:fill="D9D9D9" w:themeFill="background1" w:themeFillShade="D9"/>
            <w:vAlign w:val="center"/>
          </w:tcPr>
          <w:p w14:paraId="60CC04BD" w14:textId="77777777" w:rsidR="009D4550" w:rsidRPr="00275290" w:rsidRDefault="009D4550" w:rsidP="009D4550">
            <w:pPr>
              <w:rPr>
                <w:rFonts w:cs="Arial"/>
                <w:lang w:val="fr-FR"/>
              </w:rPr>
            </w:pPr>
          </w:p>
        </w:tc>
        <w:tc>
          <w:tcPr>
            <w:tcW w:w="1947" w:type="dxa"/>
            <w:shd w:val="clear" w:color="auto" w:fill="D9D9D9" w:themeFill="background1" w:themeFillShade="D9"/>
            <w:vAlign w:val="center"/>
          </w:tcPr>
          <w:p w14:paraId="0DDEADB1"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32BA0969" w14:textId="5979FE7B" w:rsidR="009D4550"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1,22E-02</w:t>
            </w:r>
          </w:p>
        </w:tc>
      </w:tr>
      <w:tr w:rsidR="009D4550" w:rsidRPr="00275290" w14:paraId="0AD7B159" w14:textId="77777777" w:rsidTr="00BF26A6">
        <w:tc>
          <w:tcPr>
            <w:tcW w:w="1952" w:type="dxa"/>
            <w:vMerge/>
            <w:shd w:val="clear" w:color="auto" w:fill="C6D9F1" w:themeFill="text2" w:themeFillTint="33"/>
            <w:vAlign w:val="center"/>
          </w:tcPr>
          <w:p w14:paraId="16E181CA" w14:textId="77777777" w:rsidR="009D4550" w:rsidRPr="00275290" w:rsidRDefault="009D4550" w:rsidP="009D4550">
            <w:pPr>
              <w:rPr>
                <w:rFonts w:cs="Arial"/>
                <w:lang w:val="fr-FR"/>
              </w:rPr>
            </w:pPr>
          </w:p>
        </w:tc>
        <w:tc>
          <w:tcPr>
            <w:tcW w:w="1972" w:type="dxa"/>
            <w:shd w:val="clear" w:color="auto" w:fill="C6D9F1" w:themeFill="text2" w:themeFillTint="33"/>
            <w:vAlign w:val="center"/>
          </w:tcPr>
          <w:p w14:paraId="643CE824" w14:textId="77777777" w:rsidR="009D4550" w:rsidRPr="00275290" w:rsidRDefault="009D4550" w:rsidP="009D4550">
            <w:pPr>
              <w:rPr>
                <w:rFonts w:cs="Arial"/>
                <w:lang w:val="fr-FR"/>
              </w:rPr>
            </w:pPr>
            <w:r w:rsidRPr="00275290">
              <w:rPr>
                <w:rFonts w:cs="Arial"/>
                <w:lang w:val="fr-FR"/>
              </w:rPr>
              <w:t>Propiconazole</w:t>
            </w:r>
          </w:p>
        </w:tc>
        <w:tc>
          <w:tcPr>
            <w:tcW w:w="1951" w:type="dxa"/>
            <w:shd w:val="clear" w:color="auto" w:fill="C6D9F1" w:themeFill="text2" w:themeFillTint="33"/>
            <w:vAlign w:val="center"/>
          </w:tcPr>
          <w:p w14:paraId="0FA28B0B"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69BCCFEE"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0B81BA60" w14:textId="382489E1" w:rsidR="009D4550"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1,76E-02</w:t>
            </w:r>
          </w:p>
        </w:tc>
      </w:tr>
      <w:tr w:rsidR="009D4550" w:rsidRPr="00275290" w14:paraId="5427AB92" w14:textId="77777777" w:rsidTr="00BF26A6">
        <w:tc>
          <w:tcPr>
            <w:tcW w:w="1952" w:type="dxa"/>
            <w:vMerge/>
            <w:shd w:val="clear" w:color="auto" w:fill="C6D9F1" w:themeFill="text2" w:themeFillTint="33"/>
            <w:vAlign w:val="center"/>
          </w:tcPr>
          <w:p w14:paraId="0FBB46DA" w14:textId="77777777" w:rsidR="009D4550" w:rsidRPr="00275290" w:rsidRDefault="009D4550" w:rsidP="009D4550">
            <w:pPr>
              <w:rPr>
                <w:rFonts w:cs="Arial"/>
                <w:lang w:val="fr-FR"/>
              </w:rPr>
            </w:pPr>
          </w:p>
        </w:tc>
        <w:tc>
          <w:tcPr>
            <w:tcW w:w="1972" w:type="dxa"/>
            <w:shd w:val="clear" w:color="auto" w:fill="C6D9F1" w:themeFill="text2" w:themeFillTint="33"/>
            <w:vAlign w:val="center"/>
          </w:tcPr>
          <w:p w14:paraId="1E99D06B" w14:textId="77777777" w:rsidR="009D4550" w:rsidRPr="00275290" w:rsidRDefault="009D4550" w:rsidP="009D4550">
            <w:pPr>
              <w:rPr>
                <w:rFonts w:cs="Arial"/>
                <w:lang w:val="fr-FR"/>
              </w:rPr>
            </w:pPr>
            <w:r w:rsidRPr="00275290">
              <w:rPr>
                <w:rFonts w:cs="Arial"/>
                <w:lang w:val="fr-FR"/>
              </w:rPr>
              <w:t>Tébuconazole</w:t>
            </w:r>
          </w:p>
        </w:tc>
        <w:tc>
          <w:tcPr>
            <w:tcW w:w="1951" w:type="dxa"/>
            <w:shd w:val="clear" w:color="auto" w:fill="C6D9F1" w:themeFill="text2" w:themeFillTint="33"/>
            <w:vAlign w:val="center"/>
          </w:tcPr>
          <w:p w14:paraId="0DDD6DB1"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02C5EA75"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7DC04518" w14:textId="6CCA445E" w:rsidR="009D4550"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6,71E-03</w:t>
            </w:r>
          </w:p>
        </w:tc>
      </w:tr>
      <w:tr w:rsidR="009D4550" w:rsidRPr="00275290" w14:paraId="5BC91FF7" w14:textId="77777777" w:rsidTr="00BF26A6">
        <w:tc>
          <w:tcPr>
            <w:tcW w:w="1952" w:type="dxa"/>
            <w:vMerge/>
            <w:shd w:val="clear" w:color="auto" w:fill="C6D9F1" w:themeFill="text2" w:themeFillTint="33"/>
            <w:vAlign w:val="center"/>
          </w:tcPr>
          <w:p w14:paraId="10EDE891" w14:textId="77777777" w:rsidR="009D4550" w:rsidRPr="00275290" w:rsidRDefault="009D4550" w:rsidP="009D4550">
            <w:pPr>
              <w:rPr>
                <w:rFonts w:cs="Arial"/>
                <w:lang w:val="fr-FR"/>
              </w:rPr>
            </w:pPr>
          </w:p>
        </w:tc>
        <w:tc>
          <w:tcPr>
            <w:tcW w:w="1972" w:type="dxa"/>
            <w:shd w:val="clear" w:color="auto" w:fill="C6D9F1" w:themeFill="text2" w:themeFillTint="33"/>
            <w:vAlign w:val="center"/>
          </w:tcPr>
          <w:p w14:paraId="11FFC511" w14:textId="77777777" w:rsidR="009D4550" w:rsidRPr="00275290" w:rsidRDefault="009D4550" w:rsidP="009D4550">
            <w:pPr>
              <w:rPr>
                <w:rFonts w:cs="Arial"/>
                <w:lang w:val="fr-FR"/>
              </w:rPr>
            </w:pPr>
            <w:r w:rsidRPr="00275290">
              <w:rPr>
                <w:rFonts w:cs="Arial"/>
                <w:lang w:val="fr-FR"/>
              </w:rPr>
              <w:t>IPBC</w:t>
            </w:r>
          </w:p>
        </w:tc>
        <w:tc>
          <w:tcPr>
            <w:tcW w:w="1951" w:type="dxa"/>
            <w:shd w:val="clear" w:color="auto" w:fill="C6D9F1" w:themeFill="text2" w:themeFillTint="33"/>
            <w:vAlign w:val="center"/>
          </w:tcPr>
          <w:p w14:paraId="1C37CE1B"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23EAACBD"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7CF19AB5" w14:textId="26ADBCDE" w:rsidR="009D4550"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1,58E-02</w:t>
            </w:r>
          </w:p>
        </w:tc>
      </w:tr>
    </w:tbl>
    <w:p w14:paraId="4DDC3DA4" w14:textId="77777777" w:rsidR="009D4550" w:rsidRPr="00275290" w:rsidRDefault="009D4550" w:rsidP="009D4550">
      <w:pPr>
        <w:pStyle w:val="BfRBBStandard"/>
        <w:rPr>
          <w:rFonts w:ascii="Verdana" w:eastAsia="Times New Roman" w:hAnsi="Verdana"/>
          <w:sz w:val="20"/>
          <w:szCs w:val="20"/>
          <w:lang w:val="en-GB" w:eastAsia="sv-SE"/>
        </w:rPr>
      </w:pPr>
    </w:p>
    <w:p w14:paraId="1535A089" w14:textId="77777777" w:rsidR="009D4550" w:rsidRPr="00275290" w:rsidRDefault="009D4550" w:rsidP="009D4550">
      <w:pPr>
        <w:pStyle w:val="BfRBBStandard"/>
        <w:rPr>
          <w:rFonts w:ascii="Verdana" w:eastAsia="Times New Roman" w:hAnsi="Verdana"/>
          <w:sz w:val="20"/>
          <w:szCs w:val="20"/>
          <w:lang w:val="en-GB" w:eastAsia="sv-SE"/>
        </w:rPr>
      </w:pPr>
    </w:p>
    <w:p w14:paraId="455C6715"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Brush application + injection</w:t>
      </w:r>
    </w:p>
    <w:p w14:paraId="04EB7D21" w14:textId="77777777" w:rsidR="009D4550" w:rsidRPr="00275290" w:rsidRDefault="009D4550" w:rsidP="009D4550">
      <w:pPr>
        <w:pStyle w:val="BfRBBStandard"/>
        <w:rPr>
          <w:rFonts w:ascii="Verdana" w:eastAsia="Times New Roman" w:hAnsi="Verdana"/>
          <w:sz w:val="20"/>
          <w:szCs w:val="20"/>
          <w:lang w:val="en-GB" w:eastAsia="sv-SE"/>
        </w:rPr>
      </w:pPr>
    </w:p>
    <w:p w14:paraId="592C0F10"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No specific exposure model for injection is available.</w:t>
      </w:r>
    </w:p>
    <w:p w14:paraId="0A4ABBDF" w14:textId="73D097A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In a conservative approach, the exposure values set in the “</w:t>
      </w:r>
      <w:r w:rsidRPr="00275290">
        <w:rPr>
          <w:rFonts w:ascii="Verdana" w:eastAsia="Times New Roman" w:hAnsi="Verdana"/>
          <w:i/>
          <w:sz w:val="20"/>
          <w:szCs w:val="20"/>
          <w:lang w:val="en-GB" w:eastAsia="sv-SE"/>
        </w:rPr>
        <w:t>Non-professional application of paints by brushing and rolling</w:t>
      </w:r>
      <w:r w:rsidRPr="00275290">
        <w:rPr>
          <w:rFonts w:ascii="Verdana" w:eastAsia="Times New Roman" w:hAnsi="Verdana"/>
          <w:sz w:val="20"/>
          <w:szCs w:val="20"/>
          <w:lang w:val="en-GB" w:eastAsia="sv-SE"/>
        </w:rPr>
        <w:t>” from the Recommendation no. 10 of the BPC Ad hoc Working Group on Human Exposure, has been used and multiplied by two in order to simulate an application by brush and injection.</w:t>
      </w:r>
      <w:r w:rsidR="00912076">
        <w:rPr>
          <w:rFonts w:ascii="Verdana" w:eastAsia="Times New Roman" w:hAnsi="Verdana"/>
          <w:sz w:val="20"/>
          <w:szCs w:val="20"/>
          <w:lang w:val="en-GB" w:eastAsia="sv-SE"/>
        </w:rPr>
        <w:t xml:space="preserve"> Mixing and loading phases are considered for brush and injection. To determine these exposures, the mixing and loading model 4 is used.</w:t>
      </w:r>
    </w:p>
    <w:p w14:paraId="7016126E" w14:textId="2E4C7129" w:rsidR="009D455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For the cleaning of the equipment, exposure during the cleaning of an equipment spray (as presented for the spray application) has been added to the cleaning of a brush scenario, in order to simulate the cleaning of both apparatus.</w:t>
      </w:r>
    </w:p>
    <w:p w14:paraId="459E0105" w14:textId="77777777" w:rsidR="00644EBA" w:rsidRPr="00275290" w:rsidRDefault="00644EBA" w:rsidP="009D4550">
      <w:pPr>
        <w:pStyle w:val="BfRBBStandard"/>
        <w:rPr>
          <w:rFonts w:ascii="Verdana" w:eastAsia="Times New Roman" w:hAnsi="Verdana"/>
          <w:sz w:val="20"/>
          <w:szCs w:val="20"/>
          <w:lang w:val="en-GB" w:eastAsia="sv-SE"/>
        </w:rPr>
      </w:pPr>
    </w:p>
    <w:p w14:paraId="19CDFD8D"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972"/>
        <w:gridCol w:w="1951"/>
        <w:gridCol w:w="1947"/>
        <w:gridCol w:w="1947"/>
      </w:tblGrid>
      <w:tr w:rsidR="009D4550" w:rsidRPr="00275290" w14:paraId="46AEDA2A" w14:textId="77777777" w:rsidTr="000E1EAD">
        <w:tc>
          <w:tcPr>
            <w:tcW w:w="1952" w:type="dxa"/>
            <w:vAlign w:val="center"/>
          </w:tcPr>
          <w:p w14:paraId="0E84B9CE"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972" w:type="dxa"/>
            <w:vAlign w:val="center"/>
          </w:tcPr>
          <w:p w14:paraId="14D8D46D"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951" w:type="dxa"/>
            <w:vAlign w:val="center"/>
          </w:tcPr>
          <w:p w14:paraId="5D5A231A" w14:textId="77777777" w:rsidR="009D4550" w:rsidRPr="00275290" w:rsidRDefault="009D4550" w:rsidP="009D4550">
            <w:pPr>
              <w:autoSpaceDE w:val="0"/>
              <w:autoSpaceDN w:val="0"/>
              <w:adjustRightInd w:val="0"/>
              <w:spacing w:before="60" w:after="60"/>
              <w:rPr>
                <w:rFonts w:cs="Arial"/>
              </w:rPr>
            </w:pPr>
            <w:r w:rsidRPr="00275290">
              <w:rPr>
                <w:rFonts w:cs="Arial"/>
              </w:rPr>
              <w:t>Inhalation Exposure</w:t>
            </w:r>
          </w:p>
          <w:p w14:paraId="66017D8D" w14:textId="77777777" w:rsidR="009D4550" w:rsidRPr="00275290" w:rsidRDefault="009D4550" w:rsidP="009D4550">
            <w:pPr>
              <w:autoSpaceDE w:val="0"/>
              <w:autoSpaceDN w:val="0"/>
              <w:adjustRightInd w:val="0"/>
              <w:spacing w:before="60" w:after="60"/>
              <w:rPr>
                <w:rFonts w:cs="Arial"/>
              </w:rPr>
            </w:pPr>
            <w:r w:rsidRPr="00275290">
              <w:rPr>
                <w:rFonts w:cs="Arial"/>
              </w:rPr>
              <w:t>(mg/kg bw/j)</w:t>
            </w:r>
          </w:p>
        </w:tc>
        <w:tc>
          <w:tcPr>
            <w:tcW w:w="1947" w:type="dxa"/>
            <w:vAlign w:val="center"/>
          </w:tcPr>
          <w:p w14:paraId="623A73A5" w14:textId="77777777" w:rsidR="009D4550" w:rsidRPr="00275290" w:rsidRDefault="009D4550" w:rsidP="009D4550">
            <w:pPr>
              <w:autoSpaceDE w:val="0"/>
              <w:autoSpaceDN w:val="0"/>
              <w:adjustRightInd w:val="0"/>
              <w:spacing w:before="60" w:after="60"/>
              <w:rPr>
                <w:rFonts w:cs="Arial"/>
              </w:rPr>
            </w:pPr>
            <w:r w:rsidRPr="00275290">
              <w:rPr>
                <w:rFonts w:cs="Arial"/>
              </w:rPr>
              <w:t>Demal Exposure</w:t>
            </w:r>
          </w:p>
          <w:p w14:paraId="77737095" w14:textId="77777777" w:rsidR="009D4550" w:rsidRPr="00275290" w:rsidRDefault="009D4550" w:rsidP="009D4550">
            <w:pPr>
              <w:autoSpaceDE w:val="0"/>
              <w:autoSpaceDN w:val="0"/>
              <w:adjustRightInd w:val="0"/>
              <w:spacing w:before="60" w:after="60"/>
              <w:rPr>
                <w:rFonts w:cs="Arial"/>
              </w:rPr>
            </w:pPr>
            <w:r w:rsidRPr="00275290">
              <w:rPr>
                <w:rFonts w:cs="Arial"/>
              </w:rPr>
              <w:t>(mg/kg bw/d)</w:t>
            </w:r>
          </w:p>
        </w:tc>
        <w:tc>
          <w:tcPr>
            <w:tcW w:w="1947" w:type="dxa"/>
            <w:vAlign w:val="center"/>
          </w:tcPr>
          <w:p w14:paraId="22B2F6B2" w14:textId="77777777" w:rsidR="009D4550" w:rsidRPr="00275290" w:rsidRDefault="009D4550" w:rsidP="009D4550">
            <w:pPr>
              <w:autoSpaceDE w:val="0"/>
              <w:autoSpaceDN w:val="0"/>
              <w:adjustRightInd w:val="0"/>
              <w:spacing w:before="60" w:after="60"/>
              <w:rPr>
                <w:rFonts w:cs="Arial"/>
              </w:rPr>
            </w:pPr>
            <w:r w:rsidRPr="00275290">
              <w:rPr>
                <w:rFonts w:cs="Arial"/>
              </w:rPr>
              <w:t>Total Exposure (mg/kg bw/d)</w:t>
            </w:r>
          </w:p>
        </w:tc>
      </w:tr>
      <w:tr w:rsidR="009D4550" w:rsidRPr="00275290" w14:paraId="03231E40" w14:textId="77777777" w:rsidTr="000E1EAD">
        <w:tc>
          <w:tcPr>
            <w:tcW w:w="9769" w:type="dxa"/>
            <w:gridSpan w:val="5"/>
            <w:shd w:val="clear" w:color="auto" w:fill="BFBFBF"/>
            <w:vAlign w:val="center"/>
          </w:tcPr>
          <w:p w14:paraId="3CF44C62" w14:textId="5368BF7E" w:rsidR="009D4550" w:rsidRPr="00275290" w:rsidRDefault="009D4550" w:rsidP="00EA6001">
            <w:pPr>
              <w:rPr>
                <w:rFonts w:cs="Arial"/>
                <w:lang w:val="en-US"/>
              </w:rPr>
            </w:pPr>
            <w:r w:rsidRPr="00275290">
              <w:rPr>
                <w:rFonts w:cs="Arial"/>
                <w:lang w:val="en-US"/>
              </w:rPr>
              <w:t>Brushing 300 g/m</w:t>
            </w:r>
            <w:r w:rsidRPr="00275290">
              <w:rPr>
                <w:rFonts w:cs="Arial"/>
                <w:vertAlign w:val="superscript"/>
                <w:lang w:val="en-US"/>
              </w:rPr>
              <w:t>2</w:t>
            </w:r>
            <w:r w:rsidRPr="00275290">
              <w:rPr>
                <w:rFonts w:cs="Arial"/>
                <w:lang w:val="en-US"/>
              </w:rPr>
              <w:t xml:space="preserve"> + injection </w:t>
            </w:r>
            <w:r w:rsidR="00EA6001" w:rsidRPr="00275290">
              <w:rPr>
                <w:rFonts w:cs="Arial"/>
                <w:lang w:val="en-US"/>
              </w:rPr>
              <w:t>1</w:t>
            </w:r>
            <w:r w:rsidR="00EA6001">
              <w:rPr>
                <w:rFonts w:cs="Arial"/>
                <w:lang w:val="en-US"/>
              </w:rPr>
              <w:t>45</w:t>
            </w:r>
            <w:r w:rsidR="00EA6001" w:rsidRPr="00275290">
              <w:rPr>
                <w:rFonts w:cs="Arial"/>
                <w:lang w:val="en-US"/>
              </w:rPr>
              <w:t xml:space="preserve"> </w:t>
            </w:r>
            <w:r w:rsidRPr="00275290">
              <w:rPr>
                <w:rFonts w:cs="Arial"/>
                <w:lang w:val="en-US"/>
              </w:rPr>
              <w:t>g/m</w:t>
            </w:r>
            <w:r w:rsidRPr="00275290">
              <w:rPr>
                <w:rFonts w:cs="Arial"/>
                <w:vertAlign w:val="superscript"/>
                <w:lang w:val="en-US"/>
              </w:rPr>
              <w:t>2</w:t>
            </w:r>
          </w:p>
        </w:tc>
      </w:tr>
      <w:tr w:rsidR="00912076" w:rsidRPr="00275290" w14:paraId="5BAC8E73" w14:textId="77777777" w:rsidTr="00644EBA">
        <w:tc>
          <w:tcPr>
            <w:tcW w:w="1952" w:type="dxa"/>
            <w:vMerge w:val="restart"/>
            <w:vAlign w:val="center"/>
          </w:tcPr>
          <w:p w14:paraId="2DB11820" w14:textId="3DF24092" w:rsidR="00912076" w:rsidRPr="00275290" w:rsidRDefault="00912076" w:rsidP="00912076">
            <w:pPr>
              <w:rPr>
                <w:rFonts w:cs="Arial"/>
                <w:lang w:val="en-US"/>
              </w:rPr>
            </w:pPr>
            <w:r>
              <w:rPr>
                <w:rFonts w:cs="Arial"/>
                <w:lang w:val="en-US"/>
              </w:rPr>
              <w:t>M&amp;L phase (brush and injection)</w:t>
            </w:r>
          </w:p>
        </w:tc>
        <w:tc>
          <w:tcPr>
            <w:tcW w:w="1972" w:type="dxa"/>
            <w:vAlign w:val="center"/>
          </w:tcPr>
          <w:p w14:paraId="7DF76135" w14:textId="044411FC" w:rsidR="00912076" w:rsidRPr="00275290" w:rsidRDefault="00912076" w:rsidP="00912076">
            <w:pPr>
              <w:rPr>
                <w:rFonts w:cs="Arial"/>
                <w:lang w:val="fr-FR"/>
              </w:rPr>
            </w:pPr>
            <w:r w:rsidRPr="00275290">
              <w:rPr>
                <w:rFonts w:cs="Arial"/>
                <w:lang w:val="fr-FR"/>
              </w:rPr>
              <w:t>Cyperméthrine</w:t>
            </w:r>
          </w:p>
        </w:tc>
        <w:tc>
          <w:tcPr>
            <w:tcW w:w="1951" w:type="dxa"/>
            <w:vAlign w:val="center"/>
          </w:tcPr>
          <w:p w14:paraId="16592970" w14:textId="77777777" w:rsidR="00912076" w:rsidRPr="00275290" w:rsidRDefault="00912076" w:rsidP="00912076">
            <w:pPr>
              <w:rPr>
                <w:rFonts w:cs="Arial"/>
                <w:color w:val="000000"/>
              </w:rPr>
            </w:pPr>
          </w:p>
        </w:tc>
        <w:tc>
          <w:tcPr>
            <w:tcW w:w="1947" w:type="dxa"/>
            <w:vAlign w:val="center"/>
          </w:tcPr>
          <w:p w14:paraId="759778D6" w14:textId="131488D2" w:rsidR="00912076" w:rsidRPr="000E1EAD" w:rsidRDefault="00912076"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3,85E-03</w:t>
            </w:r>
          </w:p>
        </w:tc>
        <w:tc>
          <w:tcPr>
            <w:tcW w:w="1947" w:type="dxa"/>
            <w:vAlign w:val="center"/>
          </w:tcPr>
          <w:p w14:paraId="4F03B110" w14:textId="4036D33E" w:rsidR="00912076" w:rsidRPr="000E1EAD" w:rsidRDefault="00912076"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3,85E-03</w:t>
            </w:r>
          </w:p>
        </w:tc>
      </w:tr>
      <w:tr w:rsidR="00912076" w:rsidRPr="00275290" w14:paraId="02AC5823" w14:textId="77777777" w:rsidTr="00644EBA">
        <w:tc>
          <w:tcPr>
            <w:tcW w:w="1952" w:type="dxa"/>
            <w:vMerge/>
            <w:vAlign w:val="center"/>
          </w:tcPr>
          <w:p w14:paraId="05E1B13D" w14:textId="77777777" w:rsidR="00912076" w:rsidRPr="00275290" w:rsidRDefault="00912076" w:rsidP="00912076">
            <w:pPr>
              <w:rPr>
                <w:rFonts w:cs="Arial"/>
                <w:lang w:val="en-US"/>
              </w:rPr>
            </w:pPr>
          </w:p>
        </w:tc>
        <w:tc>
          <w:tcPr>
            <w:tcW w:w="1972" w:type="dxa"/>
            <w:vAlign w:val="center"/>
          </w:tcPr>
          <w:p w14:paraId="3E59345F" w14:textId="4272B329" w:rsidR="00912076" w:rsidRPr="00275290" w:rsidRDefault="00912076" w:rsidP="00912076">
            <w:pPr>
              <w:rPr>
                <w:rFonts w:cs="Arial"/>
                <w:lang w:val="fr-FR"/>
              </w:rPr>
            </w:pPr>
            <w:r w:rsidRPr="00275290">
              <w:rPr>
                <w:rFonts w:cs="Arial"/>
                <w:lang w:val="fr-FR"/>
              </w:rPr>
              <w:t>Propiconazole</w:t>
            </w:r>
          </w:p>
        </w:tc>
        <w:tc>
          <w:tcPr>
            <w:tcW w:w="1951" w:type="dxa"/>
            <w:vAlign w:val="center"/>
          </w:tcPr>
          <w:p w14:paraId="7F3AF7BA" w14:textId="77777777" w:rsidR="00912076" w:rsidRPr="00275290" w:rsidRDefault="00912076" w:rsidP="00912076">
            <w:pPr>
              <w:rPr>
                <w:rFonts w:cs="Arial"/>
                <w:color w:val="000000"/>
              </w:rPr>
            </w:pPr>
          </w:p>
        </w:tc>
        <w:tc>
          <w:tcPr>
            <w:tcW w:w="1947" w:type="dxa"/>
            <w:vAlign w:val="center"/>
          </w:tcPr>
          <w:p w14:paraId="143E84E6" w14:textId="0BB695B8" w:rsidR="00912076" w:rsidRPr="000E1EAD" w:rsidRDefault="00912076"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5,57E-03</w:t>
            </w:r>
          </w:p>
        </w:tc>
        <w:tc>
          <w:tcPr>
            <w:tcW w:w="1947" w:type="dxa"/>
            <w:vAlign w:val="center"/>
          </w:tcPr>
          <w:p w14:paraId="3D7D1571" w14:textId="781D163B" w:rsidR="00912076" w:rsidRPr="000E1EAD" w:rsidRDefault="00912076"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5,57E-03</w:t>
            </w:r>
          </w:p>
        </w:tc>
      </w:tr>
      <w:tr w:rsidR="00912076" w:rsidRPr="00275290" w14:paraId="3A77C907" w14:textId="77777777" w:rsidTr="00644EBA">
        <w:tc>
          <w:tcPr>
            <w:tcW w:w="1952" w:type="dxa"/>
            <w:vMerge/>
            <w:vAlign w:val="center"/>
          </w:tcPr>
          <w:p w14:paraId="28BDE027" w14:textId="77777777" w:rsidR="00912076" w:rsidRPr="00275290" w:rsidRDefault="00912076" w:rsidP="00912076">
            <w:pPr>
              <w:rPr>
                <w:rFonts w:cs="Arial"/>
                <w:lang w:val="en-US"/>
              </w:rPr>
            </w:pPr>
          </w:p>
        </w:tc>
        <w:tc>
          <w:tcPr>
            <w:tcW w:w="1972" w:type="dxa"/>
            <w:vAlign w:val="center"/>
          </w:tcPr>
          <w:p w14:paraId="174CFCCF" w14:textId="454FF1BA" w:rsidR="00912076" w:rsidRPr="00275290" w:rsidRDefault="00912076" w:rsidP="00912076">
            <w:pPr>
              <w:rPr>
                <w:rFonts w:cs="Arial"/>
                <w:lang w:val="fr-FR"/>
              </w:rPr>
            </w:pPr>
            <w:r w:rsidRPr="00275290">
              <w:rPr>
                <w:rFonts w:cs="Arial"/>
                <w:lang w:val="fr-FR"/>
              </w:rPr>
              <w:t xml:space="preserve">Tébuconazole </w:t>
            </w:r>
          </w:p>
        </w:tc>
        <w:tc>
          <w:tcPr>
            <w:tcW w:w="1951" w:type="dxa"/>
            <w:vAlign w:val="center"/>
          </w:tcPr>
          <w:p w14:paraId="7F8B43FF" w14:textId="77777777" w:rsidR="00912076" w:rsidRPr="00275290" w:rsidRDefault="00912076" w:rsidP="00912076">
            <w:pPr>
              <w:rPr>
                <w:rFonts w:cs="Arial"/>
                <w:color w:val="000000"/>
              </w:rPr>
            </w:pPr>
          </w:p>
        </w:tc>
        <w:tc>
          <w:tcPr>
            <w:tcW w:w="1947" w:type="dxa"/>
            <w:vAlign w:val="center"/>
          </w:tcPr>
          <w:p w14:paraId="1CBC93B0" w14:textId="2F6B17BA"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2,07E-03</w:t>
            </w:r>
          </w:p>
        </w:tc>
        <w:tc>
          <w:tcPr>
            <w:tcW w:w="1947" w:type="dxa"/>
            <w:vAlign w:val="center"/>
          </w:tcPr>
          <w:p w14:paraId="097A78C5" w14:textId="0D224566"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2,07E-03</w:t>
            </w:r>
          </w:p>
        </w:tc>
      </w:tr>
      <w:tr w:rsidR="00912076" w:rsidRPr="00275290" w14:paraId="286A11DF" w14:textId="77777777" w:rsidTr="00644EBA">
        <w:tc>
          <w:tcPr>
            <w:tcW w:w="1952" w:type="dxa"/>
            <w:vMerge/>
            <w:vAlign w:val="center"/>
          </w:tcPr>
          <w:p w14:paraId="2067D282" w14:textId="77777777" w:rsidR="00912076" w:rsidRPr="00275290" w:rsidRDefault="00912076" w:rsidP="00912076">
            <w:pPr>
              <w:rPr>
                <w:rFonts w:cs="Arial"/>
                <w:lang w:val="en-US"/>
              </w:rPr>
            </w:pPr>
          </w:p>
        </w:tc>
        <w:tc>
          <w:tcPr>
            <w:tcW w:w="1972" w:type="dxa"/>
            <w:vAlign w:val="center"/>
          </w:tcPr>
          <w:p w14:paraId="4A038B36" w14:textId="26F95180" w:rsidR="00912076" w:rsidRPr="00275290" w:rsidRDefault="00912076" w:rsidP="00912076">
            <w:pPr>
              <w:rPr>
                <w:rFonts w:cs="Arial"/>
                <w:lang w:val="fr-FR"/>
              </w:rPr>
            </w:pPr>
            <w:r w:rsidRPr="00275290">
              <w:rPr>
                <w:rFonts w:cs="Arial"/>
                <w:lang w:val="fr-FR"/>
              </w:rPr>
              <w:t>IPBC</w:t>
            </w:r>
          </w:p>
        </w:tc>
        <w:tc>
          <w:tcPr>
            <w:tcW w:w="1951" w:type="dxa"/>
            <w:vAlign w:val="center"/>
          </w:tcPr>
          <w:p w14:paraId="0500631F" w14:textId="77777777" w:rsidR="00912076" w:rsidRPr="00275290" w:rsidRDefault="00912076" w:rsidP="00912076">
            <w:pPr>
              <w:rPr>
                <w:rFonts w:cs="Arial"/>
                <w:color w:val="000000"/>
              </w:rPr>
            </w:pPr>
          </w:p>
        </w:tc>
        <w:tc>
          <w:tcPr>
            <w:tcW w:w="1947" w:type="dxa"/>
            <w:vAlign w:val="center"/>
          </w:tcPr>
          <w:p w14:paraId="7AE76131" w14:textId="183F5155"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5,02E-03</w:t>
            </w:r>
          </w:p>
        </w:tc>
        <w:tc>
          <w:tcPr>
            <w:tcW w:w="1947" w:type="dxa"/>
            <w:vAlign w:val="center"/>
          </w:tcPr>
          <w:p w14:paraId="19889934" w14:textId="370791BB"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5,02E-03</w:t>
            </w:r>
          </w:p>
        </w:tc>
      </w:tr>
      <w:tr w:rsidR="00912076" w:rsidRPr="00275290" w14:paraId="159376A2" w14:textId="77777777" w:rsidTr="000E1EAD">
        <w:tc>
          <w:tcPr>
            <w:tcW w:w="1952" w:type="dxa"/>
            <w:vMerge w:val="restart"/>
            <w:vAlign w:val="center"/>
          </w:tcPr>
          <w:p w14:paraId="59D80BD3" w14:textId="77777777" w:rsidR="00912076" w:rsidRPr="00275290" w:rsidRDefault="00912076" w:rsidP="00912076">
            <w:pPr>
              <w:rPr>
                <w:rFonts w:cs="Arial"/>
                <w:lang w:val="en-US"/>
              </w:rPr>
            </w:pPr>
            <w:r w:rsidRPr="00275290">
              <w:rPr>
                <w:rFonts w:cs="Arial"/>
                <w:lang w:val="en-US"/>
              </w:rPr>
              <w:t>Product application phase</w:t>
            </w:r>
          </w:p>
        </w:tc>
        <w:tc>
          <w:tcPr>
            <w:tcW w:w="1972" w:type="dxa"/>
            <w:vAlign w:val="center"/>
          </w:tcPr>
          <w:p w14:paraId="504A8008" w14:textId="77777777" w:rsidR="00912076" w:rsidRPr="00275290" w:rsidRDefault="00912076" w:rsidP="00912076">
            <w:pPr>
              <w:rPr>
                <w:rFonts w:cs="Arial"/>
                <w:lang w:val="fr-FR"/>
              </w:rPr>
            </w:pPr>
            <w:r w:rsidRPr="00275290">
              <w:rPr>
                <w:rFonts w:cs="Arial"/>
                <w:lang w:val="fr-FR"/>
              </w:rPr>
              <w:t>Cyperméthrine</w:t>
            </w:r>
          </w:p>
        </w:tc>
        <w:tc>
          <w:tcPr>
            <w:tcW w:w="1951" w:type="dxa"/>
            <w:vAlign w:val="center"/>
          </w:tcPr>
          <w:p w14:paraId="551E9FB3" w14:textId="77777777" w:rsidR="00912076" w:rsidRPr="00275290" w:rsidRDefault="00912076" w:rsidP="00912076">
            <w:pPr>
              <w:rPr>
                <w:rFonts w:cs="Arial"/>
                <w:color w:val="000000"/>
              </w:rPr>
            </w:pPr>
            <w:r w:rsidRPr="00275290">
              <w:rPr>
                <w:rFonts w:cs="Arial"/>
                <w:color w:val="000000"/>
              </w:rPr>
              <w:t>2,17E-04</w:t>
            </w:r>
          </w:p>
        </w:tc>
        <w:tc>
          <w:tcPr>
            <w:tcW w:w="1947" w:type="dxa"/>
            <w:vAlign w:val="center"/>
          </w:tcPr>
          <w:p w14:paraId="12E18C58" w14:textId="77777777" w:rsidR="00912076" w:rsidRPr="00275290" w:rsidRDefault="00912076" w:rsidP="00912076">
            <w:pPr>
              <w:rPr>
                <w:rFonts w:cs="Arial"/>
                <w:color w:val="000000"/>
              </w:rPr>
            </w:pPr>
            <w:r w:rsidRPr="00275290">
              <w:rPr>
                <w:rFonts w:cs="Arial"/>
                <w:color w:val="000000"/>
              </w:rPr>
              <w:t>1,90E-02</w:t>
            </w:r>
          </w:p>
        </w:tc>
        <w:tc>
          <w:tcPr>
            <w:tcW w:w="1947" w:type="dxa"/>
            <w:vAlign w:val="center"/>
          </w:tcPr>
          <w:p w14:paraId="71D1B82C" w14:textId="77777777" w:rsidR="00912076" w:rsidRPr="00275290" w:rsidRDefault="00912076" w:rsidP="00912076">
            <w:pPr>
              <w:rPr>
                <w:rFonts w:cs="Arial"/>
                <w:color w:val="000000"/>
              </w:rPr>
            </w:pPr>
            <w:r w:rsidRPr="00275290">
              <w:rPr>
                <w:rFonts w:cs="Arial"/>
                <w:color w:val="000000"/>
              </w:rPr>
              <w:t>1,92E-02</w:t>
            </w:r>
          </w:p>
        </w:tc>
      </w:tr>
      <w:tr w:rsidR="00912076" w:rsidRPr="00275290" w14:paraId="3CAECD33" w14:textId="77777777" w:rsidTr="000E1EAD">
        <w:tc>
          <w:tcPr>
            <w:tcW w:w="1952" w:type="dxa"/>
            <w:vMerge/>
            <w:vAlign w:val="center"/>
          </w:tcPr>
          <w:p w14:paraId="553AE810" w14:textId="77777777" w:rsidR="00912076" w:rsidRPr="00275290" w:rsidRDefault="00912076" w:rsidP="00912076">
            <w:pPr>
              <w:rPr>
                <w:rFonts w:cs="Arial"/>
                <w:lang w:val="fr-FR"/>
              </w:rPr>
            </w:pPr>
          </w:p>
        </w:tc>
        <w:tc>
          <w:tcPr>
            <w:tcW w:w="1972" w:type="dxa"/>
            <w:vAlign w:val="center"/>
          </w:tcPr>
          <w:p w14:paraId="4FE58507" w14:textId="77777777" w:rsidR="00912076" w:rsidRPr="00275290" w:rsidRDefault="00912076" w:rsidP="00912076">
            <w:pPr>
              <w:rPr>
                <w:rFonts w:cs="Arial"/>
                <w:lang w:val="fr-FR"/>
              </w:rPr>
            </w:pPr>
            <w:r w:rsidRPr="00275290">
              <w:rPr>
                <w:rFonts w:cs="Arial"/>
                <w:lang w:val="fr-FR"/>
              </w:rPr>
              <w:t>Propiconazole</w:t>
            </w:r>
          </w:p>
        </w:tc>
        <w:tc>
          <w:tcPr>
            <w:tcW w:w="1951" w:type="dxa"/>
            <w:vAlign w:val="center"/>
          </w:tcPr>
          <w:p w14:paraId="332D47DE" w14:textId="77777777" w:rsidR="00912076" w:rsidRPr="00275290" w:rsidRDefault="00912076" w:rsidP="00912076">
            <w:pPr>
              <w:rPr>
                <w:rFonts w:cs="Arial"/>
                <w:color w:val="000000"/>
              </w:rPr>
            </w:pPr>
            <w:r w:rsidRPr="00275290">
              <w:rPr>
                <w:rFonts w:cs="Arial"/>
                <w:color w:val="000000"/>
              </w:rPr>
              <w:t>4,35E-04</w:t>
            </w:r>
          </w:p>
        </w:tc>
        <w:tc>
          <w:tcPr>
            <w:tcW w:w="1947" w:type="dxa"/>
            <w:vAlign w:val="center"/>
          </w:tcPr>
          <w:p w14:paraId="6B2ADFD2" w14:textId="77777777" w:rsidR="00912076" w:rsidRPr="00275290" w:rsidRDefault="00912076" w:rsidP="00912076">
            <w:pPr>
              <w:rPr>
                <w:rFonts w:cs="Arial"/>
                <w:color w:val="000000"/>
              </w:rPr>
            </w:pPr>
            <w:r w:rsidRPr="00275290">
              <w:rPr>
                <w:rFonts w:cs="Arial"/>
                <w:color w:val="000000"/>
              </w:rPr>
              <w:t>2,74E-02</w:t>
            </w:r>
          </w:p>
        </w:tc>
        <w:tc>
          <w:tcPr>
            <w:tcW w:w="1947" w:type="dxa"/>
            <w:vAlign w:val="center"/>
          </w:tcPr>
          <w:p w14:paraId="66D962C3" w14:textId="77777777" w:rsidR="00912076" w:rsidRPr="00275290" w:rsidRDefault="00912076" w:rsidP="00912076">
            <w:pPr>
              <w:rPr>
                <w:rFonts w:cs="Arial"/>
                <w:color w:val="000000"/>
              </w:rPr>
            </w:pPr>
            <w:r w:rsidRPr="00275290">
              <w:rPr>
                <w:rFonts w:cs="Arial"/>
                <w:color w:val="000000"/>
              </w:rPr>
              <w:t>2,79E-02</w:t>
            </w:r>
          </w:p>
        </w:tc>
      </w:tr>
      <w:tr w:rsidR="00912076" w:rsidRPr="00275290" w14:paraId="0CC30847" w14:textId="77777777" w:rsidTr="000E1EAD">
        <w:tc>
          <w:tcPr>
            <w:tcW w:w="1952" w:type="dxa"/>
            <w:vMerge/>
            <w:vAlign w:val="center"/>
          </w:tcPr>
          <w:p w14:paraId="1902E8C2" w14:textId="77777777" w:rsidR="00912076" w:rsidRPr="00275290" w:rsidRDefault="00912076" w:rsidP="00912076">
            <w:pPr>
              <w:rPr>
                <w:rFonts w:cs="Arial"/>
                <w:lang w:val="fr-FR"/>
              </w:rPr>
            </w:pPr>
          </w:p>
        </w:tc>
        <w:tc>
          <w:tcPr>
            <w:tcW w:w="1972" w:type="dxa"/>
            <w:vAlign w:val="center"/>
          </w:tcPr>
          <w:p w14:paraId="1FA81C0B" w14:textId="77777777" w:rsidR="00912076" w:rsidRPr="00275290" w:rsidRDefault="00912076" w:rsidP="00912076">
            <w:pPr>
              <w:rPr>
                <w:rFonts w:cs="Arial"/>
                <w:lang w:val="fr-FR"/>
              </w:rPr>
            </w:pPr>
            <w:r w:rsidRPr="00275290">
              <w:rPr>
                <w:rFonts w:cs="Arial"/>
                <w:lang w:val="fr-FR"/>
              </w:rPr>
              <w:t xml:space="preserve">Tébuconazole </w:t>
            </w:r>
          </w:p>
        </w:tc>
        <w:tc>
          <w:tcPr>
            <w:tcW w:w="1951" w:type="dxa"/>
            <w:vAlign w:val="center"/>
          </w:tcPr>
          <w:p w14:paraId="0F488301" w14:textId="77777777" w:rsidR="00912076" w:rsidRPr="00275290" w:rsidRDefault="00912076" w:rsidP="00912076">
            <w:pPr>
              <w:rPr>
                <w:rFonts w:cs="Arial"/>
                <w:color w:val="000000"/>
              </w:rPr>
            </w:pPr>
            <w:r w:rsidRPr="00275290">
              <w:rPr>
                <w:rFonts w:cs="Arial"/>
                <w:color w:val="000000"/>
              </w:rPr>
              <w:t>1,36E-04</w:t>
            </w:r>
          </w:p>
        </w:tc>
        <w:tc>
          <w:tcPr>
            <w:tcW w:w="1947" w:type="dxa"/>
            <w:vAlign w:val="center"/>
          </w:tcPr>
          <w:p w14:paraId="6BD668E5" w14:textId="77777777" w:rsidR="00912076" w:rsidRPr="00275290" w:rsidRDefault="00912076" w:rsidP="00912076">
            <w:pPr>
              <w:rPr>
                <w:rFonts w:cs="Arial"/>
                <w:color w:val="000000"/>
              </w:rPr>
            </w:pPr>
            <w:r w:rsidRPr="00275290">
              <w:rPr>
                <w:rFonts w:cs="Arial"/>
                <w:color w:val="000000"/>
              </w:rPr>
              <w:t>1,02E-02</w:t>
            </w:r>
          </w:p>
        </w:tc>
        <w:tc>
          <w:tcPr>
            <w:tcW w:w="1947" w:type="dxa"/>
            <w:vAlign w:val="center"/>
          </w:tcPr>
          <w:p w14:paraId="1B83077D" w14:textId="77777777" w:rsidR="00912076" w:rsidRPr="00275290" w:rsidRDefault="00912076" w:rsidP="00912076">
            <w:pPr>
              <w:rPr>
                <w:rFonts w:cs="Arial"/>
                <w:color w:val="000000"/>
              </w:rPr>
            </w:pPr>
            <w:r w:rsidRPr="00275290">
              <w:rPr>
                <w:rFonts w:cs="Arial"/>
                <w:color w:val="000000"/>
              </w:rPr>
              <w:t>1,04E-02</w:t>
            </w:r>
          </w:p>
        </w:tc>
      </w:tr>
      <w:tr w:rsidR="00912076" w:rsidRPr="00275290" w14:paraId="5C67DD03" w14:textId="77777777" w:rsidTr="000E1EAD">
        <w:tc>
          <w:tcPr>
            <w:tcW w:w="1952" w:type="dxa"/>
            <w:vMerge/>
            <w:vAlign w:val="center"/>
          </w:tcPr>
          <w:p w14:paraId="3121324F" w14:textId="77777777" w:rsidR="00912076" w:rsidRPr="00275290" w:rsidRDefault="00912076" w:rsidP="00912076">
            <w:pPr>
              <w:rPr>
                <w:rFonts w:cs="Arial"/>
                <w:lang w:val="fr-FR"/>
              </w:rPr>
            </w:pPr>
          </w:p>
        </w:tc>
        <w:tc>
          <w:tcPr>
            <w:tcW w:w="1972" w:type="dxa"/>
            <w:vAlign w:val="center"/>
          </w:tcPr>
          <w:p w14:paraId="6193C21C" w14:textId="77777777" w:rsidR="00912076" w:rsidRPr="00275290" w:rsidRDefault="00912076" w:rsidP="00912076">
            <w:pPr>
              <w:rPr>
                <w:rFonts w:cs="Arial"/>
                <w:lang w:val="fr-FR"/>
              </w:rPr>
            </w:pPr>
            <w:r w:rsidRPr="00275290">
              <w:rPr>
                <w:rFonts w:cs="Arial"/>
                <w:lang w:val="fr-FR"/>
              </w:rPr>
              <w:t>IPBC</w:t>
            </w:r>
          </w:p>
        </w:tc>
        <w:tc>
          <w:tcPr>
            <w:tcW w:w="1951" w:type="dxa"/>
            <w:vAlign w:val="center"/>
          </w:tcPr>
          <w:p w14:paraId="7C8A9BF6" w14:textId="77777777" w:rsidR="00912076" w:rsidRPr="00275290" w:rsidRDefault="00912076" w:rsidP="00912076">
            <w:pPr>
              <w:rPr>
                <w:rFonts w:cs="Arial"/>
                <w:lang w:val="fr-FR"/>
              </w:rPr>
            </w:pPr>
            <w:r w:rsidRPr="00275290">
              <w:rPr>
                <w:rFonts w:cs="Arial"/>
                <w:color w:val="000000"/>
              </w:rPr>
              <w:t>1,36E-04</w:t>
            </w:r>
          </w:p>
        </w:tc>
        <w:tc>
          <w:tcPr>
            <w:tcW w:w="1947" w:type="dxa"/>
            <w:vAlign w:val="center"/>
          </w:tcPr>
          <w:p w14:paraId="6C8E2CDE" w14:textId="77777777" w:rsidR="00912076" w:rsidRPr="00275290" w:rsidRDefault="00912076" w:rsidP="00912076">
            <w:pPr>
              <w:rPr>
                <w:rFonts w:cs="Arial"/>
                <w:color w:val="000000"/>
              </w:rPr>
            </w:pPr>
            <w:r w:rsidRPr="00275290">
              <w:rPr>
                <w:rFonts w:cs="Arial"/>
                <w:color w:val="000000"/>
              </w:rPr>
              <w:t>2,47E-02</w:t>
            </w:r>
          </w:p>
        </w:tc>
        <w:tc>
          <w:tcPr>
            <w:tcW w:w="1947" w:type="dxa"/>
            <w:vAlign w:val="center"/>
          </w:tcPr>
          <w:p w14:paraId="255C2E45" w14:textId="77777777" w:rsidR="00912076" w:rsidRPr="00275290" w:rsidRDefault="00912076" w:rsidP="00912076">
            <w:pPr>
              <w:rPr>
                <w:rFonts w:cs="Arial"/>
                <w:color w:val="000000"/>
              </w:rPr>
            </w:pPr>
            <w:r w:rsidRPr="00275290">
              <w:rPr>
                <w:rFonts w:cs="Arial"/>
                <w:color w:val="000000"/>
              </w:rPr>
              <w:t>2,49E-02</w:t>
            </w:r>
          </w:p>
        </w:tc>
      </w:tr>
      <w:tr w:rsidR="00912076" w:rsidRPr="00275290" w14:paraId="7D6A0083" w14:textId="77777777" w:rsidTr="000E1EAD">
        <w:tc>
          <w:tcPr>
            <w:tcW w:w="1952" w:type="dxa"/>
            <w:vMerge w:val="restart"/>
            <w:vAlign w:val="center"/>
          </w:tcPr>
          <w:p w14:paraId="1796B507" w14:textId="77777777" w:rsidR="00912076" w:rsidRPr="00275290" w:rsidRDefault="00912076" w:rsidP="00912076">
            <w:pPr>
              <w:rPr>
                <w:rFonts w:cs="Arial"/>
                <w:lang w:val="en-US"/>
              </w:rPr>
            </w:pPr>
            <w:r w:rsidRPr="00275290">
              <w:rPr>
                <w:rFonts w:cs="Arial"/>
                <w:lang w:val="en-US"/>
              </w:rPr>
              <w:t>Cleaning phase (brush)</w:t>
            </w:r>
          </w:p>
        </w:tc>
        <w:tc>
          <w:tcPr>
            <w:tcW w:w="1972" w:type="dxa"/>
            <w:vAlign w:val="center"/>
          </w:tcPr>
          <w:p w14:paraId="0BAB8777" w14:textId="77777777" w:rsidR="00912076" w:rsidRPr="00275290" w:rsidRDefault="00912076" w:rsidP="00912076">
            <w:pPr>
              <w:rPr>
                <w:rFonts w:cs="Arial"/>
                <w:lang w:val="fr-FR"/>
              </w:rPr>
            </w:pPr>
            <w:r w:rsidRPr="00275290">
              <w:rPr>
                <w:rFonts w:cs="Arial"/>
                <w:lang w:val="fr-FR"/>
              </w:rPr>
              <w:t>Cyperméthrine</w:t>
            </w:r>
          </w:p>
        </w:tc>
        <w:tc>
          <w:tcPr>
            <w:tcW w:w="1951" w:type="dxa"/>
            <w:vAlign w:val="center"/>
          </w:tcPr>
          <w:p w14:paraId="4E78A35E" w14:textId="77777777" w:rsidR="00912076" w:rsidRPr="00275290" w:rsidRDefault="00912076" w:rsidP="00912076">
            <w:pPr>
              <w:rPr>
                <w:rFonts w:cs="Arial"/>
                <w:lang w:val="fr-FR"/>
              </w:rPr>
            </w:pPr>
            <w:r w:rsidRPr="00275290">
              <w:rPr>
                <w:rFonts w:cs="Arial"/>
                <w:lang w:val="fr-FR"/>
              </w:rPr>
              <w:t>-</w:t>
            </w:r>
          </w:p>
        </w:tc>
        <w:tc>
          <w:tcPr>
            <w:tcW w:w="1947" w:type="dxa"/>
            <w:vAlign w:val="center"/>
          </w:tcPr>
          <w:p w14:paraId="05201D67" w14:textId="77777777" w:rsidR="00912076" w:rsidRPr="00275290" w:rsidRDefault="00912076" w:rsidP="00912076">
            <w:pPr>
              <w:rPr>
                <w:rFonts w:cs="Arial"/>
                <w:color w:val="000000"/>
              </w:rPr>
            </w:pPr>
            <w:r w:rsidRPr="00275290">
              <w:rPr>
                <w:rFonts w:cs="Arial"/>
                <w:color w:val="000000"/>
              </w:rPr>
              <w:t>7,17E-04</w:t>
            </w:r>
          </w:p>
        </w:tc>
        <w:tc>
          <w:tcPr>
            <w:tcW w:w="1947" w:type="dxa"/>
            <w:vAlign w:val="center"/>
          </w:tcPr>
          <w:p w14:paraId="3C149A23" w14:textId="77777777" w:rsidR="00912076" w:rsidRPr="00275290" w:rsidRDefault="00912076" w:rsidP="00912076">
            <w:pPr>
              <w:rPr>
                <w:rFonts w:cs="Arial"/>
                <w:color w:val="000000"/>
              </w:rPr>
            </w:pPr>
            <w:r w:rsidRPr="00275290">
              <w:rPr>
                <w:rFonts w:cs="Arial"/>
                <w:color w:val="000000"/>
              </w:rPr>
              <w:t>7,17E-04</w:t>
            </w:r>
          </w:p>
        </w:tc>
      </w:tr>
      <w:tr w:rsidR="00912076" w:rsidRPr="00275290" w14:paraId="4AAADB6A" w14:textId="77777777" w:rsidTr="000E1EAD">
        <w:tc>
          <w:tcPr>
            <w:tcW w:w="1952" w:type="dxa"/>
            <w:vMerge/>
            <w:vAlign w:val="center"/>
          </w:tcPr>
          <w:p w14:paraId="66A28C96" w14:textId="77777777" w:rsidR="00912076" w:rsidRPr="00275290" w:rsidRDefault="00912076" w:rsidP="00912076">
            <w:pPr>
              <w:rPr>
                <w:rFonts w:cs="Arial"/>
                <w:lang w:val="fr-FR"/>
              </w:rPr>
            </w:pPr>
          </w:p>
        </w:tc>
        <w:tc>
          <w:tcPr>
            <w:tcW w:w="1972" w:type="dxa"/>
            <w:vAlign w:val="center"/>
          </w:tcPr>
          <w:p w14:paraId="04F83F05" w14:textId="77777777" w:rsidR="00912076" w:rsidRPr="00275290" w:rsidRDefault="00912076" w:rsidP="00912076">
            <w:pPr>
              <w:rPr>
                <w:rFonts w:cs="Arial"/>
                <w:lang w:val="fr-FR"/>
              </w:rPr>
            </w:pPr>
            <w:r w:rsidRPr="00275290">
              <w:rPr>
                <w:rFonts w:cs="Arial"/>
                <w:lang w:val="fr-FR"/>
              </w:rPr>
              <w:t>Propiconazole</w:t>
            </w:r>
          </w:p>
        </w:tc>
        <w:tc>
          <w:tcPr>
            <w:tcW w:w="1951" w:type="dxa"/>
            <w:vAlign w:val="center"/>
          </w:tcPr>
          <w:p w14:paraId="42966534"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1EB5532F" w14:textId="77777777" w:rsidR="00912076" w:rsidRPr="00275290" w:rsidRDefault="00912076" w:rsidP="00912076">
            <w:pPr>
              <w:rPr>
                <w:rFonts w:cs="Arial"/>
                <w:color w:val="000000"/>
              </w:rPr>
            </w:pPr>
            <w:r w:rsidRPr="00275290">
              <w:rPr>
                <w:rFonts w:cs="Arial"/>
                <w:color w:val="000000"/>
              </w:rPr>
              <w:t>9,32E-04</w:t>
            </w:r>
          </w:p>
        </w:tc>
        <w:tc>
          <w:tcPr>
            <w:tcW w:w="1947" w:type="dxa"/>
            <w:vAlign w:val="center"/>
          </w:tcPr>
          <w:p w14:paraId="2D44FD01" w14:textId="77777777" w:rsidR="00912076" w:rsidRPr="00275290" w:rsidRDefault="00912076" w:rsidP="00912076">
            <w:pPr>
              <w:rPr>
                <w:rFonts w:cs="Arial"/>
                <w:color w:val="000000"/>
              </w:rPr>
            </w:pPr>
            <w:r w:rsidRPr="00275290">
              <w:rPr>
                <w:rFonts w:cs="Arial"/>
                <w:color w:val="000000"/>
              </w:rPr>
              <w:t>9,32E-04</w:t>
            </w:r>
          </w:p>
        </w:tc>
      </w:tr>
      <w:tr w:rsidR="00912076" w:rsidRPr="00275290" w14:paraId="7517F1E7" w14:textId="77777777" w:rsidTr="000E1EAD">
        <w:tc>
          <w:tcPr>
            <w:tcW w:w="1952" w:type="dxa"/>
            <w:vMerge/>
            <w:vAlign w:val="center"/>
          </w:tcPr>
          <w:p w14:paraId="17B0595C" w14:textId="77777777" w:rsidR="00912076" w:rsidRPr="00275290" w:rsidRDefault="00912076" w:rsidP="00912076">
            <w:pPr>
              <w:rPr>
                <w:rFonts w:cs="Arial"/>
                <w:lang w:val="fr-FR"/>
              </w:rPr>
            </w:pPr>
          </w:p>
        </w:tc>
        <w:tc>
          <w:tcPr>
            <w:tcW w:w="1972" w:type="dxa"/>
            <w:vAlign w:val="center"/>
          </w:tcPr>
          <w:p w14:paraId="6360EED1" w14:textId="77777777" w:rsidR="00912076" w:rsidRPr="00275290" w:rsidRDefault="00912076" w:rsidP="00912076">
            <w:pPr>
              <w:rPr>
                <w:rFonts w:cs="Arial"/>
                <w:lang w:val="fr-FR"/>
              </w:rPr>
            </w:pPr>
            <w:r w:rsidRPr="00275290">
              <w:rPr>
                <w:rFonts w:cs="Arial"/>
                <w:lang w:val="fr-FR"/>
              </w:rPr>
              <w:t>Tébuconazole</w:t>
            </w:r>
          </w:p>
        </w:tc>
        <w:tc>
          <w:tcPr>
            <w:tcW w:w="1951" w:type="dxa"/>
            <w:vAlign w:val="center"/>
          </w:tcPr>
          <w:p w14:paraId="18B6C44F"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3695D242" w14:textId="77777777" w:rsidR="00912076" w:rsidRPr="00275290" w:rsidRDefault="00912076" w:rsidP="00912076">
            <w:pPr>
              <w:rPr>
                <w:rFonts w:cs="Arial"/>
                <w:color w:val="000000"/>
              </w:rPr>
            </w:pPr>
            <w:r w:rsidRPr="00275290">
              <w:rPr>
                <w:rFonts w:cs="Arial"/>
                <w:color w:val="000000"/>
              </w:rPr>
              <w:t>4,94E-04</w:t>
            </w:r>
          </w:p>
        </w:tc>
        <w:tc>
          <w:tcPr>
            <w:tcW w:w="1947" w:type="dxa"/>
            <w:vAlign w:val="center"/>
          </w:tcPr>
          <w:p w14:paraId="2CAFF35D" w14:textId="77777777" w:rsidR="00912076" w:rsidRPr="00275290" w:rsidRDefault="00912076" w:rsidP="00912076">
            <w:pPr>
              <w:rPr>
                <w:rFonts w:cs="Arial"/>
                <w:color w:val="000000"/>
              </w:rPr>
            </w:pPr>
            <w:r w:rsidRPr="00275290">
              <w:rPr>
                <w:rFonts w:cs="Arial"/>
                <w:color w:val="000000"/>
              </w:rPr>
              <w:t>4,94E-04</w:t>
            </w:r>
          </w:p>
        </w:tc>
      </w:tr>
      <w:tr w:rsidR="00912076" w:rsidRPr="00275290" w14:paraId="091FBC54" w14:textId="77777777" w:rsidTr="000E1EAD">
        <w:tc>
          <w:tcPr>
            <w:tcW w:w="1952" w:type="dxa"/>
            <w:vMerge/>
            <w:vAlign w:val="center"/>
          </w:tcPr>
          <w:p w14:paraId="32A810D2" w14:textId="77777777" w:rsidR="00912076" w:rsidRPr="00275290" w:rsidRDefault="00912076" w:rsidP="00912076">
            <w:pPr>
              <w:rPr>
                <w:rFonts w:cs="Arial"/>
                <w:lang w:val="fr-FR"/>
              </w:rPr>
            </w:pPr>
          </w:p>
        </w:tc>
        <w:tc>
          <w:tcPr>
            <w:tcW w:w="1972" w:type="dxa"/>
            <w:vAlign w:val="center"/>
          </w:tcPr>
          <w:p w14:paraId="749A2353" w14:textId="77777777" w:rsidR="00912076" w:rsidRPr="00275290" w:rsidRDefault="00912076" w:rsidP="00912076">
            <w:pPr>
              <w:rPr>
                <w:rFonts w:cs="Arial"/>
                <w:lang w:val="fr-FR"/>
              </w:rPr>
            </w:pPr>
            <w:r w:rsidRPr="00275290">
              <w:rPr>
                <w:rFonts w:cs="Arial"/>
                <w:lang w:val="fr-FR"/>
              </w:rPr>
              <w:t>IPBC</w:t>
            </w:r>
          </w:p>
        </w:tc>
        <w:tc>
          <w:tcPr>
            <w:tcW w:w="1951" w:type="dxa"/>
            <w:vAlign w:val="center"/>
          </w:tcPr>
          <w:p w14:paraId="584A1B97"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2E115430" w14:textId="77777777" w:rsidR="00912076" w:rsidRPr="00275290" w:rsidRDefault="00912076" w:rsidP="00912076">
            <w:pPr>
              <w:rPr>
                <w:rFonts w:cs="Arial"/>
                <w:color w:val="000000"/>
              </w:rPr>
            </w:pPr>
            <w:r w:rsidRPr="00275290">
              <w:rPr>
                <w:rFonts w:cs="Arial"/>
                <w:color w:val="000000"/>
              </w:rPr>
              <w:t>8,63E-04</w:t>
            </w:r>
          </w:p>
        </w:tc>
        <w:tc>
          <w:tcPr>
            <w:tcW w:w="1947" w:type="dxa"/>
            <w:vAlign w:val="center"/>
          </w:tcPr>
          <w:p w14:paraId="69D7713A" w14:textId="77777777" w:rsidR="00912076" w:rsidRPr="00275290" w:rsidRDefault="00912076" w:rsidP="00912076">
            <w:pPr>
              <w:rPr>
                <w:rFonts w:cs="Arial"/>
                <w:color w:val="000000"/>
              </w:rPr>
            </w:pPr>
            <w:r w:rsidRPr="00275290">
              <w:rPr>
                <w:rFonts w:cs="Arial"/>
                <w:color w:val="000000"/>
              </w:rPr>
              <w:t>8,63E-04</w:t>
            </w:r>
          </w:p>
        </w:tc>
      </w:tr>
      <w:tr w:rsidR="00912076" w:rsidRPr="00275290" w14:paraId="7CC7F910" w14:textId="77777777" w:rsidTr="000E1EAD">
        <w:tc>
          <w:tcPr>
            <w:tcW w:w="1952" w:type="dxa"/>
            <w:vMerge w:val="restart"/>
            <w:vAlign w:val="center"/>
          </w:tcPr>
          <w:p w14:paraId="21889877" w14:textId="77777777" w:rsidR="00912076" w:rsidRPr="00275290" w:rsidRDefault="00912076" w:rsidP="00912076">
            <w:pPr>
              <w:rPr>
                <w:rFonts w:cs="Arial"/>
                <w:lang w:val="fr-FR"/>
              </w:rPr>
            </w:pPr>
            <w:r w:rsidRPr="00275290">
              <w:rPr>
                <w:rFonts w:cs="Arial"/>
                <w:lang w:val="en-US"/>
              </w:rPr>
              <w:t>Cleaning phase (spray)</w:t>
            </w:r>
          </w:p>
        </w:tc>
        <w:tc>
          <w:tcPr>
            <w:tcW w:w="1972" w:type="dxa"/>
            <w:vAlign w:val="center"/>
          </w:tcPr>
          <w:p w14:paraId="104DDEAE" w14:textId="77777777" w:rsidR="00912076" w:rsidRPr="00275290" w:rsidRDefault="00912076" w:rsidP="00912076">
            <w:pPr>
              <w:rPr>
                <w:rFonts w:cs="Arial"/>
                <w:lang w:val="fr-FR"/>
              </w:rPr>
            </w:pPr>
            <w:r w:rsidRPr="00275290">
              <w:rPr>
                <w:rFonts w:cs="Arial"/>
                <w:lang w:val="fr-FR"/>
              </w:rPr>
              <w:t>Cyperméthrine</w:t>
            </w:r>
          </w:p>
        </w:tc>
        <w:tc>
          <w:tcPr>
            <w:tcW w:w="1951" w:type="dxa"/>
            <w:vAlign w:val="center"/>
          </w:tcPr>
          <w:p w14:paraId="16647DB3"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2836F041" w14:textId="31BC99F6" w:rsidR="00912076" w:rsidRPr="00275290" w:rsidRDefault="00912076" w:rsidP="00912076">
            <w:pPr>
              <w:rPr>
                <w:rFonts w:cs="Arial"/>
                <w:color w:val="000000"/>
              </w:rPr>
            </w:pPr>
            <w:r w:rsidRPr="00275290">
              <w:rPr>
                <w:rFonts w:cs="Arial"/>
                <w:color w:val="000000"/>
              </w:rPr>
              <w:t>2,</w:t>
            </w:r>
            <w:r>
              <w:rPr>
                <w:rFonts w:cs="Arial"/>
                <w:color w:val="000000"/>
              </w:rPr>
              <w:t>46</w:t>
            </w:r>
            <w:r w:rsidRPr="00275290">
              <w:rPr>
                <w:rFonts w:cs="Arial"/>
                <w:color w:val="000000"/>
              </w:rPr>
              <w:t>E-03</w:t>
            </w:r>
          </w:p>
        </w:tc>
        <w:tc>
          <w:tcPr>
            <w:tcW w:w="1947" w:type="dxa"/>
            <w:vAlign w:val="center"/>
          </w:tcPr>
          <w:p w14:paraId="5EABB83E" w14:textId="2B6B4F34" w:rsidR="00912076" w:rsidRPr="00275290" w:rsidRDefault="00912076" w:rsidP="00912076">
            <w:pPr>
              <w:rPr>
                <w:rFonts w:cs="Arial"/>
                <w:color w:val="000000"/>
              </w:rPr>
            </w:pPr>
            <w:r w:rsidRPr="00275290">
              <w:rPr>
                <w:rFonts w:cs="Arial"/>
                <w:color w:val="000000"/>
              </w:rPr>
              <w:t>2,</w:t>
            </w:r>
            <w:r>
              <w:rPr>
                <w:rFonts w:cs="Arial"/>
                <w:color w:val="000000"/>
              </w:rPr>
              <w:t>46</w:t>
            </w:r>
            <w:r w:rsidRPr="00275290">
              <w:rPr>
                <w:rFonts w:cs="Arial"/>
                <w:color w:val="000000"/>
              </w:rPr>
              <w:t>E-03</w:t>
            </w:r>
          </w:p>
        </w:tc>
      </w:tr>
      <w:tr w:rsidR="00912076" w:rsidRPr="00275290" w14:paraId="7667E544" w14:textId="77777777" w:rsidTr="000E1EAD">
        <w:tc>
          <w:tcPr>
            <w:tcW w:w="1952" w:type="dxa"/>
            <w:vMerge/>
            <w:vAlign w:val="center"/>
          </w:tcPr>
          <w:p w14:paraId="1EAAD326" w14:textId="77777777" w:rsidR="00912076" w:rsidRPr="00275290" w:rsidRDefault="00912076" w:rsidP="00912076">
            <w:pPr>
              <w:rPr>
                <w:rFonts w:cs="Arial"/>
                <w:lang w:val="fr-FR"/>
              </w:rPr>
            </w:pPr>
          </w:p>
        </w:tc>
        <w:tc>
          <w:tcPr>
            <w:tcW w:w="1972" w:type="dxa"/>
            <w:vAlign w:val="center"/>
          </w:tcPr>
          <w:p w14:paraId="1A7327DB" w14:textId="77777777" w:rsidR="00912076" w:rsidRPr="00275290" w:rsidRDefault="00912076" w:rsidP="00912076">
            <w:pPr>
              <w:rPr>
                <w:rFonts w:cs="Arial"/>
                <w:lang w:val="fr-FR"/>
              </w:rPr>
            </w:pPr>
            <w:r w:rsidRPr="00275290">
              <w:rPr>
                <w:rFonts w:cs="Arial"/>
                <w:lang w:val="fr-FR"/>
              </w:rPr>
              <w:t>Propiconazole</w:t>
            </w:r>
          </w:p>
        </w:tc>
        <w:tc>
          <w:tcPr>
            <w:tcW w:w="1951" w:type="dxa"/>
            <w:vAlign w:val="center"/>
          </w:tcPr>
          <w:p w14:paraId="4ECCC83C"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212A912C" w14:textId="4ECA59C1" w:rsidR="00912076" w:rsidRPr="00275290" w:rsidRDefault="00912076" w:rsidP="00912076">
            <w:pPr>
              <w:rPr>
                <w:rFonts w:cs="Arial"/>
                <w:color w:val="000000"/>
              </w:rPr>
            </w:pPr>
            <w:r w:rsidRPr="00275290">
              <w:rPr>
                <w:rFonts w:cs="Arial"/>
                <w:color w:val="000000"/>
              </w:rPr>
              <w:t>3,</w:t>
            </w:r>
            <w:r>
              <w:rPr>
                <w:rFonts w:cs="Arial"/>
                <w:color w:val="000000"/>
              </w:rPr>
              <w:t>56</w:t>
            </w:r>
            <w:r w:rsidRPr="00275290">
              <w:rPr>
                <w:rFonts w:cs="Arial"/>
                <w:color w:val="000000"/>
              </w:rPr>
              <w:t>E-03</w:t>
            </w:r>
          </w:p>
        </w:tc>
        <w:tc>
          <w:tcPr>
            <w:tcW w:w="1947" w:type="dxa"/>
            <w:vAlign w:val="center"/>
          </w:tcPr>
          <w:p w14:paraId="7910039F" w14:textId="43E20F1D" w:rsidR="00912076" w:rsidRPr="00275290" w:rsidRDefault="00912076" w:rsidP="00912076">
            <w:pPr>
              <w:rPr>
                <w:rFonts w:cs="Arial"/>
                <w:color w:val="000000"/>
              </w:rPr>
            </w:pPr>
            <w:r w:rsidRPr="00275290">
              <w:rPr>
                <w:rFonts w:cs="Arial"/>
                <w:color w:val="000000"/>
              </w:rPr>
              <w:t>3,</w:t>
            </w:r>
            <w:r>
              <w:rPr>
                <w:rFonts w:cs="Arial"/>
                <w:color w:val="000000"/>
              </w:rPr>
              <w:t>56</w:t>
            </w:r>
            <w:r w:rsidRPr="00275290">
              <w:rPr>
                <w:rFonts w:cs="Arial"/>
                <w:color w:val="000000"/>
              </w:rPr>
              <w:t>E-03</w:t>
            </w:r>
          </w:p>
        </w:tc>
      </w:tr>
      <w:tr w:rsidR="00912076" w:rsidRPr="00275290" w14:paraId="5612B8E7" w14:textId="77777777" w:rsidTr="000E1EAD">
        <w:tc>
          <w:tcPr>
            <w:tcW w:w="1952" w:type="dxa"/>
            <w:vMerge/>
            <w:vAlign w:val="center"/>
          </w:tcPr>
          <w:p w14:paraId="0AD3614F" w14:textId="77777777" w:rsidR="00912076" w:rsidRPr="00275290" w:rsidRDefault="00912076" w:rsidP="00912076">
            <w:pPr>
              <w:rPr>
                <w:rFonts w:cs="Arial"/>
                <w:lang w:val="fr-FR"/>
              </w:rPr>
            </w:pPr>
          </w:p>
        </w:tc>
        <w:tc>
          <w:tcPr>
            <w:tcW w:w="1972" w:type="dxa"/>
            <w:vAlign w:val="center"/>
          </w:tcPr>
          <w:p w14:paraId="6A48D40F" w14:textId="77777777" w:rsidR="00912076" w:rsidRPr="00275290" w:rsidRDefault="00912076" w:rsidP="00912076">
            <w:pPr>
              <w:rPr>
                <w:rFonts w:cs="Arial"/>
                <w:lang w:val="fr-FR"/>
              </w:rPr>
            </w:pPr>
            <w:r w:rsidRPr="00275290">
              <w:rPr>
                <w:rFonts w:cs="Arial"/>
                <w:lang w:val="fr-FR"/>
              </w:rPr>
              <w:t xml:space="preserve">Tébuconazole </w:t>
            </w:r>
          </w:p>
        </w:tc>
        <w:tc>
          <w:tcPr>
            <w:tcW w:w="1951" w:type="dxa"/>
            <w:vAlign w:val="center"/>
          </w:tcPr>
          <w:p w14:paraId="06FC44C7"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16E74D67" w14:textId="526AA8BF" w:rsidR="00912076" w:rsidRPr="00275290" w:rsidRDefault="00912076" w:rsidP="00912076">
            <w:pPr>
              <w:rPr>
                <w:rFonts w:cs="Arial"/>
                <w:color w:val="000000"/>
              </w:rPr>
            </w:pPr>
            <w:r w:rsidRPr="00275290">
              <w:rPr>
                <w:rFonts w:cs="Arial"/>
                <w:color w:val="000000"/>
              </w:rPr>
              <w:t>1,</w:t>
            </w:r>
            <w:r>
              <w:rPr>
                <w:rFonts w:cs="Arial"/>
                <w:color w:val="000000"/>
              </w:rPr>
              <w:t>33</w:t>
            </w:r>
            <w:r w:rsidRPr="00275290">
              <w:rPr>
                <w:rFonts w:cs="Arial"/>
                <w:color w:val="000000"/>
              </w:rPr>
              <w:t>E-03</w:t>
            </w:r>
          </w:p>
        </w:tc>
        <w:tc>
          <w:tcPr>
            <w:tcW w:w="1947" w:type="dxa"/>
            <w:vAlign w:val="center"/>
          </w:tcPr>
          <w:p w14:paraId="42912A5B" w14:textId="60D87FBA" w:rsidR="00912076" w:rsidRPr="00275290" w:rsidRDefault="00912076" w:rsidP="00912076">
            <w:pPr>
              <w:rPr>
                <w:rFonts w:cs="Arial"/>
                <w:color w:val="000000"/>
              </w:rPr>
            </w:pPr>
            <w:r w:rsidRPr="00275290">
              <w:rPr>
                <w:rFonts w:cs="Arial"/>
                <w:color w:val="000000"/>
              </w:rPr>
              <w:t>1,</w:t>
            </w:r>
            <w:r>
              <w:rPr>
                <w:rFonts w:cs="Arial"/>
                <w:color w:val="000000"/>
              </w:rPr>
              <w:t>33</w:t>
            </w:r>
            <w:r w:rsidRPr="00275290">
              <w:rPr>
                <w:rFonts w:cs="Arial"/>
                <w:color w:val="000000"/>
              </w:rPr>
              <w:t>E-03</w:t>
            </w:r>
          </w:p>
        </w:tc>
      </w:tr>
      <w:tr w:rsidR="00912076" w:rsidRPr="00275290" w14:paraId="4DC48059" w14:textId="77777777" w:rsidTr="000E1EAD">
        <w:tc>
          <w:tcPr>
            <w:tcW w:w="1952" w:type="dxa"/>
            <w:vMerge/>
            <w:vAlign w:val="center"/>
          </w:tcPr>
          <w:p w14:paraId="274C5993" w14:textId="77777777" w:rsidR="00912076" w:rsidRPr="00275290" w:rsidRDefault="00912076" w:rsidP="00912076">
            <w:pPr>
              <w:rPr>
                <w:rFonts w:cs="Arial"/>
                <w:lang w:val="fr-FR"/>
              </w:rPr>
            </w:pPr>
          </w:p>
        </w:tc>
        <w:tc>
          <w:tcPr>
            <w:tcW w:w="1972" w:type="dxa"/>
            <w:vAlign w:val="center"/>
          </w:tcPr>
          <w:p w14:paraId="37152635" w14:textId="77777777" w:rsidR="00912076" w:rsidRPr="00275290" w:rsidRDefault="00912076" w:rsidP="00912076">
            <w:pPr>
              <w:rPr>
                <w:rFonts w:cs="Arial"/>
                <w:lang w:val="fr-FR"/>
              </w:rPr>
            </w:pPr>
            <w:r w:rsidRPr="00275290">
              <w:rPr>
                <w:rFonts w:cs="Arial"/>
                <w:lang w:val="fr-FR"/>
              </w:rPr>
              <w:t>IPBC</w:t>
            </w:r>
          </w:p>
        </w:tc>
        <w:tc>
          <w:tcPr>
            <w:tcW w:w="1951" w:type="dxa"/>
            <w:vAlign w:val="center"/>
          </w:tcPr>
          <w:p w14:paraId="416795DF"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3DED64F4" w14:textId="6CA8E254" w:rsidR="00912076" w:rsidRPr="00275290" w:rsidRDefault="00912076" w:rsidP="00912076">
            <w:pPr>
              <w:rPr>
                <w:rFonts w:cs="Arial"/>
                <w:color w:val="000000"/>
              </w:rPr>
            </w:pPr>
            <w:r w:rsidRPr="00275290">
              <w:rPr>
                <w:rFonts w:cs="Arial"/>
                <w:color w:val="000000"/>
              </w:rPr>
              <w:t>3,</w:t>
            </w:r>
            <w:r>
              <w:rPr>
                <w:rFonts w:cs="Arial"/>
                <w:color w:val="000000"/>
              </w:rPr>
              <w:t>21</w:t>
            </w:r>
            <w:r w:rsidRPr="00275290">
              <w:rPr>
                <w:rFonts w:cs="Arial"/>
                <w:color w:val="000000"/>
              </w:rPr>
              <w:t>E-03</w:t>
            </w:r>
          </w:p>
        </w:tc>
        <w:tc>
          <w:tcPr>
            <w:tcW w:w="1947" w:type="dxa"/>
            <w:vAlign w:val="center"/>
          </w:tcPr>
          <w:p w14:paraId="5746AF6B" w14:textId="25FF8F9A" w:rsidR="00912076" w:rsidRPr="00275290" w:rsidRDefault="00912076" w:rsidP="00912076">
            <w:pPr>
              <w:rPr>
                <w:rFonts w:cs="Arial"/>
                <w:color w:val="000000"/>
              </w:rPr>
            </w:pPr>
            <w:r w:rsidRPr="00275290">
              <w:rPr>
                <w:rFonts w:cs="Arial"/>
                <w:color w:val="000000"/>
              </w:rPr>
              <w:t>3,</w:t>
            </w:r>
            <w:r>
              <w:rPr>
                <w:rFonts w:cs="Arial"/>
                <w:color w:val="000000"/>
              </w:rPr>
              <w:t>21</w:t>
            </w:r>
            <w:r w:rsidRPr="00275290">
              <w:rPr>
                <w:rFonts w:cs="Arial"/>
                <w:color w:val="000000"/>
              </w:rPr>
              <w:t>E-03</w:t>
            </w:r>
          </w:p>
        </w:tc>
      </w:tr>
      <w:tr w:rsidR="00912076" w:rsidRPr="00275290" w14:paraId="3543D0E2" w14:textId="77777777" w:rsidTr="000E1EAD">
        <w:tc>
          <w:tcPr>
            <w:tcW w:w="1952" w:type="dxa"/>
            <w:vMerge w:val="restart"/>
            <w:shd w:val="clear" w:color="auto" w:fill="C6D9F1"/>
            <w:vAlign w:val="center"/>
          </w:tcPr>
          <w:p w14:paraId="067CC66E" w14:textId="723347B8" w:rsidR="00912076" w:rsidRPr="00275290" w:rsidRDefault="00417BF5" w:rsidP="00912076">
            <w:pPr>
              <w:rPr>
                <w:rFonts w:cs="Arial"/>
                <w:lang w:val="fr-FR"/>
              </w:rPr>
            </w:pPr>
            <w:r>
              <w:rPr>
                <w:rFonts w:cs="Arial"/>
                <w:lang w:val="fr-FR"/>
              </w:rPr>
              <w:t>M&amp;L + a</w:t>
            </w:r>
            <w:r w:rsidR="00912076" w:rsidRPr="00275290">
              <w:rPr>
                <w:rFonts w:cs="Arial"/>
                <w:lang w:val="fr-FR"/>
              </w:rPr>
              <w:t>ppli + cleaning</w:t>
            </w:r>
          </w:p>
        </w:tc>
        <w:tc>
          <w:tcPr>
            <w:tcW w:w="1972" w:type="dxa"/>
            <w:shd w:val="clear" w:color="auto" w:fill="C6D9F1"/>
            <w:vAlign w:val="center"/>
          </w:tcPr>
          <w:p w14:paraId="7BD5133E" w14:textId="77777777" w:rsidR="00912076" w:rsidRPr="00275290" w:rsidRDefault="00912076" w:rsidP="00912076">
            <w:pPr>
              <w:rPr>
                <w:rFonts w:cs="Arial"/>
                <w:lang w:val="fr-FR"/>
              </w:rPr>
            </w:pPr>
            <w:r w:rsidRPr="00275290">
              <w:rPr>
                <w:rFonts w:cs="Arial"/>
                <w:lang w:val="fr-FR"/>
              </w:rPr>
              <w:t>Cyperméthrine</w:t>
            </w:r>
          </w:p>
        </w:tc>
        <w:tc>
          <w:tcPr>
            <w:tcW w:w="1951" w:type="dxa"/>
            <w:shd w:val="clear" w:color="auto" w:fill="C6D9F1"/>
            <w:vAlign w:val="center"/>
          </w:tcPr>
          <w:p w14:paraId="385034F3" w14:textId="77777777" w:rsidR="00912076" w:rsidRPr="00275290" w:rsidRDefault="00912076" w:rsidP="00912076">
            <w:pPr>
              <w:rPr>
                <w:rFonts w:cs="Arial"/>
                <w:color w:val="000000"/>
              </w:rPr>
            </w:pPr>
          </w:p>
        </w:tc>
        <w:tc>
          <w:tcPr>
            <w:tcW w:w="1947" w:type="dxa"/>
            <w:shd w:val="clear" w:color="auto" w:fill="C6D9F1"/>
            <w:vAlign w:val="center"/>
          </w:tcPr>
          <w:p w14:paraId="780C18D4" w14:textId="77777777" w:rsidR="00912076" w:rsidRPr="00275290" w:rsidRDefault="00912076" w:rsidP="00912076">
            <w:pPr>
              <w:rPr>
                <w:rFonts w:cs="Arial"/>
                <w:lang w:val="fr-FR"/>
              </w:rPr>
            </w:pPr>
          </w:p>
        </w:tc>
        <w:tc>
          <w:tcPr>
            <w:tcW w:w="1947" w:type="dxa"/>
            <w:shd w:val="clear" w:color="auto" w:fill="C6D9F1"/>
            <w:vAlign w:val="center"/>
          </w:tcPr>
          <w:p w14:paraId="032172F5" w14:textId="631B59B3" w:rsidR="00912076" w:rsidRPr="000E1EAD" w:rsidRDefault="00912076"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2,62E-02</w:t>
            </w:r>
          </w:p>
        </w:tc>
      </w:tr>
      <w:tr w:rsidR="00912076" w:rsidRPr="00275290" w14:paraId="31426104" w14:textId="77777777" w:rsidTr="000E1EAD">
        <w:tc>
          <w:tcPr>
            <w:tcW w:w="1952" w:type="dxa"/>
            <w:vMerge/>
            <w:shd w:val="clear" w:color="auto" w:fill="C6D9F1"/>
            <w:vAlign w:val="center"/>
          </w:tcPr>
          <w:p w14:paraId="05B14A92" w14:textId="77777777" w:rsidR="00912076" w:rsidRPr="00275290" w:rsidRDefault="00912076" w:rsidP="00912076">
            <w:pPr>
              <w:rPr>
                <w:rFonts w:cs="Arial"/>
                <w:lang w:val="fr-FR"/>
              </w:rPr>
            </w:pPr>
          </w:p>
        </w:tc>
        <w:tc>
          <w:tcPr>
            <w:tcW w:w="1972" w:type="dxa"/>
            <w:shd w:val="clear" w:color="auto" w:fill="C6D9F1"/>
            <w:vAlign w:val="center"/>
          </w:tcPr>
          <w:p w14:paraId="7D866CB2" w14:textId="77777777" w:rsidR="00912076" w:rsidRPr="00275290" w:rsidRDefault="00912076" w:rsidP="00912076">
            <w:pPr>
              <w:rPr>
                <w:rFonts w:cs="Arial"/>
                <w:lang w:val="fr-FR"/>
              </w:rPr>
            </w:pPr>
            <w:r w:rsidRPr="00275290">
              <w:rPr>
                <w:rFonts w:cs="Arial"/>
                <w:lang w:val="fr-FR"/>
              </w:rPr>
              <w:t>Propiconazole</w:t>
            </w:r>
          </w:p>
        </w:tc>
        <w:tc>
          <w:tcPr>
            <w:tcW w:w="1951" w:type="dxa"/>
            <w:shd w:val="clear" w:color="auto" w:fill="C6D9F1"/>
            <w:vAlign w:val="center"/>
          </w:tcPr>
          <w:p w14:paraId="2904E892" w14:textId="77777777" w:rsidR="00912076" w:rsidRPr="00275290" w:rsidRDefault="00912076" w:rsidP="00912076">
            <w:pPr>
              <w:rPr>
                <w:rFonts w:cs="Arial"/>
                <w:lang w:val="fr-FR"/>
              </w:rPr>
            </w:pPr>
          </w:p>
        </w:tc>
        <w:tc>
          <w:tcPr>
            <w:tcW w:w="1947" w:type="dxa"/>
            <w:shd w:val="clear" w:color="auto" w:fill="C6D9F1"/>
            <w:vAlign w:val="center"/>
          </w:tcPr>
          <w:p w14:paraId="3C5ADEEA" w14:textId="77777777" w:rsidR="00912076" w:rsidRPr="00275290" w:rsidRDefault="00912076" w:rsidP="00912076">
            <w:pPr>
              <w:rPr>
                <w:rFonts w:cs="Arial"/>
                <w:lang w:val="fr-FR"/>
              </w:rPr>
            </w:pPr>
          </w:p>
        </w:tc>
        <w:tc>
          <w:tcPr>
            <w:tcW w:w="1947" w:type="dxa"/>
            <w:shd w:val="clear" w:color="auto" w:fill="C6D9F1"/>
            <w:vAlign w:val="center"/>
          </w:tcPr>
          <w:p w14:paraId="0526817E" w14:textId="5C81394D"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3,79E-02</w:t>
            </w:r>
          </w:p>
        </w:tc>
      </w:tr>
      <w:tr w:rsidR="00912076" w:rsidRPr="00275290" w14:paraId="1B4C60C1" w14:textId="77777777" w:rsidTr="000E1EAD">
        <w:tc>
          <w:tcPr>
            <w:tcW w:w="1952" w:type="dxa"/>
            <w:vMerge/>
            <w:shd w:val="clear" w:color="auto" w:fill="C6D9F1"/>
            <w:vAlign w:val="center"/>
          </w:tcPr>
          <w:p w14:paraId="5A90B0AA" w14:textId="77777777" w:rsidR="00912076" w:rsidRPr="00275290" w:rsidRDefault="00912076" w:rsidP="00912076">
            <w:pPr>
              <w:rPr>
                <w:rFonts w:cs="Arial"/>
                <w:lang w:val="fr-FR"/>
              </w:rPr>
            </w:pPr>
          </w:p>
        </w:tc>
        <w:tc>
          <w:tcPr>
            <w:tcW w:w="1972" w:type="dxa"/>
            <w:shd w:val="clear" w:color="auto" w:fill="C6D9F1"/>
            <w:vAlign w:val="center"/>
          </w:tcPr>
          <w:p w14:paraId="7BD65E45" w14:textId="77777777" w:rsidR="00912076" w:rsidRPr="00275290" w:rsidRDefault="00912076" w:rsidP="00912076">
            <w:pPr>
              <w:rPr>
                <w:rFonts w:cs="Arial"/>
                <w:lang w:val="fr-FR"/>
              </w:rPr>
            </w:pPr>
            <w:r w:rsidRPr="00275290">
              <w:rPr>
                <w:rFonts w:cs="Arial"/>
                <w:lang w:val="fr-FR"/>
              </w:rPr>
              <w:t>Tébuconazole</w:t>
            </w:r>
          </w:p>
        </w:tc>
        <w:tc>
          <w:tcPr>
            <w:tcW w:w="1951" w:type="dxa"/>
            <w:shd w:val="clear" w:color="auto" w:fill="C6D9F1"/>
            <w:vAlign w:val="center"/>
          </w:tcPr>
          <w:p w14:paraId="69EB6836" w14:textId="77777777" w:rsidR="00912076" w:rsidRPr="00275290" w:rsidRDefault="00912076" w:rsidP="00912076">
            <w:pPr>
              <w:rPr>
                <w:rFonts w:cs="Arial"/>
                <w:lang w:val="fr-FR"/>
              </w:rPr>
            </w:pPr>
          </w:p>
        </w:tc>
        <w:tc>
          <w:tcPr>
            <w:tcW w:w="1947" w:type="dxa"/>
            <w:shd w:val="clear" w:color="auto" w:fill="C6D9F1"/>
            <w:vAlign w:val="center"/>
          </w:tcPr>
          <w:p w14:paraId="0709D63C" w14:textId="77777777" w:rsidR="00912076" w:rsidRPr="00275290" w:rsidRDefault="00912076" w:rsidP="00912076">
            <w:pPr>
              <w:rPr>
                <w:rFonts w:cs="Arial"/>
                <w:lang w:val="fr-FR"/>
              </w:rPr>
            </w:pPr>
          </w:p>
        </w:tc>
        <w:tc>
          <w:tcPr>
            <w:tcW w:w="1947" w:type="dxa"/>
            <w:shd w:val="clear" w:color="auto" w:fill="C6D9F1"/>
            <w:vAlign w:val="center"/>
          </w:tcPr>
          <w:p w14:paraId="1F6C5D84" w14:textId="671BCEC7"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1,42E-02</w:t>
            </w:r>
          </w:p>
        </w:tc>
      </w:tr>
      <w:tr w:rsidR="00912076" w:rsidRPr="00275290" w14:paraId="3FA8D15F" w14:textId="77777777" w:rsidTr="000E1EAD">
        <w:tc>
          <w:tcPr>
            <w:tcW w:w="1952" w:type="dxa"/>
            <w:vMerge/>
            <w:shd w:val="clear" w:color="auto" w:fill="C6D9F1"/>
            <w:vAlign w:val="center"/>
          </w:tcPr>
          <w:p w14:paraId="5C2890BF" w14:textId="77777777" w:rsidR="00912076" w:rsidRPr="00275290" w:rsidRDefault="00912076" w:rsidP="00912076">
            <w:pPr>
              <w:rPr>
                <w:rFonts w:cs="Arial"/>
                <w:lang w:val="fr-FR"/>
              </w:rPr>
            </w:pPr>
          </w:p>
        </w:tc>
        <w:tc>
          <w:tcPr>
            <w:tcW w:w="1972" w:type="dxa"/>
            <w:shd w:val="clear" w:color="auto" w:fill="C6D9F1"/>
            <w:vAlign w:val="center"/>
          </w:tcPr>
          <w:p w14:paraId="1B45D7EA" w14:textId="77777777" w:rsidR="00912076" w:rsidRPr="00275290" w:rsidRDefault="00912076" w:rsidP="00912076">
            <w:pPr>
              <w:rPr>
                <w:rFonts w:cs="Arial"/>
                <w:lang w:val="fr-FR"/>
              </w:rPr>
            </w:pPr>
            <w:r w:rsidRPr="00275290">
              <w:rPr>
                <w:rFonts w:cs="Arial"/>
                <w:lang w:val="fr-FR"/>
              </w:rPr>
              <w:t>IPBC</w:t>
            </w:r>
          </w:p>
        </w:tc>
        <w:tc>
          <w:tcPr>
            <w:tcW w:w="1951" w:type="dxa"/>
            <w:shd w:val="clear" w:color="auto" w:fill="C6D9F1"/>
            <w:vAlign w:val="center"/>
          </w:tcPr>
          <w:p w14:paraId="6178EE64" w14:textId="77777777" w:rsidR="00912076" w:rsidRPr="00275290" w:rsidRDefault="00912076" w:rsidP="00912076">
            <w:pPr>
              <w:rPr>
                <w:rFonts w:cs="Arial"/>
                <w:lang w:val="fr-FR"/>
              </w:rPr>
            </w:pPr>
          </w:p>
        </w:tc>
        <w:tc>
          <w:tcPr>
            <w:tcW w:w="1947" w:type="dxa"/>
            <w:shd w:val="clear" w:color="auto" w:fill="C6D9F1"/>
            <w:vAlign w:val="center"/>
          </w:tcPr>
          <w:p w14:paraId="775E6FFB" w14:textId="77777777" w:rsidR="00912076" w:rsidRPr="00275290" w:rsidRDefault="00912076" w:rsidP="00912076">
            <w:pPr>
              <w:rPr>
                <w:rFonts w:cs="Arial"/>
                <w:lang w:val="fr-FR"/>
              </w:rPr>
            </w:pPr>
          </w:p>
        </w:tc>
        <w:tc>
          <w:tcPr>
            <w:tcW w:w="1947" w:type="dxa"/>
            <w:shd w:val="clear" w:color="auto" w:fill="C6D9F1"/>
            <w:vAlign w:val="center"/>
          </w:tcPr>
          <w:p w14:paraId="7CFAE179" w14:textId="6E216F6C"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3,39E-02</w:t>
            </w:r>
          </w:p>
        </w:tc>
      </w:tr>
    </w:tbl>
    <w:p w14:paraId="4A751170" w14:textId="77777777" w:rsidR="009D4550" w:rsidRPr="00275290" w:rsidRDefault="009D4550" w:rsidP="009D4550">
      <w:pPr>
        <w:pStyle w:val="BfRBBStandard"/>
        <w:rPr>
          <w:rFonts w:ascii="Verdana" w:eastAsia="Times New Roman" w:hAnsi="Verdana"/>
          <w:sz w:val="20"/>
          <w:szCs w:val="20"/>
          <w:lang w:val="en-GB" w:eastAsia="sv-SE"/>
        </w:rPr>
      </w:pPr>
    </w:p>
    <w:p w14:paraId="082ACD0F" w14:textId="77777777" w:rsidR="009D4550" w:rsidRPr="00275290" w:rsidRDefault="009D4550" w:rsidP="009D4550">
      <w:pPr>
        <w:pStyle w:val="BfRBBStandard"/>
        <w:rPr>
          <w:rFonts w:ascii="Verdana" w:eastAsia="Times New Roman" w:hAnsi="Verdana"/>
          <w:i/>
          <w:sz w:val="20"/>
          <w:szCs w:val="20"/>
          <w:lang w:val="en-GB" w:eastAsia="sv-SE"/>
        </w:rPr>
      </w:pPr>
    </w:p>
    <w:p w14:paraId="6D0963FB"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Spray application</w:t>
      </w:r>
    </w:p>
    <w:p w14:paraId="1C4D827B" w14:textId="77777777" w:rsidR="009D4550" w:rsidRPr="00275290" w:rsidRDefault="009D4550" w:rsidP="009D4550">
      <w:pPr>
        <w:pStyle w:val="BfRBBStandard"/>
        <w:rPr>
          <w:rFonts w:ascii="Verdana" w:eastAsia="Times New Roman" w:hAnsi="Verdana"/>
          <w:sz w:val="20"/>
          <w:szCs w:val="20"/>
          <w:lang w:val="en-GB" w:eastAsia="sv-SE"/>
        </w:rPr>
      </w:pPr>
    </w:p>
    <w:p w14:paraId="64936A8B" w14:textId="298D93C5"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Non-professional exposure during the mixing and loading and the application phase has been considered using the “</w:t>
      </w:r>
      <w:r w:rsidRPr="00275290">
        <w:rPr>
          <w:rFonts w:ascii="Verdana" w:eastAsia="Times New Roman" w:hAnsi="Verdana"/>
          <w:i/>
          <w:sz w:val="20"/>
          <w:szCs w:val="20"/>
          <w:lang w:val="en-GB" w:eastAsia="sv-SE"/>
        </w:rPr>
        <w:t>Consumer spraying and dusting Model 3</w:t>
      </w:r>
      <w:r w:rsidRPr="00275290">
        <w:rPr>
          <w:rFonts w:ascii="Verdana" w:eastAsia="Times New Roman" w:hAnsi="Verdana"/>
          <w:sz w:val="20"/>
          <w:szCs w:val="20"/>
          <w:lang w:val="en-GB" w:eastAsia="sv-SE"/>
        </w:rPr>
        <w:t xml:space="preserve">” taken from the TNsG second version of 2007. </w:t>
      </w:r>
      <w:r w:rsidR="00341D6C">
        <w:rPr>
          <w:rFonts w:ascii="Verdana" w:eastAsia="Times New Roman" w:hAnsi="Verdana"/>
          <w:sz w:val="20"/>
          <w:szCs w:val="20"/>
          <w:lang w:val="en-GB" w:eastAsia="sv-SE"/>
        </w:rPr>
        <w:t>The correction by density (0.803) has been considered.</w:t>
      </w:r>
    </w:p>
    <w:p w14:paraId="066B49BD"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Exposure during the cleaning of equipment has been assessed with the BEAT scenario “</w:t>
      </w:r>
      <w:r w:rsidRPr="00275290">
        <w:rPr>
          <w:rFonts w:ascii="Verdana" w:eastAsia="Times New Roman" w:hAnsi="Verdana"/>
          <w:i/>
          <w:sz w:val="20"/>
          <w:szCs w:val="20"/>
          <w:lang w:val="en-GB" w:eastAsia="sv-SE"/>
        </w:rPr>
        <w:t>Cleaning of the spray equipment</w:t>
      </w:r>
      <w:r w:rsidRPr="00275290">
        <w:rPr>
          <w:rFonts w:ascii="Verdana" w:eastAsia="Times New Roman" w:hAnsi="Verdana"/>
          <w:sz w:val="20"/>
          <w:szCs w:val="20"/>
          <w:lang w:val="en-GB" w:eastAsia="sv-SE"/>
        </w:rPr>
        <w:t>” from TNsG second version of 2007</w:t>
      </w:r>
      <w:r w:rsidRPr="00275290">
        <w:rPr>
          <w:rStyle w:val="Appelnotedebasdep"/>
          <w:rFonts w:ascii="Verdana" w:eastAsia="Times New Roman" w:hAnsi="Verdana"/>
          <w:sz w:val="20"/>
          <w:szCs w:val="20"/>
          <w:lang w:val="en-GB" w:eastAsia="sv-SE"/>
        </w:rPr>
        <w:footnoteReference w:id="25"/>
      </w:r>
      <w:r w:rsidRPr="00275290">
        <w:rPr>
          <w:rFonts w:ascii="Verdana" w:eastAsia="Times New Roman" w:hAnsi="Verdana"/>
          <w:sz w:val="20"/>
          <w:szCs w:val="20"/>
          <w:lang w:val="en-GB" w:eastAsia="sv-SE"/>
        </w:rPr>
        <w:t>.</w:t>
      </w:r>
    </w:p>
    <w:p w14:paraId="5CF89912" w14:textId="77777777" w:rsidR="009D4550" w:rsidRPr="00275290" w:rsidRDefault="009D4550" w:rsidP="009D4550">
      <w:pPr>
        <w:pStyle w:val="BfRBBStandard"/>
        <w:rPr>
          <w:rFonts w:ascii="Verdana" w:eastAsia="Times New Roman" w:hAnsi="Verdana"/>
          <w:i/>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972"/>
        <w:gridCol w:w="1951"/>
        <w:gridCol w:w="1947"/>
        <w:gridCol w:w="1947"/>
      </w:tblGrid>
      <w:tr w:rsidR="009D4550" w:rsidRPr="00275290" w14:paraId="78AB7291" w14:textId="77777777" w:rsidTr="0057633F">
        <w:tc>
          <w:tcPr>
            <w:tcW w:w="1952" w:type="dxa"/>
            <w:vAlign w:val="center"/>
          </w:tcPr>
          <w:p w14:paraId="48153755" w14:textId="77777777" w:rsidR="009D4550" w:rsidRPr="00275290" w:rsidRDefault="009D4550" w:rsidP="009D4550">
            <w:pPr>
              <w:autoSpaceDE w:val="0"/>
              <w:autoSpaceDN w:val="0"/>
              <w:adjustRightInd w:val="0"/>
              <w:spacing w:before="60" w:after="60"/>
              <w:rPr>
                <w:rFonts w:cs="Arial"/>
              </w:rPr>
            </w:pPr>
            <w:r w:rsidRPr="00275290">
              <w:rPr>
                <w:rFonts w:cs="Arial"/>
              </w:rPr>
              <w:lastRenderedPageBreak/>
              <w:t>Scenario</w:t>
            </w:r>
          </w:p>
        </w:tc>
        <w:tc>
          <w:tcPr>
            <w:tcW w:w="1972" w:type="dxa"/>
            <w:vAlign w:val="center"/>
          </w:tcPr>
          <w:p w14:paraId="70F89204"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951" w:type="dxa"/>
            <w:vAlign w:val="center"/>
          </w:tcPr>
          <w:p w14:paraId="0B069100" w14:textId="77777777" w:rsidR="009D4550" w:rsidRPr="00275290" w:rsidRDefault="009D4550" w:rsidP="009D4550">
            <w:pPr>
              <w:autoSpaceDE w:val="0"/>
              <w:autoSpaceDN w:val="0"/>
              <w:adjustRightInd w:val="0"/>
              <w:spacing w:before="60" w:after="60"/>
              <w:rPr>
                <w:rFonts w:cs="Arial"/>
              </w:rPr>
            </w:pPr>
            <w:r w:rsidRPr="00275290">
              <w:rPr>
                <w:rFonts w:cs="Arial"/>
              </w:rPr>
              <w:t>Inhalation Exposure</w:t>
            </w:r>
          </w:p>
          <w:p w14:paraId="15F5760F" w14:textId="77777777" w:rsidR="009D4550" w:rsidRPr="00275290" w:rsidRDefault="009D4550" w:rsidP="009D4550">
            <w:pPr>
              <w:autoSpaceDE w:val="0"/>
              <w:autoSpaceDN w:val="0"/>
              <w:adjustRightInd w:val="0"/>
              <w:spacing w:before="60" w:after="60"/>
              <w:rPr>
                <w:rFonts w:cs="Arial"/>
              </w:rPr>
            </w:pPr>
            <w:r w:rsidRPr="00275290">
              <w:rPr>
                <w:rFonts w:cs="Arial"/>
              </w:rPr>
              <w:t>(mg/kg bw/j)</w:t>
            </w:r>
          </w:p>
        </w:tc>
        <w:tc>
          <w:tcPr>
            <w:tcW w:w="1947" w:type="dxa"/>
            <w:vAlign w:val="center"/>
          </w:tcPr>
          <w:p w14:paraId="04BED4C0" w14:textId="77777777" w:rsidR="009D4550" w:rsidRPr="00275290" w:rsidRDefault="009D4550" w:rsidP="009D4550">
            <w:pPr>
              <w:autoSpaceDE w:val="0"/>
              <w:autoSpaceDN w:val="0"/>
              <w:adjustRightInd w:val="0"/>
              <w:spacing w:before="60" w:after="60"/>
              <w:rPr>
                <w:rFonts w:cs="Arial"/>
              </w:rPr>
            </w:pPr>
            <w:r w:rsidRPr="00275290">
              <w:rPr>
                <w:rFonts w:cs="Arial"/>
              </w:rPr>
              <w:t>Demal Exposure</w:t>
            </w:r>
          </w:p>
          <w:p w14:paraId="27F47F2D" w14:textId="77777777" w:rsidR="009D4550" w:rsidRPr="00275290" w:rsidRDefault="009D4550" w:rsidP="009D4550">
            <w:pPr>
              <w:autoSpaceDE w:val="0"/>
              <w:autoSpaceDN w:val="0"/>
              <w:adjustRightInd w:val="0"/>
              <w:spacing w:before="60" w:after="60"/>
              <w:rPr>
                <w:rFonts w:cs="Arial"/>
              </w:rPr>
            </w:pPr>
            <w:r w:rsidRPr="00275290">
              <w:rPr>
                <w:rFonts w:cs="Arial"/>
              </w:rPr>
              <w:t>(mg/kg bw/d)</w:t>
            </w:r>
          </w:p>
        </w:tc>
        <w:tc>
          <w:tcPr>
            <w:tcW w:w="1947" w:type="dxa"/>
            <w:vAlign w:val="center"/>
          </w:tcPr>
          <w:p w14:paraId="69BFA861" w14:textId="77777777" w:rsidR="009D4550" w:rsidRPr="00275290" w:rsidRDefault="009D4550" w:rsidP="009D4550">
            <w:pPr>
              <w:autoSpaceDE w:val="0"/>
              <w:autoSpaceDN w:val="0"/>
              <w:adjustRightInd w:val="0"/>
              <w:spacing w:before="60" w:after="60"/>
              <w:rPr>
                <w:rFonts w:cs="Arial"/>
              </w:rPr>
            </w:pPr>
            <w:r w:rsidRPr="00275290">
              <w:rPr>
                <w:rFonts w:cs="Arial"/>
              </w:rPr>
              <w:t>Total Exposure (mg/kg bw/d)</w:t>
            </w:r>
          </w:p>
        </w:tc>
      </w:tr>
      <w:tr w:rsidR="009D4550" w:rsidRPr="00275290" w14:paraId="7DE6C0CA" w14:textId="77777777" w:rsidTr="0057633F">
        <w:tc>
          <w:tcPr>
            <w:tcW w:w="9769" w:type="dxa"/>
            <w:gridSpan w:val="5"/>
            <w:shd w:val="clear" w:color="auto" w:fill="BFBFBF"/>
            <w:vAlign w:val="center"/>
          </w:tcPr>
          <w:p w14:paraId="64572301" w14:textId="77777777" w:rsidR="009D4550" w:rsidRPr="00275290" w:rsidRDefault="009D4550" w:rsidP="009D4550">
            <w:pPr>
              <w:rPr>
                <w:rFonts w:cs="Arial"/>
                <w:lang w:val="en-US"/>
              </w:rPr>
            </w:pPr>
            <w:r w:rsidRPr="00275290">
              <w:rPr>
                <w:rFonts w:cs="Arial"/>
                <w:lang w:val="en-US"/>
              </w:rPr>
              <w:t>Spraying 300g/m</w:t>
            </w:r>
            <w:r w:rsidRPr="00275290">
              <w:rPr>
                <w:rFonts w:cs="Arial"/>
                <w:vertAlign w:val="superscript"/>
                <w:lang w:val="en-US"/>
              </w:rPr>
              <w:t>2</w:t>
            </w:r>
            <w:r w:rsidRPr="00275290">
              <w:rPr>
                <w:rFonts w:cs="Arial"/>
                <w:lang w:val="en-US"/>
              </w:rPr>
              <w:t xml:space="preserve"> – without PPE</w:t>
            </w:r>
          </w:p>
        </w:tc>
      </w:tr>
      <w:tr w:rsidR="009D4550" w:rsidRPr="00275290" w14:paraId="20D94950" w14:textId="77777777" w:rsidTr="0057633F">
        <w:tc>
          <w:tcPr>
            <w:tcW w:w="1952" w:type="dxa"/>
            <w:vAlign w:val="center"/>
          </w:tcPr>
          <w:p w14:paraId="187F0703" w14:textId="77777777" w:rsidR="009D4550" w:rsidRPr="00275290" w:rsidRDefault="009D4550" w:rsidP="009D4550">
            <w:pPr>
              <w:rPr>
                <w:rFonts w:cs="Arial"/>
                <w:lang w:val="fr-FR"/>
              </w:rPr>
            </w:pPr>
            <w:r w:rsidRPr="00275290">
              <w:rPr>
                <w:rFonts w:cs="Arial"/>
                <w:lang w:val="fr-FR"/>
              </w:rPr>
              <w:t>M&amp;L</w:t>
            </w:r>
          </w:p>
        </w:tc>
        <w:tc>
          <w:tcPr>
            <w:tcW w:w="7817" w:type="dxa"/>
            <w:gridSpan w:val="4"/>
            <w:vAlign w:val="center"/>
          </w:tcPr>
          <w:p w14:paraId="5C3CBADB" w14:textId="77777777" w:rsidR="009D4550" w:rsidRPr="00275290" w:rsidRDefault="009D4550" w:rsidP="009D4550">
            <w:pPr>
              <w:rPr>
                <w:rFonts w:cs="Arial"/>
                <w:lang w:val="fr-FR"/>
              </w:rPr>
            </w:pPr>
            <w:r w:rsidRPr="00275290">
              <w:rPr>
                <w:rFonts w:cs="Arial"/>
                <w:lang w:val="fr-FR"/>
              </w:rPr>
              <w:t xml:space="preserve">Included in  the model </w:t>
            </w:r>
          </w:p>
        </w:tc>
      </w:tr>
      <w:tr w:rsidR="009D4550" w:rsidRPr="00275290" w14:paraId="02CE3FC5" w14:textId="77777777" w:rsidTr="0057633F">
        <w:tc>
          <w:tcPr>
            <w:tcW w:w="1952" w:type="dxa"/>
            <w:vMerge w:val="restart"/>
            <w:vAlign w:val="center"/>
          </w:tcPr>
          <w:p w14:paraId="4ADE4F2A" w14:textId="77777777" w:rsidR="009D4550" w:rsidRPr="00275290" w:rsidRDefault="009D4550" w:rsidP="009D4550">
            <w:pPr>
              <w:rPr>
                <w:rFonts w:cs="Arial"/>
                <w:lang w:val="en-US"/>
              </w:rPr>
            </w:pPr>
            <w:r w:rsidRPr="00275290">
              <w:rPr>
                <w:rFonts w:cs="Arial"/>
                <w:lang w:val="en-US"/>
              </w:rPr>
              <w:t>Product application phase</w:t>
            </w:r>
          </w:p>
        </w:tc>
        <w:tc>
          <w:tcPr>
            <w:tcW w:w="1972" w:type="dxa"/>
            <w:vAlign w:val="center"/>
          </w:tcPr>
          <w:p w14:paraId="4D8FD493" w14:textId="77777777" w:rsidR="009D4550" w:rsidRPr="00275290" w:rsidRDefault="009D4550" w:rsidP="009D4550">
            <w:pPr>
              <w:rPr>
                <w:rFonts w:cs="Arial"/>
                <w:lang w:val="fr-FR"/>
              </w:rPr>
            </w:pPr>
            <w:r w:rsidRPr="00275290">
              <w:rPr>
                <w:rFonts w:cs="Arial"/>
                <w:lang w:val="fr-FR"/>
              </w:rPr>
              <w:t>Cyperméthrine</w:t>
            </w:r>
          </w:p>
        </w:tc>
        <w:tc>
          <w:tcPr>
            <w:tcW w:w="1951" w:type="dxa"/>
            <w:vAlign w:val="center"/>
          </w:tcPr>
          <w:p w14:paraId="21DAEED6" w14:textId="13BC71E2" w:rsidR="009D4550" w:rsidRPr="00341D6C" w:rsidRDefault="00341D6C" w:rsidP="00341D6C">
            <w:pPr>
              <w:rPr>
                <w:rFonts w:cs="Arial"/>
                <w:color w:val="000000"/>
              </w:rPr>
            </w:pPr>
            <w:r w:rsidRPr="000E1EAD">
              <w:rPr>
                <w:rFonts w:cs="Arial"/>
                <w:color w:val="000000"/>
              </w:rPr>
              <w:t>1,03E-03</w:t>
            </w:r>
          </w:p>
        </w:tc>
        <w:tc>
          <w:tcPr>
            <w:tcW w:w="1947" w:type="dxa"/>
            <w:vAlign w:val="center"/>
          </w:tcPr>
          <w:p w14:paraId="67093CA4" w14:textId="3F699F54" w:rsidR="009D4550" w:rsidRPr="00341D6C" w:rsidRDefault="00341D6C" w:rsidP="00341D6C">
            <w:pPr>
              <w:rPr>
                <w:rFonts w:cs="Arial"/>
                <w:color w:val="000000"/>
              </w:rPr>
            </w:pPr>
            <w:r w:rsidRPr="000E1EAD">
              <w:rPr>
                <w:rFonts w:cs="Arial"/>
                <w:color w:val="000000"/>
              </w:rPr>
              <w:t>4,56E-02</w:t>
            </w:r>
          </w:p>
        </w:tc>
        <w:tc>
          <w:tcPr>
            <w:tcW w:w="1947" w:type="dxa"/>
            <w:vAlign w:val="center"/>
          </w:tcPr>
          <w:p w14:paraId="6868428E" w14:textId="52122425" w:rsidR="009D4550" w:rsidRPr="00341D6C" w:rsidRDefault="00341D6C" w:rsidP="00341D6C">
            <w:pPr>
              <w:rPr>
                <w:rFonts w:cs="Arial"/>
                <w:color w:val="000000"/>
              </w:rPr>
            </w:pPr>
            <w:r w:rsidRPr="000E1EAD">
              <w:rPr>
                <w:rFonts w:cs="Arial"/>
                <w:color w:val="000000"/>
              </w:rPr>
              <w:t>4,67E-02</w:t>
            </w:r>
          </w:p>
        </w:tc>
      </w:tr>
      <w:tr w:rsidR="009D4550" w:rsidRPr="00275290" w14:paraId="26B17F0E" w14:textId="77777777" w:rsidTr="0057633F">
        <w:tc>
          <w:tcPr>
            <w:tcW w:w="1952" w:type="dxa"/>
            <w:vMerge/>
            <w:vAlign w:val="center"/>
          </w:tcPr>
          <w:p w14:paraId="3D71178C" w14:textId="77777777" w:rsidR="009D4550" w:rsidRPr="00275290" w:rsidRDefault="009D4550" w:rsidP="009D4550">
            <w:pPr>
              <w:rPr>
                <w:rFonts w:cs="Arial"/>
                <w:lang w:val="en-US"/>
              </w:rPr>
            </w:pPr>
          </w:p>
        </w:tc>
        <w:tc>
          <w:tcPr>
            <w:tcW w:w="1972" w:type="dxa"/>
            <w:vAlign w:val="center"/>
          </w:tcPr>
          <w:p w14:paraId="36A12B6E" w14:textId="77777777" w:rsidR="009D4550" w:rsidRPr="00275290" w:rsidRDefault="009D4550" w:rsidP="009D4550">
            <w:pPr>
              <w:rPr>
                <w:rFonts w:cs="Arial"/>
                <w:lang w:val="en-US"/>
              </w:rPr>
            </w:pPr>
            <w:r w:rsidRPr="00275290">
              <w:rPr>
                <w:rFonts w:cs="Arial"/>
                <w:lang w:val="en-US"/>
              </w:rPr>
              <w:t>Propiconazole</w:t>
            </w:r>
          </w:p>
        </w:tc>
        <w:tc>
          <w:tcPr>
            <w:tcW w:w="1951" w:type="dxa"/>
            <w:vAlign w:val="center"/>
          </w:tcPr>
          <w:p w14:paraId="600BF612" w14:textId="1D0175FC" w:rsidR="009D4550" w:rsidRPr="00341D6C" w:rsidRDefault="00341D6C" w:rsidP="00341D6C">
            <w:pPr>
              <w:rPr>
                <w:rFonts w:cs="Arial"/>
                <w:color w:val="000000"/>
              </w:rPr>
            </w:pPr>
            <w:r w:rsidRPr="000E1EAD">
              <w:rPr>
                <w:rFonts w:cs="Arial"/>
                <w:color w:val="000000"/>
              </w:rPr>
              <w:t>2,05E-03</w:t>
            </w:r>
          </w:p>
        </w:tc>
        <w:tc>
          <w:tcPr>
            <w:tcW w:w="1947" w:type="dxa"/>
            <w:vAlign w:val="center"/>
          </w:tcPr>
          <w:p w14:paraId="45EC0BF2" w14:textId="5C181684" w:rsidR="009D4550" w:rsidRPr="00341D6C" w:rsidRDefault="00341D6C" w:rsidP="00341D6C">
            <w:pPr>
              <w:rPr>
                <w:rFonts w:cs="Arial"/>
                <w:color w:val="000000"/>
              </w:rPr>
            </w:pPr>
            <w:r w:rsidRPr="000E1EAD">
              <w:rPr>
                <w:rFonts w:cs="Arial"/>
                <w:color w:val="000000"/>
              </w:rPr>
              <w:t>6,57E-02</w:t>
            </w:r>
          </w:p>
        </w:tc>
        <w:tc>
          <w:tcPr>
            <w:tcW w:w="1947" w:type="dxa"/>
            <w:vAlign w:val="center"/>
          </w:tcPr>
          <w:p w14:paraId="0B9322FA" w14:textId="2324BB38" w:rsidR="009D4550" w:rsidRPr="00341D6C" w:rsidRDefault="00341D6C" w:rsidP="00341D6C">
            <w:pPr>
              <w:rPr>
                <w:rFonts w:cs="Arial"/>
                <w:color w:val="000000"/>
              </w:rPr>
            </w:pPr>
            <w:r w:rsidRPr="000E1EAD">
              <w:rPr>
                <w:rFonts w:cs="Arial"/>
                <w:color w:val="000000"/>
              </w:rPr>
              <w:t>6,78E-02</w:t>
            </w:r>
          </w:p>
        </w:tc>
      </w:tr>
      <w:tr w:rsidR="009D4550" w:rsidRPr="00275290" w14:paraId="10E7254B" w14:textId="77777777" w:rsidTr="0057633F">
        <w:tc>
          <w:tcPr>
            <w:tcW w:w="1952" w:type="dxa"/>
            <w:vMerge/>
            <w:vAlign w:val="center"/>
          </w:tcPr>
          <w:p w14:paraId="0263F257" w14:textId="77777777" w:rsidR="009D4550" w:rsidRPr="00275290" w:rsidRDefault="009D4550" w:rsidP="009D4550">
            <w:pPr>
              <w:rPr>
                <w:rFonts w:cs="Arial"/>
                <w:lang w:val="en-US"/>
              </w:rPr>
            </w:pPr>
          </w:p>
        </w:tc>
        <w:tc>
          <w:tcPr>
            <w:tcW w:w="1972" w:type="dxa"/>
            <w:vAlign w:val="center"/>
          </w:tcPr>
          <w:p w14:paraId="4F549433" w14:textId="77777777" w:rsidR="009D4550" w:rsidRPr="00275290" w:rsidRDefault="009D4550" w:rsidP="009D4550">
            <w:pPr>
              <w:rPr>
                <w:rFonts w:cs="Arial"/>
                <w:lang w:val="en-US"/>
              </w:rPr>
            </w:pPr>
            <w:r w:rsidRPr="00275290">
              <w:rPr>
                <w:rFonts w:cs="Arial"/>
                <w:lang w:val="en-US"/>
              </w:rPr>
              <w:t xml:space="preserve">Tébuconazole </w:t>
            </w:r>
          </w:p>
        </w:tc>
        <w:tc>
          <w:tcPr>
            <w:tcW w:w="1951" w:type="dxa"/>
            <w:vAlign w:val="center"/>
          </w:tcPr>
          <w:p w14:paraId="7AC642E4" w14:textId="532F1115" w:rsidR="009D4550" w:rsidRPr="00341D6C" w:rsidRDefault="00341D6C" w:rsidP="00341D6C">
            <w:pPr>
              <w:rPr>
                <w:rFonts w:cs="Arial"/>
                <w:color w:val="000000"/>
              </w:rPr>
            </w:pPr>
            <w:r w:rsidRPr="000E1EAD">
              <w:rPr>
                <w:rFonts w:cs="Arial"/>
                <w:color w:val="000000"/>
              </w:rPr>
              <w:t>6,41E-04</w:t>
            </w:r>
          </w:p>
        </w:tc>
        <w:tc>
          <w:tcPr>
            <w:tcW w:w="1947" w:type="dxa"/>
            <w:vAlign w:val="center"/>
          </w:tcPr>
          <w:p w14:paraId="230117EC" w14:textId="4FAF463E" w:rsidR="009D4550" w:rsidRPr="00341D6C" w:rsidRDefault="00341D6C" w:rsidP="00341D6C">
            <w:pPr>
              <w:rPr>
                <w:rFonts w:cs="Arial"/>
                <w:color w:val="000000"/>
              </w:rPr>
            </w:pPr>
            <w:r w:rsidRPr="000E1EAD">
              <w:rPr>
                <w:rFonts w:cs="Arial"/>
                <w:color w:val="000000"/>
              </w:rPr>
              <w:t>2,45E-02</w:t>
            </w:r>
          </w:p>
        </w:tc>
        <w:tc>
          <w:tcPr>
            <w:tcW w:w="1947" w:type="dxa"/>
            <w:vAlign w:val="center"/>
          </w:tcPr>
          <w:p w14:paraId="7BFF6C35" w14:textId="12269CC8" w:rsidR="009D4550" w:rsidRPr="00341D6C" w:rsidRDefault="00341D6C" w:rsidP="00341D6C">
            <w:pPr>
              <w:rPr>
                <w:rFonts w:cs="Arial"/>
                <w:color w:val="000000"/>
              </w:rPr>
            </w:pPr>
            <w:r w:rsidRPr="000E1EAD">
              <w:rPr>
                <w:rFonts w:cs="Arial"/>
                <w:color w:val="000000"/>
              </w:rPr>
              <w:t>2,51E-02</w:t>
            </w:r>
          </w:p>
        </w:tc>
      </w:tr>
      <w:tr w:rsidR="009D4550" w:rsidRPr="00275290" w14:paraId="2A153DA6" w14:textId="77777777" w:rsidTr="0057633F">
        <w:tc>
          <w:tcPr>
            <w:tcW w:w="1952" w:type="dxa"/>
            <w:vMerge/>
            <w:vAlign w:val="center"/>
          </w:tcPr>
          <w:p w14:paraId="0E8E616D" w14:textId="77777777" w:rsidR="009D4550" w:rsidRPr="00275290" w:rsidRDefault="009D4550" w:rsidP="009D4550">
            <w:pPr>
              <w:rPr>
                <w:rFonts w:cs="Arial"/>
                <w:lang w:val="en-US"/>
              </w:rPr>
            </w:pPr>
          </w:p>
        </w:tc>
        <w:tc>
          <w:tcPr>
            <w:tcW w:w="1972" w:type="dxa"/>
            <w:vAlign w:val="center"/>
          </w:tcPr>
          <w:p w14:paraId="073C4866" w14:textId="77777777" w:rsidR="009D4550" w:rsidRPr="00275290" w:rsidRDefault="009D4550" w:rsidP="009D4550">
            <w:pPr>
              <w:rPr>
                <w:rFonts w:cs="Arial"/>
                <w:lang w:val="en-US"/>
              </w:rPr>
            </w:pPr>
            <w:r w:rsidRPr="00275290">
              <w:rPr>
                <w:rFonts w:cs="Arial"/>
                <w:lang w:val="en-US"/>
              </w:rPr>
              <w:t>IPBC</w:t>
            </w:r>
          </w:p>
        </w:tc>
        <w:tc>
          <w:tcPr>
            <w:tcW w:w="1951" w:type="dxa"/>
            <w:vAlign w:val="center"/>
          </w:tcPr>
          <w:p w14:paraId="2EB23491" w14:textId="6E59597A" w:rsidR="009D4550" w:rsidRPr="00341D6C" w:rsidRDefault="00341D6C" w:rsidP="00341D6C">
            <w:pPr>
              <w:rPr>
                <w:rFonts w:cs="Arial"/>
                <w:color w:val="000000"/>
              </w:rPr>
            </w:pPr>
            <w:r w:rsidRPr="000E1EAD">
              <w:rPr>
                <w:rFonts w:cs="Arial"/>
                <w:color w:val="000000"/>
              </w:rPr>
              <w:t>6,41E-04</w:t>
            </w:r>
          </w:p>
        </w:tc>
        <w:tc>
          <w:tcPr>
            <w:tcW w:w="1947" w:type="dxa"/>
            <w:vAlign w:val="center"/>
          </w:tcPr>
          <w:p w14:paraId="05976B68" w14:textId="74CA9FB1" w:rsidR="009D4550" w:rsidRPr="00341D6C" w:rsidRDefault="00341D6C" w:rsidP="00341D6C">
            <w:pPr>
              <w:rPr>
                <w:rFonts w:cs="Arial"/>
                <w:color w:val="000000"/>
              </w:rPr>
            </w:pPr>
            <w:r w:rsidRPr="000E1EAD">
              <w:rPr>
                <w:rFonts w:cs="Arial"/>
                <w:color w:val="000000"/>
              </w:rPr>
              <w:t>5,93E-02</w:t>
            </w:r>
          </w:p>
        </w:tc>
        <w:tc>
          <w:tcPr>
            <w:tcW w:w="1947" w:type="dxa"/>
            <w:vAlign w:val="center"/>
          </w:tcPr>
          <w:p w14:paraId="1D002842" w14:textId="1C5D4B9B" w:rsidR="009D4550" w:rsidRPr="00341D6C" w:rsidRDefault="00341D6C" w:rsidP="00341D6C">
            <w:pPr>
              <w:rPr>
                <w:rFonts w:cs="Arial"/>
                <w:color w:val="000000"/>
              </w:rPr>
            </w:pPr>
            <w:r w:rsidRPr="000E1EAD">
              <w:rPr>
                <w:rFonts w:cs="Arial"/>
                <w:color w:val="000000"/>
              </w:rPr>
              <w:t>5,99E-02</w:t>
            </w:r>
          </w:p>
        </w:tc>
      </w:tr>
      <w:tr w:rsidR="0057633F" w:rsidRPr="00275290" w14:paraId="7A5FD8E4" w14:textId="77777777" w:rsidTr="0057633F">
        <w:tc>
          <w:tcPr>
            <w:tcW w:w="1952" w:type="dxa"/>
            <w:vMerge w:val="restart"/>
            <w:vAlign w:val="center"/>
          </w:tcPr>
          <w:p w14:paraId="0BEAE2B3" w14:textId="77777777" w:rsidR="0057633F" w:rsidRPr="00275290" w:rsidRDefault="0057633F" w:rsidP="0057633F">
            <w:pPr>
              <w:rPr>
                <w:rFonts w:cs="Arial"/>
                <w:lang w:val="en-US"/>
              </w:rPr>
            </w:pPr>
            <w:r w:rsidRPr="00275290">
              <w:rPr>
                <w:rFonts w:cs="Arial"/>
                <w:lang w:val="en-US"/>
              </w:rPr>
              <w:t xml:space="preserve">Cleaning of the spray equipment </w:t>
            </w:r>
          </w:p>
        </w:tc>
        <w:tc>
          <w:tcPr>
            <w:tcW w:w="1972" w:type="dxa"/>
            <w:vAlign w:val="center"/>
          </w:tcPr>
          <w:p w14:paraId="4D0794E4" w14:textId="77777777" w:rsidR="0057633F" w:rsidRPr="00275290" w:rsidRDefault="0057633F" w:rsidP="0057633F">
            <w:pPr>
              <w:rPr>
                <w:rFonts w:cs="Arial"/>
                <w:lang w:val="en-US"/>
              </w:rPr>
            </w:pPr>
            <w:r w:rsidRPr="00275290">
              <w:rPr>
                <w:rFonts w:cs="Arial"/>
                <w:lang w:val="en-US"/>
              </w:rPr>
              <w:t>Cyperméthrine</w:t>
            </w:r>
          </w:p>
        </w:tc>
        <w:tc>
          <w:tcPr>
            <w:tcW w:w="1951" w:type="dxa"/>
            <w:vAlign w:val="center"/>
          </w:tcPr>
          <w:p w14:paraId="36E7BA95" w14:textId="77777777" w:rsidR="0057633F" w:rsidRPr="00275290" w:rsidRDefault="0057633F" w:rsidP="0057633F">
            <w:pPr>
              <w:rPr>
                <w:rFonts w:cs="Arial"/>
                <w:lang w:val="en-US"/>
              </w:rPr>
            </w:pPr>
            <w:r w:rsidRPr="00275290">
              <w:rPr>
                <w:rFonts w:cs="Arial"/>
                <w:lang w:val="en-US"/>
              </w:rPr>
              <w:t>-</w:t>
            </w:r>
          </w:p>
        </w:tc>
        <w:tc>
          <w:tcPr>
            <w:tcW w:w="1947" w:type="dxa"/>
            <w:vAlign w:val="center"/>
          </w:tcPr>
          <w:p w14:paraId="72EDB21A" w14:textId="77777777" w:rsidR="0057633F" w:rsidRPr="00275290" w:rsidRDefault="0057633F" w:rsidP="0057633F">
            <w:pPr>
              <w:rPr>
                <w:rFonts w:cs="Arial"/>
                <w:color w:val="000000"/>
              </w:rPr>
            </w:pPr>
            <w:r w:rsidRPr="00275290">
              <w:rPr>
                <w:rFonts w:cs="Arial"/>
                <w:color w:val="000000"/>
              </w:rPr>
              <w:t>2,65E-03</w:t>
            </w:r>
          </w:p>
        </w:tc>
        <w:tc>
          <w:tcPr>
            <w:tcW w:w="1947" w:type="dxa"/>
            <w:vAlign w:val="center"/>
          </w:tcPr>
          <w:p w14:paraId="23D696B1" w14:textId="315EA2B0" w:rsidR="0057633F" w:rsidRPr="00275290" w:rsidRDefault="0057633F" w:rsidP="0057633F">
            <w:pPr>
              <w:rPr>
                <w:rFonts w:cs="Arial"/>
                <w:color w:val="000000"/>
              </w:rPr>
            </w:pPr>
            <w:r w:rsidRPr="00275290">
              <w:rPr>
                <w:rFonts w:cs="Arial"/>
                <w:color w:val="000000"/>
              </w:rPr>
              <w:t>2,65E-03</w:t>
            </w:r>
          </w:p>
        </w:tc>
      </w:tr>
      <w:tr w:rsidR="0057633F" w:rsidRPr="00275290" w14:paraId="5141511A" w14:textId="77777777" w:rsidTr="0057633F">
        <w:tc>
          <w:tcPr>
            <w:tcW w:w="1952" w:type="dxa"/>
            <w:vMerge/>
            <w:vAlign w:val="center"/>
          </w:tcPr>
          <w:p w14:paraId="4A10A5CD" w14:textId="77777777" w:rsidR="0057633F" w:rsidRPr="00275290" w:rsidRDefault="0057633F" w:rsidP="0057633F">
            <w:pPr>
              <w:rPr>
                <w:rFonts w:cs="Arial"/>
                <w:lang w:val="en-US"/>
              </w:rPr>
            </w:pPr>
          </w:p>
        </w:tc>
        <w:tc>
          <w:tcPr>
            <w:tcW w:w="1972" w:type="dxa"/>
            <w:vAlign w:val="center"/>
          </w:tcPr>
          <w:p w14:paraId="7BB596CA" w14:textId="77777777" w:rsidR="0057633F" w:rsidRPr="00275290" w:rsidRDefault="0057633F" w:rsidP="0057633F">
            <w:pPr>
              <w:rPr>
                <w:rFonts w:cs="Arial"/>
                <w:lang w:val="en-US"/>
              </w:rPr>
            </w:pPr>
            <w:r w:rsidRPr="00275290">
              <w:rPr>
                <w:rFonts w:cs="Arial"/>
                <w:lang w:val="en-US"/>
              </w:rPr>
              <w:t>Propiconazole</w:t>
            </w:r>
          </w:p>
        </w:tc>
        <w:tc>
          <w:tcPr>
            <w:tcW w:w="1951" w:type="dxa"/>
            <w:vAlign w:val="center"/>
          </w:tcPr>
          <w:p w14:paraId="0066C41D" w14:textId="77777777" w:rsidR="0057633F" w:rsidRPr="00275290" w:rsidRDefault="0057633F" w:rsidP="0057633F">
            <w:pPr>
              <w:rPr>
                <w:rFonts w:cs="Arial"/>
                <w:lang w:val="en-US"/>
              </w:rPr>
            </w:pPr>
            <w:r w:rsidRPr="00275290">
              <w:rPr>
                <w:rFonts w:cs="Arial"/>
                <w:lang w:val="en-US"/>
              </w:rPr>
              <w:t>-</w:t>
            </w:r>
          </w:p>
        </w:tc>
        <w:tc>
          <w:tcPr>
            <w:tcW w:w="1947" w:type="dxa"/>
            <w:vAlign w:val="center"/>
          </w:tcPr>
          <w:p w14:paraId="017E426A" w14:textId="77777777" w:rsidR="0057633F" w:rsidRPr="00275290" w:rsidRDefault="0057633F" w:rsidP="0057633F">
            <w:pPr>
              <w:rPr>
                <w:rFonts w:cs="Arial"/>
                <w:color w:val="000000"/>
              </w:rPr>
            </w:pPr>
            <w:r w:rsidRPr="00275290">
              <w:rPr>
                <w:rFonts w:cs="Arial"/>
                <w:color w:val="000000"/>
              </w:rPr>
              <w:t>3,82E-03</w:t>
            </w:r>
          </w:p>
        </w:tc>
        <w:tc>
          <w:tcPr>
            <w:tcW w:w="1947" w:type="dxa"/>
            <w:vAlign w:val="center"/>
          </w:tcPr>
          <w:p w14:paraId="63C6809F" w14:textId="77584D12" w:rsidR="0057633F" w:rsidRPr="00275290" w:rsidRDefault="0057633F" w:rsidP="0057633F">
            <w:pPr>
              <w:rPr>
                <w:rFonts w:cs="Arial"/>
                <w:color w:val="000000"/>
              </w:rPr>
            </w:pPr>
            <w:r w:rsidRPr="00275290">
              <w:rPr>
                <w:rFonts w:cs="Arial"/>
                <w:color w:val="000000"/>
              </w:rPr>
              <w:t>3,82E-03</w:t>
            </w:r>
          </w:p>
        </w:tc>
      </w:tr>
      <w:tr w:rsidR="0057633F" w:rsidRPr="00275290" w14:paraId="7B623B6C" w14:textId="77777777" w:rsidTr="0057633F">
        <w:tc>
          <w:tcPr>
            <w:tcW w:w="1952" w:type="dxa"/>
            <w:vMerge/>
            <w:vAlign w:val="center"/>
          </w:tcPr>
          <w:p w14:paraId="51D142D6" w14:textId="77777777" w:rsidR="0057633F" w:rsidRPr="00275290" w:rsidRDefault="0057633F" w:rsidP="0057633F">
            <w:pPr>
              <w:rPr>
                <w:rFonts w:cs="Arial"/>
                <w:lang w:val="fr-FR"/>
              </w:rPr>
            </w:pPr>
          </w:p>
        </w:tc>
        <w:tc>
          <w:tcPr>
            <w:tcW w:w="1972" w:type="dxa"/>
            <w:vAlign w:val="center"/>
          </w:tcPr>
          <w:p w14:paraId="63FDF743" w14:textId="77777777" w:rsidR="0057633F" w:rsidRPr="00275290" w:rsidRDefault="0057633F" w:rsidP="0057633F">
            <w:pPr>
              <w:rPr>
                <w:rFonts w:cs="Arial"/>
                <w:lang w:val="fr-FR"/>
              </w:rPr>
            </w:pPr>
            <w:r w:rsidRPr="00275290">
              <w:rPr>
                <w:rFonts w:cs="Arial"/>
                <w:lang w:val="fr-FR"/>
              </w:rPr>
              <w:t>Tébuconazole</w:t>
            </w:r>
          </w:p>
        </w:tc>
        <w:tc>
          <w:tcPr>
            <w:tcW w:w="1951" w:type="dxa"/>
            <w:vAlign w:val="center"/>
          </w:tcPr>
          <w:p w14:paraId="2103B848" w14:textId="77777777" w:rsidR="0057633F" w:rsidRPr="00275290" w:rsidRDefault="0057633F" w:rsidP="0057633F">
            <w:pPr>
              <w:rPr>
                <w:rFonts w:cs="Arial"/>
                <w:lang w:val="en-US"/>
              </w:rPr>
            </w:pPr>
            <w:r w:rsidRPr="00275290">
              <w:rPr>
                <w:rFonts w:cs="Arial"/>
                <w:lang w:val="en-US"/>
              </w:rPr>
              <w:t>-</w:t>
            </w:r>
          </w:p>
        </w:tc>
        <w:tc>
          <w:tcPr>
            <w:tcW w:w="1947" w:type="dxa"/>
            <w:vAlign w:val="center"/>
          </w:tcPr>
          <w:p w14:paraId="26C16E0F" w14:textId="77777777" w:rsidR="0057633F" w:rsidRPr="00275290" w:rsidRDefault="0057633F" w:rsidP="0057633F">
            <w:pPr>
              <w:rPr>
                <w:rFonts w:cs="Arial"/>
                <w:color w:val="000000"/>
              </w:rPr>
            </w:pPr>
            <w:r w:rsidRPr="00275290">
              <w:rPr>
                <w:rFonts w:cs="Arial"/>
                <w:color w:val="000000"/>
              </w:rPr>
              <w:t>1,42E-03</w:t>
            </w:r>
          </w:p>
        </w:tc>
        <w:tc>
          <w:tcPr>
            <w:tcW w:w="1947" w:type="dxa"/>
            <w:vAlign w:val="center"/>
          </w:tcPr>
          <w:p w14:paraId="65A80F5C" w14:textId="7204F3A4" w:rsidR="0057633F" w:rsidRPr="00275290" w:rsidRDefault="0057633F" w:rsidP="0057633F">
            <w:pPr>
              <w:rPr>
                <w:rFonts w:cs="Arial"/>
                <w:color w:val="000000"/>
              </w:rPr>
            </w:pPr>
            <w:r w:rsidRPr="00275290">
              <w:rPr>
                <w:rFonts w:cs="Arial"/>
                <w:color w:val="000000"/>
              </w:rPr>
              <w:t>1,42E-03</w:t>
            </w:r>
          </w:p>
        </w:tc>
      </w:tr>
      <w:tr w:rsidR="0057633F" w:rsidRPr="00275290" w14:paraId="23339C93" w14:textId="77777777" w:rsidTr="0057633F">
        <w:tc>
          <w:tcPr>
            <w:tcW w:w="1952" w:type="dxa"/>
            <w:vMerge/>
            <w:vAlign w:val="center"/>
          </w:tcPr>
          <w:p w14:paraId="028E99DF" w14:textId="77777777" w:rsidR="0057633F" w:rsidRPr="00275290" w:rsidRDefault="0057633F" w:rsidP="0057633F">
            <w:pPr>
              <w:rPr>
                <w:rFonts w:cs="Arial"/>
                <w:lang w:val="fr-FR"/>
              </w:rPr>
            </w:pPr>
          </w:p>
        </w:tc>
        <w:tc>
          <w:tcPr>
            <w:tcW w:w="1972" w:type="dxa"/>
            <w:vAlign w:val="center"/>
          </w:tcPr>
          <w:p w14:paraId="33B1A866" w14:textId="77777777" w:rsidR="0057633F" w:rsidRPr="00275290" w:rsidRDefault="0057633F" w:rsidP="0057633F">
            <w:pPr>
              <w:rPr>
                <w:rFonts w:cs="Arial"/>
                <w:lang w:val="fr-FR"/>
              </w:rPr>
            </w:pPr>
            <w:r w:rsidRPr="00275290">
              <w:rPr>
                <w:rFonts w:cs="Arial"/>
                <w:lang w:val="fr-FR"/>
              </w:rPr>
              <w:t>IPBC</w:t>
            </w:r>
          </w:p>
        </w:tc>
        <w:tc>
          <w:tcPr>
            <w:tcW w:w="1951" w:type="dxa"/>
            <w:vAlign w:val="center"/>
          </w:tcPr>
          <w:p w14:paraId="4196273A" w14:textId="77777777" w:rsidR="0057633F" w:rsidRPr="00275290" w:rsidRDefault="0057633F" w:rsidP="0057633F">
            <w:pPr>
              <w:rPr>
                <w:rFonts w:cs="Arial"/>
                <w:lang w:val="en-US"/>
              </w:rPr>
            </w:pPr>
            <w:r w:rsidRPr="00275290">
              <w:rPr>
                <w:rFonts w:cs="Arial"/>
                <w:lang w:val="en-US"/>
              </w:rPr>
              <w:t>-</w:t>
            </w:r>
          </w:p>
        </w:tc>
        <w:tc>
          <w:tcPr>
            <w:tcW w:w="1947" w:type="dxa"/>
            <w:vAlign w:val="center"/>
          </w:tcPr>
          <w:p w14:paraId="386BA234" w14:textId="77777777" w:rsidR="0057633F" w:rsidRPr="00275290" w:rsidRDefault="0057633F" w:rsidP="0057633F">
            <w:pPr>
              <w:rPr>
                <w:rFonts w:cs="Arial"/>
                <w:color w:val="000000"/>
              </w:rPr>
            </w:pPr>
            <w:r w:rsidRPr="00275290">
              <w:rPr>
                <w:rFonts w:cs="Arial"/>
                <w:color w:val="000000"/>
              </w:rPr>
              <w:t>3,45E-03</w:t>
            </w:r>
          </w:p>
        </w:tc>
        <w:tc>
          <w:tcPr>
            <w:tcW w:w="1947" w:type="dxa"/>
            <w:vAlign w:val="center"/>
          </w:tcPr>
          <w:p w14:paraId="143A7F55" w14:textId="171B0A57" w:rsidR="0057633F" w:rsidRPr="00275290" w:rsidRDefault="0057633F" w:rsidP="0057633F">
            <w:pPr>
              <w:rPr>
                <w:rFonts w:cs="Arial"/>
                <w:color w:val="000000"/>
              </w:rPr>
            </w:pPr>
            <w:r w:rsidRPr="00275290">
              <w:rPr>
                <w:rFonts w:cs="Arial"/>
                <w:color w:val="000000"/>
              </w:rPr>
              <w:t>3,45E-03</w:t>
            </w:r>
          </w:p>
        </w:tc>
      </w:tr>
      <w:tr w:rsidR="009D4550" w:rsidRPr="00275290" w14:paraId="38D5AF35" w14:textId="77777777" w:rsidTr="0057633F">
        <w:tc>
          <w:tcPr>
            <w:tcW w:w="1952" w:type="dxa"/>
            <w:vMerge w:val="restart"/>
            <w:shd w:val="clear" w:color="auto" w:fill="C6D9F1"/>
            <w:vAlign w:val="center"/>
          </w:tcPr>
          <w:p w14:paraId="0E0A6BD4" w14:textId="77777777" w:rsidR="009D4550" w:rsidRPr="00275290" w:rsidRDefault="009D4550" w:rsidP="009D4550">
            <w:pPr>
              <w:rPr>
                <w:rFonts w:cs="Arial"/>
                <w:lang w:val="fr-FR"/>
              </w:rPr>
            </w:pPr>
            <w:r w:rsidRPr="00275290">
              <w:rPr>
                <w:rFonts w:cs="Arial"/>
                <w:lang w:val="fr-FR"/>
              </w:rPr>
              <w:t>Appli + cleaning</w:t>
            </w:r>
          </w:p>
        </w:tc>
        <w:tc>
          <w:tcPr>
            <w:tcW w:w="1972" w:type="dxa"/>
            <w:shd w:val="clear" w:color="auto" w:fill="C6D9F1"/>
            <w:vAlign w:val="center"/>
          </w:tcPr>
          <w:p w14:paraId="40D74EE0" w14:textId="77777777" w:rsidR="009D4550" w:rsidRPr="00275290" w:rsidRDefault="009D4550" w:rsidP="009D4550">
            <w:pPr>
              <w:rPr>
                <w:rFonts w:cs="Arial"/>
                <w:lang w:val="fr-FR"/>
              </w:rPr>
            </w:pPr>
            <w:r w:rsidRPr="00275290">
              <w:rPr>
                <w:rFonts w:cs="Arial"/>
                <w:lang w:val="fr-FR"/>
              </w:rPr>
              <w:t>Cyperméthrine</w:t>
            </w:r>
          </w:p>
        </w:tc>
        <w:tc>
          <w:tcPr>
            <w:tcW w:w="1951" w:type="dxa"/>
            <w:shd w:val="clear" w:color="auto" w:fill="C6D9F1"/>
            <w:vAlign w:val="center"/>
          </w:tcPr>
          <w:p w14:paraId="1EF9BD52" w14:textId="77777777" w:rsidR="009D4550" w:rsidRPr="00275290" w:rsidRDefault="009D4550" w:rsidP="009D4550">
            <w:pPr>
              <w:rPr>
                <w:rFonts w:cs="Arial"/>
                <w:lang w:val="fr-FR"/>
              </w:rPr>
            </w:pPr>
          </w:p>
        </w:tc>
        <w:tc>
          <w:tcPr>
            <w:tcW w:w="1947" w:type="dxa"/>
            <w:shd w:val="clear" w:color="auto" w:fill="C6D9F1"/>
            <w:vAlign w:val="center"/>
          </w:tcPr>
          <w:p w14:paraId="6DE0B360" w14:textId="77777777" w:rsidR="009D4550" w:rsidRPr="00275290" w:rsidRDefault="009D4550" w:rsidP="009D4550">
            <w:pPr>
              <w:rPr>
                <w:rFonts w:cs="Arial"/>
                <w:lang w:val="fr-FR"/>
              </w:rPr>
            </w:pPr>
          </w:p>
        </w:tc>
        <w:tc>
          <w:tcPr>
            <w:tcW w:w="1947" w:type="dxa"/>
            <w:shd w:val="clear" w:color="auto" w:fill="C6D9F1"/>
            <w:vAlign w:val="center"/>
          </w:tcPr>
          <w:p w14:paraId="604E59BE" w14:textId="47318925" w:rsidR="009D4550" w:rsidRPr="000E1EAD" w:rsidRDefault="00341D6C"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4,93E-02</w:t>
            </w:r>
          </w:p>
        </w:tc>
      </w:tr>
      <w:tr w:rsidR="009D4550" w:rsidRPr="00275290" w14:paraId="3269460F" w14:textId="77777777" w:rsidTr="0057633F">
        <w:tc>
          <w:tcPr>
            <w:tcW w:w="1952" w:type="dxa"/>
            <w:vMerge/>
            <w:shd w:val="clear" w:color="auto" w:fill="C6D9F1"/>
            <w:vAlign w:val="center"/>
          </w:tcPr>
          <w:p w14:paraId="78AF4E48" w14:textId="77777777" w:rsidR="009D4550" w:rsidRPr="00275290" w:rsidRDefault="009D4550" w:rsidP="009D4550">
            <w:pPr>
              <w:rPr>
                <w:rFonts w:cs="Arial"/>
                <w:lang w:val="fr-FR"/>
              </w:rPr>
            </w:pPr>
          </w:p>
        </w:tc>
        <w:tc>
          <w:tcPr>
            <w:tcW w:w="1972" w:type="dxa"/>
            <w:shd w:val="clear" w:color="auto" w:fill="C6D9F1"/>
            <w:vAlign w:val="center"/>
          </w:tcPr>
          <w:p w14:paraId="785B0BAD" w14:textId="77777777" w:rsidR="009D4550" w:rsidRPr="00275290" w:rsidRDefault="009D4550" w:rsidP="009D4550">
            <w:pPr>
              <w:rPr>
                <w:rFonts w:cs="Arial"/>
                <w:lang w:val="fr-FR"/>
              </w:rPr>
            </w:pPr>
            <w:r w:rsidRPr="00275290">
              <w:rPr>
                <w:rFonts w:cs="Arial"/>
                <w:lang w:val="fr-FR"/>
              </w:rPr>
              <w:t>Propiconazole</w:t>
            </w:r>
          </w:p>
        </w:tc>
        <w:tc>
          <w:tcPr>
            <w:tcW w:w="1951" w:type="dxa"/>
            <w:shd w:val="clear" w:color="auto" w:fill="C6D9F1"/>
            <w:vAlign w:val="center"/>
          </w:tcPr>
          <w:p w14:paraId="57DBDEDD" w14:textId="77777777" w:rsidR="009D4550" w:rsidRPr="00275290" w:rsidRDefault="009D4550" w:rsidP="009D4550">
            <w:pPr>
              <w:rPr>
                <w:rFonts w:cs="Arial"/>
                <w:lang w:val="fr-FR"/>
              </w:rPr>
            </w:pPr>
          </w:p>
        </w:tc>
        <w:tc>
          <w:tcPr>
            <w:tcW w:w="1947" w:type="dxa"/>
            <w:shd w:val="clear" w:color="auto" w:fill="C6D9F1"/>
            <w:vAlign w:val="center"/>
          </w:tcPr>
          <w:p w14:paraId="2901973C" w14:textId="77777777" w:rsidR="009D4550" w:rsidRPr="00275290" w:rsidRDefault="009D4550" w:rsidP="009D4550">
            <w:pPr>
              <w:rPr>
                <w:rFonts w:cs="Arial"/>
                <w:lang w:val="fr-FR"/>
              </w:rPr>
            </w:pPr>
          </w:p>
        </w:tc>
        <w:tc>
          <w:tcPr>
            <w:tcW w:w="1947" w:type="dxa"/>
            <w:shd w:val="clear" w:color="auto" w:fill="C6D9F1"/>
            <w:vAlign w:val="center"/>
          </w:tcPr>
          <w:p w14:paraId="3D138F32" w14:textId="30E1ED43" w:rsidR="009D4550" w:rsidRPr="000E1EAD" w:rsidRDefault="00341D6C"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7,16E-02</w:t>
            </w:r>
          </w:p>
        </w:tc>
      </w:tr>
      <w:tr w:rsidR="009D4550" w:rsidRPr="00275290" w14:paraId="2D37A127" w14:textId="77777777" w:rsidTr="0057633F">
        <w:tc>
          <w:tcPr>
            <w:tcW w:w="1952" w:type="dxa"/>
            <w:vMerge/>
            <w:shd w:val="clear" w:color="auto" w:fill="C6D9F1"/>
            <w:vAlign w:val="center"/>
          </w:tcPr>
          <w:p w14:paraId="0BB17F93" w14:textId="77777777" w:rsidR="009D4550" w:rsidRPr="00275290" w:rsidRDefault="009D4550" w:rsidP="009D4550">
            <w:pPr>
              <w:rPr>
                <w:rFonts w:cs="Arial"/>
                <w:lang w:val="fr-FR"/>
              </w:rPr>
            </w:pPr>
          </w:p>
        </w:tc>
        <w:tc>
          <w:tcPr>
            <w:tcW w:w="1972" w:type="dxa"/>
            <w:shd w:val="clear" w:color="auto" w:fill="C6D9F1"/>
            <w:vAlign w:val="center"/>
          </w:tcPr>
          <w:p w14:paraId="3377E0E0" w14:textId="77777777" w:rsidR="009D4550" w:rsidRPr="00275290" w:rsidRDefault="009D4550" w:rsidP="009D4550">
            <w:pPr>
              <w:rPr>
                <w:rFonts w:cs="Arial"/>
                <w:lang w:val="fr-FR"/>
              </w:rPr>
            </w:pPr>
            <w:r w:rsidRPr="00275290">
              <w:rPr>
                <w:rFonts w:cs="Arial"/>
                <w:lang w:val="fr-FR"/>
              </w:rPr>
              <w:t>Tébuconazole</w:t>
            </w:r>
          </w:p>
        </w:tc>
        <w:tc>
          <w:tcPr>
            <w:tcW w:w="1951" w:type="dxa"/>
            <w:shd w:val="clear" w:color="auto" w:fill="C6D9F1"/>
            <w:vAlign w:val="center"/>
          </w:tcPr>
          <w:p w14:paraId="18FACD3D" w14:textId="77777777" w:rsidR="009D4550" w:rsidRPr="00275290" w:rsidRDefault="009D4550" w:rsidP="009D4550">
            <w:pPr>
              <w:rPr>
                <w:rFonts w:cs="Arial"/>
                <w:lang w:val="fr-FR"/>
              </w:rPr>
            </w:pPr>
          </w:p>
        </w:tc>
        <w:tc>
          <w:tcPr>
            <w:tcW w:w="1947" w:type="dxa"/>
            <w:shd w:val="clear" w:color="auto" w:fill="C6D9F1"/>
            <w:vAlign w:val="center"/>
          </w:tcPr>
          <w:p w14:paraId="68A06B29" w14:textId="77777777" w:rsidR="009D4550" w:rsidRPr="00275290" w:rsidRDefault="009D4550" w:rsidP="009D4550">
            <w:pPr>
              <w:rPr>
                <w:rFonts w:cs="Arial"/>
                <w:lang w:val="fr-FR"/>
              </w:rPr>
            </w:pPr>
          </w:p>
        </w:tc>
        <w:tc>
          <w:tcPr>
            <w:tcW w:w="1947" w:type="dxa"/>
            <w:shd w:val="clear" w:color="auto" w:fill="C6D9F1"/>
            <w:vAlign w:val="center"/>
          </w:tcPr>
          <w:p w14:paraId="6D3BE11A" w14:textId="6CEF1439" w:rsidR="009D4550" w:rsidRPr="000E1EAD" w:rsidRDefault="00341D6C"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2,66E-02</w:t>
            </w:r>
          </w:p>
        </w:tc>
      </w:tr>
      <w:tr w:rsidR="009D4550" w:rsidRPr="00275290" w14:paraId="3D6E0A46" w14:textId="77777777" w:rsidTr="0057633F">
        <w:tc>
          <w:tcPr>
            <w:tcW w:w="1952" w:type="dxa"/>
            <w:vMerge/>
            <w:shd w:val="clear" w:color="auto" w:fill="C6D9F1"/>
            <w:vAlign w:val="center"/>
          </w:tcPr>
          <w:p w14:paraId="4A2E0EA3" w14:textId="77777777" w:rsidR="009D4550" w:rsidRPr="00275290" w:rsidRDefault="009D4550" w:rsidP="009D4550">
            <w:pPr>
              <w:rPr>
                <w:rFonts w:cs="Arial"/>
                <w:lang w:val="fr-FR"/>
              </w:rPr>
            </w:pPr>
          </w:p>
        </w:tc>
        <w:tc>
          <w:tcPr>
            <w:tcW w:w="1972" w:type="dxa"/>
            <w:shd w:val="clear" w:color="auto" w:fill="C6D9F1"/>
            <w:vAlign w:val="center"/>
          </w:tcPr>
          <w:p w14:paraId="63F46944" w14:textId="77777777" w:rsidR="009D4550" w:rsidRPr="00275290" w:rsidRDefault="009D4550" w:rsidP="009D4550">
            <w:pPr>
              <w:rPr>
                <w:rFonts w:cs="Arial"/>
                <w:lang w:val="fr-FR"/>
              </w:rPr>
            </w:pPr>
            <w:r w:rsidRPr="00275290">
              <w:rPr>
                <w:rFonts w:cs="Arial"/>
                <w:lang w:val="fr-FR"/>
              </w:rPr>
              <w:t>IPBC</w:t>
            </w:r>
          </w:p>
        </w:tc>
        <w:tc>
          <w:tcPr>
            <w:tcW w:w="1951" w:type="dxa"/>
            <w:shd w:val="clear" w:color="auto" w:fill="C6D9F1"/>
            <w:vAlign w:val="center"/>
          </w:tcPr>
          <w:p w14:paraId="32773EAE" w14:textId="77777777" w:rsidR="009D4550" w:rsidRPr="00275290" w:rsidRDefault="009D4550" w:rsidP="009D4550">
            <w:pPr>
              <w:rPr>
                <w:rFonts w:cs="Arial"/>
                <w:lang w:val="fr-FR"/>
              </w:rPr>
            </w:pPr>
          </w:p>
        </w:tc>
        <w:tc>
          <w:tcPr>
            <w:tcW w:w="1947" w:type="dxa"/>
            <w:shd w:val="clear" w:color="auto" w:fill="C6D9F1"/>
            <w:vAlign w:val="center"/>
          </w:tcPr>
          <w:p w14:paraId="23AC5F0C" w14:textId="77777777" w:rsidR="009D4550" w:rsidRPr="00275290" w:rsidRDefault="009D4550" w:rsidP="009D4550">
            <w:pPr>
              <w:rPr>
                <w:rFonts w:cs="Arial"/>
                <w:lang w:val="fr-FR"/>
              </w:rPr>
            </w:pPr>
          </w:p>
        </w:tc>
        <w:tc>
          <w:tcPr>
            <w:tcW w:w="1947" w:type="dxa"/>
            <w:shd w:val="clear" w:color="auto" w:fill="C6D9F1"/>
            <w:vAlign w:val="center"/>
          </w:tcPr>
          <w:p w14:paraId="26C70DED" w14:textId="6B02F305" w:rsidR="009D4550" w:rsidRPr="000E1EAD" w:rsidRDefault="00341D6C"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6,33E-02</w:t>
            </w:r>
          </w:p>
        </w:tc>
      </w:tr>
    </w:tbl>
    <w:p w14:paraId="418CFCB7" w14:textId="77777777" w:rsidR="009D4550" w:rsidRPr="00275290" w:rsidRDefault="009D4550" w:rsidP="009D4550">
      <w:pPr>
        <w:pStyle w:val="BfRBBStandard"/>
        <w:rPr>
          <w:rFonts w:ascii="Verdana" w:eastAsia="Times New Roman" w:hAnsi="Verdana"/>
          <w:i/>
          <w:sz w:val="20"/>
          <w:szCs w:val="20"/>
          <w:lang w:val="fr-FR" w:eastAsia="sv-SE"/>
        </w:rPr>
      </w:pPr>
    </w:p>
    <w:p w14:paraId="58C7D7CA" w14:textId="77777777" w:rsidR="009D4550" w:rsidRPr="00275290" w:rsidRDefault="009D4550" w:rsidP="009D4550">
      <w:pPr>
        <w:pStyle w:val="BfRBBStandard"/>
        <w:rPr>
          <w:rFonts w:ascii="Verdana" w:eastAsia="Times New Roman" w:hAnsi="Verdana"/>
          <w:i/>
          <w:sz w:val="20"/>
          <w:szCs w:val="20"/>
          <w:lang w:val="fr-FR" w:eastAsia="sv-SE"/>
        </w:rPr>
      </w:pPr>
    </w:p>
    <w:p w14:paraId="05AE3C06"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B100F1">
        <w:rPr>
          <w:rFonts w:ascii="Verdana" w:eastAsia="Times New Roman" w:hAnsi="Verdana"/>
          <w:b/>
          <w:i/>
          <w:sz w:val="20"/>
          <w:szCs w:val="20"/>
          <w:u w:val="single"/>
          <w:lang w:val="en-GB" w:eastAsia="sv-SE"/>
        </w:rPr>
        <w:t>Spray application + injection</w:t>
      </w:r>
    </w:p>
    <w:p w14:paraId="08416B47" w14:textId="77777777" w:rsidR="009D4550" w:rsidRPr="00275290" w:rsidRDefault="009D4550" w:rsidP="009D4550">
      <w:pPr>
        <w:rPr>
          <w:rFonts w:cs="Arial"/>
          <w:b/>
        </w:rPr>
      </w:pPr>
    </w:p>
    <w:p w14:paraId="5DB51B49" w14:textId="77777777" w:rsidR="00A50FC7" w:rsidRPr="00275290" w:rsidRDefault="00A50FC7" w:rsidP="00A50FC7">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No specific exposure model for injection is available.</w:t>
      </w:r>
    </w:p>
    <w:p w14:paraId="38272418" w14:textId="614E058C" w:rsidR="00A50FC7" w:rsidRDefault="00A50FC7" w:rsidP="00A50FC7">
      <w:pPr>
        <w:pStyle w:val="BfRBBStandard"/>
        <w:rPr>
          <w:rFonts w:ascii="Verdana" w:eastAsia="Times New Roman" w:hAnsi="Verdana"/>
          <w:sz w:val="20"/>
          <w:szCs w:val="20"/>
          <w:lang w:val="en-GB" w:eastAsia="sv-SE"/>
        </w:rPr>
      </w:pPr>
      <w:r>
        <w:rPr>
          <w:rFonts w:ascii="Verdana" w:eastAsia="Times New Roman" w:hAnsi="Verdana"/>
          <w:sz w:val="20"/>
          <w:szCs w:val="20"/>
          <w:lang w:val="en-GB" w:eastAsia="sv-SE"/>
        </w:rPr>
        <w:t>In this context, exposure is determined considering:</w:t>
      </w:r>
    </w:p>
    <w:p w14:paraId="6CBAB5D4" w14:textId="520D4D22" w:rsidR="00A50FC7" w:rsidRDefault="00A50FC7" w:rsidP="0021636F">
      <w:pPr>
        <w:pStyle w:val="BfRBBStandard"/>
        <w:numPr>
          <w:ilvl w:val="0"/>
          <w:numId w:val="22"/>
        </w:numPr>
        <w:rPr>
          <w:rFonts w:ascii="Verdana" w:eastAsia="Times New Roman" w:hAnsi="Verdana"/>
          <w:sz w:val="20"/>
          <w:szCs w:val="20"/>
          <w:lang w:val="en-GB" w:eastAsia="sv-SE"/>
        </w:rPr>
      </w:pPr>
      <w:r>
        <w:rPr>
          <w:rFonts w:ascii="Verdana" w:eastAsia="Times New Roman" w:hAnsi="Verdana"/>
          <w:sz w:val="20"/>
          <w:szCs w:val="20"/>
          <w:lang w:val="en-GB" w:eastAsia="sv-SE"/>
        </w:rPr>
        <w:t>Exposure during spraying,</w:t>
      </w:r>
    </w:p>
    <w:p w14:paraId="2E8738DC" w14:textId="07E6711C" w:rsidR="00A50FC7" w:rsidRDefault="00A50FC7" w:rsidP="0021636F">
      <w:pPr>
        <w:pStyle w:val="BfRBBStandard"/>
        <w:numPr>
          <w:ilvl w:val="0"/>
          <w:numId w:val="22"/>
        </w:numPr>
        <w:rPr>
          <w:rFonts w:ascii="Verdana" w:eastAsia="Times New Roman" w:hAnsi="Verdana"/>
          <w:sz w:val="20"/>
          <w:szCs w:val="20"/>
          <w:lang w:val="en-GB" w:eastAsia="sv-SE"/>
        </w:rPr>
      </w:pPr>
      <w:r>
        <w:rPr>
          <w:rFonts w:ascii="Verdana" w:eastAsia="Times New Roman" w:hAnsi="Verdana"/>
          <w:sz w:val="20"/>
          <w:szCs w:val="20"/>
          <w:lang w:val="en-GB" w:eastAsia="sv-SE"/>
        </w:rPr>
        <w:t xml:space="preserve">Similar exposure during cleaning of spray equipment and injection equipment, </w:t>
      </w:r>
    </w:p>
    <w:p w14:paraId="4BFF5DAB" w14:textId="275995E9" w:rsidR="00A50FC7" w:rsidRDefault="00A50FC7" w:rsidP="0021636F">
      <w:pPr>
        <w:pStyle w:val="BfRBBStandard"/>
        <w:numPr>
          <w:ilvl w:val="0"/>
          <w:numId w:val="22"/>
        </w:numPr>
        <w:rPr>
          <w:rFonts w:ascii="Verdana" w:eastAsia="Times New Roman" w:hAnsi="Verdana"/>
          <w:sz w:val="20"/>
          <w:szCs w:val="20"/>
          <w:lang w:val="en-GB" w:eastAsia="sv-SE"/>
        </w:rPr>
      </w:pPr>
      <w:r>
        <w:rPr>
          <w:rFonts w:ascii="Verdana" w:eastAsia="Times New Roman" w:hAnsi="Verdana"/>
          <w:sz w:val="20"/>
          <w:szCs w:val="20"/>
          <w:lang w:val="en-GB" w:eastAsia="sv-SE"/>
        </w:rPr>
        <w:t>The exposure during injection combined to spraying is not higher than the exposure during injection combined to brushing. Therefore, the exposure linked to the injection in the scenario injection combined to brush is added to the exposure during spraying.</w:t>
      </w:r>
      <w:r w:rsidR="00623C84">
        <w:rPr>
          <w:rFonts w:ascii="Verdana" w:eastAsia="Times New Roman" w:hAnsi="Verdana"/>
          <w:sz w:val="20"/>
          <w:szCs w:val="20"/>
          <w:lang w:val="en-GB" w:eastAsia="sv-SE"/>
        </w:rPr>
        <w:t xml:space="preserve"> A mixing and loading step of injection equipment is considered. The mixing and loqing model 4 is used.  </w:t>
      </w:r>
    </w:p>
    <w:p w14:paraId="144E7766" w14:textId="77777777" w:rsidR="00A50FC7" w:rsidRDefault="00A50FC7" w:rsidP="009D4550">
      <w:pPr>
        <w:rPr>
          <w:rFonts w:cs="Arial"/>
        </w:rPr>
      </w:pPr>
    </w:p>
    <w:p w14:paraId="50BD4601" w14:textId="5D0AE2FB" w:rsidR="009D4550" w:rsidRPr="00275290" w:rsidRDefault="009D4550" w:rsidP="009D4550">
      <w:pPr>
        <w:rPr>
          <w:rFonts w:cs="Arial"/>
        </w:rPr>
      </w:pPr>
    </w:p>
    <w:p w14:paraId="08336B95" w14:textId="77777777" w:rsidR="009D4550" w:rsidRPr="00275290" w:rsidRDefault="009D4550" w:rsidP="009D4550">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972"/>
        <w:gridCol w:w="1951"/>
        <w:gridCol w:w="1947"/>
        <w:gridCol w:w="1947"/>
      </w:tblGrid>
      <w:tr w:rsidR="009D4550" w:rsidRPr="00275290" w14:paraId="42C547F2" w14:textId="77777777" w:rsidTr="00623C84">
        <w:tc>
          <w:tcPr>
            <w:tcW w:w="1952" w:type="dxa"/>
            <w:vAlign w:val="center"/>
          </w:tcPr>
          <w:p w14:paraId="37B2F717"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972" w:type="dxa"/>
            <w:vAlign w:val="center"/>
          </w:tcPr>
          <w:p w14:paraId="67BDFD87"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951" w:type="dxa"/>
            <w:vAlign w:val="center"/>
          </w:tcPr>
          <w:p w14:paraId="7EB40B84" w14:textId="77777777" w:rsidR="009D4550" w:rsidRPr="00275290" w:rsidRDefault="009D4550" w:rsidP="009D4550">
            <w:pPr>
              <w:autoSpaceDE w:val="0"/>
              <w:autoSpaceDN w:val="0"/>
              <w:adjustRightInd w:val="0"/>
              <w:spacing w:before="60" w:after="60"/>
              <w:rPr>
                <w:rFonts w:cs="Arial"/>
              </w:rPr>
            </w:pPr>
            <w:r w:rsidRPr="00275290">
              <w:rPr>
                <w:rFonts w:cs="Arial"/>
              </w:rPr>
              <w:t>Inhalation Exposure</w:t>
            </w:r>
          </w:p>
          <w:p w14:paraId="5C2AC13C" w14:textId="77777777" w:rsidR="009D4550" w:rsidRPr="00275290" w:rsidRDefault="009D4550" w:rsidP="009D4550">
            <w:pPr>
              <w:autoSpaceDE w:val="0"/>
              <w:autoSpaceDN w:val="0"/>
              <w:adjustRightInd w:val="0"/>
              <w:spacing w:before="60" w:after="60"/>
              <w:rPr>
                <w:rFonts w:cs="Arial"/>
              </w:rPr>
            </w:pPr>
            <w:r w:rsidRPr="00275290">
              <w:rPr>
                <w:rFonts w:cs="Arial"/>
              </w:rPr>
              <w:t>(mg/kg bw/j)</w:t>
            </w:r>
          </w:p>
        </w:tc>
        <w:tc>
          <w:tcPr>
            <w:tcW w:w="1947" w:type="dxa"/>
            <w:vAlign w:val="center"/>
          </w:tcPr>
          <w:p w14:paraId="6F44056B" w14:textId="77777777" w:rsidR="009D4550" w:rsidRPr="00275290" w:rsidRDefault="009D4550" w:rsidP="009D4550">
            <w:pPr>
              <w:autoSpaceDE w:val="0"/>
              <w:autoSpaceDN w:val="0"/>
              <w:adjustRightInd w:val="0"/>
              <w:spacing w:before="60" w:after="60"/>
              <w:rPr>
                <w:rFonts w:cs="Arial"/>
              </w:rPr>
            </w:pPr>
            <w:r w:rsidRPr="00275290">
              <w:rPr>
                <w:rFonts w:cs="Arial"/>
              </w:rPr>
              <w:t>Demal Exposure</w:t>
            </w:r>
          </w:p>
          <w:p w14:paraId="1F90C5EC" w14:textId="77777777" w:rsidR="009D4550" w:rsidRPr="00275290" w:rsidRDefault="009D4550" w:rsidP="009D4550">
            <w:pPr>
              <w:autoSpaceDE w:val="0"/>
              <w:autoSpaceDN w:val="0"/>
              <w:adjustRightInd w:val="0"/>
              <w:spacing w:before="60" w:after="60"/>
              <w:rPr>
                <w:rFonts w:cs="Arial"/>
              </w:rPr>
            </w:pPr>
            <w:r w:rsidRPr="00275290">
              <w:rPr>
                <w:rFonts w:cs="Arial"/>
              </w:rPr>
              <w:t>(mg/kg bw/d)</w:t>
            </w:r>
          </w:p>
        </w:tc>
        <w:tc>
          <w:tcPr>
            <w:tcW w:w="1947" w:type="dxa"/>
            <w:vAlign w:val="center"/>
          </w:tcPr>
          <w:p w14:paraId="10059F84" w14:textId="77777777" w:rsidR="009D4550" w:rsidRPr="00275290" w:rsidRDefault="009D4550" w:rsidP="009D4550">
            <w:pPr>
              <w:autoSpaceDE w:val="0"/>
              <w:autoSpaceDN w:val="0"/>
              <w:adjustRightInd w:val="0"/>
              <w:spacing w:before="60" w:after="60"/>
              <w:rPr>
                <w:rFonts w:cs="Arial"/>
              </w:rPr>
            </w:pPr>
            <w:r w:rsidRPr="00275290">
              <w:rPr>
                <w:rFonts w:cs="Arial"/>
              </w:rPr>
              <w:t>Total Exposure (mg/kg bw/d)</w:t>
            </w:r>
          </w:p>
        </w:tc>
      </w:tr>
      <w:tr w:rsidR="009D4550" w:rsidRPr="00275290" w14:paraId="50CA4F5B" w14:textId="77777777" w:rsidTr="00623C84">
        <w:tc>
          <w:tcPr>
            <w:tcW w:w="9769" w:type="dxa"/>
            <w:gridSpan w:val="5"/>
            <w:shd w:val="clear" w:color="auto" w:fill="BFBFBF"/>
            <w:vAlign w:val="center"/>
          </w:tcPr>
          <w:p w14:paraId="2565E336" w14:textId="7487195D" w:rsidR="009D4550" w:rsidRPr="00275290" w:rsidRDefault="009D4550" w:rsidP="00EA6001">
            <w:pPr>
              <w:rPr>
                <w:rFonts w:cs="Arial"/>
                <w:lang w:val="en-US"/>
              </w:rPr>
            </w:pPr>
            <w:r w:rsidRPr="00275290">
              <w:rPr>
                <w:rFonts w:cs="Arial"/>
                <w:lang w:val="en-US"/>
              </w:rPr>
              <w:t>Spraying 300g/m</w:t>
            </w:r>
            <w:r w:rsidRPr="00275290">
              <w:rPr>
                <w:rFonts w:cs="Arial"/>
                <w:vertAlign w:val="superscript"/>
                <w:lang w:val="en-US"/>
              </w:rPr>
              <w:t>2</w:t>
            </w:r>
            <w:r w:rsidRPr="00275290">
              <w:rPr>
                <w:rFonts w:cs="Arial"/>
                <w:lang w:val="en-US"/>
              </w:rPr>
              <w:t xml:space="preserve"> + injection </w:t>
            </w:r>
            <w:r w:rsidR="00EA6001">
              <w:rPr>
                <w:rFonts w:cs="Arial"/>
                <w:lang w:val="en-US"/>
              </w:rPr>
              <w:t>145</w:t>
            </w:r>
            <w:r w:rsidRPr="00275290">
              <w:rPr>
                <w:rFonts w:cs="Arial"/>
                <w:lang w:val="en-US"/>
              </w:rPr>
              <w:t xml:space="preserve">g/m2 – without PPE </w:t>
            </w:r>
          </w:p>
        </w:tc>
      </w:tr>
      <w:tr w:rsidR="009B4836" w:rsidRPr="00275290" w14:paraId="29D081E5" w14:textId="77777777" w:rsidTr="000E1EAD">
        <w:tc>
          <w:tcPr>
            <w:tcW w:w="1952" w:type="dxa"/>
            <w:vMerge w:val="restart"/>
            <w:vAlign w:val="center"/>
          </w:tcPr>
          <w:p w14:paraId="24F1BBA0" w14:textId="3A60E280" w:rsidR="009B4836" w:rsidRPr="00275290" w:rsidRDefault="009B4836" w:rsidP="009B4836">
            <w:pPr>
              <w:rPr>
                <w:rFonts w:cs="Arial"/>
                <w:lang w:val="en-US"/>
              </w:rPr>
            </w:pPr>
            <w:r>
              <w:rPr>
                <w:rFonts w:cs="Arial"/>
                <w:lang w:val="en-US"/>
              </w:rPr>
              <w:t>Loading of injection equipment</w:t>
            </w:r>
          </w:p>
        </w:tc>
        <w:tc>
          <w:tcPr>
            <w:tcW w:w="1972" w:type="dxa"/>
            <w:vAlign w:val="center"/>
          </w:tcPr>
          <w:p w14:paraId="68B7BA92" w14:textId="639431CD" w:rsidR="009B4836" w:rsidRPr="00275290" w:rsidRDefault="009B4836" w:rsidP="009B4836">
            <w:pPr>
              <w:rPr>
                <w:rFonts w:cs="Arial"/>
                <w:lang w:val="fr-FR"/>
              </w:rPr>
            </w:pPr>
            <w:r w:rsidRPr="00275290">
              <w:rPr>
                <w:rFonts w:cs="Arial"/>
                <w:lang w:val="fr-FR"/>
              </w:rPr>
              <w:t>Cyperméthrine</w:t>
            </w:r>
          </w:p>
        </w:tc>
        <w:tc>
          <w:tcPr>
            <w:tcW w:w="1951" w:type="dxa"/>
            <w:vAlign w:val="center"/>
          </w:tcPr>
          <w:p w14:paraId="6B7D5DE2" w14:textId="77777777" w:rsidR="009B4836" w:rsidRPr="0021636F" w:rsidRDefault="009B4836" w:rsidP="009B4836">
            <w:pPr>
              <w:rPr>
                <w:rFonts w:cs="Arial"/>
                <w:lang w:val="en-US"/>
              </w:rPr>
            </w:pPr>
          </w:p>
        </w:tc>
        <w:tc>
          <w:tcPr>
            <w:tcW w:w="1947" w:type="dxa"/>
            <w:vAlign w:val="center"/>
          </w:tcPr>
          <w:p w14:paraId="4387A80E" w14:textId="5241ACF3" w:rsidR="009B4836" w:rsidRPr="0021636F" w:rsidRDefault="009B4836" w:rsidP="009B4836">
            <w:pPr>
              <w:rPr>
                <w:rFonts w:cs="Arial"/>
                <w:lang w:val="en-US"/>
              </w:rPr>
            </w:pPr>
            <w:r>
              <w:rPr>
                <w:rFonts w:ascii="Calibri" w:hAnsi="Calibri" w:cs="Calibri"/>
                <w:color w:val="000000"/>
                <w:sz w:val="22"/>
                <w:szCs w:val="22"/>
              </w:rPr>
              <w:t>1,93E-03</w:t>
            </w:r>
          </w:p>
        </w:tc>
        <w:tc>
          <w:tcPr>
            <w:tcW w:w="1947" w:type="dxa"/>
            <w:vAlign w:val="center"/>
          </w:tcPr>
          <w:p w14:paraId="4646EBCA" w14:textId="3C94CB35" w:rsidR="009B4836" w:rsidRPr="0021636F" w:rsidRDefault="009B4836" w:rsidP="009B4836">
            <w:pPr>
              <w:rPr>
                <w:rFonts w:cs="Arial"/>
                <w:lang w:val="en-US"/>
              </w:rPr>
            </w:pPr>
            <w:r>
              <w:rPr>
                <w:rFonts w:ascii="Calibri" w:hAnsi="Calibri" w:cs="Calibri"/>
                <w:color w:val="000000"/>
                <w:sz w:val="22"/>
                <w:szCs w:val="22"/>
              </w:rPr>
              <w:t>1,93E-03</w:t>
            </w:r>
          </w:p>
        </w:tc>
      </w:tr>
      <w:tr w:rsidR="009B4836" w:rsidRPr="00275290" w14:paraId="2499DD46" w14:textId="77777777" w:rsidTr="000E1EAD">
        <w:tc>
          <w:tcPr>
            <w:tcW w:w="1952" w:type="dxa"/>
            <w:vMerge/>
            <w:vAlign w:val="center"/>
          </w:tcPr>
          <w:p w14:paraId="3F13FC0B" w14:textId="77777777" w:rsidR="009B4836" w:rsidRPr="00275290" w:rsidRDefault="009B4836" w:rsidP="009B4836">
            <w:pPr>
              <w:rPr>
                <w:rFonts w:cs="Arial"/>
                <w:lang w:val="en-US"/>
              </w:rPr>
            </w:pPr>
          </w:p>
        </w:tc>
        <w:tc>
          <w:tcPr>
            <w:tcW w:w="1972" w:type="dxa"/>
            <w:vAlign w:val="center"/>
          </w:tcPr>
          <w:p w14:paraId="7CB90144" w14:textId="47477018" w:rsidR="009B4836" w:rsidRPr="00275290" w:rsidRDefault="009B4836" w:rsidP="009B4836">
            <w:pPr>
              <w:rPr>
                <w:rFonts w:cs="Arial"/>
                <w:lang w:val="fr-FR"/>
              </w:rPr>
            </w:pPr>
            <w:r w:rsidRPr="00275290">
              <w:rPr>
                <w:rFonts w:cs="Arial"/>
                <w:lang w:val="fr-FR"/>
              </w:rPr>
              <w:t>Propiconazole</w:t>
            </w:r>
          </w:p>
        </w:tc>
        <w:tc>
          <w:tcPr>
            <w:tcW w:w="1951" w:type="dxa"/>
            <w:vAlign w:val="center"/>
          </w:tcPr>
          <w:p w14:paraId="607294A6" w14:textId="77777777" w:rsidR="009B4836" w:rsidRPr="0021636F" w:rsidRDefault="009B4836" w:rsidP="009B4836">
            <w:pPr>
              <w:rPr>
                <w:rFonts w:cs="Arial"/>
                <w:lang w:val="en-US"/>
              </w:rPr>
            </w:pPr>
          </w:p>
        </w:tc>
        <w:tc>
          <w:tcPr>
            <w:tcW w:w="1947" w:type="dxa"/>
            <w:vAlign w:val="center"/>
          </w:tcPr>
          <w:p w14:paraId="26BD8364" w14:textId="33447D6E" w:rsidR="009B4836" w:rsidRPr="0021636F" w:rsidRDefault="009B4836" w:rsidP="009B4836">
            <w:pPr>
              <w:rPr>
                <w:rFonts w:cs="Arial"/>
                <w:lang w:val="en-US"/>
              </w:rPr>
            </w:pPr>
            <w:r>
              <w:rPr>
                <w:rFonts w:ascii="Calibri" w:hAnsi="Calibri" w:cs="Calibri"/>
                <w:color w:val="000000"/>
                <w:sz w:val="22"/>
                <w:szCs w:val="22"/>
              </w:rPr>
              <w:t>2,78E-03</w:t>
            </w:r>
          </w:p>
        </w:tc>
        <w:tc>
          <w:tcPr>
            <w:tcW w:w="1947" w:type="dxa"/>
            <w:vAlign w:val="center"/>
          </w:tcPr>
          <w:p w14:paraId="4F665A0F" w14:textId="658CC23F" w:rsidR="009B4836" w:rsidRPr="0021636F" w:rsidRDefault="009B4836" w:rsidP="009B4836">
            <w:pPr>
              <w:rPr>
                <w:rFonts w:cs="Arial"/>
                <w:lang w:val="en-US"/>
              </w:rPr>
            </w:pPr>
            <w:r>
              <w:rPr>
                <w:rFonts w:ascii="Calibri" w:hAnsi="Calibri" w:cs="Calibri"/>
                <w:color w:val="000000"/>
                <w:sz w:val="22"/>
                <w:szCs w:val="22"/>
              </w:rPr>
              <w:t>2,78E-03</w:t>
            </w:r>
          </w:p>
        </w:tc>
      </w:tr>
      <w:tr w:rsidR="009B4836" w:rsidRPr="00275290" w14:paraId="2CEA278B" w14:textId="77777777" w:rsidTr="000E1EAD">
        <w:tc>
          <w:tcPr>
            <w:tcW w:w="1952" w:type="dxa"/>
            <w:vMerge/>
            <w:vAlign w:val="center"/>
          </w:tcPr>
          <w:p w14:paraId="3DCA8884" w14:textId="77777777" w:rsidR="009B4836" w:rsidRPr="00275290" w:rsidRDefault="009B4836" w:rsidP="009B4836">
            <w:pPr>
              <w:rPr>
                <w:rFonts w:cs="Arial"/>
                <w:lang w:val="en-US"/>
              </w:rPr>
            </w:pPr>
          </w:p>
        </w:tc>
        <w:tc>
          <w:tcPr>
            <w:tcW w:w="1972" w:type="dxa"/>
            <w:vAlign w:val="center"/>
          </w:tcPr>
          <w:p w14:paraId="1DE411BD" w14:textId="1AA434C5" w:rsidR="009B4836" w:rsidRPr="00275290" w:rsidRDefault="009B4836" w:rsidP="009B4836">
            <w:pPr>
              <w:rPr>
                <w:rFonts w:cs="Arial"/>
                <w:lang w:val="fr-FR"/>
              </w:rPr>
            </w:pPr>
            <w:r w:rsidRPr="00275290">
              <w:rPr>
                <w:rFonts w:cs="Arial"/>
                <w:lang w:val="fr-FR"/>
              </w:rPr>
              <w:t xml:space="preserve">Tébuconazole </w:t>
            </w:r>
          </w:p>
        </w:tc>
        <w:tc>
          <w:tcPr>
            <w:tcW w:w="1951" w:type="dxa"/>
            <w:vAlign w:val="center"/>
          </w:tcPr>
          <w:p w14:paraId="518934B5" w14:textId="77777777" w:rsidR="009B4836" w:rsidRPr="0021636F" w:rsidRDefault="009B4836" w:rsidP="009B4836">
            <w:pPr>
              <w:rPr>
                <w:rFonts w:cs="Arial"/>
                <w:lang w:val="en-US"/>
              </w:rPr>
            </w:pPr>
          </w:p>
        </w:tc>
        <w:tc>
          <w:tcPr>
            <w:tcW w:w="1947" w:type="dxa"/>
            <w:vAlign w:val="center"/>
          </w:tcPr>
          <w:p w14:paraId="17B7F4AC" w14:textId="6404CA32" w:rsidR="009B4836" w:rsidRPr="0021636F" w:rsidRDefault="009B4836" w:rsidP="009B4836">
            <w:pPr>
              <w:rPr>
                <w:rFonts w:cs="Arial"/>
                <w:lang w:val="en-US"/>
              </w:rPr>
            </w:pPr>
            <w:r>
              <w:rPr>
                <w:rFonts w:ascii="Calibri" w:hAnsi="Calibri" w:cs="Calibri"/>
                <w:color w:val="000000"/>
                <w:sz w:val="22"/>
                <w:szCs w:val="22"/>
              </w:rPr>
              <w:t>1,04E-03</w:t>
            </w:r>
          </w:p>
        </w:tc>
        <w:tc>
          <w:tcPr>
            <w:tcW w:w="1947" w:type="dxa"/>
            <w:vAlign w:val="center"/>
          </w:tcPr>
          <w:p w14:paraId="07323A10" w14:textId="26CDBBCE" w:rsidR="009B4836" w:rsidRPr="0021636F" w:rsidRDefault="009B4836" w:rsidP="009B4836">
            <w:pPr>
              <w:rPr>
                <w:rFonts w:cs="Arial"/>
                <w:lang w:val="en-US"/>
              </w:rPr>
            </w:pPr>
            <w:r>
              <w:rPr>
                <w:rFonts w:ascii="Calibri" w:hAnsi="Calibri" w:cs="Calibri"/>
                <w:color w:val="000000"/>
                <w:sz w:val="22"/>
                <w:szCs w:val="22"/>
              </w:rPr>
              <w:t>1,04E-03</w:t>
            </w:r>
          </w:p>
        </w:tc>
      </w:tr>
      <w:tr w:rsidR="009B4836" w:rsidRPr="00275290" w14:paraId="3D41DAC0" w14:textId="77777777" w:rsidTr="000E1EAD">
        <w:tc>
          <w:tcPr>
            <w:tcW w:w="1952" w:type="dxa"/>
            <w:vMerge/>
            <w:vAlign w:val="center"/>
          </w:tcPr>
          <w:p w14:paraId="2DFBCE06" w14:textId="77777777" w:rsidR="009B4836" w:rsidRPr="00275290" w:rsidRDefault="009B4836" w:rsidP="009B4836">
            <w:pPr>
              <w:rPr>
                <w:rFonts w:cs="Arial"/>
                <w:lang w:val="en-US"/>
              </w:rPr>
            </w:pPr>
          </w:p>
        </w:tc>
        <w:tc>
          <w:tcPr>
            <w:tcW w:w="1972" w:type="dxa"/>
            <w:vAlign w:val="center"/>
          </w:tcPr>
          <w:p w14:paraId="301B7D72" w14:textId="28891A32" w:rsidR="009B4836" w:rsidRPr="00275290" w:rsidRDefault="009B4836" w:rsidP="009B4836">
            <w:pPr>
              <w:rPr>
                <w:rFonts w:cs="Arial"/>
                <w:lang w:val="fr-FR"/>
              </w:rPr>
            </w:pPr>
            <w:r w:rsidRPr="00275290">
              <w:rPr>
                <w:rFonts w:cs="Arial"/>
                <w:lang w:val="fr-FR"/>
              </w:rPr>
              <w:t>IPBC</w:t>
            </w:r>
          </w:p>
        </w:tc>
        <w:tc>
          <w:tcPr>
            <w:tcW w:w="1951" w:type="dxa"/>
            <w:vAlign w:val="center"/>
          </w:tcPr>
          <w:p w14:paraId="29A839E9" w14:textId="77777777" w:rsidR="009B4836" w:rsidRPr="0021636F" w:rsidRDefault="009B4836" w:rsidP="009B4836">
            <w:pPr>
              <w:rPr>
                <w:rFonts w:cs="Arial"/>
                <w:lang w:val="en-US"/>
              </w:rPr>
            </w:pPr>
          </w:p>
        </w:tc>
        <w:tc>
          <w:tcPr>
            <w:tcW w:w="1947" w:type="dxa"/>
            <w:vAlign w:val="center"/>
          </w:tcPr>
          <w:p w14:paraId="35C25BAA" w14:textId="3DAA86EF" w:rsidR="009B4836" w:rsidRPr="0021636F" w:rsidRDefault="009B4836" w:rsidP="009B4836">
            <w:pPr>
              <w:rPr>
                <w:rFonts w:cs="Arial"/>
                <w:lang w:val="en-US"/>
              </w:rPr>
            </w:pPr>
            <w:r>
              <w:rPr>
                <w:rFonts w:ascii="Calibri" w:hAnsi="Calibri" w:cs="Calibri"/>
                <w:color w:val="000000"/>
                <w:sz w:val="22"/>
                <w:szCs w:val="22"/>
              </w:rPr>
              <w:t>2,51E-03</w:t>
            </w:r>
          </w:p>
        </w:tc>
        <w:tc>
          <w:tcPr>
            <w:tcW w:w="1947" w:type="dxa"/>
            <w:vAlign w:val="center"/>
          </w:tcPr>
          <w:p w14:paraId="7C434F30" w14:textId="52074209" w:rsidR="009B4836" w:rsidRPr="0021636F" w:rsidRDefault="009B4836" w:rsidP="009B4836">
            <w:pPr>
              <w:rPr>
                <w:rFonts w:cs="Arial"/>
                <w:lang w:val="en-US"/>
              </w:rPr>
            </w:pPr>
            <w:r>
              <w:rPr>
                <w:rFonts w:ascii="Calibri" w:hAnsi="Calibri" w:cs="Calibri"/>
                <w:color w:val="000000"/>
                <w:sz w:val="22"/>
                <w:szCs w:val="22"/>
              </w:rPr>
              <w:t>2,51E-03</w:t>
            </w:r>
          </w:p>
        </w:tc>
      </w:tr>
      <w:tr w:rsidR="00E70F56" w:rsidRPr="00275290" w14:paraId="3A4B9AB9" w14:textId="77777777" w:rsidTr="000E1EAD">
        <w:tc>
          <w:tcPr>
            <w:tcW w:w="1952" w:type="dxa"/>
            <w:vMerge w:val="restart"/>
            <w:vAlign w:val="center"/>
          </w:tcPr>
          <w:p w14:paraId="1A469459" w14:textId="0D8D8887" w:rsidR="00E70F56" w:rsidRPr="00275290" w:rsidRDefault="00E70F56" w:rsidP="00E70F56">
            <w:pPr>
              <w:rPr>
                <w:rFonts w:cs="Arial"/>
                <w:lang w:val="en-US"/>
              </w:rPr>
            </w:pPr>
            <w:r w:rsidRPr="00275290">
              <w:rPr>
                <w:rFonts w:cs="Arial"/>
                <w:lang w:val="en-US"/>
              </w:rPr>
              <w:t>Product application phase</w:t>
            </w:r>
            <w:r>
              <w:rPr>
                <w:rFonts w:cs="Arial"/>
                <w:lang w:val="en-US"/>
              </w:rPr>
              <w:t xml:space="preserve"> - spray</w:t>
            </w:r>
          </w:p>
        </w:tc>
        <w:tc>
          <w:tcPr>
            <w:tcW w:w="1972" w:type="dxa"/>
            <w:vAlign w:val="center"/>
          </w:tcPr>
          <w:p w14:paraId="20B5DB72" w14:textId="77777777" w:rsidR="00E70F56" w:rsidRPr="00275290" w:rsidRDefault="00E70F56" w:rsidP="00E70F56">
            <w:pPr>
              <w:rPr>
                <w:rFonts w:cs="Arial"/>
                <w:lang w:val="fr-FR"/>
              </w:rPr>
            </w:pPr>
            <w:r w:rsidRPr="00275290">
              <w:rPr>
                <w:rFonts w:cs="Arial"/>
                <w:lang w:val="fr-FR"/>
              </w:rPr>
              <w:t>Cyperméthrine</w:t>
            </w:r>
          </w:p>
        </w:tc>
        <w:tc>
          <w:tcPr>
            <w:tcW w:w="1951" w:type="dxa"/>
            <w:vAlign w:val="center"/>
          </w:tcPr>
          <w:p w14:paraId="7BB07855" w14:textId="6B31E8E5" w:rsidR="00E70F56" w:rsidRPr="0021636F" w:rsidRDefault="00E70F56" w:rsidP="00E70F56">
            <w:pPr>
              <w:rPr>
                <w:rFonts w:cs="Arial"/>
                <w:lang w:val="en-US"/>
              </w:rPr>
            </w:pPr>
            <w:r w:rsidRPr="00E82E11">
              <w:rPr>
                <w:rFonts w:cs="Arial"/>
                <w:color w:val="000000"/>
              </w:rPr>
              <w:t>1,03E-03</w:t>
            </w:r>
          </w:p>
        </w:tc>
        <w:tc>
          <w:tcPr>
            <w:tcW w:w="1947" w:type="dxa"/>
            <w:vAlign w:val="center"/>
          </w:tcPr>
          <w:p w14:paraId="3C053F81" w14:textId="74C0908D" w:rsidR="00E70F56" w:rsidRPr="0021636F" w:rsidRDefault="00E70F56" w:rsidP="00E70F56">
            <w:pPr>
              <w:rPr>
                <w:rFonts w:cs="Arial"/>
                <w:lang w:val="en-US"/>
              </w:rPr>
            </w:pPr>
            <w:r w:rsidRPr="00E82E11">
              <w:rPr>
                <w:rFonts w:cs="Arial"/>
                <w:color w:val="000000"/>
              </w:rPr>
              <w:t>4,56E-02</w:t>
            </w:r>
          </w:p>
        </w:tc>
        <w:tc>
          <w:tcPr>
            <w:tcW w:w="1947" w:type="dxa"/>
            <w:vAlign w:val="center"/>
          </w:tcPr>
          <w:p w14:paraId="3061FD9F" w14:textId="1A7658B4" w:rsidR="00E70F56" w:rsidRPr="0021636F" w:rsidRDefault="00E70F56" w:rsidP="00E70F56">
            <w:pPr>
              <w:rPr>
                <w:rFonts w:cs="Arial"/>
                <w:lang w:val="en-US"/>
              </w:rPr>
            </w:pPr>
            <w:r w:rsidRPr="00E82E11">
              <w:rPr>
                <w:rFonts w:cs="Arial"/>
                <w:color w:val="000000"/>
              </w:rPr>
              <w:t>4,67E-02</w:t>
            </w:r>
          </w:p>
        </w:tc>
      </w:tr>
      <w:tr w:rsidR="00E70F56" w:rsidRPr="00275290" w14:paraId="73AB42D4" w14:textId="77777777" w:rsidTr="000E1EAD">
        <w:tc>
          <w:tcPr>
            <w:tcW w:w="1952" w:type="dxa"/>
            <w:vMerge/>
            <w:vAlign w:val="center"/>
          </w:tcPr>
          <w:p w14:paraId="017B7C82" w14:textId="77777777" w:rsidR="00E70F56" w:rsidRPr="00275290" w:rsidRDefault="00E70F56" w:rsidP="00E70F56">
            <w:pPr>
              <w:rPr>
                <w:rFonts w:cs="Arial"/>
                <w:lang w:val="fr-FR"/>
              </w:rPr>
            </w:pPr>
          </w:p>
        </w:tc>
        <w:tc>
          <w:tcPr>
            <w:tcW w:w="1972" w:type="dxa"/>
            <w:vAlign w:val="center"/>
          </w:tcPr>
          <w:p w14:paraId="79643DC5" w14:textId="77777777" w:rsidR="00E70F56" w:rsidRPr="00275290" w:rsidRDefault="00E70F56" w:rsidP="00E70F56">
            <w:pPr>
              <w:rPr>
                <w:rFonts w:cs="Arial"/>
                <w:lang w:val="fr-FR"/>
              </w:rPr>
            </w:pPr>
            <w:r w:rsidRPr="00275290">
              <w:rPr>
                <w:rFonts w:cs="Arial"/>
                <w:lang w:val="fr-FR"/>
              </w:rPr>
              <w:t>Propiconazole</w:t>
            </w:r>
          </w:p>
        </w:tc>
        <w:tc>
          <w:tcPr>
            <w:tcW w:w="1951" w:type="dxa"/>
            <w:vAlign w:val="center"/>
          </w:tcPr>
          <w:p w14:paraId="15A2B7C4" w14:textId="49359F06" w:rsidR="00E70F56" w:rsidRPr="0021636F" w:rsidRDefault="00E70F56" w:rsidP="00E70F56">
            <w:pPr>
              <w:rPr>
                <w:rFonts w:cs="Arial"/>
                <w:lang w:val="en-US"/>
              </w:rPr>
            </w:pPr>
            <w:r w:rsidRPr="00E82E11">
              <w:rPr>
                <w:rFonts w:cs="Arial"/>
                <w:color w:val="000000"/>
              </w:rPr>
              <w:t>2,05E-03</w:t>
            </w:r>
          </w:p>
        </w:tc>
        <w:tc>
          <w:tcPr>
            <w:tcW w:w="1947" w:type="dxa"/>
            <w:vAlign w:val="center"/>
          </w:tcPr>
          <w:p w14:paraId="1E708956" w14:textId="29227469" w:rsidR="00E70F56" w:rsidRPr="0021636F" w:rsidRDefault="00E70F56" w:rsidP="00E70F56">
            <w:pPr>
              <w:rPr>
                <w:rFonts w:cs="Arial"/>
                <w:lang w:val="en-US"/>
              </w:rPr>
            </w:pPr>
            <w:r w:rsidRPr="00E82E11">
              <w:rPr>
                <w:rFonts w:cs="Arial"/>
                <w:color w:val="000000"/>
              </w:rPr>
              <w:t>6,57E-02</w:t>
            </w:r>
          </w:p>
        </w:tc>
        <w:tc>
          <w:tcPr>
            <w:tcW w:w="1947" w:type="dxa"/>
            <w:vAlign w:val="center"/>
          </w:tcPr>
          <w:p w14:paraId="5E516562" w14:textId="29D8A1B5" w:rsidR="00E70F56" w:rsidRPr="0021636F" w:rsidRDefault="00E70F56" w:rsidP="00E70F56">
            <w:pPr>
              <w:rPr>
                <w:rFonts w:cs="Arial"/>
                <w:lang w:val="en-US"/>
              </w:rPr>
            </w:pPr>
            <w:r w:rsidRPr="00E82E11">
              <w:rPr>
                <w:rFonts w:cs="Arial"/>
                <w:color w:val="000000"/>
              </w:rPr>
              <w:t>6,78E-02</w:t>
            </w:r>
          </w:p>
        </w:tc>
      </w:tr>
      <w:tr w:rsidR="00E70F56" w:rsidRPr="00275290" w14:paraId="66124D51" w14:textId="77777777" w:rsidTr="000E1EAD">
        <w:tc>
          <w:tcPr>
            <w:tcW w:w="1952" w:type="dxa"/>
            <w:vMerge/>
            <w:vAlign w:val="center"/>
          </w:tcPr>
          <w:p w14:paraId="0C2FC43E" w14:textId="77777777" w:rsidR="00E70F56" w:rsidRPr="00275290" w:rsidRDefault="00E70F56" w:rsidP="00E70F56">
            <w:pPr>
              <w:rPr>
                <w:rFonts w:cs="Arial"/>
                <w:lang w:val="fr-FR"/>
              </w:rPr>
            </w:pPr>
          </w:p>
        </w:tc>
        <w:tc>
          <w:tcPr>
            <w:tcW w:w="1972" w:type="dxa"/>
            <w:vAlign w:val="center"/>
          </w:tcPr>
          <w:p w14:paraId="1F883081" w14:textId="77777777" w:rsidR="00E70F56" w:rsidRPr="00275290" w:rsidRDefault="00E70F56" w:rsidP="00E70F56">
            <w:pPr>
              <w:rPr>
                <w:rFonts w:cs="Arial"/>
                <w:lang w:val="fr-FR"/>
              </w:rPr>
            </w:pPr>
            <w:r w:rsidRPr="00275290">
              <w:rPr>
                <w:rFonts w:cs="Arial"/>
                <w:lang w:val="fr-FR"/>
              </w:rPr>
              <w:t xml:space="preserve">Tébuconazole </w:t>
            </w:r>
          </w:p>
        </w:tc>
        <w:tc>
          <w:tcPr>
            <w:tcW w:w="1951" w:type="dxa"/>
            <w:vAlign w:val="center"/>
          </w:tcPr>
          <w:p w14:paraId="46B97E42" w14:textId="76C0741E" w:rsidR="00E70F56" w:rsidRPr="0021636F" w:rsidRDefault="00E70F56" w:rsidP="00E70F56">
            <w:pPr>
              <w:rPr>
                <w:rFonts w:cs="Arial"/>
                <w:lang w:val="en-US"/>
              </w:rPr>
            </w:pPr>
            <w:r w:rsidRPr="00E82E11">
              <w:rPr>
                <w:rFonts w:cs="Arial"/>
                <w:color w:val="000000"/>
              </w:rPr>
              <w:t>6,41E-04</w:t>
            </w:r>
          </w:p>
        </w:tc>
        <w:tc>
          <w:tcPr>
            <w:tcW w:w="1947" w:type="dxa"/>
            <w:vAlign w:val="center"/>
          </w:tcPr>
          <w:p w14:paraId="552D890F" w14:textId="50339B28" w:rsidR="00E70F56" w:rsidRPr="0021636F" w:rsidRDefault="00E70F56" w:rsidP="00E70F56">
            <w:pPr>
              <w:rPr>
                <w:rFonts w:cs="Arial"/>
                <w:lang w:val="en-US"/>
              </w:rPr>
            </w:pPr>
            <w:r w:rsidRPr="00E82E11">
              <w:rPr>
                <w:rFonts w:cs="Arial"/>
                <w:color w:val="000000"/>
              </w:rPr>
              <w:t>2,45E-02</w:t>
            </w:r>
          </w:p>
        </w:tc>
        <w:tc>
          <w:tcPr>
            <w:tcW w:w="1947" w:type="dxa"/>
            <w:vAlign w:val="center"/>
          </w:tcPr>
          <w:p w14:paraId="4EEFF18B" w14:textId="66D43BE6" w:rsidR="00E70F56" w:rsidRPr="0021636F" w:rsidRDefault="00E70F56" w:rsidP="00E70F56">
            <w:pPr>
              <w:rPr>
                <w:rFonts w:cs="Arial"/>
                <w:lang w:val="en-US"/>
              </w:rPr>
            </w:pPr>
            <w:r w:rsidRPr="00E82E11">
              <w:rPr>
                <w:rFonts w:cs="Arial"/>
                <w:color w:val="000000"/>
              </w:rPr>
              <w:t>2,51E-02</w:t>
            </w:r>
          </w:p>
        </w:tc>
      </w:tr>
      <w:tr w:rsidR="00E70F56" w:rsidRPr="00275290" w14:paraId="32F2D8B7" w14:textId="77777777" w:rsidTr="000E1EAD">
        <w:tc>
          <w:tcPr>
            <w:tcW w:w="1952" w:type="dxa"/>
            <w:vMerge/>
            <w:vAlign w:val="center"/>
          </w:tcPr>
          <w:p w14:paraId="672D04E0" w14:textId="77777777" w:rsidR="00E70F56" w:rsidRPr="00275290" w:rsidRDefault="00E70F56" w:rsidP="00E70F56">
            <w:pPr>
              <w:rPr>
                <w:rFonts w:cs="Arial"/>
                <w:lang w:val="fr-FR"/>
              </w:rPr>
            </w:pPr>
          </w:p>
        </w:tc>
        <w:tc>
          <w:tcPr>
            <w:tcW w:w="1972" w:type="dxa"/>
            <w:vAlign w:val="center"/>
          </w:tcPr>
          <w:p w14:paraId="4520E728" w14:textId="77777777" w:rsidR="00E70F56" w:rsidRPr="00275290" w:rsidRDefault="00E70F56" w:rsidP="00E70F56">
            <w:pPr>
              <w:rPr>
                <w:rFonts w:cs="Arial"/>
                <w:lang w:val="fr-FR"/>
              </w:rPr>
            </w:pPr>
            <w:r w:rsidRPr="00275290">
              <w:rPr>
                <w:rFonts w:cs="Arial"/>
                <w:lang w:val="fr-FR"/>
              </w:rPr>
              <w:t>IPBC</w:t>
            </w:r>
          </w:p>
        </w:tc>
        <w:tc>
          <w:tcPr>
            <w:tcW w:w="1951" w:type="dxa"/>
            <w:vAlign w:val="center"/>
          </w:tcPr>
          <w:p w14:paraId="1A50C4F2" w14:textId="770AD5BF" w:rsidR="00E70F56" w:rsidRPr="0021636F" w:rsidRDefault="00E70F56" w:rsidP="00E70F56">
            <w:pPr>
              <w:rPr>
                <w:rFonts w:cs="Arial"/>
                <w:lang w:val="en-US"/>
              </w:rPr>
            </w:pPr>
            <w:r w:rsidRPr="00E82E11">
              <w:rPr>
                <w:rFonts w:cs="Arial"/>
                <w:color w:val="000000"/>
              </w:rPr>
              <w:t>6,41E-04</w:t>
            </w:r>
          </w:p>
        </w:tc>
        <w:tc>
          <w:tcPr>
            <w:tcW w:w="1947" w:type="dxa"/>
            <w:vAlign w:val="center"/>
          </w:tcPr>
          <w:p w14:paraId="27A04278" w14:textId="75B6EF81" w:rsidR="00E70F56" w:rsidRPr="0021636F" w:rsidRDefault="00E70F56" w:rsidP="00E70F56">
            <w:pPr>
              <w:rPr>
                <w:rFonts w:cs="Arial"/>
                <w:lang w:val="en-US"/>
              </w:rPr>
            </w:pPr>
            <w:r w:rsidRPr="00E82E11">
              <w:rPr>
                <w:rFonts w:cs="Arial"/>
                <w:color w:val="000000"/>
              </w:rPr>
              <w:t>5,93E-02</w:t>
            </w:r>
          </w:p>
        </w:tc>
        <w:tc>
          <w:tcPr>
            <w:tcW w:w="1947" w:type="dxa"/>
            <w:vAlign w:val="center"/>
          </w:tcPr>
          <w:p w14:paraId="4A22C52B" w14:textId="060F1018" w:rsidR="00E70F56" w:rsidRPr="0021636F" w:rsidRDefault="00E70F56" w:rsidP="00E70F56">
            <w:pPr>
              <w:rPr>
                <w:rFonts w:cs="Arial"/>
                <w:lang w:val="en-US"/>
              </w:rPr>
            </w:pPr>
            <w:r w:rsidRPr="00E82E11">
              <w:rPr>
                <w:rFonts w:cs="Arial"/>
                <w:color w:val="000000"/>
              </w:rPr>
              <w:t>5,99E-02</w:t>
            </w:r>
          </w:p>
        </w:tc>
      </w:tr>
      <w:tr w:rsidR="009B4836" w:rsidRPr="00275290" w14:paraId="210066DC" w14:textId="77777777" w:rsidTr="00623C84">
        <w:tc>
          <w:tcPr>
            <w:tcW w:w="1952" w:type="dxa"/>
            <w:vMerge w:val="restart"/>
            <w:vAlign w:val="center"/>
          </w:tcPr>
          <w:p w14:paraId="06E46383" w14:textId="588D1732" w:rsidR="009B4836" w:rsidRPr="00275290" w:rsidRDefault="009B4836" w:rsidP="009B4836">
            <w:pPr>
              <w:rPr>
                <w:rFonts w:cs="Arial"/>
                <w:lang w:val="fr-FR"/>
              </w:rPr>
            </w:pPr>
            <w:r w:rsidRPr="00275290">
              <w:rPr>
                <w:rFonts w:cs="Arial"/>
                <w:lang w:val="en-US"/>
              </w:rPr>
              <w:t>Product application phase</w:t>
            </w:r>
            <w:r>
              <w:rPr>
                <w:rFonts w:cs="Arial"/>
                <w:lang w:val="en-US"/>
              </w:rPr>
              <w:t xml:space="preserve">  - injection</w:t>
            </w:r>
          </w:p>
        </w:tc>
        <w:tc>
          <w:tcPr>
            <w:tcW w:w="1972" w:type="dxa"/>
            <w:vAlign w:val="center"/>
          </w:tcPr>
          <w:p w14:paraId="02CA50F1" w14:textId="45A6B9EE" w:rsidR="009B4836" w:rsidRPr="00275290" w:rsidRDefault="009B4836" w:rsidP="009B4836">
            <w:pPr>
              <w:rPr>
                <w:rFonts w:cs="Arial"/>
                <w:lang w:val="fr-FR"/>
              </w:rPr>
            </w:pPr>
            <w:r w:rsidRPr="00275290">
              <w:rPr>
                <w:rFonts w:cs="Arial"/>
                <w:lang w:val="fr-FR"/>
              </w:rPr>
              <w:t>Cyperméthrine</w:t>
            </w:r>
          </w:p>
        </w:tc>
        <w:tc>
          <w:tcPr>
            <w:tcW w:w="1951" w:type="dxa"/>
            <w:vAlign w:val="center"/>
          </w:tcPr>
          <w:p w14:paraId="268FD171" w14:textId="5F0A0EC9" w:rsidR="009B4836" w:rsidRPr="0021636F" w:rsidRDefault="009B4836" w:rsidP="009B4836">
            <w:pPr>
              <w:rPr>
                <w:rFonts w:cs="Arial"/>
                <w:lang w:val="en-US"/>
              </w:rPr>
            </w:pPr>
            <w:r w:rsidRPr="0021636F">
              <w:rPr>
                <w:rFonts w:cs="Arial"/>
                <w:lang w:val="en-US"/>
              </w:rPr>
              <w:t>1,09E-04</w:t>
            </w:r>
          </w:p>
        </w:tc>
        <w:tc>
          <w:tcPr>
            <w:tcW w:w="1947" w:type="dxa"/>
            <w:vAlign w:val="center"/>
          </w:tcPr>
          <w:p w14:paraId="7662B61D" w14:textId="1FE60E30" w:rsidR="009B4836" w:rsidRPr="0021636F" w:rsidRDefault="009B4836" w:rsidP="009B4836">
            <w:pPr>
              <w:rPr>
                <w:rFonts w:cs="Arial"/>
                <w:lang w:val="en-US"/>
              </w:rPr>
            </w:pPr>
            <w:r w:rsidRPr="0021636F">
              <w:rPr>
                <w:rFonts w:cs="Arial"/>
                <w:lang w:val="en-US"/>
              </w:rPr>
              <w:t>9,49E-03</w:t>
            </w:r>
          </w:p>
        </w:tc>
        <w:tc>
          <w:tcPr>
            <w:tcW w:w="1947" w:type="dxa"/>
            <w:vAlign w:val="center"/>
          </w:tcPr>
          <w:p w14:paraId="43F1741D" w14:textId="57BB00C2" w:rsidR="009B4836" w:rsidRPr="0021636F" w:rsidRDefault="009B4836" w:rsidP="009B4836">
            <w:pPr>
              <w:rPr>
                <w:rFonts w:cs="Arial"/>
                <w:lang w:val="en-US"/>
              </w:rPr>
            </w:pPr>
            <w:r w:rsidRPr="0021636F">
              <w:rPr>
                <w:rFonts w:cs="Arial"/>
                <w:lang w:val="en-US"/>
              </w:rPr>
              <w:t>9,60E-03</w:t>
            </w:r>
          </w:p>
        </w:tc>
      </w:tr>
      <w:tr w:rsidR="009B4836" w:rsidRPr="00275290" w14:paraId="50BE999A" w14:textId="77777777" w:rsidTr="00623C84">
        <w:tc>
          <w:tcPr>
            <w:tcW w:w="1952" w:type="dxa"/>
            <w:vMerge/>
            <w:vAlign w:val="center"/>
          </w:tcPr>
          <w:p w14:paraId="2776D619" w14:textId="77777777" w:rsidR="009B4836" w:rsidRPr="00275290" w:rsidRDefault="009B4836" w:rsidP="009B4836">
            <w:pPr>
              <w:rPr>
                <w:rFonts w:cs="Arial"/>
                <w:lang w:val="fr-FR"/>
              </w:rPr>
            </w:pPr>
          </w:p>
        </w:tc>
        <w:tc>
          <w:tcPr>
            <w:tcW w:w="1972" w:type="dxa"/>
            <w:vAlign w:val="center"/>
          </w:tcPr>
          <w:p w14:paraId="15003E33" w14:textId="2837C67D" w:rsidR="009B4836" w:rsidRPr="00275290" w:rsidRDefault="009B4836" w:rsidP="009B4836">
            <w:pPr>
              <w:rPr>
                <w:rFonts w:cs="Arial"/>
                <w:lang w:val="fr-FR"/>
              </w:rPr>
            </w:pPr>
            <w:r w:rsidRPr="00275290">
              <w:rPr>
                <w:rFonts w:cs="Arial"/>
                <w:lang w:val="fr-FR"/>
              </w:rPr>
              <w:t>Propiconazole</w:t>
            </w:r>
          </w:p>
        </w:tc>
        <w:tc>
          <w:tcPr>
            <w:tcW w:w="1951" w:type="dxa"/>
            <w:vAlign w:val="center"/>
          </w:tcPr>
          <w:p w14:paraId="455ED815" w14:textId="3C18EA98" w:rsidR="009B4836" w:rsidRPr="0021636F" w:rsidRDefault="009B4836" w:rsidP="009B4836">
            <w:pPr>
              <w:rPr>
                <w:rFonts w:cs="Arial"/>
                <w:lang w:val="en-US"/>
              </w:rPr>
            </w:pPr>
            <w:r w:rsidRPr="0021636F">
              <w:rPr>
                <w:rFonts w:cs="Arial"/>
                <w:lang w:val="en-US"/>
              </w:rPr>
              <w:t>2,17E-04</w:t>
            </w:r>
          </w:p>
        </w:tc>
        <w:tc>
          <w:tcPr>
            <w:tcW w:w="1947" w:type="dxa"/>
            <w:vAlign w:val="center"/>
          </w:tcPr>
          <w:p w14:paraId="62948840" w14:textId="22EC9413" w:rsidR="009B4836" w:rsidRPr="0021636F" w:rsidRDefault="009B4836" w:rsidP="009B4836">
            <w:pPr>
              <w:rPr>
                <w:rFonts w:cs="Arial"/>
                <w:lang w:val="en-US"/>
              </w:rPr>
            </w:pPr>
            <w:r w:rsidRPr="0021636F">
              <w:rPr>
                <w:rFonts w:cs="Arial"/>
                <w:lang w:val="en-US"/>
              </w:rPr>
              <w:t>1,37E-02</w:t>
            </w:r>
          </w:p>
        </w:tc>
        <w:tc>
          <w:tcPr>
            <w:tcW w:w="1947" w:type="dxa"/>
            <w:vAlign w:val="center"/>
          </w:tcPr>
          <w:p w14:paraId="773BEB4B" w14:textId="68F961FC" w:rsidR="009B4836" w:rsidRPr="0021636F" w:rsidRDefault="009B4836" w:rsidP="009B4836">
            <w:pPr>
              <w:rPr>
                <w:rFonts w:cs="Arial"/>
                <w:lang w:val="en-US"/>
              </w:rPr>
            </w:pPr>
            <w:r w:rsidRPr="0021636F">
              <w:rPr>
                <w:rFonts w:cs="Arial"/>
                <w:lang w:val="en-US"/>
              </w:rPr>
              <w:t>1,39E-02</w:t>
            </w:r>
          </w:p>
        </w:tc>
      </w:tr>
      <w:tr w:rsidR="009B4836" w:rsidRPr="00275290" w14:paraId="5C9E7C83" w14:textId="77777777" w:rsidTr="00623C84">
        <w:tc>
          <w:tcPr>
            <w:tcW w:w="1952" w:type="dxa"/>
            <w:vMerge/>
            <w:vAlign w:val="center"/>
          </w:tcPr>
          <w:p w14:paraId="3B177E70" w14:textId="77777777" w:rsidR="009B4836" w:rsidRPr="00275290" w:rsidRDefault="009B4836" w:rsidP="009B4836">
            <w:pPr>
              <w:rPr>
                <w:rFonts w:cs="Arial"/>
                <w:lang w:val="fr-FR"/>
              </w:rPr>
            </w:pPr>
          </w:p>
        </w:tc>
        <w:tc>
          <w:tcPr>
            <w:tcW w:w="1972" w:type="dxa"/>
            <w:vAlign w:val="center"/>
          </w:tcPr>
          <w:p w14:paraId="0F5A7232" w14:textId="7EC679E1" w:rsidR="009B4836" w:rsidRPr="00275290" w:rsidRDefault="009B4836" w:rsidP="009B4836">
            <w:pPr>
              <w:rPr>
                <w:rFonts w:cs="Arial"/>
                <w:lang w:val="fr-FR"/>
              </w:rPr>
            </w:pPr>
            <w:r w:rsidRPr="00275290">
              <w:rPr>
                <w:rFonts w:cs="Arial"/>
                <w:lang w:val="fr-FR"/>
              </w:rPr>
              <w:t xml:space="preserve">Tébuconazole </w:t>
            </w:r>
          </w:p>
        </w:tc>
        <w:tc>
          <w:tcPr>
            <w:tcW w:w="1951" w:type="dxa"/>
            <w:vAlign w:val="center"/>
          </w:tcPr>
          <w:p w14:paraId="1BDBA409" w14:textId="4230EC85" w:rsidR="009B4836" w:rsidRPr="0021636F" w:rsidRDefault="009B4836" w:rsidP="009B4836">
            <w:pPr>
              <w:rPr>
                <w:rFonts w:cs="Arial"/>
                <w:lang w:val="en-US"/>
              </w:rPr>
            </w:pPr>
            <w:r w:rsidRPr="0021636F">
              <w:rPr>
                <w:rFonts w:cs="Arial"/>
                <w:lang w:val="en-US"/>
              </w:rPr>
              <w:t>6,79E-05</w:t>
            </w:r>
          </w:p>
        </w:tc>
        <w:tc>
          <w:tcPr>
            <w:tcW w:w="1947" w:type="dxa"/>
            <w:vAlign w:val="center"/>
          </w:tcPr>
          <w:p w14:paraId="5430A5C4" w14:textId="69EE7A56" w:rsidR="009B4836" w:rsidRPr="0021636F" w:rsidRDefault="009B4836" w:rsidP="009B4836">
            <w:pPr>
              <w:rPr>
                <w:rFonts w:cs="Arial"/>
                <w:lang w:val="en-US"/>
              </w:rPr>
            </w:pPr>
            <w:r w:rsidRPr="0021636F">
              <w:rPr>
                <w:rFonts w:cs="Arial"/>
                <w:lang w:val="en-US"/>
              </w:rPr>
              <w:t>5,11E-03</w:t>
            </w:r>
          </w:p>
        </w:tc>
        <w:tc>
          <w:tcPr>
            <w:tcW w:w="1947" w:type="dxa"/>
            <w:vAlign w:val="center"/>
          </w:tcPr>
          <w:p w14:paraId="69542864" w14:textId="7CD83524" w:rsidR="009B4836" w:rsidRPr="0021636F" w:rsidRDefault="009B4836" w:rsidP="009B4836">
            <w:pPr>
              <w:rPr>
                <w:rFonts w:cs="Arial"/>
                <w:lang w:val="en-US"/>
              </w:rPr>
            </w:pPr>
            <w:r w:rsidRPr="0021636F">
              <w:rPr>
                <w:rFonts w:cs="Arial"/>
                <w:lang w:val="en-US"/>
              </w:rPr>
              <w:t>5,18E-03</w:t>
            </w:r>
          </w:p>
        </w:tc>
      </w:tr>
      <w:tr w:rsidR="009B4836" w:rsidRPr="00275290" w14:paraId="4BF82900" w14:textId="77777777" w:rsidTr="00623C84">
        <w:tc>
          <w:tcPr>
            <w:tcW w:w="1952" w:type="dxa"/>
            <w:vMerge/>
            <w:vAlign w:val="center"/>
          </w:tcPr>
          <w:p w14:paraId="471B94EA" w14:textId="77777777" w:rsidR="009B4836" w:rsidRPr="00275290" w:rsidRDefault="009B4836" w:rsidP="009B4836">
            <w:pPr>
              <w:rPr>
                <w:rFonts w:cs="Arial"/>
                <w:lang w:val="fr-FR"/>
              </w:rPr>
            </w:pPr>
          </w:p>
        </w:tc>
        <w:tc>
          <w:tcPr>
            <w:tcW w:w="1972" w:type="dxa"/>
            <w:vAlign w:val="center"/>
          </w:tcPr>
          <w:p w14:paraId="082CC15C" w14:textId="1F3EB017" w:rsidR="009B4836" w:rsidRPr="00275290" w:rsidRDefault="009B4836" w:rsidP="009B4836">
            <w:pPr>
              <w:rPr>
                <w:rFonts w:cs="Arial"/>
                <w:lang w:val="fr-FR"/>
              </w:rPr>
            </w:pPr>
            <w:r w:rsidRPr="00275290">
              <w:rPr>
                <w:rFonts w:cs="Arial"/>
                <w:lang w:val="fr-FR"/>
              </w:rPr>
              <w:t>IPBC</w:t>
            </w:r>
          </w:p>
        </w:tc>
        <w:tc>
          <w:tcPr>
            <w:tcW w:w="1951" w:type="dxa"/>
            <w:vAlign w:val="center"/>
          </w:tcPr>
          <w:p w14:paraId="38028C90" w14:textId="0D7BA89B" w:rsidR="009B4836" w:rsidRPr="0021636F" w:rsidRDefault="009B4836" w:rsidP="009B4836">
            <w:pPr>
              <w:rPr>
                <w:rFonts w:cs="Arial"/>
                <w:lang w:val="en-US"/>
              </w:rPr>
            </w:pPr>
            <w:r w:rsidRPr="0021636F">
              <w:rPr>
                <w:rFonts w:cs="Arial"/>
                <w:lang w:val="en-US"/>
              </w:rPr>
              <w:t>6,79E-05</w:t>
            </w:r>
          </w:p>
        </w:tc>
        <w:tc>
          <w:tcPr>
            <w:tcW w:w="1947" w:type="dxa"/>
            <w:vAlign w:val="center"/>
          </w:tcPr>
          <w:p w14:paraId="54D7353F" w14:textId="5C0005D1" w:rsidR="009B4836" w:rsidRPr="0021636F" w:rsidRDefault="009B4836" w:rsidP="009B4836">
            <w:pPr>
              <w:rPr>
                <w:rFonts w:cs="Arial"/>
                <w:lang w:val="en-US"/>
              </w:rPr>
            </w:pPr>
            <w:r w:rsidRPr="0021636F">
              <w:rPr>
                <w:rFonts w:cs="Arial"/>
                <w:lang w:val="en-US"/>
              </w:rPr>
              <w:t>1,24E-02</w:t>
            </w:r>
          </w:p>
        </w:tc>
        <w:tc>
          <w:tcPr>
            <w:tcW w:w="1947" w:type="dxa"/>
            <w:vAlign w:val="center"/>
          </w:tcPr>
          <w:p w14:paraId="5F228FEC" w14:textId="07EC1605" w:rsidR="009B4836" w:rsidRPr="0021636F" w:rsidRDefault="009B4836" w:rsidP="009B4836">
            <w:pPr>
              <w:rPr>
                <w:rFonts w:cs="Arial"/>
                <w:lang w:val="en-US"/>
              </w:rPr>
            </w:pPr>
            <w:r w:rsidRPr="0021636F">
              <w:rPr>
                <w:rFonts w:cs="Arial"/>
                <w:lang w:val="en-US"/>
              </w:rPr>
              <w:t>1,24E-02</w:t>
            </w:r>
          </w:p>
        </w:tc>
      </w:tr>
      <w:tr w:rsidR="00AF3C07" w:rsidRPr="00275290" w14:paraId="7FEAE80B" w14:textId="77777777" w:rsidTr="00623C84">
        <w:tc>
          <w:tcPr>
            <w:tcW w:w="1952" w:type="dxa"/>
            <w:vMerge w:val="restart"/>
            <w:vAlign w:val="center"/>
          </w:tcPr>
          <w:p w14:paraId="2970B302" w14:textId="77777777" w:rsidR="00AF3C07" w:rsidRPr="00275290" w:rsidRDefault="00AF3C07" w:rsidP="00AF3C07">
            <w:pPr>
              <w:rPr>
                <w:rFonts w:cs="Arial"/>
                <w:lang w:val="en-US"/>
              </w:rPr>
            </w:pPr>
            <w:r w:rsidRPr="00275290">
              <w:rPr>
                <w:rFonts w:cs="Arial"/>
                <w:lang w:val="en-US"/>
              </w:rPr>
              <w:t xml:space="preserve">Cleaning phase </w:t>
            </w:r>
          </w:p>
        </w:tc>
        <w:tc>
          <w:tcPr>
            <w:tcW w:w="1972" w:type="dxa"/>
            <w:vAlign w:val="center"/>
          </w:tcPr>
          <w:p w14:paraId="639014FD" w14:textId="77777777" w:rsidR="00AF3C07" w:rsidRPr="00275290" w:rsidRDefault="00AF3C07" w:rsidP="00AF3C07">
            <w:pPr>
              <w:rPr>
                <w:rFonts w:cs="Arial"/>
                <w:lang w:val="fr-FR"/>
              </w:rPr>
            </w:pPr>
            <w:r w:rsidRPr="00275290">
              <w:rPr>
                <w:rFonts w:cs="Arial"/>
                <w:lang w:val="fr-FR"/>
              </w:rPr>
              <w:t>Cyperméthrine</w:t>
            </w:r>
          </w:p>
        </w:tc>
        <w:tc>
          <w:tcPr>
            <w:tcW w:w="1951" w:type="dxa"/>
            <w:vAlign w:val="center"/>
          </w:tcPr>
          <w:p w14:paraId="29820FC5" w14:textId="77777777" w:rsidR="00AF3C07" w:rsidRPr="0021636F" w:rsidRDefault="00AF3C07" w:rsidP="00AF3C07">
            <w:pPr>
              <w:rPr>
                <w:rFonts w:cs="Arial"/>
                <w:lang w:val="en-US"/>
              </w:rPr>
            </w:pPr>
            <w:r w:rsidRPr="0021636F">
              <w:rPr>
                <w:rFonts w:cs="Arial"/>
                <w:lang w:val="en-US"/>
              </w:rPr>
              <w:t>-</w:t>
            </w:r>
          </w:p>
        </w:tc>
        <w:tc>
          <w:tcPr>
            <w:tcW w:w="1947" w:type="dxa"/>
            <w:vAlign w:val="center"/>
          </w:tcPr>
          <w:p w14:paraId="7DA3B495" w14:textId="0AE90F4F" w:rsidR="00AF3C07" w:rsidRPr="000E1EAD" w:rsidRDefault="00AF3C07" w:rsidP="000E1EAD">
            <w:pPr>
              <w:suppressAutoHyphens w:val="0"/>
              <w:rPr>
                <w:rFonts w:cs="Arial"/>
                <w:color w:val="000000"/>
              </w:rPr>
            </w:pPr>
            <w:r w:rsidRPr="000E1EAD">
              <w:rPr>
                <w:rFonts w:cs="Arial"/>
                <w:color w:val="000000"/>
              </w:rPr>
              <w:t>5,29E-03</w:t>
            </w:r>
          </w:p>
        </w:tc>
        <w:tc>
          <w:tcPr>
            <w:tcW w:w="1947" w:type="dxa"/>
            <w:vAlign w:val="center"/>
          </w:tcPr>
          <w:p w14:paraId="0C53A4EE" w14:textId="6CAB74EF" w:rsidR="00AF3C07" w:rsidRPr="0021636F" w:rsidRDefault="00AF3C07" w:rsidP="00AF3C07">
            <w:pPr>
              <w:rPr>
                <w:rFonts w:cs="Arial"/>
                <w:lang w:val="en-US"/>
              </w:rPr>
            </w:pPr>
            <w:r w:rsidRPr="00E82E11">
              <w:rPr>
                <w:rFonts w:cs="Arial"/>
                <w:color w:val="000000"/>
              </w:rPr>
              <w:t>5,29E-03</w:t>
            </w:r>
          </w:p>
        </w:tc>
      </w:tr>
      <w:tr w:rsidR="00AF3C07" w:rsidRPr="00275290" w14:paraId="19E2933D" w14:textId="77777777" w:rsidTr="00623C84">
        <w:tc>
          <w:tcPr>
            <w:tcW w:w="1952" w:type="dxa"/>
            <w:vMerge/>
            <w:vAlign w:val="center"/>
          </w:tcPr>
          <w:p w14:paraId="71D4E6ED" w14:textId="77777777" w:rsidR="00AF3C07" w:rsidRPr="00275290" w:rsidRDefault="00AF3C07" w:rsidP="00AF3C07">
            <w:pPr>
              <w:rPr>
                <w:rFonts w:cs="Arial"/>
                <w:lang w:val="fr-FR"/>
              </w:rPr>
            </w:pPr>
          </w:p>
        </w:tc>
        <w:tc>
          <w:tcPr>
            <w:tcW w:w="1972" w:type="dxa"/>
            <w:vAlign w:val="center"/>
          </w:tcPr>
          <w:p w14:paraId="0FAC18E6" w14:textId="77777777" w:rsidR="00AF3C07" w:rsidRPr="00275290" w:rsidRDefault="00AF3C07" w:rsidP="00AF3C07">
            <w:pPr>
              <w:rPr>
                <w:rFonts w:cs="Arial"/>
                <w:lang w:val="fr-FR"/>
              </w:rPr>
            </w:pPr>
            <w:r w:rsidRPr="00275290">
              <w:rPr>
                <w:rFonts w:cs="Arial"/>
                <w:lang w:val="fr-FR"/>
              </w:rPr>
              <w:t>Propiconazole</w:t>
            </w:r>
          </w:p>
        </w:tc>
        <w:tc>
          <w:tcPr>
            <w:tcW w:w="1951" w:type="dxa"/>
            <w:vAlign w:val="center"/>
          </w:tcPr>
          <w:p w14:paraId="5843DA56" w14:textId="77777777" w:rsidR="00AF3C07" w:rsidRPr="0021636F" w:rsidRDefault="00AF3C07" w:rsidP="00AF3C07">
            <w:pPr>
              <w:rPr>
                <w:rFonts w:cs="Arial"/>
                <w:lang w:val="en-US"/>
              </w:rPr>
            </w:pPr>
            <w:r w:rsidRPr="0021636F">
              <w:rPr>
                <w:rFonts w:cs="Arial"/>
                <w:lang w:val="en-US"/>
              </w:rPr>
              <w:t>-</w:t>
            </w:r>
          </w:p>
        </w:tc>
        <w:tc>
          <w:tcPr>
            <w:tcW w:w="1947" w:type="dxa"/>
            <w:vAlign w:val="center"/>
          </w:tcPr>
          <w:p w14:paraId="3E1C0A95" w14:textId="08B1F5B4" w:rsidR="00AF3C07" w:rsidRPr="000E1EAD" w:rsidRDefault="00AF3C07" w:rsidP="000E1EAD">
            <w:pPr>
              <w:suppressAutoHyphens w:val="0"/>
              <w:rPr>
                <w:rFonts w:cs="Arial"/>
                <w:color w:val="000000"/>
              </w:rPr>
            </w:pPr>
            <w:r w:rsidRPr="000E1EAD">
              <w:rPr>
                <w:rFonts w:cs="Arial"/>
                <w:color w:val="000000"/>
              </w:rPr>
              <w:t>7,65E-03</w:t>
            </w:r>
          </w:p>
        </w:tc>
        <w:tc>
          <w:tcPr>
            <w:tcW w:w="1947" w:type="dxa"/>
            <w:vAlign w:val="center"/>
          </w:tcPr>
          <w:p w14:paraId="54CEBAD6" w14:textId="6F884E8F" w:rsidR="00AF3C07" w:rsidRPr="0021636F" w:rsidRDefault="00AF3C07" w:rsidP="00AF3C07">
            <w:pPr>
              <w:rPr>
                <w:rFonts w:cs="Arial"/>
                <w:lang w:val="en-US"/>
              </w:rPr>
            </w:pPr>
            <w:r w:rsidRPr="00E82E11">
              <w:rPr>
                <w:rFonts w:cs="Arial"/>
                <w:color w:val="000000"/>
              </w:rPr>
              <w:t>7,65E-03</w:t>
            </w:r>
          </w:p>
        </w:tc>
      </w:tr>
      <w:tr w:rsidR="00AF3C07" w:rsidRPr="00275290" w14:paraId="1416BDCB" w14:textId="77777777" w:rsidTr="00623C84">
        <w:tc>
          <w:tcPr>
            <w:tcW w:w="1952" w:type="dxa"/>
            <w:vMerge/>
            <w:vAlign w:val="center"/>
          </w:tcPr>
          <w:p w14:paraId="2437496D" w14:textId="77777777" w:rsidR="00AF3C07" w:rsidRPr="00275290" w:rsidRDefault="00AF3C07" w:rsidP="00AF3C07">
            <w:pPr>
              <w:rPr>
                <w:rFonts w:cs="Arial"/>
                <w:lang w:val="fr-FR"/>
              </w:rPr>
            </w:pPr>
          </w:p>
        </w:tc>
        <w:tc>
          <w:tcPr>
            <w:tcW w:w="1972" w:type="dxa"/>
            <w:vAlign w:val="center"/>
          </w:tcPr>
          <w:p w14:paraId="7808B243" w14:textId="77777777" w:rsidR="00AF3C07" w:rsidRPr="00275290" w:rsidRDefault="00AF3C07" w:rsidP="00AF3C07">
            <w:pPr>
              <w:rPr>
                <w:rFonts w:cs="Arial"/>
                <w:lang w:val="fr-FR"/>
              </w:rPr>
            </w:pPr>
            <w:r w:rsidRPr="00275290">
              <w:rPr>
                <w:rFonts w:cs="Arial"/>
                <w:lang w:val="fr-FR"/>
              </w:rPr>
              <w:t>Tébuconazole</w:t>
            </w:r>
          </w:p>
        </w:tc>
        <w:tc>
          <w:tcPr>
            <w:tcW w:w="1951" w:type="dxa"/>
            <w:vAlign w:val="center"/>
          </w:tcPr>
          <w:p w14:paraId="00ABA21D" w14:textId="77777777" w:rsidR="00AF3C07" w:rsidRPr="0021636F" w:rsidRDefault="00AF3C07" w:rsidP="00AF3C07">
            <w:pPr>
              <w:rPr>
                <w:rFonts w:cs="Arial"/>
                <w:lang w:val="en-US"/>
              </w:rPr>
            </w:pPr>
            <w:r w:rsidRPr="0021636F">
              <w:rPr>
                <w:rFonts w:cs="Arial"/>
                <w:lang w:val="en-US"/>
              </w:rPr>
              <w:t>-</w:t>
            </w:r>
          </w:p>
        </w:tc>
        <w:tc>
          <w:tcPr>
            <w:tcW w:w="1947" w:type="dxa"/>
            <w:vAlign w:val="center"/>
          </w:tcPr>
          <w:p w14:paraId="5376EA0E" w14:textId="5B3ABCBB" w:rsidR="00AF3C07" w:rsidRPr="000E1EAD" w:rsidRDefault="00AF3C07" w:rsidP="000E1EAD">
            <w:pPr>
              <w:suppressAutoHyphens w:val="0"/>
              <w:rPr>
                <w:rFonts w:cs="Arial"/>
                <w:color w:val="000000"/>
              </w:rPr>
            </w:pPr>
            <w:r w:rsidRPr="000E1EAD">
              <w:rPr>
                <w:rFonts w:cs="Arial"/>
                <w:color w:val="000000"/>
              </w:rPr>
              <w:t>2,85E-03</w:t>
            </w:r>
          </w:p>
        </w:tc>
        <w:tc>
          <w:tcPr>
            <w:tcW w:w="1947" w:type="dxa"/>
            <w:vAlign w:val="center"/>
          </w:tcPr>
          <w:p w14:paraId="13FE0BC8" w14:textId="41338470" w:rsidR="00AF3C07" w:rsidRPr="0021636F" w:rsidRDefault="00AF3C07" w:rsidP="00AF3C07">
            <w:pPr>
              <w:rPr>
                <w:rFonts w:cs="Arial"/>
                <w:lang w:val="en-US"/>
              </w:rPr>
            </w:pPr>
            <w:r w:rsidRPr="00E82E11">
              <w:rPr>
                <w:rFonts w:cs="Arial"/>
                <w:color w:val="000000"/>
              </w:rPr>
              <w:t>2,85E-03</w:t>
            </w:r>
          </w:p>
        </w:tc>
      </w:tr>
      <w:tr w:rsidR="00AF3C07" w:rsidRPr="00275290" w14:paraId="3334AEEB" w14:textId="77777777" w:rsidTr="00623C84">
        <w:tc>
          <w:tcPr>
            <w:tcW w:w="1952" w:type="dxa"/>
            <w:vMerge/>
            <w:vAlign w:val="center"/>
          </w:tcPr>
          <w:p w14:paraId="477BC8D2" w14:textId="77777777" w:rsidR="00AF3C07" w:rsidRPr="00275290" w:rsidRDefault="00AF3C07" w:rsidP="00AF3C07">
            <w:pPr>
              <w:rPr>
                <w:rFonts w:cs="Arial"/>
                <w:lang w:val="fr-FR"/>
              </w:rPr>
            </w:pPr>
          </w:p>
        </w:tc>
        <w:tc>
          <w:tcPr>
            <w:tcW w:w="1972" w:type="dxa"/>
            <w:vAlign w:val="center"/>
          </w:tcPr>
          <w:p w14:paraId="72D40357" w14:textId="77777777" w:rsidR="00AF3C07" w:rsidRPr="00275290" w:rsidRDefault="00AF3C07" w:rsidP="00AF3C07">
            <w:pPr>
              <w:rPr>
                <w:rFonts w:cs="Arial"/>
                <w:lang w:val="fr-FR"/>
              </w:rPr>
            </w:pPr>
            <w:r w:rsidRPr="00275290">
              <w:rPr>
                <w:rFonts w:cs="Arial"/>
                <w:lang w:val="fr-FR"/>
              </w:rPr>
              <w:t>IPBC</w:t>
            </w:r>
          </w:p>
        </w:tc>
        <w:tc>
          <w:tcPr>
            <w:tcW w:w="1951" w:type="dxa"/>
            <w:vAlign w:val="center"/>
          </w:tcPr>
          <w:p w14:paraId="4A9125C1" w14:textId="77777777" w:rsidR="00AF3C07" w:rsidRPr="0021636F" w:rsidRDefault="00AF3C07" w:rsidP="00AF3C07">
            <w:pPr>
              <w:rPr>
                <w:rFonts w:cs="Arial"/>
                <w:lang w:val="en-US"/>
              </w:rPr>
            </w:pPr>
            <w:r w:rsidRPr="0021636F">
              <w:rPr>
                <w:rFonts w:cs="Arial"/>
                <w:lang w:val="en-US"/>
              </w:rPr>
              <w:t>-</w:t>
            </w:r>
          </w:p>
        </w:tc>
        <w:tc>
          <w:tcPr>
            <w:tcW w:w="1947" w:type="dxa"/>
            <w:vAlign w:val="center"/>
          </w:tcPr>
          <w:p w14:paraId="3D622E69" w14:textId="706C99BF" w:rsidR="00AF3C07" w:rsidRPr="000E1EAD" w:rsidRDefault="00AF3C07" w:rsidP="000E1EAD">
            <w:pPr>
              <w:suppressAutoHyphens w:val="0"/>
              <w:rPr>
                <w:rFonts w:cs="Arial"/>
                <w:color w:val="000000"/>
              </w:rPr>
            </w:pPr>
            <w:r w:rsidRPr="000E1EAD">
              <w:rPr>
                <w:rFonts w:cs="Arial"/>
                <w:color w:val="000000"/>
              </w:rPr>
              <w:t>6,89E-03</w:t>
            </w:r>
          </w:p>
        </w:tc>
        <w:tc>
          <w:tcPr>
            <w:tcW w:w="1947" w:type="dxa"/>
            <w:vAlign w:val="center"/>
          </w:tcPr>
          <w:p w14:paraId="7A9B4F0D" w14:textId="50FEFCD3" w:rsidR="00AF3C07" w:rsidRPr="0021636F" w:rsidRDefault="00AF3C07" w:rsidP="00AF3C07">
            <w:pPr>
              <w:rPr>
                <w:rFonts w:cs="Arial"/>
                <w:lang w:val="en-US"/>
              </w:rPr>
            </w:pPr>
            <w:r w:rsidRPr="00E82E11">
              <w:rPr>
                <w:rFonts w:cs="Arial"/>
                <w:color w:val="000000"/>
              </w:rPr>
              <w:t>6,89E-03</w:t>
            </w:r>
          </w:p>
        </w:tc>
      </w:tr>
      <w:tr w:rsidR="00E70F56" w:rsidRPr="00275290" w14:paraId="6263BBC6" w14:textId="77777777" w:rsidTr="000E1EAD">
        <w:tc>
          <w:tcPr>
            <w:tcW w:w="1952" w:type="dxa"/>
            <w:vMerge w:val="restart"/>
            <w:shd w:val="clear" w:color="auto" w:fill="C6D9F1"/>
            <w:vAlign w:val="center"/>
          </w:tcPr>
          <w:p w14:paraId="07273754" w14:textId="61361AAB" w:rsidR="00E70F56" w:rsidRPr="00275290" w:rsidRDefault="00E70F56" w:rsidP="00E70F56">
            <w:pPr>
              <w:rPr>
                <w:rFonts w:cs="Arial"/>
                <w:lang w:val="fr-FR"/>
              </w:rPr>
            </w:pPr>
            <w:r>
              <w:rPr>
                <w:rFonts w:cs="Arial"/>
                <w:lang w:val="fr-FR"/>
              </w:rPr>
              <w:t>Loading + a</w:t>
            </w:r>
            <w:r w:rsidRPr="00275290">
              <w:rPr>
                <w:rFonts w:cs="Arial"/>
                <w:lang w:val="fr-FR"/>
              </w:rPr>
              <w:t>ppli</w:t>
            </w:r>
            <w:r>
              <w:rPr>
                <w:rFonts w:cs="Arial"/>
                <w:lang w:val="fr-FR"/>
              </w:rPr>
              <w:t>cation</w:t>
            </w:r>
            <w:r w:rsidRPr="00275290">
              <w:rPr>
                <w:rFonts w:cs="Arial"/>
                <w:lang w:val="fr-FR"/>
              </w:rPr>
              <w:t xml:space="preserve"> + cleaning</w:t>
            </w:r>
          </w:p>
          <w:p w14:paraId="06824FB6" w14:textId="77777777" w:rsidR="00E70F56" w:rsidRPr="00275290" w:rsidRDefault="00E70F56" w:rsidP="00E70F56">
            <w:pPr>
              <w:rPr>
                <w:rFonts w:cs="Arial"/>
                <w:lang w:val="fr-FR"/>
              </w:rPr>
            </w:pPr>
          </w:p>
        </w:tc>
        <w:tc>
          <w:tcPr>
            <w:tcW w:w="1972" w:type="dxa"/>
            <w:shd w:val="clear" w:color="auto" w:fill="C6D9F1"/>
            <w:vAlign w:val="center"/>
          </w:tcPr>
          <w:p w14:paraId="5038A373" w14:textId="77777777" w:rsidR="00E70F56" w:rsidRPr="00275290" w:rsidRDefault="00E70F56" w:rsidP="00E70F56">
            <w:pPr>
              <w:rPr>
                <w:rFonts w:cs="Arial"/>
                <w:lang w:val="fr-FR"/>
              </w:rPr>
            </w:pPr>
            <w:r w:rsidRPr="00275290">
              <w:rPr>
                <w:rFonts w:cs="Arial"/>
                <w:lang w:val="fr-FR"/>
              </w:rPr>
              <w:t>Cyperméthrine</w:t>
            </w:r>
          </w:p>
        </w:tc>
        <w:tc>
          <w:tcPr>
            <w:tcW w:w="1951" w:type="dxa"/>
            <w:shd w:val="clear" w:color="auto" w:fill="C6D9F1"/>
            <w:vAlign w:val="center"/>
          </w:tcPr>
          <w:p w14:paraId="27E364AC" w14:textId="77777777" w:rsidR="00E70F56" w:rsidRPr="0021636F" w:rsidRDefault="00E70F56" w:rsidP="00E70F56">
            <w:pPr>
              <w:rPr>
                <w:rFonts w:cs="Arial"/>
                <w:lang w:val="en-US"/>
              </w:rPr>
            </w:pPr>
          </w:p>
        </w:tc>
        <w:tc>
          <w:tcPr>
            <w:tcW w:w="1947" w:type="dxa"/>
            <w:shd w:val="clear" w:color="auto" w:fill="C6D9F1"/>
          </w:tcPr>
          <w:p w14:paraId="5999D18E" w14:textId="77777777" w:rsidR="00E70F56" w:rsidRPr="0021636F" w:rsidRDefault="00E70F56" w:rsidP="00E70F56">
            <w:pPr>
              <w:rPr>
                <w:rFonts w:cs="Arial"/>
                <w:lang w:val="en-US"/>
              </w:rPr>
            </w:pPr>
          </w:p>
        </w:tc>
        <w:tc>
          <w:tcPr>
            <w:tcW w:w="1947" w:type="dxa"/>
            <w:tcBorders>
              <w:top w:val="nil"/>
              <w:left w:val="nil"/>
              <w:bottom w:val="nil"/>
              <w:right w:val="nil"/>
            </w:tcBorders>
            <w:shd w:val="clear" w:color="auto" w:fill="auto"/>
            <w:vAlign w:val="bottom"/>
          </w:tcPr>
          <w:p w14:paraId="7D0921D4" w14:textId="5BD47E27" w:rsidR="00E70F56" w:rsidRPr="0021636F" w:rsidRDefault="00E70F56" w:rsidP="00E70F56">
            <w:pPr>
              <w:rPr>
                <w:rFonts w:cs="Arial"/>
                <w:lang w:val="en-US"/>
              </w:rPr>
            </w:pPr>
            <w:r>
              <w:rPr>
                <w:rFonts w:ascii="Calibri" w:hAnsi="Calibri" w:cs="Calibri"/>
                <w:color w:val="000000"/>
                <w:sz w:val="22"/>
                <w:szCs w:val="22"/>
              </w:rPr>
              <w:t>6,35E-02</w:t>
            </w:r>
          </w:p>
        </w:tc>
      </w:tr>
      <w:tr w:rsidR="00E70F56" w:rsidRPr="00275290" w14:paraId="4BE43557" w14:textId="77777777" w:rsidTr="000E1EAD">
        <w:tc>
          <w:tcPr>
            <w:tcW w:w="1952" w:type="dxa"/>
            <w:vMerge/>
            <w:shd w:val="clear" w:color="auto" w:fill="C6D9F1"/>
            <w:vAlign w:val="center"/>
          </w:tcPr>
          <w:p w14:paraId="27277B37" w14:textId="77777777" w:rsidR="00E70F56" w:rsidRPr="00275290" w:rsidRDefault="00E70F56" w:rsidP="00E70F56">
            <w:pPr>
              <w:rPr>
                <w:rFonts w:cs="Arial"/>
                <w:lang w:val="fr-FR"/>
              </w:rPr>
            </w:pPr>
          </w:p>
        </w:tc>
        <w:tc>
          <w:tcPr>
            <w:tcW w:w="1972" w:type="dxa"/>
            <w:shd w:val="clear" w:color="auto" w:fill="C6D9F1"/>
            <w:vAlign w:val="center"/>
          </w:tcPr>
          <w:p w14:paraId="30AEB01E" w14:textId="77777777" w:rsidR="00E70F56" w:rsidRPr="00275290" w:rsidRDefault="00E70F56" w:rsidP="00E70F56">
            <w:pPr>
              <w:rPr>
                <w:rFonts w:cs="Arial"/>
                <w:lang w:val="fr-FR"/>
              </w:rPr>
            </w:pPr>
            <w:r w:rsidRPr="00275290">
              <w:rPr>
                <w:rFonts w:cs="Arial"/>
                <w:lang w:val="fr-FR"/>
              </w:rPr>
              <w:t>Propiconazole</w:t>
            </w:r>
          </w:p>
        </w:tc>
        <w:tc>
          <w:tcPr>
            <w:tcW w:w="1951" w:type="dxa"/>
            <w:shd w:val="clear" w:color="auto" w:fill="C6D9F1"/>
            <w:vAlign w:val="center"/>
          </w:tcPr>
          <w:p w14:paraId="38A73F26" w14:textId="77777777" w:rsidR="00E70F56" w:rsidRPr="0021636F" w:rsidRDefault="00E70F56" w:rsidP="00E70F56">
            <w:pPr>
              <w:rPr>
                <w:rFonts w:cs="Arial"/>
                <w:lang w:val="en-US"/>
              </w:rPr>
            </w:pPr>
          </w:p>
        </w:tc>
        <w:tc>
          <w:tcPr>
            <w:tcW w:w="1947" w:type="dxa"/>
            <w:shd w:val="clear" w:color="auto" w:fill="C6D9F1"/>
          </w:tcPr>
          <w:p w14:paraId="032E5CE4" w14:textId="77777777" w:rsidR="00E70F56" w:rsidRPr="0021636F" w:rsidRDefault="00E70F56" w:rsidP="00E70F56">
            <w:pPr>
              <w:rPr>
                <w:rFonts w:cs="Arial"/>
                <w:lang w:val="en-US"/>
              </w:rPr>
            </w:pPr>
          </w:p>
        </w:tc>
        <w:tc>
          <w:tcPr>
            <w:tcW w:w="1947" w:type="dxa"/>
            <w:tcBorders>
              <w:top w:val="nil"/>
              <w:left w:val="nil"/>
              <w:bottom w:val="nil"/>
              <w:right w:val="nil"/>
            </w:tcBorders>
            <w:shd w:val="clear" w:color="auto" w:fill="auto"/>
            <w:vAlign w:val="bottom"/>
          </w:tcPr>
          <w:p w14:paraId="24AE4044" w14:textId="1E80567A" w:rsidR="00E70F56" w:rsidRPr="0021636F" w:rsidRDefault="00E70F56" w:rsidP="00E70F56">
            <w:pPr>
              <w:rPr>
                <w:rFonts w:cs="Arial"/>
                <w:lang w:val="en-US"/>
              </w:rPr>
            </w:pPr>
            <w:r>
              <w:rPr>
                <w:rFonts w:ascii="Calibri" w:hAnsi="Calibri" w:cs="Calibri"/>
                <w:color w:val="000000"/>
                <w:sz w:val="22"/>
                <w:szCs w:val="22"/>
              </w:rPr>
              <w:t>9,21E-02</w:t>
            </w:r>
          </w:p>
        </w:tc>
      </w:tr>
      <w:tr w:rsidR="00E70F56" w:rsidRPr="00275290" w14:paraId="52981063" w14:textId="77777777" w:rsidTr="000E1EAD">
        <w:tc>
          <w:tcPr>
            <w:tcW w:w="1952" w:type="dxa"/>
            <w:vMerge/>
            <w:shd w:val="clear" w:color="auto" w:fill="C6D9F1"/>
            <w:vAlign w:val="center"/>
          </w:tcPr>
          <w:p w14:paraId="0CDF23C6" w14:textId="77777777" w:rsidR="00E70F56" w:rsidRPr="00275290" w:rsidRDefault="00E70F56" w:rsidP="00E70F56">
            <w:pPr>
              <w:rPr>
                <w:rFonts w:cs="Arial"/>
                <w:lang w:val="fr-FR"/>
              </w:rPr>
            </w:pPr>
          </w:p>
        </w:tc>
        <w:tc>
          <w:tcPr>
            <w:tcW w:w="1972" w:type="dxa"/>
            <w:shd w:val="clear" w:color="auto" w:fill="C6D9F1"/>
            <w:vAlign w:val="center"/>
          </w:tcPr>
          <w:p w14:paraId="676C1C3F" w14:textId="77777777" w:rsidR="00E70F56" w:rsidRPr="00275290" w:rsidRDefault="00E70F56" w:rsidP="00E70F56">
            <w:pPr>
              <w:rPr>
                <w:rFonts w:cs="Arial"/>
                <w:lang w:val="fr-FR"/>
              </w:rPr>
            </w:pPr>
            <w:r w:rsidRPr="00275290">
              <w:rPr>
                <w:rFonts w:cs="Arial"/>
                <w:lang w:val="fr-FR"/>
              </w:rPr>
              <w:t>Tébuconazole</w:t>
            </w:r>
          </w:p>
        </w:tc>
        <w:tc>
          <w:tcPr>
            <w:tcW w:w="1951" w:type="dxa"/>
            <w:shd w:val="clear" w:color="auto" w:fill="C6D9F1"/>
            <w:vAlign w:val="center"/>
          </w:tcPr>
          <w:p w14:paraId="39849B5E" w14:textId="77777777" w:rsidR="00E70F56" w:rsidRPr="0021636F" w:rsidRDefault="00E70F56" w:rsidP="00E70F56">
            <w:pPr>
              <w:rPr>
                <w:rFonts w:cs="Arial"/>
                <w:lang w:val="en-US"/>
              </w:rPr>
            </w:pPr>
          </w:p>
        </w:tc>
        <w:tc>
          <w:tcPr>
            <w:tcW w:w="1947" w:type="dxa"/>
            <w:shd w:val="clear" w:color="auto" w:fill="C6D9F1"/>
          </w:tcPr>
          <w:p w14:paraId="2F493001" w14:textId="77777777" w:rsidR="00E70F56" w:rsidRPr="0021636F" w:rsidRDefault="00E70F56" w:rsidP="00E70F56">
            <w:pPr>
              <w:rPr>
                <w:rFonts w:cs="Arial"/>
                <w:lang w:val="en-US"/>
              </w:rPr>
            </w:pPr>
          </w:p>
        </w:tc>
        <w:tc>
          <w:tcPr>
            <w:tcW w:w="1947" w:type="dxa"/>
            <w:tcBorders>
              <w:top w:val="nil"/>
              <w:left w:val="nil"/>
              <w:bottom w:val="nil"/>
              <w:right w:val="nil"/>
            </w:tcBorders>
            <w:shd w:val="clear" w:color="auto" w:fill="auto"/>
            <w:vAlign w:val="bottom"/>
          </w:tcPr>
          <w:p w14:paraId="25C35B73" w14:textId="05BD7F83" w:rsidR="00E70F56" w:rsidRPr="0021636F" w:rsidRDefault="00E70F56" w:rsidP="00E70F56">
            <w:pPr>
              <w:rPr>
                <w:rFonts w:cs="Arial"/>
                <w:lang w:val="en-US"/>
              </w:rPr>
            </w:pPr>
            <w:r>
              <w:rPr>
                <w:rFonts w:ascii="Calibri" w:hAnsi="Calibri" w:cs="Calibri"/>
                <w:color w:val="000000"/>
                <w:sz w:val="22"/>
                <w:szCs w:val="22"/>
              </w:rPr>
              <w:t>3,42E-02</w:t>
            </w:r>
          </w:p>
        </w:tc>
      </w:tr>
      <w:tr w:rsidR="00E70F56" w:rsidRPr="00275290" w14:paraId="78A531EA" w14:textId="77777777" w:rsidTr="000E1EAD">
        <w:tc>
          <w:tcPr>
            <w:tcW w:w="1952" w:type="dxa"/>
            <w:vMerge/>
            <w:shd w:val="clear" w:color="auto" w:fill="C6D9F1"/>
            <w:vAlign w:val="center"/>
          </w:tcPr>
          <w:p w14:paraId="2EB975FD" w14:textId="77777777" w:rsidR="00E70F56" w:rsidRPr="00275290" w:rsidRDefault="00E70F56" w:rsidP="00E70F56">
            <w:pPr>
              <w:rPr>
                <w:rFonts w:cs="Arial"/>
                <w:lang w:val="fr-FR"/>
              </w:rPr>
            </w:pPr>
          </w:p>
        </w:tc>
        <w:tc>
          <w:tcPr>
            <w:tcW w:w="1972" w:type="dxa"/>
            <w:shd w:val="clear" w:color="auto" w:fill="C6D9F1"/>
            <w:vAlign w:val="center"/>
          </w:tcPr>
          <w:p w14:paraId="1BF04474" w14:textId="77777777" w:rsidR="00E70F56" w:rsidRPr="00275290" w:rsidRDefault="00E70F56" w:rsidP="00E70F56">
            <w:pPr>
              <w:rPr>
                <w:rFonts w:cs="Arial"/>
                <w:lang w:val="fr-FR"/>
              </w:rPr>
            </w:pPr>
            <w:r w:rsidRPr="00275290">
              <w:rPr>
                <w:rFonts w:cs="Arial"/>
                <w:lang w:val="fr-FR"/>
              </w:rPr>
              <w:t>IPBC</w:t>
            </w:r>
          </w:p>
        </w:tc>
        <w:tc>
          <w:tcPr>
            <w:tcW w:w="1951" w:type="dxa"/>
            <w:shd w:val="clear" w:color="auto" w:fill="C6D9F1"/>
            <w:vAlign w:val="center"/>
          </w:tcPr>
          <w:p w14:paraId="6B7ECBF0" w14:textId="77777777" w:rsidR="00E70F56" w:rsidRPr="0021636F" w:rsidRDefault="00E70F56" w:rsidP="00E70F56">
            <w:pPr>
              <w:rPr>
                <w:rFonts w:cs="Arial"/>
                <w:lang w:val="en-US"/>
              </w:rPr>
            </w:pPr>
          </w:p>
        </w:tc>
        <w:tc>
          <w:tcPr>
            <w:tcW w:w="1947" w:type="dxa"/>
            <w:shd w:val="clear" w:color="auto" w:fill="C6D9F1"/>
          </w:tcPr>
          <w:p w14:paraId="7A62A00F" w14:textId="77777777" w:rsidR="00E70F56" w:rsidRPr="0021636F" w:rsidRDefault="00E70F56" w:rsidP="00E70F56">
            <w:pPr>
              <w:rPr>
                <w:rFonts w:cs="Arial"/>
                <w:lang w:val="en-US"/>
              </w:rPr>
            </w:pPr>
          </w:p>
        </w:tc>
        <w:tc>
          <w:tcPr>
            <w:tcW w:w="1947" w:type="dxa"/>
            <w:tcBorders>
              <w:top w:val="nil"/>
              <w:left w:val="nil"/>
              <w:bottom w:val="nil"/>
              <w:right w:val="nil"/>
            </w:tcBorders>
            <w:shd w:val="clear" w:color="auto" w:fill="auto"/>
            <w:vAlign w:val="bottom"/>
          </w:tcPr>
          <w:p w14:paraId="34A3529D" w14:textId="45D4513A" w:rsidR="00E70F56" w:rsidRPr="0021636F" w:rsidRDefault="00E70F56" w:rsidP="00E70F56">
            <w:pPr>
              <w:rPr>
                <w:rFonts w:cs="Arial"/>
                <w:lang w:val="en-US"/>
              </w:rPr>
            </w:pPr>
            <w:r>
              <w:rPr>
                <w:rFonts w:ascii="Calibri" w:hAnsi="Calibri" w:cs="Calibri"/>
                <w:color w:val="000000"/>
                <w:sz w:val="22"/>
                <w:szCs w:val="22"/>
              </w:rPr>
              <w:t>8,17E-02</w:t>
            </w:r>
          </w:p>
        </w:tc>
      </w:tr>
    </w:tbl>
    <w:p w14:paraId="7478D8E3" w14:textId="77777777" w:rsidR="009D4550" w:rsidRPr="00275290" w:rsidRDefault="009D4550" w:rsidP="009D4550">
      <w:pPr>
        <w:pStyle w:val="BfRBBStandard"/>
        <w:rPr>
          <w:rFonts w:ascii="Verdana" w:eastAsia="Times New Roman" w:hAnsi="Verdana"/>
          <w:i/>
          <w:sz w:val="20"/>
          <w:szCs w:val="20"/>
          <w:lang w:val="fr-FR" w:eastAsia="sv-SE"/>
        </w:rPr>
      </w:pPr>
    </w:p>
    <w:p w14:paraId="5B257878" w14:textId="77777777" w:rsidR="009D4550" w:rsidRPr="00275290" w:rsidRDefault="009D4550" w:rsidP="009D4550">
      <w:pPr>
        <w:pStyle w:val="BfRBBStandard"/>
        <w:rPr>
          <w:rFonts w:ascii="Verdana" w:eastAsia="Times New Roman" w:hAnsi="Verdana"/>
          <w:i/>
          <w:sz w:val="20"/>
          <w:szCs w:val="20"/>
          <w:lang w:val="en-GB" w:eastAsia="sv-SE"/>
        </w:rPr>
      </w:pPr>
    </w:p>
    <w:p w14:paraId="478B851C" w14:textId="77777777" w:rsidR="009D4550" w:rsidRPr="00FE333D" w:rsidRDefault="009D4550" w:rsidP="00155E43">
      <w:pPr>
        <w:pStyle w:val="Titre5"/>
        <w:spacing w:before="240"/>
        <w:rPr>
          <w:lang w:val="en-US"/>
        </w:rPr>
      </w:pPr>
      <w:bookmarkStart w:id="110" w:name="_Toc281929696"/>
      <w:r w:rsidRPr="00FE333D">
        <w:rPr>
          <w:lang w:val="en-US"/>
        </w:rPr>
        <w:t>Indirect exposure as a result of use of the active substance in biocidal product</w:t>
      </w:r>
      <w:bookmarkEnd w:id="110"/>
    </w:p>
    <w:p w14:paraId="61D42179" w14:textId="77777777" w:rsidR="009D4550" w:rsidRPr="00275290" w:rsidRDefault="009D4550" w:rsidP="009D4550">
      <w:pPr>
        <w:autoSpaceDE w:val="0"/>
        <w:autoSpaceDN w:val="0"/>
        <w:adjustRightInd w:val="0"/>
        <w:rPr>
          <w:rFonts w:eastAsiaTheme="minorHAnsi" w:cs="Arial"/>
          <w:color w:val="000000"/>
          <w:lang w:val="en-US" w:eastAsia="en-US"/>
        </w:rPr>
      </w:pPr>
      <w:r w:rsidRPr="00275290">
        <w:rPr>
          <w:rFonts w:eastAsiaTheme="minorHAnsi" w:cs="Arial"/>
          <w:color w:val="000000"/>
          <w:lang w:val="en-US" w:eastAsia="en-US"/>
        </w:rPr>
        <w:t xml:space="preserve">For secondary exposure, as described in TNsG for Human Exposure (2002 and 2007), it was considered occurring soon after application with a short exposure period (acute phase) or with a long-term and repeated exposure (chronic phase). It concerns: </w:t>
      </w:r>
    </w:p>
    <w:p w14:paraId="221516D8" w14:textId="77777777" w:rsidR="009D4550" w:rsidRPr="00275290" w:rsidRDefault="009D4550" w:rsidP="00F32B7F">
      <w:pPr>
        <w:numPr>
          <w:ilvl w:val="0"/>
          <w:numId w:val="23"/>
        </w:numPr>
        <w:suppressAutoHyphens w:val="0"/>
        <w:autoSpaceDE w:val="0"/>
        <w:autoSpaceDN w:val="0"/>
        <w:adjustRightInd w:val="0"/>
        <w:contextualSpacing/>
        <w:rPr>
          <w:rFonts w:eastAsiaTheme="minorHAnsi" w:cs="Arial"/>
          <w:color w:val="000000"/>
          <w:lang w:val="en-US" w:eastAsia="en-US"/>
        </w:rPr>
      </w:pPr>
      <w:r w:rsidRPr="00275290">
        <w:rPr>
          <w:rFonts w:eastAsiaTheme="minorHAnsi" w:cs="Arial"/>
          <w:color w:val="000000"/>
          <w:lang w:val="en-US" w:eastAsia="en-US"/>
        </w:rPr>
        <w:t xml:space="preserve">for acute phase, scenarios of sanding treated wood (adult) and chewing treated wood offcuts (infant), </w:t>
      </w:r>
    </w:p>
    <w:p w14:paraId="1E1A27ED" w14:textId="77777777" w:rsidR="009D4550" w:rsidRPr="00275290" w:rsidRDefault="009D4550" w:rsidP="00F32B7F">
      <w:pPr>
        <w:numPr>
          <w:ilvl w:val="0"/>
          <w:numId w:val="23"/>
        </w:numPr>
        <w:suppressAutoHyphens w:val="0"/>
        <w:autoSpaceDE w:val="0"/>
        <w:autoSpaceDN w:val="0"/>
        <w:adjustRightInd w:val="0"/>
        <w:contextualSpacing/>
        <w:rPr>
          <w:rFonts w:eastAsiaTheme="minorHAnsi" w:cs="Arial"/>
          <w:color w:val="000000"/>
          <w:lang w:val="en-US" w:eastAsia="en-US"/>
        </w:rPr>
      </w:pPr>
      <w:r w:rsidRPr="00275290">
        <w:rPr>
          <w:rFonts w:eastAsiaTheme="minorHAnsi" w:cs="Arial"/>
          <w:color w:val="000000"/>
          <w:lang w:val="en-US" w:eastAsia="en-US"/>
        </w:rPr>
        <w:t>for chronic phase the scenarios of professional sanding, inhalation of volatilizing residues indoors (adult and infant), of child playing on playground structure outdoors and infant playing on weathered (playground) structure and mouthing.</w:t>
      </w:r>
    </w:p>
    <w:p w14:paraId="6C7A5F33" w14:textId="77777777" w:rsidR="009D4550" w:rsidRPr="00275290" w:rsidRDefault="009D4550" w:rsidP="009D4550">
      <w:pPr>
        <w:autoSpaceDE w:val="0"/>
        <w:autoSpaceDN w:val="0"/>
        <w:adjustRightInd w:val="0"/>
        <w:rPr>
          <w:rFonts w:eastAsiaTheme="minorHAnsi" w:cs="Arial"/>
          <w:color w:val="000000"/>
          <w:lang w:val="en-US" w:eastAsia="en-US"/>
        </w:rPr>
      </w:pPr>
    </w:p>
    <w:p w14:paraId="2DA318E5" w14:textId="77777777" w:rsidR="009D4550" w:rsidRPr="00275290" w:rsidRDefault="009D4550" w:rsidP="009D4550">
      <w:pPr>
        <w:autoSpaceDE w:val="0"/>
        <w:autoSpaceDN w:val="0"/>
        <w:adjustRightInd w:val="0"/>
        <w:rPr>
          <w:rFonts w:eastAsiaTheme="minorHAnsi" w:cs="Arial"/>
          <w:color w:val="000000"/>
          <w:lang w:val="en-US" w:eastAsia="en-US"/>
        </w:rPr>
      </w:pPr>
    </w:p>
    <w:p w14:paraId="64FEDC49" w14:textId="77777777" w:rsidR="009D4550" w:rsidRPr="00275290" w:rsidRDefault="009D4550" w:rsidP="009D4550">
      <w:pPr>
        <w:rPr>
          <w:lang w:val="en-US"/>
        </w:rPr>
      </w:pPr>
      <w:r w:rsidRPr="00275290">
        <w:rPr>
          <w:rFonts w:eastAsiaTheme="minorHAnsi" w:cs="Arial"/>
          <w:color w:val="000000"/>
          <w:lang w:val="en-US" w:eastAsia="en-US"/>
        </w:rPr>
        <w:t>These scenarios which have to be considered for wood preservative treatments are summarised below.</w:t>
      </w:r>
    </w:p>
    <w:p w14:paraId="2055C738" w14:textId="77777777" w:rsidR="009D4550" w:rsidRPr="00275290" w:rsidRDefault="009D4550" w:rsidP="009D4550"/>
    <w:tbl>
      <w:tblPr>
        <w:tblStyle w:val="Grilledutableau4"/>
        <w:tblW w:w="0" w:type="auto"/>
        <w:tblLook w:val="04A0" w:firstRow="1" w:lastRow="0" w:firstColumn="1" w:lastColumn="0" w:noHBand="0" w:noVBand="1"/>
      </w:tblPr>
      <w:tblGrid>
        <w:gridCol w:w="1970"/>
        <w:gridCol w:w="1951"/>
        <w:gridCol w:w="1951"/>
        <w:gridCol w:w="1931"/>
        <w:gridCol w:w="1966"/>
      </w:tblGrid>
      <w:tr w:rsidR="009D4550" w:rsidRPr="00275290" w14:paraId="33657A0F" w14:textId="77777777" w:rsidTr="00932144">
        <w:trPr>
          <w:cantSplit/>
          <w:trHeight w:val="530"/>
          <w:tblHeader/>
        </w:trPr>
        <w:tc>
          <w:tcPr>
            <w:tcW w:w="1983" w:type="dxa"/>
            <w:vMerge w:val="restart"/>
            <w:vAlign w:val="center"/>
          </w:tcPr>
          <w:p w14:paraId="15C87C00" w14:textId="77777777" w:rsidR="009D4550" w:rsidRPr="00275290" w:rsidRDefault="009D4550" w:rsidP="009D4550">
            <w:pPr>
              <w:rPr>
                <w:rFonts w:cs="Arial"/>
                <w:b/>
                <w:sz w:val="20"/>
                <w:szCs w:val="20"/>
              </w:rPr>
            </w:pPr>
            <w:r w:rsidRPr="00275290">
              <w:rPr>
                <w:rFonts w:cs="Arial"/>
                <w:b/>
                <w:sz w:val="20"/>
                <w:szCs w:val="20"/>
              </w:rPr>
              <w:t>Secondary scenario</w:t>
            </w:r>
          </w:p>
        </w:tc>
        <w:tc>
          <w:tcPr>
            <w:tcW w:w="1984" w:type="dxa"/>
            <w:vMerge w:val="restart"/>
            <w:vAlign w:val="center"/>
          </w:tcPr>
          <w:p w14:paraId="4749B882" w14:textId="77777777" w:rsidR="009D4550" w:rsidRPr="00275290" w:rsidRDefault="009D4550" w:rsidP="009D4550">
            <w:pPr>
              <w:rPr>
                <w:rFonts w:cs="Arial"/>
                <w:b/>
                <w:sz w:val="20"/>
                <w:szCs w:val="20"/>
              </w:rPr>
            </w:pPr>
            <w:r w:rsidRPr="00275290">
              <w:rPr>
                <w:rFonts w:cs="Arial"/>
                <w:b/>
                <w:sz w:val="20"/>
                <w:szCs w:val="20"/>
              </w:rPr>
              <w:t>Exposure situation</w:t>
            </w:r>
          </w:p>
        </w:tc>
        <w:tc>
          <w:tcPr>
            <w:tcW w:w="1984" w:type="dxa"/>
            <w:vMerge w:val="restart"/>
            <w:vAlign w:val="center"/>
          </w:tcPr>
          <w:p w14:paraId="72382904" w14:textId="77777777" w:rsidR="009D4550" w:rsidRPr="00275290" w:rsidRDefault="009D4550" w:rsidP="009D4550">
            <w:pPr>
              <w:rPr>
                <w:rFonts w:cs="Arial"/>
                <w:b/>
                <w:sz w:val="20"/>
                <w:szCs w:val="20"/>
              </w:rPr>
            </w:pPr>
            <w:r w:rsidRPr="00275290">
              <w:rPr>
                <w:rFonts w:cs="Arial"/>
                <w:b/>
                <w:sz w:val="20"/>
                <w:szCs w:val="20"/>
              </w:rPr>
              <w:t>Routes of exposure</w:t>
            </w:r>
          </w:p>
        </w:tc>
        <w:tc>
          <w:tcPr>
            <w:tcW w:w="3968" w:type="dxa"/>
            <w:gridSpan w:val="2"/>
            <w:vAlign w:val="center"/>
          </w:tcPr>
          <w:p w14:paraId="2F0A2621" w14:textId="7DE507C2" w:rsidR="009D4550" w:rsidRPr="00275290" w:rsidRDefault="009D4550">
            <w:pPr>
              <w:rPr>
                <w:rFonts w:cs="Arial"/>
                <w:b/>
                <w:sz w:val="20"/>
                <w:szCs w:val="20"/>
              </w:rPr>
            </w:pPr>
            <w:r w:rsidRPr="00275290">
              <w:rPr>
                <w:rFonts w:cs="Arial"/>
                <w:b/>
                <w:sz w:val="20"/>
                <w:szCs w:val="20"/>
              </w:rPr>
              <w:t>Exposed population</w:t>
            </w:r>
          </w:p>
        </w:tc>
      </w:tr>
      <w:tr w:rsidR="009D4550" w:rsidRPr="00275290" w14:paraId="3E83EC55" w14:textId="77777777" w:rsidTr="00932144">
        <w:trPr>
          <w:cantSplit/>
          <w:tblHeader/>
        </w:trPr>
        <w:tc>
          <w:tcPr>
            <w:tcW w:w="1983" w:type="dxa"/>
            <w:vMerge/>
            <w:vAlign w:val="center"/>
          </w:tcPr>
          <w:p w14:paraId="57086285" w14:textId="77777777" w:rsidR="009D4550" w:rsidRPr="00275290" w:rsidRDefault="009D4550" w:rsidP="009D4550">
            <w:pPr>
              <w:rPr>
                <w:rFonts w:cs="Arial"/>
                <w:b/>
                <w:sz w:val="20"/>
                <w:szCs w:val="20"/>
              </w:rPr>
            </w:pPr>
          </w:p>
        </w:tc>
        <w:tc>
          <w:tcPr>
            <w:tcW w:w="1984" w:type="dxa"/>
            <w:vMerge/>
            <w:vAlign w:val="center"/>
          </w:tcPr>
          <w:p w14:paraId="77B876AF" w14:textId="77777777" w:rsidR="009D4550" w:rsidRPr="00275290" w:rsidRDefault="009D4550" w:rsidP="009D4550">
            <w:pPr>
              <w:rPr>
                <w:rFonts w:cs="Arial"/>
                <w:b/>
                <w:sz w:val="20"/>
                <w:szCs w:val="20"/>
              </w:rPr>
            </w:pPr>
          </w:p>
        </w:tc>
        <w:tc>
          <w:tcPr>
            <w:tcW w:w="1984" w:type="dxa"/>
            <w:vMerge/>
            <w:vAlign w:val="center"/>
          </w:tcPr>
          <w:p w14:paraId="7AAE06C4" w14:textId="77777777" w:rsidR="009D4550" w:rsidRPr="00275290" w:rsidRDefault="009D4550" w:rsidP="009D4550">
            <w:pPr>
              <w:rPr>
                <w:rFonts w:cs="Arial"/>
                <w:b/>
                <w:sz w:val="20"/>
                <w:szCs w:val="20"/>
              </w:rPr>
            </w:pPr>
          </w:p>
        </w:tc>
        <w:tc>
          <w:tcPr>
            <w:tcW w:w="1984" w:type="dxa"/>
            <w:vAlign w:val="center"/>
          </w:tcPr>
          <w:p w14:paraId="01467C53" w14:textId="77777777" w:rsidR="009D4550" w:rsidRPr="00275290" w:rsidRDefault="009D4550" w:rsidP="009D4550">
            <w:pPr>
              <w:rPr>
                <w:rFonts w:cs="Arial"/>
                <w:b/>
                <w:sz w:val="20"/>
                <w:szCs w:val="20"/>
              </w:rPr>
            </w:pPr>
            <w:r w:rsidRPr="00275290">
              <w:rPr>
                <w:rFonts w:cs="Arial"/>
                <w:b/>
                <w:sz w:val="20"/>
                <w:szCs w:val="20"/>
              </w:rPr>
              <w:t>Adult</w:t>
            </w:r>
          </w:p>
        </w:tc>
        <w:tc>
          <w:tcPr>
            <w:tcW w:w="1984" w:type="dxa"/>
            <w:vAlign w:val="center"/>
          </w:tcPr>
          <w:p w14:paraId="081C3E05" w14:textId="77777777" w:rsidR="009D4550" w:rsidRPr="00275290" w:rsidRDefault="009D4550" w:rsidP="009D4550">
            <w:pPr>
              <w:rPr>
                <w:rFonts w:cs="Arial"/>
                <w:b/>
                <w:sz w:val="20"/>
                <w:szCs w:val="20"/>
              </w:rPr>
            </w:pPr>
            <w:r w:rsidRPr="00275290">
              <w:rPr>
                <w:rFonts w:cs="Arial"/>
                <w:b/>
                <w:sz w:val="20"/>
                <w:szCs w:val="20"/>
              </w:rPr>
              <w:t>Infant/child</w:t>
            </w:r>
          </w:p>
        </w:tc>
      </w:tr>
      <w:tr w:rsidR="009D4550" w:rsidRPr="00275290" w14:paraId="08D5FFAD" w14:textId="77777777" w:rsidTr="00932144">
        <w:trPr>
          <w:cantSplit/>
        </w:trPr>
        <w:tc>
          <w:tcPr>
            <w:tcW w:w="1983" w:type="dxa"/>
            <w:vAlign w:val="center"/>
          </w:tcPr>
          <w:p w14:paraId="660E45CA" w14:textId="77777777" w:rsidR="009D4550" w:rsidRPr="00275290" w:rsidRDefault="009D4550" w:rsidP="009D4550">
            <w:pPr>
              <w:rPr>
                <w:rFonts w:cs="Arial"/>
                <w:b/>
                <w:sz w:val="20"/>
                <w:szCs w:val="20"/>
              </w:rPr>
            </w:pPr>
            <w:r w:rsidRPr="00275290">
              <w:rPr>
                <w:rFonts w:cs="Arial"/>
                <w:b/>
                <w:color w:val="000000"/>
                <w:sz w:val="20"/>
                <w:szCs w:val="20"/>
                <w:lang w:val="en-US" w:eastAsia="en-US"/>
              </w:rPr>
              <w:t>Sanding treated wood</w:t>
            </w:r>
          </w:p>
        </w:tc>
        <w:tc>
          <w:tcPr>
            <w:tcW w:w="1984" w:type="dxa"/>
            <w:vAlign w:val="center"/>
          </w:tcPr>
          <w:p w14:paraId="4C9854DC" w14:textId="77777777" w:rsidR="009D4550" w:rsidRPr="00275290" w:rsidRDefault="009D4550" w:rsidP="009D4550">
            <w:pPr>
              <w:rPr>
                <w:rFonts w:cs="Arial"/>
                <w:sz w:val="20"/>
                <w:szCs w:val="20"/>
              </w:rPr>
            </w:pPr>
            <w:r w:rsidRPr="00275290">
              <w:rPr>
                <w:rFonts w:cs="Arial"/>
                <w:sz w:val="20"/>
                <w:szCs w:val="20"/>
              </w:rPr>
              <w:t>Acute</w:t>
            </w:r>
          </w:p>
        </w:tc>
        <w:tc>
          <w:tcPr>
            <w:tcW w:w="1984" w:type="dxa"/>
            <w:vAlign w:val="center"/>
          </w:tcPr>
          <w:p w14:paraId="0AFC6D24" w14:textId="77777777" w:rsidR="009D4550" w:rsidRPr="00275290" w:rsidRDefault="009D4550" w:rsidP="009D4550">
            <w:pPr>
              <w:rPr>
                <w:rFonts w:cs="Arial"/>
                <w:sz w:val="20"/>
                <w:szCs w:val="20"/>
              </w:rPr>
            </w:pPr>
            <w:r w:rsidRPr="00275290">
              <w:rPr>
                <w:rFonts w:cs="Arial"/>
                <w:sz w:val="20"/>
                <w:szCs w:val="20"/>
              </w:rPr>
              <w:t>Dermal, inhalation</w:t>
            </w:r>
          </w:p>
        </w:tc>
        <w:tc>
          <w:tcPr>
            <w:tcW w:w="1984" w:type="dxa"/>
            <w:vAlign w:val="center"/>
          </w:tcPr>
          <w:p w14:paraId="10F3C32A" w14:textId="77777777" w:rsidR="009D4550" w:rsidRPr="00275290" w:rsidRDefault="009D4550" w:rsidP="009D4550">
            <w:pPr>
              <w:rPr>
                <w:rFonts w:cs="Arial"/>
                <w:sz w:val="20"/>
                <w:szCs w:val="20"/>
              </w:rPr>
            </w:pPr>
            <w:r w:rsidRPr="00275290">
              <w:rPr>
                <w:rFonts w:cs="Arial"/>
                <w:sz w:val="20"/>
                <w:szCs w:val="20"/>
              </w:rPr>
              <w:t>yes</w:t>
            </w:r>
          </w:p>
        </w:tc>
        <w:tc>
          <w:tcPr>
            <w:tcW w:w="1984" w:type="dxa"/>
            <w:vAlign w:val="center"/>
          </w:tcPr>
          <w:p w14:paraId="7292E7DD" w14:textId="77777777" w:rsidR="009D4550" w:rsidRPr="00275290" w:rsidRDefault="009D4550" w:rsidP="009D4550">
            <w:pPr>
              <w:rPr>
                <w:rFonts w:cs="Arial"/>
                <w:sz w:val="20"/>
                <w:szCs w:val="20"/>
              </w:rPr>
            </w:pPr>
            <w:r w:rsidRPr="00275290">
              <w:rPr>
                <w:rFonts w:cs="Arial"/>
                <w:sz w:val="20"/>
                <w:szCs w:val="20"/>
              </w:rPr>
              <w:t>-</w:t>
            </w:r>
          </w:p>
        </w:tc>
      </w:tr>
      <w:tr w:rsidR="009D4550" w:rsidRPr="00275290" w14:paraId="7EC23137" w14:textId="77777777" w:rsidTr="00932144">
        <w:trPr>
          <w:cantSplit/>
        </w:trPr>
        <w:tc>
          <w:tcPr>
            <w:tcW w:w="1983" w:type="dxa"/>
            <w:vAlign w:val="center"/>
          </w:tcPr>
          <w:p w14:paraId="14BE4307" w14:textId="77777777" w:rsidR="009D4550" w:rsidRPr="00275290" w:rsidRDefault="009D4550" w:rsidP="009D4550">
            <w:pPr>
              <w:rPr>
                <w:rFonts w:cs="Arial"/>
                <w:b/>
                <w:sz w:val="20"/>
                <w:szCs w:val="20"/>
              </w:rPr>
            </w:pPr>
            <w:r w:rsidRPr="00275290">
              <w:rPr>
                <w:rFonts w:cs="Arial"/>
                <w:b/>
                <w:color w:val="000000"/>
                <w:sz w:val="20"/>
                <w:szCs w:val="20"/>
                <w:lang w:val="en-US" w:eastAsia="en-US"/>
              </w:rPr>
              <w:t>Chewing treated wood offcuts</w:t>
            </w:r>
          </w:p>
        </w:tc>
        <w:tc>
          <w:tcPr>
            <w:tcW w:w="1984" w:type="dxa"/>
            <w:vAlign w:val="center"/>
          </w:tcPr>
          <w:p w14:paraId="621E1957" w14:textId="77777777" w:rsidR="009D4550" w:rsidRPr="00275290" w:rsidRDefault="009D4550" w:rsidP="009D4550">
            <w:pPr>
              <w:rPr>
                <w:rFonts w:cs="Arial"/>
                <w:sz w:val="20"/>
                <w:szCs w:val="20"/>
              </w:rPr>
            </w:pPr>
            <w:r w:rsidRPr="00275290">
              <w:rPr>
                <w:rFonts w:cs="Arial"/>
                <w:sz w:val="20"/>
                <w:szCs w:val="20"/>
              </w:rPr>
              <w:t>Acute</w:t>
            </w:r>
          </w:p>
        </w:tc>
        <w:tc>
          <w:tcPr>
            <w:tcW w:w="1984" w:type="dxa"/>
            <w:vAlign w:val="center"/>
          </w:tcPr>
          <w:p w14:paraId="37BF087B" w14:textId="77777777" w:rsidR="009D4550" w:rsidRPr="00275290" w:rsidRDefault="009D4550" w:rsidP="009D4550">
            <w:pPr>
              <w:rPr>
                <w:rFonts w:cs="Arial"/>
                <w:sz w:val="20"/>
                <w:szCs w:val="20"/>
              </w:rPr>
            </w:pPr>
            <w:r w:rsidRPr="00275290">
              <w:rPr>
                <w:rFonts w:cs="Arial"/>
                <w:sz w:val="20"/>
                <w:szCs w:val="20"/>
              </w:rPr>
              <w:t>Ingestion</w:t>
            </w:r>
          </w:p>
        </w:tc>
        <w:tc>
          <w:tcPr>
            <w:tcW w:w="1984" w:type="dxa"/>
            <w:vAlign w:val="center"/>
          </w:tcPr>
          <w:p w14:paraId="36B52369" w14:textId="77777777" w:rsidR="009D4550" w:rsidRPr="00275290" w:rsidRDefault="009D4550" w:rsidP="009D4550">
            <w:pPr>
              <w:rPr>
                <w:rFonts w:cs="Arial"/>
                <w:sz w:val="20"/>
                <w:szCs w:val="20"/>
              </w:rPr>
            </w:pPr>
            <w:r w:rsidRPr="00275290">
              <w:rPr>
                <w:rFonts w:cs="Arial"/>
                <w:sz w:val="20"/>
                <w:szCs w:val="20"/>
              </w:rPr>
              <w:t>-</w:t>
            </w:r>
          </w:p>
        </w:tc>
        <w:tc>
          <w:tcPr>
            <w:tcW w:w="1984" w:type="dxa"/>
            <w:vAlign w:val="center"/>
          </w:tcPr>
          <w:p w14:paraId="5E1C4CFB" w14:textId="77777777" w:rsidR="009D4550" w:rsidRPr="00275290" w:rsidRDefault="009D4550" w:rsidP="009D4550">
            <w:pPr>
              <w:rPr>
                <w:rFonts w:cs="Arial"/>
                <w:sz w:val="20"/>
                <w:szCs w:val="20"/>
              </w:rPr>
            </w:pPr>
            <w:r w:rsidRPr="00275290">
              <w:rPr>
                <w:rFonts w:cs="Arial"/>
                <w:sz w:val="20"/>
                <w:szCs w:val="20"/>
              </w:rPr>
              <w:t>Yes</w:t>
            </w:r>
          </w:p>
        </w:tc>
      </w:tr>
      <w:tr w:rsidR="009D4550" w:rsidRPr="00275290" w14:paraId="31F169A7" w14:textId="77777777" w:rsidTr="00932144">
        <w:trPr>
          <w:cantSplit/>
        </w:trPr>
        <w:tc>
          <w:tcPr>
            <w:tcW w:w="1983" w:type="dxa"/>
            <w:vAlign w:val="center"/>
          </w:tcPr>
          <w:p w14:paraId="7AE70ABB" w14:textId="77777777" w:rsidR="009D4550" w:rsidRPr="00275290" w:rsidRDefault="009D4550" w:rsidP="009D4550">
            <w:pPr>
              <w:rPr>
                <w:rFonts w:cs="Arial"/>
                <w:b/>
                <w:sz w:val="20"/>
                <w:szCs w:val="20"/>
              </w:rPr>
            </w:pPr>
            <w:r w:rsidRPr="00275290">
              <w:rPr>
                <w:rFonts w:cs="Arial"/>
                <w:b/>
                <w:color w:val="000000"/>
                <w:sz w:val="20"/>
                <w:szCs w:val="20"/>
                <w:lang w:val="en-US" w:eastAsia="en-US"/>
              </w:rPr>
              <w:t>Sanding treated wood</w:t>
            </w:r>
          </w:p>
        </w:tc>
        <w:tc>
          <w:tcPr>
            <w:tcW w:w="1984" w:type="dxa"/>
            <w:vAlign w:val="center"/>
          </w:tcPr>
          <w:p w14:paraId="0C939C9A" w14:textId="77777777" w:rsidR="009D4550" w:rsidRPr="00275290" w:rsidRDefault="009D4550" w:rsidP="009D4550">
            <w:pPr>
              <w:rPr>
                <w:rFonts w:cs="Arial"/>
                <w:sz w:val="20"/>
                <w:szCs w:val="20"/>
              </w:rPr>
            </w:pPr>
            <w:r w:rsidRPr="00275290">
              <w:rPr>
                <w:rFonts w:cs="Arial"/>
                <w:sz w:val="20"/>
                <w:szCs w:val="20"/>
              </w:rPr>
              <w:t>Chronic</w:t>
            </w:r>
          </w:p>
        </w:tc>
        <w:tc>
          <w:tcPr>
            <w:tcW w:w="1984" w:type="dxa"/>
            <w:vAlign w:val="center"/>
          </w:tcPr>
          <w:p w14:paraId="15EB6C61" w14:textId="77777777" w:rsidR="009D4550" w:rsidRPr="00275290" w:rsidRDefault="009D4550" w:rsidP="009D4550">
            <w:pPr>
              <w:rPr>
                <w:rFonts w:cs="Arial"/>
                <w:sz w:val="20"/>
                <w:szCs w:val="20"/>
              </w:rPr>
            </w:pPr>
            <w:r w:rsidRPr="00275290">
              <w:rPr>
                <w:rFonts w:cs="Arial"/>
                <w:sz w:val="20"/>
                <w:szCs w:val="20"/>
              </w:rPr>
              <w:t>Dermal, inhalation</w:t>
            </w:r>
          </w:p>
        </w:tc>
        <w:tc>
          <w:tcPr>
            <w:tcW w:w="1984" w:type="dxa"/>
            <w:vAlign w:val="center"/>
          </w:tcPr>
          <w:p w14:paraId="03A99411" w14:textId="77777777" w:rsidR="009D4550" w:rsidRPr="00275290" w:rsidRDefault="009D4550" w:rsidP="009D4550">
            <w:pPr>
              <w:rPr>
                <w:rFonts w:cs="Arial"/>
                <w:sz w:val="20"/>
                <w:szCs w:val="20"/>
              </w:rPr>
            </w:pPr>
            <w:r w:rsidRPr="00275290">
              <w:rPr>
                <w:rFonts w:cs="Arial"/>
                <w:sz w:val="20"/>
                <w:szCs w:val="20"/>
              </w:rPr>
              <w:t>yes</w:t>
            </w:r>
          </w:p>
        </w:tc>
        <w:tc>
          <w:tcPr>
            <w:tcW w:w="1984" w:type="dxa"/>
            <w:vAlign w:val="center"/>
          </w:tcPr>
          <w:p w14:paraId="1BA206F3" w14:textId="77777777" w:rsidR="009D4550" w:rsidRPr="00275290" w:rsidRDefault="009D4550" w:rsidP="009D4550">
            <w:pPr>
              <w:rPr>
                <w:rFonts w:cs="Arial"/>
                <w:sz w:val="20"/>
                <w:szCs w:val="20"/>
              </w:rPr>
            </w:pPr>
            <w:r w:rsidRPr="00275290">
              <w:rPr>
                <w:rFonts w:cs="Arial"/>
                <w:sz w:val="20"/>
                <w:szCs w:val="20"/>
              </w:rPr>
              <w:t>-</w:t>
            </w:r>
          </w:p>
        </w:tc>
      </w:tr>
      <w:tr w:rsidR="009D4550" w:rsidRPr="00275290" w14:paraId="16927B77" w14:textId="77777777" w:rsidTr="00932144">
        <w:trPr>
          <w:cantSplit/>
        </w:trPr>
        <w:tc>
          <w:tcPr>
            <w:tcW w:w="1983" w:type="dxa"/>
            <w:vAlign w:val="center"/>
          </w:tcPr>
          <w:p w14:paraId="156EE930" w14:textId="77777777" w:rsidR="009D4550" w:rsidRPr="00275290" w:rsidRDefault="009D4550" w:rsidP="009D4550">
            <w:pPr>
              <w:rPr>
                <w:rFonts w:cs="Arial"/>
                <w:b/>
                <w:sz w:val="20"/>
                <w:szCs w:val="20"/>
              </w:rPr>
            </w:pPr>
            <w:r w:rsidRPr="00275290">
              <w:rPr>
                <w:rFonts w:cs="Arial"/>
                <w:b/>
                <w:color w:val="000000"/>
                <w:sz w:val="20"/>
                <w:szCs w:val="20"/>
                <w:lang w:val="en-US" w:eastAsia="en-US"/>
              </w:rPr>
              <w:t>Inhalation of volatilising residues indoors</w:t>
            </w:r>
          </w:p>
        </w:tc>
        <w:tc>
          <w:tcPr>
            <w:tcW w:w="1984" w:type="dxa"/>
            <w:vAlign w:val="center"/>
          </w:tcPr>
          <w:p w14:paraId="5AF48EC8" w14:textId="77777777" w:rsidR="009D4550" w:rsidRPr="00275290" w:rsidRDefault="009D4550" w:rsidP="009D4550">
            <w:pPr>
              <w:rPr>
                <w:rFonts w:cs="Arial"/>
                <w:sz w:val="20"/>
                <w:szCs w:val="20"/>
              </w:rPr>
            </w:pPr>
            <w:r w:rsidRPr="00275290">
              <w:rPr>
                <w:rFonts w:cs="Arial"/>
                <w:sz w:val="20"/>
                <w:szCs w:val="20"/>
              </w:rPr>
              <w:t>Chronic</w:t>
            </w:r>
          </w:p>
        </w:tc>
        <w:tc>
          <w:tcPr>
            <w:tcW w:w="1984" w:type="dxa"/>
            <w:vAlign w:val="center"/>
          </w:tcPr>
          <w:p w14:paraId="73167F45" w14:textId="77777777" w:rsidR="009D4550" w:rsidRPr="00275290" w:rsidRDefault="009D4550" w:rsidP="009D4550">
            <w:pPr>
              <w:rPr>
                <w:rFonts w:cs="Arial"/>
                <w:sz w:val="20"/>
                <w:szCs w:val="20"/>
              </w:rPr>
            </w:pPr>
            <w:r w:rsidRPr="00275290">
              <w:rPr>
                <w:rFonts w:cs="Arial"/>
                <w:sz w:val="20"/>
                <w:szCs w:val="20"/>
              </w:rPr>
              <w:t>Inhalation</w:t>
            </w:r>
          </w:p>
        </w:tc>
        <w:tc>
          <w:tcPr>
            <w:tcW w:w="1984" w:type="dxa"/>
            <w:vAlign w:val="center"/>
          </w:tcPr>
          <w:p w14:paraId="411D7A7E" w14:textId="77777777" w:rsidR="009D4550" w:rsidRPr="00275290" w:rsidRDefault="009D4550" w:rsidP="009D4550">
            <w:pPr>
              <w:rPr>
                <w:rFonts w:cs="Arial"/>
                <w:sz w:val="20"/>
                <w:szCs w:val="20"/>
              </w:rPr>
            </w:pPr>
            <w:r w:rsidRPr="00275290">
              <w:rPr>
                <w:rFonts w:cs="Arial"/>
                <w:sz w:val="20"/>
                <w:szCs w:val="20"/>
              </w:rPr>
              <w:t>Yes</w:t>
            </w:r>
          </w:p>
        </w:tc>
        <w:tc>
          <w:tcPr>
            <w:tcW w:w="1984" w:type="dxa"/>
            <w:vAlign w:val="center"/>
          </w:tcPr>
          <w:p w14:paraId="22F11A81" w14:textId="77777777" w:rsidR="009D4550" w:rsidRPr="00275290" w:rsidRDefault="009D4550" w:rsidP="009D4550">
            <w:pPr>
              <w:rPr>
                <w:rFonts w:cs="Arial"/>
                <w:sz w:val="20"/>
                <w:szCs w:val="20"/>
              </w:rPr>
            </w:pPr>
            <w:r w:rsidRPr="00275290">
              <w:rPr>
                <w:rFonts w:cs="Arial"/>
                <w:sz w:val="20"/>
                <w:szCs w:val="20"/>
              </w:rPr>
              <w:t>Yes</w:t>
            </w:r>
          </w:p>
        </w:tc>
      </w:tr>
      <w:tr w:rsidR="009D4550" w:rsidRPr="00275290" w14:paraId="7CF1ED21" w14:textId="77777777" w:rsidTr="00932144">
        <w:trPr>
          <w:cantSplit/>
        </w:trPr>
        <w:tc>
          <w:tcPr>
            <w:tcW w:w="1983" w:type="dxa"/>
            <w:vAlign w:val="center"/>
          </w:tcPr>
          <w:p w14:paraId="0C974B57" w14:textId="77777777" w:rsidR="009D4550" w:rsidRPr="00275290" w:rsidRDefault="009D4550" w:rsidP="009D4550">
            <w:pPr>
              <w:rPr>
                <w:rFonts w:cs="Arial"/>
                <w:b/>
                <w:sz w:val="20"/>
                <w:szCs w:val="20"/>
              </w:rPr>
            </w:pPr>
            <w:r w:rsidRPr="00275290">
              <w:rPr>
                <w:rFonts w:cs="Arial"/>
                <w:b/>
                <w:color w:val="000000"/>
                <w:sz w:val="20"/>
                <w:szCs w:val="20"/>
                <w:lang w:val="en-US" w:eastAsia="en-US"/>
              </w:rPr>
              <w:t>Child playing on playground structure outdoors</w:t>
            </w:r>
          </w:p>
        </w:tc>
        <w:tc>
          <w:tcPr>
            <w:tcW w:w="1984" w:type="dxa"/>
            <w:vAlign w:val="center"/>
          </w:tcPr>
          <w:p w14:paraId="23320A8B" w14:textId="77777777" w:rsidR="009D4550" w:rsidRPr="00275290" w:rsidRDefault="009D4550" w:rsidP="009D4550">
            <w:pPr>
              <w:rPr>
                <w:rFonts w:cs="Arial"/>
                <w:sz w:val="20"/>
                <w:szCs w:val="20"/>
              </w:rPr>
            </w:pPr>
            <w:r w:rsidRPr="00275290">
              <w:rPr>
                <w:rFonts w:cs="Arial"/>
                <w:sz w:val="20"/>
                <w:szCs w:val="20"/>
              </w:rPr>
              <w:t>Chronic</w:t>
            </w:r>
          </w:p>
        </w:tc>
        <w:tc>
          <w:tcPr>
            <w:tcW w:w="1984" w:type="dxa"/>
            <w:vAlign w:val="center"/>
          </w:tcPr>
          <w:p w14:paraId="51CB4A57" w14:textId="77777777" w:rsidR="009D4550" w:rsidRPr="00275290" w:rsidRDefault="009D4550" w:rsidP="009D4550">
            <w:pPr>
              <w:rPr>
                <w:rFonts w:cs="Arial"/>
                <w:sz w:val="20"/>
                <w:szCs w:val="20"/>
              </w:rPr>
            </w:pPr>
            <w:r w:rsidRPr="00275290">
              <w:rPr>
                <w:rFonts w:cs="Arial"/>
                <w:sz w:val="20"/>
                <w:szCs w:val="20"/>
              </w:rPr>
              <w:t>Dermal</w:t>
            </w:r>
          </w:p>
        </w:tc>
        <w:tc>
          <w:tcPr>
            <w:tcW w:w="1984" w:type="dxa"/>
            <w:vAlign w:val="center"/>
          </w:tcPr>
          <w:p w14:paraId="7EEFCF42" w14:textId="77777777" w:rsidR="009D4550" w:rsidRPr="00275290" w:rsidRDefault="009D4550" w:rsidP="009D4550">
            <w:pPr>
              <w:rPr>
                <w:rFonts w:cs="Arial"/>
                <w:sz w:val="20"/>
                <w:szCs w:val="20"/>
              </w:rPr>
            </w:pPr>
            <w:r w:rsidRPr="00275290">
              <w:rPr>
                <w:rFonts w:cs="Arial"/>
                <w:sz w:val="20"/>
                <w:szCs w:val="20"/>
              </w:rPr>
              <w:t>-</w:t>
            </w:r>
          </w:p>
        </w:tc>
        <w:tc>
          <w:tcPr>
            <w:tcW w:w="1984" w:type="dxa"/>
            <w:vAlign w:val="center"/>
          </w:tcPr>
          <w:p w14:paraId="50EF0725" w14:textId="77777777" w:rsidR="009D4550" w:rsidRPr="00275290" w:rsidRDefault="009D4550" w:rsidP="009D4550">
            <w:pPr>
              <w:rPr>
                <w:rFonts w:cs="Arial"/>
                <w:sz w:val="20"/>
                <w:szCs w:val="20"/>
              </w:rPr>
            </w:pPr>
            <w:r w:rsidRPr="00275290">
              <w:rPr>
                <w:rFonts w:cs="Arial"/>
                <w:sz w:val="20"/>
                <w:szCs w:val="20"/>
              </w:rPr>
              <w:t>Yes</w:t>
            </w:r>
          </w:p>
        </w:tc>
      </w:tr>
      <w:tr w:rsidR="009D4550" w:rsidRPr="00275290" w14:paraId="76AE78C9" w14:textId="77777777" w:rsidTr="00932144">
        <w:trPr>
          <w:cantSplit/>
        </w:trPr>
        <w:tc>
          <w:tcPr>
            <w:tcW w:w="1983" w:type="dxa"/>
            <w:vAlign w:val="center"/>
          </w:tcPr>
          <w:p w14:paraId="68231142" w14:textId="77777777" w:rsidR="009D4550" w:rsidRPr="00275290" w:rsidRDefault="009D4550" w:rsidP="009D4550">
            <w:pPr>
              <w:rPr>
                <w:rFonts w:cs="Arial"/>
                <w:b/>
                <w:sz w:val="20"/>
                <w:szCs w:val="20"/>
              </w:rPr>
            </w:pPr>
            <w:r w:rsidRPr="00275290">
              <w:rPr>
                <w:rFonts w:cs="Arial"/>
                <w:b/>
                <w:color w:val="000000"/>
                <w:sz w:val="20"/>
                <w:szCs w:val="20"/>
                <w:lang w:val="en-US" w:eastAsia="en-US"/>
              </w:rPr>
              <w:t>Infant playing on weathered (playground) structure and mouthing</w:t>
            </w:r>
          </w:p>
        </w:tc>
        <w:tc>
          <w:tcPr>
            <w:tcW w:w="1984" w:type="dxa"/>
            <w:vAlign w:val="center"/>
          </w:tcPr>
          <w:p w14:paraId="2459FE00" w14:textId="77777777" w:rsidR="009D4550" w:rsidRPr="00275290" w:rsidRDefault="009D4550" w:rsidP="009D4550">
            <w:pPr>
              <w:rPr>
                <w:rFonts w:cs="Arial"/>
                <w:sz w:val="20"/>
                <w:szCs w:val="20"/>
              </w:rPr>
            </w:pPr>
            <w:r w:rsidRPr="00275290">
              <w:rPr>
                <w:rFonts w:cs="Arial"/>
                <w:sz w:val="20"/>
                <w:szCs w:val="20"/>
              </w:rPr>
              <w:t>Chronic</w:t>
            </w:r>
          </w:p>
        </w:tc>
        <w:tc>
          <w:tcPr>
            <w:tcW w:w="1984" w:type="dxa"/>
            <w:vAlign w:val="center"/>
          </w:tcPr>
          <w:p w14:paraId="2B72047E" w14:textId="77777777" w:rsidR="009D4550" w:rsidRPr="00275290" w:rsidRDefault="009D4550" w:rsidP="009D4550">
            <w:pPr>
              <w:rPr>
                <w:rFonts w:cs="Arial"/>
                <w:sz w:val="20"/>
                <w:szCs w:val="20"/>
              </w:rPr>
            </w:pPr>
            <w:r w:rsidRPr="00275290">
              <w:rPr>
                <w:rFonts w:cs="Arial"/>
                <w:sz w:val="20"/>
                <w:szCs w:val="20"/>
              </w:rPr>
              <w:t>Dermal, ingestion</w:t>
            </w:r>
          </w:p>
        </w:tc>
        <w:tc>
          <w:tcPr>
            <w:tcW w:w="1984" w:type="dxa"/>
            <w:vAlign w:val="center"/>
          </w:tcPr>
          <w:p w14:paraId="50231BFB" w14:textId="77777777" w:rsidR="009D4550" w:rsidRPr="00275290" w:rsidRDefault="009D4550" w:rsidP="009D4550">
            <w:pPr>
              <w:rPr>
                <w:rFonts w:cs="Arial"/>
                <w:sz w:val="20"/>
                <w:szCs w:val="20"/>
              </w:rPr>
            </w:pPr>
            <w:r w:rsidRPr="00275290">
              <w:rPr>
                <w:rFonts w:cs="Arial"/>
                <w:sz w:val="20"/>
                <w:szCs w:val="20"/>
              </w:rPr>
              <w:t>-</w:t>
            </w:r>
          </w:p>
        </w:tc>
        <w:tc>
          <w:tcPr>
            <w:tcW w:w="1984" w:type="dxa"/>
            <w:vAlign w:val="center"/>
          </w:tcPr>
          <w:p w14:paraId="6DF54D97" w14:textId="77777777" w:rsidR="009D4550" w:rsidRPr="00275290" w:rsidRDefault="009D4550" w:rsidP="009D4550">
            <w:pPr>
              <w:rPr>
                <w:rFonts w:cs="Arial"/>
                <w:sz w:val="20"/>
                <w:szCs w:val="20"/>
              </w:rPr>
            </w:pPr>
            <w:r w:rsidRPr="00275290">
              <w:rPr>
                <w:rFonts w:cs="Arial"/>
                <w:sz w:val="20"/>
                <w:szCs w:val="20"/>
              </w:rPr>
              <w:t>Yes</w:t>
            </w:r>
          </w:p>
        </w:tc>
      </w:tr>
    </w:tbl>
    <w:p w14:paraId="1E5CBC9E" w14:textId="77777777" w:rsidR="009D4550" w:rsidRPr="00275290" w:rsidRDefault="009D4550" w:rsidP="009D4550">
      <w:pPr>
        <w:rPr>
          <w:rFonts w:cs="Arial"/>
        </w:rPr>
      </w:pPr>
    </w:p>
    <w:p w14:paraId="66BCCE24" w14:textId="77777777" w:rsidR="009D4550" w:rsidRPr="00275290" w:rsidRDefault="009D4550" w:rsidP="009D4550">
      <w:pPr>
        <w:rPr>
          <w:rFonts w:cs="Arial"/>
        </w:rPr>
      </w:pPr>
    </w:p>
    <w:p w14:paraId="743D25A0" w14:textId="77777777" w:rsidR="009D4550" w:rsidRPr="00275290" w:rsidRDefault="009D4550" w:rsidP="009D4550">
      <w:pPr>
        <w:keepNext/>
        <w:rPr>
          <w:rFonts w:cs="Arial"/>
          <w:b/>
          <w:i/>
          <w:u w:val="single"/>
        </w:rPr>
      </w:pPr>
      <w:r w:rsidRPr="00275290">
        <w:rPr>
          <w:rFonts w:cs="Arial"/>
          <w:b/>
          <w:i/>
          <w:u w:val="single"/>
        </w:rPr>
        <w:t>Acute secondary exposure scenario</w:t>
      </w:r>
    </w:p>
    <w:p w14:paraId="68D95033" w14:textId="77777777" w:rsidR="009D4550" w:rsidRPr="00275290" w:rsidRDefault="009D4550" w:rsidP="009D4550">
      <w:pPr>
        <w:keepNext/>
        <w:rPr>
          <w:rFonts w:cs="Arial"/>
        </w:rPr>
      </w:pPr>
    </w:p>
    <w:p w14:paraId="73E6B613" w14:textId="77777777" w:rsidR="009D4550" w:rsidRPr="00275290" w:rsidRDefault="009D4550" w:rsidP="009D4550">
      <w:pPr>
        <w:rPr>
          <w:rFonts w:cs="Arial"/>
        </w:rPr>
      </w:pPr>
      <w:r w:rsidRPr="00275290">
        <w:rPr>
          <w:rFonts w:cs="Arial"/>
        </w:rPr>
        <w:t>As a worst-case, it has been considered that the wood was treated with a total application dose of 445g/m</w:t>
      </w:r>
      <w:r w:rsidRPr="00275290">
        <w:rPr>
          <w:rFonts w:cs="Arial"/>
          <w:vertAlign w:val="superscript"/>
        </w:rPr>
        <w:t>2</w:t>
      </w:r>
      <w:r w:rsidRPr="00275290">
        <w:rPr>
          <w:rFonts w:cs="Arial"/>
        </w:rPr>
        <w:t xml:space="preserve">, corresponding to a curative treatment by brushing or spraying followed by injection. </w:t>
      </w:r>
    </w:p>
    <w:p w14:paraId="74E3F946" w14:textId="77777777" w:rsidR="009D4550" w:rsidRPr="00275290" w:rsidRDefault="009D4550" w:rsidP="009D4550">
      <w:pPr>
        <w:rPr>
          <w:rFonts w:cs="Arial"/>
        </w:rPr>
      </w:pPr>
    </w:p>
    <w:tbl>
      <w:tblPr>
        <w:tblStyle w:val="Grilledutableau4"/>
        <w:tblW w:w="0" w:type="auto"/>
        <w:tblLayout w:type="fixed"/>
        <w:tblLook w:val="04A0" w:firstRow="1" w:lastRow="0" w:firstColumn="1" w:lastColumn="0" w:noHBand="0" w:noVBand="1"/>
      </w:tblPr>
      <w:tblGrid>
        <w:gridCol w:w="1809"/>
        <w:gridCol w:w="1843"/>
        <w:gridCol w:w="1418"/>
        <w:gridCol w:w="1559"/>
        <w:gridCol w:w="1559"/>
        <w:gridCol w:w="1807"/>
      </w:tblGrid>
      <w:tr w:rsidR="009D4550" w:rsidRPr="00275290" w14:paraId="3A5487D2" w14:textId="77777777" w:rsidTr="0039605F">
        <w:tc>
          <w:tcPr>
            <w:tcW w:w="1809" w:type="dxa"/>
          </w:tcPr>
          <w:p w14:paraId="68DEF4BA"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Scenario</w:t>
            </w:r>
          </w:p>
        </w:tc>
        <w:tc>
          <w:tcPr>
            <w:tcW w:w="1843" w:type="dxa"/>
          </w:tcPr>
          <w:p w14:paraId="4C5F7EFA" w14:textId="77777777" w:rsidR="009D4550" w:rsidRPr="00275290" w:rsidRDefault="009D4550" w:rsidP="009D4550">
            <w:pPr>
              <w:tabs>
                <w:tab w:val="left" w:pos="426"/>
              </w:tabs>
              <w:autoSpaceDE w:val="0"/>
              <w:autoSpaceDN w:val="0"/>
              <w:adjustRightInd w:val="0"/>
              <w:spacing w:before="60" w:after="60"/>
              <w:rPr>
                <w:rFonts w:cs="Arial"/>
                <w:b/>
                <w:sz w:val="20"/>
                <w:szCs w:val="20"/>
              </w:rPr>
            </w:pPr>
            <w:r w:rsidRPr="00275290">
              <w:rPr>
                <w:rFonts w:cs="Arial"/>
                <w:b/>
                <w:sz w:val="20"/>
                <w:szCs w:val="20"/>
              </w:rPr>
              <w:t>Substances</w:t>
            </w:r>
          </w:p>
        </w:tc>
        <w:tc>
          <w:tcPr>
            <w:tcW w:w="1418" w:type="dxa"/>
          </w:tcPr>
          <w:p w14:paraId="06971CE2" w14:textId="77777777" w:rsidR="009D4550" w:rsidRPr="00275290" w:rsidRDefault="009D4550" w:rsidP="009D4550">
            <w:pPr>
              <w:autoSpaceDE w:val="0"/>
              <w:autoSpaceDN w:val="0"/>
              <w:adjustRightInd w:val="0"/>
              <w:spacing w:before="60" w:after="60"/>
              <w:rPr>
                <w:rFonts w:cs="Arial"/>
                <w:b/>
                <w:sz w:val="20"/>
                <w:szCs w:val="20"/>
                <w:lang w:val="fr-FR"/>
              </w:rPr>
            </w:pPr>
            <w:r w:rsidRPr="00275290">
              <w:rPr>
                <w:rFonts w:cs="Arial"/>
                <w:b/>
                <w:sz w:val="20"/>
                <w:szCs w:val="20"/>
                <w:lang w:val="fr-FR"/>
              </w:rPr>
              <w:t>Dermal Exposure</w:t>
            </w:r>
          </w:p>
          <w:p w14:paraId="6E3BB854" w14:textId="77777777" w:rsidR="009D4550" w:rsidRPr="00275290" w:rsidRDefault="009D4550" w:rsidP="009D4550">
            <w:pPr>
              <w:autoSpaceDE w:val="0"/>
              <w:autoSpaceDN w:val="0"/>
              <w:adjustRightInd w:val="0"/>
              <w:spacing w:before="60" w:after="60"/>
              <w:rPr>
                <w:rFonts w:cs="Arial"/>
                <w:b/>
                <w:sz w:val="20"/>
                <w:szCs w:val="20"/>
                <w:lang w:val="fr-FR"/>
              </w:rPr>
            </w:pPr>
            <w:r w:rsidRPr="00275290">
              <w:rPr>
                <w:rFonts w:cs="Arial"/>
                <w:b/>
                <w:sz w:val="20"/>
                <w:szCs w:val="20"/>
                <w:lang w:val="fr-FR"/>
              </w:rPr>
              <w:t>(mg/kg pw/d)</w:t>
            </w:r>
          </w:p>
        </w:tc>
        <w:tc>
          <w:tcPr>
            <w:tcW w:w="1559" w:type="dxa"/>
          </w:tcPr>
          <w:p w14:paraId="041B717F"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Inhalation Exposure</w:t>
            </w:r>
          </w:p>
          <w:p w14:paraId="2BDDB5BB"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559" w:type="dxa"/>
          </w:tcPr>
          <w:p w14:paraId="7391A14B"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Oral Exposure</w:t>
            </w:r>
          </w:p>
          <w:p w14:paraId="34E5BCB2"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807" w:type="dxa"/>
          </w:tcPr>
          <w:p w14:paraId="6C84DBA4"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Total Exposure</w:t>
            </w:r>
          </w:p>
          <w:p w14:paraId="3FEB20C2"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r>
      <w:tr w:rsidR="009D4550" w:rsidRPr="00275290" w14:paraId="44003347" w14:textId="77777777" w:rsidTr="0039605F">
        <w:trPr>
          <w:trHeight w:val="448"/>
        </w:trPr>
        <w:tc>
          <w:tcPr>
            <w:tcW w:w="1809" w:type="dxa"/>
            <w:vMerge w:val="restart"/>
          </w:tcPr>
          <w:p w14:paraId="57EB58DB" w14:textId="77777777" w:rsidR="009D4550" w:rsidRPr="00275290" w:rsidRDefault="009D4550" w:rsidP="009D4550">
            <w:pPr>
              <w:rPr>
                <w:rFonts w:cs="Arial"/>
                <w:b/>
                <w:sz w:val="20"/>
                <w:szCs w:val="20"/>
                <w:lang w:val="en-US"/>
              </w:rPr>
            </w:pPr>
            <w:r w:rsidRPr="00275290">
              <w:rPr>
                <w:rFonts w:cs="Arial"/>
                <w:b/>
                <w:sz w:val="20"/>
                <w:szCs w:val="20"/>
                <w:lang w:val="en-US"/>
              </w:rPr>
              <w:lastRenderedPageBreak/>
              <w:t>Adult amateur sanding/processing of treated wood composites</w:t>
            </w:r>
          </w:p>
        </w:tc>
        <w:tc>
          <w:tcPr>
            <w:tcW w:w="1843" w:type="dxa"/>
            <w:vAlign w:val="center"/>
          </w:tcPr>
          <w:p w14:paraId="7ABCB407"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vAlign w:val="center"/>
          </w:tcPr>
          <w:p w14:paraId="34537504" w14:textId="77777777" w:rsidR="009D4550" w:rsidRPr="00275290" w:rsidRDefault="009D4550" w:rsidP="009D4550">
            <w:pPr>
              <w:rPr>
                <w:rFonts w:cs="Arial"/>
                <w:bCs/>
                <w:color w:val="000000"/>
                <w:sz w:val="20"/>
                <w:szCs w:val="20"/>
              </w:rPr>
            </w:pPr>
            <w:r w:rsidRPr="00275290">
              <w:rPr>
                <w:rFonts w:cs="Arial"/>
                <w:bCs/>
                <w:color w:val="000000"/>
                <w:sz w:val="20"/>
                <w:szCs w:val="20"/>
              </w:rPr>
              <w:t>2,69E-03</w:t>
            </w:r>
          </w:p>
        </w:tc>
        <w:tc>
          <w:tcPr>
            <w:tcW w:w="1559" w:type="dxa"/>
            <w:vAlign w:val="center"/>
          </w:tcPr>
          <w:p w14:paraId="00BCF9B1" w14:textId="77777777" w:rsidR="009D4550" w:rsidRPr="00275290" w:rsidRDefault="009D4550" w:rsidP="009D4550">
            <w:pPr>
              <w:rPr>
                <w:rFonts w:cs="Arial"/>
                <w:bCs/>
                <w:color w:val="000000"/>
                <w:sz w:val="20"/>
                <w:szCs w:val="20"/>
              </w:rPr>
            </w:pPr>
            <w:r w:rsidRPr="00275290">
              <w:rPr>
                <w:rFonts w:cs="Arial"/>
                <w:bCs/>
                <w:color w:val="000000"/>
                <w:sz w:val="20"/>
                <w:szCs w:val="20"/>
              </w:rPr>
              <w:t>1,24E-05</w:t>
            </w:r>
          </w:p>
        </w:tc>
        <w:tc>
          <w:tcPr>
            <w:tcW w:w="1559" w:type="dxa"/>
            <w:vAlign w:val="center"/>
          </w:tcPr>
          <w:p w14:paraId="6CC3A99B"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807" w:type="dxa"/>
            <w:vAlign w:val="center"/>
          </w:tcPr>
          <w:p w14:paraId="294E82E4" w14:textId="77777777" w:rsidR="009D4550" w:rsidRPr="00275290" w:rsidRDefault="009D4550" w:rsidP="009D4550">
            <w:pPr>
              <w:rPr>
                <w:rFonts w:cs="Arial"/>
                <w:bCs/>
                <w:color w:val="000000"/>
                <w:sz w:val="20"/>
                <w:szCs w:val="20"/>
              </w:rPr>
            </w:pPr>
            <w:r w:rsidRPr="00275290">
              <w:rPr>
                <w:rFonts w:cs="Arial"/>
                <w:bCs/>
                <w:color w:val="000000"/>
                <w:sz w:val="20"/>
                <w:szCs w:val="20"/>
              </w:rPr>
              <w:t>2,70E-03</w:t>
            </w:r>
          </w:p>
        </w:tc>
      </w:tr>
      <w:tr w:rsidR="009D4550" w:rsidRPr="00275290" w14:paraId="287D759F" w14:textId="77777777" w:rsidTr="0039605F">
        <w:trPr>
          <w:trHeight w:val="594"/>
        </w:trPr>
        <w:tc>
          <w:tcPr>
            <w:tcW w:w="1809" w:type="dxa"/>
            <w:vMerge/>
          </w:tcPr>
          <w:p w14:paraId="56BC0B73" w14:textId="77777777" w:rsidR="009D4550" w:rsidRPr="00275290" w:rsidRDefault="009D4550" w:rsidP="009D4550">
            <w:pPr>
              <w:rPr>
                <w:rFonts w:cs="Arial"/>
                <w:b/>
                <w:sz w:val="20"/>
                <w:szCs w:val="20"/>
                <w:lang w:val="fr-FR"/>
              </w:rPr>
            </w:pPr>
          </w:p>
        </w:tc>
        <w:tc>
          <w:tcPr>
            <w:tcW w:w="1843" w:type="dxa"/>
            <w:vAlign w:val="center"/>
          </w:tcPr>
          <w:p w14:paraId="071020C2"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vAlign w:val="center"/>
          </w:tcPr>
          <w:p w14:paraId="10C56E1F" w14:textId="77777777" w:rsidR="009D4550" w:rsidRPr="00275290" w:rsidRDefault="009D4550" w:rsidP="009D4550">
            <w:pPr>
              <w:rPr>
                <w:rFonts w:cs="Arial"/>
                <w:bCs/>
                <w:color w:val="000000"/>
                <w:sz w:val="20"/>
                <w:szCs w:val="20"/>
              </w:rPr>
            </w:pPr>
            <w:r w:rsidRPr="00275290">
              <w:rPr>
                <w:rFonts w:cs="Arial"/>
                <w:bCs/>
                <w:color w:val="000000"/>
                <w:sz w:val="20"/>
                <w:szCs w:val="20"/>
              </w:rPr>
              <w:t>3,89E-03</w:t>
            </w:r>
          </w:p>
        </w:tc>
        <w:tc>
          <w:tcPr>
            <w:tcW w:w="1559" w:type="dxa"/>
            <w:vAlign w:val="center"/>
          </w:tcPr>
          <w:p w14:paraId="011E6538" w14:textId="77777777" w:rsidR="009D4550" w:rsidRPr="00275290" w:rsidRDefault="009D4550" w:rsidP="009D4550">
            <w:pPr>
              <w:rPr>
                <w:rFonts w:cs="Arial"/>
                <w:bCs/>
                <w:color w:val="000000"/>
                <w:sz w:val="20"/>
                <w:szCs w:val="20"/>
              </w:rPr>
            </w:pPr>
            <w:r w:rsidRPr="00275290">
              <w:rPr>
                <w:rFonts w:cs="Arial"/>
                <w:bCs/>
                <w:color w:val="000000"/>
                <w:sz w:val="20"/>
                <w:szCs w:val="20"/>
              </w:rPr>
              <w:t>2,49E-05</w:t>
            </w:r>
          </w:p>
        </w:tc>
        <w:tc>
          <w:tcPr>
            <w:tcW w:w="1559" w:type="dxa"/>
            <w:vAlign w:val="center"/>
          </w:tcPr>
          <w:p w14:paraId="061DD38A"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807" w:type="dxa"/>
            <w:vAlign w:val="center"/>
          </w:tcPr>
          <w:p w14:paraId="4148FF78" w14:textId="77777777" w:rsidR="009D4550" w:rsidRPr="00275290" w:rsidRDefault="009D4550" w:rsidP="009D4550">
            <w:pPr>
              <w:rPr>
                <w:rFonts w:cs="Arial"/>
                <w:bCs/>
                <w:color w:val="000000"/>
                <w:sz w:val="20"/>
                <w:szCs w:val="20"/>
              </w:rPr>
            </w:pPr>
            <w:r w:rsidRPr="00275290">
              <w:rPr>
                <w:rFonts w:cs="Arial"/>
                <w:bCs/>
                <w:color w:val="000000"/>
                <w:sz w:val="20"/>
                <w:szCs w:val="20"/>
              </w:rPr>
              <w:t>3,91E-03</w:t>
            </w:r>
          </w:p>
        </w:tc>
      </w:tr>
      <w:tr w:rsidR="009D4550" w:rsidRPr="00275290" w14:paraId="2DDEFC23" w14:textId="77777777" w:rsidTr="0039605F">
        <w:tc>
          <w:tcPr>
            <w:tcW w:w="1809" w:type="dxa"/>
            <w:vMerge/>
          </w:tcPr>
          <w:p w14:paraId="701612E0" w14:textId="77777777" w:rsidR="009D4550" w:rsidRPr="00275290" w:rsidRDefault="009D4550" w:rsidP="009D4550">
            <w:pPr>
              <w:rPr>
                <w:rFonts w:cs="Arial"/>
                <w:b/>
                <w:sz w:val="20"/>
                <w:szCs w:val="20"/>
                <w:lang w:val="fr-FR"/>
              </w:rPr>
            </w:pPr>
          </w:p>
        </w:tc>
        <w:tc>
          <w:tcPr>
            <w:tcW w:w="1843" w:type="dxa"/>
            <w:vAlign w:val="center"/>
          </w:tcPr>
          <w:p w14:paraId="19DF0B78"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418" w:type="dxa"/>
            <w:vAlign w:val="center"/>
          </w:tcPr>
          <w:p w14:paraId="1CC7CA3F" w14:textId="77777777" w:rsidR="009D4550" w:rsidRPr="00275290" w:rsidRDefault="009D4550" w:rsidP="009D4550">
            <w:pPr>
              <w:rPr>
                <w:rFonts w:cs="Arial"/>
                <w:bCs/>
                <w:color w:val="000000"/>
                <w:sz w:val="20"/>
                <w:szCs w:val="20"/>
              </w:rPr>
            </w:pPr>
            <w:r w:rsidRPr="00275290">
              <w:rPr>
                <w:rFonts w:cs="Arial"/>
                <w:bCs/>
                <w:color w:val="000000"/>
                <w:sz w:val="20"/>
                <w:szCs w:val="20"/>
              </w:rPr>
              <w:t>1,45E-03</w:t>
            </w:r>
          </w:p>
        </w:tc>
        <w:tc>
          <w:tcPr>
            <w:tcW w:w="1559" w:type="dxa"/>
            <w:vAlign w:val="center"/>
          </w:tcPr>
          <w:p w14:paraId="37A68996" w14:textId="77777777" w:rsidR="009D4550" w:rsidRPr="00275290" w:rsidRDefault="009D4550" w:rsidP="009D4550">
            <w:pPr>
              <w:rPr>
                <w:rFonts w:cs="Arial"/>
                <w:bCs/>
                <w:color w:val="000000"/>
                <w:sz w:val="20"/>
                <w:szCs w:val="20"/>
              </w:rPr>
            </w:pPr>
            <w:r w:rsidRPr="00275290">
              <w:rPr>
                <w:rFonts w:cs="Arial"/>
                <w:bCs/>
                <w:color w:val="000000"/>
                <w:sz w:val="20"/>
                <w:szCs w:val="20"/>
              </w:rPr>
              <w:t>7,77E-06</w:t>
            </w:r>
          </w:p>
        </w:tc>
        <w:tc>
          <w:tcPr>
            <w:tcW w:w="1559" w:type="dxa"/>
            <w:vAlign w:val="center"/>
          </w:tcPr>
          <w:p w14:paraId="0AF909E6"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807" w:type="dxa"/>
            <w:vAlign w:val="center"/>
          </w:tcPr>
          <w:p w14:paraId="0EFD7E32" w14:textId="77777777" w:rsidR="009D4550" w:rsidRPr="00275290" w:rsidRDefault="009D4550" w:rsidP="009D4550">
            <w:pPr>
              <w:rPr>
                <w:rFonts w:cs="Arial"/>
                <w:bCs/>
                <w:color w:val="000000"/>
                <w:sz w:val="20"/>
                <w:szCs w:val="20"/>
              </w:rPr>
            </w:pPr>
            <w:r w:rsidRPr="00275290">
              <w:rPr>
                <w:rFonts w:cs="Arial"/>
                <w:bCs/>
                <w:color w:val="000000"/>
                <w:sz w:val="20"/>
                <w:szCs w:val="20"/>
              </w:rPr>
              <w:t>1,46E-03</w:t>
            </w:r>
          </w:p>
        </w:tc>
      </w:tr>
      <w:tr w:rsidR="009D4550" w:rsidRPr="00275290" w14:paraId="079BEB03" w14:textId="77777777" w:rsidTr="0039605F">
        <w:tc>
          <w:tcPr>
            <w:tcW w:w="1809" w:type="dxa"/>
            <w:vMerge/>
          </w:tcPr>
          <w:p w14:paraId="5E7B987D" w14:textId="77777777" w:rsidR="009D4550" w:rsidRPr="00275290" w:rsidRDefault="009D4550" w:rsidP="009D4550">
            <w:pPr>
              <w:rPr>
                <w:rFonts w:cs="Arial"/>
                <w:b/>
                <w:sz w:val="20"/>
                <w:szCs w:val="20"/>
                <w:lang w:val="fr-FR"/>
              </w:rPr>
            </w:pPr>
          </w:p>
        </w:tc>
        <w:tc>
          <w:tcPr>
            <w:tcW w:w="1843" w:type="dxa"/>
            <w:vAlign w:val="center"/>
          </w:tcPr>
          <w:p w14:paraId="4695E214"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418" w:type="dxa"/>
            <w:vAlign w:val="center"/>
          </w:tcPr>
          <w:p w14:paraId="7F0EFDF7" w14:textId="77777777" w:rsidR="009D4550" w:rsidRPr="00275290" w:rsidRDefault="009D4550" w:rsidP="009D4550">
            <w:pPr>
              <w:rPr>
                <w:rFonts w:cs="Arial"/>
                <w:bCs/>
                <w:color w:val="000000"/>
                <w:sz w:val="20"/>
                <w:szCs w:val="20"/>
              </w:rPr>
            </w:pPr>
            <w:r w:rsidRPr="00275290">
              <w:rPr>
                <w:rFonts w:cs="Arial"/>
                <w:bCs/>
                <w:color w:val="000000"/>
                <w:sz w:val="20"/>
                <w:szCs w:val="20"/>
              </w:rPr>
              <w:t>3,50E-03</w:t>
            </w:r>
          </w:p>
        </w:tc>
        <w:tc>
          <w:tcPr>
            <w:tcW w:w="1559" w:type="dxa"/>
            <w:vAlign w:val="center"/>
          </w:tcPr>
          <w:p w14:paraId="7D31F1BA" w14:textId="77777777" w:rsidR="009D4550" w:rsidRPr="00275290" w:rsidRDefault="009D4550" w:rsidP="009D4550">
            <w:pPr>
              <w:rPr>
                <w:rFonts w:cs="Arial"/>
                <w:bCs/>
                <w:color w:val="000000"/>
                <w:sz w:val="20"/>
                <w:szCs w:val="20"/>
              </w:rPr>
            </w:pPr>
            <w:r w:rsidRPr="00275290">
              <w:rPr>
                <w:rFonts w:cs="Arial"/>
                <w:bCs/>
                <w:color w:val="000000"/>
                <w:sz w:val="20"/>
                <w:szCs w:val="20"/>
              </w:rPr>
              <w:t>7,77E-06</w:t>
            </w:r>
          </w:p>
        </w:tc>
        <w:tc>
          <w:tcPr>
            <w:tcW w:w="1559" w:type="dxa"/>
            <w:vAlign w:val="center"/>
          </w:tcPr>
          <w:p w14:paraId="0013564C"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807" w:type="dxa"/>
            <w:vAlign w:val="center"/>
          </w:tcPr>
          <w:p w14:paraId="00E2607A" w14:textId="77777777" w:rsidR="009D4550" w:rsidRPr="00275290" w:rsidRDefault="009D4550" w:rsidP="009D4550">
            <w:pPr>
              <w:rPr>
                <w:rFonts w:cs="Arial"/>
                <w:bCs/>
                <w:color w:val="000000"/>
                <w:sz w:val="20"/>
                <w:szCs w:val="20"/>
              </w:rPr>
            </w:pPr>
            <w:r w:rsidRPr="00275290">
              <w:rPr>
                <w:rFonts w:cs="Arial"/>
                <w:bCs/>
                <w:color w:val="000000"/>
                <w:sz w:val="20"/>
                <w:szCs w:val="20"/>
              </w:rPr>
              <w:t>3,51E-03</w:t>
            </w:r>
          </w:p>
        </w:tc>
      </w:tr>
      <w:tr w:rsidR="009D4550" w:rsidRPr="00275290" w14:paraId="01030A99" w14:textId="77777777" w:rsidTr="0039605F">
        <w:tc>
          <w:tcPr>
            <w:tcW w:w="1809" w:type="dxa"/>
            <w:vMerge w:val="restart"/>
          </w:tcPr>
          <w:p w14:paraId="03938630" w14:textId="77777777" w:rsidR="009D4550" w:rsidRPr="00275290" w:rsidRDefault="009D4550" w:rsidP="009D4550">
            <w:pPr>
              <w:rPr>
                <w:rFonts w:cs="Arial"/>
                <w:b/>
                <w:sz w:val="20"/>
                <w:szCs w:val="20"/>
                <w:lang w:val="en-US"/>
              </w:rPr>
            </w:pPr>
            <w:r w:rsidRPr="00275290">
              <w:rPr>
                <w:rFonts w:cs="Arial"/>
                <w:b/>
                <w:sz w:val="20"/>
                <w:szCs w:val="20"/>
                <w:lang w:val="en-US"/>
              </w:rPr>
              <w:t>Infant chewing wood composites chips (450g/m</w:t>
            </w:r>
            <w:r w:rsidRPr="00275290">
              <w:rPr>
                <w:rFonts w:cs="Arial"/>
                <w:b/>
                <w:sz w:val="20"/>
                <w:szCs w:val="20"/>
                <w:vertAlign w:val="superscript"/>
                <w:lang w:val="en-US"/>
              </w:rPr>
              <w:t>2</w:t>
            </w:r>
            <w:r w:rsidRPr="00275290">
              <w:rPr>
                <w:rFonts w:cs="Arial"/>
                <w:b/>
                <w:sz w:val="20"/>
                <w:szCs w:val="20"/>
                <w:lang w:val="en-US"/>
              </w:rPr>
              <w:t>)</w:t>
            </w:r>
          </w:p>
        </w:tc>
        <w:tc>
          <w:tcPr>
            <w:tcW w:w="1843" w:type="dxa"/>
            <w:vAlign w:val="center"/>
          </w:tcPr>
          <w:p w14:paraId="4D8F88C7"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vAlign w:val="center"/>
          </w:tcPr>
          <w:p w14:paraId="167F262D"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26E836E9"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358F42B7" w14:textId="77777777" w:rsidR="009D4550" w:rsidRPr="00275290" w:rsidRDefault="009D4550" w:rsidP="009D4550">
            <w:pPr>
              <w:rPr>
                <w:rFonts w:cs="Arial"/>
                <w:bCs/>
                <w:color w:val="000000"/>
                <w:sz w:val="20"/>
                <w:szCs w:val="20"/>
              </w:rPr>
            </w:pPr>
            <w:r w:rsidRPr="00275290">
              <w:rPr>
                <w:rFonts w:cs="Arial"/>
                <w:bCs/>
                <w:color w:val="000000"/>
                <w:sz w:val="20"/>
                <w:szCs w:val="20"/>
              </w:rPr>
              <w:t>9,74E-03</w:t>
            </w:r>
          </w:p>
        </w:tc>
        <w:tc>
          <w:tcPr>
            <w:tcW w:w="1807" w:type="dxa"/>
            <w:vAlign w:val="center"/>
          </w:tcPr>
          <w:p w14:paraId="53FF378D" w14:textId="77777777" w:rsidR="009D4550" w:rsidRPr="00275290" w:rsidRDefault="009D4550" w:rsidP="009D4550">
            <w:pPr>
              <w:rPr>
                <w:rFonts w:cs="Arial"/>
                <w:bCs/>
                <w:color w:val="000000"/>
                <w:sz w:val="20"/>
                <w:szCs w:val="20"/>
              </w:rPr>
            </w:pPr>
            <w:r w:rsidRPr="00275290">
              <w:rPr>
                <w:rFonts w:cs="Arial"/>
                <w:bCs/>
                <w:color w:val="000000"/>
                <w:sz w:val="20"/>
                <w:szCs w:val="20"/>
              </w:rPr>
              <w:t>9,74E-03</w:t>
            </w:r>
          </w:p>
        </w:tc>
      </w:tr>
      <w:tr w:rsidR="009D4550" w:rsidRPr="00275290" w14:paraId="4B46C7D8" w14:textId="77777777" w:rsidTr="0039605F">
        <w:tc>
          <w:tcPr>
            <w:tcW w:w="1809" w:type="dxa"/>
            <w:vMerge/>
          </w:tcPr>
          <w:p w14:paraId="6CBA320C" w14:textId="77777777" w:rsidR="009D4550" w:rsidRPr="00275290" w:rsidRDefault="009D4550" w:rsidP="009D4550">
            <w:pPr>
              <w:rPr>
                <w:rFonts w:cs="Arial"/>
                <w:sz w:val="20"/>
                <w:szCs w:val="20"/>
                <w:lang w:val="en-US"/>
              </w:rPr>
            </w:pPr>
          </w:p>
        </w:tc>
        <w:tc>
          <w:tcPr>
            <w:tcW w:w="1843" w:type="dxa"/>
            <w:vAlign w:val="center"/>
          </w:tcPr>
          <w:p w14:paraId="3E1EE57B"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vAlign w:val="center"/>
          </w:tcPr>
          <w:p w14:paraId="42566D16"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08A3B0D3"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0AC33B3D" w14:textId="77777777" w:rsidR="009D4550" w:rsidRPr="00275290" w:rsidRDefault="009D4550" w:rsidP="009D4550">
            <w:pPr>
              <w:rPr>
                <w:rFonts w:cs="Arial"/>
                <w:bCs/>
                <w:color w:val="000000"/>
                <w:sz w:val="20"/>
                <w:szCs w:val="20"/>
              </w:rPr>
            </w:pPr>
            <w:r w:rsidRPr="00275290">
              <w:rPr>
                <w:rFonts w:cs="Arial"/>
                <w:bCs/>
                <w:color w:val="000000"/>
                <w:sz w:val="20"/>
                <w:szCs w:val="20"/>
              </w:rPr>
              <w:t>3,42E-02</w:t>
            </w:r>
          </w:p>
        </w:tc>
        <w:tc>
          <w:tcPr>
            <w:tcW w:w="1807" w:type="dxa"/>
            <w:vAlign w:val="center"/>
          </w:tcPr>
          <w:p w14:paraId="7EC4498E" w14:textId="77777777" w:rsidR="009D4550" w:rsidRPr="00275290" w:rsidRDefault="009D4550" w:rsidP="009D4550">
            <w:pPr>
              <w:rPr>
                <w:rFonts w:cs="Arial"/>
                <w:bCs/>
                <w:color w:val="000000"/>
                <w:sz w:val="20"/>
                <w:szCs w:val="20"/>
              </w:rPr>
            </w:pPr>
            <w:r w:rsidRPr="00275290">
              <w:rPr>
                <w:rFonts w:cs="Arial"/>
                <w:bCs/>
                <w:color w:val="000000"/>
                <w:sz w:val="20"/>
                <w:szCs w:val="20"/>
              </w:rPr>
              <w:t>3,42E-02</w:t>
            </w:r>
          </w:p>
        </w:tc>
      </w:tr>
      <w:tr w:rsidR="009D4550" w:rsidRPr="00275290" w14:paraId="1C884EFD" w14:textId="77777777" w:rsidTr="0039605F">
        <w:tc>
          <w:tcPr>
            <w:tcW w:w="1809" w:type="dxa"/>
            <w:vMerge/>
          </w:tcPr>
          <w:p w14:paraId="756D7BAA" w14:textId="77777777" w:rsidR="009D4550" w:rsidRPr="00275290" w:rsidRDefault="009D4550" w:rsidP="009D4550">
            <w:pPr>
              <w:rPr>
                <w:rFonts w:cs="Arial"/>
                <w:sz w:val="20"/>
                <w:szCs w:val="20"/>
                <w:lang w:val="en-US"/>
              </w:rPr>
            </w:pPr>
          </w:p>
        </w:tc>
        <w:tc>
          <w:tcPr>
            <w:tcW w:w="1843" w:type="dxa"/>
            <w:vAlign w:val="center"/>
          </w:tcPr>
          <w:p w14:paraId="042E0C91"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418" w:type="dxa"/>
            <w:vAlign w:val="center"/>
          </w:tcPr>
          <w:p w14:paraId="75A4C80D"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4D9B8F76"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63DB7BB4" w14:textId="77777777" w:rsidR="009D4550" w:rsidRPr="00275290" w:rsidRDefault="009D4550" w:rsidP="009D4550">
            <w:pPr>
              <w:rPr>
                <w:rFonts w:cs="Arial"/>
                <w:bCs/>
                <w:color w:val="000000"/>
                <w:sz w:val="20"/>
                <w:szCs w:val="20"/>
              </w:rPr>
            </w:pPr>
            <w:r w:rsidRPr="00275290">
              <w:rPr>
                <w:rFonts w:cs="Arial"/>
                <w:bCs/>
                <w:color w:val="000000"/>
                <w:sz w:val="20"/>
                <w:szCs w:val="20"/>
              </w:rPr>
              <w:t>1,07E-02</w:t>
            </w:r>
          </w:p>
        </w:tc>
        <w:tc>
          <w:tcPr>
            <w:tcW w:w="1807" w:type="dxa"/>
            <w:vAlign w:val="center"/>
          </w:tcPr>
          <w:p w14:paraId="7625A06C" w14:textId="77777777" w:rsidR="009D4550" w:rsidRPr="00275290" w:rsidRDefault="009D4550" w:rsidP="009D4550">
            <w:pPr>
              <w:rPr>
                <w:rFonts w:cs="Arial"/>
                <w:bCs/>
                <w:color w:val="000000"/>
                <w:sz w:val="20"/>
                <w:szCs w:val="20"/>
              </w:rPr>
            </w:pPr>
            <w:r w:rsidRPr="00275290">
              <w:rPr>
                <w:rFonts w:cs="Arial"/>
                <w:bCs/>
                <w:color w:val="000000"/>
                <w:sz w:val="20"/>
                <w:szCs w:val="20"/>
              </w:rPr>
              <w:t>1,07E-02</w:t>
            </w:r>
          </w:p>
        </w:tc>
      </w:tr>
      <w:tr w:rsidR="009D4550" w:rsidRPr="00275290" w14:paraId="7EE5C7FD" w14:textId="77777777" w:rsidTr="0039605F">
        <w:tc>
          <w:tcPr>
            <w:tcW w:w="1809" w:type="dxa"/>
            <w:vMerge/>
          </w:tcPr>
          <w:p w14:paraId="344B0E36" w14:textId="77777777" w:rsidR="009D4550" w:rsidRPr="00275290" w:rsidRDefault="009D4550" w:rsidP="009D4550">
            <w:pPr>
              <w:rPr>
                <w:rFonts w:cs="Arial"/>
                <w:sz w:val="20"/>
                <w:szCs w:val="20"/>
                <w:lang w:val="en-US"/>
              </w:rPr>
            </w:pPr>
          </w:p>
        </w:tc>
        <w:tc>
          <w:tcPr>
            <w:tcW w:w="1843" w:type="dxa"/>
            <w:vAlign w:val="center"/>
          </w:tcPr>
          <w:p w14:paraId="3E6D0057"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418" w:type="dxa"/>
            <w:vAlign w:val="center"/>
          </w:tcPr>
          <w:p w14:paraId="76B2D175"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451A7D20"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243F05C6" w14:textId="77777777" w:rsidR="009D4550" w:rsidRPr="00275290" w:rsidRDefault="009D4550" w:rsidP="009D4550">
            <w:pPr>
              <w:rPr>
                <w:rFonts w:cs="Arial"/>
                <w:bCs/>
                <w:color w:val="000000"/>
                <w:sz w:val="20"/>
                <w:szCs w:val="20"/>
              </w:rPr>
            </w:pPr>
            <w:r w:rsidRPr="00275290">
              <w:rPr>
                <w:rFonts w:cs="Arial"/>
                <w:bCs/>
                <w:color w:val="000000"/>
                <w:sz w:val="20"/>
                <w:szCs w:val="20"/>
              </w:rPr>
              <w:t>1,07E-02</w:t>
            </w:r>
          </w:p>
        </w:tc>
        <w:tc>
          <w:tcPr>
            <w:tcW w:w="1807" w:type="dxa"/>
            <w:vAlign w:val="center"/>
          </w:tcPr>
          <w:p w14:paraId="20CD4BE8" w14:textId="77777777" w:rsidR="009D4550" w:rsidRPr="00275290" w:rsidRDefault="009D4550" w:rsidP="009D4550">
            <w:pPr>
              <w:rPr>
                <w:rFonts w:cs="Arial"/>
                <w:bCs/>
                <w:color w:val="000000"/>
                <w:sz w:val="20"/>
                <w:szCs w:val="20"/>
              </w:rPr>
            </w:pPr>
            <w:r w:rsidRPr="00275290">
              <w:rPr>
                <w:rFonts w:cs="Arial"/>
                <w:bCs/>
                <w:color w:val="000000"/>
                <w:sz w:val="20"/>
                <w:szCs w:val="20"/>
              </w:rPr>
              <w:t>1,07E-02</w:t>
            </w:r>
          </w:p>
        </w:tc>
      </w:tr>
    </w:tbl>
    <w:p w14:paraId="50362467" w14:textId="77777777" w:rsidR="009D4550" w:rsidRPr="00275290" w:rsidRDefault="009D4550" w:rsidP="009D4550">
      <w:pPr>
        <w:rPr>
          <w:rFonts w:cs="Arial"/>
        </w:rPr>
      </w:pPr>
    </w:p>
    <w:p w14:paraId="481F680C" w14:textId="77777777" w:rsidR="009D4550" w:rsidRPr="00275290" w:rsidRDefault="009D4550" w:rsidP="009D4550">
      <w:pPr>
        <w:rPr>
          <w:rFonts w:cs="Arial"/>
        </w:rPr>
      </w:pPr>
    </w:p>
    <w:p w14:paraId="77E76C06" w14:textId="77777777" w:rsidR="009D4550" w:rsidRPr="00275290" w:rsidRDefault="009D4550" w:rsidP="009D4550">
      <w:pPr>
        <w:rPr>
          <w:rFonts w:cs="Arial"/>
          <w:b/>
          <w:i/>
          <w:u w:val="single"/>
        </w:rPr>
      </w:pPr>
      <w:r w:rsidRPr="00275290">
        <w:rPr>
          <w:rFonts w:cs="Arial"/>
          <w:b/>
          <w:i/>
          <w:u w:val="single"/>
        </w:rPr>
        <w:t>Chronic secondary exposure scenario</w:t>
      </w:r>
    </w:p>
    <w:p w14:paraId="04280FF4" w14:textId="77777777" w:rsidR="009D4550" w:rsidRPr="00275290" w:rsidRDefault="009D4550" w:rsidP="009D4550">
      <w:pPr>
        <w:rPr>
          <w:rFonts w:cs="Arial"/>
        </w:rPr>
      </w:pPr>
    </w:p>
    <w:p w14:paraId="0FF8BB2A" w14:textId="77777777" w:rsidR="009D4550" w:rsidRPr="00275290" w:rsidRDefault="009D4550" w:rsidP="009D4550">
      <w:pPr>
        <w:rPr>
          <w:rFonts w:cs="Arial"/>
        </w:rPr>
      </w:pPr>
      <w:r w:rsidRPr="00275290">
        <w:rPr>
          <w:rFonts w:cs="Arial"/>
        </w:rPr>
        <w:t>As a worst-case, it has been considered that the wood was treated with a total application dose of 445g/m</w:t>
      </w:r>
      <w:r w:rsidRPr="00275290">
        <w:rPr>
          <w:rFonts w:cs="Arial"/>
          <w:vertAlign w:val="superscript"/>
        </w:rPr>
        <w:t>2</w:t>
      </w:r>
      <w:r w:rsidRPr="00275290">
        <w:rPr>
          <w:rFonts w:cs="Arial"/>
        </w:rPr>
        <w:t xml:space="preserve">, corresponding to a curative treatment by brushing or spraying and injection. </w:t>
      </w:r>
    </w:p>
    <w:p w14:paraId="54310496" w14:textId="77777777" w:rsidR="009D4550" w:rsidRPr="00275290" w:rsidRDefault="009D4550" w:rsidP="009D4550">
      <w:pPr>
        <w:rPr>
          <w:rFonts w:cs="Arial"/>
        </w:rPr>
      </w:pPr>
      <w:r w:rsidRPr="00275290">
        <w:rPr>
          <w:rFonts w:cs="Arial"/>
        </w:rPr>
        <w:t xml:space="preserve">Exposure was determined according to the scenario proposed in the User guidance, except for exposure to volatile residue. For this scenario a modelisation by ConsExpo was realised to determine the amount of active substance /m3 air. </w:t>
      </w:r>
    </w:p>
    <w:p w14:paraId="7789CF85" w14:textId="77777777" w:rsidR="009D4550" w:rsidRPr="00275290" w:rsidRDefault="009D4550" w:rsidP="009D4550">
      <w:pPr>
        <w:rPr>
          <w:rFonts w:cs="Arial"/>
        </w:rPr>
      </w:pPr>
    </w:p>
    <w:p w14:paraId="7CEB2A22" w14:textId="77777777" w:rsidR="009D4550" w:rsidRPr="00275290" w:rsidRDefault="009D4550" w:rsidP="009D4550">
      <w:pPr>
        <w:rPr>
          <w:rFonts w:cs="Arial"/>
        </w:rPr>
      </w:pPr>
    </w:p>
    <w:tbl>
      <w:tblPr>
        <w:tblStyle w:val="Grilledutableau4"/>
        <w:tblW w:w="0" w:type="auto"/>
        <w:tblLayout w:type="fixed"/>
        <w:tblLook w:val="04A0" w:firstRow="1" w:lastRow="0" w:firstColumn="1" w:lastColumn="0" w:noHBand="0" w:noVBand="1"/>
      </w:tblPr>
      <w:tblGrid>
        <w:gridCol w:w="1809"/>
        <w:gridCol w:w="1843"/>
        <w:gridCol w:w="1418"/>
        <w:gridCol w:w="1559"/>
        <w:gridCol w:w="1559"/>
        <w:gridCol w:w="1807"/>
      </w:tblGrid>
      <w:tr w:rsidR="009D4550" w:rsidRPr="00275290" w14:paraId="4520008C" w14:textId="77777777" w:rsidTr="0039605F">
        <w:tc>
          <w:tcPr>
            <w:tcW w:w="1809" w:type="dxa"/>
          </w:tcPr>
          <w:p w14:paraId="64BC4E44"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Scenario</w:t>
            </w:r>
          </w:p>
        </w:tc>
        <w:tc>
          <w:tcPr>
            <w:tcW w:w="1843" w:type="dxa"/>
          </w:tcPr>
          <w:p w14:paraId="2713608B" w14:textId="77777777" w:rsidR="009D4550" w:rsidRPr="00275290" w:rsidRDefault="009D4550" w:rsidP="009D4550">
            <w:pPr>
              <w:tabs>
                <w:tab w:val="left" w:pos="426"/>
              </w:tabs>
              <w:autoSpaceDE w:val="0"/>
              <w:autoSpaceDN w:val="0"/>
              <w:adjustRightInd w:val="0"/>
              <w:spacing w:before="60" w:after="60"/>
              <w:rPr>
                <w:rFonts w:cs="Arial"/>
                <w:b/>
                <w:sz w:val="20"/>
                <w:szCs w:val="20"/>
              </w:rPr>
            </w:pPr>
            <w:r w:rsidRPr="00275290">
              <w:rPr>
                <w:rFonts w:cs="Arial"/>
                <w:b/>
                <w:sz w:val="20"/>
                <w:szCs w:val="20"/>
              </w:rPr>
              <w:t>Substances</w:t>
            </w:r>
          </w:p>
        </w:tc>
        <w:tc>
          <w:tcPr>
            <w:tcW w:w="1418" w:type="dxa"/>
          </w:tcPr>
          <w:p w14:paraId="2D6B862B" w14:textId="77777777" w:rsidR="009D4550" w:rsidRPr="00275290" w:rsidRDefault="009D4550" w:rsidP="009D4550">
            <w:pPr>
              <w:autoSpaceDE w:val="0"/>
              <w:autoSpaceDN w:val="0"/>
              <w:adjustRightInd w:val="0"/>
              <w:spacing w:before="60" w:after="60"/>
              <w:rPr>
                <w:rFonts w:cs="Arial"/>
                <w:b/>
                <w:sz w:val="20"/>
                <w:szCs w:val="20"/>
                <w:lang w:val="fr-FR"/>
              </w:rPr>
            </w:pPr>
            <w:r w:rsidRPr="00275290">
              <w:rPr>
                <w:rFonts w:cs="Arial"/>
                <w:b/>
                <w:sz w:val="20"/>
                <w:szCs w:val="20"/>
                <w:lang w:val="fr-FR"/>
              </w:rPr>
              <w:t>Dermal Exposure</w:t>
            </w:r>
          </w:p>
          <w:p w14:paraId="1106F904" w14:textId="77777777" w:rsidR="009D4550" w:rsidRPr="00275290" w:rsidRDefault="009D4550" w:rsidP="009D4550">
            <w:pPr>
              <w:autoSpaceDE w:val="0"/>
              <w:autoSpaceDN w:val="0"/>
              <w:adjustRightInd w:val="0"/>
              <w:spacing w:before="60" w:after="60"/>
              <w:rPr>
                <w:rFonts w:cs="Arial"/>
                <w:b/>
                <w:sz w:val="20"/>
                <w:szCs w:val="20"/>
                <w:lang w:val="fr-FR"/>
              </w:rPr>
            </w:pPr>
            <w:r w:rsidRPr="00275290">
              <w:rPr>
                <w:rFonts w:cs="Arial"/>
                <w:b/>
                <w:sz w:val="20"/>
                <w:szCs w:val="20"/>
                <w:lang w:val="fr-FR"/>
              </w:rPr>
              <w:t>(mg/kg pw/d)</w:t>
            </w:r>
          </w:p>
        </w:tc>
        <w:tc>
          <w:tcPr>
            <w:tcW w:w="1559" w:type="dxa"/>
          </w:tcPr>
          <w:p w14:paraId="538BB650"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Inhalation Exposure</w:t>
            </w:r>
          </w:p>
          <w:p w14:paraId="31DE0D2E"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559" w:type="dxa"/>
          </w:tcPr>
          <w:p w14:paraId="2EAC69B1"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Oral Exposure</w:t>
            </w:r>
          </w:p>
          <w:p w14:paraId="275F65D2"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807" w:type="dxa"/>
          </w:tcPr>
          <w:p w14:paraId="11D1FDD0"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Total Exposure</w:t>
            </w:r>
          </w:p>
          <w:p w14:paraId="4002C3D8"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r>
      <w:tr w:rsidR="009D4550" w:rsidRPr="00275290" w14:paraId="75BABE08" w14:textId="77777777" w:rsidTr="0039605F">
        <w:trPr>
          <w:trHeight w:val="448"/>
        </w:trPr>
        <w:tc>
          <w:tcPr>
            <w:tcW w:w="1809" w:type="dxa"/>
            <w:vMerge w:val="restart"/>
          </w:tcPr>
          <w:p w14:paraId="77C1D4D8" w14:textId="77777777" w:rsidR="009D4550" w:rsidRPr="00275290" w:rsidRDefault="009D4550" w:rsidP="009D4550">
            <w:pPr>
              <w:rPr>
                <w:rFonts w:cs="Arial"/>
                <w:b/>
                <w:sz w:val="20"/>
                <w:szCs w:val="20"/>
                <w:lang w:val="en-US"/>
              </w:rPr>
            </w:pPr>
            <w:r w:rsidRPr="00275290">
              <w:rPr>
                <w:rFonts w:cs="Arial"/>
                <w:b/>
                <w:sz w:val="20"/>
                <w:szCs w:val="20"/>
                <w:lang w:val="en-US"/>
              </w:rPr>
              <w:t>Adult professional sanding/processing of treated wood composites</w:t>
            </w:r>
          </w:p>
        </w:tc>
        <w:tc>
          <w:tcPr>
            <w:tcW w:w="1843" w:type="dxa"/>
            <w:vAlign w:val="center"/>
          </w:tcPr>
          <w:p w14:paraId="620F6870"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vAlign w:val="center"/>
          </w:tcPr>
          <w:p w14:paraId="04268834" w14:textId="77777777" w:rsidR="009D4550" w:rsidRPr="00275290" w:rsidRDefault="009D4550" w:rsidP="009D4550">
            <w:pPr>
              <w:rPr>
                <w:rFonts w:cs="Arial"/>
                <w:bCs/>
                <w:color w:val="000000"/>
                <w:sz w:val="20"/>
                <w:szCs w:val="20"/>
              </w:rPr>
            </w:pPr>
            <w:r w:rsidRPr="00275290">
              <w:rPr>
                <w:rFonts w:cs="Arial"/>
                <w:bCs/>
                <w:color w:val="000000"/>
                <w:sz w:val="20"/>
                <w:szCs w:val="20"/>
              </w:rPr>
              <w:t>2,69E-03</w:t>
            </w:r>
          </w:p>
        </w:tc>
        <w:tc>
          <w:tcPr>
            <w:tcW w:w="1559" w:type="dxa"/>
            <w:vAlign w:val="center"/>
          </w:tcPr>
          <w:p w14:paraId="5543DB80" w14:textId="77777777" w:rsidR="009D4550" w:rsidRPr="00275290" w:rsidRDefault="009D4550" w:rsidP="009D4550">
            <w:pPr>
              <w:rPr>
                <w:rFonts w:cs="Arial"/>
                <w:bCs/>
                <w:color w:val="000000"/>
                <w:sz w:val="20"/>
                <w:szCs w:val="20"/>
              </w:rPr>
            </w:pPr>
            <w:r w:rsidRPr="00275290">
              <w:rPr>
                <w:rFonts w:cs="Arial"/>
                <w:bCs/>
                <w:color w:val="000000"/>
                <w:sz w:val="20"/>
                <w:szCs w:val="20"/>
              </w:rPr>
              <w:t>7,46E-05</w:t>
            </w:r>
          </w:p>
        </w:tc>
        <w:tc>
          <w:tcPr>
            <w:tcW w:w="1559" w:type="dxa"/>
            <w:vAlign w:val="center"/>
          </w:tcPr>
          <w:p w14:paraId="2748A893"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807" w:type="dxa"/>
            <w:vAlign w:val="center"/>
          </w:tcPr>
          <w:p w14:paraId="2977D889" w14:textId="77777777" w:rsidR="009D4550" w:rsidRPr="00275290" w:rsidRDefault="009D4550" w:rsidP="009D4550">
            <w:pPr>
              <w:rPr>
                <w:rFonts w:cs="Arial"/>
                <w:bCs/>
                <w:color w:val="000000"/>
                <w:sz w:val="20"/>
                <w:szCs w:val="20"/>
              </w:rPr>
            </w:pPr>
            <w:r w:rsidRPr="00275290">
              <w:rPr>
                <w:rFonts w:cs="Arial"/>
                <w:bCs/>
                <w:color w:val="000000"/>
                <w:sz w:val="20"/>
                <w:szCs w:val="20"/>
              </w:rPr>
              <w:t>2,77E-03</w:t>
            </w:r>
          </w:p>
        </w:tc>
      </w:tr>
      <w:tr w:rsidR="009D4550" w:rsidRPr="00275290" w14:paraId="1FAF1D51" w14:textId="77777777" w:rsidTr="0039605F">
        <w:trPr>
          <w:trHeight w:val="594"/>
        </w:trPr>
        <w:tc>
          <w:tcPr>
            <w:tcW w:w="1809" w:type="dxa"/>
            <w:vMerge/>
          </w:tcPr>
          <w:p w14:paraId="181936F0" w14:textId="77777777" w:rsidR="009D4550" w:rsidRPr="00275290" w:rsidRDefault="009D4550" w:rsidP="009D4550">
            <w:pPr>
              <w:rPr>
                <w:rFonts w:cs="Arial"/>
                <w:b/>
                <w:sz w:val="20"/>
                <w:szCs w:val="20"/>
                <w:lang w:val="fr-FR"/>
              </w:rPr>
            </w:pPr>
          </w:p>
        </w:tc>
        <w:tc>
          <w:tcPr>
            <w:tcW w:w="1843" w:type="dxa"/>
            <w:vAlign w:val="center"/>
          </w:tcPr>
          <w:p w14:paraId="1A5D5CBF"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vAlign w:val="center"/>
          </w:tcPr>
          <w:p w14:paraId="0ABBD0C6" w14:textId="77777777" w:rsidR="009D4550" w:rsidRPr="00275290" w:rsidRDefault="009D4550" w:rsidP="009D4550">
            <w:pPr>
              <w:rPr>
                <w:rFonts w:cs="Arial"/>
                <w:bCs/>
                <w:color w:val="000000"/>
                <w:sz w:val="20"/>
                <w:szCs w:val="20"/>
              </w:rPr>
            </w:pPr>
            <w:r w:rsidRPr="00275290">
              <w:rPr>
                <w:rFonts w:cs="Arial"/>
                <w:bCs/>
                <w:color w:val="000000"/>
                <w:sz w:val="20"/>
                <w:szCs w:val="20"/>
              </w:rPr>
              <w:t>3,89E-03</w:t>
            </w:r>
          </w:p>
        </w:tc>
        <w:tc>
          <w:tcPr>
            <w:tcW w:w="1559" w:type="dxa"/>
            <w:vAlign w:val="center"/>
          </w:tcPr>
          <w:p w14:paraId="6244F70C" w14:textId="77777777" w:rsidR="009D4550" w:rsidRPr="00275290" w:rsidRDefault="009D4550" w:rsidP="009D4550">
            <w:pPr>
              <w:rPr>
                <w:rFonts w:cs="Arial"/>
                <w:bCs/>
                <w:color w:val="000000"/>
                <w:sz w:val="20"/>
                <w:szCs w:val="20"/>
              </w:rPr>
            </w:pPr>
            <w:r w:rsidRPr="00275290">
              <w:rPr>
                <w:rFonts w:cs="Arial"/>
                <w:bCs/>
                <w:color w:val="000000"/>
                <w:sz w:val="20"/>
                <w:szCs w:val="20"/>
              </w:rPr>
              <w:t>1,49E-04</w:t>
            </w:r>
          </w:p>
        </w:tc>
        <w:tc>
          <w:tcPr>
            <w:tcW w:w="1559" w:type="dxa"/>
            <w:vAlign w:val="center"/>
          </w:tcPr>
          <w:p w14:paraId="0AC66D44"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795A7E60" w14:textId="77777777" w:rsidR="009D4550" w:rsidRPr="00275290" w:rsidRDefault="009D4550" w:rsidP="009D4550">
            <w:pPr>
              <w:rPr>
                <w:rFonts w:cs="Arial"/>
                <w:bCs/>
                <w:color w:val="000000"/>
                <w:sz w:val="20"/>
                <w:szCs w:val="20"/>
              </w:rPr>
            </w:pPr>
            <w:r w:rsidRPr="00275290">
              <w:rPr>
                <w:rFonts w:cs="Arial"/>
                <w:bCs/>
                <w:color w:val="000000"/>
                <w:sz w:val="20"/>
                <w:szCs w:val="20"/>
              </w:rPr>
              <w:t>4,04E-03</w:t>
            </w:r>
          </w:p>
        </w:tc>
      </w:tr>
      <w:tr w:rsidR="009D4550" w:rsidRPr="00275290" w14:paraId="1E1DC578" w14:textId="77777777" w:rsidTr="0039605F">
        <w:tc>
          <w:tcPr>
            <w:tcW w:w="1809" w:type="dxa"/>
            <w:vMerge/>
          </w:tcPr>
          <w:p w14:paraId="1C046A65" w14:textId="77777777" w:rsidR="009D4550" w:rsidRPr="00275290" w:rsidRDefault="009D4550" w:rsidP="009D4550">
            <w:pPr>
              <w:rPr>
                <w:rFonts w:cs="Arial"/>
                <w:b/>
                <w:sz w:val="20"/>
                <w:szCs w:val="20"/>
                <w:lang w:val="en-US"/>
              </w:rPr>
            </w:pPr>
          </w:p>
        </w:tc>
        <w:tc>
          <w:tcPr>
            <w:tcW w:w="1843" w:type="dxa"/>
            <w:vAlign w:val="center"/>
          </w:tcPr>
          <w:p w14:paraId="7072607B" w14:textId="77777777" w:rsidR="009D4550" w:rsidRPr="00275290" w:rsidRDefault="009D4550" w:rsidP="009D4550">
            <w:pPr>
              <w:rPr>
                <w:rFonts w:cs="Arial"/>
                <w:sz w:val="20"/>
                <w:szCs w:val="20"/>
                <w:lang w:val="en-US"/>
              </w:rPr>
            </w:pPr>
            <w:r w:rsidRPr="00275290">
              <w:rPr>
                <w:rFonts w:cs="Arial"/>
                <w:sz w:val="20"/>
                <w:szCs w:val="20"/>
                <w:lang w:val="en-US"/>
              </w:rPr>
              <w:t>Tébuconazole</w:t>
            </w:r>
          </w:p>
        </w:tc>
        <w:tc>
          <w:tcPr>
            <w:tcW w:w="1418" w:type="dxa"/>
            <w:vAlign w:val="center"/>
          </w:tcPr>
          <w:p w14:paraId="6EEC4CEF" w14:textId="77777777" w:rsidR="009D4550" w:rsidRPr="00275290" w:rsidRDefault="009D4550" w:rsidP="009D4550">
            <w:pPr>
              <w:rPr>
                <w:rFonts w:cs="Arial"/>
                <w:bCs/>
                <w:color w:val="000000"/>
                <w:sz w:val="20"/>
                <w:szCs w:val="20"/>
              </w:rPr>
            </w:pPr>
            <w:r w:rsidRPr="00275290">
              <w:rPr>
                <w:rFonts w:cs="Arial"/>
                <w:bCs/>
                <w:color w:val="000000"/>
                <w:sz w:val="20"/>
                <w:szCs w:val="20"/>
              </w:rPr>
              <w:t>1,45E-03</w:t>
            </w:r>
          </w:p>
        </w:tc>
        <w:tc>
          <w:tcPr>
            <w:tcW w:w="1559" w:type="dxa"/>
            <w:vAlign w:val="center"/>
          </w:tcPr>
          <w:p w14:paraId="7A506F92" w14:textId="77777777" w:rsidR="009D4550" w:rsidRPr="00275290" w:rsidRDefault="009D4550" w:rsidP="009D4550">
            <w:pPr>
              <w:rPr>
                <w:rFonts w:cs="Arial"/>
                <w:bCs/>
                <w:color w:val="000000"/>
                <w:sz w:val="20"/>
                <w:szCs w:val="20"/>
              </w:rPr>
            </w:pPr>
            <w:r w:rsidRPr="00275290">
              <w:rPr>
                <w:rFonts w:cs="Arial"/>
                <w:bCs/>
                <w:color w:val="000000"/>
                <w:sz w:val="20"/>
                <w:szCs w:val="20"/>
              </w:rPr>
              <w:t>4,66E-05</w:t>
            </w:r>
          </w:p>
        </w:tc>
        <w:tc>
          <w:tcPr>
            <w:tcW w:w="1559" w:type="dxa"/>
            <w:vAlign w:val="center"/>
          </w:tcPr>
          <w:p w14:paraId="7AD532E4"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600E4299" w14:textId="77777777" w:rsidR="009D4550" w:rsidRPr="00275290" w:rsidRDefault="009D4550" w:rsidP="009D4550">
            <w:pPr>
              <w:rPr>
                <w:rFonts w:cs="Arial"/>
                <w:bCs/>
                <w:color w:val="000000"/>
                <w:sz w:val="20"/>
                <w:szCs w:val="20"/>
              </w:rPr>
            </w:pPr>
            <w:r w:rsidRPr="00275290">
              <w:rPr>
                <w:rFonts w:cs="Arial"/>
                <w:bCs/>
                <w:color w:val="000000"/>
                <w:sz w:val="20"/>
                <w:szCs w:val="20"/>
              </w:rPr>
              <w:t>1,50E-03</w:t>
            </w:r>
          </w:p>
        </w:tc>
      </w:tr>
      <w:tr w:rsidR="009D4550" w:rsidRPr="00275290" w14:paraId="5F00B07B" w14:textId="77777777" w:rsidTr="0039605F">
        <w:tc>
          <w:tcPr>
            <w:tcW w:w="1809" w:type="dxa"/>
            <w:vMerge/>
          </w:tcPr>
          <w:p w14:paraId="772D56EB" w14:textId="77777777" w:rsidR="009D4550" w:rsidRPr="00275290" w:rsidRDefault="009D4550" w:rsidP="009D4550">
            <w:pPr>
              <w:rPr>
                <w:rFonts w:cs="Arial"/>
                <w:b/>
                <w:sz w:val="20"/>
                <w:szCs w:val="20"/>
                <w:lang w:val="en-US"/>
              </w:rPr>
            </w:pPr>
          </w:p>
        </w:tc>
        <w:tc>
          <w:tcPr>
            <w:tcW w:w="1843" w:type="dxa"/>
            <w:vAlign w:val="center"/>
          </w:tcPr>
          <w:p w14:paraId="216C7CC5"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418" w:type="dxa"/>
            <w:vAlign w:val="center"/>
          </w:tcPr>
          <w:p w14:paraId="59FB4DBC" w14:textId="77777777" w:rsidR="009D4550" w:rsidRPr="00275290" w:rsidRDefault="009D4550" w:rsidP="009D4550">
            <w:pPr>
              <w:rPr>
                <w:rFonts w:cs="Arial"/>
                <w:bCs/>
                <w:color w:val="000000"/>
                <w:sz w:val="20"/>
                <w:szCs w:val="20"/>
              </w:rPr>
            </w:pPr>
            <w:r w:rsidRPr="00275290">
              <w:rPr>
                <w:rFonts w:cs="Arial"/>
                <w:bCs/>
                <w:color w:val="000000"/>
                <w:sz w:val="20"/>
                <w:szCs w:val="20"/>
              </w:rPr>
              <w:t>3,50E-03</w:t>
            </w:r>
          </w:p>
        </w:tc>
        <w:tc>
          <w:tcPr>
            <w:tcW w:w="1559" w:type="dxa"/>
            <w:vAlign w:val="center"/>
          </w:tcPr>
          <w:p w14:paraId="18E1F9AB" w14:textId="77777777" w:rsidR="009D4550" w:rsidRPr="00275290" w:rsidRDefault="009D4550" w:rsidP="009D4550">
            <w:pPr>
              <w:rPr>
                <w:rFonts w:cs="Arial"/>
                <w:bCs/>
                <w:color w:val="000000"/>
                <w:sz w:val="20"/>
                <w:szCs w:val="20"/>
              </w:rPr>
            </w:pPr>
            <w:r w:rsidRPr="00275290">
              <w:rPr>
                <w:rFonts w:cs="Arial"/>
                <w:bCs/>
                <w:color w:val="000000"/>
                <w:sz w:val="20"/>
                <w:szCs w:val="20"/>
              </w:rPr>
              <w:t>4,66E-05</w:t>
            </w:r>
          </w:p>
        </w:tc>
        <w:tc>
          <w:tcPr>
            <w:tcW w:w="1559" w:type="dxa"/>
            <w:vAlign w:val="center"/>
          </w:tcPr>
          <w:p w14:paraId="3033DCD4"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50AB8456" w14:textId="77777777" w:rsidR="009D4550" w:rsidRPr="00275290" w:rsidRDefault="009D4550" w:rsidP="009D4550">
            <w:pPr>
              <w:rPr>
                <w:rFonts w:cs="Arial"/>
                <w:bCs/>
                <w:color w:val="000000"/>
                <w:sz w:val="20"/>
                <w:szCs w:val="20"/>
              </w:rPr>
            </w:pPr>
            <w:r w:rsidRPr="00275290">
              <w:rPr>
                <w:rFonts w:cs="Arial"/>
                <w:bCs/>
                <w:color w:val="000000"/>
                <w:sz w:val="20"/>
                <w:szCs w:val="20"/>
              </w:rPr>
              <w:t>3,55E-03</w:t>
            </w:r>
          </w:p>
        </w:tc>
      </w:tr>
      <w:tr w:rsidR="009D4550" w:rsidRPr="00275290" w14:paraId="6AA6C7BE" w14:textId="77777777" w:rsidTr="0039605F">
        <w:tc>
          <w:tcPr>
            <w:tcW w:w="1809" w:type="dxa"/>
            <w:vMerge w:val="restart"/>
          </w:tcPr>
          <w:p w14:paraId="387F4556" w14:textId="77777777" w:rsidR="009D4550" w:rsidRPr="00275290" w:rsidRDefault="009D4550" w:rsidP="009D4550">
            <w:pPr>
              <w:rPr>
                <w:rFonts w:cs="Arial"/>
                <w:b/>
                <w:sz w:val="20"/>
                <w:szCs w:val="20"/>
                <w:lang w:val="en-US"/>
              </w:rPr>
            </w:pPr>
            <w:r w:rsidRPr="00275290">
              <w:rPr>
                <w:rFonts w:cs="Arial"/>
                <w:b/>
                <w:color w:val="000000"/>
                <w:sz w:val="20"/>
                <w:szCs w:val="20"/>
                <w:lang w:val="en-US" w:eastAsia="en-US"/>
              </w:rPr>
              <w:t>Inhalation of volatilizing residues indoors (Adult)</w:t>
            </w:r>
          </w:p>
        </w:tc>
        <w:tc>
          <w:tcPr>
            <w:tcW w:w="1843" w:type="dxa"/>
            <w:vAlign w:val="center"/>
          </w:tcPr>
          <w:p w14:paraId="0593C83E"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tcPr>
          <w:p w14:paraId="11759764" w14:textId="77777777" w:rsidR="009D4550" w:rsidRPr="00275290" w:rsidRDefault="009D4550" w:rsidP="009D4550">
            <w:pPr>
              <w:rPr>
                <w:rFonts w:cs="Arial"/>
                <w:color w:val="000000"/>
                <w:sz w:val="20"/>
                <w:szCs w:val="20"/>
              </w:rPr>
            </w:pPr>
            <w:r w:rsidRPr="00275290">
              <w:rPr>
                <w:rFonts w:cs="Arial"/>
                <w:color w:val="000000"/>
                <w:sz w:val="20"/>
                <w:szCs w:val="20"/>
              </w:rPr>
              <w:t>-</w:t>
            </w:r>
          </w:p>
        </w:tc>
        <w:tc>
          <w:tcPr>
            <w:tcW w:w="1559" w:type="dxa"/>
            <w:vAlign w:val="center"/>
          </w:tcPr>
          <w:p w14:paraId="673D98E3" w14:textId="77777777" w:rsidR="009D4550" w:rsidRPr="00275290" w:rsidRDefault="009D4550" w:rsidP="009D4550">
            <w:pPr>
              <w:rPr>
                <w:rFonts w:cs="Arial"/>
                <w:sz w:val="20"/>
                <w:szCs w:val="20"/>
                <w:lang w:val="en-US"/>
              </w:rPr>
            </w:pPr>
            <w:r w:rsidRPr="00275290">
              <w:rPr>
                <w:rFonts w:cs="Arial"/>
                <w:color w:val="000000"/>
                <w:sz w:val="20"/>
                <w:szCs w:val="20"/>
              </w:rPr>
              <w:t>3,28E-09</w:t>
            </w:r>
          </w:p>
        </w:tc>
        <w:tc>
          <w:tcPr>
            <w:tcW w:w="1559" w:type="dxa"/>
          </w:tcPr>
          <w:p w14:paraId="411F3A32"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6608620F" w14:textId="77777777" w:rsidR="009D4550" w:rsidRPr="00275290" w:rsidRDefault="009D4550" w:rsidP="009D4550">
            <w:pPr>
              <w:rPr>
                <w:rFonts w:cs="Arial"/>
                <w:sz w:val="20"/>
                <w:szCs w:val="20"/>
                <w:lang w:val="en-US"/>
              </w:rPr>
            </w:pPr>
            <w:r w:rsidRPr="00275290">
              <w:rPr>
                <w:rFonts w:cs="Arial"/>
                <w:color w:val="000000"/>
                <w:sz w:val="20"/>
                <w:szCs w:val="20"/>
              </w:rPr>
              <w:t>3,28E-09</w:t>
            </w:r>
          </w:p>
        </w:tc>
      </w:tr>
      <w:tr w:rsidR="009D4550" w:rsidRPr="00275290" w14:paraId="18F470B0" w14:textId="77777777" w:rsidTr="0039605F">
        <w:tc>
          <w:tcPr>
            <w:tcW w:w="1809" w:type="dxa"/>
            <w:vMerge/>
          </w:tcPr>
          <w:p w14:paraId="1B49AC40" w14:textId="77777777" w:rsidR="009D4550" w:rsidRPr="00275290" w:rsidRDefault="009D4550" w:rsidP="009D4550">
            <w:pPr>
              <w:rPr>
                <w:rFonts w:cs="Arial"/>
                <w:sz w:val="20"/>
                <w:szCs w:val="20"/>
                <w:lang w:val="en-US"/>
              </w:rPr>
            </w:pPr>
          </w:p>
        </w:tc>
        <w:tc>
          <w:tcPr>
            <w:tcW w:w="1843" w:type="dxa"/>
            <w:vAlign w:val="center"/>
          </w:tcPr>
          <w:p w14:paraId="7461E020"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tcPr>
          <w:p w14:paraId="69E01366"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54551FEC" w14:textId="77777777" w:rsidR="009D4550" w:rsidRPr="00275290" w:rsidRDefault="009D4550" w:rsidP="009D4550">
            <w:pPr>
              <w:rPr>
                <w:rFonts w:cs="Arial"/>
                <w:color w:val="000000"/>
                <w:sz w:val="20"/>
                <w:szCs w:val="20"/>
              </w:rPr>
            </w:pPr>
            <w:r w:rsidRPr="00275290">
              <w:rPr>
                <w:rFonts w:cs="Arial"/>
                <w:color w:val="000000"/>
                <w:sz w:val="20"/>
                <w:szCs w:val="20"/>
              </w:rPr>
              <w:t>1,60E-06</w:t>
            </w:r>
          </w:p>
        </w:tc>
        <w:tc>
          <w:tcPr>
            <w:tcW w:w="1559" w:type="dxa"/>
          </w:tcPr>
          <w:p w14:paraId="60B681D7"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549FFE87" w14:textId="77777777" w:rsidR="009D4550" w:rsidRPr="00275290" w:rsidRDefault="009D4550" w:rsidP="009D4550">
            <w:pPr>
              <w:rPr>
                <w:rFonts w:cs="Arial"/>
                <w:color w:val="000000"/>
                <w:sz w:val="20"/>
                <w:szCs w:val="20"/>
              </w:rPr>
            </w:pPr>
            <w:r w:rsidRPr="00275290">
              <w:rPr>
                <w:rFonts w:cs="Arial"/>
                <w:color w:val="000000"/>
                <w:sz w:val="20"/>
                <w:szCs w:val="20"/>
              </w:rPr>
              <w:t>1,60E-06</w:t>
            </w:r>
          </w:p>
        </w:tc>
      </w:tr>
      <w:tr w:rsidR="009D4550" w:rsidRPr="00275290" w14:paraId="2065C45A" w14:textId="77777777" w:rsidTr="0039605F">
        <w:tc>
          <w:tcPr>
            <w:tcW w:w="1809" w:type="dxa"/>
            <w:vMerge/>
          </w:tcPr>
          <w:p w14:paraId="7493DC23" w14:textId="77777777" w:rsidR="009D4550" w:rsidRPr="00275290" w:rsidRDefault="009D4550" w:rsidP="009D4550">
            <w:pPr>
              <w:rPr>
                <w:rFonts w:cs="Arial"/>
                <w:sz w:val="20"/>
                <w:szCs w:val="20"/>
                <w:lang w:val="en-US"/>
              </w:rPr>
            </w:pPr>
          </w:p>
        </w:tc>
        <w:tc>
          <w:tcPr>
            <w:tcW w:w="1843" w:type="dxa"/>
            <w:vAlign w:val="center"/>
          </w:tcPr>
          <w:p w14:paraId="67712080" w14:textId="77777777" w:rsidR="009D4550" w:rsidRPr="00275290" w:rsidRDefault="009D4550" w:rsidP="009D4550">
            <w:pPr>
              <w:rPr>
                <w:rFonts w:cs="Arial"/>
                <w:sz w:val="20"/>
                <w:szCs w:val="20"/>
                <w:lang w:val="en-US"/>
              </w:rPr>
            </w:pPr>
            <w:r w:rsidRPr="00275290">
              <w:rPr>
                <w:rFonts w:cs="Arial"/>
                <w:sz w:val="20"/>
                <w:szCs w:val="20"/>
                <w:lang w:val="en-US"/>
              </w:rPr>
              <w:t>Tébuconazole</w:t>
            </w:r>
          </w:p>
        </w:tc>
        <w:tc>
          <w:tcPr>
            <w:tcW w:w="1418" w:type="dxa"/>
          </w:tcPr>
          <w:p w14:paraId="79F8BD04"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56783F95" w14:textId="77777777" w:rsidR="009D4550" w:rsidRPr="00275290" w:rsidRDefault="009D4550" w:rsidP="009D4550">
            <w:pPr>
              <w:rPr>
                <w:rFonts w:cs="Arial"/>
                <w:color w:val="000000"/>
                <w:sz w:val="20"/>
                <w:szCs w:val="20"/>
              </w:rPr>
            </w:pPr>
            <w:r w:rsidRPr="00275290">
              <w:rPr>
                <w:rFonts w:cs="Arial"/>
                <w:color w:val="000000"/>
                <w:sz w:val="20"/>
                <w:szCs w:val="20"/>
              </w:rPr>
              <w:t>1,52E-08</w:t>
            </w:r>
          </w:p>
        </w:tc>
        <w:tc>
          <w:tcPr>
            <w:tcW w:w="1559" w:type="dxa"/>
          </w:tcPr>
          <w:p w14:paraId="5E2C1E27"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5D8DB501" w14:textId="77777777" w:rsidR="009D4550" w:rsidRPr="00275290" w:rsidRDefault="009D4550" w:rsidP="009D4550">
            <w:pPr>
              <w:rPr>
                <w:rFonts w:cs="Arial"/>
                <w:color w:val="000000"/>
                <w:sz w:val="20"/>
                <w:szCs w:val="20"/>
              </w:rPr>
            </w:pPr>
            <w:r w:rsidRPr="00275290">
              <w:rPr>
                <w:rFonts w:cs="Arial"/>
                <w:color w:val="000000"/>
                <w:sz w:val="20"/>
                <w:szCs w:val="20"/>
              </w:rPr>
              <w:t>1,52E-08</w:t>
            </w:r>
          </w:p>
        </w:tc>
      </w:tr>
      <w:tr w:rsidR="009D4550" w:rsidRPr="00275290" w14:paraId="2E1B48D0" w14:textId="77777777" w:rsidTr="0039605F">
        <w:tc>
          <w:tcPr>
            <w:tcW w:w="1809" w:type="dxa"/>
            <w:vMerge/>
          </w:tcPr>
          <w:p w14:paraId="7B2A7421" w14:textId="77777777" w:rsidR="009D4550" w:rsidRPr="00275290" w:rsidRDefault="009D4550" w:rsidP="009D4550">
            <w:pPr>
              <w:rPr>
                <w:rFonts w:cs="Arial"/>
                <w:sz w:val="20"/>
                <w:szCs w:val="20"/>
                <w:lang w:val="en-US"/>
              </w:rPr>
            </w:pPr>
          </w:p>
        </w:tc>
        <w:tc>
          <w:tcPr>
            <w:tcW w:w="1843" w:type="dxa"/>
            <w:vAlign w:val="center"/>
          </w:tcPr>
          <w:p w14:paraId="26B6021D"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418" w:type="dxa"/>
          </w:tcPr>
          <w:p w14:paraId="2F7BCA35"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3B092B85" w14:textId="77777777" w:rsidR="009D4550" w:rsidRPr="00275290" w:rsidRDefault="009D4550" w:rsidP="009D4550">
            <w:pPr>
              <w:rPr>
                <w:rFonts w:cs="Arial"/>
                <w:color w:val="000000"/>
                <w:sz w:val="20"/>
                <w:szCs w:val="20"/>
              </w:rPr>
            </w:pPr>
            <w:r w:rsidRPr="00275290">
              <w:rPr>
                <w:rFonts w:cs="Arial"/>
                <w:color w:val="000000"/>
                <w:sz w:val="20"/>
                <w:szCs w:val="20"/>
              </w:rPr>
              <w:t>4,03E-05</w:t>
            </w:r>
          </w:p>
        </w:tc>
        <w:tc>
          <w:tcPr>
            <w:tcW w:w="1559" w:type="dxa"/>
          </w:tcPr>
          <w:p w14:paraId="69D7661B"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0774FD04" w14:textId="77777777" w:rsidR="009D4550" w:rsidRPr="00275290" w:rsidRDefault="009D4550" w:rsidP="009D4550">
            <w:pPr>
              <w:rPr>
                <w:rFonts w:cs="Arial"/>
                <w:color w:val="000000"/>
                <w:sz w:val="20"/>
                <w:szCs w:val="20"/>
              </w:rPr>
            </w:pPr>
            <w:r w:rsidRPr="00275290">
              <w:rPr>
                <w:rFonts w:cs="Arial"/>
                <w:color w:val="000000"/>
                <w:sz w:val="20"/>
                <w:szCs w:val="20"/>
              </w:rPr>
              <w:t>4,03E-05</w:t>
            </w:r>
          </w:p>
        </w:tc>
      </w:tr>
      <w:tr w:rsidR="009D4550" w:rsidRPr="00275290" w14:paraId="003E448E" w14:textId="77777777" w:rsidTr="0039605F">
        <w:tc>
          <w:tcPr>
            <w:tcW w:w="1809" w:type="dxa"/>
            <w:vMerge w:val="restart"/>
          </w:tcPr>
          <w:p w14:paraId="67C51C8A" w14:textId="77777777" w:rsidR="009D4550" w:rsidRPr="00275290" w:rsidRDefault="009D4550" w:rsidP="009D4550">
            <w:pPr>
              <w:rPr>
                <w:rFonts w:cs="Arial"/>
                <w:b/>
                <w:sz w:val="20"/>
                <w:szCs w:val="20"/>
                <w:lang w:val="en-US"/>
              </w:rPr>
            </w:pPr>
            <w:r w:rsidRPr="00275290">
              <w:rPr>
                <w:rFonts w:cs="Arial"/>
                <w:b/>
                <w:color w:val="000000"/>
                <w:sz w:val="20"/>
                <w:szCs w:val="20"/>
                <w:lang w:val="en-US" w:eastAsia="en-US"/>
              </w:rPr>
              <w:t>Inhalation of volatilizing residues indoors (Infant)</w:t>
            </w:r>
          </w:p>
        </w:tc>
        <w:tc>
          <w:tcPr>
            <w:tcW w:w="1843" w:type="dxa"/>
            <w:vAlign w:val="center"/>
          </w:tcPr>
          <w:p w14:paraId="0FE4D731"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tcPr>
          <w:p w14:paraId="59202C58"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425218FD" w14:textId="77777777" w:rsidR="009D4550" w:rsidRPr="00275290" w:rsidRDefault="009D4550" w:rsidP="009D4550">
            <w:pPr>
              <w:rPr>
                <w:rFonts w:cs="Arial"/>
                <w:color w:val="000000"/>
                <w:sz w:val="20"/>
                <w:szCs w:val="20"/>
              </w:rPr>
            </w:pPr>
            <w:r w:rsidRPr="00275290">
              <w:rPr>
                <w:rFonts w:cs="Arial"/>
                <w:color w:val="000000"/>
                <w:sz w:val="20"/>
                <w:szCs w:val="20"/>
              </w:rPr>
              <w:t>6,642E-09</w:t>
            </w:r>
          </w:p>
        </w:tc>
        <w:tc>
          <w:tcPr>
            <w:tcW w:w="1559" w:type="dxa"/>
          </w:tcPr>
          <w:p w14:paraId="629586C3"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1D5FD36A" w14:textId="77777777" w:rsidR="009D4550" w:rsidRPr="00275290" w:rsidRDefault="009D4550" w:rsidP="009D4550">
            <w:pPr>
              <w:rPr>
                <w:rFonts w:cs="Arial"/>
                <w:color w:val="000000"/>
                <w:sz w:val="20"/>
                <w:szCs w:val="20"/>
              </w:rPr>
            </w:pPr>
            <w:r w:rsidRPr="00275290">
              <w:rPr>
                <w:rFonts w:cs="Arial"/>
                <w:color w:val="000000"/>
                <w:sz w:val="20"/>
                <w:szCs w:val="20"/>
              </w:rPr>
              <w:t>6,642E-09</w:t>
            </w:r>
          </w:p>
        </w:tc>
      </w:tr>
      <w:tr w:rsidR="009D4550" w:rsidRPr="00275290" w14:paraId="03ADB22A" w14:textId="77777777" w:rsidTr="0039605F">
        <w:tc>
          <w:tcPr>
            <w:tcW w:w="1809" w:type="dxa"/>
            <w:vMerge/>
          </w:tcPr>
          <w:p w14:paraId="6FD8B427" w14:textId="77777777" w:rsidR="009D4550" w:rsidRPr="00275290" w:rsidRDefault="009D4550" w:rsidP="009D4550">
            <w:pPr>
              <w:rPr>
                <w:rFonts w:cs="Arial"/>
                <w:sz w:val="20"/>
                <w:szCs w:val="20"/>
                <w:lang w:val="en-US"/>
              </w:rPr>
            </w:pPr>
          </w:p>
        </w:tc>
        <w:tc>
          <w:tcPr>
            <w:tcW w:w="1843" w:type="dxa"/>
            <w:vAlign w:val="center"/>
          </w:tcPr>
          <w:p w14:paraId="678441B1"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tcPr>
          <w:p w14:paraId="57D8FF63"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3ACA5BDF" w14:textId="77777777" w:rsidR="009D4550" w:rsidRPr="00275290" w:rsidRDefault="009D4550" w:rsidP="009D4550">
            <w:pPr>
              <w:rPr>
                <w:rFonts w:cs="Arial"/>
                <w:color w:val="000000"/>
                <w:sz w:val="20"/>
                <w:szCs w:val="20"/>
              </w:rPr>
            </w:pPr>
            <w:r w:rsidRPr="00275290">
              <w:rPr>
                <w:rFonts w:cs="Arial"/>
                <w:color w:val="000000"/>
                <w:sz w:val="20"/>
                <w:szCs w:val="20"/>
              </w:rPr>
              <w:t>3,24E-06</w:t>
            </w:r>
          </w:p>
        </w:tc>
        <w:tc>
          <w:tcPr>
            <w:tcW w:w="1559" w:type="dxa"/>
          </w:tcPr>
          <w:p w14:paraId="00334ADD"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4ACBB363" w14:textId="77777777" w:rsidR="009D4550" w:rsidRPr="00275290" w:rsidRDefault="009D4550" w:rsidP="009D4550">
            <w:pPr>
              <w:rPr>
                <w:rFonts w:cs="Arial"/>
                <w:color w:val="000000"/>
                <w:sz w:val="20"/>
                <w:szCs w:val="20"/>
              </w:rPr>
            </w:pPr>
            <w:r w:rsidRPr="00275290">
              <w:rPr>
                <w:rFonts w:cs="Arial"/>
                <w:color w:val="000000"/>
                <w:sz w:val="20"/>
                <w:szCs w:val="20"/>
              </w:rPr>
              <w:t>3,24E-06</w:t>
            </w:r>
          </w:p>
        </w:tc>
      </w:tr>
      <w:tr w:rsidR="009D4550" w:rsidRPr="00275290" w14:paraId="495DFABA" w14:textId="77777777" w:rsidTr="0039605F">
        <w:tc>
          <w:tcPr>
            <w:tcW w:w="1809" w:type="dxa"/>
            <w:vMerge/>
          </w:tcPr>
          <w:p w14:paraId="3998A4EA" w14:textId="77777777" w:rsidR="009D4550" w:rsidRPr="00275290" w:rsidRDefault="009D4550" w:rsidP="009D4550">
            <w:pPr>
              <w:rPr>
                <w:rFonts w:cs="Arial"/>
                <w:sz w:val="20"/>
                <w:szCs w:val="20"/>
                <w:lang w:val="en-US"/>
              </w:rPr>
            </w:pPr>
          </w:p>
        </w:tc>
        <w:tc>
          <w:tcPr>
            <w:tcW w:w="1843" w:type="dxa"/>
            <w:vAlign w:val="center"/>
          </w:tcPr>
          <w:p w14:paraId="2FFB6C91" w14:textId="77777777" w:rsidR="009D4550" w:rsidRPr="00275290" w:rsidRDefault="009D4550" w:rsidP="009D4550">
            <w:pPr>
              <w:rPr>
                <w:rFonts w:cs="Arial"/>
                <w:sz w:val="20"/>
                <w:szCs w:val="20"/>
                <w:lang w:val="en-US"/>
              </w:rPr>
            </w:pPr>
            <w:r w:rsidRPr="00275290">
              <w:rPr>
                <w:rFonts w:cs="Arial"/>
                <w:sz w:val="20"/>
                <w:szCs w:val="20"/>
                <w:lang w:val="en-US"/>
              </w:rPr>
              <w:t>Tébuconazole</w:t>
            </w:r>
          </w:p>
        </w:tc>
        <w:tc>
          <w:tcPr>
            <w:tcW w:w="1418" w:type="dxa"/>
          </w:tcPr>
          <w:p w14:paraId="5B80BC0F"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74BB6CEE" w14:textId="77777777" w:rsidR="009D4550" w:rsidRPr="00275290" w:rsidRDefault="009D4550" w:rsidP="009D4550">
            <w:pPr>
              <w:rPr>
                <w:rFonts w:cs="Arial"/>
                <w:color w:val="000000"/>
                <w:sz w:val="20"/>
                <w:szCs w:val="20"/>
              </w:rPr>
            </w:pPr>
            <w:r w:rsidRPr="00275290">
              <w:rPr>
                <w:rFonts w:cs="Arial"/>
                <w:color w:val="000000"/>
                <w:sz w:val="20"/>
                <w:szCs w:val="20"/>
              </w:rPr>
              <w:t>3,07E-08</w:t>
            </w:r>
          </w:p>
        </w:tc>
        <w:tc>
          <w:tcPr>
            <w:tcW w:w="1559" w:type="dxa"/>
          </w:tcPr>
          <w:p w14:paraId="554ECC5D"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4B02E6D3" w14:textId="77777777" w:rsidR="009D4550" w:rsidRPr="00275290" w:rsidRDefault="009D4550" w:rsidP="009D4550">
            <w:pPr>
              <w:rPr>
                <w:rFonts w:cs="Arial"/>
                <w:color w:val="000000"/>
                <w:sz w:val="20"/>
                <w:szCs w:val="20"/>
              </w:rPr>
            </w:pPr>
            <w:r w:rsidRPr="00275290">
              <w:rPr>
                <w:rFonts w:cs="Arial"/>
                <w:color w:val="000000"/>
                <w:sz w:val="20"/>
                <w:szCs w:val="20"/>
              </w:rPr>
              <w:t>3,07E-08</w:t>
            </w:r>
          </w:p>
        </w:tc>
      </w:tr>
      <w:tr w:rsidR="009D4550" w:rsidRPr="00275290" w14:paraId="23975E99" w14:textId="77777777" w:rsidTr="0039605F">
        <w:tc>
          <w:tcPr>
            <w:tcW w:w="1809" w:type="dxa"/>
            <w:vMerge/>
          </w:tcPr>
          <w:p w14:paraId="356895C0" w14:textId="77777777" w:rsidR="009D4550" w:rsidRPr="00275290" w:rsidRDefault="009D4550" w:rsidP="009D4550">
            <w:pPr>
              <w:rPr>
                <w:rFonts w:cs="Arial"/>
                <w:sz w:val="20"/>
                <w:szCs w:val="20"/>
                <w:lang w:val="en-US"/>
              </w:rPr>
            </w:pPr>
          </w:p>
        </w:tc>
        <w:tc>
          <w:tcPr>
            <w:tcW w:w="1843" w:type="dxa"/>
            <w:vAlign w:val="center"/>
          </w:tcPr>
          <w:p w14:paraId="0845BAF9"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418" w:type="dxa"/>
          </w:tcPr>
          <w:p w14:paraId="76229C39"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28D038A2" w14:textId="77777777" w:rsidR="009D4550" w:rsidRPr="00275290" w:rsidRDefault="009D4550" w:rsidP="009D4550">
            <w:pPr>
              <w:rPr>
                <w:rFonts w:cs="Arial"/>
                <w:color w:val="000000"/>
                <w:sz w:val="20"/>
                <w:szCs w:val="20"/>
              </w:rPr>
            </w:pPr>
            <w:r w:rsidRPr="00275290">
              <w:rPr>
                <w:rFonts w:cs="Arial"/>
                <w:color w:val="000000"/>
                <w:sz w:val="20"/>
                <w:szCs w:val="20"/>
              </w:rPr>
              <w:t>8,15E-05</w:t>
            </w:r>
          </w:p>
        </w:tc>
        <w:tc>
          <w:tcPr>
            <w:tcW w:w="1559" w:type="dxa"/>
          </w:tcPr>
          <w:p w14:paraId="5719777E"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0709F20C" w14:textId="77777777" w:rsidR="009D4550" w:rsidRPr="00275290" w:rsidRDefault="009D4550" w:rsidP="009D4550">
            <w:pPr>
              <w:rPr>
                <w:rFonts w:cs="Arial"/>
                <w:color w:val="000000"/>
                <w:sz w:val="20"/>
                <w:szCs w:val="20"/>
              </w:rPr>
            </w:pPr>
            <w:r w:rsidRPr="00275290">
              <w:rPr>
                <w:rFonts w:cs="Arial"/>
                <w:color w:val="000000"/>
                <w:sz w:val="20"/>
                <w:szCs w:val="20"/>
              </w:rPr>
              <w:t>8,15E-05</w:t>
            </w:r>
          </w:p>
        </w:tc>
      </w:tr>
      <w:tr w:rsidR="009D4550" w:rsidRPr="00275290" w14:paraId="6F191A8D" w14:textId="77777777" w:rsidTr="0039605F">
        <w:tc>
          <w:tcPr>
            <w:tcW w:w="1809" w:type="dxa"/>
            <w:vMerge w:val="restart"/>
          </w:tcPr>
          <w:p w14:paraId="0114DBD1" w14:textId="77777777" w:rsidR="009D4550" w:rsidRPr="00275290" w:rsidRDefault="009D4550" w:rsidP="009D4550">
            <w:pPr>
              <w:rPr>
                <w:rFonts w:cs="Arial"/>
                <w:sz w:val="20"/>
                <w:szCs w:val="20"/>
                <w:lang w:val="en-US"/>
              </w:rPr>
            </w:pPr>
            <w:r w:rsidRPr="00275290">
              <w:rPr>
                <w:rFonts w:cs="Arial"/>
                <w:b/>
                <w:color w:val="000000"/>
                <w:sz w:val="20"/>
                <w:szCs w:val="20"/>
                <w:lang w:val="en-US" w:eastAsia="en-US"/>
              </w:rPr>
              <w:t>Child playing on playground structure outdoors</w:t>
            </w:r>
          </w:p>
        </w:tc>
        <w:tc>
          <w:tcPr>
            <w:tcW w:w="1843" w:type="dxa"/>
            <w:vAlign w:val="center"/>
          </w:tcPr>
          <w:p w14:paraId="1841984D"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vAlign w:val="center"/>
          </w:tcPr>
          <w:p w14:paraId="277C7E5E" w14:textId="77777777" w:rsidR="009D4550" w:rsidRPr="00275290" w:rsidRDefault="009D4550" w:rsidP="009D4550">
            <w:pPr>
              <w:rPr>
                <w:rFonts w:cs="Arial"/>
                <w:bCs/>
                <w:color w:val="000000"/>
                <w:sz w:val="20"/>
                <w:szCs w:val="20"/>
              </w:rPr>
            </w:pPr>
            <w:r w:rsidRPr="00275290">
              <w:rPr>
                <w:rFonts w:cs="Arial"/>
                <w:bCs/>
                <w:color w:val="000000"/>
                <w:sz w:val="20"/>
                <w:szCs w:val="20"/>
              </w:rPr>
              <w:t>1,03E-03</w:t>
            </w:r>
          </w:p>
        </w:tc>
        <w:tc>
          <w:tcPr>
            <w:tcW w:w="1559" w:type="dxa"/>
          </w:tcPr>
          <w:p w14:paraId="6E08AA8F" w14:textId="77777777" w:rsidR="009D4550" w:rsidRPr="00275290" w:rsidRDefault="009D4550" w:rsidP="009D4550">
            <w:pPr>
              <w:rPr>
                <w:rFonts w:cs="Arial"/>
                <w:sz w:val="20"/>
                <w:szCs w:val="20"/>
              </w:rPr>
            </w:pPr>
            <w:r w:rsidRPr="00275290">
              <w:rPr>
                <w:rFonts w:cs="Arial"/>
                <w:sz w:val="20"/>
                <w:szCs w:val="20"/>
              </w:rPr>
              <w:t>-</w:t>
            </w:r>
          </w:p>
        </w:tc>
        <w:tc>
          <w:tcPr>
            <w:tcW w:w="1559" w:type="dxa"/>
          </w:tcPr>
          <w:p w14:paraId="5D84204D"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30D8253B" w14:textId="77777777" w:rsidR="009D4550" w:rsidRPr="00275290" w:rsidRDefault="009D4550" w:rsidP="009D4550">
            <w:pPr>
              <w:rPr>
                <w:rFonts w:cs="Arial"/>
                <w:bCs/>
                <w:color w:val="000000"/>
                <w:sz w:val="20"/>
                <w:szCs w:val="20"/>
              </w:rPr>
            </w:pPr>
            <w:r w:rsidRPr="00275290">
              <w:rPr>
                <w:rFonts w:cs="Arial"/>
                <w:bCs/>
                <w:color w:val="000000"/>
                <w:sz w:val="20"/>
                <w:szCs w:val="20"/>
              </w:rPr>
              <w:t>1,03E-03</w:t>
            </w:r>
          </w:p>
        </w:tc>
      </w:tr>
      <w:tr w:rsidR="009D4550" w:rsidRPr="00275290" w14:paraId="26AB46FA" w14:textId="77777777" w:rsidTr="0039605F">
        <w:tc>
          <w:tcPr>
            <w:tcW w:w="1809" w:type="dxa"/>
            <w:vMerge/>
          </w:tcPr>
          <w:p w14:paraId="311C966C" w14:textId="77777777" w:rsidR="009D4550" w:rsidRPr="00275290" w:rsidRDefault="009D4550" w:rsidP="009D4550">
            <w:pPr>
              <w:rPr>
                <w:rFonts w:cs="Arial"/>
                <w:sz w:val="20"/>
                <w:szCs w:val="20"/>
                <w:lang w:val="en-US"/>
              </w:rPr>
            </w:pPr>
          </w:p>
        </w:tc>
        <w:tc>
          <w:tcPr>
            <w:tcW w:w="1843" w:type="dxa"/>
            <w:vAlign w:val="center"/>
          </w:tcPr>
          <w:p w14:paraId="30C3892C"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vAlign w:val="center"/>
          </w:tcPr>
          <w:p w14:paraId="587231F4" w14:textId="77777777" w:rsidR="009D4550" w:rsidRPr="00275290" w:rsidRDefault="009D4550" w:rsidP="009D4550">
            <w:pPr>
              <w:rPr>
                <w:rFonts w:cs="Arial"/>
                <w:bCs/>
                <w:color w:val="000000"/>
                <w:sz w:val="20"/>
                <w:szCs w:val="20"/>
              </w:rPr>
            </w:pPr>
            <w:r w:rsidRPr="00275290">
              <w:rPr>
                <w:rFonts w:cs="Arial"/>
                <w:bCs/>
                <w:color w:val="000000"/>
                <w:sz w:val="20"/>
                <w:szCs w:val="20"/>
              </w:rPr>
              <w:t>1,48E-03</w:t>
            </w:r>
          </w:p>
        </w:tc>
        <w:tc>
          <w:tcPr>
            <w:tcW w:w="1559" w:type="dxa"/>
          </w:tcPr>
          <w:p w14:paraId="2FF336BB" w14:textId="77777777" w:rsidR="009D4550" w:rsidRPr="00275290" w:rsidRDefault="009D4550" w:rsidP="009D4550">
            <w:pPr>
              <w:rPr>
                <w:rFonts w:cs="Arial"/>
                <w:sz w:val="20"/>
                <w:szCs w:val="20"/>
              </w:rPr>
            </w:pPr>
            <w:r w:rsidRPr="00275290">
              <w:rPr>
                <w:rFonts w:cs="Arial"/>
                <w:sz w:val="20"/>
                <w:szCs w:val="20"/>
              </w:rPr>
              <w:t>-</w:t>
            </w:r>
          </w:p>
        </w:tc>
        <w:tc>
          <w:tcPr>
            <w:tcW w:w="1559" w:type="dxa"/>
          </w:tcPr>
          <w:p w14:paraId="20877CA7"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08C5C88C" w14:textId="77777777" w:rsidR="009D4550" w:rsidRPr="00275290" w:rsidRDefault="009D4550" w:rsidP="009D4550">
            <w:pPr>
              <w:rPr>
                <w:rFonts w:cs="Arial"/>
                <w:bCs/>
                <w:color w:val="000000"/>
                <w:sz w:val="20"/>
                <w:szCs w:val="20"/>
              </w:rPr>
            </w:pPr>
            <w:r w:rsidRPr="00275290">
              <w:rPr>
                <w:rFonts w:cs="Arial"/>
                <w:bCs/>
                <w:color w:val="000000"/>
                <w:sz w:val="20"/>
                <w:szCs w:val="20"/>
              </w:rPr>
              <w:t>1,48E-03</w:t>
            </w:r>
          </w:p>
        </w:tc>
      </w:tr>
      <w:tr w:rsidR="003F6605" w:rsidRPr="00275290" w14:paraId="2CA80D52" w14:textId="77777777" w:rsidTr="0039605F">
        <w:tc>
          <w:tcPr>
            <w:tcW w:w="1809" w:type="dxa"/>
            <w:vMerge/>
          </w:tcPr>
          <w:p w14:paraId="13CEAD6E" w14:textId="77777777" w:rsidR="003F6605" w:rsidRPr="00275290" w:rsidRDefault="003F6605" w:rsidP="009D4550">
            <w:pPr>
              <w:rPr>
                <w:rFonts w:cs="Arial"/>
                <w:sz w:val="20"/>
                <w:szCs w:val="20"/>
                <w:lang w:val="en-US"/>
              </w:rPr>
            </w:pPr>
          </w:p>
        </w:tc>
        <w:tc>
          <w:tcPr>
            <w:tcW w:w="1843" w:type="dxa"/>
            <w:vAlign w:val="center"/>
          </w:tcPr>
          <w:p w14:paraId="7AE008CF" w14:textId="77777777" w:rsidR="003F6605" w:rsidRPr="00275290" w:rsidRDefault="003F6605" w:rsidP="009D4550">
            <w:pPr>
              <w:rPr>
                <w:rFonts w:cs="Arial"/>
                <w:sz w:val="20"/>
                <w:szCs w:val="20"/>
                <w:lang w:val="en-US"/>
              </w:rPr>
            </w:pPr>
            <w:r w:rsidRPr="00275290">
              <w:rPr>
                <w:rFonts w:cs="Arial"/>
                <w:sz w:val="20"/>
                <w:szCs w:val="20"/>
                <w:lang w:val="en-US"/>
              </w:rPr>
              <w:t>Tébuconazole</w:t>
            </w:r>
          </w:p>
        </w:tc>
        <w:tc>
          <w:tcPr>
            <w:tcW w:w="1418" w:type="dxa"/>
            <w:vAlign w:val="center"/>
          </w:tcPr>
          <w:p w14:paraId="7FBEE1B6" w14:textId="0888BF08" w:rsidR="003F6605" w:rsidRPr="00275290" w:rsidRDefault="003F6605" w:rsidP="009D4550">
            <w:pPr>
              <w:rPr>
                <w:rFonts w:cs="Arial"/>
                <w:bCs/>
                <w:color w:val="000000"/>
                <w:sz w:val="20"/>
                <w:szCs w:val="20"/>
              </w:rPr>
            </w:pPr>
            <w:r>
              <w:rPr>
                <w:rFonts w:cs="Arial"/>
                <w:bCs/>
                <w:color w:val="000000"/>
                <w:sz w:val="20"/>
                <w:szCs w:val="20"/>
              </w:rPr>
              <w:t>5.52</w:t>
            </w:r>
            <w:r w:rsidRPr="00275290">
              <w:rPr>
                <w:rFonts w:cs="Arial"/>
                <w:bCs/>
                <w:color w:val="000000"/>
                <w:sz w:val="20"/>
                <w:szCs w:val="20"/>
              </w:rPr>
              <w:t>E-04</w:t>
            </w:r>
          </w:p>
        </w:tc>
        <w:tc>
          <w:tcPr>
            <w:tcW w:w="1559" w:type="dxa"/>
          </w:tcPr>
          <w:p w14:paraId="58E5EE57" w14:textId="77777777" w:rsidR="003F6605" w:rsidRPr="00275290" w:rsidRDefault="003F6605" w:rsidP="009D4550">
            <w:pPr>
              <w:rPr>
                <w:rFonts w:cs="Arial"/>
                <w:sz w:val="20"/>
                <w:szCs w:val="20"/>
              </w:rPr>
            </w:pPr>
            <w:r w:rsidRPr="00275290">
              <w:rPr>
                <w:rFonts w:cs="Arial"/>
                <w:sz w:val="20"/>
                <w:szCs w:val="20"/>
              </w:rPr>
              <w:t>-</w:t>
            </w:r>
          </w:p>
        </w:tc>
        <w:tc>
          <w:tcPr>
            <w:tcW w:w="1559" w:type="dxa"/>
          </w:tcPr>
          <w:p w14:paraId="07F556C0" w14:textId="77777777" w:rsidR="003F6605" w:rsidRPr="00275290" w:rsidRDefault="003F6605" w:rsidP="009D4550">
            <w:pPr>
              <w:rPr>
                <w:rFonts w:cs="Arial"/>
                <w:sz w:val="20"/>
                <w:szCs w:val="20"/>
              </w:rPr>
            </w:pPr>
            <w:r w:rsidRPr="00275290">
              <w:rPr>
                <w:rFonts w:cs="Arial"/>
                <w:sz w:val="20"/>
                <w:szCs w:val="20"/>
              </w:rPr>
              <w:t>-</w:t>
            </w:r>
          </w:p>
        </w:tc>
        <w:tc>
          <w:tcPr>
            <w:tcW w:w="1807" w:type="dxa"/>
            <w:vAlign w:val="center"/>
          </w:tcPr>
          <w:p w14:paraId="6A0DC0BD" w14:textId="01153A67" w:rsidR="003F6605" w:rsidRPr="00275290" w:rsidRDefault="003F6605" w:rsidP="009D4550">
            <w:pPr>
              <w:rPr>
                <w:rFonts w:cs="Arial"/>
                <w:bCs/>
                <w:color w:val="000000"/>
                <w:sz w:val="20"/>
                <w:szCs w:val="20"/>
              </w:rPr>
            </w:pPr>
            <w:r>
              <w:rPr>
                <w:rFonts w:cs="Arial"/>
                <w:bCs/>
                <w:color w:val="000000"/>
                <w:sz w:val="20"/>
                <w:szCs w:val="20"/>
              </w:rPr>
              <w:t>5.52</w:t>
            </w:r>
            <w:r w:rsidRPr="00275290">
              <w:rPr>
                <w:rFonts w:cs="Arial"/>
                <w:bCs/>
                <w:color w:val="000000"/>
                <w:sz w:val="20"/>
                <w:szCs w:val="20"/>
              </w:rPr>
              <w:t>E-04</w:t>
            </w:r>
          </w:p>
        </w:tc>
      </w:tr>
      <w:tr w:rsidR="003F6605" w:rsidRPr="00275290" w14:paraId="7762FA85" w14:textId="77777777" w:rsidTr="0039605F">
        <w:tc>
          <w:tcPr>
            <w:tcW w:w="1809" w:type="dxa"/>
            <w:vMerge/>
          </w:tcPr>
          <w:p w14:paraId="4613C387" w14:textId="77777777" w:rsidR="003F6605" w:rsidRPr="00275290" w:rsidRDefault="003F6605" w:rsidP="009D4550">
            <w:pPr>
              <w:rPr>
                <w:rFonts w:cs="Arial"/>
                <w:sz w:val="20"/>
                <w:szCs w:val="20"/>
                <w:lang w:val="en-US"/>
              </w:rPr>
            </w:pPr>
          </w:p>
        </w:tc>
        <w:tc>
          <w:tcPr>
            <w:tcW w:w="1843" w:type="dxa"/>
            <w:vAlign w:val="center"/>
          </w:tcPr>
          <w:p w14:paraId="7F40E97B" w14:textId="77777777" w:rsidR="003F6605" w:rsidRPr="00275290" w:rsidRDefault="003F6605" w:rsidP="009D4550">
            <w:pPr>
              <w:rPr>
                <w:rFonts w:cs="Arial"/>
                <w:sz w:val="20"/>
                <w:szCs w:val="20"/>
                <w:lang w:val="en-US"/>
              </w:rPr>
            </w:pPr>
            <w:r w:rsidRPr="00275290">
              <w:rPr>
                <w:rFonts w:cs="Arial"/>
                <w:sz w:val="20"/>
                <w:szCs w:val="20"/>
                <w:lang w:val="en-US"/>
              </w:rPr>
              <w:t>IPBC</w:t>
            </w:r>
          </w:p>
        </w:tc>
        <w:tc>
          <w:tcPr>
            <w:tcW w:w="1418" w:type="dxa"/>
            <w:vAlign w:val="center"/>
          </w:tcPr>
          <w:p w14:paraId="784A12E9" w14:textId="266E2024" w:rsidR="003F6605" w:rsidRPr="00275290" w:rsidRDefault="003F6605" w:rsidP="009D4550">
            <w:pPr>
              <w:rPr>
                <w:rFonts w:cs="Arial"/>
                <w:bCs/>
                <w:color w:val="000000"/>
                <w:sz w:val="20"/>
                <w:szCs w:val="20"/>
              </w:rPr>
            </w:pPr>
            <w:r>
              <w:rPr>
                <w:rFonts w:cs="Arial"/>
                <w:bCs/>
                <w:color w:val="000000"/>
                <w:sz w:val="20"/>
                <w:szCs w:val="20"/>
              </w:rPr>
              <w:t>1.34</w:t>
            </w:r>
            <w:r w:rsidRPr="00275290">
              <w:rPr>
                <w:rFonts w:cs="Arial"/>
                <w:bCs/>
                <w:color w:val="000000"/>
                <w:sz w:val="20"/>
                <w:szCs w:val="20"/>
              </w:rPr>
              <w:t>E-03</w:t>
            </w:r>
          </w:p>
        </w:tc>
        <w:tc>
          <w:tcPr>
            <w:tcW w:w="1559" w:type="dxa"/>
          </w:tcPr>
          <w:p w14:paraId="4CC45EF8" w14:textId="77777777" w:rsidR="003F6605" w:rsidRPr="00275290" w:rsidRDefault="003F6605" w:rsidP="009D4550">
            <w:pPr>
              <w:rPr>
                <w:rFonts w:cs="Arial"/>
                <w:sz w:val="20"/>
                <w:szCs w:val="20"/>
              </w:rPr>
            </w:pPr>
            <w:r w:rsidRPr="00275290">
              <w:rPr>
                <w:rFonts w:cs="Arial"/>
                <w:sz w:val="20"/>
                <w:szCs w:val="20"/>
              </w:rPr>
              <w:t>-</w:t>
            </w:r>
          </w:p>
        </w:tc>
        <w:tc>
          <w:tcPr>
            <w:tcW w:w="1559" w:type="dxa"/>
          </w:tcPr>
          <w:p w14:paraId="247C2058" w14:textId="77777777" w:rsidR="003F6605" w:rsidRPr="00275290" w:rsidRDefault="003F6605" w:rsidP="009D4550">
            <w:pPr>
              <w:rPr>
                <w:rFonts w:cs="Arial"/>
                <w:sz w:val="20"/>
                <w:szCs w:val="20"/>
              </w:rPr>
            </w:pPr>
            <w:r w:rsidRPr="00275290">
              <w:rPr>
                <w:rFonts w:cs="Arial"/>
                <w:sz w:val="20"/>
                <w:szCs w:val="20"/>
              </w:rPr>
              <w:t>-</w:t>
            </w:r>
          </w:p>
        </w:tc>
        <w:tc>
          <w:tcPr>
            <w:tcW w:w="1807" w:type="dxa"/>
            <w:vAlign w:val="center"/>
          </w:tcPr>
          <w:p w14:paraId="48F1980D" w14:textId="69D3CAAF" w:rsidR="003F6605" w:rsidRPr="00275290" w:rsidRDefault="003F6605" w:rsidP="009D4550">
            <w:pPr>
              <w:rPr>
                <w:rFonts w:cs="Arial"/>
                <w:bCs/>
                <w:color w:val="000000"/>
                <w:sz w:val="20"/>
                <w:szCs w:val="20"/>
              </w:rPr>
            </w:pPr>
            <w:r>
              <w:rPr>
                <w:rFonts w:cs="Arial"/>
                <w:bCs/>
                <w:color w:val="000000"/>
                <w:sz w:val="20"/>
                <w:szCs w:val="20"/>
              </w:rPr>
              <w:t>1.34</w:t>
            </w:r>
            <w:r w:rsidRPr="00275290">
              <w:rPr>
                <w:rFonts w:cs="Arial"/>
                <w:bCs/>
                <w:color w:val="000000"/>
                <w:sz w:val="20"/>
                <w:szCs w:val="20"/>
              </w:rPr>
              <w:t>E-03</w:t>
            </w:r>
          </w:p>
        </w:tc>
      </w:tr>
      <w:tr w:rsidR="009D4550" w:rsidRPr="00275290" w14:paraId="41437986" w14:textId="77777777" w:rsidTr="0039605F">
        <w:tc>
          <w:tcPr>
            <w:tcW w:w="1809" w:type="dxa"/>
            <w:vMerge w:val="restart"/>
          </w:tcPr>
          <w:p w14:paraId="2B31AB51" w14:textId="77777777" w:rsidR="009D4550" w:rsidRPr="00275290" w:rsidRDefault="009D4550" w:rsidP="009D4550">
            <w:pPr>
              <w:rPr>
                <w:rFonts w:cs="Arial"/>
                <w:sz w:val="20"/>
                <w:szCs w:val="20"/>
                <w:lang w:val="en-US"/>
              </w:rPr>
            </w:pPr>
            <w:r w:rsidRPr="00275290">
              <w:rPr>
                <w:rFonts w:cs="Arial"/>
                <w:b/>
                <w:color w:val="000000"/>
                <w:sz w:val="20"/>
                <w:szCs w:val="20"/>
                <w:lang w:val="en-US" w:eastAsia="en-US"/>
              </w:rPr>
              <w:t>Infant playing on weathered (playground) structure and mouthing (450 g/m2)</w:t>
            </w:r>
          </w:p>
        </w:tc>
        <w:tc>
          <w:tcPr>
            <w:tcW w:w="1843" w:type="dxa"/>
            <w:vAlign w:val="center"/>
          </w:tcPr>
          <w:p w14:paraId="2B860497"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vAlign w:val="center"/>
          </w:tcPr>
          <w:p w14:paraId="4F6AD73E" w14:textId="77777777" w:rsidR="009D4550" w:rsidRPr="00275290" w:rsidRDefault="009D4550" w:rsidP="009D4550">
            <w:pPr>
              <w:rPr>
                <w:rFonts w:cs="Arial"/>
                <w:bCs/>
                <w:color w:val="000000"/>
                <w:sz w:val="20"/>
                <w:szCs w:val="20"/>
              </w:rPr>
            </w:pPr>
            <w:r w:rsidRPr="00275290">
              <w:rPr>
                <w:rFonts w:cs="Arial"/>
                <w:bCs/>
                <w:color w:val="000000"/>
                <w:sz w:val="20"/>
                <w:szCs w:val="20"/>
              </w:rPr>
              <w:t>1,54E-03</w:t>
            </w:r>
          </w:p>
        </w:tc>
        <w:tc>
          <w:tcPr>
            <w:tcW w:w="1559" w:type="dxa"/>
          </w:tcPr>
          <w:p w14:paraId="50D03CD0"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5FB9E8DA" w14:textId="77777777" w:rsidR="009D4550" w:rsidRPr="00275290" w:rsidRDefault="009D4550" w:rsidP="009D4550">
            <w:pPr>
              <w:rPr>
                <w:rFonts w:cs="Arial"/>
                <w:bCs/>
                <w:color w:val="000000"/>
                <w:sz w:val="20"/>
                <w:szCs w:val="20"/>
              </w:rPr>
            </w:pPr>
            <w:r w:rsidRPr="00275290">
              <w:rPr>
                <w:rFonts w:cs="Arial"/>
                <w:bCs/>
                <w:color w:val="000000"/>
                <w:sz w:val="20"/>
                <w:szCs w:val="20"/>
              </w:rPr>
              <w:t>3,04E-03</w:t>
            </w:r>
          </w:p>
        </w:tc>
        <w:tc>
          <w:tcPr>
            <w:tcW w:w="1807" w:type="dxa"/>
            <w:vAlign w:val="center"/>
          </w:tcPr>
          <w:p w14:paraId="7A26E59C" w14:textId="77777777" w:rsidR="009D4550" w:rsidRPr="00275290" w:rsidRDefault="009D4550" w:rsidP="009D4550">
            <w:pPr>
              <w:rPr>
                <w:rFonts w:cs="Arial"/>
                <w:bCs/>
                <w:color w:val="000000"/>
                <w:sz w:val="20"/>
                <w:szCs w:val="20"/>
              </w:rPr>
            </w:pPr>
            <w:r w:rsidRPr="00275290">
              <w:rPr>
                <w:rFonts w:cs="Arial"/>
                <w:bCs/>
                <w:color w:val="000000"/>
                <w:sz w:val="20"/>
                <w:szCs w:val="20"/>
              </w:rPr>
              <w:t>4,58E-03</w:t>
            </w:r>
          </w:p>
        </w:tc>
      </w:tr>
      <w:tr w:rsidR="009D4550" w:rsidRPr="00275290" w14:paraId="09C23D16" w14:textId="77777777" w:rsidTr="0039605F">
        <w:tc>
          <w:tcPr>
            <w:tcW w:w="1809" w:type="dxa"/>
            <w:vMerge/>
          </w:tcPr>
          <w:p w14:paraId="5499DA3A" w14:textId="77777777" w:rsidR="009D4550" w:rsidRPr="00275290" w:rsidRDefault="009D4550" w:rsidP="009D4550">
            <w:pPr>
              <w:rPr>
                <w:rFonts w:cs="Arial"/>
                <w:sz w:val="20"/>
                <w:szCs w:val="20"/>
                <w:lang w:val="en-US"/>
              </w:rPr>
            </w:pPr>
          </w:p>
        </w:tc>
        <w:tc>
          <w:tcPr>
            <w:tcW w:w="1843" w:type="dxa"/>
            <w:vAlign w:val="center"/>
          </w:tcPr>
          <w:p w14:paraId="2D55C707"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vAlign w:val="center"/>
          </w:tcPr>
          <w:p w14:paraId="4EC116DB" w14:textId="77777777" w:rsidR="009D4550" w:rsidRPr="00275290" w:rsidRDefault="009D4550" w:rsidP="009D4550">
            <w:pPr>
              <w:rPr>
                <w:rFonts w:cs="Arial"/>
                <w:bCs/>
                <w:color w:val="000000"/>
                <w:sz w:val="20"/>
                <w:szCs w:val="20"/>
              </w:rPr>
            </w:pPr>
            <w:r w:rsidRPr="00275290">
              <w:rPr>
                <w:rFonts w:cs="Arial"/>
                <w:bCs/>
                <w:color w:val="000000"/>
                <w:sz w:val="20"/>
                <w:szCs w:val="20"/>
              </w:rPr>
              <w:t>2,22E-03</w:t>
            </w:r>
          </w:p>
        </w:tc>
        <w:tc>
          <w:tcPr>
            <w:tcW w:w="1559" w:type="dxa"/>
          </w:tcPr>
          <w:p w14:paraId="6096BC0E"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11B93F87" w14:textId="77777777" w:rsidR="009D4550" w:rsidRPr="00275290" w:rsidRDefault="009D4550" w:rsidP="009D4550">
            <w:pPr>
              <w:rPr>
                <w:rFonts w:cs="Arial"/>
                <w:bCs/>
                <w:color w:val="000000"/>
                <w:sz w:val="20"/>
                <w:szCs w:val="20"/>
              </w:rPr>
            </w:pPr>
            <w:r w:rsidRPr="00275290">
              <w:rPr>
                <w:rFonts w:cs="Arial"/>
                <w:bCs/>
                <w:color w:val="000000"/>
                <w:sz w:val="20"/>
                <w:szCs w:val="20"/>
              </w:rPr>
              <w:t>1,07E-02</w:t>
            </w:r>
          </w:p>
        </w:tc>
        <w:tc>
          <w:tcPr>
            <w:tcW w:w="1807" w:type="dxa"/>
            <w:vAlign w:val="center"/>
          </w:tcPr>
          <w:p w14:paraId="0AC6DABD" w14:textId="77777777" w:rsidR="009D4550" w:rsidRPr="00275290" w:rsidRDefault="009D4550" w:rsidP="009D4550">
            <w:pPr>
              <w:rPr>
                <w:rFonts w:cs="Arial"/>
                <w:bCs/>
                <w:color w:val="000000"/>
                <w:sz w:val="20"/>
                <w:szCs w:val="20"/>
              </w:rPr>
            </w:pPr>
            <w:r w:rsidRPr="00275290">
              <w:rPr>
                <w:rFonts w:cs="Arial"/>
                <w:bCs/>
                <w:color w:val="000000"/>
                <w:sz w:val="20"/>
                <w:szCs w:val="20"/>
              </w:rPr>
              <w:t>1,29E-02</w:t>
            </w:r>
          </w:p>
        </w:tc>
      </w:tr>
      <w:tr w:rsidR="009D4550" w:rsidRPr="00275290" w14:paraId="235D0193" w14:textId="77777777" w:rsidTr="0039605F">
        <w:tc>
          <w:tcPr>
            <w:tcW w:w="1809" w:type="dxa"/>
            <w:vMerge/>
          </w:tcPr>
          <w:p w14:paraId="7BAE1FD9" w14:textId="77777777" w:rsidR="009D4550" w:rsidRPr="00275290" w:rsidRDefault="009D4550" w:rsidP="009D4550">
            <w:pPr>
              <w:rPr>
                <w:rFonts w:cs="Arial"/>
                <w:sz w:val="20"/>
                <w:szCs w:val="20"/>
                <w:lang w:val="en-US"/>
              </w:rPr>
            </w:pPr>
          </w:p>
        </w:tc>
        <w:tc>
          <w:tcPr>
            <w:tcW w:w="1843" w:type="dxa"/>
            <w:vAlign w:val="center"/>
          </w:tcPr>
          <w:p w14:paraId="6208C423" w14:textId="77777777" w:rsidR="009D4550" w:rsidRPr="00275290" w:rsidRDefault="009D4550" w:rsidP="009D4550">
            <w:pPr>
              <w:rPr>
                <w:rFonts w:cs="Arial"/>
                <w:sz w:val="20"/>
                <w:szCs w:val="20"/>
                <w:lang w:val="en-US"/>
              </w:rPr>
            </w:pPr>
            <w:r w:rsidRPr="00275290">
              <w:rPr>
                <w:rFonts w:cs="Arial"/>
                <w:sz w:val="20"/>
                <w:szCs w:val="20"/>
                <w:lang w:val="en-US"/>
              </w:rPr>
              <w:t>Tébuconazole</w:t>
            </w:r>
          </w:p>
        </w:tc>
        <w:tc>
          <w:tcPr>
            <w:tcW w:w="1418" w:type="dxa"/>
            <w:vAlign w:val="center"/>
          </w:tcPr>
          <w:p w14:paraId="055959BF" w14:textId="77777777" w:rsidR="009D4550" w:rsidRPr="00275290" w:rsidRDefault="009D4550" w:rsidP="009D4550">
            <w:pPr>
              <w:rPr>
                <w:rFonts w:cs="Arial"/>
                <w:bCs/>
                <w:color w:val="000000"/>
                <w:sz w:val="20"/>
                <w:szCs w:val="20"/>
              </w:rPr>
            </w:pPr>
            <w:r w:rsidRPr="00275290">
              <w:rPr>
                <w:rFonts w:cs="Arial"/>
                <w:bCs/>
                <w:color w:val="000000"/>
                <w:sz w:val="20"/>
                <w:szCs w:val="20"/>
              </w:rPr>
              <w:t>8,28E-04</w:t>
            </w:r>
          </w:p>
        </w:tc>
        <w:tc>
          <w:tcPr>
            <w:tcW w:w="1559" w:type="dxa"/>
          </w:tcPr>
          <w:p w14:paraId="4FD49E7F"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2AD14B20" w14:textId="77777777" w:rsidR="009D4550" w:rsidRPr="00275290" w:rsidRDefault="009D4550" w:rsidP="009D4550">
            <w:pPr>
              <w:rPr>
                <w:rFonts w:cs="Arial"/>
                <w:bCs/>
                <w:color w:val="000000"/>
                <w:sz w:val="20"/>
                <w:szCs w:val="20"/>
              </w:rPr>
            </w:pPr>
            <w:r w:rsidRPr="00275290">
              <w:rPr>
                <w:rFonts w:cs="Arial"/>
                <w:bCs/>
                <w:color w:val="000000"/>
                <w:sz w:val="20"/>
                <w:szCs w:val="20"/>
              </w:rPr>
              <w:t>3,34E-03</w:t>
            </w:r>
          </w:p>
        </w:tc>
        <w:tc>
          <w:tcPr>
            <w:tcW w:w="1807" w:type="dxa"/>
            <w:vAlign w:val="center"/>
          </w:tcPr>
          <w:p w14:paraId="3A3BCE10" w14:textId="77777777" w:rsidR="009D4550" w:rsidRPr="00275290" w:rsidRDefault="009D4550" w:rsidP="009D4550">
            <w:pPr>
              <w:rPr>
                <w:rFonts w:cs="Arial"/>
                <w:bCs/>
                <w:color w:val="000000"/>
                <w:sz w:val="20"/>
                <w:szCs w:val="20"/>
              </w:rPr>
            </w:pPr>
            <w:r w:rsidRPr="00275290">
              <w:rPr>
                <w:rFonts w:cs="Arial"/>
                <w:bCs/>
                <w:color w:val="000000"/>
                <w:sz w:val="20"/>
                <w:szCs w:val="20"/>
              </w:rPr>
              <w:t>4,17E-03</w:t>
            </w:r>
          </w:p>
        </w:tc>
      </w:tr>
      <w:tr w:rsidR="009D4550" w:rsidRPr="00275290" w14:paraId="669EDF9A" w14:textId="77777777" w:rsidTr="0039605F">
        <w:tc>
          <w:tcPr>
            <w:tcW w:w="1809" w:type="dxa"/>
            <w:vMerge/>
          </w:tcPr>
          <w:p w14:paraId="42121C00" w14:textId="77777777" w:rsidR="009D4550" w:rsidRPr="00275290" w:rsidRDefault="009D4550" w:rsidP="009D4550">
            <w:pPr>
              <w:rPr>
                <w:rFonts w:cs="Arial"/>
                <w:sz w:val="20"/>
                <w:szCs w:val="20"/>
                <w:lang w:val="en-US"/>
              </w:rPr>
            </w:pPr>
          </w:p>
        </w:tc>
        <w:tc>
          <w:tcPr>
            <w:tcW w:w="1843" w:type="dxa"/>
            <w:vAlign w:val="center"/>
          </w:tcPr>
          <w:p w14:paraId="4BC8FD4C"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418" w:type="dxa"/>
            <w:vAlign w:val="center"/>
          </w:tcPr>
          <w:p w14:paraId="78AA2984" w14:textId="77777777" w:rsidR="009D4550" w:rsidRPr="00275290" w:rsidRDefault="009D4550" w:rsidP="009D4550">
            <w:pPr>
              <w:rPr>
                <w:rFonts w:cs="Arial"/>
                <w:bCs/>
                <w:color w:val="000000"/>
                <w:sz w:val="20"/>
                <w:szCs w:val="20"/>
              </w:rPr>
            </w:pPr>
            <w:r w:rsidRPr="00275290">
              <w:rPr>
                <w:rFonts w:cs="Arial"/>
                <w:bCs/>
                <w:color w:val="000000"/>
                <w:sz w:val="20"/>
                <w:szCs w:val="20"/>
              </w:rPr>
              <w:t>2,00E-03</w:t>
            </w:r>
          </w:p>
        </w:tc>
        <w:tc>
          <w:tcPr>
            <w:tcW w:w="1559" w:type="dxa"/>
          </w:tcPr>
          <w:p w14:paraId="3307B626"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49E399C2" w14:textId="77777777" w:rsidR="009D4550" w:rsidRPr="00275290" w:rsidRDefault="009D4550" w:rsidP="009D4550">
            <w:pPr>
              <w:rPr>
                <w:rFonts w:cs="Arial"/>
                <w:bCs/>
                <w:color w:val="000000"/>
                <w:sz w:val="20"/>
                <w:szCs w:val="20"/>
              </w:rPr>
            </w:pPr>
            <w:r w:rsidRPr="00275290">
              <w:rPr>
                <w:rFonts w:cs="Arial"/>
                <w:bCs/>
                <w:color w:val="000000"/>
                <w:sz w:val="20"/>
                <w:szCs w:val="20"/>
              </w:rPr>
              <w:t>3,34E-03</w:t>
            </w:r>
          </w:p>
        </w:tc>
        <w:tc>
          <w:tcPr>
            <w:tcW w:w="1807" w:type="dxa"/>
            <w:vAlign w:val="center"/>
          </w:tcPr>
          <w:p w14:paraId="3B8E8C08" w14:textId="77777777" w:rsidR="009D4550" w:rsidRPr="00275290" w:rsidRDefault="009D4550" w:rsidP="009D4550">
            <w:pPr>
              <w:rPr>
                <w:rFonts w:cs="Arial"/>
                <w:bCs/>
                <w:color w:val="000000"/>
                <w:sz w:val="20"/>
                <w:szCs w:val="20"/>
              </w:rPr>
            </w:pPr>
            <w:r w:rsidRPr="00275290">
              <w:rPr>
                <w:rFonts w:cs="Arial"/>
                <w:bCs/>
                <w:color w:val="000000"/>
                <w:sz w:val="20"/>
                <w:szCs w:val="20"/>
              </w:rPr>
              <w:t>5,34E-03</w:t>
            </w:r>
          </w:p>
        </w:tc>
      </w:tr>
    </w:tbl>
    <w:p w14:paraId="77F508D5" w14:textId="77777777" w:rsidR="009D4550" w:rsidRPr="00275290" w:rsidRDefault="009D4550" w:rsidP="009D4550">
      <w:pPr>
        <w:rPr>
          <w:rFonts w:cs="Arial"/>
          <w:lang w:val="en-US"/>
        </w:rPr>
      </w:pPr>
    </w:p>
    <w:p w14:paraId="0E60D72E" w14:textId="77777777" w:rsidR="009D4550" w:rsidRPr="00155E43" w:rsidRDefault="009D4550" w:rsidP="00155E43">
      <w:pPr>
        <w:pStyle w:val="Titre5"/>
        <w:spacing w:before="240"/>
      </w:pPr>
      <w:r w:rsidRPr="00155E43">
        <w:lastRenderedPageBreak/>
        <w:t>Combined exposure</w:t>
      </w:r>
    </w:p>
    <w:p w14:paraId="342BC6AB" w14:textId="77777777" w:rsidR="009D4550" w:rsidRPr="00275290" w:rsidRDefault="009D4550" w:rsidP="009D4550"/>
    <w:p w14:paraId="0E71687D" w14:textId="77777777" w:rsidR="009D4550" w:rsidRPr="00275290" w:rsidRDefault="009D4550" w:rsidP="009D4550">
      <w:pPr>
        <w:autoSpaceDE w:val="0"/>
        <w:autoSpaceDN w:val="0"/>
        <w:adjustRightInd w:val="0"/>
        <w:rPr>
          <w:rFonts w:eastAsiaTheme="minorHAnsi" w:cs="Arial"/>
          <w:color w:val="000000"/>
          <w:lang w:val="en-US" w:eastAsia="en-US"/>
        </w:rPr>
      </w:pPr>
      <w:r w:rsidRPr="00275290">
        <w:rPr>
          <w:rFonts w:eastAsiaTheme="minorHAnsi" w:cs="Arial"/>
          <w:color w:val="000000"/>
          <w:lang w:val="en-US" w:eastAsia="en-US"/>
        </w:rPr>
        <w:t>A combined exposure is also considered for an adult (professional exposure + inhalation of volatilizing residues) and an infant (playing on weathered (playground) structure and mouthing + inhalation of volatilizing residues).</w:t>
      </w:r>
    </w:p>
    <w:p w14:paraId="2FC23923" w14:textId="77777777" w:rsidR="009D4550" w:rsidRPr="00275290" w:rsidRDefault="009D4550" w:rsidP="009D4550">
      <w:pPr>
        <w:rPr>
          <w:lang w:val="en-US"/>
        </w:rPr>
      </w:pPr>
      <w:r w:rsidRPr="00275290">
        <w:rPr>
          <w:rFonts w:eastAsiaTheme="minorHAnsi" w:cs="Arial"/>
          <w:color w:val="000000"/>
          <w:lang w:val="en-US" w:eastAsia="en-US"/>
        </w:rPr>
        <w:t>These scenarios which have to be considered for wood preservative treatments are summarized below.</w:t>
      </w:r>
    </w:p>
    <w:p w14:paraId="4916B042" w14:textId="77777777" w:rsidR="009D4550" w:rsidRPr="00275290" w:rsidRDefault="009D4550" w:rsidP="009D45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1271"/>
        <w:gridCol w:w="1304"/>
        <w:gridCol w:w="1944"/>
        <w:gridCol w:w="1947"/>
      </w:tblGrid>
      <w:tr w:rsidR="009D4550" w:rsidRPr="00275290" w14:paraId="76C0590B" w14:textId="77777777" w:rsidTr="0039605F">
        <w:tc>
          <w:tcPr>
            <w:tcW w:w="3369" w:type="dxa"/>
            <w:vMerge w:val="restart"/>
            <w:vAlign w:val="center"/>
          </w:tcPr>
          <w:p w14:paraId="0674A4D4" w14:textId="77777777" w:rsidR="009D4550" w:rsidRPr="00275290" w:rsidRDefault="009D4550" w:rsidP="009D4550">
            <w:pPr>
              <w:rPr>
                <w:rFonts w:cs="Arial"/>
              </w:rPr>
            </w:pPr>
            <w:r w:rsidRPr="00275290">
              <w:rPr>
                <w:rFonts w:cs="Arial"/>
              </w:rPr>
              <w:t>Secondary scenario</w:t>
            </w:r>
          </w:p>
        </w:tc>
        <w:tc>
          <w:tcPr>
            <w:tcW w:w="1275" w:type="dxa"/>
            <w:vMerge w:val="restart"/>
            <w:vAlign w:val="center"/>
          </w:tcPr>
          <w:p w14:paraId="43E40C1E" w14:textId="77777777" w:rsidR="009D4550" w:rsidRPr="00275290" w:rsidRDefault="009D4550" w:rsidP="009D4550">
            <w:pPr>
              <w:rPr>
                <w:rFonts w:cs="Arial"/>
              </w:rPr>
            </w:pPr>
            <w:r w:rsidRPr="00275290">
              <w:rPr>
                <w:rFonts w:cs="Arial"/>
              </w:rPr>
              <w:t>Exposure situation</w:t>
            </w:r>
          </w:p>
        </w:tc>
        <w:tc>
          <w:tcPr>
            <w:tcW w:w="1307" w:type="dxa"/>
            <w:vMerge w:val="restart"/>
            <w:vAlign w:val="center"/>
          </w:tcPr>
          <w:p w14:paraId="1EB1B018" w14:textId="77777777" w:rsidR="009D4550" w:rsidRPr="00275290" w:rsidRDefault="009D4550" w:rsidP="009D4550">
            <w:pPr>
              <w:rPr>
                <w:rFonts w:cs="Arial"/>
              </w:rPr>
            </w:pPr>
            <w:r w:rsidRPr="00275290">
              <w:rPr>
                <w:rFonts w:cs="Arial"/>
              </w:rPr>
              <w:t>Routes of exposure</w:t>
            </w:r>
          </w:p>
        </w:tc>
        <w:tc>
          <w:tcPr>
            <w:tcW w:w="3968" w:type="dxa"/>
            <w:gridSpan w:val="2"/>
            <w:vAlign w:val="center"/>
          </w:tcPr>
          <w:p w14:paraId="21BD505A" w14:textId="77777777" w:rsidR="009D4550" w:rsidRPr="00275290" w:rsidRDefault="009D4550" w:rsidP="009D4550">
            <w:pPr>
              <w:rPr>
                <w:rFonts w:cs="Arial"/>
              </w:rPr>
            </w:pPr>
            <w:r w:rsidRPr="00275290">
              <w:rPr>
                <w:rFonts w:cs="Arial"/>
              </w:rPr>
              <w:t>Exposed population</w:t>
            </w:r>
          </w:p>
        </w:tc>
      </w:tr>
      <w:tr w:rsidR="009D4550" w:rsidRPr="00275290" w14:paraId="31971316" w14:textId="77777777" w:rsidTr="0039605F">
        <w:tc>
          <w:tcPr>
            <w:tcW w:w="3369" w:type="dxa"/>
            <w:vMerge/>
            <w:vAlign w:val="center"/>
          </w:tcPr>
          <w:p w14:paraId="4C24FEB8" w14:textId="77777777" w:rsidR="009D4550" w:rsidRPr="00275290" w:rsidRDefault="009D4550" w:rsidP="009D4550">
            <w:pPr>
              <w:rPr>
                <w:rFonts w:cs="Arial"/>
              </w:rPr>
            </w:pPr>
          </w:p>
        </w:tc>
        <w:tc>
          <w:tcPr>
            <w:tcW w:w="1275" w:type="dxa"/>
            <w:vMerge/>
            <w:vAlign w:val="center"/>
          </w:tcPr>
          <w:p w14:paraId="424CBF45" w14:textId="77777777" w:rsidR="009D4550" w:rsidRPr="00275290" w:rsidRDefault="009D4550" w:rsidP="009D4550">
            <w:pPr>
              <w:rPr>
                <w:rFonts w:cs="Arial"/>
              </w:rPr>
            </w:pPr>
          </w:p>
        </w:tc>
        <w:tc>
          <w:tcPr>
            <w:tcW w:w="1307" w:type="dxa"/>
            <w:vMerge/>
            <w:vAlign w:val="center"/>
          </w:tcPr>
          <w:p w14:paraId="15529F86" w14:textId="77777777" w:rsidR="009D4550" w:rsidRPr="00275290" w:rsidRDefault="009D4550" w:rsidP="009D4550">
            <w:pPr>
              <w:rPr>
                <w:rFonts w:cs="Arial"/>
              </w:rPr>
            </w:pPr>
          </w:p>
        </w:tc>
        <w:tc>
          <w:tcPr>
            <w:tcW w:w="3968" w:type="dxa"/>
            <w:gridSpan w:val="2"/>
            <w:vAlign w:val="center"/>
          </w:tcPr>
          <w:p w14:paraId="1DBE88E9" w14:textId="77777777" w:rsidR="009D4550" w:rsidRPr="00275290" w:rsidRDefault="009D4550" w:rsidP="009D4550">
            <w:pPr>
              <w:rPr>
                <w:rFonts w:cs="Arial"/>
              </w:rPr>
            </w:pPr>
            <w:r w:rsidRPr="00275290">
              <w:rPr>
                <w:rFonts w:cs="Arial"/>
              </w:rPr>
              <w:t>Non-professionals</w:t>
            </w:r>
          </w:p>
        </w:tc>
      </w:tr>
      <w:tr w:rsidR="009D4550" w:rsidRPr="00275290" w14:paraId="35F315E3" w14:textId="77777777" w:rsidTr="0039605F">
        <w:tc>
          <w:tcPr>
            <w:tcW w:w="3369" w:type="dxa"/>
            <w:vMerge/>
            <w:vAlign w:val="center"/>
          </w:tcPr>
          <w:p w14:paraId="0BC3EE90" w14:textId="77777777" w:rsidR="009D4550" w:rsidRPr="00275290" w:rsidRDefault="009D4550" w:rsidP="009D4550">
            <w:pPr>
              <w:rPr>
                <w:rFonts w:cs="Arial"/>
              </w:rPr>
            </w:pPr>
          </w:p>
        </w:tc>
        <w:tc>
          <w:tcPr>
            <w:tcW w:w="1275" w:type="dxa"/>
            <w:vMerge/>
            <w:vAlign w:val="center"/>
          </w:tcPr>
          <w:p w14:paraId="76A3CD4C" w14:textId="77777777" w:rsidR="009D4550" w:rsidRPr="00275290" w:rsidRDefault="009D4550" w:rsidP="009D4550">
            <w:pPr>
              <w:rPr>
                <w:rFonts w:cs="Arial"/>
              </w:rPr>
            </w:pPr>
          </w:p>
        </w:tc>
        <w:tc>
          <w:tcPr>
            <w:tcW w:w="1307" w:type="dxa"/>
            <w:vMerge/>
            <w:vAlign w:val="center"/>
          </w:tcPr>
          <w:p w14:paraId="0507C54A" w14:textId="77777777" w:rsidR="009D4550" w:rsidRPr="00275290" w:rsidRDefault="009D4550" w:rsidP="009D4550">
            <w:pPr>
              <w:rPr>
                <w:rFonts w:cs="Arial"/>
              </w:rPr>
            </w:pPr>
          </w:p>
        </w:tc>
        <w:tc>
          <w:tcPr>
            <w:tcW w:w="1984" w:type="dxa"/>
            <w:vAlign w:val="center"/>
          </w:tcPr>
          <w:p w14:paraId="162851EC" w14:textId="77777777" w:rsidR="009D4550" w:rsidRPr="00275290" w:rsidRDefault="009D4550" w:rsidP="009D4550">
            <w:pPr>
              <w:rPr>
                <w:rFonts w:cs="Arial"/>
              </w:rPr>
            </w:pPr>
            <w:r w:rsidRPr="00275290">
              <w:rPr>
                <w:rFonts w:cs="Arial"/>
              </w:rPr>
              <w:t>Adult</w:t>
            </w:r>
          </w:p>
        </w:tc>
        <w:tc>
          <w:tcPr>
            <w:tcW w:w="1984" w:type="dxa"/>
            <w:vAlign w:val="center"/>
          </w:tcPr>
          <w:p w14:paraId="23DB7A64" w14:textId="77777777" w:rsidR="009D4550" w:rsidRPr="00275290" w:rsidRDefault="009D4550" w:rsidP="009D4550">
            <w:pPr>
              <w:rPr>
                <w:rFonts w:cs="Arial"/>
              </w:rPr>
            </w:pPr>
            <w:r w:rsidRPr="00275290">
              <w:rPr>
                <w:rFonts w:cs="Arial"/>
              </w:rPr>
              <w:t>Infant</w:t>
            </w:r>
          </w:p>
        </w:tc>
      </w:tr>
      <w:tr w:rsidR="009D4550" w:rsidRPr="00275290" w14:paraId="3DD6ECB2" w14:textId="77777777" w:rsidTr="0039605F">
        <w:tc>
          <w:tcPr>
            <w:tcW w:w="3369" w:type="dxa"/>
            <w:vAlign w:val="center"/>
          </w:tcPr>
          <w:p w14:paraId="499B6AD9" w14:textId="77777777" w:rsidR="009D4550" w:rsidRPr="00275290" w:rsidRDefault="009D4550" w:rsidP="009D4550">
            <w:pPr>
              <w:rPr>
                <w:rFonts w:cs="Arial"/>
              </w:rPr>
            </w:pPr>
            <w:r w:rsidRPr="00275290">
              <w:rPr>
                <w:rFonts w:cs="Arial"/>
              </w:rPr>
              <w:t xml:space="preserve">Combined exposure </w:t>
            </w:r>
          </w:p>
          <w:p w14:paraId="6A5EE850" w14:textId="77777777" w:rsidR="009D4550" w:rsidRPr="00275290" w:rsidRDefault="009D4550" w:rsidP="009D4550">
            <w:pPr>
              <w:rPr>
                <w:rFonts w:cs="Arial"/>
              </w:rPr>
            </w:pPr>
            <w:r w:rsidRPr="00275290">
              <w:rPr>
                <w:rFonts w:cs="Arial"/>
              </w:rPr>
              <w:t>(pro exposure +inhalation of volatilizing residues)</w:t>
            </w:r>
          </w:p>
        </w:tc>
        <w:tc>
          <w:tcPr>
            <w:tcW w:w="1275" w:type="dxa"/>
            <w:vAlign w:val="center"/>
          </w:tcPr>
          <w:p w14:paraId="56032AF7" w14:textId="77777777" w:rsidR="009D4550" w:rsidRPr="00275290" w:rsidRDefault="009D4550" w:rsidP="009D4550">
            <w:pPr>
              <w:rPr>
                <w:rFonts w:cs="Arial"/>
              </w:rPr>
            </w:pPr>
            <w:r w:rsidRPr="00275290">
              <w:rPr>
                <w:rFonts w:cs="Arial"/>
              </w:rPr>
              <w:t>Chronic</w:t>
            </w:r>
          </w:p>
        </w:tc>
        <w:tc>
          <w:tcPr>
            <w:tcW w:w="1307" w:type="dxa"/>
            <w:vAlign w:val="center"/>
          </w:tcPr>
          <w:p w14:paraId="529420C4" w14:textId="77777777" w:rsidR="009D4550" w:rsidRPr="00275290" w:rsidRDefault="009D4550" w:rsidP="009D4550">
            <w:pPr>
              <w:rPr>
                <w:rFonts w:cs="Arial"/>
              </w:rPr>
            </w:pPr>
            <w:r w:rsidRPr="00275290">
              <w:rPr>
                <w:rFonts w:cs="Arial"/>
              </w:rPr>
              <w:t>Dermal, inhalation</w:t>
            </w:r>
          </w:p>
        </w:tc>
        <w:tc>
          <w:tcPr>
            <w:tcW w:w="1984" w:type="dxa"/>
            <w:vAlign w:val="center"/>
          </w:tcPr>
          <w:p w14:paraId="17B9F3A5" w14:textId="77777777" w:rsidR="009D4550" w:rsidRPr="00275290" w:rsidRDefault="009D4550" w:rsidP="009D4550">
            <w:pPr>
              <w:rPr>
                <w:rFonts w:cs="Arial"/>
              </w:rPr>
            </w:pPr>
            <w:r w:rsidRPr="00275290">
              <w:rPr>
                <w:rFonts w:cs="Arial"/>
              </w:rPr>
              <w:t>Yes</w:t>
            </w:r>
          </w:p>
        </w:tc>
        <w:tc>
          <w:tcPr>
            <w:tcW w:w="1984" w:type="dxa"/>
            <w:vAlign w:val="center"/>
          </w:tcPr>
          <w:p w14:paraId="53C4BEC2" w14:textId="77777777" w:rsidR="009D4550" w:rsidRPr="00275290" w:rsidRDefault="009D4550" w:rsidP="009D4550">
            <w:pPr>
              <w:rPr>
                <w:rFonts w:cs="Arial"/>
              </w:rPr>
            </w:pPr>
            <w:r w:rsidRPr="00275290">
              <w:rPr>
                <w:rFonts w:cs="Arial"/>
              </w:rPr>
              <w:t>-</w:t>
            </w:r>
          </w:p>
        </w:tc>
      </w:tr>
      <w:tr w:rsidR="009D4550" w:rsidRPr="00275290" w14:paraId="7283128E" w14:textId="77777777" w:rsidTr="0039605F">
        <w:tc>
          <w:tcPr>
            <w:tcW w:w="3369" w:type="dxa"/>
            <w:vAlign w:val="center"/>
          </w:tcPr>
          <w:p w14:paraId="794348CB" w14:textId="77777777" w:rsidR="009D4550" w:rsidRPr="00275290" w:rsidRDefault="009D4550" w:rsidP="009D4550">
            <w:pPr>
              <w:rPr>
                <w:rFonts w:cs="Arial"/>
              </w:rPr>
            </w:pPr>
            <w:r w:rsidRPr="00275290">
              <w:rPr>
                <w:rFonts w:cs="Arial"/>
              </w:rPr>
              <w:t xml:space="preserve">Combined exposure </w:t>
            </w:r>
          </w:p>
          <w:p w14:paraId="254C95AC" w14:textId="77777777" w:rsidR="009D4550" w:rsidRPr="00275290" w:rsidRDefault="009D4550" w:rsidP="009D4550">
            <w:pPr>
              <w:rPr>
                <w:rFonts w:cs="Arial"/>
              </w:rPr>
            </w:pPr>
            <w:r w:rsidRPr="00275290">
              <w:rPr>
                <w:rFonts w:cs="Arial"/>
              </w:rPr>
              <w:t>(</w:t>
            </w:r>
            <w:r w:rsidRPr="00275290">
              <w:rPr>
                <w:rFonts w:cs="Arial"/>
                <w:color w:val="000000"/>
                <w:lang w:val="en-US" w:eastAsia="en-US"/>
              </w:rPr>
              <w:t>Infant playing on weathered structure and mouthing</w:t>
            </w:r>
            <w:r w:rsidRPr="00275290">
              <w:rPr>
                <w:rFonts w:cs="Arial"/>
              </w:rPr>
              <w:t xml:space="preserve"> +inhalation of volatilizing residues)</w:t>
            </w:r>
          </w:p>
        </w:tc>
        <w:tc>
          <w:tcPr>
            <w:tcW w:w="1275" w:type="dxa"/>
            <w:vAlign w:val="center"/>
          </w:tcPr>
          <w:p w14:paraId="0616C021" w14:textId="77777777" w:rsidR="009D4550" w:rsidRPr="00275290" w:rsidRDefault="009D4550" w:rsidP="009D4550">
            <w:pPr>
              <w:rPr>
                <w:rFonts w:cs="Arial"/>
              </w:rPr>
            </w:pPr>
            <w:r w:rsidRPr="00275290">
              <w:rPr>
                <w:rFonts w:cs="Arial"/>
              </w:rPr>
              <w:t>Chronic</w:t>
            </w:r>
          </w:p>
        </w:tc>
        <w:tc>
          <w:tcPr>
            <w:tcW w:w="1307" w:type="dxa"/>
            <w:vAlign w:val="center"/>
          </w:tcPr>
          <w:p w14:paraId="31D560E5" w14:textId="77777777" w:rsidR="009D4550" w:rsidRPr="00275290" w:rsidRDefault="009D4550" w:rsidP="009D4550">
            <w:pPr>
              <w:rPr>
                <w:rFonts w:cs="Arial"/>
              </w:rPr>
            </w:pPr>
            <w:r w:rsidRPr="00275290">
              <w:rPr>
                <w:rFonts w:cs="Arial"/>
              </w:rPr>
              <w:t>Dermal, ingestion, inhalation</w:t>
            </w:r>
          </w:p>
        </w:tc>
        <w:tc>
          <w:tcPr>
            <w:tcW w:w="1984" w:type="dxa"/>
            <w:vAlign w:val="center"/>
          </w:tcPr>
          <w:p w14:paraId="61F2FFCA" w14:textId="77777777" w:rsidR="009D4550" w:rsidRPr="00275290" w:rsidRDefault="009D4550" w:rsidP="009D4550">
            <w:pPr>
              <w:rPr>
                <w:rFonts w:cs="Arial"/>
              </w:rPr>
            </w:pPr>
            <w:r w:rsidRPr="00275290">
              <w:rPr>
                <w:rFonts w:cs="Arial"/>
              </w:rPr>
              <w:t>-</w:t>
            </w:r>
          </w:p>
        </w:tc>
        <w:tc>
          <w:tcPr>
            <w:tcW w:w="1984" w:type="dxa"/>
            <w:vAlign w:val="center"/>
          </w:tcPr>
          <w:p w14:paraId="424BD6FA" w14:textId="77777777" w:rsidR="009D4550" w:rsidRPr="00275290" w:rsidRDefault="009D4550" w:rsidP="009D4550">
            <w:pPr>
              <w:rPr>
                <w:rFonts w:cs="Arial"/>
              </w:rPr>
            </w:pPr>
            <w:r w:rsidRPr="00275290">
              <w:rPr>
                <w:rFonts w:cs="Arial"/>
              </w:rPr>
              <w:t>Yes</w:t>
            </w:r>
          </w:p>
        </w:tc>
      </w:tr>
    </w:tbl>
    <w:p w14:paraId="296BB458" w14:textId="77777777" w:rsidR="009D4550" w:rsidRPr="00275290" w:rsidRDefault="009D4550" w:rsidP="009D4550">
      <w:pPr>
        <w:rPr>
          <w:lang w:val="en-US"/>
        </w:rPr>
      </w:pPr>
    </w:p>
    <w:p w14:paraId="23F25708" w14:textId="77777777" w:rsidR="009D4550" w:rsidRPr="00275290" w:rsidRDefault="009D4550" w:rsidP="009D4550"/>
    <w:p w14:paraId="23019730" w14:textId="77777777" w:rsidR="009D4550" w:rsidRPr="00275290" w:rsidRDefault="009D4550" w:rsidP="009D4550">
      <w:pPr>
        <w:rPr>
          <w:rFonts w:cs="Arial"/>
          <w:i/>
          <w:lang w:val="en-US"/>
        </w:rPr>
      </w:pPr>
      <w:r w:rsidRPr="00275290">
        <w:rPr>
          <w:rFonts w:cs="Arial"/>
          <w:b/>
          <w:i/>
          <w:u w:val="single"/>
          <w:lang w:val="en-US"/>
        </w:rPr>
        <w:t>Adult combined exposure (chronic exposure scenario)</w:t>
      </w:r>
    </w:p>
    <w:p w14:paraId="0F11D8A5" w14:textId="77777777" w:rsidR="009D4550" w:rsidRPr="00275290" w:rsidRDefault="009D4550" w:rsidP="009D4550">
      <w:pPr>
        <w:rPr>
          <w:rFonts w:eastAsiaTheme="minorHAnsi" w:cs="Arial"/>
          <w:color w:val="00000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1836"/>
        <w:gridCol w:w="1581"/>
        <w:gridCol w:w="1947"/>
        <w:gridCol w:w="1939"/>
      </w:tblGrid>
      <w:tr w:rsidR="009D4550" w:rsidRPr="00275290" w14:paraId="159F8ED2" w14:textId="77777777" w:rsidTr="0039605F">
        <w:trPr>
          <w:cantSplit/>
          <w:trHeight w:val="1705"/>
          <w:tblHeader/>
        </w:trPr>
        <w:tc>
          <w:tcPr>
            <w:tcW w:w="2518" w:type="dxa"/>
            <w:vAlign w:val="center"/>
          </w:tcPr>
          <w:p w14:paraId="3AB0DB01"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843" w:type="dxa"/>
            <w:vAlign w:val="center"/>
          </w:tcPr>
          <w:p w14:paraId="2DCE7D85"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590" w:type="dxa"/>
            <w:vAlign w:val="center"/>
          </w:tcPr>
          <w:p w14:paraId="65B22E15" w14:textId="77777777" w:rsidR="009D4550" w:rsidRPr="00275290" w:rsidRDefault="009D4550" w:rsidP="009D4550">
            <w:pPr>
              <w:autoSpaceDE w:val="0"/>
              <w:autoSpaceDN w:val="0"/>
              <w:adjustRightInd w:val="0"/>
              <w:spacing w:before="60" w:after="60"/>
              <w:rPr>
                <w:rFonts w:cs="Arial"/>
                <w:lang w:val="fr-FR"/>
              </w:rPr>
            </w:pPr>
            <w:r w:rsidRPr="00275290">
              <w:rPr>
                <w:rFonts w:cs="Arial"/>
                <w:lang w:val="fr-FR"/>
              </w:rPr>
              <w:t>Professional exposure</w:t>
            </w:r>
          </w:p>
          <w:p w14:paraId="7F9EC280" w14:textId="77777777" w:rsidR="009D4550" w:rsidRPr="00275290" w:rsidRDefault="009D4550" w:rsidP="009D4550">
            <w:pPr>
              <w:autoSpaceDE w:val="0"/>
              <w:autoSpaceDN w:val="0"/>
              <w:adjustRightInd w:val="0"/>
              <w:spacing w:before="60" w:after="60"/>
              <w:rPr>
                <w:rFonts w:cs="Arial"/>
                <w:lang w:val="fr-FR"/>
              </w:rPr>
            </w:pPr>
            <w:r w:rsidRPr="00275290">
              <w:rPr>
                <w:rFonts w:cs="Arial"/>
                <w:lang w:val="fr-FR"/>
              </w:rPr>
              <w:t>(mg/kg bw/j)</w:t>
            </w:r>
          </w:p>
        </w:tc>
        <w:tc>
          <w:tcPr>
            <w:tcW w:w="1984" w:type="dxa"/>
            <w:vAlign w:val="center"/>
          </w:tcPr>
          <w:p w14:paraId="0898B7C4" w14:textId="3724B97B" w:rsidR="009D4550" w:rsidRPr="00275290" w:rsidRDefault="009D4550" w:rsidP="009D4550">
            <w:pPr>
              <w:rPr>
                <w:rFonts w:cs="Arial"/>
                <w:lang w:val="en-US"/>
              </w:rPr>
            </w:pPr>
            <w:r w:rsidRPr="00275290">
              <w:rPr>
                <w:rFonts w:cs="Arial"/>
                <w:lang w:val="en-US"/>
              </w:rPr>
              <w:t>Secondary exposure (inhalation of volatil</w:t>
            </w:r>
            <w:r w:rsidR="00435032">
              <w:rPr>
                <w:rFonts w:cs="Arial"/>
                <w:lang w:val="en-US"/>
              </w:rPr>
              <w:t>i</w:t>
            </w:r>
            <w:r w:rsidRPr="00275290">
              <w:rPr>
                <w:rFonts w:cs="Arial"/>
                <w:lang w:val="en-US"/>
              </w:rPr>
              <w:t>zed residues)</w:t>
            </w:r>
          </w:p>
          <w:p w14:paraId="65CE9911" w14:textId="77777777" w:rsidR="009D4550" w:rsidRPr="00275290" w:rsidRDefault="009D4550" w:rsidP="009D4550">
            <w:pPr>
              <w:rPr>
                <w:rFonts w:cs="Arial"/>
                <w:lang w:val="en-US"/>
              </w:rPr>
            </w:pPr>
            <w:r w:rsidRPr="00275290">
              <w:rPr>
                <w:rFonts w:cs="Arial"/>
                <w:lang w:val="en-US"/>
              </w:rPr>
              <w:t>(mg/kg bw/d)</w:t>
            </w:r>
          </w:p>
        </w:tc>
        <w:tc>
          <w:tcPr>
            <w:tcW w:w="1984" w:type="dxa"/>
            <w:vAlign w:val="center"/>
          </w:tcPr>
          <w:p w14:paraId="41D30A3A" w14:textId="77777777" w:rsidR="009D4550" w:rsidRPr="00275290" w:rsidRDefault="009D4550" w:rsidP="009D4550">
            <w:pPr>
              <w:rPr>
                <w:rFonts w:cs="Arial"/>
                <w:lang w:val="en-US"/>
              </w:rPr>
            </w:pPr>
            <w:r w:rsidRPr="00275290">
              <w:rPr>
                <w:rFonts w:cs="Arial"/>
                <w:lang w:val="en-US"/>
              </w:rPr>
              <w:t>Total exposure</w:t>
            </w:r>
          </w:p>
          <w:p w14:paraId="583C1FDF" w14:textId="77777777" w:rsidR="009D4550" w:rsidRPr="00275290" w:rsidRDefault="009D4550" w:rsidP="009D4550">
            <w:pPr>
              <w:rPr>
                <w:rFonts w:cs="Arial"/>
                <w:lang w:val="en-US"/>
              </w:rPr>
            </w:pPr>
            <w:r w:rsidRPr="00275290">
              <w:rPr>
                <w:rFonts w:cs="Arial"/>
                <w:lang w:val="en-US"/>
              </w:rPr>
              <w:t>(mg/kg bw/d)</w:t>
            </w:r>
          </w:p>
        </w:tc>
      </w:tr>
      <w:tr w:rsidR="009D4550" w:rsidRPr="00275290" w14:paraId="76A46A22" w14:textId="77777777" w:rsidTr="0039605F">
        <w:trPr>
          <w:cantSplit/>
        </w:trPr>
        <w:tc>
          <w:tcPr>
            <w:tcW w:w="2518" w:type="dxa"/>
            <w:vMerge w:val="restart"/>
            <w:vAlign w:val="center"/>
          </w:tcPr>
          <w:p w14:paraId="2536DBD8" w14:textId="77777777" w:rsidR="009D4550" w:rsidRPr="00275290" w:rsidRDefault="009D4550" w:rsidP="009D4550">
            <w:pPr>
              <w:rPr>
                <w:rFonts w:cs="Arial"/>
                <w:lang w:val="en-US"/>
              </w:rPr>
            </w:pPr>
            <w:r w:rsidRPr="00275290">
              <w:rPr>
                <w:rFonts w:cs="Arial"/>
                <w:lang w:val="en-US"/>
              </w:rPr>
              <w:t>Dipping</w:t>
            </w:r>
          </w:p>
          <w:p w14:paraId="449CA0DF" w14:textId="77777777" w:rsidR="009D4550" w:rsidRPr="00275290" w:rsidRDefault="009D4550" w:rsidP="009D4550">
            <w:pPr>
              <w:rPr>
                <w:rFonts w:cs="Arial"/>
                <w:lang w:val="en-US"/>
              </w:rPr>
            </w:pPr>
            <w:r w:rsidRPr="00275290">
              <w:rPr>
                <w:rFonts w:cs="Arial"/>
                <w:lang w:val="en-US"/>
              </w:rPr>
              <w:t>(gloves and protective clothes during M&amp;l and gloves during application)</w:t>
            </w:r>
          </w:p>
        </w:tc>
        <w:tc>
          <w:tcPr>
            <w:tcW w:w="1843" w:type="dxa"/>
            <w:vAlign w:val="center"/>
          </w:tcPr>
          <w:p w14:paraId="47D455B7" w14:textId="77777777" w:rsidR="009D4550" w:rsidRPr="00275290" w:rsidRDefault="009D4550" w:rsidP="009D4550">
            <w:pPr>
              <w:rPr>
                <w:rFonts w:cs="Arial"/>
                <w:lang w:val="en-US"/>
              </w:rPr>
            </w:pPr>
            <w:r w:rsidRPr="00275290">
              <w:rPr>
                <w:rFonts w:cs="Arial"/>
                <w:lang w:val="en-US"/>
              </w:rPr>
              <w:t>Cyperméthrine</w:t>
            </w:r>
          </w:p>
        </w:tc>
        <w:tc>
          <w:tcPr>
            <w:tcW w:w="1590" w:type="dxa"/>
            <w:vAlign w:val="center"/>
          </w:tcPr>
          <w:p w14:paraId="37E92AFE" w14:textId="77777777" w:rsidR="009D4550" w:rsidRPr="00275290" w:rsidRDefault="009D4550" w:rsidP="009D4550">
            <w:pPr>
              <w:rPr>
                <w:rFonts w:cs="Arial"/>
                <w:color w:val="000000"/>
              </w:rPr>
            </w:pPr>
            <w:r w:rsidRPr="00275290">
              <w:rPr>
                <w:rFonts w:cs="Arial"/>
                <w:color w:val="000000"/>
              </w:rPr>
              <w:t>8,12E-03</w:t>
            </w:r>
          </w:p>
        </w:tc>
        <w:tc>
          <w:tcPr>
            <w:tcW w:w="1984" w:type="dxa"/>
            <w:vAlign w:val="center"/>
          </w:tcPr>
          <w:p w14:paraId="07232021" w14:textId="77777777" w:rsidR="009D4550" w:rsidRPr="00275290" w:rsidRDefault="009D4550" w:rsidP="009D4550">
            <w:pPr>
              <w:rPr>
                <w:rFonts w:cs="Arial"/>
                <w:color w:val="000000"/>
              </w:rPr>
            </w:pPr>
            <w:r w:rsidRPr="00275290">
              <w:rPr>
                <w:rFonts w:cs="Arial"/>
                <w:color w:val="000000"/>
              </w:rPr>
              <w:t>3,28E-09</w:t>
            </w:r>
          </w:p>
        </w:tc>
        <w:tc>
          <w:tcPr>
            <w:tcW w:w="1984" w:type="dxa"/>
            <w:vAlign w:val="center"/>
          </w:tcPr>
          <w:p w14:paraId="69943AE6" w14:textId="77777777" w:rsidR="009D4550" w:rsidRPr="00275290" w:rsidRDefault="009D4550" w:rsidP="009D4550">
            <w:pPr>
              <w:rPr>
                <w:rFonts w:cs="Arial"/>
                <w:color w:val="000000"/>
              </w:rPr>
            </w:pPr>
            <w:r w:rsidRPr="00275290">
              <w:rPr>
                <w:rFonts w:cs="Arial"/>
                <w:color w:val="000000"/>
              </w:rPr>
              <w:t>8,12E-03</w:t>
            </w:r>
          </w:p>
        </w:tc>
      </w:tr>
      <w:tr w:rsidR="009D4550" w:rsidRPr="00275290" w14:paraId="37675B03" w14:textId="77777777" w:rsidTr="0039605F">
        <w:trPr>
          <w:cantSplit/>
        </w:trPr>
        <w:tc>
          <w:tcPr>
            <w:tcW w:w="2518" w:type="dxa"/>
            <w:vMerge/>
            <w:vAlign w:val="center"/>
          </w:tcPr>
          <w:p w14:paraId="1C889FBA" w14:textId="77777777" w:rsidR="009D4550" w:rsidRPr="00275290" w:rsidRDefault="009D4550" w:rsidP="009D4550">
            <w:pPr>
              <w:rPr>
                <w:rFonts w:cs="Arial"/>
                <w:lang w:val="en-US"/>
              </w:rPr>
            </w:pPr>
          </w:p>
        </w:tc>
        <w:tc>
          <w:tcPr>
            <w:tcW w:w="1843" w:type="dxa"/>
            <w:vAlign w:val="center"/>
          </w:tcPr>
          <w:p w14:paraId="40646256" w14:textId="77777777" w:rsidR="009D4550" w:rsidRPr="00275290" w:rsidRDefault="009D4550" w:rsidP="009D4550">
            <w:pPr>
              <w:rPr>
                <w:rFonts w:cs="Arial"/>
                <w:lang w:val="fr-FR"/>
              </w:rPr>
            </w:pPr>
            <w:r w:rsidRPr="00275290">
              <w:rPr>
                <w:rFonts w:cs="Arial"/>
                <w:lang w:val="fr-FR"/>
              </w:rPr>
              <w:t>Propiconazole</w:t>
            </w:r>
          </w:p>
        </w:tc>
        <w:tc>
          <w:tcPr>
            <w:tcW w:w="1590" w:type="dxa"/>
            <w:vAlign w:val="center"/>
          </w:tcPr>
          <w:p w14:paraId="661D46D2" w14:textId="77777777" w:rsidR="009D4550" w:rsidRPr="00275290" w:rsidRDefault="009D4550" w:rsidP="009D4550">
            <w:pPr>
              <w:rPr>
                <w:rFonts w:cs="Arial"/>
                <w:color w:val="000000"/>
              </w:rPr>
            </w:pPr>
            <w:r w:rsidRPr="00275290">
              <w:rPr>
                <w:rFonts w:cs="Arial"/>
                <w:color w:val="000000"/>
              </w:rPr>
              <w:t>1,17E-02</w:t>
            </w:r>
          </w:p>
        </w:tc>
        <w:tc>
          <w:tcPr>
            <w:tcW w:w="1984" w:type="dxa"/>
            <w:vAlign w:val="center"/>
          </w:tcPr>
          <w:p w14:paraId="0C32CE5E" w14:textId="77777777" w:rsidR="009D4550" w:rsidRPr="00275290" w:rsidRDefault="009D4550" w:rsidP="009D4550">
            <w:pPr>
              <w:rPr>
                <w:rFonts w:cs="Arial"/>
                <w:color w:val="000000"/>
              </w:rPr>
            </w:pPr>
            <w:r w:rsidRPr="00275290">
              <w:rPr>
                <w:rFonts w:cs="Arial"/>
                <w:color w:val="000000"/>
              </w:rPr>
              <w:t>1,60E-06</w:t>
            </w:r>
          </w:p>
        </w:tc>
        <w:tc>
          <w:tcPr>
            <w:tcW w:w="1984" w:type="dxa"/>
            <w:vAlign w:val="center"/>
          </w:tcPr>
          <w:p w14:paraId="1423AB17" w14:textId="77777777" w:rsidR="009D4550" w:rsidRPr="00275290" w:rsidRDefault="009D4550" w:rsidP="009D4550">
            <w:pPr>
              <w:rPr>
                <w:rFonts w:cs="Arial"/>
                <w:color w:val="000000"/>
              </w:rPr>
            </w:pPr>
            <w:r w:rsidRPr="00275290">
              <w:rPr>
                <w:rFonts w:cs="Arial"/>
                <w:color w:val="000000"/>
              </w:rPr>
              <w:t>1,17E-02</w:t>
            </w:r>
          </w:p>
        </w:tc>
      </w:tr>
      <w:tr w:rsidR="009D4550" w:rsidRPr="00275290" w14:paraId="4B7CFEC4" w14:textId="77777777" w:rsidTr="0039605F">
        <w:trPr>
          <w:cantSplit/>
        </w:trPr>
        <w:tc>
          <w:tcPr>
            <w:tcW w:w="2518" w:type="dxa"/>
            <w:vMerge/>
            <w:vAlign w:val="center"/>
          </w:tcPr>
          <w:p w14:paraId="131B4AC6" w14:textId="77777777" w:rsidR="009D4550" w:rsidRPr="00275290" w:rsidRDefault="009D4550" w:rsidP="009D4550">
            <w:pPr>
              <w:rPr>
                <w:rFonts w:cs="Arial"/>
                <w:lang w:val="en-US"/>
              </w:rPr>
            </w:pPr>
          </w:p>
        </w:tc>
        <w:tc>
          <w:tcPr>
            <w:tcW w:w="1843" w:type="dxa"/>
            <w:vAlign w:val="center"/>
          </w:tcPr>
          <w:p w14:paraId="191048C0" w14:textId="77777777" w:rsidR="009D4550" w:rsidRPr="00275290" w:rsidRDefault="009D4550" w:rsidP="009D4550">
            <w:pPr>
              <w:rPr>
                <w:rFonts w:cs="Arial"/>
                <w:lang w:val="fr-FR"/>
              </w:rPr>
            </w:pPr>
            <w:r w:rsidRPr="00275290">
              <w:rPr>
                <w:rFonts w:cs="Arial"/>
                <w:lang w:val="fr-FR"/>
              </w:rPr>
              <w:t>Tébuconazole</w:t>
            </w:r>
          </w:p>
        </w:tc>
        <w:tc>
          <w:tcPr>
            <w:tcW w:w="1590" w:type="dxa"/>
            <w:vAlign w:val="center"/>
          </w:tcPr>
          <w:p w14:paraId="20C3B7C8" w14:textId="77777777" w:rsidR="009D4550" w:rsidRPr="00275290" w:rsidRDefault="009D4550" w:rsidP="009D4550">
            <w:pPr>
              <w:rPr>
                <w:rFonts w:cs="Arial"/>
                <w:color w:val="000000"/>
              </w:rPr>
            </w:pPr>
            <w:r w:rsidRPr="00275290">
              <w:rPr>
                <w:rFonts w:cs="Arial"/>
                <w:color w:val="000000"/>
              </w:rPr>
              <w:t>4,37E-03</w:t>
            </w:r>
          </w:p>
        </w:tc>
        <w:tc>
          <w:tcPr>
            <w:tcW w:w="1984" w:type="dxa"/>
            <w:vAlign w:val="center"/>
          </w:tcPr>
          <w:p w14:paraId="0F6E38D1" w14:textId="77777777" w:rsidR="009D4550" w:rsidRPr="00275290" w:rsidRDefault="009D4550" w:rsidP="009D4550">
            <w:pPr>
              <w:rPr>
                <w:rFonts w:cs="Arial"/>
                <w:color w:val="000000"/>
              </w:rPr>
            </w:pPr>
            <w:r w:rsidRPr="00275290">
              <w:rPr>
                <w:rFonts w:cs="Arial"/>
                <w:color w:val="000000"/>
              </w:rPr>
              <w:t>1,52E-08</w:t>
            </w:r>
          </w:p>
        </w:tc>
        <w:tc>
          <w:tcPr>
            <w:tcW w:w="1984" w:type="dxa"/>
            <w:vAlign w:val="center"/>
          </w:tcPr>
          <w:p w14:paraId="12867681" w14:textId="77777777" w:rsidR="009D4550" w:rsidRPr="00275290" w:rsidRDefault="009D4550" w:rsidP="009D4550">
            <w:pPr>
              <w:rPr>
                <w:rFonts w:cs="Arial"/>
                <w:color w:val="000000"/>
              </w:rPr>
            </w:pPr>
            <w:r w:rsidRPr="00275290">
              <w:rPr>
                <w:rFonts w:cs="Arial"/>
                <w:color w:val="000000"/>
              </w:rPr>
              <w:t>4,37E-03</w:t>
            </w:r>
          </w:p>
        </w:tc>
      </w:tr>
      <w:tr w:rsidR="009D4550" w:rsidRPr="00275290" w14:paraId="41CBE918" w14:textId="77777777" w:rsidTr="0039605F">
        <w:trPr>
          <w:cantSplit/>
        </w:trPr>
        <w:tc>
          <w:tcPr>
            <w:tcW w:w="2518" w:type="dxa"/>
            <w:vMerge/>
            <w:vAlign w:val="center"/>
          </w:tcPr>
          <w:p w14:paraId="15467F1F" w14:textId="77777777" w:rsidR="009D4550" w:rsidRPr="00275290" w:rsidRDefault="009D4550" w:rsidP="009D4550">
            <w:pPr>
              <w:rPr>
                <w:rFonts w:cs="Arial"/>
                <w:lang w:val="en-US"/>
              </w:rPr>
            </w:pPr>
          </w:p>
        </w:tc>
        <w:tc>
          <w:tcPr>
            <w:tcW w:w="1843" w:type="dxa"/>
            <w:vAlign w:val="center"/>
          </w:tcPr>
          <w:p w14:paraId="4C877A8A" w14:textId="77777777" w:rsidR="009D4550" w:rsidRPr="00275290" w:rsidRDefault="009D4550" w:rsidP="009D4550">
            <w:pPr>
              <w:rPr>
                <w:rFonts w:cs="Arial"/>
                <w:lang w:val="fr-FR"/>
              </w:rPr>
            </w:pPr>
            <w:r w:rsidRPr="00275290">
              <w:rPr>
                <w:rFonts w:cs="Arial"/>
                <w:lang w:val="fr-FR"/>
              </w:rPr>
              <w:t>IPBC</w:t>
            </w:r>
          </w:p>
        </w:tc>
        <w:tc>
          <w:tcPr>
            <w:tcW w:w="1590" w:type="dxa"/>
            <w:vAlign w:val="center"/>
          </w:tcPr>
          <w:p w14:paraId="0474D568" w14:textId="77777777" w:rsidR="009D4550" w:rsidRPr="00275290" w:rsidRDefault="009D4550" w:rsidP="009D4550">
            <w:pPr>
              <w:rPr>
                <w:rFonts w:cs="Arial"/>
                <w:color w:val="000000"/>
              </w:rPr>
            </w:pPr>
            <w:r w:rsidRPr="00275290">
              <w:rPr>
                <w:rFonts w:cs="Arial"/>
                <w:color w:val="000000"/>
              </w:rPr>
              <w:t>1,05E-02</w:t>
            </w:r>
          </w:p>
        </w:tc>
        <w:tc>
          <w:tcPr>
            <w:tcW w:w="1984" w:type="dxa"/>
            <w:vAlign w:val="center"/>
          </w:tcPr>
          <w:p w14:paraId="112B9F05" w14:textId="77777777" w:rsidR="009D4550" w:rsidRPr="00275290" w:rsidRDefault="009D4550" w:rsidP="009D4550">
            <w:pPr>
              <w:rPr>
                <w:rFonts w:cs="Arial"/>
                <w:color w:val="000000"/>
              </w:rPr>
            </w:pPr>
            <w:r w:rsidRPr="00275290">
              <w:rPr>
                <w:rFonts w:cs="Arial"/>
                <w:color w:val="000000"/>
              </w:rPr>
              <w:t>4,03E-05</w:t>
            </w:r>
          </w:p>
        </w:tc>
        <w:tc>
          <w:tcPr>
            <w:tcW w:w="1984" w:type="dxa"/>
            <w:vAlign w:val="center"/>
          </w:tcPr>
          <w:p w14:paraId="51804B0C" w14:textId="77777777" w:rsidR="009D4550" w:rsidRPr="00275290" w:rsidRDefault="009D4550" w:rsidP="009D4550">
            <w:pPr>
              <w:rPr>
                <w:rFonts w:cs="Arial"/>
                <w:color w:val="000000"/>
              </w:rPr>
            </w:pPr>
            <w:r w:rsidRPr="00275290">
              <w:rPr>
                <w:rFonts w:cs="Arial"/>
                <w:color w:val="000000"/>
              </w:rPr>
              <w:t>1,06E-02</w:t>
            </w:r>
          </w:p>
        </w:tc>
      </w:tr>
      <w:tr w:rsidR="009D4550" w:rsidRPr="00275290" w14:paraId="2F13D7AB" w14:textId="77777777" w:rsidTr="0039605F">
        <w:trPr>
          <w:cantSplit/>
        </w:trPr>
        <w:tc>
          <w:tcPr>
            <w:tcW w:w="2518" w:type="dxa"/>
            <w:vMerge w:val="restart"/>
            <w:vAlign w:val="center"/>
          </w:tcPr>
          <w:p w14:paraId="46BA2079" w14:textId="77777777" w:rsidR="009D4550" w:rsidRPr="00275290" w:rsidRDefault="009D4550" w:rsidP="009D4550">
            <w:pPr>
              <w:rPr>
                <w:rFonts w:cs="Arial"/>
                <w:lang w:val="en-US"/>
              </w:rPr>
            </w:pPr>
            <w:r w:rsidRPr="00275290">
              <w:rPr>
                <w:rFonts w:cs="Arial"/>
                <w:lang w:val="en-US"/>
              </w:rPr>
              <w:t>Brushing</w:t>
            </w:r>
          </w:p>
          <w:p w14:paraId="6D7CAB3B" w14:textId="77777777" w:rsidR="009D4550" w:rsidRPr="00275290" w:rsidRDefault="009D4550" w:rsidP="009D4550">
            <w:pPr>
              <w:rPr>
                <w:rFonts w:cs="Arial"/>
                <w:lang w:val="en-US"/>
              </w:rPr>
            </w:pPr>
            <w:r w:rsidRPr="00275290">
              <w:rPr>
                <w:rFonts w:cs="Arial"/>
                <w:lang w:val="en-US"/>
              </w:rPr>
              <w:t>(gloves and coated coverall during application and without PPE during cleaning)</w:t>
            </w:r>
          </w:p>
        </w:tc>
        <w:tc>
          <w:tcPr>
            <w:tcW w:w="1843" w:type="dxa"/>
            <w:vAlign w:val="center"/>
          </w:tcPr>
          <w:p w14:paraId="62C1D823" w14:textId="77777777" w:rsidR="009D4550" w:rsidRPr="00275290" w:rsidRDefault="009D4550" w:rsidP="009D4550">
            <w:pPr>
              <w:rPr>
                <w:rFonts w:cs="Arial"/>
                <w:lang w:val="en-US"/>
              </w:rPr>
            </w:pPr>
            <w:r w:rsidRPr="00275290">
              <w:rPr>
                <w:rFonts w:cs="Arial"/>
                <w:lang w:val="en-US"/>
              </w:rPr>
              <w:t>Cyperméthrine</w:t>
            </w:r>
          </w:p>
        </w:tc>
        <w:tc>
          <w:tcPr>
            <w:tcW w:w="1590" w:type="dxa"/>
            <w:vAlign w:val="center"/>
          </w:tcPr>
          <w:p w14:paraId="418DB186" w14:textId="77777777" w:rsidR="009D4550" w:rsidRPr="00275290" w:rsidRDefault="009D4550" w:rsidP="009D4550">
            <w:pPr>
              <w:rPr>
                <w:rFonts w:cs="Arial"/>
                <w:color w:val="000000"/>
              </w:rPr>
            </w:pPr>
            <w:r w:rsidRPr="00275290">
              <w:rPr>
                <w:rFonts w:cs="Arial"/>
                <w:color w:val="000000"/>
              </w:rPr>
              <w:t>1,88E-03</w:t>
            </w:r>
          </w:p>
        </w:tc>
        <w:tc>
          <w:tcPr>
            <w:tcW w:w="1984" w:type="dxa"/>
            <w:vAlign w:val="center"/>
          </w:tcPr>
          <w:p w14:paraId="73E0305A" w14:textId="77777777" w:rsidR="009D4550" w:rsidRPr="00275290" w:rsidRDefault="009D4550" w:rsidP="009D4550">
            <w:pPr>
              <w:rPr>
                <w:rFonts w:cs="Arial"/>
                <w:color w:val="000000"/>
              </w:rPr>
            </w:pPr>
            <w:r w:rsidRPr="00275290">
              <w:rPr>
                <w:rFonts w:cs="Arial"/>
                <w:color w:val="000000"/>
              </w:rPr>
              <w:t>3,28E-09</w:t>
            </w:r>
          </w:p>
        </w:tc>
        <w:tc>
          <w:tcPr>
            <w:tcW w:w="1984" w:type="dxa"/>
            <w:vAlign w:val="center"/>
          </w:tcPr>
          <w:p w14:paraId="7AABE241" w14:textId="77777777" w:rsidR="009D4550" w:rsidRPr="00275290" w:rsidRDefault="009D4550" w:rsidP="009D4550">
            <w:pPr>
              <w:rPr>
                <w:rFonts w:cs="Arial"/>
                <w:color w:val="000000"/>
              </w:rPr>
            </w:pPr>
            <w:r w:rsidRPr="00275290">
              <w:rPr>
                <w:rFonts w:cs="Arial"/>
                <w:color w:val="000000"/>
              </w:rPr>
              <w:t>1,88E-03</w:t>
            </w:r>
          </w:p>
        </w:tc>
      </w:tr>
      <w:tr w:rsidR="009D4550" w:rsidRPr="00275290" w14:paraId="61EEAE54" w14:textId="77777777" w:rsidTr="0039605F">
        <w:trPr>
          <w:cantSplit/>
        </w:trPr>
        <w:tc>
          <w:tcPr>
            <w:tcW w:w="2518" w:type="dxa"/>
            <w:vMerge/>
            <w:vAlign w:val="center"/>
          </w:tcPr>
          <w:p w14:paraId="27457EEF" w14:textId="77777777" w:rsidR="009D4550" w:rsidRPr="00275290" w:rsidRDefault="009D4550" w:rsidP="009D4550">
            <w:pPr>
              <w:rPr>
                <w:rFonts w:cs="Arial"/>
                <w:lang w:val="en-US"/>
              </w:rPr>
            </w:pPr>
          </w:p>
        </w:tc>
        <w:tc>
          <w:tcPr>
            <w:tcW w:w="1843" w:type="dxa"/>
            <w:vAlign w:val="center"/>
          </w:tcPr>
          <w:p w14:paraId="30235910" w14:textId="77777777" w:rsidR="009D4550" w:rsidRPr="00275290" w:rsidRDefault="009D4550" w:rsidP="009D4550">
            <w:pPr>
              <w:rPr>
                <w:rFonts w:cs="Arial"/>
                <w:lang w:val="fr-FR"/>
              </w:rPr>
            </w:pPr>
            <w:r w:rsidRPr="00275290">
              <w:rPr>
                <w:rFonts w:cs="Arial"/>
                <w:lang w:val="fr-FR"/>
              </w:rPr>
              <w:t>Propiconazole</w:t>
            </w:r>
          </w:p>
        </w:tc>
        <w:tc>
          <w:tcPr>
            <w:tcW w:w="1590" w:type="dxa"/>
            <w:vAlign w:val="center"/>
          </w:tcPr>
          <w:p w14:paraId="571C842B" w14:textId="77777777" w:rsidR="009D4550" w:rsidRPr="00275290" w:rsidRDefault="009D4550" w:rsidP="009D4550">
            <w:pPr>
              <w:rPr>
                <w:rFonts w:cs="Arial"/>
                <w:color w:val="000000"/>
              </w:rPr>
            </w:pPr>
            <w:r w:rsidRPr="00275290">
              <w:rPr>
                <w:rFonts w:cs="Arial"/>
                <w:color w:val="000000"/>
              </w:rPr>
              <w:t>2,67E-03</w:t>
            </w:r>
          </w:p>
        </w:tc>
        <w:tc>
          <w:tcPr>
            <w:tcW w:w="1984" w:type="dxa"/>
            <w:vAlign w:val="center"/>
          </w:tcPr>
          <w:p w14:paraId="7C0738CA" w14:textId="77777777" w:rsidR="009D4550" w:rsidRPr="00275290" w:rsidRDefault="009D4550" w:rsidP="009D4550">
            <w:pPr>
              <w:rPr>
                <w:rFonts w:cs="Arial"/>
                <w:color w:val="000000"/>
              </w:rPr>
            </w:pPr>
            <w:r w:rsidRPr="00275290">
              <w:rPr>
                <w:rFonts w:cs="Arial"/>
                <w:color w:val="000000"/>
              </w:rPr>
              <w:t>1,60E-06</w:t>
            </w:r>
          </w:p>
        </w:tc>
        <w:tc>
          <w:tcPr>
            <w:tcW w:w="1984" w:type="dxa"/>
            <w:vAlign w:val="center"/>
          </w:tcPr>
          <w:p w14:paraId="3C1A8F0D" w14:textId="77777777" w:rsidR="009D4550" w:rsidRPr="00275290" w:rsidRDefault="009D4550" w:rsidP="009D4550">
            <w:pPr>
              <w:rPr>
                <w:rFonts w:cs="Arial"/>
                <w:color w:val="000000"/>
              </w:rPr>
            </w:pPr>
            <w:r w:rsidRPr="00275290">
              <w:rPr>
                <w:rFonts w:cs="Arial"/>
                <w:color w:val="000000"/>
              </w:rPr>
              <w:t>2,67E-03</w:t>
            </w:r>
          </w:p>
        </w:tc>
      </w:tr>
      <w:tr w:rsidR="009D4550" w:rsidRPr="00275290" w14:paraId="68F6F9A7" w14:textId="77777777" w:rsidTr="0039605F">
        <w:trPr>
          <w:cantSplit/>
        </w:trPr>
        <w:tc>
          <w:tcPr>
            <w:tcW w:w="2518" w:type="dxa"/>
            <w:vMerge/>
            <w:vAlign w:val="center"/>
          </w:tcPr>
          <w:p w14:paraId="1CA2A6BB" w14:textId="77777777" w:rsidR="009D4550" w:rsidRPr="00275290" w:rsidRDefault="009D4550" w:rsidP="009D4550">
            <w:pPr>
              <w:rPr>
                <w:rFonts w:cs="Arial"/>
                <w:lang w:val="fr-FR"/>
              </w:rPr>
            </w:pPr>
          </w:p>
        </w:tc>
        <w:tc>
          <w:tcPr>
            <w:tcW w:w="1843" w:type="dxa"/>
            <w:vAlign w:val="center"/>
          </w:tcPr>
          <w:p w14:paraId="26E32216" w14:textId="77777777" w:rsidR="009D4550" w:rsidRPr="00275290" w:rsidRDefault="009D4550" w:rsidP="009D4550">
            <w:pPr>
              <w:rPr>
                <w:rFonts w:cs="Arial"/>
                <w:lang w:val="fr-FR"/>
              </w:rPr>
            </w:pPr>
            <w:r w:rsidRPr="00275290">
              <w:rPr>
                <w:rFonts w:cs="Arial"/>
                <w:lang w:val="fr-FR"/>
              </w:rPr>
              <w:t>Tébuconazole</w:t>
            </w:r>
          </w:p>
        </w:tc>
        <w:tc>
          <w:tcPr>
            <w:tcW w:w="1590" w:type="dxa"/>
            <w:vAlign w:val="center"/>
          </w:tcPr>
          <w:p w14:paraId="729F6AC6" w14:textId="77777777" w:rsidR="009D4550" w:rsidRPr="00275290" w:rsidRDefault="009D4550" w:rsidP="009D4550">
            <w:pPr>
              <w:rPr>
                <w:rFonts w:cs="Arial"/>
                <w:color w:val="000000"/>
              </w:rPr>
            </w:pPr>
            <w:r w:rsidRPr="00275290">
              <w:rPr>
                <w:rFonts w:cs="Arial"/>
                <w:color w:val="000000"/>
              </w:rPr>
              <w:t>1,13E-03</w:t>
            </w:r>
          </w:p>
        </w:tc>
        <w:tc>
          <w:tcPr>
            <w:tcW w:w="1984" w:type="dxa"/>
            <w:vAlign w:val="center"/>
          </w:tcPr>
          <w:p w14:paraId="68D02464" w14:textId="77777777" w:rsidR="009D4550" w:rsidRPr="00275290" w:rsidRDefault="009D4550" w:rsidP="009D4550">
            <w:pPr>
              <w:rPr>
                <w:rFonts w:cs="Arial"/>
                <w:color w:val="000000"/>
              </w:rPr>
            </w:pPr>
            <w:r w:rsidRPr="00275290">
              <w:rPr>
                <w:rFonts w:cs="Arial"/>
                <w:color w:val="000000"/>
              </w:rPr>
              <w:t>1,52E-08</w:t>
            </w:r>
          </w:p>
        </w:tc>
        <w:tc>
          <w:tcPr>
            <w:tcW w:w="1984" w:type="dxa"/>
            <w:vAlign w:val="center"/>
          </w:tcPr>
          <w:p w14:paraId="1410F0EA" w14:textId="77777777" w:rsidR="009D4550" w:rsidRPr="00275290" w:rsidRDefault="009D4550" w:rsidP="009D4550">
            <w:pPr>
              <w:rPr>
                <w:rFonts w:cs="Arial"/>
                <w:color w:val="000000"/>
              </w:rPr>
            </w:pPr>
            <w:r w:rsidRPr="00275290">
              <w:rPr>
                <w:rFonts w:cs="Arial"/>
                <w:color w:val="000000"/>
              </w:rPr>
              <w:t>1,13E-03</w:t>
            </w:r>
          </w:p>
        </w:tc>
      </w:tr>
      <w:tr w:rsidR="009D4550" w:rsidRPr="00275290" w14:paraId="13997304" w14:textId="77777777" w:rsidTr="0039605F">
        <w:trPr>
          <w:cantSplit/>
        </w:trPr>
        <w:tc>
          <w:tcPr>
            <w:tcW w:w="2518" w:type="dxa"/>
            <w:vMerge/>
            <w:vAlign w:val="center"/>
          </w:tcPr>
          <w:p w14:paraId="65D461CB" w14:textId="77777777" w:rsidR="009D4550" w:rsidRPr="00275290" w:rsidRDefault="009D4550" w:rsidP="009D4550">
            <w:pPr>
              <w:rPr>
                <w:rFonts w:cs="Arial"/>
                <w:lang w:val="fr-FR"/>
              </w:rPr>
            </w:pPr>
          </w:p>
        </w:tc>
        <w:tc>
          <w:tcPr>
            <w:tcW w:w="1843" w:type="dxa"/>
            <w:vAlign w:val="center"/>
          </w:tcPr>
          <w:p w14:paraId="1FB898B1" w14:textId="77777777" w:rsidR="009D4550" w:rsidRPr="00275290" w:rsidRDefault="009D4550" w:rsidP="009D4550">
            <w:pPr>
              <w:rPr>
                <w:rFonts w:cs="Arial"/>
                <w:lang w:val="fr-FR"/>
              </w:rPr>
            </w:pPr>
            <w:r w:rsidRPr="00275290">
              <w:rPr>
                <w:rFonts w:cs="Arial"/>
                <w:lang w:val="fr-FR"/>
              </w:rPr>
              <w:t>IPBC</w:t>
            </w:r>
          </w:p>
        </w:tc>
        <w:tc>
          <w:tcPr>
            <w:tcW w:w="1590" w:type="dxa"/>
            <w:vAlign w:val="center"/>
          </w:tcPr>
          <w:p w14:paraId="07C68004" w14:textId="77777777" w:rsidR="009D4550" w:rsidRPr="00275290" w:rsidRDefault="009D4550" w:rsidP="009D4550">
            <w:pPr>
              <w:rPr>
                <w:rFonts w:cs="Arial"/>
                <w:color w:val="000000"/>
              </w:rPr>
            </w:pPr>
            <w:r w:rsidRPr="00275290">
              <w:rPr>
                <w:rFonts w:cs="Arial"/>
                <w:color w:val="000000"/>
              </w:rPr>
              <w:t>2,30E-03</w:t>
            </w:r>
          </w:p>
        </w:tc>
        <w:tc>
          <w:tcPr>
            <w:tcW w:w="1984" w:type="dxa"/>
            <w:vAlign w:val="center"/>
          </w:tcPr>
          <w:p w14:paraId="6529D864" w14:textId="77777777" w:rsidR="009D4550" w:rsidRPr="00275290" w:rsidRDefault="009D4550" w:rsidP="009D4550">
            <w:pPr>
              <w:rPr>
                <w:rFonts w:cs="Arial"/>
                <w:color w:val="000000"/>
              </w:rPr>
            </w:pPr>
            <w:r w:rsidRPr="00275290">
              <w:rPr>
                <w:rFonts w:cs="Arial"/>
                <w:color w:val="000000"/>
              </w:rPr>
              <w:t>4,03E-05</w:t>
            </w:r>
          </w:p>
        </w:tc>
        <w:tc>
          <w:tcPr>
            <w:tcW w:w="1984" w:type="dxa"/>
            <w:vAlign w:val="center"/>
          </w:tcPr>
          <w:p w14:paraId="115F6459" w14:textId="77777777" w:rsidR="009D4550" w:rsidRPr="00275290" w:rsidRDefault="009D4550" w:rsidP="009D4550">
            <w:pPr>
              <w:rPr>
                <w:rFonts w:cs="Arial"/>
                <w:color w:val="000000"/>
              </w:rPr>
            </w:pPr>
            <w:r w:rsidRPr="00275290">
              <w:rPr>
                <w:rFonts w:cs="Arial"/>
                <w:color w:val="000000"/>
              </w:rPr>
              <w:t>2,34E-03</w:t>
            </w:r>
          </w:p>
        </w:tc>
      </w:tr>
      <w:tr w:rsidR="00934A09" w:rsidRPr="00275290" w14:paraId="4AE7D8B9" w14:textId="77777777" w:rsidTr="00B7552D">
        <w:trPr>
          <w:cantSplit/>
        </w:trPr>
        <w:tc>
          <w:tcPr>
            <w:tcW w:w="2518" w:type="dxa"/>
            <w:vMerge w:val="restart"/>
            <w:vAlign w:val="center"/>
          </w:tcPr>
          <w:p w14:paraId="00DE1B47" w14:textId="77777777" w:rsidR="00934A09" w:rsidRPr="00275290" w:rsidRDefault="00934A09" w:rsidP="009D4550">
            <w:pPr>
              <w:rPr>
                <w:rFonts w:cs="Arial"/>
                <w:lang w:val="en-US"/>
              </w:rPr>
            </w:pPr>
            <w:r w:rsidRPr="00275290">
              <w:rPr>
                <w:rFonts w:cs="Arial"/>
                <w:lang w:val="en-US"/>
              </w:rPr>
              <w:t>Spraying</w:t>
            </w:r>
          </w:p>
          <w:p w14:paraId="63C91675" w14:textId="77777777" w:rsidR="00934A09" w:rsidRPr="00275290" w:rsidRDefault="00934A09" w:rsidP="009D4550">
            <w:pPr>
              <w:rPr>
                <w:rFonts w:cs="Arial"/>
                <w:lang w:val="en-US"/>
              </w:rPr>
            </w:pPr>
            <w:r w:rsidRPr="00275290">
              <w:rPr>
                <w:rFonts w:cs="Arial"/>
                <w:lang w:val="en-US"/>
              </w:rPr>
              <w:t>(gloves and impermeable coverall during spraying and gloves and coated coverall during cleaning)</w:t>
            </w:r>
          </w:p>
        </w:tc>
        <w:tc>
          <w:tcPr>
            <w:tcW w:w="1843" w:type="dxa"/>
            <w:vAlign w:val="center"/>
          </w:tcPr>
          <w:p w14:paraId="346F7207" w14:textId="77777777" w:rsidR="00934A09" w:rsidRPr="00275290" w:rsidRDefault="00934A09" w:rsidP="009D4550">
            <w:pPr>
              <w:rPr>
                <w:rFonts w:cs="Arial"/>
                <w:lang w:val="fr-FR"/>
              </w:rPr>
            </w:pPr>
            <w:r w:rsidRPr="00275290">
              <w:rPr>
                <w:rFonts w:cs="Arial"/>
                <w:lang w:val="fr-FR"/>
              </w:rPr>
              <w:t>Cyperméthrine</w:t>
            </w:r>
          </w:p>
        </w:tc>
        <w:tc>
          <w:tcPr>
            <w:tcW w:w="1590" w:type="dxa"/>
            <w:vAlign w:val="center"/>
          </w:tcPr>
          <w:p w14:paraId="32764E96" w14:textId="7D139D76" w:rsidR="00934A09" w:rsidRPr="00275290" w:rsidRDefault="00934A09" w:rsidP="009D4550">
            <w:pPr>
              <w:rPr>
                <w:rFonts w:cs="Arial"/>
                <w:color w:val="000000"/>
              </w:rPr>
            </w:pPr>
            <w:r w:rsidRPr="00275290">
              <w:rPr>
                <w:rFonts w:cs="Arial"/>
                <w:bCs/>
                <w:color w:val="000000"/>
              </w:rPr>
              <w:t>1,04E-02</w:t>
            </w:r>
          </w:p>
        </w:tc>
        <w:tc>
          <w:tcPr>
            <w:tcW w:w="1984" w:type="dxa"/>
            <w:vAlign w:val="center"/>
          </w:tcPr>
          <w:p w14:paraId="7FB19460" w14:textId="77777777" w:rsidR="00934A09" w:rsidRPr="00275290" w:rsidRDefault="00934A09" w:rsidP="009D4550">
            <w:pPr>
              <w:rPr>
                <w:rFonts w:cs="Arial"/>
                <w:color w:val="000000"/>
              </w:rPr>
            </w:pPr>
            <w:r w:rsidRPr="00275290">
              <w:rPr>
                <w:rFonts w:cs="Arial"/>
                <w:color w:val="000000"/>
              </w:rPr>
              <w:t>3,28E-09</w:t>
            </w:r>
          </w:p>
        </w:tc>
        <w:tc>
          <w:tcPr>
            <w:tcW w:w="1984" w:type="dxa"/>
            <w:vAlign w:val="bottom"/>
          </w:tcPr>
          <w:p w14:paraId="5A961671" w14:textId="748CA004" w:rsidR="00934A09" w:rsidRPr="00275290" w:rsidRDefault="00934A09" w:rsidP="009D4550">
            <w:pPr>
              <w:rPr>
                <w:rFonts w:cs="Arial"/>
                <w:color w:val="000000"/>
              </w:rPr>
            </w:pPr>
            <w:r>
              <w:rPr>
                <w:rFonts w:ascii="Calibri" w:hAnsi="Calibri" w:cs="Calibri"/>
                <w:color w:val="000000"/>
                <w:sz w:val="22"/>
                <w:szCs w:val="22"/>
              </w:rPr>
              <w:t>1.04E-02</w:t>
            </w:r>
          </w:p>
        </w:tc>
      </w:tr>
      <w:tr w:rsidR="00934A09" w:rsidRPr="00275290" w14:paraId="3FCD5946" w14:textId="77777777" w:rsidTr="00B7552D">
        <w:trPr>
          <w:cantSplit/>
        </w:trPr>
        <w:tc>
          <w:tcPr>
            <w:tcW w:w="2518" w:type="dxa"/>
            <w:vMerge/>
            <w:vAlign w:val="center"/>
          </w:tcPr>
          <w:p w14:paraId="3B720BB9" w14:textId="77777777" w:rsidR="00934A09" w:rsidRPr="00275290" w:rsidRDefault="00934A09" w:rsidP="009D4550">
            <w:pPr>
              <w:rPr>
                <w:rFonts w:cs="Arial"/>
                <w:lang w:val="fr-FR"/>
              </w:rPr>
            </w:pPr>
          </w:p>
        </w:tc>
        <w:tc>
          <w:tcPr>
            <w:tcW w:w="1843" w:type="dxa"/>
            <w:vAlign w:val="center"/>
          </w:tcPr>
          <w:p w14:paraId="21387BDF" w14:textId="77777777" w:rsidR="00934A09" w:rsidRPr="00275290" w:rsidRDefault="00934A09" w:rsidP="009D4550">
            <w:pPr>
              <w:rPr>
                <w:rFonts w:cs="Arial"/>
                <w:lang w:val="fr-FR"/>
              </w:rPr>
            </w:pPr>
            <w:r w:rsidRPr="00275290">
              <w:rPr>
                <w:rFonts w:cs="Arial"/>
                <w:lang w:val="fr-FR"/>
              </w:rPr>
              <w:t>Propiconazole</w:t>
            </w:r>
          </w:p>
        </w:tc>
        <w:tc>
          <w:tcPr>
            <w:tcW w:w="1590" w:type="dxa"/>
            <w:vAlign w:val="center"/>
          </w:tcPr>
          <w:p w14:paraId="0EF4CE51" w14:textId="51E3A5E0" w:rsidR="00934A09" w:rsidRPr="00275290" w:rsidRDefault="00934A09" w:rsidP="009D4550">
            <w:pPr>
              <w:rPr>
                <w:rFonts w:cs="Arial"/>
                <w:color w:val="000000"/>
              </w:rPr>
            </w:pPr>
            <w:r w:rsidRPr="00275290">
              <w:rPr>
                <w:rFonts w:cs="Arial"/>
                <w:bCs/>
                <w:color w:val="000000"/>
              </w:rPr>
              <w:t>1,</w:t>
            </w:r>
            <w:r>
              <w:rPr>
                <w:rFonts w:cs="Arial"/>
                <w:bCs/>
                <w:color w:val="000000"/>
              </w:rPr>
              <w:t>61</w:t>
            </w:r>
            <w:r w:rsidRPr="00275290">
              <w:rPr>
                <w:rFonts w:cs="Arial"/>
                <w:bCs/>
                <w:color w:val="000000"/>
              </w:rPr>
              <w:t>E-02</w:t>
            </w:r>
          </w:p>
        </w:tc>
        <w:tc>
          <w:tcPr>
            <w:tcW w:w="1984" w:type="dxa"/>
            <w:vAlign w:val="center"/>
          </w:tcPr>
          <w:p w14:paraId="609BA4A8" w14:textId="77777777" w:rsidR="00934A09" w:rsidRPr="00275290" w:rsidRDefault="00934A09" w:rsidP="009D4550">
            <w:pPr>
              <w:rPr>
                <w:rFonts w:cs="Arial"/>
                <w:color w:val="000000"/>
              </w:rPr>
            </w:pPr>
            <w:r w:rsidRPr="00275290">
              <w:rPr>
                <w:rFonts w:cs="Arial"/>
                <w:color w:val="000000"/>
              </w:rPr>
              <w:t>1,60E-06</w:t>
            </w:r>
          </w:p>
        </w:tc>
        <w:tc>
          <w:tcPr>
            <w:tcW w:w="1984" w:type="dxa"/>
            <w:vAlign w:val="bottom"/>
          </w:tcPr>
          <w:p w14:paraId="4E08B9D1" w14:textId="255F55EC" w:rsidR="00934A09" w:rsidRPr="00275290" w:rsidRDefault="00934A09" w:rsidP="009D4550">
            <w:pPr>
              <w:rPr>
                <w:rFonts w:cs="Arial"/>
                <w:color w:val="000000"/>
              </w:rPr>
            </w:pPr>
            <w:r>
              <w:rPr>
                <w:rFonts w:ascii="Calibri" w:hAnsi="Calibri" w:cs="Calibri"/>
                <w:color w:val="000000"/>
                <w:sz w:val="22"/>
                <w:szCs w:val="22"/>
              </w:rPr>
              <w:t>1.61E-02</w:t>
            </w:r>
          </w:p>
        </w:tc>
      </w:tr>
      <w:tr w:rsidR="00934A09" w:rsidRPr="00275290" w14:paraId="28F2E817" w14:textId="77777777" w:rsidTr="00B7552D">
        <w:trPr>
          <w:cantSplit/>
        </w:trPr>
        <w:tc>
          <w:tcPr>
            <w:tcW w:w="2518" w:type="dxa"/>
            <w:vMerge/>
            <w:vAlign w:val="center"/>
          </w:tcPr>
          <w:p w14:paraId="43E69DCF" w14:textId="77777777" w:rsidR="00934A09" w:rsidRPr="00275290" w:rsidRDefault="00934A09" w:rsidP="009D4550">
            <w:pPr>
              <w:rPr>
                <w:rFonts w:cs="Arial"/>
                <w:lang w:val="fr-FR"/>
              </w:rPr>
            </w:pPr>
          </w:p>
        </w:tc>
        <w:tc>
          <w:tcPr>
            <w:tcW w:w="1843" w:type="dxa"/>
            <w:vAlign w:val="center"/>
          </w:tcPr>
          <w:p w14:paraId="0140DDB4" w14:textId="77777777" w:rsidR="00934A09" w:rsidRPr="00275290" w:rsidRDefault="00934A09" w:rsidP="009D4550">
            <w:pPr>
              <w:rPr>
                <w:rFonts w:cs="Arial"/>
                <w:lang w:val="fr-FR"/>
              </w:rPr>
            </w:pPr>
            <w:r w:rsidRPr="00275290">
              <w:rPr>
                <w:rFonts w:cs="Arial"/>
                <w:lang w:val="fr-FR"/>
              </w:rPr>
              <w:t>Tébuconazole</w:t>
            </w:r>
          </w:p>
        </w:tc>
        <w:tc>
          <w:tcPr>
            <w:tcW w:w="1590" w:type="dxa"/>
            <w:vAlign w:val="center"/>
          </w:tcPr>
          <w:p w14:paraId="3085EB27" w14:textId="55700684" w:rsidR="00934A09" w:rsidRPr="00275290" w:rsidRDefault="00934A09" w:rsidP="009D4550">
            <w:pPr>
              <w:rPr>
                <w:rFonts w:cs="Arial"/>
                <w:color w:val="000000"/>
              </w:rPr>
            </w:pPr>
            <w:r>
              <w:rPr>
                <w:rFonts w:cs="Arial"/>
                <w:bCs/>
                <w:color w:val="000000"/>
              </w:rPr>
              <w:t>5.75</w:t>
            </w:r>
            <w:r w:rsidRPr="00275290">
              <w:rPr>
                <w:rFonts w:cs="Arial"/>
                <w:bCs/>
                <w:color w:val="000000"/>
              </w:rPr>
              <w:t>E-03</w:t>
            </w:r>
          </w:p>
        </w:tc>
        <w:tc>
          <w:tcPr>
            <w:tcW w:w="1984" w:type="dxa"/>
            <w:vAlign w:val="center"/>
          </w:tcPr>
          <w:p w14:paraId="1C9B09D1" w14:textId="77777777" w:rsidR="00934A09" w:rsidRPr="00275290" w:rsidRDefault="00934A09" w:rsidP="009D4550">
            <w:pPr>
              <w:rPr>
                <w:rFonts w:cs="Arial"/>
                <w:color w:val="000000"/>
              </w:rPr>
            </w:pPr>
            <w:r w:rsidRPr="00275290">
              <w:rPr>
                <w:rFonts w:cs="Arial"/>
                <w:color w:val="000000"/>
              </w:rPr>
              <w:t>1,52E-08</w:t>
            </w:r>
          </w:p>
        </w:tc>
        <w:tc>
          <w:tcPr>
            <w:tcW w:w="1984" w:type="dxa"/>
            <w:vAlign w:val="bottom"/>
          </w:tcPr>
          <w:p w14:paraId="02D46352" w14:textId="45B6D03E" w:rsidR="00934A09" w:rsidRPr="00275290" w:rsidRDefault="00934A09" w:rsidP="009D4550">
            <w:pPr>
              <w:rPr>
                <w:rFonts w:cs="Arial"/>
                <w:color w:val="000000"/>
              </w:rPr>
            </w:pPr>
            <w:r>
              <w:rPr>
                <w:rFonts w:ascii="Calibri" w:hAnsi="Calibri" w:cs="Calibri"/>
                <w:color w:val="000000"/>
                <w:sz w:val="22"/>
                <w:szCs w:val="22"/>
              </w:rPr>
              <w:t>5.75E-03</w:t>
            </w:r>
          </w:p>
        </w:tc>
      </w:tr>
      <w:tr w:rsidR="00934A09" w:rsidRPr="00275290" w14:paraId="20F80EE8" w14:textId="77777777" w:rsidTr="00B7552D">
        <w:trPr>
          <w:cantSplit/>
        </w:trPr>
        <w:tc>
          <w:tcPr>
            <w:tcW w:w="2518" w:type="dxa"/>
            <w:vMerge/>
            <w:vAlign w:val="center"/>
          </w:tcPr>
          <w:p w14:paraId="09BE8B65" w14:textId="77777777" w:rsidR="00934A09" w:rsidRPr="00275290" w:rsidRDefault="00934A09" w:rsidP="009D4550">
            <w:pPr>
              <w:rPr>
                <w:rFonts w:cs="Arial"/>
                <w:lang w:val="fr-FR"/>
              </w:rPr>
            </w:pPr>
          </w:p>
        </w:tc>
        <w:tc>
          <w:tcPr>
            <w:tcW w:w="1843" w:type="dxa"/>
            <w:vAlign w:val="center"/>
          </w:tcPr>
          <w:p w14:paraId="6DF66A08" w14:textId="77777777" w:rsidR="00934A09" w:rsidRPr="00275290" w:rsidRDefault="00934A09" w:rsidP="009D4550">
            <w:pPr>
              <w:rPr>
                <w:rFonts w:cs="Arial"/>
                <w:lang w:val="fr-FR"/>
              </w:rPr>
            </w:pPr>
            <w:r w:rsidRPr="00275290">
              <w:rPr>
                <w:rFonts w:cs="Arial"/>
                <w:lang w:val="fr-FR"/>
              </w:rPr>
              <w:t>IPBC</w:t>
            </w:r>
          </w:p>
        </w:tc>
        <w:tc>
          <w:tcPr>
            <w:tcW w:w="1590" w:type="dxa"/>
            <w:vAlign w:val="center"/>
          </w:tcPr>
          <w:p w14:paraId="214EB047" w14:textId="115FAFA5" w:rsidR="00934A09" w:rsidRPr="00275290" w:rsidRDefault="00934A09" w:rsidP="009D4550">
            <w:pPr>
              <w:rPr>
                <w:rFonts w:cs="Arial"/>
                <w:color w:val="000000"/>
              </w:rPr>
            </w:pPr>
            <w:r>
              <w:rPr>
                <w:rFonts w:cs="Arial"/>
                <w:bCs/>
                <w:color w:val="000000"/>
              </w:rPr>
              <w:t>1.23</w:t>
            </w:r>
            <w:r w:rsidRPr="00275290">
              <w:rPr>
                <w:rFonts w:cs="Arial"/>
                <w:bCs/>
                <w:color w:val="000000"/>
              </w:rPr>
              <w:t>E-0</w:t>
            </w:r>
            <w:r>
              <w:rPr>
                <w:rFonts w:cs="Arial"/>
                <w:bCs/>
                <w:color w:val="000000"/>
              </w:rPr>
              <w:t>2</w:t>
            </w:r>
          </w:p>
        </w:tc>
        <w:tc>
          <w:tcPr>
            <w:tcW w:w="1984" w:type="dxa"/>
            <w:vAlign w:val="center"/>
          </w:tcPr>
          <w:p w14:paraId="62CD5D4C" w14:textId="77777777" w:rsidR="00934A09" w:rsidRPr="00275290" w:rsidRDefault="00934A09" w:rsidP="009D4550">
            <w:pPr>
              <w:rPr>
                <w:rFonts w:cs="Arial"/>
                <w:color w:val="000000"/>
              </w:rPr>
            </w:pPr>
            <w:r w:rsidRPr="00275290">
              <w:rPr>
                <w:rFonts w:cs="Arial"/>
                <w:color w:val="000000"/>
              </w:rPr>
              <w:t>4,03E-05</w:t>
            </w:r>
          </w:p>
        </w:tc>
        <w:tc>
          <w:tcPr>
            <w:tcW w:w="1984" w:type="dxa"/>
            <w:vAlign w:val="bottom"/>
          </w:tcPr>
          <w:p w14:paraId="7B810DB7" w14:textId="1EE20D9B" w:rsidR="00934A09" w:rsidRPr="00275290" w:rsidRDefault="00934A09" w:rsidP="009D4550">
            <w:pPr>
              <w:rPr>
                <w:rFonts w:cs="Arial"/>
                <w:color w:val="000000"/>
              </w:rPr>
            </w:pPr>
            <w:r>
              <w:rPr>
                <w:rFonts w:ascii="Calibri" w:hAnsi="Calibri" w:cs="Calibri"/>
                <w:color w:val="000000"/>
                <w:sz w:val="22"/>
                <w:szCs w:val="22"/>
              </w:rPr>
              <w:t>1.23E-02</w:t>
            </w:r>
          </w:p>
        </w:tc>
      </w:tr>
      <w:tr w:rsidR="00934A09" w:rsidRPr="00275290" w14:paraId="2C13368D" w14:textId="77777777" w:rsidTr="00B7552D">
        <w:trPr>
          <w:cantSplit/>
        </w:trPr>
        <w:tc>
          <w:tcPr>
            <w:tcW w:w="2518" w:type="dxa"/>
            <w:vMerge w:val="restart"/>
            <w:vAlign w:val="center"/>
          </w:tcPr>
          <w:p w14:paraId="6760A3A2" w14:textId="77777777" w:rsidR="00934A09" w:rsidRPr="00275290" w:rsidRDefault="00934A09" w:rsidP="009D4550">
            <w:pPr>
              <w:rPr>
                <w:rFonts w:cs="Arial"/>
                <w:lang w:val="en-US"/>
              </w:rPr>
            </w:pPr>
            <w:r w:rsidRPr="00275290">
              <w:rPr>
                <w:rFonts w:cs="Arial"/>
                <w:lang w:val="en-US"/>
              </w:rPr>
              <w:t>Brushing + injecting (gloves and coated coverall during application and without PPE during cleaning)</w:t>
            </w:r>
          </w:p>
        </w:tc>
        <w:tc>
          <w:tcPr>
            <w:tcW w:w="1843" w:type="dxa"/>
            <w:vAlign w:val="center"/>
          </w:tcPr>
          <w:p w14:paraId="01727764" w14:textId="77777777" w:rsidR="00934A09" w:rsidRPr="00275290" w:rsidRDefault="00934A09" w:rsidP="009D4550">
            <w:pPr>
              <w:rPr>
                <w:rFonts w:cs="Arial"/>
                <w:lang w:val="en-US"/>
              </w:rPr>
            </w:pPr>
            <w:r w:rsidRPr="00275290">
              <w:rPr>
                <w:rFonts w:cs="Arial"/>
                <w:lang w:val="en-US"/>
              </w:rPr>
              <w:t>Cyperméthrine</w:t>
            </w:r>
          </w:p>
        </w:tc>
        <w:tc>
          <w:tcPr>
            <w:tcW w:w="1590" w:type="dxa"/>
            <w:vAlign w:val="bottom"/>
          </w:tcPr>
          <w:p w14:paraId="1F5ADC45" w14:textId="6130C3C8" w:rsidR="00934A09" w:rsidRPr="00275290" w:rsidRDefault="00934A09" w:rsidP="009D4550">
            <w:pPr>
              <w:rPr>
                <w:rFonts w:cs="Arial"/>
                <w:color w:val="000000"/>
              </w:rPr>
            </w:pPr>
            <w:r w:rsidRPr="00A61883">
              <w:rPr>
                <w:rFonts w:cs="Arial"/>
                <w:lang w:val="fr-FR"/>
              </w:rPr>
              <w:t>7.43E-03</w:t>
            </w:r>
          </w:p>
        </w:tc>
        <w:tc>
          <w:tcPr>
            <w:tcW w:w="1984" w:type="dxa"/>
            <w:vAlign w:val="center"/>
          </w:tcPr>
          <w:p w14:paraId="7BC10B98" w14:textId="77777777" w:rsidR="00934A09" w:rsidRPr="00275290" w:rsidRDefault="00934A09" w:rsidP="009D4550">
            <w:pPr>
              <w:rPr>
                <w:rFonts w:cs="Arial"/>
                <w:color w:val="000000"/>
              </w:rPr>
            </w:pPr>
            <w:r w:rsidRPr="00275290">
              <w:rPr>
                <w:rFonts w:cs="Arial"/>
                <w:color w:val="000000"/>
              </w:rPr>
              <w:t>3,28E-09</w:t>
            </w:r>
          </w:p>
        </w:tc>
        <w:tc>
          <w:tcPr>
            <w:tcW w:w="1984" w:type="dxa"/>
            <w:vAlign w:val="bottom"/>
          </w:tcPr>
          <w:p w14:paraId="37E6CB54" w14:textId="26D3ACA5" w:rsidR="00934A09" w:rsidRPr="00275290" w:rsidRDefault="00934A09" w:rsidP="009D4550">
            <w:pPr>
              <w:rPr>
                <w:rFonts w:cs="Arial"/>
                <w:color w:val="000000"/>
              </w:rPr>
            </w:pPr>
            <w:r>
              <w:rPr>
                <w:rFonts w:ascii="Calibri" w:hAnsi="Calibri" w:cs="Calibri"/>
                <w:color w:val="000000"/>
                <w:sz w:val="22"/>
                <w:szCs w:val="22"/>
              </w:rPr>
              <w:t>7.43E-03</w:t>
            </w:r>
          </w:p>
        </w:tc>
      </w:tr>
      <w:tr w:rsidR="00934A09" w:rsidRPr="00275290" w14:paraId="5987F73D" w14:textId="77777777" w:rsidTr="00B7552D">
        <w:trPr>
          <w:cantSplit/>
        </w:trPr>
        <w:tc>
          <w:tcPr>
            <w:tcW w:w="2518" w:type="dxa"/>
            <w:vMerge/>
            <w:vAlign w:val="center"/>
          </w:tcPr>
          <w:p w14:paraId="78207B50" w14:textId="77777777" w:rsidR="00934A09" w:rsidRPr="00275290" w:rsidRDefault="00934A09" w:rsidP="009D4550">
            <w:pPr>
              <w:rPr>
                <w:rFonts w:cs="Arial"/>
                <w:lang w:val="en-US"/>
              </w:rPr>
            </w:pPr>
          </w:p>
        </w:tc>
        <w:tc>
          <w:tcPr>
            <w:tcW w:w="1843" w:type="dxa"/>
            <w:vAlign w:val="center"/>
          </w:tcPr>
          <w:p w14:paraId="11279FD4" w14:textId="77777777" w:rsidR="00934A09" w:rsidRPr="00275290" w:rsidRDefault="00934A09" w:rsidP="009D4550">
            <w:pPr>
              <w:rPr>
                <w:rFonts w:cs="Arial"/>
                <w:lang w:val="en-US"/>
              </w:rPr>
            </w:pPr>
            <w:r w:rsidRPr="00275290">
              <w:rPr>
                <w:rFonts w:cs="Arial"/>
                <w:lang w:val="en-US"/>
              </w:rPr>
              <w:t>Propiconazole</w:t>
            </w:r>
          </w:p>
        </w:tc>
        <w:tc>
          <w:tcPr>
            <w:tcW w:w="1590" w:type="dxa"/>
            <w:vAlign w:val="bottom"/>
          </w:tcPr>
          <w:p w14:paraId="382B53EB" w14:textId="2192F961" w:rsidR="00934A09" w:rsidRPr="00275290" w:rsidRDefault="00934A09" w:rsidP="009D4550">
            <w:pPr>
              <w:rPr>
                <w:rFonts w:cs="Arial"/>
                <w:color w:val="000000"/>
              </w:rPr>
            </w:pPr>
            <w:r w:rsidRPr="00A61883">
              <w:rPr>
                <w:rFonts w:cs="Arial"/>
                <w:lang w:val="fr-FR"/>
              </w:rPr>
              <w:t>1.07E-02</w:t>
            </w:r>
          </w:p>
        </w:tc>
        <w:tc>
          <w:tcPr>
            <w:tcW w:w="1984" w:type="dxa"/>
            <w:vAlign w:val="center"/>
          </w:tcPr>
          <w:p w14:paraId="713F3848" w14:textId="77777777" w:rsidR="00934A09" w:rsidRPr="00275290" w:rsidRDefault="00934A09" w:rsidP="009D4550">
            <w:pPr>
              <w:rPr>
                <w:rFonts w:cs="Arial"/>
                <w:color w:val="000000"/>
              </w:rPr>
            </w:pPr>
            <w:r w:rsidRPr="00275290">
              <w:rPr>
                <w:rFonts w:cs="Arial"/>
                <w:color w:val="000000"/>
              </w:rPr>
              <w:t>1,60E-06</w:t>
            </w:r>
          </w:p>
        </w:tc>
        <w:tc>
          <w:tcPr>
            <w:tcW w:w="1984" w:type="dxa"/>
            <w:vAlign w:val="bottom"/>
          </w:tcPr>
          <w:p w14:paraId="215F2129" w14:textId="1E75C400" w:rsidR="00934A09" w:rsidRPr="00275290" w:rsidRDefault="00934A09" w:rsidP="009D4550">
            <w:pPr>
              <w:rPr>
                <w:rFonts w:cs="Arial"/>
                <w:color w:val="000000"/>
              </w:rPr>
            </w:pPr>
            <w:r>
              <w:rPr>
                <w:rFonts w:ascii="Calibri" w:hAnsi="Calibri" w:cs="Calibri"/>
                <w:color w:val="000000"/>
                <w:sz w:val="22"/>
                <w:szCs w:val="22"/>
              </w:rPr>
              <w:t>1.07E-02</w:t>
            </w:r>
          </w:p>
        </w:tc>
      </w:tr>
      <w:tr w:rsidR="00934A09" w:rsidRPr="00275290" w14:paraId="26725457" w14:textId="77777777" w:rsidTr="00B7552D">
        <w:trPr>
          <w:cantSplit/>
          <w:trHeight w:val="497"/>
        </w:trPr>
        <w:tc>
          <w:tcPr>
            <w:tcW w:w="2518" w:type="dxa"/>
            <w:vMerge/>
            <w:vAlign w:val="center"/>
          </w:tcPr>
          <w:p w14:paraId="5024B4BA" w14:textId="77777777" w:rsidR="00934A09" w:rsidRPr="00275290" w:rsidRDefault="00934A09" w:rsidP="009D4550">
            <w:pPr>
              <w:rPr>
                <w:rFonts w:cs="Arial"/>
                <w:lang w:val="fr-FR"/>
              </w:rPr>
            </w:pPr>
          </w:p>
        </w:tc>
        <w:tc>
          <w:tcPr>
            <w:tcW w:w="1843" w:type="dxa"/>
            <w:vAlign w:val="center"/>
          </w:tcPr>
          <w:p w14:paraId="2B362E0C" w14:textId="77777777" w:rsidR="00934A09" w:rsidRPr="00275290" w:rsidRDefault="00934A09" w:rsidP="009D4550">
            <w:pPr>
              <w:rPr>
                <w:rFonts w:cs="Arial"/>
                <w:lang w:val="fr-FR"/>
              </w:rPr>
            </w:pPr>
            <w:r w:rsidRPr="00275290">
              <w:rPr>
                <w:rFonts w:cs="Arial"/>
                <w:lang w:val="fr-FR"/>
              </w:rPr>
              <w:t>Tébuconazole</w:t>
            </w:r>
          </w:p>
        </w:tc>
        <w:tc>
          <w:tcPr>
            <w:tcW w:w="1590" w:type="dxa"/>
            <w:vAlign w:val="bottom"/>
          </w:tcPr>
          <w:p w14:paraId="58913A1B" w14:textId="26ECEB99" w:rsidR="00934A09" w:rsidRPr="00275290" w:rsidRDefault="00934A09" w:rsidP="009D4550">
            <w:pPr>
              <w:rPr>
                <w:rFonts w:cs="Arial"/>
                <w:color w:val="000000"/>
              </w:rPr>
            </w:pPr>
            <w:r w:rsidRPr="00A61883">
              <w:rPr>
                <w:rFonts w:cs="Arial"/>
                <w:lang w:val="fr-FR"/>
              </w:rPr>
              <w:t>4.12E-03</w:t>
            </w:r>
          </w:p>
        </w:tc>
        <w:tc>
          <w:tcPr>
            <w:tcW w:w="1984" w:type="dxa"/>
            <w:vAlign w:val="center"/>
          </w:tcPr>
          <w:p w14:paraId="566EFD0B" w14:textId="77777777" w:rsidR="00934A09" w:rsidRPr="00275290" w:rsidRDefault="00934A09" w:rsidP="009D4550">
            <w:pPr>
              <w:rPr>
                <w:rFonts w:cs="Arial"/>
                <w:color w:val="000000"/>
              </w:rPr>
            </w:pPr>
            <w:r w:rsidRPr="00275290">
              <w:rPr>
                <w:rFonts w:cs="Arial"/>
                <w:color w:val="000000"/>
              </w:rPr>
              <w:t>1,52E-08</w:t>
            </w:r>
          </w:p>
        </w:tc>
        <w:tc>
          <w:tcPr>
            <w:tcW w:w="1984" w:type="dxa"/>
            <w:vAlign w:val="bottom"/>
          </w:tcPr>
          <w:p w14:paraId="7AEE63A9" w14:textId="6A171DE1" w:rsidR="00934A09" w:rsidRPr="00275290" w:rsidRDefault="00934A09" w:rsidP="009D4550">
            <w:pPr>
              <w:rPr>
                <w:rFonts w:cs="Arial"/>
                <w:color w:val="000000"/>
              </w:rPr>
            </w:pPr>
            <w:r>
              <w:rPr>
                <w:rFonts w:ascii="Calibri" w:hAnsi="Calibri" w:cs="Calibri"/>
                <w:color w:val="000000"/>
                <w:sz w:val="22"/>
                <w:szCs w:val="22"/>
              </w:rPr>
              <w:t>4.12E-03</w:t>
            </w:r>
          </w:p>
        </w:tc>
      </w:tr>
      <w:tr w:rsidR="00934A09" w:rsidRPr="00275290" w14:paraId="4005782C" w14:textId="77777777" w:rsidTr="00B7552D">
        <w:trPr>
          <w:cantSplit/>
          <w:trHeight w:val="497"/>
        </w:trPr>
        <w:tc>
          <w:tcPr>
            <w:tcW w:w="2518" w:type="dxa"/>
            <w:vMerge/>
            <w:vAlign w:val="center"/>
          </w:tcPr>
          <w:p w14:paraId="0B1A5085" w14:textId="77777777" w:rsidR="00934A09" w:rsidRPr="00275290" w:rsidRDefault="00934A09" w:rsidP="009D4550">
            <w:pPr>
              <w:rPr>
                <w:rFonts w:cs="Arial"/>
                <w:lang w:val="fr-FR"/>
              </w:rPr>
            </w:pPr>
          </w:p>
        </w:tc>
        <w:tc>
          <w:tcPr>
            <w:tcW w:w="1843" w:type="dxa"/>
            <w:vAlign w:val="center"/>
          </w:tcPr>
          <w:p w14:paraId="0B8FB9AA" w14:textId="77777777" w:rsidR="00934A09" w:rsidRPr="00275290" w:rsidRDefault="00934A09" w:rsidP="009D4550">
            <w:pPr>
              <w:rPr>
                <w:rFonts w:cs="Arial"/>
                <w:lang w:val="fr-FR"/>
              </w:rPr>
            </w:pPr>
            <w:r w:rsidRPr="00275290">
              <w:rPr>
                <w:rFonts w:cs="Arial"/>
                <w:lang w:val="fr-FR"/>
              </w:rPr>
              <w:t>IPBC</w:t>
            </w:r>
          </w:p>
        </w:tc>
        <w:tc>
          <w:tcPr>
            <w:tcW w:w="1590" w:type="dxa"/>
            <w:vAlign w:val="bottom"/>
          </w:tcPr>
          <w:p w14:paraId="23D25CD7" w14:textId="13E21DA7" w:rsidR="00934A09" w:rsidRPr="00275290" w:rsidRDefault="00934A09" w:rsidP="009D4550">
            <w:pPr>
              <w:rPr>
                <w:rFonts w:cs="Arial"/>
                <w:color w:val="000000"/>
              </w:rPr>
            </w:pPr>
            <w:r w:rsidRPr="00A61883">
              <w:rPr>
                <w:rFonts w:cs="Arial"/>
                <w:lang w:val="fr-FR"/>
              </w:rPr>
              <w:t>9.52E-03</w:t>
            </w:r>
          </w:p>
        </w:tc>
        <w:tc>
          <w:tcPr>
            <w:tcW w:w="1984" w:type="dxa"/>
            <w:vAlign w:val="center"/>
          </w:tcPr>
          <w:p w14:paraId="584072C7" w14:textId="77777777" w:rsidR="00934A09" w:rsidRPr="00275290" w:rsidRDefault="00934A09" w:rsidP="009D4550">
            <w:pPr>
              <w:rPr>
                <w:rFonts w:cs="Arial"/>
                <w:color w:val="000000"/>
              </w:rPr>
            </w:pPr>
            <w:r w:rsidRPr="00275290">
              <w:rPr>
                <w:rFonts w:cs="Arial"/>
                <w:color w:val="000000"/>
              </w:rPr>
              <w:t>4,03E-05</w:t>
            </w:r>
          </w:p>
        </w:tc>
        <w:tc>
          <w:tcPr>
            <w:tcW w:w="1984" w:type="dxa"/>
            <w:vAlign w:val="bottom"/>
          </w:tcPr>
          <w:p w14:paraId="3B8031DB" w14:textId="64984C22" w:rsidR="00934A09" w:rsidRPr="00275290" w:rsidRDefault="00934A09" w:rsidP="009D4550">
            <w:pPr>
              <w:rPr>
                <w:rFonts w:cs="Arial"/>
                <w:color w:val="000000"/>
              </w:rPr>
            </w:pPr>
            <w:r>
              <w:rPr>
                <w:rFonts w:ascii="Calibri" w:hAnsi="Calibri" w:cs="Calibri"/>
                <w:color w:val="000000"/>
                <w:sz w:val="22"/>
                <w:szCs w:val="22"/>
              </w:rPr>
              <w:t>9.56E-03</w:t>
            </w:r>
          </w:p>
        </w:tc>
      </w:tr>
      <w:tr w:rsidR="00934A09" w:rsidRPr="00275290" w14:paraId="725B8100" w14:textId="77777777" w:rsidTr="00B7552D">
        <w:trPr>
          <w:cantSplit/>
        </w:trPr>
        <w:tc>
          <w:tcPr>
            <w:tcW w:w="2518" w:type="dxa"/>
            <w:vMerge w:val="restart"/>
            <w:vAlign w:val="center"/>
          </w:tcPr>
          <w:p w14:paraId="2CE0131E" w14:textId="77777777" w:rsidR="00934A09" w:rsidRPr="00275290" w:rsidRDefault="00934A09" w:rsidP="009D4550">
            <w:pPr>
              <w:rPr>
                <w:rFonts w:cs="Arial"/>
                <w:lang w:val="en-US"/>
              </w:rPr>
            </w:pPr>
            <w:r w:rsidRPr="00275290">
              <w:rPr>
                <w:rFonts w:cs="Arial"/>
                <w:lang w:val="en-US"/>
              </w:rPr>
              <w:t>Spraying + injecting</w:t>
            </w:r>
          </w:p>
          <w:p w14:paraId="2B4A254A" w14:textId="77777777" w:rsidR="00934A09" w:rsidRPr="00275290" w:rsidRDefault="00934A09" w:rsidP="009D4550">
            <w:pPr>
              <w:rPr>
                <w:rFonts w:cs="Arial"/>
                <w:lang w:val="en-US"/>
              </w:rPr>
            </w:pPr>
            <w:r w:rsidRPr="00275290">
              <w:rPr>
                <w:rFonts w:cs="Arial"/>
                <w:lang w:val="en-US"/>
              </w:rPr>
              <w:t xml:space="preserve">(gloves and impermeable coverall </w:t>
            </w:r>
            <w:r w:rsidRPr="00275290">
              <w:rPr>
                <w:rFonts w:cs="Arial"/>
                <w:lang w:val="en-US"/>
              </w:rPr>
              <w:lastRenderedPageBreak/>
              <w:t>during spraying and gloves and coated coverall during cleaning)</w:t>
            </w:r>
          </w:p>
        </w:tc>
        <w:tc>
          <w:tcPr>
            <w:tcW w:w="1843" w:type="dxa"/>
            <w:vAlign w:val="center"/>
          </w:tcPr>
          <w:p w14:paraId="568554FC" w14:textId="77777777" w:rsidR="00934A09" w:rsidRPr="00275290" w:rsidRDefault="00934A09" w:rsidP="009D4550">
            <w:pPr>
              <w:rPr>
                <w:rFonts w:cs="Arial"/>
                <w:lang w:val="fr-FR"/>
              </w:rPr>
            </w:pPr>
            <w:r w:rsidRPr="00275290">
              <w:rPr>
                <w:rFonts w:cs="Arial"/>
                <w:lang w:val="fr-FR"/>
              </w:rPr>
              <w:lastRenderedPageBreak/>
              <w:t>Cyperméthrine</w:t>
            </w:r>
          </w:p>
        </w:tc>
        <w:tc>
          <w:tcPr>
            <w:tcW w:w="1590" w:type="dxa"/>
            <w:vAlign w:val="bottom"/>
          </w:tcPr>
          <w:p w14:paraId="541A1DDD" w14:textId="41ADA498" w:rsidR="00934A09" w:rsidRPr="00275290" w:rsidRDefault="00934A09" w:rsidP="009D4550">
            <w:pPr>
              <w:rPr>
                <w:rFonts w:cs="Arial"/>
                <w:color w:val="000000"/>
              </w:rPr>
            </w:pPr>
            <w:r w:rsidRPr="00932144">
              <w:rPr>
                <w:rFonts w:cs="Arial"/>
                <w:lang w:val="fr-FR"/>
              </w:rPr>
              <w:t>1.38E-02</w:t>
            </w:r>
          </w:p>
        </w:tc>
        <w:tc>
          <w:tcPr>
            <w:tcW w:w="1984" w:type="dxa"/>
            <w:vAlign w:val="center"/>
          </w:tcPr>
          <w:p w14:paraId="08F88AB8" w14:textId="77777777" w:rsidR="00934A09" w:rsidRPr="00275290" w:rsidRDefault="00934A09" w:rsidP="009D4550">
            <w:pPr>
              <w:rPr>
                <w:rFonts w:cs="Arial"/>
                <w:color w:val="000000"/>
              </w:rPr>
            </w:pPr>
            <w:r w:rsidRPr="00275290">
              <w:rPr>
                <w:rFonts w:cs="Arial"/>
                <w:color w:val="000000"/>
              </w:rPr>
              <w:t>3,28E-09</w:t>
            </w:r>
          </w:p>
        </w:tc>
        <w:tc>
          <w:tcPr>
            <w:tcW w:w="1984" w:type="dxa"/>
            <w:vAlign w:val="bottom"/>
          </w:tcPr>
          <w:p w14:paraId="41EE69BE" w14:textId="3D9038CE" w:rsidR="00934A09" w:rsidRPr="00275290" w:rsidRDefault="00934A09" w:rsidP="009D4550">
            <w:pPr>
              <w:rPr>
                <w:rFonts w:cs="Arial"/>
                <w:color w:val="000000"/>
              </w:rPr>
            </w:pPr>
            <w:r>
              <w:rPr>
                <w:rFonts w:ascii="Calibri" w:hAnsi="Calibri" w:cs="Calibri"/>
                <w:color w:val="000000"/>
                <w:sz w:val="22"/>
                <w:szCs w:val="22"/>
              </w:rPr>
              <w:t>1.38E-02</w:t>
            </w:r>
          </w:p>
        </w:tc>
      </w:tr>
      <w:tr w:rsidR="00934A09" w:rsidRPr="00275290" w14:paraId="0E66B375" w14:textId="77777777" w:rsidTr="00B7552D">
        <w:trPr>
          <w:cantSplit/>
        </w:trPr>
        <w:tc>
          <w:tcPr>
            <w:tcW w:w="2518" w:type="dxa"/>
            <w:vMerge/>
            <w:vAlign w:val="center"/>
          </w:tcPr>
          <w:p w14:paraId="3B70DB2E" w14:textId="77777777" w:rsidR="00934A09" w:rsidRPr="00275290" w:rsidRDefault="00934A09" w:rsidP="009D4550">
            <w:pPr>
              <w:rPr>
                <w:rFonts w:cs="Arial"/>
                <w:lang w:val="fr-FR"/>
              </w:rPr>
            </w:pPr>
          </w:p>
        </w:tc>
        <w:tc>
          <w:tcPr>
            <w:tcW w:w="1843" w:type="dxa"/>
            <w:vAlign w:val="center"/>
          </w:tcPr>
          <w:p w14:paraId="7395490D" w14:textId="77777777" w:rsidR="00934A09" w:rsidRPr="00275290" w:rsidRDefault="00934A09" w:rsidP="009D4550">
            <w:pPr>
              <w:rPr>
                <w:rFonts w:cs="Arial"/>
                <w:lang w:val="fr-FR"/>
              </w:rPr>
            </w:pPr>
            <w:r w:rsidRPr="00275290">
              <w:rPr>
                <w:rFonts w:cs="Arial"/>
                <w:lang w:val="fr-FR"/>
              </w:rPr>
              <w:t>Propiconazole</w:t>
            </w:r>
          </w:p>
        </w:tc>
        <w:tc>
          <w:tcPr>
            <w:tcW w:w="1590" w:type="dxa"/>
            <w:vAlign w:val="bottom"/>
          </w:tcPr>
          <w:p w14:paraId="412073A8" w14:textId="60E00BA7" w:rsidR="00934A09" w:rsidRPr="00275290" w:rsidRDefault="00934A09" w:rsidP="009D4550">
            <w:pPr>
              <w:rPr>
                <w:rFonts w:cs="Arial"/>
                <w:color w:val="000000"/>
              </w:rPr>
            </w:pPr>
            <w:r>
              <w:rPr>
                <w:rFonts w:cs="Arial"/>
                <w:lang w:val="fr-FR"/>
              </w:rPr>
              <w:t>2.10</w:t>
            </w:r>
            <w:r w:rsidRPr="00932144">
              <w:rPr>
                <w:rFonts w:cs="Arial"/>
                <w:lang w:val="fr-FR"/>
              </w:rPr>
              <w:t>E-02</w:t>
            </w:r>
          </w:p>
        </w:tc>
        <w:tc>
          <w:tcPr>
            <w:tcW w:w="1984" w:type="dxa"/>
            <w:vAlign w:val="center"/>
          </w:tcPr>
          <w:p w14:paraId="1501B84B" w14:textId="77777777" w:rsidR="00934A09" w:rsidRPr="00275290" w:rsidRDefault="00934A09" w:rsidP="009D4550">
            <w:pPr>
              <w:rPr>
                <w:rFonts w:cs="Arial"/>
                <w:color w:val="000000"/>
              </w:rPr>
            </w:pPr>
            <w:r w:rsidRPr="00275290">
              <w:rPr>
                <w:rFonts w:cs="Arial"/>
                <w:color w:val="000000"/>
              </w:rPr>
              <w:t>1,60E-06</w:t>
            </w:r>
          </w:p>
        </w:tc>
        <w:tc>
          <w:tcPr>
            <w:tcW w:w="1984" w:type="dxa"/>
            <w:vAlign w:val="bottom"/>
          </w:tcPr>
          <w:p w14:paraId="7E07DAED" w14:textId="0E2BF730" w:rsidR="00934A09" w:rsidRPr="00275290" w:rsidRDefault="00934A09" w:rsidP="009D4550">
            <w:pPr>
              <w:rPr>
                <w:rFonts w:cs="Arial"/>
                <w:color w:val="000000"/>
              </w:rPr>
            </w:pPr>
            <w:r>
              <w:rPr>
                <w:rFonts w:ascii="Calibri" w:hAnsi="Calibri" w:cs="Calibri"/>
                <w:color w:val="000000"/>
                <w:sz w:val="22"/>
                <w:szCs w:val="22"/>
              </w:rPr>
              <w:t>2.10E-02</w:t>
            </w:r>
          </w:p>
        </w:tc>
      </w:tr>
      <w:tr w:rsidR="00934A09" w:rsidRPr="00275290" w14:paraId="1D4C22CE" w14:textId="77777777" w:rsidTr="00B7552D">
        <w:trPr>
          <w:cantSplit/>
        </w:trPr>
        <w:tc>
          <w:tcPr>
            <w:tcW w:w="2518" w:type="dxa"/>
            <w:vMerge/>
            <w:vAlign w:val="center"/>
          </w:tcPr>
          <w:p w14:paraId="14FF3EA3" w14:textId="77777777" w:rsidR="00934A09" w:rsidRPr="00275290" w:rsidRDefault="00934A09" w:rsidP="009D4550">
            <w:pPr>
              <w:rPr>
                <w:rFonts w:cs="Arial"/>
                <w:lang w:val="fr-FR"/>
              </w:rPr>
            </w:pPr>
          </w:p>
        </w:tc>
        <w:tc>
          <w:tcPr>
            <w:tcW w:w="1843" w:type="dxa"/>
            <w:vAlign w:val="center"/>
          </w:tcPr>
          <w:p w14:paraId="1F12B05C" w14:textId="77777777" w:rsidR="00934A09" w:rsidRPr="00275290" w:rsidRDefault="00934A09" w:rsidP="009D4550">
            <w:pPr>
              <w:rPr>
                <w:rFonts w:cs="Arial"/>
                <w:lang w:val="fr-FR"/>
              </w:rPr>
            </w:pPr>
            <w:r w:rsidRPr="00275290">
              <w:rPr>
                <w:rFonts w:cs="Arial"/>
                <w:lang w:val="fr-FR"/>
              </w:rPr>
              <w:t>Tébuconazole</w:t>
            </w:r>
          </w:p>
        </w:tc>
        <w:tc>
          <w:tcPr>
            <w:tcW w:w="1590" w:type="dxa"/>
            <w:vAlign w:val="bottom"/>
          </w:tcPr>
          <w:p w14:paraId="2B04754B" w14:textId="47B6A708" w:rsidR="00934A09" w:rsidRPr="00275290" w:rsidRDefault="00934A09" w:rsidP="009D4550">
            <w:pPr>
              <w:rPr>
                <w:rFonts w:cs="Arial"/>
                <w:color w:val="000000"/>
              </w:rPr>
            </w:pPr>
            <w:r>
              <w:rPr>
                <w:rFonts w:cs="Arial"/>
                <w:lang w:val="fr-FR"/>
              </w:rPr>
              <w:t>7.60</w:t>
            </w:r>
            <w:r w:rsidRPr="00932144">
              <w:rPr>
                <w:rFonts w:cs="Arial"/>
                <w:lang w:val="fr-FR"/>
              </w:rPr>
              <w:t>E-03</w:t>
            </w:r>
          </w:p>
        </w:tc>
        <w:tc>
          <w:tcPr>
            <w:tcW w:w="1984" w:type="dxa"/>
            <w:vAlign w:val="center"/>
          </w:tcPr>
          <w:p w14:paraId="651476BD" w14:textId="77777777" w:rsidR="00934A09" w:rsidRPr="00275290" w:rsidRDefault="00934A09" w:rsidP="009D4550">
            <w:pPr>
              <w:rPr>
                <w:rFonts w:cs="Arial"/>
                <w:color w:val="000000"/>
              </w:rPr>
            </w:pPr>
            <w:r w:rsidRPr="00275290">
              <w:rPr>
                <w:rFonts w:cs="Arial"/>
                <w:color w:val="000000"/>
              </w:rPr>
              <w:t>1,52E-08</w:t>
            </w:r>
          </w:p>
        </w:tc>
        <w:tc>
          <w:tcPr>
            <w:tcW w:w="1984" w:type="dxa"/>
            <w:vAlign w:val="bottom"/>
          </w:tcPr>
          <w:p w14:paraId="5D1C2F36" w14:textId="4532B965" w:rsidR="00934A09" w:rsidRPr="00275290" w:rsidRDefault="00934A09" w:rsidP="009D4550">
            <w:pPr>
              <w:rPr>
                <w:rFonts w:cs="Arial"/>
                <w:color w:val="000000"/>
              </w:rPr>
            </w:pPr>
            <w:r>
              <w:rPr>
                <w:rFonts w:ascii="Calibri" w:hAnsi="Calibri" w:cs="Calibri"/>
                <w:color w:val="000000"/>
                <w:sz w:val="22"/>
                <w:szCs w:val="22"/>
              </w:rPr>
              <w:t>7.60E-03</w:t>
            </w:r>
          </w:p>
        </w:tc>
      </w:tr>
      <w:tr w:rsidR="00934A09" w:rsidRPr="00275290" w14:paraId="107B863B" w14:textId="77777777" w:rsidTr="00B7552D">
        <w:trPr>
          <w:cantSplit/>
        </w:trPr>
        <w:tc>
          <w:tcPr>
            <w:tcW w:w="2518" w:type="dxa"/>
            <w:vMerge/>
            <w:vAlign w:val="center"/>
          </w:tcPr>
          <w:p w14:paraId="0CDFF9CD" w14:textId="77777777" w:rsidR="00934A09" w:rsidRPr="00275290" w:rsidRDefault="00934A09" w:rsidP="009D4550">
            <w:pPr>
              <w:rPr>
                <w:rFonts w:cs="Arial"/>
                <w:lang w:val="fr-FR"/>
              </w:rPr>
            </w:pPr>
          </w:p>
        </w:tc>
        <w:tc>
          <w:tcPr>
            <w:tcW w:w="1843" w:type="dxa"/>
            <w:vAlign w:val="center"/>
          </w:tcPr>
          <w:p w14:paraId="077EF376" w14:textId="77777777" w:rsidR="00934A09" w:rsidRPr="00275290" w:rsidRDefault="00934A09" w:rsidP="009D4550">
            <w:pPr>
              <w:rPr>
                <w:rFonts w:cs="Arial"/>
                <w:lang w:val="fr-FR"/>
              </w:rPr>
            </w:pPr>
            <w:r w:rsidRPr="00275290">
              <w:rPr>
                <w:rFonts w:cs="Arial"/>
                <w:lang w:val="fr-FR"/>
              </w:rPr>
              <w:t>IPBC</w:t>
            </w:r>
          </w:p>
        </w:tc>
        <w:tc>
          <w:tcPr>
            <w:tcW w:w="1590" w:type="dxa"/>
            <w:vAlign w:val="bottom"/>
          </w:tcPr>
          <w:p w14:paraId="2C4E9C02" w14:textId="45FF2937" w:rsidR="00934A09" w:rsidRPr="00275290" w:rsidRDefault="00934A09" w:rsidP="009D4550">
            <w:pPr>
              <w:rPr>
                <w:rFonts w:cs="Arial"/>
                <w:color w:val="000000"/>
              </w:rPr>
            </w:pPr>
            <w:r w:rsidRPr="00932144">
              <w:rPr>
                <w:rFonts w:cs="Arial"/>
                <w:lang w:val="fr-FR"/>
              </w:rPr>
              <w:t>1.</w:t>
            </w:r>
            <w:r>
              <w:rPr>
                <w:rFonts w:cs="Arial"/>
                <w:lang w:val="fr-FR"/>
              </w:rPr>
              <w:t>67</w:t>
            </w:r>
            <w:r w:rsidRPr="00932144">
              <w:rPr>
                <w:rFonts w:cs="Arial"/>
                <w:lang w:val="fr-FR"/>
              </w:rPr>
              <w:t>E-02</w:t>
            </w:r>
          </w:p>
        </w:tc>
        <w:tc>
          <w:tcPr>
            <w:tcW w:w="1984" w:type="dxa"/>
            <w:vAlign w:val="center"/>
          </w:tcPr>
          <w:p w14:paraId="5EC3BDA9" w14:textId="77777777" w:rsidR="00934A09" w:rsidRPr="00275290" w:rsidRDefault="00934A09" w:rsidP="009D4550">
            <w:pPr>
              <w:rPr>
                <w:rFonts w:cs="Arial"/>
                <w:color w:val="000000"/>
              </w:rPr>
            </w:pPr>
            <w:r w:rsidRPr="00275290">
              <w:rPr>
                <w:rFonts w:cs="Arial"/>
                <w:color w:val="000000"/>
              </w:rPr>
              <w:t>4,03E-05</w:t>
            </w:r>
          </w:p>
        </w:tc>
        <w:tc>
          <w:tcPr>
            <w:tcW w:w="1984" w:type="dxa"/>
            <w:vAlign w:val="bottom"/>
          </w:tcPr>
          <w:p w14:paraId="164FDA6F" w14:textId="68DCEE6E" w:rsidR="00934A09" w:rsidRPr="00275290" w:rsidRDefault="00934A09" w:rsidP="009D4550">
            <w:pPr>
              <w:rPr>
                <w:rFonts w:cs="Arial"/>
                <w:color w:val="000000"/>
              </w:rPr>
            </w:pPr>
            <w:r>
              <w:rPr>
                <w:rFonts w:ascii="Calibri" w:hAnsi="Calibri" w:cs="Calibri"/>
                <w:color w:val="000000"/>
                <w:sz w:val="22"/>
                <w:szCs w:val="22"/>
              </w:rPr>
              <w:t>1.67E-02</w:t>
            </w:r>
          </w:p>
        </w:tc>
      </w:tr>
    </w:tbl>
    <w:p w14:paraId="6DD937DC" w14:textId="77777777" w:rsidR="009D4550" w:rsidRPr="00275290" w:rsidRDefault="009D4550" w:rsidP="009D4550">
      <w:pPr>
        <w:rPr>
          <w:rFonts w:cs="Arial"/>
        </w:rPr>
      </w:pPr>
    </w:p>
    <w:p w14:paraId="4140D621" w14:textId="77777777" w:rsidR="009D4550" w:rsidRPr="00275290" w:rsidRDefault="009D4550" w:rsidP="009D4550">
      <w:pPr>
        <w:rPr>
          <w:rFonts w:cs="Arial"/>
        </w:rPr>
      </w:pPr>
    </w:p>
    <w:p w14:paraId="6F637658" w14:textId="77777777" w:rsidR="009D4550" w:rsidRPr="00275290" w:rsidRDefault="009D4550" w:rsidP="009D4550">
      <w:pPr>
        <w:rPr>
          <w:rFonts w:cs="Arial"/>
          <w:lang w:val="en-US"/>
        </w:rPr>
      </w:pPr>
      <w:r w:rsidRPr="00275290">
        <w:rPr>
          <w:rFonts w:cs="Arial"/>
          <w:b/>
          <w:u w:val="single"/>
          <w:lang w:val="en-US"/>
        </w:rPr>
        <w:t>Infant combined exposure (chronic exposure scenario)</w:t>
      </w:r>
    </w:p>
    <w:p w14:paraId="55BFFD50" w14:textId="77777777" w:rsidR="009D4550" w:rsidRPr="00275290" w:rsidRDefault="009D4550" w:rsidP="009D455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4"/>
        <w:gridCol w:w="1984"/>
        <w:gridCol w:w="1984"/>
      </w:tblGrid>
      <w:tr w:rsidR="009D4550" w:rsidRPr="00275290" w14:paraId="5C2F06CC" w14:textId="77777777" w:rsidTr="0047648E">
        <w:tc>
          <w:tcPr>
            <w:tcW w:w="1984" w:type="dxa"/>
            <w:vAlign w:val="center"/>
          </w:tcPr>
          <w:p w14:paraId="4165BCE8"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984" w:type="dxa"/>
            <w:vAlign w:val="center"/>
          </w:tcPr>
          <w:p w14:paraId="770CD7C3" w14:textId="77777777" w:rsidR="009D4550" w:rsidRPr="00275290" w:rsidRDefault="009D4550" w:rsidP="009D4550">
            <w:pPr>
              <w:autoSpaceDE w:val="0"/>
              <w:autoSpaceDN w:val="0"/>
              <w:adjustRightInd w:val="0"/>
              <w:spacing w:before="60" w:after="60"/>
              <w:rPr>
                <w:rFonts w:cs="Arial"/>
              </w:rPr>
            </w:pPr>
            <w:r w:rsidRPr="00275290">
              <w:rPr>
                <w:rFonts w:cs="Arial"/>
              </w:rPr>
              <w:t xml:space="preserve">Infant playing on a wood strucure + mouthing </w:t>
            </w:r>
          </w:p>
          <w:p w14:paraId="42BE389E" w14:textId="77777777" w:rsidR="009D4550" w:rsidRPr="00275290" w:rsidRDefault="009D4550" w:rsidP="009D4550">
            <w:pPr>
              <w:autoSpaceDE w:val="0"/>
              <w:autoSpaceDN w:val="0"/>
              <w:adjustRightInd w:val="0"/>
              <w:spacing w:before="60" w:after="60"/>
              <w:rPr>
                <w:rFonts w:cs="Arial"/>
              </w:rPr>
            </w:pPr>
            <w:r w:rsidRPr="00275290">
              <w:rPr>
                <w:rFonts w:cs="Arial"/>
              </w:rPr>
              <w:t>(mg/kg bw/d)</w:t>
            </w:r>
          </w:p>
        </w:tc>
        <w:tc>
          <w:tcPr>
            <w:tcW w:w="1984" w:type="dxa"/>
            <w:vAlign w:val="center"/>
          </w:tcPr>
          <w:p w14:paraId="168EEB14" w14:textId="2CAAEDD7" w:rsidR="009D4550" w:rsidRPr="00275290" w:rsidRDefault="009D4550" w:rsidP="009D4550">
            <w:pPr>
              <w:rPr>
                <w:rFonts w:cs="Arial"/>
                <w:lang w:val="en-US"/>
              </w:rPr>
            </w:pPr>
            <w:r w:rsidRPr="00275290">
              <w:rPr>
                <w:rFonts w:cs="Arial"/>
                <w:lang w:val="en-US"/>
              </w:rPr>
              <w:t>Secondary exposure (inhalation of volatil</w:t>
            </w:r>
            <w:r w:rsidR="00435032">
              <w:rPr>
                <w:rFonts w:cs="Arial"/>
                <w:lang w:val="en-US"/>
              </w:rPr>
              <w:t>i</w:t>
            </w:r>
            <w:r w:rsidRPr="00275290">
              <w:rPr>
                <w:rFonts w:cs="Arial"/>
                <w:lang w:val="en-US"/>
              </w:rPr>
              <w:t>zed residues)</w:t>
            </w:r>
          </w:p>
          <w:p w14:paraId="03DD2467" w14:textId="77777777" w:rsidR="009D4550" w:rsidRPr="00275290" w:rsidRDefault="009D4550" w:rsidP="009D4550">
            <w:pPr>
              <w:rPr>
                <w:rFonts w:cs="Arial"/>
                <w:lang w:val="en-US"/>
              </w:rPr>
            </w:pPr>
            <w:r w:rsidRPr="00275290">
              <w:rPr>
                <w:rFonts w:cs="Arial"/>
                <w:lang w:val="en-US"/>
              </w:rPr>
              <w:t>(mg/kg bw/d)</w:t>
            </w:r>
          </w:p>
        </w:tc>
        <w:tc>
          <w:tcPr>
            <w:tcW w:w="1984" w:type="dxa"/>
            <w:vAlign w:val="center"/>
          </w:tcPr>
          <w:p w14:paraId="55CA377E" w14:textId="77777777" w:rsidR="009D4550" w:rsidRPr="00275290" w:rsidRDefault="009D4550" w:rsidP="009D4550">
            <w:pPr>
              <w:rPr>
                <w:rFonts w:cs="Arial"/>
                <w:lang w:val="en-US"/>
              </w:rPr>
            </w:pPr>
            <w:r w:rsidRPr="00275290">
              <w:rPr>
                <w:rFonts w:cs="Arial"/>
                <w:lang w:val="en-US"/>
              </w:rPr>
              <w:t>Total exposure</w:t>
            </w:r>
          </w:p>
          <w:p w14:paraId="49BFBFD4" w14:textId="77777777" w:rsidR="009D4550" w:rsidRPr="00275290" w:rsidRDefault="009D4550" w:rsidP="009D4550">
            <w:pPr>
              <w:rPr>
                <w:rFonts w:cs="Arial"/>
                <w:lang w:val="en-US"/>
              </w:rPr>
            </w:pPr>
            <w:r w:rsidRPr="00275290">
              <w:rPr>
                <w:rFonts w:cs="Arial"/>
                <w:lang w:val="en-US"/>
              </w:rPr>
              <w:t>(mg/kg bw/d)</w:t>
            </w:r>
          </w:p>
        </w:tc>
      </w:tr>
      <w:tr w:rsidR="009D4550" w:rsidRPr="00275290" w14:paraId="4274D793" w14:textId="77777777" w:rsidTr="0047648E">
        <w:tc>
          <w:tcPr>
            <w:tcW w:w="1984" w:type="dxa"/>
            <w:vAlign w:val="center"/>
          </w:tcPr>
          <w:p w14:paraId="1324B7B3" w14:textId="77777777" w:rsidR="009D4550" w:rsidRPr="00275290" w:rsidRDefault="009D4550" w:rsidP="009D4550">
            <w:pPr>
              <w:rPr>
                <w:rFonts w:cs="Arial"/>
                <w:lang w:val="en-US"/>
              </w:rPr>
            </w:pPr>
            <w:r w:rsidRPr="00275290">
              <w:rPr>
                <w:rFonts w:cs="Arial"/>
                <w:lang w:val="en-US"/>
              </w:rPr>
              <w:t>Cyperméthrine</w:t>
            </w:r>
          </w:p>
        </w:tc>
        <w:tc>
          <w:tcPr>
            <w:tcW w:w="1984" w:type="dxa"/>
            <w:vAlign w:val="center"/>
          </w:tcPr>
          <w:p w14:paraId="02A7FD9C" w14:textId="77777777" w:rsidR="009D4550" w:rsidRPr="00275290" w:rsidRDefault="009D4550" w:rsidP="009D4550">
            <w:pPr>
              <w:rPr>
                <w:rFonts w:cs="Arial"/>
                <w:color w:val="000000"/>
              </w:rPr>
            </w:pPr>
            <w:r w:rsidRPr="00275290">
              <w:rPr>
                <w:rFonts w:cs="Arial"/>
                <w:color w:val="000000"/>
              </w:rPr>
              <w:t>4,58E-03</w:t>
            </w:r>
          </w:p>
        </w:tc>
        <w:tc>
          <w:tcPr>
            <w:tcW w:w="1984" w:type="dxa"/>
            <w:vAlign w:val="center"/>
          </w:tcPr>
          <w:p w14:paraId="01B90A44" w14:textId="56678ACC" w:rsidR="009D4550" w:rsidRPr="00275290" w:rsidRDefault="009D4550" w:rsidP="009D4550">
            <w:pPr>
              <w:rPr>
                <w:rFonts w:cs="Arial"/>
                <w:color w:val="000000"/>
              </w:rPr>
            </w:pPr>
            <w:r w:rsidRPr="00275290">
              <w:rPr>
                <w:rFonts w:cs="Arial"/>
                <w:color w:val="000000"/>
              </w:rPr>
              <w:t>6,64E-09</w:t>
            </w:r>
          </w:p>
        </w:tc>
        <w:tc>
          <w:tcPr>
            <w:tcW w:w="1984" w:type="dxa"/>
            <w:vAlign w:val="center"/>
          </w:tcPr>
          <w:p w14:paraId="32CB75D9" w14:textId="77777777" w:rsidR="009D4550" w:rsidRPr="00275290" w:rsidRDefault="009D4550" w:rsidP="009D4550">
            <w:pPr>
              <w:rPr>
                <w:rFonts w:cs="Arial"/>
                <w:color w:val="000000"/>
              </w:rPr>
            </w:pPr>
            <w:r w:rsidRPr="00275290">
              <w:rPr>
                <w:rFonts w:cs="Arial"/>
                <w:color w:val="000000"/>
              </w:rPr>
              <w:t>4,58E-03</w:t>
            </w:r>
          </w:p>
        </w:tc>
      </w:tr>
      <w:tr w:rsidR="009D4550" w:rsidRPr="00275290" w14:paraId="79D65098" w14:textId="77777777" w:rsidTr="0047648E">
        <w:tc>
          <w:tcPr>
            <w:tcW w:w="1984" w:type="dxa"/>
            <w:vAlign w:val="center"/>
          </w:tcPr>
          <w:p w14:paraId="177EFB1F" w14:textId="77777777" w:rsidR="009D4550" w:rsidRPr="00275290" w:rsidRDefault="009D4550" w:rsidP="009D4550">
            <w:pPr>
              <w:rPr>
                <w:rFonts w:cs="Arial"/>
                <w:lang w:val="fr-FR"/>
              </w:rPr>
            </w:pPr>
            <w:r w:rsidRPr="00275290">
              <w:rPr>
                <w:rFonts w:cs="Arial"/>
                <w:lang w:val="fr-FR"/>
              </w:rPr>
              <w:t>Propiconazole</w:t>
            </w:r>
          </w:p>
        </w:tc>
        <w:tc>
          <w:tcPr>
            <w:tcW w:w="1984" w:type="dxa"/>
            <w:vAlign w:val="center"/>
          </w:tcPr>
          <w:p w14:paraId="7D748A22" w14:textId="77777777" w:rsidR="009D4550" w:rsidRPr="00275290" w:rsidRDefault="009D4550" w:rsidP="009D4550">
            <w:pPr>
              <w:rPr>
                <w:rFonts w:cs="Arial"/>
                <w:color w:val="000000"/>
              </w:rPr>
            </w:pPr>
            <w:r w:rsidRPr="00275290">
              <w:rPr>
                <w:rFonts w:cs="Arial"/>
                <w:color w:val="000000"/>
              </w:rPr>
              <w:t>1,29E-02</w:t>
            </w:r>
          </w:p>
        </w:tc>
        <w:tc>
          <w:tcPr>
            <w:tcW w:w="1984" w:type="dxa"/>
            <w:vAlign w:val="center"/>
          </w:tcPr>
          <w:p w14:paraId="7AE42B31" w14:textId="77777777" w:rsidR="009D4550" w:rsidRPr="00275290" w:rsidRDefault="009D4550" w:rsidP="009D4550">
            <w:pPr>
              <w:rPr>
                <w:rFonts w:cs="Arial"/>
                <w:color w:val="000000"/>
              </w:rPr>
            </w:pPr>
            <w:r w:rsidRPr="00275290">
              <w:rPr>
                <w:rFonts w:cs="Arial"/>
                <w:color w:val="000000"/>
              </w:rPr>
              <w:t>3,24E-06</w:t>
            </w:r>
          </w:p>
        </w:tc>
        <w:tc>
          <w:tcPr>
            <w:tcW w:w="1984" w:type="dxa"/>
            <w:vAlign w:val="center"/>
          </w:tcPr>
          <w:p w14:paraId="1E59E5EC" w14:textId="77777777" w:rsidR="009D4550" w:rsidRPr="00275290" w:rsidRDefault="009D4550" w:rsidP="009D4550">
            <w:pPr>
              <w:rPr>
                <w:rFonts w:cs="Arial"/>
                <w:color w:val="000000"/>
              </w:rPr>
            </w:pPr>
            <w:r w:rsidRPr="00275290">
              <w:rPr>
                <w:rFonts w:cs="Arial"/>
                <w:color w:val="000000"/>
              </w:rPr>
              <w:t>1,29E-02</w:t>
            </w:r>
          </w:p>
        </w:tc>
      </w:tr>
      <w:tr w:rsidR="009D4550" w:rsidRPr="00275290" w14:paraId="0B55B771" w14:textId="77777777" w:rsidTr="0047648E">
        <w:tc>
          <w:tcPr>
            <w:tcW w:w="1984" w:type="dxa"/>
            <w:vAlign w:val="center"/>
          </w:tcPr>
          <w:p w14:paraId="2DDECA76" w14:textId="77777777" w:rsidR="009D4550" w:rsidRPr="00275290" w:rsidRDefault="009D4550" w:rsidP="009D4550">
            <w:pPr>
              <w:rPr>
                <w:rFonts w:cs="Arial"/>
                <w:lang w:val="en-US"/>
              </w:rPr>
            </w:pPr>
            <w:r w:rsidRPr="00275290">
              <w:rPr>
                <w:rFonts w:cs="Arial"/>
                <w:lang w:val="en-US"/>
              </w:rPr>
              <w:t>Tébuconazole</w:t>
            </w:r>
          </w:p>
        </w:tc>
        <w:tc>
          <w:tcPr>
            <w:tcW w:w="1984" w:type="dxa"/>
            <w:vAlign w:val="center"/>
          </w:tcPr>
          <w:p w14:paraId="5709D26E" w14:textId="77777777" w:rsidR="009D4550" w:rsidRPr="00275290" w:rsidRDefault="009D4550" w:rsidP="009D4550">
            <w:pPr>
              <w:rPr>
                <w:rFonts w:cs="Arial"/>
                <w:color w:val="000000"/>
              </w:rPr>
            </w:pPr>
            <w:r w:rsidRPr="00275290">
              <w:rPr>
                <w:rFonts w:cs="Arial"/>
                <w:color w:val="000000"/>
              </w:rPr>
              <w:t>4,17E-03</w:t>
            </w:r>
          </w:p>
        </w:tc>
        <w:tc>
          <w:tcPr>
            <w:tcW w:w="1984" w:type="dxa"/>
            <w:vAlign w:val="center"/>
          </w:tcPr>
          <w:p w14:paraId="2EDA9D54" w14:textId="77777777" w:rsidR="009D4550" w:rsidRPr="00275290" w:rsidRDefault="009D4550" w:rsidP="009D4550">
            <w:pPr>
              <w:rPr>
                <w:rFonts w:cs="Arial"/>
                <w:color w:val="000000"/>
              </w:rPr>
            </w:pPr>
            <w:r w:rsidRPr="00275290">
              <w:rPr>
                <w:rFonts w:cs="Arial"/>
                <w:color w:val="000000"/>
              </w:rPr>
              <w:t>3,07E-08</w:t>
            </w:r>
          </w:p>
        </w:tc>
        <w:tc>
          <w:tcPr>
            <w:tcW w:w="1984" w:type="dxa"/>
            <w:vAlign w:val="center"/>
          </w:tcPr>
          <w:p w14:paraId="13D2716A" w14:textId="77777777" w:rsidR="009D4550" w:rsidRPr="00275290" w:rsidRDefault="009D4550" w:rsidP="009D4550">
            <w:pPr>
              <w:rPr>
                <w:rFonts w:cs="Arial"/>
                <w:color w:val="000000"/>
              </w:rPr>
            </w:pPr>
            <w:r w:rsidRPr="00275290">
              <w:rPr>
                <w:rFonts w:cs="Arial"/>
                <w:color w:val="000000"/>
              </w:rPr>
              <w:t>4,17E-03</w:t>
            </w:r>
          </w:p>
        </w:tc>
      </w:tr>
      <w:tr w:rsidR="009D4550" w:rsidRPr="00275290" w14:paraId="1437158B" w14:textId="77777777" w:rsidTr="0047648E">
        <w:tc>
          <w:tcPr>
            <w:tcW w:w="1984" w:type="dxa"/>
            <w:vAlign w:val="center"/>
          </w:tcPr>
          <w:p w14:paraId="726B2BE9" w14:textId="77777777" w:rsidR="009D4550" w:rsidRPr="00275290" w:rsidRDefault="009D4550" w:rsidP="009D4550">
            <w:pPr>
              <w:rPr>
                <w:rFonts w:cs="Arial"/>
                <w:lang w:val="en-US"/>
              </w:rPr>
            </w:pPr>
            <w:r w:rsidRPr="00275290">
              <w:rPr>
                <w:rFonts w:cs="Arial"/>
                <w:lang w:val="en-US"/>
              </w:rPr>
              <w:t>IPBC</w:t>
            </w:r>
          </w:p>
        </w:tc>
        <w:tc>
          <w:tcPr>
            <w:tcW w:w="1984" w:type="dxa"/>
            <w:vAlign w:val="center"/>
          </w:tcPr>
          <w:p w14:paraId="14807CE3" w14:textId="77777777" w:rsidR="009D4550" w:rsidRPr="00275290" w:rsidRDefault="009D4550" w:rsidP="009D4550">
            <w:pPr>
              <w:rPr>
                <w:rFonts w:cs="Arial"/>
                <w:color w:val="000000"/>
              </w:rPr>
            </w:pPr>
            <w:r w:rsidRPr="00275290">
              <w:rPr>
                <w:rFonts w:cs="Arial"/>
                <w:color w:val="000000"/>
              </w:rPr>
              <w:t>5,34E-03</w:t>
            </w:r>
          </w:p>
        </w:tc>
        <w:tc>
          <w:tcPr>
            <w:tcW w:w="1984" w:type="dxa"/>
            <w:vAlign w:val="center"/>
          </w:tcPr>
          <w:p w14:paraId="2043D208" w14:textId="77777777" w:rsidR="009D4550" w:rsidRPr="00275290" w:rsidRDefault="009D4550" w:rsidP="009D4550">
            <w:pPr>
              <w:rPr>
                <w:rFonts w:cs="Arial"/>
                <w:color w:val="000000"/>
              </w:rPr>
            </w:pPr>
            <w:r w:rsidRPr="00275290">
              <w:rPr>
                <w:rFonts w:cs="Arial"/>
                <w:color w:val="000000"/>
              </w:rPr>
              <w:t>8,15E-05</w:t>
            </w:r>
          </w:p>
        </w:tc>
        <w:tc>
          <w:tcPr>
            <w:tcW w:w="1984" w:type="dxa"/>
            <w:vAlign w:val="center"/>
          </w:tcPr>
          <w:p w14:paraId="64DD2DE8" w14:textId="77777777" w:rsidR="009D4550" w:rsidRPr="00275290" w:rsidRDefault="009D4550" w:rsidP="009D4550">
            <w:pPr>
              <w:rPr>
                <w:rFonts w:cs="Arial"/>
                <w:color w:val="000000"/>
              </w:rPr>
            </w:pPr>
            <w:r w:rsidRPr="00275290">
              <w:rPr>
                <w:rFonts w:cs="Arial"/>
                <w:color w:val="000000"/>
              </w:rPr>
              <w:t>5,42E-03</w:t>
            </w:r>
          </w:p>
        </w:tc>
      </w:tr>
    </w:tbl>
    <w:p w14:paraId="20423D6E" w14:textId="77777777" w:rsidR="009D4550" w:rsidRPr="00275290" w:rsidRDefault="009D4550" w:rsidP="009D4550">
      <w:pPr>
        <w:rPr>
          <w:rFonts w:cs="Arial"/>
          <w:lang w:val="en-US"/>
        </w:rPr>
      </w:pPr>
    </w:p>
    <w:p w14:paraId="283B66D3" w14:textId="77777777" w:rsidR="009D4550" w:rsidRPr="0045722E" w:rsidRDefault="009D4550" w:rsidP="0045722E">
      <w:pPr>
        <w:pStyle w:val="Titre4"/>
      </w:pPr>
      <w:bookmarkStart w:id="111" w:name="_Toc536627316"/>
      <w:r w:rsidRPr="0045722E">
        <w:t>Risk assessment for human health</w:t>
      </w:r>
      <w:bookmarkEnd w:id="108"/>
      <w:bookmarkEnd w:id="109"/>
      <w:bookmarkEnd w:id="111"/>
    </w:p>
    <w:p w14:paraId="09E47988" w14:textId="77777777" w:rsidR="009D4550" w:rsidRPr="00155E43" w:rsidRDefault="009D4550" w:rsidP="00155E43">
      <w:pPr>
        <w:pStyle w:val="Titre5"/>
      </w:pPr>
      <w:r w:rsidRPr="00155E43">
        <w:t>Risk for direct exposure</w:t>
      </w:r>
    </w:p>
    <w:p w14:paraId="1D1717D2" w14:textId="77777777" w:rsidR="009D4550" w:rsidRPr="00155E43" w:rsidRDefault="009D4550" w:rsidP="00155E43">
      <w:pPr>
        <w:pStyle w:val="Titre6"/>
      </w:pPr>
      <w:r w:rsidRPr="00155E43">
        <w:t>Professional users</w:t>
      </w:r>
    </w:p>
    <w:p w14:paraId="19F99CB9"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exposure values are compared to long term AEL of each active substance.</w:t>
      </w:r>
    </w:p>
    <w:p w14:paraId="17FE18FC"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107"/>
        <w:gridCol w:w="2076"/>
        <w:gridCol w:w="2088"/>
        <w:gridCol w:w="1652"/>
      </w:tblGrid>
      <w:tr w:rsidR="009D4550" w:rsidRPr="00275290" w14:paraId="2AF281D3" w14:textId="77777777" w:rsidTr="009D4550">
        <w:tc>
          <w:tcPr>
            <w:tcW w:w="1915" w:type="dxa"/>
            <w:shd w:val="clear" w:color="auto" w:fill="auto"/>
            <w:vAlign w:val="center"/>
          </w:tcPr>
          <w:p w14:paraId="0A1142BB" w14:textId="77777777" w:rsidR="009D4550" w:rsidRPr="00275290" w:rsidRDefault="009D4550" w:rsidP="009D4550">
            <w:pPr>
              <w:rPr>
                <w:rFonts w:cs="Arial"/>
              </w:rPr>
            </w:pPr>
          </w:p>
        </w:tc>
        <w:tc>
          <w:tcPr>
            <w:tcW w:w="2127" w:type="dxa"/>
            <w:shd w:val="clear" w:color="auto" w:fill="auto"/>
            <w:vAlign w:val="center"/>
          </w:tcPr>
          <w:p w14:paraId="5339C8D7" w14:textId="77777777" w:rsidR="009D4550" w:rsidRPr="00275290" w:rsidRDefault="009D4550" w:rsidP="009D4550">
            <w:pPr>
              <w:rPr>
                <w:rFonts w:cs="Arial"/>
                <w:b/>
              </w:rPr>
            </w:pPr>
            <w:r w:rsidRPr="00275290">
              <w:rPr>
                <w:rFonts w:cs="Arial"/>
                <w:b/>
              </w:rPr>
              <w:t>Cyperméthrine</w:t>
            </w:r>
          </w:p>
        </w:tc>
        <w:tc>
          <w:tcPr>
            <w:tcW w:w="2105" w:type="dxa"/>
            <w:shd w:val="clear" w:color="auto" w:fill="auto"/>
            <w:vAlign w:val="center"/>
          </w:tcPr>
          <w:p w14:paraId="6ADAAFD4" w14:textId="77777777" w:rsidR="009D4550" w:rsidRPr="00275290" w:rsidRDefault="009D4550" w:rsidP="009D4550">
            <w:pPr>
              <w:rPr>
                <w:rFonts w:cs="Arial"/>
                <w:b/>
              </w:rPr>
            </w:pPr>
            <w:r w:rsidRPr="00275290">
              <w:rPr>
                <w:rFonts w:cs="Arial"/>
                <w:b/>
              </w:rPr>
              <w:t>Tébuconazole</w:t>
            </w:r>
          </w:p>
        </w:tc>
        <w:tc>
          <w:tcPr>
            <w:tcW w:w="2115" w:type="dxa"/>
            <w:shd w:val="clear" w:color="auto" w:fill="auto"/>
            <w:vAlign w:val="center"/>
          </w:tcPr>
          <w:p w14:paraId="62983C0B" w14:textId="77777777" w:rsidR="009D4550" w:rsidRPr="00275290" w:rsidRDefault="009D4550" w:rsidP="009D4550">
            <w:pPr>
              <w:rPr>
                <w:rFonts w:cs="Arial"/>
                <w:b/>
              </w:rPr>
            </w:pPr>
            <w:r w:rsidRPr="00275290">
              <w:rPr>
                <w:rFonts w:cs="Arial"/>
                <w:b/>
              </w:rPr>
              <w:t>Propiconazole</w:t>
            </w:r>
          </w:p>
        </w:tc>
        <w:tc>
          <w:tcPr>
            <w:tcW w:w="1733" w:type="dxa"/>
          </w:tcPr>
          <w:p w14:paraId="05445EB9" w14:textId="77777777" w:rsidR="009D4550" w:rsidRPr="00275290" w:rsidRDefault="009D4550" w:rsidP="009D4550">
            <w:pPr>
              <w:rPr>
                <w:rFonts w:cs="Arial"/>
                <w:b/>
              </w:rPr>
            </w:pPr>
            <w:r w:rsidRPr="00275290">
              <w:rPr>
                <w:rFonts w:cs="Arial"/>
                <w:b/>
              </w:rPr>
              <w:t>IPBC</w:t>
            </w:r>
          </w:p>
        </w:tc>
      </w:tr>
      <w:tr w:rsidR="009D4550" w:rsidRPr="00275290" w14:paraId="20D33B11" w14:textId="77777777" w:rsidTr="009D4550">
        <w:tc>
          <w:tcPr>
            <w:tcW w:w="1915" w:type="dxa"/>
            <w:shd w:val="clear" w:color="auto" w:fill="auto"/>
            <w:vAlign w:val="center"/>
          </w:tcPr>
          <w:p w14:paraId="346B5258" w14:textId="77777777" w:rsidR="009D4550" w:rsidRPr="00275290" w:rsidRDefault="009D4550" w:rsidP="009D4550">
            <w:pPr>
              <w:rPr>
                <w:rFonts w:cs="Arial"/>
                <w:b/>
              </w:rPr>
            </w:pPr>
            <w:r w:rsidRPr="00275290">
              <w:rPr>
                <w:rFonts w:cs="Arial"/>
                <w:b/>
              </w:rPr>
              <w:t>Long term AEL</w:t>
            </w:r>
          </w:p>
          <w:p w14:paraId="1442D9E1" w14:textId="77777777" w:rsidR="009D4550" w:rsidRPr="00275290" w:rsidRDefault="009D4550" w:rsidP="009D4550">
            <w:pPr>
              <w:rPr>
                <w:rFonts w:cs="Arial"/>
              </w:rPr>
            </w:pPr>
            <w:r w:rsidRPr="00275290">
              <w:rPr>
                <w:rFonts w:cs="Arial"/>
                <w:b/>
              </w:rPr>
              <w:t>(mg/kg bw/d)</w:t>
            </w:r>
          </w:p>
        </w:tc>
        <w:tc>
          <w:tcPr>
            <w:tcW w:w="2127" w:type="dxa"/>
            <w:shd w:val="clear" w:color="auto" w:fill="auto"/>
            <w:vAlign w:val="center"/>
          </w:tcPr>
          <w:p w14:paraId="63AD5365" w14:textId="77777777" w:rsidR="009D4550" w:rsidRPr="00275290" w:rsidRDefault="009D4550" w:rsidP="009D4550">
            <w:pPr>
              <w:rPr>
                <w:rFonts w:cs="Arial"/>
              </w:rPr>
            </w:pPr>
            <w:r w:rsidRPr="00275290">
              <w:rPr>
                <w:rFonts w:cs="Arial"/>
              </w:rPr>
              <w:t>0.022</w:t>
            </w:r>
          </w:p>
        </w:tc>
        <w:tc>
          <w:tcPr>
            <w:tcW w:w="2105" w:type="dxa"/>
            <w:shd w:val="clear" w:color="auto" w:fill="auto"/>
            <w:vAlign w:val="center"/>
          </w:tcPr>
          <w:p w14:paraId="0B652E8C" w14:textId="77777777" w:rsidR="009D4550" w:rsidRPr="00275290" w:rsidRDefault="009D4550" w:rsidP="009D4550">
            <w:pPr>
              <w:rPr>
                <w:rFonts w:cs="Arial"/>
              </w:rPr>
            </w:pPr>
            <w:r w:rsidRPr="00275290">
              <w:rPr>
                <w:rFonts w:cs="Arial"/>
              </w:rPr>
              <w:t>0.03</w:t>
            </w:r>
          </w:p>
        </w:tc>
        <w:tc>
          <w:tcPr>
            <w:tcW w:w="2115" w:type="dxa"/>
            <w:shd w:val="clear" w:color="auto" w:fill="auto"/>
            <w:vAlign w:val="center"/>
          </w:tcPr>
          <w:p w14:paraId="43B77711" w14:textId="77777777" w:rsidR="009D4550" w:rsidRPr="00275290" w:rsidRDefault="009D4550" w:rsidP="009D4550">
            <w:pPr>
              <w:rPr>
                <w:rFonts w:cs="Arial"/>
              </w:rPr>
            </w:pPr>
            <w:r w:rsidRPr="00275290">
              <w:rPr>
                <w:rFonts w:cs="Arial"/>
              </w:rPr>
              <w:t>0.04</w:t>
            </w:r>
          </w:p>
        </w:tc>
        <w:tc>
          <w:tcPr>
            <w:tcW w:w="1733" w:type="dxa"/>
            <w:vAlign w:val="center"/>
          </w:tcPr>
          <w:p w14:paraId="705FA894" w14:textId="77777777" w:rsidR="009D4550" w:rsidRPr="00275290" w:rsidRDefault="009D4550" w:rsidP="009D4550">
            <w:pPr>
              <w:rPr>
                <w:rFonts w:cs="Arial"/>
              </w:rPr>
            </w:pPr>
            <w:r w:rsidRPr="00275290">
              <w:rPr>
                <w:rFonts w:cs="Arial"/>
              </w:rPr>
              <w:t>0.2</w:t>
            </w:r>
          </w:p>
        </w:tc>
      </w:tr>
    </w:tbl>
    <w:p w14:paraId="628DB40B" w14:textId="77777777" w:rsidR="009D4550" w:rsidRPr="00275290" w:rsidRDefault="009D4550" w:rsidP="009D4550">
      <w:pPr>
        <w:pStyle w:val="BfRBBStandard"/>
        <w:rPr>
          <w:rFonts w:ascii="Verdana" w:eastAsia="Times New Roman" w:hAnsi="Verdana"/>
          <w:sz w:val="20"/>
          <w:szCs w:val="20"/>
          <w:lang w:val="en-GB" w:eastAsia="sv-SE"/>
        </w:rPr>
      </w:pPr>
    </w:p>
    <w:p w14:paraId="71410507"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product contains 4 different active substances; therefore a risk assessment from combined exposure to several active substances should be performed according to the Guidance on the Biocidal Product Regulation, Part B of 2015</w:t>
      </w:r>
      <w:r w:rsidRPr="00275290">
        <w:rPr>
          <w:rStyle w:val="Appelnotedebasdep"/>
          <w:rFonts w:ascii="Verdana" w:eastAsia="Times New Roman" w:hAnsi="Verdana"/>
          <w:sz w:val="20"/>
          <w:szCs w:val="20"/>
          <w:lang w:val="en-GB" w:eastAsia="sv-SE"/>
        </w:rPr>
        <w:footnoteReference w:id="26"/>
      </w:r>
      <w:r w:rsidRPr="00275290">
        <w:rPr>
          <w:rFonts w:ascii="Verdana" w:eastAsia="Times New Roman" w:hAnsi="Verdana"/>
          <w:sz w:val="20"/>
          <w:szCs w:val="20"/>
          <w:lang w:val="en-GB" w:eastAsia="sv-SE"/>
        </w:rPr>
        <w:t xml:space="preserve"> </w:t>
      </w:r>
    </w:p>
    <w:p w14:paraId="666AC11F"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first step (Tier 1) of this approach is to verify acceptability for each substance used in the product, corresponding to the comparison of the exposure values to the AEL of each substance as stated above and leading to the calculation of Hazard Quotients (HQ), corresponding to estimation of exposure/AEL.</w:t>
      </w:r>
    </w:p>
    <w:p w14:paraId="287FAB8A" w14:textId="77777777" w:rsidR="009D4550" w:rsidRPr="00275290" w:rsidRDefault="009D4550" w:rsidP="009D4550">
      <w:pPr>
        <w:pStyle w:val="BfRBBStandard"/>
        <w:rPr>
          <w:rFonts w:ascii="Verdana" w:eastAsia="Times New Roman" w:hAnsi="Verdana"/>
          <w:sz w:val="20"/>
          <w:szCs w:val="20"/>
          <w:lang w:val="en-GB" w:eastAsia="sv-SE"/>
        </w:rPr>
      </w:pPr>
    </w:p>
    <w:p w14:paraId="44E4887A"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In a Tier 2, additive effects were considered by summing up the HQ of each active substance, leading to the calculation of a HI (Hazard Index).</w:t>
      </w:r>
    </w:p>
    <w:p w14:paraId="0E5484C5"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b/>
          <w:sz w:val="20"/>
          <w:szCs w:val="20"/>
          <w:lang w:val="en-GB" w:eastAsia="sv-SE"/>
        </w:rPr>
        <w:t>If HI ≤ 1</w:t>
      </w:r>
      <w:r w:rsidRPr="00275290">
        <w:rPr>
          <w:rFonts w:ascii="Verdana" w:eastAsia="Times New Roman" w:hAnsi="Verdana"/>
          <w:sz w:val="20"/>
          <w:szCs w:val="20"/>
          <w:lang w:val="en-GB" w:eastAsia="sv-SE"/>
        </w:rPr>
        <w:t xml:space="preserve"> the risk related to use of the mixture will be considered acceptable;</w:t>
      </w:r>
    </w:p>
    <w:p w14:paraId="5B7621E0" w14:textId="77777777" w:rsidR="009D455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b/>
          <w:sz w:val="20"/>
          <w:szCs w:val="20"/>
          <w:lang w:val="en-GB" w:eastAsia="sv-SE"/>
        </w:rPr>
        <w:t>If HI &gt; 1</w:t>
      </w:r>
      <w:r w:rsidRPr="00275290">
        <w:rPr>
          <w:rFonts w:ascii="Verdana" w:eastAsia="Times New Roman" w:hAnsi="Verdana"/>
          <w:sz w:val="20"/>
          <w:szCs w:val="20"/>
          <w:lang w:val="en-GB" w:eastAsia="sv-SE"/>
        </w:rPr>
        <w:t xml:space="preserve"> the risk related to use of the mixture will be considered unacceptable and a refinement is needed.</w:t>
      </w:r>
    </w:p>
    <w:p w14:paraId="5A0162DD" w14:textId="77777777" w:rsidR="00F72B8A" w:rsidRPr="00275290" w:rsidRDefault="00F72B8A" w:rsidP="009D4550">
      <w:pPr>
        <w:pStyle w:val="BfRBBStandard"/>
        <w:rPr>
          <w:rFonts w:ascii="Verdana" w:eastAsia="Times New Roman" w:hAnsi="Verdana"/>
          <w:sz w:val="20"/>
          <w:szCs w:val="20"/>
          <w:lang w:val="en-GB" w:eastAsia="sv-SE"/>
        </w:rPr>
      </w:pPr>
    </w:p>
    <w:p w14:paraId="34033C70" w14:textId="0631A605" w:rsidR="00F72B8A" w:rsidRPr="00155E43" w:rsidRDefault="00F72B8A" w:rsidP="00B7552D">
      <w:pPr>
        <w:pStyle w:val="Titre7"/>
        <w:numPr>
          <w:ilvl w:val="6"/>
          <w:numId w:val="39"/>
        </w:numPr>
      </w:pPr>
      <w:r>
        <w:t xml:space="preserve">INDUSTRIAL </w:t>
      </w:r>
      <w:r w:rsidRPr="00155E43">
        <w:t>users</w:t>
      </w:r>
    </w:p>
    <w:p w14:paraId="5DFE83F0" w14:textId="77777777" w:rsidR="009D4550" w:rsidRPr="00275290" w:rsidRDefault="009D4550" w:rsidP="009D4550">
      <w:pPr>
        <w:pStyle w:val="BfRBBStandard"/>
        <w:rPr>
          <w:rFonts w:ascii="Verdana" w:eastAsia="Times New Roman" w:hAnsi="Verdana"/>
          <w:sz w:val="20"/>
          <w:szCs w:val="20"/>
          <w:lang w:val="en-GB" w:eastAsia="sv-SE"/>
        </w:rPr>
      </w:pPr>
    </w:p>
    <w:p w14:paraId="0379BC3A" w14:textId="77777777" w:rsidR="00717CA1" w:rsidRPr="00275290" w:rsidRDefault="00717CA1" w:rsidP="00717CA1">
      <w:pPr>
        <w:autoSpaceDE w:val="0"/>
        <w:autoSpaceDN w:val="0"/>
        <w:rPr>
          <w:rFonts w:cs="Arial"/>
          <w:b/>
          <w:u w:val="single"/>
        </w:rPr>
      </w:pPr>
      <w:r w:rsidRPr="00275290">
        <w:rPr>
          <w:rFonts w:cs="Arial"/>
          <w:b/>
          <w:u w:val="single"/>
        </w:rPr>
        <w:lastRenderedPageBreak/>
        <w:t xml:space="preserve">Industrial uses – automated dipping application </w:t>
      </w:r>
    </w:p>
    <w:p w14:paraId="2B53069B" w14:textId="77777777" w:rsidR="009D4550" w:rsidRPr="00275290" w:rsidRDefault="009D4550" w:rsidP="009D4550">
      <w:pPr>
        <w:pStyle w:val="BfRBBStandard"/>
        <w:rPr>
          <w:rFonts w:ascii="Verdana" w:eastAsia="Times New Roman" w:hAnsi="Verdana"/>
          <w:sz w:val="20"/>
          <w:szCs w:val="20"/>
          <w:lang w:val="en-GB" w:eastAsia="sv-SE"/>
        </w:rPr>
      </w:pPr>
    </w:p>
    <w:p w14:paraId="2B3127B3"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17CCCB22"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41"/>
        <w:gridCol w:w="1984"/>
        <w:gridCol w:w="1984"/>
      </w:tblGrid>
      <w:tr w:rsidR="00F67CCD" w:rsidRPr="00275290" w14:paraId="0D0D3C5B" w14:textId="77777777" w:rsidTr="0045722E">
        <w:tc>
          <w:tcPr>
            <w:tcW w:w="1526" w:type="dxa"/>
          </w:tcPr>
          <w:p w14:paraId="2699874F" w14:textId="77777777" w:rsidR="00F67CCD" w:rsidRPr="00275290" w:rsidRDefault="00F67CCD" w:rsidP="009D4550">
            <w:pPr>
              <w:autoSpaceDE w:val="0"/>
              <w:autoSpaceDN w:val="0"/>
              <w:adjustRightInd w:val="0"/>
              <w:spacing w:before="60" w:after="60"/>
              <w:rPr>
                <w:rFonts w:cs="Arial"/>
              </w:rPr>
            </w:pPr>
            <w:r w:rsidRPr="00275290">
              <w:rPr>
                <w:rFonts w:cs="Arial"/>
              </w:rPr>
              <w:t>Scenario</w:t>
            </w:r>
          </w:p>
        </w:tc>
        <w:tc>
          <w:tcPr>
            <w:tcW w:w="2441" w:type="dxa"/>
          </w:tcPr>
          <w:p w14:paraId="6AE89EC3" w14:textId="77777777" w:rsidR="00F67CCD" w:rsidRPr="0021636F" w:rsidRDefault="00F67CCD" w:rsidP="009D4550">
            <w:pPr>
              <w:tabs>
                <w:tab w:val="left" w:pos="426"/>
              </w:tabs>
              <w:autoSpaceDE w:val="0"/>
              <w:autoSpaceDN w:val="0"/>
              <w:adjustRightInd w:val="0"/>
              <w:spacing w:before="60" w:after="60"/>
              <w:rPr>
                <w:rFonts w:cs="Arial"/>
                <w:lang w:val="es-US"/>
              </w:rPr>
            </w:pPr>
            <w:r w:rsidRPr="0021636F">
              <w:rPr>
                <w:rFonts w:cs="Arial"/>
                <w:lang w:val="es-US"/>
              </w:rPr>
              <w:t>AEL</w:t>
            </w:r>
          </w:p>
          <w:p w14:paraId="791FA076" w14:textId="77777777" w:rsidR="00F67CCD" w:rsidRPr="0021636F" w:rsidRDefault="00F67CCD"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4D5BD85C" w14:textId="77777777" w:rsidR="00F67CCD" w:rsidRPr="00ED68BA" w:rsidRDefault="00F67CCD" w:rsidP="009D4550">
            <w:pPr>
              <w:autoSpaceDE w:val="0"/>
              <w:autoSpaceDN w:val="0"/>
              <w:adjustRightInd w:val="0"/>
              <w:spacing w:before="60" w:after="60"/>
              <w:rPr>
                <w:rFonts w:cs="Arial"/>
                <w:lang w:val="fr-FR"/>
              </w:rPr>
            </w:pPr>
            <w:r w:rsidRPr="00ED68BA">
              <w:rPr>
                <w:rFonts w:cs="Arial"/>
                <w:lang w:val="fr-FR"/>
              </w:rPr>
              <w:t>Exposure</w:t>
            </w:r>
          </w:p>
          <w:p w14:paraId="57882740" w14:textId="77777777" w:rsidR="00F67CCD" w:rsidRPr="00ED68BA" w:rsidRDefault="00F67CCD" w:rsidP="009D4550">
            <w:pPr>
              <w:autoSpaceDE w:val="0"/>
              <w:autoSpaceDN w:val="0"/>
              <w:adjustRightInd w:val="0"/>
              <w:spacing w:before="60" w:after="60"/>
              <w:rPr>
                <w:rFonts w:cs="Arial"/>
                <w:lang w:val="fr-FR"/>
              </w:rPr>
            </w:pPr>
            <w:r w:rsidRPr="00ED68BA">
              <w:rPr>
                <w:rFonts w:cs="Arial"/>
                <w:lang w:val="fr-FR"/>
              </w:rPr>
              <w:t>(mg/kg pc/j)</w:t>
            </w:r>
          </w:p>
        </w:tc>
        <w:tc>
          <w:tcPr>
            <w:tcW w:w="1984" w:type="dxa"/>
          </w:tcPr>
          <w:p w14:paraId="1D569652" w14:textId="77777777" w:rsidR="00F67CCD" w:rsidRPr="00275290" w:rsidRDefault="00F67CCD" w:rsidP="009D4550">
            <w:pPr>
              <w:autoSpaceDE w:val="0"/>
              <w:autoSpaceDN w:val="0"/>
              <w:adjustRightInd w:val="0"/>
              <w:spacing w:before="60" w:after="60"/>
              <w:rPr>
                <w:rFonts w:cs="Arial"/>
              </w:rPr>
            </w:pPr>
            <w:r w:rsidRPr="00275290">
              <w:rPr>
                <w:rFonts w:cs="Arial"/>
              </w:rPr>
              <w:t>% AEL</w:t>
            </w:r>
          </w:p>
        </w:tc>
      </w:tr>
      <w:tr w:rsidR="00F67CCD" w:rsidRPr="00275290" w14:paraId="24D63711" w14:textId="77777777" w:rsidTr="00666966">
        <w:tc>
          <w:tcPr>
            <w:tcW w:w="7935" w:type="dxa"/>
            <w:gridSpan w:val="4"/>
            <w:shd w:val="clear" w:color="auto" w:fill="BFBFBF" w:themeFill="background1" w:themeFillShade="BF"/>
            <w:vAlign w:val="center"/>
          </w:tcPr>
          <w:p w14:paraId="047CFCAA" w14:textId="25281138" w:rsidR="00F67CCD" w:rsidRPr="00275290" w:rsidRDefault="00F67CCD" w:rsidP="009D4550">
            <w:pPr>
              <w:rPr>
                <w:rFonts w:cs="Arial"/>
                <w:lang w:val="en-US"/>
              </w:rPr>
            </w:pPr>
            <w:r w:rsidRPr="00275290">
              <w:rPr>
                <w:rFonts w:cs="Arial"/>
                <w:lang w:val="en-US"/>
              </w:rPr>
              <w:t>Automated dipping 200g/m</w:t>
            </w:r>
            <w:r w:rsidRPr="00275290">
              <w:rPr>
                <w:rFonts w:cs="Arial"/>
                <w:vertAlign w:val="superscript"/>
                <w:lang w:val="en-US"/>
              </w:rPr>
              <w:t>2</w:t>
            </w:r>
            <w:r w:rsidRPr="00275290">
              <w:rPr>
                <w:rFonts w:cs="Arial"/>
                <w:lang w:val="en-US"/>
              </w:rPr>
              <w:t xml:space="preserve"> – without PPE except gloves during application</w:t>
            </w:r>
          </w:p>
        </w:tc>
      </w:tr>
      <w:tr w:rsidR="00F67CCD" w:rsidRPr="00275290" w14:paraId="042CF240" w14:textId="77777777" w:rsidTr="0045722E">
        <w:tc>
          <w:tcPr>
            <w:tcW w:w="1526" w:type="dxa"/>
            <w:vMerge w:val="restart"/>
            <w:vAlign w:val="center"/>
          </w:tcPr>
          <w:p w14:paraId="490B3A80" w14:textId="77777777" w:rsidR="00F67CCD" w:rsidRPr="00275290" w:rsidRDefault="00F67CCD" w:rsidP="009D4550">
            <w:pPr>
              <w:rPr>
                <w:rFonts w:cs="Arial"/>
                <w:lang w:val="en-US"/>
              </w:rPr>
            </w:pPr>
            <w:r w:rsidRPr="00275290">
              <w:rPr>
                <w:rFonts w:cs="Arial"/>
                <w:lang w:val="en-US"/>
              </w:rPr>
              <w:t>Transfer phase</w:t>
            </w:r>
          </w:p>
        </w:tc>
        <w:tc>
          <w:tcPr>
            <w:tcW w:w="2441" w:type="dxa"/>
            <w:vAlign w:val="center"/>
          </w:tcPr>
          <w:p w14:paraId="4ED02A99" w14:textId="77777777" w:rsidR="00F67CCD" w:rsidRPr="00275290" w:rsidRDefault="00F67CCD" w:rsidP="009D4550">
            <w:pPr>
              <w:rPr>
                <w:rFonts w:cs="Arial"/>
                <w:lang w:val="fr-FR"/>
              </w:rPr>
            </w:pPr>
            <w:r w:rsidRPr="00275290">
              <w:rPr>
                <w:rFonts w:cs="Arial"/>
                <w:lang w:val="fr-FR"/>
              </w:rPr>
              <w:t>Cyperméthrine</w:t>
            </w:r>
          </w:p>
          <w:p w14:paraId="22FF1137" w14:textId="77777777" w:rsidR="00F67CCD" w:rsidRPr="00275290" w:rsidRDefault="00F67CCD" w:rsidP="009D4550">
            <w:pPr>
              <w:rPr>
                <w:rFonts w:cs="Arial"/>
                <w:lang w:val="fr-FR"/>
              </w:rPr>
            </w:pPr>
            <w:r w:rsidRPr="00275290">
              <w:rPr>
                <w:rFonts w:cs="Arial"/>
                <w:lang w:val="fr-FR"/>
              </w:rPr>
              <w:t>0.022</w:t>
            </w:r>
          </w:p>
        </w:tc>
        <w:tc>
          <w:tcPr>
            <w:tcW w:w="1984" w:type="dxa"/>
            <w:vAlign w:val="center"/>
          </w:tcPr>
          <w:p w14:paraId="2E443875" w14:textId="77777777" w:rsidR="00F67CCD" w:rsidRPr="00275290" w:rsidRDefault="00F67CCD" w:rsidP="009D4550">
            <w:pPr>
              <w:rPr>
                <w:rFonts w:cs="Arial"/>
                <w:color w:val="000000"/>
              </w:rPr>
            </w:pPr>
            <w:r w:rsidRPr="00275290">
              <w:rPr>
                <w:rFonts w:cs="Arial"/>
                <w:color w:val="000000"/>
              </w:rPr>
              <w:t>4,85E-03</w:t>
            </w:r>
          </w:p>
        </w:tc>
        <w:tc>
          <w:tcPr>
            <w:tcW w:w="1984" w:type="dxa"/>
            <w:vAlign w:val="center"/>
          </w:tcPr>
          <w:p w14:paraId="0A36B34E" w14:textId="2E4D8F5C" w:rsidR="00F67CCD" w:rsidRPr="00275290" w:rsidRDefault="00F67CCD" w:rsidP="009D4550">
            <w:pPr>
              <w:rPr>
                <w:rFonts w:cs="Arial"/>
                <w:lang w:val="fr-FR"/>
              </w:rPr>
            </w:pPr>
            <w:r w:rsidRPr="00275290">
              <w:rPr>
                <w:rFonts w:cs="Arial"/>
                <w:lang w:val="fr-FR"/>
              </w:rPr>
              <w:t>22.</w:t>
            </w:r>
            <w:r w:rsidR="008256E0">
              <w:rPr>
                <w:rFonts w:cs="Arial"/>
                <w:lang w:val="fr-FR"/>
              </w:rPr>
              <w:t>0</w:t>
            </w:r>
            <w:r w:rsidRPr="00275290">
              <w:rPr>
                <w:rFonts w:cs="Arial"/>
                <w:lang w:val="fr-FR"/>
              </w:rPr>
              <w:t>5</w:t>
            </w:r>
          </w:p>
        </w:tc>
      </w:tr>
      <w:tr w:rsidR="00F67CCD" w:rsidRPr="00275290" w14:paraId="4E9217AE" w14:textId="77777777" w:rsidTr="0045722E">
        <w:tc>
          <w:tcPr>
            <w:tcW w:w="1526" w:type="dxa"/>
            <w:vMerge/>
            <w:vAlign w:val="center"/>
          </w:tcPr>
          <w:p w14:paraId="4B562C55" w14:textId="77777777" w:rsidR="00F67CCD" w:rsidRPr="00275290" w:rsidRDefault="00F67CCD" w:rsidP="009D4550">
            <w:pPr>
              <w:rPr>
                <w:rFonts w:cs="Arial"/>
                <w:lang w:val="fr-FR"/>
              </w:rPr>
            </w:pPr>
          </w:p>
        </w:tc>
        <w:tc>
          <w:tcPr>
            <w:tcW w:w="2441" w:type="dxa"/>
            <w:vAlign w:val="center"/>
          </w:tcPr>
          <w:p w14:paraId="43EFA3BA" w14:textId="77777777" w:rsidR="00F67CCD" w:rsidRPr="00275290" w:rsidRDefault="00F67CCD" w:rsidP="009D4550">
            <w:pPr>
              <w:rPr>
                <w:rFonts w:cs="Arial"/>
                <w:lang w:val="fr-FR"/>
              </w:rPr>
            </w:pPr>
            <w:r w:rsidRPr="00275290">
              <w:rPr>
                <w:rFonts w:cs="Arial"/>
                <w:lang w:val="fr-FR"/>
              </w:rPr>
              <w:t>Propiconazole : 0.04</w:t>
            </w:r>
          </w:p>
        </w:tc>
        <w:tc>
          <w:tcPr>
            <w:tcW w:w="1984" w:type="dxa"/>
            <w:vAlign w:val="center"/>
          </w:tcPr>
          <w:p w14:paraId="5B68F128" w14:textId="77777777" w:rsidR="00F67CCD" w:rsidRPr="00275290" w:rsidRDefault="00F67CCD" w:rsidP="009D4550">
            <w:pPr>
              <w:rPr>
                <w:rFonts w:cs="Arial"/>
                <w:color w:val="000000"/>
              </w:rPr>
            </w:pPr>
            <w:r w:rsidRPr="00275290">
              <w:rPr>
                <w:rFonts w:cs="Arial"/>
                <w:color w:val="000000"/>
              </w:rPr>
              <w:t>7,01E-03</w:t>
            </w:r>
          </w:p>
        </w:tc>
        <w:tc>
          <w:tcPr>
            <w:tcW w:w="1984" w:type="dxa"/>
            <w:vAlign w:val="center"/>
          </w:tcPr>
          <w:p w14:paraId="63F87C85" w14:textId="77777777" w:rsidR="00F67CCD" w:rsidRPr="00275290" w:rsidRDefault="00F67CCD" w:rsidP="009D4550">
            <w:pPr>
              <w:rPr>
                <w:rFonts w:cs="Arial"/>
                <w:lang w:val="fr-FR"/>
              </w:rPr>
            </w:pPr>
            <w:r w:rsidRPr="00275290">
              <w:rPr>
                <w:rFonts w:cs="Arial"/>
                <w:lang w:val="fr-FR"/>
              </w:rPr>
              <w:t>17.5</w:t>
            </w:r>
          </w:p>
        </w:tc>
      </w:tr>
      <w:tr w:rsidR="00F67CCD" w:rsidRPr="00275290" w14:paraId="78397696" w14:textId="77777777" w:rsidTr="0045722E">
        <w:tc>
          <w:tcPr>
            <w:tcW w:w="1526" w:type="dxa"/>
            <w:vMerge/>
            <w:vAlign w:val="center"/>
          </w:tcPr>
          <w:p w14:paraId="55A33D1C" w14:textId="77777777" w:rsidR="00F67CCD" w:rsidRPr="00275290" w:rsidRDefault="00F67CCD" w:rsidP="009D4550">
            <w:pPr>
              <w:rPr>
                <w:rFonts w:cs="Arial"/>
                <w:lang w:val="fr-FR"/>
              </w:rPr>
            </w:pPr>
          </w:p>
        </w:tc>
        <w:tc>
          <w:tcPr>
            <w:tcW w:w="2441" w:type="dxa"/>
            <w:vAlign w:val="center"/>
          </w:tcPr>
          <w:p w14:paraId="726C3F46" w14:textId="77777777" w:rsidR="00F67CCD" w:rsidRPr="00275290" w:rsidRDefault="00F67CCD" w:rsidP="009D4550">
            <w:pPr>
              <w:rPr>
                <w:rFonts w:cs="Arial"/>
                <w:lang w:val="fr-FR"/>
              </w:rPr>
            </w:pPr>
            <w:r w:rsidRPr="00275290">
              <w:rPr>
                <w:rFonts w:cs="Arial"/>
                <w:lang w:val="fr-FR"/>
              </w:rPr>
              <w:t>Tébuconazole : 0.03</w:t>
            </w:r>
          </w:p>
        </w:tc>
        <w:tc>
          <w:tcPr>
            <w:tcW w:w="1984" w:type="dxa"/>
            <w:vAlign w:val="center"/>
          </w:tcPr>
          <w:p w14:paraId="3DC4540B" w14:textId="77777777" w:rsidR="00F67CCD" w:rsidRPr="00275290" w:rsidRDefault="00F67CCD" w:rsidP="009D4550">
            <w:pPr>
              <w:rPr>
                <w:rFonts w:cs="Arial"/>
                <w:color w:val="000000"/>
              </w:rPr>
            </w:pPr>
            <w:r w:rsidRPr="00275290">
              <w:rPr>
                <w:rFonts w:cs="Arial"/>
                <w:color w:val="000000"/>
              </w:rPr>
              <w:t>2,61E-03</w:t>
            </w:r>
          </w:p>
        </w:tc>
        <w:tc>
          <w:tcPr>
            <w:tcW w:w="1984" w:type="dxa"/>
            <w:vAlign w:val="center"/>
          </w:tcPr>
          <w:p w14:paraId="2FD90E54" w14:textId="77777777" w:rsidR="00F67CCD" w:rsidRPr="00275290" w:rsidRDefault="00F67CCD" w:rsidP="009D4550">
            <w:pPr>
              <w:rPr>
                <w:rFonts w:cs="Arial"/>
                <w:lang w:val="fr-FR"/>
              </w:rPr>
            </w:pPr>
            <w:r w:rsidRPr="00275290">
              <w:rPr>
                <w:rFonts w:cs="Arial"/>
                <w:lang w:val="fr-FR"/>
              </w:rPr>
              <w:t>8.7</w:t>
            </w:r>
          </w:p>
        </w:tc>
      </w:tr>
      <w:tr w:rsidR="00F67CCD" w:rsidRPr="00275290" w14:paraId="32422257" w14:textId="77777777" w:rsidTr="0045722E">
        <w:tc>
          <w:tcPr>
            <w:tcW w:w="1526" w:type="dxa"/>
            <w:vMerge/>
            <w:vAlign w:val="center"/>
          </w:tcPr>
          <w:p w14:paraId="4F875B2B" w14:textId="77777777" w:rsidR="00F67CCD" w:rsidRPr="00275290" w:rsidRDefault="00F67CCD" w:rsidP="009D4550">
            <w:pPr>
              <w:rPr>
                <w:rFonts w:cs="Arial"/>
                <w:lang w:val="fr-FR"/>
              </w:rPr>
            </w:pPr>
          </w:p>
        </w:tc>
        <w:tc>
          <w:tcPr>
            <w:tcW w:w="2441" w:type="dxa"/>
            <w:vAlign w:val="center"/>
          </w:tcPr>
          <w:p w14:paraId="16C15212" w14:textId="77777777" w:rsidR="00F67CCD" w:rsidRPr="00275290" w:rsidRDefault="00F67CCD" w:rsidP="009D4550">
            <w:pPr>
              <w:rPr>
                <w:rFonts w:cs="Arial"/>
                <w:lang w:val="fr-FR"/>
              </w:rPr>
            </w:pPr>
            <w:r w:rsidRPr="00275290">
              <w:rPr>
                <w:rFonts w:cs="Arial"/>
                <w:lang w:val="fr-FR"/>
              </w:rPr>
              <w:t>IPBC</w:t>
            </w:r>
          </w:p>
          <w:p w14:paraId="11764107" w14:textId="77777777" w:rsidR="00F67CCD" w:rsidRPr="00275290" w:rsidRDefault="00F67CCD" w:rsidP="009D4550">
            <w:pPr>
              <w:rPr>
                <w:rFonts w:cs="Arial"/>
                <w:lang w:val="fr-FR"/>
              </w:rPr>
            </w:pPr>
            <w:r w:rsidRPr="00275290">
              <w:rPr>
                <w:rFonts w:cs="Arial"/>
                <w:lang w:val="fr-FR"/>
              </w:rPr>
              <w:t>0.2</w:t>
            </w:r>
          </w:p>
        </w:tc>
        <w:tc>
          <w:tcPr>
            <w:tcW w:w="1984" w:type="dxa"/>
            <w:vAlign w:val="center"/>
          </w:tcPr>
          <w:p w14:paraId="00A95DC6" w14:textId="77777777" w:rsidR="00F67CCD" w:rsidRPr="00275290" w:rsidRDefault="00F67CCD" w:rsidP="009D4550">
            <w:pPr>
              <w:rPr>
                <w:rFonts w:cs="Arial"/>
                <w:color w:val="000000"/>
              </w:rPr>
            </w:pPr>
            <w:r w:rsidRPr="00275290">
              <w:rPr>
                <w:rFonts w:cs="Arial"/>
                <w:color w:val="000000"/>
              </w:rPr>
              <w:t>6,31E-03</w:t>
            </w:r>
          </w:p>
        </w:tc>
        <w:tc>
          <w:tcPr>
            <w:tcW w:w="1984" w:type="dxa"/>
            <w:vAlign w:val="center"/>
          </w:tcPr>
          <w:p w14:paraId="7C7F1931" w14:textId="77777777" w:rsidR="00F67CCD" w:rsidRPr="00275290" w:rsidRDefault="00F67CCD" w:rsidP="009D4550">
            <w:pPr>
              <w:rPr>
                <w:rFonts w:cs="Arial"/>
                <w:lang w:val="fr-FR"/>
              </w:rPr>
            </w:pPr>
            <w:r w:rsidRPr="00275290">
              <w:rPr>
                <w:rFonts w:cs="Arial"/>
                <w:lang w:val="fr-FR"/>
              </w:rPr>
              <w:t>3.2</w:t>
            </w:r>
          </w:p>
        </w:tc>
      </w:tr>
      <w:tr w:rsidR="00F67CCD" w:rsidRPr="00275290" w14:paraId="1F078BF1" w14:textId="77777777" w:rsidTr="0045722E">
        <w:tc>
          <w:tcPr>
            <w:tcW w:w="1526" w:type="dxa"/>
            <w:vMerge w:val="restart"/>
            <w:vAlign w:val="center"/>
          </w:tcPr>
          <w:p w14:paraId="2E2C386D" w14:textId="77777777" w:rsidR="00F67CCD" w:rsidRPr="00275290" w:rsidRDefault="00F67CCD" w:rsidP="009D4550">
            <w:pPr>
              <w:rPr>
                <w:rFonts w:cs="Arial"/>
                <w:lang w:val="en-US"/>
              </w:rPr>
            </w:pPr>
            <w:r w:rsidRPr="00275290">
              <w:rPr>
                <w:rFonts w:cs="Arial"/>
                <w:lang w:val="en-US"/>
              </w:rPr>
              <w:t>Product application phase</w:t>
            </w:r>
          </w:p>
          <w:p w14:paraId="717D78BF" w14:textId="77777777" w:rsidR="00F67CCD" w:rsidRPr="00275290" w:rsidRDefault="00F67CCD" w:rsidP="009D4550">
            <w:pPr>
              <w:rPr>
                <w:rFonts w:cs="Arial"/>
                <w:lang w:val="en-US"/>
              </w:rPr>
            </w:pPr>
          </w:p>
        </w:tc>
        <w:tc>
          <w:tcPr>
            <w:tcW w:w="2441" w:type="dxa"/>
            <w:vAlign w:val="center"/>
          </w:tcPr>
          <w:p w14:paraId="758E3EB4" w14:textId="77777777" w:rsidR="00F67CCD" w:rsidRPr="00275290" w:rsidRDefault="00F67CCD" w:rsidP="009D4550">
            <w:pPr>
              <w:rPr>
                <w:rFonts w:cs="Arial"/>
                <w:lang w:val="fr-FR"/>
              </w:rPr>
            </w:pPr>
            <w:r w:rsidRPr="00275290">
              <w:rPr>
                <w:rFonts w:cs="Arial"/>
                <w:lang w:val="fr-FR"/>
              </w:rPr>
              <w:t>Cyperméthrine</w:t>
            </w:r>
          </w:p>
          <w:p w14:paraId="6D088164" w14:textId="77777777" w:rsidR="00F67CCD" w:rsidRPr="00275290" w:rsidRDefault="00F67CCD" w:rsidP="009D4550">
            <w:pPr>
              <w:rPr>
                <w:rFonts w:cs="Arial"/>
                <w:lang w:val="fr-FR"/>
              </w:rPr>
            </w:pPr>
            <w:r w:rsidRPr="00275290">
              <w:rPr>
                <w:rFonts w:cs="Arial"/>
                <w:lang w:val="fr-FR"/>
              </w:rPr>
              <w:t>0.022</w:t>
            </w:r>
          </w:p>
        </w:tc>
        <w:tc>
          <w:tcPr>
            <w:tcW w:w="1984" w:type="dxa"/>
            <w:vAlign w:val="center"/>
          </w:tcPr>
          <w:p w14:paraId="7A58B8DC" w14:textId="77777777" w:rsidR="00F67CCD" w:rsidRPr="00275290" w:rsidRDefault="00F67CCD" w:rsidP="009D4550">
            <w:pPr>
              <w:rPr>
                <w:rFonts w:cs="Arial"/>
                <w:color w:val="000000"/>
              </w:rPr>
            </w:pPr>
            <w:r w:rsidRPr="00275290">
              <w:rPr>
                <w:rFonts w:cs="Arial"/>
                <w:color w:val="000000"/>
              </w:rPr>
              <w:t>8,07E-03</w:t>
            </w:r>
          </w:p>
          <w:p w14:paraId="38B8C08A" w14:textId="77777777" w:rsidR="00F67CCD" w:rsidRPr="00275290" w:rsidRDefault="00F67CCD" w:rsidP="009D4550">
            <w:pPr>
              <w:rPr>
                <w:rFonts w:cs="Arial"/>
                <w:lang w:val="fr-FR"/>
              </w:rPr>
            </w:pPr>
          </w:p>
        </w:tc>
        <w:tc>
          <w:tcPr>
            <w:tcW w:w="1984" w:type="dxa"/>
            <w:vAlign w:val="center"/>
          </w:tcPr>
          <w:p w14:paraId="22BF4846" w14:textId="77777777" w:rsidR="00F67CCD" w:rsidRPr="00275290" w:rsidRDefault="00F67CCD" w:rsidP="009D4550">
            <w:pPr>
              <w:rPr>
                <w:rFonts w:cs="Arial"/>
                <w:lang w:val="fr-FR"/>
              </w:rPr>
            </w:pPr>
            <w:r w:rsidRPr="00275290">
              <w:rPr>
                <w:rFonts w:cs="Arial"/>
                <w:lang w:val="fr-FR"/>
              </w:rPr>
              <w:t>36.7</w:t>
            </w:r>
          </w:p>
        </w:tc>
      </w:tr>
      <w:tr w:rsidR="00F67CCD" w:rsidRPr="00275290" w14:paraId="3E62076B" w14:textId="77777777" w:rsidTr="0045722E">
        <w:tc>
          <w:tcPr>
            <w:tcW w:w="1526" w:type="dxa"/>
            <w:vMerge/>
            <w:vAlign w:val="center"/>
          </w:tcPr>
          <w:p w14:paraId="7F906C45" w14:textId="77777777" w:rsidR="00F67CCD" w:rsidRPr="00275290" w:rsidRDefault="00F67CCD" w:rsidP="009D4550">
            <w:pPr>
              <w:rPr>
                <w:rFonts w:cs="Arial"/>
                <w:lang w:val="fr-FR"/>
              </w:rPr>
            </w:pPr>
          </w:p>
        </w:tc>
        <w:tc>
          <w:tcPr>
            <w:tcW w:w="2441" w:type="dxa"/>
            <w:vAlign w:val="center"/>
          </w:tcPr>
          <w:p w14:paraId="62969D75" w14:textId="77777777" w:rsidR="00F67CCD" w:rsidRPr="00275290" w:rsidRDefault="00F67CCD" w:rsidP="009D4550">
            <w:pPr>
              <w:rPr>
                <w:rFonts w:cs="Arial"/>
                <w:lang w:val="fr-FR"/>
              </w:rPr>
            </w:pPr>
            <w:r w:rsidRPr="00275290">
              <w:rPr>
                <w:rFonts w:cs="Arial"/>
                <w:lang w:val="fr-FR"/>
              </w:rPr>
              <w:t>Propiconazole : 0.04</w:t>
            </w:r>
          </w:p>
        </w:tc>
        <w:tc>
          <w:tcPr>
            <w:tcW w:w="1984" w:type="dxa"/>
            <w:vAlign w:val="center"/>
          </w:tcPr>
          <w:p w14:paraId="47237E3A" w14:textId="77777777" w:rsidR="00F67CCD" w:rsidRPr="00275290" w:rsidRDefault="00F67CCD" w:rsidP="009D4550">
            <w:pPr>
              <w:rPr>
                <w:rFonts w:cs="Arial"/>
                <w:color w:val="000000"/>
              </w:rPr>
            </w:pPr>
            <w:r w:rsidRPr="00275290">
              <w:rPr>
                <w:rFonts w:cs="Arial"/>
                <w:color w:val="000000"/>
              </w:rPr>
              <w:t>1,17E-02</w:t>
            </w:r>
          </w:p>
        </w:tc>
        <w:tc>
          <w:tcPr>
            <w:tcW w:w="1984" w:type="dxa"/>
            <w:vAlign w:val="center"/>
          </w:tcPr>
          <w:p w14:paraId="37AE400D" w14:textId="77777777" w:rsidR="00F67CCD" w:rsidRPr="00275290" w:rsidRDefault="00F67CCD" w:rsidP="009D4550">
            <w:pPr>
              <w:rPr>
                <w:rFonts w:cs="Arial"/>
                <w:lang w:val="fr-FR"/>
              </w:rPr>
            </w:pPr>
            <w:r w:rsidRPr="00275290">
              <w:rPr>
                <w:rFonts w:cs="Arial"/>
                <w:lang w:val="fr-FR"/>
              </w:rPr>
              <w:t>29.2</w:t>
            </w:r>
          </w:p>
        </w:tc>
      </w:tr>
      <w:tr w:rsidR="00F67CCD" w:rsidRPr="00275290" w14:paraId="754B4672" w14:textId="77777777" w:rsidTr="0045722E">
        <w:tc>
          <w:tcPr>
            <w:tcW w:w="1526" w:type="dxa"/>
            <w:vMerge/>
            <w:vAlign w:val="center"/>
          </w:tcPr>
          <w:p w14:paraId="51C35A87" w14:textId="77777777" w:rsidR="00F67CCD" w:rsidRPr="00275290" w:rsidRDefault="00F67CCD" w:rsidP="009D4550">
            <w:pPr>
              <w:rPr>
                <w:rFonts w:cs="Arial"/>
                <w:lang w:val="fr-FR"/>
              </w:rPr>
            </w:pPr>
          </w:p>
        </w:tc>
        <w:tc>
          <w:tcPr>
            <w:tcW w:w="2441" w:type="dxa"/>
            <w:vAlign w:val="center"/>
          </w:tcPr>
          <w:p w14:paraId="4E74D1E5" w14:textId="77777777" w:rsidR="00F67CCD" w:rsidRPr="00275290" w:rsidRDefault="00F67CCD" w:rsidP="009D4550">
            <w:pPr>
              <w:rPr>
                <w:rFonts w:cs="Arial"/>
                <w:lang w:val="fr-FR"/>
              </w:rPr>
            </w:pPr>
            <w:r w:rsidRPr="00275290">
              <w:rPr>
                <w:rFonts w:cs="Arial"/>
                <w:lang w:val="fr-FR"/>
              </w:rPr>
              <w:t>Tébuconazole : 0.03</w:t>
            </w:r>
          </w:p>
        </w:tc>
        <w:tc>
          <w:tcPr>
            <w:tcW w:w="1984" w:type="dxa"/>
            <w:vAlign w:val="center"/>
          </w:tcPr>
          <w:p w14:paraId="72A52AC2" w14:textId="77777777" w:rsidR="00F67CCD" w:rsidRPr="00275290" w:rsidRDefault="00F67CCD" w:rsidP="009D4550">
            <w:pPr>
              <w:rPr>
                <w:rFonts w:cs="Arial"/>
                <w:color w:val="000000"/>
              </w:rPr>
            </w:pPr>
            <w:r w:rsidRPr="00275290">
              <w:rPr>
                <w:rFonts w:cs="Arial"/>
                <w:color w:val="000000"/>
              </w:rPr>
              <w:t>4,34E-03</w:t>
            </w:r>
          </w:p>
        </w:tc>
        <w:tc>
          <w:tcPr>
            <w:tcW w:w="1984" w:type="dxa"/>
            <w:vAlign w:val="center"/>
          </w:tcPr>
          <w:p w14:paraId="45665C3F" w14:textId="77777777" w:rsidR="00F67CCD" w:rsidRPr="00275290" w:rsidRDefault="00F67CCD" w:rsidP="009D4550">
            <w:pPr>
              <w:rPr>
                <w:rFonts w:cs="Arial"/>
                <w:lang w:val="fr-FR"/>
              </w:rPr>
            </w:pPr>
            <w:r w:rsidRPr="00275290">
              <w:rPr>
                <w:rFonts w:cs="Arial"/>
                <w:lang w:val="fr-FR"/>
              </w:rPr>
              <w:t>14.5</w:t>
            </w:r>
          </w:p>
        </w:tc>
      </w:tr>
      <w:tr w:rsidR="00F67CCD" w:rsidRPr="00275290" w14:paraId="2FB0E5EF" w14:textId="77777777" w:rsidTr="0045722E">
        <w:tc>
          <w:tcPr>
            <w:tcW w:w="1526" w:type="dxa"/>
            <w:vMerge/>
            <w:vAlign w:val="center"/>
          </w:tcPr>
          <w:p w14:paraId="63DA777A" w14:textId="77777777" w:rsidR="00F67CCD" w:rsidRPr="00275290" w:rsidRDefault="00F67CCD" w:rsidP="009D4550">
            <w:pPr>
              <w:rPr>
                <w:rFonts w:cs="Arial"/>
                <w:lang w:val="fr-FR"/>
              </w:rPr>
            </w:pPr>
          </w:p>
        </w:tc>
        <w:tc>
          <w:tcPr>
            <w:tcW w:w="2441" w:type="dxa"/>
            <w:vAlign w:val="center"/>
          </w:tcPr>
          <w:p w14:paraId="4F268206" w14:textId="77777777" w:rsidR="00F67CCD" w:rsidRPr="00275290" w:rsidRDefault="00F67CCD" w:rsidP="009D4550">
            <w:pPr>
              <w:rPr>
                <w:rFonts w:cs="Arial"/>
                <w:lang w:val="fr-FR"/>
              </w:rPr>
            </w:pPr>
            <w:r w:rsidRPr="00275290">
              <w:rPr>
                <w:rFonts w:cs="Arial"/>
                <w:lang w:val="fr-FR"/>
              </w:rPr>
              <w:t>IPBC</w:t>
            </w:r>
          </w:p>
          <w:p w14:paraId="1356FFF1" w14:textId="77777777" w:rsidR="00F67CCD" w:rsidRPr="00275290" w:rsidRDefault="00F67CCD" w:rsidP="009D4550">
            <w:pPr>
              <w:rPr>
                <w:rFonts w:cs="Arial"/>
                <w:lang w:val="fr-FR"/>
              </w:rPr>
            </w:pPr>
            <w:r w:rsidRPr="00275290">
              <w:rPr>
                <w:rFonts w:cs="Arial"/>
                <w:lang w:val="fr-FR"/>
              </w:rPr>
              <w:t>0.2</w:t>
            </w:r>
          </w:p>
        </w:tc>
        <w:tc>
          <w:tcPr>
            <w:tcW w:w="1984" w:type="dxa"/>
            <w:vAlign w:val="center"/>
          </w:tcPr>
          <w:p w14:paraId="0BA57946" w14:textId="77777777" w:rsidR="00F67CCD" w:rsidRPr="00275290" w:rsidRDefault="00F67CCD" w:rsidP="009D4550">
            <w:pPr>
              <w:rPr>
                <w:rFonts w:cs="Arial"/>
                <w:color w:val="000000"/>
              </w:rPr>
            </w:pPr>
            <w:r w:rsidRPr="00275290">
              <w:rPr>
                <w:rFonts w:cs="Arial"/>
                <w:color w:val="000000"/>
              </w:rPr>
              <w:t>1,05E-02</w:t>
            </w:r>
          </w:p>
        </w:tc>
        <w:tc>
          <w:tcPr>
            <w:tcW w:w="1984" w:type="dxa"/>
            <w:vAlign w:val="center"/>
          </w:tcPr>
          <w:p w14:paraId="662A3929" w14:textId="77777777" w:rsidR="00F67CCD" w:rsidRPr="00275290" w:rsidRDefault="00F67CCD" w:rsidP="009D4550">
            <w:pPr>
              <w:rPr>
                <w:rFonts w:cs="Arial"/>
                <w:lang w:val="fr-FR"/>
              </w:rPr>
            </w:pPr>
            <w:r w:rsidRPr="00275290">
              <w:rPr>
                <w:rFonts w:cs="Arial"/>
                <w:lang w:val="fr-FR"/>
              </w:rPr>
              <w:t>5.2</w:t>
            </w:r>
          </w:p>
        </w:tc>
      </w:tr>
      <w:tr w:rsidR="00F67CCD" w:rsidRPr="00275290" w14:paraId="43FE5D72" w14:textId="77777777" w:rsidTr="0045722E">
        <w:tc>
          <w:tcPr>
            <w:tcW w:w="1526" w:type="dxa"/>
            <w:vMerge w:val="restart"/>
            <w:shd w:val="clear" w:color="auto" w:fill="C6D9F1" w:themeFill="text2" w:themeFillTint="33"/>
            <w:vAlign w:val="center"/>
          </w:tcPr>
          <w:p w14:paraId="3071BD65" w14:textId="77777777" w:rsidR="00F67CCD" w:rsidRPr="00275290" w:rsidRDefault="00F67CCD" w:rsidP="009D4550">
            <w:pPr>
              <w:rPr>
                <w:rFonts w:cs="Arial"/>
                <w:lang w:val="fr-FR"/>
              </w:rPr>
            </w:pPr>
            <w:r w:rsidRPr="00275290">
              <w:rPr>
                <w:rFonts w:cs="Arial"/>
                <w:lang w:val="fr-FR"/>
              </w:rPr>
              <w:t>Transfer + application</w:t>
            </w:r>
          </w:p>
        </w:tc>
        <w:tc>
          <w:tcPr>
            <w:tcW w:w="2441" w:type="dxa"/>
            <w:shd w:val="clear" w:color="auto" w:fill="C6D9F1" w:themeFill="text2" w:themeFillTint="33"/>
            <w:vAlign w:val="center"/>
          </w:tcPr>
          <w:p w14:paraId="167B8EAE" w14:textId="77777777" w:rsidR="00F67CCD" w:rsidRPr="00275290" w:rsidRDefault="00F67CCD" w:rsidP="009D4550">
            <w:pPr>
              <w:rPr>
                <w:rFonts w:cs="Arial"/>
                <w:lang w:val="fr-FR"/>
              </w:rPr>
            </w:pPr>
            <w:r w:rsidRPr="00275290">
              <w:rPr>
                <w:rFonts w:cs="Arial"/>
                <w:lang w:val="fr-FR"/>
              </w:rPr>
              <w:t>Cyperméthrine</w:t>
            </w:r>
          </w:p>
          <w:p w14:paraId="1D1D6B86" w14:textId="77777777" w:rsidR="00F67CCD" w:rsidRPr="00275290" w:rsidRDefault="00F67CCD" w:rsidP="009D4550">
            <w:pPr>
              <w:rPr>
                <w:rFonts w:cs="Arial"/>
                <w:lang w:val="fr-FR"/>
              </w:rPr>
            </w:pPr>
            <w:r w:rsidRPr="00275290">
              <w:rPr>
                <w:rFonts w:cs="Arial"/>
                <w:lang w:val="fr-FR"/>
              </w:rPr>
              <w:t>0.022</w:t>
            </w:r>
          </w:p>
        </w:tc>
        <w:tc>
          <w:tcPr>
            <w:tcW w:w="1984" w:type="dxa"/>
            <w:shd w:val="clear" w:color="auto" w:fill="C6D9F1" w:themeFill="text2" w:themeFillTint="33"/>
            <w:vAlign w:val="center"/>
          </w:tcPr>
          <w:p w14:paraId="0CB2C402" w14:textId="77777777" w:rsidR="00F67CCD" w:rsidRPr="00275290" w:rsidRDefault="00F67CCD" w:rsidP="009D4550">
            <w:pPr>
              <w:rPr>
                <w:rFonts w:cs="Arial"/>
                <w:color w:val="000000"/>
              </w:rPr>
            </w:pPr>
            <w:r w:rsidRPr="00275290">
              <w:rPr>
                <w:rFonts w:cs="Arial"/>
                <w:color w:val="000000"/>
              </w:rPr>
              <w:t>1,29E-02</w:t>
            </w:r>
          </w:p>
        </w:tc>
        <w:tc>
          <w:tcPr>
            <w:tcW w:w="1984" w:type="dxa"/>
            <w:shd w:val="clear" w:color="auto" w:fill="C6D9F1" w:themeFill="text2" w:themeFillTint="33"/>
            <w:vAlign w:val="center"/>
          </w:tcPr>
          <w:p w14:paraId="4116296A" w14:textId="77777777" w:rsidR="00F67CCD" w:rsidRPr="00275290" w:rsidRDefault="00F67CCD" w:rsidP="009D4550">
            <w:pPr>
              <w:rPr>
                <w:rFonts w:cs="Arial"/>
                <w:lang w:val="fr-FR"/>
              </w:rPr>
            </w:pPr>
            <w:r w:rsidRPr="00275290">
              <w:rPr>
                <w:rFonts w:cs="Arial"/>
                <w:lang w:val="fr-FR"/>
              </w:rPr>
              <w:t>58.7</w:t>
            </w:r>
          </w:p>
        </w:tc>
      </w:tr>
      <w:tr w:rsidR="00F67CCD" w:rsidRPr="00275290" w14:paraId="336D0A06" w14:textId="77777777" w:rsidTr="0045722E">
        <w:tc>
          <w:tcPr>
            <w:tcW w:w="1526" w:type="dxa"/>
            <w:vMerge/>
            <w:shd w:val="clear" w:color="auto" w:fill="C6D9F1" w:themeFill="text2" w:themeFillTint="33"/>
            <w:vAlign w:val="center"/>
          </w:tcPr>
          <w:p w14:paraId="1053C36C"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787CB403" w14:textId="77777777" w:rsidR="00F67CCD" w:rsidRPr="00275290" w:rsidRDefault="00F67CCD" w:rsidP="009D4550">
            <w:pPr>
              <w:rPr>
                <w:rFonts w:cs="Arial"/>
                <w:lang w:val="fr-FR"/>
              </w:rPr>
            </w:pPr>
            <w:r w:rsidRPr="00275290">
              <w:rPr>
                <w:rFonts w:cs="Arial"/>
                <w:lang w:val="fr-FR"/>
              </w:rPr>
              <w:t>Propiconazole : 0.04</w:t>
            </w:r>
          </w:p>
        </w:tc>
        <w:tc>
          <w:tcPr>
            <w:tcW w:w="1984" w:type="dxa"/>
            <w:shd w:val="clear" w:color="auto" w:fill="C6D9F1" w:themeFill="text2" w:themeFillTint="33"/>
            <w:vAlign w:val="center"/>
          </w:tcPr>
          <w:p w14:paraId="6312D69E" w14:textId="77777777" w:rsidR="00F67CCD" w:rsidRPr="00275290" w:rsidRDefault="00F67CCD" w:rsidP="009D4550">
            <w:pPr>
              <w:rPr>
                <w:rFonts w:cs="Arial"/>
                <w:color w:val="000000"/>
              </w:rPr>
            </w:pPr>
            <w:r w:rsidRPr="00275290">
              <w:rPr>
                <w:rFonts w:cs="Arial"/>
                <w:color w:val="000000"/>
              </w:rPr>
              <w:t>1,87E-02</w:t>
            </w:r>
          </w:p>
        </w:tc>
        <w:tc>
          <w:tcPr>
            <w:tcW w:w="1984" w:type="dxa"/>
            <w:shd w:val="clear" w:color="auto" w:fill="C6D9F1" w:themeFill="text2" w:themeFillTint="33"/>
            <w:vAlign w:val="center"/>
          </w:tcPr>
          <w:p w14:paraId="64C04B3B" w14:textId="77777777" w:rsidR="00F67CCD" w:rsidRPr="00275290" w:rsidRDefault="00F67CCD" w:rsidP="009D4550">
            <w:pPr>
              <w:rPr>
                <w:rFonts w:cs="Arial"/>
                <w:lang w:val="fr-FR"/>
              </w:rPr>
            </w:pPr>
            <w:r w:rsidRPr="00275290">
              <w:rPr>
                <w:rFonts w:cs="Arial"/>
                <w:lang w:val="fr-FR"/>
              </w:rPr>
              <w:t>46.7</w:t>
            </w:r>
          </w:p>
        </w:tc>
      </w:tr>
      <w:tr w:rsidR="00F67CCD" w:rsidRPr="00275290" w14:paraId="1AEAFED2" w14:textId="77777777" w:rsidTr="0045722E">
        <w:tc>
          <w:tcPr>
            <w:tcW w:w="1526" w:type="dxa"/>
            <w:vMerge/>
            <w:shd w:val="clear" w:color="auto" w:fill="C6D9F1" w:themeFill="text2" w:themeFillTint="33"/>
            <w:vAlign w:val="center"/>
          </w:tcPr>
          <w:p w14:paraId="79264E02"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4D8BAE05" w14:textId="77777777" w:rsidR="00F67CCD" w:rsidRPr="00275290" w:rsidRDefault="00F67CCD" w:rsidP="009D4550">
            <w:pPr>
              <w:rPr>
                <w:rFonts w:cs="Arial"/>
                <w:lang w:val="fr-FR"/>
              </w:rPr>
            </w:pPr>
            <w:r w:rsidRPr="00275290">
              <w:rPr>
                <w:rFonts w:cs="Arial"/>
                <w:lang w:val="fr-FR"/>
              </w:rPr>
              <w:t>Tébuconazole : 0.03</w:t>
            </w:r>
          </w:p>
        </w:tc>
        <w:tc>
          <w:tcPr>
            <w:tcW w:w="1984" w:type="dxa"/>
            <w:shd w:val="clear" w:color="auto" w:fill="C6D9F1" w:themeFill="text2" w:themeFillTint="33"/>
            <w:vAlign w:val="center"/>
          </w:tcPr>
          <w:p w14:paraId="029FC312" w14:textId="77777777" w:rsidR="00F67CCD" w:rsidRPr="00275290" w:rsidRDefault="00F67CCD" w:rsidP="009D4550">
            <w:pPr>
              <w:rPr>
                <w:rFonts w:cs="Arial"/>
                <w:color w:val="000000"/>
              </w:rPr>
            </w:pPr>
            <w:r w:rsidRPr="00275290">
              <w:rPr>
                <w:rFonts w:cs="Arial"/>
                <w:color w:val="000000"/>
              </w:rPr>
              <w:t>6,96E-03</w:t>
            </w:r>
          </w:p>
        </w:tc>
        <w:tc>
          <w:tcPr>
            <w:tcW w:w="1984" w:type="dxa"/>
            <w:shd w:val="clear" w:color="auto" w:fill="C6D9F1" w:themeFill="text2" w:themeFillTint="33"/>
            <w:vAlign w:val="center"/>
          </w:tcPr>
          <w:p w14:paraId="460B476E" w14:textId="77777777" w:rsidR="00F67CCD" w:rsidRPr="00275290" w:rsidRDefault="00F67CCD" w:rsidP="009D4550">
            <w:pPr>
              <w:rPr>
                <w:rFonts w:cs="Arial"/>
                <w:lang w:val="fr-FR"/>
              </w:rPr>
            </w:pPr>
            <w:r w:rsidRPr="00275290">
              <w:rPr>
                <w:rFonts w:cs="Arial"/>
                <w:lang w:val="fr-FR"/>
              </w:rPr>
              <w:t>23.2</w:t>
            </w:r>
          </w:p>
        </w:tc>
      </w:tr>
      <w:tr w:rsidR="00F67CCD" w:rsidRPr="00275290" w14:paraId="5025E51A" w14:textId="77777777" w:rsidTr="0045722E">
        <w:tc>
          <w:tcPr>
            <w:tcW w:w="1526" w:type="dxa"/>
            <w:vMerge/>
            <w:shd w:val="clear" w:color="auto" w:fill="C6D9F1" w:themeFill="text2" w:themeFillTint="33"/>
            <w:vAlign w:val="center"/>
          </w:tcPr>
          <w:p w14:paraId="443E9129"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2F53A7B0" w14:textId="77777777" w:rsidR="00F67CCD" w:rsidRPr="00275290" w:rsidRDefault="00F67CCD" w:rsidP="009D4550">
            <w:pPr>
              <w:rPr>
                <w:rFonts w:cs="Arial"/>
                <w:lang w:val="fr-FR"/>
              </w:rPr>
            </w:pPr>
            <w:r w:rsidRPr="00275290">
              <w:rPr>
                <w:rFonts w:cs="Arial"/>
                <w:lang w:val="fr-FR"/>
              </w:rPr>
              <w:t>IPBC</w:t>
            </w:r>
          </w:p>
          <w:p w14:paraId="3754E3F4" w14:textId="77777777" w:rsidR="00F67CCD" w:rsidRPr="00275290" w:rsidRDefault="00F67CCD" w:rsidP="009D4550">
            <w:pPr>
              <w:rPr>
                <w:rFonts w:cs="Arial"/>
                <w:lang w:val="fr-FR"/>
              </w:rPr>
            </w:pPr>
            <w:r w:rsidRPr="00275290">
              <w:rPr>
                <w:rFonts w:cs="Arial"/>
                <w:lang w:val="fr-FR"/>
              </w:rPr>
              <w:t>0.2</w:t>
            </w:r>
          </w:p>
        </w:tc>
        <w:tc>
          <w:tcPr>
            <w:tcW w:w="1984" w:type="dxa"/>
            <w:shd w:val="clear" w:color="auto" w:fill="C6D9F1" w:themeFill="text2" w:themeFillTint="33"/>
            <w:vAlign w:val="center"/>
          </w:tcPr>
          <w:p w14:paraId="4EB9D963" w14:textId="77777777" w:rsidR="00F67CCD" w:rsidRPr="00275290" w:rsidRDefault="00F67CCD" w:rsidP="009D4550">
            <w:pPr>
              <w:rPr>
                <w:rFonts w:cs="Arial"/>
                <w:color w:val="000000"/>
              </w:rPr>
            </w:pPr>
            <w:r w:rsidRPr="00275290">
              <w:rPr>
                <w:rFonts w:cs="Arial"/>
                <w:color w:val="000000"/>
              </w:rPr>
              <w:t>1,68E-02</w:t>
            </w:r>
          </w:p>
        </w:tc>
        <w:tc>
          <w:tcPr>
            <w:tcW w:w="1984" w:type="dxa"/>
            <w:shd w:val="clear" w:color="auto" w:fill="C6D9F1" w:themeFill="text2" w:themeFillTint="33"/>
            <w:vAlign w:val="center"/>
          </w:tcPr>
          <w:p w14:paraId="4AD58B53" w14:textId="77777777" w:rsidR="00F67CCD" w:rsidRPr="00275290" w:rsidRDefault="00F67CCD" w:rsidP="009D4550">
            <w:pPr>
              <w:rPr>
                <w:rFonts w:cs="Arial"/>
                <w:lang w:val="fr-FR"/>
              </w:rPr>
            </w:pPr>
            <w:r w:rsidRPr="00275290">
              <w:rPr>
                <w:rFonts w:cs="Arial"/>
                <w:lang w:val="fr-FR"/>
              </w:rPr>
              <w:t>8.4</w:t>
            </w:r>
          </w:p>
        </w:tc>
      </w:tr>
      <w:tr w:rsidR="00F67CCD" w:rsidRPr="00275290" w14:paraId="327DCDFB" w14:textId="77777777" w:rsidTr="00666966">
        <w:tc>
          <w:tcPr>
            <w:tcW w:w="7935" w:type="dxa"/>
            <w:gridSpan w:val="4"/>
            <w:shd w:val="clear" w:color="auto" w:fill="BFBFBF" w:themeFill="background1" w:themeFillShade="BF"/>
            <w:vAlign w:val="center"/>
          </w:tcPr>
          <w:p w14:paraId="4AE71B90" w14:textId="7A940599" w:rsidR="00F67CCD" w:rsidRPr="00275290" w:rsidRDefault="00F67CCD" w:rsidP="009D4550">
            <w:pPr>
              <w:rPr>
                <w:rFonts w:cs="Arial"/>
                <w:lang w:val="en-US"/>
              </w:rPr>
            </w:pPr>
            <w:r w:rsidRPr="00275290">
              <w:rPr>
                <w:rFonts w:cs="Arial"/>
                <w:lang w:val="en-US"/>
              </w:rPr>
              <w:t>Automated dipping 200g/m</w:t>
            </w:r>
            <w:r w:rsidRPr="00275290">
              <w:rPr>
                <w:rFonts w:cs="Arial"/>
                <w:vertAlign w:val="superscript"/>
                <w:lang w:val="en-US"/>
              </w:rPr>
              <w:t>2</w:t>
            </w:r>
            <w:r w:rsidRPr="00275290">
              <w:rPr>
                <w:rFonts w:cs="Arial"/>
                <w:lang w:val="en-US"/>
              </w:rPr>
              <w:t xml:space="preserve"> – with gloves/clothes during M&amp;L and gloves during application</w:t>
            </w:r>
          </w:p>
        </w:tc>
      </w:tr>
      <w:tr w:rsidR="00F67CCD" w:rsidRPr="00275290" w14:paraId="4EBA21EE" w14:textId="77777777" w:rsidTr="0045722E">
        <w:tc>
          <w:tcPr>
            <w:tcW w:w="1526" w:type="dxa"/>
            <w:vMerge w:val="restart"/>
            <w:vAlign w:val="center"/>
          </w:tcPr>
          <w:p w14:paraId="1F53EC94" w14:textId="77777777" w:rsidR="00F67CCD" w:rsidRPr="00275290" w:rsidRDefault="00F67CCD" w:rsidP="009D4550">
            <w:pPr>
              <w:rPr>
                <w:rFonts w:cs="Arial"/>
                <w:lang w:val="en-US"/>
              </w:rPr>
            </w:pPr>
            <w:r w:rsidRPr="00275290">
              <w:rPr>
                <w:rFonts w:cs="Arial"/>
                <w:lang w:val="en-US"/>
              </w:rPr>
              <w:t>Transfer phase</w:t>
            </w:r>
          </w:p>
        </w:tc>
        <w:tc>
          <w:tcPr>
            <w:tcW w:w="2441" w:type="dxa"/>
            <w:vAlign w:val="center"/>
          </w:tcPr>
          <w:p w14:paraId="71A7ADCC" w14:textId="77777777" w:rsidR="00F67CCD" w:rsidRPr="00275290" w:rsidRDefault="00F67CCD" w:rsidP="009D4550">
            <w:pPr>
              <w:rPr>
                <w:rFonts w:cs="Arial"/>
                <w:lang w:val="fr-FR"/>
              </w:rPr>
            </w:pPr>
            <w:r w:rsidRPr="00275290">
              <w:rPr>
                <w:rFonts w:cs="Arial"/>
                <w:lang w:val="fr-FR"/>
              </w:rPr>
              <w:t>Cyperméthrine</w:t>
            </w:r>
          </w:p>
          <w:p w14:paraId="48C3689D" w14:textId="77777777" w:rsidR="00F67CCD" w:rsidRPr="00275290" w:rsidRDefault="00F67CCD" w:rsidP="009D4550">
            <w:pPr>
              <w:rPr>
                <w:rFonts w:cs="Arial"/>
                <w:lang w:val="fr-FR"/>
              </w:rPr>
            </w:pPr>
            <w:r w:rsidRPr="00275290">
              <w:rPr>
                <w:rFonts w:cs="Arial"/>
                <w:lang w:val="fr-FR"/>
              </w:rPr>
              <w:t>0.022</w:t>
            </w:r>
          </w:p>
        </w:tc>
        <w:tc>
          <w:tcPr>
            <w:tcW w:w="1984" w:type="dxa"/>
            <w:vAlign w:val="center"/>
          </w:tcPr>
          <w:p w14:paraId="0B913278" w14:textId="77777777" w:rsidR="00F67CCD" w:rsidRPr="00275290" w:rsidRDefault="00F67CCD" w:rsidP="009D4550">
            <w:pPr>
              <w:rPr>
                <w:rFonts w:cs="Arial"/>
                <w:color w:val="000000"/>
              </w:rPr>
            </w:pPr>
            <w:r w:rsidRPr="00275290">
              <w:rPr>
                <w:rFonts w:cs="Arial"/>
                <w:color w:val="000000"/>
              </w:rPr>
              <w:t>5,11E-05</w:t>
            </w:r>
          </w:p>
        </w:tc>
        <w:tc>
          <w:tcPr>
            <w:tcW w:w="1984" w:type="dxa"/>
            <w:vAlign w:val="center"/>
          </w:tcPr>
          <w:p w14:paraId="5C49DA7E" w14:textId="77777777" w:rsidR="00F67CCD" w:rsidRPr="00275290" w:rsidRDefault="00F67CCD" w:rsidP="009D4550">
            <w:pPr>
              <w:rPr>
                <w:rFonts w:cs="Arial"/>
                <w:lang w:val="fr-FR"/>
              </w:rPr>
            </w:pPr>
            <w:r w:rsidRPr="00275290">
              <w:rPr>
                <w:rFonts w:cs="Arial"/>
                <w:lang w:val="fr-FR"/>
              </w:rPr>
              <w:t>0.23</w:t>
            </w:r>
          </w:p>
        </w:tc>
      </w:tr>
      <w:tr w:rsidR="00F67CCD" w:rsidRPr="00275290" w14:paraId="3BCA86FB" w14:textId="77777777" w:rsidTr="0045722E">
        <w:tc>
          <w:tcPr>
            <w:tcW w:w="1526" w:type="dxa"/>
            <w:vMerge/>
            <w:vAlign w:val="center"/>
          </w:tcPr>
          <w:p w14:paraId="55B47CCE" w14:textId="77777777" w:rsidR="00F67CCD" w:rsidRPr="00275290" w:rsidRDefault="00F67CCD" w:rsidP="009D4550">
            <w:pPr>
              <w:rPr>
                <w:rFonts w:cs="Arial"/>
                <w:lang w:val="fr-FR"/>
              </w:rPr>
            </w:pPr>
          </w:p>
        </w:tc>
        <w:tc>
          <w:tcPr>
            <w:tcW w:w="2441" w:type="dxa"/>
            <w:vAlign w:val="center"/>
          </w:tcPr>
          <w:p w14:paraId="0824C068" w14:textId="77777777" w:rsidR="00F67CCD" w:rsidRPr="00275290" w:rsidRDefault="00F67CCD" w:rsidP="009D4550">
            <w:pPr>
              <w:rPr>
                <w:rFonts w:cs="Arial"/>
                <w:lang w:val="fr-FR"/>
              </w:rPr>
            </w:pPr>
            <w:r w:rsidRPr="00275290">
              <w:rPr>
                <w:rFonts w:cs="Arial"/>
                <w:lang w:val="fr-FR"/>
              </w:rPr>
              <w:t>Propiconazole : 0.04</w:t>
            </w:r>
          </w:p>
        </w:tc>
        <w:tc>
          <w:tcPr>
            <w:tcW w:w="1984" w:type="dxa"/>
            <w:vAlign w:val="center"/>
          </w:tcPr>
          <w:p w14:paraId="04F619E5" w14:textId="77777777" w:rsidR="00F67CCD" w:rsidRPr="00275290" w:rsidRDefault="00F67CCD" w:rsidP="009D4550">
            <w:pPr>
              <w:rPr>
                <w:rFonts w:cs="Arial"/>
                <w:color w:val="000000"/>
              </w:rPr>
            </w:pPr>
            <w:r w:rsidRPr="00275290">
              <w:rPr>
                <w:rFonts w:cs="Arial"/>
                <w:color w:val="000000"/>
              </w:rPr>
              <w:t>7,52E-05</w:t>
            </w:r>
          </w:p>
        </w:tc>
        <w:tc>
          <w:tcPr>
            <w:tcW w:w="1984" w:type="dxa"/>
            <w:vAlign w:val="center"/>
          </w:tcPr>
          <w:p w14:paraId="704C1DEF" w14:textId="77777777" w:rsidR="00F67CCD" w:rsidRPr="00275290" w:rsidRDefault="00F67CCD" w:rsidP="009D4550">
            <w:pPr>
              <w:rPr>
                <w:rFonts w:cs="Arial"/>
                <w:lang w:val="fr-FR"/>
              </w:rPr>
            </w:pPr>
            <w:r w:rsidRPr="00275290">
              <w:rPr>
                <w:rFonts w:cs="Arial"/>
                <w:lang w:val="fr-FR"/>
              </w:rPr>
              <w:t>0.19</w:t>
            </w:r>
          </w:p>
        </w:tc>
      </w:tr>
      <w:tr w:rsidR="00F67CCD" w:rsidRPr="00275290" w14:paraId="4CC61B99" w14:textId="77777777" w:rsidTr="0045722E">
        <w:tc>
          <w:tcPr>
            <w:tcW w:w="1526" w:type="dxa"/>
            <w:vMerge/>
            <w:vAlign w:val="center"/>
          </w:tcPr>
          <w:p w14:paraId="63A90F5E" w14:textId="77777777" w:rsidR="00F67CCD" w:rsidRPr="00275290" w:rsidRDefault="00F67CCD" w:rsidP="009D4550">
            <w:pPr>
              <w:rPr>
                <w:rFonts w:cs="Arial"/>
                <w:lang w:val="fr-FR"/>
              </w:rPr>
            </w:pPr>
          </w:p>
        </w:tc>
        <w:tc>
          <w:tcPr>
            <w:tcW w:w="2441" w:type="dxa"/>
            <w:vAlign w:val="center"/>
          </w:tcPr>
          <w:p w14:paraId="67BF6E39" w14:textId="77777777" w:rsidR="00F67CCD" w:rsidRPr="00275290" w:rsidRDefault="00F67CCD" w:rsidP="009D4550">
            <w:pPr>
              <w:rPr>
                <w:rFonts w:cs="Arial"/>
                <w:lang w:val="fr-FR"/>
              </w:rPr>
            </w:pPr>
            <w:r w:rsidRPr="00275290">
              <w:rPr>
                <w:rFonts w:cs="Arial"/>
                <w:lang w:val="fr-FR"/>
              </w:rPr>
              <w:t>Tébuconazole : 0.03</w:t>
            </w:r>
          </w:p>
        </w:tc>
        <w:tc>
          <w:tcPr>
            <w:tcW w:w="1984" w:type="dxa"/>
            <w:vAlign w:val="center"/>
          </w:tcPr>
          <w:p w14:paraId="35F4822F" w14:textId="77777777" w:rsidR="00F67CCD" w:rsidRPr="00275290" w:rsidRDefault="00F67CCD" w:rsidP="009D4550">
            <w:pPr>
              <w:rPr>
                <w:rFonts w:cs="Arial"/>
                <w:color w:val="000000"/>
              </w:rPr>
            </w:pPr>
            <w:r w:rsidRPr="00275290">
              <w:rPr>
                <w:rFonts w:cs="Arial"/>
                <w:color w:val="000000"/>
              </w:rPr>
              <w:t>2,77E-05</w:t>
            </w:r>
          </w:p>
        </w:tc>
        <w:tc>
          <w:tcPr>
            <w:tcW w:w="1984" w:type="dxa"/>
            <w:vAlign w:val="center"/>
          </w:tcPr>
          <w:p w14:paraId="00331A1F" w14:textId="77777777" w:rsidR="00F67CCD" w:rsidRPr="00275290" w:rsidRDefault="00F67CCD" w:rsidP="009D4550">
            <w:pPr>
              <w:rPr>
                <w:rFonts w:cs="Arial"/>
                <w:lang w:val="fr-FR"/>
              </w:rPr>
            </w:pPr>
            <w:r w:rsidRPr="00275290">
              <w:rPr>
                <w:rFonts w:cs="Arial"/>
                <w:lang w:val="fr-FR"/>
              </w:rPr>
              <w:t>0.09</w:t>
            </w:r>
          </w:p>
        </w:tc>
      </w:tr>
      <w:tr w:rsidR="00F67CCD" w:rsidRPr="00275290" w14:paraId="1E38BC50" w14:textId="77777777" w:rsidTr="0045722E">
        <w:tc>
          <w:tcPr>
            <w:tcW w:w="1526" w:type="dxa"/>
            <w:vMerge/>
            <w:vAlign w:val="center"/>
          </w:tcPr>
          <w:p w14:paraId="671DA794" w14:textId="77777777" w:rsidR="00F67CCD" w:rsidRPr="00275290" w:rsidRDefault="00F67CCD" w:rsidP="009D4550">
            <w:pPr>
              <w:rPr>
                <w:rFonts w:cs="Arial"/>
                <w:lang w:val="fr-FR"/>
              </w:rPr>
            </w:pPr>
          </w:p>
        </w:tc>
        <w:tc>
          <w:tcPr>
            <w:tcW w:w="2441" w:type="dxa"/>
            <w:vAlign w:val="center"/>
          </w:tcPr>
          <w:p w14:paraId="77B2C14A" w14:textId="77777777" w:rsidR="00F67CCD" w:rsidRPr="00275290" w:rsidRDefault="00F67CCD" w:rsidP="009D4550">
            <w:pPr>
              <w:rPr>
                <w:rFonts w:cs="Arial"/>
                <w:lang w:val="fr-FR"/>
              </w:rPr>
            </w:pPr>
            <w:r w:rsidRPr="00275290">
              <w:rPr>
                <w:rFonts w:cs="Arial"/>
                <w:lang w:val="fr-FR"/>
              </w:rPr>
              <w:t>IPBC</w:t>
            </w:r>
          </w:p>
          <w:p w14:paraId="1FAE1CA3" w14:textId="77777777" w:rsidR="00F67CCD" w:rsidRPr="00275290" w:rsidRDefault="00F67CCD" w:rsidP="009D4550">
            <w:pPr>
              <w:rPr>
                <w:rFonts w:cs="Arial"/>
                <w:lang w:val="fr-FR"/>
              </w:rPr>
            </w:pPr>
            <w:r w:rsidRPr="00275290">
              <w:rPr>
                <w:rFonts w:cs="Arial"/>
                <w:lang w:val="fr-FR"/>
              </w:rPr>
              <w:t>0.2</w:t>
            </w:r>
          </w:p>
        </w:tc>
        <w:tc>
          <w:tcPr>
            <w:tcW w:w="1984" w:type="dxa"/>
            <w:vAlign w:val="center"/>
          </w:tcPr>
          <w:p w14:paraId="758D4A4A" w14:textId="77777777" w:rsidR="00F67CCD" w:rsidRPr="00275290" w:rsidRDefault="00F67CCD" w:rsidP="009D4550">
            <w:pPr>
              <w:rPr>
                <w:rFonts w:cs="Arial"/>
                <w:color w:val="000000"/>
              </w:rPr>
            </w:pPr>
            <w:r w:rsidRPr="00275290">
              <w:rPr>
                <w:rFonts w:cs="Arial"/>
                <w:color w:val="000000"/>
              </w:rPr>
              <w:t>6,48E-05</w:t>
            </w:r>
          </w:p>
        </w:tc>
        <w:tc>
          <w:tcPr>
            <w:tcW w:w="1984" w:type="dxa"/>
            <w:vAlign w:val="center"/>
          </w:tcPr>
          <w:p w14:paraId="4867F81C" w14:textId="77777777" w:rsidR="00F67CCD" w:rsidRPr="00275290" w:rsidRDefault="00F67CCD" w:rsidP="009D4550">
            <w:pPr>
              <w:rPr>
                <w:rFonts w:cs="Arial"/>
                <w:lang w:val="fr-FR"/>
              </w:rPr>
            </w:pPr>
            <w:r w:rsidRPr="00275290">
              <w:rPr>
                <w:rFonts w:cs="Arial"/>
                <w:lang w:val="fr-FR"/>
              </w:rPr>
              <w:t>0.03</w:t>
            </w:r>
          </w:p>
        </w:tc>
      </w:tr>
      <w:tr w:rsidR="00F67CCD" w:rsidRPr="00275290" w14:paraId="45051F60" w14:textId="77777777" w:rsidTr="0045722E">
        <w:tc>
          <w:tcPr>
            <w:tcW w:w="1526" w:type="dxa"/>
            <w:vMerge w:val="restart"/>
            <w:vAlign w:val="center"/>
          </w:tcPr>
          <w:p w14:paraId="009C3446" w14:textId="5D448E8C" w:rsidR="00F67CCD" w:rsidRPr="00275290" w:rsidRDefault="00F67CCD">
            <w:pPr>
              <w:rPr>
                <w:rFonts w:cs="Arial"/>
                <w:lang w:val="en-US"/>
              </w:rPr>
            </w:pPr>
            <w:r w:rsidRPr="00275290">
              <w:rPr>
                <w:rFonts w:cs="Arial"/>
                <w:lang w:val="en-US"/>
              </w:rPr>
              <w:t>Product application phase</w:t>
            </w:r>
          </w:p>
        </w:tc>
        <w:tc>
          <w:tcPr>
            <w:tcW w:w="2441" w:type="dxa"/>
            <w:vAlign w:val="center"/>
          </w:tcPr>
          <w:p w14:paraId="038DFF55" w14:textId="77777777" w:rsidR="00F67CCD" w:rsidRPr="00275290" w:rsidRDefault="00F67CCD" w:rsidP="009D4550">
            <w:pPr>
              <w:rPr>
                <w:rFonts w:cs="Arial"/>
                <w:lang w:val="fr-FR"/>
              </w:rPr>
            </w:pPr>
            <w:r w:rsidRPr="00275290">
              <w:rPr>
                <w:rFonts w:cs="Arial"/>
                <w:lang w:val="fr-FR"/>
              </w:rPr>
              <w:t>Cyperméthrine</w:t>
            </w:r>
          </w:p>
          <w:p w14:paraId="79890AB2" w14:textId="77777777" w:rsidR="00F67CCD" w:rsidRPr="00275290" w:rsidRDefault="00F67CCD" w:rsidP="009D4550">
            <w:pPr>
              <w:rPr>
                <w:rFonts w:cs="Arial"/>
                <w:lang w:val="fr-FR"/>
              </w:rPr>
            </w:pPr>
            <w:r w:rsidRPr="00275290">
              <w:rPr>
                <w:rFonts w:cs="Arial"/>
                <w:lang w:val="fr-FR"/>
              </w:rPr>
              <w:t>0.022</w:t>
            </w:r>
          </w:p>
        </w:tc>
        <w:tc>
          <w:tcPr>
            <w:tcW w:w="1984" w:type="dxa"/>
            <w:vAlign w:val="center"/>
          </w:tcPr>
          <w:p w14:paraId="696D0BB4" w14:textId="2A1D73EB" w:rsidR="00F67CCD" w:rsidRPr="00275290" w:rsidRDefault="00F67CCD">
            <w:pPr>
              <w:rPr>
                <w:rFonts w:cs="Arial"/>
                <w:lang w:val="fr-FR"/>
              </w:rPr>
            </w:pPr>
            <w:r w:rsidRPr="00275290">
              <w:rPr>
                <w:rFonts w:cs="Arial"/>
                <w:color w:val="000000"/>
              </w:rPr>
              <w:t>8,07E-03</w:t>
            </w:r>
          </w:p>
        </w:tc>
        <w:tc>
          <w:tcPr>
            <w:tcW w:w="1984" w:type="dxa"/>
            <w:vAlign w:val="center"/>
          </w:tcPr>
          <w:p w14:paraId="1766D9A6" w14:textId="77777777" w:rsidR="00F67CCD" w:rsidRPr="00275290" w:rsidRDefault="00F67CCD" w:rsidP="009D4550">
            <w:pPr>
              <w:rPr>
                <w:rFonts w:cs="Arial"/>
                <w:lang w:val="fr-FR"/>
              </w:rPr>
            </w:pPr>
            <w:r w:rsidRPr="00275290">
              <w:rPr>
                <w:rFonts w:cs="Arial"/>
                <w:lang w:val="fr-FR"/>
              </w:rPr>
              <w:t>36.7</w:t>
            </w:r>
          </w:p>
        </w:tc>
      </w:tr>
      <w:tr w:rsidR="00F67CCD" w:rsidRPr="00275290" w14:paraId="151F41EC" w14:textId="77777777" w:rsidTr="0045722E">
        <w:tc>
          <w:tcPr>
            <w:tcW w:w="1526" w:type="dxa"/>
            <w:vMerge/>
            <w:vAlign w:val="center"/>
          </w:tcPr>
          <w:p w14:paraId="709172D3" w14:textId="77777777" w:rsidR="00F67CCD" w:rsidRPr="00275290" w:rsidRDefault="00F67CCD" w:rsidP="009D4550">
            <w:pPr>
              <w:rPr>
                <w:rFonts w:cs="Arial"/>
                <w:lang w:val="fr-FR"/>
              </w:rPr>
            </w:pPr>
          </w:p>
        </w:tc>
        <w:tc>
          <w:tcPr>
            <w:tcW w:w="2441" w:type="dxa"/>
            <w:vAlign w:val="center"/>
          </w:tcPr>
          <w:p w14:paraId="16EEF766" w14:textId="77777777" w:rsidR="00F67CCD" w:rsidRPr="00275290" w:rsidRDefault="00F67CCD" w:rsidP="009D4550">
            <w:pPr>
              <w:rPr>
                <w:rFonts w:cs="Arial"/>
                <w:lang w:val="fr-FR"/>
              </w:rPr>
            </w:pPr>
            <w:r w:rsidRPr="00275290">
              <w:rPr>
                <w:rFonts w:cs="Arial"/>
                <w:lang w:val="fr-FR"/>
              </w:rPr>
              <w:t>Propiconazole : 0.04</w:t>
            </w:r>
          </w:p>
        </w:tc>
        <w:tc>
          <w:tcPr>
            <w:tcW w:w="1984" w:type="dxa"/>
            <w:vAlign w:val="center"/>
          </w:tcPr>
          <w:p w14:paraId="6895C983" w14:textId="77777777" w:rsidR="00F67CCD" w:rsidRPr="00275290" w:rsidRDefault="00F67CCD" w:rsidP="009D4550">
            <w:pPr>
              <w:rPr>
                <w:rFonts w:cs="Arial"/>
                <w:color w:val="000000"/>
              </w:rPr>
            </w:pPr>
            <w:r w:rsidRPr="00275290">
              <w:rPr>
                <w:rFonts w:cs="Arial"/>
                <w:color w:val="000000"/>
              </w:rPr>
              <w:t>1,17E-02</w:t>
            </w:r>
          </w:p>
        </w:tc>
        <w:tc>
          <w:tcPr>
            <w:tcW w:w="1984" w:type="dxa"/>
            <w:vAlign w:val="center"/>
          </w:tcPr>
          <w:p w14:paraId="55608F0A" w14:textId="77777777" w:rsidR="00F67CCD" w:rsidRPr="00275290" w:rsidRDefault="00F67CCD" w:rsidP="009D4550">
            <w:pPr>
              <w:rPr>
                <w:rFonts w:cs="Arial"/>
                <w:lang w:val="fr-FR"/>
              </w:rPr>
            </w:pPr>
            <w:r w:rsidRPr="00275290">
              <w:rPr>
                <w:rFonts w:cs="Arial"/>
                <w:lang w:val="fr-FR"/>
              </w:rPr>
              <w:t>29.2</w:t>
            </w:r>
          </w:p>
        </w:tc>
      </w:tr>
      <w:tr w:rsidR="00F67CCD" w:rsidRPr="00275290" w14:paraId="19B20497" w14:textId="77777777" w:rsidTr="0045722E">
        <w:tc>
          <w:tcPr>
            <w:tcW w:w="1526" w:type="dxa"/>
            <w:vMerge/>
            <w:vAlign w:val="center"/>
          </w:tcPr>
          <w:p w14:paraId="6B30C549" w14:textId="77777777" w:rsidR="00F67CCD" w:rsidRPr="00275290" w:rsidRDefault="00F67CCD" w:rsidP="009D4550">
            <w:pPr>
              <w:rPr>
                <w:rFonts w:cs="Arial"/>
                <w:lang w:val="fr-FR"/>
              </w:rPr>
            </w:pPr>
          </w:p>
        </w:tc>
        <w:tc>
          <w:tcPr>
            <w:tcW w:w="2441" w:type="dxa"/>
            <w:vAlign w:val="center"/>
          </w:tcPr>
          <w:p w14:paraId="490D7775" w14:textId="77777777" w:rsidR="00F67CCD" w:rsidRPr="00275290" w:rsidRDefault="00F67CCD" w:rsidP="009D4550">
            <w:pPr>
              <w:rPr>
                <w:rFonts w:cs="Arial"/>
                <w:lang w:val="fr-FR"/>
              </w:rPr>
            </w:pPr>
            <w:r w:rsidRPr="00275290">
              <w:rPr>
                <w:rFonts w:cs="Arial"/>
                <w:lang w:val="fr-FR"/>
              </w:rPr>
              <w:t>Tébuconazole : 0.03</w:t>
            </w:r>
          </w:p>
        </w:tc>
        <w:tc>
          <w:tcPr>
            <w:tcW w:w="1984" w:type="dxa"/>
            <w:vAlign w:val="center"/>
          </w:tcPr>
          <w:p w14:paraId="24AC99C0" w14:textId="77777777" w:rsidR="00F67CCD" w:rsidRPr="00275290" w:rsidRDefault="00F67CCD" w:rsidP="009D4550">
            <w:pPr>
              <w:rPr>
                <w:rFonts w:cs="Arial"/>
                <w:color w:val="000000"/>
              </w:rPr>
            </w:pPr>
            <w:r w:rsidRPr="00275290">
              <w:rPr>
                <w:rFonts w:cs="Arial"/>
                <w:color w:val="000000"/>
              </w:rPr>
              <w:t>4,34E-03</w:t>
            </w:r>
          </w:p>
        </w:tc>
        <w:tc>
          <w:tcPr>
            <w:tcW w:w="1984" w:type="dxa"/>
            <w:vAlign w:val="center"/>
          </w:tcPr>
          <w:p w14:paraId="0C9310DA" w14:textId="77777777" w:rsidR="00F67CCD" w:rsidRPr="00275290" w:rsidRDefault="00F67CCD" w:rsidP="009D4550">
            <w:pPr>
              <w:rPr>
                <w:rFonts w:cs="Arial"/>
                <w:lang w:val="fr-FR"/>
              </w:rPr>
            </w:pPr>
            <w:r w:rsidRPr="00275290">
              <w:rPr>
                <w:rFonts w:cs="Arial"/>
                <w:lang w:val="fr-FR"/>
              </w:rPr>
              <w:t>14.5</w:t>
            </w:r>
          </w:p>
        </w:tc>
      </w:tr>
      <w:tr w:rsidR="00F67CCD" w:rsidRPr="00275290" w14:paraId="21701DE8" w14:textId="77777777" w:rsidTr="0045722E">
        <w:tc>
          <w:tcPr>
            <w:tcW w:w="1526" w:type="dxa"/>
            <w:vMerge/>
            <w:vAlign w:val="center"/>
          </w:tcPr>
          <w:p w14:paraId="5D66C9D4" w14:textId="77777777" w:rsidR="00F67CCD" w:rsidRPr="00275290" w:rsidRDefault="00F67CCD" w:rsidP="009D4550">
            <w:pPr>
              <w:rPr>
                <w:rFonts w:cs="Arial"/>
                <w:lang w:val="fr-FR"/>
              </w:rPr>
            </w:pPr>
          </w:p>
        </w:tc>
        <w:tc>
          <w:tcPr>
            <w:tcW w:w="2441" w:type="dxa"/>
            <w:vAlign w:val="center"/>
          </w:tcPr>
          <w:p w14:paraId="4B59BF77" w14:textId="77777777" w:rsidR="00F67CCD" w:rsidRPr="00275290" w:rsidRDefault="00F67CCD" w:rsidP="009D4550">
            <w:pPr>
              <w:rPr>
                <w:rFonts w:cs="Arial"/>
                <w:lang w:val="fr-FR"/>
              </w:rPr>
            </w:pPr>
            <w:r w:rsidRPr="00275290">
              <w:rPr>
                <w:rFonts w:cs="Arial"/>
                <w:lang w:val="fr-FR"/>
              </w:rPr>
              <w:t>IPBC</w:t>
            </w:r>
          </w:p>
          <w:p w14:paraId="4D131A89" w14:textId="77777777" w:rsidR="00F67CCD" w:rsidRPr="00275290" w:rsidRDefault="00F67CCD" w:rsidP="009D4550">
            <w:pPr>
              <w:rPr>
                <w:rFonts w:cs="Arial"/>
                <w:lang w:val="fr-FR"/>
              </w:rPr>
            </w:pPr>
            <w:r w:rsidRPr="00275290">
              <w:rPr>
                <w:rFonts w:cs="Arial"/>
                <w:lang w:val="fr-FR"/>
              </w:rPr>
              <w:t>0.2</w:t>
            </w:r>
          </w:p>
        </w:tc>
        <w:tc>
          <w:tcPr>
            <w:tcW w:w="1984" w:type="dxa"/>
            <w:vAlign w:val="center"/>
          </w:tcPr>
          <w:p w14:paraId="70EDDF98" w14:textId="77777777" w:rsidR="00F67CCD" w:rsidRPr="00275290" w:rsidRDefault="00F67CCD" w:rsidP="009D4550">
            <w:pPr>
              <w:rPr>
                <w:rFonts w:cs="Arial"/>
                <w:color w:val="000000"/>
              </w:rPr>
            </w:pPr>
            <w:r w:rsidRPr="00275290">
              <w:rPr>
                <w:rFonts w:cs="Arial"/>
                <w:color w:val="000000"/>
              </w:rPr>
              <w:t>1,05E-02</w:t>
            </w:r>
          </w:p>
        </w:tc>
        <w:tc>
          <w:tcPr>
            <w:tcW w:w="1984" w:type="dxa"/>
            <w:vAlign w:val="center"/>
          </w:tcPr>
          <w:p w14:paraId="70A7C4A6" w14:textId="77777777" w:rsidR="00F67CCD" w:rsidRPr="00275290" w:rsidRDefault="00F67CCD" w:rsidP="009D4550">
            <w:pPr>
              <w:rPr>
                <w:rFonts w:cs="Arial"/>
                <w:lang w:val="fr-FR"/>
              </w:rPr>
            </w:pPr>
            <w:r w:rsidRPr="00275290">
              <w:rPr>
                <w:rFonts w:cs="Arial"/>
                <w:lang w:val="fr-FR"/>
              </w:rPr>
              <w:t>5.2</w:t>
            </w:r>
          </w:p>
        </w:tc>
      </w:tr>
      <w:tr w:rsidR="00F67CCD" w:rsidRPr="00275290" w14:paraId="0DA2037B" w14:textId="77777777" w:rsidTr="0045722E">
        <w:tc>
          <w:tcPr>
            <w:tcW w:w="1526" w:type="dxa"/>
            <w:vMerge w:val="restart"/>
            <w:shd w:val="clear" w:color="auto" w:fill="C6D9F1" w:themeFill="text2" w:themeFillTint="33"/>
            <w:vAlign w:val="center"/>
          </w:tcPr>
          <w:p w14:paraId="653823D2" w14:textId="77777777" w:rsidR="00F67CCD" w:rsidRPr="00275290" w:rsidRDefault="00F67CCD" w:rsidP="009D4550">
            <w:pPr>
              <w:rPr>
                <w:rFonts w:cs="Arial"/>
                <w:lang w:val="fr-FR"/>
              </w:rPr>
            </w:pPr>
            <w:r w:rsidRPr="00275290">
              <w:rPr>
                <w:rFonts w:cs="Arial"/>
                <w:lang w:val="fr-FR"/>
              </w:rPr>
              <w:t>Transfer + application</w:t>
            </w:r>
          </w:p>
        </w:tc>
        <w:tc>
          <w:tcPr>
            <w:tcW w:w="2441" w:type="dxa"/>
            <w:shd w:val="clear" w:color="auto" w:fill="C6D9F1" w:themeFill="text2" w:themeFillTint="33"/>
            <w:vAlign w:val="center"/>
          </w:tcPr>
          <w:p w14:paraId="35C327A0" w14:textId="77777777" w:rsidR="00F67CCD" w:rsidRPr="00275290" w:rsidRDefault="00F67CCD" w:rsidP="009D4550">
            <w:pPr>
              <w:rPr>
                <w:rFonts w:cs="Arial"/>
                <w:lang w:val="fr-FR"/>
              </w:rPr>
            </w:pPr>
            <w:r w:rsidRPr="00275290">
              <w:rPr>
                <w:rFonts w:cs="Arial"/>
                <w:lang w:val="fr-FR"/>
              </w:rPr>
              <w:t>Cyperméthrine</w:t>
            </w:r>
          </w:p>
          <w:p w14:paraId="1AD3F407" w14:textId="77777777" w:rsidR="00F67CCD" w:rsidRPr="00275290" w:rsidRDefault="00F67CCD" w:rsidP="009D4550">
            <w:pPr>
              <w:rPr>
                <w:rFonts w:cs="Arial"/>
                <w:lang w:val="fr-FR"/>
              </w:rPr>
            </w:pPr>
            <w:r w:rsidRPr="00275290">
              <w:rPr>
                <w:rFonts w:cs="Arial"/>
                <w:lang w:val="fr-FR"/>
              </w:rPr>
              <w:t>0.022</w:t>
            </w:r>
          </w:p>
        </w:tc>
        <w:tc>
          <w:tcPr>
            <w:tcW w:w="1984" w:type="dxa"/>
            <w:shd w:val="clear" w:color="auto" w:fill="C6D9F1" w:themeFill="text2" w:themeFillTint="33"/>
            <w:vAlign w:val="center"/>
          </w:tcPr>
          <w:p w14:paraId="50456E49" w14:textId="77777777" w:rsidR="00F67CCD" w:rsidRPr="00275290" w:rsidRDefault="00F67CCD" w:rsidP="009D4550">
            <w:pPr>
              <w:rPr>
                <w:rFonts w:cs="Arial"/>
                <w:color w:val="000000"/>
              </w:rPr>
            </w:pPr>
            <w:r w:rsidRPr="00275290">
              <w:rPr>
                <w:rFonts w:cs="Arial"/>
                <w:color w:val="000000"/>
              </w:rPr>
              <w:t>8,12E-03</w:t>
            </w:r>
          </w:p>
        </w:tc>
        <w:tc>
          <w:tcPr>
            <w:tcW w:w="1984" w:type="dxa"/>
            <w:shd w:val="clear" w:color="auto" w:fill="C6D9F1" w:themeFill="text2" w:themeFillTint="33"/>
            <w:vAlign w:val="center"/>
          </w:tcPr>
          <w:p w14:paraId="12A4B3C6" w14:textId="77777777" w:rsidR="00F67CCD" w:rsidRPr="00275290" w:rsidRDefault="00F67CCD" w:rsidP="009D4550">
            <w:pPr>
              <w:rPr>
                <w:rFonts w:cs="Arial"/>
                <w:lang w:val="fr-FR"/>
              </w:rPr>
            </w:pPr>
            <w:r w:rsidRPr="00275290">
              <w:rPr>
                <w:rFonts w:cs="Arial"/>
                <w:lang w:val="fr-FR"/>
              </w:rPr>
              <w:t>36.9</w:t>
            </w:r>
          </w:p>
        </w:tc>
      </w:tr>
      <w:tr w:rsidR="00F67CCD" w:rsidRPr="00275290" w14:paraId="30FA9040" w14:textId="77777777" w:rsidTr="0045722E">
        <w:tc>
          <w:tcPr>
            <w:tcW w:w="1526" w:type="dxa"/>
            <w:vMerge/>
            <w:shd w:val="clear" w:color="auto" w:fill="C6D9F1" w:themeFill="text2" w:themeFillTint="33"/>
            <w:vAlign w:val="center"/>
          </w:tcPr>
          <w:p w14:paraId="1B6C3B56"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222D07D1" w14:textId="77777777" w:rsidR="00F67CCD" w:rsidRPr="00275290" w:rsidRDefault="00F67CCD" w:rsidP="009D4550">
            <w:pPr>
              <w:rPr>
                <w:rFonts w:cs="Arial"/>
                <w:lang w:val="fr-FR"/>
              </w:rPr>
            </w:pPr>
            <w:r w:rsidRPr="00275290">
              <w:rPr>
                <w:rFonts w:cs="Arial"/>
                <w:lang w:val="fr-FR"/>
              </w:rPr>
              <w:t>Propiconazole : 0.04</w:t>
            </w:r>
          </w:p>
        </w:tc>
        <w:tc>
          <w:tcPr>
            <w:tcW w:w="1984" w:type="dxa"/>
            <w:shd w:val="clear" w:color="auto" w:fill="C6D9F1" w:themeFill="text2" w:themeFillTint="33"/>
            <w:vAlign w:val="center"/>
          </w:tcPr>
          <w:p w14:paraId="3491B1E5" w14:textId="77777777" w:rsidR="00F67CCD" w:rsidRPr="00275290" w:rsidRDefault="00F67CCD" w:rsidP="009D4550">
            <w:pPr>
              <w:rPr>
                <w:rFonts w:cs="Arial"/>
                <w:color w:val="000000"/>
              </w:rPr>
            </w:pPr>
            <w:r w:rsidRPr="00275290">
              <w:rPr>
                <w:rFonts w:cs="Arial"/>
                <w:color w:val="000000"/>
              </w:rPr>
              <w:t>1,17E-02</w:t>
            </w:r>
          </w:p>
        </w:tc>
        <w:tc>
          <w:tcPr>
            <w:tcW w:w="1984" w:type="dxa"/>
            <w:shd w:val="clear" w:color="auto" w:fill="C6D9F1" w:themeFill="text2" w:themeFillTint="33"/>
            <w:vAlign w:val="center"/>
          </w:tcPr>
          <w:p w14:paraId="54627748" w14:textId="77777777" w:rsidR="00F67CCD" w:rsidRPr="00275290" w:rsidRDefault="00F67CCD" w:rsidP="009D4550">
            <w:pPr>
              <w:rPr>
                <w:rFonts w:cs="Arial"/>
                <w:lang w:val="fr-FR"/>
              </w:rPr>
            </w:pPr>
            <w:r w:rsidRPr="00275290">
              <w:rPr>
                <w:rFonts w:cs="Arial"/>
                <w:lang w:val="fr-FR"/>
              </w:rPr>
              <w:t>29.4</w:t>
            </w:r>
          </w:p>
        </w:tc>
      </w:tr>
      <w:tr w:rsidR="00F67CCD" w:rsidRPr="00275290" w14:paraId="5466077A" w14:textId="77777777" w:rsidTr="0045722E">
        <w:tc>
          <w:tcPr>
            <w:tcW w:w="1526" w:type="dxa"/>
            <w:vMerge/>
            <w:shd w:val="clear" w:color="auto" w:fill="C6D9F1" w:themeFill="text2" w:themeFillTint="33"/>
            <w:vAlign w:val="center"/>
          </w:tcPr>
          <w:p w14:paraId="177CB1BB"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25BB1B8B" w14:textId="77777777" w:rsidR="00F67CCD" w:rsidRPr="00275290" w:rsidRDefault="00F67CCD" w:rsidP="009D4550">
            <w:pPr>
              <w:rPr>
                <w:rFonts w:cs="Arial"/>
                <w:lang w:val="fr-FR"/>
              </w:rPr>
            </w:pPr>
            <w:r w:rsidRPr="00275290">
              <w:rPr>
                <w:rFonts w:cs="Arial"/>
                <w:lang w:val="fr-FR"/>
              </w:rPr>
              <w:t>Tébuconazole : 0.03</w:t>
            </w:r>
          </w:p>
        </w:tc>
        <w:tc>
          <w:tcPr>
            <w:tcW w:w="1984" w:type="dxa"/>
            <w:shd w:val="clear" w:color="auto" w:fill="C6D9F1" w:themeFill="text2" w:themeFillTint="33"/>
            <w:vAlign w:val="center"/>
          </w:tcPr>
          <w:p w14:paraId="161C5759" w14:textId="77777777" w:rsidR="00F67CCD" w:rsidRPr="00275290" w:rsidRDefault="00F67CCD" w:rsidP="009D4550">
            <w:pPr>
              <w:rPr>
                <w:rFonts w:cs="Arial"/>
                <w:color w:val="000000"/>
              </w:rPr>
            </w:pPr>
            <w:r w:rsidRPr="00275290">
              <w:rPr>
                <w:rFonts w:cs="Arial"/>
                <w:color w:val="000000"/>
              </w:rPr>
              <w:t>4,37E-03</w:t>
            </w:r>
          </w:p>
        </w:tc>
        <w:tc>
          <w:tcPr>
            <w:tcW w:w="1984" w:type="dxa"/>
            <w:shd w:val="clear" w:color="auto" w:fill="C6D9F1" w:themeFill="text2" w:themeFillTint="33"/>
            <w:vAlign w:val="center"/>
          </w:tcPr>
          <w:p w14:paraId="584FBF7B" w14:textId="77777777" w:rsidR="00F67CCD" w:rsidRPr="00275290" w:rsidRDefault="00F67CCD" w:rsidP="009D4550">
            <w:pPr>
              <w:rPr>
                <w:rFonts w:cs="Arial"/>
                <w:lang w:val="fr-FR"/>
              </w:rPr>
            </w:pPr>
            <w:r w:rsidRPr="00275290">
              <w:rPr>
                <w:rFonts w:cs="Arial"/>
                <w:lang w:val="fr-FR"/>
              </w:rPr>
              <w:t>14.6</w:t>
            </w:r>
          </w:p>
        </w:tc>
      </w:tr>
      <w:tr w:rsidR="00F67CCD" w:rsidRPr="00275290" w14:paraId="3BAA0EFF" w14:textId="77777777" w:rsidTr="0045722E">
        <w:tc>
          <w:tcPr>
            <w:tcW w:w="1526" w:type="dxa"/>
            <w:vMerge/>
            <w:shd w:val="clear" w:color="auto" w:fill="C6D9F1" w:themeFill="text2" w:themeFillTint="33"/>
            <w:vAlign w:val="center"/>
          </w:tcPr>
          <w:p w14:paraId="6939B3D3"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65B4A40E" w14:textId="77777777" w:rsidR="00F67CCD" w:rsidRPr="00275290" w:rsidRDefault="00F67CCD" w:rsidP="009D4550">
            <w:pPr>
              <w:rPr>
                <w:rFonts w:cs="Arial"/>
                <w:lang w:val="fr-FR"/>
              </w:rPr>
            </w:pPr>
            <w:r w:rsidRPr="00275290">
              <w:rPr>
                <w:rFonts w:cs="Arial"/>
                <w:lang w:val="fr-FR"/>
              </w:rPr>
              <w:t>IPBC</w:t>
            </w:r>
          </w:p>
          <w:p w14:paraId="5E069755" w14:textId="77777777" w:rsidR="00F67CCD" w:rsidRPr="00275290" w:rsidRDefault="00F67CCD" w:rsidP="009D4550">
            <w:pPr>
              <w:rPr>
                <w:rFonts w:cs="Arial"/>
                <w:lang w:val="fr-FR"/>
              </w:rPr>
            </w:pPr>
            <w:r w:rsidRPr="00275290">
              <w:rPr>
                <w:rFonts w:cs="Arial"/>
                <w:lang w:val="fr-FR"/>
              </w:rPr>
              <w:t>0.2</w:t>
            </w:r>
          </w:p>
        </w:tc>
        <w:tc>
          <w:tcPr>
            <w:tcW w:w="1984" w:type="dxa"/>
            <w:shd w:val="clear" w:color="auto" w:fill="C6D9F1" w:themeFill="text2" w:themeFillTint="33"/>
            <w:vAlign w:val="center"/>
          </w:tcPr>
          <w:p w14:paraId="3DE88773" w14:textId="77777777" w:rsidR="00F67CCD" w:rsidRPr="00275290" w:rsidRDefault="00F67CCD" w:rsidP="009D4550">
            <w:pPr>
              <w:rPr>
                <w:rFonts w:cs="Arial"/>
                <w:color w:val="000000"/>
              </w:rPr>
            </w:pPr>
            <w:r w:rsidRPr="00275290">
              <w:rPr>
                <w:rFonts w:cs="Arial"/>
                <w:color w:val="000000"/>
              </w:rPr>
              <w:t>1,05E-02</w:t>
            </w:r>
          </w:p>
        </w:tc>
        <w:tc>
          <w:tcPr>
            <w:tcW w:w="1984" w:type="dxa"/>
            <w:shd w:val="clear" w:color="auto" w:fill="C6D9F1" w:themeFill="text2" w:themeFillTint="33"/>
            <w:vAlign w:val="center"/>
          </w:tcPr>
          <w:p w14:paraId="1CA10C03" w14:textId="77777777" w:rsidR="00F67CCD" w:rsidRPr="00275290" w:rsidRDefault="00F67CCD" w:rsidP="009D4550">
            <w:pPr>
              <w:rPr>
                <w:rFonts w:cs="Arial"/>
                <w:lang w:val="fr-FR"/>
              </w:rPr>
            </w:pPr>
            <w:r w:rsidRPr="00275290">
              <w:rPr>
                <w:rFonts w:cs="Arial"/>
                <w:lang w:val="fr-FR"/>
              </w:rPr>
              <w:t>5.3</w:t>
            </w:r>
          </w:p>
        </w:tc>
      </w:tr>
    </w:tbl>
    <w:p w14:paraId="67F82737" w14:textId="35155AF8" w:rsidR="009D4550" w:rsidRPr="00275290" w:rsidRDefault="009D4550" w:rsidP="00932144">
      <w:pPr>
        <w:pStyle w:val="BfRBBStandard"/>
        <w:suppressAutoHyphens w:val="0"/>
        <w:autoSpaceDN w:val="0"/>
        <w:rPr>
          <w:rFonts w:ascii="Verdana" w:eastAsia="Times New Roman" w:hAnsi="Verdana"/>
          <w:sz w:val="20"/>
          <w:szCs w:val="20"/>
          <w:lang w:val="en-GB" w:eastAsia="sv-SE"/>
        </w:rPr>
      </w:pPr>
    </w:p>
    <w:p w14:paraId="36055002" w14:textId="77777777" w:rsidR="009D4550" w:rsidRPr="00275290" w:rsidRDefault="009D4550" w:rsidP="009D4550">
      <w:pPr>
        <w:pStyle w:val="BfRBBStandard"/>
        <w:rPr>
          <w:rFonts w:ascii="Verdana" w:eastAsia="Times New Roman" w:hAnsi="Verdana"/>
          <w:sz w:val="20"/>
          <w:szCs w:val="20"/>
          <w:lang w:val="en-GB" w:eastAsia="sv-SE"/>
        </w:rPr>
      </w:pPr>
    </w:p>
    <w:p w14:paraId="04DB2D34" w14:textId="77777777" w:rsidR="009D4550" w:rsidRPr="00275290" w:rsidRDefault="009D4550" w:rsidP="00932144">
      <w:pPr>
        <w:pStyle w:val="BfRBBStandard"/>
        <w:keepNext/>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6761DA83" w14:textId="77777777" w:rsidR="009D4550" w:rsidRPr="00275290" w:rsidRDefault="009D4550" w:rsidP="00932144">
      <w:pPr>
        <w:pStyle w:val="BfRBBStandard"/>
        <w:keepNext/>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736"/>
        <w:gridCol w:w="1640"/>
        <w:gridCol w:w="1626"/>
        <w:gridCol w:w="783"/>
        <w:gridCol w:w="765"/>
        <w:gridCol w:w="1559"/>
      </w:tblGrid>
      <w:tr w:rsidR="009D4550" w:rsidRPr="00275290" w14:paraId="585DD98A" w14:textId="77777777" w:rsidTr="0047648E">
        <w:tc>
          <w:tcPr>
            <w:tcW w:w="1293" w:type="dxa"/>
          </w:tcPr>
          <w:p w14:paraId="3008BD64" w14:textId="77777777" w:rsidR="009D4550" w:rsidRPr="00275290" w:rsidRDefault="009D4550" w:rsidP="009D4550">
            <w:pPr>
              <w:rPr>
                <w:rFonts w:cs="Arial"/>
                <w:lang w:val="fr-FR"/>
              </w:rPr>
            </w:pPr>
          </w:p>
        </w:tc>
        <w:tc>
          <w:tcPr>
            <w:tcW w:w="1838" w:type="dxa"/>
            <w:vAlign w:val="center"/>
          </w:tcPr>
          <w:p w14:paraId="5A566B16" w14:textId="77777777" w:rsidR="009D4550" w:rsidRPr="00275290" w:rsidRDefault="009D4550" w:rsidP="009D4550">
            <w:pPr>
              <w:rPr>
                <w:rFonts w:cs="Arial"/>
                <w:lang w:val="fr-FR"/>
              </w:rPr>
            </w:pPr>
            <w:r w:rsidRPr="00275290">
              <w:rPr>
                <w:rFonts w:cs="Arial"/>
                <w:lang w:val="fr-FR"/>
              </w:rPr>
              <w:t>Cyperméthrine</w:t>
            </w:r>
          </w:p>
        </w:tc>
        <w:tc>
          <w:tcPr>
            <w:tcW w:w="1805" w:type="dxa"/>
            <w:vAlign w:val="center"/>
          </w:tcPr>
          <w:p w14:paraId="405708F4" w14:textId="77777777" w:rsidR="009D4550" w:rsidRPr="00275290" w:rsidRDefault="009D4550" w:rsidP="009D4550">
            <w:pPr>
              <w:rPr>
                <w:rFonts w:cs="Arial"/>
                <w:lang w:val="fr-FR"/>
              </w:rPr>
            </w:pPr>
            <w:r w:rsidRPr="00275290">
              <w:rPr>
                <w:rFonts w:cs="Arial"/>
                <w:lang w:val="fr-FR"/>
              </w:rPr>
              <w:t>Propiconazole</w:t>
            </w:r>
          </w:p>
        </w:tc>
        <w:tc>
          <w:tcPr>
            <w:tcW w:w="1784" w:type="dxa"/>
            <w:vAlign w:val="center"/>
          </w:tcPr>
          <w:p w14:paraId="65FF49F0" w14:textId="77777777" w:rsidR="009D4550" w:rsidRPr="00275290" w:rsidRDefault="009D4550" w:rsidP="009D4550">
            <w:pPr>
              <w:rPr>
                <w:rFonts w:cs="Arial"/>
                <w:lang w:val="fr-FR"/>
              </w:rPr>
            </w:pPr>
            <w:r w:rsidRPr="00275290">
              <w:rPr>
                <w:rFonts w:cs="Arial"/>
                <w:lang w:val="fr-FR"/>
              </w:rPr>
              <w:t>Tébuconazole</w:t>
            </w:r>
          </w:p>
        </w:tc>
        <w:tc>
          <w:tcPr>
            <w:tcW w:w="1097" w:type="dxa"/>
            <w:shd w:val="clear" w:color="auto" w:fill="auto"/>
          </w:tcPr>
          <w:p w14:paraId="0DC4591A" w14:textId="77777777" w:rsidR="009D4550" w:rsidRPr="00275290" w:rsidRDefault="009D4550" w:rsidP="009D4550">
            <w:pPr>
              <w:rPr>
                <w:rFonts w:cs="Arial"/>
                <w:lang w:val="fr-FR"/>
              </w:rPr>
            </w:pPr>
            <w:r w:rsidRPr="00275290">
              <w:rPr>
                <w:rFonts w:cs="Arial"/>
                <w:lang w:val="fr-FR"/>
              </w:rPr>
              <w:t>IPBC</w:t>
            </w:r>
          </w:p>
        </w:tc>
        <w:tc>
          <w:tcPr>
            <w:tcW w:w="1114" w:type="dxa"/>
            <w:vMerge w:val="restart"/>
            <w:shd w:val="clear" w:color="auto" w:fill="E5B8B7" w:themeFill="accent2" w:themeFillTint="66"/>
            <w:vAlign w:val="center"/>
          </w:tcPr>
          <w:p w14:paraId="409AF6EA" w14:textId="77777777" w:rsidR="009D4550" w:rsidRPr="00275290" w:rsidRDefault="009D4550" w:rsidP="009D4550">
            <w:pPr>
              <w:rPr>
                <w:rFonts w:cs="Arial"/>
                <w:lang w:val="fr-FR"/>
              </w:rPr>
            </w:pPr>
            <w:r w:rsidRPr="00275290">
              <w:rPr>
                <w:rFonts w:cs="Arial"/>
                <w:lang w:val="fr-FR"/>
              </w:rPr>
              <w:t>HI</w:t>
            </w:r>
          </w:p>
          <w:p w14:paraId="13FF38E4" w14:textId="77777777" w:rsidR="009D4550" w:rsidRPr="00275290" w:rsidRDefault="009D4550" w:rsidP="009D4550">
            <w:pPr>
              <w:rPr>
                <w:rFonts w:cs="Arial"/>
                <w:lang w:val="fr-FR"/>
              </w:rPr>
            </w:pPr>
            <w:r w:rsidRPr="00275290">
              <w:rPr>
                <w:rFonts w:cs="Arial"/>
                <w:lang w:val="fr-FR"/>
              </w:rPr>
              <w:t>(∑ HQ a.s)</w:t>
            </w:r>
          </w:p>
        </w:tc>
        <w:tc>
          <w:tcPr>
            <w:tcW w:w="1064" w:type="dxa"/>
            <w:vMerge w:val="restart"/>
            <w:shd w:val="clear" w:color="auto" w:fill="E5B8B7" w:themeFill="accent2" w:themeFillTint="66"/>
          </w:tcPr>
          <w:p w14:paraId="41363A0D" w14:textId="77777777" w:rsidR="009D4550" w:rsidRPr="00275290" w:rsidRDefault="009D4550" w:rsidP="009D4550">
            <w:pPr>
              <w:rPr>
                <w:rFonts w:cs="Arial"/>
                <w:lang w:val="fr-FR"/>
              </w:rPr>
            </w:pPr>
            <w:r w:rsidRPr="00275290">
              <w:rPr>
                <w:rFonts w:cs="Arial"/>
                <w:lang w:val="fr-FR"/>
              </w:rPr>
              <w:t>Risk</w:t>
            </w:r>
          </w:p>
        </w:tc>
      </w:tr>
      <w:tr w:rsidR="009D4550" w:rsidRPr="00275290" w14:paraId="676A9489" w14:textId="77777777" w:rsidTr="0047648E">
        <w:tc>
          <w:tcPr>
            <w:tcW w:w="7817" w:type="dxa"/>
            <w:gridSpan w:val="5"/>
          </w:tcPr>
          <w:p w14:paraId="236F74A7" w14:textId="77777777" w:rsidR="009D4550" w:rsidRPr="00275290" w:rsidRDefault="009D4550" w:rsidP="009D4550">
            <w:pPr>
              <w:rPr>
                <w:rFonts w:cs="Arial"/>
                <w:lang w:val="fr-FR"/>
              </w:rPr>
            </w:pPr>
            <w:r w:rsidRPr="00275290">
              <w:rPr>
                <w:rFonts w:cs="Arial"/>
                <w:lang w:val="fr-FR"/>
              </w:rPr>
              <w:t>HQ (Exposure/AEL)</w:t>
            </w:r>
          </w:p>
        </w:tc>
        <w:tc>
          <w:tcPr>
            <w:tcW w:w="1114" w:type="dxa"/>
            <w:vMerge/>
            <w:shd w:val="clear" w:color="auto" w:fill="E5B8B7" w:themeFill="accent2" w:themeFillTint="66"/>
            <w:vAlign w:val="center"/>
          </w:tcPr>
          <w:p w14:paraId="05DAE544" w14:textId="77777777" w:rsidR="009D4550" w:rsidRPr="00275290" w:rsidRDefault="009D4550" w:rsidP="009D4550">
            <w:pPr>
              <w:rPr>
                <w:rFonts w:cs="Arial"/>
                <w:lang w:val="fr-FR"/>
              </w:rPr>
            </w:pPr>
          </w:p>
        </w:tc>
        <w:tc>
          <w:tcPr>
            <w:tcW w:w="1064" w:type="dxa"/>
            <w:vMerge/>
            <w:shd w:val="clear" w:color="auto" w:fill="E5B8B7" w:themeFill="accent2" w:themeFillTint="66"/>
          </w:tcPr>
          <w:p w14:paraId="399A16D4" w14:textId="77777777" w:rsidR="009D4550" w:rsidRPr="00275290" w:rsidRDefault="009D4550" w:rsidP="009D4550">
            <w:pPr>
              <w:rPr>
                <w:rFonts w:cs="Arial"/>
                <w:lang w:val="fr-FR"/>
              </w:rPr>
            </w:pPr>
          </w:p>
        </w:tc>
      </w:tr>
      <w:tr w:rsidR="009D4550" w:rsidRPr="00275290" w14:paraId="7A181468" w14:textId="77777777" w:rsidTr="0047648E">
        <w:trPr>
          <w:trHeight w:val="121"/>
        </w:trPr>
        <w:tc>
          <w:tcPr>
            <w:tcW w:w="1293" w:type="dxa"/>
          </w:tcPr>
          <w:p w14:paraId="7ED13D95" w14:textId="362943F9" w:rsidR="009D4550" w:rsidRPr="00B7552D" w:rsidRDefault="005B4884" w:rsidP="009D4550">
            <w:pPr>
              <w:rPr>
                <w:rFonts w:cs="Arial"/>
                <w:lang w:val="en-US"/>
              </w:rPr>
            </w:pPr>
            <w:r w:rsidRPr="00275290">
              <w:rPr>
                <w:rFonts w:cs="Arial"/>
                <w:lang w:val="en-US"/>
              </w:rPr>
              <w:t>without PPE except gloves during application</w:t>
            </w:r>
          </w:p>
        </w:tc>
        <w:tc>
          <w:tcPr>
            <w:tcW w:w="1838" w:type="dxa"/>
            <w:vAlign w:val="center"/>
          </w:tcPr>
          <w:p w14:paraId="3C3479F6" w14:textId="77777777" w:rsidR="009D4550" w:rsidRPr="00275290" w:rsidRDefault="009D4550" w:rsidP="009D4550">
            <w:pPr>
              <w:rPr>
                <w:rFonts w:cs="Arial"/>
                <w:lang w:val="fr-FR"/>
              </w:rPr>
            </w:pPr>
            <w:r w:rsidRPr="00275290">
              <w:rPr>
                <w:rFonts w:cs="Arial"/>
                <w:lang w:val="fr-FR"/>
              </w:rPr>
              <w:t>0.59</w:t>
            </w:r>
          </w:p>
        </w:tc>
        <w:tc>
          <w:tcPr>
            <w:tcW w:w="1805" w:type="dxa"/>
            <w:vAlign w:val="center"/>
          </w:tcPr>
          <w:p w14:paraId="44379D85" w14:textId="77777777" w:rsidR="009D4550" w:rsidRPr="00275290" w:rsidRDefault="009D4550" w:rsidP="009D4550">
            <w:pPr>
              <w:rPr>
                <w:rFonts w:cs="Arial"/>
                <w:lang w:val="fr-FR"/>
              </w:rPr>
            </w:pPr>
            <w:r w:rsidRPr="00275290">
              <w:rPr>
                <w:rFonts w:cs="Arial"/>
                <w:lang w:val="fr-FR"/>
              </w:rPr>
              <w:t>0.47</w:t>
            </w:r>
          </w:p>
        </w:tc>
        <w:tc>
          <w:tcPr>
            <w:tcW w:w="1784" w:type="dxa"/>
            <w:vAlign w:val="center"/>
          </w:tcPr>
          <w:p w14:paraId="24A2D847" w14:textId="77777777" w:rsidR="009D4550" w:rsidRPr="00275290" w:rsidRDefault="009D4550" w:rsidP="009D4550">
            <w:pPr>
              <w:rPr>
                <w:rFonts w:cs="Arial"/>
                <w:lang w:val="fr-FR"/>
              </w:rPr>
            </w:pPr>
            <w:r w:rsidRPr="00275290">
              <w:rPr>
                <w:rFonts w:cs="Arial"/>
                <w:lang w:val="fr-FR"/>
              </w:rPr>
              <w:t>0.23</w:t>
            </w:r>
          </w:p>
        </w:tc>
        <w:tc>
          <w:tcPr>
            <w:tcW w:w="1097" w:type="dxa"/>
            <w:shd w:val="clear" w:color="auto" w:fill="auto"/>
            <w:vAlign w:val="center"/>
          </w:tcPr>
          <w:p w14:paraId="164FD0EC" w14:textId="77777777" w:rsidR="009D4550" w:rsidRPr="00275290" w:rsidRDefault="009D4550" w:rsidP="009D4550">
            <w:pPr>
              <w:rPr>
                <w:rFonts w:cs="Arial"/>
                <w:lang w:val="fr-FR"/>
              </w:rPr>
            </w:pPr>
            <w:r w:rsidRPr="00275290">
              <w:rPr>
                <w:rFonts w:cs="Arial"/>
                <w:lang w:val="fr-FR"/>
              </w:rPr>
              <w:t>0.08</w:t>
            </w:r>
          </w:p>
        </w:tc>
        <w:tc>
          <w:tcPr>
            <w:tcW w:w="1114" w:type="dxa"/>
            <w:shd w:val="clear" w:color="auto" w:fill="E5B8B7" w:themeFill="accent2" w:themeFillTint="66"/>
            <w:vAlign w:val="center"/>
          </w:tcPr>
          <w:p w14:paraId="0F0E98E5" w14:textId="77777777" w:rsidR="009D4550" w:rsidRPr="00275290" w:rsidRDefault="009D4550" w:rsidP="009D4550">
            <w:pPr>
              <w:rPr>
                <w:rFonts w:cs="Arial"/>
                <w:lang w:val="fr-FR"/>
              </w:rPr>
            </w:pPr>
            <w:r w:rsidRPr="00275290">
              <w:rPr>
                <w:rFonts w:cs="Arial"/>
                <w:lang w:val="fr-FR"/>
              </w:rPr>
              <w:t>1.37</w:t>
            </w:r>
          </w:p>
        </w:tc>
        <w:tc>
          <w:tcPr>
            <w:tcW w:w="1064" w:type="dxa"/>
            <w:shd w:val="clear" w:color="auto" w:fill="E5B8B7" w:themeFill="accent2" w:themeFillTint="66"/>
            <w:vAlign w:val="center"/>
          </w:tcPr>
          <w:p w14:paraId="3E0C54A5" w14:textId="77777777" w:rsidR="009D4550" w:rsidRPr="00275290" w:rsidRDefault="009D4550" w:rsidP="009D4550">
            <w:pPr>
              <w:rPr>
                <w:rFonts w:cs="Arial"/>
                <w:lang w:val="fr-FR"/>
              </w:rPr>
            </w:pPr>
            <w:r w:rsidRPr="00275290">
              <w:rPr>
                <w:rFonts w:cs="Arial"/>
                <w:lang w:val="fr-FR"/>
              </w:rPr>
              <w:t>Unacceptable</w:t>
            </w:r>
          </w:p>
        </w:tc>
      </w:tr>
      <w:tr w:rsidR="009D4550" w:rsidRPr="00275290" w14:paraId="3DD724A9" w14:textId="77777777" w:rsidTr="0047648E">
        <w:trPr>
          <w:trHeight w:val="121"/>
        </w:trPr>
        <w:tc>
          <w:tcPr>
            <w:tcW w:w="1293" w:type="dxa"/>
          </w:tcPr>
          <w:p w14:paraId="08D3CB27" w14:textId="77777777" w:rsidR="009D4550" w:rsidRPr="00275290" w:rsidRDefault="009D4550" w:rsidP="009D4550">
            <w:pPr>
              <w:rPr>
                <w:rFonts w:cs="Arial"/>
                <w:lang w:val="en-US"/>
              </w:rPr>
            </w:pPr>
            <w:r w:rsidRPr="00275290">
              <w:rPr>
                <w:rFonts w:cs="Arial"/>
                <w:lang w:val="en-US"/>
              </w:rPr>
              <w:lastRenderedPageBreak/>
              <w:t>With gloves/clothes during M&amp;L and gloves during application</w:t>
            </w:r>
          </w:p>
        </w:tc>
        <w:tc>
          <w:tcPr>
            <w:tcW w:w="1838" w:type="dxa"/>
            <w:vAlign w:val="center"/>
          </w:tcPr>
          <w:p w14:paraId="402543E7" w14:textId="77777777" w:rsidR="009D4550" w:rsidRPr="00275290" w:rsidRDefault="009D4550" w:rsidP="009D4550">
            <w:pPr>
              <w:rPr>
                <w:rFonts w:cs="Arial"/>
                <w:lang w:val="en-US"/>
              </w:rPr>
            </w:pPr>
            <w:r w:rsidRPr="00275290">
              <w:rPr>
                <w:rFonts w:cs="Arial"/>
                <w:lang w:val="en-US"/>
              </w:rPr>
              <w:t>0.37</w:t>
            </w:r>
          </w:p>
        </w:tc>
        <w:tc>
          <w:tcPr>
            <w:tcW w:w="1805" w:type="dxa"/>
            <w:vAlign w:val="center"/>
          </w:tcPr>
          <w:p w14:paraId="70AAB940" w14:textId="77777777" w:rsidR="009D4550" w:rsidRPr="00275290" w:rsidRDefault="009D4550" w:rsidP="009D4550">
            <w:pPr>
              <w:rPr>
                <w:rFonts w:cs="Arial"/>
                <w:lang w:val="en-US"/>
              </w:rPr>
            </w:pPr>
            <w:r w:rsidRPr="00275290">
              <w:rPr>
                <w:rFonts w:cs="Arial"/>
                <w:lang w:val="en-US"/>
              </w:rPr>
              <w:t>0.29</w:t>
            </w:r>
          </w:p>
        </w:tc>
        <w:tc>
          <w:tcPr>
            <w:tcW w:w="1784" w:type="dxa"/>
            <w:vAlign w:val="center"/>
          </w:tcPr>
          <w:p w14:paraId="6091BF43" w14:textId="77777777" w:rsidR="009D4550" w:rsidRPr="00275290" w:rsidRDefault="009D4550" w:rsidP="009D4550">
            <w:pPr>
              <w:rPr>
                <w:rFonts w:cs="Arial"/>
                <w:lang w:val="en-US"/>
              </w:rPr>
            </w:pPr>
            <w:r w:rsidRPr="00275290">
              <w:rPr>
                <w:rFonts w:cs="Arial"/>
                <w:lang w:val="en-US"/>
              </w:rPr>
              <w:t>0.15</w:t>
            </w:r>
          </w:p>
        </w:tc>
        <w:tc>
          <w:tcPr>
            <w:tcW w:w="1097" w:type="dxa"/>
            <w:shd w:val="clear" w:color="auto" w:fill="auto"/>
            <w:vAlign w:val="center"/>
          </w:tcPr>
          <w:p w14:paraId="526366A6" w14:textId="77777777" w:rsidR="009D4550" w:rsidRPr="00275290" w:rsidRDefault="009D4550" w:rsidP="009D4550">
            <w:pPr>
              <w:rPr>
                <w:rFonts w:cs="Arial"/>
                <w:lang w:val="en-US"/>
              </w:rPr>
            </w:pPr>
            <w:r w:rsidRPr="00275290">
              <w:rPr>
                <w:rFonts w:cs="Arial"/>
                <w:lang w:val="en-US"/>
              </w:rPr>
              <w:t>0.05</w:t>
            </w:r>
          </w:p>
        </w:tc>
        <w:tc>
          <w:tcPr>
            <w:tcW w:w="1114" w:type="dxa"/>
            <w:shd w:val="clear" w:color="auto" w:fill="E5B8B7" w:themeFill="accent2" w:themeFillTint="66"/>
            <w:vAlign w:val="center"/>
          </w:tcPr>
          <w:p w14:paraId="4A65CB11" w14:textId="77777777" w:rsidR="009D4550" w:rsidRPr="00275290" w:rsidRDefault="009D4550" w:rsidP="009D4550">
            <w:pPr>
              <w:rPr>
                <w:rFonts w:cs="Arial"/>
                <w:lang w:val="en-US"/>
              </w:rPr>
            </w:pPr>
            <w:r w:rsidRPr="00275290">
              <w:rPr>
                <w:rFonts w:cs="Arial"/>
                <w:lang w:val="en-US"/>
              </w:rPr>
              <w:t>0.86</w:t>
            </w:r>
          </w:p>
        </w:tc>
        <w:tc>
          <w:tcPr>
            <w:tcW w:w="1064" w:type="dxa"/>
            <w:shd w:val="clear" w:color="auto" w:fill="E5B8B7" w:themeFill="accent2" w:themeFillTint="66"/>
            <w:vAlign w:val="center"/>
          </w:tcPr>
          <w:p w14:paraId="3E2C2012" w14:textId="77777777" w:rsidR="009D4550" w:rsidRPr="00275290" w:rsidRDefault="009D4550" w:rsidP="009D4550">
            <w:pPr>
              <w:rPr>
                <w:rFonts w:cs="Arial"/>
                <w:lang w:val="en-US"/>
              </w:rPr>
            </w:pPr>
            <w:r w:rsidRPr="00275290">
              <w:rPr>
                <w:rFonts w:cs="Arial"/>
                <w:lang w:val="fr-FR"/>
              </w:rPr>
              <w:t>Acceptable</w:t>
            </w:r>
          </w:p>
        </w:tc>
      </w:tr>
    </w:tbl>
    <w:p w14:paraId="01A6443C" w14:textId="77777777" w:rsidR="009D4550" w:rsidRPr="00275290" w:rsidRDefault="009D4550" w:rsidP="009D4550">
      <w:pPr>
        <w:pStyle w:val="BfRBBStandard"/>
        <w:rPr>
          <w:rFonts w:ascii="Verdana" w:eastAsia="Times New Roman" w:hAnsi="Verdana"/>
          <w:sz w:val="20"/>
          <w:szCs w:val="20"/>
          <w:lang w:val="en-GB" w:eastAsia="sv-SE"/>
        </w:rPr>
      </w:pPr>
    </w:p>
    <w:p w14:paraId="6294674B" w14:textId="7FCCCA6F"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risk is acceptable (HI &lt; 1) when </w:t>
      </w:r>
      <w:r w:rsidRPr="00275290">
        <w:rPr>
          <w:rFonts w:ascii="Verdana" w:hAnsi="Verdana"/>
          <w:sz w:val="20"/>
          <w:szCs w:val="20"/>
        </w:rPr>
        <w:t>gloves/clothes during M&amp;L and gloves during application</w:t>
      </w:r>
      <w:r w:rsidRPr="00275290">
        <w:rPr>
          <w:rFonts w:ascii="Verdana" w:eastAsia="Times New Roman" w:hAnsi="Verdana"/>
          <w:sz w:val="20"/>
          <w:szCs w:val="20"/>
          <w:lang w:val="en-GB" w:eastAsia="sv-SE"/>
        </w:rPr>
        <w:t xml:space="preserve"> are worn.</w:t>
      </w:r>
    </w:p>
    <w:p w14:paraId="724B9C9C" w14:textId="77777777" w:rsidR="009D4550" w:rsidRPr="00275290" w:rsidRDefault="009D4550" w:rsidP="009D4550">
      <w:pPr>
        <w:pStyle w:val="BfRBBStandard"/>
        <w:rPr>
          <w:rFonts w:ascii="Verdana" w:eastAsia="Times New Roman" w:hAnsi="Verdana"/>
          <w:sz w:val="20"/>
          <w:szCs w:val="20"/>
          <w:lang w:val="en-GB" w:eastAsia="sv-SE"/>
        </w:rPr>
      </w:pPr>
    </w:p>
    <w:p w14:paraId="1257DC16" w14:textId="36D73BC9" w:rsidR="00314187" w:rsidRPr="00B7552D" w:rsidRDefault="00314187" w:rsidP="00314187">
      <w:pPr>
        <w:rPr>
          <w:rFonts w:eastAsia="Calibri" w:cs="Arial"/>
          <w:lang w:val="en-US" w:eastAsia="fr-FR"/>
        </w:rPr>
      </w:pPr>
      <w:r w:rsidRPr="00B7552D">
        <w:rPr>
          <w:rFonts w:eastAsia="Calibri" w:cs="Arial"/>
          <w:lang w:val="en-US" w:eastAsia="fr-FR"/>
        </w:rPr>
        <w:t>The cleaning of tank is not realised every day. This exposure is considered as acute exposure contrary to the treatment which is performed every day and considered as chronic exposure. Therefore, the exposure during the cleaning will not add to the exposure during decanting and application to characterise the risk.</w:t>
      </w:r>
    </w:p>
    <w:p w14:paraId="4FA2E27A" w14:textId="5BC2FD6A" w:rsidR="00314187" w:rsidRDefault="00314187" w:rsidP="00314187">
      <w:pPr>
        <w:rPr>
          <w:rFonts w:cs="Arial"/>
        </w:rPr>
      </w:pPr>
      <w:r>
        <w:rPr>
          <w:color w:val="000000"/>
          <w:lang w:eastAsia="en-GB"/>
        </w:rPr>
        <w:t xml:space="preserve">Since 1 cycle is considered to determine the exposure during cleaning whereas 4 cycles are considered for application, the </w:t>
      </w:r>
      <w:r w:rsidRPr="00275290">
        <w:rPr>
          <w:rFonts w:cs="Arial"/>
        </w:rPr>
        <w:t xml:space="preserve">assessment </w:t>
      </w:r>
      <w:r>
        <w:rPr>
          <w:rFonts w:cs="Arial"/>
        </w:rPr>
        <w:t xml:space="preserve">of cleaning </w:t>
      </w:r>
      <w:r w:rsidRPr="00275290">
        <w:rPr>
          <w:rFonts w:cs="Arial"/>
        </w:rPr>
        <w:t>is covered by assessment of application</w:t>
      </w:r>
      <w:r>
        <w:rPr>
          <w:rFonts w:cs="Arial"/>
        </w:rPr>
        <w:t xml:space="preserve">. Therefore, the same PPEs than those used during application are required for cleaning.  </w:t>
      </w:r>
    </w:p>
    <w:p w14:paraId="59C3F558" w14:textId="77777777" w:rsidR="009D4550" w:rsidRDefault="009D4550" w:rsidP="009D4550">
      <w:pPr>
        <w:pStyle w:val="BfRBBStandard"/>
        <w:rPr>
          <w:rFonts w:ascii="Verdana" w:eastAsia="Times New Roman" w:hAnsi="Verdana"/>
          <w:sz w:val="20"/>
          <w:szCs w:val="20"/>
          <w:lang w:val="en-GB" w:eastAsia="sv-SE"/>
        </w:rPr>
      </w:pPr>
    </w:p>
    <w:p w14:paraId="39BAB41B" w14:textId="3A9BD1A5" w:rsidR="00F72B8A" w:rsidRPr="00B7552D" w:rsidRDefault="00F72B8A" w:rsidP="00B7552D">
      <w:pPr>
        <w:pStyle w:val="Titre7"/>
        <w:numPr>
          <w:ilvl w:val="6"/>
          <w:numId w:val="39"/>
        </w:numPr>
      </w:pPr>
      <w:r w:rsidRPr="00155E43">
        <w:t>Professional users</w:t>
      </w:r>
    </w:p>
    <w:p w14:paraId="0930FD91" w14:textId="77777777" w:rsidR="00314187" w:rsidRPr="00275290" w:rsidRDefault="00314187" w:rsidP="009D4550">
      <w:pPr>
        <w:pStyle w:val="BfRBBStandard"/>
        <w:rPr>
          <w:rFonts w:ascii="Verdana" w:eastAsia="Times New Roman" w:hAnsi="Verdana"/>
          <w:sz w:val="20"/>
          <w:szCs w:val="20"/>
          <w:lang w:val="en-GB" w:eastAsia="sv-SE"/>
        </w:rPr>
      </w:pPr>
    </w:p>
    <w:p w14:paraId="4DA827BB"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Brush application</w:t>
      </w:r>
    </w:p>
    <w:p w14:paraId="470906F3" w14:textId="77777777" w:rsidR="009D4550" w:rsidRPr="00275290" w:rsidRDefault="009D4550" w:rsidP="009D4550">
      <w:pPr>
        <w:pStyle w:val="BfRBBStandard"/>
        <w:rPr>
          <w:rFonts w:ascii="Verdana" w:eastAsia="Times New Roman" w:hAnsi="Verdana"/>
          <w:sz w:val="20"/>
          <w:szCs w:val="20"/>
          <w:lang w:val="en-GB" w:eastAsia="sv-SE"/>
        </w:rPr>
      </w:pPr>
    </w:p>
    <w:p w14:paraId="405C8633"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389517E9"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93"/>
        <w:gridCol w:w="2268"/>
        <w:gridCol w:w="1448"/>
      </w:tblGrid>
      <w:tr w:rsidR="00F67CCD" w:rsidRPr="00275290" w14:paraId="3B808D24" w14:textId="77777777" w:rsidTr="00C81964">
        <w:tc>
          <w:tcPr>
            <w:tcW w:w="1526" w:type="dxa"/>
          </w:tcPr>
          <w:p w14:paraId="4AC32720" w14:textId="77777777" w:rsidR="00F67CCD" w:rsidRPr="00275290" w:rsidRDefault="00F67CCD" w:rsidP="009D4550">
            <w:pPr>
              <w:autoSpaceDE w:val="0"/>
              <w:autoSpaceDN w:val="0"/>
              <w:adjustRightInd w:val="0"/>
              <w:spacing w:before="60" w:after="60"/>
              <w:rPr>
                <w:rFonts w:cs="Arial"/>
              </w:rPr>
            </w:pPr>
            <w:r w:rsidRPr="00275290">
              <w:rPr>
                <w:rFonts w:cs="Arial"/>
              </w:rPr>
              <w:t>Scenario</w:t>
            </w:r>
          </w:p>
        </w:tc>
        <w:tc>
          <w:tcPr>
            <w:tcW w:w="2693" w:type="dxa"/>
          </w:tcPr>
          <w:p w14:paraId="3BC0DC87" w14:textId="77777777" w:rsidR="00F67CCD" w:rsidRPr="0021636F" w:rsidRDefault="00F67CCD" w:rsidP="009D4550">
            <w:pPr>
              <w:tabs>
                <w:tab w:val="left" w:pos="426"/>
              </w:tabs>
              <w:autoSpaceDE w:val="0"/>
              <w:autoSpaceDN w:val="0"/>
              <w:adjustRightInd w:val="0"/>
              <w:spacing w:before="60" w:after="60"/>
              <w:rPr>
                <w:rFonts w:cs="Arial"/>
                <w:lang w:val="es-US"/>
              </w:rPr>
            </w:pPr>
            <w:r w:rsidRPr="0021636F">
              <w:rPr>
                <w:rFonts w:cs="Arial"/>
                <w:lang w:val="es-US"/>
              </w:rPr>
              <w:t>AEL</w:t>
            </w:r>
          </w:p>
          <w:p w14:paraId="70D90214" w14:textId="77777777" w:rsidR="00F67CCD" w:rsidRPr="0021636F" w:rsidRDefault="00F67CCD"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2268" w:type="dxa"/>
          </w:tcPr>
          <w:p w14:paraId="5031ADB4" w14:textId="77777777" w:rsidR="00F67CCD" w:rsidRPr="00ED68BA" w:rsidRDefault="00F67CCD" w:rsidP="009D4550">
            <w:pPr>
              <w:autoSpaceDE w:val="0"/>
              <w:autoSpaceDN w:val="0"/>
              <w:adjustRightInd w:val="0"/>
              <w:spacing w:before="60" w:after="60"/>
              <w:rPr>
                <w:rFonts w:cs="Arial"/>
                <w:lang w:val="fr-FR"/>
              </w:rPr>
            </w:pPr>
            <w:r w:rsidRPr="00ED68BA">
              <w:rPr>
                <w:rFonts w:cs="Arial"/>
                <w:lang w:val="fr-FR"/>
              </w:rPr>
              <w:t>Exposure</w:t>
            </w:r>
          </w:p>
          <w:p w14:paraId="1CE1B6B9" w14:textId="77777777" w:rsidR="00F67CCD" w:rsidRPr="00ED68BA" w:rsidRDefault="00F67CCD" w:rsidP="009D4550">
            <w:pPr>
              <w:autoSpaceDE w:val="0"/>
              <w:autoSpaceDN w:val="0"/>
              <w:adjustRightInd w:val="0"/>
              <w:spacing w:before="60" w:after="60"/>
              <w:rPr>
                <w:rFonts w:cs="Arial"/>
                <w:lang w:val="fr-FR"/>
              </w:rPr>
            </w:pPr>
            <w:r w:rsidRPr="00ED68BA">
              <w:rPr>
                <w:rFonts w:cs="Arial"/>
                <w:lang w:val="fr-FR"/>
              </w:rPr>
              <w:t>(mg/kg pc/j)</w:t>
            </w:r>
          </w:p>
        </w:tc>
        <w:tc>
          <w:tcPr>
            <w:tcW w:w="1448" w:type="dxa"/>
          </w:tcPr>
          <w:p w14:paraId="1A2B9301" w14:textId="77777777" w:rsidR="00F67CCD" w:rsidRPr="00275290" w:rsidRDefault="00F67CCD" w:rsidP="009D4550">
            <w:pPr>
              <w:autoSpaceDE w:val="0"/>
              <w:autoSpaceDN w:val="0"/>
              <w:adjustRightInd w:val="0"/>
              <w:spacing w:before="60" w:after="60"/>
              <w:rPr>
                <w:rFonts w:cs="Arial"/>
              </w:rPr>
            </w:pPr>
            <w:r w:rsidRPr="00275290">
              <w:rPr>
                <w:rFonts w:cs="Arial"/>
              </w:rPr>
              <w:t>% AEL</w:t>
            </w:r>
          </w:p>
        </w:tc>
      </w:tr>
      <w:tr w:rsidR="00F67CCD" w:rsidRPr="00275290" w14:paraId="77CA5286" w14:textId="77777777" w:rsidTr="00666966">
        <w:tc>
          <w:tcPr>
            <w:tcW w:w="7935" w:type="dxa"/>
            <w:gridSpan w:val="4"/>
            <w:shd w:val="clear" w:color="auto" w:fill="BFBFBF" w:themeFill="background1" w:themeFillShade="BF"/>
            <w:vAlign w:val="center"/>
          </w:tcPr>
          <w:p w14:paraId="1A17A7DB" w14:textId="17ED2FE2" w:rsidR="00F67CCD" w:rsidRPr="00275290" w:rsidRDefault="00F67CCD" w:rsidP="009D4550">
            <w:pPr>
              <w:rPr>
                <w:rFonts w:cs="Arial"/>
                <w:lang w:val="en-US"/>
              </w:rPr>
            </w:pPr>
            <w:r w:rsidRPr="00275290">
              <w:rPr>
                <w:rFonts w:cs="Arial"/>
                <w:lang w:val="en-US"/>
              </w:rPr>
              <w:t>Brushing 300g/m</w:t>
            </w:r>
            <w:r w:rsidRPr="00275290">
              <w:rPr>
                <w:rFonts w:cs="Arial"/>
                <w:vertAlign w:val="superscript"/>
                <w:lang w:val="en-US"/>
              </w:rPr>
              <w:t>2</w:t>
            </w:r>
            <w:r w:rsidRPr="00275290">
              <w:rPr>
                <w:rFonts w:cs="Arial"/>
                <w:lang w:val="en-US"/>
              </w:rPr>
              <w:t xml:space="preserve"> – without PPE</w:t>
            </w:r>
          </w:p>
        </w:tc>
      </w:tr>
      <w:tr w:rsidR="00F67CCD" w:rsidRPr="00275290" w14:paraId="599D6918" w14:textId="77777777" w:rsidTr="00666966">
        <w:tc>
          <w:tcPr>
            <w:tcW w:w="1526" w:type="dxa"/>
            <w:vAlign w:val="center"/>
          </w:tcPr>
          <w:p w14:paraId="27CCDFA2" w14:textId="77777777" w:rsidR="00F67CCD" w:rsidRPr="00275290" w:rsidRDefault="00F67CCD" w:rsidP="009D4550">
            <w:pPr>
              <w:rPr>
                <w:rFonts w:cs="Arial"/>
                <w:lang w:val="fr-FR"/>
              </w:rPr>
            </w:pPr>
            <w:r w:rsidRPr="00275290">
              <w:rPr>
                <w:rFonts w:cs="Arial"/>
                <w:lang w:val="fr-FR"/>
              </w:rPr>
              <w:t>M&amp;L</w:t>
            </w:r>
          </w:p>
        </w:tc>
        <w:tc>
          <w:tcPr>
            <w:tcW w:w="6409" w:type="dxa"/>
            <w:gridSpan w:val="3"/>
            <w:vAlign w:val="center"/>
          </w:tcPr>
          <w:p w14:paraId="6DC25A36" w14:textId="794EF4F1" w:rsidR="00F67CCD" w:rsidRPr="00275290" w:rsidRDefault="00F67CCD" w:rsidP="009D4550">
            <w:pPr>
              <w:rPr>
                <w:rFonts w:cs="Arial"/>
                <w:lang w:val="fr-FR"/>
              </w:rPr>
            </w:pPr>
            <w:r w:rsidRPr="00275290">
              <w:rPr>
                <w:rFonts w:cs="Arial"/>
                <w:lang w:val="fr-FR"/>
              </w:rPr>
              <w:t xml:space="preserve">n.a </w:t>
            </w:r>
          </w:p>
        </w:tc>
      </w:tr>
      <w:tr w:rsidR="00F67CCD" w:rsidRPr="00275290" w14:paraId="4FA91B73" w14:textId="77777777" w:rsidTr="00C81964">
        <w:tc>
          <w:tcPr>
            <w:tcW w:w="1526" w:type="dxa"/>
            <w:vMerge w:val="restart"/>
            <w:vAlign w:val="center"/>
          </w:tcPr>
          <w:p w14:paraId="06D5B1F0" w14:textId="77777777" w:rsidR="00F67CCD" w:rsidRPr="00275290" w:rsidRDefault="00F67CCD" w:rsidP="009D4550">
            <w:pPr>
              <w:rPr>
                <w:rFonts w:cs="Arial"/>
                <w:lang w:val="en-US"/>
              </w:rPr>
            </w:pPr>
            <w:r w:rsidRPr="00275290">
              <w:rPr>
                <w:rFonts w:cs="Arial"/>
                <w:lang w:val="en-US"/>
              </w:rPr>
              <w:t>Product application phase</w:t>
            </w:r>
          </w:p>
        </w:tc>
        <w:tc>
          <w:tcPr>
            <w:tcW w:w="2693" w:type="dxa"/>
            <w:vAlign w:val="center"/>
          </w:tcPr>
          <w:p w14:paraId="63EFB8AA" w14:textId="6E7EFB3C"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vAlign w:val="center"/>
          </w:tcPr>
          <w:p w14:paraId="7E8C30C3" w14:textId="77777777" w:rsidR="00F67CCD" w:rsidRPr="00275290" w:rsidRDefault="00F67CCD" w:rsidP="009D4550">
            <w:pPr>
              <w:rPr>
                <w:rFonts w:cs="Arial"/>
                <w:color w:val="000000"/>
              </w:rPr>
            </w:pPr>
            <w:r w:rsidRPr="00275290">
              <w:rPr>
                <w:rFonts w:cs="Arial"/>
                <w:color w:val="000000"/>
              </w:rPr>
              <w:t>9,60E-03</w:t>
            </w:r>
          </w:p>
        </w:tc>
        <w:tc>
          <w:tcPr>
            <w:tcW w:w="1448" w:type="dxa"/>
            <w:vAlign w:val="center"/>
          </w:tcPr>
          <w:p w14:paraId="6337B554" w14:textId="77777777" w:rsidR="00F67CCD" w:rsidRPr="00275290" w:rsidRDefault="00F67CCD" w:rsidP="009D4550">
            <w:pPr>
              <w:rPr>
                <w:rFonts w:cs="Arial"/>
                <w:lang w:val="fr-FR"/>
              </w:rPr>
            </w:pPr>
            <w:r w:rsidRPr="00275290">
              <w:rPr>
                <w:rFonts w:cs="Arial"/>
                <w:lang w:val="fr-FR"/>
              </w:rPr>
              <w:t>43.6</w:t>
            </w:r>
          </w:p>
        </w:tc>
      </w:tr>
      <w:tr w:rsidR="00F67CCD" w:rsidRPr="00275290" w14:paraId="4A262FD0" w14:textId="77777777" w:rsidTr="00C81964">
        <w:tc>
          <w:tcPr>
            <w:tcW w:w="1526" w:type="dxa"/>
            <w:vMerge/>
            <w:vAlign w:val="center"/>
          </w:tcPr>
          <w:p w14:paraId="258EEC1C" w14:textId="77777777" w:rsidR="00F67CCD" w:rsidRPr="00275290" w:rsidRDefault="00F67CCD" w:rsidP="009D4550">
            <w:pPr>
              <w:rPr>
                <w:rFonts w:cs="Arial"/>
                <w:lang w:val="fr-FR"/>
              </w:rPr>
            </w:pPr>
          </w:p>
        </w:tc>
        <w:tc>
          <w:tcPr>
            <w:tcW w:w="2693" w:type="dxa"/>
            <w:vAlign w:val="center"/>
          </w:tcPr>
          <w:p w14:paraId="7704C622" w14:textId="77777777" w:rsidR="00F67CCD" w:rsidRPr="00275290" w:rsidRDefault="00F67CCD" w:rsidP="009D4550">
            <w:pPr>
              <w:rPr>
                <w:rFonts w:cs="Arial"/>
                <w:lang w:val="fr-FR"/>
              </w:rPr>
            </w:pPr>
            <w:r w:rsidRPr="00275290">
              <w:rPr>
                <w:rFonts w:cs="Arial"/>
                <w:lang w:val="fr-FR"/>
              </w:rPr>
              <w:t>Propiconazole : 0.04</w:t>
            </w:r>
          </w:p>
        </w:tc>
        <w:tc>
          <w:tcPr>
            <w:tcW w:w="2268" w:type="dxa"/>
            <w:vAlign w:val="center"/>
          </w:tcPr>
          <w:p w14:paraId="0D321000" w14:textId="77777777" w:rsidR="00F67CCD" w:rsidRPr="00275290" w:rsidRDefault="00F67CCD" w:rsidP="009D4550">
            <w:pPr>
              <w:rPr>
                <w:rFonts w:cs="Arial"/>
                <w:color w:val="000000"/>
              </w:rPr>
            </w:pPr>
            <w:r w:rsidRPr="00275290">
              <w:rPr>
                <w:rFonts w:cs="Arial"/>
                <w:color w:val="000000"/>
              </w:rPr>
              <w:t>1,39E-02</w:t>
            </w:r>
          </w:p>
        </w:tc>
        <w:tc>
          <w:tcPr>
            <w:tcW w:w="1448" w:type="dxa"/>
            <w:vAlign w:val="center"/>
          </w:tcPr>
          <w:p w14:paraId="549C7709" w14:textId="77777777" w:rsidR="00F67CCD" w:rsidRPr="00275290" w:rsidRDefault="00F67CCD" w:rsidP="009D4550">
            <w:pPr>
              <w:rPr>
                <w:rFonts w:cs="Arial"/>
                <w:lang w:val="fr-FR"/>
              </w:rPr>
            </w:pPr>
            <w:r w:rsidRPr="00275290">
              <w:rPr>
                <w:rFonts w:cs="Arial"/>
                <w:lang w:val="fr-FR"/>
              </w:rPr>
              <w:t>34.8</w:t>
            </w:r>
          </w:p>
        </w:tc>
      </w:tr>
      <w:tr w:rsidR="00F67CCD" w:rsidRPr="00275290" w14:paraId="629561B6" w14:textId="77777777" w:rsidTr="00C81964">
        <w:tc>
          <w:tcPr>
            <w:tcW w:w="1526" w:type="dxa"/>
            <w:vMerge/>
            <w:vAlign w:val="center"/>
          </w:tcPr>
          <w:p w14:paraId="36051B53" w14:textId="77777777" w:rsidR="00F67CCD" w:rsidRPr="00275290" w:rsidRDefault="00F67CCD" w:rsidP="009D4550">
            <w:pPr>
              <w:rPr>
                <w:rFonts w:cs="Arial"/>
                <w:lang w:val="fr-FR"/>
              </w:rPr>
            </w:pPr>
          </w:p>
        </w:tc>
        <w:tc>
          <w:tcPr>
            <w:tcW w:w="2693" w:type="dxa"/>
            <w:vAlign w:val="center"/>
          </w:tcPr>
          <w:p w14:paraId="7CF6140B" w14:textId="77777777" w:rsidR="00F67CCD" w:rsidRPr="00275290" w:rsidRDefault="00F67CCD" w:rsidP="009D4550">
            <w:pPr>
              <w:rPr>
                <w:rFonts w:cs="Arial"/>
                <w:lang w:val="fr-FR"/>
              </w:rPr>
            </w:pPr>
            <w:r w:rsidRPr="00275290">
              <w:rPr>
                <w:rFonts w:cs="Arial"/>
                <w:lang w:val="fr-FR"/>
              </w:rPr>
              <w:t>Tébuconazole : 0.03</w:t>
            </w:r>
          </w:p>
        </w:tc>
        <w:tc>
          <w:tcPr>
            <w:tcW w:w="2268" w:type="dxa"/>
            <w:vAlign w:val="center"/>
          </w:tcPr>
          <w:p w14:paraId="076BE27C" w14:textId="77777777" w:rsidR="00F67CCD" w:rsidRPr="00275290" w:rsidRDefault="00F67CCD" w:rsidP="009D4550">
            <w:pPr>
              <w:rPr>
                <w:rFonts w:cs="Arial"/>
                <w:color w:val="000000"/>
              </w:rPr>
            </w:pPr>
            <w:r w:rsidRPr="00275290">
              <w:rPr>
                <w:rFonts w:cs="Arial"/>
                <w:color w:val="000000"/>
              </w:rPr>
              <w:t>5,18E-03</w:t>
            </w:r>
          </w:p>
        </w:tc>
        <w:tc>
          <w:tcPr>
            <w:tcW w:w="1448" w:type="dxa"/>
            <w:vAlign w:val="center"/>
          </w:tcPr>
          <w:p w14:paraId="50DC6585" w14:textId="77777777" w:rsidR="00F67CCD" w:rsidRPr="00275290" w:rsidRDefault="00F67CCD" w:rsidP="009D4550">
            <w:pPr>
              <w:rPr>
                <w:rFonts w:cs="Arial"/>
                <w:lang w:val="fr-FR"/>
              </w:rPr>
            </w:pPr>
            <w:r w:rsidRPr="00275290">
              <w:rPr>
                <w:rFonts w:cs="Arial"/>
                <w:lang w:val="fr-FR"/>
              </w:rPr>
              <w:t>17.3</w:t>
            </w:r>
          </w:p>
        </w:tc>
      </w:tr>
      <w:tr w:rsidR="00F67CCD" w:rsidRPr="00275290" w14:paraId="1B6C939B" w14:textId="77777777" w:rsidTr="00C81964">
        <w:tc>
          <w:tcPr>
            <w:tcW w:w="1526" w:type="dxa"/>
            <w:vMerge/>
            <w:vAlign w:val="center"/>
          </w:tcPr>
          <w:p w14:paraId="17D26055" w14:textId="77777777" w:rsidR="00F67CCD" w:rsidRPr="00275290" w:rsidRDefault="00F67CCD" w:rsidP="009D4550">
            <w:pPr>
              <w:rPr>
                <w:rFonts w:cs="Arial"/>
                <w:lang w:val="fr-FR"/>
              </w:rPr>
            </w:pPr>
          </w:p>
        </w:tc>
        <w:tc>
          <w:tcPr>
            <w:tcW w:w="2693" w:type="dxa"/>
            <w:vAlign w:val="center"/>
          </w:tcPr>
          <w:p w14:paraId="5ECC0751" w14:textId="187910D4"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vAlign w:val="center"/>
          </w:tcPr>
          <w:p w14:paraId="54418DA9" w14:textId="77777777" w:rsidR="00F67CCD" w:rsidRPr="00275290" w:rsidRDefault="00F67CCD" w:rsidP="009D4550">
            <w:pPr>
              <w:rPr>
                <w:rFonts w:cs="Arial"/>
                <w:color w:val="000000"/>
              </w:rPr>
            </w:pPr>
            <w:r w:rsidRPr="00275290">
              <w:rPr>
                <w:rFonts w:cs="Arial"/>
                <w:color w:val="000000"/>
              </w:rPr>
              <w:t>1,24E-02</w:t>
            </w:r>
          </w:p>
        </w:tc>
        <w:tc>
          <w:tcPr>
            <w:tcW w:w="1448" w:type="dxa"/>
            <w:vAlign w:val="center"/>
          </w:tcPr>
          <w:p w14:paraId="71E46110" w14:textId="77777777" w:rsidR="00F67CCD" w:rsidRPr="00275290" w:rsidRDefault="00F67CCD" w:rsidP="009D4550">
            <w:pPr>
              <w:rPr>
                <w:rFonts w:cs="Arial"/>
                <w:lang w:val="fr-FR"/>
              </w:rPr>
            </w:pPr>
            <w:r w:rsidRPr="00275290">
              <w:rPr>
                <w:rFonts w:cs="Arial"/>
                <w:lang w:val="fr-FR"/>
              </w:rPr>
              <w:t>6.2</w:t>
            </w:r>
          </w:p>
        </w:tc>
      </w:tr>
      <w:tr w:rsidR="00F67CCD" w:rsidRPr="00275290" w14:paraId="7F84F5C3" w14:textId="77777777" w:rsidTr="00C81964">
        <w:tc>
          <w:tcPr>
            <w:tcW w:w="1526" w:type="dxa"/>
            <w:vMerge w:val="restart"/>
            <w:vAlign w:val="center"/>
          </w:tcPr>
          <w:p w14:paraId="2F675CA7" w14:textId="77777777" w:rsidR="00F67CCD" w:rsidRPr="00275290" w:rsidRDefault="00F67CCD" w:rsidP="009D4550">
            <w:pPr>
              <w:rPr>
                <w:rFonts w:cs="Arial"/>
                <w:lang w:val="en-US"/>
              </w:rPr>
            </w:pPr>
            <w:r w:rsidRPr="00275290">
              <w:rPr>
                <w:rFonts w:cs="Arial"/>
                <w:lang w:val="en-US"/>
              </w:rPr>
              <w:t xml:space="preserve">Brush cleaning phase </w:t>
            </w:r>
          </w:p>
          <w:p w14:paraId="2B5A471D" w14:textId="77777777" w:rsidR="00F67CCD" w:rsidRPr="00275290" w:rsidRDefault="00F67CCD" w:rsidP="009D4550">
            <w:pPr>
              <w:rPr>
                <w:rFonts w:cs="Arial"/>
                <w:lang w:val="en-US"/>
              </w:rPr>
            </w:pPr>
          </w:p>
        </w:tc>
        <w:tc>
          <w:tcPr>
            <w:tcW w:w="2693" w:type="dxa"/>
            <w:vAlign w:val="center"/>
          </w:tcPr>
          <w:p w14:paraId="2566D0D1" w14:textId="77875B5F"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vAlign w:val="center"/>
          </w:tcPr>
          <w:p w14:paraId="7465BB8A" w14:textId="77777777" w:rsidR="00F67CCD" w:rsidRPr="00275290" w:rsidRDefault="00F67CCD" w:rsidP="009D4550">
            <w:pPr>
              <w:rPr>
                <w:rFonts w:cs="Arial"/>
                <w:color w:val="000000"/>
              </w:rPr>
            </w:pPr>
            <w:r w:rsidRPr="00275290">
              <w:rPr>
                <w:rFonts w:cs="Arial"/>
                <w:color w:val="000000"/>
              </w:rPr>
              <w:t>7,17E-04</w:t>
            </w:r>
          </w:p>
        </w:tc>
        <w:tc>
          <w:tcPr>
            <w:tcW w:w="1448" w:type="dxa"/>
            <w:vAlign w:val="center"/>
          </w:tcPr>
          <w:p w14:paraId="7DD88042" w14:textId="77777777" w:rsidR="00F67CCD" w:rsidRPr="00275290" w:rsidRDefault="00F67CCD" w:rsidP="009D4550">
            <w:pPr>
              <w:rPr>
                <w:rFonts w:cs="Arial"/>
                <w:lang w:val="fr-FR"/>
              </w:rPr>
            </w:pPr>
            <w:r w:rsidRPr="00275290">
              <w:rPr>
                <w:rFonts w:cs="Arial"/>
                <w:lang w:val="fr-FR"/>
              </w:rPr>
              <w:t>3.3</w:t>
            </w:r>
          </w:p>
        </w:tc>
      </w:tr>
      <w:tr w:rsidR="00F67CCD" w:rsidRPr="00275290" w14:paraId="1D4E6541" w14:textId="77777777" w:rsidTr="00C81964">
        <w:tc>
          <w:tcPr>
            <w:tcW w:w="1526" w:type="dxa"/>
            <w:vMerge/>
            <w:vAlign w:val="center"/>
          </w:tcPr>
          <w:p w14:paraId="2AD53972" w14:textId="77777777" w:rsidR="00F67CCD" w:rsidRPr="00275290" w:rsidRDefault="00F67CCD" w:rsidP="009D4550">
            <w:pPr>
              <w:rPr>
                <w:rFonts w:cs="Arial"/>
                <w:lang w:val="fr-FR"/>
              </w:rPr>
            </w:pPr>
          </w:p>
        </w:tc>
        <w:tc>
          <w:tcPr>
            <w:tcW w:w="2693" w:type="dxa"/>
            <w:vAlign w:val="center"/>
          </w:tcPr>
          <w:p w14:paraId="51098AC7" w14:textId="77777777" w:rsidR="00F67CCD" w:rsidRPr="00275290" w:rsidRDefault="00F67CCD" w:rsidP="009D4550">
            <w:pPr>
              <w:rPr>
                <w:rFonts w:cs="Arial"/>
                <w:lang w:val="fr-FR"/>
              </w:rPr>
            </w:pPr>
            <w:r w:rsidRPr="00275290">
              <w:rPr>
                <w:rFonts w:cs="Arial"/>
                <w:lang w:val="fr-FR"/>
              </w:rPr>
              <w:t>Propiconazole : 0.04</w:t>
            </w:r>
          </w:p>
        </w:tc>
        <w:tc>
          <w:tcPr>
            <w:tcW w:w="2268" w:type="dxa"/>
            <w:vAlign w:val="center"/>
          </w:tcPr>
          <w:p w14:paraId="761DCF41" w14:textId="77777777" w:rsidR="00F67CCD" w:rsidRPr="00275290" w:rsidRDefault="00F67CCD" w:rsidP="009D4550">
            <w:pPr>
              <w:rPr>
                <w:rFonts w:cs="Arial"/>
                <w:color w:val="000000"/>
              </w:rPr>
            </w:pPr>
            <w:r w:rsidRPr="00275290">
              <w:rPr>
                <w:rFonts w:cs="Arial"/>
                <w:color w:val="000000"/>
              </w:rPr>
              <w:t>9,32E-04</w:t>
            </w:r>
          </w:p>
        </w:tc>
        <w:tc>
          <w:tcPr>
            <w:tcW w:w="1448" w:type="dxa"/>
            <w:vAlign w:val="center"/>
          </w:tcPr>
          <w:p w14:paraId="70A4DE15" w14:textId="77777777" w:rsidR="00F67CCD" w:rsidRPr="00275290" w:rsidRDefault="00F67CCD" w:rsidP="009D4550">
            <w:pPr>
              <w:rPr>
                <w:rFonts w:cs="Arial"/>
                <w:lang w:val="fr-FR"/>
              </w:rPr>
            </w:pPr>
            <w:r w:rsidRPr="00275290">
              <w:rPr>
                <w:rFonts w:cs="Arial"/>
                <w:lang w:val="fr-FR"/>
              </w:rPr>
              <w:t>2.3</w:t>
            </w:r>
          </w:p>
        </w:tc>
      </w:tr>
      <w:tr w:rsidR="00F67CCD" w:rsidRPr="00275290" w14:paraId="3C71D678" w14:textId="77777777" w:rsidTr="00C81964">
        <w:tc>
          <w:tcPr>
            <w:tcW w:w="1526" w:type="dxa"/>
            <w:vMerge/>
            <w:vAlign w:val="center"/>
          </w:tcPr>
          <w:p w14:paraId="638F2ED3" w14:textId="77777777" w:rsidR="00F67CCD" w:rsidRPr="00275290" w:rsidRDefault="00F67CCD" w:rsidP="009D4550">
            <w:pPr>
              <w:rPr>
                <w:rFonts w:cs="Arial"/>
                <w:lang w:val="fr-FR"/>
              </w:rPr>
            </w:pPr>
          </w:p>
        </w:tc>
        <w:tc>
          <w:tcPr>
            <w:tcW w:w="2693" w:type="dxa"/>
            <w:vAlign w:val="center"/>
          </w:tcPr>
          <w:p w14:paraId="0704480C" w14:textId="77777777" w:rsidR="00F67CCD" w:rsidRPr="00275290" w:rsidRDefault="00F67CCD" w:rsidP="009D4550">
            <w:pPr>
              <w:rPr>
                <w:rFonts w:cs="Arial"/>
                <w:lang w:val="fr-FR"/>
              </w:rPr>
            </w:pPr>
            <w:r w:rsidRPr="00275290">
              <w:rPr>
                <w:rFonts w:cs="Arial"/>
                <w:lang w:val="fr-FR"/>
              </w:rPr>
              <w:t>Tébuconazole : 0.03</w:t>
            </w:r>
          </w:p>
        </w:tc>
        <w:tc>
          <w:tcPr>
            <w:tcW w:w="2268" w:type="dxa"/>
            <w:vAlign w:val="center"/>
          </w:tcPr>
          <w:p w14:paraId="4A4C9D58" w14:textId="77777777" w:rsidR="00F67CCD" w:rsidRPr="00275290" w:rsidRDefault="00F67CCD" w:rsidP="009D4550">
            <w:pPr>
              <w:rPr>
                <w:rFonts w:cs="Arial"/>
                <w:color w:val="000000"/>
              </w:rPr>
            </w:pPr>
            <w:r w:rsidRPr="00275290">
              <w:rPr>
                <w:rFonts w:cs="Arial"/>
                <w:color w:val="000000"/>
              </w:rPr>
              <w:t>4,94E-04</w:t>
            </w:r>
          </w:p>
        </w:tc>
        <w:tc>
          <w:tcPr>
            <w:tcW w:w="1448" w:type="dxa"/>
            <w:vAlign w:val="center"/>
          </w:tcPr>
          <w:p w14:paraId="783D2084" w14:textId="77777777" w:rsidR="00F67CCD" w:rsidRPr="00275290" w:rsidRDefault="00F67CCD" w:rsidP="009D4550">
            <w:pPr>
              <w:rPr>
                <w:rFonts w:cs="Arial"/>
                <w:lang w:val="fr-FR"/>
              </w:rPr>
            </w:pPr>
            <w:r w:rsidRPr="00275290">
              <w:rPr>
                <w:rFonts w:cs="Arial"/>
                <w:lang w:val="fr-FR"/>
              </w:rPr>
              <w:t>1.6</w:t>
            </w:r>
          </w:p>
        </w:tc>
      </w:tr>
      <w:tr w:rsidR="00F67CCD" w:rsidRPr="00275290" w14:paraId="1C101B0B" w14:textId="77777777" w:rsidTr="00C81964">
        <w:tc>
          <w:tcPr>
            <w:tcW w:w="1526" w:type="dxa"/>
            <w:vMerge/>
            <w:vAlign w:val="center"/>
          </w:tcPr>
          <w:p w14:paraId="763D869E" w14:textId="77777777" w:rsidR="00F67CCD" w:rsidRPr="00275290" w:rsidRDefault="00F67CCD" w:rsidP="009D4550">
            <w:pPr>
              <w:rPr>
                <w:rFonts w:cs="Arial"/>
                <w:lang w:val="fr-FR"/>
              </w:rPr>
            </w:pPr>
          </w:p>
        </w:tc>
        <w:tc>
          <w:tcPr>
            <w:tcW w:w="2693" w:type="dxa"/>
            <w:vAlign w:val="center"/>
          </w:tcPr>
          <w:p w14:paraId="23CE86CD" w14:textId="1EC93ADC"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vAlign w:val="center"/>
          </w:tcPr>
          <w:p w14:paraId="451621F7" w14:textId="77777777" w:rsidR="00F67CCD" w:rsidRPr="00275290" w:rsidRDefault="00F67CCD" w:rsidP="009D4550">
            <w:pPr>
              <w:rPr>
                <w:rFonts w:cs="Arial"/>
                <w:color w:val="000000"/>
              </w:rPr>
            </w:pPr>
            <w:r w:rsidRPr="00275290">
              <w:rPr>
                <w:rFonts w:cs="Arial"/>
                <w:color w:val="000000"/>
              </w:rPr>
              <w:t>8,63E-04</w:t>
            </w:r>
          </w:p>
        </w:tc>
        <w:tc>
          <w:tcPr>
            <w:tcW w:w="1448" w:type="dxa"/>
            <w:vAlign w:val="center"/>
          </w:tcPr>
          <w:p w14:paraId="7D21E31C" w14:textId="77777777" w:rsidR="00F67CCD" w:rsidRPr="00275290" w:rsidRDefault="00F67CCD" w:rsidP="009D4550">
            <w:pPr>
              <w:rPr>
                <w:rFonts w:cs="Arial"/>
                <w:lang w:val="fr-FR"/>
              </w:rPr>
            </w:pPr>
            <w:r w:rsidRPr="00275290">
              <w:rPr>
                <w:rFonts w:cs="Arial"/>
                <w:lang w:val="fr-FR"/>
              </w:rPr>
              <w:t>0.4</w:t>
            </w:r>
          </w:p>
        </w:tc>
      </w:tr>
      <w:tr w:rsidR="00F67CCD" w:rsidRPr="00275290" w14:paraId="1B5A360E" w14:textId="77777777" w:rsidTr="00C81964">
        <w:tc>
          <w:tcPr>
            <w:tcW w:w="1526" w:type="dxa"/>
            <w:vMerge w:val="restart"/>
            <w:vAlign w:val="center"/>
          </w:tcPr>
          <w:p w14:paraId="30EA4791" w14:textId="77777777" w:rsidR="00F67CCD" w:rsidRPr="00275290" w:rsidRDefault="00F67CCD" w:rsidP="009D4550">
            <w:pPr>
              <w:rPr>
                <w:rFonts w:cs="Arial"/>
                <w:lang w:val="fr-FR"/>
              </w:rPr>
            </w:pPr>
            <w:r w:rsidRPr="00275290">
              <w:rPr>
                <w:rFonts w:cs="Arial"/>
                <w:lang w:val="en-US"/>
              </w:rPr>
              <w:t>Appli + cleaning</w:t>
            </w:r>
          </w:p>
        </w:tc>
        <w:tc>
          <w:tcPr>
            <w:tcW w:w="2693" w:type="dxa"/>
            <w:shd w:val="clear" w:color="auto" w:fill="C6D9F1" w:themeFill="text2" w:themeFillTint="33"/>
            <w:vAlign w:val="center"/>
          </w:tcPr>
          <w:p w14:paraId="70FC5180" w14:textId="28E3BA67"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shd w:val="clear" w:color="auto" w:fill="C6D9F1" w:themeFill="text2" w:themeFillTint="33"/>
            <w:vAlign w:val="center"/>
          </w:tcPr>
          <w:p w14:paraId="1ACF921D" w14:textId="77777777" w:rsidR="00F67CCD" w:rsidRPr="00275290" w:rsidRDefault="00F67CCD" w:rsidP="009D4550">
            <w:pPr>
              <w:rPr>
                <w:rFonts w:cs="Arial"/>
                <w:color w:val="000000"/>
              </w:rPr>
            </w:pPr>
            <w:r w:rsidRPr="00275290">
              <w:rPr>
                <w:rFonts w:cs="Arial"/>
                <w:color w:val="000000"/>
              </w:rPr>
              <w:t>1,03E-02</w:t>
            </w:r>
          </w:p>
        </w:tc>
        <w:tc>
          <w:tcPr>
            <w:tcW w:w="1448" w:type="dxa"/>
            <w:shd w:val="clear" w:color="auto" w:fill="C6D9F1" w:themeFill="text2" w:themeFillTint="33"/>
            <w:vAlign w:val="center"/>
          </w:tcPr>
          <w:p w14:paraId="28252AB1" w14:textId="77777777" w:rsidR="00F67CCD" w:rsidRPr="00275290" w:rsidRDefault="00F67CCD" w:rsidP="009D4550">
            <w:pPr>
              <w:rPr>
                <w:rFonts w:cs="Arial"/>
                <w:lang w:val="fr-FR"/>
              </w:rPr>
            </w:pPr>
            <w:r w:rsidRPr="00275290">
              <w:rPr>
                <w:rFonts w:cs="Arial"/>
                <w:lang w:val="fr-FR"/>
              </w:rPr>
              <w:t>46.9</w:t>
            </w:r>
          </w:p>
        </w:tc>
      </w:tr>
      <w:tr w:rsidR="00F67CCD" w:rsidRPr="00275290" w14:paraId="46E15100" w14:textId="77777777" w:rsidTr="00C81964">
        <w:tc>
          <w:tcPr>
            <w:tcW w:w="1526" w:type="dxa"/>
            <w:vMerge/>
            <w:shd w:val="clear" w:color="auto" w:fill="C6D9F1" w:themeFill="text2" w:themeFillTint="33"/>
            <w:vAlign w:val="center"/>
          </w:tcPr>
          <w:p w14:paraId="6ED8799F"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01BEADFE" w14:textId="77777777" w:rsidR="00F67CCD" w:rsidRPr="00275290" w:rsidRDefault="00F67CCD" w:rsidP="009D4550">
            <w:pPr>
              <w:rPr>
                <w:rFonts w:cs="Arial"/>
                <w:lang w:val="fr-FR"/>
              </w:rPr>
            </w:pPr>
            <w:r w:rsidRPr="00275290">
              <w:rPr>
                <w:rFonts w:cs="Arial"/>
                <w:lang w:val="fr-FR"/>
              </w:rPr>
              <w:t>Propiconazole : 0.04</w:t>
            </w:r>
          </w:p>
        </w:tc>
        <w:tc>
          <w:tcPr>
            <w:tcW w:w="2268" w:type="dxa"/>
            <w:shd w:val="clear" w:color="auto" w:fill="C6D9F1" w:themeFill="text2" w:themeFillTint="33"/>
            <w:vAlign w:val="center"/>
          </w:tcPr>
          <w:p w14:paraId="0B25AC0A" w14:textId="77777777" w:rsidR="00F67CCD" w:rsidRPr="00275290" w:rsidRDefault="00F67CCD" w:rsidP="009D4550">
            <w:pPr>
              <w:rPr>
                <w:rFonts w:cs="Arial"/>
                <w:color w:val="000000"/>
              </w:rPr>
            </w:pPr>
            <w:r w:rsidRPr="00275290">
              <w:rPr>
                <w:rFonts w:cs="Arial"/>
                <w:color w:val="000000"/>
              </w:rPr>
              <w:t>1,49E-02</w:t>
            </w:r>
          </w:p>
        </w:tc>
        <w:tc>
          <w:tcPr>
            <w:tcW w:w="1448" w:type="dxa"/>
            <w:shd w:val="clear" w:color="auto" w:fill="C6D9F1" w:themeFill="text2" w:themeFillTint="33"/>
            <w:vAlign w:val="center"/>
          </w:tcPr>
          <w:p w14:paraId="3F45A90B" w14:textId="77777777" w:rsidR="00F67CCD" w:rsidRPr="00275290" w:rsidRDefault="00F67CCD" w:rsidP="009D4550">
            <w:pPr>
              <w:rPr>
                <w:rFonts w:cs="Arial"/>
                <w:lang w:val="fr-FR"/>
              </w:rPr>
            </w:pPr>
            <w:r w:rsidRPr="00275290">
              <w:rPr>
                <w:rFonts w:cs="Arial"/>
                <w:lang w:val="fr-FR"/>
              </w:rPr>
              <w:t>37.1</w:t>
            </w:r>
          </w:p>
        </w:tc>
      </w:tr>
      <w:tr w:rsidR="00F67CCD" w:rsidRPr="00275290" w14:paraId="789DB408" w14:textId="77777777" w:rsidTr="00C81964">
        <w:tc>
          <w:tcPr>
            <w:tcW w:w="1526" w:type="dxa"/>
            <w:vMerge/>
            <w:shd w:val="clear" w:color="auto" w:fill="C6D9F1" w:themeFill="text2" w:themeFillTint="33"/>
            <w:vAlign w:val="center"/>
          </w:tcPr>
          <w:p w14:paraId="4CED420B"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450B800E" w14:textId="77777777" w:rsidR="00F67CCD" w:rsidRPr="00275290" w:rsidRDefault="00F67CCD" w:rsidP="009D4550">
            <w:pPr>
              <w:rPr>
                <w:rFonts w:cs="Arial"/>
                <w:lang w:val="fr-FR"/>
              </w:rPr>
            </w:pPr>
            <w:r w:rsidRPr="00275290">
              <w:rPr>
                <w:rFonts w:cs="Arial"/>
                <w:lang w:val="fr-FR"/>
              </w:rPr>
              <w:t>Tébuconazole : 0.03</w:t>
            </w:r>
          </w:p>
        </w:tc>
        <w:tc>
          <w:tcPr>
            <w:tcW w:w="2268" w:type="dxa"/>
            <w:shd w:val="clear" w:color="auto" w:fill="C6D9F1" w:themeFill="text2" w:themeFillTint="33"/>
            <w:vAlign w:val="center"/>
          </w:tcPr>
          <w:p w14:paraId="653C6DAE" w14:textId="77777777" w:rsidR="00F67CCD" w:rsidRPr="00275290" w:rsidRDefault="00F67CCD" w:rsidP="009D4550">
            <w:pPr>
              <w:rPr>
                <w:rFonts w:cs="Arial"/>
                <w:color w:val="000000"/>
              </w:rPr>
            </w:pPr>
            <w:r w:rsidRPr="00275290">
              <w:rPr>
                <w:rFonts w:cs="Arial"/>
                <w:color w:val="000000"/>
              </w:rPr>
              <w:t>5,67E-03</w:t>
            </w:r>
          </w:p>
        </w:tc>
        <w:tc>
          <w:tcPr>
            <w:tcW w:w="1448" w:type="dxa"/>
            <w:shd w:val="clear" w:color="auto" w:fill="C6D9F1" w:themeFill="text2" w:themeFillTint="33"/>
            <w:vAlign w:val="center"/>
          </w:tcPr>
          <w:p w14:paraId="5A4888D2" w14:textId="77777777" w:rsidR="00F67CCD" w:rsidRPr="00275290" w:rsidRDefault="00F67CCD" w:rsidP="009D4550">
            <w:pPr>
              <w:rPr>
                <w:rFonts w:cs="Arial"/>
                <w:lang w:val="fr-FR"/>
              </w:rPr>
            </w:pPr>
            <w:r w:rsidRPr="00275290">
              <w:rPr>
                <w:rFonts w:cs="Arial"/>
                <w:lang w:val="fr-FR"/>
              </w:rPr>
              <w:t>18.9</w:t>
            </w:r>
          </w:p>
        </w:tc>
      </w:tr>
      <w:tr w:rsidR="00F67CCD" w:rsidRPr="00275290" w14:paraId="7B995184" w14:textId="77777777" w:rsidTr="00C81964">
        <w:tc>
          <w:tcPr>
            <w:tcW w:w="1526" w:type="dxa"/>
            <w:vMerge/>
            <w:shd w:val="clear" w:color="auto" w:fill="C6D9F1" w:themeFill="text2" w:themeFillTint="33"/>
            <w:vAlign w:val="center"/>
          </w:tcPr>
          <w:p w14:paraId="5510995B"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15922674" w14:textId="4372C8E6"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shd w:val="clear" w:color="auto" w:fill="C6D9F1" w:themeFill="text2" w:themeFillTint="33"/>
            <w:vAlign w:val="center"/>
          </w:tcPr>
          <w:p w14:paraId="22D9DF1F" w14:textId="77777777" w:rsidR="00F67CCD" w:rsidRPr="00275290" w:rsidRDefault="00F67CCD" w:rsidP="009D4550">
            <w:pPr>
              <w:rPr>
                <w:rFonts w:cs="Arial"/>
                <w:color w:val="000000"/>
              </w:rPr>
            </w:pPr>
            <w:r w:rsidRPr="00275290">
              <w:rPr>
                <w:rFonts w:cs="Arial"/>
                <w:color w:val="000000"/>
              </w:rPr>
              <w:t>1,33E-02</w:t>
            </w:r>
          </w:p>
        </w:tc>
        <w:tc>
          <w:tcPr>
            <w:tcW w:w="1448" w:type="dxa"/>
            <w:shd w:val="clear" w:color="auto" w:fill="C6D9F1" w:themeFill="text2" w:themeFillTint="33"/>
            <w:vAlign w:val="center"/>
          </w:tcPr>
          <w:p w14:paraId="1B517DD5" w14:textId="77777777" w:rsidR="00F67CCD" w:rsidRPr="00275290" w:rsidRDefault="00F67CCD" w:rsidP="009D4550">
            <w:pPr>
              <w:rPr>
                <w:rFonts w:cs="Arial"/>
                <w:lang w:val="fr-FR"/>
              </w:rPr>
            </w:pPr>
            <w:r w:rsidRPr="00275290">
              <w:rPr>
                <w:rFonts w:cs="Arial"/>
                <w:lang w:val="fr-FR"/>
              </w:rPr>
              <w:t>6.6</w:t>
            </w:r>
          </w:p>
        </w:tc>
      </w:tr>
      <w:tr w:rsidR="00F67CCD" w:rsidRPr="00275290" w14:paraId="7FA807F7" w14:textId="77777777" w:rsidTr="00666966">
        <w:tc>
          <w:tcPr>
            <w:tcW w:w="7935" w:type="dxa"/>
            <w:gridSpan w:val="4"/>
            <w:shd w:val="clear" w:color="auto" w:fill="BFBFBF" w:themeFill="background1" w:themeFillShade="BF"/>
            <w:vAlign w:val="center"/>
          </w:tcPr>
          <w:p w14:paraId="574007F4" w14:textId="391F3953" w:rsidR="00F67CCD" w:rsidRPr="00275290" w:rsidRDefault="00F67CCD" w:rsidP="009D4550">
            <w:pPr>
              <w:rPr>
                <w:rFonts w:cs="Arial"/>
                <w:lang w:val="en-US"/>
              </w:rPr>
            </w:pPr>
            <w:r w:rsidRPr="00275290">
              <w:rPr>
                <w:rFonts w:cs="Arial"/>
                <w:lang w:val="en-US"/>
              </w:rPr>
              <w:t>Brushing 300g/m</w:t>
            </w:r>
            <w:r w:rsidRPr="00275290">
              <w:rPr>
                <w:rFonts w:cs="Arial"/>
                <w:vertAlign w:val="superscript"/>
                <w:lang w:val="en-US"/>
              </w:rPr>
              <w:t>2</w:t>
            </w:r>
            <w:r w:rsidRPr="00275290">
              <w:rPr>
                <w:rFonts w:cs="Arial"/>
                <w:lang w:val="en-US"/>
              </w:rPr>
              <w:t xml:space="preserve"> – with gloves and coated coverall during application and no PPE during cleaning</w:t>
            </w:r>
          </w:p>
        </w:tc>
      </w:tr>
      <w:tr w:rsidR="00F67CCD" w:rsidRPr="00275290" w14:paraId="429A6EF1" w14:textId="77777777" w:rsidTr="00666966">
        <w:tc>
          <w:tcPr>
            <w:tcW w:w="1526" w:type="dxa"/>
            <w:vAlign w:val="center"/>
          </w:tcPr>
          <w:p w14:paraId="6C467947" w14:textId="77777777" w:rsidR="00F67CCD" w:rsidRPr="00275290" w:rsidRDefault="00F67CCD" w:rsidP="009D4550">
            <w:pPr>
              <w:rPr>
                <w:rFonts w:cs="Arial"/>
                <w:lang w:val="fr-FR"/>
              </w:rPr>
            </w:pPr>
            <w:r w:rsidRPr="00275290">
              <w:rPr>
                <w:rFonts w:cs="Arial"/>
                <w:lang w:val="fr-FR"/>
              </w:rPr>
              <w:t>M&amp;L</w:t>
            </w:r>
          </w:p>
        </w:tc>
        <w:tc>
          <w:tcPr>
            <w:tcW w:w="6409" w:type="dxa"/>
            <w:gridSpan w:val="3"/>
            <w:vAlign w:val="center"/>
          </w:tcPr>
          <w:p w14:paraId="58995BC3" w14:textId="5AE88081" w:rsidR="00F67CCD" w:rsidRPr="00275290" w:rsidRDefault="00F67CCD" w:rsidP="009D4550">
            <w:pPr>
              <w:rPr>
                <w:rFonts w:cs="Arial"/>
                <w:lang w:val="fr-FR"/>
              </w:rPr>
            </w:pPr>
            <w:r w:rsidRPr="00275290">
              <w:rPr>
                <w:rFonts w:cs="Arial"/>
                <w:lang w:val="fr-FR"/>
              </w:rPr>
              <w:t xml:space="preserve">n.a </w:t>
            </w:r>
          </w:p>
        </w:tc>
      </w:tr>
      <w:tr w:rsidR="00F67CCD" w:rsidRPr="00275290" w14:paraId="00A26A3F" w14:textId="77777777" w:rsidTr="00C81964">
        <w:tc>
          <w:tcPr>
            <w:tcW w:w="1526" w:type="dxa"/>
            <w:vMerge w:val="restart"/>
            <w:vAlign w:val="center"/>
          </w:tcPr>
          <w:p w14:paraId="399EE752" w14:textId="77777777" w:rsidR="00F67CCD" w:rsidRPr="00275290" w:rsidRDefault="00F67CCD" w:rsidP="009D4550">
            <w:pPr>
              <w:rPr>
                <w:rFonts w:cs="Arial"/>
                <w:lang w:val="en-US"/>
              </w:rPr>
            </w:pPr>
            <w:r w:rsidRPr="00275290">
              <w:rPr>
                <w:rFonts w:cs="Arial"/>
                <w:lang w:val="en-US"/>
              </w:rPr>
              <w:t>Product application phase</w:t>
            </w:r>
          </w:p>
        </w:tc>
        <w:tc>
          <w:tcPr>
            <w:tcW w:w="2693" w:type="dxa"/>
            <w:vAlign w:val="center"/>
          </w:tcPr>
          <w:p w14:paraId="16344340" w14:textId="25920456"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vAlign w:val="center"/>
          </w:tcPr>
          <w:p w14:paraId="6E049E20" w14:textId="77777777" w:rsidR="00F67CCD" w:rsidRPr="00275290" w:rsidRDefault="00F67CCD" w:rsidP="009D4550">
            <w:pPr>
              <w:rPr>
                <w:rFonts w:cs="Arial"/>
                <w:color w:val="000000"/>
              </w:rPr>
            </w:pPr>
            <w:r w:rsidRPr="00275290">
              <w:rPr>
                <w:rFonts w:cs="Arial"/>
                <w:color w:val="000000"/>
              </w:rPr>
              <w:t>1,16E-03</w:t>
            </w:r>
          </w:p>
        </w:tc>
        <w:tc>
          <w:tcPr>
            <w:tcW w:w="1448" w:type="dxa"/>
            <w:vAlign w:val="center"/>
          </w:tcPr>
          <w:p w14:paraId="42333473" w14:textId="77777777" w:rsidR="00F67CCD" w:rsidRPr="00275290" w:rsidRDefault="00F67CCD" w:rsidP="009D4550">
            <w:pPr>
              <w:rPr>
                <w:rFonts w:cs="Arial"/>
                <w:lang w:val="fr-FR"/>
              </w:rPr>
            </w:pPr>
            <w:r w:rsidRPr="00275290">
              <w:rPr>
                <w:rFonts w:cs="Arial"/>
                <w:lang w:val="fr-FR"/>
              </w:rPr>
              <w:t>5.3</w:t>
            </w:r>
          </w:p>
        </w:tc>
      </w:tr>
      <w:tr w:rsidR="00F67CCD" w:rsidRPr="00275290" w14:paraId="27B6FED3" w14:textId="77777777" w:rsidTr="00C81964">
        <w:tc>
          <w:tcPr>
            <w:tcW w:w="1526" w:type="dxa"/>
            <w:vMerge/>
            <w:vAlign w:val="center"/>
          </w:tcPr>
          <w:p w14:paraId="71D29F9E" w14:textId="77777777" w:rsidR="00F67CCD" w:rsidRPr="00275290" w:rsidRDefault="00F67CCD" w:rsidP="009D4550">
            <w:pPr>
              <w:rPr>
                <w:rFonts w:cs="Arial"/>
                <w:lang w:val="fr-FR"/>
              </w:rPr>
            </w:pPr>
          </w:p>
        </w:tc>
        <w:tc>
          <w:tcPr>
            <w:tcW w:w="2693" w:type="dxa"/>
            <w:vAlign w:val="center"/>
          </w:tcPr>
          <w:p w14:paraId="38425B19" w14:textId="77777777" w:rsidR="00F67CCD" w:rsidRPr="00275290" w:rsidRDefault="00F67CCD" w:rsidP="009D4550">
            <w:pPr>
              <w:rPr>
                <w:rFonts w:cs="Arial"/>
                <w:lang w:val="fr-FR"/>
              </w:rPr>
            </w:pPr>
            <w:r w:rsidRPr="00275290">
              <w:rPr>
                <w:rFonts w:cs="Arial"/>
                <w:lang w:val="fr-FR"/>
              </w:rPr>
              <w:t>Propiconazole : 0.04</w:t>
            </w:r>
          </w:p>
        </w:tc>
        <w:tc>
          <w:tcPr>
            <w:tcW w:w="2268" w:type="dxa"/>
            <w:vAlign w:val="center"/>
          </w:tcPr>
          <w:p w14:paraId="64ADA645" w14:textId="77777777" w:rsidR="00F67CCD" w:rsidRPr="00275290" w:rsidRDefault="00F67CCD" w:rsidP="009D4550">
            <w:pPr>
              <w:rPr>
                <w:rFonts w:cs="Arial"/>
                <w:color w:val="000000"/>
              </w:rPr>
            </w:pPr>
            <w:r w:rsidRPr="00275290">
              <w:rPr>
                <w:rFonts w:cs="Arial"/>
                <w:color w:val="000000"/>
              </w:rPr>
              <w:t>1,74E-03</w:t>
            </w:r>
          </w:p>
        </w:tc>
        <w:tc>
          <w:tcPr>
            <w:tcW w:w="1448" w:type="dxa"/>
            <w:vAlign w:val="center"/>
          </w:tcPr>
          <w:p w14:paraId="74D09D40" w14:textId="77777777" w:rsidR="00F67CCD" w:rsidRPr="00275290" w:rsidRDefault="00F67CCD" w:rsidP="009D4550">
            <w:pPr>
              <w:rPr>
                <w:rFonts w:cs="Arial"/>
                <w:lang w:val="fr-FR"/>
              </w:rPr>
            </w:pPr>
            <w:r w:rsidRPr="00275290">
              <w:rPr>
                <w:rFonts w:cs="Arial"/>
                <w:lang w:val="fr-FR"/>
              </w:rPr>
              <w:t>4.3</w:t>
            </w:r>
          </w:p>
        </w:tc>
      </w:tr>
      <w:tr w:rsidR="00F67CCD" w:rsidRPr="00275290" w14:paraId="7FD4E6E2" w14:textId="77777777" w:rsidTr="00C81964">
        <w:tc>
          <w:tcPr>
            <w:tcW w:w="1526" w:type="dxa"/>
            <w:vMerge/>
            <w:vAlign w:val="center"/>
          </w:tcPr>
          <w:p w14:paraId="325AB820" w14:textId="77777777" w:rsidR="00F67CCD" w:rsidRPr="00275290" w:rsidRDefault="00F67CCD" w:rsidP="009D4550">
            <w:pPr>
              <w:rPr>
                <w:rFonts w:cs="Arial"/>
                <w:lang w:val="fr-FR"/>
              </w:rPr>
            </w:pPr>
          </w:p>
        </w:tc>
        <w:tc>
          <w:tcPr>
            <w:tcW w:w="2693" w:type="dxa"/>
            <w:vAlign w:val="center"/>
          </w:tcPr>
          <w:p w14:paraId="5D567B71" w14:textId="77777777" w:rsidR="00F67CCD" w:rsidRPr="00275290" w:rsidRDefault="00F67CCD" w:rsidP="009D4550">
            <w:pPr>
              <w:rPr>
                <w:rFonts w:cs="Arial"/>
                <w:lang w:val="fr-FR"/>
              </w:rPr>
            </w:pPr>
            <w:r w:rsidRPr="00275290">
              <w:rPr>
                <w:rFonts w:cs="Arial"/>
                <w:lang w:val="fr-FR"/>
              </w:rPr>
              <w:t>Tébuconazole : 0.03</w:t>
            </w:r>
          </w:p>
        </w:tc>
        <w:tc>
          <w:tcPr>
            <w:tcW w:w="2268" w:type="dxa"/>
            <w:vAlign w:val="center"/>
          </w:tcPr>
          <w:p w14:paraId="59CA7365" w14:textId="77777777" w:rsidR="00F67CCD" w:rsidRPr="00275290" w:rsidRDefault="00F67CCD" w:rsidP="009D4550">
            <w:pPr>
              <w:rPr>
                <w:rFonts w:cs="Arial"/>
                <w:color w:val="000000"/>
              </w:rPr>
            </w:pPr>
            <w:r w:rsidRPr="00275290">
              <w:rPr>
                <w:rFonts w:cs="Arial"/>
                <w:color w:val="000000"/>
              </w:rPr>
              <w:t>6,34E-04</w:t>
            </w:r>
          </w:p>
        </w:tc>
        <w:tc>
          <w:tcPr>
            <w:tcW w:w="1448" w:type="dxa"/>
            <w:vAlign w:val="center"/>
          </w:tcPr>
          <w:p w14:paraId="46B9BF42" w14:textId="77777777" w:rsidR="00F67CCD" w:rsidRPr="00275290" w:rsidRDefault="00F67CCD" w:rsidP="009D4550">
            <w:pPr>
              <w:rPr>
                <w:rFonts w:cs="Arial"/>
                <w:lang w:val="fr-FR"/>
              </w:rPr>
            </w:pPr>
            <w:r w:rsidRPr="00275290">
              <w:rPr>
                <w:rFonts w:cs="Arial"/>
                <w:lang w:val="fr-FR"/>
              </w:rPr>
              <w:t>2.1</w:t>
            </w:r>
          </w:p>
        </w:tc>
      </w:tr>
      <w:tr w:rsidR="00F67CCD" w:rsidRPr="00275290" w14:paraId="243949E4" w14:textId="77777777" w:rsidTr="00C81964">
        <w:tc>
          <w:tcPr>
            <w:tcW w:w="1526" w:type="dxa"/>
            <w:vMerge/>
            <w:vAlign w:val="center"/>
          </w:tcPr>
          <w:p w14:paraId="25AA71B3" w14:textId="77777777" w:rsidR="00F67CCD" w:rsidRPr="00275290" w:rsidRDefault="00F67CCD" w:rsidP="009D4550">
            <w:pPr>
              <w:rPr>
                <w:rFonts w:cs="Arial"/>
                <w:lang w:val="fr-FR"/>
              </w:rPr>
            </w:pPr>
          </w:p>
        </w:tc>
        <w:tc>
          <w:tcPr>
            <w:tcW w:w="2693" w:type="dxa"/>
            <w:vAlign w:val="center"/>
          </w:tcPr>
          <w:p w14:paraId="129BD41E" w14:textId="6DBD167B"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vAlign w:val="center"/>
          </w:tcPr>
          <w:p w14:paraId="7F25419C" w14:textId="77777777" w:rsidR="00F67CCD" w:rsidRPr="00275290" w:rsidRDefault="00F67CCD" w:rsidP="009D4550">
            <w:pPr>
              <w:rPr>
                <w:rFonts w:cs="Arial"/>
                <w:color w:val="000000"/>
              </w:rPr>
            </w:pPr>
            <w:r w:rsidRPr="00275290">
              <w:rPr>
                <w:rFonts w:cs="Arial"/>
                <w:color w:val="000000"/>
              </w:rPr>
              <w:t>1,44E-03</w:t>
            </w:r>
          </w:p>
        </w:tc>
        <w:tc>
          <w:tcPr>
            <w:tcW w:w="1448" w:type="dxa"/>
            <w:vAlign w:val="center"/>
          </w:tcPr>
          <w:p w14:paraId="5352FF26" w14:textId="77777777" w:rsidR="00F67CCD" w:rsidRPr="00275290" w:rsidRDefault="00F67CCD" w:rsidP="009D4550">
            <w:pPr>
              <w:rPr>
                <w:rFonts w:cs="Arial"/>
                <w:lang w:val="fr-FR"/>
              </w:rPr>
            </w:pPr>
            <w:r w:rsidRPr="00275290">
              <w:rPr>
                <w:rFonts w:cs="Arial"/>
                <w:lang w:val="fr-FR"/>
              </w:rPr>
              <w:t>0.7</w:t>
            </w:r>
          </w:p>
        </w:tc>
      </w:tr>
      <w:tr w:rsidR="00F67CCD" w:rsidRPr="00275290" w14:paraId="4811F4D1" w14:textId="77777777" w:rsidTr="00C81964">
        <w:tc>
          <w:tcPr>
            <w:tcW w:w="1526" w:type="dxa"/>
            <w:vMerge w:val="restart"/>
            <w:vAlign w:val="center"/>
          </w:tcPr>
          <w:p w14:paraId="44D4846C" w14:textId="77777777" w:rsidR="00F67CCD" w:rsidRPr="00275290" w:rsidRDefault="00F67CCD" w:rsidP="009D4550">
            <w:pPr>
              <w:rPr>
                <w:rFonts w:cs="Arial"/>
                <w:lang w:val="en-US"/>
              </w:rPr>
            </w:pPr>
            <w:r w:rsidRPr="00275290">
              <w:rPr>
                <w:rFonts w:cs="Arial"/>
                <w:lang w:val="en-US"/>
              </w:rPr>
              <w:t xml:space="preserve">Brush cleaning phase </w:t>
            </w:r>
          </w:p>
          <w:p w14:paraId="27E8FFD9" w14:textId="77777777" w:rsidR="00F67CCD" w:rsidRPr="00275290" w:rsidRDefault="00F67CCD" w:rsidP="009D4550">
            <w:pPr>
              <w:rPr>
                <w:rFonts w:cs="Arial"/>
                <w:lang w:val="en-US"/>
              </w:rPr>
            </w:pPr>
          </w:p>
        </w:tc>
        <w:tc>
          <w:tcPr>
            <w:tcW w:w="2693" w:type="dxa"/>
            <w:vAlign w:val="center"/>
          </w:tcPr>
          <w:p w14:paraId="4EF495BF" w14:textId="0A145237"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vAlign w:val="center"/>
          </w:tcPr>
          <w:p w14:paraId="18219C7A" w14:textId="77777777" w:rsidR="00F67CCD" w:rsidRPr="00275290" w:rsidRDefault="00F67CCD" w:rsidP="009D4550">
            <w:pPr>
              <w:rPr>
                <w:rFonts w:cs="Arial"/>
                <w:color w:val="000000"/>
              </w:rPr>
            </w:pPr>
            <w:r w:rsidRPr="00275290">
              <w:rPr>
                <w:rFonts w:cs="Arial"/>
                <w:color w:val="000000"/>
              </w:rPr>
              <w:t>7,17E-04</w:t>
            </w:r>
          </w:p>
        </w:tc>
        <w:tc>
          <w:tcPr>
            <w:tcW w:w="1448" w:type="dxa"/>
            <w:vAlign w:val="center"/>
          </w:tcPr>
          <w:p w14:paraId="5C7CB0DC" w14:textId="77777777" w:rsidR="00F67CCD" w:rsidRPr="00275290" w:rsidRDefault="00F67CCD" w:rsidP="009D4550">
            <w:pPr>
              <w:rPr>
                <w:rFonts w:cs="Arial"/>
                <w:lang w:val="fr-FR"/>
              </w:rPr>
            </w:pPr>
            <w:r w:rsidRPr="00275290">
              <w:rPr>
                <w:rFonts w:cs="Arial"/>
                <w:lang w:val="fr-FR"/>
              </w:rPr>
              <w:t>3.3</w:t>
            </w:r>
          </w:p>
        </w:tc>
      </w:tr>
      <w:tr w:rsidR="00F67CCD" w:rsidRPr="00275290" w14:paraId="421F7326" w14:textId="77777777" w:rsidTr="00C81964">
        <w:tc>
          <w:tcPr>
            <w:tcW w:w="1526" w:type="dxa"/>
            <w:vMerge/>
            <w:vAlign w:val="center"/>
          </w:tcPr>
          <w:p w14:paraId="73E9CB1E" w14:textId="77777777" w:rsidR="00F67CCD" w:rsidRPr="00275290" w:rsidRDefault="00F67CCD" w:rsidP="009D4550">
            <w:pPr>
              <w:rPr>
                <w:rFonts w:cs="Arial"/>
                <w:lang w:val="fr-FR"/>
              </w:rPr>
            </w:pPr>
          </w:p>
        </w:tc>
        <w:tc>
          <w:tcPr>
            <w:tcW w:w="2693" w:type="dxa"/>
            <w:vAlign w:val="center"/>
          </w:tcPr>
          <w:p w14:paraId="6B222BE4" w14:textId="77777777" w:rsidR="00F67CCD" w:rsidRPr="00275290" w:rsidRDefault="00F67CCD" w:rsidP="009D4550">
            <w:pPr>
              <w:rPr>
                <w:rFonts w:cs="Arial"/>
                <w:lang w:val="fr-FR"/>
              </w:rPr>
            </w:pPr>
            <w:r w:rsidRPr="00275290">
              <w:rPr>
                <w:rFonts w:cs="Arial"/>
                <w:lang w:val="fr-FR"/>
              </w:rPr>
              <w:t>Propiconazole : 0.04</w:t>
            </w:r>
          </w:p>
        </w:tc>
        <w:tc>
          <w:tcPr>
            <w:tcW w:w="2268" w:type="dxa"/>
            <w:vAlign w:val="center"/>
          </w:tcPr>
          <w:p w14:paraId="18FABC8C" w14:textId="77777777" w:rsidR="00F67CCD" w:rsidRPr="00275290" w:rsidRDefault="00F67CCD" w:rsidP="009D4550">
            <w:pPr>
              <w:rPr>
                <w:rFonts w:cs="Arial"/>
                <w:color w:val="000000"/>
              </w:rPr>
            </w:pPr>
            <w:r w:rsidRPr="00275290">
              <w:rPr>
                <w:rFonts w:cs="Arial"/>
                <w:color w:val="000000"/>
              </w:rPr>
              <w:t>9,32E-04</w:t>
            </w:r>
          </w:p>
        </w:tc>
        <w:tc>
          <w:tcPr>
            <w:tcW w:w="1448" w:type="dxa"/>
            <w:vAlign w:val="center"/>
          </w:tcPr>
          <w:p w14:paraId="661FFDEE" w14:textId="77777777" w:rsidR="00F67CCD" w:rsidRPr="00275290" w:rsidRDefault="00F67CCD" w:rsidP="009D4550">
            <w:pPr>
              <w:rPr>
                <w:rFonts w:cs="Arial"/>
                <w:lang w:val="fr-FR"/>
              </w:rPr>
            </w:pPr>
            <w:r w:rsidRPr="00275290">
              <w:rPr>
                <w:rFonts w:cs="Arial"/>
                <w:lang w:val="fr-FR"/>
              </w:rPr>
              <w:t>2.3</w:t>
            </w:r>
          </w:p>
        </w:tc>
      </w:tr>
      <w:tr w:rsidR="00F67CCD" w:rsidRPr="00275290" w14:paraId="6F171DB6" w14:textId="77777777" w:rsidTr="00C81964">
        <w:tc>
          <w:tcPr>
            <w:tcW w:w="1526" w:type="dxa"/>
            <w:vMerge/>
            <w:vAlign w:val="center"/>
          </w:tcPr>
          <w:p w14:paraId="4B915916" w14:textId="77777777" w:rsidR="00F67CCD" w:rsidRPr="00275290" w:rsidRDefault="00F67CCD" w:rsidP="009D4550">
            <w:pPr>
              <w:rPr>
                <w:rFonts w:cs="Arial"/>
                <w:lang w:val="fr-FR"/>
              </w:rPr>
            </w:pPr>
          </w:p>
        </w:tc>
        <w:tc>
          <w:tcPr>
            <w:tcW w:w="2693" w:type="dxa"/>
            <w:vAlign w:val="center"/>
          </w:tcPr>
          <w:p w14:paraId="22138A7E" w14:textId="77777777" w:rsidR="00F67CCD" w:rsidRPr="00275290" w:rsidRDefault="00F67CCD" w:rsidP="009D4550">
            <w:pPr>
              <w:rPr>
                <w:rFonts w:cs="Arial"/>
                <w:lang w:val="fr-FR"/>
              </w:rPr>
            </w:pPr>
            <w:r w:rsidRPr="00275290">
              <w:rPr>
                <w:rFonts w:cs="Arial"/>
                <w:lang w:val="fr-FR"/>
              </w:rPr>
              <w:t>Tébuconazole : 0.03</w:t>
            </w:r>
          </w:p>
        </w:tc>
        <w:tc>
          <w:tcPr>
            <w:tcW w:w="2268" w:type="dxa"/>
            <w:vAlign w:val="center"/>
          </w:tcPr>
          <w:p w14:paraId="62B4D405" w14:textId="77777777" w:rsidR="00F67CCD" w:rsidRPr="00275290" w:rsidRDefault="00F67CCD" w:rsidP="009D4550">
            <w:pPr>
              <w:rPr>
                <w:rFonts w:cs="Arial"/>
                <w:color w:val="000000"/>
              </w:rPr>
            </w:pPr>
            <w:r w:rsidRPr="00275290">
              <w:rPr>
                <w:rFonts w:cs="Arial"/>
                <w:color w:val="000000"/>
              </w:rPr>
              <w:t>4,94E-04</w:t>
            </w:r>
          </w:p>
        </w:tc>
        <w:tc>
          <w:tcPr>
            <w:tcW w:w="1448" w:type="dxa"/>
            <w:vAlign w:val="center"/>
          </w:tcPr>
          <w:p w14:paraId="4E36B243" w14:textId="77777777" w:rsidR="00F67CCD" w:rsidRPr="00275290" w:rsidRDefault="00F67CCD" w:rsidP="009D4550">
            <w:pPr>
              <w:rPr>
                <w:rFonts w:cs="Arial"/>
                <w:lang w:val="fr-FR"/>
              </w:rPr>
            </w:pPr>
            <w:r w:rsidRPr="00275290">
              <w:rPr>
                <w:rFonts w:cs="Arial"/>
                <w:lang w:val="fr-FR"/>
              </w:rPr>
              <w:t>1.6</w:t>
            </w:r>
          </w:p>
        </w:tc>
      </w:tr>
      <w:tr w:rsidR="00F67CCD" w:rsidRPr="00275290" w14:paraId="7466633E" w14:textId="77777777" w:rsidTr="00C81964">
        <w:tc>
          <w:tcPr>
            <w:tcW w:w="1526" w:type="dxa"/>
            <w:vMerge/>
            <w:vAlign w:val="center"/>
          </w:tcPr>
          <w:p w14:paraId="64DBB7A4" w14:textId="77777777" w:rsidR="00F67CCD" w:rsidRPr="00275290" w:rsidRDefault="00F67CCD" w:rsidP="009D4550">
            <w:pPr>
              <w:rPr>
                <w:rFonts w:cs="Arial"/>
                <w:lang w:val="fr-FR"/>
              </w:rPr>
            </w:pPr>
          </w:p>
        </w:tc>
        <w:tc>
          <w:tcPr>
            <w:tcW w:w="2693" w:type="dxa"/>
            <w:vAlign w:val="center"/>
          </w:tcPr>
          <w:p w14:paraId="77C008AD" w14:textId="48A2C040"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vAlign w:val="center"/>
          </w:tcPr>
          <w:p w14:paraId="1D19C205" w14:textId="77777777" w:rsidR="00F67CCD" w:rsidRPr="00275290" w:rsidRDefault="00F67CCD" w:rsidP="009D4550">
            <w:pPr>
              <w:rPr>
                <w:rFonts w:cs="Arial"/>
                <w:color w:val="000000"/>
              </w:rPr>
            </w:pPr>
            <w:r w:rsidRPr="00275290">
              <w:rPr>
                <w:rFonts w:cs="Arial"/>
                <w:color w:val="000000"/>
              </w:rPr>
              <w:t>8,63E-04</w:t>
            </w:r>
          </w:p>
        </w:tc>
        <w:tc>
          <w:tcPr>
            <w:tcW w:w="1448" w:type="dxa"/>
            <w:vAlign w:val="center"/>
          </w:tcPr>
          <w:p w14:paraId="00350653" w14:textId="77777777" w:rsidR="00F67CCD" w:rsidRPr="00275290" w:rsidRDefault="00F67CCD" w:rsidP="009D4550">
            <w:pPr>
              <w:rPr>
                <w:rFonts w:cs="Arial"/>
                <w:lang w:val="fr-FR"/>
              </w:rPr>
            </w:pPr>
            <w:r w:rsidRPr="00275290">
              <w:rPr>
                <w:rFonts w:cs="Arial"/>
                <w:lang w:val="fr-FR"/>
              </w:rPr>
              <w:t>0.4</w:t>
            </w:r>
          </w:p>
        </w:tc>
      </w:tr>
      <w:tr w:rsidR="00F67CCD" w:rsidRPr="00275290" w14:paraId="70EC3384" w14:textId="77777777" w:rsidTr="00C81964">
        <w:tc>
          <w:tcPr>
            <w:tcW w:w="1526" w:type="dxa"/>
            <w:vMerge w:val="restart"/>
            <w:vAlign w:val="center"/>
          </w:tcPr>
          <w:p w14:paraId="16FA282B" w14:textId="77777777" w:rsidR="00F67CCD" w:rsidRPr="00275290" w:rsidRDefault="00F67CCD" w:rsidP="009D4550">
            <w:pPr>
              <w:rPr>
                <w:rFonts w:cs="Arial"/>
                <w:lang w:val="fr-FR"/>
              </w:rPr>
            </w:pPr>
            <w:r w:rsidRPr="00275290">
              <w:rPr>
                <w:rFonts w:cs="Arial"/>
                <w:lang w:val="en-US"/>
              </w:rPr>
              <w:t>Appli + cleaning</w:t>
            </w:r>
          </w:p>
        </w:tc>
        <w:tc>
          <w:tcPr>
            <w:tcW w:w="2693" w:type="dxa"/>
            <w:shd w:val="clear" w:color="auto" w:fill="C6D9F1" w:themeFill="text2" w:themeFillTint="33"/>
            <w:vAlign w:val="center"/>
          </w:tcPr>
          <w:p w14:paraId="5D0F4BC0" w14:textId="26B640E7"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shd w:val="clear" w:color="auto" w:fill="C6D9F1" w:themeFill="text2" w:themeFillTint="33"/>
            <w:vAlign w:val="center"/>
          </w:tcPr>
          <w:p w14:paraId="2ED9E123" w14:textId="77777777" w:rsidR="00F67CCD" w:rsidRPr="00275290" w:rsidRDefault="00F67CCD" w:rsidP="009D4550">
            <w:pPr>
              <w:rPr>
                <w:rFonts w:cs="Arial"/>
                <w:color w:val="000000"/>
              </w:rPr>
            </w:pPr>
            <w:r w:rsidRPr="00275290">
              <w:rPr>
                <w:rFonts w:cs="Arial"/>
                <w:color w:val="000000"/>
              </w:rPr>
              <w:t>1,88E-03</w:t>
            </w:r>
          </w:p>
        </w:tc>
        <w:tc>
          <w:tcPr>
            <w:tcW w:w="1448" w:type="dxa"/>
            <w:shd w:val="clear" w:color="auto" w:fill="C6D9F1" w:themeFill="text2" w:themeFillTint="33"/>
            <w:vAlign w:val="center"/>
          </w:tcPr>
          <w:p w14:paraId="779ED421" w14:textId="77777777" w:rsidR="00F67CCD" w:rsidRPr="00275290" w:rsidRDefault="00F67CCD" w:rsidP="009D4550">
            <w:pPr>
              <w:rPr>
                <w:rFonts w:cs="Arial"/>
                <w:lang w:val="fr-FR"/>
              </w:rPr>
            </w:pPr>
            <w:r w:rsidRPr="00275290">
              <w:rPr>
                <w:rFonts w:cs="Arial"/>
                <w:lang w:val="fr-FR"/>
              </w:rPr>
              <w:t>8.5</w:t>
            </w:r>
          </w:p>
        </w:tc>
      </w:tr>
      <w:tr w:rsidR="00F67CCD" w:rsidRPr="00275290" w14:paraId="56EE4376" w14:textId="77777777" w:rsidTr="00C81964">
        <w:tc>
          <w:tcPr>
            <w:tcW w:w="1526" w:type="dxa"/>
            <w:vMerge/>
            <w:shd w:val="clear" w:color="auto" w:fill="C6D9F1" w:themeFill="text2" w:themeFillTint="33"/>
            <w:vAlign w:val="center"/>
          </w:tcPr>
          <w:p w14:paraId="30814365"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6A0337A8" w14:textId="77777777" w:rsidR="00F67CCD" w:rsidRPr="00275290" w:rsidRDefault="00F67CCD" w:rsidP="009D4550">
            <w:pPr>
              <w:rPr>
                <w:rFonts w:cs="Arial"/>
                <w:lang w:val="fr-FR"/>
              </w:rPr>
            </w:pPr>
            <w:r w:rsidRPr="00275290">
              <w:rPr>
                <w:rFonts w:cs="Arial"/>
                <w:lang w:val="fr-FR"/>
              </w:rPr>
              <w:t>Propiconazole : 0.04</w:t>
            </w:r>
          </w:p>
        </w:tc>
        <w:tc>
          <w:tcPr>
            <w:tcW w:w="2268" w:type="dxa"/>
            <w:shd w:val="clear" w:color="auto" w:fill="C6D9F1" w:themeFill="text2" w:themeFillTint="33"/>
            <w:vAlign w:val="center"/>
          </w:tcPr>
          <w:p w14:paraId="187B0A31" w14:textId="77777777" w:rsidR="00F67CCD" w:rsidRPr="00275290" w:rsidRDefault="00F67CCD" w:rsidP="009D4550">
            <w:pPr>
              <w:rPr>
                <w:rFonts w:cs="Arial"/>
                <w:color w:val="000000"/>
              </w:rPr>
            </w:pPr>
            <w:r w:rsidRPr="00275290">
              <w:rPr>
                <w:rFonts w:cs="Arial"/>
                <w:color w:val="000000"/>
              </w:rPr>
              <w:t>2,67E-03</w:t>
            </w:r>
          </w:p>
        </w:tc>
        <w:tc>
          <w:tcPr>
            <w:tcW w:w="1448" w:type="dxa"/>
            <w:shd w:val="clear" w:color="auto" w:fill="C6D9F1" w:themeFill="text2" w:themeFillTint="33"/>
            <w:vAlign w:val="center"/>
          </w:tcPr>
          <w:p w14:paraId="4342AB54" w14:textId="77777777" w:rsidR="00F67CCD" w:rsidRPr="00275290" w:rsidRDefault="00F67CCD" w:rsidP="009D4550">
            <w:pPr>
              <w:rPr>
                <w:rFonts w:cs="Arial"/>
                <w:lang w:val="fr-FR"/>
              </w:rPr>
            </w:pPr>
            <w:r w:rsidRPr="00275290">
              <w:rPr>
                <w:rFonts w:cs="Arial"/>
                <w:lang w:val="fr-FR"/>
              </w:rPr>
              <w:t>6.7</w:t>
            </w:r>
          </w:p>
        </w:tc>
      </w:tr>
      <w:tr w:rsidR="00F67CCD" w:rsidRPr="00275290" w14:paraId="22D3923E" w14:textId="77777777" w:rsidTr="00C81964">
        <w:tc>
          <w:tcPr>
            <w:tcW w:w="1526" w:type="dxa"/>
            <w:vMerge/>
            <w:shd w:val="clear" w:color="auto" w:fill="C6D9F1" w:themeFill="text2" w:themeFillTint="33"/>
            <w:vAlign w:val="center"/>
          </w:tcPr>
          <w:p w14:paraId="0D9EF0CB"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258856F1" w14:textId="77777777" w:rsidR="00F67CCD" w:rsidRPr="00275290" w:rsidRDefault="00F67CCD" w:rsidP="009D4550">
            <w:pPr>
              <w:rPr>
                <w:rFonts w:cs="Arial"/>
                <w:lang w:val="fr-FR"/>
              </w:rPr>
            </w:pPr>
            <w:r w:rsidRPr="00275290">
              <w:rPr>
                <w:rFonts w:cs="Arial"/>
                <w:lang w:val="fr-FR"/>
              </w:rPr>
              <w:t>Tébuconazole : 0.03</w:t>
            </w:r>
          </w:p>
        </w:tc>
        <w:tc>
          <w:tcPr>
            <w:tcW w:w="2268" w:type="dxa"/>
            <w:shd w:val="clear" w:color="auto" w:fill="C6D9F1" w:themeFill="text2" w:themeFillTint="33"/>
            <w:vAlign w:val="center"/>
          </w:tcPr>
          <w:p w14:paraId="7A7C220E" w14:textId="77777777" w:rsidR="00F67CCD" w:rsidRPr="00275290" w:rsidRDefault="00F67CCD" w:rsidP="009D4550">
            <w:pPr>
              <w:rPr>
                <w:rFonts w:cs="Arial"/>
                <w:color w:val="000000"/>
              </w:rPr>
            </w:pPr>
            <w:r w:rsidRPr="00275290">
              <w:rPr>
                <w:rFonts w:cs="Arial"/>
                <w:color w:val="000000"/>
              </w:rPr>
              <w:t>1,13E-03</w:t>
            </w:r>
          </w:p>
        </w:tc>
        <w:tc>
          <w:tcPr>
            <w:tcW w:w="1448" w:type="dxa"/>
            <w:shd w:val="clear" w:color="auto" w:fill="C6D9F1" w:themeFill="text2" w:themeFillTint="33"/>
            <w:vAlign w:val="center"/>
          </w:tcPr>
          <w:p w14:paraId="0733705F" w14:textId="77777777" w:rsidR="00F67CCD" w:rsidRPr="00275290" w:rsidRDefault="00F67CCD" w:rsidP="009D4550">
            <w:pPr>
              <w:rPr>
                <w:rFonts w:cs="Arial"/>
                <w:lang w:val="fr-FR"/>
              </w:rPr>
            </w:pPr>
            <w:r w:rsidRPr="00275290">
              <w:rPr>
                <w:rFonts w:cs="Arial"/>
                <w:lang w:val="fr-FR"/>
              </w:rPr>
              <w:t>3.8</w:t>
            </w:r>
          </w:p>
        </w:tc>
      </w:tr>
      <w:tr w:rsidR="00F67CCD" w:rsidRPr="00275290" w14:paraId="0A703D0D" w14:textId="77777777" w:rsidTr="00C81964">
        <w:tc>
          <w:tcPr>
            <w:tcW w:w="1526" w:type="dxa"/>
            <w:vMerge/>
            <w:shd w:val="clear" w:color="auto" w:fill="C6D9F1" w:themeFill="text2" w:themeFillTint="33"/>
            <w:vAlign w:val="center"/>
          </w:tcPr>
          <w:p w14:paraId="299E1424"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6F5FD729" w14:textId="38E495BE"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shd w:val="clear" w:color="auto" w:fill="C6D9F1" w:themeFill="text2" w:themeFillTint="33"/>
            <w:vAlign w:val="center"/>
          </w:tcPr>
          <w:p w14:paraId="4ACE2473" w14:textId="77777777" w:rsidR="00F67CCD" w:rsidRPr="00275290" w:rsidRDefault="00F67CCD" w:rsidP="009D4550">
            <w:pPr>
              <w:rPr>
                <w:rFonts w:cs="Arial"/>
                <w:color w:val="000000"/>
              </w:rPr>
            </w:pPr>
            <w:r w:rsidRPr="00275290">
              <w:rPr>
                <w:rFonts w:cs="Arial"/>
                <w:color w:val="000000"/>
              </w:rPr>
              <w:t>2,30E-03</w:t>
            </w:r>
          </w:p>
        </w:tc>
        <w:tc>
          <w:tcPr>
            <w:tcW w:w="1448" w:type="dxa"/>
            <w:shd w:val="clear" w:color="auto" w:fill="C6D9F1" w:themeFill="text2" w:themeFillTint="33"/>
            <w:vAlign w:val="center"/>
          </w:tcPr>
          <w:p w14:paraId="615920A0" w14:textId="77777777" w:rsidR="00F67CCD" w:rsidRPr="00275290" w:rsidRDefault="00F67CCD" w:rsidP="009D4550">
            <w:pPr>
              <w:rPr>
                <w:rFonts w:cs="Arial"/>
                <w:color w:val="000000"/>
              </w:rPr>
            </w:pPr>
            <w:r w:rsidRPr="00275290">
              <w:rPr>
                <w:rFonts w:cs="Arial"/>
                <w:color w:val="000000"/>
              </w:rPr>
              <w:t>1,2</w:t>
            </w:r>
          </w:p>
        </w:tc>
      </w:tr>
    </w:tbl>
    <w:p w14:paraId="0EE2E35C" w14:textId="77777777" w:rsidR="009D4550" w:rsidRPr="00275290" w:rsidRDefault="009D4550" w:rsidP="009D4550">
      <w:pPr>
        <w:pStyle w:val="BfRBBStandard"/>
        <w:rPr>
          <w:rFonts w:ascii="Verdana" w:eastAsia="Times New Roman" w:hAnsi="Verdana"/>
          <w:sz w:val="20"/>
          <w:szCs w:val="20"/>
          <w:lang w:val="en-GB" w:eastAsia="sv-SE"/>
        </w:rPr>
      </w:pPr>
    </w:p>
    <w:p w14:paraId="6EEC2781" w14:textId="77777777" w:rsidR="009D4550" w:rsidRPr="00275290" w:rsidRDefault="009D4550" w:rsidP="009D4550">
      <w:pPr>
        <w:pStyle w:val="BfRBBStandard"/>
        <w:rPr>
          <w:rFonts w:ascii="Verdana" w:eastAsia="Times New Roman" w:hAnsi="Verdana"/>
          <w:sz w:val="20"/>
          <w:szCs w:val="20"/>
          <w:lang w:val="en-GB" w:eastAsia="sv-SE"/>
        </w:rPr>
      </w:pPr>
    </w:p>
    <w:p w14:paraId="74B46623"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lastRenderedPageBreak/>
        <w:t>Tier 2 (additivity)</w:t>
      </w:r>
    </w:p>
    <w:p w14:paraId="47BF4AAB"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69"/>
        <w:gridCol w:w="1695"/>
        <w:gridCol w:w="1678"/>
        <w:gridCol w:w="886"/>
        <w:gridCol w:w="880"/>
        <w:gridCol w:w="1559"/>
      </w:tblGrid>
      <w:tr w:rsidR="009D4550" w:rsidRPr="00275290" w14:paraId="08FD9A4D" w14:textId="77777777" w:rsidTr="0047648E">
        <w:tc>
          <w:tcPr>
            <w:tcW w:w="1293" w:type="dxa"/>
          </w:tcPr>
          <w:p w14:paraId="10A06900" w14:textId="77777777" w:rsidR="009D4550" w:rsidRPr="00275290" w:rsidRDefault="009D4550" w:rsidP="009D4550">
            <w:pPr>
              <w:rPr>
                <w:rFonts w:cs="Arial"/>
                <w:lang w:val="fr-FR"/>
              </w:rPr>
            </w:pPr>
          </w:p>
        </w:tc>
        <w:tc>
          <w:tcPr>
            <w:tcW w:w="1838" w:type="dxa"/>
            <w:vAlign w:val="center"/>
          </w:tcPr>
          <w:p w14:paraId="74E8E789" w14:textId="77777777" w:rsidR="009D4550" w:rsidRPr="00275290" w:rsidRDefault="009D4550" w:rsidP="009D4550">
            <w:pPr>
              <w:rPr>
                <w:rFonts w:cs="Arial"/>
                <w:lang w:val="fr-FR"/>
              </w:rPr>
            </w:pPr>
            <w:r w:rsidRPr="00275290">
              <w:rPr>
                <w:rFonts w:cs="Arial"/>
                <w:lang w:val="fr-FR"/>
              </w:rPr>
              <w:t>Cyperméthrine</w:t>
            </w:r>
          </w:p>
        </w:tc>
        <w:tc>
          <w:tcPr>
            <w:tcW w:w="1805" w:type="dxa"/>
            <w:vAlign w:val="center"/>
          </w:tcPr>
          <w:p w14:paraId="26075800" w14:textId="77777777" w:rsidR="009D4550" w:rsidRPr="00275290" w:rsidRDefault="009D4550" w:rsidP="009D4550">
            <w:pPr>
              <w:rPr>
                <w:rFonts w:cs="Arial"/>
                <w:lang w:val="fr-FR"/>
              </w:rPr>
            </w:pPr>
            <w:r w:rsidRPr="00275290">
              <w:rPr>
                <w:rFonts w:cs="Arial"/>
                <w:lang w:val="fr-FR"/>
              </w:rPr>
              <w:t>Propiconazole</w:t>
            </w:r>
          </w:p>
        </w:tc>
        <w:tc>
          <w:tcPr>
            <w:tcW w:w="1784" w:type="dxa"/>
            <w:vAlign w:val="center"/>
          </w:tcPr>
          <w:p w14:paraId="02C7BAC4" w14:textId="77777777" w:rsidR="009D4550" w:rsidRPr="00275290" w:rsidRDefault="009D4550" w:rsidP="009D4550">
            <w:pPr>
              <w:rPr>
                <w:rFonts w:cs="Arial"/>
                <w:lang w:val="fr-FR"/>
              </w:rPr>
            </w:pPr>
            <w:r w:rsidRPr="00275290">
              <w:rPr>
                <w:rFonts w:cs="Arial"/>
                <w:lang w:val="fr-FR"/>
              </w:rPr>
              <w:t>Tébuconazole</w:t>
            </w:r>
          </w:p>
        </w:tc>
        <w:tc>
          <w:tcPr>
            <w:tcW w:w="1097" w:type="dxa"/>
            <w:shd w:val="clear" w:color="auto" w:fill="auto"/>
          </w:tcPr>
          <w:p w14:paraId="43549E9C" w14:textId="77777777" w:rsidR="009D4550" w:rsidRPr="00275290" w:rsidRDefault="009D4550" w:rsidP="009D4550">
            <w:pPr>
              <w:rPr>
                <w:rFonts w:cs="Arial"/>
                <w:lang w:val="fr-FR"/>
              </w:rPr>
            </w:pPr>
            <w:r w:rsidRPr="00275290">
              <w:rPr>
                <w:rFonts w:cs="Arial"/>
                <w:lang w:val="fr-FR"/>
              </w:rPr>
              <w:t>IPBC</w:t>
            </w:r>
          </w:p>
        </w:tc>
        <w:tc>
          <w:tcPr>
            <w:tcW w:w="1114" w:type="dxa"/>
            <w:vMerge w:val="restart"/>
            <w:shd w:val="clear" w:color="auto" w:fill="E5B8B7" w:themeFill="accent2" w:themeFillTint="66"/>
            <w:vAlign w:val="center"/>
          </w:tcPr>
          <w:p w14:paraId="2055A35D" w14:textId="77777777" w:rsidR="009D4550" w:rsidRPr="00275290" w:rsidRDefault="009D4550" w:rsidP="009D4550">
            <w:pPr>
              <w:rPr>
                <w:rFonts w:cs="Arial"/>
                <w:lang w:val="fr-FR"/>
              </w:rPr>
            </w:pPr>
            <w:r w:rsidRPr="00275290">
              <w:rPr>
                <w:rFonts w:cs="Arial"/>
                <w:lang w:val="fr-FR"/>
              </w:rPr>
              <w:t>HI</w:t>
            </w:r>
          </w:p>
          <w:p w14:paraId="1068E55A" w14:textId="77777777" w:rsidR="009D4550" w:rsidRPr="00275290" w:rsidRDefault="009D4550" w:rsidP="009D4550">
            <w:pPr>
              <w:rPr>
                <w:rFonts w:cs="Arial"/>
                <w:lang w:val="fr-FR"/>
              </w:rPr>
            </w:pPr>
            <w:r w:rsidRPr="00275290">
              <w:rPr>
                <w:rFonts w:cs="Arial"/>
                <w:lang w:val="fr-FR"/>
              </w:rPr>
              <w:t>(∑ HQ a.s)</w:t>
            </w:r>
          </w:p>
        </w:tc>
        <w:tc>
          <w:tcPr>
            <w:tcW w:w="1064" w:type="dxa"/>
            <w:vMerge w:val="restart"/>
            <w:shd w:val="clear" w:color="auto" w:fill="E5B8B7" w:themeFill="accent2" w:themeFillTint="66"/>
          </w:tcPr>
          <w:p w14:paraId="23337AE0" w14:textId="77777777" w:rsidR="009D4550" w:rsidRPr="00275290" w:rsidRDefault="009D4550" w:rsidP="009D4550">
            <w:pPr>
              <w:rPr>
                <w:rFonts w:cs="Arial"/>
                <w:lang w:val="fr-FR"/>
              </w:rPr>
            </w:pPr>
            <w:r w:rsidRPr="00275290">
              <w:rPr>
                <w:rFonts w:cs="Arial"/>
                <w:lang w:val="fr-FR"/>
              </w:rPr>
              <w:t>Risk</w:t>
            </w:r>
          </w:p>
        </w:tc>
      </w:tr>
      <w:tr w:rsidR="009D4550" w:rsidRPr="00275290" w14:paraId="6834DFA5" w14:textId="77777777" w:rsidTr="0047648E">
        <w:tc>
          <w:tcPr>
            <w:tcW w:w="7817" w:type="dxa"/>
            <w:gridSpan w:val="5"/>
          </w:tcPr>
          <w:p w14:paraId="041534EC" w14:textId="77777777" w:rsidR="009D4550" w:rsidRPr="00275290" w:rsidRDefault="009D4550" w:rsidP="009D4550">
            <w:pPr>
              <w:rPr>
                <w:rFonts w:cs="Arial"/>
                <w:lang w:val="fr-FR"/>
              </w:rPr>
            </w:pPr>
            <w:r w:rsidRPr="00275290">
              <w:rPr>
                <w:rFonts w:cs="Arial"/>
                <w:lang w:val="fr-FR"/>
              </w:rPr>
              <w:t>HQ (Exposure/AEL)</w:t>
            </w:r>
          </w:p>
        </w:tc>
        <w:tc>
          <w:tcPr>
            <w:tcW w:w="1114" w:type="dxa"/>
            <w:vMerge/>
            <w:shd w:val="clear" w:color="auto" w:fill="E5B8B7" w:themeFill="accent2" w:themeFillTint="66"/>
            <w:vAlign w:val="center"/>
          </w:tcPr>
          <w:p w14:paraId="3C9BF702" w14:textId="77777777" w:rsidR="009D4550" w:rsidRPr="00275290" w:rsidRDefault="009D4550" w:rsidP="009D4550">
            <w:pPr>
              <w:rPr>
                <w:rFonts w:cs="Arial"/>
                <w:lang w:val="fr-FR"/>
              </w:rPr>
            </w:pPr>
          </w:p>
        </w:tc>
        <w:tc>
          <w:tcPr>
            <w:tcW w:w="1064" w:type="dxa"/>
            <w:vMerge/>
            <w:shd w:val="clear" w:color="auto" w:fill="E5B8B7" w:themeFill="accent2" w:themeFillTint="66"/>
          </w:tcPr>
          <w:p w14:paraId="465FE72F" w14:textId="77777777" w:rsidR="009D4550" w:rsidRPr="00275290" w:rsidRDefault="009D4550" w:rsidP="009D4550">
            <w:pPr>
              <w:rPr>
                <w:rFonts w:cs="Arial"/>
                <w:lang w:val="fr-FR"/>
              </w:rPr>
            </w:pPr>
          </w:p>
        </w:tc>
      </w:tr>
      <w:tr w:rsidR="009D4550" w:rsidRPr="00275290" w14:paraId="213D7822" w14:textId="77777777" w:rsidTr="0047648E">
        <w:trPr>
          <w:trHeight w:val="121"/>
        </w:trPr>
        <w:tc>
          <w:tcPr>
            <w:tcW w:w="1293" w:type="dxa"/>
          </w:tcPr>
          <w:p w14:paraId="4F74BA85" w14:textId="77777777" w:rsidR="009D4550" w:rsidRPr="00275290" w:rsidRDefault="009D4550" w:rsidP="009D4550">
            <w:pPr>
              <w:rPr>
                <w:rFonts w:cs="Arial"/>
                <w:lang w:val="fr-FR"/>
              </w:rPr>
            </w:pPr>
            <w:r w:rsidRPr="00275290">
              <w:rPr>
                <w:rFonts w:cs="Arial"/>
                <w:lang w:val="fr-FR"/>
              </w:rPr>
              <w:t>Without PPE</w:t>
            </w:r>
          </w:p>
        </w:tc>
        <w:tc>
          <w:tcPr>
            <w:tcW w:w="1838" w:type="dxa"/>
            <w:vAlign w:val="center"/>
          </w:tcPr>
          <w:p w14:paraId="4C246AA4" w14:textId="77777777" w:rsidR="009D4550" w:rsidRPr="00275290" w:rsidRDefault="009D4550" w:rsidP="009D4550">
            <w:pPr>
              <w:rPr>
                <w:rFonts w:cs="Arial"/>
                <w:lang w:val="fr-FR"/>
              </w:rPr>
            </w:pPr>
            <w:r w:rsidRPr="00275290">
              <w:rPr>
                <w:rFonts w:cs="Arial"/>
                <w:lang w:val="fr-FR"/>
              </w:rPr>
              <w:t>0.47</w:t>
            </w:r>
          </w:p>
        </w:tc>
        <w:tc>
          <w:tcPr>
            <w:tcW w:w="1805" w:type="dxa"/>
            <w:vAlign w:val="center"/>
          </w:tcPr>
          <w:p w14:paraId="2C1BE5C1" w14:textId="77777777" w:rsidR="009D4550" w:rsidRPr="00275290" w:rsidRDefault="009D4550" w:rsidP="009D4550">
            <w:pPr>
              <w:rPr>
                <w:rFonts w:cs="Arial"/>
                <w:lang w:val="fr-FR"/>
              </w:rPr>
            </w:pPr>
            <w:r w:rsidRPr="00275290">
              <w:rPr>
                <w:rFonts w:cs="Arial"/>
                <w:lang w:val="fr-FR"/>
              </w:rPr>
              <w:t>0.37</w:t>
            </w:r>
          </w:p>
        </w:tc>
        <w:tc>
          <w:tcPr>
            <w:tcW w:w="1784" w:type="dxa"/>
            <w:vAlign w:val="center"/>
          </w:tcPr>
          <w:p w14:paraId="4549DE3A" w14:textId="77777777" w:rsidR="009D4550" w:rsidRPr="00275290" w:rsidRDefault="009D4550" w:rsidP="009D4550">
            <w:pPr>
              <w:rPr>
                <w:rFonts w:cs="Arial"/>
                <w:lang w:val="fr-FR"/>
              </w:rPr>
            </w:pPr>
            <w:r w:rsidRPr="00275290">
              <w:rPr>
                <w:rFonts w:cs="Arial"/>
                <w:lang w:val="fr-FR"/>
              </w:rPr>
              <w:t>0.19</w:t>
            </w:r>
          </w:p>
        </w:tc>
        <w:tc>
          <w:tcPr>
            <w:tcW w:w="1097" w:type="dxa"/>
            <w:shd w:val="clear" w:color="auto" w:fill="auto"/>
            <w:vAlign w:val="center"/>
          </w:tcPr>
          <w:p w14:paraId="3DDF2AFE" w14:textId="77777777" w:rsidR="009D4550" w:rsidRPr="00275290" w:rsidRDefault="009D4550" w:rsidP="009D4550">
            <w:pPr>
              <w:rPr>
                <w:rFonts w:cs="Arial"/>
                <w:lang w:val="fr-FR"/>
              </w:rPr>
            </w:pPr>
            <w:r w:rsidRPr="00275290">
              <w:rPr>
                <w:rFonts w:cs="Arial"/>
                <w:lang w:val="fr-FR"/>
              </w:rPr>
              <w:t>0.07</w:t>
            </w:r>
          </w:p>
        </w:tc>
        <w:tc>
          <w:tcPr>
            <w:tcW w:w="1114" w:type="dxa"/>
            <w:shd w:val="clear" w:color="auto" w:fill="E5B8B7" w:themeFill="accent2" w:themeFillTint="66"/>
            <w:vAlign w:val="center"/>
          </w:tcPr>
          <w:p w14:paraId="35811689" w14:textId="77777777" w:rsidR="009D4550" w:rsidRPr="00275290" w:rsidRDefault="009D4550" w:rsidP="009D4550">
            <w:pPr>
              <w:rPr>
                <w:rFonts w:cs="Arial"/>
                <w:lang w:val="fr-FR"/>
              </w:rPr>
            </w:pPr>
            <w:r w:rsidRPr="00275290">
              <w:rPr>
                <w:rFonts w:cs="Arial"/>
                <w:lang w:val="fr-FR"/>
              </w:rPr>
              <w:t>1.1</w:t>
            </w:r>
          </w:p>
        </w:tc>
        <w:tc>
          <w:tcPr>
            <w:tcW w:w="1064" w:type="dxa"/>
            <w:shd w:val="clear" w:color="auto" w:fill="E5B8B7" w:themeFill="accent2" w:themeFillTint="66"/>
            <w:vAlign w:val="center"/>
          </w:tcPr>
          <w:p w14:paraId="344A4B74" w14:textId="77777777" w:rsidR="009D4550" w:rsidRPr="00275290" w:rsidRDefault="009D4550" w:rsidP="009D4550">
            <w:pPr>
              <w:rPr>
                <w:rFonts w:cs="Arial"/>
                <w:lang w:val="fr-FR"/>
              </w:rPr>
            </w:pPr>
            <w:r w:rsidRPr="00275290">
              <w:rPr>
                <w:rFonts w:cs="Arial"/>
                <w:lang w:val="fr-FR"/>
              </w:rPr>
              <w:t>Unacceptable</w:t>
            </w:r>
          </w:p>
        </w:tc>
      </w:tr>
      <w:tr w:rsidR="009D4550" w:rsidRPr="00275290" w14:paraId="3DF1C7F7" w14:textId="77777777" w:rsidTr="0047648E">
        <w:trPr>
          <w:trHeight w:val="121"/>
        </w:trPr>
        <w:tc>
          <w:tcPr>
            <w:tcW w:w="1293" w:type="dxa"/>
          </w:tcPr>
          <w:p w14:paraId="4E3685C5" w14:textId="77777777" w:rsidR="009D4550" w:rsidRPr="00275290" w:rsidRDefault="009D4550" w:rsidP="009D4550">
            <w:pPr>
              <w:rPr>
                <w:rFonts w:cs="Arial"/>
                <w:lang w:val="en-US"/>
              </w:rPr>
            </w:pPr>
            <w:r w:rsidRPr="00275290">
              <w:rPr>
                <w:rFonts w:cs="Arial"/>
              </w:rPr>
              <w:t>W</w:t>
            </w:r>
            <w:r w:rsidRPr="00275290">
              <w:rPr>
                <w:rFonts w:cs="Arial"/>
                <w:lang w:val="en-US"/>
              </w:rPr>
              <w:t>ith gloves and coated coverall during application and no PPE during cleaning</w:t>
            </w:r>
          </w:p>
        </w:tc>
        <w:tc>
          <w:tcPr>
            <w:tcW w:w="1838" w:type="dxa"/>
            <w:vAlign w:val="center"/>
          </w:tcPr>
          <w:p w14:paraId="1CB6B31B" w14:textId="77777777" w:rsidR="009D4550" w:rsidRPr="00275290" w:rsidRDefault="009D4550" w:rsidP="009D4550">
            <w:pPr>
              <w:rPr>
                <w:rFonts w:cs="Arial"/>
                <w:lang w:val="en-US"/>
              </w:rPr>
            </w:pPr>
            <w:r w:rsidRPr="00275290">
              <w:rPr>
                <w:rFonts w:cs="Arial"/>
                <w:lang w:val="en-US"/>
              </w:rPr>
              <w:t>0.09</w:t>
            </w:r>
          </w:p>
        </w:tc>
        <w:tc>
          <w:tcPr>
            <w:tcW w:w="1805" w:type="dxa"/>
            <w:vAlign w:val="center"/>
          </w:tcPr>
          <w:p w14:paraId="2801D2CD" w14:textId="77777777" w:rsidR="009D4550" w:rsidRPr="00275290" w:rsidRDefault="009D4550" w:rsidP="009D4550">
            <w:pPr>
              <w:rPr>
                <w:rFonts w:cs="Arial"/>
                <w:lang w:val="en-US"/>
              </w:rPr>
            </w:pPr>
            <w:r w:rsidRPr="00275290">
              <w:rPr>
                <w:rFonts w:cs="Arial"/>
                <w:lang w:val="en-US"/>
              </w:rPr>
              <w:t>0.07</w:t>
            </w:r>
          </w:p>
        </w:tc>
        <w:tc>
          <w:tcPr>
            <w:tcW w:w="1784" w:type="dxa"/>
            <w:vAlign w:val="center"/>
          </w:tcPr>
          <w:p w14:paraId="6900BA97" w14:textId="77777777" w:rsidR="009D4550" w:rsidRPr="00275290" w:rsidRDefault="009D4550" w:rsidP="009D4550">
            <w:pPr>
              <w:rPr>
                <w:rFonts w:cs="Arial"/>
                <w:lang w:val="en-US"/>
              </w:rPr>
            </w:pPr>
            <w:r w:rsidRPr="00275290">
              <w:rPr>
                <w:rFonts w:cs="Arial"/>
                <w:lang w:val="en-US"/>
              </w:rPr>
              <w:t>0.04</w:t>
            </w:r>
          </w:p>
        </w:tc>
        <w:tc>
          <w:tcPr>
            <w:tcW w:w="1097" w:type="dxa"/>
            <w:shd w:val="clear" w:color="auto" w:fill="auto"/>
            <w:vAlign w:val="center"/>
          </w:tcPr>
          <w:p w14:paraId="5C0334EE" w14:textId="77777777" w:rsidR="009D4550" w:rsidRPr="00275290" w:rsidRDefault="009D4550" w:rsidP="009D4550">
            <w:pPr>
              <w:rPr>
                <w:rFonts w:cs="Arial"/>
                <w:lang w:val="en-US"/>
              </w:rPr>
            </w:pPr>
            <w:r w:rsidRPr="00275290">
              <w:rPr>
                <w:rFonts w:cs="Arial"/>
                <w:lang w:val="en-US"/>
              </w:rPr>
              <w:t>0.01</w:t>
            </w:r>
          </w:p>
        </w:tc>
        <w:tc>
          <w:tcPr>
            <w:tcW w:w="1114" w:type="dxa"/>
            <w:shd w:val="clear" w:color="auto" w:fill="E5B8B7" w:themeFill="accent2" w:themeFillTint="66"/>
            <w:vAlign w:val="center"/>
          </w:tcPr>
          <w:p w14:paraId="021274E4" w14:textId="77777777" w:rsidR="009D4550" w:rsidRPr="00275290" w:rsidRDefault="009D4550" w:rsidP="009D4550">
            <w:pPr>
              <w:rPr>
                <w:rFonts w:cs="Arial"/>
                <w:lang w:val="en-US"/>
              </w:rPr>
            </w:pPr>
            <w:r w:rsidRPr="00275290">
              <w:rPr>
                <w:rFonts w:cs="Arial"/>
                <w:lang w:val="en-US"/>
              </w:rPr>
              <w:t>0.21</w:t>
            </w:r>
          </w:p>
        </w:tc>
        <w:tc>
          <w:tcPr>
            <w:tcW w:w="1064" w:type="dxa"/>
            <w:shd w:val="clear" w:color="auto" w:fill="E5B8B7" w:themeFill="accent2" w:themeFillTint="66"/>
            <w:vAlign w:val="center"/>
          </w:tcPr>
          <w:p w14:paraId="191B0DEC" w14:textId="77777777" w:rsidR="009D4550" w:rsidRPr="00275290" w:rsidRDefault="009D4550" w:rsidP="009D4550">
            <w:pPr>
              <w:rPr>
                <w:rFonts w:cs="Arial"/>
                <w:lang w:val="en-US"/>
              </w:rPr>
            </w:pPr>
            <w:r w:rsidRPr="00275290">
              <w:rPr>
                <w:rFonts w:cs="Arial"/>
                <w:lang w:val="fr-FR"/>
              </w:rPr>
              <w:t>Acceptable</w:t>
            </w:r>
          </w:p>
        </w:tc>
      </w:tr>
    </w:tbl>
    <w:p w14:paraId="7F91262B" w14:textId="77777777" w:rsidR="009D4550" w:rsidRPr="00275290" w:rsidRDefault="009D4550" w:rsidP="009D4550">
      <w:pPr>
        <w:pStyle w:val="BfRBBStandard"/>
        <w:rPr>
          <w:rFonts w:ascii="Verdana" w:eastAsia="Times New Roman" w:hAnsi="Verdana"/>
          <w:sz w:val="20"/>
          <w:szCs w:val="20"/>
          <w:lang w:val="en-GB" w:eastAsia="sv-SE"/>
        </w:rPr>
      </w:pPr>
    </w:p>
    <w:p w14:paraId="7E723ED9" w14:textId="345159DD" w:rsidR="009D4550" w:rsidRPr="00275290" w:rsidRDefault="009D4550" w:rsidP="00F32B7F">
      <w:pPr>
        <w:pStyle w:val="BfRBBStandard"/>
        <w:numPr>
          <w:ilvl w:val="0"/>
          <w:numId w:val="24"/>
        </w:numPr>
        <w:suppressAutoHyphens w:val="0"/>
        <w:autoSpaceDN w:val="0"/>
        <w:rPr>
          <w:rFonts w:ascii="Verdana" w:hAnsi="Verdana"/>
          <w:sz w:val="20"/>
          <w:szCs w:val="20"/>
        </w:rPr>
      </w:pPr>
      <w:r w:rsidRPr="00275290">
        <w:rPr>
          <w:rFonts w:ascii="Verdana" w:eastAsia="Times New Roman" w:hAnsi="Verdana"/>
          <w:sz w:val="20"/>
          <w:szCs w:val="20"/>
          <w:lang w:val="en-GB" w:eastAsia="sv-SE"/>
        </w:rPr>
        <w:t>The risk is acceptable (HI &lt; 1) when</w:t>
      </w:r>
      <w:r w:rsidRPr="00275290">
        <w:rPr>
          <w:rFonts w:ascii="Verdana" w:hAnsi="Verdana"/>
          <w:sz w:val="20"/>
          <w:szCs w:val="20"/>
        </w:rPr>
        <w:t xml:space="preserve"> gloves and coated coverall during application and no PPE during cleaning are worn. </w:t>
      </w:r>
    </w:p>
    <w:p w14:paraId="7FE1F527" w14:textId="77777777" w:rsidR="009D4550" w:rsidRPr="00275290" w:rsidRDefault="009D4550" w:rsidP="009D4550">
      <w:pPr>
        <w:pStyle w:val="BfRBBStandard"/>
        <w:rPr>
          <w:rFonts w:ascii="Verdana" w:eastAsia="Times New Roman" w:hAnsi="Verdana"/>
          <w:sz w:val="20"/>
          <w:szCs w:val="20"/>
          <w:lang w:val="en-GB" w:eastAsia="sv-SE"/>
        </w:rPr>
      </w:pPr>
    </w:p>
    <w:p w14:paraId="1A86CFC8" w14:textId="77777777" w:rsidR="009D4550" w:rsidRPr="00275290" w:rsidRDefault="009D4550" w:rsidP="009D4550">
      <w:pPr>
        <w:pStyle w:val="BfRBBStandard"/>
        <w:rPr>
          <w:rFonts w:ascii="Verdana" w:eastAsia="Times New Roman" w:hAnsi="Verdana"/>
          <w:sz w:val="20"/>
          <w:szCs w:val="20"/>
          <w:lang w:val="en-GB" w:eastAsia="sv-SE"/>
        </w:rPr>
      </w:pPr>
    </w:p>
    <w:p w14:paraId="40DDF3D0"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Spray application</w:t>
      </w:r>
    </w:p>
    <w:p w14:paraId="1DDF4955" w14:textId="77777777" w:rsidR="009D4550" w:rsidRPr="00275290" w:rsidRDefault="009D4550" w:rsidP="009D4550">
      <w:pPr>
        <w:pStyle w:val="BfRBBStandard"/>
        <w:rPr>
          <w:rFonts w:ascii="Verdana" w:eastAsia="Times New Roman" w:hAnsi="Verdana"/>
          <w:sz w:val="20"/>
          <w:szCs w:val="20"/>
          <w:lang w:val="en-GB" w:eastAsia="sv-SE"/>
        </w:rPr>
      </w:pPr>
    </w:p>
    <w:p w14:paraId="1A0D0265"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00219F3B"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520"/>
        <w:gridCol w:w="2216"/>
        <w:gridCol w:w="1412"/>
        <w:gridCol w:w="1965"/>
      </w:tblGrid>
      <w:tr w:rsidR="009D4550" w:rsidRPr="00275290" w14:paraId="166052DF" w14:textId="77777777" w:rsidTr="0039605F">
        <w:trPr>
          <w:cantSplit/>
          <w:tblHeader/>
        </w:trPr>
        <w:tc>
          <w:tcPr>
            <w:tcW w:w="1668" w:type="dxa"/>
          </w:tcPr>
          <w:p w14:paraId="24E6594D"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2551" w:type="dxa"/>
          </w:tcPr>
          <w:p w14:paraId="33FCA1A9" w14:textId="77777777" w:rsidR="009D4550" w:rsidRPr="0021636F" w:rsidRDefault="009D4550" w:rsidP="009D4550">
            <w:pPr>
              <w:tabs>
                <w:tab w:val="left" w:pos="426"/>
              </w:tabs>
              <w:autoSpaceDE w:val="0"/>
              <w:autoSpaceDN w:val="0"/>
              <w:adjustRightInd w:val="0"/>
              <w:spacing w:before="60" w:after="60"/>
              <w:rPr>
                <w:rFonts w:cs="Arial"/>
                <w:lang w:val="es-US"/>
              </w:rPr>
            </w:pPr>
            <w:r w:rsidRPr="0021636F">
              <w:rPr>
                <w:rFonts w:cs="Arial"/>
                <w:lang w:val="es-US"/>
              </w:rPr>
              <w:t>AEL</w:t>
            </w:r>
          </w:p>
          <w:p w14:paraId="7DD2AB94" w14:textId="77777777" w:rsidR="009D4550" w:rsidRPr="0021636F" w:rsidRDefault="009D4550"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2268" w:type="dxa"/>
          </w:tcPr>
          <w:p w14:paraId="160D4F25" w14:textId="77777777" w:rsidR="009D4550" w:rsidRPr="00ED68BA" w:rsidRDefault="009D4550" w:rsidP="009D4550">
            <w:pPr>
              <w:autoSpaceDE w:val="0"/>
              <w:autoSpaceDN w:val="0"/>
              <w:adjustRightInd w:val="0"/>
              <w:spacing w:before="60" w:after="60"/>
              <w:rPr>
                <w:rFonts w:cs="Arial"/>
                <w:lang w:val="fr-FR"/>
              </w:rPr>
            </w:pPr>
            <w:r w:rsidRPr="00ED68BA">
              <w:rPr>
                <w:rFonts w:cs="Arial"/>
                <w:lang w:val="fr-FR"/>
              </w:rPr>
              <w:t>Exposure</w:t>
            </w:r>
          </w:p>
          <w:p w14:paraId="17A1F405" w14:textId="77777777" w:rsidR="009D4550" w:rsidRPr="00ED68BA" w:rsidRDefault="009D4550" w:rsidP="009D4550">
            <w:pPr>
              <w:autoSpaceDE w:val="0"/>
              <w:autoSpaceDN w:val="0"/>
              <w:adjustRightInd w:val="0"/>
              <w:spacing w:before="60" w:after="60"/>
              <w:rPr>
                <w:rFonts w:cs="Arial"/>
                <w:lang w:val="fr-FR"/>
              </w:rPr>
            </w:pPr>
            <w:r w:rsidRPr="00ED68BA">
              <w:rPr>
                <w:rFonts w:cs="Arial"/>
                <w:lang w:val="fr-FR"/>
              </w:rPr>
              <w:t>(mg/kg pc/j)</w:t>
            </w:r>
          </w:p>
        </w:tc>
        <w:tc>
          <w:tcPr>
            <w:tcW w:w="1448" w:type="dxa"/>
          </w:tcPr>
          <w:p w14:paraId="3B1B126C" w14:textId="77777777" w:rsidR="009D4550" w:rsidRPr="00275290" w:rsidRDefault="009D4550" w:rsidP="009D4550">
            <w:pPr>
              <w:autoSpaceDE w:val="0"/>
              <w:autoSpaceDN w:val="0"/>
              <w:adjustRightInd w:val="0"/>
              <w:spacing w:before="60" w:after="60"/>
              <w:rPr>
                <w:rFonts w:cs="Arial"/>
              </w:rPr>
            </w:pPr>
            <w:r w:rsidRPr="00275290">
              <w:rPr>
                <w:rFonts w:cs="Arial"/>
              </w:rPr>
              <w:t>% AEL</w:t>
            </w:r>
          </w:p>
        </w:tc>
        <w:tc>
          <w:tcPr>
            <w:tcW w:w="1984" w:type="dxa"/>
          </w:tcPr>
          <w:p w14:paraId="189E9254" w14:textId="77777777" w:rsidR="009D4550" w:rsidRPr="00275290" w:rsidRDefault="009D4550" w:rsidP="009D4550">
            <w:pPr>
              <w:autoSpaceDE w:val="0"/>
              <w:autoSpaceDN w:val="0"/>
              <w:adjustRightInd w:val="0"/>
              <w:spacing w:before="60" w:after="60"/>
              <w:rPr>
                <w:rFonts w:cs="Arial"/>
              </w:rPr>
            </w:pPr>
            <w:r w:rsidRPr="00275290">
              <w:rPr>
                <w:rFonts w:cs="Arial"/>
              </w:rPr>
              <w:t>Risk</w:t>
            </w:r>
          </w:p>
        </w:tc>
      </w:tr>
      <w:tr w:rsidR="009D4550" w:rsidRPr="00275290" w14:paraId="2FDAD0F2" w14:textId="77777777" w:rsidTr="00932144">
        <w:trPr>
          <w:cantSplit/>
        </w:trPr>
        <w:tc>
          <w:tcPr>
            <w:tcW w:w="9919" w:type="dxa"/>
            <w:gridSpan w:val="5"/>
            <w:shd w:val="clear" w:color="auto" w:fill="BFBFBF" w:themeFill="background1" w:themeFillShade="BF"/>
            <w:vAlign w:val="center"/>
          </w:tcPr>
          <w:p w14:paraId="0857EAE4" w14:textId="77777777" w:rsidR="009D4550" w:rsidRPr="00275290" w:rsidRDefault="009D4550" w:rsidP="009D4550">
            <w:pPr>
              <w:rPr>
                <w:rFonts w:cs="Arial"/>
                <w:lang w:val="en-US"/>
              </w:rPr>
            </w:pPr>
            <w:r w:rsidRPr="00275290">
              <w:rPr>
                <w:rFonts w:cs="Arial"/>
                <w:lang w:val="en-US"/>
              </w:rPr>
              <w:t>Spraying 300g/m</w:t>
            </w:r>
            <w:r w:rsidRPr="00275290">
              <w:rPr>
                <w:rFonts w:cs="Arial"/>
                <w:vertAlign w:val="superscript"/>
                <w:lang w:val="en-US"/>
              </w:rPr>
              <w:t>2</w:t>
            </w:r>
            <w:r w:rsidRPr="00275290">
              <w:rPr>
                <w:rFonts w:cs="Arial"/>
                <w:lang w:val="en-US"/>
              </w:rPr>
              <w:t xml:space="preserve"> – without PPE</w:t>
            </w:r>
          </w:p>
        </w:tc>
      </w:tr>
      <w:tr w:rsidR="009D4550" w:rsidRPr="00275290" w14:paraId="28DE538F" w14:textId="77777777" w:rsidTr="0039605F">
        <w:trPr>
          <w:cantSplit/>
        </w:trPr>
        <w:tc>
          <w:tcPr>
            <w:tcW w:w="1668" w:type="dxa"/>
            <w:vAlign w:val="center"/>
          </w:tcPr>
          <w:p w14:paraId="788E9C84" w14:textId="77777777" w:rsidR="009D4550" w:rsidRPr="00275290" w:rsidRDefault="009D4550" w:rsidP="009D4550">
            <w:pPr>
              <w:rPr>
                <w:rFonts w:cs="Arial"/>
                <w:lang w:val="fr-FR"/>
              </w:rPr>
            </w:pPr>
            <w:r w:rsidRPr="00275290">
              <w:rPr>
                <w:rFonts w:cs="Arial"/>
                <w:lang w:val="fr-FR"/>
              </w:rPr>
              <w:t>M&amp;L</w:t>
            </w:r>
          </w:p>
        </w:tc>
        <w:tc>
          <w:tcPr>
            <w:tcW w:w="8251" w:type="dxa"/>
            <w:gridSpan w:val="4"/>
            <w:vAlign w:val="center"/>
          </w:tcPr>
          <w:p w14:paraId="12177488" w14:textId="77777777" w:rsidR="009D4550" w:rsidRPr="00275290" w:rsidRDefault="009D4550" w:rsidP="009D4550">
            <w:pPr>
              <w:rPr>
                <w:rFonts w:cs="Arial"/>
                <w:lang w:val="fr-FR"/>
              </w:rPr>
            </w:pPr>
            <w:r w:rsidRPr="00275290">
              <w:rPr>
                <w:rFonts w:cs="Arial"/>
                <w:lang w:val="fr-FR"/>
              </w:rPr>
              <w:t>Included in the model</w:t>
            </w:r>
          </w:p>
        </w:tc>
      </w:tr>
      <w:tr w:rsidR="009D4550" w:rsidRPr="00275290" w14:paraId="6FF30D7D" w14:textId="77777777" w:rsidTr="0039605F">
        <w:trPr>
          <w:cantSplit/>
        </w:trPr>
        <w:tc>
          <w:tcPr>
            <w:tcW w:w="1668" w:type="dxa"/>
            <w:vMerge w:val="restart"/>
            <w:vAlign w:val="center"/>
          </w:tcPr>
          <w:p w14:paraId="743859BB" w14:textId="77777777" w:rsidR="009D4550" w:rsidRPr="00275290" w:rsidRDefault="009D4550" w:rsidP="009D4550">
            <w:pPr>
              <w:rPr>
                <w:rFonts w:cs="Arial"/>
                <w:lang w:val="en-US"/>
              </w:rPr>
            </w:pPr>
            <w:r w:rsidRPr="00275290">
              <w:rPr>
                <w:rFonts w:cs="Arial"/>
                <w:lang w:val="en-US"/>
              </w:rPr>
              <w:t>Product application phase</w:t>
            </w:r>
          </w:p>
          <w:p w14:paraId="30D75165" w14:textId="77777777" w:rsidR="009D4550" w:rsidRPr="00275290" w:rsidRDefault="009D4550" w:rsidP="009D4550">
            <w:pPr>
              <w:rPr>
                <w:rFonts w:cs="Arial"/>
                <w:lang w:val="en-US"/>
              </w:rPr>
            </w:pPr>
          </w:p>
        </w:tc>
        <w:tc>
          <w:tcPr>
            <w:tcW w:w="2551" w:type="dxa"/>
            <w:vAlign w:val="center"/>
          </w:tcPr>
          <w:p w14:paraId="5B920C70" w14:textId="48BD16CD" w:rsidR="009D4550" w:rsidRPr="00275290" w:rsidRDefault="009D4550" w:rsidP="00C81964">
            <w:pPr>
              <w:rPr>
                <w:rFonts w:cs="Arial"/>
                <w:lang w:val="fr-FR"/>
              </w:rPr>
            </w:pPr>
            <w:r w:rsidRPr="00275290">
              <w:rPr>
                <w:rFonts w:cs="Arial"/>
                <w:lang w:val="fr-FR"/>
              </w:rPr>
              <w:t>Cyperméthrine</w:t>
            </w:r>
            <w:r w:rsidR="00C81964">
              <w:rPr>
                <w:rFonts w:cs="Arial"/>
                <w:lang w:val="fr-FR"/>
              </w:rPr>
              <w:t> :</w:t>
            </w:r>
            <w:r w:rsidR="00D406BE">
              <w:rPr>
                <w:rFonts w:cs="Arial"/>
                <w:lang w:val="fr-FR"/>
              </w:rPr>
              <w:t xml:space="preserve"> </w:t>
            </w:r>
            <w:r w:rsidRPr="00275290">
              <w:rPr>
                <w:rFonts w:cs="Arial"/>
                <w:lang w:val="fr-FR"/>
              </w:rPr>
              <w:t>0.022</w:t>
            </w:r>
          </w:p>
        </w:tc>
        <w:tc>
          <w:tcPr>
            <w:tcW w:w="2268" w:type="dxa"/>
            <w:vAlign w:val="center"/>
          </w:tcPr>
          <w:p w14:paraId="0CF40AD1" w14:textId="77777777" w:rsidR="009D4550" w:rsidRPr="00275290" w:rsidRDefault="009D4550" w:rsidP="009D4550">
            <w:pPr>
              <w:rPr>
                <w:rFonts w:cs="Arial"/>
                <w:color w:val="000000"/>
              </w:rPr>
            </w:pPr>
            <w:r w:rsidRPr="00275290">
              <w:rPr>
                <w:rFonts w:cs="Arial"/>
                <w:color w:val="000000"/>
              </w:rPr>
              <w:t>2,16E-01</w:t>
            </w:r>
          </w:p>
        </w:tc>
        <w:tc>
          <w:tcPr>
            <w:tcW w:w="1448" w:type="dxa"/>
            <w:vAlign w:val="center"/>
          </w:tcPr>
          <w:p w14:paraId="094FBD82" w14:textId="77777777" w:rsidR="009D4550" w:rsidRPr="00275290" w:rsidRDefault="009D4550" w:rsidP="009D4550">
            <w:pPr>
              <w:rPr>
                <w:rFonts w:cs="Arial"/>
                <w:lang w:val="fr-FR"/>
              </w:rPr>
            </w:pPr>
            <w:r w:rsidRPr="00275290">
              <w:rPr>
                <w:rFonts w:cs="Arial"/>
                <w:lang w:val="fr-FR"/>
              </w:rPr>
              <w:t>981</w:t>
            </w:r>
          </w:p>
        </w:tc>
        <w:tc>
          <w:tcPr>
            <w:tcW w:w="1984" w:type="dxa"/>
            <w:vAlign w:val="center"/>
          </w:tcPr>
          <w:p w14:paraId="5325E5F0" w14:textId="77777777" w:rsidR="009D4550" w:rsidRPr="00275290" w:rsidRDefault="009D4550" w:rsidP="009D4550">
            <w:pPr>
              <w:rPr>
                <w:rFonts w:cs="Arial"/>
                <w:lang w:val="fr-FR"/>
              </w:rPr>
            </w:pPr>
            <w:r w:rsidRPr="00275290">
              <w:rPr>
                <w:rFonts w:cs="Arial"/>
                <w:lang w:val="fr-FR"/>
              </w:rPr>
              <w:t>Unacceptable</w:t>
            </w:r>
          </w:p>
        </w:tc>
      </w:tr>
      <w:tr w:rsidR="009D4550" w:rsidRPr="00275290" w14:paraId="43DE99EE" w14:textId="77777777" w:rsidTr="0039605F">
        <w:trPr>
          <w:cantSplit/>
        </w:trPr>
        <w:tc>
          <w:tcPr>
            <w:tcW w:w="1668" w:type="dxa"/>
            <w:vMerge/>
            <w:vAlign w:val="center"/>
          </w:tcPr>
          <w:p w14:paraId="5A59646D" w14:textId="77777777" w:rsidR="009D4550" w:rsidRPr="00275290" w:rsidRDefault="009D4550" w:rsidP="009D4550">
            <w:pPr>
              <w:rPr>
                <w:rFonts w:cs="Arial"/>
                <w:lang w:val="fr-FR"/>
              </w:rPr>
            </w:pPr>
          </w:p>
        </w:tc>
        <w:tc>
          <w:tcPr>
            <w:tcW w:w="2551" w:type="dxa"/>
            <w:vAlign w:val="center"/>
          </w:tcPr>
          <w:p w14:paraId="326E98B8" w14:textId="77777777" w:rsidR="009D4550" w:rsidRPr="00275290" w:rsidRDefault="009D4550" w:rsidP="009D4550">
            <w:pPr>
              <w:rPr>
                <w:rFonts w:cs="Arial"/>
                <w:lang w:val="fr-FR"/>
              </w:rPr>
            </w:pPr>
            <w:r w:rsidRPr="00275290">
              <w:rPr>
                <w:rFonts w:cs="Arial"/>
                <w:lang w:val="fr-FR"/>
              </w:rPr>
              <w:t>Propiconazole : 0.04</w:t>
            </w:r>
          </w:p>
        </w:tc>
        <w:tc>
          <w:tcPr>
            <w:tcW w:w="2268" w:type="dxa"/>
            <w:vAlign w:val="center"/>
          </w:tcPr>
          <w:p w14:paraId="57E58CA1" w14:textId="77777777" w:rsidR="009D4550" w:rsidRPr="00275290" w:rsidRDefault="009D4550" w:rsidP="009D4550">
            <w:pPr>
              <w:rPr>
                <w:rFonts w:cs="Arial"/>
                <w:color w:val="000000"/>
              </w:rPr>
            </w:pPr>
            <w:r w:rsidRPr="00275290">
              <w:rPr>
                <w:rFonts w:cs="Arial"/>
                <w:color w:val="000000"/>
              </w:rPr>
              <w:t>3,13E-01</w:t>
            </w:r>
          </w:p>
        </w:tc>
        <w:tc>
          <w:tcPr>
            <w:tcW w:w="1448" w:type="dxa"/>
            <w:vAlign w:val="center"/>
          </w:tcPr>
          <w:p w14:paraId="1C50E8C3" w14:textId="77777777" w:rsidR="009D4550" w:rsidRPr="00275290" w:rsidRDefault="009D4550" w:rsidP="009D4550">
            <w:pPr>
              <w:rPr>
                <w:rFonts w:cs="Arial"/>
                <w:lang w:val="fr-FR"/>
              </w:rPr>
            </w:pPr>
            <w:r w:rsidRPr="00275290">
              <w:rPr>
                <w:rFonts w:cs="Arial"/>
                <w:lang w:val="fr-FR"/>
              </w:rPr>
              <w:t>782</w:t>
            </w:r>
          </w:p>
        </w:tc>
        <w:tc>
          <w:tcPr>
            <w:tcW w:w="1984" w:type="dxa"/>
            <w:vAlign w:val="center"/>
          </w:tcPr>
          <w:p w14:paraId="66FE465F" w14:textId="77777777" w:rsidR="009D4550" w:rsidRPr="00275290" w:rsidRDefault="009D4550" w:rsidP="009D4550">
            <w:pPr>
              <w:rPr>
                <w:rFonts w:cs="Arial"/>
                <w:lang w:val="fr-FR"/>
              </w:rPr>
            </w:pPr>
            <w:r w:rsidRPr="00275290">
              <w:rPr>
                <w:rFonts w:cs="Arial"/>
                <w:lang w:val="fr-FR"/>
              </w:rPr>
              <w:t>Unacceptable</w:t>
            </w:r>
          </w:p>
        </w:tc>
      </w:tr>
      <w:tr w:rsidR="009D4550" w:rsidRPr="00275290" w14:paraId="0A314186" w14:textId="77777777" w:rsidTr="0039605F">
        <w:trPr>
          <w:cantSplit/>
        </w:trPr>
        <w:tc>
          <w:tcPr>
            <w:tcW w:w="1668" w:type="dxa"/>
            <w:vMerge/>
            <w:vAlign w:val="center"/>
          </w:tcPr>
          <w:p w14:paraId="4DC41D1F" w14:textId="77777777" w:rsidR="009D4550" w:rsidRPr="00275290" w:rsidRDefault="009D4550" w:rsidP="009D4550">
            <w:pPr>
              <w:rPr>
                <w:rFonts w:cs="Arial"/>
                <w:lang w:val="fr-FR"/>
              </w:rPr>
            </w:pPr>
          </w:p>
        </w:tc>
        <w:tc>
          <w:tcPr>
            <w:tcW w:w="2551" w:type="dxa"/>
            <w:vAlign w:val="center"/>
          </w:tcPr>
          <w:p w14:paraId="779E0A0C" w14:textId="77777777" w:rsidR="009D4550" w:rsidRPr="00275290" w:rsidRDefault="009D4550" w:rsidP="009D4550">
            <w:pPr>
              <w:rPr>
                <w:rFonts w:cs="Arial"/>
                <w:lang w:val="fr-FR"/>
              </w:rPr>
            </w:pPr>
            <w:r w:rsidRPr="00275290">
              <w:rPr>
                <w:rFonts w:cs="Arial"/>
                <w:lang w:val="fr-FR"/>
              </w:rPr>
              <w:t>Tébuconazole : 0.03</w:t>
            </w:r>
          </w:p>
        </w:tc>
        <w:tc>
          <w:tcPr>
            <w:tcW w:w="2268" w:type="dxa"/>
            <w:vAlign w:val="center"/>
          </w:tcPr>
          <w:p w14:paraId="04F45BC2" w14:textId="77777777" w:rsidR="009D4550" w:rsidRPr="00275290" w:rsidRDefault="009D4550" w:rsidP="009D4550">
            <w:pPr>
              <w:rPr>
                <w:rFonts w:cs="Arial"/>
                <w:color w:val="000000"/>
              </w:rPr>
            </w:pPr>
            <w:r w:rsidRPr="00275290">
              <w:rPr>
                <w:rFonts w:cs="Arial"/>
                <w:color w:val="000000"/>
              </w:rPr>
              <w:t>1,16E-01</w:t>
            </w:r>
          </w:p>
        </w:tc>
        <w:tc>
          <w:tcPr>
            <w:tcW w:w="1448" w:type="dxa"/>
            <w:vAlign w:val="center"/>
          </w:tcPr>
          <w:p w14:paraId="2D70DC72" w14:textId="77777777" w:rsidR="009D4550" w:rsidRPr="00275290" w:rsidRDefault="009D4550" w:rsidP="009D4550">
            <w:pPr>
              <w:rPr>
                <w:rFonts w:cs="Arial"/>
                <w:lang w:val="fr-FR"/>
              </w:rPr>
            </w:pPr>
            <w:r w:rsidRPr="00275290">
              <w:rPr>
                <w:rFonts w:cs="Arial"/>
                <w:lang w:val="fr-FR"/>
              </w:rPr>
              <w:t>388</w:t>
            </w:r>
          </w:p>
        </w:tc>
        <w:tc>
          <w:tcPr>
            <w:tcW w:w="1984" w:type="dxa"/>
            <w:vAlign w:val="center"/>
          </w:tcPr>
          <w:p w14:paraId="5DC5D961" w14:textId="77777777" w:rsidR="009D4550" w:rsidRPr="00275290" w:rsidRDefault="009D4550" w:rsidP="009D4550">
            <w:pPr>
              <w:rPr>
                <w:rFonts w:cs="Arial"/>
                <w:lang w:val="fr-FR"/>
              </w:rPr>
            </w:pPr>
            <w:r w:rsidRPr="00275290">
              <w:rPr>
                <w:rFonts w:cs="Arial"/>
                <w:lang w:val="fr-FR"/>
              </w:rPr>
              <w:t>Unacceptable</w:t>
            </w:r>
          </w:p>
        </w:tc>
      </w:tr>
      <w:tr w:rsidR="009D4550" w:rsidRPr="00275290" w14:paraId="46FD0387" w14:textId="77777777" w:rsidTr="0039605F">
        <w:trPr>
          <w:cantSplit/>
        </w:trPr>
        <w:tc>
          <w:tcPr>
            <w:tcW w:w="1668" w:type="dxa"/>
            <w:vMerge/>
            <w:vAlign w:val="center"/>
          </w:tcPr>
          <w:p w14:paraId="1EAB58A5" w14:textId="77777777" w:rsidR="009D4550" w:rsidRPr="00275290" w:rsidRDefault="009D4550" w:rsidP="009D4550">
            <w:pPr>
              <w:rPr>
                <w:rFonts w:cs="Arial"/>
                <w:lang w:val="fr-FR"/>
              </w:rPr>
            </w:pPr>
          </w:p>
        </w:tc>
        <w:tc>
          <w:tcPr>
            <w:tcW w:w="2551" w:type="dxa"/>
            <w:vAlign w:val="center"/>
          </w:tcPr>
          <w:p w14:paraId="44FE6D8A" w14:textId="55C42655" w:rsidR="009D4550" w:rsidRPr="00275290" w:rsidRDefault="009D4550" w:rsidP="00C81964">
            <w:pPr>
              <w:rPr>
                <w:rFonts w:cs="Arial"/>
                <w:lang w:val="fr-FR"/>
              </w:rPr>
            </w:pPr>
            <w:r w:rsidRPr="00275290">
              <w:rPr>
                <w:rFonts w:cs="Arial"/>
                <w:lang w:val="fr-FR"/>
              </w:rPr>
              <w:t>IPBC</w:t>
            </w:r>
            <w:r w:rsidR="00C81964">
              <w:rPr>
                <w:rFonts w:cs="Arial"/>
                <w:lang w:val="fr-FR"/>
              </w:rPr>
              <w:t xml:space="preserve"> : </w:t>
            </w:r>
            <w:r w:rsidRPr="00275290">
              <w:rPr>
                <w:rFonts w:cs="Arial"/>
                <w:lang w:val="fr-FR"/>
              </w:rPr>
              <w:t>0.2</w:t>
            </w:r>
          </w:p>
        </w:tc>
        <w:tc>
          <w:tcPr>
            <w:tcW w:w="2268" w:type="dxa"/>
            <w:vAlign w:val="center"/>
          </w:tcPr>
          <w:p w14:paraId="46087DBB" w14:textId="0F4FB20A" w:rsidR="009D4550" w:rsidRPr="00275290" w:rsidRDefault="009D4550">
            <w:pPr>
              <w:rPr>
                <w:rFonts w:cs="Arial"/>
                <w:lang w:val="fr-FR"/>
              </w:rPr>
            </w:pPr>
            <w:r w:rsidRPr="00275290">
              <w:rPr>
                <w:rFonts w:cs="Arial"/>
                <w:color w:val="000000"/>
              </w:rPr>
              <w:t>2,80E-01</w:t>
            </w:r>
          </w:p>
        </w:tc>
        <w:tc>
          <w:tcPr>
            <w:tcW w:w="1448" w:type="dxa"/>
            <w:vAlign w:val="center"/>
          </w:tcPr>
          <w:p w14:paraId="4ECC55A9" w14:textId="77777777" w:rsidR="009D4550" w:rsidRPr="00275290" w:rsidRDefault="009D4550" w:rsidP="009D4550">
            <w:pPr>
              <w:rPr>
                <w:rFonts w:cs="Arial"/>
                <w:lang w:val="fr-FR"/>
              </w:rPr>
            </w:pPr>
            <w:r w:rsidRPr="00275290">
              <w:rPr>
                <w:rFonts w:cs="Arial"/>
                <w:lang w:val="fr-FR"/>
              </w:rPr>
              <w:t>140</w:t>
            </w:r>
          </w:p>
        </w:tc>
        <w:tc>
          <w:tcPr>
            <w:tcW w:w="1984" w:type="dxa"/>
            <w:vAlign w:val="center"/>
          </w:tcPr>
          <w:p w14:paraId="0FFF0F5C" w14:textId="77777777" w:rsidR="009D4550" w:rsidRPr="00275290" w:rsidRDefault="009D4550" w:rsidP="009D4550">
            <w:pPr>
              <w:rPr>
                <w:rFonts w:cs="Arial"/>
                <w:lang w:val="fr-FR"/>
              </w:rPr>
            </w:pPr>
            <w:r w:rsidRPr="00275290">
              <w:rPr>
                <w:rFonts w:cs="Arial"/>
                <w:lang w:val="fr-FR"/>
              </w:rPr>
              <w:t>Unacceptable</w:t>
            </w:r>
          </w:p>
        </w:tc>
      </w:tr>
      <w:tr w:rsidR="004F395D" w:rsidRPr="00275290" w14:paraId="5C63A67E" w14:textId="77777777" w:rsidTr="0039605F">
        <w:trPr>
          <w:cantSplit/>
        </w:trPr>
        <w:tc>
          <w:tcPr>
            <w:tcW w:w="1668" w:type="dxa"/>
            <w:vMerge w:val="restart"/>
            <w:vAlign w:val="center"/>
          </w:tcPr>
          <w:p w14:paraId="737D3A57" w14:textId="77777777" w:rsidR="004F395D" w:rsidRPr="00275290" w:rsidRDefault="004F395D" w:rsidP="009D4550">
            <w:pPr>
              <w:rPr>
                <w:rFonts w:cs="Arial"/>
                <w:lang w:val="en-US"/>
              </w:rPr>
            </w:pPr>
            <w:r w:rsidRPr="00275290">
              <w:rPr>
                <w:rFonts w:cs="Arial"/>
                <w:lang w:val="en-US"/>
              </w:rPr>
              <w:t xml:space="preserve">Cleaning spray equipment </w:t>
            </w:r>
          </w:p>
        </w:tc>
        <w:tc>
          <w:tcPr>
            <w:tcW w:w="2551" w:type="dxa"/>
            <w:vAlign w:val="center"/>
          </w:tcPr>
          <w:p w14:paraId="263415D1" w14:textId="77777777" w:rsidR="004F395D" w:rsidRPr="00275290" w:rsidRDefault="004F395D" w:rsidP="009D4550">
            <w:pPr>
              <w:rPr>
                <w:rFonts w:cs="Arial"/>
                <w:lang w:val="fr-FR"/>
              </w:rPr>
            </w:pPr>
            <w:r w:rsidRPr="00275290">
              <w:rPr>
                <w:rFonts w:cs="Arial"/>
                <w:lang w:val="fr-FR"/>
              </w:rPr>
              <w:t>Cyperméthrine</w:t>
            </w:r>
          </w:p>
          <w:p w14:paraId="3735B04B" w14:textId="77777777" w:rsidR="004F395D" w:rsidRPr="00275290" w:rsidRDefault="004F395D" w:rsidP="009D4550">
            <w:pPr>
              <w:rPr>
                <w:rFonts w:cs="Arial"/>
                <w:lang w:val="fr-FR"/>
              </w:rPr>
            </w:pPr>
            <w:r w:rsidRPr="00275290">
              <w:rPr>
                <w:rFonts w:cs="Arial"/>
                <w:lang w:val="fr-FR"/>
              </w:rPr>
              <w:t>0.022</w:t>
            </w:r>
          </w:p>
        </w:tc>
        <w:tc>
          <w:tcPr>
            <w:tcW w:w="2268" w:type="dxa"/>
            <w:vAlign w:val="center"/>
          </w:tcPr>
          <w:p w14:paraId="21B8FE05" w14:textId="68216798" w:rsidR="004F395D" w:rsidRPr="00275290" w:rsidRDefault="004F395D" w:rsidP="009D4550">
            <w:pPr>
              <w:rPr>
                <w:rFonts w:cs="Arial"/>
                <w:color w:val="000000"/>
              </w:rPr>
            </w:pPr>
            <w:r w:rsidRPr="00275290">
              <w:rPr>
                <w:rFonts w:cs="Arial"/>
                <w:bCs/>
                <w:color w:val="000000"/>
              </w:rPr>
              <w:t>2,</w:t>
            </w:r>
            <w:r>
              <w:rPr>
                <w:rFonts w:cs="Arial"/>
                <w:bCs/>
                <w:color w:val="000000"/>
              </w:rPr>
              <w:t>46</w:t>
            </w:r>
            <w:r w:rsidRPr="00275290">
              <w:rPr>
                <w:rFonts w:cs="Arial"/>
                <w:bCs/>
                <w:color w:val="000000"/>
              </w:rPr>
              <w:t>E-03</w:t>
            </w:r>
          </w:p>
        </w:tc>
        <w:tc>
          <w:tcPr>
            <w:tcW w:w="1448" w:type="dxa"/>
            <w:vAlign w:val="center"/>
          </w:tcPr>
          <w:p w14:paraId="50F5D850" w14:textId="64901EA3" w:rsidR="004F395D" w:rsidRPr="00275290" w:rsidRDefault="00FA3079" w:rsidP="009D4550">
            <w:pPr>
              <w:rPr>
                <w:rFonts w:cs="Arial"/>
                <w:lang w:val="fr-FR"/>
              </w:rPr>
            </w:pPr>
            <w:r>
              <w:rPr>
                <w:rFonts w:cs="Arial"/>
                <w:lang w:val="fr-FR"/>
              </w:rPr>
              <w:t>11.2</w:t>
            </w:r>
          </w:p>
        </w:tc>
        <w:tc>
          <w:tcPr>
            <w:tcW w:w="1984" w:type="dxa"/>
            <w:vAlign w:val="center"/>
          </w:tcPr>
          <w:p w14:paraId="02784E62" w14:textId="60FF708E" w:rsidR="004F395D" w:rsidRPr="00275290" w:rsidRDefault="004F395D" w:rsidP="009D4550">
            <w:pPr>
              <w:rPr>
                <w:rFonts w:cs="Arial"/>
                <w:lang w:val="fr-FR"/>
              </w:rPr>
            </w:pPr>
          </w:p>
        </w:tc>
      </w:tr>
      <w:tr w:rsidR="004F395D" w:rsidRPr="00275290" w14:paraId="061C7B2E" w14:textId="77777777" w:rsidTr="0039605F">
        <w:trPr>
          <w:cantSplit/>
        </w:trPr>
        <w:tc>
          <w:tcPr>
            <w:tcW w:w="1668" w:type="dxa"/>
            <w:vMerge/>
            <w:vAlign w:val="center"/>
          </w:tcPr>
          <w:p w14:paraId="75F72602" w14:textId="77777777" w:rsidR="004F395D" w:rsidRPr="00275290" w:rsidRDefault="004F395D" w:rsidP="009D4550">
            <w:pPr>
              <w:rPr>
                <w:rFonts w:cs="Arial"/>
                <w:lang w:val="fr-FR"/>
              </w:rPr>
            </w:pPr>
          </w:p>
        </w:tc>
        <w:tc>
          <w:tcPr>
            <w:tcW w:w="2551" w:type="dxa"/>
            <w:vAlign w:val="center"/>
          </w:tcPr>
          <w:p w14:paraId="257A23B3" w14:textId="77777777" w:rsidR="004F395D" w:rsidRPr="00275290" w:rsidRDefault="004F395D" w:rsidP="009D4550">
            <w:pPr>
              <w:rPr>
                <w:rFonts w:cs="Arial"/>
                <w:lang w:val="fr-FR"/>
              </w:rPr>
            </w:pPr>
            <w:r w:rsidRPr="00275290">
              <w:rPr>
                <w:rFonts w:cs="Arial"/>
                <w:lang w:val="fr-FR"/>
              </w:rPr>
              <w:t>Propiconazole : 0.04</w:t>
            </w:r>
          </w:p>
        </w:tc>
        <w:tc>
          <w:tcPr>
            <w:tcW w:w="2268" w:type="dxa"/>
            <w:vAlign w:val="center"/>
          </w:tcPr>
          <w:p w14:paraId="59B83F00" w14:textId="07F44D0D" w:rsidR="004F395D" w:rsidRPr="00275290" w:rsidRDefault="004F395D" w:rsidP="009D4550">
            <w:pPr>
              <w:rPr>
                <w:rFonts w:cs="Arial"/>
                <w:color w:val="000000"/>
              </w:rPr>
            </w:pPr>
            <w:r w:rsidRPr="00275290">
              <w:rPr>
                <w:rFonts w:cs="Arial"/>
                <w:bCs/>
                <w:color w:val="000000"/>
              </w:rPr>
              <w:t>3,</w:t>
            </w:r>
            <w:r>
              <w:rPr>
                <w:rFonts w:cs="Arial"/>
                <w:bCs/>
                <w:color w:val="000000"/>
              </w:rPr>
              <w:t>56</w:t>
            </w:r>
            <w:r w:rsidRPr="00275290">
              <w:rPr>
                <w:rFonts w:cs="Arial"/>
                <w:bCs/>
                <w:color w:val="000000"/>
              </w:rPr>
              <w:t>E-03</w:t>
            </w:r>
          </w:p>
        </w:tc>
        <w:tc>
          <w:tcPr>
            <w:tcW w:w="1448" w:type="dxa"/>
            <w:vAlign w:val="center"/>
          </w:tcPr>
          <w:p w14:paraId="0C55CCF4" w14:textId="423CAC89" w:rsidR="004F395D" w:rsidRPr="00275290" w:rsidRDefault="00FA3079" w:rsidP="009D4550">
            <w:pPr>
              <w:rPr>
                <w:rFonts w:cs="Arial"/>
                <w:lang w:val="fr-FR"/>
              </w:rPr>
            </w:pPr>
            <w:r>
              <w:rPr>
                <w:rFonts w:cs="Arial"/>
                <w:lang w:val="fr-FR"/>
              </w:rPr>
              <w:t>8.9</w:t>
            </w:r>
          </w:p>
        </w:tc>
        <w:tc>
          <w:tcPr>
            <w:tcW w:w="1984" w:type="dxa"/>
            <w:vAlign w:val="center"/>
          </w:tcPr>
          <w:p w14:paraId="52A459F9" w14:textId="428DE415" w:rsidR="004F395D" w:rsidRPr="00275290" w:rsidRDefault="004F395D" w:rsidP="009D4550">
            <w:pPr>
              <w:rPr>
                <w:rFonts w:cs="Arial"/>
                <w:lang w:val="fr-FR"/>
              </w:rPr>
            </w:pPr>
          </w:p>
        </w:tc>
      </w:tr>
      <w:tr w:rsidR="004F395D" w:rsidRPr="00275290" w14:paraId="1B5937F0" w14:textId="77777777" w:rsidTr="0039605F">
        <w:trPr>
          <w:cantSplit/>
        </w:trPr>
        <w:tc>
          <w:tcPr>
            <w:tcW w:w="1668" w:type="dxa"/>
            <w:vMerge/>
            <w:vAlign w:val="center"/>
          </w:tcPr>
          <w:p w14:paraId="0DAE3F66" w14:textId="77777777" w:rsidR="004F395D" w:rsidRPr="00275290" w:rsidRDefault="004F395D" w:rsidP="009D4550">
            <w:pPr>
              <w:rPr>
                <w:rFonts w:cs="Arial"/>
                <w:lang w:val="fr-FR"/>
              </w:rPr>
            </w:pPr>
          </w:p>
        </w:tc>
        <w:tc>
          <w:tcPr>
            <w:tcW w:w="2551" w:type="dxa"/>
            <w:vAlign w:val="center"/>
          </w:tcPr>
          <w:p w14:paraId="70C2DB8E" w14:textId="77777777" w:rsidR="004F395D" w:rsidRPr="00275290" w:rsidRDefault="004F395D" w:rsidP="009D4550">
            <w:pPr>
              <w:rPr>
                <w:rFonts w:cs="Arial"/>
                <w:lang w:val="fr-FR"/>
              </w:rPr>
            </w:pPr>
            <w:r w:rsidRPr="00275290">
              <w:rPr>
                <w:rFonts w:cs="Arial"/>
                <w:lang w:val="fr-FR"/>
              </w:rPr>
              <w:t>Tébuconazole : 0.03</w:t>
            </w:r>
          </w:p>
        </w:tc>
        <w:tc>
          <w:tcPr>
            <w:tcW w:w="2268" w:type="dxa"/>
            <w:vAlign w:val="center"/>
          </w:tcPr>
          <w:p w14:paraId="7E6DDCEE" w14:textId="2CB3E22E" w:rsidR="004F395D" w:rsidRPr="00275290" w:rsidRDefault="004F395D" w:rsidP="009D4550">
            <w:pPr>
              <w:rPr>
                <w:rFonts w:cs="Arial"/>
                <w:color w:val="000000"/>
              </w:rPr>
            </w:pPr>
            <w:r w:rsidRPr="00275290">
              <w:rPr>
                <w:rFonts w:cs="Arial"/>
                <w:bCs/>
                <w:color w:val="000000"/>
              </w:rPr>
              <w:t>1,</w:t>
            </w:r>
            <w:r>
              <w:rPr>
                <w:rFonts w:cs="Arial"/>
                <w:bCs/>
                <w:color w:val="000000"/>
              </w:rPr>
              <w:t>33</w:t>
            </w:r>
            <w:r w:rsidRPr="00275290">
              <w:rPr>
                <w:rFonts w:cs="Arial"/>
                <w:bCs/>
                <w:color w:val="000000"/>
              </w:rPr>
              <w:t>E-03</w:t>
            </w:r>
          </w:p>
        </w:tc>
        <w:tc>
          <w:tcPr>
            <w:tcW w:w="1448" w:type="dxa"/>
            <w:vAlign w:val="center"/>
          </w:tcPr>
          <w:p w14:paraId="57C18A86" w14:textId="0BF8D375" w:rsidR="004F395D" w:rsidRPr="00275290" w:rsidRDefault="00FA3079" w:rsidP="009D4550">
            <w:pPr>
              <w:rPr>
                <w:rFonts w:cs="Arial"/>
                <w:lang w:val="fr-FR"/>
              </w:rPr>
            </w:pPr>
            <w:r>
              <w:rPr>
                <w:rFonts w:cs="Arial"/>
                <w:lang w:val="fr-FR"/>
              </w:rPr>
              <w:t>4.4</w:t>
            </w:r>
          </w:p>
        </w:tc>
        <w:tc>
          <w:tcPr>
            <w:tcW w:w="1984" w:type="dxa"/>
            <w:vAlign w:val="center"/>
          </w:tcPr>
          <w:p w14:paraId="36EC1E75" w14:textId="5873D411" w:rsidR="004F395D" w:rsidRPr="00275290" w:rsidRDefault="004F395D" w:rsidP="009D4550">
            <w:pPr>
              <w:rPr>
                <w:rFonts w:cs="Arial"/>
                <w:lang w:val="fr-FR"/>
              </w:rPr>
            </w:pPr>
          </w:p>
        </w:tc>
      </w:tr>
      <w:tr w:rsidR="004F395D" w:rsidRPr="00275290" w14:paraId="332D5677" w14:textId="77777777" w:rsidTr="0039605F">
        <w:trPr>
          <w:cantSplit/>
        </w:trPr>
        <w:tc>
          <w:tcPr>
            <w:tcW w:w="1668" w:type="dxa"/>
            <w:vMerge/>
            <w:vAlign w:val="center"/>
          </w:tcPr>
          <w:p w14:paraId="48C3A5F6" w14:textId="77777777" w:rsidR="004F395D" w:rsidRPr="00275290" w:rsidRDefault="004F395D" w:rsidP="009D4550">
            <w:pPr>
              <w:rPr>
                <w:rFonts w:cs="Arial"/>
                <w:lang w:val="fr-FR"/>
              </w:rPr>
            </w:pPr>
          </w:p>
        </w:tc>
        <w:tc>
          <w:tcPr>
            <w:tcW w:w="2551" w:type="dxa"/>
            <w:vAlign w:val="center"/>
          </w:tcPr>
          <w:p w14:paraId="0DAFC8EB" w14:textId="6E9B733A" w:rsidR="004F395D" w:rsidRPr="00275290" w:rsidRDefault="004F395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vAlign w:val="center"/>
          </w:tcPr>
          <w:p w14:paraId="2BBB88BC" w14:textId="63D4F3B0" w:rsidR="004F395D" w:rsidRPr="00275290" w:rsidRDefault="004F395D" w:rsidP="009D4550">
            <w:pPr>
              <w:rPr>
                <w:rFonts w:cs="Arial"/>
                <w:color w:val="000000"/>
              </w:rPr>
            </w:pPr>
            <w:r w:rsidRPr="00275290">
              <w:rPr>
                <w:rFonts w:cs="Arial"/>
                <w:bCs/>
                <w:color w:val="000000"/>
              </w:rPr>
              <w:t>3,</w:t>
            </w:r>
            <w:r>
              <w:rPr>
                <w:rFonts w:cs="Arial"/>
                <w:bCs/>
                <w:color w:val="000000"/>
              </w:rPr>
              <w:t>21</w:t>
            </w:r>
            <w:r w:rsidRPr="00275290">
              <w:rPr>
                <w:rFonts w:cs="Arial"/>
                <w:bCs/>
                <w:color w:val="000000"/>
              </w:rPr>
              <w:t>E-03</w:t>
            </w:r>
          </w:p>
        </w:tc>
        <w:tc>
          <w:tcPr>
            <w:tcW w:w="1448" w:type="dxa"/>
            <w:vAlign w:val="center"/>
          </w:tcPr>
          <w:p w14:paraId="547951F6" w14:textId="7B958C03" w:rsidR="004F395D" w:rsidRPr="00275290" w:rsidRDefault="004F395D" w:rsidP="009D4550">
            <w:pPr>
              <w:rPr>
                <w:rFonts w:cs="Arial"/>
                <w:lang w:val="fr-FR"/>
              </w:rPr>
            </w:pPr>
            <w:r w:rsidRPr="00275290">
              <w:rPr>
                <w:rFonts w:cs="Arial"/>
                <w:lang w:val="fr-FR"/>
              </w:rPr>
              <w:t>1.</w:t>
            </w:r>
            <w:r w:rsidR="00FA3079">
              <w:rPr>
                <w:rFonts w:cs="Arial"/>
                <w:lang w:val="fr-FR"/>
              </w:rPr>
              <w:t>6</w:t>
            </w:r>
          </w:p>
        </w:tc>
        <w:tc>
          <w:tcPr>
            <w:tcW w:w="1984" w:type="dxa"/>
            <w:vAlign w:val="center"/>
          </w:tcPr>
          <w:p w14:paraId="4D4A3703" w14:textId="5CA07D37" w:rsidR="004F395D" w:rsidRPr="00275290" w:rsidRDefault="004F395D" w:rsidP="009D4550">
            <w:pPr>
              <w:rPr>
                <w:rFonts w:cs="Arial"/>
                <w:lang w:val="fr-FR"/>
              </w:rPr>
            </w:pPr>
          </w:p>
        </w:tc>
      </w:tr>
      <w:tr w:rsidR="004F395D" w:rsidRPr="00275290" w14:paraId="035E4841" w14:textId="77777777" w:rsidTr="0039605F">
        <w:trPr>
          <w:cantSplit/>
        </w:trPr>
        <w:tc>
          <w:tcPr>
            <w:tcW w:w="1668" w:type="dxa"/>
            <w:vMerge w:val="restart"/>
            <w:shd w:val="clear" w:color="auto" w:fill="C6D9F1" w:themeFill="text2" w:themeFillTint="33"/>
            <w:vAlign w:val="center"/>
          </w:tcPr>
          <w:p w14:paraId="6D5AEE0B" w14:textId="77777777" w:rsidR="004F395D" w:rsidRPr="00275290" w:rsidRDefault="004F395D" w:rsidP="009D4550">
            <w:pPr>
              <w:rPr>
                <w:rFonts w:cs="Arial"/>
                <w:lang w:val="fr-FR"/>
              </w:rPr>
            </w:pPr>
            <w:r w:rsidRPr="00275290">
              <w:rPr>
                <w:rFonts w:cs="Arial"/>
                <w:lang w:val="fr-FR"/>
              </w:rPr>
              <w:t>Appli + cleaning</w:t>
            </w:r>
          </w:p>
        </w:tc>
        <w:tc>
          <w:tcPr>
            <w:tcW w:w="2551" w:type="dxa"/>
            <w:shd w:val="clear" w:color="auto" w:fill="C6D9F1" w:themeFill="text2" w:themeFillTint="33"/>
            <w:vAlign w:val="center"/>
          </w:tcPr>
          <w:p w14:paraId="546AFB87" w14:textId="77777777" w:rsidR="004F395D" w:rsidRPr="00275290" w:rsidRDefault="004F395D" w:rsidP="009D4550">
            <w:pPr>
              <w:rPr>
                <w:rFonts w:cs="Arial"/>
                <w:lang w:val="fr-FR"/>
              </w:rPr>
            </w:pPr>
            <w:r w:rsidRPr="00275290">
              <w:rPr>
                <w:rFonts w:cs="Arial"/>
                <w:lang w:val="fr-FR"/>
              </w:rPr>
              <w:t>Cyperméthrine</w:t>
            </w:r>
          </w:p>
          <w:p w14:paraId="27405AA9" w14:textId="77777777" w:rsidR="004F395D" w:rsidRPr="00275290" w:rsidRDefault="004F395D" w:rsidP="009D4550">
            <w:pPr>
              <w:rPr>
                <w:rFonts w:cs="Arial"/>
                <w:lang w:val="fr-FR"/>
              </w:rPr>
            </w:pPr>
            <w:r w:rsidRPr="00275290">
              <w:rPr>
                <w:rFonts w:cs="Arial"/>
                <w:lang w:val="fr-FR"/>
              </w:rPr>
              <w:t>0.022</w:t>
            </w:r>
          </w:p>
        </w:tc>
        <w:tc>
          <w:tcPr>
            <w:tcW w:w="2268" w:type="dxa"/>
            <w:shd w:val="clear" w:color="auto" w:fill="C6D9F1" w:themeFill="text2" w:themeFillTint="33"/>
            <w:vAlign w:val="center"/>
          </w:tcPr>
          <w:p w14:paraId="6AE2DF75" w14:textId="33295091" w:rsidR="004F395D" w:rsidRPr="00275290" w:rsidRDefault="004F395D" w:rsidP="009D4550">
            <w:pPr>
              <w:rPr>
                <w:rFonts w:cs="Arial"/>
                <w:color w:val="000000"/>
              </w:rPr>
            </w:pPr>
            <w:r w:rsidRPr="00275290">
              <w:rPr>
                <w:rFonts w:cs="Arial"/>
                <w:color w:val="000000"/>
              </w:rPr>
              <w:t>2,18E-01</w:t>
            </w:r>
          </w:p>
        </w:tc>
        <w:tc>
          <w:tcPr>
            <w:tcW w:w="1448" w:type="dxa"/>
            <w:shd w:val="clear" w:color="auto" w:fill="C6D9F1" w:themeFill="text2" w:themeFillTint="33"/>
            <w:vAlign w:val="center"/>
          </w:tcPr>
          <w:p w14:paraId="1CA37215" w14:textId="53049FB8" w:rsidR="004F395D" w:rsidRPr="00275290" w:rsidRDefault="00FA3079" w:rsidP="009D4550">
            <w:pPr>
              <w:rPr>
                <w:rFonts w:cs="Arial"/>
                <w:lang w:val="fr-FR"/>
              </w:rPr>
            </w:pPr>
            <w:r>
              <w:rPr>
                <w:rFonts w:cs="Arial"/>
                <w:lang w:val="fr-FR"/>
              </w:rPr>
              <w:t>992</w:t>
            </w:r>
          </w:p>
        </w:tc>
        <w:tc>
          <w:tcPr>
            <w:tcW w:w="1984" w:type="dxa"/>
            <w:shd w:val="clear" w:color="auto" w:fill="C6D9F1" w:themeFill="text2" w:themeFillTint="33"/>
            <w:vAlign w:val="center"/>
          </w:tcPr>
          <w:p w14:paraId="455C5CBB" w14:textId="77777777" w:rsidR="004F395D" w:rsidRPr="00275290" w:rsidRDefault="004F395D" w:rsidP="009D4550">
            <w:pPr>
              <w:rPr>
                <w:rFonts w:cs="Arial"/>
                <w:lang w:val="fr-FR"/>
              </w:rPr>
            </w:pPr>
            <w:r w:rsidRPr="00275290">
              <w:rPr>
                <w:rFonts w:cs="Arial"/>
                <w:lang w:val="fr-FR"/>
              </w:rPr>
              <w:t>Unacceptable</w:t>
            </w:r>
          </w:p>
        </w:tc>
      </w:tr>
      <w:tr w:rsidR="004F395D" w:rsidRPr="00275290" w14:paraId="2AA80753" w14:textId="77777777" w:rsidTr="0039605F">
        <w:trPr>
          <w:cantSplit/>
        </w:trPr>
        <w:tc>
          <w:tcPr>
            <w:tcW w:w="1668" w:type="dxa"/>
            <w:vMerge/>
            <w:shd w:val="clear" w:color="auto" w:fill="C6D9F1" w:themeFill="text2" w:themeFillTint="33"/>
            <w:vAlign w:val="center"/>
          </w:tcPr>
          <w:p w14:paraId="5306A2AE"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409BC879" w14:textId="77777777" w:rsidR="004F395D" w:rsidRPr="00275290" w:rsidRDefault="004F395D" w:rsidP="009D4550">
            <w:pPr>
              <w:rPr>
                <w:rFonts w:cs="Arial"/>
                <w:lang w:val="fr-FR"/>
              </w:rPr>
            </w:pPr>
            <w:r w:rsidRPr="00275290">
              <w:rPr>
                <w:rFonts w:cs="Arial"/>
                <w:lang w:val="fr-FR"/>
              </w:rPr>
              <w:t>Propiconazole : 0.04</w:t>
            </w:r>
          </w:p>
        </w:tc>
        <w:tc>
          <w:tcPr>
            <w:tcW w:w="2268" w:type="dxa"/>
            <w:shd w:val="clear" w:color="auto" w:fill="C6D9F1" w:themeFill="text2" w:themeFillTint="33"/>
            <w:vAlign w:val="center"/>
          </w:tcPr>
          <w:p w14:paraId="3366ACF0" w14:textId="737035E6" w:rsidR="004F395D" w:rsidRPr="00275290" w:rsidRDefault="004F395D" w:rsidP="009D4550">
            <w:pPr>
              <w:rPr>
                <w:rFonts w:cs="Arial"/>
                <w:color w:val="000000"/>
              </w:rPr>
            </w:pPr>
            <w:r w:rsidRPr="00275290">
              <w:rPr>
                <w:rFonts w:cs="Arial"/>
                <w:color w:val="000000"/>
              </w:rPr>
              <w:t>3,1</w:t>
            </w:r>
            <w:r>
              <w:rPr>
                <w:rFonts w:cs="Arial"/>
                <w:color w:val="000000"/>
              </w:rPr>
              <w:t>6</w:t>
            </w:r>
            <w:r w:rsidRPr="00275290">
              <w:rPr>
                <w:rFonts w:cs="Arial"/>
                <w:color w:val="000000"/>
              </w:rPr>
              <w:t>E-01</w:t>
            </w:r>
          </w:p>
        </w:tc>
        <w:tc>
          <w:tcPr>
            <w:tcW w:w="1448" w:type="dxa"/>
            <w:shd w:val="clear" w:color="auto" w:fill="C6D9F1" w:themeFill="text2" w:themeFillTint="33"/>
            <w:vAlign w:val="center"/>
          </w:tcPr>
          <w:p w14:paraId="05054B02" w14:textId="77777777" w:rsidR="004F395D" w:rsidRPr="00275290" w:rsidRDefault="004F395D" w:rsidP="009D4550">
            <w:pPr>
              <w:rPr>
                <w:rFonts w:cs="Arial"/>
                <w:lang w:val="fr-FR"/>
              </w:rPr>
            </w:pPr>
            <w:r w:rsidRPr="00275290">
              <w:rPr>
                <w:rFonts w:cs="Arial"/>
                <w:lang w:val="fr-FR"/>
              </w:rPr>
              <w:t>791</w:t>
            </w:r>
          </w:p>
        </w:tc>
        <w:tc>
          <w:tcPr>
            <w:tcW w:w="1984" w:type="dxa"/>
            <w:shd w:val="clear" w:color="auto" w:fill="C6D9F1" w:themeFill="text2" w:themeFillTint="33"/>
            <w:vAlign w:val="center"/>
          </w:tcPr>
          <w:p w14:paraId="371B3AB5" w14:textId="77777777" w:rsidR="004F395D" w:rsidRPr="00275290" w:rsidRDefault="004F395D" w:rsidP="009D4550">
            <w:pPr>
              <w:rPr>
                <w:rFonts w:cs="Arial"/>
                <w:lang w:val="fr-FR"/>
              </w:rPr>
            </w:pPr>
            <w:r w:rsidRPr="00275290">
              <w:rPr>
                <w:rFonts w:cs="Arial"/>
                <w:lang w:val="fr-FR"/>
              </w:rPr>
              <w:t>Unacceptable</w:t>
            </w:r>
          </w:p>
        </w:tc>
      </w:tr>
      <w:tr w:rsidR="004F395D" w:rsidRPr="00275290" w14:paraId="0C474B2E" w14:textId="77777777" w:rsidTr="0039605F">
        <w:trPr>
          <w:cantSplit/>
        </w:trPr>
        <w:tc>
          <w:tcPr>
            <w:tcW w:w="1668" w:type="dxa"/>
            <w:vMerge/>
            <w:shd w:val="clear" w:color="auto" w:fill="C6D9F1" w:themeFill="text2" w:themeFillTint="33"/>
            <w:vAlign w:val="center"/>
          </w:tcPr>
          <w:p w14:paraId="0B2DBF44"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750F4B72" w14:textId="77777777" w:rsidR="004F395D" w:rsidRPr="00275290" w:rsidRDefault="004F395D" w:rsidP="009D4550">
            <w:pPr>
              <w:rPr>
                <w:rFonts w:cs="Arial"/>
                <w:lang w:val="fr-FR"/>
              </w:rPr>
            </w:pPr>
            <w:r w:rsidRPr="00275290">
              <w:rPr>
                <w:rFonts w:cs="Arial"/>
                <w:lang w:val="fr-FR"/>
              </w:rPr>
              <w:t>Tébuconazole : 0.03</w:t>
            </w:r>
          </w:p>
        </w:tc>
        <w:tc>
          <w:tcPr>
            <w:tcW w:w="2268" w:type="dxa"/>
            <w:shd w:val="clear" w:color="auto" w:fill="C6D9F1" w:themeFill="text2" w:themeFillTint="33"/>
            <w:vAlign w:val="center"/>
          </w:tcPr>
          <w:p w14:paraId="66CE5A02" w14:textId="32D0B383" w:rsidR="004F395D" w:rsidRPr="00275290" w:rsidRDefault="004F395D" w:rsidP="009D4550">
            <w:pPr>
              <w:rPr>
                <w:rFonts w:cs="Arial"/>
                <w:color w:val="000000"/>
              </w:rPr>
            </w:pPr>
            <w:r w:rsidRPr="00275290">
              <w:rPr>
                <w:rFonts w:cs="Arial"/>
                <w:color w:val="000000"/>
              </w:rPr>
              <w:t>1,18E-01</w:t>
            </w:r>
          </w:p>
        </w:tc>
        <w:tc>
          <w:tcPr>
            <w:tcW w:w="1448" w:type="dxa"/>
            <w:shd w:val="clear" w:color="auto" w:fill="C6D9F1" w:themeFill="text2" w:themeFillTint="33"/>
            <w:vAlign w:val="center"/>
          </w:tcPr>
          <w:p w14:paraId="155FF9D6" w14:textId="77777777" w:rsidR="004F395D" w:rsidRPr="00275290" w:rsidRDefault="004F395D" w:rsidP="009D4550">
            <w:pPr>
              <w:rPr>
                <w:rFonts w:cs="Arial"/>
                <w:lang w:val="fr-FR"/>
              </w:rPr>
            </w:pPr>
            <w:r w:rsidRPr="00275290">
              <w:rPr>
                <w:rFonts w:cs="Arial"/>
                <w:lang w:val="fr-FR"/>
              </w:rPr>
              <w:t>392</w:t>
            </w:r>
          </w:p>
        </w:tc>
        <w:tc>
          <w:tcPr>
            <w:tcW w:w="1984" w:type="dxa"/>
            <w:shd w:val="clear" w:color="auto" w:fill="C6D9F1" w:themeFill="text2" w:themeFillTint="33"/>
            <w:vAlign w:val="center"/>
          </w:tcPr>
          <w:p w14:paraId="1E004AEE" w14:textId="77777777" w:rsidR="004F395D" w:rsidRPr="00275290" w:rsidRDefault="004F395D" w:rsidP="009D4550">
            <w:pPr>
              <w:rPr>
                <w:rFonts w:cs="Arial"/>
                <w:lang w:val="fr-FR"/>
              </w:rPr>
            </w:pPr>
            <w:r w:rsidRPr="00275290">
              <w:rPr>
                <w:rFonts w:cs="Arial"/>
                <w:lang w:val="fr-FR"/>
              </w:rPr>
              <w:t>Unacceptable</w:t>
            </w:r>
          </w:p>
        </w:tc>
      </w:tr>
      <w:tr w:rsidR="004F395D" w:rsidRPr="00275290" w14:paraId="3BB2CE8F" w14:textId="77777777" w:rsidTr="0039605F">
        <w:trPr>
          <w:cantSplit/>
        </w:trPr>
        <w:tc>
          <w:tcPr>
            <w:tcW w:w="1668" w:type="dxa"/>
            <w:vMerge/>
            <w:shd w:val="clear" w:color="auto" w:fill="C6D9F1" w:themeFill="text2" w:themeFillTint="33"/>
            <w:vAlign w:val="center"/>
          </w:tcPr>
          <w:p w14:paraId="261BD876"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1F0BF9B4" w14:textId="13F09EA5" w:rsidR="004F395D" w:rsidRPr="00275290" w:rsidRDefault="004F395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shd w:val="clear" w:color="auto" w:fill="C6D9F1" w:themeFill="text2" w:themeFillTint="33"/>
            <w:vAlign w:val="center"/>
          </w:tcPr>
          <w:p w14:paraId="297742FD" w14:textId="0B838548" w:rsidR="004F395D" w:rsidRPr="00275290" w:rsidRDefault="004F395D" w:rsidP="009D4550">
            <w:pPr>
              <w:rPr>
                <w:rFonts w:cs="Arial"/>
                <w:color w:val="000000"/>
              </w:rPr>
            </w:pPr>
            <w:r w:rsidRPr="00275290">
              <w:rPr>
                <w:rFonts w:cs="Arial"/>
                <w:color w:val="000000"/>
              </w:rPr>
              <w:t>2,83E-01</w:t>
            </w:r>
          </w:p>
        </w:tc>
        <w:tc>
          <w:tcPr>
            <w:tcW w:w="1448" w:type="dxa"/>
            <w:shd w:val="clear" w:color="auto" w:fill="C6D9F1" w:themeFill="text2" w:themeFillTint="33"/>
            <w:vAlign w:val="center"/>
          </w:tcPr>
          <w:p w14:paraId="5F519A28" w14:textId="4F9CC2B8" w:rsidR="004F395D" w:rsidRPr="00275290" w:rsidRDefault="004F395D" w:rsidP="009D4550">
            <w:pPr>
              <w:rPr>
                <w:rFonts w:cs="Arial"/>
                <w:lang w:val="fr-FR"/>
              </w:rPr>
            </w:pPr>
            <w:r w:rsidRPr="00275290">
              <w:rPr>
                <w:rFonts w:cs="Arial"/>
                <w:lang w:val="fr-FR"/>
              </w:rPr>
              <w:t>14</w:t>
            </w:r>
            <w:r w:rsidR="00FA3079">
              <w:rPr>
                <w:rFonts w:cs="Arial"/>
                <w:lang w:val="fr-FR"/>
              </w:rPr>
              <w:t>1</w:t>
            </w:r>
          </w:p>
        </w:tc>
        <w:tc>
          <w:tcPr>
            <w:tcW w:w="1984" w:type="dxa"/>
            <w:shd w:val="clear" w:color="auto" w:fill="C6D9F1" w:themeFill="text2" w:themeFillTint="33"/>
            <w:vAlign w:val="center"/>
          </w:tcPr>
          <w:p w14:paraId="5893DDDA" w14:textId="77777777" w:rsidR="004F395D" w:rsidRPr="00275290" w:rsidRDefault="004F395D" w:rsidP="009D4550">
            <w:pPr>
              <w:rPr>
                <w:rFonts w:cs="Arial"/>
                <w:lang w:val="fr-FR"/>
              </w:rPr>
            </w:pPr>
            <w:r w:rsidRPr="00275290">
              <w:rPr>
                <w:rFonts w:cs="Arial"/>
                <w:lang w:val="fr-FR"/>
              </w:rPr>
              <w:t>Unacceptable</w:t>
            </w:r>
          </w:p>
        </w:tc>
      </w:tr>
      <w:tr w:rsidR="009D4550" w:rsidRPr="00275290" w14:paraId="20F8DC2D" w14:textId="77777777" w:rsidTr="00932144">
        <w:trPr>
          <w:cantSplit/>
        </w:trPr>
        <w:tc>
          <w:tcPr>
            <w:tcW w:w="9919" w:type="dxa"/>
            <w:gridSpan w:val="5"/>
            <w:shd w:val="clear" w:color="auto" w:fill="BFBFBF" w:themeFill="background1" w:themeFillShade="BF"/>
            <w:vAlign w:val="center"/>
          </w:tcPr>
          <w:p w14:paraId="55AB2009" w14:textId="77777777" w:rsidR="009D4550" w:rsidRPr="00275290" w:rsidRDefault="009D4550" w:rsidP="009D4550">
            <w:pPr>
              <w:rPr>
                <w:rFonts w:cs="Arial"/>
                <w:lang w:val="en-US"/>
              </w:rPr>
            </w:pPr>
            <w:r w:rsidRPr="00275290">
              <w:rPr>
                <w:rFonts w:cs="Arial"/>
                <w:lang w:val="en-US"/>
              </w:rPr>
              <w:t>Spraying 300g/m</w:t>
            </w:r>
            <w:r w:rsidRPr="00275290">
              <w:rPr>
                <w:rFonts w:cs="Arial"/>
                <w:vertAlign w:val="superscript"/>
                <w:lang w:val="en-US"/>
              </w:rPr>
              <w:t>2</w:t>
            </w:r>
            <w:r w:rsidRPr="00275290">
              <w:rPr>
                <w:rFonts w:cs="Arial"/>
                <w:lang w:val="en-US"/>
              </w:rPr>
              <w:t xml:space="preserve"> –with gloves and impermeable coverall during spraying and gloves and coated coverall during cleaning</w:t>
            </w:r>
          </w:p>
        </w:tc>
      </w:tr>
      <w:tr w:rsidR="009D4550" w:rsidRPr="00275290" w14:paraId="3F1D23AF" w14:textId="77777777" w:rsidTr="0039605F">
        <w:trPr>
          <w:cantSplit/>
        </w:trPr>
        <w:tc>
          <w:tcPr>
            <w:tcW w:w="1668" w:type="dxa"/>
            <w:shd w:val="clear" w:color="auto" w:fill="auto"/>
            <w:vAlign w:val="center"/>
          </w:tcPr>
          <w:p w14:paraId="06237B33" w14:textId="77777777" w:rsidR="009D4550" w:rsidRPr="00275290" w:rsidRDefault="009D4550" w:rsidP="009D4550">
            <w:pPr>
              <w:rPr>
                <w:rFonts w:cs="Arial"/>
                <w:lang w:val="fr-FR"/>
              </w:rPr>
            </w:pPr>
            <w:r w:rsidRPr="00275290">
              <w:rPr>
                <w:rFonts w:cs="Arial"/>
                <w:lang w:val="fr-FR"/>
              </w:rPr>
              <w:t>M&amp;L</w:t>
            </w:r>
          </w:p>
        </w:tc>
        <w:tc>
          <w:tcPr>
            <w:tcW w:w="8251" w:type="dxa"/>
            <w:gridSpan w:val="4"/>
            <w:shd w:val="clear" w:color="auto" w:fill="auto"/>
            <w:vAlign w:val="center"/>
          </w:tcPr>
          <w:p w14:paraId="1A3A06A2" w14:textId="77777777" w:rsidR="009D4550" w:rsidRPr="00275290" w:rsidRDefault="009D4550" w:rsidP="009D4550">
            <w:pPr>
              <w:rPr>
                <w:rFonts w:cs="Arial"/>
                <w:lang w:val="fr-FR"/>
              </w:rPr>
            </w:pPr>
            <w:r w:rsidRPr="00275290">
              <w:rPr>
                <w:rFonts w:cs="Arial"/>
                <w:lang w:val="fr-FR"/>
              </w:rPr>
              <w:t>Included in the model</w:t>
            </w:r>
          </w:p>
        </w:tc>
      </w:tr>
      <w:tr w:rsidR="004F395D" w:rsidRPr="00275290" w14:paraId="115E0887" w14:textId="77777777" w:rsidTr="0039605F">
        <w:trPr>
          <w:cantSplit/>
        </w:trPr>
        <w:tc>
          <w:tcPr>
            <w:tcW w:w="1668" w:type="dxa"/>
            <w:vMerge w:val="restart"/>
            <w:shd w:val="clear" w:color="auto" w:fill="auto"/>
            <w:vAlign w:val="center"/>
          </w:tcPr>
          <w:p w14:paraId="701D959A" w14:textId="7F6DEA38" w:rsidR="004F395D" w:rsidRPr="00275290" w:rsidRDefault="004F395D">
            <w:pPr>
              <w:rPr>
                <w:rFonts w:cs="Arial"/>
                <w:lang w:val="fr-FR"/>
              </w:rPr>
            </w:pPr>
            <w:r w:rsidRPr="00275290">
              <w:rPr>
                <w:rFonts w:cs="Arial"/>
                <w:lang w:val="fr-FR"/>
              </w:rPr>
              <w:t>Application phase</w:t>
            </w:r>
          </w:p>
        </w:tc>
        <w:tc>
          <w:tcPr>
            <w:tcW w:w="2551" w:type="dxa"/>
            <w:shd w:val="clear" w:color="auto" w:fill="auto"/>
            <w:vAlign w:val="center"/>
          </w:tcPr>
          <w:p w14:paraId="3A0138AC" w14:textId="77777777" w:rsidR="004F395D" w:rsidRPr="00275290" w:rsidRDefault="004F395D" w:rsidP="009D4550">
            <w:pPr>
              <w:rPr>
                <w:rFonts w:cs="Arial"/>
                <w:lang w:val="fr-FR"/>
              </w:rPr>
            </w:pPr>
            <w:r w:rsidRPr="00275290">
              <w:rPr>
                <w:rFonts w:cs="Arial"/>
                <w:lang w:val="fr-FR"/>
              </w:rPr>
              <w:t>Cyperméthrine</w:t>
            </w:r>
          </w:p>
          <w:p w14:paraId="5BE7DE8C" w14:textId="77777777" w:rsidR="004F395D" w:rsidRPr="00275290" w:rsidRDefault="004F395D" w:rsidP="009D4550">
            <w:pPr>
              <w:rPr>
                <w:rFonts w:cs="Arial"/>
                <w:lang w:val="fr-FR"/>
              </w:rPr>
            </w:pPr>
            <w:r w:rsidRPr="00275290">
              <w:rPr>
                <w:rFonts w:cs="Arial"/>
                <w:lang w:val="fr-FR"/>
              </w:rPr>
              <w:t>0.022</w:t>
            </w:r>
          </w:p>
        </w:tc>
        <w:tc>
          <w:tcPr>
            <w:tcW w:w="2268" w:type="dxa"/>
            <w:shd w:val="clear" w:color="auto" w:fill="auto"/>
            <w:vAlign w:val="center"/>
          </w:tcPr>
          <w:p w14:paraId="6951864F" w14:textId="4BE6E316" w:rsidR="004F395D" w:rsidRPr="00275290" w:rsidRDefault="004F395D" w:rsidP="009D4550">
            <w:pPr>
              <w:rPr>
                <w:rFonts w:cs="Arial"/>
                <w:color w:val="000000"/>
              </w:rPr>
            </w:pPr>
            <w:r w:rsidRPr="00275290">
              <w:rPr>
                <w:rFonts w:cs="Arial"/>
                <w:bCs/>
                <w:color w:val="000000"/>
              </w:rPr>
              <w:t>1,01E-02</w:t>
            </w:r>
          </w:p>
        </w:tc>
        <w:tc>
          <w:tcPr>
            <w:tcW w:w="1448" w:type="dxa"/>
            <w:shd w:val="clear" w:color="auto" w:fill="auto"/>
            <w:vAlign w:val="center"/>
          </w:tcPr>
          <w:p w14:paraId="779A82A7" w14:textId="77777777" w:rsidR="004F395D" w:rsidRPr="00275290" w:rsidRDefault="004F395D" w:rsidP="009D4550">
            <w:pPr>
              <w:rPr>
                <w:rFonts w:cs="Arial"/>
                <w:lang w:val="fr-FR"/>
              </w:rPr>
            </w:pPr>
            <w:r w:rsidRPr="00275290">
              <w:rPr>
                <w:rFonts w:cs="Arial"/>
                <w:lang w:val="fr-FR"/>
              </w:rPr>
              <w:t>45.8</w:t>
            </w:r>
          </w:p>
        </w:tc>
        <w:tc>
          <w:tcPr>
            <w:tcW w:w="1984" w:type="dxa"/>
            <w:shd w:val="clear" w:color="auto" w:fill="auto"/>
            <w:vAlign w:val="center"/>
          </w:tcPr>
          <w:p w14:paraId="7D932777" w14:textId="1102D67E" w:rsidR="004F395D" w:rsidRPr="00275290" w:rsidRDefault="004F395D" w:rsidP="009D4550">
            <w:pPr>
              <w:rPr>
                <w:rFonts w:cs="Arial"/>
                <w:lang w:val="fr-FR"/>
              </w:rPr>
            </w:pPr>
          </w:p>
        </w:tc>
      </w:tr>
      <w:tr w:rsidR="004F395D" w:rsidRPr="00275290" w14:paraId="212D96AD" w14:textId="77777777" w:rsidTr="0039605F">
        <w:trPr>
          <w:cantSplit/>
        </w:trPr>
        <w:tc>
          <w:tcPr>
            <w:tcW w:w="1668" w:type="dxa"/>
            <w:vMerge/>
            <w:shd w:val="clear" w:color="auto" w:fill="auto"/>
            <w:vAlign w:val="center"/>
          </w:tcPr>
          <w:p w14:paraId="5F79E61A" w14:textId="77777777" w:rsidR="004F395D" w:rsidRPr="00275290" w:rsidRDefault="004F395D" w:rsidP="009D4550">
            <w:pPr>
              <w:rPr>
                <w:rFonts w:cs="Arial"/>
                <w:lang w:val="fr-FR"/>
              </w:rPr>
            </w:pPr>
          </w:p>
        </w:tc>
        <w:tc>
          <w:tcPr>
            <w:tcW w:w="2551" w:type="dxa"/>
            <w:shd w:val="clear" w:color="auto" w:fill="auto"/>
            <w:vAlign w:val="center"/>
          </w:tcPr>
          <w:p w14:paraId="627D6316" w14:textId="77777777" w:rsidR="004F395D" w:rsidRPr="00275290" w:rsidRDefault="004F395D" w:rsidP="009D4550">
            <w:pPr>
              <w:rPr>
                <w:rFonts w:cs="Arial"/>
                <w:lang w:val="fr-FR"/>
              </w:rPr>
            </w:pPr>
            <w:r w:rsidRPr="00275290">
              <w:rPr>
                <w:rFonts w:cs="Arial"/>
                <w:lang w:val="fr-FR"/>
              </w:rPr>
              <w:t>Propiconazole : 0.04</w:t>
            </w:r>
          </w:p>
        </w:tc>
        <w:tc>
          <w:tcPr>
            <w:tcW w:w="2268" w:type="dxa"/>
            <w:shd w:val="clear" w:color="auto" w:fill="auto"/>
            <w:vAlign w:val="center"/>
          </w:tcPr>
          <w:p w14:paraId="7F4F358E" w14:textId="73A29F73" w:rsidR="004F395D" w:rsidRPr="00275290" w:rsidRDefault="004F395D" w:rsidP="009D4550">
            <w:pPr>
              <w:rPr>
                <w:rFonts w:cs="Arial"/>
                <w:color w:val="000000"/>
              </w:rPr>
            </w:pPr>
            <w:r w:rsidRPr="00275290">
              <w:rPr>
                <w:rFonts w:cs="Arial"/>
                <w:bCs/>
                <w:color w:val="000000"/>
              </w:rPr>
              <w:t>1,</w:t>
            </w:r>
            <w:r>
              <w:rPr>
                <w:rFonts w:cs="Arial"/>
                <w:bCs/>
                <w:color w:val="000000"/>
              </w:rPr>
              <w:t>56</w:t>
            </w:r>
            <w:r w:rsidRPr="00275290">
              <w:rPr>
                <w:rFonts w:cs="Arial"/>
                <w:bCs/>
                <w:color w:val="000000"/>
              </w:rPr>
              <w:t>E-02</w:t>
            </w:r>
          </w:p>
        </w:tc>
        <w:tc>
          <w:tcPr>
            <w:tcW w:w="1448" w:type="dxa"/>
            <w:shd w:val="clear" w:color="auto" w:fill="auto"/>
            <w:vAlign w:val="center"/>
          </w:tcPr>
          <w:p w14:paraId="1CC67E60" w14:textId="40CC0486" w:rsidR="004F395D" w:rsidRPr="00275290" w:rsidRDefault="004F395D" w:rsidP="009D4550">
            <w:pPr>
              <w:rPr>
                <w:rFonts w:cs="Arial"/>
                <w:lang w:val="fr-FR"/>
              </w:rPr>
            </w:pPr>
            <w:r>
              <w:rPr>
                <w:rFonts w:cs="Arial"/>
                <w:lang w:val="fr-FR"/>
              </w:rPr>
              <w:t>39.0</w:t>
            </w:r>
          </w:p>
        </w:tc>
        <w:tc>
          <w:tcPr>
            <w:tcW w:w="1984" w:type="dxa"/>
            <w:shd w:val="clear" w:color="auto" w:fill="auto"/>
            <w:vAlign w:val="center"/>
          </w:tcPr>
          <w:p w14:paraId="05EAF109" w14:textId="34EB5C3E" w:rsidR="004F395D" w:rsidRPr="00275290" w:rsidRDefault="004F395D" w:rsidP="009D4550">
            <w:pPr>
              <w:rPr>
                <w:rFonts w:cs="Arial"/>
                <w:lang w:val="fr-FR"/>
              </w:rPr>
            </w:pPr>
          </w:p>
        </w:tc>
      </w:tr>
      <w:tr w:rsidR="004F395D" w:rsidRPr="00275290" w14:paraId="541A75A4" w14:textId="77777777" w:rsidTr="0039605F">
        <w:trPr>
          <w:cantSplit/>
          <w:trHeight w:val="424"/>
        </w:trPr>
        <w:tc>
          <w:tcPr>
            <w:tcW w:w="1668" w:type="dxa"/>
            <w:vMerge/>
            <w:shd w:val="clear" w:color="auto" w:fill="auto"/>
            <w:vAlign w:val="center"/>
          </w:tcPr>
          <w:p w14:paraId="6CFA2B5C" w14:textId="77777777" w:rsidR="004F395D" w:rsidRPr="00275290" w:rsidRDefault="004F395D" w:rsidP="009D4550">
            <w:pPr>
              <w:rPr>
                <w:rFonts w:cs="Arial"/>
                <w:lang w:val="fr-FR"/>
              </w:rPr>
            </w:pPr>
          </w:p>
        </w:tc>
        <w:tc>
          <w:tcPr>
            <w:tcW w:w="2551" w:type="dxa"/>
            <w:shd w:val="clear" w:color="auto" w:fill="auto"/>
            <w:vAlign w:val="center"/>
          </w:tcPr>
          <w:p w14:paraId="545E5152" w14:textId="77777777" w:rsidR="004F395D" w:rsidRPr="00275290" w:rsidRDefault="004F395D" w:rsidP="009D4550">
            <w:pPr>
              <w:rPr>
                <w:rFonts w:cs="Arial"/>
                <w:lang w:val="fr-FR"/>
              </w:rPr>
            </w:pPr>
            <w:r w:rsidRPr="00275290">
              <w:rPr>
                <w:rFonts w:cs="Arial"/>
                <w:lang w:val="fr-FR"/>
              </w:rPr>
              <w:t>Tébuconazole : 0.03</w:t>
            </w:r>
          </w:p>
        </w:tc>
        <w:tc>
          <w:tcPr>
            <w:tcW w:w="2268" w:type="dxa"/>
            <w:shd w:val="clear" w:color="auto" w:fill="auto"/>
            <w:vAlign w:val="center"/>
          </w:tcPr>
          <w:p w14:paraId="41629C04" w14:textId="6DD66B5C" w:rsidR="004F395D" w:rsidRPr="00275290" w:rsidRDefault="004F395D" w:rsidP="009D4550">
            <w:pPr>
              <w:rPr>
                <w:rFonts w:cs="Arial"/>
                <w:color w:val="000000"/>
              </w:rPr>
            </w:pPr>
            <w:r>
              <w:rPr>
                <w:rFonts w:cs="Arial"/>
                <w:bCs/>
                <w:color w:val="000000"/>
              </w:rPr>
              <w:t>5.58</w:t>
            </w:r>
            <w:r w:rsidRPr="00275290">
              <w:rPr>
                <w:rFonts w:cs="Arial"/>
                <w:bCs/>
                <w:color w:val="000000"/>
              </w:rPr>
              <w:t>E-03</w:t>
            </w:r>
          </w:p>
        </w:tc>
        <w:tc>
          <w:tcPr>
            <w:tcW w:w="1448" w:type="dxa"/>
            <w:shd w:val="clear" w:color="auto" w:fill="auto"/>
            <w:vAlign w:val="center"/>
          </w:tcPr>
          <w:p w14:paraId="7F082E80" w14:textId="55E18ABA" w:rsidR="004F395D" w:rsidRPr="00275290" w:rsidRDefault="004F395D" w:rsidP="009D4550">
            <w:pPr>
              <w:rPr>
                <w:rFonts w:cs="Arial"/>
                <w:lang w:val="fr-FR"/>
              </w:rPr>
            </w:pPr>
            <w:r w:rsidRPr="00275290">
              <w:rPr>
                <w:rFonts w:cs="Arial"/>
                <w:lang w:val="fr-FR"/>
              </w:rPr>
              <w:t>1</w:t>
            </w:r>
            <w:r>
              <w:rPr>
                <w:rFonts w:cs="Arial"/>
                <w:lang w:val="fr-FR"/>
              </w:rPr>
              <w:t>8.6</w:t>
            </w:r>
          </w:p>
        </w:tc>
        <w:tc>
          <w:tcPr>
            <w:tcW w:w="1984" w:type="dxa"/>
            <w:shd w:val="clear" w:color="auto" w:fill="auto"/>
            <w:vAlign w:val="center"/>
          </w:tcPr>
          <w:p w14:paraId="77ECD7A9" w14:textId="443E8067" w:rsidR="004F395D" w:rsidRPr="00275290" w:rsidRDefault="004F395D" w:rsidP="009D4550">
            <w:pPr>
              <w:rPr>
                <w:rFonts w:cs="Arial"/>
                <w:lang w:val="fr-FR"/>
              </w:rPr>
            </w:pPr>
          </w:p>
        </w:tc>
      </w:tr>
      <w:tr w:rsidR="004F395D" w:rsidRPr="00275290" w14:paraId="4092B5E2" w14:textId="77777777" w:rsidTr="0039605F">
        <w:trPr>
          <w:cantSplit/>
        </w:trPr>
        <w:tc>
          <w:tcPr>
            <w:tcW w:w="1668" w:type="dxa"/>
            <w:vMerge/>
            <w:shd w:val="clear" w:color="auto" w:fill="auto"/>
            <w:vAlign w:val="center"/>
          </w:tcPr>
          <w:p w14:paraId="161FE92D" w14:textId="77777777" w:rsidR="004F395D" w:rsidRPr="00275290" w:rsidRDefault="004F395D" w:rsidP="009D4550">
            <w:pPr>
              <w:rPr>
                <w:rFonts w:cs="Arial"/>
                <w:lang w:val="fr-FR"/>
              </w:rPr>
            </w:pPr>
          </w:p>
        </w:tc>
        <w:tc>
          <w:tcPr>
            <w:tcW w:w="2551" w:type="dxa"/>
            <w:shd w:val="clear" w:color="auto" w:fill="auto"/>
            <w:vAlign w:val="center"/>
          </w:tcPr>
          <w:p w14:paraId="61411998" w14:textId="77777777" w:rsidR="004F395D" w:rsidRPr="00275290" w:rsidRDefault="004F395D" w:rsidP="009D4550">
            <w:pPr>
              <w:rPr>
                <w:rFonts w:cs="Arial"/>
                <w:lang w:val="fr-FR"/>
              </w:rPr>
            </w:pPr>
            <w:r w:rsidRPr="00275290">
              <w:rPr>
                <w:rFonts w:cs="Arial"/>
                <w:lang w:val="fr-FR"/>
              </w:rPr>
              <w:t>IPBC</w:t>
            </w:r>
          </w:p>
          <w:p w14:paraId="197FC98B" w14:textId="77777777" w:rsidR="004F395D" w:rsidRPr="00275290" w:rsidRDefault="004F395D" w:rsidP="009D4550">
            <w:pPr>
              <w:rPr>
                <w:rFonts w:cs="Arial"/>
                <w:lang w:val="fr-FR"/>
              </w:rPr>
            </w:pPr>
            <w:r w:rsidRPr="00275290">
              <w:rPr>
                <w:rFonts w:cs="Arial"/>
                <w:lang w:val="fr-FR"/>
              </w:rPr>
              <w:t>0.2</w:t>
            </w:r>
          </w:p>
        </w:tc>
        <w:tc>
          <w:tcPr>
            <w:tcW w:w="2268" w:type="dxa"/>
            <w:shd w:val="clear" w:color="auto" w:fill="auto"/>
            <w:vAlign w:val="center"/>
          </w:tcPr>
          <w:p w14:paraId="56638D7F" w14:textId="4893E766" w:rsidR="004F395D" w:rsidRPr="00275290" w:rsidRDefault="004F395D" w:rsidP="009D4550">
            <w:pPr>
              <w:rPr>
                <w:rFonts w:cs="Arial"/>
                <w:color w:val="000000"/>
              </w:rPr>
            </w:pPr>
            <w:r>
              <w:rPr>
                <w:rFonts w:cs="Arial"/>
                <w:bCs/>
                <w:color w:val="000000"/>
              </w:rPr>
              <w:t>1.18</w:t>
            </w:r>
            <w:r w:rsidRPr="00275290">
              <w:rPr>
                <w:rFonts w:cs="Arial"/>
                <w:bCs/>
                <w:color w:val="000000"/>
              </w:rPr>
              <w:t>E-0</w:t>
            </w:r>
            <w:r>
              <w:rPr>
                <w:rFonts w:cs="Arial"/>
                <w:bCs/>
                <w:color w:val="000000"/>
              </w:rPr>
              <w:t>2</w:t>
            </w:r>
          </w:p>
        </w:tc>
        <w:tc>
          <w:tcPr>
            <w:tcW w:w="1448" w:type="dxa"/>
            <w:shd w:val="clear" w:color="auto" w:fill="auto"/>
            <w:vAlign w:val="center"/>
          </w:tcPr>
          <w:p w14:paraId="44381D39" w14:textId="6D21081F" w:rsidR="004F395D" w:rsidRPr="00275290" w:rsidRDefault="004F395D" w:rsidP="009D4550">
            <w:pPr>
              <w:rPr>
                <w:rFonts w:cs="Arial"/>
                <w:lang w:val="fr-FR"/>
              </w:rPr>
            </w:pPr>
            <w:r>
              <w:rPr>
                <w:rFonts w:cs="Arial"/>
                <w:lang w:val="fr-FR"/>
              </w:rPr>
              <w:t>5.9</w:t>
            </w:r>
          </w:p>
        </w:tc>
        <w:tc>
          <w:tcPr>
            <w:tcW w:w="1984" w:type="dxa"/>
            <w:shd w:val="clear" w:color="auto" w:fill="auto"/>
            <w:vAlign w:val="center"/>
          </w:tcPr>
          <w:p w14:paraId="37C5F69D" w14:textId="2CD0CD01" w:rsidR="004F395D" w:rsidRPr="00275290" w:rsidRDefault="004F395D" w:rsidP="009D4550">
            <w:pPr>
              <w:rPr>
                <w:rFonts w:cs="Arial"/>
                <w:lang w:val="fr-FR"/>
              </w:rPr>
            </w:pPr>
          </w:p>
        </w:tc>
      </w:tr>
      <w:tr w:rsidR="004F395D" w:rsidRPr="00275290" w14:paraId="6BB6178F" w14:textId="77777777" w:rsidTr="0039605F">
        <w:trPr>
          <w:cantSplit/>
        </w:trPr>
        <w:tc>
          <w:tcPr>
            <w:tcW w:w="1668" w:type="dxa"/>
            <w:vMerge w:val="restart"/>
            <w:shd w:val="clear" w:color="auto" w:fill="auto"/>
            <w:vAlign w:val="center"/>
          </w:tcPr>
          <w:p w14:paraId="781627DE" w14:textId="36BF5636" w:rsidR="004F395D" w:rsidRPr="00275290" w:rsidRDefault="004F395D">
            <w:pPr>
              <w:rPr>
                <w:rFonts w:cs="Arial"/>
                <w:lang w:val="fr-FR"/>
              </w:rPr>
            </w:pPr>
            <w:r w:rsidRPr="00275290">
              <w:rPr>
                <w:rFonts w:cs="Arial"/>
                <w:lang w:val="fr-FR"/>
              </w:rPr>
              <w:t xml:space="preserve">Cleaining equipement </w:t>
            </w:r>
          </w:p>
        </w:tc>
        <w:tc>
          <w:tcPr>
            <w:tcW w:w="2551" w:type="dxa"/>
            <w:shd w:val="clear" w:color="auto" w:fill="auto"/>
            <w:vAlign w:val="center"/>
          </w:tcPr>
          <w:p w14:paraId="05045DA6" w14:textId="77777777" w:rsidR="004F395D" w:rsidRPr="00275290" w:rsidRDefault="004F395D" w:rsidP="009D4550">
            <w:pPr>
              <w:rPr>
                <w:rFonts w:cs="Arial"/>
                <w:lang w:val="fr-FR"/>
              </w:rPr>
            </w:pPr>
            <w:r w:rsidRPr="00275290">
              <w:rPr>
                <w:rFonts w:cs="Arial"/>
                <w:lang w:val="fr-FR"/>
              </w:rPr>
              <w:t>Cyperméthrine</w:t>
            </w:r>
          </w:p>
          <w:p w14:paraId="13894F4C" w14:textId="77777777" w:rsidR="004F395D" w:rsidRPr="00275290" w:rsidRDefault="004F395D" w:rsidP="009D4550">
            <w:pPr>
              <w:rPr>
                <w:rFonts w:cs="Arial"/>
                <w:lang w:val="fr-FR"/>
              </w:rPr>
            </w:pPr>
            <w:r w:rsidRPr="00275290">
              <w:rPr>
                <w:rFonts w:cs="Arial"/>
                <w:lang w:val="fr-FR"/>
              </w:rPr>
              <w:t>0.022</w:t>
            </w:r>
          </w:p>
        </w:tc>
        <w:tc>
          <w:tcPr>
            <w:tcW w:w="2268" w:type="dxa"/>
            <w:shd w:val="clear" w:color="auto" w:fill="auto"/>
            <w:vAlign w:val="center"/>
          </w:tcPr>
          <w:p w14:paraId="15B3CD9C" w14:textId="274185D3" w:rsidR="004F395D" w:rsidRPr="00275290" w:rsidRDefault="004F395D" w:rsidP="009D4550">
            <w:pPr>
              <w:rPr>
                <w:rFonts w:cs="Arial"/>
                <w:color w:val="000000"/>
              </w:rPr>
            </w:pPr>
            <w:r w:rsidRPr="00275290">
              <w:rPr>
                <w:rFonts w:cs="Arial"/>
                <w:bCs/>
                <w:color w:val="000000"/>
              </w:rPr>
              <w:t>3,</w:t>
            </w:r>
            <w:r>
              <w:rPr>
                <w:rFonts w:cs="Arial"/>
                <w:bCs/>
                <w:color w:val="000000"/>
              </w:rPr>
              <w:t>21</w:t>
            </w:r>
            <w:r w:rsidRPr="00275290">
              <w:rPr>
                <w:rFonts w:cs="Arial"/>
                <w:bCs/>
                <w:color w:val="000000"/>
              </w:rPr>
              <w:t>E-04</w:t>
            </w:r>
          </w:p>
        </w:tc>
        <w:tc>
          <w:tcPr>
            <w:tcW w:w="1448" w:type="dxa"/>
            <w:shd w:val="clear" w:color="auto" w:fill="auto"/>
            <w:vAlign w:val="center"/>
          </w:tcPr>
          <w:p w14:paraId="2DE39996" w14:textId="17B7AD2C" w:rsidR="004F395D" w:rsidRPr="00275290" w:rsidRDefault="004F395D" w:rsidP="009D4550">
            <w:pPr>
              <w:rPr>
                <w:rFonts w:cs="Arial"/>
                <w:lang w:val="fr-FR"/>
              </w:rPr>
            </w:pPr>
            <w:r w:rsidRPr="00275290">
              <w:rPr>
                <w:rFonts w:cs="Arial"/>
                <w:lang w:val="fr-FR"/>
              </w:rPr>
              <w:t>1.</w:t>
            </w:r>
            <w:r w:rsidR="00FA3079">
              <w:rPr>
                <w:rFonts w:cs="Arial"/>
                <w:lang w:val="fr-FR"/>
              </w:rPr>
              <w:t>5</w:t>
            </w:r>
          </w:p>
        </w:tc>
        <w:tc>
          <w:tcPr>
            <w:tcW w:w="1984" w:type="dxa"/>
            <w:shd w:val="clear" w:color="auto" w:fill="auto"/>
            <w:vAlign w:val="center"/>
          </w:tcPr>
          <w:p w14:paraId="0F87E703" w14:textId="6155742E" w:rsidR="004F395D" w:rsidRPr="00275290" w:rsidRDefault="004F395D" w:rsidP="009D4550">
            <w:pPr>
              <w:rPr>
                <w:rFonts w:cs="Arial"/>
                <w:lang w:val="fr-FR"/>
              </w:rPr>
            </w:pPr>
          </w:p>
        </w:tc>
      </w:tr>
      <w:tr w:rsidR="004F395D" w:rsidRPr="00275290" w14:paraId="4EF62A5F" w14:textId="77777777" w:rsidTr="0039605F">
        <w:trPr>
          <w:cantSplit/>
        </w:trPr>
        <w:tc>
          <w:tcPr>
            <w:tcW w:w="1668" w:type="dxa"/>
            <w:vMerge/>
            <w:shd w:val="clear" w:color="auto" w:fill="auto"/>
            <w:vAlign w:val="center"/>
          </w:tcPr>
          <w:p w14:paraId="43B2AF00" w14:textId="77777777" w:rsidR="004F395D" w:rsidRPr="00275290" w:rsidRDefault="004F395D" w:rsidP="009D4550">
            <w:pPr>
              <w:rPr>
                <w:rFonts w:cs="Arial"/>
                <w:lang w:val="fr-FR"/>
              </w:rPr>
            </w:pPr>
          </w:p>
        </w:tc>
        <w:tc>
          <w:tcPr>
            <w:tcW w:w="2551" w:type="dxa"/>
            <w:shd w:val="clear" w:color="auto" w:fill="auto"/>
            <w:vAlign w:val="center"/>
          </w:tcPr>
          <w:p w14:paraId="38F07C20" w14:textId="77777777" w:rsidR="004F395D" w:rsidRPr="00275290" w:rsidRDefault="004F395D" w:rsidP="009D4550">
            <w:pPr>
              <w:rPr>
                <w:rFonts w:cs="Arial"/>
                <w:lang w:val="fr-FR"/>
              </w:rPr>
            </w:pPr>
            <w:r w:rsidRPr="00275290">
              <w:rPr>
                <w:rFonts w:cs="Arial"/>
                <w:lang w:val="fr-FR"/>
              </w:rPr>
              <w:t>Propiconazole : 0.04</w:t>
            </w:r>
          </w:p>
        </w:tc>
        <w:tc>
          <w:tcPr>
            <w:tcW w:w="2268" w:type="dxa"/>
            <w:shd w:val="clear" w:color="auto" w:fill="auto"/>
            <w:vAlign w:val="center"/>
          </w:tcPr>
          <w:p w14:paraId="7CD6AB64" w14:textId="7C7B2954" w:rsidR="004F395D" w:rsidRPr="00275290" w:rsidRDefault="004F395D" w:rsidP="009D4550">
            <w:pPr>
              <w:rPr>
                <w:rFonts w:cs="Arial"/>
                <w:color w:val="000000"/>
              </w:rPr>
            </w:pPr>
            <w:r>
              <w:rPr>
                <w:rFonts w:cs="Arial"/>
                <w:bCs/>
                <w:color w:val="000000"/>
              </w:rPr>
              <w:t>4.63</w:t>
            </w:r>
            <w:r w:rsidRPr="00275290">
              <w:rPr>
                <w:rFonts w:cs="Arial"/>
                <w:bCs/>
                <w:color w:val="000000"/>
              </w:rPr>
              <w:t>E-04</w:t>
            </w:r>
          </w:p>
        </w:tc>
        <w:tc>
          <w:tcPr>
            <w:tcW w:w="1448" w:type="dxa"/>
            <w:shd w:val="clear" w:color="auto" w:fill="auto"/>
            <w:vAlign w:val="center"/>
          </w:tcPr>
          <w:p w14:paraId="527A1E60" w14:textId="1BED6C23" w:rsidR="004F395D" w:rsidRPr="00275290" w:rsidRDefault="004F395D" w:rsidP="009D4550">
            <w:pPr>
              <w:rPr>
                <w:rFonts w:cs="Arial"/>
                <w:lang w:val="fr-FR"/>
              </w:rPr>
            </w:pPr>
            <w:r w:rsidRPr="00275290">
              <w:rPr>
                <w:rFonts w:cs="Arial"/>
                <w:lang w:val="fr-FR"/>
              </w:rPr>
              <w:t>1.</w:t>
            </w:r>
            <w:r w:rsidR="00FA3079">
              <w:rPr>
                <w:rFonts w:cs="Arial"/>
                <w:lang w:val="fr-FR"/>
              </w:rPr>
              <w:t>2</w:t>
            </w:r>
          </w:p>
        </w:tc>
        <w:tc>
          <w:tcPr>
            <w:tcW w:w="1984" w:type="dxa"/>
            <w:shd w:val="clear" w:color="auto" w:fill="auto"/>
            <w:vAlign w:val="center"/>
          </w:tcPr>
          <w:p w14:paraId="31EC3D3D" w14:textId="2656FA3B" w:rsidR="004F395D" w:rsidRPr="00275290" w:rsidRDefault="004F395D" w:rsidP="009D4550">
            <w:pPr>
              <w:rPr>
                <w:rFonts w:cs="Arial"/>
                <w:lang w:val="fr-FR"/>
              </w:rPr>
            </w:pPr>
          </w:p>
        </w:tc>
      </w:tr>
      <w:tr w:rsidR="004F395D" w:rsidRPr="00275290" w14:paraId="47329E32" w14:textId="77777777" w:rsidTr="0039605F">
        <w:trPr>
          <w:cantSplit/>
          <w:trHeight w:val="656"/>
        </w:trPr>
        <w:tc>
          <w:tcPr>
            <w:tcW w:w="1668" w:type="dxa"/>
            <w:vMerge/>
            <w:shd w:val="clear" w:color="auto" w:fill="auto"/>
            <w:vAlign w:val="center"/>
          </w:tcPr>
          <w:p w14:paraId="54C456DA" w14:textId="77777777" w:rsidR="004F395D" w:rsidRPr="00275290" w:rsidRDefault="004F395D" w:rsidP="009D4550">
            <w:pPr>
              <w:rPr>
                <w:rFonts w:cs="Arial"/>
                <w:lang w:val="fr-FR"/>
              </w:rPr>
            </w:pPr>
          </w:p>
        </w:tc>
        <w:tc>
          <w:tcPr>
            <w:tcW w:w="2551" w:type="dxa"/>
            <w:shd w:val="clear" w:color="auto" w:fill="auto"/>
            <w:vAlign w:val="center"/>
          </w:tcPr>
          <w:p w14:paraId="0B44C8F5" w14:textId="77777777" w:rsidR="004F395D" w:rsidRPr="00275290" w:rsidRDefault="004F395D" w:rsidP="009D4550">
            <w:pPr>
              <w:rPr>
                <w:rFonts w:cs="Arial"/>
                <w:lang w:val="fr-FR"/>
              </w:rPr>
            </w:pPr>
            <w:r w:rsidRPr="00275290">
              <w:rPr>
                <w:rFonts w:cs="Arial"/>
                <w:lang w:val="fr-FR"/>
              </w:rPr>
              <w:t>Tébuconazole : 0.03</w:t>
            </w:r>
          </w:p>
        </w:tc>
        <w:tc>
          <w:tcPr>
            <w:tcW w:w="2268" w:type="dxa"/>
            <w:shd w:val="clear" w:color="auto" w:fill="auto"/>
            <w:vAlign w:val="center"/>
          </w:tcPr>
          <w:p w14:paraId="68DE17B9" w14:textId="7E5A2E7D" w:rsidR="004F395D" w:rsidRPr="00275290" w:rsidRDefault="004F395D" w:rsidP="009D4550">
            <w:pPr>
              <w:rPr>
                <w:rFonts w:cs="Arial"/>
                <w:color w:val="000000"/>
              </w:rPr>
            </w:pPr>
            <w:r w:rsidRPr="00275290">
              <w:rPr>
                <w:rFonts w:cs="Arial"/>
                <w:bCs/>
                <w:color w:val="000000"/>
              </w:rPr>
              <w:t>1,</w:t>
            </w:r>
            <w:r>
              <w:rPr>
                <w:rFonts w:cs="Arial"/>
                <w:bCs/>
                <w:color w:val="000000"/>
              </w:rPr>
              <w:t>73</w:t>
            </w:r>
            <w:r w:rsidRPr="00275290">
              <w:rPr>
                <w:rFonts w:cs="Arial"/>
                <w:bCs/>
                <w:color w:val="000000"/>
              </w:rPr>
              <w:t>E-04</w:t>
            </w:r>
          </w:p>
        </w:tc>
        <w:tc>
          <w:tcPr>
            <w:tcW w:w="1448" w:type="dxa"/>
            <w:shd w:val="clear" w:color="auto" w:fill="auto"/>
            <w:vAlign w:val="center"/>
          </w:tcPr>
          <w:p w14:paraId="2B41014E" w14:textId="77777777" w:rsidR="004F395D" w:rsidRPr="00275290" w:rsidRDefault="004F395D" w:rsidP="009D4550">
            <w:pPr>
              <w:rPr>
                <w:rFonts w:cs="Arial"/>
                <w:lang w:val="fr-FR"/>
              </w:rPr>
            </w:pPr>
            <w:r w:rsidRPr="00275290">
              <w:rPr>
                <w:rFonts w:cs="Arial"/>
                <w:lang w:val="fr-FR"/>
              </w:rPr>
              <w:t>0.6</w:t>
            </w:r>
          </w:p>
        </w:tc>
        <w:tc>
          <w:tcPr>
            <w:tcW w:w="1984" w:type="dxa"/>
            <w:shd w:val="clear" w:color="auto" w:fill="auto"/>
            <w:vAlign w:val="center"/>
          </w:tcPr>
          <w:p w14:paraId="77DBD2CB" w14:textId="71CA6406" w:rsidR="004F395D" w:rsidRPr="00275290" w:rsidRDefault="004F395D" w:rsidP="009D4550">
            <w:pPr>
              <w:rPr>
                <w:rFonts w:cs="Arial"/>
                <w:lang w:val="fr-FR"/>
              </w:rPr>
            </w:pPr>
          </w:p>
        </w:tc>
      </w:tr>
      <w:tr w:rsidR="004F395D" w:rsidRPr="00275290" w14:paraId="2950D96B" w14:textId="77777777" w:rsidTr="0039605F">
        <w:trPr>
          <w:cantSplit/>
          <w:trHeight w:val="656"/>
        </w:trPr>
        <w:tc>
          <w:tcPr>
            <w:tcW w:w="1668" w:type="dxa"/>
            <w:vMerge/>
            <w:shd w:val="clear" w:color="auto" w:fill="auto"/>
            <w:vAlign w:val="center"/>
          </w:tcPr>
          <w:p w14:paraId="7BEBC618" w14:textId="77777777" w:rsidR="004F395D" w:rsidRPr="00275290" w:rsidRDefault="004F395D" w:rsidP="009D4550">
            <w:pPr>
              <w:rPr>
                <w:rFonts w:cs="Arial"/>
                <w:lang w:val="fr-FR"/>
              </w:rPr>
            </w:pPr>
          </w:p>
        </w:tc>
        <w:tc>
          <w:tcPr>
            <w:tcW w:w="2551" w:type="dxa"/>
            <w:shd w:val="clear" w:color="auto" w:fill="auto"/>
            <w:vAlign w:val="center"/>
          </w:tcPr>
          <w:p w14:paraId="1F1B7012" w14:textId="77777777" w:rsidR="004F395D" w:rsidRPr="00275290" w:rsidRDefault="004F395D" w:rsidP="009D4550">
            <w:pPr>
              <w:rPr>
                <w:rFonts w:cs="Arial"/>
                <w:lang w:val="fr-FR"/>
              </w:rPr>
            </w:pPr>
            <w:r w:rsidRPr="00275290">
              <w:rPr>
                <w:rFonts w:cs="Arial"/>
                <w:lang w:val="fr-FR"/>
              </w:rPr>
              <w:t>IPBC</w:t>
            </w:r>
          </w:p>
          <w:p w14:paraId="7AA724FF" w14:textId="77777777" w:rsidR="004F395D" w:rsidRPr="00275290" w:rsidRDefault="004F395D" w:rsidP="009D4550">
            <w:pPr>
              <w:rPr>
                <w:rFonts w:cs="Arial"/>
                <w:lang w:val="fr-FR"/>
              </w:rPr>
            </w:pPr>
            <w:r w:rsidRPr="00275290">
              <w:rPr>
                <w:rFonts w:cs="Arial"/>
                <w:lang w:val="fr-FR"/>
              </w:rPr>
              <w:t>0.2</w:t>
            </w:r>
          </w:p>
        </w:tc>
        <w:tc>
          <w:tcPr>
            <w:tcW w:w="2268" w:type="dxa"/>
            <w:shd w:val="clear" w:color="auto" w:fill="auto"/>
            <w:vAlign w:val="center"/>
          </w:tcPr>
          <w:p w14:paraId="79434F42" w14:textId="64B65EF4" w:rsidR="004F395D" w:rsidRPr="00275290" w:rsidRDefault="004F395D" w:rsidP="009D4550">
            <w:pPr>
              <w:rPr>
                <w:rFonts w:cs="Arial"/>
                <w:color w:val="000000"/>
              </w:rPr>
            </w:pPr>
            <w:r w:rsidRPr="00275290">
              <w:rPr>
                <w:rFonts w:cs="Arial"/>
                <w:bCs/>
                <w:color w:val="000000"/>
              </w:rPr>
              <w:t>4,</w:t>
            </w:r>
            <w:r>
              <w:rPr>
                <w:rFonts w:cs="Arial"/>
                <w:bCs/>
                <w:color w:val="000000"/>
              </w:rPr>
              <w:t>18</w:t>
            </w:r>
            <w:r w:rsidRPr="00275290">
              <w:rPr>
                <w:rFonts w:cs="Arial"/>
                <w:bCs/>
                <w:color w:val="000000"/>
              </w:rPr>
              <w:t>E-04</w:t>
            </w:r>
          </w:p>
        </w:tc>
        <w:tc>
          <w:tcPr>
            <w:tcW w:w="1448" w:type="dxa"/>
            <w:shd w:val="clear" w:color="auto" w:fill="auto"/>
            <w:vAlign w:val="center"/>
          </w:tcPr>
          <w:p w14:paraId="2644844D" w14:textId="77777777" w:rsidR="004F395D" w:rsidRPr="00275290" w:rsidRDefault="004F395D" w:rsidP="009D4550">
            <w:pPr>
              <w:rPr>
                <w:rFonts w:cs="Arial"/>
                <w:lang w:val="fr-FR"/>
              </w:rPr>
            </w:pPr>
            <w:r w:rsidRPr="00275290">
              <w:rPr>
                <w:rFonts w:cs="Arial"/>
                <w:lang w:val="fr-FR"/>
              </w:rPr>
              <w:t>0.2</w:t>
            </w:r>
          </w:p>
        </w:tc>
        <w:tc>
          <w:tcPr>
            <w:tcW w:w="1984" w:type="dxa"/>
            <w:shd w:val="clear" w:color="auto" w:fill="auto"/>
            <w:vAlign w:val="center"/>
          </w:tcPr>
          <w:p w14:paraId="2D94320D" w14:textId="7C6C3C07" w:rsidR="004F395D" w:rsidRPr="00275290" w:rsidRDefault="004F395D" w:rsidP="009D4550">
            <w:pPr>
              <w:rPr>
                <w:rFonts w:cs="Arial"/>
                <w:lang w:val="fr-FR"/>
              </w:rPr>
            </w:pPr>
          </w:p>
        </w:tc>
      </w:tr>
      <w:tr w:rsidR="004F395D" w:rsidRPr="00275290" w14:paraId="078AD443" w14:textId="77777777" w:rsidTr="0039605F">
        <w:trPr>
          <w:cantSplit/>
        </w:trPr>
        <w:tc>
          <w:tcPr>
            <w:tcW w:w="1668" w:type="dxa"/>
            <w:vMerge w:val="restart"/>
            <w:shd w:val="clear" w:color="auto" w:fill="C6D9F1" w:themeFill="text2" w:themeFillTint="33"/>
            <w:vAlign w:val="center"/>
          </w:tcPr>
          <w:p w14:paraId="40DF8C78" w14:textId="655B36CC" w:rsidR="004F395D" w:rsidRPr="00275290" w:rsidRDefault="004F395D">
            <w:pPr>
              <w:rPr>
                <w:rFonts w:cs="Arial"/>
                <w:lang w:val="en-US"/>
              </w:rPr>
            </w:pPr>
            <w:r w:rsidRPr="00275290">
              <w:rPr>
                <w:rFonts w:cs="Arial"/>
                <w:lang w:val="en-US"/>
              </w:rPr>
              <w:t>Appli + cleaning</w:t>
            </w:r>
          </w:p>
        </w:tc>
        <w:tc>
          <w:tcPr>
            <w:tcW w:w="2551" w:type="dxa"/>
            <w:shd w:val="clear" w:color="auto" w:fill="C6D9F1" w:themeFill="text2" w:themeFillTint="33"/>
            <w:vAlign w:val="center"/>
          </w:tcPr>
          <w:p w14:paraId="5B1CAD89" w14:textId="77777777" w:rsidR="004F395D" w:rsidRPr="00275290" w:rsidRDefault="004F395D" w:rsidP="009D4550">
            <w:pPr>
              <w:rPr>
                <w:rFonts w:cs="Arial"/>
                <w:lang w:val="fr-FR"/>
              </w:rPr>
            </w:pPr>
            <w:r w:rsidRPr="00275290">
              <w:rPr>
                <w:rFonts w:cs="Arial"/>
                <w:lang w:val="fr-FR"/>
              </w:rPr>
              <w:t>Cyperméthrine</w:t>
            </w:r>
          </w:p>
          <w:p w14:paraId="763A47B8" w14:textId="77777777" w:rsidR="004F395D" w:rsidRPr="00275290" w:rsidRDefault="004F395D" w:rsidP="009D4550">
            <w:pPr>
              <w:rPr>
                <w:rFonts w:cs="Arial"/>
                <w:lang w:val="fr-FR"/>
              </w:rPr>
            </w:pPr>
            <w:r w:rsidRPr="00275290">
              <w:rPr>
                <w:rFonts w:cs="Arial"/>
                <w:lang w:val="fr-FR"/>
              </w:rPr>
              <w:t>0.022</w:t>
            </w:r>
          </w:p>
        </w:tc>
        <w:tc>
          <w:tcPr>
            <w:tcW w:w="2268" w:type="dxa"/>
            <w:shd w:val="clear" w:color="auto" w:fill="C6D9F1" w:themeFill="text2" w:themeFillTint="33"/>
            <w:vAlign w:val="center"/>
          </w:tcPr>
          <w:p w14:paraId="4F58204C" w14:textId="4365A60F" w:rsidR="004F395D" w:rsidRPr="00275290" w:rsidRDefault="004F395D">
            <w:pPr>
              <w:rPr>
                <w:rFonts w:cs="Arial"/>
              </w:rPr>
            </w:pPr>
            <w:r w:rsidRPr="00275290">
              <w:rPr>
                <w:rFonts w:cs="Arial"/>
                <w:bCs/>
                <w:color w:val="000000"/>
              </w:rPr>
              <w:t>1,04E-02</w:t>
            </w:r>
          </w:p>
        </w:tc>
        <w:tc>
          <w:tcPr>
            <w:tcW w:w="1448" w:type="dxa"/>
            <w:shd w:val="clear" w:color="auto" w:fill="C6D9F1" w:themeFill="text2" w:themeFillTint="33"/>
            <w:vAlign w:val="center"/>
          </w:tcPr>
          <w:p w14:paraId="02DBF402" w14:textId="2DA06B1C" w:rsidR="004F395D" w:rsidRPr="00275290" w:rsidRDefault="004F395D" w:rsidP="009D4550">
            <w:pPr>
              <w:rPr>
                <w:rFonts w:cs="Arial"/>
                <w:lang w:val="en-US"/>
              </w:rPr>
            </w:pPr>
            <w:r w:rsidRPr="00275290">
              <w:rPr>
                <w:rFonts w:cs="Arial"/>
                <w:lang w:val="en-US"/>
              </w:rPr>
              <w:t>47.</w:t>
            </w:r>
            <w:r w:rsidR="00FA3079">
              <w:rPr>
                <w:rFonts w:cs="Arial"/>
                <w:lang w:val="en-US"/>
              </w:rPr>
              <w:t>2</w:t>
            </w:r>
          </w:p>
        </w:tc>
        <w:tc>
          <w:tcPr>
            <w:tcW w:w="1984" w:type="dxa"/>
            <w:shd w:val="clear" w:color="auto" w:fill="C6D9F1" w:themeFill="text2" w:themeFillTint="33"/>
            <w:vAlign w:val="center"/>
          </w:tcPr>
          <w:p w14:paraId="4B2C8F86" w14:textId="5F47D080" w:rsidR="004F395D" w:rsidRPr="00275290" w:rsidRDefault="004F395D" w:rsidP="009D4550">
            <w:pPr>
              <w:rPr>
                <w:rFonts w:cs="Arial"/>
                <w:lang w:val="fr-FR"/>
              </w:rPr>
            </w:pPr>
          </w:p>
        </w:tc>
      </w:tr>
      <w:tr w:rsidR="004F395D" w:rsidRPr="00275290" w14:paraId="224DCF74" w14:textId="77777777" w:rsidTr="0039605F">
        <w:trPr>
          <w:cantSplit/>
        </w:trPr>
        <w:tc>
          <w:tcPr>
            <w:tcW w:w="1668" w:type="dxa"/>
            <w:vMerge/>
            <w:shd w:val="clear" w:color="auto" w:fill="C6D9F1" w:themeFill="text2" w:themeFillTint="33"/>
            <w:vAlign w:val="center"/>
          </w:tcPr>
          <w:p w14:paraId="73FDCAE1"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6A5D10F2" w14:textId="77777777" w:rsidR="004F395D" w:rsidRPr="00275290" w:rsidRDefault="004F395D" w:rsidP="009D4550">
            <w:pPr>
              <w:rPr>
                <w:rFonts w:cs="Arial"/>
                <w:lang w:val="fr-FR"/>
              </w:rPr>
            </w:pPr>
            <w:r w:rsidRPr="00275290">
              <w:rPr>
                <w:rFonts w:cs="Arial"/>
                <w:lang w:val="fr-FR"/>
              </w:rPr>
              <w:t>Propiconazole : 0.04</w:t>
            </w:r>
          </w:p>
        </w:tc>
        <w:tc>
          <w:tcPr>
            <w:tcW w:w="2268" w:type="dxa"/>
            <w:shd w:val="clear" w:color="auto" w:fill="C6D9F1" w:themeFill="text2" w:themeFillTint="33"/>
            <w:vAlign w:val="center"/>
          </w:tcPr>
          <w:p w14:paraId="0F6013D2" w14:textId="7E39ECF5" w:rsidR="004F395D" w:rsidRPr="00275290" w:rsidRDefault="004F395D" w:rsidP="009D4550">
            <w:pPr>
              <w:rPr>
                <w:rFonts w:cs="Arial"/>
                <w:color w:val="000000"/>
              </w:rPr>
            </w:pPr>
            <w:r w:rsidRPr="00275290">
              <w:rPr>
                <w:rFonts w:cs="Arial"/>
                <w:bCs/>
                <w:color w:val="000000"/>
              </w:rPr>
              <w:t>1,</w:t>
            </w:r>
            <w:r>
              <w:rPr>
                <w:rFonts w:cs="Arial"/>
                <w:bCs/>
                <w:color w:val="000000"/>
              </w:rPr>
              <w:t>61</w:t>
            </w:r>
            <w:r w:rsidRPr="00275290">
              <w:rPr>
                <w:rFonts w:cs="Arial"/>
                <w:bCs/>
                <w:color w:val="000000"/>
              </w:rPr>
              <w:t>E-02</w:t>
            </w:r>
          </w:p>
        </w:tc>
        <w:tc>
          <w:tcPr>
            <w:tcW w:w="1448" w:type="dxa"/>
            <w:shd w:val="clear" w:color="auto" w:fill="C6D9F1" w:themeFill="text2" w:themeFillTint="33"/>
            <w:vAlign w:val="center"/>
          </w:tcPr>
          <w:p w14:paraId="73E51516" w14:textId="4D330A63" w:rsidR="004F395D" w:rsidRPr="00275290" w:rsidRDefault="004F395D" w:rsidP="009D4550">
            <w:pPr>
              <w:rPr>
                <w:rFonts w:cs="Arial"/>
                <w:lang w:val="fr-FR"/>
              </w:rPr>
            </w:pPr>
            <w:r>
              <w:rPr>
                <w:rFonts w:cs="Arial"/>
                <w:lang w:val="fr-FR"/>
              </w:rPr>
              <w:t>40</w:t>
            </w:r>
            <w:r w:rsidRPr="00275290">
              <w:rPr>
                <w:rFonts w:cs="Arial"/>
                <w:lang w:val="fr-FR"/>
              </w:rPr>
              <w:t>.</w:t>
            </w:r>
            <w:r w:rsidR="00FA3079">
              <w:rPr>
                <w:rFonts w:cs="Arial"/>
                <w:lang w:val="fr-FR"/>
              </w:rPr>
              <w:t>1</w:t>
            </w:r>
          </w:p>
        </w:tc>
        <w:tc>
          <w:tcPr>
            <w:tcW w:w="1984" w:type="dxa"/>
            <w:shd w:val="clear" w:color="auto" w:fill="C6D9F1" w:themeFill="text2" w:themeFillTint="33"/>
            <w:vAlign w:val="center"/>
          </w:tcPr>
          <w:p w14:paraId="3666D6DE" w14:textId="6116B75C" w:rsidR="004F395D" w:rsidRPr="00275290" w:rsidRDefault="004F395D" w:rsidP="009D4550">
            <w:pPr>
              <w:rPr>
                <w:rFonts w:cs="Arial"/>
                <w:lang w:val="fr-FR"/>
              </w:rPr>
            </w:pPr>
          </w:p>
        </w:tc>
      </w:tr>
      <w:tr w:rsidR="004F395D" w:rsidRPr="00275290" w14:paraId="49698594" w14:textId="77777777" w:rsidTr="0039605F">
        <w:trPr>
          <w:cantSplit/>
          <w:trHeight w:val="922"/>
        </w:trPr>
        <w:tc>
          <w:tcPr>
            <w:tcW w:w="1668" w:type="dxa"/>
            <w:vMerge/>
            <w:shd w:val="clear" w:color="auto" w:fill="C6D9F1" w:themeFill="text2" w:themeFillTint="33"/>
            <w:vAlign w:val="center"/>
          </w:tcPr>
          <w:p w14:paraId="1E1C4F96"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3F25FB0B" w14:textId="77777777" w:rsidR="004F395D" w:rsidRPr="00275290" w:rsidRDefault="004F395D" w:rsidP="009D4550">
            <w:pPr>
              <w:rPr>
                <w:rFonts w:cs="Arial"/>
                <w:lang w:val="fr-FR"/>
              </w:rPr>
            </w:pPr>
            <w:r w:rsidRPr="00275290">
              <w:rPr>
                <w:rFonts w:cs="Arial"/>
                <w:lang w:val="fr-FR"/>
              </w:rPr>
              <w:t>Tébuconazole : 0.03</w:t>
            </w:r>
          </w:p>
        </w:tc>
        <w:tc>
          <w:tcPr>
            <w:tcW w:w="2268" w:type="dxa"/>
            <w:shd w:val="clear" w:color="auto" w:fill="C6D9F1" w:themeFill="text2" w:themeFillTint="33"/>
            <w:vAlign w:val="center"/>
          </w:tcPr>
          <w:p w14:paraId="2F1CAEC3" w14:textId="3A224FEE" w:rsidR="004F395D" w:rsidRPr="00275290" w:rsidRDefault="004F395D" w:rsidP="009D4550">
            <w:pPr>
              <w:rPr>
                <w:rFonts w:cs="Arial"/>
                <w:color w:val="000000"/>
              </w:rPr>
            </w:pPr>
            <w:r>
              <w:rPr>
                <w:rFonts w:cs="Arial"/>
                <w:bCs/>
                <w:color w:val="000000"/>
              </w:rPr>
              <w:t>5.75</w:t>
            </w:r>
            <w:r w:rsidRPr="00275290">
              <w:rPr>
                <w:rFonts w:cs="Arial"/>
                <w:bCs/>
                <w:color w:val="000000"/>
              </w:rPr>
              <w:t>E-03</w:t>
            </w:r>
          </w:p>
        </w:tc>
        <w:tc>
          <w:tcPr>
            <w:tcW w:w="1448" w:type="dxa"/>
            <w:shd w:val="clear" w:color="auto" w:fill="C6D9F1" w:themeFill="text2" w:themeFillTint="33"/>
            <w:vAlign w:val="center"/>
          </w:tcPr>
          <w:p w14:paraId="7A69398A" w14:textId="516140BD" w:rsidR="004F395D" w:rsidRPr="00275290" w:rsidRDefault="004F395D" w:rsidP="009D4550">
            <w:pPr>
              <w:rPr>
                <w:rFonts w:cs="Arial"/>
                <w:lang w:val="fr-FR"/>
              </w:rPr>
            </w:pPr>
            <w:r>
              <w:rPr>
                <w:rFonts w:cs="Arial"/>
                <w:lang w:val="fr-FR"/>
              </w:rPr>
              <w:t>19.2</w:t>
            </w:r>
          </w:p>
        </w:tc>
        <w:tc>
          <w:tcPr>
            <w:tcW w:w="1984" w:type="dxa"/>
            <w:shd w:val="clear" w:color="auto" w:fill="C6D9F1" w:themeFill="text2" w:themeFillTint="33"/>
            <w:vAlign w:val="center"/>
          </w:tcPr>
          <w:p w14:paraId="31D16702" w14:textId="3F851DBD" w:rsidR="004F395D" w:rsidRPr="00275290" w:rsidRDefault="004F395D" w:rsidP="009D4550">
            <w:pPr>
              <w:rPr>
                <w:rFonts w:cs="Arial"/>
                <w:lang w:val="fr-FR"/>
              </w:rPr>
            </w:pPr>
          </w:p>
        </w:tc>
      </w:tr>
      <w:tr w:rsidR="004F395D" w:rsidRPr="00275290" w14:paraId="036F3AF1" w14:textId="77777777" w:rsidTr="0039605F">
        <w:trPr>
          <w:cantSplit/>
          <w:trHeight w:val="922"/>
        </w:trPr>
        <w:tc>
          <w:tcPr>
            <w:tcW w:w="1668" w:type="dxa"/>
            <w:vMerge/>
            <w:shd w:val="clear" w:color="auto" w:fill="C6D9F1" w:themeFill="text2" w:themeFillTint="33"/>
            <w:vAlign w:val="center"/>
          </w:tcPr>
          <w:p w14:paraId="70364E0A"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6E5CB636" w14:textId="77777777" w:rsidR="004F395D" w:rsidRPr="00275290" w:rsidRDefault="004F395D" w:rsidP="009D4550">
            <w:pPr>
              <w:rPr>
                <w:rFonts w:cs="Arial"/>
                <w:lang w:val="fr-FR"/>
              </w:rPr>
            </w:pPr>
            <w:r w:rsidRPr="00275290">
              <w:rPr>
                <w:rFonts w:cs="Arial"/>
                <w:lang w:val="fr-FR"/>
              </w:rPr>
              <w:t>IPBC</w:t>
            </w:r>
          </w:p>
          <w:p w14:paraId="75C73B10" w14:textId="77777777" w:rsidR="004F395D" w:rsidRPr="00275290" w:rsidRDefault="004F395D" w:rsidP="009D4550">
            <w:pPr>
              <w:rPr>
                <w:rFonts w:cs="Arial"/>
                <w:lang w:val="fr-FR"/>
              </w:rPr>
            </w:pPr>
            <w:r w:rsidRPr="00275290">
              <w:rPr>
                <w:rFonts w:cs="Arial"/>
                <w:lang w:val="fr-FR"/>
              </w:rPr>
              <w:t>0.2</w:t>
            </w:r>
          </w:p>
        </w:tc>
        <w:tc>
          <w:tcPr>
            <w:tcW w:w="2268" w:type="dxa"/>
            <w:shd w:val="clear" w:color="auto" w:fill="C6D9F1" w:themeFill="text2" w:themeFillTint="33"/>
            <w:vAlign w:val="center"/>
          </w:tcPr>
          <w:p w14:paraId="7731C1FB" w14:textId="1AFD865A" w:rsidR="004F395D" w:rsidRPr="00275290" w:rsidRDefault="004F395D" w:rsidP="009D4550">
            <w:pPr>
              <w:rPr>
                <w:rFonts w:cs="Arial"/>
                <w:color w:val="000000"/>
              </w:rPr>
            </w:pPr>
            <w:r>
              <w:rPr>
                <w:rFonts w:cs="Arial"/>
                <w:bCs/>
                <w:color w:val="000000"/>
              </w:rPr>
              <w:t>1.23</w:t>
            </w:r>
            <w:r w:rsidRPr="00275290">
              <w:rPr>
                <w:rFonts w:cs="Arial"/>
                <w:bCs/>
                <w:color w:val="000000"/>
              </w:rPr>
              <w:t>E-0</w:t>
            </w:r>
            <w:r>
              <w:rPr>
                <w:rFonts w:cs="Arial"/>
                <w:bCs/>
                <w:color w:val="000000"/>
              </w:rPr>
              <w:t>2</w:t>
            </w:r>
          </w:p>
        </w:tc>
        <w:tc>
          <w:tcPr>
            <w:tcW w:w="1448" w:type="dxa"/>
            <w:shd w:val="clear" w:color="auto" w:fill="C6D9F1" w:themeFill="text2" w:themeFillTint="33"/>
            <w:vAlign w:val="center"/>
          </w:tcPr>
          <w:p w14:paraId="4AEBAD0C" w14:textId="0B17EF8F" w:rsidR="004F395D" w:rsidRPr="00275290" w:rsidRDefault="004F395D" w:rsidP="009D4550">
            <w:pPr>
              <w:rPr>
                <w:rFonts w:cs="Arial"/>
                <w:lang w:val="fr-FR"/>
              </w:rPr>
            </w:pPr>
            <w:r>
              <w:rPr>
                <w:rFonts w:cs="Arial"/>
                <w:lang w:val="fr-FR"/>
              </w:rPr>
              <w:t>6.1</w:t>
            </w:r>
          </w:p>
        </w:tc>
        <w:tc>
          <w:tcPr>
            <w:tcW w:w="1984" w:type="dxa"/>
            <w:shd w:val="clear" w:color="auto" w:fill="C6D9F1" w:themeFill="text2" w:themeFillTint="33"/>
            <w:vAlign w:val="center"/>
          </w:tcPr>
          <w:p w14:paraId="4E5A90BB" w14:textId="70D2A2EA" w:rsidR="004F395D" w:rsidRPr="00275290" w:rsidRDefault="004F395D" w:rsidP="009D4550">
            <w:pPr>
              <w:rPr>
                <w:rFonts w:cs="Arial"/>
                <w:lang w:val="fr-FR"/>
              </w:rPr>
            </w:pPr>
          </w:p>
        </w:tc>
      </w:tr>
    </w:tbl>
    <w:p w14:paraId="5D34DD55" w14:textId="77777777" w:rsidR="009D4550" w:rsidRPr="00275290" w:rsidRDefault="009D4550" w:rsidP="009D4550">
      <w:pPr>
        <w:pStyle w:val="BfRBBStandard"/>
        <w:rPr>
          <w:rFonts w:ascii="Verdana" w:eastAsia="Times New Roman" w:hAnsi="Verdana"/>
          <w:sz w:val="20"/>
          <w:szCs w:val="20"/>
          <w:lang w:val="en-GB" w:eastAsia="sv-SE"/>
        </w:rPr>
      </w:pPr>
    </w:p>
    <w:p w14:paraId="501BDF0B" w14:textId="118DF9A4" w:rsidR="009D4550" w:rsidRPr="00275290" w:rsidRDefault="00F67CCD"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The</w:t>
      </w:r>
      <w:r w:rsidR="009D4550" w:rsidRPr="00275290">
        <w:rPr>
          <w:rFonts w:ascii="Verdana" w:eastAsia="Times New Roman" w:hAnsi="Verdana"/>
          <w:sz w:val="20"/>
          <w:szCs w:val="20"/>
          <w:lang w:val="en-GB" w:eastAsia="sv-SE"/>
        </w:rPr>
        <w:t xml:space="preserve"> risk is </w:t>
      </w:r>
      <w:r w:rsidR="00EA6001">
        <w:rPr>
          <w:rFonts w:ascii="Verdana" w:eastAsia="Times New Roman" w:hAnsi="Verdana"/>
          <w:sz w:val="20"/>
          <w:szCs w:val="20"/>
          <w:lang w:val="en-GB" w:eastAsia="sv-SE"/>
        </w:rPr>
        <w:t>un</w:t>
      </w:r>
      <w:r w:rsidR="009D4550" w:rsidRPr="00275290">
        <w:rPr>
          <w:rFonts w:ascii="Verdana" w:eastAsia="Times New Roman" w:hAnsi="Verdana"/>
          <w:sz w:val="20"/>
          <w:szCs w:val="20"/>
          <w:lang w:val="en-GB" w:eastAsia="sv-SE"/>
        </w:rPr>
        <w:t xml:space="preserve">acceptable for spray application by a professional </w:t>
      </w:r>
      <w:r w:rsidR="00EA6001">
        <w:rPr>
          <w:rFonts w:ascii="Verdana" w:eastAsia="Times New Roman" w:hAnsi="Verdana"/>
          <w:sz w:val="20"/>
          <w:szCs w:val="20"/>
          <w:lang w:val="en-GB" w:eastAsia="sv-SE"/>
        </w:rPr>
        <w:t>without PPE</w:t>
      </w:r>
      <w:r w:rsidR="009D4550" w:rsidRPr="00275290">
        <w:rPr>
          <w:rFonts w:ascii="Verdana" w:eastAsia="Times New Roman" w:hAnsi="Verdana"/>
          <w:sz w:val="20"/>
          <w:szCs w:val="20"/>
          <w:lang w:val="en-GB" w:eastAsia="sv-SE"/>
        </w:rPr>
        <w:t>.</w:t>
      </w:r>
    </w:p>
    <w:p w14:paraId="584888AE" w14:textId="77777777" w:rsidR="009D4550" w:rsidRPr="00275290" w:rsidRDefault="009D4550" w:rsidP="009D4550">
      <w:pPr>
        <w:pStyle w:val="BfRBBStandard"/>
        <w:rPr>
          <w:rFonts w:ascii="Verdana" w:eastAsia="Times New Roman" w:hAnsi="Verdana"/>
          <w:sz w:val="20"/>
          <w:szCs w:val="20"/>
          <w:lang w:val="en-GB" w:eastAsia="sv-SE"/>
        </w:rPr>
      </w:pPr>
    </w:p>
    <w:p w14:paraId="71B05353" w14:textId="77777777" w:rsidR="009D4550" w:rsidRPr="00275290" w:rsidRDefault="009D4550" w:rsidP="00932144">
      <w:pPr>
        <w:pStyle w:val="BfRBBStandard"/>
        <w:keepNext/>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1479885F" w14:textId="77777777" w:rsidR="009D4550" w:rsidRPr="00275290" w:rsidRDefault="009D4550" w:rsidP="00932144">
      <w:pPr>
        <w:pStyle w:val="BfRBBStandard"/>
        <w:keepNext/>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767"/>
        <w:gridCol w:w="1709"/>
        <w:gridCol w:w="1688"/>
        <w:gridCol w:w="917"/>
        <w:gridCol w:w="904"/>
        <w:gridCol w:w="1256"/>
      </w:tblGrid>
      <w:tr w:rsidR="009D4550" w:rsidRPr="00275290" w14:paraId="3C296AD3" w14:textId="77777777" w:rsidTr="00932144">
        <w:trPr>
          <w:cantSplit/>
          <w:tblHeader/>
        </w:trPr>
        <w:tc>
          <w:tcPr>
            <w:tcW w:w="1267" w:type="dxa"/>
          </w:tcPr>
          <w:p w14:paraId="157169AC" w14:textId="77777777" w:rsidR="009D4550" w:rsidRPr="00275290" w:rsidRDefault="009D4550" w:rsidP="00932144">
            <w:pPr>
              <w:keepNext/>
              <w:rPr>
                <w:rFonts w:cs="Arial"/>
                <w:lang w:val="fr-FR"/>
              </w:rPr>
            </w:pPr>
          </w:p>
        </w:tc>
        <w:tc>
          <w:tcPr>
            <w:tcW w:w="1791" w:type="dxa"/>
            <w:vAlign w:val="center"/>
          </w:tcPr>
          <w:p w14:paraId="3AEFB810" w14:textId="77777777" w:rsidR="009D4550" w:rsidRPr="00275290" w:rsidRDefault="009D4550" w:rsidP="00932144">
            <w:pPr>
              <w:keepNext/>
              <w:rPr>
                <w:rFonts w:cs="Arial"/>
                <w:lang w:val="fr-FR"/>
              </w:rPr>
            </w:pPr>
            <w:r w:rsidRPr="00275290">
              <w:rPr>
                <w:rFonts w:cs="Arial"/>
                <w:lang w:val="fr-FR"/>
              </w:rPr>
              <w:t>Cyperméthrine</w:t>
            </w:r>
          </w:p>
        </w:tc>
        <w:tc>
          <w:tcPr>
            <w:tcW w:w="1756" w:type="dxa"/>
            <w:vAlign w:val="center"/>
          </w:tcPr>
          <w:p w14:paraId="197509B8" w14:textId="77777777" w:rsidR="009D4550" w:rsidRPr="00275290" w:rsidRDefault="009D4550" w:rsidP="00932144">
            <w:pPr>
              <w:keepNext/>
              <w:rPr>
                <w:rFonts w:cs="Arial"/>
                <w:lang w:val="fr-FR"/>
              </w:rPr>
            </w:pPr>
            <w:r w:rsidRPr="00275290">
              <w:rPr>
                <w:rFonts w:cs="Arial"/>
                <w:lang w:val="fr-FR"/>
              </w:rPr>
              <w:t>Propiconazole</w:t>
            </w:r>
          </w:p>
        </w:tc>
        <w:tc>
          <w:tcPr>
            <w:tcW w:w="1732" w:type="dxa"/>
            <w:vAlign w:val="center"/>
          </w:tcPr>
          <w:p w14:paraId="3A028B65" w14:textId="77777777" w:rsidR="009D4550" w:rsidRPr="00275290" w:rsidRDefault="009D4550" w:rsidP="00932144">
            <w:pPr>
              <w:keepNext/>
              <w:rPr>
                <w:rFonts w:cs="Arial"/>
                <w:lang w:val="fr-FR"/>
              </w:rPr>
            </w:pPr>
            <w:r w:rsidRPr="00275290">
              <w:rPr>
                <w:rFonts w:cs="Arial"/>
                <w:lang w:val="fr-FR"/>
              </w:rPr>
              <w:t>Tébuconazole</w:t>
            </w:r>
          </w:p>
        </w:tc>
        <w:tc>
          <w:tcPr>
            <w:tcW w:w="1008" w:type="dxa"/>
            <w:shd w:val="clear" w:color="auto" w:fill="auto"/>
          </w:tcPr>
          <w:p w14:paraId="0EAA7A56" w14:textId="77777777" w:rsidR="009D4550" w:rsidRPr="00275290" w:rsidRDefault="009D4550" w:rsidP="00932144">
            <w:pPr>
              <w:keepNext/>
              <w:rPr>
                <w:rFonts w:cs="Arial"/>
                <w:lang w:val="fr-FR"/>
              </w:rPr>
            </w:pPr>
            <w:r w:rsidRPr="00275290">
              <w:rPr>
                <w:rFonts w:cs="Arial"/>
                <w:lang w:val="fr-FR"/>
              </w:rPr>
              <w:t>IPBC</w:t>
            </w:r>
          </w:p>
        </w:tc>
        <w:tc>
          <w:tcPr>
            <w:tcW w:w="1001" w:type="dxa"/>
            <w:vMerge w:val="restart"/>
            <w:shd w:val="clear" w:color="auto" w:fill="E5B8B7" w:themeFill="accent2" w:themeFillTint="66"/>
            <w:vAlign w:val="center"/>
          </w:tcPr>
          <w:p w14:paraId="3D23E426" w14:textId="77777777" w:rsidR="009D4550" w:rsidRPr="00275290" w:rsidRDefault="009D4550" w:rsidP="00932144">
            <w:pPr>
              <w:keepNext/>
              <w:rPr>
                <w:rFonts w:cs="Arial"/>
                <w:lang w:val="fr-FR"/>
              </w:rPr>
            </w:pPr>
            <w:r w:rsidRPr="00275290">
              <w:rPr>
                <w:rFonts w:cs="Arial"/>
                <w:lang w:val="fr-FR"/>
              </w:rPr>
              <w:t>HI</w:t>
            </w:r>
          </w:p>
          <w:p w14:paraId="24F45468" w14:textId="77777777" w:rsidR="009D4550" w:rsidRPr="00275290" w:rsidRDefault="009D4550" w:rsidP="00932144">
            <w:pPr>
              <w:keepNext/>
              <w:rPr>
                <w:rFonts w:cs="Arial"/>
                <w:lang w:val="fr-FR"/>
              </w:rPr>
            </w:pPr>
            <w:r w:rsidRPr="00275290">
              <w:rPr>
                <w:rFonts w:cs="Arial"/>
                <w:lang w:val="fr-FR"/>
              </w:rPr>
              <w:t>(∑ HQ a.s)</w:t>
            </w:r>
          </w:p>
        </w:tc>
        <w:tc>
          <w:tcPr>
            <w:tcW w:w="1440" w:type="dxa"/>
            <w:vMerge w:val="restart"/>
            <w:shd w:val="clear" w:color="auto" w:fill="E5B8B7" w:themeFill="accent2" w:themeFillTint="66"/>
          </w:tcPr>
          <w:p w14:paraId="4C56E203" w14:textId="77777777" w:rsidR="009D4550" w:rsidRPr="00275290" w:rsidRDefault="009D4550" w:rsidP="00932144">
            <w:pPr>
              <w:keepNext/>
              <w:rPr>
                <w:rFonts w:cs="Arial"/>
                <w:lang w:val="fr-FR"/>
              </w:rPr>
            </w:pPr>
            <w:r w:rsidRPr="00275290">
              <w:rPr>
                <w:rFonts w:cs="Arial"/>
                <w:lang w:val="fr-FR"/>
              </w:rPr>
              <w:t>Risk</w:t>
            </w:r>
          </w:p>
        </w:tc>
      </w:tr>
      <w:tr w:rsidR="009D4550" w:rsidRPr="00275290" w14:paraId="63F6D830" w14:textId="77777777" w:rsidTr="00932144">
        <w:trPr>
          <w:cantSplit/>
          <w:tblHeader/>
        </w:trPr>
        <w:tc>
          <w:tcPr>
            <w:tcW w:w="7554" w:type="dxa"/>
            <w:gridSpan w:val="5"/>
          </w:tcPr>
          <w:p w14:paraId="1BF40369" w14:textId="77777777" w:rsidR="009D4550" w:rsidRPr="00275290" w:rsidRDefault="009D4550" w:rsidP="00932144">
            <w:pPr>
              <w:keepNext/>
              <w:rPr>
                <w:rFonts w:cs="Arial"/>
                <w:lang w:val="fr-FR"/>
              </w:rPr>
            </w:pPr>
            <w:r w:rsidRPr="00275290">
              <w:rPr>
                <w:rFonts w:cs="Arial"/>
                <w:lang w:val="fr-FR"/>
              </w:rPr>
              <w:t>HQ (Exposure/AEL)</w:t>
            </w:r>
          </w:p>
        </w:tc>
        <w:tc>
          <w:tcPr>
            <w:tcW w:w="1001" w:type="dxa"/>
            <w:vMerge/>
            <w:shd w:val="clear" w:color="auto" w:fill="E5B8B7" w:themeFill="accent2" w:themeFillTint="66"/>
            <w:vAlign w:val="center"/>
          </w:tcPr>
          <w:p w14:paraId="7B33960D" w14:textId="77777777" w:rsidR="009D4550" w:rsidRPr="00275290" w:rsidRDefault="009D4550" w:rsidP="00932144">
            <w:pPr>
              <w:keepNext/>
              <w:rPr>
                <w:rFonts w:cs="Arial"/>
                <w:lang w:val="fr-FR"/>
              </w:rPr>
            </w:pPr>
          </w:p>
        </w:tc>
        <w:tc>
          <w:tcPr>
            <w:tcW w:w="1440" w:type="dxa"/>
            <w:vMerge/>
            <w:shd w:val="clear" w:color="auto" w:fill="E5B8B7" w:themeFill="accent2" w:themeFillTint="66"/>
          </w:tcPr>
          <w:p w14:paraId="051078CC" w14:textId="77777777" w:rsidR="009D4550" w:rsidRPr="00275290" w:rsidRDefault="009D4550" w:rsidP="00932144">
            <w:pPr>
              <w:keepNext/>
              <w:rPr>
                <w:rFonts w:cs="Arial"/>
                <w:lang w:val="fr-FR"/>
              </w:rPr>
            </w:pPr>
          </w:p>
        </w:tc>
      </w:tr>
      <w:tr w:rsidR="009D4550" w:rsidRPr="00275290" w14:paraId="70480E50" w14:textId="77777777" w:rsidTr="004E7A98">
        <w:trPr>
          <w:trHeight w:val="121"/>
        </w:trPr>
        <w:tc>
          <w:tcPr>
            <w:tcW w:w="1267" w:type="dxa"/>
          </w:tcPr>
          <w:p w14:paraId="0FD09E7B" w14:textId="4677923A" w:rsidR="009D4550" w:rsidRPr="00275290" w:rsidRDefault="002F3404" w:rsidP="004E7A98">
            <w:pPr>
              <w:rPr>
                <w:rFonts w:cs="Arial"/>
                <w:lang w:val="en-US"/>
              </w:rPr>
            </w:pPr>
            <w:r w:rsidRPr="00275290">
              <w:rPr>
                <w:rFonts w:cs="Arial"/>
                <w:lang w:val="en-US"/>
              </w:rPr>
              <w:t>with gloves and impermeable coverall during spraying and gloves and coated coverall during cleaning</w:t>
            </w:r>
          </w:p>
        </w:tc>
        <w:tc>
          <w:tcPr>
            <w:tcW w:w="1791" w:type="dxa"/>
            <w:vAlign w:val="center"/>
          </w:tcPr>
          <w:p w14:paraId="515C7D85" w14:textId="77777777" w:rsidR="009D4550" w:rsidRPr="00275290" w:rsidRDefault="009D4550" w:rsidP="004E7A98">
            <w:pPr>
              <w:rPr>
                <w:rFonts w:cs="Arial"/>
                <w:lang w:val="en-US"/>
              </w:rPr>
            </w:pPr>
            <w:r w:rsidRPr="00275290">
              <w:rPr>
                <w:rFonts w:cs="Arial"/>
                <w:lang w:val="en-US"/>
              </w:rPr>
              <w:t>0.47</w:t>
            </w:r>
          </w:p>
        </w:tc>
        <w:tc>
          <w:tcPr>
            <w:tcW w:w="1756" w:type="dxa"/>
            <w:vAlign w:val="center"/>
          </w:tcPr>
          <w:p w14:paraId="644830EE" w14:textId="74319608" w:rsidR="009D4550" w:rsidRPr="00275290" w:rsidRDefault="009D4550" w:rsidP="002F3404">
            <w:pPr>
              <w:rPr>
                <w:rFonts w:cs="Arial"/>
                <w:lang w:val="en-US"/>
              </w:rPr>
            </w:pPr>
            <w:r w:rsidRPr="00275290">
              <w:rPr>
                <w:rFonts w:cs="Arial"/>
                <w:lang w:val="en-US"/>
              </w:rPr>
              <w:t>0.</w:t>
            </w:r>
            <w:r w:rsidR="002F3404">
              <w:rPr>
                <w:rFonts w:cs="Arial"/>
                <w:lang w:val="en-US"/>
              </w:rPr>
              <w:t>40</w:t>
            </w:r>
          </w:p>
        </w:tc>
        <w:tc>
          <w:tcPr>
            <w:tcW w:w="1732" w:type="dxa"/>
            <w:vAlign w:val="center"/>
          </w:tcPr>
          <w:p w14:paraId="4089FD97" w14:textId="2D559E61" w:rsidR="009D4550" w:rsidRPr="00275290" w:rsidRDefault="009D4550" w:rsidP="002F3404">
            <w:pPr>
              <w:rPr>
                <w:rFonts w:cs="Arial"/>
                <w:lang w:val="en-US"/>
              </w:rPr>
            </w:pPr>
            <w:r w:rsidRPr="00275290">
              <w:rPr>
                <w:rFonts w:cs="Arial"/>
                <w:lang w:val="en-US"/>
              </w:rPr>
              <w:t>0.</w:t>
            </w:r>
            <w:r w:rsidR="002F3404" w:rsidRPr="00275290">
              <w:rPr>
                <w:rFonts w:cs="Arial"/>
                <w:lang w:val="en-US"/>
              </w:rPr>
              <w:t>1</w:t>
            </w:r>
            <w:r w:rsidR="002F3404">
              <w:rPr>
                <w:rFonts w:cs="Arial"/>
                <w:lang w:val="en-US"/>
              </w:rPr>
              <w:t>9</w:t>
            </w:r>
          </w:p>
        </w:tc>
        <w:tc>
          <w:tcPr>
            <w:tcW w:w="1008" w:type="dxa"/>
            <w:shd w:val="clear" w:color="auto" w:fill="auto"/>
            <w:vAlign w:val="center"/>
          </w:tcPr>
          <w:p w14:paraId="08D26F9D" w14:textId="48A9B140" w:rsidR="009D4550" w:rsidRPr="00275290" w:rsidRDefault="009D4550" w:rsidP="002F3404">
            <w:pPr>
              <w:rPr>
                <w:rFonts w:cs="Arial"/>
                <w:lang w:val="en-US"/>
              </w:rPr>
            </w:pPr>
            <w:r w:rsidRPr="00275290">
              <w:rPr>
                <w:rFonts w:cs="Arial"/>
                <w:lang w:val="en-US"/>
              </w:rPr>
              <w:t>0.</w:t>
            </w:r>
            <w:r w:rsidR="002F3404" w:rsidRPr="00275290">
              <w:rPr>
                <w:rFonts w:cs="Arial"/>
                <w:lang w:val="en-US"/>
              </w:rPr>
              <w:t>0</w:t>
            </w:r>
            <w:r w:rsidR="002F3404">
              <w:rPr>
                <w:rFonts w:cs="Arial"/>
                <w:lang w:val="en-US"/>
              </w:rPr>
              <w:t>6</w:t>
            </w:r>
          </w:p>
        </w:tc>
        <w:tc>
          <w:tcPr>
            <w:tcW w:w="1001" w:type="dxa"/>
            <w:shd w:val="clear" w:color="auto" w:fill="E5B8B7" w:themeFill="accent2" w:themeFillTint="66"/>
            <w:vAlign w:val="center"/>
          </w:tcPr>
          <w:p w14:paraId="0C1080C7" w14:textId="3101BF10" w:rsidR="009D4550" w:rsidRPr="00275290" w:rsidRDefault="002F3404" w:rsidP="004E7A98">
            <w:pPr>
              <w:rPr>
                <w:rFonts w:cs="Arial"/>
                <w:lang w:val="en-US"/>
              </w:rPr>
            </w:pPr>
            <w:r>
              <w:rPr>
                <w:rFonts w:cs="Arial"/>
                <w:lang w:val="en-US"/>
              </w:rPr>
              <w:t>1.13</w:t>
            </w:r>
          </w:p>
        </w:tc>
        <w:tc>
          <w:tcPr>
            <w:tcW w:w="1440" w:type="dxa"/>
            <w:shd w:val="clear" w:color="auto" w:fill="E5B8B7" w:themeFill="accent2" w:themeFillTint="66"/>
            <w:vAlign w:val="center"/>
          </w:tcPr>
          <w:p w14:paraId="7029023F" w14:textId="2B0BA859" w:rsidR="009D4550" w:rsidRPr="00275290" w:rsidRDefault="002F3404" w:rsidP="004E7A98">
            <w:pPr>
              <w:rPr>
                <w:rFonts w:cs="Arial"/>
                <w:lang w:val="en-US"/>
              </w:rPr>
            </w:pPr>
            <w:r>
              <w:rPr>
                <w:rFonts w:cs="Arial"/>
                <w:lang w:val="fr-FR"/>
              </w:rPr>
              <w:t>HI &gt;1</w:t>
            </w:r>
          </w:p>
        </w:tc>
      </w:tr>
    </w:tbl>
    <w:p w14:paraId="175A14C4" w14:textId="77777777" w:rsidR="009D4550" w:rsidRPr="00275290" w:rsidRDefault="009D4550" w:rsidP="009D4550">
      <w:pPr>
        <w:pStyle w:val="BfRBBStandard"/>
        <w:rPr>
          <w:rFonts w:ascii="Verdana" w:eastAsia="Times New Roman" w:hAnsi="Verdana"/>
          <w:sz w:val="20"/>
          <w:szCs w:val="20"/>
          <w:lang w:val="en-GB" w:eastAsia="sv-SE"/>
        </w:rPr>
      </w:pPr>
    </w:p>
    <w:p w14:paraId="2E95DF76" w14:textId="77777777" w:rsidR="002F3404" w:rsidRPr="00275290" w:rsidRDefault="002F3404" w:rsidP="002F3404">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&gt; 1, a refinement is needed.</w:t>
      </w:r>
    </w:p>
    <w:p w14:paraId="46AA83D7" w14:textId="77777777" w:rsidR="002F3404" w:rsidRPr="00275290" w:rsidRDefault="002F3404" w:rsidP="002F3404">
      <w:pPr>
        <w:pStyle w:val="BfRBBStandard"/>
        <w:rPr>
          <w:rFonts w:ascii="Verdana" w:eastAsia="Times New Roman" w:hAnsi="Verdana"/>
          <w:sz w:val="20"/>
          <w:szCs w:val="20"/>
          <w:lang w:val="en-GB" w:eastAsia="sv-SE"/>
        </w:rPr>
      </w:pPr>
    </w:p>
    <w:p w14:paraId="16909E02" w14:textId="77777777" w:rsidR="002F3404" w:rsidRPr="00275290" w:rsidRDefault="002F3404" w:rsidP="002F3404">
      <w:pPr>
        <w:pStyle w:val="BfRBBStandard"/>
        <w:rPr>
          <w:rFonts w:ascii="Verdana" w:eastAsia="Times New Roman" w:hAnsi="Verdana"/>
          <w:sz w:val="20"/>
          <w:szCs w:val="20"/>
          <w:lang w:val="en-GB" w:eastAsia="sv-SE"/>
        </w:rPr>
      </w:pPr>
    </w:p>
    <w:p w14:paraId="450A7078"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A Tier 3B approach is considered since the 4 active substances have target organs in common.</w:t>
      </w:r>
    </w:p>
    <w:p w14:paraId="3C8978D8" w14:textId="77777777" w:rsidR="002F3404" w:rsidRPr="00275290" w:rsidRDefault="002F3404" w:rsidP="002F3404">
      <w:pPr>
        <w:pStyle w:val="BfRBBStandard"/>
        <w:rPr>
          <w:rFonts w:ascii="Verdana" w:eastAsia="Times New Roman" w:hAnsi="Verdana"/>
          <w:sz w:val="20"/>
          <w:szCs w:val="20"/>
          <w:lang w:val="en-GB" w:eastAsia="sv-SE"/>
        </w:rPr>
      </w:pPr>
    </w:p>
    <w:p w14:paraId="00EDDABA"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liver is a target organ common to cypermethrine, propiconazole, tebuconazole and IPBC. </w:t>
      </w:r>
    </w:p>
    <w:p w14:paraId="3FECC665"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kidney is a target organ common to cypermethrine, propiconazole and IPBC.</w:t>
      </w:r>
    </w:p>
    <w:p w14:paraId="7983ECB4"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Blood is a target organ common to cypermethrine, propiconazole and tebuconazole. </w:t>
      </w:r>
    </w:p>
    <w:p w14:paraId="551C9CCA"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adrenal is a target organ common to propiconazole and tebuconazole. </w:t>
      </w:r>
    </w:p>
    <w:p w14:paraId="45B7E4B3"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lung is a target organ common to cypermethrine and IPBC. </w:t>
      </w:r>
    </w:p>
    <w:p w14:paraId="3ACD6F69" w14:textId="77777777" w:rsidR="002F3404" w:rsidRPr="00275290" w:rsidRDefault="002F3404" w:rsidP="002F3404">
      <w:pPr>
        <w:pStyle w:val="BfRBBStandard"/>
        <w:tabs>
          <w:tab w:val="left" w:pos="7875"/>
        </w:tabs>
        <w:rPr>
          <w:rFonts w:ascii="Verdana" w:eastAsia="Times New Roman" w:hAnsi="Verdana"/>
          <w:sz w:val="20"/>
          <w:szCs w:val="20"/>
          <w:lang w:val="en-GB" w:eastAsia="sv-SE"/>
        </w:rPr>
      </w:pPr>
      <w:r w:rsidRPr="00275290">
        <w:rPr>
          <w:rFonts w:ascii="Verdana" w:eastAsia="Times New Roman" w:hAnsi="Verdana"/>
          <w:sz w:val="20"/>
          <w:szCs w:val="20"/>
          <w:lang w:val="en-GB" w:eastAsia="sv-SE"/>
        </w:rPr>
        <w:tab/>
      </w:r>
    </w:p>
    <w:p w14:paraId="7637D473"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Specific target organ AELS can be derived for each active substance based on the available data in the CARs.</w:t>
      </w:r>
    </w:p>
    <w:p w14:paraId="56DE40A7" w14:textId="77777777" w:rsidR="002F3404" w:rsidRPr="00275290" w:rsidRDefault="002F3404" w:rsidP="002F3404">
      <w:pPr>
        <w:pStyle w:val="BfRBBStandard"/>
        <w:rPr>
          <w:rFonts w:ascii="Verdana" w:eastAsia="Times New Roman" w:hAnsi="Verdana"/>
          <w:sz w:val="20"/>
          <w:szCs w:val="20"/>
          <w:lang w:val="en-GB" w:eastAsia="sv-SE"/>
        </w:rPr>
      </w:pPr>
    </w:p>
    <w:p w14:paraId="276330B1" w14:textId="77777777" w:rsidR="002F3404" w:rsidRPr="00275290" w:rsidRDefault="002F3404" w:rsidP="002F3404">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925"/>
        <w:gridCol w:w="1757"/>
        <w:gridCol w:w="1968"/>
        <w:gridCol w:w="1329"/>
      </w:tblGrid>
      <w:tr w:rsidR="002F3404" w:rsidRPr="00275290" w14:paraId="63F6F64D" w14:textId="77777777" w:rsidTr="001B6222">
        <w:tc>
          <w:tcPr>
            <w:tcW w:w="2943" w:type="dxa"/>
            <w:shd w:val="clear" w:color="auto" w:fill="auto"/>
          </w:tcPr>
          <w:p w14:paraId="234FD0F7" w14:textId="77777777" w:rsidR="002F3404" w:rsidRPr="00275290" w:rsidRDefault="002F3404" w:rsidP="001B6222">
            <w:pPr>
              <w:keepNext/>
              <w:rPr>
                <w:rFonts w:cs="Arial"/>
              </w:rPr>
            </w:pPr>
          </w:p>
        </w:tc>
        <w:tc>
          <w:tcPr>
            <w:tcW w:w="1929" w:type="dxa"/>
            <w:shd w:val="clear" w:color="auto" w:fill="auto"/>
          </w:tcPr>
          <w:p w14:paraId="48106554" w14:textId="77777777" w:rsidR="002F3404" w:rsidRPr="00275290" w:rsidRDefault="002F3404" w:rsidP="001B6222">
            <w:pPr>
              <w:keepNext/>
              <w:rPr>
                <w:rFonts w:cs="Arial"/>
                <w:b/>
              </w:rPr>
            </w:pPr>
            <w:r w:rsidRPr="00275290">
              <w:rPr>
                <w:rFonts w:cs="Arial"/>
                <w:b/>
              </w:rPr>
              <w:t>Cyperméthrine</w:t>
            </w:r>
          </w:p>
        </w:tc>
        <w:tc>
          <w:tcPr>
            <w:tcW w:w="1757" w:type="dxa"/>
            <w:shd w:val="clear" w:color="auto" w:fill="auto"/>
          </w:tcPr>
          <w:p w14:paraId="380C19F0" w14:textId="77777777" w:rsidR="002F3404" w:rsidRPr="00275290" w:rsidRDefault="002F3404" w:rsidP="001B6222">
            <w:pPr>
              <w:keepNext/>
              <w:rPr>
                <w:rFonts w:cs="Arial"/>
                <w:b/>
              </w:rPr>
            </w:pPr>
            <w:r w:rsidRPr="00275290">
              <w:rPr>
                <w:rFonts w:cs="Arial"/>
                <w:b/>
              </w:rPr>
              <w:t>Tébuconazole</w:t>
            </w:r>
          </w:p>
        </w:tc>
        <w:tc>
          <w:tcPr>
            <w:tcW w:w="1984" w:type="dxa"/>
            <w:shd w:val="clear" w:color="auto" w:fill="auto"/>
          </w:tcPr>
          <w:p w14:paraId="434BDE89" w14:textId="77777777" w:rsidR="002F3404" w:rsidRPr="00275290" w:rsidRDefault="002F3404" w:rsidP="001B6222">
            <w:pPr>
              <w:keepNext/>
              <w:rPr>
                <w:rFonts w:cs="Arial"/>
                <w:b/>
              </w:rPr>
            </w:pPr>
            <w:r w:rsidRPr="00275290">
              <w:rPr>
                <w:rFonts w:cs="Arial"/>
                <w:b/>
              </w:rPr>
              <w:t>Propiconazole</w:t>
            </w:r>
          </w:p>
        </w:tc>
        <w:tc>
          <w:tcPr>
            <w:tcW w:w="1382" w:type="dxa"/>
          </w:tcPr>
          <w:p w14:paraId="50A4F926" w14:textId="77777777" w:rsidR="002F3404" w:rsidRPr="00275290" w:rsidRDefault="002F3404" w:rsidP="001B6222">
            <w:pPr>
              <w:keepNext/>
              <w:rPr>
                <w:rFonts w:cs="Arial"/>
                <w:b/>
              </w:rPr>
            </w:pPr>
            <w:r w:rsidRPr="00275290">
              <w:rPr>
                <w:rFonts w:cs="Arial"/>
                <w:b/>
              </w:rPr>
              <w:t>IPBC</w:t>
            </w:r>
          </w:p>
        </w:tc>
      </w:tr>
      <w:tr w:rsidR="002F3404" w:rsidRPr="00275290" w14:paraId="1801930C" w14:textId="77777777" w:rsidTr="001B6222">
        <w:tc>
          <w:tcPr>
            <w:tcW w:w="2943" w:type="dxa"/>
            <w:shd w:val="clear" w:color="auto" w:fill="auto"/>
          </w:tcPr>
          <w:p w14:paraId="1453DD77" w14:textId="77777777" w:rsidR="002F3404" w:rsidRPr="00275290" w:rsidRDefault="002F3404" w:rsidP="001B6222">
            <w:pPr>
              <w:keepNext/>
              <w:rPr>
                <w:rFonts w:cs="Arial"/>
                <w:b/>
              </w:rPr>
            </w:pPr>
            <w:r w:rsidRPr="00275290">
              <w:rPr>
                <w:rFonts w:cs="Arial"/>
                <w:b/>
              </w:rPr>
              <w:t>General long term AEL</w:t>
            </w:r>
          </w:p>
        </w:tc>
        <w:tc>
          <w:tcPr>
            <w:tcW w:w="1929" w:type="dxa"/>
            <w:shd w:val="clear" w:color="auto" w:fill="auto"/>
            <w:vAlign w:val="center"/>
          </w:tcPr>
          <w:p w14:paraId="7063CA83" w14:textId="77777777" w:rsidR="002F3404" w:rsidRPr="00275290" w:rsidRDefault="002F3404" w:rsidP="001B6222">
            <w:pPr>
              <w:keepNext/>
              <w:jc w:val="center"/>
              <w:rPr>
                <w:rFonts w:cs="Arial"/>
              </w:rPr>
            </w:pPr>
            <w:r w:rsidRPr="00275290">
              <w:rPr>
                <w:rFonts w:cs="Arial"/>
              </w:rPr>
              <w:t>0.022</w:t>
            </w:r>
          </w:p>
        </w:tc>
        <w:tc>
          <w:tcPr>
            <w:tcW w:w="1757" w:type="dxa"/>
            <w:shd w:val="clear" w:color="auto" w:fill="auto"/>
            <w:vAlign w:val="center"/>
          </w:tcPr>
          <w:p w14:paraId="3F5CEAD7" w14:textId="77777777" w:rsidR="002F3404" w:rsidRPr="00275290" w:rsidRDefault="002F3404" w:rsidP="001B6222">
            <w:pPr>
              <w:keepNext/>
              <w:jc w:val="center"/>
              <w:rPr>
                <w:rFonts w:cs="Arial"/>
              </w:rPr>
            </w:pPr>
            <w:r w:rsidRPr="00275290">
              <w:rPr>
                <w:rFonts w:cs="Arial"/>
              </w:rPr>
              <w:t>0.03</w:t>
            </w:r>
          </w:p>
        </w:tc>
        <w:tc>
          <w:tcPr>
            <w:tcW w:w="1984" w:type="dxa"/>
            <w:shd w:val="clear" w:color="auto" w:fill="auto"/>
            <w:vAlign w:val="center"/>
          </w:tcPr>
          <w:p w14:paraId="6AAA1F7B" w14:textId="77777777" w:rsidR="002F3404" w:rsidRPr="00275290" w:rsidRDefault="002F3404" w:rsidP="001B6222">
            <w:pPr>
              <w:keepNext/>
              <w:jc w:val="center"/>
              <w:rPr>
                <w:rFonts w:cs="Arial"/>
              </w:rPr>
            </w:pPr>
            <w:r w:rsidRPr="00275290">
              <w:rPr>
                <w:rFonts w:cs="Arial"/>
              </w:rPr>
              <w:t>0.04</w:t>
            </w:r>
          </w:p>
        </w:tc>
        <w:tc>
          <w:tcPr>
            <w:tcW w:w="1382" w:type="dxa"/>
            <w:vAlign w:val="center"/>
          </w:tcPr>
          <w:p w14:paraId="1B86A8AC" w14:textId="77777777" w:rsidR="002F3404" w:rsidRPr="00275290" w:rsidRDefault="002F3404" w:rsidP="001B6222">
            <w:pPr>
              <w:keepNext/>
              <w:jc w:val="center"/>
              <w:rPr>
                <w:rFonts w:cs="Arial"/>
              </w:rPr>
            </w:pPr>
            <w:r w:rsidRPr="00275290">
              <w:rPr>
                <w:rFonts w:cs="Arial"/>
              </w:rPr>
              <w:t>0.2</w:t>
            </w:r>
          </w:p>
        </w:tc>
      </w:tr>
      <w:tr w:rsidR="002F3404" w:rsidRPr="00275290" w14:paraId="68D9BC7C" w14:textId="77777777" w:rsidTr="001B6222">
        <w:tc>
          <w:tcPr>
            <w:tcW w:w="2943" w:type="dxa"/>
            <w:shd w:val="clear" w:color="auto" w:fill="C6D9F1" w:themeFill="text2" w:themeFillTint="33"/>
          </w:tcPr>
          <w:p w14:paraId="0F72EE8E" w14:textId="77777777" w:rsidR="002F3404" w:rsidRPr="00275290" w:rsidRDefault="002F3404" w:rsidP="001B6222">
            <w:pPr>
              <w:keepNext/>
              <w:rPr>
                <w:rFonts w:cs="Arial"/>
                <w:b/>
              </w:rPr>
            </w:pPr>
            <w:r w:rsidRPr="00275290">
              <w:rPr>
                <w:rFonts w:cs="Arial"/>
                <w:b/>
              </w:rPr>
              <w:t>Specific AEL: liver</w:t>
            </w:r>
          </w:p>
        </w:tc>
        <w:tc>
          <w:tcPr>
            <w:tcW w:w="1929" w:type="dxa"/>
            <w:shd w:val="clear" w:color="auto" w:fill="C6D9F1" w:themeFill="text2" w:themeFillTint="33"/>
            <w:vAlign w:val="center"/>
          </w:tcPr>
          <w:p w14:paraId="47368418" w14:textId="77777777" w:rsidR="002F3404" w:rsidRPr="00275290" w:rsidRDefault="002F3404" w:rsidP="001B6222">
            <w:pPr>
              <w:keepNext/>
              <w:jc w:val="center"/>
              <w:rPr>
                <w:rFonts w:cs="Arial"/>
              </w:rPr>
            </w:pPr>
            <w:r w:rsidRPr="00275290">
              <w:rPr>
                <w:rFonts w:cs="Arial"/>
              </w:rPr>
              <w:t>0.18</w:t>
            </w:r>
          </w:p>
        </w:tc>
        <w:tc>
          <w:tcPr>
            <w:tcW w:w="1757" w:type="dxa"/>
            <w:shd w:val="clear" w:color="auto" w:fill="C6D9F1" w:themeFill="text2" w:themeFillTint="33"/>
            <w:vAlign w:val="center"/>
          </w:tcPr>
          <w:p w14:paraId="117663A4" w14:textId="77777777" w:rsidR="002F3404" w:rsidRPr="00275290" w:rsidRDefault="002F3404" w:rsidP="001B6222">
            <w:pPr>
              <w:keepNext/>
              <w:jc w:val="center"/>
              <w:rPr>
                <w:rFonts w:cs="Arial"/>
              </w:rPr>
            </w:pPr>
            <w:r w:rsidRPr="00275290">
              <w:rPr>
                <w:rFonts w:cs="Arial"/>
              </w:rPr>
              <w:t>0.06</w:t>
            </w:r>
          </w:p>
        </w:tc>
        <w:tc>
          <w:tcPr>
            <w:tcW w:w="1984" w:type="dxa"/>
            <w:shd w:val="clear" w:color="auto" w:fill="C6D9F1" w:themeFill="text2" w:themeFillTint="33"/>
            <w:vAlign w:val="center"/>
          </w:tcPr>
          <w:p w14:paraId="05D932AB" w14:textId="77777777" w:rsidR="002F3404" w:rsidRPr="00275290" w:rsidRDefault="002F3404" w:rsidP="001B6222">
            <w:pPr>
              <w:keepNext/>
              <w:jc w:val="center"/>
              <w:rPr>
                <w:rFonts w:cs="Arial"/>
              </w:rPr>
            </w:pPr>
            <w:r w:rsidRPr="00275290">
              <w:rPr>
                <w:rFonts w:cs="Arial"/>
              </w:rPr>
              <w:t>0.08</w:t>
            </w:r>
          </w:p>
        </w:tc>
        <w:tc>
          <w:tcPr>
            <w:tcW w:w="1382" w:type="dxa"/>
            <w:shd w:val="clear" w:color="auto" w:fill="C6D9F1" w:themeFill="text2" w:themeFillTint="33"/>
            <w:vAlign w:val="center"/>
          </w:tcPr>
          <w:p w14:paraId="7879846A" w14:textId="77777777" w:rsidR="002F3404" w:rsidRPr="00275290" w:rsidRDefault="002F3404" w:rsidP="001B6222">
            <w:pPr>
              <w:keepNext/>
              <w:jc w:val="center"/>
              <w:rPr>
                <w:rFonts w:cs="Arial"/>
              </w:rPr>
            </w:pPr>
            <w:r w:rsidRPr="00275290">
              <w:rPr>
                <w:rFonts w:cs="Arial"/>
              </w:rPr>
              <w:t>0.2</w:t>
            </w:r>
          </w:p>
        </w:tc>
      </w:tr>
      <w:tr w:rsidR="002F3404" w:rsidRPr="00275290" w14:paraId="6C6BB6A0" w14:textId="77777777" w:rsidTr="001B6222">
        <w:tc>
          <w:tcPr>
            <w:tcW w:w="2943" w:type="dxa"/>
            <w:shd w:val="clear" w:color="auto" w:fill="C6D9F1" w:themeFill="text2" w:themeFillTint="33"/>
          </w:tcPr>
          <w:p w14:paraId="0420C322" w14:textId="77777777" w:rsidR="002F3404" w:rsidRPr="00275290" w:rsidRDefault="002F3404" w:rsidP="001B6222">
            <w:pPr>
              <w:keepNext/>
              <w:rPr>
                <w:rFonts w:cs="Arial"/>
                <w:b/>
              </w:rPr>
            </w:pPr>
            <w:r w:rsidRPr="00275290">
              <w:rPr>
                <w:rFonts w:cs="Arial"/>
                <w:b/>
              </w:rPr>
              <w:t>Specific AEL: kidney</w:t>
            </w:r>
          </w:p>
        </w:tc>
        <w:tc>
          <w:tcPr>
            <w:tcW w:w="1929" w:type="dxa"/>
            <w:shd w:val="clear" w:color="auto" w:fill="C6D9F1" w:themeFill="text2" w:themeFillTint="33"/>
            <w:vAlign w:val="center"/>
          </w:tcPr>
          <w:p w14:paraId="77EA99E8" w14:textId="77777777" w:rsidR="002F3404" w:rsidRPr="00275290" w:rsidRDefault="002F3404" w:rsidP="001B6222">
            <w:pPr>
              <w:keepNext/>
              <w:jc w:val="center"/>
              <w:rPr>
                <w:rFonts w:cs="Arial"/>
              </w:rPr>
            </w:pPr>
            <w:r w:rsidRPr="00275290">
              <w:rPr>
                <w:rFonts w:cs="Arial"/>
              </w:rPr>
              <w:t>0.022</w:t>
            </w:r>
          </w:p>
        </w:tc>
        <w:tc>
          <w:tcPr>
            <w:tcW w:w="1757" w:type="dxa"/>
            <w:shd w:val="clear" w:color="auto" w:fill="C6D9F1" w:themeFill="text2" w:themeFillTint="33"/>
            <w:vAlign w:val="center"/>
          </w:tcPr>
          <w:p w14:paraId="7E1F6013" w14:textId="77777777" w:rsidR="002F3404" w:rsidRPr="00275290" w:rsidRDefault="002F3404" w:rsidP="001B6222">
            <w:pPr>
              <w:keepNext/>
              <w:jc w:val="center"/>
              <w:rPr>
                <w:rFonts w:cs="Arial"/>
              </w:rPr>
            </w:pPr>
            <w:r w:rsidRPr="00275290">
              <w:rPr>
                <w:rFonts w:cs="Arial"/>
              </w:rPr>
              <w:t>-</w:t>
            </w:r>
          </w:p>
        </w:tc>
        <w:tc>
          <w:tcPr>
            <w:tcW w:w="1984" w:type="dxa"/>
            <w:shd w:val="clear" w:color="auto" w:fill="C6D9F1" w:themeFill="text2" w:themeFillTint="33"/>
            <w:vAlign w:val="center"/>
          </w:tcPr>
          <w:p w14:paraId="14B5B06A" w14:textId="77777777" w:rsidR="002F3404" w:rsidRPr="00275290" w:rsidRDefault="002F3404" w:rsidP="001B6222">
            <w:pPr>
              <w:keepNext/>
              <w:jc w:val="center"/>
              <w:rPr>
                <w:rFonts w:cs="Arial"/>
              </w:rPr>
            </w:pPr>
            <w:r w:rsidRPr="00275290">
              <w:rPr>
                <w:rFonts w:cs="Arial"/>
              </w:rPr>
              <w:t>0.5</w:t>
            </w:r>
          </w:p>
        </w:tc>
        <w:tc>
          <w:tcPr>
            <w:tcW w:w="1382" w:type="dxa"/>
            <w:shd w:val="clear" w:color="auto" w:fill="C6D9F1" w:themeFill="text2" w:themeFillTint="33"/>
            <w:vAlign w:val="center"/>
          </w:tcPr>
          <w:p w14:paraId="193DA18F" w14:textId="77777777" w:rsidR="002F3404" w:rsidRPr="00275290" w:rsidRDefault="002F3404" w:rsidP="001B6222">
            <w:pPr>
              <w:keepNext/>
              <w:jc w:val="center"/>
              <w:rPr>
                <w:rFonts w:cs="Arial"/>
              </w:rPr>
            </w:pPr>
            <w:r w:rsidRPr="00275290">
              <w:rPr>
                <w:rFonts w:cs="Arial"/>
              </w:rPr>
              <w:t>0.35</w:t>
            </w:r>
          </w:p>
        </w:tc>
      </w:tr>
      <w:tr w:rsidR="002F3404" w:rsidRPr="00275290" w14:paraId="32CAAA6D" w14:textId="77777777" w:rsidTr="001B6222">
        <w:tc>
          <w:tcPr>
            <w:tcW w:w="2943" w:type="dxa"/>
            <w:shd w:val="clear" w:color="auto" w:fill="C6D9F1" w:themeFill="text2" w:themeFillTint="33"/>
          </w:tcPr>
          <w:p w14:paraId="7B4A037E" w14:textId="77777777" w:rsidR="002F3404" w:rsidRPr="00275290" w:rsidRDefault="002F3404" w:rsidP="001B6222">
            <w:pPr>
              <w:keepNext/>
              <w:rPr>
                <w:rFonts w:cs="Arial"/>
                <w:b/>
              </w:rPr>
            </w:pPr>
            <w:r w:rsidRPr="00275290">
              <w:rPr>
                <w:rFonts w:cs="Arial"/>
                <w:b/>
              </w:rPr>
              <w:t>Specific AEL: Hemato</w:t>
            </w:r>
          </w:p>
        </w:tc>
        <w:tc>
          <w:tcPr>
            <w:tcW w:w="1929" w:type="dxa"/>
            <w:shd w:val="clear" w:color="auto" w:fill="C6D9F1" w:themeFill="text2" w:themeFillTint="33"/>
            <w:vAlign w:val="center"/>
          </w:tcPr>
          <w:p w14:paraId="61750437" w14:textId="77777777" w:rsidR="002F3404" w:rsidRPr="00275290" w:rsidRDefault="002F3404" w:rsidP="001B6222">
            <w:pPr>
              <w:keepNext/>
              <w:jc w:val="center"/>
              <w:rPr>
                <w:rFonts w:cs="Arial"/>
              </w:rPr>
            </w:pPr>
            <w:r w:rsidRPr="00275290">
              <w:rPr>
                <w:rFonts w:cs="Arial"/>
              </w:rPr>
              <w:t>0.022</w:t>
            </w:r>
          </w:p>
        </w:tc>
        <w:tc>
          <w:tcPr>
            <w:tcW w:w="1757" w:type="dxa"/>
            <w:shd w:val="clear" w:color="auto" w:fill="C6D9F1" w:themeFill="text2" w:themeFillTint="33"/>
            <w:vAlign w:val="center"/>
          </w:tcPr>
          <w:p w14:paraId="612F8D2B" w14:textId="77777777" w:rsidR="002F3404" w:rsidRPr="00275290" w:rsidRDefault="002F3404" w:rsidP="001B6222">
            <w:pPr>
              <w:keepNext/>
              <w:jc w:val="center"/>
              <w:rPr>
                <w:rFonts w:cs="Arial"/>
              </w:rPr>
            </w:pPr>
            <w:r w:rsidRPr="00275290">
              <w:rPr>
                <w:rFonts w:cs="Arial"/>
              </w:rPr>
              <w:t>0.3</w:t>
            </w:r>
          </w:p>
        </w:tc>
        <w:tc>
          <w:tcPr>
            <w:tcW w:w="1984" w:type="dxa"/>
            <w:shd w:val="clear" w:color="auto" w:fill="C6D9F1" w:themeFill="text2" w:themeFillTint="33"/>
            <w:vAlign w:val="center"/>
          </w:tcPr>
          <w:p w14:paraId="784786A1" w14:textId="77777777" w:rsidR="002F3404" w:rsidRPr="00275290" w:rsidRDefault="002F3404" w:rsidP="001B6222">
            <w:pPr>
              <w:keepNext/>
              <w:jc w:val="center"/>
              <w:rPr>
                <w:rFonts w:cs="Arial"/>
              </w:rPr>
            </w:pPr>
            <w:r w:rsidRPr="00275290">
              <w:rPr>
                <w:rFonts w:cs="Arial"/>
              </w:rPr>
              <w:t>0.761</w:t>
            </w:r>
          </w:p>
        </w:tc>
        <w:tc>
          <w:tcPr>
            <w:tcW w:w="1382" w:type="dxa"/>
            <w:shd w:val="clear" w:color="auto" w:fill="C6D9F1" w:themeFill="text2" w:themeFillTint="33"/>
            <w:vAlign w:val="center"/>
          </w:tcPr>
          <w:p w14:paraId="6B04D0C9" w14:textId="77777777" w:rsidR="002F3404" w:rsidRPr="00275290" w:rsidRDefault="002F3404" w:rsidP="001B6222">
            <w:pPr>
              <w:keepNext/>
              <w:jc w:val="center"/>
              <w:rPr>
                <w:rFonts w:cs="Arial"/>
              </w:rPr>
            </w:pPr>
          </w:p>
        </w:tc>
      </w:tr>
      <w:tr w:rsidR="002F3404" w:rsidRPr="00275290" w14:paraId="47CFADD5" w14:textId="77777777" w:rsidTr="001B6222">
        <w:tc>
          <w:tcPr>
            <w:tcW w:w="2943" w:type="dxa"/>
            <w:shd w:val="clear" w:color="auto" w:fill="C6D9F1" w:themeFill="text2" w:themeFillTint="33"/>
          </w:tcPr>
          <w:p w14:paraId="23F8F7BC" w14:textId="77777777" w:rsidR="002F3404" w:rsidRPr="00275290" w:rsidRDefault="002F3404" w:rsidP="001B6222">
            <w:pPr>
              <w:keepNext/>
              <w:rPr>
                <w:rFonts w:cs="Arial"/>
                <w:b/>
              </w:rPr>
            </w:pPr>
            <w:r w:rsidRPr="00275290">
              <w:rPr>
                <w:rFonts w:cs="Arial"/>
                <w:b/>
              </w:rPr>
              <w:t>Specific AEL:  adrenals</w:t>
            </w:r>
          </w:p>
        </w:tc>
        <w:tc>
          <w:tcPr>
            <w:tcW w:w="1929" w:type="dxa"/>
            <w:shd w:val="clear" w:color="auto" w:fill="C6D9F1" w:themeFill="text2" w:themeFillTint="33"/>
            <w:vAlign w:val="center"/>
          </w:tcPr>
          <w:p w14:paraId="21449C80" w14:textId="77777777" w:rsidR="002F3404" w:rsidRPr="00275290" w:rsidRDefault="002F3404" w:rsidP="001B6222">
            <w:pPr>
              <w:keepNext/>
              <w:jc w:val="center"/>
              <w:rPr>
                <w:rFonts w:cs="Arial"/>
              </w:rPr>
            </w:pPr>
          </w:p>
        </w:tc>
        <w:tc>
          <w:tcPr>
            <w:tcW w:w="1757" w:type="dxa"/>
            <w:shd w:val="clear" w:color="auto" w:fill="C6D9F1" w:themeFill="text2" w:themeFillTint="33"/>
            <w:vAlign w:val="center"/>
          </w:tcPr>
          <w:p w14:paraId="60348CA0" w14:textId="77777777" w:rsidR="002F3404" w:rsidRPr="00275290" w:rsidRDefault="002F3404" w:rsidP="001B6222">
            <w:pPr>
              <w:keepNext/>
              <w:jc w:val="center"/>
              <w:rPr>
                <w:rFonts w:cs="Arial"/>
              </w:rPr>
            </w:pPr>
            <w:r w:rsidRPr="00275290">
              <w:rPr>
                <w:rFonts w:cs="Arial"/>
              </w:rPr>
              <w:t>0.03</w:t>
            </w:r>
          </w:p>
        </w:tc>
        <w:tc>
          <w:tcPr>
            <w:tcW w:w="1984" w:type="dxa"/>
            <w:shd w:val="clear" w:color="auto" w:fill="C6D9F1" w:themeFill="text2" w:themeFillTint="33"/>
            <w:vAlign w:val="center"/>
          </w:tcPr>
          <w:p w14:paraId="5B03C3D2" w14:textId="77777777" w:rsidR="002F3404" w:rsidRPr="00275290" w:rsidRDefault="002F3404" w:rsidP="001B6222">
            <w:pPr>
              <w:keepNext/>
              <w:jc w:val="center"/>
              <w:rPr>
                <w:rFonts w:cs="Arial"/>
              </w:rPr>
            </w:pPr>
            <w:r w:rsidRPr="00275290">
              <w:rPr>
                <w:rFonts w:cs="Arial"/>
              </w:rPr>
              <w:t>0.04</w:t>
            </w:r>
          </w:p>
        </w:tc>
        <w:tc>
          <w:tcPr>
            <w:tcW w:w="1382" w:type="dxa"/>
            <w:shd w:val="clear" w:color="auto" w:fill="C6D9F1" w:themeFill="text2" w:themeFillTint="33"/>
            <w:vAlign w:val="center"/>
          </w:tcPr>
          <w:p w14:paraId="3A7C2622" w14:textId="77777777" w:rsidR="002F3404" w:rsidRPr="00275290" w:rsidRDefault="002F3404" w:rsidP="001B6222">
            <w:pPr>
              <w:keepNext/>
              <w:jc w:val="center"/>
              <w:rPr>
                <w:rFonts w:cs="Arial"/>
              </w:rPr>
            </w:pPr>
          </w:p>
        </w:tc>
      </w:tr>
      <w:tr w:rsidR="002F3404" w:rsidRPr="00275290" w14:paraId="15DDB731" w14:textId="77777777" w:rsidTr="001B6222">
        <w:tc>
          <w:tcPr>
            <w:tcW w:w="2943" w:type="dxa"/>
            <w:shd w:val="clear" w:color="auto" w:fill="C6D9F1" w:themeFill="text2" w:themeFillTint="33"/>
          </w:tcPr>
          <w:p w14:paraId="054CA929" w14:textId="77777777" w:rsidR="002F3404" w:rsidRPr="00275290" w:rsidRDefault="002F3404" w:rsidP="001B6222">
            <w:pPr>
              <w:rPr>
                <w:rFonts w:cs="Arial"/>
                <w:b/>
              </w:rPr>
            </w:pPr>
            <w:r w:rsidRPr="00275290">
              <w:rPr>
                <w:rFonts w:cs="Arial"/>
                <w:b/>
              </w:rPr>
              <w:t>Specific AEL:  lungs</w:t>
            </w:r>
          </w:p>
        </w:tc>
        <w:tc>
          <w:tcPr>
            <w:tcW w:w="1929" w:type="dxa"/>
            <w:shd w:val="clear" w:color="auto" w:fill="C6D9F1" w:themeFill="text2" w:themeFillTint="33"/>
            <w:vAlign w:val="center"/>
          </w:tcPr>
          <w:p w14:paraId="69024922" w14:textId="77777777" w:rsidR="002F3404" w:rsidRPr="00275290" w:rsidRDefault="002F3404" w:rsidP="001B6222">
            <w:pPr>
              <w:jc w:val="center"/>
              <w:rPr>
                <w:rFonts w:cs="Arial"/>
              </w:rPr>
            </w:pPr>
            <w:r w:rsidRPr="00275290">
              <w:rPr>
                <w:rFonts w:cs="Arial"/>
              </w:rPr>
              <w:t>0.07</w:t>
            </w:r>
          </w:p>
        </w:tc>
        <w:tc>
          <w:tcPr>
            <w:tcW w:w="1757" w:type="dxa"/>
            <w:shd w:val="clear" w:color="auto" w:fill="C6D9F1" w:themeFill="text2" w:themeFillTint="33"/>
            <w:vAlign w:val="center"/>
          </w:tcPr>
          <w:p w14:paraId="17BC82E2" w14:textId="77777777" w:rsidR="002F3404" w:rsidRPr="00275290" w:rsidRDefault="002F3404" w:rsidP="001B6222">
            <w:pPr>
              <w:jc w:val="center"/>
              <w:rPr>
                <w:rFonts w:cs="Arial"/>
              </w:rPr>
            </w:pPr>
          </w:p>
        </w:tc>
        <w:tc>
          <w:tcPr>
            <w:tcW w:w="1984" w:type="dxa"/>
            <w:shd w:val="clear" w:color="auto" w:fill="C6D9F1" w:themeFill="text2" w:themeFillTint="33"/>
            <w:vAlign w:val="center"/>
          </w:tcPr>
          <w:p w14:paraId="35F5D04C" w14:textId="77777777" w:rsidR="002F3404" w:rsidRPr="00275290" w:rsidRDefault="002F3404" w:rsidP="001B6222">
            <w:pPr>
              <w:jc w:val="center"/>
              <w:rPr>
                <w:rFonts w:cs="Arial"/>
              </w:rPr>
            </w:pPr>
          </w:p>
        </w:tc>
        <w:tc>
          <w:tcPr>
            <w:tcW w:w="1382" w:type="dxa"/>
            <w:shd w:val="clear" w:color="auto" w:fill="C6D9F1" w:themeFill="text2" w:themeFillTint="33"/>
            <w:vAlign w:val="center"/>
          </w:tcPr>
          <w:p w14:paraId="3244D64B" w14:textId="77777777" w:rsidR="002F3404" w:rsidRPr="00275290" w:rsidRDefault="002F3404" w:rsidP="001B6222">
            <w:pPr>
              <w:jc w:val="center"/>
              <w:rPr>
                <w:rFonts w:cs="Arial"/>
              </w:rPr>
            </w:pPr>
            <w:r w:rsidRPr="00275290">
              <w:rPr>
                <w:rFonts w:cs="Arial"/>
              </w:rPr>
              <w:t>0.2</w:t>
            </w:r>
          </w:p>
        </w:tc>
      </w:tr>
    </w:tbl>
    <w:p w14:paraId="75C99243" w14:textId="77777777" w:rsidR="002F3404" w:rsidRPr="00275290" w:rsidRDefault="002F3404" w:rsidP="002F3404">
      <w:pPr>
        <w:pStyle w:val="BfRBBStandard"/>
        <w:rPr>
          <w:rFonts w:ascii="Verdana" w:eastAsia="Times New Roman" w:hAnsi="Verdana"/>
          <w:sz w:val="20"/>
          <w:szCs w:val="20"/>
          <w:lang w:val="en-GB" w:eastAsia="sv-SE"/>
        </w:rPr>
      </w:pPr>
    </w:p>
    <w:p w14:paraId="50FD0EC6" w14:textId="77777777" w:rsidR="002F3404" w:rsidRPr="00275290" w:rsidRDefault="002F3404" w:rsidP="002F3404">
      <w:pPr>
        <w:pStyle w:val="BfRBBStandard"/>
        <w:rPr>
          <w:rFonts w:ascii="Verdana" w:eastAsia="Times New Roman" w:hAnsi="Verdana"/>
          <w:sz w:val="20"/>
          <w:szCs w:val="20"/>
          <w:lang w:val="en-GB" w:eastAsia="sv-SE"/>
        </w:rPr>
      </w:pPr>
    </w:p>
    <w:p w14:paraId="172C9421"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comparison of the exposure values during the application and the cleaning with the specific AELs leads to the following results:</w:t>
      </w:r>
    </w:p>
    <w:p w14:paraId="243B736E" w14:textId="77777777" w:rsidR="002F3404" w:rsidRPr="00275290" w:rsidRDefault="002F3404" w:rsidP="002F3404">
      <w:pPr>
        <w:pStyle w:val="BfRBBStandard"/>
        <w:rPr>
          <w:rFonts w:ascii="Verdana" w:eastAsia="Times New Roman" w:hAnsi="Verdana"/>
          <w:sz w:val="20"/>
          <w:szCs w:val="20"/>
          <w:lang w:val="en-GB" w:eastAsia="sv-SE"/>
        </w:rPr>
      </w:pPr>
    </w:p>
    <w:tbl>
      <w:tblPr>
        <w:tblW w:w="9864" w:type="dxa"/>
        <w:tblInd w:w="55" w:type="dxa"/>
        <w:tblCellMar>
          <w:left w:w="70" w:type="dxa"/>
          <w:right w:w="70" w:type="dxa"/>
        </w:tblCellMar>
        <w:tblLook w:val="04A0" w:firstRow="1" w:lastRow="0" w:firstColumn="1" w:lastColumn="0" w:noHBand="0" w:noVBand="1"/>
      </w:tblPr>
      <w:tblGrid>
        <w:gridCol w:w="2425"/>
        <w:gridCol w:w="1936"/>
        <w:gridCol w:w="1721"/>
        <w:gridCol w:w="1681"/>
        <w:gridCol w:w="1108"/>
        <w:gridCol w:w="1108"/>
      </w:tblGrid>
      <w:tr w:rsidR="002F3404" w:rsidRPr="00275290" w14:paraId="7A32434C" w14:textId="77777777" w:rsidTr="001B6222">
        <w:trPr>
          <w:gridAfter w:val="1"/>
          <w:wAfter w:w="1108" w:type="dxa"/>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81AB4" w14:textId="77777777" w:rsidR="002F3404" w:rsidRPr="00275290" w:rsidRDefault="002F3404" w:rsidP="001B6222">
            <w:pPr>
              <w:rPr>
                <w:rFonts w:cs="Arial"/>
                <w:color w:val="000000"/>
                <w:lang w:val="en-US" w:eastAsia="fr-FR"/>
              </w:rPr>
            </w:pPr>
            <w:r w:rsidRPr="00275290">
              <w:rPr>
                <w:rFonts w:cs="Arial"/>
                <w:color w:val="000000"/>
                <w:lang w:val="en-US" w:eastAsia="fr-FR"/>
              </w:rPr>
              <w:t> </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72B539C3" w14:textId="77777777" w:rsidR="002F3404" w:rsidRPr="00275290" w:rsidRDefault="002F3404" w:rsidP="001B6222">
            <w:pPr>
              <w:rPr>
                <w:rFonts w:cs="Arial"/>
                <w:color w:val="000000"/>
                <w:lang w:val="fr-FR" w:eastAsia="fr-FR"/>
              </w:rPr>
            </w:pPr>
            <w:r w:rsidRPr="00275290">
              <w:rPr>
                <w:rFonts w:cs="Arial"/>
                <w:b/>
              </w:rPr>
              <w:t>Cyperméthrine</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2D75EDE5" w14:textId="77777777" w:rsidR="002F3404" w:rsidRPr="00275290" w:rsidRDefault="002F3404" w:rsidP="001B6222">
            <w:pPr>
              <w:rPr>
                <w:rFonts w:cs="Arial"/>
                <w:color w:val="000000"/>
                <w:lang w:val="fr-FR" w:eastAsia="fr-FR"/>
              </w:rPr>
            </w:pPr>
            <w:r w:rsidRPr="00275290">
              <w:rPr>
                <w:rFonts w:cs="Arial"/>
                <w:b/>
              </w:rPr>
              <w:t>Propiconazole</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14:paraId="20342E01" w14:textId="77777777" w:rsidR="002F3404" w:rsidRPr="00275290" w:rsidRDefault="002F3404" w:rsidP="001B6222">
            <w:pPr>
              <w:rPr>
                <w:rFonts w:cs="Arial"/>
                <w:color w:val="000000"/>
                <w:lang w:val="fr-FR" w:eastAsia="fr-FR"/>
              </w:rPr>
            </w:pPr>
            <w:r w:rsidRPr="00275290">
              <w:rPr>
                <w:rFonts w:cs="Arial"/>
                <w:b/>
              </w:rPr>
              <w:t>Tébuconazole</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0CD59E9A" w14:textId="77777777" w:rsidR="002F3404" w:rsidRPr="00275290" w:rsidRDefault="002F3404" w:rsidP="001B6222">
            <w:pPr>
              <w:rPr>
                <w:rFonts w:cs="Arial"/>
                <w:color w:val="000000"/>
                <w:lang w:val="fr-FR" w:eastAsia="fr-FR"/>
              </w:rPr>
            </w:pPr>
            <w:r w:rsidRPr="00275290">
              <w:rPr>
                <w:rFonts w:cs="Arial"/>
                <w:b/>
              </w:rPr>
              <w:t>IPBC</w:t>
            </w:r>
          </w:p>
        </w:tc>
      </w:tr>
      <w:tr w:rsidR="002F3404" w:rsidRPr="00275290" w14:paraId="2FB3F9FE" w14:textId="77777777" w:rsidTr="001B6222">
        <w:trPr>
          <w:trHeight w:val="315"/>
        </w:trPr>
        <w:tc>
          <w:tcPr>
            <w:tcW w:w="8756" w:type="dxa"/>
            <w:gridSpan w:val="5"/>
            <w:tcBorders>
              <w:top w:val="single" w:sz="4" w:space="0" w:color="auto"/>
              <w:left w:val="single" w:sz="4" w:space="0" w:color="auto"/>
              <w:bottom w:val="single" w:sz="4" w:space="0" w:color="auto"/>
              <w:right w:val="single" w:sz="4" w:space="0" w:color="auto"/>
            </w:tcBorders>
            <w:shd w:val="clear" w:color="000000" w:fill="F79646"/>
            <w:vAlign w:val="bottom"/>
            <w:hideMark/>
          </w:tcPr>
          <w:p w14:paraId="754CB424" w14:textId="77777777" w:rsidR="002F3404" w:rsidRPr="00275290" w:rsidRDefault="002F3404" w:rsidP="001B6222">
            <w:pPr>
              <w:rPr>
                <w:rFonts w:cs="Arial"/>
                <w:color w:val="000000"/>
                <w:lang w:val="en-US" w:eastAsia="fr-FR"/>
              </w:rPr>
            </w:pPr>
            <w:r w:rsidRPr="00275290">
              <w:rPr>
                <w:rFonts w:cs="Arial"/>
                <w:color w:val="000000"/>
                <w:lang w:val="en-US" w:eastAsia="fr-FR"/>
              </w:rPr>
              <w:t>combined exposure appli cleaning and residue</w:t>
            </w:r>
          </w:p>
        </w:tc>
        <w:tc>
          <w:tcPr>
            <w:tcW w:w="1108" w:type="dxa"/>
            <w:tcBorders>
              <w:top w:val="nil"/>
              <w:left w:val="nil"/>
              <w:bottom w:val="nil"/>
              <w:right w:val="nil"/>
            </w:tcBorders>
            <w:shd w:val="clear" w:color="auto" w:fill="auto"/>
            <w:noWrap/>
            <w:vAlign w:val="bottom"/>
            <w:hideMark/>
          </w:tcPr>
          <w:p w14:paraId="1AA7BABF" w14:textId="77777777" w:rsidR="002F3404" w:rsidRPr="00275290" w:rsidRDefault="002F3404" w:rsidP="001B6222">
            <w:pPr>
              <w:rPr>
                <w:rFonts w:cs="Arial"/>
                <w:color w:val="000000"/>
                <w:lang w:val="en-US" w:eastAsia="fr-FR"/>
              </w:rPr>
            </w:pPr>
          </w:p>
        </w:tc>
      </w:tr>
      <w:tr w:rsidR="002F3404" w:rsidRPr="00275290" w14:paraId="385D23BF" w14:textId="77777777" w:rsidTr="00B7552D">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68A5F7D" w14:textId="58F989F3" w:rsidR="002F3404" w:rsidRPr="00275290" w:rsidRDefault="002F3404" w:rsidP="001B6222">
            <w:pPr>
              <w:rPr>
                <w:rFonts w:cs="Arial"/>
                <w:color w:val="000000"/>
                <w:lang w:val="en-US" w:eastAsia="fr-FR"/>
              </w:rPr>
            </w:pPr>
            <w:r w:rsidRPr="00275290">
              <w:rPr>
                <w:rFonts w:cs="Arial"/>
                <w:color w:val="000000"/>
                <w:lang w:val="en-US" w:eastAsia="fr-FR"/>
              </w:rPr>
              <w:t xml:space="preserve">Exposure </w:t>
            </w:r>
            <w:r w:rsidRPr="00275290">
              <w:rPr>
                <w:rFonts w:cs="Arial"/>
                <w:lang w:val="en-US"/>
              </w:rPr>
              <w:t>with gloves and impermeable coverall during spraying and gloves and coated coverall during cleaning</w:t>
            </w:r>
          </w:p>
        </w:tc>
        <w:tc>
          <w:tcPr>
            <w:tcW w:w="1936" w:type="dxa"/>
            <w:tcBorders>
              <w:top w:val="nil"/>
              <w:left w:val="nil"/>
              <w:bottom w:val="single" w:sz="4" w:space="0" w:color="auto"/>
              <w:right w:val="single" w:sz="4" w:space="0" w:color="auto"/>
            </w:tcBorders>
            <w:shd w:val="clear" w:color="auto" w:fill="auto"/>
            <w:noWrap/>
            <w:vAlign w:val="center"/>
            <w:hideMark/>
          </w:tcPr>
          <w:p w14:paraId="2831C53F" w14:textId="77777777" w:rsidR="002F3404" w:rsidRPr="002F3404" w:rsidRDefault="002F3404" w:rsidP="002F3404">
            <w:pPr>
              <w:rPr>
                <w:rFonts w:cs="Calibri"/>
                <w:color w:val="000000"/>
              </w:rPr>
            </w:pPr>
            <w:r w:rsidRPr="002F3404">
              <w:rPr>
                <w:rFonts w:cs="Calibri"/>
                <w:color w:val="000000"/>
              </w:rPr>
              <w:t>1,04E-02</w:t>
            </w:r>
          </w:p>
          <w:p w14:paraId="257E0C90" w14:textId="75F17743" w:rsidR="002F3404" w:rsidRPr="00275290" w:rsidRDefault="002F3404" w:rsidP="002F3404">
            <w:pPr>
              <w:rPr>
                <w:rFonts w:cs="Arial"/>
                <w:color w:val="000000"/>
                <w:lang w:val="fr-FR" w:eastAsia="fr-FR"/>
              </w:rPr>
            </w:pPr>
          </w:p>
        </w:tc>
        <w:tc>
          <w:tcPr>
            <w:tcW w:w="1663" w:type="dxa"/>
            <w:tcBorders>
              <w:top w:val="nil"/>
              <w:left w:val="nil"/>
              <w:bottom w:val="single" w:sz="4" w:space="0" w:color="auto"/>
              <w:right w:val="single" w:sz="4" w:space="0" w:color="auto"/>
            </w:tcBorders>
            <w:shd w:val="clear" w:color="auto" w:fill="auto"/>
            <w:noWrap/>
            <w:vAlign w:val="center"/>
          </w:tcPr>
          <w:p w14:paraId="023E6979" w14:textId="77777777" w:rsidR="002F3404" w:rsidRPr="002F3404" w:rsidRDefault="002F3404" w:rsidP="002F3404">
            <w:pPr>
              <w:rPr>
                <w:rFonts w:cs="Calibri"/>
                <w:color w:val="000000"/>
              </w:rPr>
            </w:pPr>
            <w:r w:rsidRPr="002F3404">
              <w:rPr>
                <w:rFonts w:cs="Calibri"/>
                <w:color w:val="000000"/>
              </w:rPr>
              <w:t>1,61E-02</w:t>
            </w:r>
          </w:p>
          <w:p w14:paraId="6FB4B518" w14:textId="7CB3B89B" w:rsidR="002F3404" w:rsidRPr="00275290" w:rsidRDefault="002F3404" w:rsidP="001B6222">
            <w:pPr>
              <w:rPr>
                <w:rFonts w:cs="Arial"/>
                <w:color w:val="000000"/>
                <w:lang w:val="fr-FR" w:eastAsia="fr-FR"/>
              </w:rPr>
            </w:pPr>
          </w:p>
        </w:tc>
        <w:tc>
          <w:tcPr>
            <w:tcW w:w="1624" w:type="dxa"/>
            <w:tcBorders>
              <w:top w:val="nil"/>
              <w:left w:val="nil"/>
              <w:bottom w:val="single" w:sz="4" w:space="0" w:color="auto"/>
              <w:right w:val="single" w:sz="4" w:space="0" w:color="auto"/>
            </w:tcBorders>
            <w:shd w:val="clear" w:color="auto" w:fill="auto"/>
            <w:noWrap/>
            <w:vAlign w:val="center"/>
          </w:tcPr>
          <w:p w14:paraId="1CA1D173" w14:textId="16CE7C70" w:rsidR="002F3404" w:rsidRPr="002F3404" w:rsidRDefault="00FA3079" w:rsidP="002F3404">
            <w:pPr>
              <w:rPr>
                <w:rFonts w:cs="Calibri"/>
                <w:color w:val="000000"/>
              </w:rPr>
            </w:pPr>
            <w:r>
              <w:rPr>
                <w:rFonts w:cs="Calibri"/>
                <w:color w:val="000000"/>
              </w:rPr>
              <w:t>5.75</w:t>
            </w:r>
            <w:r w:rsidR="002F3404" w:rsidRPr="002F3404">
              <w:rPr>
                <w:rFonts w:cs="Calibri"/>
                <w:color w:val="000000"/>
              </w:rPr>
              <w:t>E-03</w:t>
            </w:r>
          </w:p>
          <w:p w14:paraId="0294502F" w14:textId="05D5F8BA"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single" w:sz="4" w:space="0" w:color="auto"/>
            </w:tcBorders>
            <w:shd w:val="clear" w:color="auto" w:fill="auto"/>
            <w:noWrap/>
            <w:vAlign w:val="center"/>
          </w:tcPr>
          <w:p w14:paraId="0ED4D54C" w14:textId="4B792F37" w:rsidR="002F3404" w:rsidRPr="00275290" w:rsidRDefault="002F3404" w:rsidP="001B6222">
            <w:pPr>
              <w:rPr>
                <w:rFonts w:cs="Arial"/>
                <w:color w:val="000000"/>
                <w:lang w:val="fr-FR" w:eastAsia="fr-FR"/>
              </w:rPr>
            </w:pPr>
            <w:r w:rsidRPr="002F3404">
              <w:rPr>
                <w:rFonts w:cs="Calibri"/>
                <w:color w:val="000000"/>
              </w:rPr>
              <w:t>1.23E-02</w:t>
            </w:r>
          </w:p>
        </w:tc>
        <w:tc>
          <w:tcPr>
            <w:tcW w:w="1108" w:type="dxa"/>
            <w:tcBorders>
              <w:top w:val="nil"/>
              <w:left w:val="nil"/>
              <w:bottom w:val="nil"/>
              <w:right w:val="nil"/>
            </w:tcBorders>
            <w:shd w:val="clear" w:color="auto" w:fill="auto"/>
            <w:noWrap/>
            <w:vAlign w:val="bottom"/>
            <w:hideMark/>
          </w:tcPr>
          <w:p w14:paraId="16077D43" w14:textId="77777777" w:rsidR="002F3404" w:rsidRPr="00275290" w:rsidRDefault="002F3404" w:rsidP="001B6222">
            <w:pPr>
              <w:rPr>
                <w:rFonts w:cs="Arial"/>
                <w:color w:val="000000"/>
                <w:lang w:val="fr-FR" w:eastAsia="fr-FR"/>
              </w:rPr>
            </w:pPr>
          </w:p>
        </w:tc>
      </w:tr>
      <w:tr w:rsidR="002F3404" w:rsidRPr="00275290" w14:paraId="148C29B5" w14:textId="77777777" w:rsidTr="001B6222">
        <w:trPr>
          <w:trHeight w:val="300"/>
        </w:trPr>
        <w:tc>
          <w:tcPr>
            <w:tcW w:w="2425" w:type="dxa"/>
            <w:tcBorders>
              <w:top w:val="nil"/>
              <w:left w:val="nil"/>
              <w:bottom w:val="single" w:sz="4" w:space="0" w:color="auto"/>
              <w:right w:val="nil"/>
            </w:tcBorders>
            <w:shd w:val="clear" w:color="auto" w:fill="auto"/>
            <w:noWrap/>
            <w:vAlign w:val="bottom"/>
            <w:hideMark/>
          </w:tcPr>
          <w:p w14:paraId="683116E6" w14:textId="77777777" w:rsidR="002F3404" w:rsidRPr="00275290" w:rsidRDefault="002F3404" w:rsidP="001B6222">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3E485E74" w14:textId="77777777" w:rsidR="002F3404" w:rsidRPr="00275290" w:rsidRDefault="002F3404" w:rsidP="001B6222">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795C6D5E" w14:textId="77777777" w:rsidR="002F3404" w:rsidRPr="00275290" w:rsidRDefault="002F3404" w:rsidP="001B6222">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69DC9832"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4EC7A954"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5CB7DC52" w14:textId="77777777" w:rsidR="002F3404" w:rsidRPr="00275290" w:rsidRDefault="002F3404" w:rsidP="001B6222">
            <w:pPr>
              <w:rPr>
                <w:rFonts w:cs="Arial"/>
                <w:color w:val="000000"/>
                <w:lang w:val="fr-FR" w:eastAsia="fr-FR"/>
              </w:rPr>
            </w:pPr>
          </w:p>
        </w:tc>
      </w:tr>
      <w:tr w:rsidR="002F3404" w:rsidRPr="00275290" w14:paraId="650F35DA" w14:textId="77777777" w:rsidTr="001B6222">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8B827" w14:textId="77777777" w:rsidR="002F3404" w:rsidRPr="00275290" w:rsidRDefault="002F3404" w:rsidP="001B6222">
            <w:pPr>
              <w:rPr>
                <w:rFonts w:cs="Arial"/>
                <w:color w:val="000000"/>
                <w:lang w:val="fr-FR" w:eastAsia="fr-FR"/>
              </w:rPr>
            </w:pPr>
            <w:r w:rsidRPr="00275290">
              <w:rPr>
                <w:rFonts w:cs="Arial"/>
                <w:color w:val="000000"/>
                <w:lang w:val="fr-FR" w:eastAsia="fr-FR"/>
              </w:rPr>
              <w:t>AEL liver</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152DA13D" w14:textId="77777777" w:rsidR="002F3404" w:rsidRPr="00275290" w:rsidRDefault="002F3404" w:rsidP="001B6222">
            <w:pPr>
              <w:rPr>
                <w:rFonts w:cs="Arial"/>
                <w:lang w:val="fr-FR" w:eastAsia="fr-FR"/>
              </w:rPr>
            </w:pPr>
            <w:r>
              <w:rPr>
                <w:rFonts w:cs="Calibri"/>
                <w:color w:val="000000"/>
              </w:rPr>
              <w:t>0.18</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128F584F" w14:textId="77777777" w:rsidR="002F3404" w:rsidRPr="00275290" w:rsidRDefault="002F3404" w:rsidP="001B6222">
            <w:pPr>
              <w:rPr>
                <w:rFonts w:cs="Arial"/>
                <w:lang w:val="fr-FR" w:eastAsia="fr-FR"/>
              </w:rPr>
            </w:pPr>
            <w:r>
              <w:rPr>
                <w:rFonts w:cs="Calibri"/>
                <w:color w:val="000000"/>
              </w:rPr>
              <w:t>0.08</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203B9C8D" w14:textId="77777777" w:rsidR="002F3404" w:rsidRPr="00275290" w:rsidRDefault="002F3404" w:rsidP="001B6222">
            <w:pPr>
              <w:rPr>
                <w:rFonts w:cs="Arial"/>
                <w:lang w:val="fr-FR" w:eastAsia="fr-FR"/>
              </w:rPr>
            </w:pPr>
            <w:r>
              <w:rPr>
                <w:rFonts w:cs="Calibri"/>
                <w:color w:val="000000"/>
              </w:rPr>
              <w:t>0.06</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29F19C80" w14:textId="77777777" w:rsidR="002F3404" w:rsidRPr="00275290" w:rsidRDefault="002F3404" w:rsidP="001B6222">
            <w:pPr>
              <w:rPr>
                <w:rFonts w:cs="Arial"/>
                <w:lang w:val="fr-FR" w:eastAsia="fr-FR"/>
              </w:rPr>
            </w:pPr>
            <w:r>
              <w:rPr>
                <w:rFonts w:cs="Calibri"/>
                <w:color w:val="000000"/>
              </w:rPr>
              <w:t>0.2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350D94B8" w14:textId="77777777" w:rsidR="002F3404" w:rsidRPr="00275290" w:rsidRDefault="002F3404" w:rsidP="001B6222">
            <w:pPr>
              <w:rPr>
                <w:rFonts w:cs="Arial"/>
                <w:b/>
                <w:color w:val="000000"/>
                <w:lang w:val="fr-FR" w:eastAsia="fr-FR"/>
              </w:rPr>
            </w:pPr>
            <w:r w:rsidRPr="00275290">
              <w:rPr>
                <w:rFonts w:cs="Arial"/>
                <w:b/>
                <w:color w:val="000000"/>
                <w:lang w:val="fr-FR" w:eastAsia="fr-FR"/>
              </w:rPr>
              <w:t>HI</w:t>
            </w:r>
          </w:p>
        </w:tc>
      </w:tr>
      <w:tr w:rsidR="002F3404" w:rsidRPr="00275290" w14:paraId="6DEEC874" w14:textId="77777777" w:rsidTr="001B6222">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391D253" w14:textId="77777777" w:rsidR="002F3404" w:rsidRPr="00275290" w:rsidRDefault="002F3404" w:rsidP="001B6222">
            <w:pPr>
              <w:rPr>
                <w:rFonts w:cs="Arial"/>
                <w:color w:val="000000"/>
                <w:lang w:val="fr-FR" w:eastAsia="fr-FR"/>
              </w:rPr>
            </w:pPr>
            <w:r w:rsidRPr="00275290">
              <w:rPr>
                <w:rFonts w:cs="Arial"/>
                <w:color w:val="000000"/>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5C3E83BB" w14:textId="2E03840E" w:rsidR="002F3404" w:rsidRPr="00275290" w:rsidRDefault="002F3404" w:rsidP="001B6222">
            <w:pPr>
              <w:rPr>
                <w:rFonts w:cs="Arial"/>
                <w:color w:val="000000"/>
                <w:lang w:val="fr-FR" w:eastAsia="fr-FR"/>
              </w:rPr>
            </w:pPr>
            <w:r>
              <w:rPr>
                <w:rFonts w:cs="Calibri"/>
                <w:color w:val="000000"/>
              </w:rPr>
              <w:t>6%</w:t>
            </w:r>
          </w:p>
        </w:tc>
        <w:tc>
          <w:tcPr>
            <w:tcW w:w="1663" w:type="dxa"/>
            <w:tcBorders>
              <w:top w:val="nil"/>
              <w:left w:val="nil"/>
              <w:bottom w:val="single" w:sz="4" w:space="0" w:color="auto"/>
              <w:right w:val="single" w:sz="4" w:space="0" w:color="auto"/>
            </w:tcBorders>
            <w:shd w:val="clear" w:color="auto" w:fill="auto"/>
            <w:noWrap/>
            <w:vAlign w:val="center"/>
            <w:hideMark/>
          </w:tcPr>
          <w:p w14:paraId="65508502" w14:textId="5B0077F1" w:rsidR="002F3404" w:rsidRPr="00275290" w:rsidRDefault="002F3404" w:rsidP="002F3404">
            <w:pPr>
              <w:rPr>
                <w:rFonts w:cs="Arial"/>
                <w:color w:val="000000"/>
                <w:lang w:val="fr-FR" w:eastAsia="fr-FR"/>
              </w:rPr>
            </w:pPr>
            <w:r>
              <w:rPr>
                <w:rFonts w:cs="Calibri"/>
                <w:color w:val="000000"/>
              </w:rPr>
              <w:t>20%</w:t>
            </w:r>
          </w:p>
        </w:tc>
        <w:tc>
          <w:tcPr>
            <w:tcW w:w="1624" w:type="dxa"/>
            <w:tcBorders>
              <w:top w:val="nil"/>
              <w:left w:val="nil"/>
              <w:bottom w:val="single" w:sz="4" w:space="0" w:color="auto"/>
              <w:right w:val="single" w:sz="4" w:space="0" w:color="auto"/>
            </w:tcBorders>
            <w:shd w:val="clear" w:color="auto" w:fill="auto"/>
            <w:noWrap/>
            <w:vAlign w:val="center"/>
            <w:hideMark/>
          </w:tcPr>
          <w:p w14:paraId="5D0B8307" w14:textId="77777777" w:rsidR="002F3404" w:rsidRPr="00275290" w:rsidRDefault="002F3404" w:rsidP="001B6222">
            <w:pPr>
              <w:rPr>
                <w:rFonts w:cs="Arial"/>
                <w:color w:val="000000"/>
                <w:lang w:val="fr-FR" w:eastAsia="fr-FR"/>
              </w:rPr>
            </w:pPr>
            <w:r>
              <w:rPr>
                <w:rFonts w:cs="Calibri"/>
                <w:color w:val="000000"/>
              </w:rPr>
              <w:t>10%</w:t>
            </w:r>
          </w:p>
        </w:tc>
        <w:tc>
          <w:tcPr>
            <w:tcW w:w="1108" w:type="dxa"/>
            <w:tcBorders>
              <w:top w:val="nil"/>
              <w:left w:val="nil"/>
              <w:bottom w:val="single" w:sz="4" w:space="0" w:color="auto"/>
              <w:right w:val="single" w:sz="4" w:space="0" w:color="auto"/>
            </w:tcBorders>
            <w:shd w:val="clear" w:color="auto" w:fill="auto"/>
            <w:noWrap/>
            <w:vAlign w:val="center"/>
            <w:hideMark/>
          </w:tcPr>
          <w:p w14:paraId="1DAE9390" w14:textId="77777777" w:rsidR="002F3404" w:rsidRPr="00275290" w:rsidRDefault="002F3404" w:rsidP="001B6222">
            <w:pPr>
              <w:rPr>
                <w:rFonts w:cs="Arial"/>
                <w:color w:val="000000"/>
                <w:lang w:val="fr-FR" w:eastAsia="fr-FR"/>
              </w:rPr>
            </w:pPr>
            <w:r>
              <w:rPr>
                <w:rFonts w:cs="Calibri"/>
                <w:color w:val="000000"/>
              </w:rPr>
              <w:t>6%</w:t>
            </w:r>
          </w:p>
        </w:tc>
        <w:tc>
          <w:tcPr>
            <w:tcW w:w="1108" w:type="dxa"/>
            <w:tcBorders>
              <w:top w:val="nil"/>
              <w:left w:val="nil"/>
              <w:bottom w:val="single" w:sz="4" w:space="0" w:color="auto"/>
              <w:right w:val="single" w:sz="4" w:space="0" w:color="auto"/>
            </w:tcBorders>
            <w:shd w:val="clear" w:color="auto" w:fill="auto"/>
            <w:noWrap/>
            <w:vAlign w:val="bottom"/>
            <w:hideMark/>
          </w:tcPr>
          <w:p w14:paraId="4D5FC3FE" w14:textId="2393F3A0" w:rsidR="002F3404" w:rsidRPr="00275290" w:rsidRDefault="002F3404" w:rsidP="002F3404">
            <w:pPr>
              <w:rPr>
                <w:rFonts w:cs="Arial"/>
                <w:b/>
                <w:color w:val="000000"/>
                <w:lang w:val="fr-FR" w:eastAsia="fr-FR"/>
              </w:rPr>
            </w:pPr>
            <w:r w:rsidRPr="00275290">
              <w:rPr>
                <w:rFonts w:cs="Arial"/>
                <w:b/>
                <w:color w:val="000000"/>
                <w:lang w:val="fr-FR" w:eastAsia="fr-FR"/>
              </w:rPr>
              <w:t>0.</w:t>
            </w:r>
            <w:r>
              <w:rPr>
                <w:rFonts w:cs="Arial"/>
                <w:b/>
                <w:color w:val="000000"/>
                <w:lang w:val="fr-FR" w:eastAsia="fr-FR"/>
              </w:rPr>
              <w:t>42</w:t>
            </w:r>
          </w:p>
        </w:tc>
      </w:tr>
      <w:tr w:rsidR="002F3404" w:rsidRPr="00275290" w14:paraId="023F019F" w14:textId="77777777" w:rsidTr="001B6222">
        <w:trPr>
          <w:trHeight w:val="315"/>
        </w:trPr>
        <w:tc>
          <w:tcPr>
            <w:tcW w:w="2425" w:type="dxa"/>
            <w:tcBorders>
              <w:top w:val="nil"/>
              <w:left w:val="nil"/>
              <w:bottom w:val="single" w:sz="4" w:space="0" w:color="auto"/>
              <w:right w:val="nil"/>
            </w:tcBorders>
            <w:shd w:val="clear" w:color="auto" w:fill="auto"/>
            <w:noWrap/>
            <w:vAlign w:val="bottom"/>
            <w:hideMark/>
          </w:tcPr>
          <w:p w14:paraId="7C8CFA88" w14:textId="77777777" w:rsidR="002F3404" w:rsidRPr="00275290" w:rsidRDefault="002F3404" w:rsidP="001B6222">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47741EEE" w14:textId="77777777" w:rsidR="002F3404" w:rsidRPr="00275290" w:rsidRDefault="002F3404" w:rsidP="001B6222">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4CD35D1D" w14:textId="77777777" w:rsidR="002F3404" w:rsidRPr="00275290" w:rsidRDefault="002F3404" w:rsidP="001B6222">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63A7F467"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3D580F93"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765A536A" w14:textId="77777777" w:rsidR="002F3404" w:rsidRPr="00275290" w:rsidRDefault="002F3404" w:rsidP="001B6222">
            <w:pPr>
              <w:rPr>
                <w:rFonts w:cs="Arial"/>
                <w:b/>
                <w:color w:val="000000"/>
                <w:lang w:val="fr-FR" w:eastAsia="fr-FR"/>
              </w:rPr>
            </w:pPr>
          </w:p>
        </w:tc>
      </w:tr>
      <w:tr w:rsidR="002F3404" w:rsidRPr="00275290" w14:paraId="41753614" w14:textId="77777777" w:rsidTr="001B6222">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DEAD5" w14:textId="77777777" w:rsidR="002F3404" w:rsidRPr="00275290" w:rsidRDefault="002F3404" w:rsidP="001B6222">
            <w:pPr>
              <w:rPr>
                <w:rFonts w:cs="Arial"/>
                <w:lang w:val="fr-FR" w:eastAsia="fr-FR"/>
              </w:rPr>
            </w:pPr>
            <w:r w:rsidRPr="00275290">
              <w:rPr>
                <w:rFonts w:cs="Arial"/>
                <w:lang w:val="fr-FR" w:eastAsia="fr-FR"/>
              </w:rPr>
              <w:t>AEL kidney</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6A96BE74" w14:textId="77777777" w:rsidR="002F3404" w:rsidRPr="00275290" w:rsidRDefault="002F3404" w:rsidP="001B6222">
            <w:pPr>
              <w:rPr>
                <w:rFonts w:cs="Arial"/>
                <w:lang w:val="fr-FR" w:eastAsia="fr-FR"/>
              </w:rPr>
            </w:pPr>
            <w:r>
              <w:rPr>
                <w:rFonts w:cs="Calibri"/>
                <w:color w:val="000000"/>
              </w:rPr>
              <w:t>0.022</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34154727" w14:textId="77777777" w:rsidR="002F3404" w:rsidRPr="00275290" w:rsidRDefault="002F3404" w:rsidP="001B6222">
            <w:pPr>
              <w:rPr>
                <w:rFonts w:cs="Arial"/>
                <w:lang w:val="fr-FR" w:eastAsia="fr-FR"/>
              </w:rPr>
            </w:pPr>
            <w:r>
              <w:rPr>
                <w:rFonts w:cs="Calibri"/>
                <w:color w:val="000000"/>
              </w:rPr>
              <w:t>0.5</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2F5762EF" w14:textId="77777777" w:rsidR="002F3404" w:rsidRPr="00275290" w:rsidRDefault="002F3404" w:rsidP="001B6222">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467B3467" w14:textId="77777777" w:rsidR="002F3404" w:rsidRPr="00275290" w:rsidRDefault="002F3404" w:rsidP="001B6222">
            <w:pPr>
              <w:rPr>
                <w:rFonts w:cs="Arial"/>
                <w:lang w:val="fr-FR" w:eastAsia="fr-FR"/>
              </w:rPr>
            </w:pPr>
            <w:r>
              <w:rPr>
                <w:rFonts w:cs="Calibri"/>
                <w:color w:val="000000"/>
              </w:rPr>
              <w:t>0.35</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7F963B7D" w14:textId="77777777" w:rsidR="002F3404" w:rsidRPr="00275290" w:rsidRDefault="002F3404" w:rsidP="001B6222">
            <w:pPr>
              <w:rPr>
                <w:rFonts w:cs="Arial"/>
                <w:b/>
                <w:lang w:val="fr-FR" w:eastAsia="fr-FR"/>
              </w:rPr>
            </w:pPr>
          </w:p>
        </w:tc>
      </w:tr>
      <w:tr w:rsidR="002F3404" w:rsidRPr="00275290" w14:paraId="33DDC8B9" w14:textId="77777777" w:rsidTr="001B6222">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8A866EC" w14:textId="77777777" w:rsidR="002F3404" w:rsidRPr="00275290" w:rsidRDefault="002F3404" w:rsidP="001B6222">
            <w:pPr>
              <w:rPr>
                <w:rFonts w:cs="Arial"/>
                <w:lang w:val="fr-FR" w:eastAsia="fr-FR"/>
              </w:rPr>
            </w:pPr>
            <w:r w:rsidRPr="00275290">
              <w:rPr>
                <w:rFonts w:cs="Arial"/>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7F813469" w14:textId="28A9E1EB" w:rsidR="002F3404" w:rsidRPr="00275290" w:rsidRDefault="002F3404" w:rsidP="001B6222">
            <w:pPr>
              <w:rPr>
                <w:rFonts w:cs="Arial"/>
                <w:lang w:val="fr-FR" w:eastAsia="fr-FR"/>
              </w:rPr>
            </w:pPr>
            <w:r>
              <w:rPr>
                <w:rFonts w:cs="Calibri"/>
                <w:color w:val="000000"/>
              </w:rPr>
              <w:t>47%</w:t>
            </w:r>
          </w:p>
        </w:tc>
        <w:tc>
          <w:tcPr>
            <w:tcW w:w="1663" w:type="dxa"/>
            <w:tcBorders>
              <w:top w:val="nil"/>
              <w:left w:val="nil"/>
              <w:bottom w:val="single" w:sz="4" w:space="0" w:color="auto"/>
              <w:right w:val="single" w:sz="4" w:space="0" w:color="auto"/>
            </w:tcBorders>
            <w:shd w:val="clear" w:color="auto" w:fill="auto"/>
            <w:noWrap/>
            <w:vAlign w:val="center"/>
            <w:hideMark/>
          </w:tcPr>
          <w:p w14:paraId="1AC4A7B1" w14:textId="77777777" w:rsidR="002F3404" w:rsidRPr="00275290" w:rsidRDefault="002F3404" w:rsidP="001B6222">
            <w:pPr>
              <w:rPr>
                <w:rFonts w:cs="Arial"/>
                <w:lang w:val="fr-FR" w:eastAsia="fr-FR"/>
              </w:rPr>
            </w:pPr>
            <w:r>
              <w:rPr>
                <w:rFonts w:cs="Calibri"/>
                <w:color w:val="000000"/>
              </w:rPr>
              <w:t>3%</w:t>
            </w:r>
          </w:p>
        </w:tc>
        <w:tc>
          <w:tcPr>
            <w:tcW w:w="1624" w:type="dxa"/>
            <w:tcBorders>
              <w:top w:val="nil"/>
              <w:left w:val="nil"/>
              <w:bottom w:val="single" w:sz="4" w:space="0" w:color="auto"/>
              <w:right w:val="single" w:sz="4" w:space="0" w:color="auto"/>
            </w:tcBorders>
            <w:shd w:val="clear" w:color="auto" w:fill="auto"/>
            <w:noWrap/>
            <w:vAlign w:val="center"/>
            <w:hideMark/>
          </w:tcPr>
          <w:p w14:paraId="0561FB69" w14:textId="77777777" w:rsidR="002F3404" w:rsidRPr="00275290" w:rsidRDefault="002F3404" w:rsidP="001B6222">
            <w:pPr>
              <w:rPr>
                <w:rFonts w:cs="Arial"/>
                <w:lang w:val="fr-FR" w:eastAsia="fr-FR"/>
              </w:rPr>
            </w:pPr>
            <w:r>
              <w:rPr>
                <w:rFonts w:cs="Calibri"/>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14:paraId="1AF690E9" w14:textId="77777777" w:rsidR="002F3404" w:rsidRPr="00275290" w:rsidRDefault="002F3404" w:rsidP="001B6222">
            <w:pPr>
              <w:rPr>
                <w:rFonts w:cs="Arial"/>
                <w:lang w:val="fr-FR" w:eastAsia="fr-FR"/>
              </w:rPr>
            </w:pPr>
            <w:r>
              <w:rPr>
                <w:rFonts w:cs="Calibri"/>
                <w:color w:val="000000"/>
              </w:rPr>
              <w:t>4%</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0022031B" w14:textId="67240C49" w:rsidR="002F3404" w:rsidRPr="00275290" w:rsidRDefault="002F3404" w:rsidP="002F3404">
            <w:pPr>
              <w:rPr>
                <w:rFonts w:cs="Arial"/>
                <w:b/>
                <w:lang w:val="fr-FR" w:eastAsia="fr-FR"/>
              </w:rPr>
            </w:pPr>
            <w:r>
              <w:rPr>
                <w:rFonts w:cs="Arial"/>
                <w:b/>
                <w:lang w:val="fr-FR" w:eastAsia="fr-FR"/>
              </w:rPr>
              <w:t>0.54</w:t>
            </w:r>
          </w:p>
        </w:tc>
      </w:tr>
      <w:tr w:rsidR="002F3404" w:rsidRPr="00275290" w14:paraId="2060335A" w14:textId="77777777" w:rsidTr="001B6222">
        <w:trPr>
          <w:trHeight w:val="315"/>
        </w:trPr>
        <w:tc>
          <w:tcPr>
            <w:tcW w:w="2425" w:type="dxa"/>
            <w:tcBorders>
              <w:top w:val="nil"/>
              <w:left w:val="nil"/>
              <w:bottom w:val="single" w:sz="4" w:space="0" w:color="auto"/>
              <w:right w:val="nil"/>
            </w:tcBorders>
            <w:shd w:val="clear" w:color="auto" w:fill="auto"/>
            <w:noWrap/>
            <w:vAlign w:val="bottom"/>
            <w:hideMark/>
          </w:tcPr>
          <w:p w14:paraId="5E6A3799" w14:textId="77777777" w:rsidR="002F3404" w:rsidRPr="00275290" w:rsidRDefault="002F3404" w:rsidP="001B6222">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2BE3E15E" w14:textId="77777777" w:rsidR="002F3404" w:rsidRPr="00275290" w:rsidRDefault="002F3404" w:rsidP="001B6222">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6049A57E" w14:textId="77777777" w:rsidR="002F3404" w:rsidRPr="00275290" w:rsidRDefault="002F3404" w:rsidP="001B6222">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045EC485"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42A5CB74" w14:textId="77777777" w:rsidR="002F3404" w:rsidRPr="00275290" w:rsidRDefault="002F3404" w:rsidP="001B6222">
            <w:pPr>
              <w:rPr>
                <w:rFonts w:cs="Arial"/>
                <w:color w:val="000000"/>
                <w:lang w:val="fr-FR" w:eastAsia="fr-FR"/>
              </w:rPr>
            </w:pPr>
          </w:p>
        </w:tc>
        <w:tc>
          <w:tcPr>
            <w:tcW w:w="1108" w:type="dxa"/>
            <w:tcBorders>
              <w:top w:val="single" w:sz="4" w:space="0" w:color="auto"/>
              <w:left w:val="nil"/>
              <w:bottom w:val="single" w:sz="4" w:space="0" w:color="auto"/>
              <w:right w:val="nil"/>
            </w:tcBorders>
            <w:shd w:val="clear" w:color="auto" w:fill="auto"/>
            <w:noWrap/>
            <w:vAlign w:val="bottom"/>
            <w:hideMark/>
          </w:tcPr>
          <w:p w14:paraId="6D7AF043" w14:textId="77777777" w:rsidR="002F3404" w:rsidRPr="00275290" w:rsidRDefault="002F3404" w:rsidP="001B6222">
            <w:pPr>
              <w:rPr>
                <w:rFonts w:cs="Arial"/>
                <w:b/>
                <w:color w:val="000000"/>
                <w:lang w:val="fr-FR" w:eastAsia="fr-FR"/>
              </w:rPr>
            </w:pPr>
          </w:p>
        </w:tc>
      </w:tr>
      <w:tr w:rsidR="002F3404" w:rsidRPr="00275290" w14:paraId="119CA74B" w14:textId="77777777" w:rsidTr="001B6222">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EC4A9" w14:textId="77777777" w:rsidR="002F3404" w:rsidRPr="00275290" w:rsidRDefault="002F3404" w:rsidP="001B6222">
            <w:pPr>
              <w:rPr>
                <w:rFonts w:cs="Arial"/>
                <w:color w:val="000000"/>
                <w:lang w:val="fr-FR" w:eastAsia="fr-FR"/>
              </w:rPr>
            </w:pPr>
            <w:r w:rsidRPr="00275290">
              <w:rPr>
                <w:rFonts w:cs="Arial"/>
                <w:color w:val="000000"/>
                <w:lang w:val="fr-FR" w:eastAsia="fr-FR"/>
              </w:rPr>
              <w:t>AEL hematology</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56EB4D60" w14:textId="77777777" w:rsidR="002F3404" w:rsidRPr="00275290" w:rsidRDefault="002F3404" w:rsidP="001B6222">
            <w:pPr>
              <w:rPr>
                <w:rFonts w:cs="Arial"/>
                <w:lang w:val="fr-FR" w:eastAsia="fr-FR"/>
              </w:rPr>
            </w:pPr>
            <w:r>
              <w:rPr>
                <w:rFonts w:cs="Calibri"/>
                <w:color w:val="000000"/>
              </w:rPr>
              <w:t>0.022</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1C044EBE" w14:textId="77777777" w:rsidR="002F3404" w:rsidRPr="00275290" w:rsidRDefault="002F3404" w:rsidP="001B6222">
            <w:pPr>
              <w:rPr>
                <w:rFonts w:cs="Arial"/>
                <w:lang w:val="fr-FR" w:eastAsia="fr-FR"/>
              </w:rPr>
            </w:pPr>
            <w:r>
              <w:rPr>
                <w:rFonts w:cs="Calibri"/>
                <w:color w:val="000000"/>
              </w:rPr>
              <w:t>0.761</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6C4D93F5" w14:textId="77777777" w:rsidR="002F3404" w:rsidRPr="00275290" w:rsidRDefault="002F3404" w:rsidP="001B6222">
            <w:pPr>
              <w:rPr>
                <w:rFonts w:cs="Arial"/>
                <w:lang w:val="fr-FR" w:eastAsia="fr-FR"/>
              </w:rPr>
            </w:pPr>
            <w:r>
              <w:rPr>
                <w:rFonts w:cs="Calibri"/>
                <w:color w:val="000000"/>
              </w:rPr>
              <w:t>0.3</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7731FC09" w14:textId="77777777" w:rsidR="002F3404" w:rsidRPr="00275290" w:rsidRDefault="002F3404" w:rsidP="001B6222">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539EE3F9" w14:textId="77777777" w:rsidR="002F3404" w:rsidRPr="00275290" w:rsidRDefault="002F3404" w:rsidP="001B6222">
            <w:pPr>
              <w:rPr>
                <w:rFonts w:cs="Arial"/>
                <w:b/>
                <w:lang w:val="fr-FR" w:eastAsia="fr-FR"/>
              </w:rPr>
            </w:pPr>
          </w:p>
        </w:tc>
      </w:tr>
      <w:tr w:rsidR="002F3404" w:rsidRPr="00275290" w14:paraId="6875E67D" w14:textId="77777777" w:rsidTr="001B6222">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1CAA7EF" w14:textId="77777777" w:rsidR="002F3404" w:rsidRPr="00275290" w:rsidRDefault="002F3404" w:rsidP="001B6222">
            <w:pPr>
              <w:rPr>
                <w:rFonts w:cs="Arial"/>
                <w:color w:val="000000"/>
                <w:lang w:val="fr-FR" w:eastAsia="fr-FR"/>
              </w:rPr>
            </w:pPr>
            <w:r w:rsidRPr="00275290">
              <w:rPr>
                <w:rFonts w:cs="Arial"/>
                <w:color w:val="000000"/>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169964CD" w14:textId="2E32DF28" w:rsidR="002F3404" w:rsidRPr="00275290" w:rsidRDefault="002F3404" w:rsidP="001B6222">
            <w:pPr>
              <w:rPr>
                <w:rFonts w:cs="Arial"/>
                <w:lang w:val="fr-FR" w:eastAsia="fr-FR"/>
              </w:rPr>
            </w:pPr>
            <w:r>
              <w:rPr>
                <w:rFonts w:cs="Calibri"/>
                <w:color w:val="000000"/>
              </w:rPr>
              <w:t>47%</w:t>
            </w:r>
          </w:p>
        </w:tc>
        <w:tc>
          <w:tcPr>
            <w:tcW w:w="1663" w:type="dxa"/>
            <w:tcBorders>
              <w:top w:val="nil"/>
              <w:left w:val="nil"/>
              <w:bottom w:val="single" w:sz="4" w:space="0" w:color="auto"/>
              <w:right w:val="single" w:sz="4" w:space="0" w:color="auto"/>
            </w:tcBorders>
            <w:shd w:val="clear" w:color="auto" w:fill="auto"/>
            <w:noWrap/>
            <w:vAlign w:val="center"/>
            <w:hideMark/>
          </w:tcPr>
          <w:p w14:paraId="15BCD24F" w14:textId="77777777" w:rsidR="002F3404" w:rsidRPr="00275290" w:rsidRDefault="002F3404" w:rsidP="001B6222">
            <w:pPr>
              <w:rPr>
                <w:rFonts w:cs="Arial"/>
                <w:lang w:val="fr-FR" w:eastAsia="fr-FR"/>
              </w:rPr>
            </w:pPr>
            <w:r>
              <w:rPr>
                <w:rFonts w:cs="Calibri"/>
                <w:color w:val="000000"/>
              </w:rPr>
              <w:t>2%</w:t>
            </w:r>
          </w:p>
        </w:tc>
        <w:tc>
          <w:tcPr>
            <w:tcW w:w="1624" w:type="dxa"/>
            <w:tcBorders>
              <w:top w:val="nil"/>
              <w:left w:val="nil"/>
              <w:bottom w:val="single" w:sz="4" w:space="0" w:color="auto"/>
              <w:right w:val="single" w:sz="4" w:space="0" w:color="auto"/>
            </w:tcBorders>
            <w:shd w:val="clear" w:color="auto" w:fill="auto"/>
            <w:noWrap/>
            <w:vAlign w:val="center"/>
            <w:hideMark/>
          </w:tcPr>
          <w:p w14:paraId="07DCDF45" w14:textId="77777777" w:rsidR="002F3404" w:rsidRPr="00275290" w:rsidRDefault="002F3404" w:rsidP="001B6222">
            <w:pPr>
              <w:rPr>
                <w:rFonts w:cs="Arial"/>
                <w:lang w:val="fr-FR" w:eastAsia="fr-FR"/>
              </w:rPr>
            </w:pPr>
            <w:r>
              <w:rPr>
                <w:rFonts w:cs="Calibri"/>
                <w:color w:val="000000"/>
              </w:rPr>
              <w:t>2%</w:t>
            </w:r>
          </w:p>
        </w:tc>
        <w:tc>
          <w:tcPr>
            <w:tcW w:w="1108" w:type="dxa"/>
            <w:tcBorders>
              <w:top w:val="nil"/>
              <w:left w:val="nil"/>
              <w:bottom w:val="single" w:sz="4" w:space="0" w:color="auto"/>
              <w:right w:val="single" w:sz="4" w:space="0" w:color="auto"/>
            </w:tcBorders>
            <w:shd w:val="clear" w:color="auto" w:fill="auto"/>
            <w:noWrap/>
            <w:vAlign w:val="center"/>
            <w:hideMark/>
          </w:tcPr>
          <w:p w14:paraId="3F6E00E1" w14:textId="77777777" w:rsidR="002F3404" w:rsidRPr="00275290" w:rsidRDefault="002F3404" w:rsidP="001B6222">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7A249505" w14:textId="1A6018A5" w:rsidR="002F3404" w:rsidRPr="00275290" w:rsidRDefault="002F3404" w:rsidP="001B6222">
            <w:pPr>
              <w:rPr>
                <w:rFonts w:cs="Arial"/>
                <w:b/>
                <w:lang w:val="fr-FR" w:eastAsia="fr-FR"/>
              </w:rPr>
            </w:pPr>
            <w:r>
              <w:rPr>
                <w:rFonts w:cs="Arial"/>
                <w:b/>
                <w:lang w:val="fr-FR" w:eastAsia="fr-FR"/>
              </w:rPr>
              <w:t>0.51</w:t>
            </w:r>
          </w:p>
        </w:tc>
      </w:tr>
      <w:tr w:rsidR="002F3404" w:rsidRPr="00275290" w14:paraId="03047D35" w14:textId="77777777" w:rsidTr="001B6222">
        <w:trPr>
          <w:trHeight w:val="300"/>
        </w:trPr>
        <w:tc>
          <w:tcPr>
            <w:tcW w:w="2425" w:type="dxa"/>
            <w:tcBorders>
              <w:top w:val="nil"/>
              <w:left w:val="nil"/>
              <w:bottom w:val="single" w:sz="4" w:space="0" w:color="auto"/>
              <w:right w:val="nil"/>
            </w:tcBorders>
            <w:shd w:val="clear" w:color="auto" w:fill="auto"/>
            <w:noWrap/>
            <w:vAlign w:val="bottom"/>
            <w:hideMark/>
          </w:tcPr>
          <w:p w14:paraId="0E18250D" w14:textId="77777777" w:rsidR="002F3404" w:rsidRPr="00275290" w:rsidRDefault="002F3404" w:rsidP="001B6222">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4F521CD1" w14:textId="77777777" w:rsidR="002F3404" w:rsidRPr="00275290" w:rsidRDefault="002F3404" w:rsidP="001B6222">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1C286781" w14:textId="77777777" w:rsidR="002F3404" w:rsidRPr="00275290" w:rsidRDefault="002F3404" w:rsidP="001B6222">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551770B7"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7F4C06CD"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22ADDD03" w14:textId="77777777" w:rsidR="002F3404" w:rsidRPr="00275290" w:rsidRDefault="002F3404" w:rsidP="001B6222">
            <w:pPr>
              <w:rPr>
                <w:rFonts w:cs="Arial"/>
                <w:b/>
                <w:color w:val="000000"/>
                <w:lang w:val="fr-FR" w:eastAsia="fr-FR"/>
              </w:rPr>
            </w:pPr>
          </w:p>
        </w:tc>
      </w:tr>
      <w:tr w:rsidR="002F3404" w:rsidRPr="00275290" w14:paraId="3AD7E38D" w14:textId="77777777" w:rsidTr="001B6222">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407CF" w14:textId="77777777" w:rsidR="002F3404" w:rsidRPr="00275290" w:rsidRDefault="002F3404" w:rsidP="001B6222">
            <w:pPr>
              <w:rPr>
                <w:rFonts w:cs="Arial"/>
                <w:color w:val="000000"/>
                <w:lang w:val="fr-FR" w:eastAsia="fr-FR"/>
              </w:rPr>
            </w:pPr>
            <w:r w:rsidRPr="00275290">
              <w:rPr>
                <w:rFonts w:cs="Arial"/>
                <w:color w:val="000000"/>
                <w:lang w:val="fr-FR" w:eastAsia="fr-FR"/>
              </w:rPr>
              <w:t>AEL adrenals</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72EC7AD2" w14:textId="77777777" w:rsidR="002F3404" w:rsidRPr="00275290" w:rsidRDefault="002F3404" w:rsidP="001B6222">
            <w:pPr>
              <w:rPr>
                <w:rFonts w:cs="Arial"/>
                <w:color w:val="000000"/>
                <w:lang w:val="fr-FR" w:eastAsia="fr-FR"/>
              </w:rPr>
            </w:pPr>
            <w:r>
              <w:rPr>
                <w:rFonts w:cs="Calibri"/>
                <w:color w:val="000000"/>
              </w:rPr>
              <w:t> </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7530CD56" w14:textId="77777777" w:rsidR="002F3404" w:rsidRPr="00275290" w:rsidRDefault="002F3404" w:rsidP="001B6222">
            <w:pPr>
              <w:rPr>
                <w:rFonts w:cs="Arial"/>
                <w:lang w:val="fr-FR" w:eastAsia="fr-FR"/>
              </w:rPr>
            </w:pPr>
            <w:r>
              <w:rPr>
                <w:rFonts w:cs="Calibri"/>
                <w:color w:val="000000"/>
              </w:rPr>
              <w:t>0.036</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6C42509A" w14:textId="77777777" w:rsidR="002F3404" w:rsidRPr="00275290" w:rsidRDefault="002F3404" w:rsidP="001B6222">
            <w:pPr>
              <w:rPr>
                <w:rFonts w:cs="Arial"/>
                <w:lang w:val="fr-FR" w:eastAsia="fr-FR"/>
              </w:rPr>
            </w:pPr>
            <w:r>
              <w:rPr>
                <w:rFonts w:cs="Calibri"/>
                <w:color w:val="000000"/>
              </w:rPr>
              <w:t>0.03</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471B2798" w14:textId="77777777" w:rsidR="002F3404" w:rsidRPr="00275290" w:rsidRDefault="002F3404" w:rsidP="001B6222">
            <w:pPr>
              <w:rPr>
                <w:rFonts w:cs="Arial"/>
                <w:color w:val="000000"/>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77CAD199" w14:textId="77777777" w:rsidR="002F3404" w:rsidRPr="00275290" w:rsidRDefault="002F3404" w:rsidP="001B6222">
            <w:pPr>
              <w:rPr>
                <w:rFonts w:cs="Arial"/>
                <w:b/>
                <w:color w:val="000000"/>
                <w:lang w:val="fr-FR" w:eastAsia="fr-FR"/>
              </w:rPr>
            </w:pPr>
          </w:p>
        </w:tc>
      </w:tr>
      <w:tr w:rsidR="002F3404" w:rsidRPr="00275290" w14:paraId="311F7F1A" w14:textId="77777777" w:rsidTr="001B6222">
        <w:trPr>
          <w:trHeight w:val="251"/>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7417390" w14:textId="77777777" w:rsidR="002F3404" w:rsidRPr="00275290" w:rsidRDefault="002F3404" w:rsidP="001B6222">
            <w:pPr>
              <w:rPr>
                <w:rFonts w:cs="Arial"/>
                <w:lang w:val="fr-FR" w:eastAsia="fr-FR"/>
              </w:rPr>
            </w:pPr>
            <w:r w:rsidRPr="00275290">
              <w:rPr>
                <w:rFonts w:cs="Arial"/>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74FB1EE5" w14:textId="77777777" w:rsidR="002F3404" w:rsidRPr="00275290" w:rsidRDefault="002F3404" w:rsidP="001B6222">
            <w:pPr>
              <w:rPr>
                <w:rFonts w:cs="Arial"/>
                <w:lang w:val="fr-FR" w:eastAsia="fr-FR"/>
              </w:rPr>
            </w:pPr>
            <w:r>
              <w:rPr>
                <w:rFonts w:cs="Calibri"/>
                <w:color w:val="000000"/>
              </w:rPr>
              <w:t> </w:t>
            </w:r>
          </w:p>
        </w:tc>
        <w:tc>
          <w:tcPr>
            <w:tcW w:w="1663" w:type="dxa"/>
            <w:tcBorders>
              <w:top w:val="nil"/>
              <w:left w:val="nil"/>
              <w:bottom w:val="single" w:sz="4" w:space="0" w:color="auto"/>
              <w:right w:val="single" w:sz="4" w:space="0" w:color="auto"/>
            </w:tcBorders>
            <w:shd w:val="clear" w:color="auto" w:fill="auto"/>
            <w:noWrap/>
            <w:vAlign w:val="center"/>
            <w:hideMark/>
          </w:tcPr>
          <w:p w14:paraId="60DD313F" w14:textId="03E8191C" w:rsidR="002F3404" w:rsidRPr="00275290" w:rsidRDefault="002F3404" w:rsidP="001B6222">
            <w:pPr>
              <w:rPr>
                <w:rFonts w:cs="Arial"/>
                <w:lang w:val="fr-FR" w:eastAsia="fr-FR"/>
              </w:rPr>
            </w:pPr>
            <w:r>
              <w:rPr>
                <w:rFonts w:cs="Calibri"/>
                <w:color w:val="000000"/>
              </w:rPr>
              <w:t>45%</w:t>
            </w:r>
          </w:p>
        </w:tc>
        <w:tc>
          <w:tcPr>
            <w:tcW w:w="1624" w:type="dxa"/>
            <w:tcBorders>
              <w:top w:val="nil"/>
              <w:left w:val="nil"/>
              <w:bottom w:val="single" w:sz="4" w:space="0" w:color="auto"/>
              <w:right w:val="single" w:sz="4" w:space="0" w:color="auto"/>
            </w:tcBorders>
            <w:shd w:val="clear" w:color="auto" w:fill="auto"/>
            <w:noWrap/>
            <w:vAlign w:val="center"/>
            <w:hideMark/>
          </w:tcPr>
          <w:p w14:paraId="20B73A0C" w14:textId="331BFF43" w:rsidR="002F3404" w:rsidRPr="00275290" w:rsidRDefault="002F3404" w:rsidP="001B6222">
            <w:pPr>
              <w:rPr>
                <w:rFonts w:cs="Arial"/>
                <w:lang w:val="fr-FR" w:eastAsia="fr-FR"/>
              </w:rPr>
            </w:pPr>
            <w:r>
              <w:rPr>
                <w:rFonts w:cs="Calibri"/>
                <w:color w:val="000000"/>
              </w:rPr>
              <w:t>19%</w:t>
            </w:r>
          </w:p>
        </w:tc>
        <w:tc>
          <w:tcPr>
            <w:tcW w:w="1108" w:type="dxa"/>
            <w:tcBorders>
              <w:top w:val="nil"/>
              <w:left w:val="nil"/>
              <w:bottom w:val="single" w:sz="4" w:space="0" w:color="auto"/>
              <w:right w:val="single" w:sz="4" w:space="0" w:color="auto"/>
            </w:tcBorders>
            <w:shd w:val="clear" w:color="auto" w:fill="auto"/>
            <w:noWrap/>
            <w:vAlign w:val="center"/>
            <w:hideMark/>
          </w:tcPr>
          <w:p w14:paraId="303A9103" w14:textId="77777777" w:rsidR="002F3404" w:rsidRPr="00275290" w:rsidRDefault="002F3404" w:rsidP="001B6222">
            <w:pPr>
              <w:rPr>
                <w:rFonts w:cs="Arial"/>
                <w:lang w:val="fr-FR" w:eastAsia="fr-FR"/>
              </w:rPr>
            </w:pPr>
            <w:r>
              <w:rPr>
                <w:rFonts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51D9F1D6" w14:textId="614A919F" w:rsidR="002F3404" w:rsidRPr="00275290" w:rsidRDefault="002F3404" w:rsidP="002F3404">
            <w:pPr>
              <w:rPr>
                <w:rFonts w:cs="Arial"/>
                <w:b/>
                <w:lang w:val="fr-FR" w:eastAsia="fr-FR"/>
              </w:rPr>
            </w:pPr>
            <w:r w:rsidRPr="00275290">
              <w:rPr>
                <w:rFonts w:cs="Arial"/>
                <w:b/>
                <w:lang w:val="fr-FR" w:eastAsia="fr-FR"/>
              </w:rPr>
              <w:t>0.</w:t>
            </w:r>
            <w:r>
              <w:rPr>
                <w:rFonts w:cs="Arial"/>
                <w:b/>
                <w:lang w:val="fr-FR" w:eastAsia="fr-FR"/>
              </w:rPr>
              <w:t>64</w:t>
            </w:r>
          </w:p>
        </w:tc>
      </w:tr>
      <w:tr w:rsidR="002F3404" w:rsidRPr="00275290" w14:paraId="44DB2124" w14:textId="77777777" w:rsidTr="001B6222">
        <w:trPr>
          <w:trHeight w:val="300"/>
        </w:trPr>
        <w:tc>
          <w:tcPr>
            <w:tcW w:w="2425" w:type="dxa"/>
            <w:tcBorders>
              <w:top w:val="nil"/>
              <w:left w:val="nil"/>
              <w:bottom w:val="nil"/>
              <w:right w:val="nil"/>
            </w:tcBorders>
            <w:shd w:val="clear" w:color="auto" w:fill="auto"/>
            <w:noWrap/>
            <w:vAlign w:val="bottom"/>
            <w:hideMark/>
          </w:tcPr>
          <w:p w14:paraId="205BD28D" w14:textId="77777777" w:rsidR="002F3404" w:rsidRPr="00275290" w:rsidRDefault="002F3404" w:rsidP="001B6222">
            <w:pPr>
              <w:rPr>
                <w:rFonts w:cs="Arial"/>
                <w:color w:val="000000"/>
                <w:lang w:val="fr-FR" w:eastAsia="fr-FR"/>
              </w:rPr>
            </w:pPr>
          </w:p>
        </w:tc>
        <w:tc>
          <w:tcPr>
            <w:tcW w:w="1936" w:type="dxa"/>
            <w:tcBorders>
              <w:top w:val="nil"/>
              <w:left w:val="nil"/>
              <w:bottom w:val="nil"/>
              <w:right w:val="nil"/>
            </w:tcBorders>
            <w:shd w:val="clear" w:color="auto" w:fill="auto"/>
            <w:noWrap/>
            <w:vAlign w:val="bottom"/>
            <w:hideMark/>
          </w:tcPr>
          <w:p w14:paraId="7DA93759" w14:textId="77777777" w:rsidR="002F3404" w:rsidRPr="00275290" w:rsidRDefault="002F3404" w:rsidP="001B6222">
            <w:pPr>
              <w:rPr>
                <w:rFonts w:cs="Arial"/>
                <w:color w:val="000000"/>
                <w:lang w:val="fr-FR" w:eastAsia="fr-FR"/>
              </w:rPr>
            </w:pPr>
          </w:p>
        </w:tc>
        <w:tc>
          <w:tcPr>
            <w:tcW w:w="1663" w:type="dxa"/>
            <w:tcBorders>
              <w:top w:val="nil"/>
              <w:left w:val="nil"/>
              <w:bottom w:val="nil"/>
              <w:right w:val="nil"/>
            </w:tcBorders>
            <w:shd w:val="clear" w:color="auto" w:fill="auto"/>
            <w:noWrap/>
            <w:vAlign w:val="bottom"/>
            <w:hideMark/>
          </w:tcPr>
          <w:p w14:paraId="5FBD4026" w14:textId="77777777" w:rsidR="002F3404" w:rsidRPr="00275290" w:rsidRDefault="002F3404" w:rsidP="001B6222">
            <w:pPr>
              <w:rPr>
                <w:rFonts w:cs="Arial"/>
                <w:color w:val="000000"/>
                <w:lang w:val="fr-FR" w:eastAsia="fr-FR"/>
              </w:rPr>
            </w:pPr>
          </w:p>
        </w:tc>
        <w:tc>
          <w:tcPr>
            <w:tcW w:w="1624" w:type="dxa"/>
            <w:tcBorders>
              <w:top w:val="nil"/>
              <w:left w:val="nil"/>
              <w:bottom w:val="nil"/>
              <w:right w:val="nil"/>
            </w:tcBorders>
            <w:shd w:val="clear" w:color="auto" w:fill="auto"/>
            <w:noWrap/>
            <w:vAlign w:val="bottom"/>
            <w:hideMark/>
          </w:tcPr>
          <w:p w14:paraId="7A52E484" w14:textId="77777777" w:rsidR="002F3404" w:rsidRPr="00275290" w:rsidRDefault="002F3404" w:rsidP="001B6222">
            <w:pPr>
              <w:rPr>
                <w:rFonts w:cs="Arial"/>
                <w:color w:val="000000"/>
                <w:lang w:val="fr-FR" w:eastAsia="fr-FR"/>
              </w:rPr>
            </w:pPr>
          </w:p>
        </w:tc>
        <w:tc>
          <w:tcPr>
            <w:tcW w:w="1108" w:type="dxa"/>
            <w:tcBorders>
              <w:top w:val="nil"/>
              <w:left w:val="nil"/>
              <w:bottom w:val="nil"/>
              <w:right w:val="nil"/>
            </w:tcBorders>
            <w:shd w:val="clear" w:color="auto" w:fill="auto"/>
            <w:noWrap/>
            <w:vAlign w:val="bottom"/>
            <w:hideMark/>
          </w:tcPr>
          <w:p w14:paraId="59159FAD" w14:textId="77777777" w:rsidR="002F3404" w:rsidRPr="00275290" w:rsidRDefault="002F3404" w:rsidP="001B6222">
            <w:pPr>
              <w:rPr>
                <w:rFonts w:cs="Arial"/>
                <w:color w:val="000000"/>
                <w:lang w:val="fr-FR" w:eastAsia="fr-FR"/>
              </w:rPr>
            </w:pPr>
          </w:p>
        </w:tc>
        <w:tc>
          <w:tcPr>
            <w:tcW w:w="1108" w:type="dxa"/>
            <w:tcBorders>
              <w:top w:val="nil"/>
              <w:left w:val="nil"/>
              <w:bottom w:val="nil"/>
              <w:right w:val="nil"/>
            </w:tcBorders>
            <w:shd w:val="clear" w:color="auto" w:fill="auto"/>
            <w:noWrap/>
            <w:vAlign w:val="bottom"/>
            <w:hideMark/>
          </w:tcPr>
          <w:p w14:paraId="2D9B9620" w14:textId="77777777" w:rsidR="002F3404" w:rsidRPr="00275290" w:rsidRDefault="002F3404" w:rsidP="001B6222">
            <w:pPr>
              <w:rPr>
                <w:rFonts w:cs="Arial"/>
                <w:color w:val="000000"/>
                <w:lang w:val="fr-FR" w:eastAsia="fr-FR"/>
              </w:rPr>
            </w:pPr>
          </w:p>
        </w:tc>
      </w:tr>
      <w:tr w:rsidR="002F3404" w:rsidRPr="00275290" w14:paraId="5375DE8D" w14:textId="77777777" w:rsidTr="001B6222">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341EA" w14:textId="77777777" w:rsidR="002F3404" w:rsidRPr="00275290" w:rsidRDefault="002F3404" w:rsidP="001B6222">
            <w:pPr>
              <w:rPr>
                <w:rFonts w:cs="Arial"/>
                <w:lang w:val="fr-FR" w:eastAsia="fr-FR"/>
              </w:rPr>
            </w:pPr>
            <w:r w:rsidRPr="00275290">
              <w:rPr>
                <w:rFonts w:cs="Arial"/>
                <w:lang w:val="fr-FR" w:eastAsia="fr-FR"/>
              </w:rPr>
              <w:t>AEL Lung</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1D546DB3" w14:textId="77777777" w:rsidR="002F3404" w:rsidRPr="00275290" w:rsidRDefault="002F3404" w:rsidP="001B6222">
            <w:pPr>
              <w:rPr>
                <w:rFonts w:cs="Arial"/>
                <w:lang w:val="fr-FR" w:eastAsia="fr-FR"/>
              </w:rPr>
            </w:pPr>
            <w:r>
              <w:rPr>
                <w:rFonts w:cs="Calibri"/>
                <w:color w:val="000000"/>
              </w:rPr>
              <w:t>0.07</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4B012EA3" w14:textId="77777777" w:rsidR="002F3404" w:rsidRPr="00275290" w:rsidRDefault="002F3404" w:rsidP="001B6222">
            <w:pPr>
              <w:rPr>
                <w:rFonts w:cs="Arial"/>
                <w:lang w:val="fr-FR" w:eastAsia="fr-FR"/>
              </w:rPr>
            </w:pPr>
            <w:r>
              <w:rPr>
                <w:rFonts w:cs="Calibri"/>
                <w:color w:val="000000"/>
              </w:rPr>
              <w:t> </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07670F6A" w14:textId="77777777" w:rsidR="002F3404" w:rsidRPr="00275290" w:rsidRDefault="002F3404" w:rsidP="001B6222">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17C71413" w14:textId="77777777" w:rsidR="002F3404" w:rsidRPr="00275290" w:rsidRDefault="002F3404" w:rsidP="001B6222">
            <w:pPr>
              <w:rPr>
                <w:rFonts w:cs="Arial"/>
                <w:lang w:val="fr-FR" w:eastAsia="fr-FR"/>
              </w:rPr>
            </w:pPr>
            <w:r>
              <w:rPr>
                <w:rFonts w:cs="Calibri"/>
                <w:color w:val="000000"/>
              </w:rPr>
              <w:t>0.2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4B59EA14" w14:textId="77777777" w:rsidR="002F3404" w:rsidRPr="00275290" w:rsidRDefault="002F3404" w:rsidP="001B6222">
            <w:pPr>
              <w:rPr>
                <w:rFonts w:cs="Arial"/>
                <w:b/>
                <w:lang w:val="fr-FR" w:eastAsia="fr-FR"/>
              </w:rPr>
            </w:pPr>
          </w:p>
        </w:tc>
      </w:tr>
      <w:tr w:rsidR="002F3404" w:rsidRPr="00275290" w14:paraId="752A6573" w14:textId="77777777" w:rsidTr="001B6222">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7A687" w14:textId="77777777" w:rsidR="002F3404" w:rsidRPr="00275290" w:rsidRDefault="002F3404" w:rsidP="001B6222">
            <w:pPr>
              <w:rPr>
                <w:rFonts w:cs="Arial"/>
                <w:lang w:val="fr-FR" w:eastAsia="fr-FR"/>
              </w:rPr>
            </w:pPr>
            <w:r w:rsidRPr="00275290">
              <w:rPr>
                <w:rFonts w:cs="Arial"/>
                <w:lang w:val="fr-FR" w:eastAsia="fr-FR"/>
              </w:rPr>
              <w:t>%AEL</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30EC8B0B" w14:textId="6A68609D" w:rsidR="002F3404" w:rsidRPr="00275290" w:rsidRDefault="002F3404" w:rsidP="001B6222">
            <w:pPr>
              <w:rPr>
                <w:rFonts w:cs="Arial"/>
                <w:lang w:val="fr-FR" w:eastAsia="fr-FR"/>
              </w:rPr>
            </w:pPr>
            <w:r>
              <w:rPr>
                <w:rFonts w:cs="Arial"/>
                <w:lang w:val="fr-FR" w:eastAsia="fr-FR"/>
              </w:rPr>
              <w:t>15</w:t>
            </w:r>
            <w:r w:rsidRPr="00275290">
              <w:rPr>
                <w:rFonts w:cs="Arial"/>
                <w:lang w:val="fr-FR" w:eastAsia="fr-FR"/>
              </w:rPr>
              <w:t>%</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7D9F0487" w14:textId="77777777" w:rsidR="002F3404" w:rsidRPr="00275290" w:rsidRDefault="002F3404" w:rsidP="001B6222">
            <w:pPr>
              <w:rPr>
                <w:rFonts w:cs="Arial"/>
                <w:lang w:val="fr-FR" w:eastAsia="fr-FR"/>
              </w:rPr>
            </w:pPr>
            <w:r w:rsidRPr="00275290">
              <w:rPr>
                <w:rFonts w:cs="Arial"/>
                <w:lang w:val="fr-FR" w:eastAsia="fr-FR"/>
              </w:rPr>
              <w:t> </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14:paraId="587D9F96" w14:textId="77777777" w:rsidR="002F3404" w:rsidRPr="00275290" w:rsidRDefault="002F3404" w:rsidP="001B6222">
            <w:pPr>
              <w:rPr>
                <w:rFonts w:cs="Arial"/>
                <w:lang w:val="fr-FR" w:eastAsia="fr-FR"/>
              </w:rPr>
            </w:pPr>
            <w:r w:rsidRPr="00275290">
              <w:rPr>
                <w:rFonts w:cs="Arial"/>
                <w:lang w:val="fr-FR" w:eastAsia="fr-FR"/>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66601096" w14:textId="1E1BA221" w:rsidR="002F3404" w:rsidRPr="00275290" w:rsidRDefault="002F3404" w:rsidP="001B6222">
            <w:pPr>
              <w:rPr>
                <w:rFonts w:cs="Arial"/>
                <w:lang w:val="fr-FR" w:eastAsia="fr-FR"/>
              </w:rPr>
            </w:pPr>
            <w:r>
              <w:rPr>
                <w:rFonts w:cs="Arial"/>
                <w:lang w:val="fr-FR" w:eastAsia="fr-FR"/>
              </w:rPr>
              <w:t>6</w:t>
            </w:r>
            <w:r w:rsidRPr="00275290">
              <w:rPr>
                <w:rFonts w:cs="Arial"/>
                <w:lang w:val="fr-FR" w:eastAsia="fr-FR"/>
              </w:rPr>
              <w:t>%</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0E693532" w14:textId="77ADC5C3" w:rsidR="002F3404" w:rsidRPr="00275290" w:rsidRDefault="002F3404" w:rsidP="002F3404">
            <w:pPr>
              <w:rPr>
                <w:rFonts w:cs="Arial"/>
                <w:b/>
                <w:lang w:val="fr-FR" w:eastAsia="fr-FR"/>
              </w:rPr>
            </w:pPr>
            <w:r w:rsidRPr="00275290">
              <w:rPr>
                <w:rFonts w:cs="Arial"/>
                <w:b/>
                <w:lang w:val="fr-FR" w:eastAsia="fr-FR"/>
              </w:rPr>
              <w:t>0.</w:t>
            </w:r>
            <w:r>
              <w:rPr>
                <w:rFonts w:cs="Arial"/>
                <w:b/>
                <w:lang w:val="fr-FR" w:eastAsia="fr-FR"/>
              </w:rPr>
              <w:t>21</w:t>
            </w:r>
          </w:p>
        </w:tc>
      </w:tr>
    </w:tbl>
    <w:p w14:paraId="7682E602" w14:textId="77777777" w:rsidR="002F3404" w:rsidRPr="00275290" w:rsidRDefault="002F3404" w:rsidP="002F3404">
      <w:pPr>
        <w:pStyle w:val="BfRBBStandard"/>
        <w:rPr>
          <w:rFonts w:ascii="Verdana" w:eastAsia="Times New Roman" w:hAnsi="Verdana"/>
          <w:sz w:val="20"/>
          <w:szCs w:val="20"/>
          <w:lang w:val="en-GB" w:eastAsia="sv-SE"/>
        </w:rPr>
      </w:pPr>
    </w:p>
    <w:p w14:paraId="16BED6E3"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HI is </w:t>
      </w:r>
      <w:r>
        <w:rPr>
          <w:rFonts w:ascii="Verdana" w:eastAsia="Times New Roman" w:hAnsi="Verdana"/>
          <w:sz w:val="20"/>
          <w:szCs w:val="20"/>
          <w:lang w:val="en-GB" w:eastAsia="sv-SE"/>
        </w:rPr>
        <w:t>inferior</w:t>
      </w:r>
      <w:r w:rsidRPr="00275290">
        <w:rPr>
          <w:rFonts w:ascii="Verdana" w:eastAsia="Times New Roman" w:hAnsi="Verdana"/>
          <w:sz w:val="20"/>
          <w:szCs w:val="20"/>
          <w:lang w:val="en-GB" w:eastAsia="sv-SE"/>
        </w:rPr>
        <w:t xml:space="preserve"> to 1 for </w:t>
      </w:r>
      <w:r>
        <w:rPr>
          <w:rFonts w:ascii="Verdana" w:eastAsia="Times New Roman" w:hAnsi="Verdana"/>
          <w:sz w:val="20"/>
          <w:szCs w:val="20"/>
          <w:lang w:val="en-GB" w:eastAsia="sv-SE"/>
        </w:rPr>
        <w:t>all common organs</w:t>
      </w:r>
      <w:r w:rsidRPr="00275290">
        <w:rPr>
          <w:rFonts w:ascii="Verdana" w:eastAsia="Times New Roman" w:hAnsi="Verdana"/>
          <w:sz w:val="20"/>
          <w:szCs w:val="20"/>
          <w:lang w:val="en-GB" w:eastAsia="sv-SE"/>
        </w:rPr>
        <w:t xml:space="preserve">. The risk should be considered as acceptable. </w:t>
      </w:r>
    </w:p>
    <w:p w14:paraId="7D0606F2" w14:textId="77777777" w:rsidR="009D4550" w:rsidRPr="00275290" w:rsidRDefault="009D4550" w:rsidP="009D4550">
      <w:pPr>
        <w:pStyle w:val="BfRBBStandard"/>
        <w:ind w:left="720"/>
        <w:rPr>
          <w:rFonts w:ascii="Verdana" w:eastAsia="Times New Roman" w:hAnsi="Verdana"/>
          <w:sz w:val="20"/>
          <w:szCs w:val="20"/>
          <w:lang w:val="en-GB" w:eastAsia="sv-SE"/>
        </w:rPr>
      </w:pPr>
    </w:p>
    <w:p w14:paraId="6B456A06" w14:textId="77777777" w:rsidR="009D4550" w:rsidRPr="00275290" w:rsidRDefault="009D4550" w:rsidP="009D4550">
      <w:pPr>
        <w:pStyle w:val="BfRBBStandard"/>
        <w:rPr>
          <w:rFonts w:ascii="Verdana" w:eastAsia="Times New Roman" w:hAnsi="Verdana"/>
          <w:sz w:val="20"/>
          <w:szCs w:val="20"/>
          <w:lang w:val="en-GB" w:eastAsia="sv-SE"/>
        </w:rPr>
      </w:pPr>
    </w:p>
    <w:p w14:paraId="01C7B4B0" w14:textId="63CBB1F8" w:rsidR="00510561" w:rsidRDefault="00510561" w:rsidP="009D4550">
      <w:pPr>
        <w:pStyle w:val="BfRBBStandard"/>
        <w:rPr>
          <w:rFonts w:ascii="Verdana" w:eastAsia="Times New Roman" w:hAnsi="Verdana"/>
          <w:b/>
          <w:i/>
          <w:sz w:val="20"/>
          <w:szCs w:val="20"/>
          <w:u w:val="single"/>
          <w:lang w:val="en-GB" w:eastAsia="sv-SE"/>
        </w:rPr>
      </w:pPr>
      <w:r>
        <w:rPr>
          <w:rFonts w:ascii="Verdana" w:eastAsia="Times New Roman" w:hAnsi="Verdana"/>
          <w:b/>
          <w:i/>
          <w:sz w:val="20"/>
          <w:szCs w:val="20"/>
          <w:u w:val="single"/>
          <w:lang w:val="en-GB" w:eastAsia="sv-SE"/>
        </w:rPr>
        <w:t>Injection</w:t>
      </w:r>
    </w:p>
    <w:p w14:paraId="03CB206A" w14:textId="77777777" w:rsidR="00510561" w:rsidRDefault="00510561" w:rsidP="009D4550">
      <w:pPr>
        <w:pStyle w:val="BfRBBStandard"/>
        <w:rPr>
          <w:rFonts w:ascii="Verdana" w:eastAsia="Times New Roman" w:hAnsi="Verdana"/>
          <w:b/>
          <w:i/>
          <w:sz w:val="20"/>
          <w:szCs w:val="20"/>
          <w:u w:val="single"/>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2126"/>
        <w:gridCol w:w="1448"/>
      </w:tblGrid>
      <w:tr w:rsidR="00F67CCD" w:rsidRPr="00275290" w14:paraId="00DF1BC1" w14:textId="77777777" w:rsidTr="00C81964">
        <w:trPr>
          <w:cantSplit/>
          <w:tblHeader/>
        </w:trPr>
        <w:tc>
          <w:tcPr>
            <w:tcW w:w="1668" w:type="dxa"/>
          </w:tcPr>
          <w:p w14:paraId="2586F10D" w14:textId="77777777" w:rsidR="00F67CCD" w:rsidRPr="00275290" w:rsidRDefault="00F67CCD" w:rsidP="000116E6">
            <w:pPr>
              <w:autoSpaceDE w:val="0"/>
              <w:autoSpaceDN w:val="0"/>
              <w:adjustRightInd w:val="0"/>
              <w:spacing w:before="60" w:after="60"/>
              <w:rPr>
                <w:rFonts w:cs="Arial"/>
              </w:rPr>
            </w:pPr>
            <w:r w:rsidRPr="00275290">
              <w:rPr>
                <w:rFonts w:cs="Arial"/>
              </w:rPr>
              <w:t>Scenario</w:t>
            </w:r>
          </w:p>
        </w:tc>
        <w:tc>
          <w:tcPr>
            <w:tcW w:w="2693" w:type="dxa"/>
          </w:tcPr>
          <w:p w14:paraId="44DA446F" w14:textId="77777777" w:rsidR="00F67CCD" w:rsidRPr="0021636F" w:rsidRDefault="00F67CCD" w:rsidP="000116E6">
            <w:pPr>
              <w:tabs>
                <w:tab w:val="left" w:pos="426"/>
              </w:tabs>
              <w:autoSpaceDE w:val="0"/>
              <w:autoSpaceDN w:val="0"/>
              <w:adjustRightInd w:val="0"/>
              <w:spacing w:before="60" w:after="60"/>
              <w:rPr>
                <w:rFonts w:cs="Arial"/>
                <w:lang w:val="es-US"/>
              </w:rPr>
            </w:pPr>
            <w:r w:rsidRPr="0021636F">
              <w:rPr>
                <w:rFonts w:cs="Arial"/>
                <w:lang w:val="es-US"/>
              </w:rPr>
              <w:t>AEL</w:t>
            </w:r>
          </w:p>
          <w:p w14:paraId="04801F75" w14:textId="77777777" w:rsidR="00F67CCD" w:rsidRPr="0021636F" w:rsidRDefault="00F67CCD" w:rsidP="000116E6">
            <w:pPr>
              <w:tabs>
                <w:tab w:val="left" w:pos="426"/>
              </w:tabs>
              <w:autoSpaceDE w:val="0"/>
              <w:autoSpaceDN w:val="0"/>
              <w:adjustRightInd w:val="0"/>
              <w:spacing w:before="60" w:after="60"/>
              <w:rPr>
                <w:rFonts w:cs="Arial"/>
                <w:lang w:val="es-US"/>
              </w:rPr>
            </w:pPr>
            <w:r w:rsidRPr="0021636F">
              <w:rPr>
                <w:rFonts w:cs="Arial"/>
                <w:lang w:val="es-US"/>
              </w:rPr>
              <w:t>(mg/kg pc/j)</w:t>
            </w:r>
          </w:p>
        </w:tc>
        <w:tc>
          <w:tcPr>
            <w:tcW w:w="2126" w:type="dxa"/>
          </w:tcPr>
          <w:p w14:paraId="424389C5" w14:textId="77777777" w:rsidR="00F67CCD" w:rsidRPr="00ED68BA" w:rsidRDefault="00F67CCD" w:rsidP="000116E6">
            <w:pPr>
              <w:autoSpaceDE w:val="0"/>
              <w:autoSpaceDN w:val="0"/>
              <w:adjustRightInd w:val="0"/>
              <w:spacing w:before="60" w:after="60"/>
              <w:rPr>
                <w:rFonts w:cs="Arial"/>
                <w:lang w:val="fr-FR"/>
              </w:rPr>
            </w:pPr>
            <w:r w:rsidRPr="00ED68BA">
              <w:rPr>
                <w:rFonts w:cs="Arial"/>
                <w:lang w:val="fr-FR"/>
              </w:rPr>
              <w:t>Exposure</w:t>
            </w:r>
          </w:p>
          <w:p w14:paraId="3409223C" w14:textId="77777777" w:rsidR="00F67CCD" w:rsidRPr="00ED68BA" w:rsidRDefault="00F67CCD" w:rsidP="000116E6">
            <w:pPr>
              <w:autoSpaceDE w:val="0"/>
              <w:autoSpaceDN w:val="0"/>
              <w:adjustRightInd w:val="0"/>
              <w:spacing w:before="60" w:after="60"/>
              <w:rPr>
                <w:rFonts w:cs="Arial"/>
                <w:lang w:val="fr-FR"/>
              </w:rPr>
            </w:pPr>
            <w:r w:rsidRPr="00ED68BA">
              <w:rPr>
                <w:rFonts w:cs="Arial"/>
                <w:lang w:val="fr-FR"/>
              </w:rPr>
              <w:t>(mg/kg pc/j)</w:t>
            </w:r>
          </w:p>
        </w:tc>
        <w:tc>
          <w:tcPr>
            <w:tcW w:w="1448" w:type="dxa"/>
          </w:tcPr>
          <w:p w14:paraId="5D731F34" w14:textId="77777777" w:rsidR="00F67CCD" w:rsidRPr="00275290" w:rsidRDefault="00F67CCD" w:rsidP="000116E6">
            <w:pPr>
              <w:autoSpaceDE w:val="0"/>
              <w:autoSpaceDN w:val="0"/>
              <w:adjustRightInd w:val="0"/>
              <w:spacing w:before="60" w:after="60"/>
              <w:rPr>
                <w:rFonts w:cs="Arial"/>
              </w:rPr>
            </w:pPr>
            <w:r w:rsidRPr="00275290">
              <w:rPr>
                <w:rFonts w:cs="Arial"/>
              </w:rPr>
              <w:t>% AEL</w:t>
            </w:r>
          </w:p>
        </w:tc>
      </w:tr>
      <w:tr w:rsidR="00F67CCD" w:rsidRPr="00275290" w14:paraId="33A97500" w14:textId="77777777" w:rsidTr="00666966">
        <w:trPr>
          <w:cantSplit/>
        </w:trPr>
        <w:tc>
          <w:tcPr>
            <w:tcW w:w="7935" w:type="dxa"/>
            <w:gridSpan w:val="4"/>
            <w:shd w:val="clear" w:color="auto" w:fill="BFBFBF" w:themeFill="background1" w:themeFillShade="BF"/>
            <w:vAlign w:val="center"/>
          </w:tcPr>
          <w:p w14:paraId="62854C37" w14:textId="5A4D3DB1" w:rsidR="00F67CCD" w:rsidRPr="00275290" w:rsidRDefault="00F67CCD" w:rsidP="000116E6">
            <w:pPr>
              <w:rPr>
                <w:rFonts w:cs="Arial"/>
                <w:lang w:val="en-US"/>
              </w:rPr>
            </w:pPr>
            <w:r>
              <w:rPr>
                <w:rFonts w:cs="Arial"/>
                <w:b/>
                <w:lang w:val="en-US"/>
              </w:rPr>
              <w:t>Injection  145</w:t>
            </w:r>
            <w:r w:rsidRPr="00633030">
              <w:rPr>
                <w:rFonts w:eastAsiaTheme="minorHAnsi" w:cs="Arial"/>
                <w:b/>
                <w:lang w:val="en-US"/>
              </w:rPr>
              <w:t xml:space="preserve"> g/m</w:t>
            </w:r>
            <w:r w:rsidRPr="00633030">
              <w:rPr>
                <w:rFonts w:eastAsiaTheme="minorHAnsi" w:cs="Arial"/>
                <w:b/>
                <w:vertAlign w:val="superscript"/>
                <w:lang w:val="en-US"/>
              </w:rPr>
              <w:t>2</w:t>
            </w:r>
            <w:r w:rsidRPr="00633030">
              <w:rPr>
                <w:rFonts w:eastAsiaTheme="minorHAnsi" w:cs="Arial"/>
                <w:b/>
                <w:lang w:val="en-US"/>
              </w:rPr>
              <w:t xml:space="preserve"> – with gloves during injection and no PPE during cleaning</w:t>
            </w:r>
          </w:p>
        </w:tc>
      </w:tr>
      <w:tr w:rsidR="00F67CCD" w:rsidRPr="00275290" w14:paraId="7B5CDFE8" w14:textId="77777777" w:rsidTr="00666966">
        <w:trPr>
          <w:cantSplit/>
        </w:trPr>
        <w:tc>
          <w:tcPr>
            <w:tcW w:w="1668" w:type="dxa"/>
            <w:vAlign w:val="center"/>
          </w:tcPr>
          <w:p w14:paraId="06FA5D6E" w14:textId="77777777" w:rsidR="00F67CCD" w:rsidRPr="00275290" w:rsidRDefault="00F67CCD" w:rsidP="000116E6">
            <w:pPr>
              <w:rPr>
                <w:rFonts w:cs="Arial"/>
                <w:lang w:val="fr-FR"/>
              </w:rPr>
            </w:pPr>
            <w:r w:rsidRPr="00275290">
              <w:rPr>
                <w:rFonts w:cs="Arial"/>
                <w:lang w:val="fr-FR"/>
              </w:rPr>
              <w:t>M&amp;L</w:t>
            </w:r>
          </w:p>
        </w:tc>
        <w:tc>
          <w:tcPr>
            <w:tcW w:w="6267" w:type="dxa"/>
            <w:gridSpan w:val="3"/>
            <w:vAlign w:val="center"/>
          </w:tcPr>
          <w:p w14:paraId="24766880" w14:textId="7EAD1792" w:rsidR="00F67CCD" w:rsidRPr="00275290" w:rsidRDefault="00F67CCD" w:rsidP="000116E6">
            <w:pPr>
              <w:rPr>
                <w:rFonts w:cs="Arial"/>
                <w:lang w:val="fr-FR"/>
              </w:rPr>
            </w:pPr>
            <w:r w:rsidRPr="00275290">
              <w:rPr>
                <w:rFonts w:cs="Arial"/>
                <w:lang w:val="fr-FR"/>
              </w:rPr>
              <w:t>Included in the model</w:t>
            </w:r>
          </w:p>
        </w:tc>
      </w:tr>
      <w:tr w:rsidR="00F67CCD" w:rsidRPr="00275290" w14:paraId="2A89078D" w14:textId="77777777" w:rsidTr="00C81964">
        <w:trPr>
          <w:cantSplit/>
        </w:trPr>
        <w:tc>
          <w:tcPr>
            <w:tcW w:w="1668" w:type="dxa"/>
            <w:vMerge w:val="restart"/>
            <w:vAlign w:val="center"/>
          </w:tcPr>
          <w:p w14:paraId="60536F77" w14:textId="4592D70B" w:rsidR="00F67CCD" w:rsidRPr="00275290" w:rsidRDefault="00F67CCD">
            <w:pPr>
              <w:rPr>
                <w:rFonts w:cs="Arial"/>
                <w:lang w:val="en-US"/>
              </w:rPr>
            </w:pPr>
            <w:r>
              <w:rPr>
                <w:rFonts w:cs="Arial"/>
                <w:lang w:val="en-US"/>
              </w:rPr>
              <w:t>A</w:t>
            </w:r>
            <w:r w:rsidRPr="00275290">
              <w:rPr>
                <w:rFonts w:cs="Arial"/>
                <w:lang w:val="en-US"/>
              </w:rPr>
              <w:t xml:space="preserve">pplication </w:t>
            </w:r>
            <w:r>
              <w:rPr>
                <w:rFonts w:cs="Arial"/>
                <w:lang w:val="en-US"/>
              </w:rPr>
              <w:t>phase</w:t>
            </w:r>
          </w:p>
        </w:tc>
        <w:tc>
          <w:tcPr>
            <w:tcW w:w="2693" w:type="dxa"/>
            <w:vAlign w:val="center"/>
          </w:tcPr>
          <w:p w14:paraId="10000E91" w14:textId="0EAED48F"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vAlign w:val="center"/>
          </w:tcPr>
          <w:p w14:paraId="6D3B83D9" w14:textId="2888DE57" w:rsidR="00F67CCD" w:rsidRPr="00932144" w:rsidRDefault="00F67CCD" w:rsidP="000116E6">
            <w:pPr>
              <w:rPr>
                <w:rFonts w:cs="Arial"/>
                <w:lang w:val="fr-FR"/>
              </w:rPr>
            </w:pPr>
            <w:r w:rsidRPr="00932144">
              <w:rPr>
                <w:rFonts w:cs="Arial"/>
                <w:lang w:val="fr-FR"/>
              </w:rPr>
              <w:t>3.08E-03</w:t>
            </w:r>
          </w:p>
        </w:tc>
        <w:tc>
          <w:tcPr>
            <w:tcW w:w="1448" w:type="dxa"/>
            <w:vAlign w:val="center"/>
          </w:tcPr>
          <w:p w14:paraId="1F3E1E5C" w14:textId="7EC41D2D" w:rsidR="00F67CCD" w:rsidRPr="00275290" w:rsidRDefault="00F67CCD" w:rsidP="000116E6">
            <w:pPr>
              <w:rPr>
                <w:rFonts w:cs="Arial"/>
                <w:lang w:val="fr-FR"/>
              </w:rPr>
            </w:pPr>
            <w:r>
              <w:rPr>
                <w:rFonts w:cs="Arial"/>
                <w:lang w:val="fr-FR"/>
              </w:rPr>
              <w:t>14</w:t>
            </w:r>
          </w:p>
        </w:tc>
      </w:tr>
      <w:tr w:rsidR="00F67CCD" w:rsidRPr="00275290" w14:paraId="4522E8D2" w14:textId="77777777" w:rsidTr="00C81964">
        <w:trPr>
          <w:cantSplit/>
        </w:trPr>
        <w:tc>
          <w:tcPr>
            <w:tcW w:w="1668" w:type="dxa"/>
            <w:vMerge/>
            <w:vAlign w:val="center"/>
          </w:tcPr>
          <w:p w14:paraId="65F3860F" w14:textId="77777777" w:rsidR="00F67CCD" w:rsidRPr="00275290" w:rsidRDefault="00F67CCD" w:rsidP="000116E6">
            <w:pPr>
              <w:rPr>
                <w:rFonts w:cs="Arial"/>
                <w:lang w:val="fr-FR"/>
              </w:rPr>
            </w:pPr>
          </w:p>
        </w:tc>
        <w:tc>
          <w:tcPr>
            <w:tcW w:w="2693" w:type="dxa"/>
            <w:vAlign w:val="center"/>
          </w:tcPr>
          <w:p w14:paraId="4A6AE57C" w14:textId="77777777" w:rsidR="00F67CCD" w:rsidRPr="00275290" w:rsidRDefault="00F67CCD" w:rsidP="000116E6">
            <w:pPr>
              <w:rPr>
                <w:rFonts w:cs="Arial"/>
                <w:lang w:val="fr-FR"/>
              </w:rPr>
            </w:pPr>
            <w:r w:rsidRPr="00275290">
              <w:rPr>
                <w:rFonts w:cs="Arial"/>
                <w:lang w:val="fr-FR"/>
              </w:rPr>
              <w:t>Propiconazole : 0.04</w:t>
            </w:r>
          </w:p>
        </w:tc>
        <w:tc>
          <w:tcPr>
            <w:tcW w:w="2126" w:type="dxa"/>
            <w:vAlign w:val="center"/>
          </w:tcPr>
          <w:p w14:paraId="01F29F71" w14:textId="48D95706" w:rsidR="00F67CCD" w:rsidRPr="00932144" w:rsidRDefault="00F67CCD" w:rsidP="000116E6">
            <w:pPr>
              <w:rPr>
                <w:rFonts w:cs="Arial"/>
                <w:lang w:val="fr-FR"/>
              </w:rPr>
            </w:pPr>
            <w:r w:rsidRPr="00932144">
              <w:rPr>
                <w:rFonts w:cs="Arial"/>
                <w:lang w:val="fr-FR"/>
              </w:rPr>
              <w:t>4.46E-03</w:t>
            </w:r>
          </w:p>
        </w:tc>
        <w:tc>
          <w:tcPr>
            <w:tcW w:w="1448" w:type="dxa"/>
            <w:vAlign w:val="center"/>
          </w:tcPr>
          <w:p w14:paraId="53DB59E9" w14:textId="521F9267" w:rsidR="00F67CCD" w:rsidRPr="00275290" w:rsidRDefault="00F67CCD" w:rsidP="000116E6">
            <w:pPr>
              <w:rPr>
                <w:rFonts w:cs="Arial"/>
                <w:lang w:val="fr-FR"/>
              </w:rPr>
            </w:pPr>
            <w:r>
              <w:rPr>
                <w:rFonts w:cs="Arial"/>
                <w:lang w:val="fr-FR"/>
              </w:rPr>
              <w:t>11</w:t>
            </w:r>
          </w:p>
        </w:tc>
      </w:tr>
      <w:tr w:rsidR="00F67CCD" w:rsidRPr="00275290" w14:paraId="4741D315" w14:textId="77777777" w:rsidTr="00C81964">
        <w:trPr>
          <w:cantSplit/>
        </w:trPr>
        <w:tc>
          <w:tcPr>
            <w:tcW w:w="1668" w:type="dxa"/>
            <w:vMerge/>
            <w:vAlign w:val="center"/>
          </w:tcPr>
          <w:p w14:paraId="674A981A" w14:textId="77777777" w:rsidR="00F67CCD" w:rsidRPr="00275290" w:rsidRDefault="00F67CCD" w:rsidP="000116E6">
            <w:pPr>
              <w:rPr>
                <w:rFonts w:cs="Arial"/>
                <w:lang w:val="fr-FR"/>
              </w:rPr>
            </w:pPr>
          </w:p>
        </w:tc>
        <w:tc>
          <w:tcPr>
            <w:tcW w:w="2693" w:type="dxa"/>
            <w:vAlign w:val="center"/>
          </w:tcPr>
          <w:p w14:paraId="33BA1927" w14:textId="77777777" w:rsidR="00F67CCD" w:rsidRPr="00275290" w:rsidRDefault="00F67CCD" w:rsidP="000116E6">
            <w:pPr>
              <w:rPr>
                <w:rFonts w:cs="Arial"/>
                <w:lang w:val="fr-FR"/>
              </w:rPr>
            </w:pPr>
            <w:r w:rsidRPr="00275290">
              <w:rPr>
                <w:rFonts w:cs="Arial"/>
                <w:lang w:val="fr-FR"/>
              </w:rPr>
              <w:t>Tébuconazole : 0.03</w:t>
            </w:r>
          </w:p>
        </w:tc>
        <w:tc>
          <w:tcPr>
            <w:tcW w:w="2126" w:type="dxa"/>
            <w:vAlign w:val="center"/>
          </w:tcPr>
          <w:p w14:paraId="0563C2BD" w14:textId="086CF783" w:rsidR="00F67CCD" w:rsidRPr="00932144" w:rsidRDefault="00F67CCD" w:rsidP="000116E6">
            <w:pPr>
              <w:rPr>
                <w:rFonts w:cs="Arial"/>
                <w:lang w:val="fr-FR"/>
              </w:rPr>
            </w:pPr>
            <w:r w:rsidRPr="00932144">
              <w:rPr>
                <w:rFonts w:cs="Arial"/>
                <w:lang w:val="fr-FR"/>
              </w:rPr>
              <w:t>1.66E-03</w:t>
            </w:r>
          </w:p>
        </w:tc>
        <w:tc>
          <w:tcPr>
            <w:tcW w:w="1448" w:type="dxa"/>
            <w:vAlign w:val="center"/>
          </w:tcPr>
          <w:p w14:paraId="5F3290C5" w14:textId="5F98B335" w:rsidR="00F67CCD" w:rsidRPr="00275290" w:rsidRDefault="00F67CCD" w:rsidP="000116E6">
            <w:pPr>
              <w:rPr>
                <w:rFonts w:cs="Arial"/>
                <w:lang w:val="fr-FR"/>
              </w:rPr>
            </w:pPr>
            <w:r>
              <w:rPr>
                <w:rFonts w:cs="Arial"/>
                <w:lang w:val="fr-FR"/>
              </w:rPr>
              <w:t>6</w:t>
            </w:r>
          </w:p>
        </w:tc>
      </w:tr>
      <w:tr w:rsidR="00F67CCD" w:rsidRPr="00275290" w14:paraId="704A588E" w14:textId="77777777" w:rsidTr="00C81964">
        <w:trPr>
          <w:cantSplit/>
        </w:trPr>
        <w:tc>
          <w:tcPr>
            <w:tcW w:w="1668" w:type="dxa"/>
            <w:vMerge/>
            <w:vAlign w:val="center"/>
          </w:tcPr>
          <w:p w14:paraId="434BA14C" w14:textId="77777777" w:rsidR="00F67CCD" w:rsidRPr="00275290" w:rsidRDefault="00F67CCD" w:rsidP="000116E6">
            <w:pPr>
              <w:rPr>
                <w:rFonts w:cs="Arial"/>
                <w:lang w:val="fr-FR"/>
              </w:rPr>
            </w:pPr>
          </w:p>
        </w:tc>
        <w:tc>
          <w:tcPr>
            <w:tcW w:w="2693" w:type="dxa"/>
            <w:vAlign w:val="center"/>
          </w:tcPr>
          <w:p w14:paraId="58AE4EA3" w14:textId="641D2C77"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vAlign w:val="center"/>
          </w:tcPr>
          <w:p w14:paraId="02B77236" w14:textId="57601443" w:rsidR="00F67CCD" w:rsidRPr="00275290" w:rsidRDefault="00F67CCD" w:rsidP="000116E6">
            <w:pPr>
              <w:rPr>
                <w:rFonts w:cs="Arial"/>
                <w:lang w:val="fr-FR"/>
              </w:rPr>
            </w:pPr>
            <w:r w:rsidRPr="00932144">
              <w:rPr>
                <w:rFonts w:cs="Arial"/>
                <w:lang w:val="fr-FR"/>
              </w:rPr>
              <w:t>4.01E-03</w:t>
            </w:r>
          </w:p>
        </w:tc>
        <w:tc>
          <w:tcPr>
            <w:tcW w:w="1448" w:type="dxa"/>
            <w:vAlign w:val="center"/>
          </w:tcPr>
          <w:p w14:paraId="52A5298E" w14:textId="60A34AB1" w:rsidR="00F67CCD" w:rsidRPr="00275290" w:rsidRDefault="00F67CCD" w:rsidP="000116E6">
            <w:pPr>
              <w:rPr>
                <w:rFonts w:cs="Arial"/>
                <w:lang w:val="fr-FR"/>
              </w:rPr>
            </w:pPr>
            <w:r>
              <w:rPr>
                <w:rFonts w:cs="Arial"/>
                <w:lang w:val="fr-FR"/>
              </w:rPr>
              <w:t>2</w:t>
            </w:r>
          </w:p>
        </w:tc>
      </w:tr>
      <w:tr w:rsidR="008834C4" w:rsidRPr="00275290" w14:paraId="52F1F9D9" w14:textId="77777777" w:rsidTr="00C81964">
        <w:trPr>
          <w:cantSplit/>
        </w:trPr>
        <w:tc>
          <w:tcPr>
            <w:tcW w:w="1668" w:type="dxa"/>
            <w:vMerge w:val="restart"/>
            <w:vAlign w:val="center"/>
          </w:tcPr>
          <w:p w14:paraId="6F343E23" w14:textId="3448047A" w:rsidR="008834C4" w:rsidRPr="00275290" w:rsidRDefault="008834C4" w:rsidP="000116E6">
            <w:pPr>
              <w:rPr>
                <w:rFonts w:cs="Arial"/>
                <w:lang w:val="en-US"/>
              </w:rPr>
            </w:pPr>
            <w:r w:rsidRPr="00275290">
              <w:rPr>
                <w:rFonts w:cs="Arial"/>
                <w:lang w:val="en-US"/>
              </w:rPr>
              <w:t xml:space="preserve">Cleaning equipment </w:t>
            </w:r>
          </w:p>
        </w:tc>
        <w:tc>
          <w:tcPr>
            <w:tcW w:w="2693" w:type="dxa"/>
            <w:vAlign w:val="center"/>
          </w:tcPr>
          <w:p w14:paraId="489E8AD4" w14:textId="4E3FCC1D" w:rsidR="008834C4" w:rsidRPr="00275290" w:rsidRDefault="008834C4"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vAlign w:val="center"/>
          </w:tcPr>
          <w:p w14:paraId="0540AFDA" w14:textId="23B87464" w:rsidR="008834C4" w:rsidRPr="00932144" w:rsidRDefault="008834C4" w:rsidP="000116E6">
            <w:pPr>
              <w:rPr>
                <w:rFonts w:cs="Arial"/>
                <w:lang w:val="fr-FR"/>
              </w:rPr>
            </w:pPr>
            <w:r w:rsidRPr="00932144">
              <w:rPr>
                <w:rFonts w:cs="Arial"/>
                <w:lang w:val="fr-FR"/>
              </w:rPr>
              <w:t>2.</w:t>
            </w:r>
            <w:r>
              <w:rPr>
                <w:rFonts w:cs="Arial"/>
                <w:lang w:val="fr-FR"/>
              </w:rPr>
              <w:t>46</w:t>
            </w:r>
            <w:r w:rsidRPr="00932144">
              <w:rPr>
                <w:rFonts w:cs="Arial"/>
                <w:lang w:val="fr-FR"/>
              </w:rPr>
              <w:t>E-03</w:t>
            </w:r>
          </w:p>
        </w:tc>
        <w:tc>
          <w:tcPr>
            <w:tcW w:w="1448" w:type="dxa"/>
            <w:vAlign w:val="center"/>
          </w:tcPr>
          <w:p w14:paraId="1DA6E097" w14:textId="7655F67E" w:rsidR="008834C4" w:rsidRPr="00275290" w:rsidRDefault="008834C4" w:rsidP="000116E6">
            <w:pPr>
              <w:rPr>
                <w:rFonts w:cs="Arial"/>
                <w:lang w:val="fr-FR"/>
              </w:rPr>
            </w:pPr>
            <w:r>
              <w:rPr>
                <w:rFonts w:cs="Arial"/>
                <w:lang w:val="fr-FR"/>
              </w:rPr>
              <w:t>11</w:t>
            </w:r>
          </w:p>
        </w:tc>
      </w:tr>
      <w:tr w:rsidR="008834C4" w:rsidRPr="00275290" w14:paraId="160137B2" w14:textId="77777777" w:rsidTr="00C81964">
        <w:trPr>
          <w:cantSplit/>
        </w:trPr>
        <w:tc>
          <w:tcPr>
            <w:tcW w:w="1668" w:type="dxa"/>
            <w:vMerge/>
            <w:vAlign w:val="center"/>
          </w:tcPr>
          <w:p w14:paraId="280AE5BB" w14:textId="77777777" w:rsidR="008834C4" w:rsidRPr="00275290" w:rsidRDefault="008834C4" w:rsidP="000116E6">
            <w:pPr>
              <w:rPr>
                <w:rFonts w:cs="Arial"/>
                <w:lang w:val="fr-FR"/>
              </w:rPr>
            </w:pPr>
          </w:p>
        </w:tc>
        <w:tc>
          <w:tcPr>
            <w:tcW w:w="2693" w:type="dxa"/>
            <w:vAlign w:val="center"/>
          </w:tcPr>
          <w:p w14:paraId="451BFFFD" w14:textId="77777777" w:rsidR="008834C4" w:rsidRPr="00275290" w:rsidRDefault="008834C4" w:rsidP="000116E6">
            <w:pPr>
              <w:rPr>
                <w:rFonts w:cs="Arial"/>
                <w:lang w:val="fr-FR"/>
              </w:rPr>
            </w:pPr>
            <w:r w:rsidRPr="00275290">
              <w:rPr>
                <w:rFonts w:cs="Arial"/>
                <w:lang w:val="fr-FR"/>
              </w:rPr>
              <w:t>Propiconazole : 0.04</w:t>
            </w:r>
          </w:p>
        </w:tc>
        <w:tc>
          <w:tcPr>
            <w:tcW w:w="2126" w:type="dxa"/>
            <w:vAlign w:val="center"/>
          </w:tcPr>
          <w:p w14:paraId="5E386A92" w14:textId="5ADE3BA1" w:rsidR="008834C4" w:rsidRPr="00932144" w:rsidRDefault="008834C4" w:rsidP="000116E6">
            <w:pPr>
              <w:rPr>
                <w:rFonts w:cs="Arial"/>
                <w:lang w:val="fr-FR"/>
              </w:rPr>
            </w:pPr>
            <w:r w:rsidRPr="00932144">
              <w:rPr>
                <w:rFonts w:cs="Arial"/>
                <w:lang w:val="fr-FR"/>
              </w:rPr>
              <w:t>3.</w:t>
            </w:r>
            <w:r>
              <w:rPr>
                <w:rFonts w:cs="Arial"/>
                <w:lang w:val="fr-FR"/>
              </w:rPr>
              <w:t>56</w:t>
            </w:r>
            <w:r w:rsidRPr="00932144">
              <w:rPr>
                <w:rFonts w:cs="Arial"/>
                <w:lang w:val="fr-FR"/>
              </w:rPr>
              <w:t>E-03</w:t>
            </w:r>
          </w:p>
        </w:tc>
        <w:tc>
          <w:tcPr>
            <w:tcW w:w="1448" w:type="dxa"/>
            <w:vAlign w:val="center"/>
          </w:tcPr>
          <w:p w14:paraId="355D3ED4" w14:textId="65253C60" w:rsidR="008834C4" w:rsidRPr="00275290" w:rsidRDefault="008834C4" w:rsidP="000116E6">
            <w:pPr>
              <w:rPr>
                <w:rFonts w:cs="Arial"/>
                <w:lang w:val="fr-FR"/>
              </w:rPr>
            </w:pPr>
            <w:r>
              <w:rPr>
                <w:rFonts w:cs="Arial"/>
                <w:lang w:val="fr-FR"/>
              </w:rPr>
              <w:t>8.9</w:t>
            </w:r>
          </w:p>
        </w:tc>
      </w:tr>
      <w:tr w:rsidR="008834C4" w:rsidRPr="00275290" w14:paraId="0BB43CAD" w14:textId="77777777" w:rsidTr="00C81964">
        <w:trPr>
          <w:cantSplit/>
        </w:trPr>
        <w:tc>
          <w:tcPr>
            <w:tcW w:w="1668" w:type="dxa"/>
            <w:vMerge/>
            <w:vAlign w:val="center"/>
          </w:tcPr>
          <w:p w14:paraId="47C25944" w14:textId="77777777" w:rsidR="008834C4" w:rsidRPr="00275290" w:rsidRDefault="008834C4" w:rsidP="000116E6">
            <w:pPr>
              <w:rPr>
                <w:rFonts w:cs="Arial"/>
                <w:lang w:val="fr-FR"/>
              </w:rPr>
            </w:pPr>
          </w:p>
        </w:tc>
        <w:tc>
          <w:tcPr>
            <w:tcW w:w="2693" w:type="dxa"/>
            <w:vAlign w:val="center"/>
          </w:tcPr>
          <w:p w14:paraId="05E768FD" w14:textId="77777777" w:rsidR="008834C4" w:rsidRPr="00275290" w:rsidRDefault="008834C4" w:rsidP="000116E6">
            <w:pPr>
              <w:rPr>
                <w:rFonts w:cs="Arial"/>
                <w:lang w:val="fr-FR"/>
              </w:rPr>
            </w:pPr>
            <w:r w:rsidRPr="00275290">
              <w:rPr>
                <w:rFonts w:cs="Arial"/>
                <w:lang w:val="fr-FR"/>
              </w:rPr>
              <w:t>Tébuconazole : 0.03</w:t>
            </w:r>
          </w:p>
        </w:tc>
        <w:tc>
          <w:tcPr>
            <w:tcW w:w="2126" w:type="dxa"/>
            <w:vAlign w:val="center"/>
          </w:tcPr>
          <w:p w14:paraId="19B358E0" w14:textId="608A099D" w:rsidR="008834C4" w:rsidRPr="00932144" w:rsidRDefault="008834C4" w:rsidP="000116E6">
            <w:pPr>
              <w:rPr>
                <w:rFonts w:cs="Arial"/>
                <w:lang w:val="fr-FR"/>
              </w:rPr>
            </w:pPr>
            <w:r w:rsidRPr="00932144">
              <w:rPr>
                <w:rFonts w:cs="Arial"/>
                <w:lang w:val="fr-FR"/>
              </w:rPr>
              <w:t>1.</w:t>
            </w:r>
            <w:r>
              <w:rPr>
                <w:rFonts w:cs="Arial"/>
                <w:lang w:val="fr-FR"/>
              </w:rPr>
              <w:t>33</w:t>
            </w:r>
            <w:r w:rsidRPr="00932144">
              <w:rPr>
                <w:rFonts w:cs="Arial"/>
                <w:lang w:val="fr-FR"/>
              </w:rPr>
              <w:t>E-03</w:t>
            </w:r>
          </w:p>
        </w:tc>
        <w:tc>
          <w:tcPr>
            <w:tcW w:w="1448" w:type="dxa"/>
            <w:vAlign w:val="center"/>
          </w:tcPr>
          <w:p w14:paraId="10654E3D" w14:textId="2A9FA49A" w:rsidR="008834C4" w:rsidRPr="00275290" w:rsidRDefault="008834C4" w:rsidP="000116E6">
            <w:pPr>
              <w:rPr>
                <w:rFonts w:cs="Arial"/>
                <w:lang w:val="fr-FR"/>
              </w:rPr>
            </w:pPr>
            <w:r>
              <w:rPr>
                <w:rFonts w:cs="Arial"/>
                <w:lang w:val="fr-FR"/>
              </w:rPr>
              <w:t>4.4</w:t>
            </w:r>
          </w:p>
        </w:tc>
      </w:tr>
      <w:tr w:rsidR="008834C4" w:rsidRPr="00275290" w14:paraId="15BDC96B" w14:textId="77777777" w:rsidTr="00C81964">
        <w:trPr>
          <w:cantSplit/>
        </w:trPr>
        <w:tc>
          <w:tcPr>
            <w:tcW w:w="1668" w:type="dxa"/>
            <w:vMerge/>
            <w:vAlign w:val="center"/>
          </w:tcPr>
          <w:p w14:paraId="1C886AE7" w14:textId="77777777" w:rsidR="008834C4" w:rsidRPr="00275290" w:rsidRDefault="008834C4" w:rsidP="000116E6">
            <w:pPr>
              <w:rPr>
                <w:rFonts w:cs="Arial"/>
                <w:lang w:val="fr-FR"/>
              </w:rPr>
            </w:pPr>
          </w:p>
        </w:tc>
        <w:tc>
          <w:tcPr>
            <w:tcW w:w="2693" w:type="dxa"/>
            <w:vAlign w:val="center"/>
          </w:tcPr>
          <w:p w14:paraId="369E051F" w14:textId="00864A2F" w:rsidR="008834C4" w:rsidRPr="00275290" w:rsidRDefault="008834C4"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vAlign w:val="center"/>
          </w:tcPr>
          <w:p w14:paraId="67373D5E" w14:textId="497A763F" w:rsidR="008834C4" w:rsidRPr="00932144" w:rsidRDefault="008834C4" w:rsidP="000116E6">
            <w:pPr>
              <w:rPr>
                <w:rFonts w:cs="Arial"/>
                <w:lang w:val="fr-FR"/>
              </w:rPr>
            </w:pPr>
            <w:r w:rsidRPr="00932144">
              <w:rPr>
                <w:rFonts w:cs="Arial"/>
                <w:lang w:val="fr-FR"/>
              </w:rPr>
              <w:t>3.</w:t>
            </w:r>
            <w:r>
              <w:rPr>
                <w:rFonts w:cs="Arial"/>
                <w:lang w:val="fr-FR"/>
              </w:rPr>
              <w:t>21</w:t>
            </w:r>
            <w:r w:rsidRPr="00932144">
              <w:rPr>
                <w:rFonts w:cs="Arial"/>
                <w:lang w:val="fr-FR"/>
              </w:rPr>
              <w:t>E-03</w:t>
            </w:r>
          </w:p>
        </w:tc>
        <w:tc>
          <w:tcPr>
            <w:tcW w:w="1448" w:type="dxa"/>
            <w:vAlign w:val="center"/>
          </w:tcPr>
          <w:p w14:paraId="4D3A2773" w14:textId="7A17219B" w:rsidR="008834C4" w:rsidRPr="00275290" w:rsidRDefault="008834C4" w:rsidP="000116E6">
            <w:pPr>
              <w:rPr>
                <w:rFonts w:cs="Arial"/>
                <w:lang w:val="fr-FR"/>
              </w:rPr>
            </w:pPr>
            <w:r>
              <w:rPr>
                <w:rFonts w:cs="Arial"/>
                <w:lang w:val="fr-FR"/>
              </w:rPr>
              <w:t>1.6</w:t>
            </w:r>
          </w:p>
        </w:tc>
      </w:tr>
      <w:tr w:rsidR="008834C4" w:rsidRPr="00275290" w14:paraId="10A6E7F8" w14:textId="77777777" w:rsidTr="00C81964">
        <w:trPr>
          <w:cantSplit/>
        </w:trPr>
        <w:tc>
          <w:tcPr>
            <w:tcW w:w="1668" w:type="dxa"/>
            <w:vMerge w:val="restart"/>
            <w:shd w:val="clear" w:color="auto" w:fill="C6D9F1" w:themeFill="text2" w:themeFillTint="33"/>
            <w:vAlign w:val="center"/>
          </w:tcPr>
          <w:p w14:paraId="2CE4D7AD" w14:textId="77777777" w:rsidR="008834C4" w:rsidRPr="00275290" w:rsidRDefault="008834C4" w:rsidP="000116E6">
            <w:pPr>
              <w:rPr>
                <w:rFonts w:cs="Arial"/>
                <w:lang w:val="fr-FR"/>
              </w:rPr>
            </w:pPr>
            <w:r w:rsidRPr="00275290">
              <w:rPr>
                <w:rFonts w:cs="Arial"/>
                <w:lang w:val="fr-FR"/>
              </w:rPr>
              <w:t>Appli + cleaning</w:t>
            </w:r>
          </w:p>
        </w:tc>
        <w:tc>
          <w:tcPr>
            <w:tcW w:w="2693" w:type="dxa"/>
            <w:shd w:val="clear" w:color="auto" w:fill="C6D9F1" w:themeFill="text2" w:themeFillTint="33"/>
            <w:vAlign w:val="center"/>
          </w:tcPr>
          <w:p w14:paraId="548D542B" w14:textId="3AD891CA" w:rsidR="008834C4" w:rsidRPr="00275290" w:rsidRDefault="008834C4"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shd w:val="clear" w:color="auto" w:fill="C6D9F1" w:themeFill="text2" w:themeFillTint="33"/>
            <w:vAlign w:val="center"/>
          </w:tcPr>
          <w:p w14:paraId="4CE2E6C3" w14:textId="64712587" w:rsidR="008834C4" w:rsidRPr="00932144" w:rsidRDefault="008834C4" w:rsidP="000116E6">
            <w:pPr>
              <w:rPr>
                <w:rFonts w:cs="Arial"/>
                <w:lang w:val="fr-FR"/>
              </w:rPr>
            </w:pPr>
            <w:r w:rsidRPr="00932144">
              <w:rPr>
                <w:rFonts w:cs="Arial"/>
                <w:lang w:val="fr-FR"/>
              </w:rPr>
              <w:t>5.</w:t>
            </w:r>
            <w:r>
              <w:rPr>
                <w:rFonts w:cs="Arial"/>
                <w:lang w:val="fr-FR"/>
              </w:rPr>
              <w:t>55</w:t>
            </w:r>
            <w:r w:rsidRPr="00932144">
              <w:rPr>
                <w:rFonts w:cs="Arial"/>
                <w:lang w:val="fr-FR"/>
              </w:rPr>
              <w:t>E-03</w:t>
            </w:r>
          </w:p>
        </w:tc>
        <w:tc>
          <w:tcPr>
            <w:tcW w:w="1448" w:type="dxa"/>
            <w:shd w:val="clear" w:color="auto" w:fill="C6D9F1" w:themeFill="text2" w:themeFillTint="33"/>
            <w:vAlign w:val="center"/>
          </w:tcPr>
          <w:p w14:paraId="37BBAB52" w14:textId="63B98D5F" w:rsidR="008834C4" w:rsidRPr="00275290" w:rsidRDefault="008834C4" w:rsidP="000116E6">
            <w:pPr>
              <w:rPr>
                <w:rFonts w:cs="Arial"/>
                <w:lang w:val="fr-FR"/>
              </w:rPr>
            </w:pPr>
            <w:r>
              <w:rPr>
                <w:rFonts w:cs="Arial"/>
                <w:lang w:val="fr-FR"/>
              </w:rPr>
              <w:t>25</w:t>
            </w:r>
          </w:p>
        </w:tc>
      </w:tr>
      <w:tr w:rsidR="008834C4" w:rsidRPr="00275290" w14:paraId="3FEF696C" w14:textId="77777777" w:rsidTr="00C81964">
        <w:trPr>
          <w:cantSplit/>
        </w:trPr>
        <w:tc>
          <w:tcPr>
            <w:tcW w:w="1668" w:type="dxa"/>
            <w:vMerge/>
            <w:shd w:val="clear" w:color="auto" w:fill="C6D9F1" w:themeFill="text2" w:themeFillTint="33"/>
            <w:vAlign w:val="center"/>
          </w:tcPr>
          <w:p w14:paraId="6E1DCBCA" w14:textId="77777777" w:rsidR="008834C4" w:rsidRPr="00275290" w:rsidRDefault="008834C4" w:rsidP="000116E6">
            <w:pPr>
              <w:rPr>
                <w:rFonts w:cs="Arial"/>
                <w:lang w:val="fr-FR"/>
              </w:rPr>
            </w:pPr>
          </w:p>
        </w:tc>
        <w:tc>
          <w:tcPr>
            <w:tcW w:w="2693" w:type="dxa"/>
            <w:shd w:val="clear" w:color="auto" w:fill="C6D9F1" w:themeFill="text2" w:themeFillTint="33"/>
            <w:vAlign w:val="center"/>
          </w:tcPr>
          <w:p w14:paraId="081FF527" w14:textId="77777777" w:rsidR="008834C4" w:rsidRPr="00275290" w:rsidRDefault="008834C4" w:rsidP="000116E6">
            <w:pPr>
              <w:rPr>
                <w:rFonts w:cs="Arial"/>
                <w:lang w:val="fr-FR"/>
              </w:rPr>
            </w:pPr>
            <w:r w:rsidRPr="00275290">
              <w:rPr>
                <w:rFonts w:cs="Arial"/>
                <w:lang w:val="fr-FR"/>
              </w:rPr>
              <w:t>Propiconazole : 0.04</w:t>
            </w:r>
          </w:p>
        </w:tc>
        <w:tc>
          <w:tcPr>
            <w:tcW w:w="2126" w:type="dxa"/>
            <w:shd w:val="clear" w:color="auto" w:fill="C6D9F1" w:themeFill="text2" w:themeFillTint="33"/>
            <w:vAlign w:val="center"/>
          </w:tcPr>
          <w:p w14:paraId="4D0C9AE1" w14:textId="607173D7" w:rsidR="008834C4" w:rsidRPr="00932144" w:rsidRDefault="008834C4" w:rsidP="000116E6">
            <w:pPr>
              <w:rPr>
                <w:rFonts w:cs="Arial"/>
                <w:lang w:val="fr-FR"/>
              </w:rPr>
            </w:pPr>
            <w:r w:rsidRPr="00932144">
              <w:rPr>
                <w:rFonts w:cs="Arial"/>
                <w:lang w:val="fr-FR"/>
              </w:rPr>
              <w:t>8.</w:t>
            </w:r>
            <w:r>
              <w:rPr>
                <w:rFonts w:cs="Arial"/>
                <w:lang w:val="fr-FR"/>
              </w:rPr>
              <w:t>02</w:t>
            </w:r>
            <w:r w:rsidRPr="00932144">
              <w:rPr>
                <w:rFonts w:cs="Arial"/>
                <w:lang w:val="fr-FR"/>
              </w:rPr>
              <w:t>E-03</w:t>
            </w:r>
          </w:p>
        </w:tc>
        <w:tc>
          <w:tcPr>
            <w:tcW w:w="1448" w:type="dxa"/>
            <w:shd w:val="clear" w:color="auto" w:fill="C6D9F1" w:themeFill="text2" w:themeFillTint="33"/>
            <w:vAlign w:val="center"/>
          </w:tcPr>
          <w:p w14:paraId="779E8F0A" w14:textId="7B75E262" w:rsidR="008834C4" w:rsidRPr="00275290" w:rsidRDefault="008834C4" w:rsidP="000116E6">
            <w:pPr>
              <w:rPr>
                <w:rFonts w:cs="Arial"/>
                <w:lang w:val="fr-FR"/>
              </w:rPr>
            </w:pPr>
            <w:r>
              <w:rPr>
                <w:rFonts w:cs="Arial"/>
                <w:lang w:val="fr-FR"/>
              </w:rPr>
              <w:t>20</w:t>
            </w:r>
          </w:p>
        </w:tc>
      </w:tr>
      <w:tr w:rsidR="008834C4" w:rsidRPr="00275290" w14:paraId="1CCE7BBA" w14:textId="77777777" w:rsidTr="00C81964">
        <w:trPr>
          <w:cantSplit/>
        </w:trPr>
        <w:tc>
          <w:tcPr>
            <w:tcW w:w="1668" w:type="dxa"/>
            <w:vMerge/>
            <w:shd w:val="clear" w:color="auto" w:fill="C6D9F1" w:themeFill="text2" w:themeFillTint="33"/>
            <w:vAlign w:val="center"/>
          </w:tcPr>
          <w:p w14:paraId="5EAC3C62" w14:textId="77777777" w:rsidR="008834C4" w:rsidRPr="00275290" w:rsidRDefault="008834C4" w:rsidP="000116E6">
            <w:pPr>
              <w:rPr>
                <w:rFonts w:cs="Arial"/>
                <w:lang w:val="fr-FR"/>
              </w:rPr>
            </w:pPr>
          </w:p>
        </w:tc>
        <w:tc>
          <w:tcPr>
            <w:tcW w:w="2693" w:type="dxa"/>
            <w:shd w:val="clear" w:color="auto" w:fill="C6D9F1" w:themeFill="text2" w:themeFillTint="33"/>
            <w:vAlign w:val="center"/>
          </w:tcPr>
          <w:p w14:paraId="109567E0" w14:textId="77777777" w:rsidR="008834C4" w:rsidRPr="00275290" w:rsidRDefault="008834C4" w:rsidP="000116E6">
            <w:pPr>
              <w:rPr>
                <w:rFonts w:cs="Arial"/>
                <w:lang w:val="fr-FR"/>
              </w:rPr>
            </w:pPr>
            <w:r w:rsidRPr="00275290">
              <w:rPr>
                <w:rFonts w:cs="Arial"/>
                <w:lang w:val="fr-FR"/>
              </w:rPr>
              <w:t>Tébuconazole : 0.03</w:t>
            </w:r>
          </w:p>
        </w:tc>
        <w:tc>
          <w:tcPr>
            <w:tcW w:w="2126" w:type="dxa"/>
            <w:shd w:val="clear" w:color="auto" w:fill="C6D9F1" w:themeFill="text2" w:themeFillTint="33"/>
            <w:vAlign w:val="center"/>
          </w:tcPr>
          <w:p w14:paraId="4EBEC1E8" w14:textId="747ABD4A" w:rsidR="008834C4" w:rsidRPr="00932144" w:rsidRDefault="008834C4" w:rsidP="000116E6">
            <w:pPr>
              <w:rPr>
                <w:rFonts w:cs="Arial"/>
                <w:lang w:val="fr-FR"/>
              </w:rPr>
            </w:pPr>
            <w:r>
              <w:rPr>
                <w:rFonts w:cs="Arial"/>
                <w:lang w:val="fr-FR"/>
              </w:rPr>
              <w:t>2.99</w:t>
            </w:r>
            <w:r w:rsidRPr="00932144">
              <w:rPr>
                <w:rFonts w:cs="Arial"/>
                <w:lang w:val="fr-FR"/>
              </w:rPr>
              <w:t>E-03</w:t>
            </w:r>
          </w:p>
        </w:tc>
        <w:tc>
          <w:tcPr>
            <w:tcW w:w="1448" w:type="dxa"/>
            <w:shd w:val="clear" w:color="auto" w:fill="C6D9F1" w:themeFill="text2" w:themeFillTint="33"/>
            <w:vAlign w:val="center"/>
          </w:tcPr>
          <w:p w14:paraId="0721D0B4" w14:textId="23CAE26D" w:rsidR="008834C4" w:rsidRPr="00275290" w:rsidRDefault="008834C4" w:rsidP="000116E6">
            <w:pPr>
              <w:rPr>
                <w:rFonts w:cs="Arial"/>
                <w:lang w:val="fr-FR"/>
              </w:rPr>
            </w:pPr>
            <w:r>
              <w:rPr>
                <w:rFonts w:cs="Arial"/>
                <w:lang w:val="fr-FR"/>
              </w:rPr>
              <w:t>10</w:t>
            </w:r>
          </w:p>
        </w:tc>
      </w:tr>
      <w:tr w:rsidR="008834C4" w:rsidRPr="00275290" w14:paraId="508C23BB" w14:textId="77777777" w:rsidTr="00C81964">
        <w:trPr>
          <w:cantSplit/>
        </w:trPr>
        <w:tc>
          <w:tcPr>
            <w:tcW w:w="1668" w:type="dxa"/>
            <w:vMerge/>
            <w:shd w:val="clear" w:color="auto" w:fill="C6D9F1" w:themeFill="text2" w:themeFillTint="33"/>
            <w:vAlign w:val="center"/>
          </w:tcPr>
          <w:p w14:paraId="386D559A" w14:textId="77777777" w:rsidR="008834C4" w:rsidRPr="00275290" w:rsidRDefault="008834C4" w:rsidP="000116E6">
            <w:pPr>
              <w:rPr>
                <w:rFonts w:cs="Arial"/>
                <w:lang w:val="fr-FR"/>
              </w:rPr>
            </w:pPr>
          </w:p>
        </w:tc>
        <w:tc>
          <w:tcPr>
            <w:tcW w:w="2693" w:type="dxa"/>
            <w:shd w:val="clear" w:color="auto" w:fill="C6D9F1" w:themeFill="text2" w:themeFillTint="33"/>
            <w:vAlign w:val="center"/>
          </w:tcPr>
          <w:p w14:paraId="3E1E39C2" w14:textId="215DCC60" w:rsidR="008834C4" w:rsidRPr="00275290" w:rsidRDefault="008834C4"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shd w:val="clear" w:color="auto" w:fill="C6D9F1" w:themeFill="text2" w:themeFillTint="33"/>
            <w:vAlign w:val="center"/>
          </w:tcPr>
          <w:p w14:paraId="289AAAC2" w14:textId="23BCAB1B" w:rsidR="008834C4" w:rsidRPr="00932144" w:rsidRDefault="008834C4" w:rsidP="000116E6">
            <w:pPr>
              <w:rPr>
                <w:rFonts w:cs="Arial"/>
                <w:lang w:val="fr-FR"/>
              </w:rPr>
            </w:pPr>
            <w:r w:rsidRPr="00932144">
              <w:rPr>
                <w:rFonts w:cs="Arial"/>
                <w:lang w:val="fr-FR"/>
              </w:rPr>
              <w:t>7.</w:t>
            </w:r>
            <w:r>
              <w:rPr>
                <w:rFonts w:cs="Arial"/>
                <w:lang w:val="fr-FR"/>
              </w:rPr>
              <w:t>22</w:t>
            </w:r>
            <w:r w:rsidRPr="00932144">
              <w:rPr>
                <w:rFonts w:cs="Arial"/>
                <w:lang w:val="fr-FR"/>
              </w:rPr>
              <w:t>E-03</w:t>
            </w:r>
          </w:p>
        </w:tc>
        <w:tc>
          <w:tcPr>
            <w:tcW w:w="1448" w:type="dxa"/>
            <w:shd w:val="clear" w:color="auto" w:fill="C6D9F1" w:themeFill="text2" w:themeFillTint="33"/>
            <w:vAlign w:val="center"/>
          </w:tcPr>
          <w:p w14:paraId="5095A1CD" w14:textId="4A0DE869" w:rsidR="008834C4" w:rsidRPr="00275290" w:rsidRDefault="008834C4" w:rsidP="000116E6">
            <w:pPr>
              <w:rPr>
                <w:rFonts w:cs="Arial"/>
                <w:lang w:val="fr-FR"/>
              </w:rPr>
            </w:pPr>
            <w:r>
              <w:rPr>
                <w:rFonts w:cs="Arial"/>
                <w:lang w:val="fr-FR"/>
              </w:rPr>
              <w:t>4</w:t>
            </w:r>
          </w:p>
        </w:tc>
      </w:tr>
      <w:tr w:rsidR="00F67CCD" w:rsidRPr="00275290" w14:paraId="5B5DB734" w14:textId="77777777" w:rsidTr="00666966">
        <w:trPr>
          <w:cantSplit/>
        </w:trPr>
        <w:tc>
          <w:tcPr>
            <w:tcW w:w="7935" w:type="dxa"/>
            <w:gridSpan w:val="4"/>
            <w:shd w:val="clear" w:color="auto" w:fill="BFBFBF" w:themeFill="background1" w:themeFillShade="BF"/>
            <w:vAlign w:val="center"/>
          </w:tcPr>
          <w:p w14:paraId="5B264882" w14:textId="52FB7F19" w:rsidR="00F67CCD" w:rsidRPr="00275290" w:rsidRDefault="00F67CCD" w:rsidP="00932144">
            <w:pPr>
              <w:keepNext/>
              <w:rPr>
                <w:rFonts w:cs="Arial"/>
                <w:lang w:val="en-US"/>
              </w:rPr>
            </w:pPr>
            <w:r w:rsidRPr="00633030">
              <w:rPr>
                <w:rFonts w:eastAsiaTheme="minorHAnsi" w:cs="Arial"/>
                <w:b/>
                <w:lang w:val="en-US"/>
              </w:rPr>
              <w:t xml:space="preserve">Injection  </w:t>
            </w:r>
            <w:r>
              <w:rPr>
                <w:rFonts w:cs="Arial"/>
                <w:b/>
                <w:lang w:val="en-US"/>
              </w:rPr>
              <w:t>145</w:t>
            </w:r>
            <w:r w:rsidRPr="00633030">
              <w:rPr>
                <w:rFonts w:eastAsiaTheme="minorHAnsi" w:cs="Arial"/>
                <w:b/>
                <w:lang w:val="en-US"/>
              </w:rPr>
              <w:t>g/m</w:t>
            </w:r>
            <w:r w:rsidRPr="00633030">
              <w:rPr>
                <w:rFonts w:eastAsiaTheme="minorHAnsi" w:cs="Arial"/>
                <w:b/>
                <w:vertAlign w:val="superscript"/>
                <w:lang w:val="en-US"/>
              </w:rPr>
              <w:t>2</w:t>
            </w:r>
            <w:r w:rsidRPr="00633030">
              <w:rPr>
                <w:rFonts w:eastAsiaTheme="minorHAnsi" w:cs="Arial"/>
                <w:b/>
                <w:lang w:val="en-US"/>
              </w:rPr>
              <w:t xml:space="preserve"> – with gloves during injection and gloves and coated coverall during cleaning</w:t>
            </w:r>
          </w:p>
        </w:tc>
      </w:tr>
      <w:tr w:rsidR="00F67CCD" w:rsidRPr="00275290" w14:paraId="5148AAE4" w14:textId="77777777" w:rsidTr="00666966">
        <w:trPr>
          <w:cantSplit/>
        </w:trPr>
        <w:tc>
          <w:tcPr>
            <w:tcW w:w="1668" w:type="dxa"/>
            <w:shd w:val="clear" w:color="auto" w:fill="auto"/>
            <w:vAlign w:val="center"/>
          </w:tcPr>
          <w:p w14:paraId="354A2C9E" w14:textId="77777777" w:rsidR="00F67CCD" w:rsidRPr="00275290" w:rsidRDefault="00F67CCD" w:rsidP="00932144">
            <w:pPr>
              <w:keepNext/>
              <w:rPr>
                <w:rFonts w:cs="Arial"/>
                <w:lang w:val="fr-FR"/>
              </w:rPr>
            </w:pPr>
            <w:r w:rsidRPr="00275290">
              <w:rPr>
                <w:rFonts w:cs="Arial"/>
                <w:lang w:val="fr-FR"/>
              </w:rPr>
              <w:t>M&amp;L</w:t>
            </w:r>
          </w:p>
        </w:tc>
        <w:tc>
          <w:tcPr>
            <w:tcW w:w="6267" w:type="dxa"/>
            <w:gridSpan w:val="3"/>
            <w:shd w:val="clear" w:color="auto" w:fill="auto"/>
            <w:vAlign w:val="center"/>
          </w:tcPr>
          <w:p w14:paraId="3AAEF40D" w14:textId="47EECBC6" w:rsidR="00F67CCD" w:rsidRPr="00275290" w:rsidRDefault="00F67CCD" w:rsidP="00932144">
            <w:pPr>
              <w:keepNext/>
              <w:rPr>
                <w:rFonts w:cs="Arial"/>
                <w:lang w:val="fr-FR"/>
              </w:rPr>
            </w:pPr>
            <w:r w:rsidRPr="00275290">
              <w:rPr>
                <w:rFonts w:cs="Arial"/>
                <w:lang w:val="fr-FR"/>
              </w:rPr>
              <w:t>Included in the model</w:t>
            </w:r>
          </w:p>
        </w:tc>
      </w:tr>
      <w:tr w:rsidR="00F67CCD" w:rsidRPr="00275290" w14:paraId="39C04984" w14:textId="77777777" w:rsidTr="00C81964">
        <w:trPr>
          <w:cantSplit/>
        </w:trPr>
        <w:tc>
          <w:tcPr>
            <w:tcW w:w="1668" w:type="dxa"/>
            <w:vMerge w:val="restart"/>
            <w:shd w:val="clear" w:color="auto" w:fill="auto"/>
            <w:vAlign w:val="center"/>
          </w:tcPr>
          <w:p w14:paraId="6BD0D533" w14:textId="77777777" w:rsidR="00F67CCD" w:rsidRPr="00275290" w:rsidRDefault="00F67CCD" w:rsidP="00932144">
            <w:pPr>
              <w:keepNext/>
              <w:rPr>
                <w:rFonts w:cs="Arial"/>
                <w:lang w:val="fr-FR"/>
              </w:rPr>
            </w:pPr>
            <w:r w:rsidRPr="00275290">
              <w:rPr>
                <w:rFonts w:cs="Arial"/>
                <w:lang w:val="fr-FR"/>
              </w:rPr>
              <w:t>Application phase</w:t>
            </w:r>
          </w:p>
          <w:p w14:paraId="459006B4" w14:textId="77777777" w:rsidR="00F67CCD" w:rsidRPr="00275290" w:rsidRDefault="00F67CCD" w:rsidP="00932144">
            <w:pPr>
              <w:keepNext/>
              <w:rPr>
                <w:rFonts w:cs="Arial"/>
                <w:lang w:val="fr-FR"/>
              </w:rPr>
            </w:pPr>
          </w:p>
        </w:tc>
        <w:tc>
          <w:tcPr>
            <w:tcW w:w="2693" w:type="dxa"/>
            <w:shd w:val="clear" w:color="auto" w:fill="auto"/>
            <w:vAlign w:val="center"/>
          </w:tcPr>
          <w:p w14:paraId="4F3C7C47" w14:textId="26764396" w:rsidR="00F67CCD" w:rsidRPr="00275290" w:rsidRDefault="00F67CCD" w:rsidP="00C81964">
            <w:pPr>
              <w:keepNext/>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shd w:val="clear" w:color="auto" w:fill="auto"/>
            <w:vAlign w:val="bottom"/>
          </w:tcPr>
          <w:p w14:paraId="5E7882E3" w14:textId="0C9E7521" w:rsidR="00F67CCD" w:rsidRPr="00932144" w:rsidRDefault="00F67CCD" w:rsidP="00932144">
            <w:pPr>
              <w:keepNext/>
              <w:rPr>
                <w:rFonts w:cs="Arial"/>
                <w:lang w:val="fr-FR"/>
              </w:rPr>
            </w:pPr>
            <w:r w:rsidRPr="00932144">
              <w:rPr>
                <w:rFonts w:cs="Arial"/>
                <w:lang w:val="fr-FR"/>
              </w:rPr>
              <w:t>3.08E-03</w:t>
            </w:r>
          </w:p>
        </w:tc>
        <w:tc>
          <w:tcPr>
            <w:tcW w:w="1448" w:type="dxa"/>
            <w:shd w:val="clear" w:color="auto" w:fill="auto"/>
            <w:vAlign w:val="center"/>
          </w:tcPr>
          <w:p w14:paraId="50422929" w14:textId="36D13C98" w:rsidR="00F67CCD" w:rsidRPr="00275290" w:rsidRDefault="00F67CCD" w:rsidP="00932144">
            <w:pPr>
              <w:keepNext/>
              <w:rPr>
                <w:rFonts w:cs="Arial"/>
                <w:lang w:val="fr-FR"/>
              </w:rPr>
            </w:pPr>
            <w:r>
              <w:rPr>
                <w:rFonts w:cs="Arial"/>
                <w:lang w:val="fr-FR"/>
              </w:rPr>
              <w:t>14</w:t>
            </w:r>
          </w:p>
        </w:tc>
      </w:tr>
      <w:tr w:rsidR="00F67CCD" w:rsidRPr="00275290" w14:paraId="7AE1D5FD" w14:textId="77777777" w:rsidTr="00C81964">
        <w:trPr>
          <w:cantSplit/>
        </w:trPr>
        <w:tc>
          <w:tcPr>
            <w:tcW w:w="1668" w:type="dxa"/>
            <w:vMerge/>
            <w:shd w:val="clear" w:color="auto" w:fill="auto"/>
            <w:vAlign w:val="center"/>
          </w:tcPr>
          <w:p w14:paraId="20D122C0" w14:textId="77777777" w:rsidR="00F67CCD" w:rsidRPr="00275290" w:rsidRDefault="00F67CCD" w:rsidP="00932144">
            <w:pPr>
              <w:keepNext/>
              <w:rPr>
                <w:rFonts w:cs="Arial"/>
                <w:lang w:val="fr-FR"/>
              </w:rPr>
            </w:pPr>
          </w:p>
        </w:tc>
        <w:tc>
          <w:tcPr>
            <w:tcW w:w="2693" w:type="dxa"/>
            <w:shd w:val="clear" w:color="auto" w:fill="auto"/>
            <w:vAlign w:val="center"/>
          </w:tcPr>
          <w:p w14:paraId="122ED268" w14:textId="77777777" w:rsidR="00F67CCD" w:rsidRPr="00275290" w:rsidRDefault="00F67CCD" w:rsidP="00932144">
            <w:pPr>
              <w:keepNext/>
              <w:rPr>
                <w:rFonts w:cs="Arial"/>
                <w:lang w:val="fr-FR"/>
              </w:rPr>
            </w:pPr>
            <w:r w:rsidRPr="00275290">
              <w:rPr>
                <w:rFonts w:cs="Arial"/>
                <w:lang w:val="fr-FR"/>
              </w:rPr>
              <w:t>Propiconazole : 0.04</w:t>
            </w:r>
          </w:p>
        </w:tc>
        <w:tc>
          <w:tcPr>
            <w:tcW w:w="2126" w:type="dxa"/>
            <w:shd w:val="clear" w:color="auto" w:fill="auto"/>
            <w:vAlign w:val="center"/>
          </w:tcPr>
          <w:p w14:paraId="294A8B2B" w14:textId="3CF06A80" w:rsidR="00F67CCD" w:rsidRPr="00932144" w:rsidRDefault="00F67CCD" w:rsidP="00932144">
            <w:pPr>
              <w:keepNext/>
              <w:rPr>
                <w:rFonts w:cs="Arial"/>
                <w:lang w:val="fr-FR"/>
              </w:rPr>
            </w:pPr>
            <w:r w:rsidRPr="00932144">
              <w:rPr>
                <w:rFonts w:cs="Arial"/>
                <w:lang w:val="fr-FR"/>
              </w:rPr>
              <w:t>4.46E-03</w:t>
            </w:r>
          </w:p>
        </w:tc>
        <w:tc>
          <w:tcPr>
            <w:tcW w:w="1448" w:type="dxa"/>
            <w:shd w:val="clear" w:color="auto" w:fill="auto"/>
            <w:vAlign w:val="center"/>
          </w:tcPr>
          <w:p w14:paraId="2BC9AA9E" w14:textId="08D0E63F" w:rsidR="00F67CCD" w:rsidRPr="00275290" w:rsidRDefault="00F67CCD" w:rsidP="00932144">
            <w:pPr>
              <w:keepNext/>
              <w:rPr>
                <w:rFonts w:cs="Arial"/>
                <w:lang w:val="fr-FR"/>
              </w:rPr>
            </w:pPr>
            <w:r>
              <w:rPr>
                <w:rFonts w:cs="Arial"/>
                <w:lang w:val="fr-FR"/>
              </w:rPr>
              <w:t>11</w:t>
            </w:r>
          </w:p>
        </w:tc>
      </w:tr>
      <w:tr w:rsidR="00F67CCD" w:rsidRPr="00275290" w14:paraId="7C36DFCB" w14:textId="77777777" w:rsidTr="00C81964">
        <w:trPr>
          <w:cantSplit/>
          <w:trHeight w:val="424"/>
        </w:trPr>
        <w:tc>
          <w:tcPr>
            <w:tcW w:w="1668" w:type="dxa"/>
            <w:vMerge/>
            <w:shd w:val="clear" w:color="auto" w:fill="auto"/>
            <w:vAlign w:val="center"/>
          </w:tcPr>
          <w:p w14:paraId="44DB39BB" w14:textId="77777777" w:rsidR="00F67CCD" w:rsidRPr="00275290" w:rsidRDefault="00F67CCD" w:rsidP="00932144">
            <w:pPr>
              <w:keepNext/>
              <w:rPr>
                <w:rFonts w:cs="Arial"/>
                <w:lang w:val="fr-FR"/>
              </w:rPr>
            </w:pPr>
          </w:p>
        </w:tc>
        <w:tc>
          <w:tcPr>
            <w:tcW w:w="2693" w:type="dxa"/>
            <w:shd w:val="clear" w:color="auto" w:fill="auto"/>
            <w:vAlign w:val="center"/>
          </w:tcPr>
          <w:p w14:paraId="2942874A" w14:textId="77777777" w:rsidR="00F67CCD" w:rsidRPr="00275290" w:rsidRDefault="00F67CCD" w:rsidP="00932144">
            <w:pPr>
              <w:keepNext/>
              <w:rPr>
                <w:rFonts w:cs="Arial"/>
                <w:lang w:val="fr-FR"/>
              </w:rPr>
            </w:pPr>
            <w:r w:rsidRPr="00275290">
              <w:rPr>
                <w:rFonts w:cs="Arial"/>
                <w:lang w:val="fr-FR"/>
              </w:rPr>
              <w:t>Tébuconazole : 0.03</w:t>
            </w:r>
          </w:p>
        </w:tc>
        <w:tc>
          <w:tcPr>
            <w:tcW w:w="2126" w:type="dxa"/>
            <w:shd w:val="clear" w:color="auto" w:fill="auto"/>
            <w:vAlign w:val="center"/>
          </w:tcPr>
          <w:p w14:paraId="784CD8E1" w14:textId="2387A210" w:rsidR="00F67CCD" w:rsidRPr="00932144" w:rsidRDefault="00F67CCD" w:rsidP="00932144">
            <w:pPr>
              <w:keepNext/>
              <w:rPr>
                <w:rFonts w:cs="Arial"/>
                <w:lang w:val="fr-FR"/>
              </w:rPr>
            </w:pPr>
            <w:r w:rsidRPr="00932144">
              <w:rPr>
                <w:rFonts w:cs="Arial"/>
                <w:lang w:val="fr-FR"/>
              </w:rPr>
              <w:t>1.66E-03</w:t>
            </w:r>
          </w:p>
        </w:tc>
        <w:tc>
          <w:tcPr>
            <w:tcW w:w="1448" w:type="dxa"/>
            <w:shd w:val="clear" w:color="auto" w:fill="auto"/>
            <w:vAlign w:val="center"/>
          </w:tcPr>
          <w:p w14:paraId="37291604" w14:textId="511DA95F" w:rsidR="00F67CCD" w:rsidRPr="00275290" w:rsidRDefault="00F67CCD" w:rsidP="00932144">
            <w:pPr>
              <w:keepNext/>
              <w:rPr>
                <w:rFonts w:cs="Arial"/>
                <w:lang w:val="fr-FR"/>
              </w:rPr>
            </w:pPr>
            <w:r>
              <w:rPr>
                <w:rFonts w:cs="Arial"/>
                <w:lang w:val="fr-FR"/>
              </w:rPr>
              <w:t>6</w:t>
            </w:r>
          </w:p>
        </w:tc>
      </w:tr>
      <w:tr w:rsidR="00F67CCD" w:rsidRPr="00275290" w14:paraId="287DA191" w14:textId="77777777" w:rsidTr="00C81964">
        <w:trPr>
          <w:cantSplit/>
        </w:trPr>
        <w:tc>
          <w:tcPr>
            <w:tcW w:w="1668" w:type="dxa"/>
            <w:vMerge/>
            <w:shd w:val="clear" w:color="auto" w:fill="auto"/>
            <w:vAlign w:val="center"/>
          </w:tcPr>
          <w:p w14:paraId="6034770A" w14:textId="77777777" w:rsidR="00F67CCD" w:rsidRPr="00275290" w:rsidRDefault="00F67CCD" w:rsidP="00932144">
            <w:pPr>
              <w:keepNext/>
              <w:rPr>
                <w:rFonts w:cs="Arial"/>
                <w:lang w:val="fr-FR"/>
              </w:rPr>
            </w:pPr>
          </w:p>
        </w:tc>
        <w:tc>
          <w:tcPr>
            <w:tcW w:w="2693" w:type="dxa"/>
            <w:shd w:val="clear" w:color="auto" w:fill="auto"/>
            <w:vAlign w:val="center"/>
          </w:tcPr>
          <w:p w14:paraId="20ED9CBB" w14:textId="220B9AA0" w:rsidR="00F67CCD" w:rsidRPr="00275290" w:rsidRDefault="00F67CCD" w:rsidP="00C81964">
            <w:pPr>
              <w:keepNext/>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shd w:val="clear" w:color="auto" w:fill="auto"/>
            <w:vAlign w:val="center"/>
          </w:tcPr>
          <w:p w14:paraId="56A27E22" w14:textId="18EE2FAC" w:rsidR="00F67CCD" w:rsidRPr="00932144" w:rsidRDefault="00F67CCD" w:rsidP="00932144">
            <w:pPr>
              <w:keepNext/>
              <w:rPr>
                <w:rFonts w:cs="Arial"/>
                <w:lang w:val="fr-FR"/>
              </w:rPr>
            </w:pPr>
            <w:r w:rsidRPr="00932144">
              <w:rPr>
                <w:rFonts w:cs="Arial"/>
                <w:lang w:val="fr-FR"/>
              </w:rPr>
              <w:t>4.01E-03</w:t>
            </w:r>
          </w:p>
        </w:tc>
        <w:tc>
          <w:tcPr>
            <w:tcW w:w="1448" w:type="dxa"/>
            <w:shd w:val="clear" w:color="auto" w:fill="auto"/>
            <w:vAlign w:val="center"/>
          </w:tcPr>
          <w:p w14:paraId="32CDD424" w14:textId="26359E04" w:rsidR="00F67CCD" w:rsidRPr="00275290" w:rsidRDefault="00F67CCD" w:rsidP="00932144">
            <w:pPr>
              <w:keepNext/>
              <w:rPr>
                <w:rFonts w:cs="Arial"/>
                <w:lang w:val="fr-FR"/>
              </w:rPr>
            </w:pPr>
            <w:r>
              <w:rPr>
                <w:rFonts w:cs="Arial"/>
                <w:lang w:val="fr-FR"/>
              </w:rPr>
              <w:t>2</w:t>
            </w:r>
          </w:p>
        </w:tc>
      </w:tr>
      <w:tr w:rsidR="008834C4" w:rsidRPr="00275290" w14:paraId="7AC3094C" w14:textId="77777777" w:rsidTr="00C81964">
        <w:trPr>
          <w:cantSplit/>
        </w:trPr>
        <w:tc>
          <w:tcPr>
            <w:tcW w:w="1668" w:type="dxa"/>
            <w:vMerge w:val="restart"/>
            <w:shd w:val="clear" w:color="auto" w:fill="auto"/>
            <w:vAlign w:val="center"/>
          </w:tcPr>
          <w:p w14:paraId="3E5D3256" w14:textId="2D509A03" w:rsidR="008834C4" w:rsidRPr="00275290" w:rsidRDefault="008834C4">
            <w:pPr>
              <w:rPr>
                <w:rFonts w:cs="Arial"/>
                <w:lang w:val="fr-FR"/>
              </w:rPr>
            </w:pPr>
            <w:r>
              <w:rPr>
                <w:rFonts w:cs="Arial"/>
                <w:lang w:val="fr-FR"/>
              </w:rPr>
              <w:t>Clea</w:t>
            </w:r>
            <w:r w:rsidRPr="00275290">
              <w:rPr>
                <w:rFonts w:cs="Arial"/>
                <w:lang w:val="fr-FR"/>
              </w:rPr>
              <w:t xml:space="preserve">ning equipement </w:t>
            </w:r>
          </w:p>
        </w:tc>
        <w:tc>
          <w:tcPr>
            <w:tcW w:w="2693" w:type="dxa"/>
            <w:shd w:val="clear" w:color="auto" w:fill="auto"/>
            <w:vAlign w:val="center"/>
          </w:tcPr>
          <w:p w14:paraId="5A42CEA4" w14:textId="3237AA64" w:rsidR="008834C4" w:rsidRPr="00275290" w:rsidRDefault="008834C4"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shd w:val="clear" w:color="auto" w:fill="auto"/>
            <w:vAlign w:val="center"/>
          </w:tcPr>
          <w:p w14:paraId="4FFE5CBE" w14:textId="17FD01F4" w:rsidR="008834C4" w:rsidRPr="00932144" w:rsidRDefault="008834C4" w:rsidP="000116E6">
            <w:pPr>
              <w:rPr>
                <w:rFonts w:cs="Arial"/>
                <w:lang w:val="fr-FR"/>
              </w:rPr>
            </w:pPr>
            <w:r w:rsidRPr="00932144">
              <w:rPr>
                <w:rFonts w:cs="Arial"/>
                <w:lang w:val="fr-FR"/>
              </w:rPr>
              <w:t>3.</w:t>
            </w:r>
            <w:r>
              <w:rPr>
                <w:rFonts w:cs="Arial"/>
                <w:lang w:val="fr-FR"/>
              </w:rPr>
              <w:t>21</w:t>
            </w:r>
            <w:r w:rsidRPr="00932144">
              <w:rPr>
                <w:rFonts w:cs="Arial"/>
                <w:lang w:val="fr-FR"/>
              </w:rPr>
              <w:t>E-04</w:t>
            </w:r>
          </w:p>
        </w:tc>
        <w:tc>
          <w:tcPr>
            <w:tcW w:w="1448" w:type="dxa"/>
            <w:shd w:val="clear" w:color="auto" w:fill="auto"/>
            <w:vAlign w:val="center"/>
          </w:tcPr>
          <w:p w14:paraId="6C38C5D4" w14:textId="6040AAA1" w:rsidR="008834C4" w:rsidRPr="00275290" w:rsidRDefault="008834C4" w:rsidP="008834C4">
            <w:pPr>
              <w:rPr>
                <w:rFonts w:cs="Arial"/>
                <w:lang w:val="fr-FR"/>
              </w:rPr>
            </w:pPr>
            <w:r>
              <w:rPr>
                <w:rFonts w:cs="Arial"/>
                <w:lang w:val="fr-FR"/>
              </w:rPr>
              <w:t>1.4</w:t>
            </w:r>
          </w:p>
        </w:tc>
      </w:tr>
      <w:tr w:rsidR="008834C4" w:rsidRPr="00275290" w14:paraId="516E80C4" w14:textId="77777777" w:rsidTr="00C81964">
        <w:trPr>
          <w:cantSplit/>
        </w:trPr>
        <w:tc>
          <w:tcPr>
            <w:tcW w:w="1668" w:type="dxa"/>
            <w:vMerge/>
            <w:shd w:val="clear" w:color="auto" w:fill="auto"/>
            <w:vAlign w:val="center"/>
          </w:tcPr>
          <w:p w14:paraId="2748A0A5" w14:textId="77777777" w:rsidR="008834C4" w:rsidRPr="00275290" w:rsidRDefault="008834C4" w:rsidP="000116E6">
            <w:pPr>
              <w:rPr>
                <w:rFonts w:cs="Arial"/>
                <w:lang w:val="fr-FR"/>
              </w:rPr>
            </w:pPr>
          </w:p>
        </w:tc>
        <w:tc>
          <w:tcPr>
            <w:tcW w:w="2693" w:type="dxa"/>
            <w:shd w:val="clear" w:color="auto" w:fill="auto"/>
            <w:vAlign w:val="center"/>
          </w:tcPr>
          <w:p w14:paraId="2847B355" w14:textId="77777777" w:rsidR="008834C4" w:rsidRPr="00275290" w:rsidRDefault="008834C4" w:rsidP="000116E6">
            <w:pPr>
              <w:rPr>
                <w:rFonts w:cs="Arial"/>
                <w:lang w:val="fr-FR"/>
              </w:rPr>
            </w:pPr>
            <w:r w:rsidRPr="00275290">
              <w:rPr>
                <w:rFonts w:cs="Arial"/>
                <w:lang w:val="fr-FR"/>
              </w:rPr>
              <w:t>Propiconazole : 0.04</w:t>
            </w:r>
          </w:p>
        </w:tc>
        <w:tc>
          <w:tcPr>
            <w:tcW w:w="2126" w:type="dxa"/>
            <w:shd w:val="clear" w:color="auto" w:fill="auto"/>
            <w:vAlign w:val="center"/>
          </w:tcPr>
          <w:p w14:paraId="61B7921A" w14:textId="2BDEDD26" w:rsidR="008834C4" w:rsidRPr="00932144" w:rsidRDefault="008834C4" w:rsidP="000116E6">
            <w:pPr>
              <w:rPr>
                <w:rFonts w:cs="Arial"/>
                <w:lang w:val="fr-FR"/>
              </w:rPr>
            </w:pPr>
            <w:r>
              <w:rPr>
                <w:rFonts w:cs="Arial"/>
                <w:lang w:val="fr-FR"/>
              </w:rPr>
              <w:t>4.63</w:t>
            </w:r>
            <w:r w:rsidRPr="00932144">
              <w:rPr>
                <w:rFonts w:cs="Arial"/>
                <w:lang w:val="fr-FR"/>
              </w:rPr>
              <w:t>E-04</w:t>
            </w:r>
          </w:p>
        </w:tc>
        <w:tc>
          <w:tcPr>
            <w:tcW w:w="1448" w:type="dxa"/>
            <w:shd w:val="clear" w:color="auto" w:fill="auto"/>
            <w:vAlign w:val="center"/>
          </w:tcPr>
          <w:p w14:paraId="5A6CE18F" w14:textId="5AB3CA70" w:rsidR="008834C4" w:rsidRPr="00275290" w:rsidRDefault="008834C4" w:rsidP="000116E6">
            <w:pPr>
              <w:rPr>
                <w:rFonts w:cs="Arial"/>
                <w:lang w:val="fr-FR"/>
              </w:rPr>
            </w:pPr>
            <w:r>
              <w:rPr>
                <w:rFonts w:cs="Arial"/>
                <w:lang w:val="fr-FR"/>
              </w:rPr>
              <w:t>1.2</w:t>
            </w:r>
          </w:p>
        </w:tc>
      </w:tr>
      <w:tr w:rsidR="008834C4" w:rsidRPr="00275290" w14:paraId="3D41A9B4" w14:textId="77777777" w:rsidTr="00C81964">
        <w:trPr>
          <w:cantSplit/>
          <w:trHeight w:val="656"/>
        </w:trPr>
        <w:tc>
          <w:tcPr>
            <w:tcW w:w="1668" w:type="dxa"/>
            <w:vMerge/>
            <w:shd w:val="clear" w:color="auto" w:fill="auto"/>
            <w:vAlign w:val="center"/>
          </w:tcPr>
          <w:p w14:paraId="174EB3BA" w14:textId="77777777" w:rsidR="008834C4" w:rsidRPr="00275290" w:rsidRDefault="008834C4" w:rsidP="000116E6">
            <w:pPr>
              <w:rPr>
                <w:rFonts w:cs="Arial"/>
                <w:lang w:val="fr-FR"/>
              </w:rPr>
            </w:pPr>
          </w:p>
        </w:tc>
        <w:tc>
          <w:tcPr>
            <w:tcW w:w="2693" w:type="dxa"/>
            <w:shd w:val="clear" w:color="auto" w:fill="auto"/>
            <w:vAlign w:val="center"/>
          </w:tcPr>
          <w:p w14:paraId="415195DA" w14:textId="77777777" w:rsidR="008834C4" w:rsidRPr="00275290" w:rsidRDefault="008834C4" w:rsidP="000116E6">
            <w:pPr>
              <w:rPr>
                <w:rFonts w:cs="Arial"/>
                <w:lang w:val="fr-FR"/>
              </w:rPr>
            </w:pPr>
            <w:r w:rsidRPr="00275290">
              <w:rPr>
                <w:rFonts w:cs="Arial"/>
                <w:lang w:val="fr-FR"/>
              </w:rPr>
              <w:t>Tébuconazole : 0.03</w:t>
            </w:r>
          </w:p>
        </w:tc>
        <w:tc>
          <w:tcPr>
            <w:tcW w:w="2126" w:type="dxa"/>
            <w:shd w:val="clear" w:color="auto" w:fill="auto"/>
            <w:vAlign w:val="center"/>
          </w:tcPr>
          <w:p w14:paraId="71EE9745" w14:textId="1FD6BB8C" w:rsidR="008834C4" w:rsidRPr="00932144" w:rsidRDefault="008834C4" w:rsidP="000116E6">
            <w:pPr>
              <w:rPr>
                <w:rFonts w:cs="Arial"/>
                <w:lang w:val="fr-FR"/>
              </w:rPr>
            </w:pPr>
            <w:r w:rsidRPr="00932144">
              <w:rPr>
                <w:rFonts w:cs="Arial"/>
                <w:lang w:val="fr-FR"/>
              </w:rPr>
              <w:t>1</w:t>
            </w:r>
            <w:r>
              <w:rPr>
                <w:rFonts w:cs="Arial"/>
                <w:lang w:val="fr-FR"/>
              </w:rPr>
              <w:t>.73</w:t>
            </w:r>
            <w:r w:rsidRPr="00932144">
              <w:rPr>
                <w:rFonts w:cs="Arial"/>
                <w:lang w:val="fr-FR"/>
              </w:rPr>
              <w:t>E-04</w:t>
            </w:r>
          </w:p>
        </w:tc>
        <w:tc>
          <w:tcPr>
            <w:tcW w:w="1448" w:type="dxa"/>
            <w:shd w:val="clear" w:color="auto" w:fill="auto"/>
            <w:vAlign w:val="center"/>
          </w:tcPr>
          <w:p w14:paraId="692E326B" w14:textId="2265F415" w:rsidR="008834C4" w:rsidRPr="00275290" w:rsidRDefault="008834C4" w:rsidP="000116E6">
            <w:pPr>
              <w:rPr>
                <w:rFonts w:cs="Arial"/>
                <w:lang w:val="fr-FR"/>
              </w:rPr>
            </w:pPr>
            <w:r>
              <w:rPr>
                <w:rFonts w:cs="Arial"/>
                <w:lang w:val="fr-FR"/>
              </w:rPr>
              <w:t>0.6</w:t>
            </w:r>
          </w:p>
        </w:tc>
      </w:tr>
      <w:tr w:rsidR="008834C4" w:rsidRPr="00275290" w14:paraId="1151571E" w14:textId="77777777" w:rsidTr="00C81964">
        <w:trPr>
          <w:cantSplit/>
          <w:trHeight w:val="656"/>
        </w:trPr>
        <w:tc>
          <w:tcPr>
            <w:tcW w:w="1668" w:type="dxa"/>
            <w:vMerge/>
            <w:shd w:val="clear" w:color="auto" w:fill="auto"/>
            <w:vAlign w:val="center"/>
          </w:tcPr>
          <w:p w14:paraId="1B18293F" w14:textId="77777777" w:rsidR="008834C4" w:rsidRPr="00275290" w:rsidRDefault="008834C4" w:rsidP="000116E6">
            <w:pPr>
              <w:rPr>
                <w:rFonts w:cs="Arial"/>
                <w:lang w:val="fr-FR"/>
              </w:rPr>
            </w:pPr>
          </w:p>
        </w:tc>
        <w:tc>
          <w:tcPr>
            <w:tcW w:w="2693" w:type="dxa"/>
            <w:shd w:val="clear" w:color="auto" w:fill="auto"/>
            <w:vAlign w:val="center"/>
          </w:tcPr>
          <w:p w14:paraId="715E8810" w14:textId="1C9095FF" w:rsidR="008834C4" w:rsidRPr="00275290" w:rsidRDefault="008834C4"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shd w:val="clear" w:color="auto" w:fill="auto"/>
            <w:vAlign w:val="center"/>
          </w:tcPr>
          <w:p w14:paraId="5296C433" w14:textId="0BE59AF1" w:rsidR="008834C4" w:rsidRPr="00932144" w:rsidRDefault="008834C4" w:rsidP="000116E6">
            <w:pPr>
              <w:rPr>
                <w:rFonts w:cs="Arial"/>
                <w:lang w:val="fr-FR"/>
              </w:rPr>
            </w:pPr>
            <w:r w:rsidRPr="00932144">
              <w:rPr>
                <w:rFonts w:cs="Arial"/>
                <w:lang w:val="fr-FR"/>
              </w:rPr>
              <w:t>4.</w:t>
            </w:r>
            <w:r>
              <w:rPr>
                <w:rFonts w:cs="Arial"/>
                <w:lang w:val="fr-FR"/>
              </w:rPr>
              <w:t>18</w:t>
            </w:r>
            <w:r w:rsidRPr="00932144">
              <w:rPr>
                <w:rFonts w:cs="Arial"/>
                <w:lang w:val="fr-FR"/>
              </w:rPr>
              <w:t>E-04</w:t>
            </w:r>
          </w:p>
        </w:tc>
        <w:tc>
          <w:tcPr>
            <w:tcW w:w="1448" w:type="dxa"/>
            <w:shd w:val="clear" w:color="auto" w:fill="auto"/>
            <w:vAlign w:val="center"/>
          </w:tcPr>
          <w:p w14:paraId="7CF1B210" w14:textId="1F55AE2B" w:rsidR="008834C4" w:rsidRPr="00275290" w:rsidRDefault="008834C4" w:rsidP="000116E6">
            <w:pPr>
              <w:rPr>
                <w:rFonts w:cs="Arial"/>
                <w:lang w:val="fr-FR"/>
              </w:rPr>
            </w:pPr>
            <w:r>
              <w:rPr>
                <w:rFonts w:cs="Arial"/>
                <w:lang w:val="fr-FR"/>
              </w:rPr>
              <w:t>0.2</w:t>
            </w:r>
          </w:p>
        </w:tc>
      </w:tr>
      <w:tr w:rsidR="008834C4" w:rsidRPr="00275290" w14:paraId="5DBA369F" w14:textId="77777777" w:rsidTr="00C81964">
        <w:trPr>
          <w:cantSplit/>
          <w:trHeight w:val="396"/>
        </w:trPr>
        <w:tc>
          <w:tcPr>
            <w:tcW w:w="1668" w:type="dxa"/>
            <w:vMerge w:val="restart"/>
            <w:shd w:val="clear" w:color="auto" w:fill="C6D9F1" w:themeFill="text2" w:themeFillTint="33"/>
            <w:vAlign w:val="center"/>
          </w:tcPr>
          <w:p w14:paraId="10A761F8" w14:textId="083136D7" w:rsidR="008834C4" w:rsidRPr="00275290" w:rsidRDefault="008834C4">
            <w:pPr>
              <w:rPr>
                <w:rFonts w:cs="Arial"/>
                <w:lang w:val="en-US"/>
              </w:rPr>
            </w:pPr>
            <w:r w:rsidRPr="00275290">
              <w:rPr>
                <w:rFonts w:cs="Arial"/>
                <w:lang w:val="en-US"/>
              </w:rPr>
              <w:t>Appli + cleaning</w:t>
            </w:r>
          </w:p>
        </w:tc>
        <w:tc>
          <w:tcPr>
            <w:tcW w:w="2693" w:type="dxa"/>
            <w:shd w:val="clear" w:color="auto" w:fill="C6D9F1" w:themeFill="text2" w:themeFillTint="33"/>
            <w:vAlign w:val="center"/>
          </w:tcPr>
          <w:p w14:paraId="66DFB2AD" w14:textId="71D71F0A" w:rsidR="008834C4" w:rsidRPr="00275290" w:rsidRDefault="008834C4"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shd w:val="clear" w:color="auto" w:fill="C6D9F1" w:themeFill="text2" w:themeFillTint="33"/>
            <w:vAlign w:val="bottom"/>
          </w:tcPr>
          <w:p w14:paraId="771208F0" w14:textId="0275C20E" w:rsidR="008834C4" w:rsidRPr="00932144" w:rsidRDefault="008834C4" w:rsidP="000116E6">
            <w:pPr>
              <w:rPr>
                <w:rFonts w:cs="Arial"/>
                <w:lang w:val="fr-FR"/>
              </w:rPr>
            </w:pPr>
            <w:r w:rsidRPr="00932144">
              <w:rPr>
                <w:rFonts w:cs="Arial"/>
                <w:lang w:val="fr-FR"/>
              </w:rPr>
              <w:t>3.4</w:t>
            </w:r>
            <w:r>
              <w:rPr>
                <w:rFonts w:cs="Arial"/>
                <w:lang w:val="fr-FR"/>
              </w:rPr>
              <w:t>1</w:t>
            </w:r>
            <w:r w:rsidRPr="00932144">
              <w:rPr>
                <w:rFonts w:cs="Arial"/>
                <w:lang w:val="fr-FR"/>
              </w:rPr>
              <w:t>E-03</w:t>
            </w:r>
          </w:p>
        </w:tc>
        <w:tc>
          <w:tcPr>
            <w:tcW w:w="1448" w:type="dxa"/>
            <w:shd w:val="clear" w:color="auto" w:fill="C6D9F1" w:themeFill="text2" w:themeFillTint="33"/>
            <w:vAlign w:val="center"/>
          </w:tcPr>
          <w:p w14:paraId="09EDC937" w14:textId="40EC77CB" w:rsidR="008834C4" w:rsidRPr="00275290" w:rsidRDefault="008834C4" w:rsidP="000116E6">
            <w:pPr>
              <w:rPr>
                <w:rFonts w:cs="Arial"/>
                <w:lang w:val="en-US"/>
              </w:rPr>
            </w:pPr>
            <w:r>
              <w:rPr>
                <w:rFonts w:cs="Arial"/>
                <w:lang w:val="en-US"/>
              </w:rPr>
              <w:t>15</w:t>
            </w:r>
          </w:p>
        </w:tc>
      </w:tr>
      <w:tr w:rsidR="008834C4" w:rsidRPr="00275290" w14:paraId="396CE15D" w14:textId="77777777" w:rsidTr="00C81964">
        <w:trPr>
          <w:cantSplit/>
        </w:trPr>
        <w:tc>
          <w:tcPr>
            <w:tcW w:w="1668" w:type="dxa"/>
            <w:vMerge/>
            <w:shd w:val="clear" w:color="auto" w:fill="C6D9F1" w:themeFill="text2" w:themeFillTint="33"/>
            <w:vAlign w:val="center"/>
          </w:tcPr>
          <w:p w14:paraId="4BCE666D" w14:textId="77777777" w:rsidR="008834C4" w:rsidRPr="00275290" w:rsidRDefault="008834C4" w:rsidP="000116E6">
            <w:pPr>
              <w:rPr>
                <w:rFonts w:cs="Arial"/>
                <w:lang w:val="fr-FR"/>
              </w:rPr>
            </w:pPr>
          </w:p>
        </w:tc>
        <w:tc>
          <w:tcPr>
            <w:tcW w:w="2693" w:type="dxa"/>
            <w:shd w:val="clear" w:color="auto" w:fill="C6D9F1" w:themeFill="text2" w:themeFillTint="33"/>
            <w:vAlign w:val="center"/>
          </w:tcPr>
          <w:p w14:paraId="483C4D52" w14:textId="77777777" w:rsidR="008834C4" w:rsidRPr="00275290" w:rsidRDefault="008834C4" w:rsidP="000116E6">
            <w:pPr>
              <w:rPr>
                <w:rFonts w:cs="Arial"/>
                <w:lang w:val="fr-FR"/>
              </w:rPr>
            </w:pPr>
            <w:r w:rsidRPr="00275290">
              <w:rPr>
                <w:rFonts w:cs="Arial"/>
                <w:lang w:val="fr-FR"/>
              </w:rPr>
              <w:t>Propiconazole : 0.04</w:t>
            </w:r>
          </w:p>
        </w:tc>
        <w:tc>
          <w:tcPr>
            <w:tcW w:w="2126" w:type="dxa"/>
            <w:shd w:val="clear" w:color="auto" w:fill="C6D9F1" w:themeFill="text2" w:themeFillTint="33"/>
            <w:vAlign w:val="bottom"/>
          </w:tcPr>
          <w:p w14:paraId="4C6F27F1" w14:textId="4ABC872E" w:rsidR="008834C4" w:rsidRPr="00932144" w:rsidRDefault="008834C4" w:rsidP="000116E6">
            <w:pPr>
              <w:rPr>
                <w:rFonts w:cs="Arial"/>
                <w:lang w:val="fr-FR"/>
              </w:rPr>
            </w:pPr>
            <w:r w:rsidRPr="00932144">
              <w:rPr>
                <w:rFonts w:cs="Arial"/>
                <w:lang w:val="fr-FR"/>
              </w:rPr>
              <w:t>4.9</w:t>
            </w:r>
            <w:r>
              <w:rPr>
                <w:rFonts w:cs="Arial"/>
                <w:lang w:val="fr-FR"/>
              </w:rPr>
              <w:t>3</w:t>
            </w:r>
            <w:r w:rsidRPr="00932144">
              <w:rPr>
                <w:rFonts w:cs="Arial"/>
                <w:lang w:val="fr-FR"/>
              </w:rPr>
              <w:t>E-03</w:t>
            </w:r>
          </w:p>
        </w:tc>
        <w:tc>
          <w:tcPr>
            <w:tcW w:w="1448" w:type="dxa"/>
            <w:shd w:val="clear" w:color="auto" w:fill="C6D9F1" w:themeFill="text2" w:themeFillTint="33"/>
            <w:vAlign w:val="center"/>
          </w:tcPr>
          <w:p w14:paraId="5F5C2AA1" w14:textId="1B1FBD7D" w:rsidR="008834C4" w:rsidRPr="00275290" w:rsidRDefault="008834C4" w:rsidP="000116E6">
            <w:pPr>
              <w:rPr>
                <w:rFonts w:cs="Arial"/>
                <w:lang w:val="fr-FR"/>
              </w:rPr>
            </w:pPr>
            <w:r>
              <w:rPr>
                <w:rFonts w:cs="Arial"/>
                <w:lang w:val="fr-FR"/>
              </w:rPr>
              <w:t>12</w:t>
            </w:r>
          </w:p>
        </w:tc>
      </w:tr>
      <w:tr w:rsidR="008834C4" w:rsidRPr="00275290" w14:paraId="7515C5FB" w14:textId="77777777" w:rsidTr="00C81964">
        <w:trPr>
          <w:cantSplit/>
          <w:trHeight w:val="462"/>
        </w:trPr>
        <w:tc>
          <w:tcPr>
            <w:tcW w:w="1668" w:type="dxa"/>
            <w:vMerge/>
            <w:shd w:val="clear" w:color="auto" w:fill="C6D9F1" w:themeFill="text2" w:themeFillTint="33"/>
            <w:vAlign w:val="center"/>
          </w:tcPr>
          <w:p w14:paraId="210E7DEF" w14:textId="77777777" w:rsidR="008834C4" w:rsidRPr="00275290" w:rsidRDefault="008834C4" w:rsidP="000116E6">
            <w:pPr>
              <w:rPr>
                <w:rFonts w:cs="Arial"/>
                <w:lang w:val="fr-FR"/>
              </w:rPr>
            </w:pPr>
          </w:p>
        </w:tc>
        <w:tc>
          <w:tcPr>
            <w:tcW w:w="2693" w:type="dxa"/>
            <w:shd w:val="clear" w:color="auto" w:fill="C6D9F1" w:themeFill="text2" w:themeFillTint="33"/>
            <w:vAlign w:val="center"/>
          </w:tcPr>
          <w:p w14:paraId="440208CC" w14:textId="77777777" w:rsidR="008834C4" w:rsidRPr="00275290" w:rsidRDefault="008834C4" w:rsidP="000116E6">
            <w:pPr>
              <w:rPr>
                <w:rFonts w:cs="Arial"/>
                <w:lang w:val="fr-FR"/>
              </w:rPr>
            </w:pPr>
            <w:r w:rsidRPr="00275290">
              <w:rPr>
                <w:rFonts w:cs="Arial"/>
                <w:lang w:val="fr-FR"/>
              </w:rPr>
              <w:t>Tébuconazole : 0.03</w:t>
            </w:r>
          </w:p>
        </w:tc>
        <w:tc>
          <w:tcPr>
            <w:tcW w:w="2126" w:type="dxa"/>
            <w:shd w:val="clear" w:color="auto" w:fill="C6D9F1" w:themeFill="text2" w:themeFillTint="33"/>
            <w:vAlign w:val="bottom"/>
          </w:tcPr>
          <w:p w14:paraId="1D18652F" w14:textId="3D9AC0C9" w:rsidR="008834C4" w:rsidRPr="00932144" w:rsidRDefault="008834C4" w:rsidP="000116E6">
            <w:pPr>
              <w:rPr>
                <w:rFonts w:cs="Arial"/>
                <w:lang w:val="fr-FR"/>
              </w:rPr>
            </w:pPr>
            <w:r w:rsidRPr="00932144">
              <w:rPr>
                <w:rFonts w:cs="Arial"/>
                <w:lang w:val="fr-FR"/>
              </w:rPr>
              <w:t>1.8</w:t>
            </w:r>
            <w:r>
              <w:rPr>
                <w:rFonts w:cs="Arial"/>
                <w:lang w:val="fr-FR"/>
              </w:rPr>
              <w:t>3</w:t>
            </w:r>
            <w:r w:rsidRPr="00932144">
              <w:rPr>
                <w:rFonts w:cs="Arial"/>
                <w:lang w:val="fr-FR"/>
              </w:rPr>
              <w:t>E-03</w:t>
            </w:r>
          </w:p>
        </w:tc>
        <w:tc>
          <w:tcPr>
            <w:tcW w:w="1448" w:type="dxa"/>
            <w:shd w:val="clear" w:color="auto" w:fill="C6D9F1" w:themeFill="text2" w:themeFillTint="33"/>
            <w:vAlign w:val="center"/>
          </w:tcPr>
          <w:p w14:paraId="4BEE8534" w14:textId="60842D0E" w:rsidR="008834C4" w:rsidRPr="00275290" w:rsidRDefault="008834C4" w:rsidP="000116E6">
            <w:pPr>
              <w:rPr>
                <w:rFonts w:cs="Arial"/>
                <w:lang w:val="fr-FR"/>
              </w:rPr>
            </w:pPr>
            <w:r>
              <w:rPr>
                <w:rFonts w:cs="Arial"/>
                <w:lang w:val="fr-FR"/>
              </w:rPr>
              <w:t>6</w:t>
            </w:r>
          </w:p>
        </w:tc>
      </w:tr>
      <w:tr w:rsidR="00F67CCD" w:rsidRPr="00275290" w14:paraId="711DB3D3" w14:textId="77777777" w:rsidTr="00C81964">
        <w:trPr>
          <w:cantSplit/>
          <w:trHeight w:val="412"/>
        </w:trPr>
        <w:tc>
          <w:tcPr>
            <w:tcW w:w="1668" w:type="dxa"/>
            <w:vMerge/>
            <w:shd w:val="clear" w:color="auto" w:fill="C6D9F1" w:themeFill="text2" w:themeFillTint="33"/>
            <w:vAlign w:val="center"/>
          </w:tcPr>
          <w:p w14:paraId="5F591BF4" w14:textId="77777777" w:rsidR="00F67CCD" w:rsidRPr="00275290" w:rsidRDefault="00F67CCD" w:rsidP="000116E6">
            <w:pPr>
              <w:rPr>
                <w:rFonts w:cs="Arial"/>
                <w:lang w:val="fr-FR"/>
              </w:rPr>
            </w:pPr>
          </w:p>
        </w:tc>
        <w:tc>
          <w:tcPr>
            <w:tcW w:w="2693" w:type="dxa"/>
            <w:shd w:val="clear" w:color="auto" w:fill="C6D9F1" w:themeFill="text2" w:themeFillTint="33"/>
            <w:vAlign w:val="center"/>
          </w:tcPr>
          <w:p w14:paraId="1D4F2E60" w14:textId="64CEC6CE"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shd w:val="clear" w:color="auto" w:fill="C6D9F1" w:themeFill="text2" w:themeFillTint="33"/>
            <w:vAlign w:val="bottom"/>
          </w:tcPr>
          <w:p w14:paraId="01B2D38C" w14:textId="74E2A706" w:rsidR="00F67CCD" w:rsidRPr="00932144" w:rsidRDefault="00F67CCD" w:rsidP="000116E6">
            <w:pPr>
              <w:rPr>
                <w:rFonts w:cs="Arial"/>
                <w:lang w:val="fr-FR"/>
              </w:rPr>
            </w:pPr>
            <w:r w:rsidRPr="00932144">
              <w:rPr>
                <w:rFonts w:cs="Arial"/>
                <w:lang w:val="fr-FR"/>
              </w:rPr>
              <w:t>4.4</w:t>
            </w:r>
            <w:r w:rsidR="008834C4">
              <w:rPr>
                <w:rFonts w:cs="Arial"/>
                <w:lang w:val="fr-FR"/>
              </w:rPr>
              <w:t>3</w:t>
            </w:r>
            <w:r w:rsidRPr="00932144">
              <w:rPr>
                <w:rFonts w:cs="Arial"/>
                <w:lang w:val="fr-FR"/>
              </w:rPr>
              <w:t>E-03</w:t>
            </w:r>
          </w:p>
        </w:tc>
        <w:tc>
          <w:tcPr>
            <w:tcW w:w="1448" w:type="dxa"/>
            <w:shd w:val="clear" w:color="auto" w:fill="C6D9F1" w:themeFill="text2" w:themeFillTint="33"/>
            <w:vAlign w:val="center"/>
          </w:tcPr>
          <w:p w14:paraId="446A5DF4" w14:textId="17A4739C" w:rsidR="00F67CCD" w:rsidRPr="00275290" w:rsidRDefault="00F67CCD" w:rsidP="000116E6">
            <w:pPr>
              <w:rPr>
                <w:rFonts w:cs="Arial"/>
                <w:lang w:val="fr-FR"/>
              </w:rPr>
            </w:pPr>
            <w:r>
              <w:rPr>
                <w:rFonts w:cs="Arial"/>
                <w:lang w:val="fr-FR"/>
              </w:rPr>
              <w:t>2</w:t>
            </w:r>
          </w:p>
        </w:tc>
      </w:tr>
    </w:tbl>
    <w:p w14:paraId="22A73A8E" w14:textId="77777777" w:rsidR="00510561" w:rsidRDefault="00510561" w:rsidP="009D4550">
      <w:pPr>
        <w:pStyle w:val="BfRBBStandard"/>
        <w:rPr>
          <w:rFonts w:ascii="Verdana" w:eastAsia="Times New Roman" w:hAnsi="Verdana"/>
          <w:b/>
          <w:i/>
          <w:sz w:val="20"/>
          <w:szCs w:val="20"/>
          <w:u w:val="single"/>
          <w:lang w:val="en-GB" w:eastAsia="sv-SE"/>
        </w:rPr>
      </w:pPr>
    </w:p>
    <w:p w14:paraId="7944DA27" w14:textId="77777777" w:rsidR="000116E6" w:rsidRPr="00275290" w:rsidRDefault="000116E6" w:rsidP="000116E6">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6171F876" w14:textId="77777777" w:rsidR="000116E6" w:rsidRPr="00275290" w:rsidRDefault="000116E6" w:rsidP="000116E6">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709"/>
        <w:gridCol w:w="1700"/>
        <w:gridCol w:w="1680"/>
        <w:gridCol w:w="899"/>
        <w:gridCol w:w="885"/>
        <w:gridCol w:w="1392"/>
      </w:tblGrid>
      <w:tr w:rsidR="000116E6" w:rsidRPr="00275290" w14:paraId="5F16E770" w14:textId="77777777" w:rsidTr="00932144">
        <w:tc>
          <w:tcPr>
            <w:tcW w:w="1668" w:type="dxa"/>
          </w:tcPr>
          <w:p w14:paraId="6C55AF17" w14:textId="77777777" w:rsidR="000116E6" w:rsidRPr="00275290" w:rsidRDefault="000116E6" w:rsidP="000116E6">
            <w:pPr>
              <w:rPr>
                <w:rFonts w:cs="Arial"/>
                <w:lang w:val="fr-FR"/>
              </w:rPr>
            </w:pPr>
          </w:p>
        </w:tc>
        <w:tc>
          <w:tcPr>
            <w:tcW w:w="1390" w:type="dxa"/>
            <w:vAlign w:val="center"/>
          </w:tcPr>
          <w:p w14:paraId="2E2AF899" w14:textId="77777777" w:rsidR="000116E6" w:rsidRPr="00275290" w:rsidRDefault="000116E6" w:rsidP="000116E6">
            <w:pPr>
              <w:rPr>
                <w:rFonts w:cs="Arial"/>
                <w:lang w:val="fr-FR"/>
              </w:rPr>
            </w:pPr>
            <w:r w:rsidRPr="00275290">
              <w:rPr>
                <w:rFonts w:cs="Arial"/>
                <w:lang w:val="fr-FR"/>
              </w:rPr>
              <w:t>Cyperméthrine</w:t>
            </w:r>
          </w:p>
        </w:tc>
        <w:tc>
          <w:tcPr>
            <w:tcW w:w="1756" w:type="dxa"/>
            <w:vAlign w:val="center"/>
          </w:tcPr>
          <w:p w14:paraId="418FC6FF" w14:textId="77777777" w:rsidR="000116E6" w:rsidRPr="00275290" w:rsidRDefault="000116E6" w:rsidP="000116E6">
            <w:pPr>
              <w:rPr>
                <w:rFonts w:cs="Arial"/>
                <w:lang w:val="fr-FR"/>
              </w:rPr>
            </w:pPr>
            <w:r w:rsidRPr="00275290">
              <w:rPr>
                <w:rFonts w:cs="Arial"/>
                <w:lang w:val="fr-FR"/>
              </w:rPr>
              <w:t>Propiconazole</w:t>
            </w:r>
          </w:p>
        </w:tc>
        <w:tc>
          <w:tcPr>
            <w:tcW w:w="1732" w:type="dxa"/>
            <w:vAlign w:val="center"/>
          </w:tcPr>
          <w:p w14:paraId="43D1EE11" w14:textId="77777777" w:rsidR="000116E6" w:rsidRPr="00275290" w:rsidRDefault="000116E6" w:rsidP="000116E6">
            <w:pPr>
              <w:rPr>
                <w:rFonts w:cs="Arial"/>
                <w:lang w:val="fr-FR"/>
              </w:rPr>
            </w:pPr>
            <w:r w:rsidRPr="00275290">
              <w:rPr>
                <w:rFonts w:cs="Arial"/>
                <w:lang w:val="fr-FR"/>
              </w:rPr>
              <w:t>Tébuconazole</w:t>
            </w:r>
          </w:p>
        </w:tc>
        <w:tc>
          <w:tcPr>
            <w:tcW w:w="1008" w:type="dxa"/>
            <w:shd w:val="clear" w:color="auto" w:fill="auto"/>
          </w:tcPr>
          <w:p w14:paraId="67A6DC50" w14:textId="77777777" w:rsidR="000116E6" w:rsidRPr="00275290" w:rsidRDefault="000116E6" w:rsidP="000116E6">
            <w:pPr>
              <w:rPr>
                <w:rFonts w:cs="Arial"/>
                <w:lang w:val="fr-FR"/>
              </w:rPr>
            </w:pPr>
            <w:r w:rsidRPr="00275290">
              <w:rPr>
                <w:rFonts w:cs="Arial"/>
                <w:lang w:val="fr-FR"/>
              </w:rPr>
              <w:t>IPBC</w:t>
            </w:r>
          </w:p>
        </w:tc>
        <w:tc>
          <w:tcPr>
            <w:tcW w:w="1001" w:type="dxa"/>
            <w:vMerge w:val="restart"/>
            <w:shd w:val="clear" w:color="auto" w:fill="E5B8B7" w:themeFill="accent2" w:themeFillTint="66"/>
            <w:vAlign w:val="center"/>
          </w:tcPr>
          <w:p w14:paraId="075ED69D" w14:textId="77777777" w:rsidR="000116E6" w:rsidRPr="00275290" w:rsidRDefault="000116E6" w:rsidP="000116E6">
            <w:pPr>
              <w:rPr>
                <w:rFonts w:cs="Arial"/>
                <w:lang w:val="fr-FR"/>
              </w:rPr>
            </w:pPr>
            <w:r w:rsidRPr="00275290">
              <w:rPr>
                <w:rFonts w:cs="Arial"/>
                <w:lang w:val="fr-FR"/>
              </w:rPr>
              <w:t>HI</w:t>
            </w:r>
          </w:p>
          <w:p w14:paraId="5C5BE793" w14:textId="77777777" w:rsidR="000116E6" w:rsidRPr="00275290" w:rsidRDefault="000116E6" w:rsidP="000116E6">
            <w:pPr>
              <w:rPr>
                <w:rFonts w:cs="Arial"/>
                <w:lang w:val="fr-FR"/>
              </w:rPr>
            </w:pPr>
            <w:r w:rsidRPr="00275290">
              <w:rPr>
                <w:rFonts w:cs="Arial"/>
                <w:lang w:val="fr-FR"/>
              </w:rPr>
              <w:t>(∑ HQ a.s)</w:t>
            </w:r>
          </w:p>
        </w:tc>
        <w:tc>
          <w:tcPr>
            <w:tcW w:w="1440" w:type="dxa"/>
            <w:vMerge w:val="restart"/>
            <w:shd w:val="clear" w:color="auto" w:fill="E5B8B7" w:themeFill="accent2" w:themeFillTint="66"/>
          </w:tcPr>
          <w:p w14:paraId="4CCFE87D" w14:textId="77777777" w:rsidR="000116E6" w:rsidRPr="00275290" w:rsidRDefault="000116E6" w:rsidP="000116E6">
            <w:pPr>
              <w:rPr>
                <w:rFonts w:cs="Arial"/>
                <w:lang w:val="fr-FR"/>
              </w:rPr>
            </w:pPr>
            <w:r w:rsidRPr="00275290">
              <w:rPr>
                <w:rFonts w:cs="Arial"/>
                <w:lang w:val="fr-FR"/>
              </w:rPr>
              <w:t>Risk</w:t>
            </w:r>
          </w:p>
        </w:tc>
      </w:tr>
      <w:tr w:rsidR="000116E6" w:rsidRPr="00275290" w14:paraId="42761A22" w14:textId="77777777" w:rsidTr="000116E6">
        <w:tc>
          <w:tcPr>
            <w:tcW w:w="7554" w:type="dxa"/>
            <w:gridSpan w:val="5"/>
          </w:tcPr>
          <w:p w14:paraId="0CB9A056" w14:textId="77777777" w:rsidR="000116E6" w:rsidRPr="00275290" w:rsidRDefault="000116E6" w:rsidP="000116E6">
            <w:pPr>
              <w:rPr>
                <w:rFonts w:cs="Arial"/>
                <w:lang w:val="fr-FR"/>
              </w:rPr>
            </w:pPr>
            <w:r w:rsidRPr="00275290">
              <w:rPr>
                <w:rFonts w:cs="Arial"/>
                <w:lang w:val="fr-FR"/>
              </w:rPr>
              <w:t>HQ (Exposure/AEL)</w:t>
            </w:r>
          </w:p>
        </w:tc>
        <w:tc>
          <w:tcPr>
            <w:tcW w:w="1001" w:type="dxa"/>
            <w:vMerge/>
            <w:shd w:val="clear" w:color="auto" w:fill="E5B8B7" w:themeFill="accent2" w:themeFillTint="66"/>
            <w:vAlign w:val="center"/>
          </w:tcPr>
          <w:p w14:paraId="4848C541" w14:textId="77777777" w:rsidR="000116E6" w:rsidRPr="00275290" w:rsidRDefault="000116E6" w:rsidP="000116E6">
            <w:pPr>
              <w:rPr>
                <w:rFonts w:cs="Arial"/>
                <w:lang w:val="fr-FR"/>
              </w:rPr>
            </w:pPr>
          </w:p>
        </w:tc>
        <w:tc>
          <w:tcPr>
            <w:tcW w:w="1440" w:type="dxa"/>
            <w:vMerge/>
            <w:shd w:val="clear" w:color="auto" w:fill="E5B8B7" w:themeFill="accent2" w:themeFillTint="66"/>
          </w:tcPr>
          <w:p w14:paraId="2AC4296E" w14:textId="77777777" w:rsidR="000116E6" w:rsidRPr="00275290" w:rsidRDefault="000116E6" w:rsidP="000116E6">
            <w:pPr>
              <w:rPr>
                <w:rFonts w:cs="Arial"/>
                <w:lang w:val="fr-FR"/>
              </w:rPr>
            </w:pPr>
          </w:p>
        </w:tc>
      </w:tr>
      <w:tr w:rsidR="000116E6" w:rsidRPr="00275290" w14:paraId="120C51F3" w14:textId="77777777" w:rsidTr="00932144">
        <w:trPr>
          <w:trHeight w:val="121"/>
        </w:trPr>
        <w:tc>
          <w:tcPr>
            <w:tcW w:w="1668" w:type="dxa"/>
          </w:tcPr>
          <w:p w14:paraId="22DB5BFA" w14:textId="286568D0" w:rsidR="000116E6" w:rsidRPr="00275290" w:rsidRDefault="000116E6" w:rsidP="000116E6">
            <w:pPr>
              <w:rPr>
                <w:rFonts w:cs="Arial"/>
              </w:rPr>
            </w:pPr>
            <w:r w:rsidRPr="00633030">
              <w:rPr>
                <w:rFonts w:eastAsiaTheme="minorHAnsi" w:cs="Arial"/>
                <w:b/>
                <w:lang w:val="en-US"/>
              </w:rPr>
              <w:t>with gloves during injection and no PPE during cleaning</w:t>
            </w:r>
          </w:p>
        </w:tc>
        <w:tc>
          <w:tcPr>
            <w:tcW w:w="1390" w:type="dxa"/>
            <w:vAlign w:val="center"/>
          </w:tcPr>
          <w:p w14:paraId="54643ADF" w14:textId="362E8060" w:rsidR="000116E6" w:rsidRPr="00275290" w:rsidRDefault="00DF44E7" w:rsidP="000116E6">
            <w:pPr>
              <w:rPr>
                <w:rFonts w:cs="Arial"/>
                <w:lang w:val="en-US"/>
              </w:rPr>
            </w:pPr>
            <w:r>
              <w:rPr>
                <w:rFonts w:cs="Arial"/>
                <w:lang w:val="en-US"/>
              </w:rPr>
              <w:t>0.2</w:t>
            </w:r>
            <w:r w:rsidR="008834C4">
              <w:rPr>
                <w:rFonts w:cs="Arial"/>
                <w:lang w:val="en-US"/>
              </w:rPr>
              <w:t>5</w:t>
            </w:r>
          </w:p>
        </w:tc>
        <w:tc>
          <w:tcPr>
            <w:tcW w:w="1756" w:type="dxa"/>
            <w:vAlign w:val="center"/>
          </w:tcPr>
          <w:p w14:paraId="243355F4" w14:textId="30FFABA2" w:rsidR="000116E6" w:rsidRPr="00275290" w:rsidRDefault="00DF44E7" w:rsidP="000116E6">
            <w:pPr>
              <w:rPr>
                <w:rFonts w:cs="Arial"/>
                <w:lang w:val="en-US"/>
              </w:rPr>
            </w:pPr>
            <w:r>
              <w:rPr>
                <w:rFonts w:cs="Arial"/>
                <w:lang w:val="en-US"/>
              </w:rPr>
              <w:t>0.2</w:t>
            </w:r>
            <w:r w:rsidR="008834C4">
              <w:rPr>
                <w:rFonts w:cs="Arial"/>
                <w:lang w:val="en-US"/>
              </w:rPr>
              <w:t>0</w:t>
            </w:r>
          </w:p>
        </w:tc>
        <w:tc>
          <w:tcPr>
            <w:tcW w:w="1732" w:type="dxa"/>
            <w:vAlign w:val="center"/>
          </w:tcPr>
          <w:p w14:paraId="60753C6B" w14:textId="0344B0B4" w:rsidR="000116E6" w:rsidRPr="00275290" w:rsidRDefault="00DF44E7" w:rsidP="000116E6">
            <w:pPr>
              <w:rPr>
                <w:rFonts w:cs="Arial"/>
                <w:lang w:val="en-US"/>
              </w:rPr>
            </w:pPr>
            <w:r>
              <w:rPr>
                <w:rFonts w:cs="Arial"/>
                <w:lang w:val="en-US"/>
              </w:rPr>
              <w:t>0.10</w:t>
            </w:r>
          </w:p>
        </w:tc>
        <w:tc>
          <w:tcPr>
            <w:tcW w:w="1008" w:type="dxa"/>
            <w:shd w:val="clear" w:color="auto" w:fill="auto"/>
            <w:vAlign w:val="center"/>
          </w:tcPr>
          <w:p w14:paraId="0C9BB95A" w14:textId="7D3BAC26" w:rsidR="000116E6" w:rsidRPr="00275290" w:rsidRDefault="00DF44E7" w:rsidP="000116E6">
            <w:pPr>
              <w:rPr>
                <w:rFonts w:cs="Arial"/>
                <w:lang w:val="en-US"/>
              </w:rPr>
            </w:pPr>
            <w:r>
              <w:rPr>
                <w:rFonts w:cs="Arial"/>
                <w:lang w:val="en-US"/>
              </w:rPr>
              <w:t>0.04</w:t>
            </w:r>
          </w:p>
        </w:tc>
        <w:tc>
          <w:tcPr>
            <w:tcW w:w="1001" w:type="dxa"/>
            <w:shd w:val="clear" w:color="auto" w:fill="E5B8B7" w:themeFill="accent2" w:themeFillTint="66"/>
            <w:vAlign w:val="center"/>
          </w:tcPr>
          <w:p w14:paraId="4D227B6D" w14:textId="5B6827A3" w:rsidR="000116E6" w:rsidRPr="00275290" w:rsidRDefault="00DF44E7" w:rsidP="008834C4">
            <w:pPr>
              <w:rPr>
                <w:rFonts w:cs="Arial"/>
                <w:lang w:val="en-US"/>
              </w:rPr>
            </w:pPr>
            <w:r>
              <w:rPr>
                <w:rFonts w:cs="Arial"/>
                <w:lang w:val="en-US"/>
              </w:rPr>
              <w:t>0.</w:t>
            </w:r>
            <w:r w:rsidR="008834C4">
              <w:rPr>
                <w:rFonts w:cs="Arial"/>
                <w:lang w:val="en-US"/>
              </w:rPr>
              <w:t>59</w:t>
            </w:r>
          </w:p>
        </w:tc>
        <w:tc>
          <w:tcPr>
            <w:tcW w:w="1440" w:type="dxa"/>
            <w:shd w:val="clear" w:color="auto" w:fill="E5B8B7" w:themeFill="accent2" w:themeFillTint="66"/>
            <w:vAlign w:val="center"/>
          </w:tcPr>
          <w:p w14:paraId="3EE5D43F" w14:textId="1670FF57" w:rsidR="000116E6" w:rsidRPr="00275290" w:rsidRDefault="00DF44E7" w:rsidP="000116E6">
            <w:pPr>
              <w:rPr>
                <w:rFonts w:cs="Arial"/>
                <w:lang w:val="fr-FR"/>
              </w:rPr>
            </w:pPr>
            <w:r w:rsidRPr="00275290">
              <w:rPr>
                <w:rFonts w:cs="Arial"/>
                <w:lang w:val="fr-FR"/>
              </w:rPr>
              <w:t>Acceptable</w:t>
            </w:r>
          </w:p>
        </w:tc>
      </w:tr>
      <w:tr w:rsidR="000116E6" w:rsidRPr="00275290" w14:paraId="455CA7B4" w14:textId="77777777" w:rsidTr="00932144">
        <w:trPr>
          <w:trHeight w:val="121"/>
        </w:trPr>
        <w:tc>
          <w:tcPr>
            <w:tcW w:w="1668" w:type="dxa"/>
          </w:tcPr>
          <w:p w14:paraId="47D55488" w14:textId="117AEFA3" w:rsidR="000116E6" w:rsidRPr="00275290" w:rsidRDefault="000116E6" w:rsidP="000116E6">
            <w:pPr>
              <w:rPr>
                <w:rFonts w:cs="Arial"/>
                <w:lang w:val="en-US"/>
              </w:rPr>
            </w:pPr>
            <w:r w:rsidRPr="00633030">
              <w:rPr>
                <w:rFonts w:eastAsiaTheme="minorHAnsi" w:cs="Arial"/>
                <w:b/>
                <w:lang w:val="en-US"/>
              </w:rPr>
              <w:t>with gloves during injection and gloves and coated coverall during cleaning</w:t>
            </w:r>
          </w:p>
        </w:tc>
        <w:tc>
          <w:tcPr>
            <w:tcW w:w="1390" w:type="dxa"/>
            <w:vAlign w:val="center"/>
          </w:tcPr>
          <w:p w14:paraId="5E18B880" w14:textId="45C5847C" w:rsidR="000116E6" w:rsidRPr="00275290" w:rsidRDefault="00DF44E7" w:rsidP="008834C4">
            <w:pPr>
              <w:rPr>
                <w:rFonts w:cs="Arial"/>
                <w:lang w:val="en-US"/>
              </w:rPr>
            </w:pPr>
            <w:r>
              <w:rPr>
                <w:rFonts w:cs="Arial"/>
                <w:lang w:val="en-US"/>
              </w:rPr>
              <w:t>0.</w:t>
            </w:r>
            <w:r w:rsidR="008834C4">
              <w:rPr>
                <w:rFonts w:cs="Arial"/>
                <w:lang w:val="en-US"/>
              </w:rPr>
              <w:t>15</w:t>
            </w:r>
          </w:p>
        </w:tc>
        <w:tc>
          <w:tcPr>
            <w:tcW w:w="1756" w:type="dxa"/>
            <w:vAlign w:val="center"/>
          </w:tcPr>
          <w:p w14:paraId="756AF132" w14:textId="3FEDA457" w:rsidR="000116E6" w:rsidRPr="00275290" w:rsidRDefault="00DF44E7" w:rsidP="000116E6">
            <w:pPr>
              <w:rPr>
                <w:rFonts w:cs="Arial"/>
                <w:lang w:val="en-US"/>
              </w:rPr>
            </w:pPr>
            <w:r>
              <w:rPr>
                <w:rFonts w:cs="Arial"/>
                <w:lang w:val="en-US"/>
              </w:rPr>
              <w:t>0.12</w:t>
            </w:r>
          </w:p>
        </w:tc>
        <w:tc>
          <w:tcPr>
            <w:tcW w:w="1732" w:type="dxa"/>
            <w:vAlign w:val="center"/>
          </w:tcPr>
          <w:p w14:paraId="22B3FE2E" w14:textId="1AC66397" w:rsidR="000116E6" w:rsidRPr="00275290" w:rsidRDefault="00DF44E7" w:rsidP="000116E6">
            <w:pPr>
              <w:rPr>
                <w:rFonts w:cs="Arial"/>
                <w:lang w:val="en-US"/>
              </w:rPr>
            </w:pPr>
            <w:r>
              <w:rPr>
                <w:rFonts w:cs="Arial"/>
                <w:lang w:val="en-US"/>
              </w:rPr>
              <w:t>0.06</w:t>
            </w:r>
          </w:p>
        </w:tc>
        <w:tc>
          <w:tcPr>
            <w:tcW w:w="1008" w:type="dxa"/>
            <w:shd w:val="clear" w:color="auto" w:fill="auto"/>
            <w:vAlign w:val="center"/>
          </w:tcPr>
          <w:p w14:paraId="6E2AFDA7" w14:textId="47E7645B" w:rsidR="000116E6" w:rsidRPr="00275290" w:rsidRDefault="00DF44E7" w:rsidP="000116E6">
            <w:pPr>
              <w:rPr>
                <w:rFonts w:cs="Arial"/>
                <w:lang w:val="en-US"/>
              </w:rPr>
            </w:pPr>
            <w:r>
              <w:rPr>
                <w:rFonts w:cs="Arial"/>
                <w:lang w:val="en-US"/>
              </w:rPr>
              <w:t>0.02</w:t>
            </w:r>
          </w:p>
        </w:tc>
        <w:tc>
          <w:tcPr>
            <w:tcW w:w="1001" w:type="dxa"/>
            <w:shd w:val="clear" w:color="auto" w:fill="E5B8B7" w:themeFill="accent2" w:themeFillTint="66"/>
            <w:vAlign w:val="center"/>
          </w:tcPr>
          <w:p w14:paraId="0251F2CC" w14:textId="457874F2" w:rsidR="000116E6" w:rsidRPr="00275290" w:rsidRDefault="00DF44E7" w:rsidP="000116E6">
            <w:pPr>
              <w:rPr>
                <w:rFonts w:cs="Arial"/>
                <w:lang w:val="en-US"/>
              </w:rPr>
            </w:pPr>
            <w:r>
              <w:rPr>
                <w:rFonts w:cs="Arial"/>
                <w:lang w:val="en-US"/>
              </w:rPr>
              <w:t>0.3</w:t>
            </w:r>
            <w:r w:rsidR="008834C4">
              <w:rPr>
                <w:rFonts w:cs="Arial"/>
                <w:lang w:val="en-US"/>
              </w:rPr>
              <w:t>5</w:t>
            </w:r>
          </w:p>
        </w:tc>
        <w:tc>
          <w:tcPr>
            <w:tcW w:w="1440" w:type="dxa"/>
            <w:shd w:val="clear" w:color="auto" w:fill="E5B8B7" w:themeFill="accent2" w:themeFillTint="66"/>
            <w:vAlign w:val="center"/>
          </w:tcPr>
          <w:p w14:paraId="1CDC2AA4" w14:textId="77777777" w:rsidR="000116E6" w:rsidRPr="00275290" w:rsidRDefault="000116E6" w:rsidP="000116E6">
            <w:pPr>
              <w:rPr>
                <w:rFonts w:cs="Arial"/>
                <w:lang w:val="en-US"/>
              </w:rPr>
            </w:pPr>
            <w:r w:rsidRPr="00275290">
              <w:rPr>
                <w:rFonts w:cs="Arial"/>
                <w:lang w:val="fr-FR"/>
              </w:rPr>
              <w:t>Acceptable</w:t>
            </w:r>
          </w:p>
        </w:tc>
      </w:tr>
    </w:tbl>
    <w:p w14:paraId="0E9A71DF" w14:textId="77777777" w:rsidR="000116E6" w:rsidRPr="00275290" w:rsidRDefault="000116E6" w:rsidP="000116E6">
      <w:pPr>
        <w:pStyle w:val="BfRBBStandard"/>
        <w:rPr>
          <w:rFonts w:ascii="Verdana" w:eastAsia="Times New Roman" w:hAnsi="Verdana"/>
          <w:sz w:val="20"/>
          <w:szCs w:val="20"/>
          <w:lang w:val="en-GB" w:eastAsia="sv-SE"/>
        </w:rPr>
      </w:pPr>
    </w:p>
    <w:p w14:paraId="560F2471" w14:textId="12DA2723" w:rsidR="000116E6" w:rsidRPr="00275290" w:rsidRDefault="000116E6" w:rsidP="000116E6">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risk is acceptable (HI &lt; 1).</w:t>
      </w:r>
    </w:p>
    <w:p w14:paraId="32C2E12A" w14:textId="77777777" w:rsidR="000116E6" w:rsidRDefault="000116E6" w:rsidP="009D4550">
      <w:pPr>
        <w:pStyle w:val="BfRBBStandard"/>
        <w:rPr>
          <w:rFonts w:ascii="Verdana" w:eastAsia="Times New Roman" w:hAnsi="Verdana"/>
          <w:b/>
          <w:i/>
          <w:sz w:val="20"/>
          <w:szCs w:val="20"/>
          <w:u w:val="single"/>
          <w:lang w:val="en-GB" w:eastAsia="sv-SE"/>
        </w:rPr>
      </w:pPr>
    </w:p>
    <w:p w14:paraId="656B6341" w14:textId="77777777" w:rsidR="00510561" w:rsidRDefault="00510561" w:rsidP="009D4550">
      <w:pPr>
        <w:pStyle w:val="BfRBBStandard"/>
        <w:rPr>
          <w:rFonts w:ascii="Verdana" w:eastAsia="Times New Roman" w:hAnsi="Verdana"/>
          <w:b/>
          <w:i/>
          <w:sz w:val="20"/>
          <w:szCs w:val="20"/>
          <w:u w:val="single"/>
          <w:lang w:val="en-GB" w:eastAsia="sv-SE"/>
        </w:rPr>
      </w:pPr>
    </w:p>
    <w:p w14:paraId="6101489C"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Brush application + injection</w:t>
      </w:r>
    </w:p>
    <w:p w14:paraId="094B8030" w14:textId="77777777" w:rsidR="009D4550" w:rsidRPr="00275290" w:rsidRDefault="009D4550" w:rsidP="009D4550">
      <w:pPr>
        <w:pStyle w:val="BfRBBStandard"/>
        <w:rPr>
          <w:rFonts w:ascii="Verdana" w:eastAsia="Times New Roman" w:hAnsi="Verdana"/>
          <w:sz w:val="20"/>
          <w:szCs w:val="20"/>
          <w:lang w:val="en-GB" w:eastAsia="sv-SE"/>
        </w:rPr>
      </w:pPr>
    </w:p>
    <w:p w14:paraId="30815A0D" w14:textId="6BADB68F"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(each substance)</w:t>
      </w:r>
    </w:p>
    <w:p w14:paraId="6D68696E"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5"/>
        <w:gridCol w:w="1984"/>
        <w:gridCol w:w="1590"/>
      </w:tblGrid>
      <w:tr w:rsidR="004938EA" w:rsidRPr="00275290" w14:paraId="0146BA01" w14:textId="77777777" w:rsidTr="00C81964">
        <w:tc>
          <w:tcPr>
            <w:tcW w:w="1526" w:type="dxa"/>
          </w:tcPr>
          <w:p w14:paraId="59A19074"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2835" w:type="dxa"/>
          </w:tcPr>
          <w:p w14:paraId="262F96C5"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0AB7DB3C"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lastRenderedPageBreak/>
              <w:t>(mg/kg pc/j)</w:t>
            </w:r>
          </w:p>
        </w:tc>
        <w:tc>
          <w:tcPr>
            <w:tcW w:w="1984" w:type="dxa"/>
          </w:tcPr>
          <w:p w14:paraId="4A625434"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lastRenderedPageBreak/>
              <w:t>Exposure</w:t>
            </w:r>
          </w:p>
          <w:p w14:paraId="39452CB4"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lastRenderedPageBreak/>
              <w:t>(mg/kg pc/j)</w:t>
            </w:r>
          </w:p>
        </w:tc>
        <w:tc>
          <w:tcPr>
            <w:tcW w:w="1590" w:type="dxa"/>
          </w:tcPr>
          <w:p w14:paraId="2DD0B8C1" w14:textId="77777777" w:rsidR="004938EA" w:rsidRPr="00275290" w:rsidRDefault="004938EA" w:rsidP="009D4550">
            <w:pPr>
              <w:autoSpaceDE w:val="0"/>
              <w:autoSpaceDN w:val="0"/>
              <w:adjustRightInd w:val="0"/>
              <w:spacing w:before="60" w:after="60"/>
              <w:rPr>
                <w:rFonts w:cs="Arial"/>
              </w:rPr>
            </w:pPr>
            <w:r w:rsidRPr="00275290">
              <w:rPr>
                <w:rFonts w:cs="Arial"/>
              </w:rPr>
              <w:lastRenderedPageBreak/>
              <w:t>% AEL</w:t>
            </w:r>
          </w:p>
        </w:tc>
      </w:tr>
      <w:tr w:rsidR="004938EA" w:rsidRPr="00275290" w14:paraId="5391D82B" w14:textId="77777777" w:rsidTr="00666966">
        <w:tc>
          <w:tcPr>
            <w:tcW w:w="7935" w:type="dxa"/>
            <w:gridSpan w:val="4"/>
            <w:shd w:val="clear" w:color="auto" w:fill="BFBFBF" w:themeFill="background1" w:themeFillShade="BF"/>
            <w:vAlign w:val="center"/>
          </w:tcPr>
          <w:p w14:paraId="132DF5A0" w14:textId="77777777" w:rsidR="004938EA" w:rsidRPr="00633030" w:rsidRDefault="004938EA" w:rsidP="00F40978">
            <w:pPr>
              <w:rPr>
                <w:rFonts w:cs="Arial"/>
                <w:b/>
                <w:lang w:val="en-US"/>
              </w:rPr>
            </w:pPr>
            <w:r w:rsidRPr="00633030">
              <w:rPr>
                <w:rFonts w:cs="Arial"/>
                <w:b/>
                <w:lang w:val="en-US"/>
              </w:rPr>
              <w:t>Injection  1</w:t>
            </w:r>
            <w:r>
              <w:rPr>
                <w:rFonts w:cs="Arial"/>
                <w:b/>
                <w:lang w:val="en-US"/>
              </w:rPr>
              <w:t>45</w:t>
            </w:r>
            <w:r w:rsidRPr="00633030">
              <w:rPr>
                <w:rFonts w:cs="Arial"/>
                <w:b/>
                <w:lang w:val="en-US"/>
              </w:rPr>
              <w:t xml:space="preserve"> g/m</w:t>
            </w:r>
            <w:r w:rsidRPr="00633030">
              <w:rPr>
                <w:rFonts w:cs="Arial"/>
                <w:b/>
                <w:vertAlign w:val="superscript"/>
                <w:lang w:val="en-US"/>
              </w:rPr>
              <w:t>2</w:t>
            </w:r>
            <w:r w:rsidRPr="00633030">
              <w:rPr>
                <w:rFonts w:cs="Arial"/>
                <w:b/>
                <w:lang w:val="en-US"/>
              </w:rPr>
              <w:t xml:space="preserve"> in combination with brush treatment at 300 g/m2</w:t>
            </w:r>
          </w:p>
          <w:p w14:paraId="76F70E7C" w14:textId="57953C0F" w:rsidR="004938EA" w:rsidRPr="00275290" w:rsidRDefault="004938EA" w:rsidP="00F40978">
            <w:pPr>
              <w:rPr>
                <w:rFonts w:cs="Arial"/>
                <w:lang w:val="en-US"/>
              </w:rPr>
            </w:pPr>
            <w:r w:rsidRPr="00633030">
              <w:rPr>
                <w:rFonts w:cs="Arial"/>
                <w:b/>
                <w:lang w:val="en-US"/>
              </w:rPr>
              <w:t xml:space="preserve">With </w:t>
            </w:r>
            <w:r>
              <w:rPr>
                <w:rFonts w:cs="Arial"/>
                <w:b/>
                <w:lang w:val="en-US"/>
              </w:rPr>
              <w:t xml:space="preserve">gloves and coated coverall </w:t>
            </w:r>
            <w:r w:rsidRPr="00633030">
              <w:rPr>
                <w:rFonts w:cs="Arial"/>
                <w:b/>
                <w:lang w:val="en-US"/>
              </w:rPr>
              <w:t xml:space="preserve"> during application </w:t>
            </w:r>
            <w:r>
              <w:rPr>
                <w:rFonts w:cs="Arial"/>
                <w:b/>
                <w:lang w:val="en-US"/>
              </w:rPr>
              <w:t xml:space="preserve">by brushing , </w:t>
            </w:r>
            <w:r w:rsidRPr="00633030">
              <w:rPr>
                <w:rFonts w:cs="Arial"/>
                <w:b/>
                <w:lang w:val="en-US"/>
              </w:rPr>
              <w:t>gloves during injection and no PPE during cleaning</w:t>
            </w:r>
          </w:p>
        </w:tc>
      </w:tr>
      <w:tr w:rsidR="00EE1717" w:rsidRPr="00275290" w14:paraId="5F43AD40" w14:textId="77777777" w:rsidTr="00B7552D">
        <w:tc>
          <w:tcPr>
            <w:tcW w:w="1526" w:type="dxa"/>
            <w:vMerge w:val="restart"/>
            <w:shd w:val="clear" w:color="auto" w:fill="C6D9F1" w:themeFill="text2" w:themeFillTint="33"/>
            <w:vAlign w:val="center"/>
          </w:tcPr>
          <w:p w14:paraId="6C7C11E0" w14:textId="77777777" w:rsidR="00EE1717" w:rsidRPr="00275290" w:rsidRDefault="00EE1717" w:rsidP="009D4550">
            <w:pPr>
              <w:rPr>
                <w:rFonts w:cs="Arial"/>
                <w:lang w:val="fr-FR"/>
              </w:rPr>
            </w:pPr>
            <w:r w:rsidRPr="00275290">
              <w:rPr>
                <w:rFonts w:cs="Arial"/>
                <w:lang w:val="fr-FR"/>
              </w:rPr>
              <w:t>Appli + cleaning</w:t>
            </w:r>
          </w:p>
        </w:tc>
        <w:tc>
          <w:tcPr>
            <w:tcW w:w="2835" w:type="dxa"/>
            <w:shd w:val="clear" w:color="auto" w:fill="C6D9F1" w:themeFill="text2" w:themeFillTint="33"/>
            <w:vAlign w:val="center"/>
          </w:tcPr>
          <w:p w14:paraId="5964A744" w14:textId="0241711B" w:rsidR="00EE1717" w:rsidRPr="00275290" w:rsidRDefault="00EE1717"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984" w:type="dxa"/>
            <w:shd w:val="clear" w:color="auto" w:fill="C6D9F1" w:themeFill="text2" w:themeFillTint="33"/>
            <w:vAlign w:val="bottom"/>
          </w:tcPr>
          <w:p w14:paraId="0571D252" w14:textId="392B30F8" w:rsidR="00EE1717" w:rsidRPr="00275290" w:rsidRDefault="00EE1717" w:rsidP="00932144">
            <w:pPr>
              <w:jc w:val="center"/>
              <w:rPr>
                <w:rFonts w:cs="Arial"/>
                <w:color w:val="000000"/>
              </w:rPr>
            </w:pPr>
            <w:r w:rsidRPr="00A61883">
              <w:rPr>
                <w:rFonts w:cs="Arial"/>
                <w:lang w:val="fr-FR"/>
              </w:rPr>
              <w:t>7.43E-03</w:t>
            </w:r>
          </w:p>
        </w:tc>
        <w:tc>
          <w:tcPr>
            <w:tcW w:w="1590" w:type="dxa"/>
            <w:shd w:val="clear" w:color="auto" w:fill="C6D9F1" w:themeFill="text2" w:themeFillTint="33"/>
            <w:vAlign w:val="center"/>
          </w:tcPr>
          <w:p w14:paraId="7A9E3581" w14:textId="490277C1" w:rsidR="00EE1717" w:rsidRPr="00275290" w:rsidRDefault="00EE1717" w:rsidP="00932144">
            <w:pPr>
              <w:jc w:val="center"/>
              <w:rPr>
                <w:rFonts w:cs="Arial"/>
                <w:lang w:val="fr-FR"/>
              </w:rPr>
            </w:pPr>
            <w:r>
              <w:rPr>
                <w:rFonts w:cs="Arial"/>
                <w:lang w:val="fr-FR"/>
              </w:rPr>
              <w:t>34</w:t>
            </w:r>
          </w:p>
        </w:tc>
      </w:tr>
      <w:tr w:rsidR="00EE1717" w:rsidRPr="00275290" w14:paraId="076EF843" w14:textId="77777777" w:rsidTr="00B7552D">
        <w:tc>
          <w:tcPr>
            <w:tcW w:w="1526" w:type="dxa"/>
            <w:vMerge/>
            <w:shd w:val="clear" w:color="auto" w:fill="C6D9F1" w:themeFill="text2" w:themeFillTint="33"/>
            <w:vAlign w:val="center"/>
          </w:tcPr>
          <w:p w14:paraId="425A5FBE" w14:textId="77777777" w:rsidR="00EE1717" w:rsidRPr="00275290" w:rsidRDefault="00EE1717" w:rsidP="009D4550">
            <w:pPr>
              <w:rPr>
                <w:rFonts w:cs="Arial"/>
                <w:lang w:val="fr-FR"/>
              </w:rPr>
            </w:pPr>
          </w:p>
        </w:tc>
        <w:tc>
          <w:tcPr>
            <w:tcW w:w="2835" w:type="dxa"/>
            <w:shd w:val="clear" w:color="auto" w:fill="C6D9F1" w:themeFill="text2" w:themeFillTint="33"/>
            <w:vAlign w:val="center"/>
          </w:tcPr>
          <w:p w14:paraId="2017E0A8" w14:textId="77777777" w:rsidR="00EE1717" w:rsidRPr="00275290" w:rsidRDefault="00EE1717" w:rsidP="009D4550">
            <w:pPr>
              <w:rPr>
                <w:rFonts w:cs="Arial"/>
                <w:lang w:val="fr-FR"/>
              </w:rPr>
            </w:pPr>
            <w:r w:rsidRPr="00275290">
              <w:rPr>
                <w:rFonts w:cs="Arial"/>
                <w:lang w:val="fr-FR"/>
              </w:rPr>
              <w:t>Propiconazole : 0.04</w:t>
            </w:r>
          </w:p>
        </w:tc>
        <w:tc>
          <w:tcPr>
            <w:tcW w:w="1984" w:type="dxa"/>
            <w:shd w:val="clear" w:color="auto" w:fill="C6D9F1" w:themeFill="text2" w:themeFillTint="33"/>
            <w:vAlign w:val="bottom"/>
          </w:tcPr>
          <w:p w14:paraId="4F123E55" w14:textId="7EB902E6" w:rsidR="00EE1717" w:rsidRPr="00275290" w:rsidRDefault="00EE1717" w:rsidP="00932144">
            <w:pPr>
              <w:jc w:val="center"/>
              <w:rPr>
                <w:rFonts w:cs="Arial"/>
                <w:color w:val="000000"/>
              </w:rPr>
            </w:pPr>
            <w:r w:rsidRPr="00A61883">
              <w:rPr>
                <w:rFonts w:cs="Arial"/>
                <w:lang w:val="fr-FR"/>
              </w:rPr>
              <w:t>1.07E-02</w:t>
            </w:r>
          </w:p>
        </w:tc>
        <w:tc>
          <w:tcPr>
            <w:tcW w:w="1590" w:type="dxa"/>
            <w:shd w:val="clear" w:color="auto" w:fill="C6D9F1" w:themeFill="text2" w:themeFillTint="33"/>
            <w:vAlign w:val="center"/>
          </w:tcPr>
          <w:p w14:paraId="09EE30A7" w14:textId="6D3877CA" w:rsidR="00EE1717" w:rsidRPr="00275290" w:rsidRDefault="00EE1717" w:rsidP="00932144">
            <w:pPr>
              <w:jc w:val="center"/>
              <w:rPr>
                <w:rFonts w:cs="Arial"/>
                <w:lang w:val="fr-FR"/>
              </w:rPr>
            </w:pPr>
            <w:r>
              <w:rPr>
                <w:rFonts w:cs="Arial"/>
                <w:lang w:val="fr-FR"/>
              </w:rPr>
              <w:t>27</w:t>
            </w:r>
          </w:p>
        </w:tc>
      </w:tr>
      <w:tr w:rsidR="00EE1717" w:rsidRPr="00275290" w14:paraId="2984DA5E" w14:textId="77777777" w:rsidTr="00B7552D">
        <w:tc>
          <w:tcPr>
            <w:tcW w:w="1526" w:type="dxa"/>
            <w:vMerge/>
            <w:shd w:val="clear" w:color="auto" w:fill="C6D9F1" w:themeFill="text2" w:themeFillTint="33"/>
            <w:vAlign w:val="center"/>
          </w:tcPr>
          <w:p w14:paraId="4736E121" w14:textId="77777777" w:rsidR="00EE1717" w:rsidRPr="00275290" w:rsidRDefault="00EE1717" w:rsidP="009D4550">
            <w:pPr>
              <w:rPr>
                <w:rFonts w:cs="Arial"/>
                <w:lang w:val="fr-FR"/>
              </w:rPr>
            </w:pPr>
          </w:p>
        </w:tc>
        <w:tc>
          <w:tcPr>
            <w:tcW w:w="2835" w:type="dxa"/>
            <w:shd w:val="clear" w:color="auto" w:fill="C6D9F1" w:themeFill="text2" w:themeFillTint="33"/>
            <w:vAlign w:val="center"/>
          </w:tcPr>
          <w:p w14:paraId="1F679112" w14:textId="77777777" w:rsidR="00EE1717" w:rsidRPr="00275290" w:rsidRDefault="00EE1717" w:rsidP="009D4550">
            <w:pPr>
              <w:rPr>
                <w:rFonts w:cs="Arial"/>
                <w:lang w:val="fr-FR"/>
              </w:rPr>
            </w:pPr>
            <w:r w:rsidRPr="00275290">
              <w:rPr>
                <w:rFonts w:cs="Arial"/>
                <w:lang w:val="fr-FR"/>
              </w:rPr>
              <w:t>Tébuconazole : 0.03</w:t>
            </w:r>
          </w:p>
        </w:tc>
        <w:tc>
          <w:tcPr>
            <w:tcW w:w="1984" w:type="dxa"/>
            <w:shd w:val="clear" w:color="auto" w:fill="C6D9F1" w:themeFill="text2" w:themeFillTint="33"/>
            <w:vAlign w:val="bottom"/>
          </w:tcPr>
          <w:p w14:paraId="63353076" w14:textId="1AB11EF4" w:rsidR="00EE1717" w:rsidRPr="00275290" w:rsidRDefault="00EE1717" w:rsidP="00932144">
            <w:pPr>
              <w:jc w:val="center"/>
              <w:rPr>
                <w:rFonts w:cs="Arial"/>
                <w:color w:val="000000"/>
              </w:rPr>
            </w:pPr>
            <w:r w:rsidRPr="00A61883">
              <w:rPr>
                <w:rFonts w:cs="Arial"/>
                <w:lang w:val="fr-FR"/>
              </w:rPr>
              <w:t>4.12E-03</w:t>
            </w:r>
          </w:p>
        </w:tc>
        <w:tc>
          <w:tcPr>
            <w:tcW w:w="1590" w:type="dxa"/>
            <w:shd w:val="clear" w:color="auto" w:fill="C6D9F1" w:themeFill="text2" w:themeFillTint="33"/>
            <w:vAlign w:val="center"/>
          </w:tcPr>
          <w:p w14:paraId="0A90FF4E" w14:textId="1C86D77E" w:rsidR="00EE1717" w:rsidRPr="00275290" w:rsidRDefault="00EE1717" w:rsidP="00932144">
            <w:pPr>
              <w:jc w:val="center"/>
              <w:rPr>
                <w:rFonts w:cs="Arial"/>
                <w:lang w:val="fr-FR"/>
              </w:rPr>
            </w:pPr>
            <w:r>
              <w:rPr>
                <w:rFonts w:cs="Arial"/>
                <w:lang w:val="fr-FR"/>
              </w:rPr>
              <w:t>14</w:t>
            </w:r>
          </w:p>
        </w:tc>
      </w:tr>
      <w:tr w:rsidR="00EE1717" w:rsidRPr="00275290" w14:paraId="1A4A1AD4" w14:textId="77777777" w:rsidTr="00B7552D">
        <w:tc>
          <w:tcPr>
            <w:tcW w:w="1526" w:type="dxa"/>
            <w:vMerge/>
            <w:shd w:val="clear" w:color="auto" w:fill="C6D9F1" w:themeFill="text2" w:themeFillTint="33"/>
            <w:vAlign w:val="center"/>
          </w:tcPr>
          <w:p w14:paraId="68BA110D" w14:textId="77777777" w:rsidR="00EE1717" w:rsidRPr="00275290" w:rsidRDefault="00EE1717" w:rsidP="009D4550">
            <w:pPr>
              <w:rPr>
                <w:rFonts w:cs="Arial"/>
                <w:lang w:val="fr-FR"/>
              </w:rPr>
            </w:pPr>
          </w:p>
        </w:tc>
        <w:tc>
          <w:tcPr>
            <w:tcW w:w="2835" w:type="dxa"/>
            <w:shd w:val="clear" w:color="auto" w:fill="C6D9F1" w:themeFill="text2" w:themeFillTint="33"/>
            <w:vAlign w:val="center"/>
          </w:tcPr>
          <w:p w14:paraId="6DAA8A3A" w14:textId="239CD4AE" w:rsidR="00EE1717" w:rsidRPr="00275290" w:rsidRDefault="00EE1717"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1984" w:type="dxa"/>
            <w:shd w:val="clear" w:color="auto" w:fill="C6D9F1" w:themeFill="text2" w:themeFillTint="33"/>
            <w:vAlign w:val="bottom"/>
          </w:tcPr>
          <w:p w14:paraId="4285BFB7" w14:textId="17FD319D" w:rsidR="00EE1717" w:rsidRPr="00275290" w:rsidRDefault="00EE1717" w:rsidP="00932144">
            <w:pPr>
              <w:jc w:val="center"/>
              <w:rPr>
                <w:rFonts w:cs="Arial"/>
                <w:color w:val="000000"/>
              </w:rPr>
            </w:pPr>
            <w:r w:rsidRPr="00A61883">
              <w:rPr>
                <w:rFonts w:cs="Arial"/>
                <w:lang w:val="fr-FR"/>
              </w:rPr>
              <w:t>9.52E-03</w:t>
            </w:r>
          </w:p>
        </w:tc>
        <w:tc>
          <w:tcPr>
            <w:tcW w:w="1590" w:type="dxa"/>
            <w:shd w:val="clear" w:color="auto" w:fill="C6D9F1" w:themeFill="text2" w:themeFillTint="33"/>
            <w:vAlign w:val="center"/>
          </w:tcPr>
          <w:p w14:paraId="2018B802" w14:textId="0121FA9B" w:rsidR="00EE1717" w:rsidRPr="00275290" w:rsidRDefault="00EE1717" w:rsidP="00932144">
            <w:pPr>
              <w:jc w:val="center"/>
              <w:rPr>
                <w:rFonts w:cs="Arial"/>
                <w:lang w:val="fr-FR"/>
              </w:rPr>
            </w:pPr>
            <w:r>
              <w:rPr>
                <w:rFonts w:cs="Arial"/>
                <w:lang w:val="fr-FR"/>
              </w:rPr>
              <w:t>5</w:t>
            </w:r>
          </w:p>
        </w:tc>
      </w:tr>
    </w:tbl>
    <w:p w14:paraId="7F519C0B" w14:textId="77777777" w:rsidR="009D4550" w:rsidRPr="00275290" w:rsidRDefault="009D4550" w:rsidP="009D4550">
      <w:pPr>
        <w:pStyle w:val="BfRBBStandard"/>
        <w:rPr>
          <w:rFonts w:ascii="Verdana" w:eastAsia="Times New Roman" w:hAnsi="Verdana"/>
          <w:sz w:val="20"/>
          <w:szCs w:val="20"/>
          <w:lang w:val="en-GB" w:eastAsia="sv-SE"/>
        </w:rPr>
      </w:pPr>
    </w:p>
    <w:p w14:paraId="34A3DECC" w14:textId="77777777" w:rsidR="009D4550" w:rsidRPr="00275290" w:rsidRDefault="009D4550" w:rsidP="009D4550">
      <w:pPr>
        <w:pStyle w:val="BfRBBStandard"/>
        <w:rPr>
          <w:rFonts w:ascii="Verdana" w:eastAsia="Times New Roman" w:hAnsi="Verdana"/>
          <w:sz w:val="20"/>
          <w:szCs w:val="20"/>
          <w:lang w:val="en-GB" w:eastAsia="sv-SE"/>
        </w:rPr>
      </w:pPr>
    </w:p>
    <w:p w14:paraId="0DA6FFAB"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5AAB0881"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762"/>
        <w:gridCol w:w="1699"/>
        <w:gridCol w:w="1679"/>
        <w:gridCol w:w="898"/>
        <w:gridCol w:w="883"/>
        <w:gridCol w:w="1391"/>
      </w:tblGrid>
      <w:tr w:rsidR="009D4550" w:rsidRPr="00275290" w14:paraId="0C8A7B29" w14:textId="77777777" w:rsidTr="004E7A98">
        <w:tc>
          <w:tcPr>
            <w:tcW w:w="1267" w:type="dxa"/>
          </w:tcPr>
          <w:p w14:paraId="6E721E58" w14:textId="77777777" w:rsidR="009D4550" w:rsidRPr="00275290" w:rsidRDefault="009D4550" w:rsidP="009D4550">
            <w:pPr>
              <w:rPr>
                <w:rFonts w:cs="Arial"/>
                <w:lang w:val="fr-FR"/>
              </w:rPr>
            </w:pPr>
          </w:p>
        </w:tc>
        <w:tc>
          <w:tcPr>
            <w:tcW w:w="1791" w:type="dxa"/>
            <w:vAlign w:val="center"/>
          </w:tcPr>
          <w:p w14:paraId="2B02FBDF" w14:textId="77777777" w:rsidR="009D4550" w:rsidRPr="00275290" w:rsidRDefault="009D4550" w:rsidP="009D4550">
            <w:pPr>
              <w:rPr>
                <w:rFonts w:cs="Arial"/>
                <w:lang w:val="fr-FR"/>
              </w:rPr>
            </w:pPr>
            <w:r w:rsidRPr="00275290">
              <w:rPr>
                <w:rFonts w:cs="Arial"/>
                <w:lang w:val="fr-FR"/>
              </w:rPr>
              <w:t>Cyperméthrine</w:t>
            </w:r>
          </w:p>
        </w:tc>
        <w:tc>
          <w:tcPr>
            <w:tcW w:w="1756" w:type="dxa"/>
            <w:vAlign w:val="center"/>
          </w:tcPr>
          <w:p w14:paraId="2C85750D" w14:textId="77777777" w:rsidR="009D4550" w:rsidRPr="00275290" w:rsidRDefault="009D4550" w:rsidP="009D4550">
            <w:pPr>
              <w:rPr>
                <w:rFonts w:cs="Arial"/>
                <w:lang w:val="fr-FR"/>
              </w:rPr>
            </w:pPr>
            <w:r w:rsidRPr="00275290">
              <w:rPr>
                <w:rFonts w:cs="Arial"/>
                <w:lang w:val="fr-FR"/>
              </w:rPr>
              <w:t>Propiconazole</w:t>
            </w:r>
          </w:p>
        </w:tc>
        <w:tc>
          <w:tcPr>
            <w:tcW w:w="1732" w:type="dxa"/>
            <w:vAlign w:val="center"/>
          </w:tcPr>
          <w:p w14:paraId="16E841CD" w14:textId="77777777" w:rsidR="009D4550" w:rsidRPr="00275290" w:rsidRDefault="009D4550" w:rsidP="009D4550">
            <w:pPr>
              <w:rPr>
                <w:rFonts w:cs="Arial"/>
                <w:lang w:val="fr-FR"/>
              </w:rPr>
            </w:pPr>
            <w:r w:rsidRPr="00275290">
              <w:rPr>
                <w:rFonts w:cs="Arial"/>
                <w:lang w:val="fr-FR"/>
              </w:rPr>
              <w:t>Tébuconazole</w:t>
            </w:r>
          </w:p>
        </w:tc>
        <w:tc>
          <w:tcPr>
            <w:tcW w:w="1008" w:type="dxa"/>
            <w:shd w:val="clear" w:color="auto" w:fill="auto"/>
          </w:tcPr>
          <w:p w14:paraId="67311349" w14:textId="77777777" w:rsidR="009D4550" w:rsidRPr="00275290" w:rsidRDefault="009D4550" w:rsidP="009D4550">
            <w:pPr>
              <w:rPr>
                <w:rFonts w:cs="Arial"/>
                <w:lang w:val="fr-FR"/>
              </w:rPr>
            </w:pPr>
            <w:r w:rsidRPr="00275290">
              <w:rPr>
                <w:rFonts w:cs="Arial"/>
                <w:lang w:val="fr-FR"/>
              </w:rPr>
              <w:t>IPBC</w:t>
            </w:r>
          </w:p>
        </w:tc>
        <w:tc>
          <w:tcPr>
            <w:tcW w:w="1001" w:type="dxa"/>
            <w:vMerge w:val="restart"/>
            <w:shd w:val="clear" w:color="auto" w:fill="E5B8B7" w:themeFill="accent2" w:themeFillTint="66"/>
            <w:vAlign w:val="center"/>
          </w:tcPr>
          <w:p w14:paraId="60BDD21A" w14:textId="77777777" w:rsidR="009D4550" w:rsidRPr="00275290" w:rsidRDefault="009D4550" w:rsidP="009D4550">
            <w:pPr>
              <w:rPr>
                <w:rFonts w:cs="Arial"/>
                <w:lang w:val="fr-FR"/>
              </w:rPr>
            </w:pPr>
            <w:r w:rsidRPr="00275290">
              <w:rPr>
                <w:rFonts w:cs="Arial"/>
                <w:lang w:val="fr-FR"/>
              </w:rPr>
              <w:t>HI</w:t>
            </w:r>
          </w:p>
          <w:p w14:paraId="6D320F93" w14:textId="77777777" w:rsidR="009D4550" w:rsidRPr="00275290" w:rsidRDefault="009D4550" w:rsidP="009D4550">
            <w:pPr>
              <w:rPr>
                <w:rFonts w:cs="Arial"/>
                <w:lang w:val="fr-FR"/>
              </w:rPr>
            </w:pPr>
            <w:r w:rsidRPr="00275290">
              <w:rPr>
                <w:rFonts w:cs="Arial"/>
                <w:lang w:val="fr-FR"/>
              </w:rPr>
              <w:t>(∑ HQ a.s)</w:t>
            </w:r>
          </w:p>
        </w:tc>
        <w:tc>
          <w:tcPr>
            <w:tcW w:w="1440" w:type="dxa"/>
            <w:vMerge w:val="restart"/>
            <w:shd w:val="clear" w:color="auto" w:fill="E5B8B7" w:themeFill="accent2" w:themeFillTint="66"/>
          </w:tcPr>
          <w:p w14:paraId="348C7C54" w14:textId="77777777" w:rsidR="009D4550" w:rsidRPr="00275290" w:rsidRDefault="009D4550" w:rsidP="009D4550">
            <w:pPr>
              <w:rPr>
                <w:rFonts w:cs="Arial"/>
                <w:lang w:val="fr-FR"/>
              </w:rPr>
            </w:pPr>
            <w:r w:rsidRPr="00275290">
              <w:rPr>
                <w:rFonts w:cs="Arial"/>
                <w:lang w:val="fr-FR"/>
              </w:rPr>
              <w:t>Risk</w:t>
            </w:r>
          </w:p>
        </w:tc>
      </w:tr>
      <w:tr w:rsidR="009D4550" w:rsidRPr="00275290" w14:paraId="6C3EFC16" w14:textId="77777777" w:rsidTr="004E7A98">
        <w:tc>
          <w:tcPr>
            <w:tcW w:w="7554" w:type="dxa"/>
            <w:gridSpan w:val="5"/>
          </w:tcPr>
          <w:p w14:paraId="37A382CD" w14:textId="77777777" w:rsidR="009D4550" w:rsidRPr="00275290" w:rsidRDefault="009D4550" w:rsidP="009D4550">
            <w:pPr>
              <w:rPr>
                <w:rFonts w:cs="Arial"/>
                <w:lang w:val="fr-FR"/>
              </w:rPr>
            </w:pPr>
            <w:r w:rsidRPr="00275290">
              <w:rPr>
                <w:rFonts w:cs="Arial"/>
                <w:lang w:val="fr-FR"/>
              </w:rPr>
              <w:t>HQ (Exposure/AEL)</w:t>
            </w:r>
          </w:p>
        </w:tc>
        <w:tc>
          <w:tcPr>
            <w:tcW w:w="1001" w:type="dxa"/>
            <w:vMerge/>
            <w:shd w:val="clear" w:color="auto" w:fill="E5B8B7" w:themeFill="accent2" w:themeFillTint="66"/>
            <w:vAlign w:val="center"/>
          </w:tcPr>
          <w:p w14:paraId="16DDC113" w14:textId="77777777" w:rsidR="009D4550" w:rsidRPr="00275290" w:rsidRDefault="009D4550" w:rsidP="009D4550">
            <w:pPr>
              <w:rPr>
                <w:rFonts w:cs="Arial"/>
                <w:lang w:val="fr-FR"/>
              </w:rPr>
            </w:pPr>
          </w:p>
        </w:tc>
        <w:tc>
          <w:tcPr>
            <w:tcW w:w="1440" w:type="dxa"/>
            <w:vMerge/>
            <w:shd w:val="clear" w:color="auto" w:fill="E5B8B7" w:themeFill="accent2" w:themeFillTint="66"/>
          </w:tcPr>
          <w:p w14:paraId="5444BE22" w14:textId="77777777" w:rsidR="009D4550" w:rsidRPr="00275290" w:rsidRDefault="009D4550" w:rsidP="009D4550">
            <w:pPr>
              <w:rPr>
                <w:rFonts w:cs="Arial"/>
                <w:lang w:val="fr-FR"/>
              </w:rPr>
            </w:pPr>
          </w:p>
        </w:tc>
      </w:tr>
      <w:tr w:rsidR="009D4550" w:rsidRPr="00275290" w14:paraId="441F6130" w14:textId="77777777" w:rsidTr="004E7A98">
        <w:trPr>
          <w:trHeight w:val="121"/>
        </w:trPr>
        <w:tc>
          <w:tcPr>
            <w:tcW w:w="1267" w:type="dxa"/>
          </w:tcPr>
          <w:p w14:paraId="4759BABF" w14:textId="4DDE7A16" w:rsidR="009D4550" w:rsidRPr="00275290" w:rsidRDefault="00F40978" w:rsidP="009D4550">
            <w:pPr>
              <w:rPr>
                <w:rFonts w:cs="Arial"/>
                <w:lang w:val="en-US"/>
              </w:rPr>
            </w:pPr>
            <w:r w:rsidRPr="00633030">
              <w:rPr>
                <w:rFonts w:cs="Arial"/>
                <w:b/>
                <w:lang w:val="en-US"/>
              </w:rPr>
              <w:t xml:space="preserve">With </w:t>
            </w:r>
            <w:r>
              <w:rPr>
                <w:rFonts w:cs="Arial"/>
                <w:b/>
                <w:lang w:val="en-US"/>
              </w:rPr>
              <w:t xml:space="preserve">gloves and coated coverall </w:t>
            </w:r>
            <w:r w:rsidRPr="00633030">
              <w:rPr>
                <w:rFonts w:cs="Arial"/>
                <w:b/>
                <w:lang w:val="en-US"/>
              </w:rPr>
              <w:t xml:space="preserve"> during application </w:t>
            </w:r>
            <w:r>
              <w:rPr>
                <w:rFonts w:cs="Arial"/>
                <w:b/>
                <w:lang w:val="en-US"/>
              </w:rPr>
              <w:t xml:space="preserve">by brushing , </w:t>
            </w:r>
            <w:r w:rsidRPr="00633030">
              <w:rPr>
                <w:rFonts w:cs="Arial"/>
                <w:b/>
                <w:lang w:val="en-US"/>
              </w:rPr>
              <w:t>gloves during injection and no PPE during cleaning</w:t>
            </w:r>
          </w:p>
        </w:tc>
        <w:tc>
          <w:tcPr>
            <w:tcW w:w="1791" w:type="dxa"/>
            <w:vAlign w:val="center"/>
          </w:tcPr>
          <w:p w14:paraId="585E1ACF" w14:textId="676505A3" w:rsidR="009D4550" w:rsidRPr="00275290" w:rsidRDefault="009D4550" w:rsidP="00F40978">
            <w:pPr>
              <w:rPr>
                <w:rFonts w:cs="Arial"/>
                <w:lang w:val="en-US"/>
              </w:rPr>
            </w:pPr>
            <w:r w:rsidRPr="00275290">
              <w:rPr>
                <w:rFonts w:cs="Arial"/>
                <w:lang w:val="en-US"/>
              </w:rPr>
              <w:t>0.</w:t>
            </w:r>
            <w:r w:rsidR="00F40978">
              <w:rPr>
                <w:rFonts w:cs="Arial"/>
                <w:lang w:val="en-US"/>
              </w:rPr>
              <w:t>3</w:t>
            </w:r>
            <w:r w:rsidR="00EE1717">
              <w:rPr>
                <w:rFonts w:cs="Arial"/>
                <w:lang w:val="en-US"/>
              </w:rPr>
              <w:t>4</w:t>
            </w:r>
          </w:p>
        </w:tc>
        <w:tc>
          <w:tcPr>
            <w:tcW w:w="1756" w:type="dxa"/>
            <w:vAlign w:val="center"/>
          </w:tcPr>
          <w:p w14:paraId="2D3766D8" w14:textId="3F6346DC" w:rsidR="009D4550" w:rsidRPr="00275290" w:rsidRDefault="009D4550" w:rsidP="00F40978">
            <w:pPr>
              <w:rPr>
                <w:rFonts w:cs="Arial"/>
                <w:lang w:val="en-US"/>
              </w:rPr>
            </w:pPr>
            <w:r w:rsidRPr="00275290">
              <w:rPr>
                <w:rFonts w:cs="Arial"/>
                <w:lang w:val="en-US"/>
              </w:rPr>
              <w:t>0.</w:t>
            </w:r>
            <w:r w:rsidR="00F40978">
              <w:rPr>
                <w:rFonts w:cs="Arial"/>
                <w:lang w:val="en-US"/>
              </w:rPr>
              <w:t>27</w:t>
            </w:r>
          </w:p>
        </w:tc>
        <w:tc>
          <w:tcPr>
            <w:tcW w:w="1732" w:type="dxa"/>
            <w:vAlign w:val="center"/>
          </w:tcPr>
          <w:p w14:paraId="417138AC" w14:textId="5EA24202" w:rsidR="009D4550" w:rsidRPr="00275290" w:rsidRDefault="009D4550" w:rsidP="00F40978">
            <w:pPr>
              <w:rPr>
                <w:rFonts w:cs="Arial"/>
                <w:lang w:val="en-US"/>
              </w:rPr>
            </w:pPr>
            <w:r w:rsidRPr="00275290">
              <w:rPr>
                <w:rFonts w:cs="Arial"/>
                <w:lang w:val="en-US"/>
              </w:rPr>
              <w:t>0.</w:t>
            </w:r>
            <w:r w:rsidR="00F40978" w:rsidRPr="00275290">
              <w:rPr>
                <w:rFonts w:cs="Arial"/>
                <w:lang w:val="en-US"/>
              </w:rPr>
              <w:t>1</w:t>
            </w:r>
            <w:r w:rsidR="00F40978">
              <w:rPr>
                <w:rFonts w:cs="Arial"/>
                <w:lang w:val="en-US"/>
              </w:rPr>
              <w:t>4</w:t>
            </w:r>
          </w:p>
        </w:tc>
        <w:tc>
          <w:tcPr>
            <w:tcW w:w="1008" w:type="dxa"/>
            <w:shd w:val="clear" w:color="auto" w:fill="auto"/>
            <w:vAlign w:val="center"/>
          </w:tcPr>
          <w:p w14:paraId="2F97EDE9" w14:textId="3A08FCB3" w:rsidR="009D4550" w:rsidRPr="00275290" w:rsidRDefault="009D4550" w:rsidP="00F40978">
            <w:pPr>
              <w:rPr>
                <w:rFonts w:cs="Arial"/>
                <w:lang w:val="en-US"/>
              </w:rPr>
            </w:pPr>
            <w:r w:rsidRPr="00275290">
              <w:rPr>
                <w:rFonts w:cs="Arial"/>
                <w:lang w:val="en-US"/>
              </w:rPr>
              <w:t>0.</w:t>
            </w:r>
            <w:r w:rsidR="00F40978" w:rsidRPr="00275290">
              <w:rPr>
                <w:rFonts w:cs="Arial"/>
                <w:lang w:val="en-US"/>
              </w:rPr>
              <w:t>0</w:t>
            </w:r>
            <w:r w:rsidR="00F40978">
              <w:rPr>
                <w:rFonts w:cs="Arial"/>
                <w:lang w:val="en-US"/>
              </w:rPr>
              <w:t>5</w:t>
            </w:r>
          </w:p>
        </w:tc>
        <w:tc>
          <w:tcPr>
            <w:tcW w:w="1001" w:type="dxa"/>
            <w:shd w:val="clear" w:color="auto" w:fill="E5B8B7" w:themeFill="accent2" w:themeFillTint="66"/>
            <w:vAlign w:val="center"/>
          </w:tcPr>
          <w:p w14:paraId="728ECBCC" w14:textId="2996217F" w:rsidR="009D4550" w:rsidRPr="00275290" w:rsidRDefault="009D4550" w:rsidP="00F40978">
            <w:pPr>
              <w:rPr>
                <w:rFonts w:cs="Arial"/>
                <w:lang w:val="en-US"/>
              </w:rPr>
            </w:pPr>
            <w:r w:rsidRPr="00275290">
              <w:rPr>
                <w:rFonts w:cs="Arial"/>
                <w:lang w:val="en-US"/>
              </w:rPr>
              <w:t>0.</w:t>
            </w:r>
            <w:r w:rsidR="00F40978">
              <w:rPr>
                <w:rFonts w:cs="Arial"/>
                <w:lang w:val="en-US"/>
              </w:rPr>
              <w:t>8</w:t>
            </w:r>
            <w:r w:rsidR="00EE1717">
              <w:rPr>
                <w:rFonts w:cs="Arial"/>
                <w:lang w:val="en-US"/>
              </w:rPr>
              <w:t>0</w:t>
            </w:r>
          </w:p>
        </w:tc>
        <w:tc>
          <w:tcPr>
            <w:tcW w:w="1440" w:type="dxa"/>
            <w:shd w:val="clear" w:color="auto" w:fill="E5B8B7" w:themeFill="accent2" w:themeFillTint="66"/>
            <w:vAlign w:val="center"/>
          </w:tcPr>
          <w:p w14:paraId="6B2D4E3D" w14:textId="77777777" w:rsidR="009D4550" w:rsidRPr="00275290" w:rsidRDefault="009D4550" w:rsidP="009D4550">
            <w:pPr>
              <w:rPr>
                <w:rFonts w:cs="Arial"/>
                <w:lang w:val="en-US"/>
              </w:rPr>
            </w:pPr>
            <w:r w:rsidRPr="00275290">
              <w:rPr>
                <w:rFonts w:cs="Arial"/>
                <w:lang w:val="fr-FR"/>
              </w:rPr>
              <w:t>Acceptable</w:t>
            </w:r>
          </w:p>
        </w:tc>
      </w:tr>
    </w:tbl>
    <w:p w14:paraId="02E03EFD" w14:textId="77777777" w:rsidR="009D4550" w:rsidRPr="00932144" w:rsidRDefault="009D4550" w:rsidP="009D4550">
      <w:pPr>
        <w:pStyle w:val="BfRBBStandard"/>
        <w:rPr>
          <w:rFonts w:ascii="Verdana" w:hAnsi="Verdana"/>
          <w:sz w:val="20"/>
          <w:szCs w:val="20"/>
        </w:rPr>
      </w:pPr>
    </w:p>
    <w:p w14:paraId="6FDD2D80" w14:textId="75EA07B9" w:rsidR="009D4550" w:rsidRPr="00932144" w:rsidRDefault="009D4550" w:rsidP="00F32B7F">
      <w:pPr>
        <w:pStyle w:val="BfRBBStandard"/>
        <w:numPr>
          <w:ilvl w:val="0"/>
          <w:numId w:val="24"/>
        </w:numPr>
        <w:suppressAutoHyphens w:val="0"/>
        <w:autoSpaceDN w:val="0"/>
        <w:rPr>
          <w:rFonts w:ascii="Verdana" w:hAnsi="Verdana"/>
          <w:sz w:val="20"/>
          <w:szCs w:val="20"/>
        </w:rPr>
      </w:pPr>
      <w:r w:rsidRPr="00932144">
        <w:rPr>
          <w:rFonts w:ascii="Verdana" w:hAnsi="Verdana"/>
          <w:sz w:val="20"/>
          <w:szCs w:val="20"/>
        </w:rPr>
        <w:t xml:space="preserve">The risk is acceptable (HI &lt; 1) when </w:t>
      </w:r>
      <w:r w:rsidRPr="00275290">
        <w:rPr>
          <w:rFonts w:ascii="Verdana" w:hAnsi="Verdana"/>
          <w:sz w:val="20"/>
          <w:szCs w:val="20"/>
        </w:rPr>
        <w:t>gloves and coated coverall during application</w:t>
      </w:r>
      <w:r w:rsidR="00F40978">
        <w:rPr>
          <w:rFonts w:ascii="Verdana" w:hAnsi="Verdana"/>
          <w:sz w:val="20"/>
          <w:szCs w:val="20"/>
        </w:rPr>
        <w:t xml:space="preserve">, </w:t>
      </w:r>
      <w:r w:rsidR="00F40978" w:rsidRPr="00932144">
        <w:rPr>
          <w:rFonts w:ascii="Verdana" w:hAnsi="Verdana"/>
          <w:sz w:val="20"/>
          <w:szCs w:val="20"/>
        </w:rPr>
        <w:t xml:space="preserve">gloves during injection and no PPE during cleaning </w:t>
      </w:r>
      <w:r w:rsidRPr="00275290">
        <w:rPr>
          <w:rFonts w:ascii="Verdana" w:hAnsi="Verdana"/>
          <w:sz w:val="20"/>
          <w:szCs w:val="20"/>
        </w:rPr>
        <w:t>are worn.</w:t>
      </w:r>
    </w:p>
    <w:p w14:paraId="13276D2F" w14:textId="77777777" w:rsidR="009D4550" w:rsidRPr="00275290" w:rsidRDefault="009D4550" w:rsidP="009D4550">
      <w:pPr>
        <w:pStyle w:val="BfRBBStandard"/>
        <w:rPr>
          <w:rFonts w:ascii="Verdana" w:eastAsia="Times New Roman" w:hAnsi="Verdana"/>
          <w:sz w:val="20"/>
          <w:szCs w:val="20"/>
          <w:lang w:val="en-GB" w:eastAsia="sv-SE"/>
        </w:rPr>
      </w:pPr>
    </w:p>
    <w:p w14:paraId="6A945AD8"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Spray application + injection</w:t>
      </w:r>
    </w:p>
    <w:p w14:paraId="586E0834" w14:textId="77777777" w:rsidR="009D4550" w:rsidRPr="00275290" w:rsidRDefault="009D4550" w:rsidP="009D4550">
      <w:pPr>
        <w:pStyle w:val="BfRBBStandard"/>
        <w:rPr>
          <w:rFonts w:ascii="Verdana" w:eastAsia="Times New Roman" w:hAnsi="Verdana"/>
          <w:sz w:val="20"/>
          <w:szCs w:val="20"/>
          <w:lang w:val="en-GB" w:eastAsia="sv-SE"/>
        </w:rPr>
      </w:pPr>
    </w:p>
    <w:p w14:paraId="103D96C6"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25CDE247"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1448"/>
        <w:gridCol w:w="1984"/>
      </w:tblGrid>
      <w:tr w:rsidR="004938EA" w:rsidRPr="00275290" w14:paraId="28111BB1" w14:textId="77777777" w:rsidTr="00C81964">
        <w:tc>
          <w:tcPr>
            <w:tcW w:w="1526" w:type="dxa"/>
          </w:tcPr>
          <w:p w14:paraId="666E880B" w14:textId="77777777" w:rsidR="004938EA" w:rsidRPr="00275290" w:rsidRDefault="004938EA" w:rsidP="00932144">
            <w:pPr>
              <w:keepNext/>
              <w:autoSpaceDE w:val="0"/>
              <w:autoSpaceDN w:val="0"/>
              <w:adjustRightInd w:val="0"/>
              <w:spacing w:before="60" w:after="60"/>
              <w:rPr>
                <w:rFonts w:cs="Arial"/>
              </w:rPr>
            </w:pPr>
            <w:r w:rsidRPr="00275290">
              <w:rPr>
                <w:rFonts w:cs="Arial"/>
              </w:rPr>
              <w:t>Scenario</w:t>
            </w:r>
          </w:p>
        </w:tc>
        <w:tc>
          <w:tcPr>
            <w:tcW w:w="2977" w:type="dxa"/>
          </w:tcPr>
          <w:p w14:paraId="39660E6D" w14:textId="77777777" w:rsidR="004938EA" w:rsidRPr="0021636F" w:rsidRDefault="004938EA" w:rsidP="00932144">
            <w:pPr>
              <w:keepNext/>
              <w:tabs>
                <w:tab w:val="left" w:pos="426"/>
              </w:tabs>
              <w:autoSpaceDE w:val="0"/>
              <w:autoSpaceDN w:val="0"/>
              <w:adjustRightInd w:val="0"/>
              <w:spacing w:before="60" w:after="60"/>
              <w:rPr>
                <w:rFonts w:cs="Arial"/>
                <w:lang w:val="es-US"/>
              </w:rPr>
            </w:pPr>
            <w:r w:rsidRPr="0021636F">
              <w:rPr>
                <w:rFonts w:cs="Arial"/>
                <w:lang w:val="es-US"/>
              </w:rPr>
              <w:t>AEL</w:t>
            </w:r>
          </w:p>
          <w:p w14:paraId="1B442BD0" w14:textId="77777777" w:rsidR="004938EA" w:rsidRPr="0021636F" w:rsidRDefault="004938EA" w:rsidP="00932144">
            <w:pPr>
              <w:keepNext/>
              <w:tabs>
                <w:tab w:val="left" w:pos="426"/>
              </w:tabs>
              <w:autoSpaceDE w:val="0"/>
              <w:autoSpaceDN w:val="0"/>
              <w:adjustRightInd w:val="0"/>
              <w:spacing w:before="60" w:after="60"/>
              <w:rPr>
                <w:rFonts w:cs="Arial"/>
                <w:lang w:val="es-US"/>
              </w:rPr>
            </w:pPr>
            <w:r w:rsidRPr="0021636F">
              <w:rPr>
                <w:rFonts w:cs="Arial"/>
                <w:lang w:val="es-US"/>
              </w:rPr>
              <w:t>(mg/kg pc/j)</w:t>
            </w:r>
          </w:p>
        </w:tc>
        <w:tc>
          <w:tcPr>
            <w:tcW w:w="1448" w:type="dxa"/>
          </w:tcPr>
          <w:p w14:paraId="21519797" w14:textId="77777777" w:rsidR="004938EA" w:rsidRPr="00ED68BA" w:rsidRDefault="004938EA" w:rsidP="00932144">
            <w:pPr>
              <w:keepNext/>
              <w:autoSpaceDE w:val="0"/>
              <w:autoSpaceDN w:val="0"/>
              <w:adjustRightInd w:val="0"/>
              <w:spacing w:before="60" w:after="60"/>
              <w:rPr>
                <w:rFonts w:cs="Arial"/>
                <w:lang w:val="fr-FR"/>
              </w:rPr>
            </w:pPr>
            <w:r w:rsidRPr="00ED68BA">
              <w:rPr>
                <w:rFonts w:cs="Arial"/>
                <w:lang w:val="fr-FR"/>
              </w:rPr>
              <w:t>Exposure</w:t>
            </w:r>
          </w:p>
          <w:p w14:paraId="52314B34" w14:textId="77777777" w:rsidR="004938EA" w:rsidRPr="00ED68BA" w:rsidRDefault="004938EA" w:rsidP="00932144">
            <w:pPr>
              <w:keepNext/>
              <w:autoSpaceDE w:val="0"/>
              <w:autoSpaceDN w:val="0"/>
              <w:adjustRightInd w:val="0"/>
              <w:spacing w:before="60" w:after="60"/>
              <w:rPr>
                <w:rFonts w:cs="Arial"/>
                <w:lang w:val="fr-FR"/>
              </w:rPr>
            </w:pPr>
            <w:r w:rsidRPr="00ED68BA">
              <w:rPr>
                <w:rFonts w:cs="Arial"/>
                <w:lang w:val="fr-FR"/>
              </w:rPr>
              <w:t>(mg/kg pc/j)</w:t>
            </w:r>
          </w:p>
        </w:tc>
        <w:tc>
          <w:tcPr>
            <w:tcW w:w="1984" w:type="dxa"/>
          </w:tcPr>
          <w:p w14:paraId="481EF171" w14:textId="77777777" w:rsidR="004938EA" w:rsidRPr="00275290" w:rsidRDefault="004938EA" w:rsidP="00932144">
            <w:pPr>
              <w:keepNext/>
              <w:autoSpaceDE w:val="0"/>
              <w:autoSpaceDN w:val="0"/>
              <w:adjustRightInd w:val="0"/>
              <w:spacing w:before="60" w:after="60"/>
              <w:rPr>
                <w:rFonts w:cs="Arial"/>
              </w:rPr>
            </w:pPr>
            <w:r w:rsidRPr="00275290">
              <w:rPr>
                <w:rFonts w:cs="Arial"/>
              </w:rPr>
              <w:t>% AEL</w:t>
            </w:r>
          </w:p>
        </w:tc>
      </w:tr>
      <w:tr w:rsidR="004938EA" w:rsidRPr="00275290" w14:paraId="09066BE5" w14:textId="77777777" w:rsidTr="00666966">
        <w:tc>
          <w:tcPr>
            <w:tcW w:w="7935" w:type="dxa"/>
            <w:gridSpan w:val="4"/>
            <w:shd w:val="clear" w:color="auto" w:fill="BFBFBF" w:themeFill="background1" w:themeFillShade="BF"/>
            <w:vAlign w:val="center"/>
          </w:tcPr>
          <w:p w14:paraId="62299EB9" w14:textId="77777777" w:rsidR="004938EA" w:rsidRPr="00633030" w:rsidRDefault="004938EA">
            <w:pPr>
              <w:keepNext/>
              <w:rPr>
                <w:rFonts w:cs="Arial"/>
                <w:b/>
                <w:lang w:val="en-US"/>
              </w:rPr>
            </w:pPr>
            <w:r w:rsidRPr="00633030">
              <w:rPr>
                <w:rFonts w:cs="Arial"/>
                <w:b/>
                <w:lang w:val="en-US"/>
              </w:rPr>
              <w:t>Injection  1</w:t>
            </w:r>
            <w:r>
              <w:rPr>
                <w:rFonts w:cs="Arial"/>
                <w:b/>
                <w:lang w:val="en-US"/>
              </w:rPr>
              <w:t>45</w:t>
            </w:r>
            <w:r w:rsidRPr="00633030">
              <w:rPr>
                <w:rFonts w:cs="Arial"/>
                <w:b/>
                <w:lang w:val="en-US"/>
              </w:rPr>
              <w:t xml:space="preserve"> g/m</w:t>
            </w:r>
            <w:r w:rsidRPr="00633030">
              <w:rPr>
                <w:rFonts w:cs="Arial"/>
                <w:b/>
                <w:vertAlign w:val="superscript"/>
                <w:lang w:val="en-US"/>
              </w:rPr>
              <w:t>2</w:t>
            </w:r>
            <w:r w:rsidRPr="00633030">
              <w:rPr>
                <w:rFonts w:cs="Arial"/>
                <w:b/>
                <w:lang w:val="en-US"/>
              </w:rPr>
              <w:t xml:space="preserve"> in combination with spray treatment at 300 g/m2</w:t>
            </w:r>
          </w:p>
          <w:p w14:paraId="68A251A0" w14:textId="30CA7650" w:rsidR="004938EA" w:rsidRPr="00275290" w:rsidRDefault="004938EA" w:rsidP="00932144">
            <w:pPr>
              <w:keepNext/>
              <w:rPr>
                <w:rFonts w:cs="Arial"/>
                <w:lang w:val="en-US"/>
              </w:rPr>
            </w:pPr>
            <w:r w:rsidRPr="00323B03">
              <w:rPr>
                <w:rFonts w:cs="Arial"/>
                <w:b/>
                <w:lang w:val="en-US"/>
              </w:rPr>
              <w:t>With gloves and impermeable coverall during spraying, gloves during injection and gloves and coated coverall during cleaning of equipment</w:t>
            </w:r>
            <w:r>
              <w:rPr>
                <w:rFonts w:cs="Arial"/>
                <w:b/>
                <w:lang w:val="en-US"/>
              </w:rPr>
              <w:t>s</w:t>
            </w:r>
            <w:r w:rsidRPr="00323B03">
              <w:rPr>
                <w:rFonts w:cs="Arial"/>
                <w:b/>
                <w:lang w:val="en-US"/>
              </w:rPr>
              <w:t>.</w:t>
            </w:r>
          </w:p>
        </w:tc>
      </w:tr>
      <w:tr w:rsidR="0013091F" w:rsidRPr="00275290" w14:paraId="11C75621" w14:textId="77777777" w:rsidTr="00B7552D">
        <w:tc>
          <w:tcPr>
            <w:tcW w:w="1526" w:type="dxa"/>
            <w:vMerge w:val="restart"/>
            <w:shd w:val="clear" w:color="auto" w:fill="C6D9F1" w:themeFill="text2" w:themeFillTint="33"/>
            <w:vAlign w:val="center"/>
          </w:tcPr>
          <w:p w14:paraId="2140EF3C" w14:textId="77777777" w:rsidR="0013091F" w:rsidRPr="00275290" w:rsidRDefault="0013091F" w:rsidP="00932144">
            <w:pPr>
              <w:keepNext/>
              <w:rPr>
                <w:rFonts w:cs="Arial"/>
                <w:lang w:val="en-US"/>
              </w:rPr>
            </w:pPr>
            <w:r w:rsidRPr="00275290">
              <w:rPr>
                <w:rFonts w:cs="Arial"/>
                <w:lang w:val="en-US"/>
              </w:rPr>
              <w:t>Appli + cleaning</w:t>
            </w:r>
          </w:p>
          <w:p w14:paraId="53269B33" w14:textId="77777777" w:rsidR="0013091F" w:rsidRPr="00275290" w:rsidRDefault="0013091F" w:rsidP="00932144">
            <w:pPr>
              <w:keepNext/>
              <w:rPr>
                <w:rFonts w:cs="Arial"/>
                <w:lang w:val="en-US"/>
              </w:rPr>
            </w:pPr>
          </w:p>
        </w:tc>
        <w:tc>
          <w:tcPr>
            <w:tcW w:w="2977" w:type="dxa"/>
            <w:shd w:val="clear" w:color="auto" w:fill="C6D9F1" w:themeFill="text2" w:themeFillTint="33"/>
            <w:vAlign w:val="center"/>
          </w:tcPr>
          <w:p w14:paraId="6D1EA860" w14:textId="5297CFB5" w:rsidR="0013091F" w:rsidRPr="00275290" w:rsidRDefault="0013091F" w:rsidP="00C81964">
            <w:pPr>
              <w:keepNext/>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448" w:type="dxa"/>
            <w:shd w:val="clear" w:color="auto" w:fill="C6D9F1" w:themeFill="text2" w:themeFillTint="33"/>
            <w:vAlign w:val="bottom"/>
          </w:tcPr>
          <w:p w14:paraId="4C2E5F03" w14:textId="7F8FD276" w:rsidR="0013091F" w:rsidRPr="00275290" w:rsidRDefault="0013091F" w:rsidP="00932144">
            <w:pPr>
              <w:keepNext/>
              <w:jc w:val="center"/>
              <w:rPr>
                <w:rFonts w:cs="Arial"/>
                <w:color w:val="000000"/>
              </w:rPr>
            </w:pPr>
            <w:r w:rsidRPr="00932144">
              <w:rPr>
                <w:rFonts w:cs="Arial"/>
                <w:lang w:val="fr-FR"/>
              </w:rPr>
              <w:t>1.38E-02</w:t>
            </w:r>
          </w:p>
        </w:tc>
        <w:tc>
          <w:tcPr>
            <w:tcW w:w="1984" w:type="dxa"/>
            <w:shd w:val="clear" w:color="auto" w:fill="C6D9F1" w:themeFill="text2" w:themeFillTint="33"/>
            <w:vAlign w:val="center"/>
          </w:tcPr>
          <w:p w14:paraId="29FFE4E9" w14:textId="7970977E" w:rsidR="0013091F" w:rsidRPr="00275290" w:rsidRDefault="0013091F" w:rsidP="00932144">
            <w:pPr>
              <w:keepNext/>
              <w:jc w:val="center"/>
              <w:rPr>
                <w:rFonts w:cs="Arial"/>
                <w:lang w:val="fr-FR"/>
              </w:rPr>
            </w:pPr>
            <w:r>
              <w:rPr>
                <w:rFonts w:cs="Arial"/>
                <w:lang w:val="fr-FR"/>
              </w:rPr>
              <w:t>63</w:t>
            </w:r>
          </w:p>
        </w:tc>
      </w:tr>
      <w:tr w:rsidR="0013091F" w:rsidRPr="00275290" w14:paraId="70B6B07E" w14:textId="77777777" w:rsidTr="00B7552D">
        <w:tc>
          <w:tcPr>
            <w:tcW w:w="1526" w:type="dxa"/>
            <w:vMerge/>
            <w:shd w:val="clear" w:color="auto" w:fill="C6D9F1" w:themeFill="text2" w:themeFillTint="33"/>
            <w:vAlign w:val="center"/>
          </w:tcPr>
          <w:p w14:paraId="273FF406" w14:textId="77777777" w:rsidR="0013091F" w:rsidRPr="00275290" w:rsidRDefault="0013091F" w:rsidP="00932144">
            <w:pPr>
              <w:keepNext/>
              <w:rPr>
                <w:rFonts w:cs="Arial"/>
                <w:lang w:val="fr-FR"/>
              </w:rPr>
            </w:pPr>
          </w:p>
        </w:tc>
        <w:tc>
          <w:tcPr>
            <w:tcW w:w="2977" w:type="dxa"/>
            <w:shd w:val="clear" w:color="auto" w:fill="C6D9F1" w:themeFill="text2" w:themeFillTint="33"/>
            <w:vAlign w:val="center"/>
          </w:tcPr>
          <w:p w14:paraId="5B816152" w14:textId="77777777" w:rsidR="0013091F" w:rsidRPr="00275290" w:rsidRDefault="0013091F" w:rsidP="00932144">
            <w:pPr>
              <w:keepNext/>
              <w:rPr>
                <w:rFonts w:cs="Arial"/>
                <w:lang w:val="fr-FR"/>
              </w:rPr>
            </w:pPr>
            <w:r w:rsidRPr="00275290">
              <w:rPr>
                <w:rFonts w:cs="Arial"/>
                <w:lang w:val="fr-FR"/>
              </w:rPr>
              <w:t>Propiconazole : 0.04</w:t>
            </w:r>
          </w:p>
        </w:tc>
        <w:tc>
          <w:tcPr>
            <w:tcW w:w="1448" w:type="dxa"/>
            <w:shd w:val="clear" w:color="auto" w:fill="C6D9F1" w:themeFill="text2" w:themeFillTint="33"/>
            <w:vAlign w:val="bottom"/>
          </w:tcPr>
          <w:p w14:paraId="0D7F6A26" w14:textId="4B89E417" w:rsidR="0013091F" w:rsidRPr="00275290" w:rsidRDefault="0020273C" w:rsidP="00932144">
            <w:pPr>
              <w:keepNext/>
              <w:jc w:val="center"/>
              <w:rPr>
                <w:rFonts w:cs="Arial"/>
                <w:color w:val="000000"/>
              </w:rPr>
            </w:pPr>
            <w:r>
              <w:rPr>
                <w:rFonts w:cs="Arial"/>
                <w:lang w:val="fr-FR"/>
              </w:rPr>
              <w:t>2.10</w:t>
            </w:r>
            <w:r w:rsidR="0013091F" w:rsidRPr="00932144">
              <w:rPr>
                <w:rFonts w:cs="Arial"/>
                <w:lang w:val="fr-FR"/>
              </w:rPr>
              <w:t>E-02</w:t>
            </w:r>
          </w:p>
        </w:tc>
        <w:tc>
          <w:tcPr>
            <w:tcW w:w="1984" w:type="dxa"/>
            <w:shd w:val="clear" w:color="auto" w:fill="C6D9F1" w:themeFill="text2" w:themeFillTint="33"/>
            <w:vAlign w:val="center"/>
          </w:tcPr>
          <w:p w14:paraId="6C17E1BC" w14:textId="04001D80" w:rsidR="0013091F" w:rsidRPr="00275290" w:rsidRDefault="0013091F" w:rsidP="00932144">
            <w:pPr>
              <w:keepNext/>
              <w:jc w:val="center"/>
              <w:rPr>
                <w:rFonts w:cs="Arial"/>
                <w:lang w:val="fr-FR"/>
              </w:rPr>
            </w:pPr>
            <w:r>
              <w:rPr>
                <w:rFonts w:cs="Arial"/>
                <w:lang w:val="fr-FR"/>
              </w:rPr>
              <w:t>53</w:t>
            </w:r>
          </w:p>
        </w:tc>
      </w:tr>
      <w:tr w:rsidR="0013091F" w:rsidRPr="00275290" w14:paraId="786F85CF" w14:textId="77777777" w:rsidTr="00B7552D">
        <w:trPr>
          <w:trHeight w:val="349"/>
        </w:trPr>
        <w:tc>
          <w:tcPr>
            <w:tcW w:w="1526" w:type="dxa"/>
            <w:vMerge/>
            <w:shd w:val="clear" w:color="auto" w:fill="C6D9F1" w:themeFill="text2" w:themeFillTint="33"/>
            <w:vAlign w:val="center"/>
          </w:tcPr>
          <w:p w14:paraId="2B9DD114" w14:textId="77777777" w:rsidR="0013091F" w:rsidRPr="00275290" w:rsidRDefault="0013091F" w:rsidP="00932144">
            <w:pPr>
              <w:keepNext/>
              <w:rPr>
                <w:rFonts w:cs="Arial"/>
                <w:lang w:val="fr-FR"/>
              </w:rPr>
            </w:pPr>
          </w:p>
        </w:tc>
        <w:tc>
          <w:tcPr>
            <w:tcW w:w="2977" w:type="dxa"/>
            <w:shd w:val="clear" w:color="auto" w:fill="C6D9F1" w:themeFill="text2" w:themeFillTint="33"/>
            <w:vAlign w:val="center"/>
          </w:tcPr>
          <w:p w14:paraId="606AB71E" w14:textId="77777777" w:rsidR="0013091F" w:rsidRPr="00275290" w:rsidRDefault="0013091F" w:rsidP="00932144">
            <w:pPr>
              <w:keepNext/>
              <w:rPr>
                <w:rFonts w:cs="Arial"/>
                <w:lang w:val="fr-FR"/>
              </w:rPr>
            </w:pPr>
            <w:r w:rsidRPr="00275290">
              <w:rPr>
                <w:rFonts w:cs="Arial"/>
                <w:lang w:val="fr-FR"/>
              </w:rPr>
              <w:t>Tébuconazole : 0.03</w:t>
            </w:r>
          </w:p>
        </w:tc>
        <w:tc>
          <w:tcPr>
            <w:tcW w:w="1448" w:type="dxa"/>
            <w:shd w:val="clear" w:color="auto" w:fill="C6D9F1" w:themeFill="text2" w:themeFillTint="33"/>
            <w:vAlign w:val="bottom"/>
          </w:tcPr>
          <w:p w14:paraId="78FFE558" w14:textId="1378747F" w:rsidR="0013091F" w:rsidRPr="00275290" w:rsidRDefault="0020273C" w:rsidP="00932144">
            <w:pPr>
              <w:keepNext/>
              <w:jc w:val="center"/>
              <w:rPr>
                <w:rFonts w:cs="Arial"/>
                <w:color w:val="000000"/>
              </w:rPr>
            </w:pPr>
            <w:r>
              <w:rPr>
                <w:rFonts w:cs="Arial"/>
                <w:lang w:val="fr-FR"/>
              </w:rPr>
              <w:t>7.60</w:t>
            </w:r>
            <w:r w:rsidR="0013091F" w:rsidRPr="00932144">
              <w:rPr>
                <w:rFonts w:cs="Arial"/>
                <w:lang w:val="fr-FR"/>
              </w:rPr>
              <w:t>E-03</w:t>
            </w:r>
          </w:p>
        </w:tc>
        <w:tc>
          <w:tcPr>
            <w:tcW w:w="1984" w:type="dxa"/>
            <w:shd w:val="clear" w:color="auto" w:fill="C6D9F1" w:themeFill="text2" w:themeFillTint="33"/>
            <w:vAlign w:val="center"/>
          </w:tcPr>
          <w:p w14:paraId="0C0E4CF2" w14:textId="0F19DA12" w:rsidR="0013091F" w:rsidRPr="00275290" w:rsidRDefault="0013091F" w:rsidP="00932144">
            <w:pPr>
              <w:keepNext/>
              <w:jc w:val="center"/>
              <w:rPr>
                <w:rFonts w:cs="Arial"/>
                <w:lang w:val="fr-FR"/>
              </w:rPr>
            </w:pPr>
            <w:r>
              <w:rPr>
                <w:rFonts w:cs="Arial"/>
                <w:lang w:val="fr-FR"/>
              </w:rPr>
              <w:t>25</w:t>
            </w:r>
          </w:p>
        </w:tc>
      </w:tr>
      <w:tr w:rsidR="0013091F" w:rsidRPr="00275290" w14:paraId="71F4B143" w14:textId="77777777" w:rsidTr="00B7552D">
        <w:trPr>
          <w:trHeight w:val="413"/>
        </w:trPr>
        <w:tc>
          <w:tcPr>
            <w:tcW w:w="1526" w:type="dxa"/>
            <w:vMerge/>
            <w:shd w:val="clear" w:color="auto" w:fill="C6D9F1" w:themeFill="text2" w:themeFillTint="33"/>
            <w:vAlign w:val="center"/>
          </w:tcPr>
          <w:p w14:paraId="696D549A" w14:textId="77777777" w:rsidR="0013091F" w:rsidRPr="00275290" w:rsidRDefault="0013091F" w:rsidP="009D4550">
            <w:pPr>
              <w:rPr>
                <w:rFonts w:cs="Arial"/>
                <w:lang w:val="fr-FR"/>
              </w:rPr>
            </w:pPr>
          </w:p>
        </w:tc>
        <w:tc>
          <w:tcPr>
            <w:tcW w:w="2977" w:type="dxa"/>
            <w:shd w:val="clear" w:color="auto" w:fill="C6D9F1" w:themeFill="text2" w:themeFillTint="33"/>
            <w:vAlign w:val="center"/>
          </w:tcPr>
          <w:p w14:paraId="78B9613D" w14:textId="250841F3" w:rsidR="0013091F" w:rsidRPr="00275290" w:rsidRDefault="0013091F"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1448" w:type="dxa"/>
            <w:shd w:val="clear" w:color="auto" w:fill="C6D9F1" w:themeFill="text2" w:themeFillTint="33"/>
            <w:vAlign w:val="bottom"/>
          </w:tcPr>
          <w:p w14:paraId="7AD448A2" w14:textId="6DCFA546" w:rsidR="0013091F" w:rsidRPr="00275290" w:rsidRDefault="0013091F" w:rsidP="00932144">
            <w:pPr>
              <w:jc w:val="center"/>
              <w:rPr>
                <w:rFonts w:cs="Arial"/>
                <w:color w:val="000000"/>
              </w:rPr>
            </w:pPr>
            <w:r w:rsidRPr="00932144">
              <w:rPr>
                <w:rFonts w:cs="Arial"/>
                <w:lang w:val="fr-FR"/>
              </w:rPr>
              <w:t>1.</w:t>
            </w:r>
            <w:r>
              <w:rPr>
                <w:rFonts w:cs="Arial"/>
                <w:lang w:val="fr-FR"/>
              </w:rPr>
              <w:t>6</w:t>
            </w:r>
            <w:r w:rsidR="0020273C">
              <w:rPr>
                <w:rFonts w:cs="Arial"/>
                <w:lang w:val="fr-FR"/>
              </w:rPr>
              <w:t>7</w:t>
            </w:r>
            <w:r w:rsidRPr="00932144">
              <w:rPr>
                <w:rFonts w:cs="Arial"/>
                <w:lang w:val="fr-FR"/>
              </w:rPr>
              <w:t>E-02</w:t>
            </w:r>
          </w:p>
        </w:tc>
        <w:tc>
          <w:tcPr>
            <w:tcW w:w="1984" w:type="dxa"/>
            <w:shd w:val="clear" w:color="auto" w:fill="C6D9F1" w:themeFill="text2" w:themeFillTint="33"/>
            <w:vAlign w:val="center"/>
          </w:tcPr>
          <w:p w14:paraId="3CF36936" w14:textId="52046C3C" w:rsidR="0013091F" w:rsidRPr="00275290" w:rsidRDefault="0013091F" w:rsidP="00932144">
            <w:pPr>
              <w:jc w:val="center"/>
              <w:rPr>
                <w:rFonts w:cs="Arial"/>
                <w:lang w:val="fr-FR"/>
              </w:rPr>
            </w:pPr>
            <w:r>
              <w:rPr>
                <w:rFonts w:cs="Arial"/>
                <w:lang w:val="fr-FR"/>
              </w:rPr>
              <w:t>8</w:t>
            </w:r>
          </w:p>
        </w:tc>
      </w:tr>
    </w:tbl>
    <w:p w14:paraId="534150F3" w14:textId="77777777" w:rsidR="009D4550" w:rsidRPr="00275290" w:rsidRDefault="009D4550" w:rsidP="009D4550">
      <w:pPr>
        <w:pStyle w:val="BfRBBStandard"/>
        <w:rPr>
          <w:rFonts w:ascii="Verdana" w:eastAsia="Times New Roman" w:hAnsi="Verdana"/>
          <w:sz w:val="20"/>
          <w:szCs w:val="20"/>
          <w:lang w:val="en-GB" w:eastAsia="sv-SE"/>
        </w:rPr>
      </w:pPr>
    </w:p>
    <w:p w14:paraId="11476182" w14:textId="77777777" w:rsidR="009D4550" w:rsidRPr="00275290" w:rsidRDefault="009D4550" w:rsidP="009D4550">
      <w:pPr>
        <w:pStyle w:val="BfRBBStandard"/>
        <w:rPr>
          <w:rFonts w:ascii="Verdana" w:eastAsia="Times New Roman" w:hAnsi="Verdana"/>
          <w:i/>
          <w:sz w:val="20"/>
          <w:szCs w:val="20"/>
          <w:lang w:val="en-GB" w:eastAsia="sv-SE"/>
        </w:rPr>
      </w:pPr>
    </w:p>
    <w:p w14:paraId="7A74615C"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5DC7FBE8"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1701"/>
        <w:gridCol w:w="1589"/>
        <w:gridCol w:w="1576"/>
        <w:gridCol w:w="795"/>
        <w:gridCol w:w="795"/>
        <w:gridCol w:w="1552"/>
      </w:tblGrid>
      <w:tr w:rsidR="009D4550" w:rsidRPr="00275290" w14:paraId="15D158D2" w14:textId="77777777" w:rsidTr="00932144">
        <w:tc>
          <w:tcPr>
            <w:tcW w:w="1987" w:type="dxa"/>
          </w:tcPr>
          <w:p w14:paraId="5C17EC4A" w14:textId="77777777" w:rsidR="009D4550" w:rsidRPr="00275290" w:rsidRDefault="009D4550" w:rsidP="004E7A98">
            <w:pPr>
              <w:rPr>
                <w:rFonts w:cs="Arial"/>
                <w:lang w:val="fr-FR"/>
              </w:rPr>
            </w:pPr>
          </w:p>
        </w:tc>
        <w:tc>
          <w:tcPr>
            <w:tcW w:w="1701" w:type="dxa"/>
            <w:vAlign w:val="center"/>
          </w:tcPr>
          <w:p w14:paraId="1CD0BA23" w14:textId="77777777" w:rsidR="009D4550" w:rsidRPr="00275290" w:rsidRDefault="009D4550" w:rsidP="004E7A98">
            <w:pPr>
              <w:rPr>
                <w:rFonts w:cs="Arial"/>
                <w:lang w:val="fr-FR"/>
              </w:rPr>
            </w:pPr>
            <w:r w:rsidRPr="00275290">
              <w:rPr>
                <w:rFonts w:cs="Arial"/>
                <w:lang w:val="fr-FR"/>
              </w:rPr>
              <w:t>Cyperméthrine</w:t>
            </w:r>
          </w:p>
        </w:tc>
        <w:tc>
          <w:tcPr>
            <w:tcW w:w="1589" w:type="dxa"/>
            <w:vAlign w:val="center"/>
          </w:tcPr>
          <w:p w14:paraId="0E818FBC" w14:textId="77777777" w:rsidR="009D4550" w:rsidRPr="00275290" w:rsidRDefault="009D4550" w:rsidP="004E7A98">
            <w:pPr>
              <w:rPr>
                <w:rFonts w:cs="Arial"/>
                <w:lang w:val="fr-FR"/>
              </w:rPr>
            </w:pPr>
            <w:r w:rsidRPr="00275290">
              <w:rPr>
                <w:rFonts w:cs="Arial"/>
                <w:lang w:val="fr-FR"/>
              </w:rPr>
              <w:t>Propiconazole</w:t>
            </w:r>
          </w:p>
        </w:tc>
        <w:tc>
          <w:tcPr>
            <w:tcW w:w="1576" w:type="dxa"/>
            <w:vAlign w:val="center"/>
          </w:tcPr>
          <w:p w14:paraId="1B73C98F" w14:textId="77777777" w:rsidR="009D4550" w:rsidRPr="00275290" w:rsidRDefault="009D4550" w:rsidP="004E7A98">
            <w:pPr>
              <w:rPr>
                <w:rFonts w:cs="Arial"/>
                <w:lang w:val="fr-FR"/>
              </w:rPr>
            </w:pPr>
            <w:r w:rsidRPr="00275290">
              <w:rPr>
                <w:rFonts w:cs="Arial"/>
                <w:lang w:val="fr-FR"/>
              </w:rPr>
              <w:t>Tébuconazole</w:t>
            </w:r>
          </w:p>
        </w:tc>
        <w:tc>
          <w:tcPr>
            <w:tcW w:w="795" w:type="dxa"/>
            <w:shd w:val="clear" w:color="auto" w:fill="auto"/>
          </w:tcPr>
          <w:p w14:paraId="44083782" w14:textId="77777777" w:rsidR="009D4550" w:rsidRPr="00275290" w:rsidRDefault="009D4550" w:rsidP="004E7A98">
            <w:pPr>
              <w:rPr>
                <w:rFonts w:cs="Arial"/>
                <w:lang w:val="fr-FR"/>
              </w:rPr>
            </w:pPr>
            <w:r w:rsidRPr="00275290">
              <w:rPr>
                <w:rFonts w:cs="Arial"/>
                <w:lang w:val="fr-FR"/>
              </w:rPr>
              <w:t>IPBC</w:t>
            </w:r>
          </w:p>
        </w:tc>
        <w:tc>
          <w:tcPr>
            <w:tcW w:w="795" w:type="dxa"/>
            <w:vMerge w:val="restart"/>
            <w:shd w:val="clear" w:color="auto" w:fill="E5B8B7" w:themeFill="accent2" w:themeFillTint="66"/>
            <w:vAlign w:val="center"/>
          </w:tcPr>
          <w:p w14:paraId="0A4657C9" w14:textId="77777777" w:rsidR="009D4550" w:rsidRPr="00275290" w:rsidRDefault="009D4550" w:rsidP="004E7A98">
            <w:pPr>
              <w:rPr>
                <w:rFonts w:cs="Arial"/>
                <w:lang w:val="fr-FR"/>
              </w:rPr>
            </w:pPr>
            <w:r w:rsidRPr="00275290">
              <w:rPr>
                <w:rFonts w:cs="Arial"/>
                <w:lang w:val="fr-FR"/>
              </w:rPr>
              <w:t>HI</w:t>
            </w:r>
          </w:p>
          <w:p w14:paraId="47A28087" w14:textId="77777777" w:rsidR="009D4550" w:rsidRPr="00275290" w:rsidRDefault="009D4550" w:rsidP="004E7A98">
            <w:pPr>
              <w:rPr>
                <w:rFonts w:cs="Arial"/>
                <w:lang w:val="fr-FR"/>
              </w:rPr>
            </w:pPr>
            <w:r w:rsidRPr="00275290">
              <w:rPr>
                <w:rFonts w:cs="Arial"/>
                <w:lang w:val="fr-FR"/>
              </w:rPr>
              <w:lastRenderedPageBreak/>
              <w:t>(∑ HQ a.s)</w:t>
            </w:r>
          </w:p>
        </w:tc>
        <w:tc>
          <w:tcPr>
            <w:tcW w:w="1552" w:type="dxa"/>
            <w:vMerge w:val="restart"/>
            <w:shd w:val="clear" w:color="auto" w:fill="E5B8B7" w:themeFill="accent2" w:themeFillTint="66"/>
          </w:tcPr>
          <w:p w14:paraId="402991F6" w14:textId="77777777" w:rsidR="009D4550" w:rsidRPr="00275290" w:rsidRDefault="009D4550" w:rsidP="004E7A98">
            <w:pPr>
              <w:rPr>
                <w:rFonts w:cs="Arial"/>
                <w:lang w:val="fr-FR"/>
              </w:rPr>
            </w:pPr>
            <w:r w:rsidRPr="00275290">
              <w:rPr>
                <w:rFonts w:cs="Arial"/>
                <w:lang w:val="fr-FR"/>
              </w:rPr>
              <w:lastRenderedPageBreak/>
              <w:t>Risk</w:t>
            </w:r>
          </w:p>
        </w:tc>
      </w:tr>
      <w:tr w:rsidR="009D4550" w:rsidRPr="00275290" w14:paraId="593890E1" w14:textId="77777777" w:rsidTr="00932144">
        <w:tc>
          <w:tcPr>
            <w:tcW w:w="7648" w:type="dxa"/>
            <w:gridSpan w:val="5"/>
          </w:tcPr>
          <w:p w14:paraId="1B492A96" w14:textId="77777777" w:rsidR="009D4550" w:rsidRPr="00275290" w:rsidRDefault="009D4550" w:rsidP="004E7A98">
            <w:pPr>
              <w:rPr>
                <w:rFonts w:cs="Arial"/>
                <w:lang w:val="fr-FR"/>
              </w:rPr>
            </w:pPr>
            <w:r w:rsidRPr="00275290">
              <w:rPr>
                <w:rFonts w:cs="Arial"/>
                <w:lang w:val="fr-FR"/>
              </w:rPr>
              <w:t>HQ (Exposure/AEL)</w:t>
            </w:r>
          </w:p>
        </w:tc>
        <w:tc>
          <w:tcPr>
            <w:tcW w:w="795" w:type="dxa"/>
            <w:vMerge/>
            <w:shd w:val="clear" w:color="auto" w:fill="E5B8B7" w:themeFill="accent2" w:themeFillTint="66"/>
            <w:vAlign w:val="center"/>
          </w:tcPr>
          <w:p w14:paraId="60F37C1B" w14:textId="77777777" w:rsidR="009D4550" w:rsidRPr="00275290" w:rsidRDefault="009D4550" w:rsidP="004E7A98">
            <w:pPr>
              <w:rPr>
                <w:rFonts w:cs="Arial"/>
                <w:lang w:val="fr-FR"/>
              </w:rPr>
            </w:pPr>
          </w:p>
        </w:tc>
        <w:tc>
          <w:tcPr>
            <w:tcW w:w="1552" w:type="dxa"/>
            <w:vMerge/>
            <w:shd w:val="clear" w:color="auto" w:fill="E5B8B7" w:themeFill="accent2" w:themeFillTint="66"/>
          </w:tcPr>
          <w:p w14:paraId="77ECF9D0" w14:textId="77777777" w:rsidR="009D4550" w:rsidRPr="00275290" w:rsidRDefault="009D4550" w:rsidP="004E7A98">
            <w:pPr>
              <w:rPr>
                <w:rFonts w:cs="Arial"/>
                <w:lang w:val="fr-FR"/>
              </w:rPr>
            </w:pPr>
          </w:p>
        </w:tc>
      </w:tr>
      <w:tr w:rsidR="009D4550" w:rsidRPr="00275290" w14:paraId="10929F8D" w14:textId="77777777" w:rsidTr="00932144">
        <w:trPr>
          <w:trHeight w:val="121"/>
        </w:trPr>
        <w:tc>
          <w:tcPr>
            <w:tcW w:w="1987" w:type="dxa"/>
          </w:tcPr>
          <w:p w14:paraId="6A1AEC5D" w14:textId="4D859AB8" w:rsidR="009D4550" w:rsidRPr="00275290" w:rsidRDefault="008D64AC" w:rsidP="004E7A98">
            <w:pPr>
              <w:rPr>
                <w:rFonts w:cs="Arial"/>
                <w:lang w:val="en-US"/>
              </w:rPr>
            </w:pPr>
            <w:r w:rsidRPr="00323B03">
              <w:rPr>
                <w:rFonts w:cs="Arial"/>
                <w:b/>
                <w:lang w:val="en-US"/>
              </w:rPr>
              <w:t>With gloves and impermeable coverall during spraying, gloves during injection and gloves and coated coverall during cleaning of equipment</w:t>
            </w:r>
            <w:r>
              <w:rPr>
                <w:rFonts w:cs="Arial"/>
                <w:b/>
                <w:lang w:val="en-US"/>
              </w:rPr>
              <w:t>s</w:t>
            </w:r>
          </w:p>
        </w:tc>
        <w:tc>
          <w:tcPr>
            <w:tcW w:w="1701" w:type="dxa"/>
            <w:vAlign w:val="center"/>
          </w:tcPr>
          <w:p w14:paraId="25EAA9D1" w14:textId="198D55C5" w:rsidR="009D4550" w:rsidRPr="00275290" w:rsidRDefault="009D4550" w:rsidP="008D64AC">
            <w:pPr>
              <w:rPr>
                <w:rFonts w:cs="Arial"/>
                <w:lang w:val="en-US"/>
              </w:rPr>
            </w:pPr>
            <w:r w:rsidRPr="00275290">
              <w:rPr>
                <w:rFonts w:cs="Arial"/>
                <w:lang w:val="en-US"/>
              </w:rPr>
              <w:t>0.</w:t>
            </w:r>
            <w:r w:rsidR="008D64AC">
              <w:rPr>
                <w:rFonts w:cs="Arial"/>
                <w:lang w:val="en-US"/>
              </w:rPr>
              <w:t>63</w:t>
            </w:r>
          </w:p>
        </w:tc>
        <w:tc>
          <w:tcPr>
            <w:tcW w:w="1589" w:type="dxa"/>
            <w:vAlign w:val="center"/>
          </w:tcPr>
          <w:p w14:paraId="36817E55" w14:textId="0EB912BD" w:rsidR="009D4550" w:rsidRPr="00275290" w:rsidRDefault="009D4550" w:rsidP="0013091F">
            <w:pPr>
              <w:rPr>
                <w:rFonts w:cs="Arial"/>
                <w:lang w:val="en-US"/>
              </w:rPr>
            </w:pPr>
            <w:r w:rsidRPr="00275290">
              <w:rPr>
                <w:rFonts w:cs="Arial"/>
                <w:lang w:val="en-US"/>
              </w:rPr>
              <w:t>0.</w:t>
            </w:r>
            <w:r w:rsidR="0013091F">
              <w:rPr>
                <w:rFonts w:cs="Arial"/>
                <w:lang w:val="en-US"/>
              </w:rPr>
              <w:t>53</w:t>
            </w:r>
          </w:p>
        </w:tc>
        <w:tc>
          <w:tcPr>
            <w:tcW w:w="1576" w:type="dxa"/>
            <w:vAlign w:val="center"/>
          </w:tcPr>
          <w:p w14:paraId="20D860B1" w14:textId="32F4582B" w:rsidR="009D4550" w:rsidRPr="00275290" w:rsidRDefault="009D4550" w:rsidP="0013091F">
            <w:pPr>
              <w:rPr>
                <w:rFonts w:cs="Arial"/>
                <w:lang w:val="en-US"/>
              </w:rPr>
            </w:pPr>
            <w:r w:rsidRPr="00275290">
              <w:rPr>
                <w:rFonts w:cs="Arial"/>
                <w:lang w:val="en-US"/>
              </w:rPr>
              <w:t>0.</w:t>
            </w:r>
            <w:r w:rsidR="0013091F">
              <w:rPr>
                <w:rFonts w:cs="Arial"/>
                <w:lang w:val="en-US"/>
              </w:rPr>
              <w:t>25</w:t>
            </w:r>
          </w:p>
        </w:tc>
        <w:tc>
          <w:tcPr>
            <w:tcW w:w="795" w:type="dxa"/>
            <w:shd w:val="clear" w:color="auto" w:fill="auto"/>
            <w:vAlign w:val="center"/>
          </w:tcPr>
          <w:p w14:paraId="280229AA" w14:textId="5AACB337" w:rsidR="009D4550" w:rsidRPr="00275290" w:rsidRDefault="009D4550" w:rsidP="0013091F">
            <w:pPr>
              <w:rPr>
                <w:rFonts w:cs="Arial"/>
                <w:lang w:val="en-US"/>
              </w:rPr>
            </w:pPr>
            <w:r w:rsidRPr="00275290">
              <w:rPr>
                <w:rFonts w:cs="Arial"/>
                <w:lang w:val="en-US"/>
              </w:rPr>
              <w:t>0.</w:t>
            </w:r>
            <w:r w:rsidR="0013091F" w:rsidRPr="00275290">
              <w:rPr>
                <w:rFonts w:cs="Arial"/>
                <w:lang w:val="en-US"/>
              </w:rPr>
              <w:t>0</w:t>
            </w:r>
            <w:r w:rsidR="0013091F">
              <w:rPr>
                <w:rFonts w:cs="Arial"/>
                <w:lang w:val="en-US"/>
              </w:rPr>
              <w:t>8</w:t>
            </w:r>
          </w:p>
        </w:tc>
        <w:tc>
          <w:tcPr>
            <w:tcW w:w="795" w:type="dxa"/>
            <w:shd w:val="clear" w:color="auto" w:fill="E5B8B7" w:themeFill="accent2" w:themeFillTint="66"/>
            <w:vAlign w:val="center"/>
          </w:tcPr>
          <w:p w14:paraId="76051D8B" w14:textId="2E641DEC" w:rsidR="009D4550" w:rsidRPr="00275290" w:rsidRDefault="009D4550" w:rsidP="0013091F">
            <w:pPr>
              <w:rPr>
                <w:rFonts w:cs="Arial"/>
                <w:lang w:val="en-US"/>
              </w:rPr>
            </w:pPr>
            <w:r w:rsidRPr="00275290">
              <w:rPr>
                <w:rFonts w:cs="Arial"/>
                <w:lang w:val="en-US"/>
              </w:rPr>
              <w:t>1.</w:t>
            </w:r>
            <w:r w:rsidR="0013091F">
              <w:rPr>
                <w:rFonts w:cs="Arial"/>
                <w:lang w:val="en-US"/>
              </w:rPr>
              <w:t>49</w:t>
            </w:r>
          </w:p>
        </w:tc>
        <w:tc>
          <w:tcPr>
            <w:tcW w:w="1552" w:type="dxa"/>
            <w:shd w:val="clear" w:color="auto" w:fill="E5B8B7" w:themeFill="accent2" w:themeFillTint="66"/>
            <w:vAlign w:val="center"/>
          </w:tcPr>
          <w:p w14:paraId="3D4B65F1" w14:textId="48D6D008" w:rsidR="009D4550" w:rsidRPr="00275290" w:rsidRDefault="00C81964" w:rsidP="00C81964">
            <w:pPr>
              <w:rPr>
                <w:rFonts w:cs="Arial"/>
                <w:lang w:val="en-US"/>
              </w:rPr>
            </w:pPr>
            <w:r>
              <w:rPr>
                <w:rFonts w:cs="Arial"/>
                <w:lang w:val="fr-FR"/>
              </w:rPr>
              <w:t>See Tier 3B</w:t>
            </w:r>
          </w:p>
        </w:tc>
      </w:tr>
    </w:tbl>
    <w:p w14:paraId="63FFA542" w14:textId="77777777" w:rsidR="009D4550" w:rsidRPr="00275290" w:rsidRDefault="009D4550" w:rsidP="009D4550">
      <w:pPr>
        <w:pStyle w:val="BfRBBStandard"/>
        <w:rPr>
          <w:rFonts w:ascii="Verdana" w:eastAsia="Times New Roman" w:hAnsi="Verdana"/>
          <w:sz w:val="20"/>
          <w:szCs w:val="20"/>
          <w:lang w:val="en-GB" w:eastAsia="sv-SE"/>
        </w:rPr>
      </w:pPr>
    </w:p>
    <w:p w14:paraId="6173C84A" w14:textId="73F7AB0E"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&gt; 1, a refinement is needed.</w:t>
      </w:r>
    </w:p>
    <w:p w14:paraId="31D7ADA1" w14:textId="77777777" w:rsidR="009D4550" w:rsidRPr="00275290" w:rsidRDefault="009D4550" w:rsidP="009D4550">
      <w:pPr>
        <w:pStyle w:val="BfRBBStandard"/>
        <w:rPr>
          <w:rFonts w:ascii="Verdana" w:eastAsia="Times New Roman" w:hAnsi="Verdana"/>
          <w:sz w:val="20"/>
          <w:szCs w:val="20"/>
          <w:lang w:val="en-GB" w:eastAsia="sv-SE"/>
        </w:rPr>
      </w:pPr>
    </w:p>
    <w:p w14:paraId="3A2CBECC" w14:textId="77777777" w:rsidR="009D4550" w:rsidRPr="00275290" w:rsidRDefault="009D4550" w:rsidP="009D4550">
      <w:pPr>
        <w:pStyle w:val="BfRBBStandard"/>
        <w:rPr>
          <w:rFonts w:ascii="Verdana" w:eastAsia="Times New Roman" w:hAnsi="Verdana"/>
          <w:sz w:val="20"/>
          <w:szCs w:val="20"/>
          <w:lang w:val="en-GB" w:eastAsia="sv-SE"/>
        </w:rPr>
      </w:pPr>
    </w:p>
    <w:p w14:paraId="61A0729F"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A Tier 3B approach is considered since the 4 active substances have target organs in common.</w:t>
      </w:r>
    </w:p>
    <w:p w14:paraId="635A27C9" w14:textId="77777777" w:rsidR="009D4550" w:rsidRPr="00275290" w:rsidRDefault="009D4550" w:rsidP="009D4550">
      <w:pPr>
        <w:pStyle w:val="BfRBBStandard"/>
        <w:rPr>
          <w:rFonts w:ascii="Verdana" w:eastAsia="Times New Roman" w:hAnsi="Verdana"/>
          <w:sz w:val="20"/>
          <w:szCs w:val="20"/>
          <w:lang w:val="en-GB" w:eastAsia="sv-SE"/>
        </w:rPr>
      </w:pPr>
    </w:p>
    <w:p w14:paraId="14B524B0"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liver is a target organ common to cypermethrine, propiconazole, tebuconazole and IPBC. </w:t>
      </w:r>
    </w:p>
    <w:p w14:paraId="044D1F2D"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kidney is a target organ common to cypermethrine, propiconazole and IPBC.</w:t>
      </w:r>
    </w:p>
    <w:p w14:paraId="1DB1AD68"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Blood is a target organ common to cypermethrine, propiconazole and tebuconazole. </w:t>
      </w:r>
    </w:p>
    <w:p w14:paraId="4456412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adrenal is a target organ common to propiconazole and tebuconazole. </w:t>
      </w:r>
    </w:p>
    <w:p w14:paraId="3C0D5A5E"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lung is a target organ common to cypermethrine and IPBC. </w:t>
      </w:r>
    </w:p>
    <w:p w14:paraId="675097A5" w14:textId="77777777" w:rsidR="009D4550" w:rsidRPr="00275290" w:rsidRDefault="009D4550" w:rsidP="009D4550">
      <w:pPr>
        <w:pStyle w:val="BfRBBStandard"/>
        <w:tabs>
          <w:tab w:val="left" w:pos="7875"/>
        </w:tabs>
        <w:rPr>
          <w:rFonts w:ascii="Verdana" w:eastAsia="Times New Roman" w:hAnsi="Verdana"/>
          <w:sz w:val="20"/>
          <w:szCs w:val="20"/>
          <w:lang w:val="en-GB" w:eastAsia="sv-SE"/>
        </w:rPr>
      </w:pPr>
      <w:r w:rsidRPr="00275290">
        <w:rPr>
          <w:rFonts w:ascii="Verdana" w:eastAsia="Times New Roman" w:hAnsi="Verdana"/>
          <w:sz w:val="20"/>
          <w:szCs w:val="20"/>
          <w:lang w:val="en-GB" w:eastAsia="sv-SE"/>
        </w:rPr>
        <w:tab/>
      </w:r>
    </w:p>
    <w:p w14:paraId="19D68A6E"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Specific target organ AELS can be derived for each active substance based on the available data in the CARs.</w:t>
      </w:r>
    </w:p>
    <w:p w14:paraId="5689709B" w14:textId="77777777" w:rsidR="009D4550" w:rsidRPr="00275290" w:rsidRDefault="009D4550" w:rsidP="009D4550">
      <w:pPr>
        <w:pStyle w:val="BfRBBStandard"/>
        <w:rPr>
          <w:rFonts w:ascii="Verdana" w:eastAsia="Times New Roman" w:hAnsi="Verdana"/>
          <w:sz w:val="20"/>
          <w:szCs w:val="20"/>
          <w:lang w:val="en-GB" w:eastAsia="sv-SE"/>
        </w:rPr>
      </w:pPr>
    </w:p>
    <w:p w14:paraId="71B1D18F"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925"/>
        <w:gridCol w:w="1757"/>
        <w:gridCol w:w="1968"/>
        <w:gridCol w:w="1329"/>
      </w:tblGrid>
      <w:tr w:rsidR="009D4550" w:rsidRPr="00275290" w14:paraId="7B6F42F8" w14:textId="77777777" w:rsidTr="0039605F">
        <w:tc>
          <w:tcPr>
            <w:tcW w:w="2943" w:type="dxa"/>
            <w:shd w:val="clear" w:color="auto" w:fill="auto"/>
          </w:tcPr>
          <w:p w14:paraId="4DC14054" w14:textId="77777777" w:rsidR="009D4550" w:rsidRPr="00275290" w:rsidRDefault="009D4550" w:rsidP="00932144">
            <w:pPr>
              <w:keepNext/>
              <w:rPr>
                <w:rFonts w:cs="Arial"/>
              </w:rPr>
            </w:pPr>
          </w:p>
        </w:tc>
        <w:tc>
          <w:tcPr>
            <w:tcW w:w="1929" w:type="dxa"/>
            <w:shd w:val="clear" w:color="auto" w:fill="auto"/>
          </w:tcPr>
          <w:p w14:paraId="09CDA738" w14:textId="77777777" w:rsidR="009D4550" w:rsidRPr="00275290" w:rsidRDefault="009D4550" w:rsidP="00932144">
            <w:pPr>
              <w:keepNext/>
              <w:rPr>
                <w:rFonts w:cs="Arial"/>
                <w:b/>
              </w:rPr>
            </w:pPr>
            <w:r w:rsidRPr="00275290">
              <w:rPr>
                <w:rFonts w:cs="Arial"/>
                <w:b/>
              </w:rPr>
              <w:t>Cyperméthrine</w:t>
            </w:r>
          </w:p>
        </w:tc>
        <w:tc>
          <w:tcPr>
            <w:tcW w:w="1757" w:type="dxa"/>
            <w:shd w:val="clear" w:color="auto" w:fill="auto"/>
          </w:tcPr>
          <w:p w14:paraId="3194B482" w14:textId="77777777" w:rsidR="009D4550" w:rsidRPr="00275290" w:rsidRDefault="009D4550" w:rsidP="00932144">
            <w:pPr>
              <w:keepNext/>
              <w:rPr>
                <w:rFonts w:cs="Arial"/>
                <w:b/>
              </w:rPr>
            </w:pPr>
            <w:r w:rsidRPr="00275290">
              <w:rPr>
                <w:rFonts w:cs="Arial"/>
                <w:b/>
              </w:rPr>
              <w:t>Tébuconazole</w:t>
            </w:r>
          </w:p>
        </w:tc>
        <w:tc>
          <w:tcPr>
            <w:tcW w:w="1984" w:type="dxa"/>
            <w:shd w:val="clear" w:color="auto" w:fill="auto"/>
          </w:tcPr>
          <w:p w14:paraId="30DDBCAA" w14:textId="77777777" w:rsidR="009D4550" w:rsidRPr="00275290" w:rsidRDefault="009D4550" w:rsidP="00932144">
            <w:pPr>
              <w:keepNext/>
              <w:rPr>
                <w:rFonts w:cs="Arial"/>
                <w:b/>
              </w:rPr>
            </w:pPr>
            <w:r w:rsidRPr="00275290">
              <w:rPr>
                <w:rFonts w:cs="Arial"/>
                <w:b/>
              </w:rPr>
              <w:t>Propiconazole</w:t>
            </w:r>
          </w:p>
        </w:tc>
        <w:tc>
          <w:tcPr>
            <w:tcW w:w="1382" w:type="dxa"/>
          </w:tcPr>
          <w:p w14:paraId="459B8CA4" w14:textId="77777777" w:rsidR="009D4550" w:rsidRPr="00275290" w:rsidRDefault="009D4550" w:rsidP="00932144">
            <w:pPr>
              <w:keepNext/>
              <w:rPr>
                <w:rFonts w:cs="Arial"/>
                <w:b/>
              </w:rPr>
            </w:pPr>
            <w:r w:rsidRPr="00275290">
              <w:rPr>
                <w:rFonts w:cs="Arial"/>
                <w:b/>
              </w:rPr>
              <w:t>IPBC</w:t>
            </w:r>
          </w:p>
        </w:tc>
      </w:tr>
      <w:tr w:rsidR="009D4550" w:rsidRPr="00275290" w14:paraId="3842E69D" w14:textId="77777777" w:rsidTr="0039605F">
        <w:tc>
          <w:tcPr>
            <w:tcW w:w="2943" w:type="dxa"/>
            <w:shd w:val="clear" w:color="auto" w:fill="auto"/>
          </w:tcPr>
          <w:p w14:paraId="76692AA9" w14:textId="77777777" w:rsidR="009D4550" w:rsidRPr="00275290" w:rsidRDefault="009D4550" w:rsidP="00932144">
            <w:pPr>
              <w:keepNext/>
              <w:rPr>
                <w:rFonts w:cs="Arial"/>
                <w:b/>
              </w:rPr>
            </w:pPr>
            <w:r w:rsidRPr="00275290">
              <w:rPr>
                <w:rFonts w:cs="Arial"/>
                <w:b/>
              </w:rPr>
              <w:t>General long term AEL</w:t>
            </w:r>
          </w:p>
        </w:tc>
        <w:tc>
          <w:tcPr>
            <w:tcW w:w="1929" w:type="dxa"/>
            <w:shd w:val="clear" w:color="auto" w:fill="auto"/>
            <w:vAlign w:val="center"/>
          </w:tcPr>
          <w:p w14:paraId="3B969E4A" w14:textId="77777777" w:rsidR="009D4550" w:rsidRPr="00275290" w:rsidRDefault="009D4550" w:rsidP="00932144">
            <w:pPr>
              <w:keepNext/>
              <w:jc w:val="center"/>
              <w:rPr>
                <w:rFonts w:cs="Arial"/>
              </w:rPr>
            </w:pPr>
            <w:r w:rsidRPr="00275290">
              <w:rPr>
                <w:rFonts w:cs="Arial"/>
              </w:rPr>
              <w:t>0.022</w:t>
            </w:r>
          </w:p>
        </w:tc>
        <w:tc>
          <w:tcPr>
            <w:tcW w:w="1757" w:type="dxa"/>
            <w:shd w:val="clear" w:color="auto" w:fill="auto"/>
            <w:vAlign w:val="center"/>
          </w:tcPr>
          <w:p w14:paraId="1C435154" w14:textId="77777777" w:rsidR="009D4550" w:rsidRPr="00275290" w:rsidRDefault="009D4550" w:rsidP="00932144">
            <w:pPr>
              <w:keepNext/>
              <w:jc w:val="center"/>
              <w:rPr>
                <w:rFonts w:cs="Arial"/>
              </w:rPr>
            </w:pPr>
            <w:r w:rsidRPr="00275290">
              <w:rPr>
                <w:rFonts w:cs="Arial"/>
              </w:rPr>
              <w:t>0.03</w:t>
            </w:r>
          </w:p>
        </w:tc>
        <w:tc>
          <w:tcPr>
            <w:tcW w:w="1984" w:type="dxa"/>
            <w:shd w:val="clear" w:color="auto" w:fill="auto"/>
            <w:vAlign w:val="center"/>
          </w:tcPr>
          <w:p w14:paraId="5D93D230" w14:textId="77777777" w:rsidR="009D4550" w:rsidRPr="00275290" w:rsidRDefault="009D4550" w:rsidP="00932144">
            <w:pPr>
              <w:keepNext/>
              <w:jc w:val="center"/>
              <w:rPr>
                <w:rFonts w:cs="Arial"/>
              </w:rPr>
            </w:pPr>
            <w:r w:rsidRPr="00275290">
              <w:rPr>
                <w:rFonts w:cs="Arial"/>
              </w:rPr>
              <w:t>0.04</w:t>
            </w:r>
          </w:p>
        </w:tc>
        <w:tc>
          <w:tcPr>
            <w:tcW w:w="1382" w:type="dxa"/>
            <w:vAlign w:val="center"/>
          </w:tcPr>
          <w:p w14:paraId="0AF37101" w14:textId="77777777" w:rsidR="009D4550" w:rsidRPr="00275290" w:rsidRDefault="009D4550" w:rsidP="00932144">
            <w:pPr>
              <w:keepNext/>
              <w:jc w:val="center"/>
              <w:rPr>
                <w:rFonts w:cs="Arial"/>
              </w:rPr>
            </w:pPr>
            <w:r w:rsidRPr="00275290">
              <w:rPr>
                <w:rFonts w:cs="Arial"/>
              </w:rPr>
              <w:t>0.2</w:t>
            </w:r>
          </w:p>
        </w:tc>
      </w:tr>
      <w:tr w:rsidR="009D4550" w:rsidRPr="00275290" w14:paraId="5CF7AEA5" w14:textId="77777777" w:rsidTr="0039605F">
        <w:tc>
          <w:tcPr>
            <w:tcW w:w="2943" w:type="dxa"/>
            <w:shd w:val="clear" w:color="auto" w:fill="C6D9F1" w:themeFill="text2" w:themeFillTint="33"/>
          </w:tcPr>
          <w:p w14:paraId="7995F829" w14:textId="77777777" w:rsidR="009D4550" w:rsidRPr="00275290" w:rsidRDefault="009D4550" w:rsidP="00932144">
            <w:pPr>
              <w:keepNext/>
              <w:rPr>
                <w:rFonts w:cs="Arial"/>
                <w:b/>
              </w:rPr>
            </w:pPr>
            <w:r w:rsidRPr="00275290">
              <w:rPr>
                <w:rFonts w:cs="Arial"/>
                <w:b/>
              </w:rPr>
              <w:t>Specific AEL: liver</w:t>
            </w:r>
          </w:p>
        </w:tc>
        <w:tc>
          <w:tcPr>
            <w:tcW w:w="1929" w:type="dxa"/>
            <w:shd w:val="clear" w:color="auto" w:fill="C6D9F1" w:themeFill="text2" w:themeFillTint="33"/>
            <w:vAlign w:val="center"/>
          </w:tcPr>
          <w:p w14:paraId="095E4904" w14:textId="77777777" w:rsidR="009D4550" w:rsidRPr="00275290" w:rsidRDefault="009D4550" w:rsidP="00932144">
            <w:pPr>
              <w:keepNext/>
              <w:jc w:val="center"/>
              <w:rPr>
                <w:rFonts w:cs="Arial"/>
              </w:rPr>
            </w:pPr>
            <w:r w:rsidRPr="00275290">
              <w:rPr>
                <w:rFonts w:cs="Arial"/>
              </w:rPr>
              <w:t>0.18</w:t>
            </w:r>
          </w:p>
        </w:tc>
        <w:tc>
          <w:tcPr>
            <w:tcW w:w="1757" w:type="dxa"/>
            <w:shd w:val="clear" w:color="auto" w:fill="C6D9F1" w:themeFill="text2" w:themeFillTint="33"/>
            <w:vAlign w:val="center"/>
          </w:tcPr>
          <w:p w14:paraId="0123C558" w14:textId="77777777" w:rsidR="009D4550" w:rsidRPr="00275290" w:rsidRDefault="009D4550" w:rsidP="00932144">
            <w:pPr>
              <w:keepNext/>
              <w:jc w:val="center"/>
              <w:rPr>
                <w:rFonts w:cs="Arial"/>
              </w:rPr>
            </w:pPr>
            <w:r w:rsidRPr="00275290">
              <w:rPr>
                <w:rFonts w:cs="Arial"/>
              </w:rPr>
              <w:t>0.06</w:t>
            </w:r>
          </w:p>
        </w:tc>
        <w:tc>
          <w:tcPr>
            <w:tcW w:w="1984" w:type="dxa"/>
            <w:shd w:val="clear" w:color="auto" w:fill="C6D9F1" w:themeFill="text2" w:themeFillTint="33"/>
            <w:vAlign w:val="center"/>
          </w:tcPr>
          <w:p w14:paraId="54567EDC" w14:textId="77777777" w:rsidR="009D4550" w:rsidRPr="00275290" w:rsidRDefault="009D4550" w:rsidP="00932144">
            <w:pPr>
              <w:keepNext/>
              <w:jc w:val="center"/>
              <w:rPr>
                <w:rFonts w:cs="Arial"/>
              </w:rPr>
            </w:pPr>
            <w:r w:rsidRPr="00275290">
              <w:rPr>
                <w:rFonts w:cs="Arial"/>
              </w:rPr>
              <w:t>0.08</w:t>
            </w:r>
          </w:p>
        </w:tc>
        <w:tc>
          <w:tcPr>
            <w:tcW w:w="1382" w:type="dxa"/>
            <w:shd w:val="clear" w:color="auto" w:fill="C6D9F1" w:themeFill="text2" w:themeFillTint="33"/>
            <w:vAlign w:val="center"/>
          </w:tcPr>
          <w:p w14:paraId="154D991D" w14:textId="77777777" w:rsidR="009D4550" w:rsidRPr="00275290" w:rsidRDefault="009D4550" w:rsidP="00932144">
            <w:pPr>
              <w:keepNext/>
              <w:jc w:val="center"/>
              <w:rPr>
                <w:rFonts w:cs="Arial"/>
              </w:rPr>
            </w:pPr>
            <w:r w:rsidRPr="00275290">
              <w:rPr>
                <w:rFonts w:cs="Arial"/>
              </w:rPr>
              <w:t>0.2</w:t>
            </w:r>
          </w:p>
        </w:tc>
      </w:tr>
      <w:tr w:rsidR="009D4550" w:rsidRPr="00275290" w14:paraId="7E23CDA5" w14:textId="77777777" w:rsidTr="0039605F">
        <w:tc>
          <w:tcPr>
            <w:tcW w:w="2943" w:type="dxa"/>
            <w:shd w:val="clear" w:color="auto" w:fill="C6D9F1" w:themeFill="text2" w:themeFillTint="33"/>
          </w:tcPr>
          <w:p w14:paraId="24F3EA3A" w14:textId="77777777" w:rsidR="009D4550" w:rsidRPr="00275290" w:rsidRDefault="009D4550" w:rsidP="00932144">
            <w:pPr>
              <w:keepNext/>
              <w:rPr>
                <w:rFonts w:cs="Arial"/>
                <w:b/>
              </w:rPr>
            </w:pPr>
            <w:r w:rsidRPr="00275290">
              <w:rPr>
                <w:rFonts w:cs="Arial"/>
                <w:b/>
              </w:rPr>
              <w:t>Specific AEL: kidney</w:t>
            </w:r>
          </w:p>
        </w:tc>
        <w:tc>
          <w:tcPr>
            <w:tcW w:w="1929" w:type="dxa"/>
            <w:shd w:val="clear" w:color="auto" w:fill="C6D9F1" w:themeFill="text2" w:themeFillTint="33"/>
            <w:vAlign w:val="center"/>
          </w:tcPr>
          <w:p w14:paraId="3C6D7755" w14:textId="77777777" w:rsidR="009D4550" w:rsidRPr="00275290" w:rsidRDefault="009D4550" w:rsidP="00932144">
            <w:pPr>
              <w:keepNext/>
              <w:jc w:val="center"/>
              <w:rPr>
                <w:rFonts w:cs="Arial"/>
              </w:rPr>
            </w:pPr>
            <w:r w:rsidRPr="00275290">
              <w:rPr>
                <w:rFonts w:cs="Arial"/>
              </w:rPr>
              <w:t>0.022</w:t>
            </w:r>
          </w:p>
        </w:tc>
        <w:tc>
          <w:tcPr>
            <w:tcW w:w="1757" w:type="dxa"/>
            <w:shd w:val="clear" w:color="auto" w:fill="C6D9F1" w:themeFill="text2" w:themeFillTint="33"/>
            <w:vAlign w:val="center"/>
          </w:tcPr>
          <w:p w14:paraId="4E87BD90" w14:textId="77777777" w:rsidR="009D4550" w:rsidRPr="00275290" w:rsidRDefault="009D4550" w:rsidP="00932144">
            <w:pPr>
              <w:keepNext/>
              <w:jc w:val="center"/>
              <w:rPr>
                <w:rFonts w:cs="Arial"/>
              </w:rPr>
            </w:pPr>
            <w:r w:rsidRPr="00275290">
              <w:rPr>
                <w:rFonts w:cs="Arial"/>
              </w:rPr>
              <w:t>-</w:t>
            </w:r>
          </w:p>
        </w:tc>
        <w:tc>
          <w:tcPr>
            <w:tcW w:w="1984" w:type="dxa"/>
            <w:shd w:val="clear" w:color="auto" w:fill="C6D9F1" w:themeFill="text2" w:themeFillTint="33"/>
            <w:vAlign w:val="center"/>
          </w:tcPr>
          <w:p w14:paraId="4880144E" w14:textId="77777777" w:rsidR="009D4550" w:rsidRPr="00275290" w:rsidRDefault="009D4550" w:rsidP="00932144">
            <w:pPr>
              <w:keepNext/>
              <w:jc w:val="center"/>
              <w:rPr>
                <w:rFonts w:cs="Arial"/>
              </w:rPr>
            </w:pPr>
            <w:r w:rsidRPr="00275290">
              <w:rPr>
                <w:rFonts w:cs="Arial"/>
              </w:rPr>
              <w:t>0.5</w:t>
            </w:r>
          </w:p>
        </w:tc>
        <w:tc>
          <w:tcPr>
            <w:tcW w:w="1382" w:type="dxa"/>
            <w:shd w:val="clear" w:color="auto" w:fill="C6D9F1" w:themeFill="text2" w:themeFillTint="33"/>
            <w:vAlign w:val="center"/>
          </w:tcPr>
          <w:p w14:paraId="7497C9C0" w14:textId="77777777" w:rsidR="009D4550" w:rsidRPr="00275290" w:rsidRDefault="009D4550" w:rsidP="00932144">
            <w:pPr>
              <w:keepNext/>
              <w:jc w:val="center"/>
              <w:rPr>
                <w:rFonts w:cs="Arial"/>
              </w:rPr>
            </w:pPr>
            <w:r w:rsidRPr="00275290">
              <w:rPr>
                <w:rFonts w:cs="Arial"/>
              </w:rPr>
              <w:t>0.35</w:t>
            </w:r>
          </w:p>
        </w:tc>
      </w:tr>
      <w:tr w:rsidR="009D4550" w:rsidRPr="00275290" w14:paraId="6D7B0DB0" w14:textId="77777777" w:rsidTr="0039605F">
        <w:tc>
          <w:tcPr>
            <w:tcW w:w="2943" w:type="dxa"/>
            <w:shd w:val="clear" w:color="auto" w:fill="C6D9F1" w:themeFill="text2" w:themeFillTint="33"/>
          </w:tcPr>
          <w:p w14:paraId="3E953FBB" w14:textId="77777777" w:rsidR="009D4550" w:rsidRPr="00275290" w:rsidRDefault="009D4550" w:rsidP="00932144">
            <w:pPr>
              <w:keepNext/>
              <w:rPr>
                <w:rFonts w:cs="Arial"/>
                <w:b/>
              </w:rPr>
            </w:pPr>
            <w:r w:rsidRPr="00275290">
              <w:rPr>
                <w:rFonts w:cs="Arial"/>
                <w:b/>
              </w:rPr>
              <w:t>Specific AEL: Hemato</w:t>
            </w:r>
          </w:p>
        </w:tc>
        <w:tc>
          <w:tcPr>
            <w:tcW w:w="1929" w:type="dxa"/>
            <w:shd w:val="clear" w:color="auto" w:fill="C6D9F1" w:themeFill="text2" w:themeFillTint="33"/>
            <w:vAlign w:val="center"/>
          </w:tcPr>
          <w:p w14:paraId="7EBACE75" w14:textId="77777777" w:rsidR="009D4550" w:rsidRPr="00275290" w:rsidRDefault="009D4550" w:rsidP="00932144">
            <w:pPr>
              <w:keepNext/>
              <w:jc w:val="center"/>
              <w:rPr>
                <w:rFonts w:cs="Arial"/>
              </w:rPr>
            </w:pPr>
            <w:r w:rsidRPr="00275290">
              <w:rPr>
                <w:rFonts w:cs="Arial"/>
              </w:rPr>
              <w:t>0.022</w:t>
            </w:r>
          </w:p>
        </w:tc>
        <w:tc>
          <w:tcPr>
            <w:tcW w:w="1757" w:type="dxa"/>
            <w:shd w:val="clear" w:color="auto" w:fill="C6D9F1" w:themeFill="text2" w:themeFillTint="33"/>
            <w:vAlign w:val="center"/>
          </w:tcPr>
          <w:p w14:paraId="5F8F636D" w14:textId="77777777" w:rsidR="009D4550" w:rsidRPr="00275290" w:rsidRDefault="009D4550" w:rsidP="00932144">
            <w:pPr>
              <w:keepNext/>
              <w:jc w:val="center"/>
              <w:rPr>
                <w:rFonts w:cs="Arial"/>
              </w:rPr>
            </w:pPr>
            <w:r w:rsidRPr="00275290">
              <w:rPr>
                <w:rFonts w:cs="Arial"/>
              </w:rPr>
              <w:t>0.3</w:t>
            </w:r>
          </w:p>
        </w:tc>
        <w:tc>
          <w:tcPr>
            <w:tcW w:w="1984" w:type="dxa"/>
            <w:shd w:val="clear" w:color="auto" w:fill="C6D9F1" w:themeFill="text2" w:themeFillTint="33"/>
            <w:vAlign w:val="center"/>
          </w:tcPr>
          <w:p w14:paraId="1AE62F6E" w14:textId="77777777" w:rsidR="009D4550" w:rsidRPr="00275290" w:rsidRDefault="009D4550" w:rsidP="00932144">
            <w:pPr>
              <w:keepNext/>
              <w:jc w:val="center"/>
              <w:rPr>
                <w:rFonts w:cs="Arial"/>
              </w:rPr>
            </w:pPr>
            <w:r w:rsidRPr="00275290">
              <w:rPr>
                <w:rFonts w:cs="Arial"/>
              </w:rPr>
              <w:t>0.761</w:t>
            </w:r>
          </w:p>
        </w:tc>
        <w:tc>
          <w:tcPr>
            <w:tcW w:w="1382" w:type="dxa"/>
            <w:shd w:val="clear" w:color="auto" w:fill="C6D9F1" w:themeFill="text2" w:themeFillTint="33"/>
            <w:vAlign w:val="center"/>
          </w:tcPr>
          <w:p w14:paraId="0BB658D8" w14:textId="77777777" w:rsidR="009D4550" w:rsidRPr="00275290" w:rsidRDefault="009D4550" w:rsidP="00932144">
            <w:pPr>
              <w:keepNext/>
              <w:jc w:val="center"/>
              <w:rPr>
                <w:rFonts w:cs="Arial"/>
              </w:rPr>
            </w:pPr>
          </w:p>
        </w:tc>
      </w:tr>
      <w:tr w:rsidR="009D4550" w:rsidRPr="00275290" w14:paraId="61B32899" w14:textId="77777777" w:rsidTr="0039605F">
        <w:tc>
          <w:tcPr>
            <w:tcW w:w="2943" w:type="dxa"/>
            <w:shd w:val="clear" w:color="auto" w:fill="C6D9F1" w:themeFill="text2" w:themeFillTint="33"/>
          </w:tcPr>
          <w:p w14:paraId="24C9141F" w14:textId="77777777" w:rsidR="009D4550" w:rsidRPr="00275290" w:rsidRDefault="009D4550" w:rsidP="00932144">
            <w:pPr>
              <w:keepNext/>
              <w:rPr>
                <w:rFonts w:cs="Arial"/>
                <w:b/>
              </w:rPr>
            </w:pPr>
            <w:r w:rsidRPr="00275290">
              <w:rPr>
                <w:rFonts w:cs="Arial"/>
                <w:b/>
              </w:rPr>
              <w:t>Specific AEL:  adrenals</w:t>
            </w:r>
          </w:p>
        </w:tc>
        <w:tc>
          <w:tcPr>
            <w:tcW w:w="1929" w:type="dxa"/>
            <w:shd w:val="clear" w:color="auto" w:fill="C6D9F1" w:themeFill="text2" w:themeFillTint="33"/>
            <w:vAlign w:val="center"/>
          </w:tcPr>
          <w:p w14:paraId="5115B46A" w14:textId="77777777" w:rsidR="009D4550" w:rsidRPr="00275290" w:rsidRDefault="009D4550" w:rsidP="00932144">
            <w:pPr>
              <w:keepNext/>
              <w:jc w:val="center"/>
              <w:rPr>
                <w:rFonts w:cs="Arial"/>
              </w:rPr>
            </w:pPr>
          </w:p>
        </w:tc>
        <w:tc>
          <w:tcPr>
            <w:tcW w:w="1757" w:type="dxa"/>
            <w:shd w:val="clear" w:color="auto" w:fill="C6D9F1" w:themeFill="text2" w:themeFillTint="33"/>
            <w:vAlign w:val="center"/>
          </w:tcPr>
          <w:p w14:paraId="48B72777" w14:textId="77777777" w:rsidR="009D4550" w:rsidRPr="00275290" w:rsidRDefault="009D4550" w:rsidP="00932144">
            <w:pPr>
              <w:keepNext/>
              <w:jc w:val="center"/>
              <w:rPr>
                <w:rFonts w:cs="Arial"/>
              </w:rPr>
            </w:pPr>
            <w:r w:rsidRPr="00275290">
              <w:rPr>
                <w:rFonts w:cs="Arial"/>
              </w:rPr>
              <w:t>0.03</w:t>
            </w:r>
          </w:p>
        </w:tc>
        <w:tc>
          <w:tcPr>
            <w:tcW w:w="1984" w:type="dxa"/>
            <w:shd w:val="clear" w:color="auto" w:fill="C6D9F1" w:themeFill="text2" w:themeFillTint="33"/>
            <w:vAlign w:val="center"/>
          </w:tcPr>
          <w:p w14:paraId="3571DBB8" w14:textId="77777777" w:rsidR="009D4550" w:rsidRPr="00275290" w:rsidRDefault="009D4550" w:rsidP="00932144">
            <w:pPr>
              <w:keepNext/>
              <w:jc w:val="center"/>
              <w:rPr>
                <w:rFonts w:cs="Arial"/>
              </w:rPr>
            </w:pPr>
            <w:r w:rsidRPr="00275290">
              <w:rPr>
                <w:rFonts w:cs="Arial"/>
              </w:rPr>
              <w:t>0.04</w:t>
            </w:r>
          </w:p>
        </w:tc>
        <w:tc>
          <w:tcPr>
            <w:tcW w:w="1382" w:type="dxa"/>
            <w:shd w:val="clear" w:color="auto" w:fill="C6D9F1" w:themeFill="text2" w:themeFillTint="33"/>
            <w:vAlign w:val="center"/>
          </w:tcPr>
          <w:p w14:paraId="6C06F35D" w14:textId="77777777" w:rsidR="009D4550" w:rsidRPr="00275290" w:rsidRDefault="009D4550" w:rsidP="00932144">
            <w:pPr>
              <w:keepNext/>
              <w:jc w:val="center"/>
              <w:rPr>
                <w:rFonts w:cs="Arial"/>
              </w:rPr>
            </w:pPr>
          </w:p>
        </w:tc>
      </w:tr>
      <w:tr w:rsidR="009D4550" w:rsidRPr="00275290" w14:paraId="79481C33" w14:textId="77777777" w:rsidTr="0039605F">
        <w:tc>
          <w:tcPr>
            <w:tcW w:w="2943" w:type="dxa"/>
            <w:shd w:val="clear" w:color="auto" w:fill="C6D9F1" w:themeFill="text2" w:themeFillTint="33"/>
          </w:tcPr>
          <w:p w14:paraId="3129727D" w14:textId="77777777" w:rsidR="009D4550" w:rsidRPr="00275290" w:rsidRDefault="009D4550" w:rsidP="009D4550">
            <w:pPr>
              <w:rPr>
                <w:rFonts w:cs="Arial"/>
                <w:b/>
              </w:rPr>
            </w:pPr>
            <w:r w:rsidRPr="00275290">
              <w:rPr>
                <w:rFonts w:cs="Arial"/>
                <w:b/>
              </w:rPr>
              <w:t>Specific AEL:  lungs</w:t>
            </w:r>
          </w:p>
        </w:tc>
        <w:tc>
          <w:tcPr>
            <w:tcW w:w="1929" w:type="dxa"/>
            <w:shd w:val="clear" w:color="auto" w:fill="C6D9F1" w:themeFill="text2" w:themeFillTint="33"/>
            <w:vAlign w:val="center"/>
          </w:tcPr>
          <w:p w14:paraId="1E19F762" w14:textId="77777777" w:rsidR="009D4550" w:rsidRPr="00275290" w:rsidRDefault="009D4550" w:rsidP="00932144">
            <w:pPr>
              <w:jc w:val="center"/>
              <w:rPr>
                <w:rFonts w:cs="Arial"/>
              </w:rPr>
            </w:pPr>
            <w:r w:rsidRPr="00275290">
              <w:rPr>
                <w:rFonts w:cs="Arial"/>
              </w:rPr>
              <w:t>0.07</w:t>
            </w:r>
          </w:p>
        </w:tc>
        <w:tc>
          <w:tcPr>
            <w:tcW w:w="1757" w:type="dxa"/>
            <w:shd w:val="clear" w:color="auto" w:fill="C6D9F1" w:themeFill="text2" w:themeFillTint="33"/>
            <w:vAlign w:val="center"/>
          </w:tcPr>
          <w:p w14:paraId="65343980" w14:textId="77777777" w:rsidR="009D4550" w:rsidRPr="00275290" w:rsidRDefault="009D4550" w:rsidP="00932144">
            <w:pPr>
              <w:jc w:val="center"/>
              <w:rPr>
                <w:rFonts w:cs="Arial"/>
              </w:rPr>
            </w:pPr>
          </w:p>
        </w:tc>
        <w:tc>
          <w:tcPr>
            <w:tcW w:w="1984" w:type="dxa"/>
            <w:shd w:val="clear" w:color="auto" w:fill="C6D9F1" w:themeFill="text2" w:themeFillTint="33"/>
            <w:vAlign w:val="center"/>
          </w:tcPr>
          <w:p w14:paraId="1F8EC79B" w14:textId="77777777" w:rsidR="009D4550" w:rsidRPr="00275290" w:rsidRDefault="009D4550" w:rsidP="00932144">
            <w:pPr>
              <w:jc w:val="center"/>
              <w:rPr>
                <w:rFonts w:cs="Arial"/>
              </w:rPr>
            </w:pPr>
          </w:p>
        </w:tc>
        <w:tc>
          <w:tcPr>
            <w:tcW w:w="1382" w:type="dxa"/>
            <w:shd w:val="clear" w:color="auto" w:fill="C6D9F1" w:themeFill="text2" w:themeFillTint="33"/>
            <w:vAlign w:val="center"/>
          </w:tcPr>
          <w:p w14:paraId="438C528F" w14:textId="77777777" w:rsidR="009D4550" w:rsidRPr="00275290" w:rsidRDefault="009D4550" w:rsidP="00932144">
            <w:pPr>
              <w:jc w:val="center"/>
              <w:rPr>
                <w:rFonts w:cs="Arial"/>
              </w:rPr>
            </w:pPr>
            <w:r w:rsidRPr="00275290">
              <w:rPr>
                <w:rFonts w:cs="Arial"/>
              </w:rPr>
              <w:t>0.2</w:t>
            </w:r>
          </w:p>
        </w:tc>
      </w:tr>
    </w:tbl>
    <w:p w14:paraId="5E6ED214" w14:textId="77777777" w:rsidR="009D4550" w:rsidRPr="00275290" w:rsidRDefault="009D4550" w:rsidP="009D4550">
      <w:pPr>
        <w:pStyle w:val="BfRBBStandard"/>
        <w:rPr>
          <w:rFonts w:ascii="Verdana" w:eastAsia="Times New Roman" w:hAnsi="Verdana"/>
          <w:sz w:val="20"/>
          <w:szCs w:val="20"/>
          <w:lang w:val="en-GB" w:eastAsia="sv-SE"/>
        </w:rPr>
      </w:pPr>
    </w:p>
    <w:p w14:paraId="5C7E255A" w14:textId="77777777" w:rsidR="009D4550" w:rsidRPr="00275290" w:rsidRDefault="009D4550" w:rsidP="009D4550">
      <w:pPr>
        <w:pStyle w:val="BfRBBStandard"/>
        <w:rPr>
          <w:rFonts w:ascii="Verdana" w:eastAsia="Times New Roman" w:hAnsi="Verdana"/>
          <w:sz w:val="20"/>
          <w:szCs w:val="20"/>
          <w:lang w:val="en-GB" w:eastAsia="sv-SE"/>
        </w:rPr>
      </w:pPr>
    </w:p>
    <w:p w14:paraId="6E6BD099"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comparison of the exposure values during the application and the cleaning with the specific AELs leads to the following results:</w:t>
      </w:r>
    </w:p>
    <w:p w14:paraId="46436949" w14:textId="77777777" w:rsidR="009D4550" w:rsidRPr="00275290" w:rsidRDefault="009D4550" w:rsidP="009D4550">
      <w:pPr>
        <w:pStyle w:val="BfRBBStandard"/>
        <w:rPr>
          <w:rFonts w:ascii="Verdana" w:eastAsia="Times New Roman" w:hAnsi="Verdana"/>
          <w:sz w:val="20"/>
          <w:szCs w:val="20"/>
          <w:lang w:val="en-GB" w:eastAsia="sv-SE"/>
        </w:rPr>
      </w:pPr>
    </w:p>
    <w:tbl>
      <w:tblPr>
        <w:tblW w:w="9864" w:type="dxa"/>
        <w:tblInd w:w="55" w:type="dxa"/>
        <w:tblCellMar>
          <w:left w:w="70" w:type="dxa"/>
          <w:right w:w="70" w:type="dxa"/>
        </w:tblCellMar>
        <w:tblLook w:val="04A0" w:firstRow="1" w:lastRow="0" w:firstColumn="1" w:lastColumn="0" w:noHBand="0" w:noVBand="1"/>
      </w:tblPr>
      <w:tblGrid>
        <w:gridCol w:w="2396"/>
        <w:gridCol w:w="1913"/>
        <w:gridCol w:w="1721"/>
        <w:gridCol w:w="1681"/>
        <w:gridCol w:w="1096"/>
        <w:gridCol w:w="1096"/>
      </w:tblGrid>
      <w:tr w:rsidR="009D4550" w:rsidRPr="00275290" w14:paraId="44CD3747" w14:textId="77777777" w:rsidTr="0013091F">
        <w:trPr>
          <w:gridAfter w:val="1"/>
          <w:wAfter w:w="1096" w:type="dxa"/>
          <w:trHeight w:val="315"/>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AF1AF" w14:textId="77777777" w:rsidR="009D4550" w:rsidRPr="00275290" w:rsidRDefault="009D4550" w:rsidP="009D4550">
            <w:pPr>
              <w:rPr>
                <w:rFonts w:cs="Arial"/>
                <w:color w:val="000000"/>
                <w:lang w:val="en-US" w:eastAsia="fr-FR"/>
              </w:rPr>
            </w:pPr>
            <w:r w:rsidRPr="00275290">
              <w:rPr>
                <w:rFonts w:cs="Arial"/>
                <w:color w:val="000000"/>
                <w:lang w:val="en-US" w:eastAsia="fr-FR"/>
              </w:rPr>
              <w:t> </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14:paraId="41868A16" w14:textId="77777777" w:rsidR="009D4550" w:rsidRPr="00275290" w:rsidRDefault="009D4550" w:rsidP="009D4550">
            <w:pPr>
              <w:rPr>
                <w:rFonts w:cs="Arial"/>
                <w:color w:val="000000"/>
                <w:lang w:val="fr-FR" w:eastAsia="fr-FR"/>
              </w:rPr>
            </w:pPr>
            <w:r w:rsidRPr="00275290">
              <w:rPr>
                <w:rFonts w:cs="Arial"/>
                <w:b/>
              </w:rPr>
              <w:t>Cyperméthrine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16C3AB8" w14:textId="77777777" w:rsidR="009D4550" w:rsidRPr="00275290" w:rsidRDefault="009D4550" w:rsidP="009D4550">
            <w:pPr>
              <w:rPr>
                <w:rFonts w:cs="Arial"/>
                <w:color w:val="000000"/>
                <w:lang w:val="fr-FR" w:eastAsia="fr-FR"/>
              </w:rPr>
            </w:pPr>
            <w:r w:rsidRPr="00275290">
              <w:rPr>
                <w:rFonts w:cs="Arial"/>
                <w:b/>
              </w:rPr>
              <w:t>Propiconazole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10157EB0" w14:textId="77777777" w:rsidR="009D4550" w:rsidRPr="00275290" w:rsidRDefault="009D4550" w:rsidP="009D4550">
            <w:pPr>
              <w:rPr>
                <w:rFonts w:cs="Arial"/>
                <w:color w:val="000000"/>
                <w:lang w:val="fr-FR" w:eastAsia="fr-FR"/>
              </w:rPr>
            </w:pPr>
            <w:r w:rsidRPr="00275290">
              <w:rPr>
                <w:rFonts w:cs="Arial"/>
                <w:b/>
              </w:rPr>
              <w:t>Tébuconazole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3A9D140" w14:textId="77777777" w:rsidR="009D4550" w:rsidRPr="00275290" w:rsidRDefault="009D4550" w:rsidP="009D4550">
            <w:pPr>
              <w:rPr>
                <w:rFonts w:cs="Arial"/>
                <w:color w:val="000000"/>
                <w:lang w:val="fr-FR" w:eastAsia="fr-FR"/>
              </w:rPr>
            </w:pPr>
            <w:r w:rsidRPr="00275290">
              <w:rPr>
                <w:rFonts w:cs="Arial"/>
                <w:b/>
              </w:rPr>
              <w:t>IPBC</w:t>
            </w:r>
          </w:p>
        </w:tc>
      </w:tr>
      <w:tr w:rsidR="009D4550" w:rsidRPr="00275290" w14:paraId="143CC105" w14:textId="77777777" w:rsidTr="0013091F">
        <w:trPr>
          <w:trHeight w:val="315"/>
        </w:trPr>
        <w:tc>
          <w:tcPr>
            <w:tcW w:w="8768" w:type="dxa"/>
            <w:gridSpan w:val="5"/>
            <w:tcBorders>
              <w:top w:val="single" w:sz="4" w:space="0" w:color="auto"/>
              <w:left w:val="single" w:sz="4" w:space="0" w:color="auto"/>
              <w:bottom w:val="single" w:sz="4" w:space="0" w:color="auto"/>
              <w:right w:val="single" w:sz="4" w:space="0" w:color="auto"/>
            </w:tcBorders>
            <w:shd w:val="clear" w:color="000000" w:fill="F79646"/>
            <w:vAlign w:val="bottom"/>
            <w:hideMark/>
          </w:tcPr>
          <w:p w14:paraId="0FCE6D05" w14:textId="77777777" w:rsidR="009D4550" w:rsidRPr="00275290" w:rsidRDefault="009D4550" w:rsidP="009D4550">
            <w:pPr>
              <w:rPr>
                <w:rFonts w:cs="Arial"/>
                <w:color w:val="000000"/>
                <w:lang w:val="en-US" w:eastAsia="fr-FR"/>
              </w:rPr>
            </w:pPr>
            <w:r w:rsidRPr="00275290">
              <w:rPr>
                <w:rFonts w:cs="Arial"/>
                <w:color w:val="000000"/>
                <w:lang w:val="en-US" w:eastAsia="fr-FR"/>
              </w:rPr>
              <w:t>combined exposure appli cleaning and residue</w:t>
            </w:r>
          </w:p>
        </w:tc>
        <w:tc>
          <w:tcPr>
            <w:tcW w:w="1096" w:type="dxa"/>
            <w:tcBorders>
              <w:top w:val="nil"/>
              <w:left w:val="nil"/>
              <w:bottom w:val="nil"/>
              <w:right w:val="nil"/>
            </w:tcBorders>
            <w:shd w:val="clear" w:color="auto" w:fill="auto"/>
            <w:noWrap/>
            <w:vAlign w:val="bottom"/>
            <w:hideMark/>
          </w:tcPr>
          <w:p w14:paraId="7D392491" w14:textId="77777777" w:rsidR="009D4550" w:rsidRPr="00275290" w:rsidRDefault="009D4550" w:rsidP="009D4550">
            <w:pPr>
              <w:rPr>
                <w:rFonts w:cs="Arial"/>
                <w:color w:val="000000"/>
                <w:lang w:val="en-US" w:eastAsia="fr-FR"/>
              </w:rPr>
            </w:pPr>
          </w:p>
        </w:tc>
      </w:tr>
      <w:tr w:rsidR="0013091F" w:rsidRPr="00275290" w14:paraId="055BCD24" w14:textId="77777777" w:rsidTr="0013091F">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79C5977B" w14:textId="0CF790EA" w:rsidR="0013091F" w:rsidRPr="00275290" w:rsidRDefault="0013091F" w:rsidP="009D4550">
            <w:pPr>
              <w:rPr>
                <w:rFonts w:cs="Arial"/>
                <w:color w:val="000000"/>
                <w:lang w:val="en-US" w:eastAsia="fr-FR"/>
              </w:rPr>
            </w:pPr>
            <w:r w:rsidRPr="00275290">
              <w:rPr>
                <w:rFonts w:cs="Arial"/>
                <w:color w:val="000000"/>
                <w:lang w:val="en-US" w:eastAsia="fr-FR"/>
              </w:rPr>
              <w:t xml:space="preserve">Exposure </w:t>
            </w:r>
            <w:r w:rsidRPr="00323B03">
              <w:rPr>
                <w:rFonts w:cs="Arial"/>
                <w:b/>
                <w:lang w:val="en-US"/>
              </w:rPr>
              <w:t>With gloves and impermeable coverall during spraying, gloves during injection and gloves and coated coverall during cleaning of equipment</w:t>
            </w:r>
            <w:r>
              <w:rPr>
                <w:rFonts w:cs="Arial"/>
                <w:b/>
                <w:lang w:val="en-US"/>
              </w:rPr>
              <w:t>s</w:t>
            </w:r>
          </w:p>
        </w:tc>
        <w:tc>
          <w:tcPr>
            <w:tcW w:w="1913" w:type="dxa"/>
            <w:tcBorders>
              <w:top w:val="nil"/>
              <w:left w:val="nil"/>
              <w:bottom w:val="single" w:sz="4" w:space="0" w:color="auto"/>
              <w:right w:val="single" w:sz="4" w:space="0" w:color="auto"/>
            </w:tcBorders>
            <w:shd w:val="clear" w:color="auto" w:fill="auto"/>
            <w:noWrap/>
            <w:vAlign w:val="center"/>
            <w:hideMark/>
          </w:tcPr>
          <w:p w14:paraId="2C515281" w14:textId="51DCB183" w:rsidR="0013091F" w:rsidRPr="00275290" w:rsidRDefault="0013091F" w:rsidP="009D4550">
            <w:pPr>
              <w:rPr>
                <w:rFonts w:cs="Arial"/>
                <w:color w:val="000000"/>
                <w:lang w:val="fr-FR" w:eastAsia="fr-FR"/>
              </w:rPr>
            </w:pPr>
            <w:r>
              <w:rPr>
                <w:rFonts w:cs="Calibri"/>
                <w:color w:val="000000"/>
              </w:rPr>
              <w:t>1.38E-02</w:t>
            </w:r>
          </w:p>
        </w:tc>
        <w:tc>
          <w:tcPr>
            <w:tcW w:w="1701" w:type="dxa"/>
            <w:tcBorders>
              <w:top w:val="nil"/>
              <w:left w:val="nil"/>
              <w:bottom w:val="single" w:sz="4" w:space="0" w:color="auto"/>
              <w:right w:val="single" w:sz="4" w:space="0" w:color="auto"/>
            </w:tcBorders>
            <w:shd w:val="clear" w:color="auto" w:fill="auto"/>
            <w:noWrap/>
            <w:vAlign w:val="center"/>
            <w:hideMark/>
          </w:tcPr>
          <w:p w14:paraId="46D6EC6A" w14:textId="1A92D312" w:rsidR="0013091F" w:rsidRPr="00275290" w:rsidRDefault="00EE1717" w:rsidP="009D4550">
            <w:pPr>
              <w:rPr>
                <w:rFonts w:cs="Arial"/>
                <w:color w:val="000000"/>
                <w:lang w:val="fr-FR" w:eastAsia="fr-FR"/>
              </w:rPr>
            </w:pPr>
            <w:r>
              <w:rPr>
                <w:rFonts w:cs="Calibri"/>
                <w:color w:val="000000"/>
              </w:rPr>
              <w:t>2.10</w:t>
            </w:r>
            <w:r w:rsidR="0013091F">
              <w:rPr>
                <w:rFonts w:cs="Calibri"/>
                <w:color w:val="000000"/>
              </w:rPr>
              <w:t>E-02</w:t>
            </w:r>
          </w:p>
        </w:tc>
        <w:tc>
          <w:tcPr>
            <w:tcW w:w="1662" w:type="dxa"/>
            <w:tcBorders>
              <w:top w:val="nil"/>
              <w:left w:val="nil"/>
              <w:bottom w:val="single" w:sz="4" w:space="0" w:color="auto"/>
              <w:right w:val="single" w:sz="4" w:space="0" w:color="auto"/>
            </w:tcBorders>
            <w:shd w:val="clear" w:color="auto" w:fill="auto"/>
            <w:noWrap/>
            <w:vAlign w:val="center"/>
            <w:hideMark/>
          </w:tcPr>
          <w:p w14:paraId="3E387846" w14:textId="0DB82346" w:rsidR="0013091F" w:rsidRPr="00275290" w:rsidRDefault="00EE1717" w:rsidP="009D4550">
            <w:pPr>
              <w:rPr>
                <w:rFonts w:cs="Arial"/>
                <w:color w:val="000000"/>
                <w:lang w:val="fr-FR" w:eastAsia="fr-FR"/>
              </w:rPr>
            </w:pPr>
            <w:r>
              <w:rPr>
                <w:rFonts w:cs="Calibri"/>
                <w:color w:val="000000"/>
              </w:rPr>
              <w:t>7.60</w:t>
            </w:r>
            <w:r w:rsidR="0013091F">
              <w:rPr>
                <w:rFonts w:cs="Calibri"/>
                <w:color w:val="000000"/>
              </w:rPr>
              <w:t>E-03</w:t>
            </w:r>
          </w:p>
        </w:tc>
        <w:tc>
          <w:tcPr>
            <w:tcW w:w="1096" w:type="dxa"/>
            <w:tcBorders>
              <w:top w:val="nil"/>
              <w:left w:val="nil"/>
              <w:bottom w:val="single" w:sz="4" w:space="0" w:color="auto"/>
              <w:right w:val="single" w:sz="4" w:space="0" w:color="auto"/>
            </w:tcBorders>
            <w:shd w:val="clear" w:color="auto" w:fill="auto"/>
            <w:noWrap/>
            <w:vAlign w:val="center"/>
            <w:hideMark/>
          </w:tcPr>
          <w:p w14:paraId="176AE023" w14:textId="6C2DDDB6" w:rsidR="0013091F" w:rsidRPr="00275290" w:rsidRDefault="00EE1717" w:rsidP="009D4550">
            <w:pPr>
              <w:rPr>
                <w:rFonts w:cs="Arial"/>
                <w:color w:val="000000"/>
                <w:lang w:val="fr-FR" w:eastAsia="fr-FR"/>
              </w:rPr>
            </w:pPr>
            <w:r>
              <w:rPr>
                <w:rFonts w:cs="Calibri"/>
                <w:color w:val="000000"/>
              </w:rPr>
              <w:t>1.67</w:t>
            </w:r>
            <w:r w:rsidR="0013091F">
              <w:rPr>
                <w:rFonts w:cs="Calibri"/>
                <w:color w:val="000000"/>
              </w:rPr>
              <w:t>E-02</w:t>
            </w:r>
          </w:p>
        </w:tc>
        <w:tc>
          <w:tcPr>
            <w:tcW w:w="1096" w:type="dxa"/>
            <w:tcBorders>
              <w:top w:val="nil"/>
              <w:left w:val="nil"/>
              <w:bottom w:val="nil"/>
              <w:right w:val="nil"/>
            </w:tcBorders>
            <w:shd w:val="clear" w:color="auto" w:fill="auto"/>
            <w:noWrap/>
            <w:vAlign w:val="bottom"/>
            <w:hideMark/>
          </w:tcPr>
          <w:p w14:paraId="7A2555DC" w14:textId="77777777" w:rsidR="0013091F" w:rsidRPr="00275290" w:rsidRDefault="0013091F" w:rsidP="009D4550">
            <w:pPr>
              <w:rPr>
                <w:rFonts w:cs="Arial"/>
                <w:color w:val="000000"/>
                <w:lang w:val="fr-FR" w:eastAsia="fr-FR"/>
              </w:rPr>
            </w:pPr>
          </w:p>
        </w:tc>
      </w:tr>
      <w:tr w:rsidR="009D4550" w:rsidRPr="00275290" w14:paraId="63C2897D" w14:textId="77777777" w:rsidTr="0013091F">
        <w:trPr>
          <w:trHeight w:val="300"/>
        </w:trPr>
        <w:tc>
          <w:tcPr>
            <w:tcW w:w="2396" w:type="dxa"/>
            <w:tcBorders>
              <w:top w:val="nil"/>
              <w:left w:val="nil"/>
              <w:bottom w:val="single" w:sz="4" w:space="0" w:color="auto"/>
              <w:right w:val="nil"/>
            </w:tcBorders>
            <w:shd w:val="clear" w:color="auto" w:fill="auto"/>
            <w:noWrap/>
            <w:vAlign w:val="bottom"/>
            <w:hideMark/>
          </w:tcPr>
          <w:p w14:paraId="2DD98711" w14:textId="77777777" w:rsidR="009D4550" w:rsidRPr="00275290" w:rsidRDefault="009D4550" w:rsidP="009D4550">
            <w:pPr>
              <w:rPr>
                <w:rFonts w:cs="Arial"/>
                <w:color w:val="000000"/>
                <w:lang w:val="fr-FR" w:eastAsia="fr-FR"/>
              </w:rPr>
            </w:pPr>
          </w:p>
        </w:tc>
        <w:tc>
          <w:tcPr>
            <w:tcW w:w="1913" w:type="dxa"/>
            <w:tcBorders>
              <w:top w:val="nil"/>
              <w:left w:val="nil"/>
              <w:bottom w:val="single" w:sz="4" w:space="0" w:color="auto"/>
              <w:right w:val="nil"/>
            </w:tcBorders>
            <w:shd w:val="clear" w:color="auto" w:fill="auto"/>
            <w:noWrap/>
            <w:vAlign w:val="bottom"/>
            <w:hideMark/>
          </w:tcPr>
          <w:p w14:paraId="0D1F585E" w14:textId="77777777" w:rsidR="009D4550" w:rsidRPr="00275290" w:rsidRDefault="009D4550" w:rsidP="009D4550">
            <w:pPr>
              <w:rPr>
                <w:rFonts w:cs="Arial"/>
                <w:color w:val="000000"/>
                <w:lang w:val="fr-FR" w:eastAsia="fr-FR"/>
              </w:rPr>
            </w:pPr>
          </w:p>
        </w:tc>
        <w:tc>
          <w:tcPr>
            <w:tcW w:w="1701" w:type="dxa"/>
            <w:tcBorders>
              <w:top w:val="nil"/>
              <w:left w:val="nil"/>
              <w:bottom w:val="single" w:sz="4" w:space="0" w:color="auto"/>
              <w:right w:val="nil"/>
            </w:tcBorders>
            <w:shd w:val="clear" w:color="auto" w:fill="auto"/>
            <w:noWrap/>
            <w:vAlign w:val="bottom"/>
            <w:hideMark/>
          </w:tcPr>
          <w:p w14:paraId="068DC2AD" w14:textId="77777777" w:rsidR="009D4550" w:rsidRPr="00275290" w:rsidRDefault="009D4550" w:rsidP="009D4550">
            <w:pPr>
              <w:rPr>
                <w:rFonts w:cs="Arial"/>
                <w:color w:val="000000"/>
                <w:lang w:val="fr-FR" w:eastAsia="fr-FR"/>
              </w:rPr>
            </w:pPr>
          </w:p>
        </w:tc>
        <w:tc>
          <w:tcPr>
            <w:tcW w:w="1662" w:type="dxa"/>
            <w:tcBorders>
              <w:top w:val="nil"/>
              <w:left w:val="nil"/>
              <w:bottom w:val="single" w:sz="4" w:space="0" w:color="auto"/>
              <w:right w:val="nil"/>
            </w:tcBorders>
            <w:shd w:val="clear" w:color="auto" w:fill="auto"/>
            <w:noWrap/>
            <w:vAlign w:val="bottom"/>
            <w:hideMark/>
          </w:tcPr>
          <w:p w14:paraId="077226FD"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414E7DF8"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7B436690" w14:textId="77777777" w:rsidR="009D4550" w:rsidRPr="00275290" w:rsidRDefault="009D4550" w:rsidP="009D4550">
            <w:pPr>
              <w:rPr>
                <w:rFonts w:cs="Arial"/>
                <w:color w:val="000000"/>
                <w:lang w:val="fr-FR" w:eastAsia="fr-FR"/>
              </w:rPr>
            </w:pPr>
          </w:p>
        </w:tc>
      </w:tr>
      <w:tr w:rsidR="008D64AC" w:rsidRPr="00275290" w14:paraId="0BAF6213" w14:textId="77777777" w:rsidTr="0013091F">
        <w:trPr>
          <w:trHeight w:val="315"/>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15EE5" w14:textId="77777777" w:rsidR="008D64AC" w:rsidRPr="00275290" w:rsidRDefault="008D64AC" w:rsidP="009D4550">
            <w:pPr>
              <w:rPr>
                <w:rFonts w:cs="Arial"/>
                <w:color w:val="000000"/>
                <w:lang w:val="fr-FR" w:eastAsia="fr-FR"/>
              </w:rPr>
            </w:pPr>
            <w:r w:rsidRPr="00275290">
              <w:rPr>
                <w:rFonts w:cs="Arial"/>
                <w:color w:val="000000"/>
                <w:lang w:val="fr-FR" w:eastAsia="fr-FR"/>
              </w:rPr>
              <w:t>AEL liver</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504252E7" w14:textId="6AE06319" w:rsidR="008D64AC" w:rsidRPr="00275290" w:rsidRDefault="008D64AC" w:rsidP="009D4550">
            <w:pPr>
              <w:rPr>
                <w:rFonts w:cs="Arial"/>
                <w:lang w:val="fr-FR" w:eastAsia="fr-FR"/>
              </w:rPr>
            </w:pPr>
            <w:r>
              <w:rPr>
                <w:rFonts w:cs="Calibri"/>
                <w:color w:val="000000"/>
              </w:rPr>
              <w:t>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B734E59" w14:textId="3D46A50D" w:rsidR="008D64AC" w:rsidRPr="00275290" w:rsidRDefault="008D64AC" w:rsidP="009D4550">
            <w:pPr>
              <w:rPr>
                <w:rFonts w:cs="Arial"/>
                <w:lang w:val="fr-FR" w:eastAsia="fr-FR"/>
              </w:rPr>
            </w:pPr>
            <w:r>
              <w:rPr>
                <w:rFonts w:cs="Calibri"/>
                <w:color w:val="000000"/>
              </w:rPr>
              <w:t>0.08</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31916B6C" w14:textId="5A36BE03" w:rsidR="008D64AC" w:rsidRPr="00275290" w:rsidRDefault="008D64AC" w:rsidP="009D4550">
            <w:pPr>
              <w:rPr>
                <w:rFonts w:cs="Arial"/>
                <w:lang w:val="fr-FR" w:eastAsia="fr-FR"/>
              </w:rPr>
            </w:pPr>
            <w:r>
              <w:rPr>
                <w:rFonts w:cs="Calibri"/>
                <w:color w:val="000000"/>
              </w:rPr>
              <w:t>0.06</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32D2E5D4" w14:textId="01244E36" w:rsidR="008D64AC" w:rsidRPr="00275290" w:rsidRDefault="008D64AC" w:rsidP="009D4550">
            <w:pPr>
              <w:rPr>
                <w:rFonts w:cs="Arial"/>
                <w:lang w:val="fr-FR" w:eastAsia="fr-FR"/>
              </w:rPr>
            </w:pPr>
            <w:r>
              <w:rPr>
                <w:rFonts w:cs="Calibri"/>
                <w:color w:val="000000"/>
              </w:rPr>
              <w:t>0.2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FC7B674" w14:textId="77777777" w:rsidR="008D64AC" w:rsidRPr="00275290" w:rsidRDefault="008D64AC" w:rsidP="009D4550">
            <w:pPr>
              <w:rPr>
                <w:rFonts w:cs="Arial"/>
                <w:b/>
                <w:color w:val="000000"/>
                <w:lang w:val="fr-FR" w:eastAsia="fr-FR"/>
              </w:rPr>
            </w:pPr>
            <w:r w:rsidRPr="00275290">
              <w:rPr>
                <w:rFonts w:cs="Arial"/>
                <w:b/>
                <w:color w:val="000000"/>
                <w:lang w:val="fr-FR" w:eastAsia="fr-FR"/>
              </w:rPr>
              <w:t>HI</w:t>
            </w:r>
          </w:p>
        </w:tc>
      </w:tr>
      <w:tr w:rsidR="008D64AC" w:rsidRPr="00275290" w14:paraId="4733F7B1" w14:textId="77777777" w:rsidTr="0013091F">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625235E3" w14:textId="77777777" w:rsidR="008D64AC" w:rsidRPr="00275290" w:rsidRDefault="008D64AC" w:rsidP="009D4550">
            <w:pPr>
              <w:rPr>
                <w:rFonts w:cs="Arial"/>
                <w:color w:val="000000"/>
                <w:lang w:val="fr-FR" w:eastAsia="fr-FR"/>
              </w:rPr>
            </w:pPr>
            <w:r w:rsidRPr="00275290">
              <w:rPr>
                <w:rFonts w:cs="Arial"/>
                <w:color w:val="000000"/>
                <w:lang w:val="fr-FR" w:eastAsia="fr-FR"/>
              </w:rPr>
              <w:t>%AEL</w:t>
            </w:r>
          </w:p>
        </w:tc>
        <w:tc>
          <w:tcPr>
            <w:tcW w:w="1913" w:type="dxa"/>
            <w:tcBorders>
              <w:top w:val="nil"/>
              <w:left w:val="nil"/>
              <w:bottom w:val="single" w:sz="4" w:space="0" w:color="auto"/>
              <w:right w:val="single" w:sz="4" w:space="0" w:color="auto"/>
            </w:tcBorders>
            <w:shd w:val="clear" w:color="auto" w:fill="auto"/>
            <w:noWrap/>
            <w:vAlign w:val="center"/>
            <w:hideMark/>
          </w:tcPr>
          <w:p w14:paraId="06EA2E25" w14:textId="68D92E47" w:rsidR="008D64AC" w:rsidRPr="00275290" w:rsidRDefault="008D64AC" w:rsidP="009D4550">
            <w:pPr>
              <w:rPr>
                <w:rFonts w:cs="Arial"/>
                <w:color w:val="000000"/>
                <w:lang w:val="fr-FR" w:eastAsia="fr-FR"/>
              </w:rPr>
            </w:pPr>
            <w:r>
              <w:rPr>
                <w:rFonts w:cs="Calibri"/>
                <w:color w:val="000000"/>
              </w:rPr>
              <w:t>8%</w:t>
            </w:r>
          </w:p>
        </w:tc>
        <w:tc>
          <w:tcPr>
            <w:tcW w:w="1701" w:type="dxa"/>
            <w:tcBorders>
              <w:top w:val="nil"/>
              <w:left w:val="nil"/>
              <w:bottom w:val="single" w:sz="4" w:space="0" w:color="auto"/>
              <w:right w:val="single" w:sz="4" w:space="0" w:color="auto"/>
            </w:tcBorders>
            <w:shd w:val="clear" w:color="auto" w:fill="auto"/>
            <w:noWrap/>
            <w:vAlign w:val="center"/>
            <w:hideMark/>
          </w:tcPr>
          <w:p w14:paraId="60F8EB66" w14:textId="369F928B" w:rsidR="008D64AC" w:rsidRPr="00275290" w:rsidRDefault="0013091F" w:rsidP="0013091F">
            <w:pPr>
              <w:rPr>
                <w:rFonts w:cs="Arial"/>
                <w:color w:val="000000"/>
                <w:lang w:val="fr-FR" w:eastAsia="fr-FR"/>
              </w:rPr>
            </w:pPr>
            <w:r>
              <w:rPr>
                <w:rFonts w:cs="Calibri"/>
                <w:color w:val="000000"/>
              </w:rPr>
              <w:t>26</w:t>
            </w:r>
            <w:r w:rsidR="008D64AC">
              <w:rPr>
                <w:rFonts w:cs="Calibri"/>
                <w:color w:val="000000"/>
              </w:rPr>
              <w:t>%</w:t>
            </w:r>
          </w:p>
        </w:tc>
        <w:tc>
          <w:tcPr>
            <w:tcW w:w="1662" w:type="dxa"/>
            <w:tcBorders>
              <w:top w:val="nil"/>
              <w:left w:val="nil"/>
              <w:bottom w:val="single" w:sz="4" w:space="0" w:color="auto"/>
              <w:right w:val="single" w:sz="4" w:space="0" w:color="auto"/>
            </w:tcBorders>
            <w:shd w:val="clear" w:color="auto" w:fill="auto"/>
            <w:noWrap/>
            <w:vAlign w:val="center"/>
            <w:hideMark/>
          </w:tcPr>
          <w:p w14:paraId="486B9D78" w14:textId="22C5A90D" w:rsidR="008D64AC" w:rsidRPr="00275290" w:rsidRDefault="0013091F" w:rsidP="0013091F">
            <w:pPr>
              <w:rPr>
                <w:rFonts w:cs="Arial"/>
                <w:color w:val="000000"/>
                <w:lang w:val="fr-FR" w:eastAsia="fr-FR"/>
              </w:rPr>
            </w:pPr>
            <w:r>
              <w:rPr>
                <w:rFonts w:cs="Calibri"/>
                <w:color w:val="000000"/>
              </w:rPr>
              <w:t>13</w:t>
            </w:r>
            <w:r w:rsidR="008D64AC">
              <w:rPr>
                <w:rFonts w:cs="Calibri"/>
                <w:color w:val="000000"/>
              </w:rPr>
              <w:t>%</w:t>
            </w:r>
          </w:p>
        </w:tc>
        <w:tc>
          <w:tcPr>
            <w:tcW w:w="1096" w:type="dxa"/>
            <w:tcBorders>
              <w:top w:val="nil"/>
              <w:left w:val="nil"/>
              <w:bottom w:val="single" w:sz="4" w:space="0" w:color="auto"/>
              <w:right w:val="single" w:sz="4" w:space="0" w:color="auto"/>
            </w:tcBorders>
            <w:shd w:val="clear" w:color="auto" w:fill="auto"/>
            <w:noWrap/>
            <w:vAlign w:val="center"/>
            <w:hideMark/>
          </w:tcPr>
          <w:p w14:paraId="6384D045" w14:textId="13F3274D" w:rsidR="008D64AC" w:rsidRPr="00275290" w:rsidRDefault="0013091F" w:rsidP="009D4550">
            <w:pPr>
              <w:rPr>
                <w:rFonts w:cs="Arial"/>
                <w:color w:val="000000"/>
                <w:lang w:val="fr-FR" w:eastAsia="fr-FR"/>
              </w:rPr>
            </w:pPr>
            <w:r>
              <w:rPr>
                <w:rFonts w:cs="Calibri"/>
                <w:color w:val="000000"/>
              </w:rPr>
              <w:t>8</w:t>
            </w:r>
            <w:r w:rsidR="008D64AC">
              <w:rPr>
                <w:rFonts w:cs="Calibri"/>
                <w:color w:val="000000"/>
              </w:rPr>
              <w:t>%</w:t>
            </w:r>
          </w:p>
        </w:tc>
        <w:tc>
          <w:tcPr>
            <w:tcW w:w="1096" w:type="dxa"/>
            <w:tcBorders>
              <w:top w:val="nil"/>
              <w:left w:val="nil"/>
              <w:bottom w:val="single" w:sz="4" w:space="0" w:color="auto"/>
              <w:right w:val="single" w:sz="4" w:space="0" w:color="auto"/>
            </w:tcBorders>
            <w:shd w:val="clear" w:color="auto" w:fill="auto"/>
            <w:noWrap/>
            <w:vAlign w:val="bottom"/>
            <w:hideMark/>
          </w:tcPr>
          <w:p w14:paraId="7936D26F" w14:textId="723764B3" w:rsidR="008D64AC" w:rsidRPr="00275290" w:rsidRDefault="008D64AC" w:rsidP="0013091F">
            <w:pPr>
              <w:rPr>
                <w:rFonts w:cs="Arial"/>
                <w:b/>
                <w:color w:val="000000"/>
                <w:lang w:val="fr-FR" w:eastAsia="fr-FR"/>
              </w:rPr>
            </w:pPr>
            <w:r w:rsidRPr="00275290">
              <w:rPr>
                <w:rFonts w:cs="Arial"/>
                <w:b/>
                <w:color w:val="000000"/>
                <w:lang w:val="fr-FR" w:eastAsia="fr-FR"/>
              </w:rPr>
              <w:t>0.</w:t>
            </w:r>
            <w:r w:rsidR="0013091F">
              <w:rPr>
                <w:rFonts w:cs="Arial"/>
                <w:b/>
                <w:color w:val="000000"/>
                <w:lang w:val="fr-FR" w:eastAsia="fr-FR"/>
              </w:rPr>
              <w:t>55</w:t>
            </w:r>
          </w:p>
        </w:tc>
      </w:tr>
      <w:tr w:rsidR="009D4550" w:rsidRPr="00275290" w14:paraId="49D2C2E5" w14:textId="77777777" w:rsidTr="0013091F">
        <w:trPr>
          <w:trHeight w:val="315"/>
        </w:trPr>
        <w:tc>
          <w:tcPr>
            <w:tcW w:w="2396" w:type="dxa"/>
            <w:tcBorders>
              <w:top w:val="nil"/>
              <w:left w:val="nil"/>
              <w:bottom w:val="single" w:sz="4" w:space="0" w:color="auto"/>
              <w:right w:val="nil"/>
            </w:tcBorders>
            <w:shd w:val="clear" w:color="auto" w:fill="auto"/>
            <w:noWrap/>
            <w:vAlign w:val="bottom"/>
            <w:hideMark/>
          </w:tcPr>
          <w:p w14:paraId="2FB21572" w14:textId="77777777" w:rsidR="009D4550" w:rsidRPr="00275290" w:rsidRDefault="009D4550" w:rsidP="009D4550">
            <w:pPr>
              <w:rPr>
                <w:rFonts w:cs="Arial"/>
                <w:color w:val="000000"/>
                <w:lang w:val="fr-FR" w:eastAsia="fr-FR"/>
              </w:rPr>
            </w:pPr>
          </w:p>
        </w:tc>
        <w:tc>
          <w:tcPr>
            <w:tcW w:w="1913" w:type="dxa"/>
            <w:tcBorders>
              <w:top w:val="nil"/>
              <w:left w:val="nil"/>
              <w:bottom w:val="single" w:sz="4" w:space="0" w:color="auto"/>
              <w:right w:val="nil"/>
            </w:tcBorders>
            <w:shd w:val="clear" w:color="auto" w:fill="auto"/>
            <w:noWrap/>
            <w:vAlign w:val="bottom"/>
            <w:hideMark/>
          </w:tcPr>
          <w:p w14:paraId="5DED8F94" w14:textId="77777777" w:rsidR="009D4550" w:rsidRPr="00275290" w:rsidRDefault="009D4550" w:rsidP="009D4550">
            <w:pPr>
              <w:rPr>
                <w:rFonts w:cs="Arial"/>
                <w:color w:val="000000"/>
                <w:lang w:val="fr-FR" w:eastAsia="fr-FR"/>
              </w:rPr>
            </w:pPr>
          </w:p>
        </w:tc>
        <w:tc>
          <w:tcPr>
            <w:tcW w:w="1701" w:type="dxa"/>
            <w:tcBorders>
              <w:top w:val="nil"/>
              <w:left w:val="nil"/>
              <w:bottom w:val="single" w:sz="4" w:space="0" w:color="auto"/>
              <w:right w:val="nil"/>
            </w:tcBorders>
            <w:shd w:val="clear" w:color="auto" w:fill="auto"/>
            <w:noWrap/>
            <w:vAlign w:val="bottom"/>
            <w:hideMark/>
          </w:tcPr>
          <w:p w14:paraId="7DAA0072" w14:textId="77777777" w:rsidR="009D4550" w:rsidRPr="00275290" w:rsidRDefault="009D4550" w:rsidP="009D4550">
            <w:pPr>
              <w:rPr>
                <w:rFonts w:cs="Arial"/>
                <w:color w:val="000000"/>
                <w:lang w:val="fr-FR" w:eastAsia="fr-FR"/>
              </w:rPr>
            </w:pPr>
          </w:p>
        </w:tc>
        <w:tc>
          <w:tcPr>
            <w:tcW w:w="1662" w:type="dxa"/>
            <w:tcBorders>
              <w:top w:val="nil"/>
              <w:left w:val="nil"/>
              <w:bottom w:val="single" w:sz="4" w:space="0" w:color="auto"/>
              <w:right w:val="nil"/>
            </w:tcBorders>
            <w:shd w:val="clear" w:color="auto" w:fill="auto"/>
            <w:noWrap/>
            <w:vAlign w:val="bottom"/>
            <w:hideMark/>
          </w:tcPr>
          <w:p w14:paraId="7DE013E4"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1868030C"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6949A884" w14:textId="77777777" w:rsidR="009D4550" w:rsidRPr="00275290" w:rsidRDefault="009D4550" w:rsidP="009D4550">
            <w:pPr>
              <w:rPr>
                <w:rFonts w:cs="Arial"/>
                <w:b/>
                <w:color w:val="000000"/>
                <w:lang w:val="fr-FR" w:eastAsia="fr-FR"/>
              </w:rPr>
            </w:pPr>
          </w:p>
        </w:tc>
      </w:tr>
      <w:tr w:rsidR="008D64AC" w:rsidRPr="00275290" w14:paraId="0CA3E92C" w14:textId="77777777" w:rsidTr="0013091F">
        <w:trPr>
          <w:trHeight w:val="300"/>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B9718" w14:textId="77777777" w:rsidR="008D64AC" w:rsidRPr="00275290" w:rsidRDefault="008D64AC" w:rsidP="009D4550">
            <w:pPr>
              <w:rPr>
                <w:rFonts w:cs="Arial"/>
                <w:lang w:val="fr-FR" w:eastAsia="fr-FR"/>
              </w:rPr>
            </w:pPr>
            <w:r w:rsidRPr="00275290">
              <w:rPr>
                <w:rFonts w:cs="Arial"/>
                <w:lang w:val="fr-FR" w:eastAsia="fr-FR"/>
              </w:rPr>
              <w:t>AEL kidney</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47304DA2" w14:textId="37EA06A7" w:rsidR="008D64AC" w:rsidRPr="00275290" w:rsidRDefault="008D64AC" w:rsidP="009D4550">
            <w:pPr>
              <w:rPr>
                <w:rFonts w:cs="Arial"/>
                <w:lang w:val="fr-FR" w:eastAsia="fr-FR"/>
              </w:rPr>
            </w:pPr>
            <w:r>
              <w:rPr>
                <w:rFonts w:cs="Calibri"/>
                <w:color w:val="000000"/>
              </w:rPr>
              <w:t>0.022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31F187E" w14:textId="280E001F" w:rsidR="008D64AC" w:rsidRPr="00275290" w:rsidRDefault="008D64AC" w:rsidP="009D4550">
            <w:pPr>
              <w:rPr>
                <w:rFonts w:cs="Arial"/>
                <w:lang w:val="fr-FR" w:eastAsia="fr-FR"/>
              </w:rPr>
            </w:pPr>
            <w:r>
              <w:rPr>
                <w:rFonts w:cs="Calibri"/>
                <w:color w:val="000000"/>
              </w:rPr>
              <w:t>0.5</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7AFB6F0A" w14:textId="3C277BBB" w:rsidR="008D64AC" w:rsidRPr="00275290" w:rsidRDefault="008D64AC" w:rsidP="009D4550">
            <w:pPr>
              <w:rPr>
                <w:rFonts w:cs="Arial"/>
                <w:lang w:val="fr-FR" w:eastAsia="fr-FR"/>
              </w:rPr>
            </w:pPr>
            <w:r>
              <w:rPr>
                <w:rFonts w:cs="Calibri"/>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1ADFC799" w14:textId="51C27FF0" w:rsidR="008D64AC" w:rsidRPr="00275290" w:rsidRDefault="008D64AC" w:rsidP="009D4550">
            <w:pPr>
              <w:rPr>
                <w:rFonts w:cs="Arial"/>
                <w:lang w:val="fr-FR" w:eastAsia="fr-FR"/>
              </w:rPr>
            </w:pPr>
            <w:r>
              <w:rPr>
                <w:rFonts w:cs="Calibri"/>
                <w:color w:val="000000"/>
              </w:rPr>
              <w:t>0.35</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5F900E4" w14:textId="77777777" w:rsidR="008D64AC" w:rsidRPr="00275290" w:rsidRDefault="008D64AC" w:rsidP="009D4550">
            <w:pPr>
              <w:rPr>
                <w:rFonts w:cs="Arial"/>
                <w:b/>
                <w:lang w:val="fr-FR" w:eastAsia="fr-FR"/>
              </w:rPr>
            </w:pPr>
          </w:p>
        </w:tc>
      </w:tr>
      <w:tr w:rsidR="008D64AC" w:rsidRPr="00275290" w14:paraId="1DDC6DA8" w14:textId="77777777" w:rsidTr="0013091F">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0734F542" w14:textId="77777777" w:rsidR="008D64AC" w:rsidRPr="00275290" w:rsidRDefault="008D64AC" w:rsidP="009D4550">
            <w:pPr>
              <w:rPr>
                <w:rFonts w:cs="Arial"/>
                <w:lang w:val="fr-FR" w:eastAsia="fr-FR"/>
              </w:rPr>
            </w:pPr>
            <w:r w:rsidRPr="00275290">
              <w:rPr>
                <w:rFonts w:cs="Arial"/>
                <w:lang w:val="fr-FR" w:eastAsia="fr-FR"/>
              </w:rPr>
              <w:t>%AEL</w:t>
            </w:r>
          </w:p>
        </w:tc>
        <w:tc>
          <w:tcPr>
            <w:tcW w:w="1913" w:type="dxa"/>
            <w:tcBorders>
              <w:top w:val="nil"/>
              <w:left w:val="nil"/>
              <w:bottom w:val="single" w:sz="4" w:space="0" w:color="auto"/>
              <w:right w:val="single" w:sz="4" w:space="0" w:color="auto"/>
            </w:tcBorders>
            <w:shd w:val="clear" w:color="auto" w:fill="auto"/>
            <w:noWrap/>
            <w:vAlign w:val="center"/>
            <w:hideMark/>
          </w:tcPr>
          <w:p w14:paraId="15B1A844" w14:textId="2DB2ED36" w:rsidR="008D64AC" w:rsidRPr="00275290" w:rsidRDefault="008D64AC" w:rsidP="009D4550">
            <w:pPr>
              <w:rPr>
                <w:rFonts w:cs="Arial"/>
                <w:lang w:val="fr-FR" w:eastAsia="fr-FR"/>
              </w:rPr>
            </w:pPr>
            <w:r>
              <w:rPr>
                <w:rFonts w:cs="Calibri"/>
                <w:color w:val="000000"/>
              </w:rPr>
              <w:t>63%</w:t>
            </w:r>
          </w:p>
        </w:tc>
        <w:tc>
          <w:tcPr>
            <w:tcW w:w="1701" w:type="dxa"/>
            <w:tcBorders>
              <w:top w:val="nil"/>
              <w:left w:val="nil"/>
              <w:bottom w:val="single" w:sz="4" w:space="0" w:color="auto"/>
              <w:right w:val="single" w:sz="4" w:space="0" w:color="auto"/>
            </w:tcBorders>
            <w:shd w:val="clear" w:color="auto" w:fill="auto"/>
            <w:noWrap/>
            <w:vAlign w:val="center"/>
            <w:hideMark/>
          </w:tcPr>
          <w:p w14:paraId="5B90F086" w14:textId="521F1BEA" w:rsidR="008D64AC" w:rsidRPr="00275290" w:rsidRDefault="0013091F" w:rsidP="009D4550">
            <w:pPr>
              <w:rPr>
                <w:rFonts w:cs="Arial"/>
                <w:lang w:val="fr-FR" w:eastAsia="fr-FR"/>
              </w:rPr>
            </w:pPr>
            <w:r>
              <w:rPr>
                <w:rFonts w:cs="Calibri"/>
                <w:color w:val="000000"/>
              </w:rPr>
              <w:t>4</w:t>
            </w:r>
            <w:r w:rsidR="008D64AC">
              <w:rPr>
                <w:rFonts w:cs="Calibri"/>
                <w:color w:val="000000"/>
              </w:rPr>
              <w:t>%</w:t>
            </w:r>
          </w:p>
        </w:tc>
        <w:tc>
          <w:tcPr>
            <w:tcW w:w="1662" w:type="dxa"/>
            <w:tcBorders>
              <w:top w:val="nil"/>
              <w:left w:val="nil"/>
              <w:bottom w:val="single" w:sz="4" w:space="0" w:color="auto"/>
              <w:right w:val="single" w:sz="4" w:space="0" w:color="auto"/>
            </w:tcBorders>
            <w:shd w:val="clear" w:color="auto" w:fill="auto"/>
            <w:noWrap/>
            <w:vAlign w:val="center"/>
            <w:hideMark/>
          </w:tcPr>
          <w:p w14:paraId="62682AE1" w14:textId="56B0AD52" w:rsidR="008D64AC" w:rsidRPr="00275290" w:rsidRDefault="008D64AC" w:rsidP="009D4550">
            <w:pPr>
              <w:rPr>
                <w:rFonts w:cs="Arial"/>
                <w:lang w:val="fr-FR" w:eastAsia="fr-FR"/>
              </w:rPr>
            </w:pPr>
            <w:r>
              <w:rPr>
                <w:rFonts w:cs="Calibri"/>
                <w:color w:val="000000"/>
              </w:rPr>
              <w:t> </w:t>
            </w:r>
          </w:p>
        </w:tc>
        <w:tc>
          <w:tcPr>
            <w:tcW w:w="1096" w:type="dxa"/>
            <w:tcBorders>
              <w:top w:val="nil"/>
              <w:left w:val="nil"/>
              <w:bottom w:val="single" w:sz="4" w:space="0" w:color="auto"/>
              <w:right w:val="single" w:sz="4" w:space="0" w:color="auto"/>
            </w:tcBorders>
            <w:shd w:val="clear" w:color="auto" w:fill="auto"/>
            <w:noWrap/>
            <w:vAlign w:val="center"/>
            <w:hideMark/>
          </w:tcPr>
          <w:p w14:paraId="5141F0A6" w14:textId="0E7EC7A3" w:rsidR="008D64AC" w:rsidRPr="00275290" w:rsidRDefault="0013091F" w:rsidP="009D4550">
            <w:pPr>
              <w:rPr>
                <w:rFonts w:cs="Arial"/>
                <w:lang w:val="fr-FR" w:eastAsia="fr-FR"/>
              </w:rPr>
            </w:pPr>
            <w:r>
              <w:rPr>
                <w:rFonts w:cs="Calibri"/>
                <w:color w:val="000000"/>
              </w:rPr>
              <w:t>5</w:t>
            </w:r>
            <w:r w:rsidR="008D64AC">
              <w:rPr>
                <w:rFonts w:cs="Calibri"/>
                <w:color w:val="000000"/>
              </w:rPr>
              <w:t>%</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9B9F442" w14:textId="30BD73B6" w:rsidR="008D64AC" w:rsidRPr="00275290" w:rsidRDefault="008D64AC" w:rsidP="0013091F">
            <w:pPr>
              <w:rPr>
                <w:rFonts w:cs="Arial"/>
                <w:b/>
                <w:lang w:val="fr-FR" w:eastAsia="fr-FR"/>
              </w:rPr>
            </w:pPr>
            <w:r>
              <w:rPr>
                <w:rFonts w:cs="Arial"/>
                <w:b/>
                <w:lang w:val="fr-FR" w:eastAsia="fr-FR"/>
              </w:rPr>
              <w:t>0.</w:t>
            </w:r>
            <w:r w:rsidR="0013091F">
              <w:rPr>
                <w:rFonts w:cs="Arial"/>
                <w:b/>
                <w:lang w:val="fr-FR" w:eastAsia="fr-FR"/>
              </w:rPr>
              <w:t>72</w:t>
            </w:r>
          </w:p>
        </w:tc>
      </w:tr>
      <w:tr w:rsidR="009D4550" w:rsidRPr="00275290" w14:paraId="04606C68" w14:textId="77777777" w:rsidTr="0013091F">
        <w:trPr>
          <w:trHeight w:val="315"/>
        </w:trPr>
        <w:tc>
          <w:tcPr>
            <w:tcW w:w="2396" w:type="dxa"/>
            <w:tcBorders>
              <w:top w:val="nil"/>
              <w:left w:val="nil"/>
              <w:bottom w:val="single" w:sz="4" w:space="0" w:color="auto"/>
              <w:right w:val="nil"/>
            </w:tcBorders>
            <w:shd w:val="clear" w:color="auto" w:fill="auto"/>
            <w:noWrap/>
            <w:vAlign w:val="bottom"/>
            <w:hideMark/>
          </w:tcPr>
          <w:p w14:paraId="2C678C2A" w14:textId="77777777" w:rsidR="009D4550" w:rsidRPr="00275290" w:rsidRDefault="009D4550" w:rsidP="009D4550">
            <w:pPr>
              <w:rPr>
                <w:rFonts w:cs="Arial"/>
                <w:color w:val="000000"/>
                <w:lang w:val="fr-FR" w:eastAsia="fr-FR"/>
              </w:rPr>
            </w:pPr>
          </w:p>
        </w:tc>
        <w:tc>
          <w:tcPr>
            <w:tcW w:w="1913" w:type="dxa"/>
            <w:tcBorders>
              <w:top w:val="nil"/>
              <w:left w:val="nil"/>
              <w:bottom w:val="single" w:sz="4" w:space="0" w:color="auto"/>
              <w:right w:val="nil"/>
            </w:tcBorders>
            <w:shd w:val="clear" w:color="auto" w:fill="auto"/>
            <w:noWrap/>
            <w:vAlign w:val="bottom"/>
            <w:hideMark/>
          </w:tcPr>
          <w:p w14:paraId="1B7901B3" w14:textId="77777777" w:rsidR="009D4550" w:rsidRPr="00275290" w:rsidRDefault="009D4550" w:rsidP="009D4550">
            <w:pPr>
              <w:rPr>
                <w:rFonts w:cs="Arial"/>
                <w:color w:val="000000"/>
                <w:lang w:val="fr-FR" w:eastAsia="fr-FR"/>
              </w:rPr>
            </w:pPr>
          </w:p>
        </w:tc>
        <w:tc>
          <w:tcPr>
            <w:tcW w:w="1701" w:type="dxa"/>
            <w:tcBorders>
              <w:top w:val="nil"/>
              <w:left w:val="nil"/>
              <w:bottom w:val="single" w:sz="4" w:space="0" w:color="auto"/>
              <w:right w:val="nil"/>
            </w:tcBorders>
            <w:shd w:val="clear" w:color="auto" w:fill="auto"/>
            <w:noWrap/>
            <w:vAlign w:val="bottom"/>
            <w:hideMark/>
          </w:tcPr>
          <w:p w14:paraId="0C42ECB9" w14:textId="77777777" w:rsidR="009D4550" w:rsidRPr="00275290" w:rsidRDefault="009D4550" w:rsidP="009D4550">
            <w:pPr>
              <w:rPr>
                <w:rFonts w:cs="Arial"/>
                <w:color w:val="000000"/>
                <w:lang w:val="fr-FR" w:eastAsia="fr-FR"/>
              </w:rPr>
            </w:pPr>
          </w:p>
        </w:tc>
        <w:tc>
          <w:tcPr>
            <w:tcW w:w="1662" w:type="dxa"/>
            <w:tcBorders>
              <w:top w:val="nil"/>
              <w:left w:val="nil"/>
              <w:bottom w:val="single" w:sz="4" w:space="0" w:color="auto"/>
              <w:right w:val="nil"/>
            </w:tcBorders>
            <w:shd w:val="clear" w:color="auto" w:fill="auto"/>
            <w:noWrap/>
            <w:vAlign w:val="bottom"/>
            <w:hideMark/>
          </w:tcPr>
          <w:p w14:paraId="7E802DA0"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16634AB7" w14:textId="77777777" w:rsidR="009D4550" w:rsidRPr="00275290" w:rsidRDefault="009D4550" w:rsidP="009D4550">
            <w:pPr>
              <w:rPr>
                <w:rFonts w:cs="Arial"/>
                <w:color w:val="000000"/>
                <w:lang w:val="fr-FR" w:eastAsia="fr-FR"/>
              </w:rPr>
            </w:pPr>
          </w:p>
        </w:tc>
        <w:tc>
          <w:tcPr>
            <w:tcW w:w="1096" w:type="dxa"/>
            <w:tcBorders>
              <w:top w:val="single" w:sz="4" w:space="0" w:color="auto"/>
              <w:left w:val="nil"/>
              <w:bottom w:val="single" w:sz="4" w:space="0" w:color="auto"/>
              <w:right w:val="nil"/>
            </w:tcBorders>
            <w:shd w:val="clear" w:color="auto" w:fill="auto"/>
            <w:noWrap/>
            <w:vAlign w:val="bottom"/>
            <w:hideMark/>
          </w:tcPr>
          <w:p w14:paraId="7A35FE0F" w14:textId="77777777" w:rsidR="009D4550" w:rsidRPr="00275290" w:rsidRDefault="009D4550" w:rsidP="009D4550">
            <w:pPr>
              <w:rPr>
                <w:rFonts w:cs="Arial"/>
                <w:b/>
                <w:color w:val="000000"/>
                <w:lang w:val="fr-FR" w:eastAsia="fr-FR"/>
              </w:rPr>
            </w:pPr>
          </w:p>
        </w:tc>
      </w:tr>
      <w:tr w:rsidR="008D64AC" w:rsidRPr="00275290" w14:paraId="2CA4B894" w14:textId="77777777" w:rsidTr="0013091F">
        <w:trPr>
          <w:trHeight w:val="315"/>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B7514" w14:textId="77777777" w:rsidR="008D64AC" w:rsidRPr="00275290" w:rsidRDefault="008D64AC" w:rsidP="009D4550">
            <w:pPr>
              <w:rPr>
                <w:rFonts w:cs="Arial"/>
                <w:color w:val="000000"/>
                <w:lang w:val="fr-FR" w:eastAsia="fr-FR"/>
              </w:rPr>
            </w:pPr>
            <w:r w:rsidRPr="00275290">
              <w:rPr>
                <w:rFonts w:cs="Arial"/>
                <w:color w:val="000000"/>
                <w:lang w:val="fr-FR" w:eastAsia="fr-FR"/>
              </w:rPr>
              <w:t>AEL hematology</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58372295" w14:textId="7EA53AFF" w:rsidR="008D64AC" w:rsidRPr="00275290" w:rsidRDefault="008D64AC" w:rsidP="009D4550">
            <w:pPr>
              <w:rPr>
                <w:rFonts w:cs="Arial"/>
                <w:lang w:val="fr-FR" w:eastAsia="fr-FR"/>
              </w:rPr>
            </w:pPr>
            <w:r>
              <w:rPr>
                <w:rFonts w:cs="Calibri"/>
                <w:color w:val="000000"/>
              </w:rPr>
              <w:t>0.022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6368F50" w14:textId="23D53EE0" w:rsidR="008D64AC" w:rsidRPr="00275290" w:rsidRDefault="008D64AC" w:rsidP="009D4550">
            <w:pPr>
              <w:rPr>
                <w:rFonts w:cs="Arial"/>
                <w:lang w:val="fr-FR" w:eastAsia="fr-FR"/>
              </w:rPr>
            </w:pPr>
            <w:r>
              <w:rPr>
                <w:rFonts w:cs="Calibri"/>
                <w:color w:val="000000"/>
              </w:rPr>
              <w:t>0.761</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0624D119" w14:textId="46D9E2FA" w:rsidR="008D64AC" w:rsidRPr="00275290" w:rsidRDefault="008D64AC" w:rsidP="009D4550">
            <w:pPr>
              <w:rPr>
                <w:rFonts w:cs="Arial"/>
                <w:lang w:val="fr-FR" w:eastAsia="fr-FR"/>
              </w:rPr>
            </w:pPr>
            <w:r>
              <w:rPr>
                <w:rFonts w:cs="Calibri"/>
                <w:color w:val="000000"/>
              </w:rPr>
              <w:t>0.3</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4D76682D" w14:textId="2FE5753A" w:rsidR="008D64AC" w:rsidRPr="00275290" w:rsidRDefault="008D64AC" w:rsidP="009D4550">
            <w:pPr>
              <w:rPr>
                <w:rFonts w:cs="Arial"/>
                <w:lang w:val="fr-FR" w:eastAsia="fr-FR"/>
              </w:rPr>
            </w:pPr>
            <w:r>
              <w:rPr>
                <w:rFonts w:cs="Calibri"/>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28753BF" w14:textId="77777777" w:rsidR="008D64AC" w:rsidRPr="00275290" w:rsidRDefault="008D64AC" w:rsidP="009D4550">
            <w:pPr>
              <w:rPr>
                <w:rFonts w:cs="Arial"/>
                <w:b/>
                <w:lang w:val="fr-FR" w:eastAsia="fr-FR"/>
              </w:rPr>
            </w:pPr>
          </w:p>
        </w:tc>
      </w:tr>
      <w:tr w:rsidR="008D64AC" w:rsidRPr="00275290" w14:paraId="02C9C02D" w14:textId="77777777" w:rsidTr="0013091F">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4649D8B6" w14:textId="77777777" w:rsidR="008D64AC" w:rsidRPr="00275290" w:rsidRDefault="008D64AC" w:rsidP="009D4550">
            <w:pPr>
              <w:rPr>
                <w:rFonts w:cs="Arial"/>
                <w:color w:val="000000"/>
                <w:lang w:val="fr-FR" w:eastAsia="fr-FR"/>
              </w:rPr>
            </w:pPr>
            <w:r w:rsidRPr="00275290">
              <w:rPr>
                <w:rFonts w:cs="Arial"/>
                <w:color w:val="000000"/>
                <w:lang w:val="fr-FR" w:eastAsia="fr-FR"/>
              </w:rPr>
              <w:t>%AEL</w:t>
            </w:r>
          </w:p>
        </w:tc>
        <w:tc>
          <w:tcPr>
            <w:tcW w:w="1913" w:type="dxa"/>
            <w:tcBorders>
              <w:top w:val="nil"/>
              <w:left w:val="nil"/>
              <w:bottom w:val="single" w:sz="4" w:space="0" w:color="auto"/>
              <w:right w:val="single" w:sz="4" w:space="0" w:color="auto"/>
            </w:tcBorders>
            <w:shd w:val="clear" w:color="auto" w:fill="auto"/>
            <w:noWrap/>
            <w:vAlign w:val="center"/>
            <w:hideMark/>
          </w:tcPr>
          <w:p w14:paraId="1A0B9AE2" w14:textId="10CEF4D6" w:rsidR="008D64AC" w:rsidRPr="00275290" w:rsidRDefault="008D64AC" w:rsidP="009D4550">
            <w:pPr>
              <w:rPr>
                <w:rFonts w:cs="Arial"/>
                <w:lang w:val="fr-FR" w:eastAsia="fr-FR"/>
              </w:rPr>
            </w:pPr>
            <w:r>
              <w:rPr>
                <w:rFonts w:cs="Calibri"/>
                <w:color w:val="000000"/>
              </w:rPr>
              <w:t>63%</w:t>
            </w:r>
          </w:p>
        </w:tc>
        <w:tc>
          <w:tcPr>
            <w:tcW w:w="1701" w:type="dxa"/>
            <w:tcBorders>
              <w:top w:val="nil"/>
              <w:left w:val="nil"/>
              <w:bottom w:val="single" w:sz="4" w:space="0" w:color="auto"/>
              <w:right w:val="single" w:sz="4" w:space="0" w:color="auto"/>
            </w:tcBorders>
            <w:shd w:val="clear" w:color="auto" w:fill="auto"/>
            <w:noWrap/>
            <w:vAlign w:val="center"/>
            <w:hideMark/>
          </w:tcPr>
          <w:p w14:paraId="4A417EA2" w14:textId="6F0CC922" w:rsidR="008D64AC" w:rsidRPr="00275290" w:rsidRDefault="0013091F" w:rsidP="009D4550">
            <w:pPr>
              <w:rPr>
                <w:rFonts w:cs="Arial"/>
                <w:lang w:val="fr-FR" w:eastAsia="fr-FR"/>
              </w:rPr>
            </w:pPr>
            <w:r>
              <w:rPr>
                <w:rFonts w:cs="Calibri"/>
                <w:color w:val="000000"/>
              </w:rPr>
              <w:t>3</w:t>
            </w:r>
            <w:r w:rsidR="008D64AC">
              <w:rPr>
                <w:rFonts w:cs="Calibri"/>
                <w:color w:val="000000"/>
              </w:rPr>
              <w:t>%</w:t>
            </w:r>
          </w:p>
        </w:tc>
        <w:tc>
          <w:tcPr>
            <w:tcW w:w="1662" w:type="dxa"/>
            <w:tcBorders>
              <w:top w:val="nil"/>
              <w:left w:val="nil"/>
              <w:bottom w:val="single" w:sz="4" w:space="0" w:color="auto"/>
              <w:right w:val="single" w:sz="4" w:space="0" w:color="auto"/>
            </w:tcBorders>
            <w:shd w:val="clear" w:color="auto" w:fill="auto"/>
            <w:noWrap/>
            <w:vAlign w:val="center"/>
            <w:hideMark/>
          </w:tcPr>
          <w:p w14:paraId="4DA3DEF9" w14:textId="588D0A25" w:rsidR="008D64AC" w:rsidRPr="00275290" w:rsidRDefault="0013091F" w:rsidP="009D4550">
            <w:pPr>
              <w:rPr>
                <w:rFonts w:cs="Arial"/>
                <w:lang w:val="fr-FR" w:eastAsia="fr-FR"/>
              </w:rPr>
            </w:pPr>
            <w:r>
              <w:rPr>
                <w:rFonts w:cs="Calibri"/>
                <w:color w:val="000000"/>
              </w:rPr>
              <w:t>3</w:t>
            </w:r>
            <w:r w:rsidR="008D64AC">
              <w:rPr>
                <w:rFonts w:cs="Calibri"/>
                <w:color w:val="000000"/>
              </w:rPr>
              <w:t>%</w:t>
            </w:r>
          </w:p>
        </w:tc>
        <w:tc>
          <w:tcPr>
            <w:tcW w:w="1096" w:type="dxa"/>
            <w:tcBorders>
              <w:top w:val="nil"/>
              <w:left w:val="nil"/>
              <w:bottom w:val="single" w:sz="4" w:space="0" w:color="auto"/>
              <w:right w:val="single" w:sz="4" w:space="0" w:color="auto"/>
            </w:tcBorders>
            <w:shd w:val="clear" w:color="auto" w:fill="auto"/>
            <w:noWrap/>
            <w:vAlign w:val="center"/>
            <w:hideMark/>
          </w:tcPr>
          <w:p w14:paraId="22ADD34C" w14:textId="30C100C6" w:rsidR="008D64AC" w:rsidRPr="00275290" w:rsidRDefault="008D64AC" w:rsidP="009D4550">
            <w:pPr>
              <w:rPr>
                <w:rFonts w:cs="Arial"/>
                <w:lang w:val="fr-FR" w:eastAsia="fr-FR"/>
              </w:rPr>
            </w:pPr>
            <w:r>
              <w:rPr>
                <w:rFonts w:cs="Calibri"/>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18FC01D" w14:textId="35CB23C1" w:rsidR="008D64AC" w:rsidRPr="00275290" w:rsidRDefault="008D64AC" w:rsidP="0013091F">
            <w:pPr>
              <w:rPr>
                <w:rFonts w:cs="Arial"/>
                <w:b/>
                <w:lang w:val="fr-FR" w:eastAsia="fr-FR"/>
              </w:rPr>
            </w:pPr>
            <w:r>
              <w:rPr>
                <w:rFonts w:cs="Arial"/>
                <w:b/>
                <w:lang w:val="fr-FR" w:eastAsia="fr-FR"/>
              </w:rPr>
              <w:t>0.</w:t>
            </w:r>
            <w:r w:rsidR="0013091F">
              <w:rPr>
                <w:rFonts w:cs="Arial"/>
                <w:b/>
                <w:lang w:val="fr-FR" w:eastAsia="fr-FR"/>
              </w:rPr>
              <w:t>68</w:t>
            </w:r>
          </w:p>
        </w:tc>
      </w:tr>
      <w:tr w:rsidR="009D4550" w:rsidRPr="00275290" w14:paraId="3B5B1CC3" w14:textId="77777777" w:rsidTr="0013091F">
        <w:trPr>
          <w:trHeight w:val="300"/>
        </w:trPr>
        <w:tc>
          <w:tcPr>
            <w:tcW w:w="2396" w:type="dxa"/>
            <w:tcBorders>
              <w:top w:val="nil"/>
              <w:left w:val="nil"/>
              <w:bottom w:val="single" w:sz="4" w:space="0" w:color="auto"/>
              <w:right w:val="nil"/>
            </w:tcBorders>
            <w:shd w:val="clear" w:color="auto" w:fill="auto"/>
            <w:noWrap/>
            <w:vAlign w:val="bottom"/>
            <w:hideMark/>
          </w:tcPr>
          <w:p w14:paraId="10DE3533" w14:textId="77777777" w:rsidR="009D4550" w:rsidRPr="00275290" w:rsidRDefault="009D4550" w:rsidP="009D4550">
            <w:pPr>
              <w:rPr>
                <w:rFonts w:cs="Arial"/>
                <w:color w:val="000000"/>
                <w:lang w:val="fr-FR" w:eastAsia="fr-FR"/>
              </w:rPr>
            </w:pPr>
          </w:p>
        </w:tc>
        <w:tc>
          <w:tcPr>
            <w:tcW w:w="1913" w:type="dxa"/>
            <w:tcBorders>
              <w:top w:val="nil"/>
              <w:left w:val="nil"/>
              <w:bottom w:val="single" w:sz="4" w:space="0" w:color="auto"/>
              <w:right w:val="nil"/>
            </w:tcBorders>
            <w:shd w:val="clear" w:color="auto" w:fill="auto"/>
            <w:noWrap/>
            <w:vAlign w:val="bottom"/>
            <w:hideMark/>
          </w:tcPr>
          <w:p w14:paraId="37ABA301" w14:textId="77777777" w:rsidR="009D4550" w:rsidRPr="00275290" w:rsidRDefault="009D4550" w:rsidP="009D4550">
            <w:pPr>
              <w:rPr>
                <w:rFonts w:cs="Arial"/>
                <w:color w:val="000000"/>
                <w:lang w:val="fr-FR" w:eastAsia="fr-FR"/>
              </w:rPr>
            </w:pPr>
          </w:p>
        </w:tc>
        <w:tc>
          <w:tcPr>
            <w:tcW w:w="1701" w:type="dxa"/>
            <w:tcBorders>
              <w:top w:val="nil"/>
              <w:left w:val="nil"/>
              <w:bottom w:val="single" w:sz="4" w:space="0" w:color="auto"/>
              <w:right w:val="nil"/>
            </w:tcBorders>
            <w:shd w:val="clear" w:color="auto" w:fill="auto"/>
            <w:noWrap/>
            <w:vAlign w:val="bottom"/>
            <w:hideMark/>
          </w:tcPr>
          <w:p w14:paraId="4E9934C4" w14:textId="77777777" w:rsidR="009D4550" w:rsidRPr="00275290" w:rsidRDefault="009D4550" w:rsidP="009D4550">
            <w:pPr>
              <w:rPr>
                <w:rFonts w:cs="Arial"/>
                <w:color w:val="000000"/>
                <w:lang w:val="fr-FR" w:eastAsia="fr-FR"/>
              </w:rPr>
            </w:pPr>
          </w:p>
        </w:tc>
        <w:tc>
          <w:tcPr>
            <w:tcW w:w="1662" w:type="dxa"/>
            <w:tcBorders>
              <w:top w:val="nil"/>
              <w:left w:val="nil"/>
              <w:bottom w:val="single" w:sz="4" w:space="0" w:color="auto"/>
              <w:right w:val="nil"/>
            </w:tcBorders>
            <w:shd w:val="clear" w:color="auto" w:fill="auto"/>
            <w:noWrap/>
            <w:vAlign w:val="bottom"/>
            <w:hideMark/>
          </w:tcPr>
          <w:p w14:paraId="668A2BCD"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5DBF4730"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0E1AF5F9" w14:textId="77777777" w:rsidR="009D4550" w:rsidRPr="00275290" w:rsidRDefault="009D4550" w:rsidP="009D4550">
            <w:pPr>
              <w:rPr>
                <w:rFonts w:cs="Arial"/>
                <w:b/>
                <w:color w:val="000000"/>
                <w:lang w:val="fr-FR" w:eastAsia="fr-FR"/>
              </w:rPr>
            </w:pPr>
          </w:p>
        </w:tc>
      </w:tr>
      <w:tr w:rsidR="008D64AC" w:rsidRPr="00275290" w14:paraId="3FC80DBA" w14:textId="77777777" w:rsidTr="0013091F">
        <w:trPr>
          <w:trHeight w:val="300"/>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B2D5F" w14:textId="77777777" w:rsidR="008D64AC" w:rsidRPr="00275290" w:rsidRDefault="008D64AC" w:rsidP="009D4550">
            <w:pPr>
              <w:rPr>
                <w:rFonts w:cs="Arial"/>
                <w:color w:val="000000"/>
                <w:lang w:val="fr-FR" w:eastAsia="fr-FR"/>
              </w:rPr>
            </w:pPr>
            <w:r w:rsidRPr="00275290">
              <w:rPr>
                <w:rFonts w:cs="Arial"/>
                <w:color w:val="000000"/>
                <w:lang w:val="fr-FR" w:eastAsia="fr-FR"/>
              </w:rPr>
              <w:t>AEL adrenals</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77B868C1" w14:textId="0E65026C" w:rsidR="008D64AC" w:rsidRPr="00275290" w:rsidRDefault="008D64AC" w:rsidP="009D4550">
            <w:pPr>
              <w:rPr>
                <w:rFonts w:cs="Arial"/>
                <w:color w:val="000000"/>
                <w:lang w:val="fr-FR" w:eastAsia="fr-FR"/>
              </w:rPr>
            </w:pPr>
            <w:r>
              <w:rPr>
                <w:rFonts w:cs="Calibri"/>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897ACBF" w14:textId="541AA2B4" w:rsidR="008D64AC" w:rsidRPr="00275290" w:rsidRDefault="008D64AC" w:rsidP="009D4550">
            <w:pPr>
              <w:rPr>
                <w:rFonts w:cs="Arial"/>
                <w:lang w:val="fr-FR" w:eastAsia="fr-FR"/>
              </w:rPr>
            </w:pPr>
            <w:r>
              <w:rPr>
                <w:rFonts w:cs="Calibri"/>
                <w:color w:val="000000"/>
              </w:rPr>
              <w:t>0.036</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6DCB064F" w14:textId="1CE0B972" w:rsidR="008D64AC" w:rsidRPr="00275290" w:rsidRDefault="008D64AC" w:rsidP="009D4550">
            <w:pPr>
              <w:rPr>
                <w:rFonts w:cs="Arial"/>
                <w:lang w:val="fr-FR" w:eastAsia="fr-FR"/>
              </w:rPr>
            </w:pPr>
            <w:r>
              <w:rPr>
                <w:rFonts w:cs="Calibri"/>
                <w:color w:val="000000"/>
              </w:rPr>
              <w:t>0.03</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20BDE655" w14:textId="74370D06" w:rsidR="008D64AC" w:rsidRPr="00275290" w:rsidRDefault="008D64AC" w:rsidP="009D4550">
            <w:pPr>
              <w:rPr>
                <w:rFonts w:cs="Arial"/>
                <w:color w:val="000000"/>
                <w:lang w:val="fr-FR" w:eastAsia="fr-FR"/>
              </w:rPr>
            </w:pPr>
            <w:r>
              <w:rPr>
                <w:rFonts w:cs="Calibri"/>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03A186E" w14:textId="77777777" w:rsidR="008D64AC" w:rsidRPr="00275290" w:rsidRDefault="008D64AC" w:rsidP="009D4550">
            <w:pPr>
              <w:rPr>
                <w:rFonts w:cs="Arial"/>
                <w:b/>
                <w:color w:val="000000"/>
                <w:lang w:val="fr-FR" w:eastAsia="fr-FR"/>
              </w:rPr>
            </w:pPr>
          </w:p>
        </w:tc>
      </w:tr>
      <w:tr w:rsidR="008D64AC" w:rsidRPr="00275290" w14:paraId="45584C81" w14:textId="77777777" w:rsidTr="0013091F">
        <w:trPr>
          <w:trHeight w:val="251"/>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78C36345" w14:textId="77777777" w:rsidR="008D64AC" w:rsidRPr="00275290" w:rsidRDefault="008D64AC" w:rsidP="009D4550">
            <w:pPr>
              <w:rPr>
                <w:rFonts w:cs="Arial"/>
                <w:lang w:val="fr-FR" w:eastAsia="fr-FR"/>
              </w:rPr>
            </w:pPr>
            <w:r w:rsidRPr="00275290">
              <w:rPr>
                <w:rFonts w:cs="Arial"/>
                <w:lang w:val="fr-FR" w:eastAsia="fr-FR"/>
              </w:rPr>
              <w:t>%AEL</w:t>
            </w:r>
          </w:p>
        </w:tc>
        <w:tc>
          <w:tcPr>
            <w:tcW w:w="1913" w:type="dxa"/>
            <w:tcBorders>
              <w:top w:val="nil"/>
              <w:left w:val="nil"/>
              <w:bottom w:val="single" w:sz="4" w:space="0" w:color="auto"/>
              <w:right w:val="single" w:sz="4" w:space="0" w:color="auto"/>
            </w:tcBorders>
            <w:shd w:val="clear" w:color="auto" w:fill="auto"/>
            <w:noWrap/>
            <w:vAlign w:val="center"/>
            <w:hideMark/>
          </w:tcPr>
          <w:p w14:paraId="7AC451F0" w14:textId="7EFB8B5F" w:rsidR="008D64AC" w:rsidRPr="00275290" w:rsidRDefault="008D64AC" w:rsidP="009D4550">
            <w:pPr>
              <w:rPr>
                <w:rFonts w:cs="Arial"/>
                <w:lang w:val="fr-FR" w:eastAsia="fr-FR"/>
              </w:rPr>
            </w:pPr>
            <w:r>
              <w:rPr>
                <w:rFonts w:cs="Calibri"/>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8885866" w14:textId="4D2775AF" w:rsidR="008D64AC" w:rsidRPr="00275290" w:rsidRDefault="0013091F" w:rsidP="009D4550">
            <w:pPr>
              <w:rPr>
                <w:rFonts w:cs="Arial"/>
                <w:lang w:val="fr-FR" w:eastAsia="fr-FR"/>
              </w:rPr>
            </w:pPr>
            <w:r>
              <w:rPr>
                <w:rFonts w:cs="Calibri"/>
                <w:color w:val="000000"/>
              </w:rPr>
              <w:t>5</w:t>
            </w:r>
            <w:r w:rsidR="00EE1717">
              <w:rPr>
                <w:rFonts w:cs="Calibri"/>
                <w:color w:val="000000"/>
              </w:rPr>
              <w:t>8</w:t>
            </w:r>
            <w:r w:rsidR="008D64AC">
              <w:rPr>
                <w:rFonts w:cs="Calibri"/>
                <w:color w:val="000000"/>
              </w:rPr>
              <w:t>%</w:t>
            </w:r>
          </w:p>
        </w:tc>
        <w:tc>
          <w:tcPr>
            <w:tcW w:w="1662" w:type="dxa"/>
            <w:tcBorders>
              <w:top w:val="nil"/>
              <w:left w:val="nil"/>
              <w:bottom w:val="single" w:sz="4" w:space="0" w:color="auto"/>
              <w:right w:val="single" w:sz="4" w:space="0" w:color="auto"/>
            </w:tcBorders>
            <w:shd w:val="clear" w:color="auto" w:fill="auto"/>
            <w:noWrap/>
            <w:vAlign w:val="center"/>
            <w:hideMark/>
          </w:tcPr>
          <w:p w14:paraId="01B436C5" w14:textId="7DDA9ADB" w:rsidR="008D64AC" w:rsidRPr="00275290" w:rsidRDefault="0013091F" w:rsidP="0013091F">
            <w:pPr>
              <w:rPr>
                <w:rFonts w:cs="Arial"/>
                <w:lang w:val="fr-FR" w:eastAsia="fr-FR"/>
              </w:rPr>
            </w:pPr>
            <w:r>
              <w:rPr>
                <w:rFonts w:cs="Calibri"/>
                <w:color w:val="000000"/>
              </w:rPr>
              <w:t>25</w:t>
            </w:r>
            <w:r w:rsidR="008D64AC">
              <w:rPr>
                <w:rFonts w:cs="Calibri"/>
                <w:color w:val="000000"/>
              </w:rPr>
              <w:t>%</w:t>
            </w:r>
          </w:p>
        </w:tc>
        <w:tc>
          <w:tcPr>
            <w:tcW w:w="1096" w:type="dxa"/>
            <w:tcBorders>
              <w:top w:val="nil"/>
              <w:left w:val="nil"/>
              <w:bottom w:val="single" w:sz="4" w:space="0" w:color="auto"/>
              <w:right w:val="single" w:sz="4" w:space="0" w:color="auto"/>
            </w:tcBorders>
            <w:shd w:val="clear" w:color="auto" w:fill="auto"/>
            <w:noWrap/>
            <w:vAlign w:val="center"/>
            <w:hideMark/>
          </w:tcPr>
          <w:p w14:paraId="79A5E4C0" w14:textId="6ACD223E" w:rsidR="008D64AC" w:rsidRPr="00275290" w:rsidRDefault="008D64AC" w:rsidP="009D4550">
            <w:pPr>
              <w:rPr>
                <w:rFonts w:cs="Arial"/>
                <w:lang w:val="fr-FR" w:eastAsia="fr-FR"/>
              </w:rPr>
            </w:pPr>
            <w:r>
              <w:rPr>
                <w:rFonts w:cs="Calibri"/>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14:paraId="6C459B00" w14:textId="4673AD0F" w:rsidR="008D64AC" w:rsidRPr="00275290" w:rsidRDefault="008D64AC" w:rsidP="0013091F">
            <w:pPr>
              <w:rPr>
                <w:rFonts w:cs="Arial"/>
                <w:b/>
                <w:lang w:val="fr-FR" w:eastAsia="fr-FR"/>
              </w:rPr>
            </w:pPr>
            <w:r w:rsidRPr="00275290">
              <w:rPr>
                <w:rFonts w:cs="Arial"/>
                <w:b/>
                <w:lang w:val="fr-FR" w:eastAsia="fr-FR"/>
              </w:rPr>
              <w:t>0.</w:t>
            </w:r>
            <w:r w:rsidR="0013091F">
              <w:rPr>
                <w:rFonts w:cs="Arial"/>
                <w:b/>
                <w:lang w:val="fr-FR" w:eastAsia="fr-FR"/>
              </w:rPr>
              <w:t>84</w:t>
            </w:r>
          </w:p>
        </w:tc>
      </w:tr>
      <w:tr w:rsidR="009D4550" w:rsidRPr="00275290" w14:paraId="25802799" w14:textId="77777777" w:rsidTr="0013091F">
        <w:trPr>
          <w:trHeight w:val="300"/>
        </w:trPr>
        <w:tc>
          <w:tcPr>
            <w:tcW w:w="2396" w:type="dxa"/>
            <w:tcBorders>
              <w:top w:val="nil"/>
              <w:left w:val="nil"/>
              <w:bottom w:val="nil"/>
              <w:right w:val="nil"/>
            </w:tcBorders>
            <w:shd w:val="clear" w:color="auto" w:fill="auto"/>
            <w:noWrap/>
            <w:vAlign w:val="bottom"/>
            <w:hideMark/>
          </w:tcPr>
          <w:p w14:paraId="677BD44B" w14:textId="77777777" w:rsidR="009D4550" w:rsidRPr="00275290" w:rsidRDefault="009D4550" w:rsidP="009D4550">
            <w:pPr>
              <w:rPr>
                <w:rFonts w:cs="Arial"/>
                <w:color w:val="000000"/>
                <w:lang w:val="fr-FR" w:eastAsia="fr-FR"/>
              </w:rPr>
            </w:pPr>
          </w:p>
        </w:tc>
        <w:tc>
          <w:tcPr>
            <w:tcW w:w="1913" w:type="dxa"/>
            <w:tcBorders>
              <w:top w:val="nil"/>
              <w:left w:val="nil"/>
              <w:bottom w:val="nil"/>
              <w:right w:val="nil"/>
            </w:tcBorders>
            <w:shd w:val="clear" w:color="auto" w:fill="auto"/>
            <w:noWrap/>
            <w:vAlign w:val="bottom"/>
            <w:hideMark/>
          </w:tcPr>
          <w:p w14:paraId="148C1C83" w14:textId="77777777" w:rsidR="009D4550" w:rsidRPr="00275290" w:rsidRDefault="009D4550" w:rsidP="009D4550">
            <w:pPr>
              <w:rPr>
                <w:rFonts w:cs="Arial"/>
                <w:color w:val="000000"/>
                <w:lang w:val="fr-FR" w:eastAsia="fr-FR"/>
              </w:rPr>
            </w:pPr>
          </w:p>
        </w:tc>
        <w:tc>
          <w:tcPr>
            <w:tcW w:w="1701" w:type="dxa"/>
            <w:tcBorders>
              <w:top w:val="nil"/>
              <w:left w:val="nil"/>
              <w:bottom w:val="nil"/>
              <w:right w:val="nil"/>
            </w:tcBorders>
            <w:shd w:val="clear" w:color="auto" w:fill="auto"/>
            <w:noWrap/>
            <w:vAlign w:val="bottom"/>
            <w:hideMark/>
          </w:tcPr>
          <w:p w14:paraId="5E2E8A35" w14:textId="77777777" w:rsidR="009D4550" w:rsidRPr="00275290" w:rsidRDefault="009D4550" w:rsidP="009D4550">
            <w:pPr>
              <w:rPr>
                <w:rFonts w:cs="Arial"/>
                <w:color w:val="000000"/>
                <w:lang w:val="fr-FR" w:eastAsia="fr-FR"/>
              </w:rPr>
            </w:pPr>
          </w:p>
        </w:tc>
        <w:tc>
          <w:tcPr>
            <w:tcW w:w="1662" w:type="dxa"/>
            <w:tcBorders>
              <w:top w:val="nil"/>
              <w:left w:val="nil"/>
              <w:bottom w:val="nil"/>
              <w:right w:val="nil"/>
            </w:tcBorders>
            <w:shd w:val="clear" w:color="auto" w:fill="auto"/>
            <w:noWrap/>
            <w:vAlign w:val="bottom"/>
            <w:hideMark/>
          </w:tcPr>
          <w:p w14:paraId="3A78EB12" w14:textId="77777777" w:rsidR="009D4550" w:rsidRPr="00275290" w:rsidRDefault="009D4550" w:rsidP="009D4550">
            <w:pPr>
              <w:rPr>
                <w:rFonts w:cs="Arial"/>
                <w:color w:val="000000"/>
                <w:lang w:val="fr-FR" w:eastAsia="fr-FR"/>
              </w:rPr>
            </w:pPr>
          </w:p>
        </w:tc>
        <w:tc>
          <w:tcPr>
            <w:tcW w:w="1096" w:type="dxa"/>
            <w:tcBorders>
              <w:top w:val="nil"/>
              <w:left w:val="nil"/>
              <w:bottom w:val="nil"/>
              <w:right w:val="nil"/>
            </w:tcBorders>
            <w:shd w:val="clear" w:color="auto" w:fill="auto"/>
            <w:noWrap/>
            <w:vAlign w:val="bottom"/>
            <w:hideMark/>
          </w:tcPr>
          <w:p w14:paraId="4BDEE6E2" w14:textId="77777777" w:rsidR="009D4550" w:rsidRPr="00275290" w:rsidRDefault="009D4550" w:rsidP="009D4550">
            <w:pPr>
              <w:rPr>
                <w:rFonts w:cs="Arial"/>
                <w:color w:val="000000"/>
                <w:lang w:val="fr-FR" w:eastAsia="fr-FR"/>
              </w:rPr>
            </w:pPr>
          </w:p>
        </w:tc>
        <w:tc>
          <w:tcPr>
            <w:tcW w:w="1096" w:type="dxa"/>
            <w:tcBorders>
              <w:top w:val="nil"/>
              <w:left w:val="nil"/>
              <w:bottom w:val="nil"/>
              <w:right w:val="nil"/>
            </w:tcBorders>
            <w:shd w:val="clear" w:color="auto" w:fill="auto"/>
            <w:noWrap/>
            <w:vAlign w:val="bottom"/>
            <w:hideMark/>
          </w:tcPr>
          <w:p w14:paraId="414C41AB" w14:textId="77777777" w:rsidR="009D4550" w:rsidRPr="00275290" w:rsidRDefault="009D4550" w:rsidP="009D4550">
            <w:pPr>
              <w:rPr>
                <w:rFonts w:cs="Arial"/>
                <w:color w:val="000000"/>
                <w:lang w:val="fr-FR" w:eastAsia="fr-FR"/>
              </w:rPr>
            </w:pPr>
          </w:p>
        </w:tc>
      </w:tr>
      <w:tr w:rsidR="008D64AC" w:rsidRPr="00275290" w14:paraId="5B693859" w14:textId="77777777" w:rsidTr="0013091F">
        <w:trPr>
          <w:trHeight w:val="300"/>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BD054" w14:textId="77777777" w:rsidR="008D64AC" w:rsidRPr="00275290" w:rsidRDefault="008D64AC" w:rsidP="009D4550">
            <w:pPr>
              <w:rPr>
                <w:rFonts w:cs="Arial"/>
                <w:lang w:val="fr-FR" w:eastAsia="fr-FR"/>
              </w:rPr>
            </w:pPr>
            <w:r w:rsidRPr="00275290">
              <w:rPr>
                <w:rFonts w:cs="Arial"/>
                <w:lang w:val="fr-FR" w:eastAsia="fr-FR"/>
              </w:rPr>
              <w:t>AEL Lung</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68F405BF" w14:textId="6C9B02FD" w:rsidR="008D64AC" w:rsidRPr="00275290" w:rsidRDefault="008D64AC" w:rsidP="009D4550">
            <w:pPr>
              <w:rPr>
                <w:rFonts w:cs="Arial"/>
                <w:lang w:val="fr-FR" w:eastAsia="fr-FR"/>
              </w:rPr>
            </w:pPr>
            <w:r>
              <w:rPr>
                <w:rFonts w:cs="Calibri"/>
                <w:color w:val="000000"/>
              </w:rPr>
              <w:t>0.07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48D6B6B" w14:textId="11CE86D2" w:rsidR="008D64AC" w:rsidRPr="00275290" w:rsidRDefault="008D64AC" w:rsidP="009D4550">
            <w:pPr>
              <w:rPr>
                <w:rFonts w:cs="Arial"/>
                <w:lang w:val="fr-FR" w:eastAsia="fr-FR"/>
              </w:rPr>
            </w:pPr>
            <w:r>
              <w:rPr>
                <w:rFonts w:cs="Calibri"/>
                <w:color w:val="000000"/>
              </w:rPr>
              <w:t> </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705ECB73" w14:textId="3B16D0C6" w:rsidR="008D64AC" w:rsidRPr="00275290" w:rsidRDefault="008D64AC" w:rsidP="009D4550">
            <w:pPr>
              <w:rPr>
                <w:rFonts w:cs="Arial"/>
                <w:lang w:val="fr-FR" w:eastAsia="fr-FR"/>
              </w:rPr>
            </w:pPr>
            <w:r>
              <w:rPr>
                <w:rFonts w:cs="Calibri"/>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7FAFE40C" w14:textId="75541564" w:rsidR="008D64AC" w:rsidRPr="00275290" w:rsidRDefault="008D64AC" w:rsidP="009D4550">
            <w:pPr>
              <w:rPr>
                <w:rFonts w:cs="Arial"/>
                <w:lang w:val="fr-FR" w:eastAsia="fr-FR"/>
              </w:rPr>
            </w:pPr>
            <w:r>
              <w:rPr>
                <w:rFonts w:cs="Calibri"/>
                <w:color w:val="000000"/>
              </w:rPr>
              <w:t>0.2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9CCA882" w14:textId="77777777" w:rsidR="008D64AC" w:rsidRPr="00275290" w:rsidRDefault="008D64AC" w:rsidP="009D4550">
            <w:pPr>
              <w:rPr>
                <w:rFonts w:cs="Arial"/>
                <w:b/>
                <w:lang w:val="fr-FR" w:eastAsia="fr-FR"/>
              </w:rPr>
            </w:pPr>
          </w:p>
        </w:tc>
      </w:tr>
      <w:tr w:rsidR="009D4550" w:rsidRPr="00275290" w14:paraId="796CE9D8" w14:textId="77777777" w:rsidTr="0013091F">
        <w:trPr>
          <w:trHeight w:val="300"/>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3A637" w14:textId="77777777" w:rsidR="009D4550" w:rsidRPr="00275290" w:rsidRDefault="009D4550" w:rsidP="009D4550">
            <w:pPr>
              <w:rPr>
                <w:rFonts w:cs="Arial"/>
                <w:lang w:val="fr-FR" w:eastAsia="fr-FR"/>
              </w:rPr>
            </w:pPr>
            <w:r w:rsidRPr="00275290">
              <w:rPr>
                <w:rFonts w:cs="Arial"/>
                <w:lang w:val="fr-FR" w:eastAsia="fr-FR"/>
              </w:rPr>
              <w:t>%AEL</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14:paraId="172C7DCD" w14:textId="5EC2E8B2" w:rsidR="009D4550" w:rsidRPr="00275290" w:rsidRDefault="0013091F" w:rsidP="0013091F">
            <w:pPr>
              <w:rPr>
                <w:rFonts w:cs="Arial"/>
                <w:lang w:val="fr-FR" w:eastAsia="fr-FR"/>
              </w:rPr>
            </w:pPr>
            <w:r w:rsidRPr="00275290">
              <w:rPr>
                <w:rFonts w:cs="Arial"/>
                <w:lang w:val="fr-FR" w:eastAsia="fr-FR"/>
              </w:rPr>
              <w:t>2</w:t>
            </w:r>
            <w:r>
              <w:rPr>
                <w:rFonts w:cs="Arial"/>
                <w:lang w:val="fr-FR" w:eastAsia="fr-FR"/>
              </w:rPr>
              <w:t>0</w:t>
            </w:r>
            <w:r w:rsidR="009D4550" w:rsidRPr="00275290">
              <w:rPr>
                <w:rFonts w:cs="Arial"/>
                <w:lang w:val="fr-FR" w:eastAsia="fr-FR"/>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0E2D1A7" w14:textId="77777777" w:rsidR="009D4550" w:rsidRPr="00275290" w:rsidRDefault="009D4550" w:rsidP="009D4550">
            <w:pPr>
              <w:rPr>
                <w:rFonts w:cs="Arial"/>
                <w:lang w:val="fr-FR" w:eastAsia="fr-FR"/>
              </w:rPr>
            </w:pPr>
            <w:r w:rsidRPr="00275290">
              <w:rPr>
                <w:rFonts w:cs="Arial"/>
                <w:lang w:val="fr-FR" w:eastAsia="fr-FR"/>
              </w:rPr>
              <w:t> </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3891C5A4" w14:textId="77777777" w:rsidR="009D4550" w:rsidRPr="00275290" w:rsidRDefault="009D4550" w:rsidP="009D4550">
            <w:pPr>
              <w:rPr>
                <w:rFonts w:cs="Arial"/>
                <w:lang w:val="fr-FR" w:eastAsia="fr-FR"/>
              </w:rPr>
            </w:pPr>
            <w:r w:rsidRPr="00275290">
              <w:rPr>
                <w:rFonts w:cs="Arial"/>
                <w:lang w:val="fr-FR" w:eastAsia="fr-FR"/>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B57F37A" w14:textId="77777777" w:rsidR="009D4550" w:rsidRPr="00275290" w:rsidRDefault="009D4550" w:rsidP="009D4550">
            <w:pPr>
              <w:rPr>
                <w:rFonts w:cs="Arial"/>
                <w:lang w:val="fr-FR" w:eastAsia="fr-FR"/>
              </w:rPr>
            </w:pPr>
            <w:r w:rsidRPr="00275290">
              <w:rPr>
                <w:rFonts w:cs="Arial"/>
                <w:lang w:val="fr-FR" w:eastAsia="fr-FR"/>
              </w:rPr>
              <w:t>8%</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824736E" w14:textId="7665E31B" w:rsidR="009D4550" w:rsidRPr="00275290" w:rsidRDefault="009D4550" w:rsidP="0013091F">
            <w:pPr>
              <w:rPr>
                <w:rFonts w:cs="Arial"/>
                <w:b/>
                <w:lang w:val="fr-FR" w:eastAsia="fr-FR"/>
              </w:rPr>
            </w:pPr>
            <w:r w:rsidRPr="00275290">
              <w:rPr>
                <w:rFonts w:cs="Arial"/>
                <w:b/>
                <w:lang w:val="fr-FR" w:eastAsia="fr-FR"/>
              </w:rPr>
              <w:t>0.</w:t>
            </w:r>
            <w:r w:rsidR="0013091F">
              <w:rPr>
                <w:rFonts w:cs="Arial"/>
                <w:b/>
                <w:lang w:val="fr-FR" w:eastAsia="fr-FR"/>
              </w:rPr>
              <w:t>28</w:t>
            </w:r>
          </w:p>
        </w:tc>
      </w:tr>
    </w:tbl>
    <w:p w14:paraId="62540E16" w14:textId="77777777" w:rsidR="009D4550" w:rsidRPr="00275290" w:rsidRDefault="009D4550" w:rsidP="009D4550">
      <w:pPr>
        <w:pStyle w:val="BfRBBStandard"/>
        <w:rPr>
          <w:rFonts w:ascii="Verdana" w:eastAsia="Times New Roman" w:hAnsi="Verdana"/>
          <w:sz w:val="20"/>
          <w:szCs w:val="20"/>
          <w:lang w:val="en-GB" w:eastAsia="sv-SE"/>
        </w:rPr>
      </w:pPr>
    </w:p>
    <w:p w14:paraId="1F85ADF9" w14:textId="6878EEB5" w:rsidR="00A77B57" w:rsidRPr="00275290" w:rsidRDefault="009D4550" w:rsidP="00B82366">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HI is </w:t>
      </w:r>
      <w:r w:rsidR="008D64AC">
        <w:rPr>
          <w:rFonts w:ascii="Verdana" w:eastAsia="Times New Roman" w:hAnsi="Verdana"/>
          <w:sz w:val="20"/>
          <w:szCs w:val="20"/>
          <w:lang w:val="en-GB" w:eastAsia="sv-SE"/>
        </w:rPr>
        <w:t>inferior</w:t>
      </w:r>
      <w:r w:rsidRPr="00275290">
        <w:rPr>
          <w:rFonts w:ascii="Verdana" w:eastAsia="Times New Roman" w:hAnsi="Verdana"/>
          <w:sz w:val="20"/>
          <w:szCs w:val="20"/>
          <w:lang w:val="en-GB" w:eastAsia="sv-SE"/>
        </w:rPr>
        <w:t xml:space="preserve"> to 1 for </w:t>
      </w:r>
      <w:r w:rsidR="00B82366">
        <w:rPr>
          <w:rFonts w:ascii="Verdana" w:eastAsia="Times New Roman" w:hAnsi="Verdana"/>
          <w:sz w:val="20"/>
          <w:szCs w:val="20"/>
          <w:lang w:val="en-GB" w:eastAsia="sv-SE"/>
        </w:rPr>
        <w:t>all common organs</w:t>
      </w:r>
      <w:r w:rsidRPr="00275290">
        <w:rPr>
          <w:rFonts w:ascii="Verdana" w:eastAsia="Times New Roman" w:hAnsi="Verdana"/>
          <w:sz w:val="20"/>
          <w:szCs w:val="20"/>
          <w:lang w:val="en-GB" w:eastAsia="sv-SE"/>
        </w:rPr>
        <w:t xml:space="preserve">. The risk should be considered as acceptable. </w:t>
      </w:r>
    </w:p>
    <w:p w14:paraId="666FFF53"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  </w:t>
      </w:r>
    </w:p>
    <w:p w14:paraId="71A2F322" w14:textId="77777777" w:rsidR="009D4550" w:rsidRDefault="009D4550" w:rsidP="009D4550">
      <w:pPr>
        <w:pStyle w:val="BfRBBStandard"/>
        <w:rPr>
          <w:rFonts w:eastAsia="Times New Roman"/>
          <w:sz w:val="20"/>
          <w:szCs w:val="20"/>
          <w:lang w:val="en-GB" w:eastAsia="sv-SE"/>
        </w:rPr>
      </w:pPr>
    </w:p>
    <w:p w14:paraId="13565358" w14:textId="77777777" w:rsidR="009D4550" w:rsidRPr="00155E43" w:rsidRDefault="009D4550" w:rsidP="00155E43">
      <w:pPr>
        <w:pStyle w:val="Titre6"/>
      </w:pPr>
      <w:r w:rsidRPr="00155E43">
        <w:t>Non-professional users</w:t>
      </w:r>
    </w:p>
    <w:p w14:paraId="234DFD3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exposure values are compared to short term AEL of each active substance.</w:t>
      </w:r>
    </w:p>
    <w:p w14:paraId="01F6F87A"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107"/>
        <w:gridCol w:w="2076"/>
        <w:gridCol w:w="2088"/>
        <w:gridCol w:w="1652"/>
      </w:tblGrid>
      <w:tr w:rsidR="009D4550" w:rsidRPr="00275290" w14:paraId="4FA233F8" w14:textId="77777777" w:rsidTr="009D4550">
        <w:tc>
          <w:tcPr>
            <w:tcW w:w="1915" w:type="dxa"/>
            <w:shd w:val="clear" w:color="auto" w:fill="auto"/>
            <w:vAlign w:val="center"/>
          </w:tcPr>
          <w:p w14:paraId="7AA71238" w14:textId="77777777" w:rsidR="009D4550" w:rsidRPr="00275290" w:rsidRDefault="009D4550" w:rsidP="009D4550">
            <w:pPr>
              <w:rPr>
                <w:rFonts w:cs="Arial"/>
              </w:rPr>
            </w:pPr>
          </w:p>
        </w:tc>
        <w:tc>
          <w:tcPr>
            <w:tcW w:w="2127" w:type="dxa"/>
            <w:shd w:val="clear" w:color="auto" w:fill="auto"/>
            <w:vAlign w:val="center"/>
          </w:tcPr>
          <w:p w14:paraId="7672ED7F" w14:textId="77777777" w:rsidR="009D4550" w:rsidRPr="00275290" w:rsidRDefault="009D4550" w:rsidP="009D4550">
            <w:pPr>
              <w:rPr>
                <w:rFonts w:cs="Arial"/>
                <w:b/>
              </w:rPr>
            </w:pPr>
            <w:r w:rsidRPr="00275290">
              <w:rPr>
                <w:rFonts w:cs="Arial"/>
                <w:b/>
              </w:rPr>
              <w:t>Cyperméthrine</w:t>
            </w:r>
          </w:p>
        </w:tc>
        <w:tc>
          <w:tcPr>
            <w:tcW w:w="2105" w:type="dxa"/>
            <w:shd w:val="clear" w:color="auto" w:fill="auto"/>
            <w:vAlign w:val="center"/>
          </w:tcPr>
          <w:p w14:paraId="320E1B59" w14:textId="77777777" w:rsidR="009D4550" w:rsidRPr="00275290" w:rsidRDefault="009D4550" w:rsidP="009D4550">
            <w:pPr>
              <w:rPr>
                <w:rFonts w:cs="Arial"/>
                <w:b/>
              </w:rPr>
            </w:pPr>
            <w:r w:rsidRPr="00275290">
              <w:rPr>
                <w:rFonts w:cs="Arial"/>
                <w:b/>
              </w:rPr>
              <w:t>Tébuconazole</w:t>
            </w:r>
          </w:p>
        </w:tc>
        <w:tc>
          <w:tcPr>
            <w:tcW w:w="2115" w:type="dxa"/>
            <w:shd w:val="clear" w:color="auto" w:fill="auto"/>
            <w:vAlign w:val="center"/>
          </w:tcPr>
          <w:p w14:paraId="623BE2B2" w14:textId="77777777" w:rsidR="009D4550" w:rsidRPr="00275290" w:rsidRDefault="009D4550" w:rsidP="009D4550">
            <w:pPr>
              <w:rPr>
                <w:rFonts w:cs="Arial"/>
                <w:b/>
              </w:rPr>
            </w:pPr>
            <w:r w:rsidRPr="00275290">
              <w:rPr>
                <w:rFonts w:cs="Arial"/>
                <w:b/>
              </w:rPr>
              <w:t>Propiconazole</w:t>
            </w:r>
          </w:p>
        </w:tc>
        <w:tc>
          <w:tcPr>
            <w:tcW w:w="1733" w:type="dxa"/>
          </w:tcPr>
          <w:p w14:paraId="2E74BDCD" w14:textId="77777777" w:rsidR="009D4550" w:rsidRPr="00275290" w:rsidRDefault="009D4550" w:rsidP="009D4550">
            <w:pPr>
              <w:rPr>
                <w:rFonts w:cs="Arial"/>
                <w:b/>
              </w:rPr>
            </w:pPr>
            <w:r w:rsidRPr="00275290">
              <w:rPr>
                <w:rFonts w:cs="Arial"/>
                <w:b/>
              </w:rPr>
              <w:t>IPBC</w:t>
            </w:r>
          </w:p>
        </w:tc>
      </w:tr>
      <w:tr w:rsidR="009D4550" w:rsidRPr="00275290" w14:paraId="3201E0AC" w14:textId="77777777" w:rsidTr="009D4550">
        <w:tc>
          <w:tcPr>
            <w:tcW w:w="1915" w:type="dxa"/>
            <w:shd w:val="clear" w:color="auto" w:fill="auto"/>
            <w:vAlign w:val="center"/>
          </w:tcPr>
          <w:p w14:paraId="1CB08A69" w14:textId="77777777" w:rsidR="009D4550" w:rsidRPr="00275290" w:rsidRDefault="009D4550" w:rsidP="009D4550">
            <w:pPr>
              <w:rPr>
                <w:rFonts w:cs="Arial"/>
                <w:b/>
              </w:rPr>
            </w:pPr>
            <w:r w:rsidRPr="00275290">
              <w:rPr>
                <w:rFonts w:cs="Arial"/>
                <w:b/>
              </w:rPr>
              <w:t>Short term AEL</w:t>
            </w:r>
          </w:p>
          <w:p w14:paraId="3BBAA567" w14:textId="77777777" w:rsidR="009D4550" w:rsidRPr="00275290" w:rsidRDefault="009D4550" w:rsidP="009D4550">
            <w:pPr>
              <w:rPr>
                <w:rFonts w:cs="Arial"/>
              </w:rPr>
            </w:pPr>
            <w:r w:rsidRPr="00275290">
              <w:rPr>
                <w:rFonts w:cs="Arial"/>
                <w:b/>
              </w:rPr>
              <w:t>(mg/kg bw/d)</w:t>
            </w:r>
          </w:p>
        </w:tc>
        <w:tc>
          <w:tcPr>
            <w:tcW w:w="2127" w:type="dxa"/>
            <w:shd w:val="clear" w:color="auto" w:fill="auto"/>
            <w:vAlign w:val="center"/>
          </w:tcPr>
          <w:p w14:paraId="0268304C" w14:textId="77777777" w:rsidR="009D4550" w:rsidRPr="00275290" w:rsidRDefault="009D4550" w:rsidP="009D4550">
            <w:pPr>
              <w:rPr>
                <w:rFonts w:cs="Arial"/>
              </w:rPr>
            </w:pPr>
            <w:r w:rsidRPr="00275290">
              <w:rPr>
                <w:rFonts w:cs="Arial"/>
              </w:rPr>
              <w:t>0.088</w:t>
            </w:r>
          </w:p>
        </w:tc>
        <w:tc>
          <w:tcPr>
            <w:tcW w:w="2105" w:type="dxa"/>
            <w:shd w:val="clear" w:color="auto" w:fill="auto"/>
            <w:vAlign w:val="center"/>
          </w:tcPr>
          <w:p w14:paraId="721178D9" w14:textId="77777777" w:rsidR="009D4550" w:rsidRPr="00275290" w:rsidRDefault="009D4550" w:rsidP="009D4550">
            <w:pPr>
              <w:rPr>
                <w:rFonts w:cs="Arial"/>
              </w:rPr>
            </w:pPr>
            <w:r w:rsidRPr="00275290">
              <w:rPr>
                <w:rFonts w:cs="Arial"/>
              </w:rPr>
              <w:t>0.03</w:t>
            </w:r>
          </w:p>
        </w:tc>
        <w:tc>
          <w:tcPr>
            <w:tcW w:w="2115" w:type="dxa"/>
            <w:shd w:val="clear" w:color="auto" w:fill="auto"/>
            <w:vAlign w:val="center"/>
          </w:tcPr>
          <w:p w14:paraId="2356013E" w14:textId="77777777" w:rsidR="009D4550" w:rsidRPr="00275290" w:rsidRDefault="009D4550" w:rsidP="009D4550">
            <w:pPr>
              <w:rPr>
                <w:rFonts w:cs="Arial"/>
              </w:rPr>
            </w:pPr>
            <w:r w:rsidRPr="00275290">
              <w:rPr>
                <w:rFonts w:cs="Arial"/>
              </w:rPr>
              <w:t>0.3</w:t>
            </w:r>
          </w:p>
        </w:tc>
        <w:tc>
          <w:tcPr>
            <w:tcW w:w="1733" w:type="dxa"/>
            <w:vAlign w:val="center"/>
          </w:tcPr>
          <w:p w14:paraId="357A5B00" w14:textId="77777777" w:rsidR="009D4550" w:rsidRPr="00275290" w:rsidRDefault="009D4550" w:rsidP="009D4550">
            <w:pPr>
              <w:rPr>
                <w:rFonts w:cs="Arial"/>
              </w:rPr>
            </w:pPr>
            <w:r w:rsidRPr="00275290">
              <w:rPr>
                <w:rFonts w:cs="Arial"/>
              </w:rPr>
              <w:t>0.35</w:t>
            </w:r>
          </w:p>
        </w:tc>
      </w:tr>
    </w:tbl>
    <w:p w14:paraId="0D14FFE1" w14:textId="77777777" w:rsidR="009D4550" w:rsidRPr="00275290" w:rsidRDefault="009D4550" w:rsidP="009D4550">
      <w:pPr>
        <w:pStyle w:val="Standard-italics"/>
        <w:rPr>
          <w:rFonts w:cs="Arial"/>
          <w:lang w:eastAsia="sv-SE"/>
        </w:rPr>
      </w:pPr>
    </w:p>
    <w:p w14:paraId="79A90299" w14:textId="77777777" w:rsidR="009D4550" w:rsidRPr="00275290" w:rsidRDefault="009D4550" w:rsidP="009D4550">
      <w:pPr>
        <w:pStyle w:val="Standard-italics"/>
        <w:rPr>
          <w:rFonts w:cs="Arial"/>
          <w:i w:val="0"/>
          <w:lang w:eastAsia="sv-SE"/>
        </w:rPr>
      </w:pPr>
      <w:r w:rsidRPr="00275290">
        <w:rPr>
          <w:rFonts w:cs="Arial"/>
          <w:i w:val="0"/>
          <w:lang w:eastAsia="sv-SE"/>
        </w:rPr>
        <w:t>As for professional application, a risk for combined exposure to several substances is performed for non-professionals.</w:t>
      </w:r>
    </w:p>
    <w:p w14:paraId="63D599B2" w14:textId="77777777" w:rsidR="009D4550" w:rsidRPr="00275290" w:rsidRDefault="009D4550" w:rsidP="009D4550">
      <w:pPr>
        <w:pStyle w:val="Standard-italics"/>
        <w:rPr>
          <w:rFonts w:cs="Arial"/>
          <w:i w:val="0"/>
          <w:lang w:eastAsia="sv-SE"/>
        </w:rPr>
      </w:pPr>
    </w:p>
    <w:p w14:paraId="14763415"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Brush application</w:t>
      </w:r>
    </w:p>
    <w:p w14:paraId="15B8CB1F" w14:textId="77777777" w:rsidR="009D4550" w:rsidRPr="00275290" w:rsidRDefault="009D4550" w:rsidP="009D4550">
      <w:pPr>
        <w:pStyle w:val="BfRBBStandard"/>
        <w:rPr>
          <w:rFonts w:ascii="Verdana" w:eastAsia="Times New Roman" w:hAnsi="Verdana"/>
          <w:sz w:val="20"/>
          <w:szCs w:val="20"/>
          <w:lang w:val="en-GB" w:eastAsia="sv-SE"/>
        </w:rPr>
      </w:pPr>
    </w:p>
    <w:p w14:paraId="6D550E4B"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73124FA0" w14:textId="77777777" w:rsidR="009D4550" w:rsidRPr="00275290" w:rsidRDefault="009D4550" w:rsidP="009D4550">
      <w:pPr>
        <w:pStyle w:val="Standard-italics"/>
        <w:rPr>
          <w:rFonts w:cs="Arial"/>
          <w:i w:val="0"/>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984"/>
        <w:gridCol w:w="1984"/>
        <w:gridCol w:w="1984"/>
      </w:tblGrid>
      <w:tr w:rsidR="004938EA" w:rsidRPr="00275290" w14:paraId="53884036" w14:textId="77777777" w:rsidTr="004E7A98">
        <w:tc>
          <w:tcPr>
            <w:tcW w:w="1983" w:type="dxa"/>
          </w:tcPr>
          <w:p w14:paraId="20859B0C"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1984" w:type="dxa"/>
          </w:tcPr>
          <w:p w14:paraId="4099E0D1"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6A529A60"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7DF936A7"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5CB2A671"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984" w:type="dxa"/>
          </w:tcPr>
          <w:p w14:paraId="4CA82DF8"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7ECAB85B" w14:textId="77777777" w:rsidTr="00666966">
        <w:tc>
          <w:tcPr>
            <w:tcW w:w="7935" w:type="dxa"/>
            <w:gridSpan w:val="4"/>
            <w:shd w:val="clear" w:color="auto" w:fill="BFBFBF" w:themeFill="background1" w:themeFillShade="BF"/>
            <w:vAlign w:val="center"/>
          </w:tcPr>
          <w:p w14:paraId="7BBE0FE4" w14:textId="138BE7EF" w:rsidR="004938EA" w:rsidRPr="00275290" w:rsidRDefault="004938EA" w:rsidP="009D4550">
            <w:pPr>
              <w:rPr>
                <w:rFonts w:cs="Arial"/>
                <w:lang w:val="fr-FR"/>
              </w:rPr>
            </w:pPr>
            <w:r w:rsidRPr="00275290">
              <w:rPr>
                <w:rFonts w:cs="Arial"/>
                <w:lang w:val="fr-FR"/>
              </w:rPr>
              <w:t>Brushing 300g/m</w:t>
            </w:r>
            <w:r w:rsidRPr="00275290">
              <w:rPr>
                <w:rFonts w:cs="Arial"/>
                <w:vertAlign w:val="superscript"/>
                <w:lang w:val="fr-FR"/>
              </w:rPr>
              <w:t>2</w:t>
            </w:r>
          </w:p>
        </w:tc>
      </w:tr>
      <w:tr w:rsidR="00DB2E51" w:rsidRPr="00275290" w14:paraId="3818357F" w14:textId="77777777" w:rsidTr="004E7A98">
        <w:tc>
          <w:tcPr>
            <w:tcW w:w="1983" w:type="dxa"/>
            <w:vMerge w:val="restart"/>
            <w:vAlign w:val="center"/>
          </w:tcPr>
          <w:p w14:paraId="70298A06" w14:textId="11715644" w:rsidR="00DB2E51" w:rsidRPr="00275290" w:rsidRDefault="00DB2E51" w:rsidP="00DB2E51">
            <w:pPr>
              <w:rPr>
                <w:rFonts w:cs="Arial"/>
                <w:lang w:val="fr-FR"/>
              </w:rPr>
            </w:pPr>
            <w:r w:rsidRPr="00275290">
              <w:rPr>
                <w:rFonts w:cs="Arial"/>
                <w:lang w:val="fr-FR"/>
              </w:rPr>
              <w:t>M&amp;L</w:t>
            </w:r>
          </w:p>
        </w:tc>
        <w:tc>
          <w:tcPr>
            <w:tcW w:w="1984" w:type="dxa"/>
            <w:vAlign w:val="center"/>
          </w:tcPr>
          <w:p w14:paraId="7B1A34ED" w14:textId="77777777" w:rsidR="00DB2E51" w:rsidRPr="00275290" w:rsidRDefault="00DB2E51" w:rsidP="00DB2E51">
            <w:pPr>
              <w:rPr>
                <w:rFonts w:cs="Arial"/>
                <w:lang w:val="fr-FR"/>
              </w:rPr>
            </w:pPr>
            <w:r w:rsidRPr="00275290">
              <w:rPr>
                <w:rFonts w:cs="Arial"/>
                <w:lang w:val="fr-FR"/>
              </w:rPr>
              <w:t>Cyperméthrine</w:t>
            </w:r>
          </w:p>
          <w:p w14:paraId="04A10277" w14:textId="376D54D2" w:rsidR="00DB2E51" w:rsidRPr="00275290" w:rsidRDefault="00DB2E51" w:rsidP="00DB2E51">
            <w:pPr>
              <w:rPr>
                <w:rFonts w:cs="Arial"/>
                <w:lang w:val="fr-FR"/>
              </w:rPr>
            </w:pPr>
            <w:r w:rsidRPr="00275290">
              <w:rPr>
                <w:rFonts w:cs="Arial"/>
                <w:lang w:val="fr-FR"/>
              </w:rPr>
              <w:t>0.088</w:t>
            </w:r>
          </w:p>
        </w:tc>
        <w:tc>
          <w:tcPr>
            <w:tcW w:w="1984" w:type="dxa"/>
            <w:vAlign w:val="center"/>
          </w:tcPr>
          <w:p w14:paraId="2FE8537E" w14:textId="4781A429" w:rsidR="00DB2E51" w:rsidRPr="00275290" w:rsidRDefault="00DB2E51" w:rsidP="00DB2E51">
            <w:pPr>
              <w:rPr>
                <w:rFonts w:cs="Arial"/>
                <w:color w:val="000000"/>
              </w:rPr>
            </w:pPr>
            <w:r>
              <w:rPr>
                <w:rFonts w:ascii="Calibri" w:hAnsi="Calibri" w:cs="Calibri"/>
                <w:color w:val="000000"/>
                <w:sz w:val="22"/>
                <w:szCs w:val="22"/>
              </w:rPr>
              <w:t>1,93E-03</w:t>
            </w:r>
          </w:p>
        </w:tc>
        <w:tc>
          <w:tcPr>
            <w:tcW w:w="1984" w:type="dxa"/>
            <w:vAlign w:val="center"/>
          </w:tcPr>
          <w:p w14:paraId="7ED7CE74" w14:textId="14DFD3C4" w:rsidR="00DB2E51" w:rsidRPr="00275290" w:rsidRDefault="00DB2E51" w:rsidP="00DB2E51">
            <w:pPr>
              <w:rPr>
                <w:rFonts w:cs="Arial"/>
                <w:lang w:val="fr-FR"/>
              </w:rPr>
            </w:pPr>
            <w:r>
              <w:rPr>
                <w:rFonts w:cs="Arial"/>
                <w:lang w:val="fr-FR"/>
              </w:rPr>
              <w:t>2</w:t>
            </w:r>
          </w:p>
        </w:tc>
      </w:tr>
      <w:tr w:rsidR="00DB2E51" w:rsidRPr="00275290" w14:paraId="006BA767" w14:textId="77777777" w:rsidTr="004E7A98">
        <w:tc>
          <w:tcPr>
            <w:tcW w:w="1983" w:type="dxa"/>
            <w:vMerge/>
            <w:vAlign w:val="center"/>
          </w:tcPr>
          <w:p w14:paraId="13C91EA2" w14:textId="77777777" w:rsidR="00DB2E51" w:rsidRPr="00275290" w:rsidRDefault="00DB2E51" w:rsidP="00DB2E51">
            <w:pPr>
              <w:rPr>
                <w:rFonts w:cs="Arial"/>
                <w:lang w:val="fr-FR"/>
              </w:rPr>
            </w:pPr>
          </w:p>
        </w:tc>
        <w:tc>
          <w:tcPr>
            <w:tcW w:w="1984" w:type="dxa"/>
            <w:vAlign w:val="center"/>
          </w:tcPr>
          <w:p w14:paraId="25A8E9FF" w14:textId="785BC557" w:rsidR="00DB2E51" w:rsidRPr="00275290" w:rsidRDefault="00DB2E51" w:rsidP="00DB2E51">
            <w:pPr>
              <w:rPr>
                <w:rFonts w:cs="Arial"/>
                <w:lang w:val="fr-FR"/>
              </w:rPr>
            </w:pPr>
            <w:r w:rsidRPr="00275290">
              <w:rPr>
                <w:rFonts w:cs="Arial"/>
                <w:lang w:val="fr-FR"/>
              </w:rPr>
              <w:t>Propiconazole : 0.3</w:t>
            </w:r>
          </w:p>
        </w:tc>
        <w:tc>
          <w:tcPr>
            <w:tcW w:w="1984" w:type="dxa"/>
            <w:vAlign w:val="center"/>
          </w:tcPr>
          <w:p w14:paraId="5C259781" w14:textId="5383A71D" w:rsidR="00DB2E51" w:rsidRPr="00275290" w:rsidRDefault="00DB2E51" w:rsidP="00DB2E51">
            <w:pPr>
              <w:rPr>
                <w:rFonts w:cs="Arial"/>
                <w:color w:val="000000"/>
              </w:rPr>
            </w:pPr>
            <w:r>
              <w:rPr>
                <w:rFonts w:ascii="Calibri" w:hAnsi="Calibri" w:cs="Calibri"/>
                <w:color w:val="000000"/>
                <w:sz w:val="22"/>
                <w:szCs w:val="22"/>
              </w:rPr>
              <w:t>2,78E-03</w:t>
            </w:r>
          </w:p>
        </w:tc>
        <w:tc>
          <w:tcPr>
            <w:tcW w:w="1984" w:type="dxa"/>
            <w:vAlign w:val="center"/>
          </w:tcPr>
          <w:p w14:paraId="29320EB9" w14:textId="021B386A" w:rsidR="00DB2E51" w:rsidRPr="00275290" w:rsidRDefault="00DB2E51" w:rsidP="00DB2E51">
            <w:pPr>
              <w:rPr>
                <w:rFonts w:cs="Arial"/>
                <w:lang w:val="fr-FR"/>
              </w:rPr>
            </w:pPr>
            <w:r>
              <w:rPr>
                <w:rFonts w:cs="Arial"/>
                <w:lang w:val="fr-FR"/>
              </w:rPr>
              <w:t>1</w:t>
            </w:r>
          </w:p>
        </w:tc>
      </w:tr>
      <w:tr w:rsidR="00DB2E51" w:rsidRPr="00275290" w14:paraId="729FCE71" w14:textId="77777777" w:rsidTr="004E7A98">
        <w:tc>
          <w:tcPr>
            <w:tcW w:w="1983" w:type="dxa"/>
            <w:vMerge/>
            <w:vAlign w:val="center"/>
          </w:tcPr>
          <w:p w14:paraId="3D01C5E0" w14:textId="77777777" w:rsidR="00DB2E51" w:rsidRPr="00275290" w:rsidRDefault="00DB2E51" w:rsidP="00DB2E51">
            <w:pPr>
              <w:rPr>
                <w:rFonts w:cs="Arial"/>
                <w:lang w:val="fr-FR"/>
              </w:rPr>
            </w:pPr>
          </w:p>
        </w:tc>
        <w:tc>
          <w:tcPr>
            <w:tcW w:w="1984" w:type="dxa"/>
            <w:vAlign w:val="center"/>
          </w:tcPr>
          <w:p w14:paraId="081109B5" w14:textId="73AE9EA0" w:rsidR="00DB2E51" w:rsidRPr="00275290" w:rsidRDefault="00DB2E51" w:rsidP="00DB2E51">
            <w:pPr>
              <w:rPr>
                <w:rFonts w:cs="Arial"/>
                <w:lang w:val="fr-FR"/>
              </w:rPr>
            </w:pPr>
            <w:r w:rsidRPr="00275290">
              <w:rPr>
                <w:rFonts w:cs="Arial"/>
                <w:lang w:val="fr-FR"/>
              </w:rPr>
              <w:t>Tébuconazole : 0.03</w:t>
            </w:r>
          </w:p>
        </w:tc>
        <w:tc>
          <w:tcPr>
            <w:tcW w:w="1984" w:type="dxa"/>
            <w:vAlign w:val="center"/>
          </w:tcPr>
          <w:p w14:paraId="10AE0FD7" w14:textId="7CAEE4CA" w:rsidR="00DB2E51" w:rsidRPr="00275290" w:rsidRDefault="00DB2E51" w:rsidP="00DB2E51">
            <w:pPr>
              <w:rPr>
                <w:rFonts w:cs="Arial"/>
                <w:color w:val="000000"/>
              </w:rPr>
            </w:pPr>
            <w:r>
              <w:rPr>
                <w:rFonts w:ascii="Calibri" w:hAnsi="Calibri" w:cs="Calibri"/>
                <w:color w:val="000000"/>
                <w:sz w:val="22"/>
                <w:szCs w:val="22"/>
              </w:rPr>
              <w:t>1,04E-03</w:t>
            </w:r>
          </w:p>
        </w:tc>
        <w:tc>
          <w:tcPr>
            <w:tcW w:w="1984" w:type="dxa"/>
            <w:vAlign w:val="center"/>
          </w:tcPr>
          <w:p w14:paraId="00A26F98" w14:textId="41B2EF5B" w:rsidR="00DB2E51" w:rsidRPr="00275290" w:rsidRDefault="00DB2E51" w:rsidP="00DB2E51">
            <w:pPr>
              <w:rPr>
                <w:rFonts w:cs="Arial"/>
                <w:lang w:val="fr-FR"/>
              </w:rPr>
            </w:pPr>
            <w:r>
              <w:rPr>
                <w:rFonts w:cs="Arial"/>
                <w:lang w:val="fr-FR"/>
              </w:rPr>
              <w:t>3</w:t>
            </w:r>
          </w:p>
        </w:tc>
      </w:tr>
      <w:tr w:rsidR="00DB2E51" w:rsidRPr="00275290" w14:paraId="158560FA" w14:textId="77777777" w:rsidTr="004E7A98">
        <w:tc>
          <w:tcPr>
            <w:tcW w:w="1983" w:type="dxa"/>
            <w:vMerge/>
            <w:vAlign w:val="center"/>
          </w:tcPr>
          <w:p w14:paraId="77BFB60A" w14:textId="77777777" w:rsidR="00DB2E51" w:rsidRPr="00275290" w:rsidRDefault="00DB2E51" w:rsidP="00DB2E51">
            <w:pPr>
              <w:rPr>
                <w:rFonts w:cs="Arial"/>
                <w:lang w:val="fr-FR"/>
              </w:rPr>
            </w:pPr>
          </w:p>
        </w:tc>
        <w:tc>
          <w:tcPr>
            <w:tcW w:w="1984" w:type="dxa"/>
            <w:vAlign w:val="center"/>
          </w:tcPr>
          <w:p w14:paraId="0D08626E" w14:textId="77777777" w:rsidR="00DB2E51" w:rsidRPr="00275290" w:rsidRDefault="00DB2E51" w:rsidP="00DB2E51">
            <w:pPr>
              <w:rPr>
                <w:rFonts w:cs="Arial"/>
                <w:lang w:val="fr-FR"/>
              </w:rPr>
            </w:pPr>
            <w:r w:rsidRPr="00275290">
              <w:rPr>
                <w:rFonts w:cs="Arial"/>
                <w:lang w:val="fr-FR"/>
              </w:rPr>
              <w:t>IPBC</w:t>
            </w:r>
          </w:p>
          <w:p w14:paraId="10B7A615" w14:textId="15B4C4A5" w:rsidR="00DB2E51" w:rsidRPr="00275290" w:rsidRDefault="00DB2E51" w:rsidP="00DB2E51">
            <w:pPr>
              <w:rPr>
                <w:rFonts w:cs="Arial"/>
                <w:lang w:val="fr-FR"/>
              </w:rPr>
            </w:pPr>
            <w:r w:rsidRPr="00275290">
              <w:rPr>
                <w:rFonts w:cs="Arial"/>
                <w:lang w:val="fr-FR"/>
              </w:rPr>
              <w:t>0.35</w:t>
            </w:r>
          </w:p>
        </w:tc>
        <w:tc>
          <w:tcPr>
            <w:tcW w:w="1984" w:type="dxa"/>
            <w:vAlign w:val="center"/>
          </w:tcPr>
          <w:p w14:paraId="706B1E43" w14:textId="5C8C10BE" w:rsidR="00DB2E51" w:rsidRPr="00275290" w:rsidRDefault="00DB2E51" w:rsidP="00DB2E51">
            <w:pPr>
              <w:rPr>
                <w:rFonts w:cs="Arial"/>
                <w:color w:val="000000"/>
              </w:rPr>
            </w:pPr>
            <w:r>
              <w:rPr>
                <w:rFonts w:ascii="Calibri" w:hAnsi="Calibri" w:cs="Calibri"/>
                <w:color w:val="000000"/>
                <w:sz w:val="22"/>
                <w:szCs w:val="22"/>
              </w:rPr>
              <w:t>2,51E-03</w:t>
            </w:r>
          </w:p>
        </w:tc>
        <w:tc>
          <w:tcPr>
            <w:tcW w:w="1984" w:type="dxa"/>
            <w:vAlign w:val="center"/>
          </w:tcPr>
          <w:p w14:paraId="5874D7BD" w14:textId="4E5B237C" w:rsidR="00DB2E51" w:rsidRPr="00275290" w:rsidRDefault="00DB2E51" w:rsidP="00DB2E51">
            <w:pPr>
              <w:rPr>
                <w:rFonts w:cs="Arial"/>
                <w:lang w:val="fr-FR"/>
              </w:rPr>
            </w:pPr>
            <w:r>
              <w:rPr>
                <w:rFonts w:cs="Arial"/>
                <w:lang w:val="fr-FR"/>
              </w:rPr>
              <w:t>1</w:t>
            </w:r>
          </w:p>
        </w:tc>
      </w:tr>
      <w:tr w:rsidR="00DB2E51" w:rsidRPr="00275290" w14:paraId="5CB02A7B" w14:textId="77777777" w:rsidTr="004E7A98">
        <w:tc>
          <w:tcPr>
            <w:tcW w:w="1983" w:type="dxa"/>
            <w:vMerge w:val="restart"/>
            <w:vAlign w:val="center"/>
          </w:tcPr>
          <w:p w14:paraId="0EC6B059" w14:textId="77777777" w:rsidR="00DB2E51" w:rsidRPr="00275290" w:rsidRDefault="00DB2E51" w:rsidP="00DB2E51">
            <w:pPr>
              <w:rPr>
                <w:rFonts w:cs="Arial"/>
                <w:lang w:val="fr-FR"/>
              </w:rPr>
            </w:pPr>
            <w:r w:rsidRPr="00275290">
              <w:rPr>
                <w:rFonts w:cs="Arial"/>
                <w:lang w:val="fr-FR"/>
              </w:rPr>
              <w:t>Application phase</w:t>
            </w:r>
          </w:p>
          <w:p w14:paraId="7767F4C9" w14:textId="77777777" w:rsidR="00DB2E51" w:rsidRPr="00275290" w:rsidRDefault="00DB2E51" w:rsidP="00DB2E51">
            <w:pPr>
              <w:rPr>
                <w:rFonts w:cs="Arial"/>
                <w:lang w:val="fr-FR"/>
              </w:rPr>
            </w:pPr>
          </w:p>
        </w:tc>
        <w:tc>
          <w:tcPr>
            <w:tcW w:w="1984" w:type="dxa"/>
            <w:vAlign w:val="center"/>
          </w:tcPr>
          <w:p w14:paraId="6A26B489" w14:textId="77777777" w:rsidR="00DB2E51" w:rsidRPr="00275290" w:rsidRDefault="00DB2E51" w:rsidP="00DB2E51">
            <w:pPr>
              <w:rPr>
                <w:rFonts w:cs="Arial"/>
                <w:lang w:val="fr-FR"/>
              </w:rPr>
            </w:pPr>
            <w:r w:rsidRPr="00275290">
              <w:rPr>
                <w:rFonts w:cs="Arial"/>
                <w:lang w:val="fr-FR"/>
              </w:rPr>
              <w:t>Cyperméthrine</w:t>
            </w:r>
          </w:p>
          <w:p w14:paraId="69E8CCCD" w14:textId="77777777" w:rsidR="00DB2E51" w:rsidRPr="00275290" w:rsidRDefault="00DB2E51" w:rsidP="00DB2E51">
            <w:pPr>
              <w:rPr>
                <w:rFonts w:cs="Arial"/>
                <w:lang w:val="fr-FR"/>
              </w:rPr>
            </w:pPr>
            <w:r w:rsidRPr="00275290">
              <w:rPr>
                <w:rFonts w:cs="Arial"/>
                <w:lang w:val="fr-FR"/>
              </w:rPr>
              <w:t>0.088</w:t>
            </w:r>
          </w:p>
        </w:tc>
        <w:tc>
          <w:tcPr>
            <w:tcW w:w="1984" w:type="dxa"/>
            <w:vAlign w:val="center"/>
          </w:tcPr>
          <w:p w14:paraId="2305B6EE" w14:textId="77777777" w:rsidR="00DB2E51" w:rsidRPr="00275290" w:rsidRDefault="00DB2E51" w:rsidP="00DB2E51">
            <w:pPr>
              <w:rPr>
                <w:rFonts w:cs="Arial"/>
                <w:color w:val="000000"/>
              </w:rPr>
            </w:pPr>
            <w:r w:rsidRPr="00275290">
              <w:rPr>
                <w:rFonts w:cs="Arial"/>
                <w:color w:val="000000"/>
              </w:rPr>
              <w:t>9,60E-03</w:t>
            </w:r>
          </w:p>
        </w:tc>
        <w:tc>
          <w:tcPr>
            <w:tcW w:w="1984" w:type="dxa"/>
            <w:vAlign w:val="center"/>
          </w:tcPr>
          <w:p w14:paraId="2D4795DD" w14:textId="77777777" w:rsidR="00DB2E51" w:rsidRPr="00275290" w:rsidRDefault="00DB2E51" w:rsidP="00DB2E51">
            <w:pPr>
              <w:rPr>
                <w:rFonts w:cs="Arial"/>
                <w:lang w:val="fr-FR"/>
              </w:rPr>
            </w:pPr>
            <w:r w:rsidRPr="00275290">
              <w:rPr>
                <w:rFonts w:cs="Arial"/>
                <w:lang w:val="fr-FR"/>
              </w:rPr>
              <w:t>10.9</w:t>
            </w:r>
          </w:p>
        </w:tc>
      </w:tr>
      <w:tr w:rsidR="00DB2E51" w:rsidRPr="00275290" w14:paraId="4FDD1C9D" w14:textId="77777777" w:rsidTr="004E7A98">
        <w:tc>
          <w:tcPr>
            <w:tcW w:w="1983" w:type="dxa"/>
            <w:vMerge/>
            <w:vAlign w:val="center"/>
          </w:tcPr>
          <w:p w14:paraId="6D5A8D71" w14:textId="77777777" w:rsidR="00DB2E51" w:rsidRPr="00275290" w:rsidRDefault="00DB2E51" w:rsidP="00DB2E51">
            <w:pPr>
              <w:rPr>
                <w:rFonts w:cs="Arial"/>
                <w:lang w:val="fr-FR"/>
              </w:rPr>
            </w:pPr>
          </w:p>
        </w:tc>
        <w:tc>
          <w:tcPr>
            <w:tcW w:w="1984" w:type="dxa"/>
            <w:vAlign w:val="center"/>
          </w:tcPr>
          <w:p w14:paraId="45F1234F" w14:textId="77777777" w:rsidR="00DB2E51" w:rsidRPr="00275290" w:rsidRDefault="00DB2E51" w:rsidP="00DB2E51">
            <w:pPr>
              <w:rPr>
                <w:rFonts w:cs="Arial"/>
                <w:lang w:val="fr-FR"/>
              </w:rPr>
            </w:pPr>
            <w:r w:rsidRPr="00275290">
              <w:rPr>
                <w:rFonts w:cs="Arial"/>
                <w:lang w:val="fr-FR"/>
              </w:rPr>
              <w:t>Propiconazole : 0.3</w:t>
            </w:r>
          </w:p>
        </w:tc>
        <w:tc>
          <w:tcPr>
            <w:tcW w:w="1984" w:type="dxa"/>
            <w:vAlign w:val="center"/>
          </w:tcPr>
          <w:p w14:paraId="4EE45FE5" w14:textId="77777777" w:rsidR="00DB2E51" w:rsidRPr="00275290" w:rsidRDefault="00DB2E51" w:rsidP="00DB2E51">
            <w:pPr>
              <w:rPr>
                <w:rFonts w:cs="Arial"/>
                <w:color w:val="000000"/>
              </w:rPr>
            </w:pPr>
            <w:r w:rsidRPr="00275290">
              <w:rPr>
                <w:rFonts w:cs="Arial"/>
                <w:color w:val="000000"/>
              </w:rPr>
              <w:t>1,39E-02</w:t>
            </w:r>
          </w:p>
        </w:tc>
        <w:tc>
          <w:tcPr>
            <w:tcW w:w="1984" w:type="dxa"/>
            <w:vAlign w:val="center"/>
          </w:tcPr>
          <w:p w14:paraId="2A3FB7FF" w14:textId="77777777" w:rsidR="00DB2E51" w:rsidRPr="00275290" w:rsidRDefault="00DB2E51" w:rsidP="00DB2E51">
            <w:pPr>
              <w:rPr>
                <w:rFonts w:cs="Arial"/>
                <w:lang w:val="fr-FR"/>
              </w:rPr>
            </w:pPr>
            <w:r w:rsidRPr="00275290">
              <w:rPr>
                <w:rFonts w:cs="Arial"/>
                <w:lang w:val="fr-FR"/>
              </w:rPr>
              <w:t>4.6</w:t>
            </w:r>
          </w:p>
        </w:tc>
      </w:tr>
      <w:tr w:rsidR="00DB2E51" w:rsidRPr="00275290" w14:paraId="5BF95A91" w14:textId="77777777" w:rsidTr="004E7A98">
        <w:tc>
          <w:tcPr>
            <w:tcW w:w="1983" w:type="dxa"/>
            <w:vMerge/>
            <w:vAlign w:val="center"/>
          </w:tcPr>
          <w:p w14:paraId="709F8CB9" w14:textId="77777777" w:rsidR="00DB2E51" w:rsidRPr="00275290" w:rsidRDefault="00DB2E51" w:rsidP="00DB2E51">
            <w:pPr>
              <w:rPr>
                <w:rFonts w:cs="Arial"/>
                <w:lang w:val="fr-FR"/>
              </w:rPr>
            </w:pPr>
          </w:p>
        </w:tc>
        <w:tc>
          <w:tcPr>
            <w:tcW w:w="1984" w:type="dxa"/>
            <w:vAlign w:val="center"/>
          </w:tcPr>
          <w:p w14:paraId="33E67F4E" w14:textId="77777777" w:rsidR="00DB2E51" w:rsidRPr="00275290" w:rsidRDefault="00DB2E51" w:rsidP="00DB2E51">
            <w:pPr>
              <w:rPr>
                <w:rFonts w:cs="Arial"/>
                <w:lang w:val="fr-FR"/>
              </w:rPr>
            </w:pPr>
            <w:r w:rsidRPr="00275290">
              <w:rPr>
                <w:rFonts w:cs="Arial"/>
                <w:lang w:val="fr-FR"/>
              </w:rPr>
              <w:t>Tébuconazole : 0.03</w:t>
            </w:r>
          </w:p>
        </w:tc>
        <w:tc>
          <w:tcPr>
            <w:tcW w:w="1984" w:type="dxa"/>
            <w:vAlign w:val="center"/>
          </w:tcPr>
          <w:p w14:paraId="2CAEB4F8" w14:textId="77777777" w:rsidR="00DB2E51" w:rsidRPr="00275290" w:rsidRDefault="00DB2E51" w:rsidP="00DB2E51">
            <w:pPr>
              <w:rPr>
                <w:rFonts w:cs="Arial"/>
                <w:color w:val="000000"/>
              </w:rPr>
            </w:pPr>
            <w:r w:rsidRPr="00275290">
              <w:rPr>
                <w:rFonts w:cs="Arial"/>
                <w:color w:val="000000"/>
              </w:rPr>
              <w:t>5,18E-03</w:t>
            </w:r>
          </w:p>
        </w:tc>
        <w:tc>
          <w:tcPr>
            <w:tcW w:w="1984" w:type="dxa"/>
            <w:vAlign w:val="center"/>
          </w:tcPr>
          <w:p w14:paraId="45615B92" w14:textId="77777777" w:rsidR="00DB2E51" w:rsidRPr="00275290" w:rsidRDefault="00DB2E51" w:rsidP="00DB2E51">
            <w:pPr>
              <w:rPr>
                <w:rFonts w:cs="Arial"/>
                <w:lang w:val="fr-FR"/>
              </w:rPr>
            </w:pPr>
            <w:r w:rsidRPr="00275290">
              <w:rPr>
                <w:rFonts w:cs="Arial"/>
                <w:lang w:val="fr-FR"/>
              </w:rPr>
              <w:t>17.3</w:t>
            </w:r>
          </w:p>
        </w:tc>
      </w:tr>
      <w:tr w:rsidR="00DB2E51" w:rsidRPr="00275290" w14:paraId="693E3214" w14:textId="77777777" w:rsidTr="004E7A98">
        <w:tc>
          <w:tcPr>
            <w:tcW w:w="1983" w:type="dxa"/>
            <w:vMerge/>
            <w:vAlign w:val="center"/>
          </w:tcPr>
          <w:p w14:paraId="081449D1" w14:textId="77777777" w:rsidR="00DB2E51" w:rsidRPr="00275290" w:rsidRDefault="00DB2E51" w:rsidP="00DB2E51">
            <w:pPr>
              <w:rPr>
                <w:rFonts w:cs="Arial"/>
                <w:lang w:val="fr-FR"/>
              </w:rPr>
            </w:pPr>
          </w:p>
        </w:tc>
        <w:tc>
          <w:tcPr>
            <w:tcW w:w="1984" w:type="dxa"/>
            <w:vAlign w:val="center"/>
          </w:tcPr>
          <w:p w14:paraId="0D6081F0" w14:textId="77777777" w:rsidR="00DB2E51" w:rsidRPr="00275290" w:rsidRDefault="00DB2E51" w:rsidP="00DB2E51">
            <w:pPr>
              <w:rPr>
                <w:rFonts w:cs="Arial"/>
                <w:lang w:val="fr-FR"/>
              </w:rPr>
            </w:pPr>
            <w:r w:rsidRPr="00275290">
              <w:rPr>
                <w:rFonts w:cs="Arial"/>
                <w:lang w:val="fr-FR"/>
              </w:rPr>
              <w:t>IPBC</w:t>
            </w:r>
          </w:p>
          <w:p w14:paraId="4A6591B4" w14:textId="77777777" w:rsidR="00DB2E51" w:rsidRPr="00275290" w:rsidRDefault="00DB2E51" w:rsidP="00DB2E51">
            <w:pPr>
              <w:rPr>
                <w:rFonts w:cs="Arial"/>
                <w:lang w:val="fr-FR"/>
              </w:rPr>
            </w:pPr>
            <w:r w:rsidRPr="00275290">
              <w:rPr>
                <w:rFonts w:cs="Arial"/>
                <w:lang w:val="fr-FR"/>
              </w:rPr>
              <w:t>0.35</w:t>
            </w:r>
          </w:p>
        </w:tc>
        <w:tc>
          <w:tcPr>
            <w:tcW w:w="1984" w:type="dxa"/>
            <w:vAlign w:val="center"/>
          </w:tcPr>
          <w:p w14:paraId="3593851A" w14:textId="77777777" w:rsidR="00DB2E51" w:rsidRPr="00275290" w:rsidRDefault="00DB2E51" w:rsidP="00DB2E51">
            <w:pPr>
              <w:rPr>
                <w:rFonts w:cs="Arial"/>
                <w:color w:val="000000"/>
              </w:rPr>
            </w:pPr>
            <w:r w:rsidRPr="00275290">
              <w:rPr>
                <w:rFonts w:cs="Arial"/>
                <w:color w:val="000000"/>
              </w:rPr>
              <w:t>1,24E-02</w:t>
            </w:r>
          </w:p>
        </w:tc>
        <w:tc>
          <w:tcPr>
            <w:tcW w:w="1984" w:type="dxa"/>
            <w:vAlign w:val="center"/>
          </w:tcPr>
          <w:p w14:paraId="776600B2" w14:textId="77777777" w:rsidR="00DB2E51" w:rsidRPr="00275290" w:rsidRDefault="00DB2E51" w:rsidP="00DB2E51">
            <w:pPr>
              <w:rPr>
                <w:rFonts w:cs="Arial"/>
                <w:lang w:val="fr-FR"/>
              </w:rPr>
            </w:pPr>
            <w:r w:rsidRPr="00275290">
              <w:rPr>
                <w:rFonts w:cs="Arial"/>
                <w:lang w:val="fr-FR"/>
              </w:rPr>
              <w:t>3.6</w:t>
            </w:r>
          </w:p>
        </w:tc>
      </w:tr>
      <w:tr w:rsidR="00DB2E51" w:rsidRPr="00275290" w14:paraId="33119706" w14:textId="77777777" w:rsidTr="004E7A98">
        <w:tc>
          <w:tcPr>
            <w:tcW w:w="1983" w:type="dxa"/>
            <w:vMerge w:val="restart"/>
            <w:vAlign w:val="center"/>
          </w:tcPr>
          <w:p w14:paraId="12142A98" w14:textId="77777777" w:rsidR="00DB2E51" w:rsidRPr="00275290" w:rsidRDefault="00DB2E51" w:rsidP="00DB2E51">
            <w:pPr>
              <w:rPr>
                <w:rFonts w:cs="Arial"/>
                <w:lang w:val="fr-FR"/>
              </w:rPr>
            </w:pPr>
            <w:r w:rsidRPr="00275290">
              <w:rPr>
                <w:rFonts w:cs="Arial"/>
                <w:lang w:val="fr-FR"/>
              </w:rPr>
              <w:t xml:space="preserve">Brush cleaning </w:t>
            </w:r>
          </w:p>
        </w:tc>
        <w:tc>
          <w:tcPr>
            <w:tcW w:w="1984" w:type="dxa"/>
            <w:vAlign w:val="center"/>
          </w:tcPr>
          <w:p w14:paraId="2AB2D054" w14:textId="77777777" w:rsidR="00DB2E51" w:rsidRPr="00275290" w:rsidRDefault="00DB2E51" w:rsidP="00DB2E51">
            <w:pPr>
              <w:rPr>
                <w:rFonts w:cs="Arial"/>
                <w:lang w:val="fr-FR"/>
              </w:rPr>
            </w:pPr>
            <w:r w:rsidRPr="00275290">
              <w:rPr>
                <w:rFonts w:cs="Arial"/>
                <w:lang w:val="fr-FR"/>
              </w:rPr>
              <w:t>Cyperméthrine</w:t>
            </w:r>
          </w:p>
          <w:p w14:paraId="28EEE874" w14:textId="77777777" w:rsidR="00DB2E51" w:rsidRPr="00275290" w:rsidRDefault="00DB2E51" w:rsidP="00DB2E51">
            <w:pPr>
              <w:rPr>
                <w:rFonts w:cs="Arial"/>
                <w:lang w:val="fr-FR"/>
              </w:rPr>
            </w:pPr>
            <w:r w:rsidRPr="00275290">
              <w:rPr>
                <w:rFonts w:cs="Arial"/>
                <w:lang w:val="fr-FR"/>
              </w:rPr>
              <w:t>0.088</w:t>
            </w:r>
          </w:p>
        </w:tc>
        <w:tc>
          <w:tcPr>
            <w:tcW w:w="1984" w:type="dxa"/>
            <w:vAlign w:val="center"/>
          </w:tcPr>
          <w:p w14:paraId="70587DFC" w14:textId="77777777" w:rsidR="00DB2E51" w:rsidRPr="00275290" w:rsidRDefault="00DB2E51" w:rsidP="00DB2E51">
            <w:pPr>
              <w:rPr>
                <w:rFonts w:cs="Arial"/>
                <w:color w:val="000000"/>
              </w:rPr>
            </w:pPr>
            <w:r w:rsidRPr="00275290">
              <w:rPr>
                <w:rFonts w:cs="Arial"/>
                <w:color w:val="000000"/>
              </w:rPr>
              <w:t>7,17E-04</w:t>
            </w:r>
          </w:p>
        </w:tc>
        <w:tc>
          <w:tcPr>
            <w:tcW w:w="1984" w:type="dxa"/>
            <w:vAlign w:val="center"/>
          </w:tcPr>
          <w:p w14:paraId="0DE61034" w14:textId="77777777" w:rsidR="00DB2E51" w:rsidRPr="00275290" w:rsidRDefault="00DB2E51" w:rsidP="00DB2E51">
            <w:pPr>
              <w:rPr>
                <w:rFonts w:cs="Arial"/>
                <w:lang w:val="fr-FR"/>
              </w:rPr>
            </w:pPr>
            <w:r w:rsidRPr="00275290">
              <w:rPr>
                <w:rFonts w:cs="Arial"/>
                <w:lang w:val="fr-FR"/>
              </w:rPr>
              <w:t>0.82</w:t>
            </w:r>
          </w:p>
        </w:tc>
      </w:tr>
      <w:tr w:rsidR="00DB2E51" w:rsidRPr="00275290" w14:paraId="042C420D" w14:textId="77777777" w:rsidTr="004E7A98">
        <w:tc>
          <w:tcPr>
            <w:tcW w:w="1983" w:type="dxa"/>
            <w:vMerge/>
            <w:vAlign w:val="center"/>
          </w:tcPr>
          <w:p w14:paraId="44DB91E1" w14:textId="77777777" w:rsidR="00DB2E51" w:rsidRPr="00275290" w:rsidRDefault="00DB2E51" w:rsidP="00DB2E51">
            <w:pPr>
              <w:rPr>
                <w:rFonts w:cs="Arial"/>
                <w:lang w:val="fr-FR"/>
              </w:rPr>
            </w:pPr>
          </w:p>
        </w:tc>
        <w:tc>
          <w:tcPr>
            <w:tcW w:w="1984" w:type="dxa"/>
            <w:vAlign w:val="center"/>
          </w:tcPr>
          <w:p w14:paraId="36783044" w14:textId="77777777" w:rsidR="00DB2E51" w:rsidRPr="00275290" w:rsidRDefault="00DB2E51" w:rsidP="00DB2E51">
            <w:pPr>
              <w:rPr>
                <w:rFonts w:cs="Arial"/>
                <w:lang w:val="fr-FR"/>
              </w:rPr>
            </w:pPr>
            <w:r w:rsidRPr="00275290">
              <w:rPr>
                <w:rFonts w:cs="Arial"/>
                <w:lang w:val="fr-FR"/>
              </w:rPr>
              <w:t>Propiconazole : 0.3</w:t>
            </w:r>
          </w:p>
        </w:tc>
        <w:tc>
          <w:tcPr>
            <w:tcW w:w="1984" w:type="dxa"/>
            <w:vAlign w:val="center"/>
          </w:tcPr>
          <w:p w14:paraId="3BE07E24" w14:textId="77777777" w:rsidR="00DB2E51" w:rsidRPr="00275290" w:rsidRDefault="00DB2E51" w:rsidP="00DB2E51">
            <w:pPr>
              <w:rPr>
                <w:rFonts w:cs="Arial"/>
                <w:color w:val="000000"/>
              </w:rPr>
            </w:pPr>
            <w:r w:rsidRPr="00275290">
              <w:rPr>
                <w:rFonts w:cs="Arial"/>
                <w:color w:val="000000"/>
              </w:rPr>
              <w:t>9,32E-04</w:t>
            </w:r>
          </w:p>
        </w:tc>
        <w:tc>
          <w:tcPr>
            <w:tcW w:w="1984" w:type="dxa"/>
            <w:vAlign w:val="center"/>
          </w:tcPr>
          <w:p w14:paraId="2E53F1F6" w14:textId="77777777" w:rsidR="00DB2E51" w:rsidRPr="00275290" w:rsidRDefault="00DB2E51" w:rsidP="00DB2E51">
            <w:pPr>
              <w:rPr>
                <w:rFonts w:cs="Arial"/>
                <w:lang w:val="fr-FR"/>
              </w:rPr>
            </w:pPr>
            <w:r w:rsidRPr="00275290">
              <w:rPr>
                <w:rFonts w:cs="Arial"/>
                <w:lang w:val="fr-FR"/>
              </w:rPr>
              <w:t>0.31</w:t>
            </w:r>
          </w:p>
        </w:tc>
      </w:tr>
      <w:tr w:rsidR="00DB2E51" w:rsidRPr="00275290" w14:paraId="0BEC095F" w14:textId="77777777" w:rsidTr="004E7A98">
        <w:tc>
          <w:tcPr>
            <w:tcW w:w="1983" w:type="dxa"/>
            <w:vMerge/>
            <w:vAlign w:val="center"/>
          </w:tcPr>
          <w:p w14:paraId="30EEA8E4" w14:textId="77777777" w:rsidR="00DB2E51" w:rsidRPr="00275290" w:rsidRDefault="00DB2E51" w:rsidP="00DB2E51">
            <w:pPr>
              <w:rPr>
                <w:rFonts w:cs="Arial"/>
                <w:lang w:val="fr-FR"/>
              </w:rPr>
            </w:pPr>
          </w:p>
        </w:tc>
        <w:tc>
          <w:tcPr>
            <w:tcW w:w="1984" w:type="dxa"/>
            <w:vAlign w:val="center"/>
          </w:tcPr>
          <w:p w14:paraId="4ED20732" w14:textId="77777777" w:rsidR="00DB2E51" w:rsidRPr="00275290" w:rsidRDefault="00DB2E51" w:rsidP="00DB2E51">
            <w:pPr>
              <w:rPr>
                <w:rFonts w:cs="Arial"/>
                <w:lang w:val="fr-FR"/>
              </w:rPr>
            </w:pPr>
            <w:r w:rsidRPr="00275290">
              <w:rPr>
                <w:rFonts w:cs="Arial"/>
                <w:lang w:val="fr-FR"/>
              </w:rPr>
              <w:t>Tébuconazole : 0.03</w:t>
            </w:r>
          </w:p>
        </w:tc>
        <w:tc>
          <w:tcPr>
            <w:tcW w:w="1984" w:type="dxa"/>
            <w:vAlign w:val="center"/>
          </w:tcPr>
          <w:p w14:paraId="6A6AF73B" w14:textId="77777777" w:rsidR="00DB2E51" w:rsidRPr="00275290" w:rsidRDefault="00DB2E51" w:rsidP="00DB2E51">
            <w:pPr>
              <w:rPr>
                <w:rFonts w:cs="Arial"/>
                <w:color w:val="000000"/>
              </w:rPr>
            </w:pPr>
            <w:r w:rsidRPr="00275290">
              <w:rPr>
                <w:rFonts w:cs="Arial"/>
                <w:color w:val="000000"/>
              </w:rPr>
              <w:t>4,94E-04</w:t>
            </w:r>
          </w:p>
        </w:tc>
        <w:tc>
          <w:tcPr>
            <w:tcW w:w="1984" w:type="dxa"/>
            <w:vAlign w:val="center"/>
          </w:tcPr>
          <w:p w14:paraId="249B8C1E" w14:textId="77777777" w:rsidR="00DB2E51" w:rsidRPr="00275290" w:rsidRDefault="00DB2E51" w:rsidP="00DB2E51">
            <w:pPr>
              <w:rPr>
                <w:rFonts w:cs="Arial"/>
                <w:lang w:val="fr-FR"/>
              </w:rPr>
            </w:pPr>
            <w:r w:rsidRPr="00275290">
              <w:rPr>
                <w:rFonts w:cs="Arial"/>
                <w:lang w:val="fr-FR"/>
              </w:rPr>
              <w:t>1.65</w:t>
            </w:r>
          </w:p>
        </w:tc>
      </w:tr>
      <w:tr w:rsidR="00DB2E51" w:rsidRPr="00275290" w14:paraId="532247D2" w14:textId="77777777" w:rsidTr="004E7A98">
        <w:tc>
          <w:tcPr>
            <w:tcW w:w="1983" w:type="dxa"/>
            <w:vMerge/>
            <w:vAlign w:val="center"/>
          </w:tcPr>
          <w:p w14:paraId="79302F4A" w14:textId="77777777" w:rsidR="00DB2E51" w:rsidRPr="00275290" w:rsidRDefault="00DB2E51" w:rsidP="00DB2E51">
            <w:pPr>
              <w:rPr>
                <w:rFonts w:cs="Arial"/>
                <w:lang w:val="fr-FR"/>
              </w:rPr>
            </w:pPr>
          </w:p>
        </w:tc>
        <w:tc>
          <w:tcPr>
            <w:tcW w:w="1984" w:type="dxa"/>
            <w:vAlign w:val="center"/>
          </w:tcPr>
          <w:p w14:paraId="48932969" w14:textId="77777777" w:rsidR="00DB2E51" w:rsidRPr="00275290" w:rsidRDefault="00DB2E51" w:rsidP="00DB2E51">
            <w:pPr>
              <w:rPr>
                <w:rFonts w:cs="Arial"/>
                <w:lang w:val="fr-FR"/>
              </w:rPr>
            </w:pPr>
            <w:r w:rsidRPr="00275290">
              <w:rPr>
                <w:rFonts w:cs="Arial"/>
                <w:lang w:val="fr-FR"/>
              </w:rPr>
              <w:t>IPBC</w:t>
            </w:r>
          </w:p>
          <w:p w14:paraId="50A880FA" w14:textId="77777777" w:rsidR="00DB2E51" w:rsidRPr="00275290" w:rsidRDefault="00DB2E51" w:rsidP="00DB2E51">
            <w:pPr>
              <w:rPr>
                <w:rFonts w:cs="Arial"/>
                <w:lang w:val="fr-FR"/>
              </w:rPr>
            </w:pPr>
            <w:r w:rsidRPr="00275290">
              <w:rPr>
                <w:rFonts w:cs="Arial"/>
                <w:lang w:val="fr-FR"/>
              </w:rPr>
              <w:t>0.35</w:t>
            </w:r>
          </w:p>
        </w:tc>
        <w:tc>
          <w:tcPr>
            <w:tcW w:w="1984" w:type="dxa"/>
            <w:vAlign w:val="center"/>
          </w:tcPr>
          <w:p w14:paraId="6B68DCDF" w14:textId="77777777" w:rsidR="00DB2E51" w:rsidRPr="00275290" w:rsidRDefault="00DB2E51" w:rsidP="00DB2E51">
            <w:pPr>
              <w:rPr>
                <w:rFonts w:cs="Arial"/>
                <w:color w:val="000000"/>
              </w:rPr>
            </w:pPr>
            <w:r w:rsidRPr="00275290">
              <w:rPr>
                <w:rFonts w:cs="Arial"/>
                <w:color w:val="000000"/>
              </w:rPr>
              <w:t>8,63E-04</w:t>
            </w:r>
          </w:p>
        </w:tc>
        <w:tc>
          <w:tcPr>
            <w:tcW w:w="1984" w:type="dxa"/>
            <w:vAlign w:val="center"/>
          </w:tcPr>
          <w:p w14:paraId="30EE3FFD" w14:textId="77777777" w:rsidR="00DB2E51" w:rsidRPr="00275290" w:rsidRDefault="00DB2E51" w:rsidP="00DB2E51">
            <w:pPr>
              <w:rPr>
                <w:rFonts w:cs="Arial"/>
                <w:lang w:val="fr-FR"/>
              </w:rPr>
            </w:pPr>
            <w:r w:rsidRPr="00275290">
              <w:rPr>
                <w:rFonts w:cs="Arial"/>
                <w:lang w:val="fr-FR"/>
              </w:rPr>
              <w:t>0.25</w:t>
            </w:r>
          </w:p>
        </w:tc>
      </w:tr>
      <w:tr w:rsidR="00DB2E51" w:rsidRPr="00275290" w14:paraId="2A1ABCE6" w14:textId="77777777" w:rsidTr="004E7A98">
        <w:tc>
          <w:tcPr>
            <w:tcW w:w="1983" w:type="dxa"/>
            <w:vMerge w:val="restart"/>
            <w:shd w:val="clear" w:color="auto" w:fill="C6D9F1" w:themeFill="text2" w:themeFillTint="33"/>
            <w:vAlign w:val="center"/>
          </w:tcPr>
          <w:p w14:paraId="652A32B5" w14:textId="77777777" w:rsidR="00DB2E51" w:rsidRPr="00275290" w:rsidRDefault="00DB2E51" w:rsidP="00DB2E51">
            <w:pPr>
              <w:rPr>
                <w:rFonts w:cs="Arial"/>
                <w:lang w:val="fr-FR"/>
              </w:rPr>
            </w:pPr>
            <w:r w:rsidRPr="00275290">
              <w:rPr>
                <w:rFonts w:cs="Arial"/>
                <w:lang w:val="fr-FR"/>
              </w:rPr>
              <w:t>Appli + cleaning</w:t>
            </w:r>
          </w:p>
        </w:tc>
        <w:tc>
          <w:tcPr>
            <w:tcW w:w="1984" w:type="dxa"/>
            <w:shd w:val="clear" w:color="auto" w:fill="C6D9F1" w:themeFill="text2" w:themeFillTint="33"/>
            <w:vAlign w:val="center"/>
          </w:tcPr>
          <w:p w14:paraId="1EE8276B" w14:textId="77777777" w:rsidR="00DB2E51" w:rsidRPr="00275290" w:rsidRDefault="00DB2E51" w:rsidP="00DB2E51">
            <w:pPr>
              <w:rPr>
                <w:rFonts w:cs="Arial"/>
                <w:lang w:val="fr-FR"/>
              </w:rPr>
            </w:pPr>
            <w:r w:rsidRPr="00275290">
              <w:rPr>
                <w:rFonts w:cs="Arial"/>
                <w:lang w:val="fr-FR"/>
              </w:rPr>
              <w:t>Cyperméthrine</w:t>
            </w:r>
          </w:p>
          <w:p w14:paraId="4B3CE94B" w14:textId="77777777" w:rsidR="00DB2E51" w:rsidRPr="00275290" w:rsidRDefault="00DB2E51" w:rsidP="00DB2E51">
            <w:pPr>
              <w:rPr>
                <w:rFonts w:cs="Arial"/>
                <w:lang w:val="fr-FR"/>
              </w:rPr>
            </w:pPr>
            <w:r w:rsidRPr="00275290">
              <w:rPr>
                <w:rFonts w:cs="Arial"/>
                <w:lang w:val="fr-FR"/>
              </w:rPr>
              <w:t>0.088</w:t>
            </w:r>
          </w:p>
        </w:tc>
        <w:tc>
          <w:tcPr>
            <w:tcW w:w="1984" w:type="dxa"/>
            <w:shd w:val="clear" w:color="auto" w:fill="C6D9F1" w:themeFill="text2" w:themeFillTint="33"/>
            <w:vAlign w:val="center"/>
          </w:tcPr>
          <w:p w14:paraId="7ACECFA3" w14:textId="71501E74" w:rsidR="00DB2E51" w:rsidRPr="00275290" w:rsidRDefault="00DB2E51" w:rsidP="00DB2E51">
            <w:pPr>
              <w:rPr>
                <w:rFonts w:cs="Arial"/>
                <w:color w:val="000000"/>
              </w:rPr>
            </w:pPr>
            <w:r>
              <w:rPr>
                <w:rFonts w:ascii="Calibri" w:hAnsi="Calibri" w:cs="Calibri"/>
                <w:color w:val="000000"/>
                <w:sz w:val="22"/>
                <w:szCs w:val="22"/>
              </w:rPr>
              <w:t>1,22E-02</w:t>
            </w:r>
          </w:p>
        </w:tc>
        <w:tc>
          <w:tcPr>
            <w:tcW w:w="1984" w:type="dxa"/>
            <w:shd w:val="clear" w:color="auto" w:fill="C6D9F1" w:themeFill="text2" w:themeFillTint="33"/>
            <w:vAlign w:val="center"/>
          </w:tcPr>
          <w:p w14:paraId="6B00A7E8" w14:textId="29AD3038" w:rsidR="00DB2E51" w:rsidRPr="00275290" w:rsidRDefault="00DB2E51" w:rsidP="00DB2E51">
            <w:pPr>
              <w:rPr>
                <w:rFonts w:cs="Arial"/>
                <w:lang w:val="fr-FR"/>
              </w:rPr>
            </w:pPr>
            <w:r>
              <w:rPr>
                <w:rFonts w:cs="Arial"/>
                <w:lang w:val="fr-FR"/>
              </w:rPr>
              <w:t>13.9</w:t>
            </w:r>
          </w:p>
        </w:tc>
      </w:tr>
      <w:tr w:rsidR="00DB2E51" w:rsidRPr="00275290" w14:paraId="456B2094" w14:textId="77777777" w:rsidTr="004E7A98">
        <w:tc>
          <w:tcPr>
            <w:tcW w:w="1983" w:type="dxa"/>
            <w:vMerge/>
            <w:shd w:val="clear" w:color="auto" w:fill="C6D9F1" w:themeFill="text2" w:themeFillTint="33"/>
            <w:vAlign w:val="center"/>
          </w:tcPr>
          <w:p w14:paraId="5ECD93BA" w14:textId="77777777" w:rsidR="00DB2E51" w:rsidRPr="00275290" w:rsidRDefault="00DB2E51" w:rsidP="00DB2E51">
            <w:pPr>
              <w:rPr>
                <w:rFonts w:cs="Arial"/>
                <w:lang w:val="fr-FR"/>
              </w:rPr>
            </w:pPr>
          </w:p>
        </w:tc>
        <w:tc>
          <w:tcPr>
            <w:tcW w:w="1984" w:type="dxa"/>
            <w:shd w:val="clear" w:color="auto" w:fill="C6D9F1" w:themeFill="text2" w:themeFillTint="33"/>
            <w:vAlign w:val="center"/>
          </w:tcPr>
          <w:p w14:paraId="0FA92E0D" w14:textId="77777777" w:rsidR="00DB2E51" w:rsidRPr="00275290" w:rsidRDefault="00DB2E51" w:rsidP="00DB2E51">
            <w:pPr>
              <w:rPr>
                <w:rFonts w:cs="Arial"/>
                <w:lang w:val="fr-FR"/>
              </w:rPr>
            </w:pPr>
            <w:r w:rsidRPr="00275290">
              <w:rPr>
                <w:rFonts w:cs="Arial"/>
                <w:lang w:val="fr-FR"/>
              </w:rPr>
              <w:t>Propiconazole : 0.3</w:t>
            </w:r>
          </w:p>
        </w:tc>
        <w:tc>
          <w:tcPr>
            <w:tcW w:w="1984" w:type="dxa"/>
            <w:shd w:val="clear" w:color="auto" w:fill="C6D9F1" w:themeFill="text2" w:themeFillTint="33"/>
            <w:vAlign w:val="center"/>
          </w:tcPr>
          <w:p w14:paraId="68585647" w14:textId="741F935B" w:rsidR="00DB2E51" w:rsidRPr="00275290" w:rsidRDefault="00DB2E51" w:rsidP="00DB2E51">
            <w:pPr>
              <w:rPr>
                <w:rFonts w:cs="Arial"/>
                <w:color w:val="000000"/>
              </w:rPr>
            </w:pPr>
            <w:r>
              <w:rPr>
                <w:rFonts w:ascii="Calibri" w:hAnsi="Calibri" w:cs="Calibri"/>
                <w:color w:val="000000"/>
                <w:sz w:val="22"/>
                <w:szCs w:val="22"/>
              </w:rPr>
              <w:t>1,76E-02</w:t>
            </w:r>
          </w:p>
        </w:tc>
        <w:tc>
          <w:tcPr>
            <w:tcW w:w="1984" w:type="dxa"/>
            <w:shd w:val="clear" w:color="auto" w:fill="C6D9F1" w:themeFill="text2" w:themeFillTint="33"/>
            <w:vAlign w:val="center"/>
          </w:tcPr>
          <w:p w14:paraId="1FF2CC6B" w14:textId="7A65010B" w:rsidR="00DB2E51" w:rsidRPr="00275290" w:rsidRDefault="00DB2E51" w:rsidP="00DB2E51">
            <w:pPr>
              <w:rPr>
                <w:rFonts w:cs="Arial"/>
                <w:lang w:val="fr-FR"/>
              </w:rPr>
            </w:pPr>
            <w:r>
              <w:rPr>
                <w:rFonts w:cs="Arial"/>
                <w:lang w:val="fr-FR"/>
              </w:rPr>
              <w:t>5.9</w:t>
            </w:r>
          </w:p>
        </w:tc>
      </w:tr>
      <w:tr w:rsidR="00DB2E51" w:rsidRPr="00275290" w14:paraId="7E9E8804" w14:textId="77777777" w:rsidTr="004E7A98">
        <w:tc>
          <w:tcPr>
            <w:tcW w:w="1983" w:type="dxa"/>
            <w:vMerge/>
            <w:shd w:val="clear" w:color="auto" w:fill="C6D9F1" w:themeFill="text2" w:themeFillTint="33"/>
            <w:vAlign w:val="center"/>
          </w:tcPr>
          <w:p w14:paraId="39CDA32F" w14:textId="77777777" w:rsidR="00DB2E51" w:rsidRPr="00275290" w:rsidRDefault="00DB2E51" w:rsidP="00DB2E51">
            <w:pPr>
              <w:rPr>
                <w:rFonts w:cs="Arial"/>
                <w:lang w:val="fr-FR"/>
              </w:rPr>
            </w:pPr>
          </w:p>
        </w:tc>
        <w:tc>
          <w:tcPr>
            <w:tcW w:w="1984" w:type="dxa"/>
            <w:shd w:val="clear" w:color="auto" w:fill="C6D9F1" w:themeFill="text2" w:themeFillTint="33"/>
            <w:vAlign w:val="center"/>
          </w:tcPr>
          <w:p w14:paraId="20FA1E9D" w14:textId="77777777" w:rsidR="00DB2E51" w:rsidRPr="00275290" w:rsidRDefault="00DB2E51" w:rsidP="00DB2E51">
            <w:pPr>
              <w:rPr>
                <w:rFonts w:cs="Arial"/>
                <w:lang w:val="fr-FR"/>
              </w:rPr>
            </w:pPr>
            <w:r w:rsidRPr="00275290">
              <w:rPr>
                <w:rFonts w:cs="Arial"/>
                <w:lang w:val="fr-FR"/>
              </w:rPr>
              <w:t>Tébuconazole : 0.03</w:t>
            </w:r>
          </w:p>
        </w:tc>
        <w:tc>
          <w:tcPr>
            <w:tcW w:w="1984" w:type="dxa"/>
            <w:shd w:val="clear" w:color="auto" w:fill="C6D9F1" w:themeFill="text2" w:themeFillTint="33"/>
            <w:vAlign w:val="center"/>
          </w:tcPr>
          <w:p w14:paraId="36752D06" w14:textId="0FE5EDEC" w:rsidR="00DB2E51" w:rsidRPr="00275290" w:rsidRDefault="00DB2E51" w:rsidP="00DB2E51">
            <w:pPr>
              <w:rPr>
                <w:rFonts w:cs="Arial"/>
                <w:color w:val="000000"/>
              </w:rPr>
            </w:pPr>
            <w:r>
              <w:rPr>
                <w:rFonts w:ascii="Calibri" w:hAnsi="Calibri" w:cs="Calibri"/>
                <w:color w:val="000000"/>
                <w:sz w:val="22"/>
                <w:szCs w:val="22"/>
              </w:rPr>
              <w:t>6,71E-03</w:t>
            </w:r>
          </w:p>
        </w:tc>
        <w:tc>
          <w:tcPr>
            <w:tcW w:w="1984" w:type="dxa"/>
            <w:shd w:val="clear" w:color="auto" w:fill="C6D9F1" w:themeFill="text2" w:themeFillTint="33"/>
            <w:vAlign w:val="center"/>
          </w:tcPr>
          <w:p w14:paraId="484D1DAA" w14:textId="02E53202" w:rsidR="00DB2E51" w:rsidRPr="00275290" w:rsidRDefault="00DB2E51" w:rsidP="00DB2E51">
            <w:pPr>
              <w:rPr>
                <w:rFonts w:cs="Arial"/>
                <w:lang w:val="fr-FR"/>
              </w:rPr>
            </w:pPr>
            <w:r>
              <w:rPr>
                <w:rFonts w:cs="Arial"/>
                <w:lang w:val="fr-FR"/>
              </w:rPr>
              <w:t>22.4</w:t>
            </w:r>
          </w:p>
        </w:tc>
      </w:tr>
      <w:tr w:rsidR="00DB2E51" w:rsidRPr="00275290" w14:paraId="769D8F67" w14:textId="77777777" w:rsidTr="004E7A98">
        <w:tc>
          <w:tcPr>
            <w:tcW w:w="1983" w:type="dxa"/>
            <w:vMerge/>
            <w:shd w:val="clear" w:color="auto" w:fill="C6D9F1" w:themeFill="text2" w:themeFillTint="33"/>
            <w:vAlign w:val="center"/>
          </w:tcPr>
          <w:p w14:paraId="22D50D45" w14:textId="77777777" w:rsidR="00DB2E51" w:rsidRPr="00275290" w:rsidRDefault="00DB2E51" w:rsidP="00DB2E51">
            <w:pPr>
              <w:rPr>
                <w:rFonts w:cs="Arial"/>
                <w:lang w:val="fr-FR"/>
              </w:rPr>
            </w:pPr>
          </w:p>
        </w:tc>
        <w:tc>
          <w:tcPr>
            <w:tcW w:w="1984" w:type="dxa"/>
            <w:shd w:val="clear" w:color="auto" w:fill="C6D9F1" w:themeFill="text2" w:themeFillTint="33"/>
            <w:vAlign w:val="center"/>
          </w:tcPr>
          <w:p w14:paraId="626AE7CE" w14:textId="77777777" w:rsidR="00DB2E51" w:rsidRPr="00275290" w:rsidRDefault="00DB2E51" w:rsidP="00DB2E51">
            <w:pPr>
              <w:rPr>
                <w:rFonts w:cs="Arial"/>
                <w:lang w:val="fr-FR"/>
              </w:rPr>
            </w:pPr>
            <w:r w:rsidRPr="00275290">
              <w:rPr>
                <w:rFonts w:cs="Arial"/>
                <w:lang w:val="fr-FR"/>
              </w:rPr>
              <w:t>IPBC</w:t>
            </w:r>
          </w:p>
          <w:p w14:paraId="3A4BBE93" w14:textId="77777777" w:rsidR="00DB2E51" w:rsidRPr="00275290" w:rsidRDefault="00DB2E51" w:rsidP="00DB2E51">
            <w:pPr>
              <w:rPr>
                <w:rFonts w:cs="Arial"/>
                <w:lang w:val="fr-FR"/>
              </w:rPr>
            </w:pPr>
            <w:r w:rsidRPr="00275290">
              <w:rPr>
                <w:rFonts w:cs="Arial"/>
                <w:lang w:val="fr-FR"/>
              </w:rPr>
              <w:t>0.35</w:t>
            </w:r>
          </w:p>
        </w:tc>
        <w:tc>
          <w:tcPr>
            <w:tcW w:w="1984" w:type="dxa"/>
            <w:shd w:val="clear" w:color="auto" w:fill="C6D9F1" w:themeFill="text2" w:themeFillTint="33"/>
            <w:vAlign w:val="center"/>
          </w:tcPr>
          <w:p w14:paraId="06DAE718" w14:textId="2DBC1DD7" w:rsidR="00DB2E51" w:rsidRPr="00275290" w:rsidRDefault="00DB2E51" w:rsidP="00DB2E51">
            <w:pPr>
              <w:rPr>
                <w:rFonts w:cs="Arial"/>
                <w:color w:val="000000"/>
              </w:rPr>
            </w:pPr>
            <w:r>
              <w:rPr>
                <w:rFonts w:ascii="Calibri" w:hAnsi="Calibri" w:cs="Calibri"/>
                <w:color w:val="000000"/>
                <w:sz w:val="22"/>
                <w:szCs w:val="22"/>
              </w:rPr>
              <w:t>1,58E-02</w:t>
            </w:r>
          </w:p>
        </w:tc>
        <w:tc>
          <w:tcPr>
            <w:tcW w:w="1984" w:type="dxa"/>
            <w:shd w:val="clear" w:color="auto" w:fill="C6D9F1" w:themeFill="text2" w:themeFillTint="33"/>
            <w:vAlign w:val="center"/>
          </w:tcPr>
          <w:p w14:paraId="16E04775" w14:textId="24D193E8" w:rsidR="00DB2E51" w:rsidRPr="00275290" w:rsidRDefault="00DB2E51" w:rsidP="00DB2E51">
            <w:pPr>
              <w:rPr>
                <w:rFonts w:cs="Arial"/>
                <w:lang w:val="fr-FR"/>
              </w:rPr>
            </w:pPr>
            <w:r>
              <w:rPr>
                <w:rFonts w:cs="Arial"/>
                <w:lang w:val="fr-FR"/>
              </w:rPr>
              <w:t>4.5</w:t>
            </w:r>
          </w:p>
        </w:tc>
      </w:tr>
    </w:tbl>
    <w:p w14:paraId="15935B94" w14:textId="77777777" w:rsidR="009D4550" w:rsidRPr="00275290" w:rsidRDefault="009D4550" w:rsidP="009D4550">
      <w:pPr>
        <w:pStyle w:val="Standard-italics"/>
        <w:rPr>
          <w:rFonts w:cs="Arial"/>
          <w:lang w:val="fr-FR" w:eastAsia="sv-SE"/>
        </w:rPr>
      </w:pPr>
    </w:p>
    <w:p w14:paraId="48255CDD" w14:textId="77777777" w:rsidR="009D4550" w:rsidRPr="00275290" w:rsidRDefault="009D4550" w:rsidP="009D4550">
      <w:pPr>
        <w:pStyle w:val="BfRBBStandard"/>
        <w:rPr>
          <w:rFonts w:ascii="Verdana" w:eastAsia="Times New Roman" w:hAnsi="Verdana"/>
          <w:sz w:val="20"/>
          <w:szCs w:val="20"/>
          <w:lang w:val="en-GB" w:eastAsia="sv-SE"/>
        </w:rPr>
      </w:pPr>
    </w:p>
    <w:p w14:paraId="5C685789"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29F30706"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891"/>
        <w:gridCol w:w="1875"/>
        <w:gridCol w:w="1220"/>
        <w:gridCol w:w="1350"/>
        <w:gridCol w:w="1509"/>
      </w:tblGrid>
      <w:tr w:rsidR="009D4550" w:rsidRPr="00275290" w14:paraId="45AC086F" w14:textId="77777777" w:rsidTr="004E7A98">
        <w:tc>
          <w:tcPr>
            <w:tcW w:w="1947" w:type="dxa"/>
            <w:vAlign w:val="center"/>
          </w:tcPr>
          <w:p w14:paraId="6B614C5D" w14:textId="77777777" w:rsidR="009D4550" w:rsidRPr="00275290" w:rsidRDefault="009D4550" w:rsidP="009D4550">
            <w:pPr>
              <w:rPr>
                <w:rFonts w:cs="Arial"/>
                <w:lang w:val="fr-FR"/>
              </w:rPr>
            </w:pPr>
            <w:r w:rsidRPr="00275290">
              <w:rPr>
                <w:rFonts w:cs="Arial"/>
                <w:lang w:val="fr-FR"/>
              </w:rPr>
              <w:t>Cyperméthrine</w:t>
            </w:r>
          </w:p>
        </w:tc>
        <w:tc>
          <w:tcPr>
            <w:tcW w:w="1921" w:type="dxa"/>
            <w:vAlign w:val="center"/>
          </w:tcPr>
          <w:p w14:paraId="0EBB8E2A" w14:textId="77777777" w:rsidR="009D4550" w:rsidRPr="00275290" w:rsidRDefault="009D4550" w:rsidP="009D4550">
            <w:pPr>
              <w:rPr>
                <w:rFonts w:cs="Arial"/>
                <w:lang w:val="fr-FR"/>
              </w:rPr>
            </w:pPr>
            <w:r w:rsidRPr="00275290">
              <w:rPr>
                <w:rFonts w:cs="Arial"/>
                <w:lang w:val="fr-FR"/>
              </w:rPr>
              <w:t>Propiconazole</w:t>
            </w:r>
          </w:p>
        </w:tc>
        <w:tc>
          <w:tcPr>
            <w:tcW w:w="1905" w:type="dxa"/>
            <w:vAlign w:val="center"/>
          </w:tcPr>
          <w:p w14:paraId="4C4996D5" w14:textId="77777777" w:rsidR="009D4550" w:rsidRPr="00275290" w:rsidRDefault="009D4550" w:rsidP="009D4550">
            <w:pPr>
              <w:rPr>
                <w:rFonts w:cs="Arial"/>
                <w:lang w:val="fr-FR"/>
              </w:rPr>
            </w:pPr>
            <w:r w:rsidRPr="00275290">
              <w:rPr>
                <w:rFonts w:cs="Arial"/>
                <w:lang w:val="fr-FR"/>
              </w:rPr>
              <w:t>Tébuconazole</w:t>
            </w:r>
          </w:p>
        </w:tc>
        <w:tc>
          <w:tcPr>
            <w:tcW w:w="1273" w:type="dxa"/>
            <w:shd w:val="clear" w:color="auto" w:fill="auto"/>
          </w:tcPr>
          <w:p w14:paraId="3E2C3E59" w14:textId="77777777" w:rsidR="009D4550" w:rsidRPr="00275290" w:rsidRDefault="009D4550" w:rsidP="009D4550">
            <w:pPr>
              <w:rPr>
                <w:rFonts w:cs="Arial"/>
                <w:lang w:val="fr-FR"/>
              </w:rPr>
            </w:pPr>
            <w:r w:rsidRPr="00275290">
              <w:rPr>
                <w:rFonts w:cs="Arial"/>
                <w:lang w:val="fr-FR"/>
              </w:rPr>
              <w:t>IPBC</w:t>
            </w:r>
          </w:p>
        </w:tc>
        <w:tc>
          <w:tcPr>
            <w:tcW w:w="1419" w:type="dxa"/>
            <w:vMerge w:val="restart"/>
            <w:shd w:val="clear" w:color="auto" w:fill="E5B8B7" w:themeFill="accent2" w:themeFillTint="66"/>
            <w:vAlign w:val="center"/>
          </w:tcPr>
          <w:p w14:paraId="4260B56C" w14:textId="77777777" w:rsidR="009D4550" w:rsidRPr="00275290" w:rsidRDefault="009D4550" w:rsidP="009D4550">
            <w:pPr>
              <w:rPr>
                <w:rFonts w:cs="Arial"/>
                <w:lang w:val="fr-FR"/>
              </w:rPr>
            </w:pPr>
            <w:r w:rsidRPr="00275290">
              <w:rPr>
                <w:rFonts w:cs="Arial"/>
                <w:lang w:val="fr-FR"/>
              </w:rPr>
              <w:t>HI</w:t>
            </w:r>
          </w:p>
          <w:p w14:paraId="131CC8F4" w14:textId="77777777" w:rsidR="009D4550" w:rsidRPr="00275290" w:rsidRDefault="009D4550" w:rsidP="009D4550">
            <w:pPr>
              <w:rPr>
                <w:rFonts w:cs="Arial"/>
                <w:lang w:val="fr-FR"/>
              </w:rPr>
            </w:pPr>
            <w:r w:rsidRPr="00275290">
              <w:rPr>
                <w:rFonts w:cs="Arial"/>
                <w:lang w:val="fr-FR"/>
              </w:rPr>
              <w:t>(∑ HQ a.s)</w:t>
            </w:r>
          </w:p>
        </w:tc>
        <w:tc>
          <w:tcPr>
            <w:tcW w:w="1530" w:type="dxa"/>
            <w:vMerge w:val="restart"/>
            <w:shd w:val="clear" w:color="auto" w:fill="E5B8B7" w:themeFill="accent2" w:themeFillTint="66"/>
          </w:tcPr>
          <w:p w14:paraId="5255EE83" w14:textId="77777777" w:rsidR="009D4550" w:rsidRPr="00275290" w:rsidRDefault="009D4550" w:rsidP="009D4550">
            <w:pPr>
              <w:rPr>
                <w:rFonts w:cs="Arial"/>
                <w:lang w:val="fr-FR"/>
              </w:rPr>
            </w:pPr>
            <w:r w:rsidRPr="00275290">
              <w:rPr>
                <w:rFonts w:cs="Arial"/>
                <w:lang w:val="fr-FR"/>
              </w:rPr>
              <w:t>Risk</w:t>
            </w:r>
          </w:p>
        </w:tc>
      </w:tr>
      <w:tr w:rsidR="009D4550" w:rsidRPr="00275290" w14:paraId="7C3D879E" w14:textId="77777777" w:rsidTr="004E7A98">
        <w:tc>
          <w:tcPr>
            <w:tcW w:w="5773" w:type="dxa"/>
            <w:gridSpan w:val="3"/>
            <w:vAlign w:val="center"/>
          </w:tcPr>
          <w:p w14:paraId="73CC52ED" w14:textId="77777777" w:rsidR="009D4550" w:rsidRPr="00275290" w:rsidRDefault="009D4550" w:rsidP="009D4550">
            <w:pPr>
              <w:rPr>
                <w:rFonts w:cs="Arial"/>
                <w:lang w:val="fr-FR"/>
              </w:rPr>
            </w:pPr>
            <w:r w:rsidRPr="00275290">
              <w:rPr>
                <w:rFonts w:cs="Arial"/>
                <w:lang w:val="fr-FR"/>
              </w:rPr>
              <w:t>HQ (Exposure/AEL)</w:t>
            </w:r>
          </w:p>
        </w:tc>
        <w:tc>
          <w:tcPr>
            <w:tcW w:w="1273" w:type="dxa"/>
            <w:shd w:val="clear" w:color="auto" w:fill="auto"/>
          </w:tcPr>
          <w:p w14:paraId="00964EAE" w14:textId="77777777" w:rsidR="009D4550" w:rsidRPr="00275290" w:rsidRDefault="009D4550" w:rsidP="009D4550">
            <w:pPr>
              <w:rPr>
                <w:rFonts w:cs="Arial"/>
                <w:lang w:val="fr-FR"/>
              </w:rPr>
            </w:pPr>
          </w:p>
        </w:tc>
        <w:tc>
          <w:tcPr>
            <w:tcW w:w="1419" w:type="dxa"/>
            <w:vMerge/>
            <w:shd w:val="clear" w:color="auto" w:fill="E5B8B7" w:themeFill="accent2" w:themeFillTint="66"/>
            <w:vAlign w:val="center"/>
          </w:tcPr>
          <w:p w14:paraId="21551100" w14:textId="77777777" w:rsidR="009D4550" w:rsidRPr="00275290" w:rsidRDefault="009D4550" w:rsidP="009D4550">
            <w:pPr>
              <w:rPr>
                <w:rFonts w:cs="Arial"/>
                <w:lang w:val="fr-FR"/>
              </w:rPr>
            </w:pPr>
          </w:p>
        </w:tc>
        <w:tc>
          <w:tcPr>
            <w:tcW w:w="1530" w:type="dxa"/>
            <w:vMerge/>
            <w:shd w:val="clear" w:color="auto" w:fill="E5B8B7" w:themeFill="accent2" w:themeFillTint="66"/>
          </w:tcPr>
          <w:p w14:paraId="5779F1C9" w14:textId="77777777" w:rsidR="009D4550" w:rsidRPr="00275290" w:rsidRDefault="009D4550" w:rsidP="009D4550">
            <w:pPr>
              <w:rPr>
                <w:rFonts w:cs="Arial"/>
                <w:lang w:val="fr-FR"/>
              </w:rPr>
            </w:pPr>
          </w:p>
        </w:tc>
      </w:tr>
      <w:tr w:rsidR="009D4550" w:rsidRPr="00275290" w14:paraId="12C5CC3A" w14:textId="77777777" w:rsidTr="004E7A98">
        <w:tc>
          <w:tcPr>
            <w:tcW w:w="1947" w:type="dxa"/>
            <w:vAlign w:val="center"/>
          </w:tcPr>
          <w:p w14:paraId="5F88A797" w14:textId="1723EAC0" w:rsidR="009D4550" w:rsidRPr="00275290" w:rsidRDefault="009D4550" w:rsidP="00DB2E51">
            <w:pPr>
              <w:rPr>
                <w:rFonts w:cs="Arial"/>
                <w:lang w:val="fr-FR"/>
              </w:rPr>
            </w:pPr>
            <w:r w:rsidRPr="00275290">
              <w:rPr>
                <w:rFonts w:cs="Arial"/>
                <w:lang w:val="fr-FR"/>
              </w:rPr>
              <w:t>0.</w:t>
            </w:r>
            <w:r w:rsidR="00DB2E51" w:rsidRPr="00275290">
              <w:rPr>
                <w:rFonts w:cs="Arial"/>
                <w:lang w:val="fr-FR"/>
              </w:rPr>
              <w:t>1</w:t>
            </w:r>
            <w:r w:rsidR="00DB2E51">
              <w:rPr>
                <w:rFonts w:cs="Arial"/>
                <w:lang w:val="fr-FR"/>
              </w:rPr>
              <w:t>4</w:t>
            </w:r>
          </w:p>
        </w:tc>
        <w:tc>
          <w:tcPr>
            <w:tcW w:w="1921" w:type="dxa"/>
            <w:vAlign w:val="center"/>
          </w:tcPr>
          <w:p w14:paraId="18923AFA" w14:textId="57F17575" w:rsidR="009D4550" w:rsidRPr="00275290" w:rsidRDefault="009D4550" w:rsidP="00DB2E51">
            <w:pPr>
              <w:rPr>
                <w:rFonts w:cs="Arial"/>
                <w:lang w:val="fr-FR"/>
              </w:rPr>
            </w:pPr>
            <w:r w:rsidRPr="00275290">
              <w:rPr>
                <w:rFonts w:cs="Arial"/>
                <w:lang w:val="fr-FR"/>
              </w:rPr>
              <w:t>0.</w:t>
            </w:r>
            <w:r w:rsidR="00DB2E51" w:rsidRPr="00275290">
              <w:rPr>
                <w:rFonts w:cs="Arial"/>
                <w:lang w:val="fr-FR"/>
              </w:rPr>
              <w:t>0</w:t>
            </w:r>
            <w:r w:rsidR="00DB2E51">
              <w:rPr>
                <w:rFonts w:cs="Arial"/>
                <w:lang w:val="fr-FR"/>
              </w:rPr>
              <w:t>6</w:t>
            </w:r>
          </w:p>
        </w:tc>
        <w:tc>
          <w:tcPr>
            <w:tcW w:w="1905" w:type="dxa"/>
            <w:vAlign w:val="center"/>
          </w:tcPr>
          <w:p w14:paraId="3CED4A9C" w14:textId="6533DBB3" w:rsidR="009D4550" w:rsidRPr="00275290" w:rsidRDefault="009D4550" w:rsidP="00DB2E51">
            <w:pPr>
              <w:rPr>
                <w:rFonts w:cs="Arial"/>
                <w:lang w:val="fr-FR"/>
              </w:rPr>
            </w:pPr>
            <w:r w:rsidRPr="00275290">
              <w:rPr>
                <w:rFonts w:cs="Arial"/>
                <w:lang w:val="fr-FR"/>
              </w:rPr>
              <w:t>0.</w:t>
            </w:r>
            <w:r w:rsidR="00DB2E51">
              <w:rPr>
                <w:rFonts w:cs="Arial"/>
                <w:lang w:val="fr-FR"/>
              </w:rPr>
              <w:t>22</w:t>
            </w:r>
          </w:p>
        </w:tc>
        <w:tc>
          <w:tcPr>
            <w:tcW w:w="1273" w:type="dxa"/>
            <w:shd w:val="clear" w:color="auto" w:fill="auto"/>
          </w:tcPr>
          <w:p w14:paraId="76540894" w14:textId="118045D6" w:rsidR="009D4550" w:rsidRPr="00275290" w:rsidRDefault="009D4550" w:rsidP="00DB2E51">
            <w:pPr>
              <w:rPr>
                <w:rFonts w:cs="Arial"/>
                <w:lang w:val="fr-FR"/>
              </w:rPr>
            </w:pPr>
            <w:r w:rsidRPr="00275290">
              <w:rPr>
                <w:rFonts w:cs="Arial"/>
                <w:lang w:val="fr-FR"/>
              </w:rPr>
              <w:t>0.</w:t>
            </w:r>
            <w:r w:rsidR="00DB2E51" w:rsidRPr="00275290">
              <w:rPr>
                <w:rFonts w:cs="Arial"/>
                <w:lang w:val="fr-FR"/>
              </w:rPr>
              <w:t>0</w:t>
            </w:r>
            <w:r w:rsidR="00DB2E51">
              <w:rPr>
                <w:rFonts w:cs="Arial"/>
                <w:lang w:val="fr-FR"/>
              </w:rPr>
              <w:t>5</w:t>
            </w:r>
          </w:p>
        </w:tc>
        <w:tc>
          <w:tcPr>
            <w:tcW w:w="1419" w:type="dxa"/>
            <w:shd w:val="clear" w:color="auto" w:fill="E5B8B7" w:themeFill="accent2" w:themeFillTint="66"/>
            <w:vAlign w:val="center"/>
          </w:tcPr>
          <w:p w14:paraId="10DA01AA" w14:textId="0103D420" w:rsidR="009D4550" w:rsidRPr="00275290" w:rsidRDefault="009D4550" w:rsidP="00DB2E51">
            <w:pPr>
              <w:rPr>
                <w:rFonts w:cs="Arial"/>
                <w:lang w:val="fr-FR"/>
              </w:rPr>
            </w:pPr>
            <w:r w:rsidRPr="00275290">
              <w:rPr>
                <w:rFonts w:cs="Arial"/>
                <w:lang w:val="fr-FR"/>
              </w:rPr>
              <w:t>0.</w:t>
            </w:r>
            <w:r w:rsidR="00DB2E51">
              <w:rPr>
                <w:rFonts w:cs="Arial"/>
                <w:lang w:val="fr-FR"/>
              </w:rPr>
              <w:t>47</w:t>
            </w:r>
          </w:p>
        </w:tc>
        <w:tc>
          <w:tcPr>
            <w:tcW w:w="1530" w:type="dxa"/>
            <w:shd w:val="clear" w:color="auto" w:fill="E5B8B7" w:themeFill="accent2" w:themeFillTint="66"/>
          </w:tcPr>
          <w:p w14:paraId="167E9FD1" w14:textId="77777777" w:rsidR="009D4550" w:rsidRPr="00275290" w:rsidRDefault="009D4550" w:rsidP="009D4550">
            <w:pPr>
              <w:rPr>
                <w:rFonts w:cs="Arial"/>
                <w:lang w:val="fr-FR"/>
              </w:rPr>
            </w:pPr>
            <w:r w:rsidRPr="00275290">
              <w:rPr>
                <w:rFonts w:cs="Arial"/>
                <w:lang w:val="fr-FR"/>
              </w:rPr>
              <w:t>Acceptable</w:t>
            </w:r>
          </w:p>
        </w:tc>
      </w:tr>
    </w:tbl>
    <w:p w14:paraId="4938827E" w14:textId="77777777" w:rsidR="009D4550" w:rsidRPr="00275290" w:rsidRDefault="009D4550" w:rsidP="009D4550">
      <w:pPr>
        <w:pStyle w:val="BfRBBStandard"/>
        <w:rPr>
          <w:rFonts w:ascii="Verdana" w:eastAsia="Times New Roman" w:hAnsi="Verdana"/>
          <w:sz w:val="20"/>
          <w:szCs w:val="20"/>
          <w:lang w:val="en-GB" w:eastAsia="sv-SE"/>
        </w:rPr>
      </w:pPr>
    </w:p>
    <w:p w14:paraId="17F3092C" w14:textId="77777777"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&lt; 1, the risk is acceptable.</w:t>
      </w:r>
    </w:p>
    <w:p w14:paraId="61B397F4" w14:textId="77777777" w:rsidR="009D4550" w:rsidRPr="00275290" w:rsidRDefault="009D4550" w:rsidP="009D4550">
      <w:pPr>
        <w:pStyle w:val="BfRBBStandard"/>
        <w:rPr>
          <w:rFonts w:ascii="Verdana" w:eastAsia="Times New Roman" w:hAnsi="Verdana"/>
          <w:sz w:val="20"/>
          <w:szCs w:val="20"/>
          <w:lang w:val="en-GB" w:eastAsia="sv-SE"/>
        </w:rPr>
      </w:pPr>
    </w:p>
    <w:p w14:paraId="41D9439B" w14:textId="77777777" w:rsidR="009D4550" w:rsidRPr="00275290" w:rsidRDefault="009D4550" w:rsidP="009D4550">
      <w:pPr>
        <w:pStyle w:val="Standard-italics"/>
        <w:rPr>
          <w:rFonts w:cs="Arial"/>
          <w:lang w:eastAsia="sv-SE"/>
        </w:rPr>
      </w:pPr>
    </w:p>
    <w:p w14:paraId="47037497" w14:textId="3DC678F9" w:rsidR="009D4550" w:rsidRPr="00275290" w:rsidRDefault="009D4550" w:rsidP="00932144">
      <w:pPr>
        <w:pStyle w:val="BfRBBStandard"/>
        <w:keepNext/>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 xml:space="preserve">Spray application </w:t>
      </w:r>
    </w:p>
    <w:p w14:paraId="6A9C922E" w14:textId="77777777" w:rsidR="009D4550" w:rsidRPr="00275290" w:rsidRDefault="009D4550" w:rsidP="00932144">
      <w:pPr>
        <w:pStyle w:val="BfRBBStandard"/>
        <w:keepNext/>
        <w:rPr>
          <w:rFonts w:ascii="Verdana" w:eastAsia="Times New Roman" w:hAnsi="Verdana"/>
          <w:sz w:val="20"/>
          <w:szCs w:val="20"/>
          <w:lang w:val="en-GB" w:eastAsia="sv-SE"/>
        </w:rPr>
      </w:pPr>
    </w:p>
    <w:p w14:paraId="13A0D9F0"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1CD57CE5" w14:textId="77777777" w:rsidR="009D4550" w:rsidRPr="00275290" w:rsidRDefault="009D4550" w:rsidP="009D4550">
      <w:pPr>
        <w:pStyle w:val="Standard-italics"/>
        <w:rPr>
          <w:rFonts w:cs="Arial"/>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984"/>
        <w:gridCol w:w="1984"/>
        <w:gridCol w:w="1984"/>
      </w:tblGrid>
      <w:tr w:rsidR="004938EA" w:rsidRPr="00275290" w14:paraId="26B447E5" w14:textId="77777777" w:rsidTr="004E7A98">
        <w:tc>
          <w:tcPr>
            <w:tcW w:w="1983" w:type="dxa"/>
          </w:tcPr>
          <w:p w14:paraId="45251337"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1984" w:type="dxa"/>
          </w:tcPr>
          <w:p w14:paraId="3A5EFD66"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692BF26A"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55FFCDD5"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518851D9"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984" w:type="dxa"/>
          </w:tcPr>
          <w:p w14:paraId="75B8DA21"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6F2D9239" w14:textId="77777777" w:rsidTr="00666966">
        <w:tc>
          <w:tcPr>
            <w:tcW w:w="7935" w:type="dxa"/>
            <w:gridSpan w:val="4"/>
            <w:shd w:val="clear" w:color="auto" w:fill="BFBFBF" w:themeFill="background1" w:themeFillShade="BF"/>
            <w:vAlign w:val="center"/>
          </w:tcPr>
          <w:p w14:paraId="087406CC" w14:textId="72BB1099" w:rsidR="004938EA" w:rsidRPr="00275290" w:rsidRDefault="004938EA" w:rsidP="009D4550">
            <w:pPr>
              <w:rPr>
                <w:rFonts w:cs="Arial"/>
                <w:lang w:val="fr-FR"/>
              </w:rPr>
            </w:pPr>
            <w:r w:rsidRPr="00275290">
              <w:rPr>
                <w:rFonts w:cs="Arial"/>
                <w:lang w:val="fr-FR"/>
              </w:rPr>
              <w:t>Spraying 300g/m</w:t>
            </w:r>
            <w:r w:rsidRPr="00275290">
              <w:rPr>
                <w:rFonts w:cs="Arial"/>
                <w:vertAlign w:val="superscript"/>
                <w:lang w:val="fr-FR"/>
              </w:rPr>
              <w:t>2</w:t>
            </w:r>
          </w:p>
        </w:tc>
      </w:tr>
      <w:tr w:rsidR="004938EA" w:rsidRPr="00275290" w14:paraId="3873E158" w14:textId="77777777" w:rsidTr="00666966">
        <w:tc>
          <w:tcPr>
            <w:tcW w:w="1983" w:type="dxa"/>
            <w:vAlign w:val="center"/>
          </w:tcPr>
          <w:p w14:paraId="424F9476" w14:textId="77777777" w:rsidR="004938EA" w:rsidRPr="00275290" w:rsidRDefault="004938EA" w:rsidP="009D4550">
            <w:pPr>
              <w:rPr>
                <w:rFonts w:cs="Arial"/>
                <w:lang w:val="fr-FR"/>
              </w:rPr>
            </w:pPr>
            <w:r w:rsidRPr="00275290">
              <w:rPr>
                <w:rFonts w:cs="Arial"/>
                <w:lang w:val="fr-FR"/>
              </w:rPr>
              <w:t>M&amp;L</w:t>
            </w:r>
          </w:p>
        </w:tc>
        <w:tc>
          <w:tcPr>
            <w:tcW w:w="5952" w:type="dxa"/>
            <w:gridSpan w:val="3"/>
            <w:vAlign w:val="center"/>
          </w:tcPr>
          <w:p w14:paraId="4C544D4D" w14:textId="08A8D3F6" w:rsidR="004938EA" w:rsidRPr="00275290" w:rsidRDefault="004938EA" w:rsidP="009D4550">
            <w:pPr>
              <w:rPr>
                <w:rFonts w:cs="Arial"/>
                <w:lang w:val="fr-FR"/>
              </w:rPr>
            </w:pPr>
            <w:r w:rsidRPr="00275290">
              <w:rPr>
                <w:rFonts w:cs="Arial"/>
                <w:lang w:val="fr-FR"/>
              </w:rPr>
              <w:t>Included in the model</w:t>
            </w:r>
          </w:p>
        </w:tc>
      </w:tr>
      <w:tr w:rsidR="00417BF5" w:rsidRPr="00275290" w14:paraId="420F8331" w14:textId="77777777" w:rsidTr="004E7A98">
        <w:tc>
          <w:tcPr>
            <w:tcW w:w="1983" w:type="dxa"/>
            <w:vMerge w:val="restart"/>
            <w:vAlign w:val="center"/>
          </w:tcPr>
          <w:p w14:paraId="5098B4D4" w14:textId="77777777" w:rsidR="00417BF5" w:rsidRPr="00275290" w:rsidRDefault="00417BF5" w:rsidP="00417BF5">
            <w:pPr>
              <w:rPr>
                <w:rFonts w:cs="Arial"/>
                <w:lang w:val="fr-FR"/>
              </w:rPr>
            </w:pPr>
            <w:r w:rsidRPr="00275290">
              <w:rPr>
                <w:rFonts w:cs="Arial"/>
                <w:lang w:val="fr-FR"/>
              </w:rPr>
              <w:t>Application phase</w:t>
            </w:r>
          </w:p>
          <w:p w14:paraId="0D5DFAEA" w14:textId="77777777" w:rsidR="00417BF5" w:rsidRPr="00275290" w:rsidRDefault="00417BF5" w:rsidP="00417BF5">
            <w:pPr>
              <w:rPr>
                <w:rFonts w:cs="Arial"/>
                <w:lang w:val="fr-FR"/>
              </w:rPr>
            </w:pPr>
          </w:p>
        </w:tc>
        <w:tc>
          <w:tcPr>
            <w:tcW w:w="1984" w:type="dxa"/>
            <w:vAlign w:val="center"/>
          </w:tcPr>
          <w:p w14:paraId="696FAAF0" w14:textId="77777777" w:rsidR="00417BF5" w:rsidRPr="00275290" w:rsidRDefault="00417BF5" w:rsidP="00417BF5">
            <w:pPr>
              <w:rPr>
                <w:rFonts w:cs="Arial"/>
                <w:lang w:val="fr-FR"/>
              </w:rPr>
            </w:pPr>
            <w:r w:rsidRPr="00275290">
              <w:rPr>
                <w:rFonts w:cs="Arial"/>
                <w:lang w:val="fr-FR"/>
              </w:rPr>
              <w:t>Cyperméthrine</w:t>
            </w:r>
          </w:p>
          <w:p w14:paraId="7BFDA169" w14:textId="77777777" w:rsidR="00417BF5" w:rsidRPr="00275290" w:rsidRDefault="00417BF5" w:rsidP="00417BF5">
            <w:pPr>
              <w:rPr>
                <w:rFonts w:cs="Arial"/>
                <w:lang w:val="fr-FR"/>
              </w:rPr>
            </w:pPr>
            <w:r w:rsidRPr="00275290">
              <w:rPr>
                <w:rFonts w:cs="Arial"/>
                <w:lang w:val="fr-FR"/>
              </w:rPr>
              <w:t>0.088</w:t>
            </w:r>
          </w:p>
        </w:tc>
        <w:tc>
          <w:tcPr>
            <w:tcW w:w="1984" w:type="dxa"/>
            <w:vAlign w:val="center"/>
          </w:tcPr>
          <w:p w14:paraId="4C262C62" w14:textId="0AED77A4" w:rsidR="00417BF5" w:rsidRPr="00275290" w:rsidRDefault="00417BF5" w:rsidP="00417BF5">
            <w:pPr>
              <w:rPr>
                <w:rFonts w:cs="Arial"/>
                <w:color w:val="000000"/>
              </w:rPr>
            </w:pPr>
            <w:r w:rsidRPr="00E82E11">
              <w:rPr>
                <w:rFonts w:cs="Arial"/>
                <w:color w:val="000000"/>
              </w:rPr>
              <w:t>4,67E-02</w:t>
            </w:r>
          </w:p>
        </w:tc>
        <w:tc>
          <w:tcPr>
            <w:tcW w:w="1984" w:type="dxa"/>
            <w:vAlign w:val="center"/>
          </w:tcPr>
          <w:p w14:paraId="6F819386" w14:textId="531381E8" w:rsidR="00417BF5" w:rsidRPr="00275290" w:rsidRDefault="00417BF5" w:rsidP="00417BF5">
            <w:pPr>
              <w:rPr>
                <w:rFonts w:cs="Arial"/>
                <w:lang w:val="fr-FR"/>
              </w:rPr>
            </w:pPr>
            <w:r>
              <w:rPr>
                <w:rFonts w:cs="Arial"/>
                <w:lang w:val="fr-FR"/>
              </w:rPr>
              <w:t>53.0</w:t>
            </w:r>
          </w:p>
        </w:tc>
      </w:tr>
      <w:tr w:rsidR="00417BF5" w:rsidRPr="00275290" w14:paraId="44C24ACB" w14:textId="77777777" w:rsidTr="004E7A98">
        <w:tc>
          <w:tcPr>
            <w:tcW w:w="1983" w:type="dxa"/>
            <w:vMerge/>
            <w:vAlign w:val="center"/>
          </w:tcPr>
          <w:p w14:paraId="6828C4AB" w14:textId="77777777" w:rsidR="00417BF5" w:rsidRPr="00275290" w:rsidRDefault="00417BF5" w:rsidP="00417BF5">
            <w:pPr>
              <w:rPr>
                <w:rFonts w:cs="Arial"/>
                <w:lang w:val="fr-FR"/>
              </w:rPr>
            </w:pPr>
          </w:p>
        </w:tc>
        <w:tc>
          <w:tcPr>
            <w:tcW w:w="1984" w:type="dxa"/>
            <w:vAlign w:val="center"/>
          </w:tcPr>
          <w:p w14:paraId="7F0DB41A" w14:textId="77777777"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4BC33D6F" w14:textId="2E6B7085" w:rsidR="00417BF5" w:rsidRPr="00275290" w:rsidRDefault="00417BF5" w:rsidP="00417BF5">
            <w:pPr>
              <w:rPr>
                <w:rFonts w:cs="Arial"/>
                <w:color w:val="000000"/>
              </w:rPr>
            </w:pPr>
            <w:r w:rsidRPr="00E82E11">
              <w:rPr>
                <w:rFonts w:cs="Arial"/>
                <w:color w:val="000000"/>
              </w:rPr>
              <w:t>6,78E-02</w:t>
            </w:r>
          </w:p>
        </w:tc>
        <w:tc>
          <w:tcPr>
            <w:tcW w:w="1984" w:type="dxa"/>
            <w:vAlign w:val="center"/>
          </w:tcPr>
          <w:p w14:paraId="1C18AC0F" w14:textId="6AC86832" w:rsidR="00417BF5" w:rsidRPr="00275290" w:rsidRDefault="00417BF5" w:rsidP="00417BF5">
            <w:pPr>
              <w:rPr>
                <w:rFonts w:cs="Arial"/>
                <w:lang w:val="fr-FR"/>
              </w:rPr>
            </w:pPr>
            <w:r>
              <w:rPr>
                <w:rFonts w:cs="Arial"/>
                <w:lang w:val="fr-FR"/>
              </w:rPr>
              <w:t>22.6</w:t>
            </w:r>
          </w:p>
        </w:tc>
      </w:tr>
      <w:tr w:rsidR="00417BF5" w:rsidRPr="00275290" w14:paraId="7048EC38" w14:textId="77777777" w:rsidTr="004E7A98">
        <w:tc>
          <w:tcPr>
            <w:tcW w:w="1983" w:type="dxa"/>
            <w:vMerge/>
            <w:vAlign w:val="center"/>
          </w:tcPr>
          <w:p w14:paraId="6CBC1826" w14:textId="77777777" w:rsidR="00417BF5" w:rsidRPr="00275290" w:rsidRDefault="00417BF5" w:rsidP="00417BF5">
            <w:pPr>
              <w:rPr>
                <w:rFonts w:cs="Arial"/>
                <w:lang w:val="fr-FR"/>
              </w:rPr>
            </w:pPr>
          </w:p>
        </w:tc>
        <w:tc>
          <w:tcPr>
            <w:tcW w:w="1984" w:type="dxa"/>
            <w:vAlign w:val="center"/>
          </w:tcPr>
          <w:p w14:paraId="06F751CF" w14:textId="77777777"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590A2A2B" w14:textId="255223C0" w:rsidR="00417BF5" w:rsidRPr="00275290" w:rsidRDefault="00417BF5" w:rsidP="00417BF5">
            <w:pPr>
              <w:rPr>
                <w:rFonts w:cs="Arial"/>
                <w:color w:val="000000"/>
              </w:rPr>
            </w:pPr>
            <w:r w:rsidRPr="00E82E11">
              <w:rPr>
                <w:rFonts w:cs="Arial"/>
                <w:color w:val="000000"/>
              </w:rPr>
              <w:t>2,51E-02</w:t>
            </w:r>
          </w:p>
        </w:tc>
        <w:tc>
          <w:tcPr>
            <w:tcW w:w="1984" w:type="dxa"/>
            <w:vAlign w:val="center"/>
          </w:tcPr>
          <w:p w14:paraId="7600A7C2" w14:textId="5B3251A4" w:rsidR="00417BF5" w:rsidRPr="00275290" w:rsidRDefault="00417BF5" w:rsidP="00417BF5">
            <w:pPr>
              <w:rPr>
                <w:rFonts w:cs="Arial"/>
                <w:lang w:val="fr-FR"/>
              </w:rPr>
            </w:pPr>
            <w:r>
              <w:rPr>
                <w:rFonts w:cs="Arial"/>
                <w:lang w:val="fr-FR"/>
              </w:rPr>
              <w:t>83.8</w:t>
            </w:r>
          </w:p>
        </w:tc>
      </w:tr>
      <w:tr w:rsidR="00417BF5" w:rsidRPr="00275290" w14:paraId="08607F17" w14:textId="77777777" w:rsidTr="004E7A98">
        <w:tc>
          <w:tcPr>
            <w:tcW w:w="1983" w:type="dxa"/>
            <w:vMerge/>
            <w:vAlign w:val="center"/>
          </w:tcPr>
          <w:p w14:paraId="389B05F3" w14:textId="77777777" w:rsidR="00417BF5" w:rsidRPr="00275290" w:rsidRDefault="00417BF5" w:rsidP="00417BF5">
            <w:pPr>
              <w:rPr>
                <w:rFonts w:cs="Arial"/>
                <w:lang w:val="fr-FR"/>
              </w:rPr>
            </w:pPr>
          </w:p>
        </w:tc>
        <w:tc>
          <w:tcPr>
            <w:tcW w:w="1984" w:type="dxa"/>
            <w:vAlign w:val="center"/>
          </w:tcPr>
          <w:p w14:paraId="2E3FFA71" w14:textId="77777777" w:rsidR="00417BF5" w:rsidRPr="00275290" w:rsidRDefault="00417BF5" w:rsidP="00417BF5">
            <w:pPr>
              <w:rPr>
                <w:rFonts w:cs="Arial"/>
                <w:lang w:val="fr-FR"/>
              </w:rPr>
            </w:pPr>
            <w:r w:rsidRPr="00275290">
              <w:rPr>
                <w:rFonts w:cs="Arial"/>
                <w:lang w:val="fr-FR"/>
              </w:rPr>
              <w:t>IPBC</w:t>
            </w:r>
          </w:p>
          <w:p w14:paraId="67779F9C" w14:textId="77777777" w:rsidR="00417BF5" w:rsidRPr="00275290" w:rsidRDefault="00417BF5" w:rsidP="00417BF5">
            <w:pPr>
              <w:rPr>
                <w:rFonts w:cs="Arial"/>
                <w:lang w:val="fr-FR"/>
              </w:rPr>
            </w:pPr>
            <w:r w:rsidRPr="00275290">
              <w:rPr>
                <w:rFonts w:cs="Arial"/>
                <w:lang w:val="fr-FR"/>
              </w:rPr>
              <w:t>0.35</w:t>
            </w:r>
          </w:p>
        </w:tc>
        <w:tc>
          <w:tcPr>
            <w:tcW w:w="1984" w:type="dxa"/>
            <w:vAlign w:val="center"/>
          </w:tcPr>
          <w:p w14:paraId="7333065A" w14:textId="3472F910" w:rsidR="00417BF5" w:rsidRPr="00275290" w:rsidRDefault="00417BF5" w:rsidP="00417BF5">
            <w:pPr>
              <w:rPr>
                <w:rFonts w:cs="Arial"/>
                <w:color w:val="000000"/>
              </w:rPr>
            </w:pPr>
            <w:r w:rsidRPr="00E82E11">
              <w:rPr>
                <w:rFonts w:cs="Arial"/>
                <w:color w:val="000000"/>
              </w:rPr>
              <w:t>5,99E-02</w:t>
            </w:r>
          </w:p>
        </w:tc>
        <w:tc>
          <w:tcPr>
            <w:tcW w:w="1984" w:type="dxa"/>
            <w:vAlign w:val="center"/>
          </w:tcPr>
          <w:p w14:paraId="07878D01" w14:textId="39C9B7A6" w:rsidR="00417BF5" w:rsidRPr="00275290" w:rsidRDefault="00417BF5" w:rsidP="00417BF5">
            <w:pPr>
              <w:rPr>
                <w:rFonts w:cs="Arial"/>
                <w:lang w:val="fr-FR"/>
              </w:rPr>
            </w:pPr>
            <w:r>
              <w:rPr>
                <w:rFonts w:cs="Arial"/>
                <w:lang w:val="fr-FR"/>
              </w:rPr>
              <w:t>17.1</w:t>
            </w:r>
          </w:p>
        </w:tc>
      </w:tr>
      <w:tr w:rsidR="00417BF5" w:rsidRPr="00275290" w14:paraId="430ED457" w14:textId="77777777" w:rsidTr="004E7A98">
        <w:tc>
          <w:tcPr>
            <w:tcW w:w="1983" w:type="dxa"/>
            <w:vMerge w:val="restart"/>
            <w:vAlign w:val="center"/>
          </w:tcPr>
          <w:p w14:paraId="78F84156" w14:textId="77777777" w:rsidR="00417BF5" w:rsidRPr="00275290" w:rsidRDefault="00417BF5" w:rsidP="00417BF5">
            <w:pPr>
              <w:rPr>
                <w:rFonts w:cs="Arial"/>
                <w:lang w:val="fr-FR"/>
              </w:rPr>
            </w:pPr>
            <w:r w:rsidRPr="00275290">
              <w:rPr>
                <w:rFonts w:cs="Arial"/>
                <w:lang w:val="fr-FR"/>
              </w:rPr>
              <w:t xml:space="preserve">Cleaning spray equipment </w:t>
            </w:r>
          </w:p>
        </w:tc>
        <w:tc>
          <w:tcPr>
            <w:tcW w:w="1984" w:type="dxa"/>
            <w:vAlign w:val="center"/>
          </w:tcPr>
          <w:p w14:paraId="66EF71FB" w14:textId="77777777" w:rsidR="00417BF5" w:rsidRPr="00275290" w:rsidRDefault="00417BF5" w:rsidP="00417BF5">
            <w:pPr>
              <w:rPr>
                <w:rFonts w:cs="Arial"/>
                <w:lang w:val="fr-FR"/>
              </w:rPr>
            </w:pPr>
            <w:r w:rsidRPr="00275290">
              <w:rPr>
                <w:rFonts w:cs="Arial"/>
                <w:lang w:val="fr-FR"/>
              </w:rPr>
              <w:t>Cyperméthrine</w:t>
            </w:r>
          </w:p>
          <w:p w14:paraId="0AF4A033" w14:textId="77777777" w:rsidR="00417BF5" w:rsidRPr="00275290" w:rsidRDefault="00417BF5" w:rsidP="00417BF5">
            <w:pPr>
              <w:rPr>
                <w:rFonts w:cs="Arial"/>
                <w:lang w:val="fr-FR"/>
              </w:rPr>
            </w:pPr>
            <w:r w:rsidRPr="00275290">
              <w:rPr>
                <w:rFonts w:cs="Arial"/>
                <w:lang w:val="fr-FR"/>
              </w:rPr>
              <w:t>0.088</w:t>
            </w:r>
          </w:p>
        </w:tc>
        <w:tc>
          <w:tcPr>
            <w:tcW w:w="1984" w:type="dxa"/>
            <w:vAlign w:val="center"/>
          </w:tcPr>
          <w:p w14:paraId="65B27B39" w14:textId="49D1C2F9" w:rsidR="00417BF5" w:rsidRPr="00275290" w:rsidRDefault="00417BF5" w:rsidP="00417BF5">
            <w:pPr>
              <w:rPr>
                <w:rFonts w:cs="Arial"/>
                <w:color w:val="000000"/>
              </w:rPr>
            </w:pPr>
            <w:r w:rsidRPr="00275290">
              <w:rPr>
                <w:rFonts w:cs="Arial"/>
                <w:color w:val="000000"/>
              </w:rPr>
              <w:t>2,65E-03</w:t>
            </w:r>
          </w:p>
        </w:tc>
        <w:tc>
          <w:tcPr>
            <w:tcW w:w="1984" w:type="dxa"/>
            <w:vAlign w:val="center"/>
          </w:tcPr>
          <w:p w14:paraId="0B2E2A7A" w14:textId="0F31A2CD" w:rsidR="00417BF5" w:rsidRPr="00275290" w:rsidRDefault="00417BF5" w:rsidP="00417BF5">
            <w:pPr>
              <w:rPr>
                <w:rFonts w:cs="Arial"/>
                <w:lang w:val="fr-FR"/>
              </w:rPr>
            </w:pPr>
            <w:r>
              <w:rPr>
                <w:rFonts w:cs="Arial"/>
                <w:lang w:val="fr-FR"/>
              </w:rPr>
              <w:t>3.0</w:t>
            </w:r>
          </w:p>
        </w:tc>
      </w:tr>
      <w:tr w:rsidR="00417BF5" w:rsidRPr="00275290" w14:paraId="353CBD7A" w14:textId="77777777" w:rsidTr="004E7A98">
        <w:tc>
          <w:tcPr>
            <w:tcW w:w="1983" w:type="dxa"/>
            <w:vMerge/>
            <w:vAlign w:val="center"/>
          </w:tcPr>
          <w:p w14:paraId="2AF4DB62" w14:textId="77777777" w:rsidR="00417BF5" w:rsidRPr="00275290" w:rsidRDefault="00417BF5" w:rsidP="00417BF5">
            <w:pPr>
              <w:rPr>
                <w:rFonts w:cs="Arial"/>
                <w:lang w:val="fr-FR"/>
              </w:rPr>
            </w:pPr>
          </w:p>
        </w:tc>
        <w:tc>
          <w:tcPr>
            <w:tcW w:w="1984" w:type="dxa"/>
            <w:vAlign w:val="center"/>
          </w:tcPr>
          <w:p w14:paraId="0E9106E9" w14:textId="77777777"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6CC2D6FC" w14:textId="232E8D1B" w:rsidR="00417BF5" w:rsidRPr="00275290" w:rsidRDefault="00417BF5" w:rsidP="00417BF5">
            <w:pPr>
              <w:rPr>
                <w:rFonts w:cs="Arial"/>
                <w:color w:val="000000"/>
              </w:rPr>
            </w:pPr>
            <w:r w:rsidRPr="00275290">
              <w:rPr>
                <w:rFonts w:cs="Arial"/>
                <w:color w:val="000000"/>
              </w:rPr>
              <w:t>3,82E-03</w:t>
            </w:r>
          </w:p>
        </w:tc>
        <w:tc>
          <w:tcPr>
            <w:tcW w:w="1984" w:type="dxa"/>
            <w:vAlign w:val="center"/>
          </w:tcPr>
          <w:p w14:paraId="09BE602F" w14:textId="4BE8113C" w:rsidR="00417BF5" w:rsidRPr="00275290" w:rsidRDefault="00417BF5" w:rsidP="00417BF5">
            <w:pPr>
              <w:rPr>
                <w:rFonts w:cs="Arial"/>
                <w:lang w:val="fr-FR"/>
              </w:rPr>
            </w:pPr>
            <w:r w:rsidRPr="00275290">
              <w:rPr>
                <w:rFonts w:cs="Arial"/>
                <w:lang w:val="fr-FR"/>
              </w:rPr>
              <w:t>1.</w:t>
            </w:r>
            <w:r>
              <w:rPr>
                <w:rFonts w:cs="Arial"/>
                <w:lang w:val="fr-FR"/>
              </w:rPr>
              <w:t>3</w:t>
            </w:r>
          </w:p>
        </w:tc>
      </w:tr>
      <w:tr w:rsidR="00417BF5" w:rsidRPr="00275290" w14:paraId="5091E5AB" w14:textId="77777777" w:rsidTr="004E7A98">
        <w:tc>
          <w:tcPr>
            <w:tcW w:w="1983" w:type="dxa"/>
            <w:vMerge/>
            <w:vAlign w:val="center"/>
          </w:tcPr>
          <w:p w14:paraId="763DD366" w14:textId="77777777" w:rsidR="00417BF5" w:rsidRPr="00275290" w:rsidRDefault="00417BF5" w:rsidP="00417BF5">
            <w:pPr>
              <w:rPr>
                <w:rFonts w:cs="Arial"/>
                <w:lang w:val="fr-FR"/>
              </w:rPr>
            </w:pPr>
          </w:p>
        </w:tc>
        <w:tc>
          <w:tcPr>
            <w:tcW w:w="1984" w:type="dxa"/>
            <w:vAlign w:val="center"/>
          </w:tcPr>
          <w:p w14:paraId="3CE3E757" w14:textId="77777777"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0E2ED50B" w14:textId="661D708C" w:rsidR="00417BF5" w:rsidRPr="00275290" w:rsidRDefault="00417BF5" w:rsidP="00417BF5">
            <w:pPr>
              <w:rPr>
                <w:rFonts w:cs="Arial"/>
                <w:color w:val="000000"/>
              </w:rPr>
            </w:pPr>
            <w:r w:rsidRPr="00275290">
              <w:rPr>
                <w:rFonts w:cs="Arial"/>
                <w:color w:val="000000"/>
              </w:rPr>
              <w:t>1,42E-03</w:t>
            </w:r>
          </w:p>
        </w:tc>
        <w:tc>
          <w:tcPr>
            <w:tcW w:w="1984" w:type="dxa"/>
            <w:vAlign w:val="center"/>
          </w:tcPr>
          <w:p w14:paraId="35AFB1B5" w14:textId="1273872D" w:rsidR="00417BF5" w:rsidRPr="00275290" w:rsidRDefault="00417BF5" w:rsidP="00417BF5">
            <w:pPr>
              <w:rPr>
                <w:rFonts w:cs="Arial"/>
                <w:lang w:val="fr-FR"/>
              </w:rPr>
            </w:pPr>
            <w:r w:rsidRPr="00275290">
              <w:rPr>
                <w:rFonts w:cs="Arial"/>
                <w:lang w:val="fr-FR"/>
              </w:rPr>
              <w:t>4.</w:t>
            </w:r>
            <w:r>
              <w:rPr>
                <w:rFonts w:cs="Arial"/>
                <w:lang w:val="fr-FR"/>
              </w:rPr>
              <w:t>8</w:t>
            </w:r>
          </w:p>
        </w:tc>
      </w:tr>
      <w:tr w:rsidR="00417BF5" w:rsidRPr="00275290" w14:paraId="2722C623" w14:textId="77777777" w:rsidTr="004E7A98">
        <w:tc>
          <w:tcPr>
            <w:tcW w:w="1983" w:type="dxa"/>
            <w:vMerge/>
            <w:vAlign w:val="center"/>
          </w:tcPr>
          <w:p w14:paraId="0824C03E" w14:textId="77777777" w:rsidR="00417BF5" w:rsidRPr="00275290" w:rsidRDefault="00417BF5" w:rsidP="00417BF5">
            <w:pPr>
              <w:rPr>
                <w:rFonts w:cs="Arial"/>
                <w:lang w:val="fr-FR"/>
              </w:rPr>
            </w:pPr>
          </w:p>
        </w:tc>
        <w:tc>
          <w:tcPr>
            <w:tcW w:w="1984" w:type="dxa"/>
            <w:vAlign w:val="center"/>
          </w:tcPr>
          <w:p w14:paraId="04EFCC50" w14:textId="77777777" w:rsidR="00417BF5" w:rsidRPr="00275290" w:rsidRDefault="00417BF5" w:rsidP="00417BF5">
            <w:pPr>
              <w:rPr>
                <w:rFonts w:cs="Arial"/>
                <w:lang w:val="fr-FR"/>
              </w:rPr>
            </w:pPr>
            <w:r w:rsidRPr="00275290">
              <w:rPr>
                <w:rFonts w:cs="Arial"/>
                <w:lang w:val="fr-FR"/>
              </w:rPr>
              <w:t>IPBC</w:t>
            </w:r>
          </w:p>
          <w:p w14:paraId="7E7DDEF8" w14:textId="77777777" w:rsidR="00417BF5" w:rsidRPr="00275290" w:rsidRDefault="00417BF5" w:rsidP="00417BF5">
            <w:pPr>
              <w:rPr>
                <w:rFonts w:cs="Arial"/>
                <w:lang w:val="fr-FR"/>
              </w:rPr>
            </w:pPr>
            <w:r w:rsidRPr="00275290">
              <w:rPr>
                <w:rFonts w:cs="Arial"/>
                <w:lang w:val="fr-FR"/>
              </w:rPr>
              <w:t>0.35</w:t>
            </w:r>
          </w:p>
        </w:tc>
        <w:tc>
          <w:tcPr>
            <w:tcW w:w="1984" w:type="dxa"/>
            <w:vAlign w:val="center"/>
          </w:tcPr>
          <w:p w14:paraId="3DDFBBFE" w14:textId="227A01F1" w:rsidR="00417BF5" w:rsidRPr="00275290" w:rsidRDefault="00417BF5" w:rsidP="00417BF5">
            <w:pPr>
              <w:rPr>
                <w:rFonts w:cs="Arial"/>
                <w:color w:val="000000"/>
              </w:rPr>
            </w:pPr>
            <w:r w:rsidRPr="00275290">
              <w:rPr>
                <w:rFonts w:cs="Arial"/>
                <w:color w:val="000000"/>
              </w:rPr>
              <w:t>3,45E-03</w:t>
            </w:r>
          </w:p>
        </w:tc>
        <w:tc>
          <w:tcPr>
            <w:tcW w:w="1984" w:type="dxa"/>
            <w:vAlign w:val="center"/>
          </w:tcPr>
          <w:p w14:paraId="4B3BC854" w14:textId="03660173" w:rsidR="00417BF5" w:rsidRPr="00275290" w:rsidRDefault="00417BF5" w:rsidP="00417BF5">
            <w:pPr>
              <w:rPr>
                <w:rFonts w:cs="Arial"/>
                <w:lang w:val="fr-FR"/>
              </w:rPr>
            </w:pPr>
            <w:r>
              <w:rPr>
                <w:rFonts w:cs="Arial"/>
                <w:lang w:val="fr-FR"/>
              </w:rPr>
              <w:t>0.98</w:t>
            </w:r>
          </w:p>
        </w:tc>
      </w:tr>
      <w:tr w:rsidR="00417BF5" w:rsidRPr="00275290" w14:paraId="388D7CB7" w14:textId="77777777" w:rsidTr="000E1EAD">
        <w:tc>
          <w:tcPr>
            <w:tcW w:w="1983" w:type="dxa"/>
            <w:vMerge w:val="restart"/>
            <w:shd w:val="clear" w:color="auto" w:fill="C6D9F1" w:themeFill="text2" w:themeFillTint="33"/>
            <w:vAlign w:val="center"/>
          </w:tcPr>
          <w:p w14:paraId="7C17F3BE" w14:textId="77777777" w:rsidR="00417BF5" w:rsidRPr="00275290" w:rsidRDefault="00417BF5" w:rsidP="00417BF5">
            <w:pPr>
              <w:rPr>
                <w:rFonts w:cs="Arial"/>
                <w:lang w:val="fr-FR"/>
              </w:rPr>
            </w:pPr>
            <w:r w:rsidRPr="00275290">
              <w:rPr>
                <w:rFonts w:cs="Arial"/>
                <w:lang w:val="fr-FR"/>
              </w:rPr>
              <w:t>Appli + cleaning</w:t>
            </w:r>
          </w:p>
        </w:tc>
        <w:tc>
          <w:tcPr>
            <w:tcW w:w="1984" w:type="dxa"/>
            <w:shd w:val="clear" w:color="auto" w:fill="C6D9F1" w:themeFill="text2" w:themeFillTint="33"/>
            <w:vAlign w:val="center"/>
          </w:tcPr>
          <w:p w14:paraId="3DEEC7B8" w14:textId="77777777" w:rsidR="00417BF5" w:rsidRPr="00275290" w:rsidRDefault="00417BF5" w:rsidP="00417BF5">
            <w:pPr>
              <w:rPr>
                <w:rFonts w:cs="Arial"/>
                <w:lang w:val="fr-FR"/>
              </w:rPr>
            </w:pPr>
            <w:r w:rsidRPr="00275290">
              <w:rPr>
                <w:rFonts w:cs="Arial"/>
                <w:lang w:val="fr-FR"/>
              </w:rPr>
              <w:t>Cyperméthrine</w:t>
            </w:r>
          </w:p>
          <w:p w14:paraId="0C70B5E3" w14:textId="77777777" w:rsidR="00417BF5" w:rsidRPr="00275290" w:rsidRDefault="00417BF5" w:rsidP="00417BF5">
            <w:pPr>
              <w:rPr>
                <w:rFonts w:cs="Arial"/>
                <w:lang w:val="fr-FR"/>
              </w:rPr>
            </w:pPr>
            <w:r w:rsidRPr="00275290">
              <w:rPr>
                <w:rFonts w:cs="Arial"/>
                <w:lang w:val="fr-FR"/>
              </w:rPr>
              <w:t>0.088</w:t>
            </w:r>
          </w:p>
        </w:tc>
        <w:tc>
          <w:tcPr>
            <w:tcW w:w="1984" w:type="dxa"/>
            <w:shd w:val="clear" w:color="auto" w:fill="C6D9F1"/>
            <w:vAlign w:val="center"/>
          </w:tcPr>
          <w:p w14:paraId="5AFE8959" w14:textId="4E30D33A" w:rsidR="00417BF5" w:rsidRPr="00275290" w:rsidRDefault="00417BF5" w:rsidP="00417BF5">
            <w:pPr>
              <w:rPr>
                <w:rFonts w:cs="Arial"/>
                <w:color w:val="000000"/>
              </w:rPr>
            </w:pPr>
            <w:r>
              <w:rPr>
                <w:rFonts w:ascii="Calibri" w:hAnsi="Calibri" w:cs="Calibri"/>
                <w:color w:val="000000"/>
                <w:sz w:val="22"/>
                <w:szCs w:val="22"/>
              </w:rPr>
              <w:t>4,93E-02</w:t>
            </w:r>
          </w:p>
        </w:tc>
        <w:tc>
          <w:tcPr>
            <w:tcW w:w="1984" w:type="dxa"/>
            <w:shd w:val="clear" w:color="auto" w:fill="C6D9F1" w:themeFill="text2" w:themeFillTint="33"/>
            <w:vAlign w:val="center"/>
          </w:tcPr>
          <w:p w14:paraId="71E80AE6" w14:textId="04A96625" w:rsidR="00417BF5" w:rsidRPr="00275290" w:rsidRDefault="00417BF5" w:rsidP="00417BF5">
            <w:pPr>
              <w:rPr>
                <w:rFonts w:cs="Arial"/>
                <w:lang w:val="fr-FR"/>
              </w:rPr>
            </w:pPr>
            <w:r>
              <w:rPr>
                <w:rFonts w:cs="Arial"/>
                <w:lang w:val="fr-FR"/>
              </w:rPr>
              <w:t>56</w:t>
            </w:r>
          </w:p>
        </w:tc>
      </w:tr>
      <w:tr w:rsidR="00417BF5" w:rsidRPr="00275290" w14:paraId="55E98D55" w14:textId="77777777" w:rsidTr="000E1EAD">
        <w:tc>
          <w:tcPr>
            <w:tcW w:w="1983" w:type="dxa"/>
            <w:vMerge/>
            <w:shd w:val="clear" w:color="auto" w:fill="C6D9F1" w:themeFill="text2" w:themeFillTint="33"/>
            <w:vAlign w:val="center"/>
          </w:tcPr>
          <w:p w14:paraId="26F64057"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500F0480" w14:textId="77777777" w:rsidR="00417BF5" w:rsidRPr="00275290" w:rsidRDefault="00417BF5" w:rsidP="00417BF5">
            <w:pPr>
              <w:rPr>
                <w:rFonts w:cs="Arial"/>
                <w:lang w:val="fr-FR"/>
              </w:rPr>
            </w:pPr>
            <w:r w:rsidRPr="00275290">
              <w:rPr>
                <w:rFonts w:cs="Arial"/>
                <w:lang w:val="fr-FR"/>
              </w:rPr>
              <w:t>Propiconazole : 0.3</w:t>
            </w:r>
          </w:p>
        </w:tc>
        <w:tc>
          <w:tcPr>
            <w:tcW w:w="1984" w:type="dxa"/>
            <w:shd w:val="clear" w:color="auto" w:fill="C6D9F1"/>
            <w:vAlign w:val="center"/>
          </w:tcPr>
          <w:p w14:paraId="2357B68A" w14:textId="447AA14A" w:rsidR="00417BF5" w:rsidRPr="00275290" w:rsidRDefault="00417BF5" w:rsidP="00417BF5">
            <w:pPr>
              <w:rPr>
                <w:rFonts w:cs="Arial"/>
                <w:lang w:val="fr-FR"/>
              </w:rPr>
            </w:pPr>
            <w:r>
              <w:rPr>
                <w:rFonts w:ascii="Calibri" w:hAnsi="Calibri" w:cs="Calibri"/>
                <w:color w:val="000000"/>
                <w:sz w:val="22"/>
                <w:szCs w:val="22"/>
              </w:rPr>
              <w:t>7,16E-02</w:t>
            </w:r>
          </w:p>
        </w:tc>
        <w:tc>
          <w:tcPr>
            <w:tcW w:w="1984" w:type="dxa"/>
            <w:shd w:val="clear" w:color="auto" w:fill="C6D9F1" w:themeFill="text2" w:themeFillTint="33"/>
            <w:vAlign w:val="center"/>
          </w:tcPr>
          <w:p w14:paraId="77029915" w14:textId="6A0541E1" w:rsidR="00417BF5" w:rsidRPr="00275290" w:rsidRDefault="00417BF5" w:rsidP="00417BF5">
            <w:pPr>
              <w:rPr>
                <w:rFonts w:cs="Arial"/>
                <w:lang w:val="fr-FR"/>
              </w:rPr>
            </w:pPr>
            <w:r>
              <w:rPr>
                <w:rFonts w:cs="Arial"/>
                <w:lang w:val="fr-FR"/>
              </w:rPr>
              <w:t>23.9</w:t>
            </w:r>
          </w:p>
        </w:tc>
      </w:tr>
      <w:tr w:rsidR="00417BF5" w:rsidRPr="00275290" w14:paraId="6F7DE692" w14:textId="77777777" w:rsidTr="000E1EAD">
        <w:tc>
          <w:tcPr>
            <w:tcW w:w="1983" w:type="dxa"/>
            <w:vMerge/>
            <w:shd w:val="clear" w:color="auto" w:fill="C6D9F1" w:themeFill="text2" w:themeFillTint="33"/>
            <w:vAlign w:val="center"/>
          </w:tcPr>
          <w:p w14:paraId="7BDFDE53"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56611E4C" w14:textId="77777777" w:rsidR="00417BF5" w:rsidRPr="00275290" w:rsidRDefault="00417BF5" w:rsidP="00417BF5">
            <w:pPr>
              <w:rPr>
                <w:rFonts w:cs="Arial"/>
                <w:lang w:val="fr-FR"/>
              </w:rPr>
            </w:pPr>
            <w:r w:rsidRPr="00275290">
              <w:rPr>
                <w:rFonts w:cs="Arial"/>
                <w:lang w:val="fr-FR"/>
              </w:rPr>
              <w:t>Tébuconazole : 0.03</w:t>
            </w:r>
          </w:p>
        </w:tc>
        <w:tc>
          <w:tcPr>
            <w:tcW w:w="1984" w:type="dxa"/>
            <w:shd w:val="clear" w:color="auto" w:fill="C6D9F1"/>
            <w:vAlign w:val="center"/>
          </w:tcPr>
          <w:p w14:paraId="73A0019A" w14:textId="0C5A2421" w:rsidR="00417BF5" w:rsidRPr="00275290" w:rsidRDefault="00417BF5" w:rsidP="00417BF5">
            <w:pPr>
              <w:rPr>
                <w:rFonts w:cs="Arial"/>
                <w:lang w:val="fr-FR"/>
              </w:rPr>
            </w:pPr>
            <w:r>
              <w:rPr>
                <w:rFonts w:ascii="Calibri" w:hAnsi="Calibri" w:cs="Calibri"/>
                <w:color w:val="000000"/>
                <w:sz w:val="22"/>
                <w:szCs w:val="22"/>
              </w:rPr>
              <w:t>2,66E-02</w:t>
            </w:r>
          </w:p>
        </w:tc>
        <w:tc>
          <w:tcPr>
            <w:tcW w:w="1984" w:type="dxa"/>
            <w:shd w:val="clear" w:color="auto" w:fill="C6D9F1" w:themeFill="text2" w:themeFillTint="33"/>
            <w:vAlign w:val="center"/>
          </w:tcPr>
          <w:p w14:paraId="5C6A62C3" w14:textId="2BCCEB7B" w:rsidR="00417BF5" w:rsidRPr="00275290" w:rsidRDefault="00417BF5" w:rsidP="00417BF5">
            <w:pPr>
              <w:rPr>
                <w:rFonts w:cs="Arial"/>
                <w:lang w:val="fr-FR"/>
              </w:rPr>
            </w:pPr>
            <w:r>
              <w:rPr>
                <w:rFonts w:cs="Arial"/>
                <w:lang w:val="fr-FR"/>
              </w:rPr>
              <w:t>88.5</w:t>
            </w:r>
          </w:p>
        </w:tc>
      </w:tr>
      <w:tr w:rsidR="00417BF5" w:rsidRPr="00275290" w14:paraId="227B71F8" w14:textId="77777777" w:rsidTr="000E1EAD">
        <w:tc>
          <w:tcPr>
            <w:tcW w:w="1983" w:type="dxa"/>
            <w:vMerge/>
            <w:shd w:val="clear" w:color="auto" w:fill="C6D9F1" w:themeFill="text2" w:themeFillTint="33"/>
            <w:vAlign w:val="center"/>
          </w:tcPr>
          <w:p w14:paraId="4C036474"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393181E5" w14:textId="77777777" w:rsidR="00417BF5" w:rsidRPr="00275290" w:rsidRDefault="00417BF5" w:rsidP="00417BF5">
            <w:pPr>
              <w:rPr>
                <w:rFonts w:cs="Arial"/>
                <w:lang w:val="fr-FR"/>
              </w:rPr>
            </w:pPr>
            <w:r w:rsidRPr="00275290">
              <w:rPr>
                <w:rFonts w:cs="Arial"/>
                <w:lang w:val="fr-FR"/>
              </w:rPr>
              <w:t>IPBC</w:t>
            </w:r>
          </w:p>
          <w:p w14:paraId="3B50FA2B" w14:textId="77777777" w:rsidR="00417BF5" w:rsidRPr="00275290" w:rsidRDefault="00417BF5" w:rsidP="00417BF5">
            <w:pPr>
              <w:rPr>
                <w:rFonts w:cs="Arial"/>
                <w:lang w:val="fr-FR"/>
              </w:rPr>
            </w:pPr>
            <w:r w:rsidRPr="00275290">
              <w:rPr>
                <w:rFonts w:cs="Arial"/>
                <w:lang w:val="fr-FR"/>
              </w:rPr>
              <w:lastRenderedPageBreak/>
              <w:t>0.35</w:t>
            </w:r>
          </w:p>
        </w:tc>
        <w:tc>
          <w:tcPr>
            <w:tcW w:w="1984" w:type="dxa"/>
            <w:shd w:val="clear" w:color="auto" w:fill="C6D9F1"/>
            <w:vAlign w:val="center"/>
          </w:tcPr>
          <w:p w14:paraId="2C9A2481" w14:textId="37A3DB9B" w:rsidR="00417BF5" w:rsidRPr="00275290" w:rsidRDefault="00417BF5" w:rsidP="00417BF5">
            <w:pPr>
              <w:rPr>
                <w:rFonts w:cs="Arial"/>
                <w:color w:val="000000"/>
              </w:rPr>
            </w:pPr>
            <w:r>
              <w:rPr>
                <w:rFonts w:ascii="Calibri" w:hAnsi="Calibri" w:cs="Calibri"/>
                <w:color w:val="000000"/>
                <w:sz w:val="22"/>
                <w:szCs w:val="22"/>
              </w:rPr>
              <w:lastRenderedPageBreak/>
              <w:t>6,33E-02</w:t>
            </w:r>
          </w:p>
        </w:tc>
        <w:tc>
          <w:tcPr>
            <w:tcW w:w="1984" w:type="dxa"/>
            <w:shd w:val="clear" w:color="auto" w:fill="C6D9F1" w:themeFill="text2" w:themeFillTint="33"/>
            <w:vAlign w:val="center"/>
          </w:tcPr>
          <w:p w14:paraId="30773D62" w14:textId="5C3CFFDA" w:rsidR="00417BF5" w:rsidRPr="00275290" w:rsidRDefault="00417BF5" w:rsidP="00417BF5">
            <w:pPr>
              <w:rPr>
                <w:rFonts w:cs="Arial"/>
                <w:lang w:val="fr-FR"/>
              </w:rPr>
            </w:pPr>
            <w:r>
              <w:rPr>
                <w:rFonts w:cs="Arial"/>
                <w:lang w:val="fr-FR"/>
              </w:rPr>
              <w:t>18.1</w:t>
            </w:r>
          </w:p>
        </w:tc>
      </w:tr>
    </w:tbl>
    <w:p w14:paraId="74CFEAB7" w14:textId="77777777" w:rsidR="009D4550" w:rsidRPr="00275290" w:rsidRDefault="009D4550" w:rsidP="009D4550">
      <w:pPr>
        <w:pStyle w:val="Standard-italics"/>
        <w:rPr>
          <w:rFonts w:cs="Arial"/>
          <w:lang w:eastAsia="sv-SE"/>
        </w:rPr>
      </w:pPr>
    </w:p>
    <w:p w14:paraId="46BC574A" w14:textId="77777777" w:rsidR="009D4550" w:rsidRPr="00275290" w:rsidRDefault="009D4550" w:rsidP="009D4550">
      <w:pPr>
        <w:pStyle w:val="BfRBBStandard"/>
        <w:rPr>
          <w:rFonts w:ascii="Verdana" w:eastAsia="Times New Roman" w:hAnsi="Verdana"/>
          <w:sz w:val="20"/>
          <w:szCs w:val="20"/>
          <w:lang w:val="en-GB" w:eastAsia="sv-SE"/>
        </w:rPr>
      </w:pPr>
    </w:p>
    <w:p w14:paraId="426D80DB"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7DF53CA1"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897"/>
        <w:gridCol w:w="1882"/>
        <w:gridCol w:w="1231"/>
        <w:gridCol w:w="1360"/>
        <w:gridCol w:w="1469"/>
      </w:tblGrid>
      <w:tr w:rsidR="009D4550" w:rsidRPr="00275290" w14:paraId="55C874F1" w14:textId="77777777" w:rsidTr="004E7A98">
        <w:tc>
          <w:tcPr>
            <w:tcW w:w="1947" w:type="dxa"/>
            <w:vAlign w:val="center"/>
          </w:tcPr>
          <w:p w14:paraId="4423DBFB" w14:textId="77777777" w:rsidR="009D4550" w:rsidRPr="00275290" w:rsidRDefault="009D4550" w:rsidP="009D4550">
            <w:pPr>
              <w:rPr>
                <w:rFonts w:cs="Arial"/>
                <w:lang w:val="fr-FR"/>
              </w:rPr>
            </w:pPr>
            <w:r w:rsidRPr="00275290">
              <w:rPr>
                <w:rFonts w:cs="Arial"/>
                <w:lang w:val="fr-FR"/>
              </w:rPr>
              <w:t>Cyperméthrine</w:t>
            </w:r>
          </w:p>
        </w:tc>
        <w:tc>
          <w:tcPr>
            <w:tcW w:w="1921" w:type="dxa"/>
            <w:vAlign w:val="center"/>
          </w:tcPr>
          <w:p w14:paraId="2EBB10D0" w14:textId="77777777" w:rsidR="009D4550" w:rsidRPr="00275290" w:rsidRDefault="009D4550" w:rsidP="009D4550">
            <w:pPr>
              <w:rPr>
                <w:rFonts w:cs="Arial"/>
                <w:lang w:val="fr-FR"/>
              </w:rPr>
            </w:pPr>
            <w:r w:rsidRPr="00275290">
              <w:rPr>
                <w:rFonts w:cs="Arial"/>
                <w:lang w:val="fr-FR"/>
              </w:rPr>
              <w:t>Propiconazole</w:t>
            </w:r>
          </w:p>
        </w:tc>
        <w:tc>
          <w:tcPr>
            <w:tcW w:w="1905" w:type="dxa"/>
            <w:vAlign w:val="center"/>
          </w:tcPr>
          <w:p w14:paraId="5980D33A" w14:textId="77777777" w:rsidR="009D4550" w:rsidRPr="00275290" w:rsidRDefault="009D4550" w:rsidP="009D4550">
            <w:pPr>
              <w:rPr>
                <w:rFonts w:cs="Arial"/>
                <w:lang w:val="fr-FR"/>
              </w:rPr>
            </w:pPr>
            <w:r w:rsidRPr="00275290">
              <w:rPr>
                <w:rFonts w:cs="Arial"/>
                <w:lang w:val="fr-FR"/>
              </w:rPr>
              <w:t>Tébuconazole</w:t>
            </w:r>
          </w:p>
        </w:tc>
        <w:tc>
          <w:tcPr>
            <w:tcW w:w="1273" w:type="dxa"/>
            <w:shd w:val="clear" w:color="auto" w:fill="auto"/>
          </w:tcPr>
          <w:p w14:paraId="3E3445D7" w14:textId="77777777" w:rsidR="009D4550" w:rsidRPr="00275290" w:rsidRDefault="009D4550" w:rsidP="009D4550">
            <w:pPr>
              <w:rPr>
                <w:rFonts w:cs="Arial"/>
                <w:lang w:val="fr-FR"/>
              </w:rPr>
            </w:pPr>
            <w:r w:rsidRPr="00275290">
              <w:rPr>
                <w:rFonts w:cs="Arial"/>
                <w:lang w:val="fr-FR"/>
              </w:rPr>
              <w:t>IPBC</w:t>
            </w:r>
          </w:p>
        </w:tc>
        <w:tc>
          <w:tcPr>
            <w:tcW w:w="1419" w:type="dxa"/>
            <w:vMerge w:val="restart"/>
            <w:shd w:val="clear" w:color="auto" w:fill="E5B8B7" w:themeFill="accent2" w:themeFillTint="66"/>
            <w:vAlign w:val="center"/>
          </w:tcPr>
          <w:p w14:paraId="766826EA" w14:textId="77777777" w:rsidR="009D4550" w:rsidRPr="00275290" w:rsidRDefault="009D4550" w:rsidP="009D4550">
            <w:pPr>
              <w:rPr>
                <w:rFonts w:cs="Arial"/>
                <w:lang w:val="fr-FR"/>
              </w:rPr>
            </w:pPr>
            <w:r w:rsidRPr="00275290">
              <w:rPr>
                <w:rFonts w:cs="Arial"/>
                <w:lang w:val="fr-FR"/>
              </w:rPr>
              <w:t>HI</w:t>
            </w:r>
          </w:p>
          <w:p w14:paraId="14A9C8BC" w14:textId="77777777" w:rsidR="009D4550" w:rsidRPr="00275290" w:rsidRDefault="009D4550" w:rsidP="009D4550">
            <w:pPr>
              <w:rPr>
                <w:rFonts w:cs="Arial"/>
                <w:lang w:val="fr-FR"/>
              </w:rPr>
            </w:pPr>
            <w:r w:rsidRPr="00275290">
              <w:rPr>
                <w:rFonts w:cs="Arial"/>
                <w:lang w:val="fr-FR"/>
              </w:rPr>
              <w:t>(∑ HQ a.s)</w:t>
            </w:r>
          </w:p>
        </w:tc>
        <w:tc>
          <w:tcPr>
            <w:tcW w:w="1530" w:type="dxa"/>
            <w:vMerge w:val="restart"/>
            <w:shd w:val="clear" w:color="auto" w:fill="E5B8B7" w:themeFill="accent2" w:themeFillTint="66"/>
          </w:tcPr>
          <w:p w14:paraId="50869329" w14:textId="77777777" w:rsidR="009D4550" w:rsidRPr="00275290" w:rsidRDefault="009D4550" w:rsidP="009D4550">
            <w:pPr>
              <w:rPr>
                <w:rFonts w:cs="Arial"/>
                <w:lang w:val="fr-FR"/>
              </w:rPr>
            </w:pPr>
            <w:r w:rsidRPr="00275290">
              <w:rPr>
                <w:rFonts w:cs="Arial"/>
                <w:lang w:val="fr-FR"/>
              </w:rPr>
              <w:t>Risk</w:t>
            </w:r>
          </w:p>
        </w:tc>
      </w:tr>
      <w:tr w:rsidR="009D4550" w:rsidRPr="00275290" w14:paraId="3D77420F" w14:textId="77777777" w:rsidTr="004E7A98">
        <w:tc>
          <w:tcPr>
            <w:tcW w:w="5773" w:type="dxa"/>
            <w:gridSpan w:val="3"/>
            <w:vAlign w:val="center"/>
          </w:tcPr>
          <w:p w14:paraId="063B34B8" w14:textId="77777777" w:rsidR="009D4550" w:rsidRPr="00275290" w:rsidRDefault="009D4550" w:rsidP="009D4550">
            <w:pPr>
              <w:rPr>
                <w:rFonts w:cs="Arial"/>
                <w:lang w:val="fr-FR"/>
              </w:rPr>
            </w:pPr>
            <w:r w:rsidRPr="00275290">
              <w:rPr>
                <w:rFonts w:cs="Arial"/>
                <w:lang w:val="fr-FR"/>
              </w:rPr>
              <w:t>HQ (Exposure/AEL)</w:t>
            </w:r>
          </w:p>
        </w:tc>
        <w:tc>
          <w:tcPr>
            <w:tcW w:w="1273" w:type="dxa"/>
            <w:shd w:val="clear" w:color="auto" w:fill="auto"/>
          </w:tcPr>
          <w:p w14:paraId="2862314A" w14:textId="77777777" w:rsidR="009D4550" w:rsidRPr="00275290" w:rsidRDefault="009D4550" w:rsidP="009D4550">
            <w:pPr>
              <w:rPr>
                <w:rFonts w:cs="Arial"/>
                <w:lang w:val="fr-FR"/>
              </w:rPr>
            </w:pPr>
          </w:p>
        </w:tc>
        <w:tc>
          <w:tcPr>
            <w:tcW w:w="1419" w:type="dxa"/>
            <w:vMerge/>
            <w:shd w:val="clear" w:color="auto" w:fill="E5B8B7" w:themeFill="accent2" w:themeFillTint="66"/>
            <w:vAlign w:val="center"/>
          </w:tcPr>
          <w:p w14:paraId="5A09B16F" w14:textId="77777777" w:rsidR="009D4550" w:rsidRPr="00275290" w:rsidRDefault="009D4550" w:rsidP="009D4550">
            <w:pPr>
              <w:rPr>
                <w:rFonts w:cs="Arial"/>
                <w:lang w:val="fr-FR"/>
              </w:rPr>
            </w:pPr>
          </w:p>
        </w:tc>
        <w:tc>
          <w:tcPr>
            <w:tcW w:w="1530" w:type="dxa"/>
            <w:vMerge/>
            <w:shd w:val="clear" w:color="auto" w:fill="E5B8B7" w:themeFill="accent2" w:themeFillTint="66"/>
          </w:tcPr>
          <w:p w14:paraId="40E8C917" w14:textId="77777777" w:rsidR="009D4550" w:rsidRPr="00275290" w:rsidRDefault="009D4550" w:rsidP="009D4550">
            <w:pPr>
              <w:rPr>
                <w:rFonts w:cs="Arial"/>
                <w:lang w:val="fr-FR"/>
              </w:rPr>
            </w:pPr>
          </w:p>
        </w:tc>
      </w:tr>
      <w:tr w:rsidR="009D4550" w:rsidRPr="00275290" w14:paraId="05B03BEF" w14:textId="77777777" w:rsidTr="004E7A98">
        <w:tc>
          <w:tcPr>
            <w:tcW w:w="1947" w:type="dxa"/>
            <w:vAlign w:val="center"/>
          </w:tcPr>
          <w:p w14:paraId="232E16F6" w14:textId="2B30294F" w:rsidR="009D4550" w:rsidRPr="00275290" w:rsidRDefault="009D4550" w:rsidP="009D4550">
            <w:pPr>
              <w:rPr>
                <w:rFonts w:cs="Arial"/>
                <w:lang w:val="fr-FR"/>
              </w:rPr>
            </w:pPr>
            <w:r w:rsidRPr="00275290">
              <w:rPr>
                <w:rFonts w:cs="Arial"/>
                <w:lang w:val="fr-FR"/>
              </w:rPr>
              <w:t>0.5</w:t>
            </w:r>
            <w:r w:rsidR="00417BF5">
              <w:rPr>
                <w:rFonts w:cs="Arial"/>
                <w:lang w:val="fr-FR"/>
              </w:rPr>
              <w:t>6</w:t>
            </w:r>
          </w:p>
        </w:tc>
        <w:tc>
          <w:tcPr>
            <w:tcW w:w="1921" w:type="dxa"/>
            <w:vAlign w:val="center"/>
          </w:tcPr>
          <w:p w14:paraId="3A33A938" w14:textId="71AD90BD" w:rsidR="009D4550" w:rsidRPr="00275290" w:rsidRDefault="009D4550" w:rsidP="009D4550">
            <w:pPr>
              <w:rPr>
                <w:rFonts w:cs="Arial"/>
                <w:lang w:val="fr-FR"/>
              </w:rPr>
            </w:pPr>
            <w:r w:rsidRPr="00275290">
              <w:rPr>
                <w:rFonts w:cs="Arial"/>
                <w:lang w:val="fr-FR"/>
              </w:rPr>
              <w:t>0.2</w:t>
            </w:r>
            <w:r w:rsidR="00417BF5">
              <w:rPr>
                <w:rFonts w:cs="Arial"/>
                <w:lang w:val="fr-FR"/>
              </w:rPr>
              <w:t>4</w:t>
            </w:r>
          </w:p>
        </w:tc>
        <w:tc>
          <w:tcPr>
            <w:tcW w:w="1905" w:type="dxa"/>
            <w:vAlign w:val="center"/>
          </w:tcPr>
          <w:p w14:paraId="6AEF989E" w14:textId="2A96A915" w:rsidR="009D4550" w:rsidRPr="00275290" w:rsidRDefault="009D4550" w:rsidP="009D4550">
            <w:pPr>
              <w:rPr>
                <w:rFonts w:cs="Arial"/>
                <w:lang w:val="fr-FR"/>
              </w:rPr>
            </w:pPr>
            <w:r w:rsidRPr="00275290">
              <w:rPr>
                <w:rFonts w:cs="Arial"/>
                <w:lang w:val="fr-FR"/>
              </w:rPr>
              <w:t>0.8</w:t>
            </w:r>
            <w:r w:rsidR="00417BF5">
              <w:rPr>
                <w:rFonts w:cs="Arial"/>
                <w:lang w:val="fr-FR"/>
              </w:rPr>
              <w:t>9</w:t>
            </w:r>
          </w:p>
        </w:tc>
        <w:tc>
          <w:tcPr>
            <w:tcW w:w="1273" w:type="dxa"/>
            <w:shd w:val="clear" w:color="auto" w:fill="auto"/>
          </w:tcPr>
          <w:p w14:paraId="04BEC5FC" w14:textId="70E15F5F" w:rsidR="009D4550" w:rsidRPr="00275290" w:rsidRDefault="009D4550" w:rsidP="009D4550">
            <w:pPr>
              <w:rPr>
                <w:rFonts w:cs="Arial"/>
                <w:lang w:val="fr-FR"/>
              </w:rPr>
            </w:pPr>
            <w:r w:rsidRPr="00275290">
              <w:rPr>
                <w:rFonts w:cs="Arial"/>
                <w:lang w:val="fr-FR"/>
              </w:rPr>
              <w:t>0.1</w:t>
            </w:r>
            <w:r w:rsidR="00417BF5">
              <w:rPr>
                <w:rFonts w:cs="Arial"/>
                <w:lang w:val="fr-FR"/>
              </w:rPr>
              <w:t>8</w:t>
            </w:r>
          </w:p>
        </w:tc>
        <w:tc>
          <w:tcPr>
            <w:tcW w:w="1419" w:type="dxa"/>
            <w:shd w:val="clear" w:color="auto" w:fill="E5B8B7" w:themeFill="accent2" w:themeFillTint="66"/>
            <w:vAlign w:val="center"/>
          </w:tcPr>
          <w:p w14:paraId="25BE0D45" w14:textId="1114AA10" w:rsidR="009D4550" w:rsidRPr="00275290" w:rsidRDefault="009D4550" w:rsidP="009D4550">
            <w:pPr>
              <w:rPr>
                <w:rFonts w:cs="Arial"/>
                <w:lang w:val="fr-FR"/>
              </w:rPr>
            </w:pPr>
            <w:r w:rsidRPr="00275290">
              <w:rPr>
                <w:rFonts w:cs="Arial"/>
                <w:lang w:val="fr-FR"/>
              </w:rPr>
              <w:t>1.</w:t>
            </w:r>
            <w:r w:rsidR="00417BF5">
              <w:rPr>
                <w:rFonts w:cs="Arial"/>
                <w:lang w:val="fr-FR"/>
              </w:rPr>
              <w:t>9</w:t>
            </w:r>
          </w:p>
        </w:tc>
        <w:tc>
          <w:tcPr>
            <w:tcW w:w="1530" w:type="dxa"/>
            <w:shd w:val="clear" w:color="auto" w:fill="E5B8B7" w:themeFill="accent2" w:themeFillTint="66"/>
          </w:tcPr>
          <w:p w14:paraId="070FD6CD" w14:textId="2D3618DF" w:rsidR="009D4550" w:rsidRPr="00275290" w:rsidRDefault="00C81964" w:rsidP="00C81964">
            <w:pPr>
              <w:rPr>
                <w:rFonts w:cs="Arial"/>
                <w:lang w:val="fr-FR"/>
              </w:rPr>
            </w:pPr>
            <w:r>
              <w:rPr>
                <w:rFonts w:cs="Arial"/>
                <w:lang w:val="en-US"/>
              </w:rPr>
              <w:t>see Tierr 3B</w:t>
            </w:r>
          </w:p>
        </w:tc>
      </w:tr>
    </w:tbl>
    <w:p w14:paraId="54F801E9" w14:textId="77777777" w:rsidR="009D4550" w:rsidRPr="00275290" w:rsidRDefault="009D4550" w:rsidP="009D4550">
      <w:pPr>
        <w:pStyle w:val="BfRBBStandard"/>
        <w:rPr>
          <w:rFonts w:ascii="Verdana" w:eastAsia="Times New Roman" w:hAnsi="Verdana"/>
          <w:sz w:val="20"/>
          <w:szCs w:val="20"/>
          <w:lang w:val="en-GB" w:eastAsia="sv-SE"/>
        </w:rPr>
      </w:pPr>
    </w:p>
    <w:p w14:paraId="496E296D" w14:textId="77777777"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&gt; 1, the risk is unacceptable, a refinement is needed.</w:t>
      </w:r>
    </w:p>
    <w:p w14:paraId="22381603" w14:textId="77777777" w:rsidR="009D4550" w:rsidRPr="00275290" w:rsidRDefault="009D4550" w:rsidP="009D4550">
      <w:pPr>
        <w:pStyle w:val="BfRBBStandard"/>
        <w:rPr>
          <w:rFonts w:ascii="Verdana" w:eastAsia="Times New Roman" w:hAnsi="Verdana"/>
          <w:sz w:val="20"/>
          <w:szCs w:val="20"/>
          <w:lang w:val="en-GB" w:eastAsia="sv-SE"/>
        </w:rPr>
      </w:pPr>
    </w:p>
    <w:p w14:paraId="5CB13BA4" w14:textId="77777777" w:rsidR="009D4550" w:rsidRPr="00275290" w:rsidRDefault="009D4550" w:rsidP="009D4550">
      <w:pPr>
        <w:pStyle w:val="BfRBBStandard"/>
        <w:rPr>
          <w:rFonts w:ascii="Verdana" w:eastAsia="Times New Roman" w:hAnsi="Verdana"/>
          <w:sz w:val="20"/>
          <w:szCs w:val="20"/>
          <w:lang w:val="en-GB" w:eastAsia="sv-SE"/>
        </w:rPr>
      </w:pPr>
    </w:p>
    <w:p w14:paraId="1649F885"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A Tier 3B approach is considered since the 4 active substances have target organs in common in the short term toxicity study.</w:t>
      </w:r>
    </w:p>
    <w:p w14:paraId="2ECFB60C" w14:textId="77777777" w:rsidR="009D4550" w:rsidRPr="00275290" w:rsidRDefault="009D4550" w:rsidP="009D4550">
      <w:pPr>
        <w:pStyle w:val="BfRBBStandard"/>
        <w:rPr>
          <w:rFonts w:ascii="Verdana" w:eastAsia="Times New Roman" w:hAnsi="Verdana"/>
          <w:sz w:val="20"/>
          <w:szCs w:val="20"/>
          <w:lang w:val="en-GB" w:eastAsia="sv-SE"/>
        </w:rPr>
      </w:pPr>
    </w:p>
    <w:p w14:paraId="7187B8E2"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liver is a target organ common to cypermethrine, propiconazole, tebuconazole and IPBC. </w:t>
      </w:r>
    </w:p>
    <w:p w14:paraId="7ECC9DB9"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kidney is a target organ common to propiconazole and IPBC.</w:t>
      </w:r>
    </w:p>
    <w:p w14:paraId="0ACBCA8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Blood is a target organ common to propiconazole and tebuconazole. </w:t>
      </w:r>
    </w:p>
    <w:p w14:paraId="472479ED" w14:textId="77777777" w:rsidR="009D4550" w:rsidRPr="00275290" w:rsidRDefault="009D4550" w:rsidP="009D4550">
      <w:pPr>
        <w:pStyle w:val="BfRBBStandard"/>
        <w:tabs>
          <w:tab w:val="left" w:pos="7875"/>
        </w:tabs>
        <w:rPr>
          <w:rFonts w:ascii="Verdana" w:eastAsia="Times New Roman" w:hAnsi="Verdana"/>
          <w:sz w:val="20"/>
          <w:szCs w:val="20"/>
          <w:lang w:val="en-GB" w:eastAsia="sv-SE"/>
        </w:rPr>
      </w:pPr>
      <w:r w:rsidRPr="00275290">
        <w:rPr>
          <w:rFonts w:ascii="Verdana" w:eastAsia="Times New Roman" w:hAnsi="Verdana"/>
          <w:sz w:val="20"/>
          <w:szCs w:val="20"/>
          <w:lang w:val="en-GB" w:eastAsia="sv-SE"/>
        </w:rPr>
        <w:tab/>
      </w:r>
    </w:p>
    <w:p w14:paraId="5D664260"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Specific target organ short term AELS can be derived for each active substance based on the available data in the CARs.</w:t>
      </w:r>
    </w:p>
    <w:p w14:paraId="370D4F71" w14:textId="77777777" w:rsidR="009D4550" w:rsidRPr="00275290" w:rsidRDefault="009D4550" w:rsidP="009D4550">
      <w:pPr>
        <w:pStyle w:val="BfRBBStandard"/>
        <w:rPr>
          <w:rFonts w:ascii="Verdana" w:eastAsia="Times New Roman" w:hAnsi="Verdana"/>
          <w:sz w:val="20"/>
          <w:szCs w:val="20"/>
          <w:lang w:val="en-GB" w:eastAsia="sv-SE"/>
        </w:rPr>
      </w:pPr>
    </w:p>
    <w:p w14:paraId="14AD717A"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975"/>
        <w:gridCol w:w="2072"/>
        <w:gridCol w:w="2085"/>
        <w:gridCol w:w="1641"/>
      </w:tblGrid>
      <w:tr w:rsidR="009D4550" w:rsidRPr="00275290" w14:paraId="5E9D0C0A" w14:textId="77777777" w:rsidTr="009D4550">
        <w:tc>
          <w:tcPr>
            <w:tcW w:w="2079" w:type="dxa"/>
            <w:shd w:val="clear" w:color="auto" w:fill="auto"/>
          </w:tcPr>
          <w:p w14:paraId="5CE71D7A" w14:textId="77777777" w:rsidR="009D4550" w:rsidRPr="00275290" w:rsidRDefault="009D4550" w:rsidP="009D4550">
            <w:pPr>
              <w:rPr>
                <w:rFonts w:cs="Arial"/>
              </w:rPr>
            </w:pPr>
          </w:p>
        </w:tc>
        <w:tc>
          <w:tcPr>
            <w:tcW w:w="1983" w:type="dxa"/>
            <w:shd w:val="clear" w:color="auto" w:fill="auto"/>
          </w:tcPr>
          <w:p w14:paraId="2962A817" w14:textId="77777777" w:rsidR="009D4550" w:rsidRPr="00275290" w:rsidRDefault="009D4550" w:rsidP="009D4550">
            <w:pPr>
              <w:rPr>
                <w:rFonts w:cs="Arial"/>
                <w:b/>
              </w:rPr>
            </w:pPr>
            <w:r w:rsidRPr="00275290">
              <w:rPr>
                <w:rFonts w:cs="Arial"/>
                <w:b/>
              </w:rPr>
              <w:t>Cyperméthrine</w:t>
            </w:r>
          </w:p>
        </w:tc>
        <w:tc>
          <w:tcPr>
            <w:tcW w:w="2101" w:type="dxa"/>
            <w:shd w:val="clear" w:color="auto" w:fill="auto"/>
          </w:tcPr>
          <w:p w14:paraId="48D73ADE" w14:textId="77777777" w:rsidR="009D4550" w:rsidRPr="00275290" w:rsidRDefault="009D4550" w:rsidP="009D4550">
            <w:pPr>
              <w:rPr>
                <w:rFonts w:cs="Arial"/>
                <w:b/>
              </w:rPr>
            </w:pPr>
            <w:r w:rsidRPr="00275290">
              <w:rPr>
                <w:rFonts w:cs="Arial"/>
                <w:b/>
              </w:rPr>
              <w:t>Tébuconazole</w:t>
            </w:r>
          </w:p>
        </w:tc>
        <w:tc>
          <w:tcPr>
            <w:tcW w:w="2111" w:type="dxa"/>
            <w:shd w:val="clear" w:color="auto" w:fill="auto"/>
          </w:tcPr>
          <w:p w14:paraId="03FA3F8D" w14:textId="77777777" w:rsidR="009D4550" w:rsidRPr="00275290" w:rsidRDefault="009D4550" w:rsidP="009D4550">
            <w:pPr>
              <w:rPr>
                <w:rFonts w:cs="Arial"/>
                <w:b/>
              </w:rPr>
            </w:pPr>
            <w:r w:rsidRPr="00275290">
              <w:rPr>
                <w:rFonts w:cs="Arial"/>
                <w:b/>
              </w:rPr>
              <w:t>Propiconazole</w:t>
            </w:r>
          </w:p>
        </w:tc>
        <w:tc>
          <w:tcPr>
            <w:tcW w:w="1721" w:type="dxa"/>
          </w:tcPr>
          <w:p w14:paraId="3264C317" w14:textId="77777777" w:rsidR="009D4550" w:rsidRPr="00275290" w:rsidRDefault="009D4550" w:rsidP="009D4550">
            <w:pPr>
              <w:rPr>
                <w:rFonts w:cs="Arial"/>
                <w:b/>
              </w:rPr>
            </w:pPr>
            <w:r w:rsidRPr="00275290">
              <w:rPr>
                <w:rFonts w:cs="Arial"/>
                <w:b/>
              </w:rPr>
              <w:t>IPBC</w:t>
            </w:r>
          </w:p>
        </w:tc>
      </w:tr>
      <w:tr w:rsidR="009D4550" w:rsidRPr="00275290" w14:paraId="26B22867" w14:textId="77777777" w:rsidTr="009D4550">
        <w:tc>
          <w:tcPr>
            <w:tcW w:w="2079" w:type="dxa"/>
            <w:shd w:val="clear" w:color="auto" w:fill="auto"/>
          </w:tcPr>
          <w:p w14:paraId="49E3CECC" w14:textId="77777777" w:rsidR="009D4550" w:rsidRPr="00275290" w:rsidRDefault="009D4550" w:rsidP="009D4550">
            <w:pPr>
              <w:rPr>
                <w:rFonts w:cs="Arial"/>
                <w:b/>
              </w:rPr>
            </w:pPr>
            <w:r w:rsidRPr="00275290">
              <w:rPr>
                <w:rFonts w:cs="Arial"/>
                <w:b/>
              </w:rPr>
              <w:t>General long term AEL</w:t>
            </w:r>
          </w:p>
        </w:tc>
        <w:tc>
          <w:tcPr>
            <w:tcW w:w="1983" w:type="dxa"/>
            <w:shd w:val="clear" w:color="auto" w:fill="auto"/>
          </w:tcPr>
          <w:p w14:paraId="438148EB" w14:textId="77777777" w:rsidR="009D4550" w:rsidRPr="00275290" w:rsidRDefault="009D4550" w:rsidP="009D4550">
            <w:pPr>
              <w:rPr>
                <w:rFonts w:cs="Arial"/>
              </w:rPr>
            </w:pPr>
            <w:r w:rsidRPr="00275290">
              <w:rPr>
                <w:rFonts w:cs="Arial"/>
              </w:rPr>
              <w:t>0.088</w:t>
            </w:r>
          </w:p>
        </w:tc>
        <w:tc>
          <w:tcPr>
            <w:tcW w:w="2101" w:type="dxa"/>
            <w:shd w:val="clear" w:color="auto" w:fill="auto"/>
          </w:tcPr>
          <w:p w14:paraId="51D72CEC" w14:textId="77777777" w:rsidR="009D4550" w:rsidRPr="00275290" w:rsidRDefault="009D4550" w:rsidP="009D4550">
            <w:pPr>
              <w:rPr>
                <w:rFonts w:cs="Arial"/>
              </w:rPr>
            </w:pPr>
            <w:r w:rsidRPr="00275290">
              <w:rPr>
                <w:rFonts w:cs="Arial"/>
              </w:rPr>
              <w:t>0.03</w:t>
            </w:r>
          </w:p>
        </w:tc>
        <w:tc>
          <w:tcPr>
            <w:tcW w:w="2111" w:type="dxa"/>
            <w:shd w:val="clear" w:color="auto" w:fill="auto"/>
          </w:tcPr>
          <w:p w14:paraId="46E33380" w14:textId="77777777" w:rsidR="009D4550" w:rsidRPr="00275290" w:rsidRDefault="009D4550" w:rsidP="009D4550">
            <w:pPr>
              <w:rPr>
                <w:rFonts w:cs="Arial"/>
              </w:rPr>
            </w:pPr>
            <w:r w:rsidRPr="00275290">
              <w:rPr>
                <w:rFonts w:cs="Arial"/>
              </w:rPr>
              <w:t>0.3</w:t>
            </w:r>
          </w:p>
        </w:tc>
        <w:tc>
          <w:tcPr>
            <w:tcW w:w="1721" w:type="dxa"/>
          </w:tcPr>
          <w:p w14:paraId="153B8035" w14:textId="77777777" w:rsidR="009D4550" w:rsidRPr="00275290" w:rsidRDefault="009D4550" w:rsidP="009D4550">
            <w:pPr>
              <w:rPr>
                <w:rFonts w:cs="Arial"/>
              </w:rPr>
            </w:pPr>
            <w:r w:rsidRPr="00275290">
              <w:rPr>
                <w:rFonts w:cs="Arial"/>
              </w:rPr>
              <w:t>0.35</w:t>
            </w:r>
          </w:p>
        </w:tc>
      </w:tr>
      <w:tr w:rsidR="009D4550" w:rsidRPr="00275290" w14:paraId="59305613" w14:textId="77777777" w:rsidTr="009D4550">
        <w:tc>
          <w:tcPr>
            <w:tcW w:w="2079" w:type="dxa"/>
            <w:shd w:val="clear" w:color="auto" w:fill="C6D9F1" w:themeFill="text2" w:themeFillTint="33"/>
          </w:tcPr>
          <w:p w14:paraId="1BC4C545" w14:textId="77777777" w:rsidR="009D4550" w:rsidRPr="00275290" w:rsidRDefault="009D4550" w:rsidP="009D4550">
            <w:pPr>
              <w:rPr>
                <w:rFonts w:cs="Arial"/>
                <w:b/>
              </w:rPr>
            </w:pPr>
            <w:r w:rsidRPr="00275290">
              <w:rPr>
                <w:rFonts w:cs="Arial"/>
                <w:b/>
              </w:rPr>
              <w:t>Specific AEL: liver</w:t>
            </w:r>
          </w:p>
        </w:tc>
        <w:tc>
          <w:tcPr>
            <w:tcW w:w="1983" w:type="dxa"/>
            <w:shd w:val="clear" w:color="auto" w:fill="C6D9F1" w:themeFill="text2" w:themeFillTint="33"/>
          </w:tcPr>
          <w:p w14:paraId="66D0B757" w14:textId="77777777" w:rsidR="009D4550" w:rsidRPr="00275290" w:rsidRDefault="009D4550" w:rsidP="009D4550">
            <w:pPr>
              <w:rPr>
                <w:rFonts w:cs="Arial"/>
              </w:rPr>
            </w:pPr>
            <w:r w:rsidRPr="00275290">
              <w:rPr>
                <w:rFonts w:cs="Arial"/>
              </w:rPr>
              <w:t>0.11</w:t>
            </w:r>
          </w:p>
        </w:tc>
        <w:tc>
          <w:tcPr>
            <w:tcW w:w="2101" w:type="dxa"/>
            <w:shd w:val="clear" w:color="auto" w:fill="C6D9F1" w:themeFill="text2" w:themeFillTint="33"/>
          </w:tcPr>
          <w:p w14:paraId="7016652F" w14:textId="77777777" w:rsidR="009D4550" w:rsidRPr="00275290" w:rsidRDefault="009D4550" w:rsidP="009D4550">
            <w:pPr>
              <w:rPr>
                <w:rFonts w:cs="Arial"/>
              </w:rPr>
            </w:pPr>
            <w:r w:rsidRPr="00275290">
              <w:rPr>
                <w:rFonts w:cs="Arial"/>
              </w:rPr>
              <w:t>0.3</w:t>
            </w:r>
          </w:p>
        </w:tc>
        <w:tc>
          <w:tcPr>
            <w:tcW w:w="2111" w:type="dxa"/>
            <w:shd w:val="clear" w:color="auto" w:fill="C6D9F1" w:themeFill="text2" w:themeFillTint="33"/>
          </w:tcPr>
          <w:p w14:paraId="2634C173" w14:textId="77777777" w:rsidR="009D4550" w:rsidRPr="00275290" w:rsidRDefault="009D4550" w:rsidP="009D4550">
            <w:pPr>
              <w:rPr>
                <w:rFonts w:cs="Arial"/>
              </w:rPr>
            </w:pPr>
            <w:r w:rsidRPr="00275290">
              <w:rPr>
                <w:rFonts w:cs="Arial"/>
              </w:rPr>
              <w:t>0.3</w:t>
            </w:r>
          </w:p>
        </w:tc>
        <w:tc>
          <w:tcPr>
            <w:tcW w:w="1721" w:type="dxa"/>
            <w:shd w:val="clear" w:color="auto" w:fill="C6D9F1" w:themeFill="text2" w:themeFillTint="33"/>
          </w:tcPr>
          <w:p w14:paraId="50EE188A" w14:textId="77777777" w:rsidR="009D4550" w:rsidRPr="00275290" w:rsidRDefault="009D4550" w:rsidP="009D4550">
            <w:pPr>
              <w:rPr>
                <w:rFonts w:cs="Arial"/>
              </w:rPr>
            </w:pPr>
            <w:r w:rsidRPr="00275290">
              <w:rPr>
                <w:rFonts w:cs="Arial"/>
              </w:rPr>
              <w:t>0.35</w:t>
            </w:r>
          </w:p>
        </w:tc>
      </w:tr>
      <w:tr w:rsidR="009D4550" w:rsidRPr="00275290" w14:paraId="12CFC4DF" w14:textId="77777777" w:rsidTr="009D4550">
        <w:tc>
          <w:tcPr>
            <w:tcW w:w="2079" w:type="dxa"/>
            <w:shd w:val="clear" w:color="auto" w:fill="C6D9F1" w:themeFill="text2" w:themeFillTint="33"/>
          </w:tcPr>
          <w:p w14:paraId="2E62FEFB" w14:textId="77777777" w:rsidR="009D4550" w:rsidRPr="00275290" w:rsidRDefault="009D4550" w:rsidP="009D4550">
            <w:pPr>
              <w:rPr>
                <w:rFonts w:cs="Arial"/>
                <w:b/>
              </w:rPr>
            </w:pPr>
            <w:r w:rsidRPr="00275290">
              <w:rPr>
                <w:rFonts w:cs="Arial"/>
                <w:b/>
              </w:rPr>
              <w:t>Specific AEL: kidney</w:t>
            </w:r>
          </w:p>
        </w:tc>
        <w:tc>
          <w:tcPr>
            <w:tcW w:w="1983" w:type="dxa"/>
            <w:shd w:val="clear" w:color="auto" w:fill="C6D9F1" w:themeFill="text2" w:themeFillTint="33"/>
          </w:tcPr>
          <w:p w14:paraId="26DCA220" w14:textId="77777777" w:rsidR="009D4550" w:rsidRPr="00275290" w:rsidRDefault="009D4550" w:rsidP="009D4550">
            <w:pPr>
              <w:rPr>
                <w:rFonts w:cs="Arial"/>
              </w:rPr>
            </w:pPr>
            <w:r w:rsidRPr="00275290">
              <w:rPr>
                <w:rFonts w:cs="Arial"/>
              </w:rPr>
              <w:t>-</w:t>
            </w:r>
          </w:p>
        </w:tc>
        <w:tc>
          <w:tcPr>
            <w:tcW w:w="2101" w:type="dxa"/>
            <w:shd w:val="clear" w:color="auto" w:fill="C6D9F1" w:themeFill="text2" w:themeFillTint="33"/>
          </w:tcPr>
          <w:p w14:paraId="79446F47" w14:textId="77777777" w:rsidR="009D4550" w:rsidRPr="00275290" w:rsidRDefault="009D4550" w:rsidP="009D4550">
            <w:pPr>
              <w:rPr>
                <w:rFonts w:cs="Arial"/>
              </w:rPr>
            </w:pPr>
            <w:r w:rsidRPr="00275290">
              <w:rPr>
                <w:rFonts w:cs="Arial"/>
              </w:rPr>
              <w:t>-</w:t>
            </w:r>
          </w:p>
        </w:tc>
        <w:tc>
          <w:tcPr>
            <w:tcW w:w="2111" w:type="dxa"/>
            <w:shd w:val="clear" w:color="auto" w:fill="C6D9F1" w:themeFill="text2" w:themeFillTint="33"/>
          </w:tcPr>
          <w:p w14:paraId="516DE5D6" w14:textId="77777777" w:rsidR="009D4550" w:rsidRPr="00275290" w:rsidRDefault="009D4550" w:rsidP="009D4550">
            <w:pPr>
              <w:rPr>
                <w:rFonts w:cs="Arial"/>
              </w:rPr>
            </w:pPr>
            <w:r w:rsidRPr="00275290">
              <w:rPr>
                <w:rFonts w:cs="Arial"/>
              </w:rPr>
              <w:t>0.5</w:t>
            </w:r>
          </w:p>
        </w:tc>
        <w:tc>
          <w:tcPr>
            <w:tcW w:w="1721" w:type="dxa"/>
            <w:shd w:val="clear" w:color="auto" w:fill="C6D9F1" w:themeFill="text2" w:themeFillTint="33"/>
          </w:tcPr>
          <w:p w14:paraId="00172414" w14:textId="77777777" w:rsidR="009D4550" w:rsidRPr="00275290" w:rsidRDefault="009D4550" w:rsidP="009D4550">
            <w:pPr>
              <w:rPr>
                <w:rFonts w:cs="Arial"/>
              </w:rPr>
            </w:pPr>
            <w:r w:rsidRPr="00275290">
              <w:rPr>
                <w:rFonts w:cs="Arial"/>
              </w:rPr>
              <w:t>0.35</w:t>
            </w:r>
          </w:p>
        </w:tc>
      </w:tr>
      <w:tr w:rsidR="009D4550" w:rsidRPr="00275290" w14:paraId="4E782BD5" w14:textId="77777777" w:rsidTr="009D4550">
        <w:tc>
          <w:tcPr>
            <w:tcW w:w="2079" w:type="dxa"/>
            <w:shd w:val="clear" w:color="auto" w:fill="C6D9F1" w:themeFill="text2" w:themeFillTint="33"/>
          </w:tcPr>
          <w:p w14:paraId="47C05BEE" w14:textId="77777777" w:rsidR="009D4550" w:rsidRPr="00275290" w:rsidRDefault="009D4550" w:rsidP="009D4550">
            <w:pPr>
              <w:rPr>
                <w:rFonts w:cs="Arial"/>
                <w:b/>
              </w:rPr>
            </w:pPr>
            <w:r w:rsidRPr="00275290">
              <w:rPr>
                <w:rFonts w:cs="Arial"/>
                <w:b/>
              </w:rPr>
              <w:t>Specific AEL: Hemato</w:t>
            </w:r>
          </w:p>
        </w:tc>
        <w:tc>
          <w:tcPr>
            <w:tcW w:w="1983" w:type="dxa"/>
            <w:shd w:val="clear" w:color="auto" w:fill="C6D9F1" w:themeFill="text2" w:themeFillTint="33"/>
          </w:tcPr>
          <w:p w14:paraId="39939471" w14:textId="77777777" w:rsidR="009D4550" w:rsidRPr="00275290" w:rsidRDefault="009D4550" w:rsidP="009D4550">
            <w:pPr>
              <w:rPr>
                <w:rFonts w:cs="Arial"/>
              </w:rPr>
            </w:pPr>
            <w:r w:rsidRPr="00275290">
              <w:rPr>
                <w:rFonts w:cs="Arial"/>
              </w:rPr>
              <w:t>-</w:t>
            </w:r>
          </w:p>
        </w:tc>
        <w:tc>
          <w:tcPr>
            <w:tcW w:w="2101" w:type="dxa"/>
            <w:shd w:val="clear" w:color="auto" w:fill="C6D9F1" w:themeFill="text2" w:themeFillTint="33"/>
          </w:tcPr>
          <w:p w14:paraId="6DB298A7" w14:textId="77777777" w:rsidR="009D4550" w:rsidRPr="00275290" w:rsidRDefault="009D4550" w:rsidP="009D4550">
            <w:pPr>
              <w:rPr>
                <w:rFonts w:cs="Arial"/>
              </w:rPr>
            </w:pPr>
            <w:r w:rsidRPr="00275290">
              <w:rPr>
                <w:rFonts w:cs="Arial"/>
              </w:rPr>
              <w:t>0.3</w:t>
            </w:r>
          </w:p>
        </w:tc>
        <w:tc>
          <w:tcPr>
            <w:tcW w:w="2111" w:type="dxa"/>
            <w:shd w:val="clear" w:color="auto" w:fill="C6D9F1" w:themeFill="text2" w:themeFillTint="33"/>
          </w:tcPr>
          <w:p w14:paraId="77972431" w14:textId="77777777" w:rsidR="009D4550" w:rsidRPr="00275290" w:rsidRDefault="009D4550" w:rsidP="009D4550">
            <w:pPr>
              <w:rPr>
                <w:rFonts w:cs="Arial"/>
              </w:rPr>
            </w:pPr>
            <w:r w:rsidRPr="00275290">
              <w:rPr>
                <w:rFonts w:cs="Arial"/>
              </w:rPr>
              <w:t>1.5</w:t>
            </w:r>
          </w:p>
        </w:tc>
        <w:tc>
          <w:tcPr>
            <w:tcW w:w="1721" w:type="dxa"/>
            <w:shd w:val="clear" w:color="auto" w:fill="C6D9F1" w:themeFill="text2" w:themeFillTint="33"/>
          </w:tcPr>
          <w:p w14:paraId="7C5470CC" w14:textId="77777777" w:rsidR="009D4550" w:rsidRPr="00275290" w:rsidRDefault="009D4550" w:rsidP="009D4550">
            <w:pPr>
              <w:rPr>
                <w:rFonts w:cs="Arial"/>
              </w:rPr>
            </w:pPr>
            <w:r w:rsidRPr="00275290">
              <w:rPr>
                <w:rFonts w:cs="Arial"/>
              </w:rPr>
              <w:t>-</w:t>
            </w:r>
          </w:p>
        </w:tc>
      </w:tr>
    </w:tbl>
    <w:p w14:paraId="73366F9B" w14:textId="77777777" w:rsidR="009D4550" w:rsidRPr="00275290" w:rsidRDefault="009D4550" w:rsidP="009D4550">
      <w:pPr>
        <w:pStyle w:val="BfRBBStandard"/>
        <w:rPr>
          <w:rFonts w:ascii="Verdana" w:eastAsia="Times New Roman" w:hAnsi="Verdana"/>
          <w:sz w:val="20"/>
          <w:szCs w:val="20"/>
          <w:lang w:val="en-GB" w:eastAsia="sv-SE"/>
        </w:rPr>
      </w:pPr>
    </w:p>
    <w:p w14:paraId="0A64765D" w14:textId="77777777" w:rsidR="009D4550" w:rsidRPr="00275290" w:rsidRDefault="009D4550" w:rsidP="009D4550">
      <w:pPr>
        <w:pStyle w:val="BfRBBStandard"/>
        <w:rPr>
          <w:rFonts w:ascii="Verdana" w:eastAsia="Times New Roman" w:hAnsi="Verdana"/>
          <w:sz w:val="20"/>
          <w:szCs w:val="20"/>
          <w:lang w:val="en-GB" w:eastAsia="sv-SE"/>
        </w:rPr>
      </w:pPr>
    </w:p>
    <w:p w14:paraId="4B1D745F"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comparison of the exposure values during the application and the cleaning with the specific AELs leads to the following results:</w:t>
      </w:r>
    </w:p>
    <w:p w14:paraId="44064F41" w14:textId="77777777" w:rsidR="009D4550" w:rsidRPr="00275290" w:rsidRDefault="009D4550" w:rsidP="009D4550">
      <w:pPr>
        <w:pStyle w:val="BfRBBStandard"/>
        <w:rPr>
          <w:rFonts w:ascii="Verdana" w:eastAsia="Times New Roman" w:hAnsi="Verdana"/>
          <w:sz w:val="20"/>
          <w:szCs w:val="20"/>
          <w:lang w:val="en-GB" w:eastAsia="sv-SE"/>
        </w:rPr>
      </w:pPr>
    </w:p>
    <w:p w14:paraId="411B5C49" w14:textId="77777777" w:rsidR="009D4550" w:rsidRPr="00275290" w:rsidRDefault="009D4550" w:rsidP="009D4550">
      <w:pPr>
        <w:pStyle w:val="BfRBBStandard"/>
        <w:rPr>
          <w:rFonts w:ascii="Verdana" w:eastAsia="Times New Roman" w:hAnsi="Verdana"/>
          <w:sz w:val="20"/>
          <w:szCs w:val="20"/>
          <w:lang w:val="en-GB" w:eastAsia="sv-SE"/>
        </w:rPr>
      </w:pPr>
    </w:p>
    <w:tbl>
      <w:tblPr>
        <w:tblW w:w="949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5"/>
        <w:gridCol w:w="1844"/>
        <w:gridCol w:w="1686"/>
        <w:gridCol w:w="1647"/>
        <w:gridCol w:w="1131"/>
        <w:gridCol w:w="1131"/>
      </w:tblGrid>
      <w:tr w:rsidR="009D4550" w:rsidRPr="00275290" w14:paraId="1C17061E" w14:textId="77777777" w:rsidTr="004E7A98">
        <w:trPr>
          <w:gridAfter w:val="1"/>
          <w:wAfter w:w="1153" w:type="dxa"/>
          <w:trHeight w:val="315"/>
        </w:trPr>
        <w:tc>
          <w:tcPr>
            <w:tcW w:w="2323" w:type="dxa"/>
            <w:shd w:val="clear" w:color="auto" w:fill="auto"/>
            <w:noWrap/>
            <w:vAlign w:val="bottom"/>
            <w:hideMark/>
          </w:tcPr>
          <w:p w14:paraId="51B03708" w14:textId="77777777" w:rsidR="009D4550" w:rsidRPr="00275290" w:rsidRDefault="009D4550" w:rsidP="009D4550">
            <w:pPr>
              <w:rPr>
                <w:rFonts w:cs="Arial"/>
                <w:color w:val="000000"/>
                <w:lang w:val="en-US" w:eastAsia="fr-FR"/>
              </w:rPr>
            </w:pPr>
            <w:r w:rsidRPr="00275290">
              <w:rPr>
                <w:rFonts w:cs="Arial"/>
                <w:color w:val="000000"/>
                <w:lang w:val="en-US" w:eastAsia="fr-FR"/>
              </w:rPr>
              <w:t> </w:t>
            </w:r>
          </w:p>
        </w:tc>
        <w:tc>
          <w:tcPr>
            <w:tcW w:w="1882" w:type="dxa"/>
            <w:shd w:val="clear" w:color="auto" w:fill="auto"/>
            <w:noWrap/>
            <w:vAlign w:val="bottom"/>
            <w:hideMark/>
          </w:tcPr>
          <w:p w14:paraId="703C17ED" w14:textId="77777777" w:rsidR="009D4550" w:rsidRPr="00275290" w:rsidRDefault="009D4550" w:rsidP="009D4550">
            <w:pPr>
              <w:rPr>
                <w:rFonts w:cs="Arial"/>
                <w:color w:val="000000"/>
                <w:lang w:val="fr-FR" w:eastAsia="fr-FR"/>
              </w:rPr>
            </w:pPr>
            <w:r w:rsidRPr="00275290">
              <w:rPr>
                <w:rFonts w:cs="Arial"/>
                <w:b/>
              </w:rPr>
              <w:t>Cyperméthrine</w:t>
            </w:r>
          </w:p>
        </w:tc>
        <w:tc>
          <w:tcPr>
            <w:tcW w:w="1507" w:type="dxa"/>
            <w:shd w:val="clear" w:color="auto" w:fill="auto"/>
            <w:noWrap/>
            <w:vAlign w:val="bottom"/>
            <w:hideMark/>
          </w:tcPr>
          <w:p w14:paraId="4C6EE020" w14:textId="77777777" w:rsidR="009D4550" w:rsidRPr="00275290" w:rsidRDefault="009D4550" w:rsidP="009D4550">
            <w:pPr>
              <w:rPr>
                <w:rFonts w:cs="Arial"/>
                <w:color w:val="000000"/>
                <w:lang w:val="fr-FR" w:eastAsia="fr-FR"/>
              </w:rPr>
            </w:pPr>
            <w:r w:rsidRPr="00275290">
              <w:rPr>
                <w:rFonts w:cs="Arial"/>
                <w:b/>
              </w:rPr>
              <w:t>Propiconazole</w:t>
            </w:r>
          </w:p>
        </w:tc>
        <w:tc>
          <w:tcPr>
            <w:tcW w:w="1474" w:type="dxa"/>
            <w:shd w:val="clear" w:color="auto" w:fill="auto"/>
            <w:noWrap/>
            <w:vAlign w:val="bottom"/>
            <w:hideMark/>
          </w:tcPr>
          <w:p w14:paraId="5498FD5F" w14:textId="77777777" w:rsidR="009D4550" w:rsidRPr="00275290" w:rsidRDefault="009D4550" w:rsidP="009D4550">
            <w:pPr>
              <w:rPr>
                <w:rFonts w:cs="Arial"/>
                <w:color w:val="000000"/>
                <w:lang w:val="fr-FR" w:eastAsia="fr-FR"/>
              </w:rPr>
            </w:pPr>
            <w:r w:rsidRPr="00275290">
              <w:rPr>
                <w:rFonts w:cs="Arial"/>
                <w:b/>
              </w:rPr>
              <w:t>Tébuconazole</w:t>
            </w:r>
          </w:p>
        </w:tc>
        <w:tc>
          <w:tcPr>
            <w:tcW w:w="1153" w:type="dxa"/>
            <w:shd w:val="clear" w:color="auto" w:fill="auto"/>
            <w:noWrap/>
            <w:vAlign w:val="bottom"/>
            <w:hideMark/>
          </w:tcPr>
          <w:p w14:paraId="0C3D05DF" w14:textId="77777777" w:rsidR="009D4550" w:rsidRPr="00275290" w:rsidRDefault="009D4550" w:rsidP="009D4550">
            <w:pPr>
              <w:rPr>
                <w:rFonts w:cs="Arial"/>
                <w:color w:val="000000"/>
                <w:lang w:val="fr-FR" w:eastAsia="fr-FR"/>
              </w:rPr>
            </w:pPr>
            <w:r w:rsidRPr="00275290">
              <w:rPr>
                <w:rFonts w:cs="Arial"/>
                <w:b/>
              </w:rPr>
              <w:t>IPBC</w:t>
            </w:r>
          </w:p>
        </w:tc>
      </w:tr>
      <w:tr w:rsidR="009D4550" w:rsidRPr="00275290" w14:paraId="71C72E46" w14:textId="77777777" w:rsidTr="004E7A98">
        <w:trPr>
          <w:trHeight w:val="315"/>
        </w:trPr>
        <w:tc>
          <w:tcPr>
            <w:tcW w:w="8339" w:type="dxa"/>
            <w:gridSpan w:val="5"/>
            <w:shd w:val="clear" w:color="000000" w:fill="F79646"/>
            <w:vAlign w:val="bottom"/>
            <w:hideMark/>
          </w:tcPr>
          <w:p w14:paraId="3A527907" w14:textId="77777777" w:rsidR="009D4550" w:rsidRPr="00275290" w:rsidRDefault="009D4550" w:rsidP="009D4550">
            <w:pPr>
              <w:rPr>
                <w:rFonts w:cs="Arial"/>
                <w:color w:val="000000"/>
                <w:lang w:val="en-US" w:eastAsia="fr-FR"/>
              </w:rPr>
            </w:pPr>
            <w:r w:rsidRPr="00275290">
              <w:rPr>
                <w:rFonts w:cs="Arial"/>
                <w:color w:val="000000"/>
                <w:lang w:val="en-US" w:eastAsia="fr-FR"/>
              </w:rPr>
              <w:t>combined exposure appli cleaning and residue</w:t>
            </w:r>
          </w:p>
        </w:tc>
        <w:tc>
          <w:tcPr>
            <w:tcW w:w="1153" w:type="dxa"/>
            <w:shd w:val="clear" w:color="auto" w:fill="auto"/>
            <w:noWrap/>
            <w:vAlign w:val="bottom"/>
            <w:hideMark/>
          </w:tcPr>
          <w:p w14:paraId="08F9CA01" w14:textId="77777777" w:rsidR="009D4550" w:rsidRPr="00275290" w:rsidRDefault="009D4550" w:rsidP="009D4550">
            <w:pPr>
              <w:rPr>
                <w:rFonts w:cs="Arial"/>
                <w:color w:val="000000"/>
                <w:lang w:val="en-US" w:eastAsia="fr-FR"/>
              </w:rPr>
            </w:pPr>
          </w:p>
        </w:tc>
      </w:tr>
      <w:tr w:rsidR="009D4550" w:rsidRPr="00275290" w14:paraId="2CFB7AAE" w14:textId="77777777" w:rsidTr="004E7A98">
        <w:trPr>
          <w:trHeight w:val="300"/>
        </w:trPr>
        <w:tc>
          <w:tcPr>
            <w:tcW w:w="2323" w:type="dxa"/>
            <w:shd w:val="clear" w:color="auto" w:fill="auto"/>
            <w:noWrap/>
            <w:vAlign w:val="bottom"/>
            <w:hideMark/>
          </w:tcPr>
          <w:p w14:paraId="01473030" w14:textId="77777777" w:rsidR="009D4550" w:rsidRPr="00275290" w:rsidRDefault="009D4550" w:rsidP="009D4550">
            <w:pPr>
              <w:rPr>
                <w:rFonts w:cs="Arial"/>
                <w:color w:val="000000"/>
                <w:lang w:val="en-US" w:eastAsia="fr-FR"/>
              </w:rPr>
            </w:pPr>
            <w:r w:rsidRPr="00275290">
              <w:rPr>
                <w:rFonts w:cs="Arial"/>
                <w:color w:val="000000"/>
                <w:lang w:val="en-US" w:eastAsia="fr-FR"/>
              </w:rPr>
              <w:t xml:space="preserve">Exposure </w:t>
            </w:r>
          </w:p>
        </w:tc>
        <w:tc>
          <w:tcPr>
            <w:tcW w:w="1882" w:type="dxa"/>
            <w:shd w:val="clear" w:color="auto" w:fill="auto"/>
            <w:noWrap/>
            <w:vAlign w:val="bottom"/>
            <w:hideMark/>
          </w:tcPr>
          <w:p w14:paraId="2310658D" w14:textId="2FBA63E6" w:rsidR="009D4550" w:rsidRPr="00275290" w:rsidRDefault="009D4550" w:rsidP="009D4550">
            <w:pPr>
              <w:rPr>
                <w:rFonts w:cs="Arial"/>
                <w:color w:val="000000"/>
              </w:rPr>
            </w:pPr>
            <w:r w:rsidRPr="00275290">
              <w:rPr>
                <w:rFonts w:cs="Arial"/>
                <w:color w:val="000000"/>
              </w:rPr>
              <w:t>4</w:t>
            </w:r>
            <w:r w:rsidR="00417BF5">
              <w:rPr>
                <w:rFonts w:cs="Arial"/>
                <w:color w:val="000000"/>
              </w:rPr>
              <w:t>.93</w:t>
            </w:r>
            <w:r w:rsidRPr="00275290">
              <w:rPr>
                <w:rFonts w:cs="Arial"/>
                <w:color w:val="000000"/>
              </w:rPr>
              <w:t>E-02</w:t>
            </w:r>
          </w:p>
        </w:tc>
        <w:tc>
          <w:tcPr>
            <w:tcW w:w="1507" w:type="dxa"/>
            <w:shd w:val="clear" w:color="auto" w:fill="auto"/>
            <w:noWrap/>
            <w:vAlign w:val="bottom"/>
            <w:hideMark/>
          </w:tcPr>
          <w:p w14:paraId="471489F8" w14:textId="1C973B5C" w:rsidR="009D4550" w:rsidRPr="00275290" w:rsidRDefault="00417BF5" w:rsidP="009D4550">
            <w:pPr>
              <w:rPr>
                <w:rFonts w:cs="Arial"/>
                <w:color w:val="000000"/>
              </w:rPr>
            </w:pPr>
            <w:r>
              <w:rPr>
                <w:rFonts w:cs="Arial"/>
                <w:color w:val="000000"/>
              </w:rPr>
              <w:t>7.16</w:t>
            </w:r>
            <w:r w:rsidR="009D4550" w:rsidRPr="00275290">
              <w:rPr>
                <w:rFonts w:cs="Arial"/>
                <w:color w:val="000000"/>
              </w:rPr>
              <w:t>E-02</w:t>
            </w:r>
          </w:p>
        </w:tc>
        <w:tc>
          <w:tcPr>
            <w:tcW w:w="1474" w:type="dxa"/>
            <w:shd w:val="clear" w:color="auto" w:fill="auto"/>
            <w:noWrap/>
            <w:vAlign w:val="bottom"/>
            <w:hideMark/>
          </w:tcPr>
          <w:p w14:paraId="79FDD9D3" w14:textId="70CCF2DD" w:rsidR="009D4550" w:rsidRPr="00275290" w:rsidRDefault="009D4550" w:rsidP="009D4550">
            <w:pPr>
              <w:rPr>
                <w:rFonts w:cs="Arial"/>
                <w:color w:val="000000"/>
              </w:rPr>
            </w:pPr>
            <w:r w:rsidRPr="00275290">
              <w:rPr>
                <w:rFonts w:cs="Arial"/>
                <w:color w:val="000000"/>
              </w:rPr>
              <w:t>2</w:t>
            </w:r>
            <w:r w:rsidR="00417BF5">
              <w:rPr>
                <w:rFonts w:cs="Arial"/>
                <w:color w:val="000000"/>
              </w:rPr>
              <w:t>.66</w:t>
            </w:r>
            <w:r w:rsidRPr="00275290">
              <w:rPr>
                <w:rFonts w:cs="Arial"/>
                <w:color w:val="000000"/>
              </w:rPr>
              <w:t>E-02</w:t>
            </w:r>
          </w:p>
        </w:tc>
        <w:tc>
          <w:tcPr>
            <w:tcW w:w="1153" w:type="dxa"/>
            <w:shd w:val="clear" w:color="auto" w:fill="auto"/>
            <w:noWrap/>
            <w:vAlign w:val="bottom"/>
            <w:hideMark/>
          </w:tcPr>
          <w:p w14:paraId="1A9A7D60" w14:textId="018DFC34" w:rsidR="009D4550" w:rsidRPr="00275290" w:rsidRDefault="009D4550" w:rsidP="009D4550">
            <w:pPr>
              <w:rPr>
                <w:rFonts w:cs="Arial"/>
                <w:color w:val="000000"/>
              </w:rPr>
            </w:pPr>
            <w:r w:rsidRPr="00275290">
              <w:rPr>
                <w:rFonts w:cs="Arial"/>
                <w:color w:val="000000"/>
              </w:rPr>
              <w:t>6</w:t>
            </w:r>
            <w:r w:rsidR="00417BF5">
              <w:rPr>
                <w:rFonts w:cs="Arial"/>
                <w:color w:val="000000"/>
              </w:rPr>
              <w:t>.33</w:t>
            </w:r>
            <w:r w:rsidRPr="00275290">
              <w:rPr>
                <w:rFonts w:cs="Arial"/>
                <w:color w:val="000000"/>
              </w:rPr>
              <w:t>E-02</w:t>
            </w:r>
          </w:p>
        </w:tc>
        <w:tc>
          <w:tcPr>
            <w:tcW w:w="1153" w:type="dxa"/>
            <w:shd w:val="clear" w:color="auto" w:fill="auto"/>
            <w:noWrap/>
            <w:vAlign w:val="bottom"/>
            <w:hideMark/>
          </w:tcPr>
          <w:p w14:paraId="33C879F5" w14:textId="77777777" w:rsidR="009D4550" w:rsidRPr="00275290" w:rsidRDefault="009D4550" w:rsidP="009D4550">
            <w:pPr>
              <w:rPr>
                <w:rFonts w:cs="Arial"/>
                <w:color w:val="000000"/>
                <w:lang w:val="fr-FR" w:eastAsia="fr-FR"/>
              </w:rPr>
            </w:pPr>
          </w:p>
        </w:tc>
      </w:tr>
      <w:tr w:rsidR="009D4550" w:rsidRPr="00275290" w14:paraId="7CC02A94" w14:textId="77777777" w:rsidTr="004E7A98">
        <w:trPr>
          <w:trHeight w:val="300"/>
        </w:trPr>
        <w:tc>
          <w:tcPr>
            <w:tcW w:w="2323" w:type="dxa"/>
            <w:shd w:val="clear" w:color="auto" w:fill="auto"/>
            <w:noWrap/>
            <w:vAlign w:val="bottom"/>
            <w:hideMark/>
          </w:tcPr>
          <w:p w14:paraId="469E3469" w14:textId="77777777" w:rsidR="009D4550" w:rsidRPr="00275290" w:rsidRDefault="009D4550" w:rsidP="009D4550">
            <w:pPr>
              <w:rPr>
                <w:rFonts w:cs="Arial"/>
                <w:color w:val="000000"/>
                <w:lang w:val="fr-FR" w:eastAsia="fr-FR"/>
              </w:rPr>
            </w:pPr>
          </w:p>
        </w:tc>
        <w:tc>
          <w:tcPr>
            <w:tcW w:w="1882" w:type="dxa"/>
            <w:shd w:val="clear" w:color="auto" w:fill="auto"/>
            <w:noWrap/>
            <w:vAlign w:val="bottom"/>
            <w:hideMark/>
          </w:tcPr>
          <w:p w14:paraId="3E4D79C2" w14:textId="77777777" w:rsidR="009D4550" w:rsidRPr="00275290" w:rsidRDefault="009D4550" w:rsidP="009D4550">
            <w:pPr>
              <w:rPr>
                <w:rFonts w:cs="Arial"/>
                <w:color w:val="000000"/>
                <w:lang w:val="fr-FR" w:eastAsia="fr-FR"/>
              </w:rPr>
            </w:pPr>
          </w:p>
        </w:tc>
        <w:tc>
          <w:tcPr>
            <w:tcW w:w="1507" w:type="dxa"/>
            <w:shd w:val="clear" w:color="auto" w:fill="auto"/>
            <w:noWrap/>
            <w:vAlign w:val="bottom"/>
            <w:hideMark/>
          </w:tcPr>
          <w:p w14:paraId="3D44EA9B" w14:textId="77777777" w:rsidR="009D4550" w:rsidRPr="00275290" w:rsidRDefault="009D4550" w:rsidP="009D4550">
            <w:pPr>
              <w:rPr>
                <w:rFonts w:cs="Arial"/>
                <w:color w:val="000000"/>
                <w:lang w:val="fr-FR" w:eastAsia="fr-FR"/>
              </w:rPr>
            </w:pPr>
          </w:p>
        </w:tc>
        <w:tc>
          <w:tcPr>
            <w:tcW w:w="1474" w:type="dxa"/>
            <w:shd w:val="clear" w:color="auto" w:fill="auto"/>
            <w:noWrap/>
            <w:vAlign w:val="bottom"/>
            <w:hideMark/>
          </w:tcPr>
          <w:p w14:paraId="17E92210" w14:textId="77777777" w:rsidR="009D4550" w:rsidRPr="00275290" w:rsidRDefault="009D4550" w:rsidP="009D4550">
            <w:pPr>
              <w:rPr>
                <w:rFonts w:cs="Arial"/>
                <w:color w:val="000000"/>
                <w:lang w:val="fr-FR" w:eastAsia="fr-FR"/>
              </w:rPr>
            </w:pPr>
          </w:p>
        </w:tc>
        <w:tc>
          <w:tcPr>
            <w:tcW w:w="1153" w:type="dxa"/>
            <w:shd w:val="clear" w:color="auto" w:fill="auto"/>
            <w:noWrap/>
            <w:vAlign w:val="bottom"/>
            <w:hideMark/>
          </w:tcPr>
          <w:p w14:paraId="65CC8CE9" w14:textId="77777777" w:rsidR="009D4550" w:rsidRPr="00275290" w:rsidRDefault="009D4550" w:rsidP="009D4550">
            <w:pPr>
              <w:rPr>
                <w:rFonts w:cs="Arial"/>
                <w:color w:val="000000"/>
                <w:lang w:val="fr-FR" w:eastAsia="fr-FR"/>
              </w:rPr>
            </w:pPr>
          </w:p>
        </w:tc>
        <w:tc>
          <w:tcPr>
            <w:tcW w:w="1153" w:type="dxa"/>
            <w:shd w:val="clear" w:color="auto" w:fill="auto"/>
            <w:noWrap/>
            <w:vAlign w:val="bottom"/>
            <w:hideMark/>
          </w:tcPr>
          <w:p w14:paraId="7346C353" w14:textId="77777777" w:rsidR="009D4550" w:rsidRPr="00275290" w:rsidRDefault="009D4550" w:rsidP="009D4550">
            <w:pPr>
              <w:rPr>
                <w:rFonts w:cs="Arial"/>
                <w:color w:val="000000"/>
                <w:lang w:val="fr-FR" w:eastAsia="fr-FR"/>
              </w:rPr>
            </w:pPr>
            <w:r w:rsidRPr="00275290">
              <w:rPr>
                <w:rFonts w:cs="Arial"/>
                <w:b/>
                <w:color w:val="000000"/>
                <w:lang w:val="fr-FR" w:eastAsia="fr-FR"/>
              </w:rPr>
              <w:t>HI</w:t>
            </w:r>
          </w:p>
        </w:tc>
      </w:tr>
      <w:tr w:rsidR="009D4550" w:rsidRPr="00275290" w14:paraId="5ED674B3" w14:textId="77777777" w:rsidTr="004E7A98">
        <w:trPr>
          <w:trHeight w:val="315"/>
        </w:trPr>
        <w:tc>
          <w:tcPr>
            <w:tcW w:w="2323" w:type="dxa"/>
            <w:shd w:val="clear" w:color="auto" w:fill="auto"/>
            <w:noWrap/>
            <w:vAlign w:val="bottom"/>
            <w:hideMark/>
          </w:tcPr>
          <w:p w14:paraId="732E7177" w14:textId="77777777" w:rsidR="009D4550" w:rsidRPr="00275290" w:rsidRDefault="009D4550" w:rsidP="009D4550">
            <w:pPr>
              <w:rPr>
                <w:rFonts w:cs="Arial"/>
                <w:color w:val="000000"/>
                <w:lang w:val="fr-FR" w:eastAsia="fr-FR"/>
              </w:rPr>
            </w:pPr>
            <w:r w:rsidRPr="00275290">
              <w:rPr>
                <w:rFonts w:cs="Arial"/>
                <w:color w:val="000000"/>
                <w:lang w:val="fr-FR" w:eastAsia="fr-FR"/>
              </w:rPr>
              <w:t>%AEL (liver)</w:t>
            </w:r>
          </w:p>
        </w:tc>
        <w:tc>
          <w:tcPr>
            <w:tcW w:w="1882" w:type="dxa"/>
            <w:shd w:val="clear" w:color="auto" w:fill="auto"/>
            <w:noWrap/>
            <w:vAlign w:val="bottom"/>
          </w:tcPr>
          <w:p w14:paraId="57C3CC41" w14:textId="3F110A5E" w:rsidR="009D4550" w:rsidRPr="00275290" w:rsidRDefault="009D4550" w:rsidP="009D4550">
            <w:pPr>
              <w:rPr>
                <w:rFonts w:cs="Arial"/>
                <w:lang w:val="fr-FR" w:eastAsia="fr-FR"/>
              </w:rPr>
            </w:pPr>
            <w:r w:rsidRPr="00275290">
              <w:rPr>
                <w:rFonts w:cs="Arial"/>
                <w:lang w:val="fr-FR" w:eastAsia="fr-FR"/>
              </w:rPr>
              <w:t>4</w:t>
            </w:r>
            <w:r w:rsidR="00417BF5">
              <w:rPr>
                <w:rFonts w:cs="Arial"/>
                <w:lang w:val="fr-FR" w:eastAsia="fr-FR"/>
              </w:rPr>
              <w:t>3</w:t>
            </w:r>
          </w:p>
        </w:tc>
        <w:tc>
          <w:tcPr>
            <w:tcW w:w="1507" w:type="dxa"/>
            <w:shd w:val="clear" w:color="auto" w:fill="auto"/>
            <w:noWrap/>
            <w:vAlign w:val="bottom"/>
          </w:tcPr>
          <w:p w14:paraId="0D7FB45B" w14:textId="0BC789D3" w:rsidR="009D4550" w:rsidRPr="00275290" w:rsidRDefault="009D4550" w:rsidP="009D4550">
            <w:pPr>
              <w:rPr>
                <w:rFonts w:cs="Arial"/>
                <w:lang w:val="fr-FR" w:eastAsia="fr-FR"/>
              </w:rPr>
            </w:pPr>
            <w:r w:rsidRPr="00275290">
              <w:rPr>
                <w:rFonts w:cs="Arial"/>
                <w:lang w:val="fr-FR" w:eastAsia="fr-FR"/>
              </w:rPr>
              <w:t>2</w:t>
            </w:r>
            <w:r w:rsidR="00417BF5">
              <w:rPr>
                <w:rFonts w:cs="Arial"/>
                <w:lang w:val="fr-FR" w:eastAsia="fr-FR"/>
              </w:rPr>
              <w:t>4</w:t>
            </w:r>
          </w:p>
        </w:tc>
        <w:tc>
          <w:tcPr>
            <w:tcW w:w="1474" w:type="dxa"/>
            <w:shd w:val="clear" w:color="auto" w:fill="auto"/>
            <w:noWrap/>
            <w:vAlign w:val="bottom"/>
          </w:tcPr>
          <w:p w14:paraId="7736B942" w14:textId="00FF2226" w:rsidR="009D4550" w:rsidRPr="00275290" w:rsidRDefault="00417BF5" w:rsidP="009D4550">
            <w:pPr>
              <w:rPr>
                <w:rFonts w:cs="Arial"/>
                <w:lang w:val="fr-FR" w:eastAsia="fr-FR"/>
              </w:rPr>
            </w:pPr>
            <w:r>
              <w:rPr>
                <w:rFonts w:cs="Arial"/>
                <w:lang w:val="fr-FR" w:eastAsia="fr-FR"/>
              </w:rPr>
              <w:t>9</w:t>
            </w:r>
          </w:p>
        </w:tc>
        <w:tc>
          <w:tcPr>
            <w:tcW w:w="1153" w:type="dxa"/>
            <w:shd w:val="clear" w:color="auto" w:fill="auto"/>
            <w:noWrap/>
            <w:vAlign w:val="bottom"/>
          </w:tcPr>
          <w:p w14:paraId="096E0DA5" w14:textId="56CDABA6" w:rsidR="009D4550" w:rsidRPr="00275290" w:rsidRDefault="009D4550" w:rsidP="009D4550">
            <w:pPr>
              <w:rPr>
                <w:rFonts w:cs="Arial"/>
                <w:lang w:val="fr-FR" w:eastAsia="fr-FR"/>
              </w:rPr>
            </w:pPr>
            <w:r w:rsidRPr="00275290">
              <w:rPr>
                <w:rFonts w:cs="Arial"/>
                <w:lang w:val="fr-FR" w:eastAsia="fr-FR"/>
              </w:rPr>
              <w:t>1</w:t>
            </w:r>
            <w:r w:rsidR="00417BF5">
              <w:rPr>
                <w:rFonts w:cs="Arial"/>
                <w:lang w:val="fr-FR" w:eastAsia="fr-FR"/>
              </w:rPr>
              <w:t>8</w:t>
            </w:r>
          </w:p>
        </w:tc>
        <w:tc>
          <w:tcPr>
            <w:tcW w:w="1153" w:type="dxa"/>
            <w:shd w:val="clear" w:color="auto" w:fill="auto"/>
            <w:noWrap/>
            <w:vAlign w:val="bottom"/>
            <w:hideMark/>
          </w:tcPr>
          <w:p w14:paraId="5E0E1F5F" w14:textId="2B3EE0B7" w:rsidR="009D4550" w:rsidRPr="00275290" w:rsidRDefault="009D4550" w:rsidP="009D4550">
            <w:pPr>
              <w:rPr>
                <w:rFonts w:cs="Arial"/>
                <w:b/>
                <w:color w:val="000000"/>
                <w:lang w:val="fr-FR" w:eastAsia="fr-FR"/>
              </w:rPr>
            </w:pPr>
            <w:r w:rsidRPr="00275290">
              <w:rPr>
                <w:rFonts w:cs="Arial"/>
                <w:b/>
                <w:color w:val="000000"/>
                <w:lang w:val="fr-FR" w:eastAsia="fr-FR"/>
              </w:rPr>
              <w:t>0.</w:t>
            </w:r>
            <w:r w:rsidR="00417BF5">
              <w:rPr>
                <w:rFonts w:cs="Arial"/>
                <w:b/>
                <w:color w:val="000000"/>
                <w:lang w:val="fr-FR" w:eastAsia="fr-FR"/>
              </w:rPr>
              <w:t>94</w:t>
            </w:r>
          </w:p>
        </w:tc>
      </w:tr>
      <w:tr w:rsidR="009D4550" w:rsidRPr="00275290" w14:paraId="6371D4B8" w14:textId="77777777" w:rsidTr="004E7A98">
        <w:trPr>
          <w:trHeight w:val="300"/>
        </w:trPr>
        <w:tc>
          <w:tcPr>
            <w:tcW w:w="2323" w:type="dxa"/>
            <w:shd w:val="clear" w:color="auto" w:fill="auto"/>
            <w:noWrap/>
            <w:vAlign w:val="bottom"/>
            <w:hideMark/>
          </w:tcPr>
          <w:p w14:paraId="6447D429" w14:textId="77777777" w:rsidR="009D4550" w:rsidRPr="00275290" w:rsidRDefault="009D4550" w:rsidP="009D4550">
            <w:pPr>
              <w:rPr>
                <w:rFonts w:cs="Arial"/>
                <w:color w:val="000000"/>
                <w:lang w:val="fr-FR" w:eastAsia="fr-FR"/>
              </w:rPr>
            </w:pPr>
          </w:p>
        </w:tc>
        <w:tc>
          <w:tcPr>
            <w:tcW w:w="1882" w:type="dxa"/>
            <w:shd w:val="clear" w:color="auto" w:fill="auto"/>
            <w:noWrap/>
            <w:vAlign w:val="bottom"/>
          </w:tcPr>
          <w:p w14:paraId="32A320A2" w14:textId="77777777" w:rsidR="009D4550" w:rsidRPr="00275290" w:rsidRDefault="009D4550" w:rsidP="009D4550">
            <w:pPr>
              <w:rPr>
                <w:rFonts w:cs="Arial"/>
                <w:color w:val="000000"/>
                <w:lang w:val="fr-FR" w:eastAsia="fr-FR"/>
              </w:rPr>
            </w:pPr>
          </w:p>
        </w:tc>
        <w:tc>
          <w:tcPr>
            <w:tcW w:w="1507" w:type="dxa"/>
            <w:shd w:val="clear" w:color="auto" w:fill="auto"/>
            <w:noWrap/>
            <w:vAlign w:val="bottom"/>
          </w:tcPr>
          <w:p w14:paraId="3727A45E" w14:textId="77777777" w:rsidR="009D4550" w:rsidRPr="00275290" w:rsidRDefault="009D4550" w:rsidP="009D4550">
            <w:pPr>
              <w:rPr>
                <w:rFonts w:cs="Arial"/>
                <w:color w:val="000000"/>
                <w:lang w:val="fr-FR" w:eastAsia="fr-FR"/>
              </w:rPr>
            </w:pPr>
          </w:p>
        </w:tc>
        <w:tc>
          <w:tcPr>
            <w:tcW w:w="1474" w:type="dxa"/>
            <w:shd w:val="clear" w:color="auto" w:fill="auto"/>
            <w:noWrap/>
            <w:vAlign w:val="bottom"/>
          </w:tcPr>
          <w:p w14:paraId="06D988DD" w14:textId="77777777" w:rsidR="009D4550" w:rsidRPr="00275290" w:rsidRDefault="009D4550" w:rsidP="009D4550">
            <w:pPr>
              <w:rPr>
                <w:rFonts w:cs="Arial"/>
                <w:color w:val="000000"/>
                <w:lang w:val="fr-FR" w:eastAsia="fr-FR"/>
              </w:rPr>
            </w:pPr>
          </w:p>
        </w:tc>
        <w:tc>
          <w:tcPr>
            <w:tcW w:w="1153" w:type="dxa"/>
            <w:shd w:val="clear" w:color="auto" w:fill="auto"/>
            <w:noWrap/>
            <w:vAlign w:val="bottom"/>
          </w:tcPr>
          <w:p w14:paraId="62642A2D" w14:textId="77777777" w:rsidR="009D4550" w:rsidRPr="00275290" w:rsidRDefault="009D4550" w:rsidP="009D4550">
            <w:pPr>
              <w:rPr>
                <w:rFonts w:cs="Arial"/>
                <w:color w:val="000000"/>
                <w:lang w:val="fr-FR" w:eastAsia="fr-FR"/>
              </w:rPr>
            </w:pPr>
          </w:p>
        </w:tc>
        <w:tc>
          <w:tcPr>
            <w:tcW w:w="1153" w:type="dxa"/>
            <w:shd w:val="clear" w:color="auto" w:fill="auto"/>
            <w:noWrap/>
            <w:vAlign w:val="bottom"/>
            <w:hideMark/>
          </w:tcPr>
          <w:p w14:paraId="37B2DA6A" w14:textId="77777777" w:rsidR="009D4550" w:rsidRPr="00275290" w:rsidRDefault="009D4550" w:rsidP="009D4550">
            <w:pPr>
              <w:rPr>
                <w:rFonts w:cs="Arial"/>
                <w:b/>
                <w:color w:val="000000"/>
                <w:lang w:val="fr-FR" w:eastAsia="fr-FR"/>
              </w:rPr>
            </w:pPr>
          </w:p>
        </w:tc>
      </w:tr>
      <w:tr w:rsidR="009D4550" w:rsidRPr="00275290" w14:paraId="531E6A44" w14:textId="77777777" w:rsidTr="004E7A98">
        <w:trPr>
          <w:trHeight w:val="315"/>
        </w:trPr>
        <w:tc>
          <w:tcPr>
            <w:tcW w:w="2323" w:type="dxa"/>
            <w:shd w:val="clear" w:color="auto" w:fill="auto"/>
            <w:noWrap/>
            <w:vAlign w:val="bottom"/>
            <w:hideMark/>
          </w:tcPr>
          <w:p w14:paraId="20FA8A3C" w14:textId="77777777" w:rsidR="009D4550" w:rsidRPr="00275290" w:rsidRDefault="009D4550" w:rsidP="009D4550">
            <w:pPr>
              <w:rPr>
                <w:rFonts w:cs="Arial"/>
                <w:color w:val="000000"/>
                <w:lang w:val="fr-FR" w:eastAsia="fr-FR"/>
              </w:rPr>
            </w:pPr>
            <w:r w:rsidRPr="00275290">
              <w:rPr>
                <w:rFonts w:cs="Arial"/>
                <w:lang w:val="fr-FR" w:eastAsia="fr-FR"/>
              </w:rPr>
              <w:t>%AEL (kidney)</w:t>
            </w:r>
          </w:p>
        </w:tc>
        <w:tc>
          <w:tcPr>
            <w:tcW w:w="1882" w:type="dxa"/>
            <w:shd w:val="clear" w:color="auto" w:fill="auto"/>
            <w:noWrap/>
            <w:vAlign w:val="bottom"/>
          </w:tcPr>
          <w:p w14:paraId="4695EF25" w14:textId="77777777" w:rsidR="009D4550" w:rsidRPr="00275290" w:rsidRDefault="009D4550" w:rsidP="009D4550">
            <w:pPr>
              <w:rPr>
                <w:rFonts w:cs="Arial"/>
                <w:color w:val="000000"/>
                <w:lang w:val="fr-FR" w:eastAsia="fr-FR"/>
              </w:rPr>
            </w:pPr>
          </w:p>
        </w:tc>
        <w:tc>
          <w:tcPr>
            <w:tcW w:w="1507" w:type="dxa"/>
            <w:shd w:val="clear" w:color="auto" w:fill="auto"/>
            <w:noWrap/>
            <w:vAlign w:val="bottom"/>
          </w:tcPr>
          <w:p w14:paraId="010445FF" w14:textId="77777777" w:rsidR="009D4550" w:rsidRPr="00275290" w:rsidRDefault="009D4550" w:rsidP="009D4550">
            <w:pPr>
              <w:rPr>
                <w:rFonts w:cs="Arial"/>
                <w:color w:val="000000"/>
                <w:lang w:val="fr-FR" w:eastAsia="fr-FR"/>
              </w:rPr>
            </w:pPr>
            <w:r w:rsidRPr="00275290">
              <w:rPr>
                <w:rFonts w:cs="Arial"/>
                <w:color w:val="000000"/>
                <w:lang w:val="fr-FR" w:eastAsia="fr-FR"/>
              </w:rPr>
              <w:t>14</w:t>
            </w:r>
          </w:p>
        </w:tc>
        <w:tc>
          <w:tcPr>
            <w:tcW w:w="1474" w:type="dxa"/>
            <w:shd w:val="clear" w:color="auto" w:fill="auto"/>
            <w:noWrap/>
            <w:vAlign w:val="bottom"/>
          </w:tcPr>
          <w:p w14:paraId="1BFDFC2A" w14:textId="77777777" w:rsidR="009D4550" w:rsidRPr="00275290" w:rsidRDefault="009D4550" w:rsidP="009D4550">
            <w:pPr>
              <w:rPr>
                <w:rFonts w:cs="Arial"/>
                <w:color w:val="000000"/>
                <w:lang w:val="fr-FR" w:eastAsia="fr-FR"/>
              </w:rPr>
            </w:pPr>
          </w:p>
        </w:tc>
        <w:tc>
          <w:tcPr>
            <w:tcW w:w="1153" w:type="dxa"/>
            <w:shd w:val="clear" w:color="auto" w:fill="auto"/>
            <w:noWrap/>
            <w:vAlign w:val="bottom"/>
          </w:tcPr>
          <w:p w14:paraId="79BF9765" w14:textId="263F9084" w:rsidR="009D4550" w:rsidRPr="00275290" w:rsidRDefault="009D4550" w:rsidP="009D4550">
            <w:pPr>
              <w:rPr>
                <w:rFonts w:cs="Arial"/>
                <w:color w:val="000000"/>
                <w:lang w:val="fr-FR" w:eastAsia="fr-FR"/>
              </w:rPr>
            </w:pPr>
            <w:r w:rsidRPr="00275290">
              <w:rPr>
                <w:rFonts w:cs="Arial"/>
                <w:color w:val="000000"/>
                <w:lang w:val="fr-FR" w:eastAsia="fr-FR"/>
              </w:rPr>
              <w:t>1</w:t>
            </w:r>
            <w:r w:rsidR="00417BF5">
              <w:rPr>
                <w:rFonts w:cs="Arial"/>
                <w:color w:val="000000"/>
                <w:lang w:val="fr-FR" w:eastAsia="fr-FR"/>
              </w:rPr>
              <w:t>8</w:t>
            </w:r>
          </w:p>
        </w:tc>
        <w:tc>
          <w:tcPr>
            <w:tcW w:w="1153" w:type="dxa"/>
            <w:shd w:val="clear" w:color="auto" w:fill="auto"/>
            <w:noWrap/>
            <w:vAlign w:val="bottom"/>
            <w:hideMark/>
          </w:tcPr>
          <w:p w14:paraId="461FF59D" w14:textId="6F97EF18" w:rsidR="009D4550" w:rsidRPr="00275290" w:rsidRDefault="009D4550" w:rsidP="009D4550">
            <w:pPr>
              <w:rPr>
                <w:rFonts w:cs="Arial"/>
                <w:b/>
                <w:color w:val="000000"/>
                <w:lang w:val="fr-FR" w:eastAsia="fr-FR"/>
              </w:rPr>
            </w:pPr>
            <w:r w:rsidRPr="00275290">
              <w:rPr>
                <w:rFonts w:cs="Arial"/>
                <w:b/>
                <w:color w:val="000000"/>
                <w:lang w:val="fr-FR" w:eastAsia="fr-FR"/>
              </w:rPr>
              <w:t>0.3</w:t>
            </w:r>
            <w:r w:rsidR="00417BF5">
              <w:rPr>
                <w:rFonts w:cs="Arial"/>
                <w:b/>
                <w:color w:val="000000"/>
                <w:lang w:val="fr-FR" w:eastAsia="fr-FR"/>
              </w:rPr>
              <w:t>2</w:t>
            </w:r>
          </w:p>
        </w:tc>
      </w:tr>
      <w:tr w:rsidR="009D4550" w:rsidRPr="00275290" w14:paraId="327DFC2B" w14:textId="77777777" w:rsidTr="004E7A98">
        <w:trPr>
          <w:trHeight w:val="300"/>
        </w:trPr>
        <w:tc>
          <w:tcPr>
            <w:tcW w:w="2323" w:type="dxa"/>
            <w:shd w:val="clear" w:color="auto" w:fill="auto"/>
            <w:noWrap/>
            <w:vAlign w:val="bottom"/>
            <w:hideMark/>
          </w:tcPr>
          <w:p w14:paraId="50DF9190" w14:textId="77777777" w:rsidR="009D4550" w:rsidRPr="00275290" w:rsidRDefault="009D4550" w:rsidP="009D4550">
            <w:pPr>
              <w:rPr>
                <w:rFonts w:cs="Arial"/>
                <w:lang w:val="fr-FR" w:eastAsia="fr-FR"/>
              </w:rPr>
            </w:pPr>
          </w:p>
        </w:tc>
        <w:tc>
          <w:tcPr>
            <w:tcW w:w="1882" w:type="dxa"/>
            <w:shd w:val="clear" w:color="auto" w:fill="auto"/>
            <w:noWrap/>
            <w:vAlign w:val="bottom"/>
          </w:tcPr>
          <w:p w14:paraId="2BE01981" w14:textId="77777777" w:rsidR="009D4550" w:rsidRPr="00275290" w:rsidRDefault="009D4550" w:rsidP="009D4550">
            <w:pPr>
              <w:rPr>
                <w:rFonts w:cs="Arial"/>
                <w:lang w:val="fr-FR" w:eastAsia="fr-FR"/>
              </w:rPr>
            </w:pPr>
          </w:p>
        </w:tc>
        <w:tc>
          <w:tcPr>
            <w:tcW w:w="1507" w:type="dxa"/>
            <w:shd w:val="clear" w:color="auto" w:fill="auto"/>
            <w:noWrap/>
            <w:vAlign w:val="bottom"/>
          </w:tcPr>
          <w:p w14:paraId="4F3F3BAF" w14:textId="77777777" w:rsidR="009D4550" w:rsidRPr="00275290" w:rsidRDefault="009D4550" w:rsidP="009D4550">
            <w:pPr>
              <w:rPr>
                <w:rFonts w:cs="Arial"/>
                <w:lang w:val="fr-FR" w:eastAsia="fr-FR"/>
              </w:rPr>
            </w:pPr>
          </w:p>
        </w:tc>
        <w:tc>
          <w:tcPr>
            <w:tcW w:w="1474" w:type="dxa"/>
            <w:shd w:val="clear" w:color="auto" w:fill="auto"/>
            <w:noWrap/>
            <w:vAlign w:val="bottom"/>
          </w:tcPr>
          <w:p w14:paraId="47E18FE6" w14:textId="77777777" w:rsidR="009D4550" w:rsidRPr="00275290" w:rsidRDefault="009D4550" w:rsidP="009D4550">
            <w:pPr>
              <w:rPr>
                <w:rFonts w:cs="Arial"/>
                <w:lang w:val="fr-FR" w:eastAsia="fr-FR"/>
              </w:rPr>
            </w:pPr>
          </w:p>
        </w:tc>
        <w:tc>
          <w:tcPr>
            <w:tcW w:w="1153" w:type="dxa"/>
            <w:shd w:val="clear" w:color="auto" w:fill="auto"/>
            <w:noWrap/>
            <w:vAlign w:val="bottom"/>
          </w:tcPr>
          <w:p w14:paraId="335A56E7" w14:textId="77777777" w:rsidR="009D4550" w:rsidRPr="00275290" w:rsidRDefault="009D4550" w:rsidP="009D4550">
            <w:pPr>
              <w:rPr>
                <w:rFonts w:cs="Arial"/>
                <w:lang w:val="fr-FR" w:eastAsia="fr-FR"/>
              </w:rPr>
            </w:pPr>
          </w:p>
        </w:tc>
        <w:tc>
          <w:tcPr>
            <w:tcW w:w="1153" w:type="dxa"/>
            <w:shd w:val="clear" w:color="auto" w:fill="auto"/>
            <w:noWrap/>
            <w:vAlign w:val="bottom"/>
            <w:hideMark/>
          </w:tcPr>
          <w:p w14:paraId="2BC4A86C" w14:textId="77777777" w:rsidR="009D4550" w:rsidRPr="00275290" w:rsidRDefault="009D4550" w:rsidP="009D4550">
            <w:pPr>
              <w:rPr>
                <w:rFonts w:cs="Arial"/>
                <w:b/>
                <w:lang w:val="fr-FR" w:eastAsia="fr-FR"/>
              </w:rPr>
            </w:pPr>
          </w:p>
        </w:tc>
      </w:tr>
      <w:tr w:rsidR="009D4550" w:rsidRPr="00275290" w14:paraId="2F434B9F" w14:textId="77777777" w:rsidTr="004E7A98">
        <w:trPr>
          <w:trHeight w:val="315"/>
        </w:trPr>
        <w:tc>
          <w:tcPr>
            <w:tcW w:w="2323" w:type="dxa"/>
            <w:shd w:val="clear" w:color="auto" w:fill="auto"/>
            <w:noWrap/>
            <w:vAlign w:val="bottom"/>
            <w:hideMark/>
          </w:tcPr>
          <w:p w14:paraId="263FDBA8" w14:textId="77777777" w:rsidR="009D4550" w:rsidRPr="00275290" w:rsidRDefault="009D4550" w:rsidP="009D4550">
            <w:pPr>
              <w:rPr>
                <w:rFonts w:cs="Arial"/>
                <w:color w:val="000000"/>
                <w:lang w:val="fr-FR" w:eastAsia="fr-FR"/>
              </w:rPr>
            </w:pPr>
            <w:r w:rsidRPr="00275290">
              <w:rPr>
                <w:rFonts w:cs="Arial"/>
                <w:color w:val="000000"/>
                <w:lang w:val="fr-FR" w:eastAsia="fr-FR"/>
              </w:rPr>
              <w:t>%AEL (hemato)</w:t>
            </w:r>
          </w:p>
        </w:tc>
        <w:tc>
          <w:tcPr>
            <w:tcW w:w="1882" w:type="dxa"/>
            <w:shd w:val="clear" w:color="auto" w:fill="auto"/>
            <w:noWrap/>
            <w:vAlign w:val="bottom"/>
          </w:tcPr>
          <w:p w14:paraId="7ADA944B" w14:textId="77777777" w:rsidR="009D4550" w:rsidRPr="00275290" w:rsidRDefault="009D4550" w:rsidP="009D4550">
            <w:pPr>
              <w:rPr>
                <w:rFonts w:cs="Arial"/>
                <w:color w:val="000000"/>
                <w:lang w:val="fr-FR" w:eastAsia="fr-FR"/>
              </w:rPr>
            </w:pPr>
          </w:p>
        </w:tc>
        <w:tc>
          <w:tcPr>
            <w:tcW w:w="1507" w:type="dxa"/>
            <w:shd w:val="clear" w:color="auto" w:fill="auto"/>
            <w:noWrap/>
            <w:vAlign w:val="bottom"/>
          </w:tcPr>
          <w:p w14:paraId="2E780067" w14:textId="77777777" w:rsidR="009D4550" w:rsidRPr="00275290" w:rsidRDefault="009D4550" w:rsidP="009D4550">
            <w:pPr>
              <w:rPr>
                <w:rFonts w:cs="Arial"/>
                <w:color w:val="000000"/>
                <w:lang w:val="fr-FR" w:eastAsia="fr-FR"/>
              </w:rPr>
            </w:pPr>
            <w:r w:rsidRPr="00275290">
              <w:rPr>
                <w:rFonts w:cs="Arial"/>
                <w:color w:val="000000"/>
                <w:lang w:val="fr-FR" w:eastAsia="fr-FR"/>
              </w:rPr>
              <w:t>5</w:t>
            </w:r>
          </w:p>
        </w:tc>
        <w:tc>
          <w:tcPr>
            <w:tcW w:w="1474" w:type="dxa"/>
            <w:shd w:val="clear" w:color="auto" w:fill="auto"/>
            <w:noWrap/>
            <w:vAlign w:val="bottom"/>
          </w:tcPr>
          <w:p w14:paraId="4CB42C56" w14:textId="32BC4F13" w:rsidR="009D4550" w:rsidRPr="00275290" w:rsidRDefault="00417BF5" w:rsidP="009D4550">
            <w:pPr>
              <w:rPr>
                <w:rFonts w:cs="Arial"/>
                <w:color w:val="000000"/>
                <w:lang w:val="fr-FR" w:eastAsia="fr-FR"/>
              </w:rPr>
            </w:pPr>
            <w:r>
              <w:rPr>
                <w:rFonts w:cs="Arial"/>
                <w:color w:val="000000"/>
                <w:lang w:val="fr-FR" w:eastAsia="fr-FR"/>
              </w:rPr>
              <w:t>9</w:t>
            </w:r>
          </w:p>
        </w:tc>
        <w:tc>
          <w:tcPr>
            <w:tcW w:w="1153" w:type="dxa"/>
            <w:shd w:val="clear" w:color="auto" w:fill="auto"/>
            <w:noWrap/>
            <w:vAlign w:val="bottom"/>
          </w:tcPr>
          <w:p w14:paraId="3715AC92" w14:textId="77777777" w:rsidR="009D4550" w:rsidRPr="00275290" w:rsidRDefault="009D4550" w:rsidP="009D4550">
            <w:pPr>
              <w:rPr>
                <w:rFonts w:cs="Arial"/>
                <w:color w:val="000000"/>
                <w:lang w:val="fr-FR" w:eastAsia="fr-FR"/>
              </w:rPr>
            </w:pPr>
          </w:p>
        </w:tc>
        <w:tc>
          <w:tcPr>
            <w:tcW w:w="1153" w:type="dxa"/>
            <w:shd w:val="clear" w:color="auto" w:fill="auto"/>
            <w:noWrap/>
            <w:vAlign w:val="bottom"/>
            <w:hideMark/>
          </w:tcPr>
          <w:p w14:paraId="558A21E6" w14:textId="10A70503" w:rsidR="009D4550" w:rsidRPr="00275290" w:rsidRDefault="009D4550" w:rsidP="009D4550">
            <w:pPr>
              <w:rPr>
                <w:rFonts w:cs="Arial"/>
                <w:b/>
                <w:color w:val="000000"/>
                <w:lang w:val="fr-FR" w:eastAsia="fr-FR"/>
              </w:rPr>
            </w:pPr>
            <w:r w:rsidRPr="00275290">
              <w:rPr>
                <w:rFonts w:cs="Arial"/>
                <w:b/>
                <w:color w:val="000000"/>
                <w:lang w:val="fr-FR" w:eastAsia="fr-FR"/>
              </w:rPr>
              <w:t>0.</w:t>
            </w:r>
            <w:r w:rsidR="00417BF5">
              <w:rPr>
                <w:rFonts w:cs="Arial"/>
                <w:b/>
                <w:color w:val="000000"/>
                <w:lang w:val="fr-FR" w:eastAsia="fr-FR"/>
              </w:rPr>
              <w:t>14</w:t>
            </w:r>
          </w:p>
        </w:tc>
      </w:tr>
    </w:tbl>
    <w:p w14:paraId="43B8EF26" w14:textId="77777777" w:rsidR="009D4550" w:rsidRPr="00275290" w:rsidRDefault="009D4550" w:rsidP="009D4550">
      <w:pPr>
        <w:pStyle w:val="BfRBBStandard"/>
        <w:rPr>
          <w:rFonts w:ascii="Verdana" w:eastAsia="Times New Roman" w:hAnsi="Verdana"/>
          <w:sz w:val="20"/>
          <w:szCs w:val="20"/>
          <w:lang w:val="en-GB" w:eastAsia="sv-SE"/>
        </w:rPr>
      </w:pPr>
    </w:p>
    <w:p w14:paraId="28BB5D39" w14:textId="77777777"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HI is inferior to 1 for all common organs. The risk is acceptable. </w:t>
      </w:r>
    </w:p>
    <w:p w14:paraId="36F41412" w14:textId="77777777" w:rsidR="009D4550" w:rsidRPr="00275290" w:rsidRDefault="009D4550" w:rsidP="009D4550">
      <w:pPr>
        <w:pStyle w:val="BfRBBStandard"/>
        <w:rPr>
          <w:rFonts w:ascii="Verdana" w:eastAsia="Times New Roman" w:hAnsi="Verdana"/>
          <w:sz w:val="20"/>
          <w:szCs w:val="20"/>
          <w:lang w:val="en-GB" w:eastAsia="sv-SE"/>
        </w:rPr>
      </w:pPr>
    </w:p>
    <w:p w14:paraId="4CB2D180" w14:textId="77777777" w:rsidR="009D4550" w:rsidRPr="00275290" w:rsidRDefault="009D4550" w:rsidP="009D4550">
      <w:pPr>
        <w:pStyle w:val="Standard-italics"/>
        <w:rPr>
          <w:rFonts w:cs="Arial"/>
          <w:lang w:eastAsia="sv-SE"/>
        </w:rPr>
      </w:pPr>
    </w:p>
    <w:p w14:paraId="031C08F9"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Brush application + injection</w:t>
      </w:r>
    </w:p>
    <w:p w14:paraId="6590FA64" w14:textId="77777777" w:rsidR="009D4550" w:rsidRPr="00275290" w:rsidRDefault="009D4550" w:rsidP="009D4550">
      <w:pPr>
        <w:pStyle w:val="BfRBBStandard"/>
        <w:rPr>
          <w:rFonts w:ascii="Verdana" w:eastAsia="Times New Roman" w:hAnsi="Verdana"/>
          <w:sz w:val="20"/>
          <w:szCs w:val="20"/>
          <w:lang w:val="en-GB" w:eastAsia="sv-SE"/>
        </w:rPr>
      </w:pPr>
    </w:p>
    <w:p w14:paraId="05E2C88B"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68342A6D" w14:textId="77777777" w:rsidR="009D4550" w:rsidRPr="00275290" w:rsidRDefault="009D4550" w:rsidP="009D4550">
      <w:pPr>
        <w:pStyle w:val="Standard-italics"/>
        <w:rPr>
          <w:rFonts w:cs="Arial"/>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984"/>
        <w:gridCol w:w="1984"/>
        <w:gridCol w:w="1984"/>
      </w:tblGrid>
      <w:tr w:rsidR="004938EA" w:rsidRPr="00275290" w14:paraId="564F49B8" w14:textId="77777777" w:rsidTr="004E7A98">
        <w:tc>
          <w:tcPr>
            <w:tcW w:w="1983" w:type="dxa"/>
          </w:tcPr>
          <w:p w14:paraId="344C7EB3"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1984" w:type="dxa"/>
          </w:tcPr>
          <w:p w14:paraId="75A57077"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66D88475"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1B5E66D4"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0F9BA331"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984" w:type="dxa"/>
          </w:tcPr>
          <w:p w14:paraId="60D04FE9"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3FBE18D2" w14:textId="77777777" w:rsidTr="00666966">
        <w:tc>
          <w:tcPr>
            <w:tcW w:w="7935" w:type="dxa"/>
            <w:gridSpan w:val="4"/>
            <w:shd w:val="clear" w:color="auto" w:fill="BFBFBF" w:themeFill="background1" w:themeFillShade="BF"/>
            <w:vAlign w:val="center"/>
          </w:tcPr>
          <w:p w14:paraId="475A309C" w14:textId="74F210CB" w:rsidR="004938EA" w:rsidRPr="00275290" w:rsidRDefault="004938EA" w:rsidP="009847DC">
            <w:pPr>
              <w:rPr>
                <w:rFonts w:cs="Arial"/>
                <w:lang w:val="en-US"/>
              </w:rPr>
            </w:pPr>
            <w:r w:rsidRPr="00275290">
              <w:rPr>
                <w:rFonts w:cs="Arial"/>
                <w:lang w:val="en-US"/>
              </w:rPr>
              <w:t>Brushing 300g/m</w:t>
            </w:r>
            <w:r w:rsidRPr="00275290">
              <w:rPr>
                <w:rFonts w:cs="Arial"/>
                <w:vertAlign w:val="superscript"/>
                <w:lang w:val="en-US"/>
              </w:rPr>
              <w:t>2</w:t>
            </w:r>
            <w:r w:rsidRPr="00275290">
              <w:rPr>
                <w:rFonts w:cs="Arial"/>
                <w:lang w:val="en-US"/>
              </w:rPr>
              <w:t xml:space="preserve"> </w:t>
            </w:r>
            <w:r>
              <w:rPr>
                <w:rFonts w:cs="Arial"/>
                <w:lang w:val="en-US"/>
              </w:rPr>
              <w:t>and</w:t>
            </w:r>
            <w:r w:rsidRPr="00275290">
              <w:rPr>
                <w:rFonts w:cs="Arial"/>
                <w:lang w:val="en-US"/>
              </w:rPr>
              <w:t xml:space="preserve"> Injecting </w:t>
            </w:r>
            <w:r w:rsidR="009847DC" w:rsidRPr="00275290">
              <w:rPr>
                <w:rFonts w:cs="Arial"/>
                <w:lang w:val="en-US"/>
              </w:rPr>
              <w:t>1</w:t>
            </w:r>
            <w:r w:rsidR="009847DC">
              <w:rPr>
                <w:rFonts w:cs="Arial"/>
                <w:lang w:val="en-US"/>
              </w:rPr>
              <w:t>45</w:t>
            </w:r>
            <w:r w:rsidR="009847DC" w:rsidRPr="00275290">
              <w:rPr>
                <w:rFonts w:cs="Arial"/>
                <w:lang w:val="en-US"/>
              </w:rPr>
              <w:t>g</w:t>
            </w:r>
            <w:r w:rsidRPr="00275290">
              <w:rPr>
                <w:rFonts w:cs="Arial"/>
                <w:lang w:val="en-US"/>
              </w:rPr>
              <w:t>/m</w:t>
            </w:r>
            <w:r w:rsidRPr="00275290">
              <w:rPr>
                <w:rFonts w:cs="Arial"/>
                <w:vertAlign w:val="superscript"/>
                <w:lang w:val="en-US"/>
              </w:rPr>
              <w:t>2</w:t>
            </w:r>
          </w:p>
        </w:tc>
      </w:tr>
      <w:tr w:rsidR="00417BF5" w:rsidRPr="00275290" w14:paraId="46CCED8E" w14:textId="77777777" w:rsidTr="004E7A98">
        <w:tc>
          <w:tcPr>
            <w:tcW w:w="1983" w:type="dxa"/>
            <w:vMerge w:val="restart"/>
            <w:vAlign w:val="center"/>
          </w:tcPr>
          <w:p w14:paraId="4EFAE7FE" w14:textId="2E879312" w:rsidR="00417BF5" w:rsidRPr="000E1EAD" w:rsidRDefault="00417BF5" w:rsidP="00417BF5">
            <w:pPr>
              <w:rPr>
                <w:rFonts w:cs="Arial"/>
              </w:rPr>
            </w:pPr>
            <w:r>
              <w:rPr>
                <w:rFonts w:cs="Arial"/>
                <w:lang w:val="en-US"/>
              </w:rPr>
              <w:t>M&amp;L phase (brush and injection)</w:t>
            </w:r>
          </w:p>
        </w:tc>
        <w:tc>
          <w:tcPr>
            <w:tcW w:w="1984" w:type="dxa"/>
            <w:vAlign w:val="center"/>
          </w:tcPr>
          <w:p w14:paraId="7E16B440" w14:textId="77777777" w:rsidR="00417BF5" w:rsidRPr="00275290" w:rsidRDefault="00417BF5" w:rsidP="00417BF5">
            <w:pPr>
              <w:rPr>
                <w:rFonts w:cs="Arial"/>
                <w:lang w:val="fr-FR"/>
              </w:rPr>
            </w:pPr>
            <w:r w:rsidRPr="00275290">
              <w:rPr>
                <w:rFonts w:cs="Arial"/>
                <w:lang w:val="fr-FR"/>
              </w:rPr>
              <w:t>Cyperméthrine</w:t>
            </w:r>
          </w:p>
          <w:p w14:paraId="0AA2CF59" w14:textId="480DE6B2" w:rsidR="00417BF5" w:rsidRPr="00275290" w:rsidRDefault="00417BF5" w:rsidP="00417BF5">
            <w:pPr>
              <w:rPr>
                <w:rFonts w:cs="Arial"/>
                <w:lang w:val="fr-FR"/>
              </w:rPr>
            </w:pPr>
            <w:r w:rsidRPr="00275290">
              <w:rPr>
                <w:rFonts w:cs="Arial"/>
                <w:lang w:val="fr-FR"/>
              </w:rPr>
              <w:t>0,088</w:t>
            </w:r>
          </w:p>
        </w:tc>
        <w:tc>
          <w:tcPr>
            <w:tcW w:w="1984" w:type="dxa"/>
            <w:vAlign w:val="center"/>
          </w:tcPr>
          <w:p w14:paraId="22F9352B" w14:textId="2EE0A5E0" w:rsidR="00417BF5" w:rsidRPr="00275290" w:rsidRDefault="00417BF5" w:rsidP="00417BF5">
            <w:pPr>
              <w:rPr>
                <w:rFonts w:cs="Arial"/>
                <w:color w:val="000000"/>
              </w:rPr>
            </w:pPr>
            <w:r>
              <w:rPr>
                <w:rFonts w:ascii="Calibri" w:hAnsi="Calibri" w:cs="Calibri"/>
                <w:color w:val="000000"/>
                <w:sz w:val="22"/>
                <w:szCs w:val="22"/>
              </w:rPr>
              <w:t>3,85E-03</w:t>
            </w:r>
          </w:p>
        </w:tc>
        <w:tc>
          <w:tcPr>
            <w:tcW w:w="1984" w:type="dxa"/>
            <w:vAlign w:val="center"/>
          </w:tcPr>
          <w:p w14:paraId="4D797010" w14:textId="741F2961" w:rsidR="00417BF5" w:rsidRPr="00275290" w:rsidRDefault="00417BF5" w:rsidP="00417BF5">
            <w:pPr>
              <w:rPr>
                <w:rFonts w:cs="Arial"/>
                <w:lang w:val="fr-FR"/>
              </w:rPr>
            </w:pPr>
            <w:r>
              <w:rPr>
                <w:rFonts w:cs="Arial"/>
                <w:lang w:val="fr-FR"/>
              </w:rPr>
              <w:t>4</w:t>
            </w:r>
          </w:p>
        </w:tc>
      </w:tr>
      <w:tr w:rsidR="00417BF5" w:rsidRPr="00275290" w14:paraId="4867253B" w14:textId="77777777" w:rsidTr="004E7A98">
        <w:tc>
          <w:tcPr>
            <w:tcW w:w="1983" w:type="dxa"/>
            <w:vMerge/>
            <w:vAlign w:val="center"/>
          </w:tcPr>
          <w:p w14:paraId="3EC22EF6" w14:textId="77777777" w:rsidR="00417BF5" w:rsidRPr="00275290" w:rsidRDefault="00417BF5" w:rsidP="00417BF5">
            <w:pPr>
              <w:rPr>
                <w:rFonts w:cs="Arial"/>
                <w:lang w:val="fr-FR"/>
              </w:rPr>
            </w:pPr>
          </w:p>
        </w:tc>
        <w:tc>
          <w:tcPr>
            <w:tcW w:w="1984" w:type="dxa"/>
            <w:vAlign w:val="center"/>
          </w:tcPr>
          <w:p w14:paraId="3A906D0F" w14:textId="585826C9"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51B49C2F" w14:textId="7B4856BE" w:rsidR="00417BF5" w:rsidRPr="00275290" w:rsidRDefault="00417BF5" w:rsidP="00417BF5">
            <w:pPr>
              <w:rPr>
                <w:rFonts w:cs="Arial"/>
                <w:color w:val="000000"/>
              </w:rPr>
            </w:pPr>
            <w:r>
              <w:rPr>
                <w:rFonts w:ascii="Calibri" w:hAnsi="Calibri" w:cs="Calibri"/>
                <w:color w:val="000000"/>
                <w:sz w:val="22"/>
                <w:szCs w:val="22"/>
              </w:rPr>
              <w:t>5,57E-03</w:t>
            </w:r>
          </w:p>
        </w:tc>
        <w:tc>
          <w:tcPr>
            <w:tcW w:w="1984" w:type="dxa"/>
            <w:vAlign w:val="center"/>
          </w:tcPr>
          <w:p w14:paraId="18D898B5" w14:textId="4F9A3E89" w:rsidR="00417BF5" w:rsidRPr="00275290" w:rsidRDefault="00417BF5" w:rsidP="00417BF5">
            <w:pPr>
              <w:rPr>
                <w:rFonts w:cs="Arial"/>
                <w:lang w:val="fr-FR"/>
              </w:rPr>
            </w:pPr>
            <w:r>
              <w:rPr>
                <w:rFonts w:cs="Arial"/>
                <w:lang w:val="fr-FR"/>
              </w:rPr>
              <w:t>2</w:t>
            </w:r>
          </w:p>
        </w:tc>
      </w:tr>
      <w:tr w:rsidR="00417BF5" w:rsidRPr="00275290" w14:paraId="50B75F29" w14:textId="77777777" w:rsidTr="004E7A98">
        <w:tc>
          <w:tcPr>
            <w:tcW w:w="1983" w:type="dxa"/>
            <w:vMerge/>
            <w:vAlign w:val="center"/>
          </w:tcPr>
          <w:p w14:paraId="380C1B3B" w14:textId="77777777" w:rsidR="00417BF5" w:rsidRPr="00275290" w:rsidRDefault="00417BF5" w:rsidP="00417BF5">
            <w:pPr>
              <w:rPr>
                <w:rFonts w:cs="Arial"/>
                <w:lang w:val="fr-FR"/>
              </w:rPr>
            </w:pPr>
          </w:p>
        </w:tc>
        <w:tc>
          <w:tcPr>
            <w:tcW w:w="1984" w:type="dxa"/>
            <w:vAlign w:val="center"/>
          </w:tcPr>
          <w:p w14:paraId="437D7542" w14:textId="48D4CAFB"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3F08421D" w14:textId="2134B099" w:rsidR="00417BF5" w:rsidRPr="00275290" w:rsidRDefault="00417BF5" w:rsidP="00417BF5">
            <w:pPr>
              <w:rPr>
                <w:rFonts w:cs="Arial"/>
                <w:color w:val="000000"/>
              </w:rPr>
            </w:pPr>
            <w:r>
              <w:rPr>
                <w:rFonts w:ascii="Calibri" w:hAnsi="Calibri" w:cs="Calibri"/>
                <w:color w:val="000000"/>
                <w:sz w:val="22"/>
                <w:szCs w:val="22"/>
              </w:rPr>
              <w:t>2,07E-03</w:t>
            </w:r>
          </w:p>
        </w:tc>
        <w:tc>
          <w:tcPr>
            <w:tcW w:w="1984" w:type="dxa"/>
            <w:vAlign w:val="center"/>
          </w:tcPr>
          <w:p w14:paraId="3ADD23E8" w14:textId="0B3E14A5" w:rsidR="00417BF5" w:rsidRPr="00275290" w:rsidRDefault="00417BF5" w:rsidP="00417BF5">
            <w:pPr>
              <w:rPr>
                <w:rFonts w:cs="Arial"/>
                <w:lang w:val="fr-FR"/>
              </w:rPr>
            </w:pPr>
            <w:r>
              <w:rPr>
                <w:rFonts w:cs="Arial"/>
                <w:lang w:val="fr-FR"/>
              </w:rPr>
              <w:t>7</w:t>
            </w:r>
          </w:p>
        </w:tc>
      </w:tr>
      <w:tr w:rsidR="00417BF5" w:rsidRPr="00275290" w14:paraId="59318C3E" w14:textId="77777777" w:rsidTr="004E7A98">
        <w:tc>
          <w:tcPr>
            <w:tcW w:w="1983" w:type="dxa"/>
            <w:vMerge/>
            <w:vAlign w:val="center"/>
          </w:tcPr>
          <w:p w14:paraId="25CA869B" w14:textId="77777777" w:rsidR="00417BF5" w:rsidRPr="00275290" w:rsidRDefault="00417BF5" w:rsidP="00417BF5">
            <w:pPr>
              <w:rPr>
                <w:rFonts w:cs="Arial"/>
                <w:lang w:val="fr-FR"/>
              </w:rPr>
            </w:pPr>
          </w:p>
        </w:tc>
        <w:tc>
          <w:tcPr>
            <w:tcW w:w="1984" w:type="dxa"/>
            <w:vAlign w:val="center"/>
          </w:tcPr>
          <w:p w14:paraId="267BD07C" w14:textId="77777777" w:rsidR="00417BF5" w:rsidRPr="00275290" w:rsidRDefault="00417BF5" w:rsidP="00417BF5">
            <w:pPr>
              <w:rPr>
                <w:rFonts w:cs="Arial"/>
                <w:lang w:val="fr-FR"/>
              </w:rPr>
            </w:pPr>
            <w:r w:rsidRPr="00275290">
              <w:rPr>
                <w:rFonts w:cs="Arial"/>
                <w:lang w:val="fr-FR"/>
              </w:rPr>
              <w:t>IPBC</w:t>
            </w:r>
          </w:p>
          <w:p w14:paraId="659AB290" w14:textId="76F9DB97" w:rsidR="00417BF5" w:rsidRPr="00275290" w:rsidRDefault="00417BF5" w:rsidP="00417BF5">
            <w:pPr>
              <w:rPr>
                <w:rFonts w:cs="Arial"/>
                <w:lang w:val="fr-FR"/>
              </w:rPr>
            </w:pPr>
            <w:r w:rsidRPr="00275290">
              <w:rPr>
                <w:rFonts w:cs="Arial"/>
                <w:lang w:val="fr-FR"/>
              </w:rPr>
              <w:t>0.35</w:t>
            </w:r>
          </w:p>
        </w:tc>
        <w:tc>
          <w:tcPr>
            <w:tcW w:w="1984" w:type="dxa"/>
            <w:vAlign w:val="center"/>
          </w:tcPr>
          <w:p w14:paraId="7AC1185F" w14:textId="7D67994C" w:rsidR="00417BF5" w:rsidRPr="00275290" w:rsidRDefault="00417BF5" w:rsidP="00417BF5">
            <w:pPr>
              <w:rPr>
                <w:rFonts w:cs="Arial"/>
                <w:color w:val="000000"/>
              </w:rPr>
            </w:pPr>
            <w:r>
              <w:rPr>
                <w:rFonts w:ascii="Calibri" w:hAnsi="Calibri" w:cs="Calibri"/>
                <w:color w:val="000000"/>
                <w:sz w:val="22"/>
                <w:szCs w:val="22"/>
              </w:rPr>
              <w:t>5,02E-03</w:t>
            </w:r>
          </w:p>
        </w:tc>
        <w:tc>
          <w:tcPr>
            <w:tcW w:w="1984" w:type="dxa"/>
            <w:vAlign w:val="center"/>
          </w:tcPr>
          <w:p w14:paraId="5CD10173" w14:textId="7F026626" w:rsidR="00417BF5" w:rsidRPr="00275290" w:rsidRDefault="00417BF5" w:rsidP="00417BF5">
            <w:pPr>
              <w:rPr>
                <w:rFonts w:cs="Arial"/>
                <w:lang w:val="fr-FR"/>
              </w:rPr>
            </w:pPr>
            <w:r>
              <w:rPr>
                <w:rFonts w:cs="Arial"/>
                <w:lang w:val="fr-FR"/>
              </w:rPr>
              <w:t>1</w:t>
            </w:r>
          </w:p>
        </w:tc>
      </w:tr>
      <w:tr w:rsidR="00417BF5" w:rsidRPr="00275290" w14:paraId="5D36EB19" w14:textId="77777777" w:rsidTr="004E7A98">
        <w:tc>
          <w:tcPr>
            <w:tcW w:w="1983" w:type="dxa"/>
            <w:vMerge w:val="restart"/>
            <w:vAlign w:val="center"/>
          </w:tcPr>
          <w:p w14:paraId="7EAD9A26" w14:textId="77777777" w:rsidR="00417BF5" w:rsidRPr="00275290" w:rsidRDefault="00417BF5" w:rsidP="00417BF5">
            <w:pPr>
              <w:rPr>
                <w:rFonts w:cs="Arial"/>
                <w:lang w:val="fr-FR"/>
              </w:rPr>
            </w:pPr>
            <w:r w:rsidRPr="00275290">
              <w:rPr>
                <w:rFonts w:cs="Arial"/>
                <w:lang w:val="fr-FR"/>
              </w:rPr>
              <w:t>Application phase</w:t>
            </w:r>
          </w:p>
          <w:p w14:paraId="64FFA1E8" w14:textId="77777777" w:rsidR="00417BF5" w:rsidRPr="00275290" w:rsidRDefault="00417BF5" w:rsidP="00417BF5">
            <w:pPr>
              <w:rPr>
                <w:rFonts w:cs="Arial"/>
                <w:lang w:val="fr-FR"/>
              </w:rPr>
            </w:pPr>
          </w:p>
        </w:tc>
        <w:tc>
          <w:tcPr>
            <w:tcW w:w="1984" w:type="dxa"/>
            <w:vAlign w:val="center"/>
          </w:tcPr>
          <w:p w14:paraId="3DF33618" w14:textId="77777777" w:rsidR="00417BF5" w:rsidRPr="00275290" w:rsidRDefault="00417BF5" w:rsidP="00417BF5">
            <w:pPr>
              <w:rPr>
                <w:rFonts w:cs="Arial"/>
                <w:lang w:val="fr-FR"/>
              </w:rPr>
            </w:pPr>
            <w:r w:rsidRPr="00275290">
              <w:rPr>
                <w:rFonts w:cs="Arial"/>
                <w:lang w:val="fr-FR"/>
              </w:rPr>
              <w:t>Cyperméthrine</w:t>
            </w:r>
          </w:p>
          <w:p w14:paraId="366F1761" w14:textId="77777777" w:rsidR="00417BF5" w:rsidRPr="00275290" w:rsidRDefault="00417BF5" w:rsidP="00417BF5">
            <w:pPr>
              <w:rPr>
                <w:rFonts w:cs="Arial"/>
                <w:lang w:val="fr-FR"/>
              </w:rPr>
            </w:pPr>
            <w:r w:rsidRPr="00275290">
              <w:rPr>
                <w:rFonts w:cs="Arial"/>
                <w:lang w:val="fr-FR"/>
              </w:rPr>
              <w:t>0,088</w:t>
            </w:r>
          </w:p>
        </w:tc>
        <w:tc>
          <w:tcPr>
            <w:tcW w:w="1984" w:type="dxa"/>
            <w:vAlign w:val="center"/>
          </w:tcPr>
          <w:p w14:paraId="5EE0A3DA" w14:textId="77777777" w:rsidR="00417BF5" w:rsidRPr="00275290" w:rsidRDefault="00417BF5" w:rsidP="00417BF5">
            <w:pPr>
              <w:rPr>
                <w:rFonts w:cs="Arial"/>
                <w:color w:val="000000"/>
              </w:rPr>
            </w:pPr>
            <w:r w:rsidRPr="00275290">
              <w:rPr>
                <w:rFonts w:cs="Arial"/>
                <w:color w:val="000000"/>
              </w:rPr>
              <w:t>1,92E-02</w:t>
            </w:r>
          </w:p>
        </w:tc>
        <w:tc>
          <w:tcPr>
            <w:tcW w:w="1984" w:type="dxa"/>
            <w:vAlign w:val="center"/>
          </w:tcPr>
          <w:p w14:paraId="6AFAC433" w14:textId="77777777" w:rsidR="00417BF5" w:rsidRPr="00275290" w:rsidRDefault="00417BF5" w:rsidP="00417BF5">
            <w:pPr>
              <w:rPr>
                <w:rFonts w:cs="Arial"/>
                <w:lang w:val="fr-FR"/>
              </w:rPr>
            </w:pPr>
            <w:r w:rsidRPr="00275290">
              <w:rPr>
                <w:rFonts w:cs="Arial"/>
                <w:lang w:val="fr-FR"/>
              </w:rPr>
              <w:t>21.8</w:t>
            </w:r>
          </w:p>
        </w:tc>
      </w:tr>
      <w:tr w:rsidR="00417BF5" w:rsidRPr="00275290" w14:paraId="15291613" w14:textId="77777777" w:rsidTr="004E7A98">
        <w:tc>
          <w:tcPr>
            <w:tcW w:w="1983" w:type="dxa"/>
            <w:vMerge/>
            <w:vAlign w:val="center"/>
          </w:tcPr>
          <w:p w14:paraId="1EE5F5C0" w14:textId="77777777" w:rsidR="00417BF5" w:rsidRPr="00275290" w:rsidRDefault="00417BF5" w:rsidP="00417BF5">
            <w:pPr>
              <w:rPr>
                <w:rFonts w:cs="Arial"/>
                <w:lang w:val="fr-FR"/>
              </w:rPr>
            </w:pPr>
          </w:p>
        </w:tc>
        <w:tc>
          <w:tcPr>
            <w:tcW w:w="1984" w:type="dxa"/>
            <w:vAlign w:val="center"/>
          </w:tcPr>
          <w:p w14:paraId="77118E27" w14:textId="77777777"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77877257" w14:textId="77777777" w:rsidR="00417BF5" w:rsidRPr="00275290" w:rsidRDefault="00417BF5" w:rsidP="00417BF5">
            <w:pPr>
              <w:rPr>
                <w:rFonts w:cs="Arial"/>
                <w:color w:val="000000"/>
              </w:rPr>
            </w:pPr>
            <w:r w:rsidRPr="00275290">
              <w:rPr>
                <w:rFonts w:cs="Arial"/>
                <w:color w:val="000000"/>
              </w:rPr>
              <w:t>2,79E-02</w:t>
            </w:r>
          </w:p>
        </w:tc>
        <w:tc>
          <w:tcPr>
            <w:tcW w:w="1984" w:type="dxa"/>
            <w:vAlign w:val="center"/>
          </w:tcPr>
          <w:p w14:paraId="223A5D55" w14:textId="77777777" w:rsidR="00417BF5" w:rsidRPr="00275290" w:rsidRDefault="00417BF5" w:rsidP="00417BF5">
            <w:pPr>
              <w:rPr>
                <w:rFonts w:cs="Arial"/>
                <w:lang w:val="fr-FR"/>
              </w:rPr>
            </w:pPr>
            <w:r w:rsidRPr="00275290">
              <w:rPr>
                <w:rFonts w:cs="Arial"/>
                <w:lang w:val="fr-FR"/>
              </w:rPr>
              <w:t>9.3</w:t>
            </w:r>
          </w:p>
        </w:tc>
      </w:tr>
      <w:tr w:rsidR="00417BF5" w:rsidRPr="00275290" w14:paraId="58B362EC" w14:textId="77777777" w:rsidTr="004E7A98">
        <w:tc>
          <w:tcPr>
            <w:tcW w:w="1983" w:type="dxa"/>
            <w:vMerge/>
            <w:vAlign w:val="center"/>
          </w:tcPr>
          <w:p w14:paraId="6440A3B4" w14:textId="77777777" w:rsidR="00417BF5" w:rsidRPr="00275290" w:rsidRDefault="00417BF5" w:rsidP="00417BF5">
            <w:pPr>
              <w:rPr>
                <w:rFonts w:cs="Arial"/>
                <w:lang w:val="fr-FR"/>
              </w:rPr>
            </w:pPr>
          </w:p>
        </w:tc>
        <w:tc>
          <w:tcPr>
            <w:tcW w:w="1984" w:type="dxa"/>
            <w:vAlign w:val="center"/>
          </w:tcPr>
          <w:p w14:paraId="1ED51133" w14:textId="77777777"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6F019F13" w14:textId="77777777" w:rsidR="00417BF5" w:rsidRPr="00275290" w:rsidRDefault="00417BF5" w:rsidP="00417BF5">
            <w:pPr>
              <w:rPr>
                <w:rFonts w:cs="Arial"/>
                <w:color w:val="000000"/>
              </w:rPr>
            </w:pPr>
            <w:r w:rsidRPr="00275290">
              <w:rPr>
                <w:rFonts w:cs="Arial"/>
                <w:color w:val="000000"/>
              </w:rPr>
              <w:t>1,04E-02</w:t>
            </w:r>
          </w:p>
        </w:tc>
        <w:tc>
          <w:tcPr>
            <w:tcW w:w="1984" w:type="dxa"/>
            <w:vAlign w:val="center"/>
          </w:tcPr>
          <w:p w14:paraId="2C409C08" w14:textId="77777777" w:rsidR="00417BF5" w:rsidRPr="00275290" w:rsidRDefault="00417BF5" w:rsidP="00417BF5">
            <w:pPr>
              <w:rPr>
                <w:rFonts w:cs="Arial"/>
                <w:lang w:val="fr-FR"/>
              </w:rPr>
            </w:pPr>
            <w:r w:rsidRPr="00275290">
              <w:rPr>
                <w:rFonts w:cs="Arial"/>
                <w:lang w:val="fr-FR"/>
              </w:rPr>
              <w:t>34.5</w:t>
            </w:r>
          </w:p>
        </w:tc>
      </w:tr>
      <w:tr w:rsidR="00417BF5" w:rsidRPr="00275290" w14:paraId="03140D5B" w14:textId="77777777" w:rsidTr="004E7A98">
        <w:tc>
          <w:tcPr>
            <w:tcW w:w="1983" w:type="dxa"/>
            <w:vMerge/>
            <w:vAlign w:val="center"/>
          </w:tcPr>
          <w:p w14:paraId="74E6E3B4" w14:textId="77777777" w:rsidR="00417BF5" w:rsidRPr="00275290" w:rsidRDefault="00417BF5" w:rsidP="00417BF5">
            <w:pPr>
              <w:rPr>
                <w:rFonts w:cs="Arial"/>
                <w:lang w:val="fr-FR"/>
              </w:rPr>
            </w:pPr>
          </w:p>
        </w:tc>
        <w:tc>
          <w:tcPr>
            <w:tcW w:w="1984" w:type="dxa"/>
            <w:vAlign w:val="center"/>
          </w:tcPr>
          <w:p w14:paraId="58BA66C7" w14:textId="77777777" w:rsidR="00417BF5" w:rsidRPr="00275290" w:rsidRDefault="00417BF5" w:rsidP="00417BF5">
            <w:pPr>
              <w:rPr>
                <w:rFonts w:cs="Arial"/>
                <w:lang w:val="fr-FR"/>
              </w:rPr>
            </w:pPr>
            <w:r w:rsidRPr="00275290">
              <w:rPr>
                <w:rFonts w:cs="Arial"/>
                <w:lang w:val="fr-FR"/>
              </w:rPr>
              <w:t>IPBC</w:t>
            </w:r>
          </w:p>
          <w:p w14:paraId="0205B9D6" w14:textId="77777777" w:rsidR="00417BF5" w:rsidRPr="00275290" w:rsidRDefault="00417BF5" w:rsidP="00417BF5">
            <w:pPr>
              <w:rPr>
                <w:rFonts w:cs="Arial"/>
                <w:lang w:val="fr-FR"/>
              </w:rPr>
            </w:pPr>
            <w:r w:rsidRPr="00275290">
              <w:rPr>
                <w:rFonts w:cs="Arial"/>
                <w:lang w:val="fr-FR"/>
              </w:rPr>
              <w:t>0.35</w:t>
            </w:r>
          </w:p>
        </w:tc>
        <w:tc>
          <w:tcPr>
            <w:tcW w:w="1984" w:type="dxa"/>
            <w:vAlign w:val="center"/>
          </w:tcPr>
          <w:p w14:paraId="30B6FC8B" w14:textId="77777777" w:rsidR="00417BF5" w:rsidRPr="00275290" w:rsidRDefault="00417BF5" w:rsidP="00417BF5">
            <w:pPr>
              <w:rPr>
                <w:rFonts w:cs="Arial"/>
                <w:color w:val="000000"/>
              </w:rPr>
            </w:pPr>
            <w:r w:rsidRPr="00275290">
              <w:rPr>
                <w:rFonts w:cs="Arial"/>
                <w:color w:val="000000"/>
              </w:rPr>
              <w:t>2,49E-02</w:t>
            </w:r>
          </w:p>
        </w:tc>
        <w:tc>
          <w:tcPr>
            <w:tcW w:w="1984" w:type="dxa"/>
            <w:vAlign w:val="center"/>
          </w:tcPr>
          <w:p w14:paraId="77032401" w14:textId="77777777" w:rsidR="00417BF5" w:rsidRPr="00275290" w:rsidRDefault="00417BF5" w:rsidP="00417BF5">
            <w:pPr>
              <w:rPr>
                <w:rFonts w:cs="Arial"/>
                <w:lang w:val="fr-FR"/>
              </w:rPr>
            </w:pPr>
            <w:r w:rsidRPr="00275290">
              <w:rPr>
                <w:rFonts w:cs="Arial"/>
                <w:lang w:val="fr-FR"/>
              </w:rPr>
              <w:t>7.1</w:t>
            </w:r>
          </w:p>
        </w:tc>
      </w:tr>
      <w:tr w:rsidR="00417BF5" w:rsidRPr="00275290" w14:paraId="55046222" w14:textId="77777777" w:rsidTr="004E7A98">
        <w:tc>
          <w:tcPr>
            <w:tcW w:w="1983" w:type="dxa"/>
            <w:vMerge w:val="restart"/>
            <w:vAlign w:val="center"/>
          </w:tcPr>
          <w:p w14:paraId="33510F29" w14:textId="77777777" w:rsidR="00417BF5" w:rsidRPr="00275290" w:rsidRDefault="00417BF5" w:rsidP="00417BF5">
            <w:pPr>
              <w:rPr>
                <w:rFonts w:cs="Arial"/>
                <w:lang w:val="fr-FR"/>
              </w:rPr>
            </w:pPr>
            <w:r w:rsidRPr="00275290">
              <w:rPr>
                <w:rFonts w:cs="Arial"/>
                <w:lang w:val="fr-FR"/>
              </w:rPr>
              <w:t xml:space="preserve">Brush cleaning </w:t>
            </w:r>
          </w:p>
        </w:tc>
        <w:tc>
          <w:tcPr>
            <w:tcW w:w="1984" w:type="dxa"/>
            <w:vAlign w:val="center"/>
          </w:tcPr>
          <w:p w14:paraId="47BF6D17" w14:textId="77777777" w:rsidR="00417BF5" w:rsidRPr="00275290" w:rsidRDefault="00417BF5" w:rsidP="00417BF5">
            <w:pPr>
              <w:rPr>
                <w:rFonts w:cs="Arial"/>
                <w:lang w:val="fr-FR"/>
              </w:rPr>
            </w:pPr>
            <w:r w:rsidRPr="00275290">
              <w:rPr>
                <w:rFonts w:cs="Arial"/>
                <w:lang w:val="fr-FR"/>
              </w:rPr>
              <w:t>Cyperméthrine</w:t>
            </w:r>
          </w:p>
          <w:p w14:paraId="15C8E9FE" w14:textId="77777777" w:rsidR="00417BF5" w:rsidRPr="00275290" w:rsidRDefault="00417BF5" w:rsidP="00417BF5">
            <w:pPr>
              <w:rPr>
                <w:rFonts w:cs="Arial"/>
                <w:lang w:val="fr-FR"/>
              </w:rPr>
            </w:pPr>
            <w:r w:rsidRPr="00275290">
              <w:rPr>
                <w:rFonts w:cs="Arial"/>
                <w:lang w:val="fr-FR"/>
              </w:rPr>
              <w:t>0,088</w:t>
            </w:r>
          </w:p>
        </w:tc>
        <w:tc>
          <w:tcPr>
            <w:tcW w:w="1984" w:type="dxa"/>
            <w:vAlign w:val="center"/>
          </w:tcPr>
          <w:p w14:paraId="57C5788F" w14:textId="77777777" w:rsidR="00417BF5" w:rsidRPr="00275290" w:rsidRDefault="00417BF5" w:rsidP="00417BF5">
            <w:pPr>
              <w:rPr>
                <w:rFonts w:cs="Arial"/>
                <w:color w:val="000000"/>
              </w:rPr>
            </w:pPr>
            <w:r w:rsidRPr="00275290">
              <w:rPr>
                <w:rFonts w:cs="Arial"/>
                <w:color w:val="000000"/>
              </w:rPr>
              <w:t>7,17E-04</w:t>
            </w:r>
          </w:p>
        </w:tc>
        <w:tc>
          <w:tcPr>
            <w:tcW w:w="1984" w:type="dxa"/>
            <w:vAlign w:val="center"/>
          </w:tcPr>
          <w:p w14:paraId="4DAEE422" w14:textId="77777777" w:rsidR="00417BF5" w:rsidRPr="00275290" w:rsidRDefault="00417BF5" w:rsidP="00417BF5">
            <w:pPr>
              <w:rPr>
                <w:rFonts w:cs="Arial"/>
                <w:lang w:val="fr-FR"/>
              </w:rPr>
            </w:pPr>
            <w:r w:rsidRPr="00275290">
              <w:rPr>
                <w:rFonts w:cs="Arial"/>
                <w:lang w:val="fr-FR"/>
              </w:rPr>
              <w:t>0.82</w:t>
            </w:r>
          </w:p>
        </w:tc>
      </w:tr>
      <w:tr w:rsidR="00417BF5" w:rsidRPr="00275290" w14:paraId="1E1E0E47" w14:textId="77777777" w:rsidTr="004E7A98">
        <w:tc>
          <w:tcPr>
            <w:tcW w:w="1983" w:type="dxa"/>
            <w:vMerge/>
            <w:vAlign w:val="center"/>
          </w:tcPr>
          <w:p w14:paraId="2435964F" w14:textId="77777777" w:rsidR="00417BF5" w:rsidRPr="00275290" w:rsidRDefault="00417BF5" w:rsidP="00417BF5">
            <w:pPr>
              <w:rPr>
                <w:rFonts w:cs="Arial"/>
                <w:lang w:val="fr-FR"/>
              </w:rPr>
            </w:pPr>
          </w:p>
        </w:tc>
        <w:tc>
          <w:tcPr>
            <w:tcW w:w="1984" w:type="dxa"/>
            <w:vAlign w:val="center"/>
          </w:tcPr>
          <w:p w14:paraId="36D41404" w14:textId="77777777"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0110A397" w14:textId="77777777" w:rsidR="00417BF5" w:rsidRPr="00275290" w:rsidRDefault="00417BF5" w:rsidP="00417BF5">
            <w:pPr>
              <w:rPr>
                <w:rFonts w:cs="Arial"/>
                <w:color w:val="000000"/>
              </w:rPr>
            </w:pPr>
            <w:r w:rsidRPr="00275290">
              <w:rPr>
                <w:rFonts w:cs="Arial"/>
                <w:color w:val="000000"/>
              </w:rPr>
              <w:t>9,32E-04</w:t>
            </w:r>
          </w:p>
        </w:tc>
        <w:tc>
          <w:tcPr>
            <w:tcW w:w="1984" w:type="dxa"/>
            <w:vAlign w:val="center"/>
          </w:tcPr>
          <w:p w14:paraId="76608BED" w14:textId="77777777" w:rsidR="00417BF5" w:rsidRPr="00275290" w:rsidRDefault="00417BF5" w:rsidP="00417BF5">
            <w:pPr>
              <w:rPr>
                <w:rFonts w:cs="Arial"/>
                <w:lang w:val="fr-FR"/>
              </w:rPr>
            </w:pPr>
            <w:r w:rsidRPr="00275290">
              <w:rPr>
                <w:rFonts w:cs="Arial"/>
                <w:lang w:val="fr-FR"/>
              </w:rPr>
              <w:t>0.31</w:t>
            </w:r>
          </w:p>
        </w:tc>
      </w:tr>
      <w:tr w:rsidR="00417BF5" w:rsidRPr="00275290" w14:paraId="66192263" w14:textId="77777777" w:rsidTr="004E7A98">
        <w:tc>
          <w:tcPr>
            <w:tcW w:w="1983" w:type="dxa"/>
            <w:vMerge/>
            <w:vAlign w:val="center"/>
          </w:tcPr>
          <w:p w14:paraId="02168A0C" w14:textId="77777777" w:rsidR="00417BF5" w:rsidRPr="00275290" w:rsidRDefault="00417BF5" w:rsidP="00417BF5">
            <w:pPr>
              <w:rPr>
                <w:rFonts w:cs="Arial"/>
                <w:lang w:val="fr-FR"/>
              </w:rPr>
            </w:pPr>
          </w:p>
        </w:tc>
        <w:tc>
          <w:tcPr>
            <w:tcW w:w="1984" w:type="dxa"/>
            <w:vAlign w:val="center"/>
          </w:tcPr>
          <w:p w14:paraId="35BA9014" w14:textId="77777777"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51361F11" w14:textId="77777777" w:rsidR="00417BF5" w:rsidRPr="00275290" w:rsidRDefault="00417BF5" w:rsidP="00417BF5">
            <w:pPr>
              <w:rPr>
                <w:rFonts w:cs="Arial"/>
                <w:color w:val="000000"/>
              </w:rPr>
            </w:pPr>
            <w:r w:rsidRPr="00275290">
              <w:rPr>
                <w:rFonts w:cs="Arial"/>
                <w:color w:val="000000"/>
              </w:rPr>
              <w:t>4,94E-04</w:t>
            </w:r>
          </w:p>
        </w:tc>
        <w:tc>
          <w:tcPr>
            <w:tcW w:w="1984" w:type="dxa"/>
            <w:vAlign w:val="center"/>
          </w:tcPr>
          <w:p w14:paraId="2452AAD1" w14:textId="77777777" w:rsidR="00417BF5" w:rsidRPr="00275290" w:rsidRDefault="00417BF5" w:rsidP="00417BF5">
            <w:pPr>
              <w:rPr>
                <w:rFonts w:cs="Arial"/>
                <w:lang w:val="fr-FR"/>
              </w:rPr>
            </w:pPr>
            <w:r w:rsidRPr="00275290">
              <w:rPr>
                <w:rFonts w:cs="Arial"/>
                <w:lang w:val="fr-FR"/>
              </w:rPr>
              <w:t>1.65</w:t>
            </w:r>
          </w:p>
        </w:tc>
      </w:tr>
      <w:tr w:rsidR="00417BF5" w:rsidRPr="00275290" w14:paraId="4C3D3E68" w14:textId="77777777" w:rsidTr="004E7A98">
        <w:tc>
          <w:tcPr>
            <w:tcW w:w="1983" w:type="dxa"/>
            <w:vMerge/>
            <w:vAlign w:val="center"/>
          </w:tcPr>
          <w:p w14:paraId="6D492D8B" w14:textId="77777777" w:rsidR="00417BF5" w:rsidRPr="00275290" w:rsidRDefault="00417BF5" w:rsidP="00417BF5">
            <w:pPr>
              <w:rPr>
                <w:rFonts w:cs="Arial"/>
                <w:lang w:val="fr-FR"/>
              </w:rPr>
            </w:pPr>
          </w:p>
        </w:tc>
        <w:tc>
          <w:tcPr>
            <w:tcW w:w="1984" w:type="dxa"/>
            <w:vAlign w:val="center"/>
          </w:tcPr>
          <w:p w14:paraId="2B6517D2" w14:textId="77777777" w:rsidR="00417BF5" w:rsidRPr="00275290" w:rsidRDefault="00417BF5" w:rsidP="00417BF5">
            <w:pPr>
              <w:rPr>
                <w:rFonts w:cs="Arial"/>
                <w:lang w:val="fr-FR"/>
              </w:rPr>
            </w:pPr>
            <w:r w:rsidRPr="00275290">
              <w:rPr>
                <w:rFonts w:cs="Arial"/>
                <w:lang w:val="fr-FR"/>
              </w:rPr>
              <w:t xml:space="preserve">IPBC </w:t>
            </w:r>
          </w:p>
          <w:p w14:paraId="604FA389" w14:textId="77777777" w:rsidR="00417BF5" w:rsidRPr="00275290" w:rsidRDefault="00417BF5" w:rsidP="00417BF5">
            <w:pPr>
              <w:rPr>
                <w:rFonts w:cs="Arial"/>
                <w:lang w:val="fr-FR"/>
              </w:rPr>
            </w:pPr>
            <w:r w:rsidRPr="00275290">
              <w:rPr>
                <w:rFonts w:cs="Arial"/>
                <w:lang w:val="fr-FR"/>
              </w:rPr>
              <w:t>0.35</w:t>
            </w:r>
          </w:p>
        </w:tc>
        <w:tc>
          <w:tcPr>
            <w:tcW w:w="1984" w:type="dxa"/>
            <w:vAlign w:val="center"/>
          </w:tcPr>
          <w:p w14:paraId="6A41AD36" w14:textId="77777777" w:rsidR="00417BF5" w:rsidRPr="00275290" w:rsidRDefault="00417BF5" w:rsidP="00417BF5">
            <w:pPr>
              <w:rPr>
                <w:rFonts w:cs="Arial"/>
                <w:color w:val="000000"/>
              </w:rPr>
            </w:pPr>
            <w:r w:rsidRPr="00275290">
              <w:rPr>
                <w:rFonts w:cs="Arial"/>
                <w:color w:val="000000"/>
              </w:rPr>
              <w:t>8,63E-04</w:t>
            </w:r>
          </w:p>
        </w:tc>
        <w:tc>
          <w:tcPr>
            <w:tcW w:w="1984" w:type="dxa"/>
            <w:vAlign w:val="center"/>
          </w:tcPr>
          <w:p w14:paraId="749EE6C7" w14:textId="77777777" w:rsidR="00417BF5" w:rsidRPr="00275290" w:rsidRDefault="00417BF5" w:rsidP="00417BF5">
            <w:pPr>
              <w:rPr>
                <w:rFonts w:cs="Arial"/>
                <w:lang w:val="fr-FR"/>
              </w:rPr>
            </w:pPr>
            <w:r w:rsidRPr="00275290">
              <w:rPr>
                <w:rFonts w:cs="Arial"/>
                <w:lang w:val="fr-FR"/>
              </w:rPr>
              <w:t>0.25</w:t>
            </w:r>
          </w:p>
        </w:tc>
      </w:tr>
      <w:tr w:rsidR="00417BF5" w:rsidRPr="00275290" w14:paraId="722F9382" w14:textId="77777777" w:rsidTr="004E7A98">
        <w:tc>
          <w:tcPr>
            <w:tcW w:w="1983" w:type="dxa"/>
            <w:vMerge w:val="restart"/>
            <w:vAlign w:val="center"/>
          </w:tcPr>
          <w:p w14:paraId="64900487" w14:textId="77777777" w:rsidR="00417BF5" w:rsidRPr="00275290" w:rsidRDefault="00417BF5" w:rsidP="00417BF5">
            <w:pPr>
              <w:rPr>
                <w:rFonts w:cs="Arial"/>
                <w:lang w:val="fr-FR"/>
              </w:rPr>
            </w:pPr>
            <w:r w:rsidRPr="00275290">
              <w:rPr>
                <w:rFonts w:cs="Arial"/>
                <w:lang w:val="fr-FR"/>
              </w:rPr>
              <w:t xml:space="preserve">Injector cleaning </w:t>
            </w:r>
          </w:p>
        </w:tc>
        <w:tc>
          <w:tcPr>
            <w:tcW w:w="1984" w:type="dxa"/>
            <w:vAlign w:val="center"/>
          </w:tcPr>
          <w:p w14:paraId="040AACB4" w14:textId="77777777" w:rsidR="00417BF5" w:rsidRPr="00275290" w:rsidRDefault="00417BF5" w:rsidP="00417BF5">
            <w:pPr>
              <w:rPr>
                <w:rFonts w:cs="Arial"/>
                <w:lang w:val="fr-FR"/>
              </w:rPr>
            </w:pPr>
            <w:r w:rsidRPr="00275290">
              <w:rPr>
                <w:rFonts w:cs="Arial"/>
                <w:lang w:val="fr-FR"/>
              </w:rPr>
              <w:t>Cyperméthrine</w:t>
            </w:r>
          </w:p>
          <w:p w14:paraId="289019F5" w14:textId="77777777" w:rsidR="00417BF5" w:rsidRPr="00275290" w:rsidRDefault="00417BF5" w:rsidP="00417BF5">
            <w:pPr>
              <w:rPr>
                <w:rFonts w:cs="Arial"/>
                <w:lang w:val="fr-FR"/>
              </w:rPr>
            </w:pPr>
            <w:r w:rsidRPr="00275290">
              <w:rPr>
                <w:rFonts w:cs="Arial"/>
                <w:lang w:val="fr-FR"/>
              </w:rPr>
              <w:t>0,088</w:t>
            </w:r>
          </w:p>
        </w:tc>
        <w:tc>
          <w:tcPr>
            <w:tcW w:w="1984" w:type="dxa"/>
            <w:vAlign w:val="center"/>
          </w:tcPr>
          <w:p w14:paraId="3B40980F" w14:textId="45C7D572" w:rsidR="00417BF5" w:rsidRPr="00275290" w:rsidRDefault="00417BF5" w:rsidP="00417BF5">
            <w:pPr>
              <w:rPr>
                <w:rFonts w:cs="Arial"/>
                <w:color w:val="000000"/>
              </w:rPr>
            </w:pPr>
            <w:r w:rsidRPr="00275290">
              <w:rPr>
                <w:rFonts w:cs="Arial"/>
                <w:color w:val="000000"/>
              </w:rPr>
              <w:t>2,</w:t>
            </w:r>
            <w:r>
              <w:rPr>
                <w:rFonts w:cs="Arial"/>
                <w:color w:val="000000"/>
              </w:rPr>
              <w:t>46</w:t>
            </w:r>
            <w:r w:rsidRPr="00275290">
              <w:rPr>
                <w:rFonts w:cs="Arial"/>
                <w:color w:val="000000"/>
              </w:rPr>
              <w:t>E-03</w:t>
            </w:r>
          </w:p>
        </w:tc>
        <w:tc>
          <w:tcPr>
            <w:tcW w:w="1984" w:type="dxa"/>
            <w:vAlign w:val="center"/>
          </w:tcPr>
          <w:p w14:paraId="381638F0" w14:textId="1E5444A4" w:rsidR="00417BF5" w:rsidRPr="00275290" w:rsidRDefault="00417BF5" w:rsidP="00417BF5">
            <w:pPr>
              <w:rPr>
                <w:rFonts w:cs="Arial"/>
                <w:lang w:val="fr-FR"/>
              </w:rPr>
            </w:pPr>
            <w:r>
              <w:rPr>
                <w:rFonts w:cs="Arial"/>
                <w:lang w:val="fr-FR"/>
              </w:rPr>
              <w:t>2.8</w:t>
            </w:r>
          </w:p>
        </w:tc>
      </w:tr>
      <w:tr w:rsidR="00417BF5" w:rsidRPr="00275290" w14:paraId="5A156F09" w14:textId="77777777" w:rsidTr="004E7A98">
        <w:tc>
          <w:tcPr>
            <w:tcW w:w="1983" w:type="dxa"/>
            <w:vMerge/>
            <w:vAlign w:val="center"/>
          </w:tcPr>
          <w:p w14:paraId="263AD026" w14:textId="77777777" w:rsidR="00417BF5" w:rsidRPr="00275290" w:rsidRDefault="00417BF5" w:rsidP="00417BF5">
            <w:pPr>
              <w:rPr>
                <w:rFonts w:cs="Arial"/>
                <w:lang w:val="fr-FR"/>
              </w:rPr>
            </w:pPr>
          </w:p>
        </w:tc>
        <w:tc>
          <w:tcPr>
            <w:tcW w:w="1984" w:type="dxa"/>
            <w:vAlign w:val="center"/>
          </w:tcPr>
          <w:p w14:paraId="39500744" w14:textId="77777777"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4E337DCA" w14:textId="21DA1355" w:rsidR="00417BF5" w:rsidRPr="00275290" w:rsidRDefault="00417BF5" w:rsidP="00417BF5">
            <w:pPr>
              <w:rPr>
                <w:rFonts w:cs="Arial"/>
                <w:color w:val="000000"/>
              </w:rPr>
            </w:pPr>
            <w:r w:rsidRPr="00275290">
              <w:rPr>
                <w:rFonts w:cs="Arial"/>
                <w:color w:val="000000"/>
              </w:rPr>
              <w:t>3,</w:t>
            </w:r>
            <w:r>
              <w:rPr>
                <w:rFonts w:cs="Arial"/>
                <w:color w:val="000000"/>
              </w:rPr>
              <w:t>56</w:t>
            </w:r>
            <w:r w:rsidRPr="00275290">
              <w:rPr>
                <w:rFonts w:cs="Arial"/>
                <w:color w:val="000000"/>
              </w:rPr>
              <w:t>E-03</w:t>
            </w:r>
          </w:p>
        </w:tc>
        <w:tc>
          <w:tcPr>
            <w:tcW w:w="1984" w:type="dxa"/>
            <w:vAlign w:val="center"/>
          </w:tcPr>
          <w:p w14:paraId="286D902A" w14:textId="46246FDB" w:rsidR="00417BF5" w:rsidRPr="00275290" w:rsidRDefault="00417BF5" w:rsidP="00417BF5">
            <w:pPr>
              <w:rPr>
                <w:rFonts w:cs="Arial"/>
                <w:lang w:val="fr-FR"/>
              </w:rPr>
            </w:pPr>
            <w:r w:rsidRPr="00275290">
              <w:rPr>
                <w:rFonts w:cs="Arial"/>
                <w:lang w:val="fr-FR"/>
              </w:rPr>
              <w:t>1.</w:t>
            </w:r>
            <w:r>
              <w:rPr>
                <w:rFonts w:cs="Arial"/>
                <w:lang w:val="fr-FR"/>
              </w:rPr>
              <w:t>2</w:t>
            </w:r>
          </w:p>
        </w:tc>
      </w:tr>
      <w:tr w:rsidR="00417BF5" w:rsidRPr="00275290" w14:paraId="4BDD152A" w14:textId="77777777" w:rsidTr="004E7A98">
        <w:tc>
          <w:tcPr>
            <w:tcW w:w="1983" w:type="dxa"/>
            <w:vMerge/>
            <w:vAlign w:val="center"/>
          </w:tcPr>
          <w:p w14:paraId="0351A236" w14:textId="77777777" w:rsidR="00417BF5" w:rsidRPr="00275290" w:rsidRDefault="00417BF5" w:rsidP="00417BF5">
            <w:pPr>
              <w:rPr>
                <w:rFonts w:cs="Arial"/>
                <w:lang w:val="fr-FR"/>
              </w:rPr>
            </w:pPr>
          </w:p>
        </w:tc>
        <w:tc>
          <w:tcPr>
            <w:tcW w:w="1984" w:type="dxa"/>
            <w:vAlign w:val="center"/>
          </w:tcPr>
          <w:p w14:paraId="6DC8A158" w14:textId="77777777"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44E2A1DC" w14:textId="7EE40570" w:rsidR="00417BF5" w:rsidRPr="00275290" w:rsidRDefault="00417BF5" w:rsidP="00417BF5">
            <w:pPr>
              <w:rPr>
                <w:rFonts w:cs="Arial"/>
                <w:color w:val="000000"/>
              </w:rPr>
            </w:pPr>
            <w:r w:rsidRPr="00275290">
              <w:rPr>
                <w:rFonts w:cs="Arial"/>
                <w:color w:val="000000"/>
              </w:rPr>
              <w:t>1,</w:t>
            </w:r>
            <w:r>
              <w:rPr>
                <w:rFonts w:cs="Arial"/>
                <w:color w:val="000000"/>
              </w:rPr>
              <w:t>33</w:t>
            </w:r>
            <w:r w:rsidRPr="00275290">
              <w:rPr>
                <w:rFonts w:cs="Arial"/>
                <w:color w:val="000000"/>
              </w:rPr>
              <w:t>E-03</w:t>
            </w:r>
          </w:p>
        </w:tc>
        <w:tc>
          <w:tcPr>
            <w:tcW w:w="1984" w:type="dxa"/>
            <w:vAlign w:val="center"/>
          </w:tcPr>
          <w:p w14:paraId="45684D43" w14:textId="0CB19493" w:rsidR="00417BF5" w:rsidRPr="00275290" w:rsidRDefault="00417BF5" w:rsidP="00417BF5">
            <w:pPr>
              <w:rPr>
                <w:rFonts w:cs="Arial"/>
                <w:lang w:val="fr-FR"/>
              </w:rPr>
            </w:pPr>
            <w:r w:rsidRPr="00275290">
              <w:rPr>
                <w:rFonts w:cs="Arial"/>
                <w:lang w:val="fr-FR"/>
              </w:rPr>
              <w:t>4.</w:t>
            </w:r>
            <w:r>
              <w:rPr>
                <w:rFonts w:cs="Arial"/>
                <w:lang w:val="fr-FR"/>
              </w:rPr>
              <w:t>4</w:t>
            </w:r>
          </w:p>
        </w:tc>
      </w:tr>
      <w:tr w:rsidR="00417BF5" w:rsidRPr="00275290" w14:paraId="19E66FC1" w14:textId="77777777" w:rsidTr="004E7A98">
        <w:tc>
          <w:tcPr>
            <w:tcW w:w="1983" w:type="dxa"/>
            <w:vMerge/>
            <w:vAlign w:val="center"/>
          </w:tcPr>
          <w:p w14:paraId="7B81D95A" w14:textId="77777777" w:rsidR="00417BF5" w:rsidRPr="00275290" w:rsidRDefault="00417BF5" w:rsidP="00417BF5">
            <w:pPr>
              <w:rPr>
                <w:rFonts w:cs="Arial"/>
                <w:lang w:val="fr-FR"/>
              </w:rPr>
            </w:pPr>
          </w:p>
        </w:tc>
        <w:tc>
          <w:tcPr>
            <w:tcW w:w="1984" w:type="dxa"/>
            <w:vAlign w:val="center"/>
          </w:tcPr>
          <w:p w14:paraId="3F7C3D84" w14:textId="77777777" w:rsidR="00417BF5" w:rsidRPr="00275290" w:rsidRDefault="00417BF5" w:rsidP="00417BF5">
            <w:pPr>
              <w:rPr>
                <w:rFonts w:cs="Arial"/>
                <w:lang w:val="fr-FR"/>
              </w:rPr>
            </w:pPr>
            <w:r w:rsidRPr="00275290">
              <w:rPr>
                <w:rFonts w:cs="Arial"/>
                <w:lang w:val="fr-FR"/>
              </w:rPr>
              <w:t xml:space="preserve">IPBC </w:t>
            </w:r>
          </w:p>
          <w:p w14:paraId="1C50D97B" w14:textId="77777777" w:rsidR="00417BF5" w:rsidRPr="00275290" w:rsidRDefault="00417BF5" w:rsidP="00417BF5">
            <w:pPr>
              <w:rPr>
                <w:rFonts w:cs="Arial"/>
                <w:lang w:val="fr-FR"/>
              </w:rPr>
            </w:pPr>
            <w:r w:rsidRPr="00275290">
              <w:rPr>
                <w:rFonts w:cs="Arial"/>
                <w:lang w:val="fr-FR"/>
              </w:rPr>
              <w:t>0.35</w:t>
            </w:r>
          </w:p>
        </w:tc>
        <w:tc>
          <w:tcPr>
            <w:tcW w:w="1984" w:type="dxa"/>
            <w:vAlign w:val="center"/>
          </w:tcPr>
          <w:p w14:paraId="64B40611" w14:textId="139D7AAF" w:rsidR="00417BF5" w:rsidRPr="00275290" w:rsidRDefault="00417BF5" w:rsidP="00417BF5">
            <w:pPr>
              <w:rPr>
                <w:rFonts w:cs="Arial"/>
                <w:color w:val="000000"/>
              </w:rPr>
            </w:pPr>
            <w:r w:rsidRPr="00275290">
              <w:rPr>
                <w:rFonts w:cs="Arial"/>
                <w:color w:val="000000"/>
              </w:rPr>
              <w:t>3,</w:t>
            </w:r>
            <w:r>
              <w:rPr>
                <w:rFonts w:cs="Arial"/>
                <w:color w:val="000000"/>
              </w:rPr>
              <w:t>21</w:t>
            </w:r>
            <w:r w:rsidRPr="00275290">
              <w:rPr>
                <w:rFonts w:cs="Arial"/>
                <w:color w:val="000000"/>
              </w:rPr>
              <w:t>E-03</w:t>
            </w:r>
          </w:p>
        </w:tc>
        <w:tc>
          <w:tcPr>
            <w:tcW w:w="1984" w:type="dxa"/>
            <w:vAlign w:val="center"/>
          </w:tcPr>
          <w:p w14:paraId="6959B7D4" w14:textId="1B7856A8" w:rsidR="00417BF5" w:rsidRPr="00275290" w:rsidRDefault="00417BF5" w:rsidP="00417BF5">
            <w:pPr>
              <w:rPr>
                <w:rFonts w:cs="Arial"/>
                <w:lang w:val="fr-FR"/>
              </w:rPr>
            </w:pPr>
            <w:r>
              <w:rPr>
                <w:rFonts w:cs="Arial"/>
                <w:lang w:val="fr-FR"/>
              </w:rPr>
              <w:t>0.9</w:t>
            </w:r>
          </w:p>
        </w:tc>
      </w:tr>
      <w:tr w:rsidR="00417BF5" w:rsidRPr="00275290" w14:paraId="74982FEA" w14:textId="77777777" w:rsidTr="000E1EAD">
        <w:tc>
          <w:tcPr>
            <w:tcW w:w="1983" w:type="dxa"/>
            <w:vMerge w:val="restart"/>
            <w:shd w:val="clear" w:color="auto" w:fill="C6D9F1" w:themeFill="text2" w:themeFillTint="33"/>
            <w:vAlign w:val="center"/>
          </w:tcPr>
          <w:p w14:paraId="385A009A" w14:textId="7277ED13" w:rsidR="00417BF5" w:rsidRPr="00275290" w:rsidRDefault="00417BF5" w:rsidP="00417BF5">
            <w:pPr>
              <w:rPr>
                <w:rFonts w:cs="Arial"/>
                <w:lang w:val="fr-FR"/>
              </w:rPr>
            </w:pPr>
            <w:r>
              <w:rPr>
                <w:rFonts w:cs="Arial"/>
                <w:lang w:val="fr-FR"/>
              </w:rPr>
              <w:t>M&amp;L + a</w:t>
            </w:r>
            <w:r w:rsidRPr="00275290">
              <w:rPr>
                <w:rFonts w:cs="Arial"/>
                <w:lang w:val="fr-FR"/>
              </w:rPr>
              <w:t>ppli + cleaning</w:t>
            </w:r>
          </w:p>
        </w:tc>
        <w:tc>
          <w:tcPr>
            <w:tcW w:w="1984" w:type="dxa"/>
            <w:shd w:val="clear" w:color="auto" w:fill="C6D9F1" w:themeFill="text2" w:themeFillTint="33"/>
            <w:vAlign w:val="center"/>
          </w:tcPr>
          <w:p w14:paraId="6FD5E457" w14:textId="77777777" w:rsidR="00417BF5" w:rsidRPr="00275290" w:rsidRDefault="00417BF5" w:rsidP="00417BF5">
            <w:pPr>
              <w:rPr>
                <w:rFonts w:cs="Arial"/>
                <w:lang w:val="fr-FR"/>
              </w:rPr>
            </w:pPr>
            <w:r w:rsidRPr="00275290">
              <w:rPr>
                <w:rFonts w:cs="Arial"/>
                <w:lang w:val="fr-FR"/>
              </w:rPr>
              <w:t>Cyperméthrine</w:t>
            </w:r>
          </w:p>
          <w:p w14:paraId="7BA5D9FC" w14:textId="77777777" w:rsidR="00417BF5" w:rsidRPr="00275290" w:rsidRDefault="00417BF5" w:rsidP="00417BF5">
            <w:pPr>
              <w:rPr>
                <w:rFonts w:cs="Arial"/>
                <w:lang w:val="fr-FR"/>
              </w:rPr>
            </w:pPr>
            <w:r w:rsidRPr="00275290">
              <w:rPr>
                <w:rFonts w:cs="Arial"/>
                <w:lang w:val="fr-FR"/>
              </w:rPr>
              <w:t>0,088</w:t>
            </w:r>
          </w:p>
        </w:tc>
        <w:tc>
          <w:tcPr>
            <w:tcW w:w="1984" w:type="dxa"/>
            <w:shd w:val="clear" w:color="auto" w:fill="C6D9F1"/>
            <w:vAlign w:val="center"/>
          </w:tcPr>
          <w:p w14:paraId="24A88678" w14:textId="56BB3CDC" w:rsidR="00417BF5" w:rsidRPr="00275290" w:rsidRDefault="00417BF5" w:rsidP="00417BF5">
            <w:pPr>
              <w:rPr>
                <w:rFonts w:cs="Arial"/>
                <w:color w:val="000000"/>
              </w:rPr>
            </w:pPr>
            <w:r>
              <w:rPr>
                <w:rFonts w:ascii="Calibri" w:hAnsi="Calibri" w:cs="Calibri"/>
                <w:color w:val="000000"/>
                <w:sz w:val="22"/>
                <w:szCs w:val="22"/>
              </w:rPr>
              <w:t>2,62E-02</w:t>
            </w:r>
          </w:p>
        </w:tc>
        <w:tc>
          <w:tcPr>
            <w:tcW w:w="1984" w:type="dxa"/>
            <w:shd w:val="clear" w:color="auto" w:fill="C6D9F1" w:themeFill="text2" w:themeFillTint="33"/>
            <w:vAlign w:val="center"/>
          </w:tcPr>
          <w:p w14:paraId="703B6F0D" w14:textId="62BB15A3" w:rsidR="00417BF5" w:rsidRPr="00275290" w:rsidRDefault="00417BF5" w:rsidP="00417BF5">
            <w:pPr>
              <w:rPr>
                <w:rFonts w:cs="Arial"/>
                <w:lang w:val="fr-FR"/>
              </w:rPr>
            </w:pPr>
            <w:r>
              <w:rPr>
                <w:rFonts w:cs="Arial"/>
                <w:lang w:val="fr-FR"/>
              </w:rPr>
              <w:t>29.8</w:t>
            </w:r>
          </w:p>
        </w:tc>
      </w:tr>
      <w:tr w:rsidR="00417BF5" w:rsidRPr="00275290" w14:paraId="7DAC1B44" w14:textId="77777777" w:rsidTr="000E1EAD">
        <w:tc>
          <w:tcPr>
            <w:tcW w:w="1983" w:type="dxa"/>
            <w:vMerge/>
            <w:shd w:val="clear" w:color="auto" w:fill="C6D9F1" w:themeFill="text2" w:themeFillTint="33"/>
            <w:vAlign w:val="center"/>
          </w:tcPr>
          <w:p w14:paraId="0D730D5C"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11D444E3" w14:textId="77777777" w:rsidR="00417BF5" w:rsidRPr="00275290" w:rsidRDefault="00417BF5" w:rsidP="00417BF5">
            <w:pPr>
              <w:rPr>
                <w:rFonts w:cs="Arial"/>
                <w:lang w:val="fr-FR"/>
              </w:rPr>
            </w:pPr>
            <w:r w:rsidRPr="00275290">
              <w:rPr>
                <w:rFonts w:cs="Arial"/>
                <w:lang w:val="fr-FR"/>
              </w:rPr>
              <w:t>Propiconazole : 0.3</w:t>
            </w:r>
          </w:p>
        </w:tc>
        <w:tc>
          <w:tcPr>
            <w:tcW w:w="1984" w:type="dxa"/>
            <w:shd w:val="clear" w:color="auto" w:fill="C6D9F1"/>
            <w:vAlign w:val="center"/>
          </w:tcPr>
          <w:p w14:paraId="1763705D" w14:textId="308AE623" w:rsidR="00417BF5" w:rsidRPr="00275290" w:rsidRDefault="00417BF5" w:rsidP="00417BF5">
            <w:pPr>
              <w:rPr>
                <w:rFonts w:cs="Arial"/>
                <w:color w:val="000000"/>
              </w:rPr>
            </w:pPr>
            <w:r>
              <w:rPr>
                <w:rFonts w:ascii="Calibri" w:hAnsi="Calibri" w:cs="Calibri"/>
                <w:color w:val="000000"/>
                <w:sz w:val="22"/>
                <w:szCs w:val="22"/>
              </w:rPr>
              <w:t>3,79E-02</w:t>
            </w:r>
          </w:p>
        </w:tc>
        <w:tc>
          <w:tcPr>
            <w:tcW w:w="1984" w:type="dxa"/>
            <w:shd w:val="clear" w:color="auto" w:fill="C6D9F1" w:themeFill="text2" w:themeFillTint="33"/>
            <w:vAlign w:val="center"/>
          </w:tcPr>
          <w:p w14:paraId="5CDA6697" w14:textId="60A343F7" w:rsidR="00417BF5" w:rsidRPr="00275290" w:rsidRDefault="00417BF5" w:rsidP="00417BF5">
            <w:pPr>
              <w:rPr>
                <w:rFonts w:cs="Arial"/>
                <w:color w:val="000000"/>
              </w:rPr>
            </w:pPr>
            <w:r>
              <w:rPr>
                <w:rFonts w:cs="Arial"/>
                <w:color w:val="000000"/>
              </w:rPr>
              <w:t>12.6</w:t>
            </w:r>
          </w:p>
        </w:tc>
      </w:tr>
      <w:tr w:rsidR="00417BF5" w:rsidRPr="00275290" w14:paraId="33C5F024" w14:textId="77777777" w:rsidTr="000E1EAD">
        <w:tc>
          <w:tcPr>
            <w:tcW w:w="1983" w:type="dxa"/>
            <w:vMerge/>
            <w:shd w:val="clear" w:color="auto" w:fill="C6D9F1" w:themeFill="text2" w:themeFillTint="33"/>
            <w:vAlign w:val="center"/>
          </w:tcPr>
          <w:p w14:paraId="4E9F0839"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460B4ABF" w14:textId="77777777" w:rsidR="00417BF5" w:rsidRPr="00275290" w:rsidRDefault="00417BF5" w:rsidP="00417BF5">
            <w:pPr>
              <w:rPr>
                <w:rFonts w:cs="Arial"/>
                <w:lang w:val="fr-FR"/>
              </w:rPr>
            </w:pPr>
            <w:r w:rsidRPr="00275290">
              <w:rPr>
                <w:rFonts w:cs="Arial"/>
                <w:lang w:val="fr-FR"/>
              </w:rPr>
              <w:t>Tébuconazole : 0.03</w:t>
            </w:r>
          </w:p>
        </w:tc>
        <w:tc>
          <w:tcPr>
            <w:tcW w:w="1984" w:type="dxa"/>
            <w:shd w:val="clear" w:color="auto" w:fill="C6D9F1"/>
            <w:vAlign w:val="center"/>
          </w:tcPr>
          <w:p w14:paraId="3A3F6BA3" w14:textId="30BFA6DD" w:rsidR="00417BF5" w:rsidRPr="00275290" w:rsidRDefault="00417BF5" w:rsidP="00417BF5">
            <w:pPr>
              <w:rPr>
                <w:rFonts w:cs="Arial"/>
                <w:color w:val="000000"/>
              </w:rPr>
            </w:pPr>
            <w:r>
              <w:rPr>
                <w:rFonts w:ascii="Calibri" w:hAnsi="Calibri" w:cs="Calibri"/>
                <w:color w:val="000000"/>
                <w:sz w:val="22"/>
                <w:szCs w:val="22"/>
              </w:rPr>
              <w:t>1,42E-02</w:t>
            </w:r>
          </w:p>
        </w:tc>
        <w:tc>
          <w:tcPr>
            <w:tcW w:w="1984" w:type="dxa"/>
            <w:shd w:val="clear" w:color="auto" w:fill="C6D9F1" w:themeFill="text2" w:themeFillTint="33"/>
            <w:vAlign w:val="center"/>
          </w:tcPr>
          <w:p w14:paraId="2E11156C" w14:textId="673DDD9A" w:rsidR="00417BF5" w:rsidRPr="00275290" w:rsidRDefault="00417BF5" w:rsidP="00417BF5">
            <w:pPr>
              <w:rPr>
                <w:rFonts w:cs="Arial"/>
                <w:lang w:val="fr-FR"/>
              </w:rPr>
            </w:pPr>
            <w:r>
              <w:rPr>
                <w:rFonts w:cs="Arial"/>
                <w:lang w:val="fr-FR"/>
              </w:rPr>
              <w:t>47.5</w:t>
            </w:r>
          </w:p>
        </w:tc>
      </w:tr>
      <w:tr w:rsidR="00417BF5" w:rsidRPr="00275290" w14:paraId="0D94E7F9" w14:textId="77777777" w:rsidTr="000E1EAD">
        <w:tc>
          <w:tcPr>
            <w:tcW w:w="1983" w:type="dxa"/>
            <w:vMerge/>
            <w:shd w:val="clear" w:color="auto" w:fill="C6D9F1" w:themeFill="text2" w:themeFillTint="33"/>
            <w:vAlign w:val="center"/>
          </w:tcPr>
          <w:p w14:paraId="4B9A5CDC"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7BE93E35" w14:textId="77777777" w:rsidR="00417BF5" w:rsidRPr="00275290" w:rsidRDefault="00417BF5" w:rsidP="00417BF5">
            <w:pPr>
              <w:rPr>
                <w:rFonts w:cs="Arial"/>
                <w:lang w:val="fr-FR"/>
              </w:rPr>
            </w:pPr>
            <w:r w:rsidRPr="00275290">
              <w:rPr>
                <w:rFonts w:cs="Arial"/>
                <w:lang w:val="fr-FR"/>
              </w:rPr>
              <w:t xml:space="preserve">IPBC </w:t>
            </w:r>
          </w:p>
          <w:p w14:paraId="3E0472BC" w14:textId="77777777" w:rsidR="00417BF5" w:rsidRPr="00275290" w:rsidRDefault="00417BF5" w:rsidP="00417BF5">
            <w:pPr>
              <w:rPr>
                <w:rFonts w:cs="Arial"/>
                <w:lang w:val="fr-FR"/>
              </w:rPr>
            </w:pPr>
            <w:r w:rsidRPr="00275290">
              <w:rPr>
                <w:rFonts w:cs="Arial"/>
                <w:lang w:val="fr-FR"/>
              </w:rPr>
              <w:t>0.35</w:t>
            </w:r>
          </w:p>
        </w:tc>
        <w:tc>
          <w:tcPr>
            <w:tcW w:w="1984" w:type="dxa"/>
            <w:shd w:val="clear" w:color="auto" w:fill="C6D9F1"/>
            <w:vAlign w:val="center"/>
          </w:tcPr>
          <w:p w14:paraId="4BB27D53" w14:textId="049E2C4A" w:rsidR="00417BF5" w:rsidRPr="00275290" w:rsidRDefault="00417BF5" w:rsidP="00417BF5">
            <w:pPr>
              <w:rPr>
                <w:rFonts w:cs="Arial"/>
                <w:color w:val="000000"/>
              </w:rPr>
            </w:pPr>
            <w:r>
              <w:rPr>
                <w:rFonts w:ascii="Calibri" w:hAnsi="Calibri" w:cs="Calibri"/>
                <w:color w:val="000000"/>
                <w:sz w:val="22"/>
                <w:szCs w:val="22"/>
              </w:rPr>
              <w:t>3,39E-02</w:t>
            </w:r>
          </w:p>
        </w:tc>
        <w:tc>
          <w:tcPr>
            <w:tcW w:w="1984" w:type="dxa"/>
            <w:shd w:val="clear" w:color="auto" w:fill="C6D9F1" w:themeFill="text2" w:themeFillTint="33"/>
            <w:vAlign w:val="center"/>
          </w:tcPr>
          <w:p w14:paraId="197EA9A1" w14:textId="4315B62D" w:rsidR="00417BF5" w:rsidRPr="00275290" w:rsidRDefault="00417BF5" w:rsidP="00417BF5">
            <w:pPr>
              <w:rPr>
                <w:rFonts w:cs="Arial"/>
                <w:lang w:val="fr-FR"/>
              </w:rPr>
            </w:pPr>
            <w:r>
              <w:rPr>
                <w:rFonts w:cs="Arial"/>
                <w:lang w:val="fr-FR"/>
              </w:rPr>
              <w:t>9.7</w:t>
            </w:r>
          </w:p>
        </w:tc>
      </w:tr>
    </w:tbl>
    <w:p w14:paraId="24940138" w14:textId="77777777" w:rsidR="009D4550" w:rsidRPr="00275290" w:rsidRDefault="009D4550" w:rsidP="009D4550">
      <w:pPr>
        <w:pStyle w:val="Standard-italics"/>
        <w:rPr>
          <w:rFonts w:cs="Arial"/>
          <w:lang w:eastAsia="sv-SE"/>
        </w:rPr>
      </w:pPr>
    </w:p>
    <w:p w14:paraId="4FCF86D9" w14:textId="77777777" w:rsidR="009D4550" w:rsidRPr="00275290" w:rsidRDefault="009D4550" w:rsidP="009D4550">
      <w:pPr>
        <w:pStyle w:val="BfRBBStandard"/>
        <w:rPr>
          <w:rFonts w:ascii="Verdana" w:eastAsia="Times New Roman" w:hAnsi="Verdana"/>
          <w:sz w:val="20"/>
          <w:szCs w:val="20"/>
          <w:lang w:val="en-GB" w:eastAsia="sv-SE"/>
        </w:rPr>
      </w:pPr>
    </w:p>
    <w:p w14:paraId="67750FBE"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10E9CEDB" w14:textId="77777777" w:rsidR="009D4550" w:rsidRPr="00275290" w:rsidRDefault="009D4550" w:rsidP="009D4550">
      <w:pPr>
        <w:pStyle w:val="BfRBBStandard"/>
        <w:rPr>
          <w:rFonts w:ascii="Verdana" w:eastAsia="Times New Roman" w:hAnsi="Verdana"/>
          <w:i/>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891"/>
        <w:gridCol w:w="1875"/>
        <w:gridCol w:w="1220"/>
        <w:gridCol w:w="1350"/>
        <w:gridCol w:w="1509"/>
      </w:tblGrid>
      <w:tr w:rsidR="009D4550" w:rsidRPr="00275290" w14:paraId="7F1010F2" w14:textId="77777777" w:rsidTr="00417BF5">
        <w:tc>
          <w:tcPr>
            <w:tcW w:w="1924" w:type="dxa"/>
            <w:vAlign w:val="center"/>
          </w:tcPr>
          <w:p w14:paraId="74B1716F" w14:textId="77777777" w:rsidR="009D4550" w:rsidRPr="00275290" w:rsidRDefault="009D4550" w:rsidP="009D4550">
            <w:pPr>
              <w:rPr>
                <w:rFonts w:cs="Arial"/>
                <w:lang w:val="fr-FR"/>
              </w:rPr>
            </w:pPr>
            <w:r w:rsidRPr="00275290">
              <w:rPr>
                <w:rFonts w:cs="Arial"/>
                <w:lang w:val="fr-FR"/>
              </w:rPr>
              <w:t>Cyperméthrine</w:t>
            </w:r>
          </w:p>
        </w:tc>
        <w:tc>
          <w:tcPr>
            <w:tcW w:w="1891" w:type="dxa"/>
            <w:vAlign w:val="center"/>
          </w:tcPr>
          <w:p w14:paraId="5659B346" w14:textId="77777777" w:rsidR="009D4550" w:rsidRPr="00275290" w:rsidRDefault="009D4550" w:rsidP="009D4550">
            <w:pPr>
              <w:rPr>
                <w:rFonts w:cs="Arial"/>
                <w:lang w:val="fr-FR"/>
              </w:rPr>
            </w:pPr>
            <w:r w:rsidRPr="00275290">
              <w:rPr>
                <w:rFonts w:cs="Arial"/>
                <w:lang w:val="fr-FR"/>
              </w:rPr>
              <w:t>Propiconazole</w:t>
            </w:r>
          </w:p>
        </w:tc>
        <w:tc>
          <w:tcPr>
            <w:tcW w:w="1875" w:type="dxa"/>
            <w:vAlign w:val="center"/>
          </w:tcPr>
          <w:p w14:paraId="4A3F5953" w14:textId="77777777" w:rsidR="009D4550" w:rsidRPr="00275290" w:rsidRDefault="009D4550" w:rsidP="009D4550">
            <w:pPr>
              <w:rPr>
                <w:rFonts w:cs="Arial"/>
                <w:lang w:val="fr-FR"/>
              </w:rPr>
            </w:pPr>
            <w:r w:rsidRPr="00275290">
              <w:rPr>
                <w:rFonts w:cs="Arial"/>
                <w:lang w:val="fr-FR"/>
              </w:rPr>
              <w:t>Tébuconazole</w:t>
            </w:r>
          </w:p>
        </w:tc>
        <w:tc>
          <w:tcPr>
            <w:tcW w:w="1220" w:type="dxa"/>
            <w:shd w:val="clear" w:color="auto" w:fill="auto"/>
          </w:tcPr>
          <w:p w14:paraId="7B529745" w14:textId="77777777" w:rsidR="009D4550" w:rsidRPr="00275290" w:rsidRDefault="009D4550" w:rsidP="009D4550">
            <w:pPr>
              <w:rPr>
                <w:rFonts w:cs="Arial"/>
                <w:lang w:val="fr-FR"/>
              </w:rPr>
            </w:pPr>
            <w:r w:rsidRPr="00275290">
              <w:rPr>
                <w:rFonts w:cs="Arial"/>
                <w:lang w:val="fr-FR"/>
              </w:rPr>
              <w:t>IPBC</w:t>
            </w:r>
          </w:p>
        </w:tc>
        <w:tc>
          <w:tcPr>
            <w:tcW w:w="1350" w:type="dxa"/>
            <w:vMerge w:val="restart"/>
            <w:shd w:val="clear" w:color="auto" w:fill="E5B8B7" w:themeFill="accent2" w:themeFillTint="66"/>
            <w:vAlign w:val="center"/>
          </w:tcPr>
          <w:p w14:paraId="2A823544" w14:textId="77777777" w:rsidR="009D4550" w:rsidRPr="00275290" w:rsidRDefault="009D4550" w:rsidP="009D4550">
            <w:pPr>
              <w:rPr>
                <w:rFonts w:cs="Arial"/>
                <w:lang w:val="fr-FR"/>
              </w:rPr>
            </w:pPr>
            <w:r w:rsidRPr="00275290">
              <w:rPr>
                <w:rFonts w:cs="Arial"/>
                <w:lang w:val="fr-FR"/>
              </w:rPr>
              <w:t>HI</w:t>
            </w:r>
          </w:p>
          <w:p w14:paraId="60424DA3" w14:textId="77777777" w:rsidR="009D4550" w:rsidRPr="00275290" w:rsidRDefault="009D4550" w:rsidP="009D4550">
            <w:pPr>
              <w:rPr>
                <w:rFonts w:cs="Arial"/>
                <w:lang w:val="fr-FR"/>
              </w:rPr>
            </w:pPr>
            <w:r w:rsidRPr="00275290">
              <w:rPr>
                <w:rFonts w:cs="Arial"/>
                <w:lang w:val="fr-FR"/>
              </w:rPr>
              <w:t>(∑ HQ a.s)</w:t>
            </w:r>
          </w:p>
        </w:tc>
        <w:tc>
          <w:tcPr>
            <w:tcW w:w="1509" w:type="dxa"/>
            <w:vMerge w:val="restart"/>
            <w:shd w:val="clear" w:color="auto" w:fill="E5B8B7" w:themeFill="accent2" w:themeFillTint="66"/>
          </w:tcPr>
          <w:p w14:paraId="6AA9618B" w14:textId="77777777" w:rsidR="009D4550" w:rsidRPr="00275290" w:rsidRDefault="009D4550" w:rsidP="009D4550">
            <w:pPr>
              <w:rPr>
                <w:rFonts w:cs="Arial"/>
                <w:lang w:val="fr-FR"/>
              </w:rPr>
            </w:pPr>
            <w:r w:rsidRPr="00275290">
              <w:rPr>
                <w:rFonts w:cs="Arial"/>
                <w:lang w:val="fr-FR"/>
              </w:rPr>
              <w:t>Risk</w:t>
            </w:r>
          </w:p>
        </w:tc>
      </w:tr>
      <w:tr w:rsidR="009D4550" w:rsidRPr="00275290" w14:paraId="72E72EA7" w14:textId="77777777" w:rsidTr="00417BF5">
        <w:tc>
          <w:tcPr>
            <w:tcW w:w="5690" w:type="dxa"/>
            <w:gridSpan w:val="3"/>
            <w:vAlign w:val="center"/>
          </w:tcPr>
          <w:p w14:paraId="266712FF" w14:textId="77777777" w:rsidR="009D4550" w:rsidRPr="00275290" w:rsidRDefault="009D4550" w:rsidP="009D4550">
            <w:pPr>
              <w:rPr>
                <w:rFonts w:cs="Arial"/>
                <w:lang w:val="fr-FR"/>
              </w:rPr>
            </w:pPr>
            <w:r w:rsidRPr="00275290">
              <w:rPr>
                <w:rFonts w:cs="Arial"/>
                <w:lang w:val="fr-FR"/>
              </w:rPr>
              <w:t>HQ (Exposure/AEL)</w:t>
            </w:r>
          </w:p>
        </w:tc>
        <w:tc>
          <w:tcPr>
            <w:tcW w:w="1220" w:type="dxa"/>
            <w:shd w:val="clear" w:color="auto" w:fill="auto"/>
          </w:tcPr>
          <w:p w14:paraId="5B507682" w14:textId="77777777" w:rsidR="009D4550" w:rsidRPr="00275290" w:rsidRDefault="009D4550" w:rsidP="009D4550">
            <w:pPr>
              <w:rPr>
                <w:rFonts w:cs="Arial"/>
                <w:lang w:val="fr-FR"/>
              </w:rPr>
            </w:pPr>
          </w:p>
        </w:tc>
        <w:tc>
          <w:tcPr>
            <w:tcW w:w="1350" w:type="dxa"/>
            <w:vMerge/>
            <w:shd w:val="clear" w:color="auto" w:fill="E5B8B7" w:themeFill="accent2" w:themeFillTint="66"/>
            <w:vAlign w:val="center"/>
          </w:tcPr>
          <w:p w14:paraId="38DF4A12" w14:textId="77777777" w:rsidR="009D4550" w:rsidRPr="00275290" w:rsidRDefault="009D4550" w:rsidP="009D4550">
            <w:pPr>
              <w:rPr>
                <w:rFonts w:cs="Arial"/>
                <w:lang w:val="fr-FR"/>
              </w:rPr>
            </w:pPr>
          </w:p>
        </w:tc>
        <w:tc>
          <w:tcPr>
            <w:tcW w:w="1509" w:type="dxa"/>
            <w:vMerge/>
            <w:shd w:val="clear" w:color="auto" w:fill="E5B8B7" w:themeFill="accent2" w:themeFillTint="66"/>
          </w:tcPr>
          <w:p w14:paraId="69295D24" w14:textId="77777777" w:rsidR="009D4550" w:rsidRPr="00275290" w:rsidRDefault="009D4550" w:rsidP="009D4550">
            <w:pPr>
              <w:rPr>
                <w:rFonts w:cs="Arial"/>
                <w:lang w:val="fr-FR"/>
              </w:rPr>
            </w:pPr>
          </w:p>
        </w:tc>
      </w:tr>
      <w:tr w:rsidR="00417BF5" w:rsidRPr="00275290" w14:paraId="09E3D4D6" w14:textId="77777777" w:rsidTr="000E1EAD">
        <w:tc>
          <w:tcPr>
            <w:tcW w:w="1924" w:type="dxa"/>
            <w:vAlign w:val="center"/>
          </w:tcPr>
          <w:p w14:paraId="29F5B12F" w14:textId="5499DEB9" w:rsidR="00417BF5" w:rsidRPr="00275290" w:rsidRDefault="00417BF5" w:rsidP="007D6430">
            <w:pPr>
              <w:rPr>
                <w:rFonts w:cs="Arial"/>
                <w:lang w:val="fr-FR"/>
              </w:rPr>
            </w:pPr>
            <w:r>
              <w:rPr>
                <w:rFonts w:cs="Arial"/>
                <w:lang w:val="fr-FR"/>
              </w:rPr>
              <w:t>0.</w:t>
            </w:r>
            <w:r w:rsidR="007D6430">
              <w:rPr>
                <w:rFonts w:cs="Arial"/>
                <w:lang w:val="fr-FR"/>
              </w:rPr>
              <w:t>298</w:t>
            </w:r>
          </w:p>
        </w:tc>
        <w:tc>
          <w:tcPr>
            <w:tcW w:w="1891" w:type="dxa"/>
            <w:vAlign w:val="center"/>
          </w:tcPr>
          <w:p w14:paraId="519B1CEF" w14:textId="2E024F9A" w:rsidR="00417BF5" w:rsidRPr="00275290" w:rsidRDefault="00417BF5" w:rsidP="007D6430">
            <w:pPr>
              <w:rPr>
                <w:rFonts w:cs="Arial"/>
                <w:lang w:val="fr-FR"/>
              </w:rPr>
            </w:pPr>
            <w:r>
              <w:rPr>
                <w:rFonts w:cs="Arial"/>
                <w:lang w:val="fr-FR"/>
              </w:rPr>
              <w:t>0.1</w:t>
            </w:r>
            <w:r w:rsidR="007D6430">
              <w:rPr>
                <w:rFonts w:cs="Arial"/>
                <w:lang w:val="fr-FR"/>
              </w:rPr>
              <w:t>26</w:t>
            </w:r>
          </w:p>
        </w:tc>
        <w:tc>
          <w:tcPr>
            <w:tcW w:w="1875" w:type="dxa"/>
            <w:shd w:val="clear" w:color="auto" w:fill="auto"/>
          </w:tcPr>
          <w:p w14:paraId="46B1D3E4" w14:textId="29B48C1B" w:rsidR="00417BF5" w:rsidRPr="00275290" w:rsidRDefault="00417BF5" w:rsidP="007D6430">
            <w:pPr>
              <w:rPr>
                <w:rFonts w:cs="Arial"/>
                <w:lang w:val="fr-FR"/>
              </w:rPr>
            </w:pPr>
            <w:r>
              <w:rPr>
                <w:rFonts w:cs="Arial"/>
                <w:lang w:val="fr-FR"/>
              </w:rPr>
              <w:t>0.4</w:t>
            </w:r>
            <w:r w:rsidR="007D6430">
              <w:rPr>
                <w:rFonts w:cs="Arial"/>
                <w:lang w:val="fr-FR"/>
              </w:rPr>
              <w:t>75</w:t>
            </w:r>
          </w:p>
        </w:tc>
        <w:tc>
          <w:tcPr>
            <w:tcW w:w="1220" w:type="dxa"/>
            <w:shd w:val="clear" w:color="auto" w:fill="auto"/>
          </w:tcPr>
          <w:p w14:paraId="2F1AAE37" w14:textId="0E6FB463" w:rsidR="00417BF5" w:rsidRPr="00275290" w:rsidRDefault="00417BF5" w:rsidP="007D6430">
            <w:pPr>
              <w:rPr>
                <w:rFonts w:cs="Arial"/>
                <w:lang w:val="fr-FR"/>
              </w:rPr>
            </w:pPr>
            <w:r>
              <w:rPr>
                <w:rFonts w:cs="Arial"/>
                <w:lang w:val="fr-FR"/>
              </w:rPr>
              <w:t>0.</w:t>
            </w:r>
            <w:r w:rsidR="007D6430">
              <w:rPr>
                <w:rFonts w:cs="Arial"/>
                <w:lang w:val="fr-FR"/>
              </w:rPr>
              <w:t>097</w:t>
            </w:r>
          </w:p>
        </w:tc>
        <w:tc>
          <w:tcPr>
            <w:tcW w:w="1350" w:type="dxa"/>
            <w:shd w:val="clear" w:color="auto" w:fill="E5B8B7" w:themeFill="accent2" w:themeFillTint="66"/>
            <w:vAlign w:val="center"/>
          </w:tcPr>
          <w:p w14:paraId="2D9A4C66" w14:textId="27B5EF90" w:rsidR="00417BF5" w:rsidRPr="00275290" w:rsidRDefault="00417BF5" w:rsidP="00417BF5">
            <w:pPr>
              <w:rPr>
                <w:rFonts w:cs="Arial"/>
                <w:lang w:val="fr-FR"/>
              </w:rPr>
            </w:pPr>
            <w:r w:rsidRPr="00275290">
              <w:rPr>
                <w:rFonts w:cs="Arial"/>
                <w:lang w:val="fr-FR"/>
              </w:rPr>
              <w:t>0.</w:t>
            </w:r>
            <w:r w:rsidR="007D6430">
              <w:rPr>
                <w:rFonts w:cs="Arial"/>
                <w:lang w:val="fr-FR"/>
              </w:rPr>
              <w:t>99</w:t>
            </w:r>
          </w:p>
        </w:tc>
        <w:tc>
          <w:tcPr>
            <w:tcW w:w="1509" w:type="dxa"/>
            <w:shd w:val="clear" w:color="auto" w:fill="E5B8B7" w:themeFill="accent2" w:themeFillTint="66"/>
          </w:tcPr>
          <w:p w14:paraId="1371A56C" w14:textId="77777777" w:rsidR="00417BF5" w:rsidRPr="00275290" w:rsidRDefault="00417BF5" w:rsidP="00417BF5">
            <w:pPr>
              <w:rPr>
                <w:rFonts w:cs="Arial"/>
                <w:lang w:val="fr-FR"/>
              </w:rPr>
            </w:pPr>
            <w:r w:rsidRPr="00275290">
              <w:rPr>
                <w:rFonts w:cs="Arial"/>
                <w:lang w:val="fr-FR"/>
              </w:rPr>
              <w:t>Acceptable</w:t>
            </w:r>
          </w:p>
        </w:tc>
      </w:tr>
    </w:tbl>
    <w:p w14:paraId="0468DCDA" w14:textId="77777777" w:rsidR="009D4550" w:rsidRPr="00275290" w:rsidRDefault="009D4550" w:rsidP="009D4550">
      <w:pPr>
        <w:pStyle w:val="BfRBBStandard"/>
        <w:rPr>
          <w:rFonts w:ascii="Verdana" w:eastAsia="Times New Roman" w:hAnsi="Verdana"/>
          <w:sz w:val="20"/>
          <w:szCs w:val="20"/>
          <w:lang w:val="en-GB" w:eastAsia="sv-SE"/>
        </w:rPr>
      </w:pPr>
    </w:p>
    <w:p w14:paraId="45ED5922" w14:textId="77777777" w:rsidR="009D4550" w:rsidRPr="00275290" w:rsidRDefault="009D4550" w:rsidP="009D4550">
      <w:pPr>
        <w:pStyle w:val="BfRBBStandard"/>
        <w:rPr>
          <w:rFonts w:ascii="Verdana" w:eastAsia="Times New Roman" w:hAnsi="Verdana"/>
          <w:sz w:val="20"/>
          <w:szCs w:val="20"/>
          <w:lang w:val="en-GB" w:eastAsia="sv-SE"/>
        </w:rPr>
      </w:pPr>
    </w:p>
    <w:p w14:paraId="3D814132" w14:textId="77777777"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&lt; 1, the risk is acceptable.</w:t>
      </w:r>
    </w:p>
    <w:p w14:paraId="22AEFED2" w14:textId="77777777" w:rsidR="009D4550" w:rsidRPr="00275290" w:rsidRDefault="009D4550" w:rsidP="009D4550">
      <w:pPr>
        <w:pStyle w:val="BfRBBStandard"/>
        <w:rPr>
          <w:rFonts w:ascii="Verdana" w:eastAsia="Times New Roman" w:hAnsi="Verdana"/>
          <w:sz w:val="20"/>
          <w:szCs w:val="20"/>
          <w:lang w:val="en-GB" w:eastAsia="sv-SE"/>
        </w:rPr>
      </w:pPr>
    </w:p>
    <w:p w14:paraId="2E728818" w14:textId="77777777" w:rsidR="009D4550" w:rsidRPr="00275290" w:rsidRDefault="009D4550" w:rsidP="009D4550">
      <w:pPr>
        <w:pStyle w:val="Standard-italics"/>
        <w:rPr>
          <w:rFonts w:cs="Arial"/>
          <w:lang w:eastAsia="sv-SE"/>
        </w:rPr>
      </w:pPr>
    </w:p>
    <w:p w14:paraId="7ADBD755"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B100F1">
        <w:rPr>
          <w:rFonts w:ascii="Verdana" w:eastAsia="Times New Roman" w:hAnsi="Verdana"/>
          <w:b/>
          <w:i/>
          <w:sz w:val="20"/>
          <w:szCs w:val="20"/>
          <w:u w:val="single"/>
          <w:lang w:val="en-GB" w:eastAsia="sv-SE"/>
        </w:rPr>
        <w:t>Spray application + injection</w:t>
      </w:r>
    </w:p>
    <w:p w14:paraId="5EE0D72E" w14:textId="77777777" w:rsidR="009D4550" w:rsidRPr="00275290" w:rsidRDefault="009D4550" w:rsidP="009D4550">
      <w:pPr>
        <w:pStyle w:val="BfRBBStandard"/>
        <w:rPr>
          <w:rFonts w:ascii="Verdana" w:eastAsia="Times New Roman" w:hAnsi="Verdana"/>
          <w:sz w:val="20"/>
          <w:szCs w:val="20"/>
          <w:lang w:val="en-GB" w:eastAsia="sv-SE"/>
        </w:rPr>
      </w:pPr>
    </w:p>
    <w:p w14:paraId="72ABF0ED"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49469F8B" w14:textId="77777777" w:rsidR="009D4550" w:rsidRPr="00275290" w:rsidRDefault="009D4550" w:rsidP="009D4550">
      <w:pPr>
        <w:pStyle w:val="Standard-italics"/>
        <w:rPr>
          <w:rFonts w:cs="Arial"/>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976"/>
        <w:gridCol w:w="1955"/>
        <w:gridCol w:w="1939"/>
        <w:gridCol w:w="1938"/>
      </w:tblGrid>
      <w:tr w:rsidR="009D4550" w:rsidRPr="00275290" w14:paraId="67089470" w14:textId="77777777" w:rsidTr="008B159F">
        <w:trPr>
          <w:cantSplit/>
          <w:tblHeader/>
        </w:trPr>
        <w:tc>
          <w:tcPr>
            <w:tcW w:w="1961" w:type="dxa"/>
          </w:tcPr>
          <w:p w14:paraId="3563839E"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976" w:type="dxa"/>
          </w:tcPr>
          <w:p w14:paraId="45BD225C" w14:textId="77777777" w:rsidR="009D4550" w:rsidRPr="0021636F" w:rsidRDefault="009D4550" w:rsidP="009D4550">
            <w:pPr>
              <w:tabs>
                <w:tab w:val="left" w:pos="426"/>
              </w:tabs>
              <w:autoSpaceDE w:val="0"/>
              <w:autoSpaceDN w:val="0"/>
              <w:adjustRightInd w:val="0"/>
              <w:spacing w:before="60" w:after="60"/>
              <w:rPr>
                <w:rFonts w:cs="Arial"/>
                <w:lang w:val="es-US"/>
              </w:rPr>
            </w:pPr>
            <w:r w:rsidRPr="0021636F">
              <w:rPr>
                <w:rFonts w:cs="Arial"/>
                <w:lang w:val="es-US"/>
              </w:rPr>
              <w:t>AEL</w:t>
            </w:r>
          </w:p>
          <w:p w14:paraId="03DBF4B9" w14:textId="77777777" w:rsidR="009D4550" w:rsidRPr="0021636F" w:rsidRDefault="009D4550"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55" w:type="dxa"/>
          </w:tcPr>
          <w:p w14:paraId="284813C2" w14:textId="77777777" w:rsidR="009D4550" w:rsidRPr="00ED68BA" w:rsidRDefault="009D4550" w:rsidP="009D4550">
            <w:pPr>
              <w:autoSpaceDE w:val="0"/>
              <w:autoSpaceDN w:val="0"/>
              <w:adjustRightInd w:val="0"/>
              <w:spacing w:before="60" w:after="60"/>
              <w:rPr>
                <w:rFonts w:cs="Arial"/>
                <w:lang w:val="fr-FR"/>
              </w:rPr>
            </w:pPr>
            <w:r w:rsidRPr="00ED68BA">
              <w:rPr>
                <w:rFonts w:cs="Arial"/>
                <w:lang w:val="fr-FR"/>
              </w:rPr>
              <w:t>Exposure</w:t>
            </w:r>
          </w:p>
          <w:p w14:paraId="702AB5F1" w14:textId="77777777" w:rsidR="009D4550" w:rsidRPr="00ED68BA" w:rsidRDefault="009D4550" w:rsidP="009D4550">
            <w:pPr>
              <w:autoSpaceDE w:val="0"/>
              <w:autoSpaceDN w:val="0"/>
              <w:adjustRightInd w:val="0"/>
              <w:spacing w:before="60" w:after="60"/>
              <w:rPr>
                <w:rFonts w:cs="Arial"/>
                <w:lang w:val="fr-FR"/>
              </w:rPr>
            </w:pPr>
            <w:r w:rsidRPr="00ED68BA">
              <w:rPr>
                <w:rFonts w:cs="Arial"/>
                <w:lang w:val="fr-FR"/>
              </w:rPr>
              <w:t>(mg/kg pc/j)</w:t>
            </w:r>
          </w:p>
        </w:tc>
        <w:tc>
          <w:tcPr>
            <w:tcW w:w="1939" w:type="dxa"/>
          </w:tcPr>
          <w:p w14:paraId="3192CECB" w14:textId="77777777" w:rsidR="009D4550" w:rsidRPr="00275290" w:rsidRDefault="009D4550" w:rsidP="009D4550">
            <w:pPr>
              <w:autoSpaceDE w:val="0"/>
              <w:autoSpaceDN w:val="0"/>
              <w:adjustRightInd w:val="0"/>
              <w:spacing w:before="60" w:after="60"/>
              <w:rPr>
                <w:rFonts w:cs="Arial"/>
              </w:rPr>
            </w:pPr>
            <w:r w:rsidRPr="00275290">
              <w:rPr>
                <w:rFonts w:cs="Arial"/>
              </w:rPr>
              <w:t>% AEL</w:t>
            </w:r>
          </w:p>
        </w:tc>
        <w:tc>
          <w:tcPr>
            <w:tcW w:w="1938" w:type="dxa"/>
          </w:tcPr>
          <w:p w14:paraId="68141F7B" w14:textId="77777777" w:rsidR="009D4550" w:rsidRPr="00275290" w:rsidRDefault="009D4550" w:rsidP="009D4550">
            <w:pPr>
              <w:autoSpaceDE w:val="0"/>
              <w:autoSpaceDN w:val="0"/>
              <w:adjustRightInd w:val="0"/>
              <w:spacing w:before="60" w:after="60"/>
              <w:rPr>
                <w:rFonts w:cs="Arial"/>
              </w:rPr>
            </w:pPr>
            <w:r w:rsidRPr="00275290">
              <w:rPr>
                <w:rFonts w:cs="Arial"/>
              </w:rPr>
              <w:t>Risk</w:t>
            </w:r>
          </w:p>
        </w:tc>
      </w:tr>
      <w:tr w:rsidR="009D4550" w:rsidRPr="00275290" w14:paraId="04414014" w14:textId="77777777" w:rsidTr="008B159F">
        <w:trPr>
          <w:cantSplit/>
        </w:trPr>
        <w:tc>
          <w:tcPr>
            <w:tcW w:w="9769" w:type="dxa"/>
            <w:gridSpan w:val="5"/>
            <w:shd w:val="clear" w:color="auto" w:fill="BFBFBF" w:themeFill="background1" w:themeFillShade="BF"/>
            <w:vAlign w:val="center"/>
          </w:tcPr>
          <w:p w14:paraId="4F3375F6" w14:textId="057B3EF3" w:rsidR="009D4550" w:rsidRPr="00275290" w:rsidRDefault="009D4550" w:rsidP="00F86EFD">
            <w:pPr>
              <w:rPr>
                <w:rFonts w:cs="Arial"/>
                <w:lang w:val="en-US"/>
              </w:rPr>
            </w:pPr>
            <w:r w:rsidRPr="00275290">
              <w:rPr>
                <w:rFonts w:cs="Arial"/>
                <w:lang w:val="en-US"/>
              </w:rPr>
              <w:t>Spraying 300g/m</w:t>
            </w:r>
            <w:r w:rsidRPr="00275290">
              <w:rPr>
                <w:rFonts w:cs="Arial"/>
                <w:vertAlign w:val="superscript"/>
                <w:lang w:val="en-US"/>
              </w:rPr>
              <w:t>2</w:t>
            </w:r>
            <w:r w:rsidRPr="00275290">
              <w:rPr>
                <w:rFonts w:cs="Arial"/>
                <w:lang w:val="en-US"/>
              </w:rPr>
              <w:t xml:space="preserve"> + injecting </w:t>
            </w:r>
            <w:r w:rsidR="00F86EFD" w:rsidRPr="00B100F1">
              <w:rPr>
                <w:rFonts w:cs="Arial"/>
                <w:lang w:val="en-US"/>
              </w:rPr>
              <w:t xml:space="preserve">145 </w:t>
            </w:r>
            <w:r w:rsidRPr="00275290">
              <w:rPr>
                <w:rFonts w:cs="Arial"/>
                <w:lang w:val="en-US"/>
              </w:rPr>
              <w:t>mg/m</w:t>
            </w:r>
            <w:r w:rsidRPr="00275290">
              <w:rPr>
                <w:rFonts w:cs="Arial"/>
                <w:vertAlign w:val="superscript"/>
                <w:lang w:val="en-US"/>
              </w:rPr>
              <w:t>2</w:t>
            </w:r>
            <w:r w:rsidRPr="00275290">
              <w:rPr>
                <w:rFonts w:cs="Arial"/>
                <w:lang w:val="en-US"/>
              </w:rPr>
              <w:t xml:space="preserve"> </w:t>
            </w:r>
          </w:p>
        </w:tc>
      </w:tr>
      <w:tr w:rsidR="008B159F" w:rsidRPr="00275290" w14:paraId="2C99F347" w14:textId="77777777" w:rsidTr="000E1EAD">
        <w:trPr>
          <w:cantSplit/>
        </w:trPr>
        <w:tc>
          <w:tcPr>
            <w:tcW w:w="1961" w:type="dxa"/>
            <w:vMerge w:val="restart"/>
            <w:shd w:val="clear" w:color="auto" w:fill="auto"/>
            <w:vAlign w:val="center"/>
          </w:tcPr>
          <w:p w14:paraId="74DC51BE" w14:textId="01059823" w:rsidR="008B159F" w:rsidRPr="00275290" w:rsidRDefault="008B159F" w:rsidP="008B159F">
            <w:pPr>
              <w:rPr>
                <w:rFonts w:cs="Arial"/>
                <w:lang w:val="fr-FR"/>
              </w:rPr>
            </w:pPr>
            <w:r>
              <w:rPr>
                <w:rFonts w:cs="Arial"/>
                <w:lang w:val="en-US"/>
              </w:rPr>
              <w:t>Loading of injection equipment</w:t>
            </w:r>
          </w:p>
        </w:tc>
        <w:tc>
          <w:tcPr>
            <w:tcW w:w="1976" w:type="dxa"/>
            <w:shd w:val="clear" w:color="auto" w:fill="auto"/>
            <w:vAlign w:val="center"/>
          </w:tcPr>
          <w:p w14:paraId="5DC2F301" w14:textId="77777777" w:rsidR="008B159F" w:rsidRPr="00275290" w:rsidRDefault="008B159F" w:rsidP="008B159F">
            <w:pPr>
              <w:rPr>
                <w:rFonts w:cs="Arial"/>
                <w:lang w:val="fr-FR"/>
              </w:rPr>
            </w:pPr>
            <w:r w:rsidRPr="00275290">
              <w:rPr>
                <w:rFonts w:cs="Arial"/>
                <w:lang w:val="fr-FR"/>
              </w:rPr>
              <w:t>Cyperméthrine</w:t>
            </w:r>
          </w:p>
          <w:p w14:paraId="4338E8EC" w14:textId="1AF1554B" w:rsidR="008B159F" w:rsidRPr="00275290" w:rsidRDefault="008B159F" w:rsidP="008B159F">
            <w:pPr>
              <w:rPr>
                <w:rFonts w:cs="Arial"/>
                <w:lang w:val="fr-FR"/>
              </w:rPr>
            </w:pPr>
            <w:r w:rsidRPr="00275290">
              <w:rPr>
                <w:rFonts w:cs="Arial"/>
                <w:lang w:val="fr-FR"/>
              </w:rPr>
              <w:t>0,088</w:t>
            </w:r>
          </w:p>
        </w:tc>
        <w:tc>
          <w:tcPr>
            <w:tcW w:w="1955" w:type="dxa"/>
            <w:shd w:val="clear" w:color="auto" w:fill="auto"/>
            <w:vAlign w:val="center"/>
          </w:tcPr>
          <w:p w14:paraId="794C8C28" w14:textId="0F779625" w:rsidR="008B159F" w:rsidRPr="00B1033C" w:rsidRDefault="008B159F" w:rsidP="008B159F">
            <w:pPr>
              <w:rPr>
                <w:rFonts w:cs="Arial"/>
                <w:lang w:val="en-US"/>
              </w:rPr>
            </w:pPr>
            <w:r>
              <w:rPr>
                <w:rFonts w:ascii="Calibri" w:hAnsi="Calibri" w:cs="Calibri"/>
                <w:color w:val="000000"/>
                <w:sz w:val="22"/>
                <w:szCs w:val="22"/>
              </w:rPr>
              <w:t>1,93E-03</w:t>
            </w:r>
          </w:p>
        </w:tc>
        <w:tc>
          <w:tcPr>
            <w:tcW w:w="1939" w:type="dxa"/>
            <w:shd w:val="clear" w:color="auto" w:fill="auto"/>
            <w:vAlign w:val="center"/>
          </w:tcPr>
          <w:p w14:paraId="08A9E65A" w14:textId="68AAA20C" w:rsidR="008B159F" w:rsidRDefault="008B159F" w:rsidP="008B159F">
            <w:pPr>
              <w:rPr>
                <w:rFonts w:cs="Arial"/>
                <w:lang w:val="fr-FR"/>
              </w:rPr>
            </w:pPr>
            <w:r>
              <w:rPr>
                <w:rFonts w:cs="Arial"/>
                <w:lang w:val="fr-FR"/>
              </w:rPr>
              <w:t>2</w:t>
            </w:r>
          </w:p>
        </w:tc>
        <w:tc>
          <w:tcPr>
            <w:tcW w:w="1938" w:type="dxa"/>
            <w:shd w:val="clear" w:color="auto" w:fill="auto"/>
            <w:vAlign w:val="center"/>
          </w:tcPr>
          <w:p w14:paraId="78F6BC12" w14:textId="6B1EEAF0" w:rsidR="008B159F" w:rsidRPr="00275290" w:rsidRDefault="008B159F" w:rsidP="008B159F">
            <w:pPr>
              <w:rPr>
                <w:rFonts w:cs="Arial"/>
                <w:lang w:val="fr-FR"/>
              </w:rPr>
            </w:pPr>
            <w:r>
              <w:rPr>
                <w:rFonts w:cs="Arial"/>
                <w:lang w:val="fr-FR"/>
              </w:rPr>
              <w:t>Acceptable</w:t>
            </w:r>
          </w:p>
        </w:tc>
      </w:tr>
      <w:tr w:rsidR="008B159F" w:rsidRPr="00275290" w14:paraId="67F2F6FB" w14:textId="77777777" w:rsidTr="000E1EAD">
        <w:trPr>
          <w:cantSplit/>
        </w:trPr>
        <w:tc>
          <w:tcPr>
            <w:tcW w:w="1961" w:type="dxa"/>
            <w:vMerge/>
            <w:shd w:val="clear" w:color="auto" w:fill="auto"/>
            <w:vAlign w:val="center"/>
          </w:tcPr>
          <w:p w14:paraId="2916C4A2" w14:textId="77777777" w:rsidR="008B159F" w:rsidRPr="00275290" w:rsidRDefault="008B159F" w:rsidP="008B159F">
            <w:pPr>
              <w:rPr>
                <w:rFonts w:cs="Arial"/>
                <w:lang w:val="fr-FR"/>
              </w:rPr>
            </w:pPr>
          </w:p>
        </w:tc>
        <w:tc>
          <w:tcPr>
            <w:tcW w:w="1976" w:type="dxa"/>
            <w:shd w:val="clear" w:color="auto" w:fill="auto"/>
            <w:vAlign w:val="center"/>
          </w:tcPr>
          <w:p w14:paraId="69824C85" w14:textId="3761CF40" w:rsidR="008B159F" w:rsidRPr="00275290" w:rsidRDefault="008B159F" w:rsidP="008B159F">
            <w:pPr>
              <w:rPr>
                <w:rFonts w:cs="Arial"/>
                <w:lang w:val="fr-FR"/>
              </w:rPr>
            </w:pPr>
            <w:r w:rsidRPr="00275290">
              <w:rPr>
                <w:rFonts w:cs="Arial"/>
                <w:lang w:val="fr-FR"/>
              </w:rPr>
              <w:t>Propiconazole : 0.3</w:t>
            </w:r>
          </w:p>
        </w:tc>
        <w:tc>
          <w:tcPr>
            <w:tcW w:w="1955" w:type="dxa"/>
            <w:shd w:val="clear" w:color="auto" w:fill="auto"/>
            <w:vAlign w:val="center"/>
          </w:tcPr>
          <w:p w14:paraId="46BE8A12" w14:textId="79C7B3B3" w:rsidR="008B159F" w:rsidRPr="00B1033C" w:rsidRDefault="008B159F" w:rsidP="008B159F">
            <w:pPr>
              <w:rPr>
                <w:rFonts w:cs="Arial"/>
                <w:lang w:val="en-US"/>
              </w:rPr>
            </w:pPr>
            <w:r>
              <w:rPr>
                <w:rFonts w:ascii="Calibri" w:hAnsi="Calibri" w:cs="Calibri"/>
                <w:color w:val="000000"/>
                <w:sz w:val="22"/>
                <w:szCs w:val="22"/>
              </w:rPr>
              <w:t>2,78E-03</w:t>
            </w:r>
          </w:p>
        </w:tc>
        <w:tc>
          <w:tcPr>
            <w:tcW w:w="1939" w:type="dxa"/>
            <w:shd w:val="clear" w:color="auto" w:fill="auto"/>
            <w:vAlign w:val="center"/>
          </w:tcPr>
          <w:p w14:paraId="16C3A2C4" w14:textId="75178FB5" w:rsidR="008B159F" w:rsidRDefault="008B159F" w:rsidP="008B159F">
            <w:pPr>
              <w:rPr>
                <w:rFonts w:cs="Arial"/>
                <w:lang w:val="fr-FR"/>
              </w:rPr>
            </w:pPr>
            <w:r>
              <w:rPr>
                <w:rFonts w:cs="Arial"/>
                <w:lang w:val="fr-FR"/>
              </w:rPr>
              <w:t>1</w:t>
            </w:r>
          </w:p>
        </w:tc>
        <w:tc>
          <w:tcPr>
            <w:tcW w:w="1938" w:type="dxa"/>
            <w:shd w:val="clear" w:color="auto" w:fill="auto"/>
          </w:tcPr>
          <w:p w14:paraId="6A4804F4" w14:textId="38A43705" w:rsidR="008B159F" w:rsidRPr="00275290" w:rsidRDefault="008B159F" w:rsidP="008B159F">
            <w:pPr>
              <w:rPr>
                <w:rFonts w:cs="Arial"/>
                <w:lang w:val="fr-FR"/>
              </w:rPr>
            </w:pPr>
            <w:r w:rsidRPr="00354D53">
              <w:rPr>
                <w:rFonts w:cs="Arial"/>
                <w:lang w:val="fr-FR"/>
              </w:rPr>
              <w:t>Acceptable</w:t>
            </w:r>
          </w:p>
        </w:tc>
      </w:tr>
      <w:tr w:rsidR="008B159F" w:rsidRPr="00275290" w14:paraId="7C2C7CEE" w14:textId="77777777" w:rsidTr="000E1EAD">
        <w:trPr>
          <w:cantSplit/>
        </w:trPr>
        <w:tc>
          <w:tcPr>
            <w:tcW w:w="1961" w:type="dxa"/>
            <w:vMerge/>
            <w:shd w:val="clear" w:color="auto" w:fill="auto"/>
            <w:vAlign w:val="center"/>
          </w:tcPr>
          <w:p w14:paraId="6EF9DC10" w14:textId="77777777" w:rsidR="008B159F" w:rsidRPr="00275290" w:rsidRDefault="008B159F" w:rsidP="008B159F">
            <w:pPr>
              <w:rPr>
                <w:rFonts w:cs="Arial"/>
                <w:lang w:val="fr-FR"/>
              </w:rPr>
            </w:pPr>
          </w:p>
        </w:tc>
        <w:tc>
          <w:tcPr>
            <w:tcW w:w="1976" w:type="dxa"/>
            <w:shd w:val="clear" w:color="auto" w:fill="auto"/>
            <w:vAlign w:val="center"/>
          </w:tcPr>
          <w:p w14:paraId="027C4CB3" w14:textId="3E589C26" w:rsidR="008B159F" w:rsidRPr="00275290" w:rsidRDefault="008B159F" w:rsidP="008B159F">
            <w:pPr>
              <w:rPr>
                <w:rFonts w:cs="Arial"/>
                <w:lang w:val="fr-FR"/>
              </w:rPr>
            </w:pPr>
            <w:r w:rsidRPr="00275290">
              <w:rPr>
                <w:rFonts w:cs="Arial"/>
                <w:lang w:val="fr-FR"/>
              </w:rPr>
              <w:t>Tébuconazole : 0.03</w:t>
            </w:r>
          </w:p>
        </w:tc>
        <w:tc>
          <w:tcPr>
            <w:tcW w:w="1955" w:type="dxa"/>
            <w:shd w:val="clear" w:color="auto" w:fill="auto"/>
            <w:vAlign w:val="center"/>
          </w:tcPr>
          <w:p w14:paraId="75971E4E" w14:textId="7D45C4F2" w:rsidR="008B159F" w:rsidRPr="00B1033C" w:rsidRDefault="008B159F" w:rsidP="008B159F">
            <w:pPr>
              <w:rPr>
                <w:rFonts w:cs="Arial"/>
                <w:lang w:val="en-US"/>
              </w:rPr>
            </w:pPr>
            <w:r>
              <w:rPr>
                <w:rFonts w:ascii="Calibri" w:hAnsi="Calibri" w:cs="Calibri"/>
                <w:color w:val="000000"/>
                <w:sz w:val="22"/>
                <w:szCs w:val="22"/>
              </w:rPr>
              <w:t>1,04E-03</w:t>
            </w:r>
          </w:p>
        </w:tc>
        <w:tc>
          <w:tcPr>
            <w:tcW w:w="1939" w:type="dxa"/>
            <w:shd w:val="clear" w:color="auto" w:fill="auto"/>
            <w:vAlign w:val="center"/>
          </w:tcPr>
          <w:p w14:paraId="417287C8" w14:textId="23F0FB6E" w:rsidR="008B159F" w:rsidRDefault="008B159F" w:rsidP="008B159F">
            <w:pPr>
              <w:rPr>
                <w:rFonts w:cs="Arial"/>
                <w:lang w:val="fr-FR"/>
              </w:rPr>
            </w:pPr>
            <w:r>
              <w:rPr>
                <w:rFonts w:cs="Arial"/>
                <w:lang w:val="fr-FR"/>
              </w:rPr>
              <w:t>3</w:t>
            </w:r>
          </w:p>
        </w:tc>
        <w:tc>
          <w:tcPr>
            <w:tcW w:w="1938" w:type="dxa"/>
            <w:shd w:val="clear" w:color="auto" w:fill="auto"/>
          </w:tcPr>
          <w:p w14:paraId="61CFCE5C" w14:textId="0EDF952F" w:rsidR="008B159F" w:rsidRPr="00275290" w:rsidRDefault="008B159F" w:rsidP="008B159F">
            <w:pPr>
              <w:rPr>
                <w:rFonts w:cs="Arial"/>
                <w:lang w:val="fr-FR"/>
              </w:rPr>
            </w:pPr>
            <w:r w:rsidRPr="00354D53">
              <w:rPr>
                <w:rFonts w:cs="Arial"/>
                <w:lang w:val="fr-FR"/>
              </w:rPr>
              <w:t>Acceptable</w:t>
            </w:r>
          </w:p>
        </w:tc>
      </w:tr>
      <w:tr w:rsidR="008B159F" w:rsidRPr="00275290" w14:paraId="6819EEB9" w14:textId="77777777" w:rsidTr="000E1EAD">
        <w:trPr>
          <w:cantSplit/>
        </w:trPr>
        <w:tc>
          <w:tcPr>
            <w:tcW w:w="1961" w:type="dxa"/>
            <w:vMerge/>
            <w:shd w:val="clear" w:color="auto" w:fill="auto"/>
            <w:vAlign w:val="center"/>
          </w:tcPr>
          <w:p w14:paraId="51C1AAAD" w14:textId="77777777" w:rsidR="008B159F" w:rsidRPr="00275290" w:rsidRDefault="008B159F" w:rsidP="008B159F">
            <w:pPr>
              <w:rPr>
                <w:rFonts w:cs="Arial"/>
                <w:lang w:val="fr-FR"/>
              </w:rPr>
            </w:pPr>
          </w:p>
        </w:tc>
        <w:tc>
          <w:tcPr>
            <w:tcW w:w="1976" w:type="dxa"/>
            <w:shd w:val="clear" w:color="auto" w:fill="auto"/>
            <w:vAlign w:val="center"/>
          </w:tcPr>
          <w:p w14:paraId="686B25BC" w14:textId="77777777" w:rsidR="008B159F" w:rsidRPr="00275290" w:rsidRDefault="008B159F" w:rsidP="008B159F">
            <w:pPr>
              <w:rPr>
                <w:rFonts w:cs="Arial"/>
                <w:lang w:val="fr-FR"/>
              </w:rPr>
            </w:pPr>
            <w:r w:rsidRPr="00275290">
              <w:rPr>
                <w:rFonts w:cs="Arial"/>
                <w:lang w:val="fr-FR"/>
              </w:rPr>
              <w:t>IPBC</w:t>
            </w:r>
          </w:p>
          <w:p w14:paraId="0DBD7E33" w14:textId="71938585" w:rsidR="008B159F" w:rsidRPr="00275290" w:rsidRDefault="008B159F" w:rsidP="008B159F">
            <w:pPr>
              <w:rPr>
                <w:rFonts w:cs="Arial"/>
                <w:lang w:val="fr-FR"/>
              </w:rPr>
            </w:pPr>
            <w:r w:rsidRPr="00275290">
              <w:rPr>
                <w:rFonts w:cs="Arial"/>
                <w:lang w:val="fr-FR"/>
              </w:rPr>
              <w:t>0.35</w:t>
            </w:r>
          </w:p>
        </w:tc>
        <w:tc>
          <w:tcPr>
            <w:tcW w:w="1955" w:type="dxa"/>
            <w:shd w:val="clear" w:color="auto" w:fill="auto"/>
            <w:vAlign w:val="center"/>
          </w:tcPr>
          <w:p w14:paraId="399F2BB7" w14:textId="78A17FE8" w:rsidR="008B159F" w:rsidRPr="00B1033C" w:rsidRDefault="008B159F" w:rsidP="008B159F">
            <w:pPr>
              <w:rPr>
                <w:rFonts w:cs="Arial"/>
                <w:lang w:val="en-US"/>
              </w:rPr>
            </w:pPr>
            <w:r>
              <w:rPr>
                <w:rFonts w:ascii="Calibri" w:hAnsi="Calibri" w:cs="Calibri"/>
                <w:color w:val="000000"/>
                <w:sz w:val="22"/>
                <w:szCs w:val="22"/>
              </w:rPr>
              <w:t>2,51E-03</w:t>
            </w:r>
          </w:p>
        </w:tc>
        <w:tc>
          <w:tcPr>
            <w:tcW w:w="1939" w:type="dxa"/>
            <w:shd w:val="clear" w:color="auto" w:fill="auto"/>
            <w:vAlign w:val="center"/>
          </w:tcPr>
          <w:p w14:paraId="2A5CE65F" w14:textId="6EEA7B5B" w:rsidR="008B159F" w:rsidRDefault="008B159F" w:rsidP="008B159F">
            <w:pPr>
              <w:rPr>
                <w:rFonts w:cs="Arial"/>
                <w:lang w:val="fr-FR"/>
              </w:rPr>
            </w:pPr>
            <w:r>
              <w:rPr>
                <w:rFonts w:cs="Arial"/>
                <w:lang w:val="fr-FR"/>
              </w:rPr>
              <w:t>1</w:t>
            </w:r>
          </w:p>
        </w:tc>
        <w:tc>
          <w:tcPr>
            <w:tcW w:w="1938" w:type="dxa"/>
            <w:shd w:val="clear" w:color="auto" w:fill="auto"/>
          </w:tcPr>
          <w:p w14:paraId="48FE8AA6" w14:textId="326AE1CD" w:rsidR="008B159F" w:rsidRPr="00275290" w:rsidRDefault="008B159F" w:rsidP="008B159F">
            <w:pPr>
              <w:rPr>
                <w:rFonts w:cs="Arial"/>
                <w:lang w:val="fr-FR"/>
              </w:rPr>
            </w:pPr>
            <w:r w:rsidRPr="00354D53">
              <w:rPr>
                <w:rFonts w:cs="Arial"/>
                <w:lang w:val="fr-FR"/>
              </w:rPr>
              <w:t>Acceptable</w:t>
            </w:r>
          </w:p>
        </w:tc>
      </w:tr>
      <w:tr w:rsidR="008B159F" w:rsidRPr="00275290" w14:paraId="2D977C87" w14:textId="77777777" w:rsidTr="000E1EAD">
        <w:trPr>
          <w:cantSplit/>
        </w:trPr>
        <w:tc>
          <w:tcPr>
            <w:tcW w:w="1961" w:type="dxa"/>
            <w:vMerge w:val="restart"/>
            <w:shd w:val="clear" w:color="auto" w:fill="auto"/>
            <w:vAlign w:val="center"/>
          </w:tcPr>
          <w:p w14:paraId="2848DAB7" w14:textId="0225C6D9" w:rsidR="008B159F" w:rsidRPr="00275290" w:rsidRDefault="008B159F" w:rsidP="008B159F">
            <w:pPr>
              <w:rPr>
                <w:rFonts w:cs="Arial"/>
                <w:lang w:val="fr-FR"/>
              </w:rPr>
            </w:pPr>
            <w:r w:rsidRPr="00275290">
              <w:rPr>
                <w:rFonts w:cs="Arial"/>
                <w:lang w:val="fr-FR"/>
              </w:rPr>
              <w:t>Application phase</w:t>
            </w:r>
            <w:r>
              <w:rPr>
                <w:rFonts w:cs="Arial"/>
                <w:lang w:val="fr-FR"/>
              </w:rPr>
              <w:t xml:space="preserve"> - spray</w:t>
            </w:r>
          </w:p>
          <w:p w14:paraId="0DFB5B40" w14:textId="77777777" w:rsidR="008B159F" w:rsidRPr="00275290" w:rsidRDefault="008B159F" w:rsidP="008B159F">
            <w:pPr>
              <w:rPr>
                <w:rFonts w:cs="Arial"/>
                <w:lang w:val="fr-FR"/>
              </w:rPr>
            </w:pPr>
          </w:p>
        </w:tc>
        <w:tc>
          <w:tcPr>
            <w:tcW w:w="1976" w:type="dxa"/>
            <w:shd w:val="clear" w:color="auto" w:fill="auto"/>
            <w:vAlign w:val="center"/>
          </w:tcPr>
          <w:p w14:paraId="7EE865A3" w14:textId="77777777" w:rsidR="008B159F" w:rsidRPr="00275290" w:rsidRDefault="008B159F" w:rsidP="008B159F">
            <w:pPr>
              <w:rPr>
                <w:rFonts w:cs="Arial"/>
                <w:lang w:val="fr-FR"/>
              </w:rPr>
            </w:pPr>
            <w:r w:rsidRPr="00275290">
              <w:rPr>
                <w:rFonts w:cs="Arial"/>
                <w:lang w:val="fr-FR"/>
              </w:rPr>
              <w:t>Cyperméthrine</w:t>
            </w:r>
          </w:p>
          <w:p w14:paraId="349011AE" w14:textId="77777777" w:rsidR="008B159F" w:rsidRPr="00275290" w:rsidRDefault="008B159F" w:rsidP="008B159F">
            <w:pPr>
              <w:rPr>
                <w:rFonts w:cs="Arial"/>
                <w:lang w:val="fr-FR"/>
              </w:rPr>
            </w:pPr>
            <w:r w:rsidRPr="00275290">
              <w:rPr>
                <w:rFonts w:cs="Arial"/>
                <w:lang w:val="fr-FR"/>
              </w:rPr>
              <w:t>0,088</w:t>
            </w:r>
          </w:p>
        </w:tc>
        <w:tc>
          <w:tcPr>
            <w:tcW w:w="1955" w:type="dxa"/>
            <w:shd w:val="clear" w:color="auto" w:fill="auto"/>
            <w:vAlign w:val="center"/>
          </w:tcPr>
          <w:p w14:paraId="1603169B" w14:textId="09B43FF5" w:rsidR="008B159F" w:rsidRPr="00275290" w:rsidRDefault="008B159F" w:rsidP="008B159F">
            <w:pPr>
              <w:rPr>
                <w:rFonts w:cs="Arial"/>
                <w:color w:val="000000"/>
              </w:rPr>
            </w:pPr>
            <w:r w:rsidRPr="00E82E11">
              <w:rPr>
                <w:rFonts w:cs="Arial"/>
                <w:color w:val="000000"/>
              </w:rPr>
              <w:t>4,67E-02</w:t>
            </w:r>
          </w:p>
        </w:tc>
        <w:tc>
          <w:tcPr>
            <w:tcW w:w="1939" w:type="dxa"/>
            <w:shd w:val="clear" w:color="auto" w:fill="auto"/>
            <w:vAlign w:val="center"/>
          </w:tcPr>
          <w:p w14:paraId="0F86FC59" w14:textId="630648E8" w:rsidR="008B159F" w:rsidRPr="00275290" w:rsidRDefault="008B159F" w:rsidP="008B159F">
            <w:pPr>
              <w:rPr>
                <w:rFonts w:cs="Arial"/>
                <w:lang w:val="fr-FR"/>
              </w:rPr>
            </w:pPr>
            <w:r>
              <w:rPr>
                <w:rFonts w:cs="Arial"/>
                <w:lang w:val="fr-FR"/>
              </w:rPr>
              <w:t>53.0</w:t>
            </w:r>
          </w:p>
        </w:tc>
        <w:tc>
          <w:tcPr>
            <w:tcW w:w="1938" w:type="dxa"/>
            <w:shd w:val="clear" w:color="auto" w:fill="auto"/>
          </w:tcPr>
          <w:p w14:paraId="488B931C" w14:textId="49653204" w:rsidR="008B159F" w:rsidRPr="00275290" w:rsidRDefault="008B159F" w:rsidP="008B159F">
            <w:pPr>
              <w:rPr>
                <w:rFonts w:cs="Arial"/>
                <w:lang w:val="fr-FR"/>
              </w:rPr>
            </w:pPr>
            <w:r w:rsidRPr="00354D53">
              <w:rPr>
                <w:rFonts w:cs="Arial"/>
                <w:lang w:val="fr-FR"/>
              </w:rPr>
              <w:t>Acceptable</w:t>
            </w:r>
          </w:p>
        </w:tc>
      </w:tr>
      <w:tr w:rsidR="008B159F" w:rsidRPr="00275290" w14:paraId="60EA0727" w14:textId="77777777" w:rsidTr="000E1EAD">
        <w:trPr>
          <w:cantSplit/>
        </w:trPr>
        <w:tc>
          <w:tcPr>
            <w:tcW w:w="1961" w:type="dxa"/>
            <w:vMerge/>
            <w:shd w:val="clear" w:color="auto" w:fill="auto"/>
            <w:vAlign w:val="center"/>
          </w:tcPr>
          <w:p w14:paraId="27911B57" w14:textId="77777777" w:rsidR="008B159F" w:rsidRPr="00275290" w:rsidRDefault="008B159F" w:rsidP="008B159F">
            <w:pPr>
              <w:rPr>
                <w:rFonts w:cs="Arial"/>
                <w:lang w:val="fr-FR"/>
              </w:rPr>
            </w:pPr>
          </w:p>
        </w:tc>
        <w:tc>
          <w:tcPr>
            <w:tcW w:w="1976" w:type="dxa"/>
            <w:shd w:val="clear" w:color="auto" w:fill="auto"/>
            <w:vAlign w:val="center"/>
          </w:tcPr>
          <w:p w14:paraId="04D29959" w14:textId="77777777" w:rsidR="008B159F" w:rsidRPr="00275290" w:rsidRDefault="008B159F" w:rsidP="008B159F">
            <w:pPr>
              <w:rPr>
                <w:rFonts w:cs="Arial"/>
                <w:lang w:val="fr-FR"/>
              </w:rPr>
            </w:pPr>
            <w:r w:rsidRPr="00275290">
              <w:rPr>
                <w:rFonts w:cs="Arial"/>
                <w:lang w:val="fr-FR"/>
              </w:rPr>
              <w:t>Propiconazole : 0.3</w:t>
            </w:r>
          </w:p>
        </w:tc>
        <w:tc>
          <w:tcPr>
            <w:tcW w:w="1955" w:type="dxa"/>
            <w:shd w:val="clear" w:color="auto" w:fill="auto"/>
            <w:vAlign w:val="center"/>
          </w:tcPr>
          <w:p w14:paraId="1E519C6A" w14:textId="0327E140" w:rsidR="008B159F" w:rsidRPr="00275290" w:rsidRDefault="008B159F" w:rsidP="008B159F">
            <w:pPr>
              <w:rPr>
                <w:rFonts w:cs="Arial"/>
                <w:color w:val="000000"/>
              </w:rPr>
            </w:pPr>
            <w:r w:rsidRPr="00E82E11">
              <w:rPr>
                <w:rFonts w:cs="Arial"/>
                <w:color w:val="000000"/>
              </w:rPr>
              <w:t>6,78E-02</w:t>
            </w:r>
          </w:p>
        </w:tc>
        <w:tc>
          <w:tcPr>
            <w:tcW w:w="1939" w:type="dxa"/>
            <w:shd w:val="clear" w:color="auto" w:fill="auto"/>
            <w:vAlign w:val="center"/>
          </w:tcPr>
          <w:p w14:paraId="3BEA4103" w14:textId="2BF8F61F" w:rsidR="008B159F" w:rsidRPr="00275290" w:rsidRDefault="008B159F" w:rsidP="008B159F">
            <w:pPr>
              <w:rPr>
                <w:rFonts w:cs="Arial"/>
                <w:lang w:val="fr-FR"/>
              </w:rPr>
            </w:pPr>
            <w:r>
              <w:rPr>
                <w:rFonts w:cs="Arial"/>
                <w:lang w:val="fr-FR"/>
              </w:rPr>
              <w:t>22.6</w:t>
            </w:r>
          </w:p>
        </w:tc>
        <w:tc>
          <w:tcPr>
            <w:tcW w:w="1938" w:type="dxa"/>
            <w:shd w:val="clear" w:color="auto" w:fill="auto"/>
          </w:tcPr>
          <w:p w14:paraId="24CCD3E7" w14:textId="4A3C944D" w:rsidR="008B159F" w:rsidRPr="00275290" w:rsidRDefault="008B159F" w:rsidP="008B159F">
            <w:pPr>
              <w:rPr>
                <w:rFonts w:cs="Arial"/>
                <w:lang w:val="fr-FR"/>
              </w:rPr>
            </w:pPr>
            <w:r w:rsidRPr="00354D53">
              <w:rPr>
                <w:rFonts w:cs="Arial"/>
                <w:lang w:val="fr-FR"/>
              </w:rPr>
              <w:t>Acceptable</w:t>
            </w:r>
          </w:p>
        </w:tc>
      </w:tr>
      <w:tr w:rsidR="008B159F" w:rsidRPr="00275290" w14:paraId="7BEF3889" w14:textId="77777777" w:rsidTr="000E1EAD">
        <w:trPr>
          <w:cantSplit/>
        </w:trPr>
        <w:tc>
          <w:tcPr>
            <w:tcW w:w="1961" w:type="dxa"/>
            <w:vMerge/>
            <w:shd w:val="clear" w:color="auto" w:fill="auto"/>
            <w:vAlign w:val="center"/>
          </w:tcPr>
          <w:p w14:paraId="0D2152E4" w14:textId="77777777" w:rsidR="008B159F" w:rsidRPr="00275290" w:rsidRDefault="008B159F" w:rsidP="008B159F">
            <w:pPr>
              <w:rPr>
                <w:rFonts w:cs="Arial"/>
                <w:lang w:val="fr-FR"/>
              </w:rPr>
            </w:pPr>
          </w:p>
        </w:tc>
        <w:tc>
          <w:tcPr>
            <w:tcW w:w="1976" w:type="dxa"/>
            <w:shd w:val="clear" w:color="auto" w:fill="auto"/>
            <w:vAlign w:val="center"/>
          </w:tcPr>
          <w:p w14:paraId="5275A1A2" w14:textId="77777777" w:rsidR="008B159F" w:rsidRPr="00275290" w:rsidRDefault="008B159F" w:rsidP="008B159F">
            <w:pPr>
              <w:rPr>
                <w:rFonts w:cs="Arial"/>
                <w:lang w:val="fr-FR"/>
              </w:rPr>
            </w:pPr>
            <w:r w:rsidRPr="00275290">
              <w:rPr>
                <w:rFonts w:cs="Arial"/>
                <w:lang w:val="fr-FR"/>
              </w:rPr>
              <w:t>Tébuconazole : 0.03</w:t>
            </w:r>
          </w:p>
        </w:tc>
        <w:tc>
          <w:tcPr>
            <w:tcW w:w="1955" w:type="dxa"/>
            <w:shd w:val="clear" w:color="auto" w:fill="auto"/>
            <w:vAlign w:val="center"/>
          </w:tcPr>
          <w:p w14:paraId="05C6B586" w14:textId="0906BAA4" w:rsidR="008B159F" w:rsidRPr="00275290" w:rsidRDefault="008B159F" w:rsidP="008B159F">
            <w:pPr>
              <w:rPr>
                <w:rFonts w:cs="Arial"/>
                <w:color w:val="000000"/>
              </w:rPr>
            </w:pPr>
            <w:r w:rsidRPr="00E82E11">
              <w:rPr>
                <w:rFonts w:cs="Arial"/>
                <w:color w:val="000000"/>
              </w:rPr>
              <w:t>2,51E-02</w:t>
            </w:r>
          </w:p>
        </w:tc>
        <w:tc>
          <w:tcPr>
            <w:tcW w:w="1939" w:type="dxa"/>
            <w:shd w:val="clear" w:color="auto" w:fill="auto"/>
            <w:vAlign w:val="center"/>
          </w:tcPr>
          <w:p w14:paraId="332E77D9" w14:textId="6232D29C" w:rsidR="008B159F" w:rsidRPr="00275290" w:rsidRDefault="008B159F" w:rsidP="008B159F">
            <w:pPr>
              <w:rPr>
                <w:rFonts w:cs="Arial"/>
                <w:lang w:val="fr-FR"/>
              </w:rPr>
            </w:pPr>
            <w:r>
              <w:rPr>
                <w:rFonts w:cs="Arial"/>
                <w:lang w:val="fr-FR"/>
              </w:rPr>
              <w:t>83.8</w:t>
            </w:r>
          </w:p>
        </w:tc>
        <w:tc>
          <w:tcPr>
            <w:tcW w:w="1938" w:type="dxa"/>
            <w:shd w:val="clear" w:color="auto" w:fill="auto"/>
          </w:tcPr>
          <w:p w14:paraId="18B89315" w14:textId="11122771" w:rsidR="008B159F" w:rsidRPr="00275290" w:rsidRDefault="008B159F" w:rsidP="008B159F">
            <w:pPr>
              <w:rPr>
                <w:rFonts w:cs="Arial"/>
                <w:lang w:val="fr-FR"/>
              </w:rPr>
            </w:pPr>
            <w:r w:rsidRPr="00354D53">
              <w:rPr>
                <w:rFonts w:cs="Arial"/>
                <w:lang w:val="fr-FR"/>
              </w:rPr>
              <w:t>Acceptable</w:t>
            </w:r>
          </w:p>
        </w:tc>
      </w:tr>
      <w:tr w:rsidR="008B159F" w:rsidRPr="00275290" w14:paraId="5359180E" w14:textId="77777777" w:rsidTr="000E1EAD">
        <w:trPr>
          <w:cantSplit/>
        </w:trPr>
        <w:tc>
          <w:tcPr>
            <w:tcW w:w="1961" w:type="dxa"/>
            <w:vMerge/>
            <w:shd w:val="clear" w:color="auto" w:fill="auto"/>
            <w:vAlign w:val="center"/>
          </w:tcPr>
          <w:p w14:paraId="2358CA8B" w14:textId="77777777" w:rsidR="008B159F" w:rsidRPr="00275290" w:rsidRDefault="008B159F" w:rsidP="008B159F">
            <w:pPr>
              <w:rPr>
                <w:rFonts w:cs="Arial"/>
                <w:lang w:val="fr-FR"/>
              </w:rPr>
            </w:pPr>
          </w:p>
        </w:tc>
        <w:tc>
          <w:tcPr>
            <w:tcW w:w="1976" w:type="dxa"/>
            <w:shd w:val="clear" w:color="auto" w:fill="auto"/>
            <w:vAlign w:val="center"/>
          </w:tcPr>
          <w:p w14:paraId="205F0A31" w14:textId="77777777" w:rsidR="008B159F" w:rsidRPr="00275290" w:rsidRDefault="008B159F" w:rsidP="008B159F">
            <w:pPr>
              <w:rPr>
                <w:rFonts w:cs="Arial"/>
                <w:lang w:val="fr-FR"/>
              </w:rPr>
            </w:pPr>
            <w:r w:rsidRPr="00275290">
              <w:rPr>
                <w:rFonts w:cs="Arial"/>
                <w:lang w:val="fr-FR"/>
              </w:rPr>
              <w:t>IPBC</w:t>
            </w:r>
          </w:p>
          <w:p w14:paraId="7916CF84" w14:textId="77777777" w:rsidR="008B159F" w:rsidRPr="00275290" w:rsidRDefault="008B159F" w:rsidP="008B159F">
            <w:pPr>
              <w:rPr>
                <w:rFonts w:cs="Arial"/>
                <w:lang w:val="fr-FR"/>
              </w:rPr>
            </w:pPr>
            <w:r w:rsidRPr="00275290">
              <w:rPr>
                <w:rFonts w:cs="Arial"/>
                <w:lang w:val="fr-FR"/>
              </w:rPr>
              <w:t>0.35</w:t>
            </w:r>
          </w:p>
        </w:tc>
        <w:tc>
          <w:tcPr>
            <w:tcW w:w="1955" w:type="dxa"/>
            <w:shd w:val="clear" w:color="auto" w:fill="auto"/>
            <w:vAlign w:val="center"/>
          </w:tcPr>
          <w:p w14:paraId="7B23F35C" w14:textId="52C68AE1" w:rsidR="008B159F" w:rsidRPr="00275290" w:rsidRDefault="008B159F" w:rsidP="008B159F">
            <w:pPr>
              <w:rPr>
                <w:rFonts w:cs="Arial"/>
                <w:color w:val="000000"/>
              </w:rPr>
            </w:pPr>
            <w:r w:rsidRPr="00E82E11">
              <w:rPr>
                <w:rFonts w:cs="Arial"/>
                <w:color w:val="000000"/>
              </w:rPr>
              <w:t>5,99E-02</w:t>
            </w:r>
          </w:p>
        </w:tc>
        <w:tc>
          <w:tcPr>
            <w:tcW w:w="1939" w:type="dxa"/>
            <w:shd w:val="clear" w:color="auto" w:fill="auto"/>
            <w:vAlign w:val="center"/>
          </w:tcPr>
          <w:p w14:paraId="2D3C0CBB" w14:textId="25CABC45" w:rsidR="008B159F" w:rsidRPr="00275290" w:rsidRDefault="008B159F" w:rsidP="008B159F">
            <w:pPr>
              <w:rPr>
                <w:rFonts w:cs="Arial"/>
                <w:lang w:val="fr-FR"/>
              </w:rPr>
            </w:pPr>
            <w:r>
              <w:rPr>
                <w:rFonts w:cs="Arial"/>
                <w:lang w:val="fr-FR"/>
              </w:rPr>
              <w:t>17.1</w:t>
            </w:r>
          </w:p>
        </w:tc>
        <w:tc>
          <w:tcPr>
            <w:tcW w:w="1938" w:type="dxa"/>
            <w:shd w:val="clear" w:color="auto" w:fill="auto"/>
          </w:tcPr>
          <w:p w14:paraId="73C12298" w14:textId="007FC8E3" w:rsidR="008B159F" w:rsidRPr="00275290" w:rsidRDefault="008B159F" w:rsidP="008B159F">
            <w:pPr>
              <w:rPr>
                <w:rFonts w:cs="Arial"/>
                <w:lang w:val="fr-FR"/>
              </w:rPr>
            </w:pPr>
            <w:r w:rsidRPr="00354D53">
              <w:rPr>
                <w:rFonts w:cs="Arial"/>
                <w:lang w:val="fr-FR"/>
              </w:rPr>
              <w:t>Acceptable</w:t>
            </w:r>
          </w:p>
        </w:tc>
      </w:tr>
      <w:tr w:rsidR="008B159F" w:rsidRPr="00275290" w14:paraId="0540924E" w14:textId="77777777" w:rsidTr="000E1EAD">
        <w:trPr>
          <w:cantSplit/>
        </w:trPr>
        <w:tc>
          <w:tcPr>
            <w:tcW w:w="1961" w:type="dxa"/>
            <w:vMerge w:val="restart"/>
            <w:shd w:val="clear" w:color="auto" w:fill="auto"/>
            <w:vAlign w:val="center"/>
          </w:tcPr>
          <w:p w14:paraId="7A0A1EBB" w14:textId="0906C4B1" w:rsidR="008B159F" w:rsidRPr="00275290" w:rsidRDefault="008B159F" w:rsidP="008B159F">
            <w:pPr>
              <w:rPr>
                <w:rFonts w:cs="Arial"/>
                <w:lang w:val="fr-FR"/>
              </w:rPr>
            </w:pPr>
            <w:r w:rsidRPr="00275290">
              <w:rPr>
                <w:rFonts w:cs="Arial"/>
                <w:lang w:val="fr-FR"/>
              </w:rPr>
              <w:t>Application phase</w:t>
            </w:r>
            <w:r>
              <w:rPr>
                <w:rFonts w:cs="Arial"/>
                <w:lang w:val="fr-FR"/>
              </w:rPr>
              <w:t xml:space="preserve"> - injection</w:t>
            </w:r>
          </w:p>
          <w:p w14:paraId="72417009" w14:textId="77777777" w:rsidR="008B159F" w:rsidRPr="00275290" w:rsidRDefault="008B159F" w:rsidP="008B159F">
            <w:pPr>
              <w:rPr>
                <w:rFonts w:cs="Arial"/>
                <w:lang w:val="fr-FR"/>
              </w:rPr>
            </w:pPr>
          </w:p>
        </w:tc>
        <w:tc>
          <w:tcPr>
            <w:tcW w:w="1976" w:type="dxa"/>
            <w:shd w:val="clear" w:color="auto" w:fill="auto"/>
            <w:vAlign w:val="center"/>
          </w:tcPr>
          <w:p w14:paraId="33A59088" w14:textId="77777777" w:rsidR="008B159F" w:rsidRPr="00275290" w:rsidRDefault="008B159F" w:rsidP="008B159F">
            <w:pPr>
              <w:rPr>
                <w:rFonts w:cs="Arial"/>
                <w:lang w:val="fr-FR"/>
              </w:rPr>
            </w:pPr>
            <w:r w:rsidRPr="00275290">
              <w:rPr>
                <w:rFonts w:cs="Arial"/>
                <w:lang w:val="fr-FR"/>
              </w:rPr>
              <w:t>Cyperméthrine</w:t>
            </w:r>
          </w:p>
          <w:p w14:paraId="5373EBF3" w14:textId="71A67EA8" w:rsidR="008B159F" w:rsidRPr="00275290" w:rsidRDefault="008B159F" w:rsidP="008B159F">
            <w:pPr>
              <w:rPr>
                <w:rFonts w:cs="Arial"/>
                <w:lang w:val="fr-FR"/>
              </w:rPr>
            </w:pPr>
            <w:r w:rsidRPr="00275290">
              <w:rPr>
                <w:rFonts w:cs="Arial"/>
                <w:lang w:val="fr-FR"/>
              </w:rPr>
              <w:t>0,088</w:t>
            </w:r>
          </w:p>
        </w:tc>
        <w:tc>
          <w:tcPr>
            <w:tcW w:w="1955" w:type="dxa"/>
            <w:shd w:val="clear" w:color="auto" w:fill="auto"/>
            <w:vAlign w:val="center"/>
          </w:tcPr>
          <w:p w14:paraId="212FABA9" w14:textId="65839FFD" w:rsidR="008B159F" w:rsidRPr="00B1033C" w:rsidRDefault="008B159F" w:rsidP="008B159F">
            <w:pPr>
              <w:rPr>
                <w:rFonts w:cs="Arial"/>
                <w:lang w:val="en-US"/>
              </w:rPr>
            </w:pPr>
            <w:r w:rsidRPr="00B1033C">
              <w:rPr>
                <w:rFonts w:cs="Arial"/>
                <w:lang w:val="en-US"/>
              </w:rPr>
              <w:t>9,60E-03</w:t>
            </w:r>
          </w:p>
        </w:tc>
        <w:tc>
          <w:tcPr>
            <w:tcW w:w="1939" w:type="dxa"/>
            <w:shd w:val="clear" w:color="auto" w:fill="auto"/>
            <w:vAlign w:val="center"/>
          </w:tcPr>
          <w:p w14:paraId="3CD938D4" w14:textId="70DEAC45" w:rsidR="008B159F" w:rsidRPr="00275290" w:rsidDel="00F86EFD" w:rsidRDefault="008B159F" w:rsidP="008B159F">
            <w:pPr>
              <w:rPr>
                <w:rFonts w:cs="Arial"/>
                <w:lang w:val="fr-FR"/>
              </w:rPr>
            </w:pPr>
            <w:r>
              <w:rPr>
                <w:rFonts w:cs="Arial"/>
                <w:lang w:val="fr-FR"/>
              </w:rPr>
              <w:t>11</w:t>
            </w:r>
          </w:p>
        </w:tc>
        <w:tc>
          <w:tcPr>
            <w:tcW w:w="1938" w:type="dxa"/>
            <w:shd w:val="clear" w:color="auto" w:fill="auto"/>
          </w:tcPr>
          <w:p w14:paraId="7465ECF6" w14:textId="414A4DBC" w:rsidR="008B159F" w:rsidRPr="00275290" w:rsidRDefault="008B159F" w:rsidP="008B159F">
            <w:pPr>
              <w:rPr>
                <w:rFonts w:cs="Arial"/>
                <w:lang w:val="fr-FR"/>
              </w:rPr>
            </w:pPr>
            <w:r w:rsidRPr="00354D53">
              <w:rPr>
                <w:rFonts w:cs="Arial"/>
                <w:lang w:val="fr-FR"/>
              </w:rPr>
              <w:t>Acceptable</w:t>
            </w:r>
          </w:p>
        </w:tc>
      </w:tr>
      <w:tr w:rsidR="008B159F" w:rsidRPr="00275290" w14:paraId="29E5D886" w14:textId="77777777" w:rsidTr="000E1EAD">
        <w:trPr>
          <w:cantSplit/>
        </w:trPr>
        <w:tc>
          <w:tcPr>
            <w:tcW w:w="1961" w:type="dxa"/>
            <w:vMerge/>
            <w:shd w:val="clear" w:color="auto" w:fill="auto"/>
            <w:vAlign w:val="center"/>
          </w:tcPr>
          <w:p w14:paraId="19397442" w14:textId="77777777" w:rsidR="008B159F" w:rsidRPr="00275290" w:rsidRDefault="008B159F" w:rsidP="008B159F">
            <w:pPr>
              <w:rPr>
                <w:rFonts w:cs="Arial"/>
                <w:lang w:val="fr-FR"/>
              </w:rPr>
            </w:pPr>
          </w:p>
        </w:tc>
        <w:tc>
          <w:tcPr>
            <w:tcW w:w="1976" w:type="dxa"/>
            <w:shd w:val="clear" w:color="auto" w:fill="auto"/>
            <w:vAlign w:val="center"/>
          </w:tcPr>
          <w:p w14:paraId="4C2DCB1D" w14:textId="1B55D74A" w:rsidR="008B159F" w:rsidRPr="00275290" w:rsidRDefault="008B159F" w:rsidP="008B159F">
            <w:pPr>
              <w:rPr>
                <w:rFonts w:cs="Arial"/>
                <w:lang w:val="fr-FR"/>
              </w:rPr>
            </w:pPr>
            <w:r w:rsidRPr="00275290">
              <w:rPr>
                <w:rFonts w:cs="Arial"/>
                <w:lang w:val="fr-FR"/>
              </w:rPr>
              <w:t>Propiconazole : 0.3</w:t>
            </w:r>
          </w:p>
        </w:tc>
        <w:tc>
          <w:tcPr>
            <w:tcW w:w="1955" w:type="dxa"/>
            <w:shd w:val="clear" w:color="auto" w:fill="auto"/>
            <w:vAlign w:val="center"/>
          </w:tcPr>
          <w:p w14:paraId="13D5E7C9" w14:textId="059DACE4" w:rsidR="008B159F" w:rsidRPr="00B1033C" w:rsidRDefault="008B159F" w:rsidP="008B159F">
            <w:pPr>
              <w:rPr>
                <w:rFonts w:cs="Arial"/>
                <w:lang w:val="en-US"/>
              </w:rPr>
            </w:pPr>
            <w:r w:rsidRPr="00B1033C">
              <w:rPr>
                <w:rFonts w:cs="Arial"/>
                <w:lang w:val="en-US"/>
              </w:rPr>
              <w:t>1,39E-02</w:t>
            </w:r>
          </w:p>
        </w:tc>
        <w:tc>
          <w:tcPr>
            <w:tcW w:w="1939" w:type="dxa"/>
            <w:shd w:val="clear" w:color="auto" w:fill="auto"/>
            <w:vAlign w:val="center"/>
          </w:tcPr>
          <w:p w14:paraId="1029D21B" w14:textId="7AFA9AEE" w:rsidR="008B159F" w:rsidRPr="00275290" w:rsidDel="00F86EFD" w:rsidRDefault="008B159F" w:rsidP="008B159F">
            <w:pPr>
              <w:rPr>
                <w:rFonts w:cs="Arial"/>
                <w:lang w:val="fr-FR"/>
              </w:rPr>
            </w:pPr>
            <w:r>
              <w:rPr>
                <w:rFonts w:cs="Arial"/>
                <w:lang w:val="fr-FR"/>
              </w:rPr>
              <w:t>4.6</w:t>
            </w:r>
          </w:p>
        </w:tc>
        <w:tc>
          <w:tcPr>
            <w:tcW w:w="1938" w:type="dxa"/>
            <w:shd w:val="clear" w:color="auto" w:fill="auto"/>
          </w:tcPr>
          <w:p w14:paraId="2F6DFF3F" w14:textId="5A94F1A6" w:rsidR="008B159F" w:rsidRPr="00275290" w:rsidRDefault="008B159F" w:rsidP="008B159F">
            <w:pPr>
              <w:rPr>
                <w:rFonts w:cs="Arial"/>
                <w:lang w:val="fr-FR"/>
              </w:rPr>
            </w:pPr>
            <w:r w:rsidRPr="00354D53">
              <w:rPr>
                <w:rFonts w:cs="Arial"/>
                <w:lang w:val="fr-FR"/>
              </w:rPr>
              <w:t>Acceptable</w:t>
            </w:r>
          </w:p>
        </w:tc>
      </w:tr>
      <w:tr w:rsidR="008B159F" w:rsidRPr="00275290" w14:paraId="3E1FF3B3" w14:textId="77777777" w:rsidTr="000E1EAD">
        <w:trPr>
          <w:cantSplit/>
        </w:trPr>
        <w:tc>
          <w:tcPr>
            <w:tcW w:w="1961" w:type="dxa"/>
            <w:vMerge/>
            <w:shd w:val="clear" w:color="auto" w:fill="auto"/>
            <w:vAlign w:val="center"/>
          </w:tcPr>
          <w:p w14:paraId="71B04ED7" w14:textId="77777777" w:rsidR="008B159F" w:rsidRPr="00275290" w:rsidRDefault="008B159F" w:rsidP="008B159F">
            <w:pPr>
              <w:rPr>
                <w:rFonts w:cs="Arial"/>
                <w:lang w:val="fr-FR"/>
              </w:rPr>
            </w:pPr>
          </w:p>
        </w:tc>
        <w:tc>
          <w:tcPr>
            <w:tcW w:w="1976" w:type="dxa"/>
            <w:shd w:val="clear" w:color="auto" w:fill="auto"/>
            <w:vAlign w:val="center"/>
          </w:tcPr>
          <w:p w14:paraId="13CD76DC" w14:textId="4730E6B5" w:rsidR="008B159F" w:rsidRPr="00275290" w:rsidRDefault="008B159F" w:rsidP="008B159F">
            <w:pPr>
              <w:rPr>
                <w:rFonts w:cs="Arial"/>
                <w:lang w:val="fr-FR"/>
              </w:rPr>
            </w:pPr>
            <w:r w:rsidRPr="00275290">
              <w:rPr>
                <w:rFonts w:cs="Arial"/>
                <w:lang w:val="fr-FR"/>
              </w:rPr>
              <w:t>Tébuconazole : 0.03</w:t>
            </w:r>
          </w:p>
        </w:tc>
        <w:tc>
          <w:tcPr>
            <w:tcW w:w="1955" w:type="dxa"/>
            <w:shd w:val="clear" w:color="auto" w:fill="auto"/>
            <w:vAlign w:val="center"/>
          </w:tcPr>
          <w:p w14:paraId="4C5586DA" w14:textId="0CFE6399" w:rsidR="008B159F" w:rsidRPr="00B1033C" w:rsidRDefault="008B159F" w:rsidP="008B159F">
            <w:pPr>
              <w:rPr>
                <w:rFonts w:cs="Arial"/>
                <w:lang w:val="en-US"/>
              </w:rPr>
            </w:pPr>
            <w:r w:rsidRPr="00B1033C">
              <w:rPr>
                <w:rFonts w:cs="Arial"/>
                <w:lang w:val="en-US"/>
              </w:rPr>
              <w:t>5,18E-03</w:t>
            </w:r>
          </w:p>
        </w:tc>
        <w:tc>
          <w:tcPr>
            <w:tcW w:w="1939" w:type="dxa"/>
            <w:shd w:val="clear" w:color="auto" w:fill="auto"/>
            <w:vAlign w:val="center"/>
          </w:tcPr>
          <w:p w14:paraId="08232421" w14:textId="128C4C5D" w:rsidR="008B159F" w:rsidRPr="00275290" w:rsidDel="00F86EFD" w:rsidRDefault="008B159F" w:rsidP="008B159F">
            <w:pPr>
              <w:rPr>
                <w:rFonts w:cs="Arial"/>
                <w:lang w:val="fr-FR"/>
              </w:rPr>
            </w:pPr>
            <w:r>
              <w:rPr>
                <w:rFonts w:cs="Arial"/>
                <w:lang w:val="fr-FR"/>
              </w:rPr>
              <w:t>17</w:t>
            </w:r>
          </w:p>
        </w:tc>
        <w:tc>
          <w:tcPr>
            <w:tcW w:w="1938" w:type="dxa"/>
            <w:shd w:val="clear" w:color="auto" w:fill="auto"/>
          </w:tcPr>
          <w:p w14:paraId="472DABAD" w14:textId="1F075622" w:rsidR="008B159F" w:rsidRPr="00275290" w:rsidRDefault="008B159F" w:rsidP="008B159F">
            <w:pPr>
              <w:rPr>
                <w:rFonts w:cs="Arial"/>
                <w:lang w:val="fr-FR"/>
              </w:rPr>
            </w:pPr>
            <w:r w:rsidRPr="00354D53">
              <w:rPr>
                <w:rFonts w:cs="Arial"/>
                <w:lang w:val="fr-FR"/>
              </w:rPr>
              <w:t>Acceptable</w:t>
            </w:r>
          </w:p>
        </w:tc>
      </w:tr>
      <w:tr w:rsidR="008B159F" w:rsidRPr="00275290" w14:paraId="2427D352" w14:textId="77777777" w:rsidTr="000E1EAD">
        <w:trPr>
          <w:cantSplit/>
        </w:trPr>
        <w:tc>
          <w:tcPr>
            <w:tcW w:w="1961" w:type="dxa"/>
            <w:vMerge/>
            <w:shd w:val="clear" w:color="auto" w:fill="auto"/>
            <w:vAlign w:val="center"/>
          </w:tcPr>
          <w:p w14:paraId="6AD4EA6C" w14:textId="77777777" w:rsidR="008B159F" w:rsidRPr="00275290" w:rsidRDefault="008B159F" w:rsidP="008B159F">
            <w:pPr>
              <w:rPr>
                <w:rFonts w:cs="Arial"/>
                <w:lang w:val="fr-FR"/>
              </w:rPr>
            </w:pPr>
          </w:p>
        </w:tc>
        <w:tc>
          <w:tcPr>
            <w:tcW w:w="1976" w:type="dxa"/>
            <w:shd w:val="clear" w:color="auto" w:fill="auto"/>
            <w:vAlign w:val="center"/>
          </w:tcPr>
          <w:p w14:paraId="3A0F89C4" w14:textId="77777777" w:rsidR="008B159F" w:rsidRPr="00275290" w:rsidRDefault="008B159F" w:rsidP="008B159F">
            <w:pPr>
              <w:rPr>
                <w:rFonts w:cs="Arial"/>
                <w:lang w:val="fr-FR"/>
              </w:rPr>
            </w:pPr>
            <w:r w:rsidRPr="00275290">
              <w:rPr>
                <w:rFonts w:cs="Arial"/>
                <w:lang w:val="fr-FR"/>
              </w:rPr>
              <w:t>IPBC</w:t>
            </w:r>
          </w:p>
          <w:p w14:paraId="05322D9F" w14:textId="01250025" w:rsidR="008B159F" w:rsidRPr="00275290" w:rsidRDefault="008B159F" w:rsidP="008B159F">
            <w:pPr>
              <w:rPr>
                <w:rFonts w:cs="Arial"/>
                <w:lang w:val="fr-FR"/>
              </w:rPr>
            </w:pPr>
            <w:r w:rsidRPr="00275290">
              <w:rPr>
                <w:rFonts w:cs="Arial"/>
                <w:lang w:val="fr-FR"/>
              </w:rPr>
              <w:t>0.35</w:t>
            </w:r>
          </w:p>
        </w:tc>
        <w:tc>
          <w:tcPr>
            <w:tcW w:w="1955" w:type="dxa"/>
            <w:shd w:val="clear" w:color="auto" w:fill="auto"/>
            <w:vAlign w:val="center"/>
          </w:tcPr>
          <w:p w14:paraId="710CCDF4" w14:textId="163FA3F9" w:rsidR="008B159F" w:rsidRPr="00B1033C" w:rsidRDefault="008B159F" w:rsidP="008B159F">
            <w:pPr>
              <w:rPr>
                <w:rFonts w:cs="Arial"/>
                <w:lang w:val="en-US"/>
              </w:rPr>
            </w:pPr>
            <w:r w:rsidRPr="00B1033C">
              <w:rPr>
                <w:rFonts w:cs="Arial"/>
                <w:lang w:val="en-US"/>
              </w:rPr>
              <w:t>1,24E-02</w:t>
            </w:r>
          </w:p>
        </w:tc>
        <w:tc>
          <w:tcPr>
            <w:tcW w:w="1939" w:type="dxa"/>
            <w:shd w:val="clear" w:color="auto" w:fill="auto"/>
            <w:vAlign w:val="center"/>
          </w:tcPr>
          <w:p w14:paraId="1345F564" w14:textId="33C0B524" w:rsidR="008B159F" w:rsidRPr="00275290" w:rsidDel="00F86EFD" w:rsidRDefault="008B159F" w:rsidP="008B159F">
            <w:pPr>
              <w:rPr>
                <w:rFonts w:cs="Arial"/>
                <w:lang w:val="fr-FR"/>
              </w:rPr>
            </w:pPr>
            <w:r>
              <w:rPr>
                <w:rFonts w:cs="Arial"/>
                <w:lang w:val="fr-FR"/>
              </w:rPr>
              <w:t>3.5</w:t>
            </w:r>
          </w:p>
        </w:tc>
        <w:tc>
          <w:tcPr>
            <w:tcW w:w="1938" w:type="dxa"/>
            <w:shd w:val="clear" w:color="auto" w:fill="auto"/>
          </w:tcPr>
          <w:p w14:paraId="7DE3B871" w14:textId="77800E3F" w:rsidR="008B159F" w:rsidRPr="00275290" w:rsidRDefault="008B159F" w:rsidP="008B159F">
            <w:pPr>
              <w:rPr>
                <w:rFonts w:cs="Arial"/>
                <w:lang w:val="fr-FR"/>
              </w:rPr>
            </w:pPr>
            <w:r w:rsidRPr="00354D53">
              <w:rPr>
                <w:rFonts w:cs="Arial"/>
                <w:lang w:val="fr-FR"/>
              </w:rPr>
              <w:t>Acceptable</w:t>
            </w:r>
          </w:p>
        </w:tc>
      </w:tr>
      <w:tr w:rsidR="008B159F" w:rsidRPr="00275290" w14:paraId="03125031" w14:textId="77777777" w:rsidTr="000E1EAD">
        <w:trPr>
          <w:cantSplit/>
        </w:trPr>
        <w:tc>
          <w:tcPr>
            <w:tcW w:w="1961" w:type="dxa"/>
            <w:vMerge w:val="restart"/>
            <w:shd w:val="clear" w:color="auto" w:fill="auto"/>
            <w:vAlign w:val="center"/>
          </w:tcPr>
          <w:p w14:paraId="1BFCAE39" w14:textId="77777777" w:rsidR="008B159F" w:rsidRPr="00275290" w:rsidRDefault="008B159F" w:rsidP="008B159F">
            <w:pPr>
              <w:rPr>
                <w:rFonts w:cs="Arial"/>
                <w:lang w:val="fr-FR"/>
              </w:rPr>
            </w:pPr>
            <w:r w:rsidRPr="00275290">
              <w:rPr>
                <w:rFonts w:cs="Arial"/>
                <w:lang w:val="fr-FR"/>
              </w:rPr>
              <w:t xml:space="preserve">Cleaning spray equipment </w:t>
            </w:r>
          </w:p>
        </w:tc>
        <w:tc>
          <w:tcPr>
            <w:tcW w:w="1976" w:type="dxa"/>
            <w:shd w:val="clear" w:color="auto" w:fill="auto"/>
            <w:vAlign w:val="center"/>
          </w:tcPr>
          <w:p w14:paraId="47B49214" w14:textId="77777777" w:rsidR="008B159F" w:rsidRPr="00275290" w:rsidRDefault="008B159F" w:rsidP="008B159F">
            <w:pPr>
              <w:rPr>
                <w:rFonts w:cs="Arial"/>
                <w:lang w:val="fr-FR"/>
              </w:rPr>
            </w:pPr>
            <w:r w:rsidRPr="00275290">
              <w:rPr>
                <w:rFonts w:cs="Arial"/>
                <w:lang w:val="fr-FR"/>
              </w:rPr>
              <w:t>Cyperméthrine</w:t>
            </w:r>
          </w:p>
          <w:p w14:paraId="7554ED24" w14:textId="77777777" w:rsidR="008B159F" w:rsidRPr="00275290" w:rsidRDefault="008B159F" w:rsidP="008B159F">
            <w:pPr>
              <w:rPr>
                <w:rFonts w:cs="Arial"/>
                <w:lang w:val="fr-FR"/>
              </w:rPr>
            </w:pPr>
            <w:r w:rsidRPr="00275290">
              <w:rPr>
                <w:rFonts w:cs="Arial"/>
                <w:lang w:val="fr-FR"/>
              </w:rPr>
              <w:t>0.088</w:t>
            </w:r>
          </w:p>
        </w:tc>
        <w:tc>
          <w:tcPr>
            <w:tcW w:w="1955" w:type="dxa"/>
            <w:shd w:val="clear" w:color="auto" w:fill="auto"/>
            <w:vAlign w:val="center"/>
          </w:tcPr>
          <w:p w14:paraId="561A8326" w14:textId="7FE3CB64" w:rsidR="008B159F" w:rsidRPr="00275290" w:rsidRDefault="008B159F" w:rsidP="008B159F">
            <w:pPr>
              <w:rPr>
                <w:rFonts w:cs="Arial"/>
                <w:color w:val="000000"/>
              </w:rPr>
            </w:pPr>
            <w:r w:rsidRPr="00E82E11">
              <w:rPr>
                <w:rFonts w:cs="Arial"/>
                <w:color w:val="000000"/>
              </w:rPr>
              <w:t>5,29E-03</w:t>
            </w:r>
          </w:p>
        </w:tc>
        <w:tc>
          <w:tcPr>
            <w:tcW w:w="1939" w:type="dxa"/>
            <w:shd w:val="clear" w:color="auto" w:fill="auto"/>
            <w:vAlign w:val="center"/>
          </w:tcPr>
          <w:p w14:paraId="5226396C" w14:textId="60FEB516" w:rsidR="008B159F" w:rsidRPr="00275290" w:rsidRDefault="008B159F" w:rsidP="008B159F">
            <w:pPr>
              <w:rPr>
                <w:rFonts w:cs="Arial"/>
                <w:lang w:val="fr-FR"/>
              </w:rPr>
            </w:pPr>
            <w:r>
              <w:rPr>
                <w:rFonts w:cs="Arial"/>
                <w:lang w:val="fr-FR"/>
              </w:rPr>
              <w:t>6</w:t>
            </w:r>
          </w:p>
        </w:tc>
        <w:tc>
          <w:tcPr>
            <w:tcW w:w="1938" w:type="dxa"/>
            <w:shd w:val="clear" w:color="auto" w:fill="auto"/>
          </w:tcPr>
          <w:p w14:paraId="1F75BE4D" w14:textId="06AF7410" w:rsidR="008B159F" w:rsidRPr="00275290" w:rsidRDefault="008B159F" w:rsidP="008B159F">
            <w:pPr>
              <w:rPr>
                <w:rFonts w:cs="Arial"/>
                <w:lang w:val="fr-FR"/>
              </w:rPr>
            </w:pPr>
            <w:r w:rsidRPr="00354D53">
              <w:rPr>
                <w:rFonts w:cs="Arial"/>
                <w:lang w:val="fr-FR"/>
              </w:rPr>
              <w:t>Acceptable</w:t>
            </w:r>
          </w:p>
        </w:tc>
      </w:tr>
      <w:tr w:rsidR="008B159F" w:rsidRPr="00275290" w14:paraId="2E73D6FC" w14:textId="77777777" w:rsidTr="000E1EAD">
        <w:trPr>
          <w:cantSplit/>
        </w:trPr>
        <w:tc>
          <w:tcPr>
            <w:tcW w:w="1961" w:type="dxa"/>
            <w:vMerge/>
            <w:shd w:val="clear" w:color="auto" w:fill="auto"/>
            <w:vAlign w:val="center"/>
          </w:tcPr>
          <w:p w14:paraId="709B0E76" w14:textId="77777777" w:rsidR="008B159F" w:rsidRPr="00275290" w:rsidRDefault="008B159F" w:rsidP="008B159F">
            <w:pPr>
              <w:rPr>
                <w:rFonts w:cs="Arial"/>
                <w:lang w:val="fr-FR"/>
              </w:rPr>
            </w:pPr>
          </w:p>
        </w:tc>
        <w:tc>
          <w:tcPr>
            <w:tcW w:w="1976" w:type="dxa"/>
            <w:shd w:val="clear" w:color="auto" w:fill="auto"/>
            <w:vAlign w:val="center"/>
          </w:tcPr>
          <w:p w14:paraId="0786BA96" w14:textId="77777777" w:rsidR="008B159F" w:rsidRPr="00275290" w:rsidRDefault="008B159F" w:rsidP="008B159F">
            <w:pPr>
              <w:rPr>
                <w:rFonts w:cs="Arial"/>
                <w:lang w:val="fr-FR"/>
              </w:rPr>
            </w:pPr>
            <w:r w:rsidRPr="00275290">
              <w:rPr>
                <w:rFonts w:cs="Arial"/>
                <w:lang w:val="fr-FR"/>
              </w:rPr>
              <w:t>Propiconazole : 0.3</w:t>
            </w:r>
          </w:p>
        </w:tc>
        <w:tc>
          <w:tcPr>
            <w:tcW w:w="1955" w:type="dxa"/>
            <w:shd w:val="clear" w:color="auto" w:fill="auto"/>
            <w:vAlign w:val="center"/>
          </w:tcPr>
          <w:p w14:paraId="56B0BE52" w14:textId="01649DB7" w:rsidR="008B159F" w:rsidRPr="00275290" w:rsidRDefault="008B159F" w:rsidP="008B159F">
            <w:pPr>
              <w:rPr>
                <w:rFonts w:cs="Arial"/>
                <w:color w:val="000000"/>
              </w:rPr>
            </w:pPr>
            <w:r w:rsidRPr="00E82E11">
              <w:rPr>
                <w:rFonts w:cs="Arial"/>
                <w:color w:val="000000"/>
              </w:rPr>
              <w:t>7,65E-03</w:t>
            </w:r>
          </w:p>
        </w:tc>
        <w:tc>
          <w:tcPr>
            <w:tcW w:w="1939" w:type="dxa"/>
            <w:shd w:val="clear" w:color="auto" w:fill="auto"/>
            <w:vAlign w:val="center"/>
          </w:tcPr>
          <w:p w14:paraId="5582219C" w14:textId="6D9DCF53" w:rsidR="008B159F" w:rsidRPr="00275290" w:rsidRDefault="008B159F" w:rsidP="008B159F">
            <w:pPr>
              <w:rPr>
                <w:rFonts w:cs="Arial"/>
                <w:lang w:val="fr-FR"/>
              </w:rPr>
            </w:pPr>
            <w:r>
              <w:rPr>
                <w:rFonts w:cs="Arial"/>
                <w:lang w:val="fr-FR"/>
              </w:rPr>
              <w:t>3</w:t>
            </w:r>
          </w:p>
        </w:tc>
        <w:tc>
          <w:tcPr>
            <w:tcW w:w="1938" w:type="dxa"/>
            <w:shd w:val="clear" w:color="auto" w:fill="auto"/>
          </w:tcPr>
          <w:p w14:paraId="7C5044FF" w14:textId="14042FF4" w:rsidR="008B159F" w:rsidRPr="00275290" w:rsidRDefault="008B159F" w:rsidP="008B159F">
            <w:pPr>
              <w:rPr>
                <w:rFonts w:cs="Arial"/>
                <w:lang w:val="fr-FR"/>
              </w:rPr>
            </w:pPr>
            <w:r w:rsidRPr="00354D53">
              <w:rPr>
                <w:rFonts w:cs="Arial"/>
                <w:lang w:val="fr-FR"/>
              </w:rPr>
              <w:t>Acceptable</w:t>
            </w:r>
          </w:p>
        </w:tc>
      </w:tr>
      <w:tr w:rsidR="008B159F" w:rsidRPr="00275290" w14:paraId="61F8441F" w14:textId="77777777" w:rsidTr="000E1EAD">
        <w:trPr>
          <w:cantSplit/>
          <w:trHeight w:val="656"/>
        </w:trPr>
        <w:tc>
          <w:tcPr>
            <w:tcW w:w="1961" w:type="dxa"/>
            <w:vMerge/>
            <w:shd w:val="clear" w:color="auto" w:fill="auto"/>
            <w:vAlign w:val="center"/>
          </w:tcPr>
          <w:p w14:paraId="2D0B4E33" w14:textId="77777777" w:rsidR="008B159F" w:rsidRPr="00275290" w:rsidRDefault="008B159F" w:rsidP="008B159F">
            <w:pPr>
              <w:rPr>
                <w:rFonts w:cs="Arial"/>
                <w:lang w:val="fr-FR"/>
              </w:rPr>
            </w:pPr>
          </w:p>
        </w:tc>
        <w:tc>
          <w:tcPr>
            <w:tcW w:w="1976" w:type="dxa"/>
            <w:shd w:val="clear" w:color="auto" w:fill="auto"/>
            <w:vAlign w:val="center"/>
          </w:tcPr>
          <w:p w14:paraId="25C3CD66" w14:textId="77777777" w:rsidR="008B159F" w:rsidRPr="00275290" w:rsidRDefault="008B159F" w:rsidP="008B159F">
            <w:pPr>
              <w:rPr>
                <w:rFonts w:cs="Arial"/>
                <w:lang w:val="fr-FR"/>
              </w:rPr>
            </w:pPr>
            <w:r w:rsidRPr="00275290">
              <w:rPr>
                <w:rFonts w:cs="Arial"/>
                <w:lang w:val="fr-FR"/>
              </w:rPr>
              <w:t>Tébuconazole : 0.03</w:t>
            </w:r>
          </w:p>
        </w:tc>
        <w:tc>
          <w:tcPr>
            <w:tcW w:w="1955" w:type="dxa"/>
            <w:shd w:val="clear" w:color="auto" w:fill="auto"/>
            <w:vAlign w:val="center"/>
          </w:tcPr>
          <w:p w14:paraId="63AB97D9" w14:textId="41D5DD6B" w:rsidR="008B159F" w:rsidRPr="00275290" w:rsidRDefault="008B159F" w:rsidP="008B159F">
            <w:pPr>
              <w:rPr>
                <w:rFonts w:cs="Arial"/>
                <w:color w:val="000000"/>
              </w:rPr>
            </w:pPr>
            <w:r w:rsidRPr="00E82E11">
              <w:rPr>
                <w:rFonts w:cs="Arial"/>
                <w:color w:val="000000"/>
              </w:rPr>
              <w:t>2,85E-03</w:t>
            </w:r>
          </w:p>
        </w:tc>
        <w:tc>
          <w:tcPr>
            <w:tcW w:w="1939" w:type="dxa"/>
            <w:shd w:val="clear" w:color="auto" w:fill="auto"/>
            <w:vAlign w:val="center"/>
          </w:tcPr>
          <w:p w14:paraId="48ED38D9" w14:textId="449C2711" w:rsidR="008B159F" w:rsidRPr="00275290" w:rsidRDefault="008B159F" w:rsidP="008B159F">
            <w:pPr>
              <w:rPr>
                <w:rFonts w:cs="Arial"/>
                <w:lang w:val="fr-FR"/>
              </w:rPr>
            </w:pPr>
            <w:r>
              <w:rPr>
                <w:rFonts w:cs="Arial"/>
                <w:lang w:val="fr-FR"/>
              </w:rPr>
              <w:t>10</w:t>
            </w:r>
          </w:p>
        </w:tc>
        <w:tc>
          <w:tcPr>
            <w:tcW w:w="1938" w:type="dxa"/>
            <w:shd w:val="clear" w:color="auto" w:fill="auto"/>
          </w:tcPr>
          <w:p w14:paraId="4FAAAE94" w14:textId="7FB06892" w:rsidR="008B159F" w:rsidRPr="00275290" w:rsidRDefault="008B159F" w:rsidP="008B159F">
            <w:pPr>
              <w:rPr>
                <w:rFonts w:cs="Arial"/>
                <w:lang w:val="fr-FR"/>
              </w:rPr>
            </w:pPr>
            <w:r w:rsidRPr="00354D53">
              <w:rPr>
                <w:rFonts w:cs="Arial"/>
                <w:lang w:val="fr-FR"/>
              </w:rPr>
              <w:t>Acceptable</w:t>
            </w:r>
          </w:p>
        </w:tc>
      </w:tr>
      <w:tr w:rsidR="008B159F" w:rsidRPr="00275290" w14:paraId="247024A3" w14:textId="77777777" w:rsidTr="000E1EAD">
        <w:trPr>
          <w:cantSplit/>
          <w:trHeight w:val="656"/>
        </w:trPr>
        <w:tc>
          <w:tcPr>
            <w:tcW w:w="1961" w:type="dxa"/>
            <w:vMerge/>
            <w:shd w:val="clear" w:color="auto" w:fill="auto"/>
            <w:vAlign w:val="center"/>
          </w:tcPr>
          <w:p w14:paraId="0C5A49BC" w14:textId="77777777" w:rsidR="008B159F" w:rsidRPr="00275290" w:rsidRDefault="008B159F" w:rsidP="008B159F">
            <w:pPr>
              <w:rPr>
                <w:rFonts w:cs="Arial"/>
                <w:lang w:val="fr-FR"/>
              </w:rPr>
            </w:pPr>
          </w:p>
        </w:tc>
        <w:tc>
          <w:tcPr>
            <w:tcW w:w="1976" w:type="dxa"/>
            <w:shd w:val="clear" w:color="auto" w:fill="auto"/>
            <w:vAlign w:val="center"/>
          </w:tcPr>
          <w:p w14:paraId="7ECB570F" w14:textId="77777777" w:rsidR="008B159F" w:rsidRPr="00275290" w:rsidRDefault="008B159F" w:rsidP="008B159F">
            <w:pPr>
              <w:rPr>
                <w:rFonts w:cs="Arial"/>
                <w:lang w:val="fr-FR"/>
              </w:rPr>
            </w:pPr>
            <w:r w:rsidRPr="00275290">
              <w:rPr>
                <w:rFonts w:cs="Arial"/>
                <w:lang w:val="fr-FR"/>
              </w:rPr>
              <w:t>IPBC</w:t>
            </w:r>
          </w:p>
          <w:p w14:paraId="59D7C944" w14:textId="77777777" w:rsidR="008B159F" w:rsidRPr="00275290" w:rsidRDefault="008B159F" w:rsidP="008B159F">
            <w:pPr>
              <w:rPr>
                <w:rFonts w:cs="Arial"/>
                <w:lang w:val="fr-FR"/>
              </w:rPr>
            </w:pPr>
            <w:r w:rsidRPr="00275290">
              <w:rPr>
                <w:rFonts w:cs="Arial"/>
                <w:lang w:val="fr-FR"/>
              </w:rPr>
              <w:t>0.35</w:t>
            </w:r>
          </w:p>
        </w:tc>
        <w:tc>
          <w:tcPr>
            <w:tcW w:w="1955" w:type="dxa"/>
            <w:shd w:val="clear" w:color="auto" w:fill="auto"/>
            <w:vAlign w:val="center"/>
          </w:tcPr>
          <w:p w14:paraId="4651286B" w14:textId="71E6D995" w:rsidR="008B159F" w:rsidRPr="00275290" w:rsidRDefault="008B159F" w:rsidP="008B159F">
            <w:pPr>
              <w:rPr>
                <w:rFonts w:cs="Arial"/>
                <w:color w:val="000000"/>
              </w:rPr>
            </w:pPr>
            <w:r w:rsidRPr="00E82E11">
              <w:rPr>
                <w:rFonts w:cs="Arial"/>
                <w:color w:val="000000"/>
              </w:rPr>
              <w:t>6,89E-03</w:t>
            </w:r>
          </w:p>
        </w:tc>
        <w:tc>
          <w:tcPr>
            <w:tcW w:w="1939" w:type="dxa"/>
            <w:shd w:val="clear" w:color="auto" w:fill="auto"/>
            <w:vAlign w:val="center"/>
          </w:tcPr>
          <w:p w14:paraId="32886E3C" w14:textId="40360F8E" w:rsidR="008B159F" w:rsidRPr="00275290" w:rsidRDefault="008B159F" w:rsidP="008B159F">
            <w:pPr>
              <w:rPr>
                <w:rFonts w:cs="Arial"/>
                <w:lang w:val="fr-FR"/>
              </w:rPr>
            </w:pPr>
            <w:r>
              <w:rPr>
                <w:rFonts w:cs="Arial"/>
                <w:lang w:val="fr-FR"/>
              </w:rPr>
              <w:t>2</w:t>
            </w:r>
          </w:p>
        </w:tc>
        <w:tc>
          <w:tcPr>
            <w:tcW w:w="1938" w:type="dxa"/>
            <w:shd w:val="clear" w:color="auto" w:fill="auto"/>
          </w:tcPr>
          <w:p w14:paraId="36F9B3B6" w14:textId="2DA8AD70" w:rsidR="008B159F" w:rsidRPr="00275290" w:rsidRDefault="008B159F" w:rsidP="008B159F">
            <w:pPr>
              <w:rPr>
                <w:rFonts w:cs="Arial"/>
                <w:lang w:val="fr-FR"/>
              </w:rPr>
            </w:pPr>
            <w:r w:rsidRPr="00354D53">
              <w:rPr>
                <w:rFonts w:cs="Arial"/>
                <w:lang w:val="fr-FR"/>
              </w:rPr>
              <w:t>Acceptable</w:t>
            </w:r>
          </w:p>
        </w:tc>
      </w:tr>
      <w:tr w:rsidR="008B159F" w:rsidRPr="00275290" w14:paraId="509E2708" w14:textId="77777777" w:rsidTr="000E1EAD">
        <w:trPr>
          <w:cantSplit/>
        </w:trPr>
        <w:tc>
          <w:tcPr>
            <w:tcW w:w="1961" w:type="dxa"/>
            <w:vMerge w:val="restart"/>
            <w:shd w:val="clear" w:color="auto" w:fill="C6D9F1" w:themeFill="text2" w:themeFillTint="33"/>
            <w:vAlign w:val="center"/>
          </w:tcPr>
          <w:p w14:paraId="7D3A3AAE" w14:textId="77777777" w:rsidR="008B159F" w:rsidRPr="00275290" w:rsidRDefault="008B159F" w:rsidP="008B159F">
            <w:pPr>
              <w:rPr>
                <w:rFonts w:cs="Arial"/>
                <w:lang w:val="fr-FR"/>
              </w:rPr>
            </w:pPr>
            <w:r w:rsidRPr="00275290">
              <w:rPr>
                <w:rFonts w:cs="Arial"/>
                <w:lang w:val="fr-FR"/>
              </w:rPr>
              <w:t>Appli + cleaning</w:t>
            </w:r>
          </w:p>
        </w:tc>
        <w:tc>
          <w:tcPr>
            <w:tcW w:w="1976" w:type="dxa"/>
            <w:shd w:val="clear" w:color="auto" w:fill="C6D9F1" w:themeFill="text2" w:themeFillTint="33"/>
            <w:vAlign w:val="center"/>
          </w:tcPr>
          <w:p w14:paraId="3DEA31A1" w14:textId="77777777" w:rsidR="008B159F" w:rsidRPr="00275290" w:rsidRDefault="008B159F" w:rsidP="008B159F">
            <w:pPr>
              <w:rPr>
                <w:rFonts w:cs="Arial"/>
                <w:lang w:val="fr-FR"/>
              </w:rPr>
            </w:pPr>
            <w:r w:rsidRPr="00275290">
              <w:rPr>
                <w:rFonts w:cs="Arial"/>
                <w:lang w:val="fr-FR"/>
              </w:rPr>
              <w:t>Cyperméthrine</w:t>
            </w:r>
          </w:p>
          <w:p w14:paraId="5C7EB03F" w14:textId="77777777" w:rsidR="008B159F" w:rsidRPr="00275290" w:rsidRDefault="008B159F" w:rsidP="008B159F">
            <w:pPr>
              <w:rPr>
                <w:rFonts w:cs="Arial"/>
                <w:lang w:val="fr-FR"/>
              </w:rPr>
            </w:pPr>
            <w:r w:rsidRPr="00275290">
              <w:rPr>
                <w:rFonts w:cs="Arial"/>
                <w:lang w:val="fr-FR"/>
              </w:rPr>
              <w:t>0.088</w:t>
            </w:r>
          </w:p>
        </w:tc>
        <w:tc>
          <w:tcPr>
            <w:tcW w:w="1955" w:type="dxa"/>
            <w:tcBorders>
              <w:top w:val="nil"/>
              <w:left w:val="nil"/>
              <w:bottom w:val="nil"/>
              <w:right w:val="nil"/>
            </w:tcBorders>
            <w:shd w:val="clear" w:color="auto" w:fill="auto"/>
            <w:vAlign w:val="bottom"/>
          </w:tcPr>
          <w:p w14:paraId="3D7CAB81" w14:textId="7450168C" w:rsidR="008B159F" w:rsidRPr="00275290" w:rsidRDefault="008B159F" w:rsidP="008B159F">
            <w:pPr>
              <w:rPr>
                <w:rFonts w:cs="Arial"/>
                <w:lang w:val="fr-FR"/>
              </w:rPr>
            </w:pPr>
            <w:r>
              <w:rPr>
                <w:rFonts w:ascii="Calibri" w:hAnsi="Calibri" w:cs="Calibri"/>
                <w:color w:val="000000"/>
                <w:sz w:val="22"/>
                <w:szCs w:val="22"/>
              </w:rPr>
              <w:t>6,35E-02</w:t>
            </w:r>
          </w:p>
        </w:tc>
        <w:tc>
          <w:tcPr>
            <w:tcW w:w="1939" w:type="dxa"/>
            <w:shd w:val="clear" w:color="auto" w:fill="C6D9F1" w:themeFill="text2" w:themeFillTint="33"/>
            <w:vAlign w:val="center"/>
          </w:tcPr>
          <w:p w14:paraId="72CC41CA" w14:textId="3F7DE91A" w:rsidR="008B159F" w:rsidRPr="00275290" w:rsidRDefault="008B159F" w:rsidP="008B159F">
            <w:pPr>
              <w:rPr>
                <w:rFonts w:cs="Arial"/>
                <w:lang w:val="fr-FR"/>
              </w:rPr>
            </w:pPr>
            <w:r>
              <w:rPr>
                <w:rFonts w:cs="Arial"/>
                <w:lang w:val="fr-FR"/>
              </w:rPr>
              <w:t>72</w:t>
            </w:r>
          </w:p>
        </w:tc>
        <w:tc>
          <w:tcPr>
            <w:tcW w:w="1938" w:type="dxa"/>
            <w:shd w:val="clear" w:color="auto" w:fill="C6D9F1" w:themeFill="text2" w:themeFillTint="33"/>
          </w:tcPr>
          <w:p w14:paraId="2104CFA1" w14:textId="1970B1A9" w:rsidR="008B159F" w:rsidRPr="00275290" w:rsidRDefault="008B159F" w:rsidP="008B159F">
            <w:pPr>
              <w:rPr>
                <w:rFonts w:cs="Arial"/>
                <w:lang w:val="fr-FR"/>
              </w:rPr>
            </w:pPr>
            <w:r w:rsidRPr="00672E2E">
              <w:rPr>
                <w:rFonts w:cs="Arial"/>
                <w:lang w:val="fr-FR"/>
              </w:rPr>
              <w:t>Acceptable</w:t>
            </w:r>
          </w:p>
        </w:tc>
      </w:tr>
      <w:tr w:rsidR="008B159F" w:rsidRPr="00275290" w14:paraId="29EEA87A" w14:textId="77777777" w:rsidTr="000E1EAD">
        <w:trPr>
          <w:cantSplit/>
        </w:trPr>
        <w:tc>
          <w:tcPr>
            <w:tcW w:w="1961" w:type="dxa"/>
            <w:vMerge/>
            <w:shd w:val="clear" w:color="auto" w:fill="C6D9F1" w:themeFill="text2" w:themeFillTint="33"/>
            <w:vAlign w:val="center"/>
          </w:tcPr>
          <w:p w14:paraId="5E4C4C0D" w14:textId="77777777" w:rsidR="008B159F" w:rsidRPr="00275290" w:rsidRDefault="008B159F" w:rsidP="008B159F">
            <w:pPr>
              <w:rPr>
                <w:rFonts w:cs="Arial"/>
                <w:lang w:val="fr-FR"/>
              </w:rPr>
            </w:pPr>
          </w:p>
        </w:tc>
        <w:tc>
          <w:tcPr>
            <w:tcW w:w="1976" w:type="dxa"/>
            <w:shd w:val="clear" w:color="auto" w:fill="C6D9F1" w:themeFill="text2" w:themeFillTint="33"/>
            <w:vAlign w:val="center"/>
          </w:tcPr>
          <w:p w14:paraId="300E6903" w14:textId="77777777" w:rsidR="008B159F" w:rsidRPr="00275290" w:rsidRDefault="008B159F" w:rsidP="008B159F">
            <w:pPr>
              <w:rPr>
                <w:rFonts w:cs="Arial"/>
                <w:lang w:val="fr-FR"/>
              </w:rPr>
            </w:pPr>
            <w:r w:rsidRPr="00275290">
              <w:rPr>
                <w:rFonts w:cs="Arial"/>
                <w:lang w:val="fr-FR"/>
              </w:rPr>
              <w:t>Propiconazole : 0.3</w:t>
            </w:r>
          </w:p>
        </w:tc>
        <w:tc>
          <w:tcPr>
            <w:tcW w:w="1955" w:type="dxa"/>
            <w:tcBorders>
              <w:top w:val="nil"/>
              <w:left w:val="nil"/>
              <w:bottom w:val="nil"/>
              <w:right w:val="nil"/>
            </w:tcBorders>
            <w:shd w:val="clear" w:color="auto" w:fill="auto"/>
            <w:vAlign w:val="bottom"/>
          </w:tcPr>
          <w:p w14:paraId="33DF6D36" w14:textId="2475B182" w:rsidR="008B159F" w:rsidRPr="00275290" w:rsidRDefault="008B159F" w:rsidP="008B159F">
            <w:pPr>
              <w:rPr>
                <w:rFonts w:cs="Arial"/>
                <w:color w:val="000000"/>
              </w:rPr>
            </w:pPr>
            <w:r>
              <w:rPr>
                <w:rFonts w:ascii="Calibri" w:hAnsi="Calibri" w:cs="Calibri"/>
                <w:color w:val="000000"/>
                <w:sz w:val="22"/>
                <w:szCs w:val="22"/>
              </w:rPr>
              <w:t>9,21E-02</w:t>
            </w:r>
          </w:p>
        </w:tc>
        <w:tc>
          <w:tcPr>
            <w:tcW w:w="1939" w:type="dxa"/>
            <w:shd w:val="clear" w:color="auto" w:fill="C6D9F1" w:themeFill="text2" w:themeFillTint="33"/>
            <w:vAlign w:val="center"/>
          </w:tcPr>
          <w:p w14:paraId="1D6D7148" w14:textId="52278392" w:rsidR="008B159F" w:rsidRPr="00275290" w:rsidRDefault="008B159F" w:rsidP="008B159F">
            <w:pPr>
              <w:rPr>
                <w:rFonts w:cs="Arial"/>
                <w:lang w:val="fr-FR"/>
              </w:rPr>
            </w:pPr>
            <w:r>
              <w:rPr>
                <w:rFonts w:cs="Arial"/>
                <w:lang w:val="fr-FR"/>
              </w:rPr>
              <w:t>31</w:t>
            </w:r>
          </w:p>
        </w:tc>
        <w:tc>
          <w:tcPr>
            <w:tcW w:w="1938" w:type="dxa"/>
            <w:shd w:val="clear" w:color="auto" w:fill="C6D9F1" w:themeFill="text2" w:themeFillTint="33"/>
          </w:tcPr>
          <w:p w14:paraId="0A9FA7A2" w14:textId="135C6050" w:rsidR="008B159F" w:rsidRPr="00275290" w:rsidRDefault="008B159F" w:rsidP="008B159F">
            <w:pPr>
              <w:rPr>
                <w:rFonts w:cs="Arial"/>
                <w:lang w:val="fr-FR"/>
              </w:rPr>
            </w:pPr>
            <w:r w:rsidRPr="00672E2E">
              <w:rPr>
                <w:rFonts w:cs="Arial"/>
                <w:lang w:val="fr-FR"/>
              </w:rPr>
              <w:t>Acceptable</w:t>
            </w:r>
          </w:p>
        </w:tc>
      </w:tr>
      <w:tr w:rsidR="008B159F" w:rsidRPr="00275290" w14:paraId="3080F3F0" w14:textId="77777777" w:rsidTr="000E1EAD">
        <w:trPr>
          <w:cantSplit/>
          <w:trHeight w:val="922"/>
        </w:trPr>
        <w:tc>
          <w:tcPr>
            <w:tcW w:w="1961" w:type="dxa"/>
            <w:vMerge/>
            <w:shd w:val="clear" w:color="auto" w:fill="C6D9F1" w:themeFill="text2" w:themeFillTint="33"/>
            <w:vAlign w:val="center"/>
          </w:tcPr>
          <w:p w14:paraId="43C213C2" w14:textId="77777777" w:rsidR="008B159F" w:rsidRPr="00275290" w:rsidRDefault="008B159F" w:rsidP="008B159F">
            <w:pPr>
              <w:rPr>
                <w:rFonts w:cs="Arial"/>
                <w:lang w:val="fr-FR"/>
              </w:rPr>
            </w:pPr>
          </w:p>
        </w:tc>
        <w:tc>
          <w:tcPr>
            <w:tcW w:w="1976" w:type="dxa"/>
            <w:shd w:val="clear" w:color="auto" w:fill="C6D9F1" w:themeFill="text2" w:themeFillTint="33"/>
            <w:vAlign w:val="center"/>
          </w:tcPr>
          <w:p w14:paraId="077CBF3D" w14:textId="77777777" w:rsidR="008B159F" w:rsidRPr="00275290" w:rsidRDefault="008B159F" w:rsidP="008B159F">
            <w:pPr>
              <w:rPr>
                <w:rFonts w:cs="Arial"/>
                <w:lang w:val="fr-FR"/>
              </w:rPr>
            </w:pPr>
            <w:r w:rsidRPr="00275290">
              <w:rPr>
                <w:rFonts w:cs="Arial"/>
                <w:lang w:val="fr-FR"/>
              </w:rPr>
              <w:t>Tébuconazole : 0.03</w:t>
            </w:r>
          </w:p>
        </w:tc>
        <w:tc>
          <w:tcPr>
            <w:tcW w:w="1955" w:type="dxa"/>
            <w:tcBorders>
              <w:top w:val="nil"/>
              <w:left w:val="nil"/>
              <w:bottom w:val="nil"/>
              <w:right w:val="nil"/>
            </w:tcBorders>
            <w:shd w:val="clear" w:color="auto" w:fill="auto"/>
            <w:vAlign w:val="bottom"/>
          </w:tcPr>
          <w:p w14:paraId="57C13EC1" w14:textId="09402B69" w:rsidR="008B159F" w:rsidRPr="00275290" w:rsidRDefault="008B159F" w:rsidP="008B159F">
            <w:pPr>
              <w:rPr>
                <w:rFonts w:cs="Arial"/>
                <w:color w:val="000000"/>
              </w:rPr>
            </w:pPr>
            <w:r>
              <w:rPr>
                <w:rFonts w:ascii="Calibri" w:hAnsi="Calibri" w:cs="Calibri"/>
                <w:color w:val="000000"/>
                <w:sz w:val="22"/>
                <w:szCs w:val="22"/>
              </w:rPr>
              <w:t>3,42E-02</w:t>
            </w:r>
          </w:p>
        </w:tc>
        <w:tc>
          <w:tcPr>
            <w:tcW w:w="1939" w:type="dxa"/>
            <w:shd w:val="clear" w:color="auto" w:fill="C6D9F1" w:themeFill="text2" w:themeFillTint="33"/>
            <w:vAlign w:val="center"/>
          </w:tcPr>
          <w:p w14:paraId="2B9169C6" w14:textId="650B1BD2" w:rsidR="008B159F" w:rsidRPr="00275290" w:rsidRDefault="008B159F" w:rsidP="008B159F">
            <w:pPr>
              <w:rPr>
                <w:rFonts w:cs="Arial"/>
                <w:lang w:val="fr-FR"/>
              </w:rPr>
            </w:pPr>
            <w:r>
              <w:rPr>
                <w:rFonts w:cs="Arial"/>
                <w:lang w:val="fr-FR"/>
              </w:rPr>
              <w:t>114</w:t>
            </w:r>
          </w:p>
        </w:tc>
        <w:tc>
          <w:tcPr>
            <w:tcW w:w="1938" w:type="dxa"/>
            <w:shd w:val="clear" w:color="auto" w:fill="C6D9F1" w:themeFill="text2" w:themeFillTint="33"/>
            <w:vAlign w:val="center"/>
          </w:tcPr>
          <w:p w14:paraId="0493ADD8" w14:textId="00695EAC" w:rsidR="008B159F" w:rsidRPr="00275290" w:rsidRDefault="008B159F" w:rsidP="008B159F">
            <w:pPr>
              <w:rPr>
                <w:rFonts w:cs="Arial"/>
                <w:lang w:val="fr-FR"/>
              </w:rPr>
            </w:pPr>
            <w:r>
              <w:rPr>
                <w:rFonts w:cs="Arial"/>
                <w:lang w:val="fr-FR"/>
              </w:rPr>
              <w:t>Unacceptable</w:t>
            </w:r>
          </w:p>
        </w:tc>
      </w:tr>
      <w:tr w:rsidR="008B159F" w:rsidRPr="00275290" w14:paraId="075D3009" w14:textId="77777777" w:rsidTr="000E1EAD">
        <w:trPr>
          <w:cantSplit/>
          <w:trHeight w:val="922"/>
        </w:trPr>
        <w:tc>
          <w:tcPr>
            <w:tcW w:w="1961" w:type="dxa"/>
            <w:vMerge/>
            <w:shd w:val="clear" w:color="auto" w:fill="C6D9F1" w:themeFill="text2" w:themeFillTint="33"/>
            <w:vAlign w:val="center"/>
          </w:tcPr>
          <w:p w14:paraId="5E1B0811" w14:textId="503F3AE6" w:rsidR="008B159F" w:rsidRPr="00275290" w:rsidRDefault="008B159F" w:rsidP="008B159F">
            <w:pPr>
              <w:rPr>
                <w:rFonts w:cs="Arial"/>
                <w:lang w:val="fr-FR"/>
              </w:rPr>
            </w:pPr>
          </w:p>
        </w:tc>
        <w:tc>
          <w:tcPr>
            <w:tcW w:w="1976" w:type="dxa"/>
            <w:shd w:val="clear" w:color="auto" w:fill="C6D9F1" w:themeFill="text2" w:themeFillTint="33"/>
            <w:vAlign w:val="center"/>
          </w:tcPr>
          <w:p w14:paraId="4E1151C3" w14:textId="77777777" w:rsidR="008B159F" w:rsidRPr="00275290" w:rsidRDefault="008B159F" w:rsidP="008B159F">
            <w:pPr>
              <w:rPr>
                <w:rFonts w:cs="Arial"/>
                <w:lang w:val="fr-FR"/>
              </w:rPr>
            </w:pPr>
            <w:r w:rsidRPr="00275290">
              <w:rPr>
                <w:rFonts w:cs="Arial"/>
                <w:lang w:val="fr-FR"/>
              </w:rPr>
              <w:t>IPBC</w:t>
            </w:r>
          </w:p>
          <w:p w14:paraId="097A7AAA" w14:textId="77777777" w:rsidR="008B159F" w:rsidRPr="00275290" w:rsidRDefault="008B159F" w:rsidP="008B159F">
            <w:pPr>
              <w:rPr>
                <w:rFonts w:cs="Arial"/>
                <w:lang w:val="fr-FR"/>
              </w:rPr>
            </w:pPr>
            <w:r w:rsidRPr="00275290">
              <w:rPr>
                <w:rFonts w:cs="Arial"/>
                <w:lang w:val="fr-FR"/>
              </w:rPr>
              <w:t>0.35</w:t>
            </w:r>
          </w:p>
        </w:tc>
        <w:tc>
          <w:tcPr>
            <w:tcW w:w="1955" w:type="dxa"/>
            <w:tcBorders>
              <w:top w:val="nil"/>
              <w:left w:val="nil"/>
              <w:bottom w:val="nil"/>
              <w:right w:val="nil"/>
            </w:tcBorders>
            <w:shd w:val="clear" w:color="auto" w:fill="auto"/>
            <w:vAlign w:val="bottom"/>
          </w:tcPr>
          <w:p w14:paraId="3AC0708C" w14:textId="23341B71" w:rsidR="008B159F" w:rsidRPr="00275290" w:rsidRDefault="008B159F" w:rsidP="008B159F">
            <w:pPr>
              <w:rPr>
                <w:rFonts w:cs="Arial"/>
                <w:color w:val="000000"/>
              </w:rPr>
            </w:pPr>
            <w:r>
              <w:rPr>
                <w:rFonts w:ascii="Calibri" w:hAnsi="Calibri" w:cs="Calibri"/>
                <w:color w:val="000000"/>
                <w:sz w:val="22"/>
                <w:szCs w:val="22"/>
              </w:rPr>
              <w:t>8,17E-02</w:t>
            </w:r>
          </w:p>
        </w:tc>
        <w:tc>
          <w:tcPr>
            <w:tcW w:w="1939" w:type="dxa"/>
            <w:shd w:val="clear" w:color="auto" w:fill="C6D9F1" w:themeFill="text2" w:themeFillTint="33"/>
            <w:vAlign w:val="center"/>
          </w:tcPr>
          <w:p w14:paraId="03AA8BD2" w14:textId="210D896E" w:rsidR="008B159F" w:rsidRPr="00275290" w:rsidRDefault="008B159F" w:rsidP="008B159F">
            <w:pPr>
              <w:rPr>
                <w:rFonts w:cs="Arial"/>
                <w:lang w:val="fr-FR"/>
              </w:rPr>
            </w:pPr>
            <w:r>
              <w:rPr>
                <w:rFonts w:cs="Arial"/>
                <w:lang w:val="fr-FR"/>
              </w:rPr>
              <w:t>23</w:t>
            </w:r>
          </w:p>
        </w:tc>
        <w:tc>
          <w:tcPr>
            <w:tcW w:w="1938" w:type="dxa"/>
            <w:shd w:val="clear" w:color="auto" w:fill="C6D9F1" w:themeFill="text2" w:themeFillTint="33"/>
            <w:vAlign w:val="center"/>
          </w:tcPr>
          <w:p w14:paraId="40C2AC6A" w14:textId="20E54AE6" w:rsidR="008B159F" w:rsidRPr="00275290" w:rsidRDefault="008B159F" w:rsidP="008B159F">
            <w:pPr>
              <w:rPr>
                <w:rFonts w:cs="Arial"/>
                <w:lang w:val="fr-FR"/>
              </w:rPr>
            </w:pPr>
            <w:r>
              <w:rPr>
                <w:rFonts w:cs="Arial"/>
                <w:lang w:val="fr-FR"/>
              </w:rPr>
              <w:t>Acceptable</w:t>
            </w:r>
          </w:p>
        </w:tc>
      </w:tr>
    </w:tbl>
    <w:p w14:paraId="1D086E5D" w14:textId="77777777" w:rsidR="009D4550" w:rsidRPr="00275290" w:rsidRDefault="009D4550" w:rsidP="009D4550">
      <w:pPr>
        <w:pStyle w:val="Standard-italics"/>
        <w:rPr>
          <w:rFonts w:cs="Arial"/>
          <w:lang w:eastAsia="sv-SE"/>
        </w:rPr>
      </w:pPr>
    </w:p>
    <w:p w14:paraId="677E95E3" w14:textId="06F9EF44" w:rsidR="009D4550" w:rsidRPr="00B100F1" w:rsidRDefault="004938EA" w:rsidP="00F32B7F">
      <w:pPr>
        <w:pStyle w:val="Standard-italics"/>
        <w:keepNext w:val="0"/>
        <w:numPr>
          <w:ilvl w:val="0"/>
          <w:numId w:val="24"/>
        </w:numPr>
        <w:suppressAutoHyphens w:val="0"/>
        <w:rPr>
          <w:rFonts w:cs="Arial"/>
          <w:i w:val="0"/>
          <w:lang w:eastAsia="sv-SE"/>
        </w:rPr>
      </w:pPr>
      <w:r w:rsidRPr="00B100F1">
        <w:rPr>
          <w:rFonts w:cs="Arial"/>
          <w:i w:val="0"/>
          <w:lang w:eastAsia="sv-SE"/>
        </w:rPr>
        <w:t>The</w:t>
      </w:r>
      <w:r w:rsidR="009D4550" w:rsidRPr="00B100F1">
        <w:rPr>
          <w:rFonts w:cs="Arial"/>
          <w:i w:val="0"/>
          <w:lang w:eastAsia="sv-SE"/>
        </w:rPr>
        <w:t xml:space="preserve"> risk is unacceptable for spray + injection application by a non-professional for tebuconazole.</w:t>
      </w:r>
    </w:p>
    <w:p w14:paraId="159319B6" w14:textId="77777777" w:rsidR="00C81964" w:rsidRDefault="00C81964" w:rsidP="009D4550">
      <w:pPr>
        <w:pStyle w:val="Standard-italics"/>
        <w:ind w:left="720"/>
        <w:rPr>
          <w:rFonts w:cs="Arial"/>
          <w:i w:val="0"/>
          <w:lang w:eastAsia="sv-SE"/>
        </w:rPr>
      </w:pPr>
    </w:p>
    <w:p w14:paraId="54FDBC66" w14:textId="77777777" w:rsidR="009D4550" w:rsidRPr="00275290" w:rsidRDefault="009D4550" w:rsidP="009D4550">
      <w:pPr>
        <w:pStyle w:val="Standard-italics"/>
        <w:ind w:left="720"/>
        <w:rPr>
          <w:rFonts w:cs="Arial"/>
          <w:i w:val="0"/>
          <w:lang w:eastAsia="sv-SE"/>
        </w:rPr>
      </w:pPr>
    </w:p>
    <w:p w14:paraId="253178C9" w14:textId="77777777" w:rsidR="009D4550" w:rsidRPr="00155E43" w:rsidRDefault="009D4550" w:rsidP="00155E43">
      <w:pPr>
        <w:pStyle w:val="Titre5"/>
      </w:pPr>
      <w:r w:rsidRPr="00155E43">
        <w:t>Risk for indirect exposure</w:t>
      </w:r>
    </w:p>
    <w:p w14:paraId="1AAD493F"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exposure values are compared to AELs of each active substance.</w:t>
      </w:r>
    </w:p>
    <w:p w14:paraId="04DFA8EB"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107"/>
        <w:gridCol w:w="2076"/>
        <w:gridCol w:w="2088"/>
        <w:gridCol w:w="1652"/>
      </w:tblGrid>
      <w:tr w:rsidR="009D4550" w:rsidRPr="00275290" w14:paraId="161AA168" w14:textId="77777777" w:rsidTr="009D4550">
        <w:tc>
          <w:tcPr>
            <w:tcW w:w="1915" w:type="dxa"/>
            <w:shd w:val="clear" w:color="auto" w:fill="auto"/>
            <w:vAlign w:val="center"/>
          </w:tcPr>
          <w:p w14:paraId="135FE73C" w14:textId="77777777" w:rsidR="009D4550" w:rsidRPr="00275290" w:rsidRDefault="009D4550" w:rsidP="009D4550">
            <w:pPr>
              <w:rPr>
                <w:rFonts w:cs="Arial"/>
              </w:rPr>
            </w:pPr>
          </w:p>
        </w:tc>
        <w:tc>
          <w:tcPr>
            <w:tcW w:w="2127" w:type="dxa"/>
            <w:shd w:val="clear" w:color="auto" w:fill="auto"/>
            <w:vAlign w:val="center"/>
          </w:tcPr>
          <w:p w14:paraId="6136B48C" w14:textId="77777777" w:rsidR="009D4550" w:rsidRPr="00275290" w:rsidRDefault="009D4550" w:rsidP="009D4550">
            <w:pPr>
              <w:rPr>
                <w:rFonts w:cs="Arial"/>
                <w:b/>
              </w:rPr>
            </w:pPr>
            <w:r w:rsidRPr="00275290">
              <w:rPr>
                <w:rFonts w:cs="Arial"/>
                <w:b/>
              </w:rPr>
              <w:t>Cyperméthrine</w:t>
            </w:r>
          </w:p>
        </w:tc>
        <w:tc>
          <w:tcPr>
            <w:tcW w:w="2105" w:type="dxa"/>
            <w:shd w:val="clear" w:color="auto" w:fill="auto"/>
            <w:vAlign w:val="center"/>
          </w:tcPr>
          <w:p w14:paraId="0AB95134" w14:textId="77777777" w:rsidR="009D4550" w:rsidRPr="00275290" w:rsidRDefault="009D4550" w:rsidP="009D4550">
            <w:pPr>
              <w:rPr>
                <w:rFonts w:cs="Arial"/>
                <w:b/>
              </w:rPr>
            </w:pPr>
            <w:r w:rsidRPr="00275290">
              <w:rPr>
                <w:rFonts w:cs="Arial"/>
                <w:b/>
              </w:rPr>
              <w:t>Tébuconazole</w:t>
            </w:r>
          </w:p>
        </w:tc>
        <w:tc>
          <w:tcPr>
            <w:tcW w:w="2115" w:type="dxa"/>
            <w:shd w:val="clear" w:color="auto" w:fill="auto"/>
            <w:vAlign w:val="center"/>
          </w:tcPr>
          <w:p w14:paraId="026CF26A" w14:textId="77777777" w:rsidR="009D4550" w:rsidRPr="00275290" w:rsidRDefault="009D4550" w:rsidP="009D4550">
            <w:pPr>
              <w:rPr>
                <w:rFonts w:cs="Arial"/>
                <w:b/>
              </w:rPr>
            </w:pPr>
            <w:r w:rsidRPr="00275290">
              <w:rPr>
                <w:rFonts w:cs="Arial"/>
                <w:b/>
              </w:rPr>
              <w:t>Propiconazole</w:t>
            </w:r>
          </w:p>
        </w:tc>
        <w:tc>
          <w:tcPr>
            <w:tcW w:w="1733" w:type="dxa"/>
          </w:tcPr>
          <w:p w14:paraId="289C7AAA" w14:textId="77777777" w:rsidR="009D4550" w:rsidRPr="00275290" w:rsidRDefault="009D4550" w:rsidP="009D4550">
            <w:pPr>
              <w:rPr>
                <w:rFonts w:cs="Arial"/>
                <w:b/>
              </w:rPr>
            </w:pPr>
            <w:r w:rsidRPr="00275290">
              <w:rPr>
                <w:rFonts w:cs="Arial"/>
                <w:b/>
              </w:rPr>
              <w:t>IPBC</w:t>
            </w:r>
          </w:p>
        </w:tc>
      </w:tr>
      <w:tr w:rsidR="009D4550" w:rsidRPr="00275290" w14:paraId="5F2E95AE" w14:textId="77777777" w:rsidTr="009D4550">
        <w:tc>
          <w:tcPr>
            <w:tcW w:w="1915" w:type="dxa"/>
            <w:shd w:val="clear" w:color="auto" w:fill="auto"/>
            <w:vAlign w:val="center"/>
          </w:tcPr>
          <w:p w14:paraId="16AECE80" w14:textId="77777777" w:rsidR="009D4550" w:rsidRPr="00275290" w:rsidRDefault="009D4550" w:rsidP="009D4550">
            <w:pPr>
              <w:rPr>
                <w:rFonts w:cs="Arial"/>
                <w:b/>
              </w:rPr>
            </w:pPr>
            <w:r w:rsidRPr="00275290">
              <w:rPr>
                <w:rFonts w:cs="Arial"/>
                <w:b/>
              </w:rPr>
              <w:t>Long term AEL</w:t>
            </w:r>
          </w:p>
          <w:p w14:paraId="4B34D56C" w14:textId="77777777" w:rsidR="009D4550" w:rsidRPr="00275290" w:rsidRDefault="009D4550" w:rsidP="009D4550">
            <w:pPr>
              <w:rPr>
                <w:rFonts w:cs="Arial"/>
              </w:rPr>
            </w:pPr>
            <w:r w:rsidRPr="00275290">
              <w:rPr>
                <w:rFonts w:cs="Arial"/>
                <w:b/>
              </w:rPr>
              <w:t>(mg/kg bw/d)</w:t>
            </w:r>
          </w:p>
        </w:tc>
        <w:tc>
          <w:tcPr>
            <w:tcW w:w="2127" w:type="dxa"/>
            <w:shd w:val="clear" w:color="auto" w:fill="auto"/>
            <w:vAlign w:val="center"/>
          </w:tcPr>
          <w:p w14:paraId="44EC70AB" w14:textId="77777777" w:rsidR="009D4550" w:rsidRPr="00275290" w:rsidRDefault="009D4550" w:rsidP="009D4550">
            <w:pPr>
              <w:rPr>
                <w:rFonts w:cs="Arial"/>
              </w:rPr>
            </w:pPr>
            <w:r w:rsidRPr="00275290">
              <w:rPr>
                <w:rFonts w:cs="Arial"/>
              </w:rPr>
              <w:t>0.022</w:t>
            </w:r>
          </w:p>
        </w:tc>
        <w:tc>
          <w:tcPr>
            <w:tcW w:w="2105" w:type="dxa"/>
            <w:shd w:val="clear" w:color="auto" w:fill="auto"/>
            <w:vAlign w:val="center"/>
          </w:tcPr>
          <w:p w14:paraId="3DAB2132" w14:textId="77777777" w:rsidR="009D4550" w:rsidRPr="00275290" w:rsidRDefault="009D4550" w:rsidP="009D4550">
            <w:pPr>
              <w:rPr>
                <w:rFonts w:cs="Arial"/>
              </w:rPr>
            </w:pPr>
            <w:r w:rsidRPr="00275290">
              <w:rPr>
                <w:rFonts w:cs="Arial"/>
              </w:rPr>
              <w:t>0.03</w:t>
            </w:r>
          </w:p>
        </w:tc>
        <w:tc>
          <w:tcPr>
            <w:tcW w:w="2115" w:type="dxa"/>
            <w:shd w:val="clear" w:color="auto" w:fill="auto"/>
            <w:vAlign w:val="center"/>
          </w:tcPr>
          <w:p w14:paraId="6925432B" w14:textId="77777777" w:rsidR="009D4550" w:rsidRPr="00275290" w:rsidRDefault="009D4550" w:rsidP="009D4550">
            <w:pPr>
              <w:rPr>
                <w:rFonts w:cs="Arial"/>
              </w:rPr>
            </w:pPr>
            <w:r w:rsidRPr="00275290">
              <w:rPr>
                <w:rFonts w:cs="Arial"/>
              </w:rPr>
              <w:t>0.04</w:t>
            </w:r>
          </w:p>
        </w:tc>
        <w:tc>
          <w:tcPr>
            <w:tcW w:w="1733" w:type="dxa"/>
          </w:tcPr>
          <w:p w14:paraId="558EB7D0" w14:textId="77777777" w:rsidR="009D4550" w:rsidRPr="00275290" w:rsidRDefault="009D4550" w:rsidP="009D4550">
            <w:pPr>
              <w:rPr>
                <w:rFonts w:cs="Arial"/>
              </w:rPr>
            </w:pPr>
            <w:r w:rsidRPr="00275290">
              <w:rPr>
                <w:rFonts w:cs="Arial"/>
              </w:rPr>
              <w:t>0.2</w:t>
            </w:r>
          </w:p>
        </w:tc>
      </w:tr>
      <w:tr w:rsidR="009D4550" w:rsidRPr="00275290" w14:paraId="7A445503" w14:textId="77777777" w:rsidTr="009D4550">
        <w:tc>
          <w:tcPr>
            <w:tcW w:w="1915" w:type="dxa"/>
            <w:shd w:val="clear" w:color="auto" w:fill="auto"/>
            <w:vAlign w:val="center"/>
          </w:tcPr>
          <w:p w14:paraId="19311C5D" w14:textId="77777777" w:rsidR="009D4550" w:rsidRPr="00275290" w:rsidRDefault="009D4550" w:rsidP="009D4550">
            <w:pPr>
              <w:rPr>
                <w:rFonts w:cs="Arial"/>
                <w:b/>
              </w:rPr>
            </w:pPr>
            <w:r w:rsidRPr="00275290">
              <w:rPr>
                <w:rFonts w:cs="Arial"/>
                <w:b/>
              </w:rPr>
              <w:t>Short term AEL</w:t>
            </w:r>
          </w:p>
          <w:p w14:paraId="0C19E1B2" w14:textId="77777777" w:rsidR="009D4550" w:rsidRPr="00275290" w:rsidRDefault="009D4550" w:rsidP="009D4550">
            <w:pPr>
              <w:rPr>
                <w:rFonts w:cs="Arial"/>
                <w:b/>
              </w:rPr>
            </w:pPr>
            <w:r w:rsidRPr="00275290">
              <w:rPr>
                <w:rFonts w:cs="Arial"/>
                <w:b/>
              </w:rPr>
              <w:t>(mg/kg bw/d)</w:t>
            </w:r>
          </w:p>
        </w:tc>
        <w:tc>
          <w:tcPr>
            <w:tcW w:w="2127" w:type="dxa"/>
            <w:shd w:val="clear" w:color="auto" w:fill="auto"/>
            <w:vAlign w:val="center"/>
          </w:tcPr>
          <w:p w14:paraId="57F42F32" w14:textId="77777777" w:rsidR="009D4550" w:rsidRPr="00275290" w:rsidRDefault="009D4550" w:rsidP="009D4550">
            <w:pPr>
              <w:rPr>
                <w:rFonts w:cs="Arial"/>
              </w:rPr>
            </w:pPr>
            <w:r w:rsidRPr="00275290">
              <w:rPr>
                <w:rFonts w:cs="Arial"/>
              </w:rPr>
              <w:t>0.088</w:t>
            </w:r>
          </w:p>
        </w:tc>
        <w:tc>
          <w:tcPr>
            <w:tcW w:w="2105" w:type="dxa"/>
            <w:shd w:val="clear" w:color="auto" w:fill="auto"/>
            <w:vAlign w:val="center"/>
          </w:tcPr>
          <w:p w14:paraId="4DC38095" w14:textId="77777777" w:rsidR="009D4550" w:rsidRPr="00275290" w:rsidRDefault="009D4550" w:rsidP="009D4550">
            <w:pPr>
              <w:rPr>
                <w:rFonts w:cs="Arial"/>
              </w:rPr>
            </w:pPr>
            <w:r w:rsidRPr="00275290">
              <w:rPr>
                <w:rFonts w:cs="Arial"/>
              </w:rPr>
              <w:t>0.03</w:t>
            </w:r>
          </w:p>
        </w:tc>
        <w:tc>
          <w:tcPr>
            <w:tcW w:w="2115" w:type="dxa"/>
            <w:shd w:val="clear" w:color="auto" w:fill="auto"/>
            <w:vAlign w:val="center"/>
          </w:tcPr>
          <w:p w14:paraId="6028B1CA" w14:textId="77777777" w:rsidR="009D4550" w:rsidRPr="00275290" w:rsidRDefault="009D4550" w:rsidP="009D4550">
            <w:pPr>
              <w:rPr>
                <w:rFonts w:cs="Arial"/>
              </w:rPr>
            </w:pPr>
            <w:r w:rsidRPr="00275290">
              <w:rPr>
                <w:rFonts w:cs="Arial"/>
              </w:rPr>
              <w:t>0.3</w:t>
            </w:r>
          </w:p>
        </w:tc>
        <w:tc>
          <w:tcPr>
            <w:tcW w:w="1733" w:type="dxa"/>
          </w:tcPr>
          <w:p w14:paraId="14396E2C" w14:textId="77777777" w:rsidR="009D4550" w:rsidRPr="00275290" w:rsidRDefault="009D4550" w:rsidP="009D4550">
            <w:pPr>
              <w:rPr>
                <w:rFonts w:cs="Arial"/>
              </w:rPr>
            </w:pPr>
            <w:r w:rsidRPr="00275290">
              <w:rPr>
                <w:rFonts w:cs="Arial"/>
              </w:rPr>
              <w:t>0.35</w:t>
            </w:r>
          </w:p>
        </w:tc>
      </w:tr>
    </w:tbl>
    <w:p w14:paraId="2A7E5BC9" w14:textId="77777777" w:rsidR="009D4550" w:rsidRPr="00275290" w:rsidRDefault="009D4550" w:rsidP="009D4550">
      <w:pPr>
        <w:pStyle w:val="Standard-italics"/>
        <w:rPr>
          <w:rFonts w:cs="Arial"/>
          <w:lang w:eastAsia="sv-SE"/>
        </w:rPr>
      </w:pPr>
    </w:p>
    <w:p w14:paraId="4C94060F" w14:textId="77777777" w:rsidR="009D4550" w:rsidRPr="00275290" w:rsidRDefault="009D4550" w:rsidP="009D4550">
      <w:pPr>
        <w:rPr>
          <w:rFonts w:cs="Arial"/>
          <w:b/>
          <w:i/>
          <w:u w:val="single"/>
        </w:rPr>
      </w:pPr>
      <w:r w:rsidRPr="00275290">
        <w:rPr>
          <w:rFonts w:cs="Arial"/>
          <w:b/>
          <w:i/>
          <w:u w:val="single"/>
        </w:rPr>
        <w:t>Acute Exposure</w:t>
      </w:r>
    </w:p>
    <w:p w14:paraId="65B957B2" w14:textId="77777777" w:rsidR="009D4550" w:rsidRPr="00275290" w:rsidRDefault="009D4550" w:rsidP="009D4550">
      <w:pPr>
        <w:rPr>
          <w:rFonts w:cs="Arial"/>
          <w:b/>
          <w:i/>
          <w:u w:val="single"/>
        </w:rPr>
      </w:pPr>
    </w:p>
    <w:p w14:paraId="1266373C"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7661BE07" w14:textId="77777777" w:rsidR="009D4550" w:rsidRPr="00275290" w:rsidRDefault="009D4550" w:rsidP="009D4550">
      <w:pPr>
        <w:rPr>
          <w:rFonts w:cs="Arial"/>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969"/>
        <w:gridCol w:w="1961"/>
        <w:gridCol w:w="1948"/>
      </w:tblGrid>
      <w:tr w:rsidR="004938EA" w:rsidRPr="00275290" w14:paraId="323EAAB0" w14:textId="77777777" w:rsidTr="0039605F">
        <w:tc>
          <w:tcPr>
            <w:tcW w:w="2158" w:type="dxa"/>
          </w:tcPr>
          <w:p w14:paraId="1EC40C74"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1969" w:type="dxa"/>
          </w:tcPr>
          <w:p w14:paraId="621E85FF"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480768E5"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61" w:type="dxa"/>
          </w:tcPr>
          <w:p w14:paraId="5F4FEA30"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17D81AD7"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948" w:type="dxa"/>
          </w:tcPr>
          <w:p w14:paraId="588A770E"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13511013" w14:textId="77777777" w:rsidTr="0039605F">
        <w:tc>
          <w:tcPr>
            <w:tcW w:w="2158" w:type="dxa"/>
            <w:vMerge w:val="restart"/>
          </w:tcPr>
          <w:p w14:paraId="2926FC74" w14:textId="77777777" w:rsidR="004938EA" w:rsidRPr="00275290" w:rsidRDefault="004938EA" w:rsidP="009D4550">
            <w:pPr>
              <w:rPr>
                <w:rFonts w:cs="Arial"/>
                <w:lang w:val="en-US"/>
              </w:rPr>
            </w:pPr>
            <w:r w:rsidRPr="00275290">
              <w:rPr>
                <w:rFonts w:cs="Arial"/>
                <w:lang w:val="en-US"/>
              </w:rPr>
              <w:t>Adult amateur  sanding/processing of treated wood composites</w:t>
            </w:r>
          </w:p>
        </w:tc>
        <w:tc>
          <w:tcPr>
            <w:tcW w:w="1969" w:type="dxa"/>
            <w:vAlign w:val="center"/>
          </w:tcPr>
          <w:p w14:paraId="57AFB1CD" w14:textId="77777777" w:rsidR="004938EA" w:rsidRPr="00275290" w:rsidRDefault="004938EA" w:rsidP="009D4550">
            <w:pPr>
              <w:rPr>
                <w:rFonts w:cs="Arial"/>
                <w:lang w:val="fr-FR"/>
              </w:rPr>
            </w:pPr>
            <w:r w:rsidRPr="00275290">
              <w:rPr>
                <w:rFonts w:cs="Arial"/>
                <w:lang w:val="fr-FR"/>
              </w:rPr>
              <w:t>Cyperméthrine</w:t>
            </w:r>
          </w:p>
          <w:p w14:paraId="0A44E024" w14:textId="77777777" w:rsidR="004938EA" w:rsidRPr="00275290" w:rsidRDefault="004938EA" w:rsidP="009D4550">
            <w:pPr>
              <w:rPr>
                <w:rFonts w:cs="Arial"/>
                <w:lang w:val="fr-FR"/>
              </w:rPr>
            </w:pPr>
            <w:r w:rsidRPr="00275290">
              <w:rPr>
                <w:rFonts w:cs="Arial"/>
                <w:lang w:val="fr-FR"/>
              </w:rPr>
              <w:t>0,088</w:t>
            </w:r>
          </w:p>
        </w:tc>
        <w:tc>
          <w:tcPr>
            <w:tcW w:w="1961" w:type="dxa"/>
            <w:vAlign w:val="center"/>
          </w:tcPr>
          <w:p w14:paraId="0F577051" w14:textId="77777777" w:rsidR="004938EA" w:rsidRPr="00275290" w:rsidRDefault="004938EA" w:rsidP="009D4550">
            <w:pPr>
              <w:rPr>
                <w:rFonts w:cs="Arial"/>
                <w:color w:val="000000"/>
              </w:rPr>
            </w:pPr>
            <w:r w:rsidRPr="00275290">
              <w:rPr>
                <w:rFonts w:cs="Arial"/>
                <w:color w:val="000000"/>
              </w:rPr>
              <w:t>2,70E-03</w:t>
            </w:r>
          </w:p>
        </w:tc>
        <w:tc>
          <w:tcPr>
            <w:tcW w:w="1948" w:type="dxa"/>
            <w:vAlign w:val="center"/>
          </w:tcPr>
          <w:p w14:paraId="287C7F7C" w14:textId="77777777" w:rsidR="004938EA" w:rsidRPr="00275290" w:rsidRDefault="004938EA" w:rsidP="009D4550">
            <w:pPr>
              <w:rPr>
                <w:rFonts w:cs="Arial"/>
                <w:lang w:val="fr-FR"/>
              </w:rPr>
            </w:pPr>
            <w:r w:rsidRPr="00275290">
              <w:rPr>
                <w:rFonts w:cs="Arial"/>
                <w:lang w:val="fr-FR"/>
              </w:rPr>
              <w:t>3.1</w:t>
            </w:r>
          </w:p>
        </w:tc>
      </w:tr>
      <w:tr w:rsidR="004938EA" w:rsidRPr="00275290" w14:paraId="6990A5B7" w14:textId="77777777" w:rsidTr="0039605F">
        <w:tc>
          <w:tcPr>
            <w:tcW w:w="2158" w:type="dxa"/>
            <w:vMerge/>
          </w:tcPr>
          <w:p w14:paraId="27E2520A" w14:textId="77777777" w:rsidR="004938EA" w:rsidRPr="00275290" w:rsidRDefault="004938EA" w:rsidP="009D4550">
            <w:pPr>
              <w:rPr>
                <w:rFonts w:cs="Arial"/>
                <w:lang w:val="fr-FR"/>
              </w:rPr>
            </w:pPr>
          </w:p>
        </w:tc>
        <w:tc>
          <w:tcPr>
            <w:tcW w:w="1969" w:type="dxa"/>
            <w:vAlign w:val="center"/>
          </w:tcPr>
          <w:p w14:paraId="307218C2" w14:textId="77777777" w:rsidR="004938EA" w:rsidRPr="00275290" w:rsidRDefault="004938EA" w:rsidP="009D4550">
            <w:pPr>
              <w:rPr>
                <w:rFonts w:cs="Arial"/>
                <w:lang w:val="fr-FR"/>
              </w:rPr>
            </w:pPr>
            <w:r w:rsidRPr="00275290">
              <w:rPr>
                <w:rFonts w:cs="Arial"/>
                <w:lang w:val="fr-FR"/>
              </w:rPr>
              <w:t>Propiconazole : 0.3</w:t>
            </w:r>
          </w:p>
        </w:tc>
        <w:tc>
          <w:tcPr>
            <w:tcW w:w="1961" w:type="dxa"/>
            <w:vAlign w:val="center"/>
          </w:tcPr>
          <w:p w14:paraId="242C9D20" w14:textId="77777777" w:rsidR="004938EA" w:rsidRPr="00275290" w:rsidRDefault="004938EA" w:rsidP="009D4550">
            <w:pPr>
              <w:rPr>
                <w:rFonts w:cs="Arial"/>
                <w:color w:val="000000"/>
              </w:rPr>
            </w:pPr>
            <w:r w:rsidRPr="00275290">
              <w:rPr>
                <w:rFonts w:cs="Arial"/>
                <w:color w:val="000000"/>
              </w:rPr>
              <w:t>3,91E-03</w:t>
            </w:r>
          </w:p>
        </w:tc>
        <w:tc>
          <w:tcPr>
            <w:tcW w:w="1948" w:type="dxa"/>
            <w:vAlign w:val="center"/>
          </w:tcPr>
          <w:p w14:paraId="5E949583" w14:textId="77777777" w:rsidR="004938EA" w:rsidRPr="00275290" w:rsidRDefault="004938EA" w:rsidP="009D4550">
            <w:pPr>
              <w:rPr>
                <w:rFonts w:cs="Arial"/>
                <w:lang w:val="fr-FR"/>
              </w:rPr>
            </w:pPr>
            <w:r w:rsidRPr="00275290">
              <w:rPr>
                <w:rFonts w:cs="Arial"/>
                <w:lang w:val="fr-FR"/>
              </w:rPr>
              <w:t>1.3</w:t>
            </w:r>
          </w:p>
        </w:tc>
      </w:tr>
      <w:tr w:rsidR="004938EA" w:rsidRPr="00275290" w14:paraId="42E19AFE" w14:textId="77777777" w:rsidTr="0039605F">
        <w:tc>
          <w:tcPr>
            <w:tcW w:w="2158" w:type="dxa"/>
            <w:vMerge/>
          </w:tcPr>
          <w:p w14:paraId="6D324867" w14:textId="77777777" w:rsidR="004938EA" w:rsidRPr="00275290" w:rsidRDefault="004938EA" w:rsidP="009D4550">
            <w:pPr>
              <w:rPr>
                <w:rFonts w:cs="Arial"/>
                <w:lang w:val="fr-FR"/>
              </w:rPr>
            </w:pPr>
          </w:p>
        </w:tc>
        <w:tc>
          <w:tcPr>
            <w:tcW w:w="1969" w:type="dxa"/>
            <w:vAlign w:val="center"/>
          </w:tcPr>
          <w:p w14:paraId="3D1078FA" w14:textId="77777777" w:rsidR="004938EA" w:rsidRPr="00275290" w:rsidRDefault="004938EA" w:rsidP="009D4550">
            <w:pPr>
              <w:rPr>
                <w:rFonts w:cs="Arial"/>
                <w:lang w:val="fr-FR"/>
              </w:rPr>
            </w:pPr>
            <w:r w:rsidRPr="00275290">
              <w:rPr>
                <w:rFonts w:cs="Arial"/>
                <w:lang w:val="fr-FR"/>
              </w:rPr>
              <w:t>Tébuconazole : 0,03</w:t>
            </w:r>
          </w:p>
        </w:tc>
        <w:tc>
          <w:tcPr>
            <w:tcW w:w="1961" w:type="dxa"/>
            <w:vAlign w:val="center"/>
          </w:tcPr>
          <w:p w14:paraId="3BFDD57A" w14:textId="77777777" w:rsidR="004938EA" w:rsidRPr="00275290" w:rsidRDefault="004938EA" w:rsidP="009D4550">
            <w:pPr>
              <w:rPr>
                <w:rFonts w:cs="Arial"/>
                <w:color w:val="000000"/>
              </w:rPr>
            </w:pPr>
            <w:r w:rsidRPr="00275290">
              <w:rPr>
                <w:rFonts w:cs="Arial"/>
                <w:color w:val="000000"/>
              </w:rPr>
              <w:t>1,46E-03</w:t>
            </w:r>
          </w:p>
        </w:tc>
        <w:tc>
          <w:tcPr>
            <w:tcW w:w="1948" w:type="dxa"/>
            <w:vAlign w:val="center"/>
          </w:tcPr>
          <w:p w14:paraId="13F38E2D" w14:textId="77777777" w:rsidR="004938EA" w:rsidRPr="00275290" w:rsidRDefault="004938EA" w:rsidP="009D4550">
            <w:pPr>
              <w:rPr>
                <w:rFonts w:cs="Arial"/>
                <w:lang w:val="fr-FR"/>
              </w:rPr>
            </w:pPr>
            <w:r w:rsidRPr="00275290">
              <w:rPr>
                <w:rFonts w:cs="Arial"/>
                <w:lang w:val="fr-FR"/>
              </w:rPr>
              <w:t>4.9</w:t>
            </w:r>
          </w:p>
        </w:tc>
      </w:tr>
      <w:tr w:rsidR="004938EA" w:rsidRPr="00275290" w14:paraId="749484F2" w14:textId="77777777" w:rsidTr="0039605F">
        <w:tc>
          <w:tcPr>
            <w:tcW w:w="2158" w:type="dxa"/>
            <w:vMerge/>
          </w:tcPr>
          <w:p w14:paraId="6403E135" w14:textId="77777777" w:rsidR="004938EA" w:rsidRPr="00275290" w:rsidRDefault="004938EA" w:rsidP="009D4550">
            <w:pPr>
              <w:rPr>
                <w:rFonts w:cs="Arial"/>
                <w:lang w:val="fr-FR"/>
              </w:rPr>
            </w:pPr>
          </w:p>
        </w:tc>
        <w:tc>
          <w:tcPr>
            <w:tcW w:w="1969" w:type="dxa"/>
            <w:vAlign w:val="center"/>
          </w:tcPr>
          <w:p w14:paraId="03E398E1" w14:textId="77777777" w:rsidR="004938EA" w:rsidRPr="00275290" w:rsidRDefault="004938EA" w:rsidP="009D4550">
            <w:pPr>
              <w:rPr>
                <w:rFonts w:cs="Arial"/>
                <w:lang w:val="fr-FR"/>
              </w:rPr>
            </w:pPr>
            <w:r w:rsidRPr="00275290">
              <w:rPr>
                <w:rFonts w:cs="Arial"/>
                <w:lang w:val="fr-FR"/>
              </w:rPr>
              <w:t>IPBC 0.35</w:t>
            </w:r>
          </w:p>
        </w:tc>
        <w:tc>
          <w:tcPr>
            <w:tcW w:w="1961" w:type="dxa"/>
            <w:vAlign w:val="center"/>
          </w:tcPr>
          <w:p w14:paraId="4D6CB56C" w14:textId="77777777" w:rsidR="004938EA" w:rsidRPr="00275290" w:rsidRDefault="004938EA" w:rsidP="009D4550">
            <w:pPr>
              <w:rPr>
                <w:rFonts w:cs="Arial"/>
                <w:color w:val="000000"/>
              </w:rPr>
            </w:pPr>
            <w:r w:rsidRPr="00275290">
              <w:rPr>
                <w:rFonts w:cs="Arial"/>
                <w:color w:val="000000"/>
              </w:rPr>
              <w:t>3,51E-03</w:t>
            </w:r>
          </w:p>
        </w:tc>
        <w:tc>
          <w:tcPr>
            <w:tcW w:w="1948" w:type="dxa"/>
            <w:vAlign w:val="center"/>
          </w:tcPr>
          <w:p w14:paraId="5E78C739" w14:textId="77777777" w:rsidR="004938EA" w:rsidRPr="00275290" w:rsidRDefault="004938EA" w:rsidP="009D4550">
            <w:pPr>
              <w:rPr>
                <w:rFonts w:cs="Arial"/>
                <w:lang w:val="fr-FR"/>
              </w:rPr>
            </w:pPr>
            <w:r w:rsidRPr="00275290">
              <w:rPr>
                <w:rFonts w:cs="Arial"/>
                <w:lang w:val="fr-FR"/>
              </w:rPr>
              <w:t>1.0</w:t>
            </w:r>
          </w:p>
        </w:tc>
      </w:tr>
      <w:tr w:rsidR="004938EA" w:rsidRPr="00275290" w14:paraId="27801CD2" w14:textId="77777777" w:rsidTr="0039605F">
        <w:tc>
          <w:tcPr>
            <w:tcW w:w="2158" w:type="dxa"/>
            <w:vMerge w:val="restart"/>
          </w:tcPr>
          <w:p w14:paraId="00BD1E45" w14:textId="77777777" w:rsidR="004938EA" w:rsidRPr="00275290" w:rsidRDefault="004938EA" w:rsidP="009D4550">
            <w:pPr>
              <w:rPr>
                <w:rFonts w:cs="Arial"/>
                <w:lang w:val="en-US"/>
              </w:rPr>
            </w:pPr>
            <w:r w:rsidRPr="00275290">
              <w:rPr>
                <w:rFonts w:cs="Arial"/>
                <w:lang w:val="en-US"/>
              </w:rPr>
              <w:t>Infant chewing wood composites chips</w:t>
            </w:r>
          </w:p>
        </w:tc>
        <w:tc>
          <w:tcPr>
            <w:tcW w:w="1969" w:type="dxa"/>
            <w:vAlign w:val="center"/>
          </w:tcPr>
          <w:p w14:paraId="723EF556" w14:textId="77777777" w:rsidR="004938EA" w:rsidRPr="00275290" w:rsidRDefault="004938EA" w:rsidP="009D4550">
            <w:pPr>
              <w:rPr>
                <w:rFonts w:cs="Arial"/>
                <w:lang w:val="fr-FR"/>
              </w:rPr>
            </w:pPr>
            <w:r w:rsidRPr="00275290">
              <w:rPr>
                <w:rFonts w:cs="Arial"/>
                <w:lang w:val="fr-FR"/>
              </w:rPr>
              <w:t>Cyperméthrine</w:t>
            </w:r>
          </w:p>
          <w:p w14:paraId="7456CDE4" w14:textId="77777777" w:rsidR="004938EA" w:rsidRPr="00275290" w:rsidRDefault="004938EA" w:rsidP="009D4550">
            <w:pPr>
              <w:rPr>
                <w:rFonts w:cs="Arial"/>
                <w:lang w:val="fr-FR"/>
              </w:rPr>
            </w:pPr>
            <w:r w:rsidRPr="00275290">
              <w:rPr>
                <w:rFonts w:cs="Arial"/>
                <w:lang w:val="fr-FR"/>
              </w:rPr>
              <w:t>0,088</w:t>
            </w:r>
          </w:p>
        </w:tc>
        <w:tc>
          <w:tcPr>
            <w:tcW w:w="1961" w:type="dxa"/>
            <w:vAlign w:val="center"/>
          </w:tcPr>
          <w:p w14:paraId="41258D8D" w14:textId="77777777" w:rsidR="004938EA" w:rsidRPr="00275290" w:rsidRDefault="004938EA" w:rsidP="009D4550">
            <w:pPr>
              <w:rPr>
                <w:rFonts w:cs="Arial"/>
                <w:color w:val="000000"/>
              </w:rPr>
            </w:pPr>
            <w:r w:rsidRPr="00275290">
              <w:rPr>
                <w:rFonts w:cs="Arial"/>
                <w:color w:val="000000"/>
              </w:rPr>
              <w:t>9,74E-03</w:t>
            </w:r>
          </w:p>
        </w:tc>
        <w:tc>
          <w:tcPr>
            <w:tcW w:w="1948" w:type="dxa"/>
            <w:vAlign w:val="center"/>
          </w:tcPr>
          <w:p w14:paraId="58B43F73" w14:textId="77777777" w:rsidR="004938EA" w:rsidRPr="00275290" w:rsidRDefault="004938EA" w:rsidP="009D4550">
            <w:pPr>
              <w:rPr>
                <w:rFonts w:cs="Arial"/>
                <w:lang w:val="en-US"/>
              </w:rPr>
            </w:pPr>
            <w:r w:rsidRPr="00275290">
              <w:rPr>
                <w:rFonts w:cs="Arial"/>
                <w:lang w:val="en-US"/>
              </w:rPr>
              <w:t>11.1</w:t>
            </w:r>
          </w:p>
        </w:tc>
      </w:tr>
      <w:tr w:rsidR="004938EA" w:rsidRPr="00275290" w14:paraId="4751C3F6" w14:textId="77777777" w:rsidTr="0039605F">
        <w:tc>
          <w:tcPr>
            <w:tcW w:w="2158" w:type="dxa"/>
            <w:vMerge/>
          </w:tcPr>
          <w:p w14:paraId="78DE5EBB" w14:textId="77777777" w:rsidR="004938EA" w:rsidRPr="00275290" w:rsidRDefault="004938EA" w:rsidP="009D4550">
            <w:pPr>
              <w:rPr>
                <w:rFonts w:cs="Arial"/>
                <w:lang w:val="en-US"/>
              </w:rPr>
            </w:pPr>
          </w:p>
        </w:tc>
        <w:tc>
          <w:tcPr>
            <w:tcW w:w="1969" w:type="dxa"/>
            <w:vAlign w:val="center"/>
          </w:tcPr>
          <w:p w14:paraId="05E51FDA" w14:textId="77777777" w:rsidR="004938EA" w:rsidRPr="00275290" w:rsidRDefault="004938EA" w:rsidP="009D4550">
            <w:pPr>
              <w:rPr>
                <w:rFonts w:cs="Arial"/>
                <w:lang w:val="fr-FR"/>
              </w:rPr>
            </w:pPr>
            <w:r w:rsidRPr="00275290">
              <w:rPr>
                <w:rFonts w:cs="Arial"/>
                <w:lang w:val="fr-FR"/>
              </w:rPr>
              <w:t>Propiconazole : 0.3</w:t>
            </w:r>
          </w:p>
        </w:tc>
        <w:tc>
          <w:tcPr>
            <w:tcW w:w="1961" w:type="dxa"/>
            <w:vAlign w:val="center"/>
          </w:tcPr>
          <w:p w14:paraId="4203A1AC" w14:textId="77777777" w:rsidR="004938EA" w:rsidRPr="00275290" w:rsidRDefault="004938EA" w:rsidP="009D4550">
            <w:pPr>
              <w:rPr>
                <w:rFonts w:cs="Arial"/>
                <w:color w:val="000000"/>
              </w:rPr>
            </w:pPr>
            <w:r w:rsidRPr="00275290">
              <w:rPr>
                <w:rFonts w:cs="Arial"/>
                <w:color w:val="000000"/>
              </w:rPr>
              <w:t>3,42E-02</w:t>
            </w:r>
          </w:p>
        </w:tc>
        <w:tc>
          <w:tcPr>
            <w:tcW w:w="1948" w:type="dxa"/>
            <w:vAlign w:val="center"/>
          </w:tcPr>
          <w:p w14:paraId="205E1529" w14:textId="77777777" w:rsidR="004938EA" w:rsidRPr="00275290" w:rsidRDefault="004938EA" w:rsidP="009D4550">
            <w:pPr>
              <w:rPr>
                <w:rFonts w:cs="Arial"/>
                <w:lang w:val="en-US"/>
              </w:rPr>
            </w:pPr>
            <w:r w:rsidRPr="00275290">
              <w:rPr>
                <w:rFonts w:cs="Arial"/>
                <w:lang w:val="en-US"/>
              </w:rPr>
              <w:t>11.4</w:t>
            </w:r>
          </w:p>
        </w:tc>
      </w:tr>
      <w:tr w:rsidR="004938EA" w:rsidRPr="00275290" w14:paraId="114665AA" w14:textId="77777777" w:rsidTr="0039605F">
        <w:tc>
          <w:tcPr>
            <w:tcW w:w="2158" w:type="dxa"/>
            <w:vMerge/>
          </w:tcPr>
          <w:p w14:paraId="26D7801F" w14:textId="77777777" w:rsidR="004938EA" w:rsidRPr="00275290" w:rsidRDefault="004938EA" w:rsidP="009D4550">
            <w:pPr>
              <w:rPr>
                <w:rFonts w:cs="Arial"/>
                <w:lang w:val="en-US"/>
              </w:rPr>
            </w:pPr>
          </w:p>
        </w:tc>
        <w:tc>
          <w:tcPr>
            <w:tcW w:w="1969" w:type="dxa"/>
            <w:vAlign w:val="center"/>
          </w:tcPr>
          <w:p w14:paraId="345AF13D" w14:textId="77777777" w:rsidR="004938EA" w:rsidRPr="00275290" w:rsidRDefault="004938EA" w:rsidP="009D4550">
            <w:pPr>
              <w:rPr>
                <w:rFonts w:cs="Arial"/>
                <w:lang w:val="fr-FR"/>
              </w:rPr>
            </w:pPr>
            <w:r w:rsidRPr="00275290">
              <w:rPr>
                <w:rFonts w:cs="Arial"/>
                <w:lang w:val="fr-FR"/>
              </w:rPr>
              <w:t>Tébuconazole : 0,03</w:t>
            </w:r>
          </w:p>
        </w:tc>
        <w:tc>
          <w:tcPr>
            <w:tcW w:w="1961" w:type="dxa"/>
            <w:vAlign w:val="center"/>
          </w:tcPr>
          <w:p w14:paraId="1FE5920B" w14:textId="77777777" w:rsidR="004938EA" w:rsidRPr="00275290" w:rsidRDefault="004938EA" w:rsidP="009D4550">
            <w:pPr>
              <w:rPr>
                <w:rFonts w:cs="Arial"/>
                <w:color w:val="000000"/>
              </w:rPr>
            </w:pPr>
            <w:r w:rsidRPr="00275290">
              <w:rPr>
                <w:rFonts w:cs="Arial"/>
                <w:color w:val="000000"/>
              </w:rPr>
              <w:t>1,07E-02</w:t>
            </w:r>
          </w:p>
        </w:tc>
        <w:tc>
          <w:tcPr>
            <w:tcW w:w="1948" w:type="dxa"/>
            <w:vAlign w:val="center"/>
          </w:tcPr>
          <w:p w14:paraId="45208484" w14:textId="77777777" w:rsidR="004938EA" w:rsidRPr="00275290" w:rsidRDefault="004938EA" w:rsidP="009D4550">
            <w:pPr>
              <w:rPr>
                <w:rFonts w:cs="Arial"/>
                <w:lang w:val="en-US"/>
              </w:rPr>
            </w:pPr>
            <w:r w:rsidRPr="00275290">
              <w:rPr>
                <w:rFonts w:cs="Arial"/>
                <w:lang w:val="en-US"/>
              </w:rPr>
              <w:t>35.6</w:t>
            </w:r>
          </w:p>
        </w:tc>
      </w:tr>
      <w:tr w:rsidR="004938EA" w:rsidRPr="00275290" w14:paraId="6F70485D" w14:textId="77777777" w:rsidTr="0039605F">
        <w:tc>
          <w:tcPr>
            <w:tcW w:w="2158" w:type="dxa"/>
            <w:vMerge/>
          </w:tcPr>
          <w:p w14:paraId="54B6DE62" w14:textId="77777777" w:rsidR="004938EA" w:rsidRPr="00275290" w:rsidRDefault="004938EA" w:rsidP="009D4550">
            <w:pPr>
              <w:rPr>
                <w:rFonts w:cs="Arial"/>
                <w:lang w:val="en-US"/>
              </w:rPr>
            </w:pPr>
          </w:p>
        </w:tc>
        <w:tc>
          <w:tcPr>
            <w:tcW w:w="1969" w:type="dxa"/>
            <w:vAlign w:val="center"/>
          </w:tcPr>
          <w:p w14:paraId="067E3537" w14:textId="77777777" w:rsidR="004938EA" w:rsidRPr="00275290" w:rsidRDefault="004938EA" w:rsidP="009D4550">
            <w:pPr>
              <w:rPr>
                <w:rFonts w:cs="Arial"/>
                <w:lang w:val="fr-FR"/>
              </w:rPr>
            </w:pPr>
            <w:r w:rsidRPr="00275290">
              <w:rPr>
                <w:rFonts w:cs="Arial"/>
                <w:lang w:val="fr-FR"/>
              </w:rPr>
              <w:t>IPBC 0.35</w:t>
            </w:r>
          </w:p>
        </w:tc>
        <w:tc>
          <w:tcPr>
            <w:tcW w:w="1961" w:type="dxa"/>
            <w:vAlign w:val="center"/>
          </w:tcPr>
          <w:p w14:paraId="32CC29C4" w14:textId="77777777" w:rsidR="004938EA" w:rsidRPr="00275290" w:rsidRDefault="004938EA" w:rsidP="009D4550">
            <w:pPr>
              <w:rPr>
                <w:rFonts w:cs="Arial"/>
                <w:color w:val="000000"/>
              </w:rPr>
            </w:pPr>
            <w:r w:rsidRPr="00275290">
              <w:rPr>
                <w:rFonts w:cs="Arial"/>
                <w:color w:val="000000"/>
              </w:rPr>
              <w:t>1,07E-02</w:t>
            </w:r>
          </w:p>
        </w:tc>
        <w:tc>
          <w:tcPr>
            <w:tcW w:w="1948" w:type="dxa"/>
            <w:vAlign w:val="center"/>
          </w:tcPr>
          <w:p w14:paraId="5D6B132D" w14:textId="77777777" w:rsidR="004938EA" w:rsidRPr="00275290" w:rsidRDefault="004938EA" w:rsidP="009D4550">
            <w:pPr>
              <w:rPr>
                <w:rFonts w:cs="Arial"/>
                <w:lang w:val="en-US"/>
              </w:rPr>
            </w:pPr>
            <w:r w:rsidRPr="00275290">
              <w:rPr>
                <w:rFonts w:cs="Arial"/>
                <w:lang w:val="en-US"/>
              </w:rPr>
              <w:t>3.1</w:t>
            </w:r>
          </w:p>
        </w:tc>
      </w:tr>
    </w:tbl>
    <w:p w14:paraId="4194FC6A" w14:textId="77777777" w:rsidR="009D4550" w:rsidRPr="00275290" w:rsidRDefault="009D4550" w:rsidP="009D4550">
      <w:pPr>
        <w:rPr>
          <w:rFonts w:cs="Arial"/>
        </w:rPr>
      </w:pPr>
    </w:p>
    <w:p w14:paraId="6AEE7AD0" w14:textId="77777777" w:rsidR="009D4550" w:rsidRPr="00275290" w:rsidRDefault="009D4550" w:rsidP="009D4550">
      <w:pPr>
        <w:pStyle w:val="BfRBBStandard"/>
        <w:rPr>
          <w:rFonts w:ascii="Verdana" w:eastAsia="Times New Roman" w:hAnsi="Verdana"/>
          <w:i/>
          <w:sz w:val="20"/>
          <w:szCs w:val="20"/>
          <w:lang w:val="en-GB" w:eastAsia="sv-SE"/>
        </w:rPr>
      </w:pPr>
    </w:p>
    <w:p w14:paraId="59EA67A9"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1097A008" w14:textId="77777777" w:rsidR="009D4550" w:rsidRPr="00275290" w:rsidRDefault="009D4550" w:rsidP="009D4550">
      <w:pPr>
        <w:pStyle w:val="BfRBBStandard"/>
        <w:rPr>
          <w:rFonts w:ascii="Verdana" w:eastAsia="Times New Roman" w:hAnsi="Verdana"/>
          <w:i/>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790"/>
        <w:gridCol w:w="1743"/>
        <w:gridCol w:w="1721"/>
        <w:gridCol w:w="965"/>
        <w:gridCol w:w="985"/>
        <w:gridCol w:w="1402"/>
      </w:tblGrid>
      <w:tr w:rsidR="009D4550" w:rsidRPr="00275290" w14:paraId="6F665B6A" w14:textId="77777777" w:rsidTr="004E7A98">
        <w:tc>
          <w:tcPr>
            <w:tcW w:w="1179" w:type="dxa"/>
          </w:tcPr>
          <w:p w14:paraId="23E2FA05" w14:textId="77777777" w:rsidR="009D4550" w:rsidRPr="00275290" w:rsidRDefault="009D4550" w:rsidP="004E7A98">
            <w:pPr>
              <w:spacing w:after="240"/>
              <w:rPr>
                <w:rFonts w:cs="Arial"/>
                <w:lang w:val="fr-FR"/>
              </w:rPr>
            </w:pPr>
          </w:p>
        </w:tc>
        <w:tc>
          <w:tcPr>
            <w:tcW w:w="1805" w:type="dxa"/>
            <w:vAlign w:val="center"/>
          </w:tcPr>
          <w:p w14:paraId="559E649C" w14:textId="77777777" w:rsidR="009D4550" w:rsidRPr="00275290" w:rsidRDefault="009D4550" w:rsidP="004E7A98">
            <w:pPr>
              <w:spacing w:after="240"/>
              <w:rPr>
                <w:rFonts w:cs="Arial"/>
                <w:lang w:val="fr-FR"/>
              </w:rPr>
            </w:pPr>
            <w:r w:rsidRPr="00275290">
              <w:rPr>
                <w:rFonts w:cs="Arial"/>
                <w:lang w:val="fr-FR"/>
              </w:rPr>
              <w:t>Cyperméthrine</w:t>
            </w:r>
          </w:p>
        </w:tc>
        <w:tc>
          <w:tcPr>
            <w:tcW w:w="1771" w:type="dxa"/>
            <w:vAlign w:val="center"/>
          </w:tcPr>
          <w:p w14:paraId="3886A9DC" w14:textId="77777777" w:rsidR="009D4550" w:rsidRPr="00275290" w:rsidRDefault="009D4550" w:rsidP="004E7A98">
            <w:pPr>
              <w:spacing w:after="240"/>
              <w:rPr>
                <w:rFonts w:cs="Arial"/>
                <w:lang w:val="fr-FR"/>
              </w:rPr>
            </w:pPr>
            <w:r w:rsidRPr="00275290">
              <w:rPr>
                <w:rFonts w:cs="Arial"/>
                <w:lang w:val="fr-FR"/>
              </w:rPr>
              <w:t>Propiconazole</w:t>
            </w:r>
          </w:p>
        </w:tc>
        <w:tc>
          <w:tcPr>
            <w:tcW w:w="1747" w:type="dxa"/>
            <w:vAlign w:val="center"/>
          </w:tcPr>
          <w:p w14:paraId="212F3A0F" w14:textId="77777777" w:rsidR="009D4550" w:rsidRPr="00275290" w:rsidRDefault="009D4550" w:rsidP="004E7A98">
            <w:pPr>
              <w:spacing w:after="240"/>
              <w:rPr>
                <w:rFonts w:cs="Arial"/>
                <w:lang w:val="fr-FR"/>
              </w:rPr>
            </w:pPr>
            <w:r w:rsidRPr="00275290">
              <w:rPr>
                <w:rFonts w:cs="Arial"/>
                <w:lang w:val="fr-FR"/>
              </w:rPr>
              <w:t>Tébuconazole</w:t>
            </w:r>
          </w:p>
        </w:tc>
        <w:tc>
          <w:tcPr>
            <w:tcW w:w="1015" w:type="dxa"/>
            <w:shd w:val="clear" w:color="auto" w:fill="auto"/>
          </w:tcPr>
          <w:p w14:paraId="2BD322D3" w14:textId="77777777" w:rsidR="009D4550" w:rsidRPr="00275290" w:rsidRDefault="009D4550" w:rsidP="004E7A98">
            <w:pPr>
              <w:spacing w:after="240"/>
              <w:rPr>
                <w:rFonts w:cs="Arial"/>
                <w:lang w:val="fr-FR"/>
              </w:rPr>
            </w:pPr>
            <w:r w:rsidRPr="00275290">
              <w:rPr>
                <w:rFonts w:cs="Arial"/>
                <w:lang w:val="fr-FR"/>
              </w:rPr>
              <w:t>IPBC</w:t>
            </w:r>
          </w:p>
        </w:tc>
        <w:tc>
          <w:tcPr>
            <w:tcW w:w="1057" w:type="dxa"/>
            <w:vMerge w:val="restart"/>
            <w:shd w:val="clear" w:color="auto" w:fill="E5B8B7" w:themeFill="accent2" w:themeFillTint="66"/>
            <w:vAlign w:val="center"/>
          </w:tcPr>
          <w:p w14:paraId="5DEBB62B" w14:textId="77777777" w:rsidR="009D4550" w:rsidRPr="00275290" w:rsidRDefault="009D4550" w:rsidP="004E7A98">
            <w:pPr>
              <w:spacing w:after="240"/>
              <w:rPr>
                <w:rFonts w:cs="Arial"/>
                <w:lang w:val="fr-FR"/>
              </w:rPr>
            </w:pPr>
            <w:r w:rsidRPr="00275290">
              <w:rPr>
                <w:rFonts w:cs="Arial"/>
                <w:lang w:val="fr-FR"/>
              </w:rPr>
              <w:t>HI</w:t>
            </w:r>
          </w:p>
          <w:p w14:paraId="36B86E55" w14:textId="77777777" w:rsidR="009D4550" w:rsidRPr="00275290" w:rsidRDefault="009D4550" w:rsidP="004E7A98">
            <w:pPr>
              <w:spacing w:after="240"/>
              <w:rPr>
                <w:rFonts w:cs="Arial"/>
                <w:lang w:val="fr-FR"/>
              </w:rPr>
            </w:pPr>
            <w:r w:rsidRPr="00275290">
              <w:rPr>
                <w:rFonts w:cs="Arial"/>
                <w:lang w:val="fr-FR"/>
              </w:rPr>
              <w:t>(∑ HQ a.s)</w:t>
            </w:r>
          </w:p>
        </w:tc>
        <w:tc>
          <w:tcPr>
            <w:tcW w:w="1421" w:type="dxa"/>
            <w:vMerge w:val="restart"/>
            <w:shd w:val="clear" w:color="auto" w:fill="E5B8B7" w:themeFill="accent2" w:themeFillTint="66"/>
          </w:tcPr>
          <w:p w14:paraId="5C6D7D22" w14:textId="77777777" w:rsidR="009D4550" w:rsidRPr="00275290" w:rsidRDefault="009D4550" w:rsidP="004E7A98">
            <w:pPr>
              <w:spacing w:after="240"/>
              <w:rPr>
                <w:rFonts w:cs="Arial"/>
                <w:lang w:val="fr-FR"/>
              </w:rPr>
            </w:pPr>
            <w:r w:rsidRPr="00275290">
              <w:rPr>
                <w:rFonts w:cs="Arial"/>
                <w:lang w:val="fr-FR"/>
              </w:rPr>
              <w:t>Risk</w:t>
            </w:r>
          </w:p>
        </w:tc>
      </w:tr>
      <w:tr w:rsidR="009D4550" w:rsidRPr="00275290" w14:paraId="1B40B7BD" w14:textId="77777777" w:rsidTr="004E7A98">
        <w:tc>
          <w:tcPr>
            <w:tcW w:w="1179" w:type="dxa"/>
          </w:tcPr>
          <w:p w14:paraId="44CDD816" w14:textId="77777777" w:rsidR="009D4550" w:rsidRPr="00275290" w:rsidRDefault="009D4550" w:rsidP="004E7A98">
            <w:pPr>
              <w:spacing w:after="240"/>
              <w:rPr>
                <w:rFonts w:cs="Arial"/>
                <w:lang w:val="fr-FR"/>
              </w:rPr>
            </w:pPr>
          </w:p>
        </w:tc>
        <w:tc>
          <w:tcPr>
            <w:tcW w:w="5323" w:type="dxa"/>
            <w:gridSpan w:val="3"/>
            <w:vAlign w:val="center"/>
          </w:tcPr>
          <w:p w14:paraId="27E79118" w14:textId="77777777" w:rsidR="009D4550" w:rsidRPr="00275290" w:rsidRDefault="009D4550" w:rsidP="004E7A98">
            <w:pPr>
              <w:spacing w:after="240"/>
              <w:rPr>
                <w:rFonts w:cs="Arial"/>
                <w:lang w:val="fr-FR"/>
              </w:rPr>
            </w:pPr>
            <w:r w:rsidRPr="00275290">
              <w:rPr>
                <w:rFonts w:cs="Arial"/>
                <w:lang w:val="fr-FR"/>
              </w:rPr>
              <w:t>HQ (Exposure/AEL)</w:t>
            </w:r>
          </w:p>
        </w:tc>
        <w:tc>
          <w:tcPr>
            <w:tcW w:w="1015" w:type="dxa"/>
            <w:shd w:val="clear" w:color="auto" w:fill="auto"/>
          </w:tcPr>
          <w:p w14:paraId="79B61C08" w14:textId="77777777" w:rsidR="009D4550" w:rsidRPr="00275290" w:rsidRDefault="009D4550" w:rsidP="004E7A98">
            <w:pPr>
              <w:spacing w:after="240"/>
              <w:rPr>
                <w:rFonts w:cs="Arial"/>
                <w:lang w:val="fr-FR"/>
              </w:rPr>
            </w:pPr>
          </w:p>
        </w:tc>
        <w:tc>
          <w:tcPr>
            <w:tcW w:w="1057" w:type="dxa"/>
            <w:vMerge/>
            <w:shd w:val="clear" w:color="auto" w:fill="E5B8B7" w:themeFill="accent2" w:themeFillTint="66"/>
            <w:vAlign w:val="center"/>
          </w:tcPr>
          <w:p w14:paraId="5A5E68B3" w14:textId="77777777" w:rsidR="009D4550" w:rsidRPr="00275290" w:rsidRDefault="009D4550" w:rsidP="004E7A98">
            <w:pPr>
              <w:spacing w:after="240"/>
              <w:rPr>
                <w:rFonts w:cs="Arial"/>
                <w:lang w:val="fr-FR"/>
              </w:rPr>
            </w:pPr>
          </w:p>
        </w:tc>
        <w:tc>
          <w:tcPr>
            <w:tcW w:w="1421" w:type="dxa"/>
            <w:vMerge/>
            <w:shd w:val="clear" w:color="auto" w:fill="E5B8B7" w:themeFill="accent2" w:themeFillTint="66"/>
          </w:tcPr>
          <w:p w14:paraId="72E3765D" w14:textId="77777777" w:rsidR="009D4550" w:rsidRPr="00275290" w:rsidRDefault="009D4550" w:rsidP="004E7A98">
            <w:pPr>
              <w:spacing w:after="240"/>
              <w:rPr>
                <w:rFonts w:cs="Arial"/>
                <w:lang w:val="fr-FR"/>
              </w:rPr>
            </w:pPr>
          </w:p>
        </w:tc>
      </w:tr>
      <w:tr w:rsidR="009D4550" w:rsidRPr="00275290" w14:paraId="51ED482B" w14:textId="77777777" w:rsidTr="004E7A98">
        <w:tc>
          <w:tcPr>
            <w:tcW w:w="1179" w:type="dxa"/>
          </w:tcPr>
          <w:p w14:paraId="1CD57B25" w14:textId="77777777" w:rsidR="009D4550" w:rsidRPr="00275290" w:rsidRDefault="009D4550" w:rsidP="004E7A98">
            <w:pPr>
              <w:spacing w:after="240"/>
              <w:rPr>
                <w:rFonts w:cs="Arial"/>
                <w:lang w:val="fr-FR"/>
              </w:rPr>
            </w:pPr>
            <w:r w:rsidRPr="00275290">
              <w:rPr>
                <w:rFonts w:cs="Arial"/>
                <w:lang w:val="fr-FR"/>
              </w:rPr>
              <w:t xml:space="preserve">Sanding </w:t>
            </w:r>
          </w:p>
        </w:tc>
        <w:tc>
          <w:tcPr>
            <w:tcW w:w="1805" w:type="dxa"/>
            <w:vAlign w:val="center"/>
          </w:tcPr>
          <w:p w14:paraId="44E1F7BC" w14:textId="77777777" w:rsidR="009D4550" w:rsidRPr="00275290" w:rsidRDefault="009D4550" w:rsidP="004E7A98">
            <w:pPr>
              <w:spacing w:after="240"/>
              <w:rPr>
                <w:rFonts w:cs="Arial"/>
                <w:lang w:val="fr-FR"/>
              </w:rPr>
            </w:pPr>
            <w:r w:rsidRPr="00275290">
              <w:rPr>
                <w:rFonts w:cs="Arial"/>
                <w:lang w:val="fr-FR"/>
              </w:rPr>
              <w:t>0.03</w:t>
            </w:r>
          </w:p>
        </w:tc>
        <w:tc>
          <w:tcPr>
            <w:tcW w:w="1771" w:type="dxa"/>
            <w:vAlign w:val="center"/>
          </w:tcPr>
          <w:p w14:paraId="2BE9B11A" w14:textId="77777777" w:rsidR="009D4550" w:rsidRPr="00275290" w:rsidRDefault="009D4550" w:rsidP="004E7A98">
            <w:pPr>
              <w:spacing w:after="240"/>
              <w:rPr>
                <w:rFonts w:cs="Arial"/>
                <w:lang w:val="fr-FR"/>
              </w:rPr>
            </w:pPr>
            <w:r w:rsidRPr="00275290">
              <w:rPr>
                <w:rFonts w:cs="Arial"/>
                <w:lang w:val="fr-FR"/>
              </w:rPr>
              <w:t>0.01</w:t>
            </w:r>
          </w:p>
        </w:tc>
        <w:tc>
          <w:tcPr>
            <w:tcW w:w="1747" w:type="dxa"/>
            <w:vAlign w:val="center"/>
          </w:tcPr>
          <w:p w14:paraId="3F3C0910" w14:textId="77777777" w:rsidR="009D4550" w:rsidRPr="00275290" w:rsidRDefault="009D4550" w:rsidP="004E7A98">
            <w:pPr>
              <w:spacing w:after="240"/>
              <w:rPr>
                <w:rFonts w:cs="Arial"/>
                <w:lang w:val="fr-FR"/>
              </w:rPr>
            </w:pPr>
            <w:r w:rsidRPr="00275290">
              <w:rPr>
                <w:rFonts w:cs="Arial"/>
                <w:lang w:val="fr-FR"/>
              </w:rPr>
              <w:t>0.05</w:t>
            </w:r>
          </w:p>
        </w:tc>
        <w:tc>
          <w:tcPr>
            <w:tcW w:w="1015" w:type="dxa"/>
            <w:shd w:val="clear" w:color="auto" w:fill="auto"/>
          </w:tcPr>
          <w:p w14:paraId="7D3483C0" w14:textId="77777777" w:rsidR="009D4550" w:rsidRPr="00275290" w:rsidRDefault="009D4550" w:rsidP="004E7A98">
            <w:pPr>
              <w:spacing w:after="240"/>
              <w:rPr>
                <w:rFonts w:cs="Arial"/>
                <w:lang w:val="fr-FR"/>
              </w:rPr>
            </w:pPr>
            <w:r w:rsidRPr="00275290">
              <w:rPr>
                <w:rFonts w:cs="Arial"/>
                <w:lang w:val="fr-FR"/>
              </w:rPr>
              <w:t>0.01</w:t>
            </w:r>
          </w:p>
        </w:tc>
        <w:tc>
          <w:tcPr>
            <w:tcW w:w="1057" w:type="dxa"/>
            <w:shd w:val="clear" w:color="auto" w:fill="E5B8B7" w:themeFill="accent2" w:themeFillTint="66"/>
            <w:vAlign w:val="center"/>
          </w:tcPr>
          <w:p w14:paraId="62AF4DE4" w14:textId="77777777" w:rsidR="009D4550" w:rsidRPr="00275290" w:rsidRDefault="009D4550" w:rsidP="004E7A98">
            <w:pPr>
              <w:spacing w:after="240"/>
              <w:rPr>
                <w:rFonts w:cs="Arial"/>
                <w:lang w:val="fr-FR"/>
              </w:rPr>
            </w:pPr>
            <w:r w:rsidRPr="00275290">
              <w:rPr>
                <w:rFonts w:cs="Arial"/>
                <w:lang w:val="fr-FR"/>
              </w:rPr>
              <w:t>0.1</w:t>
            </w:r>
          </w:p>
        </w:tc>
        <w:tc>
          <w:tcPr>
            <w:tcW w:w="1421" w:type="dxa"/>
            <w:shd w:val="clear" w:color="auto" w:fill="E5B8B7" w:themeFill="accent2" w:themeFillTint="66"/>
          </w:tcPr>
          <w:p w14:paraId="7A4C0874" w14:textId="77777777" w:rsidR="009D4550" w:rsidRPr="00275290" w:rsidRDefault="009D4550" w:rsidP="004E7A98">
            <w:pPr>
              <w:spacing w:after="240"/>
              <w:rPr>
                <w:rFonts w:cs="Arial"/>
                <w:lang w:val="fr-FR"/>
              </w:rPr>
            </w:pPr>
            <w:r w:rsidRPr="00275290">
              <w:rPr>
                <w:rFonts w:cs="Arial"/>
                <w:lang w:val="fr-FR"/>
              </w:rPr>
              <w:t>Acceptable</w:t>
            </w:r>
          </w:p>
        </w:tc>
      </w:tr>
      <w:tr w:rsidR="009D4550" w:rsidRPr="00275290" w14:paraId="6D78815E" w14:textId="77777777" w:rsidTr="004E7A98">
        <w:tc>
          <w:tcPr>
            <w:tcW w:w="1179" w:type="dxa"/>
          </w:tcPr>
          <w:p w14:paraId="16F6878B" w14:textId="77777777" w:rsidR="009D4550" w:rsidRPr="00275290" w:rsidRDefault="009D4550" w:rsidP="004E7A98">
            <w:pPr>
              <w:spacing w:after="240"/>
              <w:rPr>
                <w:rFonts w:cs="Arial"/>
                <w:lang w:val="fr-FR"/>
              </w:rPr>
            </w:pPr>
            <w:r w:rsidRPr="00275290">
              <w:rPr>
                <w:rFonts w:cs="Arial"/>
                <w:lang w:val="fr-FR"/>
              </w:rPr>
              <w:t>Chewing</w:t>
            </w:r>
          </w:p>
        </w:tc>
        <w:tc>
          <w:tcPr>
            <w:tcW w:w="1805" w:type="dxa"/>
            <w:vAlign w:val="center"/>
          </w:tcPr>
          <w:p w14:paraId="0ABAA4E2" w14:textId="77777777" w:rsidR="009D4550" w:rsidRPr="00275290" w:rsidRDefault="009D4550" w:rsidP="004E7A98">
            <w:pPr>
              <w:spacing w:after="240"/>
              <w:rPr>
                <w:rFonts w:cs="Arial"/>
                <w:lang w:val="fr-FR"/>
              </w:rPr>
            </w:pPr>
            <w:r w:rsidRPr="00275290">
              <w:rPr>
                <w:rFonts w:cs="Arial"/>
                <w:lang w:val="fr-FR"/>
              </w:rPr>
              <w:t>0.11</w:t>
            </w:r>
          </w:p>
        </w:tc>
        <w:tc>
          <w:tcPr>
            <w:tcW w:w="1771" w:type="dxa"/>
            <w:vAlign w:val="center"/>
          </w:tcPr>
          <w:p w14:paraId="35542D39" w14:textId="77777777" w:rsidR="009D4550" w:rsidRPr="00275290" w:rsidRDefault="009D4550" w:rsidP="004E7A98">
            <w:pPr>
              <w:spacing w:after="240"/>
              <w:rPr>
                <w:rFonts w:cs="Arial"/>
                <w:lang w:val="fr-FR"/>
              </w:rPr>
            </w:pPr>
            <w:r w:rsidRPr="00275290">
              <w:rPr>
                <w:rFonts w:cs="Arial"/>
                <w:lang w:val="fr-FR"/>
              </w:rPr>
              <w:t>0.11</w:t>
            </w:r>
          </w:p>
        </w:tc>
        <w:tc>
          <w:tcPr>
            <w:tcW w:w="1747" w:type="dxa"/>
            <w:vAlign w:val="center"/>
          </w:tcPr>
          <w:p w14:paraId="7957A33E" w14:textId="77777777" w:rsidR="009D4550" w:rsidRPr="00275290" w:rsidRDefault="009D4550" w:rsidP="004E7A98">
            <w:pPr>
              <w:spacing w:after="240"/>
              <w:rPr>
                <w:rFonts w:cs="Arial"/>
                <w:lang w:val="fr-FR"/>
              </w:rPr>
            </w:pPr>
            <w:r w:rsidRPr="00275290">
              <w:rPr>
                <w:rFonts w:cs="Arial"/>
                <w:lang w:val="fr-FR"/>
              </w:rPr>
              <w:t>0.36</w:t>
            </w:r>
          </w:p>
        </w:tc>
        <w:tc>
          <w:tcPr>
            <w:tcW w:w="1015" w:type="dxa"/>
            <w:shd w:val="clear" w:color="auto" w:fill="auto"/>
          </w:tcPr>
          <w:p w14:paraId="321E82ED" w14:textId="77777777" w:rsidR="009D4550" w:rsidRPr="00275290" w:rsidRDefault="009D4550" w:rsidP="004E7A98">
            <w:pPr>
              <w:spacing w:after="240"/>
              <w:rPr>
                <w:rFonts w:cs="Arial"/>
                <w:lang w:val="fr-FR"/>
              </w:rPr>
            </w:pPr>
            <w:r w:rsidRPr="00275290">
              <w:rPr>
                <w:rFonts w:cs="Arial"/>
                <w:lang w:val="fr-FR"/>
              </w:rPr>
              <w:t>0.03</w:t>
            </w:r>
          </w:p>
        </w:tc>
        <w:tc>
          <w:tcPr>
            <w:tcW w:w="1057" w:type="dxa"/>
            <w:shd w:val="clear" w:color="auto" w:fill="E5B8B7" w:themeFill="accent2" w:themeFillTint="66"/>
            <w:vAlign w:val="center"/>
          </w:tcPr>
          <w:p w14:paraId="57918C3F" w14:textId="77777777" w:rsidR="009D4550" w:rsidRPr="00275290" w:rsidRDefault="009D4550" w:rsidP="004E7A98">
            <w:pPr>
              <w:spacing w:after="240"/>
              <w:rPr>
                <w:rFonts w:cs="Arial"/>
                <w:lang w:val="fr-FR"/>
              </w:rPr>
            </w:pPr>
            <w:r w:rsidRPr="00275290">
              <w:rPr>
                <w:rFonts w:cs="Arial"/>
                <w:lang w:val="fr-FR"/>
              </w:rPr>
              <w:t>0.6</w:t>
            </w:r>
          </w:p>
        </w:tc>
        <w:tc>
          <w:tcPr>
            <w:tcW w:w="1421" w:type="dxa"/>
            <w:shd w:val="clear" w:color="auto" w:fill="E5B8B7" w:themeFill="accent2" w:themeFillTint="66"/>
          </w:tcPr>
          <w:p w14:paraId="05BE380A" w14:textId="77777777" w:rsidR="009D4550" w:rsidRPr="00275290" w:rsidRDefault="009D4550" w:rsidP="004E7A98">
            <w:pPr>
              <w:spacing w:after="240"/>
              <w:rPr>
                <w:rFonts w:cs="Arial"/>
                <w:lang w:val="fr-FR"/>
              </w:rPr>
            </w:pPr>
            <w:r w:rsidRPr="00275290">
              <w:rPr>
                <w:rFonts w:cs="Arial"/>
                <w:lang w:val="fr-FR"/>
              </w:rPr>
              <w:t>Acceptable</w:t>
            </w:r>
          </w:p>
        </w:tc>
      </w:tr>
    </w:tbl>
    <w:p w14:paraId="4307D3A8" w14:textId="77777777" w:rsidR="009D4550" w:rsidRPr="00275290" w:rsidRDefault="009D4550" w:rsidP="009D4550">
      <w:pPr>
        <w:pStyle w:val="BfRBBStandard"/>
        <w:rPr>
          <w:rFonts w:ascii="Verdana" w:eastAsia="Times New Roman" w:hAnsi="Verdana"/>
          <w:i/>
          <w:sz w:val="20"/>
          <w:szCs w:val="20"/>
          <w:lang w:val="en-GB" w:eastAsia="sv-SE"/>
        </w:rPr>
      </w:pPr>
    </w:p>
    <w:p w14:paraId="3388C697" w14:textId="77777777"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&lt; 1, the risk is then acceptable.</w:t>
      </w:r>
    </w:p>
    <w:p w14:paraId="2137542B" w14:textId="77777777" w:rsidR="009D4550" w:rsidRPr="00275290" w:rsidRDefault="009D4550" w:rsidP="009D4550">
      <w:pPr>
        <w:pStyle w:val="BfRBBStandard"/>
        <w:rPr>
          <w:rFonts w:ascii="Verdana" w:eastAsia="Times New Roman" w:hAnsi="Verdana"/>
          <w:sz w:val="20"/>
          <w:szCs w:val="20"/>
          <w:lang w:val="en-GB" w:eastAsia="sv-SE"/>
        </w:rPr>
      </w:pPr>
    </w:p>
    <w:p w14:paraId="62A4A9C5" w14:textId="77777777" w:rsidR="009D4550" w:rsidRPr="00275290" w:rsidRDefault="009D4550" w:rsidP="009D4550">
      <w:pPr>
        <w:pStyle w:val="BfRBBStandard"/>
        <w:rPr>
          <w:rFonts w:ascii="Verdana" w:eastAsia="Times New Roman" w:hAnsi="Verdana"/>
          <w:sz w:val="20"/>
          <w:szCs w:val="20"/>
          <w:lang w:val="en-GB" w:eastAsia="sv-SE"/>
        </w:rPr>
      </w:pPr>
    </w:p>
    <w:p w14:paraId="61157F84" w14:textId="77777777" w:rsidR="009D4550" w:rsidRPr="00275290" w:rsidRDefault="009D4550" w:rsidP="009D4550">
      <w:pPr>
        <w:rPr>
          <w:rFonts w:cs="Arial"/>
          <w:b/>
          <w:i/>
          <w:u w:val="single"/>
        </w:rPr>
      </w:pPr>
      <w:r w:rsidRPr="00275290">
        <w:rPr>
          <w:rFonts w:cs="Arial"/>
          <w:b/>
          <w:i/>
          <w:u w:val="single"/>
        </w:rPr>
        <w:t>Chronic Exposure</w:t>
      </w:r>
    </w:p>
    <w:p w14:paraId="10C9E2EB" w14:textId="77777777" w:rsidR="009D4550" w:rsidRPr="00275290" w:rsidRDefault="009D4550" w:rsidP="009D4550">
      <w:pPr>
        <w:rPr>
          <w:rFonts w:cs="Arial"/>
          <w:b/>
          <w:i/>
          <w:u w:val="single"/>
        </w:rPr>
      </w:pPr>
    </w:p>
    <w:p w14:paraId="2C12FD6E"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6F91374E"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912"/>
        <w:gridCol w:w="1559"/>
        <w:gridCol w:w="1405"/>
      </w:tblGrid>
      <w:tr w:rsidR="004938EA" w:rsidRPr="00275290" w14:paraId="4CC6A69D" w14:textId="77777777" w:rsidTr="00C81964">
        <w:tc>
          <w:tcPr>
            <w:tcW w:w="2158" w:type="dxa"/>
          </w:tcPr>
          <w:p w14:paraId="31039D14" w14:textId="77777777" w:rsidR="004938EA" w:rsidRPr="00275290" w:rsidRDefault="004938EA" w:rsidP="004E7A98">
            <w:pPr>
              <w:autoSpaceDE w:val="0"/>
              <w:autoSpaceDN w:val="0"/>
              <w:adjustRightInd w:val="0"/>
              <w:rPr>
                <w:rFonts w:cs="Arial"/>
              </w:rPr>
            </w:pPr>
            <w:r w:rsidRPr="00275290">
              <w:rPr>
                <w:rFonts w:cs="Arial"/>
              </w:rPr>
              <w:t>Scenario</w:t>
            </w:r>
          </w:p>
        </w:tc>
        <w:tc>
          <w:tcPr>
            <w:tcW w:w="2912" w:type="dxa"/>
          </w:tcPr>
          <w:p w14:paraId="72ADD7E9" w14:textId="77777777" w:rsidR="004938EA" w:rsidRPr="0021636F" w:rsidRDefault="004938EA" w:rsidP="004E7A98">
            <w:pPr>
              <w:tabs>
                <w:tab w:val="left" w:pos="426"/>
              </w:tabs>
              <w:autoSpaceDE w:val="0"/>
              <w:autoSpaceDN w:val="0"/>
              <w:adjustRightInd w:val="0"/>
              <w:rPr>
                <w:rFonts w:cs="Arial"/>
                <w:lang w:val="es-US"/>
              </w:rPr>
            </w:pPr>
            <w:r w:rsidRPr="0021636F">
              <w:rPr>
                <w:rFonts w:cs="Arial"/>
                <w:lang w:val="es-US"/>
              </w:rPr>
              <w:t>AEL</w:t>
            </w:r>
          </w:p>
          <w:p w14:paraId="12410912" w14:textId="77777777" w:rsidR="004938EA" w:rsidRPr="0021636F" w:rsidRDefault="004938EA" w:rsidP="004E7A98">
            <w:pPr>
              <w:tabs>
                <w:tab w:val="left" w:pos="426"/>
              </w:tabs>
              <w:autoSpaceDE w:val="0"/>
              <w:autoSpaceDN w:val="0"/>
              <w:adjustRightInd w:val="0"/>
              <w:rPr>
                <w:rFonts w:cs="Arial"/>
                <w:lang w:val="es-US"/>
              </w:rPr>
            </w:pPr>
            <w:r w:rsidRPr="0021636F">
              <w:rPr>
                <w:rFonts w:cs="Arial"/>
                <w:lang w:val="es-US"/>
              </w:rPr>
              <w:lastRenderedPageBreak/>
              <w:t>(mg/kg pc/j)</w:t>
            </w:r>
          </w:p>
        </w:tc>
        <w:tc>
          <w:tcPr>
            <w:tcW w:w="1559" w:type="dxa"/>
          </w:tcPr>
          <w:p w14:paraId="6405C217" w14:textId="77777777" w:rsidR="004938EA" w:rsidRPr="00ED68BA" w:rsidRDefault="004938EA" w:rsidP="004E7A98">
            <w:pPr>
              <w:autoSpaceDE w:val="0"/>
              <w:autoSpaceDN w:val="0"/>
              <w:adjustRightInd w:val="0"/>
              <w:rPr>
                <w:rFonts w:cs="Arial"/>
                <w:lang w:val="fr-FR"/>
              </w:rPr>
            </w:pPr>
            <w:r w:rsidRPr="00ED68BA">
              <w:rPr>
                <w:rFonts w:cs="Arial"/>
                <w:lang w:val="fr-FR"/>
              </w:rPr>
              <w:lastRenderedPageBreak/>
              <w:t>Exposure</w:t>
            </w:r>
          </w:p>
          <w:p w14:paraId="4BF3E24B" w14:textId="77777777" w:rsidR="004938EA" w:rsidRPr="00ED68BA" w:rsidRDefault="004938EA" w:rsidP="004E7A98">
            <w:pPr>
              <w:autoSpaceDE w:val="0"/>
              <w:autoSpaceDN w:val="0"/>
              <w:adjustRightInd w:val="0"/>
              <w:rPr>
                <w:rFonts w:cs="Arial"/>
                <w:lang w:val="fr-FR"/>
              </w:rPr>
            </w:pPr>
            <w:r w:rsidRPr="00ED68BA">
              <w:rPr>
                <w:rFonts w:cs="Arial"/>
                <w:lang w:val="fr-FR"/>
              </w:rPr>
              <w:lastRenderedPageBreak/>
              <w:t>(mg/kg pc/j)</w:t>
            </w:r>
          </w:p>
        </w:tc>
        <w:tc>
          <w:tcPr>
            <w:tcW w:w="1405" w:type="dxa"/>
          </w:tcPr>
          <w:p w14:paraId="663D2D56" w14:textId="77777777" w:rsidR="004938EA" w:rsidRPr="00275290" w:rsidRDefault="004938EA" w:rsidP="004E7A98">
            <w:pPr>
              <w:autoSpaceDE w:val="0"/>
              <w:autoSpaceDN w:val="0"/>
              <w:adjustRightInd w:val="0"/>
              <w:rPr>
                <w:rFonts w:cs="Arial"/>
              </w:rPr>
            </w:pPr>
            <w:r w:rsidRPr="00275290">
              <w:rPr>
                <w:rFonts w:cs="Arial"/>
              </w:rPr>
              <w:lastRenderedPageBreak/>
              <w:t>% AEL</w:t>
            </w:r>
          </w:p>
        </w:tc>
      </w:tr>
      <w:tr w:rsidR="004938EA" w:rsidRPr="00275290" w14:paraId="4749442B" w14:textId="77777777" w:rsidTr="00C81964">
        <w:tc>
          <w:tcPr>
            <w:tcW w:w="2158" w:type="dxa"/>
            <w:vMerge w:val="restart"/>
            <w:vAlign w:val="center"/>
          </w:tcPr>
          <w:p w14:paraId="7BF2B6E3" w14:textId="77777777" w:rsidR="004938EA" w:rsidRPr="00275290" w:rsidRDefault="004938EA" w:rsidP="004E7A98">
            <w:pPr>
              <w:rPr>
                <w:rFonts w:cs="Arial"/>
                <w:lang w:val="en-US"/>
              </w:rPr>
            </w:pPr>
            <w:r w:rsidRPr="00275290">
              <w:rPr>
                <w:rFonts w:cs="Arial"/>
                <w:lang w:val="en-US"/>
              </w:rPr>
              <w:t>Adult professional sanding/processing of treated wood composites</w:t>
            </w:r>
          </w:p>
        </w:tc>
        <w:tc>
          <w:tcPr>
            <w:tcW w:w="2912" w:type="dxa"/>
            <w:vAlign w:val="center"/>
          </w:tcPr>
          <w:p w14:paraId="43097D20" w14:textId="0BED3547" w:rsidR="004938EA" w:rsidRPr="00275290" w:rsidRDefault="004938EA"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559" w:type="dxa"/>
            <w:vAlign w:val="center"/>
          </w:tcPr>
          <w:p w14:paraId="5E120B8A" w14:textId="77777777" w:rsidR="004938EA" w:rsidRPr="00275290" w:rsidRDefault="004938EA" w:rsidP="004E7A98">
            <w:pPr>
              <w:rPr>
                <w:rFonts w:cs="Arial"/>
                <w:color w:val="000000"/>
              </w:rPr>
            </w:pPr>
            <w:r w:rsidRPr="00275290">
              <w:rPr>
                <w:rFonts w:cs="Arial"/>
                <w:color w:val="000000"/>
              </w:rPr>
              <w:t>2,77E-03</w:t>
            </w:r>
          </w:p>
        </w:tc>
        <w:tc>
          <w:tcPr>
            <w:tcW w:w="1405" w:type="dxa"/>
            <w:vAlign w:val="center"/>
          </w:tcPr>
          <w:p w14:paraId="7551A1F1" w14:textId="77777777" w:rsidR="004938EA" w:rsidRPr="00275290" w:rsidRDefault="004938EA" w:rsidP="004E7A98">
            <w:pPr>
              <w:rPr>
                <w:rFonts w:cs="Arial"/>
                <w:lang w:val="fr-FR"/>
              </w:rPr>
            </w:pPr>
            <w:r w:rsidRPr="00275290">
              <w:rPr>
                <w:rFonts w:cs="Arial"/>
                <w:lang w:val="fr-FR"/>
              </w:rPr>
              <w:t>12.6</w:t>
            </w:r>
          </w:p>
        </w:tc>
      </w:tr>
      <w:tr w:rsidR="004938EA" w:rsidRPr="00275290" w14:paraId="4C90668C" w14:textId="77777777" w:rsidTr="00C81964">
        <w:tc>
          <w:tcPr>
            <w:tcW w:w="2158" w:type="dxa"/>
            <w:vMerge/>
            <w:vAlign w:val="center"/>
          </w:tcPr>
          <w:p w14:paraId="60C8EF33" w14:textId="77777777" w:rsidR="004938EA" w:rsidRPr="00275290" w:rsidRDefault="004938EA" w:rsidP="004E7A98">
            <w:pPr>
              <w:rPr>
                <w:rFonts w:cs="Arial"/>
                <w:lang w:val="fr-FR"/>
              </w:rPr>
            </w:pPr>
          </w:p>
        </w:tc>
        <w:tc>
          <w:tcPr>
            <w:tcW w:w="2912" w:type="dxa"/>
            <w:vAlign w:val="center"/>
          </w:tcPr>
          <w:p w14:paraId="178D5F9B" w14:textId="77777777" w:rsidR="004938EA" w:rsidRPr="00275290" w:rsidRDefault="004938EA" w:rsidP="004E7A98">
            <w:pPr>
              <w:rPr>
                <w:rFonts w:cs="Arial"/>
                <w:lang w:val="fr-FR"/>
              </w:rPr>
            </w:pPr>
            <w:r w:rsidRPr="00275290">
              <w:rPr>
                <w:rFonts w:cs="Arial"/>
                <w:lang w:val="fr-FR"/>
              </w:rPr>
              <w:t>Propiconazole : 0.04</w:t>
            </w:r>
          </w:p>
        </w:tc>
        <w:tc>
          <w:tcPr>
            <w:tcW w:w="1559" w:type="dxa"/>
            <w:vAlign w:val="center"/>
          </w:tcPr>
          <w:p w14:paraId="25997C40" w14:textId="77777777" w:rsidR="004938EA" w:rsidRPr="00275290" w:rsidRDefault="004938EA" w:rsidP="004E7A98">
            <w:pPr>
              <w:rPr>
                <w:rFonts w:cs="Arial"/>
                <w:color w:val="000000"/>
              </w:rPr>
            </w:pPr>
            <w:r w:rsidRPr="00275290">
              <w:rPr>
                <w:rFonts w:cs="Arial"/>
                <w:color w:val="000000"/>
              </w:rPr>
              <w:t>4,04E-03</w:t>
            </w:r>
          </w:p>
        </w:tc>
        <w:tc>
          <w:tcPr>
            <w:tcW w:w="1405" w:type="dxa"/>
            <w:vAlign w:val="center"/>
          </w:tcPr>
          <w:p w14:paraId="0C406CE8" w14:textId="77777777" w:rsidR="004938EA" w:rsidRPr="00275290" w:rsidRDefault="004938EA" w:rsidP="004E7A98">
            <w:pPr>
              <w:rPr>
                <w:rFonts w:cs="Arial"/>
                <w:lang w:val="fr-FR"/>
              </w:rPr>
            </w:pPr>
            <w:r w:rsidRPr="00275290">
              <w:rPr>
                <w:rFonts w:cs="Arial"/>
                <w:lang w:val="fr-FR"/>
              </w:rPr>
              <w:t>10.1</w:t>
            </w:r>
          </w:p>
        </w:tc>
      </w:tr>
      <w:tr w:rsidR="004938EA" w:rsidRPr="00275290" w14:paraId="43C1F38F" w14:textId="77777777" w:rsidTr="00C81964">
        <w:tc>
          <w:tcPr>
            <w:tcW w:w="2158" w:type="dxa"/>
            <w:vMerge/>
            <w:vAlign w:val="center"/>
          </w:tcPr>
          <w:p w14:paraId="5ABAF940" w14:textId="77777777" w:rsidR="004938EA" w:rsidRPr="00275290" w:rsidRDefault="004938EA" w:rsidP="004E7A98">
            <w:pPr>
              <w:rPr>
                <w:rFonts w:cs="Arial"/>
                <w:lang w:val="fr-FR"/>
              </w:rPr>
            </w:pPr>
          </w:p>
        </w:tc>
        <w:tc>
          <w:tcPr>
            <w:tcW w:w="2912" w:type="dxa"/>
            <w:vAlign w:val="center"/>
          </w:tcPr>
          <w:p w14:paraId="51F8F7C5" w14:textId="77777777" w:rsidR="004938EA" w:rsidRPr="00275290" w:rsidRDefault="004938EA" w:rsidP="004E7A98">
            <w:pPr>
              <w:rPr>
                <w:rFonts w:cs="Arial"/>
                <w:lang w:val="fr-FR"/>
              </w:rPr>
            </w:pPr>
            <w:r w:rsidRPr="00275290">
              <w:rPr>
                <w:rFonts w:cs="Arial"/>
                <w:lang w:val="fr-FR"/>
              </w:rPr>
              <w:t>Tébuconazole : 0.03</w:t>
            </w:r>
          </w:p>
        </w:tc>
        <w:tc>
          <w:tcPr>
            <w:tcW w:w="1559" w:type="dxa"/>
            <w:vAlign w:val="center"/>
          </w:tcPr>
          <w:p w14:paraId="57463381" w14:textId="77777777" w:rsidR="004938EA" w:rsidRPr="00275290" w:rsidRDefault="004938EA" w:rsidP="004E7A98">
            <w:pPr>
              <w:rPr>
                <w:rFonts w:cs="Arial"/>
                <w:color w:val="000000"/>
              </w:rPr>
            </w:pPr>
            <w:r w:rsidRPr="00275290">
              <w:rPr>
                <w:rFonts w:cs="Arial"/>
                <w:color w:val="000000"/>
              </w:rPr>
              <w:t>1,50E-03</w:t>
            </w:r>
          </w:p>
        </w:tc>
        <w:tc>
          <w:tcPr>
            <w:tcW w:w="1405" w:type="dxa"/>
            <w:vAlign w:val="center"/>
          </w:tcPr>
          <w:p w14:paraId="3B32CE21" w14:textId="77777777" w:rsidR="004938EA" w:rsidRPr="00275290" w:rsidRDefault="004938EA" w:rsidP="004E7A98">
            <w:pPr>
              <w:rPr>
                <w:rFonts w:cs="Arial"/>
                <w:lang w:val="fr-FR"/>
              </w:rPr>
            </w:pPr>
            <w:r w:rsidRPr="00275290">
              <w:rPr>
                <w:rFonts w:cs="Arial"/>
                <w:lang w:val="fr-FR"/>
              </w:rPr>
              <w:t>5.0</w:t>
            </w:r>
          </w:p>
        </w:tc>
      </w:tr>
      <w:tr w:rsidR="004938EA" w:rsidRPr="00275290" w14:paraId="2E908928" w14:textId="77777777" w:rsidTr="00C81964">
        <w:tc>
          <w:tcPr>
            <w:tcW w:w="2158" w:type="dxa"/>
            <w:vMerge/>
            <w:vAlign w:val="center"/>
          </w:tcPr>
          <w:p w14:paraId="02A98A39" w14:textId="77777777" w:rsidR="004938EA" w:rsidRPr="00275290" w:rsidRDefault="004938EA" w:rsidP="004E7A98">
            <w:pPr>
              <w:rPr>
                <w:rFonts w:cs="Arial"/>
                <w:lang w:val="fr-FR"/>
              </w:rPr>
            </w:pPr>
          </w:p>
        </w:tc>
        <w:tc>
          <w:tcPr>
            <w:tcW w:w="2912" w:type="dxa"/>
            <w:vAlign w:val="center"/>
          </w:tcPr>
          <w:p w14:paraId="3D2854F2" w14:textId="26219C04" w:rsidR="004938EA" w:rsidRPr="00275290" w:rsidRDefault="004938EA"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1559" w:type="dxa"/>
            <w:vAlign w:val="center"/>
          </w:tcPr>
          <w:p w14:paraId="4F4F9026" w14:textId="77777777" w:rsidR="004938EA" w:rsidRPr="00275290" w:rsidRDefault="004938EA" w:rsidP="004E7A98">
            <w:pPr>
              <w:rPr>
                <w:rFonts w:cs="Arial"/>
                <w:color w:val="000000"/>
              </w:rPr>
            </w:pPr>
            <w:r w:rsidRPr="00275290">
              <w:rPr>
                <w:rFonts w:cs="Arial"/>
                <w:color w:val="000000"/>
              </w:rPr>
              <w:t>3,55E-03</w:t>
            </w:r>
          </w:p>
        </w:tc>
        <w:tc>
          <w:tcPr>
            <w:tcW w:w="1405" w:type="dxa"/>
            <w:vAlign w:val="center"/>
          </w:tcPr>
          <w:p w14:paraId="3A59D02E" w14:textId="77777777" w:rsidR="004938EA" w:rsidRPr="00275290" w:rsidRDefault="004938EA" w:rsidP="004E7A98">
            <w:pPr>
              <w:rPr>
                <w:rFonts w:cs="Arial"/>
                <w:lang w:val="fr-FR"/>
              </w:rPr>
            </w:pPr>
            <w:r w:rsidRPr="00275290">
              <w:rPr>
                <w:rFonts w:cs="Arial"/>
                <w:lang w:val="fr-FR"/>
              </w:rPr>
              <w:t>1.8</w:t>
            </w:r>
          </w:p>
        </w:tc>
      </w:tr>
      <w:tr w:rsidR="004938EA" w:rsidRPr="00275290" w14:paraId="0E24063F" w14:textId="77777777" w:rsidTr="00C81964">
        <w:tc>
          <w:tcPr>
            <w:tcW w:w="2158" w:type="dxa"/>
            <w:vMerge w:val="restart"/>
            <w:vAlign w:val="center"/>
          </w:tcPr>
          <w:p w14:paraId="79EA7ECC" w14:textId="77777777" w:rsidR="004938EA" w:rsidRPr="00275290" w:rsidRDefault="004938EA" w:rsidP="004E7A98">
            <w:pPr>
              <w:rPr>
                <w:rFonts w:cs="Arial"/>
                <w:lang w:val="en-US"/>
              </w:rPr>
            </w:pPr>
            <w:r w:rsidRPr="00275290">
              <w:rPr>
                <w:rFonts w:cs="Arial"/>
                <w:lang w:val="en-US"/>
              </w:rPr>
              <w:t>Adult: inhalation of volatilised residues, indoors</w:t>
            </w:r>
          </w:p>
        </w:tc>
        <w:tc>
          <w:tcPr>
            <w:tcW w:w="2912" w:type="dxa"/>
            <w:vAlign w:val="center"/>
          </w:tcPr>
          <w:p w14:paraId="49E17C39" w14:textId="726B1A45" w:rsidR="004938EA" w:rsidRPr="00275290" w:rsidRDefault="004938EA"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559" w:type="dxa"/>
            <w:vAlign w:val="center"/>
          </w:tcPr>
          <w:p w14:paraId="6A677377" w14:textId="77777777" w:rsidR="004938EA" w:rsidRPr="00275290" w:rsidRDefault="004938EA" w:rsidP="004E7A98">
            <w:pPr>
              <w:rPr>
                <w:rFonts w:cs="Arial"/>
                <w:color w:val="000000"/>
              </w:rPr>
            </w:pPr>
            <w:r w:rsidRPr="00275290">
              <w:rPr>
                <w:rFonts w:cs="Arial"/>
                <w:color w:val="000000"/>
              </w:rPr>
              <w:t>3,28E-09</w:t>
            </w:r>
          </w:p>
        </w:tc>
        <w:tc>
          <w:tcPr>
            <w:tcW w:w="1405" w:type="dxa"/>
            <w:vAlign w:val="center"/>
          </w:tcPr>
          <w:p w14:paraId="1DC5977D" w14:textId="77777777" w:rsidR="004938EA" w:rsidRPr="00275290" w:rsidRDefault="004938EA" w:rsidP="004E7A98">
            <w:pPr>
              <w:rPr>
                <w:rFonts w:cs="Arial"/>
                <w:lang w:val="en-US"/>
              </w:rPr>
            </w:pPr>
            <w:r w:rsidRPr="00275290">
              <w:rPr>
                <w:rFonts w:cs="Arial"/>
                <w:lang w:val="en-US"/>
              </w:rPr>
              <w:t>&lt;0.01</w:t>
            </w:r>
          </w:p>
        </w:tc>
      </w:tr>
      <w:tr w:rsidR="004938EA" w:rsidRPr="00275290" w14:paraId="6EF38F93" w14:textId="77777777" w:rsidTr="00C81964">
        <w:tc>
          <w:tcPr>
            <w:tcW w:w="2158" w:type="dxa"/>
            <w:vMerge/>
            <w:vAlign w:val="center"/>
          </w:tcPr>
          <w:p w14:paraId="17105463" w14:textId="77777777" w:rsidR="004938EA" w:rsidRPr="00275290" w:rsidRDefault="004938EA" w:rsidP="004E7A98">
            <w:pPr>
              <w:rPr>
                <w:rFonts w:cs="Arial"/>
                <w:lang w:val="en-US"/>
              </w:rPr>
            </w:pPr>
          </w:p>
        </w:tc>
        <w:tc>
          <w:tcPr>
            <w:tcW w:w="2912" w:type="dxa"/>
            <w:vAlign w:val="center"/>
          </w:tcPr>
          <w:p w14:paraId="688227F7" w14:textId="77777777" w:rsidR="004938EA" w:rsidRPr="00275290" w:rsidRDefault="004938EA" w:rsidP="004E7A98">
            <w:pPr>
              <w:rPr>
                <w:rFonts w:cs="Arial"/>
                <w:lang w:val="fr-FR"/>
              </w:rPr>
            </w:pPr>
            <w:r w:rsidRPr="00275290">
              <w:rPr>
                <w:rFonts w:cs="Arial"/>
                <w:lang w:val="fr-FR"/>
              </w:rPr>
              <w:t>Propiconazole : 0.04</w:t>
            </w:r>
          </w:p>
        </w:tc>
        <w:tc>
          <w:tcPr>
            <w:tcW w:w="1559" w:type="dxa"/>
            <w:vAlign w:val="center"/>
          </w:tcPr>
          <w:p w14:paraId="64440BF0" w14:textId="77777777" w:rsidR="004938EA" w:rsidRPr="00275290" w:rsidRDefault="004938EA" w:rsidP="004E7A98">
            <w:pPr>
              <w:rPr>
                <w:rFonts w:cs="Arial"/>
                <w:color w:val="000000"/>
              </w:rPr>
            </w:pPr>
            <w:r w:rsidRPr="00275290">
              <w:rPr>
                <w:rFonts w:cs="Arial"/>
                <w:color w:val="000000"/>
              </w:rPr>
              <w:t>1,60E-06</w:t>
            </w:r>
          </w:p>
        </w:tc>
        <w:tc>
          <w:tcPr>
            <w:tcW w:w="1405" w:type="dxa"/>
            <w:vAlign w:val="center"/>
          </w:tcPr>
          <w:p w14:paraId="218AF4E5" w14:textId="77777777" w:rsidR="004938EA" w:rsidRPr="00275290" w:rsidRDefault="004938EA" w:rsidP="004E7A98">
            <w:pPr>
              <w:rPr>
                <w:rFonts w:cs="Arial"/>
              </w:rPr>
            </w:pPr>
            <w:r w:rsidRPr="00275290">
              <w:rPr>
                <w:rFonts w:cs="Arial"/>
                <w:lang w:val="en-US"/>
              </w:rPr>
              <w:t>&lt;0.01</w:t>
            </w:r>
          </w:p>
        </w:tc>
      </w:tr>
      <w:tr w:rsidR="004938EA" w:rsidRPr="00275290" w14:paraId="72DD3FA2" w14:textId="77777777" w:rsidTr="00C81964">
        <w:tc>
          <w:tcPr>
            <w:tcW w:w="2158" w:type="dxa"/>
            <w:vMerge/>
            <w:vAlign w:val="center"/>
          </w:tcPr>
          <w:p w14:paraId="10D7E793" w14:textId="77777777" w:rsidR="004938EA" w:rsidRPr="00275290" w:rsidRDefault="004938EA" w:rsidP="004E7A98">
            <w:pPr>
              <w:rPr>
                <w:rFonts w:cs="Arial"/>
                <w:lang w:val="en-US"/>
              </w:rPr>
            </w:pPr>
          </w:p>
        </w:tc>
        <w:tc>
          <w:tcPr>
            <w:tcW w:w="2912" w:type="dxa"/>
            <w:vAlign w:val="center"/>
          </w:tcPr>
          <w:p w14:paraId="45DBBEE7" w14:textId="77777777" w:rsidR="004938EA" w:rsidRPr="00275290" w:rsidRDefault="004938EA" w:rsidP="004E7A98">
            <w:pPr>
              <w:rPr>
                <w:rFonts w:cs="Arial"/>
                <w:lang w:val="fr-FR"/>
              </w:rPr>
            </w:pPr>
            <w:r w:rsidRPr="00275290">
              <w:rPr>
                <w:rFonts w:cs="Arial"/>
                <w:lang w:val="fr-FR"/>
              </w:rPr>
              <w:t>Tébuconazole : 0.03</w:t>
            </w:r>
          </w:p>
        </w:tc>
        <w:tc>
          <w:tcPr>
            <w:tcW w:w="1559" w:type="dxa"/>
            <w:vAlign w:val="center"/>
          </w:tcPr>
          <w:p w14:paraId="1A378F38" w14:textId="77777777" w:rsidR="004938EA" w:rsidRPr="00275290" w:rsidRDefault="004938EA" w:rsidP="004E7A98">
            <w:pPr>
              <w:rPr>
                <w:rFonts w:cs="Arial"/>
                <w:color w:val="000000"/>
              </w:rPr>
            </w:pPr>
            <w:r w:rsidRPr="00275290">
              <w:rPr>
                <w:rFonts w:cs="Arial"/>
                <w:color w:val="000000"/>
              </w:rPr>
              <w:t>1,52E-08</w:t>
            </w:r>
          </w:p>
        </w:tc>
        <w:tc>
          <w:tcPr>
            <w:tcW w:w="1405" w:type="dxa"/>
            <w:vAlign w:val="center"/>
          </w:tcPr>
          <w:p w14:paraId="607E0F04" w14:textId="77777777" w:rsidR="004938EA" w:rsidRPr="00275290" w:rsidRDefault="004938EA" w:rsidP="004E7A98">
            <w:pPr>
              <w:rPr>
                <w:rFonts w:cs="Arial"/>
              </w:rPr>
            </w:pPr>
            <w:r w:rsidRPr="00275290">
              <w:rPr>
                <w:rFonts w:cs="Arial"/>
                <w:lang w:val="en-US"/>
              </w:rPr>
              <w:t>&lt;0.01</w:t>
            </w:r>
          </w:p>
        </w:tc>
      </w:tr>
      <w:tr w:rsidR="004938EA" w:rsidRPr="00275290" w14:paraId="7BC5072B" w14:textId="77777777" w:rsidTr="00C81964">
        <w:tc>
          <w:tcPr>
            <w:tcW w:w="2158" w:type="dxa"/>
            <w:vMerge/>
            <w:vAlign w:val="center"/>
          </w:tcPr>
          <w:p w14:paraId="2CDF0D0F" w14:textId="77777777" w:rsidR="004938EA" w:rsidRPr="00275290" w:rsidRDefault="004938EA" w:rsidP="004E7A98">
            <w:pPr>
              <w:rPr>
                <w:rFonts w:cs="Arial"/>
                <w:lang w:val="en-US"/>
              </w:rPr>
            </w:pPr>
          </w:p>
        </w:tc>
        <w:tc>
          <w:tcPr>
            <w:tcW w:w="2912" w:type="dxa"/>
            <w:vAlign w:val="center"/>
          </w:tcPr>
          <w:p w14:paraId="0404BED0" w14:textId="155B5449" w:rsidR="004938EA" w:rsidRPr="00275290" w:rsidRDefault="004938EA" w:rsidP="004E7A98">
            <w:pPr>
              <w:rPr>
                <w:rFonts w:cs="Arial"/>
                <w:lang w:val="fr-FR"/>
              </w:rPr>
            </w:pPr>
            <w:r w:rsidRPr="00275290">
              <w:rPr>
                <w:rFonts w:cs="Arial"/>
                <w:lang w:val="fr-FR"/>
              </w:rPr>
              <w:t>IPBC</w:t>
            </w:r>
            <w:r>
              <w:rPr>
                <w:rFonts w:cs="Arial"/>
                <w:lang w:val="fr-FR"/>
              </w:rPr>
              <w:t> :</w:t>
            </w:r>
            <w:r w:rsidRPr="00275290">
              <w:rPr>
                <w:rFonts w:cs="Arial"/>
                <w:lang w:val="fr-FR"/>
              </w:rPr>
              <w:t xml:space="preserve"> 0.2</w:t>
            </w:r>
          </w:p>
        </w:tc>
        <w:tc>
          <w:tcPr>
            <w:tcW w:w="1559" w:type="dxa"/>
            <w:vAlign w:val="center"/>
          </w:tcPr>
          <w:p w14:paraId="4518D42E" w14:textId="77777777" w:rsidR="004938EA" w:rsidRPr="00275290" w:rsidRDefault="004938EA" w:rsidP="004E7A98">
            <w:pPr>
              <w:rPr>
                <w:rFonts w:cs="Arial"/>
                <w:color w:val="000000"/>
              </w:rPr>
            </w:pPr>
            <w:r w:rsidRPr="00275290">
              <w:rPr>
                <w:rFonts w:cs="Arial"/>
                <w:color w:val="000000"/>
              </w:rPr>
              <w:t>4,03E-05</w:t>
            </w:r>
          </w:p>
        </w:tc>
        <w:tc>
          <w:tcPr>
            <w:tcW w:w="1405" w:type="dxa"/>
            <w:vAlign w:val="center"/>
          </w:tcPr>
          <w:p w14:paraId="6490BF67" w14:textId="77777777" w:rsidR="004938EA" w:rsidRPr="00275290" w:rsidRDefault="004938EA" w:rsidP="004E7A98">
            <w:pPr>
              <w:rPr>
                <w:rFonts w:cs="Arial"/>
              </w:rPr>
            </w:pPr>
            <w:r w:rsidRPr="00275290">
              <w:rPr>
                <w:rFonts w:cs="Arial"/>
                <w:lang w:val="en-US"/>
              </w:rPr>
              <w:t>0.02</w:t>
            </w:r>
          </w:p>
        </w:tc>
      </w:tr>
      <w:tr w:rsidR="004938EA" w:rsidRPr="00275290" w14:paraId="04236F44" w14:textId="77777777" w:rsidTr="00C81964">
        <w:tc>
          <w:tcPr>
            <w:tcW w:w="2158" w:type="dxa"/>
            <w:vMerge w:val="restart"/>
            <w:vAlign w:val="center"/>
          </w:tcPr>
          <w:p w14:paraId="50B107D6" w14:textId="77777777" w:rsidR="004938EA" w:rsidRPr="00275290" w:rsidRDefault="004938EA" w:rsidP="004E7A98">
            <w:pPr>
              <w:rPr>
                <w:rFonts w:cs="Arial"/>
                <w:lang w:val="en-US"/>
              </w:rPr>
            </w:pPr>
            <w:r w:rsidRPr="00275290">
              <w:rPr>
                <w:rFonts w:cs="Arial"/>
                <w:lang w:val="en-US"/>
              </w:rPr>
              <w:t>Infant: inhalation of volatilised residues, indoors</w:t>
            </w:r>
          </w:p>
        </w:tc>
        <w:tc>
          <w:tcPr>
            <w:tcW w:w="2912" w:type="dxa"/>
            <w:vAlign w:val="center"/>
          </w:tcPr>
          <w:p w14:paraId="6E546335" w14:textId="11DBBA96" w:rsidR="004938EA" w:rsidRPr="00275290" w:rsidRDefault="004938EA"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559" w:type="dxa"/>
            <w:vAlign w:val="center"/>
          </w:tcPr>
          <w:p w14:paraId="366EE54F" w14:textId="77777777" w:rsidR="004938EA" w:rsidRPr="00275290" w:rsidRDefault="004938EA" w:rsidP="004E7A98">
            <w:pPr>
              <w:rPr>
                <w:rFonts w:cs="Arial"/>
                <w:color w:val="000000"/>
              </w:rPr>
            </w:pPr>
            <w:r w:rsidRPr="00275290">
              <w:rPr>
                <w:rFonts w:cs="Arial"/>
                <w:color w:val="000000"/>
              </w:rPr>
              <w:t>6,64E-09</w:t>
            </w:r>
          </w:p>
        </w:tc>
        <w:tc>
          <w:tcPr>
            <w:tcW w:w="1405" w:type="dxa"/>
            <w:vAlign w:val="center"/>
          </w:tcPr>
          <w:p w14:paraId="575FE7AE" w14:textId="77777777" w:rsidR="004938EA" w:rsidRPr="00275290" w:rsidRDefault="004938EA" w:rsidP="004E7A98">
            <w:pPr>
              <w:rPr>
                <w:rFonts w:cs="Arial"/>
                <w:lang w:val="en-US"/>
              </w:rPr>
            </w:pPr>
            <w:r w:rsidRPr="00275290">
              <w:rPr>
                <w:rFonts w:cs="Arial"/>
                <w:lang w:val="en-US"/>
              </w:rPr>
              <w:t>&lt;0.01</w:t>
            </w:r>
          </w:p>
        </w:tc>
      </w:tr>
      <w:tr w:rsidR="004938EA" w:rsidRPr="00275290" w14:paraId="345FA7A3" w14:textId="77777777" w:rsidTr="00C81964">
        <w:tc>
          <w:tcPr>
            <w:tcW w:w="2158" w:type="dxa"/>
            <w:vMerge/>
            <w:vAlign w:val="center"/>
          </w:tcPr>
          <w:p w14:paraId="5E7023EC" w14:textId="77777777" w:rsidR="004938EA" w:rsidRPr="00275290" w:rsidRDefault="004938EA" w:rsidP="004E7A98">
            <w:pPr>
              <w:rPr>
                <w:rFonts w:cs="Arial"/>
                <w:lang w:val="en-US"/>
              </w:rPr>
            </w:pPr>
          </w:p>
        </w:tc>
        <w:tc>
          <w:tcPr>
            <w:tcW w:w="2912" w:type="dxa"/>
            <w:vAlign w:val="center"/>
          </w:tcPr>
          <w:p w14:paraId="0F1EF29F" w14:textId="77777777" w:rsidR="004938EA" w:rsidRPr="00275290" w:rsidRDefault="004938EA" w:rsidP="004E7A98">
            <w:pPr>
              <w:rPr>
                <w:rFonts w:cs="Arial"/>
                <w:lang w:val="fr-FR"/>
              </w:rPr>
            </w:pPr>
            <w:r w:rsidRPr="00275290">
              <w:rPr>
                <w:rFonts w:cs="Arial"/>
                <w:lang w:val="fr-FR"/>
              </w:rPr>
              <w:t>Propiconazole : 0.04</w:t>
            </w:r>
          </w:p>
        </w:tc>
        <w:tc>
          <w:tcPr>
            <w:tcW w:w="1559" w:type="dxa"/>
            <w:vAlign w:val="center"/>
          </w:tcPr>
          <w:p w14:paraId="314E8818" w14:textId="77777777" w:rsidR="004938EA" w:rsidRPr="00275290" w:rsidRDefault="004938EA" w:rsidP="004E7A98">
            <w:pPr>
              <w:rPr>
                <w:rFonts w:cs="Arial"/>
                <w:color w:val="000000"/>
              </w:rPr>
            </w:pPr>
            <w:r w:rsidRPr="00275290">
              <w:rPr>
                <w:rFonts w:cs="Arial"/>
                <w:color w:val="000000"/>
              </w:rPr>
              <w:t>3,24E-06</w:t>
            </w:r>
          </w:p>
        </w:tc>
        <w:tc>
          <w:tcPr>
            <w:tcW w:w="1405" w:type="dxa"/>
            <w:vAlign w:val="center"/>
          </w:tcPr>
          <w:p w14:paraId="2CC7BB64" w14:textId="77777777" w:rsidR="004938EA" w:rsidRPr="00275290" w:rsidRDefault="004938EA" w:rsidP="004E7A98">
            <w:pPr>
              <w:rPr>
                <w:rFonts w:cs="Arial"/>
              </w:rPr>
            </w:pPr>
            <w:r w:rsidRPr="00275290">
              <w:rPr>
                <w:rFonts w:cs="Arial"/>
                <w:lang w:val="en-US"/>
              </w:rPr>
              <w:t>&lt;0.01</w:t>
            </w:r>
          </w:p>
        </w:tc>
      </w:tr>
      <w:tr w:rsidR="004938EA" w:rsidRPr="00275290" w14:paraId="6DE57475" w14:textId="77777777" w:rsidTr="00C81964">
        <w:tc>
          <w:tcPr>
            <w:tcW w:w="2158" w:type="dxa"/>
            <w:vMerge/>
            <w:vAlign w:val="center"/>
          </w:tcPr>
          <w:p w14:paraId="54AEE40B" w14:textId="77777777" w:rsidR="004938EA" w:rsidRPr="00275290" w:rsidRDefault="004938EA" w:rsidP="004E7A98">
            <w:pPr>
              <w:rPr>
                <w:rFonts w:cs="Arial"/>
                <w:lang w:val="en-US"/>
              </w:rPr>
            </w:pPr>
          </w:p>
        </w:tc>
        <w:tc>
          <w:tcPr>
            <w:tcW w:w="2912" w:type="dxa"/>
            <w:vAlign w:val="center"/>
          </w:tcPr>
          <w:p w14:paraId="546F4CF1" w14:textId="77777777" w:rsidR="004938EA" w:rsidRPr="00275290" w:rsidRDefault="004938EA" w:rsidP="004E7A98">
            <w:pPr>
              <w:rPr>
                <w:rFonts w:cs="Arial"/>
                <w:lang w:val="fr-FR"/>
              </w:rPr>
            </w:pPr>
            <w:r w:rsidRPr="00275290">
              <w:rPr>
                <w:rFonts w:cs="Arial"/>
                <w:lang w:val="fr-FR"/>
              </w:rPr>
              <w:t>Tébuconazole : 0.03</w:t>
            </w:r>
          </w:p>
        </w:tc>
        <w:tc>
          <w:tcPr>
            <w:tcW w:w="1559" w:type="dxa"/>
            <w:vAlign w:val="center"/>
          </w:tcPr>
          <w:p w14:paraId="4CE79650" w14:textId="77777777" w:rsidR="004938EA" w:rsidRPr="00275290" w:rsidRDefault="004938EA" w:rsidP="004E7A98">
            <w:pPr>
              <w:rPr>
                <w:rFonts w:cs="Arial"/>
                <w:color w:val="000000"/>
              </w:rPr>
            </w:pPr>
            <w:r w:rsidRPr="00275290">
              <w:rPr>
                <w:rFonts w:cs="Arial"/>
                <w:color w:val="000000"/>
              </w:rPr>
              <w:t>3,07E-08</w:t>
            </w:r>
          </w:p>
        </w:tc>
        <w:tc>
          <w:tcPr>
            <w:tcW w:w="1405" w:type="dxa"/>
            <w:vAlign w:val="center"/>
          </w:tcPr>
          <w:p w14:paraId="6B7E4FF4" w14:textId="77777777" w:rsidR="004938EA" w:rsidRPr="00275290" w:rsidRDefault="004938EA" w:rsidP="004E7A98">
            <w:pPr>
              <w:rPr>
                <w:rFonts w:cs="Arial"/>
              </w:rPr>
            </w:pPr>
            <w:r w:rsidRPr="00275290">
              <w:rPr>
                <w:rFonts w:cs="Arial"/>
                <w:lang w:val="en-US"/>
              </w:rPr>
              <w:t>&lt;0.01</w:t>
            </w:r>
          </w:p>
        </w:tc>
      </w:tr>
      <w:tr w:rsidR="004938EA" w:rsidRPr="00275290" w14:paraId="62BE81C8" w14:textId="77777777" w:rsidTr="00C81964">
        <w:tc>
          <w:tcPr>
            <w:tcW w:w="2158" w:type="dxa"/>
            <w:vMerge/>
            <w:vAlign w:val="center"/>
          </w:tcPr>
          <w:p w14:paraId="16B1AEBB" w14:textId="77777777" w:rsidR="004938EA" w:rsidRPr="00275290" w:rsidRDefault="004938EA" w:rsidP="004E7A98">
            <w:pPr>
              <w:rPr>
                <w:rFonts w:cs="Arial"/>
                <w:lang w:val="en-US"/>
              </w:rPr>
            </w:pPr>
          </w:p>
        </w:tc>
        <w:tc>
          <w:tcPr>
            <w:tcW w:w="2912" w:type="dxa"/>
            <w:vAlign w:val="center"/>
          </w:tcPr>
          <w:p w14:paraId="39890A16" w14:textId="3591C729" w:rsidR="004938EA" w:rsidRPr="00275290" w:rsidRDefault="004938EA" w:rsidP="004E7A98">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1559" w:type="dxa"/>
            <w:vAlign w:val="center"/>
          </w:tcPr>
          <w:p w14:paraId="5954B2C6" w14:textId="77777777" w:rsidR="004938EA" w:rsidRPr="00275290" w:rsidRDefault="004938EA" w:rsidP="004E7A98">
            <w:pPr>
              <w:rPr>
                <w:rFonts w:cs="Arial"/>
                <w:color w:val="000000"/>
              </w:rPr>
            </w:pPr>
            <w:r w:rsidRPr="00275290">
              <w:rPr>
                <w:rFonts w:cs="Arial"/>
                <w:color w:val="000000"/>
              </w:rPr>
              <w:t>8,15E-05</w:t>
            </w:r>
          </w:p>
        </w:tc>
        <w:tc>
          <w:tcPr>
            <w:tcW w:w="1405" w:type="dxa"/>
            <w:vAlign w:val="center"/>
          </w:tcPr>
          <w:p w14:paraId="215B4C65" w14:textId="77777777" w:rsidR="004938EA" w:rsidRPr="00275290" w:rsidRDefault="004938EA" w:rsidP="004E7A98">
            <w:pPr>
              <w:rPr>
                <w:rFonts w:cs="Arial"/>
              </w:rPr>
            </w:pPr>
            <w:r w:rsidRPr="00275290">
              <w:rPr>
                <w:rFonts w:cs="Arial"/>
                <w:lang w:val="en-US"/>
              </w:rPr>
              <w:t>0.04</w:t>
            </w:r>
          </w:p>
        </w:tc>
      </w:tr>
      <w:tr w:rsidR="004938EA" w:rsidRPr="00275290" w14:paraId="5C397D37" w14:textId="77777777" w:rsidTr="00C81964">
        <w:tc>
          <w:tcPr>
            <w:tcW w:w="2158" w:type="dxa"/>
            <w:vMerge w:val="restart"/>
            <w:vAlign w:val="center"/>
          </w:tcPr>
          <w:p w14:paraId="4185BFE8" w14:textId="77777777" w:rsidR="004938EA" w:rsidRPr="00275290" w:rsidRDefault="004938EA" w:rsidP="004E7A98">
            <w:pPr>
              <w:rPr>
                <w:rFonts w:cs="Arial"/>
                <w:lang w:val="en-US"/>
              </w:rPr>
            </w:pPr>
            <w:r w:rsidRPr="00275290">
              <w:rPr>
                <w:rFonts w:cs="Arial"/>
                <w:lang w:val="en-US"/>
              </w:rPr>
              <w:t>Child playing on playground structure outdoors</w:t>
            </w:r>
          </w:p>
        </w:tc>
        <w:tc>
          <w:tcPr>
            <w:tcW w:w="2912" w:type="dxa"/>
            <w:vAlign w:val="center"/>
          </w:tcPr>
          <w:p w14:paraId="3B59B0A5" w14:textId="3492525A" w:rsidR="004938EA" w:rsidRPr="00275290" w:rsidRDefault="004938EA"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559" w:type="dxa"/>
            <w:vAlign w:val="center"/>
          </w:tcPr>
          <w:p w14:paraId="7ADA7D7C" w14:textId="77777777" w:rsidR="004938EA" w:rsidRPr="00275290" w:rsidRDefault="004938EA" w:rsidP="004E7A98">
            <w:pPr>
              <w:rPr>
                <w:rFonts w:cs="Arial"/>
                <w:color w:val="000000"/>
              </w:rPr>
            </w:pPr>
            <w:r w:rsidRPr="00275290">
              <w:rPr>
                <w:rFonts w:cs="Arial"/>
                <w:color w:val="000000"/>
              </w:rPr>
              <w:t>1,03E-03</w:t>
            </w:r>
          </w:p>
        </w:tc>
        <w:tc>
          <w:tcPr>
            <w:tcW w:w="1405" w:type="dxa"/>
            <w:vAlign w:val="center"/>
          </w:tcPr>
          <w:p w14:paraId="2B0CEC31" w14:textId="77777777" w:rsidR="004938EA" w:rsidRPr="00275290" w:rsidRDefault="004938EA" w:rsidP="004E7A98">
            <w:pPr>
              <w:rPr>
                <w:rFonts w:cs="Arial"/>
                <w:lang w:val="en-US"/>
              </w:rPr>
            </w:pPr>
            <w:r w:rsidRPr="00275290">
              <w:rPr>
                <w:rFonts w:cs="Arial"/>
                <w:lang w:val="en-US"/>
              </w:rPr>
              <w:t>4.7</w:t>
            </w:r>
          </w:p>
        </w:tc>
      </w:tr>
      <w:tr w:rsidR="004938EA" w:rsidRPr="00275290" w14:paraId="42A7AF3E" w14:textId="77777777" w:rsidTr="00C81964">
        <w:tc>
          <w:tcPr>
            <w:tcW w:w="2158" w:type="dxa"/>
            <w:vMerge/>
            <w:vAlign w:val="center"/>
          </w:tcPr>
          <w:p w14:paraId="248585C4" w14:textId="77777777" w:rsidR="004938EA" w:rsidRPr="00275290" w:rsidRDefault="004938EA" w:rsidP="004E7A98">
            <w:pPr>
              <w:rPr>
                <w:rFonts w:cs="Arial"/>
                <w:lang w:val="en-US"/>
              </w:rPr>
            </w:pPr>
          </w:p>
        </w:tc>
        <w:tc>
          <w:tcPr>
            <w:tcW w:w="2912" w:type="dxa"/>
            <w:vAlign w:val="center"/>
          </w:tcPr>
          <w:p w14:paraId="3169816D" w14:textId="77777777" w:rsidR="004938EA" w:rsidRPr="00275290" w:rsidRDefault="004938EA" w:rsidP="004E7A98">
            <w:pPr>
              <w:rPr>
                <w:rFonts w:cs="Arial"/>
                <w:lang w:val="fr-FR"/>
              </w:rPr>
            </w:pPr>
            <w:r w:rsidRPr="00275290">
              <w:rPr>
                <w:rFonts w:cs="Arial"/>
                <w:lang w:val="fr-FR"/>
              </w:rPr>
              <w:t>Propiconazole : 0.04</w:t>
            </w:r>
          </w:p>
        </w:tc>
        <w:tc>
          <w:tcPr>
            <w:tcW w:w="1559" w:type="dxa"/>
            <w:vAlign w:val="center"/>
          </w:tcPr>
          <w:p w14:paraId="3797088B" w14:textId="77777777" w:rsidR="004938EA" w:rsidRPr="00275290" w:rsidRDefault="004938EA" w:rsidP="004E7A98">
            <w:pPr>
              <w:rPr>
                <w:rFonts w:cs="Arial"/>
                <w:color w:val="000000"/>
              </w:rPr>
            </w:pPr>
            <w:r w:rsidRPr="00275290">
              <w:rPr>
                <w:rFonts w:cs="Arial"/>
                <w:color w:val="000000"/>
              </w:rPr>
              <w:t>1,48E-03</w:t>
            </w:r>
          </w:p>
        </w:tc>
        <w:tc>
          <w:tcPr>
            <w:tcW w:w="1405" w:type="dxa"/>
            <w:vAlign w:val="center"/>
          </w:tcPr>
          <w:p w14:paraId="382F7D16" w14:textId="77777777" w:rsidR="004938EA" w:rsidRPr="00275290" w:rsidRDefault="004938EA" w:rsidP="004E7A98">
            <w:pPr>
              <w:rPr>
                <w:rFonts w:cs="Arial"/>
                <w:lang w:val="en-US"/>
              </w:rPr>
            </w:pPr>
            <w:r w:rsidRPr="00275290">
              <w:rPr>
                <w:rFonts w:cs="Arial"/>
                <w:lang w:val="en-US"/>
              </w:rPr>
              <w:t>3.7</w:t>
            </w:r>
          </w:p>
        </w:tc>
      </w:tr>
      <w:tr w:rsidR="004938EA" w:rsidRPr="00275290" w14:paraId="74B2C888" w14:textId="77777777" w:rsidTr="00C81964">
        <w:tc>
          <w:tcPr>
            <w:tcW w:w="2158" w:type="dxa"/>
            <w:vMerge/>
            <w:vAlign w:val="center"/>
          </w:tcPr>
          <w:p w14:paraId="35FAC6F3" w14:textId="77777777" w:rsidR="004938EA" w:rsidRPr="00275290" w:rsidRDefault="004938EA" w:rsidP="004E7A98">
            <w:pPr>
              <w:rPr>
                <w:rFonts w:cs="Arial"/>
                <w:lang w:val="en-US"/>
              </w:rPr>
            </w:pPr>
          </w:p>
        </w:tc>
        <w:tc>
          <w:tcPr>
            <w:tcW w:w="2912" w:type="dxa"/>
            <w:vAlign w:val="center"/>
          </w:tcPr>
          <w:p w14:paraId="70AF218E" w14:textId="77777777" w:rsidR="004938EA" w:rsidRPr="00275290" w:rsidRDefault="004938EA" w:rsidP="004E7A98">
            <w:pPr>
              <w:rPr>
                <w:rFonts w:cs="Arial"/>
                <w:lang w:val="fr-FR"/>
              </w:rPr>
            </w:pPr>
            <w:r w:rsidRPr="00275290">
              <w:rPr>
                <w:rFonts w:cs="Arial"/>
                <w:lang w:val="fr-FR"/>
              </w:rPr>
              <w:t>Tébuconazole : 0.03</w:t>
            </w:r>
          </w:p>
        </w:tc>
        <w:tc>
          <w:tcPr>
            <w:tcW w:w="1559" w:type="dxa"/>
            <w:vAlign w:val="center"/>
          </w:tcPr>
          <w:p w14:paraId="09A73728" w14:textId="095A71F0" w:rsidR="004938EA" w:rsidRPr="00275290" w:rsidRDefault="003F6605" w:rsidP="004E7A98">
            <w:pPr>
              <w:rPr>
                <w:rFonts w:cs="Arial"/>
                <w:color w:val="000000"/>
              </w:rPr>
            </w:pPr>
            <w:r>
              <w:rPr>
                <w:rFonts w:cs="Arial"/>
                <w:color w:val="000000"/>
              </w:rPr>
              <w:t>5.52</w:t>
            </w:r>
            <w:r w:rsidR="004938EA" w:rsidRPr="00275290">
              <w:rPr>
                <w:rFonts w:cs="Arial"/>
                <w:color w:val="000000"/>
              </w:rPr>
              <w:t>E-04</w:t>
            </w:r>
          </w:p>
        </w:tc>
        <w:tc>
          <w:tcPr>
            <w:tcW w:w="1405" w:type="dxa"/>
            <w:vAlign w:val="center"/>
          </w:tcPr>
          <w:p w14:paraId="6EFBA2AA" w14:textId="6DD1B1AB" w:rsidR="004938EA" w:rsidRPr="00275290" w:rsidRDefault="003F6605" w:rsidP="004E7A98">
            <w:pPr>
              <w:rPr>
                <w:rFonts w:cs="Arial"/>
                <w:lang w:val="en-US"/>
              </w:rPr>
            </w:pPr>
            <w:r>
              <w:rPr>
                <w:rFonts w:cs="Arial"/>
                <w:lang w:val="en-US"/>
              </w:rPr>
              <w:t>1</w:t>
            </w:r>
            <w:r w:rsidR="004938EA" w:rsidRPr="00275290">
              <w:rPr>
                <w:rFonts w:cs="Arial"/>
                <w:lang w:val="en-US"/>
              </w:rPr>
              <w:t>.8</w:t>
            </w:r>
          </w:p>
        </w:tc>
      </w:tr>
      <w:tr w:rsidR="004938EA" w:rsidRPr="00275290" w14:paraId="632C1CDB" w14:textId="77777777" w:rsidTr="00C81964">
        <w:tc>
          <w:tcPr>
            <w:tcW w:w="2158" w:type="dxa"/>
            <w:vMerge/>
            <w:vAlign w:val="center"/>
          </w:tcPr>
          <w:p w14:paraId="09C3F0A9" w14:textId="77777777" w:rsidR="004938EA" w:rsidRPr="00275290" w:rsidRDefault="004938EA" w:rsidP="004E7A98">
            <w:pPr>
              <w:rPr>
                <w:rFonts w:cs="Arial"/>
                <w:lang w:val="en-US"/>
              </w:rPr>
            </w:pPr>
          </w:p>
        </w:tc>
        <w:tc>
          <w:tcPr>
            <w:tcW w:w="2912" w:type="dxa"/>
            <w:vAlign w:val="center"/>
          </w:tcPr>
          <w:p w14:paraId="3CF4428F" w14:textId="2E02911D" w:rsidR="004938EA" w:rsidRPr="00275290" w:rsidRDefault="004938EA" w:rsidP="004E7A98">
            <w:pPr>
              <w:rPr>
                <w:rFonts w:cs="Arial"/>
                <w:lang w:val="fr-FR"/>
              </w:rPr>
            </w:pPr>
            <w:r w:rsidRPr="00275290">
              <w:rPr>
                <w:rFonts w:cs="Arial"/>
                <w:lang w:val="fr-FR"/>
              </w:rPr>
              <w:t>IPBC</w:t>
            </w:r>
            <w:r>
              <w:rPr>
                <w:rFonts w:cs="Arial"/>
                <w:lang w:val="fr-FR"/>
              </w:rPr>
              <w:t xml:space="preserve"> : </w:t>
            </w:r>
            <w:r w:rsidRPr="00275290">
              <w:rPr>
                <w:rFonts w:cs="Arial"/>
                <w:lang w:val="fr-FR"/>
              </w:rPr>
              <w:t xml:space="preserve"> 0.2</w:t>
            </w:r>
          </w:p>
        </w:tc>
        <w:tc>
          <w:tcPr>
            <w:tcW w:w="1559" w:type="dxa"/>
            <w:vAlign w:val="center"/>
          </w:tcPr>
          <w:p w14:paraId="01AA4683" w14:textId="2099D0C7" w:rsidR="004938EA" w:rsidRPr="00275290" w:rsidRDefault="003F6605" w:rsidP="004E7A98">
            <w:pPr>
              <w:rPr>
                <w:rFonts w:cs="Arial"/>
                <w:color w:val="000000"/>
              </w:rPr>
            </w:pPr>
            <w:r>
              <w:rPr>
                <w:rFonts w:cs="Arial"/>
                <w:color w:val="000000"/>
              </w:rPr>
              <w:t>1.34</w:t>
            </w:r>
            <w:r w:rsidR="004938EA" w:rsidRPr="00275290">
              <w:rPr>
                <w:rFonts w:cs="Arial"/>
                <w:color w:val="000000"/>
              </w:rPr>
              <w:t>E-03</w:t>
            </w:r>
          </w:p>
        </w:tc>
        <w:tc>
          <w:tcPr>
            <w:tcW w:w="1405" w:type="dxa"/>
            <w:vAlign w:val="center"/>
          </w:tcPr>
          <w:p w14:paraId="7C5FCBE7" w14:textId="47EB2C3F" w:rsidR="004938EA" w:rsidRPr="00275290" w:rsidRDefault="003F6605" w:rsidP="004E7A98">
            <w:pPr>
              <w:rPr>
                <w:rFonts w:cs="Arial"/>
                <w:lang w:val="en-US"/>
              </w:rPr>
            </w:pPr>
            <w:r>
              <w:rPr>
                <w:rFonts w:cs="Arial"/>
                <w:lang w:val="en-US"/>
              </w:rPr>
              <w:t>0.7</w:t>
            </w:r>
          </w:p>
        </w:tc>
      </w:tr>
      <w:tr w:rsidR="004938EA" w:rsidRPr="00275290" w14:paraId="00E46C95" w14:textId="77777777" w:rsidTr="00C81964">
        <w:tc>
          <w:tcPr>
            <w:tcW w:w="2158" w:type="dxa"/>
            <w:vMerge w:val="restart"/>
            <w:vAlign w:val="center"/>
          </w:tcPr>
          <w:p w14:paraId="2E5BF6F2" w14:textId="77777777" w:rsidR="004938EA" w:rsidRPr="00275290" w:rsidRDefault="004938EA" w:rsidP="004E7A98">
            <w:pPr>
              <w:rPr>
                <w:rFonts w:cs="Arial"/>
                <w:lang w:val="en-US"/>
              </w:rPr>
            </w:pPr>
            <w:r w:rsidRPr="00275290">
              <w:rPr>
                <w:rFonts w:cs="Arial"/>
                <w:lang w:val="en-US"/>
              </w:rPr>
              <w:t>Infant playing on playground structure outdoors and mouthing</w:t>
            </w:r>
          </w:p>
          <w:p w14:paraId="191D7649" w14:textId="77777777" w:rsidR="004938EA" w:rsidRPr="00275290" w:rsidRDefault="004938EA" w:rsidP="004E7A98">
            <w:pPr>
              <w:rPr>
                <w:rFonts w:cs="Arial"/>
                <w:lang w:val="en-US"/>
              </w:rPr>
            </w:pPr>
          </w:p>
        </w:tc>
        <w:tc>
          <w:tcPr>
            <w:tcW w:w="2912" w:type="dxa"/>
            <w:vAlign w:val="center"/>
          </w:tcPr>
          <w:p w14:paraId="7A430263" w14:textId="6C6E1418" w:rsidR="004938EA" w:rsidRPr="00275290" w:rsidRDefault="004938EA"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559" w:type="dxa"/>
            <w:vAlign w:val="center"/>
          </w:tcPr>
          <w:p w14:paraId="77BF8F91" w14:textId="77777777" w:rsidR="004938EA" w:rsidRPr="00275290" w:rsidRDefault="004938EA" w:rsidP="004E7A98">
            <w:pPr>
              <w:rPr>
                <w:rFonts w:cs="Arial"/>
                <w:color w:val="000000"/>
              </w:rPr>
            </w:pPr>
            <w:r w:rsidRPr="00275290">
              <w:rPr>
                <w:rFonts w:cs="Arial"/>
                <w:color w:val="000000"/>
              </w:rPr>
              <w:t>4,58E-03</w:t>
            </w:r>
          </w:p>
        </w:tc>
        <w:tc>
          <w:tcPr>
            <w:tcW w:w="1405" w:type="dxa"/>
            <w:vAlign w:val="center"/>
          </w:tcPr>
          <w:p w14:paraId="0AF39468" w14:textId="77777777" w:rsidR="004938EA" w:rsidRPr="00275290" w:rsidRDefault="004938EA" w:rsidP="004E7A98">
            <w:pPr>
              <w:rPr>
                <w:rFonts w:cs="Arial"/>
                <w:lang w:val="fr-FR"/>
              </w:rPr>
            </w:pPr>
            <w:r w:rsidRPr="00275290">
              <w:rPr>
                <w:rFonts w:cs="Arial"/>
                <w:lang w:val="fr-FR"/>
              </w:rPr>
              <w:t>20.8</w:t>
            </w:r>
          </w:p>
        </w:tc>
      </w:tr>
      <w:tr w:rsidR="004938EA" w:rsidRPr="00275290" w14:paraId="06845F9E" w14:textId="77777777" w:rsidTr="00C81964">
        <w:tc>
          <w:tcPr>
            <w:tcW w:w="2158" w:type="dxa"/>
            <w:vMerge/>
            <w:vAlign w:val="center"/>
          </w:tcPr>
          <w:p w14:paraId="56264DF2" w14:textId="77777777" w:rsidR="004938EA" w:rsidRPr="00275290" w:rsidRDefault="004938EA" w:rsidP="004E7A98">
            <w:pPr>
              <w:rPr>
                <w:rFonts w:cs="Arial"/>
                <w:lang w:val="fr-FR"/>
              </w:rPr>
            </w:pPr>
          </w:p>
        </w:tc>
        <w:tc>
          <w:tcPr>
            <w:tcW w:w="2912" w:type="dxa"/>
            <w:vAlign w:val="center"/>
          </w:tcPr>
          <w:p w14:paraId="16891123" w14:textId="77777777" w:rsidR="004938EA" w:rsidRPr="00275290" w:rsidRDefault="004938EA" w:rsidP="004E7A98">
            <w:pPr>
              <w:rPr>
                <w:rFonts w:cs="Arial"/>
                <w:lang w:val="fr-FR"/>
              </w:rPr>
            </w:pPr>
            <w:r w:rsidRPr="00275290">
              <w:rPr>
                <w:rFonts w:cs="Arial"/>
                <w:lang w:val="fr-FR"/>
              </w:rPr>
              <w:t>Propiconazole : 0.04</w:t>
            </w:r>
          </w:p>
        </w:tc>
        <w:tc>
          <w:tcPr>
            <w:tcW w:w="1559" w:type="dxa"/>
            <w:vAlign w:val="center"/>
          </w:tcPr>
          <w:p w14:paraId="236330F3" w14:textId="77777777" w:rsidR="004938EA" w:rsidRPr="00275290" w:rsidRDefault="004938EA" w:rsidP="004E7A98">
            <w:pPr>
              <w:rPr>
                <w:rFonts w:cs="Arial"/>
                <w:color w:val="000000"/>
              </w:rPr>
            </w:pPr>
            <w:r w:rsidRPr="00275290">
              <w:rPr>
                <w:rFonts w:cs="Arial"/>
                <w:color w:val="000000"/>
              </w:rPr>
              <w:t>1,29E-02</w:t>
            </w:r>
          </w:p>
        </w:tc>
        <w:tc>
          <w:tcPr>
            <w:tcW w:w="1405" w:type="dxa"/>
            <w:vAlign w:val="center"/>
          </w:tcPr>
          <w:p w14:paraId="2F59ADD3" w14:textId="77777777" w:rsidR="004938EA" w:rsidRPr="00275290" w:rsidRDefault="004938EA" w:rsidP="004E7A98">
            <w:pPr>
              <w:rPr>
                <w:rFonts w:cs="Arial"/>
                <w:lang w:val="fr-FR"/>
              </w:rPr>
            </w:pPr>
            <w:r w:rsidRPr="00275290">
              <w:rPr>
                <w:rFonts w:cs="Arial"/>
                <w:lang w:val="fr-FR"/>
              </w:rPr>
              <w:t>32.2</w:t>
            </w:r>
          </w:p>
        </w:tc>
      </w:tr>
      <w:tr w:rsidR="004938EA" w:rsidRPr="00275290" w14:paraId="2760F447" w14:textId="77777777" w:rsidTr="00C81964">
        <w:tc>
          <w:tcPr>
            <w:tcW w:w="2158" w:type="dxa"/>
            <w:vMerge/>
            <w:vAlign w:val="center"/>
          </w:tcPr>
          <w:p w14:paraId="1F54DF28" w14:textId="77777777" w:rsidR="004938EA" w:rsidRPr="00275290" w:rsidRDefault="004938EA" w:rsidP="004E7A98">
            <w:pPr>
              <w:rPr>
                <w:rFonts w:cs="Arial"/>
                <w:lang w:val="fr-FR"/>
              </w:rPr>
            </w:pPr>
          </w:p>
        </w:tc>
        <w:tc>
          <w:tcPr>
            <w:tcW w:w="2912" w:type="dxa"/>
            <w:vAlign w:val="center"/>
          </w:tcPr>
          <w:p w14:paraId="1601C232" w14:textId="77777777" w:rsidR="004938EA" w:rsidRPr="00275290" w:rsidRDefault="004938EA" w:rsidP="004E7A98">
            <w:pPr>
              <w:rPr>
                <w:rFonts w:cs="Arial"/>
                <w:lang w:val="fr-FR"/>
              </w:rPr>
            </w:pPr>
            <w:r w:rsidRPr="00275290">
              <w:rPr>
                <w:rFonts w:cs="Arial"/>
                <w:lang w:val="fr-FR"/>
              </w:rPr>
              <w:t>Tébuconazole : 0.03</w:t>
            </w:r>
          </w:p>
        </w:tc>
        <w:tc>
          <w:tcPr>
            <w:tcW w:w="1559" w:type="dxa"/>
            <w:vAlign w:val="center"/>
          </w:tcPr>
          <w:p w14:paraId="5C83C8A3" w14:textId="77777777" w:rsidR="004938EA" w:rsidRPr="00275290" w:rsidRDefault="004938EA" w:rsidP="004E7A98">
            <w:pPr>
              <w:rPr>
                <w:rFonts w:cs="Arial"/>
                <w:color w:val="000000"/>
              </w:rPr>
            </w:pPr>
            <w:r w:rsidRPr="00275290">
              <w:rPr>
                <w:rFonts w:cs="Arial"/>
                <w:color w:val="000000"/>
              </w:rPr>
              <w:t>4,17E-03</w:t>
            </w:r>
          </w:p>
        </w:tc>
        <w:tc>
          <w:tcPr>
            <w:tcW w:w="1405" w:type="dxa"/>
            <w:vAlign w:val="center"/>
          </w:tcPr>
          <w:p w14:paraId="46B4F233" w14:textId="77777777" w:rsidR="004938EA" w:rsidRPr="00275290" w:rsidRDefault="004938EA" w:rsidP="004E7A98">
            <w:pPr>
              <w:rPr>
                <w:rFonts w:cs="Arial"/>
                <w:lang w:val="fr-FR"/>
              </w:rPr>
            </w:pPr>
            <w:r w:rsidRPr="00275290">
              <w:rPr>
                <w:rFonts w:cs="Arial"/>
                <w:lang w:val="fr-FR"/>
              </w:rPr>
              <w:t>13.9</w:t>
            </w:r>
          </w:p>
        </w:tc>
      </w:tr>
      <w:tr w:rsidR="004938EA" w:rsidRPr="00275290" w14:paraId="5CA49FBD" w14:textId="77777777" w:rsidTr="00C81964">
        <w:tc>
          <w:tcPr>
            <w:tcW w:w="2158" w:type="dxa"/>
            <w:vMerge/>
            <w:vAlign w:val="center"/>
          </w:tcPr>
          <w:p w14:paraId="4D87FF64" w14:textId="77777777" w:rsidR="004938EA" w:rsidRPr="00275290" w:rsidRDefault="004938EA" w:rsidP="004E7A98">
            <w:pPr>
              <w:rPr>
                <w:rFonts w:cs="Arial"/>
                <w:lang w:val="fr-FR"/>
              </w:rPr>
            </w:pPr>
          </w:p>
        </w:tc>
        <w:tc>
          <w:tcPr>
            <w:tcW w:w="2912" w:type="dxa"/>
            <w:vAlign w:val="center"/>
          </w:tcPr>
          <w:p w14:paraId="755D709F" w14:textId="0E807BF3" w:rsidR="004938EA" w:rsidRPr="00275290" w:rsidRDefault="004938EA" w:rsidP="004E7A98">
            <w:pPr>
              <w:rPr>
                <w:rFonts w:cs="Arial"/>
                <w:lang w:val="fr-FR"/>
              </w:rPr>
            </w:pPr>
            <w:r w:rsidRPr="00275290">
              <w:rPr>
                <w:rFonts w:cs="Arial"/>
                <w:lang w:val="fr-FR"/>
              </w:rPr>
              <w:t>IPBC</w:t>
            </w:r>
            <w:r>
              <w:rPr>
                <w:rFonts w:cs="Arial"/>
                <w:lang w:val="fr-FR"/>
              </w:rPr>
              <w:t xml:space="preserve"> : </w:t>
            </w:r>
            <w:r w:rsidRPr="00275290">
              <w:rPr>
                <w:rFonts w:cs="Arial"/>
                <w:lang w:val="fr-FR"/>
              </w:rPr>
              <w:t xml:space="preserve"> 0.2</w:t>
            </w:r>
          </w:p>
        </w:tc>
        <w:tc>
          <w:tcPr>
            <w:tcW w:w="1559" w:type="dxa"/>
            <w:vAlign w:val="center"/>
          </w:tcPr>
          <w:p w14:paraId="1CB6870A" w14:textId="77777777" w:rsidR="004938EA" w:rsidRPr="00275290" w:rsidRDefault="004938EA" w:rsidP="004E7A98">
            <w:pPr>
              <w:rPr>
                <w:rFonts w:cs="Arial"/>
                <w:color w:val="000000"/>
              </w:rPr>
            </w:pPr>
            <w:r w:rsidRPr="00275290">
              <w:rPr>
                <w:rFonts w:cs="Arial"/>
                <w:color w:val="000000"/>
              </w:rPr>
              <w:t>5,34E-03</w:t>
            </w:r>
          </w:p>
        </w:tc>
        <w:tc>
          <w:tcPr>
            <w:tcW w:w="1405" w:type="dxa"/>
            <w:vAlign w:val="center"/>
          </w:tcPr>
          <w:p w14:paraId="2167471A" w14:textId="77777777" w:rsidR="004938EA" w:rsidRPr="00275290" w:rsidRDefault="004938EA" w:rsidP="004E7A98">
            <w:pPr>
              <w:rPr>
                <w:rFonts w:cs="Arial"/>
                <w:lang w:val="fr-FR"/>
              </w:rPr>
            </w:pPr>
            <w:r w:rsidRPr="00275290">
              <w:rPr>
                <w:rFonts w:cs="Arial"/>
                <w:lang w:val="fr-FR"/>
              </w:rPr>
              <w:t>2.7</w:t>
            </w:r>
          </w:p>
        </w:tc>
      </w:tr>
    </w:tbl>
    <w:p w14:paraId="3290EA7B" w14:textId="77777777" w:rsidR="009D4550" w:rsidRPr="00275290" w:rsidRDefault="009D4550" w:rsidP="009D4550">
      <w:pPr>
        <w:rPr>
          <w:rFonts w:cs="Arial"/>
        </w:rPr>
      </w:pPr>
    </w:p>
    <w:p w14:paraId="5E8461B3" w14:textId="77777777" w:rsidR="009D4550" w:rsidRPr="00275290" w:rsidRDefault="009D4550" w:rsidP="009D4550">
      <w:pPr>
        <w:pStyle w:val="BfRBBStandard"/>
        <w:rPr>
          <w:rFonts w:ascii="Verdana" w:eastAsia="Times New Roman" w:hAnsi="Verdana"/>
          <w:sz w:val="20"/>
          <w:szCs w:val="20"/>
          <w:lang w:val="en-GB" w:eastAsia="sv-SE"/>
        </w:rPr>
      </w:pPr>
    </w:p>
    <w:p w14:paraId="17A4EBAB"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2CF1B838"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875"/>
        <w:gridCol w:w="1859"/>
        <w:gridCol w:w="1206"/>
        <w:gridCol w:w="1419"/>
        <w:gridCol w:w="1498"/>
      </w:tblGrid>
      <w:tr w:rsidR="009D4550" w:rsidRPr="00275290" w14:paraId="506ECB3F" w14:textId="77777777" w:rsidTr="004E7A98">
        <w:tc>
          <w:tcPr>
            <w:tcW w:w="1939" w:type="dxa"/>
            <w:vAlign w:val="center"/>
          </w:tcPr>
          <w:p w14:paraId="5034FF8E" w14:textId="77777777" w:rsidR="009D4550" w:rsidRPr="00275290" w:rsidRDefault="009D4550" w:rsidP="004E7A98">
            <w:pPr>
              <w:rPr>
                <w:rFonts w:cs="Arial"/>
                <w:lang w:val="fr-FR"/>
              </w:rPr>
            </w:pPr>
            <w:r w:rsidRPr="00275290">
              <w:rPr>
                <w:rFonts w:cs="Arial"/>
                <w:lang w:val="fr-FR"/>
              </w:rPr>
              <w:t>Cyperméthrine</w:t>
            </w:r>
          </w:p>
        </w:tc>
        <w:tc>
          <w:tcPr>
            <w:tcW w:w="1911" w:type="dxa"/>
            <w:vAlign w:val="center"/>
          </w:tcPr>
          <w:p w14:paraId="1C3CC1CE" w14:textId="77777777" w:rsidR="009D4550" w:rsidRPr="00275290" w:rsidRDefault="009D4550" w:rsidP="004E7A98">
            <w:pPr>
              <w:rPr>
                <w:rFonts w:cs="Arial"/>
                <w:lang w:val="fr-FR"/>
              </w:rPr>
            </w:pPr>
            <w:r w:rsidRPr="00275290">
              <w:rPr>
                <w:rFonts w:cs="Arial"/>
                <w:lang w:val="fr-FR"/>
              </w:rPr>
              <w:t>Propiconazole</w:t>
            </w:r>
          </w:p>
        </w:tc>
        <w:tc>
          <w:tcPr>
            <w:tcW w:w="1895" w:type="dxa"/>
            <w:vAlign w:val="center"/>
          </w:tcPr>
          <w:p w14:paraId="61E3BFCB" w14:textId="77777777" w:rsidR="009D4550" w:rsidRPr="00275290" w:rsidRDefault="009D4550" w:rsidP="004E7A98">
            <w:pPr>
              <w:rPr>
                <w:rFonts w:cs="Arial"/>
                <w:lang w:val="fr-FR"/>
              </w:rPr>
            </w:pPr>
            <w:r w:rsidRPr="00275290">
              <w:rPr>
                <w:rFonts w:cs="Arial"/>
                <w:lang w:val="fr-FR"/>
              </w:rPr>
              <w:t>Tébuconazole</w:t>
            </w:r>
          </w:p>
        </w:tc>
        <w:tc>
          <w:tcPr>
            <w:tcW w:w="1243" w:type="dxa"/>
            <w:shd w:val="clear" w:color="auto" w:fill="auto"/>
          </w:tcPr>
          <w:p w14:paraId="7941C548" w14:textId="77777777" w:rsidR="009D4550" w:rsidRPr="00275290" w:rsidRDefault="009D4550" w:rsidP="004E7A98">
            <w:pPr>
              <w:rPr>
                <w:rFonts w:cs="Arial"/>
                <w:lang w:val="fr-FR"/>
              </w:rPr>
            </w:pPr>
            <w:r w:rsidRPr="00275290">
              <w:rPr>
                <w:rFonts w:cs="Arial"/>
                <w:lang w:val="fr-FR"/>
              </w:rPr>
              <w:t>IPBC</w:t>
            </w:r>
          </w:p>
        </w:tc>
        <w:tc>
          <w:tcPr>
            <w:tcW w:w="1484" w:type="dxa"/>
            <w:vMerge w:val="restart"/>
            <w:shd w:val="clear" w:color="auto" w:fill="E5B8B7" w:themeFill="accent2" w:themeFillTint="66"/>
            <w:vAlign w:val="center"/>
          </w:tcPr>
          <w:p w14:paraId="6B3A42A1" w14:textId="77777777" w:rsidR="009D4550" w:rsidRPr="00275290" w:rsidRDefault="009D4550" w:rsidP="004E7A98">
            <w:pPr>
              <w:rPr>
                <w:rFonts w:cs="Arial"/>
                <w:lang w:val="fr-FR"/>
              </w:rPr>
            </w:pPr>
            <w:r w:rsidRPr="00275290">
              <w:rPr>
                <w:rFonts w:cs="Arial"/>
                <w:lang w:val="fr-FR"/>
              </w:rPr>
              <w:t>HI</w:t>
            </w:r>
          </w:p>
          <w:p w14:paraId="351B14D9" w14:textId="77777777" w:rsidR="009D4550" w:rsidRPr="00275290" w:rsidRDefault="009D4550" w:rsidP="004E7A98">
            <w:pPr>
              <w:rPr>
                <w:rFonts w:cs="Arial"/>
                <w:lang w:val="fr-FR"/>
              </w:rPr>
            </w:pPr>
            <w:r w:rsidRPr="00275290">
              <w:rPr>
                <w:rFonts w:cs="Arial"/>
                <w:lang w:val="fr-FR"/>
              </w:rPr>
              <w:t>(∑ HQ a.s)</w:t>
            </w:r>
          </w:p>
        </w:tc>
        <w:tc>
          <w:tcPr>
            <w:tcW w:w="1523" w:type="dxa"/>
            <w:vMerge w:val="restart"/>
            <w:shd w:val="clear" w:color="auto" w:fill="E5B8B7" w:themeFill="accent2" w:themeFillTint="66"/>
          </w:tcPr>
          <w:p w14:paraId="6AFB9422" w14:textId="77777777" w:rsidR="009D4550" w:rsidRPr="00275290" w:rsidRDefault="009D4550" w:rsidP="004E7A98">
            <w:pPr>
              <w:rPr>
                <w:rFonts w:cs="Arial"/>
                <w:lang w:val="fr-FR"/>
              </w:rPr>
            </w:pPr>
            <w:r w:rsidRPr="00275290">
              <w:rPr>
                <w:rFonts w:cs="Arial"/>
                <w:lang w:val="fr-FR"/>
              </w:rPr>
              <w:t>Risk</w:t>
            </w:r>
          </w:p>
        </w:tc>
      </w:tr>
      <w:tr w:rsidR="009D4550" w:rsidRPr="00275290" w14:paraId="60340D13" w14:textId="77777777" w:rsidTr="004E7A98">
        <w:tc>
          <w:tcPr>
            <w:tcW w:w="5745" w:type="dxa"/>
            <w:gridSpan w:val="3"/>
            <w:vAlign w:val="center"/>
          </w:tcPr>
          <w:p w14:paraId="45780322" w14:textId="77777777" w:rsidR="009D4550" w:rsidRPr="00275290" w:rsidRDefault="009D4550" w:rsidP="004E7A98">
            <w:pPr>
              <w:rPr>
                <w:rFonts w:cs="Arial"/>
                <w:lang w:val="fr-FR"/>
              </w:rPr>
            </w:pPr>
            <w:r w:rsidRPr="00275290">
              <w:rPr>
                <w:rFonts w:cs="Arial"/>
                <w:lang w:val="fr-FR"/>
              </w:rPr>
              <w:t>HQ (Exposure/AEL)</w:t>
            </w:r>
          </w:p>
        </w:tc>
        <w:tc>
          <w:tcPr>
            <w:tcW w:w="1243" w:type="dxa"/>
            <w:shd w:val="clear" w:color="auto" w:fill="auto"/>
          </w:tcPr>
          <w:p w14:paraId="281D01A0" w14:textId="77777777" w:rsidR="009D4550" w:rsidRPr="00275290" w:rsidRDefault="009D4550" w:rsidP="004E7A98">
            <w:pPr>
              <w:rPr>
                <w:rFonts w:cs="Arial"/>
                <w:lang w:val="fr-FR"/>
              </w:rPr>
            </w:pPr>
          </w:p>
        </w:tc>
        <w:tc>
          <w:tcPr>
            <w:tcW w:w="1484" w:type="dxa"/>
            <w:vMerge/>
            <w:shd w:val="clear" w:color="auto" w:fill="E5B8B7" w:themeFill="accent2" w:themeFillTint="66"/>
            <w:vAlign w:val="center"/>
          </w:tcPr>
          <w:p w14:paraId="7BD41B88" w14:textId="77777777" w:rsidR="009D4550" w:rsidRPr="00275290" w:rsidRDefault="009D4550" w:rsidP="004E7A98">
            <w:pPr>
              <w:rPr>
                <w:rFonts w:cs="Arial"/>
                <w:lang w:val="fr-FR"/>
              </w:rPr>
            </w:pPr>
          </w:p>
        </w:tc>
        <w:tc>
          <w:tcPr>
            <w:tcW w:w="1523" w:type="dxa"/>
            <w:vMerge/>
            <w:shd w:val="clear" w:color="auto" w:fill="E5B8B7" w:themeFill="accent2" w:themeFillTint="66"/>
          </w:tcPr>
          <w:p w14:paraId="13312A64" w14:textId="77777777" w:rsidR="009D4550" w:rsidRPr="00275290" w:rsidRDefault="009D4550" w:rsidP="004E7A98">
            <w:pPr>
              <w:rPr>
                <w:rFonts w:cs="Arial"/>
                <w:lang w:val="fr-FR"/>
              </w:rPr>
            </w:pPr>
          </w:p>
        </w:tc>
      </w:tr>
      <w:tr w:rsidR="009D4550" w:rsidRPr="00275290" w14:paraId="72F30DD1" w14:textId="77777777" w:rsidTr="004E7A98">
        <w:tc>
          <w:tcPr>
            <w:tcW w:w="9995" w:type="dxa"/>
            <w:gridSpan w:val="6"/>
          </w:tcPr>
          <w:p w14:paraId="47E68E6F" w14:textId="77777777" w:rsidR="009D4550" w:rsidRPr="00275290" w:rsidRDefault="009D4550" w:rsidP="004E7A98">
            <w:pPr>
              <w:rPr>
                <w:rFonts w:cs="Arial"/>
                <w:lang w:val="en-US"/>
              </w:rPr>
            </w:pPr>
            <w:r w:rsidRPr="00275290">
              <w:rPr>
                <w:rFonts w:cs="Arial"/>
                <w:lang w:val="en-US"/>
              </w:rPr>
              <w:t>Adult professional sanding/processing of treated wood composites</w:t>
            </w:r>
          </w:p>
        </w:tc>
      </w:tr>
      <w:tr w:rsidR="009D4550" w:rsidRPr="00275290" w14:paraId="21DB9AE3" w14:textId="77777777" w:rsidTr="004E7A98">
        <w:tc>
          <w:tcPr>
            <w:tcW w:w="1939" w:type="dxa"/>
            <w:vAlign w:val="center"/>
          </w:tcPr>
          <w:p w14:paraId="7165EE6E" w14:textId="77777777" w:rsidR="009D4550" w:rsidRPr="00275290" w:rsidRDefault="009D4550" w:rsidP="004E7A98">
            <w:pPr>
              <w:rPr>
                <w:rFonts w:cs="Arial"/>
                <w:lang w:val="en-US"/>
              </w:rPr>
            </w:pPr>
            <w:r w:rsidRPr="00275290">
              <w:rPr>
                <w:rFonts w:cs="Arial"/>
                <w:lang w:val="en-US"/>
              </w:rPr>
              <w:t>0.13</w:t>
            </w:r>
          </w:p>
        </w:tc>
        <w:tc>
          <w:tcPr>
            <w:tcW w:w="1911" w:type="dxa"/>
            <w:vAlign w:val="center"/>
          </w:tcPr>
          <w:p w14:paraId="6E78D430" w14:textId="77777777" w:rsidR="009D4550" w:rsidRPr="00275290" w:rsidRDefault="009D4550" w:rsidP="004E7A98">
            <w:pPr>
              <w:rPr>
                <w:rFonts w:cs="Arial"/>
                <w:lang w:val="en-US"/>
              </w:rPr>
            </w:pPr>
            <w:r w:rsidRPr="00275290">
              <w:rPr>
                <w:rFonts w:cs="Arial"/>
                <w:lang w:val="en-US"/>
              </w:rPr>
              <w:t>0.1</w:t>
            </w:r>
          </w:p>
        </w:tc>
        <w:tc>
          <w:tcPr>
            <w:tcW w:w="1895" w:type="dxa"/>
            <w:vAlign w:val="center"/>
          </w:tcPr>
          <w:p w14:paraId="2C713ABD" w14:textId="77777777" w:rsidR="009D4550" w:rsidRPr="00275290" w:rsidRDefault="009D4550" w:rsidP="004E7A98">
            <w:pPr>
              <w:rPr>
                <w:rFonts w:cs="Arial"/>
                <w:lang w:val="en-US"/>
              </w:rPr>
            </w:pPr>
            <w:r w:rsidRPr="00275290">
              <w:rPr>
                <w:rFonts w:cs="Arial"/>
                <w:lang w:val="en-US"/>
              </w:rPr>
              <w:t>0.05</w:t>
            </w:r>
          </w:p>
        </w:tc>
        <w:tc>
          <w:tcPr>
            <w:tcW w:w="1243" w:type="dxa"/>
            <w:shd w:val="clear" w:color="auto" w:fill="auto"/>
          </w:tcPr>
          <w:p w14:paraId="0EE71D89" w14:textId="77777777" w:rsidR="009D4550" w:rsidRPr="00275290" w:rsidRDefault="009D4550" w:rsidP="004E7A98">
            <w:pPr>
              <w:rPr>
                <w:rFonts w:cs="Arial"/>
                <w:lang w:val="en-US"/>
              </w:rPr>
            </w:pPr>
            <w:r w:rsidRPr="00275290">
              <w:rPr>
                <w:rFonts w:cs="Arial"/>
                <w:lang w:val="en-US"/>
              </w:rPr>
              <w:t>0.02</w:t>
            </w:r>
          </w:p>
        </w:tc>
        <w:tc>
          <w:tcPr>
            <w:tcW w:w="1484" w:type="dxa"/>
            <w:shd w:val="clear" w:color="auto" w:fill="E5B8B7" w:themeFill="accent2" w:themeFillTint="66"/>
            <w:vAlign w:val="center"/>
          </w:tcPr>
          <w:p w14:paraId="5364BF13" w14:textId="77777777" w:rsidR="009D4550" w:rsidRPr="00275290" w:rsidRDefault="009D4550" w:rsidP="004E7A98">
            <w:pPr>
              <w:rPr>
                <w:rFonts w:cs="Arial"/>
                <w:lang w:val="en-US"/>
              </w:rPr>
            </w:pPr>
            <w:r w:rsidRPr="00275290">
              <w:rPr>
                <w:rFonts w:cs="Arial"/>
                <w:lang w:val="en-US"/>
              </w:rPr>
              <w:t>0.3</w:t>
            </w:r>
          </w:p>
        </w:tc>
        <w:tc>
          <w:tcPr>
            <w:tcW w:w="1523" w:type="dxa"/>
            <w:shd w:val="clear" w:color="auto" w:fill="E5B8B7" w:themeFill="accent2" w:themeFillTint="66"/>
          </w:tcPr>
          <w:p w14:paraId="5B031F7B" w14:textId="77777777" w:rsidR="009D4550" w:rsidRPr="00275290" w:rsidRDefault="009D4550" w:rsidP="004E7A98">
            <w:pPr>
              <w:rPr>
                <w:rFonts w:cs="Arial"/>
                <w:lang w:val="en-US"/>
              </w:rPr>
            </w:pPr>
            <w:r w:rsidRPr="00275290">
              <w:rPr>
                <w:rFonts w:cs="Arial"/>
                <w:lang w:val="en-US"/>
              </w:rPr>
              <w:t>Acceptable</w:t>
            </w:r>
          </w:p>
        </w:tc>
      </w:tr>
      <w:tr w:rsidR="009D4550" w:rsidRPr="00275290" w14:paraId="0693D2AD" w14:textId="77777777" w:rsidTr="004E7A98">
        <w:tc>
          <w:tcPr>
            <w:tcW w:w="9995" w:type="dxa"/>
            <w:gridSpan w:val="6"/>
          </w:tcPr>
          <w:p w14:paraId="00D1AAD8" w14:textId="77777777" w:rsidR="009D4550" w:rsidRPr="00275290" w:rsidRDefault="009D4550" w:rsidP="004E7A98">
            <w:pPr>
              <w:rPr>
                <w:rFonts w:cs="Arial"/>
                <w:lang w:val="en-US"/>
              </w:rPr>
            </w:pPr>
            <w:r w:rsidRPr="00275290">
              <w:rPr>
                <w:rFonts w:cs="Arial"/>
                <w:lang w:val="en-US"/>
              </w:rPr>
              <w:t>Adult: inhalation of volatilised residues, indoors</w:t>
            </w:r>
          </w:p>
        </w:tc>
      </w:tr>
      <w:tr w:rsidR="009D4550" w:rsidRPr="00275290" w14:paraId="484ABFD3" w14:textId="77777777" w:rsidTr="004E7A98">
        <w:tc>
          <w:tcPr>
            <w:tcW w:w="1939" w:type="dxa"/>
            <w:vAlign w:val="center"/>
          </w:tcPr>
          <w:p w14:paraId="7005DEC8" w14:textId="77777777" w:rsidR="009D4550" w:rsidRPr="00275290" w:rsidRDefault="009D4550" w:rsidP="004E7A98">
            <w:pPr>
              <w:rPr>
                <w:rFonts w:cs="Arial"/>
                <w:lang w:val="en-US"/>
              </w:rPr>
            </w:pPr>
            <w:r w:rsidRPr="00275290">
              <w:rPr>
                <w:rFonts w:cs="Arial"/>
                <w:lang w:val="en-US"/>
              </w:rPr>
              <w:t>&lt;0.0001</w:t>
            </w:r>
          </w:p>
        </w:tc>
        <w:tc>
          <w:tcPr>
            <w:tcW w:w="1911" w:type="dxa"/>
          </w:tcPr>
          <w:p w14:paraId="2C40A33D" w14:textId="77777777" w:rsidR="009D4550" w:rsidRPr="00275290" w:rsidRDefault="009D4550" w:rsidP="004E7A98">
            <w:r w:rsidRPr="00275290">
              <w:rPr>
                <w:rFonts w:cs="Arial"/>
                <w:lang w:val="en-US"/>
              </w:rPr>
              <w:t>&lt;0.0001</w:t>
            </w:r>
          </w:p>
        </w:tc>
        <w:tc>
          <w:tcPr>
            <w:tcW w:w="1895" w:type="dxa"/>
          </w:tcPr>
          <w:p w14:paraId="46C32A0F" w14:textId="77777777" w:rsidR="009D4550" w:rsidRPr="00275290" w:rsidRDefault="009D4550" w:rsidP="004E7A98">
            <w:r w:rsidRPr="00275290">
              <w:rPr>
                <w:rFonts w:cs="Arial"/>
                <w:lang w:val="en-US"/>
              </w:rPr>
              <w:t>&lt;0.0001</w:t>
            </w:r>
          </w:p>
        </w:tc>
        <w:tc>
          <w:tcPr>
            <w:tcW w:w="1243" w:type="dxa"/>
            <w:shd w:val="clear" w:color="auto" w:fill="auto"/>
          </w:tcPr>
          <w:p w14:paraId="4831658E" w14:textId="77777777" w:rsidR="009D4550" w:rsidRPr="00275290" w:rsidRDefault="009D4550" w:rsidP="004E7A98">
            <w:pPr>
              <w:rPr>
                <w:rFonts w:cs="Arial"/>
                <w:lang w:val="en-US"/>
              </w:rPr>
            </w:pPr>
            <w:r w:rsidRPr="00275290">
              <w:rPr>
                <w:rFonts w:cs="Arial"/>
                <w:lang w:val="en-US"/>
              </w:rPr>
              <w:t>0.0002</w:t>
            </w:r>
          </w:p>
        </w:tc>
        <w:tc>
          <w:tcPr>
            <w:tcW w:w="1484" w:type="dxa"/>
            <w:shd w:val="clear" w:color="auto" w:fill="E5B8B7" w:themeFill="accent2" w:themeFillTint="66"/>
            <w:vAlign w:val="center"/>
          </w:tcPr>
          <w:p w14:paraId="2A11C5D7" w14:textId="77777777" w:rsidR="009D4550" w:rsidRPr="00275290" w:rsidRDefault="009D4550" w:rsidP="004E7A98">
            <w:pPr>
              <w:rPr>
                <w:rFonts w:cs="Arial"/>
                <w:lang w:val="en-US"/>
              </w:rPr>
            </w:pPr>
            <w:r w:rsidRPr="00275290">
              <w:rPr>
                <w:rFonts w:cs="Arial"/>
                <w:lang w:val="en-US"/>
              </w:rPr>
              <w:t>0.0002</w:t>
            </w:r>
          </w:p>
        </w:tc>
        <w:tc>
          <w:tcPr>
            <w:tcW w:w="1523" w:type="dxa"/>
            <w:shd w:val="clear" w:color="auto" w:fill="E5B8B7" w:themeFill="accent2" w:themeFillTint="66"/>
          </w:tcPr>
          <w:p w14:paraId="06DF8700" w14:textId="77777777" w:rsidR="009D4550" w:rsidRPr="00275290" w:rsidRDefault="009D4550" w:rsidP="004E7A98">
            <w:pPr>
              <w:rPr>
                <w:rFonts w:cs="Arial"/>
                <w:lang w:val="en-US"/>
              </w:rPr>
            </w:pPr>
            <w:r w:rsidRPr="00275290">
              <w:rPr>
                <w:rFonts w:cs="Arial"/>
                <w:lang w:val="en-US"/>
              </w:rPr>
              <w:t>Acceptable</w:t>
            </w:r>
          </w:p>
        </w:tc>
      </w:tr>
      <w:tr w:rsidR="009D4550" w:rsidRPr="00275290" w14:paraId="071D9EB3" w14:textId="77777777" w:rsidTr="004E7A98">
        <w:tc>
          <w:tcPr>
            <w:tcW w:w="9995" w:type="dxa"/>
            <w:gridSpan w:val="6"/>
          </w:tcPr>
          <w:p w14:paraId="76ADDDA9" w14:textId="77777777" w:rsidR="009D4550" w:rsidRPr="00275290" w:rsidRDefault="009D4550" w:rsidP="004E7A98">
            <w:pPr>
              <w:rPr>
                <w:rFonts w:cs="Arial"/>
                <w:lang w:val="en-US"/>
              </w:rPr>
            </w:pPr>
            <w:r w:rsidRPr="00275290">
              <w:rPr>
                <w:rFonts w:cs="Arial"/>
                <w:lang w:val="en-US"/>
              </w:rPr>
              <w:t>Infant: inhalation of volatilised residues, indoors</w:t>
            </w:r>
          </w:p>
        </w:tc>
      </w:tr>
      <w:tr w:rsidR="009D4550" w:rsidRPr="00275290" w14:paraId="10FCE71C" w14:textId="77777777" w:rsidTr="004E7A98">
        <w:tc>
          <w:tcPr>
            <w:tcW w:w="1939" w:type="dxa"/>
            <w:vAlign w:val="center"/>
          </w:tcPr>
          <w:p w14:paraId="165DE7B6" w14:textId="77777777" w:rsidR="009D4550" w:rsidRPr="00275290" w:rsidRDefault="009D4550" w:rsidP="004E7A98">
            <w:pPr>
              <w:rPr>
                <w:rFonts w:cs="Arial"/>
                <w:lang w:val="en-US"/>
              </w:rPr>
            </w:pPr>
            <w:r w:rsidRPr="00275290">
              <w:rPr>
                <w:rFonts w:cs="Arial"/>
                <w:lang w:val="en-US"/>
              </w:rPr>
              <w:t>&lt;0.0001</w:t>
            </w:r>
          </w:p>
        </w:tc>
        <w:tc>
          <w:tcPr>
            <w:tcW w:w="1911" w:type="dxa"/>
          </w:tcPr>
          <w:p w14:paraId="2B8EEAD0" w14:textId="77777777" w:rsidR="009D4550" w:rsidRPr="00275290" w:rsidRDefault="009D4550" w:rsidP="004E7A98">
            <w:r w:rsidRPr="00275290">
              <w:rPr>
                <w:rFonts w:cs="Arial"/>
                <w:lang w:val="en-US"/>
              </w:rPr>
              <w:t>&lt;0.0001</w:t>
            </w:r>
          </w:p>
        </w:tc>
        <w:tc>
          <w:tcPr>
            <w:tcW w:w="1895" w:type="dxa"/>
          </w:tcPr>
          <w:p w14:paraId="24D30229" w14:textId="77777777" w:rsidR="009D4550" w:rsidRPr="00275290" w:rsidRDefault="009D4550" w:rsidP="004E7A98">
            <w:r w:rsidRPr="00275290">
              <w:rPr>
                <w:rFonts w:cs="Arial"/>
                <w:lang w:val="en-US"/>
              </w:rPr>
              <w:t>&lt;0.0001</w:t>
            </w:r>
          </w:p>
        </w:tc>
        <w:tc>
          <w:tcPr>
            <w:tcW w:w="1243" w:type="dxa"/>
            <w:shd w:val="clear" w:color="auto" w:fill="auto"/>
          </w:tcPr>
          <w:p w14:paraId="4E069524" w14:textId="77777777" w:rsidR="009D4550" w:rsidRPr="00275290" w:rsidRDefault="009D4550" w:rsidP="004E7A98">
            <w:pPr>
              <w:rPr>
                <w:rFonts w:cs="Arial"/>
                <w:lang w:val="en-US"/>
              </w:rPr>
            </w:pPr>
            <w:r w:rsidRPr="00275290">
              <w:rPr>
                <w:rFonts w:cs="Arial"/>
                <w:lang w:val="en-US"/>
              </w:rPr>
              <w:t>0.0004</w:t>
            </w:r>
          </w:p>
        </w:tc>
        <w:tc>
          <w:tcPr>
            <w:tcW w:w="1484" w:type="dxa"/>
            <w:shd w:val="clear" w:color="auto" w:fill="E5B8B7" w:themeFill="accent2" w:themeFillTint="66"/>
            <w:vAlign w:val="center"/>
          </w:tcPr>
          <w:p w14:paraId="6D947365" w14:textId="77777777" w:rsidR="009D4550" w:rsidRPr="00275290" w:rsidRDefault="009D4550" w:rsidP="004E7A98">
            <w:pPr>
              <w:rPr>
                <w:rFonts w:cs="Arial"/>
                <w:lang w:val="en-US"/>
              </w:rPr>
            </w:pPr>
            <w:r w:rsidRPr="00275290">
              <w:rPr>
                <w:rFonts w:cs="Arial"/>
                <w:lang w:val="en-US"/>
              </w:rPr>
              <w:t>0.0005</w:t>
            </w:r>
          </w:p>
        </w:tc>
        <w:tc>
          <w:tcPr>
            <w:tcW w:w="1523" w:type="dxa"/>
            <w:shd w:val="clear" w:color="auto" w:fill="E5B8B7" w:themeFill="accent2" w:themeFillTint="66"/>
          </w:tcPr>
          <w:p w14:paraId="731BEA6A" w14:textId="77777777" w:rsidR="009D4550" w:rsidRPr="00275290" w:rsidRDefault="009D4550" w:rsidP="004E7A98">
            <w:pPr>
              <w:rPr>
                <w:rFonts w:cs="Arial"/>
                <w:lang w:val="en-US"/>
              </w:rPr>
            </w:pPr>
            <w:r w:rsidRPr="00275290">
              <w:rPr>
                <w:rFonts w:cs="Arial"/>
                <w:lang w:val="en-US"/>
              </w:rPr>
              <w:t>Acceptable</w:t>
            </w:r>
          </w:p>
        </w:tc>
      </w:tr>
      <w:tr w:rsidR="009D4550" w:rsidRPr="00275290" w14:paraId="5BD89A25" w14:textId="77777777" w:rsidTr="004E7A98">
        <w:tc>
          <w:tcPr>
            <w:tcW w:w="9995" w:type="dxa"/>
            <w:gridSpan w:val="6"/>
          </w:tcPr>
          <w:p w14:paraId="513AE7BA" w14:textId="77777777" w:rsidR="009D4550" w:rsidRPr="00275290" w:rsidRDefault="009D4550" w:rsidP="004E7A98">
            <w:pPr>
              <w:rPr>
                <w:rFonts w:cs="Arial"/>
                <w:lang w:val="en-US"/>
              </w:rPr>
            </w:pPr>
            <w:r w:rsidRPr="00275290">
              <w:rPr>
                <w:rFonts w:cs="Arial"/>
                <w:lang w:val="en-US"/>
              </w:rPr>
              <w:t>Child playing on playground structure outdoors</w:t>
            </w:r>
          </w:p>
        </w:tc>
      </w:tr>
      <w:tr w:rsidR="009D4550" w:rsidRPr="00275290" w14:paraId="178E868F" w14:textId="77777777" w:rsidTr="004E7A98">
        <w:tc>
          <w:tcPr>
            <w:tcW w:w="1939" w:type="dxa"/>
            <w:vAlign w:val="center"/>
          </w:tcPr>
          <w:p w14:paraId="1F9E5389" w14:textId="77777777" w:rsidR="009D4550" w:rsidRPr="00275290" w:rsidRDefault="009D4550" w:rsidP="004E7A98">
            <w:pPr>
              <w:rPr>
                <w:rFonts w:cs="Arial"/>
                <w:lang w:val="en-US"/>
              </w:rPr>
            </w:pPr>
            <w:r w:rsidRPr="00275290">
              <w:rPr>
                <w:rFonts w:cs="Arial"/>
                <w:lang w:val="en-US"/>
              </w:rPr>
              <w:t>0.05</w:t>
            </w:r>
          </w:p>
        </w:tc>
        <w:tc>
          <w:tcPr>
            <w:tcW w:w="1911" w:type="dxa"/>
            <w:vAlign w:val="center"/>
          </w:tcPr>
          <w:p w14:paraId="17F77D4C" w14:textId="77777777" w:rsidR="009D4550" w:rsidRPr="00275290" w:rsidRDefault="009D4550" w:rsidP="004E7A98">
            <w:pPr>
              <w:rPr>
                <w:rFonts w:cs="Arial"/>
                <w:lang w:val="en-US"/>
              </w:rPr>
            </w:pPr>
            <w:r w:rsidRPr="00275290">
              <w:rPr>
                <w:rFonts w:cs="Arial"/>
                <w:lang w:val="en-US"/>
              </w:rPr>
              <w:t>0.04</w:t>
            </w:r>
          </w:p>
        </w:tc>
        <w:tc>
          <w:tcPr>
            <w:tcW w:w="1895" w:type="dxa"/>
            <w:vAlign w:val="center"/>
          </w:tcPr>
          <w:p w14:paraId="0C8E8DE0" w14:textId="240D5171" w:rsidR="009D4550" w:rsidRPr="00275290" w:rsidRDefault="009D4550" w:rsidP="004E7A98">
            <w:pPr>
              <w:rPr>
                <w:rFonts w:cs="Arial"/>
                <w:lang w:val="en-US"/>
              </w:rPr>
            </w:pPr>
            <w:r w:rsidRPr="00275290">
              <w:rPr>
                <w:rFonts w:cs="Arial"/>
                <w:lang w:val="en-US"/>
              </w:rPr>
              <w:t>0.0</w:t>
            </w:r>
            <w:r w:rsidR="003F6605">
              <w:rPr>
                <w:rFonts w:cs="Arial"/>
                <w:lang w:val="en-US"/>
              </w:rPr>
              <w:t>2</w:t>
            </w:r>
          </w:p>
        </w:tc>
        <w:tc>
          <w:tcPr>
            <w:tcW w:w="1243" w:type="dxa"/>
            <w:shd w:val="clear" w:color="auto" w:fill="auto"/>
          </w:tcPr>
          <w:p w14:paraId="53E585DE" w14:textId="77777777" w:rsidR="009D4550" w:rsidRPr="00275290" w:rsidRDefault="009D4550" w:rsidP="004E7A98">
            <w:pPr>
              <w:rPr>
                <w:rFonts w:cs="Arial"/>
                <w:lang w:val="en-US"/>
              </w:rPr>
            </w:pPr>
            <w:r w:rsidRPr="00275290">
              <w:rPr>
                <w:rFonts w:cs="Arial"/>
                <w:lang w:val="en-US"/>
              </w:rPr>
              <w:t>0.01</w:t>
            </w:r>
          </w:p>
        </w:tc>
        <w:tc>
          <w:tcPr>
            <w:tcW w:w="1484" w:type="dxa"/>
            <w:shd w:val="clear" w:color="auto" w:fill="E5B8B7" w:themeFill="accent2" w:themeFillTint="66"/>
            <w:vAlign w:val="center"/>
          </w:tcPr>
          <w:p w14:paraId="274D7808" w14:textId="2DFA2CC0" w:rsidR="009D4550" w:rsidRPr="00275290" w:rsidRDefault="009D4550" w:rsidP="004E7A98">
            <w:pPr>
              <w:rPr>
                <w:rFonts w:cs="Arial"/>
                <w:lang w:val="en-US"/>
              </w:rPr>
            </w:pPr>
            <w:r w:rsidRPr="00275290">
              <w:rPr>
                <w:rFonts w:cs="Arial"/>
                <w:lang w:val="en-US"/>
              </w:rPr>
              <w:t>0.1</w:t>
            </w:r>
            <w:r w:rsidR="003F6605">
              <w:rPr>
                <w:rFonts w:cs="Arial"/>
                <w:lang w:val="en-US"/>
              </w:rPr>
              <w:t>2</w:t>
            </w:r>
          </w:p>
        </w:tc>
        <w:tc>
          <w:tcPr>
            <w:tcW w:w="1523" w:type="dxa"/>
            <w:shd w:val="clear" w:color="auto" w:fill="E5B8B7" w:themeFill="accent2" w:themeFillTint="66"/>
          </w:tcPr>
          <w:p w14:paraId="62029156" w14:textId="77777777" w:rsidR="009D4550" w:rsidRPr="00275290" w:rsidRDefault="009D4550" w:rsidP="004E7A98">
            <w:pPr>
              <w:rPr>
                <w:rFonts w:cs="Arial"/>
                <w:lang w:val="en-US"/>
              </w:rPr>
            </w:pPr>
            <w:r w:rsidRPr="00275290">
              <w:rPr>
                <w:rFonts w:cs="Arial"/>
                <w:lang w:val="en-US"/>
              </w:rPr>
              <w:t>Acceptable</w:t>
            </w:r>
          </w:p>
        </w:tc>
      </w:tr>
      <w:tr w:rsidR="009D4550" w:rsidRPr="00275290" w14:paraId="5F6BC30F" w14:textId="77777777" w:rsidTr="004E7A98">
        <w:tc>
          <w:tcPr>
            <w:tcW w:w="9995" w:type="dxa"/>
            <w:gridSpan w:val="6"/>
          </w:tcPr>
          <w:p w14:paraId="51CCC828" w14:textId="77777777" w:rsidR="009D4550" w:rsidRPr="00275290" w:rsidRDefault="009D4550" w:rsidP="004E7A98">
            <w:pPr>
              <w:rPr>
                <w:rFonts w:cs="Arial"/>
                <w:lang w:val="en-US"/>
              </w:rPr>
            </w:pPr>
            <w:r w:rsidRPr="00275290">
              <w:rPr>
                <w:rFonts w:cs="Arial"/>
                <w:lang w:val="en-US"/>
              </w:rPr>
              <w:t>Infant playing on playground structure outdoors and mouthing</w:t>
            </w:r>
          </w:p>
          <w:p w14:paraId="382786D1" w14:textId="77777777" w:rsidR="009D4550" w:rsidRPr="00275290" w:rsidRDefault="009D4550" w:rsidP="004E7A98">
            <w:pPr>
              <w:rPr>
                <w:rFonts w:cs="Arial"/>
                <w:lang w:val="en-US"/>
              </w:rPr>
            </w:pPr>
            <w:r w:rsidRPr="00275290">
              <w:rPr>
                <w:rFonts w:cs="Arial"/>
                <w:lang w:val="en-US"/>
              </w:rPr>
              <w:t>(wood treated at 200 g/m2)</w:t>
            </w:r>
          </w:p>
        </w:tc>
      </w:tr>
      <w:tr w:rsidR="009D4550" w:rsidRPr="00275290" w14:paraId="646EDAEE" w14:textId="77777777" w:rsidTr="004E7A98">
        <w:tc>
          <w:tcPr>
            <w:tcW w:w="1939" w:type="dxa"/>
            <w:vAlign w:val="center"/>
          </w:tcPr>
          <w:p w14:paraId="44270D10" w14:textId="77777777" w:rsidR="009D4550" w:rsidRPr="00275290" w:rsidRDefault="009D4550" w:rsidP="004E7A98">
            <w:pPr>
              <w:rPr>
                <w:rFonts w:cs="Arial"/>
                <w:lang w:val="en-US"/>
              </w:rPr>
            </w:pPr>
            <w:r w:rsidRPr="00275290">
              <w:rPr>
                <w:rFonts w:cs="Arial"/>
                <w:lang w:val="en-US"/>
              </w:rPr>
              <w:t>0.21</w:t>
            </w:r>
          </w:p>
        </w:tc>
        <w:tc>
          <w:tcPr>
            <w:tcW w:w="1911" w:type="dxa"/>
            <w:vAlign w:val="center"/>
          </w:tcPr>
          <w:p w14:paraId="292CE6E5" w14:textId="77777777" w:rsidR="009D4550" w:rsidRPr="00275290" w:rsidRDefault="009D4550" w:rsidP="004E7A98">
            <w:pPr>
              <w:rPr>
                <w:rFonts w:cs="Arial"/>
                <w:lang w:val="en-US"/>
              </w:rPr>
            </w:pPr>
            <w:r w:rsidRPr="00275290">
              <w:rPr>
                <w:rFonts w:cs="Arial"/>
                <w:lang w:val="en-US"/>
              </w:rPr>
              <w:t>0.32</w:t>
            </w:r>
          </w:p>
        </w:tc>
        <w:tc>
          <w:tcPr>
            <w:tcW w:w="1895" w:type="dxa"/>
            <w:vAlign w:val="center"/>
          </w:tcPr>
          <w:p w14:paraId="3AA2AEFE" w14:textId="77777777" w:rsidR="009D4550" w:rsidRPr="00275290" w:rsidRDefault="009D4550" w:rsidP="004E7A98">
            <w:pPr>
              <w:rPr>
                <w:rFonts w:cs="Arial"/>
                <w:lang w:val="en-US"/>
              </w:rPr>
            </w:pPr>
            <w:r w:rsidRPr="00275290">
              <w:rPr>
                <w:rFonts w:cs="Arial"/>
                <w:lang w:val="en-US"/>
              </w:rPr>
              <w:t>0.14</w:t>
            </w:r>
          </w:p>
        </w:tc>
        <w:tc>
          <w:tcPr>
            <w:tcW w:w="1243" w:type="dxa"/>
            <w:shd w:val="clear" w:color="auto" w:fill="auto"/>
          </w:tcPr>
          <w:p w14:paraId="0E200AE9" w14:textId="77777777" w:rsidR="009D4550" w:rsidRPr="00275290" w:rsidRDefault="009D4550" w:rsidP="004E7A98">
            <w:pPr>
              <w:rPr>
                <w:rFonts w:cs="Arial"/>
                <w:lang w:val="en-US"/>
              </w:rPr>
            </w:pPr>
            <w:r w:rsidRPr="00275290">
              <w:rPr>
                <w:rFonts w:cs="Arial"/>
                <w:lang w:val="en-US"/>
              </w:rPr>
              <w:t>0.03</w:t>
            </w:r>
          </w:p>
        </w:tc>
        <w:tc>
          <w:tcPr>
            <w:tcW w:w="1484" w:type="dxa"/>
            <w:shd w:val="clear" w:color="auto" w:fill="E5B8B7" w:themeFill="accent2" w:themeFillTint="66"/>
            <w:vAlign w:val="center"/>
          </w:tcPr>
          <w:p w14:paraId="7E4F4ECE" w14:textId="77777777" w:rsidR="009D4550" w:rsidRPr="00275290" w:rsidRDefault="009D4550" w:rsidP="004E7A98">
            <w:pPr>
              <w:rPr>
                <w:rFonts w:cs="Arial"/>
                <w:lang w:val="en-US"/>
              </w:rPr>
            </w:pPr>
            <w:r w:rsidRPr="00275290">
              <w:rPr>
                <w:rFonts w:cs="Arial"/>
                <w:lang w:val="en-US"/>
              </w:rPr>
              <w:t>0.7</w:t>
            </w:r>
          </w:p>
        </w:tc>
        <w:tc>
          <w:tcPr>
            <w:tcW w:w="1523" w:type="dxa"/>
            <w:shd w:val="clear" w:color="auto" w:fill="E5B8B7" w:themeFill="accent2" w:themeFillTint="66"/>
          </w:tcPr>
          <w:p w14:paraId="438F1D96" w14:textId="77777777" w:rsidR="009D4550" w:rsidRPr="00275290" w:rsidRDefault="009D4550" w:rsidP="004E7A98">
            <w:pPr>
              <w:rPr>
                <w:rFonts w:cs="Arial"/>
                <w:lang w:val="en-US"/>
              </w:rPr>
            </w:pPr>
            <w:r w:rsidRPr="00275290">
              <w:rPr>
                <w:rFonts w:cs="Arial"/>
                <w:lang w:val="en-US"/>
              </w:rPr>
              <w:t>Acceptable</w:t>
            </w:r>
          </w:p>
        </w:tc>
      </w:tr>
    </w:tbl>
    <w:p w14:paraId="0BD1DBB1" w14:textId="77777777" w:rsidR="009D4550" w:rsidRPr="00275290" w:rsidRDefault="009D4550" w:rsidP="009D4550">
      <w:pPr>
        <w:pStyle w:val="BfRBBStandard"/>
        <w:rPr>
          <w:rFonts w:ascii="Verdana" w:eastAsia="Times New Roman" w:hAnsi="Verdana"/>
          <w:sz w:val="20"/>
          <w:szCs w:val="20"/>
          <w:lang w:val="en-GB" w:eastAsia="sv-SE"/>
        </w:rPr>
      </w:pPr>
    </w:p>
    <w:p w14:paraId="0CE5D91D" w14:textId="77777777" w:rsidR="009D4550" w:rsidRPr="00275290" w:rsidRDefault="009D4550" w:rsidP="00F32B7F">
      <w:pPr>
        <w:pStyle w:val="BfRBBStandard"/>
        <w:numPr>
          <w:ilvl w:val="0"/>
          <w:numId w:val="24"/>
        </w:numPr>
        <w:suppressAutoHyphens w:val="0"/>
        <w:autoSpaceDN w:val="0"/>
        <w:rPr>
          <w:rFonts w:ascii="Verdana" w:hAnsi="Verdana"/>
          <w:sz w:val="20"/>
          <w:szCs w:val="20"/>
        </w:rPr>
      </w:pPr>
      <w:r w:rsidRPr="00275290">
        <w:rPr>
          <w:rFonts w:ascii="Verdana" w:eastAsia="Times New Roman" w:hAnsi="Verdana"/>
          <w:sz w:val="20"/>
          <w:szCs w:val="20"/>
          <w:lang w:val="en-GB" w:eastAsia="sv-SE"/>
        </w:rPr>
        <w:t>HI &lt; 1, the risk is acceptable for chronic exposure scenarios</w:t>
      </w:r>
    </w:p>
    <w:p w14:paraId="68C6EFC5" w14:textId="77777777" w:rsidR="009D4550" w:rsidRPr="00275290" w:rsidRDefault="009D4550" w:rsidP="009D4550">
      <w:pPr>
        <w:rPr>
          <w:rFonts w:cs="Arial"/>
        </w:rPr>
      </w:pPr>
    </w:p>
    <w:p w14:paraId="32E94849" w14:textId="77777777" w:rsidR="009D4550" w:rsidRPr="00155E43" w:rsidRDefault="009D4550" w:rsidP="00155E43">
      <w:pPr>
        <w:pStyle w:val="Titre5"/>
        <w:spacing w:before="240"/>
      </w:pPr>
      <w:bookmarkStart w:id="112" w:name="_Toc238543517"/>
      <w:bookmarkStart w:id="113" w:name="_Toc284602918"/>
      <w:r w:rsidRPr="00155E43">
        <w:t>Risk for combined exposure</w:t>
      </w:r>
      <w:bookmarkEnd w:id="112"/>
      <w:bookmarkEnd w:id="113"/>
    </w:p>
    <w:p w14:paraId="3A86EBB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exposure values are compared to AELs of each active substance.</w:t>
      </w:r>
    </w:p>
    <w:p w14:paraId="650CB09A"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107"/>
        <w:gridCol w:w="2076"/>
        <w:gridCol w:w="2088"/>
        <w:gridCol w:w="1652"/>
      </w:tblGrid>
      <w:tr w:rsidR="009D4550" w:rsidRPr="00275290" w14:paraId="1D5C34AB" w14:textId="77777777" w:rsidTr="009D4550">
        <w:tc>
          <w:tcPr>
            <w:tcW w:w="1915" w:type="dxa"/>
            <w:shd w:val="clear" w:color="auto" w:fill="auto"/>
            <w:vAlign w:val="center"/>
          </w:tcPr>
          <w:p w14:paraId="32DFF2D7" w14:textId="77777777" w:rsidR="009D4550" w:rsidRPr="00275290" w:rsidRDefault="009D4550" w:rsidP="009D4550">
            <w:pPr>
              <w:rPr>
                <w:rFonts w:cs="Arial"/>
              </w:rPr>
            </w:pPr>
          </w:p>
        </w:tc>
        <w:tc>
          <w:tcPr>
            <w:tcW w:w="2127" w:type="dxa"/>
            <w:shd w:val="clear" w:color="auto" w:fill="auto"/>
            <w:vAlign w:val="center"/>
          </w:tcPr>
          <w:p w14:paraId="5473F55A" w14:textId="77777777" w:rsidR="009D4550" w:rsidRPr="00275290" w:rsidRDefault="009D4550" w:rsidP="009D4550">
            <w:pPr>
              <w:rPr>
                <w:rFonts w:cs="Arial"/>
                <w:b/>
              </w:rPr>
            </w:pPr>
            <w:r w:rsidRPr="00275290">
              <w:rPr>
                <w:rFonts w:cs="Arial"/>
                <w:b/>
              </w:rPr>
              <w:t>Cyperméthrine</w:t>
            </w:r>
          </w:p>
        </w:tc>
        <w:tc>
          <w:tcPr>
            <w:tcW w:w="2105" w:type="dxa"/>
            <w:shd w:val="clear" w:color="auto" w:fill="auto"/>
            <w:vAlign w:val="center"/>
          </w:tcPr>
          <w:p w14:paraId="7F984FF7" w14:textId="77777777" w:rsidR="009D4550" w:rsidRPr="00275290" w:rsidRDefault="009D4550" w:rsidP="009D4550">
            <w:pPr>
              <w:rPr>
                <w:rFonts w:cs="Arial"/>
                <w:b/>
              </w:rPr>
            </w:pPr>
            <w:r w:rsidRPr="00275290">
              <w:rPr>
                <w:rFonts w:cs="Arial"/>
                <w:b/>
              </w:rPr>
              <w:t>Tébuconazole</w:t>
            </w:r>
          </w:p>
        </w:tc>
        <w:tc>
          <w:tcPr>
            <w:tcW w:w="2115" w:type="dxa"/>
            <w:shd w:val="clear" w:color="auto" w:fill="auto"/>
            <w:vAlign w:val="center"/>
          </w:tcPr>
          <w:p w14:paraId="1140A182" w14:textId="77777777" w:rsidR="009D4550" w:rsidRPr="00275290" w:rsidRDefault="009D4550" w:rsidP="009D4550">
            <w:pPr>
              <w:rPr>
                <w:rFonts w:cs="Arial"/>
                <w:b/>
              </w:rPr>
            </w:pPr>
            <w:r w:rsidRPr="00275290">
              <w:rPr>
                <w:rFonts w:cs="Arial"/>
                <w:b/>
              </w:rPr>
              <w:t>Propiconazole</w:t>
            </w:r>
          </w:p>
        </w:tc>
        <w:tc>
          <w:tcPr>
            <w:tcW w:w="1733" w:type="dxa"/>
          </w:tcPr>
          <w:p w14:paraId="7780A58E" w14:textId="77777777" w:rsidR="009D4550" w:rsidRPr="00275290" w:rsidRDefault="009D4550" w:rsidP="009D4550">
            <w:pPr>
              <w:rPr>
                <w:rFonts w:cs="Arial"/>
                <w:b/>
              </w:rPr>
            </w:pPr>
            <w:r w:rsidRPr="00275290">
              <w:rPr>
                <w:rFonts w:cs="Arial"/>
                <w:b/>
              </w:rPr>
              <w:t>IPBC</w:t>
            </w:r>
          </w:p>
        </w:tc>
      </w:tr>
      <w:tr w:rsidR="009D4550" w:rsidRPr="00275290" w14:paraId="63EAB3F1" w14:textId="77777777" w:rsidTr="009D4550">
        <w:tc>
          <w:tcPr>
            <w:tcW w:w="1915" w:type="dxa"/>
            <w:shd w:val="clear" w:color="auto" w:fill="auto"/>
            <w:vAlign w:val="center"/>
          </w:tcPr>
          <w:p w14:paraId="755D562A" w14:textId="77777777" w:rsidR="009D4550" w:rsidRPr="00275290" w:rsidRDefault="009D4550" w:rsidP="009D4550">
            <w:pPr>
              <w:rPr>
                <w:rFonts w:cs="Arial"/>
                <w:b/>
              </w:rPr>
            </w:pPr>
            <w:r w:rsidRPr="00275290">
              <w:rPr>
                <w:rFonts w:cs="Arial"/>
                <w:b/>
              </w:rPr>
              <w:t>Long term AEL</w:t>
            </w:r>
          </w:p>
          <w:p w14:paraId="18BF857E" w14:textId="77777777" w:rsidR="009D4550" w:rsidRPr="00275290" w:rsidRDefault="009D4550" w:rsidP="009D4550">
            <w:pPr>
              <w:rPr>
                <w:rFonts w:cs="Arial"/>
              </w:rPr>
            </w:pPr>
            <w:r w:rsidRPr="00275290">
              <w:rPr>
                <w:rFonts w:cs="Arial"/>
                <w:b/>
              </w:rPr>
              <w:t>(mg/kg bw/d)</w:t>
            </w:r>
          </w:p>
        </w:tc>
        <w:tc>
          <w:tcPr>
            <w:tcW w:w="2127" w:type="dxa"/>
            <w:shd w:val="clear" w:color="auto" w:fill="auto"/>
            <w:vAlign w:val="center"/>
          </w:tcPr>
          <w:p w14:paraId="0670EC8C" w14:textId="77777777" w:rsidR="009D4550" w:rsidRPr="00275290" w:rsidRDefault="009D4550" w:rsidP="009D4550">
            <w:pPr>
              <w:rPr>
                <w:rFonts w:cs="Arial"/>
              </w:rPr>
            </w:pPr>
            <w:r w:rsidRPr="00275290">
              <w:rPr>
                <w:rFonts w:cs="Arial"/>
              </w:rPr>
              <w:t>0.022</w:t>
            </w:r>
          </w:p>
        </w:tc>
        <w:tc>
          <w:tcPr>
            <w:tcW w:w="2105" w:type="dxa"/>
            <w:shd w:val="clear" w:color="auto" w:fill="auto"/>
            <w:vAlign w:val="center"/>
          </w:tcPr>
          <w:p w14:paraId="352F6C0F" w14:textId="77777777" w:rsidR="009D4550" w:rsidRPr="00275290" w:rsidRDefault="009D4550" w:rsidP="009D4550">
            <w:pPr>
              <w:rPr>
                <w:rFonts w:cs="Arial"/>
              </w:rPr>
            </w:pPr>
            <w:r w:rsidRPr="00275290">
              <w:rPr>
                <w:rFonts w:cs="Arial"/>
              </w:rPr>
              <w:t>0.03</w:t>
            </w:r>
          </w:p>
        </w:tc>
        <w:tc>
          <w:tcPr>
            <w:tcW w:w="2115" w:type="dxa"/>
            <w:shd w:val="clear" w:color="auto" w:fill="auto"/>
            <w:vAlign w:val="center"/>
          </w:tcPr>
          <w:p w14:paraId="775153F0" w14:textId="77777777" w:rsidR="009D4550" w:rsidRPr="00275290" w:rsidRDefault="009D4550" w:rsidP="009D4550">
            <w:pPr>
              <w:rPr>
                <w:rFonts w:cs="Arial"/>
              </w:rPr>
            </w:pPr>
            <w:r w:rsidRPr="00275290">
              <w:rPr>
                <w:rFonts w:cs="Arial"/>
              </w:rPr>
              <w:t>0.04</w:t>
            </w:r>
          </w:p>
        </w:tc>
        <w:tc>
          <w:tcPr>
            <w:tcW w:w="1733" w:type="dxa"/>
            <w:vAlign w:val="center"/>
          </w:tcPr>
          <w:p w14:paraId="060E0BE3" w14:textId="77777777" w:rsidR="009D4550" w:rsidRPr="00275290" w:rsidRDefault="009D4550" w:rsidP="009D4550">
            <w:pPr>
              <w:rPr>
                <w:rFonts w:cs="Arial"/>
              </w:rPr>
            </w:pPr>
            <w:r w:rsidRPr="00275290">
              <w:rPr>
                <w:rFonts w:cs="Arial"/>
              </w:rPr>
              <w:t>0.2</w:t>
            </w:r>
          </w:p>
        </w:tc>
      </w:tr>
    </w:tbl>
    <w:p w14:paraId="3E061265" w14:textId="77777777" w:rsidR="009D4550" w:rsidRPr="00275290" w:rsidRDefault="009D4550" w:rsidP="009D4550">
      <w:pPr>
        <w:pStyle w:val="Standard-italics"/>
        <w:tabs>
          <w:tab w:val="left" w:pos="1276"/>
        </w:tabs>
        <w:rPr>
          <w:rFonts w:cs="Arial"/>
        </w:rPr>
      </w:pPr>
    </w:p>
    <w:p w14:paraId="659626D7" w14:textId="77777777" w:rsidR="00C81964" w:rsidRDefault="00C81964" w:rsidP="009D4550">
      <w:pPr>
        <w:pStyle w:val="Standard-italics"/>
        <w:tabs>
          <w:tab w:val="left" w:pos="1276"/>
        </w:tabs>
        <w:rPr>
          <w:rFonts w:cs="Arial"/>
          <w:b/>
          <w:u w:val="single"/>
          <w:lang w:val="en-US"/>
        </w:rPr>
      </w:pPr>
    </w:p>
    <w:p w14:paraId="09FC9179" w14:textId="77777777" w:rsidR="009D4550" w:rsidRPr="00275290" w:rsidRDefault="009D4550" w:rsidP="009D4550">
      <w:pPr>
        <w:pStyle w:val="Standard-italics"/>
        <w:tabs>
          <w:tab w:val="left" w:pos="1276"/>
        </w:tabs>
        <w:rPr>
          <w:rFonts w:cs="Arial"/>
        </w:rPr>
      </w:pPr>
      <w:r w:rsidRPr="00275290">
        <w:rPr>
          <w:rFonts w:cs="Arial"/>
          <w:b/>
          <w:u w:val="single"/>
          <w:lang w:val="en-US"/>
        </w:rPr>
        <w:t>Adult combined exposure (chronic exposure scenario)</w:t>
      </w:r>
    </w:p>
    <w:p w14:paraId="39658E32" w14:textId="77777777" w:rsidR="009D4550" w:rsidRPr="00275290" w:rsidRDefault="009D4550" w:rsidP="009D4550">
      <w:pPr>
        <w:pStyle w:val="Standard-italics"/>
        <w:tabs>
          <w:tab w:val="left" w:pos="1276"/>
        </w:tabs>
        <w:rPr>
          <w:rFonts w:cs="Arial"/>
        </w:rPr>
      </w:pPr>
    </w:p>
    <w:p w14:paraId="080CF9B2"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74D3D9DB" w14:textId="77777777" w:rsidR="009D4550" w:rsidRPr="00275290" w:rsidRDefault="009D4550" w:rsidP="009D4550">
      <w:pPr>
        <w:pStyle w:val="Standard-italics"/>
        <w:tabs>
          <w:tab w:val="left" w:pos="1276"/>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980"/>
        <w:gridCol w:w="1970"/>
        <w:gridCol w:w="1967"/>
      </w:tblGrid>
      <w:tr w:rsidR="004938EA" w:rsidRPr="00275290" w14:paraId="5AF5C076" w14:textId="77777777" w:rsidTr="00B82366">
        <w:tc>
          <w:tcPr>
            <w:tcW w:w="2105" w:type="dxa"/>
          </w:tcPr>
          <w:p w14:paraId="7E59AF99" w14:textId="77777777" w:rsidR="004938EA" w:rsidRPr="00275290" w:rsidRDefault="004938EA" w:rsidP="004E7A98">
            <w:pPr>
              <w:autoSpaceDE w:val="0"/>
              <w:autoSpaceDN w:val="0"/>
              <w:adjustRightInd w:val="0"/>
              <w:rPr>
                <w:rFonts w:cs="Arial"/>
              </w:rPr>
            </w:pPr>
            <w:r w:rsidRPr="00275290">
              <w:rPr>
                <w:rFonts w:cs="Arial"/>
              </w:rPr>
              <w:t>Scenario</w:t>
            </w:r>
          </w:p>
        </w:tc>
        <w:tc>
          <w:tcPr>
            <w:tcW w:w="1980" w:type="dxa"/>
          </w:tcPr>
          <w:p w14:paraId="51B28953" w14:textId="77777777" w:rsidR="004938EA" w:rsidRPr="0021636F" w:rsidRDefault="004938EA" w:rsidP="004E7A98">
            <w:pPr>
              <w:tabs>
                <w:tab w:val="left" w:pos="426"/>
              </w:tabs>
              <w:autoSpaceDE w:val="0"/>
              <w:autoSpaceDN w:val="0"/>
              <w:adjustRightInd w:val="0"/>
              <w:rPr>
                <w:rFonts w:cs="Arial"/>
                <w:lang w:val="es-US"/>
              </w:rPr>
            </w:pPr>
            <w:r w:rsidRPr="0021636F">
              <w:rPr>
                <w:rFonts w:cs="Arial"/>
                <w:lang w:val="es-US"/>
              </w:rPr>
              <w:t>AEL</w:t>
            </w:r>
          </w:p>
          <w:p w14:paraId="494B2206" w14:textId="77777777" w:rsidR="004938EA" w:rsidRPr="0021636F" w:rsidRDefault="004938EA" w:rsidP="004E7A98">
            <w:pPr>
              <w:tabs>
                <w:tab w:val="left" w:pos="426"/>
              </w:tabs>
              <w:autoSpaceDE w:val="0"/>
              <w:autoSpaceDN w:val="0"/>
              <w:adjustRightInd w:val="0"/>
              <w:rPr>
                <w:rFonts w:cs="Arial"/>
                <w:lang w:val="es-US"/>
              </w:rPr>
            </w:pPr>
            <w:r w:rsidRPr="0021636F">
              <w:rPr>
                <w:rFonts w:cs="Arial"/>
                <w:lang w:val="es-US"/>
              </w:rPr>
              <w:t>(mg/kg pc/j)</w:t>
            </w:r>
          </w:p>
        </w:tc>
        <w:tc>
          <w:tcPr>
            <w:tcW w:w="1970" w:type="dxa"/>
          </w:tcPr>
          <w:p w14:paraId="62651718" w14:textId="77777777" w:rsidR="004938EA" w:rsidRPr="00ED68BA" w:rsidRDefault="004938EA" w:rsidP="004E7A98">
            <w:pPr>
              <w:autoSpaceDE w:val="0"/>
              <w:autoSpaceDN w:val="0"/>
              <w:adjustRightInd w:val="0"/>
              <w:rPr>
                <w:rFonts w:cs="Arial"/>
                <w:lang w:val="fr-FR"/>
              </w:rPr>
            </w:pPr>
            <w:r w:rsidRPr="00ED68BA">
              <w:rPr>
                <w:rFonts w:cs="Arial"/>
                <w:lang w:val="fr-FR"/>
              </w:rPr>
              <w:t>Exposure</w:t>
            </w:r>
          </w:p>
          <w:p w14:paraId="5B33E888" w14:textId="77777777" w:rsidR="004938EA" w:rsidRPr="00ED68BA" w:rsidRDefault="004938EA" w:rsidP="004E7A98">
            <w:pPr>
              <w:autoSpaceDE w:val="0"/>
              <w:autoSpaceDN w:val="0"/>
              <w:adjustRightInd w:val="0"/>
              <w:rPr>
                <w:rFonts w:cs="Arial"/>
                <w:lang w:val="fr-FR"/>
              </w:rPr>
            </w:pPr>
            <w:r w:rsidRPr="00ED68BA">
              <w:rPr>
                <w:rFonts w:cs="Arial"/>
                <w:lang w:val="fr-FR"/>
              </w:rPr>
              <w:t>(mg/kg pc/j)</w:t>
            </w:r>
          </w:p>
        </w:tc>
        <w:tc>
          <w:tcPr>
            <w:tcW w:w="1967" w:type="dxa"/>
          </w:tcPr>
          <w:p w14:paraId="716C8A10" w14:textId="77777777" w:rsidR="004938EA" w:rsidRPr="00275290" w:rsidRDefault="004938EA" w:rsidP="004E7A98">
            <w:pPr>
              <w:autoSpaceDE w:val="0"/>
              <w:autoSpaceDN w:val="0"/>
              <w:adjustRightInd w:val="0"/>
              <w:rPr>
                <w:rFonts w:cs="Arial"/>
              </w:rPr>
            </w:pPr>
            <w:r w:rsidRPr="00275290">
              <w:rPr>
                <w:rFonts w:cs="Arial"/>
              </w:rPr>
              <w:t>% AEL</w:t>
            </w:r>
          </w:p>
        </w:tc>
      </w:tr>
      <w:tr w:rsidR="004938EA" w:rsidRPr="00275290" w14:paraId="3267C35D" w14:textId="77777777" w:rsidTr="00B82366">
        <w:tc>
          <w:tcPr>
            <w:tcW w:w="2105" w:type="dxa"/>
            <w:vMerge w:val="restart"/>
            <w:vAlign w:val="center"/>
          </w:tcPr>
          <w:p w14:paraId="20E5663B" w14:textId="77777777" w:rsidR="004938EA" w:rsidRPr="00275290" w:rsidRDefault="004938EA" w:rsidP="004E7A98">
            <w:pPr>
              <w:rPr>
                <w:rFonts w:cs="Arial"/>
                <w:lang w:val="en-US"/>
              </w:rPr>
            </w:pPr>
            <w:r w:rsidRPr="00275290">
              <w:rPr>
                <w:rFonts w:cs="Arial"/>
                <w:lang w:val="en-US"/>
              </w:rPr>
              <w:t>Adult combined expo : Dipping</w:t>
            </w:r>
          </w:p>
          <w:p w14:paraId="1B8FA679" w14:textId="77777777" w:rsidR="004938EA" w:rsidRPr="00275290" w:rsidRDefault="004938EA" w:rsidP="004E7A98">
            <w:pPr>
              <w:rPr>
                <w:rFonts w:cs="Arial"/>
                <w:lang w:val="en-US"/>
              </w:rPr>
            </w:pPr>
            <w:r w:rsidRPr="00275290">
              <w:rPr>
                <w:rFonts w:cs="Arial"/>
                <w:lang w:val="en-US"/>
              </w:rPr>
              <w:t>(gloves and protective clothes during M&amp;l and gloves during application)</w:t>
            </w:r>
          </w:p>
        </w:tc>
        <w:tc>
          <w:tcPr>
            <w:tcW w:w="1980" w:type="dxa"/>
            <w:vAlign w:val="center"/>
          </w:tcPr>
          <w:p w14:paraId="70F23CE8" w14:textId="77777777" w:rsidR="004938EA" w:rsidRPr="00275290" w:rsidRDefault="004938EA" w:rsidP="004E7A98">
            <w:pPr>
              <w:rPr>
                <w:rFonts w:cs="Arial"/>
                <w:lang w:val="en-US"/>
              </w:rPr>
            </w:pPr>
            <w:r w:rsidRPr="00275290">
              <w:rPr>
                <w:rFonts w:cs="Arial"/>
                <w:lang w:val="en-US"/>
              </w:rPr>
              <w:t>Cyperméthrine</w:t>
            </w:r>
          </w:p>
          <w:p w14:paraId="18177F07" w14:textId="77777777" w:rsidR="004938EA" w:rsidRPr="00275290" w:rsidRDefault="004938EA" w:rsidP="004E7A98">
            <w:pPr>
              <w:rPr>
                <w:rFonts w:cs="Arial"/>
                <w:lang w:val="en-US"/>
              </w:rPr>
            </w:pPr>
            <w:r w:rsidRPr="00275290">
              <w:rPr>
                <w:rFonts w:cs="Arial"/>
                <w:lang w:val="en-US"/>
              </w:rPr>
              <w:t>0.022</w:t>
            </w:r>
          </w:p>
        </w:tc>
        <w:tc>
          <w:tcPr>
            <w:tcW w:w="1970" w:type="dxa"/>
            <w:vAlign w:val="center"/>
          </w:tcPr>
          <w:p w14:paraId="5870F500" w14:textId="77777777" w:rsidR="004938EA" w:rsidRPr="00275290" w:rsidRDefault="004938EA" w:rsidP="004E7A98">
            <w:pPr>
              <w:rPr>
                <w:rFonts w:cs="Arial"/>
                <w:color w:val="000000"/>
              </w:rPr>
            </w:pPr>
            <w:r w:rsidRPr="00275290">
              <w:rPr>
                <w:rFonts w:cs="Arial"/>
                <w:color w:val="000000"/>
              </w:rPr>
              <w:t>8,12E-03</w:t>
            </w:r>
          </w:p>
        </w:tc>
        <w:tc>
          <w:tcPr>
            <w:tcW w:w="1967" w:type="dxa"/>
            <w:vAlign w:val="center"/>
          </w:tcPr>
          <w:p w14:paraId="0073E974" w14:textId="77777777" w:rsidR="004938EA" w:rsidRPr="00275290" w:rsidRDefault="004938EA" w:rsidP="004E7A98">
            <w:pPr>
              <w:rPr>
                <w:rFonts w:cs="Arial"/>
                <w:lang w:val="fr-FR"/>
              </w:rPr>
            </w:pPr>
            <w:r w:rsidRPr="00275290">
              <w:rPr>
                <w:rFonts w:cs="Arial"/>
                <w:lang w:val="fr-FR"/>
              </w:rPr>
              <w:t>36.9</w:t>
            </w:r>
          </w:p>
        </w:tc>
      </w:tr>
      <w:tr w:rsidR="004938EA" w:rsidRPr="00275290" w14:paraId="319317CF" w14:textId="77777777" w:rsidTr="00B82366">
        <w:tc>
          <w:tcPr>
            <w:tcW w:w="2105" w:type="dxa"/>
            <w:vMerge/>
            <w:vAlign w:val="center"/>
          </w:tcPr>
          <w:p w14:paraId="51BE9CE1" w14:textId="77777777" w:rsidR="004938EA" w:rsidRPr="00275290" w:rsidRDefault="004938EA" w:rsidP="004E7A98">
            <w:pPr>
              <w:rPr>
                <w:rFonts w:cs="Arial"/>
                <w:lang w:val="fr-FR"/>
              </w:rPr>
            </w:pPr>
          </w:p>
        </w:tc>
        <w:tc>
          <w:tcPr>
            <w:tcW w:w="1980" w:type="dxa"/>
            <w:vAlign w:val="center"/>
          </w:tcPr>
          <w:p w14:paraId="18953244" w14:textId="77777777" w:rsidR="004938EA" w:rsidRPr="00275290" w:rsidRDefault="004938EA" w:rsidP="004E7A98">
            <w:pPr>
              <w:rPr>
                <w:rFonts w:cs="Arial"/>
                <w:lang w:val="fr-FR"/>
              </w:rPr>
            </w:pPr>
            <w:r w:rsidRPr="00275290">
              <w:rPr>
                <w:rFonts w:cs="Arial"/>
                <w:lang w:val="fr-FR"/>
              </w:rPr>
              <w:t>Propiconazole : 0.04</w:t>
            </w:r>
          </w:p>
        </w:tc>
        <w:tc>
          <w:tcPr>
            <w:tcW w:w="1970" w:type="dxa"/>
            <w:vAlign w:val="center"/>
          </w:tcPr>
          <w:p w14:paraId="2EB61BF8" w14:textId="77777777" w:rsidR="004938EA" w:rsidRPr="00275290" w:rsidRDefault="004938EA" w:rsidP="004E7A98">
            <w:pPr>
              <w:rPr>
                <w:rFonts w:cs="Arial"/>
                <w:color w:val="000000"/>
              </w:rPr>
            </w:pPr>
            <w:r w:rsidRPr="00275290">
              <w:rPr>
                <w:rFonts w:cs="Arial"/>
                <w:color w:val="000000"/>
              </w:rPr>
              <w:t>1,17E-02</w:t>
            </w:r>
          </w:p>
        </w:tc>
        <w:tc>
          <w:tcPr>
            <w:tcW w:w="1967" w:type="dxa"/>
            <w:vAlign w:val="center"/>
          </w:tcPr>
          <w:p w14:paraId="1B5BB497" w14:textId="77777777" w:rsidR="004938EA" w:rsidRPr="00275290" w:rsidRDefault="004938EA" w:rsidP="004E7A98">
            <w:pPr>
              <w:rPr>
                <w:rFonts w:cs="Arial"/>
                <w:lang w:val="fr-FR"/>
              </w:rPr>
            </w:pPr>
            <w:r w:rsidRPr="00275290">
              <w:rPr>
                <w:rFonts w:cs="Arial"/>
                <w:lang w:val="fr-FR"/>
              </w:rPr>
              <w:t>29.4</w:t>
            </w:r>
          </w:p>
        </w:tc>
      </w:tr>
      <w:tr w:rsidR="004938EA" w:rsidRPr="00275290" w14:paraId="5E7C2904" w14:textId="77777777" w:rsidTr="00B82366">
        <w:tc>
          <w:tcPr>
            <w:tcW w:w="2105" w:type="dxa"/>
            <w:vMerge/>
            <w:vAlign w:val="center"/>
          </w:tcPr>
          <w:p w14:paraId="73053025" w14:textId="77777777" w:rsidR="004938EA" w:rsidRPr="00275290" w:rsidRDefault="004938EA" w:rsidP="004E7A98">
            <w:pPr>
              <w:rPr>
                <w:rFonts w:cs="Arial"/>
                <w:lang w:val="fr-FR"/>
              </w:rPr>
            </w:pPr>
          </w:p>
        </w:tc>
        <w:tc>
          <w:tcPr>
            <w:tcW w:w="1980" w:type="dxa"/>
            <w:vAlign w:val="center"/>
          </w:tcPr>
          <w:p w14:paraId="2914F461" w14:textId="77777777" w:rsidR="004938EA" w:rsidRPr="00275290" w:rsidRDefault="004938EA" w:rsidP="004E7A98">
            <w:pPr>
              <w:rPr>
                <w:rFonts w:cs="Arial"/>
                <w:lang w:val="fr-FR"/>
              </w:rPr>
            </w:pPr>
            <w:r w:rsidRPr="00275290">
              <w:rPr>
                <w:rFonts w:cs="Arial"/>
                <w:lang w:val="fr-FR"/>
              </w:rPr>
              <w:t>Tébuconazole : 0.03</w:t>
            </w:r>
          </w:p>
        </w:tc>
        <w:tc>
          <w:tcPr>
            <w:tcW w:w="1970" w:type="dxa"/>
            <w:vAlign w:val="center"/>
          </w:tcPr>
          <w:p w14:paraId="23EFE74F" w14:textId="77777777" w:rsidR="004938EA" w:rsidRPr="00275290" w:rsidRDefault="004938EA" w:rsidP="004E7A98">
            <w:pPr>
              <w:rPr>
                <w:rFonts w:cs="Arial"/>
                <w:color w:val="000000"/>
              </w:rPr>
            </w:pPr>
            <w:r w:rsidRPr="00275290">
              <w:rPr>
                <w:rFonts w:cs="Arial"/>
                <w:color w:val="000000"/>
              </w:rPr>
              <w:t>4,37E-03</w:t>
            </w:r>
          </w:p>
        </w:tc>
        <w:tc>
          <w:tcPr>
            <w:tcW w:w="1967" w:type="dxa"/>
            <w:vAlign w:val="center"/>
          </w:tcPr>
          <w:p w14:paraId="458992C6" w14:textId="77777777" w:rsidR="004938EA" w:rsidRPr="00275290" w:rsidRDefault="004938EA" w:rsidP="004E7A98">
            <w:pPr>
              <w:rPr>
                <w:rFonts w:cs="Arial"/>
                <w:lang w:val="fr-FR"/>
              </w:rPr>
            </w:pPr>
            <w:r w:rsidRPr="00275290">
              <w:rPr>
                <w:rFonts w:cs="Arial"/>
                <w:lang w:val="fr-FR"/>
              </w:rPr>
              <w:t>14.6</w:t>
            </w:r>
          </w:p>
        </w:tc>
      </w:tr>
      <w:tr w:rsidR="004938EA" w:rsidRPr="00275290" w14:paraId="03A2C371" w14:textId="77777777" w:rsidTr="00B82366">
        <w:tc>
          <w:tcPr>
            <w:tcW w:w="2105" w:type="dxa"/>
            <w:vMerge/>
            <w:vAlign w:val="center"/>
          </w:tcPr>
          <w:p w14:paraId="5C3E6D92" w14:textId="77777777" w:rsidR="004938EA" w:rsidRPr="00275290" w:rsidRDefault="004938EA" w:rsidP="004E7A98">
            <w:pPr>
              <w:rPr>
                <w:rFonts w:cs="Arial"/>
                <w:lang w:val="fr-FR"/>
              </w:rPr>
            </w:pPr>
          </w:p>
        </w:tc>
        <w:tc>
          <w:tcPr>
            <w:tcW w:w="1980" w:type="dxa"/>
            <w:vAlign w:val="center"/>
          </w:tcPr>
          <w:p w14:paraId="61FE6230" w14:textId="77777777" w:rsidR="004938EA" w:rsidRPr="00275290" w:rsidRDefault="004938EA" w:rsidP="004E7A98">
            <w:pPr>
              <w:rPr>
                <w:rFonts w:cs="Arial"/>
                <w:lang w:val="fr-FR"/>
              </w:rPr>
            </w:pPr>
            <w:r w:rsidRPr="00275290">
              <w:rPr>
                <w:rFonts w:cs="Arial"/>
                <w:lang w:val="fr-FR"/>
              </w:rPr>
              <w:t>IPBC</w:t>
            </w:r>
          </w:p>
          <w:p w14:paraId="7709B7B5" w14:textId="77777777" w:rsidR="004938EA" w:rsidRPr="00275290" w:rsidRDefault="004938EA" w:rsidP="004E7A98">
            <w:pPr>
              <w:rPr>
                <w:rFonts w:cs="Arial"/>
                <w:lang w:val="fr-FR"/>
              </w:rPr>
            </w:pPr>
            <w:r w:rsidRPr="00275290">
              <w:rPr>
                <w:rFonts w:cs="Arial"/>
                <w:lang w:val="fr-FR"/>
              </w:rPr>
              <w:t>0.2</w:t>
            </w:r>
          </w:p>
        </w:tc>
        <w:tc>
          <w:tcPr>
            <w:tcW w:w="1970" w:type="dxa"/>
            <w:vAlign w:val="center"/>
          </w:tcPr>
          <w:p w14:paraId="4AD986A6" w14:textId="77777777" w:rsidR="004938EA" w:rsidRPr="00275290" w:rsidRDefault="004938EA" w:rsidP="004E7A98">
            <w:pPr>
              <w:rPr>
                <w:rFonts w:cs="Arial"/>
                <w:color w:val="000000"/>
              </w:rPr>
            </w:pPr>
            <w:r w:rsidRPr="00275290">
              <w:rPr>
                <w:rFonts w:cs="Arial"/>
                <w:color w:val="000000"/>
              </w:rPr>
              <w:t>1,06E-02</w:t>
            </w:r>
          </w:p>
        </w:tc>
        <w:tc>
          <w:tcPr>
            <w:tcW w:w="1967" w:type="dxa"/>
            <w:vAlign w:val="center"/>
          </w:tcPr>
          <w:p w14:paraId="160F7DBA" w14:textId="77777777" w:rsidR="004938EA" w:rsidRPr="00275290" w:rsidRDefault="004938EA" w:rsidP="004E7A98">
            <w:pPr>
              <w:rPr>
                <w:rFonts w:cs="Arial"/>
                <w:lang w:val="fr-FR"/>
              </w:rPr>
            </w:pPr>
            <w:r w:rsidRPr="00275290">
              <w:rPr>
                <w:rFonts w:cs="Arial"/>
                <w:lang w:val="fr-FR"/>
              </w:rPr>
              <w:t>5.3</w:t>
            </w:r>
          </w:p>
        </w:tc>
      </w:tr>
      <w:tr w:rsidR="004938EA" w:rsidRPr="00275290" w14:paraId="369BEFB5" w14:textId="77777777" w:rsidTr="00B82366">
        <w:tc>
          <w:tcPr>
            <w:tcW w:w="2105" w:type="dxa"/>
            <w:vMerge w:val="restart"/>
            <w:vAlign w:val="center"/>
          </w:tcPr>
          <w:p w14:paraId="163066CC" w14:textId="77777777" w:rsidR="004938EA" w:rsidRPr="00275290" w:rsidRDefault="004938EA" w:rsidP="004E7A98">
            <w:pPr>
              <w:rPr>
                <w:rFonts w:cs="Arial"/>
                <w:lang w:val="en-US"/>
              </w:rPr>
            </w:pPr>
            <w:r w:rsidRPr="00275290">
              <w:rPr>
                <w:rFonts w:cs="Arial"/>
                <w:lang w:val="en-US"/>
              </w:rPr>
              <w:t>Adult combined expo : Brushing</w:t>
            </w:r>
          </w:p>
          <w:p w14:paraId="59E4620C" w14:textId="77777777" w:rsidR="004938EA" w:rsidRPr="00275290" w:rsidRDefault="004938EA" w:rsidP="004E7A98">
            <w:pPr>
              <w:rPr>
                <w:rFonts w:cs="Arial"/>
                <w:lang w:val="en-US"/>
              </w:rPr>
            </w:pPr>
            <w:r w:rsidRPr="00275290">
              <w:rPr>
                <w:rFonts w:cs="Arial"/>
                <w:lang w:val="en-US"/>
              </w:rPr>
              <w:t>(gloves and coated coverall during application and without PPE during cleaning)</w:t>
            </w:r>
          </w:p>
        </w:tc>
        <w:tc>
          <w:tcPr>
            <w:tcW w:w="1980" w:type="dxa"/>
            <w:vAlign w:val="center"/>
          </w:tcPr>
          <w:p w14:paraId="29923A35" w14:textId="77777777" w:rsidR="004938EA" w:rsidRPr="00275290" w:rsidRDefault="004938EA" w:rsidP="004E7A98">
            <w:pPr>
              <w:rPr>
                <w:rFonts w:cs="Arial"/>
                <w:lang w:val="en-US"/>
              </w:rPr>
            </w:pPr>
            <w:r w:rsidRPr="00275290">
              <w:rPr>
                <w:rFonts w:cs="Arial"/>
                <w:lang w:val="en-US"/>
              </w:rPr>
              <w:t>Cyperméthrine</w:t>
            </w:r>
          </w:p>
          <w:p w14:paraId="69CFC08B" w14:textId="77777777" w:rsidR="004938EA" w:rsidRPr="00275290" w:rsidRDefault="004938EA" w:rsidP="004E7A98">
            <w:pPr>
              <w:rPr>
                <w:rFonts w:cs="Arial"/>
                <w:lang w:val="en-US"/>
              </w:rPr>
            </w:pPr>
            <w:r w:rsidRPr="00275290">
              <w:rPr>
                <w:rFonts w:cs="Arial"/>
                <w:lang w:val="en-US"/>
              </w:rPr>
              <w:t>0.022</w:t>
            </w:r>
          </w:p>
        </w:tc>
        <w:tc>
          <w:tcPr>
            <w:tcW w:w="1970" w:type="dxa"/>
            <w:vAlign w:val="center"/>
          </w:tcPr>
          <w:p w14:paraId="621A84A9" w14:textId="77777777" w:rsidR="004938EA" w:rsidRPr="00275290" w:rsidRDefault="004938EA" w:rsidP="004E7A98">
            <w:pPr>
              <w:rPr>
                <w:rFonts w:cs="Arial"/>
                <w:color w:val="000000"/>
              </w:rPr>
            </w:pPr>
            <w:r w:rsidRPr="00275290">
              <w:rPr>
                <w:rFonts w:cs="Arial"/>
                <w:color w:val="000000"/>
              </w:rPr>
              <w:t>1,88E-03</w:t>
            </w:r>
          </w:p>
        </w:tc>
        <w:tc>
          <w:tcPr>
            <w:tcW w:w="1967" w:type="dxa"/>
            <w:vAlign w:val="center"/>
          </w:tcPr>
          <w:p w14:paraId="2E604460" w14:textId="77777777" w:rsidR="004938EA" w:rsidRPr="00275290" w:rsidRDefault="004938EA" w:rsidP="004E7A98">
            <w:pPr>
              <w:rPr>
                <w:rFonts w:cs="Arial"/>
                <w:lang w:val="fr-FR"/>
              </w:rPr>
            </w:pPr>
            <w:r w:rsidRPr="00275290">
              <w:rPr>
                <w:rFonts w:cs="Arial"/>
                <w:lang w:val="fr-FR"/>
              </w:rPr>
              <w:t>8.54</w:t>
            </w:r>
          </w:p>
        </w:tc>
      </w:tr>
      <w:tr w:rsidR="004938EA" w:rsidRPr="00275290" w14:paraId="28974A58" w14:textId="77777777" w:rsidTr="00B82366">
        <w:tc>
          <w:tcPr>
            <w:tcW w:w="2105" w:type="dxa"/>
            <w:vMerge/>
            <w:vAlign w:val="center"/>
          </w:tcPr>
          <w:p w14:paraId="1747B0DF" w14:textId="77777777" w:rsidR="004938EA" w:rsidRPr="00275290" w:rsidRDefault="004938EA" w:rsidP="004E7A98">
            <w:pPr>
              <w:rPr>
                <w:rFonts w:cs="Arial"/>
                <w:lang w:val="fr-FR"/>
              </w:rPr>
            </w:pPr>
          </w:p>
        </w:tc>
        <w:tc>
          <w:tcPr>
            <w:tcW w:w="1980" w:type="dxa"/>
            <w:vAlign w:val="center"/>
          </w:tcPr>
          <w:p w14:paraId="345924BE" w14:textId="77777777" w:rsidR="004938EA" w:rsidRPr="00275290" w:rsidRDefault="004938EA" w:rsidP="004E7A98">
            <w:pPr>
              <w:rPr>
                <w:rFonts w:cs="Arial"/>
                <w:lang w:val="fr-FR"/>
              </w:rPr>
            </w:pPr>
            <w:r w:rsidRPr="00275290">
              <w:rPr>
                <w:rFonts w:cs="Arial"/>
                <w:lang w:val="fr-FR"/>
              </w:rPr>
              <w:t>Propiconazole : 0.04</w:t>
            </w:r>
          </w:p>
        </w:tc>
        <w:tc>
          <w:tcPr>
            <w:tcW w:w="1970" w:type="dxa"/>
            <w:vAlign w:val="center"/>
          </w:tcPr>
          <w:p w14:paraId="5AE35CAC" w14:textId="77777777" w:rsidR="004938EA" w:rsidRPr="00275290" w:rsidRDefault="004938EA" w:rsidP="004E7A98">
            <w:pPr>
              <w:rPr>
                <w:rFonts w:cs="Arial"/>
                <w:color w:val="000000"/>
              </w:rPr>
            </w:pPr>
            <w:r w:rsidRPr="00275290">
              <w:rPr>
                <w:rFonts w:cs="Arial"/>
                <w:color w:val="000000"/>
              </w:rPr>
              <w:t>2,67E-03</w:t>
            </w:r>
          </w:p>
        </w:tc>
        <w:tc>
          <w:tcPr>
            <w:tcW w:w="1967" w:type="dxa"/>
            <w:vAlign w:val="center"/>
          </w:tcPr>
          <w:p w14:paraId="5F670F8B" w14:textId="77777777" w:rsidR="004938EA" w:rsidRPr="00275290" w:rsidRDefault="004938EA" w:rsidP="004E7A98">
            <w:pPr>
              <w:rPr>
                <w:rFonts w:cs="Arial"/>
                <w:lang w:val="fr-FR"/>
              </w:rPr>
            </w:pPr>
            <w:r w:rsidRPr="00275290">
              <w:rPr>
                <w:rFonts w:cs="Arial"/>
                <w:lang w:val="fr-FR"/>
              </w:rPr>
              <w:t>6.7</w:t>
            </w:r>
          </w:p>
        </w:tc>
      </w:tr>
      <w:tr w:rsidR="004938EA" w:rsidRPr="00275290" w14:paraId="4DB52601" w14:textId="77777777" w:rsidTr="00B82366">
        <w:tc>
          <w:tcPr>
            <w:tcW w:w="2105" w:type="dxa"/>
            <w:vMerge/>
            <w:vAlign w:val="center"/>
          </w:tcPr>
          <w:p w14:paraId="4F0BC9F1" w14:textId="77777777" w:rsidR="004938EA" w:rsidRPr="00275290" w:rsidRDefault="004938EA" w:rsidP="004E7A98">
            <w:pPr>
              <w:rPr>
                <w:rFonts w:cs="Arial"/>
                <w:lang w:val="fr-FR"/>
              </w:rPr>
            </w:pPr>
          </w:p>
        </w:tc>
        <w:tc>
          <w:tcPr>
            <w:tcW w:w="1980" w:type="dxa"/>
            <w:vAlign w:val="center"/>
          </w:tcPr>
          <w:p w14:paraId="124EF054" w14:textId="77777777" w:rsidR="004938EA" w:rsidRPr="00275290" w:rsidRDefault="004938EA" w:rsidP="004E7A98">
            <w:pPr>
              <w:rPr>
                <w:rFonts w:cs="Arial"/>
                <w:lang w:val="fr-FR"/>
              </w:rPr>
            </w:pPr>
            <w:r w:rsidRPr="00275290">
              <w:rPr>
                <w:rFonts w:cs="Arial"/>
                <w:lang w:val="fr-FR"/>
              </w:rPr>
              <w:t>Tébuconazole : 0.03</w:t>
            </w:r>
          </w:p>
        </w:tc>
        <w:tc>
          <w:tcPr>
            <w:tcW w:w="1970" w:type="dxa"/>
            <w:vAlign w:val="center"/>
          </w:tcPr>
          <w:p w14:paraId="79668ED1" w14:textId="77777777" w:rsidR="004938EA" w:rsidRPr="00275290" w:rsidRDefault="004938EA" w:rsidP="004E7A98">
            <w:pPr>
              <w:rPr>
                <w:rFonts w:cs="Arial"/>
                <w:color w:val="000000"/>
              </w:rPr>
            </w:pPr>
            <w:r w:rsidRPr="00275290">
              <w:rPr>
                <w:rFonts w:cs="Arial"/>
                <w:color w:val="000000"/>
              </w:rPr>
              <w:t>1,13E-03</w:t>
            </w:r>
          </w:p>
        </w:tc>
        <w:tc>
          <w:tcPr>
            <w:tcW w:w="1967" w:type="dxa"/>
            <w:vAlign w:val="center"/>
          </w:tcPr>
          <w:p w14:paraId="6E81F2FD" w14:textId="77777777" w:rsidR="004938EA" w:rsidRPr="00275290" w:rsidRDefault="004938EA" w:rsidP="004E7A98">
            <w:pPr>
              <w:rPr>
                <w:rFonts w:cs="Arial"/>
                <w:lang w:val="fr-FR"/>
              </w:rPr>
            </w:pPr>
            <w:r w:rsidRPr="00275290">
              <w:rPr>
                <w:rFonts w:cs="Arial"/>
                <w:lang w:val="fr-FR"/>
              </w:rPr>
              <w:t>3.8</w:t>
            </w:r>
          </w:p>
        </w:tc>
      </w:tr>
      <w:tr w:rsidR="004938EA" w:rsidRPr="00275290" w14:paraId="4B19C2A5" w14:textId="77777777" w:rsidTr="00B82366">
        <w:tc>
          <w:tcPr>
            <w:tcW w:w="2105" w:type="dxa"/>
            <w:vMerge/>
            <w:vAlign w:val="center"/>
          </w:tcPr>
          <w:p w14:paraId="397FD984" w14:textId="77777777" w:rsidR="004938EA" w:rsidRPr="00275290" w:rsidRDefault="004938EA" w:rsidP="004E7A98">
            <w:pPr>
              <w:rPr>
                <w:rFonts w:cs="Arial"/>
                <w:lang w:val="fr-FR"/>
              </w:rPr>
            </w:pPr>
          </w:p>
        </w:tc>
        <w:tc>
          <w:tcPr>
            <w:tcW w:w="1980" w:type="dxa"/>
            <w:vAlign w:val="center"/>
          </w:tcPr>
          <w:p w14:paraId="78C87F08" w14:textId="77777777" w:rsidR="004938EA" w:rsidRPr="00275290" w:rsidRDefault="004938EA" w:rsidP="004E7A98">
            <w:pPr>
              <w:rPr>
                <w:rFonts w:cs="Arial"/>
                <w:lang w:val="fr-FR"/>
              </w:rPr>
            </w:pPr>
            <w:r w:rsidRPr="00275290">
              <w:rPr>
                <w:rFonts w:cs="Arial"/>
                <w:lang w:val="fr-FR"/>
              </w:rPr>
              <w:t>IPBC</w:t>
            </w:r>
          </w:p>
          <w:p w14:paraId="3EBE4D31" w14:textId="77777777" w:rsidR="004938EA" w:rsidRPr="00275290" w:rsidRDefault="004938EA" w:rsidP="004E7A98">
            <w:pPr>
              <w:rPr>
                <w:rFonts w:cs="Arial"/>
                <w:lang w:val="fr-FR"/>
              </w:rPr>
            </w:pPr>
            <w:r w:rsidRPr="00275290">
              <w:rPr>
                <w:rFonts w:cs="Arial"/>
                <w:lang w:val="fr-FR"/>
              </w:rPr>
              <w:t>0.2</w:t>
            </w:r>
          </w:p>
        </w:tc>
        <w:tc>
          <w:tcPr>
            <w:tcW w:w="1970" w:type="dxa"/>
            <w:vAlign w:val="center"/>
          </w:tcPr>
          <w:p w14:paraId="25A4313C" w14:textId="77777777" w:rsidR="004938EA" w:rsidRPr="00275290" w:rsidRDefault="004938EA" w:rsidP="004E7A98">
            <w:pPr>
              <w:rPr>
                <w:rFonts w:cs="Arial"/>
                <w:color w:val="000000"/>
              </w:rPr>
            </w:pPr>
            <w:r w:rsidRPr="00275290">
              <w:rPr>
                <w:rFonts w:cs="Arial"/>
                <w:color w:val="000000"/>
              </w:rPr>
              <w:t>2,34E-03</w:t>
            </w:r>
          </w:p>
        </w:tc>
        <w:tc>
          <w:tcPr>
            <w:tcW w:w="1967" w:type="dxa"/>
            <w:vAlign w:val="center"/>
          </w:tcPr>
          <w:p w14:paraId="27019BDF" w14:textId="77777777" w:rsidR="004938EA" w:rsidRPr="00275290" w:rsidRDefault="004938EA" w:rsidP="004E7A98">
            <w:pPr>
              <w:rPr>
                <w:rFonts w:cs="Arial"/>
                <w:lang w:val="fr-FR"/>
              </w:rPr>
            </w:pPr>
            <w:r w:rsidRPr="00275290">
              <w:rPr>
                <w:rFonts w:cs="Arial"/>
                <w:lang w:val="fr-FR"/>
              </w:rPr>
              <w:t>1.2</w:t>
            </w:r>
          </w:p>
        </w:tc>
      </w:tr>
      <w:tr w:rsidR="00934A09" w:rsidRPr="00275290" w14:paraId="352D46DD" w14:textId="77777777" w:rsidTr="00B7552D">
        <w:tc>
          <w:tcPr>
            <w:tcW w:w="2105" w:type="dxa"/>
            <w:vMerge w:val="restart"/>
            <w:vAlign w:val="center"/>
          </w:tcPr>
          <w:p w14:paraId="364D2310" w14:textId="77777777" w:rsidR="00934A09" w:rsidRPr="00275290" w:rsidRDefault="00934A09" w:rsidP="004E7A98">
            <w:pPr>
              <w:rPr>
                <w:rFonts w:cs="Arial"/>
                <w:lang w:val="en-US"/>
              </w:rPr>
            </w:pPr>
            <w:r w:rsidRPr="00275290">
              <w:rPr>
                <w:rFonts w:cs="Arial"/>
                <w:lang w:val="en-US"/>
              </w:rPr>
              <w:t xml:space="preserve">Adult combined expo : spraying </w:t>
            </w:r>
          </w:p>
          <w:p w14:paraId="4846DE99" w14:textId="77777777" w:rsidR="00934A09" w:rsidRPr="00275290" w:rsidRDefault="00934A09" w:rsidP="004E7A98">
            <w:pPr>
              <w:rPr>
                <w:rFonts w:cs="Arial"/>
                <w:lang w:val="en-US"/>
              </w:rPr>
            </w:pPr>
            <w:r w:rsidRPr="00275290">
              <w:rPr>
                <w:rFonts w:cs="Arial"/>
                <w:lang w:val="en-US"/>
              </w:rPr>
              <w:t>(gloves and impermeable coverall during spraying and gloves and coated coverall during cleaning)</w:t>
            </w:r>
          </w:p>
        </w:tc>
        <w:tc>
          <w:tcPr>
            <w:tcW w:w="1980" w:type="dxa"/>
            <w:vAlign w:val="center"/>
          </w:tcPr>
          <w:p w14:paraId="61D67FDA" w14:textId="77777777" w:rsidR="00934A09" w:rsidRPr="00275290" w:rsidRDefault="00934A09" w:rsidP="004E7A98">
            <w:pPr>
              <w:rPr>
                <w:rFonts w:cs="Arial"/>
                <w:lang w:val="en-US"/>
              </w:rPr>
            </w:pPr>
            <w:r w:rsidRPr="00275290">
              <w:rPr>
                <w:rFonts w:cs="Arial"/>
                <w:lang w:val="en-US"/>
              </w:rPr>
              <w:t>Cyperméthrine</w:t>
            </w:r>
          </w:p>
          <w:p w14:paraId="7CF3BA17" w14:textId="77777777" w:rsidR="00934A09" w:rsidRPr="00275290" w:rsidRDefault="00934A09" w:rsidP="004E7A98">
            <w:pPr>
              <w:rPr>
                <w:rFonts w:cs="Arial"/>
                <w:lang w:val="en-US"/>
              </w:rPr>
            </w:pPr>
            <w:r w:rsidRPr="00275290">
              <w:rPr>
                <w:rFonts w:cs="Arial"/>
                <w:lang w:val="en-US"/>
              </w:rPr>
              <w:t>0.022</w:t>
            </w:r>
          </w:p>
        </w:tc>
        <w:tc>
          <w:tcPr>
            <w:tcW w:w="1970" w:type="dxa"/>
            <w:vAlign w:val="bottom"/>
          </w:tcPr>
          <w:p w14:paraId="2D36F3C6" w14:textId="71938D46" w:rsidR="00934A09" w:rsidRPr="00275290" w:rsidRDefault="00934A09" w:rsidP="004E7A98">
            <w:pPr>
              <w:rPr>
                <w:rFonts w:cs="Arial"/>
                <w:color w:val="000000"/>
              </w:rPr>
            </w:pPr>
            <w:r>
              <w:rPr>
                <w:rFonts w:ascii="Calibri" w:hAnsi="Calibri" w:cs="Calibri"/>
                <w:color w:val="000000"/>
                <w:sz w:val="22"/>
                <w:szCs w:val="22"/>
              </w:rPr>
              <w:t>1.04E-02</w:t>
            </w:r>
          </w:p>
        </w:tc>
        <w:tc>
          <w:tcPr>
            <w:tcW w:w="1967" w:type="dxa"/>
            <w:vAlign w:val="center"/>
          </w:tcPr>
          <w:p w14:paraId="3032D0AB" w14:textId="449FBA3B" w:rsidR="00934A09" w:rsidRPr="00275290" w:rsidRDefault="00934A09" w:rsidP="004E7A98">
            <w:pPr>
              <w:rPr>
                <w:rFonts w:cs="Arial"/>
                <w:lang w:val="fr-FR"/>
              </w:rPr>
            </w:pPr>
            <w:r w:rsidRPr="00275290">
              <w:rPr>
                <w:rFonts w:cs="Arial"/>
                <w:lang w:val="fr-FR"/>
              </w:rPr>
              <w:t>47.</w:t>
            </w:r>
            <w:r>
              <w:rPr>
                <w:rFonts w:cs="Arial"/>
                <w:lang w:val="fr-FR"/>
              </w:rPr>
              <w:t>2</w:t>
            </w:r>
          </w:p>
        </w:tc>
      </w:tr>
      <w:tr w:rsidR="00934A09" w:rsidRPr="00275290" w14:paraId="191F71CF" w14:textId="77777777" w:rsidTr="00B7552D">
        <w:tc>
          <w:tcPr>
            <w:tcW w:w="2105" w:type="dxa"/>
            <w:vMerge/>
            <w:vAlign w:val="center"/>
          </w:tcPr>
          <w:p w14:paraId="25046DFE" w14:textId="77777777" w:rsidR="00934A09" w:rsidRPr="00275290" w:rsidRDefault="00934A09" w:rsidP="004E7A98">
            <w:pPr>
              <w:rPr>
                <w:rFonts w:cs="Arial"/>
                <w:lang w:val="fr-FR"/>
              </w:rPr>
            </w:pPr>
          </w:p>
        </w:tc>
        <w:tc>
          <w:tcPr>
            <w:tcW w:w="1980" w:type="dxa"/>
            <w:vAlign w:val="center"/>
          </w:tcPr>
          <w:p w14:paraId="35FC7DB8" w14:textId="77777777" w:rsidR="00934A09" w:rsidRPr="00275290" w:rsidRDefault="00934A09" w:rsidP="004E7A98">
            <w:pPr>
              <w:rPr>
                <w:rFonts w:cs="Arial"/>
                <w:lang w:val="fr-FR"/>
              </w:rPr>
            </w:pPr>
            <w:r w:rsidRPr="00275290">
              <w:rPr>
                <w:rFonts w:cs="Arial"/>
                <w:lang w:val="fr-FR"/>
              </w:rPr>
              <w:t>Propiconazole : 0.04</w:t>
            </w:r>
          </w:p>
        </w:tc>
        <w:tc>
          <w:tcPr>
            <w:tcW w:w="1970" w:type="dxa"/>
            <w:vAlign w:val="bottom"/>
          </w:tcPr>
          <w:p w14:paraId="326FCA85" w14:textId="3EB83064" w:rsidR="00934A09" w:rsidRPr="00275290" w:rsidRDefault="00934A09" w:rsidP="004E7A98">
            <w:pPr>
              <w:rPr>
                <w:rFonts w:cs="Arial"/>
                <w:color w:val="000000"/>
              </w:rPr>
            </w:pPr>
            <w:r>
              <w:rPr>
                <w:rFonts w:ascii="Calibri" w:hAnsi="Calibri" w:cs="Calibri"/>
                <w:color w:val="000000"/>
                <w:sz w:val="22"/>
                <w:szCs w:val="22"/>
              </w:rPr>
              <w:t>1.61E-02</w:t>
            </w:r>
          </w:p>
        </w:tc>
        <w:tc>
          <w:tcPr>
            <w:tcW w:w="1967" w:type="dxa"/>
            <w:vAlign w:val="center"/>
          </w:tcPr>
          <w:p w14:paraId="05B91F85" w14:textId="3B2546B1" w:rsidR="00934A09" w:rsidRPr="00275290" w:rsidRDefault="00934A09" w:rsidP="004E7A98">
            <w:pPr>
              <w:rPr>
                <w:rFonts w:cs="Arial"/>
                <w:lang w:val="fr-FR"/>
              </w:rPr>
            </w:pPr>
            <w:r>
              <w:rPr>
                <w:rFonts w:cs="Arial"/>
                <w:lang w:val="fr-FR"/>
              </w:rPr>
              <w:t>40.1</w:t>
            </w:r>
          </w:p>
        </w:tc>
      </w:tr>
      <w:tr w:rsidR="00934A09" w:rsidRPr="00275290" w14:paraId="3F70904A" w14:textId="77777777" w:rsidTr="00B7552D">
        <w:tc>
          <w:tcPr>
            <w:tcW w:w="2105" w:type="dxa"/>
            <w:vMerge/>
            <w:vAlign w:val="center"/>
          </w:tcPr>
          <w:p w14:paraId="665DD196" w14:textId="03D43974" w:rsidR="00934A09" w:rsidRPr="00275290" w:rsidRDefault="00934A09" w:rsidP="004E7A98">
            <w:pPr>
              <w:rPr>
                <w:rFonts w:cs="Arial"/>
                <w:lang w:val="fr-FR"/>
              </w:rPr>
            </w:pPr>
          </w:p>
        </w:tc>
        <w:tc>
          <w:tcPr>
            <w:tcW w:w="1980" w:type="dxa"/>
            <w:vAlign w:val="center"/>
          </w:tcPr>
          <w:p w14:paraId="383E5AF5" w14:textId="77777777" w:rsidR="00934A09" w:rsidRPr="00275290" w:rsidRDefault="00934A09" w:rsidP="004E7A98">
            <w:pPr>
              <w:rPr>
                <w:rFonts w:cs="Arial"/>
                <w:lang w:val="fr-FR"/>
              </w:rPr>
            </w:pPr>
            <w:r w:rsidRPr="00275290">
              <w:rPr>
                <w:rFonts w:cs="Arial"/>
                <w:lang w:val="fr-FR"/>
              </w:rPr>
              <w:t>Tébuconazole : 0.03</w:t>
            </w:r>
          </w:p>
        </w:tc>
        <w:tc>
          <w:tcPr>
            <w:tcW w:w="1970" w:type="dxa"/>
            <w:vAlign w:val="bottom"/>
          </w:tcPr>
          <w:p w14:paraId="4B343F52" w14:textId="2015D064" w:rsidR="00934A09" w:rsidRPr="00275290" w:rsidRDefault="00934A09" w:rsidP="004E7A98">
            <w:pPr>
              <w:rPr>
                <w:rFonts w:cs="Arial"/>
                <w:color w:val="000000"/>
              </w:rPr>
            </w:pPr>
            <w:r>
              <w:rPr>
                <w:rFonts w:ascii="Calibri" w:hAnsi="Calibri" w:cs="Calibri"/>
                <w:color w:val="000000"/>
                <w:sz w:val="22"/>
                <w:szCs w:val="22"/>
              </w:rPr>
              <w:t>5.75E-03</w:t>
            </w:r>
          </w:p>
        </w:tc>
        <w:tc>
          <w:tcPr>
            <w:tcW w:w="1967" w:type="dxa"/>
            <w:vAlign w:val="center"/>
          </w:tcPr>
          <w:p w14:paraId="2E6E1038" w14:textId="7FE848DE" w:rsidR="00934A09" w:rsidRPr="00275290" w:rsidRDefault="00934A09" w:rsidP="004E7A98">
            <w:pPr>
              <w:rPr>
                <w:rFonts w:cs="Arial"/>
                <w:lang w:val="fr-FR"/>
              </w:rPr>
            </w:pPr>
            <w:r>
              <w:rPr>
                <w:rFonts w:cs="Arial"/>
                <w:lang w:val="fr-FR"/>
              </w:rPr>
              <w:t>19.2</w:t>
            </w:r>
          </w:p>
        </w:tc>
      </w:tr>
      <w:tr w:rsidR="00934A09" w:rsidRPr="00275290" w14:paraId="36586624" w14:textId="77777777" w:rsidTr="00B7552D">
        <w:tc>
          <w:tcPr>
            <w:tcW w:w="2105" w:type="dxa"/>
            <w:vMerge/>
            <w:vAlign w:val="center"/>
          </w:tcPr>
          <w:p w14:paraId="5C5C3EB3" w14:textId="77777777" w:rsidR="00934A09" w:rsidRPr="00275290" w:rsidRDefault="00934A09" w:rsidP="004E7A98">
            <w:pPr>
              <w:rPr>
                <w:rFonts w:cs="Arial"/>
                <w:lang w:val="fr-FR"/>
              </w:rPr>
            </w:pPr>
          </w:p>
        </w:tc>
        <w:tc>
          <w:tcPr>
            <w:tcW w:w="1980" w:type="dxa"/>
            <w:vAlign w:val="center"/>
          </w:tcPr>
          <w:p w14:paraId="59DE2E5F" w14:textId="77777777" w:rsidR="00934A09" w:rsidRPr="00275290" w:rsidRDefault="00934A09" w:rsidP="004E7A98">
            <w:pPr>
              <w:rPr>
                <w:rFonts w:cs="Arial"/>
                <w:lang w:val="fr-FR"/>
              </w:rPr>
            </w:pPr>
            <w:r w:rsidRPr="00275290">
              <w:rPr>
                <w:rFonts w:cs="Arial"/>
                <w:lang w:val="fr-FR"/>
              </w:rPr>
              <w:t>IPBC</w:t>
            </w:r>
          </w:p>
          <w:p w14:paraId="3BA5C815" w14:textId="77777777" w:rsidR="00934A09" w:rsidRPr="00275290" w:rsidRDefault="00934A09" w:rsidP="004E7A98">
            <w:pPr>
              <w:rPr>
                <w:rFonts w:cs="Arial"/>
                <w:lang w:val="fr-FR"/>
              </w:rPr>
            </w:pPr>
            <w:r w:rsidRPr="00275290">
              <w:rPr>
                <w:rFonts w:cs="Arial"/>
                <w:lang w:val="fr-FR"/>
              </w:rPr>
              <w:t>0.2</w:t>
            </w:r>
          </w:p>
        </w:tc>
        <w:tc>
          <w:tcPr>
            <w:tcW w:w="1970" w:type="dxa"/>
            <w:vAlign w:val="bottom"/>
          </w:tcPr>
          <w:p w14:paraId="61F991BD" w14:textId="0D4063DD" w:rsidR="00934A09" w:rsidRPr="00275290" w:rsidRDefault="00934A09" w:rsidP="004E7A98">
            <w:pPr>
              <w:rPr>
                <w:rFonts w:cs="Arial"/>
                <w:color w:val="000000"/>
              </w:rPr>
            </w:pPr>
            <w:r>
              <w:rPr>
                <w:rFonts w:ascii="Calibri" w:hAnsi="Calibri" w:cs="Calibri"/>
                <w:color w:val="000000"/>
                <w:sz w:val="22"/>
                <w:szCs w:val="22"/>
              </w:rPr>
              <w:t>1.23E-02</w:t>
            </w:r>
          </w:p>
        </w:tc>
        <w:tc>
          <w:tcPr>
            <w:tcW w:w="1967" w:type="dxa"/>
            <w:vAlign w:val="center"/>
          </w:tcPr>
          <w:p w14:paraId="3E58DDC5" w14:textId="7A43C875" w:rsidR="00934A09" w:rsidRPr="00275290" w:rsidRDefault="00934A09" w:rsidP="004E7A98">
            <w:pPr>
              <w:rPr>
                <w:rFonts w:cs="Arial"/>
                <w:lang w:val="fr-FR"/>
              </w:rPr>
            </w:pPr>
            <w:r>
              <w:rPr>
                <w:rFonts w:cs="Arial"/>
                <w:lang w:val="fr-FR"/>
              </w:rPr>
              <w:t>6.1</w:t>
            </w:r>
          </w:p>
        </w:tc>
      </w:tr>
      <w:tr w:rsidR="00934A09" w:rsidRPr="00275290" w14:paraId="4AE3B158" w14:textId="77777777" w:rsidTr="00932144">
        <w:tc>
          <w:tcPr>
            <w:tcW w:w="2105" w:type="dxa"/>
            <w:vMerge w:val="restart"/>
            <w:vAlign w:val="center"/>
          </w:tcPr>
          <w:p w14:paraId="785356CE" w14:textId="77777777" w:rsidR="00934A09" w:rsidRPr="00275290" w:rsidRDefault="00934A09" w:rsidP="004E7A98">
            <w:pPr>
              <w:rPr>
                <w:rFonts w:cs="Arial"/>
                <w:lang w:val="en-US"/>
              </w:rPr>
            </w:pPr>
            <w:r w:rsidRPr="00275290">
              <w:rPr>
                <w:rFonts w:cs="Arial"/>
                <w:lang w:val="en-US"/>
              </w:rPr>
              <w:t>Adult combined expo : Brushing + injecting</w:t>
            </w:r>
          </w:p>
          <w:p w14:paraId="303613F9" w14:textId="2B60540E" w:rsidR="00934A09" w:rsidRPr="00275290" w:rsidRDefault="00934A09" w:rsidP="004E7A98">
            <w:pPr>
              <w:rPr>
                <w:rFonts w:cs="Arial"/>
                <w:lang w:val="en-US"/>
              </w:rPr>
            </w:pPr>
            <w:r w:rsidRPr="00275290">
              <w:rPr>
                <w:rFonts w:cs="Arial"/>
                <w:lang w:val="en-US"/>
              </w:rPr>
              <w:t>(</w:t>
            </w:r>
            <w:r w:rsidRPr="00932144">
              <w:rPr>
                <w:rFonts w:cs="Arial"/>
                <w:lang w:val="en-US"/>
              </w:rPr>
              <w:t>gloves and coated coverall  during application by brushing , gloves during injection and no PPE during cleaning</w:t>
            </w:r>
            <w:r w:rsidRPr="00275290">
              <w:rPr>
                <w:rFonts w:cs="Arial"/>
                <w:lang w:val="en-US"/>
              </w:rPr>
              <w:t>)</w:t>
            </w:r>
          </w:p>
        </w:tc>
        <w:tc>
          <w:tcPr>
            <w:tcW w:w="1980" w:type="dxa"/>
            <w:vAlign w:val="center"/>
          </w:tcPr>
          <w:p w14:paraId="25A90A1B" w14:textId="77777777" w:rsidR="00934A09" w:rsidRPr="00275290" w:rsidRDefault="00934A09" w:rsidP="004E7A98">
            <w:pPr>
              <w:rPr>
                <w:rFonts w:cs="Arial"/>
                <w:lang w:val="en-US"/>
              </w:rPr>
            </w:pPr>
            <w:r w:rsidRPr="00275290">
              <w:rPr>
                <w:rFonts w:cs="Arial"/>
                <w:lang w:val="en-US"/>
              </w:rPr>
              <w:t>Cyperméthrine</w:t>
            </w:r>
          </w:p>
          <w:p w14:paraId="60F56EB2" w14:textId="77777777" w:rsidR="00934A09" w:rsidRPr="00275290" w:rsidRDefault="00934A09" w:rsidP="004E7A98">
            <w:pPr>
              <w:rPr>
                <w:rFonts w:cs="Arial"/>
                <w:lang w:val="en-US"/>
              </w:rPr>
            </w:pPr>
            <w:r w:rsidRPr="00275290">
              <w:rPr>
                <w:rFonts w:cs="Arial"/>
                <w:lang w:val="en-US"/>
              </w:rPr>
              <w:t>0.022</w:t>
            </w:r>
          </w:p>
        </w:tc>
        <w:tc>
          <w:tcPr>
            <w:tcW w:w="1970" w:type="dxa"/>
            <w:vAlign w:val="bottom"/>
          </w:tcPr>
          <w:p w14:paraId="42A4880B" w14:textId="156E3308" w:rsidR="00934A09" w:rsidRPr="00275290" w:rsidRDefault="00934A09" w:rsidP="004E7A98">
            <w:pPr>
              <w:rPr>
                <w:rFonts w:cs="Arial"/>
                <w:color w:val="000000"/>
              </w:rPr>
            </w:pPr>
            <w:r>
              <w:rPr>
                <w:rFonts w:ascii="Calibri" w:hAnsi="Calibri" w:cs="Calibri"/>
                <w:color w:val="000000"/>
                <w:sz w:val="22"/>
                <w:szCs w:val="22"/>
              </w:rPr>
              <w:t>7.43E-03</w:t>
            </w:r>
          </w:p>
        </w:tc>
        <w:tc>
          <w:tcPr>
            <w:tcW w:w="1967" w:type="dxa"/>
            <w:vAlign w:val="center"/>
          </w:tcPr>
          <w:p w14:paraId="3D03DE9F" w14:textId="3FA87D91" w:rsidR="00934A09" w:rsidRPr="00275290" w:rsidRDefault="00934A09" w:rsidP="004E7A98">
            <w:pPr>
              <w:rPr>
                <w:rFonts w:cs="Arial"/>
                <w:lang w:val="fr-FR"/>
              </w:rPr>
            </w:pPr>
            <w:r>
              <w:rPr>
                <w:rFonts w:cs="Arial"/>
                <w:lang w:val="fr-FR"/>
              </w:rPr>
              <w:t>34</w:t>
            </w:r>
          </w:p>
        </w:tc>
      </w:tr>
      <w:tr w:rsidR="00934A09" w:rsidRPr="00275290" w14:paraId="67DFB8E0" w14:textId="77777777" w:rsidTr="00932144">
        <w:tc>
          <w:tcPr>
            <w:tcW w:w="2105" w:type="dxa"/>
            <w:vMerge/>
            <w:vAlign w:val="center"/>
          </w:tcPr>
          <w:p w14:paraId="1C1769D8" w14:textId="77777777" w:rsidR="00934A09" w:rsidRPr="00275290" w:rsidRDefault="00934A09" w:rsidP="004E7A98">
            <w:pPr>
              <w:rPr>
                <w:rFonts w:cs="Arial"/>
                <w:lang w:val="fr-FR"/>
              </w:rPr>
            </w:pPr>
          </w:p>
        </w:tc>
        <w:tc>
          <w:tcPr>
            <w:tcW w:w="1980" w:type="dxa"/>
            <w:vAlign w:val="center"/>
          </w:tcPr>
          <w:p w14:paraId="49443406" w14:textId="77777777" w:rsidR="00934A09" w:rsidRPr="00275290" w:rsidRDefault="00934A09" w:rsidP="004E7A98">
            <w:pPr>
              <w:rPr>
                <w:rFonts w:cs="Arial"/>
                <w:lang w:val="fr-FR"/>
              </w:rPr>
            </w:pPr>
            <w:r w:rsidRPr="00275290">
              <w:rPr>
                <w:rFonts w:cs="Arial"/>
                <w:lang w:val="fr-FR"/>
              </w:rPr>
              <w:t>Propiconazole : 0.04</w:t>
            </w:r>
          </w:p>
        </w:tc>
        <w:tc>
          <w:tcPr>
            <w:tcW w:w="1970" w:type="dxa"/>
            <w:vAlign w:val="bottom"/>
          </w:tcPr>
          <w:p w14:paraId="588C98A1" w14:textId="3DE5FE57" w:rsidR="00934A09" w:rsidRPr="00275290" w:rsidRDefault="00934A09" w:rsidP="004E7A98">
            <w:pPr>
              <w:rPr>
                <w:rFonts w:cs="Arial"/>
                <w:color w:val="000000"/>
              </w:rPr>
            </w:pPr>
            <w:r>
              <w:rPr>
                <w:rFonts w:ascii="Calibri" w:hAnsi="Calibri" w:cs="Calibri"/>
                <w:color w:val="000000"/>
                <w:sz w:val="22"/>
                <w:szCs w:val="22"/>
              </w:rPr>
              <w:t>1.07E-02</w:t>
            </w:r>
          </w:p>
        </w:tc>
        <w:tc>
          <w:tcPr>
            <w:tcW w:w="1967" w:type="dxa"/>
            <w:vAlign w:val="center"/>
          </w:tcPr>
          <w:p w14:paraId="24C83926" w14:textId="6D197496" w:rsidR="00934A09" w:rsidRPr="00275290" w:rsidRDefault="00934A09" w:rsidP="004E7A98">
            <w:pPr>
              <w:rPr>
                <w:rFonts w:cs="Arial"/>
                <w:lang w:val="fr-FR"/>
              </w:rPr>
            </w:pPr>
            <w:r>
              <w:rPr>
                <w:rFonts w:cs="Arial"/>
                <w:lang w:val="fr-FR"/>
              </w:rPr>
              <w:t>27</w:t>
            </w:r>
          </w:p>
        </w:tc>
      </w:tr>
      <w:tr w:rsidR="00934A09" w:rsidRPr="00275290" w14:paraId="4EA2FADB" w14:textId="77777777" w:rsidTr="00932144">
        <w:tc>
          <w:tcPr>
            <w:tcW w:w="2105" w:type="dxa"/>
            <w:vMerge/>
            <w:vAlign w:val="center"/>
          </w:tcPr>
          <w:p w14:paraId="0CC459B2" w14:textId="77777777" w:rsidR="00934A09" w:rsidRPr="00275290" w:rsidRDefault="00934A09" w:rsidP="004E7A98">
            <w:pPr>
              <w:rPr>
                <w:rFonts w:cs="Arial"/>
                <w:lang w:val="fr-FR"/>
              </w:rPr>
            </w:pPr>
          </w:p>
        </w:tc>
        <w:tc>
          <w:tcPr>
            <w:tcW w:w="1980" w:type="dxa"/>
            <w:vAlign w:val="center"/>
          </w:tcPr>
          <w:p w14:paraId="63B1BFDA" w14:textId="77777777" w:rsidR="00934A09" w:rsidRPr="00275290" w:rsidRDefault="00934A09" w:rsidP="004E7A98">
            <w:pPr>
              <w:rPr>
                <w:rFonts w:cs="Arial"/>
                <w:lang w:val="fr-FR"/>
              </w:rPr>
            </w:pPr>
            <w:r w:rsidRPr="00275290">
              <w:rPr>
                <w:rFonts w:cs="Arial"/>
                <w:lang w:val="fr-FR"/>
              </w:rPr>
              <w:t>Tébuconazole : 0.03</w:t>
            </w:r>
          </w:p>
        </w:tc>
        <w:tc>
          <w:tcPr>
            <w:tcW w:w="1970" w:type="dxa"/>
            <w:vAlign w:val="bottom"/>
          </w:tcPr>
          <w:p w14:paraId="351A0542" w14:textId="3B5B2134" w:rsidR="00934A09" w:rsidRPr="00275290" w:rsidRDefault="00934A09" w:rsidP="004E7A98">
            <w:pPr>
              <w:rPr>
                <w:rFonts w:cs="Arial"/>
                <w:color w:val="000000"/>
              </w:rPr>
            </w:pPr>
            <w:r>
              <w:rPr>
                <w:rFonts w:ascii="Calibri" w:hAnsi="Calibri" w:cs="Calibri"/>
                <w:color w:val="000000"/>
                <w:sz w:val="22"/>
                <w:szCs w:val="22"/>
              </w:rPr>
              <w:t>4.12E-03</w:t>
            </w:r>
          </w:p>
        </w:tc>
        <w:tc>
          <w:tcPr>
            <w:tcW w:w="1967" w:type="dxa"/>
            <w:vAlign w:val="center"/>
          </w:tcPr>
          <w:p w14:paraId="42488081" w14:textId="38965D8E" w:rsidR="00934A09" w:rsidRPr="00275290" w:rsidRDefault="00934A09" w:rsidP="004E7A98">
            <w:pPr>
              <w:rPr>
                <w:rFonts w:cs="Arial"/>
                <w:lang w:val="fr-FR"/>
              </w:rPr>
            </w:pPr>
            <w:r>
              <w:rPr>
                <w:rFonts w:cs="Arial"/>
                <w:lang w:val="fr-FR"/>
              </w:rPr>
              <w:t>14</w:t>
            </w:r>
          </w:p>
        </w:tc>
      </w:tr>
      <w:tr w:rsidR="00934A09" w:rsidRPr="00275290" w14:paraId="1E3F1A3C" w14:textId="77777777" w:rsidTr="00932144">
        <w:tc>
          <w:tcPr>
            <w:tcW w:w="2105" w:type="dxa"/>
            <w:vMerge/>
            <w:vAlign w:val="center"/>
          </w:tcPr>
          <w:p w14:paraId="5D7E771A" w14:textId="77777777" w:rsidR="00934A09" w:rsidRPr="00275290" w:rsidRDefault="00934A09" w:rsidP="004E7A98">
            <w:pPr>
              <w:rPr>
                <w:rFonts w:cs="Arial"/>
                <w:lang w:val="fr-FR"/>
              </w:rPr>
            </w:pPr>
          </w:p>
        </w:tc>
        <w:tc>
          <w:tcPr>
            <w:tcW w:w="1980" w:type="dxa"/>
            <w:vAlign w:val="center"/>
          </w:tcPr>
          <w:p w14:paraId="57AC0E97" w14:textId="77777777" w:rsidR="00934A09" w:rsidRPr="00275290" w:rsidRDefault="00934A09" w:rsidP="004E7A98">
            <w:pPr>
              <w:rPr>
                <w:rFonts w:cs="Arial"/>
                <w:lang w:val="fr-FR"/>
              </w:rPr>
            </w:pPr>
            <w:r w:rsidRPr="00275290">
              <w:rPr>
                <w:rFonts w:cs="Arial"/>
                <w:lang w:val="fr-FR"/>
              </w:rPr>
              <w:t>IPBC</w:t>
            </w:r>
          </w:p>
          <w:p w14:paraId="7EB89124" w14:textId="77777777" w:rsidR="00934A09" w:rsidRPr="00275290" w:rsidRDefault="00934A09" w:rsidP="004E7A98">
            <w:pPr>
              <w:rPr>
                <w:rFonts w:cs="Arial"/>
                <w:lang w:val="fr-FR"/>
              </w:rPr>
            </w:pPr>
            <w:r w:rsidRPr="00275290">
              <w:rPr>
                <w:rFonts w:cs="Arial"/>
                <w:lang w:val="fr-FR"/>
              </w:rPr>
              <w:t>0.2</w:t>
            </w:r>
          </w:p>
        </w:tc>
        <w:tc>
          <w:tcPr>
            <w:tcW w:w="1970" w:type="dxa"/>
            <w:vAlign w:val="bottom"/>
          </w:tcPr>
          <w:p w14:paraId="09A50D90" w14:textId="32159A50" w:rsidR="00934A09" w:rsidRPr="00275290" w:rsidRDefault="00934A09" w:rsidP="004E7A98">
            <w:pPr>
              <w:rPr>
                <w:rFonts w:cs="Arial"/>
                <w:color w:val="000000"/>
              </w:rPr>
            </w:pPr>
            <w:r>
              <w:rPr>
                <w:rFonts w:ascii="Calibri" w:hAnsi="Calibri" w:cs="Calibri"/>
                <w:color w:val="000000"/>
                <w:sz w:val="22"/>
                <w:szCs w:val="22"/>
              </w:rPr>
              <w:t>9.56E-03</w:t>
            </w:r>
          </w:p>
        </w:tc>
        <w:tc>
          <w:tcPr>
            <w:tcW w:w="1967" w:type="dxa"/>
            <w:vAlign w:val="center"/>
          </w:tcPr>
          <w:p w14:paraId="1C060DFA" w14:textId="5AC24D89" w:rsidR="00934A09" w:rsidRPr="00275290" w:rsidRDefault="00934A09" w:rsidP="004E7A98">
            <w:pPr>
              <w:rPr>
                <w:rFonts w:cs="Arial"/>
                <w:lang w:val="fr-FR"/>
              </w:rPr>
            </w:pPr>
            <w:r>
              <w:rPr>
                <w:rFonts w:cs="Arial"/>
                <w:lang w:val="fr-FR"/>
              </w:rPr>
              <w:t>5</w:t>
            </w:r>
          </w:p>
        </w:tc>
      </w:tr>
      <w:tr w:rsidR="00934A09" w:rsidRPr="00275290" w14:paraId="277CCFAD" w14:textId="77777777" w:rsidTr="00932144">
        <w:tc>
          <w:tcPr>
            <w:tcW w:w="2105" w:type="dxa"/>
            <w:vMerge w:val="restart"/>
            <w:vAlign w:val="center"/>
          </w:tcPr>
          <w:p w14:paraId="75DE333B" w14:textId="77777777" w:rsidR="00934A09" w:rsidRPr="00275290" w:rsidRDefault="00934A09" w:rsidP="004E7A98">
            <w:pPr>
              <w:rPr>
                <w:rFonts w:cs="Arial"/>
                <w:lang w:val="en-US"/>
              </w:rPr>
            </w:pPr>
            <w:r w:rsidRPr="00275290">
              <w:rPr>
                <w:rFonts w:cs="Arial"/>
                <w:lang w:val="en-US"/>
              </w:rPr>
              <w:t>Adult combined expo : spraying + injecting</w:t>
            </w:r>
          </w:p>
          <w:p w14:paraId="68604A8E" w14:textId="6B256F23" w:rsidR="00934A09" w:rsidRPr="00275290" w:rsidRDefault="00934A09" w:rsidP="004E7A98">
            <w:pPr>
              <w:rPr>
                <w:rFonts w:cs="Arial"/>
                <w:lang w:val="en-US"/>
              </w:rPr>
            </w:pPr>
            <w:r w:rsidRPr="00275290">
              <w:rPr>
                <w:rFonts w:cs="Arial"/>
                <w:lang w:val="en-US"/>
              </w:rPr>
              <w:t>(</w:t>
            </w:r>
            <w:proofErr w:type="gramStart"/>
            <w:r w:rsidRPr="00932144">
              <w:rPr>
                <w:rFonts w:cs="Arial"/>
                <w:lang w:val="en-US"/>
              </w:rPr>
              <w:t>gloves</w:t>
            </w:r>
            <w:proofErr w:type="gramEnd"/>
            <w:r w:rsidRPr="00932144">
              <w:rPr>
                <w:rFonts w:cs="Arial"/>
                <w:lang w:val="en-US"/>
              </w:rPr>
              <w:t xml:space="preserve"> and impermeable coverall during spraying, gloves during injection and gloves and coated coverall during cleaning of equipments.</w:t>
            </w:r>
            <w:r w:rsidRPr="00275290">
              <w:rPr>
                <w:rFonts w:cs="Arial"/>
                <w:lang w:val="en-US"/>
              </w:rPr>
              <w:t>)</w:t>
            </w:r>
          </w:p>
        </w:tc>
        <w:tc>
          <w:tcPr>
            <w:tcW w:w="1980" w:type="dxa"/>
            <w:vAlign w:val="center"/>
          </w:tcPr>
          <w:p w14:paraId="5119079F" w14:textId="77777777" w:rsidR="00934A09" w:rsidRPr="00275290" w:rsidRDefault="00934A09" w:rsidP="004E7A98">
            <w:pPr>
              <w:rPr>
                <w:rFonts w:cs="Arial"/>
                <w:lang w:val="en-US"/>
              </w:rPr>
            </w:pPr>
            <w:r w:rsidRPr="00275290">
              <w:rPr>
                <w:rFonts w:cs="Arial"/>
                <w:lang w:val="en-US"/>
              </w:rPr>
              <w:t>Cyperméthrine</w:t>
            </w:r>
          </w:p>
          <w:p w14:paraId="48463707" w14:textId="77777777" w:rsidR="00934A09" w:rsidRPr="00275290" w:rsidRDefault="00934A09" w:rsidP="004E7A98">
            <w:pPr>
              <w:rPr>
                <w:rFonts w:cs="Arial"/>
                <w:lang w:val="en-US"/>
              </w:rPr>
            </w:pPr>
            <w:r w:rsidRPr="00275290">
              <w:rPr>
                <w:rFonts w:cs="Arial"/>
                <w:lang w:val="en-US"/>
              </w:rPr>
              <w:t>0.022</w:t>
            </w:r>
          </w:p>
        </w:tc>
        <w:tc>
          <w:tcPr>
            <w:tcW w:w="1970" w:type="dxa"/>
            <w:vAlign w:val="bottom"/>
          </w:tcPr>
          <w:p w14:paraId="48B9E055" w14:textId="01CDC16A" w:rsidR="00934A09" w:rsidRPr="00275290" w:rsidRDefault="00934A09" w:rsidP="004E7A98">
            <w:pPr>
              <w:rPr>
                <w:rFonts w:cs="Arial"/>
                <w:color w:val="000000"/>
              </w:rPr>
            </w:pPr>
            <w:r>
              <w:rPr>
                <w:rFonts w:ascii="Calibri" w:hAnsi="Calibri" w:cs="Calibri"/>
                <w:color w:val="000000"/>
                <w:sz w:val="22"/>
                <w:szCs w:val="22"/>
              </w:rPr>
              <w:t>1.38E-02</w:t>
            </w:r>
          </w:p>
        </w:tc>
        <w:tc>
          <w:tcPr>
            <w:tcW w:w="1967" w:type="dxa"/>
            <w:vAlign w:val="center"/>
          </w:tcPr>
          <w:p w14:paraId="1DE00016" w14:textId="37CF3367" w:rsidR="00934A09" w:rsidRPr="00275290" w:rsidRDefault="00934A09" w:rsidP="004E7A98">
            <w:pPr>
              <w:rPr>
                <w:rFonts w:cs="Arial"/>
                <w:lang w:val="fr-FR"/>
              </w:rPr>
            </w:pPr>
            <w:r>
              <w:rPr>
                <w:rFonts w:cs="Arial"/>
                <w:lang w:val="fr-FR"/>
              </w:rPr>
              <w:t>63</w:t>
            </w:r>
          </w:p>
        </w:tc>
      </w:tr>
      <w:tr w:rsidR="00934A09" w:rsidRPr="00275290" w14:paraId="236462F3" w14:textId="77777777" w:rsidTr="00932144">
        <w:tc>
          <w:tcPr>
            <w:tcW w:w="2105" w:type="dxa"/>
            <w:vMerge/>
            <w:vAlign w:val="center"/>
          </w:tcPr>
          <w:p w14:paraId="7A37F689" w14:textId="77777777" w:rsidR="00934A09" w:rsidRPr="00275290" w:rsidRDefault="00934A09" w:rsidP="004E7A98">
            <w:pPr>
              <w:rPr>
                <w:rFonts w:cs="Arial"/>
                <w:lang w:val="fr-FR"/>
              </w:rPr>
            </w:pPr>
          </w:p>
        </w:tc>
        <w:tc>
          <w:tcPr>
            <w:tcW w:w="1980" w:type="dxa"/>
            <w:vAlign w:val="center"/>
          </w:tcPr>
          <w:p w14:paraId="4FF9EC0A" w14:textId="77777777" w:rsidR="00934A09" w:rsidRPr="00275290" w:rsidRDefault="00934A09" w:rsidP="004E7A98">
            <w:pPr>
              <w:rPr>
                <w:rFonts w:cs="Arial"/>
                <w:lang w:val="fr-FR"/>
              </w:rPr>
            </w:pPr>
            <w:r w:rsidRPr="00275290">
              <w:rPr>
                <w:rFonts w:cs="Arial"/>
                <w:lang w:val="fr-FR"/>
              </w:rPr>
              <w:t>Propiconazole : 0.04</w:t>
            </w:r>
          </w:p>
        </w:tc>
        <w:tc>
          <w:tcPr>
            <w:tcW w:w="1970" w:type="dxa"/>
            <w:vAlign w:val="bottom"/>
          </w:tcPr>
          <w:p w14:paraId="41E128A7" w14:textId="4D81A486" w:rsidR="00934A09" w:rsidRPr="00275290" w:rsidRDefault="00934A09" w:rsidP="004E7A98">
            <w:pPr>
              <w:rPr>
                <w:rFonts w:cs="Arial"/>
                <w:color w:val="000000"/>
              </w:rPr>
            </w:pPr>
            <w:r>
              <w:rPr>
                <w:rFonts w:ascii="Calibri" w:hAnsi="Calibri" w:cs="Calibri"/>
                <w:color w:val="000000"/>
                <w:sz w:val="22"/>
                <w:szCs w:val="22"/>
              </w:rPr>
              <w:t>2.10E-02</w:t>
            </w:r>
          </w:p>
        </w:tc>
        <w:tc>
          <w:tcPr>
            <w:tcW w:w="1967" w:type="dxa"/>
            <w:vAlign w:val="center"/>
          </w:tcPr>
          <w:p w14:paraId="75E17385" w14:textId="0191782F" w:rsidR="00934A09" w:rsidRPr="00275290" w:rsidRDefault="00934A09" w:rsidP="004E7A98">
            <w:pPr>
              <w:rPr>
                <w:rFonts w:cs="Arial"/>
                <w:lang w:val="fr-FR"/>
              </w:rPr>
            </w:pPr>
            <w:r>
              <w:rPr>
                <w:rFonts w:cs="Arial"/>
                <w:lang w:val="fr-FR"/>
              </w:rPr>
              <w:t>53</w:t>
            </w:r>
          </w:p>
        </w:tc>
      </w:tr>
      <w:tr w:rsidR="00934A09" w:rsidRPr="00275290" w14:paraId="4C99E29E" w14:textId="77777777" w:rsidTr="00932144">
        <w:tc>
          <w:tcPr>
            <w:tcW w:w="2105" w:type="dxa"/>
            <w:vMerge/>
            <w:vAlign w:val="center"/>
          </w:tcPr>
          <w:p w14:paraId="5D34C3D1" w14:textId="77777777" w:rsidR="00934A09" w:rsidRPr="00275290" w:rsidRDefault="00934A09" w:rsidP="004E7A98">
            <w:pPr>
              <w:rPr>
                <w:rFonts w:cs="Arial"/>
                <w:lang w:val="fr-FR"/>
              </w:rPr>
            </w:pPr>
          </w:p>
        </w:tc>
        <w:tc>
          <w:tcPr>
            <w:tcW w:w="1980" w:type="dxa"/>
            <w:vAlign w:val="center"/>
          </w:tcPr>
          <w:p w14:paraId="4C4903F7" w14:textId="77777777" w:rsidR="00934A09" w:rsidRPr="00275290" w:rsidRDefault="00934A09" w:rsidP="004E7A98">
            <w:pPr>
              <w:rPr>
                <w:rFonts w:cs="Arial"/>
                <w:lang w:val="fr-FR"/>
              </w:rPr>
            </w:pPr>
            <w:r w:rsidRPr="00275290">
              <w:rPr>
                <w:rFonts w:cs="Arial"/>
                <w:lang w:val="fr-FR"/>
              </w:rPr>
              <w:t>Tébuconazole : 0.03</w:t>
            </w:r>
          </w:p>
        </w:tc>
        <w:tc>
          <w:tcPr>
            <w:tcW w:w="1970" w:type="dxa"/>
            <w:vAlign w:val="bottom"/>
          </w:tcPr>
          <w:p w14:paraId="2829E8CF" w14:textId="44BC62D7" w:rsidR="00934A09" w:rsidRPr="00275290" w:rsidRDefault="00934A09" w:rsidP="004E7A98">
            <w:pPr>
              <w:rPr>
                <w:rFonts w:cs="Arial"/>
                <w:color w:val="000000"/>
              </w:rPr>
            </w:pPr>
            <w:r>
              <w:rPr>
                <w:rFonts w:ascii="Calibri" w:hAnsi="Calibri" w:cs="Calibri"/>
                <w:color w:val="000000"/>
                <w:sz w:val="22"/>
                <w:szCs w:val="22"/>
              </w:rPr>
              <w:t>7.60E-03</w:t>
            </w:r>
          </w:p>
        </w:tc>
        <w:tc>
          <w:tcPr>
            <w:tcW w:w="1967" w:type="dxa"/>
            <w:vAlign w:val="center"/>
          </w:tcPr>
          <w:p w14:paraId="6AD50B03" w14:textId="0A289BB1" w:rsidR="00934A09" w:rsidRPr="00275290" w:rsidRDefault="00934A09" w:rsidP="004E7A98">
            <w:pPr>
              <w:rPr>
                <w:rFonts w:cs="Arial"/>
                <w:lang w:val="fr-FR"/>
              </w:rPr>
            </w:pPr>
            <w:r>
              <w:rPr>
                <w:rFonts w:cs="Arial"/>
                <w:lang w:val="fr-FR"/>
              </w:rPr>
              <w:t>25</w:t>
            </w:r>
          </w:p>
        </w:tc>
      </w:tr>
      <w:tr w:rsidR="00934A09" w:rsidRPr="00275290" w14:paraId="33319AC2" w14:textId="77777777" w:rsidTr="00932144">
        <w:tc>
          <w:tcPr>
            <w:tcW w:w="2105" w:type="dxa"/>
            <w:vMerge/>
            <w:vAlign w:val="center"/>
          </w:tcPr>
          <w:p w14:paraId="4697A2F6" w14:textId="77777777" w:rsidR="00934A09" w:rsidRPr="00275290" w:rsidRDefault="00934A09" w:rsidP="004E7A98">
            <w:pPr>
              <w:rPr>
                <w:rFonts w:cs="Arial"/>
                <w:lang w:val="fr-FR"/>
              </w:rPr>
            </w:pPr>
          </w:p>
        </w:tc>
        <w:tc>
          <w:tcPr>
            <w:tcW w:w="1980" w:type="dxa"/>
            <w:vAlign w:val="center"/>
          </w:tcPr>
          <w:p w14:paraId="42538FDC" w14:textId="77777777" w:rsidR="00934A09" w:rsidRPr="00275290" w:rsidRDefault="00934A09" w:rsidP="004E7A98">
            <w:pPr>
              <w:rPr>
                <w:rFonts w:cs="Arial"/>
                <w:lang w:val="fr-FR"/>
              </w:rPr>
            </w:pPr>
            <w:r w:rsidRPr="00275290">
              <w:rPr>
                <w:rFonts w:cs="Arial"/>
                <w:lang w:val="fr-FR"/>
              </w:rPr>
              <w:t>IPBC</w:t>
            </w:r>
          </w:p>
          <w:p w14:paraId="1AC2B242" w14:textId="77777777" w:rsidR="00934A09" w:rsidRPr="00275290" w:rsidRDefault="00934A09" w:rsidP="004E7A98">
            <w:pPr>
              <w:rPr>
                <w:rFonts w:cs="Arial"/>
                <w:lang w:val="fr-FR"/>
              </w:rPr>
            </w:pPr>
            <w:r w:rsidRPr="00275290">
              <w:rPr>
                <w:rFonts w:cs="Arial"/>
                <w:lang w:val="fr-FR"/>
              </w:rPr>
              <w:t>0.2</w:t>
            </w:r>
          </w:p>
        </w:tc>
        <w:tc>
          <w:tcPr>
            <w:tcW w:w="1970" w:type="dxa"/>
            <w:vAlign w:val="bottom"/>
          </w:tcPr>
          <w:p w14:paraId="3A3D3E75" w14:textId="52E97C1D" w:rsidR="00934A09" w:rsidRPr="00275290" w:rsidRDefault="00934A09" w:rsidP="004E7A98">
            <w:pPr>
              <w:rPr>
                <w:rFonts w:cs="Arial"/>
                <w:color w:val="000000"/>
              </w:rPr>
            </w:pPr>
            <w:r>
              <w:rPr>
                <w:rFonts w:ascii="Calibri" w:hAnsi="Calibri" w:cs="Calibri"/>
                <w:color w:val="000000"/>
                <w:sz w:val="22"/>
                <w:szCs w:val="22"/>
              </w:rPr>
              <w:t>1.67E-02</w:t>
            </w:r>
          </w:p>
        </w:tc>
        <w:tc>
          <w:tcPr>
            <w:tcW w:w="1967" w:type="dxa"/>
            <w:vAlign w:val="center"/>
          </w:tcPr>
          <w:p w14:paraId="5A91D5FC" w14:textId="624B41D2" w:rsidR="00934A09" w:rsidRPr="00275290" w:rsidRDefault="00934A09" w:rsidP="004E7A98">
            <w:pPr>
              <w:rPr>
                <w:rFonts w:cs="Arial"/>
                <w:lang w:val="fr-FR"/>
              </w:rPr>
            </w:pPr>
            <w:r>
              <w:rPr>
                <w:rFonts w:cs="Arial"/>
                <w:lang w:val="fr-FR"/>
              </w:rPr>
              <w:t>8</w:t>
            </w:r>
          </w:p>
        </w:tc>
      </w:tr>
    </w:tbl>
    <w:p w14:paraId="5702A665" w14:textId="77777777" w:rsidR="009D4550" w:rsidRPr="00275290" w:rsidRDefault="009D4550" w:rsidP="009D4550">
      <w:pPr>
        <w:pStyle w:val="BfRBBStandard"/>
        <w:rPr>
          <w:rFonts w:ascii="Verdana" w:eastAsia="Times New Roman" w:hAnsi="Verdana"/>
          <w:sz w:val="20"/>
          <w:szCs w:val="20"/>
          <w:lang w:val="en-GB" w:eastAsia="sv-SE"/>
        </w:rPr>
      </w:pPr>
    </w:p>
    <w:p w14:paraId="1BB65300"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3C9AE677" w14:textId="77777777" w:rsidR="009D4550" w:rsidRPr="00275290" w:rsidRDefault="009D4550" w:rsidP="009D4550">
      <w:pPr>
        <w:pStyle w:val="Standard-italics"/>
        <w:tabs>
          <w:tab w:val="left" w:pos="1276"/>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890"/>
        <w:gridCol w:w="1875"/>
        <w:gridCol w:w="1220"/>
        <w:gridCol w:w="1350"/>
        <w:gridCol w:w="1509"/>
      </w:tblGrid>
      <w:tr w:rsidR="009D4550" w:rsidRPr="00275290" w14:paraId="283EBACE" w14:textId="77777777" w:rsidTr="004E7A98">
        <w:tc>
          <w:tcPr>
            <w:tcW w:w="1948" w:type="dxa"/>
            <w:vAlign w:val="center"/>
          </w:tcPr>
          <w:p w14:paraId="1D88374D" w14:textId="77777777" w:rsidR="009D4550" w:rsidRPr="00275290" w:rsidRDefault="009D4550" w:rsidP="004E7A98">
            <w:pPr>
              <w:rPr>
                <w:rFonts w:cs="Arial"/>
                <w:lang w:val="fr-FR"/>
              </w:rPr>
            </w:pPr>
            <w:r w:rsidRPr="00275290">
              <w:rPr>
                <w:rFonts w:cs="Arial"/>
                <w:lang w:val="fr-FR"/>
              </w:rPr>
              <w:t>Cyperméthrine</w:t>
            </w:r>
          </w:p>
        </w:tc>
        <w:tc>
          <w:tcPr>
            <w:tcW w:w="1920" w:type="dxa"/>
            <w:vAlign w:val="center"/>
          </w:tcPr>
          <w:p w14:paraId="0DBE572C" w14:textId="77777777" w:rsidR="009D4550" w:rsidRPr="00275290" w:rsidRDefault="009D4550" w:rsidP="004E7A98">
            <w:pPr>
              <w:rPr>
                <w:rFonts w:cs="Arial"/>
                <w:lang w:val="fr-FR"/>
              </w:rPr>
            </w:pPr>
            <w:r w:rsidRPr="00275290">
              <w:rPr>
                <w:rFonts w:cs="Arial"/>
                <w:lang w:val="fr-FR"/>
              </w:rPr>
              <w:t>Propiconazole</w:t>
            </w:r>
          </w:p>
        </w:tc>
        <w:tc>
          <w:tcPr>
            <w:tcW w:w="1905" w:type="dxa"/>
            <w:vAlign w:val="center"/>
          </w:tcPr>
          <w:p w14:paraId="5A22F06D" w14:textId="77777777" w:rsidR="009D4550" w:rsidRPr="00275290" w:rsidRDefault="009D4550" w:rsidP="004E7A98">
            <w:pPr>
              <w:rPr>
                <w:rFonts w:cs="Arial"/>
                <w:lang w:val="fr-FR"/>
              </w:rPr>
            </w:pPr>
            <w:r w:rsidRPr="00275290">
              <w:rPr>
                <w:rFonts w:cs="Arial"/>
                <w:lang w:val="fr-FR"/>
              </w:rPr>
              <w:t>Tébuconazole</w:t>
            </w:r>
          </w:p>
        </w:tc>
        <w:tc>
          <w:tcPr>
            <w:tcW w:w="1273" w:type="dxa"/>
            <w:shd w:val="clear" w:color="auto" w:fill="auto"/>
          </w:tcPr>
          <w:p w14:paraId="096E5D58" w14:textId="77777777" w:rsidR="009D4550" w:rsidRPr="00275290" w:rsidRDefault="009D4550" w:rsidP="004E7A98">
            <w:pPr>
              <w:rPr>
                <w:rFonts w:cs="Arial"/>
                <w:lang w:val="fr-FR"/>
              </w:rPr>
            </w:pPr>
            <w:r w:rsidRPr="00275290">
              <w:rPr>
                <w:rFonts w:cs="Arial"/>
                <w:lang w:val="fr-FR"/>
              </w:rPr>
              <w:t>IPBC</w:t>
            </w:r>
          </w:p>
        </w:tc>
        <w:tc>
          <w:tcPr>
            <w:tcW w:w="1419" w:type="dxa"/>
            <w:vMerge w:val="restart"/>
            <w:shd w:val="clear" w:color="auto" w:fill="E5B8B7" w:themeFill="accent2" w:themeFillTint="66"/>
            <w:vAlign w:val="center"/>
          </w:tcPr>
          <w:p w14:paraId="69FFA0FA" w14:textId="77777777" w:rsidR="009D4550" w:rsidRPr="00275290" w:rsidRDefault="009D4550" w:rsidP="004E7A98">
            <w:pPr>
              <w:rPr>
                <w:rFonts w:cs="Arial"/>
                <w:lang w:val="fr-FR"/>
              </w:rPr>
            </w:pPr>
            <w:r w:rsidRPr="00275290">
              <w:rPr>
                <w:rFonts w:cs="Arial"/>
                <w:lang w:val="fr-FR"/>
              </w:rPr>
              <w:t>HI</w:t>
            </w:r>
          </w:p>
          <w:p w14:paraId="0ECF96E0" w14:textId="77777777" w:rsidR="009D4550" w:rsidRPr="00275290" w:rsidRDefault="009D4550" w:rsidP="004E7A98">
            <w:pPr>
              <w:rPr>
                <w:rFonts w:cs="Arial"/>
                <w:lang w:val="fr-FR"/>
              </w:rPr>
            </w:pPr>
            <w:r w:rsidRPr="00275290">
              <w:rPr>
                <w:rFonts w:cs="Arial"/>
                <w:lang w:val="fr-FR"/>
              </w:rPr>
              <w:t>(∑ HQ a.s)</w:t>
            </w:r>
          </w:p>
        </w:tc>
        <w:tc>
          <w:tcPr>
            <w:tcW w:w="1530" w:type="dxa"/>
            <w:vMerge w:val="restart"/>
            <w:shd w:val="clear" w:color="auto" w:fill="E5B8B7" w:themeFill="accent2" w:themeFillTint="66"/>
          </w:tcPr>
          <w:p w14:paraId="4CDBD31C" w14:textId="77777777" w:rsidR="009D4550" w:rsidRPr="00275290" w:rsidRDefault="009D4550" w:rsidP="004E7A98">
            <w:pPr>
              <w:rPr>
                <w:rFonts w:cs="Arial"/>
                <w:lang w:val="fr-FR"/>
              </w:rPr>
            </w:pPr>
            <w:r w:rsidRPr="00275290">
              <w:rPr>
                <w:rFonts w:cs="Arial"/>
                <w:lang w:val="fr-FR"/>
              </w:rPr>
              <w:t>Risk</w:t>
            </w:r>
          </w:p>
        </w:tc>
      </w:tr>
      <w:tr w:rsidR="009D4550" w:rsidRPr="00275290" w14:paraId="0373110E" w14:textId="77777777" w:rsidTr="004E7A98">
        <w:tc>
          <w:tcPr>
            <w:tcW w:w="5773" w:type="dxa"/>
            <w:gridSpan w:val="3"/>
            <w:vAlign w:val="center"/>
          </w:tcPr>
          <w:p w14:paraId="09913E51" w14:textId="77777777" w:rsidR="009D4550" w:rsidRPr="00275290" w:rsidRDefault="009D4550" w:rsidP="004E7A98">
            <w:pPr>
              <w:rPr>
                <w:rFonts w:cs="Arial"/>
                <w:lang w:val="fr-FR"/>
              </w:rPr>
            </w:pPr>
            <w:r w:rsidRPr="00275290">
              <w:rPr>
                <w:rFonts w:cs="Arial"/>
                <w:lang w:val="fr-FR"/>
              </w:rPr>
              <w:t>HQ (Exposure/AEL)</w:t>
            </w:r>
          </w:p>
        </w:tc>
        <w:tc>
          <w:tcPr>
            <w:tcW w:w="1273" w:type="dxa"/>
            <w:shd w:val="clear" w:color="auto" w:fill="auto"/>
          </w:tcPr>
          <w:p w14:paraId="241055DC" w14:textId="77777777" w:rsidR="009D4550" w:rsidRPr="00275290" w:rsidRDefault="009D4550" w:rsidP="004E7A98">
            <w:pPr>
              <w:rPr>
                <w:rFonts w:cs="Arial"/>
                <w:lang w:val="fr-FR"/>
              </w:rPr>
            </w:pPr>
          </w:p>
        </w:tc>
        <w:tc>
          <w:tcPr>
            <w:tcW w:w="1419" w:type="dxa"/>
            <w:vMerge/>
            <w:shd w:val="clear" w:color="auto" w:fill="E5B8B7" w:themeFill="accent2" w:themeFillTint="66"/>
            <w:vAlign w:val="center"/>
          </w:tcPr>
          <w:p w14:paraId="21BAA7C0" w14:textId="77777777" w:rsidR="009D4550" w:rsidRPr="00275290" w:rsidRDefault="009D4550" w:rsidP="004E7A98">
            <w:pPr>
              <w:rPr>
                <w:rFonts w:cs="Arial"/>
                <w:lang w:val="fr-FR"/>
              </w:rPr>
            </w:pPr>
          </w:p>
        </w:tc>
        <w:tc>
          <w:tcPr>
            <w:tcW w:w="1530" w:type="dxa"/>
            <w:vMerge/>
            <w:shd w:val="clear" w:color="auto" w:fill="E5B8B7" w:themeFill="accent2" w:themeFillTint="66"/>
          </w:tcPr>
          <w:p w14:paraId="10C22787" w14:textId="77777777" w:rsidR="009D4550" w:rsidRPr="00275290" w:rsidRDefault="009D4550" w:rsidP="004E7A98">
            <w:pPr>
              <w:rPr>
                <w:rFonts w:cs="Arial"/>
                <w:lang w:val="fr-FR"/>
              </w:rPr>
            </w:pPr>
          </w:p>
        </w:tc>
      </w:tr>
      <w:tr w:rsidR="009D4550" w:rsidRPr="00275290" w14:paraId="7B3109A7" w14:textId="77777777" w:rsidTr="004E7A98">
        <w:tc>
          <w:tcPr>
            <w:tcW w:w="9995" w:type="dxa"/>
            <w:gridSpan w:val="6"/>
          </w:tcPr>
          <w:p w14:paraId="70620399" w14:textId="77777777" w:rsidR="009D4550" w:rsidRPr="00275290" w:rsidRDefault="009D4550" w:rsidP="004E7A98">
            <w:pPr>
              <w:rPr>
                <w:rFonts w:cs="Arial"/>
                <w:lang w:val="en-US"/>
              </w:rPr>
            </w:pPr>
            <w:r w:rsidRPr="00275290">
              <w:rPr>
                <w:rFonts w:cs="Arial"/>
                <w:lang w:val="fr-FR"/>
              </w:rPr>
              <w:t>Adult combined expo : Dipping</w:t>
            </w:r>
          </w:p>
        </w:tc>
      </w:tr>
      <w:tr w:rsidR="009D4550" w:rsidRPr="00275290" w14:paraId="0250C3CE" w14:textId="77777777" w:rsidTr="004E7A98">
        <w:tc>
          <w:tcPr>
            <w:tcW w:w="1948" w:type="dxa"/>
            <w:vAlign w:val="center"/>
          </w:tcPr>
          <w:p w14:paraId="234C3C4A" w14:textId="77777777" w:rsidR="009D4550" w:rsidRPr="00275290" w:rsidRDefault="009D4550" w:rsidP="004E7A98">
            <w:pPr>
              <w:rPr>
                <w:rFonts w:cs="Arial"/>
                <w:lang w:val="en-US"/>
              </w:rPr>
            </w:pPr>
            <w:r w:rsidRPr="00275290">
              <w:rPr>
                <w:rFonts w:cs="Arial"/>
                <w:lang w:val="en-US"/>
              </w:rPr>
              <w:t>0.34</w:t>
            </w:r>
          </w:p>
        </w:tc>
        <w:tc>
          <w:tcPr>
            <w:tcW w:w="1920" w:type="dxa"/>
            <w:vAlign w:val="center"/>
          </w:tcPr>
          <w:p w14:paraId="3EB196A9" w14:textId="77777777" w:rsidR="009D4550" w:rsidRPr="00275290" w:rsidRDefault="009D4550" w:rsidP="004E7A98">
            <w:pPr>
              <w:rPr>
                <w:rFonts w:cs="Arial"/>
                <w:lang w:val="en-US"/>
              </w:rPr>
            </w:pPr>
            <w:r w:rsidRPr="00275290">
              <w:rPr>
                <w:rFonts w:cs="Arial"/>
                <w:lang w:val="en-US"/>
              </w:rPr>
              <w:t>0.29</w:t>
            </w:r>
          </w:p>
        </w:tc>
        <w:tc>
          <w:tcPr>
            <w:tcW w:w="1905" w:type="dxa"/>
            <w:vAlign w:val="center"/>
          </w:tcPr>
          <w:p w14:paraId="3DED9894" w14:textId="77777777" w:rsidR="009D4550" w:rsidRPr="00275290" w:rsidRDefault="009D4550" w:rsidP="004E7A98">
            <w:pPr>
              <w:rPr>
                <w:rFonts w:cs="Arial"/>
                <w:lang w:val="en-US"/>
              </w:rPr>
            </w:pPr>
            <w:r w:rsidRPr="00275290">
              <w:rPr>
                <w:rFonts w:cs="Arial"/>
                <w:lang w:val="en-US"/>
              </w:rPr>
              <w:t>0.15</w:t>
            </w:r>
          </w:p>
        </w:tc>
        <w:tc>
          <w:tcPr>
            <w:tcW w:w="1273" w:type="dxa"/>
            <w:shd w:val="clear" w:color="auto" w:fill="auto"/>
          </w:tcPr>
          <w:p w14:paraId="5F032EAB" w14:textId="77777777" w:rsidR="009D4550" w:rsidRPr="00275290" w:rsidRDefault="009D4550" w:rsidP="004E7A98">
            <w:pPr>
              <w:rPr>
                <w:rFonts w:cs="Arial"/>
                <w:lang w:val="en-US"/>
              </w:rPr>
            </w:pPr>
            <w:r w:rsidRPr="00275290">
              <w:rPr>
                <w:rFonts w:cs="Arial"/>
                <w:lang w:val="en-US"/>
              </w:rPr>
              <w:t>0.05</w:t>
            </w:r>
          </w:p>
        </w:tc>
        <w:tc>
          <w:tcPr>
            <w:tcW w:w="1419" w:type="dxa"/>
            <w:shd w:val="clear" w:color="auto" w:fill="E5B8B7" w:themeFill="accent2" w:themeFillTint="66"/>
            <w:vAlign w:val="center"/>
          </w:tcPr>
          <w:p w14:paraId="18224C36" w14:textId="77777777" w:rsidR="009D4550" w:rsidRPr="00275290" w:rsidRDefault="009D4550" w:rsidP="004E7A98">
            <w:pPr>
              <w:rPr>
                <w:rFonts w:cs="Arial"/>
                <w:lang w:val="en-US"/>
              </w:rPr>
            </w:pPr>
            <w:r w:rsidRPr="00275290">
              <w:rPr>
                <w:rFonts w:cs="Arial"/>
                <w:lang w:val="en-US"/>
              </w:rPr>
              <w:t>0.83</w:t>
            </w:r>
          </w:p>
        </w:tc>
        <w:tc>
          <w:tcPr>
            <w:tcW w:w="1530" w:type="dxa"/>
            <w:shd w:val="clear" w:color="auto" w:fill="E5B8B7" w:themeFill="accent2" w:themeFillTint="66"/>
          </w:tcPr>
          <w:p w14:paraId="76D27148" w14:textId="77777777" w:rsidR="009D4550" w:rsidRPr="00275290" w:rsidRDefault="009D4550" w:rsidP="004E7A98">
            <w:pPr>
              <w:rPr>
                <w:rFonts w:cs="Arial"/>
                <w:lang w:val="en-US"/>
              </w:rPr>
            </w:pPr>
            <w:r w:rsidRPr="00275290">
              <w:rPr>
                <w:rFonts w:cs="Arial"/>
                <w:lang w:val="en-US"/>
              </w:rPr>
              <w:t>Acceptable</w:t>
            </w:r>
          </w:p>
        </w:tc>
      </w:tr>
      <w:tr w:rsidR="009D4550" w:rsidRPr="00275290" w14:paraId="622C5A63" w14:textId="77777777" w:rsidTr="004E7A98">
        <w:tc>
          <w:tcPr>
            <w:tcW w:w="9995" w:type="dxa"/>
            <w:gridSpan w:val="6"/>
          </w:tcPr>
          <w:p w14:paraId="6F7477FF" w14:textId="77777777" w:rsidR="009D4550" w:rsidRPr="00275290" w:rsidRDefault="009D4550" w:rsidP="004E7A98">
            <w:pPr>
              <w:rPr>
                <w:rFonts w:cs="Arial"/>
                <w:lang w:val="en-US"/>
              </w:rPr>
            </w:pPr>
            <w:r w:rsidRPr="00275290">
              <w:rPr>
                <w:rFonts w:cs="Arial"/>
                <w:lang w:val="fr-FR"/>
              </w:rPr>
              <w:t>Adult combined expo : Brushing</w:t>
            </w:r>
          </w:p>
        </w:tc>
      </w:tr>
      <w:tr w:rsidR="009D4550" w:rsidRPr="00275290" w14:paraId="48039FAF" w14:textId="77777777" w:rsidTr="004E7A98">
        <w:tc>
          <w:tcPr>
            <w:tcW w:w="1948" w:type="dxa"/>
            <w:vAlign w:val="center"/>
          </w:tcPr>
          <w:p w14:paraId="5A947655" w14:textId="77777777" w:rsidR="009D4550" w:rsidRPr="00275290" w:rsidRDefault="009D4550" w:rsidP="004E7A98">
            <w:pPr>
              <w:rPr>
                <w:rFonts w:cs="Arial"/>
                <w:lang w:val="en-US"/>
              </w:rPr>
            </w:pPr>
            <w:r w:rsidRPr="00275290">
              <w:rPr>
                <w:rFonts w:cs="Arial"/>
                <w:lang w:val="en-US"/>
              </w:rPr>
              <w:lastRenderedPageBreak/>
              <w:t>0.09</w:t>
            </w:r>
          </w:p>
        </w:tc>
        <w:tc>
          <w:tcPr>
            <w:tcW w:w="1920" w:type="dxa"/>
            <w:vAlign w:val="center"/>
          </w:tcPr>
          <w:p w14:paraId="0C8C8A13" w14:textId="77777777" w:rsidR="009D4550" w:rsidRPr="00275290" w:rsidRDefault="009D4550" w:rsidP="004E7A98">
            <w:pPr>
              <w:rPr>
                <w:rFonts w:cs="Arial"/>
                <w:lang w:val="en-US"/>
              </w:rPr>
            </w:pPr>
            <w:r w:rsidRPr="00275290">
              <w:rPr>
                <w:rFonts w:cs="Arial"/>
                <w:lang w:val="en-US"/>
              </w:rPr>
              <w:t>0.07</w:t>
            </w:r>
          </w:p>
        </w:tc>
        <w:tc>
          <w:tcPr>
            <w:tcW w:w="1905" w:type="dxa"/>
          </w:tcPr>
          <w:p w14:paraId="0699C3A9" w14:textId="77777777" w:rsidR="009D4550" w:rsidRPr="00275290" w:rsidRDefault="009D4550" w:rsidP="004E7A98">
            <w:pPr>
              <w:rPr>
                <w:rFonts w:cs="Arial"/>
                <w:lang w:val="en-US"/>
              </w:rPr>
            </w:pPr>
            <w:r w:rsidRPr="00275290">
              <w:rPr>
                <w:rFonts w:cs="Arial"/>
                <w:lang w:val="en-US"/>
              </w:rPr>
              <w:t>0.04</w:t>
            </w:r>
          </w:p>
        </w:tc>
        <w:tc>
          <w:tcPr>
            <w:tcW w:w="1273" w:type="dxa"/>
            <w:shd w:val="clear" w:color="auto" w:fill="auto"/>
          </w:tcPr>
          <w:p w14:paraId="53F3EC2E" w14:textId="77777777" w:rsidR="009D4550" w:rsidRPr="00275290" w:rsidRDefault="009D4550" w:rsidP="004E7A98">
            <w:pPr>
              <w:rPr>
                <w:rFonts w:cs="Arial"/>
                <w:lang w:val="en-US"/>
              </w:rPr>
            </w:pPr>
            <w:r w:rsidRPr="00275290">
              <w:rPr>
                <w:rFonts w:cs="Arial"/>
                <w:lang w:val="en-US"/>
              </w:rPr>
              <w:t>0.01</w:t>
            </w:r>
          </w:p>
        </w:tc>
        <w:tc>
          <w:tcPr>
            <w:tcW w:w="1419" w:type="dxa"/>
            <w:shd w:val="clear" w:color="auto" w:fill="E5B8B7" w:themeFill="accent2" w:themeFillTint="66"/>
            <w:vAlign w:val="center"/>
          </w:tcPr>
          <w:p w14:paraId="4FB88CFB" w14:textId="77777777" w:rsidR="009D4550" w:rsidRPr="00275290" w:rsidRDefault="009D4550" w:rsidP="004E7A98">
            <w:pPr>
              <w:rPr>
                <w:rFonts w:cs="Arial"/>
                <w:lang w:val="en-US"/>
              </w:rPr>
            </w:pPr>
            <w:r w:rsidRPr="00275290">
              <w:rPr>
                <w:rFonts w:cs="Arial"/>
                <w:lang w:val="en-US"/>
              </w:rPr>
              <w:t>0.21</w:t>
            </w:r>
          </w:p>
        </w:tc>
        <w:tc>
          <w:tcPr>
            <w:tcW w:w="1530" w:type="dxa"/>
            <w:shd w:val="clear" w:color="auto" w:fill="E5B8B7" w:themeFill="accent2" w:themeFillTint="66"/>
          </w:tcPr>
          <w:p w14:paraId="76056514" w14:textId="77777777" w:rsidR="009D4550" w:rsidRPr="00275290" w:rsidRDefault="009D4550" w:rsidP="004E7A98">
            <w:pPr>
              <w:rPr>
                <w:rFonts w:cs="Arial"/>
                <w:lang w:val="en-US"/>
              </w:rPr>
            </w:pPr>
            <w:r w:rsidRPr="00275290">
              <w:rPr>
                <w:rFonts w:cs="Arial"/>
                <w:lang w:val="en-US"/>
              </w:rPr>
              <w:t>Acceptable</w:t>
            </w:r>
          </w:p>
        </w:tc>
      </w:tr>
      <w:tr w:rsidR="009D4550" w:rsidRPr="00275290" w14:paraId="1DF0EB75" w14:textId="77777777" w:rsidTr="004E7A98">
        <w:tc>
          <w:tcPr>
            <w:tcW w:w="9995" w:type="dxa"/>
            <w:gridSpan w:val="6"/>
          </w:tcPr>
          <w:p w14:paraId="4E11DA4F" w14:textId="77777777" w:rsidR="009D4550" w:rsidRPr="00275290" w:rsidRDefault="009D4550" w:rsidP="004E7A98">
            <w:pPr>
              <w:rPr>
                <w:rFonts w:cs="Arial"/>
                <w:lang w:val="en-US"/>
              </w:rPr>
            </w:pPr>
            <w:r w:rsidRPr="00275290">
              <w:rPr>
                <w:rFonts w:cs="Arial"/>
                <w:lang w:val="en-US"/>
              </w:rPr>
              <w:t xml:space="preserve">Adult combined expo : spraying </w:t>
            </w:r>
          </w:p>
        </w:tc>
      </w:tr>
      <w:tr w:rsidR="009D4550" w:rsidRPr="00275290" w14:paraId="67E4BA93" w14:textId="77777777" w:rsidTr="004E7A98">
        <w:tc>
          <w:tcPr>
            <w:tcW w:w="1948" w:type="dxa"/>
            <w:vAlign w:val="center"/>
          </w:tcPr>
          <w:p w14:paraId="3E85AA6A" w14:textId="77777777" w:rsidR="009D4550" w:rsidRPr="00275290" w:rsidRDefault="009D4550" w:rsidP="004E7A98">
            <w:pPr>
              <w:rPr>
                <w:rFonts w:cs="Arial"/>
                <w:lang w:val="en-US"/>
              </w:rPr>
            </w:pPr>
            <w:r w:rsidRPr="00275290">
              <w:rPr>
                <w:rFonts w:cs="Arial"/>
                <w:lang w:val="en-US"/>
              </w:rPr>
              <w:t>0.47</w:t>
            </w:r>
          </w:p>
        </w:tc>
        <w:tc>
          <w:tcPr>
            <w:tcW w:w="1920" w:type="dxa"/>
            <w:vAlign w:val="center"/>
          </w:tcPr>
          <w:p w14:paraId="28E78637" w14:textId="7C28F498" w:rsidR="009D4550" w:rsidRPr="00275290" w:rsidRDefault="00934A09" w:rsidP="004E7A98">
            <w:pPr>
              <w:rPr>
                <w:rFonts w:cs="Arial"/>
                <w:lang w:val="en-US"/>
              </w:rPr>
            </w:pPr>
            <w:r>
              <w:rPr>
                <w:rFonts w:cs="Arial"/>
                <w:lang w:val="en-US"/>
              </w:rPr>
              <w:t>0.40</w:t>
            </w:r>
          </w:p>
        </w:tc>
        <w:tc>
          <w:tcPr>
            <w:tcW w:w="1905" w:type="dxa"/>
            <w:vAlign w:val="center"/>
          </w:tcPr>
          <w:p w14:paraId="5514C06C" w14:textId="4A3C6D38" w:rsidR="009D4550" w:rsidRPr="00275290" w:rsidRDefault="009D4550" w:rsidP="004E7A98">
            <w:pPr>
              <w:rPr>
                <w:rFonts w:cs="Arial"/>
                <w:lang w:val="en-US"/>
              </w:rPr>
            </w:pPr>
            <w:r w:rsidRPr="00275290">
              <w:rPr>
                <w:rFonts w:cs="Arial"/>
                <w:lang w:val="en-US"/>
              </w:rPr>
              <w:t>0.1</w:t>
            </w:r>
            <w:r w:rsidR="00934A09">
              <w:rPr>
                <w:rFonts w:cs="Arial"/>
                <w:lang w:val="en-US"/>
              </w:rPr>
              <w:t>9</w:t>
            </w:r>
          </w:p>
        </w:tc>
        <w:tc>
          <w:tcPr>
            <w:tcW w:w="1273" w:type="dxa"/>
            <w:shd w:val="clear" w:color="auto" w:fill="auto"/>
          </w:tcPr>
          <w:p w14:paraId="1826E446" w14:textId="0B36DCE2" w:rsidR="009D4550" w:rsidRPr="00275290" w:rsidRDefault="009D4550" w:rsidP="004E7A98">
            <w:pPr>
              <w:rPr>
                <w:rFonts w:cs="Arial"/>
                <w:lang w:val="en-US"/>
              </w:rPr>
            </w:pPr>
            <w:r w:rsidRPr="00275290">
              <w:rPr>
                <w:rFonts w:cs="Arial"/>
                <w:lang w:val="en-US"/>
              </w:rPr>
              <w:t>0.0</w:t>
            </w:r>
            <w:r w:rsidR="00934A09">
              <w:rPr>
                <w:rFonts w:cs="Arial"/>
                <w:lang w:val="en-US"/>
              </w:rPr>
              <w:t>6</w:t>
            </w:r>
          </w:p>
        </w:tc>
        <w:tc>
          <w:tcPr>
            <w:tcW w:w="1419" w:type="dxa"/>
            <w:shd w:val="clear" w:color="auto" w:fill="E5B8B7" w:themeFill="accent2" w:themeFillTint="66"/>
            <w:vAlign w:val="center"/>
          </w:tcPr>
          <w:p w14:paraId="271020A1" w14:textId="52C46DEB" w:rsidR="009D4550" w:rsidRPr="00275290" w:rsidRDefault="00334B45" w:rsidP="004E7A98">
            <w:pPr>
              <w:rPr>
                <w:rFonts w:cs="Arial"/>
                <w:lang w:val="en-US"/>
              </w:rPr>
            </w:pPr>
            <w:r>
              <w:rPr>
                <w:rFonts w:cs="Arial"/>
                <w:lang w:val="en-US"/>
              </w:rPr>
              <w:t>1.13</w:t>
            </w:r>
          </w:p>
        </w:tc>
        <w:tc>
          <w:tcPr>
            <w:tcW w:w="1530" w:type="dxa"/>
            <w:shd w:val="clear" w:color="auto" w:fill="E5B8B7" w:themeFill="accent2" w:themeFillTint="66"/>
          </w:tcPr>
          <w:p w14:paraId="30C09A1B" w14:textId="54B9A377" w:rsidR="009D4550" w:rsidRPr="00275290" w:rsidRDefault="00334B45" w:rsidP="004E7A98">
            <w:pPr>
              <w:rPr>
                <w:rFonts w:cs="Arial"/>
                <w:lang w:val="en-US"/>
              </w:rPr>
            </w:pPr>
            <w:r>
              <w:rPr>
                <w:rFonts w:cs="Arial"/>
                <w:lang w:val="en-US"/>
              </w:rPr>
              <w:t>Tier 3B</w:t>
            </w:r>
          </w:p>
        </w:tc>
      </w:tr>
      <w:tr w:rsidR="009D4550" w:rsidRPr="00275290" w14:paraId="5BD8EEA2" w14:textId="77777777" w:rsidTr="004E7A98">
        <w:tc>
          <w:tcPr>
            <w:tcW w:w="9995" w:type="dxa"/>
            <w:gridSpan w:val="6"/>
          </w:tcPr>
          <w:p w14:paraId="4CD67F28" w14:textId="77777777" w:rsidR="009D4550" w:rsidRPr="00275290" w:rsidRDefault="009D4550" w:rsidP="004E7A98">
            <w:pPr>
              <w:rPr>
                <w:rFonts w:cs="Arial"/>
                <w:lang w:val="en-US"/>
              </w:rPr>
            </w:pPr>
            <w:r w:rsidRPr="00275290">
              <w:rPr>
                <w:rFonts w:cs="Arial"/>
                <w:lang w:val="en-US"/>
              </w:rPr>
              <w:t>Adult combined expo : Brushing + injecting</w:t>
            </w:r>
          </w:p>
        </w:tc>
      </w:tr>
      <w:tr w:rsidR="009D4550" w:rsidRPr="00275290" w14:paraId="66664845" w14:textId="77777777" w:rsidTr="004E7A98">
        <w:tc>
          <w:tcPr>
            <w:tcW w:w="1948" w:type="dxa"/>
            <w:vAlign w:val="center"/>
          </w:tcPr>
          <w:p w14:paraId="2C47932C" w14:textId="70C0F6ED" w:rsidR="009D4550" w:rsidRPr="00275290" w:rsidRDefault="00B82366" w:rsidP="004E7A98">
            <w:pPr>
              <w:rPr>
                <w:rFonts w:cs="Arial"/>
                <w:lang w:val="en-US"/>
              </w:rPr>
            </w:pPr>
            <w:r>
              <w:rPr>
                <w:rFonts w:cs="Arial"/>
                <w:lang w:val="en-US"/>
              </w:rPr>
              <w:t>0.3</w:t>
            </w:r>
            <w:r w:rsidR="00934A09">
              <w:rPr>
                <w:rFonts w:cs="Arial"/>
                <w:lang w:val="en-US"/>
              </w:rPr>
              <w:t>4</w:t>
            </w:r>
          </w:p>
        </w:tc>
        <w:tc>
          <w:tcPr>
            <w:tcW w:w="1920" w:type="dxa"/>
            <w:vAlign w:val="center"/>
          </w:tcPr>
          <w:p w14:paraId="50E5BC0D" w14:textId="628CD04B" w:rsidR="009D4550" w:rsidRPr="00275290" w:rsidRDefault="00B82366" w:rsidP="00B82366">
            <w:pPr>
              <w:rPr>
                <w:rFonts w:cs="Arial"/>
                <w:lang w:val="en-US"/>
              </w:rPr>
            </w:pPr>
            <w:r>
              <w:rPr>
                <w:rFonts w:cs="Arial"/>
                <w:lang w:val="en-US"/>
              </w:rPr>
              <w:t>0.27</w:t>
            </w:r>
          </w:p>
        </w:tc>
        <w:tc>
          <w:tcPr>
            <w:tcW w:w="1905" w:type="dxa"/>
            <w:vAlign w:val="center"/>
          </w:tcPr>
          <w:p w14:paraId="186C19FD" w14:textId="4F1FC102" w:rsidR="009D4550" w:rsidRPr="00275290" w:rsidRDefault="00B82366" w:rsidP="004E7A98">
            <w:pPr>
              <w:rPr>
                <w:rFonts w:cs="Arial"/>
                <w:lang w:val="en-US"/>
              </w:rPr>
            </w:pPr>
            <w:r>
              <w:rPr>
                <w:rFonts w:cs="Arial"/>
                <w:lang w:val="en-US"/>
              </w:rPr>
              <w:t>0.14</w:t>
            </w:r>
          </w:p>
        </w:tc>
        <w:tc>
          <w:tcPr>
            <w:tcW w:w="1273" w:type="dxa"/>
            <w:shd w:val="clear" w:color="auto" w:fill="auto"/>
          </w:tcPr>
          <w:p w14:paraId="062DBB88" w14:textId="103C5BEC" w:rsidR="009D4550" w:rsidRPr="00275290" w:rsidRDefault="00B82366" w:rsidP="004E7A98">
            <w:pPr>
              <w:rPr>
                <w:rFonts w:cs="Arial"/>
                <w:lang w:val="en-US"/>
              </w:rPr>
            </w:pPr>
            <w:r>
              <w:rPr>
                <w:rFonts w:cs="Arial"/>
                <w:lang w:val="en-US"/>
              </w:rPr>
              <w:t>0.05</w:t>
            </w:r>
          </w:p>
        </w:tc>
        <w:tc>
          <w:tcPr>
            <w:tcW w:w="1419" w:type="dxa"/>
            <w:shd w:val="clear" w:color="auto" w:fill="E5B8B7" w:themeFill="accent2" w:themeFillTint="66"/>
            <w:vAlign w:val="center"/>
          </w:tcPr>
          <w:p w14:paraId="238001DC" w14:textId="35CDD51D" w:rsidR="009D4550" w:rsidRPr="00275290" w:rsidRDefault="00AB760F" w:rsidP="004E7A98">
            <w:pPr>
              <w:rPr>
                <w:rFonts w:cs="Arial"/>
                <w:lang w:val="en-US"/>
              </w:rPr>
            </w:pPr>
            <w:r>
              <w:rPr>
                <w:rFonts w:cs="Arial"/>
                <w:lang w:val="en-US"/>
              </w:rPr>
              <w:t>0.8</w:t>
            </w:r>
            <w:r w:rsidR="00334B45">
              <w:rPr>
                <w:rFonts w:cs="Arial"/>
                <w:lang w:val="en-US"/>
              </w:rPr>
              <w:t>0</w:t>
            </w:r>
          </w:p>
        </w:tc>
        <w:tc>
          <w:tcPr>
            <w:tcW w:w="1530" w:type="dxa"/>
            <w:shd w:val="clear" w:color="auto" w:fill="E5B8B7" w:themeFill="accent2" w:themeFillTint="66"/>
          </w:tcPr>
          <w:p w14:paraId="00D42A45" w14:textId="77777777" w:rsidR="009D4550" w:rsidRPr="00275290" w:rsidRDefault="009D4550" w:rsidP="004E7A98">
            <w:pPr>
              <w:rPr>
                <w:rFonts w:cs="Arial"/>
                <w:lang w:val="en-US"/>
              </w:rPr>
            </w:pPr>
            <w:r w:rsidRPr="00275290">
              <w:rPr>
                <w:rFonts w:cs="Arial"/>
                <w:lang w:val="en-US"/>
              </w:rPr>
              <w:t>Acceptable</w:t>
            </w:r>
          </w:p>
        </w:tc>
      </w:tr>
      <w:tr w:rsidR="009D4550" w:rsidRPr="00275290" w14:paraId="07B0BCB6" w14:textId="77777777" w:rsidTr="004E7A98">
        <w:tc>
          <w:tcPr>
            <w:tcW w:w="9995" w:type="dxa"/>
            <w:gridSpan w:val="6"/>
          </w:tcPr>
          <w:p w14:paraId="7CEF698A" w14:textId="610EF342" w:rsidR="009D4550" w:rsidRPr="00275290" w:rsidRDefault="009D4550" w:rsidP="004E7A98">
            <w:pPr>
              <w:rPr>
                <w:rFonts w:cs="Arial"/>
                <w:lang w:val="en-US"/>
              </w:rPr>
            </w:pPr>
            <w:r w:rsidRPr="00275290">
              <w:rPr>
                <w:rFonts w:cs="Arial"/>
                <w:lang w:val="en-US"/>
              </w:rPr>
              <w:t>Adult combined expo : spraying + injecting</w:t>
            </w:r>
          </w:p>
        </w:tc>
      </w:tr>
      <w:tr w:rsidR="009D4550" w:rsidRPr="00275290" w14:paraId="6C3FCED6" w14:textId="77777777" w:rsidTr="004E7A98">
        <w:tc>
          <w:tcPr>
            <w:tcW w:w="1948" w:type="dxa"/>
            <w:vAlign w:val="center"/>
          </w:tcPr>
          <w:p w14:paraId="2244430C" w14:textId="509B1530" w:rsidR="009D4550" w:rsidRPr="00275290" w:rsidRDefault="00AB760F" w:rsidP="004E7A98">
            <w:pPr>
              <w:rPr>
                <w:rFonts w:cs="Arial"/>
                <w:lang w:val="en-US"/>
              </w:rPr>
            </w:pPr>
            <w:r>
              <w:rPr>
                <w:rFonts w:cs="Arial"/>
                <w:lang w:val="en-US"/>
              </w:rPr>
              <w:t>0.63</w:t>
            </w:r>
          </w:p>
        </w:tc>
        <w:tc>
          <w:tcPr>
            <w:tcW w:w="1920" w:type="dxa"/>
            <w:vAlign w:val="center"/>
          </w:tcPr>
          <w:p w14:paraId="2FCCEE4A" w14:textId="34758C7B" w:rsidR="009D4550" w:rsidRPr="00275290" w:rsidRDefault="00AB760F" w:rsidP="004E7A98">
            <w:pPr>
              <w:rPr>
                <w:rFonts w:cs="Arial"/>
                <w:lang w:val="en-US"/>
              </w:rPr>
            </w:pPr>
            <w:r>
              <w:rPr>
                <w:rFonts w:cs="Arial"/>
                <w:lang w:val="en-US"/>
              </w:rPr>
              <w:t>0.</w:t>
            </w:r>
            <w:r w:rsidR="00934A09">
              <w:rPr>
                <w:rFonts w:cs="Arial"/>
                <w:lang w:val="en-US"/>
              </w:rPr>
              <w:t>53</w:t>
            </w:r>
          </w:p>
        </w:tc>
        <w:tc>
          <w:tcPr>
            <w:tcW w:w="1905" w:type="dxa"/>
            <w:vAlign w:val="center"/>
          </w:tcPr>
          <w:p w14:paraId="63DE58EF" w14:textId="1C9B2773" w:rsidR="009D4550" w:rsidRPr="00275290" w:rsidRDefault="00AB760F" w:rsidP="004E7A98">
            <w:pPr>
              <w:rPr>
                <w:rFonts w:cs="Arial"/>
                <w:lang w:val="en-US"/>
              </w:rPr>
            </w:pPr>
            <w:r>
              <w:rPr>
                <w:rFonts w:cs="Arial"/>
                <w:lang w:val="en-US"/>
              </w:rPr>
              <w:t>0.2</w:t>
            </w:r>
            <w:r w:rsidR="00934A09">
              <w:rPr>
                <w:rFonts w:cs="Arial"/>
                <w:lang w:val="en-US"/>
              </w:rPr>
              <w:t>5</w:t>
            </w:r>
          </w:p>
        </w:tc>
        <w:tc>
          <w:tcPr>
            <w:tcW w:w="1273" w:type="dxa"/>
            <w:shd w:val="clear" w:color="auto" w:fill="auto"/>
          </w:tcPr>
          <w:p w14:paraId="6406B0AC" w14:textId="07451550" w:rsidR="009D4550" w:rsidRPr="00275290" w:rsidRDefault="00AB760F" w:rsidP="004E7A98">
            <w:pPr>
              <w:rPr>
                <w:rFonts w:cs="Arial"/>
                <w:lang w:val="en-US"/>
              </w:rPr>
            </w:pPr>
            <w:r>
              <w:rPr>
                <w:rFonts w:cs="Arial"/>
                <w:lang w:val="en-US"/>
              </w:rPr>
              <w:t>0.0</w:t>
            </w:r>
            <w:r w:rsidR="00934A09">
              <w:rPr>
                <w:rFonts w:cs="Arial"/>
                <w:lang w:val="en-US"/>
              </w:rPr>
              <w:t>8</w:t>
            </w:r>
          </w:p>
        </w:tc>
        <w:tc>
          <w:tcPr>
            <w:tcW w:w="1419" w:type="dxa"/>
            <w:shd w:val="clear" w:color="auto" w:fill="E5B8B7" w:themeFill="accent2" w:themeFillTint="66"/>
            <w:vAlign w:val="center"/>
          </w:tcPr>
          <w:p w14:paraId="6FB4AD3E" w14:textId="004F49D3" w:rsidR="009D4550" w:rsidRPr="00275290" w:rsidRDefault="009D4550" w:rsidP="00334B45">
            <w:pPr>
              <w:rPr>
                <w:rFonts w:cs="Arial"/>
                <w:lang w:val="en-US"/>
              </w:rPr>
            </w:pPr>
            <w:r w:rsidRPr="00275290">
              <w:rPr>
                <w:rFonts w:cs="Arial"/>
                <w:lang w:val="en-US"/>
              </w:rPr>
              <w:t>1.</w:t>
            </w:r>
            <w:r w:rsidR="00334B45">
              <w:rPr>
                <w:rFonts w:cs="Arial"/>
                <w:lang w:val="en-US"/>
              </w:rPr>
              <w:t>49</w:t>
            </w:r>
          </w:p>
        </w:tc>
        <w:tc>
          <w:tcPr>
            <w:tcW w:w="1530" w:type="dxa"/>
            <w:shd w:val="clear" w:color="auto" w:fill="E5B8B7" w:themeFill="accent2" w:themeFillTint="66"/>
          </w:tcPr>
          <w:p w14:paraId="01671FE9" w14:textId="172DE49F" w:rsidR="009D4550" w:rsidRPr="00275290" w:rsidRDefault="00C81964" w:rsidP="004E7A98">
            <w:pPr>
              <w:rPr>
                <w:rFonts w:cs="Arial"/>
                <w:lang w:val="en-US"/>
              </w:rPr>
            </w:pPr>
            <w:r>
              <w:rPr>
                <w:rFonts w:cs="Arial"/>
                <w:lang w:val="en-US"/>
              </w:rPr>
              <w:t>Tier 3B</w:t>
            </w:r>
          </w:p>
        </w:tc>
      </w:tr>
    </w:tbl>
    <w:p w14:paraId="66EED37D" w14:textId="77777777" w:rsidR="009D4550" w:rsidRPr="00275290" w:rsidRDefault="009D4550" w:rsidP="009D4550">
      <w:pPr>
        <w:pStyle w:val="Standard-italics"/>
        <w:tabs>
          <w:tab w:val="left" w:pos="1276"/>
        </w:tabs>
        <w:rPr>
          <w:rFonts w:cs="Arial"/>
          <w:lang w:val="en-US"/>
        </w:rPr>
      </w:pPr>
    </w:p>
    <w:p w14:paraId="73344F6E" w14:textId="77777777" w:rsidR="009D4550" w:rsidRPr="00275290" w:rsidRDefault="009D4550" w:rsidP="00F32B7F">
      <w:pPr>
        <w:pStyle w:val="BfRBBStandard"/>
        <w:numPr>
          <w:ilvl w:val="0"/>
          <w:numId w:val="24"/>
        </w:numPr>
        <w:suppressAutoHyphens w:val="0"/>
        <w:autoSpaceDN w:val="0"/>
        <w:rPr>
          <w:rFonts w:ascii="Verdana" w:hAnsi="Verdana"/>
          <w:sz w:val="20"/>
          <w:szCs w:val="20"/>
        </w:rPr>
      </w:pPr>
      <w:r w:rsidRPr="00275290">
        <w:rPr>
          <w:rFonts w:ascii="Verdana" w:eastAsia="Times New Roman" w:hAnsi="Verdana"/>
          <w:sz w:val="20"/>
          <w:szCs w:val="20"/>
          <w:lang w:val="en-GB" w:eastAsia="sv-SE"/>
        </w:rPr>
        <w:t xml:space="preserve">HI &lt; 1, except for spraying combined with injection.  Therefore, the risk is acceptable for combined chronic exposure scenarios (adult), except for spraying combined with injection.  </w:t>
      </w:r>
    </w:p>
    <w:p w14:paraId="38D813D1" w14:textId="77777777" w:rsidR="009D4550" w:rsidRPr="00275290" w:rsidRDefault="009D4550" w:rsidP="009D4550">
      <w:pPr>
        <w:pStyle w:val="BfRBBStandard"/>
        <w:rPr>
          <w:rFonts w:ascii="Verdana" w:eastAsia="Times New Roman" w:hAnsi="Verdana"/>
          <w:sz w:val="20"/>
          <w:szCs w:val="20"/>
          <w:lang w:val="en-GB" w:eastAsia="sv-SE"/>
        </w:rPr>
      </w:pPr>
    </w:p>
    <w:p w14:paraId="547CFF48"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A Tier 3B approach is considered since the 4 active substances have target organs in common.</w:t>
      </w:r>
    </w:p>
    <w:p w14:paraId="5A5A5C80" w14:textId="77777777" w:rsidR="009D4550" w:rsidRPr="00275290" w:rsidRDefault="009D4550" w:rsidP="009D4550">
      <w:pPr>
        <w:pStyle w:val="BfRBBStandard"/>
        <w:rPr>
          <w:rFonts w:ascii="Verdana" w:eastAsia="Times New Roman" w:hAnsi="Verdana"/>
          <w:sz w:val="20"/>
          <w:szCs w:val="20"/>
          <w:lang w:val="en-GB" w:eastAsia="sv-SE"/>
        </w:rPr>
      </w:pPr>
    </w:p>
    <w:p w14:paraId="579B713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liver is a target organ common to cypermethrine, propiconazole, tebuconazole and IPBC. </w:t>
      </w:r>
    </w:p>
    <w:p w14:paraId="015244B7"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kidney is a target organ common to cypermethrine, propiconazole and IPBC.</w:t>
      </w:r>
    </w:p>
    <w:p w14:paraId="4C22C0C6"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Blood is a target organ common to cypermethrine, propiconazole and tebuconazole. </w:t>
      </w:r>
    </w:p>
    <w:p w14:paraId="6C4A50C8"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adrenal is a target organ common to propiconazole and tebuconazole. </w:t>
      </w:r>
    </w:p>
    <w:p w14:paraId="7A0A00B0"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lung is a target organ common to cypermethrine and IPBC. </w:t>
      </w:r>
    </w:p>
    <w:p w14:paraId="6CC95FD6" w14:textId="77777777" w:rsidR="009D4550" w:rsidRPr="00275290" w:rsidRDefault="009D4550" w:rsidP="009D4550">
      <w:pPr>
        <w:pStyle w:val="BfRBBStandard"/>
        <w:tabs>
          <w:tab w:val="left" w:pos="7875"/>
        </w:tabs>
        <w:rPr>
          <w:rFonts w:ascii="Verdana" w:eastAsia="Times New Roman" w:hAnsi="Verdana"/>
          <w:sz w:val="20"/>
          <w:szCs w:val="20"/>
          <w:lang w:val="en-GB" w:eastAsia="sv-SE"/>
        </w:rPr>
      </w:pPr>
      <w:r w:rsidRPr="00275290">
        <w:rPr>
          <w:rFonts w:ascii="Verdana" w:eastAsia="Times New Roman" w:hAnsi="Verdana"/>
          <w:sz w:val="20"/>
          <w:szCs w:val="20"/>
          <w:lang w:val="en-GB" w:eastAsia="sv-SE"/>
        </w:rPr>
        <w:tab/>
      </w:r>
    </w:p>
    <w:p w14:paraId="046E9759" w14:textId="7CCFDA1F"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Specific target organ long </w:t>
      </w:r>
      <w:r w:rsidR="0028048C" w:rsidRPr="00275290">
        <w:rPr>
          <w:rFonts w:ascii="Verdana" w:eastAsia="Times New Roman" w:hAnsi="Verdana"/>
          <w:sz w:val="20"/>
          <w:szCs w:val="20"/>
          <w:lang w:val="en-GB" w:eastAsia="sv-SE"/>
        </w:rPr>
        <w:t>term AELS</w:t>
      </w:r>
      <w:r w:rsidRPr="00275290">
        <w:rPr>
          <w:rFonts w:ascii="Verdana" w:eastAsia="Times New Roman" w:hAnsi="Verdana"/>
          <w:sz w:val="20"/>
          <w:szCs w:val="20"/>
          <w:lang w:val="en-GB" w:eastAsia="sv-SE"/>
        </w:rPr>
        <w:t xml:space="preserve"> can be derived for each active substance based on the available data in the CARs.</w:t>
      </w:r>
    </w:p>
    <w:p w14:paraId="21B0D586" w14:textId="77777777" w:rsidR="009D4550" w:rsidRPr="00275290" w:rsidRDefault="009D4550" w:rsidP="009D4550">
      <w:pPr>
        <w:pStyle w:val="BfRBBStandard"/>
        <w:rPr>
          <w:rFonts w:ascii="Verdana" w:eastAsia="Times New Roman" w:hAnsi="Verdana"/>
          <w:sz w:val="20"/>
          <w:szCs w:val="20"/>
          <w:lang w:val="en-GB" w:eastAsia="sv-SE"/>
        </w:rPr>
      </w:pPr>
    </w:p>
    <w:p w14:paraId="17FC4542"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974"/>
        <w:gridCol w:w="2071"/>
        <w:gridCol w:w="2084"/>
        <w:gridCol w:w="1638"/>
      </w:tblGrid>
      <w:tr w:rsidR="009D4550" w:rsidRPr="00275290" w14:paraId="7216C6D0" w14:textId="77777777" w:rsidTr="009D4550">
        <w:tc>
          <w:tcPr>
            <w:tcW w:w="2079" w:type="dxa"/>
            <w:shd w:val="clear" w:color="auto" w:fill="auto"/>
          </w:tcPr>
          <w:p w14:paraId="43F9A4B5" w14:textId="77777777" w:rsidR="009D4550" w:rsidRPr="00275290" w:rsidRDefault="009D4550" w:rsidP="009D4550">
            <w:pPr>
              <w:rPr>
                <w:rFonts w:cs="Arial"/>
              </w:rPr>
            </w:pPr>
          </w:p>
        </w:tc>
        <w:tc>
          <w:tcPr>
            <w:tcW w:w="1983" w:type="dxa"/>
            <w:shd w:val="clear" w:color="auto" w:fill="auto"/>
          </w:tcPr>
          <w:p w14:paraId="5B308247" w14:textId="77777777" w:rsidR="009D4550" w:rsidRPr="00275290" w:rsidRDefault="009D4550" w:rsidP="009D4550">
            <w:pPr>
              <w:rPr>
                <w:rFonts w:cs="Arial"/>
                <w:b/>
              </w:rPr>
            </w:pPr>
            <w:r w:rsidRPr="00275290">
              <w:rPr>
                <w:rFonts w:cs="Arial"/>
                <w:b/>
              </w:rPr>
              <w:t>Cyperméthrine</w:t>
            </w:r>
          </w:p>
        </w:tc>
        <w:tc>
          <w:tcPr>
            <w:tcW w:w="2101" w:type="dxa"/>
            <w:shd w:val="clear" w:color="auto" w:fill="auto"/>
          </w:tcPr>
          <w:p w14:paraId="6F02C56B" w14:textId="77777777" w:rsidR="009D4550" w:rsidRPr="00275290" w:rsidRDefault="009D4550" w:rsidP="009D4550">
            <w:pPr>
              <w:rPr>
                <w:rFonts w:cs="Arial"/>
                <w:b/>
              </w:rPr>
            </w:pPr>
            <w:r w:rsidRPr="00275290">
              <w:rPr>
                <w:rFonts w:cs="Arial"/>
                <w:b/>
              </w:rPr>
              <w:t>Tébuconazole</w:t>
            </w:r>
          </w:p>
        </w:tc>
        <w:tc>
          <w:tcPr>
            <w:tcW w:w="2111" w:type="dxa"/>
            <w:shd w:val="clear" w:color="auto" w:fill="auto"/>
          </w:tcPr>
          <w:p w14:paraId="585C7BBA" w14:textId="77777777" w:rsidR="009D4550" w:rsidRPr="00275290" w:rsidRDefault="009D4550" w:rsidP="009D4550">
            <w:pPr>
              <w:rPr>
                <w:rFonts w:cs="Arial"/>
                <w:b/>
              </w:rPr>
            </w:pPr>
            <w:r w:rsidRPr="00275290">
              <w:rPr>
                <w:rFonts w:cs="Arial"/>
                <w:b/>
              </w:rPr>
              <w:t>Propiconazole</w:t>
            </w:r>
          </w:p>
        </w:tc>
        <w:tc>
          <w:tcPr>
            <w:tcW w:w="1721" w:type="dxa"/>
          </w:tcPr>
          <w:p w14:paraId="6F037119" w14:textId="77777777" w:rsidR="009D4550" w:rsidRPr="00275290" w:rsidRDefault="009D4550" w:rsidP="009D4550">
            <w:pPr>
              <w:rPr>
                <w:rFonts w:cs="Arial"/>
                <w:b/>
              </w:rPr>
            </w:pPr>
            <w:r w:rsidRPr="00275290">
              <w:rPr>
                <w:rFonts w:cs="Arial"/>
                <w:b/>
              </w:rPr>
              <w:t>IPBC</w:t>
            </w:r>
          </w:p>
        </w:tc>
      </w:tr>
      <w:tr w:rsidR="009D4550" w:rsidRPr="00275290" w14:paraId="25C42D7C" w14:textId="77777777" w:rsidTr="009D4550">
        <w:tc>
          <w:tcPr>
            <w:tcW w:w="2079" w:type="dxa"/>
            <w:shd w:val="clear" w:color="auto" w:fill="auto"/>
          </w:tcPr>
          <w:p w14:paraId="6ED607C8" w14:textId="77777777" w:rsidR="009D4550" w:rsidRPr="00275290" w:rsidRDefault="009D4550" w:rsidP="009D4550">
            <w:pPr>
              <w:rPr>
                <w:rFonts w:cs="Arial"/>
                <w:b/>
              </w:rPr>
            </w:pPr>
            <w:r w:rsidRPr="00275290">
              <w:rPr>
                <w:rFonts w:cs="Arial"/>
                <w:b/>
              </w:rPr>
              <w:t>General long term AEL</w:t>
            </w:r>
          </w:p>
        </w:tc>
        <w:tc>
          <w:tcPr>
            <w:tcW w:w="1983" w:type="dxa"/>
            <w:shd w:val="clear" w:color="auto" w:fill="auto"/>
          </w:tcPr>
          <w:p w14:paraId="23F564FD" w14:textId="77777777" w:rsidR="009D4550" w:rsidRPr="00275290" w:rsidRDefault="009D4550" w:rsidP="009D4550">
            <w:pPr>
              <w:rPr>
                <w:rFonts w:cs="Arial"/>
              </w:rPr>
            </w:pPr>
            <w:r w:rsidRPr="00275290">
              <w:rPr>
                <w:rFonts w:cs="Arial"/>
              </w:rPr>
              <w:t>0.022</w:t>
            </w:r>
          </w:p>
        </w:tc>
        <w:tc>
          <w:tcPr>
            <w:tcW w:w="2101" w:type="dxa"/>
            <w:shd w:val="clear" w:color="auto" w:fill="auto"/>
          </w:tcPr>
          <w:p w14:paraId="183015F4" w14:textId="77777777" w:rsidR="009D4550" w:rsidRPr="00275290" w:rsidRDefault="009D4550" w:rsidP="009D4550">
            <w:pPr>
              <w:rPr>
                <w:rFonts w:cs="Arial"/>
              </w:rPr>
            </w:pPr>
            <w:r w:rsidRPr="00275290">
              <w:rPr>
                <w:rFonts w:cs="Arial"/>
              </w:rPr>
              <w:t>0.03</w:t>
            </w:r>
          </w:p>
        </w:tc>
        <w:tc>
          <w:tcPr>
            <w:tcW w:w="2111" w:type="dxa"/>
            <w:shd w:val="clear" w:color="auto" w:fill="auto"/>
          </w:tcPr>
          <w:p w14:paraId="07C6F588" w14:textId="77777777" w:rsidR="009D4550" w:rsidRPr="00275290" w:rsidRDefault="009D4550" w:rsidP="009D4550">
            <w:pPr>
              <w:rPr>
                <w:rFonts w:cs="Arial"/>
              </w:rPr>
            </w:pPr>
            <w:r w:rsidRPr="00275290">
              <w:rPr>
                <w:rFonts w:cs="Arial"/>
              </w:rPr>
              <w:t>0.04</w:t>
            </w:r>
          </w:p>
        </w:tc>
        <w:tc>
          <w:tcPr>
            <w:tcW w:w="1721" w:type="dxa"/>
          </w:tcPr>
          <w:p w14:paraId="76C6053F" w14:textId="77777777" w:rsidR="009D4550" w:rsidRPr="00275290" w:rsidRDefault="009D4550" w:rsidP="009D4550">
            <w:pPr>
              <w:rPr>
                <w:rFonts w:cs="Arial"/>
              </w:rPr>
            </w:pPr>
            <w:r w:rsidRPr="00275290">
              <w:rPr>
                <w:rFonts w:cs="Arial"/>
              </w:rPr>
              <w:t>0.2</w:t>
            </w:r>
          </w:p>
        </w:tc>
      </w:tr>
      <w:tr w:rsidR="009D4550" w:rsidRPr="00275290" w14:paraId="4AF1626C" w14:textId="77777777" w:rsidTr="009D4550">
        <w:tc>
          <w:tcPr>
            <w:tcW w:w="2079" w:type="dxa"/>
            <w:shd w:val="clear" w:color="auto" w:fill="C6D9F1" w:themeFill="text2" w:themeFillTint="33"/>
          </w:tcPr>
          <w:p w14:paraId="7211C197" w14:textId="77777777" w:rsidR="009D4550" w:rsidRPr="00275290" w:rsidRDefault="009D4550" w:rsidP="009D4550">
            <w:pPr>
              <w:rPr>
                <w:rFonts w:cs="Arial"/>
                <w:b/>
              </w:rPr>
            </w:pPr>
            <w:r w:rsidRPr="00275290">
              <w:rPr>
                <w:rFonts w:cs="Arial"/>
                <w:b/>
              </w:rPr>
              <w:t>Specific AEL: liver</w:t>
            </w:r>
          </w:p>
        </w:tc>
        <w:tc>
          <w:tcPr>
            <w:tcW w:w="1983" w:type="dxa"/>
            <w:shd w:val="clear" w:color="auto" w:fill="C6D9F1" w:themeFill="text2" w:themeFillTint="33"/>
          </w:tcPr>
          <w:p w14:paraId="2E3CAC00" w14:textId="77777777" w:rsidR="009D4550" w:rsidRPr="00275290" w:rsidRDefault="009D4550" w:rsidP="009D4550">
            <w:pPr>
              <w:rPr>
                <w:rFonts w:cs="Arial"/>
              </w:rPr>
            </w:pPr>
            <w:r w:rsidRPr="00275290">
              <w:rPr>
                <w:rFonts w:cs="Arial"/>
              </w:rPr>
              <w:t>0.18</w:t>
            </w:r>
          </w:p>
        </w:tc>
        <w:tc>
          <w:tcPr>
            <w:tcW w:w="2101" w:type="dxa"/>
            <w:shd w:val="clear" w:color="auto" w:fill="C6D9F1" w:themeFill="text2" w:themeFillTint="33"/>
          </w:tcPr>
          <w:p w14:paraId="689F5670" w14:textId="77777777" w:rsidR="009D4550" w:rsidRPr="00275290" w:rsidRDefault="009D4550" w:rsidP="009D4550">
            <w:pPr>
              <w:rPr>
                <w:rFonts w:cs="Arial"/>
              </w:rPr>
            </w:pPr>
            <w:r w:rsidRPr="00275290">
              <w:rPr>
                <w:rFonts w:cs="Arial"/>
              </w:rPr>
              <w:t>0.06</w:t>
            </w:r>
          </w:p>
        </w:tc>
        <w:tc>
          <w:tcPr>
            <w:tcW w:w="2111" w:type="dxa"/>
            <w:shd w:val="clear" w:color="auto" w:fill="C6D9F1" w:themeFill="text2" w:themeFillTint="33"/>
          </w:tcPr>
          <w:p w14:paraId="43C3E9BE" w14:textId="77777777" w:rsidR="009D4550" w:rsidRPr="00275290" w:rsidRDefault="009D4550" w:rsidP="009D4550">
            <w:pPr>
              <w:rPr>
                <w:rFonts w:cs="Arial"/>
              </w:rPr>
            </w:pPr>
            <w:r w:rsidRPr="00275290">
              <w:rPr>
                <w:rFonts w:cs="Arial"/>
              </w:rPr>
              <w:t>0.08</w:t>
            </w:r>
          </w:p>
        </w:tc>
        <w:tc>
          <w:tcPr>
            <w:tcW w:w="1721" w:type="dxa"/>
            <w:shd w:val="clear" w:color="auto" w:fill="C6D9F1" w:themeFill="text2" w:themeFillTint="33"/>
          </w:tcPr>
          <w:p w14:paraId="4DEAFCCF" w14:textId="77777777" w:rsidR="009D4550" w:rsidRPr="00275290" w:rsidRDefault="009D4550" w:rsidP="009D4550">
            <w:pPr>
              <w:rPr>
                <w:rFonts w:cs="Arial"/>
              </w:rPr>
            </w:pPr>
            <w:r w:rsidRPr="00275290">
              <w:rPr>
                <w:rFonts w:cs="Arial"/>
              </w:rPr>
              <w:t>0.2</w:t>
            </w:r>
          </w:p>
        </w:tc>
      </w:tr>
      <w:tr w:rsidR="009D4550" w:rsidRPr="00275290" w14:paraId="5C84B459" w14:textId="77777777" w:rsidTr="009D4550">
        <w:tc>
          <w:tcPr>
            <w:tcW w:w="2079" w:type="dxa"/>
            <w:shd w:val="clear" w:color="auto" w:fill="C6D9F1" w:themeFill="text2" w:themeFillTint="33"/>
          </w:tcPr>
          <w:p w14:paraId="29599F2E" w14:textId="77777777" w:rsidR="009D4550" w:rsidRPr="00275290" w:rsidRDefault="009D4550" w:rsidP="009D4550">
            <w:pPr>
              <w:rPr>
                <w:rFonts w:cs="Arial"/>
                <w:b/>
              </w:rPr>
            </w:pPr>
            <w:r w:rsidRPr="00275290">
              <w:rPr>
                <w:rFonts w:cs="Arial"/>
                <w:b/>
              </w:rPr>
              <w:t>Specific AEL: kidney</w:t>
            </w:r>
          </w:p>
        </w:tc>
        <w:tc>
          <w:tcPr>
            <w:tcW w:w="1983" w:type="dxa"/>
            <w:shd w:val="clear" w:color="auto" w:fill="C6D9F1" w:themeFill="text2" w:themeFillTint="33"/>
          </w:tcPr>
          <w:p w14:paraId="6E3C684C" w14:textId="77777777" w:rsidR="009D4550" w:rsidRPr="00275290" w:rsidRDefault="009D4550" w:rsidP="009D4550">
            <w:pPr>
              <w:rPr>
                <w:rFonts w:cs="Arial"/>
              </w:rPr>
            </w:pPr>
            <w:r w:rsidRPr="00275290">
              <w:rPr>
                <w:rFonts w:cs="Arial"/>
              </w:rPr>
              <w:t>0.022</w:t>
            </w:r>
          </w:p>
        </w:tc>
        <w:tc>
          <w:tcPr>
            <w:tcW w:w="2101" w:type="dxa"/>
            <w:shd w:val="clear" w:color="auto" w:fill="C6D9F1" w:themeFill="text2" w:themeFillTint="33"/>
          </w:tcPr>
          <w:p w14:paraId="1E7A1B7B" w14:textId="77777777" w:rsidR="009D4550" w:rsidRPr="00275290" w:rsidRDefault="009D4550" w:rsidP="009D4550">
            <w:pPr>
              <w:rPr>
                <w:rFonts w:cs="Arial"/>
              </w:rPr>
            </w:pPr>
            <w:r w:rsidRPr="00275290">
              <w:rPr>
                <w:rFonts w:cs="Arial"/>
              </w:rPr>
              <w:t>-</w:t>
            </w:r>
          </w:p>
        </w:tc>
        <w:tc>
          <w:tcPr>
            <w:tcW w:w="2111" w:type="dxa"/>
            <w:shd w:val="clear" w:color="auto" w:fill="C6D9F1" w:themeFill="text2" w:themeFillTint="33"/>
          </w:tcPr>
          <w:p w14:paraId="4D7CF880" w14:textId="77777777" w:rsidR="009D4550" w:rsidRPr="00275290" w:rsidRDefault="009D4550" w:rsidP="009D4550">
            <w:pPr>
              <w:rPr>
                <w:rFonts w:cs="Arial"/>
              </w:rPr>
            </w:pPr>
            <w:r w:rsidRPr="00275290">
              <w:rPr>
                <w:rFonts w:cs="Arial"/>
              </w:rPr>
              <w:t>0.5</w:t>
            </w:r>
          </w:p>
        </w:tc>
        <w:tc>
          <w:tcPr>
            <w:tcW w:w="1721" w:type="dxa"/>
            <w:shd w:val="clear" w:color="auto" w:fill="C6D9F1" w:themeFill="text2" w:themeFillTint="33"/>
          </w:tcPr>
          <w:p w14:paraId="4E5636E4" w14:textId="77777777" w:rsidR="009D4550" w:rsidRPr="00275290" w:rsidRDefault="009D4550" w:rsidP="009D4550">
            <w:pPr>
              <w:rPr>
                <w:rFonts w:cs="Arial"/>
              </w:rPr>
            </w:pPr>
            <w:r w:rsidRPr="00275290">
              <w:rPr>
                <w:rFonts w:cs="Arial"/>
              </w:rPr>
              <w:t>0.35</w:t>
            </w:r>
          </w:p>
        </w:tc>
      </w:tr>
      <w:tr w:rsidR="009D4550" w:rsidRPr="00275290" w14:paraId="36E9FF66" w14:textId="77777777" w:rsidTr="009D4550">
        <w:tc>
          <w:tcPr>
            <w:tcW w:w="2079" w:type="dxa"/>
            <w:shd w:val="clear" w:color="auto" w:fill="C6D9F1" w:themeFill="text2" w:themeFillTint="33"/>
          </w:tcPr>
          <w:p w14:paraId="6A07AD45" w14:textId="77777777" w:rsidR="009D4550" w:rsidRPr="00275290" w:rsidRDefault="009D4550" w:rsidP="009D4550">
            <w:pPr>
              <w:rPr>
                <w:rFonts w:cs="Arial"/>
                <w:b/>
              </w:rPr>
            </w:pPr>
            <w:r w:rsidRPr="00275290">
              <w:rPr>
                <w:rFonts w:cs="Arial"/>
                <w:b/>
              </w:rPr>
              <w:t>Specific AEL: Hemato</w:t>
            </w:r>
          </w:p>
        </w:tc>
        <w:tc>
          <w:tcPr>
            <w:tcW w:w="1983" w:type="dxa"/>
            <w:shd w:val="clear" w:color="auto" w:fill="C6D9F1" w:themeFill="text2" w:themeFillTint="33"/>
          </w:tcPr>
          <w:p w14:paraId="438F2255" w14:textId="77777777" w:rsidR="009D4550" w:rsidRPr="00275290" w:rsidRDefault="009D4550" w:rsidP="009D4550">
            <w:pPr>
              <w:rPr>
                <w:rFonts w:cs="Arial"/>
              </w:rPr>
            </w:pPr>
            <w:r w:rsidRPr="00275290">
              <w:rPr>
                <w:rFonts w:cs="Arial"/>
              </w:rPr>
              <w:t>0.022</w:t>
            </w:r>
          </w:p>
        </w:tc>
        <w:tc>
          <w:tcPr>
            <w:tcW w:w="2101" w:type="dxa"/>
            <w:shd w:val="clear" w:color="auto" w:fill="C6D9F1" w:themeFill="text2" w:themeFillTint="33"/>
          </w:tcPr>
          <w:p w14:paraId="6524F0CA" w14:textId="77777777" w:rsidR="009D4550" w:rsidRPr="00275290" w:rsidRDefault="009D4550" w:rsidP="009D4550">
            <w:pPr>
              <w:rPr>
                <w:rFonts w:cs="Arial"/>
              </w:rPr>
            </w:pPr>
            <w:r w:rsidRPr="00275290">
              <w:rPr>
                <w:rFonts w:cs="Arial"/>
              </w:rPr>
              <w:t>0.3</w:t>
            </w:r>
          </w:p>
        </w:tc>
        <w:tc>
          <w:tcPr>
            <w:tcW w:w="2111" w:type="dxa"/>
            <w:shd w:val="clear" w:color="auto" w:fill="C6D9F1" w:themeFill="text2" w:themeFillTint="33"/>
          </w:tcPr>
          <w:p w14:paraId="55367463" w14:textId="77777777" w:rsidR="009D4550" w:rsidRPr="00275290" w:rsidRDefault="009D4550" w:rsidP="009D4550">
            <w:pPr>
              <w:rPr>
                <w:rFonts w:cs="Arial"/>
              </w:rPr>
            </w:pPr>
            <w:r w:rsidRPr="00275290">
              <w:rPr>
                <w:rFonts w:cs="Arial"/>
              </w:rPr>
              <w:t>0.761</w:t>
            </w:r>
          </w:p>
        </w:tc>
        <w:tc>
          <w:tcPr>
            <w:tcW w:w="1721" w:type="dxa"/>
            <w:shd w:val="clear" w:color="auto" w:fill="C6D9F1" w:themeFill="text2" w:themeFillTint="33"/>
          </w:tcPr>
          <w:p w14:paraId="251BCF3C" w14:textId="77777777" w:rsidR="009D4550" w:rsidRPr="00275290" w:rsidRDefault="009D4550" w:rsidP="009D4550">
            <w:pPr>
              <w:rPr>
                <w:rFonts w:cs="Arial"/>
              </w:rPr>
            </w:pPr>
          </w:p>
        </w:tc>
      </w:tr>
      <w:tr w:rsidR="009D4550" w:rsidRPr="00275290" w14:paraId="7DD8EAFE" w14:textId="77777777" w:rsidTr="009D4550">
        <w:tc>
          <w:tcPr>
            <w:tcW w:w="2079" w:type="dxa"/>
            <w:shd w:val="clear" w:color="auto" w:fill="C6D9F1" w:themeFill="text2" w:themeFillTint="33"/>
          </w:tcPr>
          <w:p w14:paraId="49F7B449" w14:textId="77777777" w:rsidR="009D4550" w:rsidRPr="00275290" w:rsidRDefault="009D4550" w:rsidP="009D4550">
            <w:pPr>
              <w:rPr>
                <w:rFonts w:cs="Arial"/>
                <w:b/>
              </w:rPr>
            </w:pPr>
            <w:r w:rsidRPr="00275290">
              <w:rPr>
                <w:rFonts w:cs="Arial"/>
                <w:b/>
              </w:rPr>
              <w:t>Specific AEL:  adrenals</w:t>
            </w:r>
          </w:p>
        </w:tc>
        <w:tc>
          <w:tcPr>
            <w:tcW w:w="1983" w:type="dxa"/>
            <w:shd w:val="clear" w:color="auto" w:fill="C6D9F1" w:themeFill="text2" w:themeFillTint="33"/>
          </w:tcPr>
          <w:p w14:paraId="3ECC3241" w14:textId="77777777" w:rsidR="009D4550" w:rsidRPr="00275290" w:rsidRDefault="009D4550" w:rsidP="009D4550">
            <w:pPr>
              <w:rPr>
                <w:rFonts w:cs="Arial"/>
              </w:rPr>
            </w:pPr>
          </w:p>
        </w:tc>
        <w:tc>
          <w:tcPr>
            <w:tcW w:w="2101" w:type="dxa"/>
            <w:shd w:val="clear" w:color="auto" w:fill="C6D9F1" w:themeFill="text2" w:themeFillTint="33"/>
          </w:tcPr>
          <w:p w14:paraId="3AB0CA5F" w14:textId="77777777" w:rsidR="009D4550" w:rsidRPr="00275290" w:rsidRDefault="009D4550" w:rsidP="009D4550">
            <w:pPr>
              <w:rPr>
                <w:rFonts w:cs="Arial"/>
              </w:rPr>
            </w:pPr>
            <w:r w:rsidRPr="00275290">
              <w:rPr>
                <w:rFonts w:cs="Arial"/>
              </w:rPr>
              <w:t>0.03</w:t>
            </w:r>
          </w:p>
        </w:tc>
        <w:tc>
          <w:tcPr>
            <w:tcW w:w="2111" w:type="dxa"/>
            <w:shd w:val="clear" w:color="auto" w:fill="C6D9F1" w:themeFill="text2" w:themeFillTint="33"/>
          </w:tcPr>
          <w:p w14:paraId="2B50616D" w14:textId="77777777" w:rsidR="009D4550" w:rsidRPr="00275290" w:rsidRDefault="009D4550" w:rsidP="009D4550">
            <w:pPr>
              <w:rPr>
                <w:rFonts w:cs="Arial"/>
              </w:rPr>
            </w:pPr>
            <w:r w:rsidRPr="00275290">
              <w:rPr>
                <w:rFonts w:cs="Arial"/>
              </w:rPr>
              <w:t>0.04</w:t>
            </w:r>
          </w:p>
        </w:tc>
        <w:tc>
          <w:tcPr>
            <w:tcW w:w="1721" w:type="dxa"/>
            <w:shd w:val="clear" w:color="auto" w:fill="C6D9F1" w:themeFill="text2" w:themeFillTint="33"/>
          </w:tcPr>
          <w:p w14:paraId="45B64DF1" w14:textId="77777777" w:rsidR="009D4550" w:rsidRPr="00275290" w:rsidRDefault="009D4550" w:rsidP="009D4550">
            <w:pPr>
              <w:rPr>
                <w:rFonts w:cs="Arial"/>
              </w:rPr>
            </w:pPr>
          </w:p>
        </w:tc>
      </w:tr>
      <w:tr w:rsidR="009D4550" w:rsidRPr="00275290" w14:paraId="3CB365A1" w14:textId="77777777" w:rsidTr="009D4550">
        <w:tc>
          <w:tcPr>
            <w:tcW w:w="2079" w:type="dxa"/>
            <w:shd w:val="clear" w:color="auto" w:fill="C6D9F1" w:themeFill="text2" w:themeFillTint="33"/>
          </w:tcPr>
          <w:p w14:paraId="05BC0751" w14:textId="77777777" w:rsidR="009D4550" w:rsidRPr="00275290" w:rsidRDefault="009D4550" w:rsidP="009D4550">
            <w:pPr>
              <w:rPr>
                <w:rFonts w:cs="Arial"/>
                <w:b/>
              </w:rPr>
            </w:pPr>
            <w:r w:rsidRPr="00275290">
              <w:rPr>
                <w:rFonts w:cs="Arial"/>
                <w:b/>
              </w:rPr>
              <w:t>Specific AEL:  lungs</w:t>
            </w:r>
          </w:p>
        </w:tc>
        <w:tc>
          <w:tcPr>
            <w:tcW w:w="1983" w:type="dxa"/>
            <w:shd w:val="clear" w:color="auto" w:fill="C6D9F1" w:themeFill="text2" w:themeFillTint="33"/>
          </w:tcPr>
          <w:p w14:paraId="1971576A" w14:textId="77777777" w:rsidR="009D4550" w:rsidRPr="00275290" w:rsidRDefault="009D4550" w:rsidP="009D4550">
            <w:pPr>
              <w:rPr>
                <w:rFonts w:cs="Arial"/>
              </w:rPr>
            </w:pPr>
            <w:r w:rsidRPr="00275290">
              <w:rPr>
                <w:rFonts w:cs="Arial"/>
              </w:rPr>
              <w:t>0.07</w:t>
            </w:r>
          </w:p>
        </w:tc>
        <w:tc>
          <w:tcPr>
            <w:tcW w:w="2101" w:type="dxa"/>
            <w:shd w:val="clear" w:color="auto" w:fill="C6D9F1" w:themeFill="text2" w:themeFillTint="33"/>
          </w:tcPr>
          <w:p w14:paraId="2C333EB2" w14:textId="77777777" w:rsidR="009D4550" w:rsidRPr="00275290" w:rsidRDefault="009D4550" w:rsidP="009D4550">
            <w:pPr>
              <w:rPr>
                <w:rFonts w:cs="Arial"/>
              </w:rPr>
            </w:pPr>
          </w:p>
        </w:tc>
        <w:tc>
          <w:tcPr>
            <w:tcW w:w="2111" w:type="dxa"/>
            <w:shd w:val="clear" w:color="auto" w:fill="C6D9F1" w:themeFill="text2" w:themeFillTint="33"/>
          </w:tcPr>
          <w:p w14:paraId="44F90D8D" w14:textId="77777777" w:rsidR="009D4550" w:rsidRPr="00275290" w:rsidRDefault="009D4550" w:rsidP="009D4550">
            <w:pPr>
              <w:rPr>
                <w:rFonts w:cs="Arial"/>
              </w:rPr>
            </w:pPr>
          </w:p>
        </w:tc>
        <w:tc>
          <w:tcPr>
            <w:tcW w:w="1721" w:type="dxa"/>
            <w:shd w:val="clear" w:color="auto" w:fill="C6D9F1" w:themeFill="text2" w:themeFillTint="33"/>
          </w:tcPr>
          <w:p w14:paraId="2189C0BA" w14:textId="77777777" w:rsidR="009D4550" w:rsidRPr="00275290" w:rsidRDefault="009D4550" w:rsidP="009D4550">
            <w:pPr>
              <w:rPr>
                <w:rFonts w:cs="Arial"/>
              </w:rPr>
            </w:pPr>
            <w:r w:rsidRPr="00275290">
              <w:rPr>
                <w:rFonts w:cs="Arial"/>
              </w:rPr>
              <w:t>0.2</w:t>
            </w:r>
          </w:p>
        </w:tc>
      </w:tr>
    </w:tbl>
    <w:p w14:paraId="494EA4F5" w14:textId="77777777" w:rsidR="009D4550" w:rsidRPr="00275290" w:rsidRDefault="009D4550" w:rsidP="009D4550">
      <w:pPr>
        <w:pStyle w:val="BfRBBStandard"/>
        <w:rPr>
          <w:rFonts w:ascii="Verdana" w:eastAsia="Times New Roman" w:hAnsi="Verdana"/>
          <w:sz w:val="20"/>
          <w:szCs w:val="20"/>
          <w:lang w:val="en-GB" w:eastAsia="sv-SE"/>
        </w:rPr>
      </w:pPr>
    </w:p>
    <w:p w14:paraId="326902A2" w14:textId="749A30A1" w:rsidR="00334B45" w:rsidRPr="00275290" w:rsidRDefault="00334B45" w:rsidP="00334B45">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comparison of the exposure values during the application </w:t>
      </w:r>
      <w:r>
        <w:rPr>
          <w:rFonts w:ascii="Verdana" w:eastAsia="Times New Roman" w:hAnsi="Verdana"/>
          <w:sz w:val="20"/>
          <w:szCs w:val="20"/>
          <w:lang w:val="en-GB" w:eastAsia="sv-SE"/>
        </w:rPr>
        <w:t xml:space="preserve">by spraying </w:t>
      </w:r>
      <w:r w:rsidRPr="00275290">
        <w:rPr>
          <w:rFonts w:ascii="Verdana" w:eastAsia="Times New Roman" w:hAnsi="Verdana"/>
          <w:sz w:val="20"/>
          <w:szCs w:val="20"/>
          <w:lang w:val="en-GB" w:eastAsia="sv-SE"/>
        </w:rPr>
        <w:t>and the cleaning with the specific AELs leads to the following results:</w:t>
      </w:r>
    </w:p>
    <w:p w14:paraId="0196D094" w14:textId="77777777" w:rsidR="00334B45" w:rsidRPr="00275290" w:rsidRDefault="00334B45" w:rsidP="00334B45">
      <w:pPr>
        <w:pStyle w:val="BfRBBStandard"/>
        <w:rPr>
          <w:rFonts w:ascii="Verdana" w:eastAsia="Times New Roman" w:hAnsi="Verdana"/>
          <w:sz w:val="20"/>
          <w:szCs w:val="20"/>
          <w:lang w:val="en-GB" w:eastAsia="sv-SE"/>
        </w:rPr>
      </w:pPr>
    </w:p>
    <w:tbl>
      <w:tblPr>
        <w:tblW w:w="9864" w:type="dxa"/>
        <w:tblInd w:w="55" w:type="dxa"/>
        <w:tblCellMar>
          <w:left w:w="70" w:type="dxa"/>
          <w:right w:w="70" w:type="dxa"/>
        </w:tblCellMar>
        <w:tblLook w:val="04A0" w:firstRow="1" w:lastRow="0" w:firstColumn="1" w:lastColumn="0" w:noHBand="0" w:noVBand="1"/>
      </w:tblPr>
      <w:tblGrid>
        <w:gridCol w:w="2425"/>
        <w:gridCol w:w="1936"/>
        <w:gridCol w:w="1721"/>
        <w:gridCol w:w="1681"/>
        <w:gridCol w:w="1108"/>
        <w:gridCol w:w="1108"/>
      </w:tblGrid>
      <w:tr w:rsidR="00334B45" w:rsidRPr="00275290" w14:paraId="2A60C0DC" w14:textId="77777777" w:rsidTr="002A2E88">
        <w:trPr>
          <w:gridAfter w:val="1"/>
          <w:wAfter w:w="1108" w:type="dxa"/>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C7B6F" w14:textId="77777777" w:rsidR="00334B45" w:rsidRPr="00275290" w:rsidRDefault="00334B45" w:rsidP="002A2E88">
            <w:pPr>
              <w:rPr>
                <w:rFonts w:cs="Arial"/>
                <w:color w:val="000000"/>
                <w:lang w:val="en-US" w:eastAsia="fr-FR"/>
              </w:rPr>
            </w:pPr>
            <w:r w:rsidRPr="00275290">
              <w:rPr>
                <w:rFonts w:cs="Arial"/>
                <w:color w:val="000000"/>
                <w:lang w:val="en-US" w:eastAsia="fr-FR"/>
              </w:rPr>
              <w:t> </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6CA8179B" w14:textId="77777777" w:rsidR="00334B45" w:rsidRPr="00275290" w:rsidRDefault="00334B45" w:rsidP="002A2E88">
            <w:pPr>
              <w:rPr>
                <w:rFonts w:cs="Arial"/>
                <w:color w:val="000000"/>
                <w:lang w:val="fr-FR" w:eastAsia="fr-FR"/>
              </w:rPr>
            </w:pPr>
            <w:r w:rsidRPr="00275290">
              <w:rPr>
                <w:rFonts w:cs="Arial"/>
                <w:b/>
              </w:rPr>
              <w:t>Cyperméthrine</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079E8930" w14:textId="77777777" w:rsidR="00334B45" w:rsidRPr="00275290" w:rsidRDefault="00334B45" w:rsidP="002A2E88">
            <w:pPr>
              <w:rPr>
                <w:rFonts w:cs="Arial"/>
                <w:color w:val="000000"/>
                <w:lang w:val="fr-FR" w:eastAsia="fr-FR"/>
              </w:rPr>
            </w:pPr>
            <w:r w:rsidRPr="00275290">
              <w:rPr>
                <w:rFonts w:cs="Arial"/>
                <w:b/>
              </w:rPr>
              <w:t>Propiconazole</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14:paraId="6801B97F" w14:textId="77777777" w:rsidR="00334B45" w:rsidRPr="00275290" w:rsidRDefault="00334B45" w:rsidP="002A2E88">
            <w:pPr>
              <w:rPr>
                <w:rFonts w:cs="Arial"/>
                <w:color w:val="000000"/>
                <w:lang w:val="fr-FR" w:eastAsia="fr-FR"/>
              </w:rPr>
            </w:pPr>
            <w:r w:rsidRPr="00275290">
              <w:rPr>
                <w:rFonts w:cs="Arial"/>
                <w:b/>
              </w:rPr>
              <w:t>Tébuconazole</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25362CC8" w14:textId="77777777" w:rsidR="00334B45" w:rsidRPr="00275290" w:rsidRDefault="00334B45" w:rsidP="002A2E88">
            <w:pPr>
              <w:rPr>
                <w:rFonts w:cs="Arial"/>
                <w:color w:val="000000"/>
                <w:lang w:val="fr-FR" w:eastAsia="fr-FR"/>
              </w:rPr>
            </w:pPr>
            <w:r w:rsidRPr="00275290">
              <w:rPr>
                <w:rFonts w:cs="Arial"/>
                <w:b/>
              </w:rPr>
              <w:t>IPBC</w:t>
            </w:r>
          </w:p>
        </w:tc>
      </w:tr>
      <w:tr w:rsidR="00334B45" w:rsidRPr="00275290" w14:paraId="19D0772E" w14:textId="77777777" w:rsidTr="002A2E88">
        <w:trPr>
          <w:trHeight w:val="315"/>
        </w:trPr>
        <w:tc>
          <w:tcPr>
            <w:tcW w:w="8756" w:type="dxa"/>
            <w:gridSpan w:val="5"/>
            <w:tcBorders>
              <w:top w:val="single" w:sz="4" w:space="0" w:color="auto"/>
              <w:left w:val="single" w:sz="4" w:space="0" w:color="auto"/>
              <w:bottom w:val="single" w:sz="4" w:space="0" w:color="auto"/>
              <w:right w:val="single" w:sz="4" w:space="0" w:color="auto"/>
            </w:tcBorders>
            <w:shd w:val="clear" w:color="000000" w:fill="F79646"/>
            <w:vAlign w:val="bottom"/>
            <w:hideMark/>
          </w:tcPr>
          <w:p w14:paraId="5CD38758" w14:textId="77777777" w:rsidR="00334B45" w:rsidRPr="00275290" w:rsidRDefault="00334B45" w:rsidP="002A2E88">
            <w:pPr>
              <w:rPr>
                <w:rFonts w:cs="Arial"/>
                <w:color w:val="000000"/>
                <w:lang w:val="en-US" w:eastAsia="fr-FR"/>
              </w:rPr>
            </w:pPr>
            <w:r w:rsidRPr="00275290">
              <w:rPr>
                <w:rFonts w:cs="Arial"/>
                <w:color w:val="000000"/>
                <w:lang w:val="en-US" w:eastAsia="fr-FR"/>
              </w:rPr>
              <w:t>combined exposure appli cleaning and residue</w:t>
            </w:r>
          </w:p>
        </w:tc>
        <w:tc>
          <w:tcPr>
            <w:tcW w:w="1108" w:type="dxa"/>
            <w:tcBorders>
              <w:top w:val="nil"/>
              <w:left w:val="nil"/>
              <w:bottom w:val="nil"/>
              <w:right w:val="nil"/>
            </w:tcBorders>
            <w:shd w:val="clear" w:color="auto" w:fill="auto"/>
            <w:noWrap/>
            <w:vAlign w:val="bottom"/>
            <w:hideMark/>
          </w:tcPr>
          <w:p w14:paraId="39FC297D" w14:textId="77777777" w:rsidR="00334B45" w:rsidRPr="00275290" w:rsidRDefault="00334B45" w:rsidP="002A2E88">
            <w:pPr>
              <w:rPr>
                <w:rFonts w:cs="Arial"/>
                <w:color w:val="000000"/>
                <w:lang w:val="en-US" w:eastAsia="fr-FR"/>
              </w:rPr>
            </w:pPr>
          </w:p>
        </w:tc>
      </w:tr>
      <w:tr w:rsidR="00334B45" w:rsidRPr="00275290" w14:paraId="6C97C534" w14:textId="77777777" w:rsidTr="002A2E8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D78E039" w14:textId="77777777" w:rsidR="00334B45" w:rsidRPr="00275290" w:rsidRDefault="00334B45" w:rsidP="002A2E88">
            <w:pPr>
              <w:rPr>
                <w:rFonts w:cs="Arial"/>
                <w:color w:val="000000"/>
                <w:lang w:val="en-US" w:eastAsia="fr-FR"/>
              </w:rPr>
            </w:pPr>
            <w:r w:rsidRPr="00275290">
              <w:rPr>
                <w:rFonts w:cs="Arial"/>
                <w:color w:val="000000"/>
                <w:lang w:val="en-US" w:eastAsia="fr-FR"/>
              </w:rPr>
              <w:t xml:space="preserve">Exposure </w:t>
            </w:r>
            <w:r w:rsidRPr="00275290">
              <w:rPr>
                <w:rFonts w:cs="Arial"/>
                <w:lang w:val="en-US"/>
              </w:rPr>
              <w:t>with gloves and impermeable coverall during spraying and gloves and coated coverall during cleaning</w:t>
            </w:r>
          </w:p>
        </w:tc>
        <w:tc>
          <w:tcPr>
            <w:tcW w:w="1936" w:type="dxa"/>
            <w:tcBorders>
              <w:top w:val="nil"/>
              <w:left w:val="nil"/>
              <w:bottom w:val="single" w:sz="4" w:space="0" w:color="auto"/>
              <w:right w:val="single" w:sz="4" w:space="0" w:color="auto"/>
            </w:tcBorders>
            <w:shd w:val="clear" w:color="auto" w:fill="auto"/>
            <w:noWrap/>
            <w:vAlign w:val="center"/>
            <w:hideMark/>
          </w:tcPr>
          <w:p w14:paraId="513ED39B" w14:textId="77777777" w:rsidR="00334B45" w:rsidRPr="002F3404" w:rsidRDefault="00334B45" w:rsidP="002A2E88">
            <w:pPr>
              <w:rPr>
                <w:rFonts w:cs="Calibri"/>
                <w:color w:val="000000"/>
              </w:rPr>
            </w:pPr>
            <w:r w:rsidRPr="002F3404">
              <w:rPr>
                <w:rFonts w:cs="Calibri"/>
                <w:color w:val="000000"/>
              </w:rPr>
              <w:t>1,04E-02</w:t>
            </w:r>
          </w:p>
          <w:p w14:paraId="7248C689" w14:textId="77777777" w:rsidR="00334B45" w:rsidRPr="00275290" w:rsidRDefault="00334B45" w:rsidP="002A2E88">
            <w:pPr>
              <w:rPr>
                <w:rFonts w:cs="Arial"/>
                <w:color w:val="000000"/>
                <w:lang w:val="fr-FR" w:eastAsia="fr-FR"/>
              </w:rPr>
            </w:pPr>
          </w:p>
        </w:tc>
        <w:tc>
          <w:tcPr>
            <w:tcW w:w="1663" w:type="dxa"/>
            <w:tcBorders>
              <w:top w:val="nil"/>
              <w:left w:val="nil"/>
              <w:bottom w:val="single" w:sz="4" w:space="0" w:color="auto"/>
              <w:right w:val="single" w:sz="4" w:space="0" w:color="auto"/>
            </w:tcBorders>
            <w:shd w:val="clear" w:color="auto" w:fill="auto"/>
            <w:noWrap/>
            <w:vAlign w:val="center"/>
          </w:tcPr>
          <w:p w14:paraId="6CF55ED1" w14:textId="77777777" w:rsidR="00334B45" w:rsidRPr="002F3404" w:rsidRDefault="00334B45" w:rsidP="002A2E88">
            <w:pPr>
              <w:rPr>
                <w:rFonts w:cs="Calibri"/>
                <w:color w:val="000000"/>
              </w:rPr>
            </w:pPr>
            <w:r w:rsidRPr="002F3404">
              <w:rPr>
                <w:rFonts w:cs="Calibri"/>
                <w:color w:val="000000"/>
              </w:rPr>
              <w:t>1,61E-02</w:t>
            </w:r>
          </w:p>
          <w:p w14:paraId="1C436B18" w14:textId="77777777" w:rsidR="00334B45" w:rsidRPr="00275290" w:rsidRDefault="00334B45" w:rsidP="002A2E88">
            <w:pPr>
              <w:rPr>
                <w:rFonts w:cs="Arial"/>
                <w:color w:val="000000"/>
                <w:lang w:val="fr-FR" w:eastAsia="fr-FR"/>
              </w:rPr>
            </w:pPr>
          </w:p>
        </w:tc>
        <w:tc>
          <w:tcPr>
            <w:tcW w:w="1624" w:type="dxa"/>
            <w:tcBorders>
              <w:top w:val="nil"/>
              <w:left w:val="nil"/>
              <w:bottom w:val="single" w:sz="4" w:space="0" w:color="auto"/>
              <w:right w:val="single" w:sz="4" w:space="0" w:color="auto"/>
            </w:tcBorders>
            <w:shd w:val="clear" w:color="auto" w:fill="auto"/>
            <w:noWrap/>
            <w:vAlign w:val="center"/>
          </w:tcPr>
          <w:p w14:paraId="6170323C" w14:textId="77777777" w:rsidR="00334B45" w:rsidRPr="002F3404" w:rsidRDefault="00334B45" w:rsidP="002A2E88">
            <w:pPr>
              <w:rPr>
                <w:rFonts w:cs="Calibri"/>
                <w:color w:val="000000"/>
              </w:rPr>
            </w:pPr>
            <w:r>
              <w:rPr>
                <w:rFonts w:cs="Calibri"/>
                <w:color w:val="000000"/>
              </w:rPr>
              <w:t>5.75</w:t>
            </w:r>
            <w:r w:rsidRPr="002F3404">
              <w:rPr>
                <w:rFonts w:cs="Calibri"/>
                <w:color w:val="000000"/>
              </w:rPr>
              <w:t>E-03</w:t>
            </w:r>
          </w:p>
          <w:p w14:paraId="284422AE"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single" w:sz="4" w:space="0" w:color="auto"/>
            </w:tcBorders>
            <w:shd w:val="clear" w:color="auto" w:fill="auto"/>
            <w:noWrap/>
            <w:vAlign w:val="center"/>
          </w:tcPr>
          <w:p w14:paraId="58F342DA" w14:textId="77777777" w:rsidR="00334B45" w:rsidRPr="00275290" w:rsidRDefault="00334B45" w:rsidP="002A2E88">
            <w:pPr>
              <w:rPr>
                <w:rFonts w:cs="Arial"/>
                <w:color w:val="000000"/>
                <w:lang w:val="fr-FR" w:eastAsia="fr-FR"/>
              </w:rPr>
            </w:pPr>
            <w:r w:rsidRPr="002F3404">
              <w:rPr>
                <w:rFonts w:cs="Calibri"/>
                <w:color w:val="000000"/>
              </w:rPr>
              <w:t>1.23E-02</w:t>
            </w:r>
          </w:p>
        </w:tc>
        <w:tc>
          <w:tcPr>
            <w:tcW w:w="1108" w:type="dxa"/>
            <w:tcBorders>
              <w:top w:val="nil"/>
              <w:left w:val="nil"/>
              <w:bottom w:val="nil"/>
              <w:right w:val="nil"/>
            </w:tcBorders>
            <w:shd w:val="clear" w:color="auto" w:fill="auto"/>
            <w:noWrap/>
            <w:vAlign w:val="bottom"/>
            <w:hideMark/>
          </w:tcPr>
          <w:p w14:paraId="075896A4" w14:textId="77777777" w:rsidR="00334B45" w:rsidRPr="00275290" w:rsidRDefault="00334B45" w:rsidP="002A2E88">
            <w:pPr>
              <w:rPr>
                <w:rFonts w:cs="Arial"/>
                <w:color w:val="000000"/>
                <w:lang w:val="fr-FR" w:eastAsia="fr-FR"/>
              </w:rPr>
            </w:pPr>
          </w:p>
        </w:tc>
      </w:tr>
      <w:tr w:rsidR="00334B45" w:rsidRPr="00275290" w14:paraId="73520366" w14:textId="77777777" w:rsidTr="002A2E88">
        <w:trPr>
          <w:trHeight w:val="300"/>
        </w:trPr>
        <w:tc>
          <w:tcPr>
            <w:tcW w:w="2425" w:type="dxa"/>
            <w:tcBorders>
              <w:top w:val="nil"/>
              <w:left w:val="nil"/>
              <w:bottom w:val="single" w:sz="4" w:space="0" w:color="auto"/>
              <w:right w:val="nil"/>
            </w:tcBorders>
            <w:shd w:val="clear" w:color="auto" w:fill="auto"/>
            <w:noWrap/>
            <w:vAlign w:val="bottom"/>
            <w:hideMark/>
          </w:tcPr>
          <w:p w14:paraId="15753B81" w14:textId="77777777" w:rsidR="00334B45" w:rsidRPr="00275290" w:rsidRDefault="00334B45" w:rsidP="002A2E88">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4D786EA6" w14:textId="77777777" w:rsidR="00334B45" w:rsidRPr="00275290" w:rsidRDefault="00334B45" w:rsidP="002A2E88">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2039A548" w14:textId="77777777" w:rsidR="00334B45" w:rsidRPr="00275290" w:rsidRDefault="00334B45" w:rsidP="002A2E88">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5E867FDD"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68E430C7"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153026ED" w14:textId="77777777" w:rsidR="00334B45" w:rsidRPr="00275290" w:rsidRDefault="00334B45" w:rsidP="002A2E88">
            <w:pPr>
              <w:rPr>
                <w:rFonts w:cs="Arial"/>
                <w:color w:val="000000"/>
                <w:lang w:val="fr-FR" w:eastAsia="fr-FR"/>
              </w:rPr>
            </w:pPr>
          </w:p>
        </w:tc>
      </w:tr>
      <w:tr w:rsidR="00334B45" w:rsidRPr="00275290" w14:paraId="3B82AB9A" w14:textId="77777777" w:rsidTr="002A2E88">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94DD3" w14:textId="77777777" w:rsidR="00334B45" w:rsidRPr="00275290" w:rsidRDefault="00334B45" w:rsidP="002A2E88">
            <w:pPr>
              <w:rPr>
                <w:rFonts w:cs="Arial"/>
                <w:color w:val="000000"/>
                <w:lang w:val="fr-FR" w:eastAsia="fr-FR"/>
              </w:rPr>
            </w:pPr>
            <w:r w:rsidRPr="00275290">
              <w:rPr>
                <w:rFonts w:cs="Arial"/>
                <w:color w:val="000000"/>
                <w:lang w:val="fr-FR" w:eastAsia="fr-FR"/>
              </w:rPr>
              <w:t>AEL liver</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790B7589" w14:textId="77777777" w:rsidR="00334B45" w:rsidRPr="00275290" w:rsidRDefault="00334B45" w:rsidP="002A2E88">
            <w:pPr>
              <w:rPr>
                <w:rFonts w:cs="Arial"/>
                <w:lang w:val="fr-FR" w:eastAsia="fr-FR"/>
              </w:rPr>
            </w:pPr>
            <w:r>
              <w:rPr>
                <w:rFonts w:cs="Calibri"/>
                <w:color w:val="000000"/>
              </w:rPr>
              <w:t>0.18</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47A8F976" w14:textId="77777777" w:rsidR="00334B45" w:rsidRPr="00275290" w:rsidRDefault="00334B45" w:rsidP="002A2E88">
            <w:pPr>
              <w:rPr>
                <w:rFonts w:cs="Arial"/>
                <w:lang w:val="fr-FR" w:eastAsia="fr-FR"/>
              </w:rPr>
            </w:pPr>
            <w:r>
              <w:rPr>
                <w:rFonts w:cs="Calibri"/>
                <w:color w:val="000000"/>
              </w:rPr>
              <w:t>0.08</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387704E6" w14:textId="77777777" w:rsidR="00334B45" w:rsidRPr="00275290" w:rsidRDefault="00334B45" w:rsidP="002A2E88">
            <w:pPr>
              <w:rPr>
                <w:rFonts w:cs="Arial"/>
                <w:lang w:val="fr-FR" w:eastAsia="fr-FR"/>
              </w:rPr>
            </w:pPr>
            <w:r>
              <w:rPr>
                <w:rFonts w:cs="Calibri"/>
                <w:color w:val="000000"/>
              </w:rPr>
              <w:t>0.06</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4903CE03" w14:textId="77777777" w:rsidR="00334B45" w:rsidRPr="00275290" w:rsidRDefault="00334B45" w:rsidP="002A2E88">
            <w:pPr>
              <w:rPr>
                <w:rFonts w:cs="Arial"/>
                <w:lang w:val="fr-FR" w:eastAsia="fr-FR"/>
              </w:rPr>
            </w:pPr>
            <w:r>
              <w:rPr>
                <w:rFonts w:cs="Calibri"/>
                <w:color w:val="000000"/>
              </w:rPr>
              <w:t>0.2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3203167E" w14:textId="77777777" w:rsidR="00334B45" w:rsidRPr="00275290" w:rsidRDefault="00334B45" w:rsidP="002A2E88">
            <w:pPr>
              <w:rPr>
                <w:rFonts w:cs="Arial"/>
                <w:b/>
                <w:color w:val="000000"/>
                <w:lang w:val="fr-FR" w:eastAsia="fr-FR"/>
              </w:rPr>
            </w:pPr>
            <w:r w:rsidRPr="00275290">
              <w:rPr>
                <w:rFonts w:cs="Arial"/>
                <w:b/>
                <w:color w:val="000000"/>
                <w:lang w:val="fr-FR" w:eastAsia="fr-FR"/>
              </w:rPr>
              <w:t>HI</w:t>
            </w:r>
          </w:p>
        </w:tc>
      </w:tr>
      <w:tr w:rsidR="00334B45" w:rsidRPr="00275290" w14:paraId="31FD89AA" w14:textId="77777777" w:rsidTr="002A2E8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EFE05E5" w14:textId="77777777" w:rsidR="00334B45" w:rsidRPr="00275290" w:rsidRDefault="00334B45" w:rsidP="002A2E88">
            <w:pPr>
              <w:rPr>
                <w:rFonts w:cs="Arial"/>
                <w:color w:val="000000"/>
                <w:lang w:val="fr-FR" w:eastAsia="fr-FR"/>
              </w:rPr>
            </w:pPr>
            <w:r w:rsidRPr="00275290">
              <w:rPr>
                <w:rFonts w:cs="Arial"/>
                <w:color w:val="000000"/>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1234D898" w14:textId="77777777" w:rsidR="00334B45" w:rsidRPr="00275290" w:rsidRDefault="00334B45" w:rsidP="002A2E88">
            <w:pPr>
              <w:rPr>
                <w:rFonts w:cs="Arial"/>
                <w:color w:val="000000"/>
                <w:lang w:val="fr-FR" w:eastAsia="fr-FR"/>
              </w:rPr>
            </w:pPr>
            <w:r>
              <w:rPr>
                <w:rFonts w:cs="Calibri"/>
                <w:color w:val="000000"/>
              </w:rPr>
              <w:t>6%</w:t>
            </w:r>
          </w:p>
        </w:tc>
        <w:tc>
          <w:tcPr>
            <w:tcW w:w="1663" w:type="dxa"/>
            <w:tcBorders>
              <w:top w:val="nil"/>
              <w:left w:val="nil"/>
              <w:bottom w:val="single" w:sz="4" w:space="0" w:color="auto"/>
              <w:right w:val="single" w:sz="4" w:space="0" w:color="auto"/>
            </w:tcBorders>
            <w:shd w:val="clear" w:color="auto" w:fill="auto"/>
            <w:noWrap/>
            <w:vAlign w:val="center"/>
            <w:hideMark/>
          </w:tcPr>
          <w:p w14:paraId="1065EDC1" w14:textId="77777777" w:rsidR="00334B45" w:rsidRPr="00275290" w:rsidRDefault="00334B45" w:rsidP="002A2E88">
            <w:pPr>
              <w:rPr>
                <w:rFonts w:cs="Arial"/>
                <w:color w:val="000000"/>
                <w:lang w:val="fr-FR" w:eastAsia="fr-FR"/>
              </w:rPr>
            </w:pPr>
            <w:r>
              <w:rPr>
                <w:rFonts w:cs="Calibri"/>
                <w:color w:val="000000"/>
              </w:rPr>
              <w:t>20%</w:t>
            </w:r>
          </w:p>
        </w:tc>
        <w:tc>
          <w:tcPr>
            <w:tcW w:w="1624" w:type="dxa"/>
            <w:tcBorders>
              <w:top w:val="nil"/>
              <w:left w:val="nil"/>
              <w:bottom w:val="single" w:sz="4" w:space="0" w:color="auto"/>
              <w:right w:val="single" w:sz="4" w:space="0" w:color="auto"/>
            </w:tcBorders>
            <w:shd w:val="clear" w:color="auto" w:fill="auto"/>
            <w:noWrap/>
            <w:vAlign w:val="center"/>
            <w:hideMark/>
          </w:tcPr>
          <w:p w14:paraId="315EB0DF" w14:textId="77777777" w:rsidR="00334B45" w:rsidRPr="00275290" w:rsidRDefault="00334B45" w:rsidP="002A2E88">
            <w:pPr>
              <w:rPr>
                <w:rFonts w:cs="Arial"/>
                <w:color w:val="000000"/>
                <w:lang w:val="fr-FR" w:eastAsia="fr-FR"/>
              </w:rPr>
            </w:pPr>
            <w:r>
              <w:rPr>
                <w:rFonts w:cs="Calibri"/>
                <w:color w:val="000000"/>
              </w:rPr>
              <w:t>10%</w:t>
            </w:r>
          </w:p>
        </w:tc>
        <w:tc>
          <w:tcPr>
            <w:tcW w:w="1108" w:type="dxa"/>
            <w:tcBorders>
              <w:top w:val="nil"/>
              <w:left w:val="nil"/>
              <w:bottom w:val="single" w:sz="4" w:space="0" w:color="auto"/>
              <w:right w:val="single" w:sz="4" w:space="0" w:color="auto"/>
            </w:tcBorders>
            <w:shd w:val="clear" w:color="auto" w:fill="auto"/>
            <w:noWrap/>
            <w:vAlign w:val="center"/>
            <w:hideMark/>
          </w:tcPr>
          <w:p w14:paraId="18B437DA" w14:textId="77777777" w:rsidR="00334B45" w:rsidRPr="00275290" w:rsidRDefault="00334B45" w:rsidP="002A2E88">
            <w:pPr>
              <w:rPr>
                <w:rFonts w:cs="Arial"/>
                <w:color w:val="000000"/>
                <w:lang w:val="fr-FR" w:eastAsia="fr-FR"/>
              </w:rPr>
            </w:pPr>
            <w:r>
              <w:rPr>
                <w:rFonts w:cs="Calibri"/>
                <w:color w:val="000000"/>
              </w:rPr>
              <w:t>6%</w:t>
            </w:r>
          </w:p>
        </w:tc>
        <w:tc>
          <w:tcPr>
            <w:tcW w:w="1108" w:type="dxa"/>
            <w:tcBorders>
              <w:top w:val="nil"/>
              <w:left w:val="nil"/>
              <w:bottom w:val="single" w:sz="4" w:space="0" w:color="auto"/>
              <w:right w:val="single" w:sz="4" w:space="0" w:color="auto"/>
            </w:tcBorders>
            <w:shd w:val="clear" w:color="auto" w:fill="auto"/>
            <w:noWrap/>
            <w:vAlign w:val="bottom"/>
            <w:hideMark/>
          </w:tcPr>
          <w:p w14:paraId="54CF5BB1" w14:textId="77777777" w:rsidR="00334B45" w:rsidRPr="00275290" w:rsidRDefault="00334B45" w:rsidP="002A2E88">
            <w:pPr>
              <w:rPr>
                <w:rFonts w:cs="Arial"/>
                <w:b/>
                <w:color w:val="000000"/>
                <w:lang w:val="fr-FR" w:eastAsia="fr-FR"/>
              </w:rPr>
            </w:pPr>
            <w:r w:rsidRPr="00275290">
              <w:rPr>
                <w:rFonts w:cs="Arial"/>
                <w:b/>
                <w:color w:val="000000"/>
                <w:lang w:val="fr-FR" w:eastAsia="fr-FR"/>
              </w:rPr>
              <w:t>0.</w:t>
            </w:r>
            <w:r>
              <w:rPr>
                <w:rFonts w:cs="Arial"/>
                <w:b/>
                <w:color w:val="000000"/>
                <w:lang w:val="fr-FR" w:eastAsia="fr-FR"/>
              </w:rPr>
              <w:t>42</w:t>
            </w:r>
          </w:p>
        </w:tc>
      </w:tr>
      <w:tr w:rsidR="00334B45" w:rsidRPr="00275290" w14:paraId="4AB38623" w14:textId="77777777" w:rsidTr="002A2E88">
        <w:trPr>
          <w:trHeight w:val="315"/>
        </w:trPr>
        <w:tc>
          <w:tcPr>
            <w:tcW w:w="2425" w:type="dxa"/>
            <w:tcBorders>
              <w:top w:val="nil"/>
              <w:left w:val="nil"/>
              <w:bottom w:val="single" w:sz="4" w:space="0" w:color="auto"/>
              <w:right w:val="nil"/>
            </w:tcBorders>
            <w:shd w:val="clear" w:color="auto" w:fill="auto"/>
            <w:noWrap/>
            <w:vAlign w:val="bottom"/>
            <w:hideMark/>
          </w:tcPr>
          <w:p w14:paraId="66971BF7" w14:textId="77777777" w:rsidR="00334B45" w:rsidRPr="00275290" w:rsidRDefault="00334B45" w:rsidP="002A2E88">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4E18D16F" w14:textId="77777777" w:rsidR="00334B45" w:rsidRPr="00275290" w:rsidRDefault="00334B45" w:rsidP="002A2E88">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29276F16" w14:textId="77777777" w:rsidR="00334B45" w:rsidRPr="00275290" w:rsidRDefault="00334B45" w:rsidP="002A2E88">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68DD57B6"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0E7ACE37"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1845D971" w14:textId="77777777" w:rsidR="00334B45" w:rsidRPr="00275290" w:rsidRDefault="00334B45" w:rsidP="002A2E88">
            <w:pPr>
              <w:rPr>
                <w:rFonts w:cs="Arial"/>
                <w:b/>
                <w:color w:val="000000"/>
                <w:lang w:val="fr-FR" w:eastAsia="fr-FR"/>
              </w:rPr>
            </w:pPr>
          </w:p>
        </w:tc>
      </w:tr>
      <w:tr w:rsidR="00334B45" w:rsidRPr="00275290" w14:paraId="6BFC5C7C" w14:textId="77777777" w:rsidTr="002A2E88">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DCE7F" w14:textId="77777777" w:rsidR="00334B45" w:rsidRPr="00275290" w:rsidRDefault="00334B45" w:rsidP="002A2E88">
            <w:pPr>
              <w:rPr>
                <w:rFonts w:cs="Arial"/>
                <w:lang w:val="fr-FR" w:eastAsia="fr-FR"/>
              </w:rPr>
            </w:pPr>
            <w:r w:rsidRPr="00275290">
              <w:rPr>
                <w:rFonts w:cs="Arial"/>
                <w:lang w:val="fr-FR" w:eastAsia="fr-FR"/>
              </w:rPr>
              <w:t>AEL kidney</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4C57B98C" w14:textId="77777777" w:rsidR="00334B45" w:rsidRPr="00275290" w:rsidRDefault="00334B45" w:rsidP="002A2E88">
            <w:pPr>
              <w:rPr>
                <w:rFonts w:cs="Arial"/>
                <w:lang w:val="fr-FR" w:eastAsia="fr-FR"/>
              </w:rPr>
            </w:pPr>
            <w:r>
              <w:rPr>
                <w:rFonts w:cs="Calibri"/>
                <w:color w:val="000000"/>
              </w:rPr>
              <w:t>0.022</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5C7620C6" w14:textId="77777777" w:rsidR="00334B45" w:rsidRPr="00275290" w:rsidRDefault="00334B45" w:rsidP="002A2E88">
            <w:pPr>
              <w:rPr>
                <w:rFonts w:cs="Arial"/>
                <w:lang w:val="fr-FR" w:eastAsia="fr-FR"/>
              </w:rPr>
            </w:pPr>
            <w:r>
              <w:rPr>
                <w:rFonts w:cs="Calibri"/>
                <w:color w:val="000000"/>
              </w:rPr>
              <w:t>0.5</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3AD441DE" w14:textId="77777777" w:rsidR="00334B45" w:rsidRPr="00275290" w:rsidRDefault="00334B45" w:rsidP="002A2E88">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7BEFB7BD" w14:textId="77777777" w:rsidR="00334B45" w:rsidRPr="00275290" w:rsidRDefault="00334B45" w:rsidP="002A2E88">
            <w:pPr>
              <w:rPr>
                <w:rFonts w:cs="Arial"/>
                <w:lang w:val="fr-FR" w:eastAsia="fr-FR"/>
              </w:rPr>
            </w:pPr>
            <w:r>
              <w:rPr>
                <w:rFonts w:cs="Calibri"/>
                <w:color w:val="000000"/>
              </w:rPr>
              <w:t>0.35</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3668C28D" w14:textId="77777777" w:rsidR="00334B45" w:rsidRPr="00275290" w:rsidRDefault="00334B45" w:rsidP="002A2E88">
            <w:pPr>
              <w:rPr>
                <w:rFonts w:cs="Arial"/>
                <w:b/>
                <w:lang w:val="fr-FR" w:eastAsia="fr-FR"/>
              </w:rPr>
            </w:pPr>
          </w:p>
        </w:tc>
      </w:tr>
      <w:tr w:rsidR="00334B45" w:rsidRPr="00275290" w14:paraId="09B028F2" w14:textId="77777777" w:rsidTr="002A2E8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B74E2E7" w14:textId="77777777" w:rsidR="00334B45" w:rsidRPr="00275290" w:rsidRDefault="00334B45" w:rsidP="002A2E88">
            <w:pPr>
              <w:rPr>
                <w:rFonts w:cs="Arial"/>
                <w:lang w:val="fr-FR" w:eastAsia="fr-FR"/>
              </w:rPr>
            </w:pPr>
            <w:r w:rsidRPr="00275290">
              <w:rPr>
                <w:rFonts w:cs="Arial"/>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5E319A4C" w14:textId="77777777" w:rsidR="00334B45" w:rsidRPr="00275290" w:rsidRDefault="00334B45" w:rsidP="002A2E88">
            <w:pPr>
              <w:rPr>
                <w:rFonts w:cs="Arial"/>
                <w:lang w:val="fr-FR" w:eastAsia="fr-FR"/>
              </w:rPr>
            </w:pPr>
            <w:r>
              <w:rPr>
                <w:rFonts w:cs="Calibri"/>
                <w:color w:val="000000"/>
              </w:rPr>
              <w:t>47%</w:t>
            </w:r>
          </w:p>
        </w:tc>
        <w:tc>
          <w:tcPr>
            <w:tcW w:w="1663" w:type="dxa"/>
            <w:tcBorders>
              <w:top w:val="nil"/>
              <w:left w:val="nil"/>
              <w:bottom w:val="single" w:sz="4" w:space="0" w:color="auto"/>
              <w:right w:val="single" w:sz="4" w:space="0" w:color="auto"/>
            </w:tcBorders>
            <w:shd w:val="clear" w:color="auto" w:fill="auto"/>
            <w:noWrap/>
            <w:vAlign w:val="center"/>
            <w:hideMark/>
          </w:tcPr>
          <w:p w14:paraId="2FF94268" w14:textId="77777777" w:rsidR="00334B45" w:rsidRPr="00275290" w:rsidRDefault="00334B45" w:rsidP="002A2E88">
            <w:pPr>
              <w:rPr>
                <w:rFonts w:cs="Arial"/>
                <w:lang w:val="fr-FR" w:eastAsia="fr-FR"/>
              </w:rPr>
            </w:pPr>
            <w:r>
              <w:rPr>
                <w:rFonts w:cs="Calibri"/>
                <w:color w:val="000000"/>
              </w:rPr>
              <w:t>3%</w:t>
            </w:r>
          </w:p>
        </w:tc>
        <w:tc>
          <w:tcPr>
            <w:tcW w:w="1624" w:type="dxa"/>
            <w:tcBorders>
              <w:top w:val="nil"/>
              <w:left w:val="nil"/>
              <w:bottom w:val="single" w:sz="4" w:space="0" w:color="auto"/>
              <w:right w:val="single" w:sz="4" w:space="0" w:color="auto"/>
            </w:tcBorders>
            <w:shd w:val="clear" w:color="auto" w:fill="auto"/>
            <w:noWrap/>
            <w:vAlign w:val="center"/>
            <w:hideMark/>
          </w:tcPr>
          <w:p w14:paraId="08755FBC" w14:textId="77777777" w:rsidR="00334B45" w:rsidRPr="00275290" w:rsidRDefault="00334B45" w:rsidP="002A2E88">
            <w:pPr>
              <w:rPr>
                <w:rFonts w:cs="Arial"/>
                <w:lang w:val="fr-FR" w:eastAsia="fr-FR"/>
              </w:rPr>
            </w:pPr>
            <w:r>
              <w:rPr>
                <w:rFonts w:cs="Calibri"/>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14:paraId="19E65B82" w14:textId="77777777" w:rsidR="00334B45" w:rsidRPr="00275290" w:rsidRDefault="00334B45" w:rsidP="002A2E88">
            <w:pPr>
              <w:rPr>
                <w:rFonts w:cs="Arial"/>
                <w:lang w:val="fr-FR" w:eastAsia="fr-FR"/>
              </w:rPr>
            </w:pPr>
            <w:r>
              <w:rPr>
                <w:rFonts w:cs="Calibri"/>
                <w:color w:val="000000"/>
              </w:rPr>
              <w:t>4%</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35514426" w14:textId="77777777" w:rsidR="00334B45" w:rsidRPr="00275290" w:rsidRDefault="00334B45" w:rsidP="002A2E88">
            <w:pPr>
              <w:rPr>
                <w:rFonts w:cs="Arial"/>
                <w:b/>
                <w:lang w:val="fr-FR" w:eastAsia="fr-FR"/>
              </w:rPr>
            </w:pPr>
            <w:r>
              <w:rPr>
                <w:rFonts w:cs="Arial"/>
                <w:b/>
                <w:lang w:val="fr-FR" w:eastAsia="fr-FR"/>
              </w:rPr>
              <w:t>0.54</w:t>
            </w:r>
          </w:p>
        </w:tc>
      </w:tr>
      <w:tr w:rsidR="00334B45" w:rsidRPr="00275290" w14:paraId="746E1D89" w14:textId="77777777" w:rsidTr="002A2E88">
        <w:trPr>
          <w:trHeight w:val="315"/>
        </w:trPr>
        <w:tc>
          <w:tcPr>
            <w:tcW w:w="2425" w:type="dxa"/>
            <w:tcBorders>
              <w:top w:val="nil"/>
              <w:left w:val="nil"/>
              <w:bottom w:val="single" w:sz="4" w:space="0" w:color="auto"/>
              <w:right w:val="nil"/>
            </w:tcBorders>
            <w:shd w:val="clear" w:color="auto" w:fill="auto"/>
            <w:noWrap/>
            <w:vAlign w:val="bottom"/>
            <w:hideMark/>
          </w:tcPr>
          <w:p w14:paraId="461F75CD" w14:textId="77777777" w:rsidR="00334B45" w:rsidRPr="00275290" w:rsidRDefault="00334B45" w:rsidP="002A2E88">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3FF7018E" w14:textId="77777777" w:rsidR="00334B45" w:rsidRPr="00275290" w:rsidRDefault="00334B45" w:rsidP="002A2E88">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02037464" w14:textId="77777777" w:rsidR="00334B45" w:rsidRPr="00275290" w:rsidRDefault="00334B45" w:rsidP="002A2E88">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5994BE99"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3A60DC1C" w14:textId="77777777" w:rsidR="00334B45" w:rsidRPr="00275290" w:rsidRDefault="00334B45" w:rsidP="002A2E88">
            <w:pPr>
              <w:rPr>
                <w:rFonts w:cs="Arial"/>
                <w:color w:val="000000"/>
                <w:lang w:val="fr-FR" w:eastAsia="fr-FR"/>
              </w:rPr>
            </w:pPr>
          </w:p>
        </w:tc>
        <w:tc>
          <w:tcPr>
            <w:tcW w:w="1108" w:type="dxa"/>
            <w:tcBorders>
              <w:top w:val="single" w:sz="4" w:space="0" w:color="auto"/>
              <w:left w:val="nil"/>
              <w:bottom w:val="single" w:sz="4" w:space="0" w:color="auto"/>
              <w:right w:val="nil"/>
            </w:tcBorders>
            <w:shd w:val="clear" w:color="auto" w:fill="auto"/>
            <w:noWrap/>
            <w:vAlign w:val="bottom"/>
            <w:hideMark/>
          </w:tcPr>
          <w:p w14:paraId="30E8F790" w14:textId="77777777" w:rsidR="00334B45" w:rsidRPr="00275290" w:rsidRDefault="00334B45" w:rsidP="002A2E88">
            <w:pPr>
              <w:rPr>
                <w:rFonts w:cs="Arial"/>
                <w:b/>
                <w:color w:val="000000"/>
                <w:lang w:val="fr-FR" w:eastAsia="fr-FR"/>
              </w:rPr>
            </w:pPr>
          </w:p>
        </w:tc>
      </w:tr>
      <w:tr w:rsidR="00334B45" w:rsidRPr="00275290" w14:paraId="7C5B9051" w14:textId="77777777" w:rsidTr="002A2E88">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002E3" w14:textId="77777777" w:rsidR="00334B45" w:rsidRPr="00275290" w:rsidRDefault="00334B45" w:rsidP="002A2E88">
            <w:pPr>
              <w:rPr>
                <w:rFonts w:cs="Arial"/>
                <w:color w:val="000000"/>
                <w:lang w:val="fr-FR" w:eastAsia="fr-FR"/>
              </w:rPr>
            </w:pPr>
            <w:r w:rsidRPr="00275290">
              <w:rPr>
                <w:rFonts w:cs="Arial"/>
                <w:color w:val="000000"/>
                <w:lang w:val="fr-FR" w:eastAsia="fr-FR"/>
              </w:rPr>
              <w:lastRenderedPageBreak/>
              <w:t>AEL hematology</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472B8A84" w14:textId="77777777" w:rsidR="00334B45" w:rsidRPr="00275290" w:rsidRDefault="00334B45" w:rsidP="002A2E88">
            <w:pPr>
              <w:rPr>
                <w:rFonts w:cs="Arial"/>
                <w:lang w:val="fr-FR" w:eastAsia="fr-FR"/>
              </w:rPr>
            </w:pPr>
            <w:r>
              <w:rPr>
                <w:rFonts w:cs="Calibri"/>
                <w:color w:val="000000"/>
              </w:rPr>
              <w:t>0.022</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6C6DD1CD" w14:textId="77777777" w:rsidR="00334B45" w:rsidRPr="00275290" w:rsidRDefault="00334B45" w:rsidP="002A2E88">
            <w:pPr>
              <w:rPr>
                <w:rFonts w:cs="Arial"/>
                <w:lang w:val="fr-FR" w:eastAsia="fr-FR"/>
              </w:rPr>
            </w:pPr>
            <w:r>
              <w:rPr>
                <w:rFonts w:cs="Calibri"/>
                <w:color w:val="000000"/>
              </w:rPr>
              <w:t>0.761</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4C169C3C" w14:textId="77777777" w:rsidR="00334B45" w:rsidRPr="00275290" w:rsidRDefault="00334B45" w:rsidP="002A2E88">
            <w:pPr>
              <w:rPr>
                <w:rFonts w:cs="Arial"/>
                <w:lang w:val="fr-FR" w:eastAsia="fr-FR"/>
              </w:rPr>
            </w:pPr>
            <w:r>
              <w:rPr>
                <w:rFonts w:cs="Calibri"/>
                <w:color w:val="000000"/>
              </w:rPr>
              <w:t>0.3</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1A747FE4" w14:textId="77777777" w:rsidR="00334B45" w:rsidRPr="00275290" w:rsidRDefault="00334B45" w:rsidP="002A2E88">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025B1C5B" w14:textId="77777777" w:rsidR="00334B45" w:rsidRPr="00275290" w:rsidRDefault="00334B45" w:rsidP="002A2E88">
            <w:pPr>
              <w:rPr>
                <w:rFonts w:cs="Arial"/>
                <w:b/>
                <w:lang w:val="fr-FR" w:eastAsia="fr-FR"/>
              </w:rPr>
            </w:pPr>
          </w:p>
        </w:tc>
      </w:tr>
      <w:tr w:rsidR="00334B45" w:rsidRPr="00275290" w14:paraId="7DBA6CDD" w14:textId="77777777" w:rsidTr="002A2E8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FBC7BA5" w14:textId="77777777" w:rsidR="00334B45" w:rsidRPr="00275290" w:rsidRDefault="00334B45" w:rsidP="002A2E88">
            <w:pPr>
              <w:rPr>
                <w:rFonts w:cs="Arial"/>
                <w:color w:val="000000"/>
                <w:lang w:val="fr-FR" w:eastAsia="fr-FR"/>
              </w:rPr>
            </w:pPr>
            <w:r w:rsidRPr="00275290">
              <w:rPr>
                <w:rFonts w:cs="Arial"/>
                <w:color w:val="000000"/>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5CE06240" w14:textId="77777777" w:rsidR="00334B45" w:rsidRPr="00275290" w:rsidRDefault="00334B45" w:rsidP="002A2E88">
            <w:pPr>
              <w:rPr>
                <w:rFonts w:cs="Arial"/>
                <w:lang w:val="fr-FR" w:eastAsia="fr-FR"/>
              </w:rPr>
            </w:pPr>
            <w:r>
              <w:rPr>
                <w:rFonts w:cs="Calibri"/>
                <w:color w:val="000000"/>
              </w:rPr>
              <w:t>47%</w:t>
            </w:r>
          </w:p>
        </w:tc>
        <w:tc>
          <w:tcPr>
            <w:tcW w:w="1663" w:type="dxa"/>
            <w:tcBorders>
              <w:top w:val="nil"/>
              <w:left w:val="nil"/>
              <w:bottom w:val="single" w:sz="4" w:space="0" w:color="auto"/>
              <w:right w:val="single" w:sz="4" w:space="0" w:color="auto"/>
            </w:tcBorders>
            <w:shd w:val="clear" w:color="auto" w:fill="auto"/>
            <w:noWrap/>
            <w:vAlign w:val="center"/>
            <w:hideMark/>
          </w:tcPr>
          <w:p w14:paraId="27260E03" w14:textId="77777777" w:rsidR="00334B45" w:rsidRPr="00275290" w:rsidRDefault="00334B45" w:rsidP="002A2E88">
            <w:pPr>
              <w:rPr>
                <w:rFonts w:cs="Arial"/>
                <w:lang w:val="fr-FR" w:eastAsia="fr-FR"/>
              </w:rPr>
            </w:pPr>
            <w:r>
              <w:rPr>
                <w:rFonts w:cs="Calibri"/>
                <w:color w:val="000000"/>
              </w:rPr>
              <w:t>2%</w:t>
            </w:r>
          </w:p>
        </w:tc>
        <w:tc>
          <w:tcPr>
            <w:tcW w:w="1624" w:type="dxa"/>
            <w:tcBorders>
              <w:top w:val="nil"/>
              <w:left w:val="nil"/>
              <w:bottom w:val="single" w:sz="4" w:space="0" w:color="auto"/>
              <w:right w:val="single" w:sz="4" w:space="0" w:color="auto"/>
            </w:tcBorders>
            <w:shd w:val="clear" w:color="auto" w:fill="auto"/>
            <w:noWrap/>
            <w:vAlign w:val="center"/>
            <w:hideMark/>
          </w:tcPr>
          <w:p w14:paraId="79F45DFB" w14:textId="77777777" w:rsidR="00334B45" w:rsidRPr="00275290" w:rsidRDefault="00334B45" w:rsidP="002A2E88">
            <w:pPr>
              <w:rPr>
                <w:rFonts w:cs="Arial"/>
                <w:lang w:val="fr-FR" w:eastAsia="fr-FR"/>
              </w:rPr>
            </w:pPr>
            <w:r>
              <w:rPr>
                <w:rFonts w:cs="Calibri"/>
                <w:color w:val="000000"/>
              </w:rPr>
              <w:t>2%</w:t>
            </w:r>
          </w:p>
        </w:tc>
        <w:tc>
          <w:tcPr>
            <w:tcW w:w="1108" w:type="dxa"/>
            <w:tcBorders>
              <w:top w:val="nil"/>
              <w:left w:val="nil"/>
              <w:bottom w:val="single" w:sz="4" w:space="0" w:color="auto"/>
              <w:right w:val="single" w:sz="4" w:space="0" w:color="auto"/>
            </w:tcBorders>
            <w:shd w:val="clear" w:color="auto" w:fill="auto"/>
            <w:noWrap/>
            <w:vAlign w:val="center"/>
            <w:hideMark/>
          </w:tcPr>
          <w:p w14:paraId="2EC65EAB" w14:textId="77777777" w:rsidR="00334B45" w:rsidRPr="00275290" w:rsidRDefault="00334B45" w:rsidP="002A2E88">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0B2AA2F6" w14:textId="77777777" w:rsidR="00334B45" w:rsidRPr="00275290" w:rsidRDefault="00334B45" w:rsidP="002A2E88">
            <w:pPr>
              <w:rPr>
                <w:rFonts w:cs="Arial"/>
                <w:b/>
                <w:lang w:val="fr-FR" w:eastAsia="fr-FR"/>
              </w:rPr>
            </w:pPr>
            <w:r>
              <w:rPr>
                <w:rFonts w:cs="Arial"/>
                <w:b/>
                <w:lang w:val="fr-FR" w:eastAsia="fr-FR"/>
              </w:rPr>
              <w:t>0.51</w:t>
            </w:r>
          </w:p>
        </w:tc>
      </w:tr>
      <w:tr w:rsidR="00334B45" w:rsidRPr="00275290" w14:paraId="6EE4D031" w14:textId="77777777" w:rsidTr="002A2E88">
        <w:trPr>
          <w:trHeight w:val="300"/>
        </w:trPr>
        <w:tc>
          <w:tcPr>
            <w:tcW w:w="2425" w:type="dxa"/>
            <w:tcBorders>
              <w:top w:val="nil"/>
              <w:left w:val="nil"/>
              <w:bottom w:val="single" w:sz="4" w:space="0" w:color="auto"/>
              <w:right w:val="nil"/>
            </w:tcBorders>
            <w:shd w:val="clear" w:color="auto" w:fill="auto"/>
            <w:noWrap/>
            <w:vAlign w:val="bottom"/>
            <w:hideMark/>
          </w:tcPr>
          <w:p w14:paraId="73EF4EA5" w14:textId="77777777" w:rsidR="00334B45" w:rsidRPr="00275290" w:rsidRDefault="00334B45" w:rsidP="002A2E88">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3EA91397" w14:textId="77777777" w:rsidR="00334B45" w:rsidRPr="00275290" w:rsidRDefault="00334B45" w:rsidP="002A2E88">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7761673C" w14:textId="77777777" w:rsidR="00334B45" w:rsidRPr="00275290" w:rsidRDefault="00334B45" w:rsidP="002A2E88">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6EC271C3"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3493478B"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112C6329" w14:textId="77777777" w:rsidR="00334B45" w:rsidRPr="00275290" w:rsidRDefault="00334B45" w:rsidP="002A2E88">
            <w:pPr>
              <w:rPr>
                <w:rFonts w:cs="Arial"/>
                <w:b/>
                <w:color w:val="000000"/>
                <w:lang w:val="fr-FR" w:eastAsia="fr-FR"/>
              </w:rPr>
            </w:pPr>
          </w:p>
        </w:tc>
      </w:tr>
      <w:tr w:rsidR="00334B45" w:rsidRPr="00275290" w14:paraId="77463242" w14:textId="77777777" w:rsidTr="002A2E88">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3DFC2" w14:textId="77777777" w:rsidR="00334B45" w:rsidRPr="00275290" w:rsidRDefault="00334B45" w:rsidP="002A2E88">
            <w:pPr>
              <w:rPr>
                <w:rFonts w:cs="Arial"/>
                <w:color w:val="000000"/>
                <w:lang w:val="fr-FR" w:eastAsia="fr-FR"/>
              </w:rPr>
            </w:pPr>
            <w:r w:rsidRPr="00275290">
              <w:rPr>
                <w:rFonts w:cs="Arial"/>
                <w:color w:val="000000"/>
                <w:lang w:val="fr-FR" w:eastAsia="fr-FR"/>
              </w:rPr>
              <w:t>AEL adrenals</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247C0E57" w14:textId="77777777" w:rsidR="00334B45" w:rsidRPr="00275290" w:rsidRDefault="00334B45" w:rsidP="002A2E88">
            <w:pPr>
              <w:rPr>
                <w:rFonts w:cs="Arial"/>
                <w:color w:val="000000"/>
                <w:lang w:val="fr-FR" w:eastAsia="fr-FR"/>
              </w:rPr>
            </w:pPr>
            <w:r>
              <w:rPr>
                <w:rFonts w:cs="Calibri"/>
                <w:color w:val="000000"/>
              </w:rPr>
              <w:t> </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463ED28F" w14:textId="77777777" w:rsidR="00334B45" w:rsidRPr="00275290" w:rsidRDefault="00334B45" w:rsidP="002A2E88">
            <w:pPr>
              <w:rPr>
                <w:rFonts w:cs="Arial"/>
                <w:lang w:val="fr-FR" w:eastAsia="fr-FR"/>
              </w:rPr>
            </w:pPr>
            <w:r>
              <w:rPr>
                <w:rFonts w:cs="Calibri"/>
                <w:color w:val="000000"/>
              </w:rPr>
              <w:t>0.036</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73207F34" w14:textId="77777777" w:rsidR="00334B45" w:rsidRPr="00275290" w:rsidRDefault="00334B45" w:rsidP="002A2E88">
            <w:pPr>
              <w:rPr>
                <w:rFonts w:cs="Arial"/>
                <w:lang w:val="fr-FR" w:eastAsia="fr-FR"/>
              </w:rPr>
            </w:pPr>
            <w:r>
              <w:rPr>
                <w:rFonts w:cs="Calibri"/>
                <w:color w:val="000000"/>
              </w:rPr>
              <w:t>0.03</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40BCE421" w14:textId="77777777" w:rsidR="00334B45" w:rsidRPr="00275290" w:rsidRDefault="00334B45" w:rsidP="002A2E88">
            <w:pPr>
              <w:rPr>
                <w:rFonts w:cs="Arial"/>
                <w:color w:val="000000"/>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29889198" w14:textId="77777777" w:rsidR="00334B45" w:rsidRPr="00275290" w:rsidRDefault="00334B45" w:rsidP="002A2E88">
            <w:pPr>
              <w:rPr>
                <w:rFonts w:cs="Arial"/>
                <w:b/>
                <w:color w:val="000000"/>
                <w:lang w:val="fr-FR" w:eastAsia="fr-FR"/>
              </w:rPr>
            </w:pPr>
          </w:p>
        </w:tc>
      </w:tr>
      <w:tr w:rsidR="00334B45" w:rsidRPr="00275290" w14:paraId="43F9DE12" w14:textId="77777777" w:rsidTr="002A2E88">
        <w:trPr>
          <w:trHeight w:val="251"/>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B02F71A" w14:textId="77777777" w:rsidR="00334B45" w:rsidRPr="00275290" w:rsidRDefault="00334B45" w:rsidP="002A2E88">
            <w:pPr>
              <w:rPr>
                <w:rFonts w:cs="Arial"/>
                <w:lang w:val="fr-FR" w:eastAsia="fr-FR"/>
              </w:rPr>
            </w:pPr>
            <w:r w:rsidRPr="00275290">
              <w:rPr>
                <w:rFonts w:cs="Arial"/>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1BCE744B" w14:textId="77777777" w:rsidR="00334B45" w:rsidRPr="00275290" w:rsidRDefault="00334B45" w:rsidP="002A2E88">
            <w:pPr>
              <w:rPr>
                <w:rFonts w:cs="Arial"/>
                <w:lang w:val="fr-FR" w:eastAsia="fr-FR"/>
              </w:rPr>
            </w:pPr>
            <w:r>
              <w:rPr>
                <w:rFonts w:cs="Calibri"/>
                <w:color w:val="000000"/>
              </w:rPr>
              <w:t> </w:t>
            </w:r>
          </w:p>
        </w:tc>
        <w:tc>
          <w:tcPr>
            <w:tcW w:w="1663" w:type="dxa"/>
            <w:tcBorders>
              <w:top w:val="nil"/>
              <w:left w:val="nil"/>
              <w:bottom w:val="single" w:sz="4" w:space="0" w:color="auto"/>
              <w:right w:val="single" w:sz="4" w:space="0" w:color="auto"/>
            </w:tcBorders>
            <w:shd w:val="clear" w:color="auto" w:fill="auto"/>
            <w:noWrap/>
            <w:vAlign w:val="center"/>
            <w:hideMark/>
          </w:tcPr>
          <w:p w14:paraId="5A501E89" w14:textId="77777777" w:rsidR="00334B45" w:rsidRPr="00275290" w:rsidRDefault="00334B45" w:rsidP="002A2E88">
            <w:pPr>
              <w:rPr>
                <w:rFonts w:cs="Arial"/>
                <w:lang w:val="fr-FR" w:eastAsia="fr-FR"/>
              </w:rPr>
            </w:pPr>
            <w:r>
              <w:rPr>
                <w:rFonts w:cs="Calibri"/>
                <w:color w:val="000000"/>
              </w:rPr>
              <w:t>45%</w:t>
            </w:r>
          </w:p>
        </w:tc>
        <w:tc>
          <w:tcPr>
            <w:tcW w:w="1624" w:type="dxa"/>
            <w:tcBorders>
              <w:top w:val="nil"/>
              <w:left w:val="nil"/>
              <w:bottom w:val="single" w:sz="4" w:space="0" w:color="auto"/>
              <w:right w:val="single" w:sz="4" w:space="0" w:color="auto"/>
            </w:tcBorders>
            <w:shd w:val="clear" w:color="auto" w:fill="auto"/>
            <w:noWrap/>
            <w:vAlign w:val="center"/>
            <w:hideMark/>
          </w:tcPr>
          <w:p w14:paraId="4EB05DF0" w14:textId="77777777" w:rsidR="00334B45" w:rsidRPr="00275290" w:rsidRDefault="00334B45" w:rsidP="002A2E88">
            <w:pPr>
              <w:rPr>
                <w:rFonts w:cs="Arial"/>
                <w:lang w:val="fr-FR" w:eastAsia="fr-FR"/>
              </w:rPr>
            </w:pPr>
            <w:r>
              <w:rPr>
                <w:rFonts w:cs="Calibri"/>
                <w:color w:val="000000"/>
              </w:rPr>
              <w:t>19%</w:t>
            </w:r>
          </w:p>
        </w:tc>
        <w:tc>
          <w:tcPr>
            <w:tcW w:w="1108" w:type="dxa"/>
            <w:tcBorders>
              <w:top w:val="nil"/>
              <w:left w:val="nil"/>
              <w:bottom w:val="single" w:sz="4" w:space="0" w:color="auto"/>
              <w:right w:val="single" w:sz="4" w:space="0" w:color="auto"/>
            </w:tcBorders>
            <w:shd w:val="clear" w:color="auto" w:fill="auto"/>
            <w:noWrap/>
            <w:vAlign w:val="center"/>
            <w:hideMark/>
          </w:tcPr>
          <w:p w14:paraId="5F1096CE" w14:textId="77777777" w:rsidR="00334B45" w:rsidRPr="00275290" w:rsidRDefault="00334B45" w:rsidP="002A2E88">
            <w:pPr>
              <w:rPr>
                <w:rFonts w:cs="Arial"/>
                <w:lang w:val="fr-FR" w:eastAsia="fr-FR"/>
              </w:rPr>
            </w:pPr>
            <w:r>
              <w:rPr>
                <w:rFonts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1A7635C7" w14:textId="77777777" w:rsidR="00334B45" w:rsidRPr="00275290" w:rsidRDefault="00334B45" w:rsidP="002A2E88">
            <w:pPr>
              <w:rPr>
                <w:rFonts w:cs="Arial"/>
                <w:b/>
                <w:lang w:val="fr-FR" w:eastAsia="fr-FR"/>
              </w:rPr>
            </w:pPr>
            <w:r w:rsidRPr="00275290">
              <w:rPr>
                <w:rFonts w:cs="Arial"/>
                <w:b/>
                <w:lang w:val="fr-FR" w:eastAsia="fr-FR"/>
              </w:rPr>
              <w:t>0.</w:t>
            </w:r>
            <w:r>
              <w:rPr>
                <w:rFonts w:cs="Arial"/>
                <w:b/>
                <w:lang w:val="fr-FR" w:eastAsia="fr-FR"/>
              </w:rPr>
              <w:t>64</w:t>
            </w:r>
          </w:p>
        </w:tc>
      </w:tr>
      <w:tr w:rsidR="00334B45" w:rsidRPr="00275290" w14:paraId="214F59A7" w14:textId="77777777" w:rsidTr="002A2E88">
        <w:trPr>
          <w:trHeight w:val="300"/>
        </w:trPr>
        <w:tc>
          <w:tcPr>
            <w:tcW w:w="2425" w:type="dxa"/>
            <w:tcBorders>
              <w:top w:val="nil"/>
              <w:left w:val="nil"/>
              <w:bottom w:val="nil"/>
              <w:right w:val="nil"/>
            </w:tcBorders>
            <w:shd w:val="clear" w:color="auto" w:fill="auto"/>
            <w:noWrap/>
            <w:vAlign w:val="bottom"/>
            <w:hideMark/>
          </w:tcPr>
          <w:p w14:paraId="63C93D04" w14:textId="77777777" w:rsidR="00334B45" w:rsidRPr="00275290" w:rsidRDefault="00334B45" w:rsidP="002A2E88">
            <w:pPr>
              <w:rPr>
                <w:rFonts w:cs="Arial"/>
                <w:color w:val="000000"/>
                <w:lang w:val="fr-FR" w:eastAsia="fr-FR"/>
              </w:rPr>
            </w:pPr>
          </w:p>
        </w:tc>
        <w:tc>
          <w:tcPr>
            <w:tcW w:w="1936" w:type="dxa"/>
            <w:tcBorders>
              <w:top w:val="nil"/>
              <w:left w:val="nil"/>
              <w:bottom w:val="nil"/>
              <w:right w:val="nil"/>
            </w:tcBorders>
            <w:shd w:val="clear" w:color="auto" w:fill="auto"/>
            <w:noWrap/>
            <w:vAlign w:val="bottom"/>
            <w:hideMark/>
          </w:tcPr>
          <w:p w14:paraId="3A36B28C" w14:textId="77777777" w:rsidR="00334B45" w:rsidRPr="00275290" w:rsidRDefault="00334B45" w:rsidP="002A2E88">
            <w:pPr>
              <w:rPr>
                <w:rFonts w:cs="Arial"/>
                <w:color w:val="000000"/>
                <w:lang w:val="fr-FR" w:eastAsia="fr-FR"/>
              </w:rPr>
            </w:pPr>
          </w:p>
        </w:tc>
        <w:tc>
          <w:tcPr>
            <w:tcW w:w="1663" w:type="dxa"/>
            <w:tcBorders>
              <w:top w:val="nil"/>
              <w:left w:val="nil"/>
              <w:bottom w:val="nil"/>
              <w:right w:val="nil"/>
            </w:tcBorders>
            <w:shd w:val="clear" w:color="auto" w:fill="auto"/>
            <w:noWrap/>
            <w:vAlign w:val="bottom"/>
            <w:hideMark/>
          </w:tcPr>
          <w:p w14:paraId="5F6C7482" w14:textId="77777777" w:rsidR="00334B45" w:rsidRPr="00275290" w:rsidRDefault="00334B45" w:rsidP="002A2E88">
            <w:pPr>
              <w:rPr>
                <w:rFonts w:cs="Arial"/>
                <w:color w:val="000000"/>
                <w:lang w:val="fr-FR" w:eastAsia="fr-FR"/>
              </w:rPr>
            </w:pPr>
          </w:p>
        </w:tc>
        <w:tc>
          <w:tcPr>
            <w:tcW w:w="1624" w:type="dxa"/>
            <w:tcBorders>
              <w:top w:val="nil"/>
              <w:left w:val="nil"/>
              <w:bottom w:val="nil"/>
              <w:right w:val="nil"/>
            </w:tcBorders>
            <w:shd w:val="clear" w:color="auto" w:fill="auto"/>
            <w:noWrap/>
            <w:vAlign w:val="bottom"/>
            <w:hideMark/>
          </w:tcPr>
          <w:p w14:paraId="5EBE7C49" w14:textId="77777777" w:rsidR="00334B45" w:rsidRPr="00275290" w:rsidRDefault="00334B45" w:rsidP="002A2E88">
            <w:pPr>
              <w:rPr>
                <w:rFonts w:cs="Arial"/>
                <w:color w:val="000000"/>
                <w:lang w:val="fr-FR" w:eastAsia="fr-FR"/>
              </w:rPr>
            </w:pPr>
          </w:p>
        </w:tc>
        <w:tc>
          <w:tcPr>
            <w:tcW w:w="1108" w:type="dxa"/>
            <w:tcBorders>
              <w:top w:val="nil"/>
              <w:left w:val="nil"/>
              <w:bottom w:val="nil"/>
              <w:right w:val="nil"/>
            </w:tcBorders>
            <w:shd w:val="clear" w:color="auto" w:fill="auto"/>
            <w:noWrap/>
            <w:vAlign w:val="bottom"/>
            <w:hideMark/>
          </w:tcPr>
          <w:p w14:paraId="4CB2ED49" w14:textId="77777777" w:rsidR="00334B45" w:rsidRPr="00275290" w:rsidRDefault="00334B45" w:rsidP="002A2E88">
            <w:pPr>
              <w:rPr>
                <w:rFonts w:cs="Arial"/>
                <w:color w:val="000000"/>
                <w:lang w:val="fr-FR" w:eastAsia="fr-FR"/>
              </w:rPr>
            </w:pPr>
          </w:p>
        </w:tc>
        <w:tc>
          <w:tcPr>
            <w:tcW w:w="1108" w:type="dxa"/>
            <w:tcBorders>
              <w:top w:val="nil"/>
              <w:left w:val="nil"/>
              <w:bottom w:val="nil"/>
              <w:right w:val="nil"/>
            </w:tcBorders>
            <w:shd w:val="clear" w:color="auto" w:fill="auto"/>
            <w:noWrap/>
            <w:vAlign w:val="bottom"/>
            <w:hideMark/>
          </w:tcPr>
          <w:p w14:paraId="0745F186" w14:textId="77777777" w:rsidR="00334B45" w:rsidRPr="00275290" w:rsidRDefault="00334B45" w:rsidP="002A2E88">
            <w:pPr>
              <w:rPr>
                <w:rFonts w:cs="Arial"/>
                <w:color w:val="000000"/>
                <w:lang w:val="fr-FR" w:eastAsia="fr-FR"/>
              </w:rPr>
            </w:pPr>
          </w:p>
        </w:tc>
      </w:tr>
      <w:tr w:rsidR="00334B45" w:rsidRPr="00275290" w14:paraId="2B06E072" w14:textId="77777777" w:rsidTr="002A2E88">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F2971" w14:textId="77777777" w:rsidR="00334B45" w:rsidRPr="00275290" w:rsidRDefault="00334B45" w:rsidP="002A2E88">
            <w:pPr>
              <w:rPr>
                <w:rFonts w:cs="Arial"/>
                <w:lang w:val="fr-FR" w:eastAsia="fr-FR"/>
              </w:rPr>
            </w:pPr>
            <w:r w:rsidRPr="00275290">
              <w:rPr>
                <w:rFonts w:cs="Arial"/>
                <w:lang w:val="fr-FR" w:eastAsia="fr-FR"/>
              </w:rPr>
              <w:t>AEL Lung</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3855C2B8" w14:textId="77777777" w:rsidR="00334B45" w:rsidRPr="00275290" w:rsidRDefault="00334B45" w:rsidP="002A2E88">
            <w:pPr>
              <w:rPr>
                <w:rFonts w:cs="Arial"/>
                <w:lang w:val="fr-FR" w:eastAsia="fr-FR"/>
              </w:rPr>
            </w:pPr>
            <w:r>
              <w:rPr>
                <w:rFonts w:cs="Calibri"/>
                <w:color w:val="000000"/>
              </w:rPr>
              <w:t>0.07</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4D1BF19F" w14:textId="77777777" w:rsidR="00334B45" w:rsidRPr="00275290" w:rsidRDefault="00334B45" w:rsidP="002A2E88">
            <w:pPr>
              <w:rPr>
                <w:rFonts w:cs="Arial"/>
                <w:lang w:val="fr-FR" w:eastAsia="fr-FR"/>
              </w:rPr>
            </w:pPr>
            <w:r>
              <w:rPr>
                <w:rFonts w:cs="Calibri"/>
                <w:color w:val="000000"/>
              </w:rPr>
              <w:t> </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4411465D" w14:textId="77777777" w:rsidR="00334B45" w:rsidRPr="00275290" w:rsidRDefault="00334B45" w:rsidP="002A2E88">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65C54350" w14:textId="77777777" w:rsidR="00334B45" w:rsidRPr="00275290" w:rsidRDefault="00334B45" w:rsidP="002A2E88">
            <w:pPr>
              <w:rPr>
                <w:rFonts w:cs="Arial"/>
                <w:lang w:val="fr-FR" w:eastAsia="fr-FR"/>
              </w:rPr>
            </w:pPr>
            <w:r>
              <w:rPr>
                <w:rFonts w:cs="Calibri"/>
                <w:color w:val="000000"/>
              </w:rPr>
              <w:t>0.2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5BB4329F" w14:textId="77777777" w:rsidR="00334B45" w:rsidRPr="00275290" w:rsidRDefault="00334B45" w:rsidP="002A2E88">
            <w:pPr>
              <w:rPr>
                <w:rFonts w:cs="Arial"/>
                <w:b/>
                <w:lang w:val="fr-FR" w:eastAsia="fr-FR"/>
              </w:rPr>
            </w:pPr>
          </w:p>
        </w:tc>
      </w:tr>
      <w:tr w:rsidR="00334B45" w:rsidRPr="00275290" w14:paraId="7C8881DA" w14:textId="77777777" w:rsidTr="002A2E88">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D315B" w14:textId="77777777" w:rsidR="00334B45" w:rsidRPr="00275290" w:rsidRDefault="00334B45" w:rsidP="002A2E88">
            <w:pPr>
              <w:rPr>
                <w:rFonts w:cs="Arial"/>
                <w:lang w:val="fr-FR" w:eastAsia="fr-FR"/>
              </w:rPr>
            </w:pPr>
            <w:r w:rsidRPr="00275290">
              <w:rPr>
                <w:rFonts w:cs="Arial"/>
                <w:lang w:val="fr-FR" w:eastAsia="fr-FR"/>
              </w:rPr>
              <w:t>%AEL</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5DBB55E2" w14:textId="77777777" w:rsidR="00334B45" w:rsidRPr="00275290" w:rsidRDefault="00334B45" w:rsidP="002A2E88">
            <w:pPr>
              <w:rPr>
                <w:rFonts w:cs="Arial"/>
                <w:lang w:val="fr-FR" w:eastAsia="fr-FR"/>
              </w:rPr>
            </w:pPr>
            <w:r>
              <w:rPr>
                <w:rFonts w:cs="Arial"/>
                <w:lang w:val="fr-FR" w:eastAsia="fr-FR"/>
              </w:rPr>
              <w:t>15</w:t>
            </w:r>
            <w:r w:rsidRPr="00275290">
              <w:rPr>
                <w:rFonts w:cs="Arial"/>
                <w:lang w:val="fr-FR" w:eastAsia="fr-FR"/>
              </w:rPr>
              <w:t>%</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76DAB988" w14:textId="77777777" w:rsidR="00334B45" w:rsidRPr="00275290" w:rsidRDefault="00334B45" w:rsidP="002A2E88">
            <w:pPr>
              <w:rPr>
                <w:rFonts w:cs="Arial"/>
                <w:lang w:val="fr-FR" w:eastAsia="fr-FR"/>
              </w:rPr>
            </w:pPr>
            <w:r w:rsidRPr="00275290">
              <w:rPr>
                <w:rFonts w:cs="Arial"/>
                <w:lang w:val="fr-FR" w:eastAsia="fr-FR"/>
              </w:rPr>
              <w:t> </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14:paraId="400C8EF7" w14:textId="77777777" w:rsidR="00334B45" w:rsidRPr="00275290" w:rsidRDefault="00334B45" w:rsidP="002A2E88">
            <w:pPr>
              <w:rPr>
                <w:rFonts w:cs="Arial"/>
                <w:lang w:val="fr-FR" w:eastAsia="fr-FR"/>
              </w:rPr>
            </w:pPr>
            <w:r w:rsidRPr="00275290">
              <w:rPr>
                <w:rFonts w:cs="Arial"/>
                <w:lang w:val="fr-FR" w:eastAsia="fr-FR"/>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3CD57D9C" w14:textId="77777777" w:rsidR="00334B45" w:rsidRPr="00275290" w:rsidRDefault="00334B45" w:rsidP="002A2E88">
            <w:pPr>
              <w:rPr>
                <w:rFonts w:cs="Arial"/>
                <w:lang w:val="fr-FR" w:eastAsia="fr-FR"/>
              </w:rPr>
            </w:pPr>
            <w:r>
              <w:rPr>
                <w:rFonts w:cs="Arial"/>
                <w:lang w:val="fr-FR" w:eastAsia="fr-FR"/>
              </w:rPr>
              <w:t>6</w:t>
            </w:r>
            <w:r w:rsidRPr="00275290">
              <w:rPr>
                <w:rFonts w:cs="Arial"/>
                <w:lang w:val="fr-FR" w:eastAsia="fr-FR"/>
              </w:rPr>
              <w:t>%</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6540A861" w14:textId="77777777" w:rsidR="00334B45" w:rsidRPr="00275290" w:rsidRDefault="00334B45" w:rsidP="002A2E88">
            <w:pPr>
              <w:rPr>
                <w:rFonts w:cs="Arial"/>
                <w:b/>
                <w:lang w:val="fr-FR" w:eastAsia="fr-FR"/>
              </w:rPr>
            </w:pPr>
            <w:r w:rsidRPr="00275290">
              <w:rPr>
                <w:rFonts w:cs="Arial"/>
                <w:b/>
                <w:lang w:val="fr-FR" w:eastAsia="fr-FR"/>
              </w:rPr>
              <w:t>0.</w:t>
            </w:r>
            <w:r>
              <w:rPr>
                <w:rFonts w:cs="Arial"/>
                <w:b/>
                <w:lang w:val="fr-FR" w:eastAsia="fr-FR"/>
              </w:rPr>
              <w:t>21</w:t>
            </w:r>
          </w:p>
        </w:tc>
      </w:tr>
    </w:tbl>
    <w:p w14:paraId="1BEA88A0" w14:textId="77777777" w:rsidR="00334B45" w:rsidRPr="00275290" w:rsidRDefault="00334B45" w:rsidP="00334B45">
      <w:pPr>
        <w:pStyle w:val="BfRBBStandard"/>
        <w:rPr>
          <w:rFonts w:ascii="Verdana" w:eastAsia="Times New Roman" w:hAnsi="Verdana"/>
          <w:sz w:val="20"/>
          <w:szCs w:val="20"/>
          <w:lang w:val="en-GB" w:eastAsia="sv-SE"/>
        </w:rPr>
      </w:pPr>
    </w:p>
    <w:p w14:paraId="0F882258" w14:textId="77777777" w:rsidR="00334B45" w:rsidRPr="00275290" w:rsidRDefault="00334B45" w:rsidP="00334B45">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HI is </w:t>
      </w:r>
      <w:r>
        <w:rPr>
          <w:rFonts w:ascii="Verdana" w:eastAsia="Times New Roman" w:hAnsi="Verdana"/>
          <w:sz w:val="20"/>
          <w:szCs w:val="20"/>
          <w:lang w:val="en-GB" w:eastAsia="sv-SE"/>
        </w:rPr>
        <w:t>inferior</w:t>
      </w:r>
      <w:r w:rsidRPr="00275290">
        <w:rPr>
          <w:rFonts w:ascii="Verdana" w:eastAsia="Times New Roman" w:hAnsi="Verdana"/>
          <w:sz w:val="20"/>
          <w:szCs w:val="20"/>
          <w:lang w:val="en-GB" w:eastAsia="sv-SE"/>
        </w:rPr>
        <w:t xml:space="preserve"> to 1 for </w:t>
      </w:r>
      <w:r>
        <w:rPr>
          <w:rFonts w:ascii="Verdana" w:eastAsia="Times New Roman" w:hAnsi="Verdana"/>
          <w:sz w:val="20"/>
          <w:szCs w:val="20"/>
          <w:lang w:val="en-GB" w:eastAsia="sv-SE"/>
        </w:rPr>
        <w:t>all common organs</w:t>
      </w:r>
      <w:r w:rsidRPr="00275290">
        <w:rPr>
          <w:rFonts w:ascii="Verdana" w:eastAsia="Times New Roman" w:hAnsi="Verdana"/>
          <w:sz w:val="20"/>
          <w:szCs w:val="20"/>
          <w:lang w:val="en-GB" w:eastAsia="sv-SE"/>
        </w:rPr>
        <w:t xml:space="preserve">. The risk should be considered as acceptable. </w:t>
      </w:r>
    </w:p>
    <w:p w14:paraId="691B322E" w14:textId="77777777" w:rsidR="009D4550" w:rsidRPr="00275290" w:rsidRDefault="009D4550" w:rsidP="009D4550">
      <w:pPr>
        <w:pStyle w:val="BfRBBStandard"/>
        <w:rPr>
          <w:rFonts w:ascii="Verdana" w:eastAsia="Times New Roman" w:hAnsi="Verdana"/>
          <w:sz w:val="20"/>
          <w:szCs w:val="20"/>
          <w:lang w:val="en-GB" w:eastAsia="sv-SE"/>
        </w:rPr>
      </w:pPr>
    </w:p>
    <w:p w14:paraId="0392D103" w14:textId="77777777" w:rsidR="00334B45" w:rsidRDefault="00334B45" w:rsidP="009D4550">
      <w:pPr>
        <w:pStyle w:val="BfRBBStandard"/>
        <w:rPr>
          <w:rFonts w:ascii="Verdana" w:eastAsia="Times New Roman" w:hAnsi="Verdana"/>
          <w:sz w:val="20"/>
          <w:szCs w:val="20"/>
          <w:lang w:val="en-GB" w:eastAsia="sv-SE"/>
        </w:rPr>
      </w:pPr>
    </w:p>
    <w:p w14:paraId="5360ED1F" w14:textId="077EA494"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comparison of the exposure values during the application </w:t>
      </w:r>
      <w:r w:rsidR="00334B45">
        <w:rPr>
          <w:rFonts w:ascii="Verdana" w:eastAsia="Times New Roman" w:hAnsi="Verdana"/>
          <w:sz w:val="20"/>
          <w:szCs w:val="20"/>
          <w:lang w:val="en-GB" w:eastAsia="sv-SE"/>
        </w:rPr>
        <w:t xml:space="preserve">by </w:t>
      </w:r>
      <w:proofErr w:type="gramStart"/>
      <w:r w:rsidR="00334B45">
        <w:rPr>
          <w:rFonts w:ascii="Verdana" w:eastAsia="Times New Roman" w:hAnsi="Verdana"/>
          <w:sz w:val="20"/>
          <w:szCs w:val="20"/>
          <w:lang w:val="en-GB" w:eastAsia="sv-SE"/>
        </w:rPr>
        <w:t>spraying  combined</w:t>
      </w:r>
      <w:proofErr w:type="gramEnd"/>
      <w:r w:rsidR="00334B45">
        <w:rPr>
          <w:rFonts w:ascii="Verdana" w:eastAsia="Times New Roman" w:hAnsi="Verdana"/>
          <w:sz w:val="20"/>
          <w:szCs w:val="20"/>
          <w:lang w:val="en-GB" w:eastAsia="sv-SE"/>
        </w:rPr>
        <w:t xml:space="preserve"> to injection </w:t>
      </w:r>
      <w:r w:rsidRPr="00275290">
        <w:rPr>
          <w:rFonts w:ascii="Verdana" w:eastAsia="Times New Roman" w:hAnsi="Verdana"/>
          <w:sz w:val="20"/>
          <w:szCs w:val="20"/>
          <w:lang w:val="en-GB" w:eastAsia="sv-SE"/>
        </w:rPr>
        <w:t>and the cleaning with the specific AELs leads to the following results:</w:t>
      </w:r>
    </w:p>
    <w:p w14:paraId="48759301" w14:textId="77777777" w:rsidR="009D4550" w:rsidRPr="00275290" w:rsidRDefault="009D4550" w:rsidP="009D4550">
      <w:pPr>
        <w:pStyle w:val="BfRBBStandard"/>
        <w:rPr>
          <w:rFonts w:ascii="Verdana" w:eastAsia="Times New Roman" w:hAnsi="Verdana"/>
          <w:sz w:val="20"/>
          <w:szCs w:val="20"/>
          <w:lang w:val="en-GB" w:eastAsia="sv-SE"/>
        </w:rPr>
      </w:pPr>
    </w:p>
    <w:p w14:paraId="619577E9" w14:textId="77777777" w:rsidR="009D4550" w:rsidRPr="00275290" w:rsidRDefault="009D4550" w:rsidP="009D4550">
      <w:pPr>
        <w:pStyle w:val="BfRBBStandard"/>
        <w:rPr>
          <w:rFonts w:ascii="Verdana" w:eastAsia="Times New Roman" w:hAnsi="Verdana"/>
          <w:sz w:val="20"/>
          <w:szCs w:val="20"/>
          <w:lang w:val="en-GB" w:eastAsia="sv-SE"/>
        </w:rPr>
      </w:pPr>
    </w:p>
    <w:tbl>
      <w:tblPr>
        <w:tblW w:w="9864" w:type="dxa"/>
        <w:tblInd w:w="55" w:type="dxa"/>
        <w:tblCellMar>
          <w:left w:w="70" w:type="dxa"/>
          <w:right w:w="70" w:type="dxa"/>
        </w:tblCellMar>
        <w:tblLook w:val="04A0" w:firstRow="1" w:lastRow="0" w:firstColumn="1" w:lastColumn="0" w:noHBand="0" w:noVBand="1"/>
      </w:tblPr>
      <w:tblGrid>
        <w:gridCol w:w="2380"/>
        <w:gridCol w:w="1827"/>
        <w:gridCol w:w="1721"/>
        <w:gridCol w:w="1681"/>
        <w:gridCol w:w="1122"/>
        <w:gridCol w:w="1135"/>
      </w:tblGrid>
      <w:tr w:rsidR="009D4550" w:rsidRPr="00275290" w14:paraId="5C5BBEC4" w14:textId="77777777" w:rsidTr="00334B45">
        <w:trPr>
          <w:gridAfter w:val="1"/>
          <w:wAfter w:w="1135" w:type="dxa"/>
          <w:trHeight w:val="31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60AB9" w14:textId="77777777" w:rsidR="009D4550" w:rsidRPr="00275290" w:rsidRDefault="009D4550" w:rsidP="009D4550">
            <w:pPr>
              <w:rPr>
                <w:rFonts w:cs="Arial"/>
                <w:color w:val="000000"/>
                <w:lang w:val="en-US" w:eastAsia="fr-FR"/>
              </w:rPr>
            </w:pPr>
            <w:r w:rsidRPr="00275290">
              <w:rPr>
                <w:rFonts w:cs="Arial"/>
                <w:color w:val="000000"/>
                <w:lang w:val="en-US" w:eastAsia="fr-FR"/>
              </w:rPr>
              <w:t> </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54763652" w14:textId="77777777" w:rsidR="009D4550" w:rsidRPr="00275290" w:rsidRDefault="009D4550" w:rsidP="009D4550">
            <w:pPr>
              <w:rPr>
                <w:rFonts w:cs="Arial"/>
                <w:color w:val="000000"/>
                <w:lang w:val="fr-FR" w:eastAsia="fr-FR"/>
              </w:rPr>
            </w:pPr>
            <w:r w:rsidRPr="00275290">
              <w:rPr>
                <w:rFonts w:cs="Arial"/>
                <w:b/>
              </w:rPr>
              <w:t>Cyperméthrine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560EBCD5" w14:textId="77777777" w:rsidR="009D4550" w:rsidRPr="00275290" w:rsidRDefault="009D4550" w:rsidP="009D4550">
            <w:pPr>
              <w:rPr>
                <w:rFonts w:cs="Arial"/>
                <w:color w:val="000000"/>
                <w:lang w:val="fr-FR" w:eastAsia="fr-FR"/>
              </w:rPr>
            </w:pPr>
            <w:r w:rsidRPr="00275290">
              <w:rPr>
                <w:rFonts w:cs="Arial"/>
                <w:b/>
              </w:rPr>
              <w:t>Propiconazole</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0E6F1771" w14:textId="77777777" w:rsidR="009D4550" w:rsidRPr="00275290" w:rsidRDefault="009D4550" w:rsidP="009D4550">
            <w:pPr>
              <w:rPr>
                <w:rFonts w:cs="Arial"/>
                <w:color w:val="000000"/>
                <w:lang w:val="fr-FR" w:eastAsia="fr-FR"/>
              </w:rPr>
            </w:pPr>
            <w:r w:rsidRPr="00275290">
              <w:rPr>
                <w:rFonts w:cs="Arial"/>
                <w:b/>
              </w:rPr>
              <w:t>Tébuconazole</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14:paraId="56E2F848" w14:textId="77777777" w:rsidR="009D4550" w:rsidRPr="00275290" w:rsidRDefault="009D4550" w:rsidP="009D4550">
            <w:pPr>
              <w:rPr>
                <w:rFonts w:cs="Arial"/>
                <w:color w:val="000000"/>
                <w:lang w:val="fr-FR" w:eastAsia="fr-FR"/>
              </w:rPr>
            </w:pPr>
            <w:r w:rsidRPr="00275290">
              <w:rPr>
                <w:rFonts w:cs="Arial"/>
                <w:b/>
              </w:rPr>
              <w:t>IPBC</w:t>
            </w:r>
          </w:p>
        </w:tc>
      </w:tr>
      <w:tr w:rsidR="009D4550" w:rsidRPr="00275290" w14:paraId="300BB716" w14:textId="77777777" w:rsidTr="00334B45">
        <w:trPr>
          <w:trHeight w:val="315"/>
        </w:trPr>
        <w:tc>
          <w:tcPr>
            <w:tcW w:w="8729" w:type="dxa"/>
            <w:gridSpan w:val="5"/>
            <w:tcBorders>
              <w:top w:val="single" w:sz="4" w:space="0" w:color="auto"/>
              <w:left w:val="single" w:sz="4" w:space="0" w:color="auto"/>
              <w:bottom w:val="single" w:sz="4" w:space="0" w:color="auto"/>
              <w:right w:val="single" w:sz="4" w:space="0" w:color="auto"/>
            </w:tcBorders>
            <w:shd w:val="clear" w:color="000000" w:fill="F79646"/>
            <w:vAlign w:val="bottom"/>
            <w:hideMark/>
          </w:tcPr>
          <w:p w14:paraId="46B25286" w14:textId="77777777" w:rsidR="009D4550" w:rsidRPr="00275290" w:rsidRDefault="009D4550" w:rsidP="009D4550">
            <w:pPr>
              <w:rPr>
                <w:rFonts w:cs="Arial"/>
                <w:color w:val="000000"/>
                <w:lang w:val="en-US" w:eastAsia="fr-FR"/>
              </w:rPr>
            </w:pPr>
            <w:r w:rsidRPr="00275290">
              <w:rPr>
                <w:rFonts w:cs="Arial"/>
                <w:color w:val="000000"/>
                <w:lang w:val="en-US" w:eastAsia="fr-FR"/>
              </w:rPr>
              <w:t>combined exposure appli cleaning and residue</w:t>
            </w:r>
          </w:p>
        </w:tc>
        <w:tc>
          <w:tcPr>
            <w:tcW w:w="1135" w:type="dxa"/>
            <w:tcBorders>
              <w:top w:val="nil"/>
              <w:left w:val="nil"/>
              <w:bottom w:val="nil"/>
              <w:right w:val="nil"/>
            </w:tcBorders>
            <w:shd w:val="clear" w:color="auto" w:fill="auto"/>
            <w:noWrap/>
            <w:vAlign w:val="bottom"/>
            <w:hideMark/>
          </w:tcPr>
          <w:p w14:paraId="4214B90B" w14:textId="77777777" w:rsidR="009D4550" w:rsidRPr="00275290" w:rsidRDefault="009D4550" w:rsidP="009D4550">
            <w:pPr>
              <w:rPr>
                <w:rFonts w:cs="Arial"/>
                <w:color w:val="000000"/>
                <w:lang w:val="en-US" w:eastAsia="fr-FR"/>
              </w:rPr>
            </w:pPr>
          </w:p>
        </w:tc>
      </w:tr>
      <w:tr w:rsidR="00334B45" w:rsidRPr="00275290" w14:paraId="648A50A7" w14:textId="77777777" w:rsidTr="00334B45">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C7B8389" w14:textId="774C56E8" w:rsidR="00334B45" w:rsidRPr="00275290" w:rsidRDefault="00334B45" w:rsidP="009D4550">
            <w:pPr>
              <w:rPr>
                <w:rFonts w:cs="Arial"/>
                <w:color w:val="000000"/>
                <w:lang w:val="en-US" w:eastAsia="fr-FR"/>
              </w:rPr>
            </w:pPr>
            <w:r w:rsidRPr="00275290">
              <w:rPr>
                <w:rFonts w:cs="Arial"/>
                <w:color w:val="000000"/>
                <w:lang w:val="en-US" w:eastAsia="fr-FR"/>
              </w:rPr>
              <w:t xml:space="preserve">Exposure </w:t>
            </w:r>
            <w:r w:rsidRPr="00323B03">
              <w:rPr>
                <w:rFonts w:cs="Arial"/>
                <w:b/>
                <w:lang w:val="en-US"/>
              </w:rPr>
              <w:t>With gloves and impermeable coverall during spraying, gloves during injection and gloves and coated coverall during cleaning of equipment</w:t>
            </w:r>
            <w:r>
              <w:rPr>
                <w:rFonts w:cs="Arial"/>
                <w:b/>
                <w:lang w:val="en-US"/>
              </w:rPr>
              <w:t>s</w:t>
            </w:r>
          </w:p>
        </w:tc>
        <w:tc>
          <w:tcPr>
            <w:tcW w:w="1827" w:type="dxa"/>
            <w:tcBorders>
              <w:top w:val="nil"/>
              <w:left w:val="nil"/>
              <w:bottom w:val="single" w:sz="4" w:space="0" w:color="auto"/>
              <w:right w:val="single" w:sz="4" w:space="0" w:color="auto"/>
            </w:tcBorders>
            <w:shd w:val="clear" w:color="auto" w:fill="auto"/>
            <w:noWrap/>
            <w:vAlign w:val="center"/>
            <w:hideMark/>
          </w:tcPr>
          <w:p w14:paraId="3971EF9E" w14:textId="4CEFD97D" w:rsidR="00334B45" w:rsidRPr="00275290" w:rsidRDefault="00334B45" w:rsidP="009D4550">
            <w:pPr>
              <w:rPr>
                <w:rFonts w:cs="Arial"/>
                <w:color w:val="000000"/>
                <w:lang w:val="fr-FR" w:eastAsia="fr-FR"/>
              </w:rPr>
            </w:pPr>
            <w:r>
              <w:rPr>
                <w:rFonts w:cs="Calibri"/>
                <w:color w:val="000000"/>
              </w:rPr>
              <w:t>1.38E-02</w:t>
            </w:r>
          </w:p>
        </w:tc>
        <w:tc>
          <w:tcPr>
            <w:tcW w:w="1720" w:type="dxa"/>
            <w:tcBorders>
              <w:top w:val="nil"/>
              <w:left w:val="nil"/>
              <w:bottom w:val="single" w:sz="4" w:space="0" w:color="auto"/>
              <w:right w:val="single" w:sz="4" w:space="0" w:color="auto"/>
            </w:tcBorders>
            <w:shd w:val="clear" w:color="auto" w:fill="auto"/>
            <w:noWrap/>
            <w:vAlign w:val="center"/>
            <w:hideMark/>
          </w:tcPr>
          <w:p w14:paraId="630259DC" w14:textId="28776CCC" w:rsidR="00334B45" w:rsidRPr="00275290" w:rsidRDefault="00334B45" w:rsidP="009D4550">
            <w:pPr>
              <w:rPr>
                <w:rFonts w:cs="Arial"/>
                <w:color w:val="000000"/>
                <w:lang w:val="fr-FR" w:eastAsia="fr-FR"/>
              </w:rPr>
            </w:pPr>
            <w:r>
              <w:rPr>
                <w:rFonts w:cs="Calibri"/>
                <w:color w:val="000000"/>
              </w:rPr>
              <w:t>2.10E-02</w:t>
            </w:r>
          </w:p>
        </w:tc>
        <w:tc>
          <w:tcPr>
            <w:tcW w:w="1680" w:type="dxa"/>
            <w:tcBorders>
              <w:top w:val="nil"/>
              <w:left w:val="nil"/>
              <w:bottom w:val="single" w:sz="4" w:space="0" w:color="auto"/>
              <w:right w:val="single" w:sz="4" w:space="0" w:color="auto"/>
            </w:tcBorders>
            <w:shd w:val="clear" w:color="auto" w:fill="auto"/>
            <w:noWrap/>
            <w:vAlign w:val="center"/>
            <w:hideMark/>
          </w:tcPr>
          <w:p w14:paraId="6C3E487A" w14:textId="0895A687" w:rsidR="00334B45" w:rsidRPr="00275290" w:rsidRDefault="00334B45" w:rsidP="009D4550">
            <w:pPr>
              <w:rPr>
                <w:rFonts w:cs="Arial"/>
                <w:color w:val="000000"/>
                <w:lang w:val="fr-FR" w:eastAsia="fr-FR"/>
              </w:rPr>
            </w:pPr>
            <w:r>
              <w:rPr>
                <w:rFonts w:cs="Calibri"/>
                <w:color w:val="000000"/>
              </w:rPr>
              <w:t>7.60E-03</w:t>
            </w:r>
          </w:p>
        </w:tc>
        <w:tc>
          <w:tcPr>
            <w:tcW w:w="1122" w:type="dxa"/>
            <w:tcBorders>
              <w:top w:val="nil"/>
              <w:left w:val="nil"/>
              <w:bottom w:val="single" w:sz="4" w:space="0" w:color="auto"/>
              <w:right w:val="single" w:sz="4" w:space="0" w:color="auto"/>
            </w:tcBorders>
            <w:shd w:val="clear" w:color="auto" w:fill="auto"/>
            <w:noWrap/>
            <w:vAlign w:val="center"/>
            <w:hideMark/>
          </w:tcPr>
          <w:p w14:paraId="2C6F5E51" w14:textId="70224967" w:rsidR="00334B45" w:rsidRPr="00275290" w:rsidRDefault="00334B45" w:rsidP="009D4550">
            <w:pPr>
              <w:rPr>
                <w:rFonts w:cs="Arial"/>
                <w:color w:val="000000"/>
                <w:lang w:val="fr-FR" w:eastAsia="fr-FR"/>
              </w:rPr>
            </w:pPr>
            <w:r>
              <w:rPr>
                <w:rFonts w:cs="Calibri"/>
                <w:color w:val="000000"/>
              </w:rPr>
              <w:t>1.67E-02</w:t>
            </w:r>
          </w:p>
        </w:tc>
        <w:tc>
          <w:tcPr>
            <w:tcW w:w="1135" w:type="dxa"/>
            <w:tcBorders>
              <w:top w:val="nil"/>
              <w:left w:val="nil"/>
              <w:bottom w:val="nil"/>
              <w:right w:val="nil"/>
            </w:tcBorders>
            <w:shd w:val="clear" w:color="auto" w:fill="auto"/>
            <w:noWrap/>
            <w:vAlign w:val="bottom"/>
            <w:hideMark/>
          </w:tcPr>
          <w:p w14:paraId="478215C7" w14:textId="77777777" w:rsidR="00334B45" w:rsidRPr="00275290" w:rsidRDefault="00334B45" w:rsidP="009D4550">
            <w:pPr>
              <w:rPr>
                <w:rFonts w:cs="Arial"/>
                <w:color w:val="000000"/>
                <w:lang w:val="fr-FR" w:eastAsia="fr-FR"/>
              </w:rPr>
            </w:pPr>
          </w:p>
        </w:tc>
      </w:tr>
      <w:tr w:rsidR="009D4550" w:rsidRPr="00275290" w14:paraId="11F99E74" w14:textId="77777777" w:rsidTr="00334B45">
        <w:trPr>
          <w:trHeight w:val="300"/>
        </w:trPr>
        <w:tc>
          <w:tcPr>
            <w:tcW w:w="2380" w:type="dxa"/>
            <w:tcBorders>
              <w:top w:val="nil"/>
              <w:left w:val="nil"/>
              <w:right w:val="nil"/>
            </w:tcBorders>
            <w:shd w:val="clear" w:color="auto" w:fill="auto"/>
            <w:noWrap/>
            <w:vAlign w:val="bottom"/>
            <w:hideMark/>
          </w:tcPr>
          <w:p w14:paraId="2944FCF2" w14:textId="77777777" w:rsidR="009D4550" w:rsidRPr="00275290" w:rsidRDefault="009D4550" w:rsidP="009D4550">
            <w:pPr>
              <w:rPr>
                <w:rFonts w:cs="Arial"/>
                <w:color w:val="000000"/>
                <w:lang w:val="fr-FR" w:eastAsia="fr-FR"/>
              </w:rPr>
            </w:pPr>
          </w:p>
        </w:tc>
        <w:tc>
          <w:tcPr>
            <w:tcW w:w="1827" w:type="dxa"/>
            <w:tcBorders>
              <w:top w:val="nil"/>
              <w:left w:val="nil"/>
              <w:right w:val="nil"/>
            </w:tcBorders>
            <w:shd w:val="clear" w:color="auto" w:fill="auto"/>
            <w:noWrap/>
            <w:vAlign w:val="bottom"/>
            <w:hideMark/>
          </w:tcPr>
          <w:p w14:paraId="56A8A76E" w14:textId="77777777" w:rsidR="009D4550" w:rsidRPr="00275290" w:rsidRDefault="009D4550" w:rsidP="009D4550">
            <w:pPr>
              <w:rPr>
                <w:rFonts w:cs="Arial"/>
                <w:color w:val="000000"/>
                <w:lang w:val="fr-FR" w:eastAsia="fr-FR"/>
              </w:rPr>
            </w:pPr>
          </w:p>
        </w:tc>
        <w:tc>
          <w:tcPr>
            <w:tcW w:w="1720" w:type="dxa"/>
            <w:tcBorders>
              <w:top w:val="nil"/>
              <w:left w:val="nil"/>
              <w:right w:val="nil"/>
            </w:tcBorders>
            <w:shd w:val="clear" w:color="auto" w:fill="auto"/>
            <w:noWrap/>
            <w:vAlign w:val="bottom"/>
            <w:hideMark/>
          </w:tcPr>
          <w:p w14:paraId="1F2C06CC" w14:textId="77777777" w:rsidR="009D4550" w:rsidRPr="00275290" w:rsidRDefault="009D4550" w:rsidP="009D4550">
            <w:pPr>
              <w:rPr>
                <w:rFonts w:cs="Arial"/>
                <w:color w:val="000000"/>
                <w:lang w:val="fr-FR" w:eastAsia="fr-FR"/>
              </w:rPr>
            </w:pPr>
          </w:p>
        </w:tc>
        <w:tc>
          <w:tcPr>
            <w:tcW w:w="1680" w:type="dxa"/>
            <w:tcBorders>
              <w:top w:val="nil"/>
              <w:left w:val="nil"/>
              <w:right w:val="nil"/>
            </w:tcBorders>
            <w:shd w:val="clear" w:color="auto" w:fill="auto"/>
            <w:noWrap/>
            <w:vAlign w:val="bottom"/>
            <w:hideMark/>
          </w:tcPr>
          <w:p w14:paraId="770D7FCC" w14:textId="77777777" w:rsidR="009D4550" w:rsidRPr="00275290" w:rsidRDefault="009D4550" w:rsidP="009D4550">
            <w:pPr>
              <w:rPr>
                <w:rFonts w:cs="Arial"/>
                <w:color w:val="000000"/>
                <w:lang w:val="fr-FR" w:eastAsia="fr-FR"/>
              </w:rPr>
            </w:pPr>
          </w:p>
        </w:tc>
        <w:tc>
          <w:tcPr>
            <w:tcW w:w="1122" w:type="dxa"/>
            <w:tcBorders>
              <w:top w:val="nil"/>
              <w:left w:val="nil"/>
              <w:right w:val="nil"/>
            </w:tcBorders>
            <w:shd w:val="clear" w:color="auto" w:fill="auto"/>
            <w:noWrap/>
            <w:vAlign w:val="bottom"/>
            <w:hideMark/>
          </w:tcPr>
          <w:p w14:paraId="5BEC9E15" w14:textId="77777777" w:rsidR="009D4550" w:rsidRPr="00275290" w:rsidRDefault="009D4550" w:rsidP="009D4550">
            <w:pPr>
              <w:rPr>
                <w:rFonts w:cs="Arial"/>
                <w:color w:val="000000"/>
                <w:lang w:val="fr-FR" w:eastAsia="fr-FR"/>
              </w:rPr>
            </w:pPr>
          </w:p>
        </w:tc>
        <w:tc>
          <w:tcPr>
            <w:tcW w:w="1135" w:type="dxa"/>
            <w:tcBorders>
              <w:top w:val="nil"/>
              <w:left w:val="nil"/>
              <w:bottom w:val="single" w:sz="4" w:space="0" w:color="auto"/>
              <w:right w:val="nil"/>
            </w:tcBorders>
            <w:shd w:val="clear" w:color="auto" w:fill="auto"/>
            <w:noWrap/>
            <w:vAlign w:val="bottom"/>
            <w:hideMark/>
          </w:tcPr>
          <w:p w14:paraId="1F7977E7" w14:textId="77777777" w:rsidR="009D4550" w:rsidRPr="00275290" w:rsidRDefault="009D4550" w:rsidP="009D4550">
            <w:pPr>
              <w:rPr>
                <w:rFonts w:cs="Arial"/>
                <w:color w:val="000000"/>
                <w:lang w:val="fr-FR" w:eastAsia="fr-FR"/>
              </w:rPr>
            </w:pPr>
          </w:p>
        </w:tc>
      </w:tr>
      <w:tr w:rsidR="009D4550" w:rsidRPr="00275290" w14:paraId="5EFDA74F" w14:textId="77777777" w:rsidTr="00334B45">
        <w:trPr>
          <w:trHeight w:val="315"/>
        </w:trPr>
        <w:tc>
          <w:tcPr>
            <w:tcW w:w="2380" w:type="dxa"/>
            <w:tcBorders>
              <w:top w:val="nil"/>
              <w:bottom w:val="single" w:sz="4" w:space="0" w:color="auto"/>
            </w:tcBorders>
            <w:shd w:val="clear" w:color="auto" w:fill="auto"/>
            <w:noWrap/>
            <w:vAlign w:val="bottom"/>
          </w:tcPr>
          <w:p w14:paraId="30409132" w14:textId="77777777" w:rsidR="009D4550" w:rsidRPr="00275290" w:rsidRDefault="009D4550" w:rsidP="009D4550">
            <w:pPr>
              <w:rPr>
                <w:rFonts w:cs="Arial"/>
                <w:color w:val="000000"/>
                <w:lang w:val="fr-FR" w:eastAsia="fr-FR"/>
              </w:rPr>
            </w:pPr>
          </w:p>
        </w:tc>
        <w:tc>
          <w:tcPr>
            <w:tcW w:w="1827" w:type="dxa"/>
            <w:tcBorders>
              <w:top w:val="nil"/>
              <w:bottom w:val="single" w:sz="4" w:space="0" w:color="auto"/>
            </w:tcBorders>
            <w:shd w:val="clear" w:color="auto" w:fill="auto"/>
            <w:noWrap/>
            <w:vAlign w:val="bottom"/>
          </w:tcPr>
          <w:p w14:paraId="380F08D3" w14:textId="77777777" w:rsidR="009D4550" w:rsidRPr="00275290" w:rsidRDefault="009D4550" w:rsidP="009D4550">
            <w:pPr>
              <w:rPr>
                <w:rFonts w:cs="Arial"/>
                <w:lang w:val="fr-FR" w:eastAsia="fr-FR"/>
              </w:rPr>
            </w:pPr>
          </w:p>
        </w:tc>
        <w:tc>
          <w:tcPr>
            <w:tcW w:w="1720" w:type="dxa"/>
            <w:tcBorders>
              <w:top w:val="nil"/>
              <w:left w:val="nil"/>
              <w:bottom w:val="single" w:sz="4" w:space="0" w:color="auto"/>
            </w:tcBorders>
            <w:shd w:val="clear" w:color="auto" w:fill="auto"/>
            <w:noWrap/>
            <w:vAlign w:val="bottom"/>
          </w:tcPr>
          <w:p w14:paraId="33D26271" w14:textId="77777777" w:rsidR="009D4550" w:rsidRPr="00275290" w:rsidRDefault="009D4550" w:rsidP="009D4550">
            <w:pPr>
              <w:rPr>
                <w:rFonts w:cs="Arial"/>
                <w:lang w:val="fr-FR" w:eastAsia="fr-FR"/>
              </w:rPr>
            </w:pPr>
          </w:p>
        </w:tc>
        <w:tc>
          <w:tcPr>
            <w:tcW w:w="1680" w:type="dxa"/>
            <w:tcBorders>
              <w:bottom w:val="single" w:sz="4" w:space="0" w:color="auto"/>
            </w:tcBorders>
            <w:shd w:val="clear" w:color="auto" w:fill="auto"/>
            <w:noWrap/>
            <w:vAlign w:val="bottom"/>
          </w:tcPr>
          <w:p w14:paraId="29175016" w14:textId="77777777" w:rsidR="009D4550" w:rsidRPr="00275290" w:rsidRDefault="009D4550" w:rsidP="009D4550">
            <w:pPr>
              <w:rPr>
                <w:rFonts w:cs="Arial"/>
                <w:lang w:val="fr-FR" w:eastAsia="fr-FR"/>
              </w:rPr>
            </w:pPr>
          </w:p>
        </w:tc>
        <w:tc>
          <w:tcPr>
            <w:tcW w:w="1122" w:type="dxa"/>
            <w:tcBorders>
              <w:bottom w:val="single" w:sz="4" w:space="0" w:color="auto"/>
              <w:right w:val="single" w:sz="4" w:space="0" w:color="auto"/>
            </w:tcBorders>
            <w:shd w:val="clear" w:color="auto" w:fill="auto"/>
            <w:noWrap/>
            <w:vAlign w:val="bottom"/>
          </w:tcPr>
          <w:p w14:paraId="7E6816F5" w14:textId="77777777" w:rsidR="009D4550" w:rsidRPr="00275290" w:rsidRDefault="009D4550" w:rsidP="009D4550">
            <w:pPr>
              <w:rPr>
                <w:rFonts w:cs="Arial"/>
                <w:lang w:val="fr-FR" w:eastAsia="fr-FR"/>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5B354" w14:textId="77777777" w:rsidR="009D4550" w:rsidRPr="00275290" w:rsidRDefault="009D4550" w:rsidP="009D4550">
            <w:pPr>
              <w:rPr>
                <w:rFonts w:cs="Arial"/>
                <w:b/>
                <w:color w:val="000000"/>
                <w:lang w:val="fr-FR" w:eastAsia="fr-FR"/>
              </w:rPr>
            </w:pPr>
            <w:r w:rsidRPr="00275290">
              <w:rPr>
                <w:rFonts w:cs="Arial"/>
                <w:b/>
                <w:color w:val="000000"/>
                <w:lang w:val="fr-FR" w:eastAsia="fr-FR"/>
              </w:rPr>
              <w:t>HI</w:t>
            </w:r>
          </w:p>
        </w:tc>
      </w:tr>
      <w:tr w:rsidR="00AB760F" w:rsidRPr="00275290" w14:paraId="3F551BD0" w14:textId="77777777" w:rsidTr="00334B45">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4085D09" w14:textId="77777777" w:rsidR="00AB760F" w:rsidRPr="00275290" w:rsidRDefault="00AB760F" w:rsidP="009D4550">
            <w:pPr>
              <w:rPr>
                <w:rFonts w:cs="Arial"/>
                <w:color w:val="000000"/>
                <w:lang w:val="fr-FR" w:eastAsia="fr-FR"/>
              </w:rPr>
            </w:pPr>
            <w:r w:rsidRPr="00275290">
              <w:rPr>
                <w:rFonts w:cs="Arial"/>
                <w:color w:val="000000"/>
                <w:lang w:val="fr-FR" w:eastAsia="fr-FR"/>
              </w:rPr>
              <w:t>%AEL (liver)</w:t>
            </w:r>
          </w:p>
        </w:tc>
        <w:tc>
          <w:tcPr>
            <w:tcW w:w="1827" w:type="dxa"/>
            <w:tcBorders>
              <w:top w:val="nil"/>
              <w:left w:val="nil"/>
              <w:bottom w:val="single" w:sz="4" w:space="0" w:color="auto"/>
              <w:right w:val="single" w:sz="4" w:space="0" w:color="auto"/>
            </w:tcBorders>
            <w:shd w:val="clear" w:color="auto" w:fill="auto"/>
            <w:noWrap/>
            <w:vAlign w:val="center"/>
            <w:hideMark/>
          </w:tcPr>
          <w:p w14:paraId="0FE60C39" w14:textId="6B70B6C1" w:rsidR="00AB760F" w:rsidRPr="00275290" w:rsidRDefault="00AB760F" w:rsidP="009D4550">
            <w:pPr>
              <w:rPr>
                <w:rFonts w:cs="Arial"/>
                <w:color w:val="000000"/>
                <w:lang w:val="fr-FR" w:eastAsia="fr-FR"/>
              </w:rPr>
            </w:pPr>
            <w:r>
              <w:rPr>
                <w:rFonts w:cs="Calibri"/>
                <w:color w:val="000000"/>
              </w:rPr>
              <w:t>8%</w:t>
            </w:r>
          </w:p>
        </w:tc>
        <w:tc>
          <w:tcPr>
            <w:tcW w:w="1720" w:type="dxa"/>
            <w:tcBorders>
              <w:top w:val="nil"/>
              <w:left w:val="nil"/>
              <w:bottom w:val="single" w:sz="4" w:space="0" w:color="auto"/>
              <w:right w:val="single" w:sz="4" w:space="0" w:color="auto"/>
            </w:tcBorders>
            <w:shd w:val="clear" w:color="auto" w:fill="auto"/>
            <w:noWrap/>
            <w:vAlign w:val="center"/>
            <w:hideMark/>
          </w:tcPr>
          <w:p w14:paraId="076F940B" w14:textId="6E66F5BE" w:rsidR="00AB760F" w:rsidRPr="00275290" w:rsidRDefault="00AB760F" w:rsidP="009D4550">
            <w:pPr>
              <w:rPr>
                <w:rFonts w:cs="Arial"/>
                <w:color w:val="000000"/>
                <w:lang w:val="fr-FR" w:eastAsia="fr-FR"/>
              </w:rPr>
            </w:pPr>
            <w:r>
              <w:rPr>
                <w:rFonts w:cs="Calibri"/>
                <w:color w:val="000000"/>
              </w:rPr>
              <w:t>2</w:t>
            </w:r>
            <w:r w:rsidR="00334B45">
              <w:rPr>
                <w:rFonts w:cs="Calibri"/>
                <w:color w:val="000000"/>
              </w:rPr>
              <w:t>6</w:t>
            </w:r>
            <w:r>
              <w:rPr>
                <w:rFonts w:cs="Calibri"/>
                <w:color w:val="000000"/>
              </w:rPr>
              <w:t>%</w:t>
            </w:r>
          </w:p>
        </w:tc>
        <w:tc>
          <w:tcPr>
            <w:tcW w:w="1680" w:type="dxa"/>
            <w:tcBorders>
              <w:top w:val="nil"/>
              <w:left w:val="nil"/>
              <w:bottom w:val="single" w:sz="4" w:space="0" w:color="auto"/>
              <w:right w:val="single" w:sz="4" w:space="0" w:color="auto"/>
            </w:tcBorders>
            <w:shd w:val="clear" w:color="auto" w:fill="auto"/>
            <w:noWrap/>
            <w:vAlign w:val="center"/>
            <w:hideMark/>
          </w:tcPr>
          <w:p w14:paraId="5E8F1959" w14:textId="7EEE67A4" w:rsidR="00AB760F" w:rsidRPr="00275290" w:rsidRDefault="00AB760F" w:rsidP="009D4550">
            <w:pPr>
              <w:rPr>
                <w:rFonts w:cs="Arial"/>
                <w:color w:val="000000"/>
                <w:lang w:val="fr-FR" w:eastAsia="fr-FR"/>
              </w:rPr>
            </w:pPr>
            <w:r>
              <w:rPr>
                <w:rFonts w:cs="Calibri"/>
                <w:color w:val="000000"/>
              </w:rPr>
              <w:t>1</w:t>
            </w:r>
            <w:r w:rsidR="00334B45">
              <w:rPr>
                <w:rFonts w:cs="Calibri"/>
                <w:color w:val="000000"/>
              </w:rPr>
              <w:t>3</w:t>
            </w:r>
            <w:r>
              <w:rPr>
                <w:rFonts w:cs="Calibri"/>
                <w:color w:val="000000"/>
              </w:rPr>
              <w:t>%</w:t>
            </w:r>
          </w:p>
        </w:tc>
        <w:tc>
          <w:tcPr>
            <w:tcW w:w="1122" w:type="dxa"/>
            <w:tcBorders>
              <w:top w:val="nil"/>
              <w:left w:val="nil"/>
              <w:bottom w:val="single" w:sz="4" w:space="0" w:color="auto"/>
              <w:right w:val="single" w:sz="4" w:space="0" w:color="auto"/>
            </w:tcBorders>
            <w:shd w:val="clear" w:color="auto" w:fill="auto"/>
            <w:noWrap/>
            <w:vAlign w:val="center"/>
            <w:hideMark/>
          </w:tcPr>
          <w:p w14:paraId="32CC63BE" w14:textId="1B0AF4E4" w:rsidR="00AB760F" w:rsidRPr="00275290" w:rsidRDefault="00334B45" w:rsidP="009D4550">
            <w:pPr>
              <w:rPr>
                <w:rFonts w:cs="Arial"/>
                <w:color w:val="000000"/>
                <w:lang w:val="fr-FR" w:eastAsia="fr-FR"/>
              </w:rPr>
            </w:pPr>
            <w:r>
              <w:rPr>
                <w:rFonts w:cs="Calibri"/>
                <w:color w:val="000000"/>
              </w:rPr>
              <w:t>8</w:t>
            </w:r>
            <w:r w:rsidR="00AB760F">
              <w:rPr>
                <w:rFonts w:cs="Calibri"/>
                <w:color w:val="000000"/>
              </w:rPr>
              <w:t>%</w:t>
            </w:r>
          </w:p>
        </w:tc>
        <w:tc>
          <w:tcPr>
            <w:tcW w:w="1135" w:type="dxa"/>
            <w:tcBorders>
              <w:top w:val="nil"/>
              <w:left w:val="nil"/>
              <w:bottom w:val="single" w:sz="4" w:space="0" w:color="auto"/>
              <w:right w:val="single" w:sz="4" w:space="0" w:color="auto"/>
            </w:tcBorders>
            <w:shd w:val="clear" w:color="auto" w:fill="auto"/>
            <w:noWrap/>
            <w:vAlign w:val="bottom"/>
            <w:hideMark/>
          </w:tcPr>
          <w:p w14:paraId="661B45E4" w14:textId="0E61A17A" w:rsidR="00AB760F" w:rsidRPr="00275290" w:rsidRDefault="00AB760F" w:rsidP="009D4550">
            <w:pPr>
              <w:rPr>
                <w:rFonts w:cs="Arial"/>
                <w:b/>
                <w:color w:val="000000"/>
                <w:lang w:val="fr-FR" w:eastAsia="fr-FR"/>
              </w:rPr>
            </w:pPr>
            <w:r w:rsidRPr="00275290">
              <w:rPr>
                <w:rFonts w:cs="Arial"/>
                <w:b/>
                <w:color w:val="000000"/>
                <w:lang w:val="fr-FR" w:eastAsia="fr-FR"/>
              </w:rPr>
              <w:t>0.</w:t>
            </w:r>
            <w:r w:rsidR="00334B45">
              <w:rPr>
                <w:rFonts w:cs="Arial"/>
                <w:b/>
                <w:color w:val="000000"/>
                <w:lang w:val="fr-FR" w:eastAsia="fr-FR"/>
              </w:rPr>
              <w:t>55</w:t>
            </w:r>
          </w:p>
        </w:tc>
      </w:tr>
      <w:tr w:rsidR="009D4550" w:rsidRPr="00275290" w14:paraId="7F668704" w14:textId="77777777" w:rsidTr="00334B45">
        <w:trPr>
          <w:trHeight w:val="315"/>
        </w:trPr>
        <w:tc>
          <w:tcPr>
            <w:tcW w:w="2380" w:type="dxa"/>
            <w:tcBorders>
              <w:top w:val="nil"/>
              <w:left w:val="nil"/>
              <w:bottom w:val="single" w:sz="4" w:space="0" w:color="auto"/>
              <w:right w:val="nil"/>
            </w:tcBorders>
            <w:shd w:val="clear" w:color="auto" w:fill="auto"/>
            <w:noWrap/>
            <w:vAlign w:val="bottom"/>
            <w:hideMark/>
          </w:tcPr>
          <w:p w14:paraId="3F18C830" w14:textId="77777777" w:rsidR="009D4550" w:rsidRPr="00275290" w:rsidRDefault="009D4550" w:rsidP="009D4550">
            <w:pPr>
              <w:rPr>
                <w:rFonts w:cs="Arial"/>
                <w:color w:val="000000"/>
                <w:lang w:val="fr-FR" w:eastAsia="fr-FR"/>
              </w:rPr>
            </w:pPr>
          </w:p>
        </w:tc>
        <w:tc>
          <w:tcPr>
            <w:tcW w:w="1827" w:type="dxa"/>
            <w:tcBorders>
              <w:top w:val="nil"/>
              <w:left w:val="nil"/>
              <w:bottom w:val="single" w:sz="4" w:space="0" w:color="auto"/>
              <w:right w:val="nil"/>
            </w:tcBorders>
            <w:shd w:val="clear" w:color="auto" w:fill="auto"/>
            <w:noWrap/>
            <w:vAlign w:val="bottom"/>
            <w:hideMark/>
          </w:tcPr>
          <w:p w14:paraId="34C4BA2C" w14:textId="77777777" w:rsidR="009D4550" w:rsidRPr="00275290" w:rsidRDefault="009D4550" w:rsidP="009D4550">
            <w:pPr>
              <w:rPr>
                <w:rFonts w:cs="Arial"/>
                <w:color w:val="000000"/>
                <w:lang w:val="fr-FR" w:eastAsia="fr-FR"/>
              </w:rPr>
            </w:pPr>
          </w:p>
        </w:tc>
        <w:tc>
          <w:tcPr>
            <w:tcW w:w="1720" w:type="dxa"/>
            <w:tcBorders>
              <w:top w:val="nil"/>
              <w:left w:val="nil"/>
              <w:bottom w:val="single" w:sz="4" w:space="0" w:color="auto"/>
              <w:right w:val="nil"/>
            </w:tcBorders>
            <w:shd w:val="clear" w:color="auto" w:fill="auto"/>
            <w:noWrap/>
            <w:vAlign w:val="bottom"/>
            <w:hideMark/>
          </w:tcPr>
          <w:p w14:paraId="7A26F090" w14:textId="77777777" w:rsidR="009D4550" w:rsidRPr="00275290" w:rsidRDefault="009D4550" w:rsidP="009D4550">
            <w:pPr>
              <w:rPr>
                <w:rFonts w:cs="Arial"/>
                <w:color w:val="000000"/>
                <w:lang w:val="fr-FR" w:eastAsia="fr-FR"/>
              </w:rPr>
            </w:pPr>
          </w:p>
        </w:tc>
        <w:tc>
          <w:tcPr>
            <w:tcW w:w="1680" w:type="dxa"/>
            <w:tcBorders>
              <w:top w:val="nil"/>
              <w:left w:val="nil"/>
              <w:bottom w:val="single" w:sz="4" w:space="0" w:color="auto"/>
              <w:right w:val="nil"/>
            </w:tcBorders>
            <w:shd w:val="clear" w:color="auto" w:fill="auto"/>
            <w:noWrap/>
            <w:vAlign w:val="bottom"/>
            <w:hideMark/>
          </w:tcPr>
          <w:p w14:paraId="42E7C890" w14:textId="77777777" w:rsidR="009D4550" w:rsidRPr="00275290" w:rsidRDefault="009D4550" w:rsidP="009D4550">
            <w:pPr>
              <w:rPr>
                <w:rFonts w:cs="Arial"/>
                <w:color w:val="000000"/>
                <w:lang w:val="fr-FR" w:eastAsia="fr-FR"/>
              </w:rPr>
            </w:pPr>
          </w:p>
        </w:tc>
        <w:tc>
          <w:tcPr>
            <w:tcW w:w="1122" w:type="dxa"/>
            <w:tcBorders>
              <w:top w:val="nil"/>
              <w:left w:val="nil"/>
              <w:bottom w:val="single" w:sz="4" w:space="0" w:color="auto"/>
              <w:right w:val="nil"/>
            </w:tcBorders>
            <w:shd w:val="clear" w:color="auto" w:fill="auto"/>
            <w:noWrap/>
            <w:vAlign w:val="bottom"/>
            <w:hideMark/>
          </w:tcPr>
          <w:p w14:paraId="510606B7" w14:textId="77777777" w:rsidR="009D4550" w:rsidRPr="00275290" w:rsidRDefault="009D4550" w:rsidP="009D4550">
            <w:pPr>
              <w:rPr>
                <w:rFonts w:cs="Arial"/>
                <w:color w:val="000000"/>
                <w:lang w:val="fr-FR" w:eastAsia="fr-FR"/>
              </w:rPr>
            </w:pPr>
          </w:p>
        </w:tc>
        <w:tc>
          <w:tcPr>
            <w:tcW w:w="1135" w:type="dxa"/>
            <w:tcBorders>
              <w:top w:val="nil"/>
              <w:left w:val="nil"/>
              <w:bottom w:val="single" w:sz="4" w:space="0" w:color="auto"/>
              <w:right w:val="nil"/>
            </w:tcBorders>
            <w:shd w:val="clear" w:color="auto" w:fill="auto"/>
            <w:noWrap/>
            <w:vAlign w:val="bottom"/>
            <w:hideMark/>
          </w:tcPr>
          <w:p w14:paraId="6F3C827A" w14:textId="77777777" w:rsidR="009D4550" w:rsidRPr="00275290" w:rsidRDefault="009D4550" w:rsidP="009D4550">
            <w:pPr>
              <w:rPr>
                <w:rFonts w:cs="Arial"/>
                <w:b/>
                <w:color w:val="000000"/>
                <w:lang w:val="fr-FR" w:eastAsia="fr-FR"/>
              </w:rPr>
            </w:pPr>
          </w:p>
        </w:tc>
      </w:tr>
      <w:tr w:rsidR="00AB760F" w:rsidRPr="00275290" w14:paraId="720E30BC" w14:textId="77777777" w:rsidTr="00334B45">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698AB" w14:textId="77777777" w:rsidR="00AB760F" w:rsidRPr="00275290" w:rsidRDefault="00AB760F" w:rsidP="009D4550">
            <w:pPr>
              <w:rPr>
                <w:rFonts w:cs="Arial"/>
                <w:lang w:val="fr-FR" w:eastAsia="fr-FR"/>
              </w:rPr>
            </w:pPr>
            <w:r w:rsidRPr="00275290">
              <w:rPr>
                <w:rFonts w:cs="Arial"/>
                <w:lang w:val="fr-FR" w:eastAsia="fr-FR"/>
              </w:rPr>
              <w:t>%AEL (kidney)</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642BA778" w14:textId="7DDD67B6" w:rsidR="00AB760F" w:rsidRPr="00275290" w:rsidRDefault="00AB760F" w:rsidP="009D4550">
            <w:pPr>
              <w:rPr>
                <w:rFonts w:cs="Arial"/>
                <w:lang w:val="fr-FR" w:eastAsia="fr-FR"/>
              </w:rPr>
            </w:pPr>
            <w:r>
              <w:rPr>
                <w:rFonts w:cs="Calibri"/>
                <w:color w:val="000000"/>
              </w:rPr>
              <w:t>63%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79C48E24" w14:textId="527C8635" w:rsidR="00AB760F" w:rsidRPr="00275290" w:rsidRDefault="00334B45" w:rsidP="009D4550">
            <w:pPr>
              <w:rPr>
                <w:rFonts w:cs="Arial"/>
                <w:lang w:val="fr-FR" w:eastAsia="fr-FR"/>
              </w:rPr>
            </w:pPr>
            <w:r>
              <w:rPr>
                <w:rFonts w:cs="Calibri"/>
                <w:color w:val="000000"/>
              </w:rPr>
              <w:t>4</w:t>
            </w:r>
            <w:r w:rsidR="00AB760F">
              <w:rPr>
                <w:rFonts w:cs="Calibri"/>
                <w:color w:val="000000"/>
              </w:rPr>
              <w:t>%</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48DFC55" w14:textId="144FE4EB" w:rsidR="00AB760F" w:rsidRPr="00275290" w:rsidRDefault="00AB760F" w:rsidP="009D4550">
            <w:pPr>
              <w:rPr>
                <w:rFonts w:cs="Arial"/>
                <w:lang w:val="fr-FR" w:eastAsia="fr-FR"/>
              </w:rPr>
            </w:pPr>
            <w:r>
              <w:rPr>
                <w:rFonts w:cs="Calibri"/>
                <w:color w:val="000000"/>
              </w:rPr>
              <w:t> </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56160917" w14:textId="0E3584A3" w:rsidR="00AB760F" w:rsidRPr="00275290" w:rsidRDefault="00334B45" w:rsidP="009D4550">
            <w:pPr>
              <w:rPr>
                <w:rFonts w:cs="Arial"/>
                <w:lang w:val="fr-FR" w:eastAsia="fr-FR"/>
              </w:rPr>
            </w:pPr>
            <w:r>
              <w:rPr>
                <w:rFonts w:cs="Calibri"/>
                <w:color w:val="000000"/>
              </w:rPr>
              <w:t>5</w:t>
            </w:r>
            <w:r w:rsidR="00AB760F">
              <w:rPr>
                <w:rFonts w:cs="Calibri"/>
                <w:color w:val="000000"/>
              </w:rPr>
              <w: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2667AABF" w14:textId="362E0B7A" w:rsidR="00AB760F" w:rsidRPr="00275290" w:rsidRDefault="00AB760F" w:rsidP="009D4550">
            <w:pPr>
              <w:rPr>
                <w:rFonts w:cs="Arial"/>
                <w:b/>
                <w:lang w:val="fr-FR" w:eastAsia="fr-FR"/>
              </w:rPr>
            </w:pPr>
            <w:r>
              <w:rPr>
                <w:rFonts w:cs="Arial"/>
                <w:b/>
                <w:lang w:val="fr-FR" w:eastAsia="fr-FR"/>
              </w:rPr>
              <w:t>0.7</w:t>
            </w:r>
            <w:r w:rsidR="00334B45">
              <w:rPr>
                <w:rFonts w:cs="Arial"/>
                <w:b/>
                <w:lang w:val="fr-FR" w:eastAsia="fr-FR"/>
              </w:rPr>
              <w:t>2</w:t>
            </w:r>
          </w:p>
        </w:tc>
      </w:tr>
      <w:tr w:rsidR="009D4550" w:rsidRPr="00275290" w14:paraId="049BE3BF" w14:textId="77777777" w:rsidTr="00334B45">
        <w:trPr>
          <w:trHeight w:val="315"/>
        </w:trPr>
        <w:tc>
          <w:tcPr>
            <w:tcW w:w="2380" w:type="dxa"/>
            <w:tcBorders>
              <w:top w:val="nil"/>
              <w:left w:val="nil"/>
              <w:bottom w:val="single" w:sz="4" w:space="0" w:color="auto"/>
              <w:right w:val="nil"/>
            </w:tcBorders>
            <w:shd w:val="clear" w:color="auto" w:fill="auto"/>
            <w:noWrap/>
            <w:vAlign w:val="bottom"/>
            <w:hideMark/>
          </w:tcPr>
          <w:p w14:paraId="257083DA" w14:textId="77777777" w:rsidR="009D4550" w:rsidRPr="00275290" w:rsidRDefault="009D4550" w:rsidP="009D4550">
            <w:pPr>
              <w:rPr>
                <w:rFonts w:cs="Arial"/>
                <w:color w:val="000000"/>
                <w:lang w:val="fr-FR" w:eastAsia="fr-FR"/>
              </w:rPr>
            </w:pPr>
          </w:p>
        </w:tc>
        <w:tc>
          <w:tcPr>
            <w:tcW w:w="1827" w:type="dxa"/>
            <w:tcBorders>
              <w:top w:val="nil"/>
              <w:left w:val="nil"/>
              <w:bottom w:val="single" w:sz="4" w:space="0" w:color="auto"/>
              <w:right w:val="nil"/>
            </w:tcBorders>
            <w:shd w:val="clear" w:color="auto" w:fill="auto"/>
            <w:noWrap/>
            <w:vAlign w:val="bottom"/>
            <w:hideMark/>
          </w:tcPr>
          <w:p w14:paraId="687EF6DE" w14:textId="77777777" w:rsidR="009D4550" w:rsidRPr="00275290" w:rsidRDefault="009D4550" w:rsidP="009D4550">
            <w:pPr>
              <w:rPr>
                <w:rFonts w:cs="Arial"/>
                <w:color w:val="000000"/>
                <w:lang w:val="fr-FR" w:eastAsia="fr-FR"/>
              </w:rPr>
            </w:pPr>
          </w:p>
        </w:tc>
        <w:tc>
          <w:tcPr>
            <w:tcW w:w="1720" w:type="dxa"/>
            <w:tcBorders>
              <w:top w:val="nil"/>
              <w:left w:val="nil"/>
              <w:bottom w:val="single" w:sz="4" w:space="0" w:color="auto"/>
              <w:right w:val="nil"/>
            </w:tcBorders>
            <w:shd w:val="clear" w:color="auto" w:fill="auto"/>
            <w:noWrap/>
            <w:vAlign w:val="bottom"/>
            <w:hideMark/>
          </w:tcPr>
          <w:p w14:paraId="69D19716" w14:textId="77777777" w:rsidR="009D4550" w:rsidRPr="00275290" w:rsidRDefault="009D4550" w:rsidP="009D4550">
            <w:pPr>
              <w:rPr>
                <w:rFonts w:cs="Arial"/>
                <w:color w:val="000000"/>
                <w:lang w:val="fr-FR" w:eastAsia="fr-FR"/>
              </w:rPr>
            </w:pPr>
          </w:p>
        </w:tc>
        <w:tc>
          <w:tcPr>
            <w:tcW w:w="1680" w:type="dxa"/>
            <w:tcBorders>
              <w:top w:val="nil"/>
              <w:left w:val="nil"/>
              <w:bottom w:val="single" w:sz="4" w:space="0" w:color="auto"/>
              <w:right w:val="nil"/>
            </w:tcBorders>
            <w:shd w:val="clear" w:color="auto" w:fill="auto"/>
            <w:noWrap/>
            <w:vAlign w:val="bottom"/>
            <w:hideMark/>
          </w:tcPr>
          <w:p w14:paraId="289E0B2C" w14:textId="77777777" w:rsidR="009D4550" w:rsidRPr="00275290" w:rsidRDefault="009D4550" w:rsidP="009D4550">
            <w:pPr>
              <w:rPr>
                <w:rFonts w:cs="Arial"/>
                <w:color w:val="000000"/>
                <w:lang w:val="fr-FR" w:eastAsia="fr-FR"/>
              </w:rPr>
            </w:pPr>
          </w:p>
        </w:tc>
        <w:tc>
          <w:tcPr>
            <w:tcW w:w="1122" w:type="dxa"/>
            <w:tcBorders>
              <w:top w:val="nil"/>
              <w:left w:val="nil"/>
              <w:bottom w:val="single" w:sz="4" w:space="0" w:color="auto"/>
              <w:right w:val="nil"/>
            </w:tcBorders>
            <w:shd w:val="clear" w:color="auto" w:fill="auto"/>
            <w:noWrap/>
            <w:vAlign w:val="bottom"/>
            <w:hideMark/>
          </w:tcPr>
          <w:p w14:paraId="521F6B34" w14:textId="77777777" w:rsidR="009D4550" w:rsidRPr="00275290" w:rsidRDefault="009D4550" w:rsidP="009D4550">
            <w:pPr>
              <w:rPr>
                <w:rFonts w:cs="Arial"/>
                <w:color w:val="000000"/>
                <w:lang w:val="fr-FR" w:eastAsia="fr-FR"/>
              </w:rPr>
            </w:pPr>
          </w:p>
        </w:tc>
        <w:tc>
          <w:tcPr>
            <w:tcW w:w="1135" w:type="dxa"/>
            <w:tcBorders>
              <w:top w:val="single" w:sz="4" w:space="0" w:color="auto"/>
              <w:left w:val="nil"/>
              <w:bottom w:val="single" w:sz="4" w:space="0" w:color="auto"/>
              <w:right w:val="nil"/>
            </w:tcBorders>
            <w:shd w:val="clear" w:color="auto" w:fill="auto"/>
            <w:noWrap/>
            <w:vAlign w:val="bottom"/>
            <w:hideMark/>
          </w:tcPr>
          <w:p w14:paraId="1A608A07" w14:textId="77777777" w:rsidR="009D4550" w:rsidRPr="00275290" w:rsidRDefault="009D4550" w:rsidP="009D4550">
            <w:pPr>
              <w:rPr>
                <w:rFonts w:cs="Arial"/>
                <w:b/>
                <w:color w:val="000000"/>
                <w:lang w:val="fr-FR" w:eastAsia="fr-FR"/>
              </w:rPr>
            </w:pPr>
          </w:p>
        </w:tc>
      </w:tr>
      <w:tr w:rsidR="00AB760F" w:rsidRPr="00275290" w14:paraId="6364ABEB" w14:textId="77777777" w:rsidTr="00334B45">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CC883" w14:textId="77777777" w:rsidR="00AB760F" w:rsidRPr="00275290" w:rsidRDefault="00AB760F" w:rsidP="009D4550">
            <w:pPr>
              <w:rPr>
                <w:rFonts w:cs="Arial"/>
                <w:color w:val="000000"/>
                <w:lang w:val="fr-FR" w:eastAsia="fr-FR"/>
              </w:rPr>
            </w:pPr>
            <w:r w:rsidRPr="00275290">
              <w:rPr>
                <w:rFonts w:cs="Arial"/>
                <w:color w:val="000000"/>
                <w:lang w:val="fr-FR" w:eastAsia="fr-FR"/>
              </w:rPr>
              <w:t>%AEL (hemato)</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2D253749" w14:textId="0040EF2F" w:rsidR="00AB760F" w:rsidRPr="00275290" w:rsidRDefault="00AB760F" w:rsidP="009D4550">
            <w:pPr>
              <w:rPr>
                <w:rFonts w:cs="Arial"/>
                <w:lang w:val="fr-FR" w:eastAsia="fr-FR"/>
              </w:rPr>
            </w:pPr>
            <w:r>
              <w:rPr>
                <w:rFonts w:cs="Calibri"/>
                <w:color w:val="000000"/>
              </w:rPr>
              <w:t>63%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07C6C25D" w14:textId="1F7B0BE2" w:rsidR="00AB760F" w:rsidRPr="00275290" w:rsidRDefault="00334B45" w:rsidP="009D4550">
            <w:pPr>
              <w:rPr>
                <w:rFonts w:cs="Arial"/>
                <w:lang w:val="fr-FR" w:eastAsia="fr-FR"/>
              </w:rPr>
            </w:pPr>
            <w:r>
              <w:rPr>
                <w:rFonts w:cs="Calibri"/>
                <w:color w:val="000000"/>
              </w:rPr>
              <w:t>3</w:t>
            </w:r>
            <w:r w:rsidR="00AB760F">
              <w:rPr>
                <w:rFonts w:cs="Calibri"/>
                <w:color w:val="000000"/>
              </w:rPr>
              <w:t>%</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F1B3144" w14:textId="4E83984B" w:rsidR="00AB760F" w:rsidRPr="00275290" w:rsidRDefault="00334B45" w:rsidP="009D4550">
            <w:pPr>
              <w:rPr>
                <w:rFonts w:cs="Arial"/>
                <w:lang w:val="fr-FR" w:eastAsia="fr-FR"/>
              </w:rPr>
            </w:pPr>
            <w:r>
              <w:rPr>
                <w:rFonts w:cs="Calibri"/>
                <w:color w:val="000000"/>
              </w:rPr>
              <w:t>3</w:t>
            </w:r>
            <w:r w:rsidR="00AB760F">
              <w:rPr>
                <w:rFonts w:cs="Calibri"/>
                <w:color w:val="000000"/>
              </w:rPr>
              <w:t>%</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013DE27C" w14:textId="43E2BF85" w:rsidR="00AB760F" w:rsidRPr="00275290" w:rsidRDefault="00AB760F" w:rsidP="009D4550">
            <w:pPr>
              <w:rPr>
                <w:rFonts w:cs="Arial"/>
                <w:lang w:val="fr-FR" w:eastAsia="fr-FR"/>
              </w:rPr>
            </w:pPr>
            <w:r>
              <w:rPr>
                <w:rFonts w:cs="Calibri"/>
                <w:color w:val="000000"/>
              </w:rPr>
              <w:t>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3E266E5D" w14:textId="2976621E" w:rsidR="00AB760F" w:rsidRPr="00275290" w:rsidRDefault="00AB760F" w:rsidP="009D4550">
            <w:pPr>
              <w:rPr>
                <w:rFonts w:cs="Arial"/>
                <w:b/>
                <w:lang w:val="fr-FR" w:eastAsia="fr-FR"/>
              </w:rPr>
            </w:pPr>
            <w:r>
              <w:rPr>
                <w:rFonts w:cs="Arial"/>
                <w:b/>
                <w:lang w:val="fr-FR" w:eastAsia="fr-FR"/>
              </w:rPr>
              <w:t>0.6</w:t>
            </w:r>
            <w:r w:rsidR="00334B45">
              <w:rPr>
                <w:rFonts w:cs="Arial"/>
                <w:b/>
                <w:lang w:val="fr-FR" w:eastAsia="fr-FR"/>
              </w:rPr>
              <w:t>8</w:t>
            </w:r>
          </w:p>
        </w:tc>
      </w:tr>
      <w:tr w:rsidR="009D4550" w:rsidRPr="00275290" w14:paraId="68E8E046" w14:textId="77777777" w:rsidTr="00334B45">
        <w:trPr>
          <w:trHeight w:val="300"/>
        </w:trPr>
        <w:tc>
          <w:tcPr>
            <w:tcW w:w="2380" w:type="dxa"/>
            <w:tcBorders>
              <w:top w:val="nil"/>
              <w:left w:val="nil"/>
              <w:bottom w:val="single" w:sz="4" w:space="0" w:color="auto"/>
              <w:right w:val="nil"/>
            </w:tcBorders>
            <w:shd w:val="clear" w:color="auto" w:fill="auto"/>
            <w:noWrap/>
            <w:vAlign w:val="bottom"/>
            <w:hideMark/>
          </w:tcPr>
          <w:p w14:paraId="28243C46" w14:textId="77777777" w:rsidR="009D4550" w:rsidRPr="00275290" w:rsidRDefault="009D4550" w:rsidP="009D4550">
            <w:pPr>
              <w:rPr>
                <w:rFonts w:cs="Arial"/>
                <w:color w:val="000000"/>
                <w:lang w:val="fr-FR" w:eastAsia="fr-FR"/>
              </w:rPr>
            </w:pPr>
          </w:p>
        </w:tc>
        <w:tc>
          <w:tcPr>
            <w:tcW w:w="1827" w:type="dxa"/>
            <w:tcBorders>
              <w:top w:val="nil"/>
              <w:left w:val="nil"/>
              <w:bottom w:val="single" w:sz="4" w:space="0" w:color="auto"/>
              <w:right w:val="nil"/>
            </w:tcBorders>
            <w:shd w:val="clear" w:color="auto" w:fill="auto"/>
            <w:noWrap/>
            <w:vAlign w:val="bottom"/>
            <w:hideMark/>
          </w:tcPr>
          <w:p w14:paraId="11292479" w14:textId="77777777" w:rsidR="009D4550" w:rsidRPr="00275290" w:rsidRDefault="009D4550" w:rsidP="009D4550">
            <w:pPr>
              <w:rPr>
                <w:rFonts w:cs="Arial"/>
                <w:color w:val="000000"/>
                <w:lang w:val="fr-FR" w:eastAsia="fr-FR"/>
              </w:rPr>
            </w:pPr>
          </w:p>
        </w:tc>
        <w:tc>
          <w:tcPr>
            <w:tcW w:w="1720" w:type="dxa"/>
            <w:tcBorders>
              <w:top w:val="nil"/>
              <w:left w:val="nil"/>
              <w:bottom w:val="single" w:sz="4" w:space="0" w:color="auto"/>
              <w:right w:val="nil"/>
            </w:tcBorders>
            <w:shd w:val="clear" w:color="auto" w:fill="auto"/>
            <w:noWrap/>
            <w:vAlign w:val="bottom"/>
            <w:hideMark/>
          </w:tcPr>
          <w:p w14:paraId="7268DDAB" w14:textId="77777777" w:rsidR="009D4550" w:rsidRPr="00275290" w:rsidRDefault="009D4550" w:rsidP="009D4550">
            <w:pPr>
              <w:rPr>
                <w:rFonts w:cs="Arial"/>
                <w:color w:val="000000"/>
                <w:lang w:val="fr-FR" w:eastAsia="fr-FR"/>
              </w:rPr>
            </w:pPr>
          </w:p>
        </w:tc>
        <w:tc>
          <w:tcPr>
            <w:tcW w:w="1680" w:type="dxa"/>
            <w:tcBorders>
              <w:top w:val="nil"/>
              <w:left w:val="nil"/>
              <w:bottom w:val="single" w:sz="4" w:space="0" w:color="auto"/>
              <w:right w:val="nil"/>
            </w:tcBorders>
            <w:shd w:val="clear" w:color="auto" w:fill="auto"/>
            <w:noWrap/>
            <w:vAlign w:val="bottom"/>
            <w:hideMark/>
          </w:tcPr>
          <w:p w14:paraId="3C0CCD4D" w14:textId="77777777" w:rsidR="009D4550" w:rsidRPr="00275290" w:rsidRDefault="009D4550" w:rsidP="009D4550">
            <w:pPr>
              <w:rPr>
                <w:rFonts w:cs="Arial"/>
                <w:color w:val="000000"/>
                <w:lang w:val="fr-FR" w:eastAsia="fr-FR"/>
              </w:rPr>
            </w:pPr>
          </w:p>
        </w:tc>
        <w:tc>
          <w:tcPr>
            <w:tcW w:w="1122" w:type="dxa"/>
            <w:tcBorders>
              <w:top w:val="nil"/>
              <w:left w:val="nil"/>
              <w:bottom w:val="single" w:sz="4" w:space="0" w:color="auto"/>
              <w:right w:val="nil"/>
            </w:tcBorders>
            <w:shd w:val="clear" w:color="auto" w:fill="auto"/>
            <w:noWrap/>
            <w:vAlign w:val="bottom"/>
            <w:hideMark/>
          </w:tcPr>
          <w:p w14:paraId="522CD744" w14:textId="77777777" w:rsidR="009D4550" w:rsidRPr="00275290" w:rsidRDefault="009D4550" w:rsidP="009D4550">
            <w:pPr>
              <w:rPr>
                <w:rFonts w:cs="Arial"/>
                <w:color w:val="000000"/>
                <w:lang w:val="fr-FR" w:eastAsia="fr-FR"/>
              </w:rPr>
            </w:pPr>
          </w:p>
        </w:tc>
        <w:tc>
          <w:tcPr>
            <w:tcW w:w="1135" w:type="dxa"/>
            <w:tcBorders>
              <w:top w:val="nil"/>
              <w:left w:val="nil"/>
              <w:bottom w:val="single" w:sz="4" w:space="0" w:color="auto"/>
              <w:right w:val="nil"/>
            </w:tcBorders>
            <w:shd w:val="clear" w:color="auto" w:fill="auto"/>
            <w:noWrap/>
            <w:vAlign w:val="bottom"/>
            <w:hideMark/>
          </w:tcPr>
          <w:p w14:paraId="1D4B32CF" w14:textId="77777777" w:rsidR="009D4550" w:rsidRPr="00275290" w:rsidRDefault="009D4550" w:rsidP="009D4550">
            <w:pPr>
              <w:rPr>
                <w:rFonts w:cs="Arial"/>
                <w:b/>
                <w:color w:val="000000"/>
                <w:lang w:val="fr-FR" w:eastAsia="fr-FR"/>
              </w:rPr>
            </w:pPr>
          </w:p>
        </w:tc>
      </w:tr>
      <w:tr w:rsidR="00AB760F" w:rsidRPr="00275290" w14:paraId="7C888B21" w14:textId="77777777" w:rsidTr="00334B45">
        <w:trPr>
          <w:trHeight w:val="251"/>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8F0DCA8" w14:textId="77777777" w:rsidR="00AB760F" w:rsidRPr="00275290" w:rsidRDefault="00AB760F" w:rsidP="009D4550">
            <w:pPr>
              <w:rPr>
                <w:rFonts w:cs="Arial"/>
                <w:lang w:val="fr-FR" w:eastAsia="fr-FR"/>
              </w:rPr>
            </w:pPr>
            <w:r w:rsidRPr="00275290">
              <w:rPr>
                <w:rFonts w:cs="Arial"/>
                <w:lang w:val="fr-FR" w:eastAsia="fr-FR"/>
              </w:rPr>
              <w:t>%AEL (adrenals)</w:t>
            </w:r>
          </w:p>
        </w:tc>
        <w:tc>
          <w:tcPr>
            <w:tcW w:w="1827" w:type="dxa"/>
            <w:tcBorders>
              <w:top w:val="nil"/>
              <w:left w:val="nil"/>
              <w:bottom w:val="single" w:sz="4" w:space="0" w:color="auto"/>
              <w:right w:val="single" w:sz="4" w:space="0" w:color="auto"/>
            </w:tcBorders>
            <w:shd w:val="clear" w:color="auto" w:fill="auto"/>
            <w:noWrap/>
            <w:vAlign w:val="center"/>
            <w:hideMark/>
          </w:tcPr>
          <w:p w14:paraId="5B4E0334" w14:textId="095A47D6" w:rsidR="00AB760F" w:rsidRPr="00275290" w:rsidRDefault="00AB760F" w:rsidP="009D4550">
            <w:pPr>
              <w:rPr>
                <w:rFonts w:cs="Arial"/>
                <w:lang w:val="fr-FR" w:eastAsia="fr-FR"/>
              </w:rPr>
            </w:pPr>
            <w:r>
              <w:rPr>
                <w:rFonts w:cs="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5ADDCA7D" w14:textId="3D9EEFD1" w:rsidR="00AB760F" w:rsidRPr="00275290" w:rsidRDefault="00334B45" w:rsidP="009D4550">
            <w:pPr>
              <w:rPr>
                <w:rFonts w:cs="Arial"/>
                <w:lang w:val="fr-FR" w:eastAsia="fr-FR"/>
              </w:rPr>
            </w:pPr>
            <w:r>
              <w:rPr>
                <w:rFonts w:cs="Calibri"/>
                <w:color w:val="000000"/>
              </w:rPr>
              <w:t>58</w:t>
            </w:r>
            <w:r w:rsidR="00AB760F">
              <w:rPr>
                <w:rFonts w:cs="Calibri"/>
                <w:color w:val="000000"/>
              </w:rPr>
              <w:t>%</w:t>
            </w:r>
          </w:p>
        </w:tc>
        <w:tc>
          <w:tcPr>
            <w:tcW w:w="1680" w:type="dxa"/>
            <w:tcBorders>
              <w:top w:val="nil"/>
              <w:left w:val="nil"/>
              <w:bottom w:val="single" w:sz="4" w:space="0" w:color="auto"/>
              <w:right w:val="single" w:sz="4" w:space="0" w:color="auto"/>
            </w:tcBorders>
            <w:shd w:val="clear" w:color="auto" w:fill="auto"/>
            <w:noWrap/>
            <w:vAlign w:val="center"/>
            <w:hideMark/>
          </w:tcPr>
          <w:p w14:paraId="09AE0D22" w14:textId="1562F361" w:rsidR="00AB760F" w:rsidRPr="00275290" w:rsidRDefault="00AB760F" w:rsidP="009D4550">
            <w:pPr>
              <w:rPr>
                <w:rFonts w:cs="Arial"/>
                <w:lang w:val="fr-FR" w:eastAsia="fr-FR"/>
              </w:rPr>
            </w:pPr>
            <w:r>
              <w:rPr>
                <w:rFonts w:cs="Calibri"/>
                <w:color w:val="000000"/>
              </w:rPr>
              <w:t>2</w:t>
            </w:r>
            <w:r w:rsidR="00334B45">
              <w:rPr>
                <w:rFonts w:cs="Calibri"/>
                <w:color w:val="000000"/>
              </w:rPr>
              <w:t>5</w:t>
            </w:r>
            <w:r>
              <w:rPr>
                <w:rFonts w:cs="Calibri"/>
                <w:color w:val="000000"/>
              </w:rPr>
              <w:t>%</w:t>
            </w:r>
          </w:p>
        </w:tc>
        <w:tc>
          <w:tcPr>
            <w:tcW w:w="1122" w:type="dxa"/>
            <w:tcBorders>
              <w:top w:val="nil"/>
              <w:left w:val="nil"/>
              <w:bottom w:val="single" w:sz="4" w:space="0" w:color="auto"/>
              <w:right w:val="single" w:sz="4" w:space="0" w:color="auto"/>
            </w:tcBorders>
            <w:shd w:val="clear" w:color="auto" w:fill="auto"/>
            <w:noWrap/>
            <w:vAlign w:val="center"/>
            <w:hideMark/>
          </w:tcPr>
          <w:p w14:paraId="753A7E28" w14:textId="66E50047" w:rsidR="00AB760F" w:rsidRPr="00275290" w:rsidRDefault="00AB760F" w:rsidP="009D4550">
            <w:pPr>
              <w:rPr>
                <w:rFonts w:cs="Arial"/>
                <w:lang w:val="fr-FR" w:eastAsia="fr-FR"/>
              </w:rPr>
            </w:pPr>
            <w:r>
              <w:rPr>
                <w:rFonts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14:paraId="6006B632" w14:textId="101F8A89" w:rsidR="00AB760F" w:rsidRPr="00275290" w:rsidRDefault="00AB760F" w:rsidP="009D4550">
            <w:pPr>
              <w:rPr>
                <w:rFonts w:cs="Arial"/>
                <w:b/>
                <w:lang w:val="fr-FR" w:eastAsia="fr-FR"/>
              </w:rPr>
            </w:pPr>
            <w:r w:rsidRPr="00275290">
              <w:rPr>
                <w:rFonts w:cs="Arial"/>
                <w:b/>
                <w:lang w:val="fr-FR" w:eastAsia="fr-FR"/>
              </w:rPr>
              <w:t>0.</w:t>
            </w:r>
            <w:r w:rsidR="00334B45">
              <w:rPr>
                <w:rFonts w:cs="Arial"/>
                <w:b/>
                <w:lang w:val="fr-FR" w:eastAsia="fr-FR"/>
              </w:rPr>
              <w:t>84</w:t>
            </w:r>
          </w:p>
        </w:tc>
      </w:tr>
      <w:tr w:rsidR="009D4550" w:rsidRPr="00275290" w14:paraId="0650A6CF" w14:textId="77777777" w:rsidTr="00334B45">
        <w:trPr>
          <w:trHeight w:val="300"/>
        </w:trPr>
        <w:tc>
          <w:tcPr>
            <w:tcW w:w="2380" w:type="dxa"/>
            <w:tcBorders>
              <w:top w:val="nil"/>
              <w:left w:val="nil"/>
              <w:bottom w:val="nil"/>
              <w:right w:val="nil"/>
            </w:tcBorders>
            <w:shd w:val="clear" w:color="auto" w:fill="auto"/>
            <w:noWrap/>
            <w:vAlign w:val="bottom"/>
            <w:hideMark/>
          </w:tcPr>
          <w:p w14:paraId="1D4E7191" w14:textId="77777777" w:rsidR="009D4550" w:rsidRPr="00275290" w:rsidRDefault="009D4550" w:rsidP="009D4550">
            <w:pPr>
              <w:rPr>
                <w:rFonts w:cs="Arial"/>
                <w:color w:val="000000"/>
                <w:lang w:val="fr-FR" w:eastAsia="fr-FR"/>
              </w:rPr>
            </w:pPr>
          </w:p>
        </w:tc>
        <w:tc>
          <w:tcPr>
            <w:tcW w:w="1827" w:type="dxa"/>
            <w:tcBorders>
              <w:top w:val="nil"/>
              <w:left w:val="nil"/>
              <w:bottom w:val="nil"/>
              <w:right w:val="nil"/>
            </w:tcBorders>
            <w:shd w:val="clear" w:color="auto" w:fill="auto"/>
            <w:noWrap/>
            <w:vAlign w:val="bottom"/>
            <w:hideMark/>
          </w:tcPr>
          <w:p w14:paraId="656795D3" w14:textId="77777777" w:rsidR="009D4550" w:rsidRPr="00275290" w:rsidRDefault="009D4550" w:rsidP="009D4550">
            <w:pPr>
              <w:rPr>
                <w:rFonts w:cs="Arial"/>
                <w:color w:val="000000"/>
                <w:lang w:val="fr-FR" w:eastAsia="fr-FR"/>
              </w:rPr>
            </w:pPr>
          </w:p>
        </w:tc>
        <w:tc>
          <w:tcPr>
            <w:tcW w:w="1720" w:type="dxa"/>
            <w:tcBorders>
              <w:top w:val="nil"/>
              <w:left w:val="nil"/>
              <w:bottom w:val="nil"/>
              <w:right w:val="nil"/>
            </w:tcBorders>
            <w:shd w:val="clear" w:color="auto" w:fill="auto"/>
            <w:noWrap/>
            <w:vAlign w:val="bottom"/>
            <w:hideMark/>
          </w:tcPr>
          <w:p w14:paraId="51EBAACD" w14:textId="77777777" w:rsidR="009D4550" w:rsidRPr="00275290" w:rsidRDefault="009D4550" w:rsidP="009D4550">
            <w:pPr>
              <w:rPr>
                <w:rFonts w:cs="Arial"/>
                <w:color w:val="000000"/>
                <w:lang w:val="fr-FR" w:eastAsia="fr-FR"/>
              </w:rPr>
            </w:pPr>
          </w:p>
        </w:tc>
        <w:tc>
          <w:tcPr>
            <w:tcW w:w="1680" w:type="dxa"/>
            <w:tcBorders>
              <w:top w:val="nil"/>
              <w:left w:val="nil"/>
              <w:bottom w:val="nil"/>
              <w:right w:val="nil"/>
            </w:tcBorders>
            <w:shd w:val="clear" w:color="auto" w:fill="auto"/>
            <w:noWrap/>
            <w:vAlign w:val="bottom"/>
            <w:hideMark/>
          </w:tcPr>
          <w:p w14:paraId="59044A92" w14:textId="77777777" w:rsidR="009D4550" w:rsidRPr="00275290" w:rsidRDefault="009D4550" w:rsidP="009D4550">
            <w:pPr>
              <w:rPr>
                <w:rFonts w:cs="Arial"/>
                <w:color w:val="000000"/>
                <w:lang w:val="fr-FR" w:eastAsia="fr-FR"/>
              </w:rPr>
            </w:pPr>
          </w:p>
        </w:tc>
        <w:tc>
          <w:tcPr>
            <w:tcW w:w="1122" w:type="dxa"/>
            <w:tcBorders>
              <w:top w:val="nil"/>
              <w:left w:val="nil"/>
              <w:bottom w:val="nil"/>
              <w:right w:val="nil"/>
            </w:tcBorders>
            <w:shd w:val="clear" w:color="auto" w:fill="auto"/>
            <w:noWrap/>
            <w:vAlign w:val="bottom"/>
            <w:hideMark/>
          </w:tcPr>
          <w:p w14:paraId="14ADA38D" w14:textId="77777777" w:rsidR="009D4550" w:rsidRPr="00275290" w:rsidRDefault="009D4550" w:rsidP="009D4550">
            <w:pPr>
              <w:rPr>
                <w:rFonts w:cs="Arial"/>
                <w:color w:val="000000"/>
                <w:lang w:val="fr-FR" w:eastAsia="fr-FR"/>
              </w:rPr>
            </w:pPr>
          </w:p>
        </w:tc>
        <w:tc>
          <w:tcPr>
            <w:tcW w:w="1135" w:type="dxa"/>
            <w:tcBorders>
              <w:top w:val="nil"/>
              <w:left w:val="nil"/>
              <w:bottom w:val="nil"/>
              <w:right w:val="nil"/>
            </w:tcBorders>
            <w:shd w:val="clear" w:color="auto" w:fill="auto"/>
            <w:noWrap/>
            <w:vAlign w:val="bottom"/>
            <w:hideMark/>
          </w:tcPr>
          <w:p w14:paraId="646809E6" w14:textId="77777777" w:rsidR="009D4550" w:rsidRPr="00275290" w:rsidRDefault="009D4550" w:rsidP="009D4550">
            <w:pPr>
              <w:rPr>
                <w:rFonts w:cs="Arial"/>
                <w:color w:val="000000"/>
                <w:lang w:val="fr-FR" w:eastAsia="fr-FR"/>
              </w:rPr>
            </w:pPr>
          </w:p>
        </w:tc>
      </w:tr>
      <w:tr w:rsidR="00AB760F" w:rsidRPr="00275290" w14:paraId="2F6B70A2" w14:textId="77777777" w:rsidTr="00334B45">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BF60A" w14:textId="77777777" w:rsidR="00AB760F" w:rsidRPr="00275290" w:rsidRDefault="00AB760F" w:rsidP="009D4550">
            <w:pPr>
              <w:rPr>
                <w:rFonts w:cs="Arial"/>
                <w:lang w:val="fr-FR" w:eastAsia="fr-FR"/>
              </w:rPr>
            </w:pPr>
            <w:r w:rsidRPr="00275290">
              <w:rPr>
                <w:rFonts w:cs="Arial"/>
                <w:lang w:val="fr-FR" w:eastAsia="fr-FR"/>
              </w:rPr>
              <w:t>%AEL (ling)</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4EBAC93B" w14:textId="25126963" w:rsidR="00AB760F" w:rsidRPr="00275290" w:rsidRDefault="00AB760F" w:rsidP="009D4550">
            <w:pPr>
              <w:rPr>
                <w:rFonts w:cs="Arial"/>
                <w:lang w:val="fr-FR" w:eastAsia="fr-FR"/>
              </w:rPr>
            </w:pPr>
            <w:r w:rsidRPr="00275290">
              <w:rPr>
                <w:rFonts w:cs="Arial"/>
                <w:lang w:val="fr-FR" w:eastAsia="fr-FR"/>
              </w:rPr>
              <w:t>2</w:t>
            </w:r>
            <w:r w:rsidR="00334B45">
              <w:rPr>
                <w:rFonts w:cs="Arial"/>
                <w:lang w:val="fr-FR" w:eastAsia="fr-FR"/>
              </w:rPr>
              <w:t>0</w:t>
            </w:r>
            <w:r w:rsidRPr="00275290">
              <w:rPr>
                <w:rFonts w:cs="Arial"/>
                <w:lang w:val="fr-FR" w:eastAsia="fr-FR"/>
              </w:rPr>
              <w: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EC6AFFA" w14:textId="160AD34A" w:rsidR="00AB760F" w:rsidRPr="00275290" w:rsidRDefault="00AB760F" w:rsidP="009D4550">
            <w:pPr>
              <w:rPr>
                <w:rFonts w:cs="Arial"/>
                <w:lang w:val="fr-FR" w:eastAsia="fr-FR"/>
              </w:rPr>
            </w:pPr>
            <w:r w:rsidRPr="00275290">
              <w:rPr>
                <w:rFonts w:cs="Arial"/>
                <w:lang w:val="fr-FR" w:eastAsia="fr-FR"/>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5759F7F7" w14:textId="38587315" w:rsidR="00AB760F" w:rsidRPr="00275290" w:rsidRDefault="00AB760F" w:rsidP="009D4550">
            <w:pPr>
              <w:rPr>
                <w:rFonts w:cs="Arial"/>
                <w:lang w:val="fr-FR" w:eastAsia="fr-FR"/>
              </w:rPr>
            </w:pPr>
            <w:r w:rsidRPr="00275290">
              <w:rPr>
                <w:rFonts w:cs="Arial"/>
                <w:lang w:val="fr-FR" w:eastAsia="fr-FR"/>
              </w:rPr>
              <w:t> </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14:paraId="318A992C" w14:textId="3443C51F" w:rsidR="00AB760F" w:rsidRPr="00275290" w:rsidRDefault="00AB760F" w:rsidP="009D4550">
            <w:pPr>
              <w:rPr>
                <w:rFonts w:cs="Arial"/>
                <w:lang w:val="fr-FR" w:eastAsia="fr-FR"/>
              </w:rPr>
            </w:pPr>
            <w:r w:rsidRPr="00275290">
              <w:rPr>
                <w:rFonts w:cs="Arial"/>
                <w:lang w:val="fr-FR" w:eastAsia="fr-FR"/>
              </w:rPr>
              <w:t>8%</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2D22E9AE" w14:textId="4E61B69B" w:rsidR="00AB760F" w:rsidRPr="00275290" w:rsidRDefault="00AB760F" w:rsidP="009D4550">
            <w:pPr>
              <w:rPr>
                <w:rFonts w:cs="Arial"/>
                <w:b/>
                <w:lang w:val="fr-FR" w:eastAsia="fr-FR"/>
              </w:rPr>
            </w:pPr>
            <w:r w:rsidRPr="00275290">
              <w:rPr>
                <w:rFonts w:cs="Arial"/>
                <w:b/>
                <w:lang w:val="fr-FR" w:eastAsia="fr-FR"/>
              </w:rPr>
              <w:t>0.</w:t>
            </w:r>
            <w:r>
              <w:rPr>
                <w:rFonts w:cs="Arial"/>
                <w:b/>
                <w:lang w:val="fr-FR" w:eastAsia="fr-FR"/>
              </w:rPr>
              <w:t>2</w:t>
            </w:r>
            <w:r w:rsidR="00334B45">
              <w:rPr>
                <w:rFonts w:cs="Arial"/>
                <w:b/>
                <w:lang w:val="fr-FR" w:eastAsia="fr-FR"/>
              </w:rPr>
              <w:t>8</w:t>
            </w:r>
          </w:p>
        </w:tc>
      </w:tr>
    </w:tbl>
    <w:p w14:paraId="47CCC813" w14:textId="77777777" w:rsidR="009D4550" w:rsidRPr="00275290" w:rsidRDefault="009D4550" w:rsidP="009D4550">
      <w:pPr>
        <w:pStyle w:val="BfRBBStandard"/>
        <w:rPr>
          <w:rFonts w:ascii="Verdana" w:eastAsia="Times New Roman" w:hAnsi="Verdana"/>
          <w:sz w:val="20"/>
          <w:szCs w:val="20"/>
          <w:lang w:val="en-GB" w:eastAsia="sv-SE"/>
        </w:rPr>
      </w:pPr>
    </w:p>
    <w:p w14:paraId="56F1563E" w14:textId="77777777" w:rsidR="00AB760F" w:rsidRDefault="00AB760F" w:rsidP="009D4550">
      <w:pPr>
        <w:pStyle w:val="Standard-italics"/>
        <w:tabs>
          <w:tab w:val="left" w:pos="1276"/>
        </w:tabs>
        <w:rPr>
          <w:lang w:eastAsia="sv-SE"/>
        </w:rPr>
      </w:pPr>
      <w:r w:rsidRPr="00275290">
        <w:rPr>
          <w:lang w:eastAsia="sv-SE"/>
        </w:rPr>
        <w:t xml:space="preserve">HI is </w:t>
      </w:r>
      <w:r>
        <w:rPr>
          <w:lang w:eastAsia="sv-SE"/>
        </w:rPr>
        <w:t>inferior</w:t>
      </w:r>
      <w:r w:rsidRPr="00275290">
        <w:rPr>
          <w:lang w:eastAsia="sv-SE"/>
        </w:rPr>
        <w:t xml:space="preserve"> to 1 for </w:t>
      </w:r>
      <w:r>
        <w:rPr>
          <w:lang w:eastAsia="sv-SE"/>
        </w:rPr>
        <w:t>all common organs</w:t>
      </w:r>
      <w:r w:rsidRPr="00275290">
        <w:rPr>
          <w:lang w:eastAsia="sv-SE"/>
        </w:rPr>
        <w:t xml:space="preserve">. The risk should be considered as acceptable. </w:t>
      </w:r>
    </w:p>
    <w:p w14:paraId="6B993CC5" w14:textId="77777777" w:rsidR="009D4550" w:rsidRPr="00275290" w:rsidRDefault="009D4550" w:rsidP="009D4550">
      <w:pPr>
        <w:pStyle w:val="Standard-italics"/>
        <w:tabs>
          <w:tab w:val="left" w:pos="1276"/>
        </w:tabs>
        <w:rPr>
          <w:rFonts w:cs="Arial"/>
          <w:lang w:val="en-US"/>
        </w:rPr>
      </w:pPr>
    </w:p>
    <w:p w14:paraId="70BD37FE" w14:textId="77777777" w:rsidR="009D4550" w:rsidRPr="00275290" w:rsidRDefault="009D4550" w:rsidP="009D4550">
      <w:pPr>
        <w:pStyle w:val="Standard-italics"/>
        <w:tabs>
          <w:tab w:val="left" w:pos="1276"/>
        </w:tabs>
        <w:rPr>
          <w:rFonts w:cs="Arial"/>
        </w:rPr>
      </w:pPr>
      <w:r w:rsidRPr="00275290">
        <w:rPr>
          <w:rFonts w:cs="Arial"/>
          <w:b/>
          <w:u w:val="single"/>
          <w:lang w:val="en-US"/>
        </w:rPr>
        <w:t>Infant combined exposure (chronic exposure scenario)</w:t>
      </w:r>
    </w:p>
    <w:p w14:paraId="2619F0CE" w14:textId="77777777" w:rsidR="009D4550" w:rsidRPr="00275290" w:rsidRDefault="009D4550" w:rsidP="009D4550">
      <w:pPr>
        <w:pStyle w:val="Standard-italics"/>
        <w:tabs>
          <w:tab w:val="left" w:pos="1276"/>
        </w:tabs>
        <w:rPr>
          <w:rFonts w:cs="Arial"/>
        </w:rPr>
      </w:pPr>
    </w:p>
    <w:p w14:paraId="4C37C71B" w14:textId="56A8564B"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(each substance)</w:t>
      </w:r>
    </w:p>
    <w:p w14:paraId="12DE4076" w14:textId="77777777" w:rsidR="009D4550" w:rsidRPr="00275290" w:rsidRDefault="009D4550" w:rsidP="009D4550">
      <w:pPr>
        <w:pStyle w:val="Standard-italics"/>
        <w:tabs>
          <w:tab w:val="left" w:pos="1276"/>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984"/>
        <w:gridCol w:w="1984"/>
        <w:gridCol w:w="1984"/>
      </w:tblGrid>
      <w:tr w:rsidR="004938EA" w:rsidRPr="00275290" w14:paraId="5D1AD42A" w14:textId="77777777" w:rsidTr="0039605F">
        <w:tc>
          <w:tcPr>
            <w:tcW w:w="1983" w:type="dxa"/>
          </w:tcPr>
          <w:p w14:paraId="735BA6B0"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1984" w:type="dxa"/>
          </w:tcPr>
          <w:p w14:paraId="1E169424"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633DF9A0"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5B9E5314"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63E60BF1"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984" w:type="dxa"/>
          </w:tcPr>
          <w:p w14:paraId="0B65090D"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36CBE5E2" w14:textId="77777777" w:rsidTr="0039605F">
        <w:tc>
          <w:tcPr>
            <w:tcW w:w="1983" w:type="dxa"/>
            <w:vMerge w:val="restart"/>
            <w:vAlign w:val="center"/>
          </w:tcPr>
          <w:p w14:paraId="694A2E0A" w14:textId="77777777" w:rsidR="004938EA" w:rsidRPr="00275290" w:rsidRDefault="004938EA" w:rsidP="009D4550">
            <w:pPr>
              <w:rPr>
                <w:rFonts w:cs="Arial"/>
                <w:lang w:val="en-US"/>
              </w:rPr>
            </w:pPr>
            <w:r w:rsidRPr="00275290">
              <w:rPr>
                <w:rFonts w:cs="Arial"/>
                <w:lang w:val="en-US"/>
              </w:rPr>
              <w:t>Infant combined exposure</w:t>
            </w:r>
          </w:p>
        </w:tc>
        <w:tc>
          <w:tcPr>
            <w:tcW w:w="1984" w:type="dxa"/>
            <w:vAlign w:val="center"/>
          </w:tcPr>
          <w:p w14:paraId="5DD52D38" w14:textId="77777777" w:rsidR="004938EA" w:rsidRPr="00275290" w:rsidRDefault="004938EA" w:rsidP="009D4550">
            <w:pPr>
              <w:rPr>
                <w:rFonts w:cs="Arial"/>
                <w:lang w:val="en-US"/>
              </w:rPr>
            </w:pPr>
            <w:r w:rsidRPr="00275290">
              <w:rPr>
                <w:rFonts w:cs="Arial"/>
                <w:lang w:val="en-US"/>
              </w:rPr>
              <w:t>Cyperméthrine</w:t>
            </w:r>
          </w:p>
          <w:p w14:paraId="56349349" w14:textId="77777777" w:rsidR="004938EA" w:rsidRPr="00275290" w:rsidRDefault="004938EA" w:rsidP="009D4550">
            <w:pPr>
              <w:rPr>
                <w:rFonts w:cs="Arial"/>
                <w:lang w:val="en-US"/>
              </w:rPr>
            </w:pPr>
            <w:r w:rsidRPr="00275290">
              <w:rPr>
                <w:rFonts w:cs="Arial"/>
                <w:lang w:val="en-US"/>
              </w:rPr>
              <w:t>0.022</w:t>
            </w:r>
          </w:p>
        </w:tc>
        <w:tc>
          <w:tcPr>
            <w:tcW w:w="1984" w:type="dxa"/>
            <w:vAlign w:val="center"/>
          </w:tcPr>
          <w:p w14:paraId="3A033E79" w14:textId="77777777" w:rsidR="004938EA" w:rsidRPr="00275290" w:rsidRDefault="004938EA" w:rsidP="009D4550">
            <w:pPr>
              <w:rPr>
                <w:color w:val="000000"/>
              </w:rPr>
            </w:pPr>
            <w:r w:rsidRPr="00275290">
              <w:rPr>
                <w:color w:val="000000"/>
              </w:rPr>
              <w:t>4,58E-03</w:t>
            </w:r>
          </w:p>
        </w:tc>
        <w:tc>
          <w:tcPr>
            <w:tcW w:w="1984" w:type="dxa"/>
            <w:vAlign w:val="center"/>
          </w:tcPr>
          <w:p w14:paraId="29807177" w14:textId="77777777" w:rsidR="004938EA" w:rsidRPr="00275290" w:rsidRDefault="004938EA" w:rsidP="009D4550">
            <w:pPr>
              <w:rPr>
                <w:rFonts w:cs="Arial"/>
                <w:lang w:val="fr-FR"/>
              </w:rPr>
            </w:pPr>
            <w:r w:rsidRPr="00275290">
              <w:rPr>
                <w:rFonts w:cs="Arial"/>
                <w:lang w:val="fr-FR"/>
              </w:rPr>
              <w:t>20.8</w:t>
            </w:r>
          </w:p>
        </w:tc>
      </w:tr>
      <w:tr w:rsidR="004938EA" w:rsidRPr="00275290" w14:paraId="0A30D5CC" w14:textId="77777777" w:rsidTr="0039605F">
        <w:tc>
          <w:tcPr>
            <w:tcW w:w="1983" w:type="dxa"/>
            <w:vMerge/>
            <w:vAlign w:val="center"/>
          </w:tcPr>
          <w:p w14:paraId="473ED862" w14:textId="77777777" w:rsidR="004938EA" w:rsidRPr="00275290" w:rsidRDefault="004938EA" w:rsidP="009D4550">
            <w:pPr>
              <w:rPr>
                <w:rFonts w:cs="Arial"/>
                <w:lang w:val="fr-FR"/>
              </w:rPr>
            </w:pPr>
          </w:p>
        </w:tc>
        <w:tc>
          <w:tcPr>
            <w:tcW w:w="1984" w:type="dxa"/>
            <w:vAlign w:val="center"/>
          </w:tcPr>
          <w:p w14:paraId="50FFF3CE" w14:textId="77777777" w:rsidR="004938EA" w:rsidRPr="00275290" w:rsidRDefault="004938EA" w:rsidP="009D4550">
            <w:pPr>
              <w:rPr>
                <w:rFonts w:cs="Arial"/>
                <w:lang w:val="fr-FR"/>
              </w:rPr>
            </w:pPr>
            <w:r w:rsidRPr="00275290">
              <w:rPr>
                <w:rFonts w:cs="Arial"/>
                <w:lang w:val="fr-FR"/>
              </w:rPr>
              <w:t>Propiconazole : 0.04</w:t>
            </w:r>
          </w:p>
        </w:tc>
        <w:tc>
          <w:tcPr>
            <w:tcW w:w="1984" w:type="dxa"/>
            <w:vAlign w:val="center"/>
          </w:tcPr>
          <w:p w14:paraId="0638F544" w14:textId="77777777" w:rsidR="004938EA" w:rsidRPr="00275290" w:rsidRDefault="004938EA" w:rsidP="009D4550">
            <w:pPr>
              <w:rPr>
                <w:color w:val="000000"/>
              </w:rPr>
            </w:pPr>
            <w:r w:rsidRPr="00275290">
              <w:rPr>
                <w:color w:val="000000"/>
              </w:rPr>
              <w:t>1,29E-02</w:t>
            </w:r>
          </w:p>
        </w:tc>
        <w:tc>
          <w:tcPr>
            <w:tcW w:w="1984" w:type="dxa"/>
            <w:vAlign w:val="center"/>
          </w:tcPr>
          <w:p w14:paraId="5225D37F" w14:textId="77777777" w:rsidR="004938EA" w:rsidRPr="00275290" w:rsidRDefault="004938EA" w:rsidP="009D4550">
            <w:pPr>
              <w:rPr>
                <w:rFonts w:cs="Arial"/>
                <w:lang w:val="fr-FR"/>
              </w:rPr>
            </w:pPr>
            <w:r w:rsidRPr="00275290">
              <w:rPr>
                <w:rFonts w:cs="Arial"/>
                <w:lang w:val="fr-FR"/>
              </w:rPr>
              <w:t>32.3</w:t>
            </w:r>
          </w:p>
        </w:tc>
      </w:tr>
      <w:tr w:rsidR="004938EA" w:rsidRPr="00275290" w14:paraId="5A9BBDF0" w14:textId="77777777" w:rsidTr="0039605F">
        <w:trPr>
          <w:trHeight w:val="658"/>
        </w:trPr>
        <w:tc>
          <w:tcPr>
            <w:tcW w:w="1983" w:type="dxa"/>
            <w:vMerge/>
            <w:vAlign w:val="center"/>
          </w:tcPr>
          <w:p w14:paraId="0E86B5A6" w14:textId="77777777" w:rsidR="004938EA" w:rsidRPr="00275290" w:rsidRDefault="004938EA" w:rsidP="009D4550">
            <w:pPr>
              <w:rPr>
                <w:rFonts w:cs="Arial"/>
                <w:lang w:val="fr-FR"/>
              </w:rPr>
            </w:pPr>
          </w:p>
        </w:tc>
        <w:tc>
          <w:tcPr>
            <w:tcW w:w="1984" w:type="dxa"/>
            <w:vAlign w:val="center"/>
          </w:tcPr>
          <w:p w14:paraId="60F3602B" w14:textId="77777777" w:rsidR="004938EA" w:rsidRPr="00275290" w:rsidRDefault="004938EA" w:rsidP="009D4550">
            <w:pPr>
              <w:rPr>
                <w:rFonts w:cs="Arial"/>
                <w:lang w:val="fr-FR"/>
              </w:rPr>
            </w:pPr>
            <w:r w:rsidRPr="00275290">
              <w:rPr>
                <w:rFonts w:cs="Arial"/>
                <w:lang w:val="fr-FR"/>
              </w:rPr>
              <w:t>Tébuconazole : 0.03</w:t>
            </w:r>
          </w:p>
        </w:tc>
        <w:tc>
          <w:tcPr>
            <w:tcW w:w="1984" w:type="dxa"/>
            <w:vAlign w:val="center"/>
          </w:tcPr>
          <w:p w14:paraId="73BD3AAB" w14:textId="77777777" w:rsidR="004938EA" w:rsidRPr="00275290" w:rsidRDefault="004938EA" w:rsidP="009D4550">
            <w:pPr>
              <w:rPr>
                <w:color w:val="000000"/>
              </w:rPr>
            </w:pPr>
            <w:r w:rsidRPr="00275290">
              <w:rPr>
                <w:color w:val="000000"/>
              </w:rPr>
              <w:t>4,17E-03</w:t>
            </w:r>
          </w:p>
        </w:tc>
        <w:tc>
          <w:tcPr>
            <w:tcW w:w="1984" w:type="dxa"/>
            <w:vAlign w:val="center"/>
          </w:tcPr>
          <w:p w14:paraId="3D80A549" w14:textId="77777777" w:rsidR="004938EA" w:rsidRPr="00275290" w:rsidRDefault="004938EA" w:rsidP="009D4550">
            <w:pPr>
              <w:rPr>
                <w:rFonts w:cs="Arial"/>
                <w:lang w:val="fr-FR"/>
              </w:rPr>
            </w:pPr>
            <w:r w:rsidRPr="00275290">
              <w:rPr>
                <w:rFonts w:cs="Arial"/>
                <w:lang w:val="fr-FR"/>
              </w:rPr>
              <w:t>13.9</w:t>
            </w:r>
          </w:p>
        </w:tc>
      </w:tr>
      <w:tr w:rsidR="004938EA" w:rsidRPr="00275290" w14:paraId="3B9F9A48" w14:textId="77777777" w:rsidTr="0039605F">
        <w:tc>
          <w:tcPr>
            <w:tcW w:w="1983" w:type="dxa"/>
            <w:vMerge/>
            <w:vAlign w:val="center"/>
          </w:tcPr>
          <w:p w14:paraId="23D275D5" w14:textId="77777777" w:rsidR="004938EA" w:rsidRPr="00275290" w:rsidRDefault="004938EA" w:rsidP="009D4550">
            <w:pPr>
              <w:rPr>
                <w:rFonts w:cs="Arial"/>
                <w:lang w:val="fr-FR"/>
              </w:rPr>
            </w:pPr>
          </w:p>
        </w:tc>
        <w:tc>
          <w:tcPr>
            <w:tcW w:w="1984" w:type="dxa"/>
            <w:vAlign w:val="center"/>
          </w:tcPr>
          <w:p w14:paraId="5BFF3775" w14:textId="77777777" w:rsidR="004938EA" w:rsidRPr="00275290" w:rsidRDefault="004938EA" w:rsidP="009D4550">
            <w:pPr>
              <w:rPr>
                <w:rFonts w:cs="Arial"/>
                <w:lang w:val="fr-FR"/>
              </w:rPr>
            </w:pPr>
            <w:r w:rsidRPr="00275290">
              <w:rPr>
                <w:rFonts w:cs="Arial"/>
                <w:lang w:val="fr-FR"/>
              </w:rPr>
              <w:t>IPBC</w:t>
            </w:r>
          </w:p>
          <w:p w14:paraId="68FF5D7E" w14:textId="77777777" w:rsidR="004938EA" w:rsidRPr="00275290" w:rsidRDefault="004938EA" w:rsidP="009D4550">
            <w:pPr>
              <w:rPr>
                <w:rFonts w:cs="Arial"/>
                <w:lang w:val="fr-FR"/>
              </w:rPr>
            </w:pPr>
            <w:r w:rsidRPr="00275290">
              <w:rPr>
                <w:rFonts w:cs="Arial"/>
                <w:lang w:val="fr-FR"/>
              </w:rPr>
              <w:t>0.2</w:t>
            </w:r>
          </w:p>
        </w:tc>
        <w:tc>
          <w:tcPr>
            <w:tcW w:w="1984" w:type="dxa"/>
            <w:vAlign w:val="center"/>
          </w:tcPr>
          <w:p w14:paraId="27B28A62" w14:textId="77777777" w:rsidR="004938EA" w:rsidRPr="00275290" w:rsidRDefault="004938EA" w:rsidP="009D4550">
            <w:pPr>
              <w:rPr>
                <w:color w:val="000000"/>
              </w:rPr>
            </w:pPr>
            <w:r w:rsidRPr="00275290">
              <w:rPr>
                <w:color w:val="000000"/>
              </w:rPr>
              <w:t>5,42E-03</w:t>
            </w:r>
          </w:p>
        </w:tc>
        <w:tc>
          <w:tcPr>
            <w:tcW w:w="1984" w:type="dxa"/>
            <w:vAlign w:val="center"/>
          </w:tcPr>
          <w:p w14:paraId="0773A2C1" w14:textId="77777777" w:rsidR="004938EA" w:rsidRPr="00275290" w:rsidRDefault="004938EA" w:rsidP="009D4550">
            <w:pPr>
              <w:rPr>
                <w:rFonts w:cs="Arial"/>
                <w:lang w:val="fr-FR"/>
              </w:rPr>
            </w:pPr>
            <w:r w:rsidRPr="00275290">
              <w:rPr>
                <w:rFonts w:cs="Arial"/>
                <w:lang w:val="fr-FR"/>
              </w:rPr>
              <w:t>2.7</w:t>
            </w:r>
          </w:p>
        </w:tc>
      </w:tr>
    </w:tbl>
    <w:p w14:paraId="74EE855C" w14:textId="77777777" w:rsidR="009D4550" w:rsidRPr="00275290" w:rsidRDefault="009D4550" w:rsidP="009D4550">
      <w:pPr>
        <w:pStyle w:val="Standard-italics"/>
        <w:tabs>
          <w:tab w:val="left" w:pos="1276"/>
        </w:tabs>
        <w:rPr>
          <w:rFonts w:cs="Arial"/>
          <w:lang w:val="en-US"/>
        </w:rPr>
      </w:pPr>
    </w:p>
    <w:p w14:paraId="0D16C15D" w14:textId="77777777" w:rsidR="009D4550" w:rsidRPr="00275290" w:rsidRDefault="009D4550" w:rsidP="009D4550">
      <w:pPr>
        <w:pStyle w:val="Standard-italics"/>
        <w:tabs>
          <w:tab w:val="left" w:pos="1276"/>
        </w:tabs>
        <w:rPr>
          <w:rFonts w:cs="Arial"/>
          <w:lang w:val="en-US"/>
        </w:rPr>
      </w:pPr>
    </w:p>
    <w:p w14:paraId="3D04D4A4"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7D5E78D5" w14:textId="77777777" w:rsidR="009D4550" w:rsidRPr="00275290" w:rsidRDefault="009D4550" w:rsidP="009D4550">
      <w:pPr>
        <w:pStyle w:val="Standard-italics"/>
        <w:tabs>
          <w:tab w:val="left" w:pos="1276"/>
        </w:tabs>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892"/>
        <w:gridCol w:w="1876"/>
        <w:gridCol w:w="1221"/>
        <w:gridCol w:w="1345"/>
        <w:gridCol w:w="1509"/>
      </w:tblGrid>
      <w:tr w:rsidR="009D4550" w:rsidRPr="00275290" w14:paraId="4056FEDB" w14:textId="77777777" w:rsidTr="0039605F">
        <w:tc>
          <w:tcPr>
            <w:tcW w:w="1947" w:type="dxa"/>
            <w:vAlign w:val="center"/>
          </w:tcPr>
          <w:p w14:paraId="2C4E7ABE" w14:textId="77777777" w:rsidR="009D4550" w:rsidRPr="00275290" w:rsidRDefault="009D4550" w:rsidP="009D4550">
            <w:pPr>
              <w:rPr>
                <w:rFonts w:cs="Arial"/>
                <w:lang w:val="fr-FR"/>
              </w:rPr>
            </w:pPr>
            <w:r w:rsidRPr="00275290">
              <w:rPr>
                <w:rFonts w:cs="Arial"/>
                <w:lang w:val="fr-FR"/>
              </w:rPr>
              <w:t>Cyperméthrine</w:t>
            </w:r>
          </w:p>
        </w:tc>
        <w:tc>
          <w:tcPr>
            <w:tcW w:w="1921" w:type="dxa"/>
            <w:vAlign w:val="center"/>
          </w:tcPr>
          <w:p w14:paraId="59C78C23" w14:textId="77777777" w:rsidR="009D4550" w:rsidRPr="00275290" w:rsidRDefault="009D4550" w:rsidP="009D4550">
            <w:pPr>
              <w:rPr>
                <w:rFonts w:cs="Arial"/>
                <w:lang w:val="fr-FR"/>
              </w:rPr>
            </w:pPr>
            <w:r w:rsidRPr="00275290">
              <w:rPr>
                <w:rFonts w:cs="Arial"/>
                <w:lang w:val="fr-FR"/>
              </w:rPr>
              <w:t>Propiconazole</w:t>
            </w:r>
          </w:p>
        </w:tc>
        <w:tc>
          <w:tcPr>
            <w:tcW w:w="1905" w:type="dxa"/>
            <w:vAlign w:val="center"/>
          </w:tcPr>
          <w:p w14:paraId="5757EEA2" w14:textId="77777777" w:rsidR="009D4550" w:rsidRPr="00275290" w:rsidRDefault="009D4550" w:rsidP="009D4550">
            <w:pPr>
              <w:rPr>
                <w:rFonts w:cs="Arial"/>
                <w:lang w:val="fr-FR"/>
              </w:rPr>
            </w:pPr>
            <w:r w:rsidRPr="00275290">
              <w:rPr>
                <w:rFonts w:cs="Arial"/>
                <w:lang w:val="fr-FR"/>
              </w:rPr>
              <w:t>Tébuconazole</w:t>
            </w:r>
          </w:p>
        </w:tc>
        <w:tc>
          <w:tcPr>
            <w:tcW w:w="1273" w:type="dxa"/>
            <w:shd w:val="clear" w:color="auto" w:fill="auto"/>
          </w:tcPr>
          <w:p w14:paraId="636AA779" w14:textId="77777777" w:rsidR="009D4550" w:rsidRPr="00275290" w:rsidRDefault="009D4550" w:rsidP="009D4550">
            <w:pPr>
              <w:rPr>
                <w:rFonts w:cs="Arial"/>
                <w:lang w:val="fr-FR"/>
              </w:rPr>
            </w:pPr>
            <w:r w:rsidRPr="00275290">
              <w:rPr>
                <w:rFonts w:cs="Arial"/>
                <w:lang w:val="fr-FR"/>
              </w:rPr>
              <w:t>IPBC</w:t>
            </w:r>
          </w:p>
        </w:tc>
        <w:tc>
          <w:tcPr>
            <w:tcW w:w="1419" w:type="dxa"/>
            <w:vMerge w:val="restart"/>
            <w:shd w:val="clear" w:color="auto" w:fill="E5B8B7" w:themeFill="accent2" w:themeFillTint="66"/>
            <w:vAlign w:val="center"/>
          </w:tcPr>
          <w:p w14:paraId="0DA7B902" w14:textId="77777777" w:rsidR="009D4550" w:rsidRPr="00275290" w:rsidRDefault="009D4550" w:rsidP="009D4550">
            <w:pPr>
              <w:rPr>
                <w:rFonts w:cs="Arial"/>
                <w:lang w:val="fr-FR"/>
              </w:rPr>
            </w:pPr>
            <w:r w:rsidRPr="00275290">
              <w:rPr>
                <w:rFonts w:cs="Arial"/>
                <w:lang w:val="fr-FR"/>
              </w:rPr>
              <w:t>HI</w:t>
            </w:r>
          </w:p>
          <w:p w14:paraId="7671325A" w14:textId="77777777" w:rsidR="009D4550" w:rsidRPr="00275290" w:rsidRDefault="009D4550" w:rsidP="009D4550">
            <w:pPr>
              <w:rPr>
                <w:rFonts w:cs="Arial"/>
                <w:lang w:val="fr-FR"/>
              </w:rPr>
            </w:pPr>
            <w:r w:rsidRPr="00275290">
              <w:rPr>
                <w:rFonts w:cs="Arial"/>
                <w:lang w:val="fr-FR"/>
              </w:rPr>
              <w:t>(∑ HQ a.s)</w:t>
            </w:r>
          </w:p>
        </w:tc>
        <w:tc>
          <w:tcPr>
            <w:tcW w:w="1530" w:type="dxa"/>
            <w:vMerge w:val="restart"/>
            <w:shd w:val="clear" w:color="auto" w:fill="E5B8B7" w:themeFill="accent2" w:themeFillTint="66"/>
          </w:tcPr>
          <w:p w14:paraId="6FA5A279" w14:textId="77777777" w:rsidR="009D4550" w:rsidRPr="00275290" w:rsidRDefault="009D4550" w:rsidP="009D4550">
            <w:pPr>
              <w:rPr>
                <w:rFonts w:cs="Arial"/>
                <w:lang w:val="fr-FR"/>
              </w:rPr>
            </w:pPr>
            <w:r w:rsidRPr="00275290">
              <w:rPr>
                <w:rFonts w:cs="Arial"/>
                <w:lang w:val="fr-FR"/>
              </w:rPr>
              <w:t>Risk</w:t>
            </w:r>
          </w:p>
        </w:tc>
      </w:tr>
      <w:tr w:rsidR="009D4550" w:rsidRPr="00275290" w14:paraId="0A5744A9" w14:textId="77777777" w:rsidTr="0039605F">
        <w:tc>
          <w:tcPr>
            <w:tcW w:w="7046" w:type="dxa"/>
            <w:gridSpan w:val="4"/>
            <w:vAlign w:val="center"/>
          </w:tcPr>
          <w:p w14:paraId="647BFDFC" w14:textId="77777777" w:rsidR="009D4550" w:rsidRPr="00275290" w:rsidRDefault="009D4550" w:rsidP="009D4550">
            <w:pPr>
              <w:rPr>
                <w:rFonts w:cs="Arial"/>
                <w:lang w:val="fr-FR"/>
              </w:rPr>
            </w:pPr>
            <w:r w:rsidRPr="00275290">
              <w:rPr>
                <w:rFonts w:cs="Arial"/>
                <w:lang w:val="fr-FR"/>
              </w:rPr>
              <w:t>HQ (Exposure/AEL)</w:t>
            </w:r>
          </w:p>
        </w:tc>
        <w:tc>
          <w:tcPr>
            <w:tcW w:w="1419" w:type="dxa"/>
            <w:vMerge/>
            <w:shd w:val="clear" w:color="auto" w:fill="E5B8B7" w:themeFill="accent2" w:themeFillTint="66"/>
            <w:vAlign w:val="center"/>
          </w:tcPr>
          <w:p w14:paraId="03CB9201" w14:textId="77777777" w:rsidR="009D4550" w:rsidRPr="00275290" w:rsidRDefault="009D4550" w:rsidP="009D4550">
            <w:pPr>
              <w:rPr>
                <w:rFonts w:cs="Arial"/>
                <w:lang w:val="fr-FR"/>
              </w:rPr>
            </w:pPr>
          </w:p>
        </w:tc>
        <w:tc>
          <w:tcPr>
            <w:tcW w:w="1530" w:type="dxa"/>
            <w:vMerge/>
            <w:shd w:val="clear" w:color="auto" w:fill="E5B8B7" w:themeFill="accent2" w:themeFillTint="66"/>
          </w:tcPr>
          <w:p w14:paraId="33ACE198" w14:textId="77777777" w:rsidR="009D4550" w:rsidRPr="00275290" w:rsidRDefault="009D4550" w:rsidP="009D4550">
            <w:pPr>
              <w:rPr>
                <w:rFonts w:cs="Arial"/>
                <w:lang w:val="fr-FR"/>
              </w:rPr>
            </w:pPr>
          </w:p>
        </w:tc>
      </w:tr>
      <w:tr w:rsidR="009D4550" w:rsidRPr="00275290" w14:paraId="31DF88DB" w14:textId="77777777" w:rsidTr="0039605F">
        <w:tc>
          <w:tcPr>
            <w:tcW w:w="1947" w:type="dxa"/>
            <w:vAlign w:val="center"/>
          </w:tcPr>
          <w:p w14:paraId="50F1C2F6" w14:textId="77777777" w:rsidR="009D4550" w:rsidRPr="00275290" w:rsidRDefault="009D4550" w:rsidP="009D4550">
            <w:pPr>
              <w:rPr>
                <w:rFonts w:cs="Arial"/>
                <w:lang w:val="en-US"/>
              </w:rPr>
            </w:pPr>
            <w:r w:rsidRPr="00275290">
              <w:rPr>
                <w:rFonts w:cs="Arial"/>
                <w:lang w:val="fr-FR"/>
              </w:rPr>
              <w:t>0.21</w:t>
            </w:r>
          </w:p>
        </w:tc>
        <w:tc>
          <w:tcPr>
            <w:tcW w:w="1921" w:type="dxa"/>
            <w:vAlign w:val="center"/>
          </w:tcPr>
          <w:p w14:paraId="65D140B7" w14:textId="77777777" w:rsidR="009D4550" w:rsidRPr="00275290" w:rsidRDefault="009D4550" w:rsidP="009D4550">
            <w:pPr>
              <w:rPr>
                <w:rFonts w:cs="Arial"/>
                <w:lang w:val="en-US"/>
              </w:rPr>
            </w:pPr>
            <w:r w:rsidRPr="00275290">
              <w:rPr>
                <w:rFonts w:cs="Arial"/>
                <w:lang w:val="fr-FR"/>
              </w:rPr>
              <w:t>0.32</w:t>
            </w:r>
          </w:p>
        </w:tc>
        <w:tc>
          <w:tcPr>
            <w:tcW w:w="1905" w:type="dxa"/>
            <w:vAlign w:val="center"/>
          </w:tcPr>
          <w:p w14:paraId="27AC9528" w14:textId="77777777" w:rsidR="009D4550" w:rsidRPr="00275290" w:rsidRDefault="009D4550" w:rsidP="009D4550">
            <w:pPr>
              <w:rPr>
                <w:rFonts w:cs="Arial"/>
                <w:lang w:val="en-US"/>
              </w:rPr>
            </w:pPr>
            <w:r w:rsidRPr="00275290">
              <w:rPr>
                <w:rFonts w:cs="Arial"/>
                <w:lang w:val="fr-FR"/>
              </w:rPr>
              <w:t>0.14</w:t>
            </w:r>
          </w:p>
        </w:tc>
        <w:tc>
          <w:tcPr>
            <w:tcW w:w="1273" w:type="dxa"/>
            <w:shd w:val="clear" w:color="auto" w:fill="auto"/>
          </w:tcPr>
          <w:p w14:paraId="22E2EFDB" w14:textId="77777777" w:rsidR="009D4550" w:rsidRPr="00275290" w:rsidRDefault="009D4550" w:rsidP="009D4550">
            <w:pPr>
              <w:rPr>
                <w:rFonts w:cs="Arial"/>
                <w:lang w:val="en-US"/>
              </w:rPr>
            </w:pPr>
            <w:r w:rsidRPr="00275290">
              <w:rPr>
                <w:rFonts w:cs="Arial"/>
                <w:lang w:val="en-US"/>
              </w:rPr>
              <w:t>0.03</w:t>
            </w:r>
          </w:p>
        </w:tc>
        <w:tc>
          <w:tcPr>
            <w:tcW w:w="1419" w:type="dxa"/>
            <w:shd w:val="clear" w:color="auto" w:fill="E5B8B7" w:themeFill="accent2" w:themeFillTint="66"/>
            <w:vAlign w:val="center"/>
          </w:tcPr>
          <w:p w14:paraId="7718739B" w14:textId="77777777" w:rsidR="009D4550" w:rsidRPr="00275290" w:rsidRDefault="009D4550" w:rsidP="009D4550">
            <w:pPr>
              <w:rPr>
                <w:rFonts w:cs="Arial"/>
                <w:lang w:val="en-US"/>
              </w:rPr>
            </w:pPr>
            <w:r w:rsidRPr="00275290">
              <w:rPr>
                <w:rFonts w:cs="Arial"/>
                <w:lang w:val="en-US"/>
              </w:rPr>
              <w:t>0.7</w:t>
            </w:r>
          </w:p>
        </w:tc>
        <w:tc>
          <w:tcPr>
            <w:tcW w:w="1530" w:type="dxa"/>
            <w:shd w:val="clear" w:color="auto" w:fill="E5B8B7" w:themeFill="accent2" w:themeFillTint="66"/>
          </w:tcPr>
          <w:p w14:paraId="0017F35B" w14:textId="77777777" w:rsidR="009D4550" w:rsidRPr="00275290" w:rsidRDefault="009D4550" w:rsidP="009D4550">
            <w:pPr>
              <w:rPr>
                <w:rFonts w:cs="Arial"/>
                <w:lang w:val="en-US"/>
              </w:rPr>
            </w:pPr>
            <w:r w:rsidRPr="00275290">
              <w:rPr>
                <w:rFonts w:cs="Arial"/>
                <w:lang w:val="en-US"/>
              </w:rPr>
              <w:t>Acceptable</w:t>
            </w:r>
          </w:p>
        </w:tc>
      </w:tr>
    </w:tbl>
    <w:p w14:paraId="67920622" w14:textId="77777777" w:rsidR="009D4550" w:rsidRPr="00275290" w:rsidRDefault="009D4550" w:rsidP="009D4550">
      <w:pPr>
        <w:pStyle w:val="Standard-italics"/>
        <w:tabs>
          <w:tab w:val="left" w:pos="1276"/>
        </w:tabs>
        <w:rPr>
          <w:rFonts w:cs="Arial"/>
          <w:lang w:val="en-US"/>
        </w:rPr>
      </w:pPr>
    </w:p>
    <w:p w14:paraId="68024641" w14:textId="77777777" w:rsidR="009D4550" w:rsidRPr="00275290" w:rsidRDefault="009D4550" w:rsidP="00F32B7F">
      <w:pPr>
        <w:pStyle w:val="BfRBBStandard"/>
        <w:numPr>
          <w:ilvl w:val="0"/>
          <w:numId w:val="24"/>
        </w:numPr>
        <w:suppressAutoHyphens w:val="0"/>
        <w:autoSpaceDN w:val="0"/>
        <w:rPr>
          <w:rFonts w:ascii="Verdana" w:hAnsi="Verdana"/>
          <w:sz w:val="20"/>
          <w:szCs w:val="20"/>
        </w:rPr>
      </w:pPr>
      <w:r w:rsidRPr="00275290">
        <w:rPr>
          <w:rFonts w:ascii="Verdana" w:eastAsia="Times New Roman" w:hAnsi="Verdana"/>
          <w:sz w:val="20"/>
          <w:szCs w:val="20"/>
          <w:lang w:val="en-GB" w:eastAsia="sv-SE"/>
        </w:rPr>
        <w:t>HI &lt; 1, the risk is acceptable for combined chronic exposure scenarios (infant).</w:t>
      </w:r>
    </w:p>
    <w:p w14:paraId="3A4E07C7" w14:textId="77777777" w:rsidR="009D4550" w:rsidRPr="00275290" w:rsidRDefault="009D4550" w:rsidP="009D4550">
      <w:pPr>
        <w:pStyle w:val="Standard-italics"/>
        <w:tabs>
          <w:tab w:val="left" w:pos="1276"/>
        </w:tabs>
        <w:rPr>
          <w:rFonts w:cs="Arial"/>
        </w:rPr>
      </w:pPr>
    </w:p>
    <w:p w14:paraId="5E8D20CD" w14:textId="77777777" w:rsidR="00155E43" w:rsidRDefault="00155E43" w:rsidP="00155E43">
      <w:pPr>
        <w:pStyle w:val="Standard-italics"/>
        <w:tabs>
          <w:tab w:val="left" w:pos="1276"/>
        </w:tabs>
        <w:rPr>
          <w:rFonts w:ascii="Arial" w:hAnsi="Arial" w:cs="Arial"/>
        </w:rPr>
      </w:pPr>
    </w:p>
    <w:p w14:paraId="67304B8F" w14:textId="77777777" w:rsidR="00155E43" w:rsidRPr="00FE333D" w:rsidRDefault="00155E43" w:rsidP="00F32B7F">
      <w:pPr>
        <w:pStyle w:val="Titre5"/>
        <w:spacing w:before="240"/>
        <w:rPr>
          <w:lang w:val="en-US"/>
        </w:rPr>
      </w:pPr>
      <w:r w:rsidRPr="00FE333D">
        <w:rPr>
          <w:lang w:val="en-US"/>
        </w:rPr>
        <w:t>Summary of risks characterisation of the product for human health</w:t>
      </w:r>
    </w:p>
    <w:p w14:paraId="343282D7" w14:textId="77777777" w:rsidR="00155E43" w:rsidRPr="00275290" w:rsidRDefault="00155E43" w:rsidP="00155E43">
      <w:pPr>
        <w:pStyle w:val="Standard-italics"/>
        <w:keepNext w:val="0"/>
        <w:rPr>
          <w:rFonts w:cs="Arial"/>
          <w:i w:val="0"/>
        </w:rPr>
      </w:pPr>
    </w:p>
    <w:p w14:paraId="10D24B80" w14:textId="2524D026" w:rsidR="00155E43" w:rsidRPr="0039605F" w:rsidRDefault="00155E43" w:rsidP="00155E43">
      <w:pPr>
        <w:pStyle w:val="BfRBBStandard"/>
        <w:rPr>
          <w:rFonts w:ascii="Verdana" w:eastAsia="Times New Roman" w:hAnsi="Verdana"/>
          <w:b/>
          <w:sz w:val="20"/>
          <w:szCs w:val="20"/>
          <w:lang w:val="en-GB" w:eastAsia="sv-SE"/>
        </w:rPr>
      </w:pPr>
      <w:r w:rsidRPr="0039605F">
        <w:rPr>
          <w:rFonts w:ascii="Verdana" w:eastAsia="Times New Roman" w:hAnsi="Verdana"/>
          <w:b/>
          <w:sz w:val="20"/>
          <w:szCs w:val="20"/>
          <w:lang w:val="en-GB" w:eastAsia="sv-SE"/>
        </w:rPr>
        <w:t xml:space="preserve">Risks related to the use of X6122B1 by professionals and non-professionals are considered acceptable for all the intended uses, </w:t>
      </w:r>
      <w:r w:rsidRPr="00B100F1">
        <w:rPr>
          <w:rFonts w:ascii="Verdana" w:eastAsia="Times New Roman" w:hAnsi="Verdana"/>
          <w:b/>
          <w:sz w:val="20"/>
          <w:szCs w:val="20"/>
          <w:lang w:val="en-GB" w:eastAsia="sv-SE"/>
        </w:rPr>
        <w:t xml:space="preserve">except </w:t>
      </w:r>
      <w:r w:rsidR="00C81964" w:rsidRPr="00B100F1">
        <w:rPr>
          <w:rFonts w:ascii="Verdana" w:eastAsia="Times New Roman" w:hAnsi="Verdana"/>
          <w:b/>
          <w:sz w:val="20"/>
          <w:szCs w:val="20"/>
          <w:lang w:val="en-GB" w:eastAsia="sv-SE"/>
        </w:rPr>
        <w:t xml:space="preserve">the use of the product by </w:t>
      </w:r>
      <w:r w:rsidRPr="00B100F1">
        <w:rPr>
          <w:rFonts w:ascii="Verdana" w:eastAsia="Times New Roman" w:hAnsi="Verdana"/>
          <w:b/>
          <w:sz w:val="20"/>
          <w:szCs w:val="20"/>
          <w:lang w:val="en-GB" w:eastAsia="sv-SE"/>
        </w:rPr>
        <w:t>spraying combined with injection for non-professional</w:t>
      </w:r>
      <w:r w:rsidR="00C81964" w:rsidRPr="00B100F1">
        <w:rPr>
          <w:rFonts w:ascii="Verdana" w:eastAsia="Times New Roman" w:hAnsi="Verdana"/>
          <w:b/>
          <w:sz w:val="20"/>
          <w:szCs w:val="20"/>
          <w:lang w:val="en-GB" w:eastAsia="sv-SE"/>
        </w:rPr>
        <w:t xml:space="preserve"> users</w:t>
      </w:r>
      <w:r w:rsidRPr="0039605F">
        <w:rPr>
          <w:rFonts w:ascii="Verdana" w:eastAsia="Times New Roman" w:hAnsi="Verdana"/>
          <w:b/>
          <w:sz w:val="20"/>
          <w:szCs w:val="20"/>
          <w:lang w:val="en-GB" w:eastAsia="sv-SE"/>
        </w:rPr>
        <w:t xml:space="preserve"> </w:t>
      </w:r>
    </w:p>
    <w:p w14:paraId="781080EC" w14:textId="1052041F" w:rsidR="00155E43" w:rsidRPr="0039605F" w:rsidRDefault="00155E43" w:rsidP="00155E43">
      <w:pPr>
        <w:pStyle w:val="Standard-italics"/>
        <w:keepNext w:val="0"/>
        <w:rPr>
          <w:rFonts w:cs="Arial"/>
          <w:b/>
          <w:i w:val="0"/>
        </w:rPr>
      </w:pPr>
      <w:r w:rsidRPr="0039605F">
        <w:rPr>
          <w:rFonts w:cs="Arial"/>
          <w:b/>
          <w:i w:val="0"/>
        </w:rPr>
        <w:t>Risks related to a secondary exposure to treated wood are acceptable.</w:t>
      </w:r>
    </w:p>
    <w:p w14:paraId="2C2ED47F" w14:textId="77777777" w:rsidR="00155E43" w:rsidRPr="00275290" w:rsidRDefault="00155E43" w:rsidP="00155E43">
      <w:pPr>
        <w:rPr>
          <w:rFonts w:cs="Arial"/>
        </w:rPr>
      </w:pPr>
    </w:p>
    <w:p w14:paraId="1B9AE23B" w14:textId="77777777" w:rsidR="009D4550" w:rsidRPr="00275290" w:rsidRDefault="009D4550">
      <w:pPr>
        <w:spacing w:line="260" w:lineRule="atLeast"/>
        <w:rPr>
          <w:rFonts w:eastAsia="Calibri" w:cs="Times New Roman"/>
          <w:i/>
          <w:iCs/>
          <w:lang w:eastAsia="en-US"/>
        </w:rPr>
      </w:pPr>
    </w:p>
    <w:p w14:paraId="1FE5BFF6" w14:textId="77777777" w:rsidR="009D0C0B" w:rsidRDefault="009D0C0B">
      <w:pPr>
        <w:spacing w:line="260" w:lineRule="atLeast"/>
        <w:rPr>
          <w:rFonts w:eastAsia="Calibri"/>
          <w:lang w:eastAsia="en-US"/>
        </w:rPr>
      </w:pPr>
    </w:p>
    <w:p w14:paraId="4C0201A1"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04055F59" w14:textId="77777777" w:rsidR="009D0C0B" w:rsidRDefault="009D0C0B">
      <w:pPr>
        <w:spacing w:line="260" w:lineRule="atLeast"/>
        <w:rPr>
          <w:rFonts w:eastAsia="Calibri"/>
          <w:b/>
          <w:i/>
          <w:sz w:val="22"/>
          <w:szCs w:val="22"/>
          <w:lang w:eastAsia="en-US"/>
        </w:rPr>
      </w:pPr>
    </w:p>
    <w:p w14:paraId="5D279559" w14:textId="3574C339" w:rsidR="001E06A1" w:rsidRPr="0077085E" w:rsidRDefault="001E06A1" w:rsidP="001E06A1">
      <w:pPr>
        <w:pStyle w:val="BfRBBStandard"/>
        <w:rPr>
          <w:rFonts w:eastAsia="Times New Roman"/>
          <w:sz w:val="20"/>
          <w:szCs w:val="20"/>
          <w:lang w:val="en-GB" w:eastAsia="sv-SE"/>
        </w:rPr>
      </w:pPr>
      <w:r w:rsidRPr="0077085E">
        <w:rPr>
          <w:rFonts w:eastAsia="Times New Roman"/>
          <w:sz w:val="20"/>
          <w:szCs w:val="20"/>
          <w:lang w:val="en-GB" w:eastAsia="sv-SE"/>
        </w:rPr>
        <w:t xml:space="preserve">In Annex </w:t>
      </w:r>
      <w:r w:rsidR="001716D1">
        <w:rPr>
          <w:rFonts w:eastAsia="Times New Roman"/>
          <w:sz w:val="20"/>
          <w:szCs w:val="20"/>
          <w:lang w:val="en-GB" w:eastAsia="sv-SE"/>
        </w:rPr>
        <w:t>4</w:t>
      </w:r>
      <w:r>
        <w:rPr>
          <w:rFonts w:eastAsia="Times New Roman"/>
          <w:sz w:val="20"/>
          <w:szCs w:val="20"/>
          <w:lang w:val="en-GB" w:eastAsia="sv-SE"/>
        </w:rPr>
        <w:t xml:space="preserve"> </w:t>
      </w:r>
      <w:r w:rsidRPr="0077085E">
        <w:rPr>
          <w:rFonts w:eastAsia="Times New Roman"/>
          <w:sz w:val="20"/>
          <w:szCs w:val="20"/>
          <w:lang w:val="en-GB" w:eastAsia="sv-SE"/>
        </w:rPr>
        <w:t>“Residue behaviour”, the results of the residue assessment are laid out.</w:t>
      </w:r>
    </w:p>
    <w:p w14:paraId="52996421" w14:textId="77777777" w:rsidR="009D0C0B" w:rsidRDefault="009D0C0B">
      <w:pPr>
        <w:spacing w:line="260" w:lineRule="atLeast"/>
        <w:rPr>
          <w:rFonts w:ascii="Times New Roman" w:eastAsia="Calibri" w:hAnsi="Times New Roman" w:cs="Times New Roman"/>
          <w:i/>
          <w:lang w:eastAsia="en-US"/>
        </w:rPr>
      </w:pPr>
    </w:p>
    <w:p w14:paraId="61A315EF" w14:textId="77777777" w:rsidR="00EF6732" w:rsidRPr="00B15948" w:rsidRDefault="00EF6732" w:rsidP="00EF6732">
      <w:pPr>
        <w:pStyle w:val="BfRBBStandard"/>
        <w:rPr>
          <w:rFonts w:ascii="Verdana" w:eastAsia="Times New Roman" w:hAnsi="Verdana"/>
          <w:sz w:val="20"/>
          <w:szCs w:val="20"/>
          <w:lang w:val="en-GB" w:eastAsia="sv-SE"/>
        </w:rPr>
      </w:pPr>
      <w:r w:rsidRPr="00B15948">
        <w:rPr>
          <w:rFonts w:ascii="Verdana" w:eastAsia="Times New Roman" w:hAnsi="Verdana"/>
          <w:sz w:val="20"/>
          <w:szCs w:val="20"/>
          <w:lang w:val="en-GB" w:eastAsia="sv-SE"/>
        </w:rPr>
        <w:t>The acute or chronic exposure to residues in food resulting from the intended uses is unlikely to cause a risk to consumers. Regarding consumer health protection, there are no objections against the intended uses.</w:t>
      </w:r>
      <w:r w:rsidRPr="00B15948">
        <w:rPr>
          <w:rFonts w:ascii="Verdana" w:hAnsi="Verdana"/>
          <w:sz w:val="20"/>
          <w:szCs w:val="20"/>
        </w:rPr>
        <w:t xml:space="preserve"> </w:t>
      </w:r>
      <w:r w:rsidRPr="00B15948">
        <w:rPr>
          <w:rFonts w:ascii="Verdana" w:eastAsia="Times New Roman" w:hAnsi="Verdana"/>
          <w:sz w:val="20"/>
          <w:szCs w:val="20"/>
          <w:lang w:val="en-GB" w:eastAsia="sv-SE"/>
        </w:rPr>
        <w:t xml:space="preserve">Wood treated with </w:t>
      </w:r>
      <w:r w:rsidRPr="00B15948">
        <w:rPr>
          <w:rFonts w:ascii="Verdana" w:hAnsi="Verdana"/>
          <w:sz w:val="20"/>
          <w:szCs w:val="20"/>
          <w:lang w:val="en-GB"/>
        </w:rPr>
        <w:t>X6122B1</w:t>
      </w:r>
      <w:r w:rsidRPr="00B15948" w:rsidDel="00880A0D">
        <w:rPr>
          <w:rFonts w:ascii="Verdana" w:hAnsi="Verdana"/>
          <w:sz w:val="20"/>
          <w:szCs w:val="20"/>
          <w:lang w:val="en-GB"/>
        </w:rPr>
        <w:t xml:space="preserve"> </w:t>
      </w:r>
      <w:r w:rsidRPr="00B15948">
        <w:rPr>
          <w:rFonts w:ascii="Verdana" w:eastAsia="Times New Roman" w:hAnsi="Verdana"/>
          <w:sz w:val="20"/>
          <w:szCs w:val="20"/>
          <w:lang w:val="en-GB" w:eastAsia="sv-SE"/>
        </w:rPr>
        <w:t>must contain label restrictions against use in contact with livestock, food and feed.</w:t>
      </w:r>
    </w:p>
    <w:p w14:paraId="488D6AC2" w14:textId="77777777" w:rsidR="00EF6732" w:rsidRDefault="00EF6732">
      <w:pPr>
        <w:spacing w:line="260" w:lineRule="atLeast"/>
        <w:rPr>
          <w:rFonts w:ascii="Times New Roman" w:eastAsia="Calibri" w:hAnsi="Times New Roman" w:cs="Times New Roman"/>
          <w:i/>
          <w:lang w:eastAsia="en-US"/>
        </w:rPr>
      </w:pPr>
    </w:p>
    <w:p w14:paraId="744574C2" w14:textId="77777777" w:rsidR="00EF6732" w:rsidRDefault="00EF6732">
      <w:pPr>
        <w:spacing w:line="260" w:lineRule="atLeast"/>
        <w:rPr>
          <w:rFonts w:ascii="Times New Roman" w:eastAsia="Calibri" w:hAnsi="Times New Roman" w:cs="Times New Roman"/>
          <w:i/>
          <w:lang w:eastAsia="en-US"/>
        </w:rPr>
      </w:pPr>
    </w:p>
    <w:p w14:paraId="279D1FFA" w14:textId="77777777" w:rsidR="009D0C0B" w:rsidRDefault="00FA480B">
      <w:pPr>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14:paraId="51E08A11" w14:textId="77777777" w:rsidR="009D0C0B" w:rsidRPr="00B15948" w:rsidRDefault="009D0C0B">
      <w:pPr>
        <w:spacing w:line="260" w:lineRule="atLeast"/>
        <w:rPr>
          <w:rFonts w:eastAsia="Calibri" w:cs="Times New Roman"/>
          <w:i/>
          <w:iCs/>
          <w:lang w:eastAsia="en-US"/>
        </w:rPr>
      </w:pPr>
    </w:p>
    <w:p w14:paraId="2E1D9C9F" w14:textId="1AD58C91" w:rsidR="00B15948" w:rsidRPr="00B15948" w:rsidRDefault="001716D1" w:rsidP="00B15948">
      <w:pPr>
        <w:pStyle w:val="BfRBBStandard"/>
        <w:rPr>
          <w:rFonts w:ascii="Verdana" w:eastAsia="Times New Roman" w:hAnsi="Verdana"/>
          <w:sz w:val="20"/>
          <w:szCs w:val="20"/>
          <w:lang w:val="sv-SE" w:eastAsia="sv-SE"/>
        </w:rPr>
      </w:pPr>
      <w:r>
        <w:rPr>
          <w:rFonts w:ascii="Verdana" w:eastAsia="Times New Roman" w:hAnsi="Verdana"/>
          <w:sz w:val="20"/>
          <w:szCs w:val="20"/>
          <w:lang w:val="sv-SE" w:eastAsia="sv-SE"/>
        </w:rPr>
        <w:t>Not relevant</w:t>
      </w:r>
    </w:p>
    <w:p w14:paraId="410E4F90" w14:textId="77777777" w:rsidR="009D0C0B" w:rsidRDefault="009D0C0B">
      <w:pPr>
        <w:spacing w:line="260" w:lineRule="atLeast"/>
        <w:ind w:left="360"/>
        <w:contextualSpacing/>
        <w:rPr>
          <w:rFonts w:ascii="Times New Roman" w:eastAsia="Calibri" w:hAnsi="Times New Roman" w:cs="Times New Roman"/>
          <w:i/>
          <w:iCs/>
          <w:lang w:eastAsia="en-US"/>
        </w:rPr>
      </w:pPr>
    </w:p>
    <w:p w14:paraId="254A2B71" w14:textId="3031A9F4" w:rsidR="009D0C0B" w:rsidRDefault="00250278" w:rsidP="008551C7">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29715070" w14:textId="66C85058" w:rsidR="009D0C0B" w:rsidRDefault="00FA480B">
      <w:pPr>
        <w:pStyle w:val="Titre3"/>
        <w:rPr>
          <w:rFonts w:ascii="Times New Roman" w:eastAsia="Calibri" w:hAnsi="Times New Roman" w:cs="Times New Roman"/>
          <w:i/>
          <w:iCs/>
          <w:lang w:eastAsia="en-US"/>
        </w:rPr>
      </w:pPr>
      <w:bookmarkStart w:id="114" w:name="_Toc536627317"/>
      <w:r>
        <w:lastRenderedPageBreak/>
        <w:t>Risk assessment for the environment</w:t>
      </w:r>
      <w:bookmarkEnd w:id="114"/>
    </w:p>
    <w:p w14:paraId="7B27AFFA" w14:textId="77777777" w:rsidR="009D0C0B" w:rsidRDefault="009D0C0B">
      <w:pPr>
        <w:spacing w:line="260" w:lineRule="atLeast"/>
        <w:rPr>
          <w:rFonts w:eastAsia="Calibri"/>
          <w:lang w:eastAsia="en-US"/>
        </w:rPr>
      </w:pPr>
    </w:p>
    <w:tbl>
      <w:tblPr>
        <w:tblW w:w="9639" w:type="dxa"/>
        <w:tblInd w:w="108" w:type="dxa"/>
        <w:shd w:val="clear" w:color="auto" w:fill="C2D69B" w:themeFill="accent3" w:themeFillTint="99"/>
        <w:tblLook w:val="04A0" w:firstRow="1" w:lastRow="0" w:firstColumn="1" w:lastColumn="0" w:noHBand="0" w:noVBand="1"/>
      </w:tblPr>
      <w:tblGrid>
        <w:gridCol w:w="9639"/>
      </w:tblGrid>
      <w:tr w:rsidR="00692E71" w:rsidRPr="00275290" w14:paraId="4A8F8958" w14:textId="77777777" w:rsidTr="008E0250">
        <w:tc>
          <w:tcPr>
            <w:tcW w:w="9639" w:type="dxa"/>
            <w:shd w:val="clear" w:color="auto" w:fill="C2D69B" w:themeFill="accent3" w:themeFillTint="99"/>
          </w:tcPr>
          <w:p w14:paraId="3C96FB1D" w14:textId="77777777" w:rsidR="00692E71" w:rsidRPr="00275290" w:rsidRDefault="00692E71" w:rsidP="008E0250">
            <w:pPr>
              <w:pStyle w:val="Lgende"/>
              <w:rPr>
                <w:rFonts w:ascii="Verdana" w:hAnsi="Verdana"/>
              </w:rPr>
            </w:pPr>
            <w:r w:rsidRPr="00275290">
              <w:rPr>
                <w:rFonts w:ascii="Verdana" w:hAnsi="Verdana"/>
              </w:rPr>
              <w:t xml:space="preserve">FR-CA box </w:t>
            </w:r>
            <w:r w:rsidRPr="00275290">
              <w:rPr>
                <w:rFonts w:ascii="Verdana" w:hAnsi="Verdana"/>
              </w:rPr>
              <w:fldChar w:fldCharType="begin"/>
            </w:r>
            <w:r w:rsidRPr="00275290">
              <w:rPr>
                <w:rFonts w:ascii="Verdana" w:hAnsi="Verdana"/>
              </w:rPr>
              <w:instrText xml:space="preserve"> SEQ FR-CA_box_ \* ARABIC </w:instrText>
            </w:r>
            <w:r w:rsidRPr="00275290">
              <w:rPr>
                <w:rFonts w:ascii="Verdana" w:hAnsi="Verdana"/>
              </w:rPr>
              <w:fldChar w:fldCharType="separate"/>
            </w:r>
            <w:r w:rsidR="00666966">
              <w:rPr>
                <w:rFonts w:ascii="Verdana" w:hAnsi="Verdana"/>
                <w:noProof/>
              </w:rPr>
              <w:t>1</w:t>
            </w:r>
            <w:r w:rsidRPr="00275290">
              <w:rPr>
                <w:rFonts w:ascii="Verdana" w:hAnsi="Verdana"/>
              </w:rPr>
              <w:fldChar w:fldCharType="end"/>
            </w:r>
          </w:p>
          <w:p w14:paraId="072C5397" w14:textId="77777777" w:rsidR="00692E71" w:rsidRPr="00275290" w:rsidRDefault="00692E71" w:rsidP="008E0250">
            <w:pPr>
              <w:spacing w:after="240"/>
              <w:ind w:right="142"/>
              <w:rPr>
                <w:rFonts w:cs="Arial"/>
              </w:rPr>
            </w:pPr>
            <w:r w:rsidRPr="00275290">
              <w:rPr>
                <w:rFonts w:cs="Arial"/>
              </w:rPr>
              <w:t>Please notice that the environmental risk assessment (section 2.8) is reported as provided by the applicant. The FR CA position is presented in green evaluation boxes.</w:t>
            </w:r>
          </w:p>
        </w:tc>
      </w:tr>
    </w:tbl>
    <w:p w14:paraId="7F94C55D" w14:textId="77777777" w:rsidR="00692E71" w:rsidRPr="00FE333D" w:rsidRDefault="00692E71" w:rsidP="00692E71">
      <w:pPr>
        <w:pStyle w:val="Titre4"/>
        <w:rPr>
          <w:lang w:val="en-US"/>
        </w:rPr>
      </w:pPr>
      <w:bookmarkStart w:id="115" w:name="_Toc536627318"/>
      <w:r w:rsidRPr="00FE333D">
        <w:rPr>
          <w:lang w:val="en-US"/>
        </w:rPr>
        <w:t>Fate and distribution in the environment of the active substance</w:t>
      </w:r>
      <w:bookmarkEnd w:id="115"/>
    </w:p>
    <w:p w14:paraId="09647D2B" w14:textId="61CE2C33" w:rsidR="00692E71" w:rsidRPr="00275290" w:rsidRDefault="00692E71" w:rsidP="00692E71">
      <w:pPr>
        <w:spacing w:before="240" w:after="360" w:line="276" w:lineRule="auto"/>
        <w:ind w:left="-142" w:right="142"/>
        <w:rPr>
          <w:rFonts w:cs="Arial"/>
          <w:szCs w:val="22"/>
        </w:rPr>
      </w:pPr>
      <w:r w:rsidRPr="00275290">
        <w:rPr>
          <w:rFonts w:cs="Arial"/>
          <w:szCs w:val="22"/>
        </w:rPr>
        <w:t>The product X6122B1 is a Use Class 3.1 product (outdoor, not covered, not in ground contact) intended for the preventive treatment of interior woods (beams, frames…) and exterior woods (shutters, doors, gates, cladding…). Treated wood intended to be used outdoor and exposed to weathering must be protected with a topcoat. It can also be used as a curative treatment on wood not exposed to weathering and leaching (risk class 2). It is used by brushing and spraying by professionals and non-professionals and by industrial dipping. For curative treatment, it can be applied by injection to complement the superficial application.</w:t>
      </w:r>
    </w:p>
    <w:p w14:paraId="6F22A22D" w14:textId="77777777" w:rsidR="00692E71" w:rsidRPr="00275290" w:rsidRDefault="00692E71" w:rsidP="00692E71">
      <w:pPr>
        <w:spacing w:after="360" w:line="276" w:lineRule="auto"/>
        <w:ind w:left="-142" w:right="142"/>
        <w:rPr>
          <w:rFonts w:cs="Arial"/>
          <w:szCs w:val="22"/>
        </w:rPr>
      </w:pPr>
      <w:r w:rsidRPr="00275290">
        <w:rPr>
          <w:rFonts w:cs="Arial"/>
          <w:szCs w:val="22"/>
        </w:rPr>
        <w:t>The environmental fate and behaviour of the product X6122B1 is presented in Section 10 of the IUCLID file. Based on the intended uses of the product and on the nature of the substances, on their physico-chemical properties and on their relations structure/function, the main foreseen route of entry in the environment are soil, surface water and groundwater.</w:t>
      </w:r>
    </w:p>
    <w:p w14:paraId="1EB48419" w14:textId="77777777" w:rsidR="00692E71" w:rsidRPr="00275290" w:rsidRDefault="00692E71" w:rsidP="00692E71">
      <w:pPr>
        <w:spacing w:after="360" w:line="276" w:lineRule="auto"/>
        <w:ind w:left="-142" w:right="142"/>
        <w:rPr>
          <w:rFonts w:cs="Arial"/>
          <w:szCs w:val="22"/>
        </w:rPr>
      </w:pPr>
      <w:r w:rsidRPr="00275290">
        <w:rPr>
          <w:rFonts w:cs="Arial"/>
          <w:szCs w:val="22"/>
        </w:rPr>
        <w:t>For the assessment of the environmental fate and behaviour of the active substances contained in the biocidal product X6122B1, please refer to the chapters on fate and distribution in the environment (see Assessment Reports, cypermethrin cis:trans / 40:60 PT08, 12/07/2013; propiconazole PT09, 12/07/2013; tebuconazole PT10, 27/09/2013 and IPBC PT06, 27/09/2013) and environmental effects assessment of each active substance in Document II-A (see Letters of Access from Agriphar, Janssen, Lanxess and Troy in Section 13 of the active substances' datasets).</w:t>
      </w:r>
    </w:p>
    <w:p w14:paraId="0E3C6E5B" w14:textId="77777777" w:rsidR="00692E71" w:rsidRPr="00275290" w:rsidRDefault="00692E71" w:rsidP="00692E71">
      <w:pPr>
        <w:spacing w:after="360" w:line="276" w:lineRule="auto"/>
        <w:ind w:left="-142" w:right="142"/>
        <w:rPr>
          <w:rFonts w:cs="Arial"/>
          <w:szCs w:val="22"/>
        </w:rPr>
      </w:pPr>
      <w:r w:rsidRPr="00275290">
        <w:rPr>
          <w:rFonts w:cs="Arial"/>
          <w:szCs w:val="22"/>
        </w:rPr>
        <w:t>A summary of the environmental behaviour of the active substances and their relevant metabolites is presented below. All the data are coming from the Assessment Reports for the active substances.</w:t>
      </w:r>
    </w:p>
    <w:p w14:paraId="3F62402C" w14:textId="77777777" w:rsidR="00692E71" w:rsidRPr="00275290" w:rsidRDefault="00692E71" w:rsidP="00F32B7F">
      <w:pPr>
        <w:numPr>
          <w:ilvl w:val="0"/>
          <w:numId w:val="6"/>
        </w:numPr>
        <w:suppressAutoHyphens w:val="0"/>
        <w:spacing w:line="276" w:lineRule="auto"/>
        <w:rPr>
          <w:rFonts w:cs="Arial"/>
          <w:b/>
          <w:szCs w:val="22"/>
        </w:rPr>
      </w:pPr>
      <w:r w:rsidRPr="00275290">
        <w:rPr>
          <w:rFonts w:cs="Arial"/>
          <w:b/>
          <w:szCs w:val="22"/>
        </w:rPr>
        <w:t>Environmental behaviour of cypermethrin</w:t>
      </w:r>
    </w:p>
    <w:p w14:paraId="3744AAC8" w14:textId="77777777" w:rsidR="00692E71" w:rsidRPr="00275290" w:rsidRDefault="00692E71" w:rsidP="00692E71">
      <w:pPr>
        <w:spacing w:line="276" w:lineRule="auto"/>
        <w:ind w:left="-142"/>
        <w:rPr>
          <w:rFonts w:cs="Arial"/>
        </w:rPr>
      </w:pPr>
    </w:p>
    <w:tbl>
      <w:tblPr>
        <w:tblW w:w="10207" w:type="dxa"/>
        <w:tblInd w:w="-176" w:type="dxa"/>
        <w:tblLayout w:type="fixed"/>
        <w:tblLook w:val="04A0" w:firstRow="1" w:lastRow="0" w:firstColumn="1" w:lastColumn="0" w:noHBand="0" w:noVBand="1"/>
      </w:tblPr>
      <w:tblGrid>
        <w:gridCol w:w="2411"/>
        <w:gridCol w:w="193"/>
        <w:gridCol w:w="7410"/>
        <w:gridCol w:w="193"/>
      </w:tblGrid>
      <w:tr w:rsidR="00692E71" w:rsidRPr="00275290" w14:paraId="545519A9" w14:textId="77777777" w:rsidTr="008E0250">
        <w:tc>
          <w:tcPr>
            <w:tcW w:w="2604" w:type="dxa"/>
            <w:gridSpan w:val="2"/>
          </w:tcPr>
          <w:p w14:paraId="6058897B" w14:textId="77777777" w:rsidR="00692E71" w:rsidRPr="00275290" w:rsidRDefault="00692E71" w:rsidP="008E0250">
            <w:pPr>
              <w:spacing w:line="276" w:lineRule="auto"/>
              <w:rPr>
                <w:rFonts w:cs="Arial"/>
                <w:u w:val="single"/>
              </w:rPr>
            </w:pPr>
            <w:r w:rsidRPr="00275290">
              <w:rPr>
                <w:rFonts w:cs="Arial"/>
                <w:u w:val="single"/>
              </w:rPr>
              <w:t>Degradation</w:t>
            </w:r>
          </w:p>
        </w:tc>
        <w:tc>
          <w:tcPr>
            <w:tcW w:w="7603" w:type="dxa"/>
            <w:gridSpan w:val="2"/>
          </w:tcPr>
          <w:p w14:paraId="3F9F10D2" w14:textId="77777777" w:rsidR="00692E71" w:rsidRPr="00275290" w:rsidRDefault="00692E71" w:rsidP="008E0250">
            <w:pPr>
              <w:spacing w:line="276" w:lineRule="auto"/>
              <w:ind w:left="176"/>
              <w:rPr>
                <w:rFonts w:cs="Arial"/>
              </w:rPr>
            </w:pPr>
          </w:p>
        </w:tc>
      </w:tr>
      <w:tr w:rsidR="00692E71" w:rsidRPr="00275290" w14:paraId="3A3161F2" w14:textId="77777777" w:rsidTr="008E0250">
        <w:trPr>
          <w:gridAfter w:val="1"/>
          <w:wAfter w:w="193" w:type="dxa"/>
        </w:trPr>
        <w:tc>
          <w:tcPr>
            <w:tcW w:w="2411" w:type="dxa"/>
          </w:tcPr>
          <w:p w14:paraId="5FC64C46" w14:textId="77777777" w:rsidR="00692E71" w:rsidRPr="00275290" w:rsidRDefault="00692E71" w:rsidP="00F32B7F">
            <w:pPr>
              <w:numPr>
                <w:ilvl w:val="0"/>
                <w:numId w:val="7"/>
              </w:numPr>
              <w:tabs>
                <w:tab w:val="left" w:pos="602"/>
              </w:tabs>
              <w:suppressAutoHyphens w:val="0"/>
              <w:spacing w:line="276" w:lineRule="auto"/>
              <w:ind w:hanging="436"/>
              <w:rPr>
                <w:rFonts w:cs="Arial"/>
              </w:rPr>
            </w:pPr>
            <w:r w:rsidRPr="00275290">
              <w:rPr>
                <w:rFonts w:cs="Arial"/>
              </w:rPr>
              <w:t>Hydrolysis</w:t>
            </w:r>
          </w:p>
        </w:tc>
        <w:tc>
          <w:tcPr>
            <w:tcW w:w="7603" w:type="dxa"/>
            <w:gridSpan w:val="2"/>
          </w:tcPr>
          <w:p w14:paraId="5568F823" w14:textId="77777777" w:rsidR="00692E71" w:rsidRPr="00275290" w:rsidRDefault="00692E71" w:rsidP="008E0250">
            <w:pPr>
              <w:spacing w:line="276" w:lineRule="auto"/>
              <w:ind w:left="176"/>
              <w:rPr>
                <w:rFonts w:cs="Arial"/>
              </w:rPr>
            </w:pPr>
            <w:r w:rsidRPr="00275290">
              <w:rPr>
                <w:rFonts w:cs="Arial"/>
              </w:rPr>
              <w:t>In acidic conditions and at pH 7, cypermethrin is relatively stable (DT</w:t>
            </w:r>
            <w:r w:rsidRPr="00275290">
              <w:rPr>
                <w:rFonts w:cs="Arial"/>
                <w:vertAlign w:val="subscript"/>
              </w:rPr>
              <w:t>50</w:t>
            </w:r>
            <w:r w:rsidRPr="00275290">
              <w:rPr>
                <w:rFonts w:cs="Arial"/>
              </w:rPr>
              <w:t xml:space="preserve"> &gt; 29 days at pH 7, 25°C and DT</w:t>
            </w:r>
            <w:r w:rsidRPr="00275290">
              <w:rPr>
                <w:rFonts w:cs="Arial"/>
                <w:vertAlign w:val="subscript"/>
              </w:rPr>
              <w:t>50</w:t>
            </w:r>
            <w:r w:rsidRPr="00275290">
              <w:rPr>
                <w:rFonts w:cs="Arial"/>
              </w:rPr>
              <w:t xml:space="preserve"> &gt; 1 year and of 4.73 days respectively at pH 4 and 7, 50°C). It is degraded under alkaline conditions at pH 9 (DT</w:t>
            </w:r>
            <w:r w:rsidRPr="00275290">
              <w:rPr>
                <w:rFonts w:cs="Arial"/>
                <w:vertAlign w:val="subscript"/>
              </w:rPr>
              <w:t>50</w:t>
            </w:r>
            <w:r w:rsidRPr="00275290">
              <w:rPr>
                <w:rFonts w:cs="Arial"/>
              </w:rPr>
              <w:t xml:space="preserve"> of 1.9 hours at 50°C). The increase in temperature increases the degradation rate of cypermethrin. </w:t>
            </w:r>
          </w:p>
          <w:p w14:paraId="37044755" w14:textId="77777777" w:rsidR="00692E71" w:rsidRPr="00275290" w:rsidRDefault="00692E71" w:rsidP="008E0250">
            <w:pPr>
              <w:spacing w:line="276" w:lineRule="auto"/>
              <w:ind w:left="176"/>
              <w:rPr>
                <w:rFonts w:cs="Arial"/>
              </w:rPr>
            </w:pPr>
            <w:r w:rsidRPr="00275290">
              <w:rPr>
                <w:rFonts w:cs="Arial"/>
              </w:rPr>
              <w:t>At 12°C (environmental conditions), the derived DT</w:t>
            </w:r>
            <w:r w:rsidRPr="00275290">
              <w:rPr>
                <w:rFonts w:cs="Arial"/>
                <w:vertAlign w:val="subscript"/>
              </w:rPr>
              <w:t>50</w:t>
            </w:r>
            <w:r w:rsidRPr="00275290">
              <w:rPr>
                <w:rFonts w:cs="Arial"/>
              </w:rPr>
              <w:t xml:space="preserve"> of cypermethrin are </w:t>
            </w:r>
            <w:r w:rsidRPr="00275290">
              <w:rPr>
                <w:rFonts w:cs="Arial"/>
              </w:rPr>
              <w:br/>
              <w:t>&gt; 7630 days, 98.9 days and 39.71 hours at pH 4, 7 and 9 respectively.</w:t>
            </w:r>
          </w:p>
        </w:tc>
      </w:tr>
      <w:tr w:rsidR="00692E71" w:rsidRPr="00275290" w14:paraId="4208D4CD" w14:textId="77777777" w:rsidTr="008E0250">
        <w:trPr>
          <w:gridAfter w:val="1"/>
          <w:wAfter w:w="193" w:type="dxa"/>
        </w:trPr>
        <w:tc>
          <w:tcPr>
            <w:tcW w:w="2411" w:type="dxa"/>
          </w:tcPr>
          <w:p w14:paraId="13874121" w14:textId="77777777" w:rsidR="00692E71" w:rsidRPr="00275290" w:rsidRDefault="00692E71" w:rsidP="008E0250">
            <w:pPr>
              <w:spacing w:line="276" w:lineRule="auto"/>
              <w:rPr>
                <w:rFonts w:cs="Arial"/>
              </w:rPr>
            </w:pPr>
          </w:p>
        </w:tc>
        <w:tc>
          <w:tcPr>
            <w:tcW w:w="7603" w:type="dxa"/>
            <w:gridSpan w:val="2"/>
          </w:tcPr>
          <w:p w14:paraId="46DA5C04" w14:textId="77777777" w:rsidR="00692E71" w:rsidRPr="00275290" w:rsidRDefault="00692E71" w:rsidP="008E0250">
            <w:pPr>
              <w:spacing w:line="276" w:lineRule="auto"/>
              <w:rPr>
                <w:rFonts w:cs="Arial"/>
              </w:rPr>
            </w:pPr>
          </w:p>
        </w:tc>
      </w:tr>
      <w:tr w:rsidR="00692E71" w:rsidRPr="00275290" w14:paraId="4FE153AD" w14:textId="77777777" w:rsidTr="008E0250">
        <w:trPr>
          <w:gridAfter w:val="1"/>
          <w:wAfter w:w="193" w:type="dxa"/>
        </w:trPr>
        <w:tc>
          <w:tcPr>
            <w:tcW w:w="2411" w:type="dxa"/>
          </w:tcPr>
          <w:p w14:paraId="67D8A405" w14:textId="77777777" w:rsidR="00692E71" w:rsidRPr="00275290" w:rsidRDefault="00692E71" w:rsidP="00F32B7F">
            <w:pPr>
              <w:numPr>
                <w:ilvl w:val="0"/>
                <w:numId w:val="7"/>
              </w:numPr>
              <w:suppressAutoHyphens w:val="0"/>
              <w:spacing w:line="276" w:lineRule="auto"/>
              <w:ind w:left="602" w:hanging="284"/>
              <w:rPr>
                <w:rFonts w:cs="Arial"/>
              </w:rPr>
            </w:pPr>
            <w:r w:rsidRPr="00275290">
              <w:rPr>
                <w:rFonts w:cs="Arial"/>
              </w:rPr>
              <w:t>Photolysis</w:t>
            </w:r>
          </w:p>
        </w:tc>
        <w:tc>
          <w:tcPr>
            <w:tcW w:w="7603" w:type="dxa"/>
            <w:gridSpan w:val="2"/>
          </w:tcPr>
          <w:p w14:paraId="7D195510" w14:textId="77777777" w:rsidR="00692E71" w:rsidRPr="00275290" w:rsidRDefault="00692E71" w:rsidP="008E0250">
            <w:pPr>
              <w:spacing w:line="276" w:lineRule="auto"/>
              <w:rPr>
                <w:rFonts w:cs="Arial"/>
              </w:rPr>
            </w:pPr>
          </w:p>
        </w:tc>
      </w:tr>
      <w:tr w:rsidR="00692E71" w:rsidRPr="00275290" w14:paraId="4ABBB0F2" w14:textId="77777777" w:rsidTr="008E0250">
        <w:trPr>
          <w:gridAfter w:val="1"/>
          <w:wAfter w:w="193" w:type="dxa"/>
        </w:trPr>
        <w:tc>
          <w:tcPr>
            <w:tcW w:w="2411" w:type="dxa"/>
          </w:tcPr>
          <w:p w14:paraId="12540046" w14:textId="77777777" w:rsidR="00692E71" w:rsidRPr="00275290" w:rsidRDefault="00692E71" w:rsidP="008E0250">
            <w:pPr>
              <w:spacing w:line="276" w:lineRule="auto"/>
              <w:rPr>
                <w:rFonts w:cs="Arial"/>
                <w:i/>
              </w:rPr>
            </w:pPr>
            <w:r w:rsidRPr="00275290">
              <w:rPr>
                <w:rFonts w:cs="Arial"/>
                <w:i/>
              </w:rPr>
              <w:t>In water</w:t>
            </w:r>
          </w:p>
        </w:tc>
        <w:tc>
          <w:tcPr>
            <w:tcW w:w="7603" w:type="dxa"/>
            <w:gridSpan w:val="2"/>
          </w:tcPr>
          <w:p w14:paraId="3B9B2A8A" w14:textId="77777777" w:rsidR="00692E71" w:rsidRPr="00275290" w:rsidRDefault="00692E71" w:rsidP="008E0250">
            <w:pPr>
              <w:spacing w:line="276" w:lineRule="auto"/>
              <w:ind w:left="176"/>
              <w:rPr>
                <w:rFonts w:cs="Arial"/>
              </w:rPr>
            </w:pPr>
            <w:r w:rsidRPr="00275290">
              <w:rPr>
                <w:rFonts w:cs="Arial"/>
              </w:rPr>
              <w:t xml:space="preserve">Cypermethrin is degraded by photolysis in water. The half-lives for net photolysis were calculated to be 14.7 days for </w:t>
            </w:r>
            <w:r w:rsidRPr="00275290">
              <w:rPr>
                <w:rFonts w:cs="Arial"/>
                <w:vertAlign w:val="superscript"/>
              </w:rPr>
              <w:t>14</w:t>
            </w:r>
            <w:r w:rsidRPr="00275290">
              <w:rPr>
                <w:rFonts w:cs="Arial"/>
              </w:rPr>
              <w:t xml:space="preserve">C phenoxy label and 12.4 days for </w:t>
            </w:r>
            <w:r w:rsidRPr="00275290">
              <w:rPr>
                <w:rFonts w:cs="Arial"/>
                <w:vertAlign w:val="superscript"/>
              </w:rPr>
              <w:t>14</w:t>
            </w:r>
            <w:r w:rsidRPr="00275290">
              <w:rPr>
                <w:rFonts w:cs="Arial"/>
              </w:rPr>
              <w:t xml:space="preserve">C cyclopropane label. The main photolytic degradates </w:t>
            </w:r>
            <w:r w:rsidRPr="00275290">
              <w:rPr>
                <w:rFonts w:cs="Arial"/>
              </w:rPr>
              <w:lastRenderedPageBreak/>
              <w:t>were DCVC acid (18% of Applied Radioactivity, AR), 3-phenoxybenzoic acid (15% of AR) and 3-phenoxybenzaldehyde (3% of AR).</w:t>
            </w:r>
          </w:p>
        </w:tc>
      </w:tr>
      <w:tr w:rsidR="00692E71" w:rsidRPr="00275290" w14:paraId="584D11BD" w14:textId="77777777" w:rsidTr="008E0250">
        <w:trPr>
          <w:gridAfter w:val="1"/>
          <w:wAfter w:w="193" w:type="dxa"/>
        </w:trPr>
        <w:tc>
          <w:tcPr>
            <w:tcW w:w="2411" w:type="dxa"/>
          </w:tcPr>
          <w:p w14:paraId="1D801253" w14:textId="77777777" w:rsidR="00692E71" w:rsidRPr="00275290" w:rsidRDefault="00692E71" w:rsidP="008E0250">
            <w:pPr>
              <w:spacing w:line="276" w:lineRule="auto"/>
              <w:rPr>
                <w:rFonts w:cs="Arial"/>
                <w:i/>
              </w:rPr>
            </w:pPr>
            <w:r w:rsidRPr="00275290">
              <w:rPr>
                <w:rFonts w:cs="Arial"/>
                <w:i/>
              </w:rPr>
              <w:lastRenderedPageBreak/>
              <w:t>In soil</w:t>
            </w:r>
          </w:p>
        </w:tc>
        <w:tc>
          <w:tcPr>
            <w:tcW w:w="7603" w:type="dxa"/>
            <w:gridSpan w:val="2"/>
          </w:tcPr>
          <w:p w14:paraId="554BCEE5" w14:textId="77777777" w:rsidR="00692E71" w:rsidRPr="00275290" w:rsidRDefault="00692E71" w:rsidP="008E0250">
            <w:pPr>
              <w:spacing w:line="276" w:lineRule="auto"/>
              <w:ind w:left="176"/>
              <w:rPr>
                <w:rFonts w:cs="Arial"/>
              </w:rPr>
            </w:pPr>
            <w:r w:rsidRPr="00275290">
              <w:rPr>
                <w:rFonts w:cs="Arial"/>
              </w:rPr>
              <w:t>Light accelerates the degradation of cypermethrin on a soil surface. However, soil photolysis is a minor route of degradation of the active substance as shown by data on distribution of radioactivity and DT</w:t>
            </w:r>
            <w:r w:rsidRPr="00275290">
              <w:rPr>
                <w:rFonts w:cs="Arial"/>
                <w:vertAlign w:val="subscript"/>
              </w:rPr>
              <w:t>50</w:t>
            </w:r>
            <w:r w:rsidRPr="00275290">
              <w:rPr>
                <w:rFonts w:cs="Arial"/>
              </w:rPr>
              <w:t xml:space="preserve"> for cis- and trans isomers.</w:t>
            </w:r>
          </w:p>
        </w:tc>
      </w:tr>
      <w:tr w:rsidR="00692E71" w:rsidRPr="00275290" w14:paraId="518E5DF9" w14:textId="77777777" w:rsidTr="008E0250">
        <w:trPr>
          <w:gridAfter w:val="1"/>
          <w:wAfter w:w="193" w:type="dxa"/>
        </w:trPr>
        <w:tc>
          <w:tcPr>
            <w:tcW w:w="2411" w:type="dxa"/>
          </w:tcPr>
          <w:p w14:paraId="1FAE64BE" w14:textId="77777777" w:rsidR="00692E71" w:rsidRPr="00275290" w:rsidRDefault="00692E71" w:rsidP="008E0250">
            <w:pPr>
              <w:spacing w:line="276" w:lineRule="auto"/>
              <w:rPr>
                <w:rFonts w:cs="Arial"/>
                <w:i/>
              </w:rPr>
            </w:pPr>
            <w:r w:rsidRPr="00275290">
              <w:rPr>
                <w:rFonts w:cs="Arial"/>
                <w:i/>
              </w:rPr>
              <w:t>In air</w:t>
            </w:r>
          </w:p>
        </w:tc>
        <w:tc>
          <w:tcPr>
            <w:tcW w:w="7603" w:type="dxa"/>
            <w:gridSpan w:val="2"/>
          </w:tcPr>
          <w:p w14:paraId="005B81C7" w14:textId="77777777" w:rsidR="00692E71" w:rsidRPr="00275290" w:rsidRDefault="00692E71" w:rsidP="008E0250">
            <w:pPr>
              <w:spacing w:line="276" w:lineRule="auto"/>
              <w:ind w:left="176"/>
              <w:rPr>
                <w:rFonts w:cs="Arial"/>
              </w:rPr>
            </w:pPr>
            <w:r w:rsidRPr="00275290">
              <w:rPr>
                <w:rFonts w:cs="Arial"/>
              </w:rPr>
              <w:t>EPIWIN AOP model gives an indirect half-life of 18h for the photolysis in air (OH) of cypermethrin.</w:t>
            </w:r>
          </w:p>
        </w:tc>
      </w:tr>
      <w:tr w:rsidR="00692E71" w:rsidRPr="00275290" w14:paraId="7E91EBA3" w14:textId="77777777" w:rsidTr="008E0250">
        <w:trPr>
          <w:gridAfter w:val="1"/>
          <w:wAfter w:w="193" w:type="dxa"/>
        </w:trPr>
        <w:tc>
          <w:tcPr>
            <w:tcW w:w="2411" w:type="dxa"/>
          </w:tcPr>
          <w:p w14:paraId="5DB7F984" w14:textId="77777777" w:rsidR="00692E71" w:rsidRPr="00275290" w:rsidRDefault="00692E71" w:rsidP="008E0250">
            <w:pPr>
              <w:spacing w:line="276" w:lineRule="auto"/>
              <w:rPr>
                <w:rFonts w:cs="Arial"/>
                <w:i/>
              </w:rPr>
            </w:pPr>
          </w:p>
        </w:tc>
        <w:tc>
          <w:tcPr>
            <w:tcW w:w="7603" w:type="dxa"/>
            <w:gridSpan w:val="2"/>
          </w:tcPr>
          <w:p w14:paraId="75EC1FEE" w14:textId="77777777" w:rsidR="00692E71" w:rsidRPr="00275290" w:rsidRDefault="00692E71" w:rsidP="008E0250">
            <w:pPr>
              <w:spacing w:line="276" w:lineRule="auto"/>
              <w:ind w:left="176"/>
              <w:rPr>
                <w:rFonts w:cs="Arial"/>
              </w:rPr>
            </w:pPr>
          </w:p>
        </w:tc>
      </w:tr>
      <w:tr w:rsidR="00692E71" w:rsidRPr="00275290" w14:paraId="52C81A51" w14:textId="77777777" w:rsidTr="008E0250">
        <w:trPr>
          <w:gridAfter w:val="1"/>
          <w:wAfter w:w="193" w:type="dxa"/>
        </w:trPr>
        <w:tc>
          <w:tcPr>
            <w:tcW w:w="2411" w:type="dxa"/>
          </w:tcPr>
          <w:p w14:paraId="3F09C7EC" w14:textId="77777777" w:rsidR="00692E71" w:rsidRPr="00275290" w:rsidRDefault="00692E71" w:rsidP="00F32B7F">
            <w:pPr>
              <w:numPr>
                <w:ilvl w:val="0"/>
                <w:numId w:val="7"/>
              </w:numPr>
              <w:tabs>
                <w:tab w:val="left" w:pos="602"/>
              </w:tabs>
              <w:suppressAutoHyphens w:val="0"/>
              <w:spacing w:line="276" w:lineRule="auto"/>
              <w:ind w:hanging="436"/>
              <w:rPr>
                <w:rFonts w:cs="Arial"/>
              </w:rPr>
            </w:pPr>
            <w:r w:rsidRPr="00275290">
              <w:rPr>
                <w:rFonts w:cs="Arial"/>
              </w:rPr>
              <w:t>Biodegradation</w:t>
            </w:r>
          </w:p>
        </w:tc>
        <w:tc>
          <w:tcPr>
            <w:tcW w:w="7603" w:type="dxa"/>
            <w:gridSpan w:val="2"/>
          </w:tcPr>
          <w:p w14:paraId="75477E60" w14:textId="77777777" w:rsidR="00692E71" w:rsidRPr="00275290" w:rsidRDefault="00692E71" w:rsidP="008E0250">
            <w:pPr>
              <w:spacing w:line="276" w:lineRule="auto"/>
              <w:ind w:left="176"/>
              <w:rPr>
                <w:rFonts w:cs="Arial"/>
              </w:rPr>
            </w:pPr>
            <w:r w:rsidRPr="00275290">
              <w:rPr>
                <w:rFonts w:cs="Arial"/>
              </w:rPr>
              <w:t xml:space="preserve">Cypermethrin is not readily biodegradable, not inherently biodegradable, </w:t>
            </w:r>
            <w:proofErr w:type="gramStart"/>
            <w:r w:rsidRPr="00275290">
              <w:rPr>
                <w:rFonts w:cs="Arial"/>
              </w:rPr>
              <w:t>not</w:t>
            </w:r>
            <w:proofErr w:type="gramEnd"/>
            <w:r w:rsidRPr="00275290">
              <w:rPr>
                <w:rFonts w:cs="Arial"/>
              </w:rPr>
              <w:t xml:space="preserve"> ultimately biodegradable.</w:t>
            </w:r>
          </w:p>
        </w:tc>
      </w:tr>
      <w:tr w:rsidR="00692E71" w:rsidRPr="00275290" w14:paraId="54FCDEB0" w14:textId="77777777" w:rsidTr="008E0250">
        <w:trPr>
          <w:gridAfter w:val="1"/>
          <w:wAfter w:w="193" w:type="dxa"/>
        </w:trPr>
        <w:tc>
          <w:tcPr>
            <w:tcW w:w="2411" w:type="dxa"/>
          </w:tcPr>
          <w:p w14:paraId="61A66F90" w14:textId="77777777" w:rsidR="00692E71" w:rsidRPr="00275290" w:rsidRDefault="00692E71" w:rsidP="008E0250">
            <w:pPr>
              <w:spacing w:line="276" w:lineRule="auto"/>
              <w:rPr>
                <w:rFonts w:cs="Arial"/>
                <w:i/>
              </w:rPr>
            </w:pPr>
            <w:r w:rsidRPr="00275290">
              <w:rPr>
                <w:rFonts w:cs="Arial"/>
                <w:i/>
              </w:rPr>
              <w:t>In water</w:t>
            </w:r>
          </w:p>
          <w:p w14:paraId="4912D4DC" w14:textId="77777777" w:rsidR="00692E71" w:rsidRPr="00275290" w:rsidRDefault="00692E71" w:rsidP="008E0250">
            <w:pPr>
              <w:spacing w:line="276" w:lineRule="auto"/>
              <w:rPr>
                <w:rFonts w:cs="Arial"/>
              </w:rPr>
            </w:pPr>
            <w:r w:rsidRPr="00275290">
              <w:rPr>
                <w:rFonts w:cs="Arial"/>
                <w:i/>
              </w:rPr>
              <w:t>/sediment</w:t>
            </w:r>
          </w:p>
        </w:tc>
        <w:tc>
          <w:tcPr>
            <w:tcW w:w="7603" w:type="dxa"/>
            <w:gridSpan w:val="2"/>
          </w:tcPr>
          <w:p w14:paraId="727CC4D3" w14:textId="77777777" w:rsidR="00692E71" w:rsidRPr="00275290" w:rsidRDefault="00692E71" w:rsidP="008E0250">
            <w:pPr>
              <w:spacing w:line="276" w:lineRule="auto"/>
              <w:ind w:left="176"/>
              <w:rPr>
                <w:rFonts w:cs="Arial"/>
              </w:rPr>
            </w:pPr>
            <w:r w:rsidRPr="00275290">
              <w:rPr>
                <w:rFonts w:cs="Arial"/>
              </w:rPr>
              <w:t>Cypermethrin is degradable in a water/sediment compartment. Degradation of cypermethrin was effective in both water-sediment systems. At 12°C, DT</w:t>
            </w:r>
            <w:r w:rsidRPr="00275290">
              <w:rPr>
                <w:rFonts w:cs="Arial"/>
                <w:vertAlign w:val="subscript"/>
              </w:rPr>
              <w:t>50</w:t>
            </w:r>
            <w:r w:rsidRPr="00275290">
              <w:rPr>
                <w:rFonts w:cs="Arial"/>
              </w:rPr>
              <w:t xml:space="preserve"> values were calculated to be between 6.6 and 18.5 days in the whole system, 0.95 days in the water phase and between 20.7 and 27 days in sediments. The significant metabolites were 3-phenoxybenzoic acid (21% AR in water and 11% in sediment), TDCVC (44% AR in water and 20% in sediment) and CDCVC (22% AR in water and 15% in sediment). A further unknown metabolite was identified up to 14% of AR in the units dosed with the cyclopropyl label. </w:t>
            </w:r>
          </w:p>
          <w:p w14:paraId="3797C8BD" w14:textId="77777777" w:rsidR="00692E71" w:rsidRPr="00275290" w:rsidRDefault="00692E71" w:rsidP="008E0250">
            <w:pPr>
              <w:spacing w:line="276" w:lineRule="auto"/>
              <w:ind w:left="176"/>
              <w:rPr>
                <w:rFonts w:cs="Arial"/>
              </w:rPr>
            </w:pPr>
            <w:r w:rsidRPr="00275290">
              <w:rPr>
                <w:rFonts w:cs="Arial"/>
              </w:rPr>
              <w:t>The two main degradation products TDCVC and CDCVC have to be considered as persistent with typical DT</w:t>
            </w:r>
            <w:r w:rsidRPr="00275290">
              <w:rPr>
                <w:rFonts w:cs="Arial"/>
                <w:vertAlign w:val="subscript"/>
              </w:rPr>
              <w:t>50</w:t>
            </w:r>
            <w:r w:rsidRPr="00275290">
              <w:rPr>
                <w:rFonts w:cs="Arial"/>
              </w:rPr>
              <w:t xml:space="preserve"> values &gt; 40 days.</w:t>
            </w:r>
          </w:p>
        </w:tc>
      </w:tr>
      <w:tr w:rsidR="00692E71" w:rsidRPr="00275290" w14:paraId="11AFB562" w14:textId="77777777" w:rsidTr="008E0250">
        <w:trPr>
          <w:gridAfter w:val="1"/>
          <w:wAfter w:w="193" w:type="dxa"/>
        </w:trPr>
        <w:tc>
          <w:tcPr>
            <w:tcW w:w="2411" w:type="dxa"/>
          </w:tcPr>
          <w:p w14:paraId="03F7F296" w14:textId="77777777" w:rsidR="00692E71" w:rsidRPr="00275290" w:rsidRDefault="00692E71" w:rsidP="008E0250">
            <w:pPr>
              <w:keepNext/>
              <w:spacing w:line="276" w:lineRule="auto"/>
              <w:rPr>
                <w:rFonts w:cs="Arial"/>
                <w:i/>
              </w:rPr>
            </w:pPr>
            <w:r w:rsidRPr="00275290">
              <w:rPr>
                <w:rFonts w:cs="Arial"/>
                <w:i/>
              </w:rPr>
              <w:t>In soil</w:t>
            </w:r>
          </w:p>
        </w:tc>
        <w:tc>
          <w:tcPr>
            <w:tcW w:w="7603" w:type="dxa"/>
            <w:gridSpan w:val="2"/>
          </w:tcPr>
          <w:p w14:paraId="5A222681" w14:textId="77777777" w:rsidR="00692E71" w:rsidRPr="00275290" w:rsidRDefault="00692E71" w:rsidP="008E0250">
            <w:pPr>
              <w:keepNext/>
              <w:spacing w:line="276" w:lineRule="auto"/>
              <w:ind w:left="176"/>
              <w:rPr>
                <w:rFonts w:cs="Arial"/>
              </w:rPr>
            </w:pPr>
            <w:r w:rsidRPr="00275290">
              <w:rPr>
                <w:rFonts w:cs="Arial"/>
              </w:rPr>
              <w:t>In soil in aerobic conditions, cypermethrin is metabolised to three significant metabolites: 3-phenoxybenzoic acid (10.2% AR at day 7), TDCVC (13.6% of AR at day 7) and CDCVC (3.9% of AR at day 7). Further metabolism of cypermethrin and/or these metabolites lead to bound residues and mineralisation to carbon dioxide. The DT</w:t>
            </w:r>
            <w:r w:rsidRPr="00275290">
              <w:rPr>
                <w:rFonts w:cs="Arial"/>
                <w:vertAlign w:val="subscript"/>
              </w:rPr>
              <w:t>50</w:t>
            </w:r>
            <w:r w:rsidRPr="00275290">
              <w:rPr>
                <w:rFonts w:cs="Arial"/>
              </w:rPr>
              <w:t xml:space="preserve"> values for the degradation of cypermethrin is within the range 6 to 24 days following incubation at 20 ± 2°C (mean DT</w:t>
            </w:r>
            <w:r w:rsidRPr="00275290">
              <w:rPr>
                <w:rFonts w:cs="Arial"/>
                <w:vertAlign w:val="subscript"/>
              </w:rPr>
              <w:t>50</w:t>
            </w:r>
            <w:r w:rsidRPr="00275290">
              <w:rPr>
                <w:rFonts w:cs="Arial"/>
              </w:rPr>
              <w:t xml:space="preserve"> = 13.5 days at 20°C). In soil PT 102, incubated at 10 ± 2°C, the DT</w:t>
            </w:r>
            <w:r w:rsidRPr="00275290">
              <w:rPr>
                <w:rFonts w:cs="Arial"/>
                <w:vertAlign w:val="subscript"/>
              </w:rPr>
              <w:t>50</w:t>
            </w:r>
            <w:r w:rsidRPr="00275290">
              <w:rPr>
                <w:rFonts w:cs="Arial"/>
              </w:rPr>
              <w:t xml:space="preserve"> value for the degradation of cypermethrin is 52 days. The corresponding DT</w:t>
            </w:r>
            <w:r w:rsidRPr="00275290">
              <w:rPr>
                <w:rFonts w:cs="Arial"/>
                <w:vertAlign w:val="subscript"/>
              </w:rPr>
              <w:t>50</w:t>
            </w:r>
            <w:r w:rsidRPr="00275290">
              <w:rPr>
                <w:rFonts w:cs="Arial"/>
              </w:rPr>
              <w:t xml:space="preserve"> at 12°C is calculated to be 17.2 days, based on the geometric mean. Cis cypermethrin degrades at lower rates in comparison to trans cypermethrin.</w:t>
            </w:r>
          </w:p>
          <w:p w14:paraId="6B2BFDAD" w14:textId="77777777" w:rsidR="00692E71" w:rsidRPr="00275290" w:rsidRDefault="00692E71" w:rsidP="008E0250">
            <w:pPr>
              <w:keepNext/>
              <w:spacing w:line="276" w:lineRule="auto"/>
              <w:ind w:left="176"/>
              <w:rPr>
                <w:rFonts w:cs="Arial"/>
              </w:rPr>
            </w:pPr>
            <w:r w:rsidRPr="00275290">
              <w:rPr>
                <w:rFonts w:cs="Arial"/>
              </w:rPr>
              <w:t>In anaerobic conditions, cypermethrin is metabolised to three extractable metabolites: 3-PBA (max. 35.1% AR), CDCVC (max. 22.8% AR), TDCVC (max. 31.2% AR) and carbon dioxide (max. 22.8% AR) in the total flooded soil system. The DT</w:t>
            </w:r>
            <w:r w:rsidRPr="00275290">
              <w:rPr>
                <w:rFonts w:cs="Arial"/>
                <w:vertAlign w:val="subscript"/>
              </w:rPr>
              <w:t>50</w:t>
            </w:r>
            <w:r w:rsidRPr="00275290">
              <w:rPr>
                <w:rFonts w:cs="Arial"/>
              </w:rPr>
              <w:t xml:space="preserve"> is estimated to 46 days at 20°C, corresponding to 87.2 days at 12°C.</w:t>
            </w:r>
          </w:p>
        </w:tc>
      </w:tr>
      <w:tr w:rsidR="00692E71" w:rsidRPr="00275290" w14:paraId="66DB6356" w14:textId="77777777" w:rsidTr="008E0250">
        <w:trPr>
          <w:gridAfter w:val="1"/>
          <w:wAfter w:w="193" w:type="dxa"/>
        </w:trPr>
        <w:tc>
          <w:tcPr>
            <w:tcW w:w="2411" w:type="dxa"/>
          </w:tcPr>
          <w:p w14:paraId="1CCE3ADC" w14:textId="77777777" w:rsidR="00692E71" w:rsidRPr="00275290" w:rsidRDefault="00692E71" w:rsidP="008E0250">
            <w:pPr>
              <w:spacing w:line="276" w:lineRule="auto"/>
              <w:rPr>
                <w:rFonts w:cs="Arial"/>
                <w:i/>
              </w:rPr>
            </w:pPr>
          </w:p>
        </w:tc>
        <w:tc>
          <w:tcPr>
            <w:tcW w:w="7603" w:type="dxa"/>
            <w:gridSpan w:val="2"/>
          </w:tcPr>
          <w:p w14:paraId="2EB4BDA0" w14:textId="77777777" w:rsidR="00692E71" w:rsidRPr="00275290" w:rsidRDefault="00692E71" w:rsidP="008E0250">
            <w:pPr>
              <w:spacing w:line="276" w:lineRule="auto"/>
              <w:ind w:left="176"/>
              <w:rPr>
                <w:rFonts w:cs="Arial"/>
              </w:rPr>
            </w:pPr>
          </w:p>
        </w:tc>
      </w:tr>
      <w:tr w:rsidR="00692E71" w:rsidRPr="00275290" w14:paraId="7DB97F13" w14:textId="77777777" w:rsidTr="008E0250">
        <w:trPr>
          <w:gridAfter w:val="1"/>
          <w:wAfter w:w="193" w:type="dxa"/>
        </w:trPr>
        <w:tc>
          <w:tcPr>
            <w:tcW w:w="2411" w:type="dxa"/>
          </w:tcPr>
          <w:p w14:paraId="097ECDA3" w14:textId="77777777" w:rsidR="00692E71" w:rsidRPr="00275290" w:rsidRDefault="00692E71" w:rsidP="008E0250">
            <w:pPr>
              <w:spacing w:line="276" w:lineRule="auto"/>
              <w:rPr>
                <w:rFonts w:cs="Arial"/>
                <w:i/>
              </w:rPr>
            </w:pPr>
            <w:r w:rsidRPr="00275290">
              <w:rPr>
                <w:rFonts w:cs="Arial"/>
                <w:u w:val="single"/>
              </w:rPr>
              <w:t>Distribution</w:t>
            </w:r>
          </w:p>
        </w:tc>
        <w:tc>
          <w:tcPr>
            <w:tcW w:w="7603" w:type="dxa"/>
            <w:gridSpan w:val="2"/>
          </w:tcPr>
          <w:p w14:paraId="60A38F33" w14:textId="77777777" w:rsidR="00692E71" w:rsidRPr="00275290" w:rsidRDefault="00692E71" w:rsidP="008E0250">
            <w:pPr>
              <w:spacing w:line="276" w:lineRule="auto"/>
              <w:ind w:left="176"/>
              <w:rPr>
                <w:rFonts w:cs="Arial"/>
              </w:rPr>
            </w:pPr>
          </w:p>
        </w:tc>
      </w:tr>
      <w:tr w:rsidR="00692E71" w:rsidRPr="00275290" w14:paraId="2195151D" w14:textId="77777777" w:rsidTr="008E0250">
        <w:trPr>
          <w:gridAfter w:val="1"/>
          <w:wAfter w:w="193" w:type="dxa"/>
        </w:trPr>
        <w:tc>
          <w:tcPr>
            <w:tcW w:w="2411" w:type="dxa"/>
          </w:tcPr>
          <w:p w14:paraId="504CFD27" w14:textId="77777777" w:rsidR="00692E71" w:rsidRPr="00275290" w:rsidRDefault="00692E71" w:rsidP="00F32B7F">
            <w:pPr>
              <w:numPr>
                <w:ilvl w:val="0"/>
                <w:numId w:val="7"/>
              </w:numPr>
              <w:suppressAutoHyphens w:val="0"/>
              <w:spacing w:line="276" w:lineRule="auto"/>
              <w:ind w:left="602" w:hanging="284"/>
              <w:rPr>
                <w:rFonts w:cs="Arial"/>
              </w:rPr>
            </w:pPr>
            <w:r w:rsidRPr="00275290">
              <w:rPr>
                <w:rFonts w:cs="Arial"/>
              </w:rPr>
              <w:t>Adsorption</w:t>
            </w:r>
          </w:p>
          <w:p w14:paraId="3498A7BF" w14:textId="77777777" w:rsidR="00692E71" w:rsidRPr="00275290" w:rsidRDefault="00692E71" w:rsidP="008E0250">
            <w:pPr>
              <w:spacing w:line="276" w:lineRule="auto"/>
              <w:ind w:left="602"/>
              <w:rPr>
                <w:rFonts w:cs="Arial"/>
                <w:u w:val="single"/>
              </w:rPr>
            </w:pPr>
            <w:r w:rsidRPr="00275290">
              <w:rPr>
                <w:rFonts w:cs="Arial"/>
              </w:rPr>
              <w:t>desorption</w:t>
            </w:r>
          </w:p>
        </w:tc>
        <w:tc>
          <w:tcPr>
            <w:tcW w:w="7603" w:type="dxa"/>
            <w:gridSpan w:val="2"/>
          </w:tcPr>
          <w:p w14:paraId="5F681769" w14:textId="77777777" w:rsidR="00692E71" w:rsidRPr="00275290" w:rsidRDefault="00692E71" w:rsidP="008E0250">
            <w:pPr>
              <w:spacing w:line="276" w:lineRule="auto"/>
              <w:ind w:left="176"/>
              <w:rPr>
                <w:rFonts w:cs="Arial"/>
              </w:rPr>
            </w:pPr>
            <w:r w:rsidRPr="00275290">
              <w:rPr>
                <w:rFonts w:cs="Arial"/>
              </w:rPr>
              <w:t>Results of the soil adsorption/desorption study provided minimum K</w:t>
            </w:r>
            <w:r w:rsidRPr="00275290">
              <w:rPr>
                <w:rFonts w:cs="Arial"/>
                <w:vertAlign w:val="subscript"/>
              </w:rPr>
              <w:t>oc</w:t>
            </w:r>
            <w:r w:rsidRPr="00275290">
              <w:rPr>
                <w:rFonts w:cs="Arial"/>
              </w:rPr>
              <w:t xml:space="preserve"> values ranging from 80 653 to 574 360. K</w:t>
            </w:r>
            <w:r w:rsidRPr="00275290">
              <w:rPr>
                <w:rFonts w:cs="Arial"/>
                <w:vertAlign w:val="subscript"/>
              </w:rPr>
              <w:t>oc</w:t>
            </w:r>
            <w:r w:rsidRPr="00275290">
              <w:rPr>
                <w:rFonts w:cs="Arial"/>
              </w:rPr>
              <w:t xml:space="preserve"> for the sediment is minimum 527 972. </w:t>
            </w:r>
          </w:p>
          <w:p w14:paraId="37570CDC" w14:textId="77777777" w:rsidR="00692E71" w:rsidRPr="00275290" w:rsidRDefault="00692E71" w:rsidP="008E0250">
            <w:pPr>
              <w:spacing w:line="276" w:lineRule="auto"/>
              <w:ind w:left="176"/>
              <w:rPr>
                <w:rFonts w:cs="Arial"/>
              </w:rPr>
            </w:pPr>
            <w:r w:rsidRPr="00275290">
              <w:rPr>
                <w:rFonts w:cs="Arial"/>
              </w:rPr>
              <w:t>These values are indicative of a strong adsorption to the soil particles and sediment.</w:t>
            </w:r>
          </w:p>
        </w:tc>
      </w:tr>
      <w:tr w:rsidR="00692E71" w:rsidRPr="00275290" w14:paraId="287D65B3" w14:textId="77777777" w:rsidTr="008E0250">
        <w:trPr>
          <w:gridAfter w:val="1"/>
          <w:wAfter w:w="193" w:type="dxa"/>
        </w:trPr>
        <w:tc>
          <w:tcPr>
            <w:tcW w:w="2411" w:type="dxa"/>
          </w:tcPr>
          <w:p w14:paraId="6F57AE0F" w14:textId="77777777" w:rsidR="00692E71" w:rsidRPr="00275290" w:rsidRDefault="00692E71" w:rsidP="008E0250">
            <w:pPr>
              <w:spacing w:line="276" w:lineRule="auto"/>
              <w:rPr>
                <w:rFonts w:cs="Arial"/>
              </w:rPr>
            </w:pPr>
          </w:p>
        </w:tc>
        <w:tc>
          <w:tcPr>
            <w:tcW w:w="7603" w:type="dxa"/>
            <w:gridSpan w:val="2"/>
          </w:tcPr>
          <w:p w14:paraId="11BD5BF4" w14:textId="77777777" w:rsidR="00692E71" w:rsidRPr="00275290" w:rsidRDefault="00692E71" w:rsidP="008E0250">
            <w:pPr>
              <w:spacing w:line="276" w:lineRule="auto"/>
              <w:ind w:left="176"/>
              <w:rPr>
                <w:rFonts w:cs="Arial"/>
              </w:rPr>
            </w:pPr>
          </w:p>
        </w:tc>
      </w:tr>
      <w:tr w:rsidR="00692E71" w:rsidRPr="00275290" w14:paraId="2536FD8D" w14:textId="77777777" w:rsidTr="008E0250">
        <w:trPr>
          <w:gridAfter w:val="1"/>
          <w:wAfter w:w="193" w:type="dxa"/>
        </w:trPr>
        <w:tc>
          <w:tcPr>
            <w:tcW w:w="2411" w:type="dxa"/>
          </w:tcPr>
          <w:p w14:paraId="6DB3577F" w14:textId="77777777" w:rsidR="00692E71" w:rsidRPr="00275290" w:rsidRDefault="00692E71" w:rsidP="00F32B7F">
            <w:pPr>
              <w:numPr>
                <w:ilvl w:val="0"/>
                <w:numId w:val="7"/>
              </w:numPr>
              <w:suppressAutoHyphens w:val="0"/>
              <w:spacing w:line="276" w:lineRule="auto"/>
              <w:ind w:left="602" w:hanging="284"/>
              <w:rPr>
                <w:rFonts w:cs="Arial"/>
              </w:rPr>
            </w:pPr>
            <w:r w:rsidRPr="00275290">
              <w:rPr>
                <w:rFonts w:cs="Arial"/>
              </w:rPr>
              <w:t>Volatilisation</w:t>
            </w:r>
          </w:p>
        </w:tc>
        <w:tc>
          <w:tcPr>
            <w:tcW w:w="7603" w:type="dxa"/>
            <w:gridSpan w:val="2"/>
          </w:tcPr>
          <w:p w14:paraId="14308A51" w14:textId="77777777" w:rsidR="00692E71" w:rsidRPr="00275290" w:rsidRDefault="00692E71" w:rsidP="008E0250">
            <w:pPr>
              <w:spacing w:line="276" w:lineRule="auto"/>
              <w:ind w:left="176"/>
              <w:rPr>
                <w:rFonts w:cs="Arial"/>
              </w:rPr>
            </w:pPr>
            <w:r w:rsidRPr="00275290">
              <w:rPr>
                <w:rFonts w:cs="Arial"/>
              </w:rPr>
              <w:t>Due to its low vapour pressure (2.3*10</w:t>
            </w:r>
            <w:r w:rsidRPr="00275290">
              <w:rPr>
                <w:rFonts w:cs="Arial"/>
                <w:vertAlign w:val="superscript"/>
              </w:rPr>
              <w:t>-7</w:t>
            </w:r>
            <w:r w:rsidRPr="00275290">
              <w:rPr>
                <w:rFonts w:cs="Arial"/>
              </w:rPr>
              <w:t xml:space="preserve"> at 20°C), volatilisation of cypermethrin is not expected.</w:t>
            </w:r>
          </w:p>
        </w:tc>
      </w:tr>
      <w:tr w:rsidR="00692E71" w:rsidRPr="00275290" w14:paraId="4994FCAF" w14:textId="77777777" w:rsidTr="008E0250">
        <w:trPr>
          <w:gridAfter w:val="1"/>
          <w:wAfter w:w="193" w:type="dxa"/>
        </w:trPr>
        <w:tc>
          <w:tcPr>
            <w:tcW w:w="2411" w:type="dxa"/>
          </w:tcPr>
          <w:p w14:paraId="49A9BF92" w14:textId="77777777" w:rsidR="00692E71" w:rsidRPr="00275290" w:rsidRDefault="00692E71" w:rsidP="008E0250">
            <w:pPr>
              <w:spacing w:line="276" w:lineRule="auto"/>
              <w:rPr>
                <w:rFonts w:cs="Arial"/>
              </w:rPr>
            </w:pPr>
          </w:p>
        </w:tc>
        <w:tc>
          <w:tcPr>
            <w:tcW w:w="7603" w:type="dxa"/>
            <w:gridSpan w:val="2"/>
          </w:tcPr>
          <w:p w14:paraId="10272A78" w14:textId="77777777" w:rsidR="00692E71" w:rsidRPr="00275290" w:rsidRDefault="00692E71" w:rsidP="008E0250">
            <w:pPr>
              <w:spacing w:line="276" w:lineRule="auto"/>
              <w:ind w:left="176"/>
              <w:rPr>
                <w:rFonts w:cs="Arial"/>
              </w:rPr>
            </w:pPr>
          </w:p>
        </w:tc>
      </w:tr>
      <w:tr w:rsidR="00692E71" w:rsidRPr="00275290" w14:paraId="2B769062" w14:textId="77777777" w:rsidTr="008E0250">
        <w:trPr>
          <w:gridAfter w:val="1"/>
          <w:wAfter w:w="193" w:type="dxa"/>
          <w:trHeight w:val="80"/>
        </w:trPr>
        <w:tc>
          <w:tcPr>
            <w:tcW w:w="2411" w:type="dxa"/>
          </w:tcPr>
          <w:p w14:paraId="73AE9D2A" w14:textId="77777777" w:rsidR="00692E71" w:rsidRPr="00275290" w:rsidRDefault="00692E71" w:rsidP="00F32B7F">
            <w:pPr>
              <w:numPr>
                <w:ilvl w:val="0"/>
                <w:numId w:val="7"/>
              </w:numPr>
              <w:suppressAutoHyphens w:val="0"/>
              <w:spacing w:line="276" w:lineRule="auto"/>
              <w:ind w:left="602" w:hanging="284"/>
              <w:rPr>
                <w:rFonts w:cs="Arial"/>
              </w:rPr>
            </w:pPr>
            <w:r w:rsidRPr="00275290">
              <w:rPr>
                <w:rFonts w:cs="Arial"/>
              </w:rPr>
              <w:t>Bioaccumulation</w:t>
            </w:r>
          </w:p>
        </w:tc>
        <w:tc>
          <w:tcPr>
            <w:tcW w:w="7603" w:type="dxa"/>
            <w:gridSpan w:val="2"/>
          </w:tcPr>
          <w:p w14:paraId="0CD03B10" w14:textId="77777777" w:rsidR="00692E71" w:rsidRPr="00275290" w:rsidRDefault="00692E71" w:rsidP="008E0250">
            <w:pPr>
              <w:spacing w:line="276" w:lineRule="auto"/>
              <w:ind w:left="176"/>
              <w:rPr>
                <w:rFonts w:cs="Arial"/>
              </w:rPr>
            </w:pPr>
            <w:r w:rsidRPr="00275290">
              <w:rPr>
                <w:rFonts w:cs="Arial"/>
              </w:rPr>
              <w:t>Cypermethrin tends to bioaccumulate in water organisms with a typical bioaccumulation factor (fish) of 417 L/kg.</w:t>
            </w:r>
          </w:p>
        </w:tc>
      </w:tr>
    </w:tbl>
    <w:p w14:paraId="7E8DC295" w14:textId="77777777" w:rsidR="00692E71" w:rsidRPr="00275290" w:rsidRDefault="00692E71" w:rsidP="00692E71">
      <w:pPr>
        <w:spacing w:after="240" w:line="276" w:lineRule="auto"/>
        <w:ind w:left="-142" w:right="142"/>
        <w:rPr>
          <w:rFonts w:cs="Arial"/>
          <w:szCs w:val="22"/>
        </w:rPr>
      </w:pPr>
    </w:p>
    <w:p w14:paraId="1F6EDD2B" w14:textId="77777777" w:rsidR="00692E71" w:rsidRPr="00275290" w:rsidRDefault="00692E71" w:rsidP="00F32B7F">
      <w:pPr>
        <w:numPr>
          <w:ilvl w:val="0"/>
          <w:numId w:val="6"/>
        </w:numPr>
        <w:suppressAutoHyphens w:val="0"/>
        <w:spacing w:line="276" w:lineRule="auto"/>
        <w:rPr>
          <w:rFonts w:cs="Arial"/>
          <w:b/>
          <w:szCs w:val="22"/>
        </w:rPr>
      </w:pPr>
      <w:r w:rsidRPr="00275290">
        <w:rPr>
          <w:rFonts w:cs="Arial"/>
          <w:b/>
          <w:szCs w:val="22"/>
        </w:rPr>
        <w:lastRenderedPageBreak/>
        <w:t>Environmental behaviour of propiconazole</w:t>
      </w:r>
    </w:p>
    <w:p w14:paraId="7B278B04" w14:textId="77777777" w:rsidR="00692E71" w:rsidRPr="00275290" w:rsidRDefault="00692E71" w:rsidP="00692E71">
      <w:pPr>
        <w:spacing w:line="276" w:lineRule="auto"/>
        <w:ind w:left="-142"/>
        <w:rPr>
          <w:rFonts w:cs="Arial"/>
        </w:rPr>
      </w:pPr>
    </w:p>
    <w:tbl>
      <w:tblPr>
        <w:tblW w:w="10031" w:type="dxa"/>
        <w:tblLook w:val="04A0" w:firstRow="1" w:lastRow="0" w:firstColumn="1" w:lastColumn="0" w:noHBand="0" w:noVBand="1"/>
      </w:tblPr>
      <w:tblGrid>
        <w:gridCol w:w="2518"/>
        <w:gridCol w:w="142"/>
        <w:gridCol w:w="7229"/>
        <w:gridCol w:w="142"/>
      </w:tblGrid>
      <w:tr w:rsidR="00692E71" w:rsidRPr="00275290" w14:paraId="6FA1D85B" w14:textId="77777777" w:rsidTr="008E0250">
        <w:tc>
          <w:tcPr>
            <w:tcW w:w="2660" w:type="dxa"/>
            <w:gridSpan w:val="2"/>
          </w:tcPr>
          <w:p w14:paraId="370D14D6" w14:textId="77777777" w:rsidR="00692E71" w:rsidRPr="00275290" w:rsidRDefault="00692E71" w:rsidP="008E0250">
            <w:pPr>
              <w:spacing w:line="276" w:lineRule="auto"/>
              <w:rPr>
                <w:rFonts w:cs="Arial"/>
                <w:u w:val="single"/>
              </w:rPr>
            </w:pPr>
            <w:r w:rsidRPr="00275290">
              <w:rPr>
                <w:rFonts w:cs="Arial"/>
                <w:u w:val="single"/>
              </w:rPr>
              <w:t>Degradation</w:t>
            </w:r>
          </w:p>
        </w:tc>
        <w:tc>
          <w:tcPr>
            <w:tcW w:w="7371" w:type="dxa"/>
            <w:gridSpan w:val="2"/>
          </w:tcPr>
          <w:p w14:paraId="0BE51D4D" w14:textId="77777777" w:rsidR="00692E71" w:rsidRPr="00275290" w:rsidRDefault="00692E71" w:rsidP="008E0250">
            <w:pPr>
              <w:spacing w:line="276" w:lineRule="auto"/>
              <w:rPr>
                <w:rFonts w:cs="Arial"/>
              </w:rPr>
            </w:pPr>
          </w:p>
        </w:tc>
      </w:tr>
      <w:tr w:rsidR="00692E71" w:rsidRPr="00275290" w14:paraId="706AB42D" w14:textId="77777777" w:rsidTr="008E0250">
        <w:trPr>
          <w:gridAfter w:val="1"/>
          <w:wAfter w:w="142" w:type="dxa"/>
        </w:trPr>
        <w:tc>
          <w:tcPr>
            <w:tcW w:w="2518" w:type="dxa"/>
          </w:tcPr>
          <w:p w14:paraId="2EF5FC8B" w14:textId="77777777" w:rsidR="00692E71" w:rsidRPr="00275290" w:rsidRDefault="00692E71" w:rsidP="00F32B7F">
            <w:pPr>
              <w:numPr>
                <w:ilvl w:val="0"/>
                <w:numId w:val="9"/>
              </w:numPr>
              <w:suppressAutoHyphens w:val="0"/>
              <w:spacing w:line="276" w:lineRule="auto"/>
              <w:ind w:left="426" w:hanging="284"/>
              <w:rPr>
                <w:rFonts w:cs="Arial"/>
              </w:rPr>
            </w:pPr>
            <w:r w:rsidRPr="00275290">
              <w:rPr>
                <w:rFonts w:cs="Arial"/>
              </w:rPr>
              <w:t>Hydrolysis</w:t>
            </w:r>
          </w:p>
        </w:tc>
        <w:tc>
          <w:tcPr>
            <w:tcW w:w="7371" w:type="dxa"/>
            <w:gridSpan w:val="2"/>
          </w:tcPr>
          <w:p w14:paraId="2DE6201D" w14:textId="77777777" w:rsidR="00692E71" w:rsidRPr="00275290" w:rsidRDefault="00692E71" w:rsidP="008E0250">
            <w:pPr>
              <w:spacing w:line="276" w:lineRule="auto"/>
              <w:ind w:left="-108"/>
              <w:rPr>
                <w:rFonts w:cs="Arial"/>
              </w:rPr>
            </w:pPr>
            <w:r w:rsidRPr="00275290">
              <w:rPr>
                <w:rFonts w:cs="Arial"/>
              </w:rPr>
              <w:t>Propiconazole is hydrolytically stable</w:t>
            </w:r>
          </w:p>
        </w:tc>
      </w:tr>
      <w:tr w:rsidR="00692E71" w:rsidRPr="00275290" w14:paraId="309EF5A2" w14:textId="77777777" w:rsidTr="008E0250">
        <w:trPr>
          <w:gridAfter w:val="1"/>
          <w:wAfter w:w="142" w:type="dxa"/>
        </w:trPr>
        <w:tc>
          <w:tcPr>
            <w:tcW w:w="2518" w:type="dxa"/>
          </w:tcPr>
          <w:p w14:paraId="488F12AA" w14:textId="77777777" w:rsidR="00692E71" w:rsidRPr="00275290" w:rsidRDefault="00692E71" w:rsidP="008E0250">
            <w:pPr>
              <w:spacing w:line="276" w:lineRule="auto"/>
              <w:ind w:left="426" w:hanging="284"/>
              <w:rPr>
                <w:rFonts w:cs="Arial"/>
              </w:rPr>
            </w:pPr>
          </w:p>
        </w:tc>
        <w:tc>
          <w:tcPr>
            <w:tcW w:w="7371" w:type="dxa"/>
            <w:gridSpan w:val="2"/>
          </w:tcPr>
          <w:p w14:paraId="33CBE863" w14:textId="77777777" w:rsidR="00692E71" w:rsidRPr="00275290" w:rsidRDefault="00692E71" w:rsidP="008E0250">
            <w:pPr>
              <w:spacing w:line="276" w:lineRule="auto"/>
              <w:ind w:left="-108"/>
              <w:rPr>
                <w:rFonts w:cs="Arial"/>
              </w:rPr>
            </w:pPr>
          </w:p>
        </w:tc>
      </w:tr>
      <w:tr w:rsidR="00692E71" w:rsidRPr="00275290" w14:paraId="0205ECBF" w14:textId="77777777" w:rsidTr="008E0250">
        <w:trPr>
          <w:gridAfter w:val="1"/>
          <w:wAfter w:w="142" w:type="dxa"/>
        </w:trPr>
        <w:tc>
          <w:tcPr>
            <w:tcW w:w="2518" w:type="dxa"/>
          </w:tcPr>
          <w:p w14:paraId="5D420F42" w14:textId="77777777" w:rsidR="00692E71" w:rsidRPr="00275290" w:rsidRDefault="00692E71" w:rsidP="00F32B7F">
            <w:pPr>
              <w:numPr>
                <w:ilvl w:val="0"/>
                <w:numId w:val="9"/>
              </w:numPr>
              <w:suppressAutoHyphens w:val="0"/>
              <w:spacing w:line="276" w:lineRule="auto"/>
              <w:ind w:left="426" w:hanging="284"/>
              <w:rPr>
                <w:rFonts w:cs="Arial"/>
              </w:rPr>
            </w:pPr>
            <w:r w:rsidRPr="00275290">
              <w:rPr>
                <w:rFonts w:cs="Arial"/>
              </w:rPr>
              <w:t>Photolysis</w:t>
            </w:r>
          </w:p>
        </w:tc>
        <w:tc>
          <w:tcPr>
            <w:tcW w:w="7371" w:type="dxa"/>
            <w:gridSpan w:val="2"/>
          </w:tcPr>
          <w:p w14:paraId="4A5034C9" w14:textId="77777777" w:rsidR="00692E71" w:rsidRPr="00275290" w:rsidRDefault="00692E71" w:rsidP="008E0250">
            <w:pPr>
              <w:spacing w:line="276" w:lineRule="auto"/>
              <w:ind w:left="-108"/>
              <w:rPr>
                <w:rFonts w:cs="Arial"/>
              </w:rPr>
            </w:pPr>
            <w:r w:rsidRPr="00275290">
              <w:rPr>
                <w:rFonts w:cs="Arial"/>
              </w:rPr>
              <w:t>Propiconazole is photolytically stable</w:t>
            </w:r>
          </w:p>
        </w:tc>
      </w:tr>
      <w:tr w:rsidR="00692E71" w:rsidRPr="00275290" w14:paraId="095CEDE4" w14:textId="77777777" w:rsidTr="008E0250">
        <w:trPr>
          <w:gridAfter w:val="1"/>
          <w:wAfter w:w="142" w:type="dxa"/>
        </w:trPr>
        <w:tc>
          <w:tcPr>
            <w:tcW w:w="2518" w:type="dxa"/>
          </w:tcPr>
          <w:p w14:paraId="38581A2D" w14:textId="77777777" w:rsidR="00692E71" w:rsidRPr="00275290" w:rsidRDefault="00692E71" w:rsidP="008E0250">
            <w:pPr>
              <w:spacing w:line="276" w:lineRule="auto"/>
              <w:ind w:left="426" w:hanging="284"/>
              <w:rPr>
                <w:rFonts w:cs="Arial"/>
              </w:rPr>
            </w:pPr>
          </w:p>
        </w:tc>
        <w:tc>
          <w:tcPr>
            <w:tcW w:w="7371" w:type="dxa"/>
            <w:gridSpan w:val="2"/>
          </w:tcPr>
          <w:p w14:paraId="26F1126F" w14:textId="77777777" w:rsidR="00692E71" w:rsidRPr="00275290" w:rsidRDefault="00692E71" w:rsidP="008E0250">
            <w:pPr>
              <w:spacing w:line="276" w:lineRule="auto"/>
              <w:ind w:left="-108"/>
              <w:rPr>
                <w:rFonts w:cs="Arial"/>
              </w:rPr>
            </w:pPr>
          </w:p>
        </w:tc>
      </w:tr>
      <w:tr w:rsidR="00692E71" w:rsidRPr="00275290" w14:paraId="11D7A8BA" w14:textId="77777777" w:rsidTr="008E0250">
        <w:trPr>
          <w:gridAfter w:val="1"/>
          <w:wAfter w:w="142" w:type="dxa"/>
        </w:trPr>
        <w:tc>
          <w:tcPr>
            <w:tcW w:w="2518" w:type="dxa"/>
          </w:tcPr>
          <w:p w14:paraId="4D1EF4D5" w14:textId="77777777" w:rsidR="00692E71" w:rsidRPr="00275290" w:rsidRDefault="00692E71" w:rsidP="00F32B7F">
            <w:pPr>
              <w:numPr>
                <w:ilvl w:val="0"/>
                <w:numId w:val="9"/>
              </w:numPr>
              <w:suppressAutoHyphens w:val="0"/>
              <w:spacing w:line="276" w:lineRule="auto"/>
              <w:ind w:left="426" w:hanging="284"/>
              <w:rPr>
                <w:rFonts w:cs="Arial"/>
              </w:rPr>
            </w:pPr>
            <w:r w:rsidRPr="00275290">
              <w:rPr>
                <w:rFonts w:cs="Arial"/>
              </w:rPr>
              <w:t>Biodegradation</w:t>
            </w:r>
          </w:p>
        </w:tc>
        <w:tc>
          <w:tcPr>
            <w:tcW w:w="7371" w:type="dxa"/>
            <w:gridSpan w:val="2"/>
          </w:tcPr>
          <w:p w14:paraId="37A36147" w14:textId="77777777" w:rsidR="00692E71" w:rsidRPr="00275290" w:rsidRDefault="00692E71" w:rsidP="008E0250">
            <w:pPr>
              <w:spacing w:line="276" w:lineRule="auto"/>
              <w:ind w:left="-108"/>
              <w:rPr>
                <w:rFonts w:cs="Arial"/>
              </w:rPr>
            </w:pPr>
            <w:r w:rsidRPr="00275290">
              <w:rPr>
                <w:rFonts w:cs="Arial"/>
              </w:rPr>
              <w:t>Propiconazole is not readily biodegradable.</w:t>
            </w:r>
          </w:p>
        </w:tc>
      </w:tr>
      <w:tr w:rsidR="00692E71" w:rsidRPr="00275290" w14:paraId="33C63E58" w14:textId="77777777" w:rsidTr="008E0250">
        <w:trPr>
          <w:gridAfter w:val="1"/>
          <w:wAfter w:w="142" w:type="dxa"/>
        </w:trPr>
        <w:tc>
          <w:tcPr>
            <w:tcW w:w="2518" w:type="dxa"/>
          </w:tcPr>
          <w:p w14:paraId="1970A96F" w14:textId="77777777" w:rsidR="00692E71" w:rsidRPr="00275290" w:rsidRDefault="00692E71" w:rsidP="008E0250">
            <w:pPr>
              <w:spacing w:line="276" w:lineRule="auto"/>
              <w:rPr>
                <w:rFonts w:cs="Arial"/>
                <w:i/>
              </w:rPr>
            </w:pPr>
            <w:r w:rsidRPr="00275290">
              <w:rPr>
                <w:rFonts w:cs="Arial"/>
                <w:i/>
              </w:rPr>
              <w:t>In water</w:t>
            </w:r>
          </w:p>
          <w:p w14:paraId="1220D434" w14:textId="77777777" w:rsidR="00692E71" w:rsidRPr="00275290" w:rsidRDefault="00692E71" w:rsidP="008E0250">
            <w:pPr>
              <w:spacing w:line="276" w:lineRule="auto"/>
              <w:rPr>
                <w:rFonts w:cs="Arial"/>
              </w:rPr>
            </w:pPr>
            <w:r w:rsidRPr="00275290">
              <w:rPr>
                <w:rFonts w:cs="Arial"/>
                <w:i/>
              </w:rPr>
              <w:t>/sediment</w:t>
            </w:r>
          </w:p>
        </w:tc>
        <w:tc>
          <w:tcPr>
            <w:tcW w:w="7371" w:type="dxa"/>
            <w:gridSpan w:val="2"/>
          </w:tcPr>
          <w:p w14:paraId="1079904E" w14:textId="77777777" w:rsidR="00692E71" w:rsidRPr="00275290" w:rsidRDefault="00692E71" w:rsidP="008E0250">
            <w:pPr>
              <w:spacing w:line="276" w:lineRule="auto"/>
              <w:ind w:left="-108"/>
              <w:rPr>
                <w:rFonts w:cs="Arial"/>
              </w:rPr>
            </w:pPr>
            <w:r w:rsidRPr="00275290">
              <w:rPr>
                <w:rFonts w:cs="Arial"/>
              </w:rPr>
              <w:t>The dissipation half-life of propiconazole is around 6.4 days in water and the degradation half-life in whole water/sediment system is 636 days at 20°C corresponding to 1206 days at 12°C. There is no simulation test of the biodegradation of propiconazole in surface water without sediment available and due to adsorption onto sediment in the water-sediment study the biodegradation half-life of propiconazole in water has not been determined.</w:t>
            </w:r>
          </w:p>
          <w:p w14:paraId="22A1C9C5" w14:textId="77777777" w:rsidR="00692E71" w:rsidRPr="00275290" w:rsidRDefault="00692E71" w:rsidP="008E0250">
            <w:pPr>
              <w:spacing w:line="276" w:lineRule="auto"/>
              <w:ind w:left="-108"/>
              <w:rPr>
                <w:rFonts w:cs="Arial"/>
              </w:rPr>
            </w:pPr>
            <w:r w:rsidRPr="00275290">
              <w:rPr>
                <w:rFonts w:cs="Arial"/>
              </w:rPr>
              <w:t>There was no metabolite accounting &gt; 10% of the active substance found in the water/sediment key study.</w:t>
            </w:r>
          </w:p>
        </w:tc>
      </w:tr>
      <w:tr w:rsidR="00692E71" w:rsidRPr="00275290" w14:paraId="798684E3" w14:textId="77777777" w:rsidTr="008E0250">
        <w:trPr>
          <w:gridAfter w:val="1"/>
          <w:wAfter w:w="142" w:type="dxa"/>
        </w:trPr>
        <w:tc>
          <w:tcPr>
            <w:tcW w:w="2518" w:type="dxa"/>
          </w:tcPr>
          <w:p w14:paraId="57527D26" w14:textId="77777777" w:rsidR="00692E71" w:rsidRPr="00275290" w:rsidRDefault="00692E71" w:rsidP="008E0250">
            <w:pPr>
              <w:spacing w:line="276" w:lineRule="auto"/>
              <w:rPr>
                <w:rFonts w:cs="Arial"/>
                <w:i/>
              </w:rPr>
            </w:pPr>
            <w:r w:rsidRPr="00275290">
              <w:rPr>
                <w:rFonts w:cs="Arial"/>
                <w:i/>
              </w:rPr>
              <w:t>In soil</w:t>
            </w:r>
          </w:p>
        </w:tc>
        <w:tc>
          <w:tcPr>
            <w:tcW w:w="7371" w:type="dxa"/>
            <w:gridSpan w:val="2"/>
          </w:tcPr>
          <w:p w14:paraId="12980A14" w14:textId="77777777" w:rsidR="00692E71" w:rsidRPr="00275290" w:rsidRDefault="00692E71" w:rsidP="008E0250">
            <w:pPr>
              <w:spacing w:line="276" w:lineRule="auto"/>
              <w:ind w:left="-108"/>
              <w:rPr>
                <w:rFonts w:cs="Arial"/>
              </w:rPr>
            </w:pPr>
            <w:r w:rsidRPr="00275290">
              <w:rPr>
                <w:rFonts w:cs="Arial"/>
              </w:rPr>
              <w:t>In the laboratory studies the geometric mean DT</w:t>
            </w:r>
            <w:r w:rsidRPr="00275290">
              <w:rPr>
                <w:rFonts w:cs="Arial"/>
                <w:vertAlign w:val="subscript"/>
              </w:rPr>
              <w:t>50</w:t>
            </w:r>
            <w:r w:rsidRPr="00275290">
              <w:rPr>
                <w:rFonts w:cs="Arial"/>
              </w:rPr>
              <w:t xml:space="preserve"> of propiconazole was determined to be 43 days at 20 °C, corresponding to 82 days at 12°C. </w:t>
            </w:r>
          </w:p>
          <w:p w14:paraId="6DC74AA0" w14:textId="77777777" w:rsidR="00692E71" w:rsidRPr="00275290" w:rsidRDefault="00692E71" w:rsidP="008E0250">
            <w:pPr>
              <w:spacing w:line="276" w:lineRule="auto"/>
              <w:ind w:left="-108"/>
              <w:rPr>
                <w:rFonts w:cs="Arial"/>
              </w:rPr>
            </w:pPr>
            <w:r w:rsidRPr="00275290">
              <w:rPr>
                <w:rFonts w:cs="Arial"/>
              </w:rPr>
              <w:t xml:space="preserve">From field studies, the maximum dissipation half-life of 129 days in soil is used as the worst-case in the risk assessment. </w:t>
            </w:r>
          </w:p>
          <w:p w14:paraId="1186C028" w14:textId="77777777" w:rsidR="00692E71" w:rsidRPr="00275290" w:rsidRDefault="00692E71" w:rsidP="008E0250">
            <w:pPr>
              <w:spacing w:line="276" w:lineRule="auto"/>
              <w:ind w:left="-108"/>
              <w:rPr>
                <w:rFonts w:cs="Arial"/>
              </w:rPr>
            </w:pPr>
            <w:r w:rsidRPr="00275290">
              <w:rPr>
                <w:rFonts w:cs="Arial"/>
              </w:rPr>
              <w:t xml:space="preserve">In the soil laboratory studies there were two degradation products of propiconazole accounting for more than 10% of the active substance: </w:t>
            </w:r>
            <w:r w:rsidRPr="00275290">
              <w:rPr>
                <w:rFonts w:cs="Arial"/>
              </w:rPr>
              <w:br/>
              <w:t>1</w:t>
            </w:r>
            <w:proofErr w:type="gramStart"/>
            <w:r w:rsidRPr="00275290">
              <w:rPr>
                <w:rFonts w:cs="Arial"/>
              </w:rPr>
              <w:t>,2,4</w:t>
            </w:r>
            <w:proofErr w:type="gramEnd"/>
            <w:r w:rsidRPr="00275290">
              <w:rPr>
                <w:rFonts w:cs="Arial"/>
              </w:rPr>
              <w:t>-triazole (accounting for 24 - 43% of applied radioactivity) and CGA 118 245 (accounting for 22% of applied radioactivity). Both are degraded in soil faster than the parent substance, 1</w:t>
            </w:r>
            <w:proofErr w:type="gramStart"/>
            <w:r w:rsidRPr="00275290">
              <w:rPr>
                <w:rFonts w:cs="Arial"/>
              </w:rPr>
              <w:t>,2,4</w:t>
            </w:r>
            <w:proofErr w:type="gramEnd"/>
            <w:r w:rsidRPr="00275290">
              <w:rPr>
                <w:rFonts w:cs="Arial"/>
              </w:rPr>
              <w:t>-triazole having DT</w:t>
            </w:r>
            <w:r w:rsidRPr="00275290">
              <w:rPr>
                <w:rFonts w:cs="Arial"/>
                <w:vertAlign w:val="subscript"/>
              </w:rPr>
              <w:t>50</w:t>
            </w:r>
            <w:r w:rsidRPr="00275290">
              <w:rPr>
                <w:rFonts w:cs="Arial"/>
              </w:rPr>
              <w:t xml:space="preserve"> of around 9.3 days and </w:t>
            </w:r>
            <w:r w:rsidRPr="00275290">
              <w:rPr>
                <w:rFonts w:cs="Arial"/>
              </w:rPr>
              <w:br/>
              <w:t>CGA 118 245 having DT</w:t>
            </w:r>
            <w:r w:rsidRPr="00275290">
              <w:rPr>
                <w:rFonts w:cs="Arial"/>
                <w:vertAlign w:val="subscript"/>
              </w:rPr>
              <w:t>50</w:t>
            </w:r>
            <w:r w:rsidRPr="00275290">
              <w:rPr>
                <w:rFonts w:cs="Arial"/>
              </w:rPr>
              <w:t xml:space="preserve"> of around 1 day at 20 °C.</w:t>
            </w:r>
          </w:p>
        </w:tc>
      </w:tr>
      <w:tr w:rsidR="00692E71" w:rsidRPr="00275290" w14:paraId="0DA9B87B" w14:textId="77777777" w:rsidTr="008E0250">
        <w:trPr>
          <w:gridAfter w:val="1"/>
          <w:wAfter w:w="142" w:type="dxa"/>
        </w:trPr>
        <w:tc>
          <w:tcPr>
            <w:tcW w:w="2518" w:type="dxa"/>
          </w:tcPr>
          <w:p w14:paraId="38A4E7CF" w14:textId="77777777" w:rsidR="00692E71" w:rsidRPr="00275290" w:rsidRDefault="00692E71" w:rsidP="008E0250">
            <w:pPr>
              <w:spacing w:line="276" w:lineRule="auto"/>
              <w:rPr>
                <w:rFonts w:cs="Arial"/>
                <w:i/>
              </w:rPr>
            </w:pPr>
          </w:p>
        </w:tc>
        <w:tc>
          <w:tcPr>
            <w:tcW w:w="7371" w:type="dxa"/>
            <w:gridSpan w:val="2"/>
          </w:tcPr>
          <w:p w14:paraId="295DC70B" w14:textId="77777777" w:rsidR="00692E71" w:rsidRPr="00275290" w:rsidRDefault="00692E71" w:rsidP="008E0250">
            <w:pPr>
              <w:spacing w:line="276" w:lineRule="auto"/>
              <w:ind w:left="-108"/>
              <w:rPr>
                <w:rFonts w:cs="Arial"/>
              </w:rPr>
            </w:pPr>
          </w:p>
        </w:tc>
      </w:tr>
      <w:tr w:rsidR="00692E71" w:rsidRPr="00275290" w14:paraId="4F4EA01A" w14:textId="77777777" w:rsidTr="008E0250">
        <w:trPr>
          <w:gridAfter w:val="1"/>
          <w:wAfter w:w="142" w:type="dxa"/>
        </w:trPr>
        <w:tc>
          <w:tcPr>
            <w:tcW w:w="2518" w:type="dxa"/>
          </w:tcPr>
          <w:p w14:paraId="43170519" w14:textId="77777777" w:rsidR="00692E71" w:rsidRPr="00275290" w:rsidRDefault="00692E71" w:rsidP="008E0250">
            <w:pPr>
              <w:spacing w:line="276" w:lineRule="auto"/>
              <w:rPr>
                <w:rFonts w:cs="Arial"/>
                <w:i/>
              </w:rPr>
            </w:pPr>
            <w:r w:rsidRPr="00275290">
              <w:rPr>
                <w:rFonts w:cs="Arial"/>
                <w:u w:val="single"/>
              </w:rPr>
              <w:t>Distribution</w:t>
            </w:r>
          </w:p>
        </w:tc>
        <w:tc>
          <w:tcPr>
            <w:tcW w:w="7371" w:type="dxa"/>
            <w:gridSpan w:val="2"/>
          </w:tcPr>
          <w:p w14:paraId="652B75AF" w14:textId="77777777" w:rsidR="00692E71" w:rsidRPr="00275290" w:rsidRDefault="00692E71" w:rsidP="008E0250">
            <w:pPr>
              <w:spacing w:line="276" w:lineRule="auto"/>
              <w:ind w:left="-108"/>
              <w:rPr>
                <w:rFonts w:cs="Arial"/>
              </w:rPr>
            </w:pPr>
          </w:p>
        </w:tc>
      </w:tr>
      <w:tr w:rsidR="00692E71" w:rsidRPr="00275290" w14:paraId="39755CCD" w14:textId="77777777" w:rsidTr="008E0250">
        <w:trPr>
          <w:gridAfter w:val="1"/>
          <w:wAfter w:w="142" w:type="dxa"/>
        </w:trPr>
        <w:tc>
          <w:tcPr>
            <w:tcW w:w="2518" w:type="dxa"/>
          </w:tcPr>
          <w:p w14:paraId="1660E402" w14:textId="77777777" w:rsidR="00692E71" w:rsidRPr="00275290" w:rsidRDefault="00692E71" w:rsidP="00F32B7F">
            <w:pPr>
              <w:numPr>
                <w:ilvl w:val="0"/>
                <w:numId w:val="10"/>
              </w:numPr>
              <w:suppressAutoHyphens w:val="0"/>
              <w:spacing w:line="276" w:lineRule="auto"/>
              <w:ind w:left="426" w:hanging="284"/>
              <w:rPr>
                <w:rFonts w:cs="Arial"/>
              </w:rPr>
            </w:pPr>
            <w:r w:rsidRPr="00275290">
              <w:rPr>
                <w:rFonts w:cs="Arial"/>
              </w:rPr>
              <w:t>Adsorption</w:t>
            </w:r>
          </w:p>
          <w:p w14:paraId="1E17DD0C" w14:textId="77777777" w:rsidR="00692E71" w:rsidRPr="00275290" w:rsidRDefault="00692E71" w:rsidP="008E0250">
            <w:pPr>
              <w:spacing w:line="276" w:lineRule="auto"/>
              <w:ind w:firstLine="426"/>
              <w:rPr>
                <w:rFonts w:cs="Arial"/>
                <w:u w:val="single"/>
              </w:rPr>
            </w:pPr>
            <w:r w:rsidRPr="00275290">
              <w:rPr>
                <w:rFonts w:cs="Arial"/>
              </w:rPr>
              <w:t>desorption</w:t>
            </w:r>
          </w:p>
        </w:tc>
        <w:tc>
          <w:tcPr>
            <w:tcW w:w="7371" w:type="dxa"/>
            <w:gridSpan w:val="2"/>
            <w:shd w:val="clear" w:color="auto" w:fill="auto"/>
          </w:tcPr>
          <w:p w14:paraId="1487D14E" w14:textId="77777777" w:rsidR="00692E71" w:rsidRPr="00275290" w:rsidRDefault="00692E71" w:rsidP="008E0250">
            <w:pPr>
              <w:spacing w:line="276" w:lineRule="auto"/>
              <w:ind w:left="-108"/>
              <w:rPr>
                <w:rFonts w:cs="Arial"/>
              </w:rPr>
            </w:pPr>
            <w:r w:rsidRPr="00275290">
              <w:rPr>
                <w:rFonts w:cs="Arial"/>
              </w:rPr>
              <w:t>With an arithmetic mean value of K</w:t>
            </w:r>
            <w:r w:rsidRPr="00275290">
              <w:rPr>
                <w:rFonts w:cs="Arial"/>
                <w:vertAlign w:val="subscript"/>
              </w:rPr>
              <w:t>oc</w:t>
            </w:r>
            <w:r w:rsidRPr="00275290">
              <w:rPr>
                <w:rFonts w:cs="Arial"/>
              </w:rPr>
              <w:t xml:space="preserve"> = 944 mL/g, propiconazole is regarded as slightly mobile in soil. The two degradation products of propiconazole accounting for more than 10% in the soil degradation studies are considered mobile in soil (more mobile than parent). Arithmetic mean values of K</w:t>
            </w:r>
            <w:r w:rsidRPr="00275290">
              <w:rPr>
                <w:rFonts w:cs="Arial"/>
                <w:vertAlign w:val="subscript"/>
              </w:rPr>
              <w:t>oc</w:t>
            </w:r>
            <w:r w:rsidRPr="00275290">
              <w:rPr>
                <w:rFonts w:cs="Arial"/>
              </w:rPr>
              <w:t xml:space="preserve"> for 1</w:t>
            </w:r>
            <w:proofErr w:type="gramStart"/>
            <w:r w:rsidRPr="00275290">
              <w:rPr>
                <w:rFonts w:cs="Arial"/>
              </w:rPr>
              <w:t>,2,4</w:t>
            </w:r>
            <w:proofErr w:type="gramEnd"/>
            <w:r w:rsidRPr="00275290">
              <w:rPr>
                <w:rFonts w:cs="Arial"/>
              </w:rPr>
              <w:t>-triazole and CGA 118 245 are 69 mL/g and 129 mL/g, respectively.</w:t>
            </w:r>
          </w:p>
        </w:tc>
      </w:tr>
      <w:tr w:rsidR="00692E71" w:rsidRPr="00275290" w14:paraId="07BC701C" w14:textId="77777777" w:rsidTr="008E0250">
        <w:trPr>
          <w:gridAfter w:val="1"/>
          <w:wAfter w:w="142" w:type="dxa"/>
        </w:trPr>
        <w:tc>
          <w:tcPr>
            <w:tcW w:w="2518" w:type="dxa"/>
          </w:tcPr>
          <w:p w14:paraId="6675F88A" w14:textId="77777777" w:rsidR="00692E71" w:rsidRPr="00275290" w:rsidRDefault="00692E71" w:rsidP="008E0250">
            <w:pPr>
              <w:spacing w:line="276" w:lineRule="auto"/>
              <w:rPr>
                <w:rFonts w:cs="Arial"/>
              </w:rPr>
            </w:pPr>
          </w:p>
        </w:tc>
        <w:tc>
          <w:tcPr>
            <w:tcW w:w="7371" w:type="dxa"/>
            <w:gridSpan w:val="2"/>
            <w:shd w:val="clear" w:color="auto" w:fill="auto"/>
          </w:tcPr>
          <w:p w14:paraId="56CCBEB1" w14:textId="77777777" w:rsidR="00692E71" w:rsidRPr="00275290" w:rsidRDefault="00692E71" w:rsidP="008E0250">
            <w:pPr>
              <w:spacing w:line="276" w:lineRule="auto"/>
              <w:ind w:left="-108"/>
              <w:rPr>
                <w:rFonts w:cs="Arial"/>
              </w:rPr>
            </w:pPr>
          </w:p>
        </w:tc>
      </w:tr>
      <w:tr w:rsidR="00692E71" w:rsidRPr="00275290" w14:paraId="42F90545" w14:textId="77777777" w:rsidTr="008E0250">
        <w:trPr>
          <w:gridAfter w:val="1"/>
          <w:wAfter w:w="142" w:type="dxa"/>
        </w:trPr>
        <w:tc>
          <w:tcPr>
            <w:tcW w:w="2518" w:type="dxa"/>
          </w:tcPr>
          <w:p w14:paraId="6325938C" w14:textId="77777777" w:rsidR="00692E71" w:rsidRPr="00275290" w:rsidRDefault="00692E71" w:rsidP="00F32B7F">
            <w:pPr>
              <w:keepNext/>
              <w:numPr>
                <w:ilvl w:val="0"/>
                <w:numId w:val="10"/>
              </w:numPr>
              <w:suppressAutoHyphens w:val="0"/>
              <w:spacing w:line="276" w:lineRule="auto"/>
              <w:ind w:left="426" w:hanging="284"/>
              <w:rPr>
                <w:rFonts w:cs="Arial"/>
              </w:rPr>
            </w:pPr>
            <w:r w:rsidRPr="00275290">
              <w:rPr>
                <w:rFonts w:cs="Arial"/>
              </w:rPr>
              <w:t>Volatilisation</w:t>
            </w:r>
          </w:p>
        </w:tc>
        <w:tc>
          <w:tcPr>
            <w:tcW w:w="7371" w:type="dxa"/>
            <w:gridSpan w:val="2"/>
          </w:tcPr>
          <w:p w14:paraId="339A5699" w14:textId="77777777" w:rsidR="00692E71" w:rsidRPr="00275290" w:rsidRDefault="00692E71" w:rsidP="008E0250">
            <w:pPr>
              <w:keepNext/>
              <w:spacing w:line="276" w:lineRule="auto"/>
              <w:ind w:left="-108"/>
              <w:rPr>
                <w:rFonts w:cs="Arial"/>
              </w:rPr>
            </w:pPr>
            <w:r w:rsidRPr="00275290">
              <w:rPr>
                <w:rFonts w:cs="Arial"/>
              </w:rPr>
              <w:t>Propiconazole is very slightly volatile. With the estimated half-life less than 2 days (between 10.2 and 42 hours) in troposphere it is not regarded as a persistent contaminant in the air.</w:t>
            </w:r>
          </w:p>
        </w:tc>
      </w:tr>
      <w:tr w:rsidR="00692E71" w:rsidRPr="00275290" w14:paraId="32B2164E" w14:textId="77777777" w:rsidTr="008E0250">
        <w:trPr>
          <w:gridAfter w:val="1"/>
          <w:wAfter w:w="142" w:type="dxa"/>
        </w:trPr>
        <w:tc>
          <w:tcPr>
            <w:tcW w:w="2518" w:type="dxa"/>
          </w:tcPr>
          <w:p w14:paraId="664C122A" w14:textId="77777777" w:rsidR="00692E71" w:rsidRPr="00275290" w:rsidRDefault="00692E71" w:rsidP="008E0250">
            <w:pPr>
              <w:spacing w:line="276" w:lineRule="auto"/>
              <w:rPr>
                <w:rFonts w:cs="Arial"/>
              </w:rPr>
            </w:pPr>
          </w:p>
        </w:tc>
        <w:tc>
          <w:tcPr>
            <w:tcW w:w="7371" w:type="dxa"/>
            <w:gridSpan w:val="2"/>
          </w:tcPr>
          <w:p w14:paraId="0F61B6E5" w14:textId="77777777" w:rsidR="00692E71" w:rsidRPr="00275290" w:rsidRDefault="00692E71" w:rsidP="008E0250">
            <w:pPr>
              <w:spacing w:line="276" w:lineRule="auto"/>
              <w:ind w:left="-108"/>
              <w:rPr>
                <w:rFonts w:cs="Arial"/>
              </w:rPr>
            </w:pPr>
          </w:p>
        </w:tc>
      </w:tr>
      <w:tr w:rsidR="00692E71" w:rsidRPr="00275290" w14:paraId="1CEA996C" w14:textId="77777777" w:rsidTr="008E0250">
        <w:trPr>
          <w:gridAfter w:val="1"/>
          <w:wAfter w:w="142" w:type="dxa"/>
        </w:trPr>
        <w:tc>
          <w:tcPr>
            <w:tcW w:w="2518" w:type="dxa"/>
          </w:tcPr>
          <w:p w14:paraId="750E8121" w14:textId="77777777" w:rsidR="00692E71" w:rsidRPr="00275290" w:rsidRDefault="00692E71" w:rsidP="00F32B7F">
            <w:pPr>
              <w:numPr>
                <w:ilvl w:val="0"/>
                <w:numId w:val="10"/>
              </w:numPr>
              <w:suppressAutoHyphens w:val="0"/>
              <w:spacing w:line="276" w:lineRule="auto"/>
              <w:ind w:left="426" w:hanging="284"/>
              <w:rPr>
                <w:rFonts w:cs="Arial"/>
              </w:rPr>
            </w:pPr>
            <w:r w:rsidRPr="00275290">
              <w:rPr>
                <w:rFonts w:cs="Arial"/>
              </w:rPr>
              <w:t>Bioaccumulation</w:t>
            </w:r>
          </w:p>
        </w:tc>
        <w:tc>
          <w:tcPr>
            <w:tcW w:w="7371" w:type="dxa"/>
            <w:gridSpan w:val="2"/>
          </w:tcPr>
          <w:p w14:paraId="487CC42D" w14:textId="77777777" w:rsidR="00692E71" w:rsidRPr="00275290" w:rsidRDefault="00692E71" w:rsidP="008E0250">
            <w:pPr>
              <w:spacing w:line="276" w:lineRule="auto"/>
              <w:ind w:left="-108"/>
              <w:rPr>
                <w:rFonts w:cs="Arial"/>
              </w:rPr>
            </w:pPr>
            <w:r w:rsidRPr="00275290">
              <w:rPr>
                <w:rFonts w:cs="Arial"/>
              </w:rPr>
              <w:t xml:space="preserve">Propiconazole is slightly bioaccumulative to fish with a BCF of 180 and a depuration half-life of 0.48 days for the whole fish. </w:t>
            </w:r>
          </w:p>
          <w:p w14:paraId="757ECF7B" w14:textId="77777777" w:rsidR="00692E71" w:rsidRPr="00275290" w:rsidRDefault="00692E71" w:rsidP="008E0250">
            <w:pPr>
              <w:spacing w:line="276" w:lineRule="auto"/>
              <w:ind w:left="-108"/>
              <w:rPr>
                <w:rFonts w:cs="Arial"/>
              </w:rPr>
            </w:pPr>
            <w:r w:rsidRPr="00275290">
              <w:rPr>
                <w:rFonts w:cs="Arial"/>
              </w:rPr>
              <w:t xml:space="preserve">The estimated BCF for earthworms was 64 (determined by calculation). Based on this estimation, propiconazole is not bioaccumulative in terrestrial organisms. </w:t>
            </w:r>
          </w:p>
        </w:tc>
      </w:tr>
    </w:tbl>
    <w:p w14:paraId="6F0C81E6" w14:textId="77777777" w:rsidR="00692E71" w:rsidRPr="00275290" w:rsidRDefault="00692E71" w:rsidP="00692E71">
      <w:pPr>
        <w:spacing w:after="240" w:line="276" w:lineRule="auto"/>
        <w:ind w:left="-142" w:right="142"/>
        <w:rPr>
          <w:rFonts w:cs="Arial"/>
          <w:szCs w:val="22"/>
        </w:rPr>
      </w:pPr>
    </w:p>
    <w:p w14:paraId="4DE04133" w14:textId="77777777" w:rsidR="00692E71" w:rsidRPr="00275290" w:rsidRDefault="00692E71" w:rsidP="00F32B7F">
      <w:pPr>
        <w:numPr>
          <w:ilvl w:val="0"/>
          <w:numId w:val="6"/>
        </w:numPr>
        <w:suppressAutoHyphens w:val="0"/>
        <w:spacing w:line="276" w:lineRule="auto"/>
        <w:rPr>
          <w:rFonts w:cs="Arial"/>
          <w:b/>
          <w:szCs w:val="22"/>
        </w:rPr>
      </w:pPr>
      <w:r w:rsidRPr="00275290">
        <w:rPr>
          <w:rFonts w:cs="Arial"/>
          <w:b/>
          <w:szCs w:val="22"/>
        </w:rPr>
        <w:t>Environmental behaviour of tebuconazole</w:t>
      </w:r>
    </w:p>
    <w:p w14:paraId="2F322A0E" w14:textId="77777777" w:rsidR="00692E71" w:rsidRPr="00275290" w:rsidRDefault="00692E71" w:rsidP="00692E71">
      <w:pPr>
        <w:spacing w:line="276" w:lineRule="auto"/>
        <w:ind w:left="-142"/>
        <w:rPr>
          <w:rFonts w:cs="Arial"/>
        </w:rPr>
      </w:pPr>
    </w:p>
    <w:tbl>
      <w:tblPr>
        <w:tblW w:w="9889" w:type="dxa"/>
        <w:tblLook w:val="04A0" w:firstRow="1" w:lastRow="0" w:firstColumn="1" w:lastColumn="0" w:noHBand="0" w:noVBand="1"/>
      </w:tblPr>
      <w:tblGrid>
        <w:gridCol w:w="2376"/>
        <w:gridCol w:w="7513"/>
      </w:tblGrid>
      <w:tr w:rsidR="00692E71" w:rsidRPr="00275290" w14:paraId="64709C2D" w14:textId="77777777" w:rsidTr="008E0250">
        <w:tc>
          <w:tcPr>
            <w:tcW w:w="2376" w:type="dxa"/>
          </w:tcPr>
          <w:p w14:paraId="32841D79" w14:textId="77777777" w:rsidR="00692E71" w:rsidRPr="00275290" w:rsidRDefault="00692E71" w:rsidP="008E0250">
            <w:pPr>
              <w:spacing w:line="276" w:lineRule="auto"/>
              <w:rPr>
                <w:rFonts w:cs="Arial"/>
                <w:u w:val="single"/>
              </w:rPr>
            </w:pPr>
            <w:r w:rsidRPr="00275290">
              <w:rPr>
                <w:rFonts w:cs="Arial"/>
                <w:u w:val="single"/>
              </w:rPr>
              <w:t>Degradation</w:t>
            </w:r>
          </w:p>
        </w:tc>
        <w:tc>
          <w:tcPr>
            <w:tcW w:w="7513" w:type="dxa"/>
          </w:tcPr>
          <w:p w14:paraId="116B8240" w14:textId="77777777" w:rsidR="00692E71" w:rsidRPr="00275290" w:rsidRDefault="00692E71" w:rsidP="008E0250">
            <w:pPr>
              <w:spacing w:line="276" w:lineRule="auto"/>
              <w:rPr>
                <w:rFonts w:cs="Arial"/>
              </w:rPr>
            </w:pPr>
          </w:p>
        </w:tc>
      </w:tr>
      <w:tr w:rsidR="00692E71" w:rsidRPr="00275290" w14:paraId="59AD32B3" w14:textId="77777777" w:rsidTr="008E0250">
        <w:tc>
          <w:tcPr>
            <w:tcW w:w="2376" w:type="dxa"/>
          </w:tcPr>
          <w:p w14:paraId="4F245CC3"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Hydrolysis</w:t>
            </w:r>
          </w:p>
        </w:tc>
        <w:tc>
          <w:tcPr>
            <w:tcW w:w="7513" w:type="dxa"/>
          </w:tcPr>
          <w:p w14:paraId="41078CB1" w14:textId="77777777" w:rsidR="00692E71" w:rsidRPr="00275290" w:rsidRDefault="00692E71" w:rsidP="008E0250">
            <w:pPr>
              <w:spacing w:line="276" w:lineRule="auto"/>
              <w:rPr>
                <w:rFonts w:cs="Arial"/>
              </w:rPr>
            </w:pPr>
            <w:r w:rsidRPr="00275290">
              <w:rPr>
                <w:rFonts w:cs="Arial"/>
              </w:rPr>
              <w:t>Tebuconazole is stable to hydrolysis.</w:t>
            </w:r>
          </w:p>
        </w:tc>
      </w:tr>
      <w:tr w:rsidR="00692E71" w:rsidRPr="00275290" w14:paraId="0FA80EC2" w14:textId="77777777" w:rsidTr="008E0250">
        <w:tc>
          <w:tcPr>
            <w:tcW w:w="2376" w:type="dxa"/>
          </w:tcPr>
          <w:p w14:paraId="647ED30B" w14:textId="77777777" w:rsidR="00692E71" w:rsidRPr="00275290" w:rsidRDefault="00692E71" w:rsidP="008E0250">
            <w:pPr>
              <w:spacing w:line="276" w:lineRule="auto"/>
              <w:rPr>
                <w:rFonts w:cs="Arial"/>
              </w:rPr>
            </w:pPr>
          </w:p>
        </w:tc>
        <w:tc>
          <w:tcPr>
            <w:tcW w:w="7513" w:type="dxa"/>
          </w:tcPr>
          <w:p w14:paraId="70733AEA" w14:textId="77777777" w:rsidR="00692E71" w:rsidRPr="00275290" w:rsidRDefault="00692E71" w:rsidP="008E0250">
            <w:pPr>
              <w:spacing w:line="276" w:lineRule="auto"/>
              <w:rPr>
                <w:rFonts w:cs="Arial"/>
              </w:rPr>
            </w:pPr>
          </w:p>
        </w:tc>
      </w:tr>
      <w:tr w:rsidR="00692E71" w:rsidRPr="00275290" w14:paraId="65A56814" w14:textId="77777777" w:rsidTr="008E0250">
        <w:tc>
          <w:tcPr>
            <w:tcW w:w="2376" w:type="dxa"/>
          </w:tcPr>
          <w:p w14:paraId="3D4AE3BF"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Photolysis</w:t>
            </w:r>
          </w:p>
        </w:tc>
        <w:tc>
          <w:tcPr>
            <w:tcW w:w="7513" w:type="dxa"/>
          </w:tcPr>
          <w:p w14:paraId="7D0FE3DC" w14:textId="77777777" w:rsidR="00692E71" w:rsidRPr="00275290" w:rsidRDefault="00692E71" w:rsidP="008E0250">
            <w:pPr>
              <w:spacing w:line="276" w:lineRule="auto"/>
              <w:rPr>
                <w:rFonts w:cs="Arial"/>
              </w:rPr>
            </w:pPr>
          </w:p>
        </w:tc>
      </w:tr>
      <w:tr w:rsidR="00692E71" w:rsidRPr="00275290" w14:paraId="60DA5E0E" w14:textId="77777777" w:rsidTr="008E0250">
        <w:tc>
          <w:tcPr>
            <w:tcW w:w="2376" w:type="dxa"/>
          </w:tcPr>
          <w:p w14:paraId="1596BC88" w14:textId="77777777" w:rsidR="00692E71" w:rsidRPr="00275290" w:rsidRDefault="00692E71" w:rsidP="008E0250">
            <w:pPr>
              <w:spacing w:line="276" w:lineRule="auto"/>
              <w:rPr>
                <w:rFonts w:cs="Arial"/>
                <w:i/>
              </w:rPr>
            </w:pPr>
            <w:r w:rsidRPr="00275290">
              <w:rPr>
                <w:rFonts w:cs="Arial"/>
                <w:i/>
              </w:rPr>
              <w:t>In water</w:t>
            </w:r>
          </w:p>
        </w:tc>
        <w:tc>
          <w:tcPr>
            <w:tcW w:w="7513" w:type="dxa"/>
          </w:tcPr>
          <w:p w14:paraId="52CB6B25" w14:textId="77777777" w:rsidR="00692E71" w:rsidRPr="00275290" w:rsidRDefault="00692E71" w:rsidP="008E0250">
            <w:pPr>
              <w:spacing w:line="276" w:lineRule="auto"/>
              <w:rPr>
                <w:rFonts w:cs="Arial"/>
              </w:rPr>
            </w:pPr>
            <w:r w:rsidRPr="00275290">
              <w:rPr>
                <w:rFonts w:cs="Arial"/>
              </w:rPr>
              <w:t>Direct photo-degradation of tebuconazole in water is low and the substance may be considered photolytically stable in water. However, indirect photolysis of tebuconazole may occur in water.</w:t>
            </w:r>
          </w:p>
        </w:tc>
      </w:tr>
      <w:tr w:rsidR="00692E71" w:rsidRPr="00275290" w14:paraId="55AC96C2" w14:textId="77777777" w:rsidTr="008E0250">
        <w:tc>
          <w:tcPr>
            <w:tcW w:w="2376" w:type="dxa"/>
          </w:tcPr>
          <w:p w14:paraId="34572357" w14:textId="77777777" w:rsidR="00692E71" w:rsidRPr="00275290" w:rsidRDefault="00692E71" w:rsidP="008E0250">
            <w:pPr>
              <w:spacing w:line="276" w:lineRule="auto"/>
              <w:rPr>
                <w:rFonts w:cs="Arial"/>
                <w:i/>
              </w:rPr>
            </w:pPr>
            <w:r w:rsidRPr="00275290">
              <w:rPr>
                <w:rFonts w:cs="Arial"/>
                <w:i/>
              </w:rPr>
              <w:t>In soil</w:t>
            </w:r>
          </w:p>
        </w:tc>
        <w:tc>
          <w:tcPr>
            <w:tcW w:w="7513" w:type="dxa"/>
          </w:tcPr>
          <w:p w14:paraId="0DF39BCC" w14:textId="77777777" w:rsidR="00692E71" w:rsidRPr="00275290" w:rsidRDefault="00692E71" w:rsidP="008E0250">
            <w:pPr>
              <w:spacing w:line="276" w:lineRule="auto"/>
              <w:rPr>
                <w:rFonts w:cs="Arial"/>
              </w:rPr>
            </w:pPr>
            <w:r w:rsidRPr="00275290">
              <w:rPr>
                <w:rFonts w:cs="Arial"/>
              </w:rPr>
              <w:t>The substance may be considered photolytically stable in soil.</w:t>
            </w:r>
          </w:p>
        </w:tc>
      </w:tr>
      <w:tr w:rsidR="00692E71" w:rsidRPr="00275290" w14:paraId="35E86869" w14:textId="77777777" w:rsidTr="008E0250">
        <w:tc>
          <w:tcPr>
            <w:tcW w:w="2376" w:type="dxa"/>
          </w:tcPr>
          <w:p w14:paraId="59206C6A" w14:textId="77777777" w:rsidR="00692E71" w:rsidRPr="00275290" w:rsidRDefault="00692E71" w:rsidP="008E0250">
            <w:pPr>
              <w:spacing w:line="276" w:lineRule="auto"/>
              <w:rPr>
                <w:rFonts w:cs="Arial"/>
                <w:i/>
              </w:rPr>
            </w:pPr>
            <w:r w:rsidRPr="00275290">
              <w:rPr>
                <w:rFonts w:cs="Arial"/>
                <w:i/>
              </w:rPr>
              <w:t>In air</w:t>
            </w:r>
          </w:p>
        </w:tc>
        <w:tc>
          <w:tcPr>
            <w:tcW w:w="7513" w:type="dxa"/>
          </w:tcPr>
          <w:p w14:paraId="4BEBF37A" w14:textId="77777777" w:rsidR="00692E71" w:rsidRPr="00275290" w:rsidRDefault="00692E71" w:rsidP="008E0250">
            <w:pPr>
              <w:spacing w:line="276" w:lineRule="auto"/>
              <w:rPr>
                <w:rFonts w:cs="Arial"/>
              </w:rPr>
            </w:pPr>
            <w:r w:rsidRPr="00275290">
              <w:rPr>
                <w:rFonts w:cs="Arial"/>
              </w:rPr>
              <w:t>The calculated DT</w:t>
            </w:r>
            <w:r w:rsidRPr="00275290">
              <w:rPr>
                <w:rFonts w:cs="Arial"/>
                <w:vertAlign w:val="subscript"/>
              </w:rPr>
              <w:t>50</w:t>
            </w:r>
            <w:r w:rsidRPr="00275290">
              <w:rPr>
                <w:rFonts w:cs="Arial"/>
              </w:rPr>
              <w:t xml:space="preserve"> of tebuconazole in air is more than 2 days. It is therefore considered persistent in air.</w:t>
            </w:r>
          </w:p>
        </w:tc>
      </w:tr>
      <w:tr w:rsidR="00692E71" w:rsidRPr="00275290" w14:paraId="6DAF2F5F" w14:textId="77777777" w:rsidTr="008E0250">
        <w:tc>
          <w:tcPr>
            <w:tcW w:w="2376" w:type="dxa"/>
          </w:tcPr>
          <w:p w14:paraId="2FFA5CDC" w14:textId="77777777" w:rsidR="00692E71" w:rsidRPr="00275290" w:rsidRDefault="00692E71" w:rsidP="008E0250">
            <w:pPr>
              <w:spacing w:line="276" w:lineRule="auto"/>
              <w:rPr>
                <w:rFonts w:cs="Arial"/>
                <w:i/>
              </w:rPr>
            </w:pPr>
          </w:p>
        </w:tc>
        <w:tc>
          <w:tcPr>
            <w:tcW w:w="7513" w:type="dxa"/>
          </w:tcPr>
          <w:p w14:paraId="32C94029" w14:textId="77777777" w:rsidR="00692E71" w:rsidRPr="00275290" w:rsidRDefault="00692E71" w:rsidP="008E0250">
            <w:pPr>
              <w:spacing w:line="276" w:lineRule="auto"/>
              <w:rPr>
                <w:rFonts w:cs="Arial"/>
              </w:rPr>
            </w:pPr>
          </w:p>
        </w:tc>
      </w:tr>
      <w:tr w:rsidR="00692E71" w:rsidRPr="00275290" w14:paraId="4476FBA7" w14:textId="77777777" w:rsidTr="008E0250">
        <w:tc>
          <w:tcPr>
            <w:tcW w:w="2376" w:type="dxa"/>
          </w:tcPr>
          <w:p w14:paraId="74B93E7A"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Biodegradation</w:t>
            </w:r>
          </w:p>
        </w:tc>
        <w:tc>
          <w:tcPr>
            <w:tcW w:w="7513" w:type="dxa"/>
          </w:tcPr>
          <w:p w14:paraId="019ECEFA" w14:textId="77777777" w:rsidR="00692E71" w:rsidRPr="00275290" w:rsidRDefault="00692E71" w:rsidP="008E0250">
            <w:pPr>
              <w:spacing w:after="240" w:line="276" w:lineRule="auto"/>
              <w:rPr>
                <w:rFonts w:cs="Arial"/>
              </w:rPr>
            </w:pPr>
            <w:r w:rsidRPr="00275290">
              <w:rPr>
                <w:rFonts w:cs="Arial"/>
              </w:rPr>
              <w:t>Based on the modified MITI test, tebuconazole is considered as not readily biodegradable.</w:t>
            </w:r>
          </w:p>
        </w:tc>
      </w:tr>
      <w:tr w:rsidR="00692E71" w:rsidRPr="00275290" w14:paraId="588C6770" w14:textId="77777777" w:rsidTr="008E0250">
        <w:tc>
          <w:tcPr>
            <w:tcW w:w="2376" w:type="dxa"/>
          </w:tcPr>
          <w:p w14:paraId="23A0FD4D" w14:textId="77777777" w:rsidR="00692E71" w:rsidRPr="00275290" w:rsidRDefault="00692E71" w:rsidP="008E0250">
            <w:pPr>
              <w:spacing w:line="276" w:lineRule="auto"/>
              <w:rPr>
                <w:rFonts w:cs="Arial"/>
                <w:i/>
              </w:rPr>
            </w:pPr>
            <w:r w:rsidRPr="00275290">
              <w:rPr>
                <w:rFonts w:cs="Arial"/>
                <w:i/>
              </w:rPr>
              <w:t>In water</w:t>
            </w:r>
          </w:p>
          <w:p w14:paraId="72224AC9" w14:textId="77777777" w:rsidR="00692E71" w:rsidRPr="00275290" w:rsidRDefault="00692E71" w:rsidP="008E0250">
            <w:pPr>
              <w:spacing w:line="276" w:lineRule="auto"/>
              <w:rPr>
                <w:rFonts w:cs="Arial"/>
              </w:rPr>
            </w:pPr>
            <w:r w:rsidRPr="00275290">
              <w:rPr>
                <w:rFonts w:cs="Arial"/>
                <w:i/>
              </w:rPr>
              <w:t>/sediment</w:t>
            </w:r>
          </w:p>
        </w:tc>
        <w:tc>
          <w:tcPr>
            <w:tcW w:w="7513" w:type="dxa"/>
          </w:tcPr>
          <w:p w14:paraId="289BFCBA" w14:textId="77777777" w:rsidR="00692E71" w:rsidRPr="00275290" w:rsidRDefault="00692E71" w:rsidP="008E0250">
            <w:pPr>
              <w:spacing w:line="276" w:lineRule="auto"/>
              <w:rPr>
                <w:rFonts w:cs="Arial"/>
              </w:rPr>
            </w:pPr>
            <w:r w:rsidRPr="00275290">
              <w:rPr>
                <w:rFonts w:cs="Arial"/>
              </w:rPr>
              <w:t xml:space="preserve">The biodegradation half-life in surface water is estimated to be about 198 days. However, tebuconazole will be adsorbed to the sediment and therefore a dissipation half-life in surface water is estimated to be 43 days based on a water/sediment study. </w:t>
            </w:r>
          </w:p>
          <w:p w14:paraId="033B4138" w14:textId="77777777" w:rsidR="00692E71" w:rsidRPr="00275290" w:rsidRDefault="00692E71" w:rsidP="008E0250">
            <w:pPr>
              <w:spacing w:line="276" w:lineRule="auto"/>
              <w:rPr>
                <w:rFonts w:cs="Arial"/>
              </w:rPr>
            </w:pPr>
            <w:r w:rsidRPr="00275290">
              <w:rPr>
                <w:rFonts w:cs="Arial"/>
              </w:rPr>
              <w:t>The dissipation half-life in sediment is one year.</w:t>
            </w:r>
          </w:p>
          <w:p w14:paraId="1341A610" w14:textId="77777777" w:rsidR="00692E71" w:rsidRPr="00275290" w:rsidRDefault="00692E71" w:rsidP="008E0250">
            <w:pPr>
              <w:spacing w:line="276" w:lineRule="auto"/>
              <w:rPr>
                <w:rFonts w:cs="Arial"/>
              </w:rPr>
            </w:pPr>
            <w:r w:rsidRPr="00275290">
              <w:rPr>
                <w:rFonts w:cs="Arial"/>
              </w:rPr>
              <w:t>No major metabolites were found in water/sediment systems.</w:t>
            </w:r>
          </w:p>
        </w:tc>
      </w:tr>
      <w:tr w:rsidR="00692E71" w:rsidRPr="00275290" w14:paraId="68894519" w14:textId="77777777" w:rsidTr="008E0250">
        <w:tc>
          <w:tcPr>
            <w:tcW w:w="2376" w:type="dxa"/>
          </w:tcPr>
          <w:p w14:paraId="1D692A4D" w14:textId="77777777" w:rsidR="00692E71" w:rsidRPr="00275290" w:rsidRDefault="00692E71" w:rsidP="008E0250">
            <w:pPr>
              <w:spacing w:line="276" w:lineRule="auto"/>
              <w:rPr>
                <w:rFonts w:cs="Arial"/>
                <w:i/>
              </w:rPr>
            </w:pPr>
            <w:r w:rsidRPr="00275290">
              <w:rPr>
                <w:rFonts w:cs="Arial"/>
                <w:i/>
              </w:rPr>
              <w:t>In soil</w:t>
            </w:r>
          </w:p>
        </w:tc>
        <w:tc>
          <w:tcPr>
            <w:tcW w:w="7513" w:type="dxa"/>
          </w:tcPr>
          <w:p w14:paraId="6688940D" w14:textId="77777777" w:rsidR="00692E71" w:rsidRPr="00275290" w:rsidRDefault="00692E71" w:rsidP="008E0250">
            <w:pPr>
              <w:spacing w:line="276" w:lineRule="auto"/>
              <w:rPr>
                <w:rFonts w:cs="Arial"/>
              </w:rPr>
            </w:pPr>
            <w:r w:rsidRPr="00275290">
              <w:rPr>
                <w:rFonts w:cs="Arial"/>
              </w:rPr>
              <w:t xml:space="preserve">Tebuconazole is not metabolized rapidly in soil in laboratory experiments; the half-life for primary degradation is greater than one year. In field studies the dissipation half-life is 77 days. </w:t>
            </w:r>
          </w:p>
          <w:p w14:paraId="20A4ACE3" w14:textId="77777777" w:rsidR="00692E71" w:rsidRPr="00275290" w:rsidRDefault="00692E71" w:rsidP="008E0250">
            <w:pPr>
              <w:spacing w:line="276" w:lineRule="auto"/>
              <w:rPr>
                <w:rFonts w:cs="Arial"/>
              </w:rPr>
            </w:pPr>
            <w:r w:rsidRPr="00275290">
              <w:rPr>
                <w:rFonts w:cs="Arial"/>
              </w:rPr>
              <w:t>1</w:t>
            </w:r>
            <w:proofErr w:type="gramStart"/>
            <w:r w:rsidRPr="00275290">
              <w:rPr>
                <w:rFonts w:cs="Arial"/>
              </w:rPr>
              <w:t>,2,4</w:t>
            </w:r>
            <w:proofErr w:type="gramEnd"/>
            <w:r w:rsidRPr="00275290">
              <w:rPr>
                <w:rFonts w:cs="Arial"/>
              </w:rPr>
              <w:t>-triazole is the primary metabolite from the aerobic degradation of tebuconazole (max. 9% of applied radioactivity). However it appears to breakdown more rapidly in soil than tebuconazole. The dissipation half-life of this metabolite in aerobic soil is estimated to be about 10 days.</w:t>
            </w:r>
          </w:p>
        </w:tc>
      </w:tr>
      <w:tr w:rsidR="00692E71" w:rsidRPr="00275290" w14:paraId="205645E5" w14:textId="77777777" w:rsidTr="008E0250">
        <w:tc>
          <w:tcPr>
            <w:tcW w:w="2376" w:type="dxa"/>
          </w:tcPr>
          <w:p w14:paraId="752CB89B" w14:textId="77777777" w:rsidR="00692E71" w:rsidRPr="00275290" w:rsidRDefault="00692E71" w:rsidP="008E0250">
            <w:pPr>
              <w:spacing w:line="276" w:lineRule="auto"/>
              <w:rPr>
                <w:rFonts w:cs="Arial"/>
                <w:i/>
              </w:rPr>
            </w:pPr>
          </w:p>
        </w:tc>
        <w:tc>
          <w:tcPr>
            <w:tcW w:w="7513" w:type="dxa"/>
          </w:tcPr>
          <w:p w14:paraId="4FB2FB0F" w14:textId="77777777" w:rsidR="00692E71" w:rsidRPr="00275290" w:rsidRDefault="00692E71" w:rsidP="008E0250">
            <w:pPr>
              <w:spacing w:line="276" w:lineRule="auto"/>
              <w:rPr>
                <w:rFonts w:cs="Arial"/>
              </w:rPr>
            </w:pPr>
          </w:p>
        </w:tc>
      </w:tr>
      <w:tr w:rsidR="00692E71" w:rsidRPr="00275290" w14:paraId="03CA6E90" w14:textId="77777777" w:rsidTr="008E0250">
        <w:tc>
          <w:tcPr>
            <w:tcW w:w="2376" w:type="dxa"/>
          </w:tcPr>
          <w:p w14:paraId="28C414B2" w14:textId="77777777" w:rsidR="00692E71" w:rsidRPr="00275290" w:rsidRDefault="00692E71" w:rsidP="008E0250">
            <w:pPr>
              <w:spacing w:line="276" w:lineRule="auto"/>
              <w:rPr>
                <w:rFonts w:cs="Arial"/>
                <w:i/>
              </w:rPr>
            </w:pPr>
            <w:r w:rsidRPr="00275290">
              <w:rPr>
                <w:rFonts w:cs="Arial"/>
                <w:u w:val="single"/>
              </w:rPr>
              <w:t>Distribution</w:t>
            </w:r>
          </w:p>
        </w:tc>
        <w:tc>
          <w:tcPr>
            <w:tcW w:w="7513" w:type="dxa"/>
          </w:tcPr>
          <w:p w14:paraId="055AB47A" w14:textId="77777777" w:rsidR="00692E71" w:rsidRPr="00275290" w:rsidRDefault="00692E71" w:rsidP="008E0250">
            <w:pPr>
              <w:spacing w:line="276" w:lineRule="auto"/>
              <w:rPr>
                <w:rFonts w:cs="Arial"/>
              </w:rPr>
            </w:pPr>
          </w:p>
        </w:tc>
      </w:tr>
      <w:tr w:rsidR="00692E71" w:rsidRPr="00275290" w14:paraId="1D69F16F" w14:textId="77777777" w:rsidTr="008E0250">
        <w:tc>
          <w:tcPr>
            <w:tcW w:w="2376" w:type="dxa"/>
          </w:tcPr>
          <w:p w14:paraId="08002D4F"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Adsorption</w:t>
            </w:r>
          </w:p>
          <w:p w14:paraId="09D6DC83" w14:textId="77777777" w:rsidR="00692E71" w:rsidRPr="00275290" w:rsidRDefault="00692E71" w:rsidP="008E0250">
            <w:pPr>
              <w:spacing w:line="276" w:lineRule="auto"/>
              <w:rPr>
                <w:rFonts w:cs="Arial"/>
                <w:u w:val="single"/>
              </w:rPr>
            </w:pPr>
            <w:r w:rsidRPr="00275290">
              <w:rPr>
                <w:rFonts w:cs="Arial"/>
              </w:rPr>
              <w:t>desorption</w:t>
            </w:r>
          </w:p>
        </w:tc>
        <w:tc>
          <w:tcPr>
            <w:tcW w:w="7513" w:type="dxa"/>
            <w:shd w:val="clear" w:color="auto" w:fill="auto"/>
          </w:tcPr>
          <w:p w14:paraId="12D63288" w14:textId="77777777" w:rsidR="00692E71" w:rsidRPr="00275290" w:rsidRDefault="00692E71" w:rsidP="008E0250">
            <w:pPr>
              <w:spacing w:line="276" w:lineRule="auto"/>
              <w:rPr>
                <w:rFonts w:cs="Arial"/>
              </w:rPr>
            </w:pPr>
            <w:r w:rsidRPr="00275290">
              <w:rPr>
                <w:rFonts w:cs="Arial"/>
              </w:rPr>
              <w:t>Tebuconazole has a low mobility potential with a K</w:t>
            </w:r>
            <w:r w:rsidRPr="00275290">
              <w:rPr>
                <w:rFonts w:cs="Arial"/>
                <w:vertAlign w:val="subscript"/>
              </w:rPr>
              <w:t>oc</w:t>
            </w:r>
            <w:r w:rsidRPr="00275290">
              <w:rPr>
                <w:rFonts w:cs="Arial"/>
              </w:rPr>
              <w:t xml:space="preserve"> = 992 L/kg (arithmetic mean value).</w:t>
            </w:r>
          </w:p>
          <w:p w14:paraId="3E5D53F0" w14:textId="77777777" w:rsidR="00692E71" w:rsidRPr="00275290" w:rsidRDefault="00692E71" w:rsidP="008E0250">
            <w:pPr>
              <w:spacing w:line="276" w:lineRule="auto"/>
              <w:rPr>
                <w:rFonts w:cs="Arial"/>
              </w:rPr>
            </w:pPr>
            <w:r w:rsidRPr="00275290">
              <w:rPr>
                <w:rFonts w:cs="Arial"/>
              </w:rPr>
              <w:t>The triazole metabolite has a high mobility potential, the K</w:t>
            </w:r>
            <w:r w:rsidRPr="00275290">
              <w:rPr>
                <w:rFonts w:cs="Arial"/>
                <w:vertAlign w:val="subscript"/>
              </w:rPr>
              <w:t>oc</w:t>
            </w:r>
            <w:r w:rsidRPr="00275290">
              <w:rPr>
                <w:rFonts w:cs="Arial"/>
              </w:rPr>
              <w:t xml:space="preserve"> values are on average 89 L/kg.</w:t>
            </w:r>
          </w:p>
        </w:tc>
      </w:tr>
      <w:tr w:rsidR="00692E71" w:rsidRPr="00275290" w14:paraId="528DF9E5" w14:textId="77777777" w:rsidTr="008E0250">
        <w:tc>
          <w:tcPr>
            <w:tcW w:w="2376" w:type="dxa"/>
          </w:tcPr>
          <w:p w14:paraId="04600199" w14:textId="77777777" w:rsidR="00692E71" w:rsidRPr="00275290" w:rsidRDefault="00692E71" w:rsidP="008E0250">
            <w:pPr>
              <w:spacing w:line="276" w:lineRule="auto"/>
              <w:rPr>
                <w:rFonts w:cs="Arial"/>
              </w:rPr>
            </w:pPr>
          </w:p>
        </w:tc>
        <w:tc>
          <w:tcPr>
            <w:tcW w:w="7513" w:type="dxa"/>
            <w:shd w:val="clear" w:color="auto" w:fill="auto"/>
          </w:tcPr>
          <w:p w14:paraId="722A0EFD" w14:textId="77777777" w:rsidR="00692E71" w:rsidRPr="00275290" w:rsidRDefault="00692E71" w:rsidP="008E0250">
            <w:pPr>
              <w:spacing w:line="276" w:lineRule="auto"/>
              <w:rPr>
                <w:rFonts w:cs="Arial"/>
              </w:rPr>
            </w:pPr>
          </w:p>
        </w:tc>
      </w:tr>
      <w:tr w:rsidR="00692E71" w:rsidRPr="00275290" w14:paraId="4532E356" w14:textId="77777777" w:rsidTr="008E0250">
        <w:tc>
          <w:tcPr>
            <w:tcW w:w="2376" w:type="dxa"/>
          </w:tcPr>
          <w:p w14:paraId="2BB894F1"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Volatilisation</w:t>
            </w:r>
          </w:p>
        </w:tc>
        <w:tc>
          <w:tcPr>
            <w:tcW w:w="7513" w:type="dxa"/>
          </w:tcPr>
          <w:p w14:paraId="6336B7B7" w14:textId="77777777" w:rsidR="00692E71" w:rsidRPr="00275290" w:rsidRDefault="00692E71" w:rsidP="008E0250">
            <w:pPr>
              <w:spacing w:line="276" w:lineRule="auto"/>
              <w:rPr>
                <w:rFonts w:cs="Arial"/>
              </w:rPr>
            </w:pPr>
            <w:r w:rsidRPr="00275290">
              <w:rPr>
                <w:rFonts w:cs="Arial"/>
              </w:rPr>
              <w:t>Air will not be an environmental compartment of concern for tebuconazole used in wood preservatives because of the very low vapour pressure of this compound.</w:t>
            </w:r>
          </w:p>
        </w:tc>
      </w:tr>
      <w:tr w:rsidR="00692E71" w:rsidRPr="00275290" w14:paraId="5F1F4E42" w14:textId="77777777" w:rsidTr="008E0250">
        <w:tc>
          <w:tcPr>
            <w:tcW w:w="2376" w:type="dxa"/>
          </w:tcPr>
          <w:p w14:paraId="4C483DBF" w14:textId="77777777" w:rsidR="00692E71" w:rsidRPr="00275290" w:rsidRDefault="00692E71" w:rsidP="008E0250">
            <w:pPr>
              <w:spacing w:line="276" w:lineRule="auto"/>
              <w:rPr>
                <w:rFonts w:cs="Arial"/>
              </w:rPr>
            </w:pPr>
          </w:p>
        </w:tc>
        <w:tc>
          <w:tcPr>
            <w:tcW w:w="7513" w:type="dxa"/>
          </w:tcPr>
          <w:p w14:paraId="0A75AA9F" w14:textId="77777777" w:rsidR="00692E71" w:rsidRPr="00275290" w:rsidRDefault="00692E71" w:rsidP="008E0250">
            <w:pPr>
              <w:spacing w:line="276" w:lineRule="auto"/>
              <w:rPr>
                <w:rFonts w:cs="Arial"/>
              </w:rPr>
            </w:pPr>
          </w:p>
        </w:tc>
      </w:tr>
      <w:tr w:rsidR="00692E71" w:rsidRPr="00275290" w14:paraId="39414F61" w14:textId="77777777" w:rsidTr="008E0250">
        <w:tc>
          <w:tcPr>
            <w:tcW w:w="2376" w:type="dxa"/>
          </w:tcPr>
          <w:p w14:paraId="4F0A122B"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Bioaccumulation</w:t>
            </w:r>
          </w:p>
        </w:tc>
        <w:tc>
          <w:tcPr>
            <w:tcW w:w="7513" w:type="dxa"/>
          </w:tcPr>
          <w:p w14:paraId="5067CD71" w14:textId="77777777" w:rsidR="00692E71" w:rsidRPr="00275290" w:rsidRDefault="00692E71" w:rsidP="008E0250">
            <w:pPr>
              <w:spacing w:line="276" w:lineRule="auto"/>
              <w:rPr>
                <w:rFonts w:cs="Arial"/>
              </w:rPr>
            </w:pPr>
            <w:r w:rsidRPr="00275290">
              <w:rPr>
                <w:rFonts w:cs="Arial"/>
              </w:rPr>
              <w:t>The BCF for fish varies from 31 to 93. However, the higher value includes the metabolites as well. For the risk assessment, a BCF of 78 is used since this value seems to be the highest reliable value found.</w:t>
            </w:r>
          </w:p>
        </w:tc>
      </w:tr>
    </w:tbl>
    <w:p w14:paraId="198F0239" w14:textId="77777777" w:rsidR="00692E71" w:rsidRPr="00275290" w:rsidRDefault="00692E71" w:rsidP="00692E71">
      <w:pPr>
        <w:rPr>
          <w:rFonts w:eastAsiaTheme="minorHAnsi" w:cs="Arial"/>
          <w:color w:val="000000"/>
          <w:lang w:eastAsia="en-US"/>
        </w:rPr>
      </w:pPr>
    </w:p>
    <w:p w14:paraId="1E551136" w14:textId="77777777" w:rsidR="00692E71" w:rsidRPr="00275290" w:rsidRDefault="00692E71" w:rsidP="00F32B7F">
      <w:pPr>
        <w:numPr>
          <w:ilvl w:val="0"/>
          <w:numId w:val="6"/>
        </w:numPr>
        <w:suppressAutoHyphens w:val="0"/>
        <w:spacing w:line="276" w:lineRule="auto"/>
        <w:rPr>
          <w:rFonts w:cs="Arial"/>
          <w:b/>
          <w:szCs w:val="22"/>
        </w:rPr>
      </w:pPr>
      <w:r w:rsidRPr="00275290">
        <w:rPr>
          <w:rFonts w:cs="Arial"/>
          <w:b/>
          <w:szCs w:val="22"/>
        </w:rPr>
        <w:t>Environmental behaviour of IPBC</w:t>
      </w:r>
    </w:p>
    <w:p w14:paraId="4082098D" w14:textId="77777777" w:rsidR="00692E71" w:rsidRPr="00275290" w:rsidRDefault="00692E71" w:rsidP="00692E71">
      <w:pPr>
        <w:spacing w:before="120" w:after="240" w:line="276" w:lineRule="auto"/>
        <w:rPr>
          <w:rFonts w:cs="Arial"/>
        </w:rPr>
      </w:pPr>
      <w:r w:rsidRPr="00275290">
        <w:rPr>
          <w:rFonts w:cs="Arial"/>
        </w:rPr>
        <w:t>The metabolites iodine and iodate are not taken in account in this assessment. In fact iodine is a biocidal active substance used as a disinfectant and was evaluated at European level by Sweden. The environmental risk assessment presented in the Assessment Report of IPBC showed that no risk to environmental compartments is foreseen for iodine and iodate. Therefore, no effect and risk assessment on these substances will be performed here.</w:t>
      </w:r>
    </w:p>
    <w:tbl>
      <w:tblPr>
        <w:tblW w:w="9889" w:type="dxa"/>
        <w:tblLook w:val="04A0" w:firstRow="1" w:lastRow="0" w:firstColumn="1" w:lastColumn="0" w:noHBand="0" w:noVBand="1"/>
      </w:tblPr>
      <w:tblGrid>
        <w:gridCol w:w="2376"/>
        <w:gridCol w:w="7513"/>
      </w:tblGrid>
      <w:tr w:rsidR="00692E71" w:rsidRPr="00275290" w14:paraId="3EC6D350" w14:textId="77777777" w:rsidTr="008E0250">
        <w:tc>
          <w:tcPr>
            <w:tcW w:w="2376" w:type="dxa"/>
          </w:tcPr>
          <w:p w14:paraId="57B54442" w14:textId="77777777" w:rsidR="00692E71" w:rsidRPr="00275290" w:rsidRDefault="00692E71" w:rsidP="008E0250">
            <w:pPr>
              <w:spacing w:line="276" w:lineRule="auto"/>
              <w:rPr>
                <w:rFonts w:cs="Arial"/>
                <w:u w:val="single"/>
              </w:rPr>
            </w:pPr>
            <w:r w:rsidRPr="00275290">
              <w:rPr>
                <w:rFonts w:cs="Arial"/>
                <w:u w:val="single"/>
              </w:rPr>
              <w:t>Degradation</w:t>
            </w:r>
          </w:p>
        </w:tc>
        <w:tc>
          <w:tcPr>
            <w:tcW w:w="7513" w:type="dxa"/>
          </w:tcPr>
          <w:p w14:paraId="6008703E" w14:textId="77777777" w:rsidR="00692E71" w:rsidRPr="00275290" w:rsidRDefault="00692E71" w:rsidP="008E0250">
            <w:pPr>
              <w:spacing w:line="276" w:lineRule="auto"/>
              <w:rPr>
                <w:rFonts w:cs="Arial"/>
              </w:rPr>
            </w:pPr>
          </w:p>
        </w:tc>
      </w:tr>
      <w:tr w:rsidR="00692E71" w:rsidRPr="00275290" w14:paraId="1C72A6A8" w14:textId="77777777" w:rsidTr="008E0250">
        <w:tc>
          <w:tcPr>
            <w:tcW w:w="2376" w:type="dxa"/>
          </w:tcPr>
          <w:p w14:paraId="6CA58744"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Hydrolysis</w:t>
            </w:r>
          </w:p>
        </w:tc>
        <w:tc>
          <w:tcPr>
            <w:tcW w:w="7513" w:type="dxa"/>
          </w:tcPr>
          <w:p w14:paraId="2543286D" w14:textId="77777777" w:rsidR="00692E71" w:rsidRPr="00275290" w:rsidRDefault="00692E71" w:rsidP="008E0250">
            <w:pPr>
              <w:spacing w:line="276" w:lineRule="auto"/>
              <w:rPr>
                <w:rFonts w:cs="Arial"/>
              </w:rPr>
            </w:pPr>
            <w:r w:rsidRPr="00275290">
              <w:rPr>
                <w:rFonts w:cs="Arial"/>
              </w:rPr>
              <w:t>IPBC is stable to hydrolysis.</w:t>
            </w:r>
          </w:p>
        </w:tc>
      </w:tr>
      <w:tr w:rsidR="00692E71" w:rsidRPr="00275290" w14:paraId="12442372" w14:textId="77777777" w:rsidTr="008E0250">
        <w:tc>
          <w:tcPr>
            <w:tcW w:w="2376" w:type="dxa"/>
          </w:tcPr>
          <w:p w14:paraId="75703253" w14:textId="77777777" w:rsidR="00692E71" w:rsidRPr="00275290" w:rsidRDefault="00692E71" w:rsidP="008E0250">
            <w:pPr>
              <w:spacing w:line="276" w:lineRule="auto"/>
              <w:rPr>
                <w:rFonts w:cs="Arial"/>
              </w:rPr>
            </w:pPr>
          </w:p>
        </w:tc>
        <w:tc>
          <w:tcPr>
            <w:tcW w:w="7513" w:type="dxa"/>
          </w:tcPr>
          <w:p w14:paraId="6C479C4D" w14:textId="77777777" w:rsidR="00692E71" w:rsidRPr="00275290" w:rsidRDefault="00692E71" w:rsidP="008E0250">
            <w:pPr>
              <w:spacing w:line="276" w:lineRule="auto"/>
              <w:rPr>
                <w:rFonts w:cs="Arial"/>
              </w:rPr>
            </w:pPr>
          </w:p>
        </w:tc>
      </w:tr>
      <w:tr w:rsidR="00692E71" w:rsidRPr="00275290" w14:paraId="74AC89AD" w14:textId="77777777" w:rsidTr="008E0250">
        <w:tc>
          <w:tcPr>
            <w:tcW w:w="2376" w:type="dxa"/>
          </w:tcPr>
          <w:p w14:paraId="5B108E6D"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Photolysis</w:t>
            </w:r>
          </w:p>
        </w:tc>
        <w:tc>
          <w:tcPr>
            <w:tcW w:w="7513" w:type="dxa"/>
          </w:tcPr>
          <w:p w14:paraId="2534C66A" w14:textId="77777777" w:rsidR="00692E71" w:rsidRPr="00275290" w:rsidRDefault="00692E71" w:rsidP="008E0250">
            <w:pPr>
              <w:spacing w:line="276" w:lineRule="auto"/>
              <w:rPr>
                <w:rFonts w:cs="Arial"/>
              </w:rPr>
            </w:pPr>
            <w:r w:rsidRPr="00275290">
              <w:rPr>
                <w:rFonts w:cs="Arial"/>
              </w:rPr>
              <w:t>Direct photodegradation of IPBC in water is low and the substance may be considered photolysis stable in water.</w:t>
            </w:r>
          </w:p>
        </w:tc>
      </w:tr>
      <w:tr w:rsidR="00692E71" w:rsidRPr="00275290" w14:paraId="780A3EAC" w14:textId="77777777" w:rsidTr="008E0250">
        <w:tc>
          <w:tcPr>
            <w:tcW w:w="2376" w:type="dxa"/>
          </w:tcPr>
          <w:p w14:paraId="1A2AA265" w14:textId="77777777" w:rsidR="00692E71" w:rsidRPr="00275290" w:rsidRDefault="00692E71" w:rsidP="008E0250">
            <w:pPr>
              <w:spacing w:line="276" w:lineRule="auto"/>
              <w:rPr>
                <w:rFonts w:cs="Arial"/>
                <w:i/>
              </w:rPr>
            </w:pPr>
          </w:p>
        </w:tc>
        <w:tc>
          <w:tcPr>
            <w:tcW w:w="7513" w:type="dxa"/>
          </w:tcPr>
          <w:p w14:paraId="70A4A992" w14:textId="77777777" w:rsidR="00692E71" w:rsidRPr="00275290" w:rsidRDefault="00692E71" w:rsidP="008E0250">
            <w:pPr>
              <w:spacing w:line="276" w:lineRule="auto"/>
              <w:rPr>
                <w:rFonts w:cs="Arial"/>
              </w:rPr>
            </w:pPr>
          </w:p>
        </w:tc>
      </w:tr>
      <w:tr w:rsidR="00692E71" w:rsidRPr="00275290" w14:paraId="11CF19FD" w14:textId="77777777" w:rsidTr="008E0250">
        <w:tc>
          <w:tcPr>
            <w:tcW w:w="2376" w:type="dxa"/>
          </w:tcPr>
          <w:p w14:paraId="3C133768"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Biodegradation</w:t>
            </w:r>
          </w:p>
        </w:tc>
        <w:tc>
          <w:tcPr>
            <w:tcW w:w="7513" w:type="dxa"/>
          </w:tcPr>
          <w:p w14:paraId="4841726A" w14:textId="77777777" w:rsidR="00692E71" w:rsidRPr="00275290" w:rsidRDefault="00692E71" w:rsidP="008E0250">
            <w:pPr>
              <w:spacing w:after="240" w:line="276" w:lineRule="auto"/>
              <w:rPr>
                <w:rFonts w:cs="Arial"/>
              </w:rPr>
            </w:pPr>
            <w:r w:rsidRPr="00275290">
              <w:rPr>
                <w:rFonts w:cs="Arial"/>
              </w:rPr>
              <w:t>IPBC is not readily biodegradable but is primary biodegradable according to Zahn-Wellens test.</w:t>
            </w:r>
          </w:p>
        </w:tc>
      </w:tr>
      <w:tr w:rsidR="00692E71" w:rsidRPr="00275290" w14:paraId="79E0B1D5" w14:textId="77777777" w:rsidTr="008E0250">
        <w:tc>
          <w:tcPr>
            <w:tcW w:w="2376" w:type="dxa"/>
          </w:tcPr>
          <w:p w14:paraId="5124AB58" w14:textId="77777777" w:rsidR="00692E71" w:rsidRPr="00275290" w:rsidRDefault="00692E71" w:rsidP="008E0250">
            <w:pPr>
              <w:spacing w:line="276" w:lineRule="auto"/>
              <w:rPr>
                <w:rFonts w:cs="Arial"/>
                <w:i/>
              </w:rPr>
            </w:pPr>
            <w:r w:rsidRPr="00275290">
              <w:rPr>
                <w:rFonts w:cs="Arial"/>
                <w:i/>
              </w:rPr>
              <w:t>In water</w:t>
            </w:r>
          </w:p>
          <w:p w14:paraId="06CE1DCC" w14:textId="77777777" w:rsidR="00692E71" w:rsidRPr="00275290" w:rsidRDefault="00692E71" w:rsidP="008E0250">
            <w:pPr>
              <w:spacing w:line="276" w:lineRule="auto"/>
              <w:rPr>
                <w:rFonts w:cs="Arial"/>
              </w:rPr>
            </w:pPr>
            <w:r w:rsidRPr="00275290">
              <w:rPr>
                <w:rFonts w:cs="Arial"/>
                <w:i/>
              </w:rPr>
              <w:t>/sediment</w:t>
            </w:r>
          </w:p>
        </w:tc>
        <w:tc>
          <w:tcPr>
            <w:tcW w:w="7513" w:type="dxa"/>
          </w:tcPr>
          <w:p w14:paraId="2C59D1E2" w14:textId="77777777" w:rsidR="00692E71" w:rsidRPr="00275290" w:rsidRDefault="00692E71" w:rsidP="008E0250">
            <w:pPr>
              <w:spacing w:line="276" w:lineRule="auto"/>
              <w:rPr>
                <w:rFonts w:cs="Arial"/>
              </w:rPr>
            </w:pPr>
            <w:r w:rsidRPr="00275290">
              <w:rPr>
                <w:rFonts w:cs="Arial"/>
              </w:rPr>
              <w:t>The biodegradation half-life in surface water is estimated to about 3.1 hour at 12°C.</w:t>
            </w:r>
          </w:p>
          <w:p w14:paraId="0CD59C7A" w14:textId="77777777" w:rsidR="00692E71" w:rsidRPr="00275290" w:rsidRDefault="00692E71" w:rsidP="008E0250">
            <w:pPr>
              <w:spacing w:line="276" w:lineRule="auto"/>
              <w:rPr>
                <w:rFonts w:cs="Arial"/>
              </w:rPr>
            </w:pPr>
            <w:r w:rsidRPr="00275290">
              <w:rPr>
                <w:rFonts w:cs="Arial"/>
              </w:rPr>
              <w:t>In anaerobic aquatic environments (sediment/water), IPBC was degraded in PBC (propargyl butyl carbamate) which was degraded to 2-propenyl butylcarbamate (2-PBC) and 2 unidentified degradates (less than 10%), CO</w:t>
            </w:r>
            <w:r w:rsidRPr="00275290">
              <w:rPr>
                <w:rFonts w:cs="Arial"/>
                <w:vertAlign w:val="subscript"/>
              </w:rPr>
              <w:t>2</w:t>
            </w:r>
            <w:r w:rsidRPr="00275290">
              <w:rPr>
                <w:rFonts w:cs="Arial"/>
              </w:rPr>
              <w:t xml:space="preserve"> and possibly CH</w:t>
            </w:r>
            <w:r w:rsidRPr="00275290">
              <w:rPr>
                <w:rFonts w:cs="Arial"/>
                <w:vertAlign w:val="subscript"/>
              </w:rPr>
              <w:t>4</w:t>
            </w:r>
            <w:r w:rsidRPr="00275290">
              <w:rPr>
                <w:rFonts w:cs="Arial"/>
              </w:rPr>
              <w:t>.</w:t>
            </w:r>
          </w:p>
        </w:tc>
      </w:tr>
      <w:tr w:rsidR="00692E71" w:rsidRPr="00275290" w14:paraId="51BDDDC1" w14:textId="77777777" w:rsidTr="008E0250">
        <w:tc>
          <w:tcPr>
            <w:tcW w:w="2376" w:type="dxa"/>
          </w:tcPr>
          <w:p w14:paraId="3C133D74" w14:textId="77777777" w:rsidR="00692E71" w:rsidRPr="00275290" w:rsidRDefault="00692E71" w:rsidP="008E0250">
            <w:pPr>
              <w:spacing w:line="276" w:lineRule="auto"/>
              <w:rPr>
                <w:rFonts w:cs="Arial"/>
                <w:i/>
              </w:rPr>
            </w:pPr>
            <w:r w:rsidRPr="00275290">
              <w:rPr>
                <w:rFonts w:cs="Arial"/>
                <w:i/>
              </w:rPr>
              <w:t>In soil</w:t>
            </w:r>
          </w:p>
        </w:tc>
        <w:tc>
          <w:tcPr>
            <w:tcW w:w="7513" w:type="dxa"/>
          </w:tcPr>
          <w:p w14:paraId="49295565" w14:textId="77777777" w:rsidR="00692E71" w:rsidRPr="00275290" w:rsidRDefault="00692E71" w:rsidP="008E0250">
            <w:pPr>
              <w:spacing w:line="276" w:lineRule="auto"/>
              <w:rPr>
                <w:rFonts w:cs="Arial"/>
              </w:rPr>
            </w:pPr>
            <w:r w:rsidRPr="00275290">
              <w:rPr>
                <w:rFonts w:cs="Arial"/>
              </w:rPr>
              <w:t>IPBC is metabolised rapidly in soil in laboratory experiments, the half-life is estimated to be 4.7 hours at 12°C. The primary degradate in aerobic soil was PBC. In soil, PBC was degraded to CO</w:t>
            </w:r>
            <w:r w:rsidRPr="00275290">
              <w:rPr>
                <w:rFonts w:cs="Arial"/>
                <w:vertAlign w:val="subscript"/>
              </w:rPr>
              <w:t>2</w:t>
            </w:r>
            <w:r w:rsidRPr="00275290">
              <w:rPr>
                <w:rFonts w:cs="Arial"/>
              </w:rPr>
              <w:t>, bound soil residues and an unidentified metabolite.</w:t>
            </w:r>
          </w:p>
        </w:tc>
      </w:tr>
      <w:tr w:rsidR="00692E71" w:rsidRPr="00275290" w14:paraId="44F1BFDD" w14:textId="77777777" w:rsidTr="008E0250">
        <w:tc>
          <w:tcPr>
            <w:tcW w:w="2376" w:type="dxa"/>
          </w:tcPr>
          <w:p w14:paraId="7BF11BB0" w14:textId="77777777" w:rsidR="00692E71" w:rsidRPr="00275290" w:rsidRDefault="00692E71" w:rsidP="008E0250">
            <w:pPr>
              <w:spacing w:line="276" w:lineRule="auto"/>
              <w:rPr>
                <w:rFonts w:cs="Arial"/>
                <w:i/>
              </w:rPr>
            </w:pPr>
          </w:p>
        </w:tc>
        <w:tc>
          <w:tcPr>
            <w:tcW w:w="7513" w:type="dxa"/>
          </w:tcPr>
          <w:p w14:paraId="6BC02253" w14:textId="77777777" w:rsidR="00692E71" w:rsidRPr="00275290" w:rsidRDefault="00692E71" w:rsidP="008E0250">
            <w:pPr>
              <w:spacing w:line="276" w:lineRule="auto"/>
              <w:rPr>
                <w:rFonts w:cs="Arial"/>
              </w:rPr>
            </w:pPr>
          </w:p>
        </w:tc>
      </w:tr>
      <w:tr w:rsidR="00692E71" w:rsidRPr="00275290" w14:paraId="4288D4E2" w14:textId="77777777" w:rsidTr="008E0250">
        <w:tc>
          <w:tcPr>
            <w:tcW w:w="2376" w:type="dxa"/>
          </w:tcPr>
          <w:p w14:paraId="095A68EA" w14:textId="77777777" w:rsidR="00692E71" w:rsidRPr="00275290" w:rsidRDefault="00692E71" w:rsidP="008E0250">
            <w:pPr>
              <w:spacing w:line="276" w:lineRule="auto"/>
              <w:rPr>
                <w:rFonts w:cs="Arial"/>
                <w:i/>
              </w:rPr>
            </w:pPr>
            <w:r w:rsidRPr="00275290">
              <w:rPr>
                <w:rFonts w:cs="Arial"/>
                <w:u w:val="single"/>
              </w:rPr>
              <w:t>Distribution</w:t>
            </w:r>
          </w:p>
        </w:tc>
        <w:tc>
          <w:tcPr>
            <w:tcW w:w="7513" w:type="dxa"/>
          </w:tcPr>
          <w:p w14:paraId="6C779480" w14:textId="77777777" w:rsidR="00692E71" w:rsidRPr="00275290" w:rsidRDefault="00692E71" w:rsidP="008E0250">
            <w:pPr>
              <w:spacing w:line="276" w:lineRule="auto"/>
              <w:rPr>
                <w:rFonts w:cs="Arial"/>
              </w:rPr>
            </w:pPr>
          </w:p>
        </w:tc>
      </w:tr>
      <w:tr w:rsidR="00692E71" w:rsidRPr="00275290" w14:paraId="51865AFE" w14:textId="77777777" w:rsidTr="008E0250">
        <w:tc>
          <w:tcPr>
            <w:tcW w:w="2376" w:type="dxa"/>
          </w:tcPr>
          <w:p w14:paraId="165BA89D"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Adsorption</w:t>
            </w:r>
          </w:p>
          <w:p w14:paraId="55603F96" w14:textId="77777777" w:rsidR="00692E71" w:rsidRPr="00275290" w:rsidRDefault="00692E71" w:rsidP="008E0250">
            <w:pPr>
              <w:spacing w:line="276" w:lineRule="auto"/>
              <w:rPr>
                <w:rFonts w:cs="Arial"/>
                <w:u w:val="single"/>
              </w:rPr>
            </w:pPr>
            <w:r w:rsidRPr="00275290">
              <w:rPr>
                <w:rFonts w:cs="Arial"/>
              </w:rPr>
              <w:t>desorption</w:t>
            </w:r>
          </w:p>
        </w:tc>
        <w:tc>
          <w:tcPr>
            <w:tcW w:w="7513" w:type="dxa"/>
            <w:shd w:val="clear" w:color="auto" w:fill="auto"/>
          </w:tcPr>
          <w:p w14:paraId="6874524E" w14:textId="77777777" w:rsidR="00692E71" w:rsidRPr="00275290" w:rsidRDefault="00692E71" w:rsidP="008E0250">
            <w:pPr>
              <w:spacing w:line="276" w:lineRule="auto"/>
              <w:rPr>
                <w:rFonts w:cs="Arial"/>
              </w:rPr>
            </w:pPr>
            <w:r w:rsidRPr="00275290">
              <w:rPr>
                <w:rFonts w:cs="Arial"/>
              </w:rPr>
              <w:t>IPBC has a medium to high mobility potential with a Koc value of 126.</w:t>
            </w:r>
          </w:p>
        </w:tc>
      </w:tr>
      <w:tr w:rsidR="00692E71" w:rsidRPr="00275290" w14:paraId="08C78AEF" w14:textId="77777777" w:rsidTr="008E0250">
        <w:tc>
          <w:tcPr>
            <w:tcW w:w="2376" w:type="dxa"/>
          </w:tcPr>
          <w:p w14:paraId="2A5DA841" w14:textId="77777777" w:rsidR="00692E71" w:rsidRPr="00275290" w:rsidRDefault="00692E71" w:rsidP="008E0250">
            <w:pPr>
              <w:spacing w:line="276" w:lineRule="auto"/>
              <w:rPr>
                <w:rFonts w:cs="Arial"/>
              </w:rPr>
            </w:pPr>
          </w:p>
        </w:tc>
        <w:tc>
          <w:tcPr>
            <w:tcW w:w="7513" w:type="dxa"/>
            <w:shd w:val="clear" w:color="auto" w:fill="auto"/>
          </w:tcPr>
          <w:p w14:paraId="660C8141" w14:textId="77777777" w:rsidR="00692E71" w:rsidRPr="00275290" w:rsidRDefault="00692E71" w:rsidP="008E0250">
            <w:pPr>
              <w:spacing w:line="276" w:lineRule="auto"/>
              <w:rPr>
                <w:rFonts w:cs="Arial"/>
              </w:rPr>
            </w:pPr>
          </w:p>
        </w:tc>
      </w:tr>
      <w:tr w:rsidR="00692E71" w:rsidRPr="00275290" w14:paraId="1E171EB3" w14:textId="77777777" w:rsidTr="008E0250">
        <w:tc>
          <w:tcPr>
            <w:tcW w:w="2376" w:type="dxa"/>
          </w:tcPr>
          <w:p w14:paraId="6A29B103"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Volatilisation</w:t>
            </w:r>
          </w:p>
        </w:tc>
        <w:tc>
          <w:tcPr>
            <w:tcW w:w="7513" w:type="dxa"/>
          </w:tcPr>
          <w:p w14:paraId="5C78B726" w14:textId="77777777" w:rsidR="00692E71" w:rsidRPr="00275290" w:rsidRDefault="00692E71" w:rsidP="008E0250">
            <w:pPr>
              <w:spacing w:line="276" w:lineRule="auto"/>
              <w:rPr>
                <w:rFonts w:cs="Arial"/>
              </w:rPr>
            </w:pPr>
            <w:r w:rsidRPr="00275290">
              <w:rPr>
                <w:rFonts w:cs="Arial"/>
              </w:rPr>
              <w:t>Air will not be an environmental compartment of concern for IPBC because of the low vapour pressure of this compound. It should also be noted that the calculated DT50 of IPBC in air is only about 15 hours and is therefore not considered persistent in air.</w:t>
            </w:r>
          </w:p>
        </w:tc>
      </w:tr>
      <w:tr w:rsidR="00692E71" w:rsidRPr="00275290" w14:paraId="4280D610" w14:textId="77777777" w:rsidTr="008E0250">
        <w:tc>
          <w:tcPr>
            <w:tcW w:w="2376" w:type="dxa"/>
          </w:tcPr>
          <w:p w14:paraId="78017019" w14:textId="77777777" w:rsidR="00692E71" w:rsidRPr="00275290" w:rsidRDefault="00692E71" w:rsidP="008E0250">
            <w:pPr>
              <w:spacing w:line="276" w:lineRule="auto"/>
              <w:rPr>
                <w:rFonts w:cs="Arial"/>
              </w:rPr>
            </w:pPr>
          </w:p>
        </w:tc>
        <w:tc>
          <w:tcPr>
            <w:tcW w:w="7513" w:type="dxa"/>
          </w:tcPr>
          <w:p w14:paraId="6A365C53" w14:textId="77777777" w:rsidR="00692E71" w:rsidRPr="00275290" w:rsidRDefault="00692E71" w:rsidP="008E0250">
            <w:pPr>
              <w:spacing w:line="276" w:lineRule="auto"/>
              <w:rPr>
                <w:rFonts w:cs="Arial"/>
              </w:rPr>
            </w:pPr>
          </w:p>
        </w:tc>
      </w:tr>
      <w:tr w:rsidR="00692E71" w:rsidRPr="00275290" w14:paraId="1CCF5059" w14:textId="77777777" w:rsidTr="008E0250">
        <w:tc>
          <w:tcPr>
            <w:tcW w:w="2376" w:type="dxa"/>
          </w:tcPr>
          <w:p w14:paraId="63A0EB98"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Bioaccumulation</w:t>
            </w:r>
          </w:p>
        </w:tc>
        <w:tc>
          <w:tcPr>
            <w:tcW w:w="7513" w:type="dxa"/>
          </w:tcPr>
          <w:p w14:paraId="2F7B0082" w14:textId="77777777" w:rsidR="00692E71" w:rsidRPr="00275290" w:rsidRDefault="00692E71" w:rsidP="008E0250">
            <w:pPr>
              <w:spacing w:line="276" w:lineRule="auto"/>
              <w:rPr>
                <w:rFonts w:cs="Arial"/>
              </w:rPr>
            </w:pPr>
            <w:r w:rsidRPr="00275290">
              <w:rPr>
                <w:rFonts w:cs="Arial"/>
              </w:rPr>
              <w:t>The bioaccumulation potential is not significant based on a log Kow value of 2.8.</w:t>
            </w:r>
          </w:p>
        </w:tc>
      </w:tr>
    </w:tbl>
    <w:p w14:paraId="584A26FE" w14:textId="77777777" w:rsidR="00692E71" w:rsidRPr="00275290" w:rsidRDefault="00692E71" w:rsidP="00692E71">
      <w:pPr>
        <w:spacing w:before="240" w:after="360"/>
        <w:rPr>
          <w:rFonts w:eastAsiaTheme="minorHAnsi" w:cs="Arial"/>
          <w:color w:val="000000"/>
          <w:lang w:eastAsia="en-US"/>
        </w:rPr>
      </w:pPr>
      <w:r w:rsidRPr="00275290">
        <w:rPr>
          <w:rFonts w:eastAsiaTheme="minorHAnsi" w:cs="Arial"/>
          <w:color w:val="000000"/>
          <w:lang w:eastAsia="en-US"/>
        </w:rPr>
        <w:t xml:space="preserve">The physico-chemical and fate and behaviour data on the 4 active substances are summarised in the following Table. The numbers </w:t>
      </w:r>
      <w:r w:rsidRPr="00275290">
        <w:rPr>
          <w:rFonts w:eastAsiaTheme="minorHAnsi" w:cs="Arial"/>
          <w:i/>
          <w:color w:val="000000"/>
          <w:lang w:eastAsia="en-US"/>
        </w:rPr>
        <w:t>in italic</w:t>
      </w:r>
      <w:r w:rsidRPr="00275290">
        <w:rPr>
          <w:rFonts w:eastAsiaTheme="minorHAnsi" w:cs="Arial"/>
          <w:color w:val="000000"/>
          <w:lang w:eastAsia="en-US"/>
        </w:rPr>
        <w:t xml:space="preserve"> are used for the environmental risk assessment.</w:t>
      </w:r>
    </w:p>
    <w:p w14:paraId="2FC6D51C" w14:textId="77777777" w:rsidR="00692E71" w:rsidRPr="00275290" w:rsidRDefault="00692E71" w:rsidP="00692E71">
      <w:pPr>
        <w:pStyle w:val="Lgende"/>
        <w:rPr>
          <w:rFonts w:ascii="Verdana" w:eastAsiaTheme="minorHAnsi" w:hAnsi="Verdana"/>
          <w:lang w:eastAsia="en-US"/>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w:t>
      </w:r>
      <w:r w:rsidRPr="00275290">
        <w:rPr>
          <w:rFonts w:ascii="Verdana" w:hAnsi="Verdana"/>
        </w:rPr>
        <w:fldChar w:fldCharType="end"/>
      </w:r>
      <w:r w:rsidRPr="00275290">
        <w:rPr>
          <w:rFonts w:ascii="Verdana" w:hAnsi="Verdana"/>
        </w:rPr>
        <w:t xml:space="preserve">: </w:t>
      </w:r>
      <w:r w:rsidRPr="00275290">
        <w:rPr>
          <w:rFonts w:ascii="Verdana" w:eastAsiaTheme="minorHAnsi" w:hAnsi="Verdana"/>
          <w:lang w:eastAsia="en-US"/>
        </w:rPr>
        <w:t>Environmental data on the active substances</w:t>
      </w:r>
    </w:p>
    <w:tbl>
      <w:tblPr>
        <w:tblW w:w="0" w:type="auto"/>
        <w:tblLook w:val="04A0" w:firstRow="1" w:lastRow="0" w:firstColumn="1" w:lastColumn="0" w:noHBand="0" w:noVBand="1"/>
      </w:tblPr>
      <w:tblGrid>
        <w:gridCol w:w="2322"/>
        <w:gridCol w:w="1914"/>
        <w:gridCol w:w="1940"/>
        <w:gridCol w:w="1686"/>
        <w:gridCol w:w="1917"/>
      </w:tblGrid>
      <w:tr w:rsidR="00692E71" w:rsidRPr="00275290" w14:paraId="1F420EDB" w14:textId="77777777" w:rsidTr="008E0250">
        <w:trPr>
          <w:trHeight w:val="397"/>
        </w:trPr>
        <w:tc>
          <w:tcPr>
            <w:tcW w:w="2376" w:type="dxa"/>
            <w:shd w:val="clear" w:color="auto" w:fill="D9D9D9" w:themeFill="background1" w:themeFillShade="D9"/>
            <w:vAlign w:val="center"/>
          </w:tcPr>
          <w:p w14:paraId="79EA7028" w14:textId="77777777" w:rsidR="00692E71" w:rsidRPr="00275290" w:rsidRDefault="00692E71" w:rsidP="008E0250">
            <w:pPr>
              <w:pStyle w:val="Default"/>
              <w:jc w:val="center"/>
              <w:rPr>
                <w:rFonts w:ascii="Verdana" w:hAnsi="Verdana" w:cs="Arial"/>
                <w:sz w:val="20"/>
                <w:szCs w:val="20"/>
              </w:rPr>
            </w:pPr>
            <w:r w:rsidRPr="00275290">
              <w:rPr>
                <w:rFonts w:ascii="Verdana" w:hAnsi="Verdana" w:cs="Arial"/>
                <w:sz w:val="20"/>
                <w:szCs w:val="20"/>
              </w:rPr>
              <w:t>Data</w:t>
            </w:r>
          </w:p>
        </w:tc>
        <w:tc>
          <w:tcPr>
            <w:tcW w:w="1940" w:type="dxa"/>
            <w:shd w:val="clear" w:color="auto" w:fill="D9D9D9" w:themeFill="background1" w:themeFillShade="D9"/>
            <w:vAlign w:val="center"/>
          </w:tcPr>
          <w:p w14:paraId="31DD9855" w14:textId="77777777" w:rsidR="00692E71" w:rsidRPr="00275290" w:rsidRDefault="00692E71" w:rsidP="008E0250">
            <w:pPr>
              <w:pStyle w:val="Default"/>
              <w:jc w:val="center"/>
              <w:rPr>
                <w:rFonts w:ascii="Verdana" w:hAnsi="Verdana" w:cs="Arial"/>
                <w:sz w:val="20"/>
                <w:szCs w:val="20"/>
              </w:rPr>
            </w:pPr>
            <w:r w:rsidRPr="00275290">
              <w:rPr>
                <w:rFonts w:ascii="Verdana" w:hAnsi="Verdana" w:cs="Arial"/>
                <w:sz w:val="20"/>
                <w:szCs w:val="20"/>
              </w:rPr>
              <w:t xml:space="preserve">Cypermethrin </w:t>
            </w:r>
          </w:p>
        </w:tc>
        <w:tc>
          <w:tcPr>
            <w:tcW w:w="1967" w:type="dxa"/>
            <w:shd w:val="clear" w:color="auto" w:fill="D9D9D9" w:themeFill="background1" w:themeFillShade="D9"/>
            <w:vAlign w:val="center"/>
          </w:tcPr>
          <w:p w14:paraId="1D29BAA4" w14:textId="77777777" w:rsidR="00692E71" w:rsidRPr="00275290" w:rsidRDefault="00692E71" w:rsidP="008E0250">
            <w:pPr>
              <w:pStyle w:val="Default"/>
              <w:jc w:val="center"/>
              <w:rPr>
                <w:rFonts w:ascii="Verdana" w:hAnsi="Verdana" w:cs="Arial"/>
                <w:sz w:val="20"/>
                <w:szCs w:val="20"/>
              </w:rPr>
            </w:pPr>
            <w:r w:rsidRPr="00275290">
              <w:rPr>
                <w:rFonts w:ascii="Verdana" w:hAnsi="Verdana" w:cs="Arial"/>
                <w:sz w:val="20"/>
                <w:szCs w:val="20"/>
              </w:rPr>
              <w:t>Propiconazole</w:t>
            </w:r>
          </w:p>
        </w:tc>
        <w:tc>
          <w:tcPr>
            <w:tcW w:w="1694" w:type="dxa"/>
            <w:shd w:val="clear" w:color="auto" w:fill="D9D9D9" w:themeFill="background1" w:themeFillShade="D9"/>
            <w:vAlign w:val="center"/>
          </w:tcPr>
          <w:p w14:paraId="64E9DD2C" w14:textId="77777777" w:rsidR="00692E71" w:rsidRPr="00275290" w:rsidRDefault="00692E71" w:rsidP="008E0250">
            <w:pPr>
              <w:pStyle w:val="Default"/>
              <w:jc w:val="center"/>
              <w:rPr>
                <w:rFonts w:ascii="Verdana" w:hAnsi="Verdana" w:cs="Arial"/>
                <w:sz w:val="20"/>
                <w:szCs w:val="20"/>
              </w:rPr>
            </w:pPr>
            <w:r w:rsidRPr="00275290">
              <w:rPr>
                <w:rFonts w:ascii="Verdana" w:hAnsi="Verdana" w:cs="Arial"/>
                <w:sz w:val="20"/>
                <w:szCs w:val="20"/>
              </w:rPr>
              <w:t>Tebuconazole</w:t>
            </w:r>
          </w:p>
        </w:tc>
        <w:tc>
          <w:tcPr>
            <w:tcW w:w="1962" w:type="dxa"/>
            <w:shd w:val="clear" w:color="auto" w:fill="D9D9D9" w:themeFill="background1" w:themeFillShade="D9"/>
            <w:vAlign w:val="center"/>
          </w:tcPr>
          <w:p w14:paraId="7AD6D8A4" w14:textId="77777777" w:rsidR="00692E71" w:rsidRPr="00275290" w:rsidRDefault="00692E71" w:rsidP="008E0250">
            <w:pPr>
              <w:pStyle w:val="Default"/>
              <w:jc w:val="center"/>
              <w:rPr>
                <w:rFonts w:ascii="Verdana" w:hAnsi="Verdana" w:cs="Arial"/>
                <w:sz w:val="20"/>
                <w:szCs w:val="20"/>
              </w:rPr>
            </w:pPr>
            <w:r w:rsidRPr="00275290">
              <w:rPr>
                <w:rFonts w:ascii="Verdana" w:hAnsi="Verdana" w:cs="Arial"/>
                <w:sz w:val="20"/>
                <w:szCs w:val="20"/>
              </w:rPr>
              <w:t>IPBC and relevant metabolite</w:t>
            </w:r>
          </w:p>
        </w:tc>
      </w:tr>
      <w:tr w:rsidR="00692E71" w:rsidRPr="00275290" w14:paraId="40CCDEDD" w14:textId="77777777" w:rsidTr="008E0250">
        <w:tc>
          <w:tcPr>
            <w:tcW w:w="2376" w:type="dxa"/>
            <w:vAlign w:val="center"/>
          </w:tcPr>
          <w:p w14:paraId="4440A40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Reference</w:t>
            </w:r>
          </w:p>
        </w:tc>
        <w:tc>
          <w:tcPr>
            <w:tcW w:w="1940" w:type="dxa"/>
            <w:vAlign w:val="center"/>
          </w:tcPr>
          <w:p w14:paraId="7EE16A6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AR for cypermethrin</w:t>
            </w:r>
          </w:p>
          <w:p w14:paraId="28BC8ED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PT08, 12/07/2013</w:t>
            </w:r>
          </w:p>
        </w:tc>
        <w:tc>
          <w:tcPr>
            <w:tcW w:w="1967" w:type="dxa"/>
            <w:vAlign w:val="center"/>
          </w:tcPr>
          <w:p w14:paraId="64BFE32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AR for propiconazole PT08, 29-11-2007 and AR for propiconazole PT09, 12/07/2013</w:t>
            </w:r>
          </w:p>
        </w:tc>
        <w:tc>
          <w:tcPr>
            <w:tcW w:w="1694" w:type="dxa"/>
            <w:vAlign w:val="center"/>
          </w:tcPr>
          <w:p w14:paraId="307B543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AR for tebuconazole PT08, 29/11/2007</w:t>
            </w:r>
          </w:p>
        </w:tc>
        <w:tc>
          <w:tcPr>
            <w:tcW w:w="1962" w:type="dxa"/>
            <w:vAlign w:val="center"/>
          </w:tcPr>
          <w:p w14:paraId="0659DF01"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AR for IPBC PT08, 22/02/2008 and AR for IPBC PT06, 27/09/2013</w:t>
            </w:r>
          </w:p>
        </w:tc>
      </w:tr>
      <w:tr w:rsidR="00692E71" w:rsidRPr="00275290" w14:paraId="7E268D69" w14:textId="77777777" w:rsidTr="008E0250">
        <w:trPr>
          <w:trHeight w:val="567"/>
        </w:trPr>
        <w:tc>
          <w:tcPr>
            <w:tcW w:w="2376" w:type="dxa"/>
            <w:vAlign w:val="center"/>
          </w:tcPr>
          <w:p w14:paraId="0E8E924A"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Molecular weight (g/mol)</w:t>
            </w:r>
          </w:p>
        </w:tc>
        <w:tc>
          <w:tcPr>
            <w:tcW w:w="1940" w:type="dxa"/>
            <w:vAlign w:val="center"/>
          </w:tcPr>
          <w:p w14:paraId="0E8ED7BC" w14:textId="77777777" w:rsidR="00692E71" w:rsidRPr="00275290" w:rsidRDefault="00692E71" w:rsidP="008E0250">
            <w:pPr>
              <w:jc w:val="center"/>
              <w:rPr>
                <w:rFonts w:cs="Arial"/>
                <w:i/>
                <w:sz w:val="18"/>
                <w:szCs w:val="18"/>
              </w:rPr>
            </w:pPr>
            <w:r w:rsidRPr="00275290">
              <w:rPr>
                <w:rFonts w:cs="Arial"/>
                <w:i/>
                <w:sz w:val="18"/>
                <w:szCs w:val="18"/>
              </w:rPr>
              <w:t>416.3</w:t>
            </w:r>
          </w:p>
        </w:tc>
        <w:tc>
          <w:tcPr>
            <w:tcW w:w="1967" w:type="dxa"/>
            <w:vAlign w:val="center"/>
          </w:tcPr>
          <w:p w14:paraId="18F6F947" w14:textId="77777777" w:rsidR="00692E71" w:rsidRPr="00275290" w:rsidRDefault="00692E71" w:rsidP="008E0250">
            <w:pPr>
              <w:jc w:val="center"/>
              <w:rPr>
                <w:rFonts w:cs="Arial"/>
                <w:i/>
                <w:sz w:val="18"/>
                <w:szCs w:val="18"/>
              </w:rPr>
            </w:pPr>
            <w:r w:rsidRPr="00275290">
              <w:rPr>
                <w:rFonts w:cs="Arial"/>
                <w:i/>
                <w:sz w:val="18"/>
                <w:szCs w:val="18"/>
              </w:rPr>
              <w:t>342.2</w:t>
            </w:r>
          </w:p>
        </w:tc>
        <w:tc>
          <w:tcPr>
            <w:tcW w:w="1694" w:type="dxa"/>
            <w:vAlign w:val="center"/>
          </w:tcPr>
          <w:p w14:paraId="55C5D230" w14:textId="77777777" w:rsidR="00692E71" w:rsidRPr="00275290" w:rsidRDefault="00692E71" w:rsidP="008E0250">
            <w:pPr>
              <w:jc w:val="center"/>
              <w:rPr>
                <w:rFonts w:cs="Arial"/>
                <w:i/>
                <w:sz w:val="18"/>
                <w:szCs w:val="18"/>
              </w:rPr>
            </w:pPr>
            <w:r w:rsidRPr="00275290">
              <w:rPr>
                <w:rFonts w:cs="Arial"/>
                <w:i/>
                <w:sz w:val="18"/>
                <w:szCs w:val="18"/>
              </w:rPr>
              <w:t>307.8</w:t>
            </w:r>
          </w:p>
        </w:tc>
        <w:tc>
          <w:tcPr>
            <w:tcW w:w="1962" w:type="dxa"/>
            <w:vAlign w:val="center"/>
          </w:tcPr>
          <w:p w14:paraId="211D5A86" w14:textId="77777777" w:rsidR="00692E71" w:rsidRPr="00275290" w:rsidRDefault="00692E71" w:rsidP="008E0250">
            <w:pPr>
              <w:jc w:val="center"/>
              <w:rPr>
                <w:rFonts w:cs="Arial"/>
                <w:i/>
                <w:sz w:val="18"/>
                <w:szCs w:val="18"/>
              </w:rPr>
            </w:pPr>
            <w:r w:rsidRPr="00275290">
              <w:rPr>
                <w:rFonts w:cs="Arial"/>
                <w:i/>
                <w:sz w:val="18"/>
                <w:szCs w:val="18"/>
              </w:rPr>
              <w:t>281.1</w:t>
            </w:r>
          </w:p>
        </w:tc>
      </w:tr>
      <w:tr w:rsidR="00692E71" w:rsidRPr="00275290" w14:paraId="31ED66D5" w14:textId="77777777" w:rsidTr="008E0250">
        <w:trPr>
          <w:trHeight w:val="567"/>
        </w:trPr>
        <w:tc>
          <w:tcPr>
            <w:tcW w:w="2376" w:type="dxa"/>
            <w:vAlign w:val="center"/>
          </w:tcPr>
          <w:p w14:paraId="280BE0F8"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Melting point [°C]</w:t>
            </w:r>
          </w:p>
        </w:tc>
        <w:tc>
          <w:tcPr>
            <w:tcW w:w="1940" w:type="dxa"/>
            <w:vAlign w:val="center"/>
          </w:tcPr>
          <w:p w14:paraId="6AC24C41" w14:textId="77777777" w:rsidR="00692E71" w:rsidRPr="00275290" w:rsidRDefault="00692E71" w:rsidP="008E0250">
            <w:pPr>
              <w:jc w:val="center"/>
              <w:rPr>
                <w:rFonts w:cs="Arial"/>
                <w:sz w:val="18"/>
                <w:szCs w:val="18"/>
              </w:rPr>
            </w:pPr>
            <w:r w:rsidRPr="00275290">
              <w:rPr>
                <w:rFonts w:cs="Arial"/>
                <w:sz w:val="18"/>
                <w:szCs w:val="18"/>
              </w:rPr>
              <w:t>Onset: 41.2</w:t>
            </w:r>
          </w:p>
          <w:p w14:paraId="3AF4425D" w14:textId="77777777" w:rsidR="00692E71" w:rsidRPr="00275290" w:rsidRDefault="00692E71" w:rsidP="008E0250">
            <w:pPr>
              <w:jc w:val="center"/>
              <w:rPr>
                <w:rFonts w:cs="Arial"/>
                <w:sz w:val="18"/>
                <w:szCs w:val="18"/>
              </w:rPr>
            </w:pPr>
            <w:r w:rsidRPr="00275290">
              <w:rPr>
                <w:rFonts w:cs="Arial"/>
                <w:sz w:val="18"/>
                <w:szCs w:val="18"/>
              </w:rPr>
              <w:t>Peak: 47.3</w:t>
            </w:r>
          </w:p>
        </w:tc>
        <w:tc>
          <w:tcPr>
            <w:tcW w:w="1967" w:type="dxa"/>
            <w:vAlign w:val="center"/>
          </w:tcPr>
          <w:p w14:paraId="47A2C114" w14:textId="77777777" w:rsidR="00692E71" w:rsidRPr="00275290" w:rsidRDefault="00692E71" w:rsidP="008E0250">
            <w:pPr>
              <w:jc w:val="center"/>
              <w:rPr>
                <w:rFonts w:cs="Arial"/>
                <w:sz w:val="18"/>
                <w:szCs w:val="18"/>
              </w:rPr>
            </w:pPr>
            <w:r w:rsidRPr="00275290">
              <w:rPr>
                <w:rFonts w:cs="Arial"/>
                <w:sz w:val="18"/>
                <w:szCs w:val="18"/>
              </w:rPr>
              <w:t>no data</w:t>
            </w:r>
          </w:p>
        </w:tc>
        <w:tc>
          <w:tcPr>
            <w:tcW w:w="1694" w:type="dxa"/>
            <w:vAlign w:val="center"/>
          </w:tcPr>
          <w:p w14:paraId="49D5E732" w14:textId="77777777" w:rsidR="00692E71" w:rsidRPr="00275290" w:rsidRDefault="00692E71" w:rsidP="008E0250">
            <w:pPr>
              <w:jc w:val="center"/>
              <w:rPr>
                <w:rFonts w:cs="Arial"/>
                <w:sz w:val="18"/>
                <w:szCs w:val="18"/>
              </w:rPr>
            </w:pPr>
            <w:r w:rsidRPr="00275290">
              <w:rPr>
                <w:rFonts w:cs="Arial"/>
                <w:sz w:val="18"/>
                <w:szCs w:val="18"/>
              </w:rPr>
              <w:t>105</w:t>
            </w:r>
          </w:p>
        </w:tc>
        <w:tc>
          <w:tcPr>
            <w:tcW w:w="1962" w:type="dxa"/>
            <w:vAlign w:val="center"/>
          </w:tcPr>
          <w:p w14:paraId="2E133538" w14:textId="77777777" w:rsidR="00692E71" w:rsidRPr="00275290" w:rsidRDefault="00692E71" w:rsidP="008E0250">
            <w:pPr>
              <w:jc w:val="center"/>
              <w:rPr>
                <w:rFonts w:cs="Arial"/>
                <w:sz w:val="18"/>
                <w:szCs w:val="18"/>
              </w:rPr>
            </w:pPr>
            <w:r w:rsidRPr="00275290">
              <w:rPr>
                <w:rFonts w:cs="Arial"/>
                <w:sz w:val="18"/>
                <w:szCs w:val="18"/>
              </w:rPr>
              <w:t>65.8 – 66.5</w:t>
            </w:r>
          </w:p>
        </w:tc>
      </w:tr>
      <w:tr w:rsidR="00692E71" w:rsidRPr="00275290" w14:paraId="496DB1B6" w14:textId="77777777" w:rsidTr="008E0250">
        <w:trPr>
          <w:trHeight w:val="567"/>
        </w:trPr>
        <w:tc>
          <w:tcPr>
            <w:tcW w:w="2376" w:type="dxa"/>
            <w:vAlign w:val="center"/>
          </w:tcPr>
          <w:p w14:paraId="7B8EC9C6" w14:textId="77777777" w:rsidR="00692E71" w:rsidRPr="00275290" w:rsidRDefault="00692E71" w:rsidP="008E0250">
            <w:pPr>
              <w:rPr>
                <w:rFonts w:cs="Arial"/>
                <w:sz w:val="18"/>
                <w:szCs w:val="18"/>
              </w:rPr>
            </w:pPr>
            <w:r w:rsidRPr="00275290">
              <w:rPr>
                <w:rFonts w:cs="Arial"/>
                <w:sz w:val="18"/>
                <w:szCs w:val="18"/>
              </w:rPr>
              <w:t>Boiling point [°C]</w:t>
            </w:r>
          </w:p>
        </w:tc>
        <w:tc>
          <w:tcPr>
            <w:tcW w:w="1940" w:type="dxa"/>
            <w:vAlign w:val="center"/>
          </w:tcPr>
          <w:p w14:paraId="2FDFAD50" w14:textId="77777777" w:rsidR="00692E71" w:rsidRPr="00275290" w:rsidRDefault="00692E71" w:rsidP="008E0250">
            <w:pPr>
              <w:jc w:val="center"/>
              <w:rPr>
                <w:rFonts w:cs="Arial"/>
                <w:sz w:val="18"/>
                <w:szCs w:val="18"/>
              </w:rPr>
            </w:pPr>
            <w:r w:rsidRPr="00275290">
              <w:rPr>
                <w:rFonts w:cs="Arial"/>
                <w:sz w:val="18"/>
                <w:szCs w:val="18"/>
              </w:rPr>
              <w:t>Not measurable, decomposes</w:t>
            </w:r>
          </w:p>
        </w:tc>
        <w:tc>
          <w:tcPr>
            <w:tcW w:w="1967" w:type="dxa"/>
            <w:vAlign w:val="center"/>
          </w:tcPr>
          <w:p w14:paraId="33089D9F" w14:textId="77777777" w:rsidR="00692E71" w:rsidRPr="00275290" w:rsidRDefault="00692E71" w:rsidP="008E0250">
            <w:pPr>
              <w:jc w:val="center"/>
              <w:rPr>
                <w:rFonts w:cs="Arial"/>
                <w:sz w:val="18"/>
                <w:szCs w:val="18"/>
              </w:rPr>
            </w:pPr>
            <w:r w:rsidRPr="00275290">
              <w:rPr>
                <w:rFonts w:cs="Arial"/>
                <w:sz w:val="18"/>
                <w:szCs w:val="18"/>
              </w:rPr>
              <w:t>&gt; 250</w:t>
            </w:r>
          </w:p>
        </w:tc>
        <w:tc>
          <w:tcPr>
            <w:tcW w:w="1694" w:type="dxa"/>
            <w:vAlign w:val="center"/>
          </w:tcPr>
          <w:p w14:paraId="6C93A225" w14:textId="77777777" w:rsidR="00692E71" w:rsidRPr="00275290" w:rsidRDefault="00692E71" w:rsidP="008E0250">
            <w:pPr>
              <w:jc w:val="center"/>
              <w:rPr>
                <w:rFonts w:cs="Arial"/>
                <w:sz w:val="18"/>
                <w:szCs w:val="18"/>
              </w:rPr>
            </w:pPr>
            <w:r w:rsidRPr="00275290">
              <w:rPr>
                <w:rFonts w:cs="Arial"/>
                <w:sz w:val="18"/>
                <w:szCs w:val="18"/>
              </w:rPr>
              <w:t>Not measurable, decomposes</w:t>
            </w:r>
          </w:p>
        </w:tc>
        <w:tc>
          <w:tcPr>
            <w:tcW w:w="1962" w:type="dxa"/>
            <w:vAlign w:val="center"/>
          </w:tcPr>
          <w:p w14:paraId="76C046EC" w14:textId="77777777" w:rsidR="00692E71" w:rsidRPr="00275290" w:rsidRDefault="00692E71" w:rsidP="008E0250">
            <w:pPr>
              <w:jc w:val="center"/>
              <w:rPr>
                <w:rFonts w:cs="Arial"/>
                <w:sz w:val="18"/>
                <w:szCs w:val="18"/>
              </w:rPr>
            </w:pPr>
            <w:r w:rsidRPr="00275290">
              <w:rPr>
                <w:rFonts w:cs="Arial"/>
                <w:sz w:val="18"/>
                <w:szCs w:val="18"/>
              </w:rPr>
              <w:t>No boiling point, decomposes</w:t>
            </w:r>
          </w:p>
        </w:tc>
      </w:tr>
      <w:tr w:rsidR="00692E71" w:rsidRPr="00275290" w14:paraId="72FCC044" w14:textId="77777777" w:rsidTr="008E0250">
        <w:trPr>
          <w:trHeight w:val="1134"/>
        </w:trPr>
        <w:tc>
          <w:tcPr>
            <w:tcW w:w="2376" w:type="dxa"/>
            <w:vAlign w:val="center"/>
          </w:tcPr>
          <w:p w14:paraId="10477534"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Vapour Pressure (Pa)</w:t>
            </w:r>
          </w:p>
        </w:tc>
        <w:tc>
          <w:tcPr>
            <w:tcW w:w="1940" w:type="dxa"/>
            <w:vAlign w:val="center"/>
          </w:tcPr>
          <w:p w14:paraId="2067F674" w14:textId="77777777" w:rsidR="00692E71" w:rsidRPr="00275290" w:rsidRDefault="00692E71" w:rsidP="008E0250">
            <w:pPr>
              <w:jc w:val="center"/>
              <w:rPr>
                <w:rFonts w:cs="Arial"/>
                <w:i/>
                <w:sz w:val="18"/>
                <w:szCs w:val="18"/>
              </w:rPr>
            </w:pPr>
            <w:r w:rsidRPr="00275290">
              <w:rPr>
                <w:rFonts w:cs="Arial"/>
                <w:i/>
                <w:sz w:val="18"/>
                <w:szCs w:val="18"/>
              </w:rPr>
              <w:t>2.3*10</w:t>
            </w:r>
            <w:r w:rsidRPr="00275290">
              <w:rPr>
                <w:rFonts w:cs="Arial"/>
                <w:i/>
                <w:sz w:val="18"/>
                <w:szCs w:val="18"/>
                <w:vertAlign w:val="superscript"/>
              </w:rPr>
              <w:t>-7</w:t>
            </w:r>
            <w:r w:rsidRPr="00275290">
              <w:rPr>
                <w:rFonts w:cs="Arial"/>
                <w:i/>
                <w:sz w:val="18"/>
                <w:szCs w:val="18"/>
              </w:rPr>
              <w:t xml:space="preserve"> </w:t>
            </w:r>
            <w:r w:rsidRPr="00275290">
              <w:rPr>
                <w:rFonts w:cs="Arial"/>
                <w:sz w:val="18"/>
                <w:szCs w:val="18"/>
              </w:rPr>
              <w:t>at 20°C</w:t>
            </w:r>
          </w:p>
          <w:p w14:paraId="4F667A36" w14:textId="77777777" w:rsidR="00692E71" w:rsidRPr="00275290" w:rsidRDefault="00692E71" w:rsidP="008E0250">
            <w:pPr>
              <w:jc w:val="center"/>
              <w:rPr>
                <w:rFonts w:cs="Arial"/>
                <w:sz w:val="18"/>
                <w:szCs w:val="18"/>
              </w:rPr>
            </w:pPr>
            <w:r w:rsidRPr="00275290">
              <w:rPr>
                <w:rFonts w:cs="Arial"/>
                <w:sz w:val="18"/>
                <w:szCs w:val="18"/>
              </w:rPr>
              <w:t>6*10</w:t>
            </w:r>
            <w:r w:rsidRPr="00275290">
              <w:rPr>
                <w:rFonts w:cs="Arial"/>
                <w:sz w:val="18"/>
                <w:szCs w:val="18"/>
                <w:vertAlign w:val="superscript"/>
              </w:rPr>
              <w:t>-7</w:t>
            </w:r>
            <w:r w:rsidRPr="00275290">
              <w:rPr>
                <w:rFonts w:cs="Arial"/>
                <w:sz w:val="18"/>
                <w:szCs w:val="18"/>
              </w:rPr>
              <w:t xml:space="preserve"> at 25°C</w:t>
            </w:r>
          </w:p>
        </w:tc>
        <w:tc>
          <w:tcPr>
            <w:tcW w:w="1967" w:type="dxa"/>
            <w:vAlign w:val="center"/>
          </w:tcPr>
          <w:p w14:paraId="296B3AB1" w14:textId="77777777" w:rsidR="00692E71" w:rsidRPr="00275290" w:rsidRDefault="00692E71" w:rsidP="008E0250">
            <w:pPr>
              <w:jc w:val="center"/>
              <w:rPr>
                <w:rFonts w:cs="Arial"/>
                <w:sz w:val="18"/>
                <w:szCs w:val="18"/>
              </w:rPr>
            </w:pPr>
            <w:r w:rsidRPr="00275290">
              <w:rPr>
                <w:rFonts w:cs="Arial"/>
                <w:sz w:val="18"/>
                <w:szCs w:val="18"/>
              </w:rPr>
              <w:t>5.6*10</w:t>
            </w:r>
            <w:r w:rsidRPr="00275290">
              <w:rPr>
                <w:rFonts w:cs="Arial"/>
                <w:sz w:val="18"/>
                <w:szCs w:val="18"/>
                <w:vertAlign w:val="superscript"/>
              </w:rPr>
              <w:t>-5</w:t>
            </w:r>
            <w:r w:rsidRPr="00275290">
              <w:rPr>
                <w:rFonts w:cs="Arial"/>
                <w:sz w:val="18"/>
                <w:szCs w:val="18"/>
              </w:rPr>
              <w:t xml:space="preserve"> at 25°C</w:t>
            </w:r>
          </w:p>
          <w:p w14:paraId="11B7604F" w14:textId="77777777" w:rsidR="00692E71" w:rsidRPr="00275290" w:rsidRDefault="00692E71" w:rsidP="008E0250">
            <w:pPr>
              <w:jc w:val="center"/>
              <w:rPr>
                <w:rFonts w:cs="Arial"/>
                <w:i/>
                <w:sz w:val="18"/>
                <w:szCs w:val="18"/>
              </w:rPr>
            </w:pPr>
            <w:r w:rsidRPr="00275290">
              <w:rPr>
                <w:rFonts w:cs="Arial"/>
                <w:i/>
                <w:sz w:val="18"/>
                <w:szCs w:val="18"/>
              </w:rPr>
              <w:t>3.97*10</w:t>
            </w:r>
            <w:r w:rsidRPr="00275290">
              <w:rPr>
                <w:rFonts w:cs="Arial"/>
                <w:i/>
                <w:sz w:val="18"/>
                <w:szCs w:val="18"/>
                <w:vertAlign w:val="superscript"/>
              </w:rPr>
              <w:t>–5</w:t>
            </w:r>
            <w:r w:rsidRPr="00275290">
              <w:rPr>
                <w:rFonts w:cs="Arial"/>
                <w:i/>
                <w:sz w:val="18"/>
                <w:szCs w:val="18"/>
              </w:rPr>
              <w:t xml:space="preserve"> </w:t>
            </w:r>
            <w:r w:rsidRPr="00275290">
              <w:rPr>
                <w:rFonts w:cs="Arial"/>
                <w:sz w:val="18"/>
                <w:szCs w:val="18"/>
              </w:rPr>
              <w:t>at 20°C</w:t>
            </w:r>
          </w:p>
        </w:tc>
        <w:tc>
          <w:tcPr>
            <w:tcW w:w="1694" w:type="dxa"/>
            <w:vAlign w:val="center"/>
          </w:tcPr>
          <w:p w14:paraId="42F67F88" w14:textId="77777777" w:rsidR="00692E71" w:rsidRPr="00275290" w:rsidRDefault="00692E71" w:rsidP="008E0250">
            <w:pPr>
              <w:jc w:val="center"/>
              <w:rPr>
                <w:rFonts w:cs="Arial"/>
                <w:i/>
                <w:sz w:val="18"/>
                <w:szCs w:val="18"/>
              </w:rPr>
            </w:pPr>
            <w:r w:rsidRPr="00275290">
              <w:rPr>
                <w:rFonts w:cs="Arial"/>
                <w:i/>
                <w:sz w:val="18"/>
                <w:szCs w:val="18"/>
              </w:rPr>
              <w:t>1.7*10</w:t>
            </w:r>
            <w:r w:rsidRPr="00275290">
              <w:rPr>
                <w:rFonts w:cs="Arial"/>
                <w:i/>
                <w:sz w:val="18"/>
                <w:szCs w:val="18"/>
                <w:vertAlign w:val="superscript"/>
              </w:rPr>
              <w:t>-6</w:t>
            </w:r>
            <w:r w:rsidRPr="00275290">
              <w:rPr>
                <w:rFonts w:cs="Arial"/>
                <w:i/>
                <w:sz w:val="18"/>
                <w:szCs w:val="18"/>
              </w:rPr>
              <w:t xml:space="preserve"> </w:t>
            </w:r>
            <w:r w:rsidRPr="00275290">
              <w:rPr>
                <w:rFonts w:cs="Arial"/>
                <w:sz w:val="18"/>
                <w:szCs w:val="18"/>
              </w:rPr>
              <w:t>at 20°C</w:t>
            </w:r>
          </w:p>
        </w:tc>
        <w:tc>
          <w:tcPr>
            <w:tcW w:w="1962" w:type="dxa"/>
            <w:vAlign w:val="center"/>
          </w:tcPr>
          <w:p w14:paraId="05874D2A" w14:textId="77777777" w:rsidR="00692E71" w:rsidRPr="00275290" w:rsidRDefault="00692E71" w:rsidP="008E0250">
            <w:pPr>
              <w:jc w:val="center"/>
              <w:rPr>
                <w:rFonts w:cs="Arial"/>
                <w:sz w:val="18"/>
                <w:szCs w:val="18"/>
              </w:rPr>
            </w:pPr>
            <w:r w:rsidRPr="00275290">
              <w:rPr>
                <w:rFonts w:cs="Arial"/>
                <w:sz w:val="18"/>
                <w:szCs w:val="18"/>
              </w:rPr>
              <w:t>2.36 - 4.5*10</w:t>
            </w:r>
            <w:r w:rsidRPr="00275290">
              <w:rPr>
                <w:rFonts w:cs="Arial"/>
                <w:sz w:val="18"/>
                <w:szCs w:val="18"/>
                <w:vertAlign w:val="superscript"/>
              </w:rPr>
              <w:t>-3</w:t>
            </w:r>
            <w:r w:rsidRPr="00275290">
              <w:rPr>
                <w:rFonts w:cs="Arial"/>
                <w:sz w:val="18"/>
                <w:szCs w:val="18"/>
              </w:rPr>
              <w:t xml:space="preserve"> at 25°C</w:t>
            </w:r>
          </w:p>
          <w:p w14:paraId="32A8060C" w14:textId="77777777" w:rsidR="00692E71" w:rsidRPr="00275290" w:rsidRDefault="00692E71" w:rsidP="008E0250">
            <w:pPr>
              <w:jc w:val="center"/>
              <w:rPr>
                <w:rFonts w:cs="Arial"/>
                <w:i/>
                <w:sz w:val="18"/>
                <w:szCs w:val="18"/>
              </w:rPr>
            </w:pPr>
            <w:r w:rsidRPr="00275290">
              <w:rPr>
                <w:rFonts w:cs="Arial"/>
                <w:i/>
                <w:sz w:val="18"/>
                <w:szCs w:val="18"/>
              </w:rPr>
              <w:t>3.19*10</w:t>
            </w:r>
            <w:r w:rsidRPr="00275290">
              <w:rPr>
                <w:rFonts w:cs="Arial"/>
                <w:i/>
                <w:sz w:val="18"/>
                <w:szCs w:val="18"/>
                <w:vertAlign w:val="superscript"/>
              </w:rPr>
              <w:t>–3</w:t>
            </w:r>
            <w:r w:rsidRPr="00275290">
              <w:rPr>
                <w:rFonts w:cs="Arial"/>
                <w:i/>
                <w:sz w:val="18"/>
                <w:szCs w:val="18"/>
              </w:rPr>
              <w:t xml:space="preserve"> at 20°C</w:t>
            </w:r>
          </w:p>
        </w:tc>
      </w:tr>
      <w:tr w:rsidR="00692E71" w:rsidRPr="00275290" w14:paraId="554F0070" w14:textId="77777777" w:rsidTr="008E0250">
        <w:trPr>
          <w:trHeight w:val="964"/>
        </w:trPr>
        <w:tc>
          <w:tcPr>
            <w:tcW w:w="2376" w:type="dxa"/>
            <w:vAlign w:val="center"/>
          </w:tcPr>
          <w:p w14:paraId="6568DC99"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lastRenderedPageBreak/>
              <w:t>Henry´s law constant (Pa m</w:t>
            </w:r>
            <w:r w:rsidRPr="00275290">
              <w:rPr>
                <w:rFonts w:ascii="Verdana" w:hAnsi="Verdana" w:cs="Arial"/>
                <w:sz w:val="18"/>
                <w:szCs w:val="18"/>
                <w:vertAlign w:val="superscript"/>
              </w:rPr>
              <w:t>3</w:t>
            </w:r>
            <w:r w:rsidRPr="00275290">
              <w:rPr>
                <w:rFonts w:ascii="Verdana" w:hAnsi="Verdana" w:cs="Arial"/>
                <w:sz w:val="18"/>
                <w:szCs w:val="18"/>
              </w:rPr>
              <w:t xml:space="preserve"> mol</w:t>
            </w:r>
            <w:r w:rsidRPr="00275290">
              <w:rPr>
                <w:rFonts w:ascii="Verdana" w:hAnsi="Verdana" w:cs="Arial"/>
                <w:sz w:val="18"/>
                <w:szCs w:val="18"/>
                <w:vertAlign w:val="superscript"/>
              </w:rPr>
              <w:t>-1</w:t>
            </w:r>
            <w:r w:rsidRPr="00275290">
              <w:rPr>
                <w:rFonts w:ascii="Verdana" w:hAnsi="Verdana" w:cs="Arial"/>
                <w:sz w:val="18"/>
                <w:szCs w:val="18"/>
              </w:rPr>
              <w:t>)</w:t>
            </w:r>
          </w:p>
        </w:tc>
        <w:tc>
          <w:tcPr>
            <w:tcW w:w="1940" w:type="dxa"/>
            <w:vAlign w:val="center"/>
          </w:tcPr>
          <w:p w14:paraId="02E3C901" w14:textId="77777777" w:rsidR="00692E71" w:rsidRPr="00275290" w:rsidRDefault="00692E71" w:rsidP="008E0250">
            <w:pPr>
              <w:jc w:val="center"/>
              <w:rPr>
                <w:rFonts w:cs="Arial"/>
                <w:i/>
                <w:sz w:val="18"/>
                <w:szCs w:val="18"/>
              </w:rPr>
            </w:pPr>
            <w:r w:rsidRPr="00275290">
              <w:rPr>
                <w:rFonts w:cs="Arial"/>
                <w:i/>
                <w:sz w:val="18"/>
                <w:szCs w:val="18"/>
              </w:rPr>
              <w:t>2.4-*10</w:t>
            </w:r>
            <w:r w:rsidRPr="00275290">
              <w:rPr>
                <w:rFonts w:cs="Arial"/>
                <w:i/>
                <w:sz w:val="18"/>
                <w:szCs w:val="18"/>
                <w:vertAlign w:val="superscript"/>
              </w:rPr>
              <w:t>-2</w:t>
            </w:r>
            <w:r w:rsidRPr="00275290">
              <w:rPr>
                <w:rFonts w:cs="Arial"/>
                <w:i/>
                <w:sz w:val="18"/>
                <w:szCs w:val="18"/>
              </w:rPr>
              <w:t xml:space="preserve"> </w:t>
            </w:r>
            <w:r w:rsidRPr="00275290">
              <w:rPr>
                <w:rFonts w:cs="Arial"/>
                <w:sz w:val="18"/>
                <w:szCs w:val="18"/>
              </w:rPr>
              <w:t>at 20°C</w:t>
            </w:r>
          </w:p>
        </w:tc>
        <w:tc>
          <w:tcPr>
            <w:tcW w:w="1967" w:type="dxa"/>
            <w:vAlign w:val="center"/>
          </w:tcPr>
          <w:p w14:paraId="77A2E2A8" w14:textId="77777777" w:rsidR="00692E71" w:rsidRPr="00275290" w:rsidRDefault="00692E71" w:rsidP="008E0250">
            <w:pPr>
              <w:jc w:val="center"/>
              <w:rPr>
                <w:rFonts w:cs="Arial"/>
                <w:i/>
                <w:sz w:val="18"/>
                <w:szCs w:val="18"/>
              </w:rPr>
            </w:pPr>
            <w:r w:rsidRPr="00275290">
              <w:rPr>
                <w:rFonts w:cs="Arial"/>
                <w:i/>
                <w:sz w:val="18"/>
                <w:szCs w:val="18"/>
              </w:rPr>
              <w:t>9.2*10</w:t>
            </w:r>
            <w:r w:rsidRPr="00275290">
              <w:rPr>
                <w:rFonts w:cs="Arial"/>
                <w:i/>
                <w:sz w:val="18"/>
                <w:szCs w:val="18"/>
                <w:vertAlign w:val="superscript"/>
              </w:rPr>
              <w:t>-5</w:t>
            </w:r>
          </w:p>
        </w:tc>
        <w:tc>
          <w:tcPr>
            <w:tcW w:w="1694" w:type="dxa"/>
            <w:vAlign w:val="center"/>
          </w:tcPr>
          <w:p w14:paraId="3EDE492F" w14:textId="77777777" w:rsidR="00692E71" w:rsidRPr="00275290" w:rsidRDefault="00692E71" w:rsidP="008E0250">
            <w:pPr>
              <w:jc w:val="center"/>
              <w:rPr>
                <w:rFonts w:cs="Arial"/>
                <w:i/>
                <w:sz w:val="18"/>
                <w:szCs w:val="18"/>
              </w:rPr>
            </w:pPr>
            <w:r w:rsidRPr="00275290">
              <w:rPr>
                <w:rFonts w:cs="Arial"/>
                <w:i/>
                <w:sz w:val="18"/>
                <w:szCs w:val="18"/>
              </w:rPr>
              <w:t>1*10</w:t>
            </w:r>
            <w:r w:rsidRPr="00275290">
              <w:rPr>
                <w:rFonts w:cs="Arial"/>
                <w:i/>
                <w:sz w:val="18"/>
                <w:szCs w:val="18"/>
                <w:vertAlign w:val="superscript"/>
              </w:rPr>
              <w:t>-5</w:t>
            </w:r>
          </w:p>
        </w:tc>
        <w:tc>
          <w:tcPr>
            <w:tcW w:w="1962" w:type="dxa"/>
            <w:vAlign w:val="center"/>
          </w:tcPr>
          <w:p w14:paraId="70AA6E1B" w14:textId="77777777" w:rsidR="00692E71" w:rsidRPr="00275290" w:rsidRDefault="00692E71" w:rsidP="008E0250">
            <w:pPr>
              <w:jc w:val="center"/>
              <w:rPr>
                <w:rFonts w:cs="Arial"/>
                <w:i/>
                <w:sz w:val="18"/>
                <w:szCs w:val="18"/>
              </w:rPr>
            </w:pPr>
            <w:r w:rsidRPr="00275290">
              <w:rPr>
                <w:rFonts w:cs="Arial"/>
                <w:sz w:val="18"/>
                <w:szCs w:val="18"/>
              </w:rPr>
              <w:t>3.38 -</w:t>
            </w:r>
            <w:r w:rsidRPr="00275290">
              <w:rPr>
                <w:rFonts w:cs="Arial"/>
                <w:i/>
                <w:sz w:val="18"/>
                <w:szCs w:val="18"/>
              </w:rPr>
              <w:t xml:space="preserve"> 6.45*10</w:t>
            </w:r>
            <w:r w:rsidRPr="00275290">
              <w:rPr>
                <w:rFonts w:cs="Arial"/>
                <w:i/>
                <w:sz w:val="18"/>
                <w:szCs w:val="18"/>
                <w:vertAlign w:val="superscript"/>
              </w:rPr>
              <w:t>-3</w:t>
            </w:r>
            <w:r w:rsidRPr="00275290">
              <w:rPr>
                <w:rFonts w:cs="Arial"/>
                <w:i/>
                <w:sz w:val="18"/>
                <w:szCs w:val="18"/>
              </w:rPr>
              <w:t xml:space="preserve"> </w:t>
            </w:r>
            <w:r w:rsidRPr="00275290">
              <w:rPr>
                <w:rFonts w:cs="Arial"/>
                <w:sz w:val="18"/>
                <w:szCs w:val="18"/>
              </w:rPr>
              <w:t>at 25°C</w:t>
            </w:r>
          </w:p>
        </w:tc>
      </w:tr>
      <w:tr w:rsidR="00692E71" w:rsidRPr="00275290" w14:paraId="19D46D1C" w14:textId="77777777" w:rsidTr="008E0250">
        <w:trPr>
          <w:trHeight w:val="964"/>
        </w:trPr>
        <w:tc>
          <w:tcPr>
            <w:tcW w:w="2376" w:type="dxa"/>
            <w:vAlign w:val="center"/>
          </w:tcPr>
          <w:p w14:paraId="52D0A1A0"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Solubility in water at 20°C (mg/L)</w:t>
            </w:r>
          </w:p>
        </w:tc>
        <w:tc>
          <w:tcPr>
            <w:tcW w:w="1940" w:type="dxa"/>
            <w:vAlign w:val="center"/>
          </w:tcPr>
          <w:p w14:paraId="28D56845" w14:textId="77777777" w:rsidR="00692E71" w:rsidRPr="00275290" w:rsidRDefault="00692E71" w:rsidP="008E0250">
            <w:pPr>
              <w:jc w:val="center"/>
              <w:rPr>
                <w:rFonts w:cs="Arial"/>
                <w:i/>
                <w:sz w:val="18"/>
                <w:szCs w:val="18"/>
              </w:rPr>
            </w:pPr>
            <w:r w:rsidRPr="00275290">
              <w:rPr>
                <w:rFonts w:cs="Arial"/>
                <w:i/>
                <w:sz w:val="18"/>
                <w:szCs w:val="18"/>
              </w:rPr>
              <w:t>4*10</w:t>
            </w:r>
            <w:r w:rsidRPr="00275290">
              <w:rPr>
                <w:rFonts w:cs="Arial"/>
                <w:i/>
                <w:sz w:val="18"/>
                <w:szCs w:val="18"/>
                <w:vertAlign w:val="superscript"/>
              </w:rPr>
              <w:t>-3</w:t>
            </w:r>
            <w:r w:rsidRPr="00275290">
              <w:rPr>
                <w:rFonts w:cs="Arial"/>
                <w:i/>
                <w:sz w:val="18"/>
                <w:szCs w:val="18"/>
              </w:rPr>
              <w:t xml:space="preserve"> </w:t>
            </w:r>
            <w:r w:rsidRPr="00275290">
              <w:rPr>
                <w:rFonts w:cs="Arial"/>
                <w:sz w:val="18"/>
                <w:szCs w:val="18"/>
              </w:rPr>
              <w:t>at 20°C</w:t>
            </w:r>
          </w:p>
        </w:tc>
        <w:tc>
          <w:tcPr>
            <w:tcW w:w="1967" w:type="dxa"/>
            <w:vAlign w:val="center"/>
          </w:tcPr>
          <w:p w14:paraId="1E0DDD2F" w14:textId="77777777" w:rsidR="00692E71" w:rsidRPr="00275290" w:rsidRDefault="00692E71" w:rsidP="008E0250">
            <w:pPr>
              <w:jc w:val="center"/>
              <w:rPr>
                <w:rFonts w:cs="Arial"/>
                <w:i/>
                <w:sz w:val="18"/>
                <w:szCs w:val="18"/>
              </w:rPr>
            </w:pPr>
            <w:r w:rsidRPr="00275290">
              <w:rPr>
                <w:rFonts w:cs="Arial"/>
                <w:i/>
                <w:sz w:val="18"/>
                <w:szCs w:val="18"/>
              </w:rPr>
              <w:t xml:space="preserve">100 </w:t>
            </w:r>
            <w:r w:rsidRPr="00275290">
              <w:rPr>
                <w:rFonts w:cs="Arial"/>
                <w:sz w:val="18"/>
                <w:szCs w:val="18"/>
              </w:rPr>
              <w:t>at 20°C</w:t>
            </w:r>
          </w:p>
        </w:tc>
        <w:tc>
          <w:tcPr>
            <w:tcW w:w="1694" w:type="dxa"/>
            <w:vAlign w:val="center"/>
          </w:tcPr>
          <w:p w14:paraId="14EB1DCE" w14:textId="77777777" w:rsidR="00692E71" w:rsidRPr="00275290" w:rsidRDefault="00692E71" w:rsidP="008E0250">
            <w:pPr>
              <w:jc w:val="center"/>
              <w:rPr>
                <w:rFonts w:cs="Arial"/>
                <w:i/>
                <w:sz w:val="18"/>
                <w:szCs w:val="18"/>
              </w:rPr>
            </w:pPr>
            <w:r w:rsidRPr="00275290">
              <w:rPr>
                <w:rFonts w:cs="Arial"/>
                <w:i/>
                <w:sz w:val="18"/>
                <w:szCs w:val="18"/>
              </w:rPr>
              <w:t xml:space="preserve">29 </w:t>
            </w:r>
            <w:r w:rsidRPr="00275290">
              <w:rPr>
                <w:rFonts w:cs="Arial"/>
                <w:sz w:val="18"/>
                <w:szCs w:val="18"/>
              </w:rPr>
              <w:t>at 20°C, pH = 7</w:t>
            </w:r>
          </w:p>
        </w:tc>
        <w:tc>
          <w:tcPr>
            <w:tcW w:w="1962" w:type="dxa"/>
            <w:vAlign w:val="center"/>
          </w:tcPr>
          <w:p w14:paraId="1AE3377D" w14:textId="77777777" w:rsidR="00692E71" w:rsidRPr="00275290" w:rsidRDefault="00692E71" w:rsidP="008E0250">
            <w:pPr>
              <w:jc w:val="center"/>
              <w:rPr>
                <w:rFonts w:cs="Arial"/>
                <w:i/>
                <w:sz w:val="18"/>
                <w:szCs w:val="18"/>
              </w:rPr>
            </w:pPr>
            <w:r w:rsidRPr="00275290">
              <w:rPr>
                <w:rFonts w:cs="Arial"/>
                <w:i/>
                <w:sz w:val="18"/>
                <w:szCs w:val="18"/>
              </w:rPr>
              <w:t xml:space="preserve">168 </w:t>
            </w:r>
            <w:r w:rsidRPr="00275290">
              <w:rPr>
                <w:rFonts w:cs="Arial"/>
                <w:sz w:val="18"/>
                <w:szCs w:val="18"/>
              </w:rPr>
              <w:t>at 20°C, pH 7</w:t>
            </w:r>
          </w:p>
        </w:tc>
      </w:tr>
      <w:tr w:rsidR="00692E71" w:rsidRPr="00275290" w14:paraId="423D2693" w14:textId="77777777" w:rsidTr="008E0250">
        <w:trPr>
          <w:trHeight w:val="964"/>
        </w:trPr>
        <w:tc>
          <w:tcPr>
            <w:tcW w:w="2376" w:type="dxa"/>
            <w:vAlign w:val="center"/>
          </w:tcPr>
          <w:p w14:paraId="056A9594"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Partition coefficient</w:t>
            </w:r>
          </w:p>
          <w:p w14:paraId="64F91067"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log Kow</w:t>
            </w:r>
          </w:p>
        </w:tc>
        <w:tc>
          <w:tcPr>
            <w:tcW w:w="1940" w:type="dxa"/>
            <w:vAlign w:val="center"/>
          </w:tcPr>
          <w:p w14:paraId="41F71DC1" w14:textId="77777777" w:rsidR="00692E71" w:rsidRPr="00275290" w:rsidRDefault="00692E71" w:rsidP="008E0250">
            <w:pPr>
              <w:jc w:val="center"/>
              <w:rPr>
                <w:rFonts w:cs="Arial"/>
                <w:i/>
                <w:sz w:val="18"/>
                <w:szCs w:val="18"/>
              </w:rPr>
            </w:pPr>
            <w:r w:rsidRPr="00275290">
              <w:rPr>
                <w:rFonts w:cs="Arial"/>
                <w:i/>
                <w:sz w:val="18"/>
                <w:szCs w:val="18"/>
              </w:rPr>
              <w:t>5.45 at 25°C</w:t>
            </w:r>
          </w:p>
          <w:p w14:paraId="403D42E4" w14:textId="77777777" w:rsidR="00692E71" w:rsidRPr="00275290" w:rsidRDefault="00692E71" w:rsidP="008E0250">
            <w:pPr>
              <w:jc w:val="center"/>
              <w:rPr>
                <w:rFonts w:cs="Arial"/>
                <w:i/>
                <w:sz w:val="18"/>
                <w:szCs w:val="18"/>
              </w:rPr>
            </w:pPr>
          </w:p>
          <w:p w14:paraId="093BED23" w14:textId="77777777" w:rsidR="00692E71" w:rsidRPr="00275290" w:rsidRDefault="00692E71" w:rsidP="008E0250">
            <w:pPr>
              <w:jc w:val="center"/>
              <w:rPr>
                <w:rFonts w:cs="Arial"/>
                <w:color w:val="4F81BD" w:themeColor="accent1"/>
                <w:sz w:val="18"/>
                <w:szCs w:val="18"/>
              </w:rPr>
            </w:pPr>
            <w:r w:rsidRPr="00275290">
              <w:rPr>
                <w:rFonts w:cs="Arial"/>
                <w:color w:val="4F81BD" w:themeColor="accent1"/>
                <w:sz w:val="18"/>
                <w:szCs w:val="18"/>
              </w:rPr>
              <w:t>TDCVC: 2.672 (calculated)</w:t>
            </w:r>
          </w:p>
          <w:p w14:paraId="5B05160E" w14:textId="77777777" w:rsidR="00692E71" w:rsidRPr="00275290" w:rsidRDefault="00692E71" w:rsidP="008E0250">
            <w:pPr>
              <w:jc w:val="center"/>
              <w:rPr>
                <w:rFonts w:cs="Arial"/>
                <w:i/>
                <w:sz w:val="18"/>
                <w:szCs w:val="18"/>
              </w:rPr>
            </w:pPr>
            <w:r w:rsidRPr="00275290">
              <w:rPr>
                <w:rFonts w:cs="Arial"/>
                <w:color w:val="4F81BD" w:themeColor="accent1"/>
                <w:sz w:val="18"/>
                <w:szCs w:val="18"/>
              </w:rPr>
              <w:t>CDCVC: 2.672 (calculated)</w:t>
            </w:r>
          </w:p>
        </w:tc>
        <w:tc>
          <w:tcPr>
            <w:tcW w:w="1967" w:type="dxa"/>
            <w:vAlign w:val="center"/>
          </w:tcPr>
          <w:p w14:paraId="6D2BF5B8" w14:textId="77777777" w:rsidR="00692E71" w:rsidRPr="00275290" w:rsidRDefault="00692E71" w:rsidP="008E0250">
            <w:pPr>
              <w:jc w:val="center"/>
              <w:rPr>
                <w:rFonts w:cs="Arial"/>
                <w:i/>
                <w:sz w:val="18"/>
                <w:szCs w:val="18"/>
              </w:rPr>
            </w:pPr>
            <w:r w:rsidRPr="00275290">
              <w:rPr>
                <w:rFonts w:cs="Arial"/>
                <w:i/>
                <w:sz w:val="18"/>
                <w:szCs w:val="18"/>
              </w:rPr>
              <w:t xml:space="preserve">3.72 </w:t>
            </w:r>
            <w:r w:rsidRPr="00275290">
              <w:rPr>
                <w:rFonts w:cs="Arial"/>
                <w:sz w:val="18"/>
                <w:szCs w:val="18"/>
              </w:rPr>
              <w:t>at 25°C</w:t>
            </w:r>
          </w:p>
        </w:tc>
        <w:tc>
          <w:tcPr>
            <w:tcW w:w="1694" w:type="dxa"/>
            <w:vAlign w:val="center"/>
          </w:tcPr>
          <w:p w14:paraId="4A7E7D7E" w14:textId="77777777" w:rsidR="00692E71" w:rsidRPr="00275290" w:rsidRDefault="00692E71" w:rsidP="008E0250">
            <w:pPr>
              <w:jc w:val="center"/>
              <w:rPr>
                <w:rFonts w:cs="Arial"/>
                <w:i/>
                <w:sz w:val="18"/>
                <w:szCs w:val="18"/>
              </w:rPr>
            </w:pPr>
            <w:r w:rsidRPr="00275290">
              <w:rPr>
                <w:rFonts w:cs="Arial"/>
                <w:i/>
                <w:sz w:val="18"/>
                <w:szCs w:val="18"/>
              </w:rPr>
              <w:t xml:space="preserve">3.49 </w:t>
            </w:r>
            <w:r w:rsidRPr="00275290">
              <w:rPr>
                <w:rFonts w:cs="Arial"/>
                <w:sz w:val="18"/>
                <w:szCs w:val="18"/>
              </w:rPr>
              <w:t>at 20°C</w:t>
            </w:r>
          </w:p>
        </w:tc>
        <w:tc>
          <w:tcPr>
            <w:tcW w:w="1962" w:type="dxa"/>
            <w:vAlign w:val="center"/>
          </w:tcPr>
          <w:p w14:paraId="71A1291B" w14:textId="77777777" w:rsidR="00692E71" w:rsidRPr="00275290" w:rsidRDefault="00692E71" w:rsidP="008E0250">
            <w:pPr>
              <w:jc w:val="center"/>
              <w:rPr>
                <w:rFonts w:cs="Arial"/>
                <w:i/>
                <w:sz w:val="18"/>
                <w:szCs w:val="18"/>
              </w:rPr>
            </w:pPr>
            <w:r w:rsidRPr="00275290">
              <w:rPr>
                <w:rFonts w:cs="Arial"/>
                <w:i/>
                <w:sz w:val="18"/>
                <w:szCs w:val="18"/>
              </w:rPr>
              <w:t>2.81 at 25°C</w:t>
            </w:r>
          </w:p>
          <w:p w14:paraId="4EB2E4F2" w14:textId="77777777" w:rsidR="00692E71" w:rsidRPr="00275290" w:rsidRDefault="00692E71" w:rsidP="008E0250">
            <w:pPr>
              <w:jc w:val="center"/>
              <w:rPr>
                <w:rFonts w:cs="Arial"/>
                <w:i/>
                <w:sz w:val="18"/>
                <w:szCs w:val="18"/>
              </w:rPr>
            </w:pPr>
          </w:p>
          <w:p w14:paraId="400606BC" w14:textId="77777777" w:rsidR="00692E71" w:rsidRPr="00275290" w:rsidRDefault="00692E71" w:rsidP="008E0250">
            <w:pPr>
              <w:jc w:val="center"/>
              <w:rPr>
                <w:rFonts w:cs="Arial"/>
                <w:color w:val="4F81BD" w:themeColor="accent1"/>
                <w:sz w:val="18"/>
                <w:szCs w:val="18"/>
              </w:rPr>
            </w:pPr>
            <w:r w:rsidRPr="00275290">
              <w:rPr>
                <w:rFonts w:cs="Arial"/>
                <w:color w:val="4F81BD" w:themeColor="accent1"/>
                <w:sz w:val="18"/>
                <w:szCs w:val="18"/>
              </w:rPr>
              <w:t>PBC: 1.64</w:t>
            </w:r>
          </w:p>
        </w:tc>
      </w:tr>
      <w:tr w:rsidR="00692E71" w:rsidRPr="00275290" w14:paraId="61751553" w14:textId="77777777" w:rsidTr="008E0250">
        <w:trPr>
          <w:trHeight w:val="964"/>
        </w:trPr>
        <w:tc>
          <w:tcPr>
            <w:tcW w:w="2376" w:type="dxa"/>
            <w:vAlign w:val="center"/>
          </w:tcPr>
          <w:p w14:paraId="3EFDABCC"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Hydrolysis DT</w:t>
            </w:r>
            <w:r w:rsidRPr="00275290">
              <w:rPr>
                <w:rFonts w:ascii="Verdana" w:hAnsi="Verdana" w:cs="Arial"/>
                <w:sz w:val="18"/>
                <w:szCs w:val="18"/>
                <w:vertAlign w:val="subscript"/>
              </w:rPr>
              <w:t>50</w:t>
            </w:r>
            <w:r w:rsidRPr="00275290">
              <w:rPr>
                <w:rFonts w:ascii="Verdana" w:hAnsi="Verdana" w:cs="Arial"/>
                <w:sz w:val="18"/>
                <w:szCs w:val="18"/>
              </w:rPr>
              <w:t xml:space="preserve"> [d]</w:t>
            </w:r>
          </w:p>
        </w:tc>
        <w:tc>
          <w:tcPr>
            <w:tcW w:w="1940" w:type="dxa"/>
            <w:vAlign w:val="center"/>
          </w:tcPr>
          <w:p w14:paraId="24B47525" w14:textId="77777777" w:rsidR="00692E71" w:rsidRPr="00275290" w:rsidRDefault="00692E71" w:rsidP="008E0250">
            <w:pPr>
              <w:jc w:val="center"/>
              <w:rPr>
                <w:rFonts w:cs="Arial"/>
                <w:sz w:val="18"/>
                <w:szCs w:val="18"/>
              </w:rPr>
            </w:pPr>
            <w:r w:rsidRPr="00275290">
              <w:rPr>
                <w:rFonts w:cs="Arial"/>
                <w:sz w:val="18"/>
                <w:szCs w:val="18"/>
              </w:rPr>
              <w:t>12°C, pH 4: DT50 = 7 631 d</w:t>
            </w:r>
          </w:p>
          <w:p w14:paraId="39FEE395" w14:textId="77777777" w:rsidR="00692E71" w:rsidRPr="00275290" w:rsidRDefault="00692E71" w:rsidP="008E0250">
            <w:pPr>
              <w:jc w:val="center"/>
              <w:rPr>
                <w:rFonts w:cs="Arial"/>
                <w:sz w:val="18"/>
                <w:szCs w:val="18"/>
              </w:rPr>
            </w:pPr>
            <w:r w:rsidRPr="00275290">
              <w:rPr>
                <w:rFonts w:cs="Arial"/>
                <w:sz w:val="18"/>
                <w:szCs w:val="18"/>
              </w:rPr>
              <w:t>12°C, pH 7: DT50 = 98.9 d</w:t>
            </w:r>
          </w:p>
          <w:p w14:paraId="026DAE7D" w14:textId="77777777" w:rsidR="00692E71" w:rsidRPr="00275290" w:rsidRDefault="00692E71" w:rsidP="008E0250">
            <w:pPr>
              <w:jc w:val="center"/>
              <w:rPr>
                <w:rFonts w:cs="Arial"/>
                <w:sz w:val="18"/>
                <w:szCs w:val="18"/>
              </w:rPr>
            </w:pPr>
            <w:r w:rsidRPr="00275290">
              <w:rPr>
                <w:rFonts w:cs="Arial"/>
                <w:sz w:val="18"/>
                <w:szCs w:val="18"/>
              </w:rPr>
              <w:t>12°C, pH 9: DT50 = 1.65 d</w:t>
            </w:r>
          </w:p>
        </w:tc>
        <w:tc>
          <w:tcPr>
            <w:tcW w:w="1967" w:type="dxa"/>
            <w:vAlign w:val="center"/>
          </w:tcPr>
          <w:p w14:paraId="44CB9F57" w14:textId="77777777" w:rsidR="00692E71" w:rsidRPr="00275290" w:rsidRDefault="00692E71" w:rsidP="008E0250">
            <w:pPr>
              <w:jc w:val="center"/>
              <w:rPr>
                <w:rFonts w:cs="Arial"/>
                <w:sz w:val="18"/>
                <w:szCs w:val="18"/>
              </w:rPr>
            </w:pPr>
            <w:r w:rsidRPr="00275290">
              <w:rPr>
                <w:rFonts w:cs="Arial"/>
                <w:sz w:val="18"/>
                <w:szCs w:val="18"/>
              </w:rPr>
              <w:t>Stable at 70°C after 28 days</w:t>
            </w:r>
          </w:p>
        </w:tc>
        <w:tc>
          <w:tcPr>
            <w:tcW w:w="1694" w:type="dxa"/>
            <w:vAlign w:val="center"/>
          </w:tcPr>
          <w:p w14:paraId="52ACB3B5" w14:textId="77777777" w:rsidR="00692E71" w:rsidRPr="00275290" w:rsidRDefault="00692E71" w:rsidP="008E0250">
            <w:pPr>
              <w:jc w:val="center"/>
              <w:rPr>
                <w:rFonts w:cs="Arial"/>
                <w:sz w:val="18"/>
                <w:szCs w:val="18"/>
              </w:rPr>
            </w:pPr>
            <w:r w:rsidRPr="00275290">
              <w:rPr>
                <w:rFonts w:cs="Arial"/>
                <w:sz w:val="18"/>
                <w:szCs w:val="18"/>
              </w:rPr>
              <w:t>Stable at 25°C after 28 days</w:t>
            </w:r>
          </w:p>
        </w:tc>
        <w:tc>
          <w:tcPr>
            <w:tcW w:w="1962" w:type="dxa"/>
            <w:vAlign w:val="center"/>
          </w:tcPr>
          <w:p w14:paraId="46771533" w14:textId="77777777" w:rsidR="00692E71" w:rsidRPr="00275290" w:rsidRDefault="00692E71" w:rsidP="008E0250">
            <w:pPr>
              <w:jc w:val="center"/>
              <w:rPr>
                <w:rFonts w:cs="Arial"/>
                <w:sz w:val="18"/>
                <w:szCs w:val="18"/>
              </w:rPr>
            </w:pPr>
            <w:r w:rsidRPr="00275290">
              <w:rPr>
                <w:rFonts w:cs="Arial"/>
                <w:sz w:val="18"/>
                <w:szCs w:val="18"/>
              </w:rPr>
              <w:t>702 at 12°C, pH 7</w:t>
            </w:r>
          </w:p>
        </w:tc>
      </w:tr>
      <w:tr w:rsidR="00692E71" w:rsidRPr="00275290" w14:paraId="70053E6B" w14:textId="77777777" w:rsidTr="008E0250">
        <w:trPr>
          <w:trHeight w:val="964"/>
        </w:trPr>
        <w:tc>
          <w:tcPr>
            <w:tcW w:w="2376" w:type="dxa"/>
            <w:vAlign w:val="center"/>
          </w:tcPr>
          <w:p w14:paraId="63BFFC26"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Photolytic / photo-oxidative degradation in water (DT</w:t>
            </w:r>
            <w:r w:rsidRPr="00275290">
              <w:rPr>
                <w:rFonts w:ascii="Verdana" w:hAnsi="Verdana" w:cs="Arial"/>
                <w:sz w:val="18"/>
                <w:szCs w:val="18"/>
                <w:vertAlign w:val="subscript"/>
              </w:rPr>
              <w:t>50</w:t>
            </w:r>
            <w:r w:rsidRPr="00275290">
              <w:rPr>
                <w:rFonts w:ascii="Verdana" w:hAnsi="Verdana" w:cs="Arial"/>
                <w:sz w:val="18"/>
                <w:szCs w:val="18"/>
              </w:rPr>
              <w:t>) [d]</w:t>
            </w:r>
          </w:p>
        </w:tc>
        <w:tc>
          <w:tcPr>
            <w:tcW w:w="1940" w:type="dxa"/>
            <w:vAlign w:val="center"/>
          </w:tcPr>
          <w:p w14:paraId="5739265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At 20°C, pH 4:</w:t>
            </w:r>
          </w:p>
          <w:p w14:paraId="46804D4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DT</w:t>
            </w:r>
            <w:r w:rsidRPr="00275290">
              <w:rPr>
                <w:rFonts w:ascii="Verdana" w:hAnsi="Verdana" w:cs="Arial"/>
                <w:sz w:val="18"/>
                <w:szCs w:val="18"/>
                <w:vertAlign w:val="subscript"/>
              </w:rPr>
              <w:t>50</w:t>
            </w:r>
            <w:r w:rsidRPr="00275290">
              <w:rPr>
                <w:rFonts w:ascii="Verdana" w:hAnsi="Verdana" w:cs="Arial"/>
                <w:sz w:val="18"/>
                <w:szCs w:val="18"/>
              </w:rPr>
              <w:t xml:space="preserve"> = 12.4 - 14.7 d</w:t>
            </w:r>
          </w:p>
        </w:tc>
        <w:tc>
          <w:tcPr>
            <w:tcW w:w="1967" w:type="dxa"/>
            <w:vAlign w:val="center"/>
          </w:tcPr>
          <w:p w14:paraId="432100F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Stable at 25°C after 30 days</w:t>
            </w:r>
          </w:p>
        </w:tc>
        <w:tc>
          <w:tcPr>
            <w:tcW w:w="1694" w:type="dxa"/>
            <w:vAlign w:val="center"/>
          </w:tcPr>
          <w:p w14:paraId="6430019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Stable at pH 7</w:t>
            </w:r>
          </w:p>
        </w:tc>
        <w:tc>
          <w:tcPr>
            <w:tcW w:w="1962" w:type="dxa"/>
            <w:vAlign w:val="center"/>
          </w:tcPr>
          <w:p w14:paraId="20B8E3B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Stable to direct and indirect photolysis</w:t>
            </w:r>
          </w:p>
        </w:tc>
      </w:tr>
      <w:tr w:rsidR="00692E71" w:rsidRPr="00275290" w14:paraId="0833C02F" w14:textId="77777777" w:rsidTr="008E0250">
        <w:trPr>
          <w:trHeight w:val="964"/>
        </w:trPr>
        <w:tc>
          <w:tcPr>
            <w:tcW w:w="2376" w:type="dxa"/>
            <w:vAlign w:val="center"/>
          </w:tcPr>
          <w:p w14:paraId="143885A3"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Degradation in water/sediment</w:t>
            </w:r>
          </w:p>
          <w:p w14:paraId="576B6DF1"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(DT</w:t>
            </w:r>
            <w:r w:rsidRPr="00275290">
              <w:rPr>
                <w:rFonts w:ascii="Verdana" w:hAnsi="Verdana" w:cs="Arial"/>
                <w:sz w:val="18"/>
                <w:szCs w:val="18"/>
                <w:vertAlign w:val="subscript"/>
              </w:rPr>
              <w:t>50</w:t>
            </w:r>
            <w:r w:rsidRPr="00275290">
              <w:rPr>
                <w:rFonts w:ascii="Verdana" w:hAnsi="Verdana" w:cs="Arial"/>
                <w:sz w:val="18"/>
                <w:szCs w:val="18"/>
              </w:rPr>
              <w:t>) [d]</w:t>
            </w:r>
          </w:p>
        </w:tc>
        <w:tc>
          <w:tcPr>
            <w:tcW w:w="1940" w:type="dxa"/>
            <w:vAlign w:val="center"/>
          </w:tcPr>
          <w:p w14:paraId="4F65AB7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water:</w:t>
            </w:r>
          </w:p>
          <w:p w14:paraId="0A6ECF51"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0.95 d at 12°C</w:t>
            </w:r>
          </w:p>
          <w:p w14:paraId="581411EB" w14:textId="77777777" w:rsidR="00692E71" w:rsidRPr="00275290" w:rsidRDefault="00692E71" w:rsidP="008E0250">
            <w:pPr>
              <w:pStyle w:val="Default"/>
              <w:jc w:val="center"/>
              <w:rPr>
                <w:rFonts w:ascii="Verdana" w:hAnsi="Verdana" w:cs="Arial"/>
                <w:sz w:val="18"/>
                <w:szCs w:val="18"/>
              </w:rPr>
            </w:pPr>
          </w:p>
          <w:p w14:paraId="150046C1"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sediment:</w:t>
            </w:r>
          </w:p>
          <w:p w14:paraId="46A7208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20.7 – 27 d at 12°C</w:t>
            </w:r>
          </w:p>
          <w:p w14:paraId="14986AD0" w14:textId="77777777" w:rsidR="00692E71" w:rsidRPr="00275290" w:rsidRDefault="00692E71" w:rsidP="008E0250">
            <w:pPr>
              <w:pStyle w:val="Default"/>
              <w:jc w:val="center"/>
              <w:rPr>
                <w:rFonts w:ascii="Verdana" w:hAnsi="Verdana" w:cs="Arial"/>
                <w:sz w:val="18"/>
                <w:szCs w:val="18"/>
              </w:rPr>
            </w:pPr>
          </w:p>
          <w:p w14:paraId="364659C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whole system:</w:t>
            </w:r>
          </w:p>
          <w:p w14:paraId="43EEBAD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6.6 -</w:t>
            </w:r>
            <w:r w:rsidRPr="00275290">
              <w:rPr>
                <w:rFonts w:ascii="Verdana" w:hAnsi="Verdana" w:cs="Arial"/>
                <w:i/>
                <w:sz w:val="18"/>
                <w:szCs w:val="18"/>
              </w:rPr>
              <w:t xml:space="preserve"> 18.5 d</w:t>
            </w:r>
            <w:r w:rsidRPr="00275290">
              <w:rPr>
                <w:rFonts w:ascii="Verdana" w:hAnsi="Verdana" w:cs="Arial"/>
                <w:sz w:val="18"/>
                <w:szCs w:val="18"/>
              </w:rPr>
              <w:t xml:space="preserve"> at 12°C</w:t>
            </w:r>
          </w:p>
          <w:p w14:paraId="38830055" w14:textId="77777777" w:rsidR="00692E71" w:rsidRPr="00275290" w:rsidRDefault="00692E71" w:rsidP="008E0250">
            <w:pPr>
              <w:pStyle w:val="Default"/>
              <w:jc w:val="center"/>
              <w:rPr>
                <w:rFonts w:ascii="Verdana" w:hAnsi="Verdana" w:cs="Arial"/>
                <w:sz w:val="18"/>
                <w:szCs w:val="18"/>
              </w:rPr>
            </w:pPr>
          </w:p>
          <w:p w14:paraId="14B08D21"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3-PBA:</w:t>
            </w:r>
          </w:p>
          <w:p w14:paraId="5422F312"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24.5 d at 12°C (whole system)</w:t>
            </w:r>
          </w:p>
          <w:p w14:paraId="5BD3C956"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 xml:space="preserve">TDCVC: </w:t>
            </w:r>
          </w:p>
          <w:p w14:paraId="66DFD33D"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152 – 274 d at 12°C (whole system)</w:t>
            </w:r>
          </w:p>
          <w:p w14:paraId="33B7B3B0" w14:textId="77777777" w:rsidR="00692E71" w:rsidRPr="00275290" w:rsidRDefault="00692E71" w:rsidP="008E0250">
            <w:pPr>
              <w:pStyle w:val="Default"/>
              <w:jc w:val="center"/>
              <w:rPr>
                <w:rFonts w:ascii="Verdana" w:hAnsi="Verdana" w:cs="Arial"/>
                <w:color w:val="4F81BD" w:themeColor="accent1"/>
                <w:sz w:val="18"/>
                <w:szCs w:val="18"/>
              </w:rPr>
            </w:pPr>
          </w:p>
          <w:p w14:paraId="29752953"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 xml:space="preserve">CDCVC: </w:t>
            </w:r>
          </w:p>
          <w:p w14:paraId="0EBF2C7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color w:val="4F81BD" w:themeColor="accent1"/>
                <w:sz w:val="18"/>
                <w:szCs w:val="18"/>
              </w:rPr>
              <w:t>18 – 356 d at 12°C (whole system)</w:t>
            </w:r>
          </w:p>
        </w:tc>
        <w:tc>
          <w:tcPr>
            <w:tcW w:w="1967" w:type="dxa"/>
            <w:vAlign w:val="center"/>
          </w:tcPr>
          <w:p w14:paraId="5718DC5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water:</w:t>
            </w:r>
          </w:p>
          <w:p w14:paraId="6FC9E80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6.4 d at 20°C (dissipation)</w:t>
            </w:r>
          </w:p>
          <w:p w14:paraId="2FD6EFA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DT</w:t>
            </w:r>
            <w:r w:rsidRPr="00275290">
              <w:rPr>
                <w:rFonts w:ascii="Verdana" w:hAnsi="Verdana" w:cs="Arial"/>
                <w:sz w:val="18"/>
                <w:szCs w:val="18"/>
                <w:vertAlign w:val="subscript"/>
              </w:rPr>
              <w:t xml:space="preserve">50 </w:t>
            </w:r>
            <w:r w:rsidRPr="00275290">
              <w:rPr>
                <w:rFonts w:ascii="Verdana" w:hAnsi="Verdana" w:cs="Arial"/>
                <w:sz w:val="18"/>
                <w:szCs w:val="18"/>
              </w:rPr>
              <w:t>degradation has not been determined</w:t>
            </w:r>
          </w:p>
          <w:p w14:paraId="63B543AB" w14:textId="77777777" w:rsidR="00692E71" w:rsidRPr="00275290" w:rsidRDefault="00692E71" w:rsidP="008E0250">
            <w:pPr>
              <w:pStyle w:val="Default"/>
              <w:jc w:val="center"/>
              <w:rPr>
                <w:rFonts w:ascii="Verdana" w:hAnsi="Verdana" w:cs="Arial"/>
                <w:sz w:val="18"/>
                <w:szCs w:val="18"/>
              </w:rPr>
            </w:pPr>
          </w:p>
          <w:p w14:paraId="3BF1DB1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whole system:</w:t>
            </w:r>
          </w:p>
          <w:p w14:paraId="486E4D9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1206 d</w:t>
            </w:r>
            <w:r w:rsidRPr="00275290">
              <w:rPr>
                <w:rFonts w:ascii="Verdana" w:hAnsi="Verdana" w:cs="Arial"/>
                <w:sz w:val="18"/>
                <w:szCs w:val="18"/>
              </w:rPr>
              <w:t xml:space="preserve"> at 12°C (degradation)</w:t>
            </w:r>
          </w:p>
        </w:tc>
        <w:tc>
          <w:tcPr>
            <w:tcW w:w="1694" w:type="dxa"/>
            <w:vAlign w:val="center"/>
          </w:tcPr>
          <w:p w14:paraId="4AA3134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water:</w:t>
            </w:r>
          </w:p>
          <w:p w14:paraId="6D26CBC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198 d</w:t>
            </w:r>
            <w:r w:rsidRPr="00275290">
              <w:rPr>
                <w:rFonts w:ascii="Verdana" w:hAnsi="Verdana" w:cs="Arial"/>
                <w:sz w:val="18"/>
                <w:szCs w:val="18"/>
              </w:rPr>
              <w:t xml:space="preserve"> (degradation); 43 d (dissipation)</w:t>
            </w:r>
          </w:p>
          <w:p w14:paraId="0464745A" w14:textId="77777777" w:rsidR="00692E71" w:rsidRPr="00275290" w:rsidRDefault="00692E71" w:rsidP="008E0250">
            <w:pPr>
              <w:pStyle w:val="Default"/>
              <w:jc w:val="center"/>
              <w:rPr>
                <w:rFonts w:ascii="Verdana" w:hAnsi="Verdana" w:cs="Arial"/>
                <w:sz w:val="18"/>
                <w:szCs w:val="18"/>
              </w:rPr>
            </w:pPr>
          </w:p>
          <w:p w14:paraId="1CD0594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sediment:</w:t>
            </w:r>
          </w:p>
          <w:p w14:paraId="7FFD64D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365 d (dissipation)</w:t>
            </w:r>
          </w:p>
          <w:p w14:paraId="37133FF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whole system:</w:t>
            </w:r>
          </w:p>
          <w:p w14:paraId="788A8E5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46 d (dissipation)</w:t>
            </w:r>
          </w:p>
        </w:tc>
        <w:tc>
          <w:tcPr>
            <w:tcW w:w="1962" w:type="dxa"/>
            <w:vAlign w:val="center"/>
          </w:tcPr>
          <w:p w14:paraId="7682CF9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whole system (anaerobic):</w:t>
            </w:r>
          </w:p>
          <w:p w14:paraId="1362614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3.1 h</w:t>
            </w:r>
            <w:r w:rsidRPr="00275290">
              <w:rPr>
                <w:rFonts w:ascii="Verdana" w:hAnsi="Verdana" w:cs="Arial"/>
                <w:sz w:val="18"/>
                <w:szCs w:val="18"/>
              </w:rPr>
              <w:t xml:space="preserve"> (0.129 d) at 12°C</w:t>
            </w:r>
          </w:p>
          <w:p w14:paraId="403A5B53" w14:textId="77777777" w:rsidR="00692E71" w:rsidRPr="00275290" w:rsidRDefault="00692E71" w:rsidP="008E0250">
            <w:pPr>
              <w:pStyle w:val="Default"/>
              <w:jc w:val="center"/>
              <w:rPr>
                <w:rFonts w:ascii="Verdana" w:hAnsi="Verdana" w:cs="Arial"/>
                <w:sz w:val="18"/>
                <w:szCs w:val="18"/>
              </w:rPr>
            </w:pPr>
          </w:p>
          <w:p w14:paraId="19CE4F07"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PBC In whole system (anaerobic):</w:t>
            </w:r>
          </w:p>
          <w:p w14:paraId="1ABA8B26"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26 d at 12°C</w:t>
            </w:r>
          </w:p>
          <w:p w14:paraId="0178EED9" w14:textId="77777777" w:rsidR="00692E71" w:rsidRPr="00275290" w:rsidRDefault="00692E71" w:rsidP="008E0250">
            <w:pPr>
              <w:pStyle w:val="Default"/>
              <w:jc w:val="center"/>
              <w:rPr>
                <w:rFonts w:ascii="Verdana" w:hAnsi="Verdana" w:cs="Arial"/>
                <w:color w:val="4F81BD" w:themeColor="accent1"/>
                <w:sz w:val="18"/>
                <w:szCs w:val="18"/>
              </w:rPr>
            </w:pPr>
          </w:p>
          <w:p w14:paraId="176FBD99"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In water:</w:t>
            </w:r>
          </w:p>
          <w:p w14:paraId="34C943FE" w14:textId="77777777" w:rsidR="00692E71" w:rsidRPr="0021636F" w:rsidRDefault="00692E71" w:rsidP="008E0250">
            <w:pPr>
              <w:pStyle w:val="Default"/>
              <w:jc w:val="center"/>
              <w:rPr>
                <w:rFonts w:ascii="Verdana" w:hAnsi="Verdana" w:cs="Arial"/>
                <w:color w:val="4F81BD" w:themeColor="accent1"/>
                <w:sz w:val="18"/>
                <w:szCs w:val="18"/>
                <w:lang w:val="en-US"/>
              </w:rPr>
            </w:pPr>
            <w:r w:rsidRPr="0021636F">
              <w:rPr>
                <w:rFonts w:ascii="Verdana" w:hAnsi="Verdana" w:cs="Arial"/>
                <w:color w:val="4F81BD" w:themeColor="accent1"/>
                <w:sz w:val="18"/>
                <w:szCs w:val="18"/>
                <w:lang w:val="en-US"/>
              </w:rPr>
              <w:t>31.2 d at 12°C</w:t>
            </w:r>
          </w:p>
          <w:p w14:paraId="2842291A" w14:textId="77777777" w:rsidR="00692E71" w:rsidRPr="0021636F" w:rsidRDefault="00692E71" w:rsidP="008E0250">
            <w:pPr>
              <w:pStyle w:val="Default"/>
              <w:jc w:val="center"/>
              <w:rPr>
                <w:rFonts w:ascii="Verdana" w:hAnsi="Verdana" w:cs="Arial"/>
                <w:color w:val="4F81BD" w:themeColor="accent1"/>
                <w:sz w:val="18"/>
                <w:szCs w:val="18"/>
                <w:lang w:val="en-US"/>
              </w:rPr>
            </w:pPr>
          </w:p>
          <w:p w14:paraId="0D2F80A9" w14:textId="77777777" w:rsidR="00692E71" w:rsidRPr="0021636F" w:rsidRDefault="00692E71" w:rsidP="008E0250">
            <w:pPr>
              <w:pStyle w:val="Default"/>
              <w:jc w:val="center"/>
              <w:rPr>
                <w:rFonts w:ascii="Verdana" w:hAnsi="Verdana" w:cs="Arial"/>
                <w:color w:val="4F81BD" w:themeColor="accent1"/>
                <w:sz w:val="18"/>
                <w:szCs w:val="18"/>
                <w:lang w:val="en-US"/>
              </w:rPr>
            </w:pPr>
            <w:r w:rsidRPr="0021636F">
              <w:rPr>
                <w:rFonts w:ascii="Verdana" w:hAnsi="Verdana" w:cs="Arial"/>
                <w:color w:val="4F81BD" w:themeColor="accent1"/>
                <w:sz w:val="18"/>
                <w:szCs w:val="18"/>
                <w:lang w:val="en-US"/>
              </w:rPr>
              <w:t>In sediment:</w:t>
            </w:r>
          </w:p>
          <w:p w14:paraId="726783A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color w:val="4F81BD" w:themeColor="accent1"/>
                <w:sz w:val="18"/>
                <w:szCs w:val="18"/>
              </w:rPr>
              <w:t>31.4 d at 12°C</w:t>
            </w:r>
          </w:p>
        </w:tc>
      </w:tr>
      <w:tr w:rsidR="00692E71" w:rsidRPr="00275290" w14:paraId="1BAF369D" w14:textId="77777777" w:rsidTr="008E0250">
        <w:trPr>
          <w:trHeight w:val="964"/>
        </w:trPr>
        <w:tc>
          <w:tcPr>
            <w:tcW w:w="2376" w:type="dxa"/>
            <w:vAlign w:val="center"/>
          </w:tcPr>
          <w:p w14:paraId="446080A6"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Degradation in soil (DT</w:t>
            </w:r>
            <w:r w:rsidRPr="00275290">
              <w:rPr>
                <w:rFonts w:ascii="Verdana" w:hAnsi="Verdana" w:cs="Arial"/>
                <w:sz w:val="18"/>
                <w:szCs w:val="18"/>
                <w:vertAlign w:val="subscript"/>
              </w:rPr>
              <w:t>50</w:t>
            </w:r>
            <w:r w:rsidRPr="00275290">
              <w:rPr>
                <w:rFonts w:ascii="Verdana" w:hAnsi="Verdana" w:cs="Arial"/>
                <w:sz w:val="18"/>
                <w:szCs w:val="18"/>
              </w:rPr>
              <w:t>) [d]</w:t>
            </w:r>
          </w:p>
        </w:tc>
        <w:tc>
          <w:tcPr>
            <w:tcW w:w="1940" w:type="dxa"/>
            <w:vAlign w:val="center"/>
          </w:tcPr>
          <w:p w14:paraId="4534354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aerobic conditions:</w:t>
            </w:r>
          </w:p>
          <w:p w14:paraId="7EEC978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17.2</w:t>
            </w:r>
            <w:r w:rsidRPr="00275290">
              <w:rPr>
                <w:rFonts w:ascii="Verdana" w:hAnsi="Verdana" w:cs="Arial"/>
                <w:sz w:val="18"/>
                <w:szCs w:val="18"/>
              </w:rPr>
              <w:t xml:space="preserve"> at 12°C</w:t>
            </w:r>
          </w:p>
          <w:p w14:paraId="557DA20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(geometric mean)</w:t>
            </w:r>
          </w:p>
          <w:p w14:paraId="4FBDE924" w14:textId="77777777" w:rsidR="00692E71" w:rsidRPr="00275290" w:rsidRDefault="00692E71" w:rsidP="008E0250">
            <w:pPr>
              <w:pStyle w:val="Default"/>
              <w:jc w:val="center"/>
              <w:rPr>
                <w:rFonts w:ascii="Verdana" w:hAnsi="Verdana" w:cs="Arial"/>
                <w:sz w:val="18"/>
                <w:szCs w:val="18"/>
              </w:rPr>
            </w:pPr>
          </w:p>
          <w:p w14:paraId="43A5FAE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anaerobic conditions:</w:t>
            </w:r>
          </w:p>
          <w:p w14:paraId="5197F85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87.2 at 12°C</w:t>
            </w:r>
          </w:p>
        </w:tc>
        <w:tc>
          <w:tcPr>
            <w:tcW w:w="1967" w:type="dxa"/>
            <w:vAlign w:val="center"/>
          </w:tcPr>
          <w:p w14:paraId="4E1EFBD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129</w:t>
            </w:r>
            <w:r w:rsidRPr="00275290">
              <w:rPr>
                <w:rFonts w:ascii="Verdana" w:hAnsi="Verdana" w:cs="Arial"/>
                <w:sz w:val="18"/>
                <w:szCs w:val="18"/>
              </w:rPr>
              <w:t xml:space="preserve"> (dissipation) (maximal DT50 in field studies)</w:t>
            </w:r>
          </w:p>
          <w:p w14:paraId="15AF7571" w14:textId="77777777" w:rsidR="00692E71" w:rsidRPr="00275290" w:rsidRDefault="00692E71" w:rsidP="008E0250">
            <w:pPr>
              <w:pStyle w:val="Default"/>
              <w:jc w:val="center"/>
              <w:rPr>
                <w:rFonts w:ascii="Verdana" w:hAnsi="Verdana" w:cs="Arial"/>
                <w:sz w:val="18"/>
                <w:szCs w:val="18"/>
              </w:rPr>
            </w:pPr>
          </w:p>
          <w:p w14:paraId="073934D7" w14:textId="77777777" w:rsidR="00692E71" w:rsidRPr="00FE333D" w:rsidRDefault="00692E71" w:rsidP="008E0250">
            <w:pPr>
              <w:pStyle w:val="Default"/>
              <w:jc w:val="center"/>
              <w:rPr>
                <w:rFonts w:ascii="Verdana" w:hAnsi="Verdana" w:cs="Arial"/>
                <w:color w:val="4F81BD" w:themeColor="accent1"/>
                <w:sz w:val="18"/>
                <w:szCs w:val="18"/>
                <w:lang w:val="da-DK"/>
              </w:rPr>
            </w:pPr>
            <w:r w:rsidRPr="00FE333D">
              <w:rPr>
                <w:rFonts w:ascii="Verdana" w:hAnsi="Verdana" w:cs="Arial"/>
                <w:color w:val="4F81BD" w:themeColor="accent1"/>
                <w:sz w:val="18"/>
                <w:szCs w:val="18"/>
                <w:lang w:val="da-DK"/>
              </w:rPr>
              <w:t>1,2,4-triazole:</w:t>
            </w:r>
          </w:p>
          <w:p w14:paraId="38ACC5D7" w14:textId="77777777" w:rsidR="00692E71" w:rsidRPr="00FE333D" w:rsidRDefault="00692E71" w:rsidP="008E0250">
            <w:pPr>
              <w:pStyle w:val="Default"/>
              <w:jc w:val="center"/>
              <w:rPr>
                <w:rFonts w:ascii="Verdana" w:hAnsi="Verdana" w:cs="Arial"/>
                <w:color w:val="4F81BD" w:themeColor="accent1"/>
                <w:sz w:val="18"/>
                <w:szCs w:val="18"/>
                <w:lang w:val="da-DK"/>
              </w:rPr>
            </w:pPr>
            <w:r w:rsidRPr="00FE333D">
              <w:rPr>
                <w:rFonts w:ascii="Verdana" w:hAnsi="Verdana" w:cs="Arial"/>
                <w:color w:val="4F81BD" w:themeColor="accent1"/>
                <w:sz w:val="18"/>
                <w:szCs w:val="18"/>
                <w:lang w:val="da-DK"/>
              </w:rPr>
              <w:t>9.3 d at 20°C</w:t>
            </w:r>
          </w:p>
          <w:p w14:paraId="572EA99D" w14:textId="77777777" w:rsidR="00692E71" w:rsidRPr="00FE333D" w:rsidRDefault="00692E71" w:rsidP="008E0250">
            <w:pPr>
              <w:pStyle w:val="Default"/>
              <w:jc w:val="center"/>
              <w:rPr>
                <w:rFonts w:ascii="Verdana" w:hAnsi="Verdana" w:cs="Arial"/>
                <w:color w:val="4F81BD" w:themeColor="accent1"/>
                <w:sz w:val="18"/>
                <w:szCs w:val="18"/>
                <w:lang w:val="da-DK"/>
              </w:rPr>
            </w:pPr>
            <w:r w:rsidRPr="00FE333D">
              <w:rPr>
                <w:rFonts w:ascii="Verdana" w:hAnsi="Verdana" w:cs="Arial"/>
                <w:color w:val="4F81BD" w:themeColor="accent1"/>
                <w:sz w:val="18"/>
                <w:szCs w:val="18"/>
                <w:lang w:val="da-DK"/>
              </w:rPr>
              <w:t>CGA 118 245:</w:t>
            </w:r>
          </w:p>
          <w:p w14:paraId="342DC41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color w:val="4F81BD" w:themeColor="accent1"/>
                <w:sz w:val="18"/>
                <w:szCs w:val="18"/>
              </w:rPr>
              <w:t>1 d at 20°C</w:t>
            </w:r>
          </w:p>
        </w:tc>
        <w:tc>
          <w:tcPr>
            <w:tcW w:w="1694" w:type="dxa"/>
            <w:vAlign w:val="center"/>
          </w:tcPr>
          <w:p w14:paraId="5AC7F72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Laboratory study:</w:t>
            </w:r>
          </w:p>
          <w:p w14:paraId="44615C5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&gt; 365 at 20°C</w:t>
            </w:r>
          </w:p>
          <w:p w14:paraId="6621941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Field study:</w:t>
            </w:r>
          </w:p>
          <w:p w14:paraId="313BC9B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77</w:t>
            </w:r>
            <w:r w:rsidRPr="00275290">
              <w:rPr>
                <w:rFonts w:ascii="Verdana" w:hAnsi="Verdana" w:cs="Arial"/>
                <w:sz w:val="18"/>
                <w:szCs w:val="18"/>
              </w:rPr>
              <w:t xml:space="preserve"> at 12°C (dissipation)</w:t>
            </w:r>
          </w:p>
          <w:p w14:paraId="5DB65FA0" w14:textId="77777777" w:rsidR="00692E71" w:rsidRPr="00275290" w:rsidRDefault="00692E71" w:rsidP="008E0250">
            <w:pPr>
              <w:pStyle w:val="Default"/>
              <w:jc w:val="center"/>
              <w:rPr>
                <w:rFonts w:ascii="Verdana" w:hAnsi="Verdana" w:cs="Arial"/>
                <w:sz w:val="18"/>
                <w:szCs w:val="18"/>
              </w:rPr>
            </w:pPr>
          </w:p>
          <w:p w14:paraId="387F576A"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1,2,4-triazole:</w:t>
            </w:r>
          </w:p>
          <w:p w14:paraId="084952A1"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10 d (dissipation)</w:t>
            </w:r>
          </w:p>
        </w:tc>
        <w:tc>
          <w:tcPr>
            <w:tcW w:w="1962" w:type="dxa"/>
            <w:vAlign w:val="center"/>
          </w:tcPr>
          <w:p w14:paraId="7FF3AB2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aerobic conditions:</w:t>
            </w:r>
          </w:p>
          <w:p w14:paraId="41F9C7A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4.7 h</w:t>
            </w:r>
            <w:r w:rsidRPr="00275290">
              <w:rPr>
                <w:rFonts w:ascii="Verdana" w:hAnsi="Verdana" w:cs="Arial"/>
                <w:sz w:val="18"/>
                <w:szCs w:val="18"/>
              </w:rPr>
              <w:t xml:space="preserve"> (0.196 d) at 12°C</w:t>
            </w:r>
          </w:p>
          <w:p w14:paraId="266CBBB7" w14:textId="77777777" w:rsidR="00692E71" w:rsidRPr="00275290" w:rsidRDefault="00692E71" w:rsidP="008E0250">
            <w:pPr>
              <w:pStyle w:val="Default"/>
              <w:jc w:val="center"/>
              <w:rPr>
                <w:rFonts w:ascii="Verdana" w:hAnsi="Verdana" w:cs="Arial"/>
                <w:sz w:val="18"/>
                <w:szCs w:val="18"/>
              </w:rPr>
            </w:pPr>
          </w:p>
          <w:p w14:paraId="346A2CDB"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PBC:</w:t>
            </w:r>
          </w:p>
          <w:p w14:paraId="68478B13"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10 d at 12°C</w:t>
            </w:r>
          </w:p>
        </w:tc>
      </w:tr>
      <w:tr w:rsidR="00692E71" w:rsidRPr="00275290" w14:paraId="0BA3CBFF" w14:textId="77777777" w:rsidTr="008E0250">
        <w:trPr>
          <w:trHeight w:val="454"/>
        </w:trPr>
        <w:tc>
          <w:tcPr>
            <w:tcW w:w="2376" w:type="dxa"/>
            <w:vAlign w:val="center"/>
          </w:tcPr>
          <w:p w14:paraId="2BCEEF4A"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Soil photolysis (DT50) [d] </w:t>
            </w:r>
          </w:p>
        </w:tc>
        <w:tc>
          <w:tcPr>
            <w:tcW w:w="1940" w:type="dxa"/>
            <w:vAlign w:val="center"/>
          </w:tcPr>
          <w:p w14:paraId="3CBEC3F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29.6</w:t>
            </w:r>
          </w:p>
          <w:p w14:paraId="7D70017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(soil photolysis is considered as a minor route of degradation)</w:t>
            </w:r>
          </w:p>
        </w:tc>
        <w:tc>
          <w:tcPr>
            <w:tcW w:w="1967" w:type="dxa"/>
            <w:vAlign w:val="center"/>
          </w:tcPr>
          <w:p w14:paraId="4CF60BC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Stable</w:t>
            </w:r>
          </w:p>
        </w:tc>
        <w:tc>
          <w:tcPr>
            <w:tcW w:w="1694" w:type="dxa"/>
            <w:vAlign w:val="center"/>
          </w:tcPr>
          <w:p w14:paraId="162F86D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Stable</w:t>
            </w:r>
          </w:p>
        </w:tc>
        <w:tc>
          <w:tcPr>
            <w:tcW w:w="1962" w:type="dxa"/>
            <w:vAlign w:val="center"/>
          </w:tcPr>
          <w:p w14:paraId="38540DD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not required</w:t>
            </w:r>
          </w:p>
        </w:tc>
      </w:tr>
      <w:tr w:rsidR="00692E71" w:rsidRPr="00275290" w14:paraId="6692FC0A" w14:textId="77777777" w:rsidTr="008E0250">
        <w:trPr>
          <w:trHeight w:val="850"/>
        </w:trPr>
        <w:tc>
          <w:tcPr>
            <w:tcW w:w="2376" w:type="dxa"/>
            <w:vAlign w:val="center"/>
          </w:tcPr>
          <w:p w14:paraId="25D5B5C7"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lastRenderedPageBreak/>
              <w:t>Photo-oxidative degradation in air (DT</w:t>
            </w:r>
            <w:r w:rsidRPr="00275290">
              <w:rPr>
                <w:rFonts w:ascii="Verdana" w:hAnsi="Verdana" w:cs="Arial"/>
                <w:sz w:val="18"/>
                <w:szCs w:val="18"/>
                <w:vertAlign w:val="subscript"/>
              </w:rPr>
              <w:t>50</w:t>
            </w:r>
            <w:r w:rsidRPr="00275290">
              <w:rPr>
                <w:rFonts w:ascii="Verdana" w:hAnsi="Verdana" w:cs="Arial"/>
                <w:sz w:val="18"/>
                <w:szCs w:val="18"/>
              </w:rPr>
              <w:t>)</w:t>
            </w:r>
          </w:p>
        </w:tc>
        <w:tc>
          <w:tcPr>
            <w:tcW w:w="1940" w:type="dxa"/>
            <w:vAlign w:val="center"/>
          </w:tcPr>
          <w:p w14:paraId="12AB595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18 h</w:t>
            </w:r>
          </w:p>
        </w:tc>
        <w:tc>
          <w:tcPr>
            <w:tcW w:w="1967" w:type="dxa"/>
            <w:vAlign w:val="center"/>
          </w:tcPr>
          <w:p w14:paraId="528FA52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&lt; 2 days</w:t>
            </w:r>
          </w:p>
        </w:tc>
        <w:tc>
          <w:tcPr>
            <w:tcW w:w="1694" w:type="dxa"/>
            <w:vAlign w:val="center"/>
          </w:tcPr>
          <w:p w14:paraId="6BC0236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&gt; 2 days (3.8 days)</w:t>
            </w:r>
          </w:p>
        </w:tc>
        <w:tc>
          <w:tcPr>
            <w:tcW w:w="1962" w:type="dxa"/>
            <w:vAlign w:val="center"/>
          </w:tcPr>
          <w:p w14:paraId="451C37B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15 h</w:t>
            </w:r>
          </w:p>
        </w:tc>
      </w:tr>
      <w:tr w:rsidR="00692E71" w:rsidRPr="00275290" w14:paraId="0396092D" w14:textId="77777777" w:rsidTr="008E0250">
        <w:trPr>
          <w:trHeight w:val="907"/>
        </w:trPr>
        <w:tc>
          <w:tcPr>
            <w:tcW w:w="2376" w:type="dxa"/>
            <w:vAlign w:val="center"/>
          </w:tcPr>
          <w:p w14:paraId="2FDBF62F"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Adsorption / desorption Koc [L/kg] </w:t>
            </w:r>
          </w:p>
        </w:tc>
        <w:tc>
          <w:tcPr>
            <w:tcW w:w="1940" w:type="dxa"/>
            <w:vAlign w:val="center"/>
          </w:tcPr>
          <w:p w14:paraId="248027CB" w14:textId="77777777" w:rsidR="00692E71" w:rsidRPr="00275290" w:rsidRDefault="00692E71" w:rsidP="008E0250">
            <w:pPr>
              <w:pStyle w:val="Default"/>
              <w:jc w:val="center"/>
              <w:rPr>
                <w:rFonts w:ascii="Verdana" w:hAnsi="Verdana" w:cs="Arial"/>
                <w:i/>
                <w:sz w:val="18"/>
                <w:szCs w:val="18"/>
              </w:rPr>
            </w:pPr>
            <w:r w:rsidRPr="00275290">
              <w:rPr>
                <w:rFonts w:ascii="Verdana" w:hAnsi="Verdana" w:cs="Arial"/>
                <w:i/>
                <w:sz w:val="18"/>
                <w:szCs w:val="18"/>
              </w:rPr>
              <w:t>574 360</w:t>
            </w:r>
          </w:p>
        </w:tc>
        <w:tc>
          <w:tcPr>
            <w:tcW w:w="1967" w:type="dxa"/>
            <w:vAlign w:val="center"/>
          </w:tcPr>
          <w:p w14:paraId="63834B7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944</w:t>
            </w:r>
            <w:r w:rsidRPr="00275290">
              <w:rPr>
                <w:rFonts w:ascii="Verdana" w:hAnsi="Verdana" w:cs="Arial"/>
                <w:sz w:val="18"/>
                <w:szCs w:val="18"/>
              </w:rPr>
              <w:t xml:space="preserve"> (arithmetic mean value)</w:t>
            </w:r>
          </w:p>
          <w:p w14:paraId="3EF41C2E" w14:textId="77777777" w:rsidR="00692E71" w:rsidRPr="00275290" w:rsidRDefault="00692E71" w:rsidP="008E0250">
            <w:pPr>
              <w:pStyle w:val="Default"/>
              <w:jc w:val="center"/>
              <w:rPr>
                <w:rFonts w:ascii="Verdana" w:hAnsi="Verdana" w:cs="Arial"/>
                <w:sz w:val="18"/>
                <w:szCs w:val="18"/>
              </w:rPr>
            </w:pPr>
          </w:p>
          <w:p w14:paraId="35E9F0C5"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1,2,4-triazole:</w:t>
            </w:r>
          </w:p>
          <w:p w14:paraId="6AC68A28"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69 (arithmetic mean value)</w:t>
            </w:r>
          </w:p>
          <w:p w14:paraId="5DAF2381"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 xml:space="preserve">CGA 118 245: </w:t>
            </w:r>
          </w:p>
          <w:p w14:paraId="22F1F93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color w:val="4F81BD" w:themeColor="accent1"/>
                <w:sz w:val="18"/>
                <w:szCs w:val="18"/>
              </w:rPr>
              <w:t>29 (arithmetic mean value)</w:t>
            </w:r>
          </w:p>
        </w:tc>
        <w:tc>
          <w:tcPr>
            <w:tcW w:w="1694" w:type="dxa"/>
            <w:vAlign w:val="center"/>
          </w:tcPr>
          <w:p w14:paraId="37F15A7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992</w:t>
            </w:r>
            <w:r w:rsidRPr="00275290">
              <w:rPr>
                <w:rFonts w:ascii="Verdana" w:hAnsi="Verdana" w:cs="Arial"/>
                <w:sz w:val="18"/>
                <w:szCs w:val="18"/>
              </w:rPr>
              <w:t xml:space="preserve"> (arithmetic mean value)</w:t>
            </w:r>
          </w:p>
          <w:p w14:paraId="412756C6" w14:textId="77777777" w:rsidR="00692E71" w:rsidRPr="00275290" w:rsidRDefault="00692E71" w:rsidP="008E0250">
            <w:pPr>
              <w:pStyle w:val="Default"/>
              <w:jc w:val="center"/>
              <w:rPr>
                <w:rFonts w:ascii="Verdana" w:hAnsi="Verdana" w:cs="Arial"/>
                <w:sz w:val="18"/>
                <w:szCs w:val="18"/>
              </w:rPr>
            </w:pPr>
          </w:p>
          <w:p w14:paraId="1D38CCD6"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1,2,4-triazole:</w:t>
            </w:r>
          </w:p>
          <w:p w14:paraId="2716FE97"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89 (source: AR for PT10)</w:t>
            </w:r>
          </w:p>
        </w:tc>
        <w:tc>
          <w:tcPr>
            <w:tcW w:w="1962" w:type="dxa"/>
            <w:vAlign w:val="center"/>
          </w:tcPr>
          <w:p w14:paraId="3831C052" w14:textId="77777777" w:rsidR="00692E71" w:rsidRPr="00275290" w:rsidRDefault="00692E71" w:rsidP="008E0250">
            <w:pPr>
              <w:pStyle w:val="Default"/>
              <w:jc w:val="center"/>
              <w:rPr>
                <w:rFonts w:ascii="Verdana" w:hAnsi="Verdana" w:cs="Arial"/>
                <w:i/>
                <w:sz w:val="18"/>
                <w:szCs w:val="18"/>
              </w:rPr>
            </w:pPr>
            <w:r w:rsidRPr="00275290">
              <w:rPr>
                <w:rFonts w:ascii="Verdana" w:hAnsi="Verdana" w:cs="Arial"/>
                <w:i/>
                <w:sz w:val="18"/>
                <w:szCs w:val="18"/>
              </w:rPr>
              <w:t>126</w:t>
            </w:r>
          </w:p>
          <w:p w14:paraId="67ABDEFB" w14:textId="77777777" w:rsidR="00692E71" w:rsidRPr="00275290" w:rsidRDefault="00692E71" w:rsidP="008E0250">
            <w:pPr>
              <w:pStyle w:val="Default"/>
              <w:jc w:val="center"/>
              <w:rPr>
                <w:rFonts w:ascii="Verdana" w:hAnsi="Verdana" w:cs="Arial"/>
                <w:sz w:val="18"/>
                <w:szCs w:val="18"/>
              </w:rPr>
            </w:pPr>
          </w:p>
          <w:p w14:paraId="4796312E"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PBC:</w:t>
            </w:r>
          </w:p>
          <w:p w14:paraId="67E97E10"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198.1 (estimated)</w:t>
            </w:r>
          </w:p>
        </w:tc>
      </w:tr>
      <w:tr w:rsidR="00692E71" w:rsidRPr="00275290" w14:paraId="06A38CD1" w14:textId="77777777" w:rsidTr="008E0250">
        <w:trPr>
          <w:trHeight w:val="567"/>
        </w:trPr>
        <w:tc>
          <w:tcPr>
            <w:tcW w:w="2376" w:type="dxa"/>
            <w:vAlign w:val="center"/>
          </w:tcPr>
          <w:p w14:paraId="2DEAC343"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Absorption to sludge [%]</w:t>
            </w:r>
          </w:p>
        </w:tc>
        <w:tc>
          <w:tcPr>
            <w:tcW w:w="1940" w:type="dxa"/>
            <w:vAlign w:val="center"/>
          </w:tcPr>
          <w:p w14:paraId="2251B8D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w:t>
            </w:r>
          </w:p>
        </w:tc>
        <w:tc>
          <w:tcPr>
            <w:tcW w:w="1967" w:type="dxa"/>
            <w:vAlign w:val="center"/>
          </w:tcPr>
          <w:p w14:paraId="342D896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w:t>
            </w:r>
          </w:p>
        </w:tc>
        <w:tc>
          <w:tcPr>
            <w:tcW w:w="1694" w:type="dxa"/>
            <w:vAlign w:val="center"/>
          </w:tcPr>
          <w:p w14:paraId="51FCA761" w14:textId="77777777" w:rsidR="00692E71" w:rsidRPr="00275290" w:rsidRDefault="00692E71" w:rsidP="008E0250">
            <w:pPr>
              <w:pStyle w:val="Default"/>
              <w:jc w:val="center"/>
              <w:rPr>
                <w:rFonts w:ascii="Verdana" w:hAnsi="Verdana" w:cs="Arial"/>
                <w:i/>
                <w:sz w:val="18"/>
                <w:szCs w:val="18"/>
              </w:rPr>
            </w:pPr>
            <w:r w:rsidRPr="00275290">
              <w:rPr>
                <w:rFonts w:ascii="Verdana" w:hAnsi="Verdana" w:cs="Arial"/>
                <w:i/>
                <w:sz w:val="18"/>
                <w:szCs w:val="18"/>
              </w:rPr>
              <w:t>21</w:t>
            </w:r>
          </w:p>
        </w:tc>
        <w:tc>
          <w:tcPr>
            <w:tcW w:w="1962" w:type="dxa"/>
            <w:vAlign w:val="center"/>
          </w:tcPr>
          <w:p w14:paraId="64AE1D3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w:t>
            </w:r>
          </w:p>
        </w:tc>
      </w:tr>
      <w:tr w:rsidR="00692E71" w:rsidRPr="00275290" w14:paraId="1A9E827D" w14:textId="77777777" w:rsidTr="008E0250">
        <w:trPr>
          <w:trHeight w:val="567"/>
        </w:trPr>
        <w:tc>
          <w:tcPr>
            <w:tcW w:w="2376" w:type="dxa"/>
            <w:vAlign w:val="center"/>
          </w:tcPr>
          <w:p w14:paraId="4B5DEC7E"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BCF in fish </w:t>
            </w:r>
          </w:p>
        </w:tc>
        <w:tc>
          <w:tcPr>
            <w:tcW w:w="1940" w:type="dxa"/>
            <w:vAlign w:val="center"/>
          </w:tcPr>
          <w:p w14:paraId="6D466AF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417</w:t>
            </w:r>
          </w:p>
          <w:p w14:paraId="4181C990" w14:textId="77777777" w:rsidR="00692E71" w:rsidRPr="00275290" w:rsidRDefault="00692E71" w:rsidP="008E0250">
            <w:pPr>
              <w:pStyle w:val="Default"/>
              <w:jc w:val="center"/>
              <w:rPr>
                <w:rFonts w:ascii="Verdana" w:hAnsi="Verdana" w:cs="Arial"/>
                <w:sz w:val="18"/>
                <w:szCs w:val="18"/>
              </w:rPr>
            </w:pPr>
          </w:p>
          <w:p w14:paraId="2B1E78B3"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TDCVC: 37.25 (calculated)</w:t>
            </w:r>
          </w:p>
          <w:p w14:paraId="4B092745"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CDCVC:</w:t>
            </w:r>
          </w:p>
          <w:p w14:paraId="39345D6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color w:val="4F81BD" w:themeColor="accent1"/>
                <w:sz w:val="18"/>
                <w:szCs w:val="18"/>
              </w:rPr>
              <w:t>37.25 (calculated)</w:t>
            </w:r>
          </w:p>
        </w:tc>
        <w:tc>
          <w:tcPr>
            <w:tcW w:w="1967" w:type="dxa"/>
            <w:vAlign w:val="center"/>
          </w:tcPr>
          <w:p w14:paraId="28F0225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180</w:t>
            </w:r>
          </w:p>
        </w:tc>
        <w:tc>
          <w:tcPr>
            <w:tcW w:w="1694" w:type="dxa"/>
            <w:vAlign w:val="center"/>
          </w:tcPr>
          <w:p w14:paraId="1F6343D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78</w:t>
            </w:r>
          </w:p>
        </w:tc>
        <w:tc>
          <w:tcPr>
            <w:tcW w:w="1962" w:type="dxa"/>
            <w:vAlign w:val="center"/>
          </w:tcPr>
          <w:p w14:paraId="3E2E8B3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not relevant</w:t>
            </w:r>
          </w:p>
        </w:tc>
      </w:tr>
      <w:tr w:rsidR="00692E71" w:rsidRPr="00275290" w14:paraId="001D291F" w14:textId="77777777" w:rsidTr="008E0250">
        <w:trPr>
          <w:trHeight w:val="567"/>
        </w:trPr>
        <w:tc>
          <w:tcPr>
            <w:tcW w:w="2376" w:type="dxa"/>
            <w:vAlign w:val="center"/>
          </w:tcPr>
          <w:p w14:paraId="4E00A4EA"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Depuration rate constant (fish) [d-1] </w:t>
            </w:r>
          </w:p>
        </w:tc>
        <w:tc>
          <w:tcPr>
            <w:tcW w:w="1940" w:type="dxa"/>
            <w:vAlign w:val="center"/>
          </w:tcPr>
          <w:p w14:paraId="09C384F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1.58*10</w:t>
            </w:r>
            <w:r w:rsidRPr="00275290">
              <w:rPr>
                <w:rFonts w:ascii="Verdana" w:hAnsi="Verdana" w:cs="Arial"/>
                <w:sz w:val="18"/>
                <w:szCs w:val="18"/>
                <w:vertAlign w:val="superscript"/>
              </w:rPr>
              <w:t>-3</w:t>
            </w:r>
            <w:r w:rsidRPr="00275290">
              <w:rPr>
                <w:rFonts w:ascii="Verdana" w:hAnsi="Verdana" w:cs="Arial"/>
                <w:sz w:val="18"/>
                <w:szCs w:val="18"/>
              </w:rPr>
              <w:t xml:space="preserve"> L/h</w:t>
            </w:r>
          </w:p>
        </w:tc>
        <w:tc>
          <w:tcPr>
            <w:tcW w:w="1967" w:type="dxa"/>
            <w:vAlign w:val="center"/>
          </w:tcPr>
          <w:p w14:paraId="2CD1D1E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0.48</w:t>
            </w:r>
          </w:p>
        </w:tc>
        <w:tc>
          <w:tcPr>
            <w:tcW w:w="1694" w:type="dxa"/>
            <w:vAlign w:val="center"/>
          </w:tcPr>
          <w:p w14:paraId="086E454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0.44</w:t>
            </w:r>
          </w:p>
        </w:tc>
        <w:tc>
          <w:tcPr>
            <w:tcW w:w="1962" w:type="dxa"/>
            <w:vAlign w:val="center"/>
          </w:tcPr>
          <w:p w14:paraId="0964EE7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not relevant</w:t>
            </w:r>
          </w:p>
        </w:tc>
      </w:tr>
      <w:tr w:rsidR="00692E71" w:rsidRPr="00275290" w14:paraId="6A0D467A" w14:textId="77777777" w:rsidTr="008E0250">
        <w:trPr>
          <w:trHeight w:val="567"/>
        </w:trPr>
        <w:tc>
          <w:tcPr>
            <w:tcW w:w="2376" w:type="dxa"/>
            <w:vAlign w:val="center"/>
          </w:tcPr>
          <w:p w14:paraId="79BF2E39"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BCF in earthworms </w:t>
            </w:r>
          </w:p>
        </w:tc>
        <w:tc>
          <w:tcPr>
            <w:tcW w:w="1940" w:type="dxa"/>
            <w:vAlign w:val="center"/>
          </w:tcPr>
          <w:p w14:paraId="365D481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w:t>
            </w:r>
          </w:p>
        </w:tc>
        <w:tc>
          <w:tcPr>
            <w:tcW w:w="1967" w:type="dxa"/>
            <w:vAlign w:val="center"/>
          </w:tcPr>
          <w:p w14:paraId="33A3FE5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64 (calculated with TGD, formula 82d)</w:t>
            </w:r>
          </w:p>
        </w:tc>
        <w:tc>
          <w:tcPr>
            <w:tcW w:w="1694" w:type="dxa"/>
            <w:vAlign w:val="center"/>
          </w:tcPr>
          <w:p w14:paraId="3562055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28 (estimated)</w:t>
            </w:r>
          </w:p>
        </w:tc>
        <w:tc>
          <w:tcPr>
            <w:tcW w:w="1962" w:type="dxa"/>
            <w:vAlign w:val="center"/>
          </w:tcPr>
          <w:p w14:paraId="0C74708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not relevant</w:t>
            </w:r>
          </w:p>
        </w:tc>
      </w:tr>
    </w:tbl>
    <w:p w14:paraId="1A559DF3" w14:textId="77777777" w:rsidR="00692E71" w:rsidRPr="00275290" w:rsidRDefault="00692E71" w:rsidP="00692E71">
      <w:pPr>
        <w:rPr>
          <w:rFonts w:cs="Arial"/>
          <w:lang w:eastAsia="en-US"/>
        </w:rPr>
      </w:pPr>
    </w:p>
    <w:p w14:paraId="61992EC5" w14:textId="77777777" w:rsidR="00692E71" w:rsidRPr="00275290" w:rsidRDefault="00692E71" w:rsidP="00692E71">
      <w:pPr>
        <w:rPr>
          <w:rFonts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769"/>
      </w:tblGrid>
      <w:tr w:rsidR="00692E71" w:rsidRPr="00275290" w14:paraId="3F035AEA" w14:textId="77777777" w:rsidTr="008E0250">
        <w:tc>
          <w:tcPr>
            <w:tcW w:w="5000" w:type="pct"/>
            <w:shd w:val="clear" w:color="auto" w:fill="D6E3BC"/>
          </w:tcPr>
          <w:p w14:paraId="4CA41DF2" w14:textId="77777777" w:rsidR="00692E71" w:rsidRPr="00275290" w:rsidRDefault="00692E71" w:rsidP="008E0250">
            <w:pPr>
              <w:pStyle w:val="Lgende"/>
              <w:rPr>
                <w:rFonts w:ascii="Verdana" w:hAnsi="Verdana"/>
              </w:rPr>
            </w:pPr>
            <w:bookmarkStart w:id="116" w:name="_Ref466556694"/>
            <w:r w:rsidRPr="00275290">
              <w:rPr>
                <w:rFonts w:ascii="Verdana" w:hAnsi="Verdana"/>
              </w:rPr>
              <w:t xml:space="preserve">FR-CA box </w:t>
            </w:r>
            <w:r w:rsidRPr="00275290">
              <w:rPr>
                <w:rFonts w:ascii="Verdana" w:hAnsi="Verdana"/>
              </w:rPr>
              <w:fldChar w:fldCharType="begin"/>
            </w:r>
            <w:r w:rsidRPr="00275290">
              <w:rPr>
                <w:rFonts w:ascii="Verdana" w:hAnsi="Verdana"/>
              </w:rPr>
              <w:instrText xml:space="preserve"> SEQ FR-CA_box_ \* ARABIC </w:instrText>
            </w:r>
            <w:r w:rsidRPr="00275290">
              <w:rPr>
                <w:rFonts w:ascii="Verdana" w:hAnsi="Verdana"/>
              </w:rPr>
              <w:fldChar w:fldCharType="separate"/>
            </w:r>
            <w:r w:rsidR="00666966">
              <w:rPr>
                <w:rFonts w:ascii="Verdana" w:hAnsi="Verdana"/>
                <w:noProof/>
              </w:rPr>
              <w:t>2</w:t>
            </w:r>
            <w:r w:rsidRPr="00275290">
              <w:rPr>
                <w:rFonts w:ascii="Verdana" w:hAnsi="Verdana"/>
                <w:noProof/>
              </w:rPr>
              <w:fldChar w:fldCharType="end"/>
            </w:r>
            <w:bookmarkEnd w:id="116"/>
          </w:p>
          <w:p w14:paraId="4F1DB9B6" w14:textId="77777777" w:rsidR="00692E71" w:rsidRPr="00275290" w:rsidRDefault="00692E71" w:rsidP="00C07724">
            <w:pPr>
              <w:pStyle w:val="Lgende"/>
              <w:ind w:left="29" w:firstLine="0"/>
              <w:rPr>
                <w:rFonts w:ascii="Verdana" w:hAnsi="Verdana"/>
              </w:rPr>
            </w:pPr>
            <w:r w:rsidRPr="00275290">
              <w:rPr>
                <w:rFonts w:ascii="Verdana" w:hAnsi="Verdana"/>
              </w:rPr>
              <w:t>Summary of the physico-chemical, environmental fate and behaviour parameters for each active substance and their relevant metabolites used by FR-CA for the product-environmental risk assessment according to the list of endpoints validated at EU level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09"/>
              <w:gridCol w:w="1135"/>
              <w:gridCol w:w="1137"/>
              <w:gridCol w:w="1137"/>
              <w:gridCol w:w="1137"/>
              <w:gridCol w:w="1137"/>
              <w:gridCol w:w="1062"/>
            </w:tblGrid>
            <w:tr w:rsidR="00692E71" w:rsidRPr="00275290" w14:paraId="7C61A79F" w14:textId="77777777" w:rsidTr="008E0250">
              <w:tc>
                <w:tcPr>
                  <w:tcW w:w="1028" w:type="pct"/>
                  <w:shd w:val="clear" w:color="auto" w:fill="auto"/>
                  <w:vAlign w:val="center"/>
                </w:tcPr>
                <w:p w14:paraId="426A4B11"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Parameter / Variable</w:t>
                  </w:r>
                </w:p>
              </w:tc>
              <w:tc>
                <w:tcPr>
                  <w:tcW w:w="472" w:type="pct"/>
                  <w:shd w:val="clear" w:color="auto" w:fill="auto"/>
                  <w:vAlign w:val="center"/>
                </w:tcPr>
                <w:p w14:paraId="02CE9DC0"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Unit</w:t>
                  </w:r>
                </w:p>
              </w:tc>
              <w:tc>
                <w:tcPr>
                  <w:tcW w:w="589" w:type="pct"/>
                  <w:shd w:val="clear" w:color="auto" w:fill="auto"/>
                  <w:vAlign w:val="center"/>
                </w:tcPr>
                <w:p w14:paraId="4B8688AB"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Cyper-</w:t>
                  </w:r>
                </w:p>
                <w:p w14:paraId="0335F1A0"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methrin</w:t>
                  </w:r>
                </w:p>
              </w:tc>
              <w:tc>
                <w:tcPr>
                  <w:tcW w:w="590" w:type="pct"/>
                  <w:shd w:val="clear" w:color="auto" w:fill="auto"/>
                  <w:vAlign w:val="center"/>
                </w:tcPr>
                <w:p w14:paraId="47834803"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Tebuco-</w:t>
                  </w:r>
                </w:p>
                <w:p w14:paraId="126E8079"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nazole</w:t>
                  </w:r>
                </w:p>
              </w:tc>
              <w:tc>
                <w:tcPr>
                  <w:tcW w:w="590" w:type="pct"/>
                  <w:shd w:val="clear" w:color="auto" w:fill="auto"/>
                  <w:vAlign w:val="center"/>
                </w:tcPr>
                <w:p w14:paraId="34436338"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Propico-</w:t>
                  </w:r>
                </w:p>
                <w:p w14:paraId="18423D34"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nazole</w:t>
                  </w:r>
                </w:p>
              </w:tc>
              <w:tc>
                <w:tcPr>
                  <w:tcW w:w="590" w:type="pct"/>
                  <w:shd w:val="clear" w:color="auto" w:fill="auto"/>
                  <w:vAlign w:val="center"/>
                </w:tcPr>
                <w:p w14:paraId="4032AFE9"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1,2,4-triazole</w:t>
                  </w:r>
                  <w:r w:rsidRPr="00275290">
                    <w:rPr>
                      <w:rFonts w:cs="Arial"/>
                      <w:b/>
                      <w:sz w:val="18"/>
                      <w:szCs w:val="18"/>
                      <w:vertAlign w:val="superscript"/>
                    </w:rPr>
                    <w:t>(</w:t>
                  </w:r>
                  <w:r w:rsidRPr="00275290">
                    <w:rPr>
                      <w:rFonts w:cs="Arial"/>
                      <w:b/>
                      <w:sz w:val="18"/>
                      <w:szCs w:val="18"/>
                    </w:rPr>
                    <w:t>*</w:t>
                  </w:r>
                  <w:r w:rsidRPr="00275290">
                    <w:rPr>
                      <w:rFonts w:cs="Arial"/>
                      <w:b/>
                      <w:sz w:val="18"/>
                      <w:szCs w:val="18"/>
                      <w:vertAlign w:val="superscript"/>
                    </w:rPr>
                    <w:t>)</w:t>
                  </w:r>
                </w:p>
              </w:tc>
              <w:tc>
                <w:tcPr>
                  <w:tcW w:w="590" w:type="pct"/>
                  <w:vAlign w:val="center"/>
                </w:tcPr>
                <w:p w14:paraId="73934413"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IPBC</w:t>
                  </w:r>
                </w:p>
              </w:tc>
              <w:tc>
                <w:tcPr>
                  <w:tcW w:w="551" w:type="pct"/>
                  <w:vAlign w:val="center"/>
                </w:tcPr>
                <w:p w14:paraId="73A78336"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PBC(***)</w:t>
                  </w:r>
                </w:p>
              </w:tc>
            </w:tr>
            <w:tr w:rsidR="00692E71" w:rsidRPr="00275290" w14:paraId="3D235D4D" w14:textId="77777777" w:rsidTr="008E0250">
              <w:tc>
                <w:tcPr>
                  <w:tcW w:w="1028" w:type="pct"/>
                  <w:shd w:val="clear" w:color="auto" w:fill="auto"/>
                  <w:vAlign w:val="center"/>
                </w:tcPr>
                <w:p w14:paraId="49688C73" w14:textId="77777777" w:rsidR="00692E71" w:rsidRPr="00275290" w:rsidRDefault="00692E71" w:rsidP="008E0250">
                  <w:pPr>
                    <w:autoSpaceDE w:val="0"/>
                    <w:autoSpaceDN w:val="0"/>
                    <w:rPr>
                      <w:rFonts w:cs="Arial"/>
                      <w:sz w:val="18"/>
                      <w:szCs w:val="18"/>
                    </w:rPr>
                  </w:pPr>
                  <w:r w:rsidRPr="00275290">
                    <w:rPr>
                      <w:rFonts w:cs="Arial"/>
                      <w:sz w:val="18"/>
                      <w:szCs w:val="18"/>
                    </w:rPr>
                    <w:t>Molar mass</w:t>
                  </w:r>
                </w:p>
              </w:tc>
              <w:tc>
                <w:tcPr>
                  <w:tcW w:w="472" w:type="pct"/>
                  <w:shd w:val="clear" w:color="auto" w:fill="auto"/>
                  <w:vAlign w:val="center"/>
                </w:tcPr>
                <w:p w14:paraId="4AE10433" w14:textId="77777777" w:rsidR="00692E71" w:rsidRPr="00275290" w:rsidRDefault="00692E71" w:rsidP="008E0250">
                  <w:pPr>
                    <w:autoSpaceDE w:val="0"/>
                    <w:autoSpaceDN w:val="0"/>
                    <w:jc w:val="center"/>
                    <w:rPr>
                      <w:rFonts w:cs="Arial"/>
                      <w:sz w:val="18"/>
                      <w:szCs w:val="18"/>
                    </w:rPr>
                  </w:pPr>
                  <w:r w:rsidRPr="00275290">
                    <w:rPr>
                      <w:rFonts w:cs="Arial"/>
                      <w:sz w:val="18"/>
                      <w:szCs w:val="18"/>
                    </w:rPr>
                    <w:t>[g.mol</w:t>
                  </w:r>
                  <w:r w:rsidRPr="00275290">
                    <w:rPr>
                      <w:rFonts w:cs="Arial"/>
                      <w:sz w:val="18"/>
                      <w:szCs w:val="18"/>
                      <w:vertAlign w:val="superscript"/>
                    </w:rPr>
                    <w:t>-1</w:t>
                  </w:r>
                  <w:r w:rsidRPr="00275290">
                    <w:rPr>
                      <w:rFonts w:cs="Arial"/>
                      <w:sz w:val="18"/>
                      <w:szCs w:val="18"/>
                    </w:rPr>
                    <w:t>]</w:t>
                  </w:r>
                </w:p>
              </w:tc>
              <w:tc>
                <w:tcPr>
                  <w:tcW w:w="589" w:type="pct"/>
                  <w:shd w:val="clear" w:color="auto" w:fill="auto"/>
                  <w:vAlign w:val="center"/>
                </w:tcPr>
                <w:p w14:paraId="356AEC00" w14:textId="77777777" w:rsidR="00692E71" w:rsidRPr="00275290" w:rsidRDefault="00692E71" w:rsidP="008E0250">
                  <w:pPr>
                    <w:autoSpaceDE w:val="0"/>
                    <w:autoSpaceDN w:val="0"/>
                    <w:jc w:val="center"/>
                    <w:rPr>
                      <w:rFonts w:cs="Arial"/>
                      <w:sz w:val="18"/>
                      <w:szCs w:val="18"/>
                    </w:rPr>
                  </w:pPr>
                  <w:r w:rsidRPr="00275290">
                    <w:rPr>
                      <w:rFonts w:cs="Arial"/>
                      <w:sz w:val="18"/>
                      <w:szCs w:val="18"/>
                    </w:rPr>
                    <w:t>416.3</w:t>
                  </w:r>
                </w:p>
              </w:tc>
              <w:tc>
                <w:tcPr>
                  <w:tcW w:w="590" w:type="pct"/>
                  <w:shd w:val="clear" w:color="auto" w:fill="auto"/>
                  <w:vAlign w:val="center"/>
                </w:tcPr>
                <w:p w14:paraId="61EC7CD0" w14:textId="77777777" w:rsidR="00692E71" w:rsidRPr="00275290" w:rsidRDefault="00692E71" w:rsidP="008E0250">
                  <w:pPr>
                    <w:autoSpaceDE w:val="0"/>
                    <w:autoSpaceDN w:val="0"/>
                    <w:jc w:val="center"/>
                    <w:rPr>
                      <w:rFonts w:cs="Arial"/>
                      <w:sz w:val="18"/>
                      <w:szCs w:val="18"/>
                    </w:rPr>
                  </w:pPr>
                  <w:r w:rsidRPr="00275290">
                    <w:rPr>
                      <w:rFonts w:cs="Arial"/>
                      <w:sz w:val="18"/>
                      <w:szCs w:val="18"/>
                    </w:rPr>
                    <w:t>307.8</w:t>
                  </w:r>
                </w:p>
              </w:tc>
              <w:tc>
                <w:tcPr>
                  <w:tcW w:w="590" w:type="pct"/>
                  <w:shd w:val="clear" w:color="auto" w:fill="auto"/>
                  <w:vAlign w:val="center"/>
                </w:tcPr>
                <w:p w14:paraId="487D15F9" w14:textId="77777777" w:rsidR="00692E71" w:rsidRPr="00275290" w:rsidRDefault="00692E71" w:rsidP="008E0250">
                  <w:pPr>
                    <w:autoSpaceDE w:val="0"/>
                    <w:autoSpaceDN w:val="0"/>
                    <w:jc w:val="center"/>
                    <w:rPr>
                      <w:rFonts w:cs="Arial"/>
                      <w:sz w:val="18"/>
                      <w:szCs w:val="18"/>
                    </w:rPr>
                  </w:pPr>
                  <w:r w:rsidRPr="00275290">
                    <w:rPr>
                      <w:rFonts w:cs="Arial"/>
                      <w:sz w:val="18"/>
                      <w:szCs w:val="18"/>
                    </w:rPr>
                    <w:t>342.2</w:t>
                  </w:r>
                </w:p>
              </w:tc>
              <w:tc>
                <w:tcPr>
                  <w:tcW w:w="590" w:type="pct"/>
                  <w:shd w:val="clear" w:color="auto" w:fill="auto"/>
                  <w:vAlign w:val="center"/>
                </w:tcPr>
                <w:p w14:paraId="01C0C634" w14:textId="77777777" w:rsidR="00692E71" w:rsidRPr="00275290" w:rsidRDefault="00692E71" w:rsidP="008E0250">
                  <w:pPr>
                    <w:autoSpaceDE w:val="0"/>
                    <w:autoSpaceDN w:val="0"/>
                    <w:jc w:val="center"/>
                    <w:rPr>
                      <w:rFonts w:cs="Arial"/>
                      <w:sz w:val="18"/>
                      <w:szCs w:val="18"/>
                    </w:rPr>
                  </w:pPr>
                  <w:r w:rsidRPr="00275290">
                    <w:rPr>
                      <w:rFonts w:cs="Arial"/>
                      <w:sz w:val="18"/>
                      <w:szCs w:val="18"/>
                    </w:rPr>
                    <w:t>69.1</w:t>
                  </w:r>
                </w:p>
              </w:tc>
              <w:tc>
                <w:tcPr>
                  <w:tcW w:w="590" w:type="pct"/>
                  <w:vAlign w:val="center"/>
                </w:tcPr>
                <w:p w14:paraId="5B807D13" w14:textId="77777777" w:rsidR="00692E71" w:rsidRPr="00275290" w:rsidRDefault="00692E71" w:rsidP="008E0250">
                  <w:pPr>
                    <w:autoSpaceDE w:val="0"/>
                    <w:autoSpaceDN w:val="0"/>
                    <w:jc w:val="center"/>
                    <w:rPr>
                      <w:rFonts w:cs="Arial"/>
                      <w:sz w:val="18"/>
                      <w:szCs w:val="18"/>
                    </w:rPr>
                  </w:pPr>
                  <w:r w:rsidRPr="00275290">
                    <w:rPr>
                      <w:rFonts w:cs="Arial"/>
                      <w:sz w:val="18"/>
                      <w:szCs w:val="18"/>
                    </w:rPr>
                    <w:t>281.1</w:t>
                  </w:r>
                </w:p>
              </w:tc>
              <w:tc>
                <w:tcPr>
                  <w:tcW w:w="551" w:type="pct"/>
                  <w:vAlign w:val="center"/>
                </w:tcPr>
                <w:p w14:paraId="6B4B26FB" w14:textId="77777777" w:rsidR="00692E71" w:rsidRPr="00275290" w:rsidRDefault="00692E71" w:rsidP="008E0250">
                  <w:pPr>
                    <w:autoSpaceDE w:val="0"/>
                    <w:autoSpaceDN w:val="0"/>
                    <w:jc w:val="center"/>
                    <w:rPr>
                      <w:rFonts w:cs="Arial"/>
                      <w:sz w:val="18"/>
                      <w:szCs w:val="18"/>
                    </w:rPr>
                  </w:pPr>
                  <w:r w:rsidRPr="00275290">
                    <w:rPr>
                      <w:rFonts w:cs="Arial"/>
                      <w:sz w:val="18"/>
                      <w:szCs w:val="18"/>
                    </w:rPr>
                    <w:t>155.2</w:t>
                  </w:r>
                </w:p>
              </w:tc>
            </w:tr>
            <w:tr w:rsidR="00692E71" w:rsidRPr="00275290" w14:paraId="622FFC16" w14:textId="77777777" w:rsidTr="008E0250">
              <w:tc>
                <w:tcPr>
                  <w:tcW w:w="1028" w:type="pct"/>
                  <w:shd w:val="clear" w:color="auto" w:fill="auto"/>
                  <w:vAlign w:val="center"/>
                </w:tcPr>
                <w:p w14:paraId="10BF1F07" w14:textId="77777777" w:rsidR="00692E71" w:rsidRPr="00275290" w:rsidRDefault="00692E71" w:rsidP="008E0250">
                  <w:pPr>
                    <w:autoSpaceDE w:val="0"/>
                    <w:autoSpaceDN w:val="0"/>
                    <w:rPr>
                      <w:rFonts w:cs="Arial"/>
                      <w:sz w:val="18"/>
                      <w:szCs w:val="18"/>
                    </w:rPr>
                  </w:pPr>
                  <w:r w:rsidRPr="00275290">
                    <w:rPr>
                      <w:rFonts w:cs="Arial"/>
                      <w:sz w:val="18"/>
                      <w:szCs w:val="18"/>
                    </w:rPr>
                    <w:t>Vapour pressure</w:t>
                  </w:r>
                </w:p>
              </w:tc>
              <w:tc>
                <w:tcPr>
                  <w:tcW w:w="472" w:type="pct"/>
                  <w:shd w:val="clear" w:color="auto" w:fill="auto"/>
                  <w:vAlign w:val="center"/>
                </w:tcPr>
                <w:p w14:paraId="0F161109" w14:textId="77777777" w:rsidR="00692E71" w:rsidRPr="00275290" w:rsidRDefault="00692E71" w:rsidP="008E0250">
                  <w:pPr>
                    <w:autoSpaceDE w:val="0"/>
                    <w:autoSpaceDN w:val="0"/>
                    <w:jc w:val="center"/>
                    <w:rPr>
                      <w:rFonts w:cs="Arial"/>
                      <w:sz w:val="18"/>
                      <w:szCs w:val="18"/>
                    </w:rPr>
                  </w:pPr>
                  <w:r w:rsidRPr="00275290">
                    <w:rPr>
                      <w:rFonts w:cs="Arial"/>
                      <w:sz w:val="18"/>
                      <w:szCs w:val="18"/>
                    </w:rPr>
                    <w:t>[Pa]</w:t>
                  </w:r>
                </w:p>
              </w:tc>
              <w:tc>
                <w:tcPr>
                  <w:tcW w:w="589" w:type="pct"/>
                  <w:shd w:val="clear" w:color="auto" w:fill="auto"/>
                  <w:vAlign w:val="center"/>
                </w:tcPr>
                <w:p w14:paraId="5C98304E" w14:textId="77777777" w:rsidR="00692E71" w:rsidRPr="00275290" w:rsidRDefault="00692E71" w:rsidP="008E0250">
                  <w:pPr>
                    <w:autoSpaceDE w:val="0"/>
                    <w:autoSpaceDN w:val="0"/>
                    <w:jc w:val="center"/>
                    <w:rPr>
                      <w:rFonts w:cs="Arial"/>
                      <w:sz w:val="18"/>
                      <w:szCs w:val="18"/>
                    </w:rPr>
                  </w:pPr>
                  <w:r w:rsidRPr="00275290">
                    <w:rPr>
                      <w:rFonts w:cs="Arial"/>
                      <w:sz w:val="18"/>
                      <w:szCs w:val="18"/>
                    </w:rPr>
                    <w:t>6.00E-07</w:t>
                  </w:r>
                </w:p>
              </w:tc>
              <w:tc>
                <w:tcPr>
                  <w:tcW w:w="590" w:type="pct"/>
                  <w:shd w:val="clear" w:color="auto" w:fill="auto"/>
                  <w:vAlign w:val="center"/>
                </w:tcPr>
                <w:p w14:paraId="5581F65A" w14:textId="77777777" w:rsidR="00692E71" w:rsidRPr="00275290" w:rsidRDefault="00692E71" w:rsidP="008E0250">
                  <w:pPr>
                    <w:autoSpaceDE w:val="0"/>
                    <w:autoSpaceDN w:val="0"/>
                    <w:jc w:val="center"/>
                    <w:rPr>
                      <w:rFonts w:cs="Arial"/>
                      <w:sz w:val="18"/>
                      <w:szCs w:val="18"/>
                    </w:rPr>
                  </w:pPr>
                  <w:r w:rsidRPr="00275290">
                    <w:rPr>
                      <w:rFonts w:cs="Arial"/>
                      <w:sz w:val="18"/>
                      <w:szCs w:val="18"/>
                    </w:rPr>
                    <w:t>1.70E-06</w:t>
                  </w:r>
                </w:p>
              </w:tc>
              <w:tc>
                <w:tcPr>
                  <w:tcW w:w="590" w:type="pct"/>
                  <w:shd w:val="clear" w:color="auto" w:fill="auto"/>
                  <w:vAlign w:val="center"/>
                </w:tcPr>
                <w:p w14:paraId="75D4C89D" w14:textId="77777777" w:rsidR="00692E71" w:rsidRPr="00275290" w:rsidRDefault="00692E71" w:rsidP="008E0250">
                  <w:pPr>
                    <w:autoSpaceDE w:val="0"/>
                    <w:autoSpaceDN w:val="0"/>
                    <w:jc w:val="center"/>
                    <w:rPr>
                      <w:rFonts w:cs="Arial"/>
                      <w:sz w:val="18"/>
                      <w:szCs w:val="18"/>
                    </w:rPr>
                  </w:pPr>
                  <w:r w:rsidRPr="00275290">
                    <w:rPr>
                      <w:rFonts w:cs="Arial"/>
                      <w:sz w:val="18"/>
                      <w:szCs w:val="18"/>
                    </w:rPr>
                    <w:t>5.60E-05</w:t>
                  </w:r>
                </w:p>
              </w:tc>
              <w:tc>
                <w:tcPr>
                  <w:tcW w:w="590" w:type="pct"/>
                  <w:shd w:val="clear" w:color="auto" w:fill="auto"/>
                  <w:vAlign w:val="center"/>
                </w:tcPr>
                <w:p w14:paraId="7F211AC7" w14:textId="77777777" w:rsidR="00692E71" w:rsidRPr="00275290" w:rsidRDefault="00692E71" w:rsidP="008E0250">
                  <w:pPr>
                    <w:autoSpaceDE w:val="0"/>
                    <w:autoSpaceDN w:val="0"/>
                    <w:jc w:val="center"/>
                    <w:rPr>
                      <w:rFonts w:cs="Arial"/>
                      <w:sz w:val="18"/>
                      <w:szCs w:val="18"/>
                    </w:rPr>
                  </w:pPr>
                  <w:r w:rsidRPr="00275290">
                    <w:rPr>
                      <w:rFonts w:cs="Arial"/>
                      <w:sz w:val="18"/>
                      <w:szCs w:val="18"/>
                    </w:rPr>
                    <w:t>0.220</w:t>
                  </w:r>
                </w:p>
              </w:tc>
              <w:tc>
                <w:tcPr>
                  <w:tcW w:w="590" w:type="pct"/>
                  <w:vAlign w:val="center"/>
                </w:tcPr>
                <w:p w14:paraId="340D4C4A" w14:textId="77777777" w:rsidR="00692E71" w:rsidRPr="00275290" w:rsidRDefault="00692E71" w:rsidP="008E0250">
                  <w:pPr>
                    <w:autoSpaceDE w:val="0"/>
                    <w:autoSpaceDN w:val="0"/>
                    <w:jc w:val="center"/>
                    <w:rPr>
                      <w:rFonts w:cs="Arial"/>
                      <w:sz w:val="18"/>
                      <w:szCs w:val="18"/>
                    </w:rPr>
                  </w:pPr>
                  <w:r w:rsidRPr="00275290">
                    <w:rPr>
                      <w:rFonts w:cs="Arial"/>
                      <w:sz w:val="18"/>
                      <w:szCs w:val="18"/>
                    </w:rPr>
                    <w:t>2.36E-03</w:t>
                  </w:r>
                </w:p>
              </w:tc>
              <w:tc>
                <w:tcPr>
                  <w:tcW w:w="551" w:type="pct"/>
                  <w:vAlign w:val="center"/>
                </w:tcPr>
                <w:p w14:paraId="7D34806E" w14:textId="77777777" w:rsidR="00692E71" w:rsidRPr="00275290" w:rsidRDefault="00692E71" w:rsidP="008E0250">
                  <w:pPr>
                    <w:autoSpaceDE w:val="0"/>
                    <w:autoSpaceDN w:val="0"/>
                    <w:jc w:val="center"/>
                    <w:rPr>
                      <w:rFonts w:cs="Arial"/>
                      <w:sz w:val="18"/>
                      <w:szCs w:val="18"/>
                    </w:rPr>
                  </w:pPr>
                  <w:r w:rsidRPr="00275290">
                    <w:rPr>
                      <w:rFonts w:cs="Arial"/>
                      <w:sz w:val="18"/>
                      <w:szCs w:val="18"/>
                    </w:rPr>
                    <w:t>1.88E+01</w:t>
                  </w:r>
                </w:p>
              </w:tc>
            </w:tr>
            <w:tr w:rsidR="00692E71" w:rsidRPr="00275290" w14:paraId="7971644D" w14:textId="77777777" w:rsidTr="008E0250">
              <w:tc>
                <w:tcPr>
                  <w:tcW w:w="1028" w:type="pct"/>
                  <w:shd w:val="clear" w:color="auto" w:fill="auto"/>
                  <w:vAlign w:val="center"/>
                </w:tcPr>
                <w:p w14:paraId="65E6C935" w14:textId="77777777" w:rsidR="00692E71" w:rsidRPr="00275290" w:rsidRDefault="00692E71" w:rsidP="008E0250">
                  <w:pPr>
                    <w:autoSpaceDE w:val="0"/>
                    <w:autoSpaceDN w:val="0"/>
                    <w:rPr>
                      <w:rFonts w:cs="Arial"/>
                      <w:sz w:val="18"/>
                      <w:szCs w:val="18"/>
                    </w:rPr>
                  </w:pPr>
                  <w:r w:rsidRPr="00275290">
                    <w:rPr>
                      <w:rFonts w:cs="Arial"/>
                      <w:sz w:val="18"/>
                      <w:szCs w:val="18"/>
                    </w:rPr>
                    <w:t>Water solubility</w:t>
                  </w:r>
                </w:p>
              </w:tc>
              <w:tc>
                <w:tcPr>
                  <w:tcW w:w="472" w:type="pct"/>
                  <w:shd w:val="clear" w:color="auto" w:fill="auto"/>
                  <w:vAlign w:val="center"/>
                </w:tcPr>
                <w:p w14:paraId="61C1E1B3" w14:textId="77777777" w:rsidR="00692E71" w:rsidRPr="00275290" w:rsidRDefault="00692E71" w:rsidP="008E0250">
                  <w:pPr>
                    <w:autoSpaceDE w:val="0"/>
                    <w:autoSpaceDN w:val="0"/>
                    <w:jc w:val="center"/>
                    <w:rPr>
                      <w:rFonts w:cs="Arial"/>
                      <w:sz w:val="18"/>
                      <w:szCs w:val="18"/>
                    </w:rPr>
                  </w:pPr>
                  <w:r w:rsidRPr="00275290">
                    <w:rPr>
                      <w:rFonts w:cs="Arial"/>
                      <w:sz w:val="18"/>
                      <w:szCs w:val="18"/>
                    </w:rPr>
                    <w:t>[mg.L</w:t>
                  </w:r>
                  <w:r w:rsidRPr="00275290">
                    <w:rPr>
                      <w:rFonts w:cs="Arial"/>
                      <w:sz w:val="18"/>
                      <w:szCs w:val="18"/>
                      <w:vertAlign w:val="superscript"/>
                    </w:rPr>
                    <w:t>-1</w:t>
                  </w:r>
                  <w:r w:rsidRPr="00275290">
                    <w:rPr>
                      <w:rFonts w:cs="Arial"/>
                      <w:sz w:val="18"/>
                      <w:szCs w:val="18"/>
                    </w:rPr>
                    <w:t>]</w:t>
                  </w:r>
                </w:p>
              </w:tc>
              <w:tc>
                <w:tcPr>
                  <w:tcW w:w="589" w:type="pct"/>
                  <w:shd w:val="clear" w:color="auto" w:fill="auto"/>
                  <w:vAlign w:val="center"/>
                </w:tcPr>
                <w:p w14:paraId="65FC7BFF" w14:textId="77777777" w:rsidR="00692E71" w:rsidRPr="00275290" w:rsidRDefault="00692E71" w:rsidP="008E0250">
                  <w:pPr>
                    <w:autoSpaceDE w:val="0"/>
                    <w:autoSpaceDN w:val="0"/>
                    <w:jc w:val="center"/>
                    <w:rPr>
                      <w:rFonts w:cs="Arial"/>
                      <w:sz w:val="18"/>
                      <w:szCs w:val="18"/>
                    </w:rPr>
                  </w:pPr>
                  <w:r w:rsidRPr="00275290">
                    <w:rPr>
                      <w:rFonts w:cs="Arial"/>
                      <w:sz w:val="18"/>
                      <w:szCs w:val="18"/>
                    </w:rPr>
                    <w:t>4.00E-03</w:t>
                  </w:r>
                </w:p>
              </w:tc>
              <w:tc>
                <w:tcPr>
                  <w:tcW w:w="590" w:type="pct"/>
                  <w:shd w:val="clear" w:color="auto" w:fill="auto"/>
                  <w:vAlign w:val="center"/>
                </w:tcPr>
                <w:p w14:paraId="222DDC07" w14:textId="77777777" w:rsidR="00692E71" w:rsidRPr="00275290" w:rsidRDefault="00692E71" w:rsidP="008E0250">
                  <w:pPr>
                    <w:autoSpaceDE w:val="0"/>
                    <w:autoSpaceDN w:val="0"/>
                    <w:jc w:val="center"/>
                    <w:rPr>
                      <w:rFonts w:cs="Arial"/>
                      <w:sz w:val="18"/>
                      <w:szCs w:val="18"/>
                    </w:rPr>
                  </w:pPr>
                  <w:r w:rsidRPr="00275290">
                    <w:rPr>
                      <w:rFonts w:cs="Arial"/>
                      <w:sz w:val="18"/>
                      <w:szCs w:val="18"/>
                    </w:rPr>
                    <w:t>29</w:t>
                  </w:r>
                </w:p>
              </w:tc>
              <w:tc>
                <w:tcPr>
                  <w:tcW w:w="590" w:type="pct"/>
                  <w:shd w:val="clear" w:color="auto" w:fill="auto"/>
                  <w:vAlign w:val="center"/>
                </w:tcPr>
                <w:p w14:paraId="545EABB8" w14:textId="77777777" w:rsidR="00692E71" w:rsidRPr="00275290" w:rsidRDefault="00692E71" w:rsidP="008E0250">
                  <w:pPr>
                    <w:autoSpaceDE w:val="0"/>
                    <w:autoSpaceDN w:val="0"/>
                    <w:jc w:val="center"/>
                    <w:rPr>
                      <w:rFonts w:cs="Arial"/>
                      <w:sz w:val="18"/>
                      <w:szCs w:val="18"/>
                    </w:rPr>
                  </w:pPr>
                  <w:r w:rsidRPr="00275290">
                    <w:rPr>
                      <w:rFonts w:cs="Arial"/>
                      <w:sz w:val="18"/>
                      <w:szCs w:val="18"/>
                    </w:rPr>
                    <w:t>100</w:t>
                  </w:r>
                </w:p>
              </w:tc>
              <w:tc>
                <w:tcPr>
                  <w:tcW w:w="590" w:type="pct"/>
                  <w:shd w:val="clear" w:color="auto" w:fill="auto"/>
                  <w:vAlign w:val="center"/>
                </w:tcPr>
                <w:p w14:paraId="4EEE8E01" w14:textId="77777777" w:rsidR="00692E71" w:rsidRPr="00275290" w:rsidRDefault="00692E71" w:rsidP="008E0250">
                  <w:pPr>
                    <w:autoSpaceDE w:val="0"/>
                    <w:autoSpaceDN w:val="0"/>
                    <w:jc w:val="center"/>
                    <w:rPr>
                      <w:rFonts w:cs="Arial"/>
                      <w:sz w:val="18"/>
                      <w:szCs w:val="18"/>
                    </w:rPr>
                  </w:pPr>
                  <w:r w:rsidRPr="00275290">
                    <w:rPr>
                      <w:rFonts w:cs="Arial"/>
                      <w:sz w:val="18"/>
                      <w:szCs w:val="18"/>
                    </w:rPr>
                    <w:t>700</w:t>
                  </w:r>
                </w:p>
              </w:tc>
              <w:tc>
                <w:tcPr>
                  <w:tcW w:w="590" w:type="pct"/>
                  <w:vAlign w:val="center"/>
                </w:tcPr>
                <w:p w14:paraId="30CAA63D" w14:textId="77777777" w:rsidR="00692E71" w:rsidRPr="00275290" w:rsidRDefault="00692E71" w:rsidP="008E0250">
                  <w:pPr>
                    <w:autoSpaceDE w:val="0"/>
                    <w:autoSpaceDN w:val="0"/>
                    <w:jc w:val="center"/>
                    <w:rPr>
                      <w:rFonts w:cs="Arial"/>
                      <w:sz w:val="18"/>
                      <w:szCs w:val="18"/>
                    </w:rPr>
                  </w:pPr>
                  <w:r w:rsidRPr="00275290">
                    <w:rPr>
                      <w:rFonts w:cs="Arial"/>
                      <w:sz w:val="18"/>
                      <w:szCs w:val="18"/>
                    </w:rPr>
                    <w:t>168</w:t>
                  </w:r>
                </w:p>
              </w:tc>
              <w:tc>
                <w:tcPr>
                  <w:tcW w:w="551" w:type="pct"/>
                  <w:vAlign w:val="center"/>
                </w:tcPr>
                <w:p w14:paraId="69583EE2" w14:textId="77777777" w:rsidR="00692E71" w:rsidRPr="00275290" w:rsidRDefault="00692E71" w:rsidP="008E0250">
                  <w:pPr>
                    <w:autoSpaceDE w:val="0"/>
                    <w:autoSpaceDN w:val="0"/>
                    <w:jc w:val="center"/>
                    <w:rPr>
                      <w:rFonts w:cs="Arial"/>
                      <w:sz w:val="18"/>
                      <w:szCs w:val="18"/>
                    </w:rPr>
                  </w:pPr>
                  <w:r w:rsidRPr="00275290">
                    <w:rPr>
                      <w:rFonts w:cs="Arial"/>
                      <w:sz w:val="18"/>
                      <w:szCs w:val="18"/>
                    </w:rPr>
                    <w:t>2860</w:t>
                  </w:r>
                </w:p>
              </w:tc>
            </w:tr>
            <w:tr w:rsidR="00692E71" w:rsidRPr="00275290" w14:paraId="4C09B859" w14:textId="77777777" w:rsidTr="008E0250">
              <w:tc>
                <w:tcPr>
                  <w:tcW w:w="1028" w:type="pct"/>
                  <w:shd w:val="clear" w:color="auto" w:fill="auto"/>
                  <w:vAlign w:val="center"/>
                </w:tcPr>
                <w:p w14:paraId="0E21D603" w14:textId="77777777" w:rsidR="00692E71" w:rsidRPr="00275290" w:rsidRDefault="00692E71" w:rsidP="008E0250">
                  <w:pPr>
                    <w:autoSpaceDE w:val="0"/>
                    <w:autoSpaceDN w:val="0"/>
                    <w:rPr>
                      <w:rFonts w:cs="Arial"/>
                      <w:sz w:val="18"/>
                      <w:szCs w:val="18"/>
                    </w:rPr>
                  </w:pPr>
                  <w:r w:rsidRPr="00275290">
                    <w:rPr>
                      <w:rFonts w:cs="Arial"/>
                      <w:sz w:val="18"/>
                      <w:szCs w:val="18"/>
                    </w:rPr>
                    <w:t>K</w:t>
                  </w:r>
                  <w:r w:rsidRPr="00275290">
                    <w:rPr>
                      <w:rFonts w:cs="Arial"/>
                      <w:sz w:val="18"/>
                      <w:szCs w:val="18"/>
                      <w:vertAlign w:val="subscript"/>
                    </w:rPr>
                    <w:t>oc</w:t>
                  </w:r>
                </w:p>
              </w:tc>
              <w:tc>
                <w:tcPr>
                  <w:tcW w:w="472" w:type="pct"/>
                  <w:shd w:val="clear" w:color="auto" w:fill="auto"/>
                  <w:vAlign w:val="center"/>
                </w:tcPr>
                <w:p w14:paraId="431BE444" w14:textId="77777777" w:rsidR="00692E71" w:rsidRPr="00275290" w:rsidRDefault="00692E71" w:rsidP="008E0250">
                  <w:pPr>
                    <w:autoSpaceDE w:val="0"/>
                    <w:autoSpaceDN w:val="0"/>
                    <w:jc w:val="center"/>
                    <w:rPr>
                      <w:rFonts w:cs="Arial"/>
                      <w:sz w:val="18"/>
                      <w:szCs w:val="18"/>
                    </w:rPr>
                  </w:pPr>
                  <w:r w:rsidRPr="00275290">
                    <w:rPr>
                      <w:rFonts w:cs="Arial"/>
                      <w:sz w:val="18"/>
                      <w:szCs w:val="18"/>
                    </w:rPr>
                    <w:t>[L.kg</w:t>
                  </w:r>
                  <w:r w:rsidRPr="00275290">
                    <w:rPr>
                      <w:rFonts w:cs="Arial"/>
                      <w:sz w:val="18"/>
                      <w:szCs w:val="18"/>
                      <w:vertAlign w:val="superscript"/>
                    </w:rPr>
                    <w:t>-1</w:t>
                  </w:r>
                  <w:r w:rsidRPr="00275290">
                    <w:rPr>
                      <w:rFonts w:cs="Arial"/>
                      <w:sz w:val="18"/>
                      <w:szCs w:val="18"/>
                    </w:rPr>
                    <w:t>]</w:t>
                  </w:r>
                </w:p>
              </w:tc>
              <w:tc>
                <w:tcPr>
                  <w:tcW w:w="589" w:type="pct"/>
                  <w:shd w:val="clear" w:color="auto" w:fill="auto"/>
                  <w:vAlign w:val="center"/>
                </w:tcPr>
                <w:p w14:paraId="2010E0DE" w14:textId="77777777" w:rsidR="00692E71" w:rsidRPr="00275290" w:rsidRDefault="00692E71" w:rsidP="008E0250">
                  <w:pPr>
                    <w:autoSpaceDE w:val="0"/>
                    <w:autoSpaceDN w:val="0"/>
                    <w:jc w:val="center"/>
                    <w:rPr>
                      <w:rFonts w:cs="Arial"/>
                      <w:sz w:val="18"/>
                      <w:szCs w:val="18"/>
                    </w:rPr>
                  </w:pPr>
                  <w:r w:rsidRPr="00275290">
                    <w:rPr>
                      <w:rFonts w:cs="Arial"/>
                      <w:sz w:val="18"/>
                      <w:szCs w:val="18"/>
                    </w:rPr>
                    <w:t>575 000</w:t>
                  </w:r>
                </w:p>
              </w:tc>
              <w:tc>
                <w:tcPr>
                  <w:tcW w:w="590" w:type="pct"/>
                  <w:shd w:val="clear" w:color="auto" w:fill="auto"/>
                  <w:vAlign w:val="center"/>
                </w:tcPr>
                <w:p w14:paraId="428F6829" w14:textId="77777777" w:rsidR="00692E71" w:rsidRPr="00275290" w:rsidRDefault="00692E71" w:rsidP="008E0250">
                  <w:pPr>
                    <w:autoSpaceDE w:val="0"/>
                    <w:autoSpaceDN w:val="0"/>
                    <w:jc w:val="center"/>
                    <w:rPr>
                      <w:rFonts w:cs="Arial"/>
                      <w:sz w:val="18"/>
                      <w:szCs w:val="18"/>
                    </w:rPr>
                  </w:pPr>
                  <w:r w:rsidRPr="00275290">
                    <w:rPr>
                      <w:rFonts w:cs="Arial"/>
                      <w:sz w:val="18"/>
                      <w:szCs w:val="18"/>
                    </w:rPr>
                    <w:t>992</w:t>
                  </w:r>
                </w:p>
              </w:tc>
              <w:tc>
                <w:tcPr>
                  <w:tcW w:w="590" w:type="pct"/>
                  <w:shd w:val="clear" w:color="auto" w:fill="auto"/>
                  <w:vAlign w:val="center"/>
                </w:tcPr>
                <w:p w14:paraId="129BB9A0" w14:textId="77777777" w:rsidR="00692E71" w:rsidRPr="00275290" w:rsidRDefault="00692E71" w:rsidP="008E0250">
                  <w:pPr>
                    <w:autoSpaceDE w:val="0"/>
                    <w:autoSpaceDN w:val="0"/>
                    <w:jc w:val="center"/>
                    <w:rPr>
                      <w:rFonts w:cs="Arial"/>
                      <w:sz w:val="18"/>
                      <w:szCs w:val="18"/>
                    </w:rPr>
                  </w:pPr>
                  <w:r w:rsidRPr="00275290">
                    <w:rPr>
                      <w:rFonts w:cs="Arial"/>
                      <w:sz w:val="18"/>
                      <w:szCs w:val="18"/>
                    </w:rPr>
                    <w:t>944</w:t>
                  </w:r>
                </w:p>
              </w:tc>
              <w:tc>
                <w:tcPr>
                  <w:tcW w:w="590" w:type="pct"/>
                  <w:shd w:val="clear" w:color="auto" w:fill="auto"/>
                  <w:vAlign w:val="center"/>
                </w:tcPr>
                <w:p w14:paraId="7B2CE299" w14:textId="77777777" w:rsidR="00692E71" w:rsidRPr="00275290" w:rsidRDefault="00692E71" w:rsidP="008E0250">
                  <w:pPr>
                    <w:autoSpaceDE w:val="0"/>
                    <w:autoSpaceDN w:val="0"/>
                    <w:jc w:val="center"/>
                    <w:rPr>
                      <w:rFonts w:cs="Arial"/>
                      <w:sz w:val="18"/>
                      <w:szCs w:val="18"/>
                    </w:rPr>
                  </w:pPr>
                  <w:r w:rsidRPr="00275290">
                    <w:rPr>
                      <w:rFonts w:cs="Arial"/>
                      <w:sz w:val="18"/>
                      <w:szCs w:val="18"/>
                    </w:rPr>
                    <w:t>89</w:t>
                  </w:r>
                </w:p>
              </w:tc>
              <w:tc>
                <w:tcPr>
                  <w:tcW w:w="590" w:type="pct"/>
                  <w:vAlign w:val="center"/>
                </w:tcPr>
                <w:p w14:paraId="03FDFF9F" w14:textId="77777777" w:rsidR="00692E71" w:rsidRPr="00275290" w:rsidRDefault="00692E71" w:rsidP="008E0250">
                  <w:pPr>
                    <w:autoSpaceDE w:val="0"/>
                    <w:autoSpaceDN w:val="0"/>
                    <w:jc w:val="center"/>
                    <w:rPr>
                      <w:rFonts w:cs="Arial"/>
                      <w:sz w:val="18"/>
                      <w:szCs w:val="18"/>
                    </w:rPr>
                  </w:pPr>
                  <w:r w:rsidRPr="00275290">
                    <w:rPr>
                      <w:rFonts w:cs="Arial"/>
                      <w:sz w:val="18"/>
                      <w:szCs w:val="18"/>
                    </w:rPr>
                    <w:t>134.5</w:t>
                  </w:r>
                </w:p>
              </w:tc>
              <w:tc>
                <w:tcPr>
                  <w:tcW w:w="551" w:type="pct"/>
                  <w:vAlign w:val="center"/>
                </w:tcPr>
                <w:p w14:paraId="424429F0" w14:textId="77777777" w:rsidR="00692E71" w:rsidRPr="00275290" w:rsidRDefault="00692E71" w:rsidP="008E0250">
                  <w:pPr>
                    <w:autoSpaceDE w:val="0"/>
                    <w:autoSpaceDN w:val="0"/>
                    <w:jc w:val="center"/>
                    <w:rPr>
                      <w:rFonts w:cs="Arial"/>
                      <w:sz w:val="18"/>
                      <w:szCs w:val="18"/>
                    </w:rPr>
                  </w:pPr>
                  <w:r w:rsidRPr="00275290">
                    <w:rPr>
                      <w:rFonts w:cs="Arial"/>
                      <w:sz w:val="18"/>
                      <w:szCs w:val="18"/>
                    </w:rPr>
                    <w:t>198.1</w:t>
                  </w:r>
                </w:p>
              </w:tc>
            </w:tr>
            <w:tr w:rsidR="00692E71" w:rsidRPr="00275290" w14:paraId="0C326C3A" w14:textId="77777777" w:rsidTr="008E0250">
              <w:tc>
                <w:tcPr>
                  <w:tcW w:w="1028" w:type="pct"/>
                  <w:shd w:val="clear" w:color="auto" w:fill="auto"/>
                  <w:vAlign w:val="center"/>
                </w:tcPr>
                <w:p w14:paraId="2BF21835" w14:textId="77777777" w:rsidR="00692E71" w:rsidRPr="00275290" w:rsidRDefault="00692E71" w:rsidP="008E0250">
                  <w:pPr>
                    <w:autoSpaceDE w:val="0"/>
                    <w:autoSpaceDN w:val="0"/>
                    <w:rPr>
                      <w:rFonts w:cs="Arial"/>
                      <w:sz w:val="18"/>
                      <w:szCs w:val="18"/>
                    </w:rPr>
                  </w:pPr>
                  <w:r w:rsidRPr="00275290">
                    <w:rPr>
                      <w:rFonts w:cs="Arial"/>
                      <w:sz w:val="18"/>
                      <w:szCs w:val="18"/>
                    </w:rPr>
                    <w:t>DT</w:t>
                  </w:r>
                  <w:r w:rsidRPr="00275290">
                    <w:rPr>
                      <w:rFonts w:cs="Arial"/>
                      <w:sz w:val="18"/>
                      <w:szCs w:val="18"/>
                      <w:vertAlign w:val="subscript"/>
                    </w:rPr>
                    <w:t>50 (soil)</w:t>
                  </w:r>
                </w:p>
              </w:tc>
              <w:tc>
                <w:tcPr>
                  <w:tcW w:w="472" w:type="pct"/>
                  <w:shd w:val="clear" w:color="auto" w:fill="auto"/>
                  <w:vAlign w:val="center"/>
                </w:tcPr>
                <w:p w14:paraId="019775FC" w14:textId="77777777" w:rsidR="00692E71" w:rsidRPr="00275290" w:rsidRDefault="00692E71" w:rsidP="008E0250">
                  <w:pPr>
                    <w:autoSpaceDE w:val="0"/>
                    <w:autoSpaceDN w:val="0"/>
                    <w:jc w:val="center"/>
                    <w:rPr>
                      <w:rFonts w:cs="Arial"/>
                      <w:sz w:val="18"/>
                      <w:szCs w:val="18"/>
                    </w:rPr>
                  </w:pPr>
                  <w:r w:rsidRPr="00275290">
                    <w:rPr>
                      <w:rFonts w:cs="Arial"/>
                      <w:sz w:val="18"/>
                      <w:szCs w:val="18"/>
                    </w:rPr>
                    <w:t xml:space="preserve">[d </w:t>
                  </w:r>
                  <w:r w:rsidRPr="00275290">
                    <w:rPr>
                      <w:rFonts w:cs="Arial"/>
                      <w:sz w:val="18"/>
                      <w:szCs w:val="18"/>
                      <w:vertAlign w:val="subscript"/>
                    </w:rPr>
                    <w:t>at 12°C</w:t>
                  </w:r>
                  <w:r w:rsidRPr="00275290">
                    <w:rPr>
                      <w:rFonts w:cs="Arial"/>
                      <w:sz w:val="18"/>
                      <w:szCs w:val="18"/>
                    </w:rPr>
                    <w:t>]</w:t>
                  </w:r>
                </w:p>
              </w:tc>
              <w:tc>
                <w:tcPr>
                  <w:tcW w:w="589" w:type="pct"/>
                  <w:shd w:val="clear" w:color="auto" w:fill="auto"/>
                  <w:vAlign w:val="center"/>
                </w:tcPr>
                <w:p w14:paraId="2A95F806" w14:textId="77777777" w:rsidR="00692E71" w:rsidRPr="00275290" w:rsidRDefault="00692E71" w:rsidP="008E0250">
                  <w:pPr>
                    <w:autoSpaceDE w:val="0"/>
                    <w:autoSpaceDN w:val="0"/>
                    <w:jc w:val="center"/>
                    <w:rPr>
                      <w:rFonts w:cs="Arial"/>
                      <w:sz w:val="18"/>
                      <w:szCs w:val="18"/>
                    </w:rPr>
                  </w:pPr>
                  <w:r w:rsidRPr="00275290">
                    <w:rPr>
                      <w:rFonts w:cs="Arial"/>
                      <w:sz w:val="18"/>
                      <w:szCs w:val="18"/>
                    </w:rPr>
                    <w:t>17.2</w:t>
                  </w:r>
                </w:p>
              </w:tc>
              <w:tc>
                <w:tcPr>
                  <w:tcW w:w="590" w:type="pct"/>
                  <w:shd w:val="clear" w:color="auto" w:fill="auto"/>
                  <w:vAlign w:val="center"/>
                </w:tcPr>
                <w:p w14:paraId="5658CFDA" w14:textId="77777777" w:rsidR="00692E71" w:rsidRPr="00275290" w:rsidRDefault="00692E71" w:rsidP="008E0250">
                  <w:pPr>
                    <w:autoSpaceDE w:val="0"/>
                    <w:autoSpaceDN w:val="0"/>
                    <w:jc w:val="center"/>
                    <w:rPr>
                      <w:rFonts w:cs="Arial"/>
                      <w:sz w:val="18"/>
                      <w:szCs w:val="18"/>
                    </w:rPr>
                  </w:pPr>
                  <w:r w:rsidRPr="00275290">
                    <w:rPr>
                      <w:rFonts w:cs="Arial"/>
                      <w:sz w:val="18"/>
                      <w:szCs w:val="18"/>
                    </w:rPr>
                    <w:t>77</w:t>
                  </w:r>
                </w:p>
              </w:tc>
              <w:tc>
                <w:tcPr>
                  <w:tcW w:w="590" w:type="pct"/>
                  <w:shd w:val="clear" w:color="auto" w:fill="auto"/>
                  <w:vAlign w:val="center"/>
                </w:tcPr>
                <w:p w14:paraId="282AC317" w14:textId="77777777" w:rsidR="00692E71" w:rsidRPr="00275290" w:rsidRDefault="00692E71" w:rsidP="008E0250">
                  <w:pPr>
                    <w:autoSpaceDE w:val="0"/>
                    <w:autoSpaceDN w:val="0"/>
                    <w:jc w:val="center"/>
                    <w:rPr>
                      <w:rFonts w:cs="Arial"/>
                      <w:sz w:val="18"/>
                      <w:szCs w:val="18"/>
                    </w:rPr>
                  </w:pPr>
                  <w:r w:rsidRPr="00275290">
                    <w:rPr>
                      <w:rFonts w:cs="Arial"/>
                      <w:sz w:val="18"/>
                      <w:szCs w:val="18"/>
                    </w:rPr>
                    <w:t>82</w:t>
                  </w:r>
                </w:p>
              </w:tc>
              <w:tc>
                <w:tcPr>
                  <w:tcW w:w="590" w:type="pct"/>
                  <w:shd w:val="clear" w:color="auto" w:fill="auto"/>
                  <w:vAlign w:val="center"/>
                </w:tcPr>
                <w:p w14:paraId="0B8AFFE8" w14:textId="77777777" w:rsidR="00692E71" w:rsidRPr="00275290" w:rsidRDefault="00692E71" w:rsidP="008E0250">
                  <w:pPr>
                    <w:autoSpaceDE w:val="0"/>
                    <w:autoSpaceDN w:val="0"/>
                    <w:jc w:val="center"/>
                    <w:rPr>
                      <w:rFonts w:cs="Arial"/>
                      <w:sz w:val="18"/>
                      <w:szCs w:val="18"/>
                    </w:rPr>
                  </w:pPr>
                  <w:r w:rsidRPr="00275290">
                    <w:rPr>
                      <w:rFonts w:cs="Arial"/>
                      <w:sz w:val="18"/>
                      <w:szCs w:val="18"/>
                    </w:rPr>
                    <w:t>114.7 (**)</w:t>
                  </w:r>
                </w:p>
              </w:tc>
              <w:tc>
                <w:tcPr>
                  <w:tcW w:w="590" w:type="pct"/>
                  <w:vAlign w:val="center"/>
                </w:tcPr>
                <w:p w14:paraId="6E8823BF" w14:textId="77777777" w:rsidR="00692E71" w:rsidRPr="00275290" w:rsidRDefault="00692E71" w:rsidP="008E0250">
                  <w:pPr>
                    <w:autoSpaceDE w:val="0"/>
                    <w:autoSpaceDN w:val="0"/>
                    <w:jc w:val="center"/>
                    <w:rPr>
                      <w:rFonts w:cs="Arial"/>
                      <w:sz w:val="18"/>
                      <w:szCs w:val="18"/>
                    </w:rPr>
                  </w:pPr>
                  <w:r w:rsidRPr="00275290">
                    <w:rPr>
                      <w:rFonts w:cs="Arial"/>
                      <w:sz w:val="18"/>
                      <w:szCs w:val="18"/>
                    </w:rPr>
                    <w:t>1.96E-01</w:t>
                  </w:r>
                </w:p>
              </w:tc>
              <w:tc>
                <w:tcPr>
                  <w:tcW w:w="551" w:type="pct"/>
                  <w:vAlign w:val="center"/>
                </w:tcPr>
                <w:p w14:paraId="77D046A0" w14:textId="77777777" w:rsidR="00692E71" w:rsidRPr="00275290" w:rsidRDefault="00692E71" w:rsidP="008E0250">
                  <w:pPr>
                    <w:autoSpaceDE w:val="0"/>
                    <w:autoSpaceDN w:val="0"/>
                    <w:jc w:val="center"/>
                    <w:rPr>
                      <w:rFonts w:cs="Arial"/>
                      <w:sz w:val="18"/>
                      <w:szCs w:val="18"/>
                    </w:rPr>
                  </w:pPr>
                  <w:r w:rsidRPr="00275290">
                    <w:rPr>
                      <w:rFonts w:cs="Arial"/>
                      <w:sz w:val="18"/>
                      <w:szCs w:val="18"/>
                    </w:rPr>
                    <w:t>9.50</w:t>
                  </w:r>
                </w:p>
              </w:tc>
            </w:tr>
            <w:tr w:rsidR="00692E71" w:rsidRPr="00275290" w14:paraId="5D0D2309" w14:textId="77777777" w:rsidTr="008E0250">
              <w:tc>
                <w:tcPr>
                  <w:tcW w:w="1028" w:type="pct"/>
                  <w:shd w:val="clear" w:color="auto" w:fill="auto"/>
                  <w:vAlign w:val="center"/>
                </w:tcPr>
                <w:p w14:paraId="056EA98B" w14:textId="77777777" w:rsidR="00692E71" w:rsidRPr="00275290" w:rsidRDefault="00692E71" w:rsidP="008E0250">
                  <w:pPr>
                    <w:autoSpaceDE w:val="0"/>
                    <w:autoSpaceDN w:val="0"/>
                    <w:rPr>
                      <w:rFonts w:cs="Arial"/>
                      <w:sz w:val="18"/>
                      <w:szCs w:val="18"/>
                    </w:rPr>
                  </w:pPr>
                  <w:r w:rsidRPr="00275290">
                    <w:rPr>
                      <w:rFonts w:cs="Arial"/>
                      <w:sz w:val="18"/>
                      <w:szCs w:val="18"/>
                    </w:rPr>
                    <w:t>DT</w:t>
                  </w:r>
                  <w:r w:rsidRPr="00275290">
                    <w:rPr>
                      <w:rFonts w:cs="Arial"/>
                      <w:sz w:val="18"/>
                      <w:szCs w:val="18"/>
                      <w:vertAlign w:val="subscript"/>
                    </w:rPr>
                    <w:t>50 (surface water)</w:t>
                  </w:r>
                </w:p>
              </w:tc>
              <w:tc>
                <w:tcPr>
                  <w:tcW w:w="472" w:type="pct"/>
                  <w:shd w:val="clear" w:color="auto" w:fill="auto"/>
                  <w:vAlign w:val="center"/>
                </w:tcPr>
                <w:p w14:paraId="016ADD04" w14:textId="77777777" w:rsidR="00692E71" w:rsidRPr="00275290" w:rsidRDefault="00692E71" w:rsidP="008E0250">
                  <w:pPr>
                    <w:autoSpaceDE w:val="0"/>
                    <w:autoSpaceDN w:val="0"/>
                    <w:jc w:val="center"/>
                    <w:rPr>
                      <w:rFonts w:cs="Arial"/>
                      <w:sz w:val="18"/>
                      <w:szCs w:val="18"/>
                    </w:rPr>
                  </w:pPr>
                  <w:r w:rsidRPr="00275290">
                    <w:rPr>
                      <w:rFonts w:cs="Arial"/>
                      <w:sz w:val="18"/>
                      <w:szCs w:val="18"/>
                    </w:rPr>
                    <w:t xml:space="preserve">[d </w:t>
                  </w:r>
                  <w:r w:rsidRPr="00275290">
                    <w:rPr>
                      <w:rFonts w:cs="Arial"/>
                      <w:sz w:val="18"/>
                      <w:szCs w:val="18"/>
                      <w:vertAlign w:val="subscript"/>
                    </w:rPr>
                    <w:t>at 12°C</w:t>
                  </w:r>
                  <w:r w:rsidRPr="00275290">
                    <w:rPr>
                      <w:rFonts w:cs="Arial"/>
                      <w:sz w:val="18"/>
                      <w:szCs w:val="18"/>
                    </w:rPr>
                    <w:t>]</w:t>
                  </w:r>
                </w:p>
              </w:tc>
              <w:tc>
                <w:tcPr>
                  <w:tcW w:w="589" w:type="pct"/>
                  <w:shd w:val="clear" w:color="auto" w:fill="auto"/>
                  <w:vAlign w:val="center"/>
                </w:tcPr>
                <w:p w14:paraId="7BAD99AC" w14:textId="77777777" w:rsidR="00692E71" w:rsidRPr="00275290" w:rsidRDefault="00692E71" w:rsidP="008E0250">
                  <w:pPr>
                    <w:autoSpaceDE w:val="0"/>
                    <w:autoSpaceDN w:val="0"/>
                    <w:jc w:val="center"/>
                    <w:rPr>
                      <w:rFonts w:cs="Arial"/>
                      <w:sz w:val="18"/>
                      <w:szCs w:val="18"/>
                    </w:rPr>
                  </w:pPr>
                  <w:r w:rsidRPr="00275290">
                    <w:rPr>
                      <w:rFonts w:cs="Arial"/>
                      <w:sz w:val="18"/>
                      <w:szCs w:val="18"/>
                    </w:rPr>
                    <w:t>0.95</w:t>
                  </w:r>
                </w:p>
              </w:tc>
              <w:tc>
                <w:tcPr>
                  <w:tcW w:w="590" w:type="pct"/>
                  <w:shd w:val="clear" w:color="auto" w:fill="auto"/>
                  <w:vAlign w:val="center"/>
                </w:tcPr>
                <w:p w14:paraId="4DED56AB" w14:textId="77777777" w:rsidR="00692E71" w:rsidRPr="00275290" w:rsidRDefault="00692E71" w:rsidP="008E0250">
                  <w:pPr>
                    <w:autoSpaceDE w:val="0"/>
                    <w:autoSpaceDN w:val="0"/>
                    <w:jc w:val="center"/>
                    <w:rPr>
                      <w:rFonts w:cs="Arial"/>
                      <w:sz w:val="18"/>
                      <w:szCs w:val="18"/>
                    </w:rPr>
                  </w:pPr>
                  <w:r w:rsidRPr="00275290">
                    <w:rPr>
                      <w:rFonts w:cs="Arial"/>
                      <w:sz w:val="18"/>
                      <w:szCs w:val="18"/>
                    </w:rPr>
                    <w:t>43</w:t>
                  </w:r>
                </w:p>
              </w:tc>
              <w:tc>
                <w:tcPr>
                  <w:tcW w:w="590" w:type="pct"/>
                  <w:shd w:val="clear" w:color="auto" w:fill="auto"/>
                  <w:vAlign w:val="center"/>
                </w:tcPr>
                <w:p w14:paraId="2522B4D1" w14:textId="77777777" w:rsidR="00692E71" w:rsidRPr="00275290" w:rsidRDefault="00692E71" w:rsidP="008E0250">
                  <w:pPr>
                    <w:autoSpaceDE w:val="0"/>
                    <w:autoSpaceDN w:val="0"/>
                    <w:jc w:val="center"/>
                    <w:rPr>
                      <w:rFonts w:cs="Arial"/>
                      <w:sz w:val="18"/>
                      <w:szCs w:val="18"/>
                    </w:rPr>
                  </w:pPr>
                  <w:r w:rsidRPr="00275290">
                    <w:rPr>
                      <w:rFonts w:cs="Arial"/>
                      <w:sz w:val="18"/>
                      <w:szCs w:val="18"/>
                    </w:rPr>
                    <w:t>12</w:t>
                  </w:r>
                </w:p>
              </w:tc>
              <w:tc>
                <w:tcPr>
                  <w:tcW w:w="590" w:type="pct"/>
                  <w:shd w:val="clear" w:color="auto" w:fill="auto"/>
                  <w:vAlign w:val="center"/>
                </w:tcPr>
                <w:p w14:paraId="3F7F6F79"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16E43B9E" w14:textId="77777777" w:rsidR="00692E71" w:rsidRPr="00275290" w:rsidRDefault="00692E71" w:rsidP="008E0250">
                  <w:pPr>
                    <w:autoSpaceDE w:val="0"/>
                    <w:autoSpaceDN w:val="0"/>
                    <w:jc w:val="center"/>
                    <w:rPr>
                      <w:rFonts w:cs="Arial"/>
                      <w:sz w:val="18"/>
                      <w:szCs w:val="18"/>
                    </w:rPr>
                  </w:pPr>
                  <w:r w:rsidRPr="00275290">
                    <w:rPr>
                      <w:rFonts w:cs="Arial"/>
                      <w:sz w:val="18"/>
                      <w:szCs w:val="18"/>
                    </w:rPr>
                    <w:t>1.29E-01</w:t>
                  </w:r>
                </w:p>
              </w:tc>
              <w:tc>
                <w:tcPr>
                  <w:tcW w:w="551" w:type="pct"/>
                  <w:vAlign w:val="center"/>
                </w:tcPr>
                <w:p w14:paraId="4CCFDAE3" w14:textId="77777777" w:rsidR="00692E71" w:rsidRPr="00275290" w:rsidRDefault="00692E71" w:rsidP="008E0250">
                  <w:pPr>
                    <w:autoSpaceDE w:val="0"/>
                    <w:autoSpaceDN w:val="0"/>
                    <w:jc w:val="center"/>
                    <w:rPr>
                      <w:rFonts w:cs="Arial"/>
                      <w:sz w:val="18"/>
                      <w:szCs w:val="18"/>
                    </w:rPr>
                  </w:pPr>
                  <w:r w:rsidRPr="00275290">
                    <w:rPr>
                      <w:rFonts w:cs="Arial"/>
                      <w:sz w:val="18"/>
                      <w:szCs w:val="18"/>
                    </w:rPr>
                    <w:t>31.2</w:t>
                  </w:r>
                </w:p>
              </w:tc>
            </w:tr>
            <w:tr w:rsidR="00692E71" w:rsidRPr="00275290" w14:paraId="4079CF81" w14:textId="77777777" w:rsidTr="008E0250">
              <w:tc>
                <w:tcPr>
                  <w:tcW w:w="1028" w:type="pct"/>
                  <w:shd w:val="clear" w:color="auto" w:fill="auto"/>
                  <w:vAlign w:val="center"/>
                </w:tcPr>
                <w:p w14:paraId="5C05F1AD" w14:textId="77777777" w:rsidR="00692E71" w:rsidRPr="00275290" w:rsidRDefault="00692E71" w:rsidP="008E0250">
                  <w:pPr>
                    <w:autoSpaceDE w:val="0"/>
                    <w:autoSpaceDN w:val="0"/>
                    <w:rPr>
                      <w:rFonts w:cs="Arial"/>
                      <w:sz w:val="18"/>
                      <w:szCs w:val="18"/>
                    </w:rPr>
                  </w:pPr>
                  <w:r w:rsidRPr="00275290">
                    <w:rPr>
                      <w:rFonts w:cs="Arial"/>
                      <w:sz w:val="18"/>
                      <w:szCs w:val="18"/>
                    </w:rPr>
                    <w:t>DT</w:t>
                  </w:r>
                  <w:r w:rsidRPr="00275290">
                    <w:rPr>
                      <w:rFonts w:cs="Arial"/>
                      <w:sz w:val="18"/>
                      <w:szCs w:val="18"/>
                      <w:vertAlign w:val="subscript"/>
                    </w:rPr>
                    <w:t>50 (water/sediment whole system)</w:t>
                  </w:r>
                </w:p>
              </w:tc>
              <w:tc>
                <w:tcPr>
                  <w:tcW w:w="472" w:type="pct"/>
                  <w:shd w:val="clear" w:color="auto" w:fill="auto"/>
                  <w:vAlign w:val="center"/>
                </w:tcPr>
                <w:p w14:paraId="6B1558C8" w14:textId="77777777" w:rsidR="00692E71" w:rsidRPr="00275290" w:rsidRDefault="00692E71" w:rsidP="008E0250">
                  <w:pPr>
                    <w:autoSpaceDE w:val="0"/>
                    <w:autoSpaceDN w:val="0"/>
                    <w:jc w:val="center"/>
                    <w:rPr>
                      <w:rFonts w:cs="Arial"/>
                      <w:sz w:val="18"/>
                      <w:szCs w:val="18"/>
                    </w:rPr>
                  </w:pPr>
                  <w:r w:rsidRPr="00275290">
                    <w:rPr>
                      <w:rFonts w:cs="Arial"/>
                      <w:sz w:val="18"/>
                      <w:szCs w:val="18"/>
                    </w:rPr>
                    <w:t xml:space="preserve">[d </w:t>
                  </w:r>
                  <w:r w:rsidRPr="00275290">
                    <w:rPr>
                      <w:rFonts w:cs="Arial"/>
                      <w:sz w:val="18"/>
                      <w:szCs w:val="18"/>
                      <w:vertAlign w:val="subscript"/>
                    </w:rPr>
                    <w:t>at 12°C</w:t>
                  </w:r>
                  <w:r w:rsidRPr="00275290">
                    <w:rPr>
                      <w:rFonts w:cs="Arial"/>
                      <w:sz w:val="18"/>
                      <w:szCs w:val="18"/>
                    </w:rPr>
                    <w:t>]</w:t>
                  </w:r>
                </w:p>
              </w:tc>
              <w:tc>
                <w:tcPr>
                  <w:tcW w:w="589" w:type="pct"/>
                  <w:shd w:val="clear" w:color="auto" w:fill="auto"/>
                  <w:vAlign w:val="center"/>
                </w:tcPr>
                <w:p w14:paraId="2CFBCFD1" w14:textId="77777777" w:rsidR="00692E71" w:rsidRPr="00275290" w:rsidRDefault="003244B6" w:rsidP="008E0250">
                  <w:pPr>
                    <w:autoSpaceDE w:val="0"/>
                    <w:autoSpaceDN w:val="0"/>
                    <w:jc w:val="center"/>
                    <w:rPr>
                      <w:rFonts w:cs="Arial"/>
                      <w:sz w:val="18"/>
                      <w:szCs w:val="18"/>
                    </w:rPr>
                  </w:pPr>
                  <w:r w:rsidRPr="00275290">
                    <w:rPr>
                      <w:rFonts w:cs="Arial"/>
                      <w:sz w:val="18"/>
                      <w:szCs w:val="18"/>
                    </w:rPr>
                    <w:t>18.5</w:t>
                  </w:r>
                </w:p>
              </w:tc>
              <w:tc>
                <w:tcPr>
                  <w:tcW w:w="590" w:type="pct"/>
                  <w:shd w:val="clear" w:color="auto" w:fill="auto"/>
                  <w:vAlign w:val="center"/>
                </w:tcPr>
                <w:p w14:paraId="536052C7" w14:textId="77777777" w:rsidR="00692E71" w:rsidRPr="00275290" w:rsidRDefault="003244B6" w:rsidP="008E0250">
                  <w:pPr>
                    <w:autoSpaceDE w:val="0"/>
                    <w:autoSpaceDN w:val="0"/>
                    <w:jc w:val="center"/>
                    <w:rPr>
                      <w:rFonts w:cs="Arial"/>
                      <w:sz w:val="18"/>
                      <w:szCs w:val="18"/>
                    </w:rPr>
                  </w:pPr>
                  <w:r w:rsidRPr="00275290">
                    <w:rPr>
                      <w:rFonts w:cs="Arial"/>
                      <w:sz w:val="18"/>
                      <w:szCs w:val="18"/>
                    </w:rPr>
                    <w:t>198</w:t>
                  </w:r>
                </w:p>
              </w:tc>
              <w:tc>
                <w:tcPr>
                  <w:tcW w:w="590" w:type="pct"/>
                  <w:shd w:val="clear" w:color="auto" w:fill="auto"/>
                  <w:vAlign w:val="center"/>
                </w:tcPr>
                <w:p w14:paraId="31546B91" w14:textId="77777777" w:rsidR="00692E71" w:rsidRPr="00275290" w:rsidRDefault="00692E71" w:rsidP="008E0250">
                  <w:pPr>
                    <w:autoSpaceDE w:val="0"/>
                    <w:autoSpaceDN w:val="0"/>
                    <w:jc w:val="center"/>
                    <w:rPr>
                      <w:rFonts w:cs="Arial"/>
                      <w:sz w:val="18"/>
                      <w:szCs w:val="18"/>
                    </w:rPr>
                  </w:pPr>
                  <w:r w:rsidRPr="00275290">
                    <w:rPr>
                      <w:rFonts w:cs="Arial"/>
                      <w:sz w:val="18"/>
                      <w:szCs w:val="18"/>
                    </w:rPr>
                    <w:t>1206</w:t>
                  </w:r>
                </w:p>
              </w:tc>
              <w:tc>
                <w:tcPr>
                  <w:tcW w:w="590" w:type="pct"/>
                  <w:shd w:val="clear" w:color="auto" w:fill="auto"/>
                  <w:vAlign w:val="center"/>
                </w:tcPr>
                <w:p w14:paraId="0EAF7A43"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7CF214FB" w14:textId="77777777" w:rsidR="00692E71" w:rsidRPr="00275290" w:rsidRDefault="00692E71" w:rsidP="008E0250">
                  <w:pPr>
                    <w:autoSpaceDE w:val="0"/>
                    <w:autoSpaceDN w:val="0"/>
                    <w:jc w:val="center"/>
                    <w:rPr>
                      <w:rFonts w:cs="Arial"/>
                      <w:sz w:val="18"/>
                      <w:szCs w:val="18"/>
                    </w:rPr>
                  </w:pPr>
                  <w:r w:rsidRPr="00275290">
                    <w:rPr>
                      <w:rFonts w:cs="Arial"/>
                      <w:sz w:val="18"/>
                      <w:szCs w:val="18"/>
                    </w:rPr>
                    <w:t>2.04E-01</w:t>
                  </w:r>
                </w:p>
              </w:tc>
              <w:tc>
                <w:tcPr>
                  <w:tcW w:w="551" w:type="pct"/>
                  <w:vAlign w:val="center"/>
                </w:tcPr>
                <w:p w14:paraId="6E1BEDAC" w14:textId="77777777" w:rsidR="00692E71" w:rsidRPr="00275290" w:rsidRDefault="00692E71" w:rsidP="008E0250">
                  <w:pPr>
                    <w:autoSpaceDE w:val="0"/>
                    <w:autoSpaceDN w:val="0"/>
                    <w:jc w:val="center"/>
                    <w:rPr>
                      <w:rFonts w:cs="Arial"/>
                      <w:sz w:val="18"/>
                      <w:szCs w:val="18"/>
                    </w:rPr>
                  </w:pPr>
                  <w:r w:rsidRPr="00275290">
                    <w:rPr>
                      <w:rFonts w:cs="Arial"/>
                      <w:sz w:val="18"/>
                      <w:szCs w:val="18"/>
                    </w:rPr>
                    <w:t>31.4</w:t>
                  </w:r>
                </w:p>
              </w:tc>
            </w:tr>
            <w:tr w:rsidR="00692E71" w:rsidRPr="00275290" w14:paraId="6DE96CB8" w14:textId="77777777" w:rsidTr="008E0250">
              <w:tc>
                <w:tcPr>
                  <w:tcW w:w="1028" w:type="pct"/>
                  <w:shd w:val="clear" w:color="auto" w:fill="auto"/>
                  <w:vAlign w:val="center"/>
                </w:tcPr>
                <w:p w14:paraId="1C1A509F" w14:textId="77777777" w:rsidR="00692E71" w:rsidRPr="00275290" w:rsidRDefault="00692E71" w:rsidP="008E0250">
                  <w:pPr>
                    <w:autoSpaceDE w:val="0"/>
                    <w:autoSpaceDN w:val="0"/>
                    <w:rPr>
                      <w:rFonts w:cs="Arial"/>
                      <w:sz w:val="18"/>
                      <w:szCs w:val="18"/>
                    </w:rPr>
                  </w:pPr>
                  <w:r w:rsidRPr="00275290">
                    <w:rPr>
                      <w:rFonts w:cs="Arial"/>
                      <w:sz w:val="18"/>
                      <w:szCs w:val="18"/>
                    </w:rPr>
                    <w:t xml:space="preserve">K </w:t>
                  </w:r>
                  <w:r w:rsidRPr="00275290">
                    <w:rPr>
                      <w:rFonts w:cs="Arial"/>
                      <w:sz w:val="18"/>
                      <w:szCs w:val="18"/>
                      <w:vertAlign w:val="subscript"/>
                    </w:rPr>
                    <w:t>soil-water</w:t>
                  </w:r>
                </w:p>
              </w:tc>
              <w:tc>
                <w:tcPr>
                  <w:tcW w:w="472" w:type="pct"/>
                  <w:shd w:val="clear" w:color="auto" w:fill="auto"/>
                  <w:vAlign w:val="center"/>
                </w:tcPr>
                <w:p w14:paraId="3893A58D" w14:textId="77777777" w:rsidR="00692E71" w:rsidRPr="00275290" w:rsidRDefault="00692E71" w:rsidP="008E0250">
                  <w:pPr>
                    <w:autoSpaceDE w:val="0"/>
                    <w:autoSpaceDN w:val="0"/>
                    <w:jc w:val="center"/>
                    <w:rPr>
                      <w:rFonts w:cs="Arial"/>
                      <w:sz w:val="18"/>
                      <w:szCs w:val="18"/>
                    </w:rPr>
                  </w:pPr>
                  <w:r w:rsidRPr="00275290">
                    <w:rPr>
                      <w:rFonts w:cs="Arial"/>
                      <w:sz w:val="18"/>
                      <w:szCs w:val="18"/>
                    </w:rPr>
                    <w:t>[m</w:t>
                  </w:r>
                  <w:r w:rsidRPr="00275290">
                    <w:rPr>
                      <w:rFonts w:cs="Arial"/>
                      <w:sz w:val="18"/>
                      <w:szCs w:val="18"/>
                      <w:vertAlign w:val="superscript"/>
                    </w:rPr>
                    <w:t>3</w:t>
                  </w:r>
                  <w:r w:rsidRPr="00275290">
                    <w:rPr>
                      <w:rFonts w:cs="Arial"/>
                      <w:sz w:val="18"/>
                      <w:szCs w:val="18"/>
                    </w:rPr>
                    <w:t>.m</w:t>
                  </w:r>
                  <w:r w:rsidRPr="00275290">
                    <w:rPr>
                      <w:rFonts w:cs="Arial"/>
                      <w:sz w:val="18"/>
                      <w:szCs w:val="18"/>
                      <w:vertAlign w:val="superscript"/>
                    </w:rPr>
                    <w:t>-3</w:t>
                  </w:r>
                  <w:r w:rsidRPr="00275290">
                    <w:rPr>
                      <w:rFonts w:cs="Arial"/>
                      <w:sz w:val="18"/>
                      <w:szCs w:val="18"/>
                    </w:rPr>
                    <w:t>]</w:t>
                  </w:r>
                </w:p>
              </w:tc>
              <w:tc>
                <w:tcPr>
                  <w:tcW w:w="589" w:type="pct"/>
                  <w:shd w:val="clear" w:color="auto" w:fill="auto"/>
                  <w:vAlign w:val="center"/>
                </w:tcPr>
                <w:p w14:paraId="1342D822" w14:textId="77777777" w:rsidR="00692E71" w:rsidRPr="00275290" w:rsidRDefault="00692E71" w:rsidP="008E0250">
                  <w:pPr>
                    <w:autoSpaceDE w:val="0"/>
                    <w:autoSpaceDN w:val="0"/>
                    <w:jc w:val="center"/>
                    <w:rPr>
                      <w:rFonts w:cs="Arial"/>
                      <w:sz w:val="18"/>
                      <w:szCs w:val="18"/>
                    </w:rPr>
                  </w:pPr>
                  <w:r w:rsidRPr="00275290">
                    <w:rPr>
                      <w:rFonts w:cs="Arial"/>
                      <w:sz w:val="18"/>
                      <w:szCs w:val="18"/>
                    </w:rPr>
                    <w:t>1.73E+04</w:t>
                  </w:r>
                </w:p>
              </w:tc>
              <w:tc>
                <w:tcPr>
                  <w:tcW w:w="590" w:type="pct"/>
                  <w:shd w:val="clear" w:color="auto" w:fill="auto"/>
                  <w:vAlign w:val="center"/>
                </w:tcPr>
                <w:p w14:paraId="066A55E4" w14:textId="77777777" w:rsidR="00692E71" w:rsidRPr="00275290" w:rsidRDefault="00692E71" w:rsidP="008E0250">
                  <w:pPr>
                    <w:autoSpaceDE w:val="0"/>
                    <w:autoSpaceDN w:val="0"/>
                    <w:jc w:val="center"/>
                    <w:rPr>
                      <w:rFonts w:cs="Arial"/>
                      <w:sz w:val="18"/>
                      <w:szCs w:val="18"/>
                    </w:rPr>
                  </w:pPr>
                  <w:r w:rsidRPr="00275290">
                    <w:rPr>
                      <w:rFonts w:cs="Arial"/>
                      <w:sz w:val="18"/>
                      <w:szCs w:val="18"/>
                    </w:rPr>
                    <w:t>3.00E+01</w:t>
                  </w:r>
                </w:p>
              </w:tc>
              <w:tc>
                <w:tcPr>
                  <w:tcW w:w="590" w:type="pct"/>
                  <w:shd w:val="clear" w:color="auto" w:fill="auto"/>
                  <w:vAlign w:val="center"/>
                </w:tcPr>
                <w:p w14:paraId="386DAE85" w14:textId="77777777" w:rsidR="00692E71" w:rsidRPr="00275290" w:rsidRDefault="00692E71" w:rsidP="008E0250">
                  <w:pPr>
                    <w:autoSpaceDE w:val="0"/>
                    <w:autoSpaceDN w:val="0"/>
                    <w:jc w:val="center"/>
                    <w:rPr>
                      <w:rFonts w:cs="Arial"/>
                      <w:sz w:val="18"/>
                      <w:szCs w:val="18"/>
                    </w:rPr>
                  </w:pPr>
                  <w:r w:rsidRPr="00275290">
                    <w:rPr>
                      <w:rFonts w:cs="Arial"/>
                      <w:sz w:val="18"/>
                      <w:szCs w:val="18"/>
                    </w:rPr>
                    <w:t>2.85E+01</w:t>
                  </w:r>
                </w:p>
              </w:tc>
              <w:tc>
                <w:tcPr>
                  <w:tcW w:w="590" w:type="pct"/>
                  <w:shd w:val="clear" w:color="auto" w:fill="auto"/>
                  <w:vAlign w:val="center"/>
                </w:tcPr>
                <w:p w14:paraId="62CD01FA"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6DD1AF9B" w14:textId="77777777" w:rsidR="00692E71" w:rsidRPr="00275290" w:rsidRDefault="00692E71" w:rsidP="008E0250">
                  <w:pPr>
                    <w:autoSpaceDE w:val="0"/>
                    <w:autoSpaceDN w:val="0"/>
                    <w:jc w:val="center"/>
                    <w:rPr>
                      <w:rFonts w:cs="Arial"/>
                      <w:sz w:val="18"/>
                      <w:szCs w:val="18"/>
                    </w:rPr>
                  </w:pPr>
                  <w:r w:rsidRPr="00275290">
                    <w:rPr>
                      <w:rFonts w:cs="Arial"/>
                      <w:sz w:val="18"/>
                      <w:szCs w:val="18"/>
                    </w:rPr>
                    <w:t>4.24E+00</w:t>
                  </w:r>
                </w:p>
              </w:tc>
              <w:tc>
                <w:tcPr>
                  <w:tcW w:w="551" w:type="pct"/>
                  <w:vAlign w:val="center"/>
                </w:tcPr>
                <w:p w14:paraId="204ABAB5" w14:textId="77777777" w:rsidR="00692E71" w:rsidRPr="00275290" w:rsidRDefault="00692E71" w:rsidP="008E0250">
                  <w:pPr>
                    <w:autoSpaceDE w:val="0"/>
                    <w:autoSpaceDN w:val="0"/>
                    <w:jc w:val="center"/>
                    <w:rPr>
                      <w:rFonts w:cs="Arial"/>
                      <w:sz w:val="18"/>
                      <w:szCs w:val="18"/>
                    </w:rPr>
                  </w:pPr>
                  <w:r w:rsidRPr="00275290">
                    <w:rPr>
                      <w:rFonts w:cs="Arial"/>
                      <w:sz w:val="18"/>
                      <w:szCs w:val="18"/>
                    </w:rPr>
                    <w:t>6.14E+00</w:t>
                  </w:r>
                </w:p>
              </w:tc>
            </w:tr>
            <w:tr w:rsidR="00692E71" w:rsidRPr="00275290" w14:paraId="6DF403DF" w14:textId="77777777" w:rsidTr="008E0250">
              <w:tc>
                <w:tcPr>
                  <w:tcW w:w="1028" w:type="pct"/>
                  <w:shd w:val="clear" w:color="auto" w:fill="auto"/>
                  <w:vAlign w:val="center"/>
                </w:tcPr>
                <w:p w14:paraId="2EFCCD2D" w14:textId="77777777" w:rsidR="00692E71" w:rsidRPr="00275290" w:rsidRDefault="00692E71" w:rsidP="008E0250">
                  <w:pPr>
                    <w:autoSpaceDE w:val="0"/>
                    <w:autoSpaceDN w:val="0"/>
                    <w:rPr>
                      <w:rFonts w:cs="Arial"/>
                      <w:sz w:val="18"/>
                      <w:szCs w:val="18"/>
                    </w:rPr>
                  </w:pPr>
                  <w:r w:rsidRPr="00275290">
                    <w:rPr>
                      <w:rFonts w:cs="Arial"/>
                      <w:sz w:val="18"/>
                      <w:szCs w:val="18"/>
                    </w:rPr>
                    <w:t xml:space="preserve">BCF </w:t>
                  </w:r>
                  <w:r w:rsidRPr="00275290">
                    <w:rPr>
                      <w:rFonts w:cs="Arial"/>
                      <w:sz w:val="18"/>
                      <w:szCs w:val="18"/>
                      <w:vertAlign w:val="subscript"/>
                    </w:rPr>
                    <w:t>in fish</w:t>
                  </w:r>
                </w:p>
              </w:tc>
              <w:tc>
                <w:tcPr>
                  <w:tcW w:w="472" w:type="pct"/>
                  <w:shd w:val="clear" w:color="auto" w:fill="auto"/>
                  <w:vAlign w:val="center"/>
                </w:tcPr>
                <w:p w14:paraId="3357F46A" w14:textId="77777777" w:rsidR="00692E71" w:rsidRPr="00275290" w:rsidRDefault="00692E71" w:rsidP="008E0250">
                  <w:pPr>
                    <w:autoSpaceDE w:val="0"/>
                    <w:autoSpaceDN w:val="0"/>
                    <w:jc w:val="center"/>
                    <w:rPr>
                      <w:rFonts w:cs="Arial"/>
                      <w:sz w:val="18"/>
                      <w:szCs w:val="18"/>
                    </w:rPr>
                  </w:pPr>
                  <w:r w:rsidRPr="00275290">
                    <w:rPr>
                      <w:rFonts w:cs="Arial"/>
                      <w:sz w:val="18"/>
                      <w:szCs w:val="18"/>
                    </w:rPr>
                    <w:t>[L.kg</w:t>
                  </w:r>
                  <w:r w:rsidRPr="00275290">
                    <w:rPr>
                      <w:rFonts w:cs="Arial"/>
                      <w:sz w:val="18"/>
                      <w:szCs w:val="18"/>
                      <w:vertAlign w:val="superscript"/>
                    </w:rPr>
                    <w:t>-1</w:t>
                  </w:r>
                  <w:r w:rsidRPr="00275290">
                    <w:rPr>
                      <w:rFonts w:cs="Arial"/>
                      <w:sz w:val="18"/>
                      <w:szCs w:val="18"/>
                    </w:rPr>
                    <w:t>]</w:t>
                  </w:r>
                </w:p>
              </w:tc>
              <w:tc>
                <w:tcPr>
                  <w:tcW w:w="589" w:type="pct"/>
                  <w:shd w:val="clear" w:color="auto" w:fill="auto"/>
                  <w:vAlign w:val="center"/>
                </w:tcPr>
                <w:p w14:paraId="504861C5" w14:textId="77777777" w:rsidR="00692E71" w:rsidRPr="00275290" w:rsidRDefault="00692E71" w:rsidP="008E0250">
                  <w:pPr>
                    <w:autoSpaceDE w:val="0"/>
                    <w:autoSpaceDN w:val="0"/>
                    <w:jc w:val="center"/>
                    <w:rPr>
                      <w:rFonts w:cs="Arial"/>
                      <w:sz w:val="18"/>
                      <w:szCs w:val="18"/>
                    </w:rPr>
                  </w:pPr>
                  <w:r w:rsidRPr="00275290">
                    <w:rPr>
                      <w:rFonts w:cs="Arial"/>
                      <w:sz w:val="18"/>
                      <w:szCs w:val="18"/>
                    </w:rPr>
                    <w:t>417</w:t>
                  </w:r>
                </w:p>
              </w:tc>
              <w:tc>
                <w:tcPr>
                  <w:tcW w:w="590" w:type="pct"/>
                  <w:shd w:val="clear" w:color="auto" w:fill="auto"/>
                  <w:vAlign w:val="center"/>
                </w:tcPr>
                <w:p w14:paraId="03DBA58D"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shd w:val="clear" w:color="auto" w:fill="auto"/>
                  <w:vAlign w:val="center"/>
                </w:tcPr>
                <w:p w14:paraId="1C6AC3AE"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shd w:val="clear" w:color="auto" w:fill="auto"/>
                  <w:vAlign w:val="center"/>
                </w:tcPr>
                <w:p w14:paraId="46E19931"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57BEC25E"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51" w:type="pct"/>
                  <w:vAlign w:val="center"/>
                </w:tcPr>
                <w:p w14:paraId="4C337A9F"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r>
            <w:tr w:rsidR="00692E71" w:rsidRPr="00275290" w14:paraId="7E23C6E4" w14:textId="77777777" w:rsidTr="008E0250">
              <w:tc>
                <w:tcPr>
                  <w:tcW w:w="1028" w:type="pct"/>
                  <w:shd w:val="clear" w:color="auto" w:fill="auto"/>
                  <w:vAlign w:val="center"/>
                </w:tcPr>
                <w:p w14:paraId="4545613F" w14:textId="77777777" w:rsidR="00692E71" w:rsidRPr="00275290" w:rsidRDefault="00692E71" w:rsidP="008E0250">
                  <w:pPr>
                    <w:autoSpaceDE w:val="0"/>
                    <w:autoSpaceDN w:val="0"/>
                    <w:rPr>
                      <w:rFonts w:cs="Arial"/>
                      <w:sz w:val="18"/>
                      <w:szCs w:val="18"/>
                    </w:rPr>
                  </w:pPr>
                  <w:r w:rsidRPr="00275290">
                    <w:rPr>
                      <w:rFonts w:cs="Arial"/>
                      <w:sz w:val="18"/>
                      <w:szCs w:val="18"/>
                    </w:rPr>
                    <w:t xml:space="preserve">BCF </w:t>
                  </w:r>
                  <w:r w:rsidRPr="00275290">
                    <w:rPr>
                      <w:rFonts w:cs="Arial"/>
                      <w:sz w:val="18"/>
                      <w:szCs w:val="18"/>
                      <w:vertAlign w:val="subscript"/>
                    </w:rPr>
                    <w:t>in earthworm</w:t>
                  </w:r>
                </w:p>
              </w:tc>
              <w:tc>
                <w:tcPr>
                  <w:tcW w:w="472" w:type="pct"/>
                  <w:shd w:val="clear" w:color="auto" w:fill="auto"/>
                  <w:vAlign w:val="center"/>
                </w:tcPr>
                <w:p w14:paraId="11B082A2" w14:textId="77777777" w:rsidR="00692E71" w:rsidRPr="00275290" w:rsidRDefault="00692E71" w:rsidP="008E0250">
                  <w:pPr>
                    <w:autoSpaceDE w:val="0"/>
                    <w:autoSpaceDN w:val="0"/>
                    <w:jc w:val="center"/>
                    <w:rPr>
                      <w:rFonts w:cs="Arial"/>
                      <w:sz w:val="18"/>
                      <w:szCs w:val="18"/>
                    </w:rPr>
                  </w:pPr>
                  <w:r w:rsidRPr="00275290">
                    <w:rPr>
                      <w:rFonts w:cs="Arial"/>
                      <w:sz w:val="18"/>
                      <w:szCs w:val="18"/>
                    </w:rPr>
                    <w:t>[L.kg</w:t>
                  </w:r>
                  <w:r w:rsidRPr="00275290">
                    <w:rPr>
                      <w:rFonts w:cs="Arial"/>
                      <w:sz w:val="18"/>
                      <w:szCs w:val="18"/>
                      <w:vertAlign w:val="superscript"/>
                    </w:rPr>
                    <w:t>-1</w:t>
                  </w:r>
                  <w:r w:rsidRPr="00275290">
                    <w:rPr>
                      <w:rFonts w:cs="Arial"/>
                      <w:sz w:val="18"/>
                      <w:szCs w:val="18"/>
                    </w:rPr>
                    <w:t>]</w:t>
                  </w:r>
                </w:p>
              </w:tc>
              <w:tc>
                <w:tcPr>
                  <w:tcW w:w="589" w:type="pct"/>
                  <w:shd w:val="clear" w:color="auto" w:fill="auto"/>
                  <w:vAlign w:val="center"/>
                </w:tcPr>
                <w:p w14:paraId="3B904509" w14:textId="77777777" w:rsidR="00692E71" w:rsidRPr="00275290" w:rsidRDefault="00692E71" w:rsidP="008E0250">
                  <w:pPr>
                    <w:autoSpaceDE w:val="0"/>
                    <w:autoSpaceDN w:val="0"/>
                    <w:jc w:val="center"/>
                    <w:rPr>
                      <w:rFonts w:cs="Arial"/>
                      <w:sz w:val="18"/>
                      <w:szCs w:val="18"/>
                    </w:rPr>
                  </w:pPr>
                  <w:r w:rsidRPr="00275290">
                    <w:rPr>
                      <w:rFonts w:cs="Arial"/>
                      <w:sz w:val="18"/>
                      <w:szCs w:val="18"/>
                    </w:rPr>
                    <w:t>3380</w:t>
                  </w:r>
                </w:p>
              </w:tc>
              <w:tc>
                <w:tcPr>
                  <w:tcW w:w="590" w:type="pct"/>
                  <w:shd w:val="clear" w:color="auto" w:fill="auto"/>
                  <w:vAlign w:val="center"/>
                </w:tcPr>
                <w:p w14:paraId="28B54F59"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shd w:val="clear" w:color="auto" w:fill="auto"/>
                  <w:vAlign w:val="center"/>
                </w:tcPr>
                <w:p w14:paraId="4EB1E472"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shd w:val="clear" w:color="auto" w:fill="auto"/>
                  <w:vAlign w:val="center"/>
                </w:tcPr>
                <w:p w14:paraId="1995BE76"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20B86E90"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51" w:type="pct"/>
                  <w:vAlign w:val="center"/>
                </w:tcPr>
                <w:p w14:paraId="5E765EE8"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r>
            <w:tr w:rsidR="00692E71" w:rsidRPr="00275290" w14:paraId="2602BA3F" w14:textId="77777777" w:rsidTr="008E0250">
              <w:tc>
                <w:tcPr>
                  <w:tcW w:w="5000" w:type="pct"/>
                  <w:gridSpan w:val="8"/>
                  <w:shd w:val="clear" w:color="auto" w:fill="auto"/>
                  <w:vAlign w:val="center"/>
                </w:tcPr>
                <w:p w14:paraId="3D920626" w14:textId="77777777" w:rsidR="00692E71" w:rsidRPr="00275290" w:rsidRDefault="00692E71" w:rsidP="008E0250">
                  <w:pPr>
                    <w:autoSpaceDE w:val="0"/>
                    <w:autoSpaceDN w:val="0"/>
                    <w:rPr>
                      <w:rFonts w:cs="Arial"/>
                      <w:sz w:val="18"/>
                      <w:szCs w:val="18"/>
                    </w:rPr>
                  </w:pPr>
                  <w:r w:rsidRPr="00275290">
                    <w:rPr>
                      <w:rFonts w:cs="Arial"/>
                      <w:sz w:val="18"/>
                      <w:szCs w:val="18"/>
                    </w:rPr>
                    <w:t>STP fraction</w:t>
                  </w:r>
                </w:p>
              </w:tc>
            </w:tr>
            <w:tr w:rsidR="00692E71" w:rsidRPr="00275290" w14:paraId="73FAF673" w14:textId="77777777" w:rsidTr="008E0250">
              <w:tc>
                <w:tcPr>
                  <w:tcW w:w="1028" w:type="pct"/>
                  <w:shd w:val="clear" w:color="auto" w:fill="auto"/>
                  <w:vAlign w:val="center"/>
                </w:tcPr>
                <w:p w14:paraId="51AFBF94" w14:textId="77777777" w:rsidR="00692E71" w:rsidRPr="00275290" w:rsidRDefault="00692E71" w:rsidP="008E0250">
                  <w:pPr>
                    <w:autoSpaceDE w:val="0"/>
                    <w:autoSpaceDN w:val="0"/>
                    <w:ind w:left="454"/>
                    <w:rPr>
                      <w:rFonts w:cs="Arial"/>
                      <w:sz w:val="18"/>
                      <w:szCs w:val="18"/>
                    </w:rPr>
                  </w:pPr>
                  <w:r w:rsidRPr="00275290">
                    <w:rPr>
                      <w:rFonts w:cs="Arial"/>
                      <w:sz w:val="18"/>
                      <w:szCs w:val="18"/>
                    </w:rPr>
                    <w:t>F</w:t>
                  </w:r>
                  <w:r w:rsidRPr="00275290">
                    <w:rPr>
                      <w:rFonts w:cs="Arial"/>
                      <w:sz w:val="18"/>
                      <w:szCs w:val="18"/>
                      <w:vertAlign w:val="subscript"/>
                    </w:rPr>
                    <w:t>STP, water</w:t>
                  </w:r>
                </w:p>
              </w:tc>
              <w:tc>
                <w:tcPr>
                  <w:tcW w:w="472" w:type="pct"/>
                  <w:shd w:val="clear" w:color="auto" w:fill="auto"/>
                  <w:vAlign w:val="center"/>
                </w:tcPr>
                <w:p w14:paraId="5E556F8C" w14:textId="77777777" w:rsidR="00692E71" w:rsidRPr="00275290" w:rsidRDefault="00692E71" w:rsidP="008E0250">
                  <w:pPr>
                    <w:autoSpaceDE w:val="0"/>
                    <w:autoSpaceDN w:val="0"/>
                    <w:jc w:val="center"/>
                    <w:rPr>
                      <w:rFonts w:cs="Arial"/>
                      <w:sz w:val="18"/>
                      <w:szCs w:val="18"/>
                    </w:rPr>
                  </w:pPr>
                  <w:r w:rsidRPr="00275290">
                    <w:rPr>
                      <w:rFonts w:cs="Arial"/>
                      <w:sz w:val="18"/>
                      <w:szCs w:val="18"/>
                    </w:rPr>
                    <w:t>[-]</w:t>
                  </w:r>
                </w:p>
              </w:tc>
              <w:tc>
                <w:tcPr>
                  <w:tcW w:w="589" w:type="pct"/>
                  <w:shd w:val="clear" w:color="auto" w:fill="auto"/>
                  <w:vAlign w:val="center"/>
                </w:tcPr>
                <w:p w14:paraId="0EA54573" w14:textId="77777777" w:rsidR="00692E71" w:rsidRPr="00275290" w:rsidRDefault="00692E71" w:rsidP="008E0250">
                  <w:pPr>
                    <w:autoSpaceDE w:val="0"/>
                    <w:autoSpaceDN w:val="0"/>
                    <w:jc w:val="center"/>
                    <w:rPr>
                      <w:rFonts w:cs="Arial"/>
                      <w:sz w:val="18"/>
                      <w:szCs w:val="18"/>
                    </w:rPr>
                  </w:pPr>
                  <w:r w:rsidRPr="00275290">
                    <w:rPr>
                      <w:rFonts w:cs="Arial"/>
                      <w:sz w:val="18"/>
                      <w:szCs w:val="18"/>
                    </w:rPr>
                    <w:t>0.091</w:t>
                  </w:r>
                </w:p>
              </w:tc>
              <w:tc>
                <w:tcPr>
                  <w:tcW w:w="590" w:type="pct"/>
                  <w:shd w:val="clear" w:color="auto" w:fill="auto"/>
                  <w:vAlign w:val="center"/>
                </w:tcPr>
                <w:p w14:paraId="7565FC5B" w14:textId="77777777" w:rsidR="00692E71" w:rsidRPr="00275290" w:rsidRDefault="00692E71" w:rsidP="008E0250">
                  <w:pPr>
                    <w:autoSpaceDE w:val="0"/>
                    <w:autoSpaceDN w:val="0"/>
                    <w:jc w:val="center"/>
                    <w:rPr>
                      <w:rFonts w:cs="Arial"/>
                      <w:sz w:val="18"/>
                      <w:szCs w:val="18"/>
                    </w:rPr>
                  </w:pPr>
                  <w:r w:rsidRPr="00275290">
                    <w:rPr>
                      <w:rFonts w:cs="Arial"/>
                      <w:sz w:val="18"/>
                      <w:szCs w:val="18"/>
                    </w:rPr>
                    <w:t>0.89</w:t>
                  </w:r>
                </w:p>
              </w:tc>
              <w:tc>
                <w:tcPr>
                  <w:tcW w:w="590" w:type="pct"/>
                  <w:shd w:val="clear" w:color="auto" w:fill="auto"/>
                  <w:vAlign w:val="center"/>
                </w:tcPr>
                <w:p w14:paraId="648F1602" w14:textId="77777777" w:rsidR="00692E71" w:rsidRPr="00275290" w:rsidRDefault="00692E71" w:rsidP="008E0250">
                  <w:pPr>
                    <w:autoSpaceDE w:val="0"/>
                    <w:autoSpaceDN w:val="0"/>
                    <w:jc w:val="center"/>
                    <w:rPr>
                      <w:rFonts w:cs="Arial"/>
                      <w:sz w:val="18"/>
                      <w:szCs w:val="18"/>
                    </w:rPr>
                  </w:pPr>
                  <w:r w:rsidRPr="00275290">
                    <w:rPr>
                      <w:rFonts w:cs="Arial"/>
                      <w:sz w:val="18"/>
                      <w:szCs w:val="18"/>
                    </w:rPr>
                    <w:t>0.9</w:t>
                  </w:r>
                </w:p>
              </w:tc>
              <w:tc>
                <w:tcPr>
                  <w:tcW w:w="590" w:type="pct"/>
                  <w:shd w:val="clear" w:color="auto" w:fill="auto"/>
                  <w:vAlign w:val="center"/>
                </w:tcPr>
                <w:p w14:paraId="604C3ABE"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67767A11" w14:textId="77777777" w:rsidR="00692E71" w:rsidRPr="00275290" w:rsidRDefault="00692E71" w:rsidP="008E0250">
                  <w:pPr>
                    <w:autoSpaceDE w:val="0"/>
                    <w:autoSpaceDN w:val="0"/>
                    <w:jc w:val="center"/>
                    <w:rPr>
                      <w:rFonts w:cs="Arial"/>
                      <w:sz w:val="18"/>
                      <w:szCs w:val="18"/>
                    </w:rPr>
                  </w:pPr>
                  <w:r w:rsidRPr="00275290">
                    <w:rPr>
                      <w:rFonts w:cs="Arial"/>
                      <w:sz w:val="18"/>
                      <w:szCs w:val="18"/>
                    </w:rPr>
                    <w:t>0.963</w:t>
                  </w:r>
                </w:p>
              </w:tc>
              <w:tc>
                <w:tcPr>
                  <w:tcW w:w="551" w:type="pct"/>
                  <w:vAlign w:val="center"/>
                </w:tcPr>
                <w:p w14:paraId="4735BF5C" w14:textId="77777777" w:rsidR="00692E71" w:rsidRPr="00275290" w:rsidRDefault="00692E71" w:rsidP="008E0250">
                  <w:pPr>
                    <w:autoSpaceDE w:val="0"/>
                    <w:autoSpaceDN w:val="0"/>
                    <w:jc w:val="center"/>
                    <w:rPr>
                      <w:rFonts w:cs="Arial"/>
                      <w:sz w:val="18"/>
                      <w:szCs w:val="18"/>
                    </w:rPr>
                  </w:pPr>
                  <w:r w:rsidRPr="00275290">
                    <w:rPr>
                      <w:rFonts w:cs="Arial"/>
                      <w:sz w:val="18"/>
                      <w:szCs w:val="18"/>
                    </w:rPr>
                    <w:t>0.967</w:t>
                  </w:r>
                </w:p>
              </w:tc>
            </w:tr>
            <w:tr w:rsidR="00692E71" w:rsidRPr="00275290" w14:paraId="78D0605B" w14:textId="77777777" w:rsidTr="008E0250">
              <w:tc>
                <w:tcPr>
                  <w:tcW w:w="1028" w:type="pct"/>
                  <w:shd w:val="clear" w:color="auto" w:fill="auto"/>
                  <w:vAlign w:val="center"/>
                </w:tcPr>
                <w:p w14:paraId="7DCD854C" w14:textId="77777777" w:rsidR="00692E71" w:rsidRPr="00275290" w:rsidRDefault="00692E71" w:rsidP="008E0250">
                  <w:pPr>
                    <w:autoSpaceDE w:val="0"/>
                    <w:autoSpaceDN w:val="0"/>
                    <w:ind w:left="454"/>
                    <w:rPr>
                      <w:rFonts w:cs="Arial"/>
                      <w:sz w:val="18"/>
                      <w:szCs w:val="18"/>
                    </w:rPr>
                  </w:pPr>
                  <w:r w:rsidRPr="00275290">
                    <w:rPr>
                      <w:rFonts w:cs="Arial"/>
                      <w:sz w:val="18"/>
                      <w:szCs w:val="18"/>
                    </w:rPr>
                    <w:t>F</w:t>
                  </w:r>
                  <w:r w:rsidRPr="00275290">
                    <w:rPr>
                      <w:rFonts w:cs="Arial"/>
                      <w:sz w:val="18"/>
                      <w:szCs w:val="18"/>
                      <w:vertAlign w:val="subscript"/>
                    </w:rPr>
                    <w:t>STP, sludge</w:t>
                  </w:r>
                </w:p>
              </w:tc>
              <w:tc>
                <w:tcPr>
                  <w:tcW w:w="472" w:type="pct"/>
                  <w:shd w:val="clear" w:color="auto" w:fill="auto"/>
                  <w:vAlign w:val="center"/>
                </w:tcPr>
                <w:p w14:paraId="507FA7A0" w14:textId="77777777" w:rsidR="00692E71" w:rsidRPr="00275290" w:rsidRDefault="00692E71" w:rsidP="008E0250">
                  <w:pPr>
                    <w:autoSpaceDE w:val="0"/>
                    <w:autoSpaceDN w:val="0"/>
                    <w:jc w:val="center"/>
                    <w:rPr>
                      <w:rFonts w:cs="Arial"/>
                      <w:sz w:val="18"/>
                      <w:szCs w:val="18"/>
                    </w:rPr>
                  </w:pPr>
                  <w:r w:rsidRPr="00275290">
                    <w:rPr>
                      <w:rFonts w:cs="Arial"/>
                      <w:sz w:val="18"/>
                      <w:szCs w:val="18"/>
                    </w:rPr>
                    <w:t>[-]</w:t>
                  </w:r>
                </w:p>
              </w:tc>
              <w:tc>
                <w:tcPr>
                  <w:tcW w:w="589" w:type="pct"/>
                  <w:shd w:val="clear" w:color="auto" w:fill="auto"/>
                  <w:vAlign w:val="center"/>
                </w:tcPr>
                <w:p w14:paraId="4C4E7812" w14:textId="77777777" w:rsidR="00692E71" w:rsidRPr="00275290" w:rsidRDefault="00692E71" w:rsidP="008E0250">
                  <w:pPr>
                    <w:autoSpaceDE w:val="0"/>
                    <w:autoSpaceDN w:val="0"/>
                    <w:jc w:val="center"/>
                    <w:rPr>
                      <w:rFonts w:cs="Arial"/>
                      <w:sz w:val="18"/>
                      <w:szCs w:val="18"/>
                    </w:rPr>
                  </w:pPr>
                  <w:r w:rsidRPr="00275290">
                    <w:rPr>
                      <w:rFonts w:cs="Arial"/>
                      <w:sz w:val="18"/>
                      <w:szCs w:val="18"/>
                    </w:rPr>
                    <w:t>0.909</w:t>
                  </w:r>
                </w:p>
              </w:tc>
              <w:tc>
                <w:tcPr>
                  <w:tcW w:w="590" w:type="pct"/>
                  <w:shd w:val="clear" w:color="auto" w:fill="auto"/>
                  <w:vAlign w:val="center"/>
                </w:tcPr>
                <w:p w14:paraId="7961274C" w14:textId="77777777" w:rsidR="00692E71" w:rsidRPr="00275290" w:rsidRDefault="00692E71" w:rsidP="008E0250">
                  <w:pPr>
                    <w:autoSpaceDE w:val="0"/>
                    <w:autoSpaceDN w:val="0"/>
                    <w:jc w:val="center"/>
                    <w:rPr>
                      <w:rFonts w:cs="Arial"/>
                      <w:sz w:val="18"/>
                      <w:szCs w:val="18"/>
                    </w:rPr>
                  </w:pPr>
                  <w:r w:rsidRPr="00275290">
                    <w:rPr>
                      <w:rFonts w:cs="Arial"/>
                      <w:sz w:val="18"/>
                      <w:szCs w:val="18"/>
                    </w:rPr>
                    <w:t>0.109</w:t>
                  </w:r>
                </w:p>
              </w:tc>
              <w:tc>
                <w:tcPr>
                  <w:tcW w:w="590" w:type="pct"/>
                  <w:shd w:val="clear" w:color="auto" w:fill="auto"/>
                  <w:vAlign w:val="center"/>
                </w:tcPr>
                <w:p w14:paraId="1F2D89DE" w14:textId="77777777" w:rsidR="00692E71" w:rsidRPr="00275290" w:rsidRDefault="00692E71" w:rsidP="008E0250">
                  <w:pPr>
                    <w:autoSpaceDE w:val="0"/>
                    <w:autoSpaceDN w:val="0"/>
                    <w:jc w:val="center"/>
                    <w:rPr>
                      <w:rFonts w:cs="Arial"/>
                      <w:sz w:val="18"/>
                      <w:szCs w:val="18"/>
                    </w:rPr>
                  </w:pPr>
                  <w:r w:rsidRPr="00275290">
                    <w:rPr>
                      <w:rFonts w:cs="Arial"/>
                      <w:sz w:val="18"/>
                      <w:szCs w:val="18"/>
                    </w:rPr>
                    <w:t>0.1</w:t>
                  </w:r>
                </w:p>
              </w:tc>
              <w:tc>
                <w:tcPr>
                  <w:tcW w:w="590" w:type="pct"/>
                  <w:shd w:val="clear" w:color="auto" w:fill="auto"/>
                  <w:vAlign w:val="center"/>
                </w:tcPr>
                <w:p w14:paraId="310EDBD9"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2214D146" w14:textId="77777777" w:rsidR="00692E71" w:rsidRPr="00275290" w:rsidRDefault="00692E71" w:rsidP="008E0250">
                  <w:pPr>
                    <w:autoSpaceDE w:val="0"/>
                    <w:autoSpaceDN w:val="0"/>
                    <w:jc w:val="center"/>
                    <w:rPr>
                      <w:rFonts w:cs="Arial"/>
                      <w:sz w:val="18"/>
                      <w:szCs w:val="18"/>
                    </w:rPr>
                  </w:pPr>
                  <w:r w:rsidRPr="00275290">
                    <w:rPr>
                      <w:rFonts w:cs="Arial"/>
                      <w:sz w:val="18"/>
                      <w:szCs w:val="18"/>
                    </w:rPr>
                    <w:t>0.0364</w:t>
                  </w:r>
                </w:p>
              </w:tc>
              <w:tc>
                <w:tcPr>
                  <w:tcW w:w="551" w:type="pct"/>
                  <w:vAlign w:val="center"/>
                </w:tcPr>
                <w:p w14:paraId="13AD422C" w14:textId="77777777" w:rsidR="00692E71" w:rsidRPr="00275290" w:rsidRDefault="00692E71" w:rsidP="008E0250">
                  <w:pPr>
                    <w:autoSpaceDE w:val="0"/>
                    <w:autoSpaceDN w:val="0"/>
                    <w:jc w:val="center"/>
                    <w:rPr>
                      <w:rFonts w:cs="Arial"/>
                      <w:sz w:val="18"/>
                      <w:szCs w:val="18"/>
                    </w:rPr>
                  </w:pPr>
                  <w:r w:rsidRPr="00275290">
                    <w:rPr>
                      <w:rFonts w:cs="Arial"/>
                      <w:sz w:val="18"/>
                      <w:szCs w:val="18"/>
                    </w:rPr>
                    <w:t>0.0241</w:t>
                  </w:r>
                </w:p>
              </w:tc>
            </w:tr>
            <w:tr w:rsidR="00692E71" w:rsidRPr="00275290" w14:paraId="4E5D78C0" w14:textId="77777777" w:rsidTr="008E0250">
              <w:tc>
                <w:tcPr>
                  <w:tcW w:w="5000" w:type="pct"/>
                  <w:gridSpan w:val="8"/>
                </w:tcPr>
                <w:p w14:paraId="6D0D831C" w14:textId="77777777" w:rsidR="00692E71" w:rsidRPr="00275290" w:rsidRDefault="00692E71" w:rsidP="008E0250">
                  <w:pPr>
                    <w:autoSpaceDE w:val="0"/>
                    <w:autoSpaceDN w:val="0"/>
                    <w:rPr>
                      <w:rFonts w:cs="Arial"/>
                      <w:sz w:val="18"/>
                      <w:szCs w:val="18"/>
                    </w:rPr>
                  </w:pPr>
                  <w:r w:rsidRPr="00275290">
                    <w:rPr>
                      <w:rFonts w:cs="Arial"/>
                      <w:sz w:val="18"/>
                      <w:szCs w:val="18"/>
                    </w:rPr>
                    <w:t>n.r. – Not relevant for the environmental risk assessement of the product</w:t>
                  </w:r>
                </w:p>
                <w:p w14:paraId="3A6BB359" w14:textId="77777777" w:rsidR="00692E71" w:rsidRPr="00275290" w:rsidRDefault="00692E71" w:rsidP="008E0250">
                  <w:pPr>
                    <w:autoSpaceDE w:val="0"/>
                    <w:autoSpaceDN w:val="0"/>
                    <w:rPr>
                      <w:rFonts w:cs="Arial"/>
                      <w:sz w:val="18"/>
                      <w:szCs w:val="18"/>
                    </w:rPr>
                  </w:pPr>
                  <w:r w:rsidRPr="00275290">
                    <w:rPr>
                      <w:rFonts w:cs="Arial"/>
                      <w:sz w:val="18"/>
                      <w:szCs w:val="18"/>
                      <w:vertAlign w:val="superscript"/>
                    </w:rPr>
                    <w:t>(</w:t>
                  </w:r>
                  <w:r w:rsidRPr="00275290">
                    <w:rPr>
                      <w:rFonts w:cs="Arial"/>
                      <w:sz w:val="18"/>
                      <w:szCs w:val="18"/>
                    </w:rPr>
                    <w:t>*</w:t>
                  </w:r>
                  <w:r w:rsidRPr="00275290">
                    <w:rPr>
                      <w:rFonts w:cs="Arial"/>
                      <w:sz w:val="18"/>
                      <w:szCs w:val="18"/>
                      <w:vertAlign w:val="superscript"/>
                    </w:rPr>
                    <w:t>)</w:t>
                  </w:r>
                  <w:r w:rsidRPr="00275290">
                    <w:rPr>
                      <w:rFonts w:cs="Arial"/>
                      <w:sz w:val="18"/>
                      <w:szCs w:val="18"/>
                    </w:rPr>
                    <w:t xml:space="preserve"> – Relevant metabolite of tebuconazole and propiconazole in soil with a maximum of 9% and 43.23 % of applied radioactivity, respectively.</w:t>
                  </w:r>
                </w:p>
                <w:p w14:paraId="50CC1FA5" w14:textId="77777777" w:rsidR="00692E71" w:rsidRPr="00275290" w:rsidRDefault="00692E71" w:rsidP="008E0250">
                  <w:pPr>
                    <w:autoSpaceDE w:val="0"/>
                    <w:autoSpaceDN w:val="0"/>
                    <w:rPr>
                      <w:rFonts w:cs="Arial"/>
                      <w:sz w:val="18"/>
                      <w:szCs w:val="18"/>
                    </w:rPr>
                  </w:pPr>
                  <w:r w:rsidRPr="00275290">
                    <w:rPr>
                      <w:rFonts w:cs="Arial"/>
                      <w:sz w:val="18"/>
                      <w:szCs w:val="18"/>
                      <w:vertAlign w:val="superscript"/>
                    </w:rPr>
                    <w:t>(</w:t>
                  </w:r>
                  <w:r w:rsidRPr="00275290">
                    <w:rPr>
                      <w:rFonts w:cs="Arial"/>
                      <w:sz w:val="18"/>
                      <w:szCs w:val="18"/>
                    </w:rPr>
                    <w:t>**</w:t>
                  </w:r>
                  <w:r w:rsidRPr="00275290">
                    <w:rPr>
                      <w:rFonts w:cs="Arial"/>
                      <w:sz w:val="18"/>
                      <w:szCs w:val="18"/>
                      <w:vertAlign w:val="superscript"/>
                    </w:rPr>
                    <w:t>)</w:t>
                  </w:r>
                  <w:r w:rsidRPr="00275290">
                    <w:rPr>
                      <w:rFonts w:cs="Arial"/>
                      <w:sz w:val="18"/>
                      <w:szCs w:val="18"/>
                    </w:rPr>
                    <w:t xml:space="preserve"> – Calculated according to the Arrhenius equation with a DT</w:t>
                  </w:r>
                  <w:r w:rsidRPr="00275290">
                    <w:rPr>
                      <w:rFonts w:cs="Arial"/>
                      <w:sz w:val="18"/>
                      <w:szCs w:val="18"/>
                      <w:vertAlign w:val="subscript"/>
                    </w:rPr>
                    <w:t>50</w:t>
                  </w:r>
                  <w:r w:rsidRPr="00275290">
                    <w:rPr>
                      <w:rFonts w:cs="Arial"/>
                      <w:sz w:val="18"/>
                      <w:szCs w:val="18"/>
                    </w:rPr>
                    <w:t xml:space="preserve"> at 20°C of 60.5 days.</w:t>
                  </w:r>
                </w:p>
                <w:p w14:paraId="41E6CD44" w14:textId="77777777" w:rsidR="00692E71" w:rsidRPr="00275290" w:rsidRDefault="00692E71" w:rsidP="008E0250">
                  <w:pPr>
                    <w:autoSpaceDE w:val="0"/>
                    <w:autoSpaceDN w:val="0"/>
                    <w:spacing w:after="240"/>
                    <w:rPr>
                      <w:rFonts w:cs="Arial"/>
                      <w:sz w:val="18"/>
                      <w:szCs w:val="18"/>
                    </w:rPr>
                  </w:pPr>
                  <w:r w:rsidRPr="00275290">
                    <w:rPr>
                      <w:rFonts w:cs="Arial"/>
                      <w:sz w:val="18"/>
                      <w:szCs w:val="18"/>
                    </w:rPr>
                    <w:lastRenderedPageBreak/>
                    <w:t>(***) – Relevant metabolite of IPBC in all environmental compartments assuming 100% of applied radioactivity.</w:t>
                  </w:r>
                </w:p>
              </w:tc>
            </w:tr>
          </w:tbl>
          <w:p w14:paraId="72EE4FCA" w14:textId="77777777" w:rsidR="00692E71" w:rsidRPr="00275290" w:rsidRDefault="00692E71" w:rsidP="008E0250">
            <w:pPr>
              <w:rPr>
                <w:rFonts w:cs="Arial"/>
              </w:rPr>
            </w:pPr>
          </w:p>
          <w:p w14:paraId="3B77E3C1" w14:textId="77777777" w:rsidR="00692E71" w:rsidRPr="00275290" w:rsidRDefault="00692E71" w:rsidP="008E0250">
            <w:pPr>
              <w:rPr>
                <w:rFonts w:cs="Arial"/>
              </w:rPr>
            </w:pPr>
            <w:r w:rsidRPr="00275290">
              <w:rPr>
                <w:rFonts w:cs="Arial"/>
              </w:rPr>
              <w:t>Moreover IPBC is quickly degraded in the environment in iodine, released as iodine radical, which is not stable in soil or water and can be considered as a “transient metabolites”. The final reaction end-products would be iodide and iodate. According to the conclusions of the AR for IPBC PT06 (27/09/2013), a quantitative assessment should not be a requirements for the final reaction end-products of IPBC. Moreover this present evaluation is covered by the qualitative assessment proposed in the AR for IPBC PT06.</w:t>
            </w:r>
          </w:p>
          <w:p w14:paraId="01694832" w14:textId="77777777" w:rsidR="00692E71" w:rsidRPr="00275290" w:rsidRDefault="00692E71" w:rsidP="008E0250">
            <w:pPr>
              <w:rPr>
                <w:rFonts w:cs="Arial"/>
              </w:rPr>
            </w:pPr>
          </w:p>
        </w:tc>
      </w:tr>
    </w:tbl>
    <w:p w14:paraId="7EC3980D" w14:textId="77777777" w:rsidR="00692E71" w:rsidRPr="00275290" w:rsidRDefault="00692E71" w:rsidP="00692E71">
      <w:pPr>
        <w:rPr>
          <w:rFonts w:cs="Arial"/>
        </w:rPr>
      </w:pPr>
    </w:p>
    <w:p w14:paraId="30AD163F" w14:textId="77777777" w:rsidR="00692E71" w:rsidRPr="00692E71" w:rsidRDefault="00692E71" w:rsidP="00692E71">
      <w:pPr>
        <w:pStyle w:val="Titre4"/>
      </w:pPr>
      <w:bookmarkStart w:id="117" w:name="_Ref467072575"/>
      <w:bookmarkStart w:id="118" w:name="_Toc536627319"/>
      <w:r w:rsidRPr="00692E71">
        <w:t>Effects on environmental organisms for active substance</w:t>
      </w:r>
      <w:bookmarkEnd w:id="117"/>
      <w:bookmarkEnd w:id="118"/>
    </w:p>
    <w:p w14:paraId="7B3B3B89" w14:textId="77777777" w:rsidR="00692E71" w:rsidRPr="00692E71" w:rsidRDefault="00692E71" w:rsidP="00692E71">
      <w:pPr>
        <w:pStyle w:val="Titre5"/>
      </w:pPr>
      <w:r w:rsidRPr="00692E71">
        <w:t>Aquatic compartment (including sediments)</w:t>
      </w:r>
    </w:p>
    <w:p w14:paraId="2A67F001" w14:textId="77777777" w:rsidR="00692E71" w:rsidRPr="00275290" w:rsidRDefault="00692E71" w:rsidP="00692E71">
      <w:pPr>
        <w:spacing w:before="240" w:line="276" w:lineRule="auto"/>
        <w:rPr>
          <w:rFonts w:cs="Arial"/>
        </w:rPr>
      </w:pPr>
      <w:r w:rsidRPr="00275290">
        <w:rPr>
          <w:rFonts w:cs="Arial"/>
        </w:rPr>
        <w:t>A summary and evaluation of effect data for the active substances with relevance to the aquatic compartment can be found in Document II-A of the active substance dossier (see Letters of Access in Section 13 of the active substances datasets).</w:t>
      </w:r>
    </w:p>
    <w:p w14:paraId="706F2C4E" w14:textId="77777777" w:rsidR="00692E71" w:rsidRPr="00275290" w:rsidRDefault="00692E71" w:rsidP="00692E71">
      <w:pPr>
        <w:spacing w:after="240" w:line="276" w:lineRule="auto"/>
        <w:rPr>
          <w:rFonts w:cs="Arial"/>
        </w:rPr>
      </w:pPr>
      <w:r w:rsidRPr="00275290">
        <w:rPr>
          <w:rFonts w:cs="Arial"/>
        </w:rPr>
        <w:t>The relevant ecotoxicological data and the calculated PNECs (see Assessment Reports) are summarised in the following Table:</w:t>
      </w:r>
    </w:p>
    <w:p w14:paraId="74039349"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w:t>
      </w:r>
      <w:r w:rsidRPr="00275290">
        <w:rPr>
          <w:rFonts w:ascii="Verdana" w:hAnsi="Verdana"/>
        </w:rPr>
        <w:fldChar w:fldCharType="end"/>
      </w:r>
      <w:r w:rsidRPr="00275290">
        <w:rPr>
          <w:rFonts w:ascii="Verdana" w:hAnsi="Verdana"/>
        </w:rPr>
        <w:t>: Ecotoxicological data on active substances and relevant metabolites for the aquatic compartment</w:t>
      </w:r>
    </w:p>
    <w:tbl>
      <w:tblPr>
        <w:tblW w:w="5000" w:type="pct"/>
        <w:jc w:val="center"/>
        <w:tblCellMar>
          <w:left w:w="70" w:type="dxa"/>
          <w:right w:w="70" w:type="dxa"/>
        </w:tblCellMar>
        <w:tblLook w:val="04A0" w:firstRow="1" w:lastRow="0" w:firstColumn="1" w:lastColumn="0" w:noHBand="0" w:noVBand="1"/>
      </w:tblPr>
      <w:tblGrid>
        <w:gridCol w:w="1877"/>
        <w:gridCol w:w="1975"/>
        <w:gridCol w:w="1975"/>
        <w:gridCol w:w="1974"/>
        <w:gridCol w:w="1972"/>
      </w:tblGrid>
      <w:tr w:rsidR="00692E71" w:rsidRPr="00275290" w14:paraId="292D6ADB" w14:textId="77777777" w:rsidTr="008E0250">
        <w:trPr>
          <w:trHeight w:val="397"/>
          <w:jc w:val="center"/>
        </w:trPr>
        <w:tc>
          <w:tcPr>
            <w:tcW w:w="960" w:type="pct"/>
            <w:tcBorders>
              <w:top w:val="single" w:sz="4" w:space="0" w:color="auto"/>
              <w:left w:val="single" w:sz="2" w:space="0" w:color="auto"/>
              <w:bottom w:val="single" w:sz="2" w:space="0" w:color="auto"/>
              <w:right w:val="single" w:sz="2" w:space="0" w:color="auto"/>
            </w:tcBorders>
            <w:shd w:val="clear" w:color="auto" w:fill="A6A6A6"/>
            <w:vAlign w:val="center"/>
          </w:tcPr>
          <w:p w14:paraId="4836478A" w14:textId="77777777" w:rsidR="00692E71" w:rsidRPr="00275290" w:rsidRDefault="00692E71" w:rsidP="008E0250">
            <w:pPr>
              <w:autoSpaceDE w:val="0"/>
              <w:autoSpaceDN w:val="0"/>
              <w:adjustRightInd w:val="0"/>
              <w:rPr>
                <w:rFonts w:cs="Arial"/>
                <w:b/>
              </w:rPr>
            </w:pPr>
            <w:r w:rsidRPr="00275290">
              <w:rPr>
                <w:rFonts w:cs="Arial"/>
                <w:b/>
              </w:rPr>
              <w:t>Ecotoxicity on aquatic organisms</w:t>
            </w:r>
          </w:p>
        </w:tc>
        <w:tc>
          <w:tcPr>
            <w:tcW w:w="1010" w:type="pct"/>
            <w:tcBorders>
              <w:top w:val="single" w:sz="4" w:space="0" w:color="auto"/>
              <w:left w:val="single" w:sz="2" w:space="0" w:color="auto"/>
              <w:bottom w:val="single" w:sz="2" w:space="0" w:color="auto"/>
              <w:right w:val="single" w:sz="2" w:space="0" w:color="auto"/>
            </w:tcBorders>
            <w:shd w:val="clear" w:color="auto" w:fill="A6A6A6"/>
            <w:vAlign w:val="center"/>
          </w:tcPr>
          <w:p w14:paraId="656341E3" w14:textId="77777777" w:rsidR="00692E71" w:rsidRPr="00275290" w:rsidRDefault="00692E71" w:rsidP="008E0250">
            <w:pPr>
              <w:autoSpaceDE w:val="0"/>
              <w:autoSpaceDN w:val="0"/>
              <w:adjustRightInd w:val="0"/>
              <w:jc w:val="center"/>
              <w:rPr>
                <w:rFonts w:cs="Arial"/>
                <w:b/>
                <w:i/>
              </w:rPr>
            </w:pPr>
            <w:r w:rsidRPr="00275290">
              <w:rPr>
                <w:rFonts w:cs="Arial"/>
                <w:b/>
              </w:rPr>
              <w:t xml:space="preserve">Cypermethrin </w:t>
            </w:r>
            <w:r w:rsidRPr="00275290">
              <w:rPr>
                <w:rFonts w:cs="Arial"/>
                <w:b/>
                <w:i/>
              </w:rPr>
              <w:t>cis:trans</w:t>
            </w:r>
            <w:r w:rsidRPr="00275290">
              <w:rPr>
                <w:rFonts w:cs="Arial"/>
                <w:b/>
              </w:rPr>
              <w:t xml:space="preserve"> / 40:60</w:t>
            </w:r>
          </w:p>
        </w:tc>
        <w:tc>
          <w:tcPr>
            <w:tcW w:w="1010" w:type="pct"/>
            <w:tcBorders>
              <w:top w:val="single" w:sz="4" w:space="0" w:color="auto"/>
              <w:left w:val="single" w:sz="2" w:space="0" w:color="auto"/>
              <w:bottom w:val="single" w:sz="2" w:space="0" w:color="auto"/>
              <w:right w:val="single" w:sz="2" w:space="0" w:color="auto"/>
            </w:tcBorders>
            <w:shd w:val="clear" w:color="auto" w:fill="A6A6A6"/>
            <w:vAlign w:val="center"/>
          </w:tcPr>
          <w:p w14:paraId="2BE3899E" w14:textId="77777777" w:rsidR="00692E71" w:rsidRPr="00275290" w:rsidRDefault="00692E71" w:rsidP="008E0250">
            <w:pPr>
              <w:autoSpaceDE w:val="0"/>
              <w:autoSpaceDN w:val="0"/>
              <w:adjustRightInd w:val="0"/>
              <w:jc w:val="center"/>
              <w:rPr>
                <w:rFonts w:cs="Arial"/>
                <w:b/>
              </w:rPr>
            </w:pPr>
            <w:r w:rsidRPr="00275290">
              <w:rPr>
                <w:rFonts w:cs="Arial"/>
                <w:b/>
              </w:rPr>
              <w:t>Tebuconazole</w:t>
            </w:r>
            <w:r w:rsidRPr="00275290">
              <w:rPr>
                <w:rFonts w:cs="Arial"/>
              </w:rPr>
              <w:t xml:space="preserve"> </w:t>
            </w:r>
            <w:r w:rsidRPr="00275290">
              <w:rPr>
                <w:rFonts w:cs="Arial"/>
                <w:b/>
              </w:rPr>
              <w:t>and relevant metabolite</w:t>
            </w:r>
          </w:p>
        </w:tc>
        <w:tc>
          <w:tcPr>
            <w:tcW w:w="1010" w:type="pct"/>
            <w:tcBorders>
              <w:top w:val="single" w:sz="4" w:space="0" w:color="auto"/>
              <w:left w:val="single" w:sz="2" w:space="0" w:color="auto"/>
              <w:bottom w:val="single" w:sz="2" w:space="0" w:color="auto"/>
              <w:right w:val="single" w:sz="2" w:space="0" w:color="auto"/>
            </w:tcBorders>
            <w:shd w:val="clear" w:color="auto" w:fill="A6A6A6"/>
            <w:vAlign w:val="center"/>
          </w:tcPr>
          <w:p w14:paraId="5323384E" w14:textId="77777777" w:rsidR="00692E71" w:rsidRPr="00275290" w:rsidRDefault="00692E71" w:rsidP="008E0250">
            <w:pPr>
              <w:autoSpaceDE w:val="0"/>
              <w:autoSpaceDN w:val="0"/>
              <w:adjustRightInd w:val="0"/>
              <w:jc w:val="center"/>
              <w:rPr>
                <w:rFonts w:cs="Arial"/>
                <w:b/>
              </w:rPr>
            </w:pPr>
            <w:r w:rsidRPr="00275290">
              <w:rPr>
                <w:rFonts w:cs="Arial"/>
                <w:b/>
              </w:rPr>
              <w:t>Propiconazole</w:t>
            </w:r>
          </w:p>
        </w:tc>
        <w:tc>
          <w:tcPr>
            <w:tcW w:w="1009" w:type="pct"/>
            <w:tcBorders>
              <w:top w:val="single" w:sz="4" w:space="0" w:color="auto"/>
              <w:left w:val="single" w:sz="2" w:space="0" w:color="auto"/>
              <w:bottom w:val="single" w:sz="2" w:space="0" w:color="auto"/>
              <w:right w:val="single" w:sz="2" w:space="0" w:color="auto"/>
            </w:tcBorders>
            <w:shd w:val="clear" w:color="auto" w:fill="A6A6A6"/>
            <w:vAlign w:val="center"/>
          </w:tcPr>
          <w:p w14:paraId="0933F43D" w14:textId="77777777" w:rsidR="00692E71" w:rsidRPr="00275290" w:rsidRDefault="00692E71" w:rsidP="008E0250">
            <w:pPr>
              <w:autoSpaceDE w:val="0"/>
              <w:autoSpaceDN w:val="0"/>
              <w:adjustRightInd w:val="0"/>
              <w:jc w:val="center"/>
              <w:rPr>
                <w:rFonts w:cs="Arial"/>
                <w:b/>
              </w:rPr>
            </w:pPr>
            <w:r w:rsidRPr="00275290">
              <w:rPr>
                <w:rFonts w:cs="Arial"/>
                <w:b/>
              </w:rPr>
              <w:t>IPBC</w:t>
            </w:r>
            <w:r w:rsidRPr="00275290">
              <w:rPr>
                <w:rFonts w:cs="Arial"/>
              </w:rPr>
              <w:t xml:space="preserve"> </w:t>
            </w:r>
            <w:r w:rsidRPr="00275290">
              <w:rPr>
                <w:rFonts w:cs="Arial"/>
                <w:b/>
              </w:rPr>
              <w:t xml:space="preserve">and relevant metabolite </w:t>
            </w:r>
            <w:r w:rsidRPr="00275290">
              <w:rPr>
                <w:rFonts w:cs="Arial"/>
                <w:b/>
                <w:vertAlign w:val="superscript"/>
              </w:rPr>
              <w:t>(4)</w:t>
            </w:r>
          </w:p>
        </w:tc>
      </w:tr>
      <w:tr w:rsidR="00692E71" w:rsidRPr="00275290" w14:paraId="2D0AC382" w14:textId="77777777" w:rsidTr="008E0250">
        <w:trPr>
          <w:trHeight w:val="397"/>
          <w:jc w:val="center"/>
        </w:trPr>
        <w:tc>
          <w:tcPr>
            <w:tcW w:w="960" w:type="pct"/>
            <w:tcBorders>
              <w:top w:val="single" w:sz="4" w:space="0" w:color="auto"/>
              <w:left w:val="single" w:sz="2" w:space="0" w:color="auto"/>
              <w:bottom w:val="single" w:sz="2" w:space="0" w:color="auto"/>
              <w:right w:val="single" w:sz="2" w:space="0" w:color="auto"/>
            </w:tcBorders>
            <w:shd w:val="clear" w:color="auto" w:fill="auto"/>
            <w:vAlign w:val="center"/>
          </w:tcPr>
          <w:p w14:paraId="4E690ADB"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LC</w:t>
            </w:r>
            <w:r w:rsidRPr="00275290">
              <w:rPr>
                <w:rFonts w:cs="Arial"/>
                <w:sz w:val="18"/>
                <w:szCs w:val="18"/>
                <w:vertAlign w:val="subscript"/>
              </w:rPr>
              <w:t>50</w:t>
            </w:r>
            <w:r w:rsidRPr="00275290">
              <w:rPr>
                <w:rFonts w:cs="Arial"/>
                <w:sz w:val="18"/>
                <w:szCs w:val="18"/>
              </w:rPr>
              <w:t xml:space="preserve"> fish [mg/L]</w:t>
            </w:r>
          </w:p>
        </w:tc>
        <w:tc>
          <w:tcPr>
            <w:tcW w:w="1010" w:type="pct"/>
            <w:tcBorders>
              <w:top w:val="single" w:sz="4" w:space="0" w:color="auto"/>
              <w:left w:val="single" w:sz="2" w:space="0" w:color="auto"/>
              <w:bottom w:val="single" w:sz="2" w:space="0" w:color="auto"/>
              <w:right w:val="single" w:sz="2" w:space="0" w:color="auto"/>
            </w:tcBorders>
            <w:shd w:val="clear" w:color="auto" w:fill="auto"/>
            <w:vAlign w:val="center"/>
          </w:tcPr>
          <w:p w14:paraId="2ED24F59"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(96 h): </w:t>
            </w:r>
          </w:p>
          <w:p w14:paraId="553AD05D"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2.83*10</w:t>
            </w:r>
            <w:r w:rsidRPr="00275290">
              <w:rPr>
                <w:rFonts w:cs="Arial"/>
                <w:sz w:val="18"/>
                <w:szCs w:val="18"/>
                <w:vertAlign w:val="superscript"/>
              </w:rPr>
              <w:t>-3</w:t>
            </w:r>
          </w:p>
        </w:tc>
        <w:tc>
          <w:tcPr>
            <w:tcW w:w="1010" w:type="pct"/>
            <w:tcBorders>
              <w:top w:val="single" w:sz="4" w:space="0" w:color="auto"/>
              <w:left w:val="single" w:sz="2" w:space="0" w:color="auto"/>
              <w:bottom w:val="single" w:sz="2" w:space="0" w:color="auto"/>
              <w:right w:val="single" w:sz="2" w:space="0" w:color="auto"/>
            </w:tcBorders>
            <w:vAlign w:val="center"/>
          </w:tcPr>
          <w:p w14:paraId="4C58611E" w14:textId="77777777" w:rsidR="00692E71" w:rsidRPr="00275290" w:rsidRDefault="00692E71" w:rsidP="008E0250">
            <w:pPr>
              <w:jc w:val="center"/>
              <w:rPr>
                <w:rFonts w:cs="Arial"/>
                <w:i/>
                <w:sz w:val="18"/>
                <w:szCs w:val="18"/>
              </w:rPr>
            </w:pPr>
            <w:r w:rsidRPr="00275290">
              <w:rPr>
                <w:rFonts w:cs="Arial"/>
                <w:i/>
                <w:sz w:val="18"/>
                <w:szCs w:val="18"/>
              </w:rPr>
              <w:t xml:space="preserve">Mortality (96 h): </w:t>
            </w:r>
            <w:r w:rsidRPr="00275290">
              <w:rPr>
                <w:rFonts w:cs="Arial"/>
                <w:sz w:val="18"/>
                <w:szCs w:val="18"/>
              </w:rPr>
              <w:t>4.4</w:t>
            </w:r>
          </w:p>
          <w:p w14:paraId="759293DC" w14:textId="77777777" w:rsidR="00692E71" w:rsidRPr="00275290" w:rsidRDefault="00692E71" w:rsidP="008E0250">
            <w:pPr>
              <w:jc w:val="center"/>
              <w:rPr>
                <w:rFonts w:cs="Arial"/>
                <w:sz w:val="18"/>
                <w:szCs w:val="18"/>
              </w:rPr>
            </w:pPr>
          </w:p>
          <w:p w14:paraId="133F6891" w14:textId="77777777" w:rsidR="00692E71" w:rsidRPr="00275290" w:rsidRDefault="00692E71" w:rsidP="008E0250">
            <w:pPr>
              <w:autoSpaceDE w:val="0"/>
              <w:autoSpaceDN w:val="0"/>
              <w:adjustRightInd w:val="0"/>
              <w:jc w:val="center"/>
              <w:rPr>
                <w:rFonts w:cs="Arial"/>
                <w:i/>
                <w:color w:val="4F81BD" w:themeColor="accent1"/>
                <w:sz w:val="18"/>
                <w:szCs w:val="18"/>
              </w:rPr>
            </w:pPr>
            <w:r w:rsidRPr="00275290">
              <w:rPr>
                <w:rFonts w:cs="Arial"/>
                <w:color w:val="4F81BD" w:themeColor="accent1"/>
                <w:sz w:val="18"/>
                <w:szCs w:val="18"/>
              </w:rPr>
              <w:t>1,2,4-triazole: 498</w:t>
            </w:r>
          </w:p>
        </w:tc>
        <w:tc>
          <w:tcPr>
            <w:tcW w:w="1010" w:type="pct"/>
            <w:tcBorders>
              <w:top w:val="single" w:sz="4" w:space="0" w:color="auto"/>
              <w:left w:val="single" w:sz="2" w:space="0" w:color="auto"/>
              <w:bottom w:val="single" w:sz="2" w:space="0" w:color="auto"/>
              <w:right w:val="single" w:sz="2" w:space="0" w:color="auto"/>
            </w:tcBorders>
            <w:vAlign w:val="center"/>
          </w:tcPr>
          <w:p w14:paraId="029B501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(96 h) </w:t>
            </w:r>
            <w:r w:rsidRPr="00275290">
              <w:rPr>
                <w:rFonts w:cs="Arial"/>
                <w:sz w:val="18"/>
                <w:szCs w:val="18"/>
              </w:rPr>
              <w:t>2.6</w:t>
            </w:r>
          </w:p>
        </w:tc>
        <w:tc>
          <w:tcPr>
            <w:tcW w:w="1009" w:type="pct"/>
            <w:tcBorders>
              <w:top w:val="single" w:sz="4" w:space="0" w:color="auto"/>
              <w:left w:val="single" w:sz="2" w:space="0" w:color="auto"/>
              <w:bottom w:val="single" w:sz="2" w:space="0" w:color="auto"/>
              <w:right w:val="single" w:sz="2" w:space="0" w:color="auto"/>
            </w:tcBorders>
            <w:vAlign w:val="center"/>
          </w:tcPr>
          <w:p w14:paraId="1B5BDB1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iCs/>
                <w:sz w:val="18"/>
                <w:szCs w:val="18"/>
              </w:rPr>
              <w:t>Mortality (96 h)</w:t>
            </w:r>
            <w:r w:rsidRPr="00275290">
              <w:rPr>
                <w:rFonts w:ascii="Verdana" w:hAnsi="Verdana" w:cs="Arial"/>
                <w:sz w:val="18"/>
                <w:szCs w:val="18"/>
              </w:rPr>
              <w:t>: 0.067</w:t>
            </w:r>
          </w:p>
          <w:p w14:paraId="2DF0FAAB" w14:textId="77777777" w:rsidR="00692E71" w:rsidRPr="00275290" w:rsidRDefault="00692E71" w:rsidP="008E0250">
            <w:pPr>
              <w:autoSpaceDE w:val="0"/>
              <w:autoSpaceDN w:val="0"/>
              <w:adjustRightInd w:val="0"/>
              <w:jc w:val="center"/>
              <w:rPr>
                <w:rFonts w:cs="Arial"/>
                <w:sz w:val="18"/>
                <w:szCs w:val="18"/>
              </w:rPr>
            </w:pPr>
          </w:p>
          <w:p w14:paraId="10CD3F86" w14:textId="77777777" w:rsidR="00692E71" w:rsidRPr="00275290" w:rsidRDefault="00692E71" w:rsidP="008E0250">
            <w:pPr>
              <w:autoSpaceDE w:val="0"/>
              <w:autoSpaceDN w:val="0"/>
              <w:adjustRightInd w:val="0"/>
              <w:jc w:val="center"/>
              <w:rPr>
                <w:rFonts w:cs="Arial"/>
                <w:i/>
                <w:color w:val="4F81BD" w:themeColor="accent1"/>
                <w:sz w:val="18"/>
                <w:szCs w:val="18"/>
              </w:rPr>
            </w:pPr>
            <w:r w:rsidRPr="00275290">
              <w:rPr>
                <w:rFonts w:cs="Arial"/>
                <w:color w:val="4F81BD" w:themeColor="accent1"/>
                <w:sz w:val="18"/>
                <w:szCs w:val="18"/>
              </w:rPr>
              <w:t>PBC: Mortality 96 h: 85.0</w:t>
            </w:r>
          </w:p>
        </w:tc>
      </w:tr>
      <w:tr w:rsidR="00692E71" w:rsidRPr="00275290" w14:paraId="0901E4E1" w14:textId="77777777" w:rsidTr="008E0250">
        <w:trPr>
          <w:trHeight w:val="397"/>
          <w:jc w:val="center"/>
        </w:trPr>
        <w:tc>
          <w:tcPr>
            <w:tcW w:w="960" w:type="pct"/>
            <w:tcBorders>
              <w:top w:val="single" w:sz="2" w:space="0" w:color="auto"/>
              <w:left w:val="single" w:sz="4" w:space="0" w:color="auto"/>
              <w:bottom w:val="single" w:sz="4" w:space="0" w:color="auto"/>
              <w:right w:val="single" w:sz="4" w:space="0" w:color="auto"/>
            </w:tcBorders>
            <w:shd w:val="clear" w:color="auto" w:fill="auto"/>
            <w:vAlign w:val="center"/>
          </w:tcPr>
          <w:p w14:paraId="10FB252D"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fish [mg/L]</w:t>
            </w:r>
          </w:p>
        </w:tc>
        <w:tc>
          <w:tcPr>
            <w:tcW w:w="1010" w:type="pct"/>
            <w:tcBorders>
              <w:top w:val="single" w:sz="2" w:space="0" w:color="auto"/>
              <w:left w:val="single" w:sz="4" w:space="0" w:color="auto"/>
              <w:bottom w:val="single" w:sz="4" w:space="0" w:color="auto"/>
              <w:right w:val="single" w:sz="4" w:space="0" w:color="auto"/>
            </w:tcBorders>
            <w:shd w:val="clear" w:color="auto" w:fill="auto"/>
            <w:vAlign w:val="center"/>
          </w:tcPr>
          <w:p w14:paraId="0DCDE5C0"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Fry survival, body length/weight (28 d): </w:t>
            </w:r>
            <w:r w:rsidRPr="00275290">
              <w:rPr>
                <w:rFonts w:cs="Arial"/>
                <w:b/>
                <w:sz w:val="18"/>
                <w:szCs w:val="18"/>
              </w:rPr>
              <w:t>1*10</w:t>
            </w:r>
            <w:r w:rsidRPr="00275290">
              <w:rPr>
                <w:rFonts w:cs="Arial"/>
                <w:b/>
                <w:sz w:val="18"/>
                <w:szCs w:val="18"/>
                <w:vertAlign w:val="superscript"/>
              </w:rPr>
              <w:t>-5(1)</w:t>
            </w:r>
          </w:p>
        </w:tc>
        <w:tc>
          <w:tcPr>
            <w:tcW w:w="1010" w:type="pct"/>
            <w:tcBorders>
              <w:top w:val="single" w:sz="2" w:space="0" w:color="auto"/>
              <w:left w:val="single" w:sz="4" w:space="0" w:color="auto"/>
              <w:bottom w:val="single" w:sz="4" w:space="0" w:color="auto"/>
              <w:right w:val="single" w:sz="4" w:space="0" w:color="auto"/>
            </w:tcBorders>
            <w:vAlign w:val="center"/>
          </w:tcPr>
          <w:p w14:paraId="2EF3A548" w14:textId="77777777" w:rsidR="00692E71" w:rsidRPr="00275290" w:rsidRDefault="00692E71" w:rsidP="008E0250">
            <w:pPr>
              <w:jc w:val="center"/>
              <w:rPr>
                <w:rFonts w:cs="Arial"/>
                <w:b/>
                <w:sz w:val="18"/>
                <w:szCs w:val="18"/>
              </w:rPr>
            </w:pPr>
            <w:r w:rsidRPr="00275290">
              <w:rPr>
                <w:rFonts w:cs="Arial"/>
                <w:i/>
                <w:sz w:val="18"/>
                <w:szCs w:val="18"/>
              </w:rPr>
              <w:t xml:space="preserve">(21 d semi-static) </w:t>
            </w:r>
            <w:r w:rsidRPr="00275290">
              <w:rPr>
                <w:rFonts w:cs="Arial"/>
                <w:b/>
                <w:sz w:val="18"/>
                <w:szCs w:val="18"/>
              </w:rPr>
              <w:t>0.010</w:t>
            </w:r>
          </w:p>
          <w:p w14:paraId="54188D47"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(83 d ELS, flow-through)</w:t>
            </w:r>
            <w:r w:rsidRPr="00275290">
              <w:rPr>
                <w:rFonts w:cs="Arial"/>
                <w:sz w:val="18"/>
                <w:szCs w:val="18"/>
              </w:rPr>
              <w:t xml:space="preserve"> 0.012</w:t>
            </w:r>
          </w:p>
        </w:tc>
        <w:tc>
          <w:tcPr>
            <w:tcW w:w="1010" w:type="pct"/>
            <w:tcBorders>
              <w:top w:val="single" w:sz="2" w:space="0" w:color="auto"/>
              <w:left w:val="single" w:sz="4" w:space="0" w:color="auto"/>
              <w:bottom w:val="single" w:sz="4" w:space="0" w:color="auto"/>
              <w:right w:val="single" w:sz="4" w:space="0" w:color="auto"/>
            </w:tcBorders>
            <w:vAlign w:val="center"/>
          </w:tcPr>
          <w:p w14:paraId="4CF0B9A1"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(100 d) </w:t>
            </w:r>
            <w:r w:rsidRPr="00275290">
              <w:rPr>
                <w:rFonts w:cs="Arial"/>
                <w:b/>
                <w:sz w:val="18"/>
                <w:szCs w:val="18"/>
              </w:rPr>
              <w:t xml:space="preserve">0.068 </w:t>
            </w:r>
          </w:p>
        </w:tc>
        <w:tc>
          <w:tcPr>
            <w:tcW w:w="1009" w:type="pct"/>
            <w:tcBorders>
              <w:top w:val="single" w:sz="2" w:space="0" w:color="auto"/>
              <w:left w:val="single" w:sz="4" w:space="0" w:color="auto"/>
              <w:bottom w:val="single" w:sz="4" w:space="0" w:color="auto"/>
              <w:right w:val="single" w:sz="4" w:space="0" w:color="auto"/>
            </w:tcBorders>
            <w:vAlign w:val="center"/>
          </w:tcPr>
          <w:p w14:paraId="4A0E315A" w14:textId="77777777" w:rsidR="00692E71" w:rsidRPr="00275290" w:rsidRDefault="00692E71" w:rsidP="008E0250">
            <w:pPr>
              <w:autoSpaceDE w:val="0"/>
              <w:autoSpaceDN w:val="0"/>
              <w:adjustRightInd w:val="0"/>
              <w:jc w:val="center"/>
              <w:rPr>
                <w:rFonts w:cs="Arial"/>
                <w:i/>
                <w:iCs/>
                <w:sz w:val="18"/>
                <w:szCs w:val="18"/>
              </w:rPr>
            </w:pPr>
            <w:r w:rsidRPr="00275290">
              <w:rPr>
                <w:rFonts w:cs="Arial"/>
                <w:i/>
                <w:iCs/>
                <w:sz w:val="18"/>
                <w:szCs w:val="18"/>
              </w:rPr>
              <w:t>Larval growth (length and weight</w:t>
            </w:r>
          </w:p>
          <w:p w14:paraId="1D8817B3" w14:textId="77777777" w:rsidR="00692E71" w:rsidRPr="00275290" w:rsidRDefault="00692E71" w:rsidP="008E0250">
            <w:pPr>
              <w:autoSpaceDE w:val="0"/>
              <w:autoSpaceDN w:val="0"/>
              <w:adjustRightInd w:val="0"/>
              <w:jc w:val="center"/>
              <w:rPr>
                <w:rFonts w:cs="Arial"/>
                <w:i/>
                <w:sz w:val="18"/>
                <w:szCs w:val="18"/>
              </w:rPr>
            </w:pPr>
            <w:r w:rsidRPr="00275290">
              <w:rPr>
                <w:rFonts w:cs="Arial"/>
                <w:i/>
                <w:iCs/>
                <w:sz w:val="18"/>
                <w:szCs w:val="18"/>
              </w:rPr>
              <w:t xml:space="preserve"> </w:t>
            </w:r>
            <w:r w:rsidRPr="00275290">
              <w:rPr>
                <w:rFonts w:cs="Arial"/>
                <w:sz w:val="18"/>
                <w:szCs w:val="18"/>
              </w:rPr>
              <w:t>0.0084</w:t>
            </w:r>
          </w:p>
        </w:tc>
      </w:tr>
      <w:tr w:rsidR="00692E71" w:rsidRPr="00275290" w14:paraId="6599E8FF"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28B63DB8"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EC</w:t>
            </w:r>
            <w:r w:rsidRPr="00275290">
              <w:rPr>
                <w:rFonts w:cs="Arial"/>
                <w:sz w:val="18"/>
                <w:szCs w:val="18"/>
                <w:vertAlign w:val="subscript"/>
              </w:rPr>
              <w:t>50</w:t>
            </w:r>
            <w:r w:rsidRPr="00275290">
              <w:rPr>
                <w:rFonts w:cs="Arial"/>
                <w:sz w:val="18"/>
                <w:szCs w:val="18"/>
              </w:rPr>
              <w:t xml:space="preserve"> aquatic invertebrates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726A753C"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Immobilisation (48 h): </w:t>
            </w:r>
            <w:r w:rsidRPr="00275290">
              <w:rPr>
                <w:rFonts w:cs="Arial"/>
                <w:sz w:val="18"/>
                <w:szCs w:val="18"/>
              </w:rPr>
              <w:t>4.71*10</w:t>
            </w:r>
            <w:r w:rsidRPr="00275290">
              <w:rPr>
                <w:rFonts w:cs="Arial"/>
                <w:sz w:val="18"/>
                <w:szCs w:val="18"/>
                <w:vertAlign w:val="superscript"/>
              </w:rPr>
              <w:t>-3</w:t>
            </w:r>
          </w:p>
        </w:tc>
        <w:tc>
          <w:tcPr>
            <w:tcW w:w="1010" w:type="pct"/>
            <w:tcBorders>
              <w:top w:val="single" w:sz="4" w:space="0" w:color="auto"/>
              <w:left w:val="single" w:sz="4" w:space="0" w:color="auto"/>
              <w:bottom w:val="single" w:sz="4" w:space="0" w:color="auto"/>
              <w:right w:val="single" w:sz="4" w:space="0" w:color="auto"/>
            </w:tcBorders>
            <w:vAlign w:val="center"/>
          </w:tcPr>
          <w:p w14:paraId="7920843E" w14:textId="77777777" w:rsidR="00692E71" w:rsidRPr="00275290" w:rsidRDefault="00692E71" w:rsidP="008E0250">
            <w:pPr>
              <w:jc w:val="center"/>
              <w:rPr>
                <w:rFonts w:cs="Arial"/>
                <w:i/>
                <w:sz w:val="18"/>
                <w:szCs w:val="18"/>
              </w:rPr>
            </w:pPr>
            <w:r w:rsidRPr="00275290">
              <w:rPr>
                <w:rFonts w:cs="Arial"/>
                <w:i/>
                <w:sz w:val="18"/>
                <w:szCs w:val="18"/>
              </w:rPr>
              <w:t xml:space="preserve">Immobilisation (48 h): </w:t>
            </w:r>
            <w:r w:rsidRPr="00275290">
              <w:rPr>
                <w:rFonts w:cs="Arial"/>
                <w:sz w:val="18"/>
                <w:szCs w:val="18"/>
              </w:rPr>
              <w:t>2.8</w:t>
            </w:r>
          </w:p>
          <w:p w14:paraId="6F7E2BB1" w14:textId="77777777" w:rsidR="00692E71" w:rsidRPr="00275290" w:rsidRDefault="00692E71" w:rsidP="008E0250">
            <w:pPr>
              <w:jc w:val="center"/>
              <w:rPr>
                <w:rFonts w:cs="Arial"/>
                <w:i/>
                <w:sz w:val="18"/>
                <w:szCs w:val="18"/>
              </w:rPr>
            </w:pPr>
            <w:r w:rsidRPr="00275290">
              <w:rPr>
                <w:rFonts w:cs="Arial"/>
                <w:i/>
                <w:sz w:val="18"/>
                <w:szCs w:val="18"/>
              </w:rPr>
              <w:t xml:space="preserve">Mortality (48 h): </w:t>
            </w:r>
            <w:r w:rsidRPr="00275290">
              <w:rPr>
                <w:rFonts w:cs="Arial"/>
                <w:sz w:val="18"/>
                <w:szCs w:val="18"/>
              </w:rPr>
              <w:t>4.2</w:t>
            </w:r>
          </w:p>
          <w:p w14:paraId="565F182A" w14:textId="77777777" w:rsidR="00692E71" w:rsidRPr="00275290" w:rsidRDefault="00692E71" w:rsidP="008E0250">
            <w:pPr>
              <w:jc w:val="center"/>
              <w:rPr>
                <w:rFonts w:cs="Arial"/>
                <w:sz w:val="18"/>
                <w:szCs w:val="18"/>
              </w:rPr>
            </w:pPr>
          </w:p>
          <w:p w14:paraId="192EEEA2" w14:textId="77777777" w:rsidR="00692E71" w:rsidRPr="00275290" w:rsidRDefault="00692E71" w:rsidP="008E0250">
            <w:pPr>
              <w:autoSpaceDE w:val="0"/>
              <w:autoSpaceDN w:val="0"/>
              <w:adjustRightInd w:val="0"/>
              <w:jc w:val="center"/>
              <w:rPr>
                <w:rFonts w:cs="Arial"/>
                <w:i/>
                <w:color w:val="4F81BD" w:themeColor="accent1"/>
                <w:sz w:val="18"/>
                <w:szCs w:val="18"/>
              </w:rPr>
            </w:pPr>
            <w:r w:rsidRPr="00275290">
              <w:rPr>
                <w:rFonts w:cs="Arial"/>
                <w:color w:val="4F81BD" w:themeColor="accent1"/>
                <w:sz w:val="18"/>
                <w:szCs w:val="18"/>
              </w:rPr>
              <w:t>1,2,4-triazole: &gt; 100</w:t>
            </w:r>
          </w:p>
        </w:tc>
        <w:tc>
          <w:tcPr>
            <w:tcW w:w="1010" w:type="pct"/>
            <w:tcBorders>
              <w:top w:val="single" w:sz="4" w:space="0" w:color="auto"/>
              <w:left w:val="single" w:sz="4" w:space="0" w:color="auto"/>
              <w:bottom w:val="single" w:sz="4" w:space="0" w:color="auto"/>
              <w:right w:val="single" w:sz="4" w:space="0" w:color="auto"/>
            </w:tcBorders>
            <w:vAlign w:val="center"/>
          </w:tcPr>
          <w:p w14:paraId="38857B7E"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(96 h) </w:t>
            </w:r>
            <w:r w:rsidRPr="00275290">
              <w:rPr>
                <w:rFonts w:cs="Arial"/>
                <w:sz w:val="18"/>
                <w:szCs w:val="18"/>
              </w:rPr>
              <w:t>0.51</w:t>
            </w:r>
          </w:p>
        </w:tc>
        <w:tc>
          <w:tcPr>
            <w:tcW w:w="1009" w:type="pct"/>
            <w:tcBorders>
              <w:top w:val="single" w:sz="4" w:space="0" w:color="auto"/>
              <w:left w:val="single" w:sz="4" w:space="0" w:color="auto"/>
              <w:bottom w:val="single" w:sz="4" w:space="0" w:color="auto"/>
              <w:right w:val="single" w:sz="4" w:space="0" w:color="auto"/>
            </w:tcBorders>
            <w:vAlign w:val="center"/>
          </w:tcPr>
          <w:p w14:paraId="73DF64EA"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(48 h): 0.160 </w:t>
            </w:r>
          </w:p>
          <w:p w14:paraId="5C2F6489" w14:textId="77777777" w:rsidR="00692E71" w:rsidRPr="00275290" w:rsidRDefault="00692E71" w:rsidP="008E0250">
            <w:pPr>
              <w:autoSpaceDE w:val="0"/>
              <w:autoSpaceDN w:val="0"/>
              <w:adjustRightInd w:val="0"/>
              <w:jc w:val="center"/>
              <w:rPr>
                <w:rFonts w:cs="Arial"/>
                <w:i/>
                <w:sz w:val="18"/>
                <w:szCs w:val="18"/>
              </w:rPr>
            </w:pPr>
          </w:p>
          <w:p w14:paraId="2130BB9B" w14:textId="77777777" w:rsidR="00692E71" w:rsidRPr="00275290" w:rsidRDefault="00692E71" w:rsidP="008E0250">
            <w:pPr>
              <w:autoSpaceDE w:val="0"/>
              <w:autoSpaceDN w:val="0"/>
              <w:adjustRightInd w:val="0"/>
              <w:jc w:val="center"/>
              <w:rPr>
                <w:rFonts w:cs="Arial"/>
                <w:color w:val="4F81BD" w:themeColor="accent1"/>
                <w:sz w:val="18"/>
                <w:szCs w:val="18"/>
              </w:rPr>
            </w:pPr>
            <w:r w:rsidRPr="00275290">
              <w:rPr>
                <w:rFonts w:cs="Arial"/>
                <w:color w:val="4F81BD" w:themeColor="accent1"/>
                <w:sz w:val="18"/>
                <w:szCs w:val="18"/>
              </w:rPr>
              <w:t>PBC: Mortality 48 h: 60.0</w:t>
            </w:r>
          </w:p>
        </w:tc>
      </w:tr>
      <w:tr w:rsidR="00692E71" w:rsidRPr="00275290" w14:paraId="59E0410D"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5C8C679C"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aquatic invertebrates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16FB7DF"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Immobilisation (21 d): </w:t>
            </w:r>
            <w:r w:rsidRPr="00275290">
              <w:rPr>
                <w:rFonts w:cs="Arial"/>
                <w:sz w:val="18"/>
                <w:szCs w:val="18"/>
              </w:rPr>
              <w:t>4*10</w:t>
            </w:r>
            <w:r w:rsidRPr="00275290">
              <w:rPr>
                <w:rFonts w:cs="Arial"/>
                <w:sz w:val="18"/>
                <w:szCs w:val="18"/>
                <w:vertAlign w:val="superscript"/>
              </w:rPr>
              <w:t>-5</w:t>
            </w:r>
          </w:p>
        </w:tc>
        <w:tc>
          <w:tcPr>
            <w:tcW w:w="1010" w:type="pct"/>
            <w:tcBorders>
              <w:top w:val="single" w:sz="4" w:space="0" w:color="auto"/>
              <w:left w:val="single" w:sz="4" w:space="0" w:color="auto"/>
              <w:bottom w:val="single" w:sz="4" w:space="0" w:color="auto"/>
              <w:right w:val="single" w:sz="4" w:space="0" w:color="auto"/>
            </w:tcBorders>
            <w:vAlign w:val="center"/>
          </w:tcPr>
          <w:p w14:paraId="05EDA49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Immobilisation (21 d): </w:t>
            </w:r>
            <w:r w:rsidRPr="00275290">
              <w:rPr>
                <w:rFonts w:cs="Arial"/>
                <w:sz w:val="18"/>
                <w:szCs w:val="18"/>
              </w:rPr>
              <w:t>0.01</w:t>
            </w:r>
          </w:p>
        </w:tc>
        <w:tc>
          <w:tcPr>
            <w:tcW w:w="1010" w:type="pct"/>
            <w:tcBorders>
              <w:top w:val="single" w:sz="4" w:space="0" w:color="auto"/>
              <w:left w:val="single" w:sz="4" w:space="0" w:color="auto"/>
              <w:bottom w:val="single" w:sz="4" w:space="0" w:color="auto"/>
              <w:right w:val="single" w:sz="4" w:space="0" w:color="auto"/>
            </w:tcBorders>
            <w:vAlign w:val="center"/>
          </w:tcPr>
          <w:p w14:paraId="08CF8EF2"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Immobilisation (28 d) </w:t>
            </w:r>
            <w:r w:rsidRPr="00275290">
              <w:rPr>
                <w:rFonts w:cs="Arial"/>
                <w:sz w:val="18"/>
                <w:szCs w:val="18"/>
              </w:rPr>
              <w:t>0.11</w:t>
            </w:r>
          </w:p>
        </w:tc>
        <w:tc>
          <w:tcPr>
            <w:tcW w:w="1009" w:type="pct"/>
            <w:tcBorders>
              <w:top w:val="single" w:sz="4" w:space="0" w:color="auto"/>
              <w:left w:val="single" w:sz="4" w:space="0" w:color="auto"/>
              <w:bottom w:val="single" w:sz="4" w:space="0" w:color="auto"/>
              <w:right w:val="single" w:sz="4" w:space="0" w:color="auto"/>
            </w:tcBorders>
            <w:vAlign w:val="center"/>
          </w:tcPr>
          <w:p w14:paraId="1DAB90D7" w14:textId="77777777" w:rsidR="00692E71" w:rsidRPr="00275290" w:rsidRDefault="00692E71" w:rsidP="008E0250">
            <w:pPr>
              <w:autoSpaceDE w:val="0"/>
              <w:autoSpaceDN w:val="0"/>
              <w:adjustRightInd w:val="0"/>
              <w:jc w:val="center"/>
              <w:rPr>
                <w:rFonts w:cs="Arial"/>
                <w:i/>
                <w:sz w:val="18"/>
                <w:szCs w:val="18"/>
              </w:rPr>
            </w:pPr>
            <w:r w:rsidRPr="00275290">
              <w:rPr>
                <w:rFonts w:cs="Arial"/>
                <w:i/>
                <w:iCs/>
                <w:sz w:val="18"/>
                <w:szCs w:val="18"/>
              </w:rPr>
              <w:t xml:space="preserve">Mortality, reproduction and growth effects (21 d) </w:t>
            </w:r>
            <w:r w:rsidRPr="00275290">
              <w:rPr>
                <w:rFonts w:cs="Arial"/>
                <w:iCs/>
                <w:sz w:val="18"/>
                <w:szCs w:val="18"/>
              </w:rPr>
              <w:t>0.050</w:t>
            </w:r>
          </w:p>
        </w:tc>
      </w:tr>
      <w:tr w:rsidR="00692E71" w:rsidRPr="00275290" w14:paraId="55F15924"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0B2C6B5D"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ErC</w:t>
            </w:r>
            <w:r w:rsidRPr="00275290">
              <w:rPr>
                <w:rFonts w:cs="Arial"/>
                <w:sz w:val="18"/>
                <w:szCs w:val="18"/>
                <w:vertAlign w:val="subscript"/>
              </w:rPr>
              <w:t>50</w:t>
            </w:r>
            <w:r w:rsidRPr="00275290">
              <w:rPr>
                <w:rFonts w:cs="Arial"/>
                <w:sz w:val="18"/>
                <w:szCs w:val="18"/>
              </w:rPr>
              <w:t xml:space="preserve"> algae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421F87E1"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Growth rate (96 h): </w:t>
            </w:r>
          </w:p>
          <w:p w14:paraId="4EACAC50"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&gt; 33*10</w:t>
            </w:r>
            <w:r w:rsidRPr="00275290">
              <w:rPr>
                <w:rFonts w:cs="Arial"/>
                <w:sz w:val="18"/>
                <w:szCs w:val="18"/>
                <w:vertAlign w:val="superscript"/>
              </w:rPr>
              <w:t>-3</w:t>
            </w:r>
          </w:p>
        </w:tc>
        <w:tc>
          <w:tcPr>
            <w:tcW w:w="1010" w:type="pct"/>
            <w:tcBorders>
              <w:top w:val="single" w:sz="4" w:space="0" w:color="auto"/>
              <w:left w:val="single" w:sz="4" w:space="0" w:color="auto"/>
              <w:bottom w:val="single" w:sz="4" w:space="0" w:color="auto"/>
              <w:right w:val="single" w:sz="4" w:space="0" w:color="auto"/>
            </w:tcBorders>
            <w:vAlign w:val="center"/>
          </w:tcPr>
          <w:p w14:paraId="515B5047" w14:textId="77777777" w:rsidR="00692E71" w:rsidRPr="00275290" w:rsidRDefault="00692E71" w:rsidP="008E0250">
            <w:pPr>
              <w:jc w:val="center"/>
              <w:rPr>
                <w:rFonts w:cs="Arial"/>
                <w:i/>
                <w:sz w:val="18"/>
                <w:szCs w:val="18"/>
              </w:rPr>
            </w:pPr>
            <w:r w:rsidRPr="00275290">
              <w:rPr>
                <w:rFonts w:cs="Arial"/>
                <w:i/>
                <w:sz w:val="18"/>
                <w:szCs w:val="18"/>
              </w:rPr>
              <w:t xml:space="preserve">Growth rate (72 h): </w:t>
            </w:r>
            <w:r w:rsidRPr="00275290">
              <w:rPr>
                <w:rFonts w:cs="Arial"/>
                <w:sz w:val="18"/>
                <w:szCs w:val="18"/>
              </w:rPr>
              <w:t>5.3</w:t>
            </w:r>
          </w:p>
          <w:p w14:paraId="37239E1E" w14:textId="77777777" w:rsidR="00692E71" w:rsidRPr="00275290" w:rsidRDefault="00692E71" w:rsidP="008E0250">
            <w:pPr>
              <w:jc w:val="center"/>
              <w:rPr>
                <w:rFonts w:cs="Arial"/>
                <w:sz w:val="18"/>
                <w:szCs w:val="18"/>
              </w:rPr>
            </w:pPr>
          </w:p>
          <w:p w14:paraId="6C75B512" w14:textId="77777777" w:rsidR="00692E71" w:rsidRPr="00275290" w:rsidRDefault="00692E71" w:rsidP="008E0250">
            <w:pPr>
              <w:autoSpaceDE w:val="0"/>
              <w:autoSpaceDN w:val="0"/>
              <w:adjustRightInd w:val="0"/>
              <w:jc w:val="center"/>
              <w:rPr>
                <w:rFonts w:cs="Arial"/>
                <w:i/>
                <w:color w:val="4F81BD" w:themeColor="accent1"/>
                <w:sz w:val="18"/>
                <w:szCs w:val="18"/>
              </w:rPr>
            </w:pPr>
            <w:r w:rsidRPr="00275290">
              <w:rPr>
                <w:rFonts w:cs="Arial"/>
                <w:color w:val="4F81BD" w:themeColor="accent1"/>
                <w:sz w:val="18"/>
                <w:szCs w:val="18"/>
              </w:rPr>
              <w:t>1,2,4-triazole: &gt; 31</w:t>
            </w:r>
          </w:p>
        </w:tc>
        <w:tc>
          <w:tcPr>
            <w:tcW w:w="1010" w:type="pct"/>
            <w:tcBorders>
              <w:top w:val="single" w:sz="4" w:space="0" w:color="auto"/>
              <w:left w:val="single" w:sz="4" w:space="0" w:color="auto"/>
              <w:bottom w:val="single" w:sz="4" w:space="0" w:color="auto"/>
              <w:right w:val="single" w:sz="4" w:space="0" w:color="auto"/>
            </w:tcBorders>
            <w:vAlign w:val="center"/>
          </w:tcPr>
          <w:p w14:paraId="7AB05B03"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Growth rate (72 h) </w:t>
            </w:r>
            <w:r w:rsidRPr="00275290">
              <w:rPr>
                <w:rFonts w:cs="Arial"/>
                <w:sz w:val="18"/>
                <w:szCs w:val="18"/>
              </w:rPr>
              <w:t>9.0</w:t>
            </w:r>
          </w:p>
        </w:tc>
        <w:tc>
          <w:tcPr>
            <w:tcW w:w="1009" w:type="pct"/>
            <w:tcBorders>
              <w:top w:val="single" w:sz="4" w:space="0" w:color="auto"/>
              <w:left w:val="single" w:sz="4" w:space="0" w:color="auto"/>
              <w:bottom w:val="single" w:sz="4" w:space="0" w:color="auto"/>
              <w:right w:val="single" w:sz="4" w:space="0" w:color="auto"/>
            </w:tcBorders>
            <w:vAlign w:val="center"/>
          </w:tcPr>
          <w:p w14:paraId="5AA07C72" w14:textId="77777777" w:rsidR="00692E71" w:rsidRPr="00275290" w:rsidRDefault="00692E71" w:rsidP="008E0250">
            <w:pPr>
              <w:pStyle w:val="Default"/>
              <w:jc w:val="center"/>
              <w:rPr>
                <w:rFonts w:ascii="Verdana" w:hAnsi="Verdana" w:cs="Arial"/>
                <w:i/>
                <w:iCs/>
                <w:sz w:val="18"/>
                <w:szCs w:val="18"/>
              </w:rPr>
            </w:pPr>
            <w:r w:rsidRPr="00275290">
              <w:rPr>
                <w:rFonts w:ascii="Verdana" w:hAnsi="Verdana" w:cs="Arial"/>
                <w:i/>
                <w:iCs/>
                <w:sz w:val="18"/>
                <w:szCs w:val="18"/>
              </w:rPr>
              <w:t>72 h: 0.053</w:t>
            </w:r>
          </w:p>
          <w:p w14:paraId="59D31314" w14:textId="77777777" w:rsidR="00692E71" w:rsidRPr="00275290" w:rsidRDefault="00692E71" w:rsidP="008E0250">
            <w:pPr>
              <w:pStyle w:val="Default"/>
              <w:jc w:val="center"/>
              <w:rPr>
                <w:rFonts w:ascii="Verdana" w:hAnsi="Verdana" w:cs="Arial"/>
                <w:sz w:val="18"/>
                <w:szCs w:val="18"/>
              </w:rPr>
            </w:pPr>
          </w:p>
          <w:p w14:paraId="118FD52A" w14:textId="77777777" w:rsidR="00692E71" w:rsidRPr="00275290" w:rsidRDefault="00692E71" w:rsidP="008E0250">
            <w:pPr>
              <w:autoSpaceDE w:val="0"/>
              <w:autoSpaceDN w:val="0"/>
              <w:adjustRightInd w:val="0"/>
              <w:jc w:val="center"/>
              <w:rPr>
                <w:rFonts w:cs="Arial"/>
                <w:b/>
                <w:i/>
                <w:color w:val="4F81BD" w:themeColor="accent1"/>
                <w:sz w:val="18"/>
                <w:szCs w:val="18"/>
              </w:rPr>
            </w:pPr>
            <w:r w:rsidRPr="00275290">
              <w:rPr>
                <w:rFonts w:cs="Arial"/>
                <w:b/>
                <w:color w:val="4F81BD" w:themeColor="accent1"/>
                <w:sz w:val="18"/>
                <w:szCs w:val="18"/>
              </w:rPr>
              <w:t>PBC: 96 h: &gt; 41.3</w:t>
            </w:r>
          </w:p>
        </w:tc>
      </w:tr>
      <w:tr w:rsidR="00692E71" w:rsidRPr="00275290" w14:paraId="685769A2"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26F58C5A"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EbC</w:t>
            </w:r>
            <w:r w:rsidRPr="00275290">
              <w:rPr>
                <w:rFonts w:cs="Arial"/>
                <w:sz w:val="18"/>
                <w:szCs w:val="18"/>
                <w:vertAlign w:val="subscript"/>
              </w:rPr>
              <w:t xml:space="preserve">50 </w:t>
            </w:r>
            <w:r w:rsidRPr="00275290">
              <w:rPr>
                <w:rFonts w:cs="Arial"/>
                <w:sz w:val="18"/>
                <w:szCs w:val="18"/>
              </w:rPr>
              <w:t>algae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35161D1B"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Biomass (96 h): </w:t>
            </w:r>
          </w:p>
          <w:p w14:paraId="2C67686E"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&gt; 33*10</w:t>
            </w:r>
            <w:r w:rsidRPr="00275290">
              <w:rPr>
                <w:rFonts w:cs="Arial"/>
                <w:sz w:val="18"/>
                <w:szCs w:val="18"/>
                <w:vertAlign w:val="superscript"/>
              </w:rPr>
              <w:t>-3</w:t>
            </w:r>
          </w:p>
        </w:tc>
        <w:tc>
          <w:tcPr>
            <w:tcW w:w="1010" w:type="pct"/>
            <w:tcBorders>
              <w:top w:val="single" w:sz="4" w:space="0" w:color="auto"/>
              <w:left w:val="single" w:sz="4" w:space="0" w:color="auto"/>
              <w:bottom w:val="single" w:sz="4" w:space="0" w:color="auto"/>
              <w:right w:val="single" w:sz="4" w:space="0" w:color="auto"/>
            </w:tcBorders>
            <w:vAlign w:val="center"/>
          </w:tcPr>
          <w:p w14:paraId="161E12B7"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Biomass (72 h): </w:t>
            </w:r>
            <w:r w:rsidRPr="00275290">
              <w:rPr>
                <w:rFonts w:cs="Arial"/>
                <w:sz w:val="18"/>
                <w:szCs w:val="18"/>
              </w:rPr>
              <w:t>1.96</w:t>
            </w:r>
          </w:p>
        </w:tc>
        <w:tc>
          <w:tcPr>
            <w:tcW w:w="1010" w:type="pct"/>
            <w:tcBorders>
              <w:top w:val="single" w:sz="4" w:space="0" w:color="auto"/>
              <w:left w:val="single" w:sz="4" w:space="0" w:color="auto"/>
              <w:bottom w:val="single" w:sz="4" w:space="0" w:color="auto"/>
              <w:right w:val="single" w:sz="4" w:space="0" w:color="auto"/>
            </w:tcBorders>
            <w:vAlign w:val="center"/>
          </w:tcPr>
          <w:p w14:paraId="1AC0A64A"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no data</w:t>
            </w:r>
          </w:p>
        </w:tc>
        <w:tc>
          <w:tcPr>
            <w:tcW w:w="1009" w:type="pct"/>
            <w:tcBorders>
              <w:top w:val="single" w:sz="4" w:space="0" w:color="auto"/>
              <w:left w:val="single" w:sz="4" w:space="0" w:color="auto"/>
              <w:bottom w:val="single" w:sz="4" w:space="0" w:color="auto"/>
              <w:right w:val="single" w:sz="4" w:space="0" w:color="auto"/>
            </w:tcBorders>
            <w:vAlign w:val="center"/>
          </w:tcPr>
          <w:p w14:paraId="6BB8140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iCs/>
                <w:sz w:val="18"/>
                <w:szCs w:val="18"/>
              </w:rPr>
              <w:t xml:space="preserve">72 h: </w:t>
            </w:r>
            <w:r w:rsidRPr="00275290">
              <w:rPr>
                <w:rFonts w:ascii="Verdana" w:hAnsi="Verdana" w:cs="Arial"/>
                <w:sz w:val="18"/>
                <w:szCs w:val="18"/>
              </w:rPr>
              <w:t>0.022</w:t>
            </w:r>
          </w:p>
          <w:p w14:paraId="0FE49A99" w14:textId="77777777" w:rsidR="00692E71" w:rsidRPr="00275290" w:rsidRDefault="00692E71" w:rsidP="008E0250">
            <w:pPr>
              <w:pStyle w:val="Default"/>
              <w:jc w:val="center"/>
              <w:rPr>
                <w:rFonts w:ascii="Verdana" w:hAnsi="Verdana" w:cs="Arial"/>
                <w:sz w:val="18"/>
                <w:szCs w:val="18"/>
              </w:rPr>
            </w:pPr>
          </w:p>
          <w:p w14:paraId="500B9B73" w14:textId="77777777" w:rsidR="00692E71" w:rsidRPr="00275290" w:rsidRDefault="00692E71" w:rsidP="008E0250">
            <w:pPr>
              <w:autoSpaceDE w:val="0"/>
              <w:autoSpaceDN w:val="0"/>
              <w:adjustRightInd w:val="0"/>
              <w:jc w:val="center"/>
              <w:rPr>
                <w:rFonts w:cs="Arial"/>
                <w:color w:val="4F81BD" w:themeColor="accent1"/>
                <w:sz w:val="18"/>
                <w:szCs w:val="18"/>
              </w:rPr>
            </w:pPr>
            <w:r w:rsidRPr="00275290">
              <w:rPr>
                <w:rFonts w:cs="Arial"/>
                <w:color w:val="4F81BD" w:themeColor="accent1"/>
                <w:sz w:val="18"/>
                <w:szCs w:val="18"/>
              </w:rPr>
              <w:t>PBC: 96 h: &gt; 41.3</w:t>
            </w:r>
          </w:p>
        </w:tc>
      </w:tr>
      <w:tr w:rsidR="00692E71" w:rsidRPr="00275290" w14:paraId="5E58C9AD"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7C7C6A67"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algae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4C0AE99A"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Biomass (96 h): </w:t>
            </w:r>
          </w:p>
          <w:p w14:paraId="59B0A045"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&gt; 33*10</w:t>
            </w:r>
            <w:r w:rsidRPr="00275290">
              <w:rPr>
                <w:rFonts w:cs="Arial"/>
                <w:sz w:val="18"/>
                <w:szCs w:val="18"/>
                <w:vertAlign w:val="superscript"/>
              </w:rPr>
              <w:t>-3</w:t>
            </w:r>
          </w:p>
        </w:tc>
        <w:tc>
          <w:tcPr>
            <w:tcW w:w="1010" w:type="pct"/>
            <w:tcBorders>
              <w:top w:val="single" w:sz="4" w:space="0" w:color="auto"/>
              <w:left w:val="single" w:sz="4" w:space="0" w:color="auto"/>
              <w:bottom w:val="single" w:sz="4" w:space="0" w:color="auto"/>
              <w:right w:val="single" w:sz="4" w:space="0" w:color="auto"/>
            </w:tcBorders>
            <w:vAlign w:val="center"/>
          </w:tcPr>
          <w:p w14:paraId="68016369"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(72h) </w:t>
            </w:r>
            <w:r w:rsidRPr="00275290">
              <w:rPr>
                <w:rFonts w:cs="Arial"/>
                <w:sz w:val="18"/>
                <w:szCs w:val="18"/>
              </w:rPr>
              <w:t>0.56</w:t>
            </w:r>
          </w:p>
        </w:tc>
        <w:tc>
          <w:tcPr>
            <w:tcW w:w="1010" w:type="pct"/>
            <w:tcBorders>
              <w:top w:val="single" w:sz="4" w:space="0" w:color="auto"/>
              <w:left w:val="single" w:sz="4" w:space="0" w:color="auto"/>
              <w:bottom w:val="single" w:sz="4" w:space="0" w:color="auto"/>
              <w:right w:val="single" w:sz="4" w:space="0" w:color="auto"/>
            </w:tcBorders>
            <w:vAlign w:val="center"/>
          </w:tcPr>
          <w:p w14:paraId="184FA603"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Biomass (72 h) </w:t>
            </w:r>
            <w:r w:rsidRPr="00275290">
              <w:rPr>
                <w:rFonts w:cs="Arial"/>
                <w:sz w:val="18"/>
                <w:szCs w:val="18"/>
              </w:rPr>
              <w:t>0.46</w:t>
            </w:r>
          </w:p>
        </w:tc>
        <w:tc>
          <w:tcPr>
            <w:tcW w:w="1009" w:type="pct"/>
            <w:tcBorders>
              <w:top w:val="single" w:sz="4" w:space="0" w:color="auto"/>
              <w:left w:val="single" w:sz="4" w:space="0" w:color="auto"/>
              <w:bottom w:val="single" w:sz="4" w:space="0" w:color="auto"/>
              <w:right w:val="single" w:sz="4" w:space="0" w:color="auto"/>
            </w:tcBorders>
            <w:vAlign w:val="center"/>
          </w:tcPr>
          <w:p w14:paraId="42A08606" w14:textId="77777777" w:rsidR="00692E71" w:rsidRPr="00275290" w:rsidRDefault="00692E71" w:rsidP="008E0250">
            <w:pPr>
              <w:pStyle w:val="Default"/>
              <w:jc w:val="center"/>
              <w:rPr>
                <w:rFonts w:ascii="Verdana" w:hAnsi="Verdana" w:cs="Arial"/>
                <w:b/>
                <w:bCs/>
                <w:sz w:val="18"/>
                <w:szCs w:val="18"/>
              </w:rPr>
            </w:pPr>
            <w:r w:rsidRPr="00275290">
              <w:rPr>
                <w:rFonts w:ascii="Verdana" w:hAnsi="Verdana" w:cs="Arial"/>
                <w:i/>
                <w:iCs/>
                <w:sz w:val="18"/>
                <w:szCs w:val="18"/>
              </w:rPr>
              <w:t xml:space="preserve">72 h: </w:t>
            </w:r>
            <w:r w:rsidRPr="00275290">
              <w:rPr>
                <w:rFonts w:ascii="Verdana" w:hAnsi="Verdana" w:cs="Arial"/>
                <w:b/>
                <w:bCs/>
                <w:sz w:val="18"/>
                <w:szCs w:val="18"/>
              </w:rPr>
              <w:t>0.0046</w:t>
            </w:r>
          </w:p>
          <w:p w14:paraId="23427237" w14:textId="77777777" w:rsidR="00692E71" w:rsidRPr="00275290" w:rsidRDefault="00692E71" w:rsidP="008E0250">
            <w:pPr>
              <w:pStyle w:val="Default"/>
              <w:jc w:val="center"/>
              <w:rPr>
                <w:rFonts w:ascii="Verdana" w:hAnsi="Verdana" w:cs="Arial"/>
                <w:sz w:val="18"/>
                <w:szCs w:val="18"/>
              </w:rPr>
            </w:pPr>
          </w:p>
          <w:p w14:paraId="4724803F" w14:textId="77777777" w:rsidR="00692E71" w:rsidRPr="00275290" w:rsidRDefault="00692E71" w:rsidP="008E0250">
            <w:pPr>
              <w:autoSpaceDE w:val="0"/>
              <w:autoSpaceDN w:val="0"/>
              <w:adjustRightInd w:val="0"/>
              <w:jc w:val="center"/>
              <w:rPr>
                <w:rFonts w:cs="Arial"/>
                <w:i/>
                <w:color w:val="4F81BD" w:themeColor="accent1"/>
                <w:sz w:val="18"/>
                <w:szCs w:val="18"/>
              </w:rPr>
            </w:pPr>
            <w:r w:rsidRPr="00275290">
              <w:rPr>
                <w:rFonts w:cs="Arial"/>
                <w:color w:val="4F81BD" w:themeColor="accent1"/>
                <w:sz w:val="18"/>
                <w:szCs w:val="18"/>
              </w:rPr>
              <w:t>PBC: 96 h: 21.2</w:t>
            </w:r>
          </w:p>
        </w:tc>
      </w:tr>
      <w:tr w:rsidR="00692E71" w:rsidRPr="00275290" w14:paraId="1B96FCBC"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D9D9D9"/>
            <w:vAlign w:val="center"/>
          </w:tcPr>
          <w:p w14:paraId="0F3DD50E" w14:textId="77777777" w:rsidR="00692E71" w:rsidRPr="00275290" w:rsidRDefault="00692E71" w:rsidP="008E0250">
            <w:pPr>
              <w:autoSpaceDE w:val="0"/>
              <w:autoSpaceDN w:val="0"/>
              <w:adjustRightInd w:val="0"/>
              <w:rPr>
                <w:rFonts w:cs="Arial"/>
                <w:b/>
                <w:sz w:val="18"/>
                <w:szCs w:val="18"/>
              </w:rPr>
            </w:pPr>
            <w:r w:rsidRPr="00275290">
              <w:rPr>
                <w:rFonts w:cs="Arial"/>
                <w:b/>
                <w:sz w:val="18"/>
                <w:szCs w:val="18"/>
              </w:rPr>
              <w:t>PNEC</w:t>
            </w:r>
            <w:r w:rsidRPr="00275290">
              <w:rPr>
                <w:rFonts w:cs="Arial"/>
                <w:b/>
                <w:sz w:val="18"/>
                <w:szCs w:val="18"/>
                <w:vertAlign w:val="subscript"/>
              </w:rPr>
              <w:t>water</w:t>
            </w:r>
            <w:r w:rsidRPr="00275290">
              <w:rPr>
                <w:rFonts w:cs="Arial"/>
                <w:b/>
                <w:sz w:val="18"/>
                <w:szCs w:val="18"/>
              </w:rPr>
              <w:t xml:space="preserve"> [mg/L]</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52234071"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1.10</w:t>
            </w:r>
            <w:r w:rsidRPr="00275290">
              <w:rPr>
                <w:rFonts w:cs="Arial"/>
                <w:b/>
                <w:sz w:val="18"/>
                <w:szCs w:val="18"/>
                <w:vertAlign w:val="superscript"/>
              </w:rPr>
              <w:t>-6</w:t>
            </w:r>
            <w:r w:rsidRPr="00275290">
              <w:rPr>
                <w:rFonts w:cs="Arial"/>
                <w:b/>
                <w:sz w:val="18"/>
                <w:szCs w:val="18"/>
              </w:rPr>
              <w:t xml:space="preserve"> (AF = 10)</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2D6C1E65"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1*10</w:t>
            </w:r>
            <w:r w:rsidRPr="00275290">
              <w:rPr>
                <w:rFonts w:cs="Arial"/>
                <w:b/>
                <w:sz w:val="18"/>
                <w:szCs w:val="18"/>
                <w:vertAlign w:val="superscript"/>
              </w:rPr>
              <w:t>-3</w:t>
            </w:r>
            <w:r w:rsidRPr="00275290">
              <w:rPr>
                <w:rFonts w:cs="Arial"/>
                <w:b/>
                <w:sz w:val="18"/>
                <w:szCs w:val="18"/>
              </w:rPr>
              <w:t xml:space="preserve"> (AF=10)</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27D6DF63"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6.8*10</w:t>
            </w:r>
            <w:r w:rsidRPr="00275290">
              <w:rPr>
                <w:rFonts w:cs="Arial"/>
                <w:b/>
                <w:sz w:val="18"/>
                <w:szCs w:val="18"/>
                <w:vertAlign w:val="superscript"/>
              </w:rPr>
              <w:t>-3</w:t>
            </w:r>
            <w:r w:rsidRPr="00275290">
              <w:rPr>
                <w:rFonts w:cs="Arial"/>
                <w:b/>
                <w:sz w:val="18"/>
                <w:szCs w:val="18"/>
              </w:rPr>
              <w:t xml:space="preserve"> (AF=10)</w:t>
            </w:r>
          </w:p>
        </w:tc>
        <w:tc>
          <w:tcPr>
            <w:tcW w:w="1009" w:type="pct"/>
            <w:tcBorders>
              <w:top w:val="single" w:sz="4" w:space="0" w:color="auto"/>
              <w:left w:val="single" w:sz="4" w:space="0" w:color="auto"/>
              <w:bottom w:val="single" w:sz="4" w:space="0" w:color="auto"/>
              <w:right w:val="single" w:sz="4" w:space="0" w:color="auto"/>
            </w:tcBorders>
            <w:shd w:val="clear" w:color="auto" w:fill="D9D9D9"/>
            <w:vAlign w:val="center"/>
          </w:tcPr>
          <w:p w14:paraId="7944928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b/>
                <w:bCs/>
                <w:sz w:val="18"/>
                <w:szCs w:val="18"/>
              </w:rPr>
              <w:t>5*10-4 (AF = 10)</w:t>
            </w:r>
          </w:p>
          <w:p w14:paraId="56B5723F" w14:textId="77777777" w:rsidR="00692E71" w:rsidRPr="00275290" w:rsidRDefault="00692E71" w:rsidP="008E0250">
            <w:pPr>
              <w:autoSpaceDE w:val="0"/>
              <w:autoSpaceDN w:val="0"/>
              <w:adjustRightInd w:val="0"/>
              <w:jc w:val="center"/>
              <w:rPr>
                <w:rFonts w:cs="Arial"/>
                <w:b/>
                <w:bCs/>
                <w:sz w:val="18"/>
                <w:szCs w:val="18"/>
              </w:rPr>
            </w:pPr>
          </w:p>
          <w:p w14:paraId="09ECBFD2" w14:textId="77777777" w:rsidR="00692E71" w:rsidRPr="00275290" w:rsidRDefault="00692E71" w:rsidP="008E0250">
            <w:pPr>
              <w:autoSpaceDE w:val="0"/>
              <w:autoSpaceDN w:val="0"/>
              <w:adjustRightInd w:val="0"/>
              <w:jc w:val="center"/>
              <w:rPr>
                <w:rFonts w:cs="Arial"/>
                <w:b/>
                <w:bCs/>
                <w:color w:val="4F81BD" w:themeColor="accent1"/>
                <w:sz w:val="18"/>
                <w:szCs w:val="18"/>
              </w:rPr>
            </w:pPr>
            <w:r w:rsidRPr="00275290">
              <w:rPr>
                <w:rFonts w:cs="Arial"/>
                <w:b/>
                <w:bCs/>
                <w:color w:val="4F81BD" w:themeColor="accent1"/>
                <w:sz w:val="18"/>
                <w:szCs w:val="18"/>
              </w:rPr>
              <w:t>PBC: 0.0413</w:t>
            </w:r>
          </w:p>
          <w:p w14:paraId="5A87821A" w14:textId="77777777" w:rsidR="00692E71" w:rsidRPr="00275290" w:rsidRDefault="00692E71" w:rsidP="008E0250">
            <w:pPr>
              <w:autoSpaceDE w:val="0"/>
              <w:autoSpaceDN w:val="0"/>
              <w:adjustRightInd w:val="0"/>
              <w:jc w:val="center"/>
              <w:rPr>
                <w:rFonts w:cs="Arial"/>
                <w:b/>
                <w:color w:val="4F81BD" w:themeColor="accent1"/>
                <w:sz w:val="18"/>
                <w:szCs w:val="18"/>
              </w:rPr>
            </w:pPr>
            <w:r w:rsidRPr="00275290">
              <w:rPr>
                <w:rFonts w:cs="Arial"/>
                <w:b/>
                <w:bCs/>
                <w:color w:val="4F81BD" w:themeColor="accent1"/>
                <w:sz w:val="18"/>
                <w:szCs w:val="18"/>
              </w:rPr>
              <w:lastRenderedPageBreak/>
              <w:t>(AF = 1000)</w:t>
            </w:r>
          </w:p>
        </w:tc>
      </w:tr>
      <w:tr w:rsidR="00692E71" w:rsidRPr="00275290" w14:paraId="39C1D310"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0A6A713F"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lastRenderedPageBreak/>
              <w:t>NOEC Sediment dwelling organism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30873329"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w:t>
            </w:r>
          </w:p>
        </w:tc>
        <w:tc>
          <w:tcPr>
            <w:tcW w:w="1010" w:type="pct"/>
            <w:tcBorders>
              <w:top w:val="single" w:sz="4" w:space="0" w:color="auto"/>
              <w:left w:val="single" w:sz="4" w:space="0" w:color="auto"/>
              <w:bottom w:val="single" w:sz="4" w:space="0" w:color="auto"/>
              <w:right w:val="single" w:sz="4" w:space="0" w:color="auto"/>
            </w:tcBorders>
            <w:vAlign w:val="center"/>
          </w:tcPr>
          <w:p w14:paraId="4DC28B5A"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(28 d) </w:t>
            </w:r>
            <w:r w:rsidRPr="00275290">
              <w:rPr>
                <w:rFonts w:cs="Arial"/>
                <w:b/>
                <w:sz w:val="18"/>
                <w:szCs w:val="18"/>
              </w:rPr>
              <w:t xml:space="preserve">54.5 mg/kg </w:t>
            </w:r>
          </w:p>
        </w:tc>
        <w:tc>
          <w:tcPr>
            <w:tcW w:w="1010" w:type="pct"/>
            <w:tcBorders>
              <w:top w:val="single" w:sz="4" w:space="0" w:color="auto"/>
              <w:left w:val="single" w:sz="4" w:space="0" w:color="auto"/>
              <w:bottom w:val="single" w:sz="4" w:space="0" w:color="auto"/>
              <w:right w:val="single" w:sz="4" w:space="0" w:color="auto"/>
            </w:tcBorders>
            <w:vAlign w:val="center"/>
          </w:tcPr>
          <w:p w14:paraId="3B68E54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Emergence (28 d)</w:t>
            </w:r>
          </w:p>
          <w:p w14:paraId="42305F48" w14:textId="77777777" w:rsidR="00692E71" w:rsidRPr="00275290" w:rsidRDefault="00692E71" w:rsidP="008E0250">
            <w:pPr>
              <w:autoSpaceDE w:val="0"/>
              <w:autoSpaceDN w:val="0"/>
              <w:adjustRightInd w:val="0"/>
              <w:jc w:val="center"/>
              <w:rPr>
                <w:rFonts w:cs="Arial"/>
                <w:sz w:val="18"/>
                <w:szCs w:val="18"/>
              </w:rPr>
            </w:pPr>
            <w:r w:rsidRPr="00275290">
              <w:rPr>
                <w:rFonts w:cs="Arial"/>
                <w:b/>
                <w:sz w:val="18"/>
                <w:szCs w:val="18"/>
              </w:rPr>
              <w:t>5.4 mg/kg</w:t>
            </w:r>
            <w:r w:rsidRPr="00275290">
              <w:rPr>
                <w:rFonts w:cs="Arial"/>
                <w:b/>
                <w:sz w:val="18"/>
                <w:szCs w:val="18"/>
                <w:vertAlign w:val="subscript"/>
              </w:rPr>
              <w:t>wwt</w:t>
            </w:r>
          </w:p>
          <w:p w14:paraId="54C4377B"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 25 mg/kg</w:t>
            </w:r>
            <w:r w:rsidRPr="00275290">
              <w:rPr>
                <w:rFonts w:cs="Arial"/>
                <w:sz w:val="18"/>
                <w:szCs w:val="18"/>
                <w:vertAlign w:val="subscript"/>
              </w:rPr>
              <w:t>dwt</w:t>
            </w:r>
            <w:r w:rsidRPr="00275290">
              <w:rPr>
                <w:rFonts w:cs="Arial"/>
                <w:sz w:val="18"/>
                <w:szCs w:val="18"/>
              </w:rPr>
              <w:t>)</w:t>
            </w:r>
          </w:p>
          <w:p w14:paraId="069139DC" w14:textId="77777777" w:rsidR="00692E71" w:rsidRPr="00275290" w:rsidRDefault="00692E71" w:rsidP="008E0250">
            <w:pPr>
              <w:autoSpaceDE w:val="0"/>
              <w:autoSpaceDN w:val="0"/>
              <w:adjustRightInd w:val="0"/>
              <w:jc w:val="center"/>
              <w:rPr>
                <w:rFonts w:cs="Arial"/>
                <w:sz w:val="18"/>
                <w:szCs w:val="18"/>
                <w:vertAlign w:val="subscript"/>
              </w:rPr>
            </w:pPr>
            <w:r w:rsidRPr="00275290">
              <w:rPr>
                <w:rFonts w:cs="Arial"/>
                <w:i/>
                <w:sz w:val="18"/>
                <w:szCs w:val="18"/>
              </w:rPr>
              <w:t xml:space="preserve">Development (28 d) </w:t>
            </w:r>
            <w:r w:rsidRPr="00275290">
              <w:rPr>
                <w:rFonts w:cs="Arial"/>
                <w:sz w:val="18"/>
                <w:szCs w:val="18"/>
              </w:rPr>
              <w:t>10.8 mg/kg</w:t>
            </w:r>
            <w:r w:rsidRPr="00275290">
              <w:rPr>
                <w:rFonts w:cs="Arial"/>
                <w:sz w:val="18"/>
                <w:szCs w:val="18"/>
                <w:vertAlign w:val="subscript"/>
              </w:rPr>
              <w:t>wwt</w:t>
            </w:r>
          </w:p>
          <w:p w14:paraId="0C656E0A"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 50 mg/kg</w:t>
            </w:r>
            <w:r w:rsidRPr="00275290">
              <w:rPr>
                <w:rFonts w:cs="Arial"/>
                <w:sz w:val="18"/>
                <w:szCs w:val="18"/>
                <w:vertAlign w:val="subscript"/>
              </w:rPr>
              <w:t>dwt</w:t>
            </w:r>
            <w:r w:rsidRPr="00275290">
              <w:rPr>
                <w:rFonts w:cs="Arial"/>
                <w:sz w:val="18"/>
                <w:szCs w:val="18"/>
              </w:rPr>
              <w:t>)</w:t>
            </w:r>
          </w:p>
        </w:tc>
        <w:tc>
          <w:tcPr>
            <w:tcW w:w="1009" w:type="pct"/>
            <w:tcBorders>
              <w:top w:val="single" w:sz="4" w:space="0" w:color="auto"/>
              <w:left w:val="single" w:sz="4" w:space="0" w:color="auto"/>
              <w:bottom w:val="single" w:sz="4" w:space="0" w:color="auto"/>
              <w:right w:val="single" w:sz="4" w:space="0" w:color="auto"/>
            </w:tcBorders>
            <w:vAlign w:val="center"/>
          </w:tcPr>
          <w:p w14:paraId="2A3B2331"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w:t>
            </w:r>
          </w:p>
        </w:tc>
      </w:tr>
      <w:tr w:rsidR="00692E71" w:rsidRPr="00275290" w14:paraId="72A3D3C6"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D9D9D9"/>
            <w:vAlign w:val="center"/>
          </w:tcPr>
          <w:p w14:paraId="5BCAD27F" w14:textId="77777777" w:rsidR="00692E71" w:rsidRPr="00275290" w:rsidRDefault="00692E71" w:rsidP="008E0250">
            <w:pPr>
              <w:autoSpaceDE w:val="0"/>
              <w:autoSpaceDN w:val="0"/>
              <w:adjustRightInd w:val="0"/>
              <w:rPr>
                <w:rFonts w:cs="Arial"/>
                <w:b/>
                <w:sz w:val="18"/>
                <w:szCs w:val="18"/>
              </w:rPr>
            </w:pPr>
            <w:r w:rsidRPr="00275290">
              <w:rPr>
                <w:rFonts w:cs="Arial"/>
                <w:b/>
                <w:sz w:val="18"/>
                <w:szCs w:val="18"/>
              </w:rPr>
              <w:t>PNEC</w:t>
            </w:r>
            <w:r w:rsidRPr="00275290">
              <w:rPr>
                <w:rFonts w:cs="Arial"/>
                <w:b/>
                <w:sz w:val="18"/>
                <w:szCs w:val="18"/>
                <w:vertAlign w:val="subscript"/>
              </w:rPr>
              <w:t>sediment</w:t>
            </w:r>
            <w:r w:rsidRPr="00275290">
              <w:rPr>
                <w:rFonts w:cs="Arial"/>
                <w:b/>
                <w:sz w:val="18"/>
                <w:szCs w:val="18"/>
              </w:rPr>
              <w:t xml:space="preserve"> [mg/kg</w:t>
            </w:r>
            <w:r w:rsidRPr="00275290">
              <w:rPr>
                <w:rFonts w:cs="Arial"/>
                <w:b/>
                <w:sz w:val="18"/>
                <w:szCs w:val="18"/>
                <w:vertAlign w:val="subscript"/>
              </w:rPr>
              <w:t>wwt</w:t>
            </w:r>
            <w:r w:rsidRPr="00275290">
              <w:rPr>
                <w:rFonts w:cs="Arial"/>
                <w:b/>
                <w:sz w:val="18"/>
                <w:szCs w:val="18"/>
              </w:rPr>
              <w:t>]</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0EFA2922"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0.125 (equilibrium partitioning method</w:t>
            </w:r>
            <w:r w:rsidRPr="00275290">
              <w:rPr>
                <w:rFonts w:cs="Arial"/>
                <w:b/>
                <w:sz w:val="18"/>
                <w:szCs w:val="18"/>
                <w:vertAlign w:val="superscript"/>
              </w:rPr>
              <w:t>(2)</w:t>
            </w:r>
            <w:r w:rsidRPr="00275290">
              <w:rPr>
                <w:rFonts w:cs="Arial"/>
                <w:b/>
                <w:sz w:val="18"/>
                <w:szCs w:val="18"/>
              </w:rPr>
              <w:t>)</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2E08AC68"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0.55 (AF=100)</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1DCAEE52"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0.054 (AF=100)</w:t>
            </w:r>
          </w:p>
        </w:tc>
        <w:tc>
          <w:tcPr>
            <w:tcW w:w="1009" w:type="pct"/>
            <w:tcBorders>
              <w:top w:val="single" w:sz="4" w:space="0" w:color="auto"/>
              <w:left w:val="single" w:sz="4" w:space="0" w:color="auto"/>
              <w:bottom w:val="single" w:sz="4" w:space="0" w:color="auto"/>
              <w:right w:val="single" w:sz="4" w:space="0" w:color="auto"/>
            </w:tcBorders>
            <w:shd w:val="clear" w:color="auto" w:fill="D9D9D9"/>
            <w:vAlign w:val="center"/>
          </w:tcPr>
          <w:p w14:paraId="0D257FC8" w14:textId="77777777" w:rsidR="00692E71" w:rsidRPr="00275290" w:rsidRDefault="00692E71" w:rsidP="008E0250">
            <w:pPr>
              <w:autoSpaceDE w:val="0"/>
              <w:autoSpaceDN w:val="0"/>
              <w:adjustRightInd w:val="0"/>
              <w:jc w:val="center"/>
              <w:rPr>
                <w:rFonts w:cs="Arial"/>
                <w:b/>
                <w:sz w:val="18"/>
                <w:szCs w:val="18"/>
              </w:rPr>
            </w:pPr>
            <w:r w:rsidRPr="00275290">
              <w:rPr>
                <w:rFonts w:cs="Arial"/>
                <w:b/>
                <w:bCs/>
                <w:sz w:val="18"/>
                <w:szCs w:val="18"/>
              </w:rPr>
              <w:t>0.00176 (equilibrium partitioning method(5))</w:t>
            </w:r>
          </w:p>
        </w:tc>
      </w:tr>
      <w:tr w:rsidR="00692E71" w:rsidRPr="00275290" w14:paraId="79CE6C24"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12005502"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EC</w:t>
            </w:r>
            <w:r w:rsidRPr="00275290">
              <w:rPr>
                <w:rFonts w:cs="Arial"/>
                <w:sz w:val="18"/>
                <w:szCs w:val="18"/>
                <w:vertAlign w:val="subscript"/>
              </w:rPr>
              <w:t>50</w:t>
            </w:r>
            <w:r w:rsidRPr="00275290">
              <w:rPr>
                <w:rFonts w:cs="Arial"/>
                <w:sz w:val="18"/>
                <w:szCs w:val="18"/>
              </w:rPr>
              <w:t xml:space="preserve"> Microorganisms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31C9EDCB"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Respiration inhibition </w:t>
            </w:r>
            <w:r w:rsidRPr="00275290">
              <w:rPr>
                <w:rFonts w:cs="Arial"/>
                <w:i/>
                <w:sz w:val="18"/>
                <w:szCs w:val="18"/>
              </w:rPr>
              <w:br/>
              <w:t xml:space="preserve">(3 h): </w:t>
            </w:r>
            <w:r w:rsidRPr="00275290">
              <w:rPr>
                <w:rFonts w:cs="Arial"/>
                <w:b/>
                <w:sz w:val="18"/>
                <w:szCs w:val="18"/>
              </w:rPr>
              <w:t>163</w:t>
            </w:r>
          </w:p>
        </w:tc>
        <w:tc>
          <w:tcPr>
            <w:tcW w:w="1010" w:type="pct"/>
            <w:tcBorders>
              <w:top w:val="single" w:sz="4" w:space="0" w:color="auto"/>
              <w:left w:val="single" w:sz="4" w:space="0" w:color="auto"/>
              <w:bottom w:val="single" w:sz="4" w:space="0" w:color="auto"/>
              <w:right w:val="single" w:sz="4" w:space="0" w:color="auto"/>
            </w:tcBorders>
            <w:vAlign w:val="center"/>
          </w:tcPr>
          <w:p w14:paraId="2AB443D6"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Respiration inhibition (30 min): </w:t>
            </w:r>
            <w:r w:rsidRPr="00275290">
              <w:rPr>
                <w:rFonts w:cs="Arial"/>
                <w:b/>
                <w:sz w:val="18"/>
                <w:szCs w:val="18"/>
              </w:rPr>
              <w:t>&gt; 32</w:t>
            </w:r>
          </w:p>
        </w:tc>
        <w:tc>
          <w:tcPr>
            <w:tcW w:w="1010" w:type="pct"/>
            <w:tcBorders>
              <w:top w:val="single" w:sz="4" w:space="0" w:color="auto"/>
              <w:left w:val="single" w:sz="4" w:space="0" w:color="auto"/>
              <w:bottom w:val="single" w:sz="4" w:space="0" w:color="auto"/>
              <w:right w:val="single" w:sz="4" w:space="0" w:color="auto"/>
            </w:tcBorders>
            <w:vAlign w:val="center"/>
          </w:tcPr>
          <w:p w14:paraId="609B405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Respiration inhibition </w:t>
            </w:r>
            <w:r w:rsidRPr="00275290">
              <w:rPr>
                <w:rFonts w:cs="Arial"/>
                <w:i/>
                <w:sz w:val="18"/>
                <w:szCs w:val="18"/>
              </w:rPr>
              <w:br/>
              <w:t xml:space="preserve">(3 h) </w:t>
            </w:r>
            <w:r w:rsidRPr="00275290">
              <w:rPr>
                <w:rFonts w:cs="Arial"/>
                <w:b/>
                <w:sz w:val="18"/>
                <w:szCs w:val="18"/>
              </w:rPr>
              <w:t>&gt; 100</w:t>
            </w:r>
          </w:p>
        </w:tc>
        <w:tc>
          <w:tcPr>
            <w:tcW w:w="1009" w:type="pct"/>
            <w:tcBorders>
              <w:top w:val="single" w:sz="4" w:space="0" w:color="auto"/>
              <w:left w:val="single" w:sz="4" w:space="0" w:color="auto"/>
              <w:bottom w:val="single" w:sz="4" w:space="0" w:color="auto"/>
              <w:right w:val="single" w:sz="4" w:space="0" w:color="auto"/>
            </w:tcBorders>
          </w:tcPr>
          <w:p w14:paraId="3EFFE3AE"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Respiration inhibition </w:t>
            </w:r>
            <w:r w:rsidRPr="00275290">
              <w:rPr>
                <w:rFonts w:cs="Arial"/>
                <w:sz w:val="18"/>
                <w:szCs w:val="18"/>
              </w:rPr>
              <w:t xml:space="preserve">(3h): </w:t>
            </w:r>
            <w:r w:rsidRPr="00275290">
              <w:rPr>
                <w:rFonts w:cs="Arial"/>
                <w:b/>
                <w:sz w:val="18"/>
                <w:szCs w:val="18"/>
              </w:rPr>
              <w:t>44</w:t>
            </w:r>
          </w:p>
        </w:tc>
      </w:tr>
      <w:tr w:rsidR="00692E71" w:rsidRPr="00275290" w14:paraId="42D58A22"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D9D9D9"/>
            <w:vAlign w:val="center"/>
          </w:tcPr>
          <w:p w14:paraId="7F178A6C" w14:textId="77777777" w:rsidR="00692E71" w:rsidRPr="00275290" w:rsidRDefault="00692E71" w:rsidP="008E0250">
            <w:pPr>
              <w:autoSpaceDE w:val="0"/>
              <w:autoSpaceDN w:val="0"/>
              <w:adjustRightInd w:val="0"/>
              <w:rPr>
                <w:rFonts w:cs="Arial"/>
                <w:b/>
                <w:sz w:val="18"/>
                <w:szCs w:val="18"/>
              </w:rPr>
            </w:pPr>
            <w:r w:rsidRPr="00275290">
              <w:rPr>
                <w:rFonts w:cs="Arial"/>
                <w:b/>
                <w:sz w:val="18"/>
                <w:szCs w:val="18"/>
              </w:rPr>
              <w:t>PNEC</w:t>
            </w:r>
            <w:r w:rsidRPr="00275290">
              <w:rPr>
                <w:rFonts w:cs="Arial"/>
                <w:b/>
                <w:sz w:val="18"/>
                <w:szCs w:val="18"/>
                <w:vertAlign w:val="subscript"/>
              </w:rPr>
              <w:t>STP</w:t>
            </w:r>
            <w:r w:rsidRPr="00275290">
              <w:rPr>
                <w:rFonts w:cs="Arial"/>
                <w:b/>
                <w:sz w:val="18"/>
                <w:szCs w:val="18"/>
              </w:rPr>
              <w:t xml:space="preserve"> [mg/L]</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4526606C"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1.63 (AF = 100)</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6C4DED91"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0.32 (AF=100)</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049FC7D2"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 xml:space="preserve">100 </w:t>
            </w:r>
            <w:r w:rsidRPr="00275290">
              <w:rPr>
                <w:rFonts w:cs="Arial"/>
                <w:b/>
                <w:sz w:val="18"/>
                <w:szCs w:val="18"/>
                <w:vertAlign w:val="superscript"/>
              </w:rPr>
              <w:t>(3)</w:t>
            </w:r>
          </w:p>
        </w:tc>
        <w:tc>
          <w:tcPr>
            <w:tcW w:w="1009" w:type="pct"/>
            <w:tcBorders>
              <w:top w:val="single" w:sz="4" w:space="0" w:color="auto"/>
              <w:left w:val="single" w:sz="4" w:space="0" w:color="auto"/>
              <w:bottom w:val="single" w:sz="4" w:space="0" w:color="auto"/>
              <w:right w:val="single" w:sz="4" w:space="0" w:color="auto"/>
            </w:tcBorders>
            <w:shd w:val="clear" w:color="auto" w:fill="D9D9D9"/>
            <w:vAlign w:val="center"/>
          </w:tcPr>
          <w:p w14:paraId="00C1656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b/>
                <w:bCs/>
                <w:sz w:val="18"/>
                <w:szCs w:val="18"/>
              </w:rPr>
              <w:t>0.44 (AF = 100)</w:t>
            </w:r>
          </w:p>
          <w:p w14:paraId="165B2CE2" w14:textId="77777777" w:rsidR="00692E71" w:rsidRPr="00275290" w:rsidRDefault="00692E71" w:rsidP="008E0250">
            <w:pPr>
              <w:tabs>
                <w:tab w:val="left" w:pos="345"/>
                <w:tab w:val="center" w:pos="931"/>
              </w:tabs>
              <w:autoSpaceDE w:val="0"/>
              <w:autoSpaceDN w:val="0"/>
              <w:adjustRightInd w:val="0"/>
              <w:jc w:val="center"/>
              <w:rPr>
                <w:rFonts w:cs="Arial"/>
                <w:b/>
                <w:color w:val="4F81BD" w:themeColor="accent1"/>
                <w:sz w:val="18"/>
                <w:szCs w:val="18"/>
              </w:rPr>
            </w:pPr>
            <w:r w:rsidRPr="00275290">
              <w:rPr>
                <w:rFonts w:cs="Arial"/>
                <w:b/>
                <w:bCs/>
                <w:color w:val="4F81BD" w:themeColor="accent1"/>
                <w:sz w:val="18"/>
                <w:szCs w:val="18"/>
              </w:rPr>
              <w:t xml:space="preserve">PBC: 0.44 </w:t>
            </w:r>
            <w:r w:rsidRPr="00275290">
              <w:rPr>
                <w:rFonts w:cs="Arial"/>
                <w:b/>
                <w:bCs/>
                <w:color w:val="4F81BD" w:themeColor="accent1"/>
                <w:sz w:val="18"/>
                <w:szCs w:val="18"/>
                <w:vertAlign w:val="superscript"/>
              </w:rPr>
              <w:t>(6)</w:t>
            </w:r>
          </w:p>
        </w:tc>
      </w:tr>
    </w:tbl>
    <w:p w14:paraId="152109E4"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 xml:space="preserve">(1) A new study has been commissioned by the applicant to further address the chronic toxicity to fish. The result of the new study will be available for the PT18 Annex I inclusion. A conservative approach decided at TM level sets the overall NOEC for the chronic toxicity to fish to 0.01 μg/L. </w:t>
      </w:r>
    </w:p>
    <w:p w14:paraId="2F852F38"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 xml:space="preserve">(2) The PNEC </w:t>
      </w:r>
      <w:r w:rsidRPr="00275290">
        <w:rPr>
          <w:rFonts w:eastAsiaTheme="minorHAnsi" w:cs="Arial"/>
          <w:color w:val="000000"/>
          <w:sz w:val="18"/>
          <w:szCs w:val="18"/>
          <w:vertAlign w:val="subscript"/>
          <w:lang w:eastAsia="en-US"/>
        </w:rPr>
        <w:t>sediment</w:t>
      </w:r>
      <w:r w:rsidRPr="00275290">
        <w:rPr>
          <w:rFonts w:eastAsiaTheme="minorHAnsi" w:cs="Arial"/>
          <w:color w:val="000000"/>
          <w:sz w:val="18"/>
          <w:szCs w:val="18"/>
          <w:lang w:eastAsia="en-US"/>
        </w:rPr>
        <w:t xml:space="preserve"> was calculated using the equilibrium partitioning method and a value of Koc of 575 000 (to calculate K</w:t>
      </w:r>
      <w:r w:rsidRPr="00275290">
        <w:rPr>
          <w:rFonts w:eastAsiaTheme="minorHAnsi" w:cs="Arial"/>
          <w:color w:val="000000"/>
          <w:sz w:val="18"/>
          <w:szCs w:val="18"/>
          <w:vertAlign w:val="subscript"/>
          <w:lang w:eastAsia="en-US"/>
        </w:rPr>
        <w:t>sup-water</w:t>
      </w:r>
      <w:r w:rsidRPr="00275290">
        <w:rPr>
          <w:rFonts w:eastAsiaTheme="minorHAnsi" w:cs="Arial"/>
          <w:color w:val="000000"/>
          <w:sz w:val="18"/>
          <w:szCs w:val="18"/>
          <w:lang w:eastAsia="en-US"/>
        </w:rPr>
        <w:t xml:space="preserve">), </w:t>
      </w:r>
    </w:p>
    <w:p w14:paraId="23714472"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 xml:space="preserve">(3) </w:t>
      </w:r>
      <w:proofErr w:type="gramStart"/>
      <w:r w:rsidRPr="00275290">
        <w:rPr>
          <w:rFonts w:eastAsiaTheme="minorHAnsi" w:cs="Arial"/>
          <w:color w:val="000000"/>
          <w:sz w:val="18"/>
          <w:szCs w:val="18"/>
          <w:lang w:eastAsia="en-US"/>
        </w:rPr>
        <w:t>water</w:t>
      </w:r>
      <w:proofErr w:type="gramEnd"/>
      <w:r w:rsidRPr="00275290">
        <w:rPr>
          <w:rFonts w:eastAsiaTheme="minorHAnsi" w:cs="Arial"/>
          <w:color w:val="000000"/>
          <w:sz w:val="18"/>
          <w:szCs w:val="18"/>
          <w:lang w:eastAsia="en-US"/>
        </w:rPr>
        <w:t xml:space="preserve"> solubility of the active substance without any Assessment Factor.</w:t>
      </w:r>
    </w:p>
    <w:p w14:paraId="4B5B9FBB"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 xml:space="preserve">(4) QSAR estimation indicates a toxicity of the metabolite 2-PBC comparable to that found for IPBC. Therefore, no experimental ecotoxicological data for this metabolite is required. </w:t>
      </w:r>
    </w:p>
    <w:p w14:paraId="150BAC5E"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(5) The PNEC for the sediment is calculated using the equilibrium partitioning method. However, the risk to the sediment is the same that described for surface water. Therefore the risk of the sediment will not be considered further.</w:t>
      </w:r>
    </w:p>
    <w:p w14:paraId="7BE0470B"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 xml:space="preserve">(6) For the PNECSTP of the metabolite PBC, the value determined for IPBC is used as a worst-case. </w:t>
      </w:r>
    </w:p>
    <w:p w14:paraId="66127A56" w14:textId="77777777" w:rsidR="00692E71" w:rsidRPr="00275290" w:rsidRDefault="00692E71" w:rsidP="00692E71">
      <w:pPr>
        <w:autoSpaceDE w:val="0"/>
        <w:autoSpaceDN w:val="0"/>
        <w:adjustRightInd w:val="0"/>
        <w:rPr>
          <w:rFonts w:eastAsiaTheme="minorHAnsi" w:cs="Arial"/>
          <w:color w:val="000000"/>
          <w:sz w:val="18"/>
          <w:szCs w:val="18"/>
          <w:lang w:eastAsia="en-US"/>
        </w:rPr>
      </w:pPr>
    </w:p>
    <w:p w14:paraId="6DEC337E" w14:textId="77777777" w:rsidR="00692E71" w:rsidRPr="00275290" w:rsidRDefault="00692E71" w:rsidP="00692E71">
      <w:pPr>
        <w:autoSpaceDE w:val="0"/>
        <w:autoSpaceDN w:val="0"/>
        <w:adjustRightInd w:val="0"/>
        <w:rPr>
          <w:rFonts w:eastAsiaTheme="minorHAnsi" w:cs="Arial"/>
          <w:color w:val="000000"/>
          <w:sz w:val="18"/>
          <w:szCs w:val="18"/>
          <w:lang w:eastAsia="en-US"/>
        </w:rPr>
      </w:pPr>
    </w:p>
    <w:p w14:paraId="19806B73" w14:textId="77777777" w:rsidR="00692E71" w:rsidRPr="00275290" w:rsidRDefault="00692E71" w:rsidP="00692E71">
      <w:pPr>
        <w:rPr>
          <w:rFonts w:eastAsiaTheme="minorHAnsi" w:cs="Arial"/>
          <w:color w:val="000000"/>
          <w:lang w:eastAsia="en-US"/>
        </w:rPr>
      </w:pPr>
      <w:r w:rsidRPr="00275290">
        <w:rPr>
          <w:rFonts w:eastAsiaTheme="minorHAnsi" w:cs="Arial"/>
          <w:color w:val="000000"/>
          <w:lang w:eastAsia="en-US"/>
        </w:rPr>
        <w:t>The bold values are the lowest values used for the determination of PNEC for each compartment.</w:t>
      </w:r>
    </w:p>
    <w:p w14:paraId="6EA6EC39" w14:textId="77777777" w:rsidR="00692E71" w:rsidRPr="00692E71" w:rsidRDefault="00692E71" w:rsidP="00692E71">
      <w:pPr>
        <w:pStyle w:val="Titre5"/>
        <w:spacing w:before="240"/>
      </w:pPr>
      <w:r w:rsidRPr="00692E71">
        <w:t>Atmosphere</w:t>
      </w:r>
    </w:p>
    <w:p w14:paraId="14C1318F" w14:textId="77777777" w:rsidR="00692E71" w:rsidRPr="00275290" w:rsidRDefault="00692E71" w:rsidP="00692E71">
      <w:pPr>
        <w:spacing w:before="360" w:after="120" w:line="276" w:lineRule="auto"/>
        <w:rPr>
          <w:rFonts w:cs="Arial"/>
        </w:rPr>
      </w:pPr>
      <w:r w:rsidRPr="00275290">
        <w:rPr>
          <w:rFonts w:cs="Arial"/>
        </w:rPr>
        <w:t>A summary and evaluation of effect data for the active substances with regard to effects in the atmospheric compartment can be found in Document II-A of the active substance dossier (see Letters of Access in Section 13 of the active substances datasets).</w:t>
      </w:r>
    </w:p>
    <w:p w14:paraId="5296EF53" w14:textId="77777777" w:rsidR="00692E71" w:rsidRPr="00275290" w:rsidRDefault="00692E71" w:rsidP="00692E71">
      <w:pPr>
        <w:spacing w:line="276" w:lineRule="auto"/>
        <w:rPr>
          <w:rFonts w:cs="Arial"/>
        </w:rPr>
      </w:pPr>
      <w:r w:rsidRPr="00275290">
        <w:rPr>
          <w:rFonts w:cs="Arial"/>
        </w:rPr>
        <w:t>- Data on cypermethrin</w:t>
      </w:r>
    </w:p>
    <w:p w14:paraId="03681BB9" w14:textId="77777777" w:rsidR="00692E71" w:rsidRPr="00275290" w:rsidRDefault="00692E71" w:rsidP="00692E71">
      <w:pPr>
        <w:autoSpaceDE w:val="0"/>
        <w:autoSpaceDN w:val="0"/>
        <w:adjustRightInd w:val="0"/>
        <w:spacing w:after="240"/>
        <w:rPr>
          <w:rFonts w:eastAsiaTheme="minorHAnsi" w:cs="Arial"/>
          <w:color w:val="000000"/>
          <w:lang w:eastAsia="en-US"/>
        </w:rPr>
      </w:pPr>
      <w:r w:rsidRPr="00275290">
        <w:rPr>
          <w:rFonts w:eastAsiaTheme="minorHAnsi" w:cs="Arial"/>
          <w:color w:val="000000"/>
          <w:lang w:eastAsia="en-US"/>
        </w:rPr>
        <w:t>The vapour pressure of cypermethrin is such that emissions to air are very limited. The result of EPIWIN model indicates that cypermethrin is photolysed in air and should not tends to accumulate. Therefore, no data are available for cypermethrin.</w:t>
      </w:r>
    </w:p>
    <w:p w14:paraId="4BFC3025" w14:textId="77777777" w:rsidR="00692E71" w:rsidRPr="00275290" w:rsidRDefault="00692E71" w:rsidP="00692E71">
      <w:pPr>
        <w:spacing w:line="276" w:lineRule="auto"/>
        <w:rPr>
          <w:rFonts w:cs="Arial"/>
        </w:rPr>
      </w:pPr>
      <w:r w:rsidRPr="00275290">
        <w:rPr>
          <w:rFonts w:cs="Arial"/>
        </w:rPr>
        <w:t>- Data on propiconazole</w:t>
      </w:r>
    </w:p>
    <w:p w14:paraId="24CFCE2A" w14:textId="77777777" w:rsidR="00692E71" w:rsidRPr="00275290" w:rsidRDefault="00692E71" w:rsidP="00692E71">
      <w:pPr>
        <w:autoSpaceDE w:val="0"/>
        <w:autoSpaceDN w:val="0"/>
        <w:adjustRightInd w:val="0"/>
        <w:spacing w:after="240"/>
        <w:rPr>
          <w:rFonts w:eastAsiaTheme="minorHAnsi" w:cs="Arial"/>
          <w:color w:val="000000"/>
          <w:lang w:eastAsia="en-US"/>
        </w:rPr>
      </w:pPr>
      <w:r w:rsidRPr="00275290">
        <w:rPr>
          <w:rFonts w:eastAsiaTheme="minorHAnsi" w:cs="Arial"/>
          <w:color w:val="000000"/>
          <w:lang w:eastAsia="en-US"/>
        </w:rPr>
        <w:t>Propiconazole is very slightly volatile. With the estimated half-life less than 2 days (between 10.2 and 42 hours) in troposphere, propiconazole is not regarded as a persistent contaminant in the air.</w:t>
      </w:r>
    </w:p>
    <w:p w14:paraId="5324E91D" w14:textId="77777777" w:rsidR="00692E71" w:rsidRPr="00275290" w:rsidRDefault="00692E71" w:rsidP="00692E71">
      <w:pPr>
        <w:spacing w:line="276" w:lineRule="auto"/>
        <w:rPr>
          <w:rFonts w:cs="Arial"/>
        </w:rPr>
      </w:pPr>
      <w:r w:rsidRPr="00275290">
        <w:rPr>
          <w:rFonts w:cs="Arial"/>
        </w:rPr>
        <w:t>- Data on tebuconazole</w:t>
      </w:r>
    </w:p>
    <w:p w14:paraId="4A0FDECB" w14:textId="77777777" w:rsidR="00692E71" w:rsidRPr="00275290" w:rsidRDefault="00692E71" w:rsidP="00692E71">
      <w:pPr>
        <w:autoSpaceDE w:val="0"/>
        <w:autoSpaceDN w:val="0"/>
        <w:adjustRightInd w:val="0"/>
        <w:spacing w:after="240"/>
        <w:rPr>
          <w:rFonts w:eastAsiaTheme="minorHAnsi" w:cs="Arial"/>
          <w:color w:val="000000"/>
          <w:lang w:eastAsia="en-US"/>
        </w:rPr>
      </w:pPr>
      <w:r w:rsidRPr="00275290">
        <w:rPr>
          <w:rFonts w:eastAsiaTheme="minorHAnsi" w:cs="Arial"/>
          <w:color w:val="000000"/>
          <w:lang w:eastAsia="en-US"/>
        </w:rPr>
        <w:t>No data is available because based on the Henry’s Law constant, no significant volatilization of tebuconazole is to be expected and air is therefore not a compartment of concern.</w:t>
      </w:r>
    </w:p>
    <w:p w14:paraId="5DE2E2BE" w14:textId="77777777" w:rsidR="00692E71" w:rsidRPr="00275290" w:rsidRDefault="00692E71" w:rsidP="00692E71">
      <w:pPr>
        <w:spacing w:line="276" w:lineRule="auto"/>
        <w:rPr>
          <w:rFonts w:cs="Arial"/>
        </w:rPr>
      </w:pPr>
      <w:r w:rsidRPr="00275290">
        <w:rPr>
          <w:rFonts w:cs="Arial"/>
        </w:rPr>
        <w:t>- Data on IPBC</w:t>
      </w:r>
    </w:p>
    <w:p w14:paraId="64217A6C" w14:textId="77777777" w:rsidR="00692E71" w:rsidRPr="00275290" w:rsidRDefault="00692E71" w:rsidP="00692E71">
      <w:pPr>
        <w:autoSpaceDE w:val="0"/>
        <w:autoSpaceDN w:val="0"/>
        <w:adjustRightInd w:val="0"/>
        <w:spacing w:after="360"/>
      </w:pPr>
      <w:r w:rsidRPr="00275290">
        <w:rPr>
          <w:rFonts w:eastAsiaTheme="minorHAnsi" w:cs="Arial"/>
          <w:color w:val="000000"/>
          <w:lang w:eastAsia="en-US"/>
        </w:rPr>
        <w:t>No data is available because IPBC is considered not relevant for the air compartment based on its physico-chemical properties (low vapour pressure). It should also be noted that the calculated DT50 of IPBC in air is only about 15 hours and IPBC is therefore not considered persistent in air.</w:t>
      </w:r>
    </w:p>
    <w:p w14:paraId="7362748C" w14:textId="77777777" w:rsidR="00692E71" w:rsidRPr="008E0250" w:rsidRDefault="00692E71" w:rsidP="008E0250">
      <w:pPr>
        <w:pStyle w:val="Titre5"/>
        <w:spacing w:before="240"/>
      </w:pPr>
      <w:r w:rsidRPr="008E0250">
        <w:lastRenderedPageBreak/>
        <w:t>Terrestrial compartment</w:t>
      </w:r>
    </w:p>
    <w:p w14:paraId="231E0D9B" w14:textId="77777777" w:rsidR="00692E71" w:rsidRPr="00275290" w:rsidRDefault="00692E71" w:rsidP="00692E71">
      <w:pPr>
        <w:spacing w:before="240" w:after="120" w:line="276" w:lineRule="auto"/>
        <w:rPr>
          <w:rFonts w:cs="Arial"/>
        </w:rPr>
      </w:pPr>
      <w:r w:rsidRPr="00275290">
        <w:rPr>
          <w:rFonts w:cs="Arial"/>
        </w:rPr>
        <w:t xml:space="preserve">A summary and evaluation of effect data for the active substances with relevance to the terrestrial compartment can be found in Document II-A of the active substance dossier (see Letters of Access in Section 13 of the active substances datasets). </w:t>
      </w:r>
    </w:p>
    <w:p w14:paraId="52FCB8C4" w14:textId="77777777" w:rsidR="00692E71" w:rsidRPr="00275290" w:rsidRDefault="00692E71" w:rsidP="00692E71">
      <w:pPr>
        <w:spacing w:after="240" w:line="276" w:lineRule="auto"/>
        <w:rPr>
          <w:rFonts w:cs="Arial"/>
        </w:rPr>
      </w:pPr>
      <w:r w:rsidRPr="00275290">
        <w:rPr>
          <w:rFonts w:cs="Arial"/>
        </w:rPr>
        <w:t>The relevant ecotoxicological data and the PNEC (see Assessment Report) are presented in the following Tables:</w:t>
      </w:r>
    </w:p>
    <w:p w14:paraId="44491FA7"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3</w:t>
      </w:r>
      <w:r w:rsidRPr="00275290">
        <w:rPr>
          <w:rFonts w:ascii="Verdana" w:hAnsi="Verdana"/>
        </w:rPr>
        <w:fldChar w:fldCharType="end"/>
      </w:r>
      <w:r w:rsidRPr="00275290">
        <w:rPr>
          <w:rFonts w:ascii="Verdana" w:hAnsi="Verdana"/>
        </w:rPr>
        <w:t>: Ecotoxicological data on active substances for the terrestrial compartment</w:t>
      </w:r>
    </w:p>
    <w:tbl>
      <w:tblPr>
        <w:tblW w:w="5000" w:type="pct"/>
        <w:jc w:val="center"/>
        <w:tblCellMar>
          <w:left w:w="70" w:type="dxa"/>
          <w:right w:w="70" w:type="dxa"/>
        </w:tblCellMar>
        <w:tblLook w:val="04A0" w:firstRow="1" w:lastRow="0" w:firstColumn="1" w:lastColumn="0" w:noHBand="0" w:noVBand="1"/>
      </w:tblPr>
      <w:tblGrid>
        <w:gridCol w:w="1754"/>
        <w:gridCol w:w="1944"/>
        <w:gridCol w:w="1897"/>
        <w:gridCol w:w="2087"/>
        <w:gridCol w:w="2087"/>
      </w:tblGrid>
      <w:tr w:rsidR="00692E71" w:rsidRPr="00275290" w14:paraId="14540071" w14:textId="77777777" w:rsidTr="008E0250">
        <w:trPr>
          <w:trHeight w:val="397"/>
          <w:tblHeader/>
          <w:jc w:val="center"/>
        </w:trPr>
        <w:tc>
          <w:tcPr>
            <w:tcW w:w="898" w:type="pct"/>
            <w:tcBorders>
              <w:top w:val="single" w:sz="4" w:space="0" w:color="auto"/>
              <w:left w:val="single" w:sz="4" w:space="0" w:color="auto"/>
              <w:bottom w:val="single" w:sz="4" w:space="0" w:color="auto"/>
              <w:right w:val="single" w:sz="4" w:space="0" w:color="auto"/>
            </w:tcBorders>
            <w:shd w:val="clear" w:color="auto" w:fill="A6A6A6"/>
            <w:vAlign w:val="center"/>
          </w:tcPr>
          <w:p w14:paraId="44502B73" w14:textId="77777777" w:rsidR="00692E71" w:rsidRPr="00275290" w:rsidRDefault="00692E71" w:rsidP="008E0250">
            <w:pPr>
              <w:autoSpaceDE w:val="0"/>
              <w:autoSpaceDN w:val="0"/>
              <w:adjustRightInd w:val="0"/>
              <w:jc w:val="center"/>
              <w:rPr>
                <w:rFonts w:cs="Arial"/>
                <w:b/>
              </w:rPr>
            </w:pPr>
            <w:r w:rsidRPr="00275290">
              <w:rPr>
                <w:rFonts w:cs="Arial"/>
                <w:b/>
              </w:rPr>
              <w:t>Ecotoxicity on terrestrial organisms</w:t>
            </w:r>
          </w:p>
        </w:tc>
        <w:tc>
          <w:tcPr>
            <w:tcW w:w="995" w:type="pct"/>
            <w:tcBorders>
              <w:top w:val="single" w:sz="4" w:space="0" w:color="auto"/>
              <w:left w:val="single" w:sz="4" w:space="0" w:color="auto"/>
              <w:bottom w:val="single" w:sz="4" w:space="0" w:color="auto"/>
              <w:right w:val="single" w:sz="4" w:space="0" w:color="auto"/>
            </w:tcBorders>
            <w:shd w:val="clear" w:color="auto" w:fill="A6A6A6"/>
            <w:vAlign w:val="center"/>
          </w:tcPr>
          <w:p w14:paraId="529FB630" w14:textId="77777777" w:rsidR="00692E71" w:rsidRPr="00275290" w:rsidRDefault="00692E71" w:rsidP="008E0250">
            <w:pPr>
              <w:autoSpaceDE w:val="0"/>
              <w:autoSpaceDN w:val="0"/>
              <w:adjustRightInd w:val="0"/>
              <w:jc w:val="center"/>
              <w:rPr>
                <w:rFonts w:cs="Arial"/>
                <w:b/>
                <w:i/>
              </w:rPr>
            </w:pPr>
            <w:r w:rsidRPr="00275290">
              <w:rPr>
                <w:rFonts w:cs="Arial"/>
                <w:b/>
              </w:rPr>
              <w:t xml:space="preserve">Cypermethrin </w:t>
            </w:r>
            <w:r w:rsidRPr="00275290">
              <w:rPr>
                <w:rFonts w:cs="Arial"/>
                <w:b/>
                <w:i/>
              </w:rPr>
              <w:t>cis:trans</w:t>
            </w:r>
            <w:r w:rsidRPr="00275290">
              <w:rPr>
                <w:rFonts w:cs="Arial"/>
                <w:b/>
              </w:rPr>
              <w:t xml:space="preserve"> / 40:60</w:t>
            </w:r>
          </w:p>
        </w:tc>
        <w:tc>
          <w:tcPr>
            <w:tcW w:w="971" w:type="pct"/>
            <w:tcBorders>
              <w:top w:val="single" w:sz="4" w:space="0" w:color="auto"/>
              <w:left w:val="single" w:sz="4" w:space="0" w:color="auto"/>
              <w:bottom w:val="single" w:sz="4" w:space="0" w:color="auto"/>
              <w:right w:val="single" w:sz="4" w:space="0" w:color="auto"/>
            </w:tcBorders>
            <w:shd w:val="clear" w:color="auto" w:fill="A6A6A6"/>
            <w:vAlign w:val="center"/>
          </w:tcPr>
          <w:p w14:paraId="541D405B" w14:textId="77777777" w:rsidR="00692E71" w:rsidRPr="00275290" w:rsidRDefault="00692E71" w:rsidP="008E0250">
            <w:pPr>
              <w:autoSpaceDE w:val="0"/>
              <w:autoSpaceDN w:val="0"/>
              <w:adjustRightInd w:val="0"/>
              <w:jc w:val="center"/>
              <w:rPr>
                <w:rFonts w:cs="Arial"/>
                <w:b/>
              </w:rPr>
            </w:pPr>
            <w:r w:rsidRPr="00275290">
              <w:rPr>
                <w:rFonts w:cs="Arial"/>
                <w:b/>
              </w:rPr>
              <w:t>Tebuconazole</w:t>
            </w:r>
          </w:p>
        </w:tc>
        <w:tc>
          <w:tcPr>
            <w:tcW w:w="1068" w:type="pct"/>
            <w:tcBorders>
              <w:top w:val="single" w:sz="4" w:space="0" w:color="auto"/>
              <w:left w:val="single" w:sz="4" w:space="0" w:color="auto"/>
              <w:bottom w:val="single" w:sz="4" w:space="0" w:color="auto"/>
              <w:right w:val="single" w:sz="4" w:space="0" w:color="auto"/>
            </w:tcBorders>
            <w:shd w:val="clear" w:color="auto" w:fill="A6A6A6"/>
            <w:vAlign w:val="center"/>
          </w:tcPr>
          <w:p w14:paraId="013AB2A3" w14:textId="77777777" w:rsidR="00692E71" w:rsidRPr="00275290" w:rsidRDefault="00692E71" w:rsidP="008E0250">
            <w:pPr>
              <w:autoSpaceDE w:val="0"/>
              <w:autoSpaceDN w:val="0"/>
              <w:adjustRightInd w:val="0"/>
              <w:jc w:val="center"/>
              <w:rPr>
                <w:rFonts w:cs="Arial"/>
                <w:b/>
              </w:rPr>
            </w:pPr>
            <w:r w:rsidRPr="00275290">
              <w:rPr>
                <w:rFonts w:cs="Arial"/>
                <w:b/>
              </w:rPr>
              <w:t>Propiconazole and relevant metabolites</w:t>
            </w:r>
          </w:p>
        </w:tc>
        <w:tc>
          <w:tcPr>
            <w:tcW w:w="1068" w:type="pct"/>
            <w:tcBorders>
              <w:top w:val="single" w:sz="4" w:space="0" w:color="auto"/>
              <w:left w:val="single" w:sz="4" w:space="0" w:color="auto"/>
              <w:bottom w:val="single" w:sz="4" w:space="0" w:color="auto"/>
              <w:right w:val="single" w:sz="4" w:space="0" w:color="auto"/>
            </w:tcBorders>
            <w:shd w:val="clear" w:color="auto" w:fill="A6A6A6"/>
          </w:tcPr>
          <w:p w14:paraId="43E3C6F2" w14:textId="77777777" w:rsidR="00692E71" w:rsidRPr="00275290" w:rsidRDefault="00692E71" w:rsidP="008E0250">
            <w:pPr>
              <w:autoSpaceDE w:val="0"/>
              <w:autoSpaceDN w:val="0"/>
              <w:adjustRightInd w:val="0"/>
              <w:jc w:val="center"/>
              <w:rPr>
                <w:rFonts w:cs="Arial"/>
                <w:b/>
              </w:rPr>
            </w:pPr>
            <w:r w:rsidRPr="00275290">
              <w:rPr>
                <w:rFonts w:cs="Arial"/>
                <w:b/>
              </w:rPr>
              <w:t>IPBC and relevant metabolite</w:t>
            </w:r>
          </w:p>
        </w:tc>
      </w:tr>
      <w:tr w:rsidR="00692E71" w:rsidRPr="00275290" w14:paraId="05FFB1BC"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75A1BBC6"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EC</w:t>
            </w:r>
            <w:r w:rsidRPr="00275290">
              <w:rPr>
                <w:rFonts w:cs="Arial"/>
                <w:sz w:val="18"/>
                <w:szCs w:val="18"/>
                <w:vertAlign w:val="subscript"/>
              </w:rPr>
              <w:t>50</w:t>
            </w:r>
            <w:r w:rsidRPr="00275290">
              <w:rPr>
                <w:rFonts w:cs="Arial"/>
                <w:sz w:val="18"/>
                <w:szCs w:val="18"/>
              </w:rPr>
              <w:t xml:space="preserve"> earthworm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58AD9B21"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(14 d) </w:t>
            </w:r>
            <w:r w:rsidRPr="00275290">
              <w:rPr>
                <w:rFonts w:cs="Arial"/>
                <w:sz w:val="18"/>
                <w:szCs w:val="18"/>
              </w:rPr>
              <w:t>&gt; 100 mg/kg</w:t>
            </w:r>
            <w:r w:rsidRPr="00275290">
              <w:rPr>
                <w:rFonts w:cs="Arial"/>
                <w:sz w:val="18"/>
                <w:szCs w:val="18"/>
                <w:vertAlign w:val="subscript"/>
              </w:rPr>
              <w:t>dwt</w:t>
            </w:r>
          </w:p>
        </w:tc>
        <w:tc>
          <w:tcPr>
            <w:tcW w:w="971" w:type="pct"/>
            <w:tcBorders>
              <w:top w:val="single" w:sz="4" w:space="0" w:color="auto"/>
              <w:left w:val="single" w:sz="4" w:space="0" w:color="auto"/>
              <w:bottom w:val="single" w:sz="4" w:space="0" w:color="auto"/>
              <w:right w:val="single" w:sz="4" w:space="0" w:color="auto"/>
            </w:tcBorders>
            <w:vAlign w:val="center"/>
          </w:tcPr>
          <w:p w14:paraId="1725391A"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Mortality (14 d):</w:t>
            </w:r>
          </w:p>
          <w:p w14:paraId="0A0C5472"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470 mg/kg</w:t>
            </w:r>
            <w:r w:rsidRPr="00275290">
              <w:rPr>
                <w:rFonts w:cs="Arial"/>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16103D28"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(14 d): </w:t>
            </w:r>
            <w:r w:rsidRPr="00275290">
              <w:rPr>
                <w:rFonts w:cs="Arial"/>
                <w:sz w:val="18"/>
                <w:szCs w:val="18"/>
              </w:rPr>
              <w:t>205 mg/kg</w:t>
            </w:r>
            <w:r w:rsidRPr="00275290">
              <w:rPr>
                <w:rFonts w:cs="Arial"/>
                <w:sz w:val="18"/>
                <w:szCs w:val="18"/>
                <w:vertAlign w:val="subscript"/>
              </w:rPr>
              <w:t>wwt</w:t>
            </w:r>
            <w:r w:rsidRPr="00275290">
              <w:rPr>
                <w:rFonts w:cs="Arial"/>
                <w:i/>
                <w:sz w:val="18"/>
                <w:szCs w:val="18"/>
              </w:rPr>
              <w:t xml:space="preserve"> </w:t>
            </w:r>
            <w:r w:rsidRPr="00275290">
              <w:rPr>
                <w:rFonts w:cs="Arial"/>
                <w:sz w:val="18"/>
                <w:szCs w:val="18"/>
              </w:rPr>
              <w:t>(= 686 mg/kg</w:t>
            </w:r>
            <w:r w:rsidRPr="00275290">
              <w:rPr>
                <w:rFonts w:cs="Arial"/>
                <w:sz w:val="18"/>
                <w:szCs w:val="18"/>
                <w:vertAlign w:val="subscript"/>
              </w:rPr>
              <w:t>dwt</w:t>
            </w:r>
            <w:r w:rsidRPr="00275290">
              <w:rPr>
                <w:rFonts w:cs="Arial"/>
                <w:sz w:val="18"/>
                <w:szCs w:val="18"/>
              </w:rPr>
              <w:t>)</w:t>
            </w:r>
          </w:p>
          <w:p w14:paraId="0806F3AA" w14:textId="77777777" w:rsidR="00692E71" w:rsidRPr="00275290" w:rsidRDefault="00692E71" w:rsidP="008E0250">
            <w:pPr>
              <w:autoSpaceDE w:val="0"/>
              <w:autoSpaceDN w:val="0"/>
              <w:adjustRightInd w:val="0"/>
              <w:jc w:val="center"/>
              <w:rPr>
                <w:rFonts w:cs="Arial"/>
                <w:sz w:val="18"/>
                <w:szCs w:val="18"/>
              </w:rPr>
            </w:pPr>
          </w:p>
          <w:p w14:paraId="0DBE62DB" w14:textId="77777777" w:rsidR="00692E71" w:rsidRPr="00275290" w:rsidRDefault="00692E71" w:rsidP="008E0250">
            <w:pPr>
              <w:autoSpaceDE w:val="0"/>
              <w:autoSpaceDN w:val="0"/>
              <w:adjustRightInd w:val="0"/>
              <w:jc w:val="center"/>
              <w:rPr>
                <w:rFonts w:cs="Arial"/>
                <w:color w:val="4F81BD" w:themeColor="accent1"/>
                <w:sz w:val="18"/>
                <w:szCs w:val="18"/>
              </w:rPr>
            </w:pPr>
            <w:r w:rsidRPr="00275290">
              <w:rPr>
                <w:rFonts w:cs="Arial"/>
                <w:color w:val="4F81BD" w:themeColor="accent1"/>
                <w:sz w:val="18"/>
                <w:szCs w:val="18"/>
              </w:rPr>
              <w:t>1,2,4-triazole: &gt; 299 mg/kg</w:t>
            </w:r>
            <w:r w:rsidRPr="00275290">
              <w:rPr>
                <w:rFonts w:cs="Arial"/>
                <w:color w:val="4F81BD" w:themeColor="accent1"/>
                <w:sz w:val="18"/>
                <w:szCs w:val="18"/>
                <w:vertAlign w:val="subscript"/>
              </w:rPr>
              <w:t>wwt</w:t>
            </w:r>
            <w:r w:rsidRPr="00275290">
              <w:rPr>
                <w:rFonts w:cs="Arial"/>
                <w:color w:val="4F81BD" w:themeColor="accent1"/>
                <w:sz w:val="18"/>
                <w:szCs w:val="18"/>
              </w:rPr>
              <w:t xml:space="preserve"> (&gt; 1000 mg/kg</w:t>
            </w:r>
            <w:r w:rsidRPr="00275290">
              <w:rPr>
                <w:rFonts w:cs="Arial"/>
                <w:color w:val="4F81BD" w:themeColor="accent1"/>
                <w:sz w:val="18"/>
                <w:szCs w:val="18"/>
                <w:vertAlign w:val="subscript"/>
              </w:rPr>
              <w:t>dwt</w:t>
            </w:r>
            <w:r w:rsidRPr="00275290">
              <w:rPr>
                <w:rFonts w:cs="Arial"/>
                <w:color w:val="4F81BD" w:themeColor="accent1"/>
                <w:sz w:val="18"/>
                <w:szCs w:val="18"/>
              </w:rPr>
              <w:t>)</w:t>
            </w:r>
          </w:p>
          <w:p w14:paraId="5BE31179" w14:textId="77777777" w:rsidR="00692E71" w:rsidRPr="00275290" w:rsidRDefault="00692E71" w:rsidP="008E0250">
            <w:pPr>
              <w:autoSpaceDE w:val="0"/>
              <w:autoSpaceDN w:val="0"/>
              <w:adjustRightInd w:val="0"/>
              <w:jc w:val="center"/>
              <w:rPr>
                <w:rFonts w:cs="Arial"/>
                <w:i/>
                <w:sz w:val="18"/>
                <w:szCs w:val="18"/>
              </w:rPr>
            </w:pPr>
            <w:r w:rsidRPr="00275290">
              <w:rPr>
                <w:rFonts w:cs="Arial"/>
                <w:color w:val="4F81BD" w:themeColor="accent1"/>
                <w:sz w:val="18"/>
                <w:szCs w:val="18"/>
              </w:rPr>
              <w:t>CGA 118 245: &gt; 299 mg/kg</w:t>
            </w:r>
            <w:r w:rsidRPr="00275290">
              <w:rPr>
                <w:rFonts w:cs="Arial"/>
                <w:color w:val="4F81BD" w:themeColor="accent1"/>
                <w:sz w:val="18"/>
                <w:szCs w:val="18"/>
                <w:vertAlign w:val="subscript"/>
              </w:rPr>
              <w:t>wwt</w:t>
            </w:r>
            <w:r w:rsidRPr="00275290">
              <w:rPr>
                <w:rFonts w:cs="Arial"/>
                <w:color w:val="4F81BD" w:themeColor="accent1"/>
                <w:sz w:val="18"/>
                <w:szCs w:val="18"/>
              </w:rPr>
              <w:t xml:space="preserve"> (&gt; 1000 mg/kg</w:t>
            </w:r>
            <w:r w:rsidRPr="00275290">
              <w:rPr>
                <w:rFonts w:cs="Arial"/>
                <w:color w:val="4F81BD" w:themeColor="accent1"/>
                <w:sz w:val="18"/>
                <w:szCs w:val="18"/>
                <w:vertAlign w:val="subscript"/>
              </w:rPr>
              <w:t>dwt</w:t>
            </w:r>
            <w:r w:rsidRPr="00275290">
              <w:rPr>
                <w:rFonts w:cs="Arial"/>
                <w:color w:val="4F81BD" w:themeColor="accent1"/>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3122255A"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Mortality (14 d): &gt; 1000 mg/kg</w:t>
            </w:r>
            <w:r w:rsidRPr="00275290">
              <w:rPr>
                <w:rFonts w:cs="Arial"/>
                <w:i/>
                <w:sz w:val="18"/>
                <w:szCs w:val="18"/>
                <w:vertAlign w:val="subscript"/>
              </w:rPr>
              <w:t>dwt</w:t>
            </w:r>
          </w:p>
        </w:tc>
      </w:tr>
      <w:tr w:rsidR="00692E71" w:rsidRPr="00275290" w14:paraId="36910C4F" w14:textId="77777777" w:rsidTr="008E0250">
        <w:trPr>
          <w:trHeight w:val="454"/>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3D522A13"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earthworm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1424FE43"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(56 d): </w:t>
            </w:r>
            <w:r w:rsidRPr="00275290">
              <w:rPr>
                <w:rFonts w:cs="Arial"/>
                <w:sz w:val="18"/>
                <w:szCs w:val="18"/>
              </w:rPr>
              <w:t>&gt; 100 mg/kg</w:t>
            </w:r>
            <w:r w:rsidRPr="00275290">
              <w:rPr>
                <w:rFonts w:cs="Arial"/>
                <w:sz w:val="18"/>
                <w:szCs w:val="18"/>
                <w:vertAlign w:val="subscript"/>
              </w:rPr>
              <w:t>dwt</w:t>
            </w:r>
          </w:p>
          <w:p w14:paraId="6A3AFE4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Biomass (56 d): </w:t>
            </w:r>
            <w:r w:rsidRPr="00275290">
              <w:rPr>
                <w:rFonts w:cs="Arial"/>
                <w:sz w:val="18"/>
                <w:szCs w:val="18"/>
              </w:rPr>
              <w:t>30.8 mg/kg</w:t>
            </w:r>
            <w:r w:rsidRPr="00275290">
              <w:rPr>
                <w:rFonts w:cs="Arial"/>
                <w:sz w:val="18"/>
                <w:szCs w:val="18"/>
                <w:vertAlign w:val="subscript"/>
              </w:rPr>
              <w:t>dwt</w:t>
            </w:r>
          </w:p>
          <w:p w14:paraId="7439842A"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Reproduction (56 d): </w:t>
            </w:r>
            <w:r w:rsidRPr="00275290">
              <w:rPr>
                <w:rFonts w:cs="Arial"/>
                <w:b/>
                <w:sz w:val="18"/>
                <w:szCs w:val="18"/>
              </w:rPr>
              <w:t>5.20 mg/kg</w:t>
            </w:r>
            <w:r w:rsidRPr="00275290">
              <w:rPr>
                <w:rFonts w:cs="Arial"/>
                <w:b/>
                <w:sz w:val="18"/>
                <w:szCs w:val="18"/>
                <w:vertAlign w:val="subscript"/>
              </w:rPr>
              <w:t>dwt</w:t>
            </w:r>
          </w:p>
        </w:tc>
        <w:tc>
          <w:tcPr>
            <w:tcW w:w="971" w:type="pct"/>
            <w:tcBorders>
              <w:top w:val="single" w:sz="4" w:space="0" w:color="auto"/>
              <w:left w:val="single" w:sz="4" w:space="0" w:color="auto"/>
              <w:bottom w:val="single" w:sz="4" w:space="0" w:color="auto"/>
              <w:right w:val="single" w:sz="4" w:space="0" w:color="auto"/>
            </w:tcBorders>
            <w:vAlign w:val="center"/>
          </w:tcPr>
          <w:p w14:paraId="5D903D10"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Reproduction (56 d): </w:t>
            </w:r>
            <w:r w:rsidRPr="00275290">
              <w:rPr>
                <w:rFonts w:cs="Arial"/>
                <w:b/>
                <w:sz w:val="18"/>
                <w:szCs w:val="18"/>
              </w:rPr>
              <w:t>5.70 mg/kg</w:t>
            </w:r>
            <w:r w:rsidRPr="00275290">
              <w:rPr>
                <w:rFonts w:cs="Arial"/>
                <w:b/>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018367C2"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Reproduction (56 d):</w:t>
            </w:r>
            <w:r w:rsidRPr="00275290">
              <w:rPr>
                <w:rFonts w:cs="Arial"/>
                <w:i/>
                <w:sz w:val="18"/>
                <w:szCs w:val="18"/>
              </w:rPr>
              <w:br/>
              <w:t xml:space="preserve"> </w:t>
            </w:r>
            <w:r w:rsidRPr="00275290">
              <w:rPr>
                <w:rFonts w:cs="Arial"/>
                <w:b/>
                <w:sz w:val="18"/>
                <w:szCs w:val="18"/>
              </w:rPr>
              <w:t>0.998 mg/kg</w:t>
            </w:r>
            <w:r w:rsidRPr="00275290">
              <w:rPr>
                <w:rFonts w:cs="Arial"/>
                <w:b/>
                <w:sz w:val="18"/>
                <w:szCs w:val="18"/>
                <w:vertAlign w:val="subscript"/>
              </w:rPr>
              <w:t>wwt</w:t>
            </w:r>
          </w:p>
        </w:tc>
        <w:tc>
          <w:tcPr>
            <w:tcW w:w="1068" w:type="pct"/>
            <w:tcBorders>
              <w:top w:val="single" w:sz="4" w:space="0" w:color="auto"/>
              <w:left w:val="single" w:sz="4" w:space="0" w:color="auto"/>
              <w:bottom w:val="single" w:sz="4" w:space="0" w:color="auto"/>
              <w:right w:val="single" w:sz="4" w:space="0" w:color="auto"/>
            </w:tcBorders>
            <w:vAlign w:val="center"/>
          </w:tcPr>
          <w:p w14:paraId="293021E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w:t>
            </w:r>
          </w:p>
        </w:tc>
      </w:tr>
      <w:tr w:rsidR="00692E71" w:rsidRPr="00275290" w14:paraId="139074A2" w14:textId="77777777" w:rsidTr="008E0250">
        <w:trPr>
          <w:trHeight w:val="510"/>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759207ED"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LC</w:t>
            </w:r>
            <w:r w:rsidRPr="00275290">
              <w:rPr>
                <w:rFonts w:cs="Arial"/>
                <w:sz w:val="18"/>
                <w:szCs w:val="18"/>
                <w:vertAlign w:val="subscript"/>
              </w:rPr>
              <w:t>50</w:t>
            </w:r>
            <w:r w:rsidRPr="00275290">
              <w:rPr>
                <w:rFonts w:cs="Arial"/>
                <w:sz w:val="18"/>
                <w:szCs w:val="18"/>
              </w:rPr>
              <w:t xml:space="preserve"> plants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7E4713B8"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Not expected to be phytotoxic</w:t>
            </w:r>
          </w:p>
        </w:tc>
        <w:tc>
          <w:tcPr>
            <w:tcW w:w="971" w:type="pct"/>
            <w:tcBorders>
              <w:top w:val="single" w:sz="4" w:space="0" w:color="auto"/>
              <w:left w:val="single" w:sz="4" w:space="0" w:color="auto"/>
              <w:bottom w:val="single" w:sz="4" w:space="0" w:color="auto"/>
              <w:right w:val="single" w:sz="4" w:space="0" w:color="auto"/>
            </w:tcBorders>
            <w:vAlign w:val="center"/>
          </w:tcPr>
          <w:p w14:paraId="07CC672B"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Emergence (14 d): </w:t>
            </w:r>
            <w:r w:rsidRPr="00275290">
              <w:rPr>
                <w:rFonts w:cs="Arial"/>
                <w:i/>
                <w:sz w:val="18"/>
                <w:szCs w:val="18"/>
              </w:rPr>
              <w:br/>
            </w:r>
            <w:r w:rsidRPr="00275290">
              <w:rPr>
                <w:rFonts w:cs="Arial"/>
                <w:sz w:val="18"/>
                <w:szCs w:val="18"/>
              </w:rPr>
              <w:t>&gt; 100 mg/kg</w:t>
            </w:r>
            <w:r w:rsidRPr="00275290">
              <w:rPr>
                <w:rFonts w:cs="Arial"/>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479E90B2"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 data</w:t>
            </w:r>
          </w:p>
        </w:tc>
        <w:tc>
          <w:tcPr>
            <w:tcW w:w="1068" w:type="pct"/>
            <w:tcBorders>
              <w:top w:val="single" w:sz="4" w:space="0" w:color="auto"/>
              <w:left w:val="single" w:sz="4" w:space="0" w:color="auto"/>
              <w:bottom w:val="single" w:sz="4" w:space="0" w:color="auto"/>
              <w:right w:val="single" w:sz="4" w:space="0" w:color="auto"/>
            </w:tcBorders>
            <w:vAlign w:val="center"/>
          </w:tcPr>
          <w:p w14:paraId="2921DFB9"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w:t>
            </w:r>
          </w:p>
        </w:tc>
      </w:tr>
      <w:tr w:rsidR="00692E71" w:rsidRPr="00275290" w14:paraId="26A9E6AE" w14:textId="77777777" w:rsidTr="008E0250">
        <w:trPr>
          <w:trHeight w:val="510"/>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27D715B6"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EC</w:t>
            </w:r>
            <w:r w:rsidRPr="00275290">
              <w:rPr>
                <w:rFonts w:cs="Arial"/>
                <w:sz w:val="18"/>
                <w:szCs w:val="18"/>
                <w:vertAlign w:val="subscript"/>
              </w:rPr>
              <w:t>50</w:t>
            </w:r>
            <w:r w:rsidRPr="00275290">
              <w:rPr>
                <w:rFonts w:cs="Arial"/>
                <w:sz w:val="18"/>
                <w:szCs w:val="18"/>
              </w:rPr>
              <w:t xml:space="preserve"> plants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0168BD10"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Not expected to be phytotoxic</w:t>
            </w:r>
          </w:p>
        </w:tc>
        <w:tc>
          <w:tcPr>
            <w:tcW w:w="971" w:type="pct"/>
            <w:tcBorders>
              <w:top w:val="single" w:sz="4" w:space="0" w:color="auto"/>
              <w:left w:val="single" w:sz="4" w:space="0" w:color="auto"/>
              <w:bottom w:val="single" w:sz="4" w:space="0" w:color="auto"/>
              <w:right w:val="single" w:sz="4" w:space="0" w:color="auto"/>
            </w:tcBorders>
            <w:vAlign w:val="center"/>
          </w:tcPr>
          <w:p w14:paraId="2A29CF67"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Growth (14 d): </w:t>
            </w:r>
            <w:r w:rsidRPr="00275290">
              <w:rPr>
                <w:rFonts w:cs="Arial"/>
                <w:i/>
                <w:sz w:val="18"/>
                <w:szCs w:val="18"/>
              </w:rPr>
              <w:br/>
            </w:r>
            <w:r w:rsidRPr="00275290">
              <w:rPr>
                <w:rFonts w:cs="Arial"/>
                <w:sz w:val="18"/>
                <w:szCs w:val="18"/>
              </w:rPr>
              <w:t>24 mg/kg</w:t>
            </w:r>
            <w:r w:rsidRPr="00275290">
              <w:rPr>
                <w:rFonts w:cs="Arial"/>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21066BED"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Seedling emergence and survival: </w:t>
            </w:r>
            <w:r w:rsidRPr="00275290">
              <w:rPr>
                <w:rFonts w:cs="Arial"/>
                <w:sz w:val="18"/>
                <w:szCs w:val="18"/>
              </w:rPr>
              <w:t>4.32 mg/kg</w:t>
            </w:r>
            <w:r w:rsidRPr="00275290">
              <w:rPr>
                <w:rFonts w:cs="Arial"/>
                <w:sz w:val="18"/>
                <w:szCs w:val="18"/>
                <w:vertAlign w:val="subscript"/>
              </w:rPr>
              <w:t>wwt</w:t>
            </w:r>
          </w:p>
        </w:tc>
        <w:tc>
          <w:tcPr>
            <w:tcW w:w="1068" w:type="pct"/>
            <w:tcBorders>
              <w:top w:val="single" w:sz="4" w:space="0" w:color="auto"/>
              <w:left w:val="single" w:sz="4" w:space="0" w:color="auto"/>
              <w:bottom w:val="single" w:sz="4" w:space="0" w:color="auto"/>
              <w:right w:val="single" w:sz="4" w:space="0" w:color="auto"/>
            </w:tcBorders>
            <w:vAlign w:val="center"/>
          </w:tcPr>
          <w:p w14:paraId="0E672959"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Fresh weight reduction: 4.92 mg/kg</w:t>
            </w:r>
            <w:r w:rsidRPr="00275290">
              <w:rPr>
                <w:rFonts w:cs="Arial"/>
                <w:i/>
                <w:sz w:val="18"/>
                <w:szCs w:val="18"/>
                <w:vertAlign w:val="subscript"/>
              </w:rPr>
              <w:t>dwt</w:t>
            </w:r>
          </w:p>
        </w:tc>
      </w:tr>
      <w:tr w:rsidR="00692E71" w:rsidRPr="00275290" w14:paraId="215941CE" w14:textId="77777777" w:rsidTr="008E0250">
        <w:trPr>
          <w:trHeight w:val="510"/>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5F036AE7"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plants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2128FF44"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Not expected to be phytotoxic</w:t>
            </w:r>
          </w:p>
        </w:tc>
        <w:tc>
          <w:tcPr>
            <w:tcW w:w="971" w:type="pct"/>
            <w:tcBorders>
              <w:top w:val="single" w:sz="4" w:space="0" w:color="auto"/>
              <w:left w:val="single" w:sz="4" w:space="0" w:color="auto"/>
              <w:bottom w:val="single" w:sz="4" w:space="0" w:color="auto"/>
              <w:right w:val="single" w:sz="4" w:space="0" w:color="auto"/>
            </w:tcBorders>
            <w:vAlign w:val="center"/>
          </w:tcPr>
          <w:p w14:paraId="3CD59FAE"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 data</w:t>
            </w:r>
          </w:p>
        </w:tc>
        <w:tc>
          <w:tcPr>
            <w:tcW w:w="1068" w:type="pct"/>
            <w:tcBorders>
              <w:top w:val="single" w:sz="4" w:space="0" w:color="auto"/>
              <w:left w:val="single" w:sz="4" w:space="0" w:color="auto"/>
              <w:bottom w:val="single" w:sz="4" w:space="0" w:color="auto"/>
              <w:right w:val="single" w:sz="4" w:space="0" w:color="auto"/>
            </w:tcBorders>
            <w:vAlign w:val="center"/>
          </w:tcPr>
          <w:p w14:paraId="6A5BB717"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Reproduction: </w:t>
            </w:r>
            <w:r w:rsidRPr="00275290">
              <w:rPr>
                <w:rFonts w:cs="Arial"/>
                <w:sz w:val="18"/>
                <w:szCs w:val="18"/>
              </w:rPr>
              <w:t>1.69 mg/kg</w:t>
            </w:r>
            <w:r w:rsidRPr="00275290">
              <w:rPr>
                <w:rFonts w:cs="Arial"/>
                <w:sz w:val="18"/>
                <w:szCs w:val="18"/>
                <w:vertAlign w:val="subscript"/>
              </w:rPr>
              <w:t>wwt</w:t>
            </w:r>
            <w:r w:rsidRPr="00275290">
              <w:rPr>
                <w:rFonts w:cs="Arial"/>
                <w:i/>
                <w:sz w:val="18"/>
                <w:szCs w:val="18"/>
              </w:rPr>
              <w:t xml:space="preserve"> </w:t>
            </w:r>
            <w:r w:rsidRPr="00275290">
              <w:rPr>
                <w:rFonts w:cs="Arial"/>
                <w:sz w:val="18"/>
                <w:szCs w:val="18"/>
              </w:rPr>
              <w:t>(0.96 mg/kg</w:t>
            </w:r>
            <w:r w:rsidRPr="00275290">
              <w:rPr>
                <w:rFonts w:cs="Arial"/>
                <w:sz w:val="18"/>
                <w:szCs w:val="18"/>
                <w:vertAlign w:val="subscript"/>
              </w:rPr>
              <w:t>dwt</w:t>
            </w: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5B8BE83D"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w:t>
            </w:r>
          </w:p>
        </w:tc>
      </w:tr>
      <w:tr w:rsidR="00692E71" w:rsidRPr="00275290" w14:paraId="79D53BDB"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783E46E9" w14:textId="77777777" w:rsidR="00692E71" w:rsidRPr="00275290" w:rsidRDefault="00692E71" w:rsidP="008E0250">
            <w:pPr>
              <w:keepNext/>
              <w:autoSpaceDE w:val="0"/>
              <w:autoSpaceDN w:val="0"/>
              <w:adjustRightInd w:val="0"/>
              <w:rPr>
                <w:rFonts w:cs="Arial"/>
                <w:sz w:val="18"/>
                <w:szCs w:val="18"/>
              </w:rPr>
            </w:pPr>
            <w:r w:rsidRPr="00275290">
              <w:rPr>
                <w:rFonts w:cs="Arial"/>
                <w:sz w:val="18"/>
                <w:szCs w:val="18"/>
              </w:rPr>
              <w:t>EC</w:t>
            </w:r>
            <w:r w:rsidRPr="00275290">
              <w:rPr>
                <w:rFonts w:cs="Arial"/>
                <w:sz w:val="18"/>
                <w:szCs w:val="18"/>
                <w:vertAlign w:val="subscript"/>
              </w:rPr>
              <w:t>50</w:t>
            </w:r>
            <w:r w:rsidRPr="00275290">
              <w:rPr>
                <w:rFonts w:cs="Arial"/>
                <w:sz w:val="18"/>
                <w:szCs w:val="18"/>
              </w:rPr>
              <w:t xml:space="preserve"> Mineralization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08335900" w14:textId="77777777" w:rsidR="00692E71" w:rsidRPr="00275290" w:rsidRDefault="00692E71" w:rsidP="008E0250">
            <w:pPr>
              <w:keepNext/>
              <w:autoSpaceDE w:val="0"/>
              <w:autoSpaceDN w:val="0"/>
              <w:adjustRightInd w:val="0"/>
              <w:jc w:val="center"/>
              <w:rPr>
                <w:rFonts w:cs="Arial"/>
                <w:sz w:val="18"/>
                <w:szCs w:val="18"/>
              </w:rPr>
            </w:pPr>
            <w:r w:rsidRPr="00275290">
              <w:rPr>
                <w:rFonts w:cs="Arial"/>
                <w:sz w:val="18"/>
                <w:szCs w:val="18"/>
              </w:rPr>
              <w:t>-</w:t>
            </w:r>
          </w:p>
        </w:tc>
        <w:tc>
          <w:tcPr>
            <w:tcW w:w="971" w:type="pct"/>
            <w:tcBorders>
              <w:top w:val="single" w:sz="4" w:space="0" w:color="auto"/>
              <w:left w:val="single" w:sz="4" w:space="0" w:color="auto"/>
              <w:bottom w:val="single" w:sz="4" w:space="0" w:color="auto"/>
              <w:right w:val="single" w:sz="4" w:space="0" w:color="auto"/>
            </w:tcBorders>
            <w:vAlign w:val="center"/>
          </w:tcPr>
          <w:p w14:paraId="34EA0E52" w14:textId="77777777" w:rsidR="00692E71" w:rsidRPr="00275290" w:rsidRDefault="00692E71" w:rsidP="008E0250">
            <w:pPr>
              <w:keepNext/>
              <w:jc w:val="center"/>
              <w:rPr>
                <w:rFonts w:cs="Arial"/>
                <w:i/>
                <w:sz w:val="18"/>
                <w:szCs w:val="18"/>
              </w:rPr>
            </w:pPr>
            <w:r w:rsidRPr="00275290">
              <w:rPr>
                <w:rFonts w:cs="Arial"/>
                <w:i/>
                <w:sz w:val="18"/>
                <w:szCs w:val="18"/>
              </w:rPr>
              <w:t>Nitrogen and carbon mineralisation (28 d):</w:t>
            </w:r>
          </w:p>
          <w:p w14:paraId="123437E8" w14:textId="77777777" w:rsidR="00692E71" w:rsidRPr="00275290" w:rsidRDefault="00692E71" w:rsidP="008E0250">
            <w:pPr>
              <w:keepNext/>
              <w:autoSpaceDE w:val="0"/>
              <w:autoSpaceDN w:val="0"/>
              <w:adjustRightInd w:val="0"/>
              <w:jc w:val="center"/>
              <w:rPr>
                <w:rFonts w:cs="Arial"/>
                <w:sz w:val="18"/>
                <w:szCs w:val="18"/>
              </w:rPr>
            </w:pPr>
            <w:r w:rsidRPr="00275290">
              <w:rPr>
                <w:rFonts w:cs="Arial"/>
                <w:sz w:val="18"/>
                <w:szCs w:val="18"/>
              </w:rPr>
              <w:t>&gt; 8.30 mg/kg</w:t>
            </w:r>
            <w:r w:rsidRPr="00275290">
              <w:rPr>
                <w:rFonts w:cs="Arial"/>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78518A22"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i/>
                <w:sz w:val="18"/>
                <w:szCs w:val="18"/>
              </w:rPr>
              <w:t xml:space="preserve">Nitrogen mineralisation: </w:t>
            </w:r>
            <w:r w:rsidRPr="00275290">
              <w:rPr>
                <w:rFonts w:cs="Arial"/>
                <w:sz w:val="18"/>
                <w:szCs w:val="18"/>
              </w:rPr>
              <w:t>&gt; 2.16 mg/kg</w:t>
            </w:r>
            <w:r w:rsidRPr="00275290">
              <w:rPr>
                <w:rFonts w:cs="Arial"/>
                <w:sz w:val="18"/>
                <w:szCs w:val="18"/>
                <w:vertAlign w:val="subscript"/>
              </w:rPr>
              <w:t>wwt</w:t>
            </w:r>
            <w:r w:rsidRPr="00275290">
              <w:rPr>
                <w:rFonts w:cs="Arial"/>
                <w:i/>
                <w:sz w:val="18"/>
                <w:szCs w:val="18"/>
              </w:rPr>
              <w:t xml:space="preserve"> </w:t>
            </w:r>
            <w:r w:rsidRPr="00275290">
              <w:rPr>
                <w:rFonts w:cs="Arial"/>
                <w:i/>
                <w:sz w:val="18"/>
                <w:szCs w:val="18"/>
              </w:rPr>
              <w:br/>
            </w:r>
            <w:r w:rsidRPr="00275290">
              <w:rPr>
                <w:rFonts w:cs="Arial"/>
                <w:sz w:val="18"/>
                <w:szCs w:val="18"/>
              </w:rPr>
              <w:t>(&gt; 1.67 mg/kg</w:t>
            </w:r>
            <w:r w:rsidRPr="00275290">
              <w:rPr>
                <w:rFonts w:cs="Arial"/>
                <w:sz w:val="18"/>
                <w:szCs w:val="18"/>
                <w:vertAlign w:val="subscript"/>
              </w:rPr>
              <w:t>dwt</w:t>
            </w:r>
            <w:r w:rsidRPr="00275290">
              <w:rPr>
                <w:rFonts w:cs="Arial"/>
                <w:sz w:val="18"/>
                <w:szCs w:val="18"/>
              </w:rPr>
              <w:t>)</w:t>
            </w:r>
          </w:p>
          <w:p w14:paraId="6B2D25CC" w14:textId="77777777" w:rsidR="00692E71" w:rsidRPr="00275290" w:rsidRDefault="00692E71" w:rsidP="008E0250">
            <w:pPr>
              <w:keepNext/>
              <w:autoSpaceDE w:val="0"/>
              <w:autoSpaceDN w:val="0"/>
              <w:adjustRightInd w:val="0"/>
              <w:jc w:val="center"/>
              <w:rPr>
                <w:rFonts w:cs="Arial"/>
                <w:sz w:val="18"/>
                <w:szCs w:val="18"/>
              </w:rPr>
            </w:pPr>
          </w:p>
          <w:p w14:paraId="3E0FEF3B" w14:textId="77777777" w:rsidR="00692E71" w:rsidRPr="00275290" w:rsidRDefault="00692E71" w:rsidP="008E0250">
            <w:pPr>
              <w:keepNext/>
              <w:autoSpaceDE w:val="0"/>
              <w:autoSpaceDN w:val="0"/>
              <w:adjustRightInd w:val="0"/>
              <w:jc w:val="center"/>
              <w:rPr>
                <w:rFonts w:cs="Arial"/>
                <w:sz w:val="18"/>
                <w:szCs w:val="18"/>
              </w:rPr>
            </w:pPr>
            <w:r w:rsidRPr="00275290">
              <w:rPr>
                <w:rFonts w:cs="Arial"/>
                <w:sz w:val="18"/>
                <w:szCs w:val="18"/>
              </w:rPr>
              <w:t>1,2,4-triazole: &gt; 0.82 mg/kg</w:t>
            </w:r>
            <w:r w:rsidRPr="00275290">
              <w:rPr>
                <w:rFonts w:cs="Arial"/>
                <w:sz w:val="18"/>
                <w:szCs w:val="18"/>
                <w:vertAlign w:val="subscript"/>
              </w:rPr>
              <w:t>wwt</w:t>
            </w:r>
            <w:r w:rsidRPr="00275290">
              <w:rPr>
                <w:rFonts w:cs="Arial"/>
                <w:sz w:val="18"/>
                <w:szCs w:val="18"/>
              </w:rPr>
              <w:t xml:space="preserve"> (&gt; 0.33 mg/kg</w:t>
            </w:r>
            <w:r w:rsidRPr="00275290">
              <w:rPr>
                <w:rFonts w:cs="Arial"/>
                <w:sz w:val="18"/>
                <w:szCs w:val="18"/>
                <w:vertAlign w:val="subscript"/>
              </w:rPr>
              <w:t>dwt</w:t>
            </w: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04598879"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i/>
                <w:sz w:val="18"/>
                <w:szCs w:val="18"/>
              </w:rPr>
              <w:t>Carbon mineralisation: 312.5 mg/kg</w:t>
            </w:r>
            <w:r w:rsidRPr="00275290">
              <w:rPr>
                <w:rFonts w:cs="Arial"/>
                <w:i/>
                <w:sz w:val="18"/>
                <w:szCs w:val="18"/>
                <w:vertAlign w:val="subscript"/>
              </w:rPr>
              <w:t>dwt</w:t>
            </w:r>
          </w:p>
        </w:tc>
      </w:tr>
      <w:tr w:rsidR="00692E71" w:rsidRPr="00275290" w14:paraId="0FC422D1"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04663FB7" w14:textId="77777777" w:rsidR="00692E71" w:rsidRPr="00275290" w:rsidRDefault="00692E71" w:rsidP="008E0250">
            <w:pPr>
              <w:keepNext/>
              <w:autoSpaceDE w:val="0"/>
              <w:autoSpaceDN w:val="0"/>
              <w:adjustRightInd w:val="0"/>
              <w:rPr>
                <w:rFonts w:cs="Arial"/>
                <w:sz w:val="18"/>
                <w:szCs w:val="18"/>
              </w:rPr>
            </w:pPr>
            <w:r w:rsidRPr="00275290">
              <w:rPr>
                <w:rFonts w:cs="Arial"/>
                <w:sz w:val="18"/>
                <w:szCs w:val="18"/>
              </w:rPr>
              <w:t>NOEC Mineralization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61A70C65"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i/>
                <w:sz w:val="18"/>
                <w:szCs w:val="18"/>
              </w:rPr>
              <w:t xml:space="preserve">Nitrogen mineralisation: </w:t>
            </w:r>
            <w:r w:rsidRPr="00275290">
              <w:rPr>
                <w:rFonts w:cs="Arial"/>
                <w:sz w:val="18"/>
                <w:szCs w:val="18"/>
              </w:rPr>
              <w:t>52 mg/kg</w:t>
            </w:r>
            <w:r w:rsidRPr="00275290">
              <w:rPr>
                <w:rFonts w:cs="Arial"/>
                <w:sz w:val="18"/>
                <w:szCs w:val="18"/>
                <w:vertAlign w:val="subscript"/>
              </w:rPr>
              <w:t>dwt</w:t>
            </w:r>
          </w:p>
        </w:tc>
        <w:tc>
          <w:tcPr>
            <w:tcW w:w="971" w:type="pct"/>
            <w:tcBorders>
              <w:top w:val="single" w:sz="4" w:space="0" w:color="auto"/>
              <w:left w:val="single" w:sz="4" w:space="0" w:color="auto"/>
              <w:bottom w:val="single" w:sz="4" w:space="0" w:color="auto"/>
              <w:right w:val="single" w:sz="4" w:space="0" w:color="auto"/>
            </w:tcBorders>
            <w:vAlign w:val="center"/>
          </w:tcPr>
          <w:p w14:paraId="60937261" w14:textId="77777777" w:rsidR="00692E71" w:rsidRPr="00275290" w:rsidRDefault="00692E71" w:rsidP="008E0250">
            <w:pPr>
              <w:keepNext/>
              <w:jc w:val="center"/>
              <w:rPr>
                <w:rFonts w:cs="Arial"/>
                <w:i/>
                <w:sz w:val="18"/>
                <w:szCs w:val="18"/>
              </w:rPr>
            </w:pPr>
            <w:r w:rsidRPr="00275290">
              <w:rPr>
                <w:rFonts w:cs="Arial"/>
                <w:i/>
                <w:sz w:val="18"/>
                <w:szCs w:val="18"/>
              </w:rPr>
              <w:t>Nitrogen and carbon mineralisation (28 d):</w:t>
            </w:r>
          </w:p>
          <w:p w14:paraId="1397DE77"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sz w:val="18"/>
                <w:szCs w:val="18"/>
              </w:rPr>
              <w:t>8.30 mg/kg</w:t>
            </w:r>
            <w:r w:rsidRPr="00275290">
              <w:rPr>
                <w:rFonts w:cs="Arial"/>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443E2BEF"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i/>
                <w:sz w:val="18"/>
                <w:szCs w:val="18"/>
              </w:rPr>
              <w:t xml:space="preserve">Nitrogen mineralisation: </w:t>
            </w:r>
            <w:r w:rsidRPr="00275290">
              <w:rPr>
                <w:rFonts w:cs="Arial"/>
                <w:sz w:val="18"/>
                <w:szCs w:val="18"/>
              </w:rPr>
              <w:t>2.16 mg/kg</w:t>
            </w:r>
            <w:r w:rsidRPr="00275290">
              <w:rPr>
                <w:rFonts w:cs="Arial"/>
                <w:sz w:val="18"/>
                <w:szCs w:val="18"/>
                <w:vertAlign w:val="subscript"/>
              </w:rPr>
              <w:t>wwt</w:t>
            </w:r>
            <w:r w:rsidRPr="00275290">
              <w:rPr>
                <w:rFonts w:cs="Arial"/>
                <w:i/>
                <w:sz w:val="18"/>
                <w:szCs w:val="18"/>
              </w:rPr>
              <w:t xml:space="preserve"> </w:t>
            </w:r>
            <w:r w:rsidRPr="00275290">
              <w:rPr>
                <w:rFonts w:cs="Arial"/>
                <w:i/>
                <w:sz w:val="18"/>
                <w:szCs w:val="18"/>
              </w:rPr>
              <w:br/>
            </w:r>
            <w:r w:rsidRPr="00275290">
              <w:rPr>
                <w:rFonts w:cs="Arial"/>
                <w:sz w:val="18"/>
                <w:szCs w:val="18"/>
              </w:rPr>
              <w:t>(1.67 mg/kg</w:t>
            </w:r>
            <w:r w:rsidRPr="00275290">
              <w:rPr>
                <w:rFonts w:cs="Arial"/>
                <w:sz w:val="18"/>
                <w:szCs w:val="18"/>
                <w:vertAlign w:val="subscript"/>
              </w:rPr>
              <w:t>dwt</w:t>
            </w:r>
            <w:r w:rsidRPr="00275290">
              <w:rPr>
                <w:rFonts w:cs="Arial"/>
                <w:sz w:val="18"/>
                <w:szCs w:val="18"/>
              </w:rPr>
              <w:t>)</w:t>
            </w:r>
          </w:p>
          <w:p w14:paraId="20284C37" w14:textId="77777777" w:rsidR="00692E71" w:rsidRPr="00275290" w:rsidRDefault="00692E71" w:rsidP="008E0250">
            <w:pPr>
              <w:keepNext/>
              <w:autoSpaceDE w:val="0"/>
              <w:autoSpaceDN w:val="0"/>
              <w:adjustRightInd w:val="0"/>
              <w:jc w:val="center"/>
              <w:rPr>
                <w:rFonts w:cs="Arial"/>
                <w:sz w:val="18"/>
                <w:szCs w:val="18"/>
              </w:rPr>
            </w:pPr>
          </w:p>
          <w:p w14:paraId="45008C08"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sz w:val="18"/>
                <w:szCs w:val="18"/>
              </w:rPr>
              <w:t>1,2,4-triazole: 0.82 mg/kg</w:t>
            </w:r>
            <w:r w:rsidRPr="00275290">
              <w:rPr>
                <w:rFonts w:cs="Arial"/>
                <w:sz w:val="18"/>
                <w:szCs w:val="18"/>
                <w:vertAlign w:val="subscript"/>
              </w:rPr>
              <w:t>wwt</w:t>
            </w:r>
            <w:r w:rsidRPr="00275290">
              <w:rPr>
                <w:rFonts w:cs="Arial"/>
                <w:sz w:val="18"/>
                <w:szCs w:val="18"/>
              </w:rPr>
              <w:t xml:space="preserve"> (0.33 mg/kg</w:t>
            </w:r>
            <w:r w:rsidRPr="00275290">
              <w:rPr>
                <w:rFonts w:cs="Arial"/>
                <w:sz w:val="18"/>
                <w:szCs w:val="18"/>
                <w:vertAlign w:val="subscript"/>
              </w:rPr>
              <w:t>dwt</w:t>
            </w: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4108F5A2"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i/>
                <w:sz w:val="18"/>
                <w:szCs w:val="18"/>
              </w:rPr>
              <w:t>-</w:t>
            </w:r>
          </w:p>
        </w:tc>
      </w:tr>
      <w:tr w:rsidR="00692E71" w:rsidRPr="00275290" w14:paraId="59744B84" w14:textId="77777777" w:rsidTr="008E0250">
        <w:trPr>
          <w:trHeight w:val="510"/>
          <w:jc w:val="center"/>
        </w:trPr>
        <w:tc>
          <w:tcPr>
            <w:tcW w:w="898" w:type="pct"/>
            <w:tcBorders>
              <w:top w:val="single" w:sz="4" w:space="0" w:color="auto"/>
              <w:left w:val="single" w:sz="4" w:space="0" w:color="auto"/>
              <w:bottom w:val="single" w:sz="4" w:space="0" w:color="auto"/>
              <w:right w:val="single" w:sz="4" w:space="0" w:color="auto"/>
            </w:tcBorders>
            <w:shd w:val="clear" w:color="auto" w:fill="D9D9D9"/>
            <w:vAlign w:val="center"/>
          </w:tcPr>
          <w:p w14:paraId="72787308" w14:textId="77777777" w:rsidR="00692E71" w:rsidRPr="00275290" w:rsidRDefault="00692E71" w:rsidP="008E0250">
            <w:pPr>
              <w:autoSpaceDE w:val="0"/>
              <w:autoSpaceDN w:val="0"/>
              <w:adjustRightInd w:val="0"/>
              <w:rPr>
                <w:rFonts w:cs="Arial"/>
                <w:b/>
                <w:sz w:val="18"/>
                <w:szCs w:val="18"/>
              </w:rPr>
            </w:pPr>
            <w:r w:rsidRPr="00275290">
              <w:rPr>
                <w:rFonts w:cs="Arial"/>
                <w:b/>
                <w:sz w:val="18"/>
                <w:szCs w:val="18"/>
              </w:rPr>
              <w:t xml:space="preserve">PNECsoil </w:t>
            </w:r>
          </w:p>
        </w:tc>
        <w:tc>
          <w:tcPr>
            <w:tcW w:w="995" w:type="pct"/>
            <w:tcBorders>
              <w:top w:val="single" w:sz="4" w:space="0" w:color="auto"/>
              <w:left w:val="single" w:sz="4" w:space="0" w:color="auto"/>
              <w:bottom w:val="single" w:sz="4" w:space="0" w:color="auto"/>
              <w:right w:val="single" w:sz="4" w:space="0" w:color="auto"/>
            </w:tcBorders>
            <w:shd w:val="clear" w:color="auto" w:fill="D9D9D9"/>
            <w:vAlign w:val="center"/>
          </w:tcPr>
          <w:p w14:paraId="11E1E236" w14:textId="77777777" w:rsidR="00692E71" w:rsidRPr="008551C7" w:rsidRDefault="00692E71" w:rsidP="008E0250">
            <w:pPr>
              <w:autoSpaceDE w:val="0"/>
              <w:autoSpaceDN w:val="0"/>
              <w:adjustRightInd w:val="0"/>
              <w:jc w:val="center"/>
              <w:rPr>
                <w:rFonts w:cs="Arial"/>
                <w:b/>
                <w:sz w:val="18"/>
                <w:szCs w:val="18"/>
                <w:lang w:val="da-DK"/>
              </w:rPr>
            </w:pPr>
            <w:r w:rsidRPr="008551C7">
              <w:rPr>
                <w:rFonts w:cs="Arial"/>
                <w:b/>
                <w:sz w:val="18"/>
                <w:szCs w:val="18"/>
                <w:lang w:val="da-DK"/>
              </w:rPr>
              <w:t>0.0918 mg/kg</w:t>
            </w:r>
            <w:r w:rsidRPr="008551C7">
              <w:rPr>
                <w:rFonts w:cs="Arial"/>
                <w:b/>
                <w:sz w:val="18"/>
                <w:szCs w:val="18"/>
                <w:vertAlign w:val="subscript"/>
                <w:lang w:val="da-DK"/>
              </w:rPr>
              <w:t>wwt</w:t>
            </w:r>
            <w:r w:rsidRPr="008551C7" w:rsidDel="0035318D">
              <w:rPr>
                <w:rFonts w:cs="Arial"/>
                <w:b/>
                <w:sz w:val="18"/>
                <w:szCs w:val="18"/>
                <w:lang w:val="da-DK"/>
              </w:rPr>
              <w:t xml:space="preserve"> </w:t>
            </w:r>
            <w:r w:rsidRPr="008551C7">
              <w:rPr>
                <w:rFonts w:cs="Arial"/>
                <w:b/>
                <w:sz w:val="18"/>
                <w:szCs w:val="18"/>
                <w:vertAlign w:val="subscript"/>
                <w:lang w:val="da-DK"/>
              </w:rPr>
              <w:t xml:space="preserve"> </w:t>
            </w:r>
            <w:r w:rsidRPr="008551C7">
              <w:rPr>
                <w:rFonts w:cs="Arial"/>
                <w:b/>
                <w:sz w:val="18"/>
                <w:szCs w:val="18"/>
                <w:vertAlign w:val="subscript"/>
                <w:lang w:val="da-DK"/>
              </w:rPr>
              <w:br/>
            </w:r>
            <w:r w:rsidRPr="008551C7">
              <w:rPr>
                <w:rFonts w:cs="Arial"/>
                <w:b/>
                <w:sz w:val="18"/>
                <w:szCs w:val="18"/>
                <w:lang w:val="da-DK"/>
              </w:rPr>
              <w:t>(AF = 50)</w:t>
            </w:r>
          </w:p>
          <w:p w14:paraId="21AFDF1A" w14:textId="77777777" w:rsidR="00692E71" w:rsidRPr="008551C7" w:rsidRDefault="00692E71" w:rsidP="008E0250">
            <w:pPr>
              <w:autoSpaceDE w:val="0"/>
              <w:autoSpaceDN w:val="0"/>
              <w:adjustRightInd w:val="0"/>
              <w:jc w:val="center"/>
              <w:rPr>
                <w:rFonts w:cs="Arial"/>
                <w:sz w:val="18"/>
                <w:szCs w:val="18"/>
                <w:lang w:val="da-DK"/>
              </w:rPr>
            </w:pPr>
            <w:r w:rsidRPr="008551C7">
              <w:rPr>
                <w:rFonts w:cs="Arial"/>
                <w:sz w:val="18"/>
                <w:szCs w:val="18"/>
                <w:lang w:val="da-DK"/>
              </w:rPr>
              <w:t>(0.104 mg/kg</w:t>
            </w:r>
            <w:r w:rsidRPr="008551C7">
              <w:rPr>
                <w:rFonts w:cs="Arial"/>
                <w:sz w:val="18"/>
                <w:szCs w:val="18"/>
                <w:vertAlign w:val="subscript"/>
                <w:lang w:val="da-DK"/>
              </w:rPr>
              <w:t>dwt</w:t>
            </w:r>
            <w:r w:rsidRPr="008551C7">
              <w:rPr>
                <w:rFonts w:cs="Arial"/>
                <w:sz w:val="18"/>
                <w:szCs w:val="18"/>
                <w:lang w:val="da-DK"/>
              </w:rPr>
              <w:t>)</w:t>
            </w:r>
          </w:p>
        </w:tc>
        <w:tc>
          <w:tcPr>
            <w:tcW w:w="971" w:type="pct"/>
            <w:tcBorders>
              <w:top w:val="single" w:sz="4" w:space="0" w:color="auto"/>
              <w:left w:val="single" w:sz="4" w:space="0" w:color="auto"/>
              <w:bottom w:val="single" w:sz="4" w:space="0" w:color="auto"/>
              <w:right w:val="single" w:sz="4" w:space="0" w:color="auto"/>
            </w:tcBorders>
            <w:shd w:val="clear" w:color="auto" w:fill="D9D9D9"/>
            <w:vAlign w:val="center"/>
          </w:tcPr>
          <w:p w14:paraId="730EA5BC" w14:textId="77777777" w:rsidR="00692E71" w:rsidRPr="008551C7" w:rsidRDefault="00692E71" w:rsidP="008E0250">
            <w:pPr>
              <w:jc w:val="center"/>
              <w:rPr>
                <w:rFonts w:cs="Arial"/>
                <w:b/>
                <w:sz w:val="18"/>
                <w:szCs w:val="18"/>
                <w:lang w:val="da-DK"/>
              </w:rPr>
            </w:pPr>
            <w:r w:rsidRPr="008551C7">
              <w:rPr>
                <w:rFonts w:cs="Arial"/>
                <w:b/>
                <w:sz w:val="18"/>
                <w:szCs w:val="18"/>
                <w:lang w:val="da-DK"/>
              </w:rPr>
              <w:t>0.1 mg/kg</w:t>
            </w:r>
            <w:r w:rsidRPr="008551C7">
              <w:rPr>
                <w:rFonts w:cs="Arial"/>
                <w:b/>
                <w:sz w:val="18"/>
                <w:szCs w:val="18"/>
                <w:vertAlign w:val="subscript"/>
                <w:lang w:val="da-DK"/>
              </w:rPr>
              <w:t>wwt</w:t>
            </w:r>
            <w:r w:rsidRPr="008551C7">
              <w:rPr>
                <w:rFonts w:cs="Arial"/>
                <w:b/>
                <w:sz w:val="18"/>
                <w:szCs w:val="18"/>
                <w:lang w:val="da-DK"/>
              </w:rPr>
              <w:t xml:space="preserve"> (AF=50)</w:t>
            </w:r>
          </w:p>
          <w:p w14:paraId="13F90D78" w14:textId="77777777" w:rsidR="00692E71" w:rsidRPr="008551C7" w:rsidRDefault="00692E71" w:rsidP="008E0250">
            <w:pPr>
              <w:autoSpaceDE w:val="0"/>
              <w:autoSpaceDN w:val="0"/>
              <w:adjustRightInd w:val="0"/>
              <w:jc w:val="center"/>
              <w:rPr>
                <w:rFonts w:cs="Arial"/>
                <w:b/>
                <w:sz w:val="18"/>
                <w:szCs w:val="18"/>
                <w:lang w:val="da-DK"/>
              </w:rPr>
            </w:pPr>
            <w:r w:rsidRPr="008551C7">
              <w:rPr>
                <w:rFonts w:cs="Arial"/>
                <w:sz w:val="18"/>
                <w:szCs w:val="18"/>
                <w:lang w:val="da-DK"/>
              </w:rPr>
              <w:t>(0.114 mg/kg</w:t>
            </w:r>
            <w:r w:rsidRPr="008551C7">
              <w:rPr>
                <w:rFonts w:cs="Arial"/>
                <w:sz w:val="18"/>
                <w:szCs w:val="18"/>
                <w:vertAlign w:val="subscript"/>
                <w:lang w:val="da-DK"/>
              </w:rPr>
              <w:t>dwt</w:t>
            </w:r>
            <w:r w:rsidRPr="008551C7">
              <w:rPr>
                <w:rFonts w:cs="Arial"/>
                <w:sz w:val="18"/>
                <w:szCs w:val="18"/>
                <w:lang w:val="da-DK"/>
              </w:rPr>
              <w:t>)</w:t>
            </w:r>
          </w:p>
        </w:tc>
        <w:tc>
          <w:tcPr>
            <w:tcW w:w="1068" w:type="pct"/>
            <w:tcBorders>
              <w:top w:val="single" w:sz="4" w:space="0" w:color="auto"/>
              <w:left w:val="single" w:sz="4" w:space="0" w:color="auto"/>
              <w:bottom w:val="single" w:sz="4" w:space="0" w:color="auto"/>
              <w:right w:val="single" w:sz="4" w:space="0" w:color="auto"/>
            </w:tcBorders>
            <w:shd w:val="clear" w:color="auto" w:fill="D9D9D9"/>
            <w:vAlign w:val="center"/>
          </w:tcPr>
          <w:p w14:paraId="548664EC"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0.1 mg/kg</w:t>
            </w:r>
            <w:r w:rsidRPr="00275290">
              <w:rPr>
                <w:rFonts w:cs="Arial"/>
                <w:b/>
                <w:sz w:val="18"/>
                <w:szCs w:val="18"/>
                <w:vertAlign w:val="subscript"/>
              </w:rPr>
              <w:t>wwt</w:t>
            </w:r>
            <w:r w:rsidRPr="00275290">
              <w:rPr>
                <w:rFonts w:cs="Arial"/>
                <w:b/>
                <w:sz w:val="18"/>
                <w:szCs w:val="18"/>
              </w:rPr>
              <w:t xml:space="preserve"> (AF=10)</w:t>
            </w:r>
          </w:p>
        </w:tc>
        <w:tc>
          <w:tcPr>
            <w:tcW w:w="1068" w:type="pct"/>
            <w:tcBorders>
              <w:top w:val="single" w:sz="4" w:space="0" w:color="auto"/>
              <w:left w:val="single" w:sz="4" w:space="0" w:color="auto"/>
              <w:bottom w:val="single" w:sz="4" w:space="0" w:color="auto"/>
              <w:right w:val="single" w:sz="4" w:space="0" w:color="auto"/>
            </w:tcBorders>
            <w:shd w:val="clear" w:color="auto" w:fill="D9D9D9"/>
          </w:tcPr>
          <w:p w14:paraId="42DA91A5" w14:textId="77777777" w:rsidR="00692E71" w:rsidRPr="008551C7" w:rsidRDefault="00692E71" w:rsidP="008E0250">
            <w:pPr>
              <w:pStyle w:val="Default"/>
              <w:jc w:val="center"/>
              <w:rPr>
                <w:rFonts w:ascii="Verdana" w:hAnsi="Verdana" w:cs="Arial"/>
                <w:b/>
                <w:color w:val="auto"/>
                <w:sz w:val="18"/>
                <w:szCs w:val="18"/>
                <w:lang w:val="da-DK" w:eastAsia="sv-SE"/>
              </w:rPr>
            </w:pPr>
            <w:r w:rsidRPr="008551C7">
              <w:rPr>
                <w:rFonts w:ascii="Verdana" w:hAnsi="Verdana" w:cs="Arial"/>
                <w:b/>
                <w:color w:val="auto"/>
                <w:sz w:val="18"/>
                <w:szCs w:val="18"/>
                <w:lang w:val="da-DK" w:eastAsia="sv-SE"/>
              </w:rPr>
              <w:t>0.0044 mg/kg</w:t>
            </w:r>
            <w:r w:rsidRPr="008551C7">
              <w:rPr>
                <w:rFonts w:ascii="Verdana" w:hAnsi="Verdana" w:cs="Arial"/>
                <w:b/>
                <w:color w:val="auto"/>
                <w:sz w:val="18"/>
                <w:szCs w:val="18"/>
                <w:vertAlign w:val="subscript"/>
                <w:lang w:val="da-DK" w:eastAsia="sv-SE"/>
              </w:rPr>
              <w:t>wwt</w:t>
            </w:r>
            <w:r w:rsidRPr="008551C7">
              <w:rPr>
                <w:rFonts w:ascii="Verdana" w:hAnsi="Verdana" w:cs="Arial"/>
                <w:b/>
                <w:color w:val="auto"/>
                <w:sz w:val="18"/>
                <w:szCs w:val="18"/>
                <w:lang w:val="da-DK" w:eastAsia="sv-SE"/>
              </w:rPr>
              <w:t xml:space="preserve"> (AF = 1000) </w:t>
            </w:r>
          </w:p>
          <w:p w14:paraId="56122D99" w14:textId="77777777" w:rsidR="00692E71" w:rsidRPr="008551C7" w:rsidRDefault="00692E71" w:rsidP="008E0250">
            <w:pPr>
              <w:pStyle w:val="Default"/>
              <w:jc w:val="center"/>
              <w:rPr>
                <w:rFonts w:ascii="Verdana" w:hAnsi="Verdana" w:cs="Arial"/>
                <w:b/>
                <w:color w:val="auto"/>
                <w:sz w:val="18"/>
                <w:szCs w:val="18"/>
                <w:lang w:val="da-DK" w:eastAsia="sv-SE"/>
              </w:rPr>
            </w:pPr>
            <w:r w:rsidRPr="008551C7">
              <w:rPr>
                <w:rFonts w:ascii="Verdana" w:hAnsi="Verdana" w:cs="Arial"/>
                <w:b/>
                <w:color w:val="auto"/>
                <w:sz w:val="18"/>
                <w:szCs w:val="18"/>
                <w:lang w:val="da-DK" w:eastAsia="sv-SE"/>
              </w:rPr>
              <w:t>(5*10-3 mg/kg</w:t>
            </w:r>
            <w:r w:rsidRPr="008551C7">
              <w:rPr>
                <w:rFonts w:ascii="Verdana" w:hAnsi="Verdana" w:cs="Arial"/>
                <w:b/>
                <w:color w:val="auto"/>
                <w:sz w:val="18"/>
                <w:szCs w:val="18"/>
                <w:vertAlign w:val="subscript"/>
                <w:lang w:val="da-DK" w:eastAsia="sv-SE"/>
              </w:rPr>
              <w:t>dwt</w:t>
            </w:r>
            <w:r w:rsidRPr="008551C7">
              <w:rPr>
                <w:rFonts w:ascii="Verdana" w:hAnsi="Verdana" w:cs="Arial"/>
                <w:b/>
                <w:color w:val="auto"/>
                <w:sz w:val="18"/>
                <w:szCs w:val="18"/>
                <w:lang w:val="da-DK" w:eastAsia="sv-SE"/>
              </w:rPr>
              <w:t>)</w:t>
            </w:r>
          </w:p>
          <w:p w14:paraId="126C2B70" w14:textId="77777777" w:rsidR="00692E71" w:rsidRPr="008551C7" w:rsidRDefault="00692E71" w:rsidP="008E0250">
            <w:pPr>
              <w:pStyle w:val="Default"/>
              <w:jc w:val="center"/>
              <w:rPr>
                <w:rFonts w:ascii="Verdana" w:hAnsi="Verdana" w:cs="Arial"/>
                <w:b/>
                <w:color w:val="auto"/>
                <w:sz w:val="18"/>
                <w:szCs w:val="18"/>
                <w:lang w:val="da-DK" w:eastAsia="sv-SE"/>
              </w:rPr>
            </w:pPr>
          </w:p>
          <w:p w14:paraId="5ACB2DE5" w14:textId="77777777" w:rsidR="00692E71" w:rsidRPr="008551C7" w:rsidRDefault="00692E71" w:rsidP="008E0250">
            <w:pPr>
              <w:pStyle w:val="Default"/>
              <w:jc w:val="center"/>
              <w:rPr>
                <w:rFonts w:ascii="Verdana" w:hAnsi="Verdana" w:cs="Arial"/>
                <w:b/>
                <w:color w:val="4F81BD" w:themeColor="accent1"/>
                <w:sz w:val="18"/>
                <w:szCs w:val="18"/>
                <w:lang w:val="da-DK" w:eastAsia="sv-SE"/>
              </w:rPr>
            </w:pPr>
            <w:r w:rsidRPr="008551C7">
              <w:rPr>
                <w:rFonts w:ascii="Verdana" w:hAnsi="Verdana" w:cs="Arial"/>
                <w:b/>
                <w:color w:val="4F81BD" w:themeColor="accent1"/>
                <w:sz w:val="18"/>
                <w:szCs w:val="18"/>
                <w:lang w:val="da-DK" w:eastAsia="sv-SE"/>
              </w:rPr>
              <w:t>PBC: 0.149 mg/kg</w:t>
            </w:r>
            <w:r w:rsidRPr="008551C7">
              <w:rPr>
                <w:rFonts w:ascii="Verdana" w:hAnsi="Verdana" w:cs="Arial"/>
                <w:b/>
                <w:color w:val="4F81BD" w:themeColor="accent1"/>
                <w:sz w:val="18"/>
                <w:szCs w:val="18"/>
                <w:vertAlign w:val="subscript"/>
                <w:lang w:val="da-DK" w:eastAsia="sv-SE"/>
              </w:rPr>
              <w:t xml:space="preserve">wwt </w:t>
            </w:r>
            <w:r w:rsidRPr="008551C7">
              <w:rPr>
                <w:rFonts w:ascii="Verdana" w:hAnsi="Verdana" w:cs="Arial"/>
                <w:b/>
                <w:color w:val="4F81BD" w:themeColor="accent1"/>
                <w:sz w:val="18"/>
                <w:szCs w:val="18"/>
                <w:lang w:val="da-DK" w:eastAsia="sv-SE"/>
              </w:rPr>
              <w:t>(0.169 mg/kg</w:t>
            </w:r>
            <w:r w:rsidRPr="008551C7">
              <w:rPr>
                <w:rFonts w:ascii="Verdana" w:hAnsi="Verdana" w:cs="Arial"/>
                <w:b/>
                <w:color w:val="4F81BD" w:themeColor="accent1"/>
                <w:sz w:val="18"/>
                <w:szCs w:val="18"/>
                <w:vertAlign w:val="subscript"/>
                <w:lang w:val="da-DK" w:eastAsia="sv-SE"/>
              </w:rPr>
              <w:t>dwt</w:t>
            </w:r>
            <w:r w:rsidRPr="008551C7">
              <w:rPr>
                <w:rFonts w:ascii="Verdana" w:hAnsi="Verdana" w:cs="Arial"/>
                <w:b/>
                <w:color w:val="4F81BD" w:themeColor="accent1"/>
                <w:sz w:val="18"/>
                <w:szCs w:val="18"/>
                <w:lang w:val="da-DK" w:eastAsia="sv-SE"/>
              </w:rPr>
              <w:t xml:space="preserve">) </w:t>
            </w:r>
          </w:p>
          <w:p w14:paraId="3FAC8B99" w14:textId="77777777" w:rsidR="00692E71" w:rsidRPr="00275290" w:rsidRDefault="00692E71" w:rsidP="008E0250">
            <w:pPr>
              <w:autoSpaceDE w:val="0"/>
              <w:autoSpaceDN w:val="0"/>
              <w:adjustRightInd w:val="0"/>
              <w:jc w:val="center"/>
              <w:rPr>
                <w:rFonts w:cs="Arial"/>
                <w:b/>
                <w:sz w:val="18"/>
                <w:szCs w:val="18"/>
              </w:rPr>
            </w:pPr>
            <w:r w:rsidRPr="00275290">
              <w:rPr>
                <w:rFonts w:cs="Arial"/>
                <w:b/>
                <w:color w:val="4F81BD" w:themeColor="accent1"/>
                <w:sz w:val="18"/>
                <w:szCs w:val="18"/>
              </w:rPr>
              <w:t xml:space="preserve">(eq. method) </w:t>
            </w:r>
            <w:r w:rsidRPr="00275290">
              <w:rPr>
                <w:rFonts w:cs="Arial"/>
                <w:b/>
                <w:color w:val="4F81BD" w:themeColor="accent1"/>
                <w:sz w:val="18"/>
                <w:szCs w:val="18"/>
                <w:vertAlign w:val="superscript"/>
              </w:rPr>
              <w:t>(1</w:t>
            </w:r>
            <w:r w:rsidRPr="00275290">
              <w:rPr>
                <w:rFonts w:cs="Arial"/>
                <w:b/>
                <w:sz w:val="18"/>
                <w:szCs w:val="18"/>
                <w:vertAlign w:val="superscript"/>
              </w:rPr>
              <w:t>)</w:t>
            </w:r>
            <w:r w:rsidRPr="00275290">
              <w:rPr>
                <w:rFonts w:cs="Arial"/>
                <w:b/>
                <w:bCs/>
                <w:sz w:val="18"/>
                <w:szCs w:val="18"/>
              </w:rPr>
              <w:t xml:space="preserve"> </w:t>
            </w:r>
          </w:p>
        </w:tc>
      </w:tr>
      <w:tr w:rsidR="00692E71" w:rsidRPr="00275290" w14:paraId="3904B34C"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5D81E61C"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LD</w:t>
            </w:r>
            <w:r w:rsidRPr="00275290">
              <w:rPr>
                <w:rFonts w:cs="Arial"/>
                <w:sz w:val="18"/>
                <w:szCs w:val="18"/>
                <w:vertAlign w:val="subscript"/>
              </w:rPr>
              <w:t>50</w:t>
            </w:r>
            <w:r w:rsidRPr="00275290">
              <w:rPr>
                <w:rFonts w:cs="Arial"/>
                <w:sz w:val="18"/>
                <w:szCs w:val="18"/>
              </w:rPr>
              <w:t xml:space="preserve"> bird [mg/kg b.w.] (acute)</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5B65B43C"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Not determined.</w:t>
            </w:r>
          </w:p>
        </w:tc>
        <w:tc>
          <w:tcPr>
            <w:tcW w:w="971" w:type="pct"/>
            <w:tcBorders>
              <w:top w:val="single" w:sz="4" w:space="0" w:color="auto"/>
              <w:left w:val="single" w:sz="4" w:space="0" w:color="auto"/>
              <w:bottom w:val="single" w:sz="4" w:space="0" w:color="auto"/>
              <w:right w:val="single" w:sz="4" w:space="0" w:color="auto"/>
            </w:tcBorders>
            <w:vAlign w:val="center"/>
          </w:tcPr>
          <w:p w14:paraId="67C0497F"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1988</w:t>
            </w:r>
          </w:p>
        </w:tc>
        <w:tc>
          <w:tcPr>
            <w:tcW w:w="1068" w:type="pct"/>
            <w:tcBorders>
              <w:top w:val="single" w:sz="4" w:space="0" w:color="auto"/>
              <w:left w:val="single" w:sz="4" w:space="0" w:color="auto"/>
              <w:bottom w:val="single" w:sz="4" w:space="0" w:color="auto"/>
              <w:right w:val="single" w:sz="4" w:space="0" w:color="auto"/>
            </w:tcBorders>
            <w:vAlign w:val="center"/>
          </w:tcPr>
          <w:p w14:paraId="56D075F6"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164A3CA1"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w:t>
            </w:r>
          </w:p>
        </w:tc>
      </w:tr>
      <w:tr w:rsidR="00692E71" w:rsidRPr="00275290" w14:paraId="24FACBE8"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045F370A"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lastRenderedPageBreak/>
              <w:t>LC</w:t>
            </w:r>
            <w:r w:rsidRPr="00275290">
              <w:rPr>
                <w:rFonts w:cs="Arial"/>
                <w:sz w:val="18"/>
                <w:szCs w:val="18"/>
                <w:vertAlign w:val="subscript"/>
              </w:rPr>
              <w:t>50</w:t>
            </w:r>
            <w:r w:rsidRPr="00275290">
              <w:rPr>
                <w:rFonts w:cs="Arial"/>
                <w:sz w:val="18"/>
                <w:szCs w:val="18"/>
              </w:rPr>
              <w:t xml:space="preserve"> bird [mg/kg feed] (dietary)</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53CF3899"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(5 d) </w:t>
            </w:r>
            <w:r w:rsidRPr="00275290">
              <w:rPr>
                <w:rFonts w:cs="Arial"/>
                <w:sz w:val="18"/>
                <w:szCs w:val="18"/>
              </w:rPr>
              <w:t>&gt; 5620 mg/kg feed equivalent to</w:t>
            </w:r>
          </w:p>
          <w:p w14:paraId="4FBB27BD"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&gt; 1376 mg/kg b.w./d</w:t>
            </w:r>
          </w:p>
        </w:tc>
        <w:tc>
          <w:tcPr>
            <w:tcW w:w="971" w:type="pct"/>
            <w:tcBorders>
              <w:top w:val="single" w:sz="4" w:space="0" w:color="auto"/>
              <w:left w:val="single" w:sz="4" w:space="0" w:color="auto"/>
              <w:bottom w:val="single" w:sz="4" w:space="0" w:color="auto"/>
              <w:right w:val="single" w:sz="4" w:space="0" w:color="auto"/>
            </w:tcBorders>
            <w:vAlign w:val="center"/>
          </w:tcPr>
          <w:p w14:paraId="59F0558D"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(5 d) </w:t>
            </w:r>
            <w:r w:rsidRPr="00275290">
              <w:rPr>
                <w:rFonts w:cs="Arial"/>
                <w:sz w:val="18"/>
                <w:szCs w:val="18"/>
              </w:rPr>
              <w:t>&gt; 4816</w:t>
            </w:r>
          </w:p>
        </w:tc>
        <w:tc>
          <w:tcPr>
            <w:tcW w:w="1068" w:type="pct"/>
            <w:tcBorders>
              <w:top w:val="single" w:sz="4" w:space="0" w:color="auto"/>
              <w:left w:val="single" w:sz="4" w:space="0" w:color="auto"/>
              <w:bottom w:val="single" w:sz="4" w:space="0" w:color="auto"/>
              <w:right w:val="single" w:sz="4" w:space="0" w:color="auto"/>
            </w:tcBorders>
            <w:vAlign w:val="center"/>
          </w:tcPr>
          <w:p w14:paraId="740EDE88"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797BFF37"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w:t>
            </w:r>
          </w:p>
        </w:tc>
      </w:tr>
      <w:tr w:rsidR="00692E71" w:rsidRPr="00275290" w14:paraId="22331142"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446D3E8D"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 xml:space="preserve">NOEC bird </w:t>
            </w:r>
            <w:r w:rsidRPr="00275290">
              <w:rPr>
                <w:rFonts w:cs="Arial"/>
                <w:sz w:val="18"/>
                <w:szCs w:val="18"/>
              </w:rPr>
              <w:br/>
              <w:t>[mg/kg feed]</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2E0574B3"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(21 d) </w:t>
            </w:r>
            <w:r w:rsidRPr="00275290">
              <w:rPr>
                <w:rFonts w:cs="Arial"/>
                <w:sz w:val="18"/>
                <w:szCs w:val="18"/>
              </w:rPr>
              <w:t>1000 mg/kg feed equivalent to</w:t>
            </w:r>
          </w:p>
          <w:p w14:paraId="225AC9D3"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92.0 mg/kg b.w./d</w:t>
            </w:r>
          </w:p>
        </w:tc>
        <w:tc>
          <w:tcPr>
            <w:tcW w:w="971" w:type="pct"/>
            <w:tcBorders>
              <w:top w:val="single" w:sz="4" w:space="0" w:color="auto"/>
              <w:left w:val="single" w:sz="4" w:space="0" w:color="auto"/>
              <w:bottom w:val="single" w:sz="4" w:space="0" w:color="auto"/>
              <w:right w:val="single" w:sz="4" w:space="0" w:color="auto"/>
            </w:tcBorders>
            <w:vAlign w:val="center"/>
          </w:tcPr>
          <w:p w14:paraId="0FFD727B"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no data</w:t>
            </w:r>
          </w:p>
        </w:tc>
        <w:tc>
          <w:tcPr>
            <w:tcW w:w="1068" w:type="pct"/>
            <w:tcBorders>
              <w:top w:val="single" w:sz="4" w:space="0" w:color="auto"/>
              <w:left w:val="single" w:sz="4" w:space="0" w:color="auto"/>
              <w:bottom w:val="single" w:sz="4" w:space="0" w:color="auto"/>
              <w:right w:val="single" w:sz="4" w:space="0" w:color="auto"/>
            </w:tcBorders>
            <w:vAlign w:val="center"/>
          </w:tcPr>
          <w:p w14:paraId="091D8F76"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4E154CE0"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w:t>
            </w:r>
          </w:p>
        </w:tc>
      </w:tr>
      <w:tr w:rsidR="00692E71" w:rsidRPr="00275290" w14:paraId="1C0E419E" w14:textId="77777777" w:rsidTr="008E0250">
        <w:trPr>
          <w:trHeight w:val="510"/>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1C29C953"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LD</w:t>
            </w:r>
            <w:r w:rsidRPr="00275290">
              <w:rPr>
                <w:rFonts w:cs="Arial"/>
                <w:sz w:val="18"/>
                <w:szCs w:val="18"/>
                <w:vertAlign w:val="subscript"/>
              </w:rPr>
              <w:t>50</w:t>
            </w:r>
            <w:r w:rsidRPr="00275290">
              <w:rPr>
                <w:rFonts w:cs="Arial"/>
                <w:sz w:val="18"/>
                <w:szCs w:val="18"/>
              </w:rPr>
              <w:t xml:space="preserve"> mammal </w:t>
            </w:r>
            <w:r w:rsidRPr="00275290">
              <w:rPr>
                <w:rFonts w:cs="Arial"/>
                <w:sz w:val="18"/>
                <w:szCs w:val="18"/>
              </w:rPr>
              <w:br/>
              <w:t>[mg/kg b.w.] (acute)</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0A1D3F69"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1945</w:t>
            </w:r>
          </w:p>
        </w:tc>
        <w:tc>
          <w:tcPr>
            <w:tcW w:w="971" w:type="pct"/>
            <w:tcBorders>
              <w:top w:val="single" w:sz="4" w:space="0" w:color="auto"/>
              <w:left w:val="single" w:sz="4" w:space="0" w:color="auto"/>
              <w:bottom w:val="single" w:sz="4" w:space="0" w:color="auto"/>
              <w:right w:val="single" w:sz="4" w:space="0" w:color="auto"/>
            </w:tcBorders>
            <w:vAlign w:val="center"/>
          </w:tcPr>
          <w:p w14:paraId="1F1652D9" w14:textId="77777777" w:rsidR="00692E71" w:rsidRPr="00275290" w:rsidRDefault="00692E71" w:rsidP="008E0250">
            <w:pPr>
              <w:jc w:val="center"/>
              <w:rPr>
                <w:rFonts w:cs="Arial"/>
                <w:sz w:val="18"/>
                <w:szCs w:val="18"/>
              </w:rPr>
            </w:pPr>
            <w:r w:rsidRPr="00275290">
              <w:rPr>
                <w:rFonts w:cs="Arial"/>
                <w:sz w:val="18"/>
                <w:szCs w:val="18"/>
              </w:rPr>
              <w:t>1700 (female)</w:t>
            </w:r>
          </w:p>
          <w:p w14:paraId="36750F0C"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4000 (male)</w:t>
            </w:r>
          </w:p>
        </w:tc>
        <w:tc>
          <w:tcPr>
            <w:tcW w:w="1068" w:type="pct"/>
            <w:tcBorders>
              <w:top w:val="single" w:sz="4" w:space="0" w:color="auto"/>
              <w:left w:val="single" w:sz="4" w:space="0" w:color="auto"/>
              <w:bottom w:val="single" w:sz="4" w:space="0" w:color="auto"/>
              <w:right w:val="single" w:sz="4" w:space="0" w:color="auto"/>
            </w:tcBorders>
            <w:vAlign w:val="center"/>
          </w:tcPr>
          <w:p w14:paraId="43CF0C63"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791B0150"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w:t>
            </w:r>
          </w:p>
        </w:tc>
      </w:tr>
    </w:tbl>
    <w:p w14:paraId="69F7FF12" w14:textId="77777777" w:rsidR="00692E71" w:rsidRPr="00275290" w:rsidRDefault="00692E71" w:rsidP="00692E71">
      <w:pPr>
        <w:spacing w:before="60"/>
        <w:rPr>
          <w:rFonts w:cs="Arial"/>
          <w:sz w:val="18"/>
          <w:szCs w:val="18"/>
        </w:rPr>
      </w:pPr>
      <w:r w:rsidRPr="00275290">
        <w:rPr>
          <w:rFonts w:cs="Arial"/>
          <w:sz w:val="18"/>
          <w:szCs w:val="18"/>
          <w:vertAlign w:val="superscript"/>
        </w:rPr>
        <w:t>‘(1)</w:t>
      </w:r>
      <w:r w:rsidRPr="00275290">
        <w:rPr>
          <w:rFonts w:cs="Arial"/>
          <w:sz w:val="18"/>
          <w:szCs w:val="18"/>
        </w:rPr>
        <w:t xml:space="preserve"> The PNEC</w:t>
      </w:r>
      <w:r w:rsidRPr="00275290">
        <w:rPr>
          <w:rFonts w:cs="Arial"/>
          <w:sz w:val="18"/>
          <w:szCs w:val="18"/>
          <w:vertAlign w:val="subscript"/>
        </w:rPr>
        <w:t>soil</w:t>
      </w:r>
      <w:r w:rsidRPr="00275290">
        <w:rPr>
          <w:rFonts w:cs="Arial"/>
          <w:sz w:val="18"/>
          <w:szCs w:val="18"/>
        </w:rPr>
        <w:t xml:space="preserve"> for the metabolite PBC is calculated from PNEC water.</w:t>
      </w:r>
    </w:p>
    <w:p w14:paraId="6A0149FA" w14:textId="77777777" w:rsidR="00692E71" w:rsidRPr="00275290" w:rsidRDefault="00692E71" w:rsidP="00692E71">
      <w:pPr>
        <w:spacing w:before="60" w:after="360"/>
        <w:rPr>
          <w:rFonts w:cs="Arial"/>
        </w:rPr>
      </w:pPr>
      <w:r w:rsidRPr="00275290">
        <w:rPr>
          <w:rFonts w:cs="Arial"/>
        </w:rPr>
        <w:t>The bold values are the lowest values used for the determination of PNEC for each compartment.</w:t>
      </w:r>
    </w:p>
    <w:p w14:paraId="4E7FE000" w14:textId="77777777" w:rsidR="00692E71" w:rsidRPr="008551C7" w:rsidRDefault="00692E71" w:rsidP="008E0250">
      <w:pPr>
        <w:pStyle w:val="Titre5"/>
        <w:spacing w:before="240"/>
        <w:rPr>
          <w:lang w:val="en-US"/>
        </w:rPr>
      </w:pPr>
      <w:r w:rsidRPr="008551C7">
        <w:rPr>
          <w:lang w:val="en-US"/>
        </w:rPr>
        <w:t>Non compartment specific effect relevant to the food chain</w:t>
      </w:r>
    </w:p>
    <w:p w14:paraId="1AC13439" w14:textId="77777777" w:rsidR="00692E71" w:rsidRPr="00275290" w:rsidRDefault="00692E71" w:rsidP="00F32B7F">
      <w:pPr>
        <w:pStyle w:val="Paragraphedeliste"/>
        <w:numPr>
          <w:ilvl w:val="0"/>
          <w:numId w:val="8"/>
        </w:numPr>
        <w:suppressAutoHyphens w:val="0"/>
        <w:autoSpaceDE w:val="0"/>
        <w:autoSpaceDN w:val="0"/>
        <w:adjustRightInd w:val="0"/>
        <w:spacing w:before="360" w:line="276" w:lineRule="auto"/>
        <w:ind w:left="714" w:hanging="357"/>
        <w:contextualSpacing/>
        <w:rPr>
          <w:rFonts w:cs="Arial"/>
          <w:b/>
        </w:rPr>
      </w:pPr>
      <w:r w:rsidRPr="00275290">
        <w:rPr>
          <w:rFonts w:cs="Arial"/>
          <w:b/>
        </w:rPr>
        <w:t>Data on cypermethrin</w:t>
      </w:r>
    </w:p>
    <w:p w14:paraId="00FD287B" w14:textId="77777777" w:rsidR="00692E71" w:rsidRPr="00275290" w:rsidRDefault="00692E71" w:rsidP="00692E71">
      <w:pPr>
        <w:spacing w:before="120" w:line="276" w:lineRule="auto"/>
        <w:rPr>
          <w:rFonts w:cs="Arial"/>
          <w:lang w:eastAsia="en-US"/>
        </w:rPr>
      </w:pPr>
      <w:r w:rsidRPr="00275290">
        <w:rPr>
          <w:rFonts w:cs="Arial"/>
          <w:lang w:eastAsia="en-US"/>
        </w:rPr>
        <w:t>As cypermethrin has a log K</w:t>
      </w:r>
      <w:r w:rsidRPr="00275290">
        <w:rPr>
          <w:rFonts w:cs="Arial"/>
          <w:vertAlign w:val="subscript"/>
          <w:lang w:eastAsia="en-US"/>
        </w:rPr>
        <w:t>ow</w:t>
      </w:r>
      <w:r w:rsidRPr="00275290">
        <w:rPr>
          <w:rFonts w:cs="Arial"/>
          <w:lang w:eastAsia="en-US"/>
        </w:rPr>
        <w:t xml:space="preserve"> &gt; 3 (log K</w:t>
      </w:r>
      <w:r w:rsidRPr="00275290">
        <w:rPr>
          <w:rFonts w:cs="Arial"/>
          <w:vertAlign w:val="subscript"/>
          <w:lang w:eastAsia="en-US"/>
        </w:rPr>
        <w:t>ow</w:t>
      </w:r>
      <w:r w:rsidRPr="00275290">
        <w:rPr>
          <w:rFonts w:cs="Arial"/>
          <w:lang w:eastAsia="en-US"/>
        </w:rPr>
        <w:t xml:space="preserve"> = 5.45) and a BCF &gt; 100 (BCF in fish = 417 L/kg and BCF in earthworm estimated in EUSES as 3380 L/kg), secondary poisoning may occur </w:t>
      </w:r>
      <w:r w:rsidRPr="00275290">
        <w:rPr>
          <w:rFonts w:cs="Arial"/>
          <w:i/>
          <w:lang w:eastAsia="en-US"/>
        </w:rPr>
        <w:t>via</w:t>
      </w:r>
      <w:r w:rsidRPr="00275290">
        <w:rPr>
          <w:rFonts w:cs="Arial"/>
          <w:lang w:eastAsia="en-US"/>
        </w:rPr>
        <w:t xml:space="preserve"> the aquatic food chain and </w:t>
      </w:r>
      <w:r w:rsidRPr="00275290">
        <w:rPr>
          <w:rFonts w:cs="Arial"/>
          <w:i/>
          <w:lang w:eastAsia="en-US"/>
        </w:rPr>
        <w:t>via</w:t>
      </w:r>
      <w:r w:rsidRPr="00275290">
        <w:rPr>
          <w:rFonts w:cs="Arial"/>
          <w:lang w:eastAsia="en-US"/>
        </w:rPr>
        <w:t xml:space="preserve"> the terrestrial food chain.</w:t>
      </w:r>
    </w:p>
    <w:p w14:paraId="0B06ABE3" w14:textId="77777777" w:rsidR="00692E71" w:rsidRPr="00275290" w:rsidRDefault="00692E71" w:rsidP="00692E71">
      <w:pPr>
        <w:autoSpaceDE w:val="0"/>
        <w:autoSpaceDN w:val="0"/>
        <w:adjustRightInd w:val="0"/>
        <w:spacing w:line="276" w:lineRule="auto"/>
        <w:rPr>
          <w:rFonts w:cs="Arial"/>
        </w:rPr>
      </w:pPr>
    </w:p>
    <w:p w14:paraId="19FCD598" w14:textId="77777777" w:rsidR="00692E71" w:rsidRPr="00275290" w:rsidRDefault="00692E71" w:rsidP="00692E71">
      <w:pPr>
        <w:spacing w:line="276" w:lineRule="auto"/>
        <w:rPr>
          <w:rFonts w:cs="Arial"/>
        </w:rPr>
      </w:pPr>
      <w:r w:rsidRPr="00275290">
        <w:rPr>
          <w:rFonts w:cs="Arial"/>
        </w:rPr>
        <w:t>PNEC</w:t>
      </w:r>
      <w:r w:rsidRPr="00275290">
        <w:rPr>
          <w:rFonts w:cs="Arial"/>
          <w:vertAlign w:val="subscript"/>
        </w:rPr>
        <w:t xml:space="preserve">oral, bird </w:t>
      </w:r>
      <w:r w:rsidRPr="00275290">
        <w:rPr>
          <w:rFonts w:cs="Arial"/>
        </w:rPr>
        <w:t>and PNEC</w:t>
      </w:r>
      <w:r w:rsidRPr="00275290">
        <w:rPr>
          <w:rFonts w:cs="Arial"/>
          <w:vertAlign w:val="subscript"/>
        </w:rPr>
        <w:t xml:space="preserve">oral, small mammal </w:t>
      </w:r>
      <w:r w:rsidRPr="00275290">
        <w:rPr>
          <w:rFonts w:cs="Arial"/>
        </w:rPr>
        <w:t>are not available in the Assessment Report of cypermethrin. These PNEC are therefore calculated based on available toxicity data according to the guidance on BPR, Volume IV, Part B risk assessment (active substances), v1.0, April 2015, section 3.8.3.5.</w:t>
      </w:r>
    </w:p>
    <w:p w14:paraId="139AFB0E" w14:textId="77777777" w:rsidR="00692E71" w:rsidRPr="00275290" w:rsidRDefault="00692E71" w:rsidP="00692E71">
      <w:pPr>
        <w:spacing w:line="276" w:lineRule="auto"/>
        <w:rPr>
          <w:rFonts w:cs="Arial"/>
        </w:rPr>
      </w:pPr>
    </w:p>
    <w:p w14:paraId="3B9E0737" w14:textId="77777777" w:rsidR="00692E71" w:rsidRPr="00275290" w:rsidRDefault="00692E71" w:rsidP="00692E71">
      <w:pPr>
        <w:spacing w:line="276" w:lineRule="auto"/>
        <w:rPr>
          <w:rFonts w:cs="Arial"/>
        </w:rPr>
      </w:pPr>
      <w:r w:rsidRPr="00275290">
        <w:rPr>
          <w:rFonts w:cs="Arial"/>
        </w:rPr>
        <w:t>* A chronic dietary study on birds has been performed and the NOEC reported in the Assessment Report is 1000 mg/kg</w:t>
      </w:r>
      <w:r w:rsidRPr="00275290">
        <w:rPr>
          <w:rFonts w:cs="Arial"/>
          <w:vertAlign w:val="subscript"/>
        </w:rPr>
        <w:t>food</w:t>
      </w:r>
      <w:r w:rsidRPr="00275290">
        <w:rPr>
          <w:rFonts w:cs="Arial"/>
        </w:rPr>
        <w:t>. The PNEC</w:t>
      </w:r>
      <w:r w:rsidRPr="00275290">
        <w:rPr>
          <w:rFonts w:cs="Arial"/>
          <w:vertAlign w:val="subscript"/>
        </w:rPr>
        <w:t xml:space="preserve">oral, bird </w:t>
      </w:r>
      <w:r w:rsidRPr="00275290">
        <w:rPr>
          <w:rFonts w:cs="Arial"/>
        </w:rPr>
        <w:t xml:space="preserve">is then derived from this NOEC according to formula 79 of the guidance: </w:t>
      </w:r>
    </w:p>
    <w:p w14:paraId="388790E0" w14:textId="77777777" w:rsidR="00692E71" w:rsidRPr="00275290" w:rsidRDefault="00692E71" w:rsidP="00692E71">
      <w:pPr>
        <w:spacing w:line="276" w:lineRule="auto"/>
        <w:rPr>
          <w:rFonts w:cs="Arial"/>
        </w:rPr>
      </w:pPr>
    </w:p>
    <w:p w14:paraId="43CDB2E6" w14:textId="77777777" w:rsidR="00692E71" w:rsidRPr="00275290" w:rsidRDefault="00692E71" w:rsidP="00692E71">
      <w:pPr>
        <w:spacing w:line="276" w:lineRule="auto"/>
        <w:rPr>
          <w:rFonts w:cs="Arial"/>
        </w:rPr>
      </w:pPr>
      <w:r w:rsidRPr="00275290">
        <w:rPr>
          <w:rFonts w:cs="Arial"/>
        </w:rPr>
        <w:t>PNEC</w:t>
      </w:r>
      <w:r w:rsidRPr="00275290">
        <w:rPr>
          <w:rFonts w:cs="Arial"/>
          <w:vertAlign w:val="subscript"/>
        </w:rPr>
        <w:t xml:space="preserve">oral, bird </w:t>
      </w:r>
      <w:r w:rsidRPr="00275290">
        <w:rPr>
          <w:rFonts w:cs="Arial"/>
        </w:rPr>
        <w:t>= NOEC</w:t>
      </w:r>
      <w:r w:rsidRPr="00275290">
        <w:rPr>
          <w:rFonts w:cs="Arial"/>
          <w:vertAlign w:val="subscript"/>
        </w:rPr>
        <w:t>bird</w:t>
      </w:r>
      <w:r w:rsidRPr="00275290">
        <w:rPr>
          <w:rFonts w:cs="Arial"/>
        </w:rPr>
        <w:t xml:space="preserve"> / AF</w:t>
      </w:r>
      <w:r w:rsidRPr="00275290">
        <w:rPr>
          <w:rFonts w:cs="Arial"/>
          <w:vertAlign w:val="subscript"/>
        </w:rPr>
        <w:t>oral</w:t>
      </w:r>
      <w:r w:rsidRPr="00275290">
        <w:rPr>
          <w:rFonts w:cs="Arial"/>
        </w:rPr>
        <w:t>.</w:t>
      </w:r>
    </w:p>
    <w:p w14:paraId="4554ED02" w14:textId="77777777" w:rsidR="00692E71" w:rsidRPr="00275290" w:rsidRDefault="00692E71" w:rsidP="00692E71">
      <w:pPr>
        <w:spacing w:line="276" w:lineRule="auto"/>
        <w:rPr>
          <w:rFonts w:cs="Arial"/>
        </w:rPr>
      </w:pPr>
    </w:p>
    <w:p w14:paraId="66153C31" w14:textId="77777777" w:rsidR="00692E71" w:rsidRPr="00275290" w:rsidRDefault="00692E71" w:rsidP="00692E71">
      <w:pPr>
        <w:spacing w:line="276" w:lineRule="auto"/>
        <w:rPr>
          <w:rFonts w:cs="Arial"/>
        </w:rPr>
      </w:pPr>
      <w:r w:rsidRPr="00275290">
        <w:rPr>
          <w:rFonts w:cs="Arial"/>
        </w:rPr>
        <w:t>According to the Table 26 of the guidance, the assessment factor (AF</w:t>
      </w:r>
      <w:r w:rsidRPr="00275290">
        <w:rPr>
          <w:rFonts w:cs="Arial"/>
          <w:vertAlign w:val="subscript"/>
        </w:rPr>
        <w:t>oral</w:t>
      </w:r>
      <w:r w:rsidRPr="00275290">
        <w:rPr>
          <w:rFonts w:cs="Arial"/>
        </w:rPr>
        <w:t>) is equal to 30 because a chronic study on birds is available.</w:t>
      </w:r>
    </w:p>
    <w:p w14:paraId="57B3152B" w14:textId="77777777" w:rsidR="00692E71" w:rsidRPr="00275290" w:rsidRDefault="00692E71" w:rsidP="00692E71">
      <w:pPr>
        <w:autoSpaceDE w:val="0"/>
        <w:autoSpaceDN w:val="0"/>
        <w:adjustRightInd w:val="0"/>
        <w:spacing w:line="276" w:lineRule="auto"/>
        <w:rPr>
          <w:rFonts w:cs="Arial"/>
        </w:rPr>
      </w:pPr>
      <w:r w:rsidRPr="00275290">
        <w:rPr>
          <w:rFonts w:cs="Arial"/>
        </w:rPr>
        <w:t>PNEC</w:t>
      </w:r>
      <w:r w:rsidRPr="00275290">
        <w:rPr>
          <w:rFonts w:cs="Arial"/>
          <w:vertAlign w:val="subscript"/>
        </w:rPr>
        <w:t>oral</w:t>
      </w:r>
      <w:proofErr w:type="gramStart"/>
      <w:r w:rsidRPr="00275290">
        <w:rPr>
          <w:rFonts w:cs="Arial"/>
          <w:vertAlign w:val="subscript"/>
        </w:rPr>
        <w:t>,bird</w:t>
      </w:r>
      <w:proofErr w:type="gramEnd"/>
      <w:r w:rsidRPr="00275290">
        <w:rPr>
          <w:rFonts w:cs="Arial"/>
          <w:vertAlign w:val="subscript"/>
        </w:rPr>
        <w:t xml:space="preserve"> </w:t>
      </w:r>
      <w:r w:rsidRPr="00275290">
        <w:rPr>
          <w:rFonts w:cs="Arial"/>
        </w:rPr>
        <w:t xml:space="preserve">= 1000 / 30 </w:t>
      </w:r>
    </w:p>
    <w:p w14:paraId="0C3FE5A5" w14:textId="77777777" w:rsidR="00692E71" w:rsidRPr="00275290" w:rsidRDefault="00692E71" w:rsidP="00692E71">
      <w:pPr>
        <w:autoSpaceDE w:val="0"/>
        <w:autoSpaceDN w:val="0"/>
        <w:adjustRightInd w:val="0"/>
        <w:spacing w:line="276" w:lineRule="auto"/>
        <w:rPr>
          <w:rFonts w:cs="Arial"/>
          <w:b/>
        </w:rPr>
      </w:pPr>
      <w:r w:rsidRPr="00275290">
        <w:rPr>
          <w:rFonts w:cs="Arial"/>
          <w:b/>
        </w:rPr>
        <w:t>PNEC</w:t>
      </w:r>
      <w:r w:rsidRPr="00275290">
        <w:rPr>
          <w:rFonts w:cs="Arial"/>
          <w:b/>
          <w:vertAlign w:val="subscript"/>
        </w:rPr>
        <w:t>oral</w:t>
      </w:r>
      <w:proofErr w:type="gramStart"/>
      <w:r w:rsidRPr="00275290">
        <w:rPr>
          <w:rFonts w:cs="Arial"/>
          <w:b/>
          <w:vertAlign w:val="subscript"/>
        </w:rPr>
        <w:t>,bird</w:t>
      </w:r>
      <w:proofErr w:type="gramEnd"/>
      <w:r w:rsidRPr="00275290">
        <w:rPr>
          <w:rFonts w:cs="Arial"/>
          <w:b/>
          <w:vertAlign w:val="subscript"/>
        </w:rPr>
        <w:t xml:space="preserve"> </w:t>
      </w:r>
      <w:r w:rsidRPr="00275290">
        <w:rPr>
          <w:rFonts w:cs="Arial"/>
          <w:b/>
        </w:rPr>
        <w:t>= 33.3 mg/kg</w:t>
      </w:r>
      <w:r w:rsidRPr="00275290">
        <w:rPr>
          <w:rFonts w:cs="Arial"/>
          <w:b/>
          <w:vertAlign w:val="subscript"/>
        </w:rPr>
        <w:t xml:space="preserve">food </w:t>
      </w:r>
    </w:p>
    <w:p w14:paraId="0A59A850" w14:textId="77777777" w:rsidR="00692E71" w:rsidRPr="00275290" w:rsidRDefault="00692E71" w:rsidP="00692E71">
      <w:pPr>
        <w:autoSpaceDE w:val="0"/>
        <w:autoSpaceDN w:val="0"/>
        <w:adjustRightInd w:val="0"/>
        <w:spacing w:line="276" w:lineRule="auto"/>
        <w:rPr>
          <w:rFonts w:cs="Arial"/>
        </w:rPr>
      </w:pPr>
    </w:p>
    <w:p w14:paraId="2C9AAF79" w14:textId="77777777" w:rsidR="00692E71" w:rsidRPr="00275290" w:rsidRDefault="00692E71" w:rsidP="00692E71">
      <w:pPr>
        <w:spacing w:line="276" w:lineRule="auto"/>
        <w:rPr>
          <w:rFonts w:cs="Arial"/>
        </w:rPr>
      </w:pPr>
      <w:r w:rsidRPr="00275290">
        <w:rPr>
          <w:rFonts w:cs="Arial"/>
        </w:rPr>
        <w:t xml:space="preserve">* A 2 years study on rats </w:t>
      </w:r>
      <w:r w:rsidRPr="00275290">
        <w:rPr>
          <w:rFonts w:cs="Arial"/>
          <w:i/>
        </w:rPr>
        <w:t xml:space="preserve">via </w:t>
      </w:r>
      <w:r w:rsidRPr="00275290">
        <w:rPr>
          <w:rFonts w:cs="Arial"/>
        </w:rPr>
        <w:t>oral route has been performed and the NOAEL reported in the Assessment Report is 5 mg/kg</w:t>
      </w:r>
      <w:r w:rsidRPr="00275290">
        <w:rPr>
          <w:rFonts w:cs="Arial"/>
          <w:vertAlign w:val="subscript"/>
        </w:rPr>
        <w:t>bw</w:t>
      </w:r>
      <w:r w:rsidRPr="00275290">
        <w:rPr>
          <w:rFonts w:cs="Arial"/>
        </w:rPr>
        <w:t>/d. This NOAEL is converted in NOEC expressed in mg/kg</w:t>
      </w:r>
      <w:r w:rsidRPr="00275290">
        <w:rPr>
          <w:rFonts w:cs="Arial"/>
          <w:vertAlign w:val="subscript"/>
        </w:rPr>
        <w:t>food</w:t>
      </w:r>
      <w:r w:rsidRPr="00275290">
        <w:rPr>
          <w:rFonts w:cs="Arial"/>
        </w:rPr>
        <w:t xml:space="preserve"> according to the formula 78 of the guidance:</w:t>
      </w:r>
    </w:p>
    <w:p w14:paraId="454A8774" w14:textId="77777777" w:rsidR="00692E71" w:rsidRPr="00275290" w:rsidRDefault="00692E71" w:rsidP="00692E71">
      <w:pPr>
        <w:spacing w:line="276" w:lineRule="auto"/>
        <w:rPr>
          <w:rFonts w:cs="Arial"/>
        </w:rPr>
      </w:pPr>
      <w:r w:rsidRPr="00275290">
        <w:rPr>
          <w:rFonts w:cs="Arial"/>
        </w:rPr>
        <w:t>NOEC</w:t>
      </w:r>
      <w:r w:rsidRPr="00275290">
        <w:rPr>
          <w:rFonts w:cs="Arial"/>
          <w:vertAlign w:val="subscript"/>
        </w:rPr>
        <w:t>mammal</w:t>
      </w:r>
      <w:r w:rsidRPr="00275290">
        <w:rPr>
          <w:rFonts w:cs="Arial"/>
        </w:rPr>
        <w:t xml:space="preserve"> = NOAEL</w:t>
      </w:r>
      <w:r w:rsidRPr="00275290">
        <w:rPr>
          <w:rFonts w:cs="Arial"/>
          <w:vertAlign w:val="subscript"/>
        </w:rPr>
        <w:t xml:space="preserve">mammal, oral </w:t>
      </w:r>
      <w:r w:rsidRPr="00275290">
        <w:rPr>
          <w:rFonts w:cs="Arial"/>
        </w:rPr>
        <w:t>* CONV</w:t>
      </w:r>
      <w:r w:rsidRPr="00275290">
        <w:rPr>
          <w:rFonts w:cs="Arial"/>
          <w:vertAlign w:val="subscript"/>
        </w:rPr>
        <w:t>mammal</w:t>
      </w:r>
    </w:p>
    <w:p w14:paraId="573B4674" w14:textId="77777777" w:rsidR="00692E71" w:rsidRPr="00275290" w:rsidRDefault="00692E71" w:rsidP="00692E71">
      <w:pPr>
        <w:spacing w:line="276" w:lineRule="auto"/>
        <w:rPr>
          <w:rFonts w:cs="Arial"/>
        </w:rPr>
      </w:pPr>
      <w:proofErr w:type="gramStart"/>
      <w:r w:rsidRPr="00275290">
        <w:rPr>
          <w:rFonts w:cs="Arial"/>
        </w:rPr>
        <w:t>where</w:t>
      </w:r>
      <w:proofErr w:type="gramEnd"/>
      <w:r w:rsidRPr="00275290">
        <w:rPr>
          <w:rFonts w:cs="Arial"/>
        </w:rPr>
        <w:t xml:space="preserve"> CONV</w:t>
      </w:r>
      <w:r w:rsidRPr="00275290">
        <w:rPr>
          <w:rFonts w:cs="Arial"/>
          <w:vertAlign w:val="subscript"/>
        </w:rPr>
        <w:t>mammal</w:t>
      </w:r>
      <w:r w:rsidRPr="00275290">
        <w:rPr>
          <w:rFonts w:cs="Arial"/>
        </w:rPr>
        <w:t xml:space="preserve"> is a conversion factor from NOAEL to NOEC. For rats, when a study of more of 6 weeks is available, the conversion factor is equal to 20 according to the Table 25 of the guidance.</w:t>
      </w:r>
    </w:p>
    <w:p w14:paraId="180ABDC3" w14:textId="77777777" w:rsidR="00692E71" w:rsidRPr="00275290" w:rsidRDefault="00692E71" w:rsidP="00692E71">
      <w:pPr>
        <w:spacing w:line="276" w:lineRule="auto"/>
        <w:rPr>
          <w:rFonts w:cs="Arial"/>
        </w:rPr>
      </w:pPr>
      <w:r w:rsidRPr="00275290">
        <w:rPr>
          <w:rFonts w:cs="Arial"/>
        </w:rPr>
        <w:t>NOEC</w:t>
      </w:r>
      <w:r w:rsidRPr="00275290">
        <w:rPr>
          <w:rFonts w:cs="Arial"/>
          <w:vertAlign w:val="subscript"/>
        </w:rPr>
        <w:t>mammal</w:t>
      </w:r>
      <w:r w:rsidRPr="00275290">
        <w:rPr>
          <w:rFonts w:cs="Arial"/>
        </w:rPr>
        <w:t xml:space="preserve"> = 5 * 20 = 100 mg/kg</w:t>
      </w:r>
      <w:r w:rsidRPr="00275290">
        <w:rPr>
          <w:rFonts w:cs="Arial"/>
          <w:vertAlign w:val="subscript"/>
        </w:rPr>
        <w:t>food</w:t>
      </w:r>
      <w:r w:rsidRPr="00275290">
        <w:rPr>
          <w:rFonts w:cs="Arial"/>
        </w:rPr>
        <w:t>.</w:t>
      </w:r>
    </w:p>
    <w:p w14:paraId="6F1EB1B6" w14:textId="77777777" w:rsidR="00692E71" w:rsidRPr="00275290" w:rsidRDefault="00692E71" w:rsidP="00692E71">
      <w:pPr>
        <w:spacing w:line="276" w:lineRule="auto"/>
        <w:rPr>
          <w:rFonts w:cs="Arial"/>
        </w:rPr>
      </w:pPr>
    </w:p>
    <w:p w14:paraId="07948516" w14:textId="77777777" w:rsidR="00692E71" w:rsidRPr="00275290" w:rsidRDefault="00692E71" w:rsidP="00692E71">
      <w:pPr>
        <w:spacing w:line="276" w:lineRule="auto"/>
        <w:rPr>
          <w:rFonts w:cs="Arial"/>
        </w:rPr>
      </w:pPr>
      <w:r w:rsidRPr="00275290">
        <w:rPr>
          <w:rFonts w:cs="Arial"/>
        </w:rPr>
        <w:t>Then, the PNEC</w:t>
      </w:r>
      <w:r w:rsidRPr="00275290">
        <w:rPr>
          <w:rFonts w:cs="Arial"/>
          <w:vertAlign w:val="subscript"/>
        </w:rPr>
        <w:t xml:space="preserve">oral, small mammal </w:t>
      </w:r>
      <w:r w:rsidRPr="00275290">
        <w:rPr>
          <w:rFonts w:cs="Arial"/>
        </w:rPr>
        <w:t xml:space="preserve">is derived from this NOEC according to formula 79 of the guidance: </w:t>
      </w:r>
    </w:p>
    <w:p w14:paraId="67C25B1B" w14:textId="77777777" w:rsidR="00692E71" w:rsidRPr="00275290" w:rsidRDefault="00692E71" w:rsidP="00692E71">
      <w:pPr>
        <w:spacing w:line="276" w:lineRule="auto"/>
        <w:rPr>
          <w:rFonts w:cs="Arial"/>
        </w:rPr>
      </w:pPr>
    </w:p>
    <w:p w14:paraId="262E0AE7" w14:textId="77777777" w:rsidR="00692E71" w:rsidRPr="00275290" w:rsidRDefault="00692E71" w:rsidP="00692E71">
      <w:pPr>
        <w:spacing w:line="276" w:lineRule="auto"/>
        <w:rPr>
          <w:rFonts w:cs="Arial"/>
        </w:rPr>
      </w:pPr>
      <w:r w:rsidRPr="00275290">
        <w:rPr>
          <w:rFonts w:cs="Arial"/>
        </w:rPr>
        <w:t>PNEC</w:t>
      </w:r>
      <w:r w:rsidRPr="00275290">
        <w:rPr>
          <w:rFonts w:cs="Arial"/>
          <w:vertAlign w:val="subscript"/>
        </w:rPr>
        <w:t xml:space="preserve">oral, small mammal </w:t>
      </w:r>
      <w:r w:rsidRPr="00275290">
        <w:rPr>
          <w:rFonts w:cs="Arial"/>
        </w:rPr>
        <w:t>= NOEC</w:t>
      </w:r>
      <w:r w:rsidRPr="00275290">
        <w:rPr>
          <w:rFonts w:cs="Arial"/>
          <w:vertAlign w:val="subscript"/>
        </w:rPr>
        <w:t>mammal</w:t>
      </w:r>
      <w:r w:rsidRPr="00275290">
        <w:rPr>
          <w:rFonts w:cs="Arial"/>
        </w:rPr>
        <w:t xml:space="preserve"> / AForal.</w:t>
      </w:r>
    </w:p>
    <w:p w14:paraId="4F650F91" w14:textId="77777777" w:rsidR="00692E71" w:rsidRPr="00275290" w:rsidRDefault="00692E71" w:rsidP="00692E71">
      <w:pPr>
        <w:spacing w:line="276" w:lineRule="auto"/>
        <w:rPr>
          <w:rFonts w:cs="Arial"/>
        </w:rPr>
      </w:pPr>
    </w:p>
    <w:p w14:paraId="73130ABC" w14:textId="77777777" w:rsidR="00692E71" w:rsidRPr="00275290" w:rsidRDefault="00692E71" w:rsidP="00692E71">
      <w:pPr>
        <w:spacing w:line="276" w:lineRule="auto"/>
        <w:rPr>
          <w:rFonts w:cs="Arial"/>
        </w:rPr>
      </w:pPr>
      <w:r w:rsidRPr="00275290">
        <w:rPr>
          <w:rFonts w:cs="Arial"/>
        </w:rPr>
        <w:t>According to the Table 26 of the guidance, the assessment factor (AForal) is equal to 30 because a chronic study (2 years) on rats is available.</w:t>
      </w:r>
    </w:p>
    <w:p w14:paraId="3C8FBF11" w14:textId="77777777" w:rsidR="00692E71" w:rsidRPr="00275290" w:rsidRDefault="00692E71" w:rsidP="00692E71">
      <w:pPr>
        <w:autoSpaceDE w:val="0"/>
        <w:autoSpaceDN w:val="0"/>
        <w:adjustRightInd w:val="0"/>
        <w:spacing w:line="276" w:lineRule="auto"/>
        <w:rPr>
          <w:rFonts w:cs="Arial"/>
        </w:rPr>
      </w:pPr>
      <w:r w:rsidRPr="00275290">
        <w:rPr>
          <w:rFonts w:cs="Arial"/>
        </w:rPr>
        <w:t>PNEC</w:t>
      </w:r>
      <w:r w:rsidRPr="00275290">
        <w:rPr>
          <w:rFonts w:cs="Arial"/>
          <w:vertAlign w:val="subscript"/>
        </w:rPr>
        <w:t>oral</w:t>
      </w:r>
      <w:proofErr w:type="gramStart"/>
      <w:r w:rsidRPr="00275290">
        <w:rPr>
          <w:rFonts w:cs="Arial"/>
          <w:vertAlign w:val="subscript"/>
        </w:rPr>
        <w:t>,small</w:t>
      </w:r>
      <w:proofErr w:type="gramEnd"/>
      <w:r w:rsidRPr="00275290">
        <w:rPr>
          <w:rFonts w:cs="Arial"/>
          <w:vertAlign w:val="subscript"/>
        </w:rPr>
        <w:t xml:space="preserve"> mammal </w:t>
      </w:r>
      <w:r w:rsidRPr="00275290">
        <w:rPr>
          <w:rFonts w:cs="Arial"/>
        </w:rPr>
        <w:t xml:space="preserve">= 100 / 30 </w:t>
      </w:r>
    </w:p>
    <w:p w14:paraId="71A1B0E3" w14:textId="77777777" w:rsidR="00692E71" w:rsidRPr="00275290" w:rsidRDefault="00692E71" w:rsidP="00692E71">
      <w:pPr>
        <w:autoSpaceDE w:val="0"/>
        <w:autoSpaceDN w:val="0"/>
        <w:adjustRightInd w:val="0"/>
        <w:spacing w:line="276" w:lineRule="auto"/>
        <w:rPr>
          <w:rFonts w:cs="Arial"/>
          <w:b/>
        </w:rPr>
      </w:pPr>
      <w:r w:rsidRPr="00275290">
        <w:rPr>
          <w:rFonts w:cs="Arial"/>
          <w:b/>
        </w:rPr>
        <w:lastRenderedPageBreak/>
        <w:t>PNEC</w:t>
      </w:r>
      <w:r w:rsidRPr="00275290">
        <w:rPr>
          <w:rFonts w:cs="Arial"/>
          <w:b/>
          <w:vertAlign w:val="subscript"/>
        </w:rPr>
        <w:t>oral</w:t>
      </w:r>
      <w:proofErr w:type="gramStart"/>
      <w:r w:rsidRPr="00275290">
        <w:rPr>
          <w:rFonts w:cs="Arial"/>
          <w:b/>
          <w:vertAlign w:val="subscript"/>
        </w:rPr>
        <w:t>,small</w:t>
      </w:r>
      <w:proofErr w:type="gramEnd"/>
      <w:r w:rsidRPr="00275290">
        <w:rPr>
          <w:rFonts w:cs="Arial"/>
          <w:b/>
          <w:vertAlign w:val="subscript"/>
        </w:rPr>
        <w:t xml:space="preserve"> mammal </w:t>
      </w:r>
      <w:r w:rsidRPr="00275290">
        <w:rPr>
          <w:rFonts w:cs="Arial"/>
          <w:b/>
        </w:rPr>
        <w:t>= 3.33 mg/kg</w:t>
      </w:r>
      <w:r w:rsidRPr="00275290">
        <w:rPr>
          <w:rFonts w:cs="Arial"/>
          <w:b/>
          <w:vertAlign w:val="subscript"/>
        </w:rPr>
        <w:t xml:space="preserve">food </w:t>
      </w:r>
    </w:p>
    <w:p w14:paraId="630BD9C4" w14:textId="77777777" w:rsidR="00692E71" w:rsidRPr="00275290" w:rsidRDefault="00692E71" w:rsidP="00F32B7F">
      <w:pPr>
        <w:pStyle w:val="Paragraphedeliste"/>
        <w:numPr>
          <w:ilvl w:val="0"/>
          <w:numId w:val="8"/>
        </w:numPr>
        <w:suppressAutoHyphens w:val="0"/>
        <w:autoSpaceDE w:val="0"/>
        <w:autoSpaceDN w:val="0"/>
        <w:adjustRightInd w:val="0"/>
        <w:spacing w:before="360" w:line="276" w:lineRule="auto"/>
        <w:ind w:left="714" w:hanging="357"/>
        <w:contextualSpacing/>
        <w:rPr>
          <w:rFonts w:cs="Arial"/>
          <w:b/>
        </w:rPr>
      </w:pPr>
      <w:r w:rsidRPr="00275290">
        <w:rPr>
          <w:rFonts w:cs="Arial"/>
          <w:b/>
        </w:rPr>
        <w:t>Data on propiconazole</w:t>
      </w:r>
    </w:p>
    <w:p w14:paraId="58AE2438" w14:textId="77777777" w:rsidR="00692E71" w:rsidRPr="00275290" w:rsidRDefault="00692E71" w:rsidP="00692E71">
      <w:pPr>
        <w:spacing w:before="120" w:line="276" w:lineRule="auto"/>
        <w:rPr>
          <w:rFonts w:cs="Arial"/>
          <w:lang w:eastAsia="en-US"/>
        </w:rPr>
      </w:pPr>
      <w:r w:rsidRPr="00275290">
        <w:rPr>
          <w:rFonts w:cs="Arial"/>
          <w:lang w:eastAsia="en-US"/>
        </w:rPr>
        <w:t xml:space="preserve">The log </w:t>
      </w:r>
      <w:proofErr w:type="gramStart"/>
      <w:r w:rsidRPr="00275290">
        <w:rPr>
          <w:rFonts w:cs="Arial"/>
          <w:lang w:eastAsia="en-US"/>
        </w:rPr>
        <w:t>Pow</w:t>
      </w:r>
      <w:proofErr w:type="gramEnd"/>
      <w:r w:rsidRPr="00275290">
        <w:rPr>
          <w:rFonts w:cs="Arial"/>
          <w:lang w:eastAsia="en-US"/>
        </w:rPr>
        <w:t xml:space="preserve"> of propiconazole is 3.72 at 25°C implying slight bioaccumulation potential. In the bioaccumulation study, the mean steady-state BCF of propiconazole was 180 and depuration half-life 0.48 days for the whole fish. Additionally, an estimated BCF of 64 was determined for terrestrial organisms. Then propiconazole is considered as not bioaccumulative to aquatic or terrestrial organisms. Moreover, propiconazole is not classified as STOT RE 1 or 2 (H372 or H373, equivalent to R48), and is not classified as reprotoxic category 1 or 2 (H360f, H360d, H361f, H361d or H362, equivalent to R60, R61, R62, R63 and R64). The assessment of the active substance data does not warrant conclusion of endocrine disruption potential for propiconazole. In the toxicity tests with mammals there were no effects in test animals which could be related to possible endocrine disruption.</w:t>
      </w:r>
    </w:p>
    <w:p w14:paraId="2BB06764" w14:textId="77777777" w:rsidR="00692E71" w:rsidRPr="00275290" w:rsidRDefault="00692E71" w:rsidP="00692E71">
      <w:pPr>
        <w:spacing w:line="276" w:lineRule="auto"/>
        <w:rPr>
          <w:rFonts w:cs="Arial"/>
        </w:rPr>
      </w:pPr>
      <w:r w:rsidRPr="00275290">
        <w:rPr>
          <w:rFonts w:cs="Arial"/>
        </w:rPr>
        <w:t>Therefore, there is no need to perform an assessment of secondary poisoning for propiconazole.</w:t>
      </w:r>
    </w:p>
    <w:p w14:paraId="297B2226" w14:textId="77777777" w:rsidR="00692E71" w:rsidRPr="00275290" w:rsidRDefault="00692E71" w:rsidP="00F32B7F">
      <w:pPr>
        <w:pStyle w:val="Paragraphedeliste"/>
        <w:numPr>
          <w:ilvl w:val="0"/>
          <w:numId w:val="8"/>
        </w:numPr>
        <w:suppressAutoHyphens w:val="0"/>
        <w:autoSpaceDE w:val="0"/>
        <w:autoSpaceDN w:val="0"/>
        <w:adjustRightInd w:val="0"/>
        <w:spacing w:before="360" w:line="276" w:lineRule="auto"/>
        <w:ind w:left="714" w:hanging="357"/>
        <w:contextualSpacing/>
        <w:rPr>
          <w:rFonts w:cs="Arial"/>
          <w:b/>
        </w:rPr>
      </w:pPr>
      <w:r w:rsidRPr="00275290">
        <w:rPr>
          <w:rFonts w:cs="Arial"/>
          <w:b/>
        </w:rPr>
        <w:t>Data on tebuconazole</w:t>
      </w:r>
    </w:p>
    <w:p w14:paraId="73D9D5D5" w14:textId="77777777" w:rsidR="00692E71" w:rsidRPr="00275290" w:rsidRDefault="00692E71" w:rsidP="00692E71">
      <w:pPr>
        <w:spacing w:before="120" w:line="276" w:lineRule="auto"/>
        <w:rPr>
          <w:rFonts w:cs="Arial"/>
          <w:lang w:eastAsia="en-US"/>
        </w:rPr>
      </w:pPr>
      <w:r w:rsidRPr="00275290">
        <w:rPr>
          <w:rFonts w:cs="Arial"/>
          <w:lang w:eastAsia="en-US"/>
        </w:rPr>
        <w:t xml:space="preserve">The log </w:t>
      </w:r>
      <w:proofErr w:type="gramStart"/>
      <w:r w:rsidRPr="00275290">
        <w:rPr>
          <w:rFonts w:cs="Arial"/>
          <w:lang w:eastAsia="en-US"/>
        </w:rPr>
        <w:t>Pow</w:t>
      </w:r>
      <w:proofErr w:type="gramEnd"/>
      <w:r w:rsidRPr="00275290">
        <w:rPr>
          <w:rFonts w:cs="Arial"/>
          <w:lang w:eastAsia="en-US"/>
        </w:rPr>
        <w:t xml:space="preserve"> of tebuconazole is 3.49 at 20°C implying slight bioaccumulation potential. However, tebuconazole showed a low bioconcentration potential in aquatic and terrestrial organisms (BCFfish of 78 L/kg and BCF in earthworm of 28 estimated according to TGD) and it did not undergo biomagnification through the food chain. Moreover, tebuconazole did not represent a risk to birds due to the low toxicity of the active substance.</w:t>
      </w:r>
    </w:p>
    <w:p w14:paraId="06ED37E8" w14:textId="77777777" w:rsidR="00692E71" w:rsidRPr="00275290" w:rsidRDefault="00692E71" w:rsidP="00692E71">
      <w:pPr>
        <w:spacing w:before="120" w:line="276" w:lineRule="auto"/>
        <w:rPr>
          <w:rFonts w:cs="Arial"/>
          <w:lang w:eastAsia="en-US"/>
        </w:rPr>
      </w:pPr>
      <w:r w:rsidRPr="00275290">
        <w:rPr>
          <w:rFonts w:cs="Arial"/>
          <w:lang w:eastAsia="en-US"/>
        </w:rPr>
        <w:t>Therefore, even if tebuconazole has a potential to cause toxic effects in higher organism since it is classified as toxic for the reproduction, category 2 (H361d), an assessment of secondary poisoning does not need to be performed as the risk of contamination of the environment is very limited when using the product according to the recommendations.</w:t>
      </w:r>
    </w:p>
    <w:p w14:paraId="55866592" w14:textId="77777777" w:rsidR="00692E71" w:rsidRPr="00275290" w:rsidRDefault="00692E71" w:rsidP="00F32B7F">
      <w:pPr>
        <w:pStyle w:val="Paragraphedeliste"/>
        <w:numPr>
          <w:ilvl w:val="0"/>
          <w:numId w:val="8"/>
        </w:numPr>
        <w:suppressAutoHyphens w:val="0"/>
        <w:autoSpaceDE w:val="0"/>
        <w:autoSpaceDN w:val="0"/>
        <w:adjustRightInd w:val="0"/>
        <w:spacing w:before="360" w:line="276" w:lineRule="auto"/>
        <w:ind w:left="714" w:hanging="357"/>
        <w:contextualSpacing/>
        <w:rPr>
          <w:rFonts w:cs="Arial"/>
          <w:b/>
        </w:rPr>
      </w:pPr>
      <w:r w:rsidRPr="00275290">
        <w:rPr>
          <w:rFonts w:cs="Arial"/>
          <w:b/>
        </w:rPr>
        <w:t>Data on IPBC</w:t>
      </w:r>
    </w:p>
    <w:p w14:paraId="1FF364E9" w14:textId="77777777" w:rsidR="00692E71" w:rsidRPr="00275290" w:rsidRDefault="00692E71" w:rsidP="00692E71">
      <w:pPr>
        <w:spacing w:before="120" w:line="276" w:lineRule="auto"/>
        <w:rPr>
          <w:rFonts w:cs="Arial"/>
          <w:lang w:eastAsia="en-US"/>
        </w:rPr>
      </w:pPr>
      <w:r w:rsidRPr="00275290">
        <w:rPr>
          <w:rFonts w:cs="Arial"/>
          <w:lang w:eastAsia="en-US"/>
        </w:rPr>
        <w:t xml:space="preserve">The bioaccumulation potential of IPBC is not significant based on its log </w:t>
      </w:r>
      <w:proofErr w:type="gramStart"/>
      <w:r w:rsidRPr="00275290">
        <w:rPr>
          <w:rFonts w:cs="Arial"/>
          <w:lang w:eastAsia="en-US"/>
        </w:rPr>
        <w:t>Pow</w:t>
      </w:r>
      <w:proofErr w:type="gramEnd"/>
      <w:r w:rsidRPr="00275290">
        <w:rPr>
          <w:rFonts w:cs="Arial"/>
          <w:lang w:eastAsia="en-US"/>
        </w:rPr>
        <w:t xml:space="preserve"> value of 2.81 at 25°C, which results in bioconcentration factor (BCF) below 2000. Moreover IPBC has a proposed classification as Acute Tox 3, Eye Dam. 1, Acute Tox 4, Skin Sens. 1, STOT SE3 with H331, H318, H302, H317, H335, (T, R22-23-37-41-43). Hence the toxicological classification does not meet the criteria to perform a risk assessment for the bioaccumulation and secondary poisoning. Furthermore IPBC is not included in the EU list of potential endocrine disruptors.</w:t>
      </w:r>
    </w:p>
    <w:p w14:paraId="57731470" w14:textId="77777777" w:rsidR="00692E71" w:rsidRPr="00275290" w:rsidRDefault="00692E71" w:rsidP="00692E71">
      <w:pPr>
        <w:spacing w:before="120" w:after="360" w:line="276" w:lineRule="auto"/>
        <w:rPr>
          <w:rFonts w:cs="Arial"/>
          <w:lang w:eastAsia="en-US"/>
        </w:rPr>
      </w:pPr>
      <w:r w:rsidRPr="00275290">
        <w:rPr>
          <w:rFonts w:cs="Arial"/>
          <w:lang w:eastAsia="en-US"/>
        </w:rPr>
        <w:t>Therefore, there is no need to perform an assessment of secondary poisoning for IPBC.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9"/>
      </w:tblGrid>
      <w:tr w:rsidR="00692E71" w:rsidRPr="00275290" w14:paraId="55E7AFB4" w14:textId="77777777" w:rsidTr="008E0250">
        <w:tc>
          <w:tcPr>
            <w:tcW w:w="5000" w:type="pct"/>
            <w:shd w:val="clear" w:color="auto" w:fill="D6E3BC"/>
          </w:tcPr>
          <w:p w14:paraId="74E3E5B3" w14:textId="77777777" w:rsidR="00692E71" w:rsidRPr="00275290" w:rsidRDefault="00692E71" w:rsidP="008E0250">
            <w:pPr>
              <w:pStyle w:val="Lgende"/>
              <w:rPr>
                <w:rFonts w:ascii="Verdana" w:hAnsi="Verdana"/>
              </w:rPr>
            </w:pPr>
            <w:r w:rsidRPr="00275290">
              <w:rPr>
                <w:rFonts w:ascii="Verdana" w:hAnsi="Verdana"/>
              </w:rPr>
              <w:t xml:space="preserve">FR-CA box </w:t>
            </w:r>
            <w:r w:rsidRPr="00275290">
              <w:rPr>
                <w:rFonts w:ascii="Verdana" w:hAnsi="Verdana"/>
              </w:rPr>
              <w:fldChar w:fldCharType="begin"/>
            </w:r>
            <w:r w:rsidRPr="00275290">
              <w:rPr>
                <w:rFonts w:ascii="Verdana" w:hAnsi="Verdana"/>
              </w:rPr>
              <w:instrText xml:space="preserve"> SEQ FR-CA_box_ \* ARABIC </w:instrText>
            </w:r>
            <w:r w:rsidRPr="00275290">
              <w:rPr>
                <w:rFonts w:ascii="Verdana" w:hAnsi="Verdana"/>
              </w:rPr>
              <w:fldChar w:fldCharType="separate"/>
            </w:r>
            <w:r w:rsidR="00666966">
              <w:rPr>
                <w:rFonts w:ascii="Verdana" w:hAnsi="Verdana"/>
                <w:noProof/>
              </w:rPr>
              <w:t>3</w:t>
            </w:r>
            <w:r w:rsidRPr="00275290">
              <w:rPr>
                <w:rFonts w:ascii="Verdana" w:hAnsi="Verdana"/>
                <w:noProof/>
              </w:rPr>
              <w:fldChar w:fldCharType="end"/>
            </w:r>
          </w:p>
          <w:p w14:paraId="65EFFC23" w14:textId="77777777" w:rsidR="00692E71" w:rsidRPr="00275290" w:rsidRDefault="00692E71" w:rsidP="008E0250">
            <w:pPr>
              <w:pStyle w:val="Lgende"/>
              <w:rPr>
                <w:rFonts w:ascii="Verdana" w:hAnsi="Verdana"/>
              </w:rPr>
            </w:pPr>
            <w:r w:rsidRPr="00275290">
              <w:rPr>
                <w:rFonts w:ascii="Verdana" w:hAnsi="Verdana"/>
              </w:rPr>
              <w:t>Summary of the PNEC values for each active substance and their relevant metabolites used by FR-CA for the product-environmental risk assessment according to the list of endpoints validated at EU level</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040"/>
              <w:gridCol w:w="1134"/>
              <w:gridCol w:w="1134"/>
              <w:gridCol w:w="1134"/>
              <w:gridCol w:w="1134"/>
              <w:gridCol w:w="1134"/>
              <w:gridCol w:w="1134"/>
            </w:tblGrid>
            <w:tr w:rsidR="00692E71" w:rsidRPr="00275290" w14:paraId="06B3F98A" w14:textId="77777777" w:rsidTr="008E0250">
              <w:tc>
                <w:tcPr>
                  <w:tcW w:w="1555" w:type="dxa"/>
                  <w:shd w:val="clear" w:color="auto" w:fill="auto"/>
                  <w:vAlign w:val="center"/>
                </w:tcPr>
                <w:p w14:paraId="42A8AB26" w14:textId="77777777" w:rsidR="00692E71" w:rsidRPr="00275290" w:rsidRDefault="00692E71" w:rsidP="008E0250">
                  <w:pPr>
                    <w:autoSpaceDE w:val="0"/>
                    <w:autoSpaceDN w:val="0"/>
                    <w:rPr>
                      <w:rFonts w:cs="Arial"/>
                      <w:b/>
                      <w:sz w:val="18"/>
                      <w:szCs w:val="18"/>
                    </w:rPr>
                  </w:pPr>
                  <w:r w:rsidRPr="00275290">
                    <w:rPr>
                      <w:rFonts w:cs="Arial"/>
                      <w:b/>
                      <w:sz w:val="18"/>
                      <w:szCs w:val="18"/>
                    </w:rPr>
                    <w:t>PNEC</w:t>
                  </w:r>
                </w:p>
              </w:tc>
              <w:tc>
                <w:tcPr>
                  <w:tcW w:w="1040" w:type="dxa"/>
                  <w:shd w:val="clear" w:color="auto" w:fill="auto"/>
                  <w:vAlign w:val="center"/>
                </w:tcPr>
                <w:p w14:paraId="5BBAA1E0"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Unit</w:t>
                  </w:r>
                </w:p>
              </w:tc>
              <w:tc>
                <w:tcPr>
                  <w:tcW w:w="1134" w:type="dxa"/>
                  <w:shd w:val="clear" w:color="auto" w:fill="auto"/>
                  <w:vAlign w:val="center"/>
                </w:tcPr>
                <w:p w14:paraId="21E0FCBF"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Cyper-</w:t>
                  </w:r>
                </w:p>
                <w:p w14:paraId="4F4CF437"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methrin</w:t>
                  </w:r>
                </w:p>
              </w:tc>
              <w:tc>
                <w:tcPr>
                  <w:tcW w:w="1134" w:type="dxa"/>
                  <w:shd w:val="clear" w:color="auto" w:fill="auto"/>
                  <w:vAlign w:val="center"/>
                </w:tcPr>
                <w:p w14:paraId="5641D119"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Tebuco-</w:t>
                  </w:r>
                </w:p>
                <w:p w14:paraId="35FF943C"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nazole</w:t>
                  </w:r>
                </w:p>
              </w:tc>
              <w:tc>
                <w:tcPr>
                  <w:tcW w:w="1134" w:type="dxa"/>
                  <w:shd w:val="clear" w:color="auto" w:fill="auto"/>
                  <w:vAlign w:val="center"/>
                </w:tcPr>
                <w:p w14:paraId="28E687B5"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Propico-</w:t>
                  </w:r>
                </w:p>
                <w:p w14:paraId="2EF0F04A"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nazole</w:t>
                  </w:r>
                </w:p>
              </w:tc>
              <w:tc>
                <w:tcPr>
                  <w:tcW w:w="1134" w:type="dxa"/>
                  <w:shd w:val="clear" w:color="auto" w:fill="auto"/>
                  <w:vAlign w:val="center"/>
                </w:tcPr>
                <w:p w14:paraId="6C3F0FEF"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1,2,4-triazole</w:t>
                  </w:r>
                </w:p>
              </w:tc>
              <w:tc>
                <w:tcPr>
                  <w:tcW w:w="1134" w:type="dxa"/>
                  <w:vAlign w:val="center"/>
                </w:tcPr>
                <w:p w14:paraId="4A5347D9"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IPBC</w:t>
                  </w:r>
                </w:p>
              </w:tc>
              <w:tc>
                <w:tcPr>
                  <w:tcW w:w="1134" w:type="dxa"/>
                  <w:vAlign w:val="center"/>
                </w:tcPr>
                <w:p w14:paraId="77F82BC4"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PBC</w:t>
                  </w:r>
                </w:p>
              </w:tc>
            </w:tr>
            <w:tr w:rsidR="00692E71" w:rsidRPr="00275290" w14:paraId="4D750E05" w14:textId="77777777" w:rsidTr="008E0250">
              <w:trPr>
                <w:trHeight w:val="397"/>
              </w:trPr>
              <w:tc>
                <w:tcPr>
                  <w:tcW w:w="1555" w:type="dxa"/>
                  <w:shd w:val="clear" w:color="auto" w:fill="auto"/>
                  <w:vAlign w:val="center"/>
                </w:tcPr>
                <w:p w14:paraId="4178D602"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STP</w:t>
                  </w:r>
                </w:p>
              </w:tc>
              <w:tc>
                <w:tcPr>
                  <w:tcW w:w="1040" w:type="dxa"/>
                  <w:shd w:val="clear" w:color="auto" w:fill="auto"/>
                  <w:vAlign w:val="center"/>
                </w:tcPr>
                <w:p w14:paraId="53B6F161" w14:textId="77777777" w:rsidR="00692E71" w:rsidRPr="00275290" w:rsidRDefault="00692E71" w:rsidP="008E0250">
                  <w:pPr>
                    <w:autoSpaceDE w:val="0"/>
                    <w:autoSpaceDN w:val="0"/>
                    <w:rPr>
                      <w:rFonts w:cs="Arial"/>
                      <w:sz w:val="18"/>
                      <w:szCs w:val="18"/>
                    </w:rPr>
                  </w:pPr>
                  <w:r w:rsidRPr="00275290">
                    <w:rPr>
                      <w:rFonts w:cs="Arial"/>
                      <w:sz w:val="18"/>
                      <w:szCs w:val="18"/>
                    </w:rPr>
                    <w:t>[mg/L]</w:t>
                  </w:r>
                </w:p>
              </w:tc>
              <w:tc>
                <w:tcPr>
                  <w:tcW w:w="1134" w:type="dxa"/>
                  <w:shd w:val="clear" w:color="auto" w:fill="auto"/>
                  <w:vAlign w:val="center"/>
                </w:tcPr>
                <w:p w14:paraId="2C56EA3C" w14:textId="77777777" w:rsidR="00692E71" w:rsidRPr="00275290" w:rsidRDefault="00692E71" w:rsidP="008E0250">
                  <w:pPr>
                    <w:autoSpaceDE w:val="0"/>
                    <w:autoSpaceDN w:val="0"/>
                    <w:jc w:val="center"/>
                    <w:rPr>
                      <w:rFonts w:cs="Arial"/>
                      <w:sz w:val="18"/>
                      <w:szCs w:val="18"/>
                    </w:rPr>
                  </w:pPr>
                  <w:r w:rsidRPr="00275290">
                    <w:rPr>
                      <w:rFonts w:cs="Arial"/>
                      <w:sz w:val="18"/>
                      <w:szCs w:val="18"/>
                    </w:rPr>
                    <w:t>1.63E+00</w:t>
                  </w:r>
                </w:p>
              </w:tc>
              <w:tc>
                <w:tcPr>
                  <w:tcW w:w="1134" w:type="dxa"/>
                  <w:shd w:val="clear" w:color="auto" w:fill="auto"/>
                  <w:vAlign w:val="center"/>
                </w:tcPr>
                <w:p w14:paraId="1D64CB07" w14:textId="77777777" w:rsidR="00692E71" w:rsidRPr="00275290" w:rsidRDefault="00692E71" w:rsidP="008E0250">
                  <w:pPr>
                    <w:autoSpaceDE w:val="0"/>
                    <w:autoSpaceDN w:val="0"/>
                    <w:jc w:val="center"/>
                    <w:rPr>
                      <w:rFonts w:cs="Arial"/>
                      <w:sz w:val="18"/>
                      <w:szCs w:val="18"/>
                    </w:rPr>
                  </w:pPr>
                  <w:r w:rsidRPr="00275290">
                    <w:rPr>
                      <w:rFonts w:cs="Arial"/>
                      <w:sz w:val="18"/>
                      <w:szCs w:val="18"/>
                    </w:rPr>
                    <w:t>3.20E-01</w:t>
                  </w:r>
                </w:p>
              </w:tc>
              <w:tc>
                <w:tcPr>
                  <w:tcW w:w="1134" w:type="dxa"/>
                  <w:shd w:val="clear" w:color="auto" w:fill="auto"/>
                  <w:vAlign w:val="center"/>
                </w:tcPr>
                <w:p w14:paraId="3ECD8D1B" w14:textId="77777777" w:rsidR="00692E71" w:rsidRPr="00275290" w:rsidRDefault="00692E71" w:rsidP="008E0250">
                  <w:pPr>
                    <w:autoSpaceDE w:val="0"/>
                    <w:autoSpaceDN w:val="0"/>
                    <w:jc w:val="center"/>
                    <w:rPr>
                      <w:rFonts w:cs="Arial"/>
                      <w:sz w:val="18"/>
                      <w:szCs w:val="18"/>
                    </w:rPr>
                  </w:pPr>
                  <w:r w:rsidRPr="00275290">
                    <w:rPr>
                      <w:rFonts w:cs="Arial"/>
                      <w:sz w:val="18"/>
                      <w:szCs w:val="18"/>
                    </w:rPr>
                    <w:t>1.00E+02</w:t>
                  </w:r>
                </w:p>
              </w:tc>
              <w:tc>
                <w:tcPr>
                  <w:tcW w:w="1134" w:type="dxa"/>
                  <w:shd w:val="clear" w:color="auto" w:fill="auto"/>
                  <w:vAlign w:val="center"/>
                </w:tcPr>
                <w:p w14:paraId="6EAB1C2C"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3564BC3F" w14:textId="77777777" w:rsidR="00692E71" w:rsidRPr="00275290" w:rsidRDefault="00692E71" w:rsidP="008E0250">
                  <w:pPr>
                    <w:autoSpaceDE w:val="0"/>
                    <w:autoSpaceDN w:val="0"/>
                    <w:jc w:val="center"/>
                    <w:rPr>
                      <w:rFonts w:cs="Arial"/>
                      <w:sz w:val="18"/>
                      <w:szCs w:val="18"/>
                    </w:rPr>
                  </w:pPr>
                  <w:r w:rsidRPr="00275290">
                    <w:rPr>
                      <w:rFonts w:cs="Arial"/>
                      <w:sz w:val="18"/>
                      <w:szCs w:val="18"/>
                    </w:rPr>
                    <w:t>0.44</w:t>
                  </w:r>
                </w:p>
              </w:tc>
              <w:tc>
                <w:tcPr>
                  <w:tcW w:w="1134" w:type="dxa"/>
                  <w:vAlign w:val="center"/>
                </w:tcPr>
                <w:p w14:paraId="749684E4" w14:textId="77777777" w:rsidR="00692E71" w:rsidRPr="00275290" w:rsidRDefault="00692E71" w:rsidP="008E0250">
                  <w:pPr>
                    <w:autoSpaceDE w:val="0"/>
                    <w:autoSpaceDN w:val="0"/>
                    <w:jc w:val="center"/>
                    <w:rPr>
                      <w:rFonts w:cs="Arial"/>
                      <w:sz w:val="18"/>
                      <w:szCs w:val="18"/>
                    </w:rPr>
                  </w:pPr>
                  <w:r w:rsidRPr="00275290">
                    <w:rPr>
                      <w:rFonts w:cs="Arial"/>
                      <w:sz w:val="18"/>
                      <w:szCs w:val="18"/>
                    </w:rPr>
                    <w:t>0.44</w:t>
                  </w:r>
                </w:p>
              </w:tc>
            </w:tr>
            <w:tr w:rsidR="00692E71" w:rsidRPr="00275290" w14:paraId="259F63F6" w14:textId="77777777" w:rsidTr="008E0250">
              <w:trPr>
                <w:trHeight w:val="397"/>
              </w:trPr>
              <w:tc>
                <w:tcPr>
                  <w:tcW w:w="1555" w:type="dxa"/>
                  <w:shd w:val="clear" w:color="auto" w:fill="auto"/>
                  <w:vAlign w:val="center"/>
                </w:tcPr>
                <w:p w14:paraId="1EA7C4F0"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water</w:t>
                  </w:r>
                </w:p>
              </w:tc>
              <w:tc>
                <w:tcPr>
                  <w:tcW w:w="1040" w:type="dxa"/>
                  <w:shd w:val="clear" w:color="auto" w:fill="auto"/>
                  <w:vAlign w:val="center"/>
                </w:tcPr>
                <w:p w14:paraId="253AECFA" w14:textId="77777777" w:rsidR="00692E71" w:rsidRPr="00275290" w:rsidRDefault="00692E71" w:rsidP="008E0250">
                  <w:pPr>
                    <w:autoSpaceDE w:val="0"/>
                    <w:autoSpaceDN w:val="0"/>
                    <w:rPr>
                      <w:rFonts w:cs="Arial"/>
                      <w:sz w:val="18"/>
                      <w:szCs w:val="18"/>
                    </w:rPr>
                  </w:pPr>
                  <w:r w:rsidRPr="00275290">
                    <w:rPr>
                      <w:rFonts w:cs="Arial"/>
                      <w:sz w:val="18"/>
                      <w:szCs w:val="18"/>
                    </w:rPr>
                    <w:t>[mg/L]</w:t>
                  </w:r>
                </w:p>
              </w:tc>
              <w:tc>
                <w:tcPr>
                  <w:tcW w:w="1134" w:type="dxa"/>
                  <w:shd w:val="clear" w:color="auto" w:fill="auto"/>
                  <w:vAlign w:val="center"/>
                </w:tcPr>
                <w:p w14:paraId="60A1F8BA" w14:textId="77777777" w:rsidR="00692E71" w:rsidRPr="00275290" w:rsidRDefault="00692E71" w:rsidP="008E0250">
                  <w:pPr>
                    <w:autoSpaceDE w:val="0"/>
                    <w:autoSpaceDN w:val="0"/>
                    <w:jc w:val="center"/>
                    <w:rPr>
                      <w:rFonts w:cs="Arial"/>
                      <w:sz w:val="18"/>
                      <w:szCs w:val="18"/>
                    </w:rPr>
                  </w:pPr>
                  <w:r w:rsidRPr="00275290">
                    <w:rPr>
                      <w:rFonts w:cs="Arial"/>
                      <w:sz w:val="18"/>
                      <w:szCs w:val="18"/>
                    </w:rPr>
                    <w:t>4.00E-06</w:t>
                  </w:r>
                  <w:r w:rsidRPr="00275290">
                    <w:rPr>
                      <w:rFonts w:cs="Arial"/>
                      <w:sz w:val="18"/>
                      <w:szCs w:val="18"/>
                      <w:vertAlign w:val="superscript"/>
                    </w:rPr>
                    <w:t>(1)</w:t>
                  </w:r>
                </w:p>
              </w:tc>
              <w:tc>
                <w:tcPr>
                  <w:tcW w:w="1134" w:type="dxa"/>
                  <w:shd w:val="clear" w:color="auto" w:fill="auto"/>
                  <w:vAlign w:val="center"/>
                </w:tcPr>
                <w:p w14:paraId="40CFE378" w14:textId="77777777" w:rsidR="00692E71" w:rsidRPr="00275290" w:rsidRDefault="00692E71" w:rsidP="008E0250">
                  <w:pPr>
                    <w:autoSpaceDE w:val="0"/>
                    <w:autoSpaceDN w:val="0"/>
                    <w:jc w:val="center"/>
                    <w:rPr>
                      <w:rFonts w:cs="Arial"/>
                      <w:sz w:val="18"/>
                      <w:szCs w:val="18"/>
                    </w:rPr>
                  </w:pPr>
                  <w:r w:rsidRPr="00275290">
                    <w:rPr>
                      <w:rFonts w:cs="Arial"/>
                      <w:sz w:val="18"/>
                      <w:szCs w:val="18"/>
                    </w:rPr>
                    <w:t>1.00E-03</w:t>
                  </w:r>
                </w:p>
              </w:tc>
              <w:tc>
                <w:tcPr>
                  <w:tcW w:w="1134" w:type="dxa"/>
                  <w:shd w:val="clear" w:color="auto" w:fill="auto"/>
                  <w:vAlign w:val="center"/>
                </w:tcPr>
                <w:p w14:paraId="02563BA7" w14:textId="77777777" w:rsidR="00692E71" w:rsidRPr="00275290" w:rsidRDefault="00692E71" w:rsidP="008E0250">
                  <w:pPr>
                    <w:autoSpaceDE w:val="0"/>
                    <w:autoSpaceDN w:val="0"/>
                    <w:jc w:val="center"/>
                    <w:rPr>
                      <w:rFonts w:cs="Arial"/>
                      <w:sz w:val="18"/>
                      <w:szCs w:val="18"/>
                    </w:rPr>
                  </w:pPr>
                  <w:r w:rsidRPr="00275290">
                    <w:rPr>
                      <w:rFonts w:cs="Arial"/>
                      <w:sz w:val="18"/>
                      <w:szCs w:val="18"/>
                    </w:rPr>
                    <w:t>6.80E-03</w:t>
                  </w:r>
                </w:p>
              </w:tc>
              <w:tc>
                <w:tcPr>
                  <w:tcW w:w="1134" w:type="dxa"/>
                  <w:shd w:val="clear" w:color="auto" w:fill="auto"/>
                  <w:vAlign w:val="center"/>
                </w:tcPr>
                <w:p w14:paraId="413B2CF7"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1638DB86" w14:textId="77777777" w:rsidR="00692E71" w:rsidRPr="00275290" w:rsidRDefault="00692E71" w:rsidP="008E0250">
                  <w:pPr>
                    <w:autoSpaceDE w:val="0"/>
                    <w:autoSpaceDN w:val="0"/>
                    <w:jc w:val="center"/>
                    <w:rPr>
                      <w:rFonts w:cs="Arial"/>
                      <w:sz w:val="18"/>
                      <w:szCs w:val="18"/>
                    </w:rPr>
                  </w:pPr>
                  <w:r w:rsidRPr="00275290">
                    <w:rPr>
                      <w:rFonts w:cs="Arial"/>
                      <w:sz w:val="18"/>
                      <w:szCs w:val="18"/>
                    </w:rPr>
                    <w:t>5.00E-04</w:t>
                  </w:r>
                </w:p>
              </w:tc>
              <w:tc>
                <w:tcPr>
                  <w:tcW w:w="1134" w:type="dxa"/>
                  <w:vAlign w:val="center"/>
                </w:tcPr>
                <w:p w14:paraId="1E4A5B5B" w14:textId="77777777" w:rsidR="00692E71" w:rsidRPr="00275290" w:rsidRDefault="00692E71" w:rsidP="008E0250">
                  <w:pPr>
                    <w:autoSpaceDE w:val="0"/>
                    <w:autoSpaceDN w:val="0"/>
                    <w:jc w:val="center"/>
                    <w:rPr>
                      <w:rFonts w:cs="Arial"/>
                      <w:sz w:val="18"/>
                      <w:szCs w:val="18"/>
                    </w:rPr>
                  </w:pPr>
                  <w:r w:rsidRPr="00275290">
                    <w:rPr>
                      <w:rFonts w:cs="Arial"/>
                      <w:sz w:val="18"/>
                      <w:szCs w:val="18"/>
                    </w:rPr>
                    <w:t>4.13E-02</w:t>
                  </w:r>
                </w:p>
              </w:tc>
            </w:tr>
            <w:tr w:rsidR="00692E71" w:rsidRPr="00275290" w14:paraId="13DE94DD" w14:textId="77777777" w:rsidTr="008E0250">
              <w:trPr>
                <w:trHeight w:val="397"/>
              </w:trPr>
              <w:tc>
                <w:tcPr>
                  <w:tcW w:w="1555" w:type="dxa"/>
                  <w:shd w:val="clear" w:color="auto" w:fill="auto"/>
                  <w:vAlign w:val="center"/>
                </w:tcPr>
                <w:p w14:paraId="6ECAAD28"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sediment</w:t>
                  </w:r>
                </w:p>
              </w:tc>
              <w:tc>
                <w:tcPr>
                  <w:tcW w:w="1040" w:type="dxa"/>
                  <w:shd w:val="clear" w:color="auto" w:fill="auto"/>
                  <w:vAlign w:val="center"/>
                </w:tcPr>
                <w:p w14:paraId="7061BABC" w14:textId="77777777" w:rsidR="00692E71" w:rsidRPr="00275290" w:rsidRDefault="00692E71" w:rsidP="008E0250">
                  <w:pPr>
                    <w:autoSpaceDE w:val="0"/>
                    <w:autoSpaceDN w:val="0"/>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1134" w:type="dxa"/>
                  <w:shd w:val="clear" w:color="auto" w:fill="auto"/>
                  <w:vAlign w:val="center"/>
                </w:tcPr>
                <w:p w14:paraId="7045AB04" w14:textId="77777777" w:rsidR="00692E71" w:rsidRPr="00275290" w:rsidRDefault="00692E71" w:rsidP="008E0250">
                  <w:pPr>
                    <w:autoSpaceDE w:val="0"/>
                    <w:autoSpaceDN w:val="0"/>
                    <w:jc w:val="center"/>
                    <w:rPr>
                      <w:rFonts w:cs="Arial"/>
                      <w:sz w:val="18"/>
                      <w:szCs w:val="18"/>
                    </w:rPr>
                  </w:pPr>
                  <w:r w:rsidRPr="00275290">
                    <w:rPr>
                      <w:rFonts w:cs="Arial"/>
                      <w:sz w:val="18"/>
                      <w:szCs w:val="18"/>
                    </w:rPr>
                    <w:t>5.00E-02</w:t>
                  </w:r>
                </w:p>
              </w:tc>
              <w:tc>
                <w:tcPr>
                  <w:tcW w:w="1134" w:type="dxa"/>
                  <w:shd w:val="clear" w:color="auto" w:fill="auto"/>
                  <w:vAlign w:val="center"/>
                </w:tcPr>
                <w:p w14:paraId="3BBEA7DF" w14:textId="77777777" w:rsidR="00692E71" w:rsidRPr="00275290" w:rsidRDefault="00692E71" w:rsidP="008E0250">
                  <w:pPr>
                    <w:autoSpaceDE w:val="0"/>
                    <w:autoSpaceDN w:val="0"/>
                    <w:jc w:val="center"/>
                    <w:rPr>
                      <w:rFonts w:cs="Arial"/>
                      <w:sz w:val="18"/>
                      <w:szCs w:val="18"/>
                    </w:rPr>
                  </w:pPr>
                  <w:r w:rsidRPr="00275290">
                    <w:rPr>
                      <w:rFonts w:cs="Arial"/>
                      <w:sz w:val="18"/>
                      <w:szCs w:val="18"/>
                    </w:rPr>
                    <w:t>5.50E-01</w:t>
                  </w:r>
                </w:p>
              </w:tc>
              <w:tc>
                <w:tcPr>
                  <w:tcW w:w="1134" w:type="dxa"/>
                  <w:shd w:val="clear" w:color="auto" w:fill="auto"/>
                  <w:vAlign w:val="center"/>
                </w:tcPr>
                <w:p w14:paraId="1C3AF3C0" w14:textId="77777777" w:rsidR="00692E71" w:rsidRPr="00275290" w:rsidRDefault="00692E71" w:rsidP="008E0250">
                  <w:pPr>
                    <w:autoSpaceDE w:val="0"/>
                    <w:autoSpaceDN w:val="0"/>
                    <w:jc w:val="center"/>
                    <w:rPr>
                      <w:rFonts w:cs="Arial"/>
                      <w:sz w:val="18"/>
                      <w:szCs w:val="18"/>
                    </w:rPr>
                  </w:pPr>
                  <w:r w:rsidRPr="00275290">
                    <w:rPr>
                      <w:rFonts w:cs="Arial"/>
                      <w:sz w:val="18"/>
                      <w:szCs w:val="18"/>
                    </w:rPr>
                    <w:t>5.40E-02</w:t>
                  </w:r>
                </w:p>
              </w:tc>
              <w:tc>
                <w:tcPr>
                  <w:tcW w:w="1134" w:type="dxa"/>
                  <w:shd w:val="clear" w:color="auto" w:fill="auto"/>
                  <w:vAlign w:val="center"/>
                </w:tcPr>
                <w:p w14:paraId="1CA5C925"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1F22535B"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02E48568" w14:textId="77777777" w:rsidR="00692E71" w:rsidRPr="00275290" w:rsidRDefault="00692E71" w:rsidP="008E0250">
                  <w:pPr>
                    <w:autoSpaceDE w:val="0"/>
                    <w:autoSpaceDN w:val="0"/>
                    <w:jc w:val="center"/>
                    <w:rPr>
                      <w:rFonts w:cs="Arial"/>
                      <w:sz w:val="18"/>
                      <w:szCs w:val="18"/>
                    </w:rPr>
                  </w:pPr>
                  <w:r w:rsidRPr="00275290">
                    <w:rPr>
                      <w:rFonts w:cs="Arial"/>
                      <w:sz w:val="18"/>
                      <w:szCs w:val="18"/>
                    </w:rPr>
                    <w:t>2.10E-01</w:t>
                  </w:r>
                </w:p>
              </w:tc>
            </w:tr>
            <w:tr w:rsidR="00692E71" w:rsidRPr="00275290" w14:paraId="698636BC" w14:textId="77777777" w:rsidTr="008E0250">
              <w:trPr>
                <w:trHeight w:val="397"/>
              </w:trPr>
              <w:tc>
                <w:tcPr>
                  <w:tcW w:w="1555" w:type="dxa"/>
                  <w:shd w:val="clear" w:color="auto" w:fill="auto"/>
                  <w:vAlign w:val="center"/>
                </w:tcPr>
                <w:p w14:paraId="5D01B0F6"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soil</w:t>
                  </w:r>
                </w:p>
              </w:tc>
              <w:tc>
                <w:tcPr>
                  <w:tcW w:w="1040" w:type="dxa"/>
                  <w:shd w:val="clear" w:color="auto" w:fill="auto"/>
                  <w:vAlign w:val="center"/>
                </w:tcPr>
                <w:p w14:paraId="24EEB392" w14:textId="77777777" w:rsidR="00692E71" w:rsidRPr="00275290" w:rsidRDefault="00692E71" w:rsidP="008E0250">
                  <w:pPr>
                    <w:autoSpaceDE w:val="0"/>
                    <w:autoSpaceDN w:val="0"/>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1134" w:type="dxa"/>
                  <w:shd w:val="clear" w:color="auto" w:fill="auto"/>
                  <w:vAlign w:val="center"/>
                </w:tcPr>
                <w:p w14:paraId="746BB896" w14:textId="77777777" w:rsidR="00692E71" w:rsidRPr="00275290" w:rsidRDefault="00692E71" w:rsidP="008E0250">
                  <w:pPr>
                    <w:autoSpaceDE w:val="0"/>
                    <w:autoSpaceDN w:val="0"/>
                    <w:jc w:val="center"/>
                    <w:rPr>
                      <w:rFonts w:cs="Arial"/>
                      <w:sz w:val="18"/>
                      <w:szCs w:val="18"/>
                    </w:rPr>
                  </w:pPr>
                  <w:r w:rsidRPr="00275290">
                    <w:rPr>
                      <w:rFonts w:cs="Arial"/>
                      <w:sz w:val="18"/>
                      <w:szCs w:val="18"/>
                    </w:rPr>
                    <w:t>9.18E-02</w:t>
                  </w:r>
                </w:p>
              </w:tc>
              <w:tc>
                <w:tcPr>
                  <w:tcW w:w="1134" w:type="dxa"/>
                  <w:shd w:val="clear" w:color="auto" w:fill="auto"/>
                  <w:vAlign w:val="center"/>
                </w:tcPr>
                <w:p w14:paraId="63953672" w14:textId="77777777" w:rsidR="00692E71" w:rsidRPr="00275290" w:rsidRDefault="00692E71" w:rsidP="008E0250">
                  <w:pPr>
                    <w:autoSpaceDE w:val="0"/>
                    <w:autoSpaceDN w:val="0"/>
                    <w:jc w:val="center"/>
                    <w:rPr>
                      <w:rFonts w:cs="Arial"/>
                      <w:sz w:val="18"/>
                      <w:szCs w:val="18"/>
                    </w:rPr>
                  </w:pPr>
                  <w:r w:rsidRPr="00275290">
                    <w:rPr>
                      <w:rFonts w:cs="Arial"/>
                      <w:sz w:val="18"/>
                      <w:szCs w:val="18"/>
                    </w:rPr>
                    <w:t>1.00E-01</w:t>
                  </w:r>
                </w:p>
              </w:tc>
              <w:tc>
                <w:tcPr>
                  <w:tcW w:w="1134" w:type="dxa"/>
                  <w:shd w:val="clear" w:color="auto" w:fill="auto"/>
                  <w:vAlign w:val="center"/>
                </w:tcPr>
                <w:p w14:paraId="6E56993D" w14:textId="77777777" w:rsidR="00692E71" w:rsidRPr="00275290" w:rsidRDefault="00692E71" w:rsidP="008E0250">
                  <w:pPr>
                    <w:autoSpaceDE w:val="0"/>
                    <w:autoSpaceDN w:val="0"/>
                    <w:jc w:val="center"/>
                    <w:rPr>
                      <w:rFonts w:cs="Arial"/>
                      <w:sz w:val="18"/>
                      <w:szCs w:val="18"/>
                    </w:rPr>
                  </w:pPr>
                  <w:r w:rsidRPr="00275290">
                    <w:rPr>
                      <w:rFonts w:cs="Arial"/>
                      <w:sz w:val="18"/>
                      <w:szCs w:val="18"/>
                    </w:rPr>
                    <w:t>1.00E-01</w:t>
                  </w:r>
                </w:p>
              </w:tc>
              <w:tc>
                <w:tcPr>
                  <w:tcW w:w="1134" w:type="dxa"/>
                  <w:shd w:val="clear" w:color="auto" w:fill="auto"/>
                  <w:vAlign w:val="center"/>
                </w:tcPr>
                <w:p w14:paraId="0B41B399" w14:textId="77777777" w:rsidR="00692E71" w:rsidRPr="00275290" w:rsidRDefault="00692E71" w:rsidP="008E0250">
                  <w:pPr>
                    <w:autoSpaceDE w:val="0"/>
                    <w:autoSpaceDN w:val="0"/>
                    <w:jc w:val="center"/>
                    <w:rPr>
                      <w:rFonts w:cs="Arial"/>
                      <w:sz w:val="18"/>
                      <w:szCs w:val="18"/>
                    </w:rPr>
                  </w:pPr>
                  <w:r w:rsidRPr="00275290">
                    <w:rPr>
                      <w:rFonts w:cs="Arial"/>
                      <w:sz w:val="18"/>
                      <w:szCs w:val="18"/>
                    </w:rPr>
                    <w:t>8.20E-03</w:t>
                  </w:r>
                </w:p>
              </w:tc>
              <w:tc>
                <w:tcPr>
                  <w:tcW w:w="1134" w:type="dxa"/>
                  <w:vAlign w:val="center"/>
                </w:tcPr>
                <w:p w14:paraId="7293A090" w14:textId="77777777" w:rsidR="00692E71" w:rsidRPr="00275290" w:rsidRDefault="00692E71" w:rsidP="008E0250">
                  <w:pPr>
                    <w:autoSpaceDE w:val="0"/>
                    <w:autoSpaceDN w:val="0"/>
                    <w:jc w:val="center"/>
                    <w:rPr>
                      <w:rFonts w:cs="Arial"/>
                      <w:sz w:val="18"/>
                      <w:szCs w:val="18"/>
                    </w:rPr>
                  </w:pPr>
                  <w:r w:rsidRPr="00275290">
                    <w:rPr>
                      <w:rFonts w:cs="Arial"/>
                      <w:sz w:val="18"/>
                      <w:szCs w:val="18"/>
                    </w:rPr>
                    <w:t>4.40E-03</w:t>
                  </w:r>
                </w:p>
              </w:tc>
              <w:tc>
                <w:tcPr>
                  <w:tcW w:w="1134" w:type="dxa"/>
                  <w:vAlign w:val="center"/>
                </w:tcPr>
                <w:p w14:paraId="2483A60E" w14:textId="77777777" w:rsidR="00692E71" w:rsidRPr="00275290" w:rsidRDefault="00692E71" w:rsidP="008E0250">
                  <w:pPr>
                    <w:autoSpaceDE w:val="0"/>
                    <w:autoSpaceDN w:val="0"/>
                    <w:jc w:val="center"/>
                    <w:rPr>
                      <w:rFonts w:cs="Arial"/>
                      <w:sz w:val="18"/>
                      <w:szCs w:val="18"/>
                    </w:rPr>
                  </w:pPr>
                  <w:r w:rsidRPr="00275290">
                    <w:rPr>
                      <w:rFonts w:cs="Arial"/>
                      <w:sz w:val="18"/>
                      <w:szCs w:val="18"/>
                    </w:rPr>
                    <w:t>1.49E-01</w:t>
                  </w:r>
                </w:p>
              </w:tc>
            </w:tr>
            <w:tr w:rsidR="00692E71" w:rsidRPr="00275290" w14:paraId="0DA989A3" w14:textId="77777777" w:rsidTr="008E0250">
              <w:trPr>
                <w:trHeight w:val="397"/>
              </w:trPr>
              <w:tc>
                <w:tcPr>
                  <w:tcW w:w="1555" w:type="dxa"/>
                  <w:shd w:val="clear" w:color="auto" w:fill="auto"/>
                  <w:vAlign w:val="center"/>
                </w:tcPr>
                <w:p w14:paraId="5CEEA75B" w14:textId="77777777" w:rsidR="00692E71" w:rsidRPr="00275290" w:rsidRDefault="00692E71" w:rsidP="008E0250">
                  <w:pPr>
                    <w:autoSpaceDE w:val="0"/>
                    <w:autoSpaceDN w:val="0"/>
                    <w:rPr>
                      <w:rFonts w:cs="Arial"/>
                      <w:sz w:val="18"/>
                      <w:szCs w:val="18"/>
                    </w:rPr>
                  </w:pPr>
                  <w:r w:rsidRPr="00275290">
                    <w:rPr>
                      <w:rFonts w:cs="Arial"/>
                      <w:b/>
                      <w:sz w:val="18"/>
                      <w:szCs w:val="18"/>
                    </w:rPr>
                    <w:lastRenderedPageBreak/>
                    <w:t>PNEC</w:t>
                  </w:r>
                  <w:r w:rsidRPr="00275290">
                    <w:rPr>
                      <w:rFonts w:cs="Arial"/>
                      <w:b/>
                      <w:sz w:val="18"/>
                      <w:szCs w:val="18"/>
                      <w:vertAlign w:val="subscript"/>
                    </w:rPr>
                    <w:t>oral,bird</w:t>
                  </w:r>
                </w:p>
              </w:tc>
              <w:tc>
                <w:tcPr>
                  <w:tcW w:w="1040" w:type="dxa"/>
                  <w:shd w:val="clear" w:color="auto" w:fill="auto"/>
                  <w:vAlign w:val="center"/>
                </w:tcPr>
                <w:p w14:paraId="4A973ED3" w14:textId="77777777" w:rsidR="00692E71" w:rsidRPr="00275290" w:rsidRDefault="00692E71" w:rsidP="008E0250">
                  <w:pPr>
                    <w:autoSpaceDE w:val="0"/>
                    <w:autoSpaceDN w:val="0"/>
                    <w:rPr>
                      <w:rFonts w:cs="Arial"/>
                      <w:sz w:val="18"/>
                      <w:szCs w:val="18"/>
                    </w:rPr>
                  </w:pPr>
                  <w:r w:rsidRPr="00275290">
                    <w:rPr>
                      <w:rFonts w:cs="Arial"/>
                      <w:sz w:val="18"/>
                      <w:szCs w:val="18"/>
                    </w:rPr>
                    <w:t>[mg/kg</w:t>
                  </w:r>
                  <w:r w:rsidRPr="00275290">
                    <w:rPr>
                      <w:rFonts w:cs="Arial"/>
                      <w:sz w:val="18"/>
                      <w:szCs w:val="18"/>
                      <w:vertAlign w:val="subscript"/>
                    </w:rPr>
                    <w:t>food</w:t>
                  </w:r>
                  <w:r w:rsidRPr="00275290">
                    <w:rPr>
                      <w:rFonts w:cs="Arial"/>
                      <w:sz w:val="18"/>
                      <w:szCs w:val="18"/>
                    </w:rPr>
                    <w:t>]</w:t>
                  </w:r>
                </w:p>
              </w:tc>
              <w:tc>
                <w:tcPr>
                  <w:tcW w:w="1134" w:type="dxa"/>
                  <w:shd w:val="clear" w:color="auto" w:fill="auto"/>
                  <w:vAlign w:val="center"/>
                </w:tcPr>
                <w:p w14:paraId="27520CA8" w14:textId="77777777" w:rsidR="00692E71" w:rsidRPr="00275290" w:rsidRDefault="00692E71" w:rsidP="008E0250">
                  <w:pPr>
                    <w:autoSpaceDE w:val="0"/>
                    <w:autoSpaceDN w:val="0"/>
                    <w:jc w:val="center"/>
                    <w:rPr>
                      <w:rFonts w:cs="Arial"/>
                      <w:sz w:val="18"/>
                      <w:szCs w:val="18"/>
                    </w:rPr>
                  </w:pPr>
                  <w:r w:rsidRPr="00275290">
                    <w:rPr>
                      <w:rFonts w:cs="Arial"/>
                      <w:sz w:val="18"/>
                      <w:szCs w:val="18"/>
                    </w:rPr>
                    <w:t>3.33E+01</w:t>
                  </w:r>
                </w:p>
              </w:tc>
              <w:tc>
                <w:tcPr>
                  <w:tcW w:w="1134" w:type="dxa"/>
                  <w:shd w:val="clear" w:color="auto" w:fill="auto"/>
                  <w:vAlign w:val="center"/>
                </w:tcPr>
                <w:p w14:paraId="11BC4101"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shd w:val="clear" w:color="auto" w:fill="auto"/>
                  <w:vAlign w:val="center"/>
                </w:tcPr>
                <w:p w14:paraId="7E169123"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shd w:val="clear" w:color="auto" w:fill="auto"/>
                  <w:vAlign w:val="center"/>
                </w:tcPr>
                <w:p w14:paraId="42CADA62"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7B28C660"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664F5CD7"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r>
            <w:tr w:rsidR="00692E71" w:rsidRPr="00275290" w14:paraId="177F1E02" w14:textId="77777777" w:rsidTr="008E0250">
              <w:trPr>
                <w:trHeight w:val="397"/>
              </w:trPr>
              <w:tc>
                <w:tcPr>
                  <w:tcW w:w="1555" w:type="dxa"/>
                  <w:shd w:val="clear" w:color="auto" w:fill="auto"/>
                  <w:vAlign w:val="center"/>
                </w:tcPr>
                <w:p w14:paraId="3C11EA69"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oral,mammals</w:t>
                  </w:r>
                </w:p>
              </w:tc>
              <w:tc>
                <w:tcPr>
                  <w:tcW w:w="1040" w:type="dxa"/>
                  <w:shd w:val="clear" w:color="auto" w:fill="auto"/>
                  <w:vAlign w:val="center"/>
                </w:tcPr>
                <w:p w14:paraId="165AA0D4" w14:textId="77777777" w:rsidR="00692E71" w:rsidRPr="00275290" w:rsidRDefault="00692E71" w:rsidP="008E0250">
                  <w:pPr>
                    <w:autoSpaceDE w:val="0"/>
                    <w:autoSpaceDN w:val="0"/>
                    <w:rPr>
                      <w:rFonts w:cs="Arial"/>
                      <w:sz w:val="18"/>
                      <w:szCs w:val="18"/>
                    </w:rPr>
                  </w:pPr>
                  <w:r w:rsidRPr="00275290">
                    <w:rPr>
                      <w:rFonts w:cs="Arial"/>
                      <w:sz w:val="18"/>
                      <w:szCs w:val="18"/>
                    </w:rPr>
                    <w:t>[mg/kg</w:t>
                  </w:r>
                  <w:r w:rsidRPr="00275290">
                    <w:rPr>
                      <w:rFonts w:cs="Arial"/>
                      <w:sz w:val="18"/>
                      <w:szCs w:val="18"/>
                      <w:vertAlign w:val="subscript"/>
                    </w:rPr>
                    <w:t>food</w:t>
                  </w:r>
                  <w:r w:rsidRPr="00275290">
                    <w:rPr>
                      <w:rFonts w:cs="Arial"/>
                      <w:sz w:val="18"/>
                      <w:szCs w:val="18"/>
                    </w:rPr>
                    <w:t>]</w:t>
                  </w:r>
                </w:p>
              </w:tc>
              <w:tc>
                <w:tcPr>
                  <w:tcW w:w="1134" w:type="dxa"/>
                  <w:shd w:val="clear" w:color="auto" w:fill="auto"/>
                  <w:vAlign w:val="center"/>
                </w:tcPr>
                <w:p w14:paraId="2DD8A0F6" w14:textId="77777777" w:rsidR="00692E71" w:rsidRPr="00275290" w:rsidRDefault="00692E71" w:rsidP="008E0250">
                  <w:pPr>
                    <w:autoSpaceDE w:val="0"/>
                    <w:autoSpaceDN w:val="0"/>
                    <w:jc w:val="center"/>
                    <w:rPr>
                      <w:rFonts w:cs="Arial"/>
                      <w:sz w:val="18"/>
                      <w:szCs w:val="18"/>
                    </w:rPr>
                  </w:pPr>
                  <w:r w:rsidRPr="00275290">
                    <w:rPr>
                      <w:rFonts w:cs="Arial"/>
                      <w:sz w:val="18"/>
                      <w:szCs w:val="18"/>
                    </w:rPr>
                    <w:t>3.33E+00</w:t>
                  </w:r>
                </w:p>
              </w:tc>
              <w:tc>
                <w:tcPr>
                  <w:tcW w:w="1134" w:type="dxa"/>
                  <w:shd w:val="clear" w:color="auto" w:fill="auto"/>
                  <w:vAlign w:val="center"/>
                </w:tcPr>
                <w:p w14:paraId="6AA3BCD4"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shd w:val="clear" w:color="auto" w:fill="auto"/>
                  <w:vAlign w:val="center"/>
                </w:tcPr>
                <w:p w14:paraId="26900B73"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shd w:val="clear" w:color="auto" w:fill="auto"/>
                  <w:vAlign w:val="center"/>
                </w:tcPr>
                <w:p w14:paraId="7F140CF8"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3F429043"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77A53214"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r>
          </w:tbl>
          <w:p w14:paraId="02AEE635" w14:textId="77777777" w:rsidR="00692E71" w:rsidRPr="00275290" w:rsidRDefault="00692E71" w:rsidP="008E0250">
            <w:pPr>
              <w:autoSpaceDE w:val="0"/>
              <w:autoSpaceDN w:val="0"/>
              <w:rPr>
                <w:rFonts w:cs="Arial"/>
              </w:rPr>
            </w:pPr>
            <w:r w:rsidRPr="00275290">
              <w:rPr>
                <w:rFonts w:cs="Arial"/>
              </w:rPr>
              <w:t>n.r: not relevant</w:t>
            </w:r>
          </w:p>
          <w:p w14:paraId="0AC22A91" w14:textId="77777777" w:rsidR="00692E71" w:rsidRPr="00275290" w:rsidRDefault="00692E71" w:rsidP="008E0250">
            <w:pPr>
              <w:rPr>
                <w:rFonts w:cs="Arial"/>
              </w:rPr>
            </w:pPr>
            <w:proofErr w:type="gramStart"/>
            <w:r w:rsidRPr="00275290">
              <w:rPr>
                <w:rFonts w:cs="Arial"/>
                <w:sz w:val="18"/>
                <w:szCs w:val="18"/>
              </w:rPr>
              <w:t>’(</w:t>
            </w:r>
            <w:proofErr w:type="gramEnd"/>
            <w:r w:rsidRPr="00275290">
              <w:rPr>
                <w:rFonts w:cs="Arial"/>
                <w:sz w:val="18"/>
                <w:szCs w:val="18"/>
              </w:rPr>
              <w:t>1) According to the WGIV2016, a robust NOEC fish of 0.4 µg.L-1 is considered to derive the PNEC</w:t>
            </w:r>
            <w:r w:rsidRPr="00275290">
              <w:rPr>
                <w:rFonts w:cs="Arial"/>
                <w:sz w:val="18"/>
                <w:szCs w:val="18"/>
                <w:vertAlign w:val="subscript"/>
              </w:rPr>
              <w:t>water</w:t>
            </w:r>
            <w:r w:rsidRPr="00275290">
              <w:rPr>
                <w:rFonts w:cs="Arial"/>
                <w:sz w:val="18"/>
                <w:szCs w:val="18"/>
              </w:rPr>
              <w:t xml:space="preserve"> for Cypermethrin with an assessment factor of 100.</w:t>
            </w:r>
          </w:p>
        </w:tc>
      </w:tr>
    </w:tbl>
    <w:p w14:paraId="344C719C" w14:textId="77777777" w:rsidR="00692E71" w:rsidRPr="008E0250" w:rsidRDefault="00692E71" w:rsidP="008E0250">
      <w:pPr>
        <w:pStyle w:val="Titre5"/>
        <w:spacing w:before="240"/>
      </w:pPr>
      <w:r w:rsidRPr="008E0250">
        <w:lastRenderedPageBreak/>
        <w:t>PBT and ED Assessment</w:t>
      </w:r>
    </w:p>
    <w:p w14:paraId="73AF476F" w14:textId="77777777" w:rsidR="00692E71" w:rsidRPr="00B66713" w:rsidRDefault="00692E71" w:rsidP="00692E71">
      <w:pPr>
        <w:keepN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769"/>
      </w:tblGrid>
      <w:tr w:rsidR="00692E71" w:rsidRPr="00275290" w14:paraId="262907E1" w14:textId="77777777" w:rsidTr="008E0250">
        <w:trPr>
          <w:trHeight w:val="838"/>
        </w:trPr>
        <w:tc>
          <w:tcPr>
            <w:tcW w:w="5000" w:type="pct"/>
            <w:shd w:val="clear" w:color="auto" w:fill="D6E3BC"/>
          </w:tcPr>
          <w:p w14:paraId="26545E65" w14:textId="77777777" w:rsidR="00692E71" w:rsidRPr="00275290" w:rsidRDefault="00692E71" w:rsidP="008E0250">
            <w:pPr>
              <w:pStyle w:val="Lgende"/>
              <w:rPr>
                <w:rFonts w:ascii="Verdana" w:hAnsi="Verdana"/>
              </w:rPr>
            </w:pPr>
            <w:r w:rsidRPr="00275290">
              <w:rPr>
                <w:rFonts w:ascii="Verdana" w:hAnsi="Verdana"/>
              </w:rPr>
              <w:t xml:space="preserve">FR-CA box </w:t>
            </w:r>
            <w:r w:rsidRPr="00275290">
              <w:rPr>
                <w:rFonts w:ascii="Verdana" w:hAnsi="Verdana"/>
              </w:rPr>
              <w:fldChar w:fldCharType="begin"/>
            </w:r>
            <w:r w:rsidRPr="00275290">
              <w:rPr>
                <w:rFonts w:ascii="Verdana" w:hAnsi="Verdana"/>
              </w:rPr>
              <w:instrText xml:space="preserve"> SEQ FR-CA_box_ \* ARABIC </w:instrText>
            </w:r>
            <w:r w:rsidRPr="00275290">
              <w:rPr>
                <w:rFonts w:ascii="Verdana" w:hAnsi="Verdana"/>
              </w:rPr>
              <w:fldChar w:fldCharType="separate"/>
            </w:r>
            <w:r w:rsidR="00666966">
              <w:rPr>
                <w:rFonts w:ascii="Verdana" w:hAnsi="Verdana"/>
                <w:noProof/>
              </w:rPr>
              <w:t>4</w:t>
            </w:r>
            <w:r w:rsidRPr="00275290">
              <w:rPr>
                <w:rFonts w:ascii="Verdana" w:hAnsi="Verdana"/>
                <w:noProof/>
              </w:rPr>
              <w:fldChar w:fldCharType="end"/>
            </w:r>
          </w:p>
          <w:p w14:paraId="0DB5FFEB" w14:textId="77777777" w:rsidR="00692E71" w:rsidRPr="00275290" w:rsidRDefault="00692E71" w:rsidP="008E0250">
            <w:pPr>
              <w:pStyle w:val="Lgende"/>
              <w:rPr>
                <w:rFonts w:ascii="Verdana" w:hAnsi="Verdana"/>
              </w:rPr>
            </w:pPr>
            <w:r w:rsidRPr="00275290">
              <w:rPr>
                <w:rFonts w:ascii="Verdana" w:hAnsi="Verdana"/>
              </w:rPr>
              <w:t>PBT and ED assessment</w:t>
            </w:r>
          </w:p>
          <w:p w14:paraId="1A2788D4" w14:textId="77777777" w:rsidR="00692E71" w:rsidRPr="00275290" w:rsidRDefault="00692E71" w:rsidP="008E0250">
            <w:pPr>
              <w:keepNext/>
              <w:autoSpaceDE w:val="0"/>
              <w:autoSpaceDN w:val="0"/>
              <w:rPr>
                <w:rFonts w:cs="Arial"/>
                <w:b/>
                <w:u w:val="single"/>
              </w:rPr>
            </w:pPr>
            <w:r w:rsidRPr="00275290">
              <w:rPr>
                <w:rFonts w:cs="Arial"/>
                <w:b/>
                <w:u w:val="single"/>
              </w:rPr>
              <w:t>PBT-assessment:</w:t>
            </w:r>
          </w:p>
          <w:p w14:paraId="79B8F82A" w14:textId="77777777" w:rsidR="00692E71" w:rsidRPr="00275290" w:rsidRDefault="00692E71" w:rsidP="008E0250">
            <w:pPr>
              <w:keepNext/>
              <w:autoSpaceDE w:val="0"/>
              <w:autoSpaceDN w:val="0"/>
              <w:spacing w:before="120" w:line="276" w:lineRule="auto"/>
              <w:rPr>
                <w:rFonts w:cs="Arial"/>
              </w:rPr>
            </w:pPr>
            <w:r w:rsidRPr="00275290">
              <w:rPr>
                <w:rFonts w:cs="Arial"/>
              </w:rPr>
              <w:t xml:space="preserve">According to the PT07-AR of tebuconazole (2013), tebuconazole does not fulfil the PBT nor the vPvB criteria. Nonetheless, the substance is candidate for substitution, as it fulfils the P and T criteria. </w:t>
            </w:r>
          </w:p>
          <w:p w14:paraId="48156A94" w14:textId="77777777" w:rsidR="00692E71" w:rsidRPr="00275290" w:rsidRDefault="00692E71" w:rsidP="008E0250">
            <w:pPr>
              <w:keepNext/>
              <w:autoSpaceDE w:val="0"/>
              <w:autoSpaceDN w:val="0"/>
              <w:spacing w:before="120"/>
              <w:rPr>
                <w:rFonts w:cs="Arial"/>
              </w:rPr>
            </w:pPr>
            <w:r w:rsidRPr="00275290">
              <w:rPr>
                <w:rFonts w:cs="Arial"/>
              </w:rPr>
              <w:t>According to the PT07-AR of propiconazole (2013), propiconazole does not fulfil the PBT nor the vPvB criteria. Nonetheless, the substance fulfils the P criteria.</w:t>
            </w:r>
          </w:p>
          <w:p w14:paraId="78A68B66" w14:textId="77777777" w:rsidR="00692E71" w:rsidRPr="00275290" w:rsidRDefault="00692E71" w:rsidP="008E0250">
            <w:pPr>
              <w:keepNext/>
              <w:autoSpaceDE w:val="0"/>
              <w:autoSpaceDN w:val="0"/>
              <w:spacing w:before="120"/>
              <w:rPr>
                <w:rFonts w:cs="Arial"/>
              </w:rPr>
            </w:pPr>
            <w:r w:rsidRPr="00275290">
              <w:rPr>
                <w:rFonts w:cs="Arial"/>
              </w:rPr>
              <w:t>According to the PT08-AR of cypermethrin (2013), cypermethrin does not fulfil the PBT nor the vPvB criteria.</w:t>
            </w:r>
          </w:p>
          <w:p w14:paraId="283ECDE1" w14:textId="77777777" w:rsidR="00692E71" w:rsidRPr="00275290" w:rsidRDefault="00692E71" w:rsidP="008E0250">
            <w:pPr>
              <w:keepNext/>
              <w:autoSpaceDE w:val="0"/>
              <w:autoSpaceDN w:val="0"/>
              <w:spacing w:before="120"/>
              <w:rPr>
                <w:rFonts w:cs="Arial"/>
              </w:rPr>
            </w:pPr>
            <w:r w:rsidRPr="00275290">
              <w:rPr>
                <w:rFonts w:cs="Arial"/>
              </w:rPr>
              <w:t>According to the PT13-AR of IPBC (2015), IPBC and PBC do not fulfil the PBT nor the vPvB criteria.</w:t>
            </w:r>
          </w:p>
          <w:p w14:paraId="0C6CF41A" w14:textId="77777777" w:rsidR="00692E71" w:rsidRPr="00275290" w:rsidRDefault="00692E71" w:rsidP="008E0250">
            <w:pPr>
              <w:keepNext/>
              <w:autoSpaceDE w:val="0"/>
              <w:autoSpaceDN w:val="0"/>
              <w:spacing w:before="240"/>
              <w:rPr>
                <w:rFonts w:cs="Arial"/>
                <w:b/>
                <w:u w:val="single"/>
              </w:rPr>
            </w:pPr>
            <w:r w:rsidRPr="00275290">
              <w:rPr>
                <w:rFonts w:cs="Arial"/>
                <w:b/>
                <w:u w:val="single"/>
              </w:rPr>
              <w:t>ED-assessment:</w:t>
            </w:r>
          </w:p>
          <w:p w14:paraId="54756596" w14:textId="77777777" w:rsidR="00692E71" w:rsidRDefault="00692E71" w:rsidP="008E0250">
            <w:pPr>
              <w:keepNext/>
              <w:autoSpaceDE w:val="0"/>
              <w:autoSpaceDN w:val="0"/>
              <w:spacing w:before="120"/>
              <w:rPr>
                <w:rFonts w:cs="Arial"/>
              </w:rPr>
            </w:pPr>
            <w:r w:rsidRPr="00275290">
              <w:rPr>
                <w:rFonts w:cs="Arial"/>
              </w:rPr>
              <w:t>According to the PT07-AR of tebuconazole (2013), the PT07-AR of propiconazole (2013), the PT08-AR of cypermethrin (2013), the PT13-AR of IPBC (2015) no definite conclusions can be drawn concerning the endocrine disruption activity of each active substance.</w:t>
            </w:r>
            <w:r w:rsidR="00B35D0D">
              <w:rPr>
                <w:rFonts w:cs="Arial"/>
              </w:rPr>
              <w:t xml:space="preserve"> </w:t>
            </w:r>
          </w:p>
          <w:p w14:paraId="4ADD483C" w14:textId="5A31B05A" w:rsidR="00B35D0D" w:rsidRPr="00340FD9" w:rsidRDefault="00B35D0D" w:rsidP="00114DB6">
            <w:pPr>
              <w:keepNext/>
              <w:autoSpaceDE w:val="0"/>
              <w:autoSpaceDN w:val="0"/>
              <w:spacing w:before="120"/>
              <w:rPr>
                <w:rFonts w:cs="Arial"/>
              </w:rPr>
            </w:pPr>
            <w:r w:rsidRPr="006C1F4C">
              <w:rPr>
                <w:rFonts w:cs="Arial"/>
              </w:rPr>
              <w:t xml:space="preserve">Nevertheless, a number of scientific publications </w:t>
            </w:r>
            <w:r w:rsidRPr="00D86F47">
              <w:rPr>
                <w:rFonts w:cs="Arial"/>
              </w:rPr>
              <w:t xml:space="preserve">mention potential </w:t>
            </w:r>
            <w:r w:rsidR="00340FD9" w:rsidRPr="00D86F47">
              <w:rPr>
                <w:rFonts w:cs="Arial"/>
              </w:rPr>
              <w:t xml:space="preserve">endocrine </w:t>
            </w:r>
            <w:r w:rsidR="00114DB6" w:rsidRPr="00D86F47">
              <w:rPr>
                <w:rFonts w:cs="Arial"/>
              </w:rPr>
              <w:t>disruption</w:t>
            </w:r>
            <w:r w:rsidR="00340FD9" w:rsidRPr="00D86F47">
              <w:rPr>
                <w:rFonts w:cs="Arial"/>
              </w:rPr>
              <w:t xml:space="preserve"> </w:t>
            </w:r>
            <w:r w:rsidR="00114DB6" w:rsidRPr="00D86F47">
              <w:rPr>
                <w:rFonts w:cs="Arial"/>
              </w:rPr>
              <w:t>activity</w:t>
            </w:r>
            <w:r w:rsidR="00340FD9" w:rsidRPr="00D86F47">
              <w:rPr>
                <w:rFonts w:cs="Arial"/>
              </w:rPr>
              <w:t xml:space="preserve"> of propiconazole and tebuconazole. These effects will</w:t>
            </w:r>
            <w:r w:rsidR="00340FD9" w:rsidRPr="006C1F4C">
              <w:rPr>
                <w:rFonts w:cs="Arial"/>
              </w:rPr>
              <w:t xml:space="preserve"> be assessed more in details at the renewal stage of these biocidal active substances approval in the frame of the EU Regulation No 528/2012 (scheduled in 2019), </w:t>
            </w:r>
            <w:r w:rsidR="00114DB6" w:rsidRPr="006C1F4C">
              <w:rPr>
                <w:rFonts w:cs="Arial"/>
              </w:rPr>
              <w:t xml:space="preserve">and </w:t>
            </w:r>
            <w:r w:rsidR="00340FD9" w:rsidRPr="006C1F4C">
              <w:rPr>
                <w:rFonts w:cs="Arial"/>
              </w:rPr>
              <w:t xml:space="preserve">according to the criteria mentioned in the future </w:t>
            </w:r>
            <w:r w:rsidR="00340FD9" w:rsidRPr="006C1F4C">
              <w:rPr>
                <w:i/>
                <w:iCs/>
              </w:rPr>
              <w:t>Guidance for the identification of endocrine disruptors in the context of Regulations (EU) No 528/2012 and (EC) No 1107/2009.</w:t>
            </w:r>
            <w:r w:rsidR="00340FD9" w:rsidRPr="006C1F4C">
              <w:rPr>
                <w:iCs/>
              </w:rPr>
              <w:t xml:space="preserve"> In case these active substances were identified as ED, the conditions for the product authorisation will have to be re</w:t>
            </w:r>
            <w:r w:rsidR="00114DB6" w:rsidRPr="006C1F4C">
              <w:rPr>
                <w:iCs/>
              </w:rPr>
              <w:t>vis</w:t>
            </w:r>
            <w:r w:rsidR="00340FD9" w:rsidRPr="006C1F4C">
              <w:rPr>
                <w:iCs/>
              </w:rPr>
              <w:t>ed.</w:t>
            </w:r>
          </w:p>
        </w:tc>
      </w:tr>
    </w:tbl>
    <w:p w14:paraId="0F2013AA" w14:textId="77777777" w:rsidR="00692E71" w:rsidRPr="00750AC3" w:rsidRDefault="00692E71" w:rsidP="00692E71">
      <w:pPr>
        <w:spacing w:after="360"/>
        <w:rPr>
          <w:rFonts w:ascii="Arial" w:hAnsi="Arial" w:cs="Arial"/>
        </w:rPr>
      </w:pPr>
    </w:p>
    <w:p w14:paraId="5C9F1AD3" w14:textId="77777777" w:rsidR="00692E71" w:rsidRPr="008551C7" w:rsidRDefault="00692E71" w:rsidP="008E0250">
      <w:pPr>
        <w:pStyle w:val="Titre4"/>
        <w:rPr>
          <w:lang w:val="en-US"/>
        </w:rPr>
      </w:pPr>
      <w:bookmarkStart w:id="119" w:name="_Toc536627320"/>
      <w:r w:rsidRPr="008551C7">
        <w:rPr>
          <w:lang w:val="en-US"/>
        </w:rPr>
        <w:t>Effects on environmental organisms for biocidal product</w:t>
      </w:r>
      <w:bookmarkEnd w:id="119"/>
    </w:p>
    <w:p w14:paraId="5ED50816" w14:textId="77777777" w:rsidR="00692E71" w:rsidRPr="005F7D65" w:rsidRDefault="00692E71" w:rsidP="00692E71">
      <w:pPr>
        <w:spacing w:before="2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769"/>
      </w:tblGrid>
      <w:tr w:rsidR="00692E71" w:rsidRPr="00275290" w14:paraId="4C220027" w14:textId="77777777" w:rsidTr="008E0250">
        <w:tc>
          <w:tcPr>
            <w:tcW w:w="5000" w:type="pct"/>
            <w:shd w:val="clear" w:color="auto" w:fill="D6E3BC"/>
          </w:tcPr>
          <w:p w14:paraId="2DA4225D" w14:textId="77777777" w:rsidR="00692E71" w:rsidRPr="00275290" w:rsidRDefault="00692E71" w:rsidP="008E0250">
            <w:pPr>
              <w:pStyle w:val="Lgende"/>
              <w:rPr>
                <w:rFonts w:ascii="Verdana" w:hAnsi="Verdana"/>
              </w:rPr>
            </w:pPr>
            <w:r w:rsidRPr="00275290">
              <w:rPr>
                <w:rFonts w:ascii="Verdana" w:hAnsi="Verdana"/>
              </w:rPr>
              <w:t xml:space="preserve">FR-CA box </w:t>
            </w:r>
            <w:r w:rsidRPr="00275290">
              <w:rPr>
                <w:rFonts w:ascii="Verdana" w:hAnsi="Verdana"/>
              </w:rPr>
              <w:fldChar w:fldCharType="begin"/>
            </w:r>
            <w:r w:rsidRPr="00275290">
              <w:rPr>
                <w:rFonts w:ascii="Verdana" w:hAnsi="Verdana"/>
              </w:rPr>
              <w:instrText xml:space="preserve"> SEQ FR-CA_box_ \* ARABIC </w:instrText>
            </w:r>
            <w:r w:rsidRPr="00275290">
              <w:rPr>
                <w:rFonts w:ascii="Verdana" w:hAnsi="Verdana"/>
              </w:rPr>
              <w:fldChar w:fldCharType="separate"/>
            </w:r>
            <w:r w:rsidR="00666966">
              <w:rPr>
                <w:rFonts w:ascii="Verdana" w:hAnsi="Verdana"/>
                <w:noProof/>
              </w:rPr>
              <w:t>5</w:t>
            </w:r>
            <w:r w:rsidRPr="00275290">
              <w:rPr>
                <w:rFonts w:ascii="Verdana" w:hAnsi="Verdana"/>
                <w:noProof/>
              </w:rPr>
              <w:fldChar w:fldCharType="end"/>
            </w:r>
          </w:p>
          <w:p w14:paraId="0CC7129E" w14:textId="77777777" w:rsidR="00692E71" w:rsidRPr="00275290" w:rsidRDefault="00692E71" w:rsidP="008E0250">
            <w:pPr>
              <w:autoSpaceDE w:val="0"/>
              <w:autoSpaceDN w:val="0"/>
              <w:rPr>
                <w:rFonts w:cs="Arial"/>
              </w:rPr>
            </w:pPr>
            <w:r w:rsidRPr="00275290">
              <w:rPr>
                <w:rFonts w:cs="Arial"/>
              </w:rPr>
              <w:t>No data on ecotoxicity of the product has been provided by the applicant.</w:t>
            </w:r>
          </w:p>
        </w:tc>
      </w:tr>
    </w:tbl>
    <w:p w14:paraId="4F6CC051" w14:textId="77777777" w:rsidR="00692E71" w:rsidRPr="00575E63" w:rsidRDefault="00692E71" w:rsidP="00692E71">
      <w:pPr>
        <w:spacing w:after="240"/>
      </w:pPr>
    </w:p>
    <w:p w14:paraId="1A1ACFB3" w14:textId="77777777" w:rsidR="00692E71" w:rsidRPr="008E0250" w:rsidRDefault="00692E71" w:rsidP="008E0250">
      <w:pPr>
        <w:pStyle w:val="Titre4"/>
      </w:pPr>
      <w:bookmarkStart w:id="120" w:name="_Toc536627321"/>
      <w:r w:rsidRPr="008E0250">
        <w:t>Environmental exposure assessment</w:t>
      </w:r>
      <w:bookmarkEnd w:id="120"/>
    </w:p>
    <w:p w14:paraId="119ECB90" w14:textId="77777777" w:rsidR="00692E71" w:rsidRPr="00275290" w:rsidRDefault="00692E71" w:rsidP="00692E71">
      <w:pPr>
        <w:pStyle w:val="Default"/>
        <w:spacing w:before="360"/>
        <w:jc w:val="both"/>
        <w:rPr>
          <w:rFonts w:ascii="Verdana" w:hAnsi="Verdana" w:cs="Arial"/>
          <w:color w:val="auto"/>
          <w:sz w:val="20"/>
          <w:szCs w:val="20"/>
        </w:rPr>
      </w:pPr>
      <w:bookmarkStart w:id="121" w:name="_Toc281929699"/>
      <w:r w:rsidRPr="00275290">
        <w:rPr>
          <w:rFonts w:ascii="Verdana" w:hAnsi="Verdana" w:cs="Arial"/>
          <w:color w:val="auto"/>
          <w:sz w:val="20"/>
          <w:szCs w:val="20"/>
        </w:rPr>
        <w:t>Calculations of emissions are performed only for preventive treatments by industrial dipping and for preventive treatments by professional and non-professional by brushing and spraying.</w:t>
      </w:r>
    </w:p>
    <w:p w14:paraId="13F41C5F"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color w:val="auto"/>
          <w:sz w:val="20"/>
          <w:szCs w:val="20"/>
        </w:rPr>
        <w:t>Indeed, as curative treatments are intended for the treatment of wood in risk class 2, no emission into the environment is foreseen during the application or during the service-life of the wood.</w:t>
      </w:r>
    </w:p>
    <w:p w14:paraId="16F11FD0" w14:textId="77777777" w:rsidR="00692E71" w:rsidRPr="00275290" w:rsidRDefault="00692E71" w:rsidP="00692E71">
      <w:pPr>
        <w:pStyle w:val="Default"/>
        <w:spacing w:before="240"/>
        <w:jc w:val="both"/>
        <w:rPr>
          <w:rFonts w:ascii="Verdana" w:hAnsi="Verdana" w:cs="Arial"/>
          <w:sz w:val="20"/>
          <w:szCs w:val="20"/>
        </w:rPr>
      </w:pPr>
      <w:r w:rsidRPr="00275290">
        <w:rPr>
          <w:rFonts w:ascii="Verdana" w:hAnsi="Verdana" w:cs="Arial"/>
          <w:sz w:val="20"/>
          <w:szCs w:val="20"/>
        </w:rPr>
        <w:lastRenderedPageBreak/>
        <w:t>The choice of emission scenarios and calculations follows the Revised Emission Scenario Document (ESD) for Wood Preservatives (ENV/JM/MONO (2013)21).</w:t>
      </w:r>
    </w:p>
    <w:p w14:paraId="3B5E23FD" w14:textId="77777777" w:rsidR="00692E71" w:rsidRPr="00275290" w:rsidRDefault="00692E71" w:rsidP="00692E71">
      <w:pPr>
        <w:pStyle w:val="Default"/>
        <w:spacing w:before="120"/>
        <w:jc w:val="both"/>
        <w:rPr>
          <w:rFonts w:ascii="Verdana" w:hAnsi="Verdana" w:cs="Arial"/>
          <w:sz w:val="20"/>
          <w:szCs w:val="20"/>
        </w:rPr>
      </w:pPr>
      <w:r w:rsidRPr="00275290">
        <w:rPr>
          <w:rFonts w:ascii="Verdana" w:hAnsi="Verdana" w:cs="Arial"/>
          <w:sz w:val="20"/>
          <w:szCs w:val="20"/>
        </w:rPr>
        <w:t xml:space="preserve">Based on the industrial application the following scenario has been considered: </w:t>
      </w:r>
    </w:p>
    <w:p w14:paraId="259767F2" w14:textId="77777777" w:rsidR="00692E71" w:rsidRPr="00275290" w:rsidRDefault="00692E71" w:rsidP="00692E71">
      <w:pPr>
        <w:pStyle w:val="Default"/>
        <w:spacing w:before="120"/>
        <w:ind w:left="709"/>
        <w:jc w:val="both"/>
        <w:rPr>
          <w:rFonts w:ascii="Verdana" w:hAnsi="Verdana" w:cs="Arial"/>
          <w:sz w:val="20"/>
          <w:szCs w:val="20"/>
        </w:rPr>
      </w:pPr>
      <w:r w:rsidRPr="00275290">
        <w:rPr>
          <w:rFonts w:ascii="Verdana" w:hAnsi="Verdana" w:cs="Arial"/>
          <w:sz w:val="20"/>
          <w:szCs w:val="20"/>
        </w:rPr>
        <w:t xml:space="preserve">- Emission scenario for industrial dipping process (ESD 4.1.2) </w:t>
      </w:r>
    </w:p>
    <w:p w14:paraId="3C7B69E2" w14:textId="77777777" w:rsidR="00692E71" w:rsidRPr="00275290" w:rsidRDefault="00692E71" w:rsidP="00692E71">
      <w:pPr>
        <w:pStyle w:val="Default"/>
        <w:spacing w:before="240"/>
        <w:jc w:val="both"/>
        <w:rPr>
          <w:rFonts w:ascii="Verdana" w:hAnsi="Verdana" w:cs="Arial"/>
          <w:sz w:val="20"/>
          <w:szCs w:val="20"/>
        </w:rPr>
      </w:pPr>
      <w:r w:rsidRPr="00275290">
        <w:rPr>
          <w:rFonts w:ascii="Verdana" w:hAnsi="Verdana" w:cs="Arial"/>
          <w:sz w:val="20"/>
          <w:szCs w:val="20"/>
        </w:rPr>
        <w:t xml:space="preserve">Based on the application techniques the following scenarios have been considered for the </w:t>
      </w:r>
      <w:r w:rsidRPr="00275290">
        <w:rPr>
          <w:rFonts w:ascii="Verdana" w:hAnsi="Verdana" w:cs="Arial"/>
          <w:i/>
          <w:iCs/>
          <w:sz w:val="20"/>
          <w:szCs w:val="20"/>
        </w:rPr>
        <w:t>in-situ</w:t>
      </w:r>
      <w:r w:rsidRPr="00275290">
        <w:rPr>
          <w:rFonts w:ascii="Verdana" w:hAnsi="Verdana" w:cs="Arial"/>
          <w:sz w:val="20"/>
          <w:szCs w:val="20"/>
        </w:rPr>
        <w:t xml:space="preserve"> application:</w:t>
      </w:r>
    </w:p>
    <w:p w14:paraId="6599DB11" w14:textId="77777777" w:rsidR="00692E71" w:rsidRPr="00275290" w:rsidRDefault="00692E71" w:rsidP="00692E71">
      <w:pPr>
        <w:pStyle w:val="Default"/>
        <w:spacing w:before="120" w:after="11"/>
        <w:ind w:left="709"/>
        <w:jc w:val="both"/>
        <w:rPr>
          <w:rFonts w:ascii="Verdana" w:hAnsi="Verdana" w:cs="Arial"/>
          <w:sz w:val="20"/>
          <w:szCs w:val="20"/>
        </w:rPr>
      </w:pPr>
      <w:r w:rsidRPr="00275290">
        <w:rPr>
          <w:rFonts w:ascii="Verdana" w:hAnsi="Verdana" w:cs="Arial"/>
          <w:sz w:val="20"/>
          <w:szCs w:val="20"/>
        </w:rPr>
        <w:t xml:space="preserve">- Brushing (House and Fence scenario according to ESD 4.2.4.1 and ESD 4.2.4.2 for the soil compartment and groundwater (pore water) and Bridge over pond for the surface water and sediment, ESD 4.2.4.3) </w:t>
      </w:r>
    </w:p>
    <w:p w14:paraId="5A75FE74" w14:textId="77777777" w:rsidR="00692E71" w:rsidRPr="00275290" w:rsidRDefault="00692E71" w:rsidP="00692E71">
      <w:pPr>
        <w:pStyle w:val="Default"/>
        <w:spacing w:before="120"/>
        <w:ind w:left="709"/>
        <w:jc w:val="both"/>
        <w:rPr>
          <w:rFonts w:ascii="Verdana" w:hAnsi="Verdana" w:cs="Arial"/>
          <w:sz w:val="20"/>
          <w:szCs w:val="20"/>
        </w:rPr>
      </w:pPr>
      <w:r w:rsidRPr="00275290">
        <w:rPr>
          <w:rFonts w:ascii="Verdana" w:hAnsi="Verdana" w:cs="Arial"/>
          <w:sz w:val="20"/>
          <w:szCs w:val="20"/>
        </w:rPr>
        <w:t xml:space="preserve">- Spraying (House scenario for outdoor spraying, ESD 4.4.5) </w:t>
      </w:r>
    </w:p>
    <w:p w14:paraId="7BAF9BD4" w14:textId="77777777" w:rsidR="00692E71" w:rsidRPr="00275290" w:rsidRDefault="00692E71" w:rsidP="00692E71">
      <w:pPr>
        <w:pStyle w:val="Default"/>
        <w:spacing w:before="240"/>
        <w:jc w:val="both"/>
        <w:rPr>
          <w:rFonts w:ascii="Verdana" w:hAnsi="Verdana" w:cs="Arial"/>
          <w:sz w:val="20"/>
          <w:szCs w:val="20"/>
        </w:rPr>
      </w:pPr>
      <w:r w:rsidRPr="00275290">
        <w:rPr>
          <w:rFonts w:ascii="Verdana" w:hAnsi="Verdana" w:cs="Arial"/>
          <w:sz w:val="20"/>
          <w:szCs w:val="20"/>
        </w:rPr>
        <w:t xml:space="preserve">Emissions from treated wood in service after treatment have been considered using the following scenarios: </w:t>
      </w:r>
    </w:p>
    <w:p w14:paraId="1AF9FF3E" w14:textId="77777777" w:rsidR="00692E71" w:rsidRPr="00275290" w:rsidRDefault="00692E71" w:rsidP="00692E71">
      <w:pPr>
        <w:pStyle w:val="Default"/>
        <w:spacing w:after="11"/>
        <w:ind w:left="708"/>
        <w:jc w:val="both"/>
        <w:rPr>
          <w:rFonts w:ascii="Verdana" w:hAnsi="Verdana" w:cs="Arial"/>
          <w:sz w:val="20"/>
          <w:szCs w:val="20"/>
        </w:rPr>
      </w:pPr>
      <w:r w:rsidRPr="00275290">
        <w:rPr>
          <w:rFonts w:ascii="Verdana" w:hAnsi="Verdana" w:cs="Arial"/>
          <w:sz w:val="20"/>
          <w:szCs w:val="20"/>
        </w:rPr>
        <w:t xml:space="preserve">- House – ESD 4.3.3.1 (groundwater according to FOCUS/PEARL) </w:t>
      </w:r>
    </w:p>
    <w:p w14:paraId="03C19E4E" w14:textId="77777777" w:rsidR="00692E71" w:rsidRPr="00275290" w:rsidRDefault="00692E71" w:rsidP="00692E71">
      <w:pPr>
        <w:pStyle w:val="Default"/>
        <w:spacing w:after="11"/>
        <w:ind w:left="708"/>
        <w:jc w:val="both"/>
        <w:rPr>
          <w:rFonts w:ascii="Verdana" w:hAnsi="Verdana" w:cs="Arial"/>
          <w:sz w:val="20"/>
          <w:szCs w:val="20"/>
          <w:lang w:val="fr-FR"/>
        </w:rPr>
      </w:pPr>
      <w:r w:rsidRPr="00275290">
        <w:rPr>
          <w:rFonts w:ascii="Verdana" w:hAnsi="Verdana" w:cs="Arial"/>
          <w:sz w:val="20"/>
          <w:szCs w:val="20"/>
          <w:lang w:val="fr-FR"/>
        </w:rPr>
        <w:t xml:space="preserve">- Fence – ESD 4.3.3.2 </w:t>
      </w:r>
    </w:p>
    <w:p w14:paraId="35E2D354" w14:textId="77777777" w:rsidR="00692E71" w:rsidRPr="00275290" w:rsidRDefault="00692E71" w:rsidP="00692E71">
      <w:pPr>
        <w:pStyle w:val="Default"/>
        <w:spacing w:after="11"/>
        <w:ind w:left="708"/>
        <w:jc w:val="both"/>
        <w:rPr>
          <w:rFonts w:ascii="Verdana" w:hAnsi="Verdana" w:cs="Arial"/>
          <w:sz w:val="20"/>
          <w:szCs w:val="20"/>
          <w:lang w:val="fr-FR"/>
        </w:rPr>
      </w:pPr>
      <w:r w:rsidRPr="00275290">
        <w:rPr>
          <w:rFonts w:ascii="Verdana" w:hAnsi="Verdana" w:cs="Arial"/>
          <w:sz w:val="20"/>
          <w:szCs w:val="20"/>
          <w:lang w:val="fr-FR"/>
        </w:rPr>
        <w:t xml:space="preserve">- Noise Barrier - ESD 4.3.3.3 </w:t>
      </w:r>
    </w:p>
    <w:p w14:paraId="59D211CF" w14:textId="77777777" w:rsidR="00692E71" w:rsidRPr="00275290" w:rsidRDefault="00692E71" w:rsidP="00692E71">
      <w:pPr>
        <w:pStyle w:val="Default"/>
        <w:ind w:left="708"/>
        <w:jc w:val="both"/>
        <w:rPr>
          <w:rFonts w:ascii="Verdana" w:hAnsi="Verdana" w:cs="Arial"/>
          <w:sz w:val="20"/>
          <w:szCs w:val="20"/>
        </w:rPr>
      </w:pPr>
      <w:r w:rsidRPr="00275290">
        <w:rPr>
          <w:rFonts w:ascii="Verdana" w:hAnsi="Verdana" w:cs="Arial"/>
          <w:sz w:val="20"/>
          <w:szCs w:val="20"/>
        </w:rPr>
        <w:t xml:space="preserve">- Bridge over Pond – ESD 4.3.3.4  </w:t>
      </w:r>
    </w:p>
    <w:p w14:paraId="6B02194C" w14:textId="77777777" w:rsidR="00692E71" w:rsidRPr="00275290" w:rsidRDefault="00692E71" w:rsidP="00692E71">
      <w:pPr>
        <w:pStyle w:val="Default"/>
        <w:spacing w:before="240" w:after="360"/>
        <w:jc w:val="both"/>
        <w:rPr>
          <w:rFonts w:ascii="Verdana" w:hAnsi="Verdana" w:cs="Arial"/>
          <w:sz w:val="20"/>
          <w:szCs w:val="20"/>
        </w:rPr>
      </w:pPr>
      <w:r w:rsidRPr="00275290">
        <w:rPr>
          <w:rFonts w:ascii="Verdana" w:hAnsi="Verdana" w:cs="Arial"/>
          <w:sz w:val="20"/>
          <w:szCs w:val="20"/>
        </w:rPr>
        <w:t>All calculations were performed using all decimals. However, in the tables in this report only two decimals are shown. This may result in minor deviations between the results in the tables and the calculated examples.</w:t>
      </w:r>
    </w:p>
    <w:p w14:paraId="4A91766A" w14:textId="77777777" w:rsidR="00692E71" w:rsidRPr="008E0250" w:rsidRDefault="00692E71" w:rsidP="008E0250">
      <w:pPr>
        <w:pStyle w:val="Titre5"/>
      </w:pPr>
      <w:r w:rsidRPr="008E0250">
        <w:t>Emission from industrial treatment</w:t>
      </w:r>
    </w:p>
    <w:p w14:paraId="49789973" w14:textId="77777777" w:rsidR="00692E71" w:rsidRPr="00275290" w:rsidRDefault="00692E71" w:rsidP="00692E71">
      <w:pPr>
        <w:pStyle w:val="Default"/>
        <w:spacing w:before="240" w:after="120"/>
        <w:jc w:val="both"/>
        <w:rPr>
          <w:rFonts w:ascii="Verdana" w:hAnsi="Verdana" w:cs="Arial"/>
          <w:sz w:val="20"/>
          <w:szCs w:val="20"/>
        </w:rPr>
      </w:pPr>
      <w:r w:rsidRPr="00275290">
        <w:rPr>
          <w:rFonts w:ascii="Verdana" w:hAnsi="Verdana" w:cs="Arial"/>
          <w:sz w:val="20"/>
          <w:szCs w:val="20"/>
        </w:rPr>
        <w:t>For the industrial dipping application emission during storage are considered. Although it is a solvent based product, emission to air is not considered as the active substances have a vapour pressure below 0.005 Pa (ESD 4.1.1.4).</w:t>
      </w:r>
    </w:p>
    <w:p w14:paraId="32A39B8F" w14:textId="77777777" w:rsidR="00692E71" w:rsidRPr="00275290" w:rsidRDefault="00692E71" w:rsidP="00692E71">
      <w:pPr>
        <w:pStyle w:val="Default"/>
        <w:spacing w:after="360"/>
        <w:jc w:val="both"/>
        <w:rPr>
          <w:rFonts w:ascii="Verdana" w:hAnsi="Verdana" w:cs="Arial"/>
          <w:sz w:val="20"/>
          <w:szCs w:val="20"/>
        </w:rPr>
      </w:pPr>
      <w:r w:rsidRPr="00275290">
        <w:rPr>
          <w:rFonts w:ascii="Verdana" w:hAnsi="Verdana" w:cs="Arial"/>
          <w:sz w:val="20"/>
          <w:szCs w:val="20"/>
        </w:rPr>
        <w:t>Emission to the facility drain is omitted according to ESD (p.46): “The release of wood preservatives from the treating installation or where the treated timber is stored into a surface water drain or drain connected to an STP is not permitted and so any installation where this occurs is in contravention of environmental protection legislation and the license to operate the treatment process”.</w:t>
      </w:r>
    </w:p>
    <w:p w14:paraId="49937B11" w14:textId="77777777" w:rsidR="00692E71" w:rsidRPr="00275290" w:rsidRDefault="00692E71" w:rsidP="00692E71">
      <w:pPr>
        <w:pStyle w:val="Lgende"/>
        <w:keepNext/>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4</w:t>
      </w:r>
      <w:r w:rsidRPr="00275290">
        <w:rPr>
          <w:rFonts w:ascii="Verdana" w:hAnsi="Verdana"/>
        </w:rPr>
        <w:fldChar w:fldCharType="end"/>
      </w:r>
      <w:r w:rsidRPr="00275290">
        <w:rPr>
          <w:rFonts w:ascii="Verdana" w:hAnsi="Verdana"/>
        </w:rPr>
        <w:t>: Emission during storage after industrial dipping</w:t>
      </w:r>
    </w:p>
    <w:tbl>
      <w:tblPr>
        <w:tblW w:w="0" w:type="auto"/>
        <w:tblInd w:w="108" w:type="dxa"/>
        <w:tblLayout w:type="fixed"/>
        <w:tblLook w:val="04A0" w:firstRow="1" w:lastRow="0" w:firstColumn="1" w:lastColumn="0" w:noHBand="0" w:noVBand="1"/>
      </w:tblPr>
      <w:tblGrid>
        <w:gridCol w:w="3085"/>
        <w:gridCol w:w="2237"/>
        <w:gridCol w:w="2475"/>
        <w:gridCol w:w="1162"/>
        <w:gridCol w:w="850"/>
      </w:tblGrid>
      <w:tr w:rsidR="00692E71" w:rsidRPr="00275290" w14:paraId="30B528D3" w14:textId="77777777" w:rsidTr="008E0250">
        <w:trPr>
          <w:trHeight w:val="340"/>
        </w:trPr>
        <w:tc>
          <w:tcPr>
            <w:tcW w:w="3085" w:type="dxa"/>
            <w:shd w:val="clear" w:color="auto" w:fill="D9D9D9" w:themeFill="background1" w:themeFillShade="D9"/>
            <w:vAlign w:val="center"/>
          </w:tcPr>
          <w:p w14:paraId="39E504E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Parameter/variable</w:t>
            </w:r>
          </w:p>
        </w:tc>
        <w:tc>
          <w:tcPr>
            <w:tcW w:w="2237" w:type="dxa"/>
            <w:shd w:val="clear" w:color="auto" w:fill="D9D9D9" w:themeFill="background1" w:themeFillShade="D9"/>
            <w:vAlign w:val="center"/>
          </w:tcPr>
          <w:p w14:paraId="21FA07E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Nomenclature</w:t>
            </w:r>
          </w:p>
        </w:tc>
        <w:tc>
          <w:tcPr>
            <w:tcW w:w="2475" w:type="dxa"/>
            <w:shd w:val="clear" w:color="auto" w:fill="D9D9D9" w:themeFill="background1" w:themeFillShade="D9"/>
            <w:vAlign w:val="center"/>
          </w:tcPr>
          <w:p w14:paraId="100F128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Value</w:t>
            </w:r>
          </w:p>
        </w:tc>
        <w:tc>
          <w:tcPr>
            <w:tcW w:w="1162" w:type="dxa"/>
            <w:shd w:val="clear" w:color="auto" w:fill="D9D9D9" w:themeFill="background1" w:themeFillShade="D9"/>
            <w:vAlign w:val="center"/>
          </w:tcPr>
          <w:p w14:paraId="2D46691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Unit</w:t>
            </w:r>
          </w:p>
        </w:tc>
        <w:tc>
          <w:tcPr>
            <w:tcW w:w="850" w:type="dxa"/>
            <w:shd w:val="clear" w:color="auto" w:fill="D9D9D9" w:themeFill="background1" w:themeFillShade="D9"/>
            <w:vAlign w:val="center"/>
          </w:tcPr>
          <w:p w14:paraId="013A32A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Origin</w:t>
            </w:r>
          </w:p>
        </w:tc>
      </w:tr>
      <w:tr w:rsidR="00692E71" w:rsidRPr="00275290" w14:paraId="670CF3C4" w14:textId="77777777" w:rsidTr="008E0250">
        <w:trPr>
          <w:trHeight w:val="340"/>
        </w:trPr>
        <w:tc>
          <w:tcPr>
            <w:tcW w:w="9809" w:type="dxa"/>
            <w:gridSpan w:val="5"/>
            <w:vAlign w:val="center"/>
          </w:tcPr>
          <w:p w14:paraId="30EBF46E"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INPUTS</w:t>
            </w:r>
          </w:p>
        </w:tc>
      </w:tr>
      <w:tr w:rsidR="00692E71" w:rsidRPr="00275290" w14:paraId="33382526" w14:textId="77777777" w:rsidTr="008E0250">
        <w:trPr>
          <w:trHeight w:val="964"/>
        </w:trPr>
        <w:tc>
          <w:tcPr>
            <w:tcW w:w="3085" w:type="dxa"/>
            <w:vAlign w:val="center"/>
          </w:tcPr>
          <w:p w14:paraId="76F0998D"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Effective surface area of treated wood, considered to be exposed to rain, per 1 m2 storage area (i.e. soil) </w:t>
            </w:r>
          </w:p>
        </w:tc>
        <w:tc>
          <w:tcPr>
            <w:tcW w:w="2237" w:type="dxa"/>
            <w:vAlign w:val="center"/>
          </w:tcPr>
          <w:p w14:paraId="073FBB99"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AREA</w:t>
            </w:r>
            <w:r w:rsidRPr="00275290">
              <w:rPr>
                <w:rFonts w:ascii="Verdana" w:hAnsi="Verdana" w:cs="Arial"/>
                <w:i/>
                <w:iCs/>
                <w:sz w:val="18"/>
                <w:szCs w:val="18"/>
                <w:vertAlign w:val="subscript"/>
              </w:rPr>
              <w:t>wood-expo</w:t>
            </w:r>
          </w:p>
        </w:tc>
        <w:tc>
          <w:tcPr>
            <w:tcW w:w="2475" w:type="dxa"/>
            <w:vAlign w:val="center"/>
          </w:tcPr>
          <w:p w14:paraId="330C9C5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11</w:t>
            </w:r>
          </w:p>
        </w:tc>
        <w:tc>
          <w:tcPr>
            <w:tcW w:w="1162" w:type="dxa"/>
            <w:vAlign w:val="center"/>
          </w:tcPr>
          <w:p w14:paraId="05D6CBE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w:t>
            </w:r>
            <w:r w:rsidRPr="00275290">
              <w:rPr>
                <w:rFonts w:ascii="Verdana" w:hAnsi="Verdana" w:cs="Arial"/>
                <w:sz w:val="18"/>
                <w:szCs w:val="18"/>
                <w:vertAlign w:val="superscript"/>
              </w:rPr>
              <w:t>2</w:t>
            </w:r>
            <w:r w:rsidRPr="00275290">
              <w:rPr>
                <w:rFonts w:ascii="Verdana" w:hAnsi="Verdana" w:cs="Arial"/>
                <w:sz w:val="18"/>
                <w:szCs w:val="18"/>
              </w:rPr>
              <w:t>/m</w:t>
            </w:r>
            <w:r w:rsidRPr="00275290">
              <w:rPr>
                <w:rFonts w:ascii="Verdana" w:hAnsi="Verdana" w:cs="Arial"/>
                <w:sz w:val="18"/>
                <w:szCs w:val="18"/>
                <w:vertAlign w:val="superscript"/>
              </w:rPr>
              <w:t>2</w:t>
            </w:r>
            <w:r w:rsidRPr="00275290">
              <w:rPr>
                <w:rFonts w:ascii="Verdana" w:hAnsi="Verdana" w:cs="Arial"/>
                <w:sz w:val="18"/>
                <w:szCs w:val="18"/>
              </w:rPr>
              <w:t>]</w:t>
            </w:r>
          </w:p>
        </w:tc>
        <w:tc>
          <w:tcPr>
            <w:tcW w:w="850" w:type="dxa"/>
            <w:vAlign w:val="center"/>
          </w:tcPr>
          <w:p w14:paraId="1C5991B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0AC412F1" w14:textId="77777777" w:rsidTr="008E0250">
        <w:trPr>
          <w:trHeight w:val="510"/>
        </w:trPr>
        <w:tc>
          <w:tcPr>
            <w:tcW w:w="3085" w:type="dxa"/>
            <w:vAlign w:val="center"/>
          </w:tcPr>
          <w:p w14:paraId="0BF5EC76"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Duration of the initial assessment period </w:t>
            </w:r>
          </w:p>
        </w:tc>
        <w:tc>
          <w:tcPr>
            <w:tcW w:w="2237" w:type="dxa"/>
            <w:vAlign w:val="center"/>
          </w:tcPr>
          <w:p w14:paraId="747D338B"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Time 1</w:t>
            </w:r>
          </w:p>
        </w:tc>
        <w:tc>
          <w:tcPr>
            <w:tcW w:w="2475" w:type="dxa"/>
            <w:vAlign w:val="center"/>
          </w:tcPr>
          <w:p w14:paraId="022F630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30</w:t>
            </w:r>
          </w:p>
        </w:tc>
        <w:tc>
          <w:tcPr>
            <w:tcW w:w="1162" w:type="dxa"/>
            <w:vAlign w:val="center"/>
          </w:tcPr>
          <w:p w14:paraId="6EF7671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c>
          <w:tcPr>
            <w:tcW w:w="850" w:type="dxa"/>
            <w:vAlign w:val="center"/>
          </w:tcPr>
          <w:p w14:paraId="243B1C9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5719D60A" w14:textId="77777777" w:rsidTr="008E0250">
        <w:trPr>
          <w:trHeight w:val="510"/>
        </w:trPr>
        <w:tc>
          <w:tcPr>
            <w:tcW w:w="3085" w:type="dxa"/>
            <w:vAlign w:val="center"/>
          </w:tcPr>
          <w:p w14:paraId="1F174B5E"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Duration of a longer assessment period </w:t>
            </w:r>
          </w:p>
        </w:tc>
        <w:tc>
          <w:tcPr>
            <w:tcW w:w="2237" w:type="dxa"/>
            <w:vAlign w:val="center"/>
          </w:tcPr>
          <w:p w14:paraId="5BB3283E"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Time 2</w:t>
            </w:r>
          </w:p>
        </w:tc>
        <w:tc>
          <w:tcPr>
            <w:tcW w:w="2475" w:type="dxa"/>
            <w:vAlign w:val="center"/>
          </w:tcPr>
          <w:p w14:paraId="031BBD3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5475</w:t>
            </w:r>
          </w:p>
        </w:tc>
        <w:tc>
          <w:tcPr>
            <w:tcW w:w="1162" w:type="dxa"/>
            <w:vAlign w:val="center"/>
          </w:tcPr>
          <w:p w14:paraId="5A37005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c>
          <w:tcPr>
            <w:tcW w:w="850" w:type="dxa"/>
            <w:vAlign w:val="center"/>
          </w:tcPr>
          <w:p w14:paraId="0B159C4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0A32BAB3" w14:textId="77777777" w:rsidTr="008E0250">
        <w:trPr>
          <w:trHeight w:val="1055"/>
        </w:trPr>
        <w:tc>
          <w:tcPr>
            <w:tcW w:w="3085" w:type="dxa"/>
            <w:vAlign w:val="center"/>
          </w:tcPr>
          <w:p w14:paraId="153533F3"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Average daily flux i.e. the average quantity of a substance that is daily leached out of 1 m² of treated wood during 14 day storage period </w:t>
            </w:r>
          </w:p>
        </w:tc>
        <w:tc>
          <w:tcPr>
            <w:tcW w:w="2237" w:type="dxa"/>
            <w:vAlign w:val="center"/>
          </w:tcPr>
          <w:p w14:paraId="35169D7C"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FLUX</w:t>
            </w:r>
            <w:r w:rsidRPr="00275290">
              <w:rPr>
                <w:rFonts w:ascii="Verdana" w:hAnsi="Verdana" w:cs="Arial"/>
                <w:i/>
                <w:iCs/>
                <w:sz w:val="18"/>
                <w:szCs w:val="18"/>
                <w:vertAlign w:val="subscript"/>
              </w:rPr>
              <w:t>storage,dipp</w:t>
            </w:r>
          </w:p>
        </w:tc>
        <w:tc>
          <w:tcPr>
            <w:tcW w:w="2475" w:type="dxa"/>
            <w:vAlign w:val="center"/>
          </w:tcPr>
          <w:p w14:paraId="3FA47E5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1.7*10</w:t>
            </w:r>
            <w:r w:rsidRPr="00275290">
              <w:rPr>
                <w:rFonts w:ascii="Verdana" w:hAnsi="Verdana" w:cs="Arial"/>
                <w:sz w:val="18"/>
                <w:szCs w:val="18"/>
                <w:vertAlign w:val="superscript"/>
              </w:rPr>
              <w:t>-7</w:t>
            </w:r>
            <w:r w:rsidRPr="00275290">
              <w:rPr>
                <w:rFonts w:ascii="Verdana" w:hAnsi="Verdana" w:cs="Arial"/>
                <w:sz w:val="18"/>
                <w:szCs w:val="18"/>
              </w:rPr>
              <w:t xml:space="preserve"> (IPBC)</w:t>
            </w:r>
          </w:p>
          <w:p w14:paraId="248F460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6.8*10</w:t>
            </w:r>
            <w:r w:rsidRPr="00275290">
              <w:rPr>
                <w:rFonts w:ascii="Verdana" w:hAnsi="Verdana" w:cs="Arial"/>
                <w:sz w:val="18"/>
                <w:szCs w:val="18"/>
                <w:vertAlign w:val="superscript"/>
              </w:rPr>
              <w:t>-7</w:t>
            </w:r>
            <w:r w:rsidRPr="00275290">
              <w:rPr>
                <w:rFonts w:ascii="Verdana" w:hAnsi="Verdana" w:cs="Arial"/>
                <w:sz w:val="18"/>
                <w:szCs w:val="18"/>
              </w:rPr>
              <w:t xml:space="preserve"> (propiconazole)</w:t>
            </w:r>
          </w:p>
          <w:p w14:paraId="277DD7B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3.0*10</w:t>
            </w:r>
            <w:r w:rsidRPr="00275290">
              <w:rPr>
                <w:rFonts w:ascii="Verdana" w:hAnsi="Verdana" w:cs="Arial"/>
                <w:sz w:val="18"/>
                <w:szCs w:val="18"/>
                <w:vertAlign w:val="superscript"/>
              </w:rPr>
              <w:t>-7</w:t>
            </w:r>
            <w:r w:rsidRPr="00275290">
              <w:rPr>
                <w:rFonts w:ascii="Verdana" w:hAnsi="Verdana" w:cs="Arial"/>
                <w:sz w:val="18"/>
                <w:szCs w:val="18"/>
              </w:rPr>
              <w:t xml:space="preserve"> (tebuconazole)</w:t>
            </w:r>
          </w:p>
          <w:p w14:paraId="21C8DC7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2.0*10</w:t>
            </w:r>
            <w:r w:rsidRPr="00275290">
              <w:rPr>
                <w:rFonts w:ascii="Verdana" w:hAnsi="Verdana" w:cs="Arial"/>
                <w:sz w:val="18"/>
                <w:szCs w:val="18"/>
                <w:vertAlign w:val="superscript"/>
              </w:rPr>
              <w:t>-9</w:t>
            </w:r>
            <w:r w:rsidRPr="00275290">
              <w:rPr>
                <w:rFonts w:ascii="Verdana" w:hAnsi="Verdana" w:cs="Arial"/>
                <w:sz w:val="18"/>
                <w:szCs w:val="18"/>
              </w:rPr>
              <w:t xml:space="preserve"> (cypermethrin)</w:t>
            </w:r>
          </w:p>
        </w:tc>
        <w:tc>
          <w:tcPr>
            <w:tcW w:w="1162" w:type="dxa"/>
            <w:vAlign w:val="center"/>
          </w:tcPr>
          <w:p w14:paraId="31BEDDC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[kg/m</w:t>
            </w:r>
            <w:r w:rsidRPr="00275290">
              <w:rPr>
                <w:rFonts w:ascii="Verdana" w:hAnsi="Verdana" w:cs="Arial"/>
                <w:sz w:val="18"/>
                <w:szCs w:val="18"/>
                <w:vertAlign w:val="superscript"/>
              </w:rPr>
              <w:t>2</w:t>
            </w:r>
            <w:r w:rsidRPr="00275290">
              <w:rPr>
                <w:rFonts w:ascii="Verdana" w:hAnsi="Verdana" w:cs="Arial"/>
                <w:sz w:val="18"/>
                <w:szCs w:val="18"/>
              </w:rPr>
              <w:t>.d]</w:t>
            </w:r>
          </w:p>
        </w:tc>
        <w:tc>
          <w:tcPr>
            <w:tcW w:w="850" w:type="dxa"/>
            <w:vAlign w:val="center"/>
          </w:tcPr>
          <w:p w14:paraId="024E201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74CBF018" w14:textId="77777777" w:rsidTr="008E0250">
        <w:trPr>
          <w:trHeight w:val="340"/>
        </w:trPr>
        <w:tc>
          <w:tcPr>
            <w:tcW w:w="3085" w:type="dxa"/>
            <w:vAlign w:val="center"/>
          </w:tcPr>
          <w:p w14:paraId="5731276A"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Bulk density of wet soil </w:t>
            </w:r>
          </w:p>
        </w:tc>
        <w:tc>
          <w:tcPr>
            <w:tcW w:w="2237" w:type="dxa"/>
            <w:vAlign w:val="center"/>
          </w:tcPr>
          <w:p w14:paraId="13C1FBCC"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RHO</w:t>
            </w:r>
            <w:r w:rsidRPr="00275290">
              <w:rPr>
                <w:rFonts w:ascii="Verdana" w:hAnsi="Verdana" w:cs="Arial"/>
                <w:i/>
                <w:iCs/>
                <w:sz w:val="18"/>
                <w:szCs w:val="18"/>
                <w:vertAlign w:val="subscript"/>
              </w:rPr>
              <w:t>soil</w:t>
            </w:r>
          </w:p>
        </w:tc>
        <w:tc>
          <w:tcPr>
            <w:tcW w:w="2475" w:type="dxa"/>
            <w:vAlign w:val="center"/>
          </w:tcPr>
          <w:p w14:paraId="13E573B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1700</w:t>
            </w:r>
          </w:p>
        </w:tc>
        <w:tc>
          <w:tcPr>
            <w:tcW w:w="1162" w:type="dxa"/>
            <w:vAlign w:val="center"/>
          </w:tcPr>
          <w:p w14:paraId="6493F1B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[kg.m</w:t>
            </w:r>
            <w:r w:rsidRPr="00275290">
              <w:rPr>
                <w:rFonts w:ascii="Verdana" w:hAnsi="Verdana" w:cs="Arial"/>
                <w:sz w:val="18"/>
                <w:szCs w:val="18"/>
                <w:vertAlign w:val="superscript"/>
              </w:rPr>
              <w:t>-2</w:t>
            </w:r>
            <w:r w:rsidRPr="00275290">
              <w:rPr>
                <w:rFonts w:ascii="Verdana" w:hAnsi="Verdana" w:cs="Arial"/>
                <w:sz w:val="18"/>
                <w:szCs w:val="18"/>
              </w:rPr>
              <w:t>]</w:t>
            </w:r>
          </w:p>
        </w:tc>
        <w:tc>
          <w:tcPr>
            <w:tcW w:w="850" w:type="dxa"/>
            <w:vAlign w:val="center"/>
          </w:tcPr>
          <w:p w14:paraId="1AACDDF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53A69395" w14:textId="77777777" w:rsidTr="008E0250">
        <w:trPr>
          <w:trHeight w:val="340"/>
        </w:trPr>
        <w:tc>
          <w:tcPr>
            <w:tcW w:w="3085" w:type="dxa"/>
            <w:vAlign w:val="center"/>
          </w:tcPr>
          <w:p w14:paraId="4EC6BEBB"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Soil depth </w:t>
            </w:r>
          </w:p>
        </w:tc>
        <w:tc>
          <w:tcPr>
            <w:tcW w:w="2237" w:type="dxa"/>
            <w:vAlign w:val="center"/>
          </w:tcPr>
          <w:p w14:paraId="398FE912"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DEPTH</w:t>
            </w:r>
            <w:r w:rsidRPr="00275290">
              <w:rPr>
                <w:rFonts w:ascii="Verdana" w:hAnsi="Verdana" w:cs="Arial"/>
                <w:i/>
                <w:iCs/>
                <w:sz w:val="18"/>
                <w:szCs w:val="18"/>
                <w:vertAlign w:val="subscript"/>
              </w:rPr>
              <w:t>soil</w:t>
            </w:r>
          </w:p>
        </w:tc>
        <w:tc>
          <w:tcPr>
            <w:tcW w:w="2475" w:type="dxa"/>
            <w:vAlign w:val="center"/>
          </w:tcPr>
          <w:p w14:paraId="60ED28E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0.5</w:t>
            </w:r>
          </w:p>
        </w:tc>
        <w:tc>
          <w:tcPr>
            <w:tcW w:w="1162" w:type="dxa"/>
            <w:vAlign w:val="center"/>
          </w:tcPr>
          <w:p w14:paraId="0547568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w:t>
            </w:r>
          </w:p>
        </w:tc>
        <w:tc>
          <w:tcPr>
            <w:tcW w:w="850" w:type="dxa"/>
            <w:vAlign w:val="center"/>
          </w:tcPr>
          <w:p w14:paraId="1CCF316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4429A730" w14:textId="77777777" w:rsidTr="008E0250">
        <w:trPr>
          <w:trHeight w:val="510"/>
        </w:trPr>
        <w:tc>
          <w:tcPr>
            <w:tcW w:w="3085" w:type="dxa"/>
            <w:vAlign w:val="center"/>
          </w:tcPr>
          <w:p w14:paraId="38789532"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Fraction of rainwater running off the storage site </w:t>
            </w:r>
          </w:p>
        </w:tc>
        <w:tc>
          <w:tcPr>
            <w:tcW w:w="2237" w:type="dxa"/>
            <w:vAlign w:val="center"/>
          </w:tcPr>
          <w:p w14:paraId="05005F62"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Frunoff</w:t>
            </w:r>
          </w:p>
        </w:tc>
        <w:tc>
          <w:tcPr>
            <w:tcW w:w="2475" w:type="dxa"/>
            <w:vAlign w:val="center"/>
          </w:tcPr>
          <w:p w14:paraId="7A57D94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0.5</w:t>
            </w:r>
          </w:p>
        </w:tc>
        <w:tc>
          <w:tcPr>
            <w:tcW w:w="1162" w:type="dxa"/>
            <w:vAlign w:val="center"/>
          </w:tcPr>
          <w:p w14:paraId="1736D50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w:t>
            </w:r>
          </w:p>
        </w:tc>
        <w:tc>
          <w:tcPr>
            <w:tcW w:w="850" w:type="dxa"/>
            <w:vAlign w:val="center"/>
          </w:tcPr>
          <w:p w14:paraId="2D983B5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58BFA411" w14:textId="77777777" w:rsidTr="008E0250">
        <w:trPr>
          <w:trHeight w:val="340"/>
        </w:trPr>
        <w:tc>
          <w:tcPr>
            <w:tcW w:w="3085" w:type="dxa"/>
            <w:vAlign w:val="center"/>
          </w:tcPr>
          <w:p w14:paraId="0CFFBED2"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lastRenderedPageBreak/>
              <w:t xml:space="preserve">Flow rate of a small creek </w:t>
            </w:r>
          </w:p>
        </w:tc>
        <w:tc>
          <w:tcPr>
            <w:tcW w:w="2237" w:type="dxa"/>
            <w:vAlign w:val="center"/>
          </w:tcPr>
          <w:p w14:paraId="4A4844B9"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FLOW</w:t>
            </w:r>
            <w:r w:rsidRPr="00275290">
              <w:rPr>
                <w:rFonts w:ascii="Verdana" w:hAnsi="Verdana" w:cs="Arial"/>
                <w:i/>
                <w:iCs/>
                <w:sz w:val="18"/>
                <w:szCs w:val="18"/>
                <w:vertAlign w:val="subscript"/>
              </w:rPr>
              <w:t>surfacewater</w:t>
            </w:r>
          </w:p>
        </w:tc>
        <w:tc>
          <w:tcPr>
            <w:tcW w:w="2475" w:type="dxa"/>
            <w:vAlign w:val="center"/>
          </w:tcPr>
          <w:p w14:paraId="51813D2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0.3</w:t>
            </w:r>
          </w:p>
        </w:tc>
        <w:tc>
          <w:tcPr>
            <w:tcW w:w="1162" w:type="dxa"/>
            <w:vAlign w:val="center"/>
          </w:tcPr>
          <w:p w14:paraId="6613FA1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w:t>
            </w:r>
            <w:r w:rsidRPr="00275290">
              <w:rPr>
                <w:rFonts w:ascii="Verdana" w:hAnsi="Verdana" w:cs="Arial"/>
                <w:sz w:val="18"/>
                <w:szCs w:val="18"/>
                <w:vertAlign w:val="superscript"/>
              </w:rPr>
              <w:t>3</w:t>
            </w:r>
            <w:r w:rsidRPr="00275290">
              <w:rPr>
                <w:rFonts w:ascii="Verdana" w:hAnsi="Verdana" w:cs="Arial"/>
                <w:sz w:val="18"/>
                <w:szCs w:val="18"/>
              </w:rPr>
              <w:t>/s]</w:t>
            </w:r>
          </w:p>
        </w:tc>
        <w:tc>
          <w:tcPr>
            <w:tcW w:w="850" w:type="dxa"/>
            <w:vAlign w:val="center"/>
          </w:tcPr>
          <w:p w14:paraId="276E97B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43A50B77" w14:textId="77777777" w:rsidTr="008E0250">
        <w:trPr>
          <w:trHeight w:val="340"/>
        </w:trPr>
        <w:tc>
          <w:tcPr>
            <w:tcW w:w="9809" w:type="dxa"/>
            <w:gridSpan w:val="5"/>
            <w:vAlign w:val="center"/>
          </w:tcPr>
          <w:p w14:paraId="4B0616C9"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OUTPUTS </w:t>
            </w:r>
          </w:p>
        </w:tc>
      </w:tr>
      <w:tr w:rsidR="00692E71" w:rsidRPr="00275290" w14:paraId="17184E35" w14:textId="77777777" w:rsidTr="008E0250">
        <w:trPr>
          <w:trHeight w:val="340"/>
        </w:trPr>
        <w:tc>
          <w:tcPr>
            <w:tcW w:w="3085" w:type="dxa"/>
            <w:vAlign w:val="center"/>
          </w:tcPr>
          <w:p w14:paraId="2DB5A408"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Volume of (wet) soil </w:t>
            </w:r>
          </w:p>
        </w:tc>
        <w:tc>
          <w:tcPr>
            <w:tcW w:w="2237" w:type="dxa"/>
            <w:vAlign w:val="center"/>
          </w:tcPr>
          <w:p w14:paraId="2C628B8B"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Vsoil</w:t>
            </w:r>
          </w:p>
        </w:tc>
        <w:tc>
          <w:tcPr>
            <w:tcW w:w="2475" w:type="dxa"/>
            <w:vAlign w:val="center"/>
          </w:tcPr>
          <w:p w14:paraId="5B9015A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350</w:t>
            </w:r>
          </w:p>
        </w:tc>
        <w:tc>
          <w:tcPr>
            <w:tcW w:w="1162" w:type="dxa"/>
            <w:vAlign w:val="center"/>
          </w:tcPr>
          <w:p w14:paraId="419BB6C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w:t>
            </w:r>
            <w:r w:rsidRPr="00275290">
              <w:rPr>
                <w:rFonts w:ascii="Verdana" w:hAnsi="Verdana" w:cs="Arial"/>
                <w:sz w:val="18"/>
                <w:szCs w:val="18"/>
                <w:vertAlign w:val="superscript"/>
              </w:rPr>
              <w:t>3</w:t>
            </w:r>
            <w:r w:rsidRPr="00275290">
              <w:rPr>
                <w:rFonts w:ascii="Verdana" w:hAnsi="Verdana" w:cs="Arial"/>
                <w:sz w:val="18"/>
                <w:szCs w:val="18"/>
              </w:rPr>
              <w:t>]</w:t>
            </w:r>
          </w:p>
        </w:tc>
        <w:tc>
          <w:tcPr>
            <w:tcW w:w="850" w:type="dxa"/>
            <w:vAlign w:val="center"/>
          </w:tcPr>
          <w:p w14:paraId="0DBFEDF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113BA9B9" w14:textId="77777777" w:rsidTr="008E0250">
        <w:trPr>
          <w:trHeight w:val="1077"/>
        </w:trPr>
        <w:tc>
          <w:tcPr>
            <w:tcW w:w="3085" w:type="dxa"/>
            <w:vAlign w:val="center"/>
          </w:tcPr>
          <w:p w14:paraId="1A7D134F"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Cumulative quantity of a substance, leached due to rainfall from stored treated wood, over the initial assessment period </w:t>
            </w:r>
          </w:p>
        </w:tc>
        <w:tc>
          <w:tcPr>
            <w:tcW w:w="2237" w:type="dxa"/>
            <w:vAlign w:val="center"/>
          </w:tcPr>
          <w:p w14:paraId="4B5A7F30"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Q</w:t>
            </w:r>
            <w:r w:rsidRPr="00275290">
              <w:rPr>
                <w:rFonts w:ascii="Verdana" w:hAnsi="Verdana" w:cs="Arial"/>
                <w:i/>
                <w:iCs/>
                <w:sz w:val="18"/>
                <w:szCs w:val="18"/>
                <w:vertAlign w:val="subscript"/>
              </w:rPr>
              <w:t>leachstorage,time1</w:t>
            </w:r>
          </w:p>
        </w:tc>
        <w:tc>
          <w:tcPr>
            <w:tcW w:w="2475" w:type="dxa"/>
            <w:vAlign w:val="center"/>
          </w:tcPr>
          <w:p w14:paraId="69CE24D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3.7*10</w:t>
            </w:r>
            <w:r w:rsidRPr="00275290">
              <w:rPr>
                <w:rFonts w:ascii="Verdana" w:hAnsi="Verdana" w:cs="Arial"/>
                <w:sz w:val="18"/>
                <w:szCs w:val="18"/>
                <w:vertAlign w:val="superscript"/>
              </w:rPr>
              <w:t>-2</w:t>
            </w:r>
            <w:r w:rsidRPr="00275290">
              <w:rPr>
                <w:rFonts w:ascii="Verdana" w:hAnsi="Verdana" w:cs="Arial"/>
                <w:sz w:val="18"/>
                <w:szCs w:val="18"/>
              </w:rPr>
              <w:t xml:space="preserve"> (IPBC)</w:t>
            </w:r>
          </w:p>
          <w:p w14:paraId="2467FBC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0.16 (propiconazole)</w:t>
            </w:r>
          </w:p>
          <w:p w14:paraId="44322F6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6.9*10</w:t>
            </w:r>
            <w:r w:rsidRPr="00275290">
              <w:rPr>
                <w:rFonts w:ascii="Verdana" w:hAnsi="Verdana" w:cs="Arial"/>
                <w:sz w:val="18"/>
                <w:szCs w:val="18"/>
                <w:vertAlign w:val="superscript"/>
              </w:rPr>
              <w:t>-2</w:t>
            </w:r>
            <w:r w:rsidRPr="00275290">
              <w:rPr>
                <w:rFonts w:ascii="Verdana" w:hAnsi="Verdana" w:cs="Arial"/>
                <w:sz w:val="18"/>
                <w:szCs w:val="18"/>
              </w:rPr>
              <w:t xml:space="preserve"> (tebuconazole)</w:t>
            </w:r>
          </w:p>
          <w:p w14:paraId="5451217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4.4*10</w:t>
            </w:r>
            <w:r w:rsidRPr="00275290">
              <w:rPr>
                <w:rFonts w:ascii="Verdana" w:hAnsi="Verdana" w:cs="Arial"/>
                <w:sz w:val="18"/>
                <w:szCs w:val="18"/>
                <w:vertAlign w:val="superscript"/>
              </w:rPr>
              <w:t>-4</w:t>
            </w:r>
            <w:r w:rsidRPr="00275290">
              <w:rPr>
                <w:rFonts w:ascii="Verdana" w:hAnsi="Verdana" w:cs="Arial"/>
                <w:sz w:val="18"/>
                <w:szCs w:val="18"/>
              </w:rPr>
              <w:t xml:space="preserve">  (cypermethrin)</w:t>
            </w:r>
          </w:p>
        </w:tc>
        <w:tc>
          <w:tcPr>
            <w:tcW w:w="1162" w:type="dxa"/>
            <w:vAlign w:val="center"/>
          </w:tcPr>
          <w:p w14:paraId="477CA72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w:t>
            </w:r>
          </w:p>
        </w:tc>
        <w:tc>
          <w:tcPr>
            <w:tcW w:w="850" w:type="dxa"/>
            <w:vAlign w:val="center"/>
          </w:tcPr>
          <w:p w14:paraId="1426028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6EC8C71D" w14:textId="77777777" w:rsidTr="008E0250">
        <w:trPr>
          <w:trHeight w:val="1020"/>
        </w:trPr>
        <w:tc>
          <w:tcPr>
            <w:tcW w:w="3085" w:type="dxa"/>
            <w:vAlign w:val="center"/>
          </w:tcPr>
          <w:p w14:paraId="38EAC5EB"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Cumulative quantity of a substance, leached due to rainfall from stored treated wood, over a longer assessment period </w:t>
            </w:r>
          </w:p>
        </w:tc>
        <w:tc>
          <w:tcPr>
            <w:tcW w:w="2237" w:type="dxa"/>
            <w:vAlign w:val="center"/>
          </w:tcPr>
          <w:p w14:paraId="21B7AC8D"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Q</w:t>
            </w:r>
            <w:r w:rsidRPr="00275290">
              <w:rPr>
                <w:rFonts w:ascii="Verdana" w:hAnsi="Verdana" w:cs="Arial"/>
                <w:i/>
                <w:iCs/>
                <w:sz w:val="18"/>
                <w:szCs w:val="18"/>
                <w:vertAlign w:val="subscript"/>
              </w:rPr>
              <w:t>leachstorage,time2</w:t>
            </w:r>
          </w:p>
        </w:tc>
        <w:tc>
          <w:tcPr>
            <w:tcW w:w="2475" w:type="dxa"/>
            <w:vAlign w:val="center"/>
          </w:tcPr>
          <w:p w14:paraId="1E63717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7.0 (IPBC)</w:t>
            </w:r>
          </w:p>
          <w:p w14:paraId="6803DC2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29 (propiconazole)</w:t>
            </w:r>
          </w:p>
          <w:p w14:paraId="7722D2A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13 (tebuconazole)</w:t>
            </w:r>
          </w:p>
          <w:p w14:paraId="0DF78FB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8*10</w:t>
            </w:r>
            <w:r w:rsidRPr="00275290">
              <w:rPr>
                <w:rFonts w:ascii="Verdana" w:hAnsi="Verdana" w:cs="Arial"/>
                <w:sz w:val="18"/>
                <w:szCs w:val="18"/>
                <w:vertAlign w:val="superscript"/>
              </w:rPr>
              <w:t>-2</w:t>
            </w:r>
            <w:r w:rsidRPr="00275290">
              <w:rPr>
                <w:rFonts w:ascii="Verdana" w:hAnsi="Verdana" w:cs="Arial"/>
                <w:sz w:val="18"/>
                <w:szCs w:val="18"/>
              </w:rPr>
              <w:t xml:space="preserve">  (cypermethrin)</w:t>
            </w:r>
          </w:p>
        </w:tc>
        <w:tc>
          <w:tcPr>
            <w:tcW w:w="1162" w:type="dxa"/>
            <w:vAlign w:val="center"/>
          </w:tcPr>
          <w:p w14:paraId="6D50DA2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w:t>
            </w:r>
          </w:p>
        </w:tc>
        <w:tc>
          <w:tcPr>
            <w:tcW w:w="850" w:type="dxa"/>
            <w:vAlign w:val="center"/>
          </w:tcPr>
          <w:p w14:paraId="51CE34B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29D8831F" w14:textId="77777777" w:rsidTr="008E0250">
        <w:trPr>
          <w:trHeight w:val="1077"/>
        </w:trPr>
        <w:tc>
          <w:tcPr>
            <w:tcW w:w="3085" w:type="dxa"/>
            <w:vAlign w:val="center"/>
          </w:tcPr>
          <w:p w14:paraId="278B88B1"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concentration in soil at storage place at the end of the initial assessment period </w:t>
            </w:r>
          </w:p>
        </w:tc>
        <w:tc>
          <w:tcPr>
            <w:tcW w:w="2237" w:type="dxa"/>
            <w:vAlign w:val="center"/>
          </w:tcPr>
          <w:p w14:paraId="2F07AA2B"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Clocal</w:t>
            </w:r>
            <w:r w:rsidRPr="00275290">
              <w:rPr>
                <w:rFonts w:ascii="Verdana" w:hAnsi="Verdana" w:cs="Arial"/>
                <w:i/>
                <w:iCs/>
                <w:sz w:val="18"/>
                <w:szCs w:val="18"/>
                <w:vertAlign w:val="subscript"/>
              </w:rPr>
              <w:t>soil,time1</w:t>
            </w:r>
          </w:p>
        </w:tc>
        <w:tc>
          <w:tcPr>
            <w:tcW w:w="2475" w:type="dxa"/>
            <w:vAlign w:val="center"/>
          </w:tcPr>
          <w:p w14:paraId="5418127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0.03 (IPBC)</w:t>
            </w:r>
          </w:p>
          <w:p w14:paraId="3A89D0E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0.13 (propiconazole)</w:t>
            </w:r>
          </w:p>
          <w:p w14:paraId="541EF33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0.06 (tebuconazole)</w:t>
            </w:r>
          </w:p>
          <w:p w14:paraId="4264AC7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3.7*10</w:t>
            </w:r>
            <w:r w:rsidRPr="00275290">
              <w:rPr>
                <w:rFonts w:ascii="Verdana" w:hAnsi="Verdana" w:cs="Arial"/>
                <w:sz w:val="18"/>
                <w:szCs w:val="18"/>
                <w:vertAlign w:val="superscript"/>
              </w:rPr>
              <w:t>-4</w:t>
            </w:r>
            <w:r w:rsidRPr="00275290">
              <w:rPr>
                <w:rFonts w:ascii="Verdana" w:hAnsi="Verdana" w:cs="Arial"/>
                <w:sz w:val="18"/>
                <w:szCs w:val="18"/>
              </w:rPr>
              <w:t xml:space="preserve">  (cypermethrin)</w:t>
            </w:r>
          </w:p>
        </w:tc>
        <w:tc>
          <w:tcPr>
            <w:tcW w:w="1162" w:type="dxa"/>
            <w:vAlign w:val="center"/>
          </w:tcPr>
          <w:p w14:paraId="2B3A23C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[mg/kg</w:t>
            </w:r>
            <w:r w:rsidRPr="00275290">
              <w:rPr>
                <w:rFonts w:ascii="Verdana" w:hAnsi="Verdana" w:cs="Arial"/>
                <w:sz w:val="18"/>
                <w:szCs w:val="18"/>
                <w:vertAlign w:val="subscript"/>
              </w:rPr>
              <w:t>wwt</w:t>
            </w:r>
            <w:r w:rsidRPr="00275290">
              <w:rPr>
                <w:rFonts w:ascii="Verdana" w:hAnsi="Verdana" w:cs="Arial"/>
                <w:sz w:val="18"/>
                <w:szCs w:val="18"/>
              </w:rPr>
              <w:t>]</w:t>
            </w:r>
          </w:p>
        </w:tc>
        <w:tc>
          <w:tcPr>
            <w:tcW w:w="850" w:type="dxa"/>
            <w:vAlign w:val="center"/>
          </w:tcPr>
          <w:p w14:paraId="707A95F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32307413" w14:textId="77777777" w:rsidTr="008E0250">
        <w:trPr>
          <w:trHeight w:val="1020"/>
        </w:trPr>
        <w:tc>
          <w:tcPr>
            <w:tcW w:w="3085" w:type="dxa"/>
            <w:vAlign w:val="center"/>
          </w:tcPr>
          <w:p w14:paraId="722AF3EE"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concentration in soil at storage place at the end of a longer assessment period </w:t>
            </w:r>
          </w:p>
        </w:tc>
        <w:tc>
          <w:tcPr>
            <w:tcW w:w="2237" w:type="dxa"/>
            <w:vAlign w:val="center"/>
          </w:tcPr>
          <w:p w14:paraId="74DCF016"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Clocal</w:t>
            </w:r>
            <w:r w:rsidRPr="00275290">
              <w:rPr>
                <w:rFonts w:ascii="Verdana" w:hAnsi="Verdana" w:cs="Arial"/>
                <w:i/>
                <w:iCs/>
                <w:sz w:val="18"/>
                <w:szCs w:val="18"/>
                <w:vertAlign w:val="subscript"/>
              </w:rPr>
              <w:t>soil,time2</w:t>
            </w:r>
          </w:p>
        </w:tc>
        <w:tc>
          <w:tcPr>
            <w:tcW w:w="2475" w:type="dxa"/>
            <w:vAlign w:val="center"/>
          </w:tcPr>
          <w:p w14:paraId="5AF37B4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5.95 (IPBC)</w:t>
            </w:r>
          </w:p>
          <w:p w14:paraId="49CDDD7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24.13 (propiconazole)</w:t>
            </w:r>
          </w:p>
          <w:p w14:paraId="79B5E35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10.58 (tebuconazole)</w:t>
            </w:r>
          </w:p>
          <w:p w14:paraId="51DE600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0.07 (cypermethrin)</w:t>
            </w:r>
          </w:p>
        </w:tc>
        <w:tc>
          <w:tcPr>
            <w:tcW w:w="1162" w:type="dxa"/>
            <w:vAlign w:val="center"/>
          </w:tcPr>
          <w:p w14:paraId="5B17095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[mg/kg</w:t>
            </w:r>
            <w:r w:rsidRPr="00275290">
              <w:rPr>
                <w:rFonts w:ascii="Verdana" w:hAnsi="Verdana" w:cs="Arial"/>
                <w:sz w:val="18"/>
                <w:szCs w:val="18"/>
                <w:vertAlign w:val="subscript"/>
              </w:rPr>
              <w:t>wwt</w:t>
            </w:r>
            <w:r w:rsidRPr="00275290">
              <w:rPr>
                <w:rFonts w:ascii="Verdana" w:hAnsi="Verdana" w:cs="Arial"/>
                <w:sz w:val="18"/>
                <w:szCs w:val="18"/>
              </w:rPr>
              <w:t>]</w:t>
            </w:r>
          </w:p>
        </w:tc>
        <w:tc>
          <w:tcPr>
            <w:tcW w:w="850" w:type="dxa"/>
            <w:vAlign w:val="center"/>
          </w:tcPr>
          <w:p w14:paraId="1DCF3BA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3E9EF686" w14:textId="77777777" w:rsidTr="008E0250">
        <w:trPr>
          <w:trHeight w:val="1247"/>
        </w:trPr>
        <w:tc>
          <w:tcPr>
            <w:tcW w:w="3085" w:type="dxa"/>
            <w:vAlign w:val="center"/>
          </w:tcPr>
          <w:p w14:paraId="07E1C0CB"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emission rate in surface water resulting from leaching from stored treated wood due to rain run-off, over the initial assessment period </w:t>
            </w:r>
          </w:p>
        </w:tc>
        <w:tc>
          <w:tcPr>
            <w:tcW w:w="2237" w:type="dxa"/>
            <w:vAlign w:val="center"/>
          </w:tcPr>
          <w:p w14:paraId="7AADCE96"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Elocal</w:t>
            </w:r>
            <w:r w:rsidRPr="00275290">
              <w:rPr>
                <w:rFonts w:ascii="Verdana" w:hAnsi="Verdana" w:cs="Arial"/>
                <w:i/>
                <w:iCs/>
                <w:sz w:val="18"/>
                <w:szCs w:val="18"/>
                <w:vertAlign w:val="subscript"/>
              </w:rPr>
              <w:t>surfacewater,time1</w:t>
            </w:r>
          </w:p>
        </w:tc>
        <w:tc>
          <w:tcPr>
            <w:tcW w:w="2475" w:type="dxa"/>
            <w:vAlign w:val="center"/>
          </w:tcPr>
          <w:p w14:paraId="78DB3C1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6.5*10</w:t>
            </w:r>
            <w:r w:rsidRPr="00275290">
              <w:rPr>
                <w:rFonts w:ascii="Verdana" w:hAnsi="Verdana" w:cs="Arial"/>
                <w:sz w:val="18"/>
                <w:szCs w:val="18"/>
                <w:vertAlign w:val="superscript"/>
              </w:rPr>
              <w:t>-4</w:t>
            </w:r>
            <w:r w:rsidRPr="00275290">
              <w:rPr>
                <w:rFonts w:ascii="Verdana" w:hAnsi="Verdana" w:cs="Arial"/>
                <w:sz w:val="18"/>
                <w:szCs w:val="18"/>
              </w:rPr>
              <w:t xml:space="preserve"> (IPBC)</w:t>
            </w:r>
          </w:p>
          <w:p w14:paraId="0D9D11E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2.6*10</w:t>
            </w:r>
            <w:r w:rsidRPr="00275290">
              <w:rPr>
                <w:rFonts w:ascii="Verdana" w:hAnsi="Verdana" w:cs="Arial"/>
                <w:sz w:val="18"/>
                <w:szCs w:val="18"/>
                <w:vertAlign w:val="superscript"/>
              </w:rPr>
              <w:t>-3</w:t>
            </w:r>
            <w:r w:rsidRPr="00275290">
              <w:rPr>
                <w:rFonts w:ascii="Verdana" w:hAnsi="Verdana" w:cs="Arial"/>
                <w:sz w:val="18"/>
                <w:szCs w:val="18"/>
              </w:rPr>
              <w:t xml:space="preserve"> (propiconazole)</w:t>
            </w:r>
          </w:p>
          <w:p w14:paraId="5DC492C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1.2*10</w:t>
            </w:r>
            <w:r w:rsidRPr="00275290">
              <w:rPr>
                <w:rFonts w:ascii="Verdana" w:hAnsi="Verdana" w:cs="Arial"/>
                <w:sz w:val="18"/>
                <w:szCs w:val="18"/>
                <w:vertAlign w:val="superscript"/>
              </w:rPr>
              <w:t>-3</w:t>
            </w:r>
            <w:r w:rsidRPr="00275290">
              <w:rPr>
                <w:rFonts w:ascii="Verdana" w:hAnsi="Verdana" w:cs="Arial"/>
                <w:sz w:val="18"/>
                <w:szCs w:val="18"/>
              </w:rPr>
              <w:t xml:space="preserve"> (tebuconazole)</w:t>
            </w:r>
          </w:p>
          <w:p w14:paraId="593F972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7.3*10</w:t>
            </w:r>
            <w:r w:rsidRPr="00275290">
              <w:rPr>
                <w:rFonts w:ascii="Verdana" w:hAnsi="Verdana" w:cs="Arial"/>
                <w:sz w:val="18"/>
                <w:szCs w:val="18"/>
                <w:vertAlign w:val="superscript"/>
              </w:rPr>
              <w:t>-6</w:t>
            </w:r>
            <w:r w:rsidRPr="00275290">
              <w:rPr>
                <w:rFonts w:ascii="Verdana" w:hAnsi="Verdana" w:cs="Arial"/>
                <w:sz w:val="18"/>
                <w:szCs w:val="18"/>
              </w:rPr>
              <w:t xml:space="preserve"> (cypermethrin)</w:t>
            </w:r>
          </w:p>
        </w:tc>
        <w:tc>
          <w:tcPr>
            <w:tcW w:w="1162" w:type="dxa"/>
            <w:vAlign w:val="center"/>
          </w:tcPr>
          <w:p w14:paraId="7797DD6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[kg/d]</w:t>
            </w:r>
          </w:p>
        </w:tc>
        <w:tc>
          <w:tcPr>
            <w:tcW w:w="850" w:type="dxa"/>
            <w:vAlign w:val="center"/>
          </w:tcPr>
          <w:p w14:paraId="1816D2B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2473B555" w14:textId="77777777" w:rsidTr="008E0250">
        <w:trPr>
          <w:trHeight w:val="1247"/>
        </w:trPr>
        <w:tc>
          <w:tcPr>
            <w:tcW w:w="3085" w:type="dxa"/>
            <w:vAlign w:val="center"/>
          </w:tcPr>
          <w:p w14:paraId="73643B0F"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emission rate in surface water resulting from leaching from stored treated wood due to rain run-off, over a longer assessment period </w:t>
            </w:r>
          </w:p>
        </w:tc>
        <w:tc>
          <w:tcPr>
            <w:tcW w:w="2237" w:type="dxa"/>
            <w:vAlign w:val="center"/>
          </w:tcPr>
          <w:p w14:paraId="673A9A1E"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Elocal</w:t>
            </w:r>
            <w:r w:rsidRPr="00275290">
              <w:rPr>
                <w:rFonts w:ascii="Verdana" w:hAnsi="Verdana" w:cs="Arial"/>
                <w:i/>
                <w:iCs/>
                <w:sz w:val="18"/>
                <w:szCs w:val="18"/>
                <w:vertAlign w:val="subscript"/>
              </w:rPr>
              <w:t>surfacewater,Time2</w:t>
            </w:r>
          </w:p>
        </w:tc>
        <w:tc>
          <w:tcPr>
            <w:tcW w:w="2475" w:type="dxa"/>
            <w:vAlign w:val="center"/>
          </w:tcPr>
          <w:p w14:paraId="4E3771D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6.5*10</w:t>
            </w:r>
            <w:r w:rsidRPr="00275290">
              <w:rPr>
                <w:rFonts w:ascii="Verdana" w:hAnsi="Verdana" w:cs="Arial"/>
                <w:sz w:val="18"/>
                <w:szCs w:val="18"/>
                <w:vertAlign w:val="superscript"/>
              </w:rPr>
              <w:t>-4</w:t>
            </w:r>
            <w:r w:rsidRPr="00275290">
              <w:rPr>
                <w:rFonts w:ascii="Verdana" w:hAnsi="Verdana" w:cs="Arial"/>
                <w:sz w:val="18"/>
                <w:szCs w:val="18"/>
              </w:rPr>
              <w:t xml:space="preserve"> (IPBC)</w:t>
            </w:r>
          </w:p>
          <w:p w14:paraId="401782D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2.6*10</w:t>
            </w:r>
            <w:r w:rsidRPr="00275290">
              <w:rPr>
                <w:rFonts w:ascii="Verdana" w:hAnsi="Verdana" w:cs="Arial"/>
                <w:sz w:val="18"/>
                <w:szCs w:val="18"/>
                <w:vertAlign w:val="superscript"/>
              </w:rPr>
              <w:t>-3</w:t>
            </w:r>
            <w:r w:rsidRPr="00275290">
              <w:rPr>
                <w:rFonts w:ascii="Verdana" w:hAnsi="Verdana" w:cs="Arial"/>
                <w:sz w:val="18"/>
                <w:szCs w:val="18"/>
              </w:rPr>
              <w:t xml:space="preserve"> (propiconazole)</w:t>
            </w:r>
          </w:p>
          <w:p w14:paraId="6102AF31"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1.2*10</w:t>
            </w:r>
            <w:r w:rsidRPr="00275290">
              <w:rPr>
                <w:rFonts w:ascii="Verdana" w:hAnsi="Verdana" w:cs="Arial"/>
                <w:sz w:val="18"/>
                <w:szCs w:val="18"/>
                <w:vertAlign w:val="superscript"/>
              </w:rPr>
              <w:t>-3</w:t>
            </w:r>
            <w:r w:rsidRPr="00275290">
              <w:rPr>
                <w:rFonts w:ascii="Verdana" w:hAnsi="Verdana" w:cs="Arial"/>
                <w:sz w:val="18"/>
                <w:szCs w:val="18"/>
              </w:rPr>
              <w:t xml:space="preserve"> (tebuconazole)</w:t>
            </w:r>
          </w:p>
          <w:p w14:paraId="3F07E32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7.3*10</w:t>
            </w:r>
            <w:r w:rsidRPr="00275290">
              <w:rPr>
                <w:rFonts w:ascii="Verdana" w:hAnsi="Verdana" w:cs="Arial"/>
                <w:sz w:val="18"/>
                <w:szCs w:val="18"/>
                <w:vertAlign w:val="superscript"/>
              </w:rPr>
              <w:t>-6</w:t>
            </w:r>
            <w:r w:rsidRPr="00275290">
              <w:rPr>
                <w:rFonts w:ascii="Verdana" w:hAnsi="Verdana" w:cs="Arial"/>
                <w:sz w:val="18"/>
                <w:szCs w:val="18"/>
              </w:rPr>
              <w:t xml:space="preserve"> (cypermethrin)</w:t>
            </w:r>
          </w:p>
        </w:tc>
        <w:tc>
          <w:tcPr>
            <w:tcW w:w="1162" w:type="dxa"/>
            <w:vAlign w:val="center"/>
          </w:tcPr>
          <w:p w14:paraId="2CA1849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[kg/d]</w:t>
            </w:r>
          </w:p>
        </w:tc>
        <w:tc>
          <w:tcPr>
            <w:tcW w:w="850" w:type="dxa"/>
            <w:vAlign w:val="center"/>
          </w:tcPr>
          <w:p w14:paraId="4B695F2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45E25C8E" w14:textId="77777777" w:rsidTr="008E0250">
        <w:trPr>
          <w:trHeight w:val="1020"/>
        </w:trPr>
        <w:tc>
          <w:tcPr>
            <w:tcW w:w="3085" w:type="dxa"/>
            <w:vAlign w:val="center"/>
          </w:tcPr>
          <w:p w14:paraId="06003BC6"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concentration in surface water over the initial assessment period </w:t>
            </w:r>
          </w:p>
        </w:tc>
        <w:tc>
          <w:tcPr>
            <w:tcW w:w="2237" w:type="dxa"/>
            <w:vAlign w:val="center"/>
          </w:tcPr>
          <w:p w14:paraId="5201CFC1"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Clocal</w:t>
            </w:r>
            <w:r w:rsidRPr="00275290">
              <w:rPr>
                <w:rFonts w:ascii="Verdana" w:hAnsi="Verdana" w:cs="Arial"/>
                <w:i/>
                <w:iCs/>
                <w:sz w:val="18"/>
                <w:szCs w:val="18"/>
                <w:vertAlign w:val="subscript"/>
              </w:rPr>
              <w:t>surfacewater,time1</w:t>
            </w:r>
          </w:p>
        </w:tc>
        <w:tc>
          <w:tcPr>
            <w:tcW w:w="2475" w:type="dxa"/>
            <w:vAlign w:val="center"/>
          </w:tcPr>
          <w:p w14:paraId="2A8BFB2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0.03 (IPBC)</w:t>
            </w:r>
          </w:p>
          <w:p w14:paraId="572DD69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0.10 (propiconazole)</w:t>
            </w:r>
          </w:p>
          <w:p w14:paraId="148D274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0.04 (tebuconazole)</w:t>
            </w:r>
          </w:p>
          <w:p w14:paraId="0628CE4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2.8*10</w:t>
            </w:r>
            <w:r w:rsidRPr="00275290">
              <w:rPr>
                <w:rFonts w:ascii="Verdana" w:hAnsi="Verdana" w:cs="Arial"/>
                <w:sz w:val="18"/>
                <w:szCs w:val="18"/>
                <w:vertAlign w:val="superscript"/>
              </w:rPr>
              <w:t>-4</w:t>
            </w:r>
            <w:r w:rsidRPr="00275290">
              <w:rPr>
                <w:rFonts w:ascii="Verdana" w:hAnsi="Verdana" w:cs="Arial"/>
                <w:sz w:val="18"/>
                <w:szCs w:val="18"/>
              </w:rPr>
              <w:t xml:space="preserve"> (cypermethrin)</w:t>
            </w:r>
          </w:p>
        </w:tc>
        <w:tc>
          <w:tcPr>
            <w:tcW w:w="1162" w:type="dxa"/>
            <w:vAlign w:val="center"/>
          </w:tcPr>
          <w:p w14:paraId="667D1F9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[µg/L]</w:t>
            </w:r>
          </w:p>
        </w:tc>
        <w:tc>
          <w:tcPr>
            <w:tcW w:w="850" w:type="dxa"/>
            <w:vAlign w:val="center"/>
          </w:tcPr>
          <w:p w14:paraId="6932332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334E1859" w14:textId="77777777" w:rsidTr="008E0250">
        <w:trPr>
          <w:trHeight w:val="1020"/>
        </w:trPr>
        <w:tc>
          <w:tcPr>
            <w:tcW w:w="3085" w:type="dxa"/>
            <w:vAlign w:val="center"/>
          </w:tcPr>
          <w:p w14:paraId="18057C32"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concentration in surface water over a longer assessment period </w:t>
            </w:r>
          </w:p>
        </w:tc>
        <w:tc>
          <w:tcPr>
            <w:tcW w:w="2237" w:type="dxa"/>
            <w:vAlign w:val="center"/>
          </w:tcPr>
          <w:p w14:paraId="257A3E04"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C</w:t>
            </w:r>
            <w:r w:rsidRPr="00275290">
              <w:rPr>
                <w:rFonts w:ascii="Verdana" w:hAnsi="Verdana" w:cs="Arial"/>
                <w:i/>
                <w:iCs/>
                <w:color w:val="auto"/>
                <w:sz w:val="20"/>
                <w:szCs w:val="20"/>
              </w:rPr>
              <w:t>local</w:t>
            </w:r>
            <w:r w:rsidRPr="00275290">
              <w:rPr>
                <w:rFonts w:ascii="Verdana" w:hAnsi="Verdana" w:cs="Arial"/>
                <w:i/>
                <w:iCs/>
                <w:color w:val="auto"/>
                <w:sz w:val="20"/>
                <w:szCs w:val="20"/>
                <w:vertAlign w:val="subscript"/>
              </w:rPr>
              <w:t>surfacewater,time2</w:t>
            </w:r>
          </w:p>
        </w:tc>
        <w:tc>
          <w:tcPr>
            <w:tcW w:w="2475" w:type="dxa"/>
            <w:vAlign w:val="center"/>
          </w:tcPr>
          <w:p w14:paraId="5DA9ED9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2.5*10</w:t>
            </w:r>
            <w:r w:rsidRPr="00275290">
              <w:rPr>
                <w:rFonts w:ascii="Verdana" w:hAnsi="Verdana" w:cs="Arial"/>
                <w:sz w:val="18"/>
                <w:szCs w:val="18"/>
                <w:vertAlign w:val="superscript"/>
              </w:rPr>
              <w:t>-2</w:t>
            </w:r>
            <w:r w:rsidRPr="00275290">
              <w:rPr>
                <w:rFonts w:ascii="Verdana" w:hAnsi="Verdana" w:cs="Arial"/>
                <w:sz w:val="18"/>
                <w:szCs w:val="18"/>
              </w:rPr>
              <w:t xml:space="preserve"> (IPBC)</w:t>
            </w:r>
          </w:p>
          <w:p w14:paraId="5B0D181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0.10 (propiconazole)</w:t>
            </w:r>
          </w:p>
          <w:p w14:paraId="206220D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4.4*10</w:t>
            </w:r>
            <w:r w:rsidRPr="00275290">
              <w:rPr>
                <w:rFonts w:ascii="Verdana" w:hAnsi="Verdana" w:cs="Arial"/>
                <w:sz w:val="18"/>
                <w:szCs w:val="18"/>
                <w:vertAlign w:val="superscript"/>
              </w:rPr>
              <w:t>-2</w:t>
            </w:r>
            <w:r w:rsidRPr="00275290">
              <w:rPr>
                <w:rFonts w:ascii="Verdana" w:hAnsi="Verdana" w:cs="Arial"/>
                <w:sz w:val="18"/>
                <w:szCs w:val="18"/>
              </w:rPr>
              <w:t xml:space="preserve"> (tebuconazole)</w:t>
            </w:r>
          </w:p>
          <w:p w14:paraId="6F91D26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2.8*10</w:t>
            </w:r>
            <w:r w:rsidRPr="00275290">
              <w:rPr>
                <w:rFonts w:ascii="Verdana" w:hAnsi="Verdana" w:cs="Arial"/>
                <w:sz w:val="18"/>
                <w:szCs w:val="18"/>
                <w:vertAlign w:val="superscript"/>
              </w:rPr>
              <w:t>-4</w:t>
            </w:r>
            <w:r w:rsidRPr="00275290">
              <w:rPr>
                <w:rFonts w:ascii="Verdana" w:hAnsi="Verdana" w:cs="Arial"/>
                <w:sz w:val="18"/>
                <w:szCs w:val="18"/>
              </w:rPr>
              <w:t xml:space="preserve"> (cypermethrin)</w:t>
            </w:r>
          </w:p>
        </w:tc>
        <w:tc>
          <w:tcPr>
            <w:tcW w:w="1162" w:type="dxa"/>
            <w:vAlign w:val="center"/>
          </w:tcPr>
          <w:p w14:paraId="4842C45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[µg/L]</w:t>
            </w:r>
          </w:p>
        </w:tc>
        <w:tc>
          <w:tcPr>
            <w:tcW w:w="850" w:type="dxa"/>
            <w:vAlign w:val="center"/>
          </w:tcPr>
          <w:p w14:paraId="44740E1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bl>
    <w:p w14:paraId="5608CF72" w14:textId="77777777" w:rsidR="00692E71" w:rsidRPr="00275290" w:rsidRDefault="00692E71" w:rsidP="00692E71">
      <w:pPr>
        <w:pStyle w:val="Default"/>
        <w:spacing w:before="240"/>
        <w:rPr>
          <w:rFonts w:ascii="Verdana" w:hAnsi="Verdana" w:cs="Arial"/>
          <w:color w:val="auto"/>
          <w:sz w:val="20"/>
          <w:szCs w:val="20"/>
          <w:u w:val="single"/>
        </w:rPr>
      </w:pPr>
      <w:r w:rsidRPr="00275290">
        <w:rPr>
          <w:rFonts w:ascii="Verdana" w:hAnsi="Verdana" w:cs="Arial"/>
          <w:color w:val="auto"/>
          <w:sz w:val="20"/>
          <w:szCs w:val="20"/>
          <w:u w:val="single"/>
        </w:rPr>
        <w:t>Calculations (IPBC used as an example)</w:t>
      </w:r>
    </w:p>
    <w:p w14:paraId="2B0B1C56" w14:textId="77777777" w:rsidR="00692E71" w:rsidRPr="00275290" w:rsidRDefault="00692E71" w:rsidP="00692E71">
      <w:pPr>
        <w:pStyle w:val="Default"/>
        <w:spacing w:before="240"/>
        <w:ind w:left="708"/>
        <w:rPr>
          <w:rFonts w:ascii="Verdana" w:hAnsi="Verdana" w:cs="Arial"/>
          <w:color w:val="auto"/>
          <w:sz w:val="20"/>
          <w:szCs w:val="20"/>
        </w:rPr>
      </w:pPr>
      <w:r w:rsidRPr="00275290">
        <w:rPr>
          <w:rFonts w:ascii="Verdana" w:hAnsi="Verdana" w:cs="Arial"/>
          <w:color w:val="auto"/>
          <w:sz w:val="20"/>
          <w:szCs w:val="20"/>
        </w:rPr>
        <w:t xml:space="preserve">Vsoil = </w:t>
      </w:r>
      <w:r w:rsidRPr="00275290">
        <w:rPr>
          <w:rFonts w:ascii="Verdana" w:hAnsi="Verdana" w:cs="Arial"/>
          <w:i/>
          <w:iCs/>
          <w:color w:val="auto"/>
          <w:sz w:val="20"/>
          <w:szCs w:val="20"/>
        </w:rPr>
        <w:t>AREA</w:t>
      </w:r>
      <w:r w:rsidRPr="00275290">
        <w:rPr>
          <w:rFonts w:ascii="Verdana" w:hAnsi="Verdana" w:cs="Arial"/>
          <w:i/>
          <w:iCs/>
          <w:color w:val="auto"/>
          <w:sz w:val="20"/>
          <w:szCs w:val="20"/>
          <w:vertAlign w:val="subscript"/>
        </w:rPr>
        <w:t>storage</w:t>
      </w:r>
      <w:r w:rsidRPr="00275290">
        <w:rPr>
          <w:rFonts w:ascii="Verdana" w:hAnsi="Verdana" w:cs="Arial"/>
          <w:i/>
          <w:iCs/>
          <w:color w:val="auto"/>
          <w:sz w:val="20"/>
          <w:szCs w:val="20"/>
        </w:rPr>
        <w:t xml:space="preserve"> </w:t>
      </w:r>
      <w:proofErr w:type="gramStart"/>
      <w:r w:rsidRPr="00275290">
        <w:rPr>
          <w:rFonts w:ascii="Verdana" w:hAnsi="Verdana" w:cs="Arial"/>
          <w:i/>
          <w:iCs/>
          <w:color w:val="auto"/>
          <w:sz w:val="20"/>
          <w:szCs w:val="20"/>
        </w:rPr>
        <w:t>*  DEPTH</w:t>
      </w:r>
      <w:r w:rsidRPr="00275290">
        <w:rPr>
          <w:rFonts w:ascii="Verdana" w:hAnsi="Verdana" w:cs="Arial"/>
          <w:i/>
          <w:iCs/>
          <w:color w:val="auto"/>
          <w:sz w:val="20"/>
          <w:szCs w:val="20"/>
          <w:vertAlign w:val="subscript"/>
        </w:rPr>
        <w:t>soil</w:t>
      </w:r>
      <w:proofErr w:type="gramEnd"/>
      <w:r w:rsidRPr="00275290">
        <w:rPr>
          <w:rFonts w:ascii="Verdana" w:hAnsi="Verdana" w:cs="Arial"/>
          <w:color w:val="auto"/>
          <w:sz w:val="20"/>
          <w:szCs w:val="20"/>
        </w:rPr>
        <w:t xml:space="preserve"> </w:t>
      </w:r>
    </w:p>
    <w:p w14:paraId="644AD380" w14:textId="77777777" w:rsidR="00692E71" w:rsidRPr="00275290" w:rsidRDefault="00692E71" w:rsidP="00692E71">
      <w:pPr>
        <w:pStyle w:val="Default"/>
        <w:ind w:left="708"/>
        <w:rPr>
          <w:rFonts w:ascii="Verdana" w:hAnsi="Verdana" w:cs="Arial"/>
          <w:color w:val="auto"/>
          <w:sz w:val="20"/>
          <w:szCs w:val="20"/>
        </w:rPr>
      </w:pPr>
      <w:r w:rsidRPr="00275290">
        <w:rPr>
          <w:rFonts w:ascii="Verdana" w:hAnsi="Verdana" w:cs="Arial"/>
          <w:color w:val="auto"/>
          <w:sz w:val="20"/>
          <w:szCs w:val="20"/>
        </w:rPr>
        <w:t>Vsoil = 700 * 0.5</w:t>
      </w:r>
    </w:p>
    <w:p w14:paraId="25A0C18C" w14:textId="77777777" w:rsidR="00692E71" w:rsidRPr="00275290" w:rsidRDefault="00692E71" w:rsidP="00692E71">
      <w:pPr>
        <w:pStyle w:val="Default"/>
        <w:ind w:left="708"/>
        <w:rPr>
          <w:rFonts w:ascii="Verdana" w:hAnsi="Verdana" w:cs="Arial"/>
          <w:color w:val="auto"/>
          <w:sz w:val="20"/>
          <w:szCs w:val="20"/>
        </w:rPr>
      </w:pPr>
      <w:r w:rsidRPr="00275290">
        <w:rPr>
          <w:rFonts w:ascii="Verdana" w:hAnsi="Verdana" w:cs="Arial"/>
          <w:color w:val="auto"/>
          <w:sz w:val="20"/>
          <w:szCs w:val="20"/>
        </w:rPr>
        <w:t>Vsoil = 350 m</w:t>
      </w:r>
      <w:r w:rsidRPr="00275290">
        <w:rPr>
          <w:rFonts w:ascii="Verdana" w:hAnsi="Verdana" w:cs="Arial"/>
          <w:color w:val="auto"/>
          <w:sz w:val="20"/>
          <w:szCs w:val="20"/>
          <w:vertAlign w:val="superscript"/>
        </w:rPr>
        <w:t>3</w:t>
      </w:r>
    </w:p>
    <w:p w14:paraId="232DEEDA" w14:textId="77777777" w:rsidR="00692E71" w:rsidRPr="00275290" w:rsidRDefault="00692E71" w:rsidP="00692E71">
      <w:pPr>
        <w:pStyle w:val="Default"/>
        <w:widowControl w:val="0"/>
        <w:spacing w:before="240"/>
        <w:jc w:val="both"/>
        <w:rPr>
          <w:rFonts w:ascii="Verdana" w:hAnsi="Verdana" w:cs="Arial"/>
          <w:color w:val="auto"/>
          <w:sz w:val="20"/>
          <w:szCs w:val="20"/>
        </w:rPr>
      </w:pPr>
      <w:r w:rsidRPr="00275290">
        <w:rPr>
          <w:rFonts w:ascii="Verdana" w:hAnsi="Verdana" w:cs="Arial"/>
          <w:color w:val="auto"/>
          <w:sz w:val="20"/>
          <w:szCs w:val="20"/>
        </w:rPr>
        <w:t>As the leaching behaviour for this product is described by a linear function for the first year of exposure the FLUX</w:t>
      </w:r>
      <w:r w:rsidRPr="00275290">
        <w:rPr>
          <w:rFonts w:ascii="Verdana" w:hAnsi="Verdana" w:cs="Arial"/>
          <w:color w:val="auto"/>
          <w:sz w:val="20"/>
          <w:szCs w:val="20"/>
          <w:vertAlign w:val="subscript"/>
        </w:rPr>
        <w:t xml:space="preserve">storage,dipp </w:t>
      </w:r>
      <w:r w:rsidRPr="00275290">
        <w:rPr>
          <w:rFonts w:ascii="Verdana" w:hAnsi="Verdana" w:cs="Arial"/>
          <w:color w:val="auto"/>
          <w:sz w:val="20"/>
          <w:szCs w:val="20"/>
        </w:rPr>
        <w:t xml:space="preserve">can be estimated by using the Q*leach, time 1 value from the leaching study (se section 3.3.2.3) for both Time 1 and 2 estimation. </w:t>
      </w:r>
    </w:p>
    <w:p w14:paraId="3430F69D"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i/>
          <w:iCs/>
          <w:color w:val="auto"/>
          <w:sz w:val="20"/>
          <w:szCs w:val="20"/>
        </w:rPr>
        <w:t>FLUX</w:t>
      </w:r>
      <w:r w:rsidRPr="00275290">
        <w:rPr>
          <w:rFonts w:ascii="Verdana" w:hAnsi="Verdana" w:cs="Arial"/>
          <w:i/>
          <w:iCs/>
          <w:color w:val="auto"/>
          <w:sz w:val="20"/>
          <w:szCs w:val="20"/>
          <w:vertAlign w:val="subscript"/>
        </w:rPr>
        <w:t>storage</w:t>
      </w:r>
      <w:proofErr w:type="gramStart"/>
      <w:r w:rsidRPr="00275290">
        <w:rPr>
          <w:rFonts w:ascii="Verdana" w:hAnsi="Verdana" w:cs="Arial"/>
          <w:i/>
          <w:iCs/>
          <w:color w:val="auto"/>
          <w:sz w:val="20"/>
          <w:szCs w:val="20"/>
          <w:vertAlign w:val="subscript"/>
        </w:rPr>
        <w:t>,dipp</w:t>
      </w:r>
      <w:proofErr w:type="gramEnd"/>
      <w:r w:rsidRPr="00275290">
        <w:rPr>
          <w:rFonts w:ascii="Verdana" w:hAnsi="Verdana" w:cs="Arial"/>
          <w:i/>
          <w:iCs/>
          <w:color w:val="auto"/>
          <w:sz w:val="20"/>
          <w:szCs w:val="20"/>
          <w:vertAlign w:val="subscript"/>
        </w:rPr>
        <w:t xml:space="preserve"> </w:t>
      </w:r>
      <w:r w:rsidRPr="00275290">
        <w:rPr>
          <w:rFonts w:ascii="Verdana" w:hAnsi="Verdana" w:cs="Arial"/>
          <w:i/>
          <w:iCs/>
          <w:color w:val="auto"/>
          <w:sz w:val="20"/>
          <w:szCs w:val="20"/>
        </w:rPr>
        <w:t>= Q*l</w:t>
      </w:r>
      <w:r w:rsidRPr="00275290">
        <w:rPr>
          <w:rFonts w:ascii="Verdana" w:hAnsi="Verdana" w:cs="Arial"/>
          <w:i/>
          <w:iCs/>
          <w:color w:val="auto"/>
          <w:sz w:val="20"/>
          <w:szCs w:val="20"/>
          <w:vertAlign w:val="subscript"/>
        </w:rPr>
        <w:t>eachtime1</w:t>
      </w:r>
      <w:r w:rsidRPr="00275290">
        <w:rPr>
          <w:rFonts w:ascii="Verdana" w:hAnsi="Verdana" w:cs="Arial"/>
          <w:i/>
          <w:iCs/>
          <w:color w:val="auto"/>
          <w:sz w:val="20"/>
          <w:szCs w:val="20"/>
        </w:rPr>
        <w:t xml:space="preserve">/Time1 </w:t>
      </w:r>
    </w:p>
    <w:p w14:paraId="5571C192"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FLUX</w:t>
      </w:r>
      <w:r w:rsidRPr="00275290">
        <w:rPr>
          <w:rFonts w:ascii="Verdana" w:hAnsi="Verdana" w:cs="Arial"/>
          <w:i/>
          <w:iCs/>
          <w:color w:val="auto"/>
          <w:sz w:val="20"/>
          <w:szCs w:val="20"/>
          <w:vertAlign w:val="subscript"/>
        </w:rPr>
        <w:t>storage</w:t>
      </w:r>
      <w:proofErr w:type="gramStart"/>
      <w:r w:rsidRPr="00275290">
        <w:rPr>
          <w:rFonts w:ascii="Verdana" w:hAnsi="Verdana" w:cs="Arial"/>
          <w:i/>
          <w:iCs/>
          <w:color w:val="auto"/>
          <w:sz w:val="20"/>
          <w:szCs w:val="20"/>
          <w:vertAlign w:val="subscript"/>
        </w:rPr>
        <w:t>,dipp</w:t>
      </w:r>
      <w:proofErr w:type="gramEnd"/>
      <w:r w:rsidRPr="00275290">
        <w:rPr>
          <w:rFonts w:ascii="Verdana" w:hAnsi="Verdana" w:cs="Arial"/>
          <w:i/>
          <w:iCs/>
          <w:color w:val="auto"/>
          <w:sz w:val="20"/>
          <w:szCs w:val="20"/>
          <w:vertAlign w:val="subscript"/>
        </w:rPr>
        <w:t xml:space="preserve"> </w:t>
      </w:r>
      <w:r w:rsidRPr="00275290">
        <w:rPr>
          <w:rFonts w:ascii="Verdana" w:hAnsi="Verdana" w:cs="Arial"/>
          <w:i/>
          <w:iCs/>
          <w:color w:val="auto"/>
          <w:sz w:val="20"/>
          <w:szCs w:val="20"/>
        </w:rPr>
        <w:t xml:space="preserve">= 5.04 / 30 </w:t>
      </w:r>
    </w:p>
    <w:p w14:paraId="081BE465" w14:textId="77777777" w:rsidR="00692E71" w:rsidRPr="008551C7" w:rsidRDefault="00692E71" w:rsidP="00692E71">
      <w:pPr>
        <w:pStyle w:val="Default"/>
        <w:jc w:val="both"/>
        <w:rPr>
          <w:rFonts w:ascii="Verdana" w:hAnsi="Verdana" w:cs="Arial"/>
          <w:color w:val="auto"/>
          <w:sz w:val="20"/>
          <w:szCs w:val="20"/>
          <w:lang w:val="nb-NO"/>
        </w:rPr>
      </w:pPr>
      <w:r w:rsidRPr="008551C7">
        <w:rPr>
          <w:rFonts w:ascii="Verdana" w:hAnsi="Verdana" w:cs="Arial"/>
          <w:i/>
          <w:iCs/>
          <w:color w:val="auto"/>
          <w:sz w:val="20"/>
          <w:szCs w:val="20"/>
          <w:lang w:val="nb-NO"/>
        </w:rPr>
        <w:t>FLUX</w:t>
      </w:r>
      <w:r w:rsidRPr="008551C7">
        <w:rPr>
          <w:rFonts w:ascii="Verdana" w:hAnsi="Verdana" w:cs="Arial"/>
          <w:i/>
          <w:iCs/>
          <w:color w:val="auto"/>
          <w:sz w:val="20"/>
          <w:szCs w:val="20"/>
          <w:vertAlign w:val="subscript"/>
          <w:lang w:val="nb-NO"/>
        </w:rPr>
        <w:t>storage,</w:t>
      </w:r>
      <w:r w:rsidRPr="008551C7">
        <w:rPr>
          <w:rFonts w:ascii="Verdana" w:hAnsi="Verdana" w:cs="Arial"/>
          <w:i/>
          <w:iCs/>
          <w:color w:val="auto"/>
          <w:sz w:val="20"/>
          <w:szCs w:val="20"/>
          <w:lang w:val="nb-NO"/>
        </w:rPr>
        <w:t xml:space="preserve">dipp = </w:t>
      </w:r>
      <w:r w:rsidRPr="008551C7">
        <w:rPr>
          <w:rFonts w:ascii="Verdana" w:hAnsi="Verdana" w:cs="Arial"/>
          <w:color w:val="auto"/>
          <w:sz w:val="20"/>
          <w:szCs w:val="20"/>
          <w:lang w:val="nb-NO"/>
        </w:rPr>
        <w:t>1.7*10-7 [kg/m2/d]</w:t>
      </w:r>
      <w:r w:rsidRPr="008551C7">
        <w:rPr>
          <w:rFonts w:ascii="Verdana" w:hAnsi="Verdana" w:cs="Arial"/>
          <w:i/>
          <w:iCs/>
          <w:color w:val="auto"/>
          <w:sz w:val="20"/>
          <w:szCs w:val="20"/>
          <w:lang w:val="nb-NO"/>
        </w:rPr>
        <w:t xml:space="preserve"> </w:t>
      </w:r>
    </w:p>
    <w:p w14:paraId="3115AED0"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i/>
          <w:iCs/>
          <w:color w:val="auto"/>
          <w:sz w:val="20"/>
          <w:szCs w:val="20"/>
        </w:rPr>
        <w:t>Q</w:t>
      </w:r>
      <w:r w:rsidRPr="00275290">
        <w:rPr>
          <w:rFonts w:ascii="Verdana" w:hAnsi="Verdana" w:cs="Arial"/>
          <w:i/>
          <w:iCs/>
          <w:color w:val="auto"/>
          <w:sz w:val="20"/>
          <w:szCs w:val="20"/>
          <w:vertAlign w:val="subscript"/>
        </w:rPr>
        <w:t>leachstorage</w:t>
      </w:r>
      <w:proofErr w:type="gramStart"/>
      <w:r w:rsidRPr="00275290">
        <w:rPr>
          <w:rFonts w:ascii="Verdana" w:hAnsi="Verdana" w:cs="Arial"/>
          <w:i/>
          <w:iCs/>
          <w:color w:val="auto"/>
          <w:sz w:val="20"/>
          <w:szCs w:val="20"/>
          <w:vertAlign w:val="subscript"/>
        </w:rPr>
        <w:t>,time1</w:t>
      </w:r>
      <w:proofErr w:type="gramEnd"/>
      <w:r w:rsidRPr="00275290">
        <w:rPr>
          <w:rFonts w:ascii="Verdana" w:hAnsi="Verdana" w:cs="Arial"/>
          <w:i/>
          <w:iCs/>
          <w:color w:val="auto"/>
          <w:sz w:val="20"/>
          <w:szCs w:val="20"/>
          <w:vertAlign w:val="subscript"/>
        </w:rPr>
        <w:t xml:space="preserve"> </w:t>
      </w:r>
      <w:r w:rsidRPr="00275290">
        <w:rPr>
          <w:rFonts w:ascii="Verdana" w:hAnsi="Verdana" w:cs="Arial"/>
          <w:i/>
          <w:iCs/>
          <w:color w:val="auto"/>
          <w:sz w:val="20"/>
          <w:szCs w:val="20"/>
        </w:rPr>
        <w:t>= FLUX</w:t>
      </w:r>
      <w:r w:rsidRPr="00275290">
        <w:rPr>
          <w:rFonts w:ascii="Verdana" w:hAnsi="Verdana" w:cs="Arial"/>
          <w:i/>
          <w:iCs/>
          <w:color w:val="auto"/>
          <w:sz w:val="20"/>
          <w:szCs w:val="20"/>
          <w:vertAlign w:val="subscript"/>
        </w:rPr>
        <w:t xml:space="preserve">storage,dipp </w:t>
      </w:r>
      <w:r w:rsidRPr="00275290">
        <w:rPr>
          <w:rFonts w:ascii="Verdana" w:hAnsi="Verdana" w:cs="Arial"/>
          <w:i/>
          <w:iCs/>
          <w:color w:val="auto"/>
          <w:sz w:val="20"/>
          <w:szCs w:val="20"/>
        </w:rPr>
        <w:t>*  AREA</w:t>
      </w:r>
      <w:r w:rsidRPr="00275290">
        <w:rPr>
          <w:rFonts w:ascii="Verdana" w:hAnsi="Verdana" w:cs="Arial"/>
          <w:i/>
          <w:iCs/>
          <w:color w:val="auto"/>
          <w:sz w:val="20"/>
          <w:szCs w:val="20"/>
          <w:vertAlign w:val="subscript"/>
        </w:rPr>
        <w:t>wood-expo</w:t>
      </w:r>
      <w:r w:rsidRPr="00275290">
        <w:rPr>
          <w:rFonts w:ascii="Verdana" w:hAnsi="Verdana" w:cs="Arial"/>
          <w:i/>
          <w:iCs/>
          <w:color w:val="auto"/>
          <w:sz w:val="20"/>
          <w:szCs w:val="20"/>
        </w:rPr>
        <w:t xml:space="preserve"> *AREA</w:t>
      </w:r>
      <w:r w:rsidRPr="00275290">
        <w:rPr>
          <w:rFonts w:ascii="Verdana" w:hAnsi="Verdana" w:cs="Arial"/>
          <w:i/>
          <w:iCs/>
          <w:color w:val="auto"/>
          <w:sz w:val="20"/>
          <w:szCs w:val="20"/>
          <w:vertAlign w:val="subscript"/>
        </w:rPr>
        <w:t>storage</w:t>
      </w:r>
      <w:r w:rsidRPr="00275290">
        <w:rPr>
          <w:rFonts w:ascii="Verdana" w:hAnsi="Verdana" w:cs="Arial"/>
          <w:i/>
          <w:iCs/>
          <w:color w:val="auto"/>
          <w:sz w:val="20"/>
          <w:szCs w:val="20"/>
        </w:rPr>
        <w:t xml:space="preserve"> * Time 1 </w:t>
      </w:r>
    </w:p>
    <w:p w14:paraId="27E03D47"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Q</w:t>
      </w:r>
      <w:r w:rsidRPr="00275290">
        <w:rPr>
          <w:rFonts w:ascii="Verdana" w:hAnsi="Verdana" w:cs="Arial"/>
          <w:i/>
          <w:iCs/>
          <w:color w:val="auto"/>
          <w:sz w:val="20"/>
          <w:szCs w:val="20"/>
          <w:vertAlign w:val="subscript"/>
        </w:rPr>
        <w:t>leachstorage</w:t>
      </w:r>
      <w:proofErr w:type="gramStart"/>
      <w:r w:rsidRPr="00275290">
        <w:rPr>
          <w:rFonts w:ascii="Verdana" w:hAnsi="Verdana" w:cs="Arial"/>
          <w:i/>
          <w:iCs/>
          <w:color w:val="auto"/>
          <w:sz w:val="20"/>
          <w:szCs w:val="20"/>
          <w:vertAlign w:val="subscript"/>
        </w:rPr>
        <w:t>,time1</w:t>
      </w:r>
      <w:proofErr w:type="gramEnd"/>
      <w:r w:rsidRPr="00275290">
        <w:rPr>
          <w:rFonts w:ascii="Verdana" w:hAnsi="Verdana" w:cs="Arial"/>
          <w:i/>
          <w:iCs/>
          <w:color w:val="auto"/>
          <w:sz w:val="20"/>
          <w:szCs w:val="20"/>
          <w:vertAlign w:val="subscript"/>
        </w:rPr>
        <w:t xml:space="preserve"> </w:t>
      </w:r>
      <w:r w:rsidRPr="00275290">
        <w:rPr>
          <w:rFonts w:ascii="Verdana" w:hAnsi="Verdana" w:cs="Arial"/>
          <w:i/>
          <w:iCs/>
          <w:color w:val="auto"/>
          <w:sz w:val="20"/>
          <w:szCs w:val="20"/>
        </w:rPr>
        <w:t xml:space="preserve">= 1.7*10-7 * 11 * 700 * 30 </w:t>
      </w:r>
    </w:p>
    <w:p w14:paraId="609B8CDB"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Q</w:t>
      </w:r>
      <w:r w:rsidRPr="00275290">
        <w:rPr>
          <w:rFonts w:ascii="Verdana" w:hAnsi="Verdana" w:cs="Arial"/>
          <w:i/>
          <w:iCs/>
          <w:color w:val="auto"/>
          <w:sz w:val="20"/>
          <w:szCs w:val="20"/>
          <w:vertAlign w:val="subscript"/>
        </w:rPr>
        <w:t>leachstorage</w:t>
      </w:r>
      <w:proofErr w:type="gramStart"/>
      <w:r w:rsidRPr="00275290">
        <w:rPr>
          <w:rFonts w:ascii="Verdana" w:hAnsi="Verdana" w:cs="Arial"/>
          <w:i/>
          <w:iCs/>
          <w:color w:val="auto"/>
          <w:sz w:val="20"/>
          <w:szCs w:val="20"/>
          <w:vertAlign w:val="subscript"/>
        </w:rPr>
        <w:t>,time1</w:t>
      </w:r>
      <w:proofErr w:type="gramEnd"/>
      <w:r w:rsidRPr="00275290">
        <w:rPr>
          <w:rFonts w:ascii="Verdana" w:hAnsi="Verdana" w:cs="Arial"/>
          <w:i/>
          <w:iCs/>
          <w:color w:val="auto"/>
          <w:sz w:val="20"/>
          <w:szCs w:val="20"/>
          <w:vertAlign w:val="subscript"/>
        </w:rPr>
        <w:t xml:space="preserve"> </w:t>
      </w:r>
      <w:r w:rsidRPr="00275290">
        <w:rPr>
          <w:rFonts w:ascii="Verdana" w:hAnsi="Verdana" w:cs="Arial"/>
          <w:i/>
          <w:iCs/>
          <w:color w:val="auto"/>
          <w:sz w:val="20"/>
          <w:szCs w:val="20"/>
        </w:rPr>
        <w:t>=</w:t>
      </w:r>
      <w:r w:rsidRPr="00275290">
        <w:rPr>
          <w:rFonts w:ascii="Verdana" w:hAnsi="Verdana" w:cs="Arial"/>
          <w:color w:val="auto"/>
          <w:sz w:val="20"/>
          <w:szCs w:val="20"/>
        </w:rPr>
        <w:t xml:space="preserve"> 0.039 [kg]</w:t>
      </w:r>
      <w:r w:rsidRPr="00275290">
        <w:rPr>
          <w:rFonts w:ascii="Verdana" w:hAnsi="Verdana" w:cs="Arial"/>
          <w:i/>
          <w:iCs/>
          <w:color w:val="auto"/>
          <w:sz w:val="20"/>
          <w:szCs w:val="20"/>
        </w:rPr>
        <w:t xml:space="preserve"> </w:t>
      </w:r>
    </w:p>
    <w:p w14:paraId="4A779303"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localsoil</w:t>
      </w:r>
      <w:proofErr w:type="gramStart"/>
      <w:r w:rsidRPr="00275290">
        <w:rPr>
          <w:rFonts w:ascii="Verdana" w:hAnsi="Verdana" w:cs="Arial"/>
          <w:i/>
          <w:iCs/>
          <w:color w:val="auto"/>
          <w:sz w:val="20"/>
          <w:szCs w:val="20"/>
          <w:vertAlign w:val="subscript"/>
        </w:rPr>
        <w:t>,time1</w:t>
      </w:r>
      <w:proofErr w:type="gramEnd"/>
      <w:r w:rsidRPr="00275290">
        <w:rPr>
          <w:rFonts w:ascii="Verdana" w:hAnsi="Verdana" w:cs="Arial"/>
          <w:i/>
          <w:iCs/>
          <w:color w:val="auto"/>
          <w:sz w:val="20"/>
          <w:szCs w:val="20"/>
          <w:vertAlign w:val="subscript"/>
        </w:rPr>
        <w:t xml:space="preserve"> </w:t>
      </w:r>
      <w:r w:rsidRPr="00275290">
        <w:rPr>
          <w:rFonts w:ascii="Verdana" w:hAnsi="Verdana" w:cs="Arial"/>
          <w:i/>
          <w:iCs/>
          <w:color w:val="auto"/>
          <w:sz w:val="20"/>
          <w:szCs w:val="20"/>
        </w:rPr>
        <w:t xml:space="preserve">= (Qleachstorage,time1 * (1 – Frunoff)) / (Vsoil * RHOsoil) </w:t>
      </w:r>
    </w:p>
    <w:p w14:paraId="684FB1AE"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localsoil</w:t>
      </w:r>
      <w:proofErr w:type="gramStart"/>
      <w:r w:rsidRPr="00275290">
        <w:rPr>
          <w:rFonts w:ascii="Verdana" w:hAnsi="Verdana" w:cs="Arial"/>
          <w:i/>
          <w:iCs/>
          <w:color w:val="auto"/>
          <w:sz w:val="20"/>
          <w:szCs w:val="20"/>
          <w:vertAlign w:val="subscript"/>
        </w:rPr>
        <w:t>,time1</w:t>
      </w:r>
      <w:proofErr w:type="gramEnd"/>
      <w:r w:rsidRPr="00275290">
        <w:rPr>
          <w:rFonts w:ascii="Verdana" w:hAnsi="Verdana" w:cs="Arial"/>
          <w:i/>
          <w:iCs/>
          <w:color w:val="auto"/>
          <w:sz w:val="20"/>
          <w:szCs w:val="20"/>
          <w:vertAlign w:val="subscript"/>
        </w:rPr>
        <w:t xml:space="preserve"> </w:t>
      </w:r>
      <w:r w:rsidRPr="00275290">
        <w:rPr>
          <w:rFonts w:ascii="Verdana" w:hAnsi="Verdana" w:cs="Arial"/>
          <w:color w:val="auto"/>
          <w:sz w:val="20"/>
          <w:szCs w:val="20"/>
        </w:rPr>
        <w:t>= 0.039 * (1 – 0.5)) / (350 * 1700)</w:t>
      </w:r>
      <w:r w:rsidRPr="00275290">
        <w:rPr>
          <w:rFonts w:ascii="Verdana" w:hAnsi="Verdana" w:cs="Arial"/>
          <w:i/>
          <w:iCs/>
          <w:color w:val="auto"/>
          <w:sz w:val="20"/>
          <w:szCs w:val="20"/>
        </w:rPr>
        <w:t xml:space="preserve"> </w:t>
      </w:r>
    </w:p>
    <w:p w14:paraId="54604703"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lastRenderedPageBreak/>
        <w:t>C</w:t>
      </w:r>
      <w:r w:rsidRPr="00275290">
        <w:rPr>
          <w:rFonts w:ascii="Verdana" w:hAnsi="Verdana" w:cs="Arial"/>
          <w:i/>
          <w:iCs/>
          <w:color w:val="auto"/>
          <w:sz w:val="20"/>
          <w:szCs w:val="20"/>
          <w:vertAlign w:val="subscript"/>
        </w:rPr>
        <w:t>localsoil</w:t>
      </w:r>
      <w:proofErr w:type="gramStart"/>
      <w:r w:rsidRPr="00275290">
        <w:rPr>
          <w:rFonts w:ascii="Verdana" w:hAnsi="Verdana" w:cs="Arial"/>
          <w:i/>
          <w:iCs/>
          <w:color w:val="auto"/>
          <w:sz w:val="20"/>
          <w:szCs w:val="20"/>
          <w:vertAlign w:val="subscript"/>
        </w:rPr>
        <w:t>,time1</w:t>
      </w:r>
      <w:proofErr w:type="gramEnd"/>
      <w:r w:rsidRPr="00275290">
        <w:rPr>
          <w:rFonts w:ascii="Verdana" w:hAnsi="Verdana" w:cs="Arial"/>
          <w:i/>
          <w:iCs/>
          <w:color w:val="auto"/>
          <w:sz w:val="20"/>
          <w:szCs w:val="20"/>
          <w:vertAlign w:val="subscript"/>
        </w:rPr>
        <w:t xml:space="preserve"> </w:t>
      </w:r>
      <w:r w:rsidRPr="00275290">
        <w:rPr>
          <w:rFonts w:ascii="Verdana" w:hAnsi="Verdana" w:cs="Arial"/>
          <w:i/>
          <w:iCs/>
          <w:color w:val="auto"/>
          <w:sz w:val="20"/>
          <w:szCs w:val="20"/>
        </w:rPr>
        <w:t xml:space="preserve">= </w:t>
      </w:r>
      <w:r w:rsidRPr="00275290">
        <w:rPr>
          <w:rFonts w:ascii="Verdana" w:hAnsi="Verdana" w:cs="Arial"/>
          <w:color w:val="auto"/>
          <w:sz w:val="20"/>
          <w:szCs w:val="20"/>
        </w:rPr>
        <w:t xml:space="preserve">0.033 [mg/kgwwt] </w:t>
      </w:r>
    </w:p>
    <w:p w14:paraId="0C912006"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i/>
          <w:iCs/>
          <w:color w:val="auto"/>
          <w:sz w:val="20"/>
          <w:szCs w:val="20"/>
        </w:rPr>
        <w:t>E</w:t>
      </w:r>
      <w:r w:rsidRPr="00275290">
        <w:rPr>
          <w:rFonts w:ascii="Verdana" w:hAnsi="Verdana" w:cs="Arial"/>
          <w:i/>
          <w:iCs/>
          <w:color w:val="auto"/>
          <w:sz w:val="20"/>
          <w:szCs w:val="20"/>
          <w:vertAlign w:val="subscript"/>
        </w:rPr>
        <w:t>localsurfacewater</w:t>
      </w:r>
      <w:proofErr w:type="gramStart"/>
      <w:r w:rsidRPr="00275290">
        <w:rPr>
          <w:rFonts w:ascii="Verdana" w:hAnsi="Verdana" w:cs="Arial"/>
          <w:i/>
          <w:iCs/>
          <w:color w:val="auto"/>
          <w:sz w:val="20"/>
          <w:szCs w:val="20"/>
          <w:vertAlign w:val="subscript"/>
        </w:rPr>
        <w:t>,time1</w:t>
      </w:r>
      <w:proofErr w:type="gramEnd"/>
      <w:r w:rsidRPr="00275290">
        <w:rPr>
          <w:rFonts w:ascii="Verdana" w:hAnsi="Verdana" w:cs="Arial"/>
          <w:i/>
          <w:iCs/>
          <w:color w:val="auto"/>
          <w:sz w:val="20"/>
          <w:szCs w:val="20"/>
        </w:rPr>
        <w:t xml:space="preserve"> = </w:t>
      </w:r>
      <w:r w:rsidRPr="00275290">
        <w:rPr>
          <w:rFonts w:ascii="Verdana" w:hAnsi="Verdana" w:cs="Arial"/>
          <w:color w:val="auto"/>
          <w:sz w:val="20"/>
          <w:szCs w:val="20"/>
        </w:rPr>
        <w:t>(</w:t>
      </w:r>
      <w:r w:rsidRPr="00275290">
        <w:rPr>
          <w:rFonts w:ascii="Verdana" w:hAnsi="Verdana" w:cs="Arial"/>
          <w:i/>
          <w:iCs/>
          <w:color w:val="auto"/>
          <w:sz w:val="20"/>
          <w:szCs w:val="20"/>
        </w:rPr>
        <w:t xml:space="preserve">Qleachstorage,time1 * Frunoff)) / Time 1 </w:t>
      </w:r>
    </w:p>
    <w:p w14:paraId="3686492B"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E</w:t>
      </w:r>
      <w:r w:rsidRPr="00275290">
        <w:rPr>
          <w:rFonts w:ascii="Verdana" w:hAnsi="Verdana" w:cs="Arial"/>
          <w:i/>
          <w:iCs/>
          <w:color w:val="auto"/>
          <w:sz w:val="20"/>
          <w:szCs w:val="20"/>
          <w:vertAlign w:val="subscript"/>
        </w:rPr>
        <w:t>localsurfacewater</w:t>
      </w:r>
      <w:proofErr w:type="gramStart"/>
      <w:r w:rsidRPr="00275290">
        <w:rPr>
          <w:rFonts w:ascii="Verdana" w:hAnsi="Verdana" w:cs="Arial"/>
          <w:i/>
          <w:iCs/>
          <w:color w:val="auto"/>
          <w:sz w:val="20"/>
          <w:szCs w:val="20"/>
          <w:vertAlign w:val="subscript"/>
        </w:rPr>
        <w:t>,time1</w:t>
      </w:r>
      <w:proofErr w:type="gramEnd"/>
      <w:r w:rsidRPr="00275290">
        <w:rPr>
          <w:rFonts w:ascii="Verdana" w:hAnsi="Verdana" w:cs="Arial"/>
          <w:i/>
          <w:iCs/>
          <w:color w:val="auto"/>
          <w:sz w:val="20"/>
          <w:szCs w:val="20"/>
          <w:vertAlign w:val="subscript"/>
        </w:rPr>
        <w:t xml:space="preserve"> </w:t>
      </w:r>
      <w:r w:rsidRPr="00275290">
        <w:rPr>
          <w:rFonts w:ascii="Verdana" w:hAnsi="Verdana" w:cs="Arial"/>
          <w:i/>
          <w:iCs/>
          <w:color w:val="auto"/>
          <w:sz w:val="20"/>
          <w:szCs w:val="20"/>
        </w:rPr>
        <w:t xml:space="preserve">= </w:t>
      </w:r>
      <w:r w:rsidRPr="00275290">
        <w:rPr>
          <w:rFonts w:ascii="Verdana" w:hAnsi="Verdana" w:cs="Arial"/>
          <w:color w:val="auto"/>
          <w:sz w:val="20"/>
          <w:szCs w:val="20"/>
        </w:rPr>
        <w:t xml:space="preserve">(0.039 * 0.5) / 30 </w:t>
      </w:r>
    </w:p>
    <w:p w14:paraId="58B1B8EE"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E</w:t>
      </w:r>
      <w:r w:rsidRPr="00275290">
        <w:rPr>
          <w:rFonts w:ascii="Verdana" w:hAnsi="Verdana" w:cs="Arial"/>
          <w:i/>
          <w:iCs/>
          <w:color w:val="auto"/>
          <w:sz w:val="20"/>
          <w:szCs w:val="20"/>
          <w:vertAlign w:val="subscript"/>
        </w:rPr>
        <w:t>localsurfacewater</w:t>
      </w:r>
      <w:proofErr w:type="gramStart"/>
      <w:r w:rsidRPr="00275290">
        <w:rPr>
          <w:rFonts w:ascii="Verdana" w:hAnsi="Verdana" w:cs="Arial"/>
          <w:i/>
          <w:iCs/>
          <w:color w:val="auto"/>
          <w:sz w:val="20"/>
          <w:szCs w:val="20"/>
          <w:vertAlign w:val="subscript"/>
        </w:rPr>
        <w:t>,time1</w:t>
      </w:r>
      <w:proofErr w:type="gramEnd"/>
      <w:r w:rsidRPr="00275290">
        <w:rPr>
          <w:rFonts w:ascii="Verdana" w:hAnsi="Verdana" w:cs="Arial"/>
          <w:i/>
          <w:iCs/>
          <w:color w:val="auto"/>
          <w:sz w:val="20"/>
          <w:szCs w:val="20"/>
          <w:vertAlign w:val="subscript"/>
        </w:rPr>
        <w:t xml:space="preserve"> </w:t>
      </w:r>
      <w:r w:rsidRPr="00275290">
        <w:rPr>
          <w:rFonts w:ascii="Verdana" w:hAnsi="Verdana" w:cs="Arial"/>
          <w:i/>
          <w:iCs/>
          <w:color w:val="auto"/>
          <w:sz w:val="20"/>
          <w:szCs w:val="20"/>
        </w:rPr>
        <w:t xml:space="preserve">= </w:t>
      </w:r>
      <w:r w:rsidRPr="00275290">
        <w:rPr>
          <w:rFonts w:ascii="Verdana" w:hAnsi="Verdana" w:cs="Arial"/>
          <w:color w:val="auto"/>
          <w:sz w:val="20"/>
          <w:szCs w:val="20"/>
        </w:rPr>
        <w:t xml:space="preserve">0.00065 [kg/d] </w:t>
      </w:r>
    </w:p>
    <w:p w14:paraId="35107926"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localsurfacewater</w:t>
      </w:r>
      <w:proofErr w:type="gramStart"/>
      <w:r w:rsidRPr="00275290">
        <w:rPr>
          <w:rFonts w:ascii="Verdana" w:hAnsi="Verdana" w:cs="Arial"/>
          <w:i/>
          <w:iCs/>
          <w:color w:val="auto"/>
          <w:sz w:val="20"/>
          <w:szCs w:val="20"/>
          <w:vertAlign w:val="subscript"/>
        </w:rPr>
        <w:t>,time1</w:t>
      </w:r>
      <w:proofErr w:type="gramEnd"/>
      <w:r w:rsidRPr="00275290">
        <w:rPr>
          <w:rFonts w:ascii="Verdana" w:hAnsi="Verdana" w:cs="Arial"/>
          <w:i/>
          <w:iCs/>
          <w:color w:val="auto"/>
          <w:sz w:val="20"/>
          <w:szCs w:val="20"/>
          <w:vertAlign w:val="subscript"/>
        </w:rPr>
        <w:t xml:space="preserve"> </w:t>
      </w:r>
      <w:r w:rsidRPr="00275290">
        <w:rPr>
          <w:rFonts w:ascii="Verdana" w:hAnsi="Verdana" w:cs="Arial"/>
          <w:i/>
          <w:iCs/>
          <w:color w:val="auto"/>
          <w:sz w:val="20"/>
          <w:szCs w:val="20"/>
        </w:rPr>
        <w:t xml:space="preserve">= Elocalsurfacewater,time1 / FLOWsurfacewater </w:t>
      </w:r>
    </w:p>
    <w:p w14:paraId="540475DA"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localsurfacewater</w:t>
      </w:r>
      <w:proofErr w:type="gramStart"/>
      <w:r w:rsidRPr="00275290">
        <w:rPr>
          <w:rFonts w:ascii="Verdana" w:hAnsi="Verdana" w:cs="Arial"/>
          <w:i/>
          <w:iCs/>
          <w:color w:val="auto"/>
          <w:sz w:val="20"/>
          <w:szCs w:val="20"/>
          <w:vertAlign w:val="subscript"/>
        </w:rPr>
        <w:t>,time1</w:t>
      </w:r>
      <w:proofErr w:type="gramEnd"/>
      <w:r w:rsidRPr="00275290">
        <w:rPr>
          <w:rFonts w:ascii="Verdana" w:hAnsi="Verdana" w:cs="Arial"/>
          <w:i/>
          <w:iCs/>
          <w:color w:val="auto"/>
          <w:sz w:val="20"/>
          <w:szCs w:val="20"/>
          <w:vertAlign w:val="subscript"/>
        </w:rPr>
        <w:t xml:space="preserve"> </w:t>
      </w:r>
      <w:r w:rsidRPr="00275290">
        <w:rPr>
          <w:rFonts w:ascii="Verdana" w:hAnsi="Verdana" w:cs="Arial"/>
          <w:i/>
          <w:iCs/>
          <w:color w:val="auto"/>
          <w:sz w:val="20"/>
          <w:szCs w:val="20"/>
        </w:rPr>
        <w:t xml:space="preserve">= </w:t>
      </w:r>
      <w:r w:rsidRPr="00275290">
        <w:rPr>
          <w:rFonts w:ascii="Verdana" w:hAnsi="Verdana" w:cs="Arial"/>
          <w:color w:val="auto"/>
          <w:sz w:val="20"/>
          <w:szCs w:val="20"/>
        </w:rPr>
        <w:t>(0.00065</w:t>
      </w:r>
      <w:r w:rsidRPr="00275290">
        <w:rPr>
          <w:rFonts w:ascii="Verdana" w:hAnsi="Verdana" w:cs="Arial"/>
          <w:i/>
          <w:iCs/>
          <w:color w:val="auto"/>
          <w:sz w:val="20"/>
          <w:szCs w:val="20"/>
        </w:rPr>
        <w:t xml:space="preserve"> /</w:t>
      </w:r>
      <w:r w:rsidRPr="00275290">
        <w:rPr>
          <w:rFonts w:ascii="Verdana" w:hAnsi="Verdana" w:cs="Arial"/>
          <w:color w:val="auto"/>
          <w:sz w:val="20"/>
          <w:szCs w:val="20"/>
        </w:rPr>
        <w:t xml:space="preserve"> 0.3) * 11.57 (conversion factor for transforming m3/s into L/d and kg/d into µg/d) </w:t>
      </w:r>
    </w:p>
    <w:p w14:paraId="4A2A1E3C"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localsurfacewater</w:t>
      </w:r>
      <w:proofErr w:type="gramStart"/>
      <w:r w:rsidRPr="00275290">
        <w:rPr>
          <w:rFonts w:ascii="Verdana" w:hAnsi="Verdana" w:cs="Arial"/>
          <w:i/>
          <w:iCs/>
          <w:color w:val="auto"/>
          <w:sz w:val="20"/>
          <w:szCs w:val="20"/>
          <w:vertAlign w:val="subscript"/>
        </w:rPr>
        <w:t>,time1</w:t>
      </w:r>
      <w:proofErr w:type="gramEnd"/>
      <w:r w:rsidRPr="00275290">
        <w:rPr>
          <w:rFonts w:ascii="Verdana" w:hAnsi="Verdana" w:cs="Arial"/>
          <w:i/>
          <w:iCs/>
          <w:color w:val="auto"/>
          <w:sz w:val="20"/>
          <w:szCs w:val="20"/>
          <w:vertAlign w:val="subscript"/>
        </w:rPr>
        <w:t xml:space="preserve"> </w:t>
      </w:r>
      <w:r w:rsidRPr="00275290">
        <w:rPr>
          <w:rFonts w:ascii="Verdana" w:hAnsi="Verdana" w:cs="Arial"/>
          <w:i/>
          <w:iCs/>
          <w:color w:val="auto"/>
          <w:sz w:val="20"/>
          <w:szCs w:val="20"/>
        </w:rPr>
        <w:t xml:space="preserve">= </w:t>
      </w:r>
      <w:r w:rsidRPr="00275290">
        <w:rPr>
          <w:rFonts w:ascii="Verdana" w:hAnsi="Verdana" w:cs="Arial"/>
          <w:color w:val="auto"/>
          <w:sz w:val="20"/>
          <w:szCs w:val="20"/>
        </w:rPr>
        <w:t xml:space="preserve">0.025 [µg/L] </w:t>
      </w:r>
    </w:p>
    <w:p w14:paraId="4CD6CF2B" w14:textId="77777777" w:rsidR="00692E71" w:rsidRPr="00275290" w:rsidRDefault="00692E71" w:rsidP="00692E71">
      <w:pPr>
        <w:pStyle w:val="Default"/>
        <w:spacing w:before="240" w:after="240"/>
        <w:jc w:val="both"/>
        <w:rPr>
          <w:rFonts w:ascii="Verdana" w:hAnsi="Verdana" w:cs="Arial"/>
          <w:color w:val="auto"/>
          <w:sz w:val="20"/>
          <w:szCs w:val="20"/>
        </w:rPr>
      </w:pPr>
      <w:r w:rsidRPr="00275290">
        <w:rPr>
          <w:rFonts w:ascii="Verdana" w:hAnsi="Verdana" w:cs="Arial"/>
          <w:color w:val="auto"/>
          <w:sz w:val="20"/>
          <w:szCs w:val="20"/>
        </w:rPr>
        <w:t>In a second tier removal processes in soil were taking into account as described for the House scenario.</w:t>
      </w:r>
    </w:p>
    <w:p w14:paraId="67D6899F"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5</w:t>
      </w:r>
      <w:r w:rsidRPr="00275290">
        <w:rPr>
          <w:rFonts w:ascii="Verdana" w:hAnsi="Verdana"/>
        </w:rPr>
        <w:fldChar w:fldCharType="end"/>
      </w:r>
      <w:r w:rsidRPr="00275290">
        <w:rPr>
          <w:rFonts w:ascii="Verdana" w:hAnsi="Verdana"/>
        </w:rPr>
        <w:t>: Concentration in soil and in pore-water from storage after industrial dipping taking removal into account.</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1417"/>
        <w:gridCol w:w="2694"/>
        <w:gridCol w:w="1247"/>
        <w:gridCol w:w="850"/>
      </w:tblGrid>
      <w:tr w:rsidR="00692E71" w:rsidRPr="00275290" w14:paraId="74E718C8" w14:textId="77777777" w:rsidTr="008E0250">
        <w:trPr>
          <w:trHeight w:val="446"/>
          <w:tblHeader/>
        </w:trPr>
        <w:tc>
          <w:tcPr>
            <w:tcW w:w="3114" w:type="dxa"/>
            <w:shd w:val="clear" w:color="auto" w:fill="D9D9D9" w:themeFill="background1" w:themeFillShade="D9"/>
            <w:vAlign w:val="center"/>
          </w:tcPr>
          <w:p w14:paraId="2C6A9345" w14:textId="77777777" w:rsidR="00692E71" w:rsidRPr="00275290" w:rsidRDefault="00692E71" w:rsidP="008E0250">
            <w:pPr>
              <w:jc w:val="center"/>
              <w:rPr>
                <w:rFonts w:cs="Arial"/>
                <w:b/>
                <w:sz w:val="18"/>
                <w:szCs w:val="18"/>
              </w:rPr>
            </w:pPr>
            <w:r w:rsidRPr="00275290">
              <w:rPr>
                <w:rFonts w:cs="Arial"/>
                <w:b/>
                <w:sz w:val="18"/>
                <w:szCs w:val="18"/>
              </w:rPr>
              <w:t>Parameter/variable</w:t>
            </w:r>
          </w:p>
        </w:tc>
        <w:tc>
          <w:tcPr>
            <w:tcW w:w="1417" w:type="dxa"/>
            <w:shd w:val="clear" w:color="auto" w:fill="D9D9D9" w:themeFill="background1" w:themeFillShade="D9"/>
            <w:vAlign w:val="center"/>
          </w:tcPr>
          <w:p w14:paraId="0FA0973C" w14:textId="77777777" w:rsidR="00692E71" w:rsidRPr="00275290" w:rsidRDefault="00692E71" w:rsidP="008E0250">
            <w:pPr>
              <w:jc w:val="center"/>
              <w:rPr>
                <w:rFonts w:cs="Arial"/>
                <w:b/>
                <w:sz w:val="18"/>
                <w:szCs w:val="18"/>
              </w:rPr>
            </w:pPr>
            <w:r w:rsidRPr="00275290">
              <w:rPr>
                <w:rFonts w:cs="Arial"/>
                <w:b/>
                <w:sz w:val="18"/>
                <w:szCs w:val="18"/>
              </w:rPr>
              <w:t>Nomenclature</w:t>
            </w:r>
          </w:p>
        </w:tc>
        <w:tc>
          <w:tcPr>
            <w:tcW w:w="2694" w:type="dxa"/>
            <w:shd w:val="clear" w:color="auto" w:fill="D9D9D9" w:themeFill="background1" w:themeFillShade="D9"/>
            <w:vAlign w:val="center"/>
          </w:tcPr>
          <w:p w14:paraId="1ED6921F" w14:textId="77777777" w:rsidR="00692E71" w:rsidRPr="00275290" w:rsidRDefault="00692E71" w:rsidP="008E0250">
            <w:pPr>
              <w:jc w:val="center"/>
              <w:rPr>
                <w:rFonts w:cs="Arial"/>
                <w:b/>
                <w:sz w:val="18"/>
                <w:szCs w:val="18"/>
              </w:rPr>
            </w:pPr>
            <w:r w:rsidRPr="00275290">
              <w:rPr>
                <w:rFonts w:cs="Arial"/>
                <w:b/>
                <w:sz w:val="18"/>
                <w:szCs w:val="18"/>
              </w:rPr>
              <w:t>Value</w:t>
            </w:r>
          </w:p>
        </w:tc>
        <w:tc>
          <w:tcPr>
            <w:tcW w:w="1247" w:type="dxa"/>
            <w:shd w:val="clear" w:color="auto" w:fill="D9D9D9" w:themeFill="background1" w:themeFillShade="D9"/>
            <w:vAlign w:val="center"/>
          </w:tcPr>
          <w:p w14:paraId="28B06104" w14:textId="77777777" w:rsidR="00692E71" w:rsidRPr="00275290" w:rsidRDefault="00692E71" w:rsidP="008E0250">
            <w:pPr>
              <w:jc w:val="center"/>
              <w:rPr>
                <w:rFonts w:cs="Arial"/>
                <w:b/>
                <w:sz w:val="18"/>
                <w:szCs w:val="18"/>
              </w:rPr>
            </w:pPr>
            <w:r w:rsidRPr="00275290">
              <w:rPr>
                <w:rFonts w:cs="Arial"/>
                <w:b/>
                <w:sz w:val="18"/>
                <w:szCs w:val="18"/>
              </w:rPr>
              <w:t>Unit</w:t>
            </w:r>
          </w:p>
        </w:tc>
        <w:tc>
          <w:tcPr>
            <w:tcW w:w="850" w:type="dxa"/>
            <w:shd w:val="clear" w:color="auto" w:fill="D9D9D9" w:themeFill="background1" w:themeFillShade="D9"/>
            <w:vAlign w:val="center"/>
          </w:tcPr>
          <w:p w14:paraId="1186A14F" w14:textId="77777777" w:rsidR="00692E71" w:rsidRPr="00275290" w:rsidRDefault="00692E71" w:rsidP="008E0250">
            <w:pPr>
              <w:jc w:val="center"/>
              <w:rPr>
                <w:rFonts w:cs="Arial"/>
                <w:b/>
                <w:sz w:val="18"/>
                <w:szCs w:val="18"/>
              </w:rPr>
            </w:pPr>
            <w:r w:rsidRPr="00275290">
              <w:rPr>
                <w:rFonts w:cs="Arial"/>
                <w:b/>
                <w:sz w:val="18"/>
                <w:szCs w:val="18"/>
              </w:rPr>
              <w:t>Origin</w:t>
            </w:r>
          </w:p>
        </w:tc>
      </w:tr>
      <w:tr w:rsidR="00692E71" w:rsidRPr="00275290" w14:paraId="5AB2EE4B" w14:textId="77777777" w:rsidTr="008E0250">
        <w:trPr>
          <w:tblHeader/>
        </w:trPr>
        <w:tc>
          <w:tcPr>
            <w:tcW w:w="3114" w:type="dxa"/>
            <w:vAlign w:val="center"/>
          </w:tcPr>
          <w:p w14:paraId="60AE9CA0" w14:textId="77777777" w:rsidR="00692E71" w:rsidRPr="00275290" w:rsidRDefault="00692E71" w:rsidP="008E0250">
            <w:pPr>
              <w:snapToGrid w:val="0"/>
              <w:rPr>
                <w:rFonts w:cs="Arial"/>
                <w:sz w:val="18"/>
                <w:szCs w:val="18"/>
              </w:rPr>
            </w:pPr>
            <w:r w:rsidRPr="00275290">
              <w:rPr>
                <w:rFonts w:cs="Arial"/>
                <w:sz w:val="18"/>
                <w:szCs w:val="18"/>
              </w:rPr>
              <w:t>Local concentration in soil at storage place at the end of the initial assessment period</w:t>
            </w:r>
          </w:p>
        </w:tc>
        <w:tc>
          <w:tcPr>
            <w:tcW w:w="1417" w:type="dxa"/>
            <w:vAlign w:val="center"/>
          </w:tcPr>
          <w:p w14:paraId="25BB9C97" w14:textId="77777777" w:rsidR="00692E71" w:rsidRPr="00275290" w:rsidRDefault="00692E71" w:rsidP="008E0250">
            <w:pPr>
              <w:keepNext/>
              <w:keepLines/>
              <w:jc w:val="center"/>
              <w:rPr>
                <w:rFonts w:cs="Arial"/>
                <w:sz w:val="18"/>
                <w:szCs w:val="18"/>
              </w:rPr>
            </w:pPr>
            <w:r w:rsidRPr="00275290">
              <w:rPr>
                <w:rFonts w:cs="Arial"/>
                <w:i/>
                <w:sz w:val="18"/>
                <w:szCs w:val="18"/>
              </w:rPr>
              <w:t>Clocal</w:t>
            </w:r>
            <w:r w:rsidRPr="00275290">
              <w:rPr>
                <w:rFonts w:cs="Arial"/>
                <w:i/>
                <w:sz w:val="18"/>
                <w:szCs w:val="18"/>
                <w:vertAlign w:val="subscript"/>
              </w:rPr>
              <w:t>soil,time1</w:t>
            </w:r>
          </w:p>
        </w:tc>
        <w:tc>
          <w:tcPr>
            <w:tcW w:w="2694" w:type="dxa"/>
            <w:vAlign w:val="center"/>
          </w:tcPr>
          <w:p w14:paraId="29730700" w14:textId="77777777" w:rsidR="00692E71" w:rsidRPr="00275290" w:rsidRDefault="00692E71" w:rsidP="008E0250">
            <w:pPr>
              <w:keepNext/>
              <w:keepLines/>
              <w:jc w:val="center"/>
              <w:rPr>
                <w:rFonts w:cs="Arial"/>
                <w:sz w:val="18"/>
                <w:szCs w:val="18"/>
              </w:rPr>
            </w:pPr>
            <w:r w:rsidRPr="00275290">
              <w:rPr>
                <w:rFonts w:cs="Arial"/>
                <w:sz w:val="18"/>
                <w:szCs w:val="18"/>
              </w:rPr>
              <w:t xml:space="preserve"> 3.2*10</w:t>
            </w:r>
            <w:r w:rsidRPr="00275290">
              <w:rPr>
                <w:rFonts w:cs="Arial"/>
                <w:sz w:val="18"/>
                <w:szCs w:val="18"/>
                <w:vertAlign w:val="superscript"/>
              </w:rPr>
              <w:t>-5</w:t>
            </w:r>
            <w:r w:rsidRPr="00275290">
              <w:rPr>
                <w:rFonts w:cs="Arial"/>
                <w:sz w:val="18"/>
                <w:szCs w:val="18"/>
              </w:rPr>
              <w:t xml:space="preserve"> (IPBC)</w:t>
            </w:r>
          </w:p>
          <w:p w14:paraId="3CE0630B" w14:textId="77777777" w:rsidR="00692E71" w:rsidRPr="00275290" w:rsidRDefault="00692E71" w:rsidP="008E0250">
            <w:pPr>
              <w:keepNext/>
              <w:keepLines/>
              <w:jc w:val="center"/>
              <w:rPr>
                <w:rFonts w:cs="Arial"/>
                <w:sz w:val="18"/>
                <w:szCs w:val="18"/>
              </w:rPr>
            </w:pPr>
            <w:r w:rsidRPr="00275290">
              <w:rPr>
                <w:rFonts w:cs="Arial"/>
                <w:sz w:val="18"/>
                <w:szCs w:val="18"/>
              </w:rPr>
              <w:t>0.12 (propiconazole)</w:t>
            </w:r>
          </w:p>
          <w:p w14:paraId="074460E3" w14:textId="77777777" w:rsidR="00692E71" w:rsidRPr="00275290" w:rsidRDefault="00692E71" w:rsidP="008E0250">
            <w:pPr>
              <w:keepNext/>
              <w:keepLines/>
              <w:jc w:val="center"/>
              <w:rPr>
                <w:rFonts w:cs="Arial"/>
                <w:sz w:val="18"/>
                <w:szCs w:val="18"/>
              </w:rPr>
            </w:pPr>
            <w:r w:rsidRPr="00275290">
              <w:rPr>
                <w:rFonts w:cs="Arial"/>
                <w:sz w:val="18"/>
                <w:szCs w:val="18"/>
              </w:rPr>
              <w:t xml:space="preserve"> 0.05 (tebuconazole)</w:t>
            </w:r>
          </w:p>
          <w:p w14:paraId="6545874E" w14:textId="77777777" w:rsidR="00692E71" w:rsidRPr="00275290" w:rsidRDefault="00692E71" w:rsidP="008E0250">
            <w:pPr>
              <w:keepNext/>
              <w:keepLines/>
              <w:jc w:val="center"/>
              <w:rPr>
                <w:rFonts w:cs="Arial"/>
                <w:sz w:val="18"/>
                <w:szCs w:val="18"/>
              </w:rPr>
            </w:pPr>
            <w:r w:rsidRPr="00275290">
              <w:rPr>
                <w:rFonts w:cs="Arial"/>
                <w:sz w:val="18"/>
                <w:szCs w:val="18"/>
              </w:rPr>
              <w:t>2.1*10</w:t>
            </w:r>
            <w:r w:rsidRPr="00275290">
              <w:rPr>
                <w:rFonts w:cs="Arial"/>
                <w:sz w:val="18"/>
                <w:szCs w:val="18"/>
                <w:vertAlign w:val="superscript"/>
              </w:rPr>
              <w:t>-4</w:t>
            </w:r>
            <w:r w:rsidRPr="00275290">
              <w:rPr>
                <w:rFonts w:cs="Arial"/>
                <w:sz w:val="18"/>
                <w:szCs w:val="18"/>
              </w:rPr>
              <w:t xml:space="preserve">  (cypermethrin)</w:t>
            </w:r>
          </w:p>
        </w:tc>
        <w:tc>
          <w:tcPr>
            <w:tcW w:w="1247" w:type="dxa"/>
            <w:vAlign w:val="center"/>
          </w:tcPr>
          <w:p w14:paraId="3764A6EF" w14:textId="77777777" w:rsidR="00692E71" w:rsidRPr="00275290" w:rsidRDefault="00692E71" w:rsidP="008E0250">
            <w:pPr>
              <w:snapToGrid w:val="0"/>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850" w:type="dxa"/>
            <w:vAlign w:val="center"/>
          </w:tcPr>
          <w:p w14:paraId="2B64F25F" w14:textId="77777777" w:rsidR="00692E71" w:rsidRPr="00275290" w:rsidRDefault="00692E71" w:rsidP="008E0250">
            <w:pPr>
              <w:keepNext/>
              <w:keepLines/>
              <w:jc w:val="center"/>
              <w:rPr>
                <w:rFonts w:cs="Arial"/>
                <w:sz w:val="18"/>
                <w:szCs w:val="18"/>
              </w:rPr>
            </w:pPr>
            <w:r w:rsidRPr="00275290">
              <w:rPr>
                <w:rFonts w:cs="Arial"/>
                <w:sz w:val="18"/>
                <w:szCs w:val="18"/>
              </w:rPr>
              <w:t>O</w:t>
            </w:r>
          </w:p>
        </w:tc>
      </w:tr>
      <w:tr w:rsidR="00692E71" w:rsidRPr="00275290" w14:paraId="4F3051FE" w14:textId="77777777" w:rsidTr="008E0250">
        <w:trPr>
          <w:tblHeader/>
        </w:trPr>
        <w:tc>
          <w:tcPr>
            <w:tcW w:w="3114" w:type="dxa"/>
            <w:vAlign w:val="center"/>
          </w:tcPr>
          <w:p w14:paraId="1D6C8D8A" w14:textId="77777777" w:rsidR="00692E71" w:rsidRPr="00275290" w:rsidRDefault="00692E71" w:rsidP="008E0250">
            <w:pPr>
              <w:snapToGrid w:val="0"/>
              <w:rPr>
                <w:rFonts w:cs="Arial"/>
                <w:sz w:val="18"/>
                <w:szCs w:val="18"/>
              </w:rPr>
            </w:pPr>
            <w:r w:rsidRPr="00275290">
              <w:rPr>
                <w:rFonts w:cs="Arial"/>
                <w:sz w:val="18"/>
                <w:szCs w:val="18"/>
              </w:rPr>
              <w:t>Local concentration in soil at storage place at the end of a longer assessment period</w:t>
            </w:r>
          </w:p>
        </w:tc>
        <w:tc>
          <w:tcPr>
            <w:tcW w:w="1417" w:type="dxa"/>
            <w:vAlign w:val="center"/>
          </w:tcPr>
          <w:p w14:paraId="687E95E3" w14:textId="77777777" w:rsidR="00692E71" w:rsidRPr="00275290" w:rsidRDefault="00692E71" w:rsidP="008E0250">
            <w:pPr>
              <w:keepNext/>
              <w:keepLines/>
              <w:jc w:val="center"/>
              <w:rPr>
                <w:rFonts w:cs="Arial"/>
                <w:sz w:val="18"/>
                <w:szCs w:val="18"/>
              </w:rPr>
            </w:pPr>
            <w:r w:rsidRPr="00275290">
              <w:rPr>
                <w:rFonts w:cs="Arial"/>
                <w:i/>
                <w:sz w:val="18"/>
                <w:szCs w:val="18"/>
              </w:rPr>
              <w:t>Clocal</w:t>
            </w:r>
            <w:r w:rsidRPr="00275290">
              <w:rPr>
                <w:rFonts w:cs="Arial"/>
                <w:i/>
                <w:sz w:val="18"/>
                <w:szCs w:val="18"/>
                <w:vertAlign w:val="subscript"/>
              </w:rPr>
              <w:t>soil,time2</w:t>
            </w:r>
          </w:p>
        </w:tc>
        <w:tc>
          <w:tcPr>
            <w:tcW w:w="2694" w:type="dxa"/>
            <w:vAlign w:val="center"/>
          </w:tcPr>
          <w:p w14:paraId="5B490C7D" w14:textId="77777777" w:rsidR="00692E71" w:rsidRPr="00275290" w:rsidRDefault="00692E71" w:rsidP="008E0250">
            <w:pPr>
              <w:keepNext/>
              <w:keepLines/>
              <w:jc w:val="center"/>
              <w:rPr>
                <w:rFonts w:cs="Arial"/>
                <w:sz w:val="18"/>
                <w:szCs w:val="18"/>
              </w:rPr>
            </w:pPr>
            <w:r w:rsidRPr="00275290">
              <w:rPr>
                <w:rFonts w:cs="Arial"/>
                <w:sz w:val="18"/>
                <w:szCs w:val="18"/>
              </w:rPr>
              <w:t>3.3*10</w:t>
            </w:r>
            <w:r w:rsidRPr="00275290">
              <w:rPr>
                <w:rFonts w:cs="Arial"/>
                <w:sz w:val="18"/>
                <w:szCs w:val="18"/>
                <w:vertAlign w:val="superscript"/>
              </w:rPr>
              <w:t>-5</w:t>
            </w:r>
            <w:r w:rsidRPr="00275290">
              <w:rPr>
                <w:rFonts w:cs="Arial"/>
                <w:sz w:val="18"/>
                <w:szCs w:val="18"/>
              </w:rPr>
              <w:t xml:space="preserve"> (IPBC)</w:t>
            </w:r>
          </w:p>
          <w:p w14:paraId="1C710E40" w14:textId="77777777" w:rsidR="00692E71" w:rsidRPr="00275290" w:rsidRDefault="00692E71" w:rsidP="008E0250">
            <w:pPr>
              <w:keepNext/>
              <w:keepLines/>
              <w:jc w:val="center"/>
              <w:rPr>
                <w:rFonts w:cs="Arial"/>
                <w:sz w:val="18"/>
                <w:szCs w:val="18"/>
              </w:rPr>
            </w:pPr>
            <w:r w:rsidRPr="00275290">
              <w:rPr>
                <w:rFonts w:cs="Arial"/>
                <w:sz w:val="18"/>
                <w:szCs w:val="18"/>
              </w:rPr>
              <w:t>0.82 (propiconazole)</w:t>
            </w:r>
          </w:p>
          <w:p w14:paraId="383C63E0" w14:textId="77777777" w:rsidR="00692E71" w:rsidRPr="00275290" w:rsidRDefault="00692E71" w:rsidP="008E0250">
            <w:pPr>
              <w:keepNext/>
              <w:keepLines/>
              <w:jc w:val="center"/>
              <w:rPr>
                <w:rFonts w:cs="Arial"/>
                <w:sz w:val="18"/>
                <w:szCs w:val="18"/>
              </w:rPr>
            </w:pPr>
            <w:r w:rsidRPr="00275290">
              <w:rPr>
                <w:rFonts w:cs="Arial"/>
                <w:sz w:val="18"/>
                <w:szCs w:val="18"/>
              </w:rPr>
              <w:t xml:space="preserve"> 0.21 (tebuconazole)</w:t>
            </w:r>
          </w:p>
          <w:p w14:paraId="7FD04BCF" w14:textId="77777777" w:rsidR="00692E71" w:rsidRPr="00275290" w:rsidRDefault="00692E71" w:rsidP="008E0250">
            <w:pPr>
              <w:keepNext/>
              <w:keepLines/>
              <w:jc w:val="center"/>
              <w:rPr>
                <w:rFonts w:cs="Arial"/>
                <w:sz w:val="18"/>
                <w:szCs w:val="18"/>
              </w:rPr>
            </w:pPr>
            <w:r w:rsidRPr="00275290">
              <w:rPr>
                <w:rFonts w:cs="Arial"/>
                <w:sz w:val="18"/>
                <w:szCs w:val="18"/>
              </w:rPr>
              <w:t>3.0*10</w:t>
            </w:r>
            <w:r w:rsidRPr="00275290">
              <w:rPr>
                <w:rFonts w:cs="Arial"/>
                <w:sz w:val="18"/>
                <w:szCs w:val="18"/>
                <w:vertAlign w:val="superscript"/>
              </w:rPr>
              <w:t>-4</w:t>
            </w:r>
            <w:r w:rsidRPr="00275290">
              <w:rPr>
                <w:rFonts w:cs="Arial"/>
                <w:sz w:val="18"/>
                <w:szCs w:val="18"/>
              </w:rPr>
              <w:t xml:space="preserve"> (cypermethrin)</w:t>
            </w:r>
          </w:p>
        </w:tc>
        <w:tc>
          <w:tcPr>
            <w:tcW w:w="1247" w:type="dxa"/>
            <w:vAlign w:val="center"/>
          </w:tcPr>
          <w:p w14:paraId="74F93051" w14:textId="77777777" w:rsidR="00692E71" w:rsidRPr="00275290" w:rsidRDefault="00692E71" w:rsidP="008E0250">
            <w:pPr>
              <w:snapToGrid w:val="0"/>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850" w:type="dxa"/>
            <w:vAlign w:val="center"/>
          </w:tcPr>
          <w:p w14:paraId="16BF97D4" w14:textId="77777777" w:rsidR="00692E71" w:rsidRPr="00275290" w:rsidRDefault="00692E71" w:rsidP="008E0250">
            <w:pPr>
              <w:keepNext/>
              <w:keepLines/>
              <w:jc w:val="center"/>
              <w:rPr>
                <w:rFonts w:cs="Arial"/>
                <w:sz w:val="18"/>
                <w:szCs w:val="18"/>
              </w:rPr>
            </w:pPr>
            <w:r w:rsidRPr="00275290">
              <w:rPr>
                <w:rFonts w:cs="Arial"/>
                <w:sz w:val="18"/>
                <w:szCs w:val="18"/>
              </w:rPr>
              <w:t>O</w:t>
            </w:r>
          </w:p>
        </w:tc>
      </w:tr>
      <w:tr w:rsidR="00692E71" w:rsidRPr="00275290" w14:paraId="0007EFB2" w14:textId="77777777" w:rsidTr="008E0250">
        <w:trPr>
          <w:tblHeader/>
        </w:trPr>
        <w:tc>
          <w:tcPr>
            <w:tcW w:w="3114" w:type="dxa"/>
            <w:vAlign w:val="center"/>
          </w:tcPr>
          <w:p w14:paraId="0BC65D09" w14:textId="77777777" w:rsidR="00692E71" w:rsidRPr="00275290" w:rsidRDefault="00692E71" w:rsidP="008E0250">
            <w:pPr>
              <w:snapToGrid w:val="0"/>
              <w:rPr>
                <w:rFonts w:cs="Arial"/>
                <w:sz w:val="18"/>
                <w:szCs w:val="18"/>
              </w:rPr>
            </w:pPr>
            <w:r w:rsidRPr="00275290">
              <w:rPr>
                <w:rFonts w:cs="Arial"/>
                <w:sz w:val="18"/>
                <w:szCs w:val="18"/>
              </w:rPr>
              <w:t>Average concentrations in pore water over the initial assessment period (30d)</w:t>
            </w:r>
          </w:p>
        </w:tc>
        <w:tc>
          <w:tcPr>
            <w:tcW w:w="1417" w:type="dxa"/>
            <w:vAlign w:val="center"/>
          </w:tcPr>
          <w:p w14:paraId="53EBDAFD" w14:textId="77777777" w:rsidR="00692E71" w:rsidRPr="00275290" w:rsidRDefault="00692E71" w:rsidP="008E0250">
            <w:pPr>
              <w:keepNext/>
              <w:keepLines/>
              <w:jc w:val="center"/>
              <w:rPr>
                <w:rFonts w:cs="Arial"/>
                <w:i/>
                <w:sz w:val="18"/>
                <w:szCs w:val="18"/>
              </w:rPr>
            </w:pPr>
            <w:r w:rsidRPr="00275290">
              <w:rPr>
                <w:rFonts w:cs="Arial"/>
                <w:iCs/>
                <w:sz w:val="18"/>
                <w:szCs w:val="18"/>
              </w:rPr>
              <w:t>Clocal</w:t>
            </w:r>
            <w:r w:rsidRPr="00275290">
              <w:rPr>
                <w:rFonts w:cs="Arial"/>
                <w:iCs/>
                <w:sz w:val="18"/>
                <w:szCs w:val="18"/>
                <w:vertAlign w:val="subscript"/>
              </w:rPr>
              <w:t>pore,time1</w:t>
            </w:r>
          </w:p>
        </w:tc>
        <w:tc>
          <w:tcPr>
            <w:tcW w:w="2694" w:type="dxa"/>
            <w:vAlign w:val="center"/>
          </w:tcPr>
          <w:p w14:paraId="1A3D0902" w14:textId="77777777" w:rsidR="00692E71" w:rsidRPr="00275290" w:rsidRDefault="00692E71" w:rsidP="008E0250">
            <w:pPr>
              <w:keepNext/>
              <w:keepLines/>
              <w:jc w:val="center"/>
              <w:rPr>
                <w:rFonts w:cs="Arial"/>
                <w:sz w:val="18"/>
                <w:szCs w:val="18"/>
              </w:rPr>
            </w:pPr>
            <w:r w:rsidRPr="00275290">
              <w:rPr>
                <w:rFonts w:cs="Arial"/>
                <w:sz w:val="18"/>
                <w:szCs w:val="18"/>
              </w:rPr>
              <w:t>13.9 (IPBC)</w:t>
            </w:r>
          </w:p>
          <w:p w14:paraId="328F5730" w14:textId="77777777" w:rsidR="00692E71" w:rsidRPr="00275290" w:rsidRDefault="00692E71" w:rsidP="008E0250">
            <w:pPr>
              <w:keepNext/>
              <w:keepLines/>
              <w:jc w:val="center"/>
              <w:rPr>
                <w:rFonts w:cs="Arial"/>
                <w:sz w:val="18"/>
                <w:szCs w:val="18"/>
              </w:rPr>
            </w:pPr>
            <w:r w:rsidRPr="00275290">
              <w:rPr>
                <w:rFonts w:cs="Arial"/>
                <w:sz w:val="18"/>
                <w:szCs w:val="18"/>
              </w:rPr>
              <w:t>7.9 (propiconazole)</w:t>
            </w:r>
          </w:p>
          <w:p w14:paraId="40108E86" w14:textId="77777777" w:rsidR="00692E71" w:rsidRPr="00275290" w:rsidRDefault="00692E71" w:rsidP="008E0250">
            <w:pPr>
              <w:keepNext/>
              <w:keepLines/>
              <w:jc w:val="center"/>
              <w:rPr>
                <w:rFonts w:cs="Arial"/>
                <w:sz w:val="18"/>
                <w:szCs w:val="18"/>
              </w:rPr>
            </w:pPr>
            <w:r w:rsidRPr="00275290">
              <w:rPr>
                <w:rFonts w:cs="Arial"/>
                <w:sz w:val="18"/>
                <w:szCs w:val="18"/>
              </w:rPr>
              <w:t xml:space="preserve"> 3.3 (tebuconazole)</w:t>
            </w:r>
          </w:p>
          <w:p w14:paraId="56388C76" w14:textId="77777777" w:rsidR="00692E71" w:rsidRPr="00275290" w:rsidRDefault="00692E71" w:rsidP="008E0250">
            <w:pPr>
              <w:keepNext/>
              <w:keepLines/>
              <w:jc w:val="center"/>
              <w:rPr>
                <w:rFonts w:cs="Arial"/>
                <w:sz w:val="18"/>
                <w:szCs w:val="18"/>
              </w:rPr>
            </w:pPr>
            <w:r w:rsidRPr="00275290">
              <w:rPr>
                <w:rFonts w:cs="Arial"/>
                <w:sz w:val="18"/>
                <w:szCs w:val="18"/>
              </w:rPr>
              <w:t>3.7*10</w:t>
            </w:r>
            <w:r w:rsidRPr="00275290">
              <w:rPr>
                <w:rFonts w:cs="Arial"/>
                <w:sz w:val="18"/>
                <w:szCs w:val="18"/>
                <w:vertAlign w:val="superscript"/>
              </w:rPr>
              <w:t>-5</w:t>
            </w:r>
            <w:r w:rsidRPr="00275290">
              <w:rPr>
                <w:rFonts w:cs="Arial"/>
                <w:sz w:val="18"/>
                <w:szCs w:val="18"/>
              </w:rPr>
              <w:t xml:space="preserve"> (cypermethrin)</w:t>
            </w:r>
          </w:p>
        </w:tc>
        <w:tc>
          <w:tcPr>
            <w:tcW w:w="1247" w:type="dxa"/>
            <w:vAlign w:val="center"/>
          </w:tcPr>
          <w:p w14:paraId="52716647" w14:textId="77777777" w:rsidR="00692E71" w:rsidRPr="00275290" w:rsidRDefault="00692E71" w:rsidP="008E0250">
            <w:pPr>
              <w:snapToGrid w:val="0"/>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636DA2B5" w14:textId="77777777" w:rsidR="00692E71" w:rsidRPr="00275290" w:rsidRDefault="00692E71" w:rsidP="008E0250">
            <w:pPr>
              <w:keepNext/>
              <w:keepLines/>
              <w:jc w:val="center"/>
              <w:rPr>
                <w:rFonts w:cs="Arial"/>
                <w:sz w:val="18"/>
                <w:szCs w:val="18"/>
              </w:rPr>
            </w:pPr>
            <w:r w:rsidRPr="00275290">
              <w:rPr>
                <w:rFonts w:cs="Arial"/>
                <w:sz w:val="18"/>
                <w:szCs w:val="18"/>
              </w:rPr>
              <w:t>O</w:t>
            </w:r>
          </w:p>
        </w:tc>
      </w:tr>
      <w:tr w:rsidR="00692E71" w:rsidRPr="00275290" w14:paraId="1C06330A" w14:textId="77777777" w:rsidTr="008E0250">
        <w:trPr>
          <w:tblHeader/>
        </w:trPr>
        <w:tc>
          <w:tcPr>
            <w:tcW w:w="3114" w:type="dxa"/>
            <w:vAlign w:val="center"/>
          </w:tcPr>
          <w:p w14:paraId="4B832F65" w14:textId="77777777" w:rsidR="00692E71" w:rsidRPr="00275290" w:rsidRDefault="00692E71" w:rsidP="008E0250">
            <w:pPr>
              <w:rPr>
                <w:rFonts w:cs="Arial"/>
                <w:sz w:val="18"/>
                <w:szCs w:val="18"/>
              </w:rPr>
            </w:pPr>
            <w:r w:rsidRPr="00275290">
              <w:rPr>
                <w:rFonts w:cs="Arial"/>
                <w:sz w:val="18"/>
                <w:szCs w:val="18"/>
              </w:rPr>
              <w:t>Average concentration in pore water over a longer</w:t>
            </w:r>
          </w:p>
          <w:p w14:paraId="02BE0439" w14:textId="77777777" w:rsidR="00692E71" w:rsidRPr="00275290" w:rsidRDefault="00692E71" w:rsidP="008E0250">
            <w:pPr>
              <w:snapToGrid w:val="0"/>
              <w:rPr>
                <w:rFonts w:cs="Arial"/>
                <w:sz w:val="18"/>
                <w:szCs w:val="18"/>
              </w:rPr>
            </w:pPr>
            <w:r w:rsidRPr="00275290">
              <w:rPr>
                <w:rFonts w:cs="Arial"/>
                <w:sz w:val="18"/>
                <w:szCs w:val="18"/>
              </w:rPr>
              <w:t>duration (1825d)</w:t>
            </w:r>
          </w:p>
        </w:tc>
        <w:tc>
          <w:tcPr>
            <w:tcW w:w="1417" w:type="dxa"/>
            <w:vAlign w:val="center"/>
          </w:tcPr>
          <w:p w14:paraId="4EB4A73E" w14:textId="77777777" w:rsidR="00692E71" w:rsidRPr="00275290" w:rsidRDefault="00692E71" w:rsidP="008E0250">
            <w:pPr>
              <w:keepNext/>
              <w:keepLines/>
              <w:jc w:val="center"/>
              <w:rPr>
                <w:rFonts w:cs="Arial"/>
                <w:i/>
                <w:sz w:val="18"/>
                <w:szCs w:val="18"/>
              </w:rPr>
            </w:pPr>
            <w:r w:rsidRPr="00275290">
              <w:rPr>
                <w:rFonts w:cs="Arial"/>
                <w:iCs/>
                <w:sz w:val="18"/>
                <w:szCs w:val="18"/>
              </w:rPr>
              <w:t>Clocal</w:t>
            </w:r>
            <w:r w:rsidRPr="00275290">
              <w:rPr>
                <w:rFonts w:cs="Arial"/>
                <w:iCs/>
                <w:sz w:val="18"/>
                <w:szCs w:val="18"/>
                <w:vertAlign w:val="subscript"/>
              </w:rPr>
              <w:t>pore,time2</w:t>
            </w:r>
          </w:p>
        </w:tc>
        <w:tc>
          <w:tcPr>
            <w:tcW w:w="2694" w:type="dxa"/>
            <w:vAlign w:val="center"/>
          </w:tcPr>
          <w:p w14:paraId="0380D9A2" w14:textId="77777777" w:rsidR="00692E71" w:rsidRPr="00275290" w:rsidRDefault="00692E71" w:rsidP="008E0250">
            <w:pPr>
              <w:keepNext/>
              <w:keepLines/>
              <w:jc w:val="center"/>
              <w:rPr>
                <w:rFonts w:cs="Arial"/>
                <w:sz w:val="18"/>
                <w:szCs w:val="18"/>
              </w:rPr>
            </w:pPr>
            <w:r w:rsidRPr="00275290">
              <w:rPr>
                <w:rFonts w:cs="Arial"/>
                <w:sz w:val="18"/>
                <w:szCs w:val="18"/>
              </w:rPr>
              <w:t>2541 (IPBC)</w:t>
            </w:r>
          </w:p>
          <w:p w14:paraId="0129D9BF" w14:textId="77777777" w:rsidR="00692E71" w:rsidRPr="00275290" w:rsidRDefault="00692E71" w:rsidP="008E0250">
            <w:pPr>
              <w:keepNext/>
              <w:keepLines/>
              <w:jc w:val="center"/>
              <w:rPr>
                <w:rFonts w:cs="Arial"/>
                <w:sz w:val="18"/>
                <w:szCs w:val="18"/>
              </w:rPr>
            </w:pPr>
            <w:r w:rsidRPr="00275290">
              <w:rPr>
                <w:rFonts w:cs="Arial"/>
                <w:sz w:val="18"/>
                <w:szCs w:val="18"/>
              </w:rPr>
              <w:t>1438 (propiconazole)</w:t>
            </w:r>
          </w:p>
          <w:p w14:paraId="3D932936" w14:textId="77777777" w:rsidR="00692E71" w:rsidRPr="00275290" w:rsidRDefault="00692E71" w:rsidP="008E0250">
            <w:pPr>
              <w:keepNext/>
              <w:keepLines/>
              <w:jc w:val="center"/>
              <w:rPr>
                <w:rFonts w:cs="Arial"/>
                <w:sz w:val="18"/>
                <w:szCs w:val="18"/>
              </w:rPr>
            </w:pPr>
            <w:r w:rsidRPr="00275290">
              <w:rPr>
                <w:rFonts w:cs="Arial"/>
                <w:sz w:val="18"/>
                <w:szCs w:val="18"/>
              </w:rPr>
              <w:t xml:space="preserve"> 600 (tebuconazole)</w:t>
            </w:r>
          </w:p>
          <w:p w14:paraId="51A0D8A1" w14:textId="77777777" w:rsidR="00692E71" w:rsidRPr="00275290" w:rsidRDefault="00692E71" w:rsidP="008E0250">
            <w:pPr>
              <w:keepNext/>
              <w:keepLines/>
              <w:jc w:val="center"/>
              <w:rPr>
                <w:rFonts w:cs="Arial"/>
                <w:sz w:val="18"/>
                <w:szCs w:val="18"/>
              </w:rPr>
            </w:pPr>
            <w:r w:rsidRPr="00275290">
              <w:rPr>
                <w:rFonts w:cs="Arial"/>
                <w:sz w:val="18"/>
                <w:szCs w:val="18"/>
              </w:rPr>
              <w:t>0.01 (cypermethrin)</w:t>
            </w:r>
          </w:p>
        </w:tc>
        <w:tc>
          <w:tcPr>
            <w:tcW w:w="1247" w:type="dxa"/>
            <w:vAlign w:val="center"/>
          </w:tcPr>
          <w:p w14:paraId="22A37FE4" w14:textId="77777777" w:rsidR="00692E71" w:rsidRPr="00275290" w:rsidRDefault="00692E71" w:rsidP="008E0250">
            <w:pPr>
              <w:snapToGrid w:val="0"/>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756E1AC7" w14:textId="77777777" w:rsidR="00692E71" w:rsidRPr="00275290" w:rsidRDefault="00692E71" w:rsidP="008E0250">
            <w:pPr>
              <w:keepNext/>
              <w:keepLines/>
              <w:jc w:val="center"/>
              <w:rPr>
                <w:rFonts w:cs="Arial"/>
                <w:sz w:val="18"/>
                <w:szCs w:val="18"/>
              </w:rPr>
            </w:pPr>
            <w:r w:rsidRPr="00275290">
              <w:rPr>
                <w:rFonts w:cs="Arial"/>
                <w:sz w:val="18"/>
                <w:szCs w:val="18"/>
              </w:rPr>
              <w:t>O</w:t>
            </w:r>
          </w:p>
        </w:tc>
      </w:tr>
    </w:tbl>
    <w:p w14:paraId="34E0CC18" w14:textId="77777777" w:rsidR="00692E71" w:rsidRPr="00275290" w:rsidRDefault="00692E71" w:rsidP="00692E71">
      <w:pPr>
        <w:spacing w:before="240"/>
        <w:rPr>
          <w:rFonts w:cs="Arial"/>
        </w:rPr>
      </w:pPr>
      <w:r w:rsidRPr="00275290">
        <w:rPr>
          <w:rFonts w:cs="Arial"/>
          <w:iCs/>
        </w:rPr>
        <w:t>The average concentration in the pore water can be calculated as</w:t>
      </w:r>
      <w:r w:rsidRPr="00275290">
        <w:rPr>
          <w:rFonts w:cs="Arial"/>
        </w:rPr>
        <w:t>:</w:t>
      </w:r>
    </w:p>
    <w:p w14:paraId="2F0276CF" w14:textId="77777777" w:rsidR="00692E71" w:rsidRPr="00275290" w:rsidRDefault="00692E71" w:rsidP="00692E71">
      <w:pPr>
        <w:spacing w:before="240"/>
        <w:rPr>
          <w:rFonts w:cs="Arial"/>
          <w:iCs/>
          <w:vertAlign w:val="subscript"/>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xml:space="preserve">= </w:t>
      </w:r>
      <w:r w:rsidRPr="00275290">
        <w:rPr>
          <w:rFonts w:cs="Arial"/>
        </w:rPr>
        <w:t>Clocal</w:t>
      </w:r>
      <w:r w:rsidRPr="00275290">
        <w:rPr>
          <w:rFonts w:cs="Arial"/>
          <w:vertAlign w:val="subscript"/>
        </w:rPr>
        <w:t>soil,</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0C949E9F" w14:textId="77777777" w:rsidR="00692E71" w:rsidRPr="00275290" w:rsidRDefault="00692E71" w:rsidP="00692E71">
      <w:pPr>
        <w:rPr>
          <w:rFonts w:cs="Arial"/>
          <w:iCs/>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xml:space="preserve">= </w:t>
      </w:r>
      <w:r w:rsidRPr="00275290">
        <w:rPr>
          <w:rFonts w:cs="Arial"/>
        </w:rPr>
        <w:t>3.3*10</w:t>
      </w:r>
      <w:r w:rsidRPr="00275290">
        <w:rPr>
          <w:rFonts w:cs="Arial"/>
          <w:vertAlign w:val="superscript"/>
        </w:rPr>
        <w:t>-2</w:t>
      </w:r>
      <w:r w:rsidRPr="00275290">
        <w:rPr>
          <w:rFonts w:cs="Arial"/>
          <w:iCs/>
        </w:rPr>
        <w:t xml:space="preserve"> * 1700 / 3.98</w:t>
      </w:r>
    </w:p>
    <w:p w14:paraId="3C95EED0" w14:textId="77777777" w:rsidR="00692E71" w:rsidRPr="00275290" w:rsidRDefault="00692E71" w:rsidP="00692E71">
      <w:pPr>
        <w:spacing w:after="240"/>
        <w:rPr>
          <w:rFonts w:cs="Arial"/>
          <w:vertAlign w:val="superscript"/>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xml:space="preserve">= 13.93 </w:t>
      </w:r>
      <w:r w:rsidRPr="00275290">
        <w:rPr>
          <w:rFonts w:cs="Arial"/>
        </w:rPr>
        <w:t>µg.L</w:t>
      </w:r>
      <w:r w:rsidRPr="00275290">
        <w:rPr>
          <w:rFonts w:cs="Arial"/>
          <w:vertAlign w:val="superscript"/>
        </w:rPr>
        <w:t>-1</w:t>
      </w:r>
    </w:p>
    <w:p w14:paraId="5EF76C1D" w14:textId="77777777" w:rsidR="00692E71" w:rsidRPr="00575E63" w:rsidRDefault="00692E71" w:rsidP="00692E71">
      <w:pPr>
        <w:spacing w:after="360"/>
        <w:rPr>
          <w:rFonts w:ascii="Arial" w:hAnsi="Arial" w:cs="Arial"/>
        </w:rPr>
      </w:pPr>
    </w:p>
    <w:p w14:paraId="54FB8A79" w14:textId="77777777" w:rsidR="00692E71" w:rsidRPr="008E0250" w:rsidRDefault="00692E71" w:rsidP="008E0250">
      <w:pPr>
        <w:pStyle w:val="Titre5"/>
      </w:pPr>
      <w:bookmarkStart w:id="122" w:name="_Toc452668983"/>
      <w:r w:rsidRPr="008E0250">
        <w:t>Emission from in-situ treatments</w:t>
      </w:r>
      <w:bookmarkEnd w:id="122"/>
    </w:p>
    <w:p w14:paraId="50FC1A0D" w14:textId="77777777" w:rsidR="00692E71" w:rsidRPr="00275290" w:rsidRDefault="00692E71" w:rsidP="00692E71">
      <w:pPr>
        <w:keepNext/>
        <w:spacing w:before="240"/>
        <w:rPr>
          <w:rFonts w:cs="Arial"/>
        </w:rPr>
      </w:pPr>
      <w:r w:rsidRPr="00275290">
        <w:rPr>
          <w:rFonts w:cs="Arial"/>
        </w:rPr>
        <w:t xml:space="preserve">For the </w:t>
      </w:r>
      <w:r w:rsidRPr="00275290">
        <w:rPr>
          <w:rFonts w:cs="Arial"/>
          <w:i/>
        </w:rPr>
        <w:t>in situ</w:t>
      </w:r>
      <w:r w:rsidRPr="00275290">
        <w:rPr>
          <w:rFonts w:cs="Arial"/>
        </w:rPr>
        <w:t xml:space="preserve"> brushing application the following scenarios were considered:</w:t>
      </w:r>
    </w:p>
    <w:p w14:paraId="7280333F" w14:textId="77777777" w:rsidR="00692E71" w:rsidRPr="00275290" w:rsidRDefault="00692E71" w:rsidP="00F32B7F">
      <w:pPr>
        <w:pStyle w:val="Paragraphedeliste"/>
        <w:numPr>
          <w:ilvl w:val="0"/>
          <w:numId w:val="13"/>
        </w:numPr>
        <w:suppressAutoHyphens w:val="0"/>
        <w:autoSpaceDE w:val="0"/>
        <w:autoSpaceDN w:val="0"/>
        <w:adjustRightInd w:val="0"/>
        <w:rPr>
          <w:rFonts w:cs="Arial"/>
        </w:rPr>
      </w:pPr>
      <w:r w:rsidRPr="00275290">
        <w:rPr>
          <w:rFonts w:cs="Arial"/>
        </w:rPr>
        <w:t>House (ESD 4.2.4.1)</w:t>
      </w:r>
    </w:p>
    <w:p w14:paraId="3B3ADF83" w14:textId="77777777" w:rsidR="00692E71" w:rsidRPr="00275290" w:rsidRDefault="00692E71" w:rsidP="00F32B7F">
      <w:pPr>
        <w:pStyle w:val="Paragraphedeliste"/>
        <w:numPr>
          <w:ilvl w:val="0"/>
          <w:numId w:val="13"/>
        </w:numPr>
        <w:suppressAutoHyphens w:val="0"/>
        <w:autoSpaceDE w:val="0"/>
        <w:autoSpaceDN w:val="0"/>
        <w:adjustRightInd w:val="0"/>
        <w:rPr>
          <w:rFonts w:cs="Arial"/>
        </w:rPr>
      </w:pPr>
      <w:r w:rsidRPr="00275290">
        <w:rPr>
          <w:rFonts w:cs="Arial"/>
        </w:rPr>
        <w:t>Fence (ESD 4.2.4.2)</w:t>
      </w:r>
    </w:p>
    <w:p w14:paraId="5C9D8685" w14:textId="77777777" w:rsidR="00692E71" w:rsidRPr="00275290" w:rsidRDefault="00692E71" w:rsidP="00F32B7F">
      <w:pPr>
        <w:pStyle w:val="Paragraphedeliste"/>
        <w:numPr>
          <w:ilvl w:val="0"/>
          <w:numId w:val="13"/>
        </w:numPr>
        <w:suppressAutoHyphens w:val="0"/>
        <w:autoSpaceDE w:val="0"/>
        <w:autoSpaceDN w:val="0"/>
        <w:adjustRightInd w:val="0"/>
        <w:rPr>
          <w:rFonts w:cs="Arial"/>
        </w:rPr>
      </w:pPr>
      <w:r w:rsidRPr="00275290">
        <w:rPr>
          <w:rFonts w:cs="Arial"/>
        </w:rPr>
        <w:t>Bridge over Pond (ESD 4.2.4.3)</w:t>
      </w:r>
    </w:p>
    <w:p w14:paraId="223E85AB" w14:textId="77777777" w:rsidR="00692E71" w:rsidRPr="00275290" w:rsidRDefault="00692E71" w:rsidP="00692E71">
      <w:pPr>
        <w:spacing w:before="120" w:after="120"/>
        <w:rPr>
          <w:rFonts w:cs="Arial"/>
        </w:rPr>
      </w:pPr>
      <w:r w:rsidRPr="00275290">
        <w:rPr>
          <w:rFonts w:cs="Arial"/>
        </w:rPr>
        <w:t xml:space="preserve">For the </w:t>
      </w:r>
      <w:r w:rsidRPr="00275290">
        <w:rPr>
          <w:rFonts w:cs="Arial"/>
          <w:i/>
        </w:rPr>
        <w:t>in-situ</w:t>
      </w:r>
      <w:r w:rsidRPr="00275290">
        <w:rPr>
          <w:rFonts w:cs="Arial"/>
        </w:rPr>
        <w:t xml:space="preserve"> spraying application the House scenario for outdoor spraying was used (ESD 4.4.5).</w:t>
      </w:r>
    </w:p>
    <w:p w14:paraId="539AB36F" w14:textId="77777777" w:rsidR="00692E71" w:rsidRPr="00275290" w:rsidRDefault="00692E71" w:rsidP="00692E71">
      <w:pPr>
        <w:rPr>
          <w:rFonts w:cs="Arial"/>
        </w:rPr>
      </w:pPr>
      <w:r w:rsidRPr="00275290">
        <w:rPr>
          <w:rFonts w:cs="Arial"/>
        </w:rPr>
        <w:t xml:space="preserve">Default values and formula are taken from the </w:t>
      </w:r>
      <w:r w:rsidRPr="00275290">
        <w:rPr>
          <w:rFonts w:cs="Arial"/>
          <w:bCs/>
        </w:rPr>
        <w:t>Revised Emission Scenario Document for Wood Preservatives (ESD) and the Technical Guidance Document (TGD)</w:t>
      </w:r>
      <w:r w:rsidRPr="00275290">
        <w:rPr>
          <w:rFonts w:cs="Arial"/>
        </w:rPr>
        <w:t>.</w:t>
      </w:r>
    </w:p>
    <w:p w14:paraId="70E279A5" w14:textId="77777777" w:rsidR="00692E71" w:rsidRPr="00275290" w:rsidRDefault="00692E71" w:rsidP="00692E71">
      <w:pPr>
        <w:spacing w:before="240" w:after="240"/>
        <w:rPr>
          <w:rFonts w:eastAsiaTheme="minorHAnsi" w:cs="Arial"/>
          <w:lang w:eastAsia="en-US"/>
        </w:rPr>
      </w:pPr>
      <w:r w:rsidRPr="00275290">
        <w:rPr>
          <w:rFonts w:cs="Arial"/>
        </w:rPr>
        <w:t>For the applications foreseen, where a risk assessment is needed for this product the application rate of 200 g/m</w:t>
      </w:r>
      <w:r w:rsidRPr="00275290">
        <w:rPr>
          <w:rFonts w:cs="Arial"/>
          <w:vertAlign w:val="superscript"/>
        </w:rPr>
        <w:t>2</w:t>
      </w:r>
      <w:r w:rsidRPr="00275290">
        <w:rPr>
          <w:rFonts w:cs="Arial"/>
        </w:rPr>
        <w:t xml:space="preserve"> </w:t>
      </w:r>
      <w:r w:rsidRPr="00275290">
        <w:rPr>
          <w:rFonts w:eastAsiaTheme="minorHAnsi" w:cs="Arial"/>
          <w:lang w:eastAsia="en-US"/>
        </w:rPr>
        <w:t>for preventive treatments</w:t>
      </w:r>
      <w:r w:rsidRPr="00275290">
        <w:rPr>
          <w:rFonts w:cs="Arial"/>
        </w:rPr>
        <w:t xml:space="preserve"> is used. </w:t>
      </w:r>
      <w:r w:rsidRPr="00275290">
        <w:rPr>
          <w:rFonts w:eastAsiaTheme="minorHAnsi" w:cs="Arial"/>
          <w:lang w:eastAsia="en-US"/>
        </w:rPr>
        <w:t>Indeed, as curative treatments are intended for the treatment of wood used in risk class 2, no emission into the environment is foreseen during the application or during the service life of the wood.</w:t>
      </w:r>
    </w:p>
    <w:p w14:paraId="3B61A45B" w14:textId="77777777" w:rsidR="00692E71" w:rsidRPr="00275290" w:rsidRDefault="00692E71" w:rsidP="00692E71">
      <w:pPr>
        <w:spacing w:after="240"/>
        <w:rPr>
          <w:rFonts w:cs="Arial"/>
          <w:b/>
        </w:rPr>
      </w:pPr>
      <w:r w:rsidRPr="00275290">
        <w:rPr>
          <w:rFonts w:cs="Arial"/>
        </w:rPr>
        <w:t xml:space="preserve">- </w:t>
      </w:r>
      <w:r w:rsidRPr="00275290">
        <w:rPr>
          <w:rFonts w:cs="Arial"/>
          <w:i/>
        </w:rPr>
        <w:t>In-situ</w:t>
      </w:r>
      <w:r w:rsidRPr="00275290">
        <w:rPr>
          <w:rFonts w:cs="Arial"/>
        </w:rPr>
        <w:t xml:space="preserve"> brushing application</w:t>
      </w:r>
    </w:p>
    <w:p w14:paraId="2BEB02D0" w14:textId="77777777" w:rsidR="00692E71" w:rsidRPr="00275290" w:rsidRDefault="00692E71" w:rsidP="00692E71">
      <w:pPr>
        <w:pStyle w:val="Lgende"/>
        <w:rPr>
          <w:rFonts w:ascii="Verdana" w:hAnsi="Verdana"/>
        </w:rPr>
      </w:pPr>
      <w:r w:rsidRPr="00275290">
        <w:rPr>
          <w:rFonts w:ascii="Verdana" w:hAnsi="Verdana"/>
        </w:rPr>
        <w:lastRenderedPageBreak/>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6</w:t>
      </w:r>
      <w:r w:rsidRPr="00275290">
        <w:rPr>
          <w:rFonts w:ascii="Verdana" w:hAnsi="Verdana"/>
        </w:rPr>
        <w:fldChar w:fldCharType="end"/>
      </w:r>
      <w:r w:rsidRPr="00275290">
        <w:rPr>
          <w:rFonts w:ascii="Verdana" w:hAnsi="Verdana"/>
        </w:rPr>
        <w:t xml:space="preserve">: Calculations of emissions from </w:t>
      </w:r>
      <w:r w:rsidRPr="00275290">
        <w:rPr>
          <w:rFonts w:ascii="Verdana" w:hAnsi="Verdana"/>
          <w:i/>
        </w:rPr>
        <w:t>in-situ</w:t>
      </w:r>
      <w:r w:rsidRPr="00275290">
        <w:rPr>
          <w:rFonts w:ascii="Verdana" w:hAnsi="Verdana"/>
        </w:rPr>
        <w:t xml:space="preserve"> brushing.</w:t>
      </w:r>
    </w:p>
    <w:tbl>
      <w:tblPr>
        <w:tblW w:w="9308" w:type="dxa"/>
        <w:tblInd w:w="108" w:type="dxa"/>
        <w:tblLook w:val="04A0" w:firstRow="1" w:lastRow="0" w:firstColumn="1" w:lastColumn="0" w:noHBand="0" w:noVBand="1"/>
      </w:tblPr>
      <w:tblGrid>
        <w:gridCol w:w="3061"/>
        <w:gridCol w:w="1559"/>
        <w:gridCol w:w="2494"/>
        <w:gridCol w:w="1276"/>
        <w:gridCol w:w="918"/>
      </w:tblGrid>
      <w:tr w:rsidR="00692E71" w:rsidRPr="00275290" w14:paraId="11562BC4" w14:textId="77777777" w:rsidTr="008E0250">
        <w:trPr>
          <w:trHeight w:val="478"/>
          <w:tblHeader/>
        </w:trPr>
        <w:tc>
          <w:tcPr>
            <w:tcW w:w="3061" w:type="dxa"/>
            <w:shd w:val="clear" w:color="auto" w:fill="D9D9D9" w:themeFill="background1" w:themeFillShade="D9"/>
            <w:vAlign w:val="center"/>
          </w:tcPr>
          <w:p w14:paraId="71D7B189" w14:textId="77777777" w:rsidR="00692E71" w:rsidRPr="00275290" w:rsidRDefault="00692E71" w:rsidP="008E0250">
            <w:pPr>
              <w:rPr>
                <w:rFonts w:cs="Arial"/>
                <w:sz w:val="18"/>
                <w:szCs w:val="18"/>
              </w:rPr>
            </w:pPr>
            <w:r w:rsidRPr="00275290">
              <w:rPr>
                <w:rFonts w:cs="Arial"/>
                <w:sz w:val="18"/>
                <w:szCs w:val="18"/>
              </w:rPr>
              <w:t>Parameter/variable</w:t>
            </w:r>
          </w:p>
        </w:tc>
        <w:tc>
          <w:tcPr>
            <w:tcW w:w="1559" w:type="dxa"/>
            <w:shd w:val="clear" w:color="auto" w:fill="D9D9D9" w:themeFill="background1" w:themeFillShade="D9"/>
            <w:vAlign w:val="center"/>
          </w:tcPr>
          <w:p w14:paraId="7AC2DC03" w14:textId="77777777" w:rsidR="00692E71" w:rsidRPr="00275290" w:rsidRDefault="00692E71" w:rsidP="008E0250">
            <w:pPr>
              <w:jc w:val="center"/>
              <w:rPr>
                <w:rFonts w:cs="Arial"/>
                <w:sz w:val="18"/>
                <w:szCs w:val="18"/>
              </w:rPr>
            </w:pPr>
            <w:r w:rsidRPr="00275290">
              <w:rPr>
                <w:rFonts w:cs="Arial"/>
                <w:sz w:val="18"/>
                <w:szCs w:val="18"/>
              </w:rPr>
              <w:t>Nomenclature</w:t>
            </w:r>
          </w:p>
        </w:tc>
        <w:tc>
          <w:tcPr>
            <w:tcW w:w="2494" w:type="dxa"/>
            <w:shd w:val="clear" w:color="auto" w:fill="D9D9D9" w:themeFill="background1" w:themeFillShade="D9"/>
            <w:vAlign w:val="center"/>
          </w:tcPr>
          <w:p w14:paraId="207F5A0D" w14:textId="77777777" w:rsidR="00692E71" w:rsidRPr="00275290" w:rsidRDefault="00692E71" w:rsidP="008E0250">
            <w:pPr>
              <w:jc w:val="center"/>
              <w:rPr>
                <w:rFonts w:cs="Arial"/>
                <w:sz w:val="18"/>
                <w:szCs w:val="18"/>
              </w:rPr>
            </w:pPr>
            <w:r w:rsidRPr="00275290">
              <w:rPr>
                <w:rFonts w:cs="Arial"/>
                <w:sz w:val="18"/>
                <w:szCs w:val="18"/>
              </w:rPr>
              <w:t>Value</w:t>
            </w:r>
          </w:p>
        </w:tc>
        <w:tc>
          <w:tcPr>
            <w:tcW w:w="1276" w:type="dxa"/>
            <w:shd w:val="clear" w:color="auto" w:fill="D9D9D9" w:themeFill="background1" w:themeFillShade="D9"/>
            <w:vAlign w:val="center"/>
          </w:tcPr>
          <w:p w14:paraId="50AE5B0C" w14:textId="77777777" w:rsidR="00692E71" w:rsidRPr="00275290" w:rsidRDefault="00692E71" w:rsidP="008E0250">
            <w:pPr>
              <w:jc w:val="center"/>
              <w:rPr>
                <w:rFonts w:cs="Arial"/>
                <w:sz w:val="18"/>
                <w:szCs w:val="18"/>
              </w:rPr>
            </w:pPr>
            <w:r w:rsidRPr="00275290">
              <w:rPr>
                <w:rFonts w:cs="Arial"/>
                <w:sz w:val="18"/>
                <w:szCs w:val="18"/>
              </w:rPr>
              <w:t>Unit</w:t>
            </w:r>
          </w:p>
        </w:tc>
        <w:tc>
          <w:tcPr>
            <w:tcW w:w="918" w:type="dxa"/>
            <w:shd w:val="clear" w:color="auto" w:fill="D9D9D9" w:themeFill="background1" w:themeFillShade="D9"/>
            <w:vAlign w:val="center"/>
          </w:tcPr>
          <w:p w14:paraId="4BE7A949" w14:textId="77777777" w:rsidR="00692E71" w:rsidRPr="00275290" w:rsidRDefault="00692E71" w:rsidP="008E0250">
            <w:pPr>
              <w:jc w:val="center"/>
              <w:rPr>
                <w:rFonts w:cs="Arial"/>
                <w:sz w:val="18"/>
                <w:szCs w:val="18"/>
              </w:rPr>
            </w:pPr>
            <w:r w:rsidRPr="00275290">
              <w:rPr>
                <w:rFonts w:cs="Arial"/>
                <w:sz w:val="18"/>
                <w:szCs w:val="18"/>
              </w:rPr>
              <w:t>Origin</w:t>
            </w:r>
          </w:p>
        </w:tc>
      </w:tr>
      <w:tr w:rsidR="00692E71" w:rsidRPr="00275290" w14:paraId="07E6CD5C" w14:textId="77777777" w:rsidTr="008E0250">
        <w:trPr>
          <w:trHeight w:val="415"/>
        </w:trPr>
        <w:tc>
          <w:tcPr>
            <w:tcW w:w="9308" w:type="dxa"/>
            <w:gridSpan w:val="5"/>
            <w:vAlign w:val="center"/>
          </w:tcPr>
          <w:p w14:paraId="31D9B44D" w14:textId="77777777" w:rsidR="00692E71" w:rsidRPr="00275290" w:rsidRDefault="00692E71" w:rsidP="008E0250">
            <w:pPr>
              <w:rPr>
                <w:rFonts w:cs="Arial"/>
                <w:sz w:val="18"/>
                <w:szCs w:val="18"/>
              </w:rPr>
            </w:pPr>
            <w:r w:rsidRPr="00275290">
              <w:rPr>
                <w:rFonts w:cs="Arial"/>
                <w:sz w:val="18"/>
                <w:szCs w:val="18"/>
              </w:rPr>
              <w:t>INPUTS</w:t>
            </w:r>
          </w:p>
        </w:tc>
      </w:tr>
      <w:tr w:rsidR="00692E71" w:rsidRPr="00275290" w14:paraId="4876E9EA" w14:textId="77777777" w:rsidTr="008E0250">
        <w:tc>
          <w:tcPr>
            <w:tcW w:w="3061" w:type="dxa"/>
            <w:vAlign w:val="center"/>
          </w:tcPr>
          <w:p w14:paraId="3C60FEAA" w14:textId="77777777" w:rsidR="00692E71" w:rsidRPr="00275290" w:rsidRDefault="00692E71" w:rsidP="008E0250">
            <w:pPr>
              <w:rPr>
                <w:rFonts w:cs="Arial"/>
                <w:sz w:val="18"/>
                <w:szCs w:val="18"/>
              </w:rPr>
            </w:pPr>
            <w:r w:rsidRPr="00275290">
              <w:rPr>
                <w:rFonts w:cs="Arial"/>
                <w:sz w:val="18"/>
                <w:szCs w:val="18"/>
              </w:rPr>
              <w:t>Treated wood area</w:t>
            </w:r>
          </w:p>
        </w:tc>
        <w:tc>
          <w:tcPr>
            <w:tcW w:w="1559" w:type="dxa"/>
            <w:vAlign w:val="center"/>
          </w:tcPr>
          <w:p w14:paraId="70169B18" w14:textId="77777777" w:rsidR="00692E71" w:rsidRPr="00275290" w:rsidRDefault="00692E71" w:rsidP="008E0250">
            <w:pPr>
              <w:jc w:val="center"/>
              <w:rPr>
                <w:rFonts w:cs="Arial"/>
                <w:sz w:val="18"/>
                <w:szCs w:val="18"/>
                <w:vertAlign w:val="subscript"/>
              </w:rPr>
            </w:pPr>
            <w:r w:rsidRPr="00275290">
              <w:rPr>
                <w:rFonts w:cs="Arial"/>
                <w:sz w:val="18"/>
                <w:szCs w:val="18"/>
              </w:rPr>
              <w:t>AREA</w:t>
            </w:r>
            <w:r w:rsidRPr="00275290">
              <w:rPr>
                <w:rFonts w:cs="Arial"/>
                <w:sz w:val="18"/>
                <w:szCs w:val="18"/>
                <w:vertAlign w:val="subscript"/>
              </w:rPr>
              <w:t>house</w:t>
            </w:r>
          </w:p>
          <w:p w14:paraId="2E48D1AB" w14:textId="77777777" w:rsidR="00692E71" w:rsidRPr="00275290" w:rsidRDefault="00692E71" w:rsidP="008E0250">
            <w:pPr>
              <w:jc w:val="center"/>
              <w:rPr>
                <w:rFonts w:cs="Arial"/>
                <w:sz w:val="18"/>
                <w:szCs w:val="18"/>
              </w:rPr>
            </w:pPr>
            <w:r w:rsidRPr="00275290">
              <w:rPr>
                <w:rFonts w:cs="Arial"/>
                <w:sz w:val="18"/>
                <w:szCs w:val="18"/>
              </w:rPr>
              <w:t>AREA</w:t>
            </w:r>
            <w:r w:rsidRPr="00275290">
              <w:rPr>
                <w:rFonts w:cs="Arial"/>
                <w:sz w:val="18"/>
                <w:szCs w:val="18"/>
                <w:vertAlign w:val="subscript"/>
              </w:rPr>
              <w:t>fence</w:t>
            </w:r>
          </w:p>
          <w:p w14:paraId="3AA060F7" w14:textId="77777777" w:rsidR="00692E71" w:rsidRPr="00275290" w:rsidRDefault="00692E71" w:rsidP="008E0250">
            <w:pPr>
              <w:jc w:val="center"/>
              <w:rPr>
                <w:rFonts w:cs="Arial"/>
                <w:sz w:val="18"/>
                <w:szCs w:val="18"/>
              </w:rPr>
            </w:pPr>
            <w:r w:rsidRPr="00275290">
              <w:rPr>
                <w:rFonts w:cs="Arial"/>
                <w:sz w:val="18"/>
                <w:szCs w:val="18"/>
              </w:rPr>
              <w:t>AREA</w:t>
            </w:r>
            <w:r w:rsidRPr="00275290">
              <w:rPr>
                <w:rFonts w:cs="Arial"/>
                <w:sz w:val="18"/>
                <w:szCs w:val="18"/>
                <w:vertAlign w:val="subscript"/>
              </w:rPr>
              <w:t>bridge</w:t>
            </w:r>
          </w:p>
        </w:tc>
        <w:tc>
          <w:tcPr>
            <w:tcW w:w="2494" w:type="dxa"/>
            <w:vAlign w:val="center"/>
          </w:tcPr>
          <w:p w14:paraId="35B4C763" w14:textId="77777777" w:rsidR="00692E71" w:rsidRPr="00275290" w:rsidRDefault="00692E71" w:rsidP="008E0250">
            <w:pPr>
              <w:jc w:val="center"/>
              <w:rPr>
                <w:rFonts w:cs="Arial"/>
                <w:sz w:val="18"/>
                <w:szCs w:val="18"/>
              </w:rPr>
            </w:pPr>
            <w:r w:rsidRPr="00275290">
              <w:rPr>
                <w:rFonts w:cs="Arial"/>
                <w:sz w:val="18"/>
                <w:szCs w:val="18"/>
              </w:rPr>
              <w:t>125</w:t>
            </w:r>
          </w:p>
          <w:p w14:paraId="7351EAC4" w14:textId="77777777" w:rsidR="00692E71" w:rsidRPr="00275290" w:rsidRDefault="00692E71" w:rsidP="008E0250">
            <w:pPr>
              <w:jc w:val="center"/>
              <w:rPr>
                <w:rFonts w:cs="Arial"/>
                <w:sz w:val="18"/>
                <w:szCs w:val="18"/>
              </w:rPr>
            </w:pPr>
            <w:r w:rsidRPr="00275290">
              <w:rPr>
                <w:rFonts w:cs="Arial"/>
                <w:sz w:val="18"/>
                <w:szCs w:val="18"/>
              </w:rPr>
              <w:t>2</w:t>
            </w:r>
          </w:p>
          <w:p w14:paraId="28A85E2F" w14:textId="77777777" w:rsidR="00692E71" w:rsidRPr="00275290" w:rsidRDefault="00692E71" w:rsidP="008E0250">
            <w:pPr>
              <w:jc w:val="center"/>
              <w:rPr>
                <w:rFonts w:cs="Arial"/>
                <w:sz w:val="18"/>
                <w:szCs w:val="18"/>
              </w:rPr>
            </w:pPr>
            <w:r w:rsidRPr="00275290">
              <w:rPr>
                <w:rFonts w:cs="Arial"/>
                <w:sz w:val="18"/>
                <w:szCs w:val="18"/>
              </w:rPr>
              <w:t>10</w:t>
            </w:r>
          </w:p>
        </w:tc>
        <w:tc>
          <w:tcPr>
            <w:tcW w:w="1276" w:type="dxa"/>
            <w:vAlign w:val="center"/>
          </w:tcPr>
          <w:p w14:paraId="5E320A03" w14:textId="77777777" w:rsidR="00692E71" w:rsidRPr="00275290" w:rsidRDefault="00692E71" w:rsidP="008E0250">
            <w:pPr>
              <w:jc w:val="center"/>
              <w:rPr>
                <w:rFonts w:cs="Arial"/>
                <w:sz w:val="18"/>
                <w:szCs w:val="18"/>
              </w:rPr>
            </w:pPr>
            <w:r w:rsidRPr="00275290">
              <w:rPr>
                <w:rFonts w:cs="Arial"/>
                <w:sz w:val="18"/>
                <w:szCs w:val="18"/>
              </w:rPr>
              <w:t>[m</w:t>
            </w:r>
            <w:r w:rsidRPr="00275290">
              <w:rPr>
                <w:rFonts w:cs="Arial"/>
                <w:sz w:val="18"/>
                <w:szCs w:val="18"/>
                <w:vertAlign w:val="superscript"/>
              </w:rPr>
              <w:t>2</w:t>
            </w:r>
            <w:r w:rsidRPr="00275290">
              <w:rPr>
                <w:rFonts w:cs="Arial"/>
                <w:sz w:val="18"/>
                <w:szCs w:val="18"/>
              </w:rPr>
              <w:t>/d]</w:t>
            </w:r>
          </w:p>
        </w:tc>
        <w:tc>
          <w:tcPr>
            <w:tcW w:w="918" w:type="dxa"/>
            <w:vAlign w:val="center"/>
          </w:tcPr>
          <w:p w14:paraId="40B7063B"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61B84C03" w14:textId="77777777" w:rsidTr="008E0250">
        <w:tc>
          <w:tcPr>
            <w:tcW w:w="3061" w:type="dxa"/>
            <w:vAlign w:val="center"/>
          </w:tcPr>
          <w:p w14:paraId="14F87FBD" w14:textId="77777777" w:rsidR="00692E71" w:rsidRPr="00275290" w:rsidRDefault="00692E71" w:rsidP="008E0250">
            <w:pPr>
              <w:rPr>
                <w:rFonts w:cs="Arial"/>
                <w:sz w:val="18"/>
                <w:szCs w:val="18"/>
              </w:rPr>
            </w:pPr>
            <w:r w:rsidRPr="00275290">
              <w:rPr>
                <w:rFonts w:cs="Arial"/>
                <w:sz w:val="18"/>
                <w:szCs w:val="18"/>
              </w:rPr>
              <w:t>Application rate of the product</w:t>
            </w:r>
          </w:p>
        </w:tc>
        <w:tc>
          <w:tcPr>
            <w:tcW w:w="1559" w:type="dxa"/>
            <w:vAlign w:val="center"/>
          </w:tcPr>
          <w:p w14:paraId="1C494550" w14:textId="77777777" w:rsidR="00692E71" w:rsidRPr="00275290" w:rsidRDefault="00692E71" w:rsidP="008E0250">
            <w:pPr>
              <w:jc w:val="center"/>
              <w:rPr>
                <w:rFonts w:cs="Arial"/>
                <w:sz w:val="18"/>
                <w:szCs w:val="18"/>
              </w:rPr>
            </w:pPr>
            <w:r w:rsidRPr="00275290">
              <w:rPr>
                <w:rFonts w:cs="Arial"/>
                <w:sz w:val="18"/>
                <w:szCs w:val="18"/>
              </w:rPr>
              <w:t>Q</w:t>
            </w:r>
            <w:r w:rsidRPr="00275290">
              <w:rPr>
                <w:rFonts w:cs="Arial"/>
                <w:sz w:val="18"/>
                <w:szCs w:val="18"/>
                <w:vertAlign w:val="subscript"/>
              </w:rPr>
              <w:t>applic,product</w:t>
            </w:r>
          </w:p>
        </w:tc>
        <w:tc>
          <w:tcPr>
            <w:tcW w:w="2494" w:type="dxa"/>
            <w:vAlign w:val="center"/>
          </w:tcPr>
          <w:p w14:paraId="41F4C4C3" w14:textId="77777777" w:rsidR="00692E71" w:rsidRPr="00275290" w:rsidRDefault="00692E71" w:rsidP="008E0250">
            <w:pPr>
              <w:jc w:val="center"/>
              <w:rPr>
                <w:rFonts w:cs="Arial"/>
                <w:sz w:val="18"/>
                <w:szCs w:val="18"/>
              </w:rPr>
            </w:pPr>
            <w:r w:rsidRPr="00275290">
              <w:rPr>
                <w:rFonts w:cs="Arial"/>
                <w:sz w:val="18"/>
                <w:szCs w:val="18"/>
              </w:rPr>
              <w:t>0.200</w:t>
            </w:r>
          </w:p>
        </w:tc>
        <w:tc>
          <w:tcPr>
            <w:tcW w:w="1276" w:type="dxa"/>
            <w:vAlign w:val="center"/>
          </w:tcPr>
          <w:p w14:paraId="662D373E" w14:textId="77777777" w:rsidR="00692E71" w:rsidRPr="00275290" w:rsidRDefault="00692E71" w:rsidP="008E0250">
            <w:pPr>
              <w:jc w:val="center"/>
              <w:rPr>
                <w:rFonts w:cs="Arial"/>
                <w:sz w:val="18"/>
                <w:szCs w:val="18"/>
              </w:rPr>
            </w:pPr>
            <w:r w:rsidRPr="00275290">
              <w:rPr>
                <w:rFonts w:cs="Arial"/>
                <w:sz w:val="18"/>
                <w:szCs w:val="18"/>
              </w:rPr>
              <w:t>[kg/m²]</w:t>
            </w:r>
          </w:p>
        </w:tc>
        <w:tc>
          <w:tcPr>
            <w:tcW w:w="918" w:type="dxa"/>
            <w:vAlign w:val="center"/>
          </w:tcPr>
          <w:p w14:paraId="6FAD2D85" w14:textId="77777777" w:rsidR="00692E71" w:rsidRPr="00275290" w:rsidRDefault="00692E71" w:rsidP="008E0250">
            <w:pPr>
              <w:jc w:val="center"/>
              <w:rPr>
                <w:rFonts w:cs="Arial"/>
                <w:sz w:val="18"/>
                <w:szCs w:val="18"/>
              </w:rPr>
            </w:pPr>
            <w:r w:rsidRPr="00275290">
              <w:rPr>
                <w:rFonts w:cs="Arial"/>
                <w:sz w:val="18"/>
                <w:szCs w:val="18"/>
              </w:rPr>
              <w:t>A</w:t>
            </w:r>
          </w:p>
        </w:tc>
      </w:tr>
      <w:tr w:rsidR="00692E71" w:rsidRPr="00275290" w14:paraId="19118B67" w14:textId="77777777" w:rsidTr="008E0250">
        <w:tc>
          <w:tcPr>
            <w:tcW w:w="3061" w:type="dxa"/>
            <w:vAlign w:val="center"/>
          </w:tcPr>
          <w:p w14:paraId="7649034D" w14:textId="77777777" w:rsidR="00692E71" w:rsidRPr="00275290" w:rsidRDefault="00692E71" w:rsidP="008E0250">
            <w:pPr>
              <w:rPr>
                <w:rFonts w:cs="Arial"/>
                <w:sz w:val="18"/>
                <w:szCs w:val="18"/>
              </w:rPr>
            </w:pPr>
            <w:r w:rsidRPr="00275290">
              <w:rPr>
                <w:rFonts w:cs="Arial"/>
                <w:sz w:val="18"/>
                <w:szCs w:val="18"/>
              </w:rPr>
              <w:t>Content of active substance in the product</w:t>
            </w:r>
          </w:p>
        </w:tc>
        <w:tc>
          <w:tcPr>
            <w:tcW w:w="1559" w:type="dxa"/>
            <w:vAlign w:val="center"/>
          </w:tcPr>
          <w:p w14:paraId="6A10969C" w14:textId="77777777" w:rsidR="00692E71" w:rsidRPr="00275290" w:rsidRDefault="00692E71" w:rsidP="008E0250">
            <w:pPr>
              <w:jc w:val="center"/>
              <w:rPr>
                <w:rFonts w:cs="Arial"/>
                <w:sz w:val="18"/>
                <w:szCs w:val="18"/>
              </w:rPr>
            </w:pPr>
            <w:r w:rsidRPr="00275290">
              <w:rPr>
                <w:rFonts w:cs="Arial"/>
                <w:sz w:val="18"/>
                <w:szCs w:val="18"/>
              </w:rPr>
              <w:t>f</w:t>
            </w:r>
            <w:r w:rsidRPr="00275290">
              <w:rPr>
                <w:rFonts w:cs="Arial"/>
                <w:sz w:val="18"/>
                <w:szCs w:val="18"/>
                <w:vertAlign w:val="subscript"/>
              </w:rPr>
              <w:t>a.i.</w:t>
            </w:r>
          </w:p>
        </w:tc>
        <w:tc>
          <w:tcPr>
            <w:tcW w:w="2494" w:type="dxa"/>
            <w:vAlign w:val="center"/>
          </w:tcPr>
          <w:p w14:paraId="196EBF68" w14:textId="77777777" w:rsidR="00692E71" w:rsidRPr="00275290" w:rsidRDefault="00692E71" w:rsidP="008E0250">
            <w:pPr>
              <w:spacing w:before="34" w:line="225" w:lineRule="exact"/>
              <w:ind w:right="-20"/>
              <w:jc w:val="center"/>
              <w:rPr>
                <w:rFonts w:cs="Arial"/>
                <w:sz w:val="18"/>
                <w:szCs w:val="18"/>
              </w:rPr>
            </w:pPr>
            <w:r w:rsidRPr="00275290">
              <w:rPr>
                <w:rFonts w:cs="Arial"/>
                <w:sz w:val="18"/>
                <w:szCs w:val="18"/>
              </w:rPr>
              <w:t>0.05% IPBC</w:t>
            </w:r>
          </w:p>
          <w:p w14:paraId="48B1BF5D" w14:textId="77777777" w:rsidR="00692E71" w:rsidRPr="00275290" w:rsidRDefault="00692E71" w:rsidP="008E0250">
            <w:pPr>
              <w:spacing w:before="34" w:line="225" w:lineRule="exact"/>
              <w:ind w:right="-20"/>
              <w:jc w:val="center"/>
              <w:rPr>
                <w:rFonts w:cs="Arial"/>
                <w:sz w:val="18"/>
                <w:szCs w:val="18"/>
              </w:rPr>
            </w:pPr>
            <w:r w:rsidRPr="00275290">
              <w:rPr>
                <w:rFonts w:cs="Arial"/>
                <w:sz w:val="18"/>
                <w:szCs w:val="18"/>
              </w:rPr>
              <w:t>0.15% propiconazole</w:t>
            </w:r>
          </w:p>
          <w:p w14:paraId="660730AB" w14:textId="77777777" w:rsidR="00692E71" w:rsidRPr="00275290" w:rsidRDefault="00692E71" w:rsidP="008E0250">
            <w:pPr>
              <w:jc w:val="center"/>
              <w:rPr>
                <w:rFonts w:cs="Arial"/>
                <w:sz w:val="18"/>
                <w:szCs w:val="18"/>
              </w:rPr>
            </w:pPr>
            <w:r w:rsidRPr="00275290">
              <w:rPr>
                <w:rFonts w:cs="Arial"/>
                <w:sz w:val="18"/>
                <w:szCs w:val="18"/>
              </w:rPr>
              <w:t>0.05% tebuconazole</w:t>
            </w:r>
          </w:p>
          <w:p w14:paraId="3CE300D0" w14:textId="77777777" w:rsidR="00692E71" w:rsidRPr="00275290" w:rsidRDefault="00692E71" w:rsidP="008E0250">
            <w:pPr>
              <w:jc w:val="center"/>
              <w:rPr>
                <w:rFonts w:cs="Arial"/>
                <w:sz w:val="18"/>
                <w:szCs w:val="18"/>
              </w:rPr>
            </w:pPr>
            <w:r w:rsidRPr="00275290">
              <w:rPr>
                <w:rFonts w:cs="Arial"/>
                <w:sz w:val="18"/>
                <w:szCs w:val="18"/>
              </w:rPr>
              <w:t>0.07% cypermethrin</w:t>
            </w:r>
          </w:p>
        </w:tc>
        <w:tc>
          <w:tcPr>
            <w:tcW w:w="1276" w:type="dxa"/>
            <w:vAlign w:val="center"/>
          </w:tcPr>
          <w:p w14:paraId="6BA30C98" w14:textId="77777777" w:rsidR="00692E71" w:rsidRPr="00275290" w:rsidRDefault="00692E71" w:rsidP="008E0250">
            <w:pPr>
              <w:jc w:val="center"/>
              <w:rPr>
                <w:rFonts w:cs="Arial"/>
                <w:sz w:val="18"/>
                <w:szCs w:val="18"/>
              </w:rPr>
            </w:pPr>
            <w:r w:rsidRPr="00275290">
              <w:rPr>
                <w:rFonts w:cs="Arial"/>
                <w:sz w:val="18"/>
                <w:szCs w:val="18"/>
              </w:rPr>
              <w:t>[%]</w:t>
            </w:r>
          </w:p>
        </w:tc>
        <w:tc>
          <w:tcPr>
            <w:tcW w:w="918" w:type="dxa"/>
            <w:vAlign w:val="center"/>
          </w:tcPr>
          <w:p w14:paraId="692705AC" w14:textId="77777777" w:rsidR="00692E71" w:rsidRPr="00275290" w:rsidRDefault="00692E71" w:rsidP="008E0250">
            <w:pPr>
              <w:jc w:val="center"/>
              <w:rPr>
                <w:rFonts w:cs="Arial"/>
                <w:sz w:val="18"/>
                <w:szCs w:val="18"/>
              </w:rPr>
            </w:pPr>
            <w:r w:rsidRPr="00275290">
              <w:rPr>
                <w:rFonts w:cs="Arial"/>
                <w:sz w:val="18"/>
                <w:szCs w:val="18"/>
              </w:rPr>
              <w:t>A</w:t>
            </w:r>
          </w:p>
        </w:tc>
      </w:tr>
      <w:tr w:rsidR="00692E71" w:rsidRPr="00275290" w14:paraId="1EEEBF1B" w14:textId="77777777" w:rsidTr="008E0250">
        <w:tc>
          <w:tcPr>
            <w:tcW w:w="3061" w:type="dxa"/>
            <w:vAlign w:val="center"/>
          </w:tcPr>
          <w:p w14:paraId="511DA1D1" w14:textId="77777777" w:rsidR="00692E71" w:rsidRPr="00275290" w:rsidRDefault="00692E71" w:rsidP="008E0250">
            <w:pPr>
              <w:rPr>
                <w:rFonts w:cs="Arial"/>
                <w:sz w:val="18"/>
                <w:szCs w:val="18"/>
              </w:rPr>
            </w:pPr>
            <w:r w:rsidRPr="00275290">
              <w:rPr>
                <w:rFonts w:cs="Arial"/>
                <w:sz w:val="18"/>
                <w:szCs w:val="18"/>
              </w:rPr>
              <w:t>Density of product</w:t>
            </w:r>
          </w:p>
        </w:tc>
        <w:tc>
          <w:tcPr>
            <w:tcW w:w="1559" w:type="dxa"/>
            <w:vAlign w:val="center"/>
          </w:tcPr>
          <w:p w14:paraId="78D5BFFD" w14:textId="77777777" w:rsidR="00692E71" w:rsidRPr="00275290" w:rsidRDefault="00692E71" w:rsidP="008E0250">
            <w:pPr>
              <w:jc w:val="center"/>
              <w:rPr>
                <w:rFonts w:cs="Arial"/>
                <w:sz w:val="18"/>
                <w:szCs w:val="18"/>
              </w:rPr>
            </w:pPr>
            <w:r w:rsidRPr="00275290">
              <w:rPr>
                <w:rFonts w:cs="Arial"/>
                <w:sz w:val="18"/>
                <w:szCs w:val="18"/>
              </w:rPr>
              <w:t>RHO</w:t>
            </w:r>
            <w:r w:rsidRPr="00275290">
              <w:rPr>
                <w:rFonts w:cs="Arial"/>
                <w:sz w:val="18"/>
                <w:szCs w:val="18"/>
                <w:vertAlign w:val="subscript"/>
              </w:rPr>
              <w:t>product</w:t>
            </w:r>
          </w:p>
        </w:tc>
        <w:tc>
          <w:tcPr>
            <w:tcW w:w="2494" w:type="dxa"/>
            <w:vAlign w:val="center"/>
          </w:tcPr>
          <w:p w14:paraId="3B3350C9" w14:textId="77777777" w:rsidR="00692E71" w:rsidRPr="00275290" w:rsidRDefault="00692E71" w:rsidP="008E0250">
            <w:pPr>
              <w:spacing w:before="34" w:line="225" w:lineRule="exact"/>
              <w:ind w:right="-20"/>
              <w:jc w:val="center"/>
              <w:rPr>
                <w:rFonts w:cs="Arial"/>
                <w:sz w:val="18"/>
                <w:szCs w:val="18"/>
              </w:rPr>
            </w:pPr>
            <w:r w:rsidRPr="00275290">
              <w:rPr>
                <w:rFonts w:cs="Arial"/>
                <w:sz w:val="18"/>
                <w:szCs w:val="18"/>
              </w:rPr>
              <w:t>Not relevant</w:t>
            </w:r>
          </w:p>
        </w:tc>
        <w:tc>
          <w:tcPr>
            <w:tcW w:w="1276" w:type="dxa"/>
            <w:vAlign w:val="center"/>
          </w:tcPr>
          <w:p w14:paraId="3AAEFCDF" w14:textId="77777777" w:rsidR="00692E71" w:rsidRPr="00275290" w:rsidRDefault="00692E71" w:rsidP="008E0250">
            <w:pPr>
              <w:jc w:val="center"/>
              <w:rPr>
                <w:rFonts w:cs="Arial"/>
                <w:sz w:val="18"/>
                <w:szCs w:val="18"/>
              </w:rPr>
            </w:pPr>
            <w:r w:rsidRPr="00275290">
              <w:rPr>
                <w:rFonts w:cs="Arial"/>
                <w:sz w:val="18"/>
                <w:szCs w:val="18"/>
              </w:rPr>
              <w:t>[kg/L]</w:t>
            </w:r>
          </w:p>
        </w:tc>
        <w:tc>
          <w:tcPr>
            <w:tcW w:w="918" w:type="dxa"/>
            <w:vAlign w:val="center"/>
          </w:tcPr>
          <w:p w14:paraId="6627C649" w14:textId="77777777" w:rsidR="00692E71" w:rsidRPr="00275290" w:rsidRDefault="00692E71" w:rsidP="008E0250">
            <w:pPr>
              <w:jc w:val="center"/>
              <w:rPr>
                <w:rFonts w:cs="Arial"/>
                <w:sz w:val="18"/>
                <w:szCs w:val="18"/>
              </w:rPr>
            </w:pPr>
            <w:r w:rsidRPr="00275290">
              <w:rPr>
                <w:rFonts w:cs="Arial"/>
                <w:sz w:val="18"/>
                <w:szCs w:val="18"/>
              </w:rPr>
              <w:t>A</w:t>
            </w:r>
          </w:p>
        </w:tc>
      </w:tr>
      <w:tr w:rsidR="00692E71" w:rsidRPr="00275290" w14:paraId="62851C83" w14:textId="77777777" w:rsidTr="008E0250">
        <w:tc>
          <w:tcPr>
            <w:tcW w:w="3061" w:type="dxa"/>
            <w:vAlign w:val="center"/>
          </w:tcPr>
          <w:p w14:paraId="48262774" w14:textId="77777777" w:rsidR="00692E71" w:rsidRPr="00275290" w:rsidRDefault="00692E71" w:rsidP="008E0250">
            <w:pPr>
              <w:rPr>
                <w:rFonts w:cs="Arial"/>
                <w:sz w:val="18"/>
                <w:szCs w:val="18"/>
              </w:rPr>
            </w:pPr>
            <w:r w:rsidRPr="00275290">
              <w:rPr>
                <w:rFonts w:cs="Arial"/>
                <w:sz w:val="18"/>
                <w:szCs w:val="18"/>
              </w:rPr>
              <w:t>Fraction of product lost to soil during application</w:t>
            </w:r>
          </w:p>
        </w:tc>
        <w:tc>
          <w:tcPr>
            <w:tcW w:w="1559" w:type="dxa"/>
            <w:vAlign w:val="center"/>
          </w:tcPr>
          <w:p w14:paraId="7AC47344" w14:textId="77777777" w:rsidR="00692E71" w:rsidRPr="00275290" w:rsidRDefault="00692E71" w:rsidP="008E0250">
            <w:pPr>
              <w:jc w:val="center"/>
              <w:rPr>
                <w:rFonts w:cs="Arial"/>
                <w:sz w:val="18"/>
                <w:szCs w:val="18"/>
              </w:rPr>
            </w:pPr>
            <w:r w:rsidRPr="00275290">
              <w:rPr>
                <w:rFonts w:cs="Arial"/>
                <w:sz w:val="18"/>
                <w:szCs w:val="18"/>
              </w:rPr>
              <w:t>F</w:t>
            </w:r>
            <w:r w:rsidRPr="00275290">
              <w:rPr>
                <w:rFonts w:cs="Arial"/>
                <w:sz w:val="18"/>
                <w:szCs w:val="18"/>
                <w:vertAlign w:val="subscript"/>
              </w:rPr>
              <w:t>soil,brush</w:t>
            </w:r>
          </w:p>
        </w:tc>
        <w:tc>
          <w:tcPr>
            <w:tcW w:w="2494" w:type="dxa"/>
            <w:vAlign w:val="center"/>
          </w:tcPr>
          <w:p w14:paraId="5D86E7A5" w14:textId="77777777" w:rsidR="00692E71" w:rsidRPr="00275290" w:rsidRDefault="00692E71" w:rsidP="008E0250">
            <w:pPr>
              <w:jc w:val="center"/>
              <w:rPr>
                <w:rFonts w:cs="Arial"/>
                <w:sz w:val="18"/>
                <w:szCs w:val="18"/>
              </w:rPr>
            </w:pPr>
            <w:r w:rsidRPr="00275290">
              <w:rPr>
                <w:rFonts w:cs="Arial"/>
                <w:sz w:val="18"/>
                <w:szCs w:val="18"/>
              </w:rPr>
              <w:t>0.03 (professional)</w:t>
            </w:r>
          </w:p>
          <w:p w14:paraId="1B718D2B" w14:textId="77777777" w:rsidR="00692E71" w:rsidRPr="00275290" w:rsidRDefault="00692E71" w:rsidP="008E0250">
            <w:pPr>
              <w:spacing w:before="34" w:line="225" w:lineRule="exact"/>
              <w:ind w:right="-20"/>
              <w:jc w:val="center"/>
              <w:rPr>
                <w:rFonts w:cs="Arial"/>
                <w:sz w:val="18"/>
                <w:szCs w:val="18"/>
              </w:rPr>
            </w:pPr>
            <w:r w:rsidRPr="00275290">
              <w:rPr>
                <w:rFonts w:cs="Arial"/>
                <w:sz w:val="18"/>
                <w:szCs w:val="18"/>
              </w:rPr>
              <w:t>0.05 (non-professional)</w:t>
            </w:r>
          </w:p>
        </w:tc>
        <w:tc>
          <w:tcPr>
            <w:tcW w:w="1276" w:type="dxa"/>
            <w:vAlign w:val="center"/>
          </w:tcPr>
          <w:p w14:paraId="6E41777F" w14:textId="77777777" w:rsidR="00692E71" w:rsidRPr="00275290" w:rsidRDefault="00692E71" w:rsidP="008E0250">
            <w:pPr>
              <w:jc w:val="center"/>
              <w:rPr>
                <w:rFonts w:cs="Arial"/>
                <w:sz w:val="18"/>
                <w:szCs w:val="18"/>
              </w:rPr>
            </w:pPr>
            <w:r w:rsidRPr="00275290">
              <w:rPr>
                <w:rFonts w:cs="Arial"/>
                <w:sz w:val="18"/>
                <w:szCs w:val="18"/>
              </w:rPr>
              <w:t>[-]</w:t>
            </w:r>
          </w:p>
        </w:tc>
        <w:tc>
          <w:tcPr>
            <w:tcW w:w="918" w:type="dxa"/>
            <w:vAlign w:val="center"/>
          </w:tcPr>
          <w:p w14:paraId="60922AE9"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49DA90F8" w14:textId="77777777" w:rsidTr="008E0250">
        <w:tc>
          <w:tcPr>
            <w:tcW w:w="3061" w:type="dxa"/>
            <w:vAlign w:val="center"/>
          </w:tcPr>
          <w:p w14:paraId="27A3AEB3" w14:textId="77777777" w:rsidR="00692E71" w:rsidRPr="00275290" w:rsidRDefault="00692E71" w:rsidP="008E0250">
            <w:pPr>
              <w:rPr>
                <w:rFonts w:cs="Arial"/>
                <w:sz w:val="18"/>
                <w:szCs w:val="18"/>
              </w:rPr>
            </w:pPr>
            <w:r w:rsidRPr="00275290">
              <w:rPr>
                <w:rFonts w:cs="Arial"/>
                <w:sz w:val="18"/>
                <w:szCs w:val="18"/>
              </w:rPr>
              <w:t>Fraction of product lost to water during application</w:t>
            </w:r>
          </w:p>
        </w:tc>
        <w:tc>
          <w:tcPr>
            <w:tcW w:w="1559" w:type="dxa"/>
            <w:vAlign w:val="center"/>
          </w:tcPr>
          <w:p w14:paraId="4D71CC16" w14:textId="77777777" w:rsidR="00692E71" w:rsidRPr="00275290" w:rsidRDefault="00692E71" w:rsidP="008E0250">
            <w:pPr>
              <w:jc w:val="center"/>
              <w:rPr>
                <w:rFonts w:cs="Arial"/>
                <w:sz w:val="18"/>
                <w:szCs w:val="18"/>
              </w:rPr>
            </w:pPr>
            <w:r w:rsidRPr="00275290">
              <w:rPr>
                <w:rFonts w:cs="Arial"/>
                <w:sz w:val="18"/>
                <w:szCs w:val="18"/>
              </w:rPr>
              <w:t>F</w:t>
            </w:r>
            <w:r w:rsidRPr="00275290">
              <w:rPr>
                <w:rFonts w:cs="Arial"/>
                <w:sz w:val="18"/>
                <w:szCs w:val="18"/>
                <w:vertAlign w:val="subscript"/>
              </w:rPr>
              <w:t>water,brush</w:t>
            </w:r>
          </w:p>
        </w:tc>
        <w:tc>
          <w:tcPr>
            <w:tcW w:w="2494" w:type="dxa"/>
            <w:vAlign w:val="center"/>
          </w:tcPr>
          <w:p w14:paraId="21AF57A3" w14:textId="77777777" w:rsidR="00692E71" w:rsidRPr="00275290" w:rsidRDefault="00692E71" w:rsidP="008E0250">
            <w:pPr>
              <w:jc w:val="center"/>
              <w:rPr>
                <w:rFonts w:cs="Arial"/>
                <w:sz w:val="18"/>
                <w:szCs w:val="18"/>
              </w:rPr>
            </w:pPr>
            <w:r w:rsidRPr="00275290">
              <w:rPr>
                <w:rFonts w:cs="Arial"/>
                <w:sz w:val="18"/>
                <w:szCs w:val="18"/>
              </w:rPr>
              <w:t>0.03 (professional)</w:t>
            </w:r>
          </w:p>
          <w:p w14:paraId="5EC1D46A" w14:textId="77777777" w:rsidR="00692E71" w:rsidRPr="00275290" w:rsidRDefault="00692E71" w:rsidP="008E0250">
            <w:pPr>
              <w:jc w:val="center"/>
              <w:rPr>
                <w:rFonts w:cs="Arial"/>
                <w:sz w:val="18"/>
                <w:szCs w:val="18"/>
              </w:rPr>
            </w:pPr>
            <w:r w:rsidRPr="00275290">
              <w:rPr>
                <w:rFonts w:cs="Arial"/>
                <w:sz w:val="18"/>
                <w:szCs w:val="18"/>
              </w:rPr>
              <w:t>0.05 (non-professional)</w:t>
            </w:r>
          </w:p>
        </w:tc>
        <w:tc>
          <w:tcPr>
            <w:tcW w:w="1276" w:type="dxa"/>
            <w:vAlign w:val="center"/>
          </w:tcPr>
          <w:p w14:paraId="4CFEDC4B" w14:textId="77777777" w:rsidR="00692E71" w:rsidRPr="00275290" w:rsidRDefault="00692E71" w:rsidP="008E0250">
            <w:pPr>
              <w:jc w:val="center"/>
              <w:rPr>
                <w:rFonts w:cs="Arial"/>
                <w:sz w:val="18"/>
                <w:szCs w:val="18"/>
              </w:rPr>
            </w:pPr>
            <w:r w:rsidRPr="00275290">
              <w:rPr>
                <w:rFonts w:cs="Arial"/>
                <w:sz w:val="18"/>
                <w:szCs w:val="18"/>
              </w:rPr>
              <w:t>[-]</w:t>
            </w:r>
          </w:p>
        </w:tc>
        <w:tc>
          <w:tcPr>
            <w:tcW w:w="918" w:type="dxa"/>
            <w:vAlign w:val="center"/>
          </w:tcPr>
          <w:p w14:paraId="685617C3"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71D8A6FC" w14:textId="77777777" w:rsidTr="008E0250">
        <w:tc>
          <w:tcPr>
            <w:tcW w:w="3061" w:type="dxa"/>
            <w:vAlign w:val="center"/>
          </w:tcPr>
          <w:p w14:paraId="60F860F8" w14:textId="77777777" w:rsidR="00692E71" w:rsidRPr="00275290" w:rsidRDefault="00692E71" w:rsidP="008E0250">
            <w:pPr>
              <w:rPr>
                <w:rFonts w:cs="Arial"/>
                <w:sz w:val="18"/>
                <w:szCs w:val="18"/>
              </w:rPr>
            </w:pPr>
            <w:r w:rsidRPr="00275290">
              <w:rPr>
                <w:rFonts w:cs="Arial"/>
                <w:sz w:val="18"/>
                <w:szCs w:val="18"/>
              </w:rPr>
              <w:t>Volume of contaminated water</w:t>
            </w:r>
          </w:p>
        </w:tc>
        <w:tc>
          <w:tcPr>
            <w:tcW w:w="1559" w:type="dxa"/>
            <w:vAlign w:val="center"/>
          </w:tcPr>
          <w:p w14:paraId="33ACF2FF" w14:textId="77777777" w:rsidR="00692E71" w:rsidRPr="00275290" w:rsidRDefault="00692E71" w:rsidP="008E0250">
            <w:pPr>
              <w:jc w:val="center"/>
              <w:rPr>
                <w:rFonts w:cs="Arial"/>
                <w:sz w:val="18"/>
                <w:szCs w:val="18"/>
              </w:rPr>
            </w:pPr>
            <w:r w:rsidRPr="00275290">
              <w:rPr>
                <w:rFonts w:cs="Arial"/>
                <w:sz w:val="18"/>
                <w:szCs w:val="18"/>
              </w:rPr>
              <w:t>V</w:t>
            </w:r>
            <w:r w:rsidRPr="00275290">
              <w:rPr>
                <w:rFonts w:cs="Arial"/>
                <w:sz w:val="18"/>
                <w:szCs w:val="18"/>
                <w:vertAlign w:val="subscript"/>
              </w:rPr>
              <w:t>water</w:t>
            </w:r>
            <w:r w:rsidRPr="00275290">
              <w:rPr>
                <w:rFonts w:cs="Arial"/>
                <w:sz w:val="18"/>
                <w:szCs w:val="18"/>
              </w:rPr>
              <w:t xml:space="preserve"> </w:t>
            </w:r>
            <w:r w:rsidRPr="00275290">
              <w:rPr>
                <w:rFonts w:cs="Arial"/>
                <w:sz w:val="18"/>
                <w:szCs w:val="18"/>
                <w:vertAlign w:val="subscript"/>
              </w:rPr>
              <w:t>bridge</w:t>
            </w:r>
          </w:p>
        </w:tc>
        <w:tc>
          <w:tcPr>
            <w:tcW w:w="2494" w:type="dxa"/>
            <w:vAlign w:val="center"/>
          </w:tcPr>
          <w:p w14:paraId="0CF2DF81" w14:textId="77777777" w:rsidR="00692E71" w:rsidRPr="00275290" w:rsidRDefault="00692E71" w:rsidP="008E0250">
            <w:pPr>
              <w:jc w:val="center"/>
              <w:rPr>
                <w:rFonts w:cs="Arial"/>
                <w:sz w:val="18"/>
                <w:szCs w:val="18"/>
              </w:rPr>
            </w:pPr>
            <w:r w:rsidRPr="00275290">
              <w:rPr>
                <w:rFonts w:cs="Arial"/>
                <w:sz w:val="18"/>
                <w:szCs w:val="18"/>
              </w:rPr>
              <w:t>1000</w:t>
            </w:r>
          </w:p>
        </w:tc>
        <w:tc>
          <w:tcPr>
            <w:tcW w:w="1276" w:type="dxa"/>
            <w:vAlign w:val="center"/>
          </w:tcPr>
          <w:p w14:paraId="5C751A8C" w14:textId="77777777" w:rsidR="00692E71" w:rsidRPr="00275290" w:rsidRDefault="00692E71" w:rsidP="008E0250">
            <w:pPr>
              <w:jc w:val="center"/>
              <w:rPr>
                <w:rFonts w:cs="Arial"/>
                <w:sz w:val="18"/>
                <w:szCs w:val="18"/>
              </w:rPr>
            </w:pPr>
            <w:r w:rsidRPr="00275290">
              <w:rPr>
                <w:rFonts w:cs="Arial"/>
                <w:sz w:val="18"/>
                <w:szCs w:val="18"/>
              </w:rPr>
              <w:t>[m</w:t>
            </w:r>
            <w:r w:rsidRPr="00275290">
              <w:rPr>
                <w:rFonts w:cs="Arial"/>
                <w:sz w:val="18"/>
                <w:szCs w:val="18"/>
                <w:vertAlign w:val="superscript"/>
              </w:rPr>
              <w:t>3</w:t>
            </w:r>
            <w:r w:rsidRPr="00275290">
              <w:rPr>
                <w:rFonts w:cs="Arial"/>
                <w:sz w:val="18"/>
                <w:szCs w:val="18"/>
              </w:rPr>
              <w:t>]</w:t>
            </w:r>
          </w:p>
        </w:tc>
        <w:tc>
          <w:tcPr>
            <w:tcW w:w="918" w:type="dxa"/>
            <w:vAlign w:val="center"/>
          </w:tcPr>
          <w:p w14:paraId="13886007"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5FDCDAEB" w14:textId="77777777" w:rsidTr="008E0250">
        <w:tc>
          <w:tcPr>
            <w:tcW w:w="3061" w:type="dxa"/>
            <w:vAlign w:val="center"/>
          </w:tcPr>
          <w:p w14:paraId="1F8B0577" w14:textId="77777777" w:rsidR="00692E71" w:rsidRPr="00275290" w:rsidRDefault="00692E71" w:rsidP="008E0250">
            <w:pPr>
              <w:rPr>
                <w:rFonts w:cs="Arial"/>
                <w:sz w:val="18"/>
                <w:szCs w:val="18"/>
              </w:rPr>
            </w:pPr>
            <w:r w:rsidRPr="00275290">
              <w:rPr>
                <w:rFonts w:cs="Arial"/>
                <w:sz w:val="18"/>
                <w:szCs w:val="18"/>
              </w:rPr>
              <w:t>Volume of contaminated soil</w:t>
            </w:r>
          </w:p>
        </w:tc>
        <w:tc>
          <w:tcPr>
            <w:tcW w:w="1559" w:type="dxa"/>
            <w:vAlign w:val="center"/>
          </w:tcPr>
          <w:p w14:paraId="335D59B5" w14:textId="77777777" w:rsidR="00692E71" w:rsidRPr="00275290" w:rsidRDefault="00692E71" w:rsidP="008E0250">
            <w:pPr>
              <w:jc w:val="center"/>
              <w:rPr>
                <w:rFonts w:cs="Arial"/>
                <w:sz w:val="18"/>
                <w:szCs w:val="18"/>
                <w:vertAlign w:val="subscript"/>
              </w:rPr>
            </w:pPr>
            <w:r w:rsidRPr="00275290">
              <w:rPr>
                <w:rFonts w:cs="Arial"/>
                <w:sz w:val="18"/>
                <w:szCs w:val="18"/>
              </w:rPr>
              <w:t>V</w:t>
            </w:r>
            <w:r w:rsidRPr="00275290">
              <w:rPr>
                <w:rFonts w:cs="Arial"/>
                <w:sz w:val="18"/>
                <w:szCs w:val="18"/>
                <w:vertAlign w:val="subscript"/>
              </w:rPr>
              <w:t>soil house</w:t>
            </w:r>
          </w:p>
          <w:p w14:paraId="1F47466E" w14:textId="77777777" w:rsidR="00692E71" w:rsidRPr="00275290" w:rsidRDefault="00692E71" w:rsidP="008E0250">
            <w:pPr>
              <w:jc w:val="center"/>
              <w:rPr>
                <w:rFonts w:cs="Arial"/>
                <w:sz w:val="18"/>
                <w:szCs w:val="18"/>
              </w:rPr>
            </w:pPr>
            <w:r w:rsidRPr="00275290">
              <w:rPr>
                <w:rFonts w:cs="Arial"/>
                <w:sz w:val="18"/>
                <w:szCs w:val="18"/>
              </w:rPr>
              <w:t>V</w:t>
            </w:r>
            <w:r w:rsidRPr="00275290">
              <w:rPr>
                <w:rFonts w:cs="Arial"/>
                <w:sz w:val="18"/>
                <w:szCs w:val="18"/>
                <w:vertAlign w:val="subscript"/>
              </w:rPr>
              <w:t>soil fence</w:t>
            </w:r>
          </w:p>
        </w:tc>
        <w:tc>
          <w:tcPr>
            <w:tcW w:w="2494" w:type="dxa"/>
            <w:vAlign w:val="center"/>
          </w:tcPr>
          <w:p w14:paraId="0C659CFE" w14:textId="77777777" w:rsidR="00692E71" w:rsidRPr="00275290" w:rsidRDefault="00692E71" w:rsidP="008E0250">
            <w:pPr>
              <w:jc w:val="center"/>
              <w:rPr>
                <w:rFonts w:cs="Arial"/>
                <w:sz w:val="18"/>
                <w:szCs w:val="18"/>
              </w:rPr>
            </w:pPr>
            <w:r w:rsidRPr="00275290">
              <w:rPr>
                <w:rFonts w:cs="Arial"/>
                <w:sz w:val="18"/>
                <w:szCs w:val="18"/>
              </w:rPr>
              <w:t>13</w:t>
            </w:r>
          </w:p>
          <w:p w14:paraId="31446423" w14:textId="77777777" w:rsidR="00692E71" w:rsidRPr="00275290" w:rsidRDefault="00692E71" w:rsidP="008E0250">
            <w:pPr>
              <w:jc w:val="center"/>
              <w:rPr>
                <w:rFonts w:cs="Arial"/>
                <w:sz w:val="18"/>
                <w:szCs w:val="18"/>
              </w:rPr>
            </w:pPr>
            <w:r w:rsidRPr="00275290">
              <w:rPr>
                <w:rFonts w:cs="Arial"/>
                <w:sz w:val="18"/>
                <w:szCs w:val="18"/>
              </w:rPr>
              <w:t>0.25</w:t>
            </w:r>
          </w:p>
        </w:tc>
        <w:tc>
          <w:tcPr>
            <w:tcW w:w="1276" w:type="dxa"/>
            <w:vAlign w:val="center"/>
          </w:tcPr>
          <w:p w14:paraId="27C25E78" w14:textId="77777777" w:rsidR="00692E71" w:rsidRPr="00275290" w:rsidRDefault="00692E71" w:rsidP="008E0250">
            <w:pPr>
              <w:jc w:val="center"/>
              <w:rPr>
                <w:rFonts w:cs="Arial"/>
                <w:sz w:val="18"/>
                <w:szCs w:val="18"/>
              </w:rPr>
            </w:pPr>
            <w:r w:rsidRPr="00275290">
              <w:rPr>
                <w:rFonts w:cs="Arial"/>
                <w:sz w:val="18"/>
                <w:szCs w:val="18"/>
              </w:rPr>
              <w:t>[m</w:t>
            </w:r>
            <w:r w:rsidRPr="00275290">
              <w:rPr>
                <w:rFonts w:cs="Arial"/>
                <w:sz w:val="18"/>
                <w:szCs w:val="18"/>
                <w:vertAlign w:val="superscript"/>
              </w:rPr>
              <w:t>3</w:t>
            </w:r>
            <w:r w:rsidRPr="00275290">
              <w:rPr>
                <w:rFonts w:cs="Arial"/>
                <w:sz w:val="18"/>
                <w:szCs w:val="18"/>
              </w:rPr>
              <w:t>]</w:t>
            </w:r>
          </w:p>
        </w:tc>
        <w:tc>
          <w:tcPr>
            <w:tcW w:w="918" w:type="dxa"/>
            <w:vAlign w:val="center"/>
          </w:tcPr>
          <w:p w14:paraId="66AEED92"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060E17BE" w14:textId="77777777" w:rsidTr="008E0250">
        <w:tc>
          <w:tcPr>
            <w:tcW w:w="3061" w:type="dxa"/>
            <w:vAlign w:val="center"/>
          </w:tcPr>
          <w:p w14:paraId="36C76441" w14:textId="77777777" w:rsidR="00692E71" w:rsidRPr="00275290" w:rsidRDefault="00692E71" w:rsidP="008E0250">
            <w:pPr>
              <w:rPr>
                <w:rFonts w:cs="Arial"/>
                <w:sz w:val="18"/>
                <w:szCs w:val="18"/>
              </w:rPr>
            </w:pPr>
            <w:r w:rsidRPr="00275290">
              <w:rPr>
                <w:rFonts w:cs="Arial"/>
                <w:sz w:val="18"/>
                <w:szCs w:val="18"/>
              </w:rPr>
              <w:t>Bulk density of (wet) soil</w:t>
            </w:r>
          </w:p>
        </w:tc>
        <w:tc>
          <w:tcPr>
            <w:tcW w:w="1559" w:type="dxa"/>
            <w:vAlign w:val="center"/>
          </w:tcPr>
          <w:p w14:paraId="1A5DE742" w14:textId="77777777" w:rsidR="00692E71" w:rsidRPr="00275290" w:rsidRDefault="00692E71" w:rsidP="008E0250">
            <w:pPr>
              <w:jc w:val="center"/>
              <w:rPr>
                <w:rFonts w:cs="Arial"/>
                <w:sz w:val="18"/>
                <w:szCs w:val="18"/>
              </w:rPr>
            </w:pPr>
            <w:r w:rsidRPr="00275290">
              <w:rPr>
                <w:rFonts w:cs="Arial"/>
                <w:sz w:val="18"/>
                <w:szCs w:val="18"/>
              </w:rPr>
              <w:t>RHO</w:t>
            </w:r>
            <w:r w:rsidRPr="00275290">
              <w:rPr>
                <w:rFonts w:cs="Arial"/>
                <w:sz w:val="18"/>
                <w:szCs w:val="18"/>
                <w:vertAlign w:val="subscript"/>
              </w:rPr>
              <w:t>soil</w:t>
            </w:r>
          </w:p>
        </w:tc>
        <w:tc>
          <w:tcPr>
            <w:tcW w:w="2494" w:type="dxa"/>
            <w:vAlign w:val="center"/>
          </w:tcPr>
          <w:p w14:paraId="1F7D9A0F" w14:textId="77777777" w:rsidR="00692E71" w:rsidRPr="00275290" w:rsidRDefault="00692E71" w:rsidP="008E0250">
            <w:pPr>
              <w:jc w:val="center"/>
              <w:rPr>
                <w:rFonts w:cs="Arial"/>
                <w:sz w:val="18"/>
                <w:szCs w:val="18"/>
              </w:rPr>
            </w:pPr>
            <w:r w:rsidRPr="00275290">
              <w:rPr>
                <w:rFonts w:cs="Arial"/>
                <w:sz w:val="18"/>
                <w:szCs w:val="18"/>
              </w:rPr>
              <w:t>1700</w:t>
            </w:r>
          </w:p>
        </w:tc>
        <w:tc>
          <w:tcPr>
            <w:tcW w:w="1276" w:type="dxa"/>
            <w:vAlign w:val="center"/>
          </w:tcPr>
          <w:p w14:paraId="308BE513" w14:textId="77777777" w:rsidR="00692E71" w:rsidRPr="00275290" w:rsidRDefault="00692E71" w:rsidP="008E0250">
            <w:pPr>
              <w:jc w:val="center"/>
              <w:rPr>
                <w:rFonts w:cs="Arial"/>
                <w:sz w:val="18"/>
                <w:szCs w:val="18"/>
              </w:rPr>
            </w:pPr>
            <w:r w:rsidRPr="00275290">
              <w:rPr>
                <w:rFonts w:cs="Arial"/>
                <w:sz w:val="18"/>
                <w:szCs w:val="18"/>
              </w:rPr>
              <w:t>[kg</w:t>
            </w:r>
            <w:r w:rsidRPr="00275290">
              <w:rPr>
                <w:rFonts w:cs="Arial"/>
                <w:sz w:val="18"/>
                <w:szCs w:val="18"/>
                <w:vertAlign w:val="subscript"/>
              </w:rPr>
              <w:t>wwt</w:t>
            </w:r>
            <w:r w:rsidRPr="00275290">
              <w:rPr>
                <w:rFonts w:cs="Arial"/>
                <w:sz w:val="18"/>
                <w:szCs w:val="18"/>
              </w:rPr>
              <w:t>.m</w:t>
            </w:r>
            <w:r w:rsidRPr="00275290">
              <w:rPr>
                <w:rFonts w:cs="Arial"/>
                <w:sz w:val="18"/>
                <w:szCs w:val="18"/>
                <w:vertAlign w:val="superscript"/>
              </w:rPr>
              <w:t>-3</w:t>
            </w:r>
            <w:r w:rsidRPr="00275290">
              <w:rPr>
                <w:rFonts w:cs="Arial"/>
                <w:sz w:val="18"/>
                <w:szCs w:val="18"/>
              </w:rPr>
              <w:t>]</w:t>
            </w:r>
          </w:p>
        </w:tc>
        <w:tc>
          <w:tcPr>
            <w:tcW w:w="918" w:type="dxa"/>
            <w:vAlign w:val="center"/>
          </w:tcPr>
          <w:p w14:paraId="01DFE984"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650754EA" w14:textId="77777777" w:rsidTr="008E0250">
        <w:tc>
          <w:tcPr>
            <w:tcW w:w="9308" w:type="dxa"/>
            <w:gridSpan w:val="5"/>
            <w:vAlign w:val="center"/>
          </w:tcPr>
          <w:p w14:paraId="65B17CA3" w14:textId="77777777" w:rsidR="00692E71" w:rsidRPr="00275290" w:rsidRDefault="00692E71" w:rsidP="008E0250">
            <w:pPr>
              <w:rPr>
                <w:rFonts w:cs="Arial"/>
                <w:sz w:val="18"/>
                <w:szCs w:val="18"/>
              </w:rPr>
            </w:pPr>
            <w:r w:rsidRPr="00275290">
              <w:rPr>
                <w:rFonts w:cs="Arial"/>
                <w:sz w:val="18"/>
                <w:szCs w:val="18"/>
              </w:rPr>
              <w:t>OUTPUTS</w:t>
            </w:r>
          </w:p>
        </w:tc>
      </w:tr>
      <w:tr w:rsidR="00692E71" w:rsidRPr="00275290" w14:paraId="78F4DAA9" w14:textId="77777777" w:rsidTr="008E0250">
        <w:tc>
          <w:tcPr>
            <w:tcW w:w="3061" w:type="dxa"/>
            <w:vAlign w:val="center"/>
          </w:tcPr>
          <w:p w14:paraId="65519283" w14:textId="77777777" w:rsidR="00692E71" w:rsidRPr="00275290" w:rsidRDefault="00692E71" w:rsidP="008E0250">
            <w:pPr>
              <w:rPr>
                <w:rFonts w:cs="Arial"/>
                <w:sz w:val="18"/>
                <w:szCs w:val="18"/>
              </w:rPr>
            </w:pPr>
            <w:r w:rsidRPr="00275290">
              <w:rPr>
                <w:rFonts w:cs="Arial"/>
                <w:sz w:val="18"/>
                <w:szCs w:val="18"/>
              </w:rPr>
              <w:t>Emission of active substance to soil during the day of application (house, professional application)</w:t>
            </w:r>
          </w:p>
        </w:tc>
        <w:tc>
          <w:tcPr>
            <w:tcW w:w="1559" w:type="dxa"/>
            <w:vAlign w:val="center"/>
          </w:tcPr>
          <w:p w14:paraId="056E8EF3"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soil,brush</w:t>
            </w:r>
          </w:p>
        </w:tc>
        <w:tc>
          <w:tcPr>
            <w:tcW w:w="2494" w:type="dxa"/>
            <w:vAlign w:val="center"/>
          </w:tcPr>
          <w:p w14:paraId="7D6EAE34" w14:textId="77777777" w:rsidR="00692E71" w:rsidRPr="00275290" w:rsidRDefault="00692E71" w:rsidP="008E0250">
            <w:pPr>
              <w:jc w:val="center"/>
              <w:rPr>
                <w:rFonts w:cs="Arial"/>
                <w:sz w:val="18"/>
                <w:szCs w:val="18"/>
              </w:rPr>
            </w:pPr>
            <w:r w:rsidRPr="00275290">
              <w:rPr>
                <w:rFonts w:cs="Arial"/>
                <w:sz w:val="18"/>
                <w:szCs w:val="18"/>
              </w:rPr>
              <w:t>3.8*10</w:t>
            </w:r>
            <w:r w:rsidRPr="00275290">
              <w:rPr>
                <w:rFonts w:cs="Arial"/>
                <w:sz w:val="18"/>
                <w:szCs w:val="18"/>
                <w:vertAlign w:val="superscript"/>
              </w:rPr>
              <w:t>-4</w:t>
            </w:r>
            <w:r w:rsidRPr="00275290">
              <w:rPr>
                <w:rFonts w:cs="Arial"/>
                <w:sz w:val="18"/>
                <w:szCs w:val="18"/>
              </w:rPr>
              <w:t xml:space="preserve"> (IPBC)</w:t>
            </w:r>
          </w:p>
          <w:p w14:paraId="1A1E0E5C" w14:textId="77777777" w:rsidR="00692E71" w:rsidRPr="00275290" w:rsidRDefault="00692E71" w:rsidP="008E0250">
            <w:pPr>
              <w:jc w:val="center"/>
              <w:rPr>
                <w:rFonts w:cs="Arial"/>
                <w:sz w:val="18"/>
                <w:szCs w:val="18"/>
              </w:rPr>
            </w:pPr>
            <w:r w:rsidRPr="00275290">
              <w:rPr>
                <w:rFonts w:cs="Arial"/>
                <w:sz w:val="18"/>
                <w:szCs w:val="18"/>
              </w:rPr>
              <w:t>1.1*10</w:t>
            </w:r>
            <w:r w:rsidRPr="00275290">
              <w:rPr>
                <w:rFonts w:cs="Arial"/>
                <w:sz w:val="18"/>
                <w:szCs w:val="18"/>
                <w:vertAlign w:val="superscript"/>
              </w:rPr>
              <w:t>-3</w:t>
            </w:r>
            <w:r w:rsidRPr="00275290">
              <w:rPr>
                <w:rFonts w:cs="Arial"/>
                <w:sz w:val="18"/>
                <w:szCs w:val="18"/>
              </w:rPr>
              <w:t xml:space="preserve"> (propiconazole)</w:t>
            </w:r>
          </w:p>
          <w:p w14:paraId="0E199081" w14:textId="77777777" w:rsidR="00692E71" w:rsidRPr="00275290" w:rsidRDefault="00692E71" w:rsidP="008E0250">
            <w:pPr>
              <w:jc w:val="center"/>
              <w:rPr>
                <w:rFonts w:cs="Arial"/>
                <w:sz w:val="18"/>
                <w:szCs w:val="18"/>
              </w:rPr>
            </w:pPr>
            <w:r w:rsidRPr="00275290">
              <w:rPr>
                <w:rFonts w:cs="Arial"/>
                <w:sz w:val="18"/>
                <w:szCs w:val="18"/>
              </w:rPr>
              <w:t>3.8*10</w:t>
            </w:r>
            <w:r w:rsidRPr="00275290">
              <w:rPr>
                <w:rFonts w:cs="Arial"/>
                <w:sz w:val="18"/>
                <w:szCs w:val="18"/>
                <w:vertAlign w:val="superscript"/>
              </w:rPr>
              <w:t>-4</w:t>
            </w:r>
            <w:r w:rsidRPr="00275290">
              <w:rPr>
                <w:rFonts w:cs="Arial"/>
                <w:sz w:val="18"/>
                <w:szCs w:val="18"/>
              </w:rPr>
              <w:t xml:space="preserve"> (tebuconazole)</w:t>
            </w:r>
          </w:p>
          <w:p w14:paraId="05C9575E" w14:textId="77777777" w:rsidR="00692E71" w:rsidRPr="00275290" w:rsidRDefault="00692E71" w:rsidP="008E0250">
            <w:pPr>
              <w:jc w:val="center"/>
              <w:rPr>
                <w:rFonts w:cs="Arial"/>
                <w:sz w:val="18"/>
                <w:szCs w:val="18"/>
              </w:rPr>
            </w:pPr>
            <w:r w:rsidRPr="00275290">
              <w:rPr>
                <w:rFonts w:cs="Arial"/>
                <w:sz w:val="18"/>
                <w:szCs w:val="18"/>
              </w:rPr>
              <w:t>5.3*10</w:t>
            </w:r>
            <w:r w:rsidRPr="00275290">
              <w:rPr>
                <w:rFonts w:cs="Arial"/>
                <w:sz w:val="18"/>
                <w:szCs w:val="18"/>
                <w:vertAlign w:val="superscript"/>
              </w:rPr>
              <w:t>-4</w:t>
            </w:r>
            <w:r w:rsidRPr="00275290">
              <w:rPr>
                <w:rFonts w:cs="Arial"/>
                <w:sz w:val="18"/>
                <w:szCs w:val="18"/>
              </w:rPr>
              <w:t xml:space="preserve"> (cypermethrin)</w:t>
            </w:r>
          </w:p>
        </w:tc>
        <w:tc>
          <w:tcPr>
            <w:tcW w:w="1276" w:type="dxa"/>
            <w:vAlign w:val="center"/>
          </w:tcPr>
          <w:p w14:paraId="182974F6"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0978C39C"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49F7C160" w14:textId="77777777" w:rsidTr="008E0250">
        <w:tc>
          <w:tcPr>
            <w:tcW w:w="3061" w:type="dxa"/>
            <w:vAlign w:val="center"/>
          </w:tcPr>
          <w:p w14:paraId="64757EED" w14:textId="77777777" w:rsidR="00692E71" w:rsidRPr="00275290" w:rsidRDefault="00692E71" w:rsidP="008E0250">
            <w:pPr>
              <w:rPr>
                <w:rFonts w:cs="Arial"/>
                <w:sz w:val="18"/>
                <w:szCs w:val="18"/>
              </w:rPr>
            </w:pPr>
            <w:r w:rsidRPr="00275290">
              <w:rPr>
                <w:rFonts w:cs="Arial"/>
                <w:sz w:val="18"/>
                <w:szCs w:val="18"/>
              </w:rPr>
              <w:t>Emission of active substance to soil during the day of application (house, non-professional application)</w:t>
            </w:r>
          </w:p>
        </w:tc>
        <w:tc>
          <w:tcPr>
            <w:tcW w:w="1559" w:type="dxa"/>
            <w:vAlign w:val="center"/>
          </w:tcPr>
          <w:p w14:paraId="0A933BEB"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soil,brush</w:t>
            </w:r>
          </w:p>
        </w:tc>
        <w:tc>
          <w:tcPr>
            <w:tcW w:w="2494" w:type="dxa"/>
            <w:vAlign w:val="center"/>
          </w:tcPr>
          <w:p w14:paraId="4D6E5679" w14:textId="77777777" w:rsidR="00692E71" w:rsidRPr="00275290" w:rsidRDefault="00692E71" w:rsidP="008E0250">
            <w:pPr>
              <w:jc w:val="center"/>
              <w:rPr>
                <w:rFonts w:cs="Arial"/>
                <w:sz w:val="18"/>
                <w:szCs w:val="18"/>
              </w:rPr>
            </w:pPr>
            <w:r w:rsidRPr="00275290">
              <w:rPr>
                <w:rFonts w:cs="Arial"/>
                <w:sz w:val="18"/>
                <w:szCs w:val="18"/>
              </w:rPr>
              <w:t>6.3*10</w:t>
            </w:r>
            <w:r w:rsidRPr="00275290">
              <w:rPr>
                <w:rFonts w:cs="Arial"/>
                <w:sz w:val="18"/>
                <w:szCs w:val="18"/>
                <w:vertAlign w:val="superscript"/>
              </w:rPr>
              <w:t>-4</w:t>
            </w:r>
            <w:r w:rsidRPr="00275290">
              <w:rPr>
                <w:rFonts w:cs="Arial"/>
                <w:sz w:val="18"/>
                <w:szCs w:val="18"/>
              </w:rPr>
              <w:t xml:space="preserve"> (IPBC)</w:t>
            </w:r>
          </w:p>
          <w:p w14:paraId="1CF85153" w14:textId="77777777" w:rsidR="00692E71" w:rsidRPr="00275290" w:rsidRDefault="00692E71" w:rsidP="008E0250">
            <w:pPr>
              <w:jc w:val="center"/>
              <w:rPr>
                <w:rFonts w:cs="Arial"/>
                <w:sz w:val="18"/>
                <w:szCs w:val="18"/>
              </w:rPr>
            </w:pPr>
            <w:r w:rsidRPr="00275290">
              <w:rPr>
                <w:rFonts w:cs="Arial"/>
                <w:sz w:val="18"/>
                <w:szCs w:val="18"/>
              </w:rPr>
              <w:t>1.9*10</w:t>
            </w:r>
            <w:r w:rsidRPr="00275290">
              <w:rPr>
                <w:rFonts w:cs="Arial"/>
                <w:sz w:val="18"/>
                <w:szCs w:val="18"/>
                <w:vertAlign w:val="superscript"/>
              </w:rPr>
              <w:t>-3</w:t>
            </w:r>
            <w:r w:rsidRPr="00275290">
              <w:rPr>
                <w:rFonts w:cs="Arial"/>
                <w:sz w:val="18"/>
                <w:szCs w:val="18"/>
              </w:rPr>
              <w:t xml:space="preserve"> (propiconazole)</w:t>
            </w:r>
          </w:p>
          <w:p w14:paraId="7D54B02B" w14:textId="77777777" w:rsidR="00692E71" w:rsidRPr="00275290" w:rsidRDefault="00692E71" w:rsidP="008E0250">
            <w:pPr>
              <w:jc w:val="center"/>
              <w:rPr>
                <w:rFonts w:cs="Arial"/>
                <w:sz w:val="18"/>
                <w:szCs w:val="18"/>
              </w:rPr>
            </w:pPr>
            <w:r w:rsidRPr="00275290">
              <w:rPr>
                <w:rFonts w:cs="Arial"/>
                <w:sz w:val="18"/>
                <w:szCs w:val="18"/>
              </w:rPr>
              <w:t>6.3*10</w:t>
            </w:r>
            <w:r w:rsidRPr="00275290">
              <w:rPr>
                <w:rFonts w:cs="Arial"/>
                <w:sz w:val="18"/>
                <w:szCs w:val="18"/>
                <w:vertAlign w:val="superscript"/>
              </w:rPr>
              <w:t>-4</w:t>
            </w:r>
            <w:r w:rsidRPr="00275290">
              <w:rPr>
                <w:rFonts w:cs="Arial"/>
                <w:sz w:val="18"/>
                <w:szCs w:val="18"/>
              </w:rPr>
              <w:t xml:space="preserve"> (tebuconazole)</w:t>
            </w:r>
          </w:p>
          <w:p w14:paraId="34F76BB7" w14:textId="77777777" w:rsidR="00692E71" w:rsidRPr="00275290" w:rsidRDefault="00692E71" w:rsidP="008E0250">
            <w:pPr>
              <w:jc w:val="center"/>
              <w:rPr>
                <w:rFonts w:cs="Arial"/>
                <w:sz w:val="18"/>
                <w:szCs w:val="18"/>
              </w:rPr>
            </w:pPr>
            <w:r w:rsidRPr="00275290">
              <w:rPr>
                <w:rFonts w:cs="Arial"/>
                <w:sz w:val="18"/>
                <w:szCs w:val="18"/>
              </w:rPr>
              <w:t>8.8*10</w:t>
            </w:r>
            <w:r w:rsidRPr="00275290">
              <w:rPr>
                <w:rFonts w:cs="Arial"/>
                <w:sz w:val="18"/>
                <w:szCs w:val="18"/>
                <w:vertAlign w:val="superscript"/>
              </w:rPr>
              <w:t>-4</w:t>
            </w:r>
            <w:r w:rsidRPr="00275290">
              <w:rPr>
                <w:rFonts w:cs="Arial"/>
                <w:sz w:val="18"/>
                <w:szCs w:val="18"/>
              </w:rPr>
              <w:t xml:space="preserve"> (cypermethrin)</w:t>
            </w:r>
          </w:p>
        </w:tc>
        <w:tc>
          <w:tcPr>
            <w:tcW w:w="1276" w:type="dxa"/>
            <w:vAlign w:val="center"/>
          </w:tcPr>
          <w:p w14:paraId="12EC1C55"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07079BFC"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2E9EF617" w14:textId="77777777" w:rsidTr="008E0250">
        <w:trPr>
          <w:cantSplit/>
        </w:trPr>
        <w:tc>
          <w:tcPr>
            <w:tcW w:w="3061" w:type="dxa"/>
            <w:vAlign w:val="center"/>
          </w:tcPr>
          <w:p w14:paraId="40C26DDF" w14:textId="77777777" w:rsidR="00692E71" w:rsidRPr="00275290" w:rsidRDefault="00692E71" w:rsidP="008E0250">
            <w:pPr>
              <w:rPr>
                <w:rFonts w:cs="Arial"/>
                <w:sz w:val="18"/>
                <w:szCs w:val="18"/>
              </w:rPr>
            </w:pPr>
            <w:r w:rsidRPr="00275290">
              <w:rPr>
                <w:rFonts w:cs="Arial"/>
                <w:sz w:val="18"/>
                <w:szCs w:val="18"/>
              </w:rPr>
              <w:t>Emission of active substance to soil during the day of application (fence, professional application)</w:t>
            </w:r>
          </w:p>
        </w:tc>
        <w:tc>
          <w:tcPr>
            <w:tcW w:w="1559" w:type="dxa"/>
            <w:vAlign w:val="center"/>
          </w:tcPr>
          <w:p w14:paraId="7DFDD05C"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soil,brush</w:t>
            </w:r>
          </w:p>
        </w:tc>
        <w:tc>
          <w:tcPr>
            <w:tcW w:w="2494" w:type="dxa"/>
            <w:vAlign w:val="center"/>
          </w:tcPr>
          <w:p w14:paraId="0D2F5D26" w14:textId="77777777" w:rsidR="00692E71" w:rsidRPr="00275290" w:rsidRDefault="00692E71" w:rsidP="008E0250">
            <w:pPr>
              <w:jc w:val="center"/>
              <w:rPr>
                <w:rFonts w:cs="Arial"/>
                <w:sz w:val="18"/>
                <w:szCs w:val="18"/>
              </w:rPr>
            </w:pPr>
            <w:r w:rsidRPr="00275290">
              <w:rPr>
                <w:rFonts w:cs="Arial"/>
                <w:sz w:val="18"/>
                <w:szCs w:val="18"/>
              </w:rPr>
              <w:t>6.0*10</w:t>
            </w:r>
            <w:r w:rsidRPr="00275290">
              <w:rPr>
                <w:rFonts w:cs="Arial"/>
                <w:sz w:val="18"/>
                <w:szCs w:val="18"/>
                <w:vertAlign w:val="superscript"/>
              </w:rPr>
              <w:t>-6</w:t>
            </w:r>
            <w:r w:rsidRPr="00275290">
              <w:rPr>
                <w:rFonts w:cs="Arial"/>
                <w:sz w:val="18"/>
                <w:szCs w:val="18"/>
              </w:rPr>
              <w:t xml:space="preserve"> (IPBC)</w:t>
            </w:r>
          </w:p>
          <w:p w14:paraId="6D153ADE" w14:textId="77777777" w:rsidR="00692E71" w:rsidRPr="00275290" w:rsidRDefault="00692E71" w:rsidP="008E0250">
            <w:pPr>
              <w:jc w:val="center"/>
              <w:rPr>
                <w:rFonts w:cs="Arial"/>
                <w:sz w:val="18"/>
                <w:szCs w:val="18"/>
              </w:rPr>
            </w:pPr>
            <w:r w:rsidRPr="00275290">
              <w:rPr>
                <w:rFonts w:cs="Arial"/>
                <w:sz w:val="18"/>
                <w:szCs w:val="18"/>
              </w:rPr>
              <w:t>1.8*10</w:t>
            </w:r>
            <w:r w:rsidRPr="00275290">
              <w:rPr>
                <w:rFonts w:cs="Arial"/>
                <w:sz w:val="18"/>
                <w:szCs w:val="18"/>
                <w:vertAlign w:val="superscript"/>
              </w:rPr>
              <w:t>-5</w:t>
            </w:r>
            <w:r w:rsidRPr="00275290">
              <w:rPr>
                <w:rFonts w:cs="Arial"/>
                <w:sz w:val="18"/>
                <w:szCs w:val="18"/>
              </w:rPr>
              <w:t xml:space="preserve"> (propiconazole)</w:t>
            </w:r>
          </w:p>
          <w:p w14:paraId="62803C19" w14:textId="77777777" w:rsidR="00692E71" w:rsidRPr="00275290" w:rsidRDefault="00692E71" w:rsidP="008E0250">
            <w:pPr>
              <w:jc w:val="center"/>
              <w:rPr>
                <w:rFonts w:cs="Arial"/>
                <w:sz w:val="18"/>
                <w:szCs w:val="18"/>
              </w:rPr>
            </w:pPr>
            <w:r w:rsidRPr="00275290">
              <w:rPr>
                <w:rFonts w:cs="Arial"/>
                <w:sz w:val="18"/>
                <w:szCs w:val="18"/>
              </w:rPr>
              <w:t>6.0*10</w:t>
            </w:r>
            <w:r w:rsidRPr="00275290">
              <w:rPr>
                <w:rFonts w:cs="Arial"/>
                <w:sz w:val="18"/>
                <w:szCs w:val="18"/>
                <w:vertAlign w:val="superscript"/>
              </w:rPr>
              <w:t>-6</w:t>
            </w:r>
            <w:r w:rsidRPr="00275290">
              <w:rPr>
                <w:rFonts w:cs="Arial"/>
                <w:sz w:val="18"/>
                <w:szCs w:val="18"/>
              </w:rPr>
              <w:t xml:space="preserve"> (tebuconazole)</w:t>
            </w:r>
          </w:p>
          <w:p w14:paraId="6C8E892F" w14:textId="77777777" w:rsidR="00692E71" w:rsidRPr="00275290" w:rsidRDefault="00692E71" w:rsidP="008E0250">
            <w:pPr>
              <w:jc w:val="center"/>
              <w:rPr>
                <w:rFonts w:cs="Arial"/>
                <w:sz w:val="18"/>
                <w:szCs w:val="18"/>
              </w:rPr>
            </w:pPr>
            <w:r w:rsidRPr="00275290">
              <w:rPr>
                <w:rFonts w:cs="Arial"/>
                <w:sz w:val="18"/>
                <w:szCs w:val="18"/>
              </w:rPr>
              <w:t>8.4*10</w:t>
            </w:r>
            <w:r w:rsidRPr="00275290">
              <w:rPr>
                <w:rFonts w:cs="Arial"/>
                <w:sz w:val="18"/>
                <w:szCs w:val="18"/>
                <w:vertAlign w:val="superscript"/>
              </w:rPr>
              <w:t>-6</w:t>
            </w:r>
            <w:r w:rsidRPr="00275290">
              <w:rPr>
                <w:rFonts w:cs="Arial"/>
                <w:sz w:val="18"/>
                <w:szCs w:val="18"/>
              </w:rPr>
              <w:t xml:space="preserve"> (cypermethrin)</w:t>
            </w:r>
          </w:p>
        </w:tc>
        <w:tc>
          <w:tcPr>
            <w:tcW w:w="1276" w:type="dxa"/>
            <w:vAlign w:val="center"/>
          </w:tcPr>
          <w:p w14:paraId="3331C4D0"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17583968"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67C3EB5C" w14:textId="77777777" w:rsidTr="008E0250">
        <w:tc>
          <w:tcPr>
            <w:tcW w:w="3061" w:type="dxa"/>
            <w:vAlign w:val="center"/>
          </w:tcPr>
          <w:p w14:paraId="2353A9BF" w14:textId="77777777" w:rsidR="00692E71" w:rsidRPr="00275290" w:rsidRDefault="00692E71" w:rsidP="008E0250">
            <w:pPr>
              <w:rPr>
                <w:rFonts w:cs="Arial"/>
                <w:sz w:val="18"/>
                <w:szCs w:val="18"/>
              </w:rPr>
            </w:pPr>
            <w:r w:rsidRPr="00275290">
              <w:rPr>
                <w:rFonts w:cs="Arial"/>
                <w:sz w:val="18"/>
                <w:szCs w:val="18"/>
              </w:rPr>
              <w:t>Emission of active substance to soil during the day of application (fence, non-professional application)</w:t>
            </w:r>
          </w:p>
        </w:tc>
        <w:tc>
          <w:tcPr>
            <w:tcW w:w="1559" w:type="dxa"/>
            <w:vAlign w:val="center"/>
          </w:tcPr>
          <w:p w14:paraId="5BA3D29C"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soil,brush</w:t>
            </w:r>
          </w:p>
        </w:tc>
        <w:tc>
          <w:tcPr>
            <w:tcW w:w="2494" w:type="dxa"/>
            <w:vAlign w:val="center"/>
          </w:tcPr>
          <w:p w14:paraId="36D39CCA" w14:textId="77777777" w:rsidR="00692E71" w:rsidRPr="00275290" w:rsidRDefault="00692E71" w:rsidP="008E0250">
            <w:pPr>
              <w:jc w:val="center"/>
              <w:rPr>
                <w:rFonts w:cs="Arial"/>
                <w:sz w:val="18"/>
                <w:szCs w:val="18"/>
              </w:rPr>
            </w:pPr>
            <w:r w:rsidRPr="00275290">
              <w:rPr>
                <w:rFonts w:cs="Arial"/>
                <w:sz w:val="18"/>
                <w:szCs w:val="18"/>
              </w:rPr>
              <w:t>1.0*10</w:t>
            </w:r>
            <w:r w:rsidRPr="00275290">
              <w:rPr>
                <w:rFonts w:cs="Arial"/>
                <w:sz w:val="18"/>
                <w:szCs w:val="18"/>
                <w:vertAlign w:val="superscript"/>
              </w:rPr>
              <w:t>-5</w:t>
            </w:r>
            <w:r w:rsidRPr="00275290">
              <w:rPr>
                <w:rFonts w:cs="Arial"/>
                <w:sz w:val="18"/>
                <w:szCs w:val="18"/>
              </w:rPr>
              <w:t xml:space="preserve"> (IPBC)</w:t>
            </w:r>
          </w:p>
          <w:p w14:paraId="6F32BD5C" w14:textId="77777777" w:rsidR="00692E71" w:rsidRPr="00275290" w:rsidRDefault="00692E71" w:rsidP="008E0250">
            <w:pPr>
              <w:jc w:val="center"/>
              <w:rPr>
                <w:rFonts w:cs="Arial"/>
                <w:sz w:val="18"/>
                <w:szCs w:val="18"/>
              </w:rPr>
            </w:pPr>
            <w:r w:rsidRPr="00275290">
              <w:rPr>
                <w:rFonts w:cs="Arial"/>
                <w:sz w:val="18"/>
                <w:szCs w:val="18"/>
              </w:rPr>
              <w:t>3.0 *10</w:t>
            </w:r>
            <w:r w:rsidRPr="00275290">
              <w:rPr>
                <w:rFonts w:cs="Arial"/>
                <w:sz w:val="18"/>
                <w:szCs w:val="18"/>
                <w:vertAlign w:val="superscript"/>
              </w:rPr>
              <w:t>-5</w:t>
            </w:r>
            <w:r w:rsidRPr="00275290">
              <w:rPr>
                <w:rFonts w:cs="Arial"/>
                <w:sz w:val="18"/>
                <w:szCs w:val="18"/>
              </w:rPr>
              <w:t xml:space="preserve"> (propiconazole)</w:t>
            </w:r>
          </w:p>
          <w:p w14:paraId="0897534F" w14:textId="77777777" w:rsidR="00692E71" w:rsidRPr="00275290" w:rsidRDefault="00692E71" w:rsidP="008E0250">
            <w:pPr>
              <w:jc w:val="center"/>
              <w:rPr>
                <w:rFonts w:cs="Arial"/>
                <w:sz w:val="18"/>
                <w:szCs w:val="18"/>
              </w:rPr>
            </w:pPr>
            <w:r w:rsidRPr="00275290">
              <w:rPr>
                <w:rFonts w:cs="Arial"/>
                <w:sz w:val="18"/>
                <w:szCs w:val="18"/>
              </w:rPr>
              <w:t>1.0*10</w:t>
            </w:r>
            <w:r w:rsidRPr="00275290">
              <w:rPr>
                <w:rFonts w:cs="Arial"/>
                <w:sz w:val="18"/>
                <w:szCs w:val="18"/>
                <w:vertAlign w:val="superscript"/>
              </w:rPr>
              <w:t>-5</w:t>
            </w:r>
            <w:r w:rsidRPr="00275290">
              <w:rPr>
                <w:rFonts w:cs="Arial"/>
                <w:sz w:val="18"/>
                <w:szCs w:val="18"/>
              </w:rPr>
              <w:t xml:space="preserve">  (tebuconazole)</w:t>
            </w:r>
          </w:p>
          <w:p w14:paraId="3063ABEE" w14:textId="77777777" w:rsidR="00692E71" w:rsidRPr="00275290" w:rsidRDefault="00692E71" w:rsidP="008E0250">
            <w:pPr>
              <w:jc w:val="center"/>
              <w:rPr>
                <w:rFonts w:cs="Arial"/>
                <w:sz w:val="18"/>
                <w:szCs w:val="18"/>
              </w:rPr>
            </w:pPr>
            <w:r w:rsidRPr="00275290">
              <w:rPr>
                <w:rFonts w:cs="Arial"/>
                <w:sz w:val="18"/>
                <w:szCs w:val="18"/>
              </w:rPr>
              <w:t>1.4*10</w:t>
            </w:r>
            <w:r w:rsidRPr="00275290">
              <w:rPr>
                <w:rFonts w:cs="Arial"/>
                <w:sz w:val="18"/>
                <w:szCs w:val="18"/>
                <w:vertAlign w:val="superscript"/>
              </w:rPr>
              <w:t>-5</w:t>
            </w:r>
            <w:r w:rsidRPr="00275290">
              <w:rPr>
                <w:rFonts w:cs="Arial"/>
                <w:sz w:val="18"/>
                <w:szCs w:val="18"/>
              </w:rPr>
              <w:t xml:space="preserve">  (cypermethrin)</w:t>
            </w:r>
          </w:p>
        </w:tc>
        <w:tc>
          <w:tcPr>
            <w:tcW w:w="1276" w:type="dxa"/>
            <w:vAlign w:val="center"/>
          </w:tcPr>
          <w:p w14:paraId="7AC7A612"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583AEDDC"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EAB21B1" w14:textId="77777777" w:rsidTr="008E0250">
        <w:tc>
          <w:tcPr>
            <w:tcW w:w="3061" w:type="dxa"/>
            <w:vAlign w:val="center"/>
          </w:tcPr>
          <w:p w14:paraId="62290B7A" w14:textId="77777777" w:rsidR="00692E71" w:rsidRPr="00275290" w:rsidRDefault="00692E71" w:rsidP="008E0250">
            <w:pPr>
              <w:rPr>
                <w:rFonts w:cs="Arial"/>
                <w:sz w:val="18"/>
                <w:szCs w:val="18"/>
              </w:rPr>
            </w:pPr>
            <w:r w:rsidRPr="00275290">
              <w:rPr>
                <w:rFonts w:cs="Arial"/>
                <w:sz w:val="18"/>
                <w:szCs w:val="18"/>
              </w:rPr>
              <w:t>Emission of active substance to water during the day of application (Bridge, professional application)</w:t>
            </w:r>
          </w:p>
        </w:tc>
        <w:tc>
          <w:tcPr>
            <w:tcW w:w="1559" w:type="dxa"/>
            <w:vAlign w:val="center"/>
          </w:tcPr>
          <w:p w14:paraId="5BAA261A"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water,brush</w:t>
            </w:r>
          </w:p>
        </w:tc>
        <w:tc>
          <w:tcPr>
            <w:tcW w:w="2494" w:type="dxa"/>
            <w:vAlign w:val="center"/>
          </w:tcPr>
          <w:p w14:paraId="2984AB08" w14:textId="77777777" w:rsidR="00692E71" w:rsidRPr="00275290" w:rsidRDefault="00692E71" w:rsidP="008E0250">
            <w:pPr>
              <w:jc w:val="center"/>
              <w:rPr>
                <w:rFonts w:cs="Arial"/>
                <w:sz w:val="18"/>
                <w:szCs w:val="18"/>
              </w:rPr>
            </w:pPr>
            <w:r w:rsidRPr="00275290">
              <w:rPr>
                <w:rFonts w:cs="Arial"/>
                <w:sz w:val="18"/>
                <w:szCs w:val="18"/>
              </w:rPr>
              <w:t>3.0*10</w:t>
            </w:r>
            <w:r w:rsidRPr="00275290">
              <w:rPr>
                <w:rFonts w:cs="Arial"/>
                <w:sz w:val="18"/>
                <w:szCs w:val="18"/>
                <w:vertAlign w:val="superscript"/>
              </w:rPr>
              <w:t>-5</w:t>
            </w:r>
            <w:r w:rsidRPr="00275290">
              <w:rPr>
                <w:rFonts w:cs="Arial"/>
                <w:sz w:val="18"/>
                <w:szCs w:val="18"/>
              </w:rPr>
              <w:t xml:space="preserve">  (IPBC)</w:t>
            </w:r>
          </w:p>
          <w:p w14:paraId="61A227D9" w14:textId="77777777" w:rsidR="00692E71" w:rsidRPr="00275290" w:rsidRDefault="00692E71" w:rsidP="008E0250">
            <w:pPr>
              <w:jc w:val="center"/>
              <w:rPr>
                <w:rFonts w:cs="Arial"/>
                <w:sz w:val="18"/>
                <w:szCs w:val="18"/>
              </w:rPr>
            </w:pPr>
            <w:r w:rsidRPr="00275290">
              <w:rPr>
                <w:rFonts w:cs="Arial"/>
                <w:sz w:val="18"/>
                <w:szCs w:val="18"/>
              </w:rPr>
              <w:t>9.0*10</w:t>
            </w:r>
            <w:r w:rsidRPr="00275290">
              <w:rPr>
                <w:rFonts w:cs="Arial"/>
                <w:sz w:val="18"/>
                <w:szCs w:val="18"/>
                <w:vertAlign w:val="superscript"/>
              </w:rPr>
              <w:t>-5</w:t>
            </w:r>
            <w:r w:rsidRPr="00275290">
              <w:rPr>
                <w:rFonts w:cs="Arial"/>
                <w:sz w:val="18"/>
                <w:szCs w:val="18"/>
              </w:rPr>
              <w:t xml:space="preserve">  (propiconazole)</w:t>
            </w:r>
          </w:p>
          <w:p w14:paraId="24DF96C9" w14:textId="77777777" w:rsidR="00692E71" w:rsidRPr="00275290" w:rsidRDefault="00692E71" w:rsidP="008E0250">
            <w:pPr>
              <w:jc w:val="center"/>
              <w:rPr>
                <w:rFonts w:cs="Arial"/>
                <w:sz w:val="18"/>
                <w:szCs w:val="18"/>
              </w:rPr>
            </w:pPr>
            <w:r w:rsidRPr="00275290">
              <w:rPr>
                <w:rFonts w:cs="Arial"/>
                <w:sz w:val="18"/>
                <w:szCs w:val="18"/>
              </w:rPr>
              <w:t>3.0*10</w:t>
            </w:r>
            <w:r w:rsidRPr="00275290">
              <w:rPr>
                <w:rFonts w:cs="Arial"/>
                <w:sz w:val="18"/>
                <w:szCs w:val="18"/>
                <w:vertAlign w:val="superscript"/>
              </w:rPr>
              <w:t>-5</w:t>
            </w:r>
            <w:r w:rsidRPr="00275290">
              <w:rPr>
                <w:rFonts w:cs="Arial"/>
                <w:sz w:val="18"/>
                <w:szCs w:val="18"/>
              </w:rPr>
              <w:t xml:space="preserve">  (tebuconazole)</w:t>
            </w:r>
          </w:p>
          <w:p w14:paraId="30A86687" w14:textId="77777777" w:rsidR="00692E71" w:rsidRPr="00275290" w:rsidRDefault="00692E71" w:rsidP="008E0250">
            <w:pPr>
              <w:jc w:val="center"/>
              <w:rPr>
                <w:rFonts w:cs="Arial"/>
                <w:sz w:val="18"/>
                <w:szCs w:val="18"/>
              </w:rPr>
            </w:pPr>
            <w:r w:rsidRPr="00275290">
              <w:rPr>
                <w:rFonts w:cs="Arial"/>
                <w:sz w:val="18"/>
                <w:szCs w:val="18"/>
              </w:rPr>
              <w:t>4.2*10</w:t>
            </w:r>
            <w:r w:rsidRPr="00275290">
              <w:rPr>
                <w:rFonts w:cs="Arial"/>
                <w:sz w:val="18"/>
                <w:szCs w:val="18"/>
                <w:vertAlign w:val="superscript"/>
              </w:rPr>
              <w:t>-5</w:t>
            </w:r>
            <w:r w:rsidRPr="00275290">
              <w:rPr>
                <w:rFonts w:cs="Arial"/>
                <w:sz w:val="18"/>
                <w:szCs w:val="18"/>
              </w:rPr>
              <w:t xml:space="preserve">  (cypermethrin</w:t>
            </w:r>
          </w:p>
        </w:tc>
        <w:tc>
          <w:tcPr>
            <w:tcW w:w="1276" w:type="dxa"/>
            <w:vAlign w:val="center"/>
          </w:tcPr>
          <w:p w14:paraId="477203C9"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7C081F71"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89E90B9" w14:textId="77777777" w:rsidTr="008E0250">
        <w:tc>
          <w:tcPr>
            <w:tcW w:w="3061" w:type="dxa"/>
            <w:vAlign w:val="center"/>
          </w:tcPr>
          <w:p w14:paraId="66387604" w14:textId="77777777" w:rsidR="00692E71" w:rsidRPr="00275290" w:rsidRDefault="00692E71" w:rsidP="008E0250">
            <w:pPr>
              <w:rPr>
                <w:rFonts w:cs="Arial"/>
                <w:sz w:val="18"/>
                <w:szCs w:val="18"/>
              </w:rPr>
            </w:pPr>
            <w:r w:rsidRPr="00275290">
              <w:rPr>
                <w:rFonts w:cs="Arial"/>
                <w:sz w:val="18"/>
                <w:szCs w:val="18"/>
              </w:rPr>
              <w:t>Emission of active substance to water during the day of application (Bridge, non-professional application)</w:t>
            </w:r>
          </w:p>
        </w:tc>
        <w:tc>
          <w:tcPr>
            <w:tcW w:w="1559" w:type="dxa"/>
            <w:vAlign w:val="center"/>
          </w:tcPr>
          <w:p w14:paraId="1F1454D1"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water,brush</w:t>
            </w:r>
          </w:p>
        </w:tc>
        <w:tc>
          <w:tcPr>
            <w:tcW w:w="2494" w:type="dxa"/>
            <w:vAlign w:val="center"/>
          </w:tcPr>
          <w:p w14:paraId="6A0695D6" w14:textId="77777777" w:rsidR="00692E71" w:rsidRPr="00275290" w:rsidRDefault="00692E71" w:rsidP="008E0250">
            <w:pPr>
              <w:jc w:val="center"/>
              <w:rPr>
                <w:rFonts w:cs="Arial"/>
                <w:sz w:val="18"/>
                <w:szCs w:val="18"/>
              </w:rPr>
            </w:pPr>
            <w:r w:rsidRPr="00275290">
              <w:rPr>
                <w:rFonts w:cs="Arial"/>
                <w:sz w:val="18"/>
                <w:szCs w:val="18"/>
              </w:rPr>
              <w:t>5.0*10</w:t>
            </w:r>
            <w:r w:rsidRPr="00275290">
              <w:rPr>
                <w:rFonts w:cs="Arial"/>
                <w:sz w:val="18"/>
                <w:szCs w:val="18"/>
                <w:vertAlign w:val="superscript"/>
              </w:rPr>
              <w:t>-5</w:t>
            </w:r>
            <w:r w:rsidRPr="00275290">
              <w:rPr>
                <w:rFonts w:cs="Arial"/>
                <w:sz w:val="18"/>
                <w:szCs w:val="18"/>
              </w:rPr>
              <w:t xml:space="preserve">  (IPBC)</w:t>
            </w:r>
          </w:p>
          <w:p w14:paraId="19AF30A0" w14:textId="77777777" w:rsidR="00692E71" w:rsidRPr="00275290" w:rsidRDefault="00692E71" w:rsidP="008E0250">
            <w:pPr>
              <w:jc w:val="center"/>
              <w:rPr>
                <w:rFonts w:cs="Arial"/>
                <w:sz w:val="18"/>
                <w:szCs w:val="18"/>
              </w:rPr>
            </w:pPr>
            <w:r w:rsidRPr="00275290">
              <w:rPr>
                <w:rFonts w:cs="Arial"/>
                <w:sz w:val="18"/>
                <w:szCs w:val="18"/>
              </w:rPr>
              <w:t>1.5*10</w:t>
            </w:r>
            <w:r w:rsidRPr="00275290">
              <w:rPr>
                <w:rFonts w:cs="Arial"/>
                <w:sz w:val="18"/>
                <w:szCs w:val="18"/>
                <w:vertAlign w:val="superscript"/>
              </w:rPr>
              <w:t>-4</w:t>
            </w:r>
            <w:r w:rsidRPr="00275290">
              <w:rPr>
                <w:rFonts w:cs="Arial"/>
                <w:sz w:val="18"/>
                <w:szCs w:val="18"/>
              </w:rPr>
              <w:t xml:space="preserve">  (propiconazole)</w:t>
            </w:r>
          </w:p>
          <w:p w14:paraId="70E92398" w14:textId="77777777" w:rsidR="00692E71" w:rsidRPr="00275290" w:rsidRDefault="00692E71" w:rsidP="008E0250">
            <w:pPr>
              <w:jc w:val="center"/>
              <w:rPr>
                <w:rFonts w:cs="Arial"/>
                <w:sz w:val="18"/>
                <w:szCs w:val="18"/>
              </w:rPr>
            </w:pPr>
            <w:r w:rsidRPr="00275290">
              <w:rPr>
                <w:rFonts w:cs="Arial"/>
                <w:sz w:val="18"/>
                <w:szCs w:val="18"/>
              </w:rPr>
              <w:t>5.0*10</w:t>
            </w:r>
            <w:r w:rsidRPr="00275290">
              <w:rPr>
                <w:rFonts w:cs="Arial"/>
                <w:sz w:val="18"/>
                <w:szCs w:val="18"/>
                <w:vertAlign w:val="superscript"/>
              </w:rPr>
              <w:t>-5</w:t>
            </w:r>
            <w:r w:rsidRPr="00275290">
              <w:rPr>
                <w:rFonts w:cs="Arial"/>
                <w:sz w:val="18"/>
                <w:szCs w:val="18"/>
              </w:rPr>
              <w:t xml:space="preserve">  (tebuconazole)</w:t>
            </w:r>
          </w:p>
          <w:p w14:paraId="3B076446" w14:textId="77777777" w:rsidR="00692E71" w:rsidRPr="00275290" w:rsidRDefault="00692E71" w:rsidP="008E0250">
            <w:pPr>
              <w:jc w:val="center"/>
              <w:rPr>
                <w:rFonts w:cs="Arial"/>
                <w:sz w:val="18"/>
                <w:szCs w:val="18"/>
              </w:rPr>
            </w:pPr>
            <w:r w:rsidRPr="00275290">
              <w:rPr>
                <w:rFonts w:cs="Arial"/>
                <w:sz w:val="18"/>
                <w:szCs w:val="18"/>
              </w:rPr>
              <w:t>7.0*10</w:t>
            </w:r>
            <w:r w:rsidRPr="00275290">
              <w:rPr>
                <w:rFonts w:cs="Arial"/>
                <w:sz w:val="18"/>
                <w:szCs w:val="18"/>
                <w:vertAlign w:val="superscript"/>
              </w:rPr>
              <w:t>-5</w:t>
            </w:r>
            <w:r w:rsidRPr="00275290">
              <w:rPr>
                <w:rFonts w:cs="Arial"/>
                <w:sz w:val="18"/>
                <w:szCs w:val="18"/>
              </w:rPr>
              <w:t xml:space="preserve">  (cypermethrin)</w:t>
            </w:r>
          </w:p>
        </w:tc>
        <w:tc>
          <w:tcPr>
            <w:tcW w:w="1276" w:type="dxa"/>
            <w:vAlign w:val="center"/>
          </w:tcPr>
          <w:p w14:paraId="259E9431"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4FA7EF92"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1FE74DC3" w14:textId="77777777" w:rsidTr="008E0250">
        <w:tc>
          <w:tcPr>
            <w:tcW w:w="3061" w:type="dxa"/>
            <w:vAlign w:val="center"/>
          </w:tcPr>
          <w:p w14:paraId="7622FD7E" w14:textId="77777777" w:rsidR="00692E71" w:rsidRPr="00275290" w:rsidRDefault="00692E71" w:rsidP="008E0250">
            <w:pPr>
              <w:rPr>
                <w:rFonts w:cs="Arial"/>
                <w:sz w:val="18"/>
                <w:szCs w:val="18"/>
              </w:rPr>
            </w:pPr>
            <w:r w:rsidRPr="00275290">
              <w:rPr>
                <w:rFonts w:cs="Arial"/>
                <w:sz w:val="18"/>
                <w:szCs w:val="18"/>
              </w:rPr>
              <w:t>Concentration in local soil at the end of the day of application (house, professional application)</w:t>
            </w:r>
          </w:p>
        </w:tc>
        <w:tc>
          <w:tcPr>
            <w:tcW w:w="1559" w:type="dxa"/>
            <w:vAlign w:val="center"/>
          </w:tcPr>
          <w:p w14:paraId="3763C761"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soil,brush</w:t>
            </w:r>
          </w:p>
        </w:tc>
        <w:tc>
          <w:tcPr>
            <w:tcW w:w="2494" w:type="dxa"/>
            <w:vAlign w:val="center"/>
          </w:tcPr>
          <w:p w14:paraId="09E4B0C7" w14:textId="77777777" w:rsidR="00692E71" w:rsidRPr="00275290" w:rsidRDefault="00692E71" w:rsidP="008E0250">
            <w:pPr>
              <w:jc w:val="center"/>
              <w:rPr>
                <w:rFonts w:cs="Arial"/>
                <w:sz w:val="18"/>
                <w:szCs w:val="18"/>
              </w:rPr>
            </w:pPr>
            <w:r w:rsidRPr="00275290">
              <w:rPr>
                <w:rFonts w:cs="Arial"/>
                <w:sz w:val="18"/>
                <w:szCs w:val="18"/>
              </w:rPr>
              <w:t>1.7*10</w:t>
            </w:r>
            <w:r w:rsidRPr="00275290">
              <w:rPr>
                <w:rFonts w:cs="Arial"/>
                <w:sz w:val="18"/>
                <w:szCs w:val="18"/>
                <w:vertAlign w:val="superscript"/>
              </w:rPr>
              <w:t>-2</w:t>
            </w:r>
            <w:r w:rsidRPr="00275290">
              <w:rPr>
                <w:rFonts w:cs="Arial"/>
                <w:sz w:val="18"/>
                <w:szCs w:val="18"/>
              </w:rPr>
              <w:t xml:space="preserve">  (IPBC)</w:t>
            </w:r>
          </w:p>
          <w:p w14:paraId="255E8249" w14:textId="77777777" w:rsidR="00692E71" w:rsidRPr="00275290" w:rsidRDefault="00692E71" w:rsidP="008E0250">
            <w:pPr>
              <w:jc w:val="center"/>
              <w:rPr>
                <w:rFonts w:cs="Arial"/>
                <w:sz w:val="18"/>
                <w:szCs w:val="18"/>
              </w:rPr>
            </w:pPr>
            <w:r w:rsidRPr="00275290">
              <w:rPr>
                <w:rFonts w:cs="Arial"/>
                <w:sz w:val="18"/>
                <w:szCs w:val="18"/>
              </w:rPr>
              <w:t>5.1*10</w:t>
            </w:r>
            <w:r w:rsidRPr="00275290">
              <w:rPr>
                <w:rFonts w:cs="Arial"/>
                <w:sz w:val="18"/>
                <w:szCs w:val="18"/>
                <w:vertAlign w:val="superscript"/>
              </w:rPr>
              <w:t>-2</w:t>
            </w:r>
            <w:r w:rsidRPr="00275290">
              <w:rPr>
                <w:rFonts w:cs="Arial"/>
                <w:sz w:val="18"/>
                <w:szCs w:val="18"/>
              </w:rPr>
              <w:t xml:space="preserve"> (propiconazole)</w:t>
            </w:r>
          </w:p>
          <w:p w14:paraId="35B8E2A4" w14:textId="77777777" w:rsidR="00692E71" w:rsidRPr="00275290" w:rsidRDefault="00692E71" w:rsidP="008E0250">
            <w:pPr>
              <w:jc w:val="center"/>
              <w:rPr>
                <w:rFonts w:cs="Arial"/>
                <w:sz w:val="18"/>
                <w:szCs w:val="18"/>
              </w:rPr>
            </w:pPr>
            <w:r w:rsidRPr="00275290">
              <w:rPr>
                <w:rFonts w:cs="Arial"/>
                <w:sz w:val="18"/>
                <w:szCs w:val="18"/>
              </w:rPr>
              <w:t>1.7*10</w:t>
            </w:r>
            <w:r w:rsidRPr="00275290">
              <w:rPr>
                <w:rFonts w:cs="Arial"/>
                <w:sz w:val="18"/>
                <w:szCs w:val="18"/>
                <w:vertAlign w:val="superscript"/>
              </w:rPr>
              <w:t>-2</w:t>
            </w:r>
            <w:r w:rsidRPr="00275290">
              <w:rPr>
                <w:rFonts w:cs="Arial"/>
                <w:sz w:val="18"/>
                <w:szCs w:val="18"/>
              </w:rPr>
              <w:t xml:space="preserve"> (tebuconazole)</w:t>
            </w:r>
          </w:p>
          <w:p w14:paraId="10DB894B" w14:textId="77777777" w:rsidR="00692E71" w:rsidRPr="00275290" w:rsidRDefault="00692E71" w:rsidP="008E0250">
            <w:pPr>
              <w:jc w:val="center"/>
              <w:rPr>
                <w:rFonts w:cs="Arial"/>
                <w:sz w:val="18"/>
                <w:szCs w:val="18"/>
              </w:rPr>
            </w:pPr>
            <w:r w:rsidRPr="00275290">
              <w:rPr>
                <w:rFonts w:cs="Arial"/>
                <w:sz w:val="18"/>
                <w:szCs w:val="18"/>
              </w:rPr>
              <w:t>2.4*10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512EC24F"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918" w:type="dxa"/>
            <w:vAlign w:val="center"/>
          </w:tcPr>
          <w:p w14:paraId="09E13628"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A322534" w14:textId="77777777" w:rsidTr="008E0250">
        <w:tc>
          <w:tcPr>
            <w:tcW w:w="3061" w:type="dxa"/>
            <w:vAlign w:val="center"/>
          </w:tcPr>
          <w:p w14:paraId="079EF248" w14:textId="77777777" w:rsidR="00692E71" w:rsidRPr="00275290" w:rsidRDefault="00692E71" w:rsidP="008E0250">
            <w:pPr>
              <w:rPr>
                <w:rFonts w:cs="Arial"/>
                <w:sz w:val="18"/>
                <w:szCs w:val="18"/>
              </w:rPr>
            </w:pPr>
            <w:r w:rsidRPr="00275290">
              <w:rPr>
                <w:rFonts w:cs="Arial"/>
                <w:sz w:val="18"/>
                <w:szCs w:val="18"/>
              </w:rPr>
              <w:t>Concentration in local soil at the end of the day of application (house, non-professional application)</w:t>
            </w:r>
          </w:p>
        </w:tc>
        <w:tc>
          <w:tcPr>
            <w:tcW w:w="1559" w:type="dxa"/>
            <w:vAlign w:val="center"/>
          </w:tcPr>
          <w:p w14:paraId="77C16FB9"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soil,brush</w:t>
            </w:r>
          </w:p>
        </w:tc>
        <w:tc>
          <w:tcPr>
            <w:tcW w:w="2494" w:type="dxa"/>
            <w:vAlign w:val="center"/>
          </w:tcPr>
          <w:p w14:paraId="52E7F58E" w14:textId="77777777" w:rsidR="00692E71" w:rsidRPr="00275290" w:rsidRDefault="00692E71" w:rsidP="008E0250">
            <w:pPr>
              <w:jc w:val="center"/>
              <w:rPr>
                <w:rFonts w:cs="Arial"/>
                <w:sz w:val="18"/>
                <w:szCs w:val="18"/>
              </w:rPr>
            </w:pPr>
            <w:r w:rsidRPr="00275290">
              <w:rPr>
                <w:rFonts w:cs="Arial"/>
                <w:sz w:val="18"/>
                <w:szCs w:val="18"/>
              </w:rPr>
              <w:t>2.8*10</w:t>
            </w:r>
            <w:r w:rsidRPr="00275290">
              <w:rPr>
                <w:rFonts w:cs="Arial"/>
                <w:sz w:val="18"/>
                <w:szCs w:val="18"/>
                <w:vertAlign w:val="superscript"/>
              </w:rPr>
              <w:t>-2</w:t>
            </w:r>
            <w:r w:rsidRPr="00275290">
              <w:rPr>
                <w:rFonts w:cs="Arial"/>
                <w:sz w:val="18"/>
                <w:szCs w:val="18"/>
              </w:rPr>
              <w:t xml:space="preserve"> (IPBC)</w:t>
            </w:r>
          </w:p>
          <w:p w14:paraId="27C4316A" w14:textId="77777777" w:rsidR="00692E71" w:rsidRPr="00275290" w:rsidRDefault="00692E71" w:rsidP="008E0250">
            <w:pPr>
              <w:jc w:val="center"/>
              <w:rPr>
                <w:rFonts w:cs="Arial"/>
                <w:sz w:val="18"/>
                <w:szCs w:val="18"/>
              </w:rPr>
            </w:pPr>
            <w:r w:rsidRPr="00275290">
              <w:rPr>
                <w:rFonts w:cs="Arial"/>
                <w:sz w:val="18"/>
                <w:szCs w:val="18"/>
              </w:rPr>
              <w:t>8.5*10</w:t>
            </w:r>
            <w:r w:rsidRPr="00275290">
              <w:rPr>
                <w:rFonts w:cs="Arial"/>
                <w:sz w:val="18"/>
                <w:szCs w:val="18"/>
                <w:vertAlign w:val="superscript"/>
              </w:rPr>
              <w:t>-2</w:t>
            </w:r>
            <w:r w:rsidRPr="00275290">
              <w:rPr>
                <w:rFonts w:cs="Arial"/>
                <w:sz w:val="18"/>
                <w:szCs w:val="18"/>
              </w:rPr>
              <w:t xml:space="preserve"> (propiconazole)</w:t>
            </w:r>
          </w:p>
          <w:p w14:paraId="2CA86768" w14:textId="77777777" w:rsidR="00692E71" w:rsidRPr="00275290" w:rsidRDefault="00692E71" w:rsidP="008E0250">
            <w:pPr>
              <w:jc w:val="center"/>
              <w:rPr>
                <w:rFonts w:cs="Arial"/>
                <w:sz w:val="18"/>
                <w:szCs w:val="18"/>
              </w:rPr>
            </w:pPr>
            <w:r w:rsidRPr="00275290">
              <w:rPr>
                <w:rFonts w:cs="Arial"/>
                <w:sz w:val="18"/>
                <w:szCs w:val="18"/>
              </w:rPr>
              <w:t>2.8*10</w:t>
            </w:r>
            <w:r w:rsidRPr="00275290">
              <w:rPr>
                <w:rFonts w:cs="Arial"/>
                <w:sz w:val="18"/>
                <w:szCs w:val="18"/>
                <w:vertAlign w:val="superscript"/>
              </w:rPr>
              <w:t>-2</w:t>
            </w:r>
            <w:r w:rsidRPr="00275290">
              <w:rPr>
                <w:rFonts w:cs="Arial"/>
                <w:sz w:val="18"/>
                <w:szCs w:val="18"/>
              </w:rPr>
              <w:t xml:space="preserve"> (tebuconazole)</w:t>
            </w:r>
          </w:p>
          <w:p w14:paraId="5393C796" w14:textId="77777777" w:rsidR="00692E71" w:rsidRPr="00275290" w:rsidRDefault="00692E71" w:rsidP="008E0250">
            <w:pPr>
              <w:jc w:val="center"/>
              <w:rPr>
                <w:rFonts w:cs="Arial"/>
                <w:sz w:val="18"/>
                <w:szCs w:val="18"/>
              </w:rPr>
            </w:pPr>
            <w:r w:rsidRPr="00275290">
              <w:rPr>
                <w:rFonts w:cs="Arial"/>
                <w:sz w:val="18"/>
                <w:szCs w:val="18"/>
              </w:rPr>
              <w:t>4.0*10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675CB848"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918" w:type="dxa"/>
            <w:vAlign w:val="center"/>
          </w:tcPr>
          <w:p w14:paraId="6B16867C"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8CFA61A" w14:textId="77777777" w:rsidTr="008E0250">
        <w:tc>
          <w:tcPr>
            <w:tcW w:w="3061" w:type="dxa"/>
            <w:vAlign w:val="center"/>
          </w:tcPr>
          <w:p w14:paraId="50CA13EE" w14:textId="77777777" w:rsidR="00692E71" w:rsidRPr="00275290" w:rsidRDefault="00692E71" w:rsidP="008E0250">
            <w:pPr>
              <w:rPr>
                <w:rFonts w:cs="Arial"/>
                <w:sz w:val="18"/>
                <w:szCs w:val="18"/>
              </w:rPr>
            </w:pPr>
            <w:r w:rsidRPr="00275290">
              <w:rPr>
                <w:rFonts w:cs="Arial"/>
                <w:sz w:val="18"/>
                <w:szCs w:val="18"/>
              </w:rPr>
              <w:t>Concentration in local soil at the end of the day of application (fence, professional application)</w:t>
            </w:r>
          </w:p>
        </w:tc>
        <w:tc>
          <w:tcPr>
            <w:tcW w:w="1559" w:type="dxa"/>
            <w:vAlign w:val="center"/>
          </w:tcPr>
          <w:p w14:paraId="736B7BB5"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soil,brush</w:t>
            </w:r>
          </w:p>
        </w:tc>
        <w:tc>
          <w:tcPr>
            <w:tcW w:w="2494" w:type="dxa"/>
            <w:vAlign w:val="center"/>
          </w:tcPr>
          <w:p w14:paraId="7D75BE52" w14:textId="77777777" w:rsidR="00692E71" w:rsidRPr="00275290" w:rsidRDefault="00692E71" w:rsidP="008E0250">
            <w:pPr>
              <w:jc w:val="center"/>
              <w:rPr>
                <w:rFonts w:cs="Arial"/>
                <w:sz w:val="18"/>
                <w:szCs w:val="18"/>
              </w:rPr>
            </w:pPr>
            <w:r w:rsidRPr="00275290">
              <w:rPr>
                <w:rFonts w:cs="Arial"/>
                <w:sz w:val="18"/>
                <w:szCs w:val="18"/>
              </w:rPr>
              <w:t>1.4*10</w:t>
            </w:r>
            <w:r w:rsidRPr="00275290">
              <w:rPr>
                <w:rFonts w:cs="Arial"/>
                <w:sz w:val="18"/>
                <w:szCs w:val="18"/>
                <w:vertAlign w:val="superscript"/>
              </w:rPr>
              <w:t>-2</w:t>
            </w:r>
            <w:r w:rsidRPr="00275290">
              <w:rPr>
                <w:rFonts w:cs="Arial"/>
                <w:sz w:val="18"/>
                <w:szCs w:val="18"/>
              </w:rPr>
              <w:t xml:space="preserve"> (IPBC)</w:t>
            </w:r>
          </w:p>
          <w:p w14:paraId="29133B76" w14:textId="77777777" w:rsidR="00692E71" w:rsidRPr="00275290" w:rsidRDefault="00692E71" w:rsidP="008E0250">
            <w:pPr>
              <w:jc w:val="center"/>
              <w:rPr>
                <w:rFonts w:cs="Arial"/>
                <w:sz w:val="18"/>
                <w:szCs w:val="18"/>
              </w:rPr>
            </w:pPr>
            <w:r w:rsidRPr="00275290">
              <w:rPr>
                <w:rFonts w:cs="Arial"/>
                <w:sz w:val="18"/>
                <w:szCs w:val="18"/>
              </w:rPr>
              <w:t>4.2*10</w:t>
            </w:r>
            <w:r w:rsidRPr="00275290">
              <w:rPr>
                <w:rFonts w:cs="Arial"/>
                <w:sz w:val="18"/>
                <w:szCs w:val="18"/>
                <w:vertAlign w:val="superscript"/>
              </w:rPr>
              <w:t>-2</w:t>
            </w:r>
            <w:r w:rsidRPr="00275290">
              <w:rPr>
                <w:rFonts w:cs="Arial"/>
                <w:sz w:val="18"/>
                <w:szCs w:val="18"/>
              </w:rPr>
              <w:t xml:space="preserve">  (propiconazole)</w:t>
            </w:r>
          </w:p>
          <w:p w14:paraId="61DCF874" w14:textId="77777777" w:rsidR="00692E71" w:rsidRPr="00275290" w:rsidRDefault="00692E71" w:rsidP="008E0250">
            <w:pPr>
              <w:jc w:val="center"/>
              <w:rPr>
                <w:rFonts w:cs="Arial"/>
                <w:sz w:val="18"/>
                <w:szCs w:val="18"/>
              </w:rPr>
            </w:pPr>
            <w:r w:rsidRPr="00275290">
              <w:rPr>
                <w:rFonts w:cs="Arial"/>
                <w:sz w:val="18"/>
                <w:szCs w:val="18"/>
              </w:rPr>
              <w:t>1.4*10</w:t>
            </w:r>
            <w:r w:rsidRPr="00275290">
              <w:rPr>
                <w:rFonts w:cs="Arial"/>
                <w:sz w:val="18"/>
                <w:szCs w:val="18"/>
                <w:vertAlign w:val="superscript"/>
              </w:rPr>
              <w:t>-2</w:t>
            </w:r>
            <w:r w:rsidRPr="00275290">
              <w:rPr>
                <w:rFonts w:cs="Arial"/>
                <w:sz w:val="18"/>
                <w:szCs w:val="18"/>
              </w:rPr>
              <w:t xml:space="preserve">  (tebuconazole)</w:t>
            </w:r>
          </w:p>
          <w:p w14:paraId="75346B21" w14:textId="77777777" w:rsidR="00692E71" w:rsidRPr="00275290" w:rsidRDefault="00692E71" w:rsidP="008E0250">
            <w:pPr>
              <w:jc w:val="center"/>
              <w:rPr>
                <w:rFonts w:cs="Arial"/>
                <w:sz w:val="18"/>
                <w:szCs w:val="18"/>
              </w:rPr>
            </w:pPr>
            <w:r w:rsidRPr="00275290">
              <w:rPr>
                <w:rFonts w:cs="Arial"/>
                <w:sz w:val="18"/>
                <w:szCs w:val="18"/>
              </w:rPr>
              <w:t>2.0*10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76FECDE4"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918" w:type="dxa"/>
            <w:vAlign w:val="center"/>
          </w:tcPr>
          <w:p w14:paraId="282D9C3D"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24BAAD9E" w14:textId="77777777" w:rsidTr="008E0250">
        <w:tc>
          <w:tcPr>
            <w:tcW w:w="3061" w:type="dxa"/>
            <w:vAlign w:val="center"/>
          </w:tcPr>
          <w:p w14:paraId="51241A65" w14:textId="77777777" w:rsidR="00692E71" w:rsidRPr="00275290" w:rsidRDefault="00692E71" w:rsidP="008E0250">
            <w:pPr>
              <w:rPr>
                <w:rFonts w:cs="Arial"/>
                <w:sz w:val="18"/>
                <w:szCs w:val="18"/>
              </w:rPr>
            </w:pPr>
            <w:r w:rsidRPr="00275290">
              <w:rPr>
                <w:rFonts w:cs="Arial"/>
                <w:sz w:val="18"/>
                <w:szCs w:val="18"/>
              </w:rPr>
              <w:lastRenderedPageBreak/>
              <w:t>Concentration in local soil at the end of the day of application (fence, non-professional application)</w:t>
            </w:r>
          </w:p>
        </w:tc>
        <w:tc>
          <w:tcPr>
            <w:tcW w:w="1559" w:type="dxa"/>
            <w:vAlign w:val="center"/>
          </w:tcPr>
          <w:p w14:paraId="711584B5"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soil,brush</w:t>
            </w:r>
          </w:p>
        </w:tc>
        <w:tc>
          <w:tcPr>
            <w:tcW w:w="2494" w:type="dxa"/>
            <w:vAlign w:val="center"/>
          </w:tcPr>
          <w:p w14:paraId="619102CC" w14:textId="77777777" w:rsidR="00692E71" w:rsidRPr="00275290" w:rsidRDefault="00692E71" w:rsidP="008E0250">
            <w:pPr>
              <w:jc w:val="center"/>
              <w:rPr>
                <w:rFonts w:cs="Arial"/>
                <w:sz w:val="18"/>
                <w:szCs w:val="18"/>
              </w:rPr>
            </w:pPr>
            <w:r w:rsidRPr="00275290">
              <w:rPr>
                <w:rFonts w:cs="Arial"/>
                <w:sz w:val="18"/>
                <w:szCs w:val="18"/>
              </w:rPr>
              <w:t>2.4*10</w:t>
            </w:r>
            <w:r w:rsidRPr="00275290">
              <w:rPr>
                <w:rFonts w:cs="Arial"/>
                <w:sz w:val="18"/>
                <w:szCs w:val="18"/>
                <w:vertAlign w:val="superscript"/>
              </w:rPr>
              <w:t>-2</w:t>
            </w:r>
            <w:r w:rsidRPr="00275290">
              <w:rPr>
                <w:rFonts w:cs="Arial"/>
                <w:sz w:val="18"/>
                <w:szCs w:val="18"/>
              </w:rPr>
              <w:t xml:space="preserve"> (IPBC)</w:t>
            </w:r>
          </w:p>
          <w:p w14:paraId="13252D72" w14:textId="77777777" w:rsidR="00692E71" w:rsidRPr="00275290" w:rsidRDefault="00692E71" w:rsidP="008E0250">
            <w:pPr>
              <w:jc w:val="center"/>
              <w:rPr>
                <w:rFonts w:cs="Arial"/>
                <w:sz w:val="18"/>
                <w:szCs w:val="18"/>
              </w:rPr>
            </w:pPr>
            <w:r w:rsidRPr="00275290">
              <w:rPr>
                <w:rFonts w:cs="Arial"/>
                <w:sz w:val="18"/>
                <w:szCs w:val="18"/>
              </w:rPr>
              <w:t>7.1*10</w:t>
            </w:r>
            <w:r w:rsidRPr="00275290">
              <w:rPr>
                <w:rFonts w:cs="Arial"/>
                <w:sz w:val="18"/>
                <w:szCs w:val="18"/>
                <w:vertAlign w:val="superscript"/>
              </w:rPr>
              <w:t>-2</w:t>
            </w:r>
            <w:r w:rsidRPr="00275290">
              <w:rPr>
                <w:rFonts w:cs="Arial"/>
                <w:sz w:val="18"/>
                <w:szCs w:val="18"/>
              </w:rPr>
              <w:t xml:space="preserve"> (propiconazole)</w:t>
            </w:r>
          </w:p>
          <w:p w14:paraId="144D2005" w14:textId="77777777" w:rsidR="00692E71" w:rsidRPr="00275290" w:rsidRDefault="00692E71" w:rsidP="008E0250">
            <w:pPr>
              <w:jc w:val="center"/>
              <w:rPr>
                <w:rFonts w:cs="Arial"/>
                <w:sz w:val="18"/>
                <w:szCs w:val="18"/>
              </w:rPr>
            </w:pPr>
            <w:r w:rsidRPr="00275290">
              <w:rPr>
                <w:rFonts w:cs="Arial"/>
                <w:sz w:val="18"/>
                <w:szCs w:val="18"/>
              </w:rPr>
              <w:t>2.4*10</w:t>
            </w:r>
            <w:r w:rsidRPr="00275290">
              <w:rPr>
                <w:rFonts w:cs="Arial"/>
                <w:sz w:val="18"/>
                <w:szCs w:val="18"/>
                <w:vertAlign w:val="superscript"/>
              </w:rPr>
              <w:t>-2</w:t>
            </w:r>
            <w:r w:rsidRPr="00275290">
              <w:rPr>
                <w:rFonts w:cs="Arial"/>
                <w:sz w:val="18"/>
                <w:szCs w:val="18"/>
              </w:rPr>
              <w:t xml:space="preserve"> (tebuconazole)</w:t>
            </w:r>
          </w:p>
          <w:p w14:paraId="6DD21CBB" w14:textId="77777777" w:rsidR="00692E71" w:rsidRPr="00275290" w:rsidRDefault="00692E71" w:rsidP="008E0250">
            <w:pPr>
              <w:jc w:val="center"/>
              <w:rPr>
                <w:rFonts w:cs="Arial"/>
                <w:sz w:val="18"/>
                <w:szCs w:val="18"/>
              </w:rPr>
            </w:pPr>
            <w:r w:rsidRPr="00275290">
              <w:rPr>
                <w:rFonts w:cs="Arial"/>
                <w:sz w:val="18"/>
                <w:szCs w:val="18"/>
              </w:rPr>
              <w:t>3.3*10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30A525A0"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918" w:type="dxa"/>
            <w:vAlign w:val="center"/>
          </w:tcPr>
          <w:p w14:paraId="4AA12FFC"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3DFF5E2A" w14:textId="77777777" w:rsidTr="008E0250">
        <w:tc>
          <w:tcPr>
            <w:tcW w:w="3061" w:type="dxa"/>
            <w:vAlign w:val="center"/>
          </w:tcPr>
          <w:p w14:paraId="28A33C6C" w14:textId="77777777" w:rsidR="00692E71" w:rsidRPr="00275290" w:rsidRDefault="00692E71" w:rsidP="008E0250">
            <w:pPr>
              <w:rPr>
                <w:rFonts w:cs="Arial"/>
                <w:sz w:val="18"/>
                <w:szCs w:val="18"/>
              </w:rPr>
            </w:pPr>
            <w:r w:rsidRPr="00275290">
              <w:rPr>
                <w:rFonts w:cs="Arial"/>
                <w:sz w:val="18"/>
                <w:szCs w:val="18"/>
              </w:rPr>
              <w:t>Concentration in local water at the end of the day of application (bridge, professional application)</w:t>
            </w:r>
          </w:p>
        </w:tc>
        <w:tc>
          <w:tcPr>
            <w:tcW w:w="1559" w:type="dxa"/>
            <w:vAlign w:val="center"/>
          </w:tcPr>
          <w:p w14:paraId="1951D3A7"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water,brush</w:t>
            </w:r>
          </w:p>
        </w:tc>
        <w:tc>
          <w:tcPr>
            <w:tcW w:w="2494" w:type="dxa"/>
            <w:vAlign w:val="center"/>
          </w:tcPr>
          <w:p w14:paraId="73316E07" w14:textId="77777777" w:rsidR="00692E71" w:rsidRPr="00275290" w:rsidRDefault="00692E71" w:rsidP="008E0250">
            <w:pPr>
              <w:jc w:val="center"/>
              <w:rPr>
                <w:rFonts w:cs="Arial"/>
                <w:sz w:val="18"/>
                <w:szCs w:val="18"/>
              </w:rPr>
            </w:pPr>
            <w:r w:rsidRPr="00275290">
              <w:rPr>
                <w:rFonts w:cs="Arial"/>
                <w:sz w:val="18"/>
                <w:szCs w:val="18"/>
              </w:rPr>
              <w:t>3.0*10</w:t>
            </w:r>
            <w:r w:rsidRPr="00275290">
              <w:rPr>
                <w:rFonts w:cs="Arial"/>
                <w:sz w:val="18"/>
                <w:szCs w:val="18"/>
                <w:vertAlign w:val="superscript"/>
              </w:rPr>
              <w:t>-2</w:t>
            </w:r>
            <w:r w:rsidRPr="00275290">
              <w:rPr>
                <w:rFonts w:cs="Arial"/>
                <w:sz w:val="18"/>
                <w:szCs w:val="18"/>
              </w:rPr>
              <w:t xml:space="preserve"> (IPBC)</w:t>
            </w:r>
          </w:p>
          <w:p w14:paraId="4A5703DE" w14:textId="77777777" w:rsidR="00692E71" w:rsidRPr="00275290" w:rsidRDefault="00692E71" w:rsidP="008E0250">
            <w:pPr>
              <w:jc w:val="center"/>
              <w:rPr>
                <w:rFonts w:cs="Arial"/>
                <w:sz w:val="18"/>
                <w:szCs w:val="18"/>
              </w:rPr>
            </w:pPr>
            <w:r w:rsidRPr="00275290">
              <w:rPr>
                <w:rFonts w:cs="Arial"/>
                <w:sz w:val="18"/>
                <w:szCs w:val="18"/>
              </w:rPr>
              <w:t>9.0*10</w:t>
            </w:r>
            <w:r w:rsidRPr="00275290">
              <w:rPr>
                <w:rFonts w:cs="Arial"/>
                <w:sz w:val="18"/>
                <w:szCs w:val="18"/>
                <w:vertAlign w:val="superscript"/>
              </w:rPr>
              <w:t>-2</w:t>
            </w:r>
            <w:r w:rsidRPr="00275290">
              <w:rPr>
                <w:rFonts w:cs="Arial"/>
                <w:sz w:val="18"/>
                <w:szCs w:val="18"/>
              </w:rPr>
              <w:t xml:space="preserve"> (propiconazole)</w:t>
            </w:r>
          </w:p>
          <w:p w14:paraId="073C4946" w14:textId="77777777" w:rsidR="00692E71" w:rsidRPr="00275290" w:rsidRDefault="00692E71" w:rsidP="008E0250">
            <w:pPr>
              <w:jc w:val="center"/>
              <w:rPr>
                <w:rFonts w:cs="Arial"/>
                <w:sz w:val="18"/>
                <w:szCs w:val="18"/>
              </w:rPr>
            </w:pPr>
            <w:r w:rsidRPr="00275290">
              <w:rPr>
                <w:rFonts w:cs="Arial"/>
                <w:sz w:val="18"/>
                <w:szCs w:val="18"/>
              </w:rPr>
              <w:t>3.0*10</w:t>
            </w:r>
            <w:r w:rsidRPr="00275290">
              <w:rPr>
                <w:rFonts w:cs="Arial"/>
                <w:sz w:val="18"/>
                <w:szCs w:val="18"/>
                <w:vertAlign w:val="superscript"/>
              </w:rPr>
              <w:t>-2</w:t>
            </w:r>
            <w:r w:rsidRPr="00275290">
              <w:rPr>
                <w:rFonts w:cs="Arial"/>
                <w:sz w:val="18"/>
                <w:szCs w:val="18"/>
              </w:rPr>
              <w:t xml:space="preserve"> (tebuconazole)</w:t>
            </w:r>
          </w:p>
          <w:p w14:paraId="2ED3ABF1" w14:textId="77777777" w:rsidR="00692E71" w:rsidRPr="00275290" w:rsidRDefault="00692E71" w:rsidP="008E0250">
            <w:pPr>
              <w:jc w:val="center"/>
              <w:rPr>
                <w:rFonts w:cs="Arial"/>
                <w:sz w:val="18"/>
                <w:szCs w:val="18"/>
              </w:rPr>
            </w:pPr>
            <w:r w:rsidRPr="00275290">
              <w:rPr>
                <w:rFonts w:cs="Arial"/>
                <w:sz w:val="18"/>
                <w:szCs w:val="18"/>
              </w:rPr>
              <w:t>4.2*10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09780828" w14:textId="77777777" w:rsidR="00692E71" w:rsidRPr="00275290" w:rsidRDefault="00692E71" w:rsidP="008E0250">
            <w:pPr>
              <w:jc w:val="center"/>
              <w:rPr>
                <w:rFonts w:cs="Arial"/>
                <w:sz w:val="18"/>
                <w:szCs w:val="18"/>
              </w:rPr>
            </w:pPr>
            <w:r w:rsidRPr="00275290">
              <w:rPr>
                <w:rFonts w:cs="Arial"/>
                <w:sz w:val="18"/>
                <w:szCs w:val="18"/>
              </w:rPr>
              <w:t>[µg/L]</w:t>
            </w:r>
          </w:p>
        </w:tc>
        <w:tc>
          <w:tcPr>
            <w:tcW w:w="918" w:type="dxa"/>
            <w:vAlign w:val="center"/>
          </w:tcPr>
          <w:p w14:paraId="5CDDA492"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432F6186" w14:textId="77777777" w:rsidTr="008E0250">
        <w:tc>
          <w:tcPr>
            <w:tcW w:w="3061" w:type="dxa"/>
            <w:vAlign w:val="center"/>
          </w:tcPr>
          <w:p w14:paraId="08CC4508" w14:textId="77777777" w:rsidR="00692E71" w:rsidRPr="00275290" w:rsidRDefault="00692E71" w:rsidP="008E0250">
            <w:pPr>
              <w:rPr>
                <w:rFonts w:cs="Arial"/>
                <w:sz w:val="18"/>
                <w:szCs w:val="18"/>
              </w:rPr>
            </w:pPr>
            <w:r w:rsidRPr="00275290">
              <w:rPr>
                <w:rFonts w:cs="Arial"/>
                <w:sz w:val="18"/>
                <w:szCs w:val="18"/>
              </w:rPr>
              <w:t>Concentration in local water at the end of the day of application (bridge, non-professional application)</w:t>
            </w:r>
          </w:p>
        </w:tc>
        <w:tc>
          <w:tcPr>
            <w:tcW w:w="1559" w:type="dxa"/>
            <w:vAlign w:val="center"/>
          </w:tcPr>
          <w:p w14:paraId="1F80FA3B"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water,brush</w:t>
            </w:r>
          </w:p>
        </w:tc>
        <w:tc>
          <w:tcPr>
            <w:tcW w:w="2494" w:type="dxa"/>
            <w:vAlign w:val="center"/>
          </w:tcPr>
          <w:p w14:paraId="320C775C" w14:textId="77777777" w:rsidR="00692E71" w:rsidRPr="00275290" w:rsidRDefault="00692E71" w:rsidP="008E0250">
            <w:pPr>
              <w:jc w:val="center"/>
              <w:rPr>
                <w:rFonts w:cs="Arial"/>
                <w:sz w:val="18"/>
                <w:szCs w:val="18"/>
              </w:rPr>
            </w:pPr>
            <w:r w:rsidRPr="00275290">
              <w:rPr>
                <w:rFonts w:cs="Arial"/>
                <w:sz w:val="18"/>
                <w:szCs w:val="18"/>
              </w:rPr>
              <w:t>5.0*10</w:t>
            </w:r>
            <w:r w:rsidRPr="00275290">
              <w:rPr>
                <w:rFonts w:cs="Arial"/>
                <w:sz w:val="18"/>
                <w:szCs w:val="18"/>
                <w:vertAlign w:val="superscript"/>
              </w:rPr>
              <w:t>-2</w:t>
            </w:r>
            <w:r w:rsidRPr="00275290">
              <w:rPr>
                <w:rFonts w:cs="Arial"/>
                <w:sz w:val="18"/>
                <w:szCs w:val="18"/>
              </w:rPr>
              <w:t xml:space="preserve"> (IPBC)</w:t>
            </w:r>
          </w:p>
          <w:p w14:paraId="234BDAAB" w14:textId="77777777" w:rsidR="00692E71" w:rsidRPr="00275290" w:rsidRDefault="00692E71" w:rsidP="008E0250">
            <w:pPr>
              <w:jc w:val="center"/>
              <w:rPr>
                <w:rFonts w:cs="Arial"/>
                <w:sz w:val="18"/>
                <w:szCs w:val="18"/>
              </w:rPr>
            </w:pPr>
            <w:r w:rsidRPr="00275290">
              <w:rPr>
                <w:rFonts w:cs="Arial"/>
                <w:sz w:val="18"/>
                <w:szCs w:val="18"/>
              </w:rPr>
              <w:t>0.15 (propiconazole)</w:t>
            </w:r>
          </w:p>
          <w:p w14:paraId="30108838" w14:textId="77777777" w:rsidR="00692E71" w:rsidRPr="00275290" w:rsidRDefault="00692E71" w:rsidP="008E0250">
            <w:pPr>
              <w:jc w:val="center"/>
              <w:rPr>
                <w:rFonts w:cs="Arial"/>
                <w:sz w:val="18"/>
                <w:szCs w:val="18"/>
              </w:rPr>
            </w:pPr>
            <w:r w:rsidRPr="00275290">
              <w:rPr>
                <w:rFonts w:cs="Arial"/>
                <w:sz w:val="18"/>
                <w:szCs w:val="18"/>
              </w:rPr>
              <w:t>5.0*10</w:t>
            </w:r>
            <w:r w:rsidRPr="00275290">
              <w:rPr>
                <w:rFonts w:cs="Arial"/>
                <w:sz w:val="18"/>
                <w:szCs w:val="18"/>
                <w:vertAlign w:val="superscript"/>
              </w:rPr>
              <w:t>-2</w:t>
            </w:r>
            <w:r w:rsidRPr="00275290">
              <w:rPr>
                <w:rFonts w:cs="Arial"/>
                <w:sz w:val="18"/>
                <w:szCs w:val="18"/>
              </w:rPr>
              <w:t xml:space="preserve"> (tebuconazole)</w:t>
            </w:r>
          </w:p>
          <w:p w14:paraId="0546ABBB" w14:textId="77777777" w:rsidR="00692E71" w:rsidRPr="00275290" w:rsidRDefault="00692E71" w:rsidP="008E0250">
            <w:pPr>
              <w:jc w:val="center"/>
              <w:rPr>
                <w:rFonts w:cs="Arial"/>
                <w:sz w:val="18"/>
                <w:szCs w:val="18"/>
              </w:rPr>
            </w:pPr>
            <w:r w:rsidRPr="00275290">
              <w:rPr>
                <w:rFonts w:cs="Arial"/>
                <w:sz w:val="18"/>
                <w:szCs w:val="18"/>
              </w:rPr>
              <w:t>5.0*10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0336E12E" w14:textId="77777777" w:rsidR="00692E71" w:rsidRPr="00275290" w:rsidRDefault="00692E71" w:rsidP="008E0250">
            <w:pPr>
              <w:jc w:val="center"/>
              <w:rPr>
                <w:rFonts w:cs="Arial"/>
                <w:sz w:val="18"/>
                <w:szCs w:val="18"/>
              </w:rPr>
            </w:pPr>
            <w:r w:rsidRPr="00275290">
              <w:rPr>
                <w:rFonts w:cs="Arial"/>
                <w:sz w:val="18"/>
                <w:szCs w:val="18"/>
              </w:rPr>
              <w:t>[µg/L]</w:t>
            </w:r>
          </w:p>
        </w:tc>
        <w:tc>
          <w:tcPr>
            <w:tcW w:w="918" w:type="dxa"/>
            <w:vAlign w:val="center"/>
          </w:tcPr>
          <w:p w14:paraId="6B6956AF" w14:textId="77777777" w:rsidR="00692E71" w:rsidRPr="00275290" w:rsidRDefault="00692E71" w:rsidP="008E0250">
            <w:pPr>
              <w:jc w:val="center"/>
              <w:rPr>
                <w:rFonts w:cs="Arial"/>
                <w:sz w:val="18"/>
                <w:szCs w:val="18"/>
              </w:rPr>
            </w:pPr>
            <w:r w:rsidRPr="00275290">
              <w:rPr>
                <w:rFonts w:cs="Arial"/>
                <w:sz w:val="18"/>
                <w:szCs w:val="18"/>
              </w:rPr>
              <w:t>O</w:t>
            </w:r>
          </w:p>
        </w:tc>
      </w:tr>
    </w:tbl>
    <w:p w14:paraId="0BBD3C75" w14:textId="77777777" w:rsidR="00692E71" w:rsidRPr="00275290" w:rsidRDefault="00692E71" w:rsidP="00692E71">
      <w:pPr>
        <w:keepNext/>
        <w:keepLines/>
        <w:rPr>
          <w:rFonts w:cs="Arial"/>
        </w:rPr>
      </w:pPr>
      <w:r w:rsidRPr="00275290">
        <w:rPr>
          <w:rFonts w:cs="Arial"/>
        </w:rPr>
        <w:t>D = default, A = based on information of applicant, O = output</w:t>
      </w:r>
    </w:p>
    <w:p w14:paraId="75C501C2" w14:textId="77777777" w:rsidR="00692E71" w:rsidRPr="00275290" w:rsidRDefault="00692E71" w:rsidP="00692E71">
      <w:pPr>
        <w:rPr>
          <w:rFonts w:cs="Arial"/>
        </w:rPr>
      </w:pPr>
    </w:p>
    <w:p w14:paraId="21E16497" w14:textId="77777777" w:rsidR="00692E71" w:rsidRPr="00275290" w:rsidRDefault="00692E71" w:rsidP="00692E71">
      <w:pPr>
        <w:rPr>
          <w:rFonts w:cs="Arial"/>
        </w:rPr>
      </w:pPr>
      <w:r w:rsidRPr="00275290">
        <w:rPr>
          <w:rFonts w:cs="Arial"/>
          <w:u w:val="single"/>
        </w:rPr>
        <w:t>Calculations (IPBC and non-professional application used as an example)</w:t>
      </w:r>
      <w:r w:rsidRPr="00275290">
        <w:rPr>
          <w:rFonts w:cs="Arial"/>
        </w:rPr>
        <w:t xml:space="preserve"> </w:t>
      </w:r>
    </w:p>
    <w:p w14:paraId="5EDCCB19" w14:textId="77777777" w:rsidR="00692E71" w:rsidRPr="00275290" w:rsidRDefault="00692E71" w:rsidP="00692E71">
      <w:pPr>
        <w:rPr>
          <w:rFonts w:cs="Arial"/>
        </w:rPr>
      </w:pPr>
    </w:p>
    <w:p w14:paraId="57685A8B" w14:textId="77777777" w:rsidR="00692E71" w:rsidRPr="00275290" w:rsidRDefault="00692E71" w:rsidP="00692E71">
      <w:pPr>
        <w:rPr>
          <w:rFonts w:cs="Arial"/>
        </w:rPr>
      </w:pPr>
      <w:r w:rsidRPr="00275290">
        <w:rPr>
          <w:rFonts w:cs="Arial"/>
        </w:rPr>
        <w:t>- House scenario:</w:t>
      </w:r>
    </w:p>
    <w:p w14:paraId="596665E1" w14:textId="77777777" w:rsidR="00692E71" w:rsidRPr="00275290" w:rsidRDefault="00692E71" w:rsidP="00692E71">
      <w:pPr>
        <w:rPr>
          <w:rFonts w:cs="Arial"/>
        </w:rPr>
      </w:pPr>
      <w:r w:rsidRPr="00275290">
        <w:rPr>
          <w:rFonts w:cs="Arial"/>
        </w:rPr>
        <w:t>E</w:t>
      </w:r>
      <w:r w:rsidRPr="00275290">
        <w:rPr>
          <w:rFonts w:cs="Arial"/>
          <w:vertAlign w:val="subscript"/>
        </w:rPr>
        <w:t>soil</w:t>
      </w:r>
      <w:proofErr w:type="gramStart"/>
      <w:r w:rsidRPr="00275290">
        <w:rPr>
          <w:rFonts w:cs="Arial"/>
          <w:vertAlign w:val="subscript"/>
        </w:rPr>
        <w:t>,brush</w:t>
      </w:r>
      <w:proofErr w:type="gramEnd"/>
      <w:r w:rsidRPr="00275290">
        <w:rPr>
          <w:rFonts w:cs="Arial"/>
          <w:vertAlign w:val="subscript"/>
        </w:rPr>
        <w:t xml:space="preserve"> </w:t>
      </w:r>
      <w:r w:rsidRPr="00275290">
        <w:rPr>
          <w:rFonts w:cs="Arial"/>
        </w:rPr>
        <w:t>= AREA</w:t>
      </w:r>
      <w:r w:rsidRPr="00275290">
        <w:rPr>
          <w:rFonts w:cs="Arial"/>
          <w:vertAlign w:val="subscript"/>
        </w:rPr>
        <w:t>house</w:t>
      </w:r>
      <w:r w:rsidRPr="00275290">
        <w:rPr>
          <w:rFonts w:cs="Arial"/>
        </w:rPr>
        <w:t xml:space="preserve"> * Q</w:t>
      </w:r>
      <w:r w:rsidRPr="00275290">
        <w:rPr>
          <w:rFonts w:cs="Arial"/>
          <w:vertAlign w:val="subscript"/>
        </w:rPr>
        <w:t xml:space="preserve">applic,product </w:t>
      </w:r>
      <w:r w:rsidRPr="00275290">
        <w:rPr>
          <w:rFonts w:cs="Arial"/>
        </w:rPr>
        <w:t>* f</w:t>
      </w:r>
      <w:r w:rsidRPr="00275290">
        <w:rPr>
          <w:rFonts w:cs="Arial"/>
          <w:vertAlign w:val="subscript"/>
        </w:rPr>
        <w:t>a.i</w:t>
      </w:r>
      <w:r w:rsidRPr="00275290">
        <w:rPr>
          <w:rFonts w:cs="Arial"/>
        </w:rPr>
        <w:t>. * F</w:t>
      </w:r>
      <w:r w:rsidRPr="00275290">
        <w:rPr>
          <w:rFonts w:cs="Arial"/>
          <w:vertAlign w:val="subscript"/>
        </w:rPr>
        <w:t>soil</w:t>
      </w:r>
      <w:proofErr w:type="gramStart"/>
      <w:r w:rsidRPr="00275290">
        <w:rPr>
          <w:rFonts w:cs="Arial"/>
          <w:vertAlign w:val="subscript"/>
        </w:rPr>
        <w:t>,brush</w:t>
      </w:r>
      <w:proofErr w:type="gramEnd"/>
    </w:p>
    <w:p w14:paraId="485F4B58" w14:textId="77777777" w:rsidR="00692E71" w:rsidRPr="00275290" w:rsidRDefault="00692E71" w:rsidP="00692E71">
      <w:pPr>
        <w:rPr>
          <w:rFonts w:cs="Arial"/>
        </w:rPr>
      </w:pPr>
      <w:r w:rsidRPr="00275290">
        <w:rPr>
          <w:rFonts w:cs="Arial"/>
        </w:rPr>
        <w:t>E</w:t>
      </w:r>
      <w:r w:rsidRPr="00275290">
        <w:rPr>
          <w:rFonts w:cs="Arial"/>
          <w:vertAlign w:val="subscript"/>
        </w:rPr>
        <w:t>soil</w:t>
      </w:r>
      <w:proofErr w:type="gramStart"/>
      <w:r w:rsidRPr="00275290">
        <w:rPr>
          <w:rFonts w:cs="Arial"/>
          <w:vertAlign w:val="subscript"/>
        </w:rPr>
        <w:t>,brush</w:t>
      </w:r>
      <w:proofErr w:type="gramEnd"/>
      <w:r w:rsidRPr="00275290">
        <w:rPr>
          <w:rFonts w:cs="Arial"/>
          <w:vertAlign w:val="subscript"/>
        </w:rPr>
        <w:t xml:space="preserve"> </w:t>
      </w:r>
      <w:r w:rsidRPr="00275290">
        <w:rPr>
          <w:rFonts w:cs="Arial"/>
        </w:rPr>
        <w:t>= 125 * 0.200 * 0.05 * 0.05 /100</w:t>
      </w:r>
    </w:p>
    <w:p w14:paraId="0ADA4A4F" w14:textId="77777777" w:rsidR="00692E71" w:rsidRPr="00275290" w:rsidRDefault="00692E71" w:rsidP="00692E71">
      <w:pPr>
        <w:rPr>
          <w:rFonts w:cs="Arial"/>
        </w:rPr>
      </w:pPr>
      <w:r w:rsidRPr="00275290">
        <w:rPr>
          <w:rFonts w:cs="Arial"/>
        </w:rPr>
        <w:t>E</w:t>
      </w:r>
      <w:r w:rsidRPr="00275290">
        <w:rPr>
          <w:rFonts w:cs="Arial"/>
          <w:vertAlign w:val="subscript"/>
        </w:rPr>
        <w:t>soil</w:t>
      </w:r>
      <w:proofErr w:type="gramStart"/>
      <w:r w:rsidRPr="00275290">
        <w:rPr>
          <w:rFonts w:cs="Arial"/>
          <w:vertAlign w:val="subscript"/>
        </w:rPr>
        <w:t>,brush</w:t>
      </w:r>
      <w:proofErr w:type="gramEnd"/>
      <w:r w:rsidRPr="00275290">
        <w:rPr>
          <w:rFonts w:cs="Arial"/>
          <w:vertAlign w:val="subscript"/>
        </w:rPr>
        <w:t xml:space="preserve"> </w:t>
      </w:r>
      <w:r w:rsidRPr="00275290">
        <w:rPr>
          <w:rFonts w:cs="Arial"/>
        </w:rPr>
        <w:t>= 6.3*10</w:t>
      </w:r>
      <w:r w:rsidRPr="00275290">
        <w:rPr>
          <w:rFonts w:cs="Arial"/>
          <w:vertAlign w:val="superscript"/>
        </w:rPr>
        <w:t>-4</w:t>
      </w:r>
      <w:r w:rsidRPr="00275290">
        <w:rPr>
          <w:rFonts w:cs="Arial"/>
        </w:rPr>
        <w:t xml:space="preserve"> kg/d</w:t>
      </w:r>
    </w:p>
    <w:p w14:paraId="73617C48" w14:textId="77777777" w:rsidR="00692E71" w:rsidRPr="00275290" w:rsidRDefault="00692E71" w:rsidP="00692E71">
      <w:pPr>
        <w:rPr>
          <w:rFonts w:cs="Arial"/>
        </w:rPr>
      </w:pPr>
    </w:p>
    <w:p w14:paraId="7DE9D036"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,brush</w:t>
      </w:r>
      <w:proofErr w:type="gramEnd"/>
      <w:r w:rsidRPr="00275290">
        <w:rPr>
          <w:rFonts w:cs="Arial"/>
          <w:vertAlign w:val="subscript"/>
        </w:rPr>
        <w:t xml:space="preserve"> </w:t>
      </w:r>
      <w:r w:rsidRPr="00275290">
        <w:rPr>
          <w:rFonts w:cs="Arial"/>
        </w:rPr>
        <w:t>= E</w:t>
      </w:r>
      <w:r w:rsidRPr="00275290">
        <w:rPr>
          <w:rFonts w:cs="Arial"/>
          <w:vertAlign w:val="subscript"/>
        </w:rPr>
        <w:t xml:space="preserve">soil,brush </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0DE5A3C7"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,brush</w:t>
      </w:r>
      <w:proofErr w:type="gramEnd"/>
      <w:r w:rsidRPr="00275290">
        <w:rPr>
          <w:rFonts w:cs="Arial"/>
          <w:vertAlign w:val="subscript"/>
        </w:rPr>
        <w:t xml:space="preserve"> </w:t>
      </w:r>
      <w:r w:rsidRPr="00275290">
        <w:rPr>
          <w:rFonts w:cs="Arial"/>
        </w:rPr>
        <w:t>= 0.00063 / (13 * 1700)</w:t>
      </w:r>
    </w:p>
    <w:p w14:paraId="3DC8BC05"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,brush</w:t>
      </w:r>
      <w:proofErr w:type="gramEnd"/>
      <w:r w:rsidRPr="00275290">
        <w:rPr>
          <w:rFonts w:cs="Arial"/>
          <w:vertAlign w:val="subscript"/>
        </w:rPr>
        <w:t xml:space="preserve"> </w:t>
      </w:r>
      <w:r w:rsidRPr="00275290">
        <w:rPr>
          <w:rFonts w:cs="Arial"/>
        </w:rPr>
        <w:t>= 2.8*10</w:t>
      </w:r>
      <w:r w:rsidRPr="00275290">
        <w:rPr>
          <w:rFonts w:cs="Arial"/>
          <w:vertAlign w:val="superscript"/>
        </w:rPr>
        <w:t>-8</w:t>
      </w:r>
      <w:r w:rsidRPr="00275290">
        <w:rPr>
          <w:rFonts w:cs="Arial"/>
        </w:rPr>
        <w:t xml:space="preserve"> kg/kg</w:t>
      </w:r>
      <w:r w:rsidRPr="00275290">
        <w:rPr>
          <w:rFonts w:cs="Arial"/>
          <w:vertAlign w:val="subscript"/>
        </w:rPr>
        <w:t>wwt</w:t>
      </w:r>
      <w:r w:rsidRPr="00275290">
        <w:rPr>
          <w:rFonts w:cs="Arial"/>
        </w:rPr>
        <w:t xml:space="preserve"> = 0.028 mg/kg</w:t>
      </w:r>
      <w:r w:rsidRPr="00275290">
        <w:rPr>
          <w:rFonts w:cs="Arial"/>
          <w:vertAlign w:val="subscript"/>
        </w:rPr>
        <w:t>wwt</w:t>
      </w:r>
    </w:p>
    <w:p w14:paraId="58E1E488" w14:textId="77777777" w:rsidR="00692E71" w:rsidRPr="00275290" w:rsidRDefault="00692E71" w:rsidP="00692E71">
      <w:pPr>
        <w:rPr>
          <w:rFonts w:cs="Arial"/>
        </w:rPr>
      </w:pPr>
    </w:p>
    <w:p w14:paraId="6D0911A4" w14:textId="77777777" w:rsidR="00692E71" w:rsidRPr="00275290" w:rsidRDefault="00692E71" w:rsidP="00692E71">
      <w:pPr>
        <w:rPr>
          <w:rFonts w:cs="Arial"/>
        </w:rPr>
      </w:pPr>
      <w:r w:rsidRPr="00275290">
        <w:rPr>
          <w:rFonts w:cs="Arial"/>
        </w:rPr>
        <w:t>- Fence scenario:</w:t>
      </w:r>
    </w:p>
    <w:p w14:paraId="0FF6B16C" w14:textId="77777777" w:rsidR="00692E71" w:rsidRPr="00275290" w:rsidRDefault="00692E71" w:rsidP="00692E71">
      <w:pPr>
        <w:rPr>
          <w:rFonts w:cs="Arial"/>
        </w:rPr>
      </w:pPr>
      <w:r w:rsidRPr="00275290">
        <w:rPr>
          <w:rFonts w:cs="Arial"/>
        </w:rPr>
        <w:t>E</w:t>
      </w:r>
      <w:r w:rsidRPr="00275290">
        <w:rPr>
          <w:rFonts w:cs="Arial"/>
          <w:vertAlign w:val="subscript"/>
        </w:rPr>
        <w:t>soil</w:t>
      </w:r>
      <w:proofErr w:type="gramStart"/>
      <w:r w:rsidRPr="00275290">
        <w:rPr>
          <w:rFonts w:cs="Arial"/>
          <w:vertAlign w:val="subscript"/>
        </w:rPr>
        <w:t>,brush</w:t>
      </w:r>
      <w:proofErr w:type="gramEnd"/>
      <w:r w:rsidRPr="00275290">
        <w:rPr>
          <w:rFonts w:cs="Arial"/>
          <w:vertAlign w:val="subscript"/>
        </w:rPr>
        <w:t xml:space="preserve"> </w:t>
      </w:r>
      <w:r w:rsidRPr="00275290">
        <w:rPr>
          <w:rFonts w:cs="Arial"/>
        </w:rPr>
        <w:t>= AREA</w:t>
      </w:r>
      <w:r w:rsidRPr="00275290">
        <w:rPr>
          <w:rFonts w:cs="Arial"/>
          <w:vertAlign w:val="subscript"/>
        </w:rPr>
        <w:t>fence</w:t>
      </w:r>
      <w:r w:rsidRPr="00275290">
        <w:rPr>
          <w:rFonts w:cs="Arial"/>
        </w:rPr>
        <w:t xml:space="preserve"> * Q</w:t>
      </w:r>
      <w:r w:rsidRPr="00275290">
        <w:rPr>
          <w:rFonts w:cs="Arial"/>
          <w:vertAlign w:val="subscript"/>
        </w:rPr>
        <w:t xml:space="preserve">applic,product </w:t>
      </w:r>
      <w:r w:rsidRPr="00275290">
        <w:rPr>
          <w:rFonts w:cs="Arial"/>
        </w:rPr>
        <w:t>* f</w:t>
      </w:r>
      <w:r w:rsidRPr="00275290">
        <w:rPr>
          <w:rFonts w:cs="Arial"/>
          <w:vertAlign w:val="subscript"/>
        </w:rPr>
        <w:t>a.i</w:t>
      </w:r>
      <w:r w:rsidRPr="00275290">
        <w:rPr>
          <w:rFonts w:cs="Arial"/>
        </w:rPr>
        <w:t>. * F</w:t>
      </w:r>
      <w:r w:rsidRPr="00275290">
        <w:rPr>
          <w:rFonts w:cs="Arial"/>
          <w:vertAlign w:val="subscript"/>
        </w:rPr>
        <w:t>soil</w:t>
      </w:r>
      <w:proofErr w:type="gramStart"/>
      <w:r w:rsidRPr="00275290">
        <w:rPr>
          <w:rFonts w:cs="Arial"/>
          <w:vertAlign w:val="subscript"/>
        </w:rPr>
        <w:t>,brush</w:t>
      </w:r>
      <w:proofErr w:type="gramEnd"/>
      <w:r w:rsidRPr="00275290">
        <w:rPr>
          <w:rFonts w:cs="Arial"/>
          <w:vertAlign w:val="subscript"/>
        </w:rPr>
        <w:t xml:space="preserve"> </w:t>
      </w:r>
    </w:p>
    <w:p w14:paraId="060144FE" w14:textId="77777777" w:rsidR="00692E71" w:rsidRPr="00275290" w:rsidRDefault="00692E71" w:rsidP="00692E71">
      <w:pPr>
        <w:rPr>
          <w:rFonts w:cs="Arial"/>
        </w:rPr>
      </w:pPr>
      <w:r w:rsidRPr="00275290">
        <w:rPr>
          <w:rFonts w:cs="Arial"/>
        </w:rPr>
        <w:t>E</w:t>
      </w:r>
      <w:r w:rsidRPr="00275290">
        <w:rPr>
          <w:rFonts w:cs="Arial"/>
          <w:vertAlign w:val="subscript"/>
        </w:rPr>
        <w:t>soil</w:t>
      </w:r>
      <w:proofErr w:type="gramStart"/>
      <w:r w:rsidRPr="00275290">
        <w:rPr>
          <w:rFonts w:cs="Arial"/>
          <w:vertAlign w:val="subscript"/>
        </w:rPr>
        <w:t>,brush</w:t>
      </w:r>
      <w:proofErr w:type="gramEnd"/>
      <w:r w:rsidRPr="00275290">
        <w:rPr>
          <w:rFonts w:cs="Arial"/>
          <w:vertAlign w:val="subscript"/>
        </w:rPr>
        <w:t xml:space="preserve"> </w:t>
      </w:r>
      <w:r w:rsidRPr="00275290">
        <w:rPr>
          <w:rFonts w:cs="Arial"/>
        </w:rPr>
        <w:t>= 2 * 0.200 * 0.05 * 0.05 /100</w:t>
      </w:r>
    </w:p>
    <w:p w14:paraId="79C0860F" w14:textId="77777777" w:rsidR="00692E71" w:rsidRPr="00275290" w:rsidRDefault="00692E71" w:rsidP="00692E71">
      <w:pPr>
        <w:rPr>
          <w:rFonts w:cs="Arial"/>
        </w:rPr>
      </w:pPr>
      <w:r w:rsidRPr="00275290">
        <w:rPr>
          <w:rFonts w:cs="Arial"/>
        </w:rPr>
        <w:t>E</w:t>
      </w:r>
      <w:r w:rsidRPr="00275290">
        <w:rPr>
          <w:rFonts w:cs="Arial"/>
          <w:vertAlign w:val="subscript"/>
        </w:rPr>
        <w:t>soil</w:t>
      </w:r>
      <w:proofErr w:type="gramStart"/>
      <w:r w:rsidRPr="00275290">
        <w:rPr>
          <w:rFonts w:cs="Arial"/>
          <w:vertAlign w:val="subscript"/>
        </w:rPr>
        <w:t>,brush</w:t>
      </w:r>
      <w:proofErr w:type="gramEnd"/>
      <w:r w:rsidRPr="00275290">
        <w:rPr>
          <w:rFonts w:cs="Arial"/>
          <w:vertAlign w:val="subscript"/>
        </w:rPr>
        <w:t xml:space="preserve"> </w:t>
      </w:r>
      <w:r w:rsidRPr="00275290">
        <w:rPr>
          <w:rFonts w:cs="Arial"/>
        </w:rPr>
        <w:t>= 1.0*10</w:t>
      </w:r>
      <w:r w:rsidRPr="00275290">
        <w:rPr>
          <w:rFonts w:cs="Arial"/>
          <w:vertAlign w:val="superscript"/>
        </w:rPr>
        <w:t>-5</w:t>
      </w:r>
      <w:r w:rsidRPr="00275290">
        <w:rPr>
          <w:rFonts w:cs="Arial"/>
        </w:rPr>
        <w:t xml:space="preserve">  kg/d</w:t>
      </w:r>
    </w:p>
    <w:p w14:paraId="69E3D9B8" w14:textId="77777777" w:rsidR="00692E71" w:rsidRPr="00275290" w:rsidRDefault="00692E71" w:rsidP="00692E71">
      <w:pPr>
        <w:rPr>
          <w:rFonts w:cs="Arial"/>
        </w:rPr>
      </w:pPr>
    </w:p>
    <w:p w14:paraId="652453D0"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,brush</w:t>
      </w:r>
      <w:proofErr w:type="gramEnd"/>
      <w:r w:rsidRPr="00275290">
        <w:rPr>
          <w:rFonts w:cs="Arial"/>
          <w:vertAlign w:val="subscript"/>
        </w:rPr>
        <w:t xml:space="preserve"> </w:t>
      </w:r>
      <w:r w:rsidRPr="00275290">
        <w:rPr>
          <w:rFonts w:cs="Arial"/>
        </w:rPr>
        <w:t>= E</w:t>
      </w:r>
      <w:r w:rsidRPr="00275290">
        <w:rPr>
          <w:rFonts w:cs="Arial"/>
          <w:vertAlign w:val="subscript"/>
        </w:rPr>
        <w:t xml:space="preserve">soil,brush </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3DB048F3"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,brush</w:t>
      </w:r>
      <w:proofErr w:type="gramEnd"/>
      <w:r w:rsidRPr="00275290">
        <w:rPr>
          <w:rFonts w:cs="Arial"/>
          <w:vertAlign w:val="subscript"/>
        </w:rPr>
        <w:t xml:space="preserve"> </w:t>
      </w:r>
      <w:r w:rsidRPr="00275290">
        <w:rPr>
          <w:rFonts w:cs="Arial"/>
        </w:rPr>
        <w:t>= 0.00001 / (0.25 * 1700) * 10</w:t>
      </w:r>
      <w:r w:rsidRPr="00275290">
        <w:rPr>
          <w:rFonts w:cs="Arial"/>
          <w:vertAlign w:val="superscript"/>
        </w:rPr>
        <w:t>6</w:t>
      </w:r>
      <w:r w:rsidRPr="00275290">
        <w:rPr>
          <w:rFonts w:cs="Arial"/>
        </w:rPr>
        <w:t xml:space="preserve"> (mg/kg conversion factor)</w:t>
      </w:r>
    </w:p>
    <w:p w14:paraId="2EEB6BD1"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,brush</w:t>
      </w:r>
      <w:proofErr w:type="gramEnd"/>
      <w:r w:rsidRPr="00275290">
        <w:rPr>
          <w:rFonts w:cs="Arial"/>
          <w:vertAlign w:val="subscript"/>
        </w:rPr>
        <w:t xml:space="preserve"> </w:t>
      </w:r>
      <w:r w:rsidRPr="00275290">
        <w:rPr>
          <w:rFonts w:cs="Arial"/>
        </w:rPr>
        <w:t>=2.4*10</w:t>
      </w:r>
      <w:r w:rsidRPr="00275290">
        <w:rPr>
          <w:rFonts w:cs="Arial"/>
          <w:vertAlign w:val="superscript"/>
        </w:rPr>
        <w:t>-8</w:t>
      </w:r>
      <w:r w:rsidRPr="00275290">
        <w:rPr>
          <w:rFonts w:cs="Arial"/>
        </w:rPr>
        <w:t xml:space="preserve"> kg/kg</w:t>
      </w:r>
      <w:r w:rsidRPr="00275290">
        <w:rPr>
          <w:rFonts w:cs="Arial"/>
          <w:vertAlign w:val="subscript"/>
        </w:rPr>
        <w:t>wwt</w:t>
      </w:r>
      <w:r w:rsidRPr="00275290">
        <w:rPr>
          <w:rFonts w:cs="Arial"/>
        </w:rPr>
        <w:t xml:space="preserve"> = 0.024 mg/kg</w:t>
      </w:r>
      <w:r w:rsidRPr="00275290">
        <w:rPr>
          <w:rFonts w:cs="Arial"/>
          <w:vertAlign w:val="subscript"/>
        </w:rPr>
        <w:t>wwt</w:t>
      </w:r>
    </w:p>
    <w:p w14:paraId="18940D17" w14:textId="77777777" w:rsidR="00692E71" w:rsidRPr="00275290" w:rsidRDefault="00692E71" w:rsidP="00692E71">
      <w:pPr>
        <w:rPr>
          <w:rFonts w:cs="Arial"/>
        </w:rPr>
      </w:pPr>
    </w:p>
    <w:p w14:paraId="02C6EEDF" w14:textId="77777777" w:rsidR="00692E71" w:rsidRPr="00275290" w:rsidRDefault="00692E71" w:rsidP="00692E71">
      <w:pPr>
        <w:rPr>
          <w:rFonts w:cs="Arial"/>
          <w:iCs/>
        </w:rPr>
      </w:pPr>
      <w:r w:rsidRPr="00275290">
        <w:rPr>
          <w:rFonts w:cs="Arial"/>
          <w:iCs/>
        </w:rPr>
        <w:t>- Bridge over pond scenario:</w:t>
      </w:r>
    </w:p>
    <w:p w14:paraId="24C68761" w14:textId="77777777" w:rsidR="00692E71" w:rsidRPr="00275290" w:rsidRDefault="00692E71" w:rsidP="00692E71">
      <w:pPr>
        <w:rPr>
          <w:rFonts w:cs="Arial"/>
        </w:rPr>
      </w:pPr>
      <w:r w:rsidRPr="00275290">
        <w:rPr>
          <w:rFonts w:cs="Arial"/>
          <w:iCs/>
        </w:rPr>
        <w:t>E</w:t>
      </w:r>
      <w:r w:rsidRPr="00275290">
        <w:rPr>
          <w:rFonts w:cs="Arial"/>
          <w:iCs/>
          <w:vertAlign w:val="subscript"/>
        </w:rPr>
        <w:t>water</w:t>
      </w:r>
      <w:proofErr w:type="gramStart"/>
      <w:r w:rsidRPr="00275290">
        <w:rPr>
          <w:rFonts w:cs="Arial"/>
          <w:iCs/>
          <w:vertAlign w:val="subscript"/>
        </w:rPr>
        <w:t>,brush</w:t>
      </w:r>
      <w:proofErr w:type="gramEnd"/>
      <w:r w:rsidRPr="00275290">
        <w:rPr>
          <w:rFonts w:cs="Arial"/>
          <w:iCs/>
          <w:vertAlign w:val="subscript"/>
        </w:rPr>
        <w:t xml:space="preserve"> </w:t>
      </w:r>
      <w:r w:rsidRPr="00275290">
        <w:rPr>
          <w:rFonts w:cs="Arial"/>
          <w:iCs/>
        </w:rPr>
        <w:t>= AREA</w:t>
      </w:r>
      <w:r w:rsidRPr="00275290">
        <w:rPr>
          <w:rFonts w:cs="Arial"/>
          <w:iCs/>
          <w:vertAlign w:val="subscript"/>
        </w:rPr>
        <w:t>bridge</w:t>
      </w:r>
      <w:r w:rsidRPr="00275290">
        <w:rPr>
          <w:rFonts w:cs="Arial"/>
          <w:iCs/>
        </w:rPr>
        <w:t xml:space="preserve"> * Q</w:t>
      </w:r>
      <w:r w:rsidRPr="00275290">
        <w:rPr>
          <w:rFonts w:cs="Arial"/>
          <w:iCs/>
          <w:vertAlign w:val="subscript"/>
        </w:rPr>
        <w:t>applic,product *</w:t>
      </w:r>
      <w:r w:rsidRPr="00275290">
        <w:rPr>
          <w:rFonts w:cs="Arial"/>
          <w:iCs/>
        </w:rPr>
        <w:t xml:space="preserve"> f</w:t>
      </w:r>
      <w:r w:rsidRPr="00275290">
        <w:rPr>
          <w:rFonts w:cs="Arial"/>
          <w:iCs/>
          <w:vertAlign w:val="subscript"/>
        </w:rPr>
        <w:t>a.i.</w:t>
      </w:r>
      <w:r w:rsidRPr="00275290">
        <w:rPr>
          <w:rFonts w:cs="Arial"/>
          <w:iCs/>
        </w:rPr>
        <w:t xml:space="preserve"> * F</w:t>
      </w:r>
      <w:r w:rsidRPr="00275290">
        <w:rPr>
          <w:rFonts w:cs="Arial"/>
          <w:iCs/>
          <w:vertAlign w:val="subscript"/>
        </w:rPr>
        <w:t>water</w:t>
      </w:r>
      <w:proofErr w:type="gramStart"/>
      <w:r w:rsidRPr="00275290">
        <w:rPr>
          <w:rFonts w:cs="Arial"/>
          <w:iCs/>
          <w:vertAlign w:val="subscript"/>
        </w:rPr>
        <w:t>,brush</w:t>
      </w:r>
      <w:proofErr w:type="gramEnd"/>
    </w:p>
    <w:p w14:paraId="6F4447B7" w14:textId="77777777" w:rsidR="00692E71" w:rsidRPr="00275290" w:rsidRDefault="00692E71" w:rsidP="00692E71">
      <w:pPr>
        <w:rPr>
          <w:rFonts w:cs="Arial"/>
          <w:iCs/>
        </w:rPr>
      </w:pPr>
      <w:r w:rsidRPr="00275290">
        <w:rPr>
          <w:rFonts w:cs="Arial"/>
          <w:iCs/>
        </w:rPr>
        <w:t>E</w:t>
      </w:r>
      <w:r w:rsidRPr="00275290">
        <w:rPr>
          <w:rFonts w:cs="Arial"/>
          <w:iCs/>
          <w:vertAlign w:val="subscript"/>
        </w:rPr>
        <w:t>water</w:t>
      </w:r>
      <w:proofErr w:type="gramStart"/>
      <w:r w:rsidRPr="00275290">
        <w:rPr>
          <w:rFonts w:cs="Arial"/>
          <w:iCs/>
          <w:vertAlign w:val="subscript"/>
        </w:rPr>
        <w:t>,brush</w:t>
      </w:r>
      <w:proofErr w:type="gramEnd"/>
      <w:r w:rsidRPr="00275290">
        <w:rPr>
          <w:rFonts w:cs="Arial"/>
          <w:iCs/>
          <w:vertAlign w:val="subscript"/>
        </w:rPr>
        <w:t xml:space="preserve"> </w:t>
      </w:r>
      <w:r w:rsidRPr="00275290">
        <w:rPr>
          <w:rFonts w:cs="Arial"/>
          <w:iCs/>
        </w:rPr>
        <w:t>= 10 * 0.200 * 0.05 * 0.05 / 100</w:t>
      </w:r>
    </w:p>
    <w:p w14:paraId="29802028" w14:textId="77777777" w:rsidR="00692E71" w:rsidRPr="00275290" w:rsidRDefault="00692E71" w:rsidP="00692E71">
      <w:pPr>
        <w:rPr>
          <w:rFonts w:cs="Arial"/>
          <w:iCs/>
        </w:rPr>
      </w:pPr>
      <w:r w:rsidRPr="00275290">
        <w:rPr>
          <w:rFonts w:cs="Arial"/>
          <w:iCs/>
        </w:rPr>
        <w:t>E</w:t>
      </w:r>
      <w:r w:rsidRPr="00275290">
        <w:rPr>
          <w:rFonts w:cs="Arial"/>
          <w:iCs/>
          <w:vertAlign w:val="subscript"/>
        </w:rPr>
        <w:t>water</w:t>
      </w:r>
      <w:proofErr w:type="gramStart"/>
      <w:r w:rsidRPr="00275290">
        <w:rPr>
          <w:rFonts w:cs="Arial"/>
          <w:iCs/>
          <w:vertAlign w:val="subscript"/>
        </w:rPr>
        <w:t>,brush</w:t>
      </w:r>
      <w:proofErr w:type="gramEnd"/>
      <w:r w:rsidRPr="00275290">
        <w:rPr>
          <w:rFonts w:cs="Arial"/>
          <w:iCs/>
          <w:vertAlign w:val="subscript"/>
        </w:rPr>
        <w:t xml:space="preserve"> </w:t>
      </w:r>
      <w:r w:rsidRPr="00275290">
        <w:rPr>
          <w:rFonts w:cs="Arial"/>
          <w:iCs/>
        </w:rPr>
        <w:t>= 5.0</w:t>
      </w:r>
      <w:r w:rsidRPr="00275290">
        <w:rPr>
          <w:rFonts w:cs="Arial"/>
        </w:rPr>
        <w:t>*10</w:t>
      </w:r>
      <w:r w:rsidRPr="00275290">
        <w:rPr>
          <w:rFonts w:cs="Arial"/>
          <w:vertAlign w:val="superscript"/>
        </w:rPr>
        <w:t>-5</w:t>
      </w:r>
      <w:r w:rsidRPr="00275290">
        <w:rPr>
          <w:rFonts w:cs="Arial"/>
          <w:iCs/>
        </w:rPr>
        <w:t xml:space="preserve"> kg/d</w:t>
      </w:r>
    </w:p>
    <w:p w14:paraId="335E6EEE" w14:textId="77777777" w:rsidR="00692E71" w:rsidRPr="00275290" w:rsidRDefault="00692E71" w:rsidP="00692E71">
      <w:pPr>
        <w:rPr>
          <w:rFonts w:cs="Arial"/>
          <w:iCs/>
        </w:rPr>
      </w:pPr>
    </w:p>
    <w:p w14:paraId="48D2767A"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water</w:t>
      </w:r>
      <w:proofErr w:type="gramStart"/>
      <w:r w:rsidRPr="00275290">
        <w:rPr>
          <w:rFonts w:cs="Arial"/>
          <w:iCs/>
          <w:vertAlign w:val="subscript"/>
        </w:rPr>
        <w:t>,brush</w:t>
      </w:r>
      <w:proofErr w:type="gramEnd"/>
      <w:r w:rsidRPr="00275290">
        <w:rPr>
          <w:rFonts w:cs="Arial"/>
          <w:iCs/>
          <w:vertAlign w:val="subscript"/>
        </w:rPr>
        <w:t xml:space="preserve"> </w:t>
      </w:r>
      <w:r w:rsidRPr="00275290">
        <w:rPr>
          <w:rFonts w:cs="Arial"/>
          <w:iCs/>
        </w:rPr>
        <w:t>= E</w:t>
      </w:r>
      <w:r w:rsidRPr="00275290">
        <w:rPr>
          <w:rFonts w:cs="Arial"/>
          <w:iCs/>
          <w:vertAlign w:val="subscript"/>
        </w:rPr>
        <w:t xml:space="preserve">water,brush </w:t>
      </w:r>
      <w:r w:rsidRPr="00275290">
        <w:rPr>
          <w:rFonts w:cs="Arial"/>
        </w:rPr>
        <w:t>/</w:t>
      </w:r>
      <w:r w:rsidRPr="00275290">
        <w:rPr>
          <w:rFonts w:cs="Arial"/>
          <w:iCs/>
        </w:rPr>
        <w:t>V</w:t>
      </w:r>
      <w:r w:rsidRPr="00275290">
        <w:rPr>
          <w:rFonts w:cs="Arial"/>
          <w:iCs/>
          <w:vertAlign w:val="subscript"/>
        </w:rPr>
        <w:t>water</w:t>
      </w:r>
    </w:p>
    <w:p w14:paraId="4D18143D" w14:textId="77777777" w:rsidR="00692E71" w:rsidRPr="00275290" w:rsidRDefault="00692E71" w:rsidP="00692E71">
      <w:pPr>
        <w:rPr>
          <w:rFonts w:cs="Arial"/>
          <w:iCs/>
        </w:rPr>
      </w:pPr>
      <w:r w:rsidRPr="00275290">
        <w:rPr>
          <w:rFonts w:cs="Arial"/>
          <w:iCs/>
        </w:rPr>
        <w:t>Clocal</w:t>
      </w:r>
      <w:r w:rsidRPr="00275290">
        <w:rPr>
          <w:rFonts w:cs="Arial"/>
          <w:iCs/>
          <w:vertAlign w:val="subscript"/>
        </w:rPr>
        <w:t>water</w:t>
      </w:r>
      <w:proofErr w:type="gramStart"/>
      <w:r w:rsidRPr="00275290">
        <w:rPr>
          <w:rFonts w:cs="Arial"/>
          <w:iCs/>
          <w:vertAlign w:val="subscript"/>
        </w:rPr>
        <w:t>,brush</w:t>
      </w:r>
      <w:proofErr w:type="gramEnd"/>
      <w:r w:rsidRPr="00275290">
        <w:rPr>
          <w:rFonts w:cs="Arial"/>
          <w:iCs/>
          <w:vertAlign w:val="subscript"/>
        </w:rPr>
        <w:t xml:space="preserve"> </w:t>
      </w:r>
      <w:r w:rsidRPr="00275290">
        <w:rPr>
          <w:rFonts w:cs="Arial"/>
          <w:iCs/>
        </w:rPr>
        <w:t>= 0.00005 / 1000</w:t>
      </w:r>
    </w:p>
    <w:p w14:paraId="2FCD53E9" w14:textId="77777777" w:rsidR="00692E71" w:rsidRPr="00275290" w:rsidRDefault="00692E71" w:rsidP="00692E71">
      <w:pPr>
        <w:rPr>
          <w:rFonts w:cs="Arial"/>
          <w:iCs/>
        </w:rPr>
      </w:pPr>
      <w:r w:rsidRPr="00275290">
        <w:rPr>
          <w:rFonts w:cs="Arial"/>
          <w:iCs/>
        </w:rPr>
        <w:t>Clocal</w:t>
      </w:r>
      <w:r w:rsidRPr="00275290">
        <w:rPr>
          <w:rFonts w:cs="Arial"/>
          <w:iCs/>
          <w:vertAlign w:val="subscript"/>
        </w:rPr>
        <w:t>water</w:t>
      </w:r>
      <w:proofErr w:type="gramStart"/>
      <w:r w:rsidRPr="00275290">
        <w:rPr>
          <w:rFonts w:cs="Arial"/>
          <w:iCs/>
          <w:vertAlign w:val="subscript"/>
        </w:rPr>
        <w:t>,brush</w:t>
      </w:r>
      <w:proofErr w:type="gramEnd"/>
      <w:r w:rsidRPr="00275290">
        <w:rPr>
          <w:rFonts w:cs="Arial"/>
          <w:iCs/>
          <w:vertAlign w:val="subscript"/>
        </w:rPr>
        <w:t xml:space="preserve"> </w:t>
      </w:r>
      <w:r w:rsidRPr="00275290">
        <w:rPr>
          <w:rFonts w:cs="Arial"/>
          <w:iCs/>
        </w:rPr>
        <w:t>= 5*10</w:t>
      </w:r>
      <w:r w:rsidRPr="00275290">
        <w:rPr>
          <w:rFonts w:cs="Arial"/>
          <w:iCs/>
          <w:vertAlign w:val="superscript"/>
        </w:rPr>
        <w:t>-8</w:t>
      </w:r>
      <w:r w:rsidRPr="00275290">
        <w:rPr>
          <w:rFonts w:cs="Arial"/>
          <w:iCs/>
        </w:rPr>
        <w:t xml:space="preserve"> mg/m</w:t>
      </w:r>
      <w:r w:rsidRPr="00275290">
        <w:rPr>
          <w:rFonts w:cs="Arial"/>
          <w:iCs/>
          <w:vertAlign w:val="superscript"/>
        </w:rPr>
        <w:t>3</w:t>
      </w:r>
      <w:r w:rsidRPr="00275290">
        <w:rPr>
          <w:rFonts w:cs="Arial"/>
          <w:iCs/>
        </w:rPr>
        <w:t xml:space="preserve"> = 0.05 µg/L</w:t>
      </w:r>
    </w:p>
    <w:p w14:paraId="7318CCC3" w14:textId="77777777" w:rsidR="00692E71" w:rsidRPr="00275290" w:rsidRDefault="00692E71" w:rsidP="00692E71">
      <w:pPr>
        <w:rPr>
          <w:rFonts w:cs="Arial"/>
          <w:iCs/>
        </w:rPr>
      </w:pPr>
    </w:p>
    <w:p w14:paraId="19743ABF" w14:textId="77777777" w:rsidR="00692E71" w:rsidRPr="00275290" w:rsidRDefault="00692E71" w:rsidP="00692E71">
      <w:pPr>
        <w:rPr>
          <w:rFonts w:cs="Arial"/>
          <w:iCs/>
        </w:rPr>
      </w:pPr>
    </w:p>
    <w:p w14:paraId="1AFE6610" w14:textId="77777777" w:rsidR="00692E71" w:rsidRPr="00275290" w:rsidRDefault="00692E71" w:rsidP="00692E71">
      <w:pPr>
        <w:rPr>
          <w:rFonts w:cs="Arial"/>
          <w:iCs/>
        </w:rPr>
      </w:pPr>
      <w:r w:rsidRPr="00275290">
        <w:rPr>
          <w:rFonts w:cs="Arial"/>
          <w:iCs/>
        </w:rPr>
        <w:t xml:space="preserve">- </w:t>
      </w:r>
      <w:r w:rsidRPr="00275290">
        <w:rPr>
          <w:rFonts w:cs="Arial"/>
          <w:i/>
          <w:iCs/>
        </w:rPr>
        <w:t>In-situ</w:t>
      </w:r>
      <w:r w:rsidRPr="00275290">
        <w:rPr>
          <w:rFonts w:cs="Arial"/>
          <w:iCs/>
        </w:rPr>
        <w:t xml:space="preserve"> spraying application</w:t>
      </w:r>
    </w:p>
    <w:p w14:paraId="2C9E41E4" w14:textId="77777777" w:rsidR="00692E71" w:rsidRPr="00275290" w:rsidRDefault="00692E71" w:rsidP="00692E71">
      <w:pPr>
        <w:rPr>
          <w:rFonts w:cs="Arial"/>
          <w:iCs/>
        </w:rPr>
      </w:pPr>
    </w:p>
    <w:p w14:paraId="4E5285A5"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7</w:t>
      </w:r>
      <w:r w:rsidRPr="00275290">
        <w:rPr>
          <w:rFonts w:ascii="Verdana" w:hAnsi="Verdana"/>
        </w:rPr>
        <w:fldChar w:fldCharType="end"/>
      </w:r>
      <w:r w:rsidRPr="00275290">
        <w:rPr>
          <w:rFonts w:ascii="Verdana" w:hAnsi="Verdana"/>
        </w:rPr>
        <w:t xml:space="preserve">: Calculations of emissions from </w:t>
      </w:r>
      <w:r w:rsidRPr="00275290">
        <w:rPr>
          <w:rFonts w:ascii="Verdana" w:hAnsi="Verdana"/>
          <w:i/>
        </w:rPr>
        <w:t>in situ</w:t>
      </w:r>
      <w:r w:rsidRPr="00275290">
        <w:rPr>
          <w:rFonts w:ascii="Verdana" w:hAnsi="Verdana"/>
        </w:rPr>
        <w:t xml:space="preserve"> spraying, house</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588"/>
        <w:gridCol w:w="2410"/>
        <w:gridCol w:w="1105"/>
        <w:gridCol w:w="1098"/>
      </w:tblGrid>
      <w:tr w:rsidR="00692E71" w:rsidRPr="00275290" w14:paraId="66C6082D" w14:textId="77777777" w:rsidTr="008E0250">
        <w:trPr>
          <w:trHeight w:val="409"/>
          <w:tblHeader/>
        </w:trPr>
        <w:tc>
          <w:tcPr>
            <w:tcW w:w="3085" w:type="dxa"/>
            <w:shd w:val="clear" w:color="auto" w:fill="D9D9D9" w:themeFill="background1" w:themeFillShade="D9"/>
            <w:vAlign w:val="center"/>
          </w:tcPr>
          <w:p w14:paraId="4EDDDF29" w14:textId="77777777" w:rsidR="00692E71" w:rsidRPr="00275290" w:rsidRDefault="00692E71" w:rsidP="008E0250">
            <w:pPr>
              <w:keepNext/>
              <w:keepLines/>
              <w:jc w:val="center"/>
              <w:rPr>
                <w:rFonts w:cs="Arial"/>
                <w:b/>
              </w:rPr>
            </w:pPr>
            <w:r w:rsidRPr="00275290">
              <w:rPr>
                <w:rFonts w:cs="Arial"/>
                <w:b/>
              </w:rPr>
              <w:lastRenderedPageBreak/>
              <w:t>Parameter/variable</w:t>
            </w:r>
          </w:p>
        </w:tc>
        <w:tc>
          <w:tcPr>
            <w:tcW w:w="1588" w:type="dxa"/>
            <w:shd w:val="clear" w:color="auto" w:fill="D9D9D9" w:themeFill="background1" w:themeFillShade="D9"/>
            <w:vAlign w:val="center"/>
          </w:tcPr>
          <w:p w14:paraId="30C70807" w14:textId="77777777" w:rsidR="00692E71" w:rsidRPr="00275290" w:rsidRDefault="00692E71" w:rsidP="008E0250">
            <w:pPr>
              <w:keepNext/>
              <w:keepLines/>
              <w:jc w:val="center"/>
              <w:rPr>
                <w:rFonts w:cs="Arial"/>
                <w:b/>
              </w:rPr>
            </w:pPr>
            <w:r w:rsidRPr="00275290">
              <w:rPr>
                <w:rFonts w:cs="Arial"/>
                <w:b/>
              </w:rPr>
              <w:t>Nomenclature</w:t>
            </w:r>
          </w:p>
        </w:tc>
        <w:tc>
          <w:tcPr>
            <w:tcW w:w="2410" w:type="dxa"/>
            <w:shd w:val="clear" w:color="auto" w:fill="D9D9D9" w:themeFill="background1" w:themeFillShade="D9"/>
            <w:vAlign w:val="center"/>
          </w:tcPr>
          <w:p w14:paraId="5E8BD01B" w14:textId="77777777" w:rsidR="00692E71" w:rsidRPr="00275290" w:rsidRDefault="00692E71" w:rsidP="008E0250">
            <w:pPr>
              <w:keepNext/>
              <w:keepLines/>
              <w:jc w:val="center"/>
              <w:rPr>
                <w:rFonts w:cs="Arial"/>
                <w:b/>
              </w:rPr>
            </w:pPr>
            <w:r w:rsidRPr="00275290">
              <w:rPr>
                <w:rFonts w:cs="Arial"/>
                <w:b/>
              </w:rPr>
              <w:t>Value</w:t>
            </w:r>
          </w:p>
        </w:tc>
        <w:tc>
          <w:tcPr>
            <w:tcW w:w="1105" w:type="dxa"/>
            <w:shd w:val="clear" w:color="auto" w:fill="D9D9D9" w:themeFill="background1" w:themeFillShade="D9"/>
            <w:vAlign w:val="center"/>
          </w:tcPr>
          <w:p w14:paraId="34BB744D" w14:textId="77777777" w:rsidR="00692E71" w:rsidRPr="00275290" w:rsidRDefault="00692E71" w:rsidP="008E0250">
            <w:pPr>
              <w:keepNext/>
              <w:keepLines/>
              <w:jc w:val="center"/>
              <w:rPr>
                <w:rFonts w:cs="Arial"/>
                <w:b/>
              </w:rPr>
            </w:pPr>
            <w:r w:rsidRPr="00275290">
              <w:rPr>
                <w:rFonts w:cs="Arial"/>
                <w:b/>
              </w:rPr>
              <w:t>Unit</w:t>
            </w:r>
          </w:p>
        </w:tc>
        <w:tc>
          <w:tcPr>
            <w:tcW w:w="1098" w:type="dxa"/>
            <w:shd w:val="clear" w:color="auto" w:fill="D9D9D9" w:themeFill="background1" w:themeFillShade="D9"/>
            <w:vAlign w:val="center"/>
          </w:tcPr>
          <w:p w14:paraId="1669754F" w14:textId="77777777" w:rsidR="00692E71" w:rsidRPr="00275290" w:rsidRDefault="00692E71" w:rsidP="008E0250">
            <w:pPr>
              <w:keepNext/>
              <w:keepLines/>
              <w:jc w:val="center"/>
              <w:rPr>
                <w:rFonts w:cs="Arial"/>
                <w:b/>
              </w:rPr>
            </w:pPr>
            <w:r w:rsidRPr="00275290">
              <w:rPr>
                <w:rFonts w:cs="Arial"/>
                <w:b/>
              </w:rPr>
              <w:t>Origin</w:t>
            </w:r>
          </w:p>
        </w:tc>
      </w:tr>
      <w:tr w:rsidR="00692E71" w:rsidRPr="00275290" w14:paraId="3A260094" w14:textId="77777777" w:rsidTr="008E0250">
        <w:trPr>
          <w:trHeight w:val="415"/>
        </w:trPr>
        <w:tc>
          <w:tcPr>
            <w:tcW w:w="9286" w:type="dxa"/>
            <w:gridSpan w:val="5"/>
            <w:vAlign w:val="center"/>
          </w:tcPr>
          <w:p w14:paraId="56349431" w14:textId="77777777" w:rsidR="00692E71" w:rsidRPr="00275290" w:rsidRDefault="00692E71" w:rsidP="008E0250">
            <w:pPr>
              <w:keepNext/>
              <w:keepLines/>
              <w:rPr>
                <w:rFonts w:cs="Arial"/>
                <w:b/>
              </w:rPr>
            </w:pPr>
            <w:r w:rsidRPr="00275290">
              <w:rPr>
                <w:rFonts w:cs="Arial"/>
                <w:b/>
              </w:rPr>
              <w:t>INPUTS</w:t>
            </w:r>
          </w:p>
        </w:tc>
      </w:tr>
      <w:tr w:rsidR="00692E71" w:rsidRPr="00275290" w14:paraId="3126DBD0" w14:textId="77777777" w:rsidTr="008E0250">
        <w:tc>
          <w:tcPr>
            <w:tcW w:w="3085" w:type="dxa"/>
            <w:vAlign w:val="center"/>
          </w:tcPr>
          <w:p w14:paraId="5EF1135E" w14:textId="77777777" w:rsidR="00692E71" w:rsidRPr="00275290" w:rsidRDefault="00692E71" w:rsidP="008E0250">
            <w:pPr>
              <w:keepNext/>
              <w:keepLines/>
              <w:rPr>
                <w:rFonts w:cs="Arial"/>
                <w:i/>
                <w:iCs/>
              </w:rPr>
            </w:pPr>
            <w:r w:rsidRPr="00275290">
              <w:rPr>
                <w:rFonts w:cs="Arial"/>
              </w:rPr>
              <w:t>Treated wood area</w:t>
            </w:r>
          </w:p>
        </w:tc>
        <w:tc>
          <w:tcPr>
            <w:tcW w:w="1588" w:type="dxa"/>
            <w:vAlign w:val="center"/>
          </w:tcPr>
          <w:p w14:paraId="6180E2AD" w14:textId="77777777" w:rsidR="00692E71" w:rsidRPr="00275290" w:rsidRDefault="00692E71" w:rsidP="008E0250">
            <w:pPr>
              <w:keepNext/>
              <w:keepLines/>
              <w:jc w:val="center"/>
              <w:rPr>
                <w:rFonts w:cs="Arial"/>
              </w:rPr>
            </w:pPr>
            <w:r w:rsidRPr="00275290">
              <w:rPr>
                <w:rFonts w:cs="Arial"/>
              </w:rPr>
              <w:t>AREA</w:t>
            </w:r>
            <w:r w:rsidRPr="00275290">
              <w:rPr>
                <w:rFonts w:cs="Arial"/>
                <w:vertAlign w:val="subscript"/>
              </w:rPr>
              <w:t>house</w:t>
            </w:r>
          </w:p>
        </w:tc>
        <w:tc>
          <w:tcPr>
            <w:tcW w:w="2410" w:type="dxa"/>
            <w:vAlign w:val="center"/>
          </w:tcPr>
          <w:p w14:paraId="2884E569" w14:textId="77777777" w:rsidR="00692E71" w:rsidRPr="00275290" w:rsidRDefault="00692E71" w:rsidP="008E0250">
            <w:pPr>
              <w:keepNext/>
              <w:keepLines/>
              <w:jc w:val="center"/>
              <w:rPr>
                <w:rFonts w:cs="Arial"/>
              </w:rPr>
            </w:pPr>
            <w:r w:rsidRPr="00275290">
              <w:rPr>
                <w:rFonts w:cs="Arial"/>
              </w:rPr>
              <w:t>125</w:t>
            </w:r>
          </w:p>
        </w:tc>
        <w:tc>
          <w:tcPr>
            <w:tcW w:w="1105" w:type="dxa"/>
            <w:vAlign w:val="center"/>
          </w:tcPr>
          <w:p w14:paraId="0D61A977" w14:textId="77777777" w:rsidR="00692E71" w:rsidRPr="00275290" w:rsidRDefault="00692E71" w:rsidP="008E0250">
            <w:pPr>
              <w:keepNext/>
              <w:keepLines/>
              <w:jc w:val="center"/>
              <w:rPr>
                <w:rFonts w:cs="Arial"/>
                <w:i/>
                <w:iCs/>
              </w:rPr>
            </w:pPr>
            <w:r w:rsidRPr="00275290">
              <w:rPr>
                <w:rFonts w:cs="Arial"/>
              </w:rPr>
              <w:t>[m</w:t>
            </w:r>
            <w:r w:rsidRPr="00275290">
              <w:rPr>
                <w:rFonts w:cs="Arial"/>
                <w:vertAlign w:val="superscript"/>
              </w:rPr>
              <w:t>2</w:t>
            </w:r>
            <w:r w:rsidRPr="00275290">
              <w:rPr>
                <w:rFonts w:cs="Arial"/>
              </w:rPr>
              <w:t>/d]</w:t>
            </w:r>
          </w:p>
        </w:tc>
        <w:tc>
          <w:tcPr>
            <w:tcW w:w="1098" w:type="dxa"/>
            <w:vAlign w:val="center"/>
          </w:tcPr>
          <w:p w14:paraId="76AEF62C" w14:textId="77777777" w:rsidR="00692E71" w:rsidRPr="00275290" w:rsidRDefault="00692E71" w:rsidP="008E0250">
            <w:pPr>
              <w:keepNext/>
              <w:keepLines/>
              <w:jc w:val="center"/>
              <w:rPr>
                <w:rFonts w:cs="Arial"/>
              </w:rPr>
            </w:pPr>
            <w:r w:rsidRPr="00275290">
              <w:rPr>
                <w:rFonts w:cs="Arial"/>
              </w:rPr>
              <w:t>D</w:t>
            </w:r>
          </w:p>
        </w:tc>
      </w:tr>
      <w:tr w:rsidR="00692E71" w:rsidRPr="00275290" w14:paraId="53761F78" w14:textId="77777777" w:rsidTr="008E0250">
        <w:tc>
          <w:tcPr>
            <w:tcW w:w="3085" w:type="dxa"/>
            <w:vAlign w:val="center"/>
          </w:tcPr>
          <w:p w14:paraId="3ACB8EB5" w14:textId="77777777" w:rsidR="00692E71" w:rsidRPr="00275290" w:rsidRDefault="00692E71" w:rsidP="008E0250">
            <w:pPr>
              <w:keepNext/>
              <w:keepLines/>
              <w:rPr>
                <w:rFonts w:cs="Arial"/>
              </w:rPr>
            </w:pPr>
            <w:r w:rsidRPr="00275290">
              <w:rPr>
                <w:rFonts w:cs="Arial"/>
              </w:rPr>
              <w:t>Application rate of the product</w:t>
            </w:r>
          </w:p>
        </w:tc>
        <w:tc>
          <w:tcPr>
            <w:tcW w:w="1588" w:type="dxa"/>
            <w:vAlign w:val="center"/>
          </w:tcPr>
          <w:p w14:paraId="2E2E8EEC" w14:textId="77777777" w:rsidR="00692E71" w:rsidRPr="00275290" w:rsidRDefault="00692E71" w:rsidP="008E0250">
            <w:pPr>
              <w:keepNext/>
              <w:keepLines/>
              <w:jc w:val="center"/>
              <w:rPr>
                <w:rFonts w:cs="Arial"/>
              </w:rPr>
            </w:pPr>
            <w:r w:rsidRPr="00275290">
              <w:rPr>
                <w:rFonts w:cs="Arial"/>
              </w:rPr>
              <w:t>Q</w:t>
            </w:r>
            <w:r w:rsidRPr="00275290">
              <w:rPr>
                <w:rFonts w:cs="Arial"/>
                <w:vertAlign w:val="subscript"/>
              </w:rPr>
              <w:t>applic,product</w:t>
            </w:r>
          </w:p>
        </w:tc>
        <w:tc>
          <w:tcPr>
            <w:tcW w:w="2410" w:type="dxa"/>
            <w:vAlign w:val="center"/>
          </w:tcPr>
          <w:p w14:paraId="4B2DAD0E" w14:textId="77777777" w:rsidR="00692E71" w:rsidRPr="00275290" w:rsidRDefault="00692E71" w:rsidP="008E0250">
            <w:pPr>
              <w:keepNext/>
              <w:keepLines/>
              <w:jc w:val="center"/>
              <w:rPr>
                <w:rFonts w:cs="Arial"/>
              </w:rPr>
            </w:pPr>
            <w:r w:rsidRPr="00275290">
              <w:rPr>
                <w:rFonts w:cs="Arial"/>
              </w:rPr>
              <w:t>0.200</w:t>
            </w:r>
          </w:p>
        </w:tc>
        <w:tc>
          <w:tcPr>
            <w:tcW w:w="1105" w:type="dxa"/>
            <w:vAlign w:val="center"/>
          </w:tcPr>
          <w:p w14:paraId="3254CA34" w14:textId="77777777" w:rsidR="00692E71" w:rsidRPr="00275290" w:rsidRDefault="00692E71" w:rsidP="008E0250">
            <w:pPr>
              <w:keepNext/>
              <w:keepLines/>
              <w:jc w:val="center"/>
              <w:rPr>
                <w:rFonts w:cs="Arial"/>
              </w:rPr>
            </w:pPr>
            <w:r w:rsidRPr="00275290">
              <w:rPr>
                <w:rFonts w:cs="Arial"/>
              </w:rPr>
              <w:t>[kg/m²]</w:t>
            </w:r>
          </w:p>
        </w:tc>
        <w:tc>
          <w:tcPr>
            <w:tcW w:w="1098" w:type="dxa"/>
            <w:vAlign w:val="center"/>
          </w:tcPr>
          <w:p w14:paraId="79DDF7BE" w14:textId="77777777" w:rsidR="00692E71" w:rsidRPr="00275290" w:rsidRDefault="00692E71" w:rsidP="008E0250">
            <w:pPr>
              <w:keepNext/>
              <w:keepLines/>
              <w:jc w:val="center"/>
              <w:rPr>
                <w:rFonts w:cs="Arial"/>
              </w:rPr>
            </w:pPr>
            <w:r w:rsidRPr="00275290">
              <w:rPr>
                <w:rFonts w:cs="Arial"/>
              </w:rPr>
              <w:t>A</w:t>
            </w:r>
          </w:p>
        </w:tc>
      </w:tr>
      <w:tr w:rsidR="00692E71" w:rsidRPr="00275290" w14:paraId="5F356F82" w14:textId="77777777" w:rsidTr="008E0250">
        <w:tc>
          <w:tcPr>
            <w:tcW w:w="3085" w:type="dxa"/>
            <w:vAlign w:val="center"/>
          </w:tcPr>
          <w:p w14:paraId="75A22AB6" w14:textId="77777777" w:rsidR="00692E71" w:rsidRPr="00275290" w:rsidRDefault="00692E71" w:rsidP="008E0250">
            <w:pPr>
              <w:keepNext/>
              <w:keepLines/>
              <w:rPr>
                <w:rFonts w:cs="Arial"/>
              </w:rPr>
            </w:pPr>
            <w:r w:rsidRPr="00275290">
              <w:rPr>
                <w:rFonts w:cs="Arial"/>
              </w:rPr>
              <w:t>Content of active substance in the product</w:t>
            </w:r>
          </w:p>
        </w:tc>
        <w:tc>
          <w:tcPr>
            <w:tcW w:w="1588" w:type="dxa"/>
            <w:vAlign w:val="center"/>
          </w:tcPr>
          <w:p w14:paraId="694D8C70" w14:textId="77777777" w:rsidR="00692E71" w:rsidRPr="00275290" w:rsidRDefault="00692E71" w:rsidP="008E0250">
            <w:pPr>
              <w:keepNext/>
              <w:keepLines/>
              <w:jc w:val="center"/>
              <w:rPr>
                <w:rFonts w:cs="Arial"/>
              </w:rPr>
            </w:pPr>
            <w:r w:rsidRPr="00275290">
              <w:rPr>
                <w:rFonts w:cs="Arial"/>
              </w:rPr>
              <w:t>f</w:t>
            </w:r>
            <w:r w:rsidRPr="00275290">
              <w:rPr>
                <w:rFonts w:cs="Arial"/>
                <w:vertAlign w:val="subscript"/>
              </w:rPr>
              <w:t>a.i.</w:t>
            </w:r>
          </w:p>
        </w:tc>
        <w:tc>
          <w:tcPr>
            <w:tcW w:w="2410" w:type="dxa"/>
            <w:vAlign w:val="center"/>
          </w:tcPr>
          <w:p w14:paraId="5F119C7F" w14:textId="77777777" w:rsidR="00692E71" w:rsidRPr="00275290" w:rsidRDefault="00692E71" w:rsidP="008E0250">
            <w:pPr>
              <w:spacing w:before="34" w:line="225" w:lineRule="exact"/>
              <w:ind w:right="-20"/>
              <w:jc w:val="center"/>
              <w:rPr>
                <w:rFonts w:cs="Arial"/>
              </w:rPr>
            </w:pPr>
            <w:r w:rsidRPr="00275290">
              <w:rPr>
                <w:rFonts w:cs="Arial"/>
              </w:rPr>
              <w:t xml:space="preserve">0.05 % IPBC </w:t>
            </w:r>
            <w:r w:rsidRPr="00275290">
              <w:rPr>
                <w:rFonts w:cs="Arial"/>
              </w:rPr>
              <w:br/>
              <w:t>0.15 % propiconazole</w:t>
            </w:r>
          </w:p>
          <w:p w14:paraId="41AD9EFC" w14:textId="77777777" w:rsidR="00692E71" w:rsidRPr="00275290" w:rsidRDefault="00692E71" w:rsidP="008E0250">
            <w:pPr>
              <w:spacing w:before="34" w:line="225" w:lineRule="exact"/>
              <w:ind w:right="-20"/>
              <w:jc w:val="center"/>
              <w:rPr>
                <w:rFonts w:cs="Arial"/>
              </w:rPr>
            </w:pPr>
            <w:r w:rsidRPr="00275290">
              <w:rPr>
                <w:rFonts w:cs="Arial"/>
              </w:rPr>
              <w:t xml:space="preserve">0.05 % tebuconazole </w:t>
            </w:r>
            <w:r w:rsidRPr="00275290">
              <w:rPr>
                <w:rFonts w:cs="Arial"/>
              </w:rPr>
              <w:br/>
              <w:t>0.07 % cypermethrin</w:t>
            </w:r>
          </w:p>
        </w:tc>
        <w:tc>
          <w:tcPr>
            <w:tcW w:w="1105" w:type="dxa"/>
            <w:vAlign w:val="center"/>
          </w:tcPr>
          <w:p w14:paraId="3CB90423" w14:textId="77777777" w:rsidR="00692E71" w:rsidRPr="00275290" w:rsidRDefault="00692E71" w:rsidP="008E0250">
            <w:pPr>
              <w:keepNext/>
              <w:keepLines/>
              <w:jc w:val="center"/>
              <w:rPr>
                <w:rFonts w:cs="Arial"/>
              </w:rPr>
            </w:pPr>
            <w:r w:rsidRPr="00275290">
              <w:rPr>
                <w:rFonts w:cs="Arial"/>
              </w:rPr>
              <w:t>[%]</w:t>
            </w:r>
          </w:p>
        </w:tc>
        <w:tc>
          <w:tcPr>
            <w:tcW w:w="1098" w:type="dxa"/>
            <w:vAlign w:val="center"/>
          </w:tcPr>
          <w:p w14:paraId="20E07D58" w14:textId="77777777" w:rsidR="00692E71" w:rsidRPr="00275290" w:rsidRDefault="00692E71" w:rsidP="008E0250">
            <w:pPr>
              <w:keepNext/>
              <w:keepLines/>
              <w:jc w:val="center"/>
              <w:rPr>
                <w:rFonts w:cs="Arial"/>
              </w:rPr>
            </w:pPr>
            <w:r w:rsidRPr="00275290">
              <w:rPr>
                <w:rFonts w:cs="Arial"/>
              </w:rPr>
              <w:t>A</w:t>
            </w:r>
          </w:p>
        </w:tc>
      </w:tr>
      <w:tr w:rsidR="00692E71" w:rsidRPr="00275290" w14:paraId="574D67AA" w14:textId="77777777" w:rsidTr="008E0250">
        <w:tc>
          <w:tcPr>
            <w:tcW w:w="3085" w:type="dxa"/>
            <w:vAlign w:val="center"/>
          </w:tcPr>
          <w:p w14:paraId="2003C690" w14:textId="77777777" w:rsidR="00692E71" w:rsidRPr="00275290" w:rsidRDefault="00692E71" w:rsidP="008E0250">
            <w:pPr>
              <w:keepNext/>
              <w:keepLines/>
              <w:rPr>
                <w:rFonts w:cs="Arial"/>
              </w:rPr>
            </w:pPr>
            <w:r w:rsidRPr="00275290">
              <w:rPr>
                <w:rFonts w:cs="Arial"/>
              </w:rPr>
              <w:t>Density of product</w:t>
            </w:r>
          </w:p>
        </w:tc>
        <w:tc>
          <w:tcPr>
            <w:tcW w:w="1588" w:type="dxa"/>
            <w:vAlign w:val="center"/>
          </w:tcPr>
          <w:p w14:paraId="4BE55136" w14:textId="77777777" w:rsidR="00692E71" w:rsidRPr="00275290" w:rsidRDefault="00692E71" w:rsidP="008E0250">
            <w:pPr>
              <w:keepNext/>
              <w:keepLines/>
              <w:jc w:val="center"/>
              <w:rPr>
                <w:rFonts w:cs="Arial"/>
              </w:rPr>
            </w:pPr>
            <w:r w:rsidRPr="00275290">
              <w:rPr>
                <w:rFonts w:cs="Arial"/>
              </w:rPr>
              <w:t>RHO</w:t>
            </w:r>
            <w:r w:rsidRPr="00275290">
              <w:rPr>
                <w:rFonts w:cs="Arial"/>
                <w:vertAlign w:val="subscript"/>
              </w:rPr>
              <w:t>product</w:t>
            </w:r>
          </w:p>
        </w:tc>
        <w:tc>
          <w:tcPr>
            <w:tcW w:w="2410" w:type="dxa"/>
            <w:vAlign w:val="center"/>
          </w:tcPr>
          <w:p w14:paraId="376968B9" w14:textId="77777777" w:rsidR="00692E71" w:rsidRPr="00275290" w:rsidRDefault="00692E71" w:rsidP="008E0250">
            <w:pPr>
              <w:spacing w:before="34" w:line="225" w:lineRule="exact"/>
              <w:ind w:right="-20"/>
              <w:jc w:val="center"/>
              <w:rPr>
                <w:rFonts w:cs="Arial"/>
              </w:rPr>
            </w:pPr>
            <w:r w:rsidRPr="00275290">
              <w:rPr>
                <w:rFonts w:cs="Arial"/>
              </w:rPr>
              <w:t>-</w:t>
            </w:r>
          </w:p>
        </w:tc>
        <w:tc>
          <w:tcPr>
            <w:tcW w:w="1105" w:type="dxa"/>
            <w:vAlign w:val="center"/>
          </w:tcPr>
          <w:p w14:paraId="61E34E75" w14:textId="77777777" w:rsidR="00692E71" w:rsidRPr="00275290" w:rsidRDefault="00692E71" w:rsidP="008E0250">
            <w:pPr>
              <w:keepNext/>
              <w:keepLines/>
              <w:jc w:val="center"/>
              <w:rPr>
                <w:rFonts w:cs="Arial"/>
              </w:rPr>
            </w:pPr>
            <w:r w:rsidRPr="00275290">
              <w:rPr>
                <w:rFonts w:cs="Arial"/>
              </w:rPr>
              <w:t>[kg/L]</w:t>
            </w:r>
          </w:p>
        </w:tc>
        <w:tc>
          <w:tcPr>
            <w:tcW w:w="1098" w:type="dxa"/>
            <w:vAlign w:val="center"/>
          </w:tcPr>
          <w:p w14:paraId="6845C2C1" w14:textId="77777777" w:rsidR="00692E71" w:rsidRPr="00275290" w:rsidRDefault="00692E71" w:rsidP="008E0250">
            <w:pPr>
              <w:keepNext/>
              <w:keepLines/>
              <w:jc w:val="center"/>
              <w:rPr>
                <w:rFonts w:cs="Arial"/>
              </w:rPr>
            </w:pPr>
            <w:r w:rsidRPr="00275290">
              <w:rPr>
                <w:rFonts w:cs="Arial"/>
              </w:rPr>
              <w:t>A</w:t>
            </w:r>
          </w:p>
        </w:tc>
      </w:tr>
      <w:tr w:rsidR="00692E71" w:rsidRPr="00275290" w14:paraId="4E76B9AA" w14:textId="77777777" w:rsidTr="008E0250">
        <w:tc>
          <w:tcPr>
            <w:tcW w:w="3085" w:type="dxa"/>
            <w:vAlign w:val="center"/>
          </w:tcPr>
          <w:p w14:paraId="4F8EC0C5" w14:textId="77777777" w:rsidR="00692E71" w:rsidRPr="00275290" w:rsidRDefault="00692E71" w:rsidP="008E0250">
            <w:pPr>
              <w:rPr>
                <w:rFonts w:cs="Arial"/>
              </w:rPr>
            </w:pPr>
            <w:r w:rsidRPr="00275290">
              <w:rPr>
                <w:rFonts w:cs="Arial"/>
              </w:rPr>
              <w:t>Fraction of product lost to soil during application</w:t>
            </w:r>
          </w:p>
          <w:p w14:paraId="32862181" w14:textId="77777777" w:rsidR="00692E71" w:rsidRPr="00275290" w:rsidRDefault="00692E71" w:rsidP="008E0250">
            <w:pPr>
              <w:keepNext/>
              <w:keepLines/>
              <w:rPr>
                <w:rFonts w:cs="Arial"/>
              </w:rPr>
            </w:pPr>
            <w:r w:rsidRPr="00275290">
              <w:rPr>
                <w:rFonts w:cs="Arial"/>
              </w:rPr>
              <w:t>by spray drift</w:t>
            </w:r>
          </w:p>
        </w:tc>
        <w:tc>
          <w:tcPr>
            <w:tcW w:w="1588" w:type="dxa"/>
            <w:vAlign w:val="center"/>
          </w:tcPr>
          <w:p w14:paraId="5EC026D5" w14:textId="77777777" w:rsidR="00692E71" w:rsidRPr="00275290" w:rsidRDefault="00692E71" w:rsidP="008E0250">
            <w:pPr>
              <w:keepNext/>
              <w:keepLines/>
              <w:jc w:val="center"/>
              <w:rPr>
                <w:rFonts w:cs="Arial"/>
              </w:rPr>
            </w:pPr>
            <w:r w:rsidRPr="00275290">
              <w:rPr>
                <w:rFonts w:cs="Arial"/>
                <w:iCs/>
              </w:rPr>
              <w:t>F</w:t>
            </w:r>
            <w:r w:rsidRPr="00275290">
              <w:rPr>
                <w:rFonts w:cs="Arial"/>
                <w:iCs/>
                <w:vertAlign w:val="subscript"/>
              </w:rPr>
              <w:t>drift</w:t>
            </w:r>
          </w:p>
        </w:tc>
        <w:tc>
          <w:tcPr>
            <w:tcW w:w="2410" w:type="dxa"/>
            <w:vAlign w:val="center"/>
          </w:tcPr>
          <w:p w14:paraId="0C9E9279" w14:textId="77777777" w:rsidR="00692E71" w:rsidRPr="00275290" w:rsidRDefault="00692E71" w:rsidP="008E0250">
            <w:pPr>
              <w:spacing w:before="34" w:line="225" w:lineRule="exact"/>
              <w:ind w:right="-20"/>
              <w:jc w:val="center"/>
              <w:rPr>
                <w:rFonts w:cs="Arial"/>
              </w:rPr>
            </w:pPr>
            <w:r w:rsidRPr="00275290">
              <w:rPr>
                <w:rFonts w:cs="Arial"/>
              </w:rPr>
              <w:t>0.1</w:t>
            </w:r>
          </w:p>
        </w:tc>
        <w:tc>
          <w:tcPr>
            <w:tcW w:w="1105" w:type="dxa"/>
            <w:vAlign w:val="center"/>
          </w:tcPr>
          <w:p w14:paraId="3A65DE4F" w14:textId="77777777" w:rsidR="00692E71" w:rsidRPr="00275290" w:rsidRDefault="00692E71" w:rsidP="008E0250">
            <w:pPr>
              <w:keepNext/>
              <w:keepLines/>
              <w:jc w:val="center"/>
              <w:rPr>
                <w:rFonts w:cs="Arial"/>
              </w:rPr>
            </w:pPr>
            <w:r w:rsidRPr="00275290">
              <w:rPr>
                <w:rFonts w:cs="Arial"/>
              </w:rPr>
              <w:t>[-]</w:t>
            </w:r>
          </w:p>
        </w:tc>
        <w:tc>
          <w:tcPr>
            <w:tcW w:w="1098" w:type="dxa"/>
            <w:vAlign w:val="center"/>
          </w:tcPr>
          <w:p w14:paraId="710E58EF" w14:textId="77777777" w:rsidR="00692E71" w:rsidRPr="00275290" w:rsidRDefault="00692E71" w:rsidP="008E0250">
            <w:pPr>
              <w:keepNext/>
              <w:keepLines/>
              <w:jc w:val="center"/>
              <w:rPr>
                <w:rFonts w:cs="Arial"/>
              </w:rPr>
            </w:pPr>
            <w:r w:rsidRPr="00275290">
              <w:rPr>
                <w:rFonts w:cs="Arial"/>
              </w:rPr>
              <w:t>D</w:t>
            </w:r>
          </w:p>
        </w:tc>
      </w:tr>
      <w:tr w:rsidR="00692E71" w:rsidRPr="00275290" w14:paraId="72202B41" w14:textId="77777777" w:rsidTr="008E0250">
        <w:tc>
          <w:tcPr>
            <w:tcW w:w="3085" w:type="dxa"/>
            <w:vAlign w:val="center"/>
          </w:tcPr>
          <w:p w14:paraId="3BBD9DE1" w14:textId="77777777" w:rsidR="00692E71" w:rsidRPr="00275290" w:rsidRDefault="00692E71" w:rsidP="008E0250">
            <w:pPr>
              <w:rPr>
                <w:rFonts w:cs="Arial"/>
              </w:rPr>
            </w:pPr>
            <w:r w:rsidRPr="00275290">
              <w:rPr>
                <w:rFonts w:cs="Arial"/>
              </w:rPr>
              <w:t>Fraction of product lost to soil during application</w:t>
            </w:r>
          </w:p>
          <w:p w14:paraId="745E8286" w14:textId="77777777" w:rsidR="00692E71" w:rsidRPr="00275290" w:rsidRDefault="00692E71" w:rsidP="008E0250">
            <w:pPr>
              <w:keepNext/>
              <w:keepLines/>
              <w:rPr>
                <w:rFonts w:cs="Arial"/>
              </w:rPr>
            </w:pPr>
            <w:r w:rsidRPr="00275290">
              <w:rPr>
                <w:rFonts w:cs="Arial"/>
              </w:rPr>
              <w:t>by run-off</w:t>
            </w:r>
          </w:p>
        </w:tc>
        <w:tc>
          <w:tcPr>
            <w:tcW w:w="1588" w:type="dxa"/>
            <w:vAlign w:val="center"/>
          </w:tcPr>
          <w:p w14:paraId="68C23AF3" w14:textId="77777777" w:rsidR="00692E71" w:rsidRPr="00275290" w:rsidRDefault="00692E71" w:rsidP="008E0250">
            <w:pPr>
              <w:keepNext/>
              <w:keepLines/>
              <w:jc w:val="center"/>
              <w:rPr>
                <w:rFonts w:cs="Arial"/>
              </w:rPr>
            </w:pPr>
            <w:r w:rsidRPr="00275290">
              <w:rPr>
                <w:rFonts w:cs="Arial"/>
                <w:iCs/>
              </w:rPr>
              <w:t>F</w:t>
            </w:r>
            <w:r w:rsidRPr="00275290">
              <w:rPr>
                <w:rFonts w:cs="Arial"/>
                <w:iCs/>
                <w:vertAlign w:val="subscript"/>
              </w:rPr>
              <w:t>runoff</w:t>
            </w:r>
          </w:p>
        </w:tc>
        <w:tc>
          <w:tcPr>
            <w:tcW w:w="2410" w:type="dxa"/>
            <w:vAlign w:val="center"/>
          </w:tcPr>
          <w:p w14:paraId="7E5C683F" w14:textId="77777777" w:rsidR="00692E71" w:rsidRPr="00275290" w:rsidRDefault="00692E71" w:rsidP="008E0250">
            <w:pPr>
              <w:spacing w:before="34" w:line="225" w:lineRule="exact"/>
              <w:ind w:right="-20"/>
              <w:jc w:val="center"/>
              <w:rPr>
                <w:rFonts w:cs="Arial"/>
              </w:rPr>
            </w:pPr>
            <w:r w:rsidRPr="00275290">
              <w:rPr>
                <w:rFonts w:cs="Arial"/>
              </w:rPr>
              <w:t>0.2</w:t>
            </w:r>
          </w:p>
        </w:tc>
        <w:tc>
          <w:tcPr>
            <w:tcW w:w="1105" w:type="dxa"/>
            <w:vAlign w:val="center"/>
          </w:tcPr>
          <w:p w14:paraId="3A182F46" w14:textId="77777777" w:rsidR="00692E71" w:rsidRPr="00275290" w:rsidRDefault="00692E71" w:rsidP="008E0250">
            <w:pPr>
              <w:keepNext/>
              <w:keepLines/>
              <w:jc w:val="center"/>
              <w:rPr>
                <w:rFonts w:cs="Arial"/>
              </w:rPr>
            </w:pPr>
            <w:r w:rsidRPr="00275290">
              <w:rPr>
                <w:rFonts w:cs="Arial"/>
              </w:rPr>
              <w:t>[-]</w:t>
            </w:r>
          </w:p>
        </w:tc>
        <w:tc>
          <w:tcPr>
            <w:tcW w:w="1098" w:type="dxa"/>
            <w:vAlign w:val="center"/>
          </w:tcPr>
          <w:p w14:paraId="4CDA69F8" w14:textId="77777777" w:rsidR="00692E71" w:rsidRPr="00275290" w:rsidRDefault="00692E71" w:rsidP="008E0250">
            <w:pPr>
              <w:keepNext/>
              <w:keepLines/>
              <w:jc w:val="center"/>
              <w:rPr>
                <w:rFonts w:cs="Arial"/>
              </w:rPr>
            </w:pPr>
            <w:r w:rsidRPr="00275290">
              <w:rPr>
                <w:rFonts w:cs="Arial"/>
              </w:rPr>
              <w:t>D</w:t>
            </w:r>
          </w:p>
        </w:tc>
      </w:tr>
      <w:tr w:rsidR="00692E71" w:rsidRPr="00275290" w14:paraId="41073D5A" w14:textId="77777777" w:rsidTr="008E0250">
        <w:tc>
          <w:tcPr>
            <w:tcW w:w="3085" w:type="dxa"/>
            <w:vAlign w:val="center"/>
          </w:tcPr>
          <w:p w14:paraId="5728467C" w14:textId="77777777" w:rsidR="00692E71" w:rsidRPr="00275290" w:rsidRDefault="00692E71" w:rsidP="008E0250">
            <w:pPr>
              <w:rPr>
                <w:rFonts w:cs="Arial"/>
              </w:rPr>
            </w:pPr>
            <w:r w:rsidRPr="00275290">
              <w:rPr>
                <w:rFonts w:cs="Arial"/>
              </w:rPr>
              <w:t>Fraction of spray drift depositing to a 0.5 m wide</w:t>
            </w:r>
          </w:p>
          <w:p w14:paraId="3F24F636" w14:textId="77777777" w:rsidR="00692E71" w:rsidRPr="00275290" w:rsidRDefault="00692E71" w:rsidP="008E0250">
            <w:pPr>
              <w:keepNext/>
              <w:keepLines/>
              <w:rPr>
                <w:rFonts w:cs="Arial"/>
              </w:rPr>
            </w:pPr>
            <w:r w:rsidRPr="00275290">
              <w:rPr>
                <w:rFonts w:cs="Arial"/>
              </w:rPr>
              <w:t>soil band 1 – 1.5 m distant from the house (tier 2)</w:t>
            </w:r>
          </w:p>
        </w:tc>
        <w:tc>
          <w:tcPr>
            <w:tcW w:w="1588" w:type="dxa"/>
            <w:vAlign w:val="center"/>
          </w:tcPr>
          <w:p w14:paraId="0806566E" w14:textId="77777777" w:rsidR="00692E71" w:rsidRPr="00275290" w:rsidRDefault="00692E71" w:rsidP="008E0250">
            <w:pPr>
              <w:keepNext/>
              <w:keepLines/>
              <w:jc w:val="center"/>
              <w:rPr>
                <w:rFonts w:cs="Arial"/>
              </w:rPr>
            </w:pPr>
            <w:r w:rsidRPr="00275290">
              <w:rPr>
                <w:rFonts w:cs="Arial"/>
                <w:iCs/>
              </w:rPr>
              <w:t>F</w:t>
            </w:r>
            <w:r w:rsidRPr="00275290">
              <w:rPr>
                <w:rFonts w:cs="Arial"/>
                <w:iCs/>
                <w:vertAlign w:val="subscript"/>
              </w:rPr>
              <w:t>dep</w:t>
            </w:r>
          </w:p>
        </w:tc>
        <w:tc>
          <w:tcPr>
            <w:tcW w:w="2410" w:type="dxa"/>
            <w:vAlign w:val="center"/>
          </w:tcPr>
          <w:p w14:paraId="762E6125" w14:textId="77777777" w:rsidR="00692E71" w:rsidRPr="00275290" w:rsidRDefault="00692E71" w:rsidP="008E0250">
            <w:pPr>
              <w:spacing w:before="34" w:line="225" w:lineRule="exact"/>
              <w:ind w:right="-20"/>
              <w:jc w:val="center"/>
              <w:rPr>
                <w:rFonts w:cs="Arial"/>
              </w:rPr>
            </w:pPr>
            <w:r w:rsidRPr="00275290">
              <w:rPr>
                <w:rFonts w:cs="Arial"/>
              </w:rPr>
              <w:t>0.33</w:t>
            </w:r>
          </w:p>
        </w:tc>
        <w:tc>
          <w:tcPr>
            <w:tcW w:w="1105" w:type="dxa"/>
            <w:vAlign w:val="center"/>
          </w:tcPr>
          <w:p w14:paraId="6C51C891" w14:textId="77777777" w:rsidR="00692E71" w:rsidRPr="00275290" w:rsidRDefault="00692E71" w:rsidP="008E0250">
            <w:pPr>
              <w:keepNext/>
              <w:keepLines/>
              <w:jc w:val="center"/>
              <w:rPr>
                <w:rFonts w:cs="Arial"/>
              </w:rPr>
            </w:pPr>
            <w:r w:rsidRPr="00275290">
              <w:rPr>
                <w:rFonts w:cs="Arial"/>
              </w:rPr>
              <w:t>[-]</w:t>
            </w:r>
          </w:p>
        </w:tc>
        <w:tc>
          <w:tcPr>
            <w:tcW w:w="1098" w:type="dxa"/>
            <w:vAlign w:val="center"/>
          </w:tcPr>
          <w:p w14:paraId="188853E5" w14:textId="77777777" w:rsidR="00692E71" w:rsidRPr="00275290" w:rsidRDefault="00692E71" w:rsidP="008E0250">
            <w:pPr>
              <w:keepNext/>
              <w:keepLines/>
              <w:jc w:val="center"/>
              <w:rPr>
                <w:rFonts w:cs="Arial"/>
              </w:rPr>
            </w:pPr>
            <w:r w:rsidRPr="00275290">
              <w:rPr>
                <w:rFonts w:cs="Arial"/>
              </w:rPr>
              <w:t>D</w:t>
            </w:r>
          </w:p>
        </w:tc>
      </w:tr>
      <w:tr w:rsidR="00692E71" w:rsidRPr="00275290" w14:paraId="50F3F149" w14:textId="77777777" w:rsidTr="008E0250">
        <w:tc>
          <w:tcPr>
            <w:tcW w:w="3085" w:type="dxa"/>
            <w:vAlign w:val="center"/>
          </w:tcPr>
          <w:p w14:paraId="4DC97246" w14:textId="77777777" w:rsidR="00692E71" w:rsidRPr="00275290" w:rsidRDefault="00692E71" w:rsidP="008E0250">
            <w:pPr>
              <w:rPr>
                <w:rFonts w:cs="Arial"/>
              </w:rPr>
            </w:pPr>
            <w:r w:rsidRPr="00275290">
              <w:rPr>
                <w:rFonts w:cs="Arial"/>
              </w:rPr>
              <w:t>Run-off: Soil volume adjacent to treated surface</w:t>
            </w:r>
          </w:p>
          <w:p w14:paraId="4431B355" w14:textId="77777777" w:rsidR="00692E71" w:rsidRPr="00275290" w:rsidRDefault="00692E71" w:rsidP="008E0250">
            <w:pPr>
              <w:keepNext/>
              <w:keepLines/>
              <w:rPr>
                <w:rFonts w:cs="Arial"/>
              </w:rPr>
            </w:pPr>
            <w:r w:rsidRPr="00275290">
              <w:rPr>
                <w:rFonts w:cs="Arial"/>
              </w:rPr>
              <w:t>Drift: volume to which deposition occurs in tier 1</w:t>
            </w:r>
          </w:p>
        </w:tc>
        <w:tc>
          <w:tcPr>
            <w:tcW w:w="1588" w:type="dxa"/>
            <w:vAlign w:val="center"/>
          </w:tcPr>
          <w:p w14:paraId="41B99DCB" w14:textId="77777777" w:rsidR="00692E71" w:rsidRPr="00275290" w:rsidRDefault="00692E71" w:rsidP="008E0250">
            <w:pPr>
              <w:keepNext/>
              <w:keepLines/>
              <w:jc w:val="center"/>
              <w:rPr>
                <w:rFonts w:cs="Arial"/>
              </w:rPr>
            </w:pPr>
            <w:r w:rsidRPr="00275290">
              <w:rPr>
                <w:rFonts w:cs="Arial"/>
                <w:iCs/>
              </w:rPr>
              <w:t>V</w:t>
            </w:r>
            <w:r w:rsidRPr="00275290">
              <w:rPr>
                <w:rFonts w:cs="Arial"/>
                <w:iCs/>
                <w:vertAlign w:val="subscript"/>
              </w:rPr>
              <w:t>soil,runoff , drift- tier1</w:t>
            </w:r>
          </w:p>
        </w:tc>
        <w:tc>
          <w:tcPr>
            <w:tcW w:w="2410" w:type="dxa"/>
            <w:vAlign w:val="center"/>
          </w:tcPr>
          <w:p w14:paraId="08E74D64" w14:textId="77777777" w:rsidR="00692E71" w:rsidRPr="00275290" w:rsidRDefault="00692E71" w:rsidP="008E0250">
            <w:pPr>
              <w:keepNext/>
              <w:keepLines/>
              <w:jc w:val="center"/>
              <w:rPr>
                <w:rFonts w:cs="Arial"/>
              </w:rPr>
            </w:pPr>
            <w:r w:rsidRPr="00275290">
              <w:rPr>
                <w:rFonts w:cs="Arial"/>
              </w:rPr>
              <w:t>13</w:t>
            </w:r>
          </w:p>
        </w:tc>
        <w:tc>
          <w:tcPr>
            <w:tcW w:w="1105" w:type="dxa"/>
            <w:vAlign w:val="center"/>
          </w:tcPr>
          <w:p w14:paraId="2C90A43C" w14:textId="77777777" w:rsidR="00692E71" w:rsidRPr="00275290" w:rsidRDefault="00692E71" w:rsidP="008E0250">
            <w:pPr>
              <w:keepNext/>
              <w:keepLines/>
              <w:jc w:val="center"/>
              <w:rPr>
                <w:rFonts w:cs="Arial"/>
              </w:rPr>
            </w:pPr>
            <w:r w:rsidRPr="00275290">
              <w:rPr>
                <w:rFonts w:cs="Arial"/>
              </w:rPr>
              <w:t>[m</w:t>
            </w:r>
            <w:r w:rsidRPr="00275290">
              <w:rPr>
                <w:rFonts w:cs="Arial"/>
                <w:vertAlign w:val="superscript"/>
              </w:rPr>
              <w:t>3</w:t>
            </w:r>
            <w:r w:rsidRPr="00275290">
              <w:rPr>
                <w:rFonts w:cs="Arial"/>
              </w:rPr>
              <w:t>]</w:t>
            </w:r>
          </w:p>
        </w:tc>
        <w:tc>
          <w:tcPr>
            <w:tcW w:w="1098" w:type="dxa"/>
            <w:vAlign w:val="center"/>
          </w:tcPr>
          <w:p w14:paraId="43F96066" w14:textId="77777777" w:rsidR="00692E71" w:rsidRPr="00275290" w:rsidRDefault="00692E71" w:rsidP="008E0250">
            <w:pPr>
              <w:keepNext/>
              <w:keepLines/>
              <w:jc w:val="center"/>
              <w:rPr>
                <w:rFonts w:cs="Arial"/>
              </w:rPr>
            </w:pPr>
            <w:r w:rsidRPr="00275290">
              <w:rPr>
                <w:rFonts w:cs="Arial"/>
              </w:rPr>
              <w:t>D</w:t>
            </w:r>
          </w:p>
        </w:tc>
      </w:tr>
      <w:tr w:rsidR="00692E71" w:rsidRPr="00275290" w14:paraId="45346634" w14:textId="77777777" w:rsidTr="008E0250">
        <w:tc>
          <w:tcPr>
            <w:tcW w:w="3085" w:type="dxa"/>
            <w:vAlign w:val="center"/>
          </w:tcPr>
          <w:p w14:paraId="397C5B41" w14:textId="77777777" w:rsidR="00692E71" w:rsidRPr="00275290" w:rsidRDefault="00692E71" w:rsidP="008E0250">
            <w:pPr>
              <w:keepNext/>
              <w:keepLines/>
              <w:rPr>
                <w:rFonts w:cs="Arial"/>
              </w:rPr>
            </w:pPr>
            <w:r w:rsidRPr="00275290">
              <w:rPr>
                <w:rFonts w:cs="Arial"/>
              </w:rPr>
              <w:t>Drift: volume to which deposition occurs in tier 2</w:t>
            </w:r>
          </w:p>
        </w:tc>
        <w:tc>
          <w:tcPr>
            <w:tcW w:w="1588" w:type="dxa"/>
            <w:vAlign w:val="center"/>
          </w:tcPr>
          <w:p w14:paraId="72C5AF5E" w14:textId="77777777" w:rsidR="00692E71" w:rsidRPr="00275290" w:rsidRDefault="00692E71" w:rsidP="008E0250">
            <w:pPr>
              <w:keepNext/>
              <w:keepLines/>
              <w:jc w:val="center"/>
              <w:rPr>
                <w:rFonts w:cs="Arial"/>
              </w:rPr>
            </w:pPr>
            <w:r w:rsidRPr="00275290">
              <w:rPr>
                <w:rFonts w:cs="Arial"/>
                <w:iCs/>
              </w:rPr>
              <w:t>V</w:t>
            </w:r>
            <w:r w:rsidRPr="00275290">
              <w:rPr>
                <w:rFonts w:cs="Arial"/>
                <w:iCs/>
                <w:vertAlign w:val="subscript"/>
              </w:rPr>
              <w:t>soil,drift-tier2</w:t>
            </w:r>
          </w:p>
        </w:tc>
        <w:tc>
          <w:tcPr>
            <w:tcW w:w="2410" w:type="dxa"/>
            <w:vAlign w:val="center"/>
          </w:tcPr>
          <w:p w14:paraId="24E5926D" w14:textId="77777777" w:rsidR="00692E71" w:rsidRPr="00275290" w:rsidRDefault="00692E71" w:rsidP="008E0250">
            <w:pPr>
              <w:keepNext/>
              <w:keepLines/>
              <w:jc w:val="center"/>
              <w:rPr>
                <w:rFonts w:cs="Arial"/>
              </w:rPr>
            </w:pPr>
            <w:r w:rsidRPr="00275290">
              <w:rPr>
                <w:rFonts w:cs="Arial"/>
              </w:rPr>
              <w:t>15</w:t>
            </w:r>
          </w:p>
        </w:tc>
        <w:tc>
          <w:tcPr>
            <w:tcW w:w="1105" w:type="dxa"/>
            <w:vAlign w:val="center"/>
          </w:tcPr>
          <w:p w14:paraId="162F1B05" w14:textId="77777777" w:rsidR="00692E71" w:rsidRPr="00275290" w:rsidRDefault="00692E71" w:rsidP="008E0250">
            <w:pPr>
              <w:keepNext/>
              <w:keepLines/>
              <w:jc w:val="center"/>
              <w:rPr>
                <w:rFonts w:cs="Arial"/>
              </w:rPr>
            </w:pPr>
            <w:r w:rsidRPr="00275290">
              <w:rPr>
                <w:rFonts w:cs="Arial"/>
              </w:rPr>
              <w:t>[m</w:t>
            </w:r>
            <w:r w:rsidRPr="00275290">
              <w:rPr>
                <w:rFonts w:cs="Arial"/>
                <w:vertAlign w:val="superscript"/>
              </w:rPr>
              <w:t>3</w:t>
            </w:r>
            <w:r w:rsidRPr="00275290">
              <w:rPr>
                <w:rFonts w:cs="Arial"/>
              </w:rPr>
              <w:t>]</w:t>
            </w:r>
          </w:p>
        </w:tc>
        <w:tc>
          <w:tcPr>
            <w:tcW w:w="1098" w:type="dxa"/>
            <w:vAlign w:val="center"/>
          </w:tcPr>
          <w:p w14:paraId="282C43DE" w14:textId="77777777" w:rsidR="00692E71" w:rsidRPr="00275290" w:rsidRDefault="00692E71" w:rsidP="008E0250">
            <w:pPr>
              <w:keepNext/>
              <w:keepLines/>
              <w:jc w:val="center"/>
              <w:rPr>
                <w:rFonts w:cs="Arial"/>
              </w:rPr>
            </w:pPr>
            <w:r w:rsidRPr="00275290">
              <w:rPr>
                <w:rFonts w:cs="Arial"/>
              </w:rPr>
              <w:t>D</w:t>
            </w:r>
          </w:p>
        </w:tc>
      </w:tr>
      <w:tr w:rsidR="00692E71" w:rsidRPr="00275290" w14:paraId="1ECFF1F2" w14:textId="77777777" w:rsidTr="008E0250">
        <w:tc>
          <w:tcPr>
            <w:tcW w:w="3085" w:type="dxa"/>
            <w:vAlign w:val="center"/>
          </w:tcPr>
          <w:p w14:paraId="0641A878" w14:textId="77777777" w:rsidR="00692E71" w:rsidRPr="00275290" w:rsidRDefault="00692E71" w:rsidP="008E0250">
            <w:pPr>
              <w:keepNext/>
              <w:keepLines/>
              <w:rPr>
                <w:rFonts w:cs="Arial"/>
              </w:rPr>
            </w:pPr>
            <w:r w:rsidRPr="00275290">
              <w:rPr>
                <w:rFonts w:cs="Arial"/>
              </w:rPr>
              <w:t>Bulk density of (wet) soil</w:t>
            </w:r>
          </w:p>
        </w:tc>
        <w:tc>
          <w:tcPr>
            <w:tcW w:w="1588" w:type="dxa"/>
            <w:vAlign w:val="center"/>
          </w:tcPr>
          <w:p w14:paraId="1FE8B353" w14:textId="77777777" w:rsidR="00692E71" w:rsidRPr="00275290" w:rsidRDefault="00692E71" w:rsidP="008E0250">
            <w:pPr>
              <w:keepNext/>
              <w:keepLines/>
              <w:jc w:val="center"/>
              <w:rPr>
                <w:rFonts w:cs="Arial"/>
              </w:rPr>
            </w:pPr>
            <w:r w:rsidRPr="00275290">
              <w:rPr>
                <w:rFonts w:cs="Arial"/>
              </w:rPr>
              <w:t>RHO</w:t>
            </w:r>
            <w:r w:rsidRPr="00275290">
              <w:rPr>
                <w:rFonts w:cs="Arial"/>
                <w:vertAlign w:val="subscript"/>
              </w:rPr>
              <w:t>soil</w:t>
            </w:r>
          </w:p>
        </w:tc>
        <w:tc>
          <w:tcPr>
            <w:tcW w:w="2410" w:type="dxa"/>
            <w:vAlign w:val="center"/>
          </w:tcPr>
          <w:p w14:paraId="3D3445AD" w14:textId="77777777" w:rsidR="00692E71" w:rsidRPr="00275290" w:rsidRDefault="00692E71" w:rsidP="008E0250">
            <w:pPr>
              <w:keepNext/>
              <w:keepLines/>
              <w:jc w:val="center"/>
              <w:rPr>
                <w:rFonts w:cs="Arial"/>
              </w:rPr>
            </w:pPr>
            <w:r w:rsidRPr="00275290">
              <w:rPr>
                <w:rFonts w:cs="Arial"/>
              </w:rPr>
              <w:t>1700</w:t>
            </w:r>
          </w:p>
        </w:tc>
        <w:tc>
          <w:tcPr>
            <w:tcW w:w="1105" w:type="dxa"/>
            <w:vAlign w:val="center"/>
          </w:tcPr>
          <w:p w14:paraId="1961E57A" w14:textId="77777777" w:rsidR="00692E71" w:rsidRPr="00275290" w:rsidRDefault="00692E71" w:rsidP="008E0250">
            <w:pPr>
              <w:keepNext/>
              <w:keepLines/>
              <w:jc w:val="center"/>
              <w:rPr>
                <w:rFonts w:cs="Arial"/>
              </w:rPr>
            </w:pPr>
            <w:r w:rsidRPr="00275290">
              <w:rPr>
                <w:rFonts w:cs="Arial"/>
              </w:rPr>
              <w:t>[kg</w:t>
            </w:r>
            <w:r w:rsidRPr="00275290">
              <w:rPr>
                <w:rFonts w:cs="Arial"/>
                <w:vertAlign w:val="subscript"/>
              </w:rPr>
              <w:t>wwt</w:t>
            </w:r>
            <w:r w:rsidRPr="00275290">
              <w:rPr>
                <w:rFonts w:cs="Arial"/>
              </w:rPr>
              <w:t>.m</w:t>
            </w:r>
            <w:r w:rsidRPr="00275290">
              <w:rPr>
                <w:rFonts w:cs="Arial"/>
                <w:vertAlign w:val="superscript"/>
              </w:rPr>
              <w:t>-3</w:t>
            </w:r>
            <w:r w:rsidRPr="00275290">
              <w:rPr>
                <w:rFonts w:cs="Arial"/>
              </w:rPr>
              <w:t>]</w:t>
            </w:r>
          </w:p>
        </w:tc>
        <w:tc>
          <w:tcPr>
            <w:tcW w:w="1098" w:type="dxa"/>
            <w:vAlign w:val="center"/>
          </w:tcPr>
          <w:p w14:paraId="5BAD34D0" w14:textId="77777777" w:rsidR="00692E71" w:rsidRPr="00275290" w:rsidRDefault="00692E71" w:rsidP="008E0250">
            <w:pPr>
              <w:keepNext/>
              <w:keepLines/>
              <w:jc w:val="center"/>
              <w:rPr>
                <w:rFonts w:cs="Arial"/>
              </w:rPr>
            </w:pPr>
            <w:r w:rsidRPr="00275290">
              <w:rPr>
                <w:rFonts w:cs="Arial"/>
              </w:rPr>
              <w:t>D</w:t>
            </w:r>
          </w:p>
        </w:tc>
      </w:tr>
      <w:tr w:rsidR="00692E71" w:rsidRPr="00275290" w14:paraId="48980148" w14:textId="77777777" w:rsidTr="008E0250">
        <w:tc>
          <w:tcPr>
            <w:tcW w:w="9286" w:type="dxa"/>
            <w:gridSpan w:val="5"/>
            <w:vAlign w:val="center"/>
          </w:tcPr>
          <w:p w14:paraId="2A819759" w14:textId="77777777" w:rsidR="00692E71" w:rsidRPr="00275290" w:rsidRDefault="00692E71" w:rsidP="008E0250">
            <w:pPr>
              <w:keepNext/>
              <w:keepLines/>
              <w:rPr>
                <w:rFonts w:cs="Arial"/>
                <w:b/>
              </w:rPr>
            </w:pPr>
            <w:r w:rsidRPr="00275290">
              <w:rPr>
                <w:rFonts w:cs="Arial"/>
                <w:b/>
              </w:rPr>
              <w:t>OUTPUTS</w:t>
            </w:r>
          </w:p>
        </w:tc>
      </w:tr>
      <w:tr w:rsidR="00692E71" w:rsidRPr="00275290" w14:paraId="118C7A69" w14:textId="77777777" w:rsidTr="008E0250">
        <w:tc>
          <w:tcPr>
            <w:tcW w:w="3085" w:type="dxa"/>
            <w:tcBorders>
              <w:bottom w:val="single" w:sz="4" w:space="0" w:color="000000"/>
            </w:tcBorders>
            <w:vAlign w:val="center"/>
          </w:tcPr>
          <w:p w14:paraId="0A75F9BB" w14:textId="77777777" w:rsidR="00692E71" w:rsidRPr="00275290" w:rsidRDefault="00692E71" w:rsidP="008E0250">
            <w:pPr>
              <w:keepNext/>
              <w:keepLines/>
              <w:rPr>
                <w:rFonts w:cs="Arial"/>
              </w:rPr>
            </w:pPr>
            <w:r w:rsidRPr="00275290">
              <w:rPr>
                <w:rFonts w:cs="Arial"/>
              </w:rPr>
              <w:t>Emission of active substance to soil during the day of application by runoff (tier 1)</w:t>
            </w:r>
          </w:p>
        </w:tc>
        <w:tc>
          <w:tcPr>
            <w:tcW w:w="1588" w:type="dxa"/>
            <w:tcBorders>
              <w:bottom w:val="single" w:sz="4" w:space="0" w:color="000000"/>
            </w:tcBorders>
            <w:vAlign w:val="center"/>
          </w:tcPr>
          <w:p w14:paraId="6AFA34DA" w14:textId="77777777" w:rsidR="00692E71" w:rsidRPr="00275290" w:rsidRDefault="00692E71" w:rsidP="008E0250">
            <w:pPr>
              <w:keepNext/>
              <w:keepLines/>
              <w:jc w:val="center"/>
              <w:rPr>
                <w:rFonts w:cs="Arial"/>
              </w:rPr>
            </w:pPr>
            <w:r w:rsidRPr="00275290">
              <w:rPr>
                <w:rFonts w:cs="Arial"/>
              </w:rPr>
              <w:t>E</w:t>
            </w:r>
            <w:r w:rsidRPr="00275290">
              <w:rPr>
                <w:rFonts w:cs="Arial"/>
                <w:vertAlign w:val="subscript"/>
              </w:rPr>
              <w:t>soil,runoff tier 1</w:t>
            </w:r>
          </w:p>
        </w:tc>
        <w:tc>
          <w:tcPr>
            <w:tcW w:w="2410" w:type="dxa"/>
            <w:tcBorders>
              <w:bottom w:val="single" w:sz="4" w:space="0" w:color="000000"/>
            </w:tcBorders>
            <w:vAlign w:val="center"/>
          </w:tcPr>
          <w:p w14:paraId="1BCA78B2" w14:textId="77777777" w:rsidR="00692E71" w:rsidRPr="00275290" w:rsidRDefault="00692E71" w:rsidP="008E0250">
            <w:pPr>
              <w:keepNext/>
              <w:keepLines/>
              <w:jc w:val="center"/>
              <w:rPr>
                <w:rFonts w:cs="Arial"/>
              </w:rPr>
            </w:pPr>
            <w:r w:rsidRPr="00275290">
              <w:rPr>
                <w:rFonts w:cs="Arial"/>
              </w:rPr>
              <w:t>2.5*10</w:t>
            </w:r>
            <w:r w:rsidRPr="00275290">
              <w:rPr>
                <w:rFonts w:cs="Arial"/>
                <w:vertAlign w:val="superscript"/>
              </w:rPr>
              <w:t>-3</w:t>
            </w:r>
            <w:r w:rsidRPr="00275290">
              <w:rPr>
                <w:rFonts w:cs="Arial"/>
              </w:rPr>
              <w:t xml:space="preserve"> (IPBC)</w:t>
            </w:r>
          </w:p>
          <w:p w14:paraId="418514EA" w14:textId="77777777" w:rsidR="00692E71" w:rsidRPr="00275290" w:rsidRDefault="00692E71" w:rsidP="008E0250">
            <w:pPr>
              <w:keepNext/>
              <w:keepLines/>
              <w:jc w:val="center"/>
              <w:rPr>
                <w:rFonts w:cs="Arial"/>
              </w:rPr>
            </w:pPr>
            <w:r w:rsidRPr="00275290">
              <w:rPr>
                <w:rFonts w:cs="Arial"/>
              </w:rPr>
              <w:t>7.5*10</w:t>
            </w:r>
            <w:r w:rsidRPr="00275290">
              <w:rPr>
                <w:rFonts w:cs="Arial"/>
                <w:vertAlign w:val="superscript"/>
              </w:rPr>
              <w:t>-3</w:t>
            </w:r>
            <w:r w:rsidRPr="00275290">
              <w:rPr>
                <w:rFonts w:cs="Arial"/>
              </w:rPr>
              <w:t xml:space="preserve"> (propiconazole)</w:t>
            </w:r>
          </w:p>
          <w:p w14:paraId="29801D17" w14:textId="77777777" w:rsidR="00692E71" w:rsidRPr="00275290" w:rsidRDefault="00692E71" w:rsidP="008E0250">
            <w:pPr>
              <w:keepNext/>
              <w:keepLines/>
              <w:jc w:val="center"/>
              <w:rPr>
                <w:rFonts w:cs="Arial"/>
              </w:rPr>
            </w:pPr>
            <w:r w:rsidRPr="00275290">
              <w:rPr>
                <w:rFonts w:cs="Arial"/>
              </w:rPr>
              <w:t>2.5*10</w:t>
            </w:r>
            <w:r w:rsidRPr="00275290">
              <w:rPr>
                <w:rFonts w:cs="Arial"/>
                <w:vertAlign w:val="superscript"/>
              </w:rPr>
              <w:t>-3</w:t>
            </w:r>
            <w:r w:rsidRPr="00275290">
              <w:rPr>
                <w:rFonts w:cs="Arial"/>
              </w:rPr>
              <w:t xml:space="preserve"> (tebuconazole)</w:t>
            </w:r>
          </w:p>
          <w:p w14:paraId="32E8CB28" w14:textId="77777777" w:rsidR="00692E71" w:rsidRPr="00275290" w:rsidRDefault="00692E71" w:rsidP="008E0250">
            <w:pPr>
              <w:keepNext/>
              <w:keepLines/>
              <w:rPr>
                <w:rFonts w:cs="Arial"/>
              </w:rPr>
            </w:pPr>
            <w:r w:rsidRPr="00275290">
              <w:rPr>
                <w:rFonts w:cs="Arial"/>
              </w:rPr>
              <w:t>3.5*10</w:t>
            </w:r>
            <w:r w:rsidRPr="00275290">
              <w:rPr>
                <w:rFonts w:cs="Arial"/>
                <w:vertAlign w:val="superscript"/>
              </w:rPr>
              <w:t>-3</w:t>
            </w:r>
            <w:r w:rsidRPr="00275290">
              <w:rPr>
                <w:rFonts w:cs="Arial"/>
              </w:rPr>
              <w:t xml:space="preserve"> (cypermethrin)</w:t>
            </w:r>
          </w:p>
        </w:tc>
        <w:tc>
          <w:tcPr>
            <w:tcW w:w="1105" w:type="dxa"/>
            <w:tcBorders>
              <w:bottom w:val="single" w:sz="4" w:space="0" w:color="000000"/>
            </w:tcBorders>
            <w:vAlign w:val="center"/>
          </w:tcPr>
          <w:p w14:paraId="27C6822B" w14:textId="77777777" w:rsidR="00692E71" w:rsidRPr="00275290" w:rsidRDefault="00692E71" w:rsidP="008E0250">
            <w:pPr>
              <w:keepNext/>
              <w:keepLines/>
              <w:jc w:val="center"/>
              <w:rPr>
                <w:rFonts w:cs="Arial"/>
              </w:rPr>
            </w:pPr>
            <w:r w:rsidRPr="00275290">
              <w:rPr>
                <w:rFonts w:cs="Arial"/>
              </w:rPr>
              <w:t>[kg/d]</w:t>
            </w:r>
          </w:p>
        </w:tc>
        <w:tc>
          <w:tcPr>
            <w:tcW w:w="1098" w:type="dxa"/>
            <w:tcBorders>
              <w:bottom w:val="single" w:sz="4" w:space="0" w:color="000000"/>
            </w:tcBorders>
            <w:vAlign w:val="center"/>
          </w:tcPr>
          <w:p w14:paraId="057C6DC9" w14:textId="77777777" w:rsidR="00692E71" w:rsidRPr="00275290" w:rsidRDefault="00692E71" w:rsidP="008E0250">
            <w:pPr>
              <w:keepNext/>
              <w:keepLines/>
              <w:jc w:val="center"/>
              <w:rPr>
                <w:rFonts w:cs="Arial"/>
              </w:rPr>
            </w:pPr>
            <w:r w:rsidRPr="00275290">
              <w:rPr>
                <w:rFonts w:cs="Arial"/>
              </w:rPr>
              <w:t>O</w:t>
            </w:r>
          </w:p>
        </w:tc>
      </w:tr>
      <w:tr w:rsidR="00692E71" w:rsidRPr="00275290" w14:paraId="1154DB09" w14:textId="77777777" w:rsidTr="008E0250">
        <w:tc>
          <w:tcPr>
            <w:tcW w:w="3085" w:type="dxa"/>
            <w:vAlign w:val="center"/>
          </w:tcPr>
          <w:p w14:paraId="5540BF12" w14:textId="77777777" w:rsidR="00692E71" w:rsidRPr="00275290" w:rsidRDefault="00692E71" w:rsidP="008E0250">
            <w:pPr>
              <w:rPr>
                <w:rFonts w:cs="Arial"/>
              </w:rPr>
            </w:pPr>
            <w:r w:rsidRPr="00275290">
              <w:rPr>
                <w:rFonts w:cs="Arial"/>
              </w:rPr>
              <w:t>Emission of substance to soil during the day of application by spray drift (tier 1)</w:t>
            </w:r>
          </w:p>
        </w:tc>
        <w:tc>
          <w:tcPr>
            <w:tcW w:w="1588" w:type="dxa"/>
            <w:vAlign w:val="center"/>
          </w:tcPr>
          <w:p w14:paraId="2FEF06D5" w14:textId="77777777" w:rsidR="00692E71" w:rsidRPr="00275290" w:rsidRDefault="00692E71" w:rsidP="008E0250">
            <w:pPr>
              <w:keepNext/>
              <w:keepLines/>
              <w:jc w:val="center"/>
              <w:rPr>
                <w:rFonts w:cs="Arial"/>
              </w:rPr>
            </w:pPr>
            <w:r w:rsidRPr="00275290">
              <w:rPr>
                <w:rFonts w:cs="Arial"/>
                <w:i/>
                <w:iCs/>
              </w:rPr>
              <w:t>E</w:t>
            </w:r>
            <w:r w:rsidRPr="00275290">
              <w:rPr>
                <w:rFonts w:cs="Arial"/>
                <w:i/>
                <w:iCs/>
                <w:vertAlign w:val="subscript"/>
              </w:rPr>
              <w:t>soil,spray_drift_tier 1</w:t>
            </w:r>
          </w:p>
        </w:tc>
        <w:tc>
          <w:tcPr>
            <w:tcW w:w="2410" w:type="dxa"/>
            <w:vAlign w:val="center"/>
          </w:tcPr>
          <w:p w14:paraId="7FE5E56D" w14:textId="77777777" w:rsidR="00692E71" w:rsidRPr="00275290" w:rsidRDefault="00692E71" w:rsidP="008E0250">
            <w:pPr>
              <w:keepNext/>
              <w:keepLines/>
              <w:jc w:val="center"/>
              <w:rPr>
                <w:rFonts w:cs="Arial"/>
              </w:rPr>
            </w:pPr>
            <w:r w:rsidRPr="00275290">
              <w:rPr>
                <w:rFonts w:cs="Arial"/>
              </w:rPr>
              <w:t>1.3*10</w:t>
            </w:r>
            <w:r w:rsidRPr="00275290">
              <w:rPr>
                <w:rFonts w:cs="Arial"/>
                <w:vertAlign w:val="superscript"/>
              </w:rPr>
              <w:t>-3</w:t>
            </w:r>
            <w:r w:rsidRPr="00275290">
              <w:rPr>
                <w:rFonts w:cs="Arial"/>
              </w:rPr>
              <w:t xml:space="preserve"> (IPBC)</w:t>
            </w:r>
          </w:p>
          <w:p w14:paraId="319F94D0" w14:textId="77777777" w:rsidR="00692E71" w:rsidRPr="00275290" w:rsidRDefault="00692E71" w:rsidP="008E0250">
            <w:pPr>
              <w:keepNext/>
              <w:keepLines/>
              <w:jc w:val="center"/>
              <w:rPr>
                <w:rFonts w:cs="Arial"/>
              </w:rPr>
            </w:pPr>
            <w:r w:rsidRPr="00275290">
              <w:rPr>
                <w:rFonts w:cs="Arial"/>
              </w:rPr>
              <w:t>3.8*10</w:t>
            </w:r>
            <w:r w:rsidRPr="00275290">
              <w:rPr>
                <w:rFonts w:cs="Arial"/>
                <w:vertAlign w:val="superscript"/>
              </w:rPr>
              <w:t>-3</w:t>
            </w:r>
            <w:r w:rsidRPr="00275290">
              <w:rPr>
                <w:rFonts w:cs="Arial"/>
              </w:rPr>
              <w:t xml:space="preserve"> propiconazole)</w:t>
            </w:r>
          </w:p>
          <w:p w14:paraId="521CC01C" w14:textId="77777777" w:rsidR="00692E71" w:rsidRPr="00275290" w:rsidRDefault="00692E71" w:rsidP="008E0250">
            <w:pPr>
              <w:keepNext/>
              <w:keepLines/>
              <w:jc w:val="center"/>
              <w:rPr>
                <w:rFonts w:cs="Arial"/>
              </w:rPr>
            </w:pPr>
            <w:r w:rsidRPr="00275290">
              <w:rPr>
                <w:rFonts w:cs="Arial"/>
              </w:rPr>
              <w:t>1.3*10</w:t>
            </w:r>
            <w:r w:rsidRPr="00275290">
              <w:rPr>
                <w:rFonts w:cs="Arial"/>
                <w:vertAlign w:val="superscript"/>
              </w:rPr>
              <w:t>-3</w:t>
            </w:r>
            <w:r w:rsidRPr="00275290">
              <w:rPr>
                <w:rFonts w:cs="Arial"/>
              </w:rPr>
              <w:t xml:space="preserve"> (tebuconazole)</w:t>
            </w:r>
          </w:p>
          <w:p w14:paraId="3402D621" w14:textId="77777777" w:rsidR="00692E71" w:rsidRPr="00275290" w:rsidRDefault="00692E71" w:rsidP="008E0250">
            <w:pPr>
              <w:keepNext/>
              <w:keepLines/>
              <w:jc w:val="center"/>
              <w:rPr>
                <w:rFonts w:cs="Arial"/>
              </w:rPr>
            </w:pPr>
            <w:r w:rsidRPr="00275290">
              <w:rPr>
                <w:rFonts w:cs="Arial"/>
              </w:rPr>
              <w:t>1.8*10</w:t>
            </w:r>
            <w:r w:rsidRPr="00275290">
              <w:rPr>
                <w:rFonts w:cs="Arial"/>
                <w:vertAlign w:val="superscript"/>
              </w:rPr>
              <w:t>-3</w:t>
            </w:r>
            <w:r w:rsidRPr="00275290">
              <w:rPr>
                <w:rFonts w:cs="Arial"/>
              </w:rPr>
              <w:t xml:space="preserve"> (cypermethrin)</w:t>
            </w:r>
          </w:p>
        </w:tc>
        <w:tc>
          <w:tcPr>
            <w:tcW w:w="1105" w:type="dxa"/>
            <w:vAlign w:val="center"/>
          </w:tcPr>
          <w:p w14:paraId="6BDD6F4D" w14:textId="77777777" w:rsidR="00692E71" w:rsidRPr="00275290" w:rsidRDefault="00692E71" w:rsidP="008E0250">
            <w:pPr>
              <w:keepNext/>
              <w:keepLines/>
              <w:jc w:val="center"/>
              <w:rPr>
                <w:rFonts w:cs="Arial"/>
              </w:rPr>
            </w:pPr>
            <w:r w:rsidRPr="00275290">
              <w:rPr>
                <w:rFonts w:cs="Arial"/>
              </w:rPr>
              <w:t>[kg/d]</w:t>
            </w:r>
          </w:p>
        </w:tc>
        <w:tc>
          <w:tcPr>
            <w:tcW w:w="1098" w:type="dxa"/>
            <w:vAlign w:val="center"/>
          </w:tcPr>
          <w:p w14:paraId="2903C978" w14:textId="77777777" w:rsidR="00692E71" w:rsidRPr="00275290" w:rsidRDefault="00692E71" w:rsidP="008E0250">
            <w:pPr>
              <w:keepNext/>
              <w:keepLines/>
              <w:jc w:val="center"/>
              <w:rPr>
                <w:rFonts w:cs="Arial"/>
              </w:rPr>
            </w:pPr>
            <w:r w:rsidRPr="00275290">
              <w:rPr>
                <w:rFonts w:cs="Arial"/>
              </w:rPr>
              <w:t>O</w:t>
            </w:r>
          </w:p>
        </w:tc>
      </w:tr>
      <w:tr w:rsidR="00692E71" w:rsidRPr="00275290" w14:paraId="0D3708D6" w14:textId="77777777" w:rsidTr="008E0250">
        <w:tc>
          <w:tcPr>
            <w:tcW w:w="3085" w:type="dxa"/>
            <w:vAlign w:val="center"/>
          </w:tcPr>
          <w:p w14:paraId="7F63A4F5" w14:textId="77777777" w:rsidR="00692E71" w:rsidRPr="00275290" w:rsidRDefault="00692E71" w:rsidP="008E0250">
            <w:pPr>
              <w:rPr>
                <w:rFonts w:cs="Arial"/>
              </w:rPr>
            </w:pPr>
            <w:r w:rsidRPr="00275290">
              <w:rPr>
                <w:rFonts w:cs="Arial"/>
              </w:rPr>
              <w:t>Emission of substance to soil during the day of application by spray drift (tier 2)</w:t>
            </w:r>
          </w:p>
        </w:tc>
        <w:tc>
          <w:tcPr>
            <w:tcW w:w="1588" w:type="dxa"/>
            <w:vAlign w:val="center"/>
          </w:tcPr>
          <w:p w14:paraId="2CBC5027" w14:textId="77777777" w:rsidR="00692E71" w:rsidRPr="00275290" w:rsidRDefault="00692E71" w:rsidP="008E0250">
            <w:pPr>
              <w:keepNext/>
              <w:keepLines/>
              <w:jc w:val="center"/>
              <w:rPr>
                <w:rFonts w:cs="Arial"/>
                <w:i/>
                <w:iCs/>
              </w:rPr>
            </w:pPr>
            <w:r w:rsidRPr="00275290">
              <w:rPr>
                <w:rFonts w:cs="Arial"/>
                <w:i/>
                <w:iCs/>
              </w:rPr>
              <w:t>E</w:t>
            </w:r>
            <w:r w:rsidRPr="00275290">
              <w:rPr>
                <w:rFonts w:cs="Arial"/>
                <w:i/>
                <w:iCs/>
                <w:vertAlign w:val="subscript"/>
              </w:rPr>
              <w:t>soil,spray_drift_tier 2</w:t>
            </w:r>
          </w:p>
        </w:tc>
        <w:tc>
          <w:tcPr>
            <w:tcW w:w="2410" w:type="dxa"/>
            <w:vAlign w:val="center"/>
          </w:tcPr>
          <w:p w14:paraId="4F5BB977" w14:textId="77777777" w:rsidR="00692E71" w:rsidRPr="00275290" w:rsidRDefault="00692E71" w:rsidP="008E0250">
            <w:pPr>
              <w:keepNext/>
              <w:keepLines/>
              <w:jc w:val="center"/>
              <w:rPr>
                <w:rFonts w:cs="Arial"/>
              </w:rPr>
            </w:pPr>
            <w:r w:rsidRPr="00275290">
              <w:rPr>
                <w:rFonts w:cs="Arial"/>
              </w:rPr>
              <w:t>3.6*10</w:t>
            </w:r>
            <w:r w:rsidRPr="00275290">
              <w:rPr>
                <w:rFonts w:cs="Arial"/>
                <w:vertAlign w:val="superscript"/>
              </w:rPr>
              <w:t>-4</w:t>
            </w:r>
            <w:r w:rsidRPr="00275290">
              <w:rPr>
                <w:rFonts w:cs="Arial"/>
              </w:rPr>
              <w:t xml:space="preserve"> (IPBC)</w:t>
            </w:r>
          </w:p>
          <w:p w14:paraId="0CE6E725" w14:textId="77777777" w:rsidR="00692E71" w:rsidRPr="00275290" w:rsidRDefault="00692E71" w:rsidP="008E0250">
            <w:pPr>
              <w:keepNext/>
              <w:keepLines/>
              <w:jc w:val="center"/>
              <w:rPr>
                <w:rFonts w:cs="Arial"/>
              </w:rPr>
            </w:pPr>
            <w:r w:rsidRPr="00275290">
              <w:rPr>
                <w:rFonts w:cs="Arial"/>
              </w:rPr>
              <w:t>1.1*10</w:t>
            </w:r>
            <w:r w:rsidRPr="00275290">
              <w:rPr>
                <w:rFonts w:cs="Arial"/>
                <w:vertAlign w:val="superscript"/>
              </w:rPr>
              <w:t>-3</w:t>
            </w:r>
            <w:r w:rsidRPr="00275290">
              <w:rPr>
                <w:rFonts w:cs="Arial"/>
              </w:rPr>
              <w:t xml:space="preserve"> propiconazole)</w:t>
            </w:r>
          </w:p>
          <w:p w14:paraId="113E32E9" w14:textId="77777777" w:rsidR="00692E71" w:rsidRPr="00275290" w:rsidRDefault="00692E71" w:rsidP="008E0250">
            <w:pPr>
              <w:keepNext/>
              <w:keepLines/>
              <w:jc w:val="center"/>
              <w:rPr>
                <w:rFonts w:cs="Arial"/>
              </w:rPr>
            </w:pPr>
            <w:r w:rsidRPr="00275290">
              <w:rPr>
                <w:rFonts w:cs="Arial"/>
              </w:rPr>
              <w:t>3.6*10</w:t>
            </w:r>
            <w:r w:rsidRPr="00275290">
              <w:rPr>
                <w:rFonts w:cs="Arial"/>
                <w:vertAlign w:val="superscript"/>
              </w:rPr>
              <w:t>-4</w:t>
            </w:r>
            <w:r w:rsidRPr="00275290">
              <w:rPr>
                <w:rFonts w:cs="Arial"/>
              </w:rPr>
              <w:t xml:space="preserve"> (tebuconazole)</w:t>
            </w:r>
          </w:p>
          <w:p w14:paraId="1A33DE87" w14:textId="77777777" w:rsidR="00692E71" w:rsidRPr="00275290" w:rsidRDefault="00692E71" w:rsidP="008E0250">
            <w:pPr>
              <w:keepNext/>
              <w:keepLines/>
              <w:jc w:val="center"/>
              <w:rPr>
                <w:rFonts w:cs="Arial"/>
              </w:rPr>
            </w:pPr>
            <w:r w:rsidRPr="00275290">
              <w:rPr>
                <w:rFonts w:cs="Arial"/>
              </w:rPr>
              <w:t>5.0*10</w:t>
            </w:r>
            <w:r w:rsidRPr="00275290">
              <w:rPr>
                <w:rFonts w:cs="Arial"/>
                <w:vertAlign w:val="superscript"/>
              </w:rPr>
              <w:t>-4</w:t>
            </w:r>
            <w:r w:rsidRPr="00275290">
              <w:rPr>
                <w:rFonts w:cs="Arial"/>
              </w:rPr>
              <w:t xml:space="preserve"> (cypermethrin)</w:t>
            </w:r>
          </w:p>
        </w:tc>
        <w:tc>
          <w:tcPr>
            <w:tcW w:w="1105" w:type="dxa"/>
            <w:vAlign w:val="center"/>
          </w:tcPr>
          <w:p w14:paraId="52EC9844" w14:textId="77777777" w:rsidR="00692E71" w:rsidRPr="00275290" w:rsidRDefault="00692E71" w:rsidP="008E0250">
            <w:pPr>
              <w:keepNext/>
              <w:keepLines/>
              <w:jc w:val="center"/>
              <w:rPr>
                <w:rFonts w:cs="Arial"/>
              </w:rPr>
            </w:pPr>
            <w:r w:rsidRPr="00275290">
              <w:rPr>
                <w:rFonts w:cs="Arial"/>
              </w:rPr>
              <w:t>[kg/d]</w:t>
            </w:r>
          </w:p>
        </w:tc>
        <w:tc>
          <w:tcPr>
            <w:tcW w:w="1098" w:type="dxa"/>
            <w:vAlign w:val="center"/>
          </w:tcPr>
          <w:p w14:paraId="599A3D85" w14:textId="77777777" w:rsidR="00692E71" w:rsidRPr="00275290" w:rsidRDefault="00692E71" w:rsidP="008E0250">
            <w:pPr>
              <w:keepNext/>
              <w:keepLines/>
              <w:jc w:val="center"/>
              <w:rPr>
                <w:rFonts w:cs="Arial"/>
              </w:rPr>
            </w:pPr>
            <w:r w:rsidRPr="00275290">
              <w:rPr>
                <w:rFonts w:cs="Arial"/>
              </w:rPr>
              <w:t>O</w:t>
            </w:r>
          </w:p>
        </w:tc>
      </w:tr>
      <w:tr w:rsidR="00692E71" w:rsidRPr="00275290" w14:paraId="272A3B70" w14:textId="77777777" w:rsidTr="008E0250">
        <w:tc>
          <w:tcPr>
            <w:tcW w:w="3085" w:type="dxa"/>
            <w:vAlign w:val="center"/>
          </w:tcPr>
          <w:p w14:paraId="135AB457" w14:textId="77777777" w:rsidR="00692E71" w:rsidRPr="00275290" w:rsidRDefault="00692E71" w:rsidP="008E0250">
            <w:pPr>
              <w:rPr>
                <w:rFonts w:cs="Arial"/>
              </w:rPr>
            </w:pPr>
            <w:r w:rsidRPr="00275290">
              <w:rPr>
                <w:rFonts w:cs="Arial"/>
              </w:rPr>
              <w:t>Concentration in local soil at the end of the day of application due to run-off (tier 1)</w:t>
            </w:r>
          </w:p>
        </w:tc>
        <w:tc>
          <w:tcPr>
            <w:tcW w:w="1588" w:type="dxa"/>
            <w:vAlign w:val="center"/>
          </w:tcPr>
          <w:p w14:paraId="19C522BB" w14:textId="77777777" w:rsidR="00692E71" w:rsidRPr="00275290" w:rsidRDefault="00692E71" w:rsidP="008E0250">
            <w:pPr>
              <w:keepNext/>
              <w:keepLines/>
              <w:jc w:val="center"/>
              <w:rPr>
                <w:rFonts w:cs="Arial"/>
              </w:rPr>
            </w:pPr>
            <w:r w:rsidRPr="00275290">
              <w:rPr>
                <w:rFonts w:cs="Arial"/>
              </w:rPr>
              <w:t>Clocal</w:t>
            </w:r>
            <w:r w:rsidRPr="00275290">
              <w:rPr>
                <w:rFonts w:cs="Arial"/>
                <w:vertAlign w:val="subscript"/>
              </w:rPr>
              <w:t>soil,runoff tier 1</w:t>
            </w:r>
          </w:p>
        </w:tc>
        <w:tc>
          <w:tcPr>
            <w:tcW w:w="2410" w:type="dxa"/>
            <w:vAlign w:val="center"/>
          </w:tcPr>
          <w:p w14:paraId="3AD23175" w14:textId="77777777" w:rsidR="00692E71" w:rsidRPr="00275290" w:rsidRDefault="00692E71" w:rsidP="008E0250">
            <w:pPr>
              <w:keepNext/>
              <w:keepLines/>
              <w:jc w:val="center"/>
              <w:rPr>
                <w:rFonts w:cs="Arial"/>
              </w:rPr>
            </w:pPr>
            <w:r w:rsidRPr="00275290">
              <w:rPr>
                <w:rFonts w:cs="Arial"/>
              </w:rPr>
              <w:t>0.11 (IPBC)</w:t>
            </w:r>
          </w:p>
          <w:p w14:paraId="2CC020F5" w14:textId="77777777" w:rsidR="00692E71" w:rsidRPr="00275290" w:rsidRDefault="00692E71" w:rsidP="008E0250">
            <w:pPr>
              <w:keepNext/>
              <w:keepLines/>
              <w:jc w:val="center"/>
              <w:rPr>
                <w:rFonts w:cs="Arial"/>
              </w:rPr>
            </w:pPr>
            <w:r w:rsidRPr="00275290">
              <w:rPr>
                <w:rFonts w:cs="Arial"/>
              </w:rPr>
              <w:t>0.34 (propiconazole)</w:t>
            </w:r>
          </w:p>
          <w:p w14:paraId="61BD2D78" w14:textId="77777777" w:rsidR="00692E71" w:rsidRPr="00275290" w:rsidRDefault="00692E71" w:rsidP="008E0250">
            <w:pPr>
              <w:keepNext/>
              <w:keepLines/>
              <w:jc w:val="center"/>
              <w:rPr>
                <w:rFonts w:cs="Arial"/>
              </w:rPr>
            </w:pPr>
            <w:r w:rsidRPr="00275290">
              <w:rPr>
                <w:rFonts w:cs="Arial"/>
              </w:rPr>
              <w:t>0.11 (tebuconazole)</w:t>
            </w:r>
          </w:p>
          <w:p w14:paraId="318645F6" w14:textId="77777777" w:rsidR="00692E71" w:rsidRPr="00275290" w:rsidRDefault="00692E71" w:rsidP="008E0250">
            <w:pPr>
              <w:keepNext/>
              <w:keepLines/>
              <w:jc w:val="center"/>
              <w:rPr>
                <w:rFonts w:cs="Arial"/>
              </w:rPr>
            </w:pPr>
            <w:r w:rsidRPr="00275290">
              <w:rPr>
                <w:rFonts w:cs="Arial"/>
              </w:rPr>
              <w:t>0.16 (cypermethrin)</w:t>
            </w:r>
          </w:p>
        </w:tc>
        <w:tc>
          <w:tcPr>
            <w:tcW w:w="1105" w:type="dxa"/>
            <w:vAlign w:val="center"/>
          </w:tcPr>
          <w:p w14:paraId="0736C164"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rPr>
              <w:t>]</w:t>
            </w:r>
          </w:p>
        </w:tc>
        <w:tc>
          <w:tcPr>
            <w:tcW w:w="1098" w:type="dxa"/>
            <w:vAlign w:val="center"/>
          </w:tcPr>
          <w:p w14:paraId="5AA5D6B1" w14:textId="77777777" w:rsidR="00692E71" w:rsidRPr="00275290" w:rsidRDefault="00692E71" w:rsidP="008E0250">
            <w:pPr>
              <w:keepNext/>
              <w:keepLines/>
              <w:jc w:val="center"/>
              <w:rPr>
                <w:rFonts w:cs="Arial"/>
              </w:rPr>
            </w:pPr>
            <w:r w:rsidRPr="00275290">
              <w:rPr>
                <w:rFonts w:cs="Arial"/>
              </w:rPr>
              <w:t>O</w:t>
            </w:r>
          </w:p>
        </w:tc>
      </w:tr>
      <w:tr w:rsidR="00692E71" w:rsidRPr="00275290" w14:paraId="7ED5BA23" w14:textId="77777777" w:rsidTr="008E0250">
        <w:tc>
          <w:tcPr>
            <w:tcW w:w="3085" w:type="dxa"/>
            <w:vAlign w:val="center"/>
          </w:tcPr>
          <w:p w14:paraId="1A370A30" w14:textId="77777777" w:rsidR="00692E71" w:rsidRPr="00275290" w:rsidRDefault="00692E71" w:rsidP="008E0250">
            <w:pPr>
              <w:rPr>
                <w:rFonts w:cs="Arial"/>
              </w:rPr>
            </w:pPr>
            <w:r w:rsidRPr="00275290">
              <w:rPr>
                <w:rFonts w:cs="Arial"/>
              </w:rPr>
              <w:lastRenderedPageBreak/>
              <w:t>Concentration in local soil at the end of the day of application due to spray drift (tier 1)</w:t>
            </w:r>
          </w:p>
        </w:tc>
        <w:tc>
          <w:tcPr>
            <w:tcW w:w="1588" w:type="dxa"/>
            <w:vAlign w:val="center"/>
          </w:tcPr>
          <w:p w14:paraId="4C8E8663" w14:textId="77777777" w:rsidR="00692E71" w:rsidRPr="00275290" w:rsidRDefault="00692E71" w:rsidP="008E0250">
            <w:pPr>
              <w:keepNext/>
              <w:keepLines/>
              <w:jc w:val="center"/>
              <w:rPr>
                <w:rFonts w:cs="Arial"/>
              </w:rPr>
            </w:pPr>
            <w:r w:rsidRPr="00275290">
              <w:rPr>
                <w:rFonts w:cs="Arial"/>
              </w:rPr>
              <w:t>Clocal</w:t>
            </w:r>
            <w:r w:rsidRPr="00275290">
              <w:rPr>
                <w:rFonts w:cs="Arial"/>
                <w:vertAlign w:val="subscript"/>
              </w:rPr>
              <w:t>soil,spray_drift_tier 1</w:t>
            </w:r>
          </w:p>
        </w:tc>
        <w:tc>
          <w:tcPr>
            <w:tcW w:w="2410" w:type="dxa"/>
            <w:vAlign w:val="center"/>
          </w:tcPr>
          <w:p w14:paraId="12C67197" w14:textId="77777777" w:rsidR="00692E71" w:rsidRPr="00275290" w:rsidRDefault="00692E71" w:rsidP="008E0250">
            <w:pPr>
              <w:keepNext/>
              <w:keepLines/>
              <w:jc w:val="center"/>
              <w:rPr>
                <w:rFonts w:cs="Arial"/>
              </w:rPr>
            </w:pPr>
            <w:r w:rsidRPr="00275290">
              <w:rPr>
                <w:rFonts w:cs="Arial"/>
              </w:rPr>
              <w:t>5.7*10</w:t>
            </w:r>
            <w:r w:rsidRPr="00275290">
              <w:rPr>
                <w:rFonts w:cs="Arial"/>
                <w:vertAlign w:val="superscript"/>
              </w:rPr>
              <w:t>-2</w:t>
            </w:r>
            <w:r w:rsidRPr="00275290">
              <w:rPr>
                <w:rFonts w:cs="Arial"/>
              </w:rPr>
              <w:t xml:space="preserve"> (IPBC)</w:t>
            </w:r>
          </w:p>
          <w:p w14:paraId="6200575D" w14:textId="77777777" w:rsidR="00692E71" w:rsidRPr="00275290" w:rsidRDefault="00692E71" w:rsidP="008E0250">
            <w:pPr>
              <w:keepNext/>
              <w:keepLines/>
              <w:jc w:val="center"/>
              <w:rPr>
                <w:rFonts w:cs="Arial"/>
              </w:rPr>
            </w:pPr>
            <w:r w:rsidRPr="00275290">
              <w:rPr>
                <w:rFonts w:cs="Arial"/>
              </w:rPr>
              <w:t>0.17 (propiconazole)</w:t>
            </w:r>
          </w:p>
          <w:p w14:paraId="42247CC0" w14:textId="77777777" w:rsidR="00692E71" w:rsidRPr="00275290" w:rsidRDefault="00692E71" w:rsidP="008E0250">
            <w:pPr>
              <w:keepNext/>
              <w:keepLines/>
              <w:jc w:val="center"/>
              <w:rPr>
                <w:rFonts w:cs="Arial"/>
              </w:rPr>
            </w:pPr>
            <w:r w:rsidRPr="00275290">
              <w:rPr>
                <w:rFonts w:cs="Arial"/>
              </w:rPr>
              <w:t>5.7*10</w:t>
            </w:r>
            <w:r w:rsidRPr="00275290">
              <w:rPr>
                <w:rFonts w:cs="Arial"/>
                <w:vertAlign w:val="superscript"/>
              </w:rPr>
              <w:t>-2</w:t>
            </w:r>
            <w:r w:rsidRPr="00275290">
              <w:rPr>
                <w:rFonts w:cs="Arial"/>
              </w:rPr>
              <w:t xml:space="preserve"> (tebuconazole)</w:t>
            </w:r>
          </w:p>
          <w:p w14:paraId="0CD2B628" w14:textId="77777777" w:rsidR="00692E71" w:rsidRPr="00275290" w:rsidRDefault="00692E71" w:rsidP="008E0250">
            <w:pPr>
              <w:keepNext/>
              <w:keepLines/>
              <w:jc w:val="center"/>
              <w:rPr>
                <w:rFonts w:cs="Arial"/>
              </w:rPr>
            </w:pPr>
            <w:r w:rsidRPr="00275290">
              <w:rPr>
                <w:rFonts w:cs="Arial"/>
              </w:rPr>
              <w:t>7.9*10</w:t>
            </w:r>
            <w:r w:rsidRPr="00275290">
              <w:rPr>
                <w:rFonts w:cs="Arial"/>
                <w:vertAlign w:val="superscript"/>
              </w:rPr>
              <w:t>-2</w:t>
            </w:r>
            <w:r w:rsidRPr="00275290">
              <w:rPr>
                <w:rFonts w:cs="Arial"/>
              </w:rPr>
              <w:t xml:space="preserve"> (cypermethrin)</w:t>
            </w:r>
          </w:p>
        </w:tc>
        <w:tc>
          <w:tcPr>
            <w:tcW w:w="1105" w:type="dxa"/>
            <w:vAlign w:val="center"/>
          </w:tcPr>
          <w:p w14:paraId="0AA2DF4C"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rPr>
              <w:t>]</w:t>
            </w:r>
          </w:p>
        </w:tc>
        <w:tc>
          <w:tcPr>
            <w:tcW w:w="1098" w:type="dxa"/>
            <w:vAlign w:val="center"/>
          </w:tcPr>
          <w:p w14:paraId="255D1405" w14:textId="77777777" w:rsidR="00692E71" w:rsidRPr="00275290" w:rsidRDefault="00692E71" w:rsidP="008E0250">
            <w:pPr>
              <w:keepNext/>
              <w:keepLines/>
              <w:jc w:val="center"/>
              <w:rPr>
                <w:rFonts w:cs="Arial"/>
              </w:rPr>
            </w:pPr>
            <w:r w:rsidRPr="00275290">
              <w:rPr>
                <w:rFonts w:cs="Arial"/>
              </w:rPr>
              <w:t>O</w:t>
            </w:r>
          </w:p>
        </w:tc>
      </w:tr>
      <w:tr w:rsidR="00692E71" w:rsidRPr="00275290" w14:paraId="5F6C761B" w14:textId="77777777" w:rsidTr="008E0250">
        <w:tc>
          <w:tcPr>
            <w:tcW w:w="3085" w:type="dxa"/>
            <w:vAlign w:val="center"/>
          </w:tcPr>
          <w:p w14:paraId="6852C500" w14:textId="77777777" w:rsidR="00692E71" w:rsidRPr="00275290" w:rsidRDefault="00692E71" w:rsidP="008E0250">
            <w:pPr>
              <w:rPr>
                <w:rFonts w:cs="Arial"/>
              </w:rPr>
            </w:pPr>
            <w:r w:rsidRPr="00275290">
              <w:rPr>
                <w:rFonts w:cs="Arial"/>
              </w:rPr>
              <w:t>Concentration in local soil at the end of the day of application due to spray drift (tier 2)</w:t>
            </w:r>
          </w:p>
        </w:tc>
        <w:tc>
          <w:tcPr>
            <w:tcW w:w="1588" w:type="dxa"/>
            <w:vAlign w:val="center"/>
          </w:tcPr>
          <w:p w14:paraId="4A5C8D9B" w14:textId="77777777" w:rsidR="00692E71" w:rsidRPr="00275290" w:rsidRDefault="00692E71" w:rsidP="008E0250">
            <w:pPr>
              <w:keepNext/>
              <w:keepLines/>
              <w:jc w:val="center"/>
              <w:rPr>
                <w:rFonts w:cs="Arial"/>
              </w:rPr>
            </w:pPr>
            <w:r w:rsidRPr="00275290">
              <w:rPr>
                <w:rFonts w:cs="Arial"/>
              </w:rPr>
              <w:t>Clocal</w:t>
            </w:r>
            <w:r w:rsidRPr="00275290">
              <w:rPr>
                <w:rFonts w:cs="Arial"/>
                <w:vertAlign w:val="subscript"/>
              </w:rPr>
              <w:t>soil,spray_drift_tier 2</w:t>
            </w:r>
          </w:p>
        </w:tc>
        <w:tc>
          <w:tcPr>
            <w:tcW w:w="2410" w:type="dxa"/>
            <w:vAlign w:val="center"/>
          </w:tcPr>
          <w:p w14:paraId="5BB14FC5" w14:textId="77777777" w:rsidR="00692E71" w:rsidRPr="00275290" w:rsidRDefault="00692E71" w:rsidP="008E0250">
            <w:pPr>
              <w:keepNext/>
              <w:keepLines/>
              <w:jc w:val="center"/>
              <w:rPr>
                <w:rFonts w:cs="Arial"/>
              </w:rPr>
            </w:pPr>
            <w:r w:rsidRPr="00275290">
              <w:rPr>
                <w:rFonts w:cs="Arial"/>
              </w:rPr>
              <w:t>1.6*10</w:t>
            </w:r>
            <w:r w:rsidRPr="00275290">
              <w:rPr>
                <w:rFonts w:cs="Arial"/>
                <w:vertAlign w:val="superscript"/>
              </w:rPr>
              <w:t>-2</w:t>
            </w:r>
            <w:r w:rsidRPr="00275290">
              <w:rPr>
                <w:rFonts w:cs="Arial"/>
              </w:rPr>
              <w:t xml:space="preserve"> (IPBC)</w:t>
            </w:r>
          </w:p>
          <w:p w14:paraId="3C4E17F3" w14:textId="77777777" w:rsidR="00692E71" w:rsidRPr="00275290" w:rsidRDefault="00692E71" w:rsidP="008E0250">
            <w:pPr>
              <w:keepNext/>
              <w:keepLines/>
              <w:jc w:val="center"/>
              <w:rPr>
                <w:rFonts w:cs="Arial"/>
              </w:rPr>
            </w:pPr>
            <w:r w:rsidRPr="00275290">
              <w:rPr>
                <w:rFonts w:cs="Arial"/>
              </w:rPr>
              <w:t>4.9*10</w:t>
            </w:r>
            <w:r w:rsidRPr="00275290">
              <w:rPr>
                <w:rFonts w:cs="Arial"/>
                <w:vertAlign w:val="superscript"/>
              </w:rPr>
              <w:t>-2</w:t>
            </w:r>
            <w:r w:rsidRPr="00275290">
              <w:rPr>
                <w:rFonts w:cs="Arial"/>
              </w:rPr>
              <w:t xml:space="preserve"> (propiconazole)</w:t>
            </w:r>
          </w:p>
          <w:p w14:paraId="1AF9A7E3" w14:textId="77777777" w:rsidR="00692E71" w:rsidRPr="00275290" w:rsidRDefault="00692E71" w:rsidP="008E0250">
            <w:pPr>
              <w:keepNext/>
              <w:keepLines/>
              <w:jc w:val="center"/>
              <w:rPr>
                <w:rFonts w:cs="Arial"/>
              </w:rPr>
            </w:pPr>
            <w:r w:rsidRPr="00275290">
              <w:rPr>
                <w:rFonts w:cs="Arial"/>
              </w:rPr>
              <w:t>1.6*10</w:t>
            </w:r>
            <w:r w:rsidRPr="00275290">
              <w:rPr>
                <w:rFonts w:cs="Arial"/>
                <w:vertAlign w:val="superscript"/>
              </w:rPr>
              <w:t>-2</w:t>
            </w:r>
            <w:r w:rsidRPr="00275290">
              <w:rPr>
                <w:rFonts w:cs="Arial"/>
              </w:rPr>
              <w:t xml:space="preserve"> (tebuconazole)</w:t>
            </w:r>
          </w:p>
          <w:p w14:paraId="76AA6470" w14:textId="77777777" w:rsidR="00692E71" w:rsidRPr="00275290" w:rsidRDefault="00692E71" w:rsidP="008E0250">
            <w:pPr>
              <w:keepNext/>
              <w:keepLines/>
              <w:jc w:val="center"/>
              <w:rPr>
                <w:rFonts w:cs="Arial"/>
              </w:rPr>
            </w:pPr>
            <w:r w:rsidRPr="00275290">
              <w:rPr>
                <w:rFonts w:cs="Arial"/>
              </w:rPr>
              <w:t>2.3*10</w:t>
            </w:r>
            <w:r w:rsidRPr="00275290">
              <w:rPr>
                <w:rFonts w:cs="Arial"/>
                <w:vertAlign w:val="superscript"/>
              </w:rPr>
              <w:t>-2</w:t>
            </w:r>
            <w:r w:rsidRPr="00275290">
              <w:rPr>
                <w:rFonts w:cs="Arial"/>
              </w:rPr>
              <w:t xml:space="preserve"> (cypermethrin)</w:t>
            </w:r>
          </w:p>
        </w:tc>
        <w:tc>
          <w:tcPr>
            <w:tcW w:w="1105" w:type="dxa"/>
            <w:vAlign w:val="center"/>
          </w:tcPr>
          <w:p w14:paraId="01DC06A4"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rPr>
              <w:t>]</w:t>
            </w:r>
          </w:p>
        </w:tc>
        <w:tc>
          <w:tcPr>
            <w:tcW w:w="1098" w:type="dxa"/>
            <w:vAlign w:val="center"/>
          </w:tcPr>
          <w:p w14:paraId="70F76F0F" w14:textId="77777777" w:rsidR="00692E71" w:rsidRPr="00275290" w:rsidRDefault="00692E71" w:rsidP="008E0250">
            <w:pPr>
              <w:keepNext/>
              <w:keepLines/>
              <w:jc w:val="center"/>
              <w:rPr>
                <w:rFonts w:cs="Arial"/>
              </w:rPr>
            </w:pPr>
            <w:r w:rsidRPr="00275290">
              <w:rPr>
                <w:rFonts w:cs="Arial"/>
              </w:rPr>
              <w:t>O</w:t>
            </w:r>
          </w:p>
        </w:tc>
      </w:tr>
      <w:tr w:rsidR="00692E71" w:rsidRPr="00275290" w14:paraId="774E5B17" w14:textId="77777777" w:rsidTr="008E0250">
        <w:tc>
          <w:tcPr>
            <w:tcW w:w="3085" w:type="dxa"/>
            <w:vAlign w:val="center"/>
          </w:tcPr>
          <w:p w14:paraId="5EFBCAB0" w14:textId="77777777" w:rsidR="00692E71" w:rsidRPr="00275290" w:rsidRDefault="00692E71" w:rsidP="008E0250">
            <w:pPr>
              <w:keepNext/>
              <w:keepLines/>
              <w:rPr>
                <w:rFonts w:cs="Arial"/>
              </w:rPr>
            </w:pPr>
            <w:r w:rsidRPr="00275290">
              <w:rPr>
                <w:rFonts w:cs="Arial"/>
              </w:rPr>
              <w:t>Total concentration in local soil at the end of the day of application due to spray drift (tier 1) and run-off</w:t>
            </w:r>
          </w:p>
        </w:tc>
        <w:tc>
          <w:tcPr>
            <w:tcW w:w="1588" w:type="dxa"/>
            <w:vAlign w:val="center"/>
          </w:tcPr>
          <w:p w14:paraId="7C9BBCD1" w14:textId="77777777" w:rsidR="00692E71" w:rsidRPr="00275290" w:rsidRDefault="00692E71" w:rsidP="008E0250">
            <w:pPr>
              <w:keepNext/>
              <w:keepLines/>
              <w:jc w:val="center"/>
              <w:rPr>
                <w:rFonts w:cs="Arial"/>
              </w:rPr>
            </w:pPr>
            <w:r w:rsidRPr="00275290">
              <w:rPr>
                <w:rFonts w:cs="Arial"/>
              </w:rPr>
              <w:t>Clocal</w:t>
            </w:r>
            <w:r w:rsidRPr="00275290">
              <w:rPr>
                <w:rFonts w:cs="Arial"/>
                <w:vertAlign w:val="subscript"/>
              </w:rPr>
              <w:t>soil,total tier 1</w:t>
            </w:r>
          </w:p>
        </w:tc>
        <w:tc>
          <w:tcPr>
            <w:tcW w:w="2410" w:type="dxa"/>
            <w:vAlign w:val="center"/>
          </w:tcPr>
          <w:p w14:paraId="7DA799EE" w14:textId="77777777" w:rsidR="00692E71" w:rsidRPr="00275290" w:rsidRDefault="00692E71" w:rsidP="008E0250">
            <w:pPr>
              <w:keepNext/>
              <w:keepLines/>
              <w:jc w:val="center"/>
              <w:rPr>
                <w:rFonts w:cs="Arial"/>
              </w:rPr>
            </w:pPr>
            <w:r w:rsidRPr="00275290">
              <w:rPr>
                <w:rFonts w:cs="Arial"/>
              </w:rPr>
              <w:t>0.17 (IPBC)</w:t>
            </w:r>
          </w:p>
          <w:p w14:paraId="21C930FB" w14:textId="77777777" w:rsidR="00692E71" w:rsidRPr="00275290" w:rsidRDefault="00692E71" w:rsidP="008E0250">
            <w:pPr>
              <w:keepNext/>
              <w:keepLines/>
              <w:jc w:val="center"/>
              <w:rPr>
                <w:rFonts w:cs="Arial"/>
              </w:rPr>
            </w:pPr>
            <w:r w:rsidRPr="00275290">
              <w:rPr>
                <w:rFonts w:cs="Arial"/>
              </w:rPr>
              <w:t>0.51 (propiconazole)</w:t>
            </w:r>
          </w:p>
          <w:p w14:paraId="3E68C7DA" w14:textId="77777777" w:rsidR="00692E71" w:rsidRPr="00275290" w:rsidRDefault="00692E71" w:rsidP="008E0250">
            <w:pPr>
              <w:keepNext/>
              <w:keepLines/>
              <w:jc w:val="center"/>
              <w:rPr>
                <w:rFonts w:cs="Arial"/>
              </w:rPr>
            </w:pPr>
            <w:r w:rsidRPr="00275290">
              <w:rPr>
                <w:rFonts w:cs="Arial"/>
              </w:rPr>
              <w:t>0.17 (tebuconazole)</w:t>
            </w:r>
          </w:p>
          <w:p w14:paraId="54C7D8A6" w14:textId="77777777" w:rsidR="00692E71" w:rsidRPr="00275290" w:rsidRDefault="00692E71" w:rsidP="008E0250">
            <w:pPr>
              <w:keepNext/>
              <w:keepLines/>
              <w:jc w:val="center"/>
              <w:rPr>
                <w:rFonts w:cs="Arial"/>
              </w:rPr>
            </w:pPr>
            <w:r w:rsidRPr="00275290">
              <w:rPr>
                <w:rFonts w:cs="Arial"/>
              </w:rPr>
              <w:t>0.24 (cypermethrin)</w:t>
            </w:r>
          </w:p>
        </w:tc>
        <w:tc>
          <w:tcPr>
            <w:tcW w:w="1105" w:type="dxa"/>
            <w:vAlign w:val="center"/>
          </w:tcPr>
          <w:p w14:paraId="11CF4C12"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rPr>
              <w:t>]</w:t>
            </w:r>
          </w:p>
        </w:tc>
        <w:tc>
          <w:tcPr>
            <w:tcW w:w="1098" w:type="dxa"/>
            <w:vAlign w:val="center"/>
          </w:tcPr>
          <w:p w14:paraId="58A61A5E" w14:textId="77777777" w:rsidR="00692E71" w:rsidRPr="00275290" w:rsidRDefault="00692E71" w:rsidP="008E0250">
            <w:pPr>
              <w:keepNext/>
              <w:keepLines/>
              <w:jc w:val="center"/>
              <w:rPr>
                <w:rFonts w:cs="Arial"/>
              </w:rPr>
            </w:pPr>
            <w:r w:rsidRPr="00275290">
              <w:rPr>
                <w:rFonts w:cs="Arial"/>
              </w:rPr>
              <w:t>O</w:t>
            </w:r>
          </w:p>
        </w:tc>
      </w:tr>
      <w:tr w:rsidR="00692E71" w:rsidRPr="00275290" w14:paraId="1D688CBE" w14:textId="77777777" w:rsidTr="008E0250">
        <w:tc>
          <w:tcPr>
            <w:tcW w:w="3085" w:type="dxa"/>
            <w:vAlign w:val="center"/>
          </w:tcPr>
          <w:p w14:paraId="1409847C" w14:textId="77777777" w:rsidR="00692E71" w:rsidRPr="00275290" w:rsidRDefault="00692E71" w:rsidP="008E0250">
            <w:pPr>
              <w:keepNext/>
              <w:rPr>
                <w:rFonts w:cs="Arial"/>
              </w:rPr>
            </w:pPr>
            <w:r w:rsidRPr="00275290">
              <w:rPr>
                <w:rFonts w:cs="Arial"/>
              </w:rPr>
              <w:t>Total concentration in local soil at the end of the day of application due to spray drift  (tier 2) and run-off</w:t>
            </w:r>
          </w:p>
        </w:tc>
        <w:tc>
          <w:tcPr>
            <w:tcW w:w="1588" w:type="dxa"/>
            <w:vAlign w:val="center"/>
          </w:tcPr>
          <w:p w14:paraId="4C2C37BA" w14:textId="77777777" w:rsidR="00692E71" w:rsidRPr="00275290" w:rsidRDefault="00692E71" w:rsidP="008E0250">
            <w:pPr>
              <w:keepNext/>
              <w:keepLines/>
              <w:jc w:val="center"/>
              <w:rPr>
                <w:rFonts w:cs="Arial"/>
              </w:rPr>
            </w:pPr>
            <w:r w:rsidRPr="00275290">
              <w:rPr>
                <w:rFonts w:cs="Arial"/>
              </w:rPr>
              <w:t>Clocal</w:t>
            </w:r>
            <w:r w:rsidRPr="00275290">
              <w:rPr>
                <w:rFonts w:cs="Arial"/>
                <w:vertAlign w:val="subscript"/>
              </w:rPr>
              <w:t>soil,total tier 2</w:t>
            </w:r>
          </w:p>
        </w:tc>
        <w:tc>
          <w:tcPr>
            <w:tcW w:w="2410" w:type="dxa"/>
            <w:vAlign w:val="center"/>
          </w:tcPr>
          <w:p w14:paraId="5762BAA1" w14:textId="77777777" w:rsidR="00692E71" w:rsidRPr="00275290" w:rsidRDefault="00692E71" w:rsidP="008E0250">
            <w:pPr>
              <w:keepNext/>
              <w:keepLines/>
              <w:jc w:val="center"/>
              <w:rPr>
                <w:rFonts w:cs="Arial"/>
              </w:rPr>
            </w:pPr>
            <w:r w:rsidRPr="00275290">
              <w:rPr>
                <w:rFonts w:cs="Arial"/>
              </w:rPr>
              <w:t>1.6*10</w:t>
            </w:r>
            <w:r w:rsidRPr="00275290">
              <w:rPr>
                <w:rFonts w:cs="Arial"/>
                <w:vertAlign w:val="superscript"/>
              </w:rPr>
              <w:t>-2</w:t>
            </w:r>
            <w:r w:rsidRPr="00275290">
              <w:rPr>
                <w:rFonts w:cs="Arial"/>
              </w:rPr>
              <w:t xml:space="preserve"> (IPBC)</w:t>
            </w:r>
          </w:p>
          <w:p w14:paraId="019E8716" w14:textId="77777777" w:rsidR="00692E71" w:rsidRPr="00275290" w:rsidRDefault="00692E71" w:rsidP="008E0250">
            <w:pPr>
              <w:keepNext/>
              <w:keepLines/>
              <w:jc w:val="center"/>
              <w:rPr>
                <w:rFonts w:cs="Arial"/>
              </w:rPr>
            </w:pPr>
            <w:r w:rsidRPr="00275290">
              <w:rPr>
                <w:rFonts w:cs="Arial"/>
              </w:rPr>
              <w:t>4.9*10</w:t>
            </w:r>
            <w:r w:rsidRPr="00275290">
              <w:rPr>
                <w:rFonts w:cs="Arial"/>
                <w:vertAlign w:val="superscript"/>
              </w:rPr>
              <w:t>-2</w:t>
            </w:r>
            <w:r w:rsidRPr="00275290">
              <w:rPr>
                <w:rFonts w:cs="Arial"/>
              </w:rPr>
              <w:t xml:space="preserve"> (propiconazole)</w:t>
            </w:r>
          </w:p>
          <w:p w14:paraId="39B10D3E" w14:textId="77777777" w:rsidR="00692E71" w:rsidRPr="00275290" w:rsidRDefault="00692E71" w:rsidP="008E0250">
            <w:pPr>
              <w:keepNext/>
              <w:keepLines/>
              <w:jc w:val="center"/>
              <w:rPr>
                <w:rFonts w:cs="Arial"/>
              </w:rPr>
            </w:pPr>
            <w:r w:rsidRPr="00275290">
              <w:rPr>
                <w:rFonts w:cs="Arial"/>
              </w:rPr>
              <w:t>1.6*10</w:t>
            </w:r>
            <w:r w:rsidRPr="00275290">
              <w:rPr>
                <w:rFonts w:cs="Arial"/>
                <w:vertAlign w:val="superscript"/>
              </w:rPr>
              <w:t>-2</w:t>
            </w:r>
            <w:r w:rsidRPr="00275290">
              <w:rPr>
                <w:rFonts w:cs="Arial"/>
              </w:rPr>
              <w:t xml:space="preserve"> (tebuconazole)</w:t>
            </w:r>
          </w:p>
          <w:p w14:paraId="5855CA7B" w14:textId="77777777" w:rsidR="00692E71" w:rsidRPr="00275290" w:rsidRDefault="00692E71" w:rsidP="008E0250">
            <w:pPr>
              <w:keepNext/>
              <w:keepLines/>
              <w:jc w:val="center"/>
              <w:rPr>
                <w:rFonts w:cs="Arial"/>
              </w:rPr>
            </w:pPr>
            <w:r w:rsidRPr="00275290">
              <w:rPr>
                <w:rFonts w:cs="Arial"/>
              </w:rPr>
              <w:t>2.3*10</w:t>
            </w:r>
            <w:r w:rsidRPr="00275290">
              <w:rPr>
                <w:rFonts w:cs="Arial"/>
                <w:vertAlign w:val="superscript"/>
              </w:rPr>
              <w:t>-2</w:t>
            </w:r>
            <w:r w:rsidRPr="00275290">
              <w:rPr>
                <w:rFonts w:cs="Arial"/>
              </w:rPr>
              <w:t xml:space="preserve"> (cypermethrin)</w:t>
            </w:r>
          </w:p>
        </w:tc>
        <w:tc>
          <w:tcPr>
            <w:tcW w:w="1105" w:type="dxa"/>
            <w:vAlign w:val="center"/>
          </w:tcPr>
          <w:p w14:paraId="6E45B682"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rPr>
              <w:t>]</w:t>
            </w:r>
          </w:p>
        </w:tc>
        <w:tc>
          <w:tcPr>
            <w:tcW w:w="1098" w:type="dxa"/>
            <w:vAlign w:val="center"/>
          </w:tcPr>
          <w:p w14:paraId="037793AA" w14:textId="77777777" w:rsidR="00692E71" w:rsidRPr="00275290" w:rsidRDefault="00692E71" w:rsidP="008E0250">
            <w:pPr>
              <w:keepNext/>
              <w:keepLines/>
              <w:jc w:val="center"/>
              <w:rPr>
                <w:rFonts w:cs="Arial"/>
              </w:rPr>
            </w:pPr>
            <w:r w:rsidRPr="00275290">
              <w:rPr>
                <w:rFonts w:cs="Arial"/>
              </w:rPr>
              <w:t>O</w:t>
            </w:r>
          </w:p>
        </w:tc>
      </w:tr>
    </w:tbl>
    <w:p w14:paraId="4EEC2067" w14:textId="77777777" w:rsidR="00692E71" w:rsidRPr="00275290" w:rsidRDefault="00692E71" w:rsidP="00692E71">
      <w:pPr>
        <w:keepNext/>
        <w:keepLines/>
        <w:rPr>
          <w:rFonts w:cs="Arial"/>
          <w:sz w:val="18"/>
          <w:szCs w:val="18"/>
        </w:rPr>
      </w:pPr>
      <w:r w:rsidRPr="00275290">
        <w:rPr>
          <w:rFonts w:cs="Arial"/>
          <w:sz w:val="18"/>
          <w:szCs w:val="18"/>
        </w:rPr>
        <w:t>D = default, A = based on information of applicant, O = output</w:t>
      </w:r>
    </w:p>
    <w:p w14:paraId="53A3DEEA" w14:textId="77777777" w:rsidR="00692E71" w:rsidRPr="00275290" w:rsidRDefault="00692E71" w:rsidP="00692E71">
      <w:pPr>
        <w:rPr>
          <w:rFonts w:cs="Arial"/>
        </w:rPr>
      </w:pPr>
    </w:p>
    <w:p w14:paraId="50ABAC7F" w14:textId="77777777" w:rsidR="00692E71" w:rsidRPr="00275290" w:rsidRDefault="00692E71" w:rsidP="00692E71">
      <w:pPr>
        <w:rPr>
          <w:rFonts w:cs="Arial"/>
        </w:rPr>
      </w:pPr>
      <w:r w:rsidRPr="00275290">
        <w:rPr>
          <w:rFonts w:cs="Arial"/>
          <w:u w:val="single"/>
        </w:rPr>
        <w:t>Calculations (IPBC used as an example)</w:t>
      </w:r>
      <w:r w:rsidRPr="00275290">
        <w:rPr>
          <w:rFonts w:cs="Arial"/>
        </w:rPr>
        <w:t>:</w:t>
      </w:r>
    </w:p>
    <w:p w14:paraId="650556C8" w14:textId="77777777" w:rsidR="00692E71" w:rsidRPr="00275290" w:rsidRDefault="00692E71" w:rsidP="00692E71">
      <w:pPr>
        <w:rPr>
          <w:rFonts w:cs="Arial"/>
        </w:rPr>
      </w:pPr>
    </w:p>
    <w:p w14:paraId="18DF1DE9" w14:textId="77777777" w:rsidR="00692E71" w:rsidRPr="00275290" w:rsidRDefault="00692E71" w:rsidP="00692E71">
      <w:pPr>
        <w:rPr>
          <w:rFonts w:cs="Arial"/>
          <w:vertAlign w:val="superscript"/>
        </w:rPr>
      </w:pPr>
      <w:r w:rsidRPr="00275290">
        <w:rPr>
          <w:rFonts w:cs="Arial"/>
        </w:rPr>
        <w:t>E</w:t>
      </w:r>
      <w:r w:rsidRPr="00275290">
        <w:rPr>
          <w:rFonts w:cs="Arial"/>
          <w:vertAlign w:val="subscript"/>
        </w:rPr>
        <w:t>soil</w:t>
      </w:r>
      <w:proofErr w:type="gramStart"/>
      <w:r w:rsidRPr="00275290">
        <w:rPr>
          <w:rFonts w:cs="Arial"/>
          <w:vertAlign w:val="subscript"/>
        </w:rPr>
        <w:t>,runoff</w:t>
      </w:r>
      <w:proofErr w:type="gramEnd"/>
      <w:r w:rsidRPr="00275290">
        <w:rPr>
          <w:rFonts w:cs="Arial"/>
          <w:vertAlign w:val="subscript"/>
        </w:rPr>
        <w:t xml:space="preserve"> tier 1 </w:t>
      </w:r>
      <w:r w:rsidRPr="00275290">
        <w:rPr>
          <w:rFonts w:cs="Arial"/>
        </w:rPr>
        <w:t>= AREA</w:t>
      </w:r>
      <w:r w:rsidRPr="00275290">
        <w:rPr>
          <w:rFonts w:cs="Arial"/>
          <w:vertAlign w:val="subscript"/>
        </w:rPr>
        <w:t>house</w:t>
      </w:r>
      <w:r w:rsidRPr="00275290">
        <w:rPr>
          <w:rFonts w:cs="Arial"/>
        </w:rPr>
        <w:t xml:space="preserve"> * Q</w:t>
      </w:r>
      <w:r w:rsidRPr="00275290">
        <w:rPr>
          <w:rFonts w:cs="Arial"/>
          <w:vertAlign w:val="subscript"/>
        </w:rPr>
        <w:t xml:space="preserve">applic,product </w:t>
      </w:r>
      <w:r w:rsidRPr="00275290">
        <w:rPr>
          <w:rFonts w:cs="Arial"/>
        </w:rPr>
        <w:t>* f</w:t>
      </w:r>
      <w:r w:rsidRPr="00275290">
        <w:rPr>
          <w:rFonts w:cs="Arial"/>
          <w:vertAlign w:val="subscript"/>
        </w:rPr>
        <w:t>a.i</w:t>
      </w:r>
      <w:r w:rsidRPr="00275290">
        <w:rPr>
          <w:rFonts w:cs="Arial"/>
        </w:rPr>
        <w:t>. * F</w:t>
      </w:r>
      <w:r w:rsidRPr="00275290">
        <w:rPr>
          <w:rFonts w:cs="Arial"/>
          <w:vertAlign w:val="subscript"/>
        </w:rPr>
        <w:t>runoff</w:t>
      </w:r>
      <w:r w:rsidRPr="00275290">
        <w:rPr>
          <w:rFonts w:cs="Arial"/>
        </w:rPr>
        <w:t xml:space="preserve"> </w:t>
      </w:r>
    </w:p>
    <w:p w14:paraId="428B32A9" w14:textId="77777777" w:rsidR="00692E71" w:rsidRPr="00275290" w:rsidRDefault="00692E71" w:rsidP="00692E71">
      <w:pPr>
        <w:rPr>
          <w:rFonts w:cs="Arial"/>
        </w:rPr>
      </w:pPr>
      <w:r w:rsidRPr="00275290">
        <w:rPr>
          <w:rFonts w:cs="Arial"/>
        </w:rPr>
        <w:t>E</w:t>
      </w:r>
      <w:r w:rsidRPr="00275290">
        <w:rPr>
          <w:rFonts w:cs="Arial"/>
          <w:vertAlign w:val="subscript"/>
        </w:rPr>
        <w:t>soil</w:t>
      </w:r>
      <w:proofErr w:type="gramStart"/>
      <w:r w:rsidRPr="00275290">
        <w:rPr>
          <w:rFonts w:cs="Arial"/>
          <w:vertAlign w:val="subscript"/>
        </w:rPr>
        <w:t>,runoff</w:t>
      </w:r>
      <w:proofErr w:type="gramEnd"/>
      <w:r w:rsidRPr="00275290">
        <w:rPr>
          <w:rFonts w:cs="Arial"/>
          <w:vertAlign w:val="subscript"/>
        </w:rPr>
        <w:t xml:space="preserve"> tier 1 </w:t>
      </w:r>
      <w:r w:rsidRPr="00275290">
        <w:rPr>
          <w:rFonts w:cs="Arial"/>
        </w:rPr>
        <w:t xml:space="preserve">= 125 * 0.200 * 0.05/100 * 0.2 </w:t>
      </w:r>
    </w:p>
    <w:p w14:paraId="71234E04" w14:textId="77777777" w:rsidR="00692E71" w:rsidRPr="00275290" w:rsidRDefault="00692E71" w:rsidP="00692E71">
      <w:pPr>
        <w:rPr>
          <w:rFonts w:cs="Arial"/>
        </w:rPr>
      </w:pPr>
      <w:r w:rsidRPr="00275290">
        <w:rPr>
          <w:rFonts w:cs="Arial"/>
        </w:rPr>
        <w:t>E</w:t>
      </w:r>
      <w:r w:rsidRPr="00275290">
        <w:rPr>
          <w:rFonts w:cs="Arial"/>
          <w:vertAlign w:val="subscript"/>
        </w:rPr>
        <w:t>soil</w:t>
      </w:r>
      <w:proofErr w:type="gramStart"/>
      <w:r w:rsidRPr="00275290">
        <w:rPr>
          <w:rFonts w:cs="Arial"/>
          <w:vertAlign w:val="subscript"/>
        </w:rPr>
        <w:t>,runoff</w:t>
      </w:r>
      <w:proofErr w:type="gramEnd"/>
      <w:r w:rsidRPr="00275290">
        <w:rPr>
          <w:rFonts w:cs="Arial"/>
          <w:vertAlign w:val="subscript"/>
        </w:rPr>
        <w:t xml:space="preserve"> tier 1 </w:t>
      </w:r>
      <w:r w:rsidRPr="00275290">
        <w:rPr>
          <w:rFonts w:cs="Arial"/>
        </w:rPr>
        <w:t>= 2.5*10</w:t>
      </w:r>
      <w:r w:rsidRPr="00275290">
        <w:rPr>
          <w:rFonts w:cs="Arial"/>
          <w:vertAlign w:val="superscript"/>
        </w:rPr>
        <w:t>-3</w:t>
      </w:r>
      <w:r w:rsidRPr="00275290">
        <w:rPr>
          <w:rFonts w:cs="Arial"/>
        </w:rPr>
        <w:t xml:space="preserve"> kg/d</w:t>
      </w:r>
    </w:p>
    <w:p w14:paraId="7274DA60" w14:textId="77777777" w:rsidR="00692E71" w:rsidRPr="00275290" w:rsidRDefault="00692E71" w:rsidP="00692E71">
      <w:pPr>
        <w:rPr>
          <w:rFonts w:cs="Arial"/>
        </w:rPr>
      </w:pPr>
    </w:p>
    <w:p w14:paraId="07EA7683" w14:textId="77777777" w:rsidR="00692E71" w:rsidRPr="00275290" w:rsidRDefault="00692E71" w:rsidP="00692E71">
      <w:pPr>
        <w:rPr>
          <w:rFonts w:cs="Arial"/>
          <w:vertAlign w:val="superscript"/>
        </w:rPr>
      </w:pPr>
      <w:r w:rsidRPr="00275290">
        <w:rPr>
          <w:rFonts w:cs="Arial"/>
        </w:rPr>
        <w:t>E</w:t>
      </w:r>
      <w:r w:rsidRPr="00275290">
        <w:rPr>
          <w:rFonts w:cs="Arial"/>
          <w:vertAlign w:val="subscript"/>
        </w:rPr>
        <w:t>soil</w:t>
      </w:r>
      <w:proofErr w:type="gramStart"/>
      <w:r w:rsidRPr="00275290">
        <w:rPr>
          <w:rFonts w:cs="Arial"/>
          <w:vertAlign w:val="subscript"/>
        </w:rPr>
        <w:t>,spray</w:t>
      </w:r>
      <w:proofErr w:type="gramEnd"/>
      <w:r w:rsidRPr="00275290">
        <w:rPr>
          <w:rFonts w:cs="Arial"/>
          <w:vertAlign w:val="subscript"/>
        </w:rPr>
        <w:t>_drift_tier1</w:t>
      </w:r>
      <w:r w:rsidRPr="00275290">
        <w:rPr>
          <w:rFonts w:cs="Arial"/>
        </w:rPr>
        <w:t xml:space="preserve"> = AREA</w:t>
      </w:r>
      <w:r w:rsidRPr="00275290">
        <w:rPr>
          <w:rFonts w:cs="Arial"/>
          <w:vertAlign w:val="subscript"/>
        </w:rPr>
        <w:t>house</w:t>
      </w:r>
      <w:r w:rsidRPr="00275290">
        <w:rPr>
          <w:rFonts w:cs="Arial"/>
        </w:rPr>
        <w:t xml:space="preserve"> * Q</w:t>
      </w:r>
      <w:r w:rsidRPr="00275290">
        <w:rPr>
          <w:rFonts w:cs="Arial"/>
          <w:vertAlign w:val="subscript"/>
        </w:rPr>
        <w:t xml:space="preserve">applic,product </w:t>
      </w:r>
      <w:r w:rsidRPr="00275290">
        <w:rPr>
          <w:rFonts w:cs="Arial"/>
        </w:rPr>
        <w:t>* f</w:t>
      </w:r>
      <w:r w:rsidRPr="00275290">
        <w:rPr>
          <w:rFonts w:cs="Arial"/>
          <w:vertAlign w:val="subscript"/>
        </w:rPr>
        <w:t>a.i</w:t>
      </w:r>
      <w:r w:rsidRPr="00275290">
        <w:rPr>
          <w:rFonts w:cs="Arial"/>
        </w:rPr>
        <w:t>. * F</w:t>
      </w:r>
      <w:r w:rsidRPr="00275290">
        <w:rPr>
          <w:rFonts w:cs="Arial"/>
          <w:vertAlign w:val="subscript"/>
        </w:rPr>
        <w:t xml:space="preserve">drift </w:t>
      </w:r>
    </w:p>
    <w:p w14:paraId="48D126C7" w14:textId="77777777" w:rsidR="00692E71" w:rsidRPr="00275290" w:rsidRDefault="00692E71" w:rsidP="00692E71">
      <w:pPr>
        <w:rPr>
          <w:rFonts w:cs="Arial"/>
        </w:rPr>
      </w:pPr>
      <w:r w:rsidRPr="00275290">
        <w:rPr>
          <w:rFonts w:cs="Arial"/>
        </w:rPr>
        <w:t>E</w:t>
      </w:r>
      <w:r w:rsidRPr="00275290">
        <w:rPr>
          <w:rFonts w:cs="Arial"/>
          <w:vertAlign w:val="subscript"/>
        </w:rPr>
        <w:t>soil</w:t>
      </w:r>
      <w:proofErr w:type="gramStart"/>
      <w:r w:rsidRPr="00275290">
        <w:rPr>
          <w:rFonts w:cs="Arial"/>
          <w:vertAlign w:val="subscript"/>
        </w:rPr>
        <w:t>,spray</w:t>
      </w:r>
      <w:proofErr w:type="gramEnd"/>
      <w:r w:rsidRPr="00275290">
        <w:rPr>
          <w:rFonts w:cs="Arial"/>
          <w:vertAlign w:val="subscript"/>
        </w:rPr>
        <w:t>_drift_tier1</w:t>
      </w:r>
      <w:r w:rsidRPr="00275290">
        <w:rPr>
          <w:rFonts w:cs="Arial"/>
        </w:rPr>
        <w:t xml:space="preserve"> = 125 * 0.200 * 0.05/100 * 0.1</w:t>
      </w:r>
    </w:p>
    <w:p w14:paraId="1AC97A0F" w14:textId="77777777" w:rsidR="00692E71" w:rsidRPr="00275290" w:rsidRDefault="00692E71" w:rsidP="00692E71">
      <w:pPr>
        <w:rPr>
          <w:rFonts w:cs="Arial"/>
        </w:rPr>
      </w:pPr>
      <w:r w:rsidRPr="00275290">
        <w:rPr>
          <w:rFonts w:cs="Arial"/>
        </w:rPr>
        <w:t>E</w:t>
      </w:r>
      <w:r w:rsidRPr="00275290">
        <w:rPr>
          <w:rFonts w:cs="Arial"/>
          <w:vertAlign w:val="subscript"/>
        </w:rPr>
        <w:t>soil</w:t>
      </w:r>
      <w:proofErr w:type="gramStart"/>
      <w:r w:rsidRPr="00275290">
        <w:rPr>
          <w:rFonts w:cs="Arial"/>
          <w:vertAlign w:val="subscript"/>
        </w:rPr>
        <w:t>,spray</w:t>
      </w:r>
      <w:proofErr w:type="gramEnd"/>
      <w:r w:rsidRPr="00275290">
        <w:rPr>
          <w:rFonts w:cs="Arial"/>
          <w:vertAlign w:val="subscript"/>
        </w:rPr>
        <w:t>_drift_tier1</w:t>
      </w:r>
      <w:r w:rsidRPr="00275290">
        <w:rPr>
          <w:rFonts w:cs="Arial"/>
        </w:rPr>
        <w:t xml:space="preserve"> = 1.3*10</w:t>
      </w:r>
      <w:r w:rsidRPr="00275290">
        <w:rPr>
          <w:rFonts w:cs="Arial"/>
          <w:vertAlign w:val="superscript"/>
        </w:rPr>
        <w:t>-3</w:t>
      </w:r>
      <w:r w:rsidRPr="00275290">
        <w:rPr>
          <w:rFonts w:cs="Arial"/>
        </w:rPr>
        <w:t xml:space="preserve"> kg/d</w:t>
      </w:r>
    </w:p>
    <w:p w14:paraId="3E5C5C27" w14:textId="77777777" w:rsidR="00692E71" w:rsidRPr="00275290" w:rsidRDefault="00692E71" w:rsidP="00692E71">
      <w:pPr>
        <w:rPr>
          <w:rFonts w:cs="Arial"/>
        </w:rPr>
      </w:pPr>
    </w:p>
    <w:p w14:paraId="784821AD" w14:textId="77777777" w:rsidR="00692E71" w:rsidRPr="00275290" w:rsidRDefault="00692E71" w:rsidP="00692E71">
      <w:pPr>
        <w:rPr>
          <w:rFonts w:cs="Arial"/>
        </w:rPr>
      </w:pPr>
      <w:r w:rsidRPr="00275290">
        <w:rPr>
          <w:rFonts w:cs="Arial"/>
        </w:rPr>
        <w:t>E</w:t>
      </w:r>
      <w:r w:rsidRPr="00275290">
        <w:rPr>
          <w:rFonts w:cs="Arial"/>
          <w:vertAlign w:val="subscript"/>
        </w:rPr>
        <w:t>soil</w:t>
      </w:r>
      <w:proofErr w:type="gramStart"/>
      <w:r w:rsidRPr="00275290">
        <w:rPr>
          <w:rFonts w:cs="Arial"/>
          <w:vertAlign w:val="subscript"/>
        </w:rPr>
        <w:t>,spray</w:t>
      </w:r>
      <w:proofErr w:type="gramEnd"/>
      <w:r w:rsidRPr="00275290">
        <w:rPr>
          <w:rFonts w:cs="Arial"/>
          <w:vertAlign w:val="subscript"/>
        </w:rPr>
        <w:t>_drift_tier2</w:t>
      </w:r>
      <w:r w:rsidRPr="00275290">
        <w:rPr>
          <w:rFonts w:cs="Arial"/>
        </w:rPr>
        <w:t xml:space="preserve"> = AREA</w:t>
      </w:r>
      <w:r w:rsidRPr="00275290">
        <w:rPr>
          <w:rFonts w:cs="Arial"/>
          <w:vertAlign w:val="subscript"/>
        </w:rPr>
        <w:t>house</w:t>
      </w:r>
      <w:r w:rsidRPr="00275290">
        <w:rPr>
          <w:rFonts w:cs="Arial"/>
        </w:rPr>
        <w:t xml:space="preserve"> * Q</w:t>
      </w:r>
      <w:r w:rsidRPr="00275290">
        <w:rPr>
          <w:rFonts w:cs="Arial"/>
          <w:vertAlign w:val="subscript"/>
        </w:rPr>
        <w:t xml:space="preserve">applic,product </w:t>
      </w:r>
      <w:r w:rsidRPr="00275290">
        <w:rPr>
          <w:rFonts w:cs="Arial"/>
        </w:rPr>
        <w:t>* f</w:t>
      </w:r>
      <w:r w:rsidRPr="00275290">
        <w:rPr>
          <w:rFonts w:cs="Arial"/>
          <w:vertAlign w:val="subscript"/>
        </w:rPr>
        <w:t>a.i</w:t>
      </w:r>
      <w:r w:rsidRPr="00275290">
        <w:rPr>
          <w:rFonts w:cs="Arial"/>
        </w:rPr>
        <w:t>. * F</w:t>
      </w:r>
      <w:r w:rsidRPr="00275290">
        <w:rPr>
          <w:rFonts w:cs="Arial"/>
          <w:vertAlign w:val="subscript"/>
        </w:rPr>
        <w:t xml:space="preserve">drift </w:t>
      </w:r>
      <w:r w:rsidRPr="00275290">
        <w:rPr>
          <w:rFonts w:cs="Arial"/>
        </w:rPr>
        <w:t>* F</w:t>
      </w:r>
      <w:r w:rsidRPr="00275290">
        <w:rPr>
          <w:rFonts w:cs="Arial"/>
          <w:vertAlign w:val="subscript"/>
        </w:rPr>
        <w:t>dep</w:t>
      </w:r>
    </w:p>
    <w:p w14:paraId="0240DE11" w14:textId="77777777" w:rsidR="00692E71" w:rsidRPr="00275290" w:rsidRDefault="00692E71" w:rsidP="00692E71">
      <w:pPr>
        <w:rPr>
          <w:rFonts w:cs="Arial"/>
        </w:rPr>
      </w:pPr>
      <w:r w:rsidRPr="00275290">
        <w:rPr>
          <w:rFonts w:cs="Arial"/>
        </w:rPr>
        <w:t>E</w:t>
      </w:r>
      <w:r w:rsidRPr="00275290">
        <w:rPr>
          <w:rFonts w:cs="Arial"/>
          <w:vertAlign w:val="subscript"/>
        </w:rPr>
        <w:t>soil</w:t>
      </w:r>
      <w:proofErr w:type="gramStart"/>
      <w:r w:rsidRPr="00275290">
        <w:rPr>
          <w:rFonts w:cs="Arial"/>
          <w:vertAlign w:val="subscript"/>
        </w:rPr>
        <w:t>,spray</w:t>
      </w:r>
      <w:proofErr w:type="gramEnd"/>
      <w:r w:rsidRPr="00275290">
        <w:rPr>
          <w:rFonts w:cs="Arial"/>
          <w:vertAlign w:val="subscript"/>
        </w:rPr>
        <w:t>_drift_tier2</w:t>
      </w:r>
      <w:r w:rsidRPr="00275290">
        <w:rPr>
          <w:rFonts w:cs="Arial"/>
        </w:rPr>
        <w:t xml:space="preserve"> = 125 * 0.200 * 0.05/100 * 0.1 * 0.33</w:t>
      </w:r>
    </w:p>
    <w:p w14:paraId="0D93DB2A" w14:textId="77777777" w:rsidR="00692E71" w:rsidRPr="00275290" w:rsidRDefault="00692E71" w:rsidP="00692E71">
      <w:pPr>
        <w:rPr>
          <w:rFonts w:cs="Arial"/>
        </w:rPr>
      </w:pPr>
      <w:r w:rsidRPr="00275290">
        <w:rPr>
          <w:rFonts w:cs="Arial"/>
        </w:rPr>
        <w:t>E</w:t>
      </w:r>
      <w:r w:rsidRPr="00275290">
        <w:rPr>
          <w:rFonts w:cs="Arial"/>
          <w:vertAlign w:val="subscript"/>
        </w:rPr>
        <w:t>soil</w:t>
      </w:r>
      <w:proofErr w:type="gramStart"/>
      <w:r w:rsidRPr="00275290">
        <w:rPr>
          <w:rFonts w:cs="Arial"/>
          <w:vertAlign w:val="subscript"/>
        </w:rPr>
        <w:t>,spray</w:t>
      </w:r>
      <w:proofErr w:type="gramEnd"/>
      <w:r w:rsidRPr="00275290">
        <w:rPr>
          <w:rFonts w:cs="Arial"/>
          <w:vertAlign w:val="subscript"/>
        </w:rPr>
        <w:t>_drift_tier2</w:t>
      </w:r>
      <w:r w:rsidRPr="00275290">
        <w:rPr>
          <w:rFonts w:cs="Arial"/>
        </w:rPr>
        <w:t xml:space="preserve"> = 3.6*10</w:t>
      </w:r>
      <w:r w:rsidRPr="00275290">
        <w:rPr>
          <w:rFonts w:cs="Arial"/>
          <w:vertAlign w:val="superscript"/>
        </w:rPr>
        <w:t>-4</w:t>
      </w:r>
      <w:r w:rsidRPr="00275290">
        <w:rPr>
          <w:rFonts w:cs="Arial"/>
        </w:rPr>
        <w:t xml:space="preserve"> kg/d</w:t>
      </w:r>
    </w:p>
    <w:p w14:paraId="7C4B9B72" w14:textId="77777777" w:rsidR="00692E71" w:rsidRPr="00275290" w:rsidRDefault="00692E71" w:rsidP="00692E71">
      <w:pPr>
        <w:rPr>
          <w:rFonts w:cs="Arial"/>
        </w:rPr>
      </w:pPr>
    </w:p>
    <w:p w14:paraId="7B97564D"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,runoff</w:t>
      </w:r>
      <w:proofErr w:type="gramEnd"/>
      <w:r w:rsidRPr="00275290">
        <w:rPr>
          <w:rFonts w:cs="Arial"/>
          <w:vertAlign w:val="subscript"/>
        </w:rPr>
        <w:t xml:space="preserve"> tier 1 </w:t>
      </w:r>
      <w:r w:rsidRPr="00275290">
        <w:rPr>
          <w:rFonts w:cs="Arial"/>
        </w:rPr>
        <w:t>= E</w:t>
      </w:r>
      <w:r w:rsidRPr="00275290">
        <w:rPr>
          <w:rFonts w:cs="Arial"/>
          <w:vertAlign w:val="subscript"/>
        </w:rPr>
        <w:t xml:space="preserve">soil,runoff </w:t>
      </w:r>
      <w:r w:rsidRPr="00275290">
        <w:rPr>
          <w:rFonts w:cs="Arial"/>
        </w:rPr>
        <w:t>/ (</w:t>
      </w:r>
      <w:r w:rsidRPr="00275290">
        <w:rPr>
          <w:rFonts w:cs="Arial"/>
          <w:iCs/>
        </w:rPr>
        <w:t>V</w:t>
      </w:r>
      <w:r w:rsidRPr="00275290">
        <w:rPr>
          <w:rFonts w:cs="Arial"/>
          <w:iCs/>
          <w:vertAlign w:val="subscript"/>
        </w:rPr>
        <w:t>soil,runoff , drift- tier1</w:t>
      </w:r>
      <w:r w:rsidRPr="00275290">
        <w:rPr>
          <w:rFonts w:cs="Arial"/>
          <w:vertAlign w:val="subscript"/>
        </w:rPr>
        <w:t xml:space="preserve">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77D6CBC5"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,runoff</w:t>
      </w:r>
      <w:proofErr w:type="gramEnd"/>
      <w:r w:rsidRPr="00275290">
        <w:rPr>
          <w:rFonts w:cs="Arial"/>
          <w:vertAlign w:val="subscript"/>
        </w:rPr>
        <w:t xml:space="preserve"> tier 1 </w:t>
      </w:r>
      <w:r w:rsidRPr="00275290">
        <w:rPr>
          <w:rFonts w:cs="Arial"/>
        </w:rPr>
        <w:t>= 0.0025 / (13 * 1700)</w:t>
      </w:r>
    </w:p>
    <w:p w14:paraId="065431E4"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,runoff</w:t>
      </w:r>
      <w:proofErr w:type="gramEnd"/>
      <w:r w:rsidRPr="00275290">
        <w:rPr>
          <w:rFonts w:cs="Arial"/>
          <w:vertAlign w:val="subscript"/>
        </w:rPr>
        <w:t xml:space="preserve"> tier 1 </w:t>
      </w:r>
      <w:r w:rsidRPr="00275290">
        <w:rPr>
          <w:rFonts w:cs="Arial"/>
        </w:rPr>
        <w:t>= 1.13*10</w:t>
      </w:r>
      <w:r w:rsidRPr="00275290">
        <w:rPr>
          <w:rFonts w:cs="Arial"/>
          <w:vertAlign w:val="superscript"/>
        </w:rPr>
        <w:t>-7</w:t>
      </w:r>
      <w:r w:rsidRPr="00275290">
        <w:rPr>
          <w:rFonts w:cs="Arial"/>
        </w:rPr>
        <w:t xml:space="preserve"> kg/kg</w:t>
      </w:r>
      <w:r w:rsidRPr="00275290">
        <w:rPr>
          <w:rFonts w:cs="Arial"/>
          <w:vertAlign w:val="subscript"/>
        </w:rPr>
        <w:t xml:space="preserve">wwt </w:t>
      </w:r>
      <w:r w:rsidRPr="00275290">
        <w:rPr>
          <w:rFonts w:cs="Arial"/>
        </w:rPr>
        <w:t>= 0.11</w:t>
      </w:r>
      <w:r w:rsidRPr="00275290">
        <w:rPr>
          <w:rFonts w:cs="Arial"/>
          <w:vertAlign w:val="subscript"/>
        </w:rPr>
        <w:t xml:space="preserve"> </w:t>
      </w:r>
      <w:r w:rsidRPr="00275290">
        <w:rPr>
          <w:rFonts w:cs="Arial"/>
        </w:rPr>
        <w:t>mg/kg</w:t>
      </w:r>
      <w:r w:rsidRPr="00275290">
        <w:rPr>
          <w:rFonts w:cs="Arial"/>
          <w:vertAlign w:val="subscript"/>
        </w:rPr>
        <w:t>wwt</w:t>
      </w:r>
    </w:p>
    <w:p w14:paraId="670AABE7" w14:textId="77777777" w:rsidR="00692E71" w:rsidRPr="00275290" w:rsidRDefault="00692E71" w:rsidP="00692E71">
      <w:pPr>
        <w:rPr>
          <w:rFonts w:cs="Arial"/>
        </w:rPr>
      </w:pPr>
    </w:p>
    <w:p w14:paraId="1F719FFA" w14:textId="77777777" w:rsidR="00692E71" w:rsidRPr="00275290" w:rsidRDefault="00692E71" w:rsidP="00692E71">
      <w:pPr>
        <w:rPr>
          <w:rFonts w:cs="Arial"/>
        </w:rPr>
      </w:pPr>
      <w:r w:rsidRPr="00275290">
        <w:rPr>
          <w:rFonts w:cs="Arial"/>
          <w:iCs/>
        </w:rPr>
        <w:t>Clocalsoil</w:t>
      </w:r>
      <w:proofErr w:type="gramStart"/>
      <w:r w:rsidRPr="00275290">
        <w:rPr>
          <w:rFonts w:cs="Arial"/>
          <w:iCs/>
        </w:rPr>
        <w:t>,spray</w:t>
      </w:r>
      <w:proofErr w:type="gramEnd"/>
      <w:r w:rsidRPr="00275290">
        <w:rPr>
          <w:rFonts w:cs="Arial"/>
          <w:iCs/>
        </w:rPr>
        <w:t>_drift_tier 1</w:t>
      </w:r>
      <w:r w:rsidRPr="00275290">
        <w:rPr>
          <w:rFonts w:cs="Arial"/>
        </w:rPr>
        <w:t xml:space="preserve"> = E</w:t>
      </w:r>
      <w:r w:rsidRPr="00275290">
        <w:rPr>
          <w:rFonts w:cs="Arial"/>
          <w:vertAlign w:val="subscript"/>
        </w:rPr>
        <w:t>soil,spray_drift_tier1</w:t>
      </w:r>
      <w:r w:rsidRPr="00275290">
        <w:rPr>
          <w:rFonts w:cs="Arial"/>
        </w:rPr>
        <w:t xml:space="preserve"> / (</w:t>
      </w:r>
      <w:r w:rsidRPr="00275290">
        <w:rPr>
          <w:rFonts w:cs="Arial"/>
          <w:iCs/>
        </w:rPr>
        <w:t>V</w:t>
      </w:r>
      <w:r w:rsidRPr="00275290">
        <w:rPr>
          <w:rFonts w:cs="Arial"/>
          <w:iCs/>
          <w:vertAlign w:val="subscript"/>
        </w:rPr>
        <w:t>soil,runoff , drift- tier1</w:t>
      </w:r>
      <w:r w:rsidRPr="00275290">
        <w:rPr>
          <w:rFonts w:cs="Arial"/>
          <w:vertAlign w:val="subscript"/>
        </w:rPr>
        <w:t xml:space="preserve">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6512F23D" w14:textId="77777777" w:rsidR="00692E71" w:rsidRPr="00275290" w:rsidRDefault="00692E71" w:rsidP="00692E71">
      <w:pPr>
        <w:rPr>
          <w:rFonts w:cs="Arial"/>
        </w:rPr>
      </w:pPr>
      <w:r w:rsidRPr="00275290">
        <w:rPr>
          <w:rFonts w:cs="Arial"/>
          <w:iCs/>
        </w:rPr>
        <w:t>Clocalsoil</w:t>
      </w:r>
      <w:proofErr w:type="gramStart"/>
      <w:r w:rsidRPr="00275290">
        <w:rPr>
          <w:rFonts w:cs="Arial"/>
          <w:iCs/>
        </w:rPr>
        <w:t>,spray</w:t>
      </w:r>
      <w:proofErr w:type="gramEnd"/>
      <w:r w:rsidRPr="00275290">
        <w:rPr>
          <w:rFonts w:cs="Arial"/>
          <w:iCs/>
        </w:rPr>
        <w:t>_drift_tier 1</w:t>
      </w:r>
      <w:r w:rsidRPr="00275290">
        <w:rPr>
          <w:rFonts w:cs="Arial"/>
        </w:rPr>
        <w:t xml:space="preserve"> = 0.0013 / (13 * 1700)</w:t>
      </w:r>
    </w:p>
    <w:p w14:paraId="22E405BF" w14:textId="77777777" w:rsidR="00692E71" w:rsidRPr="00275290" w:rsidRDefault="00692E71" w:rsidP="00692E71">
      <w:pPr>
        <w:rPr>
          <w:rFonts w:cs="Arial"/>
        </w:rPr>
      </w:pPr>
      <w:r w:rsidRPr="00275290">
        <w:rPr>
          <w:rFonts w:cs="Arial"/>
          <w:iCs/>
        </w:rPr>
        <w:t>Clocalsoil</w:t>
      </w:r>
      <w:proofErr w:type="gramStart"/>
      <w:r w:rsidRPr="00275290">
        <w:rPr>
          <w:rFonts w:cs="Arial"/>
          <w:iCs/>
        </w:rPr>
        <w:t>,spray</w:t>
      </w:r>
      <w:proofErr w:type="gramEnd"/>
      <w:r w:rsidRPr="00275290">
        <w:rPr>
          <w:rFonts w:cs="Arial"/>
          <w:iCs/>
        </w:rPr>
        <w:t>_drift_tier 1</w:t>
      </w:r>
      <w:r w:rsidRPr="00275290">
        <w:rPr>
          <w:rFonts w:cs="Arial"/>
        </w:rPr>
        <w:t xml:space="preserve"> = 5.7*10</w:t>
      </w:r>
      <w:r w:rsidRPr="00275290">
        <w:rPr>
          <w:rFonts w:cs="Arial"/>
          <w:vertAlign w:val="superscript"/>
        </w:rPr>
        <w:t>-8</w:t>
      </w:r>
      <w:r w:rsidRPr="00275290">
        <w:rPr>
          <w:rFonts w:cs="Arial"/>
        </w:rPr>
        <w:t xml:space="preserve"> kg/kg</w:t>
      </w:r>
      <w:r w:rsidRPr="00275290">
        <w:rPr>
          <w:rFonts w:cs="Arial"/>
          <w:vertAlign w:val="subscript"/>
        </w:rPr>
        <w:t xml:space="preserve">wwt </w:t>
      </w:r>
      <w:r w:rsidRPr="00275290">
        <w:rPr>
          <w:rFonts w:cs="Arial"/>
        </w:rPr>
        <w:t>= 5.7*10</w:t>
      </w:r>
      <w:r w:rsidRPr="00275290">
        <w:rPr>
          <w:rFonts w:cs="Arial"/>
          <w:vertAlign w:val="superscript"/>
        </w:rPr>
        <w:t>-2</w:t>
      </w:r>
      <w:r w:rsidRPr="00275290">
        <w:rPr>
          <w:rFonts w:cs="Arial"/>
          <w:vertAlign w:val="subscript"/>
        </w:rPr>
        <w:t xml:space="preserve"> </w:t>
      </w:r>
      <w:r w:rsidRPr="00275290">
        <w:rPr>
          <w:rFonts w:cs="Arial"/>
        </w:rPr>
        <w:t>mg/kg</w:t>
      </w:r>
      <w:r w:rsidRPr="00275290">
        <w:rPr>
          <w:rFonts w:cs="Arial"/>
          <w:vertAlign w:val="subscript"/>
        </w:rPr>
        <w:t>wwt</w:t>
      </w:r>
    </w:p>
    <w:p w14:paraId="20BD4655" w14:textId="77777777" w:rsidR="00692E71" w:rsidRPr="00275290" w:rsidRDefault="00692E71" w:rsidP="00692E71">
      <w:pPr>
        <w:rPr>
          <w:rFonts w:cs="Arial"/>
        </w:rPr>
      </w:pPr>
    </w:p>
    <w:p w14:paraId="183FEB78" w14:textId="77777777" w:rsidR="00692E71" w:rsidRPr="00275290" w:rsidRDefault="00692E71" w:rsidP="00692E71">
      <w:pPr>
        <w:rPr>
          <w:rFonts w:cs="Arial"/>
        </w:rPr>
      </w:pPr>
    </w:p>
    <w:p w14:paraId="67392419" w14:textId="77777777" w:rsidR="00692E71" w:rsidRPr="00275290" w:rsidRDefault="00692E71" w:rsidP="00692E71">
      <w:pPr>
        <w:rPr>
          <w:rFonts w:cs="Arial"/>
        </w:rPr>
      </w:pPr>
      <w:r w:rsidRPr="00275290">
        <w:rPr>
          <w:rFonts w:cs="Arial"/>
          <w:iCs/>
        </w:rPr>
        <w:t>Clocalsoil</w:t>
      </w:r>
      <w:proofErr w:type="gramStart"/>
      <w:r w:rsidRPr="00275290">
        <w:rPr>
          <w:rFonts w:cs="Arial"/>
          <w:iCs/>
        </w:rPr>
        <w:t>,spray</w:t>
      </w:r>
      <w:proofErr w:type="gramEnd"/>
      <w:r w:rsidRPr="00275290">
        <w:rPr>
          <w:rFonts w:cs="Arial"/>
          <w:iCs/>
        </w:rPr>
        <w:t>_drift_tier 2</w:t>
      </w:r>
      <w:r w:rsidRPr="00275290">
        <w:rPr>
          <w:rFonts w:cs="Arial"/>
        </w:rPr>
        <w:t xml:space="preserve"> = E</w:t>
      </w:r>
      <w:r w:rsidRPr="00275290">
        <w:rPr>
          <w:rFonts w:cs="Arial"/>
          <w:vertAlign w:val="subscript"/>
        </w:rPr>
        <w:t>soil,spray_drift_tier2</w:t>
      </w:r>
      <w:r w:rsidRPr="00275290">
        <w:rPr>
          <w:rFonts w:cs="Arial"/>
        </w:rPr>
        <w:t xml:space="preserve"> / (</w:t>
      </w:r>
      <w:r w:rsidRPr="00275290">
        <w:rPr>
          <w:rFonts w:cs="Arial"/>
          <w:iCs/>
        </w:rPr>
        <w:t>V</w:t>
      </w:r>
      <w:r w:rsidRPr="00275290">
        <w:rPr>
          <w:rFonts w:cs="Arial"/>
          <w:iCs/>
          <w:vertAlign w:val="subscript"/>
        </w:rPr>
        <w:t xml:space="preserve">soil,drift-tier2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162AB431" w14:textId="77777777" w:rsidR="00692E71" w:rsidRPr="00275290" w:rsidRDefault="00692E71" w:rsidP="00692E71">
      <w:pPr>
        <w:rPr>
          <w:rFonts w:cs="Arial"/>
        </w:rPr>
      </w:pPr>
      <w:r w:rsidRPr="00275290">
        <w:rPr>
          <w:rFonts w:cs="Arial"/>
          <w:iCs/>
        </w:rPr>
        <w:t>Clocalsoil</w:t>
      </w:r>
      <w:proofErr w:type="gramStart"/>
      <w:r w:rsidRPr="00275290">
        <w:rPr>
          <w:rFonts w:cs="Arial"/>
          <w:iCs/>
        </w:rPr>
        <w:t>,spray</w:t>
      </w:r>
      <w:proofErr w:type="gramEnd"/>
      <w:r w:rsidRPr="00275290">
        <w:rPr>
          <w:rFonts w:cs="Arial"/>
          <w:iCs/>
        </w:rPr>
        <w:t>_drift_tier 2</w:t>
      </w:r>
      <w:r w:rsidRPr="00275290">
        <w:rPr>
          <w:rFonts w:cs="Arial"/>
        </w:rPr>
        <w:t xml:space="preserve"> = 0.00041 / (15 * 1700)</w:t>
      </w:r>
    </w:p>
    <w:p w14:paraId="7F4F7EDC" w14:textId="77777777" w:rsidR="00692E71" w:rsidRPr="00275290" w:rsidRDefault="00692E71" w:rsidP="00692E71">
      <w:pPr>
        <w:rPr>
          <w:rFonts w:cs="Arial"/>
        </w:rPr>
      </w:pPr>
      <w:r w:rsidRPr="00275290">
        <w:rPr>
          <w:rFonts w:cs="Arial"/>
          <w:iCs/>
        </w:rPr>
        <w:t>Clocalsoil</w:t>
      </w:r>
      <w:proofErr w:type="gramStart"/>
      <w:r w:rsidRPr="00275290">
        <w:rPr>
          <w:rFonts w:cs="Arial"/>
          <w:iCs/>
        </w:rPr>
        <w:t>,spray</w:t>
      </w:r>
      <w:proofErr w:type="gramEnd"/>
      <w:r w:rsidRPr="00275290">
        <w:rPr>
          <w:rFonts w:cs="Arial"/>
          <w:iCs/>
        </w:rPr>
        <w:t>_drift_tier 2</w:t>
      </w:r>
      <w:r w:rsidRPr="00275290">
        <w:rPr>
          <w:rFonts w:cs="Arial"/>
        </w:rPr>
        <w:t xml:space="preserve"> = 1.6*10</w:t>
      </w:r>
      <w:r w:rsidRPr="00275290">
        <w:rPr>
          <w:rFonts w:cs="Arial"/>
          <w:vertAlign w:val="superscript"/>
        </w:rPr>
        <w:t>-8</w:t>
      </w:r>
      <w:r w:rsidRPr="00275290">
        <w:rPr>
          <w:rFonts w:cs="Arial"/>
        </w:rPr>
        <w:t xml:space="preserve"> kg/kg</w:t>
      </w:r>
      <w:r w:rsidRPr="00275290">
        <w:rPr>
          <w:rFonts w:cs="Arial"/>
          <w:vertAlign w:val="subscript"/>
        </w:rPr>
        <w:t xml:space="preserve">wwt </w:t>
      </w:r>
      <w:r w:rsidRPr="00275290">
        <w:rPr>
          <w:rFonts w:cs="Arial"/>
        </w:rPr>
        <w:t>= 1.6*10</w:t>
      </w:r>
      <w:r w:rsidRPr="00275290">
        <w:rPr>
          <w:rFonts w:cs="Arial"/>
          <w:vertAlign w:val="superscript"/>
        </w:rPr>
        <w:t>-2</w:t>
      </w:r>
      <w:r w:rsidRPr="00275290">
        <w:rPr>
          <w:rFonts w:cs="Arial"/>
          <w:vertAlign w:val="subscript"/>
        </w:rPr>
        <w:t xml:space="preserve"> </w:t>
      </w:r>
      <w:r w:rsidRPr="00275290">
        <w:rPr>
          <w:rFonts w:cs="Arial"/>
        </w:rPr>
        <w:t>mg/kg</w:t>
      </w:r>
      <w:r w:rsidRPr="00275290">
        <w:rPr>
          <w:rFonts w:cs="Arial"/>
          <w:vertAlign w:val="subscript"/>
        </w:rPr>
        <w:t>wwt</w:t>
      </w:r>
    </w:p>
    <w:p w14:paraId="27C2AD91" w14:textId="77777777" w:rsidR="00692E71" w:rsidRPr="00275290" w:rsidRDefault="00692E71" w:rsidP="00692E71">
      <w:pPr>
        <w:rPr>
          <w:rFonts w:cs="Arial"/>
          <w:vertAlign w:val="subscript"/>
        </w:rPr>
      </w:pPr>
    </w:p>
    <w:p w14:paraId="72896006" w14:textId="77777777" w:rsidR="00692E71" w:rsidRPr="00275290" w:rsidRDefault="00692E71" w:rsidP="00692E71">
      <w:pPr>
        <w:rPr>
          <w:rFonts w:cs="Arial"/>
          <w:iCs/>
        </w:rPr>
      </w:pPr>
      <w:r w:rsidRPr="00275290">
        <w:rPr>
          <w:rFonts w:cs="Arial"/>
          <w:i/>
          <w:iCs/>
        </w:rPr>
        <w:t>Clocalsoil</w:t>
      </w:r>
      <w:proofErr w:type="gramStart"/>
      <w:r w:rsidRPr="00275290">
        <w:rPr>
          <w:rFonts w:cs="Arial"/>
          <w:i/>
          <w:iCs/>
        </w:rPr>
        <w:t>,total</w:t>
      </w:r>
      <w:proofErr w:type="gramEnd"/>
      <w:r w:rsidRPr="00275290">
        <w:rPr>
          <w:rFonts w:cs="Arial"/>
          <w:i/>
          <w:iCs/>
        </w:rPr>
        <w:t xml:space="preserve"> tier 1 </w:t>
      </w:r>
      <w:r w:rsidRPr="00275290">
        <w:rPr>
          <w:rFonts w:cs="Arial"/>
        </w:rPr>
        <w:t>= Clocal</w:t>
      </w:r>
      <w:r w:rsidRPr="00275290">
        <w:rPr>
          <w:rFonts w:cs="Arial"/>
          <w:vertAlign w:val="subscript"/>
        </w:rPr>
        <w:t>soil,runoff tier 1</w:t>
      </w:r>
      <w:r w:rsidRPr="00275290">
        <w:rPr>
          <w:rFonts w:cs="Arial"/>
        </w:rPr>
        <w:t xml:space="preserve"> + </w:t>
      </w:r>
      <w:r w:rsidRPr="00275290">
        <w:rPr>
          <w:rFonts w:cs="Arial"/>
          <w:iCs/>
        </w:rPr>
        <w:t>Clocalsoil,spray drift_tier 1</w:t>
      </w:r>
    </w:p>
    <w:p w14:paraId="1B35C9E8" w14:textId="77777777" w:rsidR="00692E71" w:rsidRPr="00275290" w:rsidRDefault="00692E71" w:rsidP="00692E71">
      <w:pPr>
        <w:rPr>
          <w:rFonts w:cs="Arial"/>
          <w:vertAlign w:val="subscript"/>
        </w:rPr>
      </w:pPr>
      <w:r w:rsidRPr="00275290">
        <w:rPr>
          <w:rFonts w:cs="Arial"/>
          <w:i/>
          <w:iCs/>
        </w:rPr>
        <w:t>Clocalsoil</w:t>
      </w:r>
      <w:proofErr w:type="gramStart"/>
      <w:r w:rsidRPr="00275290">
        <w:rPr>
          <w:rFonts w:cs="Arial"/>
          <w:i/>
          <w:iCs/>
        </w:rPr>
        <w:t>,total</w:t>
      </w:r>
      <w:proofErr w:type="gramEnd"/>
      <w:r w:rsidRPr="00275290">
        <w:rPr>
          <w:rFonts w:cs="Arial"/>
          <w:i/>
          <w:iCs/>
        </w:rPr>
        <w:t xml:space="preserve"> tier 1 </w:t>
      </w:r>
      <w:r w:rsidRPr="00275290">
        <w:rPr>
          <w:rFonts w:cs="Arial"/>
        </w:rPr>
        <w:t>= 0.11 + 0.06 = 0.17 mg/kg</w:t>
      </w:r>
      <w:r w:rsidRPr="00275290">
        <w:rPr>
          <w:rFonts w:cs="Arial"/>
          <w:vertAlign w:val="subscript"/>
        </w:rPr>
        <w:t>wwt</w:t>
      </w:r>
    </w:p>
    <w:p w14:paraId="798F8957" w14:textId="77777777" w:rsidR="00692E71" w:rsidRPr="00575E63" w:rsidRDefault="00692E71" w:rsidP="00692E71">
      <w:pPr>
        <w:rPr>
          <w:rFonts w:ascii="Arial" w:hAnsi="Arial" w:cs="Arial"/>
        </w:rPr>
      </w:pPr>
    </w:p>
    <w:p w14:paraId="1294DA6D" w14:textId="77777777" w:rsidR="00692E71" w:rsidRPr="00575E63" w:rsidRDefault="00692E71" w:rsidP="00692E71">
      <w:pPr>
        <w:rPr>
          <w:rFonts w:ascii="Arial" w:hAnsi="Arial" w:cs="Arial"/>
          <w:b/>
          <w:bCs/>
        </w:rPr>
      </w:pPr>
    </w:p>
    <w:p w14:paraId="738C38F9" w14:textId="77777777" w:rsidR="00692E71" w:rsidRPr="008551C7" w:rsidRDefault="00692E71" w:rsidP="008E0250">
      <w:pPr>
        <w:pStyle w:val="Titre5"/>
        <w:rPr>
          <w:lang w:val="en-US"/>
        </w:rPr>
      </w:pPr>
      <w:r w:rsidRPr="008551C7">
        <w:rPr>
          <w:lang w:val="en-US"/>
        </w:rPr>
        <w:lastRenderedPageBreak/>
        <w:t>Emissions from treated wood in-service</w:t>
      </w:r>
    </w:p>
    <w:p w14:paraId="65729D32" w14:textId="77777777" w:rsidR="00692E71" w:rsidRPr="00275290" w:rsidRDefault="00692E71" w:rsidP="00692E71">
      <w:pPr>
        <w:rPr>
          <w:rFonts w:cs="Arial"/>
        </w:rPr>
      </w:pPr>
    </w:p>
    <w:p w14:paraId="79056100" w14:textId="77777777" w:rsidR="00692E71" w:rsidRPr="00275290" w:rsidRDefault="00692E71" w:rsidP="00692E71">
      <w:pPr>
        <w:rPr>
          <w:rFonts w:cs="Arial"/>
        </w:rPr>
      </w:pPr>
      <w:r w:rsidRPr="00275290">
        <w:rPr>
          <w:rFonts w:cs="Arial"/>
        </w:rPr>
        <w:t xml:space="preserve">As basis for the calculations of emissions from treated wood in service, a semi-field leaching study according to NT Build 509 (2005): </w:t>
      </w:r>
      <w:r w:rsidRPr="00275290">
        <w:rPr>
          <w:rFonts w:cs="Arial"/>
          <w:bCs/>
          <w:i/>
          <w:color w:val="231F20"/>
        </w:rPr>
        <w:t>Leaching of Active Ingredients from Preservative-Treated Timber – Semi-Field Testing</w:t>
      </w:r>
      <w:r w:rsidRPr="00275290">
        <w:rPr>
          <w:rFonts w:cs="Arial"/>
        </w:rPr>
        <w:t xml:space="preserve"> was conducted (see study summary in IUCLID Section 10.3). </w:t>
      </w:r>
    </w:p>
    <w:p w14:paraId="5E673509" w14:textId="77777777" w:rsidR="00692E71" w:rsidRPr="00275290" w:rsidRDefault="00692E71" w:rsidP="00692E71">
      <w:pPr>
        <w:rPr>
          <w:rFonts w:cs="Arial"/>
        </w:rPr>
      </w:pPr>
    </w:p>
    <w:p w14:paraId="386A73CF" w14:textId="77777777" w:rsidR="00692E71" w:rsidRPr="00275290" w:rsidRDefault="00692E71" w:rsidP="00692E71">
      <w:pPr>
        <w:rPr>
          <w:rFonts w:cs="Arial"/>
        </w:rPr>
      </w:pPr>
      <w:r w:rsidRPr="00275290">
        <w:rPr>
          <w:rFonts w:cs="Arial"/>
        </w:rPr>
        <w:t>In this study, cypermethrin was not detected at any sampling occasions. At all sample occasions, cypermethrin was below the limit of quantification of 0.01 µg/mL. This value was used as input for the leaching estimation for the long-term assessment period and must be considered a worst-case approach.</w:t>
      </w:r>
    </w:p>
    <w:p w14:paraId="66E9A85C" w14:textId="77777777" w:rsidR="00692E71" w:rsidRPr="00275290" w:rsidRDefault="00692E71" w:rsidP="00692E71">
      <w:pPr>
        <w:rPr>
          <w:rFonts w:cs="Arial"/>
        </w:rPr>
      </w:pPr>
    </w:p>
    <w:p w14:paraId="2CECBB4C" w14:textId="77777777" w:rsidR="00692E71" w:rsidRPr="00275290" w:rsidRDefault="00692E71" w:rsidP="00692E71">
      <w:pPr>
        <w:rPr>
          <w:rFonts w:cs="Arial"/>
        </w:rPr>
      </w:pPr>
      <w:r w:rsidRPr="00275290">
        <w:rPr>
          <w:rFonts w:cs="Arial"/>
        </w:rPr>
        <w:t>The leaching study was performed with an average application rate of 301.5 g/m</w:t>
      </w:r>
      <w:r w:rsidRPr="00275290">
        <w:rPr>
          <w:rFonts w:cs="Arial"/>
          <w:vertAlign w:val="superscript"/>
        </w:rPr>
        <w:t>2</w:t>
      </w:r>
      <w:r w:rsidRPr="00275290">
        <w:rPr>
          <w:rFonts w:cs="Arial"/>
        </w:rPr>
        <w:t xml:space="preserve"> in order to cover all possible application scenarios. In fact the dose of 300 g/m² is for curative treatment which is only done </w:t>
      </w:r>
      <w:r w:rsidRPr="00275290">
        <w:rPr>
          <w:rFonts w:eastAsiaTheme="minorHAnsi" w:cs="Arial"/>
          <w:lang w:eastAsia="en-US"/>
        </w:rPr>
        <w:t>for risk class 2 woods (no emission foreseen)</w:t>
      </w:r>
      <w:r w:rsidRPr="00275290">
        <w:rPr>
          <w:rFonts w:cs="Arial"/>
        </w:rPr>
        <w:t>. The dose of 200 g/m² is used for preventive treatments indoors and outdoors. Thus, considering the applications foreseen, the risk assessment is done at the dose of 200 g/m</w:t>
      </w:r>
      <w:r w:rsidRPr="00275290">
        <w:rPr>
          <w:rFonts w:cs="Arial"/>
          <w:vertAlign w:val="superscript"/>
        </w:rPr>
        <w:t>2</w:t>
      </w:r>
      <w:r w:rsidRPr="00275290">
        <w:rPr>
          <w:rFonts w:cs="Arial"/>
        </w:rPr>
        <w:t xml:space="preserve">. Therefore, the leaching data obtained is multiplied by this factor: </w:t>
      </w:r>
    </w:p>
    <w:p w14:paraId="10DA1F57" w14:textId="77777777" w:rsidR="00692E71" w:rsidRPr="00275290" w:rsidRDefault="00692E71" w:rsidP="00692E71">
      <w:pPr>
        <w:rPr>
          <w:rFonts w:cs="Arial"/>
        </w:rPr>
      </w:pPr>
    </w:p>
    <w:p w14:paraId="1AF10015" w14:textId="77777777" w:rsidR="00692E71" w:rsidRPr="00275290" w:rsidRDefault="00692E71" w:rsidP="00692E71">
      <w:pPr>
        <w:rPr>
          <w:rFonts w:cs="Arial"/>
        </w:rPr>
      </w:pPr>
      <w:r w:rsidRPr="00275290">
        <w:rPr>
          <w:rFonts w:cs="Arial"/>
        </w:rPr>
        <w:t>F</w:t>
      </w:r>
      <w:r w:rsidRPr="00275290">
        <w:rPr>
          <w:rFonts w:cs="Arial"/>
          <w:vertAlign w:val="subscript"/>
        </w:rPr>
        <w:t>applic rate</w:t>
      </w:r>
      <w:r w:rsidRPr="00275290">
        <w:rPr>
          <w:rFonts w:cs="Arial"/>
        </w:rPr>
        <w:t xml:space="preserve"> = 200 / 301.5 = 0.663.</w:t>
      </w:r>
    </w:p>
    <w:p w14:paraId="2A9CF74D" w14:textId="77777777" w:rsidR="00692E71" w:rsidRPr="00275290" w:rsidRDefault="00692E71" w:rsidP="00692E71">
      <w:pPr>
        <w:rPr>
          <w:rFonts w:cs="Arial"/>
        </w:rPr>
      </w:pPr>
    </w:p>
    <w:p w14:paraId="62C81E5C" w14:textId="77777777" w:rsidR="00692E71" w:rsidRPr="00275290" w:rsidRDefault="00692E71" w:rsidP="00692E71">
      <w:pPr>
        <w:rPr>
          <w:rFonts w:cs="Arial"/>
        </w:rPr>
      </w:pPr>
      <w:r w:rsidRPr="00275290">
        <w:rPr>
          <w:rFonts w:cs="Arial"/>
        </w:rPr>
        <w:t>Both IPBC and the major metabolite, PBC, were measured. The content of PBC in the leachate was transformed to the corresponding concentration of IPBC, so the total concentration of IPBC in each sample was calculated by this formula:</w:t>
      </w:r>
    </w:p>
    <w:p w14:paraId="3241A403" w14:textId="77777777" w:rsidR="00692E71" w:rsidRPr="00275290" w:rsidRDefault="00692E71" w:rsidP="00692E71">
      <w:pPr>
        <w:rPr>
          <w:rFonts w:cs="Arial"/>
        </w:rPr>
      </w:pPr>
    </w:p>
    <w:p w14:paraId="1B3DD2D8" w14:textId="77777777" w:rsidR="00692E71" w:rsidRPr="00275290" w:rsidRDefault="00692E71" w:rsidP="00692E71">
      <w:pPr>
        <w:rPr>
          <w:rFonts w:cs="Arial"/>
        </w:rPr>
      </w:pPr>
      <w:r w:rsidRPr="00275290">
        <w:rPr>
          <w:rFonts w:cs="Arial"/>
        </w:rPr>
        <w:t>[Total IPBC] = [IPBC] + [molar mass of IPBC] / [molar mass of PBC] × [PBC]</w:t>
      </w:r>
    </w:p>
    <w:p w14:paraId="2DCE7473" w14:textId="77777777" w:rsidR="00692E71" w:rsidRPr="00275290" w:rsidRDefault="00692E71" w:rsidP="00692E71">
      <w:pPr>
        <w:rPr>
          <w:rFonts w:cs="Arial"/>
        </w:rPr>
      </w:pPr>
      <w:r w:rsidRPr="00275290">
        <w:rPr>
          <w:rFonts w:cs="Arial"/>
        </w:rPr>
        <w:t>[Total IPBC] = [IPBC] + 281.09/155.19 × [PBC]</w:t>
      </w:r>
    </w:p>
    <w:p w14:paraId="64561A4B" w14:textId="77777777" w:rsidR="00692E71" w:rsidRPr="00275290" w:rsidRDefault="00692E71" w:rsidP="00692E71">
      <w:pPr>
        <w:rPr>
          <w:rFonts w:cs="Arial"/>
        </w:rPr>
      </w:pPr>
    </w:p>
    <w:p w14:paraId="563BAA21" w14:textId="77777777" w:rsidR="00692E71" w:rsidRPr="00275290" w:rsidRDefault="00692E71" w:rsidP="00692E71">
      <w:pPr>
        <w:rPr>
          <w:rFonts w:cs="Arial"/>
        </w:rPr>
      </w:pPr>
      <w:r w:rsidRPr="00275290">
        <w:rPr>
          <w:rFonts w:cs="Arial"/>
        </w:rPr>
        <w:t>In the following IPBC is used as an example. The calculations are based on 700 mm of rain per year. The best curve fit for all four active substances with the data available so far is a linear function (Q*</w:t>
      </w:r>
      <w:r w:rsidRPr="00275290">
        <w:rPr>
          <w:rFonts w:cs="Arial"/>
          <w:vertAlign w:val="subscript"/>
        </w:rPr>
        <w:t>leach</w:t>
      </w:r>
      <w:proofErr w:type="gramStart"/>
      <w:r w:rsidRPr="00275290">
        <w:rPr>
          <w:rFonts w:cs="Arial"/>
          <w:vertAlign w:val="subscript"/>
        </w:rPr>
        <w:t>,time</w:t>
      </w:r>
      <w:proofErr w:type="gramEnd"/>
      <w:r w:rsidRPr="00275290">
        <w:rPr>
          <w:rFonts w:cs="Arial"/>
        </w:rPr>
        <w:t xml:space="preserve"> = a*t + b), given r</w:t>
      </w:r>
      <w:r w:rsidRPr="00275290">
        <w:rPr>
          <w:rFonts w:cs="Arial"/>
          <w:vertAlign w:val="superscript"/>
        </w:rPr>
        <w:t>2</w:t>
      </w:r>
      <w:r w:rsidRPr="00275290">
        <w:rPr>
          <w:rFonts w:cs="Arial"/>
        </w:rPr>
        <w:t xml:space="preserve"> values between 0.97 and 0.99.</w:t>
      </w:r>
    </w:p>
    <w:p w14:paraId="49FA89A2" w14:textId="77777777" w:rsidR="00692E71" w:rsidRPr="00275290" w:rsidRDefault="00692E71" w:rsidP="00692E71">
      <w:pPr>
        <w:rPr>
          <w:rFonts w:cs="Arial"/>
        </w:rPr>
      </w:pPr>
    </w:p>
    <w:p w14:paraId="2B7ED6EE" w14:textId="77777777" w:rsidR="00692E71" w:rsidRPr="00275290" w:rsidRDefault="00692E71" w:rsidP="00692E71">
      <w:pPr>
        <w:rPr>
          <w:rFonts w:cs="Arial"/>
        </w:rPr>
      </w:pPr>
      <w:r w:rsidRPr="00275290">
        <w:rPr>
          <w:rFonts w:cs="Arial"/>
        </w:rPr>
        <w:t>Time 1 = 30 days is calculated as follows:</w:t>
      </w:r>
    </w:p>
    <w:p w14:paraId="3C084273"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 1 </w:t>
      </w:r>
      <w:r w:rsidRPr="00275290">
        <w:rPr>
          <w:rFonts w:cs="Arial"/>
        </w:rPr>
        <w:t xml:space="preserve">is determined based on a linear regression of the first six data points: </w:t>
      </w:r>
    </w:p>
    <w:p w14:paraId="23EA1563"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0.0077 * [time] + 7.3643. </w:t>
      </w:r>
    </w:p>
    <w:p w14:paraId="6643481C" w14:textId="77777777" w:rsidR="00692E71" w:rsidRPr="00275290" w:rsidRDefault="00692E71" w:rsidP="00692E71">
      <w:pPr>
        <w:rPr>
          <w:rFonts w:cs="Arial"/>
        </w:rPr>
      </w:pPr>
      <w:r w:rsidRPr="00275290">
        <w:rPr>
          <w:rFonts w:cs="Arial"/>
        </w:rPr>
        <w:t>Inserting time = 30 days gives:</w:t>
      </w:r>
    </w:p>
    <w:p w14:paraId="3E324F83"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 1 </w:t>
      </w:r>
      <w:r w:rsidRPr="00275290">
        <w:rPr>
          <w:rFonts w:cs="Arial"/>
        </w:rPr>
        <w:t>= 7.595 mg/m</w:t>
      </w:r>
      <w:r w:rsidRPr="00275290">
        <w:rPr>
          <w:rFonts w:cs="Arial"/>
          <w:vertAlign w:val="superscript"/>
        </w:rPr>
        <w:t>2</w:t>
      </w:r>
      <w:r w:rsidRPr="00275290">
        <w:rPr>
          <w:rFonts w:cs="Arial"/>
        </w:rPr>
        <w:t>.</w:t>
      </w:r>
    </w:p>
    <w:p w14:paraId="2B21194D" w14:textId="77777777" w:rsidR="00692E71" w:rsidRPr="00275290" w:rsidRDefault="00692E71" w:rsidP="00692E71">
      <w:pPr>
        <w:rPr>
          <w:rFonts w:cs="Arial"/>
        </w:rPr>
      </w:pPr>
      <w:r w:rsidRPr="00275290">
        <w:rPr>
          <w:rFonts w:cs="Arial"/>
        </w:rPr>
        <w:t>The daily flux between 0 and 30 days is 7.595/30 = 0.253 mg/m</w:t>
      </w:r>
      <w:r w:rsidRPr="00275290">
        <w:rPr>
          <w:rFonts w:cs="Arial"/>
          <w:vertAlign w:val="superscript"/>
        </w:rPr>
        <w:t>2</w:t>
      </w:r>
      <w:r w:rsidRPr="00275290">
        <w:rPr>
          <w:rFonts w:cs="Arial"/>
        </w:rPr>
        <w:t>/day.</w:t>
      </w:r>
    </w:p>
    <w:p w14:paraId="2FD4681B" w14:textId="77777777" w:rsidR="00692E71" w:rsidRPr="00275290" w:rsidRDefault="00692E71" w:rsidP="00692E71">
      <w:pPr>
        <w:rPr>
          <w:rFonts w:cs="Arial"/>
        </w:rPr>
      </w:pPr>
    </w:p>
    <w:p w14:paraId="02AA9214" w14:textId="77777777" w:rsidR="00692E71" w:rsidRPr="00275290" w:rsidRDefault="00692E71" w:rsidP="00692E71">
      <w:pPr>
        <w:rPr>
          <w:rFonts w:cs="Arial"/>
        </w:rPr>
      </w:pPr>
      <w:r w:rsidRPr="00275290">
        <w:rPr>
          <w:rFonts w:cs="Arial"/>
        </w:rPr>
        <w:t>Then a new linear regression between zero and Q*</w:t>
      </w:r>
      <w:r w:rsidRPr="00275290">
        <w:rPr>
          <w:rFonts w:cs="Arial"/>
          <w:vertAlign w:val="subscript"/>
        </w:rPr>
        <w:t xml:space="preserve">leach time 1 </w:t>
      </w:r>
      <w:r w:rsidRPr="00275290">
        <w:rPr>
          <w:rFonts w:cs="Arial"/>
        </w:rPr>
        <w:t>is performed and this equation is used to determine Q*</w:t>
      </w:r>
      <w:r w:rsidRPr="00275290">
        <w:rPr>
          <w:rFonts w:cs="Arial"/>
          <w:vertAlign w:val="subscript"/>
        </w:rPr>
        <w:t>leach time 1</w:t>
      </w:r>
      <w:r w:rsidRPr="00275290">
        <w:rPr>
          <w:rFonts w:cs="Arial"/>
        </w:rPr>
        <w:t xml:space="preserve"> taken the reduced application rate into account:</w:t>
      </w:r>
    </w:p>
    <w:p w14:paraId="64B2BA91" w14:textId="77777777" w:rsidR="00692E71" w:rsidRPr="00275290" w:rsidRDefault="00692E71" w:rsidP="00692E71">
      <w:pPr>
        <w:rPr>
          <w:rFonts w:cs="Arial"/>
          <w:vertAlign w:val="subscript"/>
        </w:rPr>
      </w:pPr>
      <w:r w:rsidRPr="00275290">
        <w:rPr>
          <w:rFonts w:cs="Arial"/>
        </w:rPr>
        <w:t>Q*</w:t>
      </w:r>
      <w:r w:rsidRPr="00275290">
        <w:rPr>
          <w:rFonts w:cs="Arial"/>
          <w:vertAlign w:val="subscript"/>
        </w:rPr>
        <w:t>leach time 1</w:t>
      </w:r>
      <w:r w:rsidRPr="00275290">
        <w:rPr>
          <w:rFonts w:cs="Arial"/>
        </w:rPr>
        <w:t xml:space="preserve"> = 0.253 * [time] * F</w:t>
      </w:r>
      <w:r w:rsidRPr="00275290">
        <w:rPr>
          <w:rFonts w:cs="Arial"/>
          <w:vertAlign w:val="subscript"/>
        </w:rPr>
        <w:t>applic rate</w:t>
      </w:r>
    </w:p>
    <w:p w14:paraId="37AC3A73"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0.253 * 30 * 0.663</w:t>
      </w:r>
    </w:p>
    <w:p w14:paraId="654B1C3A"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5.04 mg/m</w:t>
      </w:r>
      <w:r w:rsidRPr="00275290">
        <w:rPr>
          <w:rFonts w:cs="Arial"/>
          <w:vertAlign w:val="superscript"/>
        </w:rPr>
        <w:t>2</w:t>
      </w:r>
      <w:r w:rsidRPr="00275290">
        <w:rPr>
          <w:rFonts w:cs="Arial"/>
        </w:rPr>
        <w:t>.</w:t>
      </w:r>
    </w:p>
    <w:p w14:paraId="0D86BDBB" w14:textId="77777777" w:rsidR="00692E71" w:rsidRPr="00275290" w:rsidRDefault="00692E71" w:rsidP="00692E71">
      <w:pPr>
        <w:rPr>
          <w:rFonts w:cs="Arial"/>
        </w:rPr>
      </w:pPr>
    </w:p>
    <w:p w14:paraId="05296E8D" w14:textId="77777777" w:rsidR="00692E71" w:rsidRPr="00275290" w:rsidRDefault="00692E71" w:rsidP="00692E71">
      <w:pPr>
        <w:rPr>
          <w:rFonts w:cs="Arial"/>
        </w:rPr>
      </w:pPr>
      <w:r w:rsidRPr="00275290">
        <w:rPr>
          <w:rFonts w:cs="Arial"/>
        </w:rPr>
        <w:t>Time 2 = 1825 days is calculated based on a linear regression of the first six data points taken the reduced application rate into account:</w:t>
      </w:r>
    </w:p>
    <w:p w14:paraId="2182D2DE" w14:textId="77777777" w:rsidR="00692E71" w:rsidRPr="00275290" w:rsidRDefault="00692E71" w:rsidP="00692E71">
      <w:pPr>
        <w:rPr>
          <w:rFonts w:cs="Arial"/>
          <w:vertAlign w:val="subscript"/>
        </w:rPr>
      </w:pPr>
      <w:r w:rsidRPr="00275290">
        <w:rPr>
          <w:rFonts w:cs="Arial"/>
        </w:rPr>
        <w:t>Q*</w:t>
      </w:r>
      <w:r w:rsidRPr="00275290">
        <w:rPr>
          <w:rFonts w:cs="Arial"/>
          <w:vertAlign w:val="subscript"/>
        </w:rPr>
        <w:t>leach time 2</w:t>
      </w:r>
      <w:r w:rsidRPr="00275290">
        <w:rPr>
          <w:rFonts w:cs="Arial"/>
        </w:rPr>
        <w:t xml:space="preserve"> = (0.0077 * [time] + 7.3643) * F</w:t>
      </w:r>
      <w:r w:rsidRPr="00275290">
        <w:rPr>
          <w:rFonts w:cs="Arial"/>
          <w:vertAlign w:val="subscript"/>
        </w:rPr>
        <w:t>applic rate</w:t>
      </w:r>
    </w:p>
    <w:p w14:paraId="32E0589B" w14:textId="77777777" w:rsidR="00692E71" w:rsidRPr="00275290" w:rsidRDefault="00692E71" w:rsidP="00692E71">
      <w:pPr>
        <w:rPr>
          <w:rFonts w:cs="Arial"/>
        </w:rPr>
      </w:pPr>
      <w:r w:rsidRPr="00275290">
        <w:rPr>
          <w:rFonts w:cs="Arial"/>
        </w:rPr>
        <w:t>Q*</w:t>
      </w:r>
      <w:r w:rsidRPr="00275290">
        <w:rPr>
          <w:rFonts w:cs="Arial"/>
          <w:vertAlign w:val="subscript"/>
        </w:rPr>
        <w:t>leach time 2</w:t>
      </w:r>
      <w:r w:rsidRPr="00275290">
        <w:rPr>
          <w:rFonts w:cs="Arial"/>
        </w:rPr>
        <w:t xml:space="preserve"> = (0.0077 * 1825 + 7.3643) * 0.663</w:t>
      </w:r>
    </w:p>
    <w:p w14:paraId="63B3F07F" w14:textId="77777777" w:rsidR="00692E71" w:rsidRPr="00275290" w:rsidRDefault="00692E71" w:rsidP="00692E71">
      <w:pPr>
        <w:rPr>
          <w:rFonts w:cs="Arial"/>
        </w:rPr>
      </w:pPr>
      <w:r w:rsidRPr="00275290">
        <w:rPr>
          <w:rFonts w:cs="Arial"/>
        </w:rPr>
        <w:t>Q*</w:t>
      </w:r>
      <w:r w:rsidRPr="00275290">
        <w:rPr>
          <w:rFonts w:cs="Arial"/>
          <w:vertAlign w:val="subscript"/>
        </w:rPr>
        <w:t>leach time 2</w:t>
      </w:r>
      <w:r w:rsidRPr="00275290">
        <w:rPr>
          <w:rFonts w:cs="Arial"/>
        </w:rPr>
        <w:t xml:space="preserve"> = 14.20 mg/m</w:t>
      </w:r>
      <w:r w:rsidRPr="00275290">
        <w:rPr>
          <w:rFonts w:cs="Arial"/>
          <w:vertAlign w:val="superscript"/>
        </w:rPr>
        <w:t>2</w:t>
      </w:r>
      <w:r w:rsidRPr="00275290">
        <w:rPr>
          <w:rFonts w:cs="Arial"/>
        </w:rPr>
        <w:t>.</w:t>
      </w:r>
    </w:p>
    <w:p w14:paraId="091E2F34" w14:textId="77777777" w:rsidR="00692E71" w:rsidRPr="00275290" w:rsidRDefault="00692E71" w:rsidP="00692E71">
      <w:pPr>
        <w:rPr>
          <w:rFonts w:cs="Arial"/>
        </w:rPr>
      </w:pPr>
    </w:p>
    <w:p w14:paraId="6605830E" w14:textId="77777777" w:rsidR="00692E71" w:rsidRPr="00275290" w:rsidRDefault="00692E71" w:rsidP="00692E71">
      <w:pPr>
        <w:rPr>
          <w:rFonts w:cs="Arial"/>
        </w:rPr>
      </w:pPr>
      <w:r w:rsidRPr="00275290">
        <w:rPr>
          <w:rFonts w:cs="Arial"/>
        </w:rPr>
        <w:t>Time 2 = 5475 days is calculated based on a linear regression of the first six data points taken the reduced application rate into account:</w:t>
      </w:r>
    </w:p>
    <w:p w14:paraId="7C818D85" w14:textId="77777777" w:rsidR="00692E71" w:rsidRPr="00275290" w:rsidRDefault="00692E71" w:rsidP="00692E71">
      <w:pPr>
        <w:rPr>
          <w:rFonts w:cs="Arial"/>
          <w:vertAlign w:val="subscript"/>
        </w:rPr>
      </w:pPr>
      <w:r w:rsidRPr="00275290">
        <w:rPr>
          <w:rFonts w:cs="Arial"/>
        </w:rPr>
        <w:t>Q*</w:t>
      </w:r>
      <w:r w:rsidRPr="00275290">
        <w:rPr>
          <w:rFonts w:cs="Arial"/>
          <w:vertAlign w:val="subscript"/>
        </w:rPr>
        <w:t>leach time 2</w:t>
      </w:r>
      <w:r w:rsidRPr="00275290">
        <w:rPr>
          <w:rFonts w:cs="Arial"/>
        </w:rPr>
        <w:t xml:space="preserve"> = (0.0077 * [time] + 7.3643) * F</w:t>
      </w:r>
      <w:r w:rsidRPr="00275290">
        <w:rPr>
          <w:rFonts w:cs="Arial"/>
          <w:vertAlign w:val="subscript"/>
        </w:rPr>
        <w:t>applic rate</w:t>
      </w:r>
    </w:p>
    <w:p w14:paraId="111F1491" w14:textId="77777777" w:rsidR="00692E71" w:rsidRPr="00275290" w:rsidRDefault="00692E71" w:rsidP="00692E71">
      <w:pPr>
        <w:rPr>
          <w:rFonts w:cs="Arial"/>
        </w:rPr>
      </w:pPr>
      <w:r w:rsidRPr="00275290">
        <w:rPr>
          <w:rFonts w:cs="Arial"/>
        </w:rPr>
        <w:t>Q*</w:t>
      </w:r>
      <w:r w:rsidRPr="00275290">
        <w:rPr>
          <w:rFonts w:cs="Arial"/>
          <w:vertAlign w:val="subscript"/>
        </w:rPr>
        <w:t>leach time 2</w:t>
      </w:r>
      <w:r w:rsidRPr="00275290">
        <w:rPr>
          <w:rFonts w:cs="Arial"/>
        </w:rPr>
        <w:t xml:space="preserve"> = (0.0077 * 5475 + 7.3643) * 0.663</w:t>
      </w:r>
    </w:p>
    <w:p w14:paraId="7064ABDB" w14:textId="77777777" w:rsidR="00692E71" w:rsidRPr="00275290" w:rsidRDefault="00692E71" w:rsidP="00692E71">
      <w:pPr>
        <w:rPr>
          <w:rFonts w:cs="Arial"/>
        </w:rPr>
      </w:pPr>
      <w:r w:rsidRPr="00275290">
        <w:rPr>
          <w:rFonts w:cs="Arial"/>
        </w:rPr>
        <w:t>Q*</w:t>
      </w:r>
      <w:r w:rsidRPr="00275290">
        <w:rPr>
          <w:rFonts w:cs="Arial"/>
          <w:vertAlign w:val="subscript"/>
        </w:rPr>
        <w:t>leach time 2</w:t>
      </w:r>
      <w:r w:rsidRPr="00275290">
        <w:rPr>
          <w:rFonts w:cs="Arial"/>
        </w:rPr>
        <w:t xml:space="preserve"> = 32.85 mg/m</w:t>
      </w:r>
      <w:r w:rsidRPr="00275290">
        <w:rPr>
          <w:rFonts w:cs="Arial"/>
          <w:vertAlign w:val="superscript"/>
        </w:rPr>
        <w:t>2</w:t>
      </w:r>
      <w:r w:rsidRPr="00275290">
        <w:rPr>
          <w:rFonts w:cs="Arial"/>
        </w:rPr>
        <w:t>.</w:t>
      </w:r>
    </w:p>
    <w:p w14:paraId="6121DEB4" w14:textId="77777777" w:rsidR="00692E71" w:rsidRPr="00275290" w:rsidRDefault="00692E71" w:rsidP="00692E71">
      <w:pPr>
        <w:rPr>
          <w:rFonts w:cs="Arial"/>
        </w:rPr>
      </w:pPr>
    </w:p>
    <w:p w14:paraId="6B6979D4" w14:textId="77777777" w:rsidR="00692E71" w:rsidRPr="00275290" w:rsidRDefault="00692E71" w:rsidP="00692E71">
      <w:pPr>
        <w:jc w:val="center"/>
      </w:pPr>
      <w:r w:rsidRPr="00275290">
        <w:rPr>
          <w:noProof/>
          <w:lang w:val="fr-FR" w:eastAsia="fr-FR"/>
        </w:rPr>
        <w:lastRenderedPageBreak/>
        <w:drawing>
          <wp:inline distT="0" distB="0" distL="0" distR="0" wp14:anchorId="634C9015" wp14:editId="0B406EB7">
            <wp:extent cx="4167962" cy="2500777"/>
            <wp:effectExtent l="0" t="0" r="444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9"/>
                    <a:stretch>
                      <a:fillRect/>
                    </a:stretch>
                  </pic:blipFill>
                  <pic:spPr>
                    <a:xfrm>
                      <a:off x="0" y="0"/>
                      <a:ext cx="4167441" cy="2500465"/>
                    </a:xfrm>
                    <a:prstGeom prst="rect">
                      <a:avLst/>
                    </a:prstGeom>
                  </pic:spPr>
                </pic:pic>
              </a:graphicData>
            </a:graphic>
          </wp:inline>
        </w:drawing>
      </w:r>
    </w:p>
    <w:p w14:paraId="48739D12" w14:textId="77777777" w:rsidR="00692E71" w:rsidRPr="00275290" w:rsidRDefault="00692E71" w:rsidP="00692E71">
      <w:pPr>
        <w:jc w:val="center"/>
        <w:rPr>
          <w:i/>
        </w:rPr>
      </w:pPr>
      <w:r w:rsidRPr="00275290">
        <w:rPr>
          <w:i/>
        </w:rPr>
        <w:t>Figure 1: Linear regression of the leaching data</w:t>
      </w:r>
    </w:p>
    <w:p w14:paraId="165D9A7A" w14:textId="77777777" w:rsidR="00692E71" w:rsidRPr="00575E63" w:rsidRDefault="00692E71" w:rsidP="00692E71"/>
    <w:p w14:paraId="1FFBF31E" w14:textId="77777777" w:rsidR="00692E71" w:rsidRPr="008551C7" w:rsidRDefault="00692E71" w:rsidP="008E0250">
      <w:pPr>
        <w:pStyle w:val="Titre6"/>
        <w:rPr>
          <w:lang w:val="en-US"/>
        </w:rPr>
      </w:pPr>
      <w:r w:rsidRPr="008551C7">
        <w:rPr>
          <w:lang w:val="en-US"/>
        </w:rPr>
        <w:t>House scenario, in-service of industrial treated wood</w:t>
      </w:r>
    </w:p>
    <w:p w14:paraId="1FAA939A" w14:textId="77777777" w:rsidR="00692E71" w:rsidRPr="00275290" w:rsidRDefault="00692E71" w:rsidP="00692E71">
      <w:pPr>
        <w:rPr>
          <w:rFonts w:cs="Arial"/>
        </w:rPr>
      </w:pPr>
    </w:p>
    <w:p w14:paraId="6DED3C48"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8</w:t>
      </w:r>
      <w:r w:rsidRPr="00275290">
        <w:rPr>
          <w:rFonts w:ascii="Verdana" w:hAnsi="Verdana"/>
        </w:rPr>
        <w:fldChar w:fldCharType="end"/>
      </w:r>
      <w:r w:rsidRPr="00275290">
        <w:rPr>
          <w:rFonts w:ascii="Verdana" w:hAnsi="Verdana"/>
        </w:rPr>
        <w:t>: Calculation of emissions from treated house in-service.</w:t>
      </w: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5"/>
        <w:gridCol w:w="1701"/>
        <w:gridCol w:w="2268"/>
        <w:gridCol w:w="1247"/>
        <w:gridCol w:w="786"/>
        <w:gridCol w:w="7"/>
      </w:tblGrid>
      <w:tr w:rsidR="00692E71" w:rsidRPr="00275290" w14:paraId="4472E49B" w14:textId="77777777" w:rsidTr="008E0250">
        <w:trPr>
          <w:gridAfter w:val="1"/>
          <w:wAfter w:w="7" w:type="dxa"/>
          <w:trHeight w:val="340"/>
        </w:trPr>
        <w:tc>
          <w:tcPr>
            <w:tcW w:w="3345" w:type="dxa"/>
            <w:shd w:val="clear" w:color="auto" w:fill="D9D9D9" w:themeFill="background1" w:themeFillShade="D9"/>
            <w:vAlign w:val="center"/>
          </w:tcPr>
          <w:p w14:paraId="412E7EFB" w14:textId="77777777" w:rsidR="00692E71" w:rsidRPr="00275290" w:rsidRDefault="00692E71" w:rsidP="008E0250">
            <w:pPr>
              <w:jc w:val="center"/>
              <w:rPr>
                <w:rFonts w:cs="Arial"/>
              </w:rPr>
            </w:pPr>
            <w:r w:rsidRPr="00275290">
              <w:rPr>
                <w:rFonts w:cs="Arial"/>
              </w:rPr>
              <w:t>Parameter/variable</w:t>
            </w:r>
          </w:p>
        </w:tc>
        <w:tc>
          <w:tcPr>
            <w:tcW w:w="1701" w:type="dxa"/>
            <w:shd w:val="clear" w:color="auto" w:fill="D9D9D9" w:themeFill="background1" w:themeFillShade="D9"/>
            <w:vAlign w:val="center"/>
          </w:tcPr>
          <w:p w14:paraId="2FCA4185" w14:textId="77777777" w:rsidR="00692E71" w:rsidRPr="00275290" w:rsidRDefault="00692E71" w:rsidP="008E0250">
            <w:pPr>
              <w:jc w:val="center"/>
              <w:rPr>
                <w:rFonts w:cs="Arial"/>
              </w:rPr>
            </w:pPr>
            <w:r w:rsidRPr="00275290">
              <w:rPr>
                <w:rFonts w:cs="Arial"/>
              </w:rPr>
              <w:t>Nomenclature</w:t>
            </w:r>
          </w:p>
        </w:tc>
        <w:tc>
          <w:tcPr>
            <w:tcW w:w="2268" w:type="dxa"/>
            <w:shd w:val="clear" w:color="auto" w:fill="D9D9D9" w:themeFill="background1" w:themeFillShade="D9"/>
            <w:vAlign w:val="center"/>
          </w:tcPr>
          <w:p w14:paraId="7D405917" w14:textId="77777777" w:rsidR="00692E71" w:rsidRPr="00275290" w:rsidRDefault="00692E71" w:rsidP="008E0250">
            <w:pPr>
              <w:jc w:val="center"/>
              <w:rPr>
                <w:rFonts w:cs="Arial"/>
              </w:rPr>
            </w:pPr>
            <w:r w:rsidRPr="00275290">
              <w:rPr>
                <w:rFonts w:cs="Arial"/>
              </w:rPr>
              <w:t>Value</w:t>
            </w:r>
          </w:p>
        </w:tc>
        <w:tc>
          <w:tcPr>
            <w:tcW w:w="1247" w:type="dxa"/>
            <w:shd w:val="clear" w:color="auto" w:fill="D9D9D9" w:themeFill="background1" w:themeFillShade="D9"/>
            <w:vAlign w:val="center"/>
          </w:tcPr>
          <w:p w14:paraId="28A6B607" w14:textId="77777777" w:rsidR="00692E71" w:rsidRPr="00275290" w:rsidRDefault="00692E71" w:rsidP="008E0250">
            <w:pPr>
              <w:jc w:val="center"/>
              <w:rPr>
                <w:rFonts w:cs="Arial"/>
              </w:rPr>
            </w:pPr>
            <w:r w:rsidRPr="00275290">
              <w:rPr>
                <w:rFonts w:cs="Arial"/>
              </w:rPr>
              <w:t>Unit</w:t>
            </w:r>
          </w:p>
        </w:tc>
        <w:tc>
          <w:tcPr>
            <w:tcW w:w="786" w:type="dxa"/>
            <w:shd w:val="clear" w:color="auto" w:fill="D9D9D9" w:themeFill="background1" w:themeFillShade="D9"/>
            <w:vAlign w:val="center"/>
          </w:tcPr>
          <w:p w14:paraId="1EA1E8F6" w14:textId="77777777" w:rsidR="00692E71" w:rsidRPr="00275290" w:rsidRDefault="00692E71" w:rsidP="008E0250">
            <w:pPr>
              <w:jc w:val="center"/>
              <w:rPr>
                <w:rFonts w:cs="Arial"/>
              </w:rPr>
            </w:pPr>
            <w:r w:rsidRPr="00275290">
              <w:rPr>
                <w:rFonts w:cs="Arial"/>
              </w:rPr>
              <w:t>Origin</w:t>
            </w:r>
          </w:p>
        </w:tc>
      </w:tr>
      <w:tr w:rsidR="00692E71" w:rsidRPr="00275290" w14:paraId="006F374E" w14:textId="77777777" w:rsidTr="008E0250">
        <w:trPr>
          <w:trHeight w:val="283"/>
        </w:trPr>
        <w:tc>
          <w:tcPr>
            <w:tcW w:w="9354" w:type="dxa"/>
            <w:gridSpan w:val="6"/>
            <w:vAlign w:val="center"/>
          </w:tcPr>
          <w:p w14:paraId="06B8F3D7" w14:textId="77777777" w:rsidR="00692E71" w:rsidRPr="00275290" w:rsidRDefault="00692E71" w:rsidP="008E0250">
            <w:pPr>
              <w:rPr>
                <w:rFonts w:cs="Arial"/>
                <w:b/>
              </w:rPr>
            </w:pPr>
            <w:r w:rsidRPr="00275290">
              <w:rPr>
                <w:rFonts w:cs="Arial"/>
                <w:b/>
              </w:rPr>
              <w:t>INPUTS</w:t>
            </w:r>
          </w:p>
        </w:tc>
      </w:tr>
      <w:tr w:rsidR="00692E71" w:rsidRPr="00275290" w14:paraId="55E841B3" w14:textId="77777777" w:rsidTr="008E0250">
        <w:trPr>
          <w:gridAfter w:val="1"/>
          <w:wAfter w:w="7" w:type="dxa"/>
        </w:trPr>
        <w:tc>
          <w:tcPr>
            <w:tcW w:w="3345" w:type="dxa"/>
            <w:vAlign w:val="center"/>
          </w:tcPr>
          <w:p w14:paraId="45A967A7" w14:textId="77777777" w:rsidR="00692E71" w:rsidRPr="00275290" w:rsidRDefault="00692E71" w:rsidP="008E0250">
            <w:pPr>
              <w:rPr>
                <w:rFonts w:cs="Arial"/>
                <w:i/>
                <w:iCs/>
              </w:rPr>
            </w:pPr>
            <w:r w:rsidRPr="00275290">
              <w:rPr>
                <w:rFonts w:cs="Arial"/>
              </w:rPr>
              <w:t>Leachable wood area</w:t>
            </w:r>
          </w:p>
        </w:tc>
        <w:tc>
          <w:tcPr>
            <w:tcW w:w="1701" w:type="dxa"/>
            <w:vAlign w:val="center"/>
          </w:tcPr>
          <w:p w14:paraId="0EFA53FA" w14:textId="77777777" w:rsidR="00692E71" w:rsidRPr="00275290" w:rsidRDefault="00692E71" w:rsidP="008E0250">
            <w:pPr>
              <w:rPr>
                <w:rFonts w:cs="Arial"/>
              </w:rPr>
            </w:pPr>
            <w:r w:rsidRPr="00275290">
              <w:rPr>
                <w:rFonts w:cs="Arial"/>
              </w:rPr>
              <w:t>AREA</w:t>
            </w:r>
            <w:r w:rsidRPr="00275290">
              <w:rPr>
                <w:rFonts w:cs="Arial"/>
                <w:vertAlign w:val="subscript"/>
              </w:rPr>
              <w:t>house</w:t>
            </w:r>
          </w:p>
        </w:tc>
        <w:tc>
          <w:tcPr>
            <w:tcW w:w="2268" w:type="dxa"/>
            <w:vAlign w:val="center"/>
          </w:tcPr>
          <w:p w14:paraId="347468C0" w14:textId="77777777" w:rsidR="00692E71" w:rsidRPr="00275290" w:rsidRDefault="00692E71" w:rsidP="008E0250">
            <w:pPr>
              <w:jc w:val="center"/>
              <w:rPr>
                <w:rFonts w:cs="Arial"/>
              </w:rPr>
            </w:pPr>
            <w:r w:rsidRPr="00275290">
              <w:rPr>
                <w:rFonts w:cs="Arial"/>
              </w:rPr>
              <w:t>125</w:t>
            </w:r>
          </w:p>
        </w:tc>
        <w:tc>
          <w:tcPr>
            <w:tcW w:w="1247" w:type="dxa"/>
            <w:vAlign w:val="center"/>
          </w:tcPr>
          <w:p w14:paraId="70E359CD" w14:textId="77777777" w:rsidR="00692E71" w:rsidRPr="00275290" w:rsidRDefault="00692E71" w:rsidP="008E0250">
            <w:pPr>
              <w:jc w:val="center"/>
              <w:rPr>
                <w:rFonts w:cs="Arial"/>
                <w:i/>
                <w:iCs/>
              </w:rPr>
            </w:pPr>
            <w:r w:rsidRPr="00275290">
              <w:rPr>
                <w:rFonts w:cs="Arial"/>
              </w:rPr>
              <w:t>[m²/d]</w:t>
            </w:r>
          </w:p>
        </w:tc>
        <w:tc>
          <w:tcPr>
            <w:tcW w:w="786" w:type="dxa"/>
            <w:vAlign w:val="center"/>
          </w:tcPr>
          <w:p w14:paraId="5CF8F552" w14:textId="77777777" w:rsidR="00692E71" w:rsidRPr="00275290" w:rsidRDefault="00692E71" w:rsidP="008E0250">
            <w:pPr>
              <w:jc w:val="center"/>
              <w:rPr>
                <w:rFonts w:cs="Arial"/>
              </w:rPr>
            </w:pPr>
            <w:r w:rsidRPr="00275290">
              <w:rPr>
                <w:rFonts w:cs="Arial"/>
              </w:rPr>
              <w:t>D</w:t>
            </w:r>
          </w:p>
        </w:tc>
      </w:tr>
      <w:tr w:rsidR="00692E71" w:rsidRPr="00275290" w14:paraId="0C59A7E7" w14:textId="77777777" w:rsidTr="008E0250">
        <w:trPr>
          <w:gridAfter w:val="1"/>
          <w:wAfter w:w="7" w:type="dxa"/>
        </w:trPr>
        <w:tc>
          <w:tcPr>
            <w:tcW w:w="3345" w:type="dxa"/>
            <w:vAlign w:val="center"/>
          </w:tcPr>
          <w:p w14:paraId="4A2D53FB" w14:textId="77777777" w:rsidR="00692E71" w:rsidRPr="00275290" w:rsidRDefault="00692E71" w:rsidP="008E0250">
            <w:pPr>
              <w:rPr>
                <w:rFonts w:cs="Arial"/>
              </w:rPr>
            </w:pPr>
            <w:r w:rsidRPr="00275290">
              <w:rPr>
                <w:rFonts w:cs="Arial"/>
              </w:rPr>
              <w:t>Duration of the initial assessment period</w:t>
            </w:r>
          </w:p>
        </w:tc>
        <w:tc>
          <w:tcPr>
            <w:tcW w:w="1701" w:type="dxa"/>
            <w:vAlign w:val="center"/>
          </w:tcPr>
          <w:p w14:paraId="47FBA9DC" w14:textId="77777777" w:rsidR="00692E71" w:rsidRPr="00275290" w:rsidRDefault="00692E71" w:rsidP="008E0250">
            <w:pPr>
              <w:rPr>
                <w:rFonts w:cs="Arial"/>
              </w:rPr>
            </w:pPr>
            <w:r w:rsidRPr="00275290">
              <w:rPr>
                <w:rFonts w:cs="Arial"/>
              </w:rPr>
              <w:t>TIME1</w:t>
            </w:r>
          </w:p>
        </w:tc>
        <w:tc>
          <w:tcPr>
            <w:tcW w:w="2268" w:type="dxa"/>
            <w:vAlign w:val="center"/>
          </w:tcPr>
          <w:p w14:paraId="1CB0496C" w14:textId="77777777" w:rsidR="00692E71" w:rsidRPr="00275290" w:rsidRDefault="00692E71" w:rsidP="008E0250">
            <w:pPr>
              <w:jc w:val="center"/>
              <w:rPr>
                <w:rFonts w:cs="Arial"/>
              </w:rPr>
            </w:pPr>
            <w:r w:rsidRPr="00275290">
              <w:rPr>
                <w:rFonts w:cs="Arial"/>
              </w:rPr>
              <w:t>30</w:t>
            </w:r>
          </w:p>
        </w:tc>
        <w:tc>
          <w:tcPr>
            <w:tcW w:w="1247" w:type="dxa"/>
            <w:vAlign w:val="center"/>
          </w:tcPr>
          <w:p w14:paraId="31FD6850" w14:textId="77777777" w:rsidR="00692E71" w:rsidRPr="00275290" w:rsidRDefault="00692E71" w:rsidP="008E0250">
            <w:pPr>
              <w:jc w:val="center"/>
              <w:rPr>
                <w:rFonts w:cs="Arial"/>
              </w:rPr>
            </w:pPr>
            <w:r w:rsidRPr="00275290">
              <w:rPr>
                <w:rFonts w:cs="Arial"/>
              </w:rPr>
              <w:t>[d]</w:t>
            </w:r>
          </w:p>
        </w:tc>
        <w:tc>
          <w:tcPr>
            <w:tcW w:w="786" w:type="dxa"/>
            <w:vAlign w:val="center"/>
          </w:tcPr>
          <w:p w14:paraId="619781C1" w14:textId="77777777" w:rsidR="00692E71" w:rsidRPr="00275290" w:rsidRDefault="00692E71" w:rsidP="008E0250">
            <w:pPr>
              <w:jc w:val="center"/>
              <w:rPr>
                <w:rFonts w:cs="Arial"/>
              </w:rPr>
            </w:pPr>
            <w:r w:rsidRPr="00275290">
              <w:rPr>
                <w:rFonts w:cs="Arial"/>
              </w:rPr>
              <w:t>D</w:t>
            </w:r>
          </w:p>
        </w:tc>
      </w:tr>
      <w:tr w:rsidR="00692E71" w:rsidRPr="00275290" w14:paraId="65A4900C" w14:textId="77777777" w:rsidTr="008E0250">
        <w:trPr>
          <w:gridAfter w:val="1"/>
          <w:wAfter w:w="7" w:type="dxa"/>
        </w:trPr>
        <w:tc>
          <w:tcPr>
            <w:tcW w:w="3345" w:type="dxa"/>
            <w:vAlign w:val="center"/>
          </w:tcPr>
          <w:p w14:paraId="668AF3C6" w14:textId="77777777" w:rsidR="00692E71" w:rsidRPr="00275290" w:rsidRDefault="00692E71" w:rsidP="008E0250">
            <w:pPr>
              <w:rPr>
                <w:rFonts w:cs="Arial"/>
              </w:rPr>
            </w:pPr>
            <w:r w:rsidRPr="00275290">
              <w:rPr>
                <w:rFonts w:cs="Arial"/>
              </w:rPr>
              <w:t xml:space="preserve">Duration of the long-term assessment period </w:t>
            </w:r>
          </w:p>
        </w:tc>
        <w:tc>
          <w:tcPr>
            <w:tcW w:w="1701" w:type="dxa"/>
            <w:vAlign w:val="center"/>
          </w:tcPr>
          <w:p w14:paraId="7BB6EF3B" w14:textId="77777777" w:rsidR="00692E71" w:rsidRPr="00275290" w:rsidRDefault="00692E71" w:rsidP="008E0250">
            <w:pPr>
              <w:rPr>
                <w:rFonts w:cs="Arial"/>
              </w:rPr>
            </w:pPr>
            <w:r w:rsidRPr="00275290">
              <w:rPr>
                <w:rFonts w:cs="Arial"/>
              </w:rPr>
              <w:t>TIME2</w:t>
            </w:r>
          </w:p>
        </w:tc>
        <w:tc>
          <w:tcPr>
            <w:tcW w:w="2268" w:type="dxa"/>
            <w:vAlign w:val="center"/>
          </w:tcPr>
          <w:p w14:paraId="3404B7C0" w14:textId="77777777" w:rsidR="00692E71" w:rsidRPr="00275290" w:rsidRDefault="00692E71" w:rsidP="008E0250">
            <w:pPr>
              <w:jc w:val="center"/>
              <w:rPr>
                <w:rFonts w:cs="Arial"/>
              </w:rPr>
            </w:pPr>
            <w:r w:rsidRPr="00275290">
              <w:rPr>
                <w:rFonts w:cs="Arial"/>
              </w:rPr>
              <w:t>1825</w:t>
            </w:r>
          </w:p>
        </w:tc>
        <w:tc>
          <w:tcPr>
            <w:tcW w:w="1247" w:type="dxa"/>
            <w:vAlign w:val="center"/>
          </w:tcPr>
          <w:p w14:paraId="340A0A68" w14:textId="77777777" w:rsidR="00692E71" w:rsidRPr="00275290" w:rsidRDefault="00692E71" w:rsidP="008E0250">
            <w:pPr>
              <w:jc w:val="center"/>
              <w:rPr>
                <w:rFonts w:cs="Arial"/>
              </w:rPr>
            </w:pPr>
            <w:r w:rsidRPr="00275290">
              <w:rPr>
                <w:rFonts w:cs="Arial"/>
              </w:rPr>
              <w:t>[d]</w:t>
            </w:r>
          </w:p>
        </w:tc>
        <w:tc>
          <w:tcPr>
            <w:tcW w:w="786" w:type="dxa"/>
            <w:vAlign w:val="center"/>
          </w:tcPr>
          <w:p w14:paraId="003E0077" w14:textId="77777777" w:rsidR="00692E71" w:rsidRPr="00275290" w:rsidRDefault="00692E71" w:rsidP="008E0250">
            <w:pPr>
              <w:jc w:val="center"/>
              <w:rPr>
                <w:rFonts w:cs="Arial"/>
              </w:rPr>
            </w:pPr>
            <w:r w:rsidRPr="00275290">
              <w:rPr>
                <w:rFonts w:cs="Arial"/>
              </w:rPr>
              <w:t>D</w:t>
            </w:r>
          </w:p>
        </w:tc>
      </w:tr>
      <w:tr w:rsidR="00692E71" w:rsidRPr="00275290" w14:paraId="396E953D" w14:textId="77777777" w:rsidTr="008E0250">
        <w:trPr>
          <w:gridAfter w:val="1"/>
          <w:wAfter w:w="7" w:type="dxa"/>
          <w:cantSplit/>
        </w:trPr>
        <w:tc>
          <w:tcPr>
            <w:tcW w:w="3345" w:type="dxa"/>
            <w:vAlign w:val="center"/>
          </w:tcPr>
          <w:p w14:paraId="75370CC0" w14:textId="77777777" w:rsidR="00692E71" w:rsidRPr="00275290" w:rsidRDefault="00692E71" w:rsidP="008E0250">
            <w:pPr>
              <w:rPr>
                <w:rFonts w:cs="Arial"/>
              </w:rPr>
            </w:pPr>
            <w:r w:rsidRPr="00275290">
              <w:rPr>
                <w:rFonts w:cs="Arial"/>
              </w:rPr>
              <w:t xml:space="preserve">Cumulative quantity of active substance, leached out of 1 m² of treated wood over the initial assessment period </w:t>
            </w:r>
            <w:r w:rsidRPr="00275290">
              <w:rPr>
                <w:rFonts w:cs="Arial"/>
                <w:iCs/>
              </w:rPr>
              <w:t>(30d)</w:t>
            </w:r>
          </w:p>
        </w:tc>
        <w:tc>
          <w:tcPr>
            <w:tcW w:w="1701" w:type="dxa"/>
            <w:vAlign w:val="center"/>
          </w:tcPr>
          <w:p w14:paraId="5BF11BA8" w14:textId="77777777" w:rsidR="00692E71" w:rsidRPr="00275290" w:rsidRDefault="00692E71" w:rsidP="008E0250">
            <w:pPr>
              <w:rPr>
                <w:rFonts w:cs="Arial"/>
              </w:rPr>
            </w:pPr>
            <w:r w:rsidRPr="00275290">
              <w:rPr>
                <w:rFonts w:cs="Arial"/>
              </w:rPr>
              <w:t>Q*</w:t>
            </w:r>
            <w:r w:rsidRPr="00275290">
              <w:rPr>
                <w:rFonts w:cs="Arial"/>
                <w:vertAlign w:val="subscript"/>
              </w:rPr>
              <w:t>leach, time 1</w:t>
            </w:r>
            <w:r w:rsidRPr="00275290">
              <w:rPr>
                <w:rFonts w:cs="Arial"/>
              </w:rPr>
              <w:t xml:space="preserve"> </w:t>
            </w:r>
          </w:p>
        </w:tc>
        <w:tc>
          <w:tcPr>
            <w:tcW w:w="2268" w:type="dxa"/>
            <w:vAlign w:val="center"/>
          </w:tcPr>
          <w:p w14:paraId="4BBEEA40" w14:textId="77777777" w:rsidR="00692E71" w:rsidRPr="00275290" w:rsidRDefault="00692E71" w:rsidP="008E0250">
            <w:pPr>
              <w:jc w:val="center"/>
              <w:rPr>
                <w:rFonts w:cs="Arial"/>
              </w:rPr>
            </w:pPr>
            <w:r w:rsidRPr="00275290">
              <w:rPr>
                <w:rFonts w:cs="Arial"/>
              </w:rPr>
              <w:t>5.04 (IPBC)</w:t>
            </w:r>
          </w:p>
          <w:p w14:paraId="762D7A81" w14:textId="77777777" w:rsidR="00692E71" w:rsidRPr="00275290" w:rsidRDefault="00692E71" w:rsidP="008E0250">
            <w:pPr>
              <w:jc w:val="center"/>
              <w:rPr>
                <w:rFonts w:cs="Arial"/>
              </w:rPr>
            </w:pPr>
            <w:r w:rsidRPr="00275290">
              <w:rPr>
                <w:rFonts w:cs="Arial"/>
              </w:rPr>
              <w:t>20.44 (propiconazole)</w:t>
            </w:r>
          </w:p>
          <w:p w14:paraId="49C19E39" w14:textId="77777777" w:rsidR="00692E71" w:rsidRPr="00275290" w:rsidRDefault="00692E71" w:rsidP="008E0250">
            <w:pPr>
              <w:jc w:val="center"/>
              <w:rPr>
                <w:rFonts w:cs="Arial"/>
              </w:rPr>
            </w:pPr>
            <w:r w:rsidRPr="00275290">
              <w:rPr>
                <w:rFonts w:cs="Arial"/>
              </w:rPr>
              <w:t>8.96 (tebuconazole)</w:t>
            </w:r>
          </w:p>
          <w:p w14:paraId="23DFD82F" w14:textId="77777777" w:rsidR="00692E71" w:rsidRPr="00275290" w:rsidRDefault="00692E71" w:rsidP="008E0250">
            <w:pPr>
              <w:jc w:val="center"/>
              <w:rPr>
                <w:rFonts w:cs="Arial"/>
              </w:rPr>
            </w:pPr>
            <w:r w:rsidRPr="00275290">
              <w:rPr>
                <w:rFonts w:cs="Arial"/>
              </w:rPr>
              <w:t>0.06 (cypermethrin)</w:t>
            </w:r>
          </w:p>
        </w:tc>
        <w:tc>
          <w:tcPr>
            <w:tcW w:w="1247" w:type="dxa"/>
            <w:vAlign w:val="center"/>
          </w:tcPr>
          <w:p w14:paraId="5D7556FE"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786" w:type="dxa"/>
            <w:vAlign w:val="center"/>
          </w:tcPr>
          <w:p w14:paraId="799738E5" w14:textId="77777777" w:rsidR="00692E71" w:rsidRPr="00275290" w:rsidRDefault="00692E71" w:rsidP="008E0250">
            <w:pPr>
              <w:jc w:val="center"/>
              <w:rPr>
                <w:rFonts w:cs="Arial"/>
              </w:rPr>
            </w:pPr>
            <w:r w:rsidRPr="00275290">
              <w:rPr>
                <w:rFonts w:cs="Arial"/>
              </w:rPr>
              <w:t>A</w:t>
            </w:r>
          </w:p>
        </w:tc>
      </w:tr>
      <w:tr w:rsidR="00692E71" w:rsidRPr="00275290" w14:paraId="43E242E8" w14:textId="77777777" w:rsidTr="008E0250">
        <w:trPr>
          <w:gridAfter w:val="1"/>
          <w:wAfter w:w="7" w:type="dxa"/>
          <w:cantSplit/>
        </w:trPr>
        <w:tc>
          <w:tcPr>
            <w:tcW w:w="3345" w:type="dxa"/>
            <w:vAlign w:val="center"/>
          </w:tcPr>
          <w:p w14:paraId="62601C4D" w14:textId="77777777" w:rsidR="00692E71" w:rsidRPr="00275290" w:rsidRDefault="00692E71" w:rsidP="008E0250">
            <w:pPr>
              <w:rPr>
                <w:rFonts w:cs="Arial"/>
              </w:rPr>
            </w:pPr>
            <w:r w:rsidRPr="00275290">
              <w:rPr>
                <w:rFonts w:cs="Arial"/>
              </w:rPr>
              <w:t xml:space="preserve">Cumulative quantity of active substance, leached out of 1 m² of treated wood over the longer assessment period </w:t>
            </w:r>
            <w:r w:rsidRPr="00275290">
              <w:rPr>
                <w:rFonts w:cs="Arial"/>
                <w:iCs/>
              </w:rPr>
              <w:t>(5475d)</w:t>
            </w:r>
          </w:p>
        </w:tc>
        <w:tc>
          <w:tcPr>
            <w:tcW w:w="1701" w:type="dxa"/>
            <w:vAlign w:val="center"/>
          </w:tcPr>
          <w:p w14:paraId="1C2A9955" w14:textId="77777777" w:rsidR="00692E71" w:rsidRPr="00275290" w:rsidRDefault="00692E71" w:rsidP="008E0250">
            <w:pPr>
              <w:rPr>
                <w:rFonts w:cs="Arial"/>
              </w:rPr>
            </w:pPr>
            <w:r w:rsidRPr="00275290">
              <w:rPr>
                <w:rFonts w:cs="Arial"/>
              </w:rPr>
              <w:t>Q*</w:t>
            </w:r>
            <w:r w:rsidRPr="00275290">
              <w:rPr>
                <w:rFonts w:cs="Arial"/>
                <w:vertAlign w:val="subscript"/>
              </w:rPr>
              <w:t>leach, time 2</w:t>
            </w:r>
            <w:r w:rsidRPr="00275290">
              <w:rPr>
                <w:rFonts w:cs="Arial"/>
              </w:rPr>
              <w:t xml:space="preserve"> </w:t>
            </w:r>
          </w:p>
        </w:tc>
        <w:tc>
          <w:tcPr>
            <w:tcW w:w="2268" w:type="dxa"/>
            <w:vAlign w:val="center"/>
          </w:tcPr>
          <w:p w14:paraId="2948FFD0" w14:textId="77777777" w:rsidR="00692E71" w:rsidRPr="00275290" w:rsidRDefault="00692E71" w:rsidP="008E0250">
            <w:pPr>
              <w:jc w:val="center"/>
              <w:rPr>
                <w:rFonts w:cs="Arial"/>
              </w:rPr>
            </w:pPr>
            <w:r w:rsidRPr="00275290">
              <w:rPr>
                <w:rFonts w:cs="Arial"/>
              </w:rPr>
              <w:t xml:space="preserve">32.98 (IPBC) </w:t>
            </w:r>
          </w:p>
          <w:p w14:paraId="708A8F4C" w14:textId="77777777" w:rsidR="00692E71" w:rsidRPr="00275290" w:rsidRDefault="00692E71" w:rsidP="008E0250">
            <w:pPr>
              <w:jc w:val="center"/>
              <w:rPr>
                <w:rFonts w:cs="Arial"/>
              </w:rPr>
            </w:pPr>
            <w:r w:rsidRPr="00275290">
              <w:rPr>
                <w:rFonts w:cs="Arial"/>
              </w:rPr>
              <w:t>183.34 (propiconazole)</w:t>
            </w:r>
          </w:p>
          <w:p w14:paraId="0EA8546B" w14:textId="77777777" w:rsidR="00692E71" w:rsidRPr="00275290" w:rsidRDefault="00692E71" w:rsidP="008E0250">
            <w:pPr>
              <w:jc w:val="center"/>
              <w:rPr>
                <w:rFonts w:cs="Arial"/>
              </w:rPr>
            </w:pPr>
            <w:r w:rsidRPr="00275290">
              <w:rPr>
                <w:rFonts w:cs="Arial"/>
              </w:rPr>
              <w:t>68.30 (tebuconazole)</w:t>
            </w:r>
          </w:p>
          <w:p w14:paraId="6ABB3F72" w14:textId="77777777" w:rsidR="00692E71" w:rsidRPr="00275290" w:rsidRDefault="00692E71" w:rsidP="008E0250">
            <w:pPr>
              <w:jc w:val="center"/>
              <w:rPr>
                <w:rFonts w:cs="Arial"/>
              </w:rPr>
            </w:pPr>
            <w:r w:rsidRPr="00275290">
              <w:rPr>
                <w:rFonts w:cs="Arial"/>
              </w:rPr>
              <w:t>5.84 (cypermethrin)</w:t>
            </w:r>
          </w:p>
        </w:tc>
        <w:tc>
          <w:tcPr>
            <w:tcW w:w="1247" w:type="dxa"/>
            <w:vAlign w:val="center"/>
          </w:tcPr>
          <w:p w14:paraId="2C7DE98F"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786" w:type="dxa"/>
            <w:vAlign w:val="center"/>
          </w:tcPr>
          <w:p w14:paraId="7575D110" w14:textId="77777777" w:rsidR="00692E71" w:rsidRPr="00275290" w:rsidRDefault="00692E71" w:rsidP="008E0250">
            <w:pPr>
              <w:jc w:val="center"/>
              <w:rPr>
                <w:rFonts w:cs="Arial"/>
              </w:rPr>
            </w:pPr>
            <w:r w:rsidRPr="00275290">
              <w:rPr>
                <w:rFonts w:cs="Arial"/>
              </w:rPr>
              <w:t>A</w:t>
            </w:r>
          </w:p>
        </w:tc>
      </w:tr>
      <w:tr w:rsidR="00692E71" w:rsidRPr="00275290" w14:paraId="2307026E" w14:textId="77777777" w:rsidTr="008E0250">
        <w:trPr>
          <w:gridAfter w:val="1"/>
          <w:wAfter w:w="7" w:type="dxa"/>
        </w:trPr>
        <w:tc>
          <w:tcPr>
            <w:tcW w:w="3345" w:type="dxa"/>
            <w:vAlign w:val="center"/>
          </w:tcPr>
          <w:p w14:paraId="5A2D8DEE" w14:textId="77777777" w:rsidR="00692E71" w:rsidRPr="00275290" w:rsidRDefault="00692E71" w:rsidP="008E0250">
            <w:pPr>
              <w:rPr>
                <w:rFonts w:cs="Arial"/>
              </w:rPr>
            </w:pPr>
            <w:r w:rsidRPr="00275290">
              <w:rPr>
                <w:rFonts w:cs="Arial"/>
              </w:rPr>
              <w:t>Volume of (wet) soil</w:t>
            </w:r>
          </w:p>
        </w:tc>
        <w:tc>
          <w:tcPr>
            <w:tcW w:w="1701" w:type="dxa"/>
            <w:vAlign w:val="center"/>
          </w:tcPr>
          <w:p w14:paraId="20AAC086" w14:textId="77777777" w:rsidR="00692E71" w:rsidRPr="00275290" w:rsidRDefault="00692E71" w:rsidP="008E0250">
            <w:pPr>
              <w:rPr>
                <w:rFonts w:cs="Arial"/>
              </w:rPr>
            </w:pPr>
            <w:r w:rsidRPr="00275290">
              <w:rPr>
                <w:rFonts w:cs="Arial"/>
              </w:rPr>
              <w:t>V</w:t>
            </w:r>
            <w:r w:rsidRPr="00275290">
              <w:rPr>
                <w:rFonts w:cs="Arial"/>
                <w:vertAlign w:val="subscript"/>
              </w:rPr>
              <w:t>soil</w:t>
            </w:r>
          </w:p>
        </w:tc>
        <w:tc>
          <w:tcPr>
            <w:tcW w:w="2268" w:type="dxa"/>
            <w:vAlign w:val="center"/>
          </w:tcPr>
          <w:p w14:paraId="51A89F15" w14:textId="77777777" w:rsidR="00692E71" w:rsidRPr="00275290" w:rsidRDefault="00692E71" w:rsidP="008E0250">
            <w:pPr>
              <w:jc w:val="center"/>
              <w:rPr>
                <w:rFonts w:cs="Arial"/>
              </w:rPr>
            </w:pPr>
            <w:r w:rsidRPr="00275290">
              <w:rPr>
                <w:rFonts w:cs="Arial"/>
              </w:rPr>
              <w:t>13</w:t>
            </w:r>
          </w:p>
        </w:tc>
        <w:tc>
          <w:tcPr>
            <w:tcW w:w="1247" w:type="dxa"/>
            <w:vAlign w:val="center"/>
          </w:tcPr>
          <w:p w14:paraId="4CEBD0A1"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w:t>
            </w:r>
          </w:p>
        </w:tc>
        <w:tc>
          <w:tcPr>
            <w:tcW w:w="786" w:type="dxa"/>
            <w:vAlign w:val="center"/>
          </w:tcPr>
          <w:p w14:paraId="0DAF8ED4" w14:textId="77777777" w:rsidR="00692E71" w:rsidRPr="00275290" w:rsidRDefault="00692E71" w:rsidP="008E0250">
            <w:pPr>
              <w:jc w:val="center"/>
              <w:rPr>
                <w:rFonts w:cs="Arial"/>
              </w:rPr>
            </w:pPr>
            <w:r w:rsidRPr="00275290">
              <w:rPr>
                <w:rFonts w:cs="Arial"/>
              </w:rPr>
              <w:t>D</w:t>
            </w:r>
          </w:p>
        </w:tc>
      </w:tr>
      <w:tr w:rsidR="00692E71" w:rsidRPr="00275290" w14:paraId="48F96393" w14:textId="77777777" w:rsidTr="008E0250">
        <w:trPr>
          <w:gridAfter w:val="1"/>
          <w:wAfter w:w="7" w:type="dxa"/>
        </w:trPr>
        <w:tc>
          <w:tcPr>
            <w:tcW w:w="3345" w:type="dxa"/>
            <w:vAlign w:val="center"/>
          </w:tcPr>
          <w:p w14:paraId="5EF4FE44" w14:textId="77777777" w:rsidR="00692E71" w:rsidRPr="00275290" w:rsidRDefault="00692E71" w:rsidP="008E0250">
            <w:pPr>
              <w:rPr>
                <w:rFonts w:cs="Arial"/>
              </w:rPr>
            </w:pPr>
            <w:r w:rsidRPr="00275290">
              <w:rPr>
                <w:rFonts w:cs="Arial"/>
              </w:rPr>
              <w:t>Bulk density of (wet) soil</w:t>
            </w:r>
          </w:p>
        </w:tc>
        <w:tc>
          <w:tcPr>
            <w:tcW w:w="1701" w:type="dxa"/>
            <w:vAlign w:val="center"/>
          </w:tcPr>
          <w:p w14:paraId="77CB5B67" w14:textId="77777777" w:rsidR="00692E71" w:rsidRPr="00275290" w:rsidRDefault="00692E71" w:rsidP="008E0250">
            <w:pPr>
              <w:rPr>
                <w:rFonts w:cs="Arial"/>
              </w:rPr>
            </w:pPr>
            <w:r w:rsidRPr="00275290">
              <w:rPr>
                <w:rFonts w:cs="Arial"/>
              </w:rPr>
              <w:t>RHO</w:t>
            </w:r>
            <w:r w:rsidRPr="00275290">
              <w:rPr>
                <w:rFonts w:cs="Arial"/>
                <w:vertAlign w:val="subscript"/>
              </w:rPr>
              <w:t>soil</w:t>
            </w:r>
          </w:p>
        </w:tc>
        <w:tc>
          <w:tcPr>
            <w:tcW w:w="2268" w:type="dxa"/>
            <w:vAlign w:val="center"/>
          </w:tcPr>
          <w:p w14:paraId="4F7E836A" w14:textId="77777777" w:rsidR="00692E71" w:rsidRPr="00275290" w:rsidRDefault="00692E71" w:rsidP="008E0250">
            <w:pPr>
              <w:jc w:val="center"/>
              <w:rPr>
                <w:rFonts w:cs="Arial"/>
              </w:rPr>
            </w:pPr>
            <w:r w:rsidRPr="00275290">
              <w:rPr>
                <w:rFonts w:cs="Arial"/>
              </w:rPr>
              <w:t>1700</w:t>
            </w:r>
          </w:p>
        </w:tc>
        <w:tc>
          <w:tcPr>
            <w:tcW w:w="1247" w:type="dxa"/>
            <w:vAlign w:val="center"/>
          </w:tcPr>
          <w:p w14:paraId="4384633B" w14:textId="77777777" w:rsidR="00692E71" w:rsidRPr="00275290" w:rsidRDefault="00692E71" w:rsidP="008E0250">
            <w:pPr>
              <w:jc w:val="center"/>
              <w:rPr>
                <w:rFonts w:cs="Arial"/>
              </w:rPr>
            </w:pPr>
            <w:r w:rsidRPr="00275290">
              <w:rPr>
                <w:rFonts w:cs="Arial"/>
              </w:rPr>
              <w:t>[kg.m</w:t>
            </w:r>
            <w:r w:rsidRPr="00275290">
              <w:rPr>
                <w:rFonts w:cs="Arial"/>
                <w:vertAlign w:val="superscript"/>
              </w:rPr>
              <w:t>-3</w:t>
            </w:r>
            <w:r w:rsidRPr="00275290">
              <w:rPr>
                <w:rFonts w:cs="Arial"/>
              </w:rPr>
              <w:t>]</w:t>
            </w:r>
          </w:p>
        </w:tc>
        <w:tc>
          <w:tcPr>
            <w:tcW w:w="786" w:type="dxa"/>
            <w:vAlign w:val="center"/>
          </w:tcPr>
          <w:p w14:paraId="48DFB396" w14:textId="77777777" w:rsidR="00692E71" w:rsidRPr="00275290" w:rsidRDefault="00692E71" w:rsidP="008E0250">
            <w:pPr>
              <w:jc w:val="center"/>
              <w:rPr>
                <w:rFonts w:cs="Arial"/>
              </w:rPr>
            </w:pPr>
            <w:r w:rsidRPr="00275290">
              <w:rPr>
                <w:rFonts w:cs="Arial"/>
              </w:rPr>
              <w:t>D</w:t>
            </w:r>
          </w:p>
        </w:tc>
      </w:tr>
      <w:tr w:rsidR="00692E71" w:rsidRPr="00275290" w14:paraId="69B78395" w14:textId="77777777" w:rsidTr="008E0250">
        <w:tc>
          <w:tcPr>
            <w:tcW w:w="9354" w:type="dxa"/>
            <w:gridSpan w:val="6"/>
            <w:vAlign w:val="center"/>
          </w:tcPr>
          <w:p w14:paraId="226DCF54" w14:textId="77777777" w:rsidR="00692E71" w:rsidRPr="00275290" w:rsidRDefault="00692E71" w:rsidP="008E0250">
            <w:pPr>
              <w:rPr>
                <w:rFonts w:cs="Arial"/>
                <w:b/>
              </w:rPr>
            </w:pPr>
            <w:r w:rsidRPr="00275290">
              <w:rPr>
                <w:rFonts w:cs="Arial"/>
                <w:b/>
              </w:rPr>
              <w:t>OUTPUT EMISSIONS</w:t>
            </w:r>
          </w:p>
        </w:tc>
      </w:tr>
      <w:tr w:rsidR="00692E71" w:rsidRPr="00275290" w14:paraId="447E16F1" w14:textId="77777777" w:rsidTr="008E0250">
        <w:trPr>
          <w:gridAfter w:val="1"/>
          <w:wAfter w:w="7" w:type="dxa"/>
        </w:trPr>
        <w:tc>
          <w:tcPr>
            <w:tcW w:w="3345" w:type="dxa"/>
            <w:vAlign w:val="center"/>
          </w:tcPr>
          <w:p w14:paraId="403FE291" w14:textId="77777777" w:rsidR="00692E71" w:rsidRPr="00275290" w:rsidRDefault="00692E71" w:rsidP="008E0250">
            <w:pPr>
              <w:rPr>
                <w:rFonts w:cs="Arial"/>
              </w:rPr>
            </w:pPr>
            <w:r w:rsidRPr="00275290">
              <w:rPr>
                <w:rFonts w:cs="Arial"/>
              </w:rPr>
              <w:t>Cumulative quantity of active substance, leached over the initial assessment period (30d)</w:t>
            </w:r>
          </w:p>
        </w:tc>
        <w:tc>
          <w:tcPr>
            <w:tcW w:w="1701" w:type="dxa"/>
            <w:vAlign w:val="center"/>
          </w:tcPr>
          <w:p w14:paraId="6DE39CAE" w14:textId="77777777" w:rsidR="00692E71" w:rsidRPr="00275290" w:rsidRDefault="00692E71" w:rsidP="008E0250">
            <w:pPr>
              <w:rPr>
                <w:rFonts w:cs="Arial"/>
              </w:rPr>
            </w:pPr>
            <w:r w:rsidRPr="00275290">
              <w:rPr>
                <w:rFonts w:cs="Arial"/>
              </w:rPr>
              <w:t>Q</w:t>
            </w:r>
            <w:r w:rsidRPr="00275290">
              <w:rPr>
                <w:rFonts w:cs="Arial"/>
                <w:vertAlign w:val="subscript"/>
              </w:rPr>
              <w:t>leach, time 1</w:t>
            </w:r>
          </w:p>
        </w:tc>
        <w:tc>
          <w:tcPr>
            <w:tcW w:w="2268" w:type="dxa"/>
            <w:vAlign w:val="center"/>
          </w:tcPr>
          <w:p w14:paraId="4FFEAE67" w14:textId="77777777" w:rsidR="00692E71" w:rsidRPr="00275290" w:rsidRDefault="00692E71" w:rsidP="008E0250">
            <w:pPr>
              <w:jc w:val="center"/>
              <w:rPr>
                <w:rFonts w:cs="Arial"/>
              </w:rPr>
            </w:pPr>
            <w:r w:rsidRPr="00275290">
              <w:rPr>
                <w:rFonts w:cs="Arial"/>
              </w:rPr>
              <w:t>630 (IPBC)</w:t>
            </w:r>
          </w:p>
          <w:p w14:paraId="78759489" w14:textId="77777777" w:rsidR="00692E71" w:rsidRPr="00275290" w:rsidRDefault="00692E71" w:rsidP="008E0250">
            <w:pPr>
              <w:jc w:val="center"/>
              <w:rPr>
                <w:rFonts w:cs="Arial"/>
              </w:rPr>
            </w:pPr>
            <w:r w:rsidRPr="00275290">
              <w:rPr>
                <w:rFonts w:cs="Arial"/>
              </w:rPr>
              <w:t>2554 (propiconazole)</w:t>
            </w:r>
          </w:p>
          <w:p w14:paraId="51D033EB" w14:textId="77777777" w:rsidR="00692E71" w:rsidRPr="00275290" w:rsidRDefault="00692E71" w:rsidP="008E0250">
            <w:pPr>
              <w:jc w:val="center"/>
              <w:rPr>
                <w:rFonts w:cs="Arial"/>
              </w:rPr>
            </w:pPr>
            <w:r w:rsidRPr="00275290">
              <w:rPr>
                <w:rFonts w:cs="Arial"/>
              </w:rPr>
              <w:t>1120 (tebuconazole)</w:t>
            </w:r>
          </w:p>
          <w:p w14:paraId="3B64AACB" w14:textId="77777777" w:rsidR="00692E71" w:rsidRPr="00275290" w:rsidRDefault="00692E71" w:rsidP="008E0250">
            <w:pPr>
              <w:jc w:val="center"/>
              <w:rPr>
                <w:rFonts w:cs="Arial"/>
              </w:rPr>
            </w:pPr>
            <w:r w:rsidRPr="00275290">
              <w:rPr>
                <w:rFonts w:cs="Arial"/>
              </w:rPr>
              <w:t>7.1 (cypermethrin)</w:t>
            </w:r>
          </w:p>
        </w:tc>
        <w:tc>
          <w:tcPr>
            <w:tcW w:w="1247" w:type="dxa"/>
            <w:vAlign w:val="center"/>
          </w:tcPr>
          <w:p w14:paraId="1FF90138" w14:textId="77777777" w:rsidR="00692E71" w:rsidRPr="00275290" w:rsidRDefault="00692E71" w:rsidP="008E0250">
            <w:pPr>
              <w:jc w:val="center"/>
              <w:rPr>
                <w:rFonts w:cs="Arial"/>
              </w:rPr>
            </w:pPr>
            <w:r w:rsidRPr="00275290">
              <w:rPr>
                <w:rFonts w:cs="Arial"/>
              </w:rPr>
              <w:t>[mg]</w:t>
            </w:r>
          </w:p>
        </w:tc>
        <w:tc>
          <w:tcPr>
            <w:tcW w:w="786" w:type="dxa"/>
            <w:vAlign w:val="center"/>
          </w:tcPr>
          <w:p w14:paraId="2EB08228" w14:textId="77777777" w:rsidR="00692E71" w:rsidRPr="00275290" w:rsidRDefault="00692E71" w:rsidP="008E0250">
            <w:pPr>
              <w:jc w:val="center"/>
              <w:rPr>
                <w:rFonts w:cs="Arial"/>
              </w:rPr>
            </w:pPr>
            <w:r w:rsidRPr="00275290">
              <w:rPr>
                <w:rFonts w:cs="Arial"/>
              </w:rPr>
              <w:t>O</w:t>
            </w:r>
          </w:p>
        </w:tc>
      </w:tr>
      <w:tr w:rsidR="00692E71" w:rsidRPr="00275290" w14:paraId="3E4A6E10" w14:textId="77777777" w:rsidTr="008E0250">
        <w:trPr>
          <w:gridAfter w:val="1"/>
          <w:wAfter w:w="7" w:type="dxa"/>
        </w:trPr>
        <w:tc>
          <w:tcPr>
            <w:tcW w:w="3345" w:type="dxa"/>
            <w:vAlign w:val="center"/>
          </w:tcPr>
          <w:p w14:paraId="3442F04C" w14:textId="77777777" w:rsidR="00692E71" w:rsidRPr="00275290" w:rsidRDefault="00692E71" w:rsidP="008E0250">
            <w:pPr>
              <w:rPr>
                <w:rFonts w:cs="Arial"/>
              </w:rPr>
            </w:pPr>
            <w:r w:rsidRPr="00275290">
              <w:rPr>
                <w:rFonts w:cs="Arial"/>
              </w:rPr>
              <w:t>Cumulative quantity of active substance, leached over the longer assessment period (5475d)</w:t>
            </w:r>
          </w:p>
        </w:tc>
        <w:tc>
          <w:tcPr>
            <w:tcW w:w="1701" w:type="dxa"/>
            <w:vAlign w:val="center"/>
          </w:tcPr>
          <w:p w14:paraId="070957CC" w14:textId="77777777" w:rsidR="00692E71" w:rsidRPr="00275290" w:rsidRDefault="00692E71" w:rsidP="008E0250">
            <w:pPr>
              <w:rPr>
                <w:rFonts w:cs="Arial"/>
              </w:rPr>
            </w:pPr>
            <w:r w:rsidRPr="00275290">
              <w:rPr>
                <w:rFonts w:cs="Arial"/>
              </w:rPr>
              <w:t>Q</w:t>
            </w:r>
            <w:r w:rsidRPr="00275290">
              <w:rPr>
                <w:rFonts w:cs="Arial"/>
                <w:vertAlign w:val="subscript"/>
              </w:rPr>
              <w:t>leach, time 2</w:t>
            </w:r>
          </w:p>
        </w:tc>
        <w:tc>
          <w:tcPr>
            <w:tcW w:w="2268" w:type="dxa"/>
            <w:vAlign w:val="center"/>
          </w:tcPr>
          <w:p w14:paraId="0C79EBD4" w14:textId="77777777" w:rsidR="00692E71" w:rsidRPr="00275290" w:rsidRDefault="00692E71" w:rsidP="008E0250">
            <w:pPr>
              <w:jc w:val="center"/>
              <w:rPr>
                <w:rFonts w:cs="Arial"/>
              </w:rPr>
            </w:pPr>
            <w:r w:rsidRPr="00275290">
              <w:rPr>
                <w:rFonts w:cs="Arial"/>
              </w:rPr>
              <w:t>4107 (IPBC)</w:t>
            </w:r>
          </w:p>
          <w:p w14:paraId="3C58D8C4" w14:textId="77777777" w:rsidR="00692E71" w:rsidRPr="00275290" w:rsidRDefault="00692E71" w:rsidP="008E0250">
            <w:pPr>
              <w:jc w:val="center"/>
              <w:rPr>
                <w:rFonts w:cs="Arial"/>
              </w:rPr>
            </w:pPr>
            <w:r w:rsidRPr="00275290">
              <w:rPr>
                <w:rFonts w:cs="Arial"/>
              </w:rPr>
              <w:t>22918 (propiconazole)</w:t>
            </w:r>
          </w:p>
          <w:p w14:paraId="3780AC3F" w14:textId="77777777" w:rsidR="00692E71" w:rsidRPr="00275290" w:rsidRDefault="00692E71" w:rsidP="008E0250">
            <w:pPr>
              <w:jc w:val="center"/>
              <w:rPr>
                <w:rFonts w:cs="Arial"/>
              </w:rPr>
            </w:pPr>
            <w:r w:rsidRPr="00275290">
              <w:rPr>
                <w:rFonts w:cs="Arial"/>
              </w:rPr>
              <w:t>8525 (tebuconazole)</w:t>
            </w:r>
          </w:p>
          <w:p w14:paraId="5E5CCCF1" w14:textId="77777777" w:rsidR="00692E71" w:rsidRPr="00275290" w:rsidRDefault="00692E71" w:rsidP="008E0250">
            <w:pPr>
              <w:jc w:val="center"/>
              <w:rPr>
                <w:rFonts w:cs="Arial"/>
              </w:rPr>
            </w:pPr>
            <w:r w:rsidRPr="00275290">
              <w:rPr>
                <w:rFonts w:cs="Arial"/>
              </w:rPr>
              <w:t>730 (cypermethrin)</w:t>
            </w:r>
          </w:p>
        </w:tc>
        <w:tc>
          <w:tcPr>
            <w:tcW w:w="1247" w:type="dxa"/>
            <w:vAlign w:val="center"/>
          </w:tcPr>
          <w:p w14:paraId="292F3483" w14:textId="77777777" w:rsidR="00692E71" w:rsidRPr="00275290" w:rsidRDefault="00692E71" w:rsidP="008E0250">
            <w:pPr>
              <w:jc w:val="center"/>
              <w:rPr>
                <w:rFonts w:cs="Arial"/>
              </w:rPr>
            </w:pPr>
            <w:r w:rsidRPr="00275290">
              <w:rPr>
                <w:rFonts w:cs="Arial"/>
              </w:rPr>
              <w:t>[mg]</w:t>
            </w:r>
          </w:p>
        </w:tc>
        <w:tc>
          <w:tcPr>
            <w:tcW w:w="786" w:type="dxa"/>
            <w:vAlign w:val="center"/>
          </w:tcPr>
          <w:p w14:paraId="12FE3BD7" w14:textId="77777777" w:rsidR="00692E71" w:rsidRPr="00275290" w:rsidRDefault="00692E71" w:rsidP="008E0250">
            <w:pPr>
              <w:jc w:val="center"/>
              <w:rPr>
                <w:rFonts w:cs="Arial"/>
              </w:rPr>
            </w:pPr>
            <w:r w:rsidRPr="00275290">
              <w:rPr>
                <w:rFonts w:cs="Arial"/>
              </w:rPr>
              <w:t>O</w:t>
            </w:r>
          </w:p>
        </w:tc>
      </w:tr>
      <w:tr w:rsidR="00692E71" w:rsidRPr="00275290" w14:paraId="2A97B30A" w14:textId="77777777" w:rsidTr="008E0250">
        <w:trPr>
          <w:gridAfter w:val="1"/>
          <w:wAfter w:w="7" w:type="dxa"/>
        </w:trPr>
        <w:tc>
          <w:tcPr>
            <w:tcW w:w="3345" w:type="dxa"/>
            <w:vAlign w:val="center"/>
          </w:tcPr>
          <w:p w14:paraId="486D362D" w14:textId="77777777" w:rsidR="00692E71" w:rsidRPr="00275290" w:rsidRDefault="00692E71" w:rsidP="008E0250">
            <w:pPr>
              <w:rPr>
                <w:rFonts w:cs="Arial"/>
              </w:rPr>
            </w:pPr>
            <w:r w:rsidRPr="00275290">
              <w:rPr>
                <w:rFonts w:cs="Arial"/>
              </w:rPr>
              <w:lastRenderedPageBreak/>
              <w:t>Concentration in local soil at the end of the initial assessment period (30d)</w:t>
            </w:r>
          </w:p>
        </w:tc>
        <w:tc>
          <w:tcPr>
            <w:tcW w:w="1701" w:type="dxa"/>
            <w:vAlign w:val="center"/>
          </w:tcPr>
          <w:p w14:paraId="20C43870" w14:textId="77777777" w:rsidR="00692E71" w:rsidRPr="00275290" w:rsidRDefault="00692E71" w:rsidP="008E0250">
            <w:pPr>
              <w:rPr>
                <w:rFonts w:cs="Arial"/>
              </w:rPr>
            </w:pPr>
            <w:r w:rsidRPr="00275290">
              <w:rPr>
                <w:rFonts w:cs="Arial"/>
              </w:rPr>
              <w:t>Clocal</w:t>
            </w:r>
            <w:r w:rsidRPr="00275290">
              <w:rPr>
                <w:rFonts w:cs="Arial"/>
                <w:vertAlign w:val="subscript"/>
              </w:rPr>
              <w:t>soil,leach,time1</w:t>
            </w:r>
          </w:p>
        </w:tc>
        <w:tc>
          <w:tcPr>
            <w:tcW w:w="2268" w:type="dxa"/>
            <w:vAlign w:val="center"/>
          </w:tcPr>
          <w:p w14:paraId="22B5DD3B" w14:textId="77777777" w:rsidR="00692E71" w:rsidRPr="00275290" w:rsidRDefault="00692E71" w:rsidP="008E0250">
            <w:pPr>
              <w:jc w:val="center"/>
              <w:rPr>
                <w:rFonts w:cs="Arial"/>
              </w:rPr>
            </w:pPr>
            <w:r w:rsidRPr="00275290">
              <w:rPr>
                <w:rFonts w:cs="Arial"/>
              </w:rPr>
              <w:t>2.8*10</w:t>
            </w:r>
            <w:r w:rsidRPr="00275290">
              <w:rPr>
                <w:rFonts w:cs="Arial"/>
                <w:vertAlign w:val="superscript"/>
              </w:rPr>
              <w:t>-2</w:t>
            </w:r>
            <w:r w:rsidRPr="00275290">
              <w:rPr>
                <w:rFonts w:cs="Arial"/>
              </w:rPr>
              <w:t xml:space="preserve"> (IPBC)</w:t>
            </w:r>
          </w:p>
          <w:p w14:paraId="35F4F148" w14:textId="77777777" w:rsidR="00692E71" w:rsidRPr="00275290" w:rsidRDefault="00692E71" w:rsidP="008E0250">
            <w:pPr>
              <w:jc w:val="center"/>
              <w:rPr>
                <w:rFonts w:cs="Arial"/>
              </w:rPr>
            </w:pPr>
            <w:r w:rsidRPr="00275290">
              <w:rPr>
                <w:rFonts w:cs="Arial"/>
              </w:rPr>
              <w:t>0.12 (propiconazole)</w:t>
            </w:r>
          </w:p>
          <w:p w14:paraId="10D930A0" w14:textId="77777777" w:rsidR="00692E71" w:rsidRPr="00275290" w:rsidRDefault="00692E71" w:rsidP="008E0250">
            <w:pPr>
              <w:jc w:val="center"/>
              <w:rPr>
                <w:rFonts w:cs="Arial"/>
              </w:rPr>
            </w:pPr>
            <w:r w:rsidRPr="00275290">
              <w:rPr>
                <w:rFonts w:cs="Arial"/>
              </w:rPr>
              <w:t>0.05 (tebuconazole)</w:t>
            </w:r>
          </w:p>
          <w:p w14:paraId="772B18F4" w14:textId="77777777" w:rsidR="00692E71" w:rsidRPr="00275290" w:rsidRDefault="00692E71" w:rsidP="008E0250">
            <w:pPr>
              <w:jc w:val="center"/>
              <w:rPr>
                <w:rFonts w:cs="Arial"/>
              </w:rPr>
            </w:pPr>
            <w:r w:rsidRPr="00275290">
              <w:rPr>
                <w:rFonts w:cs="Arial"/>
              </w:rPr>
              <w:t>3.2*10</w:t>
            </w:r>
            <w:r w:rsidRPr="00275290">
              <w:rPr>
                <w:rFonts w:cs="Arial"/>
                <w:vertAlign w:val="superscript"/>
              </w:rPr>
              <w:t>-4</w:t>
            </w:r>
            <w:r w:rsidRPr="00275290">
              <w:rPr>
                <w:rFonts w:cs="Arial"/>
              </w:rPr>
              <w:t xml:space="preserve"> (cypermethrin)</w:t>
            </w:r>
          </w:p>
        </w:tc>
        <w:tc>
          <w:tcPr>
            <w:tcW w:w="1247" w:type="dxa"/>
            <w:vAlign w:val="center"/>
          </w:tcPr>
          <w:p w14:paraId="4B6936A3"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86" w:type="dxa"/>
            <w:vAlign w:val="center"/>
          </w:tcPr>
          <w:p w14:paraId="1E61D792" w14:textId="77777777" w:rsidR="00692E71" w:rsidRPr="00275290" w:rsidRDefault="00692E71" w:rsidP="008E0250">
            <w:pPr>
              <w:jc w:val="center"/>
              <w:rPr>
                <w:rFonts w:cs="Arial"/>
              </w:rPr>
            </w:pPr>
            <w:r w:rsidRPr="00275290">
              <w:rPr>
                <w:rFonts w:cs="Arial"/>
              </w:rPr>
              <w:t>O</w:t>
            </w:r>
          </w:p>
        </w:tc>
      </w:tr>
      <w:tr w:rsidR="00692E71" w:rsidRPr="00275290" w14:paraId="316BF279" w14:textId="77777777" w:rsidTr="008E0250">
        <w:trPr>
          <w:gridAfter w:val="1"/>
          <w:wAfter w:w="7" w:type="dxa"/>
        </w:trPr>
        <w:tc>
          <w:tcPr>
            <w:tcW w:w="3345" w:type="dxa"/>
            <w:vAlign w:val="center"/>
          </w:tcPr>
          <w:p w14:paraId="18BC468D" w14:textId="77777777" w:rsidR="00692E71" w:rsidRPr="00275290" w:rsidRDefault="00692E71" w:rsidP="008E0250">
            <w:pPr>
              <w:rPr>
                <w:rFonts w:cs="Arial"/>
              </w:rPr>
            </w:pPr>
            <w:r w:rsidRPr="00275290">
              <w:rPr>
                <w:rFonts w:cs="Arial"/>
              </w:rPr>
              <w:t>Concentration in local soil at the end of the longer assessment period (5475d)</w:t>
            </w:r>
          </w:p>
        </w:tc>
        <w:tc>
          <w:tcPr>
            <w:tcW w:w="1701" w:type="dxa"/>
            <w:vAlign w:val="center"/>
          </w:tcPr>
          <w:p w14:paraId="09EB4061" w14:textId="77777777" w:rsidR="00692E71" w:rsidRPr="00275290" w:rsidRDefault="00692E71" w:rsidP="008E0250">
            <w:pPr>
              <w:rPr>
                <w:rFonts w:cs="Arial"/>
              </w:rPr>
            </w:pPr>
            <w:r w:rsidRPr="00275290">
              <w:rPr>
                <w:rFonts w:cs="Arial"/>
              </w:rPr>
              <w:t>Clocal</w:t>
            </w:r>
            <w:r w:rsidRPr="00275290">
              <w:rPr>
                <w:rFonts w:cs="Arial"/>
                <w:vertAlign w:val="subscript"/>
              </w:rPr>
              <w:t>soil,leach,time2</w:t>
            </w:r>
          </w:p>
        </w:tc>
        <w:tc>
          <w:tcPr>
            <w:tcW w:w="2268" w:type="dxa"/>
            <w:vAlign w:val="center"/>
          </w:tcPr>
          <w:p w14:paraId="211182B6" w14:textId="77777777" w:rsidR="00692E71" w:rsidRPr="00275290" w:rsidRDefault="00692E71" w:rsidP="008E0250">
            <w:pPr>
              <w:jc w:val="center"/>
              <w:rPr>
                <w:rFonts w:cs="Arial"/>
              </w:rPr>
            </w:pPr>
            <w:r w:rsidRPr="00275290">
              <w:rPr>
                <w:rFonts w:cs="Arial"/>
              </w:rPr>
              <w:t>0.19 (IPBC)</w:t>
            </w:r>
          </w:p>
          <w:p w14:paraId="37D03FCF" w14:textId="77777777" w:rsidR="00692E71" w:rsidRPr="00275290" w:rsidRDefault="00692E71" w:rsidP="008E0250">
            <w:pPr>
              <w:jc w:val="center"/>
              <w:rPr>
                <w:rFonts w:cs="Arial"/>
              </w:rPr>
            </w:pPr>
            <w:r w:rsidRPr="00275290">
              <w:rPr>
                <w:rFonts w:cs="Arial"/>
              </w:rPr>
              <w:t>1.04 (propiconazole)</w:t>
            </w:r>
          </w:p>
          <w:p w14:paraId="4B2CAACF" w14:textId="77777777" w:rsidR="00692E71" w:rsidRPr="00275290" w:rsidRDefault="00692E71" w:rsidP="008E0250">
            <w:pPr>
              <w:jc w:val="center"/>
              <w:rPr>
                <w:rFonts w:cs="Arial"/>
              </w:rPr>
            </w:pPr>
            <w:r w:rsidRPr="00275290">
              <w:rPr>
                <w:rFonts w:cs="Arial"/>
              </w:rPr>
              <w:t>0.39 (tebuconazole)</w:t>
            </w:r>
          </w:p>
          <w:p w14:paraId="0BA1B366" w14:textId="77777777" w:rsidR="00692E71" w:rsidRPr="00275290" w:rsidRDefault="00692E71" w:rsidP="008E0250">
            <w:pPr>
              <w:jc w:val="center"/>
              <w:rPr>
                <w:rFonts w:cs="Arial"/>
              </w:rPr>
            </w:pPr>
            <w:r w:rsidRPr="00275290">
              <w:rPr>
                <w:rFonts w:cs="Arial"/>
              </w:rPr>
              <w:t>0.03 (cypermethrin)</w:t>
            </w:r>
          </w:p>
        </w:tc>
        <w:tc>
          <w:tcPr>
            <w:tcW w:w="1247" w:type="dxa"/>
            <w:vAlign w:val="center"/>
          </w:tcPr>
          <w:p w14:paraId="556C0E9E"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86" w:type="dxa"/>
            <w:vAlign w:val="center"/>
          </w:tcPr>
          <w:p w14:paraId="2D79B6F0" w14:textId="77777777" w:rsidR="00692E71" w:rsidRPr="00275290" w:rsidRDefault="00692E71" w:rsidP="008E0250">
            <w:pPr>
              <w:jc w:val="center"/>
              <w:rPr>
                <w:rFonts w:cs="Arial"/>
              </w:rPr>
            </w:pPr>
            <w:r w:rsidRPr="00275290">
              <w:rPr>
                <w:rFonts w:cs="Arial"/>
              </w:rPr>
              <w:t>O</w:t>
            </w:r>
          </w:p>
        </w:tc>
      </w:tr>
    </w:tbl>
    <w:p w14:paraId="1541EB45" w14:textId="77777777" w:rsidR="00692E71" w:rsidRPr="00275290" w:rsidRDefault="00692E71" w:rsidP="00692E71">
      <w:pPr>
        <w:rPr>
          <w:rFonts w:cs="Arial"/>
          <w:b/>
        </w:rPr>
      </w:pPr>
      <w:r w:rsidRPr="00275290">
        <w:rPr>
          <w:rFonts w:cs="Arial"/>
        </w:rPr>
        <w:t>D=default, A=based on information of applicant, O=output</w:t>
      </w:r>
    </w:p>
    <w:p w14:paraId="1CEB6B58" w14:textId="77777777" w:rsidR="00692E71" w:rsidRPr="00275290" w:rsidRDefault="00692E71" w:rsidP="00692E71">
      <w:pPr>
        <w:rPr>
          <w:rFonts w:cs="Arial"/>
        </w:rPr>
      </w:pPr>
    </w:p>
    <w:p w14:paraId="0E81C811" w14:textId="77777777" w:rsidR="00692E71" w:rsidRPr="00275290" w:rsidRDefault="00692E71" w:rsidP="00692E71">
      <w:pPr>
        <w:rPr>
          <w:rFonts w:cs="Arial"/>
        </w:rPr>
      </w:pPr>
      <w:r w:rsidRPr="00275290">
        <w:rPr>
          <w:rFonts w:cs="Arial"/>
          <w:u w:val="single"/>
        </w:rPr>
        <w:t>Calculations (IPBC used as an example)</w:t>
      </w:r>
      <w:r w:rsidRPr="00275290">
        <w:rPr>
          <w:rFonts w:cs="Arial"/>
        </w:rPr>
        <w:t>:</w:t>
      </w:r>
    </w:p>
    <w:p w14:paraId="23E4F763" w14:textId="77777777" w:rsidR="00692E71" w:rsidRPr="00275290" w:rsidRDefault="00692E71" w:rsidP="00692E71">
      <w:pPr>
        <w:rPr>
          <w:rFonts w:cs="Arial"/>
        </w:rPr>
      </w:pPr>
    </w:p>
    <w:p w14:paraId="21F3682F"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AREA</w:t>
      </w:r>
      <w:r w:rsidRPr="00275290">
        <w:rPr>
          <w:rFonts w:cs="Arial"/>
          <w:vertAlign w:val="subscript"/>
        </w:rPr>
        <w:t>house</w:t>
      </w:r>
      <w:r w:rsidRPr="00275290">
        <w:rPr>
          <w:rFonts w:cs="Arial"/>
        </w:rPr>
        <w:t xml:space="preserve"> * Q*</w:t>
      </w:r>
      <w:r w:rsidRPr="00275290">
        <w:rPr>
          <w:rFonts w:cs="Arial"/>
          <w:vertAlign w:val="subscript"/>
        </w:rPr>
        <w:t>leach, time1</w:t>
      </w:r>
    </w:p>
    <w:p w14:paraId="11F0970A"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125 * 5.04</w:t>
      </w:r>
    </w:p>
    <w:p w14:paraId="55DF0471" w14:textId="77777777" w:rsidR="00692E71" w:rsidRPr="00275290" w:rsidRDefault="00692E71" w:rsidP="00692E71">
      <w:pPr>
        <w:rPr>
          <w:rFonts w:cs="Arial"/>
          <w:lang w:eastAsia="da-DK"/>
        </w:rPr>
      </w:pPr>
      <w:r w:rsidRPr="00275290">
        <w:rPr>
          <w:rFonts w:cs="Arial"/>
        </w:rPr>
        <w:t>Q</w:t>
      </w:r>
      <w:r w:rsidRPr="00275290">
        <w:rPr>
          <w:rFonts w:cs="Arial"/>
          <w:vertAlign w:val="subscript"/>
        </w:rPr>
        <w:t xml:space="preserve">leach, time1 </w:t>
      </w:r>
      <w:r w:rsidRPr="00275290">
        <w:rPr>
          <w:rFonts w:cs="Arial"/>
        </w:rPr>
        <w:t xml:space="preserve">= </w:t>
      </w:r>
      <w:r w:rsidRPr="00275290">
        <w:rPr>
          <w:rFonts w:cs="Arial"/>
          <w:lang w:eastAsia="da-DK"/>
        </w:rPr>
        <w:t>630</w:t>
      </w:r>
      <w:r w:rsidRPr="00275290">
        <w:rPr>
          <w:rFonts w:cs="Arial"/>
        </w:rPr>
        <w:t xml:space="preserve"> mg</w:t>
      </w:r>
    </w:p>
    <w:p w14:paraId="67BA4A86" w14:textId="77777777" w:rsidR="00692E71" w:rsidRPr="00275290" w:rsidRDefault="00692E71" w:rsidP="00692E71">
      <w:pPr>
        <w:rPr>
          <w:rFonts w:cs="Arial"/>
        </w:rPr>
      </w:pPr>
    </w:p>
    <w:p w14:paraId="70C9F0F6"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AREA</w:t>
      </w:r>
      <w:r w:rsidRPr="00275290">
        <w:rPr>
          <w:rFonts w:cs="Arial"/>
          <w:vertAlign w:val="subscript"/>
        </w:rPr>
        <w:t xml:space="preserve">house </w:t>
      </w:r>
      <w:r w:rsidRPr="00275290">
        <w:rPr>
          <w:rFonts w:cs="Arial"/>
        </w:rPr>
        <w:t>* Q*</w:t>
      </w:r>
      <w:r w:rsidRPr="00275290">
        <w:rPr>
          <w:rFonts w:cs="Arial"/>
          <w:vertAlign w:val="subscript"/>
        </w:rPr>
        <w:t>leach, time2</w:t>
      </w:r>
    </w:p>
    <w:p w14:paraId="0E2DF7FE" w14:textId="77777777" w:rsidR="00692E71" w:rsidRPr="00275290" w:rsidRDefault="00692E71" w:rsidP="00692E71">
      <w:pPr>
        <w:rPr>
          <w:rFonts w:cs="Arial"/>
          <w:lang w:eastAsia="da-DK"/>
        </w:rPr>
      </w:pPr>
      <w:r w:rsidRPr="00275290">
        <w:rPr>
          <w:rFonts w:cs="Arial"/>
        </w:rPr>
        <w:t>Q</w:t>
      </w:r>
      <w:r w:rsidRPr="00275290">
        <w:rPr>
          <w:rFonts w:cs="Arial"/>
          <w:vertAlign w:val="subscript"/>
        </w:rPr>
        <w:t xml:space="preserve">leach, time2 </w:t>
      </w:r>
      <w:r w:rsidRPr="00275290">
        <w:rPr>
          <w:rFonts w:cs="Arial"/>
        </w:rPr>
        <w:t>= 125 * 32</w:t>
      </w:r>
      <w:r w:rsidRPr="00275290">
        <w:rPr>
          <w:rFonts w:cs="Arial"/>
          <w:lang w:eastAsia="da-DK"/>
        </w:rPr>
        <w:t>.98</w:t>
      </w:r>
    </w:p>
    <w:p w14:paraId="148F9109" w14:textId="77777777" w:rsidR="00692E71" w:rsidRPr="00275290" w:rsidRDefault="00692E71" w:rsidP="00692E71">
      <w:pPr>
        <w:rPr>
          <w:rFonts w:cs="Arial"/>
          <w:lang w:eastAsia="da-DK"/>
        </w:rPr>
      </w:pPr>
      <w:r w:rsidRPr="00275290">
        <w:rPr>
          <w:rFonts w:cs="Arial"/>
        </w:rPr>
        <w:t>Q</w:t>
      </w:r>
      <w:r w:rsidRPr="00275290">
        <w:rPr>
          <w:rFonts w:cs="Arial"/>
          <w:vertAlign w:val="subscript"/>
        </w:rPr>
        <w:t xml:space="preserve">leach, time2 </w:t>
      </w:r>
      <w:r w:rsidRPr="00275290">
        <w:rPr>
          <w:rFonts w:cs="Arial"/>
        </w:rPr>
        <w:t>= 4107 mg</w:t>
      </w:r>
    </w:p>
    <w:p w14:paraId="62BBBDDD" w14:textId="77777777" w:rsidR="00692E71" w:rsidRPr="00275290" w:rsidRDefault="00692E71" w:rsidP="00692E71">
      <w:pPr>
        <w:rPr>
          <w:rFonts w:cs="Arial"/>
        </w:rPr>
      </w:pPr>
    </w:p>
    <w:p w14:paraId="576FBEF2"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,leach</w:t>
      </w:r>
      <w:proofErr w:type="gramEnd"/>
      <w:r w:rsidRPr="00275290">
        <w:rPr>
          <w:rFonts w:cs="Arial"/>
          <w:vertAlign w:val="subscript"/>
        </w:rPr>
        <w:t xml:space="preserve">, time1 </w:t>
      </w:r>
      <w:r w:rsidRPr="00275290">
        <w:rPr>
          <w:rFonts w:cs="Arial"/>
        </w:rPr>
        <w:t>= Q</w:t>
      </w:r>
      <w:r w:rsidRPr="00275290">
        <w:rPr>
          <w:rFonts w:cs="Arial"/>
          <w:vertAlign w:val="subscript"/>
        </w:rPr>
        <w:t>leach, time1</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74FD26D2"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,leach</w:t>
      </w:r>
      <w:proofErr w:type="gramEnd"/>
      <w:r w:rsidRPr="00275290">
        <w:rPr>
          <w:rFonts w:cs="Arial"/>
          <w:vertAlign w:val="subscript"/>
        </w:rPr>
        <w:t>, time1</w:t>
      </w:r>
      <w:r w:rsidRPr="00275290">
        <w:rPr>
          <w:rFonts w:cs="Arial"/>
        </w:rPr>
        <w:t xml:space="preserve">= </w:t>
      </w:r>
      <w:r w:rsidRPr="00275290">
        <w:rPr>
          <w:rFonts w:cs="Arial"/>
          <w:lang w:eastAsia="da-DK"/>
        </w:rPr>
        <w:t>630</w:t>
      </w:r>
      <w:r w:rsidRPr="00275290">
        <w:rPr>
          <w:rFonts w:cs="Arial"/>
        </w:rPr>
        <w:t xml:space="preserve"> / (13 * 1700)</w:t>
      </w:r>
    </w:p>
    <w:p w14:paraId="2EC74F7C"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,leach</w:t>
      </w:r>
      <w:proofErr w:type="gramEnd"/>
      <w:r w:rsidRPr="00275290">
        <w:rPr>
          <w:rFonts w:cs="Arial"/>
          <w:vertAlign w:val="subscript"/>
        </w:rPr>
        <w:t>, time1</w:t>
      </w:r>
      <w:r w:rsidRPr="00275290">
        <w:rPr>
          <w:rFonts w:cs="Arial"/>
        </w:rPr>
        <w:t>= 0.0285 mg/kg</w:t>
      </w:r>
      <w:r w:rsidRPr="00275290">
        <w:rPr>
          <w:rFonts w:cs="Arial"/>
          <w:vertAlign w:val="subscript"/>
        </w:rPr>
        <w:t>wwt</w:t>
      </w:r>
    </w:p>
    <w:p w14:paraId="2F411201" w14:textId="77777777" w:rsidR="00692E71" w:rsidRPr="00275290" w:rsidRDefault="00692E71" w:rsidP="00692E71">
      <w:pPr>
        <w:rPr>
          <w:rFonts w:cs="Arial"/>
        </w:rPr>
      </w:pPr>
    </w:p>
    <w:p w14:paraId="6E5C6E8D"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,leach</w:t>
      </w:r>
      <w:proofErr w:type="gramEnd"/>
      <w:r w:rsidRPr="00275290">
        <w:rPr>
          <w:rFonts w:cs="Arial"/>
          <w:vertAlign w:val="subscript"/>
        </w:rPr>
        <w:t xml:space="preserve">, time2 </w:t>
      </w:r>
      <w:r w:rsidRPr="00275290">
        <w:rPr>
          <w:rFonts w:cs="Arial"/>
        </w:rPr>
        <w:t>= Q</w:t>
      </w:r>
      <w:r w:rsidRPr="00275290">
        <w:rPr>
          <w:rFonts w:cs="Arial"/>
          <w:vertAlign w:val="subscript"/>
        </w:rPr>
        <w:t xml:space="preserve">leach, time2 </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6B0A0E48"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,leach</w:t>
      </w:r>
      <w:proofErr w:type="gramEnd"/>
      <w:r w:rsidRPr="00275290">
        <w:rPr>
          <w:rFonts w:cs="Arial"/>
          <w:vertAlign w:val="subscript"/>
        </w:rPr>
        <w:t xml:space="preserve">, time2 </w:t>
      </w:r>
      <w:r w:rsidRPr="00275290">
        <w:rPr>
          <w:rFonts w:cs="Arial"/>
        </w:rPr>
        <w:t>= 4107 / (13 * 1700)</w:t>
      </w:r>
    </w:p>
    <w:p w14:paraId="7BD2D21E" w14:textId="77777777" w:rsidR="00692E71" w:rsidRPr="00275290" w:rsidRDefault="00692E71" w:rsidP="00692E71">
      <w:pPr>
        <w:rPr>
          <w:rFonts w:cs="Arial"/>
          <w:vertAlign w:val="subscript"/>
        </w:rPr>
      </w:pPr>
      <w:r w:rsidRPr="00275290">
        <w:rPr>
          <w:rFonts w:cs="Arial"/>
        </w:rPr>
        <w:t>Clocal</w:t>
      </w:r>
      <w:r w:rsidRPr="00275290">
        <w:rPr>
          <w:rFonts w:cs="Arial"/>
          <w:vertAlign w:val="subscript"/>
        </w:rPr>
        <w:t>soil</w:t>
      </w:r>
      <w:proofErr w:type="gramStart"/>
      <w:r w:rsidRPr="00275290">
        <w:rPr>
          <w:rFonts w:cs="Arial"/>
          <w:vertAlign w:val="subscript"/>
        </w:rPr>
        <w:t>,leach</w:t>
      </w:r>
      <w:proofErr w:type="gramEnd"/>
      <w:r w:rsidRPr="00275290">
        <w:rPr>
          <w:rFonts w:cs="Arial"/>
          <w:vertAlign w:val="subscript"/>
        </w:rPr>
        <w:t xml:space="preserve">, time2 </w:t>
      </w:r>
      <w:r w:rsidRPr="00275290">
        <w:rPr>
          <w:rFonts w:cs="Arial"/>
        </w:rPr>
        <w:t>= 0.19 mg/kg</w:t>
      </w:r>
      <w:r w:rsidRPr="00275290">
        <w:rPr>
          <w:rFonts w:cs="Arial"/>
          <w:vertAlign w:val="subscript"/>
        </w:rPr>
        <w:t>wwt</w:t>
      </w:r>
    </w:p>
    <w:p w14:paraId="61D3D3BD" w14:textId="77777777" w:rsidR="00692E71" w:rsidRPr="00575E63" w:rsidRDefault="00692E71" w:rsidP="00692E71">
      <w:pPr>
        <w:rPr>
          <w:rFonts w:ascii="Arial" w:hAnsi="Arial" w:cs="Arial"/>
        </w:rPr>
      </w:pPr>
    </w:p>
    <w:p w14:paraId="166EE9D5" w14:textId="77777777" w:rsidR="00692E71" w:rsidRPr="008551C7" w:rsidRDefault="00692E71" w:rsidP="008E0250">
      <w:pPr>
        <w:pStyle w:val="Titre6"/>
        <w:rPr>
          <w:lang w:val="en-US"/>
        </w:rPr>
      </w:pPr>
      <w:r w:rsidRPr="008551C7">
        <w:rPr>
          <w:lang w:val="en-US"/>
        </w:rPr>
        <w:t>Fence scenario, in-service of industrial treated wood</w:t>
      </w:r>
    </w:p>
    <w:p w14:paraId="380D40A2" w14:textId="77777777" w:rsidR="00692E71" w:rsidRPr="00575E63" w:rsidRDefault="00692E71" w:rsidP="00692E71">
      <w:pPr>
        <w:rPr>
          <w:rFonts w:ascii="Arial" w:hAnsi="Arial" w:cs="Arial"/>
        </w:rPr>
      </w:pPr>
    </w:p>
    <w:p w14:paraId="6F755FCA"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9</w:t>
      </w:r>
      <w:r w:rsidRPr="00275290">
        <w:rPr>
          <w:rFonts w:ascii="Verdana" w:hAnsi="Verdana"/>
        </w:rPr>
        <w:fldChar w:fldCharType="end"/>
      </w:r>
      <w:r w:rsidRPr="00275290">
        <w:rPr>
          <w:rFonts w:ascii="Verdana" w:hAnsi="Verdana"/>
        </w:rPr>
        <w:t>: Calculation of emissions from treated fence in-service.</w:t>
      </w:r>
    </w:p>
    <w:tbl>
      <w:tblPr>
        <w:tblW w:w="9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9"/>
        <w:gridCol w:w="1473"/>
        <w:gridCol w:w="2550"/>
        <w:gridCol w:w="1278"/>
        <w:gridCol w:w="798"/>
      </w:tblGrid>
      <w:tr w:rsidR="00692E71" w:rsidRPr="00275290" w14:paraId="59A3CA58" w14:textId="77777777" w:rsidTr="008E0250">
        <w:trPr>
          <w:trHeight w:val="340"/>
        </w:trPr>
        <w:tc>
          <w:tcPr>
            <w:tcW w:w="3230" w:type="dxa"/>
            <w:shd w:val="clear" w:color="auto" w:fill="D9D9D9" w:themeFill="background1" w:themeFillShade="D9"/>
            <w:vAlign w:val="center"/>
          </w:tcPr>
          <w:p w14:paraId="04E8B987" w14:textId="77777777" w:rsidR="00692E71" w:rsidRPr="00275290" w:rsidRDefault="00692E71" w:rsidP="008E0250">
            <w:pPr>
              <w:rPr>
                <w:rFonts w:cs="Arial"/>
              </w:rPr>
            </w:pPr>
            <w:r w:rsidRPr="00275290">
              <w:rPr>
                <w:rFonts w:cs="Arial"/>
              </w:rPr>
              <w:t>Parameter/variable</w:t>
            </w:r>
          </w:p>
        </w:tc>
        <w:tc>
          <w:tcPr>
            <w:tcW w:w="1473" w:type="dxa"/>
            <w:shd w:val="clear" w:color="auto" w:fill="D9D9D9" w:themeFill="background1" w:themeFillShade="D9"/>
            <w:vAlign w:val="center"/>
          </w:tcPr>
          <w:p w14:paraId="6F222E4E" w14:textId="77777777" w:rsidR="00692E71" w:rsidRPr="00275290" w:rsidRDefault="00692E71" w:rsidP="008E0250">
            <w:pPr>
              <w:rPr>
                <w:rFonts w:cs="Arial"/>
              </w:rPr>
            </w:pPr>
            <w:r w:rsidRPr="00275290">
              <w:rPr>
                <w:rFonts w:cs="Arial"/>
              </w:rPr>
              <w:t>Nomenclature</w:t>
            </w:r>
          </w:p>
        </w:tc>
        <w:tc>
          <w:tcPr>
            <w:tcW w:w="2551" w:type="dxa"/>
            <w:shd w:val="clear" w:color="auto" w:fill="D9D9D9" w:themeFill="background1" w:themeFillShade="D9"/>
            <w:vAlign w:val="center"/>
          </w:tcPr>
          <w:p w14:paraId="0D57645E" w14:textId="77777777" w:rsidR="00692E71" w:rsidRPr="00275290" w:rsidRDefault="00692E71" w:rsidP="008E0250">
            <w:pPr>
              <w:jc w:val="center"/>
              <w:rPr>
                <w:rFonts w:cs="Arial"/>
              </w:rPr>
            </w:pPr>
            <w:r w:rsidRPr="00275290">
              <w:rPr>
                <w:rFonts w:cs="Arial"/>
              </w:rPr>
              <w:t>Value</w:t>
            </w:r>
          </w:p>
        </w:tc>
        <w:tc>
          <w:tcPr>
            <w:tcW w:w="1278" w:type="dxa"/>
            <w:shd w:val="clear" w:color="auto" w:fill="D9D9D9" w:themeFill="background1" w:themeFillShade="D9"/>
            <w:vAlign w:val="center"/>
          </w:tcPr>
          <w:p w14:paraId="6CB231B4" w14:textId="77777777" w:rsidR="00692E71" w:rsidRPr="00275290" w:rsidRDefault="00692E71" w:rsidP="008E0250">
            <w:pPr>
              <w:jc w:val="center"/>
              <w:rPr>
                <w:rFonts w:cs="Arial"/>
              </w:rPr>
            </w:pPr>
            <w:r w:rsidRPr="00275290">
              <w:rPr>
                <w:rFonts w:cs="Arial"/>
              </w:rPr>
              <w:t>Unit</w:t>
            </w:r>
          </w:p>
        </w:tc>
        <w:tc>
          <w:tcPr>
            <w:tcW w:w="794" w:type="dxa"/>
            <w:shd w:val="clear" w:color="auto" w:fill="D9D9D9" w:themeFill="background1" w:themeFillShade="D9"/>
            <w:vAlign w:val="center"/>
          </w:tcPr>
          <w:p w14:paraId="0B29B224" w14:textId="77777777" w:rsidR="00692E71" w:rsidRPr="00275290" w:rsidRDefault="00692E71" w:rsidP="008E0250">
            <w:pPr>
              <w:rPr>
                <w:rFonts w:cs="Arial"/>
              </w:rPr>
            </w:pPr>
            <w:r w:rsidRPr="00275290">
              <w:rPr>
                <w:rFonts w:cs="Arial"/>
              </w:rPr>
              <w:t>Origin</w:t>
            </w:r>
          </w:p>
        </w:tc>
      </w:tr>
      <w:tr w:rsidR="00692E71" w:rsidRPr="00275290" w14:paraId="589828FE" w14:textId="77777777" w:rsidTr="008E0250">
        <w:trPr>
          <w:trHeight w:val="283"/>
        </w:trPr>
        <w:tc>
          <w:tcPr>
            <w:tcW w:w="9326" w:type="dxa"/>
            <w:gridSpan w:val="5"/>
            <w:vAlign w:val="center"/>
          </w:tcPr>
          <w:p w14:paraId="7B9685CE" w14:textId="77777777" w:rsidR="00692E71" w:rsidRPr="00275290" w:rsidRDefault="00692E71" w:rsidP="008E0250">
            <w:pPr>
              <w:rPr>
                <w:rFonts w:cs="Arial"/>
                <w:b/>
              </w:rPr>
            </w:pPr>
            <w:r w:rsidRPr="00275290">
              <w:rPr>
                <w:rFonts w:cs="Arial"/>
                <w:b/>
              </w:rPr>
              <w:t>INPUTS</w:t>
            </w:r>
          </w:p>
        </w:tc>
      </w:tr>
      <w:tr w:rsidR="00692E71" w:rsidRPr="00275290" w14:paraId="7DB18D9B" w14:textId="77777777" w:rsidTr="008E0250">
        <w:tc>
          <w:tcPr>
            <w:tcW w:w="3230" w:type="dxa"/>
            <w:vAlign w:val="center"/>
          </w:tcPr>
          <w:p w14:paraId="60698D89" w14:textId="77777777" w:rsidR="00692E71" w:rsidRPr="00275290" w:rsidRDefault="00692E71" w:rsidP="008E0250">
            <w:pPr>
              <w:rPr>
                <w:rFonts w:cs="Arial"/>
                <w:i/>
                <w:iCs/>
              </w:rPr>
            </w:pPr>
            <w:r w:rsidRPr="00275290">
              <w:rPr>
                <w:rFonts w:cs="Arial"/>
              </w:rPr>
              <w:t>Leachable wood area</w:t>
            </w:r>
          </w:p>
        </w:tc>
        <w:tc>
          <w:tcPr>
            <w:tcW w:w="1473" w:type="dxa"/>
            <w:vAlign w:val="center"/>
          </w:tcPr>
          <w:p w14:paraId="4C67A4E0" w14:textId="77777777" w:rsidR="00692E71" w:rsidRPr="00275290" w:rsidRDefault="00692E71" w:rsidP="008E0250">
            <w:pPr>
              <w:rPr>
                <w:rFonts w:cs="Arial"/>
              </w:rPr>
            </w:pPr>
            <w:r w:rsidRPr="00275290">
              <w:rPr>
                <w:rFonts w:cs="Arial"/>
              </w:rPr>
              <w:t>AREA</w:t>
            </w:r>
            <w:r w:rsidRPr="00275290">
              <w:rPr>
                <w:rFonts w:cs="Arial"/>
                <w:vertAlign w:val="subscript"/>
              </w:rPr>
              <w:t>fence</w:t>
            </w:r>
          </w:p>
        </w:tc>
        <w:tc>
          <w:tcPr>
            <w:tcW w:w="2551" w:type="dxa"/>
            <w:vAlign w:val="center"/>
          </w:tcPr>
          <w:p w14:paraId="3F2CF2A0" w14:textId="77777777" w:rsidR="00692E71" w:rsidRPr="00275290" w:rsidRDefault="00692E71" w:rsidP="008E0250">
            <w:pPr>
              <w:jc w:val="center"/>
              <w:rPr>
                <w:rFonts w:cs="Arial"/>
              </w:rPr>
            </w:pPr>
            <w:r w:rsidRPr="00275290">
              <w:rPr>
                <w:rFonts w:cs="Arial"/>
              </w:rPr>
              <w:t>2</w:t>
            </w:r>
          </w:p>
        </w:tc>
        <w:tc>
          <w:tcPr>
            <w:tcW w:w="1278" w:type="dxa"/>
            <w:vAlign w:val="center"/>
          </w:tcPr>
          <w:p w14:paraId="3A64C861" w14:textId="77777777" w:rsidR="00692E71" w:rsidRPr="00275290" w:rsidRDefault="00692E71" w:rsidP="008E0250">
            <w:pPr>
              <w:jc w:val="center"/>
              <w:rPr>
                <w:rFonts w:cs="Arial"/>
                <w:i/>
                <w:iCs/>
              </w:rPr>
            </w:pPr>
            <w:r w:rsidRPr="00275290">
              <w:rPr>
                <w:rFonts w:cs="Arial"/>
              </w:rPr>
              <w:t>[m²/d]</w:t>
            </w:r>
          </w:p>
        </w:tc>
        <w:tc>
          <w:tcPr>
            <w:tcW w:w="794" w:type="dxa"/>
            <w:vAlign w:val="center"/>
          </w:tcPr>
          <w:p w14:paraId="47680C6D" w14:textId="77777777" w:rsidR="00692E71" w:rsidRPr="00275290" w:rsidRDefault="00692E71" w:rsidP="008E0250">
            <w:pPr>
              <w:jc w:val="center"/>
              <w:rPr>
                <w:rFonts w:cs="Arial"/>
              </w:rPr>
            </w:pPr>
            <w:r w:rsidRPr="00275290">
              <w:rPr>
                <w:rFonts w:cs="Arial"/>
              </w:rPr>
              <w:t>D</w:t>
            </w:r>
          </w:p>
        </w:tc>
      </w:tr>
      <w:tr w:rsidR="00692E71" w:rsidRPr="00275290" w14:paraId="5C9F4208" w14:textId="77777777" w:rsidTr="008E0250">
        <w:tc>
          <w:tcPr>
            <w:tcW w:w="3230" w:type="dxa"/>
            <w:vAlign w:val="center"/>
          </w:tcPr>
          <w:p w14:paraId="1F92759C" w14:textId="77777777" w:rsidR="00692E71" w:rsidRPr="00275290" w:rsidRDefault="00692E71" w:rsidP="008E0250">
            <w:pPr>
              <w:rPr>
                <w:rFonts w:cs="Arial"/>
              </w:rPr>
            </w:pPr>
            <w:r w:rsidRPr="00275290">
              <w:rPr>
                <w:rFonts w:cs="Arial"/>
              </w:rPr>
              <w:t>Duration of the initial assessment period</w:t>
            </w:r>
          </w:p>
        </w:tc>
        <w:tc>
          <w:tcPr>
            <w:tcW w:w="1473" w:type="dxa"/>
            <w:vAlign w:val="center"/>
          </w:tcPr>
          <w:p w14:paraId="50B6B6B7" w14:textId="77777777" w:rsidR="00692E71" w:rsidRPr="00275290" w:rsidRDefault="00692E71" w:rsidP="008E0250">
            <w:pPr>
              <w:rPr>
                <w:rFonts w:cs="Arial"/>
              </w:rPr>
            </w:pPr>
            <w:r w:rsidRPr="00275290">
              <w:rPr>
                <w:rFonts w:cs="Arial"/>
              </w:rPr>
              <w:t>TIME1</w:t>
            </w:r>
          </w:p>
        </w:tc>
        <w:tc>
          <w:tcPr>
            <w:tcW w:w="2551" w:type="dxa"/>
            <w:vAlign w:val="center"/>
          </w:tcPr>
          <w:p w14:paraId="0C8C6A8B" w14:textId="77777777" w:rsidR="00692E71" w:rsidRPr="00275290" w:rsidRDefault="00692E71" w:rsidP="008E0250">
            <w:pPr>
              <w:jc w:val="center"/>
              <w:rPr>
                <w:rFonts w:cs="Arial"/>
              </w:rPr>
            </w:pPr>
            <w:r w:rsidRPr="00275290">
              <w:rPr>
                <w:rFonts w:cs="Arial"/>
              </w:rPr>
              <w:t>30</w:t>
            </w:r>
          </w:p>
        </w:tc>
        <w:tc>
          <w:tcPr>
            <w:tcW w:w="1278" w:type="dxa"/>
            <w:vAlign w:val="center"/>
          </w:tcPr>
          <w:p w14:paraId="01E004BB" w14:textId="77777777" w:rsidR="00692E71" w:rsidRPr="00275290" w:rsidRDefault="00692E71" w:rsidP="008E0250">
            <w:pPr>
              <w:jc w:val="center"/>
              <w:rPr>
                <w:rFonts w:cs="Arial"/>
              </w:rPr>
            </w:pPr>
            <w:r w:rsidRPr="00275290">
              <w:rPr>
                <w:rFonts w:cs="Arial"/>
              </w:rPr>
              <w:t>[d]</w:t>
            </w:r>
          </w:p>
        </w:tc>
        <w:tc>
          <w:tcPr>
            <w:tcW w:w="794" w:type="dxa"/>
            <w:vAlign w:val="center"/>
          </w:tcPr>
          <w:p w14:paraId="0A22302F" w14:textId="77777777" w:rsidR="00692E71" w:rsidRPr="00275290" w:rsidRDefault="00692E71" w:rsidP="008E0250">
            <w:pPr>
              <w:jc w:val="center"/>
              <w:rPr>
                <w:rFonts w:cs="Arial"/>
              </w:rPr>
            </w:pPr>
            <w:r w:rsidRPr="00275290">
              <w:rPr>
                <w:rFonts w:cs="Arial"/>
              </w:rPr>
              <w:t>D</w:t>
            </w:r>
          </w:p>
        </w:tc>
      </w:tr>
      <w:tr w:rsidR="00692E71" w:rsidRPr="00275290" w14:paraId="209E6F54" w14:textId="77777777" w:rsidTr="008E0250">
        <w:tc>
          <w:tcPr>
            <w:tcW w:w="3230" w:type="dxa"/>
            <w:vAlign w:val="center"/>
          </w:tcPr>
          <w:p w14:paraId="64B51E43" w14:textId="77777777" w:rsidR="00692E71" w:rsidRPr="00275290" w:rsidRDefault="00692E71" w:rsidP="008E0250">
            <w:pPr>
              <w:rPr>
                <w:rFonts w:cs="Arial"/>
              </w:rPr>
            </w:pPr>
            <w:r w:rsidRPr="00275290">
              <w:rPr>
                <w:rFonts w:cs="Arial"/>
              </w:rPr>
              <w:t xml:space="preserve">Duration of the long-term assessment period </w:t>
            </w:r>
          </w:p>
        </w:tc>
        <w:tc>
          <w:tcPr>
            <w:tcW w:w="1473" w:type="dxa"/>
            <w:vAlign w:val="center"/>
          </w:tcPr>
          <w:p w14:paraId="1356DA71" w14:textId="77777777" w:rsidR="00692E71" w:rsidRPr="00275290" w:rsidRDefault="00692E71" w:rsidP="008E0250">
            <w:pPr>
              <w:rPr>
                <w:rFonts w:cs="Arial"/>
              </w:rPr>
            </w:pPr>
            <w:r w:rsidRPr="00275290">
              <w:rPr>
                <w:rFonts w:cs="Arial"/>
              </w:rPr>
              <w:t>TIME2</w:t>
            </w:r>
          </w:p>
        </w:tc>
        <w:tc>
          <w:tcPr>
            <w:tcW w:w="2551" w:type="dxa"/>
            <w:vAlign w:val="center"/>
          </w:tcPr>
          <w:p w14:paraId="0606DC53" w14:textId="77777777" w:rsidR="00692E71" w:rsidRPr="00275290" w:rsidRDefault="00692E71" w:rsidP="008E0250">
            <w:pPr>
              <w:jc w:val="center"/>
              <w:rPr>
                <w:rFonts w:cs="Arial"/>
              </w:rPr>
            </w:pPr>
            <w:r w:rsidRPr="00275290">
              <w:rPr>
                <w:rFonts w:cs="Arial"/>
              </w:rPr>
              <w:t>1825</w:t>
            </w:r>
          </w:p>
        </w:tc>
        <w:tc>
          <w:tcPr>
            <w:tcW w:w="1278" w:type="dxa"/>
            <w:vAlign w:val="center"/>
          </w:tcPr>
          <w:p w14:paraId="503F0344" w14:textId="77777777" w:rsidR="00692E71" w:rsidRPr="00275290" w:rsidRDefault="00692E71" w:rsidP="008E0250">
            <w:pPr>
              <w:jc w:val="center"/>
              <w:rPr>
                <w:rFonts w:cs="Arial"/>
              </w:rPr>
            </w:pPr>
            <w:r w:rsidRPr="00275290">
              <w:rPr>
                <w:rFonts w:cs="Arial"/>
              </w:rPr>
              <w:t>[d]</w:t>
            </w:r>
          </w:p>
        </w:tc>
        <w:tc>
          <w:tcPr>
            <w:tcW w:w="794" w:type="dxa"/>
            <w:vAlign w:val="center"/>
          </w:tcPr>
          <w:p w14:paraId="1C6D1A80" w14:textId="77777777" w:rsidR="00692E71" w:rsidRPr="00275290" w:rsidRDefault="00692E71" w:rsidP="008E0250">
            <w:pPr>
              <w:jc w:val="center"/>
              <w:rPr>
                <w:rFonts w:cs="Arial"/>
              </w:rPr>
            </w:pPr>
            <w:r w:rsidRPr="00275290">
              <w:rPr>
                <w:rFonts w:cs="Arial"/>
              </w:rPr>
              <w:t>D</w:t>
            </w:r>
          </w:p>
        </w:tc>
      </w:tr>
      <w:tr w:rsidR="00692E71" w:rsidRPr="00275290" w14:paraId="7513CFBA" w14:textId="77777777" w:rsidTr="008E0250">
        <w:tc>
          <w:tcPr>
            <w:tcW w:w="3230" w:type="dxa"/>
            <w:vAlign w:val="center"/>
          </w:tcPr>
          <w:p w14:paraId="7921A049" w14:textId="77777777" w:rsidR="00692E71" w:rsidRPr="00275290" w:rsidRDefault="00692E71" w:rsidP="008E0250">
            <w:pPr>
              <w:rPr>
                <w:rFonts w:cs="Arial"/>
              </w:rPr>
            </w:pPr>
            <w:r w:rsidRPr="00275290">
              <w:rPr>
                <w:rFonts w:cs="Arial"/>
              </w:rPr>
              <w:t xml:space="preserve">Cumulative quantity of active substance, leached out of 1 m² of treated wood over the initial assessment period </w:t>
            </w:r>
            <w:r w:rsidRPr="00275290">
              <w:rPr>
                <w:rFonts w:cs="Arial"/>
                <w:iCs/>
              </w:rPr>
              <w:t>(30d)</w:t>
            </w:r>
          </w:p>
        </w:tc>
        <w:tc>
          <w:tcPr>
            <w:tcW w:w="1473" w:type="dxa"/>
            <w:vAlign w:val="center"/>
          </w:tcPr>
          <w:p w14:paraId="1A0F0842" w14:textId="77777777" w:rsidR="00692E71" w:rsidRPr="00275290" w:rsidRDefault="00692E71" w:rsidP="008E0250">
            <w:pPr>
              <w:rPr>
                <w:rFonts w:cs="Arial"/>
              </w:rPr>
            </w:pPr>
            <w:r w:rsidRPr="00275290">
              <w:rPr>
                <w:rFonts w:cs="Arial"/>
              </w:rPr>
              <w:t>Q*</w:t>
            </w:r>
            <w:r w:rsidRPr="00275290">
              <w:rPr>
                <w:rFonts w:cs="Arial"/>
                <w:vertAlign w:val="subscript"/>
              </w:rPr>
              <w:t>leach, time 1</w:t>
            </w:r>
            <w:r w:rsidRPr="00275290">
              <w:rPr>
                <w:rFonts w:cs="Arial"/>
              </w:rPr>
              <w:t xml:space="preserve"> </w:t>
            </w:r>
          </w:p>
        </w:tc>
        <w:tc>
          <w:tcPr>
            <w:tcW w:w="2551" w:type="dxa"/>
            <w:vAlign w:val="center"/>
          </w:tcPr>
          <w:p w14:paraId="4DBC89A4" w14:textId="77777777" w:rsidR="00692E71" w:rsidRPr="00275290" w:rsidRDefault="00692E71" w:rsidP="008E0250">
            <w:pPr>
              <w:jc w:val="center"/>
              <w:rPr>
                <w:rFonts w:cs="Arial"/>
              </w:rPr>
            </w:pPr>
            <w:r w:rsidRPr="00275290">
              <w:rPr>
                <w:rFonts w:cs="Arial"/>
              </w:rPr>
              <w:t>5.04 (IPBC)</w:t>
            </w:r>
          </w:p>
          <w:p w14:paraId="54F94539" w14:textId="77777777" w:rsidR="00692E71" w:rsidRPr="00275290" w:rsidRDefault="00692E71" w:rsidP="008E0250">
            <w:pPr>
              <w:jc w:val="center"/>
              <w:rPr>
                <w:rFonts w:cs="Arial"/>
              </w:rPr>
            </w:pPr>
            <w:r w:rsidRPr="00275290">
              <w:rPr>
                <w:rFonts w:cs="Arial"/>
              </w:rPr>
              <w:t>20.44 (propiconazole)</w:t>
            </w:r>
          </w:p>
          <w:p w14:paraId="79E18414" w14:textId="77777777" w:rsidR="00692E71" w:rsidRPr="00275290" w:rsidRDefault="00692E71" w:rsidP="008E0250">
            <w:pPr>
              <w:jc w:val="center"/>
              <w:rPr>
                <w:rFonts w:cs="Arial"/>
              </w:rPr>
            </w:pPr>
            <w:r w:rsidRPr="00275290">
              <w:rPr>
                <w:rFonts w:cs="Arial"/>
              </w:rPr>
              <w:t>8.96 (tebuconazole)</w:t>
            </w:r>
          </w:p>
          <w:p w14:paraId="5B94F471" w14:textId="77777777" w:rsidR="00692E71" w:rsidRPr="00275290" w:rsidRDefault="00692E71" w:rsidP="008E0250">
            <w:pPr>
              <w:jc w:val="center"/>
              <w:rPr>
                <w:rFonts w:cs="Arial"/>
              </w:rPr>
            </w:pPr>
            <w:r w:rsidRPr="00275290">
              <w:rPr>
                <w:rFonts w:cs="Arial"/>
              </w:rPr>
              <w:t>0.06 (cypermethrin)</w:t>
            </w:r>
          </w:p>
        </w:tc>
        <w:tc>
          <w:tcPr>
            <w:tcW w:w="1278" w:type="dxa"/>
            <w:vAlign w:val="center"/>
          </w:tcPr>
          <w:p w14:paraId="7C727295"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794" w:type="dxa"/>
            <w:vAlign w:val="center"/>
          </w:tcPr>
          <w:p w14:paraId="4DA2AEAC" w14:textId="77777777" w:rsidR="00692E71" w:rsidRPr="00275290" w:rsidRDefault="00692E71" w:rsidP="008E0250">
            <w:pPr>
              <w:jc w:val="center"/>
              <w:rPr>
                <w:rFonts w:cs="Arial"/>
              </w:rPr>
            </w:pPr>
            <w:r w:rsidRPr="00275290">
              <w:rPr>
                <w:rFonts w:cs="Arial"/>
              </w:rPr>
              <w:t>A</w:t>
            </w:r>
          </w:p>
        </w:tc>
      </w:tr>
      <w:tr w:rsidR="00692E71" w:rsidRPr="00275290" w14:paraId="0FE52F85" w14:textId="77777777" w:rsidTr="008E0250">
        <w:tc>
          <w:tcPr>
            <w:tcW w:w="3230" w:type="dxa"/>
            <w:vAlign w:val="center"/>
          </w:tcPr>
          <w:p w14:paraId="14150B35" w14:textId="77777777" w:rsidR="00692E71" w:rsidRPr="00275290" w:rsidRDefault="00692E71" w:rsidP="008E0250">
            <w:pPr>
              <w:rPr>
                <w:rFonts w:cs="Arial"/>
              </w:rPr>
            </w:pPr>
            <w:r w:rsidRPr="00275290">
              <w:rPr>
                <w:rFonts w:cs="Arial"/>
              </w:rPr>
              <w:t xml:space="preserve">Cumulative quantity of active substance, leached out of 1 m² of treated wood over the longer assessment period </w:t>
            </w:r>
            <w:r w:rsidRPr="00275290">
              <w:rPr>
                <w:rFonts w:cs="Arial"/>
                <w:iCs/>
              </w:rPr>
              <w:t>(5475d)</w:t>
            </w:r>
          </w:p>
        </w:tc>
        <w:tc>
          <w:tcPr>
            <w:tcW w:w="1473" w:type="dxa"/>
            <w:vAlign w:val="center"/>
          </w:tcPr>
          <w:p w14:paraId="065BB4D1" w14:textId="77777777" w:rsidR="00692E71" w:rsidRPr="00275290" w:rsidRDefault="00692E71" w:rsidP="008E0250">
            <w:pPr>
              <w:rPr>
                <w:rFonts w:cs="Arial"/>
              </w:rPr>
            </w:pPr>
            <w:r w:rsidRPr="00275290">
              <w:rPr>
                <w:rFonts w:cs="Arial"/>
              </w:rPr>
              <w:t>Q*</w:t>
            </w:r>
            <w:r w:rsidRPr="00275290">
              <w:rPr>
                <w:rFonts w:cs="Arial"/>
                <w:vertAlign w:val="subscript"/>
              </w:rPr>
              <w:t>leach, time 2</w:t>
            </w:r>
            <w:r w:rsidRPr="00275290">
              <w:rPr>
                <w:rFonts w:cs="Arial"/>
              </w:rPr>
              <w:t xml:space="preserve"> </w:t>
            </w:r>
          </w:p>
        </w:tc>
        <w:tc>
          <w:tcPr>
            <w:tcW w:w="2551" w:type="dxa"/>
            <w:vAlign w:val="center"/>
          </w:tcPr>
          <w:p w14:paraId="0734711F" w14:textId="77777777" w:rsidR="00692E71" w:rsidRPr="00275290" w:rsidRDefault="00692E71" w:rsidP="008E0250">
            <w:pPr>
              <w:jc w:val="center"/>
              <w:rPr>
                <w:rFonts w:cs="Arial"/>
              </w:rPr>
            </w:pPr>
            <w:r w:rsidRPr="00275290">
              <w:rPr>
                <w:rFonts w:cs="Arial"/>
              </w:rPr>
              <w:t xml:space="preserve">32.98 (IPBC) </w:t>
            </w:r>
          </w:p>
          <w:p w14:paraId="01E478C6" w14:textId="77777777" w:rsidR="00692E71" w:rsidRPr="00275290" w:rsidRDefault="00692E71" w:rsidP="008E0250">
            <w:pPr>
              <w:jc w:val="center"/>
              <w:rPr>
                <w:rFonts w:cs="Arial"/>
              </w:rPr>
            </w:pPr>
            <w:r w:rsidRPr="00275290">
              <w:rPr>
                <w:rFonts w:cs="Arial"/>
              </w:rPr>
              <w:t>183.34 (propiconazole)</w:t>
            </w:r>
          </w:p>
          <w:p w14:paraId="34F9F47C" w14:textId="77777777" w:rsidR="00692E71" w:rsidRPr="00275290" w:rsidRDefault="00692E71" w:rsidP="008E0250">
            <w:pPr>
              <w:jc w:val="center"/>
              <w:rPr>
                <w:rFonts w:cs="Arial"/>
              </w:rPr>
            </w:pPr>
            <w:r w:rsidRPr="00275290">
              <w:rPr>
                <w:rFonts w:cs="Arial"/>
              </w:rPr>
              <w:t>68.30 (tebuconazole)</w:t>
            </w:r>
          </w:p>
          <w:p w14:paraId="7425077F" w14:textId="77777777" w:rsidR="00692E71" w:rsidRPr="00275290" w:rsidRDefault="00692E71" w:rsidP="008E0250">
            <w:pPr>
              <w:jc w:val="center"/>
              <w:rPr>
                <w:rFonts w:cs="Arial"/>
              </w:rPr>
            </w:pPr>
            <w:r w:rsidRPr="00275290">
              <w:rPr>
                <w:rFonts w:cs="Arial"/>
              </w:rPr>
              <w:t>5.84 (cypermethrin)</w:t>
            </w:r>
          </w:p>
        </w:tc>
        <w:tc>
          <w:tcPr>
            <w:tcW w:w="1278" w:type="dxa"/>
            <w:vAlign w:val="center"/>
          </w:tcPr>
          <w:p w14:paraId="4B9D8ACC"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794" w:type="dxa"/>
            <w:vAlign w:val="center"/>
          </w:tcPr>
          <w:p w14:paraId="75E29118" w14:textId="77777777" w:rsidR="00692E71" w:rsidRPr="00275290" w:rsidRDefault="00692E71" w:rsidP="008E0250">
            <w:pPr>
              <w:jc w:val="center"/>
              <w:rPr>
                <w:rFonts w:cs="Arial"/>
              </w:rPr>
            </w:pPr>
            <w:r w:rsidRPr="00275290">
              <w:rPr>
                <w:rFonts w:cs="Arial"/>
              </w:rPr>
              <w:t>A</w:t>
            </w:r>
          </w:p>
        </w:tc>
      </w:tr>
      <w:tr w:rsidR="00692E71" w:rsidRPr="00275290" w14:paraId="24662E30" w14:textId="77777777" w:rsidTr="008E0250">
        <w:tc>
          <w:tcPr>
            <w:tcW w:w="3230" w:type="dxa"/>
            <w:vAlign w:val="center"/>
          </w:tcPr>
          <w:p w14:paraId="665CC713" w14:textId="77777777" w:rsidR="00692E71" w:rsidRPr="00275290" w:rsidRDefault="00692E71" w:rsidP="008E0250">
            <w:pPr>
              <w:rPr>
                <w:rFonts w:cs="Arial"/>
              </w:rPr>
            </w:pPr>
            <w:r w:rsidRPr="00275290">
              <w:rPr>
                <w:rFonts w:cs="Arial"/>
              </w:rPr>
              <w:t>Volume of (wet) soil</w:t>
            </w:r>
          </w:p>
        </w:tc>
        <w:tc>
          <w:tcPr>
            <w:tcW w:w="1473" w:type="dxa"/>
            <w:vAlign w:val="center"/>
          </w:tcPr>
          <w:p w14:paraId="104E01DE" w14:textId="77777777" w:rsidR="00692E71" w:rsidRPr="00275290" w:rsidRDefault="00692E71" w:rsidP="008E0250">
            <w:pPr>
              <w:rPr>
                <w:rFonts w:cs="Arial"/>
              </w:rPr>
            </w:pPr>
            <w:r w:rsidRPr="00275290">
              <w:rPr>
                <w:rFonts w:cs="Arial"/>
              </w:rPr>
              <w:t>V</w:t>
            </w:r>
            <w:r w:rsidRPr="00275290">
              <w:rPr>
                <w:rFonts w:cs="Arial"/>
                <w:vertAlign w:val="subscript"/>
              </w:rPr>
              <w:t>soil</w:t>
            </w:r>
          </w:p>
        </w:tc>
        <w:tc>
          <w:tcPr>
            <w:tcW w:w="2551" w:type="dxa"/>
            <w:vAlign w:val="center"/>
          </w:tcPr>
          <w:p w14:paraId="1BAA4C96" w14:textId="77777777" w:rsidR="00692E71" w:rsidRPr="00275290" w:rsidRDefault="00692E71" w:rsidP="008E0250">
            <w:pPr>
              <w:jc w:val="center"/>
              <w:rPr>
                <w:rFonts w:cs="Arial"/>
              </w:rPr>
            </w:pPr>
            <w:r w:rsidRPr="00275290">
              <w:rPr>
                <w:rFonts w:cs="Arial"/>
              </w:rPr>
              <w:t>0.25</w:t>
            </w:r>
          </w:p>
        </w:tc>
        <w:tc>
          <w:tcPr>
            <w:tcW w:w="1278" w:type="dxa"/>
            <w:vAlign w:val="center"/>
          </w:tcPr>
          <w:p w14:paraId="6F48CD0A"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w:t>
            </w:r>
          </w:p>
        </w:tc>
        <w:tc>
          <w:tcPr>
            <w:tcW w:w="794" w:type="dxa"/>
            <w:vAlign w:val="center"/>
          </w:tcPr>
          <w:p w14:paraId="56EEDB76" w14:textId="77777777" w:rsidR="00692E71" w:rsidRPr="00275290" w:rsidRDefault="00692E71" w:rsidP="008E0250">
            <w:pPr>
              <w:jc w:val="center"/>
              <w:rPr>
                <w:rFonts w:cs="Arial"/>
              </w:rPr>
            </w:pPr>
            <w:r w:rsidRPr="00275290">
              <w:rPr>
                <w:rFonts w:cs="Arial"/>
              </w:rPr>
              <w:t>D</w:t>
            </w:r>
          </w:p>
        </w:tc>
      </w:tr>
      <w:tr w:rsidR="00692E71" w:rsidRPr="00275290" w14:paraId="79B4E788" w14:textId="77777777" w:rsidTr="008E0250">
        <w:tc>
          <w:tcPr>
            <w:tcW w:w="3230" w:type="dxa"/>
            <w:vAlign w:val="center"/>
          </w:tcPr>
          <w:p w14:paraId="7F06A5A0" w14:textId="77777777" w:rsidR="00692E71" w:rsidRPr="00275290" w:rsidRDefault="00692E71" w:rsidP="008E0250">
            <w:pPr>
              <w:rPr>
                <w:rFonts w:cs="Arial"/>
              </w:rPr>
            </w:pPr>
            <w:r w:rsidRPr="00275290">
              <w:rPr>
                <w:rFonts w:cs="Arial"/>
              </w:rPr>
              <w:t>Bulk density of (wet) soil</w:t>
            </w:r>
          </w:p>
        </w:tc>
        <w:tc>
          <w:tcPr>
            <w:tcW w:w="1473" w:type="dxa"/>
            <w:vAlign w:val="center"/>
          </w:tcPr>
          <w:p w14:paraId="3D0CE230" w14:textId="77777777" w:rsidR="00692E71" w:rsidRPr="00275290" w:rsidRDefault="00692E71" w:rsidP="008E0250">
            <w:pPr>
              <w:rPr>
                <w:rFonts w:cs="Arial"/>
              </w:rPr>
            </w:pPr>
            <w:r w:rsidRPr="00275290">
              <w:rPr>
                <w:rFonts w:cs="Arial"/>
              </w:rPr>
              <w:t>RHO</w:t>
            </w:r>
            <w:r w:rsidRPr="00275290">
              <w:rPr>
                <w:rFonts w:cs="Arial"/>
                <w:vertAlign w:val="subscript"/>
              </w:rPr>
              <w:t>soil</w:t>
            </w:r>
          </w:p>
        </w:tc>
        <w:tc>
          <w:tcPr>
            <w:tcW w:w="2551" w:type="dxa"/>
            <w:vAlign w:val="center"/>
          </w:tcPr>
          <w:p w14:paraId="324E170B" w14:textId="77777777" w:rsidR="00692E71" w:rsidRPr="00275290" w:rsidRDefault="00692E71" w:rsidP="008E0250">
            <w:pPr>
              <w:jc w:val="center"/>
              <w:rPr>
                <w:rFonts w:cs="Arial"/>
              </w:rPr>
            </w:pPr>
            <w:r w:rsidRPr="00275290">
              <w:rPr>
                <w:rFonts w:cs="Arial"/>
              </w:rPr>
              <w:t>1700</w:t>
            </w:r>
          </w:p>
        </w:tc>
        <w:tc>
          <w:tcPr>
            <w:tcW w:w="1278" w:type="dxa"/>
            <w:vAlign w:val="center"/>
          </w:tcPr>
          <w:p w14:paraId="78D6BF09" w14:textId="77777777" w:rsidR="00692E71" w:rsidRPr="00275290" w:rsidRDefault="00692E71" w:rsidP="008E0250">
            <w:pPr>
              <w:jc w:val="center"/>
              <w:rPr>
                <w:rFonts w:cs="Arial"/>
              </w:rPr>
            </w:pPr>
            <w:r w:rsidRPr="00275290">
              <w:rPr>
                <w:rFonts w:cs="Arial"/>
              </w:rPr>
              <w:t>[kg.m</w:t>
            </w:r>
            <w:r w:rsidRPr="00275290">
              <w:rPr>
                <w:rFonts w:cs="Arial"/>
                <w:vertAlign w:val="superscript"/>
              </w:rPr>
              <w:t>-3</w:t>
            </w:r>
            <w:r w:rsidRPr="00275290">
              <w:rPr>
                <w:rFonts w:cs="Arial"/>
              </w:rPr>
              <w:t>]</w:t>
            </w:r>
          </w:p>
        </w:tc>
        <w:tc>
          <w:tcPr>
            <w:tcW w:w="794" w:type="dxa"/>
            <w:vAlign w:val="center"/>
          </w:tcPr>
          <w:p w14:paraId="616BA564" w14:textId="77777777" w:rsidR="00692E71" w:rsidRPr="00275290" w:rsidRDefault="00692E71" w:rsidP="008E0250">
            <w:pPr>
              <w:jc w:val="center"/>
              <w:rPr>
                <w:rFonts w:cs="Arial"/>
              </w:rPr>
            </w:pPr>
            <w:r w:rsidRPr="00275290">
              <w:rPr>
                <w:rFonts w:cs="Arial"/>
              </w:rPr>
              <w:t>D</w:t>
            </w:r>
          </w:p>
        </w:tc>
      </w:tr>
      <w:tr w:rsidR="00692E71" w:rsidRPr="00275290" w14:paraId="62B75D8D" w14:textId="77777777" w:rsidTr="008E0250">
        <w:tc>
          <w:tcPr>
            <w:tcW w:w="9326" w:type="dxa"/>
            <w:gridSpan w:val="5"/>
            <w:vAlign w:val="center"/>
          </w:tcPr>
          <w:p w14:paraId="2C23566D" w14:textId="77777777" w:rsidR="00692E71" w:rsidRPr="00275290" w:rsidRDefault="00692E71" w:rsidP="008E0250">
            <w:pPr>
              <w:rPr>
                <w:rFonts w:cs="Arial"/>
                <w:b/>
              </w:rPr>
            </w:pPr>
            <w:r w:rsidRPr="00275290">
              <w:rPr>
                <w:rFonts w:cs="Arial"/>
                <w:b/>
              </w:rPr>
              <w:t>OUTPUT EMISSIONS</w:t>
            </w:r>
          </w:p>
        </w:tc>
      </w:tr>
      <w:tr w:rsidR="00692E71" w:rsidRPr="00275290" w14:paraId="570C8FFB" w14:textId="77777777" w:rsidTr="008E0250">
        <w:tc>
          <w:tcPr>
            <w:tcW w:w="3230" w:type="dxa"/>
            <w:vAlign w:val="center"/>
          </w:tcPr>
          <w:p w14:paraId="2F8CCEC7" w14:textId="77777777" w:rsidR="00692E71" w:rsidRPr="00275290" w:rsidRDefault="00692E71" w:rsidP="008E0250">
            <w:pPr>
              <w:rPr>
                <w:rFonts w:cs="Arial"/>
              </w:rPr>
            </w:pPr>
            <w:r w:rsidRPr="00275290">
              <w:rPr>
                <w:rFonts w:cs="Arial"/>
              </w:rPr>
              <w:t xml:space="preserve">Cumulative quantity of active substance, leached over the </w:t>
            </w:r>
            <w:r w:rsidRPr="00275290">
              <w:rPr>
                <w:rFonts w:cs="Arial"/>
              </w:rPr>
              <w:lastRenderedPageBreak/>
              <w:t>initial assessment period (30d)</w:t>
            </w:r>
          </w:p>
        </w:tc>
        <w:tc>
          <w:tcPr>
            <w:tcW w:w="1473" w:type="dxa"/>
            <w:vAlign w:val="center"/>
          </w:tcPr>
          <w:p w14:paraId="47E578FE" w14:textId="77777777" w:rsidR="00692E71" w:rsidRPr="00275290" w:rsidRDefault="00692E71" w:rsidP="008E0250">
            <w:pPr>
              <w:rPr>
                <w:rFonts w:cs="Arial"/>
              </w:rPr>
            </w:pPr>
            <w:r w:rsidRPr="00275290">
              <w:rPr>
                <w:rFonts w:cs="Arial"/>
              </w:rPr>
              <w:lastRenderedPageBreak/>
              <w:t>Q</w:t>
            </w:r>
            <w:r w:rsidRPr="00275290">
              <w:rPr>
                <w:rFonts w:cs="Arial"/>
                <w:vertAlign w:val="subscript"/>
              </w:rPr>
              <w:t>leach, time 1</w:t>
            </w:r>
          </w:p>
        </w:tc>
        <w:tc>
          <w:tcPr>
            <w:tcW w:w="2551" w:type="dxa"/>
            <w:vAlign w:val="center"/>
          </w:tcPr>
          <w:p w14:paraId="495F73CD" w14:textId="77777777" w:rsidR="00692E71" w:rsidRPr="00275290" w:rsidRDefault="00692E71" w:rsidP="008E0250">
            <w:pPr>
              <w:jc w:val="center"/>
              <w:rPr>
                <w:rFonts w:cs="Arial"/>
              </w:rPr>
            </w:pPr>
            <w:r w:rsidRPr="00275290">
              <w:rPr>
                <w:rFonts w:cs="Arial"/>
              </w:rPr>
              <w:t>10.08 (IPBC)</w:t>
            </w:r>
          </w:p>
          <w:p w14:paraId="6DEA5CE8" w14:textId="77777777" w:rsidR="00692E71" w:rsidRPr="00275290" w:rsidRDefault="00692E71" w:rsidP="008E0250">
            <w:pPr>
              <w:jc w:val="center"/>
              <w:rPr>
                <w:rFonts w:cs="Arial"/>
              </w:rPr>
            </w:pPr>
            <w:r w:rsidRPr="00275290">
              <w:rPr>
                <w:rFonts w:cs="Arial"/>
              </w:rPr>
              <w:t>40.87 (propiconazole)</w:t>
            </w:r>
          </w:p>
          <w:p w14:paraId="52FB1D87" w14:textId="77777777" w:rsidR="00692E71" w:rsidRPr="00275290" w:rsidRDefault="00692E71" w:rsidP="008E0250">
            <w:pPr>
              <w:jc w:val="center"/>
              <w:rPr>
                <w:rFonts w:cs="Arial"/>
              </w:rPr>
            </w:pPr>
            <w:r w:rsidRPr="00275290">
              <w:rPr>
                <w:rFonts w:cs="Arial"/>
              </w:rPr>
              <w:lastRenderedPageBreak/>
              <w:t>17.92 (tebuconazole)</w:t>
            </w:r>
          </w:p>
          <w:p w14:paraId="06A89798" w14:textId="77777777" w:rsidR="00692E71" w:rsidRPr="00275290" w:rsidRDefault="00692E71" w:rsidP="008E0250">
            <w:pPr>
              <w:jc w:val="center"/>
              <w:rPr>
                <w:rFonts w:cs="Arial"/>
              </w:rPr>
            </w:pPr>
            <w:r w:rsidRPr="00275290">
              <w:rPr>
                <w:rFonts w:cs="Arial"/>
              </w:rPr>
              <w:t>0.11 (cypermethrin)</w:t>
            </w:r>
          </w:p>
        </w:tc>
        <w:tc>
          <w:tcPr>
            <w:tcW w:w="1276" w:type="dxa"/>
            <w:vAlign w:val="center"/>
          </w:tcPr>
          <w:p w14:paraId="0CCC43A4" w14:textId="77777777" w:rsidR="00692E71" w:rsidRPr="00275290" w:rsidRDefault="00692E71" w:rsidP="008E0250">
            <w:pPr>
              <w:jc w:val="center"/>
              <w:rPr>
                <w:rFonts w:cs="Arial"/>
              </w:rPr>
            </w:pPr>
            <w:r w:rsidRPr="00275290">
              <w:rPr>
                <w:rFonts w:cs="Arial"/>
              </w:rPr>
              <w:lastRenderedPageBreak/>
              <w:t>[mg]</w:t>
            </w:r>
          </w:p>
        </w:tc>
        <w:tc>
          <w:tcPr>
            <w:tcW w:w="798" w:type="dxa"/>
            <w:vAlign w:val="center"/>
          </w:tcPr>
          <w:p w14:paraId="134B9E82" w14:textId="77777777" w:rsidR="00692E71" w:rsidRPr="00275290" w:rsidRDefault="00692E71" w:rsidP="008E0250">
            <w:pPr>
              <w:jc w:val="center"/>
              <w:rPr>
                <w:rFonts w:cs="Arial"/>
              </w:rPr>
            </w:pPr>
            <w:r w:rsidRPr="00275290">
              <w:rPr>
                <w:rFonts w:cs="Arial"/>
              </w:rPr>
              <w:t>O</w:t>
            </w:r>
          </w:p>
        </w:tc>
      </w:tr>
      <w:tr w:rsidR="00692E71" w:rsidRPr="00275290" w14:paraId="567ECED1" w14:textId="77777777" w:rsidTr="008E0250">
        <w:tc>
          <w:tcPr>
            <w:tcW w:w="3230" w:type="dxa"/>
            <w:vAlign w:val="center"/>
          </w:tcPr>
          <w:p w14:paraId="17FC7736" w14:textId="77777777" w:rsidR="00692E71" w:rsidRPr="00275290" w:rsidRDefault="00692E71" w:rsidP="008E0250">
            <w:pPr>
              <w:rPr>
                <w:rFonts w:cs="Arial"/>
              </w:rPr>
            </w:pPr>
            <w:r w:rsidRPr="00275290">
              <w:rPr>
                <w:rFonts w:cs="Arial"/>
              </w:rPr>
              <w:t>Cumulative quantity of active substance, leached over the longer assessment period (5475d)</w:t>
            </w:r>
          </w:p>
        </w:tc>
        <w:tc>
          <w:tcPr>
            <w:tcW w:w="1473" w:type="dxa"/>
            <w:vAlign w:val="center"/>
          </w:tcPr>
          <w:p w14:paraId="4B762317" w14:textId="77777777" w:rsidR="00692E71" w:rsidRPr="00275290" w:rsidRDefault="00692E71" w:rsidP="008E0250">
            <w:pPr>
              <w:rPr>
                <w:rFonts w:cs="Arial"/>
              </w:rPr>
            </w:pPr>
            <w:r w:rsidRPr="00275290">
              <w:rPr>
                <w:rFonts w:cs="Arial"/>
              </w:rPr>
              <w:t>Q</w:t>
            </w:r>
            <w:r w:rsidRPr="00275290">
              <w:rPr>
                <w:rFonts w:cs="Arial"/>
                <w:vertAlign w:val="subscript"/>
              </w:rPr>
              <w:t>leach, time 2</w:t>
            </w:r>
          </w:p>
        </w:tc>
        <w:tc>
          <w:tcPr>
            <w:tcW w:w="2551" w:type="dxa"/>
            <w:vAlign w:val="center"/>
          </w:tcPr>
          <w:p w14:paraId="0E2D0658" w14:textId="77777777" w:rsidR="00692E71" w:rsidRPr="00275290" w:rsidRDefault="00692E71" w:rsidP="008E0250">
            <w:pPr>
              <w:jc w:val="center"/>
              <w:rPr>
                <w:rFonts w:cs="Arial"/>
              </w:rPr>
            </w:pPr>
            <w:r w:rsidRPr="00275290">
              <w:rPr>
                <w:rFonts w:cs="Arial"/>
              </w:rPr>
              <w:t>65.70 (IPBC)</w:t>
            </w:r>
          </w:p>
          <w:p w14:paraId="70592167" w14:textId="77777777" w:rsidR="00692E71" w:rsidRPr="00275290" w:rsidRDefault="00692E71" w:rsidP="008E0250">
            <w:pPr>
              <w:jc w:val="center"/>
              <w:rPr>
                <w:rFonts w:cs="Arial"/>
              </w:rPr>
            </w:pPr>
            <w:r w:rsidRPr="00275290">
              <w:rPr>
                <w:rFonts w:cs="Arial"/>
              </w:rPr>
              <w:t>366.69 (propiconazole)</w:t>
            </w:r>
          </w:p>
          <w:p w14:paraId="2663588B" w14:textId="77777777" w:rsidR="00692E71" w:rsidRPr="00275290" w:rsidRDefault="00692E71" w:rsidP="008E0250">
            <w:pPr>
              <w:jc w:val="center"/>
              <w:rPr>
                <w:rFonts w:cs="Arial"/>
              </w:rPr>
            </w:pPr>
            <w:r w:rsidRPr="00275290">
              <w:rPr>
                <w:rFonts w:cs="Arial"/>
              </w:rPr>
              <w:t>136.40 (tebuconazole)</w:t>
            </w:r>
          </w:p>
          <w:p w14:paraId="4C48842B" w14:textId="77777777" w:rsidR="00692E71" w:rsidRPr="00275290" w:rsidRDefault="00692E71" w:rsidP="008E0250">
            <w:pPr>
              <w:jc w:val="center"/>
              <w:rPr>
                <w:rFonts w:cs="Arial"/>
              </w:rPr>
            </w:pPr>
            <w:r w:rsidRPr="00275290">
              <w:rPr>
                <w:rFonts w:cs="Arial"/>
              </w:rPr>
              <w:t>11.67 (cypermethrin)</w:t>
            </w:r>
          </w:p>
        </w:tc>
        <w:tc>
          <w:tcPr>
            <w:tcW w:w="1276" w:type="dxa"/>
            <w:vAlign w:val="center"/>
          </w:tcPr>
          <w:p w14:paraId="15033DE4" w14:textId="77777777" w:rsidR="00692E71" w:rsidRPr="00275290" w:rsidRDefault="00692E71" w:rsidP="008E0250">
            <w:pPr>
              <w:jc w:val="center"/>
              <w:rPr>
                <w:rFonts w:cs="Arial"/>
              </w:rPr>
            </w:pPr>
            <w:r w:rsidRPr="00275290">
              <w:rPr>
                <w:rFonts w:cs="Arial"/>
              </w:rPr>
              <w:t>[mg]</w:t>
            </w:r>
          </w:p>
        </w:tc>
        <w:tc>
          <w:tcPr>
            <w:tcW w:w="798" w:type="dxa"/>
            <w:vAlign w:val="center"/>
          </w:tcPr>
          <w:p w14:paraId="386A0641" w14:textId="77777777" w:rsidR="00692E71" w:rsidRPr="00275290" w:rsidRDefault="00692E71" w:rsidP="008E0250">
            <w:pPr>
              <w:jc w:val="center"/>
              <w:rPr>
                <w:rFonts w:cs="Arial"/>
              </w:rPr>
            </w:pPr>
            <w:r w:rsidRPr="00275290">
              <w:rPr>
                <w:rFonts w:cs="Arial"/>
              </w:rPr>
              <w:t>O</w:t>
            </w:r>
          </w:p>
        </w:tc>
      </w:tr>
      <w:tr w:rsidR="00692E71" w:rsidRPr="00275290" w14:paraId="189075BF" w14:textId="77777777" w:rsidTr="008E0250">
        <w:tc>
          <w:tcPr>
            <w:tcW w:w="3230" w:type="dxa"/>
            <w:vAlign w:val="center"/>
          </w:tcPr>
          <w:p w14:paraId="59D114A5" w14:textId="77777777" w:rsidR="00692E71" w:rsidRPr="00275290" w:rsidRDefault="00692E71" w:rsidP="008E0250">
            <w:pPr>
              <w:rPr>
                <w:rFonts w:cs="Arial"/>
              </w:rPr>
            </w:pPr>
            <w:r w:rsidRPr="00275290">
              <w:rPr>
                <w:rFonts w:cs="Arial"/>
              </w:rPr>
              <w:t>Concentration in local soil at the end of the initial assessment period (30d)</w:t>
            </w:r>
          </w:p>
        </w:tc>
        <w:tc>
          <w:tcPr>
            <w:tcW w:w="1473" w:type="dxa"/>
            <w:vAlign w:val="center"/>
          </w:tcPr>
          <w:p w14:paraId="4511ED49" w14:textId="77777777" w:rsidR="00692E71" w:rsidRPr="00275290" w:rsidRDefault="00692E71" w:rsidP="008E0250">
            <w:pPr>
              <w:rPr>
                <w:rFonts w:cs="Arial"/>
              </w:rPr>
            </w:pPr>
            <w:r w:rsidRPr="00275290">
              <w:rPr>
                <w:rFonts w:cs="Arial"/>
              </w:rPr>
              <w:t>Clocal</w:t>
            </w:r>
            <w:r w:rsidRPr="00275290">
              <w:rPr>
                <w:rFonts w:cs="Arial"/>
                <w:vertAlign w:val="subscript"/>
              </w:rPr>
              <w:t>soil,leach,time 1</w:t>
            </w:r>
          </w:p>
        </w:tc>
        <w:tc>
          <w:tcPr>
            <w:tcW w:w="2551" w:type="dxa"/>
            <w:vAlign w:val="center"/>
          </w:tcPr>
          <w:p w14:paraId="5BC8E036" w14:textId="77777777" w:rsidR="00692E71" w:rsidRPr="00275290" w:rsidRDefault="00692E71" w:rsidP="008E0250">
            <w:pPr>
              <w:jc w:val="center"/>
              <w:rPr>
                <w:rFonts w:cs="Arial"/>
              </w:rPr>
            </w:pPr>
            <w:r w:rsidRPr="00275290">
              <w:rPr>
                <w:rFonts w:cs="Arial"/>
              </w:rPr>
              <w:t>0.02 (IPBC)</w:t>
            </w:r>
          </w:p>
          <w:p w14:paraId="444E5787" w14:textId="77777777" w:rsidR="00692E71" w:rsidRPr="00275290" w:rsidRDefault="00692E71" w:rsidP="008E0250">
            <w:pPr>
              <w:jc w:val="center"/>
              <w:rPr>
                <w:rFonts w:cs="Arial"/>
              </w:rPr>
            </w:pPr>
            <w:r w:rsidRPr="00275290">
              <w:rPr>
                <w:rFonts w:cs="Arial"/>
              </w:rPr>
              <w:t>0.10 (propiconazole)</w:t>
            </w:r>
          </w:p>
          <w:p w14:paraId="0C809CB4" w14:textId="77777777" w:rsidR="00692E71" w:rsidRPr="00275290" w:rsidRDefault="00692E71" w:rsidP="008E0250">
            <w:pPr>
              <w:jc w:val="center"/>
              <w:rPr>
                <w:rFonts w:cs="Arial"/>
              </w:rPr>
            </w:pPr>
            <w:r w:rsidRPr="00275290">
              <w:rPr>
                <w:rFonts w:cs="Arial"/>
              </w:rPr>
              <w:t>0.04 (tebuconazole)</w:t>
            </w:r>
          </w:p>
          <w:p w14:paraId="3D0863E2" w14:textId="77777777" w:rsidR="00692E71" w:rsidRPr="00275290" w:rsidRDefault="00692E71" w:rsidP="008E0250">
            <w:pPr>
              <w:jc w:val="center"/>
              <w:rPr>
                <w:rFonts w:cs="Arial"/>
              </w:rPr>
            </w:pPr>
            <w:r w:rsidRPr="00275290">
              <w:rPr>
                <w:rFonts w:cs="Arial"/>
              </w:rPr>
              <w:t>2.7*10</w:t>
            </w:r>
            <w:r w:rsidRPr="00275290">
              <w:rPr>
                <w:rFonts w:cs="Arial"/>
                <w:vertAlign w:val="superscript"/>
              </w:rPr>
              <w:t>-4</w:t>
            </w:r>
            <w:r w:rsidRPr="00275290">
              <w:rPr>
                <w:rFonts w:cs="Arial"/>
              </w:rPr>
              <w:t xml:space="preserve"> (cypermethrin)</w:t>
            </w:r>
          </w:p>
        </w:tc>
        <w:tc>
          <w:tcPr>
            <w:tcW w:w="1276" w:type="dxa"/>
            <w:vAlign w:val="center"/>
          </w:tcPr>
          <w:p w14:paraId="05EC9B50"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98" w:type="dxa"/>
            <w:vAlign w:val="center"/>
          </w:tcPr>
          <w:p w14:paraId="610F071B" w14:textId="77777777" w:rsidR="00692E71" w:rsidRPr="00275290" w:rsidRDefault="00692E71" w:rsidP="008E0250">
            <w:pPr>
              <w:jc w:val="center"/>
              <w:rPr>
                <w:rFonts w:cs="Arial"/>
              </w:rPr>
            </w:pPr>
            <w:r w:rsidRPr="00275290">
              <w:rPr>
                <w:rFonts w:cs="Arial"/>
              </w:rPr>
              <w:t>O</w:t>
            </w:r>
          </w:p>
        </w:tc>
      </w:tr>
      <w:tr w:rsidR="00692E71" w:rsidRPr="00275290" w14:paraId="3AA3D616" w14:textId="77777777" w:rsidTr="008E0250">
        <w:tc>
          <w:tcPr>
            <w:tcW w:w="3230" w:type="dxa"/>
            <w:vAlign w:val="center"/>
          </w:tcPr>
          <w:p w14:paraId="7901D92E" w14:textId="77777777" w:rsidR="00692E71" w:rsidRPr="00275290" w:rsidRDefault="00692E71" w:rsidP="008E0250">
            <w:pPr>
              <w:rPr>
                <w:rFonts w:cs="Arial"/>
              </w:rPr>
            </w:pPr>
            <w:r w:rsidRPr="00275290">
              <w:rPr>
                <w:rFonts w:cs="Arial"/>
              </w:rPr>
              <w:t>Concentration in local soil at the end of the longer assessment period (5475d)</w:t>
            </w:r>
          </w:p>
        </w:tc>
        <w:tc>
          <w:tcPr>
            <w:tcW w:w="1473" w:type="dxa"/>
            <w:vAlign w:val="center"/>
          </w:tcPr>
          <w:p w14:paraId="56F5ADC6" w14:textId="77777777" w:rsidR="00692E71" w:rsidRPr="00275290" w:rsidRDefault="00692E71" w:rsidP="008E0250">
            <w:pPr>
              <w:rPr>
                <w:rFonts w:cs="Arial"/>
              </w:rPr>
            </w:pPr>
            <w:r w:rsidRPr="00275290">
              <w:rPr>
                <w:rFonts w:cs="Arial"/>
              </w:rPr>
              <w:t>Clocal</w:t>
            </w:r>
            <w:r w:rsidRPr="00275290">
              <w:rPr>
                <w:rFonts w:cs="Arial"/>
                <w:vertAlign w:val="subscript"/>
              </w:rPr>
              <w:t>soil,leach,time 2</w:t>
            </w:r>
          </w:p>
        </w:tc>
        <w:tc>
          <w:tcPr>
            <w:tcW w:w="2551" w:type="dxa"/>
            <w:vAlign w:val="center"/>
          </w:tcPr>
          <w:p w14:paraId="2A186CB5" w14:textId="77777777" w:rsidR="00692E71" w:rsidRPr="00275290" w:rsidRDefault="00692E71" w:rsidP="008E0250">
            <w:pPr>
              <w:jc w:val="center"/>
              <w:rPr>
                <w:rFonts w:cs="Arial"/>
              </w:rPr>
            </w:pPr>
            <w:r w:rsidRPr="00275290">
              <w:rPr>
                <w:rFonts w:cs="Arial"/>
              </w:rPr>
              <w:t>0.15 (IPBC)</w:t>
            </w:r>
          </w:p>
          <w:p w14:paraId="060F2530" w14:textId="77777777" w:rsidR="00692E71" w:rsidRPr="00275290" w:rsidRDefault="00692E71" w:rsidP="008E0250">
            <w:pPr>
              <w:jc w:val="center"/>
              <w:rPr>
                <w:rFonts w:cs="Arial"/>
              </w:rPr>
            </w:pPr>
            <w:r w:rsidRPr="00275290">
              <w:rPr>
                <w:rFonts w:cs="Arial"/>
              </w:rPr>
              <w:t>0.86 (propiconazole)</w:t>
            </w:r>
          </w:p>
          <w:p w14:paraId="0E125637" w14:textId="77777777" w:rsidR="00692E71" w:rsidRPr="00275290" w:rsidRDefault="00692E71" w:rsidP="008E0250">
            <w:pPr>
              <w:jc w:val="center"/>
              <w:rPr>
                <w:rFonts w:cs="Arial"/>
              </w:rPr>
            </w:pPr>
            <w:r w:rsidRPr="00275290">
              <w:rPr>
                <w:rFonts w:cs="Arial"/>
              </w:rPr>
              <w:t>0.32 (tebuconazole)</w:t>
            </w:r>
          </w:p>
          <w:p w14:paraId="70824329" w14:textId="77777777" w:rsidR="00692E71" w:rsidRPr="00275290" w:rsidRDefault="00692E71" w:rsidP="008E0250">
            <w:pPr>
              <w:jc w:val="center"/>
              <w:rPr>
                <w:rFonts w:cs="Arial"/>
              </w:rPr>
            </w:pPr>
            <w:r w:rsidRPr="00275290">
              <w:rPr>
                <w:rFonts w:cs="Arial"/>
              </w:rPr>
              <w:t>2.7*10</w:t>
            </w:r>
            <w:r w:rsidRPr="00275290">
              <w:rPr>
                <w:rFonts w:cs="Arial"/>
                <w:vertAlign w:val="superscript"/>
              </w:rPr>
              <w:t>-2</w:t>
            </w:r>
            <w:r w:rsidRPr="00275290">
              <w:rPr>
                <w:rFonts w:cs="Arial"/>
              </w:rPr>
              <w:t xml:space="preserve"> (cypermethrin)</w:t>
            </w:r>
          </w:p>
        </w:tc>
        <w:tc>
          <w:tcPr>
            <w:tcW w:w="1276" w:type="dxa"/>
            <w:vAlign w:val="center"/>
          </w:tcPr>
          <w:p w14:paraId="50576B2A"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98" w:type="dxa"/>
            <w:vAlign w:val="center"/>
          </w:tcPr>
          <w:p w14:paraId="44B6FA0E" w14:textId="77777777" w:rsidR="00692E71" w:rsidRPr="00275290" w:rsidRDefault="00692E71" w:rsidP="008E0250">
            <w:pPr>
              <w:jc w:val="center"/>
              <w:rPr>
                <w:rFonts w:cs="Arial"/>
              </w:rPr>
            </w:pPr>
            <w:r w:rsidRPr="00275290">
              <w:rPr>
                <w:rFonts w:cs="Arial"/>
              </w:rPr>
              <w:t>O</w:t>
            </w:r>
          </w:p>
        </w:tc>
      </w:tr>
    </w:tbl>
    <w:p w14:paraId="3A58CC28" w14:textId="77777777" w:rsidR="00692E71" w:rsidRPr="00275290" w:rsidRDefault="00692E71" w:rsidP="00692E71">
      <w:pPr>
        <w:rPr>
          <w:rFonts w:cs="Arial"/>
          <w:b/>
        </w:rPr>
      </w:pPr>
      <w:r w:rsidRPr="00275290">
        <w:rPr>
          <w:rFonts w:cs="Arial"/>
        </w:rPr>
        <w:t>D=default, A=based on information of applicant, O=output</w:t>
      </w:r>
    </w:p>
    <w:p w14:paraId="7B9CDCEA" w14:textId="77777777" w:rsidR="00692E71" w:rsidRPr="00275290" w:rsidRDefault="00692E71" w:rsidP="00692E71">
      <w:pPr>
        <w:rPr>
          <w:rFonts w:cs="Arial"/>
        </w:rPr>
      </w:pPr>
    </w:p>
    <w:p w14:paraId="4BD3FAAA" w14:textId="77777777" w:rsidR="00692E71" w:rsidRPr="00275290" w:rsidRDefault="00692E71" w:rsidP="00692E71">
      <w:pPr>
        <w:rPr>
          <w:rFonts w:cs="Arial"/>
        </w:rPr>
      </w:pPr>
      <w:r w:rsidRPr="00275290">
        <w:rPr>
          <w:rFonts w:cs="Arial"/>
          <w:u w:val="single"/>
        </w:rPr>
        <w:t>Calculations (IPBC used as an example)</w:t>
      </w:r>
      <w:r w:rsidRPr="00275290">
        <w:rPr>
          <w:rFonts w:cs="Arial"/>
        </w:rPr>
        <w:t>:</w:t>
      </w:r>
    </w:p>
    <w:p w14:paraId="1E4416C3" w14:textId="77777777" w:rsidR="00692E71" w:rsidRPr="00275290" w:rsidRDefault="00692E71" w:rsidP="00692E71">
      <w:pPr>
        <w:rPr>
          <w:rFonts w:cs="Arial"/>
        </w:rPr>
      </w:pPr>
    </w:p>
    <w:p w14:paraId="352A09DD"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AREA</w:t>
      </w:r>
      <w:r w:rsidRPr="00275290">
        <w:rPr>
          <w:rFonts w:cs="Arial"/>
          <w:vertAlign w:val="subscript"/>
        </w:rPr>
        <w:t>fence</w:t>
      </w:r>
      <w:r w:rsidRPr="00275290">
        <w:rPr>
          <w:rFonts w:cs="Arial"/>
        </w:rPr>
        <w:t xml:space="preserve"> * Q*</w:t>
      </w:r>
      <w:r w:rsidRPr="00275290">
        <w:rPr>
          <w:rFonts w:cs="Arial"/>
          <w:vertAlign w:val="subscript"/>
        </w:rPr>
        <w:t>leach, time1</w:t>
      </w:r>
    </w:p>
    <w:p w14:paraId="28C920A7"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2 * 5.04</w:t>
      </w:r>
    </w:p>
    <w:p w14:paraId="46F67771"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10.08 mg</w:t>
      </w:r>
    </w:p>
    <w:p w14:paraId="7850FC8B" w14:textId="77777777" w:rsidR="00692E71" w:rsidRPr="00275290" w:rsidRDefault="00692E71" w:rsidP="00692E71">
      <w:pPr>
        <w:rPr>
          <w:rFonts w:cs="Arial"/>
        </w:rPr>
      </w:pPr>
    </w:p>
    <w:p w14:paraId="55F5602C"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AREA</w:t>
      </w:r>
      <w:r w:rsidRPr="00275290">
        <w:rPr>
          <w:rFonts w:cs="Arial"/>
          <w:vertAlign w:val="subscript"/>
        </w:rPr>
        <w:t>fence</w:t>
      </w:r>
      <w:r w:rsidRPr="00275290">
        <w:rPr>
          <w:rFonts w:cs="Arial"/>
        </w:rPr>
        <w:t xml:space="preserve"> * Q*</w:t>
      </w:r>
      <w:r w:rsidRPr="00275290">
        <w:rPr>
          <w:rFonts w:cs="Arial"/>
          <w:vertAlign w:val="subscript"/>
        </w:rPr>
        <w:t>leach, time2</w:t>
      </w:r>
    </w:p>
    <w:p w14:paraId="4177659B"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2 * 32.98</w:t>
      </w:r>
    </w:p>
    <w:p w14:paraId="1C81BB2F"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65.70 mg</w:t>
      </w:r>
    </w:p>
    <w:p w14:paraId="37F6C5AD" w14:textId="77777777" w:rsidR="00692E71" w:rsidRPr="00275290" w:rsidRDefault="00692E71" w:rsidP="00692E71">
      <w:pPr>
        <w:rPr>
          <w:rFonts w:cs="Arial"/>
        </w:rPr>
      </w:pPr>
    </w:p>
    <w:p w14:paraId="110A6241"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,leach</w:t>
      </w:r>
      <w:proofErr w:type="gramEnd"/>
      <w:r w:rsidRPr="00275290">
        <w:rPr>
          <w:rFonts w:cs="Arial"/>
          <w:vertAlign w:val="subscript"/>
        </w:rPr>
        <w:t xml:space="preserve">, time1 </w:t>
      </w:r>
      <w:r w:rsidRPr="00275290">
        <w:rPr>
          <w:rFonts w:cs="Arial"/>
        </w:rPr>
        <w:t>= Q</w:t>
      </w:r>
      <w:r w:rsidRPr="00275290">
        <w:rPr>
          <w:rFonts w:cs="Arial"/>
          <w:vertAlign w:val="subscript"/>
        </w:rPr>
        <w:t xml:space="preserve">leach, time1 </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56681A60"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,leach</w:t>
      </w:r>
      <w:proofErr w:type="gramEnd"/>
      <w:r w:rsidRPr="00275290">
        <w:rPr>
          <w:rFonts w:cs="Arial"/>
          <w:vertAlign w:val="subscript"/>
        </w:rPr>
        <w:t>, time1</w:t>
      </w:r>
      <w:r w:rsidRPr="00275290">
        <w:rPr>
          <w:rFonts w:cs="Arial"/>
        </w:rPr>
        <w:t>= 10.08 / (0.25 * 1700)</w:t>
      </w:r>
    </w:p>
    <w:p w14:paraId="72C8A8A4"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,leach</w:t>
      </w:r>
      <w:proofErr w:type="gramEnd"/>
      <w:r w:rsidRPr="00275290">
        <w:rPr>
          <w:rFonts w:cs="Arial"/>
          <w:vertAlign w:val="subscript"/>
        </w:rPr>
        <w:t>, time1</w:t>
      </w:r>
      <w:r w:rsidRPr="00275290">
        <w:rPr>
          <w:rFonts w:cs="Arial"/>
        </w:rPr>
        <w:t>= 2.4*10</w:t>
      </w:r>
      <w:r w:rsidRPr="00275290">
        <w:rPr>
          <w:rFonts w:cs="Arial"/>
          <w:vertAlign w:val="superscript"/>
        </w:rPr>
        <w:t>-2</w:t>
      </w:r>
      <w:r w:rsidRPr="00275290">
        <w:rPr>
          <w:rFonts w:cs="Arial"/>
        </w:rPr>
        <w:t xml:space="preserve"> mg/kg</w:t>
      </w:r>
      <w:r w:rsidRPr="00275290">
        <w:rPr>
          <w:rFonts w:cs="Arial"/>
          <w:vertAlign w:val="subscript"/>
        </w:rPr>
        <w:t>wwt</w:t>
      </w:r>
    </w:p>
    <w:p w14:paraId="16FA9EA1" w14:textId="77777777" w:rsidR="00692E71" w:rsidRPr="00275290" w:rsidRDefault="00692E71" w:rsidP="00692E71">
      <w:pPr>
        <w:rPr>
          <w:rFonts w:cs="Arial"/>
        </w:rPr>
      </w:pPr>
    </w:p>
    <w:p w14:paraId="27A4547E"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,leach</w:t>
      </w:r>
      <w:proofErr w:type="gramEnd"/>
      <w:r w:rsidRPr="00275290">
        <w:rPr>
          <w:rFonts w:cs="Arial"/>
          <w:vertAlign w:val="subscript"/>
        </w:rPr>
        <w:t xml:space="preserve">, time2 </w:t>
      </w:r>
      <w:r w:rsidRPr="00275290">
        <w:rPr>
          <w:rFonts w:cs="Arial"/>
        </w:rPr>
        <w:t>= Q</w:t>
      </w:r>
      <w:r w:rsidRPr="00275290">
        <w:rPr>
          <w:rFonts w:cs="Arial"/>
          <w:vertAlign w:val="subscript"/>
        </w:rPr>
        <w:t xml:space="preserve">leach, time2 </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664A1C9E"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,leach</w:t>
      </w:r>
      <w:proofErr w:type="gramEnd"/>
      <w:r w:rsidRPr="00275290">
        <w:rPr>
          <w:rFonts w:cs="Arial"/>
          <w:vertAlign w:val="subscript"/>
        </w:rPr>
        <w:t xml:space="preserve">, time2 </w:t>
      </w:r>
      <w:r w:rsidRPr="00275290">
        <w:rPr>
          <w:rFonts w:cs="Arial"/>
        </w:rPr>
        <w:t>= 65.70 / (0.25 * 1700)</w:t>
      </w:r>
    </w:p>
    <w:p w14:paraId="4438D81A" w14:textId="77777777" w:rsidR="00692E71" w:rsidRPr="00275290" w:rsidRDefault="00692E71" w:rsidP="00692E71">
      <w:pPr>
        <w:rPr>
          <w:rFonts w:cs="Arial"/>
          <w:vertAlign w:val="subscript"/>
        </w:rPr>
      </w:pPr>
      <w:r w:rsidRPr="00275290">
        <w:rPr>
          <w:rFonts w:cs="Arial"/>
        </w:rPr>
        <w:t>Clocal</w:t>
      </w:r>
      <w:r w:rsidRPr="00275290">
        <w:rPr>
          <w:rFonts w:cs="Arial"/>
          <w:vertAlign w:val="subscript"/>
        </w:rPr>
        <w:t>soil</w:t>
      </w:r>
      <w:proofErr w:type="gramStart"/>
      <w:r w:rsidRPr="00275290">
        <w:rPr>
          <w:rFonts w:cs="Arial"/>
          <w:vertAlign w:val="subscript"/>
        </w:rPr>
        <w:t>,leach</w:t>
      </w:r>
      <w:proofErr w:type="gramEnd"/>
      <w:r w:rsidRPr="00275290">
        <w:rPr>
          <w:rFonts w:cs="Arial"/>
          <w:vertAlign w:val="subscript"/>
        </w:rPr>
        <w:t xml:space="preserve">, time2 </w:t>
      </w:r>
      <w:r w:rsidRPr="00275290">
        <w:rPr>
          <w:rFonts w:cs="Arial"/>
        </w:rPr>
        <w:t>= 0.15 mg/kg</w:t>
      </w:r>
      <w:r w:rsidRPr="00275290">
        <w:rPr>
          <w:rFonts w:cs="Arial"/>
          <w:vertAlign w:val="subscript"/>
        </w:rPr>
        <w:t>wwt</w:t>
      </w:r>
    </w:p>
    <w:p w14:paraId="53C73D34" w14:textId="77777777" w:rsidR="00692E71" w:rsidRPr="00575E63" w:rsidRDefault="00692E71" w:rsidP="00692E71">
      <w:pPr>
        <w:rPr>
          <w:rFonts w:ascii="Arial" w:hAnsi="Arial" w:cs="Arial"/>
        </w:rPr>
      </w:pPr>
    </w:p>
    <w:p w14:paraId="1D83D2FA" w14:textId="77777777" w:rsidR="00692E71" w:rsidRPr="008551C7" w:rsidRDefault="00692E71" w:rsidP="008E0250">
      <w:pPr>
        <w:pStyle w:val="Titre6"/>
        <w:spacing w:before="240"/>
        <w:rPr>
          <w:lang w:val="en-US"/>
        </w:rPr>
      </w:pPr>
      <w:bookmarkStart w:id="123" w:name="_Toc452668987"/>
      <w:r w:rsidRPr="008551C7">
        <w:rPr>
          <w:lang w:val="en-US"/>
        </w:rPr>
        <w:t>Noise Barrier scenario, in-service of industrial treated wood</w:t>
      </w:r>
      <w:bookmarkEnd w:id="123"/>
    </w:p>
    <w:p w14:paraId="6541878D" w14:textId="77777777" w:rsidR="00692E71" w:rsidRPr="00275290" w:rsidRDefault="00692E71" w:rsidP="00692E71">
      <w:pPr>
        <w:rPr>
          <w:rFonts w:cs="Arial"/>
        </w:rPr>
      </w:pPr>
    </w:p>
    <w:p w14:paraId="1DFA180C"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10</w:t>
      </w:r>
      <w:r w:rsidRPr="00275290">
        <w:rPr>
          <w:rFonts w:ascii="Verdana" w:hAnsi="Verdana"/>
        </w:rPr>
        <w:fldChar w:fldCharType="end"/>
      </w:r>
      <w:r w:rsidRPr="00275290">
        <w:rPr>
          <w:rFonts w:ascii="Verdana" w:hAnsi="Verdana"/>
        </w:rPr>
        <w:t>: Calculation of emissions from treated noise barrier in-service.</w:t>
      </w: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8"/>
        <w:gridCol w:w="1587"/>
        <w:gridCol w:w="2268"/>
        <w:gridCol w:w="1276"/>
        <w:gridCol w:w="927"/>
        <w:gridCol w:w="8"/>
      </w:tblGrid>
      <w:tr w:rsidR="00692E71" w:rsidRPr="00275290" w14:paraId="07EEC4E2" w14:textId="77777777" w:rsidTr="008E0250">
        <w:trPr>
          <w:gridAfter w:val="1"/>
          <w:wAfter w:w="8" w:type="dxa"/>
          <w:trHeight w:val="340"/>
        </w:trPr>
        <w:tc>
          <w:tcPr>
            <w:tcW w:w="3288" w:type="dxa"/>
            <w:shd w:val="clear" w:color="auto" w:fill="D9D9D9" w:themeFill="background1" w:themeFillShade="D9"/>
            <w:vAlign w:val="center"/>
          </w:tcPr>
          <w:p w14:paraId="1E794673" w14:textId="77777777" w:rsidR="00692E71" w:rsidRPr="00275290" w:rsidRDefault="00692E71" w:rsidP="008E0250">
            <w:pPr>
              <w:jc w:val="center"/>
              <w:rPr>
                <w:rFonts w:cs="Arial"/>
                <w:b/>
              </w:rPr>
            </w:pPr>
            <w:r w:rsidRPr="00275290">
              <w:rPr>
                <w:rFonts w:cs="Arial"/>
                <w:b/>
              </w:rPr>
              <w:t>Parameter/variable</w:t>
            </w:r>
          </w:p>
        </w:tc>
        <w:tc>
          <w:tcPr>
            <w:tcW w:w="1587" w:type="dxa"/>
            <w:shd w:val="clear" w:color="auto" w:fill="D9D9D9" w:themeFill="background1" w:themeFillShade="D9"/>
            <w:vAlign w:val="center"/>
          </w:tcPr>
          <w:p w14:paraId="2D906532" w14:textId="77777777" w:rsidR="00692E71" w:rsidRPr="00275290" w:rsidRDefault="00692E71" w:rsidP="008E0250">
            <w:pPr>
              <w:jc w:val="center"/>
              <w:rPr>
                <w:rFonts w:cs="Arial"/>
                <w:b/>
              </w:rPr>
            </w:pPr>
            <w:r w:rsidRPr="00275290">
              <w:rPr>
                <w:rFonts w:cs="Arial"/>
                <w:b/>
              </w:rPr>
              <w:t>Nomenclature</w:t>
            </w:r>
          </w:p>
        </w:tc>
        <w:tc>
          <w:tcPr>
            <w:tcW w:w="2268" w:type="dxa"/>
            <w:shd w:val="clear" w:color="auto" w:fill="D9D9D9" w:themeFill="background1" w:themeFillShade="D9"/>
            <w:vAlign w:val="center"/>
          </w:tcPr>
          <w:p w14:paraId="17870A94" w14:textId="77777777" w:rsidR="00692E71" w:rsidRPr="00275290" w:rsidRDefault="00692E71" w:rsidP="008E0250">
            <w:pPr>
              <w:jc w:val="center"/>
              <w:rPr>
                <w:rFonts w:cs="Arial"/>
                <w:b/>
              </w:rPr>
            </w:pPr>
            <w:r w:rsidRPr="00275290">
              <w:rPr>
                <w:rFonts w:cs="Arial"/>
                <w:b/>
              </w:rPr>
              <w:t>Value</w:t>
            </w:r>
          </w:p>
        </w:tc>
        <w:tc>
          <w:tcPr>
            <w:tcW w:w="1276" w:type="dxa"/>
            <w:shd w:val="clear" w:color="auto" w:fill="D9D9D9" w:themeFill="background1" w:themeFillShade="D9"/>
            <w:vAlign w:val="center"/>
          </w:tcPr>
          <w:p w14:paraId="32AD9A52" w14:textId="77777777" w:rsidR="00692E71" w:rsidRPr="00275290" w:rsidRDefault="00692E71" w:rsidP="008E0250">
            <w:pPr>
              <w:jc w:val="center"/>
              <w:rPr>
                <w:rFonts w:cs="Arial"/>
                <w:b/>
              </w:rPr>
            </w:pPr>
            <w:r w:rsidRPr="00275290">
              <w:rPr>
                <w:rFonts w:cs="Arial"/>
                <w:b/>
              </w:rPr>
              <w:t>Unit</w:t>
            </w:r>
          </w:p>
        </w:tc>
        <w:tc>
          <w:tcPr>
            <w:tcW w:w="927" w:type="dxa"/>
            <w:shd w:val="clear" w:color="auto" w:fill="D9D9D9" w:themeFill="background1" w:themeFillShade="D9"/>
            <w:vAlign w:val="center"/>
          </w:tcPr>
          <w:p w14:paraId="49060B5D" w14:textId="77777777" w:rsidR="00692E71" w:rsidRPr="00275290" w:rsidRDefault="00692E71" w:rsidP="008E0250">
            <w:pPr>
              <w:jc w:val="center"/>
              <w:rPr>
                <w:rFonts w:cs="Arial"/>
                <w:b/>
              </w:rPr>
            </w:pPr>
            <w:r w:rsidRPr="00275290">
              <w:rPr>
                <w:rFonts w:cs="Arial"/>
                <w:b/>
              </w:rPr>
              <w:t>Origin</w:t>
            </w:r>
          </w:p>
        </w:tc>
      </w:tr>
      <w:tr w:rsidR="00692E71" w:rsidRPr="00275290" w14:paraId="200D83F8" w14:textId="77777777" w:rsidTr="008E0250">
        <w:trPr>
          <w:trHeight w:val="283"/>
        </w:trPr>
        <w:tc>
          <w:tcPr>
            <w:tcW w:w="9354" w:type="dxa"/>
            <w:gridSpan w:val="6"/>
            <w:vAlign w:val="center"/>
          </w:tcPr>
          <w:p w14:paraId="6E03BA43" w14:textId="77777777" w:rsidR="00692E71" w:rsidRPr="00275290" w:rsidRDefault="00692E71" w:rsidP="008E0250">
            <w:pPr>
              <w:rPr>
                <w:rFonts w:cs="Arial"/>
                <w:b/>
              </w:rPr>
            </w:pPr>
            <w:r w:rsidRPr="00275290">
              <w:rPr>
                <w:rFonts w:cs="Arial"/>
                <w:b/>
              </w:rPr>
              <w:t>INPUTS</w:t>
            </w:r>
          </w:p>
        </w:tc>
      </w:tr>
      <w:tr w:rsidR="00692E71" w:rsidRPr="00275290" w14:paraId="0A5F5211" w14:textId="77777777" w:rsidTr="008E0250">
        <w:trPr>
          <w:gridAfter w:val="1"/>
          <w:wAfter w:w="8" w:type="dxa"/>
        </w:trPr>
        <w:tc>
          <w:tcPr>
            <w:tcW w:w="3288" w:type="dxa"/>
            <w:vAlign w:val="center"/>
          </w:tcPr>
          <w:p w14:paraId="418C7CA9" w14:textId="77777777" w:rsidR="00692E71" w:rsidRPr="00275290" w:rsidRDefault="00692E71" w:rsidP="008E0250">
            <w:pPr>
              <w:rPr>
                <w:rFonts w:cs="Arial"/>
                <w:i/>
                <w:iCs/>
              </w:rPr>
            </w:pPr>
            <w:r w:rsidRPr="00275290">
              <w:rPr>
                <w:rFonts w:cs="Arial"/>
              </w:rPr>
              <w:t>Leachable wood area</w:t>
            </w:r>
          </w:p>
        </w:tc>
        <w:tc>
          <w:tcPr>
            <w:tcW w:w="1587" w:type="dxa"/>
            <w:vAlign w:val="center"/>
          </w:tcPr>
          <w:p w14:paraId="459748BE" w14:textId="77777777" w:rsidR="00692E71" w:rsidRPr="00275290" w:rsidRDefault="00692E71" w:rsidP="008E0250">
            <w:pPr>
              <w:rPr>
                <w:rFonts w:cs="Arial"/>
              </w:rPr>
            </w:pPr>
            <w:r w:rsidRPr="00275290">
              <w:rPr>
                <w:rFonts w:cs="Arial"/>
              </w:rPr>
              <w:t>AREA</w:t>
            </w:r>
            <w:r w:rsidRPr="00275290">
              <w:rPr>
                <w:rFonts w:cs="Arial"/>
                <w:vertAlign w:val="subscript"/>
              </w:rPr>
              <w:t>noise-barrier</w:t>
            </w:r>
          </w:p>
        </w:tc>
        <w:tc>
          <w:tcPr>
            <w:tcW w:w="2268" w:type="dxa"/>
            <w:vAlign w:val="center"/>
          </w:tcPr>
          <w:p w14:paraId="57CE89B2" w14:textId="77777777" w:rsidR="00692E71" w:rsidRPr="00275290" w:rsidRDefault="00692E71" w:rsidP="008E0250">
            <w:pPr>
              <w:jc w:val="center"/>
              <w:rPr>
                <w:rFonts w:cs="Arial"/>
              </w:rPr>
            </w:pPr>
            <w:r w:rsidRPr="00275290">
              <w:rPr>
                <w:rFonts w:cs="Arial"/>
              </w:rPr>
              <w:t>3000</w:t>
            </w:r>
          </w:p>
        </w:tc>
        <w:tc>
          <w:tcPr>
            <w:tcW w:w="1276" w:type="dxa"/>
            <w:vAlign w:val="center"/>
          </w:tcPr>
          <w:p w14:paraId="2985685A" w14:textId="77777777" w:rsidR="00692E71" w:rsidRPr="00275290" w:rsidRDefault="00692E71" w:rsidP="008E0250">
            <w:pPr>
              <w:jc w:val="center"/>
              <w:rPr>
                <w:rFonts w:cs="Arial"/>
                <w:i/>
                <w:iCs/>
              </w:rPr>
            </w:pPr>
            <w:r w:rsidRPr="00275290">
              <w:rPr>
                <w:rFonts w:cs="Arial"/>
              </w:rPr>
              <w:t>[m²/d]</w:t>
            </w:r>
          </w:p>
        </w:tc>
        <w:tc>
          <w:tcPr>
            <w:tcW w:w="927" w:type="dxa"/>
            <w:vAlign w:val="center"/>
          </w:tcPr>
          <w:p w14:paraId="7E0113BE" w14:textId="77777777" w:rsidR="00692E71" w:rsidRPr="00275290" w:rsidRDefault="00692E71" w:rsidP="008E0250">
            <w:pPr>
              <w:jc w:val="center"/>
              <w:rPr>
                <w:rFonts w:cs="Arial"/>
              </w:rPr>
            </w:pPr>
            <w:r w:rsidRPr="00275290">
              <w:rPr>
                <w:rFonts w:cs="Arial"/>
              </w:rPr>
              <w:t>D</w:t>
            </w:r>
          </w:p>
        </w:tc>
      </w:tr>
      <w:tr w:rsidR="00692E71" w:rsidRPr="00275290" w14:paraId="15EF4D89" w14:textId="77777777" w:rsidTr="008E0250">
        <w:trPr>
          <w:gridAfter w:val="1"/>
          <w:wAfter w:w="8" w:type="dxa"/>
        </w:trPr>
        <w:tc>
          <w:tcPr>
            <w:tcW w:w="3288" w:type="dxa"/>
            <w:vAlign w:val="center"/>
          </w:tcPr>
          <w:p w14:paraId="05DC1B57" w14:textId="77777777" w:rsidR="00692E71" w:rsidRPr="00275290" w:rsidRDefault="00692E71" w:rsidP="008E0250">
            <w:pPr>
              <w:rPr>
                <w:rFonts w:cs="Arial"/>
              </w:rPr>
            </w:pPr>
            <w:r w:rsidRPr="00275290">
              <w:rPr>
                <w:rFonts w:cs="Arial"/>
              </w:rPr>
              <w:t>Duration of the initial assessment period</w:t>
            </w:r>
          </w:p>
        </w:tc>
        <w:tc>
          <w:tcPr>
            <w:tcW w:w="1587" w:type="dxa"/>
            <w:vAlign w:val="center"/>
          </w:tcPr>
          <w:p w14:paraId="68117ED1" w14:textId="77777777" w:rsidR="00692E71" w:rsidRPr="00275290" w:rsidRDefault="00692E71" w:rsidP="008E0250">
            <w:pPr>
              <w:rPr>
                <w:rFonts w:cs="Arial"/>
              </w:rPr>
            </w:pPr>
            <w:r w:rsidRPr="00275290">
              <w:rPr>
                <w:rFonts w:cs="Arial"/>
              </w:rPr>
              <w:t>TIME1</w:t>
            </w:r>
          </w:p>
        </w:tc>
        <w:tc>
          <w:tcPr>
            <w:tcW w:w="2268" w:type="dxa"/>
            <w:vAlign w:val="center"/>
          </w:tcPr>
          <w:p w14:paraId="023B0A32" w14:textId="77777777" w:rsidR="00692E71" w:rsidRPr="00275290" w:rsidRDefault="00692E71" w:rsidP="008E0250">
            <w:pPr>
              <w:jc w:val="center"/>
              <w:rPr>
                <w:rFonts w:cs="Arial"/>
              </w:rPr>
            </w:pPr>
            <w:r w:rsidRPr="00275290">
              <w:rPr>
                <w:rFonts w:cs="Arial"/>
              </w:rPr>
              <w:t>30</w:t>
            </w:r>
          </w:p>
        </w:tc>
        <w:tc>
          <w:tcPr>
            <w:tcW w:w="1276" w:type="dxa"/>
            <w:vAlign w:val="center"/>
          </w:tcPr>
          <w:p w14:paraId="2E02D3B7" w14:textId="77777777" w:rsidR="00692E71" w:rsidRPr="00275290" w:rsidRDefault="00692E71" w:rsidP="008E0250">
            <w:pPr>
              <w:jc w:val="center"/>
              <w:rPr>
                <w:rFonts w:cs="Arial"/>
              </w:rPr>
            </w:pPr>
            <w:r w:rsidRPr="00275290">
              <w:rPr>
                <w:rFonts w:cs="Arial"/>
              </w:rPr>
              <w:t>[d]</w:t>
            </w:r>
          </w:p>
        </w:tc>
        <w:tc>
          <w:tcPr>
            <w:tcW w:w="927" w:type="dxa"/>
            <w:vAlign w:val="center"/>
          </w:tcPr>
          <w:p w14:paraId="3D80EC20" w14:textId="77777777" w:rsidR="00692E71" w:rsidRPr="00275290" w:rsidRDefault="00692E71" w:rsidP="008E0250">
            <w:pPr>
              <w:jc w:val="center"/>
              <w:rPr>
                <w:rFonts w:cs="Arial"/>
              </w:rPr>
            </w:pPr>
            <w:r w:rsidRPr="00275290">
              <w:rPr>
                <w:rFonts w:cs="Arial"/>
              </w:rPr>
              <w:t>D</w:t>
            </w:r>
          </w:p>
        </w:tc>
      </w:tr>
      <w:tr w:rsidR="00692E71" w:rsidRPr="00275290" w14:paraId="62A793C7" w14:textId="77777777" w:rsidTr="008E0250">
        <w:trPr>
          <w:gridAfter w:val="1"/>
          <w:wAfter w:w="8" w:type="dxa"/>
        </w:trPr>
        <w:tc>
          <w:tcPr>
            <w:tcW w:w="3288" w:type="dxa"/>
            <w:vAlign w:val="center"/>
          </w:tcPr>
          <w:p w14:paraId="187E464E" w14:textId="77777777" w:rsidR="00692E71" w:rsidRPr="00275290" w:rsidRDefault="00692E71" w:rsidP="008E0250">
            <w:pPr>
              <w:rPr>
                <w:rFonts w:cs="Arial"/>
              </w:rPr>
            </w:pPr>
            <w:r w:rsidRPr="00275290">
              <w:rPr>
                <w:rFonts w:cs="Arial"/>
              </w:rPr>
              <w:t xml:space="preserve">Duration of the long-term assessment period </w:t>
            </w:r>
          </w:p>
        </w:tc>
        <w:tc>
          <w:tcPr>
            <w:tcW w:w="1587" w:type="dxa"/>
            <w:vAlign w:val="center"/>
          </w:tcPr>
          <w:p w14:paraId="3F5BE764" w14:textId="77777777" w:rsidR="00692E71" w:rsidRPr="00275290" w:rsidRDefault="00692E71" w:rsidP="008E0250">
            <w:pPr>
              <w:rPr>
                <w:rFonts w:cs="Arial"/>
              </w:rPr>
            </w:pPr>
            <w:r w:rsidRPr="00275290">
              <w:rPr>
                <w:rFonts w:cs="Arial"/>
              </w:rPr>
              <w:t>TIME2</w:t>
            </w:r>
          </w:p>
        </w:tc>
        <w:tc>
          <w:tcPr>
            <w:tcW w:w="2268" w:type="dxa"/>
            <w:vAlign w:val="center"/>
          </w:tcPr>
          <w:p w14:paraId="43C8C4FD" w14:textId="77777777" w:rsidR="00692E71" w:rsidRPr="00275290" w:rsidRDefault="00692E71" w:rsidP="008E0250">
            <w:pPr>
              <w:jc w:val="center"/>
              <w:rPr>
                <w:rFonts w:cs="Arial"/>
              </w:rPr>
            </w:pPr>
            <w:r w:rsidRPr="00275290">
              <w:rPr>
                <w:rFonts w:cs="Arial"/>
              </w:rPr>
              <w:t>1825</w:t>
            </w:r>
          </w:p>
        </w:tc>
        <w:tc>
          <w:tcPr>
            <w:tcW w:w="1276" w:type="dxa"/>
            <w:vAlign w:val="center"/>
          </w:tcPr>
          <w:p w14:paraId="0839F9B3" w14:textId="77777777" w:rsidR="00692E71" w:rsidRPr="00275290" w:rsidRDefault="00692E71" w:rsidP="008E0250">
            <w:pPr>
              <w:jc w:val="center"/>
              <w:rPr>
                <w:rFonts w:cs="Arial"/>
              </w:rPr>
            </w:pPr>
            <w:r w:rsidRPr="00275290">
              <w:rPr>
                <w:rFonts w:cs="Arial"/>
              </w:rPr>
              <w:t>[d]</w:t>
            </w:r>
          </w:p>
        </w:tc>
        <w:tc>
          <w:tcPr>
            <w:tcW w:w="927" w:type="dxa"/>
            <w:vAlign w:val="center"/>
          </w:tcPr>
          <w:p w14:paraId="332D0F0F" w14:textId="77777777" w:rsidR="00692E71" w:rsidRPr="00275290" w:rsidRDefault="00692E71" w:rsidP="008E0250">
            <w:pPr>
              <w:jc w:val="center"/>
              <w:rPr>
                <w:rFonts w:cs="Arial"/>
              </w:rPr>
            </w:pPr>
            <w:r w:rsidRPr="00275290">
              <w:rPr>
                <w:rFonts w:cs="Arial"/>
              </w:rPr>
              <w:t>D</w:t>
            </w:r>
          </w:p>
        </w:tc>
      </w:tr>
      <w:tr w:rsidR="00692E71" w:rsidRPr="00275290" w14:paraId="0FC3A46E" w14:textId="77777777" w:rsidTr="008E0250">
        <w:trPr>
          <w:gridAfter w:val="1"/>
          <w:wAfter w:w="8" w:type="dxa"/>
        </w:trPr>
        <w:tc>
          <w:tcPr>
            <w:tcW w:w="3288" w:type="dxa"/>
            <w:vAlign w:val="center"/>
          </w:tcPr>
          <w:p w14:paraId="51DD379F" w14:textId="77777777" w:rsidR="00692E71" w:rsidRPr="00275290" w:rsidRDefault="00692E71" w:rsidP="008E0250">
            <w:pPr>
              <w:rPr>
                <w:rFonts w:cs="Arial"/>
              </w:rPr>
            </w:pPr>
            <w:r w:rsidRPr="00275290">
              <w:rPr>
                <w:rFonts w:cs="Arial"/>
              </w:rPr>
              <w:t xml:space="preserve">Cumulative quantity of active substance, leached out of 1 m² of treated wood over the initial assessment period </w:t>
            </w:r>
            <w:r w:rsidRPr="00275290">
              <w:rPr>
                <w:rFonts w:cs="Arial"/>
                <w:iCs/>
              </w:rPr>
              <w:t>(30d)</w:t>
            </w:r>
          </w:p>
        </w:tc>
        <w:tc>
          <w:tcPr>
            <w:tcW w:w="1587" w:type="dxa"/>
            <w:vAlign w:val="center"/>
          </w:tcPr>
          <w:p w14:paraId="2EABB20B" w14:textId="77777777" w:rsidR="00692E71" w:rsidRPr="00275290" w:rsidRDefault="00692E71" w:rsidP="008E0250">
            <w:pPr>
              <w:rPr>
                <w:rFonts w:cs="Arial"/>
              </w:rPr>
            </w:pPr>
            <w:r w:rsidRPr="00275290">
              <w:rPr>
                <w:rFonts w:cs="Arial"/>
              </w:rPr>
              <w:t>Q*</w:t>
            </w:r>
            <w:r w:rsidRPr="00275290">
              <w:rPr>
                <w:rFonts w:cs="Arial"/>
                <w:vertAlign w:val="subscript"/>
              </w:rPr>
              <w:t>leach, time 1</w:t>
            </w:r>
            <w:r w:rsidRPr="00275290">
              <w:rPr>
                <w:rFonts w:cs="Arial"/>
              </w:rPr>
              <w:t xml:space="preserve"> </w:t>
            </w:r>
          </w:p>
        </w:tc>
        <w:tc>
          <w:tcPr>
            <w:tcW w:w="2268" w:type="dxa"/>
            <w:vAlign w:val="center"/>
          </w:tcPr>
          <w:p w14:paraId="0BDA1D53" w14:textId="77777777" w:rsidR="00692E71" w:rsidRPr="00275290" w:rsidRDefault="00692E71" w:rsidP="008E0250">
            <w:pPr>
              <w:jc w:val="center"/>
              <w:rPr>
                <w:rFonts w:cs="Arial"/>
              </w:rPr>
            </w:pPr>
            <w:r w:rsidRPr="00275290">
              <w:rPr>
                <w:rFonts w:cs="Arial"/>
              </w:rPr>
              <w:t>5.04 (IPBC)</w:t>
            </w:r>
          </w:p>
          <w:p w14:paraId="49A3BE03" w14:textId="77777777" w:rsidR="00692E71" w:rsidRPr="00275290" w:rsidRDefault="00692E71" w:rsidP="008E0250">
            <w:pPr>
              <w:jc w:val="center"/>
              <w:rPr>
                <w:rFonts w:cs="Arial"/>
              </w:rPr>
            </w:pPr>
            <w:r w:rsidRPr="00275290">
              <w:rPr>
                <w:rFonts w:cs="Arial"/>
              </w:rPr>
              <w:t>20.44 (propiconazole)</w:t>
            </w:r>
          </w:p>
          <w:p w14:paraId="29BD5029" w14:textId="77777777" w:rsidR="00692E71" w:rsidRPr="00275290" w:rsidRDefault="00692E71" w:rsidP="008E0250">
            <w:pPr>
              <w:jc w:val="center"/>
              <w:rPr>
                <w:rFonts w:cs="Arial"/>
              </w:rPr>
            </w:pPr>
            <w:r w:rsidRPr="00275290">
              <w:rPr>
                <w:rFonts w:cs="Arial"/>
              </w:rPr>
              <w:t>8.96 (tebuconazole)</w:t>
            </w:r>
          </w:p>
          <w:p w14:paraId="5EB8EAEB" w14:textId="77777777" w:rsidR="00692E71" w:rsidRPr="00275290" w:rsidRDefault="00692E71" w:rsidP="008E0250">
            <w:pPr>
              <w:rPr>
                <w:rFonts w:cs="Arial"/>
              </w:rPr>
            </w:pPr>
            <w:r w:rsidRPr="00275290">
              <w:rPr>
                <w:rFonts w:cs="Arial"/>
              </w:rPr>
              <w:t>0.06 (cypermethrin)</w:t>
            </w:r>
          </w:p>
        </w:tc>
        <w:tc>
          <w:tcPr>
            <w:tcW w:w="1276" w:type="dxa"/>
            <w:vAlign w:val="center"/>
          </w:tcPr>
          <w:p w14:paraId="771911C9"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927" w:type="dxa"/>
            <w:vAlign w:val="center"/>
          </w:tcPr>
          <w:p w14:paraId="17CC32C0" w14:textId="77777777" w:rsidR="00692E71" w:rsidRPr="00275290" w:rsidRDefault="00692E71" w:rsidP="008E0250">
            <w:pPr>
              <w:jc w:val="center"/>
              <w:rPr>
                <w:rFonts w:cs="Arial"/>
              </w:rPr>
            </w:pPr>
            <w:r w:rsidRPr="00275290">
              <w:rPr>
                <w:rFonts w:cs="Arial"/>
              </w:rPr>
              <w:t>A</w:t>
            </w:r>
          </w:p>
        </w:tc>
      </w:tr>
      <w:tr w:rsidR="00692E71" w:rsidRPr="00275290" w14:paraId="26EB16F9" w14:textId="77777777" w:rsidTr="008E0250">
        <w:trPr>
          <w:gridAfter w:val="1"/>
          <w:wAfter w:w="8" w:type="dxa"/>
        </w:trPr>
        <w:tc>
          <w:tcPr>
            <w:tcW w:w="3288" w:type="dxa"/>
            <w:vAlign w:val="center"/>
          </w:tcPr>
          <w:p w14:paraId="5F87B7AC" w14:textId="77777777" w:rsidR="00692E71" w:rsidRPr="00275290" w:rsidRDefault="00692E71" w:rsidP="008E0250">
            <w:pPr>
              <w:rPr>
                <w:rFonts w:cs="Arial"/>
              </w:rPr>
            </w:pPr>
            <w:r w:rsidRPr="00275290">
              <w:rPr>
                <w:rFonts w:cs="Arial"/>
              </w:rPr>
              <w:lastRenderedPageBreak/>
              <w:t xml:space="preserve">Cumulative quantity of active substance, leached out of 1 m² of treated wood over the longer assessment period </w:t>
            </w:r>
            <w:r w:rsidRPr="00275290">
              <w:rPr>
                <w:rFonts w:cs="Arial"/>
                <w:iCs/>
              </w:rPr>
              <w:t>(5475d)</w:t>
            </w:r>
          </w:p>
        </w:tc>
        <w:tc>
          <w:tcPr>
            <w:tcW w:w="1587" w:type="dxa"/>
            <w:vAlign w:val="center"/>
          </w:tcPr>
          <w:p w14:paraId="749E25A9" w14:textId="77777777" w:rsidR="00692E71" w:rsidRPr="00275290" w:rsidRDefault="00692E71" w:rsidP="008E0250">
            <w:pPr>
              <w:rPr>
                <w:rFonts w:cs="Arial"/>
              </w:rPr>
            </w:pPr>
            <w:r w:rsidRPr="00275290">
              <w:rPr>
                <w:rFonts w:cs="Arial"/>
              </w:rPr>
              <w:t>Q*</w:t>
            </w:r>
            <w:r w:rsidRPr="00275290">
              <w:rPr>
                <w:rFonts w:cs="Arial"/>
                <w:vertAlign w:val="subscript"/>
              </w:rPr>
              <w:t>leach, time 2</w:t>
            </w:r>
            <w:r w:rsidRPr="00275290">
              <w:rPr>
                <w:rFonts w:cs="Arial"/>
              </w:rPr>
              <w:t xml:space="preserve"> </w:t>
            </w:r>
          </w:p>
        </w:tc>
        <w:tc>
          <w:tcPr>
            <w:tcW w:w="2268" w:type="dxa"/>
            <w:vAlign w:val="center"/>
          </w:tcPr>
          <w:p w14:paraId="7217BEF9" w14:textId="77777777" w:rsidR="00692E71" w:rsidRPr="00275290" w:rsidRDefault="00692E71" w:rsidP="008E0250">
            <w:pPr>
              <w:jc w:val="center"/>
              <w:rPr>
                <w:rFonts w:cs="Arial"/>
              </w:rPr>
            </w:pPr>
            <w:r w:rsidRPr="00275290">
              <w:rPr>
                <w:rFonts w:cs="Arial"/>
              </w:rPr>
              <w:t xml:space="preserve">32.98 (IPBC) </w:t>
            </w:r>
          </w:p>
          <w:p w14:paraId="14065CF5" w14:textId="77777777" w:rsidR="00692E71" w:rsidRPr="00275290" w:rsidRDefault="00692E71" w:rsidP="008E0250">
            <w:pPr>
              <w:jc w:val="center"/>
              <w:rPr>
                <w:rFonts w:cs="Arial"/>
              </w:rPr>
            </w:pPr>
            <w:r w:rsidRPr="00275290">
              <w:rPr>
                <w:rFonts w:cs="Arial"/>
              </w:rPr>
              <w:t>183.34 (propiconazole)</w:t>
            </w:r>
          </w:p>
          <w:p w14:paraId="5328D847" w14:textId="77777777" w:rsidR="00692E71" w:rsidRPr="00275290" w:rsidRDefault="00692E71" w:rsidP="008E0250">
            <w:pPr>
              <w:jc w:val="center"/>
              <w:rPr>
                <w:rFonts w:cs="Arial"/>
              </w:rPr>
            </w:pPr>
            <w:r w:rsidRPr="00275290">
              <w:rPr>
                <w:rFonts w:cs="Arial"/>
              </w:rPr>
              <w:t>68.30 (tebuconazole)</w:t>
            </w:r>
          </w:p>
          <w:p w14:paraId="60FDFB40" w14:textId="77777777" w:rsidR="00692E71" w:rsidRPr="00275290" w:rsidRDefault="00692E71" w:rsidP="008E0250">
            <w:pPr>
              <w:rPr>
                <w:rFonts w:cs="Arial"/>
              </w:rPr>
            </w:pPr>
            <w:r w:rsidRPr="00275290">
              <w:rPr>
                <w:rFonts w:cs="Arial"/>
              </w:rPr>
              <w:t>5.84 (cypermethrin)</w:t>
            </w:r>
          </w:p>
        </w:tc>
        <w:tc>
          <w:tcPr>
            <w:tcW w:w="1276" w:type="dxa"/>
            <w:vAlign w:val="center"/>
          </w:tcPr>
          <w:p w14:paraId="0A9CAFD4"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927" w:type="dxa"/>
            <w:vAlign w:val="center"/>
          </w:tcPr>
          <w:p w14:paraId="381208DF" w14:textId="77777777" w:rsidR="00692E71" w:rsidRPr="00275290" w:rsidRDefault="00692E71" w:rsidP="008E0250">
            <w:pPr>
              <w:jc w:val="center"/>
              <w:rPr>
                <w:rFonts w:cs="Arial"/>
              </w:rPr>
            </w:pPr>
            <w:r w:rsidRPr="00275290">
              <w:rPr>
                <w:rFonts w:cs="Arial"/>
              </w:rPr>
              <w:t>A</w:t>
            </w:r>
          </w:p>
        </w:tc>
      </w:tr>
      <w:tr w:rsidR="00692E71" w:rsidRPr="00275290" w14:paraId="2ED25C96" w14:textId="77777777" w:rsidTr="008E0250">
        <w:trPr>
          <w:gridAfter w:val="1"/>
          <w:wAfter w:w="8" w:type="dxa"/>
        </w:trPr>
        <w:tc>
          <w:tcPr>
            <w:tcW w:w="3288" w:type="dxa"/>
            <w:vAlign w:val="center"/>
          </w:tcPr>
          <w:p w14:paraId="23DD1EA2" w14:textId="77777777" w:rsidR="00692E71" w:rsidRPr="00275290" w:rsidRDefault="00692E71" w:rsidP="008E0250">
            <w:pPr>
              <w:rPr>
                <w:rFonts w:cs="Arial"/>
              </w:rPr>
            </w:pPr>
            <w:r w:rsidRPr="00275290">
              <w:rPr>
                <w:rFonts w:cs="Arial"/>
              </w:rPr>
              <w:t>Volume of (wet) soil</w:t>
            </w:r>
          </w:p>
        </w:tc>
        <w:tc>
          <w:tcPr>
            <w:tcW w:w="1587" w:type="dxa"/>
            <w:vAlign w:val="center"/>
          </w:tcPr>
          <w:p w14:paraId="74ECEDF6" w14:textId="77777777" w:rsidR="00692E71" w:rsidRPr="00275290" w:rsidRDefault="00692E71" w:rsidP="008E0250">
            <w:pPr>
              <w:rPr>
                <w:rFonts w:cs="Arial"/>
              </w:rPr>
            </w:pPr>
            <w:r w:rsidRPr="00275290">
              <w:rPr>
                <w:rFonts w:cs="Arial"/>
              </w:rPr>
              <w:t>V</w:t>
            </w:r>
            <w:r w:rsidRPr="00275290">
              <w:rPr>
                <w:rFonts w:cs="Arial"/>
                <w:vertAlign w:val="subscript"/>
              </w:rPr>
              <w:t>soil</w:t>
            </w:r>
          </w:p>
        </w:tc>
        <w:tc>
          <w:tcPr>
            <w:tcW w:w="2268" w:type="dxa"/>
            <w:vAlign w:val="center"/>
          </w:tcPr>
          <w:p w14:paraId="4071F0A7" w14:textId="77777777" w:rsidR="00692E71" w:rsidRPr="00275290" w:rsidRDefault="00692E71" w:rsidP="008E0250">
            <w:pPr>
              <w:jc w:val="center"/>
              <w:rPr>
                <w:rFonts w:cs="Arial"/>
              </w:rPr>
            </w:pPr>
            <w:r w:rsidRPr="00275290">
              <w:rPr>
                <w:rFonts w:cs="Arial"/>
              </w:rPr>
              <w:t>250</w:t>
            </w:r>
          </w:p>
        </w:tc>
        <w:tc>
          <w:tcPr>
            <w:tcW w:w="1276" w:type="dxa"/>
            <w:vAlign w:val="center"/>
          </w:tcPr>
          <w:p w14:paraId="6E29FAED"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w:t>
            </w:r>
          </w:p>
        </w:tc>
        <w:tc>
          <w:tcPr>
            <w:tcW w:w="927" w:type="dxa"/>
            <w:vAlign w:val="center"/>
          </w:tcPr>
          <w:p w14:paraId="5B8C4225" w14:textId="77777777" w:rsidR="00692E71" w:rsidRPr="00275290" w:rsidRDefault="00692E71" w:rsidP="008E0250">
            <w:pPr>
              <w:jc w:val="center"/>
              <w:rPr>
                <w:rFonts w:cs="Arial"/>
              </w:rPr>
            </w:pPr>
            <w:r w:rsidRPr="00275290">
              <w:rPr>
                <w:rFonts w:cs="Arial"/>
              </w:rPr>
              <w:t>D</w:t>
            </w:r>
          </w:p>
        </w:tc>
      </w:tr>
      <w:tr w:rsidR="00692E71" w:rsidRPr="00275290" w14:paraId="3D45D0B8" w14:textId="77777777" w:rsidTr="008E0250">
        <w:trPr>
          <w:gridAfter w:val="1"/>
          <w:wAfter w:w="8" w:type="dxa"/>
        </w:trPr>
        <w:tc>
          <w:tcPr>
            <w:tcW w:w="3288" w:type="dxa"/>
            <w:vAlign w:val="center"/>
          </w:tcPr>
          <w:p w14:paraId="5736A37C" w14:textId="77777777" w:rsidR="00692E71" w:rsidRPr="00275290" w:rsidRDefault="00692E71" w:rsidP="008E0250">
            <w:pPr>
              <w:rPr>
                <w:rFonts w:cs="Arial"/>
              </w:rPr>
            </w:pPr>
            <w:r w:rsidRPr="00275290">
              <w:rPr>
                <w:rFonts w:cs="Arial"/>
              </w:rPr>
              <w:t>Bulk density of (wet) soil</w:t>
            </w:r>
          </w:p>
        </w:tc>
        <w:tc>
          <w:tcPr>
            <w:tcW w:w="1587" w:type="dxa"/>
            <w:vAlign w:val="center"/>
          </w:tcPr>
          <w:p w14:paraId="662AA057" w14:textId="77777777" w:rsidR="00692E71" w:rsidRPr="00275290" w:rsidRDefault="00692E71" w:rsidP="008E0250">
            <w:pPr>
              <w:rPr>
                <w:rFonts w:cs="Arial"/>
              </w:rPr>
            </w:pPr>
            <w:r w:rsidRPr="00275290">
              <w:rPr>
                <w:rFonts w:cs="Arial"/>
              </w:rPr>
              <w:t>RHO</w:t>
            </w:r>
            <w:r w:rsidRPr="00275290">
              <w:rPr>
                <w:rFonts w:cs="Arial"/>
                <w:vertAlign w:val="subscript"/>
              </w:rPr>
              <w:t>soil</w:t>
            </w:r>
          </w:p>
        </w:tc>
        <w:tc>
          <w:tcPr>
            <w:tcW w:w="2268" w:type="dxa"/>
            <w:vAlign w:val="center"/>
          </w:tcPr>
          <w:p w14:paraId="0C5610B6" w14:textId="77777777" w:rsidR="00692E71" w:rsidRPr="00275290" w:rsidRDefault="00692E71" w:rsidP="008E0250">
            <w:pPr>
              <w:jc w:val="center"/>
              <w:rPr>
                <w:rFonts w:cs="Arial"/>
              </w:rPr>
            </w:pPr>
            <w:r w:rsidRPr="00275290">
              <w:rPr>
                <w:rFonts w:cs="Arial"/>
              </w:rPr>
              <w:t>1700</w:t>
            </w:r>
          </w:p>
        </w:tc>
        <w:tc>
          <w:tcPr>
            <w:tcW w:w="1276" w:type="dxa"/>
            <w:vAlign w:val="center"/>
          </w:tcPr>
          <w:p w14:paraId="5CCBC732" w14:textId="77777777" w:rsidR="00692E71" w:rsidRPr="00275290" w:rsidRDefault="00692E71" w:rsidP="008E0250">
            <w:pPr>
              <w:jc w:val="center"/>
              <w:rPr>
                <w:rFonts w:cs="Arial"/>
              </w:rPr>
            </w:pPr>
            <w:r w:rsidRPr="00275290">
              <w:rPr>
                <w:rFonts w:cs="Arial"/>
              </w:rPr>
              <w:t>[kg.m</w:t>
            </w:r>
            <w:r w:rsidRPr="00275290">
              <w:rPr>
                <w:rFonts w:cs="Arial"/>
                <w:vertAlign w:val="superscript"/>
              </w:rPr>
              <w:t>-3</w:t>
            </w:r>
            <w:r w:rsidRPr="00275290">
              <w:rPr>
                <w:rFonts w:cs="Arial"/>
              </w:rPr>
              <w:t>]</w:t>
            </w:r>
          </w:p>
        </w:tc>
        <w:tc>
          <w:tcPr>
            <w:tcW w:w="927" w:type="dxa"/>
            <w:vAlign w:val="center"/>
          </w:tcPr>
          <w:p w14:paraId="10A5A208" w14:textId="77777777" w:rsidR="00692E71" w:rsidRPr="00275290" w:rsidRDefault="00692E71" w:rsidP="008E0250">
            <w:pPr>
              <w:jc w:val="center"/>
              <w:rPr>
                <w:rFonts w:cs="Arial"/>
              </w:rPr>
            </w:pPr>
            <w:r w:rsidRPr="00275290">
              <w:rPr>
                <w:rFonts w:cs="Arial"/>
              </w:rPr>
              <w:t>D</w:t>
            </w:r>
          </w:p>
        </w:tc>
      </w:tr>
      <w:tr w:rsidR="00692E71" w:rsidRPr="00275290" w14:paraId="2E8AF35C" w14:textId="77777777" w:rsidTr="008E0250">
        <w:trPr>
          <w:gridAfter w:val="1"/>
          <w:wAfter w:w="8" w:type="dxa"/>
        </w:trPr>
        <w:tc>
          <w:tcPr>
            <w:tcW w:w="3288" w:type="dxa"/>
            <w:vAlign w:val="center"/>
          </w:tcPr>
          <w:p w14:paraId="3A64E515" w14:textId="77777777" w:rsidR="00692E71" w:rsidRPr="00275290" w:rsidRDefault="00692E71" w:rsidP="008E0250">
            <w:pPr>
              <w:rPr>
                <w:rFonts w:cs="Arial"/>
              </w:rPr>
            </w:pPr>
            <w:r w:rsidRPr="00275290">
              <w:rPr>
                <w:rFonts w:cs="Arial"/>
              </w:rPr>
              <w:t>Fraction released to soil</w:t>
            </w:r>
          </w:p>
        </w:tc>
        <w:tc>
          <w:tcPr>
            <w:tcW w:w="1587" w:type="dxa"/>
            <w:vAlign w:val="center"/>
          </w:tcPr>
          <w:p w14:paraId="4BB51FFC" w14:textId="77777777" w:rsidR="00692E71" w:rsidRPr="00275290" w:rsidRDefault="00692E71" w:rsidP="008E0250">
            <w:pPr>
              <w:rPr>
                <w:rFonts w:cs="Arial"/>
              </w:rPr>
            </w:pPr>
            <w:r w:rsidRPr="00275290">
              <w:rPr>
                <w:rFonts w:cs="Arial"/>
              </w:rPr>
              <w:t>F</w:t>
            </w:r>
            <w:r w:rsidRPr="00275290">
              <w:rPr>
                <w:rFonts w:cs="Arial"/>
                <w:vertAlign w:val="subscript"/>
              </w:rPr>
              <w:t>soil</w:t>
            </w:r>
          </w:p>
        </w:tc>
        <w:tc>
          <w:tcPr>
            <w:tcW w:w="2268" w:type="dxa"/>
            <w:vAlign w:val="center"/>
          </w:tcPr>
          <w:p w14:paraId="7E98D9B7" w14:textId="77777777" w:rsidR="00692E71" w:rsidRPr="00275290" w:rsidRDefault="00692E71" w:rsidP="008E0250">
            <w:pPr>
              <w:jc w:val="center"/>
              <w:rPr>
                <w:rFonts w:cs="Arial"/>
              </w:rPr>
            </w:pPr>
            <w:r w:rsidRPr="00275290">
              <w:rPr>
                <w:rFonts w:cs="Arial"/>
              </w:rPr>
              <w:t>0.3</w:t>
            </w:r>
          </w:p>
        </w:tc>
        <w:tc>
          <w:tcPr>
            <w:tcW w:w="1276" w:type="dxa"/>
            <w:vAlign w:val="center"/>
          </w:tcPr>
          <w:p w14:paraId="48E53325" w14:textId="77777777" w:rsidR="00692E71" w:rsidRPr="00275290" w:rsidRDefault="00692E71" w:rsidP="008E0250">
            <w:pPr>
              <w:jc w:val="center"/>
              <w:rPr>
                <w:rFonts w:cs="Arial"/>
              </w:rPr>
            </w:pPr>
            <w:r w:rsidRPr="00275290">
              <w:rPr>
                <w:rFonts w:cs="Arial"/>
              </w:rPr>
              <w:t>[-]</w:t>
            </w:r>
          </w:p>
        </w:tc>
        <w:tc>
          <w:tcPr>
            <w:tcW w:w="927" w:type="dxa"/>
            <w:vAlign w:val="center"/>
          </w:tcPr>
          <w:p w14:paraId="1BE8016A" w14:textId="77777777" w:rsidR="00692E71" w:rsidRPr="00275290" w:rsidRDefault="00692E71" w:rsidP="008E0250">
            <w:pPr>
              <w:jc w:val="center"/>
              <w:rPr>
                <w:rFonts w:cs="Arial"/>
              </w:rPr>
            </w:pPr>
            <w:r w:rsidRPr="00275290">
              <w:rPr>
                <w:rFonts w:cs="Arial"/>
              </w:rPr>
              <w:t>D</w:t>
            </w:r>
          </w:p>
        </w:tc>
      </w:tr>
      <w:tr w:rsidR="00692E71" w:rsidRPr="00275290" w14:paraId="112543A1" w14:textId="77777777" w:rsidTr="008E0250">
        <w:trPr>
          <w:gridAfter w:val="1"/>
          <w:wAfter w:w="8" w:type="dxa"/>
        </w:trPr>
        <w:tc>
          <w:tcPr>
            <w:tcW w:w="3288" w:type="dxa"/>
            <w:vAlign w:val="center"/>
          </w:tcPr>
          <w:p w14:paraId="23A6DE93" w14:textId="77777777" w:rsidR="00692E71" w:rsidRPr="00275290" w:rsidRDefault="00692E71" w:rsidP="008E0250">
            <w:pPr>
              <w:rPr>
                <w:rFonts w:cs="Arial"/>
              </w:rPr>
            </w:pPr>
            <w:r w:rsidRPr="00275290">
              <w:rPr>
                <w:rFonts w:cs="Arial"/>
              </w:rPr>
              <w:t>Fraction released to the STP</w:t>
            </w:r>
          </w:p>
        </w:tc>
        <w:tc>
          <w:tcPr>
            <w:tcW w:w="1587" w:type="dxa"/>
            <w:vAlign w:val="center"/>
          </w:tcPr>
          <w:p w14:paraId="53B57230" w14:textId="77777777" w:rsidR="00692E71" w:rsidRPr="00275290" w:rsidRDefault="00692E71" w:rsidP="008E0250">
            <w:pPr>
              <w:rPr>
                <w:rFonts w:cs="Arial"/>
              </w:rPr>
            </w:pPr>
            <w:r w:rsidRPr="00275290">
              <w:rPr>
                <w:rFonts w:cs="Arial"/>
              </w:rPr>
              <w:t>F</w:t>
            </w:r>
            <w:r w:rsidRPr="00275290">
              <w:rPr>
                <w:rFonts w:cs="Arial"/>
                <w:vertAlign w:val="subscript"/>
              </w:rPr>
              <w:t>STP</w:t>
            </w:r>
          </w:p>
        </w:tc>
        <w:tc>
          <w:tcPr>
            <w:tcW w:w="2268" w:type="dxa"/>
            <w:vAlign w:val="center"/>
          </w:tcPr>
          <w:p w14:paraId="72EA6B88" w14:textId="77777777" w:rsidR="00692E71" w:rsidRPr="00275290" w:rsidRDefault="00692E71" w:rsidP="008E0250">
            <w:pPr>
              <w:jc w:val="center"/>
              <w:rPr>
                <w:rFonts w:cs="Arial"/>
              </w:rPr>
            </w:pPr>
            <w:r w:rsidRPr="00275290">
              <w:rPr>
                <w:rFonts w:cs="Arial"/>
              </w:rPr>
              <w:t>0.7</w:t>
            </w:r>
          </w:p>
        </w:tc>
        <w:tc>
          <w:tcPr>
            <w:tcW w:w="1276" w:type="dxa"/>
            <w:vAlign w:val="center"/>
          </w:tcPr>
          <w:p w14:paraId="262C4747" w14:textId="77777777" w:rsidR="00692E71" w:rsidRPr="00275290" w:rsidRDefault="00692E71" w:rsidP="008E0250">
            <w:pPr>
              <w:jc w:val="center"/>
              <w:rPr>
                <w:rFonts w:cs="Arial"/>
              </w:rPr>
            </w:pPr>
            <w:r w:rsidRPr="00275290">
              <w:rPr>
                <w:rFonts w:cs="Arial"/>
              </w:rPr>
              <w:t>[-]</w:t>
            </w:r>
          </w:p>
        </w:tc>
        <w:tc>
          <w:tcPr>
            <w:tcW w:w="927" w:type="dxa"/>
            <w:vAlign w:val="center"/>
          </w:tcPr>
          <w:p w14:paraId="0BB746D6" w14:textId="77777777" w:rsidR="00692E71" w:rsidRPr="00275290" w:rsidRDefault="00692E71" w:rsidP="008E0250">
            <w:pPr>
              <w:jc w:val="center"/>
              <w:rPr>
                <w:rFonts w:cs="Arial"/>
              </w:rPr>
            </w:pPr>
            <w:r w:rsidRPr="00275290">
              <w:rPr>
                <w:rFonts w:cs="Arial"/>
              </w:rPr>
              <w:t>D</w:t>
            </w:r>
          </w:p>
        </w:tc>
      </w:tr>
      <w:tr w:rsidR="00692E71" w:rsidRPr="00275290" w14:paraId="67DEB1E5" w14:textId="77777777" w:rsidTr="008E0250">
        <w:tc>
          <w:tcPr>
            <w:tcW w:w="9354" w:type="dxa"/>
            <w:gridSpan w:val="6"/>
            <w:vAlign w:val="center"/>
          </w:tcPr>
          <w:p w14:paraId="5DA040B1" w14:textId="77777777" w:rsidR="00692E71" w:rsidRPr="00275290" w:rsidRDefault="00692E71" w:rsidP="008E0250">
            <w:pPr>
              <w:rPr>
                <w:rFonts w:cs="Arial"/>
                <w:b/>
              </w:rPr>
            </w:pPr>
            <w:r w:rsidRPr="00275290">
              <w:rPr>
                <w:rFonts w:cs="Arial"/>
                <w:b/>
              </w:rPr>
              <w:t>OUTPUT EMISSIONS</w:t>
            </w:r>
          </w:p>
        </w:tc>
      </w:tr>
      <w:tr w:rsidR="00692E71" w:rsidRPr="00275290" w14:paraId="47F032ED" w14:textId="77777777" w:rsidTr="008E0250">
        <w:trPr>
          <w:gridAfter w:val="1"/>
          <w:wAfter w:w="8" w:type="dxa"/>
        </w:trPr>
        <w:tc>
          <w:tcPr>
            <w:tcW w:w="3288" w:type="dxa"/>
            <w:vAlign w:val="center"/>
          </w:tcPr>
          <w:p w14:paraId="655B9819" w14:textId="77777777" w:rsidR="00692E71" w:rsidRPr="00275290" w:rsidRDefault="00692E71" w:rsidP="008E0250">
            <w:pPr>
              <w:rPr>
                <w:rFonts w:cs="Arial"/>
              </w:rPr>
            </w:pPr>
            <w:r w:rsidRPr="00275290">
              <w:rPr>
                <w:rFonts w:cs="Arial"/>
              </w:rPr>
              <w:t>Cumulative quantity of active substance, leached over the initial assessment period (30d)</w:t>
            </w:r>
          </w:p>
        </w:tc>
        <w:tc>
          <w:tcPr>
            <w:tcW w:w="1587" w:type="dxa"/>
            <w:vAlign w:val="center"/>
          </w:tcPr>
          <w:p w14:paraId="05E6E53B" w14:textId="77777777" w:rsidR="00692E71" w:rsidRPr="00275290" w:rsidRDefault="00692E71" w:rsidP="008E0250">
            <w:pPr>
              <w:rPr>
                <w:rFonts w:cs="Arial"/>
              </w:rPr>
            </w:pPr>
            <w:r w:rsidRPr="00275290">
              <w:rPr>
                <w:rFonts w:cs="Arial"/>
              </w:rPr>
              <w:t>Q</w:t>
            </w:r>
            <w:r w:rsidRPr="00275290">
              <w:rPr>
                <w:rFonts w:cs="Arial"/>
                <w:vertAlign w:val="subscript"/>
              </w:rPr>
              <w:t>leach, time 1</w:t>
            </w:r>
          </w:p>
        </w:tc>
        <w:tc>
          <w:tcPr>
            <w:tcW w:w="2268" w:type="dxa"/>
            <w:vAlign w:val="center"/>
          </w:tcPr>
          <w:p w14:paraId="05F4BC5D" w14:textId="77777777" w:rsidR="00692E71" w:rsidRPr="00275290" w:rsidRDefault="00692E71" w:rsidP="008E0250">
            <w:pPr>
              <w:jc w:val="center"/>
              <w:rPr>
                <w:rFonts w:cs="Arial"/>
              </w:rPr>
            </w:pPr>
            <w:r w:rsidRPr="00275290">
              <w:rPr>
                <w:rFonts w:cs="Arial"/>
              </w:rPr>
              <w:t>4536 (IPBC)</w:t>
            </w:r>
          </w:p>
          <w:p w14:paraId="18EAEA8B" w14:textId="77777777" w:rsidR="00692E71" w:rsidRPr="00275290" w:rsidRDefault="00692E71" w:rsidP="008E0250">
            <w:pPr>
              <w:jc w:val="center"/>
              <w:rPr>
                <w:rFonts w:cs="Arial"/>
              </w:rPr>
            </w:pPr>
            <w:r w:rsidRPr="00275290">
              <w:rPr>
                <w:rFonts w:cs="Arial"/>
              </w:rPr>
              <w:t xml:space="preserve">18296 (propiconazole) </w:t>
            </w:r>
          </w:p>
          <w:p w14:paraId="0734972A" w14:textId="77777777" w:rsidR="00692E71" w:rsidRPr="00275290" w:rsidRDefault="00692E71" w:rsidP="008E0250">
            <w:pPr>
              <w:jc w:val="center"/>
              <w:rPr>
                <w:rFonts w:cs="Arial"/>
              </w:rPr>
            </w:pPr>
            <w:r w:rsidRPr="00275290">
              <w:rPr>
                <w:rFonts w:cs="Arial"/>
              </w:rPr>
              <w:t>8065 (tebuconazole)</w:t>
            </w:r>
          </w:p>
          <w:p w14:paraId="0797D05F" w14:textId="77777777" w:rsidR="00692E71" w:rsidRPr="00275290" w:rsidRDefault="00692E71" w:rsidP="008E0250">
            <w:pPr>
              <w:rPr>
                <w:rFonts w:cs="Arial"/>
              </w:rPr>
            </w:pPr>
            <w:r w:rsidRPr="00275290">
              <w:rPr>
                <w:rFonts w:cs="Arial"/>
              </w:rPr>
              <w:t>51 (cypermethrin)</w:t>
            </w:r>
          </w:p>
        </w:tc>
        <w:tc>
          <w:tcPr>
            <w:tcW w:w="1276" w:type="dxa"/>
            <w:vAlign w:val="center"/>
          </w:tcPr>
          <w:p w14:paraId="66218322" w14:textId="77777777" w:rsidR="00692E71" w:rsidRPr="00275290" w:rsidRDefault="00692E71" w:rsidP="008E0250">
            <w:pPr>
              <w:jc w:val="center"/>
              <w:rPr>
                <w:rFonts w:cs="Arial"/>
              </w:rPr>
            </w:pPr>
            <w:r w:rsidRPr="00275290">
              <w:rPr>
                <w:rFonts w:cs="Arial"/>
              </w:rPr>
              <w:t>[mg]</w:t>
            </w:r>
          </w:p>
        </w:tc>
        <w:tc>
          <w:tcPr>
            <w:tcW w:w="927" w:type="dxa"/>
            <w:vAlign w:val="center"/>
          </w:tcPr>
          <w:p w14:paraId="2EB09927" w14:textId="77777777" w:rsidR="00692E71" w:rsidRPr="00275290" w:rsidRDefault="00692E71" w:rsidP="008E0250">
            <w:pPr>
              <w:jc w:val="center"/>
              <w:rPr>
                <w:rFonts w:cs="Arial"/>
              </w:rPr>
            </w:pPr>
            <w:r w:rsidRPr="00275290">
              <w:rPr>
                <w:rFonts w:cs="Arial"/>
              </w:rPr>
              <w:t>O</w:t>
            </w:r>
          </w:p>
        </w:tc>
      </w:tr>
      <w:tr w:rsidR="00692E71" w:rsidRPr="00275290" w14:paraId="2F16213E" w14:textId="77777777" w:rsidTr="008E0250">
        <w:trPr>
          <w:gridAfter w:val="1"/>
          <w:wAfter w:w="8" w:type="dxa"/>
        </w:trPr>
        <w:tc>
          <w:tcPr>
            <w:tcW w:w="3288" w:type="dxa"/>
            <w:vAlign w:val="center"/>
          </w:tcPr>
          <w:p w14:paraId="64DE8C0E" w14:textId="77777777" w:rsidR="00692E71" w:rsidRPr="00275290" w:rsidRDefault="00692E71" w:rsidP="008E0250">
            <w:pPr>
              <w:rPr>
                <w:rFonts w:cs="Arial"/>
              </w:rPr>
            </w:pPr>
            <w:r w:rsidRPr="00275290">
              <w:rPr>
                <w:rFonts w:cs="Arial"/>
              </w:rPr>
              <w:t>Cumulative quantity of active substance, leached over the longer assessment period (5475d)</w:t>
            </w:r>
          </w:p>
        </w:tc>
        <w:tc>
          <w:tcPr>
            <w:tcW w:w="1587" w:type="dxa"/>
            <w:vAlign w:val="center"/>
          </w:tcPr>
          <w:p w14:paraId="48AFECBF" w14:textId="77777777" w:rsidR="00692E71" w:rsidRPr="00275290" w:rsidRDefault="00692E71" w:rsidP="008E0250">
            <w:pPr>
              <w:rPr>
                <w:rFonts w:cs="Arial"/>
              </w:rPr>
            </w:pPr>
            <w:r w:rsidRPr="00275290">
              <w:rPr>
                <w:rFonts w:cs="Arial"/>
              </w:rPr>
              <w:t>Q</w:t>
            </w:r>
            <w:r w:rsidRPr="00275290">
              <w:rPr>
                <w:rFonts w:cs="Arial"/>
                <w:vertAlign w:val="subscript"/>
              </w:rPr>
              <w:t>leach, time 2</w:t>
            </w:r>
          </w:p>
        </w:tc>
        <w:tc>
          <w:tcPr>
            <w:tcW w:w="2268" w:type="dxa"/>
            <w:vAlign w:val="center"/>
          </w:tcPr>
          <w:p w14:paraId="201A384D" w14:textId="77777777" w:rsidR="00692E71" w:rsidRPr="00275290" w:rsidRDefault="00692E71" w:rsidP="008E0250">
            <w:pPr>
              <w:jc w:val="center"/>
              <w:rPr>
                <w:rFonts w:cs="Arial"/>
              </w:rPr>
            </w:pPr>
            <w:r w:rsidRPr="00275290">
              <w:rPr>
                <w:rFonts w:cs="Arial"/>
              </w:rPr>
              <w:t>29567 (IPBC)</w:t>
            </w:r>
          </w:p>
          <w:p w14:paraId="28EE9E71" w14:textId="77777777" w:rsidR="00692E71" w:rsidRPr="00275290" w:rsidRDefault="00692E71" w:rsidP="008E0250">
            <w:pPr>
              <w:jc w:val="center"/>
              <w:rPr>
                <w:rFonts w:cs="Arial"/>
              </w:rPr>
            </w:pPr>
            <w:r w:rsidRPr="00275290">
              <w:rPr>
                <w:rFonts w:cs="Arial"/>
              </w:rPr>
              <w:t>165010 (propiconazole)</w:t>
            </w:r>
          </w:p>
          <w:p w14:paraId="65411EEE" w14:textId="77777777" w:rsidR="00692E71" w:rsidRPr="00275290" w:rsidRDefault="00692E71" w:rsidP="008E0250">
            <w:pPr>
              <w:jc w:val="center"/>
              <w:rPr>
                <w:rFonts w:cs="Arial"/>
              </w:rPr>
            </w:pPr>
            <w:r w:rsidRPr="00275290">
              <w:rPr>
                <w:rFonts w:cs="Arial"/>
              </w:rPr>
              <w:t>61381 (tebuconazole)</w:t>
            </w:r>
          </w:p>
          <w:p w14:paraId="0E4C6E0D" w14:textId="77777777" w:rsidR="00692E71" w:rsidRPr="00275290" w:rsidRDefault="00692E71" w:rsidP="008E0250">
            <w:pPr>
              <w:jc w:val="center"/>
              <w:rPr>
                <w:rFonts w:cs="Arial"/>
              </w:rPr>
            </w:pPr>
            <w:r w:rsidRPr="00275290">
              <w:rPr>
                <w:rFonts w:cs="Arial"/>
              </w:rPr>
              <w:t>5253 (cypermethrin)</w:t>
            </w:r>
          </w:p>
        </w:tc>
        <w:tc>
          <w:tcPr>
            <w:tcW w:w="1276" w:type="dxa"/>
            <w:vAlign w:val="center"/>
          </w:tcPr>
          <w:p w14:paraId="2526972E" w14:textId="77777777" w:rsidR="00692E71" w:rsidRPr="00275290" w:rsidRDefault="00692E71" w:rsidP="008E0250">
            <w:pPr>
              <w:jc w:val="center"/>
              <w:rPr>
                <w:rFonts w:cs="Arial"/>
              </w:rPr>
            </w:pPr>
            <w:r w:rsidRPr="00275290">
              <w:rPr>
                <w:rFonts w:cs="Arial"/>
              </w:rPr>
              <w:t>[mg]</w:t>
            </w:r>
          </w:p>
        </w:tc>
        <w:tc>
          <w:tcPr>
            <w:tcW w:w="927" w:type="dxa"/>
            <w:vAlign w:val="center"/>
          </w:tcPr>
          <w:p w14:paraId="54828ADD" w14:textId="77777777" w:rsidR="00692E71" w:rsidRPr="00275290" w:rsidRDefault="00692E71" w:rsidP="008E0250">
            <w:pPr>
              <w:jc w:val="center"/>
              <w:rPr>
                <w:rFonts w:cs="Arial"/>
              </w:rPr>
            </w:pPr>
            <w:r w:rsidRPr="00275290">
              <w:rPr>
                <w:rFonts w:cs="Arial"/>
              </w:rPr>
              <w:t>O</w:t>
            </w:r>
          </w:p>
        </w:tc>
      </w:tr>
      <w:tr w:rsidR="00692E71" w:rsidRPr="00275290" w14:paraId="715FD755" w14:textId="77777777" w:rsidTr="008E0250">
        <w:trPr>
          <w:gridAfter w:val="1"/>
          <w:wAfter w:w="8" w:type="dxa"/>
        </w:trPr>
        <w:tc>
          <w:tcPr>
            <w:tcW w:w="3288" w:type="dxa"/>
            <w:vAlign w:val="center"/>
          </w:tcPr>
          <w:p w14:paraId="7F062302" w14:textId="77777777" w:rsidR="00692E71" w:rsidRPr="00275290" w:rsidRDefault="00692E71" w:rsidP="008E0250">
            <w:pPr>
              <w:rPr>
                <w:rFonts w:cs="Arial"/>
              </w:rPr>
            </w:pPr>
            <w:r w:rsidRPr="00275290">
              <w:rPr>
                <w:rFonts w:cs="Arial"/>
              </w:rPr>
              <w:t>Concentration in local soil at the end of the initial assessment period (30d)</w:t>
            </w:r>
          </w:p>
        </w:tc>
        <w:tc>
          <w:tcPr>
            <w:tcW w:w="1587" w:type="dxa"/>
            <w:vAlign w:val="center"/>
          </w:tcPr>
          <w:p w14:paraId="2979FB9D" w14:textId="77777777" w:rsidR="00692E71" w:rsidRPr="00275290" w:rsidRDefault="00692E71" w:rsidP="008E0250">
            <w:pPr>
              <w:rPr>
                <w:rFonts w:cs="Arial"/>
              </w:rPr>
            </w:pPr>
            <w:r w:rsidRPr="00275290">
              <w:rPr>
                <w:rFonts w:cs="Arial"/>
              </w:rPr>
              <w:t>Clocal</w:t>
            </w:r>
            <w:r w:rsidRPr="00275290">
              <w:rPr>
                <w:rFonts w:cs="Arial"/>
                <w:vertAlign w:val="subscript"/>
              </w:rPr>
              <w:t>soil,leach ,time 1</w:t>
            </w:r>
          </w:p>
        </w:tc>
        <w:tc>
          <w:tcPr>
            <w:tcW w:w="2268" w:type="dxa"/>
            <w:vAlign w:val="center"/>
          </w:tcPr>
          <w:p w14:paraId="47B6817D" w14:textId="77777777" w:rsidR="00692E71" w:rsidRPr="00275290" w:rsidRDefault="00692E71" w:rsidP="008E0250">
            <w:pPr>
              <w:jc w:val="center"/>
              <w:rPr>
                <w:rFonts w:cs="Arial"/>
              </w:rPr>
            </w:pPr>
            <w:r w:rsidRPr="00275290">
              <w:rPr>
                <w:rFonts w:cs="Arial"/>
              </w:rPr>
              <w:t>0.01 (IPBC)</w:t>
            </w:r>
          </w:p>
          <w:p w14:paraId="3F926EE1" w14:textId="77777777" w:rsidR="00692E71" w:rsidRPr="00275290" w:rsidRDefault="00692E71" w:rsidP="008E0250">
            <w:pPr>
              <w:jc w:val="center"/>
              <w:rPr>
                <w:rFonts w:cs="Arial"/>
              </w:rPr>
            </w:pPr>
            <w:r w:rsidRPr="00275290">
              <w:rPr>
                <w:rFonts w:cs="Arial"/>
              </w:rPr>
              <w:t>0.04 (propiconazole)</w:t>
            </w:r>
          </w:p>
          <w:p w14:paraId="6FB478BD" w14:textId="77777777" w:rsidR="00692E71" w:rsidRPr="00275290" w:rsidRDefault="00692E71" w:rsidP="008E0250">
            <w:pPr>
              <w:jc w:val="center"/>
              <w:rPr>
                <w:rFonts w:cs="Arial"/>
              </w:rPr>
            </w:pPr>
            <w:r w:rsidRPr="00275290">
              <w:rPr>
                <w:rFonts w:cs="Arial"/>
              </w:rPr>
              <w:t>0.02 (tebuconazole)</w:t>
            </w:r>
          </w:p>
          <w:p w14:paraId="7988E40A" w14:textId="77777777" w:rsidR="00692E71" w:rsidRPr="00275290" w:rsidRDefault="00692E71" w:rsidP="008E0250">
            <w:pPr>
              <w:jc w:val="center"/>
              <w:rPr>
                <w:rFonts w:cs="Arial"/>
              </w:rPr>
            </w:pPr>
            <w:r w:rsidRPr="00275290">
              <w:rPr>
                <w:rFonts w:cs="Arial"/>
              </w:rPr>
              <w:t>1.2*10</w:t>
            </w:r>
            <w:r w:rsidRPr="00275290">
              <w:rPr>
                <w:rFonts w:cs="Arial"/>
                <w:vertAlign w:val="superscript"/>
              </w:rPr>
              <w:t>-4</w:t>
            </w:r>
            <w:r w:rsidRPr="00275290">
              <w:rPr>
                <w:rFonts w:cs="Arial"/>
              </w:rPr>
              <w:t xml:space="preserve"> (cypermethrin)</w:t>
            </w:r>
          </w:p>
        </w:tc>
        <w:tc>
          <w:tcPr>
            <w:tcW w:w="1276" w:type="dxa"/>
            <w:vAlign w:val="center"/>
          </w:tcPr>
          <w:p w14:paraId="13A15DBB"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927" w:type="dxa"/>
            <w:vAlign w:val="center"/>
          </w:tcPr>
          <w:p w14:paraId="3095796B" w14:textId="77777777" w:rsidR="00692E71" w:rsidRPr="00275290" w:rsidRDefault="00692E71" w:rsidP="008E0250">
            <w:pPr>
              <w:jc w:val="center"/>
              <w:rPr>
                <w:rFonts w:cs="Arial"/>
              </w:rPr>
            </w:pPr>
            <w:r w:rsidRPr="00275290">
              <w:rPr>
                <w:rFonts w:cs="Arial"/>
              </w:rPr>
              <w:t>O</w:t>
            </w:r>
          </w:p>
        </w:tc>
      </w:tr>
      <w:tr w:rsidR="00692E71" w:rsidRPr="00275290" w14:paraId="23AE077F" w14:textId="77777777" w:rsidTr="008E0250">
        <w:trPr>
          <w:gridAfter w:val="1"/>
          <w:wAfter w:w="8" w:type="dxa"/>
        </w:trPr>
        <w:tc>
          <w:tcPr>
            <w:tcW w:w="3288" w:type="dxa"/>
            <w:vAlign w:val="center"/>
          </w:tcPr>
          <w:p w14:paraId="04D4D371" w14:textId="77777777" w:rsidR="00692E71" w:rsidRPr="00275290" w:rsidRDefault="00692E71" w:rsidP="008E0250">
            <w:pPr>
              <w:rPr>
                <w:rFonts w:cs="Arial"/>
              </w:rPr>
            </w:pPr>
            <w:r w:rsidRPr="00275290">
              <w:rPr>
                <w:rFonts w:cs="Arial"/>
              </w:rPr>
              <w:t>Concentration in local soil at the end of the longer assessment period (5475d)</w:t>
            </w:r>
          </w:p>
        </w:tc>
        <w:tc>
          <w:tcPr>
            <w:tcW w:w="1587" w:type="dxa"/>
            <w:vAlign w:val="center"/>
          </w:tcPr>
          <w:p w14:paraId="73C03764" w14:textId="77777777" w:rsidR="00692E71" w:rsidRPr="00275290" w:rsidRDefault="00692E71" w:rsidP="008E0250">
            <w:pPr>
              <w:rPr>
                <w:rFonts w:cs="Arial"/>
              </w:rPr>
            </w:pPr>
            <w:r w:rsidRPr="00275290">
              <w:rPr>
                <w:rFonts w:cs="Arial"/>
              </w:rPr>
              <w:t>Clocal</w:t>
            </w:r>
            <w:r w:rsidRPr="00275290">
              <w:rPr>
                <w:rFonts w:cs="Arial"/>
                <w:vertAlign w:val="subscript"/>
              </w:rPr>
              <w:t>soil,leach, time 2</w:t>
            </w:r>
          </w:p>
        </w:tc>
        <w:tc>
          <w:tcPr>
            <w:tcW w:w="2268" w:type="dxa"/>
            <w:vAlign w:val="center"/>
          </w:tcPr>
          <w:p w14:paraId="3019F103" w14:textId="77777777" w:rsidR="00692E71" w:rsidRPr="00275290" w:rsidRDefault="00692E71" w:rsidP="008E0250">
            <w:pPr>
              <w:jc w:val="center"/>
              <w:rPr>
                <w:rFonts w:cs="Arial"/>
              </w:rPr>
            </w:pPr>
            <w:r w:rsidRPr="00275290">
              <w:rPr>
                <w:rFonts w:cs="Arial"/>
              </w:rPr>
              <w:t>0.07 (IPBC)</w:t>
            </w:r>
          </w:p>
          <w:p w14:paraId="6E3FD954" w14:textId="77777777" w:rsidR="00692E71" w:rsidRPr="00275290" w:rsidRDefault="00692E71" w:rsidP="008E0250">
            <w:pPr>
              <w:jc w:val="center"/>
              <w:rPr>
                <w:rFonts w:cs="Arial"/>
              </w:rPr>
            </w:pPr>
            <w:r w:rsidRPr="00275290">
              <w:rPr>
                <w:rFonts w:cs="Arial"/>
              </w:rPr>
              <w:t>0.39 (propiconazole)</w:t>
            </w:r>
          </w:p>
          <w:p w14:paraId="2281522B" w14:textId="77777777" w:rsidR="00692E71" w:rsidRPr="00275290" w:rsidRDefault="00692E71" w:rsidP="008E0250">
            <w:pPr>
              <w:jc w:val="center"/>
              <w:rPr>
                <w:rFonts w:cs="Arial"/>
              </w:rPr>
            </w:pPr>
            <w:r w:rsidRPr="00275290">
              <w:rPr>
                <w:rFonts w:cs="Arial"/>
              </w:rPr>
              <w:t>0.14 (tebuconazole)</w:t>
            </w:r>
          </w:p>
          <w:p w14:paraId="563A0FC4" w14:textId="77777777" w:rsidR="00692E71" w:rsidRPr="00275290" w:rsidRDefault="00692E71" w:rsidP="008E0250">
            <w:pPr>
              <w:rPr>
                <w:rFonts w:cs="Arial"/>
              </w:rPr>
            </w:pPr>
            <w:r w:rsidRPr="00275290">
              <w:rPr>
                <w:rFonts w:cs="Arial"/>
              </w:rPr>
              <w:t>0.01 (cypermethrin)</w:t>
            </w:r>
          </w:p>
        </w:tc>
        <w:tc>
          <w:tcPr>
            <w:tcW w:w="1276" w:type="dxa"/>
            <w:vAlign w:val="center"/>
          </w:tcPr>
          <w:p w14:paraId="0C7BAB5F"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927" w:type="dxa"/>
            <w:vAlign w:val="center"/>
          </w:tcPr>
          <w:p w14:paraId="7F6A14D4" w14:textId="77777777" w:rsidR="00692E71" w:rsidRPr="00275290" w:rsidRDefault="00692E71" w:rsidP="008E0250">
            <w:pPr>
              <w:jc w:val="center"/>
              <w:rPr>
                <w:rFonts w:cs="Arial"/>
              </w:rPr>
            </w:pPr>
            <w:r w:rsidRPr="00275290">
              <w:rPr>
                <w:rFonts w:cs="Arial"/>
              </w:rPr>
              <w:t>O</w:t>
            </w:r>
          </w:p>
        </w:tc>
      </w:tr>
      <w:tr w:rsidR="00692E71" w:rsidRPr="00275290" w14:paraId="2D683BAB" w14:textId="77777777" w:rsidTr="008E0250">
        <w:trPr>
          <w:gridAfter w:val="1"/>
          <w:wAfter w:w="8" w:type="dxa"/>
        </w:trPr>
        <w:tc>
          <w:tcPr>
            <w:tcW w:w="3288" w:type="dxa"/>
            <w:vAlign w:val="center"/>
          </w:tcPr>
          <w:p w14:paraId="66625DFD" w14:textId="77777777" w:rsidR="00692E71" w:rsidRPr="00275290" w:rsidRDefault="00692E71" w:rsidP="008E0250">
            <w:pPr>
              <w:snapToGrid w:val="0"/>
              <w:rPr>
                <w:rFonts w:cs="Arial"/>
              </w:rPr>
            </w:pPr>
            <w:r w:rsidRPr="00275290">
              <w:rPr>
                <w:rFonts w:cs="Arial"/>
              </w:rPr>
              <w:t>Local daily emission rate to the STP following leaching from treated wood during the initial</w:t>
            </w:r>
          </w:p>
          <w:p w14:paraId="66BC9E5B" w14:textId="77777777" w:rsidR="00692E71" w:rsidRPr="00275290" w:rsidRDefault="00692E71" w:rsidP="008E0250">
            <w:pPr>
              <w:snapToGrid w:val="0"/>
              <w:rPr>
                <w:rFonts w:cs="Arial"/>
              </w:rPr>
            </w:pPr>
            <w:r w:rsidRPr="00275290">
              <w:rPr>
                <w:rFonts w:cs="Arial"/>
              </w:rPr>
              <w:t>assessment period</w:t>
            </w:r>
          </w:p>
        </w:tc>
        <w:tc>
          <w:tcPr>
            <w:tcW w:w="1587" w:type="dxa"/>
            <w:vAlign w:val="center"/>
          </w:tcPr>
          <w:p w14:paraId="6D13F507" w14:textId="77777777" w:rsidR="00692E71" w:rsidRPr="00275290" w:rsidRDefault="00692E71" w:rsidP="008E0250">
            <w:pPr>
              <w:rPr>
                <w:rFonts w:cs="Arial"/>
              </w:rPr>
            </w:pPr>
            <w:r w:rsidRPr="00275290">
              <w:rPr>
                <w:rFonts w:cs="Arial"/>
                <w:i/>
              </w:rPr>
              <w:t>E</w:t>
            </w:r>
            <w:r w:rsidRPr="00275290">
              <w:rPr>
                <w:rFonts w:cs="Arial"/>
                <w:i/>
                <w:vertAlign w:val="subscript"/>
              </w:rPr>
              <w:t>STP,time1</w:t>
            </w:r>
          </w:p>
        </w:tc>
        <w:tc>
          <w:tcPr>
            <w:tcW w:w="2268" w:type="dxa"/>
            <w:vAlign w:val="center"/>
          </w:tcPr>
          <w:p w14:paraId="31AC03EE" w14:textId="77777777" w:rsidR="00692E71" w:rsidRPr="00275290" w:rsidRDefault="00692E71" w:rsidP="008E0250">
            <w:pPr>
              <w:jc w:val="center"/>
              <w:rPr>
                <w:rFonts w:cs="Arial"/>
              </w:rPr>
            </w:pPr>
            <w:r w:rsidRPr="00275290">
              <w:rPr>
                <w:rFonts w:cs="Arial"/>
              </w:rPr>
              <w:t>352.8 (IPBC)</w:t>
            </w:r>
          </w:p>
          <w:p w14:paraId="2F1F9B00" w14:textId="77777777" w:rsidR="00692E71" w:rsidRPr="00275290" w:rsidRDefault="00692E71" w:rsidP="008E0250">
            <w:pPr>
              <w:jc w:val="center"/>
              <w:rPr>
                <w:rFonts w:cs="Arial"/>
              </w:rPr>
            </w:pPr>
            <w:r w:rsidRPr="00275290">
              <w:rPr>
                <w:rFonts w:cs="Arial"/>
              </w:rPr>
              <w:t>1431 (propiconazole)</w:t>
            </w:r>
          </w:p>
          <w:p w14:paraId="6A8A2B29" w14:textId="77777777" w:rsidR="00692E71" w:rsidRPr="00275290" w:rsidRDefault="00692E71" w:rsidP="008E0250">
            <w:pPr>
              <w:jc w:val="center"/>
              <w:rPr>
                <w:rFonts w:cs="Arial"/>
              </w:rPr>
            </w:pPr>
            <w:r w:rsidRPr="00275290">
              <w:rPr>
                <w:rFonts w:cs="Arial"/>
              </w:rPr>
              <w:t xml:space="preserve"> 627 (tebuconazole)</w:t>
            </w:r>
          </w:p>
          <w:p w14:paraId="51A6ADC4" w14:textId="77777777" w:rsidR="00692E71" w:rsidRPr="00275290" w:rsidRDefault="00692E71" w:rsidP="008E0250">
            <w:pPr>
              <w:jc w:val="center"/>
              <w:rPr>
                <w:rFonts w:cs="Arial"/>
              </w:rPr>
            </w:pPr>
            <w:r w:rsidRPr="00275290">
              <w:rPr>
                <w:rFonts w:cs="Arial"/>
              </w:rPr>
              <w:t>4.0 (cypermethrin)</w:t>
            </w:r>
          </w:p>
        </w:tc>
        <w:tc>
          <w:tcPr>
            <w:tcW w:w="1276" w:type="dxa"/>
            <w:vAlign w:val="center"/>
          </w:tcPr>
          <w:p w14:paraId="02652B4C" w14:textId="77777777" w:rsidR="00692E71" w:rsidRPr="00275290" w:rsidRDefault="00692E71" w:rsidP="008E0250">
            <w:pPr>
              <w:jc w:val="center"/>
              <w:rPr>
                <w:rFonts w:cs="Arial"/>
              </w:rPr>
            </w:pPr>
            <w:r w:rsidRPr="00275290">
              <w:rPr>
                <w:rFonts w:cs="Arial"/>
              </w:rPr>
              <w:t>[mg.d</w:t>
            </w:r>
            <w:r w:rsidRPr="00275290">
              <w:rPr>
                <w:rFonts w:cs="Arial"/>
                <w:vertAlign w:val="superscript"/>
              </w:rPr>
              <w:t>-1</w:t>
            </w:r>
            <w:r w:rsidRPr="00275290">
              <w:rPr>
                <w:rFonts w:cs="Arial"/>
              </w:rPr>
              <w:t>]</w:t>
            </w:r>
          </w:p>
        </w:tc>
        <w:tc>
          <w:tcPr>
            <w:tcW w:w="927" w:type="dxa"/>
            <w:vAlign w:val="center"/>
          </w:tcPr>
          <w:p w14:paraId="7E3AB615" w14:textId="77777777" w:rsidR="00692E71" w:rsidRPr="00275290" w:rsidRDefault="00692E71" w:rsidP="008E0250">
            <w:pPr>
              <w:jc w:val="center"/>
              <w:rPr>
                <w:rFonts w:cs="Arial"/>
              </w:rPr>
            </w:pPr>
            <w:r w:rsidRPr="00275290">
              <w:rPr>
                <w:rFonts w:cs="Arial"/>
              </w:rPr>
              <w:t>O</w:t>
            </w:r>
          </w:p>
        </w:tc>
      </w:tr>
      <w:tr w:rsidR="00692E71" w:rsidRPr="00275290" w14:paraId="601DD2D9" w14:textId="77777777" w:rsidTr="008E0250">
        <w:trPr>
          <w:gridAfter w:val="1"/>
          <w:wAfter w:w="8" w:type="dxa"/>
        </w:trPr>
        <w:tc>
          <w:tcPr>
            <w:tcW w:w="3288" w:type="dxa"/>
            <w:vAlign w:val="center"/>
          </w:tcPr>
          <w:p w14:paraId="12C5D93A" w14:textId="77777777" w:rsidR="00692E71" w:rsidRPr="00275290" w:rsidRDefault="00692E71" w:rsidP="008E0250">
            <w:pPr>
              <w:snapToGrid w:val="0"/>
              <w:rPr>
                <w:rFonts w:cs="Arial"/>
              </w:rPr>
            </w:pPr>
            <w:r w:rsidRPr="00275290">
              <w:rPr>
                <w:rFonts w:cs="Arial"/>
              </w:rPr>
              <w:t>Local daily emission rate to the STP following leaching from treated wood during the longer</w:t>
            </w:r>
          </w:p>
          <w:p w14:paraId="4B2B5232" w14:textId="77777777" w:rsidR="00692E71" w:rsidRPr="00275290" w:rsidRDefault="00692E71" w:rsidP="008E0250">
            <w:pPr>
              <w:snapToGrid w:val="0"/>
              <w:rPr>
                <w:rFonts w:cs="Arial"/>
              </w:rPr>
            </w:pPr>
            <w:r w:rsidRPr="00275290">
              <w:rPr>
                <w:rFonts w:cs="Arial"/>
              </w:rPr>
              <w:t>assessment period</w:t>
            </w:r>
          </w:p>
        </w:tc>
        <w:tc>
          <w:tcPr>
            <w:tcW w:w="1587" w:type="dxa"/>
            <w:vAlign w:val="center"/>
          </w:tcPr>
          <w:p w14:paraId="57FD36FB" w14:textId="77777777" w:rsidR="00692E71" w:rsidRPr="00275290" w:rsidRDefault="00692E71" w:rsidP="008E0250">
            <w:pPr>
              <w:rPr>
                <w:rFonts w:cs="Arial"/>
              </w:rPr>
            </w:pPr>
            <w:r w:rsidRPr="00275290">
              <w:rPr>
                <w:rFonts w:cs="Arial"/>
                <w:i/>
              </w:rPr>
              <w:t>E</w:t>
            </w:r>
            <w:r w:rsidRPr="00275290">
              <w:rPr>
                <w:rFonts w:cs="Arial"/>
                <w:i/>
                <w:vertAlign w:val="subscript"/>
              </w:rPr>
              <w:t>STP,time2</w:t>
            </w:r>
          </w:p>
        </w:tc>
        <w:tc>
          <w:tcPr>
            <w:tcW w:w="2268" w:type="dxa"/>
            <w:vAlign w:val="center"/>
          </w:tcPr>
          <w:p w14:paraId="28332DD3" w14:textId="77777777" w:rsidR="00692E71" w:rsidRPr="00275290" w:rsidRDefault="00692E71" w:rsidP="008E0250">
            <w:pPr>
              <w:jc w:val="center"/>
              <w:rPr>
                <w:rFonts w:cs="Arial"/>
              </w:rPr>
            </w:pPr>
            <w:r w:rsidRPr="00275290">
              <w:rPr>
                <w:rFonts w:cs="Arial"/>
              </w:rPr>
              <w:t>12.6 (IPBC)</w:t>
            </w:r>
          </w:p>
          <w:p w14:paraId="4E71CE0B" w14:textId="77777777" w:rsidR="00692E71" w:rsidRPr="00275290" w:rsidRDefault="00692E71" w:rsidP="008E0250">
            <w:pPr>
              <w:jc w:val="center"/>
              <w:rPr>
                <w:rFonts w:cs="Arial"/>
              </w:rPr>
            </w:pPr>
            <w:r w:rsidRPr="00275290">
              <w:rPr>
                <w:rFonts w:cs="Arial"/>
              </w:rPr>
              <w:t>70.3 (propiconazole)</w:t>
            </w:r>
          </w:p>
          <w:p w14:paraId="7EFA6664" w14:textId="77777777" w:rsidR="00692E71" w:rsidRPr="00275290" w:rsidRDefault="00692E71" w:rsidP="008E0250">
            <w:pPr>
              <w:jc w:val="center"/>
              <w:rPr>
                <w:rFonts w:cs="Arial"/>
              </w:rPr>
            </w:pPr>
            <w:r w:rsidRPr="00275290">
              <w:rPr>
                <w:rFonts w:cs="Arial"/>
              </w:rPr>
              <w:t>26.2 (tebuconazole)</w:t>
            </w:r>
          </w:p>
          <w:p w14:paraId="673707D5" w14:textId="77777777" w:rsidR="00692E71" w:rsidRPr="00275290" w:rsidRDefault="00692E71" w:rsidP="008E0250">
            <w:pPr>
              <w:jc w:val="center"/>
              <w:rPr>
                <w:rFonts w:cs="Arial"/>
              </w:rPr>
            </w:pPr>
            <w:r w:rsidRPr="00275290">
              <w:rPr>
                <w:rFonts w:cs="Arial"/>
              </w:rPr>
              <w:t>2.24 (cypermethrin)</w:t>
            </w:r>
          </w:p>
        </w:tc>
        <w:tc>
          <w:tcPr>
            <w:tcW w:w="1276" w:type="dxa"/>
            <w:vAlign w:val="center"/>
          </w:tcPr>
          <w:p w14:paraId="453459CF" w14:textId="77777777" w:rsidR="00692E71" w:rsidRPr="00275290" w:rsidRDefault="00692E71" w:rsidP="008E0250">
            <w:pPr>
              <w:jc w:val="center"/>
              <w:rPr>
                <w:rFonts w:cs="Arial"/>
              </w:rPr>
            </w:pPr>
            <w:r w:rsidRPr="00275290">
              <w:rPr>
                <w:rFonts w:cs="Arial"/>
              </w:rPr>
              <w:t>[mg.d</w:t>
            </w:r>
            <w:r w:rsidRPr="00275290">
              <w:rPr>
                <w:rFonts w:cs="Arial"/>
                <w:vertAlign w:val="superscript"/>
              </w:rPr>
              <w:t>-1</w:t>
            </w:r>
            <w:r w:rsidRPr="00275290">
              <w:rPr>
                <w:rFonts w:cs="Arial"/>
              </w:rPr>
              <w:t>]</w:t>
            </w:r>
          </w:p>
        </w:tc>
        <w:tc>
          <w:tcPr>
            <w:tcW w:w="927" w:type="dxa"/>
            <w:vAlign w:val="center"/>
          </w:tcPr>
          <w:p w14:paraId="04663577" w14:textId="77777777" w:rsidR="00692E71" w:rsidRPr="00275290" w:rsidRDefault="00692E71" w:rsidP="008E0250">
            <w:pPr>
              <w:jc w:val="center"/>
              <w:rPr>
                <w:rFonts w:cs="Arial"/>
              </w:rPr>
            </w:pPr>
            <w:r w:rsidRPr="00275290">
              <w:rPr>
                <w:rFonts w:cs="Arial"/>
              </w:rPr>
              <w:t>O</w:t>
            </w:r>
          </w:p>
        </w:tc>
      </w:tr>
      <w:tr w:rsidR="00692E71" w:rsidRPr="00275290" w14:paraId="1DCB5C15" w14:textId="77777777" w:rsidTr="008E0250">
        <w:trPr>
          <w:gridAfter w:val="1"/>
          <w:wAfter w:w="8" w:type="dxa"/>
        </w:trPr>
        <w:tc>
          <w:tcPr>
            <w:tcW w:w="3288" w:type="dxa"/>
            <w:vAlign w:val="center"/>
          </w:tcPr>
          <w:p w14:paraId="732EA6A5" w14:textId="77777777" w:rsidR="00692E71" w:rsidRPr="00275290" w:rsidRDefault="00692E71" w:rsidP="008E0250">
            <w:pPr>
              <w:snapToGrid w:val="0"/>
              <w:rPr>
                <w:rFonts w:cs="Arial"/>
              </w:rPr>
            </w:pPr>
            <w:r w:rsidRPr="00275290">
              <w:rPr>
                <w:rFonts w:cs="Arial"/>
              </w:rPr>
              <w:t>Local concentration in STP water over the initial assessment period (30d) without removal</w:t>
            </w:r>
          </w:p>
        </w:tc>
        <w:tc>
          <w:tcPr>
            <w:tcW w:w="1587" w:type="dxa"/>
            <w:vAlign w:val="center"/>
          </w:tcPr>
          <w:p w14:paraId="5FBC03A5" w14:textId="77777777" w:rsidR="00692E71" w:rsidRPr="00275290" w:rsidRDefault="00692E71" w:rsidP="008E0250">
            <w:pPr>
              <w:rPr>
                <w:rFonts w:cs="Arial"/>
                <w:i/>
              </w:rPr>
            </w:pPr>
            <w:r w:rsidRPr="00275290">
              <w:rPr>
                <w:rFonts w:cs="Arial"/>
              </w:rPr>
              <w:t>Clocal</w:t>
            </w:r>
            <w:r w:rsidRPr="00275290">
              <w:rPr>
                <w:rFonts w:cs="Arial"/>
                <w:vertAlign w:val="subscript"/>
              </w:rPr>
              <w:t>inf time1</w:t>
            </w:r>
          </w:p>
        </w:tc>
        <w:tc>
          <w:tcPr>
            <w:tcW w:w="2268" w:type="dxa"/>
            <w:vAlign w:val="center"/>
          </w:tcPr>
          <w:p w14:paraId="4AE4CCF3" w14:textId="77777777" w:rsidR="00692E71" w:rsidRPr="00275290" w:rsidRDefault="00692E71" w:rsidP="008E0250">
            <w:pPr>
              <w:jc w:val="center"/>
              <w:rPr>
                <w:rFonts w:cs="Arial"/>
              </w:rPr>
            </w:pPr>
            <w:r w:rsidRPr="00275290">
              <w:rPr>
                <w:rFonts w:cs="Arial"/>
              </w:rPr>
              <w:t>0.18 (IPBC)</w:t>
            </w:r>
          </w:p>
          <w:p w14:paraId="4697515B" w14:textId="77777777" w:rsidR="00692E71" w:rsidRPr="00275290" w:rsidRDefault="00692E71" w:rsidP="008E0250">
            <w:pPr>
              <w:jc w:val="center"/>
              <w:rPr>
                <w:rFonts w:cs="Arial"/>
              </w:rPr>
            </w:pPr>
            <w:r w:rsidRPr="00275290">
              <w:rPr>
                <w:rFonts w:cs="Arial"/>
              </w:rPr>
              <w:t>0.72 (propiconazole)</w:t>
            </w:r>
          </w:p>
          <w:p w14:paraId="3618EA0C" w14:textId="77777777" w:rsidR="00692E71" w:rsidRPr="00275290" w:rsidRDefault="00692E71" w:rsidP="008E0250">
            <w:pPr>
              <w:jc w:val="center"/>
              <w:rPr>
                <w:rFonts w:cs="Arial"/>
              </w:rPr>
            </w:pPr>
            <w:r w:rsidRPr="00275290">
              <w:rPr>
                <w:rFonts w:cs="Arial"/>
              </w:rPr>
              <w:t>0.31 (tebuconazole)</w:t>
            </w:r>
          </w:p>
          <w:p w14:paraId="74D7ADF7" w14:textId="77777777" w:rsidR="00692E71" w:rsidRPr="00275290" w:rsidRDefault="00692E71" w:rsidP="008E0250">
            <w:pPr>
              <w:jc w:val="center"/>
              <w:rPr>
                <w:rFonts w:cs="Arial"/>
              </w:rPr>
            </w:pPr>
            <w:r w:rsidRPr="00275290">
              <w:rPr>
                <w:rFonts w:cs="Arial"/>
              </w:rPr>
              <w:t>1.0*10</w:t>
            </w:r>
            <w:r w:rsidRPr="00275290">
              <w:rPr>
                <w:rFonts w:cs="Arial"/>
                <w:vertAlign w:val="superscript"/>
              </w:rPr>
              <w:t xml:space="preserve">-3 </w:t>
            </w:r>
            <w:r w:rsidRPr="00275290">
              <w:rPr>
                <w:rFonts w:cs="Arial"/>
              </w:rPr>
              <w:t>(cypermethrin)</w:t>
            </w:r>
          </w:p>
        </w:tc>
        <w:tc>
          <w:tcPr>
            <w:tcW w:w="1276" w:type="dxa"/>
            <w:vAlign w:val="center"/>
          </w:tcPr>
          <w:p w14:paraId="1139D43F"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927" w:type="dxa"/>
            <w:vAlign w:val="center"/>
          </w:tcPr>
          <w:p w14:paraId="72901D92" w14:textId="77777777" w:rsidR="00692E71" w:rsidRPr="00275290" w:rsidRDefault="00692E71" w:rsidP="008E0250">
            <w:pPr>
              <w:jc w:val="center"/>
              <w:rPr>
                <w:rFonts w:cs="Arial"/>
              </w:rPr>
            </w:pPr>
            <w:r w:rsidRPr="00275290">
              <w:rPr>
                <w:rFonts w:cs="Arial"/>
              </w:rPr>
              <w:t>O</w:t>
            </w:r>
          </w:p>
        </w:tc>
      </w:tr>
      <w:tr w:rsidR="00692E71" w:rsidRPr="00275290" w14:paraId="0E8A1D9A" w14:textId="77777777" w:rsidTr="008E0250">
        <w:trPr>
          <w:gridAfter w:val="1"/>
          <w:wAfter w:w="8" w:type="dxa"/>
          <w:cantSplit/>
        </w:trPr>
        <w:tc>
          <w:tcPr>
            <w:tcW w:w="3288" w:type="dxa"/>
            <w:vAlign w:val="center"/>
          </w:tcPr>
          <w:p w14:paraId="1D9856CA" w14:textId="77777777" w:rsidR="00692E71" w:rsidRPr="00275290" w:rsidRDefault="00692E71" w:rsidP="008E0250">
            <w:pPr>
              <w:snapToGrid w:val="0"/>
              <w:rPr>
                <w:rFonts w:cs="Arial"/>
              </w:rPr>
            </w:pPr>
            <w:r w:rsidRPr="00275290">
              <w:rPr>
                <w:rFonts w:cs="Arial"/>
              </w:rPr>
              <w:t>Local concentration in STP water over a longer assessment period (5475d) without removal</w:t>
            </w:r>
          </w:p>
        </w:tc>
        <w:tc>
          <w:tcPr>
            <w:tcW w:w="1587" w:type="dxa"/>
            <w:vAlign w:val="center"/>
          </w:tcPr>
          <w:p w14:paraId="78464FF5" w14:textId="77777777" w:rsidR="00692E71" w:rsidRPr="00275290" w:rsidRDefault="00692E71" w:rsidP="008E0250">
            <w:pPr>
              <w:rPr>
                <w:rFonts w:cs="Arial"/>
                <w:i/>
              </w:rPr>
            </w:pPr>
            <w:r w:rsidRPr="00275290">
              <w:rPr>
                <w:rFonts w:cs="Arial"/>
              </w:rPr>
              <w:t>Clocal</w:t>
            </w:r>
            <w:r w:rsidRPr="00275290">
              <w:rPr>
                <w:rFonts w:cs="Arial"/>
                <w:vertAlign w:val="subscript"/>
              </w:rPr>
              <w:t>inf, time2</w:t>
            </w:r>
          </w:p>
        </w:tc>
        <w:tc>
          <w:tcPr>
            <w:tcW w:w="2268" w:type="dxa"/>
            <w:vAlign w:val="center"/>
          </w:tcPr>
          <w:p w14:paraId="3C765C45" w14:textId="77777777" w:rsidR="00692E71" w:rsidRPr="00275290" w:rsidRDefault="00692E71" w:rsidP="008E0250">
            <w:pPr>
              <w:jc w:val="center"/>
              <w:rPr>
                <w:rFonts w:cs="Arial"/>
              </w:rPr>
            </w:pPr>
            <w:r w:rsidRPr="00275290">
              <w:rPr>
                <w:rFonts w:cs="Arial"/>
              </w:rPr>
              <w:t>0.01 (IPBC)</w:t>
            </w:r>
          </w:p>
          <w:p w14:paraId="23BE9D0F" w14:textId="77777777" w:rsidR="00692E71" w:rsidRPr="00275290" w:rsidRDefault="00692E71" w:rsidP="008E0250">
            <w:pPr>
              <w:jc w:val="center"/>
              <w:rPr>
                <w:rFonts w:cs="Arial"/>
              </w:rPr>
            </w:pPr>
            <w:r w:rsidRPr="00275290">
              <w:rPr>
                <w:rFonts w:cs="Arial"/>
              </w:rPr>
              <w:t>0.03 (propiconazole)</w:t>
            </w:r>
          </w:p>
          <w:p w14:paraId="629C01B1" w14:textId="77777777" w:rsidR="00692E71" w:rsidRPr="00275290" w:rsidRDefault="00692E71" w:rsidP="008E0250">
            <w:pPr>
              <w:jc w:val="center"/>
              <w:rPr>
                <w:rFonts w:cs="Arial"/>
              </w:rPr>
            </w:pPr>
            <w:r w:rsidRPr="00275290">
              <w:rPr>
                <w:rFonts w:cs="Arial"/>
              </w:rPr>
              <w:t>0.01 (tebuconazole)</w:t>
            </w:r>
          </w:p>
          <w:p w14:paraId="15F9DAD0" w14:textId="77777777" w:rsidR="00692E71" w:rsidRPr="00275290" w:rsidRDefault="00692E71" w:rsidP="008E0250">
            <w:pPr>
              <w:jc w:val="center"/>
              <w:rPr>
                <w:rFonts w:cs="Arial"/>
              </w:rPr>
            </w:pPr>
            <w:r w:rsidRPr="00275290">
              <w:rPr>
                <w:rFonts w:cs="Arial"/>
              </w:rPr>
              <w:t>1.1*10</w:t>
            </w:r>
            <w:r w:rsidRPr="00275290">
              <w:rPr>
                <w:rFonts w:cs="Arial"/>
                <w:vertAlign w:val="superscript"/>
              </w:rPr>
              <w:t xml:space="preserve">-3 </w:t>
            </w:r>
            <w:r w:rsidRPr="00275290">
              <w:rPr>
                <w:rFonts w:cs="Arial"/>
              </w:rPr>
              <w:t>(cypermethrin)</w:t>
            </w:r>
          </w:p>
        </w:tc>
        <w:tc>
          <w:tcPr>
            <w:tcW w:w="1276" w:type="dxa"/>
            <w:vAlign w:val="center"/>
          </w:tcPr>
          <w:p w14:paraId="2D4C2C8A"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927" w:type="dxa"/>
            <w:vAlign w:val="center"/>
          </w:tcPr>
          <w:p w14:paraId="5E556ED7" w14:textId="77777777" w:rsidR="00692E71" w:rsidRPr="00275290" w:rsidRDefault="00692E71" w:rsidP="008E0250">
            <w:pPr>
              <w:jc w:val="center"/>
              <w:rPr>
                <w:rFonts w:cs="Arial"/>
              </w:rPr>
            </w:pPr>
            <w:r w:rsidRPr="00275290">
              <w:rPr>
                <w:rFonts w:cs="Arial"/>
              </w:rPr>
              <w:t>O</w:t>
            </w:r>
          </w:p>
        </w:tc>
      </w:tr>
    </w:tbl>
    <w:p w14:paraId="639E5B35" w14:textId="77777777" w:rsidR="00692E71" w:rsidRPr="00275290" w:rsidRDefault="00692E71" w:rsidP="00692E71">
      <w:pPr>
        <w:rPr>
          <w:rFonts w:cs="Arial"/>
          <w:b/>
        </w:rPr>
      </w:pPr>
      <w:r w:rsidRPr="00275290">
        <w:rPr>
          <w:rFonts w:cs="Arial"/>
        </w:rPr>
        <w:t>D=default, A=based on information of applicant, O=output</w:t>
      </w:r>
    </w:p>
    <w:p w14:paraId="4D1DFE48" w14:textId="77777777" w:rsidR="00692E71" w:rsidRPr="00275290" w:rsidRDefault="00692E71" w:rsidP="00692E71">
      <w:pPr>
        <w:rPr>
          <w:rFonts w:cs="Arial"/>
          <w:highlight w:val="yellow"/>
        </w:rPr>
      </w:pPr>
    </w:p>
    <w:p w14:paraId="12B0FDEE" w14:textId="77777777" w:rsidR="00692E71" w:rsidRPr="00275290" w:rsidRDefault="00692E71" w:rsidP="00692E71">
      <w:pPr>
        <w:rPr>
          <w:rFonts w:cs="Arial"/>
          <w:u w:val="single"/>
        </w:rPr>
      </w:pPr>
      <w:r w:rsidRPr="00275290">
        <w:rPr>
          <w:rFonts w:cs="Arial"/>
          <w:u w:val="single"/>
        </w:rPr>
        <w:lastRenderedPageBreak/>
        <w:t>Calculations (IPBC used as an example):</w:t>
      </w:r>
    </w:p>
    <w:p w14:paraId="2B0A4AE9" w14:textId="77777777" w:rsidR="00692E71" w:rsidRPr="00275290" w:rsidRDefault="00692E71" w:rsidP="00692E71">
      <w:pPr>
        <w:rPr>
          <w:rFonts w:cs="Arial"/>
        </w:rPr>
      </w:pPr>
    </w:p>
    <w:p w14:paraId="44E89001" w14:textId="77777777" w:rsidR="00692E71" w:rsidRPr="00275290" w:rsidRDefault="00692E71" w:rsidP="00692E71">
      <w:pPr>
        <w:rPr>
          <w:rFonts w:cs="Arial"/>
        </w:rPr>
      </w:pPr>
      <w:r w:rsidRPr="00275290">
        <w:rPr>
          <w:rFonts w:cs="Arial"/>
        </w:rPr>
        <w:t>Emission to soil:</w:t>
      </w:r>
    </w:p>
    <w:p w14:paraId="28E95B85"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AREA</w:t>
      </w:r>
      <w:r w:rsidRPr="00275290">
        <w:rPr>
          <w:rFonts w:cs="Arial"/>
          <w:vertAlign w:val="subscript"/>
        </w:rPr>
        <w:t xml:space="preserve">noise-barrier </w:t>
      </w:r>
      <w:r w:rsidRPr="00275290">
        <w:rPr>
          <w:rFonts w:cs="Arial"/>
        </w:rPr>
        <w:t>* F</w:t>
      </w:r>
      <w:r w:rsidRPr="00275290">
        <w:rPr>
          <w:rFonts w:cs="Arial"/>
          <w:vertAlign w:val="subscript"/>
        </w:rPr>
        <w:t xml:space="preserve">soil </w:t>
      </w:r>
      <w:r w:rsidRPr="00275290">
        <w:rPr>
          <w:rFonts w:cs="Arial"/>
        </w:rPr>
        <w:t>* Q*</w:t>
      </w:r>
      <w:r w:rsidRPr="00275290">
        <w:rPr>
          <w:rFonts w:cs="Arial"/>
          <w:vertAlign w:val="subscript"/>
        </w:rPr>
        <w:t xml:space="preserve">leach, time 1 </w:t>
      </w:r>
    </w:p>
    <w:p w14:paraId="1B68B909"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3000 * 0.3 * 5.04</w:t>
      </w:r>
    </w:p>
    <w:p w14:paraId="1B8F5F32"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4536 [mg]</w:t>
      </w:r>
    </w:p>
    <w:p w14:paraId="6643BB3B" w14:textId="77777777" w:rsidR="00692E71" w:rsidRPr="00275290" w:rsidRDefault="00692E71" w:rsidP="00692E71">
      <w:pPr>
        <w:rPr>
          <w:rFonts w:cs="Arial"/>
        </w:rPr>
      </w:pPr>
    </w:p>
    <w:p w14:paraId="4F72BDDE"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,leach,time</w:t>
      </w:r>
      <w:proofErr w:type="gramEnd"/>
      <w:r w:rsidRPr="00275290">
        <w:rPr>
          <w:rFonts w:cs="Arial"/>
          <w:vertAlign w:val="subscript"/>
        </w:rPr>
        <w:t xml:space="preserve"> 1 </w:t>
      </w:r>
      <w:r w:rsidRPr="00275290">
        <w:rPr>
          <w:rFonts w:cs="Arial"/>
        </w:rPr>
        <w:t>= Q</w:t>
      </w:r>
      <w:r w:rsidRPr="00275290">
        <w:rPr>
          <w:rFonts w:cs="Arial"/>
          <w:vertAlign w:val="subscript"/>
        </w:rPr>
        <w:t xml:space="preserve">leach, time 1 </w:t>
      </w:r>
      <w:r w:rsidRPr="00275290">
        <w:rPr>
          <w:rFonts w:cs="Arial"/>
        </w:rPr>
        <w:t>/ (V</w:t>
      </w:r>
      <w:r w:rsidRPr="00275290">
        <w:rPr>
          <w:rFonts w:cs="Arial"/>
          <w:vertAlign w:val="subscript"/>
        </w:rPr>
        <w:t>soil</w:t>
      </w:r>
      <w:r w:rsidRPr="00275290">
        <w:rPr>
          <w:rFonts w:cs="Arial"/>
        </w:rPr>
        <w:t xml:space="preserve"> * RHO</w:t>
      </w:r>
      <w:r w:rsidRPr="00275290">
        <w:rPr>
          <w:rFonts w:cs="Arial"/>
          <w:vertAlign w:val="subscript"/>
        </w:rPr>
        <w:t>soil</w:t>
      </w:r>
      <w:r w:rsidRPr="00275290">
        <w:rPr>
          <w:rFonts w:cs="Arial"/>
        </w:rPr>
        <w:t>)</w:t>
      </w:r>
    </w:p>
    <w:p w14:paraId="7FEADC04"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,leach,time</w:t>
      </w:r>
      <w:proofErr w:type="gramEnd"/>
      <w:r w:rsidRPr="00275290">
        <w:rPr>
          <w:rFonts w:cs="Arial"/>
          <w:vertAlign w:val="subscript"/>
        </w:rPr>
        <w:t xml:space="preserve"> 1 </w:t>
      </w:r>
      <w:r w:rsidRPr="00275290">
        <w:rPr>
          <w:rFonts w:cs="Arial"/>
        </w:rPr>
        <w:t>= 4536 / 250 * 1700</w:t>
      </w:r>
    </w:p>
    <w:p w14:paraId="700774A5"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,leach,time</w:t>
      </w:r>
      <w:proofErr w:type="gramEnd"/>
      <w:r w:rsidRPr="00275290">
        <w:rPr>
          <w:rFonts w:cs="Arial"/>
          <w:vertAlign w:val="subscript"/>
        </w:rPr>
        <w:t xml:space="preserve"> 1 </w:t>
      </w:r>
      <w:r w:rsidRPr="00275290">
        <w:rPr>
          <w:rFonts w:cs="Arial"/>
        </w:rPr>
        <w:t>= 0.011 [mg/kg</w:t>
      </w:r>
      <w:r w:rsidRPr="00275290">
        <w:rPr>
          <w:rFonts w:cs="Arial"/>
          <w:vertAlign w:val="subscript"/>
        </w:rPr>
        <w:t>wwt</w:t>
      </w:r>
      <w:r w:rsidRPr="00275290">
        <w:rPr>
          <w:rFonts w:cs="Arial"/>
          <w:vertAlign w:val="superscript"/>
        </w:rPr>
        <w:t>-1</w:t>
      </w:r>
      <w:r w:rsidRPr="00275290">
        <w:rPr>
          <w:rFonts w:cs="Arial"/>
        </w:rPr>
        <w:t>]</w:t>
      </w:r>
    </w:p>
    <w:p w14:paraId="6912CD0F" w14:textId="77777777" w:rsidR="00692E71" w:rsidRPr="00275290" w:rsidRDefault="00692E71" w:rsidP="00692E71">
      <w:pPr>
        <w:rPr>
          <w:rFonts w:cs="Arial"/>
        </w:rPr>
      </w:pPr>
    </w:p>
    <w:p w14:paraId="1151A0AD" w14:textId="77777777" w:rsidR="00692E71" w:rsidRPr="00275290" w:rsidRDefault="00692E71" w:rsidP="00692E71">
      <w:pPr>
        <w:rPr>
          <w:rFonts w:cs="Arial"/>
        </w:rPr>
      </w:pPr>
      <w:r w:rsidRPr="00275290">
        <w:rPr>
          <w:rFonts w:cs="Arial"/>
        </w:rPr>
        <w:t>Emission to STP:</w:t>
      </w:r>
    </w:p>
    <w:p w14:paraId="038DD9BA" w14:textId="77777777" w:rsidR="00692E71" w:rsidRPr="00275290" w:rsidRDefault="00692E71" w:rsidP="00692E71">
      <w:pPr>
        <w:rPr>
          <w:rFonts w:cs="Arial"/>
        </w:rPr>
      </w:pPr>
      <w:r w:rsidRPr="00275290">
        <w:rPr>
          <w:rFonts w:cs="Arial"/>
          <w:i/>
        </w:rPr>
        <w:t>E</w:t>
      </w:r>
      <w:r w:rsidRPr="00275290">
        <w:rPr>
          <w:rFonts w:cs="Arial"/>
          <w:i/>
          <w:vertAlign w:val="subscript"/>
        </w:rPr>
        <w:t>STP</w:t>
      </w:r>
      <w:proofErr w:type="gramStart"/>
      <w:r w:rsidRPr="00275290">
        <w:rPr>
          <w:rFonts w:cs="Arial"/>
          <w:i/>
          <w:vertAlign w:val="subscript"/>
        </w:rPr>
        <w:t>,time1</w:t>
      </w:r>
      <w:proofErr w:type="gramEnd"/>
      <w:r w:rsidRPr="00275290">
        <w:rPr>
          <w:rFonts w:cs="Arial"/>
          <w:i/>
        </w:rPr>
        <w:t xml:space="preserve"> = </w:t>
      </w:r>
      <w:r w:rsidRPr="00275290">
        <w:rPr>
          <w:rFonts w:cs="Arial"/>
        </w:rPr>
        <w:t>AREA</w:t>
      </w:r>
      <w:r w:rsidRPr="00275290">
        <w:rPr>
          <w:rFonts w:cs="Arial"/>
          <w:vertAlign w:val="subscript"/>
        </w:rPr>
        <w:t xml:space="preserve">noise-barrier </w:t>
      </w:r>
      <w:r w:rsidRPr="00275290">
        <w:rPr>
          <w:rFonts w:cs="Arial"/>
        </w:rPr>
        <w:t>* F</w:t>
      </w:r>
      <w:r w:rsidRPr="00275290">
        <w:rPr>
          <w:rFonts w:cs="Arial"/>
          <w:vertAlign w:val="subscript"/>
        </w:rPr>
        <w:t xml:space="preserve">STP </w:t>
      </w:r>
      <w:r w:rsidRPr="00275290">
        <w:rPr>
          <w:rFonts w:cs="Arial"/>
        </w:rPr>
        <w:t>* Q*</w:t>
      </w:r>
      <w:r w:rsidRPr="00275290">
        <w:rPr>
          <w:rFonts w:cs="Arial"/>
          <w:vertAlign w:val="subscript"/>
        </w:rPr>
        <w:t xml:space="preserve">leach, time 1 </w:t>
      </w:r>
      <w:r w:rsidRPr="00275290">
        <w:rPr>
          <w:rFonts w:cs="Arial"/>
        </w:rPr>
        <w:t>/ TIME1</w:t>
      </w:r>
    </w:p>
    <w:p w14:paraId="73E675FB" w14:textId="77777777" w:rsidR="00692E71" w:rsidRPr="00275290" w:rsidRDefault="00692E71" w:rsidP="00692E71">
      <w:pPr>
        <w:rPr>
          <w:rFonts w:cs="Arial"/>
        </w:rPr>
      </w:pPr>
      <w:r w:rsidRPr="00275290">
        <w:rPr>
          <w:rFonts w:cs="Arial"/>
          <w:i/>
        </w:rPr>
        <w:t>E</w:t>
      </w:r>
      <w:r w:rsidRPr="00275290">
        <w:rPr>
          <w:rFonts w:cs="Arial"/>
          <w:i/>
          <w:vertAlign w:val="subscript"/>
        </w:rPr>
        <w:t>STP</w:t>
      </w:r>
      <w:proofErr w:type="gramStart"/>
      <w:r w:rsidRPr="00275290">
        <w:rPr>
          <w:rFonts w:cs="Arial"/>
          <w:i/>
          <w:vertAlign w:val="subscript"/>
        </w:rPr>
        <w:t>,time1</w:t>
      </w:r>
      <w:proofErr w:type="gramEnd"/>
      <w:r w:rsidRPr="00275290">
        <w:rPr>
          <w:rFonts w:cs="Arial"/>
          <w:i/>
        </w:rPr>
        <w:t xml:space="preserve"> = </w:t>
      </w:r>
      <w:r w:rsidRPr="00275290">
        <w:rPr>
          <w:rFonts w:cs="Arial"/>
        </w:rPr>
        <w:t>3000 * 0.7 * 5.04 / 30</w:t>
      </w:r>
    </w:p>
    <w:p w14:paraId="6B490DF9" w14:textId="77777777" w:rsidR="00692E71" w:rsidRPr="00275290" w:rsidRDefault="00692E71" w:rsidP="00692E71">
      <w:pPr>
        <w:rPr>
          <w:rFonts w:cs="Arial"/>
        </w:rPr>
      </w:pPr>
      <w:r w:rsidRPr="00275290">
        <w:rPr>
          <w:rFonts w:cs="Arial"/>
          <w:i/>
        </w:rPr>
        <w:t>E</w:t>
      </w:r>
      <w:r w:rsidRPr="00275290">
        <w:rPr>
          <w:rFonts w:cs="Arial"/>
          <w:i/>
          <w:vertAlign w:val="subscript"/>
        </w:rPr>
        <w:t>STP</w:t>
      </w:r>
      <w:proofErr w:type="gramStart"/>
      <w:r w:rsidRPr="00275290">
        <w:rPr>
          <w:rFonts w:cs="Arial"/>
          <w:i/>
          <w:vertAlign w:val="subscript"/>
        </w:rPr>
        <w:t>,time1</w:t>
      </w:r>
      <w:proofErr w:type="gramEnd"/>
      <w:r w:rsidRPr="00275290">
        <w:rPr>
          <w:rFonts w:cs="Arial"/>
          <w:i/>
        </w:rPr>
        <w:t xml:space="preserve"> </w:t>
      </w:r>
      <w:r w:rsidRPr="00275290">
        <w:rPr>
          <w:rFonts w:cs="Arial"/>
        </w:rPr>
        <w:t>= 352.8 [mg/d]</w:t>
      </w:r>
    </w:p>
    <w:p w14:paraId="6CAA09F5" w14:textId="77777777" w:rsidR="00692E71" w:rsidRPr="00275290" w:rsidRDefault="00692E71" w:rsidP="00692E71">
      <w:pPr>
        <w:rPr>
          <w:rFonts w:cs="Arial"/>
        </w:rPr>
      </w:pPr>
    </w:p>
    <w:p w14:paraId="524CE9A0" w14:textId="77777777" w:rsidR="00692E71" w:rsidRPr="00275290" w:rsidRDefault="00692E71" w:rsidP="00692E71">
      <w:pPr>
        <w:rPr>
          <w:rFonts w:cs="Arial"/>
        </w:rPr>
      </w:pPr>
      <w:r w:rsidRPr="00275290">
        <w:rPr>
          <w:rFonts w:cs="Arial"/>
        </w:rPr>
        <w:t>The influent to the STP can be calculated based on the model calculations in EUSES:</w:t>
      </w:r>
    </w:p>
    <w:p w14:paraId="6BAB6F12" w14:textId="77777777" w:rsidR="00692E71" w:rsidRPr="00275290" w:rsidRDefault="00692E71" w:rsidP="00692E71">
      <w:pPr>
        <w:rPr>
          <w:rFonts w:cs="Arial"/>
          <w:b/>
        </w:rPr>
      </w:pPr>
    </w:p>
    <w:p w14:paraId="2AD0FE7A" w14:textId="77777777" w:rsidR="00692E71" w:rsidRPr="00275290" w:rsidRDefault="00692E71" w:rsidP="00692E71">
      <w:pPr>
        <w:rPr>
          <w:rFonts w:cs="Arial"/>
        </w:rPr>
      </w:pPr>
      <w:r w:rsidRPr="00275290">
        <w:rPr>
          <w:rFonts w:cs="Arial"/>
        </w:rPr>
        <w:t>EFFLUENT</w:t>
      </w:r>
      <w:r w:rsidRPr="00275290">
        <w:rPr>
          <w:rFonts w:cs="Arial"/>
          <w:vertAlign w:val="subscript"/>
        </w:rPr>
        <w:t xml:space="preserve">local </w:t>
      </w:r>
      <w:proofErr w:type="gramStart"/>
      <w:r w:rsidRPr="00275290">
        <w:rPr>
          <w:rFonts w:cs="Arial"/>
          <w:vertAlign w:val="subscript"/>
        </w:rPr>
        <w:t>stp</w:t>
      </w:r>
      <w:r w:rsidRPr="00275290">
        <w:rPr>
          <w:rFonts w:cs="Arial"/>
        </w:rPr>
        <w:t>=</w:t>
      </w:r>
      <w:proofErr w:type="gramEnd"/>
      <w:r w:rsidRPr="00275290">
        <w:rPr>
          <w:rFonts w:cs="Arial"/>
        </w:rPr>
        <w:t>N</w:t>
      </w:r>
      <w:r w:rsidRPr="00275290">
        <w:rPr>
          <w:rFonts w:cs="Arial"/>
          <w:vertAlign w:val="subscript"/>
        </w:rPr>
        <w:t>local</w:t>
      </w:r>
      <w:r w:rsidRPr="00275290">
        <w:rPr>
          <w:rFonts w:cs="Arial"/>
        </w:rPr>
        <w:t>*Q</w:t>
      </w:r>
      <w:r w:rsidRPr="00275290">
        <w:rPr>
          <w:rFonts w:cs="Arial"/>
          <w:vertAlign w:val="subscript"/>
        </w:rPr>
        <w:t>stp</w:t>
      </w:r>
      <w:r w:rsidRPr="00275290">
        <w:rPr>
          <w:rFonts w:cs="Arial"/>
        </w:rPr>
        <w:t xml:space="preserve"> </w:t>
      </w:r>
      <w:r w:rsidRPr="00275290">
        <w:rPr>
          <w:rFonts w:cs="Arial"/>
        </w:rPr>
        <w:tab/>
      </w:r>
      <w:r w:rsidRPr="00275290">
        <w:rPr>
          <w:rFonts w:cs="Arial"/>
        </w:rPr>
        <w:tab/>
      </w:r>
      <w:r w:rsidRPr="00275290">
        <w:rPr>
          <w:rFonts w:cs="Arial"/>
        </w:rPr>
        <w:tab/>
        <w:t>(Eq 651 EUSES 2.1)</w:t>
      </w:r>
    </w:p>
    <w:p w14:paraId="2EBF4864" w14:textId="77777777" w:rsidR="00692E71" w:rsidRPr="0021636F" w:rsidRDefault="00692E71" w:rsidP="00692E71">
      <w:pPr>
        <w:rPr>
          <w:rFonts w:cs="Arial"/>
          <w:lang w:val="es-US"/>
        </w:rPr>
      </w:pPr>
      <w:r w:rsidRPr="0021636F">
        <w:rPr>
          <w:rFonts w:cs="Arial"/>
          <w:lang w:val="es-US"/>
        </w:rPr>
        <w:t>N</w:t>
      </w:r>
      <w:r w:rsidRPr="0021636F">
        <w:rPr>
          <w:rFonts w:cs="Arial"/>
          <w:vertAlign w:val="subscript"/>
          <w:lang w:val="es-US"/>
        </w:rPr>
        <w:t>local</w:t>
      </w:r>
      <w:r w:rsidRPr="0021636F">
        <w:rPr>
          <w:rFonts w:cs="Arial"/>
          <w:lang w:val="es-US"/>
        </w:rPr>
        <w:t xml:space="preserve"> = 10.000 eq</w:t>
      </w:r>
      <w:r w:rsidRPr="0021636F">
        <w:rPr>
          <w:rFonts w:cs="Arial"/>
          <w:lang w:val="es-US"/>
        </w:rPr>
        <w:tab/>
      </w:r>
      <w:r w:rsidRPr="0021636F">
        <w:rPr>
          <w:rFonts w:cs="Arial"/>
          <w:lang w:val="es-US"/>
        </w:rPr>
        <w:tab/>
      </w:r>
      <w:r w:rsidRPr="0021636F">
        <w:rPr>
          <w:rFonts w:cs="Arial"/>
          <w:lang w:val="es-US"/>
        </w:rPr>
        <w:tab/>
      </w:r>
      <w:r w:rsidRPr="0021636F">
        <w:rPr>
          <w:rFonts w:cs="Arial"/>
          <w:lang w:val="es-US"/>
        </w:rPr>
        <w:tab/>
        <w:t>(Tabel III-192 EUSES 2.1)</w:t>
      </w:r>
    </w:p>
    <w:p w14:paraId="7B48F566" w14:textId="77777777" w:rsidR="00692E71" w:rsidRPr="0021636F" w:rsidRDefault="00692E71" w:rsidP="00692E71">
      <w:pPr>
        <w:rPr>
          <w:rFonts w:cs="Arial"/>
          <w:lang w:val="es-US"/>
        </w:rPr>
      </w:pPr>
      <w:r w:rsidRPr="0021636F">
        <w:rPr>
          <w:rFonts w:cs="Arial"/>
          <w:lang w:val="es-US"/>
        </w:rPr>
        <w:t>Q</w:t>
      </w:r>
      <w:r w:rsidRPr="0021636F">
        <w:rPr>
          <w:rFonts w:cs="Arial"/>
          <w:vertAlign w:val="subscript"/>
          <w:lang w:val="es-US"/>
        </w:rPr>
        <w:t xml:space="preserve">stp </w:t>
      </w:r>
      <w:r w:rsidRPr="0021636F">
        <w:rPr>
          <w:rFonts w:cs="Arial"/>
          <w:lang w:val="es-US"/>
        </w:rPr>
        <w:t>= 0.2 [m</w:t>
      </w:r>
      <w:proofErr w:type="gramStart"/>
      <w:r w:rsidRPr="0021636F">
        <w:rPr>
          <w:rFonts w:cs="Arial"/>
          <w:vertAlign w:val="superscript"/>
          <w:lang w:val="es-US"/>
        </w:rPr>
        <w:t>3</w:t>
      </w:r>
      <w:r w:rsidRPr="0021636F">
        <w:rPr>
          <w:rFonts w:cs="Arial"/>
          <w:lang w:val="es-US"/>
        </w:rPr>
        <w:t>.eq</w:t>
      </w:r>
      <w:proofErr w:type="gramEnd"/>
      <w:r w:rsidRPr="0021636F">
        <w:rPr>
          <w:rFonts w:cs="Arial"/>
          <w:vertAlign w:val="superscript"/>
          <w:lang w:val="es-US"/>
        </w:rPr>
        <w:t>-1</w:t>
      </w:r>
      <w:r w:rsidRPr="0021636F">
        <w:rPr>
          <w:rFonts w:cs="Arial"/>
          <w:lang w:val="es-US"/>
        </w:rPr>
        <w:t>.d</w:t>
      </w:r>
      <w:r w:rsidRPr="0021636F">
        <w:rPr>
          <w:rFonts w:cs="Arial"/>
          <w:vertAlign w:val="superscript"/>
          <w:lang w:val="es-US"/>
        </w:rPr>
        <w:t>-1</w:t>
      </w:r>
      <w:r w:rsidRPr="0021636F">
        <w:rPr>
          <w:rFonts w:cs="Arial"/>
          <w:lang w:val="es-US"/>
        </w:rPr>
        <w:t xml:space="preserve">] </w:t>
      </w:r>
      <w:r w:rsidRPr="0021636F">
        <w:rPr>
          <w:rFonts w:cs="Arial"/>
          <w:lang w:val="es-US"/>
        </w:rPr>
        <w:tab/>
      </w:r>
      <w:r w:rsidRPr="0021636F">
        <w:rPr>
          <w:rFonts w:cs="Arial"/>
          <w:lang w:val="es-US"/>
        </w:rPr>
        <w:tab/>
      </w:r>
      <w:r w:rsidRPr="0021636F">
        <w:rPr>
          <w:rFonts w:cs="Arial"/>
          <w:lang w:val="es-US"/>
        </w:rPr>
        <w:tab/>
      </w:r>
      <w:r w:rsidRPr="0021636F">
        <w:rPr>
          <w:rFonts w:cs="Arial"/>
          <w:lang w:val="es-US"/>
        </w:rPr>
        <w:tab/>
        <w:t>(Tabel III-192 EUSES 2.1)</w:t>
      </w:r>
    </w:p>
    <w:p w14:paraId="38FB386D" w14:textId="77777777" w:rsidR="00692E71" w:rsidRPr="0021636F" w:rsidRDefault="00692E71" w:rsidP="00692E71">
      <w:pPr>
        <w:rPr>
          <w:rFonts w:cs="Arial"/>
          <w:lang w:val="es-US"/>
        </w:rPr>
      </w:pPr>
    </w:p>
    <w:p w14:paraId="18B07681" w14:textId="77777777" w:rsidR="00692E71" w:rsidRPr="00275290" w:rsidRDefault="00692E71" w:rsidP="00692E71">
      <w:pPr>
        <w:rPr>
          <w:rFonts w:cs="Arial"/>
          <w:vertAlign w:val="subscript"/>
        </w:rPr>
      </w:pPr>
      <w:r w:rsidRPr="00275290">
        <w:rPr>
          <w:rFonts w:cs="Arial"/>
        </w:rPr>
        <w:t>EFFLUENTlocal</w:t>
      </w:r>
      <w:r w:rsidRPr="00275290">
        <w:rPr>
          <w:rFonts w:cs="Arial"/>
          <w:vertAlign w:val="subscript"/>
        </w:rPr>
        <w:t xml:space="preserve">STP </w:t>
      </w:r>
      <w:r w:rsidRPr="00275290">
        <w:rPr>
          <w:rFonts w:cs="Arial"/>
        </w:rPr>
        <w:t>= Nlocal * Q</w:t>
      </w:r>
      <w:r w:rsidRPr="00275290">
        <w:rPr>
          <w:rFonts w:cs="Arial"/>
          <w:vertAlign w:val="subscript"/>
        </w:rPr>
        <w:t xml:space="preserve">STP </w:t>
      </w:r>
    </w:p>
    <w:p w14:paraId="44BF0296" w14:textId="77777777" w:rsidR="00692E71" w:rsidRPr="00275290" w:rsidRDefault="00692E71" w:rsidP="00692E71">
      <w:pPr>
        <w:rPr>
          <w:rFonts w:cs="Arial"/>
        </w:rPr>
      </w:pPr>
      <w:r w:rsidRPr="00275290">
        <w:rPr>
          <w:rFonts w:cs="Arial"/>
        </w:rPr>
        <w:t>EFFLUENTlocal</w:t>
      </w:r>
      <w:r w:rsidRPr="00275290">
        <w:rPr>
          <w:rFonts w:cs="Arial"/>
          <w:vertAlign w:val="subscript"/>
        </w:rPr>
        <w:t xml:space="preserve">STP </w:t>
      </w:r>
      <w:r w:rsidRPr="00275290">
        <w:rPr>
          <w:rFonts w:cs="Arial"/>
        </w:rPr>
        <w:t>= 0.2 * 10000</w:t>
      </w:r>
    </w:p>
    <w:p w14:paraId="6ED31885" w14:textId="77777777" w:rsidR="00692E71" w:rsidRPr="00275290" w:rsidRDefault="00692E71" w:rsidP="00692E71">
      <w:pPr>
        <w:rPr>
          <w:rFonts w:cs="Arial"/>
        </w:rPr>
      </w:pPr>
      <w:r w:rsidRPr="00275290">
        <w:rPr>
          <w:rFonts w:cs="Arial"/>
        </w:rPr>
        <w:t>EFFLUENTlocal</w:t>
      </w:r>
      <w:r w:rsidRPr="00275290">
        <w:rPr>
          <w:rFonts w:cs="Arial"/>
          <w:vertAlign w:val="subscript"/>
        </w:rPr>
        <w:t xml:space="preserve">STP </w:t>
      </w:r>
      <w:r w:rsidRPr="00275290">
        <w:rPr>
          <w:rFonts w:cs="Arial"/>
        </w:rPr>
        <w:t>= 2000 [m</w:t>
      </w:r>
      <w:r w:rsidRPr="00275290">
        <w:rPr>
          <w:rFonts w:cs="Arial"/>
          <w:vertAlign w:val="superscript"/>
        </w:rPr>
        <w:t>3</w:t>
      </w:r>
      <w:r w:rsidRPr="00275290">
        <w:rPr>
          <w:rFonts w:cs="Arial"/>
        </w:rPr>
        <w:t>/d]</w:t>
      </w:r>
    </w:p>
    <w:p w14:paraId="336092F7" w14:textId="77777777" w:rsidR="00692E71" w:rsidRPr="00275290" w:rsidRDefault="00692E71" w:rsidP="00692E71">
      <w:pPr>
        <w:rPr>
          <w:rFonts w:cs="Arial"/>
        </w:rPr>
      </w:pPr>
    </w:p>
    <w:p w14:paraId="1AF2CFE5" w14:textId="77777777" w:rsidR="00692E71" w:rsidRPr="00275290" w:rsidRDefault="00692E71" w:rsidP="00692E71">
      <w:pPr>
        <w:rPr>
          <w:rFonts w:cs="Arial"/>
          <w:vertAlign w:val="subscript"/>
        </w:rPr>
      </w:pPr>
      <w:r w:rsidRPr="00275290">
        <w:rPr>
          <w:rFonts w:cs="Arial"/>
        </w:rPr>
        <w:t>Clocal</w:t>
      </w:r>
      <w:r w:rsidRPr="00275290">
        <w:rPr>
          <w:rFonts w:cs="Arial"/>
          <w:vertAlign w:val="subscript"/>
        </w:rPr>
        <w:t>inf</w:t>
      </w:r>
      <w:r w:rsidRPr="00275290">
        <w:rPr>
          <w:rFonts w:cs="Arial"/>
        </w:rPr>
        <w:t xml:space="preserve"> = </w:t>
      </w:r>
      <w:r w:rsidRPr="00275290">
        <w:rPr>
          <w:rFonts w:cs="Arial"/>
          <w:i/>
        </w:rPr>
        <w:t>E</w:t>
      </w:r>
      <w:r w:rsidRPr="00275290">
        <w:rPr>
          <w:rFonts w:cs="Arial"/>
          <w:i/>
          <w:vertAlign w:val="subscript"/>
        </w:rPr>
        <w:t xml:space="preserve">STPtime1 </w:t>
      </w:r>
      <w:r w:rsidRPr="00275290">
        <w:rPr>
          <w:rFonts w:cs="Arial"/>
          <w:i/>
        </w:rPr>
        <w:t xml:space="preserve">/ </w:t>
      </w:r>
      <w:r w:rsidRPr="00275290">
        <w:rPr>
          <w:rFonts w:cs="Arial"/>
        </w:rPr>
        <w:t>EFFLUENTlocal</w:t>
      </w:r>
      <w:r w:rsidRPr="00275290">
        <w:rPr>
          <w:rFonts w:cs="Arial"/>
          <w:vertAlign w:val="subscript"/>
        </w:rPr>
        <w:t xml:space="preserve">STP </w:t>
      </w:r>
      <w:r w:rsidRPr="00275290">
        <w:rPr>
          <w:rFonts w:cs="Arial"/>
          <w:vertAlign w:val="subscript"/>
        </w:rPr>
        <w:tab/>
      </w:r>
      <w:r w:rsidRPr="00275290">
        <w:rPr>
          <w:rFonts w:cs="Arial"/>
          <w:vertAlign w:val="subscript"/>
        </w:rPr>
        <w:tab/>
      </w:r>
      <w:r w:rsidRPr="00275290">
        <w:rPr>
          <w:rFonts w:cs="Arial"/>
        </w:rPr>
        <w:t>(Eq 649 EUSES 2.1)</w:t>
      </w:r>
    </w:p>
    <w:p w14:paraId="701E4693" w14:textId="77777777" w:rsidR="00692E71" w:rsidRPr="00275290" w:rsidRDefault="00692E71" w:rsidP="00692E71">
      <w:pPr>
        <w:rPr>
          <w:rFonts w:cs="Arial"/>
        </w:rPr>
      </w:pPr>
      <w:r w:rsidRPr="00275290">
        <w:rPr>
          <w:rFonts w:cs="Arial"/>
        </w:rPr>
        <w:t>Clocal</w:t>
      </w:r>
      <w:r w:rsidRPr="00275290">
        <w:rPr>
          <w:rFonts w:cs="Arial"/>
          <w:vertAlign w:val="subscript"/>
        </w:rPr>
        <w:t>inf time1</w:t>
      </w:r>
      <w:r w:rsidRPr="00275290">
        <w:rPr>
          <w:rFonts w:cs="Arial"/>
        </w:rPr>
        <w:t xml:space="preserve"> = 352.8 / 2000</w:t>
      </w:r>
    </w:p>
    <w:p w14:paraId="5486730E" w14:textId="77777777" w:rsidR="00692E71" w:rsidRPr="00275290" w:rsidRDefault="00692E71" w:rsidP="00692E71">
      <w:pPr>
        <w:rPr>
          <w:rFonts w:cs="Arial"/>
        </w:rPr>
      </w:pPr>
      <w:r w:rsidRPr="00275290">
        <w:rPr>
          <w:rFonts w:cs="Arial"/>
        </w:rPr>
        <w:t>Clocal</w:t>
      </w:r>
      <w:r w:rsidRPr="00275290">
        <w:rPr>
          <w:rFonts w:cs="Arial"/>
          <w:vertAlign w:val="subscript"/>
        </w:rPr>
        <w:t>inf time1</w:t>
      </w:r>
      <w:r w:rsidRPr="00275290">
        <w:rPr>
          <w:rFonts w:cs="Arial"/>
        </w:rPr>
        <w:t xml:space="preserve"> = 0.18 [µg/L]</w:t>
      </w:r>
    </w:p>
    <w:p w14:paraId="44F8D174" w14:textId="77777777" w:rsidR="00692E71" w:rsidRPr="00275290" w:rsidRDefault="00692E71" w:rsidP="00692E71">
      <w:pPr>
        <w:rPr>
          <w:rFonts w:cs="Arial"/>
        </w:rPr>
      </w:pPr>
    </w:p>
    <w:p w14:paraId="1888222A" w14:textId="77777777" w:rsidR="00692E71" w:rsidRPr="00575E63" w:rsidRDefault="00692E71" w:rsidP="00692E71">
      <w:pPr>
        <w:rPr>
          <w:rFonts w:ascii="Arial" w:hAnsi="Arial" w:cs="Arial"/>
        </w:rPr>
      </w:pPr>
    </w:p>
    <w:p w14:paraId="399362A0" w14:textId="77777777" w:rsidR="00692E71" w:rsidRPr="008551C7" w:rsidRDefault="00692E71" w:rsidP="008E0250">
      <w:pPr>
        <w:pStyle w:val="Titre6"/>
        <w:spacing w:before="240"/>
        <w:rPr>
          <w:lang w:val="en-US"/>
        </w:rPr>
      </w:pPr>
      <w:bookmarkStart w:id="124" w:name="_Toc452668988"/>
      <w:r w:rsidRPr="008551C7">
        <w:rPr>
          <w:lang w:val="en-US"/>
        </w:rPr>
        <w:t>Bridge over Pond scenario, in-service of industrial treated wood</w:t>
      </w:r>
      <w:bookmarkEnd w:id="124"/>
    </w:p>
    <w:p w14:paraId="663B64E5" w14:textId="77777777" w:rsidR="00692E71" w:rsidRPr="00275290" w:rsidRDefault="00692E71" w:rsidP="00692E71">
      <w:pPr>
        <w:rPr>
          <w:rFonts w:cs="Arial"/>
          <w:highlight w:val="yellow"/>
        </w:rPr>
      </w:pPr>
    </w:p>
    <w:p w14:paraId="0F9A9E0E"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11</w:t>
      </w:r>
      <w:r w:rsidRPr="00275290">
        <w:rPr>
          <w:rFonts w:ascii="Verdana" w:hAnsi="Verdana"/>
        </w:rPr>
        <w:fldChar w:fldCharType="end"/>
      </w:r>
      <w:r w:rsidRPr="00275290">
        <w:rPr>
          <w:rFonts w:ascii="Verdana" w:hAnsi="Verdana"/>
        </w:rPr>
        <w:t>: Calculation of emissions from treated bridge over pond in-service.</w:t>
      </w:r>
    </w:p>
    <w:tbl>
      <w:tblPr>
        <w:tblW w:w="9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1"/>
        <w:gridCol w:w="1587"/>
        <w:gridCol w:w="2406"/>
        <w:gridCol w:w="1138"/>
        <w:gridCol w:w="929"/>
      </w:tblGrid>
      <w:tr w:rsidR="00692E71" w:rsidRPr="00275290" w14:paraId="23D6AFF9" w14:textId="77777777" w:rsidTr="008E0250">
        <w:trPr>
          <w:trHeight w:val="340"/>
        </w:trPr>
        <w:tc>
          <w:tcPr>
            <w:tcW w:w="3230" w:type="dxa"/>
            <w:shd w:val="clear" w:color="auto" w:fill="D9D9D9" w:themeFill="background1" w:themeFillShade="D9"/>
            <w:vAlign w:val="center"/>
          </w:tcPr>
          <w:p w14:paraId="39AE320A" w14:textId="77777777" w:rsidR="00692E71" w:rsidRPr="00275290" w:rsidRDefault="00692E71" w:rsidP="008E0250">
            <w:pPr>
              <w:ind w:left="708"/>
              <w:rPr>
                <w:rFonts w:cs="Arial"/>
                <w:b/>
              </w:rPr>
            </w:pPr>
            <w:r w:rsidRPr="00275290">
              <w:rPr>
                <w:rFonts w:cs="Arial"/>
                <w:b/>
              </w:rPr>
              <w:t>Parameter/variable</w:t>
            </w:r>
          </w:p>
        </w:tc>
        <w:tc>
          <w:tcPr>
            <w:tcW w:w="1587" w:type="dxa"/>
            <w:shd w:val="clear" w:color="auto" w:fill="D9D9D9" w:themeFill="background1" w:themeFillShade="D9"/>
            <w:vAlign w:val="center"/>
          </w:tcPr>
          <w:p w14:paraId="6AC270E3" w14:textId="77777777" w:rsidR="00692E71" w:rsidRPr="00275290" w:rsidRDefault="00692E71" w:rsidP="008E0250">
            <w:pPr>
              <w:jc w:val="center"/>
              <w:rPr>
                <w:rFonts w:cs="Arial"/>
                <w:b/>
              </w:rPr>
            </w:pPr>
            <w:r w:rsidRPr="00275290">
              <w:rPr>
                <w:rFonts w:cs="Arial"/>
                <w:b/>
              </w:rPr>
              <w:t>Nomenclature</w:t>
            </w:r>
          </w:p>
        </w:tc>
        <w:tc>
          <w:tcPr>
            <w:tcW w:w="2406" w:type="dxa"/>
            <w:shd w:val="clear" w:color="auto" w:fill="D9D9D9" w:themeFill="background1" w:themeFillShade="D9"/>
            <w:vAlign w:val="center"/>
          </w:tcPr>
          <w:p w14:paraId="4071AAB4" w14:textId="77777777" w:rsidR="00692E71" w:rsidRPr="00275290" w:rsidRDefault="00692E71" w:rsidP="008E0250">
            <w:pPr>
              <w:jc w:val="center"/>
              <w:rPr>
                <w:rFonts w:cs="Arial"/>
                <w:b/>
              </w:rPr>
            </w:pPr>
            <w:r w:rsidRPr="00275290">
              <w:rPr>
                <w:rFonts w:cs="Arial"/>
                <w:b/>
              </w:rPr>
              <w:t>Value</w:t>
            </w:r>
          </w:p>
        </w:tc>
        <w:tc>
          <w:tcPr>
            <w:tcW w:w="1138" w:type="dxa"/>
            <w:shd w:val="clear" w:color="auto" w:fill="D9D9D9" w:themeFill="background1" w:themeFillShade="D9"/>
            <w:vAlign w:val="center"/>
          </w:tcPr>
          <w:p w14:paraId="63AE86FE" w14:textId="77777777" w:rsidR="00692E71" w:rsidRPr="00275290" w:rsidRDefault="00692E71" w:rsidP="008E0250">
            <w:pPr>
              <w:jc w:val="center"/>
              <w:rPr>
                <w:rFonts w:cs="Arial"/>
                <w:b/>
              </w:rPr>
            </w:pPr>
            <w:r w:rsidRPr="00275290">
              <w:rPr>
                <w:rFonts w:cs="Arial"/>
                <w:b/>
              </w:rPr>
              <w:t>Unit</w:t>
            </w:r>
          </w:p>
        </w:tc>
        <w:tc>
          <w:tcPr>
            <w:tcW w:w="928" w:type="dxa"/>
            <w:shd w:val="clear" w:color="auto" w:fill="D9D9D9" w:themeFill="background1" w:themeFillShade="D9"/>
            <w:vAlign w:val="center"/>
          </w:tcPr>
          <w:p w14:paraId="397DA2AE" w14:textId="77777777" w:rsidR="00692E71" w:rsidRPr="00275290" w:rsidRDefault="00692E71" w:rsidP="008E0250">
            <w:pPr>
              <w:jc w:val="center"/>
              <w:rPr>
                <w:rFonts w:cs="Arial"/>
                <w:b/>
              </w:rPr>
            </w:pPr>
            <w:r w:rsidRPr="00275290">
              <w:rPr>
                <w:rFonts w:cs="Arial"/>
                <w:b/>
              </w:rPr>
              <w:t>Origin</w:t>
            </w:r>
          </w:p>
        </w:tc>
      </w:tr>
      <w:tr w:rsidR="00692E71" w:rsidRPr="00275290" w14:paraId="216708C2" w14:textId="77777777" w:rsidTr="008E0250">
        <w:trPr>
          <w:trHeight w:val="283"/>
        </w:trPr>
        <w:tc>
          <w:tcPr>
            <w:tcW w:w="9289" w:type="dxa"/>
            <w:gridSpan w:val="5"/>
            <w:vAlign w:val="center"/>
          </w:tcPr>
          <w:p w14:paraId="7E29B739" w14:textId="77777777" w:rsidR="00692E71" w:rsidRPr="00275290" w:rsidRDefault="00692E71" w:rsidP="008E0250">
            <w:pPr>
              <w:rPr>
                <w:rFonts w:cs="Arial"/>
                <w:b/>
              </w:rPr>
            </w:pPr>
            <w:r w:rsidRPr="00275290">
              <w:rPr>
                <w:rFonts w:cs="Arial"/>
                <w:b/>
              </w:rPr>
              <w:t>INPUTS</w:t>
            </w:r>
          </w:p>
        </w:tc>
      </w:tr>
      <w:tr w:rsidR="00692E71" w:rsidRPr="00275290" w14:paraId="5D7E1EAA" w14:textId="77777777" w:rsidTr="008E0250">
        <w:tc>
          <w:tcPr>
            <w:tcW w:w="3230" w:type="dxa"/>
            <w:vAlign w:val="center"/>
          </w:tcPr>
          <w:p w14:paraId="08C7C87B" w14:textId="77777777" w:rsidR="00692E71" w:rsidRPr="00275290" w:rsidRDefault="00692E71" w:rsidP="008E0250">
            <w:pPr>
              <w:rPr>
                <w:rFonts w:cs="Arial"/>
                <w:i/>
                <w:iCs/>
              </w:rPr>
            </w:pPr>
            <w:r w:rsidRPr="00275290">
              <w:rPr>
                <w:rFonts w:cs="Arial"/>
              </w:rPr>
              <w:t>Leachable wood area</w:t>
            </w:r>
          </w:p>
        </w:tc>
        <w:tc>
          <w:tcPr>
            <w:tcW w:w="1587" w:type="dxa"/>
            <w:vAlign w:val="center"/>
          </w:tcPr>
          <w:p w14:paraId="7362CD87" w14:textId="77777777" w:rsidR="00692E71" w:rsidRPr="00275290" w:rsidRDefault="00692E71" w:rsidP="008E0250">
            <w:pPr>
              <w:rPr>
                <w:rFonts w:cs="Arial"/>
              </w:rPr>
            </w:pPr>
            <w:r w:rsidRPr="00275290">
              <w:rPr>
                <w:rFonts w:cs="Arial"/>
              </w:rPr>
              <w:t>AREA</w:t>
            </w:r>
            <w:r w:rsidRPr="00275290">
              <w:rPr>
                <w:rFonts w:cs="Arial"/>
                <w:vertAlign w:val="subscript"/>
              </w:rPr>
              <w:t>bridge</w:t>
            </w:r>
          </w:p>
        </w:tc>
        <w:tc>
          <w:tcPr>
            <w:tcW w:w="2406" w:type="dxa"/>
            <w:vAlign w:val="center"/>
          </w:tcPr>
          <w:p w14:paraId="3073B2BF" w14:textId="77777777" w:rsidR="00692E71" w:rsidRPr="00275290" w:rsidRDefault="00692E71" w:rsidP="008E0250">
            <w:pPr>
              <w:jc w:val="center"/>
              <w:rPr>
                <w:rFonts w:cs="Arial"/>
              </w:rPr>
            </w:pPr>
            <w:r w:rsidRPr="00275290">
              <w:rPr>
                <w:rFonts w:cs="Arial"/>
              </w:rPr>
              <w:t>10</w:t>
            </w:r>
          </w:p>
        </w:tc>
        <w:tc>
          <w:tcPr>
            <w:tcW w:w="1138" w:type="dxa"/>
            <w:vAlign w:val="center"/>
          </w:tcPr>
          <w:p w14:paraId="619D2938" w14:textId="77777777" w:rsidR="00692E71" w:rsidRPr="00275290" w:rsidRDefault="00692E71" w:rsidP="008E0250">
            <w:pPr>
              <w:jc w:val="center"/>
              <w:rPr>
                <w:rFonts w:cs="Arial"/>
                <w:i/>
                <w:iCs/>
              </w:rPr>
            </w:pPr>
            <w:r w:rsidRPr="00275290">
              <w:rPr>
                <w:rFonts w:cs="Arial"/>
              </w:rPr>
              <w:t>[m²/d]</w:t>
            </w:r>
          </w:p>
        </w:tc>
        <w:tc>
          <w:tcPr>
            <w:tcW w:w="928" w:type="dxa"/>
            <w:vAlign w:val="center"/>
          </w:tcPr>
          <w:p w14:paraId="65432F65" w14:textId="77777777" w:rsidR="00692E71" w:rsidRPr="00275290" w:rsidRDefault="00692E71" w:rsidP="008E0250">
            <w:pPr>
              <w:jc w:val="center"/>
              <w:rPr>
                <w:rFonts w:cs="Arial"/>
              </w:rPr>
            </w:pPr>
            <w:r w:rsidRPr="00275290">
              <w:rPr>
                <w:rFonts w:cs="Arial"/>
              </w:rPr>
              <w:t>D</w:t>
            </w:r>
          </w:p>
        </w:tc>
      </w:tr>
      <w:tr w:rsidR="00692E71" w:rsidRPr="00275290" w14:paraId="49CB8B99" w14:textId="77777777" w:rsidTr="008E0250">
        <w:tc>
          <w:tcPr>
            <w:tcW w:w="3230" w:type="dxa"/>
            <w:vAlign w:val="center"/>
          </w:tcPr>
          <w:p w14:paraId="4A6B4BF4" w14:textId="77777777" w:rsidR="00692E71" w:rsidRPr="00275290" w:rsidRDefault="00692E71" w:rsidP="008E0250">
            <w:pPr>
              <w:rPr>
                <w:rFonts w:cs="Arial"/>
              </w:rPr>
            </w:pPr>
            <w:r w:rsidRPr="00275290">
              <w:rPr>
                <w:rFonts w:cs="Arial"/>
              </w:rPr>
              <w:t>Duration of the initial assessment period</w:t>
            </w:r>
          </w:p>
        </w:tc>
        <w:tc>
          <w:tcPr>
            <w:tcW w:w="1587" w:type="dxa"/>
            <w:vAlign w:val="center"/>
          </w:tcPr>
          <w:p w14:paraId="114DB492" w14:textId="77777777" w:rsidR="00692E71" w:rsidRPr="00275290" w:rsidRDefault="00692E71" w:rsidP="008E0250">
            <w:pPr>
              <w:rPr>
                <w:rFonts w:cs="Arial"/>
              </w:rPr>
            </w:pPr>
            <w:r w:rsidRPr="00275290">
              <w:rPr>
                <w:rFonts w:cs="Arial"/>
              </w:rPr>
              <w:t>TIME1</w:t>
            </w:r>
          </w:p>
        </w:tc>
        <w:tc>
          <w:tcPr>
            <w:tcW w:w="2406" w:type="dxa"/>
            <w:vAlign w:val="center"/>
          </w:tcPr>
          <w:p w14:paraId="6D151236" w14:textId="77777777" w:rsidR="00692E71" w:rsidRPr="00275290" w:rsidRDefault="00692E71" w:rsidP="008E0250">
            <w:pPr>
              <w:jc w:val="center"/>
              <w:rPr>
                <w:rFonts w:cs="Arial"/>
              </w:rPr>
            </w:pPr>
            <w:r w:rsidRPr="00275290">
              <w:rPr>
                <w:rFonts w:cs="Arial"/>
              </w:rPr>
              <w:t>30</w:t>
            </w:r>
          </w:p>
        </w:tc>
        <w:tc>
          <w:tcPr>
            <w:tcW w:w="1138" w:type="dxa"/>
            <w:vAlign w:val="center"/>
          </w:tcPr>
          <w:p w14:paraId="5C68A544" w14:textId="77777777" w:rsidR="00692E71" w:rsidRPr="00275290" w:rsidRDefault="00692E71" w:rsidP="008E0250">
            <w:pPr>
              <w:jc w:val="center"/>
              <w:rPr>
                <w:rFonts w:cs="Arial"/>
              </w:rPr>
            </w:pPr>
            <w:r w:rsidRPr="00275290">
              <w:rPr>
                <w:rFonts w:cs="Arial"/>
              </w:rPr>
              <w:t>[d]</w:t>
            </w:r>
          </w:p>
        </w:tc>
        <w:tc>
          <w:tcPr>
            <w:tcW w:w="928" w:type="dxa"/>
            <w:vAlign w:val="center"/>
          </w:tcPr>
          <w:p w14:paraId="35990116" w14:textId="77777777" w:rsidR="00692E71" w:rsidRPr="00275290" w:rsidRDefault="00692E71" w:rsidP="008E0250">
            <w:pPr>
              <w:jc w:val="center"/>
              <w:rPr>
                <w:rFonts w:cs="Arial"/>
              </w:rPr>
            </w:pPr>
            <w:r w:rsidRPr="00275290">
              <w:rPr>
                <w:rFonts w:cs="Arial"/>
              </w:rPr>
              <w:t>D</w:t>
            </w:r>
          </w:p>
        </w:tc>
      </w:tr>
      <w:tr w:rsidR="00692E71" w:rsidRPr="00275290" w14:paraId="3024B11E" w14:textId="77777777" w:rsidTr="008E0250">
        <w:tc>
          <w:tcPr>
            <w:tcW w:w="3230" w:type="dxa"/>
            <w:vAlign w:val="center"/>
          </w:tcPr>
          <w:p w14:paraId="20B747EC" w14:textId="77777777" w:rsidR="00692E71" w:rsidRPr="00275290" w:rsidRDefault="00692E71" w:rsidP="008E0250">
            <w:pPr>
              <w:rPr>
                <w:rFonts w:cs="Arial"/>
              </w:rPr>
            </w:pPr>
            <w:r w:rsidRPr="00275290">
              <w:rPr>
                <w:rFonts w:cs="Arial"/>
              </w:rPr>
              <w:t xml:space="preserve">Duration of the long-term assessment period </w:t>
            </w:r>
          </w:p>
        </w:tc>
        <w:tc>
          <w:tcPr>
            <w:tcW w:w="1587" w:type="dxa"/>
            <w:vAlign w:val="center"/>
          </w:tcPr>
          <w:p w14:paraId="324EEC52" w14:textId="77777777" w:rsidR="00692E71" w:rsidRPr="00275290" w:rsidRDefault="00692E71" w:rsidP="008E0250">
            <w:pPr>
              <w:rPr>
                <w:rFonts w:cs="Arial"/>
              </w:rPr>
            </w:pPr>
            <w:r w:rsidRPr="00275290">
              <w:rPr>
                <w:rFonts w:cs="Arial"/>
              </w:rPr>
              <w:t>TIME2</w:t>
            </w:r>
          </w:p>
        </w:tc>
        <w:tc>
          <w:tcPr>
            <w:tcW w:w="2406" w:type="dxa"/>
            <w:vAlign w:val="center"/>
          </w:tcPr>
          <w:p w14:paraId="18CCD97D" w14:textId="77777777" w:rsidR="00692E71" w:rsidRPr="00275290" w:rsidRDefault="00692E71" w:rsidP="008E0250">
            <w:pPr>
              <w:jc w:val="center"/>
              <w:rPr>
                <w:rFonts w:cs="Arial"/>
              </w:rPr>
            </w:pPr>
            <w:r w:rsidRPr="00275290">
              <w:rPr>
                <w:rFonts w:cs="Arial"/>
              </w:rPr>
              <w:t>1825</w:t>
            </w:r>
          </w:p>
        </w:tc>
        <w:tc>
          <w:tcPr>
            <w:tcW w:w="1138" w:type="dxa"/>
            <w:vAlign w:val="center"/>
          </w:tcPr>
          <w:p w14:paraId="05C03FC5" w14:textId="77777777" w:rsidR="00692E71" w:rsidRPr="00275290" w:rsidRDefault="00692E71" w:rsidP="008E0250">
            <w:pPr>
              <w:jc w:val="center"/>
              <w:rPr>
                <w:rFonts w:cs="Arial"/>
              </w:rPr>
            </w:pPr>
            <w:r w:rsidRPr="00275290">
              <w:rPr>
                <w:rFonts w:cs="Arial"/>
              </w:rPr>
              <w:t>[d]</w:t>
            </w:r>
          </w:p>
        </w:tc>
        <w:tc>
          <w:tcPr>
            <w:tcW w:w="928" w:type="dxa"/>
            <w:vAlign w:val="center"/>
          </w:tcPr>
          <w:p w14:paraId="3B5B1440" w14:textId="77777777" w:rsidR="00692E71" w:rsidRPr="00275290" w:rsidRDefault="00692E71" w:rsidP="008E0250">
            <w:pPr>
              <w:jc w:val="center"/>
              <w:rPr>
                <w:rFonts w:cs="Arial"/>
              </w:rPr>
            </w:pPr>
            <w:r w:rsidRPr="00275290">
              <w:rPr>
                <w:rFonts w:cs="Arial"/>
              </w:rPr>
              <w:t>D</w:t>
            </w:r>
          </w:p>
        </w:tc>
      </w:tr>
      <w:tr w:rsidR="00692E71" w:rsidRPr="00275290" w14:paraId="0FB2569F" w14:textId="77777777" w:rsidTr="008E0250">
        <w:tc>
          <w:tcPr>
            <w:tcW w:w="3230" w:type="dxa"/>
            <w:vAlign w:val="center"/>
          </w:tcPr>
          <w:p w14:paraId="0AABABE3" w14:textId="77777777" w:rsidR="00692E71" w:rsidRPr="00275290" w:rsidRDefault="00692E71" w:rsidP="008E0250">
            <w:pPr>
              <w:rPr>
                <w:rFonts w:cs="Arial"/>
              </w:rPr>
            </w:pPr>
            <w:r w:rsidRPr="00275290">
              <w:rPr>
                <w:rFonts w:cs="Arial"/>
              </w:rPr>
              <w:t xml:space="preserve">Cumulative quantity of active substance, leached out of 1 m² of treated wood over the initial assessment period </w:t>
            </w:r>
            <w:r w:rsidRPr="00275290">
              <w:rPr>
                <w:rFonts w:cs="Arial"/>
                <w:iCs/>
              </w:rPr>
              <w:t>(30d)</w:t>
            </w:r>
          </w:p>
        </w:tc>
        <w:tc>
          <w:tcPr>
            <w:tcW w:w="1587" w:type="dxa"/>
            <w:vAlign w:val="center"/>
          </w:tcPr>
          <w:p w14:paraId="76EDCAB9" w14:textId="77777777" w:rsidR="00692E71" w:rsidRPr="00275290" w:rsidRDefault="00692E71" w:rsidP="008E0250">
            <w:pPr>
              <w:rPr>
                <w:rFonts w:cs="Arial"/>
              </w:rPr>
            </w:pPr>
            <w:r w:rsidRPr="00275290">
              <w:rPr>
                <w:rFonts w:cs="Arial"/>
              </w:rPr>
              <w:t>Q*</w:t>
            </w:r>
            <w:r w:rsidRPr="00275290">
              <w:rPr>
                <w:rFonts w:cs="Arial"/>
                <w:vertAlign w:val="subscript"/>
              </w:rPr>
              <w:t>leach, time 1</w:t>
            </w:r>
            <w:r w:rsidRPr="00275290">
              <w:rPr>
                <w:rFonts w:cs="Arial"/>
              </w:rPr>
              <w:t xml:space="preserve"> </w:t>
            </w:r>
          </w:p>
        </w:tc>
        <w:tc>
          <w:tcPr>
            <w:tcW w:w="2406" w:type="dxa"/>
            <w:vAlign w:val="center"/>
          </w:tcPr>
          <w:p w14:paraId="1B87224E" w14:textId="77777777" w:rsidR="00692E71" w:rsidRPr="00275290" w:rsidRDefault="00692E71" w:rsidP="008E0250">
            <w:pPr>
              <w:jc w:val="center"/>
              <w:rPr>
                <w:rFonts w:cs="Arial"/>
              </w:rPr>
            </w:pPr>
            <w:r w:rsidRPr="00275290">
              <w:rPr>
                <w:rFonts w:cs="Arial"/>
              </w:rPr>
              <w:t>5.04 (IPBC)</w:t>
            </w:r>
          </w:p>
          <w:p w14:paraId="2A3BD0FF" w14:textId="77777777" w:rsidR="00692E71" w:rsidRPr="00275290" w:rsidRDefault="00692E71" w:rsidP="008E0250">
            <w:pPr>
              <w:jc w:val="center"/>
              <w:rPr>
                <w:rFonts w:cs="Arial"/>
              </w:rPr>
            </w:pPr>
            <w:r w:rsidRPr="00275290">
              <w:rPr>
                <w:rFonts w:cs="Arial"/>
              </w:rPr>
              <w:t>20.44 (propiconazole)</w:t>
            </w:r>
          </w:p>
          <w:p w14:paraId="53CD8520" w14:textId="77777777" w:rsidR="00692E71" w:rsidRPr="00275290" w:rsidRDefault="00692E71" w:rsidP="008E0250">
            <w:pPr>
              <w:jc w:val="center"/>
              <w:rPr>
                <w:rFonts w:cs="Arial"/>
              </w:rPr>
            </w:pPr>
            <w:r w:rsidRPr="00275290">
              <w:rPr>
                <w:rFonts w:cs="Arial"/>
              </w:rPr>
              <w:t>8.96 (tebuconazole)</w:t>
            </w:r>
          </w:p>
          <w:p w14:paraId="0E790933" w14:textId="77777777" w:rsidR="00692E71" w:rsidRPr="00275290" w:rsidRDefault="00692E71" w:rsidP="008E0250">
            <w:pPr>
              <w:rPr>
                <w:rFonts w:cs="Arial"/>
              </w:rPr>
            </w:pPr>
            <w:r w:rsidRPr="00275290">
              <w:rPr>
                <w:rFonts w:cs="Arial"/>
              </w:rPr>
              <w:t>0.06 (cypermethrin)</w:t>
            </w:r>
          </w:p>
        </w:tc>
        <w:tc>
          <w:tcPr>
            <w:tcW w:w="1138" w:type="dxa"/>
            <w:vAlign w:val="center"/>
          </w:tcPr>
          <w:p w14:paraId="5462A492"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928" w:type="dxa"/>
            <w:vAlign w:val="center"/>
          </w:tcPr>
          <w:p w14:paraId="675053F9" w14:textId="77777777" w:rsidR="00692E71" w:rsidRPr="00275290" w:rsidRDefault="00692E71" w:rsidP="008E0250">
            <w:pPr>
              <w:jc w:val="center"/>
              <w:rPr>
                <w:rFonts w:cs="Arial"/>
              </w:rPr>
            </w:pPr>
            <w:r w:rsidRPr="00275290">
              <w:rPr>
                <w:rFonts w:cs="Arial"/>
              </w:rPr>
              <w:t>A</w:t>
            </w:r>
          </w:p>
        </w:tc>
      </w:tr>
      <w:tr w:rsidR="00692E71" w:rsidRPr="00275290" w14:paraId="0C834560" w14:textId="77777777" w:rsidTr="008E0250">
        <w:tc>
          <w:tcPr>
            <w:tcW w:w="3230" w:type="dxa"/>
            <w:vAlign w:val="center"/>
          </w:tcPr>
          <w:p w14:paraId="47B1B919" w14:textId="77777777" w:rsidR="00692E71" w:rsidRPr="00275290" w:rsidRDefault="00692E71" w:rsidP="008E0250">
            <w:pPr>
              <w:rPr>
                <w:rFonts w:cs="Arial"/>
              </w:rPr>
            </w:pPr>
            <w:r w:rsidRPr="00275290">
              <w:rPr>
                <w:rFonts w:cs="Arial"/>
              </w:rPr>
              <w:t xml:space="preserve">Cumulative quantity of active substance, leached out of 1 m² of treated wood over the longer assessment period </w:t>
            </w:r>
            <w:r w:rsidRPr="00275290">
              <w:rPr>
                <w:rFonts w:cs="Arial"/>
                <w:iCs/>
              </w:rPr>
              <w:t>(5475d)</w:t>
            </w:r>
          </w:p>
        </w:tc>
        <w:tc>
          <w:tcPr>
            <w:tcW w:w="1587" w:type="dxa"/>
            <w:vAlign w:val="center"/>
          </w:tcPr>
          <w:p w14:paraId="0816DBC9" w14:textId="77777777" w:rsidR="00692E71" w:rsidRPr="00275290" w:rsidRDefault="00692E71" w:rsidP="008E0250">
            <w:pPr>
              <w:rPr>
                <w:rFonts w:cs="Arial"/>
              </w:rPr>
            </w:pPr>
            <w:r w:rsidRPr="00275290">
              <w:rPr>
                <w:rFonts w:cs="Arial"/>
              </w:rPr>
              <w:t>Q*</w:t>
            </w:r>
            <w:r w:rsidRPr="00275290">
              <w:rPr>
                <w:rFonts w:cs="Arial"/>
                <w:vertAlign w:val="subscript"/>
              </w:rPr>
              <w:t>leach, time 2</w:t>
            </w:r>
          </w:p>
        </w:tc>
        <w:tc>
          <w:tcPr>
            <w:tcW w:w="2406" w:type="dxa"/>
            <w:vAlign w:val="center"/>
          </w:tcPr>
          <w:p w14:paraId="6FFA707A" w14:textId="77777777" w:rsidR="00692E71" w:rsidRPr="00275290" w:rsidRDefault="00692E71" w:rsidP="008E0250">
            <w:pPr>
              <w:jc w:val="center"/>
              <w:rPr>
                <w:rFonts w:cs="Arial"/>
              </w:rPr>
            </w:pPr>
            <w:r w:rsidRPr="00275290">
              <w:rPr>
                <w:rFonts w:cs="Arial"/>
              </w:rPr>
              <w:t xml:space="preserve">32.98 (IPBC) </w:t>
            </w:r>
          </w:p>
          <w:p w14:paraId="75B9FCF1" w14:textId="77777777" w:rsidR="00692E71" w:rsidRPr="00275290" w:rsidRDefault="00692E71" w:rsidP="008E0250">
            <w:pPr>
              <w:jc w:val="center"/>
              <w:rPr>
                <w:rFonts w:cs="Arial"/>
              </w:rPr>
            </w:pPr>
            <w:r w:rsidRPr="00275290">
              <w:rPr>
                <w:rFonts w:cs="Arial"/>
              </w:rPr>
              <w:t>183.34 (propiconazole)</w:t>
            </w:r>
          </w:p>
          <w:p w14:paraId="7B2996DE" w14:textId="77777777" w:rsidR="00692E71" w:rsidRPr="00275290" w:rsidRDefault="00692E71" w:rsidP="008E0250">
            <w:pPr>
              <w:jc w:val="center"/>
              <w:rPr>
                <w:rFonts w:cs="Arial"/>
              </w:rPr>
            </w:pPr>
            <w:r w:rsidRPr="00275290">
              <w:rPr>
                <w:rFonts w:cs="Arial"/>
              </w:rPr>
              <w:t>68.30 (tebuconazole)</w:t>
            </w:r>
          </w:p>
          <w:p w14:paraId="058DC374" w14:textId="77777777" w:rsidR="00692E71" w:rsidRPr="00275290" w:rsidRDefault="00692E71" w:rsidP="008E0250">
            <w:pPr>
              <w:rPr>
                <w:rFonts w:cs="Arial"/>
              </w:rPr>
            </w:pPr>
            <w:r w:rsidRPr="00275290">
              <w:rPr>
                <w:rFonts w:cs="Arial"/>
              </w:rPr>
              <w:t>5.84 (cypermethrin)</w:t>
            </w:r>
          </w:p>
        </w:tc>
        <w:tc>
          <w:tcPr>
            <w:tcW w:w="1138" w:type="dxa"/>
            <w:vAlign w:val="center"/>
          </w:tcPr>
          <w:p w14:paraId="2A8FF5E9"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928" w:type="dxa"/>
            <w:vAlign w:val="center"/>
          </w:tcPr>
          <w:p w14:paraId="6FD9AB08" w14:textId="77777777" w:rsidR="00692E71" w:rsidRPr="00275290" w:rsidRDefault="00692E71" w:rsidP="008E0250">
            <w:pPr>
              <w:jc w:val="center"/>
              <w:rPr>
                <w:rFonts w:cs="Arial"/>
              </w:rPr>
            </w:pPr>
            <w:r w:rsidRPr="00275290">
              <w:rPr>
                <w:rFonts w:cs="Arial"/>
              </w:rPr>
              <w:t>A</w:t>
            </w:r>
          </w:p>
        </w:tc>
      </w:tr>
      <w:tr w:rsidR="00692E71" w:rsidRPr="00275290" w14:paraId="1C8775A2" w14:textId="77777777" w:rsidTr="008E0250">
        <w:tc>
          <w:tcPr>
            <w:tcW w:w="3230" w:type="dxa"/>
            <w:vAlign w:val="center"/>
          </w:tcPr>
          <w:p w14:paraId="230923E8" w14:textId="77777777" w:rsidR="00692E71" w:rsidRPr="00275290" w:rsidRDefault="00692E71" w:rsidP="008E0250">
            <w:pPr>
              <w:rPr>
                <w:rFonts w:cs="Arial"/>
              </w:rPr>
            </w:pPr>
            <w:r w:rsidRPr="00275290">
              <w:rPr>
                <w:rFonts w:cs="Arial"/>
              </w:rPr>
              <w:t>Water volume under bridge</w:t>
            </w:r>
          </w:p>
        </w:tc>
        <w:tc>
          <w:tcPr>
            <w:tcW w:w="1587" w:type="dxa"/>
            <w:vAlign w:val="center"/>
          </w:tcPr>
          <w:p w14:paraId="30B33F51" w14:textId="77777777" w:rsidR="00692E71" w:rsidRPr="00275290" w:rsidRDefault="00692E71" w:rsidP="008E0250">
            <w:pPr>
              <w:rPr>
                <w:rFonts w:cs="Arial"/>
              </w:rPr>
            </w:pPr>
            <w:r w:rsidRPr="00275290">
              <w:rPr>
                <w:rFonts w:cs="Arial"/>
              </w:rPr>
              <w:t>V</w:t>
            </w:r>
            <w:r w:rsidRPr="00275290">
              <w:rPr>
                <w:rFonts w:cs="Arial"/>
                <w:vertAlign w:val="subscript"/>
              </w:rPr>
              <w:t>water</w:t>
            </w:r>
          </w:p>
        </w:tc>
        <w:tc>
          <w:tcPr>
            <w:tcW w:w="2406" w:type="dxa"/>
            <w:vAlign w:val="center"/>
          </w:tcPr>
          <w:p w14:paraId="6790DD91" w14:textId="77777777" w:rsidR="00692E71" w:rsidRPr="00275290" w:rsidRDefault="00692E71" w:rsidP="008E0250">
            <w:pPr>
              <w:jc w:val="center"/>
              <w:rPr>
                <w:rFonts w:cs="Arial"/>
              </w:rPr>
            </w:pPr>
            <w:r w:rsidRPr="00275290">
              <w:rPr>
                <w:rFonts w:cs="Arial"/>
              </w:rPr>
              <w:t>1000</w:t>
            </w:r>
          </w:p>
        </w:tc>
        <w:tc>
          <w:tcPr>
            <w:tcW w:w="1138" w:type="dxa"/>
            <w:vAlign w:val="center"/>
          </w:tcPr>
          <w:p w14:paraId="3B90E708"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w:t>
            </w:r>
          </w:p>
        </w:tc>
        <w:tc>
          <w:tcPr>
            <w:tcW w:w="928" w:type="dxa"/>
            <w:vAlign w:val="center"/>
          </w:tcPr>
          <w:p w14:paraId="40FBF233" w14:textId="77777777" w:rsidR="00692E71" w:rsidRPr="00275290" w:rsidRDefault="00692E71" w:rsidP="008E0250">
            <w:pPr>
              <w:jc w:val="center"/>
              <w:rPr>
                <w:rFonts w:cs="Arial"/>
              </w:rPr>
            </w:pPr>
            <w:r w:rsidRPr="00275290">
              <w:rPr>
                <w:rFonts w:cs="Arial"/>
              </w:rPr>
              <w:t>D</w:t>
            </w:r>
          </w:p>
        </w:tc>
      </w:tr>
      <w:tr w:rsidR="00692E71" w:rsidRPr="00275290" w14:paraId="27041B54" w14:textId="77777777" w:rsidTr="008E0250">
        <w:tc>
          <w:tcPr>
            <w:tcW w:w="9289" w:type="dxa"/>
            <w:gridSpan w:val="5"/>
            <w:vAlign w:val="center"/>
          </w:tcPr>
          <w:p w14:paraId="13B878EF" w14:textId="77777777" w:rsidR="00692E71" w:rsidRPr="00275290" w:rsidRDefault="00692E71" w:rsidP="008E0250">
            <w:pPr>
              <w:rPr>
                <w:rFonts w:cs="Arial"/>
                <w:b/>
              </w:rPr>
            </w:pPr>
            <w:r w:rsidRPr="00275290">
              <w:rPr>
                <w:rFonts w:cs="Arial"/>
                <w:b/>
              </w:rPr>
              <w:lastRenderedPageBreak/>
              <w:t>OUTPUT EMISSIONS</w:t>
            </w:r>
          </w:p>
        </w:tc>
      </w:tr>
      <w:tr w:rsidR="00692E71" w:rsidRPr="00275290" w14:paraId="6FD37C3E" w14:textId="77777777" w:rsidTr="008E0250">
        <w:tc>
          <w:tcPr>
            <w:tcW w:w="3231" w:type="dxa"/>
            <w:vAlign w:val="center"/>
          </w:tcPr>
          <w:p w14:paraId="63992953" w14:textId="77777777" w:rsidR="00692E71" w:rsidRPr="00275290" w:rsidRDefault="00692E71" w:rsidP="008E0250">
            <w:pPr>
              <w:rPr>
                <w:rFonts w:cs="Arial"/>
              </w:rPr>
            </w:pPr>
            <w:r w:rsidRPr="00275290">
              <w:rPr>
                <w:rFonts w:cs="Arial"/>
              </w:rPr>
              <w:t>Cumulative quantity of active substance, leached over the initial assessment period (30d)</w:t>
            </w:r>
          </w:p>
        </w:tc>
        <w:tc>
          <w:tcPr>
            <w:tcW w:w="1587" w:type="dxa"/>
            <w:vAlign w:val="center"/>
          </w:tcPr>
          <w:p w14:paraId="05D33DC2" w14:textId="77777777" w:rsidR="00692E71" w:rsidRPr="00275290" w:rsidRDefault="00692E71" w:rsidP="008E0250">
            <w:pPr>
              <w:rPr>
                <w:rFonts w:cs="Arial"/>
              </w:rPr>
            </w:pPr>
            <w:r w:rsidRPr="00275290">
              <w:rPr>
                <w:rFonts w:cs="Arial"/>
              </w:rPr>
              <w:t>Q</w:t>
            </w:r>
            <w:r w:rsidRPr="00275290">
              <w:rPr>
                <w:rFonts w:cs="Arial"/>
                <w:vertAlign w:val="subscript"/>
              </w:rPr>
              <w:t>leach, time 1</w:t>
            </w:r>
          </w:p>
        </w:tc>
        <w:tc>
          <w:tcPr>
            <w:tcW w:w="2406" w:type="dxa"/>
            <w:vAlign w:val="center"/>
          </w:tcPr>
          <w:p w14:paraId="13F4DE79" w14:textId="77777777" w:rsidR="00692E71" w:rsidRPr="00275290" w:rsidRDefault="00692E71" w:rsidP="008E0250">
            <w:pPr>
              <w:jc w:val="center"/>
              <w:rPr>
                <w:rFonts w:cs="Arial"/>
              </w:rPr>
            </w:pPr>
            <w:r w:rsidRPr="00275290">
              <w:rPr>
                <w:rFonts w:cs="Arial"/>
              </w:rPr>
              <w:t>50.4 (IPBC)</w:t>
            </w:r>
          </w:p>
          <w:p w14:paraId="340774C4" w14:textId="77777777" w:rsidR="00692E71" w:rsidRPr="00275290" w:rsidRDefault="00692E71" w:rsidP="008E0250">
            <w:pPr>
              <w:jc w:val="center"/>
              <w:rPr>
                <w:rFonts w:cs="Arial"/>
              </w:rPr>
            </w:pPr>
            <w:r w:rsidRPr="00275290">
              <w:rPr>
                <w:rFonts w:cs="Arial"/>
              </w:rPr>
              <w:t>204.4 (propiconazole)</w:t>
            </w:r>
          </w:p>
          <w:p w14:paraId="1D174E82" w14:textId="77777777" w:rsidR="00692E71" w:rsidRPr="00275290" w:rsidRDefault="00692E71" w:rsidP="008E0250">
            <w:pPr>
              <w:jc w:val="center"/>
              <w:rPr>
                <w:rFonts w:cs="Arial"/>
              </w:rPr>
            </w:pPr>
            <w:r w:rsidRPr="00275290">
              <w:rPr>
                <w:rFonts w:cs="Arial"/>
              </w:rPr>
              <w:t>89.6 (tebuconazole)</w:t>
            </w:r>
          </w:p>
          <w:p w14:paraId="222B99C2" w14:textId="77777777" w:rsidR="00692E71" w:rsidRPr="00275290" w:rsidRDefault="00692E71" w:rsidP="008E0250">
            <w:pPr>
              <w:rPr>
                <w:rFonts w:cs="Arial"/>
              </w:rPr>
            </w:pPr>
            <w:r w:rsidRPr="00275290">
              <w:rPr>
                <w:rFonts w:cs="Arial"/>
              </w:rPr>
              <w:t>0.6 (cypermethrin)</w:t>
            </w:r>
          </w:p>
        </w:tc>
        <w:tc>
          <w:tcPr>
            <w:tcW w:w="1138" w:type="dxa"/>
            <w:vAlign w:val="center"/>
          </w:tcPr>
          <w:p w14:paraId="7DB67AB8" w14:textId="77777777" w:rsidR="00692E71" w:rsidRPr="00275290" w:rsidRDefault="00692E71" w:rsidP="008E0250">
            <w:pPr>
              <w:jc w:val="center"/>
              <w:rPr>
                <w:rFonts w:cs="Arial"/>
              </w:rPr>
            </w:pPr>
            <w:r w:rsidRPr="00275290">
              <w:rPr>
                <w:rFonts w:cs="Arial"/>
              </w:rPr>
              <w:t>[mg]</w:t>
            </w:r>
          </w:p>
        </w:tc>
        <w:tc>
          <w:tcPr>
            <w:tcW w:w="929" w:type="dxa"/>
            <w:vAlign w:val="center"/>
          </w:tcPr>
          <w:p w14:paraId="5C8EDD7A" w14:textId="77777777" w:rsidR="00692E71" w:rsidRPr="00275290" w:rsidRDefault="00692E71" w:rsidP="008E0250">
            <w:pPr>
              <w:jc w:val="center"/>
              <w:rPr>
                <w:rFonts w:cs="Arial"/>
              </w:rPr>
            </w:pPr>
            <w:r w:rsidRPr="00275290">
              <w:rPr>
                <w:rFonts w:cs="Arial"/>
              </w:rPr>
              <w:t>O</w:t>
            </w:r>
          </w:p>
        </w:tc>
      </w:tr>
      <w:tr w:rsidR="00692E71" w:rsidRPr="00275290" w14:paraId="705E75EF" w14:textId="77777777" w:rsidTr="008E0250">
        <w:tc>
          <w:tcPr>
            <w:tcW w:w="3231" w:type="dxa"/>
            <w:vAlign w:val="center"/>
          </w:tcPr>
          <w:p w14:paraId="1F523815" w14:textId="77777777" w:rsidR="00692E71" w:rsidRPr="00275290" w:rsidRDefault="00692E71" w:rsidP="008E0250">
            <w:pPr>
              <w:rPr>
                <w:rFonts w:cs="Arial"/>
              </w:rPr>
            </w:pPr>
            <w:r w:rsidRPr="00275290">
              <w:rPr>
                <w:rFonts w:cs="Arial"/>
              </w:rPr>
              <w:t>Cumulative quantity of active substance, leached over the longer assessment period (5475d)</w:t>
            </w:r>
          </w:p>
        </w:tc>
        <w:tc>
          <w:tcPr>
            <w:tcW w:w="1587" w:type="dxa"/>
            <w:vAlign w:val="center"/>
          </w:tcPr>
          <w:p w14:paraId="303E444A" w14:textId="77777777" w:rsidR="00692E71" w:rsidRPr="00275290" w:rsidRDefault="00692E71" w:rsidP="008E0250">
            <w:pPr>
              <w:rPr>
                <w:rFonts w:cs="Arial"/>
              </w:rPr>
            </w:pPr>
            <w:r w:rsidRPr="00275290">
              <w:rPr>
                <w:rFonts w:cs="Arial"/>
              </w:rPr>
              <w:t>Q</w:t>
            </w:r>
            <w:r w:rsidRPr="00275290">
              <w:rPr>
                <w:rFonts w:cs="Arial"/>
                <w:vertAlign w:val="subscript"/>
              </w:rPr>
              <w:t>leach, time 2</w:t>
            </w:r>
          </w:p>
        </w:tc>
        <w:tc>
          <w:tcPr>
            <w:tcW w:w="2406" w:type="dxa"/>
            <w:vAlign w:val="center"/>
          </w:tcPr>
          <w:p w14:paraId="5FCE895F" w14:textId="77777777" w:rsidR="00692E71" w:rsidRPr="00275290" w:rsidRDefault="00692E71" w:rsidP="008E0250">
            <w:pPr>
              <w:jc w:val="center"/>
              <w:rPr>
                <w:rFonts w:cs="Arial"/>
              </w:rPr>
            </w:pPr>
            <w:r w:rsidRPr="00275290">
              <w:rPr>
                <w:rFonts w:cs="Arial"/>
              </w:rPr>
              <w:t>329.8 (IPBC)</w:t>
            </w:r>
          </w:p>
          <w:p w14:paraId="1178EE16" w14:textId="77777777" w:rsidR="00692E71" w:rsidRPr="00275290" w:rsidRDefault="00692E71" w:rsidP="008E0250">
            <w:pPr>
              <w:jc w:val="center"/>
              <w:rPr>
                <w:rFonts w:cs="Arial"/>
              </w:rPr>
            </w:pPr>
            <w:r w:rsidRPr="00275290">
              <w:rPr>
                <w:rFonts w:cs="Arial"/>
              </w:rPr>
              <w:t xml:space="preserve"> 1833.4 (propiconazole)</w:t>
            </w:r>
          </w:p>
          <w:p w14:paraId="67527D09" w14:textId="77777777" w:rsidR="00692E71" w:rsidRPr="00275290" w:rsidRDefault="00692E71" w:rsidP="008E0250">
            <w:pPr>
              <w:jc w:val="center"/>
              <w:rPr>
                <w:rFonts w:cs="Arial"/>
              </w:rPr>
            </w:pPr>
            <w:r w:rsidRPr="00275290">
              <w:rPr>
                <w:rFonts w:cs="Arial"/>
              </w:rPr>
              <w:t>683.0 (tebuconazole)</w:t>
            </w:r>
          </w:p>
          <w:p w14:paraId="6293A134" w14:textId="77777777" w:rsidR="00692E71" w:rsidRPr="00275290" w:rsidRDefault="00692E71" w:rsidP="008E0250">
            <w:pPr>
              <w:rPr>
                <w:rFonts w:cs="Arial"/>
              </w:rPr>
            </w:pPr>
            <w:r w:rsidRPr="00275290">
              <w:rPr>
                <w:rFonts w:cs="Arial"/>
              </w:rPr>
              <w:t>58.4 (cypermethrin)</w:t>
            </w:r>
          </w:p>
        </w:tc>
        <w:tc>
          <w:tcPr>
            <w:tcW w:w="1138" w:type="dxa"/>
            <w:vAlign w:val="center"/>
          </w:tcPr>
          <w:p w14:paraId="549C270C" w14:textId="77777777" w:rsidR="00692E71" w:rsidRPr="00275290" w:rsidRDefault="00692E71" w:rsidP="008E0250">
            <w:pPr>
              <w:jc w:val="center"/>
              <w:rPr>
                <w:rFonts w:cs="Arial"/>
              </w:rPr>
            </w:pPr>
            <w:r w:rsidRPr="00275290">
              <w:rPr>
                <w:rFonts w:cs="Arial"/>
              </w:rPr>
              <w:t>[mg]</w:t>
            </w:r>
          </w:p>
        </w:tc>
        <w:tc>
          <w:tcPr>
            <w:tcW w:w="929" w:type="dxa"/>
            <w:vAlign w:val="center"/>
          </w:tcPr>
          <w:p w14:paraId="0592EB6D" w14:textId="77777777" w:rsidR="00692E71" w:rsidRPr="00275290" w:rsidRDefault="00692E71" w:rsidP="008E0250">
            <w:pPr>
              <w:jc w:val="center"/>
              <w:rPr>
                <w:rFonts w:cs="Arial"/>
              </w:rPr>
            </w:pPr>
            <w:r w:rsidRPr="00275290">
              <w:rPr>
                <w:rFonts w:cs="Arial"/>
              </w:rPr>
              <w:t>O</w:t>
            </w:r>
          </w:p>
        </w:tc>
      </w:tr>
      <w:tr w:rsidR="00692E71" w:rsidRPr="00275290" w14:paraId="5474E1E3" w14:textId="77777777" w:rsidTr="008E0250">
        <w:tc>
          <w:tcPr>
            <w:tcW w:w="3231" w:type="dxa"/>
            <w:vAlign w:val="center"/>
          </w:tcPr>
          <w:p w14:paraId="72DF3AA5" w14:textId="77777777" w:rsidR="00692E71" w:rsidRPr="00275290" w:rsidRDefault="00692E71" w:rsidP="008E0250">
            <w:pPr>
              <w:rPr>
                <w:rFonts w:cs="Arial"/>
              </w:rPr>
            </w:pPr>
            <w:r w:rsidRPr="00275290">
              <w:rPr>
                <w:rFonts w:cs="Arial"/>
              </w:rPr>
              <w:t>Concentration in local water at the end of the initial assessment period (30d)</w:t>
            </w:r>
          </w:p>
        </w:tc>
        <w:tc>
          <w:tcPr>
            <w:tcW w:w="1587" w:type="dxa"/>
            <w:vAlign w:val="center"/>
          </w:tcPr>
          <w:p w14:paraId="78D9D0A3" w14:textId="77777777" w:rsidR="00692E71" w:rsidRPr="00275290" w:rsidRDefault="00692E71" w:rsidP="008E0250">
            <w:pPr>
              <w:rPr>
                <w:rFonts w:cs="Arial"/>
              </w:rPr>
            </w:pPr>
            <w:r w:rsidRPr="00275290">
              <w:rPr>
                <w:rFonts w:cs="Arial"/>
              </w:rPr>
              <w:t>Clocal</w:t>
            </w:r>
            <w:r w:rsidRPr="00275290">
              <w:rPr>
                <w:rFonts w:cs="Arial"/>
                <w:vertAlign w:val="subscript"/>
              </w:rPr>
              <w:t>water leach,time1</w:t>
            </w:r>
          </w:p>
        </w:tc>
        <w:tc>
          <w:tcPr>
            <w:tcW w:w="2406" w:type="dxa"/>
            <w:vAlign w:val="center"/>
          </w:tcPr>
          <w:p w14:paraId="5725F16D" w14:textId="77777777" w:rsidR="00692E71" w:rsidRPr="00275290" w:rsidRDefault="00692E71" w:rsidP="008E0250">
            <w:pPr>
              <w:jc w:val="center"/>
              <w:rPr>
                <w:rFonts w:cs="Arial"/>
              </w:rPr>
            </w:pPr>
            <w:r w:rsidRPr="00275290">
              <w:rPr>
                <w:rFonts w:cs="Arial"/>
              </w:rPr>
              <w:t>0.05 (IPBC)</w:t>
            </w:r>
          </w:p>
          <w:p w14:paraId="65ABD84F" w14:textId="77777777" w:rsidR="00692E71" w:rsidRPr="00275290" w:rsidRDefault="00692E71" w:rsidP="008E0250">
            <w:pPr>
              <w:jc w:val="center"/>
              <w:rPr>
                <w:rFonts w:cs="Arial"/>
              </w:rPr>
            </w:pPr>
            <w:r w:rsidRPr="00275290">
              <w:rPr>
                <w:rFonts w:cs="Arial"/>
              </w:rPr>
              <w:t>0.02 (propiconazole)</w:t>
            </w:r>
          </w:p>
          <w:p w14:paraId="0C963641" w14:textId="77777777" w:rsidR="00692E71" w:rsidRPr="00275290" w:rsidRDefault="00692E71" w:rsidP="008E0250">
            <w:pPr>
              <w:jc w:val="center"/>
              <w:rPr>
                <w:rFonts w:cs="Arial"/>
              </w:rPr>
            </w:pPr>
            <w:r w:rsidRPr="00275290">
              <w:rPr>
                <w:rFonts w:cs="Arial"/>
              </w:rPr>
              <w:t xml:space="preserve"> 0.09 (tebuconazole)</w:t>
            </w:r>
          </w:p>
          <w:p w14:paraId="79AC1023" w14:textId="77777777" w:rsidR="00692E71" w:rsidRPr="00275290" w:rsidRDefault="00692E71" w:rsidP="008E0250">
            <w:pPr>
              <w:rPr>
                <w:rFonts w:cs="Arial"/>
              </w:rPr>
            </w:pPr>
            <w:r w:rsidRPr="00275290">
              <w:rPr>
                <w:rFonts w:cs="Arial"/>
              </w:rPr>
              <w:t xml:space="preserve"> 5.7*10</w:t>
            </w:r>
            <w:r w:rsidRPr="00275290">
              <w:rPr>
                <w:rFonts w:cs="Arial"/>
                <w:vertAlign w:val="superscript"/>
              </w:rPr>
              <w:t>-4</w:t>
            </w:r>
            <w:r w:rsidRPr="00275290">
              <w:rPr>
                <w:rFonts w:cs="Arial"/>
              </w:rPr>
              <w:t xml:space="preserve"> (cypermethrin)</w:t>
            </w:r>
          </w:p>
        </w:tc>
        <w:tc>
          <w:tcPr>
            <w:tcW w:w="1138" w:type="dxa"/>
            <w:vAlign w:val="center"/>
          </w:tcPr>
          <w:p w14:paraId="58F3F537"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929" w:type="dxa"/>
            <w:vAlign w:val="center"/>
          </w:tcPr>
          <w:p w14:paraId="22132B67" w14:textId="77777777" w:rsidR="00692E71" w:rsidRPr="00275290" w:rsidRDefault="00692E71" w:rsidP="008E0250">
            <w:pPr>
              <w:jc w:val="center"/>
              <w:rPr>
                <w:rFonts w:cs="Arial"/>
              </w:rPr>
            </w:pPr>
            <w:r w:rsidRPr="00275290">
              <w:rPr>
                <w:rFonts w:cs="Arial"/>
              </w:rPr>
              <w:t>O</w:t>
            </w:r>
          </w:p>
        </w:tc>
      </w:tr>
      <w:tr w:rsidR="00692E71" w:rsidRPr="00275290" w14:paraId="0222B54B" w14:textId="77777777" w:rsidTr="008E0250">
        <w:tc>
          <w:tcPr>
            <w:tcW w:w="3231" w:type="dxa"/>
            <w:vAlign w:val="center"/>
          </w:tcPr>
          <w:p w14:paraId="230AA8A5" w14:textId="77777777" w:rsidR="00692E71" w:rsidRPr="00275290" w:rsidRDefault="00692E71" w:rsidP="008E0250">
            <w:pPr>
              <w:rPr>
                <w:rFonts w:cs="Arial"/>
              </w:rPr>
            </w:pPr>
            <w:r w:rsidRPr="00275290">
              <w:rPr>
                <w:rFonts w:cs="Arial"/>
              </w:rPr>
              <w:t>Concentration in local water at the end of the longer assessment period (5475d)</w:t>
            </w:r>
          </w:p>
        </w:tc>
        <w:tc>
          <w:tcPr>
            <w:tcW w:w="1587" w:type="dxa"/>
            <w:vAlign w:val="center"/>
          </w:tcPr>
          <w:p w14:paraId="6AF479FC" w14:textId="77777777" w:rsidR="00692E71" w:rsidRPr="00275290" w:rsidRDefault="00692E71" w:rsidP="008E0250">
            <w:pPr>
              <w:rPr>
                <w:rFonts w:cs="Arial"/>
              </w:rPr>
            </w:pPr>
            <w:r w:rsidRPr="00275290">
              <w:rPr>
                <w:rFonts w:cs="Arial"/>
              </w:rPr>
              <w:t>Clocal</w:t>
            </w:r>
            <w:r w:rsidRPr="00275290">
              <w:rPr>
                <w:rFonts w:cs="Arial"/>
                <w:vertAlign w:val="subscript"/>
              </w:rPr>
              <w:t>water,leach,time 2</w:t>
            </w:r>
          </w:p>
        </w:tc>
        <w:tc>
          <w:tcPr>
            <w:tcW w:w="2406" w:type="dxa"/>
            <w:vAlign w:val="center"/>
          </w:tcPr>
          <w:p w14:paraId="3FF8B3A8" w14:textId="77777777" w:rsidR="00692E71" w:rsidRPr="00275290" w:rsidRDefault="00692E71" w:rsidP="008E0250">
            <w:pPr>
              <w:jc w:val="center"/>
              <w:rPr>
                <w:rFonts w:cs="Arial"/>
              </w:rPr>
            </w:pPr>
            <w:r w:rsidRPr="00275290">
              <w:rPr>
                <w:rFonts w:cs="Arial"/>
              </w:rPr>
              <w:t>0.33 (IPBC)</w:t>
            </w:r>
          </w:p>
          <w:p w14:paraId="4310F84B" w14:textId="77777777" w:rsidR="00692E71" w:rsidRPr="00275290" w:rsidRDefault="00692E71" w:rsidP="008E0250">
            <w:pPr>
              <w:jc w:val="center"/>
              <w:rPr>
                <w:rFonts w:cs="Arial"/>
              </w:rPr>
            </w:pPr>
            <w:r w:rsidRPr="00275290">
              <w:rPr>
                <w:rFonts w:cs="Arial"/>
              </w:rPr>
              <w:t>1.83 (propiconazole)</w:t>
            </w:r>
          </w:p>
          <w:p w14:paraId="7D121AED" w14:textId="77777777" w:rsidR="00692E71" w:rsidRPr="00275290" w:rsidRDefault="00692E71" w:rsidP="008E0250">
            <w:pPr>
              <w:jc w:val="center"/>
              <w:rPr>
                <w:rFonts w:cs="Arial"/>
              </w:rPr>
            </w:pPr>
            <w:r w:rsidRPr="00275290">
              <w:rPr>
                <w:rFonts w:cs="Arial"/>
              </w:rPr>
              <w:t xml:space="preserve"> 0.68 (tebuconazole)</w:t>
            </w:r>
          </w:p>
          <w:p w14:paraId="3A9FF374" w14:textId="77777777" w:rsidR="00692E71" w:rsidRPr="00275290" w:rsidRDefault="00692E71" w:rsidP="008E0250">
            <w:pPr>
              <w:rPr>
                <w:rFonts w:cs="Arial"/>
              </w:rPr>
            </w:pPr>
            <w:r w:rsidRPr="00275290">
              <w:rPr>
                <w:rFonts w:cs="Arial"/>
              </w:rPr>
              <w:t xml:space="preserve"> 0.06 (cypermethrin)</w:t>
            </w:r>
          </w:p>
        </w:tc>
        <w:tc>
          <w:tcPr>
            <w:tcW w:w="1138" w:type="dxa"/>
            <w:vAlign w:val="center"/>
          </w:tcPr>
          <w:p w14:paraId="254B7EA3"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929" w:type="dxa"/>
            <w:vAlign w:val="center"/>
          </w:tcPr>
          <w:p w14:paraId="5C45F05B" w14:textId="77777777" w:rsidR="00692E71" w:rsidRPr="00275290" w:rsidRDefault="00692E71" w:rsidP="008E0250">
            <w:pPr>
              <w:jc w:val="center"/>
              <w:rPr>
                <w:rFonts w:cs="Arial"/>
              </w:rPr>
            </w:pPr>
            <w:r w:rsidRPr="00275290">
              <w:rPr>
                <w:rFonts w:cs="Arial"/>
              </w:rPr>
              <w:t>O</w:t>
            </w:r>
          </w:p>
        </w:tc>
      </w:tr>
    </w:tbl>
    <w:p w14:paraId="0891B6BF" w14:textId="77777777" w:rsidR="00692E71" w:rsidRPr="00275290" w:rsidRDefault="00692E71" w:rsidP="00692E71">
      <w:pPr>
        <w:rPr>
          <w:rFonts w:cs="Arial"/>
          <w:b/>
        </w:rPr>
      </w:pPr>
      <w:r w:rsidRPr="00275290">
        <w:rPr>
          <w:rFonts w:cs="Arial"/>
        </w:rPr>
        <w:t>D=default, A=based on information of applicant, O=output</w:t>
      </w:r>
    </w:p>
    <w:p w14:paraId="591C6F37" w14:textId="77777777" w:rsidR="00692E71" w:rsidRPr="00275290" w:rsidRDefault="00692E71" w:rsidP="00692E71">
      <w:pPr>
        <w:rPr>
          <w:rFonts w:cs="Arial"/>
        </w:rPr>
      </w:pPr>
    </w:p>
    <w:p w14:paraId="32E379CC" w14:textId="77777777" w:rsidR="00692E71" w:rsidRPr="00275290" w:rsidRDefault="00692E71" w:rsidP="00692E71">
      <w:pPr>
        <w:rPr>
          <w:rFonts w:cs="Arial"/>
          <w:u w:val="single"/>
        </w:rPr>
      </w:pPr>
      <w:r w:rsidRPr="00275290">
        <w:rPr>
          <w:rFonts w:cs="Arial"/>
          <w:u w:val="single"/>
        </w:rPr>
        <w:t>Calculations (IPBC used as an example):</w:t>
      </w:r>
    </w:p>
    <w:p w14:paraId="5BC45615" w14:textId="77777777" w:rsidR="00692E71" w:rsidRPr="00275290" w:rsidRDefault="00692E71" w:rsidP="00692E71">
      <w:pPr>
        <w:rPr>
          <w:rFonts w:cs="Arial"/>
        </w:rPr>
      </w:pPr>
    </w:p>
    <w:p w14:paraId="16274EB4"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AREA</w:t>
      </w:r>
      <w:r w:rsidRPr="00275290">
        <w:rPr>
          <w:rFonts w:cs="Arial"/>
          <w:vertAlign w:val="subscript"/>
        </w:rPr>
        <w:t>bridge</w:t>
      </w:r>
      <w:r w:rsidRPr="00275290">
        <w:rPr>
          <w:rFonts w:cs="Arial"/>
        </w:rPr>
        <w:t xml:space="preserve"> * Q*</w:t>
      </w:r>
      <w:r w:rsidRPr="00275290">
        <w:rPr>
          <w:rFonts w:cs="Arial"/>
          <w:vertAlign w:val="subscript"/>
        </w:rPr>
        <w:t>leach, time1</w:t>
      </w:r>
    </w:p>
    <w:p w14:paraId="7D031884"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10 * 5.04</w:t>
      </w:r>
    </w:p>
    <w:p w14:paraId="7AD08AF1"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50.4 mg</w:t>
      </w:r>
    </w:p>
    <w:p w14:paraId="2D6F3DA8" w14:textId="77777777" w:rsidR="00692E71" w:rsidRPr="00275290" w:rsidRDefault="00692E71" w:rsidP="00692E71">
      <w:pPr>
        <w:rPr>
          <w:rFonts w:cs="Arial"/>
        </w:rPr>
      </w:pPr>
    </w:p>
    <w:p w14:paraId="1F9D247C"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AREA</w:t>
      </w:r>
      <w:r w:rsidRPr="00275290">
        <w:rPr>
          <w:rFonts w:cs="Arial"/>
          <w:vertAlign w:val="subscript"/>
        </w:rPr>
        <w:t xml:space="preserve">bridge </w:t>
      </w:r>
      <w:r w:rsidRPr="00275290">
        <w:rPr>
          <w:rFonts w:cs="Arial"/>
        </w:rPr>
        <w:t>* Q*</w:t>
      </w:r>
      <w:r w:rsidRPr="00275290">
        <w:rPr>
          <w:rFonts w:cs="Arial"/>
          <w:vertAlign w:val="subscript"/>
        </w:rPr>
        <w:t>leach, time2</w:t>
      </w:r>
    </w:p>
    <w:p w14:paraId="6A8D6357"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10 * 32.98</w:t>
      </w:r>
    </w:p>
    <w:p w14:paraId="4D28E695"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329.8 mg</w:t>
      </w:r>
    </w:p>
    <w:p w14:paraId="3522C423" w14:textId="77777777" w:rsidR="00692E71" w:rsidRPr="00275290" w:rsidRDefault="00692E71" w:rsidP="00692E71">
      <w:pPr>
        <w:rPr>
          <w:rFonts w:cs="Arial"/>
        </w:rPr>
      </w:pPr>
    </w:p>
    <w:p w14:paraId="11CB3CAC" w14:textId="77777777" w:rsidR="00692E71" w:rsidRPr="00275290" w:rsidRDefault="00692E71" w:rsidP="00692E71">
      <w:pPr>
        <w:rPr>
          <w:rFonts w:cs="Arial"/>
        </w:rPr>
      </w:pPr>
      <w:r w:rsidRPr="00275290">
        <w:rPr>
          <w:rFonts w:cs="Arial"/>
        </w:rPr>
        <w:t>Clocal</w:t>
      </w:r>
      <w:r w:rsidRPr="00275290">
        <w:rPr>
          <w:rFonts w:cs="Arial"/>
          <w:vertAlign w:val="subscript"/>
        </w:rPr>
        <w:t>water</w:t>
      </w:r>
      <w:proofErr w:type="gramStart"/>
      <w:r w:rsidRPr="00275290">
        <w:rPr>
          <w:rFonts w:cs="Arial"/>
          <w:vertAlign w:val="subscript"/>
        </w:rPr>
        <w:t>,leach</w:t>
      </w:r>
      <w:proofErr w:type="gramEnd"/>
      <w:r w:rsidRPr="00275290">
        <w:rPr>
          <w:rFonts w:cs="Arial"/>
          <w:vertAlign w:val="subscript"/>
        </w:rPr>
        <w:t xml:space="preserve">, time1 </w:t>
      </w:r>
      <w:r w:rsidRPr="00275290">
        <w:rPr>
          <w:rFonts w:cs="Arial"/>
        </w:rPr>
        <w:t>= Q</w:t>
      </w:r>
      <w:r w:rsidRPr="00275290">
        <w:rPr>
          <w:rFonts w:cs="Arial"/>
          <w:vertAlign w:val="subscript"/>
        </w:rPr>
        <w:t>leach, time1</w:t>
      </w:r>
      <w:r w:rsidRPr="00275290">
        <w:rPr>
          <w:rFonts w:cs="Arial"/>
        </w:rPr>
        <w:t>/ V</w:t>
      </w:r>
      <w:r w:rsidRPr="00275290">
        <w:rPr>
          <w:rFonts w:cs="Arial"/>
          <w:vertAlign w:val="subscript"/>
        </w:rPr>
        <w:t xml:space="preserve">water </w:t>
      </w:r>
    </w:p>
    <w:p w14:paraId="3CE350AD" w14:textId="77777777" w:rsidR="00692E71" w:rsidRPr="00275290" w:rsidRDefault="00692E71" w:rsidP="00692E71">
      <w:pPr>
        <w:rPr>
          <w:rFonts w:cs="Arial"/>
        </w:rPr>
      </w:pPr>
      <w:r w:rsidRPr="00275290">
        <w:rPr>
          <w:rFonts w:cs="Arial"/>
        </w:rPr>
        <w:t>Clocal</w:t>
      </w:r>
      <w:r w:rsidRPr="00275290">
        <w:rPr>
          <w:rFonts w:cs="Arial"/>
          <w:vertAlign w:val="subscript"/>
        </w:rPr>
        <w:t>water</w:t>
      </w:r>
      <w:proofErr w:type="gramStart"/>
      <w:r w:rsidRPr="00275290">
        <w:rPr>
          <w:rFonts w:cs="Arial"/>
          <w:vertAlign w:val="subscript"/>
        </w:rPr>
        <w:t>,leach</w:t>
      </w:r>
      <w:proofErr w:type="gramEnd"/>
      <w:r w:rsidRPr="00275290">
        <w:rPr>
          <w:rFonts w:cs="Arial"/>
          <w:vertAlign w:val="subscript"/>
        </w:rPr>
        <w:t>, time1</w:t>
      </w:r>
      <w:r w:rsidRPr="00275290">
        <w:rPr>
          <w:rFonts w:cs="Arial"/>
        </w:rPr>
        <w:t>= 50.4 / 1000</w:t>
      </w:r>
    </w:p>
    <w:p w14:paraId="779ACD8B" w14:textId="77777777" w:rsidR="00692E71" w:rsidRPr="00275290" w:rsidRDefault="00692E71" w:rsidP="00692E71">
      <w:pPr>
        <w:rPr>
          <w:rFonts w:cs="Arial"/>
          <w:vertAlign w:val="superscript"/>
        </w:rPr>
      </w:pPr>
      <w:r w:rsidRPr="00275290">
        <w:rPr>
          <w:rFonts w:cs="Arial"/>
        </w:rPr>
        <w:t>Clocal</w:t>
      </w:r>
      <w:r w:rsidRPr="00275290">
        <w:rPr>
          <w:rFonts w:cs="Arial"/>
          <w:vertAlign w:val="subscript"/>
        </w:rPr>
        <w:t>water</w:t>
      </w:r>
      <w:proofErr w:type="gramStart"/>
      <w:r w:rsidRPr="00275290">
        <w:rPr>
          <w:rFonts w:cs="Arial"/>
          <w:vertAlign w:val="subscript"/>
        </w:rPr>
        <w:t>,leach</w:t>
      </w:r>
      <w:proofErr w:type="gramEnd"/>
      <w:r w:rsidRPr="00275290">
        <w:rPr>
          <w:rFonts w:cs="Arial"/>
          <w:vertAlign w:val="subscript"/>
        </w:rPr>
        <w:t>, time1</w:t>
      </w:r>
      <w:r w:rsidRPr="00275290">
        <w:rPr>
          <w:rFonts w:cs="Arial"/>
        </w:rPr>
        <w:t>= 0.05 mg/m</w:t>
      </w:r>
      <w:r w:rsidRPr="00275290">
        <w:rPr>
          <w:rFonts w:cs="Arial"/>
          <w:vertAlign w:val="superscript"/>
        </w:rPr>
        <w:t>3</w:t>
      </w:r>
      <w:r w:rsidRPr="00275290">
        <w:rPr>
          <w:rFonts w:cs="Arial"/>
        </w:rPr>
        <w:t xml:space="preserve"> = 0.05 µg.L</w:t>
      </w:r>
      <w:r w:rsidRPr="00275290">
        <w:rPr>
          <w:rFonts w:cs="Arial"/>
          <w:vertAlign w:val="superscript"/>
        </w:rPr>
        <w:t>-1</w:t>
      </w:r>
    </w:p>
    <w:p w14:paraId="08CC3F64" w14:textId="77777777" w:rsidR="00692E71" w:rsidRPr="00275290" w:rsidRDefault="00692E71" w:rsidP="00692E71">
      <w:pPr>
        <w:rPr>
          <w:rFonts w:cs="Arial"/>
        </w:rPr>
      </w:pPr>
    </w:p>
    <w:p w14:paraId="1EA89667" w14:textId="77777777" w:rsidR="00692E71" w:rsidRPr="00275290" w:rsidRDefault="00692E71" w:rsidP="00692E71">
      <w:pPr>
        <w:rPr>
          <w:rFonts w:cs="Arial"/>
        </w:rPr>
      </w:pPr>
      <w:r w:rsidRPr="00275290">
        <w:rPr>
          <w:rFonts w:cs="Arial"/>
        </w:rPr>
        <w:t>Clocal</w:t>
      </w:r>
      <w:r w:rsidRPr="00275290">
        <w:rPr>
          <w:rFonts w:cs="Arial"/>
          <w:vertAlign w:val="subscript"/>
        </w:rPr>
        <w:t>water</w:t>
      </w:r>
      <w:proofErr w:type="gramStart"/>
      <w:r w:rsidRPr="00275290">
        <w:rPr>
          <w:rFonts w:cs="Arial"/>
          <w:vertAlign w:val="subscript"/>
        </w:rPr>
        <w:t>,leach</w:t>
      </w:r>
      <w:proofErr w:type="gramEnd"/>
      <w:r w:rsidRPr="00275290">
        <w:rPr>
          <w:rFonts w:cs="Arial"/>
          <w:vertAlign w:val="subscript"/>
        </w:rPr>
        <w:t xml:space="preserve">, time2 </w:t>
      </w:r>
      <w:r w:rsidRPr="00275290">
        <w:rPr>
          <w:rFonts w:cs="Arial"/>
        </w:rPr>
        <w:t>= Q</w:t>
      </w:r>
      <w:r w:rsidRPr="00275290">
        <w:rPr>
          <w:rFonts w:cs="Arial"/>
          <w:vertAlign w:val="subscript"/>
        </w:rPr>
        <w:t xml:space="preserve">leach, time2 </w:t>
      </w:r>
      <w:r w:rsidRPr="00275290">
        <w:rPr>
          <w:rFonts w:cs="Arial"/>
        </w:rPr>
        <w:t>/ V</w:t>
      </w:r>
      <w:r w:rsidRPr="00275290">
        <w:rPr>
          <w:rFonts w:cs="Arial"/>
          <w:vertAlign w:val="subscript"/>
        </w:rPr>
        <w:t>water</w:t>
      </w:r>
    </w:p>
    <w:p w14:paraId="449EB44D" w14:textId="77777777" w:rsidR="00692E71" w:rsidRPr="00275290" w:rsidRDefault="00692E71" w:rsidP="00692E71">
      <w:pPr>
        <w:rPr>
          <w:rFonts w:cs="Arial"/>
        </w:rPr>
      </w:pPr>
      <w:r w:rsidRPr="00275290">
        <w:rPr>
          <w:rFonts w:cs="Arial"/>
        </w:rPr>
        <w:t>Clocal</w:t>
      </w:r>
      <w:r w:rsidRPr="00275290">
        <w:rPr>
          <w:rFonts w:cs="Arial"/>
          <w:vertAlign w:val="subscript"/>
        </w:rPr>
        <w:t>water</w:t>
      </w:r>
      <w:proofErr w:type="gramStart"/>
      <w:r w:rsidRPr="00275290">
        <w:rPr>
          <w:rFonts w:cs="Arial"/>
          <w:vertAlign w:val="subscript"/>
        </w:rPr>
        <w:t>,leach</w:t>
      </w:r>
      <w:proofErr w:type="gramEnd"/>
      <w:r w:rsidRPr="00275290">
        <w:rPr>
          <w:rFonts w:cs="Arial"/>
          <w:vertAlign w:val="subscript"/>
        </w:rPr>
        <w:t xml:space="preserve">, time2 </w:t>
      </w:r>
      <w:r w:rsidRPr="00275290">
        <w:rPr>
          <w:rFonts w:cs="Arial"/>
        </w:rPr>
        <w:t>= 329.8 / 1000</w:t>
      </w:r>
    </w:p>
    <w:p w14:paraId="1777C15F" w14:textId="77777777" w:rsidR="00692E71" w:rsidRPr="00275290" w:rsidRDefault="00692E71" w:rsidP="00692E71">
      <w:pPr>
        <w:rPr>
          <w:rFonts w:cs="Arial"/>
        </w:rPr>
      </w:pPr>
      <w:r w:rsidRPr="00275290">
        <w:rPr>
          <w:rFonts w:cs="Arial"/>
        </w:rPr>
        <w:t>Clocal</w:t>
      </w:r>
      <w:r w:rsidRPr="00275290">
        <w:rPr>
          <w:rFonts w:cs="Arial"/>
          <w:vertAlign w:val="subscript"/>
        </w:rPr>
        <w:t>water</w:t>
      </w:r>
      <w:proofErr w:type="gramStart"/>
      <w:r w:rsidRPr="00275290">
        <w:rPr>
          <w:rFonts w:cs="Arial"/>
          <w:vertAlign w:val="subscript"/>
        </w:rPr>
        <w:t>,leach</w:t>
      </w:r>
      <w:proofErr w:type="gramEnd"/>
      <w:r w:rsidRPr="00275290">
        <w:rPr>
          <w:rFonts w:cs="Arial"/>
          <w:vertAlign w:val="subscript"/>
        </w:rPr>
        <w:t xml:space="preserve">, time2 </w:t>
      </w:r>
      <w:r w:rsidRPr="00275290">
        <w:rPr>
          <w:rFonts w:cs="Arial"/>
        </w:rPr>
        <w:t>= 0.330 mg/m</w:t>
      </w:r>
      <w:r w:rsidRPr="00275290">
        <w:rPr>
          <w:rFonts w:cs="Arial"/>
          <w:vertAlign w:val="superscript"/>
        </w:rPr>
        <w:t>3</w:t>
      </w:r>
      <w:r w:rsidRPr="00275290">
        <w:rPr>
          <w:rFonts w:cs="Arial"/>
        </w:rPr>
        <w:t xml:space="preserve"> = 0.33 µg.L</w:t>
      </w:r>
      <w:r w:rsidRPr="00275290">
        <w:rPr>
          <w:rFonts w:cs="Arial"/>
          <w:vertAlign w:val="superscript"/>
        </w:rPr>
        <w:t>-1</w:t>
      </w:r>
    </w:p>
    <w:p w14:paraId="6842135B" w14:textId="77777777" w:rsidR="00692E71" w:rsidRPr="00275290" w:rsidRDefault="00692E71" w:rsidP="00692E71">
      <w:pPr>
        <w:rPr>
          <w:rFonts w:cs="Arial"/>
          <w:highlight w:val="lightGray"/>
        </w:rPr>
      </w:pPr>
    </w:p>
    <w:p w14:paraId="49ED6C97" w14:textId="77777777" w:rsidR="00692E71" w:rsidRPr="00575E63" w:rsidRDefault="00692E71" w:rsidP="00692E71">
      <w:pPr>
        <w:rPr>
          <w:highlight w:val="lightGray"/>
        </w:rPr>
      </w:pPr>
    </w:p>
    <w:p w14:paraId="346BB13A" w14:textId="77777777" w:rsidR="00692E71" w:rsidRPr="008551C7" w:rsidRDefault="00692E71" w:rsidP="008E0250">
      <w:pPr>
        <w:pStyle w:val="Titre6"/>
        <w:spacing w:before="240"/>
        <w:rPr>
          <w:lang w:val="en-US"/>
        </w:rPr>
      </w:pPr>
      <w:bookmarkStart w:id="125" w:name="_Toc452668989"/>
      <w:r w:rsidRPr="008551C7">
        <w:rPr>
          <w:lang w:val="en-US"/>
        </w:rPr>
        <w:t>House scenario, in-service of in-situ treated wood</w:t>
      </w:r>
      <w:bookmarkEnd w:id="125"/>
    </w:p>
    <w:p w14:paraId="227AC5C7" w14:textId="77777777" w:rsidR="00692E71" w:rsidRPr="005F7D65" w:rsidRDefault="00692E71" w:rsidP="00692E71">
      <w:pPr>
        <w:rPr>
          <w:rFonts w:ascii="Arial" w:hAnsi="Arial" w:cs="Arial"/>
          <w:highlight w:val="yellow"/>
        </w:rPr>
      </w:pPr>
    </w:p>
    <w:p w14:paraId="5B02369D" w14:textId="3D5CB169" w:rsidR="00692E71" w:rsidRPr="00275290" w:rsidRDefault="00692E71" w:rsidP="00692E71">
      <w:pPr>
        <w:rPr>
          <w:rFonts w:cs="Arial"/>
        </w:rPr>
      </w:pPr>
      <w:r w:rsidRPr="00275290">
        <w:rPr>
          <w:rFonts w:cs="Arial"/>
        </w:rPr>
        <w:t xml:space="preserve">The emissions to soil from treated wood in service following </w:t>
      </w:r>
      <w:r w:rsidRPr="00275290">
        <w:rPr>
          <w:rFonts w:cs="Arial"/>
          <w:i/>
        </w:rPr>
        <w:t>in-situ</w:t>
      </w:r>
      <w:r w:rsidRPr="00275290">
        <w:rPr>
          <w:rFonts w:cs="Arial"/>
        </w:rPr>
        <w:t xml:space="preserve"> </w:t>
      </w:r>
      <w:r w:rsidR="00B06C08" w:rsidRPr="00275290">
        <w:rPr>
          <w:rFonts w:cs="Arial"/>
        </w:rPr>
        <w:t>treatment</w:t>
      </w:r>
      <w:r w:rsidRPr="00275290">
        <w:rPr>
          <w:rFonts w:cs="Arial"/>
        </w:rPr>
        <w:t xml:space="preserve"> are calculated according to the equations provided for the house scenario.</w:t>
      </w:r>
    </w:p>
    <w:p w14:paraId="7EF5FE45" w14:textId="77777777" w:rsidR="00692E71" w:rsidRPr="00575E63" w:rsidRDefault="00692E71" w:rsidP="00692E71">
      <w:pPr>
        <w:rPr>
          <w:vertAlign w:val="subscript"/>
        </w:rPr>
      </w:pPr>
    </w:p>
    <w:p w14:paraId="3E28AA15" w14:textId="77777777" w:rsidR="00692E71" w:rsidRPr="008551C7" w:rsidRDefault="00692E71" w:rsidP="008E0250">
      <w:pPr>
        <w:pStyle w:val="Titre6"/>
        <w:spacing w:before="240"/>
        <w:rPr>
          <w:lang w:val="en-US"/>
        </w:rPr>
      </w:pPr>
      <w:bookmarkStart w:id="126" w:name="_Toc452668990"/>
      <w:r w:rsidRPr="008551C7">
        <w:rPr>
          <w:lang w:val="en-US"/>
        </w:rPr>
        <w:t>Fence scenario, in-service of in-situ treated wood</w:t>
      </w:r>
      <w:bookmarkEnd w:id="126"/>
    </w:p>
    <w:p w14:paraId="3911BBC6" w14:textId="77777777" w:rsidR="00692E71" w:rsidRPr="00275290" w:rsidRDefault="00692E71" w:rsidP="00692E71">
      <w:pPr>
        <w:rPr>
          <w:rFonts w:cs="Arial"/>
        </w:rPr>
      </w:pPr>
    </w:p>
    <w:p w14:paraId="785D7417" w14:textId="280EDB58" w:rsidR="00692E71" w:rsidRPr="00275290" w:rsidRDefault="00692E71" w:rsidP="00692E71">
      <w:pPr>
        <w:rPr>
          <w:rFonts w:cs="Arial"/>
        </w:rPr>
      </w:pPr>
      <w:r w:rsidRPr="00275290">
        <w:rPr>
          <w:rFonts w:cs="Arial"/>
        </w:rPr>
        <w:t xml:space="preserve">The emissions to soil from treated wood in service following </w:t>
      </w:r>
      <w:r w:rsidRPr="00275290">
        <w:rPr>
          <w:rFonts w:cs="Arial"/>
          <w:i/>
        </w:rPr>
        <w:t>in-situ</w:t>
      </w:r>
      <w:r w:rsidRPr="00275290">
        <w:rPr>
          <w:rFonts w:cs="Arial"/>
        </w:rPr>
        <w:t xml:space="preserve"> </w:t>
      </w:r>
      <w:r w:rsidR="00B06C08" w:rsidRPr="00275290">
        <w:rPr>
          <w:rFonts w:cs="Arial"/>
        </w:rPr>
        <w:t>treatment</w:t>
      </w:r>
      <w:r w:rsidRPr="00275290">
        <w:rPr>
          <w:rFonts w:cs="Arial"/>
        </w:rPr>
        <w:t xml:space="preserve"> are calculated according to the equations provided for the house scenario.</w:t>
      </w:r>
    </w:p>
    <w:p w14:paraId="343B9C67" w14:textId="77777777" w:rsidR="00692E71" w:rsidRPr="00575E63" w:rsidRDefault="00692E71" w:rsidP="00692E71">
      <w:pPr>
        <w:rPr>
          <w:vertAlign w:val="subscript"/>
        </w:rPr>
      </w:pPr>
      <w:bookmarkStart w:id="127" w:name="_Toc452668991"/>
    </w:p>
    <w:p w14:paraId="6DEBF39B" w14:textId="77777777" w:rsidR="00692E71" w:rsidRPr="008551C7" w:rsidRDefault="00692E71" w:rsidP="008E0250">
      <w:pPr>
        <w:pStyle w:val="Titre6"/>
        <w:spacing w:before="240"/>
        <w:rPr>
          <w:lang w:val="en-US"/>
        </w:rPr>
      </w:pPr>
      <w:r w:rsidRPr="008551C7">
        <w:rPr>
          <w:lang w:val="en-US"/>
        </w:rPr>
        <w:lastRenderedPageBreak/>
        <w:t>Bridge over Pond scenario, in-service of in-situ treated wood</w:t>
      </w:r>
      <w:bookmarkEnd w:id="127"/>
    </w:p>
    <w:p w14:paraId="0FED797F" w14:textId="77777777" w:rsidR="00692E71" w:rsidRPr="00275290" w:rsidRDefault="00692E71" w:rsidP="00692E71">
      <w:pPr>
        <w:rPr>
          <w:rFonts w:cs="Arial"/>
        </w:rPr>
      </w:pPr>
    </w:p>
    <w:p w14:paraId="245ABE1A" w14:textId="5D017C69" w:rsidR="00692E71" w:rsidRPr="00275290" w:rsidRDefault="00692E71" w:rsidP="00692E71">
      <w:pPr>
        <w:rPr>
          <w:rFonts w:cs="Arial"/>
        </w:rPr>
      </w:pPr>
      <w:r w:rsidRPr="00275290">
        <w:rPr>
          <w:rFonts w:cs="Arial"/>
        </w:rPr>
        <w:t xml:space="preserve">The emissions to soil from treated wood in service following </w:t>
      </w:r>
      <w:r w:rsidRPr="00275290">
        <w:rPr>
          <w:rFonts w:cs="Arial"/>
          <w:i/>
        </w:rPr>
        <w:t>in-situ</w:t>
      </w:r>
      <w:r w:rsidRPr="00275290">
        <w:rPr>
          <w:rFonts w:cs="Arial"/>
        </w:rPr>
        <w:t xml:space="preserve"> </w:t>
      </w:r>
      <w:r w:rsidR="00B06C08" w:rsidRPr="00275290">
        <w:rPr>
          <w:rFonts w:cs="Arial"/>
        </w:rPr>
        <w:t>treatment</w:t>
      </w:r>
      <w:r w:rsidRPr="00275290">
        <w:rPr>
          <w:rFonts w:cs="Arial"/>
        </w:rPr>
        <w:t xml:space="preserve"> are calculated according to the equations provided for the house scenario.</w:t>
      </w:r>
    </w:p>
    <w:p w14:paraId="483BB16E" w14:textId="77777777" w:rsidR="00692E71" w:rsidRPr="00575E63" w:rsidRDefault="00692E71" w:rsidP="00692E71">
      <w:pPr>
        <w:rPr>
          <w:vertAlign w:val="subscript"/>
        </w:rPr>
      </w:pPr>
      <w:bookmarkStart w:id="128" w:name="_Toc452668992"/>
    </w:p>
    <w:p w14:paraId="35129577" w14:textId="77777777" w:rsidR="00692E71" w:rsidRPr="008551C7" w:rsidRDefault="00692E71" w:rsidP="008E0250">
      <w:pPr>
        <w:pStyle w:val="Titre6"/>
        <w:spacing w:before="240"/>
        <w:rPr>
          <w:lang w:val="en-US"/>
        </w:rPr>
      </w:pPr>
      <w:r w:rsidRPr="008551C7">
        <w:rPr>
          <w:lang w:val="en-US"/>
        </w:rPr>
        <w:t>Spraying scenario (House), in-service of in-situ treated wood</w:t>
      </w:r>
      <w:bookmarkEnd w:id="128"/>
    </w:p>
    <w:p w14:paraId="24FCBB2B" w14:textId="77777777" w:rsidR="00692E71" w:rsidRPr="00275290" w:rsidRDefault="00692E71" w:rsidP="00692E71">
      <w:pPr>
        <w:rPr>
          <w:rFonts w:cs="Arial"/>
        </w:rPr>
      </w:pPr>
    </w:p>
    <w:p w14:paraId="0EA5184C" w14:textId="77777777" w:rsidR="00692E71" w:rsidRPr="00275290" w:rsidRDefault="00692E71" w:rsidP="00692E71">
      <w:pPr>
        <w:rPr>
          <w:rFonts w:cs="Arial"/>
        </w:rPr>
      </w:pPr>
      <w:r w:rsidRPr="00275290">
        <w:rPr>
          <w:rFonts w:cs="Arial"/>
        </w:rPr>
        <w:t>The emissions to soil from treated wood in service following spraying application, are calculated according to the equations provided for the house scenario.</w:t>
      </w:r>
    </w:p>
    <w:p w14:paraId="6EA1CD82" w14:textId="5B7230C1" w:rsidR="00692E71" w:rsidRDefault="00692E71" w:rsidP="00692E71">
      <w:pPr>
        <w:rPr>
          <w:rFonts w:ascii="Arial" w:hAnsi="Arial" w:cs="Arial"/>
        </w:rPr>
      </w:pPr>
    </w:p>
    <w:p w14:paraId="7DEE6C0B" w14:textId="3EB3CAD2" w:rsidR="00602A6B" w:rsidRPr="00575E63" w:rsidRDefault="00602A6B" w:rsidP="00692E71">
      <w:pPr>
        <w:rPr>
          <w:rFonts w:ascii="Arial" w:hAnsi="Arial" w:cs="Arial"/>
        </w:rPr>
      </w:pPr>
    </w:p>
    <w:p w14:paraId="5055F361" w14:textId="77777777" w:rsidR="00692E71" w:rsidRPr="008551C7" w:rsidRDefault="00692E71" w:rsidP="003356DA">
      <w:pPr>
        <w:pStyle w:val="Titre5"/>
        <w:rPr>
          <w:lang w:val="en-US"/>
        </w:rPr>
      </w:pPr>
      <w:r w:rsidRPr="008551C7">
        <w:rPr>
          <w:lang w:val="en-US"/>
        </w:rPr>
        <w:t>Emissions from industrial treated wood in service taken removal into account</w:t>
      </w:r>
    </w:p>
    <w:p w14:paraId="0C66B386" w14:textId="77777777" w:rsidR="00692E71" w:rsidRPr="00275290" w:rsidRDefault="00692E71" w:rsidP="00692E71">
      <w:pPr>
        <w:snapToGrid w:val="0"/>
        <w:rPr>
          <w:rFonts w:cs="Arial"/>
        </w:rPr>
      </w:pPr>
      <w:r w:rsidRPr="00275290">
        <w:rPr>
          <w:rFonts w:cs="Arial"/>
        </w:rPr>
        <w:t>For industrially pre-treated wood, emissions during application do not end up in the same compartment as during service-life of the treated wood. It is consequently not necessary to sum up the emissions from application phase and service-life. In this section removal during service-life is considered for house, fence, noise barrier and bridge over pond for industrial treated wood.</w:t>
      </w:r>
    </w:p>
    <w:p w14:paraId="5B01C2A4" w14:textId="77777777" w:rsidR="00692E71" w:rsidRPr="00275290" w:rsidRDefault="00692E71" w:rsidP="00692E71">
      <w:pPr>
        <w:snapToGrid w:val="0"/>
        <w:rPr>
          <w:rFonts w:cs="Arial"/>
        </w:rPr>
      </w:pPr>
    </w:p>
    <w:p w14:paraId="6D94F8CC" w14:textId="77777777" w:rsidR="00692E71" w:rsidRPr="00275290" w:rsidRDefault="00692E71" w:rsidP="00692E71">
      <w:pPr>
        <w:rPr>
          <w:rFonts w:cs="Arial"/>
        </w:rPr>
      </w:pPr>
      <w:r w:rsidRPr="00275290">
        <w:rPr>
          <w:rFonts w:cs="Arial"/>
        </w:rPr>
        <w:t>For the calculation of concentrations in pore water the soil-water partitioning coefficients are used.</w:t>
      </w:r>
    </w:p>
    <w:p w14:paraId="0719A78B" w14:textId="77777777" w:rsidR="00692E71" w:rsidRPr="00275290" w:rsidRDefault="00692E71" w:rsidP="00692E71">
      <w:pPr>
        <w:rPr>
          <w:rFonts w:cs="Arial"/>
        </w:rPr>
      </w:pPr>
      <w:r w:rsidRPr="00275290">
        <w:rPr>
          <w:rFonts w:cs="Arial"/>
        </w:rPr>
        <w:t>For the calculation of concentrations in soil and in pore water taken removal into account the first order rate constants for removal from soil are used.</w:t>
      </w:r>
    </w:p>
    <w:p w14:paraId="7E3D35AA" w14:textId="77777777" w:rsidR="00692E71" w:rsidRPr="00275290" w:rsidRDefault="00692E71" w:rsidP="00692E71">
      <w:pPr>
        <w:rPr>
          <w:rFonts w:cs="Arial"/>
        </w:rPr>
      </w:pPr>
    </w:p>
    <w:p w14:paraId="0D40C77A" w14:textId="77777777" w:rsidR="00692E71" w:rsidRPr="00275290" w:rsidRDefault="00692E71" w:rsidP="00692E71">
      <w:pPr>
        <w:rPr>
          <w:rFonts w:cs="Arial"/>
        </w:rPr>
      </w:pPr>
      <w:r w:rsidRPr="00275290">
        <w:rPr>
          <w:rFonts w:cs="Arial"/>
        </w:rPr>
        <w:t>The resulting concentrations in soil and pore water taking into account removal processes over Time1 (30 days) and Time2 (1825 days) are presented below:</w:t>
      </w:r>
    </w:p>
    <w:p w14:paraId="09314B98" w14:textId="77777777" w:rsidR="00692E71" w:rsidRPr="00275290" w:rsidRDefault="00692E71" w:rsidP="00692E71">
      <w:pPr>
        <w:rPr>
          <w:rFonts w:cs="Arial"/>
          <w:highlight w:val="yellow"/>
        </w:rPr>
      </w:pPr>
    </w:p>
    <w:p w14:paraId="432DC981" w14:textId="77777777" w:rsidR="00692E71" w:rsidRPr="00275290" w:rsidRDefault="00692E71" w:rsidP="00692E71">
      <w:pPr>
        <w:pStyle w:val="Lgende"/>
        <w:spacing w:after="0"/>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12</w:t>
      </w:r>
      <w:r w:rsidRPr="00275290">
        <w:rPr>
          <w:rFonts w:ascii="Verdana" w:hAnsi="Verdana"/>
        </w:rPr>
        <w:fldChar w:fldCharType="end"/>
      </w:r>
      <w:r w:rsidRPr="00275290">
        <w:rPr>
          <w:rFonts w:ascii="Verdana" w:hAnsi="Verdana"/>
        </w:rPr>
        <w:t>: Soil-water partitioning coefficients and first order rate constants for removal from soil.</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276"/>
        <w:gridCol w:w="2410"/>
        <w:gridCol w:w="1275"/>
        <w:gridCol w:w="786"/>
      </w:tblGrid>
      <w:tr w:rsidR="00692E71" w:rsidRPr="00275290" w14:paraId="1F44E7A4" w14:textId="77777777" w:rsidTr="008E0250">
        <w:trPr>
          <w:trHeight w:val="132"/>
          <w:jc w:val="center"/>
        </w:trPr>
        <w:tc>
          <w:tcPr>
            <w:tcW w:w="3539" w:type="dxa"/>
            <w:vAlign w:val="center"/>
          </w:tcPr>
          <w:p w14:paraId="4E98380C" w14:textId="77777777" w:rsidR="00692E71" w:rsidRPr="00275290" w:rsidRDefault="00692E71" w:rsidP="008E0250">
            <w:pPr>
              <w:rPr>
                <w:rFonts w:cs="Arial"/>
              </w:rPr>
            </w:pPr>
            <w:r w:rsidRPr="00275290">
              <w:rPr>
                <w:rFonts w:cs="Arial"/>
              </w:rPr>
              <w:t>Soil-water partitioning coefficients</w:t>
            </w:r>
          </w:p>
        </w:tc>
        <w:tc>
          <w:tcPr>
            <w:tcW w:w="1276" w:type="dxa"/>
            <w:vAlign w:val="center"/>
          </w:tcPr>
          <w:p w14:paraId="40AB0A90" w14:textId="77777777" w:rsidR="00692E71" w:rsidRPr="00275290" w:rsidRDefault="00692E71" w:rsidP="008E0250">
            <w:pPr>
              <w:rPr>
                <w:rFonts w:cs="Arial"/>
              </w:rPr>
            </w:pPr>
            <w:r w:rsidRPr="00275290">
              <w:rPr>
                <w:rFonts w:cs="Arial"/>
                <w:i/>
              </w:rPr>
              <w:t>K</w:t>
            </w:r>
            <w:r w:rsidRPr="00275290">
              <w:rPr>
                <w:rFonts w:cs="Arial"/>
                <w:vertAlign w:val="subscript"/>
              </w:rPr>
              <w:t>soil-water</w:t>
            </w:r>
          </w:p>
        </w:tc>
        <w:tc>
          <w:tcPr>
            <w:tcW w:w="2410" w:type="dxa"/>
            <w:vAlign w:val="center"/>
          </w:tcPr>
          <w:p w14:paraId="7CC106DB" w14:textId="77777777" w:rsidR="00692E71" w:rsidRPr="00275290" w:rsidRDefault="00692E71" w:rsidP="008E0250">
            <w:pPr>
              <w:jc w:val="center"/>
              <w:rPr>
                <w:rFonts w:cs="Arial"/>
              </w:rPr>
            </w:pPr>
            <w:r w:rsidRPr="00275290">
              <w:rPr>
                <w:rFonts w:cs="Arial"/>
              </w:rPr>
              <w:t>3.98 (IPBC)</w:t>
            </w:r>
          </w:p>
          <w:p w14:paraId="143109E1" w14:textId="77777777" w:rsidR="00692E71" w:rsidRPr="00275290" w:rsidRDefault="00692E71" w:rsidP="008E0250">
            <w:pPr>
              <w:jc w:val="center"/>
              <w:rPr>
                <w:rFonts w:cs="Arial"/>
              </w:rPr>
            </w:pPr>
            <w:r w:rsidRPr="00275290">
              <w:rPr>
                <w:rFonts w:cs="Arial"/>
              </w:rPr>
              <w:t>29 (propiconazole)</w:t>
            </w:r>
          </w:p>
          <w:p w14:paraId="3854BC34" w14:textId="77777777" w:rsidR="00692E71" w:rsidRPr="00275290" w:rsidRDefault="00692E71" w:rsidP="008E0250">
            <w:pPr>
              <w:jc w:val="center"/>
              <w:rPr>
                <w:rFonts w:cs="Arial"/>
              </w:rPr>
            </w:pPr>
            <w:r w:rsidRPr="00275290">
              <w:rPr>
                <w:rFonts w:cs="Arial"/>
              </w:rPr>
              <w:t>30 (tebuconazole)</w:t>
            </w:r>
          </w:p>
          <w:p w14:paraId="25C4EAF6" w14:textId="77777777" w:rsidR="00692E71" w:rsidRPr="00275290" w:rsidRDefault="00692E71" w:rsidP="008E0250">
            <w:pPr>
              <w:jc w:val="center"/>
              <w:rPr>
                <w:rFonts w:cs="Arial"/>
              </w:rPr>
            </w:pPr>
            <w:r w:rsidRPr="00275290">
              <w:rPr>
                <w:rFonts w:cs="Arial"/>
              </w:rPr>
              <w:t>17231 (cypermethrin)</w:t>
            </w:r>
          </w:p>
        </w:tc>
        <w:tc>
          <w:tcPr>
            <w:tcW w:w="1275" w:type="dxa"/>
            <w:vAlign w:val="center"/>
          </w:tcPr>
          <w:p w14:paraId="0E76B191"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 m</w:t>
            </w:r>
            <w:r w:rsidRPr="00275290">
              <w:rPr>
                <w:rFonts w:cs="Arial"/>
                <w:vertAlign w:val="superscript"/>
              </w:rPr>
              <w:t>-3</w:t>
            </w:r>
            <w:r w:rsidRPr="00275290">
              <w:rPr>
                <w:rFonts w:cs="Arial"/>
              </w:rPr>
              <w:t>]</w:t>
            </w:r>
          </w:p>
        </w:tc>
        <w:tc>
          <w:tcPr>
            <w:tcW w:w="786" w:type="dxa"/>
            <w:vAlign w:val="center"/>
          </w:tcPr>
          <w:p w14:paraId="7A86C51D" w14:textId="77777777" w:rsidR="00692E71" w:rsidRPr="00275290" w:rsidRDefault="00692E71" w:rsidP="008E0250">
            <w:pPr>
              <w:jc w:val="center"/>
              <w:rPr>
                <w:rFonts w:cs="Arial"/>
              </w:rPr>
            </w:pPr>
            <w:r w:rsidRPr="00275290">
              <w:rPr>
                <w:rFonts w:cs="Arial"/>
              </w:rPr>
              <w:t>S</w:t>
            </w:r>
          </w:p>
        </w:tc>
      </w:tr>
      <w:tr w:rsidR="00692E71" w:rsidRPr="00275290" w14:paraId="7B0A86A6" w14:textId="77777777" w:rsidTr="008E0250">
        <w:trPr>
          <w:trHeight w:val="132"/>
          <w:jc w:val="center"/>
        </w:trPr>
        <w:tc>
          <w:tcPr>
            <w:tcW w:w="3539" w:type="dxa"/>
            <w:vAlign w:val="center"/>
          </w:tcPr>
          <w:p w14:paraId="31774D07" w14:textId="77777777" w:rsidR="00692E71" w:rsidRPr="00275290" w:rsidRDefault="00692E71" w:rsidP="008E0250">
            <w:pPr>
              <w:rPr>
                <w:rFonts w:cs="Arial"/>
              </w:rPr>
            </w:pPr>
            <w:r w:rsidRPr="00275290">
              <w:rPr>
                <w:rFonts w:cs="Arial"/>
              </w:rPr>
              <w:t>First order rate constants for removal from soil</w:t>
            </w:r>
          </w:p>
        </w:tc>
        <w:tc>
          <w:tcPr>
            <w:tcW w:w="1276" w:type="dxa"/>
            <w:vAlign w:val="center"/>
          </w:tcPr>
          <w:p w14:paraId="48D2E633" w14:textId="77777777" w:rsidR="00692E71" w:rsidRPr="00275290" w:rsidRDefault="00692E71" w:rsidP="008E0250">
            <w:pPr>
              <w:rPr>
                <w:rFonts w:cs="Arial"/>
                <w:i/>
              </w:rPr>
            </w:pPr>
            <w:r w:rsidRPr="00275290">
              <w:rPr>
                <w:rFonts w:cs="Arial"/>
                <w:i/>
              </w:rPr>
              <w:t>k</w:t>
            </w:r>
          </w:p>
        </w:tc>
        <w:tc>
          <w:tcPr>
            <w:tcW w:w="2410" w:type="dxa"/>
            <w:vAlign w:val="center"/>
          </w:tcPr>
          <w:p w14:paraId="5DD61881" w14:textId="77777777" w:rsidR="00692E71" w:rsidRPr="00275290" w:rsidRDefault="00692E71" w:rsidP="008E0250">
            <w:pPr>
              <w:jc w:val="center"/>
              <w:rPr>
                <w:rFonts w:cs="Arial"/>
              </w:rPr>
            </w:pPr>
            <w:r w:rsidRPr="00275290">
              <w:rPr>
                <w:rFonts w:cs="Arial"/>
              </w:rPr>
              <w:t>3.54 (IPBC)</w:t>
            </w:r>
          </w:p>
          <w:p w14:paraId="7976EEDE" w14:textId="77777777" w:rsidR="00692E71" w:rsidRPr="00275290" w:rsidRDefault="00692E71" w:rsidP="008E0250">
            <w:pPr>
              <w:jc w:val="center"/>
              <w:rPr>
                <w:rFonts w:cs="Arial"/>
              </w:rPr>
            </w:pPr>
            <w:r w:rsidRPr="00275290">
              <w:rPr>
                <w:rFonts w:cs="Arial"/>
              </w:rPr>
              <w:t>5.3*10</w:t>
            </w:r>
            <w:r w:rsidRPr="00275290">
              <w:rPr>
                <w:rFonts w:cs="Arial"/>
                <w:vertAlign w:val="superscript"/>
              </w:rPr>
              <w:t>-3</w:t>
            </w:r>
            <w:r w:rsidRPr="00275290">
              <w:rPr>
                <w:rFonts w:cs="Arial"/>
              </w:rPr>
              <w:t xml:space="preserve"> (propiconazole)</w:t>
            </w:r>
          </w:p>
          <w:p w14:paraId="62B6AAF7" w14:textId="77777777" w:rsidR="00692E71" w:rsidRPr="00275290" w:rsidRDefault="00692E71" w:rsidP="008E0250">
            <w:pPr>
              <w:jc w:val="center"/>
              <w:rPr>
                <w:rFonts w:cs="Arial"/>
              </w:rPr>
            </w:pPr>
            <w:r w:rsidRPr="00275290">
              <w:rPr>
                <w:rFonts w:cs="Arial"/>
              </w:rPr>
              <w:t>9.0*10</w:t>
            </w:r>
            <w:r w:rsidRPr="00275290">
              <w:rPr>
                <w:rFonts w:cs="Arial"/>
                <w:vertAlign w:val="superscript"/>
              </w:rPr>
              <w:t>-3</w:t>
            </w:r>
            <w:r w:rsidRPr="00275290">
              <w:rPr>
                <w:rFonts w:cs="Arial"/>
              </w:rPr>
              <w:t xml:space="preserve"> (tebuconazole)</w:t>
            </w:r>
          </w:p>
          <w:p w14:paraId="14C9AA5D" w14:textId="77777777" w:rsidR="00692E71" w:rsidRPr="00275290" w:rsidRDefault="00692E71" w:rsidP="008E0250">
            <w:pPr>
              <w:jc w:val="center"/>
              <w:rPr>
                <w:rFonts w:cs="Arial"/>
              </w:rPr>
            </w:pPr>
            <w:r w:rsidRPr="00275290">
              <w:rPr>
                <w:rFonts w:cs="Arial"/>
              </w:rPr>
              <w:t xml:space="preserve"> 4.0*10</w:t>
            </w:r>
            <w:r w:rsidRPr="00275290">
              <w:rPr>
                <w:rFonts w:cs="Arial"/>
                <w:vertAlign w:val="superscript"/>
              </w:rPr>
              <w:t>-2</w:t>
            </w:r>
            <w:r w:rsidRPr="00275290">
              <w:rPr>
                <w:rFonts w:cs="Arial"/>
              </w:rPr>
              <w:t xml:space="preserve"> (cypermethrin)</w:t>
            </w:r>
          </w:p>
        </w:tc>
        <w:tc>
          <w:tcPr>
            <w:tcW w:w="1275" w:type="dxa"/>
            <w:vAlign w:val="center"/>
          </w:tcPr>
          <w:p w14:paraId="17996317" w14:textId="77777777" w:rsidR="00692E71" w:rsidRPr="00275290" w:rsidRDefault="00692E71" w:rsidP="008E0250">
            <w:pPr>
              <w:jc w:val="center"/>
              <w:rPr>
                <w:rFonts w:cs="Arial"/>
              </w:rPr>
            </w:pPr>
            <w:r w:rsidRPr="00275290">
              <w:rPr>
                <w:rFonts w:cs="Arial"/>
              </w:rPr>
              <w:t>[d</w:t>
            </w:r>
            <w:r w:rsidRPr="00275290">
              <w:rPr>
                <w:rFonts w:cs="Arial"/>
                <w:vertAlign w:val="superscript"/>
              </w:rPr>
              <w:t>-1</w:t>
            </w:r>
            <w:r w:rsidRPr="00275290">
              <w:rPr>
                <w:rFonts w:cs="Arial"/>
              </w:rPr>
              <w:t>]</w:t>
            </w:r>
          </w:p>
        </w:tc>
        <w:tc>
          <w:tcPr>
            <w:tcW w:w="786" w:type="dxa"/>
            <w:vAlign w:val="center"/>
          </w:tcPr>
          <w:p w14:paraId="727B30C2" w14:textId="77777777" w:rsidR="00692E71" w:rsidRPr="00275290" w:rsidRDefault="00692E71" w:rsidP="008E0250">
            <w:pPr>
              <w:jc w:val="center"/>
              <w:rPr>
                <w:rFonts w:cs="Arial"/>
              </w:rPr>
            </w:pPr>
            <w:r w:rsidRPr="00275290">
              <w:rPr>
                <w:rFonts w:cs="Arial"/>
              </w:rPr>
              <w:t>S</w:t>
            </w:r>
          </w:p>
        </w:tc>
      </w:tr>
    </w:tbl>
    <w:p w14:paraId="5DDC7807" w14:textId="77777777" w:rsidR="00692E71" w:rsidRPr="00275290" w:rsidRDefault="00692E71" w:rsidP="00692E71">
      <w:pPr>
        <w:rPr>
          <w:rFonts w:cs="Arial"/>
        </w:rPr>
      </w:pPr>
    </w:p>
    <w:p w14:paraId="6DF589C5" w14:textId="77777777" w:rsidR="00692E71" w:rsidRPr="00275290" w:rsidRDefault="00692E71" w:rsidP="00692E71">
      <w:pPr>
        <w:rPr>
          <w:rFonts w:cs="Arial"/>
        </w:rPr>
      </w:pPr>
      <w:proofErr w:type="gramStart"/>
      <w:r w:rsidRPr="00275290">
        <w:rPr>
          <w:rFonts w:cs="Arial"/>
        </w:rPr>
        <w:t>where</w:t>
      </w:r>
      <w:proofErr w:type="gramEnd"/>
      <w:r w:rsidRPr="00275290">
        <w:rPr>
          <w:rFonts w:cs="Arial"/>
        </w:rPr>
        <w:t>:</w:t>
      </w:r>
    </w:p>
    <w:p w14:paraId="7FB3339D" w14:textId="77777777" w:rsidR="00692E71" w:rsidRPr="00275290" w:rsidRDefault="00692E71" w:rsidP="00692E71">
      <w:pPr>
        <w:rPr>
          <w:rFonts w:cs="Arial"/>
        </w:rPr>
      </w:pPr>
      <w:r w:rsidRPr="00275290">
        <w:rPr>
          <w:rFonts w:cs="Arial"/>
          <w:b/>
        </w:rPr>
        <w:t>K</w:t>
      </w:r>
      <w:r w:rsidRPr="00275290">
        <w:rPr>
          <w:rFonts w:cs="Arial"/>
          <w:b/>
          <w:vertAlign w:val="subscript"/>
        </w:rPr>
        <w:t>soil-water</w:t>
      </w:r>
      <w:r w:rsidRPr="00275290">
        <w:rPr>
          <w:rFonts w:cs="Arial"/>
        </w:rPr>
        <w:t xml:space="preserve"> = Fair</w:t>
      </w:r>
      <w:r w:rsidRPr="00275290">
        <w:rPr>
          <w:rFonts w:cs="Arial"/>
          <w:vertAlign w:val="subscript"/>
        </w:rPr>
        <w:t>soil</w:t>
      </w:r>
      <w:r w:rsidRPr="00275290">
        <w:rPr>
          <w:rFonts w:cs="Arial"/>
        </w:rPr>
        <w:t xml:space="preserve"> * K</w:t>
      </w:r>
      <w:r w:rsidRPr="00275290">
        <w:rPr>
          <w:rFonts w:cs="Arial"/>
          <w:vertAlign w:val="subscript"/>
        </w:rPr>
        <w:t xml:space="preserve">air-soil </w:t>
      </w:r>
      <w:r w:rsidRPr="00275290">
        <w:rPr>
          <w:rFonts w:cs="Arial"/>
        </w:rPr>
        <w:t>+ F</w:t>
      </w:r>
      <w:r w:rsidRPr="00275290">
        <w:rPr>
          <w:rFonts w:cs="Arial"/>
          <w:vertAlign w:val="subscript"/>
        </w:rPr>
        <w:t xml:space="preserve">water soil </w:t>
      </w:r>
      <w:r w:rsidRPr="00275290">
        <w:rPr>
          <w:rFonts w:cs="Arial"/>
        </w:rPr>
        <w:t>+ Fsolid</w:t>
      </w:r>
      <w:r w:rsidRPr="00275290">
        <w:rPr>
          <w:rFonts w:cs="Arial"/>
          <w:vertAlign w:val="subscript"/>
        </w:rPr>
        <w:t xml:space="preserve">soil </w:t>
      </w:r>
      <w:r w:rsidRPr="00275290">
        <w:rPr>
          <w:rFonts w:cs="Arial"/>
        </w:rPr>
        <w:t>* Kp</w:t>
      </w:r>
      <w:r w:rsidRPr="00275290">
        <w:rPr>
          <w:rFonts w:cs="Arial"/>
          <w:vertAlign w:val="subscript"/>
        </w:rPr>
        <w:t>soil</w:t>
      </w:r>
      <w:r w:rsidRPr="00275290">
        <w:rPr>
          <w:rFonts w:cs="Arial"/>
        </w:rPr>
        <w:t xml:space="preserve"> * RHO</w:t>
      </w:r>
      <w:r w:rsidRPr="00275290">
        <w:rPr>
          <w:rFonts w:cs="Arial"/>
          <w:vertAlign w:val="subscript"/>
        </w:rPr>
        <w:t>solid</w:t>
      </w:r>
      <w:r w:rsidRPr="00275290">
        <w:rPr>
          <w:rFonts w:cs="Arial"/>
        </w:rPr>
        <w:t xml:space="preserve"> / 1000 </w:t>
      </w:r>
      <w:r w:rsidRPr="00275290">
        <w:rPr>
          <w:rFonts w:cs="Arial"/>
        </w:rPr>
        <w:tab/>
      </w:r>
      <w:r w:rsidRPr="00275290">
        <w:rPr>
          <w:rFonts w:cs="Arial"/>
        </w:rPr>
        <w:tab/>
        <w:t>(Eq. 24 TGD)</w:t>
      </w:r>
    </w:p>
    <w:p w14:paraId="18D0015A" w14:textId="77777777" w:rsidR="00692E71" w:rsidRPr="00275290" w:rsidRDefault="00692E71" w:rsidP="00692E71">
      <w:pPr>
        <w:rPr>
          <w:rFonts w:cs="Arial"/>
        </w:rPr>
      </w:pPr>
    </w:p>
    <w:p w14:paraId="7ED0A226" w14:textId="77777777" w:rsidR="00692E71" w:rsidRPr="00275290" w:rsidRDefault="00692E71" w:rsidP="00692E71">
      <w:pPr>
        <w:pStyle w:val="Lgende"/>
        <w:spacing w:after="0"/>
        <w:jc w:val="center"/>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13</w:t>
      </w:r>
      <w:r w:rsidRPr="00275290">
        <w:rPr>
          <w:rFonts w:ascii="Verdana" w:hAnsi="Verdana"/>
        </w:rPr>
        <w:fldChar w:fldCharType="end"/>
      </w:r>
      <w:r w:rsidRPr="00275290">
        <w:rPr>
          <w:rFonts w:ascii="Verdana" w:hAnsi="Verdana"/>
        </w:rPr>
        <w:t>: Default values from TGD.</w:t>
      </w:r>
    </w:p>
    <w:tbl>
      <w:tblPr>
        <w:tblW w:w="0" w:type="auto"/>
        <w:jc w:val="center"/>
        <w:tblLook w:val="04A0" w:firstRow="1" w:lastRow="0" w:firstColumn="1" w:lastColumn="0" w:noHBand="0" w:noVBand="1"/>
      </w:tblPr>
      <w:tblGrid>
        <w:gridCol w:w="1838"/>
        <w:gridCol w:w="2126"/>
        <w:gridCol w:w="2127"/>
      </w:tblGrid>
      <w:tr w:rsidR="00692E71" w:rsidRPr="00275290" w14:paraId="095CA6B9" w14:textId="77777777" w:rsidTr="008E0250">
        <w:trPr>
          <w:jc w:val="center"/>
        </w:trPr>
        <w:tc>
          <w:tcPr>
            <w:tcW w:w="1838" w:type="dxa"/>
            <w:shd w:val="clear" w:color="auto" w:fill="D9D9D9" w:themeFill="background1" w:themeFillShade="D9"/>
          </w:tcPr>
          <w:p w14:paraId="24E97E72" w14:textId="77777777" w:rsidR="00692E71" w:rsidRPr="00275290" w:rsidRDefault="00692E71" w:rsidP="008E0250">
            <w:pPr>
              <w:rPr>
                <w:rFonts w:cs="Arial"/>
              </w:rPr>
            </w:pPr>
            <w:r w:rsidRPr="00275290">
              <w:rPr>
                <w:rFonts w:cs="Arial"/>
              </w:rPr>
              <w:t>Symbol</w:t>
            </w:r>
          </w:p>
        </w:tc>
        <w:tc>
          <w:tcPr>
            <w:tcW w:w="2126" w:type="dxa"/>
            <w:shd w:val="clear" w:color="auto" w:fill="D9D9D9" w:themeFill="background1" w:themeFillShade="D9"/>
          </w:tcPr>
          <w:p w14:paraId="2CA4B1F5" w14:textId="77777777" w:rsidR="00692E71" w:rsidRPr="00275290" w:rsidRDefault="00692E71" w:rsidP="008E0250">
            <w:pPr>
              <w:jc w:val="center"/>
              <w:rPr>
                <w:rFonts w:cs="Arial"/>
              </w:rPr>
            </w:pPr>
            <w:r w:rsidRPr="00275290">
              <w:rPr>
                <w:rFonts w:cs="Arial"/>
              </w:rPr>
              <w:t>Value</w:t>
            </w:r>
          </w:p>
        </w:tc>
        <w:tc>
          <w:tcPr>
            <w:tcW w:w="2127" w:type="dxa"/>
            <w:shd w:val="clear" w:color="auto" w:fill="D9D9D9" w:themeFill="background1" w:themeFillShade="D9"/>
          </w:tcPr>
          <w:p w14:paraId="454BD5FA" w14:textId="77777777" w:rsidR="00692E71" w:rsidRPr="00275290" w:rsidRDefault="00692E71" w:rsidP="008E0250">
            <w:pPr>
              <w:jc w:val="center"/>
              <w:rPr>
                <w:rFonts w:cs="Arial"/>
              </w:rPr>
            </w:pPr>
            <w:r w:rsidRPr="00275290">
              <w:rPr>
                <w:rFonts w:cs="Arial"/>
              </w:rPr>
              <w:t>Unit</w:t>
            </w:r>
          </w:p>
        </w:tc>
      </w:tr>
      <w:tr w:rsidR="00692E71" w:rsidRPr="00275290" w14:paraId="2A6184CC" w14:textId="77777777" w:rsidTr="008E0250">
        <w:trPr>
          <w:jc w:val="center"/>
        </w:trPr>
        <w:tc>
          <w:tcPr>
            <w:tcW w:w="1838" w:type="dxa"/>
          </w:tcPr>
          <w:p w14:paraId="4274C4F3" w14:textId="77777777" w:rsidR="00692E71" w:rsidRPr="00275290" w:rsidRDefault="00692E71" w:rsidP="008E0250">
            <w:pPr>
              <w:rPr>
                <w:rFonts w:cs="Arial"/>
              </w:rPr>
            </w:pPr>
            <w:r w:rsidRPr="00275290">
              <w:rPr>
                <w:rFonts w:cs="Arial"/>
              </w:rPr>
              <w:t>Fair</w:t>
            </w:r>
            <w:r w:rsidRPr="00275290">
              <w:rPr>
                <w:rFonts w:cs="Arial"/>
                <w:vertAlign w:val="subscript"/>
              </w:rPr>
              <w:t>soil</w:t>
            </w:r>
          </w:p>
        </w:tc>
        <w:tc>
          <w:tcPr>
            <w:tcW w:w="2126" w:type="dxa"/>
          </w:tcPr>
          <w:p w14:paraId="14B46B88" w14:textId="77777777" w:rsidR="00692E71" w:rsidRPr="00275290" w:rsidRDefault="00692E71" w:rsidP="008E0250">
            <w:pPr>
              <w:jc w:val="center"/>
              <w:rPr>
                <w:rFonts w:cs="Arial"/>
              </w:rPr>
            </w:pPr>
            <w:r w:rsidRPr="00275290">
              <w:rPr>
                <w:rFonts w:cs="Arial"/>
              </w:rPr>
              <w:t>0.2</w:t>
            </w:r>
          </w:p>
        </w:tc>
        <w:tc>
          <w:tcPr>
            <w:tcW w:w="2127" w:type="dxa"/>
          </w:tcPr>
          <w:p w14:paraId="688DFE4B" w14:textId="77777777" w:rsidR="00692E71" w:rsidRPr="00275290" w:rsidRDefault="00692E71" w:rsidP="008E0250">
            <w:pPr>
              <w:jc w:val="center"/>
              <w:rPr>
                <w:rFonts w:cs="Arial"/>
              </w:rPr>
            </w:pPr>
            <w:r w:rsidRPr="00275290">
              <w:rPr>
                <w:rFonts w:cs="Arial"/>
              </w:rPr>
              <w:t>[m</w:t>
            </w:r>
            <w:r w:rsidRPr="00275290">
              <w:rPr>
                <w:rFonts w:cs="Arial"/>
                <w:vertAlign w:val="subscript"/>
              </w:rPr>
              <w:t>air</w:t>
            </w:r>
            <w:r w:rsidRPr="00275290">
              <w:rPr>
                <w:rFonts w:cs="Arial"/>
                <w:vertAlign w:val="superscript"/>
              </w:rPr>
              <w:t>3</w:t>
            </w:r>
            <w:r w:rsidRPr="00275290">
              <w:rPr>
                <w:rFonts w:cs="Arial"/>
              </w:rPr>
              <w:t>.m</w:t>
            </w:r>
            <w:r w:rsidRPr="00275290">
              <w:rPr>
                <w:rFonts w:cs="Arial"/>
                <w:vertAlign w:val="subscript"/>
              </w:rPr>
              <w:t>soil</w:t>
            </w:r>
            <w:r w:rsidRPr="00275290">
              <w:rPr>
                <w:rFonts w:cs="Arial"/>
                <w:vertAlign w:val="superscript"/>
              </w:rPr>
              <w:t>-3</w:t>
            </w:r>
            <w:r w:rsidRPr="00275290">
              <w:rPr>
                <w:rFonts w:cs="Arial"/>
              </w:rPr>
              <w:t>]</w:t>
            </w:r>
          </w:p>
        </w:tc>
      </w:tr>
      <w:tr w:rsidR="00692E71" w:rsidRPr="00275290" w14:paraId="5D05E918" w14:textId="77777777" w:rsidTr="008E0250">
        <w:trPr>
          <w:jc w:val="center"/>
        </w:trPr>
        <w:tc>
          <w:tcPr>
            <w:tcW w:w="1838" w:type="dxa"/>
          </w:tcPr>
          <w:p w14:paraId="7A30621E" w14:textId="77777777" w:rsidR="00692E71" w:rsidRPr="00275290" w:rsidRDefault="00692E71" w:rsidP="008E0250">
            <w:pPr>
              <w:rPr>
                <w:rFonts w:cs="Arial"/>
              </w:rPr>
            </w:pPr>
            <w:r w:rsidRPr="00275290">
              <w:rPr>
                <w:rFonts w:cs="Arial"/>
              </w:rPr>
              <w:t>F</w:t>
            </w:r>
            <w:r w:rsidRPr="00275290">
              <w:rPr>
                <w:rFonts w:cs="Arial"/>
                <w:vertAlign w:val="subscript"/>
              </w:rPr>
              <w:t>water soil</w:t>
            </w:r>
          </w:p>
        </w:tc>
        <w:tc>
          <w:tcPr>
            <w:tcW w:w="2126" w:type="dxa"/>
          </w:tcPr>
          <w:p w14:paraId="2D311B33" w14:textId="77777777" w:rsidR="00692E71" w:rsidRPr="00275290" w:rsidRDefault="00692E71" w:rsidP="008E0250">
            <w:pPr>
              <w:jc w:val="center"/>
              <w:rPr>
                <w:rFonts w:cs="Arial"/>
              </w:rPr>
            </w:pPr>
            <w:r w:rsidRPr="00275290">
              <w:rPr>
                <w:rFonts w:cs="Arial"/>
              </w:rPr>
              <w:t>0.2</w:t>
            </w:r>
          </w:p>
        </w:tc>
        <w:tc>
          <w:tcPr>
            <w:tcW w:w="2127" w:type="dxa"/>
          </w:tcPr>
          <w:p w14:paraId="4FED4892" w14:textId="77777777" w:rsidR="00692E71" w:rsidRPr="00275290" w:rsidRDefault="00692E71" w:rsidP="008E0250">
            <w:pPr>
              <w:jc w:val="center"/>
              <w:rPr>
                <w:rFonts w:cs="Arial"/>
              </w:rPr>
            </w:pPr>
            <w:r w:rsidRPr="00275290">
              <w:rPr>
                <w:rFonts w:cs="Arial"/>
              </w:rPr>
              <w:t>[m</w:t>
            </w:r>
            <w:r w:rsidRPr="00275290">
              <w:rPr>
                <w:rFonts w:cs="Arial"/>
                <w:vertAlign w:val="subscript"/>
              </w:rPr>
              <w:t>water</w:t>
            </w:r>
            <w:r w:rsidRPr="00275290">
              <w:rPr>
                <w:rFonts w:cs="Arial"/>
                <w:vertAlign w:val="superscript"/>
              </w:rPr>
              <w:t>3</w:t>
            </w:r>
            <w:r w:rsidRPr="00275290">
              <w:rPr>
                <w:rFonts w:cs="Arial"/>
              </w:rPr>
              <w:t>.m</w:t>
            </w:r>
            <w:r w:rsidRPr="00275290">
              <w:rPr>
                <w:rFonts w:cs="Arial"/>
                <w:vertAlign w:val="subscript"/>
              </w:rPr>
              <w:t>soil</w:t>
            </w:r>
            <w:r w:rsidRPr="00275290">
              <w:rPr>
                <w:rFonts w:cs="Arial"/>
                <w:vertAlign w:val="superscript"/>
              </w:rPr>
              <w:t>-3</w:t>
            </w:r>
            <w:r w:rsidRPr="00275290">
              <w:rPr>
                <w:rFonts w:cs="Arial"/>
              </w:rPr>
              <w:t>]</w:t>
            </w:r>
          </w:p>
        </w:tc>
      </w:tr>
      <w:tr w:rsidR="00692E71" w:rsidRPr="00275290" w14:paraId="7B30E303" w14:textId="77777777" w:rsidTr="008E0250">
        <w:trPr>
          <w:jc w:val="center"/>
        </w:trPr>
        <w:tc>
          <w:tcPr>
            <w:tcW w:w="1838" w:type="dxa"/>
          </w:tcPr>
          <w:p w14:paraId="46CC38AD" w14:textId="77777777" w:rsidR="00692E71" w:rsidRPr="00275290" w:rsidRDefault="00692E71" w:rsidP="008E0250">
            <w:pPr>
              <w:rPr>
                <w:rFonts w:cs="Arial"/>
              </w:rPr>
            </w:pPr>
            <w:r w:rsidRPr="00275290">
              <w:rPr>
                <w:rFonts w:cs="Arial"/>
              </w:rPr>
              <w:t>Fsolid</w:t>
            </w:r>
            <w:r w:rsidRPr="00275290">
              <w:rPr>
                <w:rFonts w:cs="Arial"/>
                <w:vertAlign w:val="subscript"/>
              </w:rPr>
              <w:t>soil</w:t>
            </w:r>
          </w:p>
        </w:tc>
        <w:tc>
          <w:tcPr>
            <w:tcW w:w="2126" w:type="dxa"/>
          </w:tcPr>
          <w:p w14:paraId="23A72176" w14:textId="77777777" w:rsidR="00692E71" w:rsidRPr="00275290" w:rsidRDefault="00692E71" w:rsidP="008E0250">
            <w:pPr>
              <w:jc w:val="center"/>
              <w:rPr>
                <w:rFonts w:cs="Arial"/>
              </w:rPr>
            </w:pPr>
            <w:r w:rsidRPr="00275290">
              <w:rPr>
                <w:rFonts w:cs="Arial"/>
              </w:rPr>
              <w:t>0.6</w:t>
            </w:r>
          </w:p>
        </w:tc>
        <w:tc>
          <w:tcPr>
            <w:tcW w:w="2127" w:type="dxa"/>
          </w:tcPr>
          <w:p w14:paraId="5DBB72D3" w14:textId="77777777" w:rsidR="00692E71" w:rsidRPr="00275290" w:rsidRDefault="00692E71" w:rsidP="008E0250">
            <w:pPr>
              <w:jc w:val="center"/>
              <w:rPr>
                <w:rFonts w:cs="Arial"/>
              </w:rPr>
            </w:pPr>
            <w:r w:rsidRPr="00275290">
              <w:rPr>
                <w:rFonts w:cs="Arial"/>
              </w:rPr>
              <w:t>[m</w:t>
            </w:r>
            <w:r w:rsidRPr="00275290">
              <w:rPr>
                <w:rFonts w:cs="Arial"/>
                <w:vertAlign w:val="subscript"/>
              </w:rPr>
              <w:t>solid</w:t>
            </w:r>
            <w:r w:rsidRPr="00275290">
              <w:rPr>
                <w:rFonts w:cs="Arial"/>
                <w:vertAlign w:val="superscript"/>
              </w:rPr>
              <w:t>3</w:t>
            </w:r>
            <w:r w:rsidRPr="00275290">
              <w:rPr>
                <w:rFonts w:cs="Arial"/>
              </w:rPr>
              <w:t>.m</w:t>
            </w:r>
            <w:r w:rsidRPr="00275290">
              <w:rPr>
                <w:rFonts w:cs="Arial"/>
                <w:vertAlign w:val="subscript"/>
              </w:rPr>
              <w:t>soil</w:t>
            </w:r>
            <w:r w:rsidRPr="00275290">
              <w:rPr>
                <w:rFonts w:cs="Arial"/>
                <w:vertAlign w:val="superscript"/>
              </w:rPr>
              <w:t>-3</w:t>
            </w:r>
            <w:r w:rsidRPr="00275290">
              <w:rPr>
                <w:rFonts w:cs="Arial"/>
              </w:rPr>
              <w:t>]</w:t>
            </w:r>
          </w:p>
        </w:tc>
      </w:tr>
      <w:tr w:rsidR="00692E71" w:rsidRPr="00275290" w14:paraId="59CA370A" w14:textId="77777777" w:rsidTr="008E0250">
        <w:trPr>
          <w:jc w:val="center"/>
        </w:trPr>
        <w:tc>
          <w:tcPr>
            <w:tcW w:w="1838" w:type="dxa"/>
          </w:tcPr>
          <w:p w14:paraId="1D81EC8B" w14:textId="77777777" w:rsidR="00692E71" w:rsidRPr="00275290" w:rsidRDefault="00692E71" w:rsidP="008E0250">
            <w:pPr>
              <w:rPr>
                <w:rFonts w:cs="Arial"/>
              </w:rPr>
            </w:pPr>
            <w:r w:rsidRPr="00275290">
              <w:rPr>
                <w:rFonts w:cs="Arial"/>
              </w:rPr>
              <w:t>R</w:t>
            </w:r>
          </w:p>
        </w:tc>
        <w:tc>
          <w:tcPr>
            <w:tcW w:w="2126" w:type="dxa"/>
          </w:tcPr>
          <w:p w14:paraId="1C5C4D1E" w14:textId="77777777" w:rsidR="00692E71" w:rsidRPr="00275290" w:rsidRDefault="00692E71" w:rsidP="008E0250">
            <w:pPr>
              <w:jc w:val="center"/>
              <w:rPr>
                <w:rFonts w:cs="Arial"/>
              </w:rPr>
            </w:pPr>
            <w:r w:rsidRPr="00275290">
              <w:rPr>
                <w:rFonts w:cs="Arial"/>
              </w:rPr>
              <w:t>8.314</w:t>
            </w:r>
          </w:p>
        </w:tc>
        <w:tc>
          <w:tcPr>
            <w:tcW w:w="2127" w:type="dxa"/>
          </w:tcPr>
          <w:p w14:paraId="1C07295B" w14:textId="77777777" w:rsidR="00692E71" w:rsidRPr="00275290" w:rsidRDefault="00692E71" w:rsidP="008E0250">
            <w:pPr>
              <w:jc w:val="center"/>
              <w:rPr>
                <w:rFonts w:cs="Arial"/>
              </w:rPr>
            </w:pPr>
            <w:r w:rsidRPr="00275290">
              <w:rPr>
                <w:rFonts w:cs="Arial"/>
              </w:rPr>
              <w:t>[Pa·m</w:t>
            </w:r>
            <w:r w:rsidRPr="00275290">
              <w:rPr>
                <w:rFonts w:cs="Arial"/>
                <w:vertAlign w:val="superscript"/>
              </w:rPr>
              <w:t>3</w:t>
            </w:r>
            <w:r w:rsidRPr="00275290">
              <w:rPr>
                <w:rFonts w:cs="Arial"/>
              </w:rPr>
              <w:t>·mol</w:t>
            </w:r>
            <w:r w:rsidRPr="00275290">
              <w:rPr>
                <w:rFonts w:cs="Arial"/>
                <w:vertAlign w:val="superscript"/>
              </w:rPr>
              <w:t>-1</w:t>
            </w:r>
            <w:r w:rsidRPr="00275290">
              <w:rPr>
                <w:rFonts w:cs="Arial"/>
              </w:rPr>
              <w:t>]</w:t>
            </w:r>
          </w:p>
        </w:tc>
      </w:tr>
      <w:tr w:rsidR="00692E71" w:rsidRPr="00275290" w14:paraId="4C508E68" w14:textId="77777777" w:rsidTr="008E0250">
        <w:trPr>
          <w:jc w:val="center"/>
        </w:trPr>
        <w:tc>
          <w:tcPr>
            <w:tcW w:w="1838" w:type="dxa"/>
          </w:tcPr>
          <w:p w14:paraId="3DAE5034" w14:textId="77777777" w:rsidR="00692E71" w:rsidRPr="00275290" w:rsidRDefault="00692E71" w:rsidP="008E0250">
            <w:pPr>
              <w:rPr>
                <w:rFonts w:cs="Arial"/>
              </w:rPr>
            </w:pPr>
            <w:r w:rsidRPr="00275290">
              <w:rPr>
                <w:rFonts w:cs="Arial"/>
              </w:rPr>
              <w:t>Temp</w:t>
            </w:r>
          </w:p>
        </w:tc>
        <w:tc>
          <w:tcPr>
            <w:tcW w:w="2126" w:type="dxa"/>
          </w:tcPr>
          <w:p w14:paraId="63479F00" w14:textId="77777777" w:rsidR="00692E71" w:rsidRPr="00275290" w:rsidRDefault="00692E71" w:rsidP="008E0250">
            <w:pPr>
              <w:jc w:val="center"/>
              <w:rPr>
                <w:rFonts w:cs="Arial"/>
              </w:rPr>
            </w:pPr>
            <w:r w:rsidRPr="00275290">
              <w:rPr>
                <w:rFonts w:cs="Arial"/>
              </w:rPr>
              <w:t>285</w:t>
            </w:r>
          </w:p>
        </w:tc>
        <w:tc>
          <w:tcPr>
            <w:tcW w:w="2127" w:type="dxa"/>
          </w:tcPr>
          <w:p w14:paraId="4DABA11C" w14:textId="77777777" w:rsidR="00692E71" w:rsidRPr="00275290" w:rsidRDefault="00692E71" w:rsidP="008E0250">
            <w:pPr>
              <w:jc w:val="center"/>
              <w:rPr>
                <w:rFonts w:cs="Arial"/>
              </w:rPr>
            </w:pPr>
            <w:r w:rsidRPr="00275290">
              <w:rPr>
                <w:rFonts w:cs="Arial"/>
              </w:rPr>
              <w:t>[K[</w:t>
            </w:r>
          </w:p>
        </w:tc>
      </w:tr>
      <w:tr w:rsidR="00692E71" w:rsidRPr="00275290" w14:paraId="1C50F1B8" w14:textId="77777777" w:rsidTr="008E0250">
        <w:trPr>
          <w:jc w:val="center"/>
        </w:trPr>
        <w:tc>
          <w:tcPr>
            <w:tcW w:w="1838" w:type="dxa"/>
          </w:tcPr>
          <w:p w14:paraId="49740073" w14:textId="77777777" w:rsidR="00692E71" w:rsidRPr="00275290" w:rsidRDefault="00692E71" w:rsidP="008E0250">
            <w:pPr>
              <w:rPr>
                <w:rFonts w:cs="Arial"/>
              </w:rPr>
            </w:pPr>
            <w:r w:rsidRPr="00275290">
              <w:rPr>
                <w:rFonts w:cs="Arial"/>
              </w:rPr>
              <w:t>Foc</w:t>
            </w:r>
            <w:r w:rsidRPr="00275290">
              <w:rPr>
                <w:rFonts w:cs="Arial"/>
                <w:vertAlign w:val="subscript"/>
              </w:rPr>
              <w:t>soil</w:t>
            </w:r>
          </w:p>
        </w:tc>
        <w:tc>
          <w:tcPr>
            <w:tcW w:w="2126" w:type="dxa"/>
          </w:tcPr>
          <w:p w14:paraId="02421F5C" w14:textId="77777777" w:rsidR="00692E71" w:rsidRPr="00275290" w:rsidRDefault="00692E71" w:rsidP="008E0250">
            <w:pPr>
              <w:jc w:val="center"/>
              <w:rPr>
                <w:rFonts w:cs="Arial"/>
              </w:rPr>
            </w:pPr>
            <w:r w:rsidRPr="00275290">
              <w:rPr>
                <w:rFonts w:cs="Arial"/>
              </w:rPr>
              <w:t>0.02</w:t>
            </w:r>
          </w:p>
        </w:tc>
        <w:tc>
          <w:tcPr>
            <w:tcW w:w="2127" w:type="dxa"/>
          </w:tcPr>
          <w:p w14:paraId="3DB9CF42" w14:textId="77777777" w:rsidR="00692E71" w:rsidRPr="00275290" w:rsidRDefault="00692E71" w:rsidP="008E0250">
            <w:pPr>
              <w:jc w:val="center"/>
              <w:rPr>
                <w:rFonts w:cs="Arial"/>
              </w:rPr>
            </w:pPr>
            <w:r w:rsidRPr="00275290">
              <w:rPr>
                <w:rFonts w:cs="Arial"/>
              </w:rPr>
              <w:t>[kg/kg]</w:t>
            </w:r>
          </w:p>
        </w:tc>
      </w:tr>
      <w:tr w:rsidR="00692E71" w:rsidRPr="00275290" w14:paraId="2DFB4701" w14:textId="77777777" w:rsidTr="008E0250">
        <w:trPr>
          <w:jc w:val="center"/>
        </w:trPr>
        <w:tc>
          <w:tcPr>
            <w:tcW w:w="1838" w:type="dxa"/>
          </w:tcPr>
          <w:p w14:paraId="6855E90C" w14:textId="77777777" w:rsidR="00692E71" w:rsidRPr="00275290" w:rsidRDefault="00692E71" w:rsidP="008E0250">
            <w:pPr>
              <w:rPr>
                <w:rFonts w:cs="Arial"/>
              </w:rPr>
            </w:pPr>
            <w:r w:rsidRPr="00275290">
              <w:rPr>
                <w:rFonts w:cs="Arial"/>
              </w:rPr>
              <w:t>Koc</w:t>
            </w:r>
          </w:p>
        </w:tc>
        <w:tc>
          <w:tcPr>
            <w:tcW w:w="2126" w:type="dxa"/>
          </w:tcPr>
          <w:p w14:paraId="42DA5CF5" w14:textId="77777777" w:rsidR="00692E71" w:rsidRPr="00275290" w:rsidRDefault="00692E71" w:rsidP="008E0250">
            <w:pPr>
              <w:jc w:val="center"/>
              <w:rPr>
                <w:rFonts w:cs="Arial"/>
              </w:rPr>
            </w:pPr>
            <w:r w:rsidRPr="00275290">
              <w:rPr>
                <w:rFonts w:cs="Arial"/>
              </w:rPr>
              <w:t>126</w:t>
            </w:r>
          </w:p>
        </w:tc>
        <w:tc>
          <w:tcPr>
            <w:tcW w:w="2127" w:type="dxa"/>
          </w:tcPr>
          <w:p w14:paraId="4E2CF68C" w14:textId="77777777" w:rsidR="00692E71" w:rsidRPr="00275290" w:rsidRDefault="00692E71" w:rsidP="008E0250">
            <w:pPr>
              <w:jc w:val="center"/>
              <w:rPr>
                <w:rFonts w:cs="Arial"/>
              </w:rPr>
            </w:pPr>
            <w:r w:rsidRPr="00275290">
              <w:rPr>
                <w:rFonts w:cs="Arial"/>
              </w:rPr>
              <w:t>[L/kg]</w:t>
            </w:r>
          </w:p>
        </w:tc>
      </w:tr>
      <w:tr w:rsidR="00692E71" w:rsidRPr="00275290" w14:paraId="37F2B4E8" w14:textId="77777777" w:rsidTr="008E0250">
        <w:trPr>
          <w:jc w:val="center"/>
        </w:trPr>
        <w:tc>
          <w:tcPr>
            <w:tcW w:w="1838" w:type="dxa"/>
          </w:tcPr>
          <w:p w14:paraId="1BDFCBA8" w14:textId="77777777" w:rsidR="00692E71" w:rsidRPr="00275290" w:rsidRDefault="00692E71" w:rsidP="008E0250">
            <w:pPr>
              <w:rPr>
                <w:rFonts w:cs="Arial"/>
              </w:rPr>
            </w:pPr>
            <w:r w:rsidRPr="00275290">
              <w:rPr>
                <w:rFonts w:cs="Arial"/>
              </w:rPr>
              <w:lastRenderedPageBreak/>
              <w:t>RHO</w:t>
            </w:r>
            <w:r w:rsidRPr="00275290">
              <w:rPr>
                <w:rFonts w:cs="Arial"/>
                <w:vertAlign w:val="subscript"/>
              </w:rPr>
              <w:t>solid</w:t>
            </w:r>
          </w:p>
        </w:tc>
        <w:tc>
          <w:tcPr>
            <w:tcW w:w="2126" w:type="dxa"/>
          </w:tcPr>
          <w:p w14:paraId="73949AC9" w14:textId="77777777" w:rsidR="00692E71" w:rsidRPr="00275290" w:rsidRDefault="00692E71" w:rsidP="008E0250">
            <w:pPr>
              <w:jc w:val="center"/>
              <w:rPr>
                <w:rFonts w:cs="Arial"/>
              </w:rPr>
            </w:pPr>
            <w:r w:rsidRPr="00275290">
              <w:rPr>
                <w:rFonts w:cs="Arial"/>
              </w:rPr>
              <w:t>2500</w:t>
            </w:r>
          </w:p>
        </w:tc>
        <w:tc>
          <w:tcPr>
            <w:tcW w:w="2127" w:type="dxa"/>
          </w:tcPr>
          <w:p w14:paraId="2702F80C" w14:textId="77777777" w:rsidR="00692E71" w:rsidRPr="00275290" w:rsidRDefault="00692E71" w:rsidP="008E0250">
            <w:pPr>
              <w:jc w:val="center"/>
              <w:rPr>
                <w:rFonts w:cs="Arial"/>
              </w:rPr>
            </w:pPr>
            <w:r w:rsidRPr="00275290">
              <w:rPr>
                <w:rFonts w:cs="Arial"/>
              </w:rPr>
              <w:t>[kg</w:t>
            </w:r>
            <w:r w:rsidRPr="00275290">
              <w:rPr>
                <w:rFonts w:cs="Arial"/>
                <w:vertAlign w:val="subscript"/>
              </w:rPr>
              <w:t>solid</w:t>
            </w:r>
            <w:r w:rsidRPr="00275290">
              <w:rPr>
                <w:rFonts w:cs="Arial"/>
              </w:rPr>
              <w:t>.m</w:t>
            </w:r>
            <w:r w:rsidRPr="00275290">
              <w:rPr>
                <w:rFonts w:cs="Arial"/>
                <w:vertAlign w:val="subscript"/>
              </w:rPr>
              <w:t>solid</w:t>
            </w:r>
            <w:r w:rsidRPr="00275290">
              <w:rPr>
                <w:rFonts w:cs="Arial"/>
                <w:vertAlign w:val="superscript"/>
              </w:rPr>
              <w:t>-3</w:t>
            </w:r>
            <w:r w:rsidRPr="00275290">
              <w:rPr>
                <w:rFonts w:cs="Arial"/>
              </w:rPr>
              <w:t>]</w:t>
            </w:r>
          </w:p>
        </w:tc>
      </w:tr>
    </w:tbl>
    <w:p w14:paraId="75130C3C" w14:textId="77777777" w:rsidR="00692E71" w:rsidRPr="00275290" w:rsidRDefault="00692E71" w:rsidP="00692E71">
      <w:pPr>
        <w:rPr>
          <w:rFonts w:cs="Arial"/>
        </w:rPr>
      </w:pPr>
    </w:p>
    <w:p w14:paraId="76C93F79" w14:textId="77777777" w:rsidR="00692E71" w:rsidRPr="00275290" w:rsidRDefault="00692E71" w:rsidP="00692E71">
      <w:pPr>
        <w:rPr>
          <w:rFonts w:cs="Arial"/>
        </w:rPr>
      </w:pPr>
      <w:r w:rsidRPr="00275290">
        <w:rPr>
          <w:rFonts w:cs="Arial"/>
        </w:rPr>
        <w:t>Example for IPBC:</w:t>
      </w:r>
    </w:p>
    <w:p w14:paraId="2194F188" w14:textId="77777777" w:rsidR="00692E71" w:rsidRPr="00275290" w:rsidRDefault="00692E71" w:rsidP="00692E71">
      <w:pPr>
        <w:rPr>
          <w:rFonts w:cs="Arial"/>
        </w:rPr>
      </w:pPr>
      <w:r w:rsidRPr="00275290">
        <w:rPr>
          <w:rFonts w:cs="Arial"/>
        </w:rPr>
        <w:t>K</w:t>
      </w:r>
      <w:r w:rsidRPr="00275290">
        <w:rPr>
          <w:rFonts w:cs="Arial"/>
          <w:vertAlign w:val="subscript"/>
        </w:rPr>
        <w:t>soil-water</w:t>
      </w:r>
      <w:r w:rsidRPr="00275290">
        <w:rPr>
          <w:rFonts w:cs="Arial"/>
        </w:rPr>
        <w:t xml:space="preserve"> = Fair</w:t>
      </w:r>
      <w:r w:rsidRPr="00275290">
        <w:rPr>
          <w:rFonts w:cs="Arial"/>
          <w:vertAlign w:val="subscript"/>
        </w:rPr>
        <w:t>soil</w:t>
      </w:r>
      <w:r w:rsidRPr="00275290">
        <w:rPr>
          <w:rFonts w:cs="Arial"/>
        </w:rPr>
        <w:t xml:space="preserve"> * Henry / R * Temp</w:t>
      </w:r>
      <w:r w:rsidRPr="00275290">
        <w:rPr>
          <w:rFonts w:cs="Arial"/>
          <w:vertAlign w:val="subscript"/>
        </w:rPr>
        <w:t xml:space="preserve"> </w:t>
      </w:r>
      <w:r w:rsidRPr="00275290">
        <w:rPr>
          <w:rFonts w:cs="Arial"/>
        </w:rPr>
        <w:t>+ F</w:t>
      </w:r>
      <w:r w:rsidRPr="00275290">
        <w:rPr>
          <w:rFonts w:cs="Arial"/>
          <w:vertAlign w:val="subscript"/>
        </w:rPr>
        <w:t xml:space="preserve">water soil </w:t>
      </w:r>
      <w:r w:rsidRPr="00275290">
        <w:rPr>
          <w:rFonts w:cs="Arial"/>
        </w:rPr>
        <w:t>+ Fsolid</w:t>
      </w:r>
      <w:r w:rsidRPr="00275290">
        <w:rPr>
          <w:rFonts w:cs="Arial"/>
          <w:vertAlign w:val="subscript"/>
        </w:rPr>
        <w:t xml:space="preserve">soil </w:t>
      </w:r>
      <w:r w:rsidRPr="00275290">
        <w:rPr>
          <w:rFonts w:cs="Arial"/>
        </w:rPr>
        <w:t>* Foc</w:t>
      </w:r>
      <w:r w:rsidRPr="00275290">
        <w:rPr>
          <w:rFonts w:cs="Arial"/>
          <w:vertAlign w:val="subscript"/>
        </w:rPr>
        <w:t>soil</w:t>
      </w:r>
      <w:r w:rsidRPr="00275290">
        <w:rPr>
          <w:rFonts w:cs="Arial"/>
        </w:rPr>
        <w:t xml:space="preserve"> * Koc * RHO</w:t>
      </w:r>
      <w:r w:rsidRPr="00275290">
        <w:rPr>
          <w:rFonts w:cs="Arial"/>
          <w:vertAlign w:val="subscript"/>
        </w:rPr>
        <w:t>solid</w:t>
      </w:r>
      <w:r w:rsidRPr="00275290">
        <w:rPr>
          <w:rFonts w:cs="Arial"/>
        </w:rPr>
        <w:t xml:space="preserve"> / 1000</w:t>
      </w:r>
    </w:p>
    <w:p w14:paraId="6A02A986" w14:textId="77777777" w:rsidR="00692E71" w:rsidRPr="00275290" w:rsidRDefault="00692E71" w:rsidP="00692E71">
      <w:pPr>
        <w:rPr>
          <w:rFonts w:cs="Arial"/>
        </w:rPr>
      </w:pPr>
      <w:r w:rsidRPr="00275290">
        <w:rPr>
          <w:rFonts w:cs="Arial"/>
        </w:rPr>
        <w:t>K</w:t>
      </w:r>
      <w:r w:rsidRPr="00275290">
        <w:rPr>
          <w:rFonts w:cs="Arial"/>
          <w:vertAlign w:val="subscript"/>
        </w:rPr>
        <w:t>soil-water</w:t>
      </w:r>
      <w:r w:rsidRPr="00275290">
        <w:rPr>
          <w:rFonts w:cs="Arial"/>
        </w:rPr>
        <w:t xml:space="preserve"> = 0.2 * 0.00645 / 8.314 * 285 + 0.2 + 0.6 * 0.02 * 126 * 2500 /1000</w:t>
      </w:r>
    </w:p>
    <w:p w14:paraId="032E5F96" w14:textId="77777777" w:rsidR="00692E71" w:rsidRPr="00275290" w:rsidRDefault="00692E71" w:rsidP="00692E71">
      <w:pPr>
        <w:rPr>
          <w:rFonts w:cs="Arial"/>
        </w:rPr>
      </w:pPr>
      <w:r w:rsidRPr="00275290">
        <w:rPr>
          <w:rFonts w:cs="Arial"/>
        </w:rPr>
        <w:t>K</w:t>
      </w:r>
      <w:r w:rsidRPr="00275290">
        <w:rPr>
          <w:rFonts w:cs="Arial"/>
          <w:vertAlign w:val="subscript"/>
        </w:rPr>
        <w:t>soil-water</w:t>
      </w:r>
      <w:r w:rsidRPr="00275290">
        <w:rPr>
          <w:rFonts w:cs="Arial"/>
        </w:rPr>
        <w:t xml:space="preserve"> = 3.98 m</w:t>
      </w:r>
      <w:r w:rsidRPr="00275290">
        <w:rPr>
          <w:rFonts w:cs="Arial"/>
          <w:vertAlign w:val="superscript"/>
        </w:rPr>
        <w:t>3</w:t>
      </w:r>
      <w:r w:rsidRPr="00275290">
        <w:rPr>
          <w:rFonts w:cs="Arial"/>
        </w:rPr>
        <w:t>/m</w:t>
      </w:r>
      <w:r w:rsidRPr="00275290">
        <w:rPr>
          <w:rFonts w:cs="Arial"/>
          <w:vertAlign w:val="superscript"/>
        </w:rPr>
        <w:t>3</w:t>
      </w:r>
      <w:r w:rsidRPr="00275290">
        <w:rPr>
          <w:rFonts w:cs="Arial"/>
        </w:rPr>
        <w:t>.</w:t>
      </w:r>
    </w:p>
    <w:p w14:paraId="2515B22B" w14:textId="77777777" w:rsidR="00692E71" w:rsidRPr="00275290" w:rsidRDefault="00692E71" w:rsidP="00692E71">
      <w:pPr>
        <w:rPr>
          <w:rFonts w:cs="Arial"/>
        </w:rPr>
      </w:pPr>
    </w:p>
    <w:p w14:paraId="4C60E9B3" w14:textId="77777777" w:rsidR="00692E71" w:rsidRPr="008551C7" w:rsidRDefault="00692E71" w:rsidP="003356DA">
      <w:pPr>
        <w:pStyle w:val="Titre6"/>
        <w:rPr>
          <w:lang w:val="en-US"/>
        </w:rPr>
      </w:pPr>
      <w:bookmarkStart w:id="129" w:name="_Toc452668994"/>
      <w:r w:rsidRPr="008551C7">
        <w:rPr>
          <w:lang w:val="en-US"/>
        </w:rPr>
        <w:t>House scenario, concentrations from in-service of industrial treated wood with removal</w:t>
      </w:r>
      <w:bookmarkEnd w:id="129"/>
    </w:p>
    <w:p w14:paraId="3CF24CD9" w14:textId="77777777" w:rsidR="00692E71" w:rsidRPr="00275290" w:rsidRDefault="00692E71" w:rsidP="00692E71">
      <w:pPr>
        <w:rPr>
          <w:rFonts w:cs="Arial"/>
        </w:rPr>
      </w:pPr>
    </w:p>
    <w:p w14:paraId="367AEBFC" w14:textId="77777777" w:rsidR="00692E71" w:rsidRPr="00275290" w:rsidRDefault="00692E71" w:rsidP="00692E71">
      <w:pPr>
        <w:rPr>
          <w:rFonts w:cs="Arial"/>
        </w:rPr>
      </w:pPr>
      <w:r w:rsidRPr="00275290">
        <w:rPr>
          <w:rFonts w:cs="Arial"/>
        </w:rPr>
        <w:t xml:space="preserve">In a second tier, soil and pore-water concentrations taking removal into account were calculated. In the ESD, section 3.4.1.2, a model is described to estimate the time dependent concentration in soil based on a single emission during application followed by an average leaching rate from the wood in service. When </w:t>
      </w:r>
      <w:r w:rsidRPr="00275290">
        <w:rPr>
          <w:rFonts w:cs="Arial"/>
          <w:i/>
          <w:iCs/>
        </w:rPr>
        <w:t>in-situ</w:t>
      </w:r>
      <w:r w:rsidRPr="00275290">
        <w:rPr>
          <w:rFonts w:cs="Arial"/>
        </w:rPr>
        <w:t xml:space="preserve"> application is used equation 3.7 and 3.8 are recommended.</w:t>
      </w:r>
    </w:p>
    <w:p w14:paraId="24BC0382" w14:textId="77777777" w:rsidR="00692E71" w:rsidRPr="00275290" w:rsidRDefault="00692E71" w:rsidP="00692E71">
      <w:pPr>
        <w:rPr>
          <w:rFonts w:cs="Arial"/>
          <w:lang w:eastAsia="en-US"/>
        </w:rPr>
      </w:pPr>
    </w:p>
    <w:p w14:paraId="5BDF4759" w14:textId="77777777" w:rsidR="00692E71" w:rsidRPr="00275290" w:rsidRDefault="00692E71" w:rsidP="00692E71">
      <w:pPr>
        <w:rPr>
          <w:rFonts w:cs="Arial"/>
        </w:rPr>
      </w:pPr>
      <w:r w:rsidRPr="00275290">
        <w:rPr>
          <w:rFonts w:cs="Arial"/>
        </w:rPr>
        <w:t>The use of other models for higher tier estimation is also suggested in the ESD (paragraph 54).</w:t>
      </w:r>
    </w:p>
    <w:p w14:paraId="1FC11938" w14:textId="77777777" w:rsidR="00692E71" w:rsidRPr="00275290" w:rsidRDefault="00692E71" w:rsidP="00692E71">
      <w:pPr>
        <w:rPr>
          <w:rFonts w:cs="Arial"/>
        </w:rPr>
      </w:pPr>
    </w:p>
    <w:p w14:paraId="4DF144CC" w14:textId="77777777" w:rsidR="00692E71" w:rsidRPr="00275290" w:rsidRDefault="00692E71" w:rsidP="00692E71">
      <w:pPr>
        <w:rPr>
          <w:rFonts w:cs="Arial"/>
        </w:rPr>
      </w:pPr>
      <w:r w:rsidRPr="00275290">
        <w:rPr>
          <w:rFonts w:cs="Arial"/>
        </w:rPr>
        <w:t xml:space="preserve">In the TGD, section 2.3.8.5, a general model for removal processes is described. This model is derived from pesticide use in the agriculture and describes the </w:t>
      </w:r>
      <w:r w:rsidRPr="00275290">
        <w:rPr>
          <w:rFonts w:cs="Arial"/>
          <w:i/>
          <w:iCs/>
        </w:rPr>
        <w:t>in-situ</w:t>
      </w:r>
      <w:r w:rsidRPr="00275290">
        <w:rPr>
          <w:rFonts w:cs="Arial"/>
        </w:rPr>
        <w:t xml:space="preserve"> application of biocides:</w:t>
      </w:r>
    </w:p>
    <w:p w14:paraId="3BE91C94" w14:textId="77777777" w:rsidR="00692E71" w:rsidRPr="00275290" w:rsidRDefault="00692E71" w:rsidP="00692E71">
      <w:pPr>
        <w:rPr>
          <w:rFonts w:cs="Arial"/>
        </w:rPr>
      </w:pPr>
    </w:p>
    <w:p w14:paraId="78FA24C4" w14:textId="77777777" w:rsidR="00692E71" w:rsidRPr="00275290" w:rsidRDefault="00692E71" w:rsidP="00692E71">
      <w:pPr>
        <w:rPr>
          <w:rFonts w:cs="Arial"/>
        </w:rPr>
      </w:pPr>
      <m:oMath>
        <m:r>
          <w:rPr>
            <w:rFonts w:ascii="Cambria Math" w:hAnsi="Cambria Math" w:cs="Arial"/>
          </w:rPr>
          <m:t>Clocal soil</m:t>
        </m:r>
        <m:d>
          <m:dPr>
            <m:ctrlPr>
              <w:rPr>
                <w:rFonts w:ascii="Cambria Math" w:eastAsiaTheme="minorHAnsi" w:hAnsi="Cambria Math" w:cs="Arial"/>
                <w:i/>
                <w:iCs/>
              </w:rPr>
            </m:ctrlPr>
          </m:dPr>
          <m:e>
            <m:r>
              <w:rPr>
                <w:rFonts w:ascii="Cambria Math" w:hAnsi="Cambria Math" w:cs="Arial"/>
              </w:rPr>
              <m:t>t</m:t>
            </m:r>
          </m:e>
        </m:d>
        <m:r>
          <w:rPr>
            <w:rFonts w:ascii="Cambria Math" w:hAnsi="Cambria Math" w:cs="Arial"/>
          </w:rPr>
          <m:t>=</m:t>
        </m:r>
        <m:f>
          <m:fPr>
            <m:ctrlPr>
              <w:rPr>
                <w:rFonts w:ascii="Cambria Math" w:eastAsiaTheme="minorHAnsi" w:hAnsi="Cambria Math" w:cs="Arial"/>
                <w:i/>
                <w:iCs/>
              </w:rPr>
            </m:ctrlPr>
          </m:fPr>
          <m:num>
            <m:r>
              <w:rPr>
                <w:rFonts w:ascii="Cambria Math" w:hAnsi="Cambria Math" w:cs="Arial"/>
              </w:rPr>
              <m:t>D air</m:t>
            </m:r>
          </m:num>
          <m:den>
            <m:r>
              <w:rPr>
                <w:rFonts w:ascii="Cambria Math" w:hAnsi="Cambria Math" w:cs="Arial"/>
              </w:rPr>
              <m:t>k</m:t>
            </m:r>
          </m:den>
        </m:f>
        <m:r>
          <w:rPr>
            <w:rFonts w:ascii="Cambria Math" w:hAnsi="Cambria Math" w:cs="Arial"/>
          </w:rPr>
          <m:t>-</m:t>
        </m:r>
        <m:d>
          <m:dPr>
            <m:begChr m:val="["/>
            <m:endChr m:val="]"/>
            <m:ctrlPr>
              <w:rPr>
                <w:rFonts w:ascii="Cambria Math" w:eastAsiaTheme="minorHAnsi" w:hAnsi="Cambria Math" w:cs="Arial"/>
                <w:i/>
                <w:iCs/>
              </w:rPr>
            </m:ctrlPr>
          </m:dPr>
          <m:e>
            <m:f>
              <m:fPr>
                <m:ctrlPr>
                  <w:rPr>
                    <w:rFonts w:ascii="Cambria Math" w:eastAsiaTheme="minorHAnsi" w:hAnsi="Cambria Math" w:cs="Arial"/>
                    <w:i/>
                    <w:iCs/>
                  </w:rPr>
                </m:ctrlPr>
              </m:fPr>
              <m:num>
                <m:r>
                  <w:rPr>
                    <w:rFonts w:ascii="Cambria Math" w:hAnsi="Cambria Math" w:cs="Arial"/>
                  </w:rPr>
                  <m:t>D air</m:t>
                </m:r>
              </m:num>
              <m:den>
                <m:r>
                  <w:rPr>
                    <w:rFonts w:ascii="Cambria Math" w:hAnsi="Cambria Math" w:cs="Arial"/>
                  </w:rPr>
                  <m:t>k</m:t>
                </m:r>
              </m:den>
            </m:f>
            <m:r>
              <w:rPr>
                <w:rFonts w:ascii="Cambria Math" w:hAnsi="Cambria Math" w:cs="Arial"/>
              </w:rPr>
              <m:t>-Clocal soil</m:t>
            </m:r>
            <m:d>
              <m:dPr>
                <m:ctrlPr>
                  <w:rPr>
                    <w:rFonts w:ascii="Cambria Math" w:eastAsiaTheme="minorHAnsi" w:hAnsi="Cambria Math" w:cs="Arial"/>
                    <w:i/>
                    <w:iCs/>
                  </w:rPr>
                </m:ctrlPr>
              </m:dPr>
              <m:e>
                <m:r>
                  <w:rPr>
                    <w:rFonts w:ascii="Cambria Math" w:hAnsi="Cambria Math" w:cs="Arial"/>
                  </w:rPr>
                  <m:t>t0</m:t>
                </m:r>
              </m:e>
            </m:d>
          </m:e>
        </m:d>
        <m:r>
          <w:rPr>
            <w:rFonts w:ascii="Cambria Math" w:hAnsi="Cambria Math" w:cs="Arial"/>
          </w:rPr>
          <m:t xml:space="preserve">∙ </m:t>
        </m:r>
        <m:sSup>
          <m:sSupPr>
            <m:ctrlPr>
              <w:rPr>
                <w:rFonts w:ascii="Cambria Math" w:eastAsiaTheme="minorHAnsi" w:hAnsi="Cambria Math" w:cs="Arial"/>
                <w:i/>
                <w:iCs/>
              </w:rPr>
            </m:ctrlPr>
          </m:sSupPr>
          <m:e>
            <m:r>
              <w:rPr>
                <w:rFonts w:ascii="Cambria Math" w:hAnsi="Cambria Math" w:cs="Arial"/>
              </w:rPr>
              <m:t>e</m:t>
            </m:r>
          </m:e>
          <m:sup>
            <m:r>
              <w:rPr>
                <w:rFonts w:ascii="Cambria Math" w:hAnsi="Cambria Math" w:cs="Arial"/>
              </w:rPr>
              <m:t>-kt</m:t>
            </m:r>
          </m:sup>
        </m:sSup>
      </m:oMath>
      <w:r w:rsidRPr="00275290">
        <w:rPr>
          <w:rFonts w:cs="Arial"/>
        </w:rPr>
        <w:t>                    (Eq. 53 TGD)</w:t>
      </w:r>
    </w:p>
    <w:p w14:paraId="2F616C97" w14:textId="77777777" w:rsidR="00692E71" w:rsidRPr="00275290" w:rsidRDefault="00692E71" w:rsidP="00692E71">
      <w:pPr>
        <w:rPr>
          <w:rFonts w:cs="Arial"/>
        </w:rPr>
      </w:pPr>
    </w:p>
    <w:p w14:paraId="478F9A39" w14:textId="77777777" w:rsidR="00692E71" w:rsidRPr="00275290" w:rsidRDefault="00692E71" w:rsidP="00692E71">
      <w:pPr>
        <w:rPr>
          <w:rFonts w:cs="Arial"/>
        </w:rPr>
      </w:pPr>
      <w:r w:rsidRPr="00275290">
        <w:rPr>
          <w:rFonts w:cs="Arial"/>
        </w:rPr>
        <w:t>Setting D</w:t>
      </w:r>
      <w:r w:rsidRPr="00275290">
        <w:rPr>
          <w:rFonts w:cs="Arial"/>
          <w:vertAlign w:val="subscript"/>
        </w:rPr>
        <w:t>air</w:t>
      </w:r>
      <w:r w:rsidRPr="00275290">
        <w:rPr>
          <w:rFonts w:cs="Arial"/>
        </w:rPr>
        <w:t xml:space="preserve"> = 0 implies that all the biocide is degraded in the soil. This is a worst-case assumption. Then eq. 53 TGD is reduced to:</w:t>
      </w:r>
    </w:p>
    <w:p w14:paraId="6B1C4D7A" w14:textId="77777777" w:rsidR="00692E71" w:rsidRPr="00275290" w:rsidRDefault="00692E71" w:rsidP="00692E71">
      <w:pPr>
        <w:rPr>
          <w:rFonts w:cs="Arial"/>
        </w:rPr>
      </w:pPr>
    </w:p>
    <w:p w14:paraId="37D53A2E" w14:textId="77777777" w:rsidR="00692E71" w:rsidRPr="00275290" w:rsidRDefault="00692E71" w:rsidP="00692E71">
      <w:pPr>
        <w:rPr>
          <w:rFonts w:cs="Arial"/>
        </w:rPr>
      </w:pPr>
      <m:oMathPara>
        <m:oMathParaPr>
          <m:jc m:val="left"/>
        </m:oMathParaPr>
        <m:oMath>
          <m:r>
            <w:rPr>
              <w:rFonts w:ascii="Cambria Math" w:hAnsi="Cambria Math" w:cs="Arial"/>
            </w:rPr>
            <m:t>Clocal soil</m:t>
          </m:r>
          <m:d>
            <m:dPr>
              <m:ctrlPr>
                <w:rPr>
                  <w:rFonts w:ascii="Cambria Math" w:eastAsiaTheme="minorHAnsi" w:hAnsi="Cambria Math" w:cs="Arial"/>
                  <w:i/>
                  <w:iCs/>
                </w:rPr>
              </m:ctrlPr>
            </m:dPr>
            <m:e>
              <m:r>
                <w:rPr>
                  <w:rFonts w:ascii="Cambria Math" w:hAnsi="Cambria Math" w:cs="Arial"/>
                </w:rPr>
                <m:t>t</m:t>
              </m:r>
            </m:e>
          </m:d>
          <m:r>
            <w:rPr>
              <w:rFonts w:ascii="Cambria Math" w:hAnsi="Cambria Math" w:cs="Arial"/>
            </w:rPr>
            <m:t xml:space="preserve">=Clocal soil (t0)∙ </m:t>
          </m:r>
          <m:sSup>
            <m:sSupPr>
              <m:ctrlPr>
                <w:rPr>
                  <w:rFonts w:ascii="Cambria Math" w:eastAsiaTheme="minorHAnsi" w:hAnsi="Cambria Math" w:cs="Arial"/>
                  <w:i/>
                  <w:iCs/>
                </w:rPr>
              </m:ctrlPr>
            </m:sSupPr>
            <m:e>
              <m:r>
                <w:rPr>
                  <w:rFonts w:ascii="Cambria Math" w:hAnsi="Cambria Math" w:cs="Arial"/>
                </w:rPr>
                <m:t>e</m:t>
              </m:r>
            </m:e>
            <m:sup>
              <m:r>
                <w:rPr>
                  <w:rFonts w:ascii="Cambria Math" w:hAnsi="Cambria Math" w:cs="Arial"/>
                </w:rPr>
                <m:t>-kt</m:t>
              </m:r>
            </m:sup>
          </m:sSup>
        </m:oMath>
      </m:oMathPara>
    </w:p>
    <w:p w14:paraId="0A25D01B" w14:textId="77777777" w:rsidR="00692E71" w:rsidRPr="00275290" w:rsidRDefault="00692E71" w:rsidP="00692E71">
      <w:pPr>
        <w:rPr>
          <w:rFonts w:cs="Arial"/>
        </w:rPr>
      </w:pPr>
    </w:p>
    <w:p w14:paraId="67AD43AB" w14:textId="77777777" w:rsidR="00692E71" w:rsidRPr="00275290" w:rsidRDefault="00692E71" w:rsidP="00692E71">
      <w:pPr>
        <w:rPr>
          <w:rFonts w:cs="Arial"/>
        </w:rPr>
      </w:pPr>
      <w:r w:rsidRPr="00275290">
        <w:rPr>
          <w:rFonts w:cs="Arial"/>
        </w:rPr>
        <w:t xml:space="preserve">This equation can be used to describe the removal process of the biocides applied </w:t>
      </w:r>
      <w:r w:rsidRPr="00275290">
        <w:rPr>
          <w:rFonts w:cs="Arial"/>
          <w:i/>
          <w:iCs/>
        </w:rPr>
        <w:t>in-situ</w:t>
      </w:r>
      <w:r w:rsidRPr="00275290">
        <w:rPr>
          <w:rFonts w:cs="Arial"/>
        </w:rPr>
        <w:t>:</w:t>
      </w:r>
    </w:p>
    <w:p w14:paraId="7D09E93C" w14:textId="77777777" w:rsidR="00692E71" w:rsidRPr="00275290" w:rsidRDefault="00692E71" w:rsidP="00692E71">
      <w:pPr>
        <w:rPr>
          <w:rFonts w:cs="Arial"/>
        </w:rPr>
      </w:pPr>
    </w:p>
    <w:p w14:paraId="00459524" w14:textId="77777777" w:rsidR="00692E71" w:rsidRPr="00275290" w:rsidRDefault="00692E71" w:rsidP="00692E71">
      <w:pPr>
        <w:rPr>
          <w:rFonts w:cs="Arial"/>
          <w:vertAlign w:val="superscript"/>
        </w:rPr>
      </w:pPr>
      <w:r w:rsidRPr="00275290">
        <w:rPr>
          <w:rFonts w:cs="Arial"/>
        </w:rPr>
        <w:t>Clocal</w:t>
      </w:r>
      <w:r w:rsidRPr="00275290">
        <w:rPr>
          <w:rFonts w:cs="Arial"/>
          <w:vertAlign w:val="subscript"/>
        </w:rPr>
        <w:t>soil</w:t>
      </w:r>
      <w:proofErr w:type="gramStart"/>
      <w:r w:rsidRPr="00275290">
        <w:rPr>
          <w:rFonts w:cs="Arial"/>
          <w:vertAlign w:val="subscript"/>
        </w:rPr>
        <w:t>,brush</w:t>
      </w:r>
      <w:proofErr w:type="gramEnd"/>
      <w:r w:rsidRPr="00275290">
        <w:rPr>
          <w:rFonts w:cs="Arial"/>
          <w:vertAlign w:val="subscript"/>
        </w:rPr>
        <w:t xml:space="preserve"> rem</w:t>
      </w:r>
      <w:r w:rsidRPr="00275290">
        <w:rPr>
          <w:rFonts w:cs="Arial"/>
          <w:vertAlign w:val="superscript"/>
        </w:rPr>
        <w:t xml:space="preserve">  </w:t>
      </w:r>
      <w:r w:rsidRPr="00275290">
        <w:rPr>
          <w:rFonts w:cs="Arial"/>
        </w:rPr>
        <w:t>= Clocal</w:t>
      </w:r>
      <w:r w:rsidRPr="00275290">
        <w:rPr>
          <w:rFonts w:cs="Arial"/>
          <w:vertAlign w:val="subscript"/>
        </w:rPr>
        <w:t xml:space="preserve">soil,brush </w:t>
      </w:r>
      <w:r w:rsidRPr="00275290">
        <w:rPr>
          <w:rFonts w:cs="Arial"/>
        </w:rPr>
        <w:t>* e</w:t>
      </w:r>
      <w:r w:rsidRPr="00275290">
        <w:rPr>
          <w:rFonts w:cs="Arial"/>
          <w:vertAlign w:val="superscript"/>
        </w:rPr>
        <w:t>-kt</w:t>
      </w:r>
    </w:p>
    <w:p w14:paraId="087740C0" w14:textId="77777777" w:rsidR="00692E71" w:rsidRPr="00275290" w:rsidRDefault="00692E71" w:rsidP="00692E71">
      <w:pPr>
        <w:rPr>
          <w:rFonts w:cs="Arial"/>
          <w:vertAlign w:val="superscript"/>
        </w:rPr>
      </w:pPr>
    </w:p>
    <w:p w14:paraId="61FBC1D8" w14:textId="77777777" w:rsidR="00692E71" w:rsidRPr="00275290" w:rsidRDefault="00692E71" w:rsidP="00692E71">
      <w:pPr>
        <w:rPr>
          <w:rFonts w:cs="Arial"/>
        </w:rPr>
      </w:pPr>
      <w:r w:rsidRPr="00275290">
        <w:rPr>
          <w:rFonts w:cs="Arial"/>
        </w:rPr>
        <w:t>During service life, the emission to the soil is described by a constant flux, so an average concentration over a certain time period can be assumed, consequently the average concentration over that time period can be estimated by the following equation:</w:t>
      </w:r>
    </w:p>
    <w:p w14:paraId="12485740" w14:textId="77777777" w:rsidR="00692E71" w:rsidRPr="00275290" w:rsidRDefault="00692E71" w:rsidP="00692E71">
      <w:pPr>
        <w:rPr>
          <w:rFonts w:cs="Arial"/>
        </w:rPr>
      </w:pPr>
      <w:r w:rsidRPr="00275290">
        <w:rPr>
          <w:rFonts w:cs="Arial"/>
          <w:noProof/>
          <w:lang w:val="fr-FR" w:eastAsia="fr-FR"/>
        </w:rPr>
        <w:drawing>
          <wp:inline distT="0" distB="0" distL="0" distR="0" wp14:anchorId="41E42A56" wp14:editId="6939067F">
            <wp:extent cx="4381500" cy="1076325"/>
            <wp:effectExtent l="0" t="0" r="0" b="9525"/>
            <wp:docPr id="11" name="Billede 6" descr="cid:image010.png@01D08E99.FC054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10.png@01D08E99.FC054A5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381500" cy="1076325"/>
                    </a:xfrm>
                    <a:prstGeom prst="rect">
                      <a:avLst/>
                    </a:prstGeom>
                    <a:noFill/>
                    <a:ln>
                      <a:noFill/>
                    </a:ln>
                  </pic:spPr>
                </pic:pic>
              </a:graphicData>
            </a:graphic>
          </wp:inline>
        </w:drawing>
      </w:r>
      <w:r w:rsidRPr="00275290">
        <w:rPr>
          <w:rFonts w:cs="Arial"/>
        </w:rPr>
        <w:t>(Eq. 55 TGD)</w:t>
      </w:r>
    </w:p>
    <w:p w14:paraId="7C47E9FE" w14:textId="77777777" w:rsidR="00692E71" w:rsidRPr="00275290" w:rsidRDefault="00692E71" w:rsidP="00692E71">
      <w:pPr>
        <w:rPr>
          <w:rFonts w:cs="Arial"/>
        </w:rPr>
      </w:pPr>
    </w:p>
    <w:p w14:paraId="6DE8BADE" w14:textId="77777777" w:rsidR="00692E71" w:rsidRPr="00275290" w:rsidRDefault="00692E71" w:rsidP="00692E71">
      <w:pPr>
        <w:rPr>
          <w:rFonts w:cs="Arial"/>
        </w:rPr>
      </w:pPr>
      <w:r w:rsidRPr="00275290">
        <w:rPr>
          <w:rFonts w:cs="Arial"/>
        </w:rPr>
        <w:t>D</w:t>
      </w:r>
      <w:r w:rsidRPr="00275290">
        <w:rPr>
          <w:rFonts w:cs="Arial"/>
          <w:vertAlign w:val="subscript"/>
        </w:rPr>
        <w:t>air</w:t>
      </w:r>
      <w:r w:rsidRPr="00275290">
        <w:rPr>
          <w:rFonts w:cs="Arial"/>
        </w:rPr>
        <w:t xml:space="preserve"> = 0 will reduce eq. 55 to:</w:t>
      </w:r>
    </w:p>
    <w:p w14:paraId="1455D1C2" w14:textId="77777777" w:rsidR="00692E71" w:rsidRPr="00275290" w:rsidRDefault="00692E71" w:rsidP="00692E71">
      <w:pPr>
        <w:rPr>
          <w:rFonts w:cs="Arial"/>
          <w:color w:val="44546A"/>
        </w:rPr>
      </w:pPr>
    </w:p>
    <w:p w14:paraId="3B5CC3BD" w14:textId="77777777" w:rsidR="00692E71" w:rsidRPr="00275290" w:rsidRDefault="00692E71" w:rsidP="00692E71">
      <w:pPr>
        <w:rPr>
          <w:rFonts w:cs="Arial"/>
          <w:color w:val="44546A"/>
        </w:rPr>
      </w:pPr>
      <m:oMathPara>
        <m:oMathParaPr>
          <m:jc m:val="left"/>
        </m:oMathParaPr>
        <m:oMath>
          <m:r>
            <w:rPr>
              <w:rFonts w:ascii="Cambria Math" w:hAnsi="Cambria Math" w:cs="Arial"/>
            </w:rPr>
            <m:t>Clocal soil in service=</m:t>
          </m:r>
          <m:f>
            <m:fPr>
              <m:ctrlPr>
                <w:rPr>
                  <w:rFonts w:ascii="Cambria Math" w:eastAsiaTheme="minorHAnsi" w:hAnsi="Cambria Math" w:cs="Arial"/>
                  <w:i/>
                  <w:iCs/>
                  <w:lang w:eastAsia="en-US"/>
                </w:rPr>
              </m:ctrlPr>
            </m:fPr>
            <m:num>
              <m:r>
                <w:rPr>
                  <w:rFonts w:ascii="Cambria Math" w:hAnsi="Cambria Math" w:cs="Arial"/>
                </w:rPr>
                <m:t xml:space="preserve">C soil(T) </m:t>
              </m:r>
            </m:num>
            <m:den>
              <m:r>
                <w:rPr>
                  <w:rFonts w:ascii="Cambria Math" w:hAnsi="Cambria Math" w:cs="Arial"/>
                </w:rPr>
                <m:t>kT</m:t>
              </m:r>
            </m:den>
          </m:f>
          <m:d>
            <m:dPr>
              <m:begChr m:val="⌈"/>
              <m:endChr m:val="⌉"/>
              <m:ctrlPr>
                <w:rPr>
                  <w:rFonts w:ascii="Cambria Math" w:eastAsiaTheme="minorHAnsi" w:hAnsi="Cambria Math" w:cs="Arial"/>
                  <w:i/>
                  <w:iCs/>
                  <w:lang w:eastAsia="en-US"/>
                </w:rPr>
              </m:ctrlPr>
            </m:dPr>
            <m:e>
              <m:r>
                <w:rPr>
                  <w:rFonts w:ascii="Cambria Math" w:hAnsi="Cambria Math" w:cs="Arial"/>
                </w:rPr>
                <m:t>1-</m:t>
              </m:r>
              <m:sSup>
                <m:sSupPr>
                  <m:ctrlPr>
                    <w:rPr>
                      <w:rFonts w:ascii="Cambria Math" w:eastAsiaTheme="minorHAnsi" w:hAnsi="Cambria Math" w:cs="Arial"/>
                      <w:i/>
                      <w:iCs/>
                      <w:lang w:eastAsia="en-US"/>
                    </w:rPr>
                  </m:ctrlPr>
                </m:sSupPr>
                <m:e>
                  <m:r>
                    <w:rPr>
                      <w:rFonts w:ascii="Cambria Math" w:hAnsi="Cambria Math" w:cs="Arial"/>
                    </w:rPr>
                    <m:t>e</m:t>
                  </m:r>
                </m:e>
                <m:sup>
                  <m:r>
                    <w:rPr>
                      <w:rFonts w:ascii="Cambria Math" w:hAnsi="Cambria Math" w:cs="Arial"/>
                    </w:rPr>
                    <m:t>-kT</m:t>
                  </m:r>
                </m:sup>
              </m:sSup>
            </m:e>
          </m:d>
        </m:oMath>
      </m:oMathPara>
    </w:p>
    <w:p w14:paraId="70CDEF57" w14:textId="77777777" w:rsidR="00692E71" w:rsidRPr="00275290" w:rsidRDefault="00692E71" w:rsidP="00692E71">
      <w:pPr>
        <w:rPr>
          <w:rFonts w:cs="Arial"/>
          <w:vertAlign w:val="subscript"/>
        </w:rPr>
      </w:pPr>
    </w:p>
    <w:p w14:paraId="2763D9F6" w14:textId="77777777" w:rsidR="00692E71" w:rsidRPr="00275290" w:rsidRDefault="00692E71" w:rsidP="00692E71">
      <w:pPr>
        <w:rPr>
          <w:rFonts w:cs="Arial"/>
        </w:rPr>
      </w:pPr>
      <w:r w:rsidRPr="00275290">
        <w:rPr>
          <w:rFonts w:cs="Arial"/>
        </w:rPr>
        <w:t>The combined concentration in soil taken removal processes into account can be described by the following equation:</w:t>
      </w:r>
    </w:p>
    <w:p w14:paraId="3CAD87DC" w14:textId="77777777" w:rsidR="00692E71" w:rsidRPr="00275290" w:rsidRDefault="00692E71" w:rsidP="00692E71">
      <w:pPr>
        <w:rPr>
          <w:rFonts w:cs="Arial"/>
        </w:rPr>
      </w:pPr>
    </w:p>
    <w:p w14:paraId="6841E66D"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,total</w:t>
      </w:r>
      <w:proofErr w:type="gramEnd"/>
      <w:r w:rsidRPr="00275290">
        <w:rPr>
          <w:rFonts w:cs="Arial"/>
          <w:vertAlign w:val="subscript"/>
        </w:rPr>
        <w:t xml:space="preserve">, rem </w:t>
      </w:r>
      <w:r w:rsidRPr="00275290">
        <w:rPr>
          <w:rFonts w:cs="Arial"/>
        </w:rPr>
        <w:t>(t)</w:t>
      </w:r>
      <w:r w:rsidRPr="00275290">
        <w:rPr>
          <w:rFonts w:cs="Arial"/>
          <w:vertAlign w:val="subscript"/>
        </w:rPr>
        <w:t xml:space="preserve"> </w:t>
      </w:r>
      <w:r w:rsidRPr="00275290">
        <w:rPr>
          <w:rFonts w:cs="Arial"/>
        </w:rPr>
        <w:t>= Clocal</w:t>
      </w:r>
      <w:r w:rsidRPr="00275290">
        <w:rPr>
          <w:rFonts w:cs="Arial"/>
          <w:vertAlign w:val="subscript"/>
        </w:rPr>
        <w:t xml:space="preserve">soil,brush rem </w:t>
      </w:r>
      <w:r w:rsidRPr="00275290">
        <w:rPr>
          <w:rFonts w:cs="Arial"/>
        </w:rPr>
        <w:t xml:space="preserve">+ </w:t>
      </w:r>
      <m:oMath>
        <m:r>
          <w:rPr>
            <w:rFonts w:ascii="Cambria Math" w:hAnsi="Cambria Math" w:cs="Arial"/>
          </w:rPr>
          <m:t>Clocal soil in service (t)</m:t>
        </m:r>
      </m:oMath>
    </w:p>
    <w:p w14:paraId="4331C5D4" w14:textId="77777777" w:rsidR="00692E71" w:rsidRPr="00275290" w:rsidRDefault="00692E71" w:rsidP="00692E71">
      <w:pPr>
        <w:rPr>
          <w:rFonts w:cs="Arial"/>
          <w:vertAlign w:val="subscript"/>
        </w:rPr>
      </w:pPr>
      <w:r w:rsidRPr="00275290">
        <w:rPr>
          <w:rFonts w:cs="Arial"/>
        </w:rPr>
        <w:t>Clocal</w:t>
      </w:r>
      <w:r w:rsidRPr="00275290">
        <w:rPr>
          <w:rFonts w:cs="Arial"/>
          <w:vertAlign w:val="subscript"/>
        </w:rPr>
        <w:t>soil</w:t>
      </w:r>
      <w:proofErr w:type="gramStart"/>
      <w:r w:rsidRPr="00275290">
        <w:rPr>
          <w:rFonts w:cs="Arial"/>
          <w:vertAlign w:val="subscript"/>
        </w:rPr>
        <w:t>,total</w:t>
      </w:r>
      <w:proofErr w:type="gramEnd"/>
      <w:r w:rsidRPr="00275290">
        <w:rPr>
          <w:rFonts w:cs="Arial"/>
          <w:vertAlign w:val="subscript"/>
        </w:rPr>
        <w:t xml:space="preserve">, rem </w:t>
      </w:r>
      <w:r w:rsidRPr="00275290">
        <w:rPr>
          <w:rFonts w:cs="Arial"/>
        </w:rPr>
        <w:t>(t)</w:t>
      </w:r>
      <w:r w:rsidRPr="00275290">
        <w:rPr>
          <w:rFonts w:cs="Arial"/>
          <w:vertAlign w:val="subscript"/>
        </w:rPr>
        <w:t xml:space="preserve"> </w:t>
      </w:r>
      <w:r w:rsidRPr="00275290">
        <w:rPr>
          <w:rFonts w:cs="Arial"/>
        </w:rPr>
        <w:t>= Clocal</w:t>
      </w:r>
      <w:r w:rsidRPr="00275290">
        <w:rPr>
          <w:rFonts w:cs="Arial"/>
          <w:vertAlign w:val="subscript"/>
        </w:rPr>
        <w:t xml:space="preserve">soil,brush </w:t>
      </w:r>
      <w:r w:rsidRPr="00275290">
        <w:rPr>
          <w:rFonts w:cs="Arial"/>
        </w:rPr>
        <w:t>* e</w:t>
      </w:r>
      <w:r w:rsidRPr="00275290">
        <w:rPr>
          <w:rFonts w:cs="Arial"/>
          <w:vertAlign w:val="superscript"/>
        </w:rPr>
        <w:t xml:space="preserve">-kt </w:t>
      </w:r>
      <w:r w:rsidRPr="00275290">
        <w:rPr>
          <w:rFonts w:cs="Arial"/>
        </w:rPr>
        <w:t>+ (Clocal</w:t>
      </w:r>
      <w:r w:rsidRPr="00275290">
        <w:rPr>
          <w:rFonts w:cs="Arial"/>
          <w:vertAlign w:val="subscript"/>
        </w:rPr>
        <w:t xml:space="preserve">soil </w:t>
      </w:r>
      <w:r w:rsidRPr="00275290">
        <w:rPr>
          <w:rFonts w:cs="Arial"/>
        </w:rPr>
        <w:t>(t) / kt)*(1- e</w:t>
      </w:r>
      <w:r w:rsidRPr="00275290">
        <w:rPr>
          <w:rFonts w:cs="Arial"/>
          <w:vertAlign w:val="superscript"/>
        </w:rPr>
        <w:t>-k t</w:t>
      </w:r>
      <w:r w:rsidRPr="00275290">
        <w:rPr>
          <w:rFonts w:cs="Arial"/>
        </w:rPr>
        <w:t>)</w:t>
      </w:r>
    </w:p>
    <w:p w14:paraId="677F34DF" w14:textId="77777777" w:rsidR="00692E71" w:rsidRPr="00275290" w:rsidRDefault="00692E71" w:rsidP="00692E71">
      <w:pPr>
        <w:rPr>
          <w:rFonts w:cs="Arial"/>
        </w:rPr>
      </w:pPr>
    </w:p>
    <w:p w14:paraId="161C4D92" w14:textId="77777777" w:rsidR="00692E71" w:rsidRPr="00275290" w:rsidRDefault="00692E71" w:rsidP="00692E71">
      <w:pPr>
        <w:rPr>
          <w:rFonts w:cs="Arial"/>
        </w:rPr>
      </w:pPr>
      <w:proofErr w:type="gramStart"/>
      <w:r w:rsidRPr="00275290">
        <w:rPr>
          <w:rFonts w:cs="Arial"/>
        </w:rPr>
        <w:t>where</w:t>
      </w:r>
      <w:proofErr w:type="gramEnd"/>
      <w:r w:rsidRPr="00275290">
        <w:rPr>
          <w:rFonts w:cs="Arial"/>
        </w:rPr>
        <w:t>:</w:t>
      </w:r>
    </w:p>
    <w:p w14:paraId="56D8857F" w14:textId="77777777" w:rsidR="00692E71" w:rsidRPr="00275290" w:rsidRDefault="00692E71" w:rsidP="00692E71">
      <w:pPr>
        <w:rPr>
          <w:rFonts w:cs="Arial"/>
          <w:color w:val="44546A"/>
        </w:rPr>
      </w:pPr>
    </w:p>
    <w:p w14:paraId="4B864076" w14:textId="77777777" w:rsidR="00692E71" w:rsidRPr="00275290" w:rsidRDefault="00692E71" w:rsidP="00692E71">
      <w:pPr>
        <w:rPr>
          <w:rFonts w:cs="Arial"/>
          <w:vertAlign w:val="subscript"/>
        </w:rPr>
      </w:pPr>
      <w:r w:rsidRPr="00275290">
        <w:rPr>
          <w:rFonts w:cs="Arial"/>
        </w:rPr>
        <w:t>k = ln2 / DT50</w:t>
      </w:r>
      <w:r w:rsidRPr="00275290">
        <w:rPr>
          <w:rFonts w:cs="Arial"/>
          <w:vertAlign w:val="subscript"/>
        </w:rPr>
        <w:t>soil</w:t>
      </w:r>
    </w:p>
    <w:p w14:paraId="7863DB36" w14:textId="77777777" w:rsidR="00692E71" w:rsidRPr="00275290" w:rsidRDefault="00692E71" w:rsidP="00692E71">
      <w:pPr>
        <w:rPr>
          <w:rFonts w:cs="Arial"/>
        </w:rPr>
      </w:pPr>
    </w:p>
    <w:p w14:paraId="29DD997C" w14:textId="77777777" w:rsidR="00692E71" w:rsidRPr="00275290" w:rsidRDefault="00692E71" w:rsidP="00692E71">
      <w:pPr>
        <w:rPr>
          <w:rFonts w:cs="Arial"/>
        </w:rPr>
      </w:pPr>
      <w:r w:rsidRPr="00275290">
        <w:rPr>
          <w:rFonts w:cs="Arial"/>
        </w:rPr>
        <w:t>Clocal</w:t>
      </w:r>
      <w:r w:rsidRPr="00275290">
        <w:rPr>
          <w:rFonts w:cs="Arial"/>
          <w:vertAlign w:val="subscript"/>
        </w:rPr>
        <w:t>soil</w:t>
      </w:r>
      <w:proofErr w:type="gramStart"/>
      <w:r w:rsidRPr="00275290">
        <w:rPr>
          <w:rFonts w:cs="Arial"/>
          <w:vertAlign w:val="subscript"/>
        </w:rPr>
        <w:t>,brush</w:t>
      </w:r>
      <w:proofErr w:type="gramEnd"/>
      <w:r w:rsidRPr="00275290">
        <w:rPr>
          <w:rFonts w:cs="Arial"/>
          <w:vertAlign w:val="subscript"/>
        </w:rPr>
        <w:t xml:space="preserve">: </w:t>
      </w:r>
      <w:r w:rsidRPr="00275290">
        <w:rPr>
          <w:rFonts w:cs="Arial"/>
        </w:rPr>
        <w:t>the</w:t>
      </w:r>
      <w:r w:rsidRPr="00275290">
        <w:rPr>
          <w:rFonts w:cs="Arial"/>
          <w:i/>
          <w:iCs/>
        </w:rPr>
        <w:t xml:space="preserve"> in-situ</w:t>
      </w:r>
      <w:r w:rsidRPr="00275290">
        <w:rPr>
          <w:rFonts w:cs="Arial"/>
        </w:rPr>
        <w:t xml:space="preserve"> concentration in soil at the day of application.</w:t>
      </w:r>
    </w:p>
    <w:p w14:paraId="3555EF0F" w14:textId="77777777" w:rsidR="00692E71" w:rsidRPr="00275290" w:rsidRDefault="00692E71" w:rsidP="00692E71">
      <w:pPr>
        <w:rPr>
          <w:rFonts w:cs="Arial"/>
        </w:rPr>
      </w:pPr>
      <w:r w:rsidRPr="00275290">
        <w:rPr>
          <w:rFonts w:cs="Arial"/>
        </w:rPr>
        <w:lastRenderedPageBreak/>
        <w:t>Clocal</w:t>
      </w:r>
      <w:r w:rsidRPr="00275290">
        <w:rPr>
          <w:rFonts w:cs="Arial"/>
          <w:vertAlign w:val="subscript"/>
        </w:rPr>
        <w:t xml:space="preserve">soil in service </w:t>
      </w:r>
      <w:r w:rsidRPr="00275290">
        <w:rPr>
          <w:rFonts w:cs="Arial"/>
        </w:rPr>
        <w:t>(t): the average concentration in the soil during the assessment period.</w:t>
      </w:r>
    </w:p>
    <w:p w14:paraId="3CC0D117" w14:textId="77777777" w:rsidR="00692E71" w:rsidRPr="00275290" w:rsidRDefault="00692E71" w:rsidP="00692E71">
      <w:pPr>
        <w:rPr>
          <w:rFonts w:cs="Arial"/>
        </w:rPr>
      </w:pPr>
    </w:p>
    <w:p w14:paraId="4C223380" w14:textId="77777777" w:rsidR="00692E71" w:rsidRPr="00275290" w:rsidRDefault="00692E71" w:rsidP="00692E71">
      <w:pPr>
        <w:rPr>
          <w:rFonts w:cs="Arial"/>
        </w:rPr>
      </w:pPr>
    </w:p>
    <w:p w14:paraId="571E8EAA" w14:textId="77777777" w:rsidR="00692E71" w:rsidRPr="00275290" w:rsidRDefault="00692E71" w:rsidP="00692E71">
      <w:pPr>
        <w:pStyle w:val="Lgende"/>
        <w:keepNext/>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14</w:t>
      </w:r>
      <w:r w:rsidRPr="00275290">
        <w:rPr>
          <w:rFonts w:ascii="Verdana" w:hAnsi="Verdana"/>
        </w:rPr>
        <w:fldChar w:fldCharType="end"/>
      </w:r>
      <w:r w:rsidRPr="00275290">
        <w:rPr>
          <w:rFonts w:ascii="Verdana" w:hAnsi="Verdana"/>
        </w:rPr>
        <w:t>: Concentration in soil and pore-water, in-service of industrial treated wood (house) taking removal into account.</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446"/>
        <w:gridCol w:w="2410"/>
        <w:gridCol w:w="1275"/>
        <w:gridCol w:w="786"/>
      </w:tblGrid>
      <w:tr w:rsidR="00692E71" w:rsidRPr="00275290" w14:paraId="7ABDF659" w14:textId="77777777" w:rsidTr="008E0250">
        <w:trPr>
          <w:trHeight w:val="283"/>
        </w:trPr>
        <w:tc>
          <w:tcPr>
            <w:tcW w:w="3369" w:type="dxa"/>
            <w:shd w:val="clear" w:color="auto" w:fill="D9D9D9" w:themeFill="background1" w:themeFillShade="D9"/>
            <w:vAlign w:val="center"/>
          </w:tcPr>
          <w:p w14:paraId="4A53EF71" w14:textId="77777777" w:rsidR="00692E71" w:rsidRPr="00275290" w:rsidRDefault="00692E71" w:rsidP="008E0250">
            <w:pPr>
              <w:keepNext/>
              <w:jc w:val="center"/>
              <w:rPr>
                <w:rFonts w:cs="Arial"/>
                <w:highlight w:val="yellow"/>
              </w:rPr>
            </w:pPr>
            <w:r w:rsidRPr="00275290">
              <w:rPr>
                <w:rFonts w:cs="Arial"/>
              </w:rPr>
              <w:t>Parameter/variable</w:t>
            </w:r>
          </w:p>
        </w:tc>
        <w:tc>
          <w:tcPr>
            <w:tcW w:w="1446" w:type="dxa"/>
            <w:shd w:val="clear" w:color="auto" w:fill="D9D9D9" w:themeFill="background1" w:themeFillShade="D9"/>
            <w:vAlign w:val="center"/>
          </w:tcPr>
          <w:p w14:paraId="11159A2B" w14:textId="77777777" w:rsidR="00692E71" w:rsidRPr="00275290" w:rsidRDefault="00692E71" w:rsidP="008E0250">
            <w:pPr>
              <w:keepNext/>
              <w:jc w:val="center"/>
              <w:rPr>
                <w:rFonts w:cs="Arial"/>
              </w:rPr>
            </w:pPr>
            <w:r w:rsidRPr="00275290">
              <w:rPr>
                <w:rFonts w:cs="Arial"/>
              </w:rPr>
              <w:t>Nomencla</w:t>
            </w:r>
            <w:r w:rsidRPr="00275290">
              <w:rPr>
                <w:rFonts w:cs="Arial"/>
              </w:rPr>
              <w:softHyphen/>
              <w:t>ture</w:t>
            </w:r>
          </w:p>
        </w:tc>
        <w:tc>
          <w:tcPr>
            <w:tcW w:w="2410" w:type="dxa"/>
            <w:shd w:val="clear" w:color="auto" w:fill="D9D9D9" w:themeFill="background1" w:themeFillShade="D9"/>
            <w:vAlign w:val="center"/>
          </w:tcPr>
          <w:p w14:paraId="04C82E7A" w14:textId="77777777" w:rsidR="00692E71" w:rsidRPr="00275290" w:rsidRDefault="00692E71" w:rsidP="008E0250">
            <w:pPr>
              <w:keepNext/>
              <w:jc w:val="center"/>
              <w:rPr>
                <w:rFonts w:cs="Arial"/>
              </w:rPr>
            </w:pPr>
            <w:r w:rsidRPr="00275290">
              <w:rPr>
                <w:rFonts w:cs="Arial"/>
              </w:rPr>
              <w:t>Value</w:t>
            </w:r>
          </w:p>
        </w:tc>
        <w:tc>
          <w:tcPr>
            <w:tcW w:w="1275" w:type="dxa"/>
            <w:shd w:val="clear" w:color="auto" w:fill="D9D9D9" w:themeFill="background1" w:themeFillShade="D9"/>
            <w:vAlign w:val="center"/>
          </w:tcPr>
          <w:p w14:paraId="0EABC368" w14:textId="77777777" w:rsidR="00692E71" w:rsidRPr="00275290" w:rsidRDefault="00692E71" w:rsidP="008E0250">
            <w:pPr>
              <w:keepNext/>
              <w:jc w:val="center"/>
              <w:rPr>
                <w:rFonts w:cs="Arial"/>
              </w:rPr>
            </w:pPr>
            <w:r w:rsidRPr="00275290">
              <w:rPr>
                <w:rFonts w:cs="Arial"/>
              </w:rPr>
              <w:t>Unit</w:t>
            </w:r>
          </w:p>
        </w:tc>
        <w:tc>
          <w:tcPr>
            <w:tcW w:w="786" w:type="dxa"/>
            <w:shd w:val="clear" w:color="auto" w:fill="D9D9D9" w:themeFill="background1" w:themeFillShade="D9"/>
            <w:vAlign w:val="center"/>
          </w:tcPr>
          <w:p w14:paraId="6E743263" w14:textId="77777777" w:rsidR="00692E71" w:rsidRPr="00275290" w:rsidRDefault="00692E71" w:rsidP="008E0250">
            <w:pPr>
              <w:keepNext/>
              <w:jc w:val="center"/>
              <w:rPr>
                <w:rFonts w:cs="Arial"/>
              </w:rPr>
            </w:pPr>
            <w:r w:rsidRPr="00275290">
              <w:rPr>
                <w:rFonts w:cs="Arial"/>
              </w:rPr>
              <w:t>Origin</w:t>
            </w:r>
          </w:p>
        </w:tc>
      </w:tr>
      <w:tr w:rsidR="00692E71" w:rsidRPr="00275290" w14:paraId="042F3E0A" w14:textId="77777777" w:rsidTr="008E0250">
        <w:trPr>
          <w:trHeight w:val="283"/>
        </w:trPr>
        <w:tc>
          <w:tcPr>
            <w:tcW w:w="9286" w:type="dxa"/>
            <w:gridSpan w:val="5"/>
            <w:vAlign w:val="center"/>
          </w:tcPr>
          <w:p w14:paraId="64A0B43C" w14:textId="77777777" w:rsidR="00692E71" w:rsidRPr="00275290" w:rsidRDefault="00692E71" w:rsidP="008E0250">
            <w:pPr>
              <w:keepNext/>
              <w:rPr>
                <w:rFonts w:cs="Arial"/>
                <w:b/>
              </w:rPr>
            </w:pPr>
            <w:r w:rsidRPr="00275290">
              <w:rPr>
                <w:rFonts w:cs="Arial"/>
                <w:b/>
              </w:rPr>
              <w:t>OUTPUT EMISSION</w:t>
            </w:r>
          </w:p>
        </w:tc>
      </w:tr>
      <w:tr w:rsidR="00692E71" w:rsidRPr="00275290" w14:paraId="5BEA6AE2" w14:textId="77777777" w:rsidTr="008E0250">
        <w:trPr>
          <w:cantSplit/>
        </w:trPr>
        <w:tc>
          <w:tcPr>
            <w:tcW w:w="3369" w:type="dxa"/>
            <w:vAlign w:val="center"/>
          </w:tcPr>
          <w:p w14:paraId="236BA9C0" w14:textId="77777777" w:rsidR="00692E71" w:rsidRPr="00275290" w:rsidRDefault="00692E71" w:rsidP="008E0250">
            <w:pPr>
              <w:keepNext/>
              <w:rPr>
                <w:rFonts w:cs="Arial"/>
                <w:i/>
                <w:iCs/>
              </w:rPr>
            </w:pPr>
            <w:r w:rsidRPr="00275290">
              <w:rPr>
                <w:rFonts w:cs="Arial"/>
              </w:rPr>
              <w:t xml:space="preserve">Average concentrations in soil over the initial assessment period (30d) </w:t>
            </w:r>
          </w:p>
        </w:tc>
        <w:tc>
          <w:tcPr>
            <w:tcW w:w="1446" w:type="dxa"/>
            <w:vAlign w:val="center"/>
          </w:tcPr>
          <w:p w14:paraId="745BF35A" w14:textId="77777777" w:rsidR="00692E71" w:rsidRPr="00275290" w:rsidRDefault="00692E71" w:rsidP="008E0250">
            <w:pPr>
              <w:keepNext/>
              <w:rPr>
                <w:rFonts w:cs="Arial"/>
              </w:rPr>
            </w:pPr>
            <w:r w:rsidRPr="00275290">
              <w:rPr>
                <w:rFonts w:cs="Arial"/>
              </w:rPr>
              <w:t>Clocal</w:t>
            </w:r>
            <w:r w:rsidRPr="00275290">
              <w:rPr>
                <w:rFonts w:cs="Arial"/>
                <w:vertAlign w:val="subscript"/>
              </w:rPr>
              <w:t xml:space="preserve">soil,total, </w:t>
            </w:r>
            <w:r w:rsidRPr="00275290">
              <w:rPr>
                <w:rFonts w:cs="Arial"/>
                <w:iCs/>
                <w:vertAlign w:val="subscript"/>
              </w:rPr>
              <w:t>time1</w:t>
            </w:r>
          </w:p>
        </w:tc>
        <w:tc>
          <w:tcPr>
            <w:tcW w:w="2410" w:type="dxa"/>
            <w:vAlign w:val="center"/>
          </w:tcPr>
          <w:p w14:paraId="0693C447" w14:textId="77777777" w:rsidR="00692E71" w:rsidRPr="00275290" w:rsidRDefault="00692E71" w:rsidP="008E0250">
            <w:pPr>
              <w:keepNext/>
              <w:jc w:val="center"/>
              <w:rPr>
                <w:rFonts w:cs="Arial"/>
              </w:rPr>
            </w:pPr>
            <w:r w:rsidRPr="00275290">
              <w:rPr>
                <w:rFonts w:cs="Arial"/>
              </w:rPr>
              <w:t>2.8*10</w:t>
            </w:r>
            <w:r w:rsidRPr="00275290">
              <w:rPr>
                <w:rFonts w:cs="Arial"/>
                <w:vertAlign w:val="superscript"/>
              </w:rPr>
              <w:t>-5</w:t>
            </w:r>
            <w:r w:rsidRPr="00275290">
              <w:rPr>
                <w:rFonts w:cs="Arial"/>
              </w:rPr>
              <w:t xml:space="preserve"> (IPBC)</w:t>
            </w:r>
          </w:p>
          <w:p w14:paraId="6DDD7F94" w14:textId="77777777" w:rsidR="00692E71" w:rsidRPr="00275290" w:rsidRDefault="00692E71" w:rsidP="008E0250">
            <w:pPr>
              <w:keepNext/>
              <w:jc w:val="center"/>
              <w:rPr>
                <w:rFonts w:cs="Arial"/>
              </w:rPr>
            </w:pPr>
            <w:r w:rsidRPr="00275290">
              <w:rPr>
                <w:rFonts w:cs="Arial"/>
              </w:rPr>
              <w:t>0.11 (propiconazole)</w:t>
            </w:r>
          </w:p>
          <w:p w14:paraId="65743BE9" w14:textId="77777777" w:rsidR="00692E71" w:rsidRPr="00275290" w:rsidRDefault="00692E71" w:rsidP="008E0250">
            <w:pPr>
              <w:keepNext/>
              <w:jc w:val="center"/>
              <w:rPr>
                <w:rFonts w:cs="Arial"/>
              </w:rPr>
            </w:pPr>
            <w:r w:rsidRPr="00275290">
              <w:rPr>
                <w:rFonts w:cs="Arial"/>
              </w:rPr>
              <w:t>0.04 (tebuconazole)</w:t>
            </w:r>
          </w:p>
          <w:p w14:paraId="372B5042" w14:textId="77777777" w:rsidR="00692E71" w:rsidRPr="00275290" w:rsidRDefault="00692E71" w:rsidP="008E0250">
            <w:pPr>
              <w:keepNext/>
              <w:jc w:val="center"/>
              <w:rPr>
                <w:rFonts w:cs="Arial"/>
              </w:rPr>
            </w:pPr>
            <w:r w:rsidRPr="00275290">
              <w:rPr>
                <w:rFonts w:cs="Arial"/>
              </w:rPr>
              <w:t xml:space="preserve">  1.8*10</w:t>
            </w:r>
            <w:r w:rsidRPr="00275290">
              <w:rPr>
                <w:rFonts w:cs="Arial"/>
                <w:vertAlign w:val="superscript"/>
              </w:rPr>
              <w:t>-4</w:t>
            </w:r>
            <w:r w:rsidRPr="00275290">
              <w:rPr>
                <w:rFonts w:cs="Arial"/>
              </w:rPr>
              <w:t xml:space="preserve"> (cypermethrin)</w:t>
            </w:r>
          </w:p>
        </w:tc>
        <w:tc>
          <w:tcPr>
            <w:tcW w:w="1275" w:type="dxa"/>
            <w:vAlign w:val="center"/>
          </w:tcPr>
          <w:p w14:paraId="13B2BC10" w14:textId="77777777" w:rsidR="00692E71" w:rsidRPr="00275290" w:rsidRDefault="00692E71" w:rsidP="008E0250">
            <w:pPr>
              <w:keepNext/>
              <w:rPr>
                <w:rFonts w:cs="Arial"/>
                <w:i/>
                <w:iCs/>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86" w:type="dxa"/>
            <w:vAlign w:val="center"/>
          </w:tcPr>
          <w:p w14:paraId="4AE55B3F" w14:textId="77777777" w:rsidR="00692E71" w:rsidRPr="00275290" w:rsidRDefault="00692E71" w:rsidP="008E0250">
            <w:pPr>
              <w:keepNext/>
              <w:jc w:val="center"/>
              <w:rPr>
                <w:rFonts w:cs="Arial"/>
              </w:rPr>
            </w:pPr>
            <w:r w:rsidRPr="00275290">
              <w:rPr>
                <w:rFonts w:cs="Arial"/>
              </w:rPr>
              <w:t>O</w:t>
            </w:r>
          </w:p>
        </w:tc>
      </w:tr>
      <w:tr w:rsidR="00692E71" w:rsidRPr="00275290" w14:paraId="3E92C580" w14:textId="77777777" w:rsidTr="008E0250">
        <w:trPr>
          <w:cantSplit/>
        </w:trPr>
        <w:tc>
          <w:tcPr>
            <w:tcW w:w="3369" w:type="dxa"/>
            <w:vAlign w:val="center"/>
          </w:tcPr>
          <w:p w14:paraId="4B1348A0" w14:textId="77777777" w:rsidR="00692E71" w:rsidRPr="00275290" w:rsidRDefault="00692E71" w:rsidP="008E0250">
            <w:pPr>
              <w:keepNext/>
              <w:rPr>
                <w:rFonts w:cs="Arial"/>
              </w:rPr>
            </w:pPr>
            <w:r w:rsidRPr="00275290">
              <w:rPr>
                <w:rFonts w:cs="Arial"/>
              </w:rPr>
              <w:t>Average concentrations in soil over a longer</w:t>
            </w:r>
          </w:p>
          <w:p w14:paraId="3DD60AE0" w14:textId="77777777" w:rsidR="00692E71" w:rsidRPr="00275290" w:rsidRDefault="00692E71" w:rsidP="008E0250">
            <w:pPr>
              <w:keepNext/>
              <w:rPr>
                <w:rFonts w:cs="Arial"/>
              </w:rPr>
            </w:pPr>
            <w:r w:rsidRPr="00275290">
              <w:rPr>
                <w:rFonts w:cs="Arial"/>
              </w:rPr>
              <w:t>duration (5475d)</w:t>
            </w:r>
          </w:p>
        </w:tc>
        <w:tc>
          <w:tcPr>
            <w:tcW w:w="1446" w:type="dxa"/>
            <w:vAlign w:val="center"/>
          </w:tcPr>
          <w:p w14:paraId="576C0AAA" w14:textId="77777777" w:rsidR="00692E71" w:rsidRPr="00275290" w:rsidRDefault="00692E71" w:rsidP="008E0250">
            <w:pPr>
              <w:keepNext/>
              <w:rPr>
                <w:rFonts w:cs="Arial"/>
              </w:rPr>
            </w:pPr>
            <w:r w:rsidRPr="00275290">
              <w:rPr>
                <w:rFonts w:cs="Arial"/>
              </w:rPr>
              <w:t>Clocal</w:t>
            </w:r>
            <w:r w:rsidRPr="00275290">
              <w:rPr>
                <w:rFonts w:cs="Arial"/>
                <w:vertAlign w:val="subscript"/>
              </w:rPr>
              <w:t>soil total,</w:t>
            </w:r>
            <w:r w:rsidRPr="00275290">
              <w:rPr>
                <w:rFonts w:cs="Arial"/>
                <w:iCs/>
                <w:vertAlign w:val="subscript"/>
              </w:rPr>
              <w:t xml:space="preserve"> time2</w:t>
            </w:r>
          </w:p>
        </w:tc>
        <w:tc>
          <w:tcPr>
            <w:tcW w:w="2410" w:type="dxa"/>
            <w:vAlign w:val="center"/>
          </w:tcPr>
          <w:p w14:paraId="66E20D0C" w14:textId="77777777" w:rsidR="00692E71" w:rsidRPr="00275290" w:rsidRDefault="00692E71" w:rsidP="008E0250">
            <w:pPr>
              <w:keepNext/>
              <w:jc w:val="center"/>
              <w:rPr>
                <w:rFonts w:cs="Arial"/>
              </w:rPr>
            </w:pPr>
            <w:r w:rsidRPr="00275290">
              <w:rPr>
                <w:rFonts w:cs="Arial"/>
              </w:rPr>
              <w:t>8.6*10</w:t>
            </w:r>
            <w:r w:rsidRPr="00275290">
              <w:rPr>
                <w:rFonts w:cs="Arial"/>
                <w:vertAlign w:val="superscript"/>
              </w:rPr>
              <w:t>-7</w:t>
            </w:r>
            <w:r w:rsidRPr="00275290">
              <w:rPr>
                <w:rFonts w:cs="Arial"/>
              </w:rPr>
              <w:t xml:space="preserve"> (IPBC)</w:t>
            </w:r>
          </w:p>
          <w:p w14:paraId="091B77C7" w14:textId="77777777" w:rsidR="00692E71" w:rsidRPr="00275290" w:rsidRDefault="00692E71" w:rsidP="008E0250">
            <w:pPr>
              <w:keepNext/>
              <w:jc w:val="center"/>
              <w:rPr>
                <w:rFonts w:cs="Arial"/>
              </w:rPr>
            </w:pPr>
            <w:r w:rsidRPr="00275290">
              <w:rPr>
                <w:rFonts w:cs="Arial"/>
              </w:rPr>
              <w:t>0.03 (propiconazole)</w:t>
            </w:r>
          </w:p>
          <w:p w14:paraId="7DCECEC7" w14:textId="77777777" w:rsidR="00692E71" w:rsidRPr="00275290" w:rsidRDefault="00692E71" w:rsidP="008E0250">
            <w:pPr>
              <w:keepNext/>
              <w:jc w:val="center"/>
              <w:rPr>
                <w:rFonts w:cs="Arial"/>
              </w:rPr>
            </w:pPr>
            <w:r w:rsidRPr="00275290">
              <w:rPr>
                <w:rFonts w:cs="Arial"/>
              </w:rPr>
              <w:t>0.01 (tebuconazole)</w:t>
            </w:r>
          </w:p>
          <w:p w14:paraId="01DF9F0F" w14:textId="77777777" w:rsidR="00692E71" w:rsidRPr="00275290" w:rsidRDefault="00692E71" w:rsidP="008E0250">
            <w:pPr>
              <w:keepNext/>
              <w:jc w:val="center"/>
              <w:rPr>
                <w:rFonts w:cs="Arial"/>
              </w:rPr>
            </w:pPr>
            <w:r w:rsidRPr="00275290">
              <w:rPr>
                <w:rFonts w:cs="Arial"/>
              </w:rPr>
              <w:t>1.5*10</w:t>
            </w:r>
            <w:r w:rsidRPr="00275290">
              <w:rPr>
                <w:rFonts w:cs="Arial"/>
                <w:vertAlign w:val="superscript"/>
              </w:rPr>
              <w:t>-4</w:t>
            </w:r>
            <w:r w:rsidRPr="00275290">
              <w:rPr>
                <w:rFonts w:cs="Arial"/>
              </w:rPr>
              <w:t xml:space="preserve"> (cypermethrin)</w:t>
            </w:r>
          </w:p>
        </w:tc>
        <w:tc>
          <w:tcPr>
            <w:tcW w:w="1275" w:type="dxa"/>
            <w:vAlign w:val="center"/>
          </w:tcPr>
          <w:p w14:paraId="7AE5B22D" w14:textId="77777777" w:rsidR="00692E71" w:rsidRPr="00275290" w:rsidRDefault="00692E71" w:rsidP="008E0250">
            <w:pPr>
              <w:keepNext/>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86" w:type="dxa"/>
            <w:vAlign w:val="center"/>
          </w:tcPr>
          <w:p w14:paraId="58F15D3D" w14:textId="77777777" w:rsidR="00692E71" w:rsidRPr="00275290" w:rsidRDefault="00692E71" w:rsidP="008E0250">
            <w:pPr>
              <w:keepNext/>
              <w:jc w:val="center"/>
              <w:rPr>
                <w:rFonts w:cs="Arial"/>
              </w:rPr>
            </w:pPr>
            <w:r w:rsidRPr="00275290">
              <w:rPr>
                <w:rFonts w:cs="Arial"/>
              </w:rPr>
              <w:t>O</w:t>
            </w:r>
          </w:p>
        </w:tc>
      </w:tr>
      <w:tr w:rsidR="00692E71" w:rsidRPr="00275290" w14:paraId="68665D89" w14:textId="77777777" w:rsidTr="008E0250">
        <w:trPr>
          <w:cantSplit/>
        </w:trPr>
        <w:tc>
          <w:tcPr>
            <w:tcW w:w="3369" w:type="dxa"/>
            <w:vAlign w:val="center"/>
          </w:tcPr>
          <w:p w14:paraId="1FAF9F43" w14:textId="77777777" w:rsidR="00692E71" w:rsidRPr="00275290" w:rsidRDefault="00692E71" w:rsidP="008E0250">
            <w:pPr>
              <w:rPr>
                <w:rFonts w:cs="Arial"/>
              </w:rPr>
            </w:pPr>
            <w:r w:rsidRPr="00275290">
              <w:rPr>
                <w:rFonts w:cs="Arial"/>
              </w:rPr>
              <w:t>Average concentrations in pore water over the initial assessment period (30d)</w:t>
            </w:r>
          </w:p>
        </w:tc>
        <w:tc>
          <w:tcPr>
            <w:tcW w:w="1446" w:type="dxa"/>
            <w:vAlign w:val="center"/>
          </w:tcPr>
          <w:p w14:paraId="2F7D8610" w14:textId="77777777" w:rsidR="00692E71" w:rsidRPr="00275290" w:rsidRDefault="00692E71" w:rsidP="008E0250">
            <w:pPr>
              <w:rPr>
                <w:rFonts w:cs="Arial"/>
              </w:rPr>
            </w:pPr>
            <w:r w:rsidRPr="00275290">
              <w:rPr>
                <w:rFonts w:cs="Arial"/>
                <w:iCs/>
              </w:rPr>
              <w:t>Clocal</w:t>
            </w:r>
            <w:r w:rsidRPr="00275290">
              <w:rPr>
                <w:rFonts w:cs="Arial"/>
                <w:iCs/>
                <w:vertAlign w:val="subscript"/>
              </w:rPr>
              <w:t>pore,time1</w:t>
            </w:r>
          </w:p>
        </w:tc>
        <w:tc>
          <w:tcPr>
            <w:tcW w:w="2410" w:type="dxa"/>
            <w:vAlign w:val="center"/>
          </w:tcPr>
          <w:p w14:paraId="7D8CDA8B" w14:textId="77777777" w:rsidR="00692E71" w:rsidRPr="00275290" w:rsidRDefault="00692E71" w:rsidP="008E0250">
            <w:pPr>
              <w:jc w:val="center"/>
              <w:rPr>
                <w:rFonts w:cs="Arial"/>
              </w:rPr>
            </w:pPr>
            <w:r w:rsidRPr="00275290">
              <w:rPr>
                <w:rFonts w:cs="Arial"/>
              </w:rPr>
              <w:t>0.01 (IPBC)</w:t>
            </w:r>
          </w:p>
          <w:p w14:paraId="1FA8F252" w14:textId="77777777" w:rsidR="00692E71" w:rsidRPr="00275290" w:rsidRDefault="00692E71" w:rsidP="008E0250">
            <w:pPr>
              <w:jc w:val="center"/>
              <w:rPr>
                <w:rFonts w:cs="Arial"/>
              </w:rPr>
            </w:pPr>
            <w:r w:rsidRPr="00275290">
              <w:rPr>
                <w:rFonts w:cs="Arial"/>
              </w:rPr>
              <w:t>6.35 (propiconazole)</w:t>
            </w:r>
          </w:p>
          <w:p w14:paraId="2F64F5F4" w14:textId="77777777" w:rsidR="00692E71" w:rsidRPr="00275290" w:rsidRDefault="00692E71" w:rsidP="008E0250">
            <w:pPr>
              <w:jc w:val="center"/>
              <w:rPr>
                <w:rFonts w:cs="Arial"/>
              </w:rPr>
            </w:pPr>
            <w:r w:rsidRPr="00275290">
              <w:rPr>
                <w:rFonts w:cs="Arial"/>
              </w:rPr>
              <w:t>2.51 (tebuconazole)</w:t>
            </w:r>
          </w:p>
          <w:p w14:paraId="4F3C5407" w14:textId="77777777" w:rsidR="00692E71" w:rsidRPr="00275290" w:rsidRDefault="00692E71" w:rsidP="008E0250">
            <w:pPr>
              <w:jc w:val="center"/>
              <w:rPr>
                <w:rFonts w:cs="Arial"/>
              </w:rPr>
            </w:pPr>
            <w:r w:rsidRPr="00275290">
              <w:rPr>
                <w:rFonts w:cs="Arial"/>
              </w:rPr>
              <w:t xml:space="preserve">  1.8*10</w:t>
            </w:r>
            <w:r w:rsidRPr="00275290">
              <w:rPr>
                <w:rFonts w:cs="Arial"/>
                <w:vertAlign w:val="superscript"/>
              </w:rPr>
              <w:t>-5</w:t>
            </w:r>
            <w:r w:rsidRPr="00275290">
              <w:rPr>
                <w:rFonts w:cs="Arial"/>
              </w:rPr>
              <w:t xml:space="preserve"> (cypermethrin)</w:t>
            </w:r>
          </w:p>
        </w:tc>
        <w:tc>
          <w:tcPr>
            <w:tcW w:w="1275" w:type="dxa"/>
            <w:vAlign w:val="center"/>
          </w:tcPr>
          <w:p w14:paraId="587067D5" w14:textId="77777777" w:rsidR="00692E71" w:rsidRPr="00275290" w:rsidRDefault="00692E71" w:rsidP="008E0250">
            <w:pPr>
              <w:rPr>
                <w:rFonts w:cs="Arial"/>
              </w:rPr>
            </w:pPr>
            <w:r w:rsidRPr="00275290">
              <w:rPr>
                <w:rFonts w:cs="Arial"/>
              </w:rPr>
              <w:t>[µg.L</w:t>
            </w:r>
            <w:r w:rsidRPr="00275290">
              <w:rPr>
                <w:rFonts w:cs="Arial"/>
                <w:vertAlign w:val="superscript"/>
              </w:rPr>
              <w:t>-1</w:t>
            </w:r>
            <w:r w:rsidRPr="00275290">
              <w:rPr>
                <w:rFonts w:cs="Arial"/>
              </w:rPr>
              <w:t>]</w:t>
            </w:r>
          </w:p>
        </w:tc>
        <w:tc>
          <w:tcPr>
            <w:tcW w:w="786" w:type="dxa"/>
            <w:vAlign w:val="center"/>
          </w:tcPr>
          <w:p w14:paraId="6B4C47AB" w14:textId="77777777" w:rsidR="00692E71" w:rsidRPr="00275290" w:rsidRDefault="00692E71" w:rsidP="008E0250">
            <w:pPr>
              <w:jc w:val="center"/>
              <w:rPr>
                <w:rFonts w:cs="Arial"/>
              </w:rPr>
            </w:pPr>
            <w:r w:rsidRPr="00275290">
              <w:rPr>
                <w:rFonts w:cs="Arial"/>
              </w:rPr>
              <w:t>O</w:t>
            </w:r>
          </w:p>
        </w:tc>
      </w:tr>
      <w:tr w:rsidR="00692E71" w:rsidRPr="00275290" w14:paraId="6BC1033A" w14:textId="77777777" w:rsidTr="008E0250">
        <w:trPr>
          <w:cantSplit/>
        </w:trPr>
        <w:tc>
          <w:tcPr>
            <w:tcW w:w="3369" w:type="dxa"/>
            <w:vAlign w:val="center"/>
          </w:tcPr>
          <w:p w14:paraId="3A1F38B2" w14:textId="77777777" w:rsidR="00692E71" w:rsidRPr="00275290" w:rsidRDefault="00692E71" w:rsidP="008E0250">
            <w:pPr>
              <w:rPr>
                <w:rFonts w:cs="Arial"/>
              </w:rPr>
            </w:pPr>
            <w:r w:rsidRPr="00275290">
              <w:rPr>
                <w:rFonts w:cs="Arial"/>
              </w:rPr>
              <w:t>Average concentration in pore water over a longer</w:t>
            </w:r>
          </w:p>
          <w:p w14:paraId="5ACEDC07" w14:textId="77777777" w:rsidR="00692E71" w:rsidRPr="00275290" w:rsidRDefault="00692E71" w:rsidP="008E0250">
            <w:pPr>
              <w:rPr>
                <w:rFonts w:cs="Arial"/>
              </w:rPr>
            </w:pPr>
            <w:r w:rsidRPr="00275290">
              <w:rPr>
                <w:rFonts w:cs="Arial"/>
              </w:rPr>
              <w:t>duration (5475d)</w:t>
            </w:r>
          </w:p>
        </w:tc>
        <w:tc>
          <w:tcPr>
            <w:tcW w:w="1446" w:type="dxa"/>
            <w:vAlign w:val="center"/>
          </w:tcPr>
          <w:p w14:paraId="4CDBF0CD" w14:textId="77777777" w:rsidR="00692E71" w:rsidRPr="00275290" w:rsidRDefault="00692E71" w:rsidP="008E0250">
            <w:pPr>
              <w:rPr>
                <w:rFonts w:cs="Arial"/>
                <w:iCs/>
              </w:rPr>
            </w:pPr>
            <w:r w:rsidRPr="00275290">
              <w:rPr>
                <w:rFonts w:cs="Arial"/>
                <w:iCs/>
              </w:rPr>
              <w:t>Clocal</w:t>
            </w:r>
            <w:r w:rsidRPr="00275290">
              <w:rPr>
                <w:rFonts w:cs="Arial"/>
                <w:iCs/>
                <w:vertAlign w:val="subscript"/>
              </w:rPr>
              <w:t>pore,time2</w:t>
            </w:r>
          </w:p>
        </w:tc>
        <w:tc>
          <w:tcPr>
            <w:tcW w:w="2410" w:type="dxa"/>
            <w:vAlign w:val="center"/>
          </w:tcPr>
          <w:p w14:paraId="2CB1D6C5" w14:textId="77777777" w:rsidR="00692E71" w:rsidRPr="00275290" w:rsidRDefault="00692E71" w:rsidP="008E0250">
            <w:pPr>
              <w:jc w:val="center"/>
              <w:rPr>
                <w:rFonts w:cs="Arial"/>
              </w:rPr>
            </w:pPr>
            <w:r w:rsidRPr="00275290">
              <w:rPr>
                <w:rFonts w:cs="Arial"/>
              </w:rPr>
              <w:t>3.7*10</w:t>
            </w:r>
            <w:r w:rsidRPr="00275290">
              <w:rPr>
                <w:rFonts w:cs="Arial"/>
                <w:vertAlign w:val="superscript"/>
              </w:rPr>
              <w:t>-4</w:t>
            </w:r>
            <w:r w:rsidRPr="00275290">
              <w:rPr>
                <w:rFonts w:cs="Arial"/>
              </w:rPr>
              <w:t xml:space="preserve"> (IPBC)</w:t>
            </w:r>
          </w:p>
          <w:p w14:paraId="3D89056E" w14:textId="77777777" w:rsidR="00692E71" w:rsidRPr="00275290" w:rsidRDefault="00692E71" w:rsidP="008E0250">
            <w:pPr>
              <w:jc w:val="center"/>
              <w:rPr>
                <w:rFonts w:cs="Arial"/>
              </w:rPr>
            </w:pPr>
            <w:r w:rsidRPr="00275290">
              <w:rPr>
                <w:rFonts w:cs="Arial"/>
              </w:rPr>
              <w:t>1.87 (propiconazole)</w:t>
            </w:r>
          </w:p>
          <w:p w14:paraId="4CA219D6" w14:textId="77777777" w:rsidR="00692E71" w:rsidRPr="00275290" w:rsidRDefault="00692E71" w:rsidP="008E0250">
            <w:pPr>
              <w:jc w:val="center"/>
              <w:rPr>
                <w:rFonts w:cs="Arial"/>
              </w:rPr>
            </w:pPr>
            <w:r w:rsidRPr="00275290">
              <w:rPr>
                <w:rFonts w:cs="Arial"/>
              </w:rPr>
              <w:t>0.39 (tebuconazole)</w:t>
            </w:r>
          </w:p>
          <w:p w14:paraId="01C60E86" w14:textId="77777777" w:rsidR="00692E71" w:rsidRPr="00275290" w:rsidRDefault="00692E71" w:rsidP="008E0250">
            <w:pPr>
              <w:jc w:val="center"/>
              <w:rPr>
                <w:rFonts w:cs="Arial"/>
              </w:rPr>
            </w:pPr>
            <w:r w:rsidRPr="00275290">
              <w:rPr>
                <w:rFonts w:cs="Arial"/>
              </w:rPr>
              <w:t xml:space="preserve">  1.4*10</w:t>
            </w:r>
            <w:r w:rsidRPr="00275290">
              <w:rPr>
                <w:rFonts w:cs="Arial"/>
                <w:vertAlign w:val="superscript"/>
              </w:rPr>
              <w:t>-5</w:t>
            </w:r>
            <w:r w:rsidRPr="00275290">
              <w:rPr>
                <w:rFonts w:cs="Arial"/>
              </w:rPr>
              <w:t xml:space="preserve"> (cypermethrin)</w:t>
            </w:r>
          </w:p>
        </w:tc>
        <w:tc>
          <w:tcPr>
            <w:tcW w:w="1275" w:type="dxa"/>
            <w:vAlign w:val="center"/>
          </w:tcPr>
          <w:p w14:paraId="2627CDBF" w14:textId="77777777" w:rsidR="00692E71" w:rsidRPr="00275290" w:rsidRDefault="00692E71" w:rsidP="008E0250">
            <w:pPr>
              <w:rPr>
                <w:rFonts w:cs="Arial"/>
              </w:rPr>
            </w:pPr>
            <w:r w:rsidRPr="00275290">
              <w:rPr>
                <w:rFonts w:cs="Arial"/>
              </w:rPr>
              <w:t>[µg.L</w:t>
            </w:r>
            <w:r w:rsidRPr="00275290">
              <w:rPr>
                <w:rFonts w:cs="Arial"/>
                <w:vertAlign w:val="superscript"/>
              </w:rPr>
              <w:t>-1</w:t>
            </w:r>
            <w:r w:rsidRPr="00275290">
              <w:rPr>
                <w:rFonts w:cs="Arial"/>
              </w:rPr>
              <w:t>]</w:t>
            </w:r>
          </w:p>
        </w:tc>
        <w:tc>
          <w:tcPr>
            <w:tcW w:w="786" w:type="dxa"/>
            <w:vAlign w:val="center"/>
          </w:tcPr>
          <w:p w14:paraId="600CF287" w14:textId="77777777" w:rsidR="00692E71" w:rsidRPr="00275290" w:rsidRDefault="00692E71" w:rsidP="008E0250">
            <w:pPr>
              <w:jc w:val="center"/>
              <w:rPr>
                <w:rFonts w:cs="Arial"/>
              </w:rPr>
            </w:pPr>
            <w:r w:rsidRPr="00275290">
              <w:rPr>
                <w:rFonts w:cs="Arial"/>
              </w:rPr>
              <w:t>O</w:t>
            </w:r>
          </w:p>
        </w:tc>
      </w:tr>
    </w:tbl>
    <w:p w14:paraId="66A5AE45" w14:textId="77777777" w:rsidR="00692E71" w:rsidRPr="00275290" w:rsidRDefault="00692E71" w:rsidP="00692E71">
      <w:pPr>
        <w:rPr>
          <w:rFonts w:cs="Arial"/>
        </w:rPr>
      </w:pPr>
    </w:p>
    <w:p w14:paraId="7D1B83F9" w14:textId="77777777" w:rsidR="00692E71" w:rsidRPr="00275290" w:rsidRDefault="00692E71" w:rsidP="00692E71">
      <w:pPr>
        <w:rPr>
          <w:rFonts w:cs="Arial"/>
          <w:iCs/>
          <w:u w:val="single"/>
        </w:rPr>
      </w:pPr>
      <w:r w:rsidRPr="00275290">
        <w:rPr>
          <w:rFonts w:cs="Arial"/>
          <w:iCs/>
          <w:u w:val="single"/>
        </w:rPr>
        <w:t>Calculations (IPBC used as an example):</w:t>
      </w:r>
    </w:p>
    <w:p w14:paraId="23A2F1C7" w14:textId="77777777" w:rsidR="00692E71" w:rsidRPr="00275290" w:rsidRDefault="00692E71" w:rsidP="00692E71">
      <w:pPr>
        <w:rPr>
          <w:rFonts w:cs="Arial"/>
        </w:rPr>
      </w:pPr>
    </w:p>
    <w:p w14:paraId="3D221EC2" w14:textId="77777777" w:rsidR="00692E71" w:rsidRPr="00275290" w:rsidRDefault="00692E71" w:rsidP="00692E71">
      <w:pPr>
        <w:rPr>
          <w:rFonts w:cs="Arial"/>
        </w:rPr>
      </w:pPr>
      <w:r w:rsidRPr="00275290">
        <w:rPr>
          <w:rFonts w:cs="Arial"/>
          <w:iCs/>
        </w:rPr>
        <w:t>The average concentration in the pore water can be calculated as (equation 3.9 of the ESD)</w:t>
      </w:r>
      <w:r w:rsidRPr="00275290">
        <w:rPr>
          <w:rFonts w:cs="Arial"/>
        </w:rPr>
        <w:t>:</w:t>
      </w:r>
    </w:p>
    <w:p w14:paraId="6102CC8B" w14:textId="77777777" w:rsidR="00692E71" w:rsidRPr="00275290" w:rsidRDefault="00692E71" w:rsidP="00692E71">
      <w:pPr>
        <w:rPr>
          <w:rFonts w:cs="Arial"/>
          <w:iCs/>
        </w:rPr>
      </w:pPr>
    </w:p>
    <w:p w14:paraId="436DE90E"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xml:space="preserve">= </w:t>
      </w: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6A92A1E3" w14:textId="77777777" w:rsidR="00692E71" w:rsidRPr="00275290" w:rsidRDefault="00692E71" w:rsidP="00692E71">
      <w:pPr>
        <w:rPr>
          <w:rFonts w:cs="Arial"/>
          <w:iCs/>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xml:space="preserve">= </w:t>
      </w:r>
      <w:r w:rsidRPr="00275290">
        <w:rPr>
          <w:rFonts w:cs="Arial"/>
        </w:rPr>
        <w:t>2.8*10</w:t>
      </w:r>
      <w:r w:rsidRPr="00275290">
        <w:rPr>
          <w:rFonts w:cs="Arial"/>
          <w:vertAlign w:val="superscript"/>
        </w:rPr>
        <w:t>-5</w:t>
      </w:r>
      <w:r w:rsidRPr="00275290">
        <w:rPr>
          <w:rFonts w:cs="Arial"/>
          <w:iCs/>
        </w:rPr>
        <w:t xml:space="preserve"> * 1700 / 3.98</w:t>
      </w:r>
    </w:p>
    <w:p w14:paraId="16597F92" w14:textId="77777777" w:rsidR="00692E71" w:rsidRPr="00275290" w:rsidRDefault="00692E71" w:rsidP="00692E71">
      <w:pPr>
        <w:rPr>
          <w:rFonts w:cs="Arial"/>
          <w:iCs/>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xml:space="preserve">= 0.01 </w:t>
      </w:r>
      <w:r w:rsidRPr="00275290">
        <w:rPr>
          <w:rFonts w:cs="Arial"/>
        </w:rPr>
        <w:t>µg/L</w:t>
      </w:r>
    </w:p>
    <w:p w14:paraId="027FD26B" w14:textId="77777777" w:rsidR="00692E71" w:rsidRPr="00575E63" w:rsidRDefault="00692E71" w:rsidP="00692E71"/>
    <w:p w14:paraId="7CB80632" w14:textId="77777777" w:rsidR="00692E71" w:rsidRPr="00FE333D" w:rsidRDefault="00692E71" w:rsidP="003356DA">
      <w:pPr>
        <w:pStyle w:val="Titre6"/>
        <w:rPr>
          <w:lang w:val="en-US"/>
        </w:rPr>
      </w:pPr>
      <w:bookmarkStart w:id="130" w:name="_Toc452668995"/>
      <w:r w:rsidRPr="00FE333D">
        <w:rPr>
          <w:lang w:val="en-US"/>
        </w:rPr>
        <w:t>Fence scenario, concentrations from in-service of industrial treated wood with removal</w:t>
      </w:r>
      <w:bookmarkEnd w:id="130"/>
    </w:p>
    <w:p w14:paraId="3AD29644" w14:textId="77777777" w:rsidR="00692E71" w:rsidRPr="00275290" w:rsidRDefault="00692E71" w:rsidP="00692E71">
      <w:pPr>
        <w:rPr>
          <w:rFonts w:cs="Arial"/>
        </w:rPr>
      </w:pPr>
    </w:p>
    <w:p w14:paraId="3BDB810D" w14:textId="77777777" w:rsidR="00692E71" w:rsidRPr="00275290" w:rsidRDefault="00692E71" w:rsidP="00692E71">
      <w:pPr>
        <w:rPr>
          <w:rFonts w:cs="Arial"/>
        </w:rPr>
      </w:pPr>
      <w:r w:rsidRPr="00275290">
        <w:rPr>
          <w:rFonts w:cs="Arial"/>
        </w:rPr>
        <w:t>The same calculations as for the house scenario were performed for the fence scenario.</w:t>
      </w:r>
    </w:p>
    <w:p w14:paraId="6EF29B19" w14:textId="77777777" w:rsidR="00692E71" w:rsidRPr="00275290" w:rsidRDefault="00692E71" w:rsidP="00692E71">
      <w:pPr>
        <w:rPr>
          <w:rFonts w:cs="Arial"/>
        </w:rPr>
      </w:pPr>
    </w:p>
    <w:p w14:paraId="6C3503F1"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15</w:t>
      </w:r>
      <w:r w:rsidRPr="00275290">
        <w:rPr>
          <w:rFonts w:ascii="Verdana" w:hAnsi="Verdana"/>
        </w:rPr>
        <w:fldChar w:fldCharType="end"/>
      </w:r>
      <w:r w:rsidRPr="00275290">
        <w:rPr>
          <w:rFonts w:ascii="Verdana" w:hAnsi="Verdana"/>
        </w:rPr>
        <w:t>: Concentration in soil and pore-water, in-service of industrial treated wood (Fence) taking removal into account.</w:t>
      </w: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1"/>
        <w:gridCol w:w="1587"/>
        <w:gridCol w:w="2410"/>
        <w:gridCol w:w="1304"/>
        <w:gridCol w:w="795"/>
      </w:tblGrid>
      <w:tr w:rsidR="00692E71" w:rsidRPr="00275290" w14:paraId="6661427C" w14:textId="77777777" w:rsidTr="008E0250">
        <w:trPr>
          <w:trHeight w:val="283"/>
          <w:tblHeader/>
          <w:jc w:val="center"/>
        </w:trPr>
        <w:tc>
          <w:tcPr>
            <w:tcW w:w="3231" w:type="dxa"/>
            <w:shd w:val="clear" w:color="auto" w:fill="D9D9D9" w:themeFill="background1" w:themeFillShade="D9"/>
            <w:vAlign w:val="center"/>
          </w:tcPr>
          <w:p w14:paraId="48E52A1D" w14:textId="77777777" w:rsidR="00692E71" w:rsidRPr="00275290" w:rsidRDefault="00692E71" w:rsidP="008E0250">
            <w:pPr>
              <w:rPr>
                <w:rFonts w:cs="Arial"/>
                <w:b/>
                <w:highlight w:val="yellow"/>
              </w:rPr>
            </w:pPr>
            <w:r w:rsidRPr="00275290">
              <w:rPr>
                <w:rFonts w:cs="Arial"/>
                <w:b/>
              </w:rPr>
              <w:t>Parameter/variable</w:t>
            </w:r>
          </w:p>
        </w:tc>
        <w:tc>
          <w:tcPr>
            <w:tcW w:w="1587" w:type="dxa"/>
            <w:shd w:val="clear" w:color="auto" w:fill="D9D9D9" w:themeFill="background1" w:themeFillShade="D9"/>
            <w:vAlign w:val="center"/>
          </w:tcPr>
          <w:p w14:paraId="1A8D743A" w14:textId="77777777" w:rsidR="00692E71" w:rsidRPr="00275290" w:rsidRDefault="00692E71" w:rsidP="008E0250">
            <w:pPr>
              <w:jc w:val="center"/>
              <w:rPr>
                <w:rFonts w:cs="Arial"/>
                <w:b/>
              </w:rPr>
            </w:pPr>
            <w:r w:rsidRPr="00275290">
              <w:rPr>
                <w:rFonts w:cs="Arial"/>
                <w:b/>
              </w:rPr>
              <w:t>Nomenclature</w:t>
            </w:r>
          </w:p>
        </w:tc>
        <w:tc>
          <w:tcPr>
            <w:tcW w:w="2410" w:type="dxa"/>
            <w:shd w:val="clear" w:color="auto" w:fill="D9D9D9" w:themeFill="background1" w:themeFillShade="D9"/>
            <w:vAlign w:val="center"/>
          </w:tcPr>
          <w:p w14:paraId="3FB098CE" w14:textId="77777777" w:rsidR="00692E71" w:rsidRPr="00275290" w:rsidRDefault="00692E71" w:rsidP="008E0250">
            <w:pPr>
              <w:jc w:val="center"/>
              <w:rPr>
                <w:rFonts w:cs="Arial"/>
                <w:b/>
              </w:rPr>
            </w:pPr>
            <w:r w:rsidRPr="00275290">
              <w:rPr>
                <w:rFonts w:cs="Arial"/>
                <w:b/>
              </w:rPr>
              <w:t>Value</w:t>
            </w:r>
          </w:p>
        </w:tc>
        <w:tc>
          <w:tcPr>
            <w:tcW w:w="1304" w:type="dxa"/>
            <w:shd w:val="clear" w:color="auto" w:fill="D9D9D9" w:themeFill="background1" w:themeFillShade="D9"/>
            <w:vAlign w:val="center"/>
          </w:tcPr>
          <w:p w14:paraId="74E2F877" w14:textId="77777777" w:rsidR="00692E71" w:rsidRPr="00275290" w:rsidRDefault="00692E71" w:rsidP="008E0250">
            <w:pPr>
              <w:jc w:val="center"/>
              <w:rPr>
                <w:rFonts w:cs="Arial"/>
                <w:b/>
              </w:rPr>
            </w:pPr>
            <w:r w:rsidRPr="00275290">
              <w:rPr>
                <w:rFonts w:cs="Arial"/>
                <w:b/>
              </w:rPr>
              <w:t>Unit</w:t>
            </w:r>
          </w:p>
        </w:tc>
        <w:tc>
          <w:tcPr>
            <w:tcW w:w="794" w:type="dxa"/>
            <w:shd w:val="clear" w:color="auto" w:fill="D9D9D9" w:themeFill="background1" w:themeFillShade="D9"/>
            <w:vAlign w:val="center"/>
          </w:tcPr>
          <w:p w14:paraId="4262E112" w14:textId="77777777" w:rsidR="00692E71" w:rsidRPr="00275290" w:rsidRDefault="00692E71" w:rsidP="008E0250">
            <w:pPr>
              <w:jc w:val="center"/>
              <w:rPr>
                <w:rFonts w:cs="Arial"/>
                <w:b/>
              </w:rPr>
            </w:pPr>
            <w:r w:rsidRPr="00275290">
              <w:rPr>
                <w:rFonts w:cs="Arial"/>
                <w:b/>
              </w:rPr>
              <w:t>Origin</w:t>
            </w:r>
          </w:p>
        </w:tc>
      </w:tr>
      <w:tr w:rsidR="00692E71" w:rsidRPr="00275290" w14:paraId="0E74B919" w14:textId="77777777" w:rsidTr="008E0250">
        <w:trPr>
          <w:trHeight w:val="283"/>
          <w:jc w:val="center"/>
        </w:trPr>
        <w:tc>
          <w:tcPr>
            <w:tcW w:w="9327" w:type="dxa"/>
            <w:gridSpan w:val="5"/>
            <w:vAlign w:val="center"/>
          </w:tcPr>
          <w:p w14:paraId="3C406BCF" w14:textId="77777777" w:rsidR="00692E71" w:rsidRPr="00275290" w:rsidRDefault="00692E71" w:rsidP="008E0250">
            <w:pPr>
              <w:rPr>
                <w:rFonts w:cs="Arial"/>
                <w:b/>
              </w:rPr>
            </w:pPr>
            <w:r w:rsidRPr="00275290">
              <w:rPr>
                <w:rFonts w:cs="Arial"/>
                <w:b/>
              </w:rPr>
              <w:t>OUTPUT EMISSION</w:t>
            </w:r>
          </w:p>
        </w:tc>
      </w:tr>
      <w:tr w:rsidR="00692E71" w:rsidRPr="00275290" w14:paraId="4C04DDFE" w14:textId="77777777" w:rsidTr="008E0250">
        <w:trPr>
          <w:jc w:val="center"/>
        </w:trPr>
        <w:tc>
          <w:tcPr>
            <w:tcW w:w="3231" w:type="dxa"/>
            <w:vAlign w:val="center"/>
          </w:tcPr>
          <w:p w14:paraId="2EED9FD7" w14:textId="77777777" w:rsidR="00692E71" w:rsidRPr="00275290" w:rsidRDefault="00692E71" w:rsidP="008E0250">
            <w:pPr>
              <w:rPr>
                <w:rFonts w:cs="Arial"/>
              </w:rPr>
            </w:pPr>
            <w:r w:rsidRPr="00275290">
              <w:rPr>
                <w:rFonts w:cs="Arial"/>
              </w:rPr>
              <w:t>Average concentrations in soil over the initial assessment period (30d)</w:t>
            </w:r>
          </w:p>
        </w:tc>
        <w:tc>
          <w:tcPr>
            <w:tcW w:w="1587" w:type="dxa"/>
            <w:vAlign w:val="center"/>
          </w:tcPr>
          <w:p w14:paraId="6D19D7F0" w14:textId="77777777" w:rsidR="00692E71" w:rsidRPr="00275290" w:rsidRDefault="00692E71" w:rsidP="008E0250">
            <w:pPr>
              <w:jc w:val="center"/>
              <w:rPr>
                <w:rFonts w:cs="Arial"/>
              </w:rPr>
            </w:pPr>
            <w:r w:rsidRPr="00275290">
              <w:rPr>
                <w:rFonts w:cs="Arial"/>
              </w:rPr>
              <w:t>Clocal</w:t>
            </w:r>
            <w:r w:rsidRPr="00275290">
              <w:rPr>
                <w:rFonts w:cs="Arial"/>
                <w:vertAlign w:val="subscript"/>
              </w:rPr>
              <w:t xml:space="preserve">soil,total, rem </w:t>
            </w:r>
            <w:r w:rsidRPr="00275290">
              <w:rPr>
                <w:rFonts w:cs="Arial"/>
                <w:iCs/>
                <w:vertAlign w:val="subscript"/>
              </w:rPr>
              <w:t>time1</w:t>
            </w:r>
          </w:p>
        </w:tc>
        <w:tc>
          <w:tcPr>
            <w:tcW w:w="2410" w:type="dxa"/>
            <w:vAlign w:val="center"/>
          </w:tcPr>
          <w:p w14:paraId="137E146A" w14:textId="77777777" w:rsidR="00692E71" w:rsidRPr="00275290" w:rsidRDefault="00692E71" w:rsidP="008E0250">
            <w:pPr>
              <w:jc w:val="center"/>
              <w:rPr>
                <w:rFonts w:cs="Arial"/>
              </w:rPr>
            </w:pPr>
            <w:r w:rsidRPr="00275290">
              <w:rPr>
                <w:rFonts w:cs="Arial"/>
              </w:rPr>
              <w:t>2.4*10</w:t>
            </w:r>
            <w:r w:rsidRPr="00275290">
              <w:rPr>
                <w:rFonts w:cs="Arial"/>
                <w:vertAlign w:val="superscript"/>
              </w:rPr>
              <w:t>-5</w:t>
            </w:r>
            <w:r w:rsidRPr="00275290">
              <w:rPr>
                <w:rFonts w:cs="Arial"/>
              </w:rPr>
              <w:t xml:space="preserve"> (IPBC)</w:t>
            </w:r>
          </w:p>
          <w:p w14:paraId="66E1F4A8" w14:textId="77777777" w:rsidR="00692E71" w:rsidRPr="00275290" w:rsidRDefault="00692E71" w:rsidP="008E0250">
            <w:pPr>
              <w:jc w:val="center"/>
              <w:rPr>
                <w:rFonts w:cs="Arial"/>
              </w:rPr>
            </w:pPr>
            <w:r w:rsidRPr="00275290">
              <w:rPr>
                <w:rFonts w:cs="Arial"/>
              </w:rPr>
              <w:t>0.09 (propiconazole)</w:t>
            </w:r>
          </w:p>
          <w:p w14:paraId="0573BC2F" w14:textId="77777777" w:rsidR="00692E71" w:rsidRPr="00275290" w:rsidRDefault="00692E71" w:rsidP="008E0250">
            <w:pPr>
              <w:jc w:val="center"/>
              <w:rPr>
                <w:rFonts w:cs="Arial"/>
              </w:rPr>
            </w:pPr>
            <w:r w:rsidRPr="00275290">
              <w:rPr>
                <w:rFonts w:cs="Arial"/>
              </w:rPr>
              <w:t>0.04 (tebuconazole)</w:t>
            </w:r>
          </w:p>
          <w:p w14:paraId="440700CF" w14:textId="77777777" w:rsidR="00692E71" w:rsidRPr="00275290" w:rsidRDefault="00692E71" w:rsidP="008E0250">
            <w:pPr>
              <w:jc w:val="center"/>
              <w:rPr>
                <w:rFonts w:cs="Arial"/>
              </w:rPr>
            </w:pPr>
            <w:r w:rsidRPr="00275290">
              <w:rPr>
                <w:rFonts w:cs="Arial"/>
              </w:rPr>
              <w:t>1.5*10</w:t>
            </w:r>
            <w:r w:rsidRPr="00275290">
              <w:rPr>
                <w:rFonts w:cs="Arial"/>
                <w:vertAlign w:val="superscript"/>
              </w:rPr>
              <w:t>-4</w:t>
            </w:r>
            <w:r w:rsidRPr="00275290">
              <w:rPr>
                <w:rFonts w:cs="Arial"/>
              </w:rPr>
              <w:t xml:space="preserve"> (cypermethrin)</w:t>
            </w:r>
          </w:p>
        </w:tc>
        <w:tc>
          <w:tcPr>
            <w:tcW w:w="1304" w:type="dxa"/>
            <w:vAlign w:val="center"/>
          </w:tcPr>
          <w:p w14:paraId="5BB6E5B5"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94" w:type="dxa"/>
            <w:vAlign w:val="center"/>
          </w:tcPr>
          <w:p w14:paraId="129728CC" w14:textId="77777777" w:rsidR="00692E71" w:rsidRPr="00275290" w:rsidRDefault="00692E71" w:rsidP="008E0250">
            <w:pPr>
              <w:jc w:val="center"/>
              <w:rPr>
                <w:rFonts w:cs="Arial"/>
              </w:rPr>
            </w:pPr>
            <w:r w:rsidRPr="00275290">
              <w:rPr>
                <w:rFonts w:cs="Arial"/>
              </w:rPr>
              <w:t>O</w:t>
            </w:r>
          </w:p>
        </w:tc>
      </w:tr>
      <w:tr w:rsidR="00692E71" w:rsidRPr="00275290" w14:paraId="6DBE23B4" w14:textId="77777777" w:rsidTr="008E0250">
        <w:trPr>
          <w:cantSplit/>
          <w:jc w:val="center"/>
        </w:trPr>
        <w:tc>
          <w:tcPr>
            <w:tcW w:w="3231" w:type="dxa"/>
            <w:vAlign w:val="center"/>
          </w:tcPr>
          <w:p w14:paraId="71C548D7" w14:textId="77777777" w:rsidR="00692E71" w:rsidRPr="00275290" w:rsidRDefault="00692E71" w:rsidP="008E0250">
            <w:pPr>
              <w:rPr>
                <w:rFonts w:cs="Arial"/>
              </w:rPr>
            </w:pPr>
            <w:r w:rsidRPr="00275290">
              <w:rPr>
                <w:rFonts w:cs="Arial"/>
              </w:rPr>
              <w:lastRenderedPageBreak/>
              <w:t>Average concentrations in soil over a longer</w:t>
            </w:r>
          </w:p>
          <w:p w14:paraId="38884BB4" w14:textId="77777777" w:rsidR="00692E71" w:rsidRPr="00275290" w:rsidRDefault="00692E71" w:rsidP="008E0250">
            <w:pPr>
              <w:rPr>
                <w:rFonts w:cs="Arial"/>
              </w:rPr>
            </w:pPr>
            <w:r w:rsidRPr="00275290">
              <w:rPr>
                <w:rFonts w:cs="Arial"/>
              </w:rPr>
              <w:t>duration (5475d)</w:t>
            </w:r>
          </w:p>
        </w:tc>
        <w:tc>
          <w:tcPr>
            <w:tcW w:w="1587" w:type="dxa"/>
            <w:vAlign w:val="center"/>
          </w:tcPr>
          <w:p w14:paraId="5FCD0BEF" w14:textId="77777777" w:rsidR="00692E71" w:rsidRPr="00275290" w:rsidRDefault="00692E71" w:rsidP="008E0250">
            <w:pPr>
              <w:jc w:val="center"/>
              <w:rPr>
                <w:rFonts w:cs="Arial"/>
              </w:rPr>
            </w:pPr>
            <w:r w:rsidRPr="00275290">
              <w:rPr>
                <w:rFonts w:cs="Arial"/>
              </w:rPr>
              <w:t>Clocal</w:t>
            </w:r>
            <w:r w:rsidRPr="00275290">
              <w:rPr>
                <w:rFonts w:cs="Arial"/>
                <w:vertAlign w:val="subscript"/>
              </w:rPr>
              <w:t>soil,total,</w:t>
            </w:r>
            <w:r w:rsidRPr="00275290">
              <w:rPr>
                <w:rFonts w:cs="Arial"/>
                <w:iCs/>
                <w:vertAlign w:val="subscript"/>
              </w:rPr>
              <w:t xml:space="preserve"> rem, time2</w:t>
            </w:r>
          </w:p>
        </w:tc>
        <w:tc>
          <w:tcPr>
            <w:tcW w:w="2410" w:type="dxa"/>
            <w:vAlign w:val="center"/>
          </w:tcPr>
          <w:p w14:paraId="584FBDF8" w14:textId="77777777" w:rsidR="00692E71" w:rsidRPr="00275290" w:rsidRDefault="00692E71" w:rsidP="008E0250">
            <w:pPr>
              <w:jc w:val="center"/>
              <w:rPr>
                <w:rFonts w:cs="Arial"/>
              </w:rPr>
            </w:pPr>
            <w:r w:rsidRPr="00275290">
              <w:rPr>
                <w:rFonts w:cs="Arial"/>
              </w:rPr>
              <w:t>7.2*10</w:t>
            </w:r>
            <w:r w:rsidRPr="00275290">
              <w:rPr>
                <w:rFonts w:cs="Arial"/>
                <w:vertAlign w:val="superscript"/>
              </w:rPr>
              <w:t>-7</w:t>
            </w:r>
            <w:r w:rsidRPr="00275290">
              <w:rPr>
                <w:rFonts w:cs="Arial"/>
              </w:rPr>
              <w:t xml:space="preserve"> (IPBC)</w:t>
            </w:r>
          </w:p>
          <w:p w14:paraId="0637AD63" w14:textId="77777777" w:rsidR="00692E71" w:rsidRPr="00275290" w:rsidRDefault="00692E71" w:rsidP="008E0250">
            <w:pPr>
              <w:jc w:val="center"/>
              <w:rPr>
                <w:rFonts w:cs="Arial"/>
              </w:rPr>
            </w:pPr>
            <w:r w:rsidRPr="00275290">
              <w:rPr>
                <w:rFonts w:cs="Arial"/>
              </w:rPr>
              <w:t>2.6*10</w:t>
            </w:r>
            <w:r w:rsidRPr="00275290">
              <w:rPr>
                <w:rFonts w:cs="Arial"/>
                <w:vertAlign w:val="superscript"/>
              </w:rPr>
              <w:t>-2</w:t>
            </w:r>
            <w:r w:rsidRPr="00275290">
              <w:rPr>
                <w:rFonts w:cs="Arial"/>
              </w:rPr>
              <w:t xml:space="preserve"> (propiconazole)</w:t>
            </w:r>
          </w:p>
          <w:p w14:paraId="21035DB9" w14:textId="77777777" w:rsidR="00692E71" w:rsidRPr="00275290" w:rsidRDefault="00692E71" w:rsidP="008E0250">
            <w:pPr>
              <w:jc w:val="center"/>
              <w:rPr>
                <w:rFonts w:cs="Arial"/>
              </w:rPr>
            </w:pPr>
            <w:r w:rsidRPr="00275290">
              <w:rPr>
                <w:rFonts w:cs="Arial"/>
              </w:rPr>
              <w:t>5.7*10</w:t>
            </w:r>
            <w:r w:rsidRPr="00275290">
              <w:rPr>
                <w:rFonts w:cs="Arial"/>
                <w:vertAlign w:val="superscript"/>
              </w:rPr>
              <w:t>-3</w:t>
            </w:r>
            <w:r w:rsidRPr="00275290">
              <w:rPr>
                <w:rFonts w:cs="Arial"/>
              </w:rPr>
              <w:t xml:space="preserve"> (tebuconazole)</w:t>
            </w:r>
          </w:p>
          <w:p w14:paraId="192F42DF" w14:textId="77777777" w:rsidR="00692E71" w:rsidRPr="00275290" w:rsidRDefault="00692E71" w:rsidP="008E0250">
            <w:pPr>
              <w:jc w:val="center"/>
              <w:rPr>
                <w:rFonts w:cs="Arial"/>
                <w:vertAlign w:val="superscript"/>
              </w:rPr>
            </w:pPr>
            <w:r w:rsidRPr="00275290">
              <w:rPr>
                <w:rFonts w:cs="Arial"/>
              </w:rPr>
              <w:t>1.4*10</w:t>
            </w:r>
            <w:r w:rsidRPr="00275290">
              <w:rPr>
                <w:rFonts w:cs="Arial"/>
                <w:vertAlign w:val="superscript"/>
              </w:rPr>
              <w:t xml:space="preserve">-4 </w:t>
            </w:r>
            <w:r w:rsidRPr="00275290">
              <w:rPr>
                <w:rFonts w:cs="Arial"/>
              </w:rPr>
              <w:t>(cypermethrin)</w:t>
            </w:r>
          </w:p>
        </w:tc>
        <w:tc>
          <w:tcPr>
            <w:tcW w:w="1304" w:type="dxa"/>
            <w:vAlign w:val="center"/>
          </w:tcPr>
          <w:p w14:paraId="4525357C"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94" w:type="dxa"/>
            <w:vAlign w:val="center"/>
          </w:tcPr>
          <w:p w14:paraId="3F81B309" w14:textId="77777777" w:rsidR="00692E71" w:rsidRPr="00275290" w:rsidRDefault="00692E71" w:rsidP="008E0250">
            <w:pPr>
              <w:jc w:val="center"/>
              <w:rPr>
                <w:rFonts w:cs="Arial"/>
              </w:rPr>
            </w:pPr>
            <w:r w:rsidRPr="00275290">
              <w:rPr>
                <w:rFonts w:cs="Arial"/>
              </w:rPr>
              <w:t>O</w:t>
            </w:r>
          </w:p>
        </w:tc>
      </w:tr>
      <w:tr w:rsidR="00692E71" w:rsidRPr="00275290" w14:paraId="76AE067D" w14:textId="77777777" w:rsidTr="008E0250">
        <w:trPr>
          <w:cantSplit/>
          <w:jc w:val="center"/>
        </w:trPr>
        <w:tc>
          <w:tcPr>
            <w:tcW w:w="3231" w:type="dxa"/>
            <w:vAlign w:val="center"/>
          </w:tcPr>
          <w:p w14:paraId="326C9C83" w14:textId="77777777" w:rsidR="00692E71" w:rsidRPr="00275290" w:rsidRDefault="00692E71" w:rsidP="008E0250">
            <w:pPr>
              <w:keepNext/>
              <w:rPr>
                <w:rFonts w:cs="Arial"/>
              </w:rPr>
            </w:pPr>
            <w:r w:rsidRPr="00275290">
              <w:rPr>
                <w:rFonts w:cs="Arial"/>
              </w:rPr>
              <w:t>Average concentrations in pore water over the initial assessment period (30d)</w:t>
            </w:r>
          </w:p>
        </w:tc>
        <w:tc>
          <w:tcPr>
            <w:tcW w:w="1587" w:type="dxa"/>
            <w:vAlign w:val="center"/>
          </w:tcPr>
          <w:p w14:paraId="0BBD2BA1" w14:textId="77777777" w:rsidR="00692E71" w:rsidRPr="00275290" w:rsidRDefault="00692E71" w:rsidP="008E0250">
            <w:pPr>
              <w:keepNext/>
              <w:jc w:val="center"/>
              <w:rPr>
                <w:rFonts w:cs="Arial"/>
                <w:iCs/>
              </w:rPr>
            </w:pPr>
            <w:r w:rsidRPr="00275290">
              <w:rPr>
                <w:rFonts w:cs="Arial"/>
                <w:iCs/>
              </w:rPr>
              <w:t>Clocal</w:t>
            </w:r>
            <w:r w:rsidRPr="00275290">
              <w:rPr>
                <w:rFonts w:cs="Arial"/>
                <w:iCs/>
                <w:vertAlign w:val="subscript"/>
              </w:rPr>
              <w:t>pore,time1</w:t>
            </w:r>
          </w:p>
        </w:tc>
        <w:tc>
          <w:tcPr>
            <w:tcW w:w="2410" w:type="dxa"/>
            <w:vAlign w:val="center"/>
          </w:tcPr>
          <w:p w14:paraId="733F7163" w14:textId="77777777" w:rsidR="00692E71" w:rsidRPr="00275290" w:rsidRDefault="00692E71" w:rsidP="008E0250">
            <w:pPr>
              <w:keepNext/>
              <w:jc w:val="center"/>
              <w:rPr>
                <w:rFonts w:cs="Arial"/>
              </w:rPr>
            </w:pPr>
            <w:r w:rsidRPr="00275290">
              <w:rPr>
                <w:rFonts w:cs="Arial"/>
              </w:rPr>
              <w:t>0.01 (IPBC)</w:t>
            </w:r>
          </w:p>
          <w:p w14:paraId="63EDE21E" w14:textId="77777777" w:rsidR="00692E71" w:rsidRPr="00275290" w:rsidRDefault="00692E71" w:rsidP="008E0250">
            <w:pPr>
              <w:keepNext/>
              <w:jc w:val="center"/>
              <w:rPr>
                <w:rFonts w:cs="Arial"/>
              </w:rPr>
            </w:pPr>
            <w:r w:rsidRPr="00275290">
              <w:rPr>
                <w:rFonts w:cs="Arial"/>
              </w:rPr>
              <w:t>5.28 (propiconazole)</w:t>
            </w:r>
          </w:p>
          <w:p w14:paraId="38087C2E" w14:textId="77777777" w:rsidR="00692E71" w:rsidRPr="00275290" w:rsidRDefault="00692E71" w:rsidP="008E0250">
            <w:pPr>
              <w:keepNext/>
              <w:jc w:val="center"/>
              <w:rPr>
                <w:rFonts w:cs="Arial"/>
              </w:rPr>
            </w:pPr>
            <w:r w:rsidRPr="00275290">
              <w:rPr>
                <w:rFonts w:cs="Arial"/>
              </w:rPr>
              <w:t>2.09 (tebuconazole)</w:t>
            </w:r>
          </w:p>
          <w:p w14:paraId="3890BE0A" w14:textId="77777777" w:rsidR="00692E71" w:rsidRPr="00275290" w:rsidRDefault="00692E71" w:rsidP="008E0250">
            <w:pPr>
              <w:keepNext/>
              <w:jc w:val="center"/>
              <w:rPr>
                <w:rFonts w:cs="Arial"/>
              </w:rPr>
            </w:pPr>
            <w:r w:rsidRPr="00275290">
              <w:rPr>
                <w:rFonts w:cs="Arial"/>
              </w:rPr>
              <w:t>1.5*10</w:t>
            </w:r>
            <w:r w:rsidRPr="00275290">
              <w:rPr>
                <w:rFonts w:cs="Arial"/>
                <w:vertAlign w:val="superscript"/>
              </w:rPr>
              <w:t>-5</w:t>
            </w:r>
            <w:r w:rsidRPr="00275290">
              <w:rPr>
                <w:rFonts w:cs="Arial"/>
              </w:rPr>
              <w:t xml:space="preserve"> (cypermethrin)</w:t>
            </w:r>
          </w:p>
        </w:tc>
        <w:tc>
          <w:tcPr>
            <w:tcW w:w="1304" w:type="dxa"/>
            <w:vAlign w:val="center"/>
          </w:tcPr>
          <w:p w14:paraId="23D74A7E" w14:textId="77777777" w:rsidR="00692E71" w:rsidRPr="00275290" w:rsidRDefault="00692E71" w:rsidP="008E0250">
            <w:pPr>
              <w:keepNext/>
              <w:jc w:val="center"/>
              <w:rPr>
                <w:rFonts w:cs="Arial"/>
              </w:rPr>
            </w:pPr>
            <w:r w:rsidRPr="00275290">
              <w:rPr>
                <w:rFonts w:cs="Arial"/>
              </w:rPr>
              <w:t>[µg.L</w:t>
            </w:r>
            <w:r w:rsidRPr="00275290">
              <w:rPr>
                <w:rFonts w:cs="Arial"/>
                <w:vertAlign w:val="superscript"/>
              </w:rPr>
              <w:t>-1</w:t>
            </w:r>
            <w:r w:rsidRPr="00275290">
              <w:rPr>
                <w:rFonts w:cs="Arial"/>
              </w:rPr>
              <w:t>]</w:t>
            </w:r>
          </w:p>
        </w:tc>
        <w:tc>
          <w:tcPr>
            <w:tcW w:w="794" w:type="dxa"/>
            <w:vAlign w:val="center"/>
          </w:tcPr>
          <w:p w14:paraId="15519AD8" w14:textId="77777777" w:rsidR="00692E71" w:rsidRPr="00275290" w:rsidRDefault="00692E71" w:rsidP="008E0250">
            <w:pPr>
              <w:keepNext/>
              <w:jc w:val="center"/>
              <w:rPr>
                <w:rFonts w:cs="Arial"/>
              </w:rPr>
            </w:pPr>
            <w:r w:rsidRPr="00275290">
              <w:rPr>
                <w:rFonts w:cs="Arial"/>
              </w:rPr>
              <w:t>O</w:t>
            </w:r>
          </w:p>
        </w:tc>
      </w:tr>
      <w:tr w:rsidR="00692E71" w:rsidRPr="00275290" w14:paraId="4246512D" w14:textId="77777777" w:rsidTr="008E0250">
        <w:trPr>
          <w:cantSplit/>
          <w:jc w:val="center"/>
        </w:trPr>
        <w:tc>
          <w:tcPr>
            <w:tcW w:w="3231" w:type="dxa"/>
            <w:vAlign w:val="center"/>
          </w:tcPr>
          <w:p w14:paraId="0D3BE831" w14:textId="77777777" w:rsidR="00692E71" w:rsidRPr="00275290" w:rsidRDefault="00692E71" w:rsidP="008E0250">
            <w:pPr>
              <w:rPr>
                <w:rFonts w:cs="Arial"/>
              </w:rPr>
            </w:pPr>
            <w:r w:rsidRPr="00275290">
              <w:rPr>
                <w:rFonts w:cs="Arial"/>
              </w:rPr>
              <w:t>Average concentration in pore water over a longer</w:t>
            </w:r>
          </w:p>
          <w:p w14:paraId="4E47602A" w14:textId="77777777" w:rsidR="00692E71" w:rsidRPr="00275290" w:rsidRDefault="00692E71" w:rsidP="008E0250">
            <w:pPr>
              <w:rPr>
                <w:rFonts w:cs="Arial"/>
              </w:rPr>
            </w:pPr>
            <w:r w:rsidRPr="00275290">
              <w:rPr>
                <w:rFonts w:cs="Arial"/>
              </w:rPr>
              <w:t>duration (5475d)</w:t>
            </w:r>
          </w:p>
        </w:tc>
        <w:tc>
          <w:tcPr>
            <w:tcW w:w="1587" w:type="dxa"/>
            <w:vAlign w:val="center"/>
          </w:tcPr>
          <w:p w14:paraId="23410639" w14:textId="77777777" w:rsidR="00692E71" w:rsidRPr="00275290" w:rsidRDefault="00692E71" w:rsidP="008E0250">
            <w:pPr>
              <w:jc w:val="center"/>
              <w:rPr>
                <w:rFonts w:cs="Arial"/>
                <w:iCs/>
              </w:rPr>
            </w:pPr>
            <w:r w:rsidRPr="00275290">
              <w:rPr>
                <w:rFonts w:cs="Arial"/>
                <w:iCs/>
              </w:rPr>
              <w:t>Clocal</w:t>
            </w:r>
            <w:r w:rsidRPr="00275290">
              <w:rPr>
                <w:rFonts w:cs="Arial"/>
                <w:iCs/>
                <w:vertAlign w:val="subscript"/>
              </w:rPr>
              <w:t>pore,time2</w:t>
            </w:r>
          </w:p>
        </w:tc>
        <w:tc>
          <w:tcPr>
            <w:tcW w:w="2410" w:type="dxa"/>
            <w:vAlign w:val="center"/>
          </w:tcPr>
          <w:p w14:paraId="10987FD1" w14:textId="77777777" w:rsidR="00692E71" w:rsidRPr="00275290" w:rsidRDefault="00692E71" w:rsidP="008E0250">
            <w:pPr>
              <w:jc w:val="center"/>
              <w:rPr>
                <w:rFonts w:cs="Arial"/>
              </w:rPr>
            </w:pPr>
            <w:r w:rsidRPr="00275290">
              <w:rPr>
                <w:rFonts w:cs="Arial"/>
              </w:rPr>
              <w:t>3.1*10</w:t>
            </w:r>
            <w:r w:rsidRPr="00275290">
              <w:rPr>
                <w:rFonts w:cs="Arial"/>
                <w:vertAlign w:val="superscript"/>
              </w:rPr>
              <w:t>-4</w:t>
            </w:r>
            <w:r w:rsidRPr="00275290">
              <w:rPr>
                <w:rFonts w:cs="Arial"/>
              </w:rPr>
              <w:t xml:space="preserve"> (IPBC)</w:t>
            </w:r>
          </w:p>
          <w:p w14:paraId="456C36DD" w14:textId="77777777" w:rsidR="00692E71" w:rsidRPr="00275290" w:rsidRDefault="00692E71" w:rsidP="008E0250">
            <w:pPr>
              <w:jc w:val="center"/>
              <w:rPr>
                <w:rFonts w:cs="Arial"/>
              </w:rPr>
            </w:pPr>
            <w:r w:rsidRPr="00275290">
              <w:rPr>
                <w:rFonts w:cs="Arial"/>
              </w:rPr>
              <w:t>1.56 (propiconazole)</w:t>
            </w:r>
          </w:p>
          <w:p w14:paraId="63819021" w14:textId="77777777" w:rsidR="00692E71" w:rsidRPr="00275290" w:rsidRDefault="00692E71" w:rsidP="008E0250">
            <w:pPr>
              <w:jc w:val="center"/>
              <w:rPr>
                <w:rFonts w:cs="Arial"/>
              </w:rPr>
            </w:pPr>
            <w:r w:rsidRPr="00275290">
              <w:rPr>
                <w:rFonts w:cs="Arial"/>
              </w:rPr>
              <w:t>0.32 (tebuconazole)</w:t>
            </w:r>
          </w:p>
          <w:p w14:paraId="7C8325A4" w14:textId="77777777" w:rsidR="00692E71" w:rsidRPr="00275290" w:rsidRDefault="00692E71" w:rsidP="008E0250">
            <w:pPr>
              <w:jc w:val="center"/>
              <w:rPr>
                <w:rFonts w:cs="Arial"/>
              </w:rPr>
            </w:pPr>
            <w:r w:rsidRPr="00275290">
              <w:rPr>
                <w:rFonts w:cs="Arial"/>
              </w:rPr>
              <w:t>1.2*10</w:t>
            </w:r>
            <w:r w:rsidRPr="00275290">
              <w:rPr>
                <w:rFonts w:cs="Arial"/>
                <w:vertAlign w:val="superscript"/>
              </w:rPr>
              <w:t xml:space="preserve">-5 </w:t>
            </w:r>
            <w:r w:rsidRPr="00275290">
              <w:rPr>
                <w:rFonts w:cs="Arial"/>
              </w:rPr>
              <w:t>(cypermethrin)</w:t>
            </w:r>
          </w:p>
        </w:tc>
        <w:tc>
          <w:tcPr>
            <w:tcW w:w="1304" w:type="dxa"/>
            <w:vAlign w:val="center"/>
          </w:tcPr>
          <w:p w14:paraId="4E47F4BF"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794" w:type="dxa"/>
            <w:vAlign w:val="center"/>
          </w:tcPr>
          <w:p w14:paraId="39851A14" w14:textId="77777777" w:rsidR="00692E71" w:rsidRPr="00275290" w:rsidRDefault="00692E71" w:rsidP="008E0250">
            <w:pPr>
              <w:jc w:val="center"/>
              <w:rPr>
                <w:rFonts w:cs="Arial"/>
              </w:rPr>
            </w:pPr>
            <w:r w:rsidRPr="00275290">
              <w:rPr>
                <w:rFonts w:cs="Arial"/>
              </w:rPr>
              <w:t>O</w:t>
            </w:r>
          </w:p>
        </w:tc>
      </w:tr>
    </w:tbl>
    <w:p w14:paraId="1EA4F202" w14:textId="77777777" w:rsidR="00692E71" w:rsidRPr="00275290" w:rsidRDefault="00692E71" w:rsidP="00692E71">
      <w:pPr>
        <w:rPr>
          <w:rFonts w:cs="Arial"/>
          <w:iCs/>
        </w:rPr>
      </w:pPr>
    </w:p>
    <w:p w14:paraId="38E4F538" w14:textId="77777777" w:rsidR="00692E71" w:rsidRPr="00275290" w:rsidRDefault="00692E71" w:rsidP="00692E71">
      <w:pPr>
        <w:rPr>
          <w:rFonts w:cs="Arial"/>
          <w:iCs/>
          <w:u w:val="single"/>
        </w:rPr>
      </w:pPr>
      <w:r w:rsidRPr="00275290">
        <w:rPr>
          <w:rFonts w:cs="Arial"/>
          <w:iCs/>
          <w:u w:val="single"/>
        </w:rPr>
        <w:t>Calculations (IPBC and non-professional application used as an example):</w:t>
      </w:r>
    </w:p>
    <w:p w14:paraId="42A02B8D" w14:textId="77777777" w:rsidR="00692E71" w:rsidRPr="00275290" w:rsidRDefault="00692E71" w:rsidP="00692E71">
      <w:pPr>
        <w:rPr>
          <w:rFonts w:cs="Arial"/>
          <w:iCs/>
        </w:rPr>
      </w:pPr>
    </w:p>
    <w:p w14:paraId="15B3A1A2" w14:textId="77777777" w:rsidR="00692E71" w:rsidRPr="00275290" w:rsidRDefault="00692E71" w:rsidP="00692E71">
      <w:pPr>
        <w:rPr>
          <w:rFonts w:cs="Arial"/>
        </w:rPr>
      </w:pPr>
      <w:r w:rsidRPr="00275290">
        <w:rPr>
          <w:rFonts w:cs="Arial"/>
          <w:iCs/>
        </w:rPr>
        <w:t>The average concentration in the pore water can be calculated as</w:t>
      </w:r>
      <w:r w:rsidRPr="00275290">
        <w:rPr>
          <w:rFonts w:cs="Arial"/>
        </w:rPr>
        <w:t>:</w:t>
      </w:r>
    </w:p>
    <w:p w14:paraId="274C7C6D" w14:textId="77777777" w:rsidR="00692E71" w:rsidRPr="00275290" w:rsidRDefault="00692E71" w:rsidP="00692E71">
      <w:pPr>
        <w:rPr>
          <w:rFonts w:cs="Arial"/>
          <w:iCs/>
        </w:rPr>
      </w:pPr>
    </w:p>
    <w:p w14:paraId="3C4E1A65"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xml:space="preserve">= </w:t>
      </w:r>
      <w:r w:rsidRPr="00275290">
        <w:rPr>
          <w:rFonts w:cs="Arial"/>
        </w:rPr>
        <w:t>Clocal</w:t>
      </w:r>
      <w:r w:rsidRPr="00275290">
        <w:rPr>
          <w:rFonts w:cs="Arial"/>
          <w:vertAlign w:val="subscript"/>
        </w:rPr>
        <w:t xml:space="preserve">soil,total, rem </w:t>
      </w:r>
      <w:r w:rsidRPr="00275290">
        <w:rPr>
          <w:rFonts w:cs="Arial"/>
          <w:iCs/>
          <w:vertAlign w:val="subscript"/>
        </w:rPr>
        <w:t xml:space="preserve">time1 </w:t>
      </w:r>
      <w:r w:rsidRPr="00275290">
        <w:rPr>
          <w:rFonts w:cs="Arial"/>
          <w:iCs/>
        </w:rPr>
        <w:t>*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1B576265" w14:textId="77777777" w:rsidR="00692E71" w:rsidRPr="00275290" w:rsidRDefault="00692E71" w:rsidP="00692E71">
      <w:pPr>
        <w:rPr>
          <w:rFonts w:cs="Arial"/>
          <w:iCs/>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xml:space="preserve">= </w:t>
      </w:r>
      <w:r w:rsidRPr="00275290">
        <w:rPr>
          <w:rFonts w:cs="Arial"/>
        </w:rPr>
        <w:t>2.4*10</w:t>
      </w:r>
      <w:r w:rsidRPr="00275290">
        <w:rPr>
          <w:rFonts w:cs="Arial"/>
          <w:vertAlign w:val="superscript"/>
        </w:rPr>
        <w:t>-5</w:t>
      </w:r>
      <w:r w:rsidRPr="00275290">
        <w:rPr>
          <w:rFonts w:cs="Arial"/>
          <w:iCs/>
        </w:rPr>
        <w:t xml:space="preserve"> * 1700 / 3.98</w:t>
      </w:r>
    </w:p>
    <w:p w14:paraId="02667E08" w14:textId="77777777" w:rsidR="00692E71" w:rsidRPr="00275290" w:rsidRDefault="00692E71" w:rsidP="00692E71">
      <w:pPr>
        <w:rPr>
          <w:rFonts w:cs="Arial"/>
          <w:iCs/>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xml:space="preserve">= 0.01 </w:t>
      </w:r>
      <w:r w:rsidRPr="00275290">
        <w:rPr>
          <w:rFonts w:cs="Arial"/>
        </w:rPr>
        <w:t>µg.L</w:t>
      </w:r>
      <w:r w:rsidRPr="00275290">
        <w:rPr>
          <w:rFonts w:cs="Arial"/>
          <w:vertAlign w:val="superscript"/>
        </w:rPr>
        <w:t>-1</w:t>
      </w:r>
    </w:p>
    <w:p w14:paraId="30FDBB5E" w14:textId="77777777" w:rsidR="00692E71" w:rsidRPr="00575E63" w:rsidRDefault="00692E71" w:rsidP="00692E71">
      <w:pPr>
        <w:rPr>
          <w:rFonts w:ascii="Arial" w:hAnsi="Arial" w:cs="Arial"/>
        </w:rPr>
      </w:pPr>
    </w:p>
    <w:p w14:paraId="1109E36A" w14:textId="77777777" w:rsidR="00692E71" w:rsidRPr="00FE333D" w:rsidRDefault="00692E71" w:rsidP="003356DA">
      <w:pPr>
        <w:pStyle w:val="Titre6"/>
        <w:rPr>
          <w:lang w:val="en-US"/>
        </w:rPr>
      </w:pPr>
      <w:bookmarkStart w:id="131" w:name="_Toc452668996"/>
      <w:r w:rsidRPr="00FE333D">
        <w:rPr>
          <w:lang w:val="en-US"/>
        </w:rPr>
        <w:t>Noise Barrier scenario, concentrations from in-service of industrial treated wood with removal</w:t>
      </w:r>
      <w:bookmarkEnd w:id="131"/>
    </w:p>
    <w:p w14:paraId="436610F4" w14:textId="77777777" w:rsidR="00692E71" w:rsidRPr="00275290" w:rsidRDefault="00692E71" w:rsidP="00692E71">
      <w:pPr>
        <w:rPr>
          <w:rFonts w:cs="Arial"/>
        </w:rPr>
      </w:pPr>
    </w:p>
    <w:p w14:paraId="3DA54A5D" w14:textId="77777777" w:rsidR="00692E71" w:rsidRPr="00275290" w:rsidRDefault="00692E71" w:rsidP="00692E71">
      <w:pPr>
        <w:rPr>
          <w:rFonts w:cs="Arial"/>
        </w:rPr>
      </w:pPr>
      <w:r w:rsidRPr="00275290">
        <w:rPr>
          <w:rFonts w:cs="Arial"/>
        </w:rPr>
        <w:t>The same calculations as for the house scenario were performed for the noise barrier scenario.</w:t>
      </w:r>
    </w:p>
    <w:p w14:paraId="0922B6F1" w14:textId="77777777" w:rsidR="00692E71" w:rsidRPr="00275290" w:rsidRDefault="00692E71" w:rsidP="00692E71">
      <w:pPr>
        <w:rPr>
          <w:rFonts w:cs="Arial"/>
        </w:rPr>
      </w:pPr>
    </w:p>
    <w:p w14:paraId="13D0F746"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16</w:t>
      </w:r>
      <w:r w:rsidRPr="00275290">
        <w:rPr>
          <w:rFonts w:ascii="Verdana" w:hAnsi="Verdana"/>
        </w:rPr>
        <w:fldChar w:fldCharType="end"/>
      </w:r>
      <w:r w:rsidRPr="00275290">
        <w:rPr>
          <w:rFonts w:ascii="Verdana" w:hAnsi="Verdana"/>
        </w:rPr>
        <w:t>: Concentration in soil from in-service of industrial treated wood (Noise Barrier) taken removal into account.</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5"/>
        <w:gridCol w:w="1587"/>
        <w:gridCol w:w="2552"/>
        <w:gridCol w:w="1247"/>
        <w:gridCol w:w="851"/>
      </w:tblGrid>
      <w:tr w:rsidR="00692E71" w:rsidRPr="00275290" w14:paraId="04B56D23" w14:textId="77777777" w:rsidTr="008E0250">
        <w:trPr>
          <w:trHeight w:val="283"/>
        </w:trPr>
        <w:tc>
          <w:tcPr>
            <w:tcW w:w="3005" w:type="dxa"/>
            <w:shd w:val="clear" w:color="auto" w:fill="D9D9D9" w:themeFill="background1" w:themeFillShade="D9"/>
            <w:vAlign w:val="center"/>
          </w:tcPr>
          <w:p w14:paraId="52AAE2FD" w14:textId="77777777" w:rsidR="00692E71" w:rsidRPr="00275290" w:rsidRDefault="00692E71" w:rsidP="008E0250">
            <w:pPr>
              <w:ind w:left="708"/>
              <w:jc w:val="center"/>
              <w:rPr>
                <w:rFonts w:cs="Arial"/>
                <w:b/>
                <w:highlight w:val="yellow"/>
              </w:rPr>
            </w:pPr>
            <w:r w:rsidRPr="00275290">
              <w:rPr>
                <w:rFonts w:cs="Arial"/>
                <w:b/>
              </w:rPr>
              <w:t>Parameter/variable</w:t>
            </w:r>
          </w:p>
        </w:tc>
        <w:tc>
          <w:tcPr>
            <w:tcW w:w="1587" w:type="dxa"/>
            <w:shd w:val="clear" w:color="auto" w:fill="D9D9D9" w:themeFill="background1" w:themeFillShade="D9"/>
            <w:vAlign w:val="center"/>
          </w:tcPr>
          <w:p w14:paraId="00D2E459" w14:textId="77777777" w:rsidR="00692E71" w:rsidRPr="00275290" w:rsidRDefault="00692E71" w:rsidP="008E0250">
            <w:pPr>
              <w:jc w:val="center"/>
              <w:rPr>
                <w:rFonts w:cs="Arial"/>
                <w:b/>
              </w:rPr>
            </w:pPr>
            <w:r w:rsidRPr="00275290">
              <w:rPr>
                <w:rFonts w:cs="Arial"/>
                <w:b/>
              </w:rPr>
              <w:t>Nomenclature</w:t>
            </w:r>
          </w:p>
        </w:tc>
        <w:tc>
          <w:tcPr>
            <w:tcW w:w="2552" w:type="dxa"/>
            <w:shd w:val="clear" w:color="auto" w:fill="D9D9D9" w:themeFill="background1" w:themeFillShade="D9"/>
            <w:vAlign w:val="center"/>
          </w:tcPr>
          <w:p w14:paraId="358ED50B" w14:textId="77777777" w:rsidR="00692E71" w:rsidRPr="00275290" w:rsidRDefault="00692E71" w:rsidP="008E0250">
            <w:pPr>
              <w:jc w:val="center"/>
              <w:rPr>
                <w:rFonts w:cs="Arial"/>
                <w:b/>
              </w:rPr>
            </w:pPr>
            <w:r w:rsidRPr="00275290">
              <w:rPr>
                <w:rFonts w:cs="Arial"/>
                <w:b/>
              </w:rPr>
              <w:t>Value</w:t>
            </w:r>
          </w:p>
        </w:tc>
        <w:tc>
          <w:tcPr>
            <w:tcW w:w="1247" w:type="dxa"/>
            <w:shd w:val="clear" w:color="auto" w:fill="D9D9D9" w:themeFill="background1" w:themeFillShade="D9"/>
            <w:vAlign w:val="center"/>
          </w:tcPr>
          <w:p w14:paraId="438FCF01" w14:textId="77777777" w:rsidR="00692E71" w:rsidRPr="00275290" w:rsidRDefault="00692E71" w:rsidP="008E0250">
            <w:pPr>
              <w:jc w:val="center"/>
              <w:rPr>
                <w:rFonts w:cs="Arial"/>
                <w:b/>
              </w:rPr>
            </w:pPr>
            <w:r w:rsidRPr="00275290">
              <w:rPr>
                <w:rFonts w:cs="Arial"/>
                <w:b/>
              </w:rPr>
              <w:t>Unit</w:t>
            </w:r>
          </w:p>
        </w:tc>
        <w:tc>
          <w:tcPr>
            <w:tcW w:w="851" w:type="dxa"/>
            <w:shd w:val="clear" w:color="auto" w:fill="D9D9D9" w:themeFill="background1" w:themeFillShade="D9"/>
            <w:vAlign w:val="center"/>
          </w:tcPr>
          <w:p w14:paraId="7F052DA7" w14:textId="77777777" w:rsidR="00692E71" w:rsidRPr="00275290" w:rsidRDefault="00692E71" w:rsidP="008E0250">
            <w:pPr>
              <w:jc w:val="center"/>
              <w:rPr>
                <w:rFonts w:cs="Arial"/>
                <w:b/>
              </w:rPr>
            </w:pPr>
            <w:r w:rsidRPr="00275290">
              <w:rPr>
                <w:rFonts w:cs="Arial"/>
                <w:b/>
              </w:rPr>
              <w:t>Origin</w:t>
            </w:r>
          </w:p>
        </w:tc>
      </w:tr>
      <w:tr w:rsidR="00692E71" w:rsidRPr="00275290" w14:paraId="1114AC9D" w14:textId="77777777" w:rsidTr="008E0250">
        <w:trPr>
          <w:trHeight w:val="283"/>
        </w:trPr>
        <w:tc>
          <w:tcPr>
            <w:tcW w:w="9241" w:type="dxa"/>
            <w:gridSpan w:val="5"/>
            <w:vAlign w:val="center"/>
          </w:tcPr>
          <w:p w14:paraId="3F2888CB" w14:textId="77777777" w:rsidR="00692E71" w:rsidRPr="00275290" w:rsidRDefault="00692E71" w:rsidP="008E0250">
            <w:pPr>
              <w:rPr>
                <w:rFonts w:cs="Arial"/>
                <w:b/>
              </w:rPr>
            </w:pPr>
            <w:r w:rsidRPr="00275290">
              <w:rPr>
                <w:rFonts w:cs="Arial"/>
                <w:b/>
              </w:rPr>
              <w:t>OUTPUT EMISSION</w:t>
            </w:r>
          </w:p>
        </w:tc>
      </w:tr>
      <w:tr w:rsidR="00692E71" w:rsidRPr="00275290" w14:paraId="0610C4BE" w14:textId="77777777" w:rsidTr="008E0250">
        <w:tc>
          <w:tcPr>
            <w:tcW w:w="3005" w:type="dxa"/>
            <w:vAlign w:val="center"/>
          </w:tcPr>
          <w:p w14:paraId="612EC6D8" w14:textId="77777777" w:rsidR="00692E71" w:rsidRPr="00275290" w:rsidRDefault="00692E71" w:rsidP="008E0250">
            <w:pPr>
              <w:rPr>
                <w:rFonts w:cs="Arial"/>
              </w:rPr>
            </w:pPr>
            <w:r w:rsidRPr="00275290">
              <w:rPr>
                <w:rFonts w:cs="Arial"/>
              </w:rPr>
              <w:t xml:space="preserve">Average concentrations in soil over the initial assessment period (30d) </w:t>
            </w:r>
          </w:p>
        </w:tc>
        <w:tc>
          <w:tcPr>
            <w:tcW w:w="1587" w:type="dxa"/>
            <w:vAlign w:val="center"/>
          </w:tcPr>
          <w:p w14:paraId="5A8F3511" w14:textId="77777777" w:rsidR="00692E71" w:rsidRPr="00275290" w:rsidRDefault="00692E71" w:rsidP="008E0250">
            <w:pPr>
              <w:jc w:val="center"/>
              <w:rPr>
                <w:rFonts w:cs="Arial"/>
              </w:rPr>
            </w:pPr>
            <w:r w:rsidRPr="00275290">
              <w:rPr>
                <w:rFonts w:cs="Arial"/>
              </w:rPr>
              <w:t>Clocal</w:t>
            </w:r>
            <w:r w:rsidRPr="00275290">
              <w:rPr>
                <w:rFonts w:cs="Arial"/>
                <w:vertAlign w:val="subscript"/>
              </w:rPr>
              <w:t>soil,leach ,time 1</w:t>
            </w:r>
          </w:p>
        </w:tc>
        <w:tc>
          <w:tcPr>
            <w:tcW w:w="2552" w:type="dxa"/>
            <w:vAlign w:val="center"/>
          </w:tcPr>
          <w:p w14:paraId="42F3BCE5" w14:textId="77777777" w:rsidR="00692E71" w:rsidRPr="00275290" w:rsidRDefault="00692E71" w:rsidP="008E0250">
            <w:pPr>
              <w:jc w:val="center"/>
              <w:rPr>
                <w:rFonts w:cs="Arial"/>
              </w:rPr>
            </w:pPr>
            <w:r w:rsidRPr="00275290">
              <w:rPr>
                <w:rFonts w:cs="Arial"/>
              </w:rPr>
              <w:t>1.1*10</w:t>
            </w:r>
            <w:r w:rsidRPr="00275290">
              <w:rPr>
                <w:rFonts w:cs="Arial"/>
                <w:vertAlign w:val="superscript"/>
              </w:rPr>
              <w:t>-5</w:t>
            </w:r>
            <w:r w:rsidRPr="00275290">
              <w:rPr>
                <w:rFonts w:cs="Arial"/>
              </w:rPr>
              <w:t xml:space="preserve"> (IPBC)</w:t>
            </w:r>
          </w:p>
          <w:p w14:paraId="1BA2705D" w14:textId="77777777" w:rsidR="00692E71" w:rsidRPr="00275290" w:rsidRDefault="00692E71" w:rsidP="008E0250">
            <w:pPr>
              <w:jc w:val="center"/>
              <w:rPr>
                <w:rFonts w:cs="Arial"/>
              </w:rPr>
            </w:pPr>
            <w:r w:rsidRPr="00275290">
              <w:rPr>
                <w:rFonts w:cs="Arial"/>
              </w:rPr>
              <w:t>0.04 (propiconazole)</w:t>
            </w:r>
          </w:p>
          <w:p w14:paraId="41BD6B17" w14:textId="77777777" w:rsidR="00692E71" w:rsidRPr="00275290" w:rsidRDefault="00692E71" w:rsidP="008E0250">
            <w:pPr>
              <w:jc w:val="center"/>
              <w:rPr>
                <w:rFonts w:cs="Arial"/>
              </w:rPr>
            </w:pPr>
            <w:r w:rsidRPr="00275290">
              <w:rPr>
                <w:rFonts w:cs="Arial"/>
              </w:rPr>
              <w:t>0.02 (tebuconazole)</w:t>
            </w:r>
          </w:p>
          <w:p w14:paraId="1AC219E3" w14:textId="77777777" w:rsidR="00692E71" w:rsidRPr="00275290" w:rsidRDefault="00692E71" w:rsidP="008E0250">
            <w:pPr>
              <w:jc w:val="center"/>
              <w:rPr>
                <w:rFonts w:cs="Arial"/>
              </w:rPr>
            </w:pPr>
            <w:r w:rsidRPr="00275290">
              <w:rPr>
                <w:rFonts w:cs="Arial"/>
              </w:rPr>
              <w:t>6.9*10</w:t>
            </w:r>
            <w:r w:rsidRPr="00275290">
              <w:rPr>
                <w:rFonts w:cs="Arial"/>
                <w:vertAlign w:val="superscript"/>
              </w:rPr>
              <w:t>-5</w:t>
            </w:r>
            <w:r w:rsidRPr="00275290">
              <w:rPr>
                <w:rFonts w:cs="Arial"/>
              </w:rPr>
              <w:t xml:space="preserve"> (cypermethrin)</w:t>
            </w:r>
          </w:p>
        </w:tc>
        <w:tc>
          <w:tcPr>
            <w:tcW w:w="1247" w:type="dxa"/>
            <w:vAlign w:val="center"/>
          </w:tcPr>
          <w:p w14:paraId="2367ECB6"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851" w:type="dxa"/>
            <w:vAlign w:val="center"/>
          </w:tcPr>
          <w:p w14:paraId="64F0D463" w14:textId="77777777" w:rsidR="00692E71" w:rsidRPr="00275290" w:rsidRDefault="00692E71" w:rsidP="008E0250">
            <w:pPr>
              <w:jc w:val="center"/>
              <w:rPr>
                <w:rFonts w:cs="Arial"/>
              </w:rPr>
            </w:pPr>
            <w:r w:rsidRPr="00275290">
              <w:rPr>
                <w:rFonts w:cs="Arial"/>
              </w:rPr>
              <w:t>O</w:t>
            </w:r>
          </w:p>
        </w:tc>
      </w:tr>
      <w:tr w:rsidR="00692E71" w:rsidRPr="00275290" w14:paraId="49F7A806" w14:textId="77777777" w:rsidTr="008E0250">
        <w:tc>
          <w:tcPr>
            <w:tcW w:w="3005" w:type="dxa"/>
            <w:vAlign w:val="center"/>
          </w:tcPr>
          <w:p w14:paraId="4C585A48" w14:textId="77777777" w:rsidR="00692E71" w:rsidRPr="00275290" w:rsidRDefault="00692E71" w:rsidP="008E0250">
            <w:pPr>
              <w:rPr>
                <w:rFonts w:cs="Arial"/>
              </w:rPr>
            </w:pPr>
            <w:r w:rsidRPr="00275290">
              <w:rPr>
                <w:rFonts w:cs="Arial"/>
              </w:rPr>
              <w:t>Average concentrations in soil over a longer</w:t>
            </w:r>
          </w:p>
          <w:p w14:paraId="748C4AE7" w14:textId="77777777" w:rsidR="00692E71" w:rsidRPr="00275290" w:rsidRDefault="00692E71" w:rsidP="008E0250">
            <w:pPr>
              <w:rPr>
                <w:rFonts w:cs="Arial"/>
                <w:i/>
                <w:iCs/>
              </w:rPr>
            </w:pPr>
            <w:r w:rsidRPr="00275290">
              <w:rPr>
                <w:rFonts w:cs="Arial"/>
              </w:rPr>
              <w:t>duration (5475d)</w:t>
            </w:r>
          </w:p>
        </w:tc>
        <w:tc>
          <w:tcPr>
            <w:tcW w:w="1587" w:type="dxa"/>
            <w:vAlign w:val="center"/>
          </w:tcPr>
          <w:p w14:paraId="45227C73" w14:textId="77777777" w:rsidR="00692E71" w:rsidRPr="00275290" w:rsidRDefault="00692E71" w:rsidP="008E0250">
            <w:pPr>
              <w:jc w:val="center"/>
              <w:rPr>
                <w:rFonts w:cs="Arial"/>
              </w:rPr>
            </w:pPr>
            <w:r w:rsidRPr="00275290">
              <w:rPr>
                <w:rFonts w:cs="Arial"/>
              </w:rPr>
              <w:t>Clocal</w:t>
            </w:r>
            <w:r w:rsidRPr="00275290">
              <w:rPr>
                <w:rFonts w:cs="Arial"/>
                <w:vertAlign w:val="subscript"/>
              </w:rPr>
              <w:t>soil,leach ,time 2</w:t>
            </w:r>
          </w:p>
        </w:tc>
        <w:tc>
          <w:tcPr>
            <w:tcW w:w="2552" w:type="dxa"/>
            <w:vAlign w:val="center"/>
          </w:tcPr>
          <w:p w14:paraId="570D1D6B" w14:textId="77777777" w:rsidR="00692E71" w:rsidRPr="00275290" w:rsidRDefault="00692E71" w:rsidP="008E0250">
            <w:pPr>
              <w:jc w:val="center"/>
              <w:rPr>
                <w:rFonts w:cs="Arial"/>
              </w:rPr>
            </w:pPr>
            <w:r w:rsidRPr="00275290">
              <w:rPr>
                <w:rFonts w:cs="Arial"/>
              </w:rPr>
              <w:t>3.2*10</w:t>
            </w:r>
            <w:r w:rsidRPr="00275290">
              <w:rPr>
                <w:rFonts w:cs="Arial"/>
                <w:vertAlign w:val="superscript"/>
              </w:rPr>
              <w:t>-7</w:t>
            </w:r>
            <w:r w:rsidRPr="00275290">
              <w:rPr>
                <w:rFonts w:cs="Arial"/>
              </w:rPr>
              <w:t xml:space="preserve"> (IPBC)</w:t>
            </w:r>
          </w:p>
          <w:p w14:paraId="2D2E8350" w14:textId="77777777" w:rsidR="00692E71" w:rsidRPr="00275290" w:rsidRDefault="00692E71" w:rsidP="008E0250">
            <w:pPr>
              <w:jc w:val="center"/>
              <w:rPr>
                <w:rFonts w:cs="Arial"/>
              </w:rPr>
            </w:pPr>
            <w:r w:rsidRPr="00275290">
              <w:rPr>
                <w:rFonts w:cs="Arial"/>
              </w:rPr>
              <w:t>1.2*10</w:t>
            </w:r>
            <w:r w:rsidRPr="00275290">
              <w:rPr>
                <w:rFonts w:cs="Arial"/>
                <w:vertAlign w:val="superscript"/>
              </w:rPr>
              <w:t>-2</w:t>
            </w:r>
            <w:r w:rsidRPr="00275290">
              <w:rPr>
                <w:rFonts w:cs="Arial"/>
              </w:rPr>
              <w:t xml:space="preserve"> (propiconazole)</w:t>
            </w:r>
          </w:p>
          <w:p w14:paraId="6C706E0D" w14:textId="77777777" w:rsidR="00692E71" w:rsidRPr="00275290" w:rsidRDefault="00692E71" w:rsidP="008E0250">
            <w:pPr>
              <w:jc w:val="center"/>
              <w:rPr>
                <w:rFonts w:cs="Arial"/>
              </w:rPr>
            </w:pPr>
            <w:r w:rsidRPr="00275290">
              <w:rPr>
                <w:rFonts w:cs="Arial"/>
              </w:rPr>
              <w:t>2.5*10</w:t>
            </w:r>
            <w:r w:rsidRPr="00275290">
              <w:rPr>
                <w:rFonts w:cs="Arial"/>
                <w:vertAlign w:val="superscript"/>
              </w:rPr>
              <w:t>-3</w:t>
            </w:r>
            <w:r w:rsidRPr="00275290">
              <w:rPr>
                <w:rFonts w:cs="Arial"/>
              </w:rPr>
              <w:t xml:space="preserve"> (tebuconazole)</w:t>
            </w:r>
          </w:p>
          <w:p w14:paraId="303AC855" w14:textId="77777777" w:rsidR="00692E71" w:rsidRPr="00275290" w:rsidRDefault="00692E71" w:rsidP="008E0250">
            <w:pPr>
              <w:jc w:val="center"/>
              <w:rPr>
                <w:rFonts w:cs="Arial"/>
              </w:rPr>
            </w:pPr>
            <w:r w:rsidRPr="00275290">
              <w:rPr>
                <w:rFonts w:cs="Arial"/>
              </w:rPr>
              <w:t>5.5*10</w:t>
            </w:r>
            <w:r w:rsidRPr="00275290">
              <w:rPr>
                <w:rFonts w:cs="Arial"/>
                <w:vertAlign w:val="superscript"/>
              </w:rPr>
              <w:t>-5</w:t>
            </w:r>
            <w:r w:rsidRPr="00275290">
              <w:rPr>
                <w:rFonts w:cs="Arial"/>
              </w:rPr>
              <w:t xml:space="preserve"> (cypermethrin)</w:t>
            </w:r>
          </w:p>
        </w:tc>
        <w:tc>
          <w:tcPr>
            <w:tcW w:w="1247" w:type="dxa"/>
            <w:vAlign w:val="center"/>
          </w:tcPr>
          <w:p w14:paraId="5A243606" w14:textId="77777777" w:rsidR="00692E71" w:rsidRPr="00275290" w:rsidRDefault="00692E71" w:rsidP="008E0250">
            <w:pPr>
              <w:jc w:val="center"/>
              <w:rPr>
                <w:rFonts w:cs="Arial"/>
                <w:i/>
                <w:iCs/>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851" w:type="dxa"/>
            <w:vAlign w:val="center"/>
          </w:tcPr>
          <w:p w14:paraId="3A397985" w14:textId="77777777" w:rsidR="00692E71" w:rsidRPr="00275290" w:rsidRDefault="00692E71" w:rsidP="008E0250">
            <w:pPr>
              <w:jc w:val="center"/>
              <w:rPr>
                <w:rFonts w:cs="Arial"/>
              </w:rPr>
            </w:pPr>
            <w:r w:rsidRPr="00275290">
              <w:rPr>
                <w:rFonts w:cs="Arial"/>
              </w:rPr>
              <w:t>O</w:t>
            </w:r>
          </w:p>
        </w:tc>
      </w:tr>
      <w:tr w:rsidR="00692E71" w:rsidRPr="00275290" w14:paraId="519F0A82" w14:textId="77777777" w:rsidTr="008E0250">
        <w:trPr>
          <w:cantSplit/>
        </w:trPr>
        <w:tc>
          <w:tcPr>
            <w:tcW w:w="3005" w:type="dxa"/>
            <w:vAlign w:val="center"/>
          </w:tcPr>
          <w:p w14:paraId="3CF5DDAC" w14:textId="77777777" w:rsidR="00692E71" w:rsidRPr="00275290" w:rsidRDefault="00692E71" w:rsidP="008E0250">
            <w:pPr>
              <w:snapToGrid w:val="0"/>
              <w:rPr>
                <w:rFonts w:cs="Arial"/>
              </w:rPr>
            </w:pPr>
            <w:r w:rsidRPr="00275290">
              <w:rPr>
                <w:rFonts w:cs="Arial"/>
              </w:rPr>
              <w:t>Average concentrations in pore water over the initial assessment period (30d)</w:t>
            </w:r>
          </w:p>
        </w:tc>
        <w:tc>
          <w:tcPr>
            <w:tcW w:w="1587" w:type="dxa"/>
            <w:vAlign w:val="center"/>
          </w:tcPr>
          <w:p w14:paraId="3F45F41D" w14:textId="77777777" w:rsidR="00692E71" w:rsidRPr="00275290" w:rsidRDefault="00692E71" w:rsidP="008E0250">
            <w:pPr>
              <w:jc w:val="center"/>
              <w:rPr>
                <w:rFonts w:cs="Arial"/>
                <w:i/>
              </w:rPr>
            </w:pPr>
            <w:r w:rsidRPr="00275290">
              <w:rPr>
                <w:rFonts w:cs="Arial"/>
                <w:iCs/>
              </w:rPr>
              <w:t>Clocal</w:t>
            </w:r>
            <w:r w:rsidRPr="00275290">
              <w:rPr>
                <w:rFonts w:cs="Arial"/>
                <w:iCs/>
                <w:vertAlign w:val="subscript"/>
              </w:rPr>
              <w:t>pore,time1</w:t>
            </w:r>
          </w:p>
        </w:tc>
        <w:tc>
          <w:tcPr>
            <w:tcW w:w="2552" w:type="dxa"/>
            <w:vAlign w:val="center"/>
          </w:tcPr>
          <w:p w14:paraId="79B2D433" w14:textId="77777777" w:rsidR="00692E71" w:rsidRPr="00275290" w:rsidRDefault="00692E71" w:rsidP="008E0250">
            <w:pPr>
              <w:jc w:val="center"/>
              <w:rPr>
                <w:rFonts w:cs="Arial"/>
              </w:rPr>
            </w:pPr>
            <w:r w:rsidRPr="00275290">
              <w:rPr>
                <w:rFonts w:cs="Arial"/>
              </w:rPr>
              <w:t>4.5*10</w:t>
            </w:r>
            <w:r w:rsidRPr="00275290">
              <w:rPr>
                <w:rFonts w:cs="Arial"/>
                <w:vertAlign w:val="superscript"/>
              </w:rPr>
              <w:t xml:space="preserve">-3 </w:t>
            </w:r>
            <w:r w:rsidRPr="00275290">
              <w:rPr>
                <w:rFonts w:cs="Arial"/>
              </w:rPr>
              <w:t>(IPBC)</w:t>
            </w:r>
          </w:p>
          <w:p w14:paraId="5C83964C" w14:textId="77777777" w:rsidR="00692E71" w:rsidRPr="00275290" w:rsidRDefault="00692E71" w:rsidP="008E0250">
            <w:pPr>
              <w:jc w:val="center"/>
              <w:rPr>
                <w:rFonts w:cs="Arial"/>
              </w:rPr>
            </w:pPr>
            <w:r w:rsidRPr="00275290">
              <w:rPr>
                <w:rFonts w:cs="Arial"/>
              </w:rPr>
              <w:t>2.38 (propiconazole)</w:t>
            </w:r>
          </w:p>
          <w:p w14:paraId="3F29BF7F" w14:textId="77777777" w:rsidR="00692E71" w:rsidRPr="00275290" w:rsidRDefault="00692E71" w:rsidP="008E0250">
            <w:pPr>
              <w:jc w:val="center"/>
              <w:rPr>
                <w:rFonts w:cs="Arial"/>
              </w:rPr>
            </w:pPr>
            <w:r w:rsidRPr="00275290">
              <w:rPr>
                <w:rFonts w:cs="Arial"/>
              </w:rPr>
              <w:t>0.94 (tebuconazole)</w:t>
            </w:r>
          </w:p>
          <w:p w14:paraId="3FA43577" w14:textId="77777777" w:rsidR="00692E71" w:rsidRPr="00275290" w:rsidRDefault="00692E71" w:rsidP="008E0250">
            <w:pPr>
              <w:jc w:val="center"/>
              <w:rPr>
                <w:rFonts w:cs="Arial"/>
              </w:rPr>
            </w:pPr>
            <w:r w:rsidRPr="00275290">
              <w:rPr>
                <w:rFonts w:cs="Arial"/>
              </w:rPr>
              <w:t>6.8*10</w:t>
            </w:r>
            <w:r w:rsidRPr="00275290">
              <w:rPr>
                <w:rFonts w:cs="Arial"/>
                <w:vertAlign w:val="superscript"/>
              </w:rPr>
              <w:t>-6</w:t>
            </w:r>
            <w:r w:rsidRPr="00275290">
              <w:rPr>
                <w:rFonts w:cs="Arial"/>
              </w:rPr>
              <w:t xml:space="preserve"> (cypermethrin)</w:t>
            </w:r>
          </w:p>
        </w:tc>
        <w:tc>
          <w:tcPr>
            <w:tcW w:w="1247" w:type="dxa"/>
            <w:vAlign w:val="center"/>
          </w:tcPr>
          <w:p w14:paraId="19A3F744" w14:textId="77777777" w:rsidR="00692E71" w:rsidRPr="00275290" w:rsidRDefault="00692E71" w:rsidP="008E0250">
            <w:pPr>
              <w:jc w:val="center"/>
              <w:rPr>
                <w:rFonts w:cs="Arial"/>
                <w:highlight w:val="yellow"/>
              </w:rPr>
            </w:pPr>
            <w:r w:rsidRPr="00275290">
              <w:rPr>
                <w:rFonts w:cs="Arial"/>
              </w:rPr>
              <w:t>[µg.L</w:t>
            </w:r>
            <w:r w:rsidRPr="00275290">
              <w:rPr>
                <w:rFonts w:cs="Arial"/>
                <w:vertAlign w:val="superscript"/>
              </w:rPr>
              <w:t>-1</w:t>
            </w:r>
            <w:r w:rsidRPr="00275290">
              <w:rPr>
                <w:rFonts w:cs="Arial"/>
              </w:rPr>
              <w:t>]</w:t>
            </w:r>
          </w:p>
        </w:tc>
        <w:tc>
          <w:tcPr>
            <w:tcW w:w="851" w:type="dxa"/>
            <w:vAlign w:val="center"/>
          </w:tcPr>
          <w:p w14:paraId="4251A7CC" w14:textId="77777777" w:rsidR="00692E71" w:rsidRPr="00275290" w:rsidRDefault="00692E71" w:rsidP="008E0250">
            <w:pPr>
              <w:jc w:val="center"/>
              <w:rPr>
                <w:rFonts w:cs="Arial"/>
                <w:highlight w:val="yellow"/>
              </w:rPr>
            </w:pPr>
            <w:r w:rsidRPr="00275290">
              <w:rPr>
                <w:rFonts w:cs="Arial"/>
              </w:rPr>
              <w:t>O</w:t>
            </w:r>
          </w:p>
        </w:tc>
      </w:tr>
      <w:tr w:rsidR="00692E71" w:rsidRPr="00275290" w14:paraId="43A8A67C" w14:textId="77777777" w:rsidTr="008E0250">
        <w:trPr>
          <w:cantSplit/>
        </w:trPr>
        <w:tc>
          <w:tcPr>
            <w:tcW w:w="3005" w:type="dxa"/>
            <w:vAlign w:val="center"/>
          </w:tcPr>
          <w:p w14:paraId="5D630F6A" w14:textId="77777777" w:rsidR="00692E71" w:rsidRPr="00275290" w:rsidRDefault="00692E71" w:rsidP="008E0250">
            <w:pPr>
              <w:rPr>
                <w:rFonts w:cs="Arial"/>
              </w:rPr>
            </w:pPr>
            <w:r w:rsidRPr="00275290">
              <w:rPr>
                <w:rFonts w:cs="Arial"/>
              </w:rPr>
              <w:lastRenderedPageBreak/>
              <w:t>Average concentration in pore water over a longer</w:t>
            </w:r>
          </w:p>
          <w:p w14:paraId="3C534ED1" w14:textId="77777777" w:rsidR="00692E71" w:rsidRPr="00275290" w:rsidRDefault="00692E71" w:rsidP="008E0250">
            <w:pPr>
              <w:snapToGrid w:val="0"/>
              <w:rPr>
                <w:rFonts w:cs="Arial"/>
              </w:rPr>
            </w:pPr>
            <w:r w:rsidRPr="00275290">
              <w:rPr>
                <w:rFonts w:cs="Arial"/>
              </w:rPr>
              <w:t>duration (5475d)</w:t>
            </w:r>
          </w:p>
        </w:tc>
        <w:tc>
          <w:tcPr>
            <w:tcW w:w="1587" w:type="dxa"/>
            <w:vAlign w:val="center"/>
          </w:tcPr>
          <w:p w14:paraId="630384AF" w14:textId="77777777" w:rsidR="00692E71" w:rsidRPr="00275290" w:rsidRDefault="00692E71" w:rsidP="008E0250">
            <w:pPr>
              <w:jc w:val="center"/>
              <w:rPr>
                <w:rFonts w:cs="Arial"/>
                <w:i/>
              </w:rPr>
            </w:pPr>
            <w:r w:rsidRPr="00275290">
              <w:rPr>
                <w:rFonts w:cs="Arial"/>
                <w:iCs/>
              </w:rPr>
              <w:t>Clocal</w:t>
            </w:r>
            <w:r w:rsidRPr="00275290">
              <w:rPr>
                <w:rFonts w:cs="Arial"/>
                <w:iCs/>
                <w:vertAlign w:val="subscript"/>
              </w:rPr>
              <w:t>pore,time2</w:t>
            </w:r>
          </w:p>
        </w:tc>
        <w:tc>
          <w:tcPr>
            <w:tcW w:w="2552" w:type="dxa"/>
            <w:vAlign w:val="center"/>
          </w:tcPr>
          <w:p w14:paraId="190628D5" w14:textId="77777777" w:rsidR="00692E71" w:rsidRPr="00275290" w:rsidRDefault="00692E71" w:rsidP="008E0250">
            <w:pPr>
              <w:jc w:val="center"/>
              <w:rPr>
                <w:rFonts w:cs="Arial"/>
              </w:rPr>
            </w:pPr>
            <w:r w:rsidRPr="00275290">
              <w:rPr>
                <w:rFonts w:cs="Arial"/>
              </w:rPr>
              <w:t>1.4*10</w:t>
            </w:r>
            <w:r w:rsidRPr="00275290">
              <w:rPr>
                <w:rFonts w:cs="Arial"/>
                <w:vertAlign w:val="superscript"/>
              </w:rPr>
              <w:t xml:space="preserve">-4  </w:t>
            </w:r>
            <w:r w:rsidRPr="00275290">
              <w:rPr>
                <w:rFonts w:cs="Arial"/>
              </w:rPr>
              <w:t>(IPBC)</w:t>
            </w:r>
          </w:p>
          <w:p w14:paraId="1C594581" w14:textId="77777777" w:rsidR="00692E71" w:rsidRPr="00275290" w:rsidRDefault="00692E71" w:rsidP="008E0250">
            <w:pPr>
              <w:jc w:val="center"/>
              <w:rPr>
                <w:rFonts w:cs="Arial"/>
              </w:rPr>
            </w:pPr>
            <w:r w:rsidRPr="00275290">
              <w:rPr>
                <w:rFonts w:cs="Arial"/>
              </w:rPr>
              <w:t>0.70 (propiconazole)</w:t>
            </w:r>
          </w:p>
          <w:p w14:paraId="27CC1C57" w14:textId="77777777" w:rsidR="00692E71" w:rsidRPr="00275290" w:rsidRDefault="00692E71" w:rsidP="008E0250">
            <w:pPr>
              <w:jc w:val="center"/>
              <w:rPr>
                <w:rFonts w:cs="Arial"/>
              </w:rPr>
            </w:pPr>
            <w:r w:rsidRPr="00275290">
              <w:rPr>
                <w:rFonts w:cs="Arial"/>
              </w:rPr>
              <w:t>0.14 (tebuconazole)</w:t>
            </w:r>
          </w:p>
          <w:p w14:paraId="5C67EB1A" w14:textId="77777777" w:rsidR="00692E71" w:rsidRPr="00275290" w:rsidRDefault="00692E71" w:rsidP="008E0250">
            <w:pPr>
              <w:jc w:val="center"/>
              <w:rPr>
                <w:rFonts w:cs="Arial"/>
              </w:rPr>
            </w:pPr>
            <w:r w:rsidRPr="00275290">
              <w:rPr>
                <w:rFonts w:cs="Arial"/>
              </w:rPr>
              <w:t>5.4*10</w:t>
            </w:r>
            <w:r w:rsidRPr="00275290">
              <w:rPr>
                <w:rFonts w:cs="Arial"/>
                <w:vertAlign w:val="superscript"/>
              </w:rPr>
              <w:t xml:space="preserve">-6 </w:t>
            </w:r>
            <w:r w:rsidRPr="00275290">
              <w:rPr>
                <w:rFonts w:cs="Arial"/>
              </w:rPr>
              <w:t>(cypermethrin)</w:t>
            </w:r>
          </w:p>
        </w:tc>
        <w:tc>
          <w:tcPr>
            <w:tcW w:w="1247" w:type="dxa"/>
            <w:vAlign w:val="center"/>
          </w:tcPr>
          <w:p w14:paraId="19B338D0" w14:textId="77777777" w:rsidR="00692E71" w:rsidRPr="00275290" w:rsidRDefault="00692E71" w:rsidP="008E0250">
            <w:pPr>
              <w:jc w:val="center"/>
              <w:rPr>
                <w:rFonts w:cs="Arial"/>
                <w:highlight w:val="yellow"/>
              </w:rPr>
            </w:pPr>
            <w:r w:rsidRPr="00275290">
              <w:rPr>
                <w:rFonts w:cs="Arial"/>
              </w:rPr>
              <w:t>[µg.L</w:t>
            </w:r>
            <w:r w:rsidRPr="00275290">
              <w:rPr>
                <w:rFonts w:cs="Arial"/>
                <w:vertAlign w:val="superscript"/>
              </w:rPr>
              <w:t>-1</w:t>
            </w:r>
            <w:r w:rsidRPr="00275290">
              <w:rPr>
                <w:rFonts w:cs="Arial"/>
              </w:rPr>
              <w:t>]</w:t>
            </w:r>
          </w:p>
        </w:tc>
        <w:tc>
          <w:tcPr>
            <w:tcW w:w="851" w:type="dxa"/>
            <w:vAlign w:val="center"/>
          </w:tcPr>
          <w:p w14:paraId="0B973A6A" w14:textId="77777777" w:rsidR="00692E71" w:rsidRPr="00275290" w:rsidRDefault="00692E71" w:rsidP="008E0250">
            <w:pPr>
              <w:jc w:val="center"/>
              <w:rPr>
                <w:rFonts w:cs="Arial"/>
                <w:highlight w:val="yellow"/>
              </w:rPr>
            </w:pPr>
            <w:r w:rsidRPr="00275290">
              <w:rPr>
                <w:rFonts w:cs="Arial"/>
              </w:rPr>
              <w:t>O</w:t>
            </w:r>
          </w:p>
        </w:tc>
      </w:tr>
    </w:tbl>
    <w:p w14:paraId="3807C2CE" w14:textId="77777777" w:rsidR="00692E71" w:rsidRPr="00275290" w:rsidRDefault="00692E71" w:rsidP="00692E71">
      <w:pPr>
        <w:rPr>
          <w:rFonts w:cs="Arial"/>
        </w:rPr>
      </w:pPr>
    </w:p>
    <w:p w14:paraId="1CC937EC" w14:textId="77777777" w:rsidR="00692E71" w:rsidRPr="00275290" w:rsidRDefault="00692E71" w:rsidP="00692E71">
      <w:pPr>
        <w:rPr>
          <w:rFonts w:cs="Arial"/>
          <w:iCs/>
        </w:rPr>
      </w:pPr>
      <w:r w:rsidRPr="00275290">
        <w:rPr>
          <w:rFonts w:cs="Arial"/>
          <w:iCs/>
          <w:u w:val="single"/>
        </w:rPr>
        <w:t>Calculations (IPBC used as an example)</w:t>
      </w:r>
      <w:r w:rsidRPr="00275290">
        <w:rPr>
          <w:rFonts w:cs="Arial"/>
          <w:iCs/>
        </w:rPr>
        <w:t>:</w:t>
      </w:r>
    </w:p>
    <w:p w14:paraId="6E731F77" w14:textId="77777777" w:rsidR="00692E71" w:rsidRPr="00275290" w:rsidRDefault="00692E71" w:rsidP="00692E71">
      <w:pPr>
        <w:rPr>
          <w:rFonts w:cs="Arial"/>
          <w:iCs/>
        </w:rPr>
      </w:pPr>
    </w:p>
    <w:p w14:paraId="518B040D" w14:textId="77777777" w:rsidR="00692E71" w:rsidRPr="00275290" w:rsidRDefault="00692E71" w:rsidP="00692E71">
      <w:pPr>
        <w:rPr>
          <w:rFonts w:cs="Arial"/>
        </w:rPr>
      </w:pPr>
      <w:r w:rsidRPr="00275290">
        <w:rPr>
          <w:rFonts w:cs="Arial"/>
          <w:iCs/>
        </w:rPr>
        <w:t>The average concentration in the pore water can be calculated as</w:t>
      </w:r>
      <w:r w:rsidRPr="00275290">
        <w:rPr>
          <w:rFonts w:cs="Arial"/>
        </w:rPr>
        <w:t>:</w:t>
      </w:r>
    </w:p>
    <w:p w14:paraId="5D274F3F" w14:textId="77777777" w:rsidR="00692E71" w:rsidRPr="00275290" w:rsidRDefault="00692E71" w:rsidP="00692E71">
      <w:pPr>
        <w:rPr>
          <w:rFonts w:cs="Arial"/>
          <w:iCs/>
        </w:rPr>
      </w:pPr>
    </w:p>
    <w:p w14:paraId="48180CA3"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xml:space="preserve">= </w:t>
      </w:r>
      <w:r w:rsidRPr="00275290">
        <w:rPr>
          <w:rFonts w:cs="Arial"/>
        </w:rPr>
        <w:t>Clocal</w:t>
      </w:r>
      <w:r w:rsidRPr="00275290">
        <w:rPr>
          <w:rFonts w:cs="Arial"/>
          <w:vertAlign w:val="subscript"/>
        </w:rPr>
        <w:t xml:space="preserve">soil leach </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5DA9A081" w14:textId="77777777" w:rsidR="00692E71" w:rsidRPr="00275290" w:rsidRDefault="00692E71" w:rsidP="00692E71">
      <w:pPr>
        <w:rPr>
          <w:rFonts w:cs="Arial"/>
          <w:iCs/>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xml:space="preserve">= </w:t>
      </w:r>
      <w:r w:rsidRPr="00275290">
        <w:rPr>
          <w:rFonts w:cs="Arial"/>
        </w:rPr>
        <w:t>1.1*10</w:t>
      </w:r>
      <w:r w:rsidRPr="00275290">
        <w:rPr>
          <w:rFonts w:cs="Arial"/>
          <w:vertAlign w:val="superscript"/>
        </w:rPr>
        <w:t>-5</w:t>
      </w:r>
      <w:r w:rsidRPr="00275290">
        <w:rPr>
          <w:rFonts w:cs="Arial"/>
          <w:iCs/>
        </w:rPr>
        <w:t xml:space="preserve"> * 1700 / 3.98</w:t>
      </w:r>
    </w:p>
    <w:p w14:paraId="4F7F6627" w14:textId="77777777" w:rsidR="00692E71" w:rsidRPr="00275290" w:rsidRDefault="00692E71" w:rsidP="00692E71">
      <w:pPr>
        <w:rPr>
          <w:rFonts w:cs="Arial"/>
          <w:iCs/>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xml:space="preserve">= </w:t>
      </w:r>
      <w:r w:rsidRPr="00275290">
        <w:rPr>
          <w:rFonts w:cs="Arial"/>
        </w:rPr>
        <w:t>4.5*10</w:t>
      </w:r>
      <w:r w:rsidRPr="00275290">
        <w:rPr>
          <w:rFonts w:cs="Arial"/>
          <w:vertAlign w:val="superscript"/>
        </w:rPr>
        <w:t>-3</w:t>
      </w:r>
      <w:r w:rsidRPr="00275290">
        <w:rPr>
          <w:rFonts w:cs="Arial"/>
          <w:iCs/>
        </w:rPr>
        <w:t xml:space="preserve"> </w:t>
      </w:r>
      <w:r w:rsidRPr="00275290">
        <w:rPr>
          <w:rFonts w:cs="Arial"/>
        </w:rPr>
        <w:t>µg.L</w:t>
      </w:r>
      <w:r w:rsidRPr="00275290">
        <w:rPr>
          <w:rFonts w:cs="Arial"/>
          <w:vertAlign w:val="superscript"/>
        </w:rPr>
        <w:t>-1</w:t>
      </w:r>
    </w:p>
    <w:p w14:paraId="657ED895" w14:textId="77777777" w:rsidR="00692E71" w:rsidRPr="00575E63" w:rsidRDefault="00692E71" w:rsidP="00692E71">
      <w:pPr>
        <w:rPr>
          <w:rFonts w:ascii="Arial" w:hAnsi="Arial" w:cs="Arial"/>
        </w:rPr>
      </w:pPr>
    </w:p>
    <w:p w14:paraId="4E47B3FB" w14:textId="77777777" w:rsidR="00692E71" w:rsidRPr="00FE333D" w:rsidRDefault="00692E71" w:rsidP="003356DA">
      <w:pPr>
        <w:pStyle w:val="Titre6"/>
        <w:rPr>
          <w:lang w:val="en-US"/>
        </w:rPr>
      </w:pPr>
      <w:bookmarkStart w:id="132" w:name="_Toc452668997"/>
      <w:r w:rsidRPr="00FE333D">
        <w:rPr>
          <w:lang w:val="en-US"/>
        </w:rPr>
        <w:t>Bridge over pond scenario, concentrations from in-service of industrial treated wood with removal</w:t>
      </w:r>
      <w:bookmarkEnd w:id="132"/>
    </w:p>
    <w:p w14:paraId="2FD07495" w14:textId="77777777" w:rsidR="00692E71" w:rsidRPr="00275290" w:rsidRDefault="00692E71" w:rsidP="00692E71">
      <w:pPr>
        <w:rPr>
          <w:rFonts w:cs="Arial"/>
        </w:rPr>
      </w:pPr>
    </w:p>
    <w:p w14:paraId="6B154E25" w14:textId="77777777" w:rsidR="00692E71" w:rsidRPr="00275290" w:rsidRDefault="00692E71" w:rsidP="00692E71">
      <w:pPr>
        <w:rPr>
          <w:rFonts w:cs="Arial"/>
        </w:rPr>
      </w:pPr>
      <w:r w:rsidRPr="00275290">
        <w:rPr>
          <w:rFonts w:cs="Arial"/>
        </w:rPr>
        <w:t xml:space="preserve">In a second tier, concentrations in water taking removal into account were calculated based on the model described in section 3.4.2.1 of the revised ESD (equation 3.18 and 3.19). </w:t>
      </w:r>
    </w:p>
    <w:p w14:paraId="2B63CF5D" w14:textId="77777777" w:rsidR="00692E71" w:rsidRPr="00275290" w:rsidRDefault="00692E71" w:rsidP="00692E71">
      <w:pPr>
        <w:rPr>
          <w:rFonts w:cs="Arial"/>
        </w:rPr>
      </w:pPr>
    </w:p>
    <w:p w14:paraId="2F16E83F" w14:textId="77777777" w:rsidR="00692E71" w:rsidRPr="00275290" w:rsidRDefault="00692E71" w:rsidP="00692E71">
      <w:pPr>
        <w:snapToGrid w:val="0"/>
        <w:rPr>
          <w:rFonts w:cs="Arial"/>
        </w:rPr>
      </w:pPr>
      <w:r w:rsidRPr="00275290">
        <w:rPr>
          <w:rFonts w:cs="Arial"/>
        </w:rPr>
        <w:t>For releases into a static water body, the removal from the water column due to adsorption onto sus</w:t>
      </w:r>
      <w:r w:rsidRPr="00275290">
        <w:rPr>
          <w:rFonts w:cs="Arial"/>
        </w:rPr>
        <w:softHyphen/>
        <w:t xml:space="preserve">pended matter and into sediment can be significant. To take this phenomenon into account, equation 3.18 and 3.19 of the ESD was adapted. </w:t>
      </w:r>
    </w:p>
    <w:p w14:paraId="1CD87AFA" w14:textId="77777777" w:rsidR="00692E71" w:rsidRPr="00275290" w:rsidRDefault="00692E71" w:rsidP="00692E71">
      <w:pPr>
        <w:snapToGrid w:val="0"/>
        <w:rPr>
          <w:rFonts w:cs="Arial"/>
        </w:rPr>
      </w:pPr>
      <w:r w:rsidRPr="00275290">
        <w:rPr>
          <w:rFonts w:cs="Arial"/>
        </w:rPr>
        <w:t>The resulting water concentrations taking into account removal processes over Time1 (30 days) and Time2 (5475 days) are presented below.</w:t>
      </w:r>
    </w:p>
    <w:p w14:paraId="37F2843D" w14:textId="77777777" w:rsidR="00692E71" w:rsidRPr="00275290" w:rsidRDefault="00692E71" w:rsidP="00692E71">
      <w:pPr>
        <w:snapToGrid w:val="0"/>
        <w:rPr>
          <w:rFonts w:cs="Arial"/>
        </w:rPr>
      </w:pPr>
    </w:p>
    <w:p w14:paraId="6DC7F392"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17</w:t>
      </w:r>
      <w:r w:rsidRPr="00275290">
        <w:rPr>
          <w:rFonts w:ascii="Verdana" w:hAnsi="Verdana"/>
        </w:rPr>
        <w:fldChar w:fldCharType="end"/>
      </w:r>
      <w:r w:rsidRPr="00275290">
        <w:rPr>
          <w:rFonts w:ascii="Verdana" w:hAnsi="Verdana"/>
        </w:rPr>
        <w:t>: Concentration in surface water from in-service of industrial treated wood taking removal into account (bridge over pond).</w:t>
      </w:r>
    </w:p>
    <w:tbl>
      <w:tblPr>
        <w:tblW w:w="92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8"/>
        <w:gridCol w:w="1304"/>
        <w:gridCol w:w="2551"/>
        <w:gridCol w:w="1134"/>
        <w:gridCol w:w="794"/>
      </w:tblGrid>
      <w:tr w:rsidR="00692E71" w:rsidRPr="00275290" w14:paraId="325124CE" w14:textId="77777777" w:rsidTr="008E0250">
        <w:trPr>
          <w:trHeight w:val="283"/>
        </w:trPr>
        <w:tc>
          <w:tcPr>
            <w:tcW w:w="3458" w:type="dxa"/>
            <w:shd w:val="clear" w:color="auto" w:fill="D9D9D9" w:themeFill="background1" w:themeFillShade="D9"/>
            <w:vAlign w:val="center"/>
          </w:tcPr>
          <w:p w14:paraId="2AD818F5" w14:textId="77777777" w:rsidR="00692E71" w:rsidRPr="00275290" w:rsidRDefault="00692E71" w:rsidP="008E0250">
            <w:pPr>
              <w:jc w:val="center"/>
              <w:rPr>
                <w:rFonts w:cs="Arial"/>
                <w:b/>
              </w:rPr>
            </w:pPr>
            <w:r w:rsidRPr="00275290">
              <w:rPr>
                <w:rFonts w:cs="Arial"/>
                <w:b/>
              </w:rPr>
              <w:t>Parameter/variable</w:t>
            </w:r>
          </w:p>
        </w:tc>
        <w:tc>
          <w:tcPr>
            <w:tcW w:w="1304" w:type="dxa"/>
            <w:shd w:val="clear" w:color="auto" w:fill="D9D9D9" w:themeFill="background1" w:themeFillShade="D9"/>
            <w:vAlign w:val="center"/>
          </w:tcPr>
          <w:p w14:paraId="3F423EA7" w14:textId="77777777" w:rsidR="00692E71" w:rsidRPr="00275290" w:rsidRDefault="00692E71" w:rsidP="008E0250">
            <w:pPr>
              <w:jc w:val="center"/>
              <w:rPr>
                <w:rFonts w:cs="Arial"/>
                <w:b/>
              </w:rPr>
            </w:pPr>
            <w:r w:rsidRPr="00275290">
              <w:rPr>
                <w:rFonts w:cs="Arial"/>
                <w:b/>
              </w:rPr>
              <w:t>Nomencla-ture</w:t>
            </w:r>
          </w:p>
        </w:tc>
        <w:tc>
          <w:tcPr>
            <w:tcW w:w="2551" w:type="dxa"/>
            <w:shd w:val="clear" w:color="auto" w:fill="D9D9D9" w:themeFill="background1" w:themeFillShade="D9"/>
            <w:vAlign w:val="center"/>
          </w:tcPr>
          <w:p w14:paraId="6B6A69BA" w14:textId="77777777" w:rsidR="00692E71" w:rsidRPr="00275290" w:rsidRDefault="00692E71" w:rsidP="008E0250">
            <w:pPr>
              <w:jc w:val="center"/>
              <w:rPr>
                <w:rFonts w:cs="Arial"/>
                <w:b/>
              </w:rPr>
            </w:pPr>
            <w:r w:rsidRPr="00275290">
              <w:rPr>
                <w:rFonts w:cs="Arial"/>
                <w:b/>
              </w:rPr>
              <w:t>Value</w:t>
            </w:r>
          </w:p>
        </w:tc>
        <w:tc>
          <w:tcPr>
            <w:tcW w:w="1134" w:type="dxa"/>
            <w:shd w:val="clear" w:color="auto" w:fill="D9D9D9" w:themeFill="background1" w:themeFillShade="D9"/>
            <w:vAlign w:val="center"/>
          </w:tcPr>
          <w:p w14:paraId="6C66F556" w14:textId="77777777" w:rsidR="00692E71" w:rsidRPr="00275290" w:rsidRDefault="00692E71" w:rsidP="008E0250">
            <w:pPr>
              <w:jc w:val="center"/>
              <w:rPr>
                <w:rFonts w:cs="Arial"/>
                <w:b/>
              </w:rPr>
            </w:pPr>
            <w:r w:rsidRPr="00275290">
              <w:rPr>
                <w:rFonts w:cs="Arial"/>
                <w:b/>
              </w:rPr>
              <w:t>Unit</w:t>
            </w:r>
          </w:p>
        </w:tc>
        <w:tc>
          <w:tcPr>
            <w:tcW w:w="794" w:type="dxa"/>
            <w:shd w:val="clear" w:color="auto" w:fill="D9D9D9" w:themeFill="background1" w:themeFillShade="D9"/>
            <w:vAlign w:val="center"/>
          </w:tcPr>
          <w:p w14:paraId="44DECC51" w14:textId="77777777" w:rsidR="00692E71" w:rsidRPr="00275290" w:rsidRDefault="00692E71" w:rsidP="008E0250">
            <w:pPr>
              <w:jc w:val="center"/>
              <w:rPr>
                <w:rFonts w:cs="Arial"/>
                <w:b/>
              </w:rPr>
            </w:pPr>
            <w:r w:rsidRPr="00275290">
              <w:rPr>
                <w:rFonts w:cs="Arial"/>
                <w:b/>
              </w:rPr>
              <w:t>Origin</w:t>
            </w:r>
          </w:p>
        </w:tc>
      </w:tr>
      <w:tr w:rsidR="00692E71" w:rsidRPr="00275290" w14:paraId="3B404A6D" w14:textId="77777777" w:rsidTr="008E0250">
        <w:trPr>
          <w:trHeight w:val="283"/>
        </w:trPr>
        <w:tc>
          <w:tcPr>
            <w:tcW w:w="9241" w:type="dxa"/>
            <w:gridSpan w:val="5"/>
            <w:vAlign w:val="center"/>
          </w:tcPr>
          <w:p w14:paraId="6DFDC375" w14:textId="77777777" w:rsidR="00692E71" w:rsidRPr="00275290" w:rsidRDefault="00692E71" w:rsidP="008E0250">
            <w:pPr>
              <w:rPr>
                <w:rFonts w:cs="Arial"/>
                <w:b/>
              </w:rPr>
            </w:pPr>
            <w:r w:rsidRPr="00275290">
              <w:rPr>
                <w:rFonts w:cs="Arial"/>
                <w:b/>
              </w:rPr>
              <w:t>INPUTS</w:t>
            </w:r>
          </w:p>
        </w:tc>
      </w:tr>
      <w:tr w:rsidR="00692E71" w:rsidRPr="00275290" w14:paraId="6392D1B9" w14:textId="77777777" w:rsidTr="008E0250">
        <w:tc>
          <w:tcPr>
            <w:tcW w:w="3458" w:type="dxa"/>
            <w:vAlign w:val="center"/>
          </w:tcPr>
          <w:p w14:paraId="2C74193B" w14:textId="77777777" w:rsidR="00692E71" w:rsidRPr="00275290" w:rsidRDefault="00692E71" w:rsidP="008E0250">
            <w:pPr>
              <w:rPr>
                <w:rFonts w:cs="Arial"/>
                <w:i/>
                <w:iCs/>
              </w:rPr>
            </w:pPr>
            <w:r w:rsidRPr="00275290">
              <w:rPr>
                <w:rFonts w:cs="Arial"/>
              </w:rPr>
              <w:t>Volume of sediment compartment</w:t>
            </w:r>
          </w:p>
        </w:tc>
        <w:tc>
          <w:tcPr>
            <w:tcW w:w="1304" w:type="dxa"/>
            <w:vAlign w:val="center"/>
          </w:tcPr>
          <w:p w14:paraId="7CF8B9E8" w14:textId="77777777" w:rsidR="00692E71" w:rsidRPr="00275290" w:rsidRDefault="00692E71" w:rsidP="008E0250">
            <w:pPr>
              <w:rPr>
                <w:rFonts w:cs="Arial"/>
              </w:rPr>
            </w:pPr>
            <w:r w:rsidRPr="00275290">
              <w:rPr>
                <w:rFonts w:cs="Arial"/>
              </w:rPr>
              <w:t>V</w:t>
            </w:r>
            <w:r w:rsidRPr="00275290">
              <w:rPr>
                <w:rFonts w:cs="Arial"/>
                <w:vertAlign w:val="subscript"/>
              </w:rPr>
              <w:t>sed</w:t>
            </w:r>
          </w:p>
        </w:tc>
        <w:tc>
          <w:tcPr>
            <w:tcW w:w="2551" w:type="dxa"/>
            <w:vAlign w:val="center"/>
          </w:tcPr>
          <w:p w14:paraId="6D00F270" w14:textId="77777777" w:rsidR="00692E71" w:rsidRPr="00275290" w:rsidRDefault="00692E71" w:rsidP="008E0250">
            <w:pPr>
              <w:jc w:val="center"/>
              <w:rPr>
                <w:rFonts w:cs="Arial"/>
              </w:rPr>
            </w:pPr>
            <w:r w:rsidRPr="00275290">
              <w:rPr>
                <w:rFonts w:cs="Arial"/>
              </w:rPr>
              <w:t>1.5</w:t>
            </w:r>
          </w:p>
        </w:tc>
        <w:tc>
          <w:tcPr>
            <w:tcW w:w="1134" w:type="dxa"/>
            <w:vAlign w:val="center"/>
          </w:tcPr>
          <w:p w14:paraId="5861A7F3" w14:textId="77777777" w:rsidR="00692E71" w:rsidRPr="00275290" w:rsidRDefault="00692E71" w:rsidP="008E0250">
            <w:pPr>
              <w:jc w:val="center"/>
              <w:rPr>
                <w:rFonts w:cs="Arial"/>
                <w:i/>
                <w:iCs/>
              </w:rPr>
            </w:pPr>
            <w:r w:rsidRPr="00275290">
              <w:rPr>
                <w:rFonts w:cs="Arial"/>
              </w:rPr>
              <w:t>[m</w:t>
            </w:r>
            <w:r w:rsidRPr="00275290">
              <w:rPr>
                <w:rFonts w:cs="Arial"/>
                <w:vertAlign w:val="superscript"/>
              </w:rPr>
              <w:t>3</w:t>
            </w:r>
            <w:r w:rsidRPr="00275290">
              <w:rPr>
                <w:rFonts w:cs="Arial"/>
              </w:rPr>
              <w:t>]</w:t>
            </w:r>
          </w:p>
        </w:tc>
        <w:tc>
          <w:tcPr>
            <w:tcW w:w="794" w:type="dxa"/>
            <w:vAlign w:val="center"/>
          </w:tcPr>
          <w:p w14:paraId="3574F975" w14:textId="77777777" w:rsidR="00692E71" w:rsidRPr="00275290" w:rsidRDefault="00692E71" w:rsidP="008E0250">
            <w:pPr>
              <w:jc w:val="center"/>
              <w:rPr>
                <w:rFonts w:cs="Arial"/>
              </w:rPr>
            </w:pPr>
            <w:r w:rsidRPr="00275290">
              <w:rPr>
                <w:rFonts w:cs="Arial"/>
              </w:rPr>
              <w:t>D</w:t>
            </w:r>
          </w:p>
        </w:tc>
      </w:tr>
      <w:tr w:rsidR="00692E71" w:rsidRPr="00275290" w14:paraId="11281E3C" w14:textId="77777777" w:rsidTr="008E0250">
        <w:tc>
          <w:tcPr>
            <w:tcW w:w="3458" w:type="dxa"/>
            <w:vAlign w:val="center"/>
          </w:tcPr>
          <w:p w14:paraId="12848658" w14:textId="77777777" w:rsidR="00692E71" w:rsidRPr="00275290" w:rsidRDefault="00692E71" w:rsidP="008E0250">
            <w:pPr>
              <w:rPr>
                <w:rFonts w:cs="Arial"/>
              </w:rPr>
            </w:pPr>
            <w:r w:rsidRPr="00275290">
              <w:rPr>
                <w:rFonts w:cs="Arial"/>
              </w:rPr>
              <w:t>Total sediment – water partitioning coefficients</w:t>
            </w:r>
          </w:p>
        </w:tc>
        <w:tc>
          <w:tcPr>
            <w:tcW w:w="1304" w:type="dxa"/>
            <w:vAlign w:val="center"/>
          </w:tcPr>
          <w:p w14:paraId="0122932C" w14:textId="77777777" w:rsidR="00692E71" w:rsidRPr="00275290" w:rsidRDefault="00692E71" w:rsidP="008E0250">
            <w:pPr>
              <w:rPr>
                <w:rFonts w:cs="Arial"/>
              </w:rPr>
            </w:pPr>
            <w:r w:rsidRPr="00275290">
              <w:rPr>
                <w:rFonts w:cs="Arial"/>
              </w:rPr>
              <w:t>K</w:t>
            </w:r>
            <w:r w:rsidRPr="00275290">
              <w:rPr>
                <w:rFonts w:cs="Arial"/>
                <w:vertAlign w:val="subscript"/>
              </w:rPr>
              <w:t>sed-water</w:t>
            </w:r>
          </w:p>
        </w:tc>
        <w:tc>
          <w:tcPr>
            <w:tcW w:w="2551" w:type="dxa"/>
            <w:vAlign w:val="center"/>
          </w:tcPr>
          <w:p w14:paraId="2674B11D" w14:textId="77777777" w:rsidR="00692E71" w:rsidRPr="00275290" w:rsidRDefault="00692E71" w:rsidP="008E0250">
            <w:pPr>
              <w:jc w:val="center"/>
              <w:rPr>
                <w:rFonts w:cs="Arial"/>
              </w:rPr>
            </w:pPr>
            <w:r w:rsidRPr="00275290">
              <w:rPr>
                <w:rFonts w:cs="Arial"/>
              </w:rPr>
              <w:t>3.95 (IPBC)</w:t>
            </w:r>
          </w:p>
          <w:p w14:paraId="65BB6CDE" w14:textId="77777777" w:rsidR="00692E71" w:rsidRPr="00275290" w:rsidRDefault="00692E71" w:rsidP="008E0250">
            <w:pPr>
              <w:jc w:val="center"/>
              <w:rPr>
                <w:rFonts w:cs="Arial"/>
              </w:rPr>
            </w:pPr>
            <w:r w:rsidRPr="00275290">
              <w:rPr>
                <w:rFonts w:cs="Arial"/>
              </w:rPr>
              <w:t>24.40 (propiconazole)</w:t>
            </w:r>
          </w:p>
          <w:p w14:paraId="624C62FD" w14:textId="77777777" w:rsidR="00692E71" w:rsidRPr="00275290" w:rsidRDefault="00692E71" w:rsidP="008E0250">
            <w:pPr>
              <w:jc w:val="center"/>
              <w:rPr>
                <w:rFonts w:cs="Arial"/>
              </w:rPr>
            </w:pPr>
            <w:r w:rsidRPr="00275290">
              <w:rPr>
                <w:rFonts w:cs="Arial"/>
              </w:rPr>
              <w:t>25.60 (tebuconazole)</w:t>
            </w:r>
          </w:p>
          <w:p w14:paraId="277E8071" w14:textId="77777777" w:rsidR="00692E71" w:rsidRPr="00275290" w:rsidRDefault="00692E71" w:rsidP="008E0250">
            <w:pPr>
              <w:jc w:val="center"/>
              <w:rPr>
                <w:rFonts w:cs="Arial"/>
              </w:rPr>
            </w:pPr>
            <w:r w:rsidRPr="00275290">
              <w:rPr>
                <w:rFonts w:cs="Arial"/>
              </w:rPr>
              <w:t>14376 (cypermethrin)</w:t>
            </w:r>
          </w:p>
        </w:tc>
        <w:tc>
          <w:tcPr>
            <w:tcW w:w="1134" w:type="dxa"/>
            <w:vAlign w:val="center"/>
          </w:tcPr>
          <w:p w14:paraId="3B12448B"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.m</w:t>
            </w:r>
            <w:r w:rsidRPr="00275290">
              <w:rPr>
                <w:rFonts w:cs="Arial"/>
                <w:vertAlign w:val="superscript"/>
              </w:rPr>
              <w:t>-3</w:t>
            </w:r>
            <w:r w:rsidRPr="00275290">
              <w:rPr>
                <w:rFonts w:cs="Arial"/>
              </w:rPr>
              <w:t>]</w:t>
            </w:r>
          </w:p>
        </w:tc>
        <w:tc>
          <w:tcPr>
            <w:tcW w:w="794" w:type="dxa"/>
            <w:vAlign w:val="center"/>
          </w:tcPr>
          <w:p w14:paraId="46DC6C00" w14:textId="77777777" w:rsidR="00692E71" w:rsidRPr="00275290" w:rsidRDefault="00692E71" w:rsidP="008E0250">
            <w:pPr>
              <w:jc w:val="center"/>
              <w:rPr>
                <w:rFonts w:cs="Arial"/>
              </w:rPr>
            </w:pPr>
            <w:r w:rsidRPr="00275290">
              <w:rPr>
                <w:rFonts w:cs="Arial"/>
              </w:rPr>
              <w:t>S</w:t>
            </w:r>
          </w:p>
        </w:tc>
      </w:tr>
      <w:tr w:rsidR="00692E71" w:rsidRPr="00275290" w14:paraId="7043029E" w14:textId="77777777" w:rsidTr="008E0250">
        <w:tc>
          <w:tcPr>
            <w:tcW w:w="3458" w:type="dxa"/>
            <w:vAlign w:val="center"/>
          </w:tcPr>
          <w:p w14:paraId="4B1C9C4B" w14:textId="77777777" w:rsidR="00692E71" w:rsidRPr="00275290" w:rsidRDefault="00692E71" w:rsidP="008E0250">
            <w:pPr>
              <w:rPr>
                <w:rFonts w:cs="Arial"/>
              </w:rPr>
            </w:pPr>
            <w:r w:rsidRPr="00275290">
              <w:rPr>
                <w:rFonts w:cs="Arial"/>
              </w:rPr>
              <w:t>Concentrations of suspended matter in the surface water</w:t>
            </w:r>
          </w:p>
        </w:tc>
        <w:tc>
          <w:tcPr>
            <w:tcW w:w="1304" w:type="dxa"/>
            <w:vAlign w:val="center"/>
          </w:tcPr>
          <w:p w14:paraId="23A4C170" w14:textId="77777777" w:rsidR="00692E71" w:rsidRPr="00275290" w:rsidRDefault="00692E71" w:rsidP="008E0250">
            <w:pPr>
              <w:rPr>
                <w:rFonts w:cs="Arial"/>
              </w:rPr>
            </w:pPr>
            <w:r w:rsidRPr="00275290">
              <w:rPr>
                <w:rFonts w:cs="Arial"/>
              </w:rPr>
              <w:t>SUSP</w:t>
            </w:r>
            <w:r w:rsidRPr="00275290">
              <w:rPr>
                <w:rFonts w:cs="Arial"/>
                <w:vertAlign w:val="subscript"/>
              </w:rPr>
              <w:t>water</w:t>
            </w:r>
          </w:p>
        </w:tc>
        <w:tc>
          <w:tcPr>
            <w:tcW w:w="2551" w:type="dxa"/>
            <w:vAlign w:val="center"/>
          </w:tcPr>
          <w:p w14:paraId="029DB783" w14:textId="77777777" w:rsidR="00692E71" w:rsidRPr="00275290" w:rsidRDefault="00692E71" w:rsidP="008E0250">
            <w:pPr>
              <w:jc w:val="center"/>
              <w:rPr>
                <w:rFonts w:cs="Arial"/>
              </w:rPr>
            </w:pPr>
            <w:r w:rsidRPr="00275290">
              <w:rPr>
                <w:rFonts w:cs="Arial"/>
              </w:rPr>
              <w:t>15*10</w:t>
            </w:r>
            <w:r w:rsidRPr="00275290">
              <w:rPr>
                <w:rFonts w:cs="Arial"/>
                <w:vertAlign w:val="superscript"/>
              </w:rPr>
              <w:t>-3</w:t>
            </w:r>
          </w:p>
        </w:tc>
        <w:tc>
          <w:tcPr>
            <w:tcW w:w="1134" w:type="dxa"/>
            <w:vAlign w:val="center"/>
          </w:tcPr>
          <w:p w14:paraId="7795DD8D" w14:textId="77777777" w:rsidR="00692E71" w:rsidRPr="00275290" w:rsidRDefault="00692E71" w:rsidP="008E0250">
            <w:pPr>
              <w:jc w:val="center"/>
              <w:rPr>
                <w:rFonts w:cs="Arial"/>
              </w:rPr>
            </w:pPr>
            <w:r w:rsidRPr="00275290">
              <w:rPr>
                <w:rFonts w:cs="Arial"/>
              </w:rPr>
              <w:t>[kg.m</w:t>
            </w:r>
            <w:r w:rsidRPr="00275290">
              <w:rPr>
                <w:rFonts w:cs="Arial"/>
                <w:vertAlign w:val="superscript"/>
              </w:rPr>
              <w:t>-3</w:t>
            </w:r>
            <w:r w:rsidRPr="00275290">
              <w:rPr>
                <w:rFonts w:cs="Arial"/>
              </w:rPr>
              <w:t>]</w:t>
            </w:r>
          </w:p>
        </w:tc>
        <w:tc>
          <w:tcPr>
            <w:tcW w:w="794" w:type="dxa"/>
            <w:vAlign w:val="center"/>
          </w:tcPr>
          <w:p w14:paraId="4B615692" w14:textId="77777777" w:rsidR="00692E71" w:rsidRPr="00275290" w:rsidRDefault="00692E71" w:rsidP="008E0250">
            <w:pPr>
              <w:jc w:val="center"/>
              <w:rPr>
                <w:rFonts w:cs="Arial"/>
              </w:rPr>
            </w:pPr>
            <w:r w:rsidRPr="00275290">
              <w:rPr>
                <w:rFonts w:cs="Arial"/>
              </w:rPr>
              <w:t>D</w:t>
            </w:r>
          </w:p>
        </w:tc>
      </w:tr>
      <w:tr w:rsidR="00692E71" w:rsidRPr="00275290" w14:paraId="236B4362" w14:textId="77777777" w:rsidTr="008E0250">
        <w:tc>
          <w:tcPr>
            <w:tcW w:w="3458" w:type="dxa"/>
            <w:vAlign w:val="center"/>
          </w:tcPr>
          <w:p w14:paraId="55C85099" w14:textId="77777777" w:rsidR="00692E71" w:rsidRPr="00275290" w:rsidRDefault="00692E71" w:rsidP="008E0250">
            <w:pPr>
              <w:rPr>
                <w:rFonts w:cs="Arial"/>
              </w:rPr>
            </w:pPr>
            <w:r w:rsidRPr="00275290">
              <w:rPr>
                <w:rFonts w:cs="Arial"/>
              </w:rPr>
              <w:t>Solids-water partitioning coefficients for suspended matter</w:t>
            </w:r>
          </w:p>
        </w:tc>
        <w:tc>
          <w:tcPr>
            <w:tcW w:w="1304" w:type="dxa"/>
            <w:vAlign w:val="center"/>
          </w:tcPr>
          <w:p w14:paraId="00C8D853" w14:textId="77777777" w:rsidR="00692E71" w:rsidRPr="00275290" w:rsidRDefault="00692E71" w:rsidP="008E0250">
            <w:pPr>
              <w:rPr>
                <w:rFonts w:cs="Arial"/>
              </w:rPr>
            </w:pPr>
            <w:r w:rsidRPr="00275290">
              <w:rPr>
                <w:rFonts w:cs="Arial"/>
              </w:rPr>
              <w:t>Kp</w:t>
            </w:r>
            <w:r w:rsidRPr="00275290">
              <w:rPr>
                <w:rFonts w:cs="Arial"/>
                <w:vertAlign w:val="subscript"/>
              </w:rPr>
              <w:t>susp</w:t>
            </w:r>
          </w:p>
        </w:tc>
        <w:tc>
          <w:tcPr>
            <w:tcW w:w="2551" w:type="dxa"/>
            <w:vAlign w:val="center"/>
          </w:tcPr>
          <w:p w14:paraId="341F9A5B" w14:textId="77777777" w:rsidR="00692E71" w:rsidRPr="00275290" w:rsidRDefault="00692E71" w:rsidP="008E0250">
            <w:pPr>
              <w:jc w:val="center"/>
              <w:rPr>
                <w:rFonts w:cs="Arial"/>
              </w:rPr>
            </w:pPr>
            <w:r w:rsidRPr="00275290">
              <w:rPr>
                <w:rFonts w:cs="Arial"/>
              </w:rPr>
              <w:t>12.6*10</w:t>
            </w:r>
            <w:r w:rsidRPr="00275290">
              <w:rPr>
                <w:rFonts w:cs="Arial"/>
                <w:vertAlign w:val="superscript"/>
              </w:rPr>
              <w:t>-3</w:t>
            </w:r>
            <w:r w:rsidRPr="00275290">
              <w:rPr>
                <w:rFonts w:cs="Arial"/>
              </w:rPr>
              <w:t xml:space="preserve"> (IPBC)</w:t>
            </w:r>
          </w:p>
          <w:p w14:paraId="3B71635C" w14:textId="77777777" w:rsidR="00692E71" w:rsidRPr="00275290" w:rsidRDefault="00692E71" w:rsidP="008E0250">
            <w:pPr>
              <w:jc w:val="center"/>
              <w:rPr>
                <w:rFonts w:cs="Arial"/>
              </w:rPr>
            </w:pPr>
            <w:r w:rsidRPr="00275290">
              <w:rPr>
                <w:rFonts w:cs="Arial"/>
              </w:rPr>
              <w:t>94.4*10</w:t>
            </w:r>
            <w:r w:rsidRPr="00275290">
              <w:rPr>
                <w:rFonts w:cs="Arial"/>
                <w:vertAlign w:val="superscript"/>
              </w:rPr>
              <w:t>-3</w:t>
            </w:r>
            <w:r w:rsidRPr="00275290">
              <w:rPr>
                <w:rFonts w:cs="Arial"/>
              </w:rPr>
              <w:t xml:space="preserve"> (propiconazole)</w:t>
            </w:r>
          </w:p>
          <w:p w14:paraId="07FD9EA6" w14:textId="77777777" w:rsidR="00692E71" w:rsidRPr="00275290" w:rsidRDefault="00692E71" w:rsidP="008E0250">
            <w:pPr>
              <w:jc w:val="center"/>
              <w:rPr>
                <w:rFonts w:cs="Arial"/>
              </w:rPr>
            </w:pPr>
            <w:r w:rsidRPr="00275290">
              <w:rPr>
                <w:rFonts w:cs="Arial"/>
              </w:rPr>
              <w:t>99.2*10</w:t>
            </w:r>
            <w:r w:rsidRPr="00275290">
              <w:rPr>
                <w:rFonts w:cs="Arial"/>
                <w:vertAlign w:val="superscript"/>
              </w:rPr>
              <w:t>-3</w:t>
            </w:r>
            <w:r w:rsidRPr="00275290">
              <w:rPr>
                <w:rFonts w:cs="Arial"/>
              </w:rPr>
              <w:t xml:space="preserve"> (tebuconazole)</w:t>
            </w:r>
          </w:p>
          <w:p w14:paraId="27BBF669" w14:textId="77777777" w:rsidR="00692E71" w:rsidRPr="00275290" w:rsidRDefault="00692E71" w:rsidP="008E0250">
            <w:pPr>
              <w:jc w:val="center"/>
              <w:rPr>
                <w:rFonts w:cs="Arial"/>
              </w:rPr>
            </w:pPr>
            <w:r w:rsidRPr="00275290">
              <w:rPr>
                <w:rFonts w:cs="Arial"/>
              </w:rPr>
              <w:t>57.5 (cypermethrin)</w:t>
            </w:r>
          </w:p>
        </w:tc>
        <w:tc>
          <w:tcPr>
            <w:tcW w:w="1134" w:type="dxa"/>
            <w:vAlign w:val="center"/>
          </w:tcPr>
          <w:p w14:paraId="70E8E525"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794" w:type="dxa"/>
            <w:vAlign w:val="center"/>
          </w:tcPr>
          <w:p w14:paraId="31ABB5D4" w14:textId="77777777" w:rsidR="00692E71" w:rsidRPr="00275290" w:rsidRDefault="00692E71" w:rsidP="008E0250">
            <w:pPr>
              <w:jc w:val="center"/>
              <w:rPr>
                <w:rFonts w:cs="Arial"/>
              </w:rPr>
            </w:pPr>
            <w:r w:rsidRPr="00275290">
              <w:rPr>
                <w:rFonts w:cs="Arial"/>
              </w:rPr>
              <w:t>O</w:t>
            </w:r>
          </w:p>
        </w:tc>
      </w:tr>
      <w:tr w:rsidR="00692E71" w:rsidRPr="00275290" w14:paraId="05C75060" w14:textId="77777777" w:rsidTr="008E0250">
        <w:trPr>
          <w:trHeight w:val="283"/>
        </w:trPr>
        <w:tc>
          <w:tcPr>
            <w:tcW w:w="9241" w:type="dxa"/>
            <w:gridSpan w:val="5"/>
            <w:vAlign w:val="center"/>
          </w:tcPr>
          <w:p w14:paraId="6504D75F" w14:textId="77777777" w:rsidR="00692E71" w:rsidRPr="00275290" w:rsidRDefault="00692E71" w:rsidP="008E0250">
            <w:pPr>
              <w:rPr>
                <w:rFonts w:cs="Arial"/>
                <w:b/>
              </w:rPr>
            </w:pPr>
            <w:r w:rsidRPr="00275290">
              <w:rPr>
                <w:rFonts w:cs="Arial"/>
                <w:b/>
              </w:rPr>
              <w:t>OUTPUT EMISSION</w:t>
            </w:r>
          </w:p>
        </w:tc>
      </w:tr>
      <w:tr w:rsidR="00692E71" w:rsidRPr="00275290" w14:paraId="5DCAD433" w14:textId="77777777" w:rsidTr="008E0250">
        <w:tc>
          <w:tcPr>
            <w:tcW w:w="3458" w:type="dxa"/>
            <w:vAlign w:val="center"/>
          </w:tcPr>
          <w:p w14:paraId="4A6325D3" w14:textId="77777777" w:rsidR="00692E71" w:rsidRPr="00275290" w:rsidRDefault="00692E71" w:rsidP="008E0250">
            <w:pPr>
              <w:rPr>
                <w:rFonts w:cs="Arial"/>
                <w:i/>
                <w:iCs/>
              </w:rPr>
            </w:pPr>
            <w:r w:rsidRPr="00275290">
              <w:rPr>
                <w:rFonts w:cs="Arial"/>
              </w:rPr>
              <w:t xml:space="preserve">Average concentrations in surface water over the initial assessment period (30d) </w:t>
            </w:r>
          </w:p>
        </w:tc>
        <w:tc>
          <w:tcPr>
            <w:tcW w:w="1304" w:type="dxa"/>
            <w:vAlign w:val="center"/>
          </w:tcPr>
          <w:p w14:paraId="58AEFD45" w14:textId="77777777" w:rsidR="00692E71" w:rsidRPr="00275290" w:rsidRDefault="00692E71" w:rsidP="008E0250">
            <w:pPr>
              <w:rPr>
                <w:rFonts w:cs="Arial"/>
              </w:rPr>
            </w:pPr>
            <w:r w:rsidRPr="00275290">
              <w:rPr>
                <w:rFonts w:cs="Arial"/>
                <w:i/>
              </w:rPr>
              <w:t>Clocal</w:t>
            </w:r>
            <w:r w:rsidRPr="00275290">
              <w:rPr>
                <w:rFonts w:cs="Arial"/>
                <w:i/>
                <w:vertAlign w:val="subscript"/>
              </w:rPr>
              <w:t>diss, time1</w:t>
            </w:r>
          </w:p>
        </w:tc>
        <w:tc>
          <w:tcPr>
            <w:tcW w:w="2551" w:type="dxa"/>
            <w:vAlign w:val="center"/>
          </w:tcPr>
          <w:p w14:paraId="4C37364E" w14:textId="77777777" w:rsidR="00692E71" w:rsidRPr="00275290" w:rsidRDefault="00692E71" w:rsidP="008E0250">
            <w:pPr>
              <w:jc w:val="center"/>
              <w:rPr>
                <w:rFonts w:cs="Arial"/>
              </w:rPr>
            </w:pPr>
            <w:r w:rsidRPr="00275290">
              <w:rPr>
                <w:rFonts w:cs="Arial"/>
              </w:rPr>
              <w:t>3.1*10</w:t>
            </w:r>
            <w:r w:rsidRPr="00275290">
              <w:rPr>
                <w:rFonts w:cs="Arial"/>
                <w:vertAlign w:val="superscript"/>
              </w:rPr>
              <w:t>-4</w:t>
            </w:r>
            <w:r w:rsidRPr="00275290">
              <w:rPr>
                <w:rFonts w:cs="Arial"/>
              </w:rPr>
              <w:t xml:space="preserve"> (IPBC)</w:t>
            </w:r>
          </w:p>
          <w:p w14:paraId="7D2B19EF" w14:textId="77777777" w:rsidR="00692E71" w:rsidRPr="00275290" w:rsidRDefault="00692E71" w:rsidP="008E0250">
            <w:pPr>
              <w:jc w:val="center"/>
              <w:rPr>
                <w:rFonts w:cs="Arial"/>
              </w:rPr>
            </w:pPr>
            <w:r w:rsidRPr="00275290">
              <w:rPr>
                <w:rFonts w:cs="Arial"/>
              </w:rPr>
              <w:t>9.8*10</w:t>
            </w:r>
            <w:r w:rsidRPr="00275290">
              <w:rPr>
                <w:rFonts w:cs="Arial"/>
                <w:vertAlign w:val="superscript"/>
              </w:rPr>
              <w:t>-2</w:t>
            </w:r>
            <w:r w:rsidRPr="00275290">
              <w:rPr>
                <w:rFonts w:cs="Arial"/>
              </w:rPr>
              <w:t xml:space="preserve"> (propiconazole)</w:t>
            </w:r>
          </w:p>
          <w:p w14:paraId="798EF097" w14:textId="77777777" w:rsidR="00692E71" w:rsidRPr="00275290" w:rsidRDefault="00692E71" w:rsidP="008E0250">
            <w:pPr>
              <w:jc w:val="center"/>
              <w:rPr>
                <w:rFonts w:cs="Arial"/>
              </w:rPr>
            </w:pPr>
            <w:r w:rsidRPr="00275290">
              <w:rPr>
                <w:rFonts w:cs="Arial"/>
              </w:rPr>
              <w:t>4.2*10</w:t>
            </w:r>
            <w:r w:rsidRPr="00275290">
              <w:rPr>
                <w:rFonts w:cs="Arial"/>
                <w:vertAlign w:val="superscript"/>
              </w:rPr>
              <w:t>-2</w:t>
            </w:r>
            <w:r w:rsidRPr="00275290">
              <w:rPr>
                <w:rFonts w:cs="Arial"/>
              </w:rPr>
              <w:t xml:space="preserve"> (tebuconazole)</w:t>
            </w:r>
          </w:p>
          <w:p w14:paraId="7BB0B9FA" w14:textId="77777777" w:rsidR="00692E71" w:rsidRPr="00275290" w:rsidRDefault="00692E71" w:rsidP="008E0250">
            <w:pPr>
              <w:jc w:val="center"/>
              <w:rPr>
                <w:rFonts w:cs="Arial"/>
              </w:rPr>
            </w:pPr>
            <w:r w:rsidRPr="00275290">
              <w:rPr>
                <w:rFonts w:cs="Arial"/>
              </w:rPr>
              <w:t>4.8*10</w:t>
            </w:r>
            <w:r w:rsidRPr="00275290">
              <w:rPr>
                <w:rFonts w:cs="Arial"/>
                <w:vertAlign w:val="superscript"/>
              </w:rPr>
              <w:t>-6</w:t>
            </w:r>
            <w:r w:rsidRPr="00275290">
              <w:rPr>
                <w:rFonts w:cs="Arial"/>
              </w:rPr>
              <w:t xml:space="preserve"> (cypermethrin)</w:t>
            </w:r>
          </w:p>
        </w:tc>
        <w:tc>
          <w:tcPr>
            <w:tcW w:w="1134" w:type="dxa"/>
            <w:vAlign w:val="center"/>
          </w:tcPr>
          <w:p w14:paraId="45DBA607" w14:textId="77777777" w:rsidR="00692E71" w:rsidRPr="00275290" w:rsidRDefault="00692E71" w:rsidP="008E0250">
            <w:pPr>
              <w:jc w:val="center"/>
              <w:rPr>
                <w:rFonts w:cs="Arial"/>
                <w:i/>
                <w:iCs/>
              </w:rPr>
            </w:pPr>
            <w:r w:rsidRPr="00275290">
              <w:rPr>
                <w:rFonts w:cs="Arial"/>
              </w:rPr>
              <w:t>[µg.L</w:t>
            </w:r>
            <w:r w:rsidRPr="00275290">
              <w:rPr>
                <w:rFonts w:cs="Arial"/>
                <w:vertAlign w:val="superscript"/>
              </w:rPr>
              <w:t>-1</w:t>
            </w:r>
            <w:r w:rsidRPr="00275290">
              <w:rPr>
                <w:rFonts w:cs="Arial"/>
              </w:rPr>
              <w:t>]</w:t>
            </w:r>
          </w:p>
        </w:tc>
        <w:tc>
          <w:tcPr>
            <w:tcW w:w="794" w:type="dxa"/>
            <w:vAlign w:val="center"/>
          </w:tcPr>
          <w:p w14:paraId="167D3E46" w14:textId="77777777" w:rsidR="00692E71" w:rsidRPr="00275290" w:rsidRDefault="00692E71" w:rsidP="008E0250">
            <w:pPr>
              <w:jc w:val="center"/>
              <w:rPr>
                <w:rFonts w:cs="Arial"/>
              </w:rPr>
            </w:pPr>
            <w:r w:rsidRPr="00275290">
              <w:rPr>
                <w:rFonts w:cs="Arial"/>
              </w:rPr>
              <w:t>O</w:t>
            </w:r>
          </w:p>
        </w:tc>
      </w:tr>
      <w:tr w:rsidR="00692E71" w:rsidRPr="00275290" w14:paraId="183450C4" w14:textId="77777777" w:rsidTr="008E0250">
        <w:tc>
          <w:tcPr>
            <w:tcW w:w="3458" w:type="dxa"/>
            <w:vAlign w:val="center"/>
          </w:tcPr>
          <w:p w14:paraId="493BA163" w14:textId="77777777" w:rsidR="00692E71" w:rsidRPr="00275290" w:rsidRDefault="00692E71" w:rsidP="008E0250">
            <w:pPr>
              <w:rPr>
                <w:rFonts w:cs="Arial"/>
              </w:rPr>
            </w:pPr>
            <w:r w:rsidRPr="00275290">
              <w:rPr>
                <w:rFonts w:cs="Arial"/>
              </w:rPr>
              <w:t>Average concentrations in surface  water over a longer</w:t>
            </w:r>
          </w:p>
          <w:p w14:paraId="0FAB2C48" w14:textId="77777777" w:rsidR="00692E71" w:rsidRPr="00275290" w:rsidRDefault="00692E71" w:rsidP="008E0250">
            <w:pPr>
              <w:rPr>
                <w:rFonts w:cs="Arial"/>
              </w:rPr>
            </w:pPr>
            <w:r w:rsidRPr="00275290">
              <w:rPr>
                <w:rFonts w:cs="Arial"/>
              </w:rPr>
              <w:t>duration (5475d)</w:t>
            </w:r>
          </w:p>
        </w:tc>
        <w:tc>
          <w:tcPr>
            <w:tcW w:w="1304" w:type="dxa"/>
            <w:vAlign w:val="center"/>
          </w:tcPr>
          <w:p w14:paraId="34CE8D6A" w14:textId="77777777" w:rsidR="00692E71" w:rsidRPr="00275290" w:rsidRDefault="00692E71" w:rsidP="008E0250">
            <w:pPr>
              <w:rPr>
                <w:rFonts w:cs="Arial"/>
              </w:rPr>
            </w:pPr>
            <w:r w:rsidRPr="00275290">
              <w:rPr>
                <w:rFonts w:cs="Arial"/>
                <w:i/>
              </w:rPr>
              <w:t>Clocal</w:t>
            </w:r>
            <w:r w:rsidRPr="00275290">
              <w:rPr>
                <w:rFonts w:cs="Arial"/>
                <w:i/>
                <w:vertAlign w:val="subscript"/>
              </w:rPr>
              <w:t>diss, time2</w:t>
            </w:r>
          </w:p>
        </w:tc>
        <w:tc>
          <w:tcPr>
            <w:tcW w:w="2551" w:type="dxa"/>
            <w:vAlign w:val="center"/>
          </w:tcPr>
          <w:p w14:paraId="7313EB61" w14:textId="77777777" w:rsidR="00692E71" w:rsidRPr="00275290" w:rsidRDefault="00692E71" w:rsidP="008E0250">
            <w:pPr>
              <w:jc w:val="center"/>
              <w:rPr>
                <w:rFonts w:cs="Arial"/>
              </w:rPr>
            </w:pPr>
            <w:r w:rsidRPr="00275290">
              <w:rPr>
                <w:rFonts w:cs="Arial"/>
              </w:rPr>
              <w:t>1.1*10</w:t>
            </w:r>
            <w:r w:rsidRPr="00275290">
              <w:rPr>
                <w:rFonts w:cs="Arial"/>
                <w:vertAlign w:val="superscript"/>
              </w:rPr>
              <w:t>-5</w:t>
            </w:r>
            <w:r w:rsidRPr="00275290">
              <w:rPr>
                <w:rFonts w:cs="Arial"/>
              </w:rPr>
              <w:t xml:space="preserve"> (IPBC)</w:t>
            </w:r>
          </w:p>
          <w:p w14:paraId="5E39DA34" w14:textId="77777777" w:rsidR="00692E71" w:rsidRPr="00275290" w:rsidRDefault="00692E71" w:rsidP="008E0250">
            <w:pPr>
              <w:jc w:val="center"/>
              <w:rPr>
                <w:rFonts w:cs="Arial"/>
              </w:rPr>
            </w:pPr>
            <w:r w:rsidRPr="00275290">
              <w:rPr>
                <w:rFonts w:cs="Arial"/>
              </w:rPr>
              <w:t>3.9*10</w:t>
            </w:r>
            <w:r w:rsidRPr="00275290">
              <w:rPr>
                <w:rFonts w:cs="Arial"/>
                <w:vertAlign w:val="superscript"/>
              </w:rPr>
              <w:t>-1</w:t>
            </w:r>
            <w:r w:rsidRPr="00275290">
              <w:rPr>
                <w:rFonts w:cs="Arial"/>
              </w:rPr>
              <w:t xml:space="preserve"> (propiconazole)</w:t>
            </w:r>
          </w:p>
          <w:p w14:paraId="6C74E15E" w14:textId="77777777" w:rsidR="00692E71" w:rsidRPr="00275290" w:rsidRDefault="00692E71" w:rsidP="008E0250">
            <w:pPr>
              <w:jc w:val="center"/>
              <w:rPr>
                <w:rFonts w:cs="Arial"/>
              </w:rPr>
            </w:pPr>
            <w:r w:rsidRPr="00275290">
              <w:rPr>
                <w:rFonts w:cs="Arial"/>
              </w:rPr>
              <w:lastRenderedPageBreak/>
              <w:t>3.2*10</w:t>
            </w:r>
            <w:r w:rsidRPr="00275290">
              <w:rPr>
                <w:rFonts w:cs="Arial"/>
                <w:vertAlign w:val="superscript"/>
              </w:rPr>
              <w:t>-2</w:t>
            </w:r>
            <w:r w:rsidRPr="00275290">
              <w:rPr>
                <w:rFonts w:cs="Arial"/>
              </w:rPr>
              <w:t xml:space="preserve"> (tebuconazole)</w:t>
            </w:r>
          </w:p>
          <w:p w14:paraId="5AF6C33D" w14:textId="77777777" w:rsidR="00692E71" w:rsidRPr="00275290" w:rsidRDefault="00692E71" w:rsidP="008E0250">
            <w:pPr>
              <w:jc w:val="center"/>
              <w:rPr>
                <w:rFonts w:cs="Arial"/>
              </w:rPr>
            </w:pPr>
            <w:r w:rsidRPr="00275290">
              <w:rPr>
                <w:rFonts w:cs="Arial"/>
              </w:rPr>
              <w:t>6.7*10</w:t>
            </w:r>
            <w:r w:rsidRPr="00275290">
              <w:rPr>
                <w:rFonts w:cs="Arial"/>
                <w:vertAlign w:val="superscript"/>
              </w:rPr>
              <w:t>-6</w:t>
            </w:r>
            <w:r w:rsidRPr="00275290">
              <w:rPr>
                <w:rFonts w:cs="Arial"/>
              </w:rPr>
              <w:t xml:space="preserve"> (cypermethrin)</w:t>
            </w:r>
          </w:p>
        </w:tc>
        <w:tc>
          <w:tcPr>
            <w:tcW w:w="1134" w:type="dxa"/>
            <w:vAlign w:val="center"/>
          </w:tcPr>
          <w:p w14:paraId="47ACF12C" w14:textId="77777777" w:rsidR="00692E71" w:rsidRPr="00275290" w:rsidRDefault="00692E71" w:rsidP="008E0250">
            <w:pPr>
              <w:jc w:val="center"/>
              <w:rPr>
                <w:rFonts w:cs="Arial"/>
              </w:rPr>
            </w:pPr>
            <w:r w:rsidRPr="00275290">
              <w:rPr>
                <w:rFonts w:cs="Arial"/>
              </w:rPr>
              <w:lastRenderedPageBreak/>
              <w:t>[µg.L</w:t>
            </w:r>
            <w:r w:rsidRPr="00275290">
              <w:rPr>
                <w:rFonts w:cs="Arial"/>
                <w:vertAlign w:val="superscript"/>
              </w:rPr>
              <w:t>-1</w:t>
            </w:r>
            <w:r w:rsidRPr="00275290">
              <w:rPr>
                <w:rFonts w:cs="Arial"/>
              </w:rPr>
              <w:t>]</w:t>
            </w:r>
          </w:p>
        </w:tc>
        <w:tc>
          <w:tcPr>
            <w:tcW w:w="794" w:type="dxa"/>
            <w:vAlign w:val="center"/>
          </w:tcPr>
          <w:p w14:paraId="50AD020B" w14:textId="77777777" w:rsidR="00692E71" w:rsidRPr="00275290" w:rsidRDefault="00692E71" w:rsidP="008E0250">
            <w:pPr>
              <w:jc w:val="center"/>
              <w:rPr>
                <w:rFonts w:cs="Arial"/>
              </w:rPr>
            </w:pPr>
            <w:r w:rsidRPr="00275290">
              <w:rPr>
                <w:rFonts w:cs="Arial"/>
              </w:rPr>
              <w:t>O</w:t>
            </w:r>
          </w:p>
        </w:tc>
      </w:tr>
    </w:tbl>
    <w:p w14:paraId="2A0B30D8" w14:textId="77777777" w:rsidR="00692E71" w:rsidRPr="00275290" w:rsidRDefault="00692E71" w:rsidP="00692E71">
      <w:pPr>
        <w:rPr>
          <w:rFonts w:cs="Arial"/>
          <w:b/>
        </w:rPr>
      </w:pPr>
    </w:p>
    <w:p w14:paraId="0A5D8672" w14:textId="77777777" w:rsidR="00692E71" w:rsidRPr="00275290" w:rsidRDefault="00692E71" w:rsidP="00692E71">
      <w:pPr>
        <w:rPr>
          <w:rFonts w:cs="Arial"/>
          <w:b/>
        </w:rPr>
      </w:pPr>
      <w:r w:rsidRPr="00275290">
        <w:rPr>
          <w:rFonts w:cs="Arial"/>
          <w:noProof/>
          <w:lang w:val="fr-FR" w:eastAsia="fr-FR"/>
        </w:rPr>
        <w:drawing>
          <wp:inline distT="0" distB="0" distL="0" distR="0" wp14:anchorId="4BBB2D7F" wp14:editId="66CD4889">
            <wp:extent cx="5752381" cy="1238095"/>
            <wp:effectExtent l="0" t="0" r="1270" b="63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52381" cy="1238095"/>
                    </a:xfrm>
                    <a:prstGeom prst="rect">
                      <a:avLst/>
                    </a:prstGeom>
                  </pic:spPr>
                </pic:pic>
              </a:graphicData>
            </a:graphic>
          </wp:inline>
        </w:drawing>
      </w:r>
    </w:p>
    <w:p w14:paraId="40FB6AD4" w14:textId="77777777" w:rsidR="00692E71" w:rsidRPr="00275290" w:rsidRDefault="00692E71" w:rsidP="00692E71">
      <w:pPr>
        <w:rPr>
          <w:rFonts w:cs="Arial"/>
        </w:rPr>
      </w:pPr>
      <w:proofErr w:type="gramStart"/>
      <w:r w:rsidRPr="00275290">
        <w:rPr>
          <w:rFonts w:cs="Arial"/>
        </w:rPr>
        <w:t>where</w:t>
      </w:r>
      <w:proofErr w:type="gramEnd"/>
      <w:r w:rsidRPr="00275290">
        <w:rPr>
          <w:rFonts w:cs="Arial"/>
        </w:rPr>
        <w:t>:</w:t>
      </w:r>
    </w:p>
    <w:p w14:paraId="083E0F53" w14:textId="77777777" w:rsidR="00692E71" w:rsidRPr="00275290" w:rsidRDefault="00692E71" w:rsidP="00692E71">
      <w:pPr>
        <w:rPr>
          <w:rFonts w:cs="Arial"/>
        </w:rPr>
      </w:pPr>
    </w:p>
    <w:p w14:paraId="4FDEA17E" w14:textId="77777777" w:rsidR="00692E71" w:rsidRPr="00275290" w:rsidRDefault="00692E71" w:rsidP="00692E71">
      <w:pPr>
        <w:rPr>
          <w:rFonts w:cs="Arial"/>
          <w:vertAlign w:val="subscript"/>
        </w:rPr>
      </w:pPr>
      <w:r w:rsidRPr="00275290">
        <w:rPr>
          <w:rFonts w:cs="Arial"/>
        </w:rPr>
        <w:t>V</w:t>
      </w:r>
      <w:r w:rsidRPr="00275290">
        <w:rPr>
          <w:rFonts w:cs="Arial"/>
          <w:vertAlign w:val="subscript"/>
        </w:rPr>
        <w:t>sed</w:t>
      </w:r>
      <w:r w:rsidRPr="00275290">
        <w:rPr>
          <w:rFonts w:cs="Arial"/>
        </w:rPr>
        <w:t xml:space="preserve"> = V</w:t>
      </w:r>
      <w:r w:rsidRPr="00275290">
        <w:rPr>
          <w:rFonts w:cs="Arial"/>
          <w:vertAlign w:val="subscript"/>
        </w:rPr>
        <w:t>water</w:t>
      </w:r>
      <w:r w:rsidRPr="00275290">
        <w:rPr>
          <w:rFonts w:cs="Arial"/>
        </w:rPr>
        <w:t xml:space="preserve"> * Depth</w:t>
      </w:r>
      <w:r w:rsidRPr="00275290">
        <w:rPr>
          <w:rFonts w:cs="Arial"/>
          <w:vertAlign w:val="subscript"/>
        </w:rPr>
        <w:t>sed</w:t>
      </w:r>
      <w:r w:rsidRPr="00275290">
        <w:rPr>
          <w:rFonts w:cs="Arial"/>
        </w:rPr>
        <w:t xml:space="preserve"> / Depth</w:t>
      </w:r>
      <w:r w:rsidRPr="00275290">
        <w:rPr>
          <w:rFonts w:cs="Arial"/>
          <w:vertAlign w:val="subscript"/>
        </w:rPr>
        <w:t xml:space="preserve">pond. </w:t>
      </w:r>
    </w:p>
    <w:p w14:paraId="2AE63D69" w14:textId="77777777" w:rsidR="00692E71" w:rsidRPr="00275290" w:rsidRDefault="00692E71" w:rsidP="00692E71">
      <w:pPr>
        <w:rPr>
          <w:rFonts w:cs="Arial"/>
        </w:rPr>
      </w:pPr>
    </w:p>
    <w:p w14:paraId="5DCEA86E" w14:textId="77777777" w:rsidR="00692E71" w:rsidRPr="00275290" w:rsidRDefault="00692E71" w:rsidP="00692E71">
      <w:pPr>
        <w:rPr>
          <w:rFonts w:cs="Arial"/>
        </w:rPr>
      </w:pPr>
      <w:r w:rsidRPr="00275290">
        <w:rPr>
          <w:rFonts w:cs="Arial"/>
        </w:rPr>
        <w:t>Default depth of sediment: 3 mm; depth of pond: 2 m (ESD Jetty in the lake scenario).</w:t>
      </w:r>
    </w:p>
    <w:p w14:paraId="5C206225" w14:textId="77777777" w:rsidR="00692E71" w:rsidRPr="00275290" w:rsidRDefault="00692E71" w:rsidP="00692E71">
      <w:pPr>
        <w:rPr>
          <w:rFonts w:cs="Arial"/>
        </w:rPr>
      </w:pPr>
    </w:p>
    <w:p w14:paraId="61620BA4" w14:textId="77777777" w:rsidR="00692E71" w:rsidRPr="00275290" w:rsidRDefault="00692E71" w:rsidP="00692E71">
      <w:pPr>
        <w:rPr>
          <w:rFonts w:cs="Arial"/>
        </w:rPr>
      </w:pPr>
      <w:r w:rsidRPr="00275290">
        <w:rPr>
          <w:rFonts w:cs="Arial"/>
        </w:rPr>
        <w:t>V</w:t>
      </w:r>
      <w:r w:rsidRPr="00275290">
        <w:rPr>
          <w:rFonts w:cs="Arial"/>
          <w:vertAlign w:val="subscript"/>
        </w:rPr>
        <w:t>sed</w:t>
      </w:r>
      <w:r w:rsidRPr="00275290">
        <w:rPr>
          <w:rFonts w:cs="Arial"/>
        </w:rPr>
        <w:t xml:space="preserve"> = 1000 * 0.003 / 2</w:t>
      </w:r>
    </w:p>
    <w:p w14:paraId="0965897E" w14:textId="77777777" w:rsidR="00692E71" w:rsidRPr="00275290" w:rsidRDefault="00692E71" w:rsidP="00692E71">
      <w:pPr>
        <w:rPr>
          <w:rFonts w:cs="Arial"/>
        </w:rPr>
      </w:pPr>
      <w:r w:rsidRPr="00275290">
        <w:rPr>
          <w:rFonts w:cs="Arial"/>
        </w:rPr>
        <w:t>V</w:t>
      </w:r>
      <w:r w:rsidRPr="00275290">
        <w:rPr>
          <w:rFonts w:cs="Arial"/>
          <w:vertAlign w:val="subscript"/>
        </w:rPr>
        <w:t>sed</w:t>
      </w:r>
      <w:r w:rsidRPr="00275290">
        <w:rPr>
          <w:rFonts w:cs="Arial"/>
        </w:rPr>
        <w:t xml:space="preserve"> = 1.5 [m</w:t>
      </w:r>
      <w:r w:rsidRPr="00275290">
        <w:rPr>
          <w:rFonts w:cs="Arial"/>
          <w:vertAlign w:val="superscript"/>
        </w:rPr>
        <w:t>3</w:t>
      </w:r>
      <w:r w:rsidRPr="00275290">
        <w:rPr>
          <w:rFonts w:cs="Arial"/>
        </w:rPr>
        <w:t>]</w:t>
      </w:r>
    </w:p>
    <w:p w14:paraId="1758645E" w14:textId="77777777" w:rsidR="00692E71" w:rsidRPr="00275290" w:rsidRDefault="00692E71" w:rsidP="00692E71">
      <w:pPr>
        <w:rPr>
          <w:rFonts w:cs="Arial"/>
        </w:rPr>
      </w:pPr>
    </w:p>
    <w:p w14:paraId="350F2977" w14:textId="77777777" w:rsidR="00692E71" w:rsidRPr="00275290" w:rsidRDefault="00692E71" w:rsidP="00692E71">
      <w:pPr>
        <w:rPr>
          <w:rFonts w:cs="Arial"/>
        </w:rPr>
      </w:pPr>
      <w:r w:rsidRPr="00275290">
        <w:rPr>
          <w:rFonts w:cs="Arial"/>
        </w:rPr>
        <w:t>K</w:t>
      </w:r>
      <w:r w:rsidRPr="00275290">
        <w:rPr>
          <w:rFonts w:cs="Arial"/>
          <w:vertAlign w:val="subscript"/>
        </w:rPr>
        <w:t>sed-water</w:t>
      </w:r>
      <w:r w:rsidRPr="00275290">
        <w:rPr>
          <w:rFonts w:cs="Arial"/>
        </w:rPr>
        <w:t xml:space="preserve"> = F</w:t>
      </w:r>
      <w:r w:rsidRPr="00275290">
        <w:rPr>
          <w:rFonts w:cs="Arial"/>
          <w:vertAlign w:val="subscript"/>
        </w:rPr>
        <w:t>water sed</w:t>
      </w:r>
      <w:r w:rsidRPr="00275290">
        <w:rPr>
          <w:rFonts w:cs="Arial"/>
        </w:rPr>
        <w:t xml:space="preserve"> + F</w:t>
      </w:r>
      <w:r w:rsidRPr="00275290">
        <w:rPr>
          <w:rFonts w:cs="Arial"/>
          <w:vertAlign w:val="subscript"/>
        </w:rPr>
        <w:t>solid sed</w:t>
      </w:r>
      <w:r w:rsidRPr="00275290">
        <w:rPr>
          <w:rFonts w:cs="Arial"/>
        </w:rPr>
        <w:t xml:space="preserve"> * Kp</w:t>
      </w:r>
      <w:r w:rsidRPr="00275290">
        <w:rPr>
          <w:rFonts w:cs="Arial"/>
          <w:vertAlign w:val="subscript"/>
        </w:rPr>
        <w:t>sed</w:t>
      </w:r>
      <w:r w:rsidRPr="00275290">
        <w:rPr>
          <w:rFonts w:cs="Arial"/>
        </w:rPr>
        <w:t xml:space="preserve"> * RHO</w:t>
      </w:r>
      <w:r w:rsidRPr="00275290">
        <w:rPr>
          <w:rFonts w:cs="Arial"/>
          <w:vertAlign w:val="subscript"/>
        </w:rPr>
        <w:t>solid</w:t>
      </w:r>
      <w:r w:rsidRPr="00275290">
        <w:rPr>
          <w:rFonts w:cs="Arial"/>
        </w:rPr>
        <w:t xml:space="preserve"> / 1000</w:t>
      </w:r>
      <w:r w:rsidRPr="00275290">
        <w:rPr>
          <w:rFonts w:cs="Arial"/>
        </w:rPr>
        <w:tab/>
        <w:t>(Eq. 24 TGD)</w:t>
      </w:r>
    </w:p>
    <w:p w14:paraId="21B6805E" w14:textId="77777777" w:rsidR="00692E71" w:rsidRPr="00275290" w:rsidRDefault="00692E71" w:rsidP="00692E71">
      <w:pPr>
        <w:rPr>
          <w:rFonts w:cs="Arial"/>
        </w:rPr>
      </w:pPr>
    </w:p>
    <w:p w14:paraId="71674A39" w14:textId="77777777" w:rsidR="00692E71" w:rsidRPr="00275290" w:rsidRDefault="00692E71" w:rsidP="00692E71">
      <w:pPr>
        <w:rPr>
          <w:rFonts w:cs="Arial"/>
        </w:rPr>
      </w:pPr>
      <w:proofErr w:type="gramStart"/>
      <w:r w:rsidRPr="00275290">
        <w:rPr>
          <w:rFonts w:cs="Arial"/>
        </w:rPr>
        <w:t>where</w:t>
      </w:r>
      <w:proofErr w:type="gramEnd"/>
      <w:r w:rsidRPr="00275290">
        <w:rPr>
          <w:rFonts w:cs="Arial"/>
        </w:rPr>
        <w:t>:</w:t>
      </w:r>
    </w:p>
    <w:p w14:paraId="22974FC4" w14:textId="77777777" w:rsidR="00692E71" w:rsidRPr="00275290" w:rsidRDefault="00692E71" w:rsidP="00692E71">
      <w:pPr>
        <w:rPr>
          <w:rFonts w:cs="Arial"/>
        </w:rPr>
      </w:pPr>
    </w:p>
    <w:p w14:paraId="21DBCAC7" w14:textId="77777777" w:rsidR="00692E71" w:rsidRPr="00275290" w:rsidRDefault="00692E71" w:rsidP="00692E71">
      <w:pPr>
        <w:rPr>
          <w:rFonts w:cs="Arial"/>
        </w:rPr>
      </w:pPr>
      <w:r w:rsidRPr="00275290">
        <w:rPr>
          <w:rFonts w:cs="Arial"/>
        </w:rPr>
        <w:t>Kp</w:t>
      </w:r>
      <w:r w:rsidRPr="00275290">
        <w:rPr>
          <w:rFonts w:cs="Arial"/>
          <w:vertAlign w:val="subscript"/>
        </w:rPr>
        <w:t>sed</w:t>
      </w:r>
      <w:r w:rsidRPr="00275290">
        <w:rPr>
          <w:rFonts w:cs="Arial"/>
        </w:rPr>
        <w:t xml:space="preserve"> = Foc</w:t>
      </w:r>
      <w:r w:rsidRPr="00275290">
        <w:rPr>
          <w:rFonts w:cs="Arial"/>
          <w:vertAlign w:val="subscript"/>
        </w:rPr>
        <w:t>sed</w:t>
      </w:r>
      <w:r w:rsidRPr="00275290">
        <w:rPr>
          <w:rFonts w:cs="Arial"/>
        </w:rPr>
        <w:t xml:space="preserve"> * Koc [L/kg]</w:t>
      </w:r>
    </w:p>
    <w:p w14:paraId="07FEED18" w14:textId="77777777" w:rsidR="00692E71" w:rsidRPr="00275290" w:rsidRDefault="00692E71" w:rsidP="00692E71">
      <w:pPr>
        <w:rPr>
          <w:rFonts w:cs="Arial"/>
        </w:rPr>
      </w:pPr>
    </w:p>
    <w:p w14:paraId="59DA590E" w14:textId="77777777" w:rsidR="00692E71" w:rsidRPr="00275290" w:rsidRDefault="00692E71" w:rsidP="00692E71">
      <w:pPr>
        <w:rPr>
          <w:rFonts w:cs="Arial"/>
        </w:rPr>
      </w:pPr>
      <w:r w:rsidRPr="00275290">
        <w:rPr>
          <w:rFonts w:cs="Arial"/>
        </w:rPr>
        <w:t>Kp</w:t>
      </w:r>
      <w:r w:rsidRPr="00275290">
        <w:rPr>
          <w:rFonts w:cs="Arial"/>
          <w:vertAlign w:val="subscript"/>
        </w:rPr>
        <w:t>susp</w:t>
      </w:r>
      <w:r w:rsidRPr="00275290">
        <w:rPr>
          <w:rFonts w:cs="Arial"/>
        </w:rPr>
        <w:t xml:space="preserve"> = Foc</w:t>
      </w:r>
      <w:r w:rsidRPr="00275290">
        <w:rPr>
          <w:rFonts w:cs="Arial"/>
          <w:vertAlign w:val="subscript"/>
        </w:rPr>
        <w:t>susp</w:t>
      </w:r>
      <w:r w:rsidRPr="00275290">
        <w:rPr>
          <w:rFonts w:cs="Arial"/>
        </w:rPr>
        <w:t xml:space="preserve"> * Koc [m</w:t>
      </w:r>
      <w:r w:rsidRPr="00275290">
        <w:rPr>
          <w:rFonts w:cs="Arial"/>
          <w:vertAlign w:val="superscript"/>
        </w:rPr>
        <w:t>3</w:t>
      </w:r>
      <w:r w:rsidRPr="00275290">
        <w:rPr>
          <w:rFonts w:cs="Arial"/>
        </w:rPr>
        <w:t>/kg]</w:t>
      </w:r>
    </w:p>
    <w:p w14:paraId="289755CA" w14:textId="77777777" w:rsidR="00692E71" w:rsidRPr="00275290" w:rsidRDefault="00692E71" w:rsidP="00692E71">
      <w:pPr>
        <w:rPr>
          <w:rFonts w:cs="Arial"/>
        </w:rPr>
      </w:pPr>
    </w:p>
    <w:p w14:paraId="50C2E8D8" w14:textId="77777777" w:rsidR="00692E71" w:rsidRPr="00275290" w:rsidRDefault="00692E71" w:rsidP="00692E71">
      <w:pPr>
        <w:rPr>
          <w:rFonts w:cs="Arial"/>
        </w:rPr>
      </w:pPr>
      <w:r w:rsidRPr="00275290">
        <w:rPr>
          <w:rFonts w:cs="Arial"/>
        </w:rPr>
        <w:t>In equation 24, the following input was used:</w:t>
      </w:r>
    </w:p>
    <w:p w14:paraId="606B84BA" w14:textId="77777777" w:rsidR="00692E71" w:rsidRPr="00275290" w:rsidRDefault="00692E71" w:rsidP="00692E71">
      <w:pPr>
        <w:rPr>
          <w:rFonts w:cs="Arial"/>
        </w:rPr>
      </w:pPr>
    </w:p>
    <w:p w14:paraId="17CFC0BE"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18</w:t>
      </w:r>
      <w:r w:rsidRPr="00275290">
        <w:rPr>
          <w:rFonts w:ascii="Verdana" w:hAnsi="Verdana"/>
        </w:rPr>
        <w:fldChar w:fldCharType="end"/>
      </w:r>
      <w:r w:rsidRPr="00275290">
        <w:rPr>
          <w:rFonts w:ascii="Verdana" w:hAnsi="Verdana"/>
        </w:rPr>
        <w:t>: Default values from TGD.</w:t>
      </w:r>
    </w:p>
    <w:tbl>
      <w:tblPr>
        <w:tblW w:w="0" w:type="auto"/>
        <w:tblInd w:w="108" w:type="dxa"/>
        <w:tblLook w:val="04A0" w:firstRow="1" w:lastRow="0" w:firstColumn="1" w:lastColumn="0" w:noHBand="0" w:noVBand="1"/>
      </w:tblPr>
      <w:tblGrid>
        <w:gridCol w:w="1838"/>
        <w:gridCol w:w="2126"/>
        <w:gridCol w:w="2127"/>
      </w:tblGrid>
      <w:tr w:rsidR="00692E71" w:rsidRPr="00275290" w14:paraId="075F2DC6" w14:textId="77777777" w:rsidTr="008E0250">
        <w:tc>
          <w:tcPr>
            <w:tcW w:w="1838" w:type="dxa"/>
            <w:shd w:val="clear" w:color="auto" w:fill="D9D9D9" w:themeFill="background1" w:themeFillShade="D9"/>
            <w:vAlign w:val="center"/>
          </w:tcPr>
          <w:p w14:paraId="18220574" w14:textId="77777777" w:rsidR="00692E71" w:rsidRPr="00275290" w:rsidRDefault="00692E71" w:rsidP="008E0250">
            <w:pPr>
              <w:rPr>
                <w:rFonts w:cs="Arial"/>
              </w:rPr>
            </w:pPr>
            <w:r w:rsidRPr="00275290">
              <w:rPr>
                <w:rFonts w:cs="Arial"/>
              </w:rPr>
              <w:t>Symbol</w:t>
            </w:r>
          </w:p>
        </w:tc>
        <w:tc>
          <w:tcPr>
            <w:tcW w:w="2126" w:type="dxa"/>
            <w:shd w:val="clear" w:color="auto" w:fill="D9D9D9" w:themeFill="background1" w:themeFillShade="D9"/>
            <w:vAlign w:val="center"/>
          </w:tcPr>
          <w:p w14:paraId="6C37F11B" w14:textId="77777777" w:rsidR="00692E71" w:rsidRPr="00275290" w:rsidRDefault="00692E71" w:rsidP="008E0250">
            <w:pPr>
              <w:jc w:val="center"/>
              <w:rPr>
                <w:rFonts w:cs="Arial"/>
              </w:rPr>
            </w:pPr>
            <w:r w:rsidRPr="00275290">
              <w:rPr>
                <w:rFonts w:cs="Arial"/>
              </w:rPr>
              <w:t>Value</w:t>
            </w:r>
          </w:p>
        </w:tc>
        <w:tc>
          <w:tcPr>
            <w:tcW w:w="2127" w:type="dxa"/>
            <w:shd w:val="clear" w:color="auto" w:fill="D9D9D9" w:themeFill="background1" w:themeFillShade="D9"/>
            <w:vAlign w:val="center"/>
          </w:tcPr>
          <w:p w14:paraId="39297AF7" w14:textId="77777777" w:rsidR="00692E71" w:rsidRPr="00275290" w:rsidRDefault="00692E71" w:rsidP="008E0250">
            <w:pPr>
              <w:jc w:val="center"/>
              <w:rPr>
                <w:rFonts w:cs="Arial"/>
              </w:rPr>
            </w:pPr>
            <w:r w:rsidRPr="00275290">
              <w:rPr>
                <w:rFonts w:cs="Arial"/>
              </w:rPr>
              <w:t>Unit</w:t>
            </w:r>
          </w:p>
        </w:tc>
      </w:tr>
      <w:tr w:rsidR="00692E71" w:rsidRPr="00275290" w14:paraId="3D59B20A" w14:textId="77777777" w:rsidTr="008E0250">
        <w:tc>
          <w:tcPr>
            <w:tcW w:w="1838" w:type="dxa"/>
            <w:vAlign w:val="center"/>
          </w:tcPr>
          <w:p w14:paraId="696BC8D0" w14:textId="77777777" w:rsidR="00692E71" w:rsidRPr="00275290" w:rsidRDefault="00692E71" w:rsidP="008E0250">
            <w:pPr>
              <w:rPr>
                <w:rFonts w:cs="Arial"/>
              </w:rPr>
            </w:pPr>
            <w:r w:rsidRPr="00275290">
              <w:rPr>
                <w:rFonts w:cs="Arial"/>
              </w:rPr>
              <w:t>F</w:t>
            </w:r>
            <w:r w:rsidRPr="00275290">
              <w:rPr>
                <w:rFonts w:cs="Arial"/>
                <w:vertAlign w:val="subscript"/>
              </w:rPr>
              <w:t>water sed</w:t>
            </w:r>
          </w:p>
        </w:tc>
        <w:tc>
          <w:tcPr>
            <w:tcW w:w="2126" w:type="dxa"/>
            <w:vAlign w:val="center"/>
          </w:tcPr>
          <w:p w14:paraId="6703C321" w14:textId="77777777" w:rsidR="00692E71" w:rsidRPr="00275290" w:rsidRDefault="00692E71" w:rsidP="008E0250">
            <w:pPr>
              <w:jc w:val="center"/>
              <w:rPr>
                <w:rFonts w:cs="Arial"/>
              </w:rPr>
            </w:pPr>
            <w:r w:rsidRPr="00275290">
              <w:rPr>
                <w:rFonts w:cs="Arial"/>
              </w:rPr>
              <w:t>0.8</w:t>
            </w:r>
          </w:p>
        </w:tc>
        <w:tc>
          <w:tcPr>
            <w:tcW w:w="2127" w:type="dxa"/>
            <w:vAlign w:val="center"/>
          </w:tcPr>
          <w:p w14:paraId="1661B497" w14:textId="77777777" w:rsidR="00692E71" w:rsidRPr="00275290" w:rsidRDefault="00692E71" w:rsidP="008E0250">
            <w:pPr>
              <w:jc w:val="center"/>
              <w:rPr>
                <w:rFonts w:cs="Arial"/>
              </w:rPr>
            </w:pPr>
            <w:r w:rsidRPr="00275290">
              <w:rPr>
                <w:rFonts w:cs="Arial"/>
              </w:rPr>
              <w:t>[m</w:t>
            </w:r>
            <w:r w:rsidRPr="00275290">
              <w:rPr>
                <w:rFonts w:cs="Arial"/>
                <w:vertAlign w:val="subscript"/>
              </w:rPr>
              <w:t>water</w:t>
            </w:r>
            <w:r w:rsidRPr="00275290">
              <w:rPr>
                <w:rFonts w:cs="Arial"/>
                <w:vertAlign w:val="superscript"/>
              </w:rPr>
              <w:t>3</w:t>
            </w:r>
            <w:r w:rsidRPr="00275290">
              <w:rPr>
                <w:rFonts w:cs="Arial"/>
              </w:rPr>
              <w:t>.m</w:t>
            </w:r>
            <w:r w:rsidRPr="00275290">
              <w:rPr>
                <w:rFonts w:cs="Arial"/>
                <w:vertAlign w:val="subscript"/>
              </w:rPr>
              <w:t>sed</w:t>
            </w:r>
            <w:r w:rsidRPr="00275290">
              <w:rPr>
                <w:rFonts w:cs="Arial"/>
                <w:vertAlign w:val="superscript"/>
              </w:rPr>
              <w:t>-3</w:t>
            </w:r>
            <w:r w:rsidRPr="00275290">
              <w:rPr>
                <w:rFonts w:cs="Arial"/>
              </w:rPr>
              <w:t>]</w:t>
            </w:r>
          </w:p>
        </w:tc>
      </w:tr>
      <w:tr w:rsidR="00692E71" w:rsidRPr="00275290" w14:paraId="50175419" w14:textId="77777777" w:rsidTr="008E0250">
        <w:tc>
          <w:tcPr>
            <w:tcW w:w="1838" w:type="dxa"/>
            <w:vAlign w:val="center"/>
          </w:tcPr>
          <w:p w14:paraId="350FF16A" w14:textId="77777777" w:rsidR="00692E71" w:rsidRPr="00275290" w:rsidRDefault="00692E71" w:rsidP="008E0250">
            <w:pPr>
              <w:rPr>
                <w:rFonts w:cs="Arial"/>
              </w:rPr>
            </w:pPr>
            <w:r w:rsidRPr="00275290">
              <w:rPr>
                <w:rFonts w:cs="Arial"/>
              </w:rPr>
              <w:t>F</w:t>
            </w:r>
            <w:r w:rsidRPr="00275290">
              <w:rPr>
                <w:rFonts w:cs="Arial"/>
                <w:vertAlign w:val="subscript"/>
              </w:rPr>
              <w:t>solid-sed</w:t>
            </w:r>
          </w:p>
        </w:tc>
        <w:tc>
          <w:tcPr>
            <w:tcW w:w="2126" w:type="dxa"/>
            <w:vAlign w:val="center"/>
          </w:tcPr>
          <w:p w14:paraId="3FAD49CC" w14:textId="77777777" w:rsidR="00692E71" w:rsidRPr="00275290" w:rsidRDefault="00692E71" w:rsidP="008E0250">
            <w:pPr>
              <w:jc w:val="center"/>
              <w:rPr>
                <w:rFonts w:cs="Arial"/>
              </w:rPr>
            </w:pPr>
            <w:r w:rsidRPr="00275290">
              <w:rPr>
                <w:rFonts w:cs="Arial"/>
              </w:rPr>
              <w:t>0.2</w:t>
            </w:r>
          </w:p>
        </w:tc>
        <w:tc>
          <w:tcPr>
            <w:tcW w:w="2127" w:type="dxa"/>
            <w:vAlign w:val="center"/>
          </w:tcPr>
          <w:p w14:paraId="75F4EC3A" w14:textId="77777777" w:rsidR="00692E71" w:rsidRPr="00275290" w:rsidRDefault="00692E71" w:rsidP="008E0250">
            <w:pPr>
              <w:jc w:val="center"/>
              <w:rPr>
                <w:rFonts w:cs="Arial"/>
              </w:rPr>
            </w:pPr>
            <w:r w:rsidRPr="00275290">
              <w:rPr>
                <w:rFonts w:cs="Arial"/>
              </w:rPr>
              <w:t>[m</w:t>
            </w:r>
            <w:r w:rsidRPr="00275290">
              <w:rPr>
                <w:rFonts w:cs="Arial"/>
                <w:vertAlign w:val="subscript"/>
              </w:rPr>
              <w:t>solid</w:t>
            </w:r>
            <w:r w:rsidRPr="00275290">
              <w:rPr>
                <w:rFonts w:cs="Arial"/>
                <w:vertAlign w:val="superscript"/>
              </w:rPr>
              <w:t>3</w:t>
            </w:r>
            <w:r w:rsidRPr="00275290">
              <w:rPr>
                <w:rFonts w:cs="Arial"/>
              </w:rPr>
              <w:t>.m</w:t>
            </w:r>
            <w:r w:rsidRPr="00275290">
              <w:rPr>
                <w:rFonts w:cs="Arial"/>
                <w:vertAlign w:val="subscript"/>
              </w:rPr>
              <w:t>sed</w:t>
            </w:r>
            <w:r w:rsidRPr="00275290">
              <w:rPr>
                <w:rFonts w:cs="Arial"/>
                <w:vertAlign w:val="superscript"/>
              </w:rPr>
              <w:t>-3</w:t>
            </w:r>
            <w:r w:rsidRPr="00275290">
              <w:rPr>
                <w:rFonts w:cs="Arial"/>
              </w:rPr>
              <w:t>]</w:t>
            </w:r>
          </w:p>
        </w:tc>
      </w:tr>
      <w:tr w:rsidR="00692E71" w:rsidRPr="00275290" w14:paraId="1C5D5312" w14:textId="77777777" w:rsidTr="008E0250">
        <w:tc>
          <w:tcPr>
            <w:tcW w:w="1838" w:type="dxa"/>
            <w:vAlign w:val="center"/>
          </w:tcPr>
          <w:p w14:paraId="2A0213A2" w14:textId="77777777" w:rsidR="00692E71" w:rsidRPr="00275290" w:rsidRDefault="00692E71" w:rsidP="008E0250">
            <w:pPr>
              <w:rPr>
                <w:rFonts w:cs="Arial"/>
              </w:rPr>
            </w:pPr>
            <w:r w:rsidRPr="00275290">
              <w:rPr>
                <w:rFonts w:cs="Arial"/>
              </w:rPr>
              <w:t>Foc</w:t>
            </w:r>
            <w:r w:rsidRPr="00275290">
              <w:rPr>
                <w:rFonts w:cs="Arial"/>
                <w:vertAlign w:val="subscript"/>
              </w:rPr>
              <w:t>sed</w:t>
            </w:r>
          </w:p>
        </w:tc>
        <w:tc>
          <w:tcPr>
            <w:tcW w:w="2126" w:type="dxa"/>
            <w:vAlign w:val="center"/>
          </w:tcPr>
          <w:p w14:paraId="2CB7EB72" w14:textId="77777777" w:rsidR="00692E71" w:rsidRPr="00275290" w:rsidRDefault="00692E71" w:rsidP="008E0250">
            <w:pPr>
              <w:jc w:val="center"/>
              <w:rPr>
                <w:rFonts w:cs="Arial"/>
              </w:rPr>
            </w:pPr>
            <w:r w:rsidRPr="00275290">
              <w:rPr>
                <w:rFonts w:cs="Arial"/>
              </w:rPr>
              <w:t>0.05</w:t>
            </w:r>
          </w:p>
        </w:tc>
        <w:tc>
          <w:tcPr>
            <w:tcW w:w="2127" w:type="dxa"/>
            <w:vAlign w:val="center"/>
          </w:tcPr>
          <w:p w14:paraId="26D033BB" w14:textId="77777777" w:rsidR="00692E71" w:rsidRPr="00275290" w:rsidRDefault="00692E71" w:rsidP="008E0250">
            <w:pPr>
              <w:jc w:val="center"/>
              <w:rPr>
                <w:rFonts w:cs="Arial"/>
              </w:rPr>
            </w:pPr>
            <w:r w:rsidRPr="00275290">
              <w:rPr>
                <w:rFonts w:cs="Arial"/>
              </w:rPr>
              <w:t>[kg/kg]</w:t>
            </w:r>
          </w:p>
        </w:tc>
      </w:tr>
      <w:tr w:rsidR="00692E71" w:rsidRPr="00275290" w14:paraId="59719E4D" w14:textId="77777777" w:rsidTr="008E0250">
        <w:tc>
          <w:tcPr>
            <w:tcW w:w="1838" w:type="dxa"/>
            <w:vAlign w:val="center"/>
          </w:tcPr>
          <w:p w14:paraId="43488D9D" w14:textId="77777777" w:rsidR="00692E71" w:rsidRPr="00275290" w:rsidRDefault="00692E71" w:rsidP="008E0250">
            <w:pPr>
              <w:rPr>
                <w:rFonts w:cs="Arial"/>
              </w:rPr>
            </w:pPr>
            <w:r w:rsidRPr="00275290">
              <w:rPr>
                <w:rFonts w:cs="Arial"/>
              </w:rPr>
              <w:t>Foc</w:t>
            </w:r>
            <w:r w:rsidRPr="00275290">
              <w:rPr>
                <w:rFonts w:cs="Arial"/>
                <w:vertAlign w:val="subscript"/>
              </w:rPr>
              <w:t>susp</w:t>
            </w:r>
          </w:p>
        </w:tc>
        <w:tc>
          <w:tcPr>
            <w:tcW w:w="2126" w:type="dxa"/>
            <w:vAlign w:val="center"/>
          </w:tcPr>
          <w:p w14:paraId="516DA317" w14:textId="77777777" w:rsidR="00692E71" w:rsidRPr="00275290" w:rsidRDefault="00692E71" w:rsidP="008E0250">
            <w:pPr>
              <w:jc w:val="center"/>
              <w:rPr>
                <w:rFonts w:cs="Arial"/>
              </w:rPr>
            </w:pPr>
            <w:r w:rsidRPr="00275290">
              <w:rPr>
                <w:rFonts w:cs="Arial"/>
              </w:rPr>
              <w:t>0.1</w:t>
            </w:r>
          </w:p>
        </w:tc>
        <w:tc>
          <w:tcPr>
            <w:tcW w:w="2127" w:type="dxa"/>
            <w:vAlign w:val="center"/>
          </w:tcPr>
          <w:p w14:paraId="76168823" w14:textId="77777777" w:rsidR="00692E71" w:rsidRPr="00275290" w:rsidRDefault="00692E71" w:rsidP="008E0250">
            <w:pPr>
              <w:jc w:val="center"/>
              <w:rPr>
                <w:rFonts w:cs="Arial"/>
              </w:rPr>
            </w:pPr>
            <w:r w:rsidRPr="00275290">
              <w:rPr>
                <w:rFonts w:cs="Arial"/>
              </w:rPr>
              <w:t>[kg/kg]</w:t>
            </w:r>
          </w:p>
        </w:tc>
      </w:tr>
      <w:tr w:rsidR="00692E71" w:rsidRPr="00275290" w14:paraId="40EB21DC" w14:textId="77777777" w:rsidTr="008E0250">
        <w:tc>
          <w:tcPr>
            <w:tcW w:w="1838" w:type="dxa"/>
            <w:vAlign w:val="center"/>
          </w:tcPr>
          <w:p w14:paraId="76D2C5EA" w14:textId="77777777" w:rsidR="00692E71" w:rsidRPr="00275290" w:rsidRDefault="00692E71" w:rsidP="008E0250">
            <w:pPr>
              <w:rPr>
                <w:rFonts w:cs="Arial"/>
              </w:rPr>
            </w:pPr>
            <w:r w:rsidRPr="00275290">
              <w:rPr>
                <w:rFonts w:cs="Arial"/>
              </w:rPr>
              <w:t>Koc</w:t>
            </w:r>
          </w:p>
        </w:tc>
        <w:tc>
          <w:tcPr>
            <w:tcW w:w="2126" w:type="dxa"/>
            <w:vAlign w:val="center"/>
          </w:tcPr>
          <w:p w14:paraId="0EFF88F6" w14:textId="77777777" w:rsidR="00692E71" w:rsidRPr="00275290" w:rsidRDefault="00692E71" w:rsidP="008E0250">
            <w:pPr>
              <w:jc w:val="center"/>
              <w:rPr>
                <w:rFonts w:cs="Arial"/>
              </w:rPr>
            </w:pPr>
            <w:r w:rsidRPr="00275290">
              <w:rPr>
                <w:rFonts w:cs="Arial"/>
              </w:rPr>
              <w:t>126</w:t>
            </w:r>
          </w:p>
        </w:tc>
        <w:tc>
          <w:tcPr>
            <w:tcW w:w="2127" w:type="dxa"/>
            <w:vAlign w:val="center"/>
          </w:tcPr>
          <w:p w14:paraId="7C360F05" w14:textId="77777777" w:rsidR="00692E71" w:rsidRPr="00275290" w:rsidRDefault="00692E71" w:rsidP="008E0250">
            <w:pPr>
              <w:jc w:val="center"/>
              <w:rPr>
                <w:rFonts w:cs="Arial"/>
              </w:rPr>
            </w:pPr>
            <w:r w:rsidRPr="00275290">
              <w:rPr>
                <w:rFonts w:cs="Arial"/>
              </w:rPr>
              <w:t>[L/kg]</w:t>
            </w:r>
          </w:p>
        </w:tc>
      </w:tr>
      <w:tr w:rsidR="00692E71" w:rsidRPr="00275290" w14:paraId="35B7F1C3" w14:textId="77777777" w:rsidTr="008E0250">
        <w:tc>
          <w:tcPr>
            <w:tcW w:w="1838" w:type="dxa"/>
            <w:vAlign w:val="center"/>
          </w:tcPr>
          <w:p w14:paraId="177ED642" w14:textId="77777777" w:rsidR="00692E71" w:rsidRPr="00275290" w:rsidRDefault="00692E71" w:rsidP="008E0250">
            <w:pPr>
              <w:rPr>
                <w:rFonts w:cs="Arial"/>
              </w:rPr>
            </w:pPr>
            <w:r w:rsidRPr="00275290">
              <w:rPr>
                <w:rFonts w:cs="Arial"/>
              </w:rPr>
              <w:t>RHO</w:t>
            </w:r>
            <w:r w:rsidRPr="00275290">
              <w:rPr>
                <w:rFonts w:cs="Arial"/>
                <w:vertAlign w:val="subscript"/>
              </w:rPr>
              <w:t>solid</w:t>
            </w:r>
          </w:p>
        </w:tc>
        <w:tc>
          <w:tcPr>
            <w:tcW w:w="2126" w:type="dxa"/>
            <w:vAlign w:val="center"/>
          </w:tcPr>
          <w:p w14:paraId="77EE5393" w14:textId="77777777" w:rsidR="00692E71" w:rsidRPr="00275290" w:rsidRDefault="00692E71" w:rsidP="008E0250">
            <w:pPr>
              <w:jc w:val="center"/>
              <w:rPr>
                <w:rFonts w:cs="Arial"/>
              </w:rPr>
            </w:pPr>
            <w:r w:rsidRPr="00275290">
              <w:rPr>
                <w:rFonts w:cs="Arial"/>
              </w:rPr>
              <w:t>2500</w:t>
            </w:r>
          </w:p>
        </w:tc>
        <w:tc>
          <w:tcPr>
            <w:tcW w:w="2127" w:type="dxa"/>
            <w:vAlign w:val="center"/>
          </w:tcPr>
          <w:p w14:paraId="0D09380D" w14:textId="77777777" w:rsidR="00692E71" w:rsidRPr="00275290" w:rsidRDefault="00692E71" w:rsidP="008E0250">
            <w:pPr>
              <w:jc w:val="center"/>
              <w:rPr>
                <w:rFonts w:cs="Arial"/>
              </w:rPr>
            </w:pPr>
            <w:r w:rsidRPr="00275290">
              <w:rPr>
                <w:rFonts w:cs="Arial"/>
              </w:rPr>
              <w:t>[kg</w:t>
            </w:r>
            <w:r w:rsidRPr="00275290">
              <w:rPr>
                <w:rFonts w:cs="Arial"/>
                <w:vertAlign w:val="subscript"/>
              </w:rPr>
              <w:t>solid</w:t>
            </w:r>
            <w:r w:rsidRPr="00275290">
              <w:rPr>
                <w:rFonts w:cs="Arial"/>
              </w:rPr>
              <w:t>.m</w:t>
            </w:r>
            <w:r w:rsidRPr="00275290">
              <w:rPr>
                <w:rFonts w:cs="Arial"/>
                <w:vertAlign w:val="subscript"/>
              </w:rPr>
              <w:t>solid</w:t>
            </w:r>
            <w:r w:rsidRPr="00275290">
              <w:rPr>
                <w:rFonts w:cs="Arial"/>
                <w:vertAlign w:val="superscript"/>
              </w:rPr>
              <w:t>-3</w:t>
            </w:r>
            <w:r w:rsidRPr="00275290">
              <w:rPr>
                <w:rFonts w:cs="Arial"/>
              </w:rPr>
              <w:t>]</w:t>
            </w:r>
          </w:p>
        </w:tc>
      </w:tr>
    </w:tbl>
    <w:p w14:paraId="6CC291AA" w14:textId="77777777" w:rsidR="00692E71" w:rsidRPr="00275290" w:rsidRDefault="00692E71" w:rsidP="00692E71">
      <w:pPr>
        <w:rPr>
          <w:rFonts w:cs="Arial"/>
        </w:rPr>
      </w:pPr>
    </w:p>
    <w:p w14:paraId="7F5B2010" w14:textId="77777777" w:rsidR="00692E71" w:rsidRPr="00275290" w:rsidRDefault="00692E71" w:rsidP="00692E71">
      <w:pPr>
        <w:rPr>
          <w:rFonts w:cs="Arial"/>
        </w:rPr>
      </w:pPr>
      <w:r w:rsidRPr="00275290">
        <w:rPr>
          <w:rFonts w:cs="Arial"/>
        </w:rPr>
        <w:t>Using IPBC as an example:</w:t>
      </w:r>
    </w:p>
    <w:p w14:paraId="65EA0903" w14:textId="77777777" w:rsidR="00692E71" w:rsidRPr="00275290" w:rsidRDefault="00692E71" w:rsidP="00692E71">
      <w:pPr>
        <w:rPr>
          <w:rFonts w:cs="Arial"/>
        </w:rPr>
      </w:pPr>
    </w:p>
    <w:p w14:paraId="5E689406" w14:textId="77777777" w:rsidR="00692E71" w:rsidRPr="00275290" w:rsidRDefault="00692E71" w:rsidP="00692E71">
      <w:pPr>
        <w:rPr>
          <w:rFonts w:cs="Arial"/>
        </w:rPr>
      </w:pPr>
      <w:r w:rsidRPr="00275290">
        <w:rPr>
          <w:rFonts w:cs="Arial"/>
        </w:rPr>
        <w:t>K</w:t>
      </w:r>
      <w:r w:rsidRPr="00275290">
        <w:rPr>
          <w:rFonts w:cs="Arial"/>
          <w:vertAlign w:val="subscript"/>
        </w:rPr>
        <w:t>sed-water</w:t>
      </w:r>
      <w:r w:rsidRPr="00275290">
        <w:rPr>
          <w:rFonts w:cs="Arial"/>
        </w:rPr>
        <w:t xml:space="preserve"> = 0.8 + 0.2 * 0.05 * 126 * 2500 / 1000</w:t>
      </w:r>
    </w:p>
    <w:p w14:paraId="6D03A582" w14:textId="77777777" w:rsidR="00692E71" w:rsidRPr="00275290" w:rsidRDefault="00692E71" w:rsidP="00692E71">
      <w:pPr>
        <w:rPr>
          <w:rFonts w:cs="Arial"/>
        </w:rPr>
      </w:pPr>
      <w:r w:rsidRPr="00275290">
        <w:rPr>
          <w:rFonts w:cs="Arial"/>
        </w:rPr>
        <w:t>K</w:t>
      </w:r>
      <w:r w:rsidRPr="00275290">
        <w:rPr>
          <w:rFonts w:cs="Arial"/>
          <w:vertAlign w:val="subscript"/>
        </w:rPr>
        <w:t>sed-water</w:t>
      </w:r>
      <w:r w:rsidRPr="00275290">
        <w:rPr>
          <w:rFonts w:cs="Arial"/>
        </w:rPr>
        <w:t xml:space="preserve"> = 3.95 [m</w:t>
      </w:r>
      <w:r w:rsidRPr="00275290">
        <w:rPr>
          <w:rFonts w:cs="Arial"/>
          <w:vertAlign w:val="superscript"/>
        </w:rPr>
        <w:t>3</w:t>
      </w:r>
      <w:r w:rsidRPr="00275290">
        <w:rPr>
          <w:rFonts w:cs="Arial"/>
        </w:rPr>
        <w:t>/m</w:t>
      </w:r>
      <w:r w:rsidRPr="00275290">
        <w:rPr>
          <w:rFonts w:cs="Arial"/>
          <w:vertAlign w:val="superscript"/>
        </w:rPr>
        <w:t>3</w:t>
      </w:r>
      <w:r w:rsidRPr="00275290">
        <w:rPr>
          <w:rFonts w:cs="Arial"/>
        </w:rPr>
        <w:t>]</w:t>
      </w:r>
    </w:p>
    <w:p w14:paraId="3FF16BAE" w14:textId="77777777" w:rsidR="00692E71" w:rsidRPr="00275290" w:rsidRDefault="00692E71" w:rsidP="00692E71">
      <w:pPr>
        <w:rPr>
          <w:rFonts w:cs="Arial"/>
        </w:rPr>
      </w:pPr>
    </w:p>
    <w:p w14:paraId="2BBCCB01" w14:textId="77777777" w:rsidR="00692E71" w:rsidRPr="00275290" w:rsidRDefault="00692E71" w:rsidP="00692E71">
      <w:pPr>
        <w:rPr>
          <w:rFonts w:cs="Arial"/>
        </w:rPr>
      </w:pPr>
      <w:r w:rsidRPr="00275290">
        <w:rPr>
          <w:rFonts w:cs="Arial"/>
          <w:i/>
        </w:rPr>
        <w:t>k</w:t>
      </w:r>
      <w:r w:rsidRPr="00275290">
        <w:rPr>
          <w:rFonts w:cs="Arial"/>
        </w:rPr>
        <w:t xml:space="preserve"> = ln2 / DT</w:t>
      </w:r>
      <w:r w:rsidRPr="00275290">
        <w:rPr>
          <w:rFonts w:cs="Arial"/>
          <w:vertAlign w:val="subscript"/>
        </w:rPr>
        <w:t>50 water</w:t>
      </w:r>
    </w:p>
    <w:p w14:paraId="04C4A236" w14:textId="77777777" w:rsidR="00692E71" w:rsidRPr="00275290" w:rsidRDefault="00692E71" w:rsidP="00692E71">
      <w:pPr>
        <w:rPr>
          <w:rFonts w:cs="Arial"/>
        </w:rPr>
      </w:pPr>
    </w:p>
    <w:p w14:paraId="068F919E" w14:textId="77777777" w:rsidR="00692E71" w:rsidRPr="00275290" w:rsidRDefault="00692E71" w:rsidP="00692E71">
      <w:pPr>
        <w:rPr>
          <w:rFonts w:cs="Arial"/>
        </w:rPr>
      </w:pPr>
      <w:r w:rsidRPr="00275290">
        <w:rPr>
          <w:rFonts w:cs="Arial"/>
          <w:i/>
        </w:rPr>
        <w:t>Clocal</w:t>
      </w:r>
      <w:r w:rsidRPr="00275290">
        <w:rPr>
          <w:rFonts w:cs="Arial"/>
          <w:i/>
          <w:vertAlign w:val="subscript"/>
        </w:rPr>
        <w:t>diss</w:t>
      </w:r>
      <w:proofErr w:type="gramStart"/>
      <w:r w:rsidRPr="00275290">
        <w:rPr>
          <w:rFonts w:cs="Arial"/>
          <w:i/>
          <w:vertAlign w:val="subscript"/>
        </w:rPr>
        <w:t>,time1</w:t>
      </w:r>
      <w:proofErr w:type="gramEnd"/>
      <w:r w:rsidRPr="00275290">
        <w:rPr>
          <w:rFonts w:cs="Arial"/>
        </w:rPr>
        <w:t xml:space="preserve"> = (((1.6810</w:t>
      </w:r>
      <w:r w:rsidRPr="00275290">
        <w:rPr>
          <w:rFonts w:cs="Arial"/>
          <w:vertAlign w:val="superscript"/>
        </w:rPr>
        <w:t>-6</w:t>
      </w:r>
      <w:r w:rsidRPr="00275290">
        <w:rPr>
          <w:rFonts w:cs="Arial"/>
        </w:rPr>
        <w:t xml:space="preserve"> / (1000 + 3.95*1.5)) * (1/5.3663) * (1 /(1 + (12.6*10</w:t>
      </w:r>
      <w:r w:rsidRPr="00275290">
        <w:rPr>
          <w:rFonts w:cs="Arial"/>
          <w:vertAlign w:val="superscript"/>
        </w:rPr>
        <w:t>3</w:t>
      </w:r>
      <w:r w:rsidRPr="00275290">
        <w:rPr>
          <w:rFonts w:cs="Arial"/>
        </w:rPr>
        <w:t xml:space="preserve"> * 15*10</w:t>
      </w:r>
      <w:r w:rsidRPr="00275290">
        <w:rPr>
          <w:rFonts w:cs="Arial"/>
          <w:vertAlign w:val="superscript"/>
        </w:rPr>
        <w:t>-3</w:t>
      </w:r>
      <w:r w:rsidRPr="00275290">
        <w:rPr>
          <w:rFonts w:cs="Arial"/>
        </w:rPr>
        <w:t>)) * (1 - ((1 - e</w:t>
      </w:r>
      <w:r w:rsidRPr="00275290">
        <w:rPr>
          <w:rFonts w:cs="Arial"/>
          <w:vertAlign w:val="superscript"/>
        </w:rPr>
        <w:t>-30*5.3663</w:t>
      </w:r>
      <w:r w:rsidRPr="00275290">
        <w:rPr>
          <w:rFonts w:cs="Arial"/>
        </w:rPr>
        <w:t>)/(5.3663*30))</w:t>
      </w:r>
    </w:p>
    <w:p w14:paraId="4CD1FD04" w14:textId="77777777" w:rsidR="00692E71" w:rsidRPr="00275290" w:rsidRDefault="00692E71" w:rsidP="00692E71">
      <w:pPr>
        <w:rPr>
          <w:rFonts w:cs="Arial"/>
        </w:rPr>
      </w:pPr>
      <w:r w:rsidRPr="00275290">
        <w:rPr>
          <w:rFonts w:cs="Arial"/>
          <w:i/>
        </w:rPr>
        <w:t>Clocal</w:t>
      </w:r>
      <w:r w:rsidRPr="00275290">
        <w:rPr>
          <w:rFonts w:cs="Arial"/>
          <w:i/>
          <w:vertAlign w:val="subscript"/>
        </w:rPr>
        <w:t>diss</w:t>
      </w:r>
      <w:proofErr w:type="gramStart"/>
      <w:r w:rsidRPr="00275290">
        <w:rPr>
          <w:rFonts w:cs="Arial"/>
          <w:i/>
          <w:vertAlign w:val="subscript"/>
        </w:rPr>
        <w:t>,time1</w:t>
      </w:r>
      <w:proofErr w:type="gramEnd"/>
      <w:r w:rsidRPr="00275290">
        <w:rPr>
          <w:rFonts w:cs="Arial"/>
        </w:rPr>
        <w:t xml:space="preserve"> = 3.1*10</w:t>
      </w:r>
      <w:r w:rsidRPr="00275290">
        <w:rPr>
          <w:rFonts w:cs="Arial"/>
          <w:vertAlign w:val="superscript"/>
        </w:rPr>
        <w:t xml:space="preserve">-4 </w:t>
      </w:r>
      <w:r w:rsidRPr="00275290">
        <w:rPr>
          <w:rFonts w:cs="Arial"/>
        </w:rPr>
        <w:t>[µg/L</w:t>
      </w:r>
      <w:r w:rsidRPr="00275290">
        <w:rPr>
          <w:rFonts w:cs="Arial"/>
          <w:vertAlign w:val="superscript"/>
        </w:rPr>
        <w:t>-1</w:t>
      </w:r>
      <w:r w:rsidRPr="00275290">
        <w:rPr>
          <w:rFonts w:cs="Arial"/>
        </w:rPr>
        <w:t>]</w:t>
      </w:r>
    </w:p>
    <w:p w14:paraId="2EE45926" w14:textId="77777777" w:rsidR="00692E71" w:rsidRPr="00275290" w:rsidRDefault="00692E71" w:rsidP="00692E71">
      <w:pPr>
        <w:rPr>
          <w:rFonts w:cs="Arial"/>
        </w:rPr>
      </w:pPr>
    </w:p>
    <w:p w14:paraId="093CC05A" w14:textId="77777777" w:rsidR="00692E71" w:rsidRPr="00275290" w:rsidRDefault="00692E71" w:rsidP="00692E71">
      <w:pPr>
        <w:rPr>
          <w:rFonts w:cs="Arial"/>
          <w:u w:val="single"/>
        </w:rPr>
      </w:pPr>
      <w:r w:rsidRPr="00275290">
        <w:rPr>
          <w:rFonts w:cs="Arial"/>
          <w:u w:val="single"/>
        </w:rPr>
        <w:t>* Combined concentrations in sediment</w:t>
      </w:r>
    </w:p>
    <w:p w14:paraId="7AAC0359" w14:textId="77777777" w:rsidR="00692E71" w:rsidRPr="00275290" w:rsidRDefault="00692E71" w:rsidP="00692E71">
      <w:pPr>
        <w:rPr>
          <w:rFonts w:cs="Arial"/>
        </w:rPr>
      </w:pPr>
    </w:p>
    <w:p w14:paraId="3409788D" w14:textId="77777777" w:rsidR="00692E71" w:rsidRPr="00275290" w:rsidRDefault="00692E71" w:rsidP="00692E71">
      <w:pPr>
        <w:rPr>
          <w:rFonts w:cs="Arial"/>
        </w:rPr>
      </w:pPr>
      <w:r w:rsidRPr="00275290">
        <w:rPr>
          <w:rFonts w:cs="Arial"/>
        </w:rPr>
        <w:t>The combined concentrations in sediment were calculated according to the equilibrium partitioning method, based on formulas 18, 24 and 50 in the Technical Guidance Document on Risk Assessment (TGD):</w:t>
      </w:r>
    </w:p>
    <w:p w14:paraId="6A627F94" w14:textId="77777777" w:rsidR="00692E71" w:rsidRPr="00275290" w:rsidRDefault="00692E71" w:rsidP="00692E71">
      <w:pPr>
        <w:rPr>
          <w:rFonts w:cs="Arial"/>
        </w:rPr>
      </w:pPr>
    </w:p>
    <w:p w14:paraId="5FC5401C" w14:textId="77777777" w:rsidR="00692E71" w:rsidRPr="00275290" w:rsidRDefault="00692E71" w:rsidP="00692E71">
      <w:pPr>
        <w:rPr>
          <w:rFonts w:cs="Arial"/>
        </w:rPr>
      </w:pPr>
      <w:r w:rsidRPr="00275290">
        <w:rPr>
          <w:rFonts w:cs="Arial"/>
        </w:rPr>
        <w:lastRenderedPageBreak/>
        <w:t>Clocal</w:t>
      </w:r>
      <w:r w:rsidRPr="00275290">
        <w:rPr>
          <w:rFonts w:cs="Arial"/>
          <w:vertAlign w:val="subscript"/>
        </w:rPr>
        <w:t>sed</w:t>
      </w:r>
      <w:proofErr w:type="gramStart"/>
      <w:r w:rsidRPr="00275290">
        <w:rPr>
          <w:rFonts w:cs="Arial"/>
          <w:vertAlign w:val="subscript"/>
        </w:rPr>
        <w:t>,total</w:t>
      </w:r>
      <w:proofErr w:type="gramEnd"/>
      <w:r w:rsidRPr="00275290">
        <w:rPr>
          <w:rFonts w:cs="Arial"/>
          <w:vertAlign w:val="subscript"/>
        </w:rPr>
        <w:t xml:space="preserve">, </w:t>
      </w:r>
      <w:r w:rsidRPr="00275290">
        <w:rPr>
          <w:rFonts w:cs="Arial"/>
          <w:iCs/>
          <w:vertAlign w:val="subscript"/>
        </w:rPr>
        <w:t xml:space="preserve">time1 </w:t>
      </w:r>
      <w:r w:rsidRPr="00275290">
        <w:rPr>
          <w:rFonts w:cs="Arial"/>
          <w:iCs/>
        </w:rPr>
        <w:t xml:space="preserve">= </w:t>
      </w:r>
      <w:r w:rsidRPr="00275290">
        <w:rPr>
          <w:rFonts w:cs="Arial"/>
          <w:i/>
          <w:iCs/>
        </w:rPr>
        <w:t>K</w:t>
      </w:r>
      <w:r w:rsidRPr="00275290">
        <w:rPr>
          <w:rFonts w:cs="Arial"/>
          <w:iCs/>
          <w:vertAlign w:val="subscript"/>
        </w:rPr>
        <w:t>susp-water</w:t>
      </w:r>
      <w:r w:rsidRPr="00275290">
        <w:rPr>
          <w:rFonts w:cs="Arial"/>
          <w:iCs/>
        </w:rPr>
        <w:t xml:space="preserve"> * </w:t>
      </w:r>
      <w:r w:rsidRPr="00275290">
        <w:rPr>
          <w:rFonts w:cs="Arial"/>
        </w:rPr>
        <w:t>Clocal</w:t>
      </w:r>
      <w:r w:rsidRPr="00275290">
        <w:rPr>
          <w:rFonts w:cs="Arial"/>
          <w:vertAlign w:val="subscript"/>
        </w:rPr>
        <w:t xml:space="preserve">water,total, </w:t>
      </w:r>
      <w:r w:rsidRPr="00275290">
        <w:rPr>
          <w:rFonts w:cs="Arial"/>
          <w:iCs/>
          <w:vertAlign w:val="subscript"/>
        </w:rPr>
        <w:t xml:space="preserve">time1 </w:t>
      </w:r>
      <w:r w:rsidRPr="00275290">
        <w:rPr>
          <w:rFonts w:cs="Arial"/>
          <w:iCs/>
        </w:rPr>
        <w:t>* 1000 / RHO</w:t>
      </w:r>
      <w:r w:rsidRPr="00275290">
        <w:rPr>
          <w:rFonts w:cs="Arial"/>
          <w:iCs/>
          <w:vertAlign w:val="subscript"/>
        </w:rPr>
        <w:t>susp</w:t>
      </w:r>
      <w:r w:rsidRPr="00275290">
        <w:rPr>
          <w:rFonts w:cs="Arial"/>
          <w:iCs/>
          <w:vertAlign w:val="subscript"/>
        </w:rPr>
        <w:tab/>
      </w:r>
      <w:r w:rsidRPr="00275290">
        <w:rPr>
          <w:rFonts w:cs="Arial"/>
          <w:iCs/>
          <w:vertAlign w:val="subscript"/>
        </w:rPr>
        <w:tab/>
      </w:r>
      <w:r w:rsidRPr="00275290">
        <w:rPr>
          <w:rFonts w:cs="Arial"/>
          <w:iCs/>
          <w:vertAlign w:val="subscript"/>
        </w:rPr>
        <w:tab/>
        <w:t xml:space="preserve"> </w:t>
      </w:r>
      <w:r w:rsidRPr="00275290">
        <w:rPr>
          <w:rFonts w:cs="Arial"/>
          <w:iCs/>
        </w:rPr>
        <w:t>(Eq. 50)</w:t>
      </w:r>
    </w:p>
    <w:p w14:paraId="2D3948DE" w14:textId="77777777" w:rsidR="00692E71" w:rsidRPr="00275290" w:rsidRDefault="00692E71" w:rsidP="00692E71">
      <w:pPr>
        <w:rPr>
          <w:rFonts w:cs="Arial"/>
        </w:rPr>
      </w:pPr>
    </w:p>
    <w:p w14:paraId="09AD2632" w14:textId="77777777" w:rsidR="00692E71" w:rsidRPr="00275290" w:rsidRDefault="00692E71" w:rsidP="00692E71">
      <w:pPr>
        <w:rPr>
          <w:rFonts w:cs="Arial"/>
        </w:rPr>
      </w:pPr>
      <w:proofErr w:type="gramStart"/>
      <w:r w:rsidRPr="00275290">
        <w:rPr>
          <w:rFonts w:cs="Arial"/>
        </w:rPr>
        <w:t>where</w:t>
      </w:r>
      <w:proofErr w:type="gramEnd"/>
      <w:r w:rsidRPr="00275290">
        <w:rPr>
          <w:rFonts w:cs="Arial"/>
        </w:rPr>
        <w:t>:</w:t>
      </w:r>
    </w:p>
    <w:p w14:paraId="529F12D2" w14:textId="77777777" w:rsidR="00692E71" w:rsidRPr="00275290" w:rsidRDefault="00692E71" w:rsidP="00692E71">
      <w:pPr>
        <w:rPr>
          <w:rFonts w:cs="Arial"/>
        </w:rPr>
      </w:pPr>
      <w:r w:rsidRPr="00275290">
        <w:rPr>
          <w:rFonts w:cs="Arial"/>
        </w:rPr>
        <w:t>K</w:t>
      </w:r>
      <w:r w:rsidRPr="00275290">
        <w:rPr>
          <w:rFonts w:cs="Arial"/>
          <w:vertAlign w:val="subscript"/>
        </w:rPr>
        <w:t>susp-water</w:t>
      </w:r>
      <w:r w:rsidRPr="00275290">
        <w:rPr>
          <w:rFonts w:cs="Arial"/>
        </w:rPr>
        <w:t xml:space="preserve"> = Fair</w:t>
      </w:r>
      <w:r w:rsidRPr="00275290">
        <w:rPr>
          <w:rFonts w:cs="Arial"/>
          <w:vertAlign w:val="subscript"/>
        </w:rPr>
        <w:t>susp</w:t>
      </w:r>
      <w:r w:rsidRPr="00275290">
        <w:rPr>
          <w:rFonts w:cs="Arial"/>
        </w:rPr>
        <w:t xml:space="preserve"> * K</w:t>
      </w:r>
      <w:r w:rsidRPr="00275290">
        <w:rPr>
          <w:rFonts w:cs="Arial"/>
          <w:vertAlign w:val="subscript"/>
        </w:rPr>
        <w:t xml:space="preserve">air-water </w:t>
      </w:r>
      <w:r w:rsidRPr="00275290">
        <w:rPr>
          <w:rFonts w:cs="Arial"/>
        </w:rPr>
        <w:t>+ F</w:t>
      </w:r>
      <w:r w:rsidRPr="00275290">
        <w:rPr>
          <w:rFonts w:cs="Arial"/>
          <w:vertAlign w:val="subscript"/>
        </w:rPr>
        <w:t xml:space="preserve">water susp </w:t>
      </w:r>
      <w:r w:rsidRPr="00275290">
        <w:rPr>
          <w:rFonts w:cs="Arial"/>
        </w:rPr>
        <w:t>+ Fsolid</w:t>
      </w:r>
      <w:r w:rsidRPr="00275290">
        <w:rPr>
          <w:rFonts w:cs="Arial"/>
          <w:vertAlign w:val="subscript"/>
        </w:rPr>
        <w:t>susp</w:t>
      </w:r>
      <w:r w:rsidRPr="00275290">
        <w:rPr>
          <w:rFonts w:cs="Arial"/>
        </w:rPr>
        <w:t xml:space="preserve"> * Kp</w:t>
      </w:r>
      <w:r w:rsidRPr="00275290">
        <w:rPr>
          <w:rFonts w:cs="Arial"/>
          <w:vertAlign w:val="subscript"/>
        </w:rPr>
        <w:t>susp</w:t>
      </w:r>
      <w:r w:rsidRPr="00275290">
        <w:rPr>
          <w:rFonts w:cs="Arial"/>
        </w:rPr>
        <w:t xml:space="preserve"> * RHO</w:t>
      </w:r>
      <w:r w:rsidRPr="00275290">
        <w:rPr>
          <w:rFonts w:cs="Arial"/>
          <w:vertAlign w:val="subscript"/>
        </w:rPr>
        <w:t>solid</w:t>
      </w:r>
      <w:r w:rsidRPr="00275290">
        <w:rPr>
          <w:rFonts w:cs="Arial"/>
        </w:rPr>
        <w:t xml:space="preserve"> / 1000 </w:t>
      </w:r>
      <w:r w:rsidRPr="00275290">
        <w:rPr>
          <w:rFonts w:cs="Arial"/>
        </w:rPr>
        <w:tab/>
        <w:t>(Eq. 24)</w:t>
      </w:r>
    </w:p>
    <w:p w14:paraId="3BA1E725" w14:textId="77777777" w:rsidR="00692E71" w:rsidRPr="00275290" w:rsidRDefault="00692E71" w:rsidP="00692E71">
      <w:pPr>
        <w:rPr>
          <w:rFonts w:cs="Arial"/>
        </w:rPr>
      </w:pPr>
    </w:p>
    <w:p w14:paraId="4D2D3CA6" w14:textId="77777777" w:rsidR="00692E71" w:rsidRPr="00275290" w:rsidRDefault="00692E71" w:rsidP="00692E71">
      <w:pPr>
        <w:rPr>
          <w:rFonts w:cs="Arial"/>
        </w:rPr>
      </w:pPr>
      <w:r w:rsidRPr="00275290">
        <w:rPr>
          <w:rFonts w:cs="Arial"/>
        </w:rPr>
        <w:t>In equation 24 the following input were used:</w:t>
      </w:r>
    </w:p>
    <w:p w14:paraId="5B7C8DB6" w14:textId="77777777" w:rsidR="00692E71" w:rsidRPr="00275290" w:rsidRDefault="00692E71" w:rsidP="00692E71">
      <w:pPr>
        <w:rPr>
          <w:rFonts w:cs="Arial"/>
        </w:rPr>
      </w:pPr>
    </w:p>
    <w:p w14:paraId="54555E0D"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19</w:t>
      </w:r>
      <w:r w:rsidRPr="00275290">
        <w:rPr>
          <w:rFonts w:ascii="Verdana" w:hAnsi="Verdana"/>
        </w:rPr>
        <w:fldChar w:fldCharType="end"/>
      </w:r>
      <w:r w:rsidRPr="00275290">
        <w:rPr>
          <w:rFonts w:ascii="Verdana" w:hAnsi="Verdana"/>
        </w:rPr>
        <w:t>: Default values from TGD.</w:t>
      </w:r>
    </w:p>
    <w:tbl>
      <w:tblPr>
        <w:tblW w:w="0" w:type="auto"/>
        <w:tblInd w:w="108" w:type="dxa"/>
        <w:tblLook w:val="04A0" w:firstRow="1" w:lastRow="0" w:firstColumn="1" w:lastColumn="0" w:noHBand="0" w:noVBand="1"/>
      </w:tblPr>
      <w:tblGrid>
        <w:gridCol w:w="1838"/>
        <w:gridCol w:w="2126"/>
        <w:gridCol w:w="2127"/>
      </w:tblGrid>
      <w:tr w:rsidR="00692E71" w:rsidRPr="00275290" w14:paraId="24A5B6D0" w14:textId="77777777" w:rsidTr="008E0250">
        <w:tc>
          <w:tcPr>
            <w:tcW w:w="1838" w:type="dxa"/>
            <w:shd w:val="clear" w:color="auto" w:fill="D9D9D9" w:themeFill="background1" w:themeFillShade="D9"/>
            <w:vAlign w:val="center"/>
          </w:tcPr>
          <w:p w14:paraId="6A05F7E1" w14:textId="77777777" w:rsidR="00692E71" w:rsidRPr="00275290" w:rsidRDefault="00692E71" w:rsidP="008E0250">
            <w:pPr>
              <w:jc w:val="center"/>
              <w:rPr>
                <w:rFonts w:cs="Arial"/>
              </w:rPr>
            </w:pPr>
            <w:r w:rsidRPr="00275290">
              <w:rPr>
                <w:rFonts w:cs="Arial"/>
              </w:rPr>
              <w:t>Symbol</w:t>
            </w:r>
          </w:p>
        </w:tc>
        <w:tc>
          <w:tcPr>
            <w:tcW w:w="2126" w:type="dxa"/>
            <w:shd w:val="clear" w:color="auto" w:fill="D9D9D9" w:themeFill="background1" w:themeFillShade="D9"/>
            <w:vAlign w:val="center"/>
          </w:tcPr>
          <w:p w14:paraId="020366CE" w14:textId="77777777" w:rsidR="00692E71" w:rsidRPr="00275290" w:rsidRDefault="00692E71" w:rsidP="008E0250">
            <w:pPr>
              <w:jc w:val="center"/>
              <w:rPr>
                <w:rFonts w:cs="Arial"/>
              </w:rPr>
            </w:pPr>
            <w:r w:rsidRPr="00275290">
              <w:rPr>
                <w:rFonts w:cs="Arial"/>
              </w:rPr>
              <w:t>Value</w:t>
            </w:r>
          </w:p>
        </w:tc>
        <w:tc>
          <w:tcPr>
            <w:tcW w:w="2127" w:type="dxa"/>
            <w:shd w:val="clear" w:color="auto" w:fill="D9D9D9" w:themeFill="background1" w:themeFillShade="D9"/>
            <w:vAlign w:val="center"/>
          </w:tcPr>
          <w:p w14:paraId="578BAE2C" w14:textId="77777777" w:rsidR="00692E71" w:rsidRPr="00275290" w:rsidRDefault="00692E71" w:rsidP="008E0250">
            <w:pPr>
              <w:jc w:val="center"/>
              <w:rPr>
                <w:rFonts w:cs="Arial"/>
              </w:rPr>
            </w:pPr>
            <w:r w:rsidRPr="00275290">
              <w:rPr>
                <w:rFonts w:cs="Arial"/>
              </w:rPr>
              <w:t>Unit</w:t>
            </w:r>
          </w:p>
        </w:tc>
      </w:tr>
      <w:tr w:rsidR="00692E71" w:rsidRPr="00275290" w14:paraId="0024A703" w14:textId="77777777" w:rsidTr="008E0250">
        <w:tc>
          <w:tcPr>
            <w:tcW w:w="1838" w:type="dxa"/>
            <w:vAlign w:val="center"/>
          </w:tcPr>
          <w:p w14:paraId="04631877" w14:textId="77777777" w:rsidR="00692E71" w:rsidRPr="00275290" w:rsidRDefault="00692E71" w:rsidP="008E0250">
            <w:pPr>
              <w:rPr>
                <w:rFonts w:cs="Arial"/>
              </w:rPr>
            </w:pPr>
            <w:r w:rsidRPr="00275290">
              <w:rPr>
                <w:rFonts w:cs="Arial"/>
              </w:rPr>
              <w:t>Fair</w:t>
            </w:r>
            <w:r w:rsidRPr="00275290">
              <w:rPr>
                <w:rFonts w:cs="Arial"/>
                <w:vertAlign w:val="subscript"/>
              </w:rPr>
              <w:t>susp</w:t>
            </w:r>
          </w:p>
        </w:tc>
        <w:tc>
          <w:tcPr>
            <w:tcW w:w="2126" w:type="dxa"/>
            <w:vAlign w:val="center"/>
          </w:tcPr>
          <w:p w14:paraId="68AE4AF8" w14:textId="77777777" w:rsidR="00692E71" w:rsidRPr="00275290" w:rsidRDefault="00692E71" w:rsidP="008E0250">
            <w:pPr>
              <w:jc w:val="center"/>
              <w:rPr>
                <w:rFonts w:cs="Arial"/>
              </w:rPr>
            </w:pPr>
            <w:r w:rsidRPr="00275290">
              <w:rPr>
                <w:rFonts w:cs="Arial"/>
              </w:rPr>
              <w:t>0.2</w:t>
            </w:r>
          </w:p>
        </w:tc>
        <w:tc>
          <w:tcPr>
            <w:tcW w:w="2127" w:type="dxa"/>
            <w:vAlign w:val="center"/>
          </w:tcPr>
          <w:p w14:paraId="017EFFB6" w14:textId="77777777" w:rsidR="00692E71" w:rsidRPr="00275290" w:rsidRDefault="00692E71" w:rsidP="008E0250">
            <w:pPr>
              <w:jc w:val="center"/>
              <w:rPr>
                <w:rFonts w:cs="Arial"/>
              </w:rPr>
            </w:pPr>
            <w:r w:rsidRPr="00275290">
              <w:rPr>
                <w:rFonts w:cs="Arial"/>
              </w:rPr>
              <w:t>[m</w:t>
            </w:r>
            <w:r w:rsidRPr="00275290">
              <w:rPr>
                <w:rFonts w:cs="Arial"/>
                <w:vertAlign w:val="subscript"/>
              </w:rPr>
              <w:t>air</w:t>
            </w:r>
            <w:r w:rsidRPr="00275290">
              <w:rPr>
                <w:rFonts w:cs="Arial"/>
                <w:vertAlign w:val="superscript"/>
              </w:rPr>
              <w:t>3</w:t>
            </w:r>
            <w:r w:rsidRPr="00275290">
              <w:rPr>
                <w:rFonts w:cs="Arial"/>
              </w:rPr>
              <w:t>.m</w:t>
            </w:r>
            <w:r w:rsidRPr="00275290">
              <w:rPr>
                <w:rFonts w:cs="Arial"/>
                <w:vertAlign w:val="subscript"/>
              </w:rPr>
              <w:t>susp</w:t>
            </w:r>
            <w:r w:rsidRPr="00275290">
              <w:rPr>
                <w:rFonts w:cs="Arial"/>
                <w:vertAlign w:val="superscript"/>
              </w:rPr>
              <w:t>-3</w:t>
            </w:r>
            <w:r w:rsidRPr="00275290">
              <w:rPr>
                <w:rFonts w:cs="Arial"/>
              </w:rPr>
              <w:t>]</w:t>
            </w:r>
          </w:p>
        </w:tc>
      </w:tr>
      <w:tr w:rsidR="00692E71" w:rsidRPr="00275290" w14:paraId="4DC2F006" w14:textId="77777777" w:rsidTr="008E0250">
        <w:tc>
          <w:tcPr>
            <w:tcW w:w="1838" w:type="dxa"/>
            <w:vAlign w:val="center"/>
          </w:tcPr>
          <w:p w14:paraId="1927D2EB" w14:textId="77777777" w:rsidR="00692E71" w:rsidRPr="00275290" w:rsidRDefault="00692E71" w:rsidP="008E0250">
            <w:pPr>
              <w:rPr>
                <w:rFonts w:cs="Arial"/>
              </w:rPr>
            </w:pPr>
            <w:r w:rsidRPr="00275290">
              <w:rPr>
                <w:rFonts w:cs="Arial"/>
              </w:rPr>
              <w:t>F</w:t>
            </w:r>
            <w:r w:rsidRPr="00275290">
              <w:rPr>
                <w:rFonts w:cs="Arial"/>
                <w:vertAlign w:val="subscript"/>
              </w:rPr>
              <w:t>water susp</w:t>
            </w:r>
          </w:p>
        </w:tc>
        <w:tc>
          <w:tcPr>
            <w:tcW w:w="2126" w:type="dxa"/>
            <w:vAlign w:val="center"/>
          </w:tcPr>
          <w:p w14:paraId="27D34285" w14:textId="77777777" w:rsidR="00692E71" w:rsidRPr="00275290" w:rsidRDefault="00692E71" w:rsidP="008E0250">
            <w:pPr>
              <w:jc w:val="center"/>
              <w:rPr>
                <w:rFonts w:cs="Arial"/>
              </w:rPr>
            </w:pPr>
            <w:r w:rsidRPr="00275290">
              <w:rPr>
                <w:rFonts w:cs="Arial"/>
              </w:rPr>
              <w:t>0.9</w:t>
            </w:r>
          </w:p>
        </w:tc>
        <w:tc>
          <w:tcPr>
            <w:tcW w:w="2127" w:type="dxa"/>
            <w:vAlign w:val="center"/>
          </w:tcPr>
          <w:p w14:paraId="6EABBEC8" w14:textId="77777777" w:rsidR="00692E71" w:rsidRPr="00275290" w:rsidRDefault="00692E71" w:rsidP="008E0250">
            <w:pPr>
              <w:jc w:val="center"/>
              <w:rPr>
                <w:rFonts w:cs="Arial"/>
              </w:rPr>
            </w:pPr>
            <w:r w:rsidRPr="00275290">
              <w:rPr>
                <w:rFonts w:cs="Arial"/>
              </w:rPr>
              <w:t>[m</w:t>
            </w:r>
            <w:r w:rsidRPr="00275290">
              <w:rPr>
                <w:rFonts w:cs="Arial"/>
                <w:vertAlign w:val="subscript"/>
              </w:rPr>
              <w:t>water</w:t>
            </w:r>
            <w:r w:rsidRPr="00275290">
              <w:rPr>
                <w:rFonts w:cs="Arial"/>
                <w:vertAlign w:val="superscript"/>
              </w:rPr>
              <w:t>3</w:t>
            </w:r>
            <w:r w:rsidRPr="00275290">
              <w:rPr>
                <w:rFonts w:cs="Arial"/>
              </w:rPr>
              <w:t>.m</w:t>
            </w:r>
            <w:r w:rsidRPr="00275290">
              <w:rPr>
                <w:rFonts w:cs="Arial"/>
                <w:vertAlign w:val="subscript"/>
              </w:rPr>
              <w:t>susp</w:t>
            </w:r>
            <w:r w:rsidRPr="00275290">
              <w:rPr>
                <w:rFonts w:cs="Arial"/>
                <w:vertAlign w:val="superscript"/>
              </w:rPr>
              <w:t>-3</w:t>
            </w:r>
            <w:r w:rsidRPr="00275290">
              <w:rPr>
                <w:rFonts w:cs="Arial"/>
              </w:rPr>
              <w:t>]</w:t>
            </w:r>
          </w:p>
        </w:tc>
      </w:tr>
      <w:tr w:rsidR="00692E71" w:rsidRPr="00275290" w14:paraId="5D76A173" w14:textId="77777777" w:rsidTr="008E0250">
        <w:tc>
          <w:tcPr>
            <w:tcW w:w="1838" w:type="dxa"/>
            <w:vAlign w:val="center"/>
          </w:tcPr>
          <w:p w14:paraId="4A7EE946" w14:textId="77777777" w:rsidR="00692E71" w:rsidRPr="00275290" w:rsidRDefault="00692E71" w:rsidP="008E0250">
            <w:pPr>
              <w:rPr>
                <w:rFonts w:cs="Arial"/>
              </w:rPr>
            </w:pPr>
            <w:r w:rsidRPr="00275290">
              <w:rPr>
                <w:rFonts w:cs="Arial"/>
              </w:rPr>
              <w:t>Fsolid</w:t>
            </w:r>
            <w:r w:rsidRPr="00275290">
              <w:rPr>
                <w:rFonts w:cs="Arial"/>
                <w:vertAlign w:val="subscript"/>
              </w:rPr>
              <w:t>susp</w:t>
            </w:r>
          </w:p>
        </w:tc>
        <w:tc>
          <w:tcPr>
            <w:tcW w:w="2126" w:type="dxa"/>
            <w:vAlign w:val="center"/>
          </w:tcPr>
          <w:p w14:paraId="01C80D22" w14:textId="77777777" w:rsidR="00692E71" w:rsidRPr="00275290" w:rsidRDefault="00692E71" w:rsidP="008E0250">
            <w:pPr>
              <w:jc w:val="center"/>
              <w:rPr>
                <w:rFonts w:cs="Arial"/>
              </w:rPr>
            </w:pPr>
            <w:r w:rsidRPr="00275290">
              <w:rPr>
                <w:rFonts w:cs="Arial"/>
              </w:rPr>
              <w:t>0.1</w:t>
            </w:r>
          </w:p>
        </w:tc>
        <w:tc>
          <w:tcPr>
            <w:tcW w:w="2127" w:type="dxa"/>
            <w:vAlign w:val="center"/>
          </w:tcPr>
          <w:p w14:paraId="72AC77A3" w14:textId="77777777" w:rsidR="00692E71" w:rsidRPr="00275290" w:rsidRDefault="00692E71" w:rsidP="008E0250">
            <w:pPr>
              <w:jc w:val="center"/>
              <w:rPr>
                <w:rFonts w:cs="Arial"/>
              </w:rPr>
            </w:pPr>
            <w:r w:rsidRPr="00275290">
              <w:rPr>
                <w:rFonts w:cs="Arial"/>
              </w:rPr>
              <w:t>[m</w:t>
            </w:r>
            <w:r w:rsidRPr="00275290">
              <w:rPr>
                <w:rFonts w:cs="Arial"/>
                <w:vertAlign w:val="subscript"/>
              </w:rPr>
              <w:t>solid</w:t>
            </w:r>
            <w:r w:rsidRPr="00275290">
              <w:rPr>
                <w:rFonts w:cs="Arial"/>
                <w:vertAlign w:val="superscript"/>
              </w:rPr>
              <w:t>3</w:t>
            </w:r>
            <w:r w:rsidRPr="00275290">
              <w:rPr>
                <w:rFonts w:cs="Arial"/>
              </w:rPr>
              <w:t>.m</w:t>
            </w:r>
            <w:r w:rsidRPr="00275290">
              <w:rPr>
                <w:rFonts w:cs="Arial"/>
                <w:vertAlign w:val="subscript"/>
              </w:rPr>
              <w:t>susp</w:t>
            </w:r>
            <w:r w:rsidRPr="00275290">
              <w:rPr>
                <w:rFonts w:cs="Arial"/>
                <w:vertAlign w:val="superscript"/>
              </w:rPr>
              <w:t>-3</w:t>
            </w:r>
            <w:r w:rsidRPr="00275290">
              <w:rPr>
                <w:rFonts w:cs="Arial"/>
              </w:rPr>
              <w:t>]</w:t>
            </w:r>
          </w:p>
        </w:tc>
      </w:tr>
      <w:tr w:rsidR="00692E71" w:rsidRPr="00275290" w14:paraId="06391C31" w14:textId="77777777" w:rsidTr="008E0250">
        <w:tc>
          <w:tcPr>
            <w:tcW w:w="1838" w:type="dxa"/>
            <w:vAlign w:val="center"/>
          </w:tcPr>
          <w:p w14:paraId="2B1CA5A6" w14:textId="77777777" w:rsidR="00692E71" w:rsidRPr="00275290" w:rsidRDefault="00692E71" w:rsidP="008E0250">
            <w:pPr>
              <w:rPr>
                <w:rFonts w:cs="Arial"/>
              </w:rPr>
            </w:pPr>
            <w:r w:rsidRPr="00275290">
              <w:rPr>
                <w:rFonts w:cs="Arial"/>
              </w:rPr>
              <w:t>R</w:t>
            </w:r>
          </w:p>
        </w:tc>
        <w:tc>
          <w:tcPr>
            <w:tcW w:w="2126" w:type="dxa"/>
            <w:vAlign w:val="center"/>
          </w:tcPr>
          <w:p w14:paraId="050BA83A" w14:textId="77777777" w:rsidR="00692E71" w:rsidRPr="00275290" w:rsidRDefault="00692E71" w:rsidP="008E0250">
            <w:pPr>
              <w:jc w:val="center"/>
              <w:rPr>
                <w:rFonts w:cs="Arial"/>
              </w:rPr>
            </w:pPr>
            <w:r w:rsidRPr="00275290">
              <w:rPr>
                <w:rFonts w:cs="Arial"/>
              </w:rPr>
              <w:t>8.314</w:t>
            </w:r>
          </w:p>
        </w:tc>
        <w:tc>
          <w:tcPr>
            <w:tcW w:w="2127" w:type="dxa"/>
            <w:vAlign w:val="center"/>
          </w:tcPr>
          <w:p w14:paraId="2B416129" w14:textId="77777777" w:rsidR="00692E71" w:rsidRPr="00275290" w:rsidRDefault="00692E71" w:rsidP="008E0250">
            <w:pPr>
              <w:jc w:val="center"/>
              <w:rPr>
                <w:rFonts w:cs="Arial"/>
              </w:rPr>
            </w:pPr>
            <w:r w:rsidRPr="00275290">
              <w:rPr>
                <w:rFonts w:cs="Arial"/>
              </w:rPr>
              <w:t>[Pa·m</w:t>
            </w:r>
            <w:r w:rsidRPr="00275290">
              <w:rPr>
                <w:rFonts w:cs="Arial"/>
                <w:vertAlign w:val="superscript"/>
              </w:rPr>
              <w:t>3</w:t>
            </w:r>
            <w:r w:rsidRPr="00275290">
              <w:rPr>
                <w:rFonts w:cs="Arial"/>
              </w:rPr>
              <w:t>·mol</w:t>
            </w:r>
            <w:r w:rsidRPr="00275290">
              <w:rPr>
                <w:rFonts w:cs="Arial"/>
                <w:vertAlign w:val="superscript"/>
              </w:rPr>
              <w:t>-1</w:t>
            </w:r>
            <w:r w:rsidRPr="00275290">
              <w:rPr>
                <w:rFonts w:cs="Arial"/>
              </w:rPr>
              <w:t>]</w:t>
            </w:r>
          </w:p>
        </w:tc>
      </w:tr>
      <w:tr w:rsidR="00692E71" w:rsidRPr="00275290" w14:paraId="4B1488D6" w14:textId="77777777" w:rsidTr="008E0250">
        <w:tc>
          <w:tcPr>
            <w:tcW w:w="1838" w:type="dxa"/>
            <w:vAlign w:val="center"/>
          </w:tcPr>
          <w:p w14:paraId="57FB436A" w14:textId="77777777" w:rsidR="00692E71" w:rsidRPr="00275290" w:rsidRDefault="00692E71" w:rsidP="008E0250">
            <w:pPr>
              <w:rPr>
                <w:rFonts w:cs="Arial"/>
              </w:rPr>
            </w:pPr>
            <w:r w:rsidRPr="00275290">
              <w:rPr>
                <w:rFonts w:cs="Arial"/>
              </w:rPr>
              <w:t>Temp</w:t>
            </w:r>
          </w:p>
        </w:tc>
        <w:tc>
          <w:tcPr>
            <w:tcW w:w="2126" w:type="dxa"/>
            <w:vAlign w:val="center"/>
          </w:tcPr>
          <w:p w14:paraId="5D561B83" w14:textId="77777777" w:rsidR="00692E71" w:rsidRPr="00275290" w:rsidRDefault="00692E71" w:rsidP="008E0250">
            <w:pPr>
              <w:jc w:val="center"/>
              <w:rPr>
                <w:rFonts w:cs="Arial"/>
              </w:rPr>
            </w:pPr>
            <w:r w:rsidRPr="00275290">
              <w:rPr>
                <w:rFonts w:cs="Arial"/>
              </w:rPr>
              <w:t>285</w:t>
            </w:r>
          </w:p>
        </w:tc>
        <w:tc>
          <w:tcPr>
            <w:tcW w:w="2127" w:type="dxa"/>
            <w:vAlign w:val="center"/>
          </w:tcPr>
          <w:p w14:paraId="4B6A60E8" w14:textId="77777777" w:rsidR="00692E71" w:rsidRPr="00275290" w:rsidRDefault="00692E71" w:rsidP="008E0250">
            <w:pPr>
              <w:jc w:val="center"/>
              <w:rPr>
                <w:rFonts w:cs="Arial"/>
              </w:rPr>
            </w:pPr>
            <w:r w:rsidRPr="00275290">
              <w:rPr>
                <w:rFonts w:cs="Arial"/>
              </w:rPr>
              <w:t>K</w:t>
            </w:r>
          </w:p>
        </w:tc>
      </w:tr>
      <w:tr w:rsidR="00692E71" w:rsidRPr="00275290" w14:paraId="1A060CC7" w14:textId="77777777" w:rsidTr="008E0250">
        <w:tc>
          <w:tcPr>
            <w:tcW w:w="1838" w:type="dxa"/>
            <w:vAlign w:val="center"/>
          </w:tcPr>
          <w:p w14:paraId="6DD24A70" w14:textId="77777777" w:rsidR="00692E71" w:rsidRPr="00275290" w:rsidRDefault="00692E71" w:rsidP="008E0250">
            <w:pPr>
              <w:rPr>
                <w:rFonts w:cs="Arial"/>
              </w:rPr>
            </w:pPr>
            <w:r w:rsidRPr="00275290">
              <w:rPr>
                <w:rFonts w:cs="Arial"/>
              </w:rPr>
              <w:t>RHO</w:t>
            </w:r>
            <w:r w:rsidRPr="00275290">
              <w:rPr>
                <w:rFonts w:cs="Arial"/>
                <w:vertAlign w:val="subscript"/>
              </w:rPr>
              <w:t>solid</w:t>
            </w:r>
          </w:p>
        </w:tc>
        <w:tc>
          <w:tcPr>
            <w:tcW w:w="2126" w:type="dxa"/>
            <w:vAlign w:val="center"/>
          </w:tcPr>
          <w:p w14:paraId="377E9C94" w14:textId="77777777" w:rsidR="00692E71" w:rsidRPr="00275290" w:rsidRDefault="00692E71" w:rsidP="008E0250">
            <w:pPr>
              <w:jc w:val="center"/>
              <w:rPr>
                <w:rFonts w:cs="Arial"/>
              </w:rPr>
            </w:pPr>
            <w:r w:rsidRPr="00275290">
              <w:rPr>
                <w:rFonts w:cs="Arial"/>
              </w:rPr>
              <w:t>2500</w:t>
            </w:r>
          </w:p>
        </w:tc>
        <w:tc>
          <w:tcPr>
            <w:tcW w:w="2127" w:type="dxa"/>
            <w:vAlign w:val="center"/>
          </w:tcPr>
          <w:p w14:paraId="0F49B734" w14:textId="77777777" w:rsidR="00692E71" w:rsidRPr="00275290" w:rsidRDefault="00692E71" w:rsidP="008E0250">
            <w:pPr>
              <w:jc w:val="center"/>
              <w:rPr>
                <w:rFonts w:cs="Arial"/>
              </w:rPr>
            </w:pPr>
            <w:r w:rsidRPr="00275290">
              <w:rPr>
                <w:rFonts w:cs="Arial"/>
              </w:rPr>
              <w:t>[kg</w:t>
            </w:r>
            <w:r w:rsidRPr="00275290">
              <w:rPr>
                <w:rFonts w:cs="Arial"/>
                <w:vertAlign w:val="subscript"/>
              </w:rPr>
              <w:t>solid</w:t>
            </w:r>
            <w:r w:rsidRPr="00275290">
              <w:rPr>
                <w:rFonts w:cs="Arial"/>
              </w:rPr>
              <w:t>.m</w:t>
            </w:r>
            <w:r w:rsidRPr="00275290">
              <w:rPr>
                <w:rFonts w:cs="Arial"/>
                <w:vertAlign w:val="subscript"/>
              </w:rPr>
              <w:t>solid</w:t>
            </w:r>
            <w:r w:rsidRPr="00275290">
              <w:rPr>
                <w:rFonts w:cs="Arial"/>
                <w:vertAlign w:val="superscript"/>
              </w:rPr>
              <w:t>-3</w:t>
            </w:r>
            <w:r w:rsidRPr="00275290">
              <w:rPr>
                <w:rFonts w:cs="Arial"/>
              </w:rPr>
              <w:t>]</w:t>
            </w:r>
          </w:p>
        </w:tc>
      </w:tr>
    </w:tbl>
    <w:p w14:paraId="7524DB52" w14:textId="77777777" w:rsidR="00692E71" w:rsidRPr="00275290" w:rsidRDefault="00692E71" w:rsidP="00692E71">
      <w:pPr>
        <w:rPr>
          <w:rFonts w:cs="Arial"/>
        </w:rPr>
      </w:pPr>
    </w:p>
    <w:p w14:paraId="21FEDF5D" w14:textId="77777777" w:rsidR="00692E71" w:rsidRPr="00275290" w:rsidRDefault="00692E71" w:rsidP="00692E71">
      <w:pPr>
        <w:rPr>
          <w:rFonts w:cs="Arial"/>
        </w:rPr>
      </w:pPr>
      <w:r w:rsidRPr="00275290">
        <w:rPr>
          <w:rFonts w:cs="Arial"/>
        </w:rPr>
        <w:t>Using IPBC and non-professional application with removal as an example:</w:t>
      </w:r>
    </w:p>
    <w:p w14:paraId="49CBAEF4" w14:textId="77777777" w:rsidR="00692E71" w:rsidRPr="00275290" w:rsidRDefault="00692E71" w:rsidP="00692E71">
      <w:pPr>
        <w:rPr>
          <w:rFonts w:cs="Arial"/>
        </w:rPr>
      </w:pPr>
    </w:p>
    <w:p w14:paraId="26039B03" w14:textId="77777777" w:rsidR="00692E71" w:rsidRPr="00275290" w:rsidRDefault="00692E71" w:rsidP="00692E71">
      <w:pPr>
        <w:rPr>
          <w:rFonts w:cs="Arial"/>
        </w:rPr>
      </w:pPr>
      <w:r w:rsidRPr="00275290">
        <w:rPr>
          <w:rFonts w:cs="Arial"/>
        </w:rPr>
        <w:t>K</w:t>
      </w:r>
      <w:r w:rsidRPr="00275290">
        <w:rPr>
          <w:rFonts w:cs="Arial"/>
          <w:vertAlign w:val="subscript"/>
        </w:rPr>
        <w:t xml:space="preserve">air-water </w:t>
      </w:r>
      <w:r w:rsidRPr="00275290">
        <w:rPr>
          <w:rFonts w:cs="Arial"/>
        </w:rPr>
        <w:t xml:space="preserve">= Henry / (R * Temp) </w:t>
      </w:r>
    </w:p>
    <w:p w14:paraId="735E89CB" w14:textId="77777777" w:rsidR="00692E71" w:rsidRPr="00275290" w:rsidRDefault="00692E71" w:rsidP="00692E71">
      <w:pPr>
        <w:rPr>
          <w:rFonts w:cs="Arial"/>
        </w:rPr>
      </w:pPr>
      <w:r w:rsidRPr="00275290">
        <w:rPr>
          <w:rFonts w:cs="Arial"/>
        </w:rPr>
        <w:t>K</w:t>
      </w:r>
      <w:r w:rsidRPr="00275290">
        <w:rPr>
          <w:rFonts w:cs="Arial"/>
          <w:vertAlign w:val="subscript"/>
        </w:rPr>
        <w:t xml:space="preserve">air-water </w:t>
      </w:r>
      <w:r w:rsidRPr="00275290">
        <w:rPr>
          <w:rFonts w:cs="Arial"/>
        </w:rPr>
        <w:t>= 6.45*10</w:t>
      </w:r>
      <w:r w:rsidRPr="00275290">
        <w:rPr>
          <w:rFonts w:cs="Arial"/>
          <w:vertAlign w:val="superscript"/>
        </w:rPr>
        <w:t>-3</w:t>
      </w:r>
      <w:r w:rsidRPr="00275290">
        <w:rPr>
          <w:rFonts w:cs="Arial"/>
        </w:rPr>
        <w:t xml:space="preserve"> / 8.314 * 285</w:t>
      </w:r>
    </w:p>
    <w:p w14:paraId="0CD92A6F" w14:textId="77777777" w:rsidR="00692E71" w:rsidRPr="00275290" w:rsidRDefault="00692E71" w:rsidP="00692E71">
      <w:pPr>
        <w:rPr>
          <w:rFonts w:cs="Arial"/>
        </w:rPr>
      </w:pPr>
      <w:r w:rsidRPr="00275290">
        <w:rPr>
          <w:rFonts w:cs="Arial"/>
        </w:rPr>
        <w:t>K</w:t>
      </w:r>
      <w:r w:rsidRPr="00275290">
        <w:rPr>
          <w:rFonts w:cs="Arial"/>
          <w:vertAlign w:val="subscript"/>
        </w:rPr>
        <w:t xml:space="preserve">air-water </w:t>
      </w:r>
      <w:r w:rsidRPr="00275290">
        <w:rPr>
          <w:rFonts w:cs="Arial"/>
        </w:rPr>
        <w:t>= 2.72*10</w:t>
      </w:r>
      <w:r w:rsidRPr="00275290">
        <w:rPr>
          <w:rFonts w:cs="Arial"/>
          <w:vertAlign w:val="superscript"/>
        </w:rPr>
        <w:t xml:space="preserve">-6 </w:t>
      </w:r>
      <w:r w:rsidRPr="00275290">
        <w:rPr>
          <w:rFonts w:cs="Arial"/>
        </w:rPr>
        <w:t>m</w:t>
      </w:r>
      <w:r w:rsidRPr="00275290">
        <w:rPr>
          <w:rFonts w:cs="Arial"/>
          <w:vertAlign w:val="superscript"/>
        </w:rPr>
        <w:t>3</w:t>
      </w:r>
      <w:r w:rsidRPr="00275290">
        <w:rPr>
          <w:rFonts w:cs="Arial"/>
        </w:rPr>
        <w:t>/m</w:t>
      </w:r>
      <w:r w:rsidRPr="00275290">
        <w:rPr>
          <w:rFonts w:cs="Arial"/>
          <w:vertAlign w:val="superscript"/>
        </w:rPr>
        <w:t>3</w:t>
      </w:r>
    </w:p>
    <w:p w14:paraId="023D9734" w14:textId="77777777" w:rsidR="00692E71" w:rsidRPr="00275290" w:rsidRDefault="00692E71" w:rsidP="00692E71">
      <w:pPr>
        <w:rPr>
          <w:rFonts w:cs="Arial"/>
        </w:rPr>
      </w:pPr>
    </w:p>
    <w:p w14:paraId="0FDE662F" w14:textId="77777777" w:rsidR="00692E71" w:rsidRPr="00275290" w:rsidRDefault="00692E71" w:rsidP="00692E71">
      <w:pPr>
        <w:rPr>
          <w:rFonts w:cs="Arial"/>
          <w:vertAlign w:val="subscript"/>
        </w:rPr>
      </w:pPr>
      <w:r w:rsidRPr="00275290">
        <w:rPr>
          <w:rFonts w:cs="Arial"/>
        </w:rPr>
        <w:t>Kp</w:t>
      </w:r>
      <w:r w:rsidRPr="00275290">
        <w:rPr>
          <w:rFonts w:cs="Arial"/>
          <w:vertAlign w:val="subscript"/>
        </w:rPr>
        <w:t xml:space="preserve">susp </w:t>
      </w:r>
      <w:r w:rsidRPr="00275290">
        <w:rPr>
          <w:rFonts w:cs="Arial"/>
        </w:rPr>
        <w:t>= foc</w:t>
      </w:r>
      <w:r w:rsidRPr="00275290">
        <w:rPr>
          <w:rFonts w:cs="Arial"/>
          <w:vertAlign w:val="subscript"/>
        </w:rPr>
        <w:t>susp</w:t>
      </w:r>
      <w:r w:rsidRPr="00275290">
        <w:rPr>
          <w:rFonts w:cs="Arial"/>
        </w:rPr>
        <w:t xml:space="preserve"> * Koc</w:t>
      </w:r>
      <w:r w:rsidRPr="00275290">
        <w:rPr>
          <w:rFonts w:cs="Arial"/>
          <w:vertAlign w:val="subscript"/>
        </w:rPr>
        <w:t>sediment</w:t>
      </w:r>
    </w:p>
    <w:p w14:paraId="6202C6B5" w14:textId="77777777" w:rsidR="00692E71" w:rsidRPr="00275290" w:rsidRDefault="00692E71" w:rsidP="00692E71">
      <w:pPr>
        <w:rPr>
          <w:rFonts w:cs="Arial"/>
        </w:rPr>
      </w:pPr>
      <w:r w:rsidRPr="00275290">
        <w:rPr>
          <w:rFonts w:cs="Arial"/>
        </w:rPr>
        <w:t>Kp</w:t>
      </w:r>
      <w:r w:rsidRPr="00275290">
        <w:rPr>
          <w:rFonts w:cs="Arial"/>
          <w:vertAlign w:val="subscript"/>
        </w:rPr>
        <w:t xml:space="preserve">susp </w:t>
      </w:r>
      <w:r w:rsidRPr="00275290">
        <w:rPr>
          <w:rFonts w:cs="Arial"/>
        </w:rPr>
        <w:t>= 0.1 * 126</w:t>
      </w:r>
    </w:p>
    <w:p w14:paraId="1F8DEFFD" w14:textId="77777777" w:rsidR="00692E71" w:rsidRPr="00275290" w:rsidRDefault="00692E71" w:rsidP="00692E71">
      <w:pPr>
        <w:rPr>
          <w:rFonts w:cs="Arial"/>
        </w:rPr>
      </w:pPr>
      <w:r w:rsidRPr="00275290">
        <w:rPr>
          <w:rFonts w:cs="Arial"/>
        </w:rPr>
        <w:t>Kp</w:t>
      </w:r>
      <w:r w:rsidRPr="00275290">
        <w:rPr>
          <w:rFonts w:cs="Arial"/>
          <w:vertAlign w:val="subscript"/>
        </w:rPr>
        <w:t xml:space="preserve">susp </w:t>
      </w:r>
      <w:r w:rsidRPr="00275290">
        <w:rPr>
          <w:rFonts w:cs="Arial"/>
        </w:rPr>
        <w:t>= 12.6 L/kg</w:t>
      </w:r>
    </w:p>
    <w:p w14:paraId="233C7568" w14:textId="77777777" w:rsidR="00692E71" w:rsidRPr="00275290" w:rsidRDefault="00692E71" w:rsidP="00692E71">
      <w:pPr>
        <w:rPr>
          <w:rFonts w:cs="Arial"/>
        </w:rPr>
      </w:pPr>
    </w:p>
    <w:p w14:paraId="6170EEF8" w14:textId="77777777" w:rsidR="00692E71" w:rsidRPr="00275290" w:rsidRDefault="00692E71" w:rsidP="00692E71">
      <w:pPr>
        <w:rPr>
          <w:rFonts w:cs="Arial"/>
        </w:rPr>
      </w:pPr>
      <w:r w:rsidRPr="00275290">
        <w:rPr>
          <w:rFonts w:cs="Arial"/>
        </w:rPr>
        <w:t>RHO</w:t>
      </w:r>
      <w:r w:rsidRPr="00275290">
        <w:rPr>
          <w:rFonts w:cs="Arial"/>
          <w:vertAlign w:val="subscript"/>
        </w:rPr>
        <w:t>susp</w:t>
      </w:r>
      <w:r w:rsidRPr="00275290">
        <w:rPr>
          <w:rFonts w:cs="Arial"/>
        </w:rPr>
        <w:t xml:space="preserve"> = Fsolid</w:t>
      </w:r>
      <w:r w:rsidRPr="00275290">
        <w:rPr>
          <w:rFonts w:cs="Arial"/>
          <w:vertAlign w:val="subscript"/>
        </w:rPr>
        <w:t>susp</w:t>
      </w:r>
      <w:r w:rsidRPr="00275290">
        <w:rPr>
          <w:rFonts w:cs="Arial"/>
        </w:rPr>
        <w:t xml:space="preserve"> * RHO</w:t>
      </w:r>
      <w:r w:rsidRPr="00275290">
        <w:rPr>
          <w:rFonts w:cs="Arial"/>
          <w:vertAlign w:val="subscript"/>
        </w:rPr>
        <w:t>solid</w:t>
      </w:r>
      <w:r w:rsidRPr="00275290">
        <w:rPr>
          <w:rFonts w:cs="Arial"/>
        </w:rPr>
        <w:t xml:space="preserve"> + Fwater</w:t>
      </w:r>
      <w:r w:rsidRPr="00275290">
        <w:rPr>
          <w:rFonts w:cs="Arial"/>
          <w:vertAlign w:val="subscript"/>
        </w:rPr>
        <w:t>susp</w:t>
      </w:r>
      <w:r w:rsidRPr="00275290">
        <w:rPr>
          <w:rFonts w:cs="Arial"/>
        </w:rPr>
        <w:t xml:space="preserve"> * RHO</w:t>
      </w:r>
      <w:r w:rsidRPr="00275290">
        <w:rPr>
          <w:rFonts w:cs="Arial"/>
          <w:vertAlign w:val="subscript"/>
        </w:rPr>
        <w:t>water</w:t>
      </w:r>
      <w:r w:rsidRPr="00275290">
        <w:rPr>
          <w:rFonts w:cs="Arial"/>
        </w:rPr>
        <w:t xml:space="preserve"> + Fair</w:t>
      </w:r>
      <w:r w:rsidRPr="00275290">
        <w:rPr>
          <w:rFonts w:cs="Arial"/>
          <w:vertAlign w:val="subscript"/>
        </w:rPr>
        <w:t>susp</w:t>
      </w:r>
      <w:r w:rsidRPr="00275290">
        <w:rPr>
          <w:rFonts w:cs="Arial"/>
        </w:rPr>
        <w:t>* RHO</w:t>
      </w:r>
      <w:r w:rsidRPr="00275290">
        <w:rPr>
          <w:rFonts w:cs="Arial"/>
          <w:vertAlign w:val="subscript"/>
        </w:rPr>
        <w:t>air</w:t>
      </w:r>
      <w:r w:rsidRPr="00275290">
        <w:rPr>
          <w:rFonts w:cs="Arial"/>
        </w:rPr>
        <w:t xml:space="preserve"> </w:t>
      </w:r>
      <w:r w:rsidRPr="00275290">
        <w:rPr>
          <w:rFonts w:cs="Arial"/>
        </w:rPr>
        <w:tab/>
      </w:r>
      <w:r w:rsidRPr="00275290">
        <w:rPr>
          <w:rFonts w:cs="Arial"/>
        </w:rPr>
        <w:tab/>
        <w:t>(Eq. 18)</w:t>
      </w:r>
    </w:p>
    <w:p w14:paraId="448C9847" w14:textId="77777777" w:rsidR="00692E71" w:rsidRPr="00275290" w:rsidRDefault="00692E71" w:rsidP="00692E71">
      <w:pPr>
        <w:rPr>
          <w:rFonts w:cs="Arial"/>
        </w:rPr>
      </w:pPr>
      <w:r w:rsidRPr="00275290">
        <w:rPr>
          <w:rFonts w:cs="Arial"/>
        </w:rPr>
        <w:t>RHO</w:t>
      </w:r>
      <w:r w:rsidRPr="00275290">
        <w:rPr>
          <w:rFonts w:cs="Arial"/>
          <w:vertAlign w:val="subscript"/>
        </w:rPr>
        <w:t>susp</w:t>
      </w:r>
      <w:r w:rsidRPr="00275290">
        <w:rPr>
          <w:rFonts w:cs="Arial"/>
        </w:rPr>
        <w:t xml:space="preserve"> = 0.1 * 2500 + 0.9 * 1000</w:t>
      </w:r>
    </w:p>
    <w:p w14:paraId="60BAC31E" w14:textId="77777777" w:rsidR="00692E71" w:rsidRPr="00275290" w:rsidRDefault="00692E71" w:rsidP="00692E71">
      <w:pPr>
        <w:rPr>
          <w:rFonts w:cs="Arial"/>
        </w:rPr>
      </w:pPr>
      <w:r w:rsidRPr="00275290">
        <w:rPr>
          <w:rFonts w:cs="Arial"/>
        </w:rPr>
        <w:t>RHO</w:t>
      </w:r>
      <w:r w:rsidRPr="00275290">
        <w:rPr>
          <w:rFonts w:cs="Arial"/>
          <w:vertAlign w:val="subscript"/>
        </w:rPr>
        <w:t>susp</w:t>
      </w:r>
      <w:r w:rsidRPr="00275290">
        <w:rPr>
          <w:rFonts w:cs="Arial"/>
        </w:rPr>
        <w:t xml:space="preserve"> = 1150 kg/m</w:t>
      </w:r>
      <w:r w:rsidRPr="00275290">
        <w:rPr>
          <w:rFonts w:cs="Arial"/>
          <w:vertAlign w:val="superscript"/>
        </w:rPr>
        <w:t>3</w:t>
      </w:r>
    </w:p>
    <w:p w14:paraId="77DC423E" w14:textId="77777777" w:rsidR="00692E71" w:rsidRPr="00275290" w:rsidRDefault="00692E71" w:rsidP="00692E71">
      <w:pPr>
        <w:rPr>
          <w:rFonts w:cs="Arial"/>
        </w:rPr>
      </w:pPr>
    </w:p>
    <w:p w14:paraId="57E63763" w14:textId="77777777" w:rsidR="00692E71" w:rsidRPr="00275290" w:rsidRDefault="00692E71" w:rsidP="00692E71">
      <w:pPr>
        <w:rPr>
          <w:rFonts w:cs="Arial"/>
        </w:rPr>
      </w:pPr>
      <w:r w:rsidRPr="00275290">
        <w:rPr>
          <w:rFonts w:cs="Arial"/>
        </w:rPr>
        <w:t>K</w:t>
      </w:r>
      <w:r w:rsidRPr="00275290">
        <w:rPr>
          <w:rFonts w:cs="Arial"/>
          <w:vertAlign w:val="subscript"/>
        </w:rPr>
        <w:t>susp-water</w:t>
      </w:r>
      <w:r w:rsidRPr="00275290">
        <w:rPr>
          <w:rFonts w:cs="Arial"/>
        </w:rPr>
        <w:t xml:space="preserve"> = Fair</w:t>
      </w:r>
      <w:r w:rsidRPr="00275290">
        <w:rPr>
          <w:rFonts w:cs="Arial"/>
          <w:vertAlign w:val="subscript"/>
        </w:rPr>
        <w:t>susp</w:t>
      </w:r>
      <w:r w:rsidRPr="00275290">
        <w:rPr>
          <w:rFonts w:cs="Arial"/>
        </w:rPr>
        <w:t xml:space="preserve"> * K</w:t>
      </w:r>
      <w:r w:rsidRPr="00275290">
        <w:rPr>
          <w:rFonts w:cs="Arial"/>
          <w:vertAlign w:val="subscript"/>
        </w:rPr>
        <w:t xml:space="preserve">air-water </w:t>
      </w:r>
      <w:r w:rsidRPr="00275290">
        <w:rPr>
          <w:rFonts w:cs="Arial"/>
        </w:rPr>
        <w:t>+ F</w:t>
      </w:r>
      <w:r w:rsidRPr="00275290">
        <w:rPr>
          <w:rFonts w:cs="Arial"/>
          <w:vertAlign w:val="subscript"/>
        </w:rPr>
        <w:t xml:space="preserve">water susp </w:t>
      </w:r>
      <w:r w:rsidRPr="00275290">
        <w:rPr>
          <w:rFonts w:cs="Arial"/>
        </w:rPr>
        <w:t>+ Fsolid</w:t>
      </w:r>
      <w:r w:rsidRPr="00275290">
        <w:rPr>
          <w:rFonts w:cs="Arial"/>
          <w:vertAlign w:val="subscript"/>
        </w:rPr>
        <w:t>susp</w:t>
      </w:r>
      <w:r w:rsidRPr="00275290">
        <w:rPr>
          <w:rFonts w:cs="Arial"/>
        </w:rPr>
        <w:t xml:space="preserve"> * Kp</w:t>
      </w:r>
      <w:r w:rsidRPr="00275290">
        <w:rPr>
          <w:rFonts w:cs="Arial"/>
          <w:vertAlign w:val="subscript"/>
        </w:rPr>
        <w:t>susp</w:t>
      </w:r>
      <w:r w:rsidRPr="00275290">
        <w:rPr>
          <w:rFonts w:cs="Arial"/>
        </w:rPr>
        <w:t xml:space="preserve"> * RHO</w:t>
      </w:r>
      <w:r w:rsidRPr="00275290">
        <w:rPr>
          <w:rFonts w:cs="Arial"/>
          <w:vertAlign w:val="subscript"/>
        </w:rPr>
        <w:t>solid</w:t>
      </w:r>
      <w:r w:rsidRPr="00275290">
        <w:rPr>
          <w:rFonts w:cs="Arial"/>
        </w:rPr>
        <w:t xml:space="preserve"> / 1000</w:t>
      </w:r>
    </w:p>
    <w:p w14:paraId="35E7BC57" w14:textId="77777777" w:rsidR="00692E71" w:rsidRPr="00FE333D" w:rsidRDefault="00692E71" w:rsidP="00692E71">
      <w:pPr>
        <w:rPr>
          <w:rFonts w:cs="Arial"/>
          <w:lang w:val="nl-NL"/>
        </w:rPr>
      </w:pPr>
      <w:r w:rsidRPr="00FE333D">
        <w:rPr>
          <w:rFonts w:cs="Arial"/>
          <w:lang w:val="nl-NL"/>
        </w:rPr>
        <w:t>K</w:t>
      </w:r>
      <w:r w:rsidRPr="00FE333D">
        <w:rPr>
          <w:rFonts w:cs="Arial"/>
          <w:vertAlign w:val="subscript"/>
          <w:lang w:val="nl-NL"/>
        </w:rPr>
        <w:t>susp-water</w:t>
      </w:r>
      <w:r w:rsidRPr="00FE333D">
        <w:rPr>
          <w:rFonts w:cs="Arial"/>
          <w:lang w:val="nl-NL"/>
        </w:rPr>
        <w:t xml:space="preserve"> = 0.2 * 2.72*10</w:t>
      </w:r>
      <w:r w:rsidRPr="00FE333D">
        <w:rPr>
          <w:rFonts w:cs="Arial"/>
          <w:vertAlign w:val="superscript"/>
          <w:lang w:val="nl-NL"/>
        </w:rPr>
        <w:t>-6</w:t>
      </w:r>
      <w:r w:rsidRPr="00FE333D">
        <w:rPr>
          <w:rFonts w:cs="Arial"/>
          <w:lang w:val="nl-NL"/>
        </w:rPr>
        <w:t xml:space="preserve"> + 0.9 + 0.1 * 12.6 * 2500 /1000</w:t>
      </w:r>
    </w:p>
    <w:p w14:paraId="16311440" w14:textId="77777777" w:rsidR="00692E71" w:rsidRPr="00FE333D" w:rsidRDefault="00692E71" w:rsidP="00692E71">
      <w:pPr>
        <w:rPr>
          <w:rFonts w:cs="Arial"/>
          <w:lang w:val="nl-NL"/>
        </w:rPr>
      </w:pPr>
      <w:r w:rsidRPr="00FE333D">
        <w:rPr>
          <w:rFonts w:cs="Arial"/>
          <w:lang w:val="nl-NL"/>
        </w:rPr>
        <w:t>K</w:t>
      </w:r>
      <w:r w:rsidRPr="00FE333D">
        <w:rPr>
          <w:rFonts w:cs="Arial"/>
          <w:vertAlign w:val="subscript"/>
          <w:lang w:val="nl-NL"/>
        </w:rPr>
        <w:t>susp-water</w:t>
      </w:r>
      <w:r w:rsidRPr="00FE333D">
        <w:rPr>
          <w:rFonts w:cs="Arial"/>
          <w:lang w:val="nl-NL"/>
        </w:rPr>
        <w:t xml:space="preserve"> = 4.05 m</w:t>
      </w:r>
      <w:r w:rsidRPr="00FE333D">
        <w:rPr>
          <w:rFonts w:cs="Arial"/>
          <w:vertAlign w:val="superscript"/>
          <w:lang w:val="nl-NL"/>
        </w:rPr>
        <w:t>3</w:t>
      </w:r>
      <w:r w:rsidRPr="00FE333D">
        <w:rPr>
          <w:rFonts w:cs="Arial"/>
          <w:lang w:val="nl-NL"/>
        </w:rPr>
        <w:t>/m</w:t>
      </w:r>
      <w:r w:rsidRPr="00FE333D">
        <w:rPr>
          <w:rFonts w:cs="Arial"/>
          <w:vertAlign w:val="superscript"/>
          <w:lang w:val="nl-NL"/>
        </w:rPr>
        <w:t>3</w:t>
      </w:r>
    </w:p>
    <w:p w14:paraId="73E28907" w14:textId="77777777" w:rsidR="00692E71" w:rsidRPr="00FE333D" w:rsidRDefault="00692E71" w:rsidP="00692E71">
      <w:pPr>
        <w:rPr>
          <w:rFonts w:cs="Arial"/>
          <w:lang w:val="nl-NL"/>
        </w:rPr>
      </w:pPr>
    </w:p>
    <w:p w14:paraId="54AFD112" w14:textId="77777777" w:rsidR="00692E71" w:rsidRPr="00275290" w:rsidRDefault="00692E71" w:rsidP="00692E71">
      <w:pPr>
        <w:rPr>
          <w:rFonts w:cs="Arial"/>
        </w:rPr>
      </w:pPr>
      <w:r w:rsidRPr="00275290">
        <w:rPr>
          <w:rFonts w:cs="Arial"/>
        </w:rPr>
        <w:t>Clocal</w:t>
      </w:r>
      <w:r w:rsidRPr="00275290">
        <w:rPr>
          <w:rFonts w:cs="Arial"/>
          <w:vertAlign w:val="subscript"/>
        </w:rPr>
        <w:t>sed</w:t>
      </w:r>
      <w:proofErr w:type="gramStart"/>
      <w:r w:rsidRPr="00275290">
        <w:rPr>
          <w:rFonts w:cs="Arial"/>
          <w:vertAlign w:val="subscript"/>
        </w:rPr>
        <w:t>,total</w:t>
      </w:r>
      <w:proofErr w:type="gramEnd"/>
      <w:r w:rsidRPr="00275290">
        <w:rPr>
          <w:rFonts w:cs="Arial"/>
          <w:vertAlign w:val="subscript"/>
        </w:rPr>
        <w:t xml:space="preserve">, </w:t>
      </w:r>
      <w:r w:rsidRPr="00275290">
        <w:rPr>
          <w:rFonts w:cs="Arial"/>
          <w:iCs/>
          <w:vertAlign w:val="subscript"/>
        </w:rPr>
        <w:t xml:space="preserve">time1 </w:t>
      </w:r>
      <w:r w:rsidRPr="00275290">
        <w:rPr>
          <w:rFonts w:cs="Arial"/>
          <w:iCs/>
        </w:rPr>
        <w:t xml:space="preserve">= </w:t>
      </w:r>
      <w:r w:rsidRPr="00275290">
        <w:rPr>
          <w:rFonts w:cs="Arial"/>
          <w:i/>
          <w:iCs/>
        </w:rPr>
        <w:t>K</w:t>
      </w:r>
      <w:r w:rsidRPr="00275290">
        <w:rPr>
          <w:rFonts w:cs="Arial"/>
          <w:iCs/>
          <w:vertAlign w:val="subscript"/>
        </w:rPr>
        <w:t>susp-water</w:t>
      </w:r>
      <w:r w:rsidRPr="00275290">
        <w:rPr>
          <w:rFonts w:cs="Arial"/>
          <w:iCs/>
        </w:rPr>
        <w:t xml:space="preserve"> * </w:t>
      </w:r>
      <w:r w:rsidRPr="00275290">
        <w:rPr>
          <w:rFonts w:cs="Arial"/>
        </w:rPr>
        <w:t>Clocal</w:t>
      </w:r>
      <w:r w:rsidRPr="00275290">
        <w:rPr>
          <w:rFonts w:cs="Arial"/>
          <w:vertAlign w:val="subscript"/>
        </w:rPr>
        <w:t xml:space="preserve">water,total, </w:t>
      </w:r>
      <w:r w:rsidRPr="00275290">
        <w:rPr>
          <w:rFonts w:cs="Arial"/>
          <w:iCs/>
          <w:vertAlign w:val="subscript"/>
        </w:rPr>
        <w:t xml:space="preserve">time1 </w:t>
      </w:r>
      <w:r w:rsidRPr="00275290">
        <w:rPr>
          <w:rFonts w:cs="Arial"/>
          <w:iCs/>
        </w:rPr>
        <w:t>* 1000 / RHO</w:t>
      </w:r>
      <w:r w:rsidRPr="00275290">
        <w:rPr>
          <w:rFonts w:cs="Arial"/>
          <w:iCs/>
          <w:vertAlign w:val="subscript"/>
        </w:rPr>
        <w:t>susp</w:t>
      </w:r>
    </w:p>
    <w:p w14:paraId="77F47F5F" w14:textId="77777777" w:rsidR="00692E71" w:rsidRPr="00275290" w:rsidRDefault="00692E71" w:rsidP="00692E71">
      <w:pPr>
        <w:rPr>
          <w:rFonts w:cs="Arial"/>
        </w:rPr>
      </w:pPr>
      <w:r w:rsidRPr="00275290">
        <w:rPr>
          <w:rFonts w:cs="Arial"/>
        </w:rPr>
        <w:t>Clocal</w:t>
      </w:r>
      <w:r w:rsidRPr="00275290">
        <w:rPr>
          <w:rFonts w:cs="Arial"/>
          <w:vertAlign w:val="subscript"/>
        </w:rPr>
        <w:t>sed</w:t>
      </w:r>
      <w:proofErr w:type="gramStart"/>
      <w:r w:rsidRPr="00275290">
        <w:rPr>
          <w:rFonts w:cs="Arial"/>
          <w:vertAlign w:val="subscript"/>
        </w:rPr>
        <w:t>,total</w:t>
      </w:r>
      <w:proofErr w:type="gramEnd"/>
      <w:r w:rsidRPr="00275290">
        <w:rPr>
          <w:rFonts w:cs="Arial"/>
          <w:vertAlign w:val="subscript"/>
        </w:rPr>
        <w:t xml:space="preserve">, </w:t>
      </w:r>
      <w:r w:rsidRPr="00275290">
        <w:rPr>
          <w:rFonts w:cs="Arial"/>
          <w:iCs/>
          <w:vertAlign w:val="subscript"/>
        </w:rPr>
        <w:t xml:space="preserve">time1 </w:t>
      </w:r>
      <w:r w:rsidRPr="00275290">
        <w:rPr>
          <w:rFonts w:cs="Arial"/>
          <w:iCs/>
        </w:rPr>
        <w:t>= 4.05 * 3.13</w:t>
      </w:r>
      <w:r w:rsidRPr="00275290">
        <w:rPr>
          <w:rFonts w:cs="Arial"/>
        </w:rPr>
        <w:t>*10</w:t>
      </w:r>
      <w:r w:rsidRPr="00275290">
        <w:rPr>
          <w:rFonts w:cs="Arial"/>
          <w:vertAlign w:val="superscript"/>
        </w:rPr>
        <w:t xml:space="preserve">-5 </w:t>
      </w:r>
      <w:r w:rsidRPr="00275290">
        <w:rPr>
          <w:rFonts w:cs="Arial"/>
        </w:rPr>
        <w:t xml:space="preserve"> / 1150 </w:t>
      </w:r>
    </w:p>
    <w:p w14:paraId="79C74590" w14:textId="77777777" w:rsidR="00692E71" w:rsidRPr="00275290" w:rsidRDefault="00692E71" w:rsidP="00692E71">
      <w:pPr>
        <w:rPr>
          <w:rFonts w:cs="Arial"/>
          <w:iCs/>
        </w:rPr>
      </w:pPr>
      <w:r w:rsidRPr="00275290">
        <w:rPr>
          <w:rFonts w:cs="Arial"/>
        </w:rPr>
        <w:t>Clocal</w:t>
      </w:r>
      <w:r w:rsidRPr="00275290">
        <w:rPr>
          <w:rFonts w:cs="Arial"/>
          <w:vertAlign w:val="subscript"/>
        </w:rPr>
        <w:t>sed</w:t>
      </w:r>
      <w:proofErr w:type="gramStart"/>
      <w:r w:rsidRPr="00275290">
        <w:rPr>
          <w:rFonts w:cs="Arial"/>
          <w:vertAlign w:val="subscript"/>
        </w:rPr>
        <w:t>,total</w:t>
      </w:r>
      <w:proofErr w:type="gramEnd"/>
      <w:r w:rsidRPr="00275290">
        <w:rPr>
          <w:rFonts w:cs="Arial"/>
          <w:vertAlign w:val="subscript"/>
        </w:rPr>
        <w:t xml:space="preserve">, </w:t>
      </w:r>
      <w:r w:rsidRPr="00275290">
        <w:rPr>
          <w:rFonts w:cs="Arial"/>
          <w:iCs/>
          <w:vertAlign w:val="subscript"/>
        </w:rPr>
        <w:t xml:space="preserve">time1 </w:t>
      </w:r>
      <w:r w:rsidRPr="00275290">
        <w:rPr>
          <w:rFonts w:cs="Arial"/>
          <w:iCs/>
        </w:rPr>
        <w:t>= 1.10</w:t>
      </w:r>
      <w:r w:rsidRPr="00275290">
        <w:rPr>
          <w:rFonts w:cs="Arial"/>
        </w:rPr>
        <w:t>*10</w:t>
      </w:r>
      <w:r w:rsidRPr="00275290">
        <w:rPr>
          <w:rFonts w:cs="Arial"/>
          <w:vertAlign w:val="superscript"/>
        </w:rPr>
        <w:t xml:space="preserve">-7 </w:t>
      </w:r>
      <w:r w:rsidRPr="00275290">
        <w:rPr>
          <w:rFonts w:cs="Arial"/>
          <w:iCs/>
        </w:rPr>
        <w:t xml:space="preserve"> mg/kg</w:t>
      </w:r>
      <w:r w:rsidRPr="00275290">
        <w:rPr>
          <w:rFonts w:cs="Arial"/>
          <w:iCs/>
          <w:vertAlign w:val="subscript"/>
        </w:rPr>
        <w:t>wwt</w:t>
      </w:r>
    </w:p>
    <w:p w14:paraId="6CC48E6F" w14:textId="77777777" w:rsidR="00692E71" w:rsidRPr="00275290" w:rsidRDefault="00692E71" w:rsidP="00692E71">
      <w:pPr>
        <w:rPr>
          <w:rFonts w:cs="Arial"/>
          <w:iCs/>
        </w:rPr>
      </w:pPr>
    </w:p>
    <w:p w14:paraId="4B993288"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20</w:t>
      </w:r>
      <w:r w:rsidRPr="00275290">
        <w:rPr>
          <w:rFonts w:ascii="Verdana" w:hAnsi="Verdana"/>
        </w:rPr>
        <w:fldChar w:fldCharType="end"/>
      </w:r>
      <w:r w:rsidRPr="00275290">
        <w:rPr>
          <w:rFonts w:ascii="Verdana" w:hAnsi="Verdana"/>
        </w:rPr>
        <w:t>: Concentration in sediment from in-service of industrial treated wood (bridge over pond) taking removal into account.</w:t>
      </w:r>
    </w:p>
    <w:tbl>
      <w:tblPr>
        <w:tblW w:w="92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8"/>
        <w:gridCol w:w="1304"/>
        <w:gridCol w:w="2552"/>
        <w:gridCol w:w="1247"/>
        <w:gridCol w:w="850"/>
      </w:tblGrid>
      <w:tr w:rsidR="00692E71" w:rsidRPr="00275290" w14:paraId="4FC4740E" w14:textId="77777777" w:rsidTr="008E0250">
        <w:trPr>
          <w:trHeight w:val="283"/>
          <w:tblHeader/>
        </w:trPr>
        <w:tc>
          <w:tcPr>
            <w:tcW w:w="3288" w:type="dxa"/>
            <w:shd w:val="clear" w:color="auto" w:fill="D9D9D9" w:themeFill="background1" w:themeFillShade="D9"/>
            <w:vAlign w:val="center"/>
          </w:tcPr>
          <w:p w14:paraId="4F346F23" w14:textId="77777777" w:rsidR="00692E71" w:rsidRPr="00275290" w:rsidRDefault="00692E71" w:rsidP="008E0250">
            <w:pPr>
              <w:ind w:left="708"/>
              <w:jc w:val="center"/>
              <w:rPr>
                <w:rFonts w:cs="Arial"/>
                <w:b/>
              </w:rPr>
            </w:pPr>
            <w:r w:rsidRPr="00275290">
              <w:rPr>
                <w:rFonts w:cs="Arial"/>
                <w:b/>
              </w:rPr>
              <w:t>Parameter/variable</w:t>
            </w:r>
          </w:p>
        </w:tc>
        <w:tc>
          <w:tcPr>
            <w:tcW w:w="1304" w:type="dxa"/>
            <w:shd w:val="clear" w:color="auto" w:fill="D9D9D9" w:themeFill="background1" w:themeFillShade="D9"/>
            <w:vAlign w:val="center"/>
          </w:tcPr>
          <w:p w14:paraId="2998627D" w14:textId="77777777" w:rsidR="00692E71" w:rsidRPr="00275290" w:rsidRDefault="00692E71" w:rsidP="008E0250">
            <w:pPr>
              <w:jc w:val="center"/>
              <w:rPr>
                <w:rFonts w:cs="Arial"/>
                <w:b/>
              </w:rPr>
            </w:pPr>
            <w:r w:rsidRPr="00275290">
              <w:rPr>
                <w:rFonts w:cs="Arial"/>
                <w:b/>
              </w:rPr>
              <w:t>Nomencla-ture</w:t>
            </w:r>
          </w:p>
        </w:tc>
        <w:tc>
          <w:tcPr>
            <w:tcW w:w="2552" w:type="dxa"/>
            <w:shd w:val="clear" w:color="auto" w:fill="D9D9D9" w:themeFill="background1" w:themeFillShade="D9"/>
            <w:vAlign w:val="center"/>
          </w:tcPr>
          <w:p w14:paraId="560727E8" w14:textId="77777777" w:rsidR="00692E71" w:rsidRPr="00275290" w:rsidRDefault="00692E71" w:rsidP="008E0250">
            <w:pPr>
              <w:jc w:val="center"/>
              <w:rPr>
                <w:rFonts w:cs="Arial"/>
                <w:b/>
              </w:rPr>
            </w:pPr>
            <w:r w:rsidRPr="00275290">
              <w:rPr>
                <w:rFonts w:cs="Arial"/>
                <w:b/>
              </w:rPr>
              <w:t>Value</w:t>
            </w:r>
          </w:p>
        </w:tc>
        <w:tc>
          <w:tcPr>
            <w:tcW w:w="1247" w:type="dxa"/>
            <w:shd w:val="clear" w:color="auto" w:fill="D9D9D9" w:themeFill="background1" w:themeFillShade="D9"/>
            <w:vAlign w:val="center"/>
          </w:tcPr>
          <w:p w14:paraId="6B92C898" w14:textId="77777777" w:rsidR="00692E71" w:rsidRPr="00275290" w:rsidRDefault="00692E71" w:rsidP="008E0250">
            <w:pPr>
              <w:jc w:val="center"/>
              <w:rPr>
                <w:rFonts w:cs="Arial"/>
                <w:b/>
              </w:rPr>
            </w:pPr>
            <w:r w:rsidRPr="00275290">
              <w:rPr>
                <w:rFonts w:cs="Arial"/>
                <w:b/>
              </w:rPr>
              <w:t>Unit</w:t>
            </w:r>
          </w:p>
        </w:tc>
        <w:tc>
          <w:tcPr>
            <w:tcW w:w="850" w:type="dxa"/>
            <w:shd w:val="clear" w:color="auto" w:fill="D9D9D9" w:themeFill="background1" w:themeFillShade="D9"/>
            <w:vAlign w:val="center"/>
          </w:tcPr>
          <w:p w14:paraId="79265CD6" w14:textId="77777777" w:rsidR="00692E71" w:rsidRPr="00275290" w:rsidRDefault="00692E71" w:rsidP="008E0250">
            <w:pPr>
              <w:jc w:val="center"/>
              <w:rPr>
                <w:rFonts w:cs="Arial"/>
                <w:b/>
              </w:rPr>
            </w:pPr>
            <w:r w:rsidRPr="00275290">
              <w:rPr>
                <w:rFonts w:cs="Arial"/>
                <w:b/>
              </w:rPr>
              <w:t>Origin</w:t>
            </w:r>
          </w:p>
        </w:tc>
      </w:tr>
      <w:tr w:rsidR="00692E71" w:rsidRPr="00275290" w14:paraId="5D59602F" w14:textId="77777777" w:rsidTr="008E0250">
        <w:trPr>
          <w:trHeight w:val="283"/>
        </w:trPr>
        <w:tc>
          <w:tcPr>
            <w:tcW w:w="9241" w:type="dxa"/>
            <w:gridSpan w:val="5"/>
            <w:vAlign w:val="center"/>
          </w:tcPr>
          <w:p w14:paraId="3EA50FBB" w14:textId="77777777" w:rsidR="00692E71" w:rsidRPr="00275290" w:rsidRDefault="00692E71" w:rsidP="008E0250">
            <w:pPr>
              <w:rPr>
                <w:rFonts w:cs="Arial"/>
                <w:b/>
              </w:rPr>
            </w:pPr>
            <w:r w:rsidRPr="00275290">
              <w:rPr>
                <w:rFonts w:cs="Arial"/>
                <w:b/>
              </w:rPr>
              <w:t>OUTPUT EMISSION</w:t>
            </w:r>
          </w:p>
        </w:tc>
      </w:tr>
      <w:tr w:rsidR="00692E71" w:rsidRPr="00275290" w14:paraId="17934875" w14:textId="77777777" w:rsidTr="008E0250">
        <w:trPr>
          <w:cantSplit/>
        </w:trPr>
        <w:tc>
          <w:tcPr>
            <w:tcW w:w="3288" w:type="dxa"/>
            <w:vAlign w:val="center"/>
          </w:tcPr>
          <w:p w14:paraId="48CBD074" w14:textId="77777777" w:rsidR="00692E71" w:rsidRPr="00275290" w:rsidRDefault="00692E71" w:rsidP="008E0250">
            <w:pPr>
              <w:rPr>
                <w:rFonts w:cs="Arial"/>
                <w:i/>
                <w:iCs/>
              </w:rPr>
            </w:pPr>
            <w:r w:rsidRPr="00275290">
              <w:rPr>
                <w:rFonts w:cs="Arial"/>
              </w:rPr>
              <w:t xml:space="preserve">Average concentrations in sediment over the initial assessment period (30d) </w:t>
            </w:r>
          </w:p>
        </w:tc>
        <w:tc>
          <w:tcPr>
            <w:tcW w:w="1304" w:type="dxa"/>
            <w:vAlign w:val="center"/>
          </w:tcPr>
          <w:p w14:paraId="4E08C2C3" w14:textId="77777777" w:rsidR="00692E71" w:rsidRPr="00275290" w:rsidRDefault="00692E71" w:rsidP="008E0250">
            <w:pPr>
              <w:rPr>
                <w:rFonts w:cs="Arial"/>
              </w:rPr>
            </w:pPr>
            <w:r w:rsidRPr="00275290">
              <w:rPr>
                <w:rFonts w:cs="Arial"/>
              </w:rPr>
              <w:t>Clocal</w:t>
            </w:r>
            <w:r w:rsidRPr="00275290">
              <w:rPr>
                <w:rFonts w:cs="Arial"/>
                <w:vertAlign w:val="subscript"/>
              </w:rPr>
              <w:t xml:space="preserve">sed,total, </w:t>
            </w:r>
            <w:r w:rsidRPr="00275290">
              <w:rPr>
                <w:rFonts w:cs="Arial"/>
                <w:iCs/>
                <w:vertAlign w:val="subscript"/>
              </w:rPr>
              <w:t>time1</w:t>
            </w:r>
          </w:p>
        </w:tc>
        <w:tc>
          <w:tcPr>
            <w:tcW w:w="2552" w:type="dxa"/>
            <w:vAlign w:val="center"/>
          </w:tcPr>
          <w:p w14:paraId="41249DC3" w14:textId="77777777" w:rsidR="00692E71" w:rsidRPr="00275290" w:rsidRDefault="00692E71" w:rsidP="008E0250">
            <w:pPr>
              <w:jc w:val="center"/>
              <w:rPr>
                <w:rFonts w:cs="Arial"/>
              </w:rPr>
            </w:pPr>
            <w:r w:rsidRPr="00275290">
              <w:rPr>
                <w:rFonts w:cs="Arial"/>
                <w:iCs/>
              </w:rPr>
              <w:t>1.1</w:t>
            </w:r>
            <w:r w:rsidRPr="00275290">
              <w:rPr>
                <w:rFonts w:cs="Arial"/>
              </w:rPr>
              <w:t>*10</w:t>
            </w:r>
            <w:r w:rsidRPr="00275290">
              <w:rPr>
                <w:rFonts w:cs="Arial"/>
                <w:vertAlign w:val="superscript"/>
              </w:rPr>
              <w:t>-6</w:t>
            </w:r>
            <w:r w:rsidRPr="00275290">
              <w:rPr>
                <w:rFonts w:cs="Arial"/>
              </w:rPr>
              <w:t xml:space="preserve"> (IPBC)</w:t>
            </w:r>
          </w:p>
          <w:p w14:paraId="34C52366" w14:textId="77777777" w:rsidR="00692E71" w:rsidRPr="00275290" w:rsidRDefault="00692E71" w:rsidP="008E0250">
            <w:pPr>
              <w:jc w:val="center"/>
              <w:rPr>
                <w:rFonts w:cs="Arial"/>
              </w:rPr>
            </w:pPr>
            <w:r w:rsidRPr="00275290">
              <w:rPr>
                <w:rFonts w:cs="Arial"/>
              </w:rPr>
              <w:t>2</w:t>
            </w:r>
            <w:r w:rsidRPr="00275290">
              <w:rPr>
                <w:rFonts w:cs="Arial"/>
                <w:iCs/>
              </w:rPr>
              <w:t>.1</w:t>
            </w:r>
            <w:r w:rsidRPr="00275290">
              <w:rPr>
                <w:rFonts w:cs="Arial"/>
              </w:rPr>
              <w:t>*10</w:t>
            </w:r>
            <w:r w:rsidRPr="00275290">
              <w:rPr>
                <w:rFonts w:cs="Arial"/>
                <w:vertAlign w:val="superscript"/>
              </w:rPr>
              <w:t>-3</w:t>
            </w:r>
            <w:r w:rsidRPr="00275290">
              <w:rPr>
                <w:rFonts w:cs="Arial"/>
              </w:rPr>
              <w:t xml:space="preserve"> (propiconazole)</w:t>
            </w:r>
          </w:p>
          <w:p w14:paraId="09EBC691" w14:textId="77777777" w:rsidR="00692E71" w:rsidRPr="00275290" w:rsidRDefault="00692E71" w:rsidP="008E0250">
            <w:pPr>
              <w:jc w:val="center"/>
              <w:rPr>
                <w:rFonts w:cs="Arial"/>
              </w:rPr>
            </w:pPr>
            <w:r w:rsidRPr="00275290">
              <w:rPr>
                <w:rFonts w:cs="Arial"/>
              </w:rPr>
              <w:t>9.3*10</w:t>
            </w:r>
            <w:r w:rsidRPr="00275290">
              <w:rPr>
                <w:rFonts w:cs="Arial"/>
                <w:vertAlign w:val="superscript"/>
              </w:rPr>
              <w:t>-4</w:t>
            </w:r>
            <w:r w:rsidRPr="00275290">
              <w:rPr>
                <w:rFonts w:cs="Arial"/>
              </w:rPr>
              <w:t xml:space="preserve"> (tebuconazole)</w:t>
            </w:r>
          </w:p>
          <w:p w14:paraId="352D593B" w14:textId="77777777" w:rsidR="00692E71" w:rsidRPr="00275290" w:rsidRDefault="00692E71" w:rsidP="008E0250">
            <w:pPr>
              <w:jc w:val="center"/>
              <w:rPr>
                <w:rFonts w:cs="Arial"/>
              </w:rPr>
            </w:pPr>
            <w:r w:rsidRPr="00275290">
              <w:rPr>
                <w:rFonts w:cs="Arial"/>
                <w:iCs/>
              </w:rPr>
              <w:t>6.0</w:t>
            </w:r>
            <w:r w:rsidRPr="00275290">
              <w:rPr>
                <w:rFonts w:cs="Arial"/>
              </w:rPr>
              <w:t>*10</w:t>
            </w:r>
            <w:r w:rsidRPr="00275290">
              <w:rPr>
                <w:rFonts w:cs="Arial"/>
                <w:vertAlign w:val="superscript"/>
              </w:rPr>
              <w:t>-5</w:t>
            </w:r>
            <w:r w:rsidRPr="00275290">
              <w:rPr>
                <w:rFonts w:cs="Arial"/>
              </w:rPr>
              <w:t xml:space="preserve"> (cypermethrin)</w:t>
            </w:r>
          </w:p>
        </w:tc>
        <w:tc>
          <w:tcPr>
            <w:tcW w:w="1247" w:type="dxa"/>
            <w:vAlign w:val="center"/>
          </w:tcPr>
          <w:p w14:paraId="27C4FAE3" w14:textId="77777777" w:rsidR="00692E71" w:rsidRPr="00275290" w:rsidRDefault="00692E71" w:rsidP="008E0250">
            <w:pPr>
              <w:jc w:val="center"/>
              <w:rPr>
                <w:rFonts w:cs="Arial"/>
                <w:i/>
                <w:iCs/>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850" w:type="dxa"/>
            <w:vAlign w:val="center"/>
          </w:tcPr>
          <w:p w14:paraId="4AD990C2" w14:textId="77777777" w:rsidR="00692E71" w:rsidRPr="00275290" w:rsidRDefault="00692E71" w:rsidP="008E0250">
            <w:pPr>
              <w:jc w:val="center"/>
              <w:rPr>
                <w:rFonts w:cs="Arial"/>
              </w:rPr>
            </w:pPr>
            <w:r w:rsidRPr="00275290">
              <w:rPr>
                <w:rFonts w:cs="Arial"/>
              </w:rPr>
              <w:t>O</w:t>
            </w:r>
          </w:p>
        </w:tc>
      </w:tr>
      <w:tr w:rsidR="00692E71" w:rsidRPr="00275290" w14:paraId="31C61C9D" w14:textId="77777777" w:rsidTr="008E0250">
        <w:trPr>
          <w:cantSplit/>
        </w:trPr>
        <w:tc>
          <w:tcPr>
            <w:tcW w:w="3288" w:type="dxa"/>
            <w:vAlign w:val="center"/>
          </w:tcPr>
          <w:p w14:paraId="084F6C27" w14:textId="77777777" w:rsidR="00692E71" w:rsidRPr="00275290" w:rsidRDefault="00692E71" w:rsidP="008E0250">
            <w:pPr>
              <w:rPr>
                <w:rFonts w:cs="Arial"/>
              </w:rPr>
            </w:pPr>
            <w:r w:rsidRPr="00275290">
              <w:rPr>
                <w:rFonts w:cs="Arial"/>
              </w:rPr>
              <w:lastRenderedPageBreak/>
              <w:t>Average concentrations in sediment over a longer duration (5475d)</w:t>
            </w:r>
          </w:p>
        </w:tc>
        <w:tc>
          <w:tcPr>
            <w:tcW w:w="1304" w:type="dxa"/>
            <w:vAlign w:val="center"/>
          </w:tcPr>
          <w:p w14:paraId="69F4B7C2" w14:textId="77777777" w:rsidR="00692E71" w:rsidRPr="00275290" w:rsidRDefault="00692E71" w:rsidP="008E0250">
            <w:pPr>
              <w:keepNext/>
              <w:keepLines/>
              <w:rPr>
                <w:rFonts w:cs="Arial"/>
              </w:rPr>
            </w:pPr>
            <w:r w:rsidRPr="00275290">
              <w:rPr>
                <w:rFonts w:cs="Arial"/>
              </w:rPr>
              <w:t>Clocal</w:t>
            </w:r>
            <w:r w:rsidRPr="00275290">
              <w:rPr>
                <w:rFonts w:cs="Arial"/>
                <w:vertAlign w:val="subscript"/>
              </w:rPr>
              <w:t xml:space="preserve">sed,total, </w:t>
            </w:r>
            <w:r w:rsidRPr="00275290">
              <w:rPr>
                <w:rFonts w:cs="Arial"/>
                <w:iCs/>
                <w:vertAlign w:val="subscript"/>
              </w:rPr>
              <w:t>time2</w:t>
            </w:r>
          </w:p>
        </w:tc>
        <w:tc>
          <w:tcPr>
            <w:tcW w:w="2552" w:type="dxa"/>
            <w:vAlign w:val="center"/>
          </w:tcPr>
          <w:p w14:paraId="6C3A7207" w14:textId="77777777" w:rsidR="00692E71" w:rsidRPr="00275290" w:rsidRDefault="00692E71" w:rsidP="008E0250">
            <w:pPr>
              <w:keepNext/>
              <w:keepLines/>
              <w:jc w:val="center"/>
              <w:rPr>
                <w:rFonts w:cs="Arial"/>
              </w:rPr>
            </w:pPr>
            <w:r w:rsidRPr="00275290">
              <w:rPr>
                <w:rFonts w:cs="Arial"/>
                <w:iCs/>
              </w:rPr>
              <w:t>3.9</w:t>
            </w:r>
            <w:r w:rsidRPr="00275290">
              <w:rPr>
                <w:rFonts w:cs="Arial"/>
              </w:rPr>
              <w:t>*10</w:t>
            </w:r>
            <w:r w:rsidRPr="00275290">
              <w:rPr>
                <w:rFonts w:cs="Arial"/>
                <w:vertAlign w:val="superscript"/>
              </w:rPr>
              <w:t>-8</w:t>
            </w:r>
            <w:r w:rsidRPr="00275290">
              <w:rPr>
                <w:rFonts w:cs="Arial"/>
              </w:rPr>
              <w:t xml:space="preserve"> (IPBC)</w:t>
            </w:r>
          </w:p>
          <w:p w14:paraId="19356D9B" w14:textId="77777777" w:rsidR="00692E71" w:rsidRPr="00275290" w:rsidRDefault="00692E71" w:rsidP="008E0250">
            <w:pPr>
              <w:keepNext/>
              <w:keepLines/>
              <w:jc w:val="center"/>
              <w:rPr>
                <w:rFonts w:cs="Arial"/>
              </w:rPr>
            </w:pPr>
            <w:r w:rsidRPr="00275290">
              <w:rPr>
                <w:rFonts w:cs="Arial"/>
                <w:iCs/>
              </w:rPr>
              <w:t>8.3</w:t>
            </w:r>
            <w:r w:rsidRPr="00275290">
              <w:rPr>
                <w:rFonts w:cs="Arial"/>
              </w:rPr>
              <w:t>*10</w:t>
            </w:r>
            <w:r w:rsidRPr="00275290">
              <w:rPr>
                <w:rFonts w:cs="Arial"/>
                <w:vertAlign w:val="superscript"/>
              </w:rPr>
              <w:t>-3</w:t>
            </w:r>
            <w:r w:rsidRPr="00275290">
              <w:rPr>
                <w:rFonts w:cs="Arial"/>
              </w:rPr>
              <w:t xml:space="preserve"> (propiconazole)</w:t>
            </w:r>
          </w:p>
          <w:p w14:paraId="31BA9EEA" w14:textId="77777777" w:rsidR="00692E71" w:rsidRPr="00275290" w:rsidRDefault="00692E71" w:rsidP="008E0250">
            <w:pPr>
              <w:keepNext/>
              <w:keepLines/>
              <w:jc w:val="center"/>
              <w:rPr>
                <w:rFonts w:cs="Arial"/>
              </w:rPr>
            </w:pPr>
            <w:r w:rsidRPr="00275290">
              <w:rPr>
                <w:rFonts w:cs="Arial"/>
              </w:rPr>
              <w:t>7.2*10</w:t>
            </w:r>
            <w:r w:rsidRPr="00275290">
              <w:rPr>
                <w:rFonts w:cs="Arial"/>
                <w:vertAlign w:val="superscript"/>
              </w:rPr>
              <w:t>-4</w:t>
            </w:r>
            <w:r w:rsidRPr="00275290">
              <w:rPr>
                <w:rFonts w:cs="Arial"/>
              </w:rPr>
              <w:t xml:space="preserve"> (tebuconazole)</w:t>
            </w:r>
          </w:p>
          <w:p w14:paraId="5F6F350C" w14:textId="77777777" w:rsidR="00692E71" w:rsidRPr="00275290" w:rsidRDefault="00692E71" w:rsidP="008E0250">
            <w:pPr>
              <w:keepNext/>
              <w:keepLines/>
              <w:jc w:val="center"/>
              <w:rPr>
                <w:rFonts w:cs="Arial"/>
                <w:iCs/>
              </w:rPr>
            </w:pPr>
            <w:r w:rsidRPr="00275290">
              <w:rPr>
                <w:rFonts w:cs="Arial"/>
                <w:iCs/>
              </w:rPr>
              <w:t>8.4</w:t>
            </w:r>
            <w:r w:rsidRPr="00275290">
              <w:rPr>
                <w:rFonts w:cs="Arial"/>
              </w:rPr>
              <w:t>*10</w:t>
            </w:r>
            <w:r w:rsidRPr="00275290">
              <w:rPr>
                <w:rFonts w:cs="Arial"/>
                <w:vertAlign w:val="superscript"/>
              </w:rPr>
              <w:t>-5</w:t>
            </w:r>
            <w:r w:rsidRPr="00275290">
              <w:rPr>
                <w:rFonts w:cs="Arial"/>
              </w:rPr>
              <w:t xml:space="preserve"> (cypermethrin)</w:t>
            </w:r>
          </w:p>
        </w:tc>
        <w:tc>
          <w:tcPr>
            <w:tcW w:w="1247" w:type="dxa"/>
            <w:vAlign w:val="center"/>
          </w:tcPr>
          <w:p w14:paraId="4852F67C"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850" w:type="dxa"/>
            <w:vAlign w:val="center"/>
          </w:tcPr>
          <w:p w14:paraId="31C6C6D1" w14:textId="77777777" w:rsidR="00692E71" w:rsidRPr="00275290" w:rsidRDefault="00692E71" w:rsidP="008E0250">
            <w:pPr>
              <w:keepNext/>
              <w:keepLines/>
              <w:jc w:val="center"/>
              <w:rPr>
                <w:rFonts w:cs="Arial"/>
              </w:rPr>
            </w:pPr>
            <w:r w:rsidRPr="00275290">
              <w:rPr>
                <w:rFonts w:cs="Arial"/>
              </w:rPr>
              <w:t>O</w:t>
            </w:r>
          </w:p>
        </w:tc>
      </w:tr>
    </w:tbl>
    <w:p w14:paraId="184480F7" w14:textId="77777777" w:rsidR="00692E71" w:rsidRPr="00575E63" w:rsidRDefault="00692E71" w:rsidP="00692E71">
      <w:pPr>
        <w:rPr>
          <w:rFonts w:ascii="Arial" w:hAnsi="Arial" w:cs="Arial"/>
        </w:rPr>
      </w:pPr>
    </w:p>
    <w:p w14:paraId="1714339D" w14:textId="77777777" w:rsidR="00692E71" w:rsidRPr="00FE333D" w:rsidRDefault="00692E71" w:rsidP="003356DA">
      <w:pPr>
        <w:pStyle w:val="Titre6"/>
        <w:rPr>
          <w:lang w:val="en-US"/>
        </w:rPr>
      </w:pPr>
      <w:bookmarkStart w:id="133" w:name="_Toc452668998"/>
      <w:r w:rsidRPr="00FE333D">
        <w:rPr>
          <w:lang w:val="en-US"/>
        </w:rPr>
        <w:t>Combined concentrations in soil and in pore-water from in-situ treatment and in-service</w:t>
      </w:r>
      <w:bookmarkEnd w:id="133"/>
    </w:p>
    <w:p w14:paraId="7D0CC421" w14:textId="77777777" w:rsidR="00692E71" w:rsidRPr="00275290" w:rsidRDefault="00692E71" w:rsidP="00692E71">
      <w:pPr>
        <w:rPr>
          <w:rFonts w:cs="Arial"/>
        </w:rPr>
      </w:pPr>
    </w:p>
    <w:p w14:paraId="6DCD2BBC" w14:textId="77777777" w:rsidR="00692E71" w:rsidRPr="00275290" w:rsidRDefault="00692E71" w:rsidP="00692E71">
      <w:pPr>
        <w:rPr>
          <w:rFonts w:cs="Arial"/>
        </w:rPr>
      </w:pPr>
      <w:r w:rsidRPr="00275290">
        <w:rPr>
          <w:rFonts w:cs="Arial"/>
        </w:rPr>
        <w:t xml:space="preserve">The combined concentrations for </w:t>
      </w:r>
      <w:r w:rsidRPr="00275290">
        <w:rPr>
          <w:rFonts w:cs="Arial"/>
          <w:i/>
        </w:rPr>
        <w:t>in-situ</w:t>
      </w:r>
      <w:r w:rsidRPr="00275290">
        <w:rPr>
          <w:rFonts w:cs="Arial"/>
        </w:rPr>
        <w:t xml:space="preserve"> application (professional and non-professional application) and in service emissions are presented in the following sections. In a first tier, removal is not taken into account, while the second tier is also considering removal processes.</w:t>
      </w:r>
    </w:p>
    <w:p w14:paraId="7313ADFA" w14:textId="77777777" w:rsidR="00692E71" w:rsidRPr="00275290" w:rsidRDefault="00692E71" w:rsidP="00692E71">
      <w:pPr>
        <w:rPr>
          <w:rFonts w:cs="Arial"/>
        </w:rPr>
      </w:pPr>
    </w:p>
    <w:p w14:paraId="55063233" w14:textId="77777777" w:rsidR="00692E71" w:rsidRPr="00FE333D" w:rsidRDefault="00692E71" w:rsidP="003356DA">
      <w:pPr>
        <w:pStyle w:val="Titre7"/>
        <w:rPr>
          <w:lang w:val="en-US"/>
        </w:rPr>
      </w:pPr>
      <w:bookmarkStart w:id="134" w:name="_Toc452668999"/>
      <w:r w:rsidRPr="00FE333D">
        <w:rPr>
          <w:lang w:val="en-US"/>
        </w:rPr>
        <w:t>House scenario, combined concentrations in soil and in pore-water from in-situ treatment and in-service</w:t>
      </w:r>
      <w:bookmarkEnd w:id="134"/>
    </w:p>
    <w:p w14:paraId="69C0BB65" w14:textId="77777777" w:rsidR="00692E71" w:rsidRPr="00575E63" w:rsidRDefault="00692E71" w:rsidP="00692E71">
      <w:pPr>
        <w:rPr>
          <w:rFonts w:ascii="Arial" w:hAnsi="Arial" w:cs="Arial"/>
        </w:rPr>
      </w:pPr>
    </w:p>
    <w:p w14:paraId="21E20EF9" w14:textId="77777777" w:rsidR="00692E71" w:rsidRPr="00575E63" w:rsidRDefault="00692E71" w:rsidP="00692E71">
      <w:pPr>
        <w:rPr>
          <w:rFonts w:ascii="Arial" w:hAnsi="Arial" w:cs="Arial"/>
        </w:rPr>
      </w:pPr>
      <w:r w:rsidRPr="00575E63">
        <w:rPr>
          <w:rFonts w:ascii="Arial" w:hAnsi="Arial" w:cs="Arial"/>
          <w:b/>
        </w:rPr>
        <w:t>- Combined concentrations not taking removal into account, House scenario</w:t>
      </w:r>
    </w:p>
    <w:p w14:paraId="786534E7" w14:textId="77777777" w:rsidR="00692E71" w:rsidRPr="00575E63" w:rsidRDefault="00692E71" w:rsidP="00692E71">
      <w:pPr>
        <w:rPr>
          <w:rFonts w:ascii="Arial" w:hAnsi="Arial" w:cs="Arial"/>
        </w:rPr>
      </w:pPr>
    </w:p>
    <w:p w14:paraId="5DAB88F0"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21</w:t>
      </w:r>
      <w:r w:rsidRPr="00275290">
        <w:rPr>
          <w:rFonts w:ascii="Verdana" w:hAnsi="Verdana"/>
        </w:rPr>
        <w:fldChar w:fldCharType="end"/>
      </w:r>
      <w:r w:rsidRPr="00275290">
        <w:rPr>
          <w:rFonts w:ascii="Verdana" w:hAnsi="Verdana"/>
        </w:rPr>
        <w:t xml:space="preserve">: Combined concentration in soil and in soil pore-water from brushing in-situ and in-service based on the house scenario, removal not considered.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5"/>
        <w:gridCol w:w="1725"/>
        <w:gridCol w:w="2268"/>
        <w:gridCol w:w="1134"/>
        <w:gridCol w:w="850"/>
      </w:tblGrid>
      <w:tr w:rsidR="00692E71" w:rsidRPr="00275290" w14:paraId="4A93C124" w14:textId="77777777" w:rsidTr="008E0250">
        <w:trPr>
          <w:trHeight w:val="283"/>
        </w:trPr>
        <w:tc>
          <w:tcPr>
            <w:tcW w:w="3345" w:type="dxa"/>
            <w:shd w:val="clear" w:color="auto" w:fill="D9D9D9" w:themeFill="background1" w:themeFillShade="D9"/>
            <w:vAlign w:val="center"/>
          </w:tcPr>
          <w:p w14:paraId="18B14551" w14:textId="77777777" w:rsidR="00692E71" w:rsidRPr="00275290" w:rsidRDefault="00692E71" w:rsidP="008E0250">
            <w:pPr>
              <w:jc w:val="center"/>
              <w:rPr>
                <w:rFonts w:cs="Arial"/>
                <w:b/>
                <w:sz w:val="18"/>
                <w:szCs w:val="18"/>
              </w:rPr>
            </w:pPr>
            <w:r w:rsidRPr="00275290">
              <w:rPr>
                <w:rFonts w:cs="Arial"/>
                <w:b/>
                <w:sz w:val="18"/>
                <w:szCs w:val="18"/>
              </w:rPr>
              <w:t>Parameter/variable</w:t>
            </w:r>
          </w:p>
        </w:tc>
        <w:tc>
          <w:tcPr>
            <w:tcW w:w="1725" w:type="dxa"/>
            <w:shd w:val="clear" w:color="auto" w:fill="D9D9D9" w:themeFill="background1" w:themeFillShade="D9"/>
            <w:vAlign w:val="center"/>
          </w:tcPr>
          <w:p w14:paraId="63BCFE01" w14:textId="77777777" w:rsidR="00692E71" w:rsidRPr="00275290" w:rsidRDefault="00692E71" w:rsidP="008E0250">
            <w:pPr>
              <w:jc w:val="center"/>
              <w:rPr>
                <w:rFonts w:cs="Arial"/>
                <w:b/>
                <w:sz w:val="18"/>
                <w:szCs w:val="18"/>
              </w:rPr>
            </w:pPr>
            <w:r w:rsidRPr="00275290">
              <w:rPr>
                <w:rFonts w:cs="Arial"/>
                <w:b/>
                <w:sz w:val="18"/>
                <w:szCs w:val="18"/>
              </w:rPr>
              <w:t>Nomenclature</w:t>
            </w:r>
          </w:p>
        </w:tc>
        <w:tc>
          <w:tcPr>
            <w:tcW w:w="2268" w:type="dxa"/>
            <w:shd w:val="clear" w:color="auto" w:fill="D9D9D9" w:themeFill="background1" w:themeFillShade="D9"/>
            <w:vAlign w:val="center"/>
          </w:tcPr>
          <w:p w14:paraId="64695470" w14:textId="77777777" w:rsidR="00692E71" w:rsidRPr="00275290" w:rsidRDefault="00692E71" w:rsidP="008E0250">
            <w:pPr>
              <w:jc w:val="center"/>
              <w:rPr>
                <w:rFonts w:cs="Arial"/>
                <w:b/>
                <w:sz w:val="18"/>
                <w:szCs w:val="18"/>
              </w:rPr>
            </w:pPr>
            <w:r w:rsidRPr="00275290">
              <w:rPr>
                <w:rFonts w:cs="Arial"/>
                <w:b/>
                <w:sz w:val="18"/>
                <w:szCs w:val="18"/>
              </w:rPr>
              <w:t>Value</w:t>
            </w:r>
          </w:p>
        </w:tc>
        <w:tc>
          <w:tcPr>
            <w:tcW w:w="1134" w:type="dxa"/>
            <w:shd w:val="clear" w:color="auto" w:fill="D9D9D9" w:themeFill="background1" w:themeFillShade="D9"/>
            <w:vAlign w:val="center"/>
          </w:tcPr>
          <w:p w14:paraId="37D931FE" w14:textId="77777777" w:rsidR="00692E71" w:rsidRPr="00275290" w:rsidRDefault="00692E71" w:rsidP="008E0250">
            <w:pPr>
              <w:jc w:val="center"/>
              <w:rPr>
                <w:rFonts w:cs="Arial"/>
                <w:b/>
                <w:sz w:val="18"/>
                <w:szCs w:val="18"/>
              </w:rPr>
            </w:pPr>
            <w:r w:rsidRPr="00275290">
              <w:rPr>
                <w:rFonts w:cs="Arial"/>
                <w:b/>
                <w:sz w:val="18"/>
                <w:szCs w:val="18"/>
              </w:rPr>
              <w:t>Unit</w:t>
            </w:r>
          </w:p>
        </w:tc>
        <w:tc>
          <w:tcPr>
            <w:tcW w:w="850" w:type="dxa"/>
            <w:shd w:val="clear" w:color="auto" w:fill="D9D9D9" w:themeFill="background1" w:themeFillShade="D9"/>
            <w:vAlign w:val="center"/>
          </w:tcPr>
          <w:p w14:paraId="225FA6EE" w14:textId="77777777" w:rsidR="00692E71" w:rsidRPr="00275290" w:rsidRDefault="00692E71" w:rsidP="008E0250">
            <w:pPr>
              <w:jc w:val="center"/>
              <w:rPr>
                <w:rFonts w:cs="Arial"/>
                <w:b/>
                <w:sz w:val="18"/>
                <w:szCs w:val="18"/>
              </w:rPr>
            </w:pPr>
            <w:r w:rsidRPr="00275290">
              <w:rPr>
                <w:rFonts w:cs="Arial"/>
                <w:b/>
                <w:sz w:val="18"/>
                <w:szCs w:val="18"/>
              </w:rPr>
              <w:t>Origin</w:t>
            </w:r>
          </w:p>
        </w:tc>
      </w:tr>
      <w:tr w:rsidR="00692E71" w:rsidRPr="00275290" w14:paraId="499DCB5E" w14:textId="77777777" w:rsidTr="008E0250">
        <w:trPr>
          <w:trHeight w:val="283"/>
        </w:trPr>
        <w:tc>
          <w:tcPr>
            <w:tcW w:w="9322" w:type="dxa"/>
            <w:gridSpan w:val="5"/>
            <w:vAlign w:val="center"/>
          </w:tcPr>
          <w:p w14:paraId="21656343" w14:textId="77777777" w:rsidR="00692E71" w:rsidRPr="00275290" w:rsidRDefault="00692E71" w:rsidP="008E0250">
            <w:pPr>
              <w:rPr>
                <w:rFonts w:cs="Arial"/>
                <w:b/>
                <w:sz w:val="18"/>
                <w:szCs w:val="18"/>
              </w:rPr>
            </w:pPr>
            <w:r w:rsidRPr="00275290">
              <w:rPr>
                <w:rFonts w:cs="Arial"/>
                <w:b/>
                <w:sz w:val="18"/>
                <w:szCs w:val="18"/>
              </w:rPr>
              <w:t>OUTPUT EMISSION</w:t>
            </w:r>
          </w:p>
        </w:tc>
      </w:tr>
      <w:tr w:rsidR="00692E71" w:rsidRPr="00275290" w14:paraId="3432F59C" w14:textId="77777777" w:rsidTr="008E0250">
        <w:tc>
          <w:tcPr>
            <w:tcW w:w="3345" w:type="dxa"/>
            <w:vAlign w:val="center"/>
          </w:tcPr>
          <w:p w14:paraId="458FC0AC" w14:textId="77777777" w:rsidR="00692E71" w:rsidRPr="00275290" w:rsidRDefault="00692E71" w:rsidP="008E0250">
            <w:pPr>
              <w:rPr>
                <w:rFonts w:cs="Arial"/>
                <w:i/>
                <w:iCs/>
                <w:sz w:val="18"/>
                <w:szCs w:val="18"/>
              </w:rPr>
            </w:pPr>
            <w:r w:rsidRPr="00275290">
              <w:rPr>
                <w:rFonts w:cs="Arial"/>
                <w:sz w:val="18"/>
                <w:szCs w:val="18"/>
              </w:rPr>
              <w:t>Combined concentrations in soil resulting from application (brushing) and leaching of treated wood (30d), professional application</w:t>
            </w:r>
          </w:p>
        </w:tc>
        <w:tc>
          <w:tcPr>
            <w:tcW w:w="1725" w:type="dxa"/>
            <w:vAlign w:val="center"/>
          </w:tcPr>
          <w:p w14:paraId="36DF5310"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w:t>
            </w:r>
            <w:r w:rsidRPr="00275290">
              <w:rPr>
                <w:rFonts w:cs="Arial"/>
                <w:iCs/>
                <w:sz w:val="18"/>
                <w:szCs w:val="18"/>
                <w:vertAlign w:val="subscript"/>
              </w:rPr>
              <w:t>time1</w:t>
            </w:r>
          </w:p>
        </w:tc>
        <w:tc>
          <w:tcPr>
            <w:tcW w:w="2268" w:type="dxa"/>
            <w:vAlign w:val="center"/>
          </w:tcPr>
          <w:p w14:paraId="308258B7" w14:textId="77777777" w:rsidR="00692E71" w:rsidRPr="00275290" w:rsidRDefault="00692E71" w:rsidP="008E0250">
            <w:pPr>
              <w:jc w:val="center"/>
              <w:rPr>
                <w:rFonts w:cs="Arial"/>
                <w:sz w:val="18"/>
                <w:szCs w:val="18"/>
              </w:rPr>
            </w:pPr>
            <w:r w:rsidRPr="00275290">
              <w:rPr>
                <w:rFonts w:cs="Arial"/>
                <w:sz w:val="18"/>
                <w:szCs w:val="18"/>
              </w:rPr>
              <w:t>0.05 (IPBC)</w:t>
            </w:r>
          </w:p>
          <w:p w14:paraId="13923E66" w14:textId="77777777" w:rsidR="00692E71" w:rsidRPr="00275290" w:rsidRDefault="00692E71" w:rsidP="008E0250">
            <w:pPr>
              <w:jc w:val="center"/>
              <w:rPr>
                <w:rFonts w:cs="Arial"/>
                <w:sz w:val="18"/>
                <w:szCs w:val="18"/>
              </w:rPr>
            </w:pPr>
            <w:r w:rsidRPr="00275290">
              <w:rPr>
                <w:rFonts w:cs="Arial"/>
                <w:sz w:val="18"/>
                <w:szCs w:val="18"/>
              </w:rPr>
              <w:t>0.17 (propiconazole)</w:t>
            </w:r>
          </w:p>
          <w:p w14:paraId="6C708154" w14:textId="77777777" w:rsidR="00692E71" w:rsidRPr="00275290" w:rsidRDefault="00692E71" w:rsidP="008E0250">
            <w:pPr>
              <w:jc w:val="center"/>
              <w:rPr>
                <w:rFonts w:cs="Arial"/>
                <w:sz w:val="18"/>
                <w:szCs w:val="18"/>
              </w:rPr>
            </w:pPr>
            <w:r w:rsidRPr="00275290">
              <w:rPr>
                <w:rFonts w:cs="Arial"/>
                <w:sz w:val="18"/>
                <w:szCs w:val="18"/>
              </w:rPr>
              <w:t>0.07 (tebuconazole)</w:t>
            </w:r>
          </w:p>
          <w:p w14:paraId="331E6F26" w14:textId="77777777" w:rsidR="00692E71" w:rsidRPr="00275290" w:rsidRDefault="00692E71" w:rsidP="008E0250">
            <w:pPr>
              <w:jc w:val="center"/>
              <w:rPr>
                <w:rFonts w:cs="Arial"/>
                <w:sz w:val="18"/>
                <w:szCs w:val="18"/>
              </w:rPr>
            </w:pPr>
            <w:r w:rsidRPr="00275290">
              <w:rPr>
                <w:rFonts w:cs="Arial"/>
                <w:sz w:val="18"/>
                <w:szCs w:val="18"/>
              </w:rPr>
              <w:t xml:space="preserve">  0.02 (cypermethrin)</w:t>
            </w:r>
          </w:p>
        </w:tc>
        <w:tc>
          <w:tcPr>
            <w:tcW w:w="1134" w:type="dxa"/>
            <w:vAlign w:val="center"/>
          </w:tcPr>
          <w:p w14:paraId="319AD38E" w14:textId="77777777" w:rsidR="00692E71" w:rsidRPr="00275290" w:rsidRDefault="00692E71" w:rsidP="008E0250">
            <w:pPr>
              <w:jc w:val="center"/>
              <w:rPr>
                <w:rFonts w:cs="Arial"/>
                <w:i/>
                <w:iCs/>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1BB2C4C2"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81AED3E" w14:textId="77777777" w:rsidTr="008E0250">
        <w:tc>
          <w:tcPr>
            <w:tcW w:w="3345" w:type="dxa"/>
            <w:vAlign w:val="center"/>
          </w:tcPr>
          <w:p w14:paraId="22051ED1"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(30d), non-professional application</w:t>
            </w:r>
          </w:p>
        </w:tc>
        <w:tc>
          <w:tcPr>
            <w:tcW w:w="1725" w:type="dxa"/>
            <w:vAlign w:val="center"/>
          </w:tcPr>
          <w:p w14:paraId="397BF3CB"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w:t>
            </w:r>
            <w:r w:rsidRPr="00275290">
              <w:rPr>
                <w:rFonts w:cs="Arial"/>
                <w:iCs/>
                <w:sz w:val="18"/>
                <w:szCs w:val="18"/>
                <w:vertAlign w:val="subscript"/>
              </w:rPr>
              <w:t>time1</w:t>
            </w:r>
          </w:p>
        </w:tc>
        <w:tc>
          <w:tcPr>
            <w:tcW w:w="2268" w:type="dxa"/>
            <w:vAlign w:val="center"/>
          </w:tcPr>
          <w:p w14:paraId="6344919A" w14:textId="77777777" w:rsidR="00692E71" w:rsidRPr="00275290" w:rsidRDefault="00692E71" w:rsidP="008E0250">
            <w:pPr>
              <w:jc w:val="center"/>
              <w:rPr>
                <w:rFonts w:cs="Arial"/>
                <w:sz w:val="18"/>
                <w:szCs w:val="18"/>
              </w:rPr>
            </w:pPr>
            <w:r w:rsidRPr="00275290">
              <w:rPr>
                <w:rFonts w:cs="Arial"/>
                <w:sz w:val="18"/>
                <w:szCs w:val="18"/>
              </w:rPr>
              <w:t>0.06(IPBC)</w:t>
            </w:r>
          </w:p>
          <w:p w14:paraId="5892BF7F" w14:textId="77777777" w:rsidR="00692E71" w:rsidRPr="00275290" w:rsidRDefault="00692E71" w:rsidP="008E0250">
            <w:pPr>
              <w:jc w:val="center"/>
              <w:rPr>
                <w:rFonts w:cs="Arial"/>
                <w:sz w:val="18"/>
                <w:szCs w:val="18"/>
              </w:rPr>
            </w:pPr>
            <w:r w:rsidRPr="00275290">
              <w:rPr>
                <w:rFonts w:cs="Arial"/>
                <w:sz w:val="18"/>
                <w:szCs w:val="18"/>
              </w:rPr>
              <w:t>0.20 (propiconazole)</w:t>
            </w:r>
          </w:p>
          <w:p w14:paraId="10C96353" w14:textId="77777777" w:rsidR="00692E71" w:rsidRPr="00275290" w:rsidRDefault="00692E71" w:rsidP="008E0250">
            <w:pPr>
              <w:jc w:val="center"/>
              <w:rPr>
                <w:rFonts w:cs="Arial"/>
                <w:sz w:val="18"/>
                <w:szCs w:val="18"/>
              </w:rPr>
            </w:pPr>
            <w:r w:rsidRPr="00275290">
              <w:rPr>
                <w:rFonts w:cs="Arial"/>
                <w:sz w:val="18"/>
                <w:szCs w:val="18"/>
              </w:rPr>
              <w:t>0.08 (tebuconazole)</w:t>
            </w:r>
          </w:p>
          <w:p w14:paraId="18F4281E" w14:textId="77777777" w:rsidR="00692E71" w:rsidRPr="00275290" w:rsidRDefault="00692E71" w:rsidP="008E0250">
            <w:pPr>
              <w:jc w:val="center"/>
              <w:rPr>
                <w:rFonts w:cs="Arial"/>
                <w:sz w:val="18"/>
                <w:szCs w:val="18"/>
              </w:rPr>
            </w:pPr>
            <w:r w:rsidRPr="00275290">
              <w:rPr>
                <w:rFonts w:cs="Arial"/>
                <w:sz w:val="18"/>
                <w:szCs w:val="18"/>
              </w:rPr>
              <w:t xml:space="preserve">  0.04 (cypermethrin)</w:t>
            </w:r>
          </w:p>
        </w:tc>
        <w:tc>
          <w:tcPr>
            <w:tcW w:w="1134" w:type="dxa"/>
            <w:vAlign w:val="center"/>
          </w:tcPr>
          <w:p w14:paraId="69B3CCE1"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31C7C69B"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2EBACC3F" w14:textId="77777777" w:rsidTr="008E0250">
        <w:tc>
          <w:tcPr>
            <w:tcW w:w="3345" w:type="dxa"/>
            <w:vAlign w:val="center"/>
          </w:tcPr>
          <w:p w14:paraId="1C0C4190"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professional application</w:t>
            </w:r>
          </w:p>
        </w:tc>
        <w:tc>
          <w:tcPr>
            <w:tcW w:w="1725" w:type="dxa"/>
            <w:vAlign w:val="center"/>
          </w:tcPr>
          <w:p w14:paraId="1D3BE338"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time2</w:t>
            </w:r>
          </w:p>
        </w:tc>
        <w:tc>
          <w:tcPr>
            <w:tcW w:w="2268" w:type="dxa"/>
            <w:vAlign w:val="center"/>
          </w:tcPr>
          <w:p w14:paraId="1D888DC6" w14:textId="77777777" w:rsidR="00692E71" w:rsidRPr="00275290" w:rsidRDefault="00692E71" w:rsidP="008E0250">
            <w:pPr>
              <w:jc w:val="center"/>
              <w:rPr>
                <w:rFonts w:cs="Arial"/>
                <w:sz w:val="18"/>
                <w:szCs w:val="18"/>
              </w:rPr>
            </w:pPr>
            <w:r w:rsidRPr="00275290">
              <w:rPr>
                <w:rFonts w:cs="Arial"/>
                <w:sz w:val="18"/>
                <w:szCs w:val="18"/>
              </w:rPr>
              <w:t>0.10 (IPBC)</w:t>
            </w:r>
          </w:p>
          <w:p w14:paraId="1AB3A1C6" w14:textId="77777777" w:rsidR="00692E71" w:rsidRPr="00275290" w:rsidRDefault="00692E71" w:rsidP="008E0250">
            <w:pPr>
              <w:jc w:val="center"/>
              <w:rPr>
                <w:rFonts w:cs="Arial"/>
                <w:sz w:val="18"/>
                <w:szCs w:val="18"/>
              </w:rPr>
            </w:pPr>
            <w:r w:rsidRPr="00275290">
              <w:rPr>
                <w:rFonts w:cs="Arial"/>
                <w:sz w:val="18"/>
                <w:szCs w:val="18"/>
              </w:rPr>
              <w:t>0.47 (propiconazole)</w:t>
            </w:r>
          </w:p>
          <w:p w14:paraId="7851EF49" w14:textId="77777777" w:rsidR="00692E71" w:rsidRPr="00275290" w:rsidRDefault="00692E71" w:rsidP="008E0250">
            <w:pPr>
              <w:jc w:val="center"/>
              <w:rPr>
                <w:rFonts w:cs="Arial"/>
                <w:sz w:val="18"/>
                <w:szCs w:val="18"/>
              </w:rPr>
            </w:pPr>
            <w:r w:rsidRPr="00275290">
              <w:rPr>
                <w:rFonts w:cs="Arial"/>
                <w:sz w:val="18"/>
                <w:szCs w:val="18"/>
              </w:rPr>
              <w:t>0.18 (tebuconazole)</w:t>
            </w:r>
          </w:p>
          <w:p w14:paraId="7A55B2DC" w14:textId="77777777" w:rsidR="00692E71" w:rsidRPr="00275290" w:rsidRDefault="00692E71" w:rsidP="008E0250">
            <w:pPr>
              <w:jc w:val="center"/>
              <w:rPr>
                <w:rFonts w:cs="Arial"/>
                <w:sz w:val="18"/>
                <w:szCs w:val="18"/>
              </w:rPr>
            </w:pPr>
            <w:r w:rsidRPr="00275290">
              <w:rPr>
                <w:rFonts w:cs="Arial"/>
                <w:sz w:val="18"/>
                <w:szCs w:val="18"/>
              </w:rPr>
              <w:t xml:space="preserve">  0.03 (cypermethrin)</w:t>
            </w:r>
          </w:p>
        </w:tc>
        <w:tc>
          <w:tcPr>
            <w:tcW w:w="1134" w:type="dxa"/>
            <w:vAlign w:val="center"/>
          </w:tcPr>
          <w:p w14:paraId="44BB9F21"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6CD47C8B"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10E11E2" w14:textId="77777777" w:rsidTr="008E0250">
        <w:tc>
          <w:tcPr>
            <w:tcW w:w="3345" w:type="dxa"/>
            <w:vAlign w:val="center"/>
          </w:tcPr>
          <w:p w14:paraId="4F3A4828"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non-professional application</w:t>
            </w:r>
          </w:p>
        </w:tc>
        <w:tc>
          <w:tcPr>
            <w:tcW w:w="1725" w:type="dxa"/>
            <w:vAlign w:val="center"/>
          </w:tcPr>
          <w:p w14:paraId="09EEF403"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 total,</w:t>
            </w:r>
            <w:r w:rsidRPr="00275290">
              <w:rPr>
                <w:rFonts w:cs="Arial"/>
                <w:iCs/>
                <w:sz w:val="18"/>
                <w:szCs w:val="18"/>
                <w:vertAlign w:val="subscript"/>
              </w:rPr>
              <w:t xml:space="preserve"> time2</w:t>
            </w:r>
          </w:p>
        </w:tc>
        <w:tc>
          <w:tcPr>
            <w:tcW w:w="2268" w:type="dxa"/>
            <w:vAlign w:val="center"/>
          </w:tcPr>
          <w:p w14:paraId="2F13C386" w14:textId="77777777" w:rsidR="00692E71" w:rsidRPr="00275290" w:rsidRDefault="00692E71" w:rsidP="008E0250">
            <w:pPr>
              <w:jc w:val="center"/>
              <w:rPr>
                <w:rFonts w:cs="Arial"/>
                <w:sz w:val="18"/>
                <w:szCs w:val="18"/>
              </w:rPr>
            </w:pPr>
            <w:r w:rsidRPr="00275290">
              <w:rPr>
                <w:rFonts w:cs="Arial"/>
                <w:sz w:val="18"/>
                <w:szCs w:val="18"/>
              </w:rPr>
              <w:t>0.11 (IPBC)</w:t>
            </w:r>
          </w:p>
          <w:p w14:paraId="2440BA82" w14:textId="77777777" w:rsidR="00692E71" w:rsidRPr="00275290" w:rsidRDefault="00692E71" w:rsidP="008E0250">
            <w:pPr>
              <w:jc w:val="center"/>
              <w:rPr>
                <w:rFonts w:cs="Arial"/>
                <w:sz w:val="18"/>
                <w:szCs w:val="18"/>
              </w:rPr>
            </w:pPr>
            <w:r w:rsidRPr="00275290">
              <w:rPr>
                <w:rFonts w:cs="Arial"/>
                <w:sz w:val="18"/>
                <w:szCs w:val="18"/>
              </w:rPr>
              <w:t>0.50 (propiconazole)</w:t>
            </w:r>
          </w:p>
          <w:p w14:paraId="623FC3FF" w14:textId="77777777" w:rsidR="00692E71" w:rsidRPr="00275290" w:rsidRDefault="00692E71" w:rsidP="008E0250">
            <w:pPr>
              <w:jc w:val="center"/>
              <w:rPr>
                <w:rFonts w:cs="Arial"/>
                <w:sz w:val="18"/>
                <w:szCs w:val="18"/>
              </w:rPr>
            </w:pPr>
            <w:r w:rsidRPr="00275290">
              <w:rPr>
                <w:rFonts w:cs="Arial"/>
                <w:sz w:val="18"/>
                <w:szCs w:val="18"/>
              </w:rPr>
              <w:t>0.19 (tebuconazole)</w:t>
            </w:r>
          </w:p>
          <w:p w14:paraId="434F055F" w14:textId="77777777" w:rsidR="00692E71" w:rsidRPr="00275290" w:rsidRDefault="00692E71" w:rsidP="008E0250">
            <w:pPr>
              <w:jc w:val="center"/>
              <w:rPr>
                <w:rFonts w:cs="Arial"/>
                <w:sz w:val="18"/>
                <w:szCs w:val="18"/>
              </w:rPr>
            </w:pPr>
            <w:r w:rsidRPr="00275290">
              <w:rPr>
                <w:rFonts w:cs="Arial"/>
                <w:sz w:val="18"/>
                <w:szCs w:val="18"/>
              </w:rPr>
              <w:t>0.05 (cypermethrin)</w:t>
            </w:r>
          </w:p>
        </w:tc>
        <w:tc>
          <w:tcPr>
            <w:tcW w:w="1134" w:type="dxa"/>
            <w:vAlign w:val="center"/>
          </w:tcPr>
          <w:p w14:paraId="498DF164"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65726809"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3560BBB8" w14:textId="77777777" w:rsidTr="008E0250">
        <w:tc>
          <w:tcPr>
            <w:tcW w:w="3345" w:type="dxa"/>
            <w:vAlign w:val="center"/>
          </w:tcPr>
          <w:p w14:paraId="43D10B87" w14:textId="77777777" w:rsidR="00692E71" w:rsidRPr="00275290" w:rsidRDefault="00692E71" w:rsidP="008E0250">
            <w:pPr>
              <w:rPr>
                <w:rFonts w:cs="Arial"/>
                <w:sz w:val="18"/>
                <w:szCs w:val="18"/>
              </w:rPr>
            </w:pPr>
            <w:r w:rsidRPr="00275290">
              <w:rPr>
                <w:rFonts w:cs="Arial"/>
                <w:sz w:val="18"/>
                <w:szCs w:val="18"/>
              </w:rPr>
              <w:t>Average concentrations in pore water over the initial assessment period (30d), professional application</w:t>
            </w:r>
          </w:p>
        </w:tc>
        <w:tc>
          <w:tcPr>
            <w:tcW w:w="1725" w:type="dxa"/>
            <w:vAlign w:val="center"/>
          </w:tcPr>
          <w:p w14:paraId="45B420C5" w14:textId="77777777" w:rsidR="00692E71" w:rsidRPr="00275290" w:rsidRDefault="00692E71" w:rsidP="008E0250">
            <w:pPr>
              <w:rPr>
                <w:rFonts w:cs="Arial"/>
                <w:sz w:val="18"/>
                <w:szCs w:val="18"/>
              </w:rPr>
            </w:pPr>
            <w:r w:rsidRPr="00275290">
              <w:rPr>
                <w:rFonts w:cs="Arial"/>
                <w:iCs/>
                <w:sz w:val="18"/>
                <w:szCs w:val="18"/>
              </w:rPr>
              <w:t>Clocal</w:t>
            </w:r>
            <w:r w:rsidRPr="00275290">
              <w:rPr>
                <w:rFonts w:cs="Arial"/>
                <w:iCs/>
                <w:sz w:val="18"/>
                <w:szCs w:val="18"/>
                <w:vertAlign w:val="subscript"/>
              </w:rPr>
              <w:t>pore,time1</w:t>
            </w:r>
          </w:p>
        </w:tc>
        <w:tc>
          <w:tcPr>
            <w:tcW w:w="2268" w:type="dxa"/>
            <w:vAlign w:val="center"/>
          </w:tcPr>
          <w:p w14:paraId="2A5A0088" w14:textId="77777777" w:rsidR="00692E71" w:rsidRPr="00275290" w:rsidRDefault="00692E71" w:rsidP="008E0250">
            <w:pPr>
              <w:jc w:val="center"/>
              <w:rPr>
                <w:rFonts w:cs="Arial"/>
                <w:sz w:val="18"/>
                <w:szCs w:val="18"/>
              </w:rPr>
            </w:pPr>
            <w:r w:rsidRPr="00275290">
              <w:rPr>
                <w:rFonts w:cs="Arial"/>
                <w:sz w:val="18"/>
                <w:szCs w:val="18"/>
              </w:rPr>
              <w:t>19.42 (IPBC)</w:t>
            </w:r>
          </w:p>
          <w:p w14:paraId="59D32883" w14:textId="77777777" w:rsidR="00692E71" w:rsidRPr="00275290" w:rsidRDefault="00692E71" w:rsidP="008E0250">
            <w:pPr>
              <w:jc w:val="center"/>
              <w:rPr>
                <w:rFonts w:cs="Arial"/>
                <w:sz w:val="18"/>
                <w:szCs w:val="18"/>
              </w:rPr>
            </w:pPr>
            <w:r w:rsidRPr="00275290">
              <w:rPr>
                <w:rFonts w:cs="Arial"/>
                <w:sz w:val="18"/>
                <w:szCs w:val="18"/>
              </w:rPr>
              <w:t>9.92 (propiconazole)</w:t>
            </w:r>
          </w:p>
          <w:p w14:paraId="14C611E5" w14:textId="77777777" w:rsidR="00692E71" w:rsidRPr="00275290" w:rsidRDefault="00692E71" w:rsidP="008E0250">
            <w:pPr>
              <w:jc w:val="center"/>
              <w:rPr>
                <w:rFonts w:cs="Arial"/>
                <w:sz w:val="18"/>
                <w:szCs w:val="18"/>
              </w:rPr>
            </w:pPr>
            <w:r w:rsidRPr="00275290">
              <w:rPr>
                <w:rFonts w:cs="Arial"/>
                <w:sz w:val="18"/>
                <w:szCs w:val="18"/>
              </w:rPr>
              <w:t>3.84 (tebuconazole)</w:t>
            </w:r>
          </w:p>
          <w:p w14:paraId="0DA92BAD" w14:textId="77777777" w:rsidR="00692E71" w:rsidRPr="00275290" w:rsidRDefault="00692E71" w:rsidP="008E0250">
            <w:pPr>
              <w:jc w:val="center"/>
              <w:rPr>
                <w:rFonts w:cs="Arial"/>
                <w:sz w:val="18"/>
                <w:szCs w:val="18"/>
              </w:rPr>
            </w:pPr>
            <w:r w:rsidRPr="00275290">
              <w:rPr>
                <w:rFonts w:cs="Arial"/>
                <w:sz w:val="18"/>
                <w:szCs w:val="18"/>
              </w:rPr>
              <w:t xml:space="preserve">  2.4*10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2DFD4924"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68EBB3E1"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3F36A01D" w14:textId="77777777" w:rsidTr="008E0250">
        <w:tc>
          <w:tcPr>
            <w:tcW w:w="3345" w:type="dxa"/>
            <w:vAlign w:val="center"/>
          </w:tcPr>
          <w:p w14:paraId="5B0E5AC8" w14:textId="77777777" w:rsidR="00692E71" w:rsidRPr="00275290" w:rsidRDefault="00692E71" w:rsidP="008E0250">
            <w:pPr>
              <w:rPr>
                <w:rFonts w:cs="Arial"/>
                <w:sz w:val="18"/>
                <w:szCs w:val="18"/>
              </w:rPr>
            </w:pPr>
            <w:r w:rsidRPr="00275290">
              <w:rPr>
                <w:rFonts w:cs="Arial"/>
                <w:sz w:val="18"/>
                <w:szCs w:val="18"/>
              </w:rPr>
              <w:t>Average concentrations in pore water over the initial assessment period (30d), non-professional application</w:t>
            </w:r>
          </w:p>
        </w:tc>
        <w:tc>
          <w:tcPr>
            <w:tcW w:w="1725" w:type="dxa"/>
            <w:vAlign w:val="center"/>
          </w:tcPr>
          <w:p w14:paraId="50BD9BCC"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pore,time1</w:t>
            </w:r>
          </w:p>
        </w:tc>
        <w:tc>
          <w:tcPr>
            <w:tcW w:w="2268" w:type="dxa"/>
            <w:vAlign w:val="center"/>
          </w:tcPr>
          <w:p w14:paraId="150EC597" w14:textId="77777777" w:rsidR="00692E71" w:rsidRPr="00275290" w:rsidRDefault="00692E71" w:rsidP="008E0250">
            <w:pPr>
              <w:jc w:val="center"/>
              <w:rPr>
                <w:rFonts w:cs="Arial"/>
                <w:sz w:val="18"/>
                <w:szCs w:val="18"/>
              </w:rPr>
            </w:pPr>
            <w:r w:rsidRPr="00275290">
              <w:rPr>
                <w:rFonts w:cs="Arial"/>
                <w:sz w:val="18"/>
                <w:szCs w:val="18"/>
              </w:rPr>
              <w:t>24.25 (IPBC)</w:t>
            </w:r>
          </w:p>
          <w:p w14:paraId="72BEFB95" w14:textId="77777777" w:rsidR="00692E71" w:rsidRPr="00275290" w:rsidRDefault="00692E71" w:rsidP="008E0250">
            <w:pPr>
              <w:jc w:val="center"/>
              <w:rPr>
                <w:rFonts w:cs="Arial"/>
                <w:sz w:val="18"/>
                <w:szCs w:val="18"/>
              </w:rPr>
            </w:pPr>
            <w:r w:rsidRPr="00275290">
              <w:rPr>
                <w:rFonts w:cs="Arial"/>
                <w:sz w:val="18"/>
                <w:szCs w:val="18"/>
              </w:rPr>
              <w:t>11.95 (propiconazole)</w:t>
            </w:r>
          </w:p>
          <w:p w14:paraId="23C67925" w14:textId="77777777" w:rsidR="00692E71" w:rsidRPr="00275290" w:rsidRDefault="00692E71" w:rsidP="008E0250">
            <w:pPr>
              <w:jc w:val="center"/>
              <w:rPr>
                <w:rFonts w:cs="Arial"/>
                <w:sz w:val="18"/>
                <w:szCs w:val="18"/>
              </w:rPr>
            </w:pPr>
            <w:r w:rsidRPr="00275290">
              <w:rPr>
                <w:rFonts w:cs="Arial"/>
                <w:sz w:val="18"/>
                <w:szCs w:val="18"/>
              </w:rPr>
              <w:t>4.48 (tebuconazole)</w:t>
            </w:r>
          </w:p>
          <w:p w14:paraId="10223738" w14:textId="77777777" w:rsidR="00692E71" w:rsidRPr="00275290" w:rsidRDefault="00692E71" w:rsidP="008E0250">
            <w:pPr>
              <w:jc w:val="center"/>
              <w:rPr>
                <w:rFonts w:cs="Arial"/>
                <w:sz w:val="18"/>
                <w:szCs w:val="18"/>
              </w:rPr>
            </w:pPr>
            <w:r w:rsidRPr="00275290">
              <w:rPr>
                <w:rFonts w:cs="Arial"/>
                <w:sz w:val="18"/>
                <w:szCs w:val="18"/>
              </w:rPr>
              <w:t>3.9*10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0BAD0A5B"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08730294"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123E6ABE" w14:textId="77777777" w:rsidTr="008E0250">
        <w:tc>
          <w:tcPr>
            <w:tcW w:w="3345" w:type="dxa"/>
            <w:vAlign w:val="center"/>
          </w:tcPr>
          <w:p w14:paraId="2DA942CA" w14:textId="77777777" w:rsidR="00692E71" w:rsidRPr="00275290" w:rsidRDefault="00692E71" w:rsidP="008E0250">
            <w:pPr>
              <w:rPr>
                <w:rFonts w:cs="Arial"/>
                <w:sz w:val="18"/>
                <w:szCs w:val="18"/>
              </w:rPr>
            </w:pPr>
            <w:r w:rsidRPr="00275290">
              <w:rPr>
                <w:rFonts w:cs="Arial"/>
                <w:sz w:val="18"/>
                <w:szCs w:val="18"/>
              </w:rPr>
              <w:t>Average concentration in pore water over a longer</w:t>
            </w:r>
          </w:p>
          <w:p w14:paraId="51741972" w14:textId="77777777" w:rsidR="00692E71" w:rsidRPr="00275290" w:rsidRDefault="00692E71" w:rsidP="008E0250">
            <w:pPr>
              <w:rPr>
                <w:rFonts w:cs="Arial"/>
                <w:sz w:val="18"/>
                <w:szCs w:val="18"/>
              </w:rPr>
            </w:pPr>
            <w:r w:rsidRPr="00275290">
              <w:rPr>
                <w:rFonts w:cs="Arial"/>
                <w:sz w:val="18"/>
                <w:szCs w:val="18"/>
              </w:rPr>
              <w:lastRenderedPageBreak/>
              <w:t>duration (1825d), professional application</w:t>
            </w:r>
          </w:p>
        </w:tc>
        <w:tc>
          <w:tcPr>
            <w:tcW w:w="1725" w:type="dxa"/>
            <w:vAlign w:val="center"/>
          </w:tcPr>
          <w:p w14:paraId="6E0110FD" w14:textId="77777777" w:rsidR="00692E71" w:rsidRPr="00275290" w:rsidRDefault="00692E71" w:rsidP="008E0250">
            <w:pPr>
              <w:rPr>
                <w:rFonts w:cs="Arial"/>
                <w:iCs/>
                <w:sz w:val="18"/>
                <w:szCs w:val="18"/>
              </w:rPr>
            </w:pPr>
            <w:r w:rsidRPr="00275290">
              <w:rPr>
                <w:rFonts w:cs="Arial"/>
                <w:iCs/>
                <w:sz w:val="18"/>
                <w:szCs w:val="18"/>
              </w:rPr>
              <w:lastRenderedPageBreak/>
              <w:t>Clocal</w:t>
            </w:r>
            <w:r w:rsidRPr="00275290">
              <w:rPr>
                <w:rFonts w:cs="Arial"/>
                <w:iCs/>
                <w:sz w:val="18"/>
                <w:szCs w:val="18"/>
                <w:vertAlign w:val="subscript"/>
              </w:rPr>
              <w:t>pore,time2</w:t>
            </w:r>
          </w:p>
        </w:tc>
        <w:tc>
          <w:tcPr>
            <w:tcW w:w="2268" w:type="dxa"/>
            <w:vAlign w:val="center"/>
          </w:tcPr>
          <w:p w14:paraId="39F5AD4D" w14:textId="77777777" w:rsidR="00692E71" w:rsidRPr="00275290" w:rsidRDefault="00692E71" w:rsidP="008E0250">
            <w:pPr>
              <w:jc w:val="center"/>
              <w:rPr>
                <w:rFonts w:cs="Arial"/>
                <w:sz w:val="18"/>
                <w:szCs w:val="18"/>
              </w:rPr>
            </w:pPr>
            <w:r w:rsidRPr="00275290">
              <w:rPr>
                <w:rFonts w:cs="Arial"/>
                <w:sz w:val="18"/>
                <w:szCs w:val="18"/>
              </w:rPr>
              <w:t>41.57 (IPBC)</w:t>
            </w:r>
          </w:p>
          <w:p w14:paraId="21063253" w14:textId="77777777" w:rsidR="00692E71" w:rsidRPr="00275290" w:rsidRDefault="00692E71" w:rsidP="008E0250">
            <w:pPr>
              <w:jc w:val="center"/>
              <w:rPr>
                <w:rFonts w:cs="Arial"/>
                <w:sz w:val="18"/>
                <w:szCs w:val="18"/>
              </w:rPr>
            </w:pPr>
            <w:r w:rsidRPr="00275290">
              <w:rPr>
                <w:rFonts w:cs="Arial"/>
                <w:sz w:val="18"/>
                <w:szCs w:val="18"/>
              </w:rPr>
              <w:t>28.03 (propiconazole)</w:t>
            </w:r>
          </w:p>
          <w:p w14:paraId="05C55B58" w14:textId="77777777" w:rsidR="00692E71" w:rsidRPr="00275290" w:rsidRDefault="00692E71" w:rsidP="008E0250">
            <w:pPr>
              <w:jc w:val="center"/>
              <w:rPr>
                <w:rFonts w:cs="Arial"/>
                <w:sz w:val="18"/>
                <w:szCs w:val="18"/>
              </w:rPr>
            </w:pPr>
            <w:r w:rsidRPr="00275290">
              <w:rPr>
                <w:rFonts w:cs="Arial"/>
                <w:sz w:val="18"/>
                <w:szCs w:val="18"/>
              </w:rPr>
              <w:t>10.11 (tebuconazole)</w:t>
            </w:r>
          </w:p>
          <w:p w14:paraId="7F4DF37D" w14:textId="77777777" w:rsidR="00692E71" w:rsidRPr="00275290" w:rsidRDefault="00692E71" w:rsidP="008E0250">
            <w:pPr>
              <w:jc w:val="center"/>
              <w:rPr>
                <w:rFonts w:cs="Arial"/>
                <w:sz w:val="18"/>
                <w:szCs w:val="18"/>
              </w:rPr>
            </w:pPr>
            <w:r w:rsidRPr="00275290">
              <w:rPr>
                <w:rFonts w:cs="Arial"/>
                <w:sz w:val="18"/>
                <w:szCs w:val="18"/>
              </w:rPr>
              <w:lastRenderedPageBreak/>
              <w:t xml:space="preserve">  3.4*10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6C830F46" w14:textId="77777777" w:rsidR="00692E71" w:rsidRPr="00275290" w:rsidRDefault="00692E71" w:rsidP="008E0250">
            <w:pPr>
              <w:jc w:val="center"/>
              <w:rPr>
                <w:rFonts w:cs="Arial"/>
                <w:sz w:val="18"/>
                <w:szCs w:val="18"/>
              </w:rPr>
            </w:pPr>
            <w:r w:rsidRPr="00275290">
              <w:rPr>
                <w:rFonts w:cs="Arial"/>
                <w:sz w:val="18"/>
                <w:szCs w:val="18"/>
              </w:rPr>
              <w:lastRenderedPageBreak/>
              <w:t>[µg.L</w:t>
            </w:r>
            <w:r w:rsidRPr="00275290">
              <w:rPr>
                <w:rFonts w:cs="Arial"/>
                <w:sz w:val="18"/>
                <w:szCs w:val="18"/>
                <w:vertAlign w:val="superscript"/>
              </w:rPr>
              <w:t>-1</w:t>
            </w:r>
            <w:r w:rsidRPr="00275290">
              <w:rPr>
                <w:rFonts w:cs="Arial"/>
                <w:sz w:val="18"/>
                <w:szCs w:val="18"/>
              </w:rPr>
              <w:t>]</w:t>
            </w:r>
          </w:p>
        </w:tc>
        <w:tc>
          <w:tcPr>
            <w:tcW w:w="850" w:type="dxa"/>
            <w:vAlign w:val="center"/>
          </w:tcPr>
          <w:p w14:paraId="7AEDDCD9"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0F6387A9" w14:textId="77777777" w:rsidTr="008E0250">
        <w:tc>
          <w:tcPr>
            <w:tcW w:w="3345" w:type="dxa"/>
            <w:vAlign w:val="center"/>
          </w:tcPr>
          <w:p w14:paraId="7F91C2E0" w14:textId="77777777" w:rsidR="00692E71" w:rsidRPr="00275290" w:rsidRDefault="00692E71" w:rsidP="008E0250">
            <w:pPr>
              <w:rPr>
                <w:rFonts w:cs="Arial"/>
                <w:sz w:val="18"/>
                <w:szCs w:val="18"/>
              </w:rPr>
            </w:pPr>
            <w:r w:rsidRPr="00275290">
              <w:rPr>
                <w:rFonts w:cs="Arial"/>
                <w:sz w:val="18"/>
                <w:szCs w:val="18"/>
              </w:rPr>
              <w:t>Average concentration in pore water over a longer</w:t>
            </w:r>
          </w:p>
          <w:p w14:paraId="15EE1300" w14:textId="77777777" w:rsidR="00692E71" w:rsidRPr="00275290" w:rsidRDefault="00692E71" w:rsidP="008E0250">
            <w:pPr>
              <w:rPr>
                <w:rFonts w:cs="Arial"/>
                <w:sz w:val="18"/>
                <w:szCs w:val="18"/>
                <w:lang w:val="fr-FR"/>
              </w:rPr>
            </w:pPr>
            <w:r w:rsidRPr="00275290">
              <w:rPr>
                <w:rFonts w:cs="Arial"/>
                <w:sz w:val="18"/>
                <w:szCs w:val="18"/>
                <w:lang w:val="fr-FR"/>
              </w:rPr>
              <w:t>duration (1825d), non-professional application</w:t>
            </w:r>
          </w:p>
        </w:tc>
        <w:tc>
          <w:tcPr>
            <w:tcW w:w="1725" w:type="dxa"/>
            <w:vAlign w:val="center"/>
          </w:tcPr>
          <w:p w14:paraId="695B91C8"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268" w:type="dxa"/>
            <w:vAlign w:val="center"/>
          </w:tcPr>
          <w:p w14:paraId="78F49AFE" w14:textId="77777777" w:rsidR="00692E71" w:rsidRPr="00275290" w:rsidRDefault="00692E71" w:rsidP="008E0250">
            <w:pPr>
              <w:jc w:val="center"/>
              <w:rPr>
                <w:rFonts w:cs="Arial"/>
                <w:sz w:val="18"/>
                <w:szCs w:val="18"/>
              </w:rPr>
            </w:pPr>
            <w:r w:rsidRPr="00275290">
              <w:rPr>
                <w:rFonts w:cs="Arial"/>
                <w:sz w:val="18"/>
                <w:szCs w:val="18"/>
              </w:rPr>
              <w:t>46.40 (IPBC)</w:t>
            </w:r>
          </w:p>
          <w:p w14:paraId="5AEAED58" w14:textId="77777777" w:rsidR="00692E71" w:rsidRPr="00275290" w:rsidRDefault="00692E71" w:rsidP="008E0250">
            <w:pPr>
              <w:jc w:val="center"/>
              <w:rPr>
                <w:rFonts w:cs="Arial"/>
                <w:sz w:val="18"/>
                <w:szCs w:val="18"/>
              </w:rPr>
            </w:pPr>
            <w:r w:rsidRPr="00275290">
              <w:rPr>
                <w:rFonts w:cs="Arial"/>
                <w:sz w:val="18"/>
                <w:szCs w:val="18"/>
              </w:rPr>
              <w:t xml:space="preserve"> 30.05 (propiconazole)</w:t>
            </w:r>
          </w:p>
          <w:p w14:paraId="01A0388B" w14:textId="77777777" w:rsidR="00692E71" w:rsidRPr="00275290" w:rsidRDefault="00692E71" w:rsidP="008E0250">
            <w:pPr>
              <w:jc w:val="center"/>
              <w:rPr>
                <w:rFonts w:cs="Arial"/>
                <w:sz w:val="18"/>
                <w:szCs w:val="18"/>
              </w:rPr>
            </w:pPr>
            <w:r w:rsidRPr="00275290">
              <w:rPr>
                <w:rFonts w:cs="Arial"/>
                <w:sz w:val="18"/>
                <w:szCs w:val="18"/>
              </w:rPr>
              <w:t xml:space="preserve">  10.75 (tebuconazole)</w:t>
            </w:r>
          </w:p>
          <w:p w14:paraId="7AA5CB5D" w14:textId="77777777" w:rsidR="00692E71" w:rsidRPr="00275290" w:rsidRDefault="00692E71" w:rsidP="008E0250">
            <w:pPr>
              <w:jc w:val="center"/>
              <w:rPr>
                <w:rFonts w:cs="Arial"/>
                <w:sz w:val="18"/>
                <w:szCs w:val="18"/>
              </w:rPr>
            </w:pPr>
            <w:r w:rsidRPr="00275290">
              <w:rPr>
                <w:rFonts w:cs="Arial"/>
                <w:sz w:val="18"/>
                <w:szCs w:val="18"/>
              </w:rPr>
              <w:t xml:space="preserve">  5.0*10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4577A8B2"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1A8F8810" w14:textId="77777777" w:rsidR="00692E71" w:rsidRPr="00275290" w:rsidRDefault="00692E71" w:rsidP="008E0250">
            <w:pPr>
              <w:jc w:val="center"/>
              <w:rPr>
                <w:rFonts w:cs="Arial"/>
                <w:sz w:val="18"/>
                <w:szCs w:val="18"/>
              </w:rPr>
            </w:pPr>
            <w:r w:rsidRPr="00275290">
              <w:rPr>
                <w:rFonts w:cs="Arial"/>
                <w:sz w:val="18"/>
                <w:szCs w:val="18"/>
              </w:rPr>
              <w:t>O</w:t>
            </w:r>
          </w:p>
        </w:tc>
      </w:tr>
    </w:tbl>
    <w:p w14:paraId="78581A8F" w14:textId="77777777" w:rsidR="00692E71" w:rsidRPr="00275290" w:rsidRDefault="00692E71" w:rsidP="00692E71">
      <w:pPr>
        <w:rPr>
          <w:rFonts w:cs="Arial"/>
          <w:b/>
        </w:rPr>
      </w:pPr>
    </w:p>
    <w:p w14:paraId="66FFDAAE" w14:textId="77777777" w:rsidR="00692E71" w:rsidRPr="00275290" w:rsidRDefault="00692E71" w:rsidP="00692E71">
      <w:pPr>
        <w:rPr>
          <w:rFonts w:cs="Arial"/>
          <w:iCs/>
          <w:u w:val="single"/>
        </w:rPr>
      </w:pPr>
      <w:r w:rsidRPr="00275290">
        <w:rPr>
          <w:rFonts w:cs="Arial"/>
          <w:iCs/>
          <w:u w:val="single"/>
        </w:rPr>
        <w:t>Calculations (IPBC used as an example):</w:t>
      </w:r>
    </w:p>
    <w:p w14:paraId="0075336F" w14:textId="77777777" w:rsidR="00692E71" w:rsidRPr="00275290" w:rsidRDefault="00692E71" w:rsidP="00692E71">
      <w:pPr>
        <w:rPr>
          <w:rFonts w:cs="Arial"/>
        </w:rPr>
      </w:pPr>
    </w:p>
    <w:p w14:paraId="2B42E438" w14:textId="77777777" w:rsidR="00692E71" w:rsidRPr="00275290" w:rsidRDefault="00692E71" w:rsidP="00692E71">
      <w:pPr>
        <w:rPr>
          <w:rFonts w:cs="Arial"/>
          <w:vertAlign w:val="subscript"/>
        </w:rPr>
      </w:pPr>
      <w:r w:rsidRPr="00275290">
        <w:rPr>
          <w:rFonts w:cs="Arial"/>
        </w:rPr>
        <w:t>Clocal</w:t>
      </w:r>
      <w:r w:rsidRPr="00275290">
        <w:rPr>
          <w:rFonts w:cs="Arial"/>
          <w:vertAlign w:val="subscript"/>
        </w:rPr>
        <w:t>soil</w:t>
      </w:r>
      <w:proofErr w:type="gramStart"/>
      <w:r w:rsidRPr="00275290">
        <w:rPr>
          <w:rFonts w:cs="Arial"/>
          <w:vertAlign w:val="subscript"/>
        </w:rPr>
        <w:t>,total</w:t>
      </w:r>
      <w:proofErr w:type="gramEnd"/>
      <w:r w:rsidRPr="00275290">
        <w:rPr>
          <w:rFonts w:cs="Arial"/>
          <w:vertAlign w:val="subscript"/>
        </w:rPr>
        <w:t xml:space="preserve">, </w:t>
      </w:r>
      <w:r w:rsidRPr="00275290">
        <w:rPr>
          <w:rFonts w:cs="Arial"/>
          <w:iCs/>
          <w:vertAlign w:val="subscript"/>
        </w:rPr>
        <w:t>time1</w:t>
      </w:r>
      <w:r w:rsidRPr="00275290">
        <w:rPr>
          <w:rFonts w:cs="Arial"/>
          <w:iCs/>
        </w:rPr>
        <w:t xml:space="preserve"> = </w:t>
      </w:r>
      <w:r w:rsidRPr="00275290">
        <w:rPr>
          <w:rFonts w:cs="Arial"/>
        </w:rPr>
        <w:t>Clocal</w:t>
      </w:r>
      <w:r w:rsidRPr="00275290">
        <w:rPr>
          <w:rFonts w:cs="Arial"/>
          <w:vertAlign w:val="subscript"/>
        </w:rPr>
        <w:t xml:space="preserve">soil,brush </w:t>
      </w:r>
      <w:r w:rsidRPr="00275290">
        <w:rPr>
          <w:rFonts w:cs="Arial"/>
        </w:rPr>
        <w:t>+ Clocal</w:t>
      </w:r>
      <w:r w:rsidRPr="00275290">
        <w:rPr>
          <w:rFonts w:cs="Arial"/>
          <w:vertAlign w:val="subscript"/>
        </w:rPr>
        <w:t>soil,leach,time 1</w:t>
      </w:r>
    </w:p>
    <w:p w14:paraId="403A0958" w14:textId="77777777" w:rsidR="00692E71" w:rsidRPr="00275290" w:rsidRDefault="00692E71" w:rsidP="00692E71">
      <w:pPr>
        <w:rPr>
          <w:rFonts w:cs="Arial"/>
          <w:iCs/>
        </w:rPr>
      </w:pPr>
      <w:r w:rsidRPr="00275290">
        <w:rPr>
          <w:rFonts w:cs="Arial"/>
        </w:rPr>
        <w:t>Clocal</w:t>
      </w:r>
      <w:r w:rsidRPr="00275290">
        <w:rPr>
          <w:rFonts w:cs="Arial"/>
          <w:vertAlign w:val="subscript"/>
        </w:rPr>
        <w:t>soil</w:t>
      </w:r>
      <w:proofErr w:type="gramStart"/>
      <w:r w:rsidRPr="00275290">
        <w:rPr>
          <w:rFonts w:cs="Arial"/>
          <w:vertAlign w:val="subscript"/>
        </w:rPr>
        <w:t>,total</w:t>
      </w:r>
      <w:proofErr w:type="gramEnd"/>
      <w:r w:rsidRPr="00275290">
        <w:rPr>
          <w:rFonts w:cs="Arial"/>
          <w:vertAlign w:val="subscript"/>
        </w:rPr>
        <w:t xml:space="preserve">, </w:t>
      </w:r>
      <w:r w:rsidRPr="00275290">
        <w:rPr>
          <w:rFonts w:cs="Arial"/>
          <w:iCs/>
          <w:vertAlign w:val="subscript"/>
        </w:rPr>
        <w:t>time1</w:t>
      </w:r>
      <w:r w:rsidRPr="00275290">
        <w:rPr>
          <w:rFonts w:cs="Arial"/>
          <w:iCs/>
        </w:rPr>
        <w:t xml:space="preserve"> = 0.028 + 0.029</w:t>
      </w:r>
    </w:p>
    <w:p w14:paraId="0D854183" w14:textId="77777777" w:rsidR="00692E71" w:rsidRPr="00275290" w:rsidRDefault="00692E71" w:rsidP="00692E71">
      <w:pPr>
        <w:rPr>
          <w:rFonts w:cs="Arial"/>
          <w:iCs/>
          <w:vertAlign w:val="subscript"/>
        </w:rPr>
      </w:pPr>
      <w:r w:rsidRPr="00275290">
        <w:rPr>
          <w:rFonts w:cs="Arial"/>
        </w:rPr>
        <w:t>Clocal</w:t>
      </w:r>
      <w:r w:rsidRPr="00275290">
        <w:rPr>
          <w:rFonts w:cs="Arial"/>
          <w:vertAlign w:val="subscript"/>
        </w:rPr>
        <w:t>soil</w:t>
      </w:r>
      <w:proofErr w:type="gramStart"/>
      <w:r w:rsidRPr="00275290">
        <w:rPr>
          <w:rFonts w:cs="Arial"/>
          <w:vertAlign w:val="subscript"/>
        </w:rPr>
        <w:t>,total</w:t>
      </w:r>
      <w:proofErr w:type="gramEnd"/>
      <w:r w:rsidRPr="00275290">
        <w:rPr>
          <w:rFonts w:cs="Arial"/>
          <w:vertAlign w:val="subscript"/>
        </w:rPr>
        <w:t xml:space="preserve">, </w:t>
      </w:r>
      <w:r w:rsidRPr="00275290">
        <w:rPr>
          <w:rFonts w:cs="Arial"/>
          <w:iCs/>
          <w:vertAlign w:val="subscript"/>
        </w:rPr>
        <w:t>time1</w:t>
      </w:r>
      <w:r w:rsidRPr="00275290">
        <w:rPr>
          <w:rFonts w:cs="Arial"/>
          <w:iCs/>
        </w:rPr>
        <w:t xml:space="preserve"> = 0.05 mg/kg</w:t>
      </w:r>
      <w:r w:rsidRPr="00275290">
        <w:rPr>
          <w:rFonts w:cs="Arial"/>
          <w:iCs/>
          <w:vertAlign w:val="subscript"/>
        </w:rPr>
        <w:t>wwt</w:t>
      </w:r>
    </w:p>
    <w:p w14:paraId="4C2EF3CA" w14:textId="77777777" w:rsidR="00692E71" w:rsidRPr="00275290" w:rsidRDefault="00692E71" w:rsidP="00692E71">
      <w:pPr>
        <w:rPr>
          <w:rFonts w:cs="Arial"/>
          <w:iCs/>
        </w:rPr>
      </w:pPr>
    </w:p>
    <w:p w14:paraId="404B64E0" w14:textId="77777777" w:rsidR="00692E71" w:rsidRPr="00275290" w:rsidRDefault="00692E71" w:rsidP="00692E71">
      <w:pPr>
        <w:rPr>
          <w:rFonts w:cs="Arial"/>
        </w:rPr>
      </w:pPr>
      <w:r w:rsidRPr="00275290">
        <w:rPr>
          <w:rFonts w:cs="Arial"/>
          <w:iCs/>
        </w:rPr>
        <w:t>The average concentration in the pore water can be calculated as (equation 3.9 of the ESD)</w:t>
      </w:r>
      <w:r w:rsidRPr="00275290">
        <w:rPr>
          <w:rFonts w:cs="Arial"/>
        </w:rPr>
        <w:t>:</w:t>
      </w:r>
    </w:p>
    <w:p w14:paraId="2769ACB5" w14:textId="77777777" w:rsidR="00692E71" w:rsidRPr="00275290" w:rsidRDefault="00692E71" w:rsidP="00692E71">
      <w:pPr>
        <w:rPr>
          <w:rFonts w:cs="Arial"/>
          <w:iCs/>
        </w:rPr>
      </w:pPr>
    </w:p>
    <w:p w14:paraId="1C137299"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xml:space="preserve">= </w:t>
      </w: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31201F11" w14:textId="77777777" w:rsidR="00692E71" w:rsidRPr="00275290" w:rsidRDefault="00692E71" w:rsidP="00692E71">
      <w:pPr>
        <w:rPr>
          <w:rFonts w:cs="Arial"/>
          <w:iCs/>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0.05 * 1700 / 3.98</w:t>
      </w:r>
    </w:p>
    <w:p w14:paraId="38548D98" w14:textId="77777777" w:rsidR="00692E71" w:rsidRPr="00275290" w:rsidRDefault="00692E71" w:rsidP="00692E71">
      <w:pPr>
        <w:rPr>
          <w:rFonts w:cs="Arial"/>
          <w:iCs/>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xml:space="preserve">= 19.42 </w:t>
      </w:r>
      <w:r w:rsidRPr="00275290">
        <w:rPr>
          <w:rFonts w:cs="Arial"/>
        </w:rPr>
        <w:t>µg/L</w:t>
      </w:r>
    </w:p>
    <w:p w14:paraId="1EC8BF76" w14:textId="77777777" w:rsidR="00692E71" w:rsidRPr="00275290" w:rsidRDefault="00692E71" w:rsidP="00692E71">
      <w:pPr>
        <w:rPr>
          <w:rFonts w:cs="Arial"/>
          <w:b/>
        </w:rPr>
      </w:pPr>
    </w:p>
    <w:p w14:paraId="1665D109" w14:textId="77777777" w:rsidR="00692E71" w:rsidRPr="00275290" w:rsidRDefault="00692E71" w:rsidP="00692E71">
      <w:pPr>
        <w:rPr>
          <w:rFonts w:cs="Arial"/>
          <w:b/>
        </w:rPr>
      </w:pPr>
      <w:r w:rsidRPr="00275290">
        <w:rPr>
          <w:rFonts w:cs="Arial"/>
          <w:b/>
        </w:rPr>
        <w:t>- Combined concentrations taking removal into account, House scenario</w:t>
      </w:r>
    </w:p>
    <w:p w14:paraId="5B10FE77" w14:textId="77777777" w:rsidR="00692E71" w:rsidRPr="00275290" w:rsidRDefault="00692E71" w:rsidP="00692E71">
      <w:pPr>
        <w:rPr>
          <w:rFonts w:cs="Arial"/>
        </w:rPr>
      </w:pPr>
    </w:p>
    <w:p w14:paraId="35FEFDE9" w14:textId="77777777" w:rsidR="00692E71" w:rsidRPr="00275290" w:rsidRDefault="00692E71" w:rsidP="00692E71">
      <w:pPr>
        <w:rPr>
          <w:rFonts w:cs="Arial"/>
        </w:rPr>
      </w:pPr>
      <w:r w:rsidRPr="00275290">
        <w:rPr>
          <w:rFonts w:cs="Arial"/>
        </w:rPr>
        <w:t>In a second tier, soil and pore-water concentrations taking removal into account were calculated. The calculations are described in section 3.3.2.4.1.</w:t>
      </w:r>
    </w:p>
    <w:p w14:paraId="125FB5F4" w14:textId="77777777" w:rsidR="00692E71" w:rsidRPr="00275290" w:rsidRDefault="00692E71" w:rsidP="00692E71">
      <w:pPr>
        <w:rPr>
          <w:rFonts w:cs="Arial"/>
        </w:rPr>
      </w:pPr>
    </w:p>
    <w:p w14:paraId="7CD4111A"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t>: Combined concentration in soil and in pore-water from in-situ brushing and in-service (House) taking removal into account.</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5"/>
        <w:gridCol w:w="2008"/>
        <w:gridCol w:w="2268"/>
        <w:gridCol w:w="1134"/>
        <w:gridCol w:w="850"/>
      </w:tblGrid>
      <w:tr w:rsidR="00692E71" w:rsidRPr="00275290" w14:paraId="2ECBFFD5" w14:textId="77777777" w:rsidTr="008E0250">
        <w:trPr>
          <w:trHeight w:val="283"/>
          <w:tblHeader/>
        </w:trPr>
        <w:tc>
          <w:tcPr>
            <w:tcW w:w="3345" w:type="dxa"/>
            <w:shd w:val="clear" w:color="auto" w:fill="D9D9D9" w:themeFill="background1" w:themeFillShade="D9"/>
            <w:vAlign w:val="center"/>
          </w:tcPr>
          <w:p w14:paraId="6EA10CE0" w14:textId="77777777" w:rsidR="00692E71" w:rsidRPr="00275290" w:rsidRDefault="00692E71" w:rsidP="008E0250">
            <w:pPr>
              <w:jc w:val="center"/>
              <w:rPr>
                <w:rFonts w:cs="Arial"/>
                <w:b/>
                <w:sz w:val="18"/>
                <w:szCs w:val="18"/>
                <w:highlight w:val="yellow"/>
              </w:rPr>
            </w:pPr>
            <w:r w:rsidRPr="00275290">
              <w:rPr>
                <w:rFonts w:cs="Arial"/>
                <w:b/>
                <w:sz w:val="18"/>
                <w:szCs w:val="18"/>
              </w:rPr>
              <w:t>Parameter/variable</w:t>
            </w:r>
          </w:p>
        </w:tc>
        <w:tc>
          <w:tcPr>
            <w:tcW w:w="2008" w:type="dxa"/>
            <w:shd w:val="clear" w:color="auto" w:fill="D9D9D9" w:themeFill="background1" w:themeFillShade="D9"/>
            <w:vAlign w:val="center"/>
          </w:tcPr>
          <w:p w14:paraId="3377E616" w14:textId="77777777" w:rsidR="00692E71" w:rsidRPr="00275290" w:rsidRDefault="00692E71" w:rsidP="008E0250">
            <w:pPr>
              <w:jc w:val="center"/>
              <w:rPr>
                <w:rFonts w:cs="Arial"/>
                <w:b/>
                <w:sz w:val="18"/>
                <w:szCs w:val="18"/>
              </w:rPr>
            </w:pPr>
            <w:r w:rsidRPr="00275290">
              <w:rPr>
                <w:rFonts w:cs="Arial"/>
                <w:b/>
                <w:sz w:val="18"/>
                <w:szCs w:val="18"/>
              </w:rPr>
              <w:t>Nomenclature</w:t>
            </w:r>
          </w:p>
        </w:tc>
        <w:tc>
          <w:tcPr>
            <w:tcW w:w="2268" w:type="dxa"/>
            <w:shd w:val="clear" w:color="auto" w:fill="D9D9D9" w:themeFill="background1" w:themeFillShade="D9"/>
            <w:vAlign w:val="center"/>
          </w:tcPr>
          <w:p w14:paraId="19C2A573" w14:textId="77777777" w:rsidR="00692E71" w:rsidRPr="00275290" w:rsidRDefault="00692E71" w:rsidP="008E0250">
            <w:pPr>
              <w:jc w:val="center"/>
              <w:rPr>
                <w:rFonts w:cs="Arial"/>
                <w:b/>
                <w:sz w:val="18"/>
                <w:szCs w:val="18"/>
              </w:rPr>
            </w:pPr>
            <w:r w:rsidRPr="00275290">
              <w:rPr>
                <w:rFonts w:cs="Arial"/>
                <w:b/>
                <w:sz w:val="18"/>
                <w:szCs w:val="18"/>
              </w:rPr>
              <w:t>Value</w:t>
            </w:r>
          </w:p>
        </w:tc>
        <w:tc>
          <w:tcPr>
            <w:tcW w:w="1134" w:type="dxa"/>
            <w:shd w:val="clear" w:color="auto" w:fill="D9D9D9" w:themeFill="background1" w:themeFillShade="D9"/>
            <w:vAlign w:val="center"/>
          </w:tcPr>
          <w:p w14:paraId="5B51DCE1" w14:textId="77777777" w:rsidR="00692E71" w:rsidRPr="00275290" w:rsidRDefault="00692E71" w:rsidP="008E0250">
            <w:pPr>
              <w:jc w:val="center"/>
              <w:rPr>
                <w:rFonts w:cs="Arial"/>
                <w:b/>
                <w:sz w:val="18"/>
                <w:szCs w:val="18"/>
              </w:rPr>
            </w:pPr>
            <w:r w:rsidRPr="00275290">
              <w:rPr>
                <w:rFonts w:cs="Arial"/>
                <w:b/>
                <w:sz w:val="18"/>
                <w:szCs w:val="18"/>
              </w:rPr>
              <w:t>Unit</w:t>
            </w:r>
          </w:p>
        </w:tc>
        <w:tc>
          <w:tcPr>
            <w:tcW w:w="850" w:type="dxa"/>
            <w:shd w:val="clear" w:color="auto" w:fill="D9D9D9" w:themeFill="background1" w:themeFillShade="D9"/>
            <w:vAlign w:val="center"/>
          </w:tcPr>
          <w:p w14:paraId="6E93951A" w14:textId="77777777" w:rsidR="00692E71" w:rsidRPr="00275290" w:rsidRDefault="00692E71" w:rsidP="008E0250">
            <w:pPr>
              <w:jc w:val="center"/>
              <w:rPr>
                <w:rFonts w:cs="Arial"/>
                <w:b/>
                <w:sz w:val="18"/>
                <w:szCs w:val="18"/>
              </w:rPr>
            </w:pPr>
            <w:r w:rsidRPr="00275290">
              <w:rPr>
                <w:rFonts w:cs="Arial"/>
                <w:b/>
                <w:sz w:val="18"/>
                <w:szCs w:val="18"/>
              </w:rPr>
              <w:t>Origin</w:t>
            </w:r>
          </w:p>
        </w:tc>
      </w:tr>
      <w:tr w:rsidR="00692E71" w:rsidRPr="00275290" w14:paraId="35C0AF29" w14:textId="77777777" w:rsidTr="008E0250">
        <w:trPr>
          <w:trHeight w:val="283"/>
        </w:trPr>
        <w:tc>
          <w:tcPr>
            <w:tcW w:w="9605" w:type="dxa"/>
            <w:gridSpan w:val="5"/>
            <w:vAlign w:val="center"/>
          </w:tcPr>
          <w:p w14:paraId="63224BBE" w14:textId="77777777" w:rsidR="00692E71" w:rsidRPr="00275290" w:rsidRDefault="00692E71" w:rsidP="008E0250">
            <w:pPr>
              <w:rPr>
                <w:rFonts w:cs="Arial"/>
                <w:b/>
                <w:sz w:val="18"/>
                <w:szCs w:val="18"/>
              </w:rPr>
            </w:pPr>
            <w:r w:rsidRPr="00275290">
              <w:rPr>
                <w:rFonts w:cs="Arial"/>
                <w:b/>
                <w:sz w:val="18"/>
                <w:szCs w:val="18"/>
              </w:rPr>
              <w:t>OUTPUT EMISSION</w:t>
            </w:r>
          </w:p>
        </w:tc>
      </w:tr>
      <w:tr w:rsidR="00692E71" w:rsidRPr="00275290" w14:paraId="78431269" w14:textId="77777777" w:rsidTr="008E0250">
        <w:tc>
          <w:tcPr>
            <w:tcW w:w="3345" w:type="dxa"/>
            <w:vAlign w:val="center"/>
          </w:tcPr>
          <w:p w14:paraId="3C0C8A64"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(30d), professional application</w:t>
            </w:r>
          </w:p>
        </w:tc>
        <w:tc>
          <w:tcPr>
            <w:tcW w:w="2008" w:type="dxa"/>
            <w:vAlign w:val="center"/>
          </w:tcPr>
          <w:p w14:paraId="4825F7A4"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rem </w:t>
            </w:r>
            <w:r w:rsidRPr="00275290">
              <w:rPr>
                <w:rFonts w:cs="Arial"/>
                <w:iCs/>
                <w:sz w:val="18"/>
                <w:szCs w:val="18"/>
                <w:vertAlign w:val="subscript"/>
              </w:rPr>
              <w:t>time1</w:t>
            </w:r>
          </w:p>
        </w:tc>
        <w:tc>
          <w:tcPr>
            <w:tcW w:w="2268" w:type="dxa"/>
            <w:vAlign w:val="center"/>
          </w:tcPr>
          <w:p w14:paraId="739A3C32" w14:textId="77777777" w:rsidR="00692E71" w:rsidRPr="00275290" w:rsidRDefault="00692E71" w:rsidP="008E0250">
            <w:pPr>
              <w:jc w:val="center"/>
              <w:rPr>
                <w:rFonts w:cs="Arial"/>
                <w:sz w:val="18"/>
                <w:szCs w:val="18"/>
              </w:rPr>
            </w:pPr>
            <w:r w:rsidRPr="00275290">
              <w:rPr>
                <w:rFonts w:cs="Arial"/>
                <w:sz w:val="18"/>
                <w:szCs w:val="18"/>
              </w:rPr>
              <w:t>2.8*10</w:t>
            </w:r>
            <w:r w:rsidRPr="00275290">
              <w:rPr>
                <w:rFonts w:cs="Arial"/>
                <w:sz w:val="18"/>
                <w:szCs w:val="18"/>
                <w:vertAlign w:val="superscript"/>
              </w:rPr>
              <w:t>-5</w:t>
            </w:r>
            <w:r w:rsidRPr="00275290">
              <w:rPr>
                <w:rFonts w:cs="Arial"/>
                <w:sz w:val="18"/>
                <w:szCs w:val="18"/>
              </w:rPr>
              <w:t xml:space="preserve"> (IPBC)</w:t>
            </w:r>
          </w:p>
          <w:p w14:paraId="7F044066" w14:textId="77777777" w:rsidR="00692E71" w:rsidRPr="00275290" w:rsidRDefault="00692E71" w:rsidP="008E0250">
            <w:pPr>
              <w:jc w:val="center"/>
              <w:rPr>
                <w:rFonts w:cs="Arial"/>
                <w:sz w:val="18"/>
                <w:szCs w:val="18"/>
              </w:rPr>
            </w:pPr>
            <w:r w:rsidRPr="00275290">
              <w:rPr>
                <w:rFonts w:cs="Arial"/>
                <w:sz w:val="18"/>
                <w:szCs w:val="18"/>
              </w:rPr>
              <w:t>0.15 (propiconazole)</w:t>
            </w:r>
          </w:p>
          <w:p w14:paraId="61277B2B" w14:textId="77777777" w:rsidR="00692E71" w:rsidRPr="00275290" w:rsidRDefault="00692E71" w:rsidP="008E0250">
            <w:pPr>
              <w:jc w:val="center"/>
              <w:rPr>
                <w:rFonts w:cs="Arial"/>
                <w:sz w:val="18"/>
                <w:szCs w:val="18"/>
              </w:rPr>
            </w:pPr>
            <w:r w:rsidRPr="00275290">
              <w:rPr>
                <w:rFonts w:cs="Arial"/>
                <w:sz w:val="18"/>
                <w:szCs w:val="18"/>
              </w:rPr>
              <w:t>0.06 (tebuconazole)</w:t>
            </w:r>
          </w:p>
          <w:p w14:paraId="42AD1309" w14:textId="77777777" w:rsidR="00692E71" w:rsidRPr="00275290" w:rsidRDefault="00692E71" w:rsidP="008E0250">
            <w:pPr>
              <w:jc w:val="center"/>
              <w:rPr>
                <w:rFonts w:cs="Arial"/>
                <w:sz w:val="18"/>
                <w:szCs w:val="18"/>
              </w:rPr>
            </w:pPr>
            <w:r w:rsidRPr="00275290">
              <w:rPr>
                <w:rFonts w:cs="Arial"/>
                <w:sz w:val="18"/>
                <w:szCs w:val="18"/>
              </w:rPr>
              <w:t xml:space="preserve">  0.01 (cypermethrin)</w:t>
            </w:r>
          </w:p>
        </w:tc>
        <w:tc>
          <w:tcPr>
            <w:tcW w:w="1134" w:type="dxa"/>
            <w:vAlign w:val="center"/>
          </w:tcPr>
          <w:p w14:paraId="04C02820"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5ACFFDA9"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FEDC0B9" w14:textId="77777777" w:rsidTr="008E0250">
        <w:tc>
          <w:tcPr>
            <w:tcW w:w="3345" w:type="dxa"/>
            <w:vAlign w:val="center"/>
          </w:tcPr>
          <w:p w14:paraId="40263411" w14:textId="77777777" w:rsidR="00692E71" w:rsidRPr="00275290" w:rsidRDefault="00692E71" w:rsidP="008E0250">
            <w:pPr>
              <w:rPr>
                <w:rFonts w:cs="Arial"/>
                <w:i/>
                <w:iCs/>
                <w:sz w:val="18"/>
                <w:szCs w:val="18"/>
              </w:rPr>
            </w:pPr>
            <w:r w:rsidRPr="00275290">
              <w:rPr>
                <w:rFonts w:cs="Arial"/>
                <w:sz w:val="18"/>
                <w:szCs w:val="18"/>
              </w:rPr>
              <w:t>Combined concentrations in soil resulting from application (brushing) and leaching of treated wood (30d), non-professional application</w:t>
            </w:r>
          </w:p>
        </w:tc>
        <w:tc>
          <w:tcPr>
            <w:tcW w:w="2008" w:type="dxa"/>
            <w:vAlign w:val="center"/>
          </w:tcPr>
          <w:p w14:paraId="14A835A3"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rem </w:t>
            </w:r>
            <w:r w:rsidRPr="00275290">
              <w:rPr>
                <w:rFonts w:cs="Arial"/>
                <w:iCs/>
                <w:sz w:val="18"/>
                <w:szCs w:val="18"/>
                <w:vertAlign w:val="subscript"/>
              </w:rPr>
              <w:t>time1</w:t>
            </w:r>
          </w:p>
        </w:tc>
        <w:tc>
          <w:tcPr>
            <w:tcW w:w="2268" w:type="dxa"/>
            <w:vAlign w:val="center"/>
          </w:tcPr>
          <w:p w14:paraId="141E704E" w14:textId="77777777" w:rsidR="00692E71" w:rsidRPr="00275290" w:rsidRDefault="00692E71" w:rsidP="008E0250">
            <w:pPr>
              <w:jc w:val="center"/>
              <w:rPr>
                <w:rFonts w:cs="Arial"/>
                <w:sz w:val="18"/>
                <w:szCs w:val="18"/>
              </w:rPr>
            </w:pPr>
            <w:r w:rsidRPr="00275290">
              <w:rPr>
                <w:rFonts w:cs="Arial"/>
                <w:sz w:val="18"/>
                <w:szCs w:val="18"/>
              </w:rPr>
              <w:t>2.8*10</w:t>
            </w:r>
            <w:r w:rsidRPr="00275290">
              <w:rPr>
                <w:rFonts w:cs="Arial"/>
                <w:sz w:val="18"/>
                <w:szCs w:val="18"/>
                <w:vertAlign w:val="superscript"/>
              </w:rPr>
              <w:t>-5</w:t>
            </w:r>
            <w:r w:rsidRPr="00275290">
              <w:rPr>
                <w:rFonts w:cs="Arial"/>
                <w:sz w:val="18"/>
                <w:szCs w:val="18"/>
              </w:rPr>
              <w:t xml:space="preserve">  (IPBC)</w:t>
            </w:r>
          </w:p>
          <w:p w14:paraId="6EC71BC0" w14:textId="77777777" w:rsidR="00692E71" w:rsidRPr="00275290" w:rsidRDefault="00692E71" w:rsidP="008E0250">
            <w:pPr>
              <w:jc w:val="center"/>
              <w:rPr>
                <w:rFonts w:cs="Arial"/>
                <w:sz w:val="18"/>
                <w:szCs w:val="18"/>
              </w:rPr>
            </w:pPr>
            <w:r w:rsidRPr="00275290">
              <w:rPr>
                <w:rFonts w:cs="Arial"/>
                <w:sz w:val="18"/>
                <w:szCs w:val="18"/>
              </w:rPr>
              <w:t>0.18 (propiconazole)</w:t>
            </w:r>
          </w:p>
          <w:p w14:paraId="67809686" w14:textId="77777777" w:rsidR="00692E71" w:rsidRPr="00275290" w:rsidRDefault="00692E71" w:rsidP="008E0250">
            <w:pPr>
              <w:jc w:val="center"/>
              <w:rPr>
                <w:rFonts w:cs="Arial"/>
                <w:sz w:val="18"/>
                <w:szCs w:val="18"/>
              </w:rPr>
            </w:pPr>
            <w:r w:rsidRPr="00275290">
              <w:rPr>
                <w:rFonts w:cs="Arial"/>
                <w:sz w:val="18"/>
                <w:szCs w:val="18"/>
              </w:rPr>
              <w:t>0.07 (tebuconazole)</w:t>
            </w:r>
          </w:p>
          <w:p w14:paraId="4B1B8399" w14:textId="77777777" w:rsidR="00692E71" w:rsidRPr="00275290" w:rsidRDefault="00692E71" w:rsidP="008E0250">
            <w:pPr>
              <w:jc w:val="center"/>
              <w:rPr>
                <w:rFonts w:cs="Arial"/>
                <w:sz w:val="18"/>
                <w:szCs w:val="18"/>
              </w:rPr>
            </w:pPr>
            <w:r w:rsidRPr="00275290">
              <w:rPr>
                <w:rFonts w:cs="Arial"/>
                <w:sz w:val="18"/>
                <w:szCs w:val="18"/>
              </w:rPr>
              <w:t>0.01 (cypermethrin)</w:t>
            </w:r>
          </w:p>
        </w:tc>
        <w:tc>
          <w:tcPr>
            <w:tcW w:w="1134" w:type="dxa"/>
            <w:vAlign w:val="center"/>
          </w:tcPr>
          <w:p w14:paraId="79945427" w14:textId="77777777" w:rsidR="00692E71" w:rsidRPr="00275290" w:rsidRDefault="00692E71" w:rsidP="008E0250">
            <w:pPr>
              <w:rPr>
                <w:rFonts w:cs="Arial"/>
                <w:i/>
                <w:iCs/>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4A6D58A0"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6F6E84B5" w14:textId="77777777" w:rsidTr="008E0250">
        <w:tc>
          <w:tcPr>
            <w:tcW w:w="3345" w:type="dxa"/>
            <w:vAlign w:val="center"/>
          </w:tcPr>
          <w:p w14:paraId="3F0767CD"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professional application</w:t>
            </w:r>
          </w:p>
        </w:tc>
        <w:tc>
          <w:tcPr>
            <w:tcW w:w="2008" w:type="dxa"/>
            <w:vAlign w:val="center"/>
          </w:tcPr>
          <w:p w14:paraId="1A260136"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rem, time2</w:t>
            </w:r>
          </w:p>
        </w:tc>
        <w:tc>
          <w:tcPr>
            <w:tcW w:w="2268" w:type="dxa"/>
            <w:vAlign w:val="center"/>
          </w:tcPr>
          <w:p w14:paraId="3F093103" w14:textId="77777777" w:rsidR="00692E71" w:rsidRPr="00275290" w:rsidRDefault="00692E71" w:rsidP="008E0250">
            <w:pPr>
              <w:jc w:val="center"/>
              <w:rPr>
                <w:rFonts w:cs="Arial"/>
                <w:sz w:val="18"/>
                <w:szCs w:val="18"/>
              </w:rPr>
            </w:pPr>
            <w:r w:rsidRPr="00275290">
              <w:rPr>
                <w:rFonts w:cs="Arial"/>
                <w:sz w:val="18"/>
                <w:szCs w:val="18"/>
              </w:rPr>
              <w:t>8.6*10</w:t>
            </w:r>
            <w:r w:rsidRPr="00275290">
              <w:rPr>
                <w:rFonts w:cs="Arial"/>
                <w:sz w:val="18"/>
                <w:szCs w:val="18"/>
                <w:vertAlign w:val="superscript"/>
              </w:rPr>
              <w:t>-7</w:t>
            </w:r>
            <w:r w:rsidRPr="00275290">
              <w:rPr>
                <w:rFonts w:cs="Arial"/>
                <w:sz w:val="18"/>
                <w:szCs w:val="18"/>
              </w:rPr>
              <w:t xml:space="preserve"> (IPBC)</w:t>
            </w:r>
          </w:p>
          <w:p w14:paraId="5EAA0300" w14:textId="77777777" w:rsidR="00692E71" w:rsidRPr="00275290" w:rsidRDefault="00692E71" w:rsidP="008E0250">
            <w:pPr>
              <w:jc w:val="center"/>
              <w:rPr>
                <w:rFonts w:cs="Arial"/>
                <w:sz w:val="18"/>
                <w:szCs w:val="18"/>
              </w:rPr>
            </w:pPr>
            <w:r w:rsidRPr="00275290">
              <w:rPr>
                <w:rFonts w:cs="Arial"/>
                <w:sz w:val="18"/>
                <w:szCs w:val="18"/>
              </w:rPr>
              <w:t>0.03 (propiconazole)</w:t>
            </w:r>
          </w:p>
          <w:p w14:paraId="3B41F8B5" w14:textId="77777777" w:rsidR="00692E71" w:rsidRPr="00275290" w:rsidRDefault="00692E71" w:rsidP="008E0250">
            <w:pPr>
              <w:jc w:val="center"/>
              <w:rPr>
                <w:rFonts w:cs="Arial"/>
                <w:sz w:val="18"/>
                <w:szCs w:val="18"/>
              </w:rPr>
            </w:pPr>
            <w:r w:rsidRPr="00275290">
              <w:rPr>
                <w:rFonts w:cs="Arial"/>
                <w:sz w:val="18"/>
                <w:szCs w:val="18"/>
              </w:rPr>
              <w:t>0.01 (tebuconazole)</w:t>
            </w:r>
          </w:p>
          <w:p w14:paraId="6CEF0C32" w14:textId="77777777" w:rsidR="00692E71" w:rsidRPr="00275290" w:rsidRDefault="00692E71" w:rsidP="008E0250">
            <w:pPr>
              <w:jc w:val="center"/>
              <w:rPr>
                <w:rFonts w:cs="Arial"/>
                <w:sz w:val="18"/>
                <w:szCs w:val="18"/>
              </w:rPr>
            </w:pPr>
            <w:r w:rsidRPr="00275290">
              <w:rPr>
                <w:rFonts w:cs="Arial"/>
                <w:sz w:val="18"/>
                <w:szCs w:val="18"/>
              </w:rPr>
              <w:t>1.5*10</w:t>
            </w:r>
            <w:r w:rsidRPr="00275290">
              <w:rPr>
                <w:rFonts w:cs="Arial"/>
                <w:sz w:val="18"/>
                <w:szCs w:val="18"/>
                <w:vertAlign w:val="superscript"/>
              </w:rPr>
              <w:t>-4</w:t>
            </w:r>
            <w:r w:rsidRPr="00275290">
              <w:rPr>
                <w:rFonts w:cs="Arial"/>
                <w:sz w:val="18"/>
                <w:szCs w:val="18"/>
              </w:rPr>
              <w:t xml:space="preserve"> (cypermethrin)</w:t>
            </w:r>
          </w:p>
        </w:tc>
        <w:tc>
          <w:tcPr>
            <w:tcW w:w="1134" w:type="dxa"/>
            <w:vAlign w:val="center"/>
          </w:tcPr>
          <w:p w14:paraId="29B3CF34"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7220CD3D"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6C1A1641" w14:textId="77777777" w:rsidTr="008E0250">
        <w:tc>
          <w:tcPr>
            <w:tcW w:w="3345" w:type="dxa"/>
            <w:vAlign w:val="center"/>
          </w:tcPr>
          <w:p w14:paraId="7DE61527"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non-professional application</w:t>
            </w:r>
          </w:p>
        </w:tc>
        <w:tc>
          <w:tcPr>
            <w:tcW w:w="2008" w:type="dxa"/>
            <w:vAlign w:val="center"/>
          </w:tcPr>
          <w:p w14:paraId="7EC66DAE"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rem, time2</w:t>
            </w:r>
          </w:p>
        </w:tc>
        <w:tc>
          <w:tcPr>
            <w:tcW w:w="2268" w:type="dxa"/>
            <w:vAlign w:val="center"/>
          </w:tcPr>
          <w:p w14:paraId="1D6A9770" w14:textId="77777777" w:rsidR="00692E71" w:rsidRPr="00275290" w:rsidRDefault="00692E71" w:rsidP="008E0250">
            <w:pPr>
              <w:jc w:val="center"/>
              <w:rPr>
                <w:rFonts w:cs="Arial"/>
                <w:sz w:val="18"/>
                <w:szCs w:val="18"/>
              </w:rPr>
            </w:pPr>
            <w:r w:rsidRPr="00275290">
              <w:rPr>
                <w:rFonts w:cs="Arial"/>
                <w:sz w:val="18"/>
                <w:szCs w:val="18"/>
              </w:rPr>
              <w:t>8.6*10</w:t>
            </w:r>
            <w:r w:rsidRPr="00275290">
              <w:rPr>
                <w:rFonts w:cs="Arial"/>
                <w:sz w:val="18"/>
                <w:szCs w:val="18"/>
                <w:vertAlign w:val="superscript"/>
              </w:rPr>
              <w:t>-7</w:t>
            </w:r>
            <w:r w:rsidRPr="00275290">
              <w:rPr>
                <w:rFonts w:cs="Arial"/>
                <w:sz w:val="18"/>
                <w:szCs w:val="18"/>
              </w:rPr>
              <w:t xml:space="preserve"> (IPBC)</w:t>
            </w:r>
          </w:p>
          <w:p w14:paraId="1D405478" w14:textId="77777777" w:rsidR="00692E71" w:rsidRPr="00275290" w:rsidRDefault="00692E71" w:rsidP="008E0250">
            <w:pPr>
              <w:jc w:val="center"/>
              <w:rPr>
                <w:rFonts w:cs="Arial"/>
                <w:sz w:val="18"/>
                <w:szCs w:val="18"/>
              </w:rPr>
            </w:pPr>
            <w:r w:rsidRPr="00275290">
              <w:rPr>
                <w:rFonts w:cs="Arial"/>
                <w:sz w:val="18"/>
                <w:szCs w:val="18"/>
              </w:rPr>
              <w:t>0.03 (propiconazole)</w:t>
            </w:r>
          </w:p>
          <w:p w14:paraId="47F53C96" w14:textId="77777777" w:rsidR="00692E71" w:rsidRPr="00275290" w:rsidRDefault="00692E71" w:rsidP="008E0250">
            <w:pPr>
              <w:jc w:val="center"/>
              <w:rPr>
                <w:rFonts w:cs="Arial"/>
                <w:sz w:val="18"/>
                <w:szCs w:val="18"/>
              </w:rPr>
            </w:pPr>
            <w:r w:rsidRPr="00275290">
              <w:rPr>
                <w:rFonts w:cs="Arial"/>
                <w:sz w:val="18"/>
                <w:szCs w:val="18"/>
              </w:rPr>
              <w:t>0.01 (tebuconazole)</w:t>
            </w:r>
          </w:p>
          <w:p w14:paraId="26221ACA" w14:textId="77777777" w:rsidR="00692E71" w:rsidRPr="00275290" w:rsidRDefault="00692E71" w:rsidP="008E0250">
            <w:pPr>
              <w:jc w:val="center"/>
              <w:rPr>
                <w:rFonts w:cs="Arial"/>
                <w:sz w:val="18"/>
                <w:szCs w:val="18"/>
              </w:rPr>
            </w:pPr>
            <w:r w:rsidRPr="00275290">
              <w:rPr>
                <w:rFonts w:cs="Arial"/>
                <w:sz w:val="18"/>
                <w:szCs w:val="18"/>
              </w:rPr>
              <w:t>1.5*10</w:t>
            </w:r>
            <w:r w:rsidRPr="00275290">
              <w:rPr>
                <w:rFonts w:cs="Arial"/>
                <w:sz w:val="18"/>
                <w:szCs w:val="18"/>
                <w:vertAlign w:val="superscript"/>
              </w:rPr>
              <w:t xml:space="preserve">-4 </w:t>
            </w:r>
            <w:r w:rsidRPr="00275290">
              <w:rPr>
                <w:rFonts w:cs="Arial"/>
                <w:sz w:val="18"/>
                <w:szCs w:val="18"/>
              </w:rPr>
              <w:t>(cypermethrin)</w:t>
            </w:r>
          </w:p>
        </w:tc>
        <w:tc>
          <w:tcPr>
            <w:tcW w:w="1134" w:type="dxa"/>
            <w:vAlign w:val="center"/>
          </w:tcPr>
          <w:p w14:paraId="056A7820"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608F14B4"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C55FF39" w14:textId="77777777" w:rsidTr="008E0250">
        <w:tc>
          <w:tcPr>
            <w:tcW w:w="3345" w:type="dxa"/>
            <w:vAlign w:val="center"/>
          </w:tcPr>
          <w:p w14:paraId="3FD4A5C9" w14:textId="77777777" w:rsidR="00692E71" w:rsidRPr="00275290" w:rsidRDefault="00692E71" w:rsidP="008E0250">
            <w:pPr>
              <w:keepNext/>
              <w:keepLines/>
              <w:rPr>
                <w:rFonts w:cs="Arial"/>
                <w:sz w:val="18"/>
                <w:szCs w:val="18"/>
              </w:rPr>
            </w:pPr>
            <w:r w:rsidRPr="00275290">
              <w:rPr>
                <w:rFonts w:cs="Arial"/>
                <w:sz w:val="18"/>
                <w:szCs w:val="18"/>
              </w:rPr>
              <w:t>Combined concentrations in pore water over the initial assessment period (30d), professional application</w:t>
            </w:r>
          </w:p>
        </w:tc>
        <w:tc>
          <w:tcPr>
            <w:tcW w:w="2008" w:type="dxa"/>
            <w:vAlign w:val="center"/>
          </w:tcPr>
          <w:p w14:paraId="5BE8F8B1" w14:textId="77777777" w:rsidR="00692E71" w:rsidRPr="00275290" w:rsidRDefault="00692E71" w:rsidP="008E0250">
            <w:pPr>
              <w:keepNext/>
              <w:keepLines/>
              <w:rPr>
                <w:rFonts w:cs="Arial"/>
                <w:iCs/>
                <w:sz w:val="18"/>
                <w:szCs w:val="18"/>
              </w:rPr>
            </w:pPr>
            <w:r w:rsidRPr="00275290">
              <w:rPr>
                <w:rFonts w:cs="Arial"/>
                <w:iCs/>
                <w:sz w:val="18"/>
                <w:szCs w:val="18"/>
              </w:rPr>
              <w:t>Clocal</w:t>
            </w:r>
            <w:r w:rsidRPr="00275290">
              <w:rPr>
                <w:rFonts w:cs="Arial"/>
                <w:iCs/>
                <w:sz w:val="18"/>
                <w:szCs w:val="18"/>
                <w:vertAlign w:val="subscript"/>
              </w:rPr>
              <w:t>pore,time1</w:t>
            </w:r>
          </w:p>
        </w:tc>
        <w:tc>
          <w:tcPr>
            <w:tcW w:w="2268" w:type="dxa"/>
            <w:vAlign w:val="center"/>
          </w:tcPr>
          <w:p w14:paraId="139994FD" w14:textId="77777777" w:rsidR="00692E71" w:rsidRPr="00275290" w:rsidRDefault="00692E71" w:rsidP="008E0250">
            <w:pPr>
              <w:keepNext/>
              <w:keepLines/>
              <w:jc w:val="center"/>
              <w:rPr>
                <w:rFonts w:cs="Arial"/>
                <w:sz w:val="18"/>
                <w:szCs w:val="18"/>
              </w:rPr>
            </w:pPr>
            <w:r w:rsidRPr="00275290">
              <w:rPr>
                <w:rFonts w:cs="Arial"/>
                <w:sz w:val="18"/>
                <w:szCs w:val="18"/>
              </w:rPr>
              <w:t>0.01 (IPBC)</w:t>
            </w:r>
          </w:p>
          <w:p w14:paraId="05F57CF7" w14:textId="77777777" w:rsidR="00692E71" w:rsidRPr="00275290" w:rsidRDefault="00692E71" w:rsidP="008E0250">
            <w:pPr>
              <w:keepNext/>
              <w:keepLines/>
              <w:jc w:val="center"/>
              <w:rPr>
                <w:rFonts w:cs="Arial"/>
                <w:sz w:val="18"/>
                <w:szCs w:val="18"/>
              </w:rPr>
            </w:pPr>
            <w:r w:rsidRPr="00275290">
              <w:rPr>
                <w:rFonts w:cs="Arial"/>
                <w:sz w:val="18"/>
                <w:szCs w:val="18"/>
              </w:rPr>
              <w:t>8.91 (propiconazole)</w:t>
            </w:r>
          </w:p>
          <w:p w14:paraId="35C7B50C" w14:textId="77777777" w:rsidR="00692E71" w:rsidRPr="00275290" w:rsidRDefault="00692E71" w:rsidP="008E0250">
            <w:pPr>
              <w:keepNext/>
              <w:keepLines/>
              <w:jc w:val="center"/>
              <w:rPr>
                <w:rFonts w:cs="Arial"/>
                <w:sz w:val="18"/>
                <w:szCs w:val="18"/>
              </w:rPr>
            </w:pPr>
            <w:r w:rsidRPr="00275290">
              <w:rPr>
                <w:rFonts w:cs="Arial"/>
                <w:sz w:val="18"/>
                <w:szCs w:val="18"/>
              </w:rPr>
              <w:t>3.24 (tebuconazole)</w:t>
            </w:r>
          </w:p>
          <w:p w14:paraId="4979525E" w14:textId="77777777" w:rsidR="00692E71" w:rsidRPr="00275290" w:rsidRDefault="00692E71" w:rsidP="008E0250">
            <w:pPr>
              <w:keepNext/>
              <w:keepLines/>
              <w:jc w:val="center"/>
              <w:rPr>
                <w:rFonts w:cs="Arial"/>
                <w:sz w:val="18"/>
                <w:szCs w:val="18"/>
              </w:rPr>
            </w:pPr>
            <w:r w:rsidRPr="00275290">
              <w:rPr>
                <w:rFonts w:cs="Arial"/>
                <w:sz w:val="18"/>
                <w:szCs w:val="18"/>
              </w:rPr>
              <w:t xml:space="preserve">  6.9*10</w:t>
            </w:r>
            <w:r w:rsidRPr="00275290">
              <w:rPr>
                <w:rFonts w:cs="Arial"/>
                <w:sz w:val="18"/>
                <w:szCs w:val="18"/>
                <w:vertAlign w:val="superscript"/>
              </w:rPr>
              <w:t>-4</w:t>
            </w:r>
            <w:r w:rsidRPr="00275290">
              <w:rPr>
                <w:rFonts w:cs="Arial"/>
                <w:sz w:val="18"/>
                <w:szCs w:val="18"/>
              </w:rPr>
              <w:t xml:space="preserve"> (cypermethrin)</w:t>
            </w:r>
          </w:p>
        </w:tc>
        <w:tc>
          <w:tcPr>
            <w:tcW w:w="1134" w:type="dxa"/>
            <w:vAlign w:val="center"/>
          </w:tcPr>
          <w:p w14:paraId="4E59C527" w14:textId="77777777" w:rsidR="00692E71" w:rsidRPr="00275290" w:rsidRDefault="00692E71" w:rsidP="008E0250">
            <w:pPr>
              <w:keepNext/>
              <w:keepLines/>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64ED3D4F" w14:textId="77777777" w:rsidR="00692E71" w:rsidRPr="00275290" w:rsidRDefault="00692E71" w:rsidP="008E0250">
            <w:pPr>
              <w:keepNext/>
              <w:keepLines/>
              <w:jc w:val="center"/>
              <w:rPr>
                <w:rFonts w:cs="Arial"/>
                <w:sz w:val="18"/>
                <w:szCs w:val="18"/>
              </w:rPr>
            </w:pPr>
            <w:r w:rsidRPr="00275290">
              <w:rPr>
                <w:rFonts w:cs="Arial"/>
                <w:sz w:val="18"/>
                <w:szCs w:val="18"/>
              </w:rPr>
              <w:t>O</w:t>
            </w:r>
          </w:p>
        </w:tc>
      </w:tr>
      <w:tr w:rsidR="00692E71" w:rsidRPr="00275290" w14:paraId="4A751357" w14:textId="77777777" w:rsidTr="008E0250">
        <w:tc>
          <w:tcPr>
            <w:tcW w:w="3345" w:type="dxa"/>
            <w:vAlign w:val="center"/>
          </w:tcPr>
          <w:p w14:paraId="0A2D33C2" w14:textId="77777777" w:rsidR="00692E71" w:rsidRPr="00275290" w:rsidRDefault="00692E71" w:rsidP="008E0250">
            <w:pPr>
              <w:rPr>
                <w:rFonts w:cs="Arial"/>
                <w:sz w:val="18"/>
                <w:szCs w:val="18"/>
              </w:rPr>
            </w:pPr>
            <w:r w:rsidRPr="00275290">
              <w:rPr>
                <w:rFonts w:cs="Arial"/>
                <w:sz w:val="18"/>
                <w:szCs w:val="18"/>
              </w:rPr>
              <w:t>Combined concentrations in pore water over the initial assessment period (30d), non-professional application</w:t>
            </w:r>
          </w:p>
        </w:tc>
        <w:tc>
          <w:tcPr>
            <w:tcW w:w="2008" w:type="dxa"/>
            <w:vAlign w:val="center"/>
          </w:tcPr>
          <w:p w14:paraId="03274B4F" w14:textId="77777777" w:rsidR="00692E71" w:rsidRPr="00275290" w:rsidRDefault="00692E71" w:rsidP="008E0250">
            <w:pPr>
              <w:rPr>
                <w:rFonts w:cs="Arial"/>
                <w:sz w:val="18"/>
                <w:szCs w:val="18"/>
              </w:rPr>
            </w:pPr>
            <w:r w:rsidRPr="00275290">
              <w:rPr>
                <w:rFonts w:cs="Arial"/>
                <w:iCs/>
                <w:sz w:val="18"/>
                <w:szCs w:val="18"/>
              </w:rPr>
              <w:t>Clocal</w:t>
            </w:r>
            <w:r w:rsidRPr="00275290">
              <w:rPr>
                <w:rFonts w:cs="Arial"/>
                <w:iCs/>
                <w:sz w:val="18"/>
                <w:szCs w:val="18"/>
                <w:vertAlign w:val="subscript"/>
              </w:rPr>
              <w:t>pore,time1</w:t>
            </w:r>
          </w:p>
        </w:tc>
        <w:tc>
          <w:tcPr>
            <w:tcW w:w="2268" w:type="dxa"/>
            <w:vAlign w:val="center"/>
          </w:tcPr>
          <w:p w14:paraId="1580C129" w14:textId="77777777" w:rsidR="00692E71" w:rsidRPr="00275290" w:rsidRDefault="00692E71" w:rsidP="008E0250">
            <w:pPr>
              <w:jc w:val="center"/>
              <w:rPr>
                <w:rFonts w:cs="Arial"/>
                <w:sz w:val="18"/>
                <w:szCs w:val="18"/>
              </w:rPr>
            </w:pPr>
            <w:r w:rsidRPr="00275290">
              <w:rPr>
                <w:rFonts w:cs="Arial"/>
                <w:sz w:val="18"/>
                <w:szCs w:val="18"/>
              </w:rPr>
              <w:t>0.01 (IPBC)</w:t>
            </w:r>
          </w:p>
          <w:p w14:paraId="077F02DD" w14:textId="77777777" w:rsidR="00692E71" w:rsidRPr="00275290" w:rsidRDefault="00692E71" w:rsidP="008E0250">
            <w:pPr>
              <w:jc w:val="center"/>
              <w:rPr>
                <w:rFonts w:cs="Arial"/>
                <w:sz w:val="18"/>
                <w:szCs w:val="18"/>
              </w:rPr>
            </w:pPr>
            <w:r w:rsidRPr="00275290">
              <w:rPr>
                <w:rFonts w:cs="Arial"/>
                <w:sz w:val="18"/>
                <w:szCs w:val="18"/>
              </w:rPr>
              <w:t xml:space="preserve"> 10.63 (propiconazole)</w:t>
            </w:r>
          </w:p>
          <w:p w14:paraId="2E9D8EE9" w14:textId="77777777" w:rsidR="00692E71" w:rsidRPr="00275290" w:rsidRDefault="00692E71" w:rsidP="008E0250">
            <w:pPr>
              <w:jc w:val="center"/>
              <w:rPr>
                <w:rFonts w:cs="Arial"/>
                <w:sz w:val="18"/>
                <w:szCs w:val="18"/>
              </w:rPr>
            </w:pPr>
            <w:r w:rsidRPr="00275290">
              <w:rPr>
                <w:rFonts w:cs="Arial"/>
                <w:sz w:val="18"/>
                <w:szCs w:val="18"/>
              </w:rPr>
              <w:t>3.72 (tebuconazole)</w:t>
            </w:r>
          </w:p>
          <w:p w14:paraId="6D804414" w14:textId="77777777" w:rsidR="00692E71" w:rsidRPr="00275290" w:rsidRDefault="00692E71" w:rsidP="008E0250">
            <w:pPr>
              <w:jc w:val="center"/>
              <w:rPr>
                <w:rFonts w:cs="Arial"/>
                <w:sz w:val="18"/>
                <w:szCs w:val="18"/>
              </w:rPr>
            </w:pPr>
            <w:r w:rsidRPr="00275290">
              <w:rPr>
                <w:rFonts w:cs="Arial"/>
                <w:sz w:val="18"/>
                <w:szCs w:val="18"/>
              </w:rPr>
              <w:t>1.1*10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6CC09F62"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34AF7700"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0A15F80D" w14:textId="77777777" w:rsidTr="008E0250">
        <w:tc>
          <w:tcPr>
            <w:tcW w:w="3345" w:type="dxa"/>
            <w:vAlign w:val="center"/>
          </w:tcPr>
          <w:p w14:paraId="0873D05E" w14:textId="77777777" w:rsidR="00692E71" w:rsidRPr="00275290" w:rsidRDefault="00692E71" w:rsidP="008E0250">
            <w:pPr>
              <w:rPr>
                <w:rFonts w:cs="Arial"/>
                <w:sz w:val="18"/>
                <w:szCs w:val="18"/>
              </w:rPr>
            </w:pPr>
            <w:r w:rsidRPr="00275290">
              <w:rPr>
                <w:rFonts w:cs="Arial"/>
                <w:sz w:val="18"/>
                <w:szCs w:val="18"/>
              </w:rPr>
              <w:lastRenderedPageBreak/>
              <w:t>Combined concentration in pore water over a longer</w:t>
            </w:r>
          </w:p>
          <w:p w14:paraId="5E0D5EDE" w14:textId="77777777" w:rsidR="00692E71" w:rsidRPr="00275290" w:rsidRDefault="00692E71" w:rsidP="008E0250">
            <w:pPr>
              <w:rPr>
                <w:rFonts w:cs="Arial"/>
                <w:sz w:val="18"/>
                <w:szCs w:val="18"/>
              </w:rPr>
            </w:pPr>
            <w:r w:rsidRPr="00275290">
              <w:rPr>
                <w:rFonts w:cs="Arial"/>
                <w:sz w:val="18"/>
                <w:szCs w:val="18"/>
              </w:rPr>
              <w:t>duration (1825d), professional application</w:t>
            </w:r>
          </w:p>
        </w:tc>
        <w:tc>
          <w:tcPr>
            <w:tcW w:w="2008" w:type="dxa"/>
            <w:vAlign w:val="center"/>
          </w:tcPr>
          <w:p w14:paraId="41FD57BF"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268" w:type="dxa"/>
            <w:vAlign w:val="center"/>
          </w:tcPr>
          <w:p w14:paraId="2F1BFFD9" w14:textId="77777777" w:rsidR="00692E71" w:rsidRPr="00275290" w:rsidRDefault="00692E71" w:rsidP="008E0250">
            <w:pPr>
              <w:jc w:val="center"/>
              <w:rPr>
                <w:rFonts w:cs="Arial"/>
                <w:sz w:val="18"/>
                <w:szCs w:val="18"/>
              </w:rPr>
            </w:pPr>
            <w:r w:rsidRPr="00275290">
              <w:rPr>
                <w:rFonts w:cs="Arial"/>
                <w:sz w:val="18"/>
                <w:szCs w:val="18"/>
              </w:rPr>
              <w:t>3.7*10</w:t>
            </w:r>
            <w:r w:rsidRPr="00275290">
              <w:rPr>
                <w:rFonts w:cs="Arial"/>
                <w:sz w:val="18"/>
                <w:szCs w:val="18"/>
                <w:vertAlign w:val="superscript"/>
              </w:rPr>
              <w:t>-4</w:t>
            </w:r>
            <w:r w:rsidRPr="00275290">
              <w:rPr>
                <w:rFonts w:cs="Arial"/>
                <w:sz w:val="18"/>
                <w:szCs w:val="18"/>
              </w:rPr>
              <w:t xml:space="preserve"> (IPBC)</w:t>
            </w:r>
          </w:p>
          <w:p w14:paraId="6032E9EB" w14:textId="77777777" w:rsidR="00692E71" w:rsidRPr="00275290" w:rsidRDefault="00692E71" w:rsidP="008E0250">
            <w:pPr>
              <w:jc w:val="center"/>
              <w:rPr>
                <w:rFonts w:cs="Arial"/>
                <w:sz w:val="18"/>
                <w:szCs w:val="18"/>
              </w:rPr>
            </w:pPr>
            <w:r w:rsidRPr="00275290">
              <w:rPr>
                <w:rFonts w:cs="Arial"/>
                <w:sz w:val="18"/>
                <w:szCs w:val="18"/>
              </w:rPr>
              <w:t xml:space="preserve"> 1.87 (propiconazole)</w:t>
            </w:r>
          </w:p>
          <w:p w14:paraId="1C44BE28" w14:textId="77777777" w:rsidR="00692E71" w:rsidRPr="00275290" w:rsidRDefault="00692E71" w:rsidP="008E0250">
            <w:pPr>
              <w:jc w:val="center"/>
              <w:rPr>
                <w:rFonts w:cs="Arial"/>
                <w:sz w:val="18"/>
                <w:szCs w:val="18"/>
              </w:rPr>
            </w:pPr>
            <w:r w:rsidRPr="00275290">
              <w:rPr>
                <w:rFonts w:cs="Arial"/>
                <w:sz w:val="18"/>
                <w:szCs w:val="18"/>
              </w:rPr>
              <w:t xml:space="preserve">  0.39 (tebuconazole)</w:t>
            </w:r>
          </w:p>
          <w:p w14:paraId="143FB995" w14:textId="77777777" w:rsidR="00692E71" w:rsidRPr="00275290" w:rsidRDefault="00692E71" w:rsidP="008E0250">
            <w:pPr>
              <w:jc w:val="center"/>
              <w:rPr>
                <w:rFonts w:cs="Arial"/>
                <w:sz w:val="18"/>
                <w:szCs w:val="18"/>
              </w:rPr>
            </w:pPr>
            <w:r w:rsidRPr="00275290">
              <w:rPr>
                <w:rFonts w:cs="Arial"/>
                <w:sz w:val="18"/>
                <w:szCs w:val="18"/>
              </w:rPr>
              <w:t>1.4*10</w:t>
            </w:r>
            <w:r w:rsidRPr="00275290">
              <w:rPr>
                <w:rFonts w:cs="Arial"/>
                <w:sz w:val="18"/>
                <w:szCs w:val="18"/>
                <w:vertAlign w:val="superscript"/>
              </w:rPr>
              <w:t>-5</w:t>
            </w:r>
            <w:r w:rsidRPr="00275290">
              <w:rPr>
                <w:rFonts w:cs="Arial"/>
                <w:sz w:val="18"/>
                <w:szCs w:val="18"/>
              </w:rPr>
              <w:t xml:space="preserve"> (cypermethrin)</w:t>
            </w:r>
          </w:p>
        </w:tc>
        <w:tc>
          <w:tcPr>
            <w:tcW w:w="1134" w:type="dxa"/>
            <w:vAlign w:val="center"/>
          </w:tcPr>
          <w:p w14:paraId="6BBF53AE"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25FA3026"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37E4D56C" w14:textId="77777777" w:rsidTr="008E0250">
        <w:tc>
          <w:tcPr>
            <w:tcW w:w="3345" w:type="dxa"/>
            <w:vAlign w:val="center"/>
          </w:tcPr>
          <w:p w14:paraId="07D9C0D3" w14:textId="77777777" w:rsidR="00692E71" w:rsidRPr="00275290" w:rsidRDefault="00692E71" w:rsidP="008E0250">
            <w:pPr>
              <w:rPr>
                <w:rFonts w:cs="Arial"/>
                <w:sz w:val="18"/>
                <w:szCs w:val="18"/>
              </w:rPr>
            </w:pPr>
            <w:r w:rsidRPr="00275290">
              <w:rPr>
                <w:rFonts w:cs="Arial"/>
                <w:sz w:val="18"/>
                <w:szCs w:val="18"/>
              </w:rPr>
              <w:t>Combined concentrations in pore water over the initial assessment period (1825d), non-professional application</w:t>
            </w:r>
          </w:p>
        </w:tc>
        <w:tc>
          <w:tcPr>
            <w:tcW w:w="2008" w:type="dxa"/>
            <w:vAlign w:val="center"/>
          </w:tcPr>
          <w:p w14:paraId="47C717AC"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268" w:type="dxa"/>
            <w:vAlign w:val="center"/>
          </w:tcPr>
          <w:p w14:paraId="3BE40417" w14:textId="77777777" w:rsidR="00692E71" w:rsidRPr="00275290" w:rsidRDefault="00692E71" w:rsidP="008E0250">
            <w:pPr>
              <w:jc w:val="center"/>
              <w:rPr>
                <w:rFonts w:cs="Arial"/>
                <w:sz w:val="18"/>
                <w:szCs w:val="18"/>
              </w:rPr>
            </w:pPr>
            <w:r w:rsidRPr="00275290">
              <w:rPr>
                <w:rFonts w:cs="Arial"/>
                <w:sz w:val="18"/>
                <w:szCs w:val="18"/>
              </w:rPr>
              <w:t>3.7*10</w:t>
            </w:r>
            <w:r w:rsidRPr="00275290">
              <w:rPr>
                <w:rFonts w:cs="Arial"/>
                <w:sz w:val="18"/>
                <w:szCs w:val="18"/>
                <w:vertAlign w:val="superscript"/>
              </w:rPr>
              <w:t>-4</w:t>
            </w:r>
            <w:r w:rsidRPr="00275290">
              <w:rPr>
                <w:rFonts w:cs="Arial"/>
                <w:sz w:val="18"/>
                <w:szCs w:val="18"/>
              </w:rPr>
              <w:t xml:space="preserve"> (IPBC)</w:t>
            </w:r>
          </w:p>
          <w:p w14:paraId="357DC1B2" w14:textId="77777777" w:rsidR="00692E71" w:rsidRPr="00275290" w:rsidRDefault="00692E71" w:rsidP="008E0250">
            <w:pPr>
              <w:jc w:val="center"/>
              <w:rPr>
                <w:rFonts w:cs="Arial"/>
                <w:sz w:val="18"/>
                <w:szCs w:val="18"/>
              </w:rPr>
            </w:pPr>
            <w:r w:rsidRPr="00275290">
              <w:rPr>
                <w:rFonts w:cs="Arial"/>
                <w:sz w:val="18"/>
                <w:szCs w:val="18"/>
              </w:rPr>
              <w:t xml:space="preserve"> 1.87 (propiconazole)</w:t>
            </w:r>
          </w:p>
          <w:p w14:paraId="347C8D40" w14:textId="77777777" w:rsidR="00692E71" w:rsidRPr="00275290" w:rsidRDefault="00692E71" w:rsidP="008E0250">
            <w:pPr>
              <w:jc w:val="center"/>
              <w:rPr>
                <w:rFonts w:cs="Arial"/>
                <w:sz w:val="18"/>
                <w:szCs w:val="18"/>
              </w:rPr>
            </w:pPr>
            <w:r w:rsidRPr="00275290">
              <w:rPr>
                <w:rFonts w:cs="Arial"/>
                <w:sz w:val="18"/>
                <w:szCs w:val="18"/>
              </w:rPr>
              <w:t xml:space="preserve">  0.39 (tebuconazole)</w:t>
            </w:r>
          </w:p>
          <w:p w14:paraId="2943A3F2" w14:textId="77777777" w:rsidR="00692E71" w:rsidRPr="00275290" w:rsidRDefault="00692E71" w:rsidP="008E0250">
            <w:pPr>
              <w:jc w:val="center"/>
              <w:rPr>
                <w:rFonts w:cs="Arial"/>
                <w:sz w:val="18"/>
                <w:szCs w:val="18"/>
              </w:rPr>
            </w:pPr>
            <w:r w:rsidRPr="00275290">
              <w:rPr>
                <w:rFonts w:cs="Arial"/>
                <w:sz w:val="18"/>
                <w:szCs w:val="18"/>
              </w:rPr>
              <w:t>1.4*10</w:t>
            </w:r>
            <w:r w:rsidRPr="00275290">
              <w:rPr>
                <w:rFonts w:cs="Arial"/>
                <w:sz w:val="18"/>
                <w:szCs w:val="18"/>
                <w:vertAlign w:val="superscript"/>
              </w:rPr>
              <w:t>-5</w:t>
            </w:r>
            <w:r w:rsidRPr="00275290">
              <w:rPr>
                <w:rFonts w:cs="Arial"/>
                <w:sz w:val="18"/>
                <w:szCs w:val="18"/>
              </w:rPr>
              <w:t xml:space="preserve"> (cypermethrin)</w:t>
            </w:r>
          </w:p>
        </w:tc>
        <w:tc>
          <w:tcPr>
            <w:tcW w:w="1134" w:type="dxa"/>
            <w:vAlign w:val="center"/>
          </w:tcPr>
          <w:p w14:paraId="22F550A2"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382328E6" w14:textId="77777777" w:rsidR="00692E71" w:rsidRPr="00275290" w:rsidRDefault="00692E71" w:rsidP="008E0250">
            <w:pPr>
              <w:jc w:val="center"/>
              <w:rPr>
                <w:rFonts w:cs="Arial"/>
                <w:sz w:val="18"/>
                <w:szCs w:val="18"/>
              </w:rPr>
            </w:pPr>
            <w:r w:rsidRPr="00275290">
              <w:rPr>
                <w:rFonts w:cs="Arial"/>
                <w:sz w:val="18"/>
                <w:szCs w:val="18"/>
              </w:rPr>
              <w:t>O</w:t>
            </w:r>
          </w:p>
        </w:tc>
      </w:tr>
    </w:tbl>
    <w:p w14:paraId="60DC7037" w14:textId="77777777" w:rsidR="00692E71" w:rsidRPr="00275290" w:rsidRDefault="00692E71" w:rsidP="00692E71">
      <w:pPr>
        <w:rPr>
          <w:rFonts w:cs="Arial"/>
          <w:iCs/>
        </w:rPr>
      </w:pPr>
    </w:p>
    <w:p w14:paraId="03C9E1F9" w14:textId="77777777" w:rsidR="00692E71" w:rsidRPr="00275290" w:rsidRDefault="00692E71" w:rsidP="00692E71">
      <w:pPr>
        <w:rPr>
          <w:rFonts w:cs="Arial"/>
        </w:rPr>
      </w:pPr>
      <w:r w:rsidRPr="00275290">
        <w:rPr>
          <w:rFonts w:cs="Arial"/>
          <w:iCs/>
        </w:rPr>
        <w:t>The average concentration in the pore water can be calculated as</w:t>
      </w:r>
      <w:r w:rsidRPr="00275290">
        <w:rPr>
          <w:rFonts w:cs="Arial"/>
        </w:rPr>
        <w:t>:</w:t>
      </w:r>
    </w:p>
    <w:p w14:paraId="72EEC7D3" w14:textId="77777777" w:rsidR="00692E71" w:rsidRPr="00275290" w:rsidRDefault="00692E71" w:rsidP="00692E71">
      <w:pPr>
        <w:rPr>
          <w:rFonts w:cs="Arial"/>
          <w:iCs/>
        </w:rPr>
      </w:pPr>
    </w:p>
    <w:p w14:paraId="4D74D699"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xml:space="preserve">= </w:t>
      </w:r>
      <w:r w:rsidRPr="00275290">
        <w:rPr>
          <w:rFonts w:cs="Arial"/>
        </w:rPr>
        <w:t>Clocal</w:t>
      </w:r>
      <w:r w:rsidRPr="00275290">
        <w:rPr>
          <w:rFonts w:cs="Arial"/>
          <w:vertAlign w:val="subscript"/>
        </w:rPr>
        <w:t xml:space="preserve">soil,total, rem </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1659899F" w14:textId="77777777" w:rsidR="00692E71" w:rsidRPr="00275290" w:rsidRDefault="00692E71" w:rsidP="00692E71">
      <w:pPr>
        <w:rPr>
          <w:rFonts w:cs="Arial"/>
          <w:iCs/>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2.8*10</w:t>
      </w:r>
      <w:r w:rsidRPr="00275290">
        <w:rPr>
          <w:rFonts w:cs="Arial"/>
          <w:iCs/>
          <w:vertAlign w:val="superscript"/>
        </w:rPr>
        <w:t>-5</w:t>
      </w:r>
      <w:r w:rsidRPr="00275290">
        <w:rPr>
          <w:rFonts w:cs="Arial"/>
          <w:iCs/>
        </w:rPr>
        <w:t xml:space="preserve"> * 1700 / 3.98</w:t>
      </w:r>
    </w:p>
    <w:p w14:paraId="04014AAB" w14:textId="77777777" w:rsidR="00692E71" w:rsidRPr="00275290" w:rsidRDefault="00692E71" w:rsidP="00692E71">
      <w:pPr>
        <w:rPr>
          <w:rFonts w:cs="Arial"/>
          <w:iCs/>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xml:space="preserve">= 0.01 </w:t>
      </w:r>
      <w:r w:rsidRPr="00275290">
        <w:rPr>
          <w:rFonts w:cs="Arial"/>
        </w:rPr>
        <w:t>µg.L</w:t>
      </w:r>
      <w:r w:rsidRPr="00275290">
        <w:rPr>
          <w:rFonts w:cs="Arial"/>
          <w:vertAlign w:val="superscript"/>
        </w:rPr>
        <w:t>-1</w:t>
      </w:r>
    </w:p>
    <w:p w14:paraId="409A348C" w14:textId="77777777" w:rsidR="00692E71" w:rsidRPr="00575E63" w:rsidRDefault="00692E71" w:rsidP="00692E71">
      <w:pPr>
        <w:rPr>
          <w:rFonts w:ascii="Arial" w:hAnsi="Arial" w:cs="Arial"/>
        </w:rPr>
      </w:pPr>
    </w:p>
    <w:p w14:paraId="76DEC210" w14:textId="77777777" w:rsidR="00692E71" w:rsidRPr="00FE333D" w:rsidRDefault="00692E71" w:rsidP="003356DA">
      <w:pPr>
        <w:pStyle w:val="Titre7"/>
        <w:rPr>
          <w:lang w:val="en-US"/>
        </w:rPr>
      </w:pPr>
      <w:bookmarkStart w:id="135" w:name="_Toc452669000"/>
      <w:r w:rsidRPr="00FE333D">
        <w:rPr>
          <w:lang w:val="en-US"/>
        </w:rPr>
        <w:t>Fence scenario, combined concentrations in soil and in pore-water from in-situ treatment and in-service</w:t>
      </w:r>
      <w:bookmarkEnd w:id="135"/>
    </w:p>
    <w:p w14:paraId="5AC7CC88" w14:textId="77777777" w:rsidR="00692E71" w:rsidRPr="00275290" w:rsidRDefault="00692E71" w:rsidP="00692E71">
      <w:pPr>
        <w:rPr>
          <w:rFonts w:cs="Arial"/>
          <w:highlight w:val="yellow"/>
        </w:rPr>
      </w:pPr>
    </w:p>
    <w:p w14:paraId="3DFE6CD3" w14:textId="77777777" w:rsidR="00692E71" w:rsidRPr="00275290" w:rsidRDefault="00692E71" w:rsidP="00692E71">
      <w:pPr>
        <w:rPr>
          <w:rFonts w:cs="Arial"/>
        </w:rPr>
      </w:pPr>
      <w:r w:rsidRPr="00275290">
        <w:rPr>
          <w:rFonts w:cs="Arial"/>
        </w:rPr>
        <w:t>The combined concentrations in soil resulting from application (brushing) and leaching of treated wood in-service based on the fence scenario are presented in the following tables.</w:t>
      </w:r>
    </w:p>
    <w:p w14:paraId="64A1B850" w14:textId="77777777" w:rsidR="00692E71" w:rsidRPr="00275290" w:rsidRDefault="00692E71" w:rsidP="00692E71">
      <w:pPr>
        <w:rPr>
          <w:rFonts w:cs="Arial"/>
        </w:rPr>
      </w:pPr>
    </w:p>
    <w:p w14:paraId="2B28B0DA" w14:textId="77777777" w:rsidR="00692E71" w:rsidRPr="00275290" w:rsidRDefault="00692E71" w:rsidP="00692E71">
      <w:pPr>
        <w:rPr>
          <w:rFonts w:cs="Arial"/>
        </w:rPr>
      </w:pPr>
      <w:r w:rsidRPr="00275290">
        <w:rPr>
          <w:rFonts w:cs="Arial"/>
          <w:b/>
        </w:rPr>
        <w:t>- Combined concentrations not taking removal into account, Fence scenario</w:t>
      </w:r>
    </w:p>
    <w:p w14:paraId="5315623A" w14:textId="77777777" w:rsidR="00692E71" w:rsidRPr="00275290" w:rsidRDefault="00692E71" w:rsidP="00692E71">
      <w:pPr>
        <w:rPr>
          <w:rFonts w:cs="Arial"/>
        </w:rPr>
      </w:pPr>
    </w:p>
    <w:p w14:paraId="76662C66" w14:textId="77777777" w:rsidR="00692E71" w:rsidRPr="00275290" w:rsidRDefault="00692E71" w:rsidP="00692E71">
      <w:pPr>
        <w:pStyle w:val="Lgende"/>
        <w:spacing w:after="0"/>
        <w:rPr>
          <w:rFonts w:ascii="Verdana" w:hAnsi="Verdana"/>
          <w:b/>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23</w:t>
      </w:r>
      <w:r w:rsidRPr="00275290">
        <w:rPr>
          <w:rFonts w:ascii="Verdana" w:hAnsi="Verdana"/>
        </w:rPr>
        <w:fldChar w:fldCharType="end"/>
      </w:r>
      <w:r w:rsidRPr="00275290">
        <w:rPr>
          <w:rFonts w:ascii="Verdana" w:hAnsi="Verdana"/>
        </w:rPr>
        <w:t xml:space="preserve">: Combined concentration in soil and in pore-water from </w:t>
      </w:r>
      <w:r w:rsidRPr="00275290">
        <w:rPr>
          <w:rFonts w:ascii="Verdana" w:hAnsi="Verdana"/>
          <w:i/>
        </w:rPr>
        <w:t>in-situ</w:t>
      </w:r>
      <w:r w:rsidRPr="00275290">
        <w:rPr>
          <w:rFonts w:ascii="Verdana" w:hAnsi="Verdana"/>
        </w:rPr>
        <w:t xml:space="preserve"> (brushing) and in-service based on the fence scenario, removal not considered.</w:t>
      </w: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734"/>
        <w:gridCol w:w="2410"/>
        <w:gridCol w:w="1134"/>
        <w:gridCol w:w="710"/>
      </w:tblGrid>
      <w:tr w:rsidR="00692E71" w:rsidRPr="00275290" w14:paraId="3433B12F" w14:textId="77777777" w:rsidTr="008E0250">
        <w:trPr>
          <w:cantSplit/>
          <w:trHeight w:val="283"/>
          <w:tblHeader/>
        </w:trPr>
        <w:tc>
          <w:tcPr>
            <w:tcW w:w="3369" w:type="dxa"/>
            <w:shd w:val="clear" w:color="auto" w:fill="D9D9D9" w:themeFill="background1" w:themeFillShade="D9"/>
            <w:vAlign w:val="center"/>
          </w:tcPr>
          <w:p w14:paraId="48C24362" w14:textId="77777777" w:rsidR="00692E71" w:rsidRPr="00275290" w:rsidRDefault="00692E71" w:rsidP="008E0250">
            <w:pPr>
              <w:jc w:val="center"/>
              <w:rPr>
                <w:rFonts w:cs="Arial"/>
                <w:sz w:val="18"/>
                <w:szCs w:val="18"/>
                <w:highlight w:val="yellow"/>
              </w:rPr>
            </w:pPr>
            <w:r w:rsidRPr="00275290">
              <w:rPr>
                <w:rFonts w:cs="Arial"/>
                <w:sz w:val="18"/>
                <w:szCs w:val="18"/>
              </w:rPr>
              <w:t>Parameter/variable</w:t>
            </w:r>
          </w:p>
        </w:tc>
        <w:tc>
          <w:tcPr>
            <w:tcW w:w="1734" w:type="dxa"/>
            <w:shd w:val="clear" w:color="auto" w:fill="D9D9D9" w:themeFill="background1" w:themeFillShade="D9"/>
            <w:vAlign w:val="center"/>
          </w:tcPr>
          <w:p w14:paraId="5F9FEA08" w14:textId="77777777" w:rsidR="00692E71" w:rsidRPr="00275290" w:rsidRDefault="00692E71" w:rsidP="008E0250">
            <w:pPr>
              <w:jc w:val="center"/>
              <w:rPr>
                <w:rFonts w:cs="Arial"/>
                <w:sz w:val="18"/>
                <w:szCs w:val="18"/>
              </w:rPr>
            </w:pPr>
            <w:r w:rsidRPr="00275290">
              <w:rPr>
                <w:rFonts w:cs="Arial"/>
                <w:sz w:val="18"/>
                <w:szCs w:val="18"/>
              </w:rPr>
              <w:t>Nomenclature</w:t>
            </w:r>
          </w:p>
        </w:tc>
        <w:tc>
          <w:tcPr>
            <w:tcW w:w="2410" w:type="dxa"/>
            <w:shd w:val="clear" w:color="auto" w:fill="D9D9D9" w:themeFill="background1" w:themeFillShade="D9"/>
            <w:vAlign w:val="center"/>
          </w:tcPr>
          <w:p w14:paraId="14E2102C" w14:textId="77777777" w:rsidR="00692E71" w:rsidRPr="00275290" w:rsidRDefault="00692E71" w:rsidP="008E0250">
            <w:pPr>
              <w:jc w:val="center"/>
              <w:rPr>
                <w:rFonts w:cs="Arial"/>
                <w:sz w:val="18"/>
                <w:szCs w:val="18"/>
              </w:rPr>
            </w:pPr>
            <w:r w:rsidRPr="00275290">
              <w:rPr>
                <w:rFonts w:cs="Arial"/>
                <w:sz w:val="18"/>
                <w:szCs w:val="18"/>
              </w:rPr>
              <w:t>Value</w:t>
            </w:r>
          </w:p>
        </w:tc>
        <w:tc>
          <w:tcPr>
            <w:tcW w:w="1134" w:type="dxa"/>
            <w:shd w:val="clear" w:color="auto" w:fill="D9D9D9" w:themeFill="background1" w:themeFillShade="D9"/>
            <w:vAlign w:val="center"/>
          </w:tcPr>
          <w:p w14:paraId="3F93249A" w14:textId="77777777" w:rsidR="00692E71" w:rsidRPr="00275290" w:rsidRDefault="00692E71" w:rsidP="008E0250">
            <w:pPr>
              <w:jc w:val="center"/>
              <w:rPr>
                <w:rFonts w:cs="Arial"/>
                <w:sz w:val="18"/>
                <w:szCs w:val="18"/>
              </w:rPr>
            </w:pPr>
            <w:r w:rsidRPr="00275290">
              <w:rPr>
                <w:rFonts w:cs="Arial"/>
                <w:sz w:val="18"/>
                <w:szCs w:val="18"/>
              </w:rPr>
              <w:t>Unit</w:t>
            </w:r>
          </w:p>
        </w:tc>
        <w:tc>
          <w:tcPr>
            <w:tcW w:w="710" w:type="dxa"/>
            <w:shd w:val="clear" w:color="auto" w:fill="D9D9D9" w:themeFill="background1" w:themeFillShade="D9"/>
            <w:vAlign w:val="center"/>
          </w:tcPr>
          <w:p w14:paraId="0AEFFFC4" w14:textId="77777777" w:rsidR="00692E71" w:rsidRPr="00275290" w:rsidRDefault="00692E71" w:rsidP="008E0250">
            <w:pPr>
              <w:jc w:val="center"/>
              <w:rPr>
                <w:rFonts w:cs="Arial"/>
                <w:sz w:val="18"/>
                <w:szCs w:val="18"/>
              </w:rPr>
            </w:pPr>
            <w:r w:rsidRPr="00275290">
              <w:rPr>
                <w:rFonts w:cs="Arial"/>
                <w:sz w:val="18"/>
                <w:szCs w:val="18"/>
              </w:rPr>
              <w:t>Origin</w:t>
            </w:r>
          </w:p>
        </w:tc>
      </w:tr>
      <w:tr w:rsidR="00692E71" w:rsidRPr="00275290" w14:paraId="19E0D70E" w14:textId="77777777" w:rsidTr="008E0250">
        <w:trPr>
          <w:trHeight w:val="283"/>
        </w:trPr>
        <w:tc>
          <w:tcPr>
            <w:tcW w:w="9357" w:type="dxa"/>
            <w:gridSpan w:val="5"/>
            <w:vAlign w:val="center"/>
          </w:tcPr>
          <w:p w14:paraId="3E212DA5" w14:textId="77777777" w:rsidR="00692E71" w:rsidRPr="00275290" w:rsidRDefault="00692E71" w:rsidP="008E0250">
            <w:pPr>
              <w:rPr>
                <w:rFonts w:cs="Arial"/>
                <w:b/>
                <w:sz w:val="18"/>
                <w:szCs w:val="18"/>
              </w:rPr>
            </w:pPr>
            <w:r w:rsidRPr="00275290">
              <w:rPr>
                <w:rFonts w:cs="Arial"/>
                <w:b/>
                <w:sz w:val="18"/>
                <w:szCs w:val="18"/>
              </w:rPr>
              <w:t>OUTPUT EMISSION</w:t>
            </w:r>
          </w:p>
        </w:tc>
      </w:tr>
      <w:tr w:rsidR="00692E71" w:rsidRPr="00275290" w14:paraId="09231077" w14:textId="77777777" w:rsidTr="008E0250">
        <w:tc>
          <w:tcPr>
            <w:tcW w:w="3369" w:type="dxa"/>
            <w:vAlign w:val="center"/>
          </w:tcPr>
          <w:p w14:paraId="61A6EBD5" w14:textId="77777777" w:rsidR="00692E71" w:rsidRPr="00275290" w:rsidRDefault="00692E71" w:rsidP="008E0250">
            <w:pPr>
              <w:rPr>
                <w:rFonts w:cs="Arial"/>
                <w:i/>
                <w:iCs/>
                <w:sz w:val="18"/>
                <w:szCs w:val="18"/>
              </w:rPr>
            </w:pPr>
            <w:r w:rsidRPr="00275290">
              <w:rPr>
                <w:rFonts w:cs="Arial"/>
                <w:sz w:val="18"/>
                <w:szCs w:val="18"/>
              </w:rPr>
              <w:t>Combined concentrations in soil resulting from application (brushing) and leaching of treated wood (30d), professional application</w:t>
            </w:r>
          </w:p>
        </w:tc>
        <w:tc>
          <w:tcPr>
            <w:tcW w:w="1734" w:type="dxa"/>
            <w:vAlign w:val="center"/>
          </w:tcPr>
          <w:p w14:paraId="5BB2299D"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w:t>
            </w:r>
            <w:r w:rsidRPr="00275290">
              <w:rPr>
                <w:rFonts w:cs="Arial"/>
                <w:iCs/>
                <w:sz w:val="18"/>
                <w:szCs w:val="18"/>
                <w:vertAlign w:val="subscript"/>
              </w:rPr>
              <w:t>time1</w:t>
            </w:r>
          </w:p>
        </w:tc>
        <w:tc>
          <w:tcPr>
            <w:tcW w:w="2410" w:type="dxa"/>
            <w:vAlign w:val="center"/>
          </w:tcPr>
          <w:p w14:paraId="5CF340B4" w14:textId="77777777" w:rsidR="00692E71" w:rsidRPr="00275290" w:rsidRDefault="00692E71" w:rsidP="008E0250">
            <w:pPr>
              <w:jc w:val="center"/>
              <w:rPr>
                <w:rFonts w:cs="Arial"/>
                <w:sz w:val="18"/>
                <w:szCs w:val="18"/>
              </w:rPr>
            </w:pPr>
            <w:r w:rsidRPr="00275290">
              <w:rPr>
                <w:rFonts w:cs="Arial"/>
                <w:sz w:val="18"/>
                <w:szCs w:val="18"/>
              </w:rPr>
              <w:t>0.04 (IPBC)</w:t>
            </w:r>
          </w:p>
          <w:p w14:paraId="7B061CF8" w14:textId="77777777" w:rsidR="00692E71" w:rsidRPr="00275290" w:rsidRDefault="00692E71" w:rsidP="008E0250">
            <w:pPr>
              <w:jc w:val="center"/>
              <w:rPr>
                <w:rFonts w:cs="Arial"/>
                <w:sz w:val="18"/>
                <w:szCs w:val="18"/>
              </w:rPr>
            </w:pPr>
            <w:r w:rsidRPr="00275290">
              <w:rPr>
                <w:rFonts w:cs="Arial"/>
                <w:sz w:val="18"/>
                <w:szCs w:val="18"/>
              </w:rPr>
              <w:t>0.14 (propiconazole)</w:t>
            </w:r>
          </w:p>
          <w:p w14:paraId="34923F4B" w14:textId="77777777" w:rsidR="00692E71" w:rsidRPr="00275290" w:rsidRDefault="00692E71" w:rsidP="008E0250">
            <w:pPr>
              <w:jc w:val="center"/>
              <w:rPr>
                <w:rFonts w:cs="Arial"/>
                <w:sz w:val="18"/>
                <w:szCs w:val="18"/>
              </w:rPr>
            </w:pPr>
            <w:r w:rsidRPr="00275290">
              <w:rPr>
                <w:rFonts w:cs="Arial"/>
                <w:sz w:val="18"/>
                <w:szCs w:val="18"/>
              </w:rPr>
              <w:t>0.06 (tebuconazole)</w:t>
            </w:r>
          </w:p>
          <w:p w14:paraId="6992FAFB" w14:textId="77777777" w:rsidR="00692E71" w:rsidRPr="00275290" w:rsidRDefault="00692E71" w:rsidP="008E0250">
            <w:pPr>
              <w:jc w:val="center"/>
              <w:rPr>
                <w:rFonts w:cs="Arial"/>
                <w:sz w:val="18"/>
                <w:szCs w:val="18"/>
              </w:rPr>
            </w:pPr>
            <w:r w:rsidRPr="00275290">
              <w:rPr>
                <w:rFonts w:cs="Arial"/>
                <w:sz w:val="18"/>
                <w:szCs w:val="18"/>
              </w:rPr>
              <w:t xml:space="preserve">  0.02 (cypermethrin)</w:t>
            </w:r>
          </w:p>
        </w:tc>
        <w:tc>
          <w:tcPr>
            <w:tcW w:w="1134" w:type="dxa"/>
            <w:vAlign w:val="center"/>
          </w:tcPr>
          <w:p w14:paraId="46B36E1D" w14:textId="77777777" w:rsidR="00692E71" w:rsidRPr="00275290" w:rsidRDefault="00692E71" w:rsidP="008E0250">
            <w:pPr>
              <w:jc w:val="center"/>
              <w:rPr>
                <w:rFonts w:cs="Arial"/>
                <w:i/>
                <w:iCs/>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10" w:type="dxa"/>
            <w:vAlign w:val="center"/>
          </w:tcPr>
          <w:p w14:paraId="6C941CD5"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43DB22C" w14:textId="77777777" w:rsidTr="008E0250">
        <w:tc>
          <w:tcPr>
            <w:tcW w:w="3369" w:type="dxa"/>
            <w:vAlign w:val="center"/>
          </w:tcPr>
          <w:p w14:paraId="213B6D17"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(30d), non-professional application</w:t>
            </w:r>
          </w:p>
        </w:tc>
        <w:tc>
          <w:tcPr>
            <w:tcW w:w="1734" w:type="dxa"/>
            <w:vAlign w:val="center"/>
          </w:tcPr>
          <w:p w14:paraId="7FD4C63F"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w:t>
            </w:r>
            <w:r w:rsidRPr="00275290">
              <w:rPr>
                <w:rFonts w:cs="Arial"/>
                <w:iCs/>
                <w:sz w:val="18"/>
                <w:szCs w:val="18"/>
                <w:vertAlign w:val="subscript"/>
              </w:rPr>
              <w:t>time1</w:t>
            </w:r>
          </w:p>
        </w:tc>
        <w:tc>
          <w:tcPr>
            <w:tcW w:w="2410" w:type="dxa"/>
            <w:vAlign w:val="center"/>
          </w:tcPr>
          <w:p w14:paraId="20C65640" w14:textId="77777777" w:rsidR="00692E71" w:rsidRPr="00275290" w:rsidRDefault="00692E71" w:rsidP="008E0250">
            <w:pPr>
              <w:jc w:val="center"/>
              <w:rPr>
                <w:rFonts w:cs="Arial"/>
                <w:sz w:val="18"/>
                <w:szCs w:val="18"/>
              </w:rPr>
            </w:pPr>
            <w:r w:rsidRPr="00275290">
              <w:rPr>
                <w:rFonts w:cs="Arial"/>
                <w:sz w:val="18"/>
                <w:szCs w:val="18"/>
              </w:rPr>
              <w:t>0.05 (IPBC)</w:t>
            </w:r>
          </w:p>
          <w:p w14:paraId="73E7965C" w14:textId="77777777" w:rsidR="00692E71" w:rsidRPr="00275290" w:rsidRDefault="00692E71" w:rsidP="008E0250">
            <w:pPr>
              <w:jc w:val="center"/>
              <w:rPr>
                <w:rFonts w:cs="Arial"/>
                <w:sz w:val="18"/>
                <w:szCs w:val="18"/>
              </w:rPr>
            </w:pPr>
            <w:r w:rsidRPr="00275290">
              <w:rPr>
                <w:rFonts w:cs="Arial"/>
                <w:sz w:val="18"/>
                <w:szCs w:val="18"/>
              </w:rPr>
              <w:t>0.17 (propiconazole)</w:t>
            </w:r>
          </w:p>
          <w:p w14:paraId="168041B5" w14:textId="77777777" w:rsidR="00692E71" w:rsidRPr="00275290" w:rsidRDefault="00692E71" w:rsidP="008E0250">
            <w:pPr>
              <w:jc w:val="center"/>
              <w:rPr>
                <w:rFonts w:cs="Arial"/>
                <w:sz w:val="18"/>
                <w:szCs w:val="18"/>
              </w:rPr>
            </w:pPr>
            <w:r w:rsidRPr="00275290">
              <w:rPr>
                <w:rFonts w:cs="Arial"/>
                <w:sz w:val="18"/>
                <w:szCs w:val="18"/>
              </w:rPr>
              <w:t xml:space="preserve"> 0.07 (tebuconazole)</w:t>
            </w:r>
          </w:p>
          <w:p w14:paraId="51658103" w14:textId="77777777" w:rsidR="00692E71" w:rsidRPr="00275290" w:rsidRDefault="00692E71" w:rsidP="008E0250">
            <w:pPr>
              <w:jc w:val="center"/>
              <w:rPr>
                <w:rFonts w:cs="Arial"/>
                <w:sz w:val="18"/>
                <w:szCs w:val="18"/>
              </w:rPr>
            </w:pPr>
            <w:r w:rsidRPr="00275290">
              <w:rPr>
                <w:rFonts w:cs="Arial"/>
                <w:sz w:val="18"/>
                <w:szCs w:val="18"/>
              </w:rPr>
              <w:t xml:space="preserve"> 0.03 (cypermethrin)</w:t>
            </w:r>
          </w:p>
        </w:tc>
        <w:tc>
          <w:tcPr>
            <w:tcW w:w="1134" w:type="dxa"/>
            <w:vAlign w:val="center"/>
          </w:tcPr>
          <w:p w14:paraId="3E133C23"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10" w:type="dxa"/>
            <w:vAlign w:val="center"/>
          </w:tcPr>
          <w:p w14:paraId="02F6E1B6"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756FC50" w14:textId="77777777" w:rsidTr="008E0250">
        <w:tc>
          <w:tcPr>
            <w:tcW w:w="3369" w:type="dxa"/>
            <w:vAlign w:val="center"/>
          </w:tcPr>
          <w:p w14:paraId="5DE91E86"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professional application</w:t>
            </w:r>
          </w:p>
        </w:tc>
        <w:tc>
          <w:tcPr>
            <w:tcW w:w="1734" w:type="dxa"/>
            <w:vAlign w:val="center"/>
          </w:tcPr>
          <w:p w14:paraId="5344D1AC"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time2</w:t>
            </w:r>
          </w:p>
        </w:tc>
        <w:tc>
          <w:tcPr>
            <w:tcW w:w="2410" w:type="dxa"/>
            <w:vAlign w:val="center"/>
          </w:tcPr>
          <w:p w14:paraId="122C88E8" w14:textId="77777777" w:rsidR="00692E71" w:rsidRPr="00275290" w:rsidRDefault="00692E71" w:rsidP="008E0250">
            <w:pPr>
              <w:jc w:val="center"/>
              <w:rPr>
                <w:rFonts w:cs="Arial"/>
                <w:sz w:val="18"/>
                <w:szCs w:val="18"/>
              </w:rPr>
            </w:pPr>
            <w:r w:rsidRPr="00275290">
              <w:rPr>
                <w:rFonts w:cs="Arial"/>
                <w:sz w:val="18"/>
                <w:szCs w:val="18"/>
              </w:rPr>
              <w:t>0.08 (IPBC)</w:t>
            </w:r>
          </w:p>
          <w:p w14:paraId="518CE274" w14:textId="77777777" w:rsidR="00692E71" w:rsidRPr="00275290" w:rsidRDefault="00692E71" w:rsidP="008E0250">
            <w:pPr>
              <w:jc w:val="center"/>
              <w:rPr>
                <w:rFonts w:cs="Arial"/>
                <w:sz w:val="18"/>
                <w:szCs w:val="18"/>
              </w:rPr>
            </w:pPr>
            <w:r w:rsidRPr="00275290">
              <w:rPr>
                <w:rFonts w:cs="Arial"/>
                <w:sz w:val="18"/>
                <w:szCs w:val="18"/>
              </w:rPr>
              <w:t>0.39 (propiconazole)</w:t>
            </w:r>
          </w:p>
          <w:p w14:paraId="24D8627F" w14:textId="77777777" w:rsidR="00692E71" w:rsidRPr="00275290" w:rsidRDefault="00692E71" w:rsidP="008E0250">
            <w:pPr>
              <w:jc w:val="center"/>
              <w:rPr>
                <w:rFonts w:cs="Arial"/>
                <w:sz w:val="18"/>
                <w:szCs w:val="18"/>
              </w:rPr>
            </w:pPr>
            <w:r w:rsidRPr="00275290">
              <w:rPr>
                <w:rFonts w:cs="Arial"/>
                <w:sz w:val="18"/>
                <w:szCs w:val="18"/>
              </w:rPr>
              <w:t>0.15 (tebuconazole)</w:t>
            </w:r>
          </w:p>
          <w:p w14:paraId="1C475A43" w14:textId="77777777" w:rsidR="00692E71" w:rsidRPr="00275290" w:rsidRDefault="00692E71" w:rsidP="008E0250">
            <w:pPr>
              <w:jc w:val="center"/>
              <w:rPr>
                <w:rFonts w:cs="Arial"/>
                <w:sz w:val="18"/>
                <w:szCs w:val="18"/>
              </w:rPr>
            </w:pPr>
            <w:r w:rsidRPr="00275290">
              <w:rPr>
                <w:rFonts w:cs="Arial"/>
                <w:sz w:val="18"/>
                <w:szCs w:val="18"/>
              </w:rPr>
              <w:t xml:space="preserve">  0.03 (cypermethrin)</w:t>
            </w:r>
          </w:p>
        </w:tc>
        <w:tc>
          <w:tcPr>
            <w:tcW w:w="1134" w:type="dxa"/>
            <w:vAlign w:val="center"/>
          </w:tcPr>
          <w:p w14:paraId="785E71B0"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10" w:type="dxa"/>
            <w:vAlign w:val="center"/>
          </w:tcPr>
          <w:p w14:paraId="5A3C535D"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3B416CF7" w14:textId="77777777" w:rsidTr="008E0250">
        <w:tc>
          <w:tcPr>
            <w:tcW w:w="3369" w:type="dxa"/>
            <w:vAlign w:val="center"/>
          </w:tcPr>
          <w:p w14:paraId="3F1A679F"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non-professional application</w:t>
            </w:r>
          </w:p>
        </w:tc>
        <w:tc>
          <w:tcPr>
            <w:tcW w:w="1734" w:type="dxa"/>
            <w:vAlign w:val="center"/>
          </w:tcPr>
          <w:p w14:paraId="73062171"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time2</w:t>
            </w:r>
          </w:p>
        </w:tc>
        <w:tc>
          <w:tcPr>
            <w:tcW w:w="2410" w:type="dxa"/>
            <w:vAlign w:val="center"/>
          </w:tcPr>
          <w:p w14:paraId="4D3DCE5B" w14:textId="77777777" w:rsidR="00692E71" w:rsidRPr="00275290" w:rsidRDefault="00692E71" w:rsidP="008E0250">
            <w:pPr>
              <w:jc w:val="center"/>
              <w:rPr>
                <w:rFonts w:cs="Arial"/>
                <w:sz w:val="18"/>
                <w:szCs w:val="18"/>
              </w:rPr>
            </w:pPr>
            <w:r w:rsidRPr="00275290">
              <w:rPr>
                <w:rFonts w:cs="Arial"/>
                <w:sz w:val="18"/>
                <w:szCs w:val="18"/>
              </w:rPr>
              <w:t>0.09 (IPBC)</w:t>
            </w:r>
          </w:p>
          <w:p w14:paraId="57225EE3" w14:textId="77777777" w:rsidR="00692E71" w:rsidRPr="00275290" w:rsidRDefault="00692E71" w:rsidP="008E0250">
            <w:pPr>
              <w:jc w:val="center"/>
              <w:rPr>
                <w:rFonts w:cs="Arial"/>
                <w:sz w:val="18"/>
                <w:szCs w:val="18"/>
              </w:rPr>
            </w:pPr>
            <w:r w:rsidRPr="00275290">
              <w:rPr>
                <w:rFonts w:cs="Arial"/>
                <w:sz w:val="18"/>
                <w:szCs w:val="18"/>
              </w:rPr>
              <w:t>0.42 (propiconazole)</w:t>
            </w:r>
          </w:p>
          <w:p w14:paraId="5C9EFE88" w14:textId="77777777" w:rsidR="00692E71" w:rsidRPr="00275290" w:rsidRDefault="00692E71" w:rsidP="008E0250">
            <w:pPr>
              <w:jc w:val="center"/>
              <w:rPr>
                <w:rFonts w:cs="Arial"/>
                <w:sz w:val="18"/>
                <w:szCs w:val="18"/>
              </w:rPr>
            </w:pPr>
            <w:r w:rsidRPr="00275290">
              <w:rPr>
                <w:rFonts w:cs="Arial"/>
                <w:sz w:val="18"/>
                <w:szCs w:val="18"/>
              </w:rPr>
              <w:t xml:space="preserve"> 0.16 (tebuconazole)</w:t>
            </w:r>
          </w:p>
          <w:p w14:paraId="5A979FF7" w14:textId="77777777" w:rsidR="00692E71" w:rsidRPr="00275290" w:rsidRDefault="00692E71" w:rsidP="008E0250">
            <w:pPr>
              <w:jc w:val="center"/>
              <w:rPr>
                <w:rFonts w:cs="Arial"/>
                <w:sz w:val="18"/>
                <w:szCs w:val="18"/>
              </w:rPr>
            </w:pPr>
            <w:r w:rsidRPr="00275290">
              <w:rPr>
                <w:rFonts w:cs="Arial"/>
                <w:sz w:val="18"/>
                <w:szCs w:val="18"/>
              </w:rPr>
              <w:t xml:space="preserve"> 0.04 (cypermethrin)</w:t>
            </w:r>
          </w:p>
        </w:tc>
        <w:tc>
          <w:tcPr>
            <w:tcW w:w="1134" w:type="dxa"/>
            <w:vAlign w:val="center"/>
          </w:tcPr>
          <w:p w14:paraId="05E0AA8A"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10" w:type="dxa"/>
            <w:vAlign w:val="center"/>
          </w:tcPr>
          <w:p w14:paraId="16FB2183"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0EC08DDB" w14:textId="77777777" w:rsidTr="008E0250">
        <w:tc>
          <w:tcPr>
            <w:tcW w:w="3369" w:type="dxa"/>
            <w:vAlign w:val="center"/>
          </w:tcPr>
          <w:p w14:paraId="57FE196B" w14:textId="77777777" w:rsidR="00692E71" w:rsidRPr="00275290" w:rsidRDefault="00692E71" w:rsidP="008E0250">
            <w:pPr>
              <w:rPr>
                <w:rFonts w:cs="Arial"/>
                <w:sz w:val="18"/>
                <w:szCs w:val="18"/>
              </w:rPr>
            </w:pPr>
            <w:r w:rsidRPr="00275290">
              <w:rPr>
                <w:rFonts w:cs="Arial"/>
                <w:sz w:val="18"/>
                <w:szCs w:val="18"/>
              </w:rPr>
              <w:t>Combined concentrations in pore water over the initial assessment period (30d), professional application</w:t>
            </w:r>
          </w:p>
        </w:tc>
        <w:tc>
          <w:tcPr>
            <w:tcW w:w="1734" w:type="dxa"/>
            <w:vAlign w:val="center"/>
          </w:tcPr>
          <w:p w14:paraId="4A2207F8" w14:textId="77777777" w:rsidR="00692E71" w:rsidRPr="00275290" w:rsidRDefault="00692E71" w:rsidP="008E0250">
            <w:pPr>
              <w:rPr>
                <w:rFonts w:cs="Arial"/>
                <w:sz w:val="18"/>
                <w:szCs w:val="18"/>
              </w:rPr>
            </w:pPr>
            <w:r w:rsidRPr="00275290">
              <w:rPr>
                <w:rFonts w:cs="Arial"/>
                <w:iCs/>
                <w:sz w:val="18"/>
                <w:szCs w:val="18"/>
              </w:rPr>
              <w:t>Clocal</w:t>
            </w:r>
            <w:r w:rsidRPr="00275290">
              <w:rPr>
                <w:rFonts w:cs="Arial"/>
                <w:iCs/>
                <w:sz w:val="18"/>
                <w:szCs w:val="18"/>
                <w:vertAlign w:val="subscript"/>
              </w:rPr>
              <w:t>pore,time1</w:t>
            </w:r>
          </w:p>
        </w:tc>
        <w:tc>
          <w:tcPr>
            <w:tcW w:w="2410" w:type="dxa"/>
            <w:vAlign w:val="center"/>
          </w:tcPr>
          <w:p w14:paraId="169896BA" w14:textId="77777777" w:rsidR="00692E71" w:rsidRPr="00275290" w:rsidRDefault="00692E71" w:rsidP="008E0250">
            <w:pPr>
              <w:jc w:val="center"/>
              <w:rPr>
                <w:rFonts w:cs="Arial"/>
                <w:sz w:val="18"/>
                <w:szCs w:val="18"/>
              </w:rPr>
            </w:pPr>
            <w:r w:rsidRPr="00275290">
              <w:rPr>
                <w:rFonts w:cs="Arial"/>
                <w:sz w:val="18"/>
                <w:szCs w:val="18"/>
              </w:rPr>
              <w:t>16.16 (IPBC)</w:t>
            </w:r>
          </w:p>
          <w:p w14:paraId="76DB2B0B" w14:textId="77777777" w:rsidR="00692E71" w:rsidRPr="00275290" w:rsidRDefault="00692E71" w:rsidP="008E0250">
            <w:pPr>
              <w:jc w:val="center"/>
              <w:rPr>
                <w:rFonts w:cs="Arial"/>
                <w:sz w:val="18"/>
                <w:szCs w:val="18"/>
              </w:rPr>
            </w:pPr>
            <w:r w:rsidRPr="00275290">
              <w:rPr>
                <w:rFonts w:cs="Arial"/>
                <w:sz w:val="18"/>
                <w:szCs w:val="18"/>
              </w:rPr>
              <w:t>8.26 (propiconazole)</w:t>
            </w:r>
          </w:p>
          <w:p w14:paraId="510F3E28" w14:textId="77777777" w:rsidR="00692E71" w:rsidRPr="00275290" w:rsidRDefault="00692E71" w:rsidP="008E0250">
            <w:pPr>
              <w:jc w:val="center"/>
              <w:rPr>
                <w:rFonts w:cs="Arial"/>
                <w:sz w:val="18"/>
                <w:szCs w:val="18"/>
              </w:rPr>
            </w:pPr>
            <w:r w:rsidRPr="00275290">
              <w:rPr>
                <w:rFonts w:cs="Arial"/>
                <w:sz w:val="18"/>
                <w:szCs w:val="18"/>
              </w:rPr>
              <w:t>3.19 (tebuconazole)</w:t>
            </w:r>
          </w:p>
          <w:p w14:paraId="50D0536E" w14:textId="77777777" w:rsidR="00692E71" w:rsidRPr="00275290" w:rsidRDefault="00692E71" w:rsidP="008E0250">
            <w:pPr>
              <w:jc w:val="center"/>
              <w:rPr>
                <w:rFonts w:cs="Arial"/>
                <w:sz w:val="18"/>
                <w:szCs w:val="18"/>
              </w:rPr>
            </w:pPr>
            <w:r w:rsidRPr="00275290">
              <w:rPr>
                <w:rFonts w:cs="Arial"/>
                <w:sz w:val="18"/>
                <w:szCs w:val="18"/>
              </w:rPr>
              <w:t xml:space="preserve">  2.0*10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631D8710"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10" w:type="dxa"/>
            <w:vAlign w:val="center"/>
          </w:tcPr>
          <w:p w14:paraId="7ED3646C" w14:textId="77777777" w:rsidR="00692E71" w:rsidRPr="00275290" w:rsidRDefault="00692E71" w:rsidP="008E0250">
            <w:pPr>
              <w:jc w:val="center"/>
              <w:rPr>
                <w:rFonts w:cs="Arial"/>
                <w:sz w:val="18"/>
                <w:szCs w:val="18"/>
              </w:rPr>
            </w:pPr>
          </w:p>
        </w:tc>
      </w:tr>
      <w:tr w:rsidR="00692E71" w:rsidRPr="00275290" w14:paraId="030DB3EA" w14:textId="77777777" w:rsidTr="008E0250">
        <w:trPr>
          <w:cantSplit/>
        </w:trPr>
        <w:tc>
          <w:tcPr>
            <w:tcW w:w="3369" w:type="dxa"/>
            <w:vAlign w:val="center"/>
          </w:tcPr>
          <w:p w14:paraId="0C0EBF89" w14:textId="77777777" w:rsidR="00692E71" w:rsidRPr="00275290" w:rsidRDefault="00692E71" w:rsidP="008E0250">
            <w:pPr>
              <w:rPr>
                <w:rFonts w:cs="Arial"/>
                <w:sz w:val="18"/>
                <w:szCs w:val="18"/>
              </w:rPr>
            </w:pPr>
            <w:r w:rsidRPr="00275290">
              <w:rPr>
                <w:rFonts w:cs="Arial"/>
                <w:sz w:val="18"/>
                <w:szCs w:val="18"/>
              </w:rPr>
              <w:t>Combined concentrations in pore water over the initial assessment period (30d), non-professional application</w:t>
            </w:r>
          </w:p>
        </w:tc>
        <w:tc>
          <w:tcPr>
            <w:tcW w:w="1734" w:type="dxa"/>
            <w:vAlign w:val="center"/>
          </w:tcPr>
          <w:p w14:paraId="2CD6AE5B"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pore,time1</w:t>
            </w:r>
          </w:p>
        </w:tc>
        <w:tc>
          <w:tcPr>
            <w:tcW w:w="2410" w:type="dxa"/>
            <w:vAlign w:val="center"/>
          </w:tcPr>
          <w:p w14:paraId="42EBACC1" w14:textId="77777777" w:rsidR="00692E71" w:rsidRPr="00275290" w:rsidRDefault="00692E71" w:rsidP="008E0250">
            <w:pPr>
              <w:jc w:val="center"/>
              <w:rPr>
                <w:rFonts w:cs="Arial"/>
                <w:sz w:val="18"/>
                <w:szCs w:val="18"/>
              </w:rPr>
            </w:pPr>
            <w:r w:rsidRPr="00275290">
              <w:rPr>
                <w:rFonts w:cs="Arial"/>
                <w:sz w:val="18"/>
                <w:szCs w:val="18"/>
              </w:rPr>
              <w:t>20.18 (IPBC)</w:t>
            </w:r>
          </w:p>
          <w:p w14:paraId="664F3DD4" w14:textId="77777777" w:rsidR="00692E71" w:rsidRPr="00275290" w:rsidRDefault="00692E71" w:rsidP="008E0250">
            <w:pPr>
              <w:jc w:val="center"/>
              <w:rPr>
                <w:rFonts w:cs="Arial"/>
                <w:sz w:val="18"/>
                <w:szCs w:val="18"/>
              </w:rPr>
            </w:pPr>
            <w:r w:rsidRPr="00275290">
              <w:rPr>
                <w:rFonts w:cs="Arial"/>
                <w:sz w:val="18"/>
                <w:szCs w:val="18"/>
              </w:rPr>
              <w:t xml:space="preserve"> 9.94 (propiconazole)</w:t>
            </w:r>
          </w:p>
          <w:p w14:paraId="0903E66E" w14:textId="77777777" w:rsidR="00692E71" w:rsidRPr="00275290" w:rsidRDefault="00692E71" w:rsidP="008E0250">
            <w:pPr>
              <w:jc w:val="center"/>
              <w:rPr>
                <w:rFonts w:cs="Arial"/>
                <w:sz w:val="18"/>
                <w:szCs w:val="18"/>
              </w:rPr>
            </w:pPr>
            <w:r w:rsidRPr="00275290">
              <w:rPr>
                <w:rFonts w:cs="Arial"/>
                <w:sz w:val="18"/>
                <w:szCs w:val="18"/>
              </w:rPr>
              <w:t>3.73 (tebuconazole)</w:t>
            </w:r>
          </w:p>
          <w:p w14:paraId="75ABB976" w14:textId="77777777" w:rsidR="00692E71" w:rsidRPr="00275290" w:rsidRDefault="00692E71" w:rsidP="008E0250">
            <w:pPr>
              <w:jc w:val="center"/>
              <w:rPr>
                <w:rFonts w:cs="Arial"/>
                <w:sz w:val="18"/>
                <w:szCs w:val="18"/>
              </w:rPr>
            </w:pPr>
            <w:r w:rsidRPr="00275290">
              <w:rPr>
                <w:rFonts w:cs="Arial"/>
                <w:sz w:val="18"/>
                <w:szCs w:val="18"/>
              </w:rPr>
              <w:t xml:space="preserve"> 3.3*10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57F6EA36"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10" w:type="dxa"/>
            <w:vAlign w:val="center"/>
          </w:tcPr>
          <w:p w14:paraId="36840DAF"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49AEBE48" w14:textId="77777777" w:rsidTr="008E0250">
        <w:tc>
          <w:tcPr>
            <w:tcW w:w="3369" w:type="dxa"/>
            <w:vAlign w:val="center"/>
          </w:tcPr>
          <w:p w14:paraId="3FBBDA78" w14:textId="77777777" w:rsidR="00692E71" w:rsidRPr="00275290" w:rsidRDefault="00692E71" w:rsidP="008E0250">
            <w:pPr>
              <w:rPr>
                <w:rFonts w:cs="Arial"/>
                <w:sz w:val="18"/>
                <w:szCs w:val="18"/>
              </w:rPr>
            </w:pPr>
            <w:r w:rsidRPr="00275290">
              <w:rPr>
                <w:rFonts w:cs="Arial"/>
                <w:sz w:val="18"/>
                <w:szCs w:val="18"/>
              </w:rPr>
              <w:lastRenderedPageBreak/>
              <w:t>Combined concentration in pore water over a longer duration (1825d), professional application</w:t>
            </w:r>
          </w:p>
        </w:tc>
        <w:tc>
          <w:tcPr>
            <w:tcW w:w="1734" w:type="dxa"/>
            <w:vAlign w:val="center"/>
          </w:tcPr>
          <w:p w14:paraId="24B90BDC"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410" w:type="dxa"/>
            <w:vAlign w:val="center"/>
          </w:tcPr>
          <w:p w14:paraId="6A08AE5E" w14:textId="77777777" w:rsidR="00692E71" w:rsidRPr="00275290" w:rsidRDefault="00692E71" w:rsidP="008E0250">
            <w:pPr>
              <w:jc w:val="center"/>
              <w:rPr>
                <w:rFonts w:cs="Arial"/>
                <w:sz w:val="18"/>
                <w:szCs w:val="18"/>
              </w:rPr>
            </w:pPr>
            <w:r w:rsidRPr="00275290">
              <w:rPr>
                <w:rFonts w:cs="Arial"/>
                <w:sz w:val="18"/>
                <w:szCs w:val="18"/>
              </w:rPr>
              <w:t>34.59 (IPBC)</w:t>
            </w:r>
          </w:p>
          <w:p w14:paraId="6A1635DF" w14:textId="77777777" w:rsidR="00692E71" w:rsidRPr="00275290" w:rsidRDefault="00692E71" w:rsidP="008E0250">
            <w:pPr>
              <w:jc w:val="center"/>
              <w:rPr>
                <w:rFonts w:cs="Arial"/>
                <w:sz w:val="18"/>
                <w:szCs w:val="18"/>
              </w:rPr>
            </w:pPr>
            <w:r w:rsidRPr="00275290">
              <w:rPr>
                <w:rFonts w:cs="Arial"/>
                <w:sz w:val="18"/>
                <w:szCs w:val="18"/>
              </w:rPr>
              <w:t>23.32 (propiconazole)</w:t>
            </w:r>
          </w:p>
          <w:p w14:paraId="711D912A" w14:textId="77777777" w:rsidR="00692E71" w:rsidRPr="00275290" w:rsidRDefault="00692E71" w:rsidP="008E0250">
            <w:pPr>
              <w:jc w:val="center"/>
              <w:rPr>
                <w:rFonts w:cs="Arial"/>
                <w:sz w:val="18"/>
                <w:szCs w:val="18"/>
              </w:rPr>
            </w:pPr>
            <w:r w:rsidRPr="00275290">
              <w:rPr>
                <w:rFonts w:cs="Arial"/>
                <w:sz w:val="18"/>
                <w:szCs w:val="18"/>
              </w:rPr>
              <w:t>8.41 (tebuconazole)</w:t>
            </w:r>
          </w:p>
          <w:p w14:paraId="1656DA58" w14:textId="77777777" w:rsidR="00692E71" w:rsidRPr="00275290" w:rsidRDefault="00692E71" w:rsidP="008E0250">
            <w:pPr>
              <w:jc w:val="center"/>
              <w:rPr>
                <w:rFonts w:cs="Arial"/>
                <w:sz w:val="18"/>
                <w:szCs w:val="18"/>
              </w:rPr>
            </w:pPr>
            <w:r w:rsidRPr="00275290">
              <w:rPr>
                <w:rFonts w:cs="Arial"/>
                <w:sz w:val="18"/>
                <w:szCs w:val="18"/>
              </w:rPr>
              <w:t xml:space="preserve"> 2.9*10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1D030C9B"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10" w:type="dxa"/>
            <w:vAlign w:val="center"/>
          </w:tcPr>
          <w:p w14:paraId="19075759" w14:textId="77777777" w:rsidR="00692E71" w:rsidRPr="00275290" w:rsidRDefault="00692E71" w:rsidP="008E0250">
            <w:pPr>
              <w:jc w:val="center"/>
              <w:rPr>
                <w:rFonts w:cs="Arial"/>
                <w:sz w:val="18"/>
                <w:szCs w:val="18"/>
              </w:rPr>
            </w:pPr>
          </w:p>
        </w:tc>
      </w:tr>
      <w:tr w:rsidR="00692E71" w:rsidRPr="00275290" w14:paraId="41504764" w14:textId="77777777" w:rsidTr="008E0250">
        <w:tc>
          <w:tcPr>
            <w:tcW w:w="3369" w:type="dxa"/>
            <w:vAlign w:val="center"/>
          </w:tcPr>
          <w:p w14:paraId="4FC6BEE6" w14:textId="77777777" w:rsidR="00692E71" w:rsidRPr="00275290" w:rsidRDefault="00692E71" w:rsidP="008E0250">
            <w:pPr>
              <w:rPr>
                <w:rFonts w:cs="Arial"/>
                <w:sz w:val="18"/>
                <w:szCs w:val="18"/>
              </w:rPr>
            </w:pPr>
            <w:r w:rsidRPr="00275290">
              <w:rPr>
                <w:rFonts w:cs="Arial"/>
                <w:sz w:val="18"/>
                <w:szCs w:val="18"/>
              </w:rPr>
              <w:t>Combined concentration in pore water over a longer duration (1825d), non-professional application</w:t>
            </w:r>
          </w:p>
        </w:tc>
        <w:tc>
          <w:tcPr>
            <w:tcW w:w="1734" w:type="dxa"/>
            <w:vAlign w:val="center"/>
          </w:tcPr>
          <w:p w14:paraId="1696693B"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410" w:type="dxa"/>
            <w:vAlign w:val="center"/>
          </w:tcPr>
          <w:p w14:paraId="234FB096" w14:textId="77777777" w:rsidR="00692E71" w:rsidRPr="00275290" w:rsidRDefault="00692E71" w:rsidP="008E0250">
            <w:pPr>
              <w:jc w:val="center"/>
              <w:rPr>
                <w:rFonts w:cs="Arial"/>
                <w:sz w:val="18"/>
                <w:szCs w:val="18"/>
              </w:rPr>
            </w:pPr>
            <w:r w:rsidRPr="00275290">
              <w:rPr>
                <w:rFonts w:cs="Arial"/>
                <w:sz w:val="18"/>
                <w:szCs w:val="18"/>
              </w:rPr>
              <w:t>38.61 (IPBC)</w:t>
            </w:r>
          </w:p>
          <w:p w14:paraId="43362E27" w14:textId="77777777" w:rsidR="00692E71" w:rsidRPr="00275290" w:rsidRDefault="00692E71" w:rsidP="008E0250">
            <w:pPr>
              <w:jc w:val="center"/>
              <w:rPr>
                <w:rFonts w:cs="Arial"/>
                <w:sz w:val="18"/>
                <w:szCs w:val="18"/>
              </w:rPr>
            </w:pPr>
            <w:r w:rsidRPr="00275290">
              <w:rPr>
                <w:rFonts w:cs="Arial"/>
                <w:sz w:val="18"/>
                <w:szCs w:val="18"/>
              </w:rPr>
              <w:t xml:space="preserve"> 25.00 (propiconazole)</w:t>
            </w:r>
          </w:p>
          <w:p w14:paraId="109568D6" w14:textId="77777777" w:rsidR="00692E71" w:rsidRPr="00275290" w:rsidRDefault="00692E71" w:rsidP="008E0250">
            <w:pPr>
              <w:jc w:val="center"/>
              <w:rPr>
                <w:rFonts w:cs="Arial"/>
                <w:sz w:val="18"/>
                <w:szCs w:val="18"/>
              </w:rPr>
            </w:pPr>
            <w:r w:rsidRPr="00275290">
              <w:rPr>
                <w:rFonts w:cs="Arial"/>
                <w:sz w:val="18"/>
                <w:szCs w:val="18"/>
              </w:rPr>
              <w:t xml:space="preserve">  8.94 (tebuconazole)</w:t>
            </w:r>
          </w:p>
          <w:p w14:paraId="4EE384FA" w14:textId="77777777" w:rsidR="00692E71" w:rsidRPr="00275290" w:rsidRDefault="00692E71" w:rsidP="008E0250">
            <w:pPr>
              <w:jc w:val="center"/>
              <w:rPr>
                <w:rFonts w:cs="Arial"/>
                <w:sz w:val="18"/>
                <w:szCs w:val="18"/>
              </w:rPr>
            </w:pPr>
            <w:r w:rsidRPr="00275290">
              <w:rPr>
                <w:rFonts w:cs="Arial"/>
                <w:sz w:val="18"/>
                <w:szCs w:val="18"/>
              </w:rPr>
              <w:t xml:space="preserve">  4.2*10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09713D3F"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10" w:type="dxa"/>
            <w:vAlign w:val="center"/>
          </w:tcPr>
          <w:p w14:paraId="584745DE" w14:textId="77777777" w:rsidR="00692E71" w:rsidRPr="00275290" w:rsidRDefault="00692E71" w:rsidP="008E0250">
            <w:pPr>
              <w:jc w:val="center"/>
              <w:rPr>
                <w:rFonts w:cs="Arial"/>
                <w:sz w:val="18"/>
                <w:szCs w:val="18"/>
              </w:rPr>
            </w:pPr>
            <w:r w:rsidRPr="00275290">
              <w:rPr>
                <w:rFonts w:cs="Arial"/>
                <w:sz w:val="18"/>
                <w:szCs w:val="18"/>
              </w:rPr>
              <w:t>O</w:t>
            </w:r>
          </w:p>
        </w:tc>
      </w:tr>
    </w:tbl>
    <w:p w14:paraId="3FCF96D4" w14:textId="77777777" w:rsidR="00692E71" w:rsidRPr="00275290" w:rsidRDefault="00692E71" w:rsidP="00692E71">
      <w:pPr>
        <w:rPr>
          <w:rFonts w:cs="Arial"/>
          <w:b/>
        </w:rPr>
      </w:pPr>
    </w:p>
    <w:p w14:paraId="19DA1224" w14:textId="77777777" w:rsidR="00692E71" w:rsidRPr="00275290" w:rsidRDefault="00692E71" w:rsidP="00692E71">
      <w:pPr>
        <w:keepNext/>
        <w:rPr>
          <w:rFonts w:cs="Arial"/>
          <w:iCs/>
          <w:u w:val="single"/>
        </w:rPr>
      </w:pPr>
      <w:r w:rsidRPr="00275290">
        <w:rPr>
          <w:rFonts w:cs="Arial"/>
          <w:iCs/>
          <w:u w:val="single"/>
        </w:rPr>
        <w:t>Calculations (IPBC and non-professional application used as an example):</w:t>
      </w:r>
    </w:p>
    <w:p w14:paraId="5DF6C1B9" w14:textId="77777777" w:rsidR="00692E71" w:rsidRPr="00275290" w:rsidRDefault="00692E71" w:rsidP="00692E71">
      <w:pPr>
        <w:keepNext/>
        <w:rPr>
          <w:rFonts w:cs="Arial"/>
        </w:rPr>
      </w:pPr>
    </w:p>
    <w:p w14:paraId="5E72BD75" w14:textId="77777777" w:rsidR="00692E71" w:rsidRPr="00275290" w:rsidRDefault="00692E71" w:rsidP="00692E71">
      <w:pPr>
        <w:keepNext/>
        <w:rPr>
          <w:rFonts w:cs="Arial"/>
          <w:vertAlign w:val="subscript"/>
        </w:rPr>
      </w:pPr>
      <w:r w:rsidRPr="00275290">
        <w:rPr>
          <w:rFonts w:cs="Arial"/>
        </w:rPr>
        <w:t>Clocal</w:t>
      </w:r>
      <w:r w:rsidRPr="00275290">
        <w:rPr>
          <w:rFonts w:cs="Arial"/>
          <w:vertAlign w:val="subscript"/>
        </w:rPr>
        <w:t>soil</w:t>
      </w:r>
      <w:proofErr w:type="gramStart"/>
      <w:r w:rsidRPr="00275290">
        <w:rPr>
          <w:rFonts w:cs="Arial"/>
          <w:vertAlign w:val="subscript"/>
        </w:rPr>
        <w:t>,total</w:t>
      </w:r>
      <w:proofErr w:type="gramEnd"/>
      <w:r w:rsidRPr="00275290">
        <w:rPr>
          <w:rFonts w:cs="Arial"/>
          <w:vertAlign w:val="subscript"/>
        </w:rPr>
        <w:t xml:space="preserve">, </w:t>
      </w:r>
      <w:r w:rsidRPr="00275290">
        <w:rPr>
          <w:rFonts w:cs="Arial"/>
          <w:iCs/>
          <w:vertAlign w:val="subscript"/>
        </w:rPr>
        <w:t>time1</w:t>
      </w:r>
      <w:r w:rsidRPr="00275290">
        <w:rPr>
          <w:rFonts w:cs="Arial"/>
          <w:iCs/>
        </w:rPr>
        <w:t xml:space="preserve"> = </w:t>
      </w:r>
      <w:r w:rsidRPr="00275290">
        <w:rPr>
          <w:rFonts w:cs="Arial"/>
        </w:rPr>
        <w:t>Clocal</w:t>
      </w:r>
      <w:r w:rsidRPr="00275290">
        <w:rPr>
          <w:rFonts w:cs="Arial"/>
          <w:vertAlign w:val="subscript"/>
        </w:rPr>
        <w:t>soil,brush</w:t>
      </w:r>
      <w:r w:rsidRPr="00275290">
        <w:rPr>
          <w:rFonts w:cs="Arial"/>
        </w:rPr>
        <w:t xml:space="preserve"> + Clocal</w:t>
      </w:r>
      <w:r w:rsidRPr="00275290">
        <w:rPr>
          <w:rFonts w:cs="Arial"/>
          <w:vertAlign w:val="subscript"/>
        </w:rPr>
        <w:t>soil,leach,time 1</w:t>
      </w:r>
    </w:p>
    <w:p w14:paraId="72DB16E1" w14:textId="77777777" w:rsidR="00692E71" w:rsidRPr="00275290" w:rsidRDefault="00692E71" w:rsidP="00692E71">
      <w:pPr>
        <w:keepNext/>
        <w:rPr>
          <w:rFonts w:cs="Arial"/>
          <w:iCs/>
        </w:rPr>
      </w:pPr>
      <w:r w:rsidRPr="00275290">
        <w:rPr>
          <w:rFonts w:cs="Arial"/>
        </w:rPr>
        <w:t>Clocal</w:t>
      </w:r>
      <w:r w:rsidRPr="00275290">
        <w:rPr>
          <w:rFonts w:cs="Arial"/>
          <w:vertAlign w:val="subscript"/>
        </w:rPr>
        <w:t>soil</w:t>
      </w:r>
      <w:proofErr w:type="gramStart"/>
      <w:r w:rsidRPr="00275290">
        <w:rPr>
          <w:rFonts w:cs="Arial"/>
          <w:vertAlign w:val="subscript"/>
        </w:rPr>
        <w:t>,total</w:t>
      </w:r>
      <w:proofErr w:type="gramEnd"/>
      <w:r w:rsidRPr="00275290">
        <w:rPr>
          <w:rFonts w:cs="Arial"/>
          <w:vertAlign w:val="subscript"/>
        </w:rPr>
        <w:t xml:space="preserve">, </w:t>
      </w:r>
      <w:r w:rsidRPr="00275290">
        <w:rPr>
          <w:rFonts w:cs="Arial"/>
          <w:iCs/>
          <w:vertAlign w:val="subscript"/>
        </w:rPr>
        <w:t>time1</w:t>
      </w:r>
      <w:r w:rsidRPr="00275290">
        <w:rPr>
          <w:rFonts w:cs="Arial"/>
          <w:iCs/>
        </w:rPr>
        <w:t xml:space="preserve"> = 0.016 + 0.024</w:t>
      </w:r>
    </w:p>
    <w:p w14:paraId="5A09ACB9" w14:textId="77777777" w:rsidR="00692E71" w:rsidRPr="00275290" w:rsidRDefault="00692E71" w:rsidP="00692E71">
      <w:pPr>
        <w:rPr>
          <w:rFonts w:cs="Arial"/>
          <w:iCs/>
          <w:vertAlign w:val="subscript"/>
        </w:rPr>
      </w:pPr>
      <w:r w:rsidRPr="00275290">
        <w:rPr>
          <w:rFonts w:cs="Arial"/>
        </w:rPr>
        <w:t>Clocal</w:t>
      </w:r>
      <w:r w:rsidRPr="00275290">
        <w:rPr>
          <w:rFonts w:cs="Arial"/>
          <w:vertAlign w:val="subscript"/>
        </w:rPr>
        <w:t>soil</w:t>
      </w:r>
      <w:proofErr w:type="gramStart"/>
      <w:r w:rsidRPr="00275290">
        <w:rPr>
          <w:rFonts w:cs="Arial"/>
          <w:vertAlign w:val="subscript"/>
        </w:rPr>
        <w:t>,total</w:t>
      </w:r>
      <w:proofErr w:type="gramEnd"/>
      <w:r w:rsidRPr="00275290">
        <w:rPr>
          <w:rFonts w:cs="Arial"/>
          <w:vertAlign w:val="subscript"/>
        </w:rPr>
        <w:t xml:space="preserve">, </w:t>
      </w:r>
      <w:r w:rsidRPr="00275290">
        <w:rPr>
          <w:rFonts w:cs="Arial"/>
          <w:iCs/>
          <w:vertAlign w:val="subscript"/>
        </w:rPr>
        <w:t>time1</w:t>
      </w:r>
      <w:r w:rsidRPr="00275290">
        <w:rPr>
          <w:rFonts w:cs="Arial"/>
          <w:iCs/>
        </w:rPr>
        <w:t xml:space="preserve"> = 0.04 mg/kg</w:t>
      </w:r>
      <w:r w:rsidRPr="00275290">
        <w:rPr>
          <w:rFonts w:cs="Arial"/>
          <w:iCs/>
          <w:vertAlign w:val="subscript"/>
        </w:rPr>
        <w:t>wwt</w:t>
      </w:r>
    </w:p>
    <w:p w14:paraId="40342021" w14:textId="77777777" w:rsidR="00692E71" w:rsidRPr="00275290" w:rsidRDefault="00692E71" w:rsidP="00692E71">
      <w:pPr>
        <w:rPr>
          <w:rFonts w:cs="Arial"/>
          <w:b/>
        </w:rPr>
      </w:pPr>
    </w:p>
    <w:p w14:paraId="2AC1738C" w14:textId="77777777" w:rsidR="00692E71" w:rsidRPr="00275290" w:rsidRDefault="00692E71" w:rsidP="00692E71">
      <w:pPr>
        <w:rPr>
          <w:rFonts w:cs="Arial"/>
        </w:rPr>
      </w:pPr>
      <w:r w:rsidRPr="00275290">
        <w:rPr>
          <w:rFonts w:cs="Arial"/>
          <w:iCs/>
        </w:rPr>
        <w:t>The average concentration in the pore water can be calculated as</w:t>
      </w:r>
      <w:r w:rsidRPr="00275290">
        <w:rPr>
          <w:rFonts w:cs="Arial"/>
        </w:rPr>
        <w:t>:</w:t>
      </w:r>
    </w:p>
    <w:p w14:paraId="5A7A885E" w14:textId="77777777" w:rsidR="00692E71" w:rsidRPr="00275290" w:rsidRDefault="00692E71" w:rsidP="00692E71">
      <w:pPr>
        <w:rPr>
          <w:rFonts w:cs="Arial"/>
          <w:iCs/>
        </w:rPr>
      </w:pPr>
    </w:p>
    <w:p w14:paraId="29CE5511"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xml:space="preserve">= </w:t>
      </w: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6BA23BA0" w14:textId="77777777" w:rsidR="00692E71" w:rsidRPr="00275290" w:rsidRDefault="00692E71" w:rsidP="00692E71">
      <w:pPr>
        <w:rPr>
          <w:rFonts w:cs="Arial"/>
          <w:iCs/>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0.04 * 1700 / 3.98</w:t>
      </w:r>
    </w:p>
    <w:p w14:paraId="49D649C8" w14:textId="77777777" w:rsidR="00692E71" w:rsidRPr="00275290" w:rsidRDefault="00692E71" w:rsidP="00692E71">
      <w:pPr>
        <w:rPr>
          <w:rFonts w:cs="Arial"/>
          <w:iCs/>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xml:space="preserve">= 16.16 </w:t>
      </w:r>
      <w:r w:rsidRPr="00275290">
        <w:rPr>
          <w:rFonts w:cs="Arial"/>
        </w:rPr>
        <w:t>µg.L</w:t>
      </w:r>
      <w:r w:rsidRPr="00275290">
        <w:rPr>
          <w:rFonts w:cs="Arial"/>
          <w:vertAlign w:val="superscript"/>
        </w:rPr>
        <w:t>-1</w:t>
      </w:r>
    </w:p>
    <w:p w14:paraId="3CD963C9" w14:textId="77777777" w:rsidR="00692E71" w:rsidRPr="00275290" w:rsidRDefault="00692E71" w:rsidP="00692E71">
      <w:pPr>
        <w:rPr>
          <w:rFonts w:cs="Arial"/>
          <w:b/>
        </w:rPr>
      </w:pPr>
    </w:p>
    <w:p w14:paraId="7AD5DF99" w14:textId="77777777" w:rsidR="00692E71" w:rsidRPr="00275290" w:rsidRDefault="00692E71" w:rsidP="00692E71">
      <w:pPr>
        <w:rPr>
          <w:rFonts w:cs="Arial"/>
          <w:b/>
        </w:rPr>
      </w:pPr>
      <w:r w:rsidRPr="00275290">
        <w:rPr>
          <w:rFonts w:cs="Arial"/>
          <w:b/>
        </w:rPr>
        <w:t>- Combined concentrations taking removal into account, Fence scenario</w:t>
      </w:r>
    </w:p>
    <w:p w14:paraId="79EFD8A7" w14:textId="77777777" w:rsidR="00692E71" w:rsidRPr="00275290" w:rsidRDefault="00692E71" w:rsidP="00692E71">
      <w:pPr>
        <w:rPr>
          <w:rFonts w:cs="Arial"/>
        </w:rPr>
      </w:pPr>
    </w:p>
    <w:p w14:paraId="01578A6A" w14:textId="77777777" w:rsidR="00692E71" w:rsidRPr="00275290" w:rsidRDefault="00692E71" w:rsidP="00692E71">
      <w:pPr>
        <w:rPr>
          <w:rFonts w:cs="Arial"/>
        </w:rPr>
      </w:pPr>
      <w:r w:rsidRPr="00275290">
        <w:rPr>
          <w:rFonts w:cs="Arial"/>
        </w:rPr>
        <w:t>In a second tier, soil and pore-water concentrations taking removal into account were calculated. The calculations are described in section 3.3.2.4.1.</w:t>
      </w:r>
    </w:p>
    <w:p w14:paraId="1665AED8" w14:textId="77777777" w:rsidR="00692E71" w:rsidRPr="00275290" w:rsidRDefault="00692E71" w:rsidP="00692E71">
      <w:pPr>
        <w:rPr>
          <w:rFonts w:cs="Arial"/>
        </w:rPr>
      </w:pPr>
    </w:p>
    <w:p w14:paraId="55F15FFF" w14:textId="77777777" w:rsidR="00692E71" w:rsidRPr="00275290" w:rsidRDefault="00692E71" w:rsidP="00692E71">
      <w:pPr>
        <w:rPr>
          <w:rFonts w:cs="Arial"/>
        </w:rPr>
      </w:pPr>
      <w:r w:rsidRPr="00275290">
        <w:rPr>
          <w:rFonts w:cs="Arial"/>
        </w:rPr>
        <w:t>The resulting soil and pore-water concentrations taking into account removal processes over Time1 (30 days) and Time2 (1825 days) are presented below:</w:t>
      </w:r>
    </w:p>
    <w:p w14:paraId="27FCA293" w14:textId="77777777" w:rsidR="00692E71" w:rsidRPr="00275290" w:rsidRDefault="00692E71" w:rsidP="00692E71">
      <w:pPr>
        <w:rPr>
          <w:rFonts w:cs="Arial"/>
          <w:highlight w:val="yellow"/>
        </w:rPr>
      </w:pPr>
    </w:p>
    <w:p w14:paraId="21F5B6F9" w14:textId="77777777" w:rsidR="00692E71" w:rsidRPr="00275290" w:rsidRDefault="00692E71" w:rsidP="00692E71">
      <w:pPr>
        <w:pStyle w:val="Lgende"/>
        <w:spacing w:after="0"/>
        <w:rPr>
          <w:rFonts w:ascii="Verdana" w:hAnsi="Verdana"/>
          <w:b/>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24</w:t>
      </w:r>
      <w:r w:rsidRPr="00275290">
        <w:rPr>
          <w:rFonts w:ascii="Verdana" w:hAnsi="Verdana"/>
        </w:rPr>
        <w:fldChar w:fldCharType="end"/>
      </w:r>
      <w:r w:rsidRPr="00275290">
        <w:rPr>
          <w:rFonts w:ascii="Verdana" w:hAnsi="Verdana"/>
        </w:rPr>
        <w:t xml:space="preserve">: Combined concentration in soil and pore-water from </w:t>
      </w:r>
      <w:r w:rsidRPr="00275290">
        <w:rPr>
          <w:rFonts w:ascii="Verdana" w:hAnsi="Verdana"/>
          <w:i/>
        </w:rPr>
        <w:t>in-situ</w:t>
      </w:r>
      <w:r w:rsidRPr="00275290">
        <w:rPr>
          <w:rFonts w:ascii="Verdana" w:hAnsi="Verdana"/>
        </w:rPr>
        <w:t xml:space="preserve"> (brushing) and </w:t>
      </w:r>
      <w:r w:rsidRPr="00275290">
        <w:rPr>
          <w:rFonts w:ascii="Verdana" w:hAnsi="Verdana"/>
          <w:i/>
        </w:rPr>
        <w:t>in-service</w:t>
      </w:r>
      <w:r w:rsidRPr="00275290">
        <w:rPr>
          <w:rFonts w:ascii="Verdana" w:hAnsi="Verdana"/>
        </w:rPr>
        <w:t xml:space="preserve"> (Fence) taking removal into account.</w:t>
      </w:r>
    </w:p>
    <w:tbl>
      <w:tblPr>
        <w:tblW w:w="94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2018"/>
        <w:gridCol w:w="2126"/>
        <w:gridCol w:w="1134"/>
        <w:gridCol w:w="786"/>
      </w:tblGrid>
      <w:tr w:rsidR="00692E71" w:rsidRPr="00275290" w14:paraId="6C91A83C" w14:textId="77777777" w:rsidTr="008E0250">
        <w:trPr>
          <w:trHeight w:val="283"/>
          <w:tblHeader/>
        </w:trPr>
        <w:tc>
          <w:tcPr>
            <w:tcW w:w="3369" w:type="dxa"/>
            <w:shd w:val="clear" w:color="auto" w:fill="D9D9D9" w:themeFill="background1" w:themeFillShade="D9"/>
            <w:vAlign w:val="center"/>
          </w:tcPr>
          <w:p w14:paraId="6A793291" w14:textId="77777777" w:rsidR="00692E71" w:rsidRPr="00275290" w:rsidRDefault="00692E71" w:rsidP="008E0250">
            <w:pPr>
              <w:jc w:val="center"/>
              <w:rPr>
                <w:rFonts w:cs="Arial"/>
                <w:sz w:val="18"/>
                <w:szCs w:val="18"/>
                <w:highlight w:val="yellow"/>
              </w:rPr>
            </w:pPr>
            <w:r w:rsidRPr="00275290">
              <w:rPr>
                <w:rFonts w:cs="Arial"/>
                <w:sz w:val="18"/>
                <w:szCs w:val="18"/>
              </w:rPr>
              <w:t>Parameter/variable</w:t>
            </w:r>
          </w:p>
        </w:tc>
        <w:tc>
          <w:tcPr>
            <w:tcW w:w="2018" w:type="dxa"/>
            <w:shd w:val="clear" w:color="auto" w:fill="D9D9D9" w:themeFill="background1" w:themeFillShade="D9"/>
            <w:vAlign w:val="center"/>
          </w:tcPr>
          <w:p w14:paraId="4695C2C9" w14:textId="77777777" w:rsidR="00692E71" w:rsidRPr="00275290" w:rsidRDefault="00692E71" w:rsidP="008E0250">
            <w:pPr>
              <w:jc w:val="center"/>
              <w:rPr>
                <w:rFonts w:cs="Arial"/>
                <w:sz w:val="18"/>
                <w:szCs w:val="18"/>
              </w:rPr>
            </w:pPr>
            <w:r w:rsidRPr="00275290">
              <w:rPr>
                <w:rFonts w:cs="Arial"/>
                <w:sz w:val="18"/>
                <w:szCs w:val="18"/>
              </w:rPr>
              <w:t>Nomencla-ture</w:t>
            </w:r>
          </w:p>
        </w:tc>
        <w:tc>
          <w:tcPr>
            <w:tcW w:w="2126" w:type="dxa"/>
            <w:shd w:val="clear" w:color="auto" w:fill="D9D9D9" w:themeFill="background1" w:themeFillShade="D9"/>
            <w:vAlign w:val="center"/>
          </w:tcPr>
          <w:p w14:paraId="7A5E7840" w14:textId="77777777" w:rsidR="00692E71" w:rsidRPr="00275290" w:rsidRDefault="00692E71" w:rsidP="008E0250">
            <w:pPr>
              <w:jc w:val="center"/>
              <w:rPr>
                <w:rFonts w:cs="Arial"/>
                <w:sz w:val="18"/>
                <w:szCs w:val="18"/>
              </w:rPr>
            </w:pPr>
            <w:r w:rsidRPr="00275290">
              <w:rPr>
                <w:rFonts w:cs="Arial"/>
                <w:sz w:val="18"/>
                <w:szCs w:val="18"/>
              </w:rPr>
              <w:t>Value</w:t>
            </w:r>
          </w:p>
        </w:tc>
        <w:tc>
          <w:tcPr>
            <w:tcW w:w="1134" w:type="dxa"/>
            <w:shd w:val="clear" w:color="auto" w:fill="D9D9D9" w:themeFill="background1" w:themeFillShade="D9"/>
            <w:vAlign w:val="center"/>
          </w:tcPr>
          <w:p w14:paraId="15382A49" w14:textId="77777777" w:rsidR="00692E71" w:rsidRPr="00275290" w:rsidRDefault="00692E71" w:rsidP="008E0250">
            <w:pPr>
              <w:jc w:val="center"/>
              <w:rPr>
                <w:rFonts w:cs="Arial"/>
                <w:sz w:val="18"/>
                <w:szCs w:val="18"/>
              </w:rPr>
            </w:pPr>
            <w:r w:rsidRPr="00275290">
              <w:rPr>
                <w:rFonts w:cs="Arial"/>
                <w:sz w:val="18"/>
                <w:szCs w:val="18"/>
              </w:rPr>
              <w:t>Unit</w:t>
            </w:r>
          </w:p>
        </w:tc>
        <w:tc>
          <w:tcPr>
            <w:tcW w:w="786" w:type="dxa"/>
            <w:shd w:val="clear" w:color="auto" w:fill="D9D9D9" w:themeFill="background1" w:themeFillShade="D9"/>
            <w:vAlign w:val="center"/>
          </w:tcPr>
          <w:p w14:paraId="26BAEFE3" w14:textId="77777777" w:rsidR="00692E71" w:rsidRPr="00275290" w:rsidRDefault="00692E71" w:rsidP="008E0250">
            <w:pPr>
              <w:jc w:val="center"/>
              <w:rPr>
                <w:rFonts w:cs="Arial"/>
                <w:sz w:val="18"/>
                <w:szCs w:val="18"/>
              </w:rPr>
            </w:pPr>
            <w:r w:rsidRPr="00275290">
              <w:rPr>
                <w:rFonts w:cs="Arial"/>
                <w:sz w:val="18"/>
                <w:szCs w:val="18"/>
              </w:rPr>
              <w:t>Origin</w:t>
            </w:r>
          </w:p>
        </w:tc>
      </w:tr>
      <w:tr w:rsidR="00692E71" w:rsidRPr="00275290" w14:paraId="54094C6B" w14:textId="77777777" w:rsidTr="008E0250">
        <w:trPr>
          <w:trHeight w:val="283"/>
        </w:trPr>
        <w:tc>
          <w:tcPr>
            <w:tcW w:w="9433" w:type="dxa"/>
            <w:gridSpan w:val="5"/>
            <w:vAlign w:val="center"/>
          </w:tcPr>
          <w:p w14:paraId="2AEFFEA8" w14:textId="77777777" w:rsidR="00692E71" w:rsidRPr="00275290" w:rsidRDefault="00692E71" w:rsidP="008E0250">
            <w:pPr>
              <w:rPr>
                <w:rFonts w:cs="Arial"/>
                <w:b/>
                <w:sz w:val="18"/>
                <w:szCs w:val="18"/>
              </w:rPr>
            </w:pPr>
            <w:r w:rsidRPr="00275290">
              <w:rPr>
                <w:rFonts w:cs="Arial"/>
                <w:b/>
                <w:sz w:val="18"/>
                <w:szCs w:val="18"/>
              </w:rPr>
              <w:t>OUTPUT EMISSION</w:t>
            </w:r>
          </w:p>
        </w:tc>
      </w:tr>
      <w:tr w:rsidR="00692E71" w:rsidRPr="00275290" w14:paraId="079C523C" w14:textId="77777777" w:rsidTr="008E0250">
        <w:tc>
          <w:tcPr>
            <w:tcW w:w="3369" w:type="dxa"/>
            <w:vAlign w:val="center"/>
          </w:tcPr>
          <w:p w14:paraId="03C59977"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(30d), professional application</w:t>
            </w:r>
          </w:p>
        </w:tc>
        <w:tc>
          <w:tcPr>
            <w:tcW w:w="2018" w:type="dxa"/>
            <w:vAlign w:val="center"/>
          </w:tcPr>
          <w:p w14:paraId="4E9D0F9E"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rem </w:t>
            </w:r>
            <w:r w:rsidRPr="00275290">
              <w:rPr>
                <w:rFonts w:cs="Arial"/>
                <w:iCs/>
                <w:sz w:val="18"/>
                <w:szCs w:val="18"/>
                <w:vertAlign w:val="subscript"/>
              </w:rPr>
              <w:t>time1</w:t>
            </w:r>
          </w:p>
        </w:tc>
        <w:tc>
          <w:tcPr>
            <w:tcW w:w="2126" w:type="dxa"/>
            <w:vAlign w:val="center"/>
          </w:tcPr>
          <w:p w14:paraId="7A6D12BC" w14:textId="77777777" w:rsidR="00692E71" w:rsidRPr="00275290" w:rsidRDefault="00692E71" w:rsidP="008E0250">
            <w:pPr>
              <w:jc w:val="center"/>
              <w:rPr>
                <w:rFonts w:cs="Arial"/>
                <w:sz w:val="18"/>
                <w:szCs w:val="18"/>
              </w:rPr>
            </w:pPr>
            <w:r w:rsidRPr="00275290">
              <w:rPr>
                <w:rFonts w:cs="Arial"/>
                <w:sz w:val="18"/>
                <w:szCs w:val="18"/>
              </w:rPr>
              <w:t>2.4*10</w:t>
            </w:r>
            <w:r w:rsidRPr="00275290">
              <w:rPr>
                <w:rFonts w:cs="Arial"/>
                <w:sz w:val="18"/>
                <w:szCs w:val="18"/>
                <w:vertAlign w:val="superscript"/>
              </w:rPr>
              <w:t>-5</w:t>
            </w:r>
            <w:r w:rsidRPr="00275290">
              <w:rPr>
                <w:rFonts w:cs="Arial"/>
                <w:sz w:val="18"/>
                <w:szCs w:val="18"/>
              </w:rPr>
              <w:t xml:space="preserve"> (IPBC)</w:t>
            </w:r>
          </w:p>
          <w:p w14:paraId="4574BD8B" w14:textId="77777777" w:rsidR="00692E71" w:rsidRPr="00275290" w:rsidRDefault="00692E71" w:rsidP="008E0250">
            <w:pPr>
              <w:jc w:val="center"/>
              <w:rPr>
                <w:rFonts w:cs="Arial"/>
                <w:sz w:val="18"/>
                <w:szCs w:val="18"/>
              </w:rPr>
            </w:pPr>
            <w:r w:rsidRPr="00275290">
              <w:rPr>
                <w:rFonts w:cs="Arial"/>
                <w:sz w:val="18"/>
                <w:szCs w:val="18"/>
              </w:rPr>
              <w:t xml:space="preserve">  0.12 (propiconazole)</w:t>
            </w:r>
          </w:p>
          <w:p w14:paraId="2A985217" w14:textId="77777777" w:rsidR="00692E71" w:rsidRPr="00275290" w:rsidRDefault="00692E71" w:rsidP="008E0250">
            <w:pPr>
              <w:jc w:val="center"/>
              <w:rPr>
                <w:rFonts w:cs="Arial"/>
                <w:sz w:val="18"/>
                <w:szCs w:val="18"/>
              </w:rPr>
            </w:pPr>
            <w:r w:rsidRPr="00275290">
              <w:rPr>
                <w:rFonts w:cs="Arial"/>
                <w:sz w:val="18"/>
                <w:szCs w:val="18"/>
              </w:rPr>
              <w:t xml:space="preserve">  0.05 (tebuconazole)</w:t>
            </w:r>
          </w:p>
          <w:p w14:paraId="309218F8" w14:textId="77777777" w:rsidR="00692E71" w:rsidRPr="00275290" w:rsidRDefault="00692E71" w:rsidP="008E0250">
            <w:pPr>
              <w:jc w:val="center"/>
              <w:rPr>
                <w:rFonts w:cs="Arial"/>
                <w:sz w:val="18"/>
                <w:szCs w:val="18"/>
              </w:rPr>
            </w:pPr>
            <w:r w:rsidRPr="00275290">
              <w:rPr>
                <w:rFonts w:cs="Arial"/>
                <w:sz w:val="18"/>
                <w:szCs w:val="18"/>
              </w:rPr>
              <w:t xml:space="preserve"> 5.8*10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6FD4A90C"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86" w:type="dxa"/>
            <w:vAlign w:val="center"/>
          </w:tcPr>
          <w:p w14:paraId="4C663216"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1D10E4C" w14:textId="77777777" w:rsidTr="008E0250">
        <w:tc>
          <w:tcPr>
            <w:tcW w:w="3369" w:type="dxa"/>
            <w:vAlign w:val="center"/>
          </w:tcPr>
          <w:p w14:paraId="130B6BEA" w14:textId="77777777" w:rsidR="00692E71" w:rsidRPr="00275290" w:rsidRDefault="00692E71" w:rsidP="008E0250">
            <w:pPr>
              <w:rPr>
                <w:rFonts w:cs="Arial"/>
                <w:i/>
                <w:iCs/>
                <w:sz w:val="18"/>
                <w:szCs w:val="18"/>
              </w:rPr>
            </w:pPr>
            <w:r w:rsidRPr="00275290">
              <w:rPr>
                <w:rFonts w:cs="Arial"/>
                <w:sz w:val="18"/>
                <w:szCs w:val="18"/>
              </w:rPr>
              <w:t>Combined concentrations in soil resulting from application (brushing) and leaching of treated wood (30d), non-professional application</w:t>
            </w:r>
          </w:p>
        </w:tc>
        <w:tc>
          <w:tcPr>
            <w:tcW w:w="2018" w:type="dxa"/>
            <w:vAlign w:val="center"/>
          </w:tcPr>
          <w:p w14:paraId="3837B89D"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rem </w:t>
            </w:r>
            <w:r w:rsidRPr="00275290">
              <w:rPr>
                <w:rFonts w:cs="Arial"/>
                <w:iCs/>
                <w:sz w:val="18"/>
                <w:szCs w:val="18"/>
                <w:vertAlign w:val="subscript"/>
              </w:rPr>
              <w:t>time1</w:t>
            </w:r>
          </w:p>
        </w:tc>
        <w:tc>
          <w:tcPr>
            <w:tcW w:w="2126" w:type="dxa"/>
            <w:vAlign w:val="center"/>
          </w:tcPr>
          <w:p w14:paraId="4CB23940" w14:textId="77777777" w:rsidR="00692E71" w:rsidRPr="00275290" w:rsidRDefault="00692E71" w:rsidP="008E0250">
            <w:pPr>
              <w:jc w:val="center"/>
              <w:rPr>
                <w:rFonts w:cs="Arial"/>
                <w:sz w:val="18"/>
                <w:szCs w:val="18"/>
              </w:rPr>
            </w:pPr>
            <w:r w:rsidRPr="00275290">
              <w:rPr>
                <w:rFonts w:cs="Arial"/>
                <w:sz w:val="18"/>
                <w:szCs w:val="18"/>
              </w:rPr>
              <w:t>2.4*10</w:t>
            </w:r>
            <w:r w:rsidRPr="00275290">
              <w:rPr>
                <w:rFonts w:cs="Arial"/>
                <w:sz w:val="18"/>
                <w:szCs w:val="18"/>
                <w:vertAlign w:val="superscript"/>
              </w:rPr>
              <w:t>-5</w:t>
            </w:r>
            <w:r w:rsidRPr="00275290">
              <w:rPr>
                <w:rFonts w:cs="Arial"/>
                <w:sz w:val="18"/>
                <w:szCs w:val="18"/>
              </w:rPr>
              <w:t xml:space="preserve"> (IPBC)</w:t>
            </w:r>
          </w:p>
          <w:p w14:paraId="6C4B1A66" w14:textId="77777777" w:rsidR="00692E71" w:rsidRPr="00275290" w:rsidRDefault="00692E71" w:rsidP="008E0250">
            <w:pPr>
              <w:jc w:val="center"/>
              <w:rPr>
                <w:rFonts w:cs="Arial"/>
                <w:sz w:val="18"/>
                <w:szCs w:val="18"/>
              </w:rPr>
            </w:pPr>
            <w:r w:rsidRPr="00275290">
              <w:rPr>
                <w:rFonts w:cs="Arial"/>
                <w:sz w:val="18"/>
                <w:szCs w:val="18"/>
              </w:rPr>
              <w:t xml:space="preserve"> 0.15 (propiconazole)</w:t>
            </w:r>
          </w:p>
          <w:p w14:paraId="1840A634" w14:textId="77777777" w:rsidR="00692E71" w:rsidRPr="00275290" w:rsidRDefault="00692E71" w:rsidP="008E0250">
            <w:pPr>
              <w:jc w:val="center"/>
              <w:rPr>
                <w:rFonts w:cs="Arial"/>
                <w:sz w:val="18"/>
                <w:szCs w:val="18"/>
              </w:rPr>
            </w:pPr>
            <w:r w:rsidRPr="00275290">
              <w:rPr>
                <w:rFonts w:cs="Arial"/>
                <w:sz w:val="18"/>
                <w:szCs w:val="18"/>
              </w:rPr>
              <w:t xml:space="preserve"> 0.05 (tebuconazole)</w:t>
            </w:r>
          </w:p>
          <w:p w14:paraId="0334E925" w14:textId="77777777" w:rsidR="00692E71" w:rsidRPr="00275290" w:rsidRDefault="00692E71" w:rsidP="008E0250">
            <w:pPr>
              <w:jc w:val="center"/>
              <w:rPr>
                <w:rFonts w:cs="Arial"/>
                <w:sz w:val="18"/>
                <w:szCs w:val="18"/>
              </w:rPr>
            </w:pPr>
            <w:r w:rsidRPr="00275290">
              <w:rPr>
                <w:rFonts w:cs="Arial"/>
                <w:sz w:val="18"/>
                <w:szCs w:val="18"/>
              </w:rPr>
              <w:t xml:space="preserve"> 9.6*10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1FE0D229" w14:textId="77777777" w:rsidR="00692E71" w:rsidRPr="00275290" w:rsidRDefault="00692E71" w:rsidP="008E0250">
            <w:pPr>
              <w:rPr>
                <w:rFonts w:cs="Arial"/>
                <w:i/>
                <w:iCs/>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86" w:type="dxa"/>
            <w:vAlign w:val="center"/>
          </w:tcPr>
          <w:p w14:paraId="0EEB3EB3"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1B84D12" w14:textId="77777777" w:rsidTr="008E0250">
        <w:trPr>
          <w:cantSplit/>
        </w:trPr>
        <w:tc>
          <w:tcPr>
            <w:tcW w:w="3369" w:type="dxa"/>
            <w:vAlign w:val="center"/>
          </w:tcPr>
          <w:p w14:paraId="7C1E7F6E"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professional application</w:t>
            </w:r>
          </w:p>
        </w:tc>
        <w:tc>
          <w:tcPr>
            <w:tcW w:w="2018" w:type="dxa"/>
            <w:vAlign w:val="center"/>
          </w:tcPr>
          <w:p w14:paraId="390B88AF"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rem, time2</w:t>
            </w:r>
          </w:p>
        </w:tc>
        <w:tc>
          <w:tcPr>
            <w:tcW w:w="2126" w:type="dxa"/>
            <w:vAlign w:val="center"/>
          </w:tcPr>
          <w:p w14:paraId="0A8786CE" w14:textId="77777777" w:rsidR="00692E71" w:rsidRPr="00275290" w:rsidRDefault="00692E71" w:rsidP="008E0250">
            <w:pPr>
              <w:jc w:val="center"/>
              <w:rPr>
                <w:rFonts w:cs="Arial"/>
                <w:sz w:val="18"/>
                <w:szCs w:val="18"/>
              </w:rPr>
            </w:pPr>
            <w:r w:rsidRPr="00275290">
              <w:rPr>
                <w:rFonts w:cs="Arial"/>
                <w:sz w:val="18"/>
                <w:szCs w:val="18"/>
              </w:rPr>
              <w:t>7.2*10</w:t>
            </w:r>
            <w:r w:rsidRPr="00275290">
              <w:rPr>
                <w:rFonts w:cs="Arial"/>
                <w:sz w:val="18"/>
                <w:szCs w:val="18"/>
                <w:vertAlign w:val="superscript"/>
              </w:rPr>
              <w:t>-7</w:t>
            </w:r>
            <w:r w:rsidRPr="00275290">
              <w:rPr>
                <w:rFonts w:cs="Arial"/>
                <w:sz w:val="18"/>
                <w:szCs w:val="18"/>
              </w:rPr>
              <w:t xml:space="preserve"> (IPBC)</w:t>
            </w:r>
          </w:p>
          <w:p w14:paraId="0C4B4F87" w14:textId="77777777" w:rsidR="00692E71" w:rsidRPr="00275290" w:rsidRDefault="00692E71" w:rsidP="008E0250">
            <w:pPr>
              <w:jc w:val="center"/>
              <w:rPr>
                <w:rFonts w:cs="Arial"/>
                <w:sz w:val="18"/>
                <w:szCs w:val="18"/>
              </w:rPr>
            </w:pPr>
            <w:r w:rsidRPr="00275290">
              <w:rPr>
                <w:rFonts w:cs="Arial"/>
                <w:sz w:val="18"/>
                <w:szCs w:val="18"/>
              </w:rPr>
              <w:t>0.03 (propiconazole)</w:t>
            </w:r>
          </w:p>
          <w:p w14:paraId="4036947B" w14:textId="77777777" w:rsidR="00692E71" w:rsidRPr="00275290" w:rsidRDefault="00692E71" w:rsidP="008E0250">
            <w:pPr>
              <w:jc w:val="center"/>
              <w:rPr>
                <w:rFonts w:cs="Arial"/>
                <w:sz w:val="18"/>
                <w:szCs w:val="18"/>
              </w:rPr>
            </w:pPr>
            <w:r w:rsidRPr="00275290">
              <w:rPr>
                <w:rFonts w:cs="Arial"/>
                <w:sz w:val="18"/>
                <w:szCs w:val="18"/>
              </w:rPr>
              <w:t>0.01 (tebuconazole)</w:t>
            </w:r>
          </w:p>
          <w:p w14:paraId="08EB137F" w14:textId="77777777" w:rsidR="00692E71" w:rsidRPr="00275290" w:rsidRDefault="00692E71" w:rsidP="008E0250">
            <w:pPr>
              <w:jc w:val="center"/>
              <w:rPr>
                <w:rFonts w:cs="Arial"/>
                <w:sz w:val="18"/>
                <w:szCs w:val="18"/>
              </w:rPr>
            </w:pPr>
            <w:r w:rsidRPr="00275290">
              <w:rPr>
                <w:rFonts w:cs="Arial"/>
                <w:sz w:val="18"/>
                <w:szCs w:val="18"/>
              </w:rPr>
              <w:t>1.2*10</w:t>
            </w:r>
            <w:r w:rsidRPr="00275290">
              <w:rPr>
                <w:rFonts w:cs="Arial"/>
                <w:sz w:val="18"/>
                <w:szCs w:val="18"/>
                <w:vertAlign w:val="superscript"/>
              </w:rPr>
              <w:t xml:space="preserve">-4 </w:t>
            </w:r>
            <w:r w:rsidRPr="00275290">
              <w:rPr>
                <w:rFonts w:cs="Arial"/>
                <w:sz w:val="18"/>
                <w:szCs w:val="18"/>
              </w:rPr>
              <w:t>(cypermethrin)</w:t>
            </w:r>
          </w:p>
        </w:tc>
        <w:tc>
          <w:tcPr>
            <w:tcW w:w="1134" w:type="dxa"/>
            <w:vAlign w:val="center"/>
          </w:tcPr>
          <w:p w14:paraId="3D579653"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86" w:type="dxa"/>
            <w:vAlign w:val="center"/>
          </w:tcPr>
          <w:p w14:paraId="642EC7EA"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05461304" w14:textId="77777777" w:rsidTr="008E0250">
        <w:trPr>
          <w:cantSplit/>
        </w:trPr>
        <w:tc>
          <w:tcPr>
            <w:tcW w:w="3369" w:type="dxa"/>
            <w:vAlign w:val="center"/>
          </w:tcPr>
          <w:p w14:paraId="4671AF6A"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non-professional application</w:t>
            </w:r>
          </w:p>
        </w:tc>
        <w:tc>
          <w:tcPr>
            <w:tcW w:w="2018" w:type="dxa"/>
            <w:vAlign w:val="center"/>
          </w:tcPr>
          <w:p w14:paraId="1263435D"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rem, time2</w:t>
            </w:r>
          </w:p>
        </w:tc>
        <w:tc>
          <w:tcPr>
            <w:tcW w:w="2126" w:type="dxa"/>
            <w:vAlign w:val="center"/>
          </w:tcPr>
          <w:p w14:paraId="051BEFB3" w14:textId="77777777" w:rsidR="00692E71" w:rsidRPr="00275290" w:rsidRDefault="00692E71" w:rsidP="008E0250">
            <w:pPr>
              <w:jc w:val="center"/>
              <w:rPr>
                <w:rFonts w:cs="Arial"/>
                <w:sz w:val="18"/>
                <w:szCs w:val="18"/>
              </w:rPr>
            </w:pPr>
            <w:r w:rsidRPr="00275290">
              <w:rPr>
                <w:rFonts w:cs="Arial"/>
                <w:sz w:val="18"/>
                <w:szCs w:val="18"/>
              </w:rPr>
              <w:t>7.2*10</w:t>
            </w:r>
            <w:r w:rsidRPr="00275290">
              <w:rPr>
                <w:rFonts w:cs="Arial"/>
                <w:sz w:val="18"/>
                <w:szCs w:val="18"/>
                <w:vertAlign w:val="superscript"/>
              </w:rPr>
              <w:t>-7</w:t>
            </w:r>
            <w:r w:rsidRPr="00275290">
              <w:rPr>
                <w:rFonts w:cs="Arial"/>
                <w:sz w:val="18"/>
                <w:szCs w:val="18"/>
              </w:rPr>
              <w:t xml:space="preserve"> (IPBC)</w:t>
            </w:r>
          </w:p>
          <w:p w14:paraId="1BC76040" w14:textId="77777777" w:rsidR="00692E71" w:rsidRPr="00275290" w:rsidRDefault="00692E71" w:rsidP="008E0250">
            <w:pPr>
              <w:jc w:val="center"/>
              <w:rPr>
                <w:rFonts w:cs="Arial"/>
                <w:sz w:val="18"/>
                <w:szCs w:val="18"/>
              </w:rPr>
            </w:pPr>
            <w:r w:rsidRPr="00275290">
              <w:rPr>
                <w:rFonts w:cs="Arial"/>
                <w:sz w:val="18"/>
                <w:szCs w:val="18"/>
              </w:rPr>
              <w:t>0.03 (propiconazole)</w:t>
            </w:r>
          </w:p>
          <w:p w14:paraId="4AC42FE5" w14:textId="77777777" w:rsidR="00692E71" w:rsidRPr="00275290" w:rsidRDefault="00692E71" w:rsidP="008E0250">
            <w:pPr>
              <w:jc w:val="center"/>
              <w:rPr>
                <w:rFonts w:cs="Arial"/>
                <w:sz w:val="18"/>
                <w:szCs w:val="18"/>
              </w:rPr>
            </w:pPr>
            <w:r w:rsidRPr="00275290">
              <w:rPr>
                <w:rFonts w:cs="Arial"/>
                <w:sz w:val="18"/>
                <w:szCs w:val="18"/>
              </w:rPr>
              <w:t>0.01 (tebuconazole)</w:t>
            </w:r>
          </w:p>
          <w:p w14:paraId="636E4A51" w14:textId="77777777" w:rsidR="00692E71" w:rsidRPr="00275290" w:rsidRDefault="00692E71" w:rsidP="008E0250">
            <w:pPr>
              <w:jc w:val="center"/>
              <w:rPr>
                <w:rFonts w:cs="Arial"/>
                <w:sz w:val="18"/>
                <w:szCs w:val="18"/>
                <w:vertAlign w:val="superscript"/>
              </w:rPr>
            </w:pPr>
            <w:r w:rsidRPr="00275290">
              <w:rPr>
                <w:rFonts w:cs="Arial"/>
                <w:sz w:val="18"/>
                <w:szCs w:val="18"/>
              </w:rPr>
              <w:t>1.2*10</w:t>
            </w:r>
            <w:r w:rsidRPr="00275290">
              <w:rPr>
                <w:rFonts w:cs="Arial"/>
                <w:sz w:val="18"/>
                <w:szCs w:val="18"/>
                <w:vertAlign w:val="superscript"/>
              </w:rPr>
              <w:t xml:space="preserve">-4 </w:t>
            </w:r>
            <w:r w:rsidRPr="00275290">
              <w:rPr>
                <w:rFonts w:cs="Arial"/>
                <w:sz w:val="18"/>
                <w:szCs w:val="18"/>
              </w:rPr>
              <w:t>(cypermethrin)</w:t>
            </w:r>
          </w:p>
        </w:tc>
        <w:tc>
          <w:tcPr>
            <w:tcW w:w="1134" w:type="dxa"/>
            <w:vAlign w:val="center"/>
          </w:tcPr>
          <w:p w14:paraId="1925F55F"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86" w:type="dxa"/>
            <w:vAlign w:val="center"/>
          </w:tcPr>
          <w:p w14:paraId="6042FF39"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190285E2" w14:textId="77777777" w:rsidTr="008E0250">
        <w:trPr>
          <w:cantSplit/>
        </w:trPr>
        <w:tc>
          <w:tcPr>
            <w:tcW w:w="3369" w:type="dxa"/>
            <w:vAlign w:val="center"/>
          </w:tcPr>
          <w:p w14:paraId="6C5423BE" w14:textId="77777777" w:rsidR="00692E71" w:rsidRPr="00275290" w:rsidRDefault="00692E71" w:rsidP="008E0250">
            <w:pPr>
              <w:keepNext/>
              <w:rPr>
                <w:rFonts w:cs="Arial"/>
                <w:sz w:val="18"/>
                <w:szCs w:val="18"/>
              </w:rPr>
            </w:pPr>
            <w:r w:rsidRPr="00275290">
              <w:rPr>
                <w:rFonts w:cs="Arial"/>
                <w:sz w:val="18"/>
                <w:szCs w:val="18"/>
              </w:rPr>
              <w:lastRenderedPageBreak/>
              <w:t>Combined concentrations in soil water over the initial assessment period (30d), professional application</w:t>
            </w:r>
          </w:p>
        </w:tc>
        <w:tc>
          <w:tcPr>
            <w:tcW w:w="2018" w:type="dxa"/>
            <w:vAlign w:val="center"/>
          </w:tcPr>
          <w:p w14:paraId="72EC1F10" w14:textId="77777777" w:rsidR="00692E71" w:rsidRPr="00275290" w:rsidRDefault="00692E71" w:rsidP="008E0250">
            <w:pPr>
              <w:keepNext/>
              <w:rPr>
                <w:rFonts w:cs="Arial"/>
                <w:iCs/>
                <w:sz w:val="18"/>
                <w:szCs w:val="18"/>
              </w:rPr>
            </w:pPr>
            <w:r w:rsidRPr="00275290">
              <w:rPr>
                <w:rFonts w:cs="Arial"/>
                <w:iCs/>
                <w:sz w:val="18"/>
                <w:szCs w:val="18"/>
              </w:rPr>
              <w:t>Clocal</w:t>
            </w:r>
            <w:r w:rsidRPr="00275290">
              <w:rPr>
                <w:rFonts w:cs="Arial"/>
                <w:iCs/>
                <w:sz w:val="18"/>
                <w:szCs w:val="18"/>
                <w:vertAlign w:val="subscript"/>
              </w:rPr>
              <w:t>pore,time1</w:t>
            </w:r>
          </w:p>
        </w:tc>
        <w:tc>
          <w:tcPr>
            <w:tcW w:w="2126" w:type="dxa"/>
            <w:vAlign w:val="center"/>
          </w:tcPr>
          <w:p w14:paraId="6770B081" w14:textId="77777777" w:rsidR="00692E71" w:rsidRPr="00275290" w:rsidRDefault="00692E71" w:rsidP="008E0250">
            <w:pPr>
              <w:keepNext/>
              <w:jc w:val="center"/>
              <w:rPr>
                <w:rFonts w:cs="Arial"/>
                <w:sz w:val="18"/>
                <w:szCs w:val="18"/>
              </w:rPr>
            </w:pPr>
            <w:r w:rsidRPr="00275290">
              <w:rPr>
                <w:rFonts w:cs="Arial"/>
                <w:sz w:val="18"/>
                <w:szCs w:val="18"/>
              </w:rPr>
              <w:t>0.01 (IPBC)</w:t>
            </w:r>
          </w:p>
          <w:p w14:paraId="69304344" w14:textId="77777777" w:rsidR="00692E71" w:rsidRPr="00275290" w:rsidRDefault="00692E71" w:rsidP="008E0250">
            <w:pPr>
              <w:keepNext/>
              <w:jc w:val="center"/>
              <w:rPr>
                <w:rFonts w:cs="Arial"/>
                <w:sz w:val="18"/>
                <w:szCs w:val="18"/>
              </w:rPr>
            </w:pPr>
            <w:r w:rsidRPr="00275290">
              <w:rPr>
                <w:rFonts w:cs="Arial"/>
                <w:sz w:val="18"/>
                <w:szCs w:val="18"/>
              </w:rPr>
              <w:t xml:space="preserve">  7.42 (propiconazole)</w:t>
            </w:r>
          </w:p>
          <w:p w14:paraId="7B9171F3" w14:textId="77777777" w:rsidR="00692E71" w:rsidRPr="00275290" w:rsidRDefault="00692E71" w:rsidP="008E0250">
            <w:pPr>
              <w:keepNext/>
              <w:jc w:val="center"/>
              <w:rPr>
                <w:rFonts w:cs="Arial"/>
                <w:sz w:val="18"/>
                <w:szCs w:val="18"/>
              </w:rPr>
            </w:pPr>
            <w:r w:rsidRPr="00275290">
              <w:rPr>
                <w:rFonts w:cs="Arial"/>
                <w:sz w:val="18"/>
                <w:szCs w:val="18"/>
              </w:rPr>
              <w:t xml:space="preserve">  2.69 (tebuconazole)</w:t>
            </w:r>
          </w:p>
          <w:p w14:paraId="15CD66D9" w14:textId="77777777" w:rsidR="00692E71" w:rsidRPr="00275290" w:rsidRDefault="00692E71" w:rsidP="008E0250">
            <w:pPr>
              <w:keepNext/>
              <w:jc w:val="center"/>
              <w:rPr>
                <w:rFonts w:cs="Arial"/>
                <w:sz w:val="18"/>
                <w:szCs w:val="18"/>
              </w:rPr>
            </w:pPr>
            <w:r w:rsidRPr="00275290">
              <w:rPr>
                <w:rFonts w:cs="Arial"/>
                <w:sz w:val="18"/>
                <w:szCs w:val="18"/>
              </w:rPr>
              <w:t xml:space="preserve">  5.7*10</w:t>
            </w:r>
            <w:r w:rsidRPr="00275290">
              <w:rPr>
                <w:rFonts w:cs="Arial"/>
                <w:sz w:val="18"/>
                <w:szCs w:val="18"/>
                <w:vertAlign w:val="superscript"/>
              </w:rPr>
              <w:t>-4</w:t>
            </w:r>
            <w:r w:rsidRPr="00275290">
              <w:rPr>
                <w:rFonts w:cs="Arial"/>
                <w:sz w:val="18"/>
                <w:szCs w:val="18"/>
              </w:rPr>
              <w:t xml:space="preserve"> (cypermethrin)</w:t>
            </w:r>
          </w:p>
        </w:tc>
        <w:tc>
          <w:tcPr>
            <w:tcW w:w="1134" w:type="dxa"/>
            <w:vAlign w:val="center"/>
          </w:tcPr>
          <w:p w14:paraId="03EF5825" w14:textId="77777777" w:rsidR="00692E71" w:rsidRPr="00275290" w:rsidRDefault="00692E71" w:rsidP="008E0250">
            <w:pPr>
              <w:keepNext/>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86" w:type="dxa"/>
            <w:vAlign w:val="center"/>
          </w:tcPr>
          <w:p w14:paraId="10153798" w14:textId="77777777" w:rsidR="00692E71" w:rsidRPr="00275290" w:rsidRDefault="00692E71" w:rsidP="008E0250">
            <w:pPr>
              <w:keepNext/>
              <w:jc w:val="center"/>
              <w:rPr>
                <w:rFonts w:cs="Arial"/>
                <w:sz w:val="18"/>
                <w:szCs w:val="18"/>
              </w:rPr>
            </w:pPr>
            <w:r w:rsidRPr="00275290">
              <w:rPr>
                <w:rFonts w:cs="Arial"/>
                <w:sz w:val="18"/>
                <w:szCs w:val="18"/>
              </w:rPr>
              <w:t>O</w:t>
            </w:r>
          </w:p>
        </w:tc>
      </w:tr>
      <w:tr w:rsidR="00692E71" w:rsidRPr="00275290" w14:paraId="11CE0348" w14:textId="77777777" w:rsidTr="008E0250">
        <w:trPr>
          <w:cantSplit/>
        </w:trPr>
        <w:tc>
          <w:tcPr>
            <w:tcW w:w="3369" w:type="dxa"/>
            <w:vAlign w:val="center"/>
          </w:tcPr>
          <w:p w14:paraId="10D6E368" w14:textId="77777777" w:rsidR="00692E71" w:rsidRPr="00275290" w:rsidRDefault="00692E71" w:rsidP="008E0250">
            <w:pPr>
              <w:rPr>
                <w:rFonts w:cs="Arial"/>
                <w:sz w:val="18"/>
                <w:szCs w:val="18"/>
              </w:rPr>
            </w:pPr>
            <w:r w:rsidRPr="00275290">
              <w:rPr>
                <w:rFonts w:cs="Arial"/>
                <w:sz w:val="18"/>
                <w:szCs w:val="18"/>
              </w:rPr>
              <w:t>Combined concentrations in soil water over the initial assessment period (30d), non-professional application</w:t>
            </w:r>
          </w:p>
        </w:tc>
        <w:tc>
          <w:tcPr>
            <w:tcW w:w="2018" w:type="dxa"/>
            <w:vAlign w:val="center"/>
          </w:tcPr>
          <w:p w14:paraId="1EDEB804" w14:textId="77777777" w:rsidR="00692E71" w:rsidRPr="00275290" w:rsidRDefault="00692E71" w:rsidP="008E0250">
            <w:pPr>
              <w:rPr>
                <w:rFonts w:cs="Arial"/>
                <w:sz w:val="18"/>
                <w:szCs w:val="18"/>
              </w:rPr>
            </w:pPr>
            <w:r w:rsidRPr="00275290">
              <w:rPr>
                <w:rFonts w:cs="Arial"/>
                <w:iCs/>
                <w:sz w:val="18"/>
                <w:szCs w:val="18"/>
              </w:rPr>
              <w:t>Clocal</w:t>
            </w:r>
            <w:r w:rsidRPr="00275290">
              <w:rPr>
                <w:rFonts w:cs="Arial"/>
                <w:iCs/>
                <w:sz w:val="18"/>
                <w:szCs w:val="18"/>
                <w:vertAlign w:val="subscript"/>
              </w:rPr>
              <w:t>pore,time1</w:t>
            </w:r>
          </w:p>
        </w:tc>
        <w:tc>
          <w:tcPr>
            <w:tcW w:w="2126" w:type="dxa"/>
            <w:vAlign w:val="center"/>
          </w:tcPr>
          <w:p w14:paraId="614643DF" w14:textId="77777777" w:rsidR="00692E71" w:rsidRPr="00275290" w:rsidRDefault="00692E71" w:rsidP="008E0250">
            <w:pPr>
              <w:jc w:val="center"/>
              <w:rPr>
                <w:rFonts w:cs="Arial"/>
                <w:sz w:val="18"/>
                <w:szCs w:val="18"/>
              </w:rPr>
            </w:pPr>
            <w:r w:rsidRPr="00275290">
              <w:rPr>
                <w:rFonts w:cs="Arial"/>
                <w:sz w:val="18"/>
                <w:szCs w:val="18"/>
              </w:rPr>
              <w:t>0.01 (IPBC)</w:t>
            </w:r>
          </w:p>
          <w:p w14:paraId="5FA6BAB8" w14:textId="77777777" w:rsidR="00692E71" w:rsidRPr="00275290" w:rsidRDefault="00692E71" w:rsidP="008E0250">
            <w:pPr>
              <w:jc w:val="center"/>
              <w:rPr>
                <w:rFonts w:cs="Arial"/>
                <w:sz w:val="18"/>
                <w:szCs w:val="18"/>
              </w:rPr>
            </w:pPr>
            <w:r w:rsidRPr="00275290">
              <w:rPr>
                <w:rFonts w:cs="Arial"/>
                <w:sz w:val="18"/>
                <w:szCs w:val="18"/>
              </w:rPr>
              <w:t xml:space="preserve"> 8.84 (propiconazole)</w:t>
            </w:r>
          </w:p>
          <w:p w14:paraId="1A561696" w14:textId="77777777" w:rsidR="00692E71" w:rsidRPr="00275290" w:rsidRDefault="00692E71" w:rsidP="008E0250">
            <w:pPr>
              <w:jc w:val="center"/>
              <w:rPr>
                <w:rFonts w:cs="Arial"/>
                <w:sz w:val="18"/>
                <w:szCs w:val="18"/>
              </w:rPr>
            </w:pPr>
            <w:r w:rsidRPr="00275290">
              <w:rPr>
                <w:rFonts w:cs="Arial"/>
                <w:sz w:val="18"/>
                <w:szCs w:val="18"/>
              </w:rPr>
              <w:t>3.10 (tebuconazole)</w:t>
            </w:r>
          </w:p>
          <w:p w14:paraId="73AD47FD" w14:textId="77777777" w:rsidR="00692E71" w:rsidRPr="00275290" w:rsidRDefault="00692E71" w:rsidP="008E0250">
            <w:pPr>
              <w:jc w:val="center"/>
              <w:rPr>
                <w:rFonts w:cs="Arial"/>
                <w:sz w:val="18"/>
                <w:szCs w:val="18"/>
              </w:rPr>
            </w:pPr>
            <w:r w:rsidRPr="00275290">
              <w:rPr>
                <w:rFonts w:cs="Arial"/>
                <w:sz w:val="18"/>
                <w:szCs w:val="18"/>
              </w:rPr>
              <w:t xml:space="preserve"> 9.5*10</w:t>
            </w:r>
            <w:r w:rsidRPr="00275290">
              <w:rPr>
                <w:rFonts w:cs="Arial"/>
                <w:sz w:val="18"/>
                <w:szCs w:val="18"/>
                <w:vertAlign w:val="superscript"/>
              </w:rPr>
              <w:t>-4</w:t>
            </w:r>
            <w:r w:rsidRPr="00275290">
              <w:rPr>
                <w:rFonts w:cs="Arial"/>
                <w:sz w:val="18"/>
                <w:szCs w:val="18"/>
              </w:rPr>
              <w:t xml:space="preserve"> (cypermethrin)</w:t>
            </w:r>
          </w:p>
        </w:tc>
        <w:tc>
          <w:tcPr>
            <w:tcW w:w="1134" w:type="dxa"/>
            <w:vAlign w:val="center"/>
          </w:tcPr>
          <w:p w14:paraId="59AFAA65"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86" w:type="dxa"/>
            <w:vAlign w:val="center"/>
          </w:tcPr>
          <w:p w14:paraId="4328DDB3"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404908B2" w14:textId="77777777" w:rsidTr="008E0250">
        <w:trPr>
          <w:cantSplit/>
        </w:trPr>
        <w:tc>
          <w:tcPr>
            <w:tcW w:w="3369" w:type="dxa"/>
            <w:vAlign w:val="center"/>
          </w:tcPr>
          <w:p w14:paraId="2760A02C" w14:textId="77777777" w:rsidR="00692E71" w:rsidRPr="00275290" w:rsidRDefault="00692E71" w:rsidP="008E0250">
            <w:pPr>
              <w:rPr>
                <w:rFonts w:cs="Arial"/>
                <w:sz w:val="18"/>
                <w:szCs w:val="18"/>
              </w:rPr>
            </w:pPr>
            <w:r w:rsidRPr="00275290">
              <w:rPr>
                <w:rFonts w:cs="Arial"/>
                <w:sz w:val="18"/>
                <w:szCs w:val="18"/>
              </w:rPr>
              <w:t>Combined concentration in pore water over a longer</w:t>
            </w:r>
          </w:p>
          <w:p w14:paraId="40ED889C" w14:textId="77777777" w:rsidR="00692E71" w:rsidRPr="00275290" w:rsidRDefault="00692E71" w:rsidP="008E0250">
            <w:pPr>
              <w:rPr>
                <w:rFonts w:cs="Arial"/>
                <w:sz w:val="18"/>
                <w:szCs w:val="18"/>
              </w:rPr>
            </w:pPr>
            <w:r w:rsidRPr="00275290">
              <w:rPr>
                <w:rFonts w:cs="Arial"/>
                <w:sz w:val="18"/>
                <w:szCs w:val="18"/>
              </w:rPr>
              <w:t>duration (1825d), professional application</w:t>
            </w:r>
          </w:p>
        </w:tc>
        <w:tc>
          <w:tcPr>
            <w:tcW w:w="2018" w:type="dxa"/>
            <w:vAlign w:val="center"/>
          </w:tcPr>
          <w:p w14:paraId="739E8D3A"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126" w:type="dxa"/>
            <w:vAlign w:val="center"/>
          </w:tcPr>
          <w:p w14:paraId="249CF1FE" w14:textId="77777777" w:rsidR="00692E71" w:rsidRPr="00275290" w:rsidRDefault="00692E71" w:rsidP="008E0250">
            <w:pPr>
              <w:jc w:val="center"/>
              <w:rPr>
                <w:rFonts w:cs="Arial"/>
                <w:sz w:val="18"/>
                <w:szCs w:val="18"/>
              </w:rPr>
            </w:pPr>
            <w:r w:rsidRPr="00275290">
              <w:rPr>
                <w:rFonts w:cs="Arial"/>
                <w:sz w:val="18"/>
                <w:szCs w:val="18"/>
              </w:rPr>
              <w:t>3.1*10</w:t>
            </w:r>
            <w:r w:rsidRPr="00275290">
              <w:rPr>
                <w:rFonts w:cs="Arial"/>
                <w:sz w:val="18"/>
                <w:szCs w:val="18"/>
                <w:vertAlign w:val="superscript"/>
              </w:rPr>
              <w:t>-4</w:t>
            </w:r>
            <w:r w:rsidRPr="00275290">
              <w:rPr>
                <w:rFonts w:cs="Arial"/>
                <w:sz w:val="18"/>
                <w:szCs w:val="18"/>
              </w:rPr>
              <w:t xml:space="preserve"> (IPBC)</w:t>
            </w:r>
          </w:p>
          <w:p w14:paraId="33FC63EF" w14:textId="77777777" w:rsidR="00692E71" w:rsidRPr="00275290" w:rsidRDefault="00692E71" w:rsidP="008E0250">
            <w:pPr>
              <w:jc w:val="center"/>
              <w:rPr>
                <w:rFonts w:cs="Arial"/>
                <w:sz w:val="18"/>
                <w:szCs w:val="18"/>
              </w:rPr>
            </w:pPr>
            <w:r w:rsidRPr="00275290">
              <w:rPr>
                <w:rFonts w:cs="Arial"/>
                <w:sz w:val="18"/>
                <w:szCs w:val="18"/>
              </w:rPr>
              <w:t xml:space="preserve"> 1.56 (propiconazole)</w:t>
            </w:r>
          </w:p>
          <w:p w14:paraId="74928650" w14:textId="77777777" w:rsidR="00692E71" w:rsidRPr="00275290" w:rsidRDefault="00692E71" w:rsidP="008E0250">
            <w:pPr>
              <w:jc w:val="center"/>
              <w:rPr>
                <w:rFonts w:cs="Arial"/>
                <w:sz w:val="18"/>
                <w:szCs w:val="18"/>
              </w:rPr>
            </w:pPr>
            <w:r w:rsidRPr="00275290">
              <w:rPr>
                <w:rFonts w:cs="Arial"/>
                <w:sz w:val="18"/>
                <w:szCs w:val="18"/>
              </w:rPr>
              <w:t xml:space="preserve">  0.32 (tebuconazole)</w:t>
            </w:r>
          </w:p>
          <w:p w14:paraId="343797A2" w14:textId="77777777" w:rsidR="00692E71" w:rsidRPr="00275290" w:rsidRDefault="00692E71" w:rsidP="008E0250">
            <w:pPr>
              <w:jc w:val="center"/>
              <w:rPr>
                <w:rFonts w:cs="Arial"/>
                <w:sz w:val="18"/>
                <w:szCs w:val="18"/>
              </w:rPr>
            </w:pPr>
            <w:r w:rsidRPr="00275290">
              <w:rPr>
                <w:rFonts w:cs="Arial"/>
                <w:sz w:val="18"/>
                <w:szCs w:val="18"/>
              </w:rPr>
              <w:t xml:space="preserve">  1.2*10</w:t>
            </w:r>
            <w:r w:rsidRPr="00275290">
              <w:rPr>
                <w:rFonts w:cs="Arial"/>
                <w:sz w:val="18"/>
                <w:szCs w:val="18"/>
                <w:vertAlign w:val="superscript"/>
              </w:rPr>
              <w:t xml:space="preserve">-5 </w:t>
            </w:r>
            <w:r w:rsidRPr="00275290">
              <w:rPr>
                <w:rFonts w:cs="Arial"/>
                <w:sz w:val="18"/>
                <w:szCs w:val="18"/>
              </w:rPr>
              <w:t>(cypermethrin)</w:t>
            </w:r>
          </w:p>
        </w:tc>
        <w:tc>
          <w:tcPr>
            <w:tcW w:w="1134" w:type="dxa"/>
            <w:vAlign w:val="center"/>
          </w:tcPr>
          <w:p w14:paraId="53C10355"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86" w:type="dxa"/>
            <w:vAlign w:val="center"/>
          </w:tcPr>
          <w:p w14:paraId="2EA9B9C8"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0B59954E" w14:textId="77777777" w:rsidTr="008E0250">
        <w:trPr>
          <w:cantSplit/>
        </w:trPr>
        <w:tc>
          <w:tcPr>
            <w:tcW w:w="3369" w:type="dxa"/>
            <w:vAlign w:val="center"/>
          </w:tcPr>
          <w:p w14:paraId="4CDF62BD" w14:textId="77777777" w:rsidR="00692E71" w:rsidRPr="00275290" w:rsidRDefault="00692E71" w:rsidP="008E0250">
            <w:pPr>
              <w:rPr>
                <w:rFonts w:cs="Arial"/>
                <w:sz w:val="18"/>
                <w:szCs w:val="18"/>
              </w:rPr>
            </w:pPr>
            <w:r w:rsidRPr="00275290">
              <w:rPr>
                <w:rFonts w:cs="Arial"/>
                <w:sz w:val="18"/>
                <w:szCs w:val="18"/>
              </w:rPr>
              <w:t>Combined concentration in pore water over a longer</w:t>
            </w:r>
          </w:p>
          <w:p w14:paraId="30DBD0D7" w14:textId="77777777" w:rsidR="00692E71" w:rsidRPr="00275290" w:rsidRDefault="00692E71" w:rsidP="008E0250">
            <w:pPr>
              <w:rPr>
                <w:rFonts w:cs="Arial"/>
                <w:sz w:val="18"/>
                <w:szCs w:val="18"/>
                <w:lang w:val="fr-FR"/>
              </w:rPr>
            </w:pPr>
            <w:r w:rsidRPr="00275290">
              <w:rPr>
                <w:rFonts w:cs="Arial"/>
                <w:sz w:val="18"/>
                <w:szCs w:val="18"/>
                <w:lang w:val="fr-FR"/>
              </w:rPr>
              <w:t>duration (1825d), non-professional application</w:t>
            </w:r>
          </w:p>
        </w:tc>
        <w:tc>
          <w:tcPr>
            <w:tcW w:w="2018" w:type="dxa"/>
            <w:vAlign w:val="center"/>
          </w:tcPr>
          <w:p w14:paraId="7BE79C52"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126" w:type="dxa"/>
            <w:vAlign w:val="center"/>
          </w:tcPr>
          <w:p w14:paraId="7F64FC48" w14:textId="77777777" w:rsidR="00692E71" w:rsidRPr="00275290" w:rsidRDefault="00692E71" w:rsidP="008E0250">
            <w:pPr>
              <w:jc w:val="center"/>
              <w:rPr>
                <w:rFonts w:cs="Arial"/>
                <w:sz w:val="18"/>
                <w:szCs w:val="18"/>
              </w:rPr>
            </w:pPr>
            <w:r w:rsidRPr="00275290">
              <w:rPr>
                <w:rFonts w:cs="Arial"/>
                <w:sz w:val="18"/>
                <w:szCs w:val="18"/>
              </w:rPr>
              <w:t>3.1*10</w:t>
            </w:r>
            <w:r w:rsidRPr="00275290">
              <w:rPr>
                <w:rFonts w:cs="Arial"/>
                <w:sz w:val="18"/>
                <w:szCs w:val="18"/>
                <w:vertAlign w:val="superscript"/>
              </w:rPr>
              <w:t>-4</w:t>
            </w:r>
            <w:r w:rsidRPr="00275290">
              <w:rPr>
                <w:rFonts w:cs="Arial"/>
                <w:sz w:val="18"/>
                <w:szCs w:val="18"/>
              </w:rPr>
              <w:t xml:space="preserve"> (IPBC)</w:t>
            </w:r>
          </w:p>
          <w:p w14:paraId="602F5828" w14:textId="77777777" w:rsidR="00692E71" w:rsidRPr="00275290" w:rsidRDefault="00692E71" w:rsidP="008E0250">
            <w:pPr>
              <w:jc w:val="center"/>
              <w:rPr>
                <w:rFonts w:cs="Arial"/>
                <w:sz w:val="18"/>
                <w:szCs w:val="18"/>
              </w:rPr>
            </w:pPr>
            <w:r w:rsidRPr="00275290">
              <w:rPr>
                <w:rFonts w:cs="Arial"/>
                <w:sz w:val="18"/>
                <w:szCs w:val="18"/>
              </w:rPr>
              <w:t xml:space="preserve"> 1.56 (propiconazole)</w:t>
            </w:r>
          </w:p>
          <w:p w14:paraId="1355D611" w14:textId="77777777" w:rsidR="00692E71" w:rsidRPr="00275290" w:rsidRDefault="00692E71" w:rsidP="008E0250">
            <w:pPr>
              <w:jc w:val="center"/>
              <w:rPr>
                <w:rFonts w:cs="Arial"/>
                <w:sz w:val="18"/>
                <w:szCs w:val="18"/>
              </w:rPr>
            </w:pPr>
            <w:r w:rsidRPr="00275290">
              <w:rPr>
                <w:rFonts w:cs="Arial"/>
                <w:sz w:val="18"/>
                <w:szCs w:val="18"/>
              </w:rPr>
              <w:t xml:space="preserve">  0.32 (tebuconazole)</w:t>
            </w:r>
          </w:p>
          <w:p w14:paraId="5F02145A" w14:textId="77777777" w:rsidR="00692E71" w:rsidRPr="00275290" w:rsidRDefault="00692E71" w:rsidP="008E0250">
            <w:pPr>
              <w:jc w:val="center"/>
              <w:rPr>
                <w:rFonts w:cs="Arial"/>
                <w:sz w:val="18"/>
                <w:szCs w:val="18"/>
              </w:rPr>
            </w:pPr>
            <w:r w:rsidRPr="00275290">
              <w:rPr>
                <w:rFonts w:cs="Arial"/>
                <w:sz w:val="18"/>
                <w:szCs w:val="18"/>
              </w:rPr>
              <w:t xml:space="preserve">  1.2*10</w:t>
            </w:r>
            <w:r w:rsidRPr="00275290">
              <w:rPr>
                <w:rFonts w:cs="Arial"/>
                <w:sz w:val="18"/>
                <w:szCs w:val="18"/>
                <w:vertAlign w:val="superscript"/>
              </w:rPr>
              <w:t xml:space="preserve">-5 </w:t>
            </w:r>
            <w:r w:rsidRPr="00275290">
              <w:rPr>
                <w:rFonts w:cs="Arial"/>
                <w:sz w:val="18"/>
                <w:szCs w:val="18"/>
              </w:rPr>
              <w:t>(cypermethrin)</w:t>
            </w:r>
          </w:p>
        </w:tc>
        <w:tc>
          <w:tcPr>
            <w:tcW w:w="1134" w:type="dxa"/>
            <w:vAlign w:val="center"/>
          </w:tcPr>
          <w:p w14:paraId="6DD3BA27"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86" w:type="dxa"/>
            <w:vAlign w:val="center"/>
          </w:tcPr>
          <w:p w14:paraId="6E9954DD" w14:textId="77777777" w:rsidR="00692E71" w:rsidRPr="00275290" w:rsidRDefault="00692E71" w:rsidP="008E0250">
            <w:pPr>
              <w:jc w:val="center"/>
              <w:rPr>
                <w:rFonts w:cs="Arial"/>
                <w:sz w:val="18"/>
                <w:szCs w:val="18"/>
              </w:rPr>
            </w:pPr>
            <w:r w:rsidRPr="00275290">
              <w:rPr>
                <w:rFonts w:cs="Arial"/>
                <w:sz w:val="18"/>
                <w:szCs w:val="18"/>
              </w:rPr>
              <w:t>O</w:t>
            </w:r>
          </w:p>
        </w:tc>
      </w:tr>
    </w:tbl>
    <w:p w14:paraId="06C17DEC" w14:textId="77777777" w:rsidR="00692E71" w:rsidRPr="00275290" w:rsidRDefault="00692E71" w:rsidP="00692E71">
      <w:pPr>
        <w:rPr>
          <w:rFonts w:cs="Arial"/>
        </w:rPr>
      </w:pPr>
    </w:p>
    <w:p w14:paraId="48087D22" w14:textId="77777777" w:rsidR="00692E71" w:rsidRPr="00275290" w:rsidRDefault="00692E71" w:rsidP="00692E71">
      <w:pPr>
        <w:rPr>
          <w:rFonts w:cs="Arial"/>
          <w:iCs/>
        </w:rPr>
      </w:pPr>
      <w:r w:rsidRPr="00275290">
        <w:rPr>
          <w:rFonts w:cs="Arial"/>
          <w:iCs/>
          <w:u w:val="single"/>
        </w:rPr>
        <w:t>Calculations (IPBC and non-professional application used as an example)</w:t>
      </w:r>
      <w:r w:rsidRPr="00275290">
        <w:rPr>
          <w:rFonts w:cs="Arial"/>
          <w:iCs/>
        </w:rPr>
        <w:t>:</w:t>
      </w:r>
    </w:p>
    <w:p w14:paraId="08B55640" w14:textId="77777777" w:rsidR="00692E71" w:rsidRPr="00275290" w:rsidRDefault="00692E71" w:rsidP="00692E71">
      <w:pPr>
        <w:rPr>
          <w:rFonts w:cs="Arial"/>
          <w:iCs/>
        </w:rPr>
      </w:pPr>
    </w:p>
    <w:p w14:paraId="2FBA8102" w14:textId="77777777" w:rsidR="00692E71" w:rsidRPr="00275290" w:rsidRDefault="00692E71" w:rsidP="00692E71">
      <w:pPr>
        <w:rPr>
          <w:rFonts w:cs="Arial"/>
        </w:rPr>
      </w:pPr>
      <w:r w:rsidRPr="00275290">
        <w:rPr>
          <w:rFonts w:cs="Arial"/>
          <w:iCs/>
        </w:rPr>
        <w:t>The average concentration in the pore water can be calculated as</w:t>
      </w:r>
      <w:r w:rsidRPr="00275290">
        <w:rPr>
          <w:rFonts w:cs="Arial"/>
        </w:rPr>
        <w:t>:</w:t>
      </w:r>
    </w:p>
    <w:p w14:paraId="20F40691" w14:textId="77777777" w:rsidR="00692E71" w:rsidRPr="00275290" w:rsidRDefault="00692E71" w:rsidP="00692E71">
      <w:pPr>
        <w:rPr>
          <w:rFonts w:cs="Arial"/>
          <w:iCs/>
        </w:rPr>
      </w:pPr>
    </w:p>
    <w:p w14:paraId="4CAC9E2D"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xml:space="preserve">= </w:t>
      </w:r>
      <w:r w:rsidRPr="00275290">
        <w:rPr>
          <w:rFonts w:cs="Arial"/>
        </w:rPr>
        <w:t>Clocal</w:t>
      </w:r>
      <w:r w:rsidRPr="00275290">
        <w:rPr>
          <w:rFonts w:cs="Arial"/>
          <w:vertAlign w:val="subscript"/>
        </w:rPr>
        <w:t xml:space="preserve">soil,total, rem </w:t>
      </w:r>
      <w:r w:rsidRPr="00275290">
        <w:rPr>
          <w:rFonts w:cs="Arial"/>
          <w:iCs/>
          <w:vertAlign w:val="subscript"/>
        </w:rPr>
        <w:t xml:space="preserve">time1 </w:t>
      </w:r>
      <w:r w:rsidRPr="00275290">
        <w:rPr>
          <w:rFonts w:cs="Arial"/>
          <w:iCs/>
        </w:rPr>
        <w:t>*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153CF25A" w14:textId="77777777" w:rsidR="00692E71" w:rsidRPr="00275290" w:rsidRDefault="00692E71" w:rsidP="00692E71">
      <w:pPr>
        <w:rPr>
          <w:rFonts w:cs="Arial"/>
          <w:iCs/>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xml:space="preserve">= </w:t>
      </w:r>
      <w:r w:rsidRPr="00275290">
        <w:rPr>
          <w:rFonts w:cs="Arial"/>
        </w:rPr>
        <w:t>2.4*10</w:t>
      </w:r>
      <w:r w:rsidRPr="00275290">
        <w:rPr>
          <w:rFonts w:cs="Arial"/>
          <w:vertAlign w:val="superscript"/>
        </w:rPr>
        <w:t>-5</w:t>
      </w:r>
      <w:r w:rsidRPr="00275290">
        <w:rPr>
          <w:rFonts w:cs="Arial"/>
          <w:iCs/>
        </w:rPr>
        <w:t xml:space="preserve"> * 1700 / 3.98</w:t>
      </w:r>
    </w:p>
    <w:p w14:paraId="5E2A1D8B" w14:textId="77777777" w:rsidR="00692E71" w:rsidRPr="00275290" w:rsidRDefault="00692E71" w:rsidP="00692E71">
      <w:pPr>
        <w:rPr>
          <w:rFonts w:cs="Arial"/>
          <w:iCs/>
        </w:rPr>
      </w:pPr>
      <w:r w:rsidRPr="00275290">
        <w:rPr>
          <w:rFonts w:cs="Arial"/>
          <w:iCs/>
        </w:rPr>
        <w:t>Clocal</w:t>
      </w:r>
      <w:r w:rsidRPr="00275290">
        <w:rPr>
          <w:rFonts w:cs="Arial"/>
          <w:iCs/>
          <w:vertAlign w:val="subscript"/>
        </w:rPr>
        <w:t>pore</w:t>
      </w:r>
      <w:proofErr w:type="gramStart"/>
      <w:r w:rsidRPr="00275290">
        <w:rPr>
          <w:rFonts w:cs="Arial"/>
          <w:iCs/>
          <w:vertAlign w:val="subscript"/>
        </w:rPr>
        <w:t>,time1</w:t>
      </w:r>
      <w:proofErr w:type="gramEnd"/>
      <w:r w:rsidRPr="00275290">
        <w:rPr>
          <w:rFonts w:cs="Arial"/>
          <w:iCs/>
          <w:vertAlign w:val="subscript"/>
        </w:rPr>
        <w:t xml:space="preserve"> </w:t>
      </w:r>
      <w:r w:rsidRPr="00275290">
        <w:rPr>
          <w:rFonts w:cs="Arial"/>
          <w:iCs/>
        </w:rPr>
        <w:t xml:space="preserve">= 0.01 </w:t>
      </w:r>
      <w:r w:rsidRPr="00275290">
        <w:rPr>
          <w:rFonts w:cs="Arial"/>
        </w:rPr>
        <w:t>µg.L</w:t>
      </w:r>
      <w:r w:rsidRPr="00275290">
        <w:rPr>
          <w:rFonts w:cs="Arial"/>
          <w:vertAlign w:val="superscript"/>
        </w:rPr>
        <w:t>-1</w:t>
      </w:r>
    </w:p>
    <w:p w14:paraId="10BC35D7" w14:textId="77777777" w:rsidR="00692E71" w:rsidRPr="00575E63" w:rsidRDefault="00692E71" w:rsidP="00692E71">
      <w:pPr>
        <w:rPr>
          <w:rFonts w:ascii="Arial" w:hAnsi="Arial" w:cs="Arial"/>
          <w:b/>
        </w:rPr>
      </w:pPr>
    </w:p>
    <w:p w14:paraId="1F6A3281" w14:textId="77777777" w:rsidR="00692E71" w:rsidRPr="00FE333D" w:rsidRDefault="00692E71" w:rsidP="003356DA">
      <w:pPr>
        <w:pStyle w:val="Titre7"/>
        <w:rPr>
          <w:lang w:val="en-US"/>
        </w:rPr>
      </w:pPr>
      <w:bookmarkStart w:id="136" w:name="_Toc452669001"/>
      <w:r w:rsidRPr="00FE333D">
        <w:rPr>
          <w:lang w:val="en-US"/>
        </w:rPr>
        <w:t>Bridge over Pond, combined concentrations from in-situ (brushing) treatment and in-service</w:t>
      </w:r>
      <w:bookmarkEnd w:id="136"/>
    </w:p>
    <w:p w14:paraId="48203795" w14:textId="77777777" w:rsidR="00692E71" w:rsidRPr="001E3185" w:rsidRDefault="00692E71" w:rsidP="00692E71">
      <w:pPr>
        <w:rPr>
          <w:rFonts w:cs="Arial"/>
        </w:rPr>
      </w:pPr>
    </w:p>
    <w:p w14:paraId="17013C3A" w14:textId="77777777" w:rsidR="00692E71" w:rsidRPr="001E3185" w:rsidRDefault="00692E71" w:rsidP="00692E71">
      <w:pPr>
        <w:rPr>
          <w:rFonts w:cs="Arial"/>
        </w:rPr>
      </w:pPr>
      <w:r w:rsidRPr="001E3185">
        <w:rPr>
          <w:rFonts w:cs="Arial"/>
        </w:rPr>
        <w:t xml:space="preserve">The combined concentrations in water resulting from application </w:t>
      </w:r>
      <w:r w:rsidRPr="001E3185">
        <w:rPr>
          <w:rFonts w:cs="Arial"/>
          <w:i/>
        </w:rPr>
        <w:t>in-situ</w:t>
      </w:r>
      <w:r w:rsidRPr="001E3185">
        <w:rPr>
          <w:rFonts w:cs="Arial"/>
        </w:rPr>
        <w:t xml:space="preserve"> (brushing) and leaching of treated wood </w:t>
      </w:r>
      <w:r w:rsidRPr="001E3185">
        <w:rPr>
          <w:rFonts w:cs="Arial"/>
          <w:i/>
        </w:rPr>
        <w:t>in-service</w:t>
      </w:r>
      <w:r w:rsidRPr="001E3185">
        <w:rPr>
          <w:rFonts w:cs="Arial"/>
        </w:rPr>
        <w:t xml:space="preserve"> based on the bridge over pond scenario are shown in the following tables.</w:t>
      </w:r>
    </w:p>
    <w:p w14:paraId="25704288" w14:textId="77777777" w:rsidR="00692E71" w:rsidRPr="001E3185" w:rsidRDefault="00692E71" w:rsidP="00692E71">
      <w:pPr>
        <w:rPr>
          <w:rFonts w:cs="Arial"/>
        </w:rPr>
      </w:pPr>
    </w:p>
    <w:p w14:paraId="5EB51D7E" w14:textId="77777777" w:rsidR="00692E71" w:rsidRPr="001E3185" w:rsidRDefault="00692E71" w:rsidP="00692E71">
      <w:pPr>
        <w:rPr>
          <w:rFonts w:cs="Arial"/>
        </w:rPr>
      </w:pPr>
      <w:r w:rsidRPr="001E3185">
        <w:rPr>
          <w:rFonts w:cs="Arial"/>
        </w:rPr>
        <w:t xml:space="preserve">- </w:t>
      </w:r>
      <w:r w:rsidRPr="001E3185">
        <w:rPr>
          <w:rFonts w:cs="Arial"/>
          <w:b/>
        </w:rPr>
        <w:t>Combined concentrations not taking removal into account, Bridge over pond scenario</w:t>
      </w:r>
    </w:p>
    <w:p w14:paraId="65394C8E" w14:textId="77777777" w:rsidR="00692E71" w:rsidRPr="001E3185" w:rsidRDefault="00692E71" w:rsidP="00692E71">
      <w:pPr>
        <w:rPr>
          <w:rFonts w:cs="Arial"/>
        </w:rPr>
      </w:pPr>
    </w:p>
    <w:p w14:paraId="623ABEFF" w14:textId="77777777" w:rsidR="00692E71" w:rsidRPr="001E3185" w:rsidRDefault="00692E71" w:rsidP="00692E71">
      <w:pPr>
        <w:pStyle w:val="Lgende"/>
        <w:spacing w:after="0"/>
        <w:rPr>
          <w:rFonts w:ascii="Verdana" w:hAnsi="Verdana"/>
          <w:b/>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25</w:t>
      </w:r>
      <w:r w:rsidRPr="001E3185">
        <w:rPr>
          <w:rFonts w:ascii="Verdana" w:hAnsi="Verdana"/>
        </w:rPr>
        <w:fldChar w:fldCharType="end"/>
      </w:r>
      <w:r w:rsidRPr="001E3185">
        <w:rPr>
          <w:rFonts w:ascii="Verdana" w:hAnsi="Verdana"/>
        </w:rPr>
        <w:t xml:space="preserve">: Combined concentration in water from </w:t>
      </w:r>
      <w:r w:rsidRPr="001E3185">
        <w:rPr>
          <w:rFonts w:ascii="Verdana" w:hAnsi="Verdana"/>
          <w:i/>
        </w:rPr>
        <w:t>in-situ</w:t>
      </w:r>
      <w:r w:rsidRPr="001E3185">
        <w:rPr>
          <w:rFonts w:ascii="Verdana" w:hAnsi="Verdana"/>
        </w:rPr>
        <w:t xml:space="preserve"> (brushing) and </w:t>
      </w:r>
      <w:r w:rsidRPr="001E3185">
        <w:rPr>
          <w:rFonts w:ascii="Verdana" w:hAnsi="Verdana"/>
          <w:i/>
        </w:rPr>
        <w:t>in-service</w:t>
      </w:r>
      <w:r w:rsidRPr="001E3185">
        <w:rPr>
          <w:rFonts w:ascii="Verdana" w:hAnsi="Verdana"/>
        </w:rPr>
        <w:t xml:space="preserve"> (bridge over pond). </w:t>
      </w:r>
    </w:p>
    <w:tbl>
      <w:tblPr>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842"/>
        <w:gridCol w:w="2127"/>
        <w:gridCol w:w="1134"/>
        <w:gridCol w:w="786"/>
      </w:tblGrid>
      <w:tr w:rsidR="00692E71" w:rsidRPr="001E3185" w14:paraId="1A3DD792" w14:textId="77777777" w:rsidTr="008E0250">
        <w:trPr>
          <w:trHeight w:val="283"/>
          <w:tblHeader/>
        </w:trPr>
        <w:tc>
          <w:tcPr>
            <w:tcW w:w="3369" w:type="dxa"/>
            <w:shd w:val="clear" w:color="auto" w:fill="D9D9D9" w:themeFill="background1" w:themeFillShade="D9"/>
            <w:vAlign w:val="center"/>
          </w:tcPr>
          <w:p w14:paraId="02BE2D8F" w14:textId="77777777" w:rsidR="00692E71" w:rsidRPr="001E3185" w:rsidRDefault="00692E71" w:rsidP="008E0250">
            <w:pPr>
              <w:jc w:val="center"/>
              <w:rPr>
                <w:rFonts w:cs="Arial"/>
                <w:sz w:val="18"/>
                <w:szCs w:val="18"/>
                <w:highlight w:val="yellow"/>
              </w:rPr>
            </w:pPr>
            <w:r w:rsidRPr="001E3185">
              <w:rPr>
                <w:rFonts w:cs="Arial"/>
                <w:sz w:val="18"/>
                <w:szCs w:val="18"/>
              </w:rPr>
              <w:t>Parameter/variable</w:t>
            </w:r>
          </w:p>
        </w:tc>
        <w:tc>
          <w:tcPr>
            <w:tcW w:w="1842" w:type="dxa"/>
            <w:shd w:val="clear" w:color="auto" w:fill="D9D9D9" w:themeFill="background1" w:themeFillShade="D9"/>
            <w:vAlign w:val="center"/>
          </w:tcPr>
          <w:p w14:paraId="54E67029" w14:textId="77777777" w:rsidR="00692E71" w:rsidRPr="001E3185" w:rsidRDefault="00692E71" w:rsidP="008E0250">
            <w:pPr>
              <w:jc w:val="center"/>
              <w:rPr>
                <w:rFonts w:cs="Arial"/>
                <w:sz w:val="18"/>
                <w:szCs w:val="18"/>
              </w:rPr>
            </w:pPr>
            <w:r w:rsidRPr="001E3185">
              <w:rPr>
                <w:rFonts w:cs="Arial"/>
                <w:sz w:val="18"/>
                <w:szCs w:val="18"/>
              </w:rPr>
              <w:t>Nomenclature</w:t>
            </w:r>
          </w:p>
        </w:tc>
        <w:tc>
          <w:tcPr>
            <w:tcW w:w="2127" w:type="dxa"/>
            <w:shd w:val="clear" w:color="auto" w:fill="D9D9D9" w:themeFill="background1" w:themeFillShade="D9"/>
            <w:vAlign w:val="center"/>
          </w:tcPr>
          <w:p w14:paraId="2769AAFE" w14:textId="77777777" w:rsidR="00692E71" w:rsidRPr="001E3185" w:rsidRDefault="00692E71" w:rsidP="008E0250">
            <w:pPr>
              <w:jc w:val="center"/>
              <w:rPr>
                <w:rFonts w:cs="Arial"/>
                <w:sz w:val="18"/>
                <w:szCs w:val="18"/>
              </w:rPr>
            </w:pPr>
            <w:r w:rsidRPr="001E3185">
              <w:rPr>
                <w:rFonts w:cs="Arial"/>
                <w:sz w:val="18"/>
                <w:szCs w:val="18"/>
              </w:rPr>
              <w:t>Value</w:t>
            </w:r>
          </w:p>
        </w:tc>
        <w:tc>
          <w:tcPr>
            <w:tcW w:w="1134" w:type="dxa"/>
            <w:shd w:val="clear" w:color="auto" w:fill="D9D9D9" w:themeFill="background1" w:themeFillShade="D9"/>
            <w:vAlign w:val="center"/>
          </w:tcPr>
          <w:p w14:paraId="1BD19171" w14:textId="77777777" w:rsidR="00692E71" w:rsidRPr="001E3185" w:rsidRDefault="00692E71" w:rsidP="008E0250">
            <w:pPr>
              <w:jc w:val="center"/>
              <w:rPr>
                <w:rFonts w:cs="Arial"/>
                <w:sz w:val="18"/>
                <w:szCs w:val="18"/>
              </w:rPr>
            </w:pPr>
            <w:r w:rsidRPr="001E3185">
              <w:rPr>
                <w:rFonts w:cs="Arial"/>
                <w:sz w:val="18"/>
                <w:szCs w:val="18"/>
              </w:rPr>
              <w:t>Unit</w:t>
            </w:r>
          </w:p>
        </w:tc>
        <w:tc>
          <w:tcPr>
            <w:tcW w:w="786" w:type="dxa"/>
            <w:shd w:val="clear" w:color="auto" w:fill="D9D9D9" w:themeFill="background1" w:themeFillShade="D9"/>
            <w:vAlign w:val="center"/>
          </w:tcPr>
          <w:p w14:paraId="51C5543F" w14:textId="77777777" w:rsidR="00692E71" w:rsidRPr="001E3185" w:rsidRDefault="00692E71" w:rsidP="008E0250">
            <w:pPr>
              <w:jc w:val="center"/>
              <w:rPr>
                <w:rFonts w:cs="Arial"/>
                <w:sz w:val="18"/>
                <w:szCs w:val="18"/>
              </w:rPr>
            </w:pPr>
            <w:r w:rsidRPr="001E3185">
              <w:rPr>
                <w:rFonts w:cs="Arial"/>
                <w:sz w:val="18"/>
                <w:szCs w:val="18"/>
              </w:rPr>
              <w:t>Origin</w:t>
            </w:r>
          </w:p>
        </w:tc>
      </w:tr>
      <w:tr w:rsidR="00692E71" w:rsidRPr="001E3185" w14:paraId="4535FE03" w14:textId="77777777" w:rsidTr="008E0250">
        <w:trPr>
          <w:trHeight w:val="283"/>
        </w:trPr>
        <w:tc>
          <w:tcPr>
            <w:tcW w:w="9258" w:type="dxa"/>
            <w:gridSpan w:val="5"/>
            <w:vAlign w:val="center"/>
          </w:tcPr>
          <w:p w14:paraId="5183B7FB" w14:textId="77777777" w:rsidR="00692E71" w:rsidRPr="001E3185" w:rsidRDefault="00692E71" w:rsidP="008E0250">
            <w:pPr>
              <w:rPr>
                <w:rFonts w:cs="Arial"/>
                <w:b/>
                <w:sz w:val="18"/>
                <w:szCs w:val="18"/>
              </w:rPr>
            </w:pPr>
            <w:r w:rsidRPr="001E3185">
              <w:rPr>
                <w:rFonts w:cs="Arial"/>
                <w:b/>
                <w:sz w:val="18"/>
                <w:szCs w:val="18"/>
              </w:rPr>
              <w:t>OUTPUT EMISSION</w:t>
            </w:r>
          </w:p>
        </w:tc>
      </w:tr>
      <w:tr w:rsidR="00692E71" w:rsidRPr="001E3185" w14:paraId="2B4ADDAC" w14:textId="77777777" w:rsidTr="008E0250">
        <w:tc>
          <w:tcPr>
            <w:tcW w:w="3369" w:type="dxa"/>
            <w:vAlign w:val="center"/>
          </w:tcPr>
          <w:p w14:paraId="435E8D29" w14:textId="77777777" w:rsidR="00692E71" w:rsidRPr="001E3185" w:rsidRDefault="00692E71" w:rsidP="008E0250">
            <w:pPr>
              <w:rPr>
                <w:rFonts w:cs="Arial"/>
                <w:i/>
                <w:iCs/>
                <w:sz w:val="18"/>
                <w:szCs w:val="18"/>
              </w:rPr>
            </w:pPr>
            <w:r w:rsidRPr="001E3185">
              <w:rPr>
                <w:rFonts w:cs="Arial"/>
                <w:sz w:val="18"/>
                <w:szCs w:val="18"/>
              </w:rPr>
              <w:t>Combined concentrations in local water resulting from application (brushing) and leaching of treated wood (30d), professional application</w:t>
            </w:r>
          </w:p>
        </w:tc>
        <w:tc>
          <w:tcPr>
            <w:tcW w:w="1842" w:type="dxa"/>
            <w:vAlign w:val="center"/>
          </w:tcPr>
          <w:p w14:paraId="1D5A3018"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water,total, </w:t>
            </w:r>
            <w:r w:rsidRPr="001E3185">
              <w:rPr>
                <w:rFonts w:cs="Arial"/>
                <w:iCs/>
                <w:sz w:val="18"/>
                <w:szCs w:val="18"/>
                <w:vertAlign w:val="subscript"/>
              </w:rPr>
              <w:t>time1</w:t>
            </w:r>
          </w:p>
        </w:tc>
        <w:tc>
          <w:tcPr>
            <w:tcW w:w="2127" w:type="dxa"/>
            <w:vAlign w:val="center"/>
          </w:tcPr>
          <w:p w14:paraId="27F3C629" w14:textId="77777777" w:rsidR="00692E71" w:rsidRPr="001E3185" w:rsidRDefault="00692E71" w:rsidP="008E0250">
            <w:pPr>
              <w:jc w:val="center"/>
              <w:rPr>
                <w:rFonts w:cs="Arial"/>
                <w:sz w:val="18"/>
                <w:szCs w:val="18"/>
              </w:rPr>
            </w:pPr>
            <w:r w:rsidRPr="001E3185">
              <w:rPr>
                <w:rFonts w:cs="Arial"/>
                <w:sz w:val="18"/>
                <w:szCs w:val="18"/>
              </w:rPr>
              <w:t>0.08 (IPBC)</w:t>
            </w:r>
          </w:p>
          <w:p w14:paraId="4E05EAA3" w14:textId="77777777" w:rsidR="00692E71" w:rsidRPr="001E3185" w:rsidRDefault="00692E71" w:rsidP="008E0250">
            <w:pPr>
              <w:jc w:val="center"/>
              <w:rPr>
                <w:rFonts w:cs="Arial"/>
                <w:sz w:val="18"/>
                <w:szCs w:val="18"/>
              </w:rPr>
            </w:pPr>
            <w:r w:rsidRPr="001E3185">
              <w:rPr>
                <w:rFonts w:cs="Arial"/>
                <w:sz w:val="18"/>
                <w:szCs w:val="18"/>
              </w:rPr>
              <w:t>0.29 (propiconazole)</w:t>
            </w:r>
          </w:p>
          <w:p w14:paraId="54073D97" w14:textId="77777777" w:rsidR="00692E71" w:rsidRPr="001E3185" w:rsidRDefault="00692E71" w:rsidP="008E0250">
            <w:pPr>
              <w:jc w:val="center"/>
              <w:rPr>
                <w:rFonts w:cs="Arial"/>
                <w:sz w:val="18"/>
                <w:szCs w:val="18"/>
              </w:rPr>
            </w:pPr>
            <w:r w:rsidRPr="001E3185">
              <w:rPr>
                <w:rFonts w:cs="Arial"/>
                <w:sz w:val="18"/>
                <w:szCs w:val="18"/>
              </w:rPr>
              <w:t>0.12 (tebuconazole)</w:t>
            </w:r>
          </w:p>
          <w:p w14:paraId="34D2A38C" w14:textId="77777777" w:rsidR="00692E71" w:rsidRPr="001E3185" w:rsidRDefault="00692E71" w:rsidP="008E0250">
            <w:pPr>
              <w:jc w:val="center"/>
              <w:rPr>
                <w:rFonts w:cs="Arial"/>
                <w:sz w:val="18"/>
                <w:szCs w:val="18"/>
              </w:rPr>
            </w:pPr>
            <w:r w:rsidRPr="001E3185">
              <w:rPr>
                <w:rFonts w:cs="Arial"/>
                <w:sz w:val="18"/>
                <w:szCs w:val="18"/>
              </w:rPr>
              <w:t>0.04 (cypermethrin)</w:t>
            </w:r>
          </w:p>
        </w:tc>
        <w:tc>
          <w:tcPr>
            <w:tcW w:w="1134" w:type="dxa"/>
            <w:vAlign w:val="center"/>
          </w:tcPr>
          <w:p w14:paraId="0FD8F599" w14:textId="77777777" w:rsidR="00692E71" w:rsidRPr="001E3185" w:rsidRDefault="00692E71" w:rsidP="008E0250">
            <w:pPr>
              <w:jc w:val="center"/>
              <w:rPr>
                <w:rFonts w:cs="Arial"/>
                <w:i/>
                <w:iCs/>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1152A9DA"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496C78D5" w14:textId="77777777" w:rsidTr="008E0250">
        <w:trPr>
          <w:cantSplit/>
        </w:trPr>
        <w:tc>
          <w:tcPr>
            <w:tcW w:w="3369" w:type="dxa"/>
            <w:vAlign w:val="center"/>
          </w:tcPr>
          <w:p w14:paraId="7226E247" w14:textId="77777777" w:rsidR="00692E71" w:rsidRPr="001E3185" w:rsidRDefault="00692E71" w:rsidP="008E0250">
            <w:pPr>
              <w:rPr>
                <w:rFonts w:cs="Arial"/>
                <w:sz w:val="18"/>
                <w:szCs w:val="18"/>
              </w:rPr>
            </w:pPr>
            <w:r w:rsidRPr="001E3185">
              <w:rPr>
                <w:rFonts w:cs="Arial"/>
                <w:sz w:val="18"/>
                <w:szCs w:val="18"/>
              </w:rPr>
              <w:t>Combined concentrations in local water resulting from application (brushing) and leaching of treated wood (30d), non-professional application</w:t>
            </w:r>
          </w:p>
        </w:tc>
        <w:tc>
          <w:tcPr>
            <w:tcW w:w="1842" w:type="dxa"/>
            <w:vAlign w:val="center"/>
          </w:tcPr>
          <w:p w14:paraId="58C3B2FB"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water,total, </w:t>
            </w:r>
            <w:r w:rsidRPr="001E3185">
              <w:rPr>
                <w:rFonts w:cs="Arial"/>
                <w:iCs/>
                <w:sz w:val="18"/>
                <w:szCs w:val="18"/>
                <w:vertAlign w:val="subscript"/>
              </w:rPr>
              <w:t>time1</w:t>
            </w:r>
          </w:p>
        </w:tc>
        <w:tc>
          <w:tcPr>
            <w:tcW w:w="2127" w:type="dxa"/>
            <w:vAlign w:val="center"/>
          </w:tcPr>
          <w:p w14:paraId="66B62451" w14:textId="77777777" w:rsidR="00692E71" w:rsidRPr="001E3185" w:rsidRDefault="00692E71" w:rsidP="008E0250">
            <w:pPr>
              <w:jc w:val="center"/>
              <w:rPr>
                <w:rFonts w:cs="Arial"/>
                <w:sz w:val="18"/>
                <w:szCs w:val="18"/>
              </w:rPr>
            </w:pPr>
            <w:r w:rsidRPr="001E3185">
              <w:rPr>
                <w:rFonts w:cs="Arial"/>
                <w:sz w:val="18"/>
                <w:szCs w:val="18"/>
              </w:rPr>
              <w:t>0.10 (IPBC)</w:t>
            </w:r>
          </w:p>
          <w:p w14:paraId="749C2F29" w14:textId="77777777" w:rsidR="00692E71" w:rsidRPr="001E3185" w:rsidRDefault="00692E71" w:rsidP="008E0250">
            <w:pPr>
              <w:jc w:val="center"/>
              <w:rPr>
                <w:rFonts w:cs="Arial"/>
                <w:sz w:val="18"/>
                <w:szCs w:val="18"/>
              </w:rPr>
            </w:pPr>
            <w:r w:rsidRPr="001E3185">
              <w:rPr>
                <w:rFonts w:cs="Arial"/>
                <w:sz w:val="18"/>
                <w:szCs w:val="18"/>
              </w:rPr>
              <w:t>0.35 (propiconazole)</w:t>
            </w:r>
          </w:p>
          <w:p w14:paraId="26CA1BC7" w14:textId="77777777" w:rsidR="00692E71" w:rsidRPr="001E3185" w:rsidRDefault="00692E71" w:rsidP="008E0250">
            <w:pPr>
              <w:jc w:val="center"/>
              <w:rPr>
                <w:rFonts w:cs="Arial"/>
                <w:sz w:val="18"/>
                <w:szCs w:val="18"/>
              </w:rPr>
            </w:pPr>
            <w:r w:rsidRPr="001E3185">
              <w:rPr>
                <w:rFonts w:cs="Arial"/>
                <w:sz w:val="18"/>
                <w:szCs w:val="18"/>
              </w:rPr>
              <w:t>0.14 (tebuconazole)</w:t>
            </w:r>
          </w:p>
          <w:p w14:paraId="329859B7" w14:textId="77777777" w:rsidR="00692E71" w:rsidRPr="001E3185" w:rsidRDefault="00692E71" w:rsidP="008E0250">
            <w:pPr>
              <w:jc w:val="center"/>
              <w:rPr>
                <w:rFonts w:cs="Arial"/>
                <w:sz w:val="18"/>
                <w:szCs w:val="18"/>
              </w:rPr>
            </w:pPr>
            <w:r w:rsidRPr="001E3185">
              <w:rPr>
                <w:rFonts w:cs="Arial"/>
                <w:sz w:val="18"/>
                <w:szCs w:val="18"/>
              </w:rPr>
              <w:t>0.07 (cypermethrin)</w:t>
            </w:r>
          </w:p>
        </w:tc>
        <w:tc>
          <w:tcPr>
            <w:tcW w:w="1134" w:type="dxa"/>
            <w:vAlign w:val="center"/>
          </w:tcPr>
          <w:p w14:paraId="19B692B5"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0C26D956"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4E2CF4DE" w14:textId="77777777" w:rsidTr="008E0250">
        <w:tc>
          <w:tcPr>
            <w:tcW w:w="3369" w:type="dxa"/>
            <w:vAlign w:val="center"/>
          </w:tcPr>
          <w:p w14:paraId="61644CE2" w14:textId="77777777" w:rsidR="00692E71" w:rsidRPr="001E3185" w:rsidRDefault="00692E71" w:rsidP="008E0250">
            <w:pPr>
              <w:rPr>
                <w:rFonts w:cs="Arial"/>
                <w:sz w:val="18"/>
                <w:szCs w:val="18"/>
              </w:rPr>
            </w:pPr>
            <w:r w:rsidRPr="001E3185">
              <w:rPr>
                <w:rFonts w:cs="Arial"/>
                <w:sz w:val="18"/>
                <w:szCs w:val="18"/>
              </w:rPr>
              <w:lastRenderedPageBreak/>
              <w:t>Combined concentrations in local water resulting from application (brushing) and leaching of treated wood (1825d), professional application</w:t>
            </w:r>
          </w:p>
        </w:tc>
        <w:tc>
          <w:tcPr>
            <w:tcW w:w="1842" w:type="dxa"/>
            <w:vAlign w:val="center"/>
          </w:tcPr>
          <w:p w14:paraId="5FE65B35"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water,total,</w:t>
            </w:r>
            <w:r w:rsidRPr="001E3185">
              <w:rPr>
                <w:rFonts w:cs="Arial"/>
                <w:iCs/>
                <w:sz w:val="18"/>
                <w:szCs w:val="18"/>
                <w:vertAlign w:val="subscript"/>
              </w:rPr>
              <w:t xml:space="preserve"> time2</w:t>
            </w:r>
          </w:p>
        </w:tc>
        <w:tc>
          <w:tcPr>
            <w:tcW w:w="2127" w:type="dxa"/>
            <w:vAlign w:val="center"/>
          </w:tcPr>
          <w:p w14:paraId="2345E9AE" w14:textId="77777777" w:rsidR="00692E71" w:rsidRPr="001E3185" w:rsidRDefault="00692E71" w:rsidP="008E0250">
            <w:pPr>
              <w:jc w:val="center"/>
              <w:rPr>
                <w:rFonts w:cs="Arial"/>
                <w:sz w:val="18"/>
                <w:szCs w:val="18"/>
              </w:rPr>
            </w:pPr>
            <w:r w:rsidRPr="001E3185">
              <w:rPr>
                <w:rFonts w:cs="Arial"/>
                <w:sz w:val="18"/>
                <w:szCs w:val="18"/>
              </w:rPr>
              <w:t>0.17 (IPBC)</w:t>
            </w:r>
          </w:p>
          <w:p w14:paraId="4C22817E" w14:textId="77777777" w:rsidR="00692E71" w:rsidRPr="001E3185" w:rsidRDefault="00692E71" w:rsidP="008E0250">
            <w:pPr>
              <w:jc w:val="center"/>
              <w:rPr>
                <w:rFonts w:cs="Arial"/>
                <w:sz w:val="18"/>
                <w:szCs w:val="18"/>
              </w:rPr>
            </w:pPr>
            <w:r w:rsidRPr="001E3185">
              <w:rPr>
                <w:rFonts w:cs="Arial"/>
                <w:sz w:val="18"/>
                <w:szCs w:val="18"/>
              </w:rPr>
              <w:t>0.83 (propiconazole)</w:t>
            </w:r>
          </w:p>
          <w:p w14:paraId="62CE8AF9" w14:textId="77777777" w:rsidR="00692E71" w:rsidRPr="001E3185" w:rsidRDefault="00692E71" w:rsidP="008E0250">
            <w:pPr>
              <w:jc w:val="center"/>
              <w:rPr>
                <w:rFonts w:cs="Arial"/>
                <w:sz w:val="18"/>
                <w:szCs w:val="18"/>
              </w:rPr>
            </w:pPr>
            <w:r w:rsidRPr="001E3185">
              <w:rPr>
                <w:rFonts w:cs="Arial"/>
                <w:sz w:val="18"/>
                <w:szCs w:val="18"/>
              </w:rPr>
              <w:t>0.31 (tebuconazole)</w:t>
            </w:r>
          </w:p>
          <w:p w14:paraId="28B6683F" w14:textId="77777777" w:rsidR="00692E71" w:rsidRPr="001E3185" w:rsidRDefault="00692E71" w:rsidP="008E0250">
            <w:pPr>
              <w:jc w:val="center"/>
              <w:rPr>
                <w:rFonts w:cs="Arial"/>
                <w:sz w:val="18"/>
                <w:szCs w:val="18"/>
              </w:rPr>
            </w:pPr>
            <w:r w:rsidRPr="001E3185">
              <w:rPr>
                <w:rFonts w:cs="Arial"/>
                <w:sz w:val="18"/>
                <w:szCs w:val="18"/>
              </w:rPr>
              <w:t>0.06 (cypermethrin)</w:t>
            </w:r>
          </w:p>
        </w:tc>
        <w:tc>
          <w:tcPr>
            <w:tcW w:w="1134" w:type="dxa"/>
            <w:vAlign w:val="center"/>
          </w:tcPr>
          <w:p w14:paraId="78CA010A"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7896D9C3"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00748118" w14:textId="77777777" w:rsidTr="008E0250">
        <w:tc>
          <w:tcPr>
            <w:tcW w:w="3369" w:type="dxa"/>
            <w:vAlign w:val="center"/>
          </w:tcPr>
          <w:p w14:paraId="2DBAB933" w14:textId="77777777" w:rsidR="00692E71" w:rsidRPr="001E3185" w:rsidRDefault="00692E71" w:rsidP="008E0250">
            <w:pPr>
              <w:rPr>
                <w:rFonts w:cs="Arial"/>
                <w:sz w:val="18"/>
                <w:szCs w:val="18"/>
              </w:rPr>
            </w:pPr>
            <w:r w:rsidRPr="001E3185">
              <w:rPr>
                <w:rFonts w:cs="Arial"/>
                <w:sz w:val="18"/>
                <w:szCs w:val="18"/>
              </w:rPr>
              <w:t>Combined concentrations in local water resulting from application (brushing) and leaching of treated wood (1825d), non-professional application</w:t>
            </w:r>
          </w:p>
        </w:tc>
        <w:tc>
          <w:tcPr>
            <w:tcW w:w="1842" w:type="dxa"/>
            <w:vAlign w:val="center"/>
          </w:tcPr>
          <w:p w14:paraId="6F5F971E"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water,total,</w:t>
            </w:r>
            <w:r w:rsidRPr="001E3185">
              <w:rPr>
                <w:rFonts w:cs="Arial"/>
                <w:iCs/>
                <w:sz w:val="18"/>
                <w:szCs w:val="18"/>
                <w:vertAlign w:val="subscript"/>
              </w:rPr>
              <w:t xml:space="preserve"> time2</w:t>
            </w:r>
          </w:p>
        </w:tc>
        <w:tc>
          <w:tcPr>
            <w:tcW w:w="2127" w:type="dxa"/>
            <w:vAlign w:val="center"/>
          </w:tcPr>
          <w:p w14:paraId="41353F94" w14:textId="77777777" w:rsidR="00692E71" w:rsidRPr="001E3185" w:rsidRDefault="00692E71" w:rsidP="008E0250">
            <w:pPr>
              <w:jc w:val="center"/>
              <w:rPr>
                <w:rFonts w:cs="Arial"/>
                <w:sz w:val="18"/>
                <w:szCs w:val="18"/>
              </w:rPr>
            </w:pPr>
            <w:r w:rsidRPr="001E3185">
              <w:rPr>
                <w:rFonts w:cs="Arial"/>
                <w:sz w:val="18"/>
                <w:szCs w:val="18"/>
              </w:rPr>
              <w:t>0.19 (IPBC)</w:t>
            </w:r>
          </w:p>
          <w:p w14:paraId="32D4D6F9" w14:textId="77777777" w:rsidR="00692E71" w:rsidRPr="001E3185" w:rsidRDefault="00692E71" w:rsidP="008E0250">
            <w:pPr>
              <w:jc w:val="center"/>
              <w:rPr>
                <w:rFonts w:cs="Arial"/>
                <w:sz w:val="18"/>
                <w:szCs w:val="18"/>
              </w:rPr>
            </w:pPr>
            <w:r w:rsidRPr="001E3185">
              <w:rPr>
                <w:rFonts w:cs="Arial"/>
                <w:sz w:val="18"/>
                <w:szCs w:val="18"/>
              </w:rPr>
              <w:t>0.89 (propiconazole)</w:t>
            </w:r>
          </w:p>
          <w:p w14:paraId="2A47EFDE" w14:textId="77777777" w:rsidR="00692E71" w:rsidRPr="001E3185" w:rsidRDefault="00692E71" w:rsidP="008E0250">
            <w:pPr>
              <w:jc w:val="center"/>
              <w:rPr>
                <w:rFonts w:cs="Arial"/>
                <w:sz w:val="18"/>
                <w:szCs w:val="18"/>
              </w:rPr>
            </w:pPr>
            <w:r w:rsidRPr="001E3185">
              <w:rPr>
                <w:rFonts w:cs="Arial"/>
                <w:sz w:val="18"/>
                <w:szCs w:val="18"/>
              </w:rPr>
              <w:t>0.33 (tebuconazole)</w:t>
            </w:r>
          </w:p>
          <w:p w14:paraId="24C9D039" w14:textId="77777777" w:rsidR="00692E71" w:rsidRPr="001E3185" w:rsidRDefault="00692E71" w:rsidP="008E0250">
            <w:pPr>
              <w:jc w:val="center"/>
              <w:rPr>
                <w:rFonts w:cs="Arial"/>
                <w:sz w:val="18"/>
                <w:szCs w:val="18"/>
              </w:rPr>
            </w:pPr>
            <w:r w:rsidRPr="001E3185">
              <w:rPr>
                <w:rFonts w:cs="Arial"/>
                <w:sz w:val="18"/>
                <w:szCs w:val="18"/>
              </w:rPr>
              <w:t>0.09 (cypermethrin)</w:t>
            </w:r>
          </w:p>
        </w:tc>
        <w:tc>
          <w:tcPr>
            <w:tcW w:w="1134" w:type="dxa"/>
            <w:vAlign w:val="center"/>
          </w:tcPr>
          <w:p w14:paraId="6D45D380"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2ACFC991" w14:textId="77777777" w:rsidR="00692E71" w:rsidRPr="001E3185" w:rsidRDefault="00692E71" w:rsidP="008E0250">
            <w:pPr>
              <w:jc w:val="center"/>
              <w:rPr>
                <w:rFonts w:cs="Arial"/>
                <w:sz w:val="18"/>
                <w:szCs w:val="18"/>
              </w:rPr>
            </w:pPr>
            <w:r w:rsidRPr="001E3185">
              <w:rPr>
                <w:rFonts w:cs="Arial"/>
                <w:sz w:val="18"/>
                <w:szCs w:val="18"/>
              </w:rPr>
              <w:t>O</w:t>
            </w:r>
          </w:p>
        </w:tc>
      </w:tr>
    </w:tbl>
    <w:p w14:paraId="108918CA" w14:textId="77777777" w:rsidR="00692E71" w:rsidRPr="001E3185" w:rsidRDefault="00692E71" w:rsidP="00692E71">
      <w:pPr>
        <w:rPr>
          <w:rFonts w:cs="Arial"/>
          <w:iCs/>
        </w:rPr>
      </w:pPr>
    </w:p>
    <w:p w14:paraId="7688B128" w14:textId="77777777" w:rsidR="00692E71" w:rsidRPr="001E3185" w:rsidRDefault="00692E71" w:rsidP="00692E71">
      <w:pPr>
        <w:rPr>
          <w:rFonts w:cs="Arial"/>
          <w:iCs/>
        </w:rPr>
      </w:pPr>
      <w:r w:rsidRPr="001E3185">
        <w:rPr>
          <w:rFonts w:cs="Arial"/>
          <w:iCs/>
          <w:u w:val="single"/>
        </w:rPr>
        <w:t>Calculations (IPBC and non-professional application used as an example)</w:t>
      </w:r>
      <w:r w:rsidRPr="001E3185">
        <w:rPr>
          <w:rFonts w:cs="Arial"/>
          <w:iCs/>
        </w:rPr>
        <w:t>:</w:t>
      </w:r>
    </w:p>
    <w:p w14:paraId="75014493" w14:textId="77777777" w:rsidR="00692E71" w:rsidRPr="001E3185" w:rsidRDefault="00692E71" w:rsidP="00692E71">
      <w:pPr>
        <w:rPr>
          <w:rFonts w:cs="Arial"/>
        </w:rPr>
      </w:pPr>
    </w:p>
    <w:p w14:paraId="4CB0B95B" w14:textId="77777777" w:rsidR="00692E71" w:rsidRPr="001E3185" w:rsidRDefault="00692E71" w:rsidP="00692E71">
      <w:pPr>
        <w:rPr>
          <w:rFonts w:cs="Arial"/>
          <w:vertAlign w:val="subscript"/>
        </w:rPr>
      </w:pPr>
      <w:r w:rsidRPr="001E3185">
        <w:rPr>
          <w:rFonts w:cs="Arial"/>
        </w:rPr>
        <w:t>Clocal</w:t>
      </w:r>
      <w:r w:rsidRPr="001E3185">
        <w:rPr>
          <w:rFonts w:cs="Arial"/>
          <w:vertAlign w:val="subscript"/>
        </w:rPr>
        <w:t>water</w:t>
      </w:r>
      <w:proofErr w:type="gramStart"/>
      <w:r w:rsidRPr="001E3185">
        <w:rPr>
          <w:rFonts w:cs="Arial"/>
          <w:vertAlign w:val="subscript"/>
        </w:rPr>
        <w:t>,total</w:t>
      </w:r>
      <w:proofErr w:type="gramEnd"/>
      <w:r w:rsidRPr="001E3185">
        <w:rPr>
          <w:rFonts w:cs="Arial"/>
          <w:vertAlign w:val="subscript"/>
        </w:rPr>
        <w:t xml:space="preserve">, </w:t>
      </w:r>
      <w:r w:rsidRPr="001E3185">
        <w:rPr>
          <w:rFonts w:cs="Arial"/>
          <w:iCs/>
          <w:vertAlign w:val="subscript"/>
        </w:rPr>
        <w:t xml:space="preserve">time1 </w:t>
      </w:r>
      <w:r w:rsidRPr="001E3185">
        <w:rPr>
          <w:rFonts w:cs="Arial"/>
          <w:iCs/>
        </w:rPr>
        <w:t xml:space="preserve">= </w:t>
      </w:r>
      <w:r w:rsidRPr="001E3185">
        <w:rPr>
          <w:rFonts w:cs="Arial"/>
        </w:rPr>
        <w:t>Clocal</w:t>
      </w:r>
      <w:r w:rsidRPr="001E3185">
        <w:rPr>
          <w:rFonts w:cs="Arial"/>
          <w:vertAlign w:val="subscript"/>
        </w:rPr>
        <w:t>water,brush</w:t>
      </w:r>
      <w:r w:rsidRPr="001E3185">
        <w:rPr>
          <w:rFonts w:cs="Arial"/>
        </w:rPr>
        <w:t xml:space="preserve"> + Clocal</w:t>
      </w:r>
      <w:r w:rsidRPr="001E3185">
        <w:rPr>
          <w:rFonts w:cs="Arial"/>
          <w:vertAlign w:val="subscript"/>
        </w:rPr>
        <w:t>water,leach,time 1</w:t>
      </w:r>
    </w:p>
    <w:p w14:paraId="32C3BEF0" w14:textId="77777777" w:rsidR="00692E71" w:rsidRPr="001E3185" w:rsidRDefault="00692E71" w:rsidP="00692E71">
      <w:pPr>
        <w:rPr>
          <w:rFonts w:cs="Arial"/>
          <w:iCs/>
        </w:rPr>
      </w:pPr>
      <w:r w:rsidRPr="001E3185">
        <w:rPr>
          <w:rFonts w:cs="Arial"/>
        </w:rPr>
        <w:t>Clocal</w:t>
      </w:r>
      <w:r w:rsidRPr="001E3185">
        <w:rPr>
          <w:rFonts w:cs="Arial"/>
          <w:vertAlign w:val="subscript"/>
        </w:rPr>
        <w:t>water</w:t>
      </w:r>
      <w:proofErr w:type="gramStart"/>
      <w:r w:rsidRPr="001E3185">
        <w:rPr>
          <w:rFonts w:cs="Arial"/>
          <w:vertAlign w:val="subscript"/>
        </w:rPr>
        <w:t>,total</w:t>
      </w:r>
      <w:proofErr w:type="gramEnd"/>
      <w:r w:rsidRPr="001E3185">
        <w:rPr>
          <w:rFonts w:cs="Arial"/>
          <w:vertAlign w:val="subscript"/>
        </w:rPr>
        <w:t xml:space="preserve">, </w:t>
      </w:r>
      <w:r w:rsidRPr="001E3185">
        <w:rPr>
          <w:rFonts w:cs="Arial"/>
          <w:iCs/>
          <w:vertAlign w:val="subscript"/>
        </w:rPr>
        <w:t xml:space="preserve">time1 </w:t>
      </w:r>
      <w:r w:rsidRPr="001E3185">
        <w:rPr>
          <w:rFonts w:cs="Arial"/>
          <w:iCs/>
        </w:rPr>
        <w:t>= 0.05 + 0.05</w:t>
      </w:r>
    </w:p>
    <w:p w14:paraId="1A80BFBA" w14:textId="77777777" w:rsidR="00692E71" w:rsidRPr="001E3185" w:rsidRDefault="00692E71" w:rsidP="00692E71">
      <w:pPr>
        <w:rPr>
          <w:rFonts w:cs="Arial"/>
          <w:iCs/>
          <w:vertAlign w:val="subscript"/>
        </w:rPr>
      </w:pPr>
      <w:r w:rsidRPr="001E3185">
        <w:rPr>
          <w:rFonts w:cs="Arial"/>
        </w:rPr>
        <w:t>Clocal</w:t>
      </w:r>
      <w:r w:rsidRPr="001E3185">
        <w:rPr>
          <w:rFonts w:cs="Arial"/>
          <w:vertAlign w:val="subscript"/>
        </w:rPr>
        <w:t>water</w:t>
      </w:r>
      <w:proofErr w:type="gramStart"/>
      <w:r w:rsidRPr="001E3185">
        <w:rPr>
          <w:rFonts w:cs="Arial"/>
          <w:vertAlign w:val="subscript"/>
        </w:rPr>
        <w:t>,total</w:t>
      </w:r>
      <w:proofErr w:type="gramEnd"/>
      <w:r w:rsidRPr="001E3185">
        <w:rPr>
          <w:rFonts w:cs="Arial"/>
          <w:vertAlign w:val="subscript"/>
        </w:rPr>
        <w:t xml:space="preserve">, </w:t>
      </w:r>
      <w:r w:rsidRPr="001E3185">
        <w:rPr>
          <w:rFonts w:cs="Arial"/>
          <w:iCs/>
          <w:vertAlign w:val="subscript"/>
        </w:rPr>
        <w:t xml:space="preserve">time1 </w:t>
      </w:r>
      <w:r w:rsidRPr="001E3185">
        <w:rPr>
          <w:rFonts w:cs="Arial"/>
          <w:iCs/>
        </w:rPr>
        <w:t xml:space="preserve">= 0.10 </w:t>
      </w:r>
      <w:r w:rsidRPr="001E3185">
        <w:rPr>
          <w:rFonts w:cs="Arial"/>
        </w:rPr>
        <w:t>µg/L.</w:t>
      </w:r>
    </w:p>
    <w:p w14:paraId="5848016F" w14:textId="77777777" w:rsidR="00692E71" w:rsidRPr="001E3185" w:rsidRDefault="00692E71" w:rsidP="00692E71">
      <w:pPr>
        <w:rPr>
          <w:rFonts w:cs="Arial"/>
          <w:b/>
        </w:rPr>
      </w:pPr>
    </w:p>
    <w:p w14:paraId="5D6BE85F" w14:textId="77777777" w:rsidR="00692E71" w:rsidRPr="001E3185" w:rsidRDefault="00692E71" w:rsidP="00692E71">
      <w:pPr>
        <w:rPr>
          <w:rFonts w:cs="Arial"/>
        </w:rPr>
      </w:pPr>
      <w:r w:rsidRPr="001E3185">
        <w:rPr>
          <w:rFonts w:cs="Arial"/>
        </w:rPr>
        <w:t xml:space="preserve">- </w:t>
      </w:r>
      <w:r w:rsidRPr="001E3185">
        <w:rPr>
          <w:rFonts w:cs="Arial"/>
          <w:b/>
        </w:rPr>
        <w:t>Combined concentrations taking removal into account, Bridge over pond scenario</w:t>
      </w:r>
    </w:p>
    <w:p w14:paraId="0FBE77AE" w14:textId="77777777" w:rsidR="00692E71" w:rsidRPr="001E3185" w:rsidRDefault="00692E71" w:rsidP="00692E71">
      <w:pPr>
        <w:rPr>
          <w:rFonts w:cs="Arial"/>
        </w:rPr>
      </w:pPr>
    </w:p>
    <w:p w14:paraId="190208A8" w14:textId="77777777" w:rsidR="00692E71" w:rsidRPr="001E3185" w:rsidRDefault="00692E71" w:rsidP="00692E71">
      <w:pPr>
        <w:rPr>
          <w:rFonts w:cs="Arial"/>
        </w:rPr>
      </w:pPr>
      <w:r w:rsidRPr="001E3185">
        <w:rPr>
          <w:rFonts w:cs="Arial"/>
        </w:rPr>
        <w:t>* Combined concentrations in surface water</w:t>
      </w:r>
    </w:p>
    <w:p w14:paraId="7E12E294" w14:textId="77777777" w:rsidR="00692E71" w:rsidRPr="001E3185" w:rsidRDefault="00692E71" w:rsidP="00692E71">
      <w:pPr>
        <w:rPr>
          <w:rFonts w:cs="Arial"/>
        </w:rPr>
      </w:pPr>
    </w:p>
    <w:p w14:paraId="358B47E5" w14:textId="77777777" w:rsidR="00692E71" w:rsidRPr="001E3185" w:rsidRDefault="00692E71" w:rsidP="00692E71">
      <w:pPr>
        <w:rPr>
          <w:rFonts w:cs="Arial"/>
        </w:rPr>
      </w:pPr>
      <w:r w:rsidRPr="001E3185">
        <w:rPr>
          <w:rFonts w:cs="Arial"/>
        </w:rPr>
        <w:t xml:space="preserve">In a second tier, concentrations in water taking removal into account were calculated based on the model described in section 3.4.2.1 of the revised ESD (equation 3.18 and 3.19). </w:t>
      </w:r>
    </w:p>
    <w:p w14:paraId="3B51E70C" w14:textId="77777777" w:rsidR="00692E71" w:rsidRPr="001E3185" w:rsidRDefault="00692E71" w:rsidP="00692E71">
      <w:pPr>
        <w:rPr>
          <w:rFonts w:cs="Arial"/>
        </w:rPr>
      </w:pPr>
    </w:p>
    <w:p w14:paraId="50197C71" w14:textId="77777777" w:rsidR="00692E71" w:rsidRPr="001E3185" w:rsidRDefault="00692E71" w:rsidP="00692E71">
      <w:pPr>
        <w:snapToGrid w:val="0"/>
        <w:rPr>
          <w:rFonts w:cs="Arial"/>
        </w:rPr>
      </w:pPr>
      <w:r w:rsidRPr="001E3185">
        <w:rPr>
          <w:rFonts w:cs="Arial"/>
        </w:rPr>
        <w:t>For releases into a static water body, the removal from the water column due to adsorption onto sus</w:t>
      </w:r>
      <w:r w:rsidRPr="001E3185">
        <w:rPr>
          <w:rFonts w:cs="Arial"/>
        </w:rPr>
        <w:softHyphen/>
        <w:t>pended matter and into sediment can be significant. To take this phenomenon into account, equation 3.18 and 3.19 of the ESD was adapted.</w:t>
      </w:r>
    </w:p>
    <w:p w14:paraId="7CC7E705" w14:textId="77777777" w:rsidR="00692E71" w:rsidRPr="001E3185" w:rsidRDefault="00692E71" w:rsidP="00692E71">
      <w:pPr>
        <w:snapToGrid w:val="0"/>
        <w:rPr>
          <w:rFonts w:cs="Arial"/>
        </w:rPr>
      </w:pPr>
      <w:r w:rsidRPr="001E3185">
        <w:rPr>
          <w:rFonts w:cs="Arial"/>
        </w:rPr>
        <w:t>The calculations are shown in section 3.3.2.4.4 and the resulting water concentrations taking into account removal processes over Time1 (30 days) and Time2 (1825 days) are presented below.</w:t>
      </w:r>
    </w:p>
    <w:p w14:paraId="1BF6A135" w14:textId="77777777" w:rsidR="00692E71" w:rsidRPr="001E3185" w:rsidRDefault="00692E71" w:rsidP="00692E71">
      <w:pPr>
        <w:snapToGrid w:val="0"/>
        <w:rPr>
          <w:rFonts w:cs="Arial"/>
        </w:rPr>
      </w:pPr>
    </w:p>
    <w:p w14:paraId="5F93216E" w14:textId="77777777" w:rsidR="00692E71" w:rsidRPr="001E3185" w:rsidRDefault="00692E71" w:rsidP="00692E71">
      <w:pPr>
        <w:pStyle w:val="Lgende"/>
        <w:spacing w:after="0"/>
        <w:rPr>
          <w:rFonts w:ascii="Verdana" w:hAnsi="Verdana"/>
          <w:b/>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26</w:t>
      </w:r>
      <w:r w:rsidRPr="001E3185">
        <w:rPr>
          <w:rFonts w:ascii="Verdana" w:hAnsi="Verdana"/>
        </w:rPr>
        <w:fldChar w:fldCharType="end"/>
      </w:r>
      <w:r w:rsidRPr="001E3185">
        <w:rPr>
          <w:rFonts w:ascii="Verdana" w:hAnsi="Verdana"/>
        </w:rPr>
        <w:t xml:space="preserve">: Combined concentration in water from </w:t>
      </w:r>
      <w:r w:rsidRPr="001E3185">
        <w:rPr>
          <w:rFonts w:ascii="Verdana" w:hAnsi="Verdana"/>
          <w:i/>
        </w:rPr>
        <w:t>in-situ</w:t>
      </w:r>
      <w:r w:rsidRPr="001E3185">
        <w:rPr>
          <w:rFonts w:ascii="Verdana" w:hAnsi="Verdana"/>
        </w:rPr>
        <w:t xml:space="preserve"> (brushing) and </w:t>
      </w:r>
      <w:r w:rsidRPr="001E3185">
        <w:rPr>
          <w:rFonts w:ascii="Verdana" w:hAnsi="Verdana"/>
          <w:i/>
        </w:rPr>
        <w:t>in-service</w:t>
      </w:r>
      <w:r w:rsidRPr="001E3185">
        <w:rPr>
          <w:rFonts w:ascii="Verdana" w:hAnsi="Verdana"/>
        </w:rPr>
        <w:t xml:space="preserve"> taking removal into account (bridge over pond).</w:t>
      </w:r>
    </w:p>
    <w:tbl>
      <w:tblPr>
        <w:tblW w:w="9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531"/>
        <w:gridCol w:w="2409"/>
        <w:gridCol w:w="993"/>
        <w:gridCol w:w="790"/>
      </w:tblGrid>
      <w:tr w:rsidR="00692E71" w:rsidRPr="001E3185" w14:paraId="2A6D42E4" w14:textId="77777777" w:rsidTr="008E0250">
        <w:trPr>
          <w:trHeight w:val="283"/>
        </w:trPr>
        <w:tc>
          <w:tcPr>
            <w:tcW w:w="3539" w:type="dxa"/>
            <w:shd w:val="clear" w:color="auto" w:fill="D9D9D9" w:themeFill="background1" w:themeFillShade="D9"/>
            <w:vAlign w:val="center"/>
          </w:tcPr>
          <w:p w14:paraId="2A765520" w14:textId="77777777" w:rsidR="00692E71" w:rsidRPr="001E3185" w:rsidRDefault="00692E71" w:rsidP="008E0250">
            <w:pPr>
              <w:rPr>
                <w:rFonts w:cs="Arial"/>
                <w:sz w:val="18"/>
                <w:szCs w:val="18"/>
              </w:rPr>
            </w:pPr>
            <w:r w:rsidRPr="001E3185">
              <w:rPr>
                <w:rFonts w:cs="Arial"/>
                <w:sz w:val="18"/>
                <w:szCs w:val="18"/>
              </w:rPr>
              <w:t>Parameter/variable</w:t>
            </w:r>
          </w:p>
        </w:tc>
        <w:tc>
          <w:tcPr>
            <w:tcW w:w="1531" w:type="dxa"/>
            <w:shd w:val="clear" w:color="auto" w:fill="D9D9D9" w:themeFill="background1" w:themeFillShade="D9"/>
            <w:vAlign w:val="center"/>
          </w:tcPr>
          <w:p w14:paraId="18AC7023" w14:textId="77777777" w:rsidR="00692E71" w:rsidRPr="001E3185" w:rsidRDefault="00692E71" w:rsidP="008E0250">
            <w:pPr>
              <w:jc w:val="center"/>
              <w:rPr>
                <w:rFonts w:cs="Arial"/>
                <w:sz w:val="18"/>
                <w:szCs w:val="18"/>
              </w:rPr>
            </w:pPr>
            <w:r w:rsidRPr="001E3185">
              <w:rPr>
                <w:rFonts w:cs="Arial"/>
                <w:sz w:val="18"/>
                <w:szCs w:val="18"/>
              </w:rPr>
              <w:t>Nomenclature</w:t>
            </w:r>
          </w:p>
        </w:tc>
        <w:tc>
          <w:tcPr>
            <w:tcW w:w="2409" w:type="dxa"/>
            <w:shd w:val="clear" w:color="auto" w:fill="D9D9D9" w:themeFill="background1" w:themeFillShade="D9"/>
            <w:vAlign w:val="center"/>
          </w:tcPr>
          <w:p w14:paraId="2A56BB71" w14:textId="77777777" w:rsidR="00692E71" w:rsidRPr="001E3185" w:rsidRDefault="00692E71" w:rsidP="008E0250">
            <w:pPr>
              <w:jc w:val="center"/>
              <w:rPr>
                <w:rFonts w:cs="Arial"/>
                <w:sz w:val="18"/>
                <w:szCs w:val="18"/>
              </w:rPr>
            </w:pPr>
            <w:r w:rsidRPr="001E3185">
              <w:rPr>
                <w:rFonts w:cs="Arial"/>
                <w:sz w:val="18"/>
                <w:szCs w:val="18"/>
              </w:rPr>
              <w:t>Value</w:t>
            </w:r>
          </w:p>
        </w:tc>
        <w:tc>
          <w:tcPr>
            <w:tcW w:w="993" w:type="dxa"/>
            <w:shd w:val="clear" w:color="auto" w:fill="D9D9D9" w:themeFill="background1" w:themeFillShade="D9"/>
            <w:vAlign w:val="center"/>
          </w:tcPr>
          <w:p w14:paraId="5C61B7E3" w14:textId="77777777" w:rsidR="00692E71" w:rsidRPr="001E3185" w:rsidRDefault="00692E71" w:rsidP="008E0250">
            <w:pPr>
              <w:jc w:val="center"/>
              <w:rPr>
                <w:rFonts w:cs="Arial"/>
                <w:sz w:val="18"/>
                <w:szCs w:val="18"/>
              </w:rPr>
            </w:pPr>
            <w:r w:rsidRPr="001E3185">
              <w:rPr>
                <w:rFonts w:cs="Arial"/>
                <w:sz w:val="18"/>
                <w:szCs w:val="18"/>
              </w:rPr>
              <w:t>Unit</w:t>
            </w:r>
          </w:p>
        </w:tc>
        <w:tc>
          <w:tcPr>
            <w:tcW w:w="790" w:type="dxa"/>
            <w:shd w:val="clear" w:color="auto" w:fill="D9D9D9" w:themeFill="background1" w:themeFillShade="D9"/>
            <w:vAlign w:val="center"/>
          </w:tcPr>
          <w:p w14:paraId="2BD87780" w14:textId="77777777" w:rsidR="00692E71" w:rsidRPr="001E3185" w:rsidRDefault="00692E71" w:rsidP="008E0250">
            <w:pPr>
              <w:jc w:val="center"/>
              <w:rPr>
                <w:rFonts w:cs="Arial"/>
                <w:sz w:val="18"/>
                <w:szCs w:val="18"/>
              </w:rPr>
            </w:pPr>
            <w:r w:rsidRPr="001E3185">
              <w:rPr>
                <w:rFonts w:cs="Arial"/>
                <w:sz w:val="18"/>
                <w:szCs w:val="18"/>
              </w:rPr>
              <w:t>Origin</w:t>
            </w:r>
          </w:p>
        </w:tc>
      </w:tr>
      <w:tr w:rsidR="00692E71" w:rsidRPr="001E3185" w14:paraId="2B982BD7" w14:textId="77777777" w:rsidTr="008E0250">
        <w:trPr>
          <w:trHeight w:val="283"/>
        </w:trPr>
        <w:tc>
          <w:tcPr>
            <w:tcW w:w="9262" w:type="dxa"/>
            <w:gridSpan w:val="5"/>
            <w:vAlign w:val="center"/>
          </w:tcPr>
          <w:p w14:paraId="3CABF30E" w14:textId="77777777" w:rsidR="00692E71" w:rsidRPr="001E3185" w:rsidRDefault="00692E71" w:rsidP="008E0250">
            <w:pPr>
              <w:rPr>
                <w:rFonts w:cs="Arial"/>
                <w:b/>
                <w:sz w:val="18"/>
                <w:szCs w:val="18"/>
              </w:rPr>
            </w:pPr>
            <w:r w:rsidRPr="001E3185">
              <w:rPr>
                <w:rFonts w:cs="Arial"/>
                <w:b/>
                <w:sz w:val="18"/>
                <w:szCs w:val="18"/>
              </w:rPr>
              <w:t>INPUTS</w:t>
            </w:r>
          </w:p>
        </w:tc>
      </w:tr>
      <w:tr w:rsidR="00692E71" w:rsidRPr="001E3185" w14:paraId="2DA5235B" w14:textId="77777777" w:rsidTr="008E0250">
        <w:tc>
          <w:tcPr>
            <w:tcW w:w="3539" w:type="dxa"/>
            <w:vAlign w:val="center"/>
          </w:tcPr>
          <w:p w14:paraId="07D6A316" w14:textId="77777777" w:rsidR="00692E71" w:rsidRPr="001E3185" w:rsidRDefault="00692E71" w:rsidP="008E0250">
            <w:pPr>
              <w:rPr>
                <w:rFonts w:cs="Arial"/>
                <w:i/>
                <w:iCs/>
                <w:sz w:val="18"/>
                <w:szCs w:val="18"/>
              </w:rPr>
            </w:pPr>
            <w:r w:rsidRPr="001E3185">
              <w:rPr>
                <w:rFonts w:cs="Arial"/>
                <w:sz w:val="18"/>
                <w:szCs w:val="18"/>
              </w:rPr>
              <w:t>Volume of sediment compartment</w:t>
            </w:r>
          </w:p>
        </w:tc>
        <w:tc>
          <w:tcPr>
            <w:tcW w:w="1531" w:type="dxa"/>
            <w:vAlign w:val="center"/>
          </w:tcPr>
          <w:p w14:paraId="503B3D83" w14:textId="77777777" w:rsidR="00692E71" w:rsidRPr="001E3185" w:rsidRDefault="00692E71" w:rsidP="008E0250">
            <w:pPr>
              <w:rPr>
                <w:rFonts w:cs="Arial"/>
                <w:sz w:val="18"/>
                <w:szCs w:val="18"/>
              </w:rPr>
            </w:pPr>
            <w:r w:rsidRPr="001E3185">
              <w:rPr>
                <w:rFonts w:cs="Arial"/>
                <w:sz w:val="18"/>
                <w:szCs w:val="18"/>
              </w:rPr>
              <w:t>V</w:t>
            </w:r>
            <w:r w:rsidRPr="001E3185">
              <w:rPr>
                <w:rFonts w:cs="Arial"/>
                <w:sz w:val="18"/>
                <w:szCs w:val="18"/>
                <w:vertAlign w:val="subscript"/>
              </w:rPr>
              <w:t>sed</w:t>
            </w:r>
          </w:p>
        </w:tc>
        <w:tc>
          <w:tcPr>
            <w:tcW w:w="2409" w:type="dxa"/>
            <w:vAlign w:val="center"/>
          </w:tcPr>
          <w:p w14:paraId="0BB39F1D" w14:textId="77777777" w:rsidR="00692E71" w:rsidRPr="001E3185" w:rsidRDefault="00692E71" w:rsidP="008E0250">
            <w:pPr>
              <w:jc w:val="center"/>
              <w:rPr>
                <w:rFonts w:cs="Arial"/>
                <w:sz w:val="18"/>
                <w:szCs w:val="18"/>
              </w:rPr>
            </w:pPr>
            <w:r w:rsidRPr="001E3185">
              <w:rPr>
                <w:rFonts w:cs="Arial"/>
                <w:sz w:val="18"/>
                <w:szCs w:val="18"/>
              </w:rPr>
              <w:t>1.5</w:t>
            </w:r>
          </w:p>
        </w:tc>
        <w:tc>
          <w:tcPr>
            <w:tcW w:w="993" w:type="dxa"/>
            <w:vAlign w:val="center"/>
          </w:tcPr>
          <w:p w14:paraId="04EBCAD2" w14:textId="77777777" w:rsidR="00692E71" w:rsidRPr="001E3185" w:rsidRDefault="00692E71" w:rsidP="008E0250">
            <w:pPr>
              <w:jc w:val="center"/>
              <w:rPr>
                <w:rFonts w:cs="Arial"/>
                <w:i/>
                <w:iCs/>
                <w:sz w:val="18"/>
                <w:szCs w:val="18"/>
              </w:rPr>
            </w:pPr>
            <w:r w:rsidRPr="001E3185">
              <w:rPr>
                <w:rFonts w:cs="Arial"/>
                <w:sz w:val="18"/>
                <w:szCs w:val="18"/>
              </w:rPr>
              <w:t>[m</w:t>
            </w:r>
            <w:r w:rsidRPr="001E3185">
              <w:rPr>
                <w:rFonts w:cs="Arial"/>
                <w:sz w:val="18"/>
                <w:szCs w:val="18"/>
                <w:vertAlign w:val="superscript"/>
              </w:rPr>
              <w:t>3</w:t>
            </w:r>
            <w:r w:rsidRPr="001E3185">
              <w:rPr>
                <w:rFonts w:cs="Arial"/>
                <w:sz w:val="18"/>
                <w:szCs w:val="18"/>
              </w:rPr>
              <w:t>]</w:t>
            </w:r>
          </w:p>
        </w:tc>
        <w:tc>
          <w:tcPr>
            <w:tcW w:w="790" w:type="dxa"/>
            <w:vAlign w:val="center"/>
          </w:tcPr>
          <w:p w14:paraId="64D07F01" w14:textId="77777777" w:rsidR="00692E71" w:rsidRPr="001E3185" w:rsidRDefault="00692E71" w:rsidP="008E0250">
            <w:pPr>
              <w:jc w:val="center"/>
              <w:rPr>
                <w:rFonts w:cs="Arial"/>
                <w:sz w:val="18"/>
                <w:szCs w:val="18"/>
              </w:rPr>
            </w:pPr>
            <w:r w:rsidRPr="001E3185">
              <w:rPr>
                <w:rFonts w:cs="Arial"/>
                <w:sz w:val="18"/>
                <w:szCs w:val="18"/>
              </w:rPr>
              <w:t>D</w:t>
            </w:r>
          </w:p>
        </w:tc>
      </w:tr>
      <w:tr w:rsidR="00692E71" w:rsidRPr="001E3185" w14:paraId="4AA0BDC2" w14:textId="77777777" w:rsidTr="008E0250">
        <w:tc>
          <w:tcPr>
            <w:tcW w:w="3539" w:type="dxa"/>
            <w:vAlign w:val="center"/>
          </w:tcPr>
          <w:p w14:paraId="334A134E" w14:textId="77777777" w:rsidR="00692E71" w:rsidRPr="001E3185" w:rsidRDefault="00692E71" w:rsidP="008E0250">
            <w:pPr>
              <w:rPr>
                <w:rFonts w:cs="Arial"/>
                <w:sz w:val="18"/>
                <w:szCs w:val="18"/>
              </w:rPr>
            </w:pPr>
            <w:r w:rsidRPr="001E3185">
              <w:rPr>
                <w:rFonts w:cs="Arial"/>
                <w:sz w:val="18"/>
                <w:szCs w:val="18"/>
              </w:rPr>
              <w:t>Total sediment – water partitioning coefficients</w:t>
            </w:r>
          </w:p>
        </w:tc>
        <w:tc>
          <w:tcPr>
            <w:tcW w:w="1531" w:type="dxa"/>
            <w:vAlign w:val="center"/>
          </w:tcPr>
          <w:p w14:paraId="3BD3687C" w14:textId="77777777" w:rsidR="00692E71" w:rsidRPr="001E3185" w:rsidRDefault="00692E71" w:rsidP="008E0250">
            <w:pPr>
              <w:rPr>
                <w:rFonts w:cs="Arial"/>
                <w:sz w:val="18"/>
                <w:szCs w:val="18"/>
              </w:rPr>
            </w:pPr>
            <w:r w:rsidRPr="001E3185">
              <w:rPr>
                <w:rFonts w:cs="Arial"/>
                <w:sz w:val="18"/>
                <w:szCs w:val="18"/>
              </w:rPr>
              <w:t>K</w:t>
            </w:r>
            <w:r w:rsidRPr="001E3185">
              <w:rPr>
                <w:rFonts w:cs="Arial"/>
                <w:sz w:val="18"/>
                <w:szCs w:val="18"/>
                <w:vertAlign w:val="subscript"/>
              </w:rPr>
              <w:t>sed-water</w:t>
            </w:r>
          </w:p>
        </w:tc>
        <w:tc>
          <w:tcPr>
            <w:tcW w:w="2409" w:type="dxa"/>
            <w:vAlign w:val="center"/>
          </w:tcPr>
          <w:p w14:paraId="385C2C06" w14:textId="77777777" w:rsidR="00692E71" w:rsidRPr="001E3185" w:rsidRDefault="00692E71" w:rsidP="008E0250">
            <w:pPr>
              <w:jc w:val="center"/>
              <w:rPr>
                <w:rFonts w:cs="Arial"/>
                <w:sz w:val="18"/>
                <w:szCs w:val="18"/>
              </w:rPr>
            </w:pPr>
            <w:r w:rsidRPr="001E3185">
              <w:rPr>
                <w:rFonts w:cs="Arial"/>
                <w:sz w:val="18"/>
                <w:szCs w:val="18"/>
              </w:rPr>
              <w:t>3.95 (IPBC)</w:t>
            </w:r>
          </w:p>
          <w:p w14:paraId="4311A6E4" w14:textId="77777777" w:rsidR="00692E71" w:rsidRPr="001E3185" w:rsidRDefault="00692E71" w:rsidP="008E0250">
            <w:pPr>
              <w:jc w:val="center"/>
              <w:rPr>
                <w:rFonts w:cs="Arial"/>
                <w:sz w:val="18"/>
                <w:szCs w:val="18"/>
              </w:rPr>
            </w:pPr>
            <w:r w:rsidRPr="001E3185">
              <w:rPr>
                <w:rFonts w:cs="Arial"/>
                <w:sz w:val="18"/>
                <w:szCs w:val="18"/>
              </w:rPr>
              <w:t>24.4 (propiconazole)</w:t>
            </w:r>
          </w:p>
          <w:p w14:paraId="173C41F6" w14:textId="77777777" w:rsidR="00692E71" w:rsidRPr="001E3185" w:rsidRDefault="00692E71" w:rsidP="008E0250">
            <w:pPr>
              <w:jc w:val="center"/>
              <w:rPr>
                <w:rFonts w:cs="Arial"/>
                <w:sz w:val="18"/>
                <w:szCs w:val="18"/>
              </w:rPr>
            </w:pPr>
            <w:r w:rsidRPr="001E3185">
              <w:rPr>
                <w:rFonts w:cs="Arial"/>
                <w:sz w:val="18"/>
                <w:szCs w:val="18"/>
              </w:rPr>
              <w:t xml:space="preserve">  25.6 (tebuconazole)</w:t>
            </w:r>
          </w:p>
          <w:p w14:paraId="7DBB38A1" w14:textId="77777777" w:rsidR="00692E71" w:rsidRPr="001E3185" w:rsidRDefault="00692E71" w:rsidP="008E0250">
            <w:pPr>
              <w:jc w:val="center"/>
              <w:rPr>
                <w:rFonts w:cs="Arial"/>
                <w:sz w:val="18"/>
                <w:szCs w:val="18"/>
                <w:highlight w:val="lightGray"/>
              </w:rPr>
            </w:pPr>
            <w:r w:rsidRPr="001E3185">
              <w:rPr>
                <w:rFonts w:cs="Arial"/>
                <w:sz w:val="18"/>
                <w:szCs w:val="18"/>
              </w:rPr>
              <w:t>14376 (cypermethrin</w:t>
            </w:r>
            <w:r w:rsidRPr="001E3185">
              <w:rPr>
                <w:rFonts w:cs="Arial"/>
                <w:sz w:val="18"/>
                <w:szCs w:val="18"/>
                <w:highlight w:val="lightGray"/>
              </w:rPr>
              <w:t>)</w:t>
            </w:r>
          </w:p>
        </w:tc>
        <w:tc>
          <w:tcPr>
            <w:tcW w:w="993" w:type="dxa"/>
            <w:vAlign w:val="center"/>
          </w:tcPr>
          <w:p w14:paraId="12787685" w14:textId="77777777" w:rsidR="00692E71" w:rsidRPr="001E3185" w:rsidRDefault="00692E71" w:rsidP="008E0250">
            <w:pPr>
              <w:jc w:val="center"/>
              <w:rPr>
                <w:rFonts w:cs="Arial"/>
                <w:sz w:val="18"/>
                <w:szCs w:val="18"/>
              </w:rPr>
            </w:pPr>
            <w:r w:rsidRPr="001E3185">
              <w:rPr>
                <w:rFonts w:cs="Arial"/>
                <w:sz w:val="18"/>
                <w:szCs w:val="18"/>
              </w:rPr>
              <w:t>[m</w:t>
            </w:r>
            <w:r w:rsidRPr="001E3185">
              <w:rPr>
                <w:rFonts w:cs="Arial"/>
                <w:sz w:val="18"/>
                <w:szCs w:val="18"/>
                <w:vertAlign w:val="superscript"/>
              </w:rPr>
              <w:t>3</w:t>
            </w:r>
            <w:r w:rsidRPr="001E3185">
              <w:rPr>
                <w:rFonts w:cs="Arial"/>
                <w:sz w:val="18"/>
                <w:szCs w:val="18"/>
              </w:rPr>
              <w:t>.m</w:t>
            </w:r>
            <w:r w:rsidRPr="001E3185">
              <w:rPr>
                <w:rFonts w:cs="Arial"/>
                <w:sz w:val="18"/>
                <w:szCs w:val="18"/>
                <w:vertAlign w:val="superscript"/>
              </w:rPr>
              <w:t>-3</w:t>
            </w:r>
            <w:r w:rsidRPr="001E3185">
              <w:rPr>
                <w:rFonts w:cs="Arial"/>
                <w:sz w:val="18"/>
                <w:szCs w:val="18"/>
              </w:rPr>
              <w:t>]</w:t>
            </w:r>
          </w:p>
        </w:tc>
        <w:tc>
          <w:tcPr>
            <w:tcW w:w="790" w:type="dxa"/>
            <w:vAlign w:val="center"/>
          </w:tcPr>
          <w:p w14:paraId="326793E0" w14:textId="77777777" w:rsidR="00692E71" w:rsidRPr="001E3185" w:rsidRDefault="00692E71" w:rsidP="008E0250">
            <w:pPr>
              <w:jc w:val="center"/>
              <w:rPr>
                <w:rFonts w:cs="Arial"/>
                <w:sz w:val="18"/>
                <w:szCs w:val="18"/>
              </w:rPr>
            </w:pPr>
            <w:r w:rsidRPr="001E3185">
              <w:rPr>
                <w:rFonts w:cs="Arial"/>
                <w:sz w:val="18"/>
                <w:szCs w:val="18"/>
              </w:rPr>
              <w:t>S</w:t>
            </w:r>
          </w:p>
        </w:tc>
      </w:tr>
      <w:tr w:rsidR="00692E71" w:rsidRPr="001E3185" w14:paraId="580CBF57" w14:textId="77777777" w:rsidTr="008E0250">
        <w:tc>
          <w:tcPr>
            <w:tcW w:w="3539" w:type="dxa"/>
            <w:vAlign w:val="center"/>
          </w:tcPr>
          <w:p w14:paraId="139C9CF6" w14:textId="77777777" w:rsidR="00692E71" w:rsidRPr="001E3185" w:rsidRDefault="00692E71" w:rsidP="008E0250">
            <w:pPr>
              <w:rPr>
                <w:rFonts w:cs="Arial"/>
                <w:sz w:val="18"/>
                <w:szCs w:val="18"/>
              </w:rPr>
            </w:pPr>
            <w:r w:rsidRPr="001E3185">
              <w:rPr>
                <w:rFonts w:cs="Arial"/>
                <w:sz w:val="18"/>
                <w:szCs w:val="18"/>
              </w:rPr>
              <w:t>Concentrations of suspended matter in the surface water</w:t>
            </w:r>
          </w:p>
        </w:tc>
        <w:tc>
          <w:tcPr>
            <w:tcW w:w="1531" w:type="dxa"/>
            <w:vAlign w:val="center"/>
          </w:tcPr>
          <w:p w14:paraId="7A3E48E7" w14:textId="77777777" w:rsidR="00692E71" w:rsidRPr="001E3185" w:rsidRDefault="00692E71" w:rsidP="008E0250">
            <w:pPr>
              <w:rPr>
                <w:rFonts w:cs="Arial"/>
                <w:sz w:val="18"/>
                <w:szCs w:val="18"/>
              </w:rPr>
            </w:pPr>
            <w:r w:rsidRPr="001E3185">
              <w:rPr>
                <w:rFonts w:cs="Arial"/>
                <w:sz w:val="18"/>
                <w:szCs w:val="18"/>
              </w:rPr>
              <w:t>SUSP</w:t>
            </w:r>
            <w:r w:rsidRPr="001E3185">
              <w:rPr>
                <w:rFonts w:cs="Arial"/>
                <w:sz w:val="18"/>
                <w:szCs w:val="18"/>
                <w:vertAlign w:val="subscript"/>
              </w:rPr>
              <w:t>water</w:t>
            </w:r>
          </w:p>
        </w:tc>
        <w:tc>
          <w:tcPr>
            <w:tcW w:w="2409" w:type="dxa"/>
            <w:vAlign w:val="center"/>
          </w:tcPr>
          <w:p w14:paraId="427FC752" w14:textId="77777777" w:rsidR="00692E71" w:rsidRPr="001E3185" w:rsidRDefault="00692E71" w:rsidP="008E0250">
            <w:pPr>
              <w:jc w:val="center"/>
              <w:rPr>
                <w:rFonts w:cs="Arial"/>
                <w:sz w:val="18"/>
                <w:szCs w:val="18"/>
              </w:rPr>
            </w:pPr>
            <w:r w:rsidRPr="001E3185">
              <w:rPr>
                <w:rFonts w:cs="Arial"/>
                <w:sz w:val="18"/>
                <w:szCs w:val="18"/>
              </w:rPr>
              <w:t>15*10</w:t>
            </w:r>
            <w:r w:rsidRPr="001E3185">
              <w:rPr>
                <w:rFonts w:cs="Arial"/>
                <w:sz w:val="18"/>
                <w:szCs w:val="18"/>
                <w:vertAlign w:val="superscript"/>
              </w:rPr>
              <w:t>-3</w:t>
            </w:r>
          </w:p>
        </w:tc>
        <w:tc>
          <w:tcPr>
            <w:tcW w:w="993" w:type="dxa"/>
            <w:vAlign w:val="center"/>
          </w:tcPr>
          <w:p w14:paraId="3B0E62F1" w14:textId="77777777" w:rsidR="00692E71" w:rsidRPr="001E3185" w:rsidRDefault="00692E71" w:rsidP="008E0250">
            <w:pPr>
              <w:jc w:val="center"/>
              <w:rPr>
                <w:rFonts w:cs="Arial"/>
                <w:sz w:val="18"/>
                <w:szCs w:val="18"/>
              </w:rPr>
            </w:pPr>
            <w:r w:rsidRPr="001E3185">
              <w:rPr>
                <w:rFonts w:cs="Arial"/>
                <w:sz w:val="18"/>
                <w:szCs w:val="18"/>
              </w:rPr>
              <w:t>[kg.m</w:t>
            </w:r>
            <w:r w:rsidRPr="001E3185">
              <w:rPr>
                <w:rFonts w:cs="Arial"/>
                <w:sz w:val="18"/>
                <w:szCs w:val="18"/>
                <w:vertAlign w:val="superscript"/>
              </w:rPr>
              <w:t>-3</w:t>
            </w:r>
            <w:r w:rsidRPr="001E3185">
              <w:rPr>
                <w:rFonts w:cs="Arial"/>
                <w:sz w:val="18"/>
                <w:szCs w:val="18"/>
              </w:rPr>
              <w:t>]</w:t>
            </w:r>
          </w:p>
        </w:tc>
        <w:tc>
          <w:tcPr>
            <w:tcW w:w="790" w:type="dxa"/>
            <w:vAlign w:val="center"/>
          </w:tcPr>
          <w:p w14:paraId="31F67C56" w14:textId="77777777" w:rsidR="00692E71" w:rsidRPr="001E3185" w:rsidRDefault="00692E71" w:rsidP="008E0250">
            <w:pPr>
              <w:jc w:val="center"/>
              <w:rPr>
                <w:rFonts w:cs="Arial"/>
                <w:sz w:val="18"/>
                <w:szCs w:val="18"/>
              </w:rPr>
            </w:pPr>
            <w:r w:rsidRPr="001E3185">
              <w:rPr>
                <w:rFonts w:cs="Arial"/>
                <w:sz w:val="18"/>
                <w:szCs w:val="18"/>
              </w:rPr>
              <w:t>D</w:t>
            </w:r>
          </w:p>
        </w:tc>
      </w:tr>
      <w:tr w:rsidR="00692E71" w:rsidRPr="001E3185" w14:paraId="1B71A060" w14:textId="77777777" w:rsidTr="008E0250">
        <w:tc>
          <w:tcPr>
            <w:tcW w:w="3539" w:type="dxa"/>
            <w:vAlign w:val="center"/>
          </w:tcPr>
          <w:p w14:paraId="7C154D1C" w14:textId="77777777" w:rsidR="00692E71" w:rsidRPr="001E3185" w:rsidRDefault="00692E71" w:rsidP="008E0250">
            <w:pPr>
              <w:rPr>
                <w:rFonts w:cs="Arial"/>
                <w:sz w:val="18"/>
                <w:szCs w:val="18"/>
              </w:rPr>
            </w:pPr>
            <w:r w:rsidRPr="001E3185">
              <w:rPr>
                <w:rFonts w:cs="Arial"/>
                <w:sz w:val="18"/>
                <w:szCs w:val="18"/>
              </w:rPr>
              <w:t>Solids-water partitioning coefficients for suspended matter</w:t>
            </w:r>
          </w:p>
        </w:tc>
        <w:tc>
          <w:tcPr>
            <w:tcW w:w="1531" w:type="dxa"/>
            <w:vAlign w:val="center"/>
          </w:tcPr>
          <w:p w14:paraId="583C2993" w14:textId="77777777" w:rsidR="00692E71" w:rsidRPr="001E3185" w:rsidRDefault="00692E71" w:rsidP="008E0250">
            <w:pPr>
              <w:rPr>
                <w:rFonts w:cs="Arial"/>
                <w:sz w:val="18"/>
                <w:szCs w:val="18"/>
              </w:rPr>
            </w:pPr>
            <w:r w:rsidRPr="001E3185">
              <w:rPr>
                <w:rFonts w:cs="Arial"/>
                <w:sz w:val="18"/>
                <w:szCs w:val="18"/>
              </w:rPr>
              <w:t>Kp</w:t>
            </w:r>
            <w:r w:rsidRPr="001E3185">
              <w:rPr>
                <w:rFonts w:cs="Arial"/>
                <w:sz w:val="18"/>
                <w:szCs w:val="18"/>
                <w:vertAlign w:val="subscript"/>
              </w:rPr>
              <w:t>susp</w:t>
            </w:r>
          </w:p>
        </w:tc>
        <w:tc>
          <w:tcPr>
            <w:tcW w:w="2409" w:type="dxa"/>
            <w:vAlign w:val="center"/>
          </w:tcPr>
          <w:p w14:paraId="1713D6BA" w14:textId="77777777" w:rsidR="00692E71" w:rsidRPr="001E3185" w:rsidRDefault="00692E71" w:rsidP="008E0250">
            <w:pPr>
              <w:jc w:val="center"/>
              <w:rPr>
                <w:rFonts w:cs="Arial"/>
                <w:sz w:val="18"/>
                <w:szCs w:val="18"/>
              </w:rPr>
            </w:pPr>
            <w:r w:rsidRPr="001E3185">
              <w:rPr>
                <w:rFonts w:cs="Arial"/>
                <w:sz w:val="18"/>
                <w:szCs w:val="18"/>
              </w:rPr>
              <w:t>12.6*10</w:t>
            </w:r>
            <w:r w:rsidRPr="001E3185">
              <w:rPr>
                <w:rFonts w:cs="Arial"/>
                <w:sz w:val="18"/>
                <w:szCs w:val="18"/>
                <w:vertAlign w:val="superscript"/>
              </w:rPr>
              <w:t>-3</w:t>
            </w:r>
            <w:r w:rsidRPr="001E3185">
              <w:rPr>
                <w:rFonts w:cs="Arial"/>
                <w:sz w:val="18"/>
                <w:szCs w:val="18"/>
              </w:rPr>
              <w:t xml:space="preserve"> (IPBC)</w:t>
            </w:r>
          </w:p>
          <w:p w14:paraId="6F216DBE" w14:textId="77777777" w:rsidR="00692E71" w:rsidRPr="001E3185" w:rsidRDefault="00692E71" w:rsidP="008E0250">
            <w:pPr>
              <w:jc w:val="center"/>
              <w:rPr>
                <w:rFonts w:cs="Arial"/>
                <w:sz w:val="18"/>
                <w:szCs w:val="18"/>
              </w:rPr>
            </w:pPr>
            <w:r w:rsidRPr="001E3185">
              <w:rPr>
                <w:rFonts w:cs="Arial"/>
                <w:sz w:val="18"/>
                <w:szCs w:val="18"/>
              </w:rPr>
              <w:t>94.4*10</w:t>
            </w:r>
            <w:r w:rsidRPr="001E3185">
              <w:rPr>
                <w:rFonts w:cs="Arial"/>
                <w:sz w:val="18"/>
                <w:szCs w:val="18"/>
                <w:vertAlign w:val="superscript"/>
              </w:rPr>
              <w:t>-3</w:t>
            </w:r>
            <w:r w:rsidRPr="001E3185">
              <w:rPr>
                <w:rFonts w:cs="Arial"/>
                <w:sz w:val="18"/>
                <w:szCs w:val="18"/>
              </w:rPr>
              <w:t xml:space="preserve"> (propiconazole)</w:t>
            </w:r>
          </w:p>
          <w:p w14:paraId="707BF97F" w14:textId="77777777" w:rsidR="00692E71" w:rsidRPr="001E3185" w:rsidRDefault="00692E71" w:rsidP="008E0250">
            <w:pPr>
              <w:jc w:val="center"/>
              <w:rPr>
                <w:rFonts w:cs="Arial"/>
                <w:sz w:val="18"/>
                <w:szCs w:val="18"/>
              </w:rPr>
            </w:pPr>
            <w:r w:rsidRPr="001E3185">
              <w:rPr>
                <w:rFonts w:cs="Arial"/>
                <w:sz w:val="18"/>
                <w:szCs w:val="18"/>
              </w:rPr>
              <w:t>99.2*10</w:t>
            </w:r>
            <w:r w:rsidRPr="001E3185">
              <w:rPr>
                <w:rFonts w:cs="Arial"/>
                <w:sz w:val="18"/>
                <w:szCs w:val="18"/>
                <w:vertAlign w:val="superscript"/>
              </w:rPr>
              <w:t>-3</w:t>
            </w:r>
            <w:r w:rsidRPr="001E3185">
              <w:rPr>
                <w:rFonts w:cs="Arial"/>
                <w:sz w:val="18"/>
                <w:szCs w:val="18"/>
              </w:rPr>
              <w:t xml:space="preserve"> (tebuconazole)</w:t>
            </w:r>
          </w:p>
          <w:p w14:paraId="5F1F777E" w14:textId="77777777" w:rsidR="00692E71" w:rsidRPr="001E3185" w:rsidRDefault="00692E71" w:rsidP="008E0250">
            <w:pPr>
              <w:jc w:val="center"/>
              <w:rPr>
                <w:rFonts w:cs="Arial"/>
                <w:sz w:val="18"/>
                <w:szCs w:val="18"/>
              </w:rPr>
            </w:pPr>
            <w:r w:rsidRPr="001E3185">
              <w:rPr>
                <w:rFonts w:cs="Arial"/>
                <w:sz w:val="18"/>
                <w:szCs w:val="18"/>
              </w:rPr>
              <w:t>57.436 (cypermethrin)</w:t>
            </w:r>
          </w:p>
        </w:tc>
        <w:tc>
          <w:tcPr>
            <w:tcW w:w="993" w:type="dxa"/>
            <w:vAlign w:val="center"/>
          </w:tcPr>
          <w:p w14:paraId="55380E70" w14:textId="77777777" w:rsidR="00692E71" w:rsidRPr="001E3185" w:rsidRDefault="00692E71" w:rsidP="008E0250">
            <w:pPr>
              <w:jc w:val="center"/>
              <w:rPr>
                <w:rFonts w:cs="Arial"/>
                <w:sz w:val="18"/>
                <w:szCs w:val="18"/>
              </w:rPr>
            </w:pPr>
            <w:r w:rsidRPr="001E3185">
              <w:rPr>
                <w:rFonts w:cs="Arial"/>
                <w:sz w:val="18"/>
                <w:szCs w:val="18"/>
              </w:rPr>
              <w:t>[mg.m</w:t>
            </w:r>
            <w:r w:rsidRPr="001E3185">
              <w:rPr>
                <w:rFonts w:cs="Arial"/>
                <w:sz w:val="18"/>
                <w:szCs w:val="18"/>
                <w:vertAlign w:val="superscript"/>
              </w:rPr>
              <w:t>-2</w:t>
            </w:r>
            <w:r w:rsidRPr="001E3185">
              <w:rPr>
                <w:rFonts w:cs="Arial"/>
                <w:sz w:val="18"/>
                <w:szCs w:val="18"/>
              </w:rPr>
              <w:t>]</w:t>
            </w:r>
          </w:p>
        </w:tc>
        <w:tc>
          <w:tcPr>
            <w:tcW w:w="790" w:type="dxa"/>
            <w:vAlign w:val="center"/>
          </w:tcPr>
          <w:p w14:paraId="628ECD94"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4D295737" w14:textId="77777777" w:rsidTr="008E0250">
        <w:trPr>
          <w:trHeight w:val="283"/>
        </w:trPr>
        <w:tc>
          <w:tcPr>
            <w:tcW w:w="9262" w:type="dxa"/>
            <w:gridSpan w:val="5"/>
            <w:vAlign w:val="center"/>
          </w:tcPr>
          <w:p w14:paraId="71225525" w14:textId="77777777" w:rsidR="00692E71" w:rsidRPr="001E3185" w:rsidRDefault="00692E71" w:rsidP="008E0250">
            <w:pPr>
              <w:rPr>
                <w:rFonts w:cs="Arial"/>
                <w:b/>
                <w:sz w:val="18"/>
                <w:szCs w:val="18"/>
              </w:rPr>
            </w:pPr>
            <w:r w:rsidRPr="001E3185">
              <w:rPr>
                <w:rFonts w:cs="Arial"/>
                <w:b/>
                <w:sz w:val="18"/>
                <w:szCs w:val="18"/>
              </w:rPr>
              <w:t>OUTPUT EMISSION</w:t>
            </w:r>
          </w:p>
        </w:tc>
      </w:tr>
      <w:tr w:rsidR="00692E71" w:rsidRPr="001E3185" w14:paraId="607FCF12" w14:textId="77777777" w:rsidTr="008E0250">
        <w:tc>
          <w:tcPr>
            <w:tcW w:w="3539" w:type="dxa"/>
            <w:vAlign w:val="center"/>
          </w:tcPr>
          <w:p w14:paraId="4603ACAD" w14:textId="77777777" w:rsidR="00692E71" w:rsidRPr="001E3185" w:rsidRDefault="00692E71" w:rsidP="008E0250">
            <w:pPr>
              <w:rPr>
                <w:rFonts w:cs="Arial"/>
                <w:i/>
                <w:iCs/>
                <w:sz w:val="18"/>
                <w:szCs w:val="18"/>
              </w:rPr>
            </w:pPr>
            <w:r w:rsidRPr="001E3185">
              <w:rPr>
                <w:rFonts w:cs="Arial"/>
                <w:sz w:val="18"/>
                <w:szCs w:val="18"/>
              </w:rPr>
              <w:t>Combined concentrations in local water resulting from application (brushing) and leaching of treated wood (30d), professional application</w:t>
            </w:r>
          </w:p>
        </w:tc>
        <w:tc>
          <w:tcPr>
            <w:tcW w:w="1531" w:type="dxa"/>
            <w:vAlign w:val="center"/>
          </w:tcPr>
          <w:p w14:paraId="16043E92" w14:textId="77777777" w:rsidR="00692E71" w:rsidRPr="001E3185" w:rsidRDefault="00692E71" w:rsidP="008E0250">
            <w:pPr>
              <w:rPr>
                <w:rFonts w:cs="Arial"/>
                <w:sz w:val="18"/>
                <w:szCs w:val="18"/>
              </w:rPr>
            </w:pPr>
            <w:r w:rsidRPr="001E3185">
              <w:rPr>
                <w:rFonts w:cs="Arial"/>
                <w:i/>
                <w:sz w:val="18"/>
                <w:szCs w:val="18"/>
              </w:rPr>
              <w:t>Clocal</w:t>
            </w:r>
            <w:r w:rsidRPr="001E3185">
              <w:rPr>
                <w:rFonts w:cs="Arial"/>
                <w:i/>
                <w:sz w:val="18"/>
                <w:szCs w:val="18"/>
                <w:vertAlign w:val="subscript"/>
              </w:rPr>
              <w:t>diss, time1</w:t>
            </w:r>
          </w:p>
        </w:tc>
        <w:tc>
          <w:tcPr>
            <w:tcW w:w="2409" w:type="dxa"/>
            <w:vAlign w:val="center"/>
          </w:tcPr>
          <w:p w14:paraId="3BE112B9" w14:textId="77777777" w:rsidR="00692E71" w:rsidRPr="001E3185" w:rsidRDefault="00692E71" w:rsidP="008E0250">
            <w:pPr>
              <w:jc w:val="center"/>
              <w:rPr>
                <w:rFonts w:cs="Arial"/>
                <w:sz w:val="18"/>
                <w:szCs w:val="18"/>
              </w:rPr>
            </w:pPr>
            <w:r w:rsidRPr="001E3185">
              <w:rPr>
                <w:rFonts w:cs="Arial"/>
                <w:sz w:val="18"/>
                <w:szCs w:val="18"/>
              </w:rPr>
              <w:t>4.9*10</w:t>
            </w:r>
            <w:r w:rsidRPr="001E3185">
              <w:rPr>
                <w:rFonts w:cs="Arial"/>
                <w:sz w:val="18"/>
                <w:szCs w:val="18"/>
                <w:vertAlign w:val="superscript"/>
              </w:rPr>
              <w:t>-4</w:t>
            </w:r>
            <w:r w:rsidRPr="001E3185">
              <w:rPr>
                <w:rFonts w:cs="Arial"/>
                <w:sz w:val="18"/>
                <w:szCs w:val="18"/>
              </w:rPr>
              <w:t xml:space="preserve"> (IPBC)</w:t>
            </w:r>
          </w:p>
          <w:p w14:paraId="44981913" w14:textId="77777777" w:rsidR="00692E71" w:rsidRPr="001E3185" w:rsidRDefault="00692E71" w:rsidP="008E0250">
            <w:pPr>
              <w:jc w:val="center"/>
              <w:rPr>
                <w:rFonts w:cs="Arial"/>
                <w:sz w:val="18"/>
                <w:szCs w:val="18"/>
              </w:rPr>
            </w:pPr>
            <w:r w:rsidRPr="001E3185">
              <w:rPr>
                <w:rFonts w:cs="Arial"/>
                <w:sz w:val="18"/>
                <w:szCs w:val="18"/>
              </w:rPr>
              <w:t xml:space="preserve"> 0.14 (propiconazole)</w:t>
            </w:r>
          </w:p>
          <w:p w14:paraId="1A06CDE3" w14:textId="77777777" w:rsidR="00692E71" w:rsidRPr="001E3185" w:rsidRDefault="00692E71" w:rsidP="008E0250">
            <w:pPr>
              <w:jc w:val="center"/>
              <w:rPr>
                <w:rFonts w:cs="Arial"/>
                <w:sz w:val="18"/>
                <w:szCs w:val="18"/>
              </w:rPr>
            </w:pPr>
            <w:r w:rsidRPr="001E3185">
              <w:rPr>
                <w:rFonts w:cs="Arial"/>
                <w:sz w:val="18"/>
                <w:szCs w:val="18"/>
              </w:rPr>
              <w:t>0.06 (tebuconazole)</w:t>
            </w:r>
          </w:p>
          <w:p w14:paraId="12154B18" w14:textId="77777777" w:rsidR="00692E71" w:rsidRPr="001E3185" w:rsidRDefault="00692E71" w:rsidP="008E0250">
            <w:pPr>
              <w:jc w:val="center"/>
              <w:rPr>
                <w:rFonts w:cs="Arial"/>
                <w:sz w:val="18"/>
                <w:szCs w:val="18"/>
              </w:rPr>
            </w:pPr>
            <w:r w:rsidRPr="001E3185">
              <w:rPr>
                <w:rFonts w:cs="Arial"/>
                <w:sz w:val="18"/>
                <w:szCs w:val="18"/>
              </w:rPr>
              <w:t>3.6*10</w:t>
            </w:r>
            <w:r w:rsidRPr="001E3185">
              <w:rPr>
                <w:rFonts w:cs="Arial"/>
                <w:sz w:val="18"/>
                <w:szCs w:val="18"/>
                <w:vertAlign w:val="superscript"/>
              </w:rPr>
              <w:t>-4</w:t>
            </w:r>
            <w:r w:rsidRPr="001E3185">
              <w:rPr>
                <w:rFonts w:cs="Arial"/>
                <w:sz w:val="18"/>
                <w:szCs w:val="18"/>
              </w:rPr>
              <w:t xml:space="preserve"> (cypermethrin)</w:t>
            </w:r>
          </w:p>
        </w:tc>
        <w:tc>
          <w:tcPr>
            <w:tcW w:w="993" w:type="dxa"/>
            <w:vAlign w:val="center"/>
          </w:tcPr>
          <w:p w14:paraId="55EE9216" w14:textId="77777777" w:rsidR="00692E71" w:rsidRPr="001E3185" w:rsidRDefault="00692E71" w:rsidP="008E0250">
            <w:pPr>
              <w:jc w:val="center"/>
              <w:rPr>
                <w:rFonts w:cs="Arial"/>
                <w:i/>
                <w:iCs/>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90" w:type="dxa"/>
            <w:vAlign w:val="center"/>
          </w:tcPr>
          <w:p w14:paraId="3C6742F0"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519E7801" w14:textId="77777777" w:rsidTr="008E0250">
        <w:tc>
          <w:tcPr>
            <w:tcW w:w="3539" w:type="dxa"/>
            <w:vAlign w:val="center"/>
          </w:tcPr>
          <w:p w14:paraId="2237D63C" w14:textId="77777777" w:rsidR="00692E71" w:rsidRPr="001E3185" w:rsidRDefault="00692E71" w:rsidP="008E0250">
            <w:pPr>
              <w:rPr>
                <w:rFonts w:cs="Arial"/>
                <w:sz w:val="18"/>
                <w:szCs w:val="18"/>
              </w:rPr>
            </w:pPr>
            <w:r w:rsidRPr="001E3185">
              <w:rPr>
                <w:rFonts w:cs="Arial"/>
                <w:sz w:val="18"/>
                <w:szCs w:val="18"/>
              </w:rPr>
              <w:t>Combined concentrations in local water resulting from application (brushing) and leaching of treated wood (30d), non-professional application</w:t>
            </w:r>
          </w:p>
        </w:tc>
        <w:tc>
          <w:tcPr>
            <w:tcW w:w="1531" w:type="dxa"/>
            <w:vAlign w:val="center"/>
          </w:tcPr>
          <w:p w14:paraId="53227677" w14:textId="77777777" w:rsidR="00692E71" w:rsidRPr="001E3185" w:rsidRDefault="00692E71" w:rsidP="008E0250">
            <w:pPr>
              <w:rPr>
                <w:rFonts w:cs="Arial"/>
                <w:sz w:val="18"/>
                <w:szCs w:val="18"/>
              </w:rPr>
            </w:pPr>
            <w:r w:rsidRPr="001E3185">
              <w:rPr>
                <w:rFonts w:cs="Arial"/>
                <w:i/>
                <w:sz w:val="18"/>
                <w:szCs w:val="18"/>
              </w:rPr>
              <w:t>Clocal</w:t>
            </w:r>
            <w:r w:rsidRPr="001E3185">
              <w:rPr>
                <w:rFonts w:cs="Arial"/>
                <w:i/>
                <w:sz w:val="18"/>
                <w:szCs w:val="18"/>
                <w:vertAlign w:val="subscript"/>
              </w:rPr>
              <w:t>diss, time1</w:t>
            </w:r>
          </w:p>
        </w:tc>
        <w:tc>
          <w:tcPr>
            <w:tcW w:w="2409" w:type="dxa"/>
            <w:vAlign w:val="center"/>
          </w:tcPr>
          <w:p w14:paraId="6C2795AF" w14:textId="77777777" w:rsidR="00692E71" w:rsidRPr="001E3185" w:rsidRDefault="00692E71" w:rsidP="008E0250">
            <w:pPr>
              <w:jc w:val="center"/>
              <w:rPr>
                <w:rFonts w:cs="Arial"/>
                <w:sz w:val="18"/>
                <w:szCs w:val="18"/>
              </w:rPr>
            </w:pPr>
            <w:r w:rsidRPr="001E3185">
              <w:rPr>
                <w:rFonts w:cs="Arial"/>
                <w:sz w:val="18"/>
                <w:szCs w:val="18"/>
              </w:rPr>
              <w:t>6.2*10</w:t>
            </w:r>
            <w:r w:rsidRPr="001E3185">
              <w:rPr>
                <w:rFonts w:cs="Arial"/>
                <w:sz w:val="18"/>
                <w:szCs w:val="18"/>
                <w:vertAlign w:val="superscript"/>
              </w:rPr>
              <w:t>-4</w:t>
            </w:r>
            <w:r w:rsidRPr="001E3185">
              <w:rPr>
                <w:rFonts w:cs="Arial"/>
                <w:sz w:val="18"/>
                <w:szCs w:val="18"/>
              </w:rPr>
              <w:t xml:space="preserve"> (IPBC)</w:t>
            </w:r>
          </w:p>
          <w:p w14:paraId="45A64E57" w14:textId="77777777" w:rsidR="00692E71" w:rsidRPr="001E3185" w:rsidRDefault="00692E71" w:rsidP="008E0250">
            <w:pPr>
              <w:jc w:val="center"/>
              <w:rPr>
                <w:rFonts w:cs="Arial"/>
                <w:sz w:val="18"/>
                <w:szCs w:val="18"/>
              </w:rPr>
            </w:pPr>
            <w:r w:rsidRPr="001E3185">
              <w:rPr>
                <w:rFonts w:cs="Arial"/>
                <w:sz w:val="18"/>
                <w:szCs w:val="18"/>
              </w:rPr>
              <w:t>0.17 (propiconazole)</w:t>
            </w:r>
          </w:p>
          <w:p w14:paraId="18182B83" w14:textId="77777777" w:rsidR="00692E71" w:rsidRPr="001E3185" w:rsidRDefault="00692E71" w:rsidP="008E0250">
            <w:pPr>
              <w:jc w:val="center"/>
              <w:rPr>
                <w:rFonts w:cs="Arial"/>
                <w:sz w:val="18"/>
                <w:szCs w:val="18"/>
              </w:rPr>
            </w:pPr>
            <w:r w:rsidRPr="001E3185">
              <w:rPr>
                <w:rFonts w:cs="Arial"/>
                <w:sz w:val="18"/>
                <w:szCs w:val="18"/>
              </w:rPr>
              <w:t>0.06 (tebuconazole)</w:t>
            </w:r>
          </w:p>
          <w:p w14:paraId="7249F423" w14:textId="77777777" w:rsidR="00692E71" w:rsidRPr="001E3185" w:rsidRDefault="00692E71" w:rsidP="008E0250">
            <w:pPr>
              <w:jc w:val="center"/>
              <w:rPr>
                <w:rFonts w:cs="Arial"/>
                <w:sz w:val="18"/>
                <w:szCs w:val="18"/>
              </w:rPr>
            </w:pPr>
            <w:r w:rsidRPr="001E3185">
              <w:rPr>
                <w:rFonts w:cs="Arial"/>
                <w:sz w:val="18"/>
                <w:szCs w:val="18"/>
              </w:rPr>
              <w:t>6.0*10</w:t>
            </w:r>
            <w:r w:rsidRPr="001E3185">
              <w:rPr>
                <w:rFonts w:cs="Arial"/>
                <w:sz w:val="18"/>
                <w:szCs w:val="18"/>
                <w:vertAlign w:val="superscript"/>
              </w:rPr>
              <w:t>-4</w:t>
            </w:r>
            <w:r w:rsidRPr="001E3185">
              <w:rPr>
                <w:rFonts w:cs="Arial"/>
                <w:sz w:val="18"/>
                <w:szCs w:val="18"/>
              </w:rPr>
              <w:t xml:space="preserve"> (cypermethrin)</w:t>
            </w:r>
          </w:p>
        </w:tc>
        <w:tc>
          <w:tcPr>
            <w:tcW w:w="993" w:type="dxa"/>
            <w:vAlign w:val="center"/>
          </w:tcPr>
          <w:p w14:paraId="1A27E1B9"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90" w:type="dxa"/>
            <w:vAlign w:val="center"/>
          </w:tcPr>
          <w:p w14:paraId="070B2531"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4A0DE727" w14:textId="77777777" w:rsidTr="008E0250">
        <w:tc>
          <w:tcPr>
            <w:tcW w:w="3539" w:type="dxa"/>
            <w:vAlign w:val="center"/>
          </w:tcPr>
          <w:p w14:paraId="476EA8D6" w14:textId="77777777" w:rsidR="00692E71" w:rsidRPr="001E3185" w:rsidRDefault="00692E71" w:rsidP="008E0250">
            <w:pPr>
              <w:rPr>
                <w:rFonts w:cs="Arial"/>
                <w:sz w:val="18"/>
                <w:szCs w:val="18"/>
              </w:rPr>
            </w:pPr>
            <w:r w:rsidRPr="001E3185">
              <w:rPr>
                <w:rFonts w:cs="Arial"/>
                <w:sz w:val="18"/>
                <w:szCs w:val="18"/>
              </w:rPr>
              <w:t xml:space="preserve">Combined concentrations in local water resulting from application (brushing) and leaching of treated </w:t>
            </w:r>
            <w:r w:rsidRPr="001E3185">
              <w:rPr>
                <w:rFonts w:cs="Arial"/>
                <w:sz w:val="18"/>
                <w:szCs w:val="18"/>
              </w:rPr>
              <w:lastRenderedPageBreak/>
              <w:t>wood (1825d), profess</w:t>
            </w:r>
            <w:r w:rsidRPr="001E3185">
              <w:rPr>
                <w:rFonts w:cs="Arial"/>
                <w:sz w:val="18"/>
                <w:szCs w:val="18"/>
              </w:rPr>
              <w:softHyphen/>
              <w:t>sio</w:t>
            </w:r>
            <w:r w:rsidRPr="001E3185">
              <w:rPr>
                <w:rFonts w:cs="Arial"/>
                <w:sz w:val="18"/>
                <w:szCs w:val="18"/>
              </w:rPr>
              <w:softHyphen/>
              <w:t>nal application</w:t>
            </w:r>
          </w:p>
        </w:tc>
        <w:tc>
          <w:tcPr>
            <w:tcW w:w="1531" w:type="dxa"/>
            <w:vAlign w:val="center"/>
          </w:tcPr>
          <w:p w14:paraId="7B4FF7D9" w14:textId="77777777" w:rsidR="00692E71" w:rsidRPr="001E3185" w:rsidRDefault="00692E71" w:rsidP="008E0250">
            <w:pPr>
              <w:rPr>
                <w:rFonts w:cs="Arial"/>
                <w:sz w:val="18"/>
                <w:szCs w:val="18"/>
              </w:rPr>
            </w:pPr>
            <w:r w:rsidRPr="001E3185">
              <w:rPr>
                <w:rFonts w:cs="Arial"/>
                <w:i/>
                <w:sz w:val="18"/>
                <w:szCs w:val="18"/>
              </w:rPr>
              <w:lastRenderedPageBreak/>
              <w:t>Clocal</w:t>
            </w:r>
            <w:r w:rsidRPr="001E3185">
              <w:rPr>
                <w:rFonts w:cs="Arial"/>
                <w:i/>
                <w:sz w:val="18"/>
                <w:szCs w:val="18"/>
                <w:vertAlign w:val="subscript"/>
              </w:rPr>
              <w:t>diss, time2</w:t>
            </w:r>
          </w:p>
        </w:tc>
        <w:tc>
          <w:tcPr>
            <w:tcW w:w="2409" w:type="dxa"/>
            <w:vAlign w:val="center"/>
          </w:tcPr>
          <w:p w14:paraId="45E4456E" w14:textId="77777777" w:rsidR="00692E71" w:rsidRPr="001E3185" w:rsidRDefault="00692E71" w:rsidP="008E0250">
            <w:pPr>
              <w:jc w:val="center"/>
              <w:rPr>
                <w:rFonts w:cs="Arial"/>
                <w:sz w:val="18"/>
                <w:szCs w:val="18"/>
              </w:rPr>
            </w:pPr>
            <w:r w:rsidRPr="001E3185">
              <w:rPr>
                <w:rFonts w:cs="Arial"/>
                <w:sz w:val="18"/>
                <w:szCs w:val="18"/>
              </w:rPr>
              <w:t>1.7*10</w:t>
            </w:r>
            <w:r w:rsidRPr="001E3185">
              <w:rPr>
                <w:rFonts w:cs="Arial"/>
                <w:sz w:val="18"/>
                <w:szCs w:val="18"/>
                <w:vertAlign w:val="superscript"/>
              </w:rPr>
              <w:t>-5</w:t>
            </w:r>
            <w:r w:rsidRPr="001E3185">
              <w:rPr>
                <w:rFonts w:cs="Arial"/>
                <w:sz w:val="18"/>
                <w:szCs w:val="18"/>
              </w:rPr>
              <w:t xml:space="preserve"> (IPBC)</w:t>
            </w:r>
          </w:p>
          <w:p w14:paraId="614861B4" w14:textId="77777777" w:rsidR="00692E71" w:rsidRPr="001E3185" w:rsidRDefault="00692E71" w:rsidP="008E0250">
            <w:pPr>
              <w:jc w:val="center"/>
              <w:rPr>
                <w:rFonts w:cs="Arial"/>
                <w:sz w:val="18"/>
                <w:szCs w:val="18"/>
              </w:rPr>
            </w:pPr>
            <w:r w:rsidRPr="001E3185">
              <w:rPr>
                <w:rFonts w:cs="Arial"/>
                <w:sz w:val="18"/>
                <w:szCs w:val="18"/>
              </w:rPr>
              <w:t>0.29 (propiconazole)</w:t>
            </w:r>
          </w:p>
          <w:p w14:paraId="30D920F1" w14:textId="77777777" w:rsidR="00692E71" w:rsidRPr="001E3185" w:rsidRDefault="00692E71" w:rsidP="008E0250">
            <w:pPr>
              <w:jc w:val="center"/>
              <w:rPr>
                <w:rFonts w:cs="Arial"/>
                <w:sz w:val="18"/>
                <w:szCs w:val="18"/>
              </w:rPr>
            </w:pPr>
            <w:r w:rsidRPr="001E3185">
              <w:rPr>
                <w:rFonts w:cs="Arial"/>
                <w:sz w:val="18"/>
                <w:szCs w:val="18"/>
              </w:rPr>
              <w:t>0.04 (tebuconazole)</w:t>
            </w:r>
          </w:p>
          <w:p w14:paraId="14D17C45" w14:textId="77777777" w:rsidR="00692E71" w:rsidRPr="001E3185" w:rsidRDefault="00692E71" w:rsidP="008E0250">
            <w:pPr>
              <w:jc w:val="center"/>
              <w:rPr>
                <w:rFonts w:cs="Arial"/>
                <w:sz w:val="18"/>
                <w:szCs w:val="18"/>
              </w:rPr>
            </w:pPr>
            <w:r w:rsidRPr="001E3185">
              <w:rPr>
                <w:rFonts w:cs="Arial"/>
                <w:sz w:val="18"/>
                <w:szCs w:val="18"/>
              </w:rPr>
              <w:lastRenderedPageBreak/>
              <w:t>2.1*10</w:t>
            </w:r>
            <w:r w:rsidRPr="001E3185">
              <w:rPr>
                <w:rFonts w:cs="Arial"/>
                <w:sz w:val="18"/>
                <w:szCs w:val="18"/>
                <w:vertAlign w:val="superscript"/>
              </w:rPr>
              <w:t>-5</w:t>
            </w:r>
            <w:r w:rsidRPr="001E3185">
              <w:rPr>
                <w:rFonts w:cs="Arial"/>
                <w:sz w:val="18"/>
                <w:szCs w:val="18"/>
              </w:rPr>
              <w:t xml:space="preserve"> (cypermethrin)</w:t>
            </w:r>
          </w:p>
        </w:tc>
        <w:tc>
          <w:tcPr>
            <w:tcW w:w="993" w:type="dxa"/>
            <w:vAlign w:val="center"/>
          </w:tcPr>
          <w:p w14:paraId="439917D1" w14:textId="77777777" w:rsidR="00692E71" w:rsidRPr="001E3185" w:rsidRDefault="00692E71" w:rsidP="008E0250">
            <w:pPr>
              <w:jc w:val="center"/>
              <w:rPr>
                <w:rFonts w:cs="Arial"/>
                <w:sz w:val="18"/>
                <w:szCs w:val="18"/>
              </w:rPr>
            </w:pPr>
            <w:r w:rsidRPr="001E3185">
              <w:rPr>
                <w:rFonts w:cs="Arial"/>
                <w:sz w:val="18"/>
                <w:szCs w:val="18"/>
              </w:rPr>
              <w:lastRenderedPageBreak/>
              <w:t>[µg.L</w:t>
            </w:r>
            <w:r w:rsidRPr="001E3185">
              <w:rPr>
                <w:rFonts w:cs="Arial"/>
                <w:sz w:val="18"/>
                <w:szCs w:val="18"/>
                <w:vertAlign w:val="superscript"/>
              </w:rPr>
              <w:t>-1</w:t>
            </w:r>
            <w:r w:rsidRPr="001E3185">
              <w:rPr>
                <w:rFonts w:cs="Arial"/>
                <w:sz w:val="18"/>
                <w:szCs w:val="18"/>
              </w:rPr>
              <w:t>]</w:t>
            </w:r>
          </w:p>
        </w:tc>
        <w:tc>
          <w:tcPr>
            <w:tcW w:w="790" w:type="dxa"/>
            <w:vAlign w:val="center"/>
          </w:tcPr>
          <w:p w14:paraId="633381F8"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11A19FBE" w14:textId="77777777" w:rsidTr="008E0250">
        <w:trPr>
          <w:cantSplit/>
        </w:trPr>
        <w:tc>
          <w:tcPr>
            <w:tcW w:w="3539" w:type="dxa"/>
            <w:vAlign w:val="center"/>
          </w:tcPr>
          <w:p w14:paraId="126997C4" w14:textId="77777777" w:rsidR="00692E71" w:rsidRPr="001E3185" w:rsidRDefault="00692E71" w:rsidP="008E0250">
            <w:pPr>
              <w:rPr>
                <w:rFonts w:cs="Arial"/>
                <w:sz w:val="18"/>
                <w:szCs w:val="18"/>
              </w:rPr>
            </w:pPr>
            <w:r w:rsidRPr="001E3185">
              <w:rPr>
                <w:rFonts w:cs="Arial"/>
                <w:sz w:val="18"/>
                <w:szCs w:val="18"/>
              </w:rPr>
              <w:t>Combined concentrations in local water resulting from application (brushing) and leaching of treated wood (1825d), non-professional application</w:t>
            </w:r>
          </w:p>
        </w:tc>
        <w:tc>
          <w:tcPr>
            <w:tcW w:w="1531" w:type="dxa"/>
            <w:vAlign w:val="center"/>
          </w:tcPr>
          <w:p w14:paraId="77EFF073" w14:textId="77777777" w:rsidR="00692E71" w:rsidRPr="001E3185" w:rsidRDefault="00692E71" w:rsidP="008E0250">
            <w:pPr>
              <w:rPr>
                <w:rFonts w:cs="Arial"/>
                <w:sz w:val="18"/>
                <w:szCs w:val="18"/>
              </w:rPr>
            </w:pPr>
            <w:r w:rsidRPr="001E3185">
              <w:rPr>
                <w:rFonts w:cs="Arial"/>
                <w:i/>
                <w:sz w:val="18"/>
                <w:szCs w:val="18"/>
              </w:rPr>
              <w:t>Clocal</w:t>
            </w:r>
            <w:r w:rsidRPr="001E3185">
              <w:rPr>
                <w:rFonts w:cs="Arial"/>
                <w:i/>
                <w:sz w:val="18"/>
                <w:szCs w:val="18"/>
                <w:vertAlign w:val="subscript"/>
              </w:rPr>
              <w:t>diss,time2</w:t>
            </w:r>
          </w:p>
        </w:tc>
        <w:tc>
          <w:tcPr>
            <w:tcW w:w="2409" w:type="dxa"/>
            <w:vAlign w:val="center"/>
          </w:tcPr>
          <w:p w14:paraId="4AE85919" w14:textId="77777777" w:rsidR="00692E71" w:rsidRPr="001E3185" w:rsidRDefault="00692E71" w:rsidP="008E0250">
            <w:pPr>
              <w:jc w:val="center"/>
              <w:rPr>
                <w:rFonts w:cs="Arial"/>
                <w:sz w:val="18"/>
                <w:szCs w:val="18"/>
              </w:rPr>
            </w:pPr>
            <w:r w:rsidRPr="001E3185">
              <w:rPr>
                <w:rFonts w:cs="Arial"/>
                <w:sz w:val="18"/>
                <w:szCs w:val="18"/>
              </w:rPr>
              <w:t xml:space="preserve"> 1.9*10</w:t>
            </w:r>
            <w:r w:rsidRPr="001E3185">
              <w:rPr>
                <w:rFonts w:cs="Arial"/>
                <w:sz w:val="18"/>
                <w:szCs w:val="18"/>
                <w:vertAlign w:val="superscript"/>
              </w:rPr>
              <w:t>-5</w:t>
            </w:r>
            <w:r w:rsidRPr="001E3185">
              <w:rPr>
                <w:rFonts w:cs="Arial"/>
                <w:sz w:val="18"/>
                <w:szCs w:val="18"/>
              </w:rPr>
              <w:t xml:space="preserve"> (IPBC)</w:t>
            </w:r>
          </w:p>
          <w:p w14:paraId="4EAEEE85" w14:textId="77777777" w:rsidR="00692E71" w:rsidRPr="001E3185" w:rsidRDefault="00692E71" w:rsidP="008E0250">
            <w:pPr>
              <w:jc w:val="center"/>
              <w:rPr>
                <w:rFonts w:cs="Arial"/>
                <w:sz w:val="18"/>
                <w:szCs w:val="18"/>
              </w:rPr>
            </w:pPr>
            <w:r w:rsidRPr="001E3185">
              <w:rPr>
                <w:rFonts w:cs="Arial"/>
                <w:sz w:val="18"/>
                <w:szCs w:val="18"/>
              </w:rPr>
              <w:t>0.31 (propiconazole)</w:t>
            </w:r>
          </w:p>
          <w:p w14:paraId="28014760" w14:textId="77777777" w:rsidR="00692E71" w:rsidRPr="001E3185" w:rsidRDefault="00692E71" w:rsidP="008E0250">
            <w:pPr>
              <w:jc w:val="center"/>
              <w:rPr>
                <w:rFonts w:cs="Arial"/>
                <w:sz w:val="18"/>
                <w:szCs w:val="18"/>
              </w:rPr>
            </w:pPr>
            <w:r w:rsidRPr="001E3185">
              <w:rPr>
                <w:rFonts w:cs="Arial"/>
                <w:sz w:val="18"/>
                <w:szCs w:val="18"/>
              </w:rPr>
              <w:t>0.04 (tebuconazole)</w:t>
            </w:r>
          </w:p>
          <w:p w14:paraId="541BE64C" w14:textId="77777777" w:rsidR="00692E71" w:rsidRPr="001E3185" w:rsidRDefault="00692E71" w:rsidP="008E0250">
            <w:pPr>
              <w:jc w:val="center"/>
              <w:rPr>
                <w:rFonts w:cs="Arial"/>
                <w:sz w:val="18"/>
                <w:szCs w:val="18"/>
              </w:rPr>
            </w:pPr>
            <w:r w:rsidRPr="001E3185">
              <w:rPr>
                <w:rFonts w:cs="Arial"/>
                <w:sz w:val="18"/>
                <w:szCs w:val="18"/>
              </w:rPr>
              <w:t>3.1*10</w:t>
            </w:r>
            <w:r w:rsidRPr="001E3185">
              <w:rPr>
                <w:rFonts w:cs="Arial"/>
                <w:sz w:val="18"/>
                <w:szCs w:val="18"/>
                <w:vertAlign w:val="superscript"/>
              </w:rPr>
              <w:t>-5</w:t>
            </w:r>
            <w:r w:rsidRPr="001E3185">
              <w:rPr>
                <w:rFonts w:cs="Arial"/>
                <w:sz w:val="18"/>
                <w:szCs w:val="18"/>
              </w:rPr>
              <w:t xml:space="preserve"> (cypermethrin)</w:t>
            </w:r>
          </w:p>
        </w:tc>
        <w:tc>
          <w:tcPr>
            <w:tcW w:w="993" w:type="dxa"/>
            <w:vAlign w:val="center"/>
          </w:tcPr>
          <w:p w14:paraId="4D5EC2D5"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90" w:type="dxa"/>
            <w:vAlign w:val="center"/>
          </w:tcPr>
          <w:p w14:paraId="47653B52" w14:textId="77777777" w:rsidR="00692E71" w:rsidRPr="001E3185" w:rsidRDefault="00692E71" w:rsidP="008E0250">
            <w:pPr>
              <w:jc w:val="center"/>
              <w:rPr>
                <w:rFonts w:cs="Arial"/>
                <w:sz w:val="18"/>
                <w:szCs w:val="18"/>
              </w:rPr>
            </w:pPr>
            <w:r w:rsidRPr="001E3185">
              <w:rPr>
                <w:rFonts w:cs="Arial"/>
                <w:sz w:val="18"/>
                <w:szCs w:val="18"/>
              </w:rPr>
              <w:t>O</w:t>
            </w:r>
          </w:p>
        </w:tc>
      </w:tr>
    </w:tbl>
    <w:p w14:paraId="007A0588" w14:textId="77777777" w:rsidR="00692E71" w:rsidRPr="001E3185" w:rsidRDefault="00692E71" w:rsidP="00692E71">
      <w:pPr>
        <w:rPr>
          <w:rFonts w:cs="Arial"/>
          <w:b/>
        </w:rPr>
      </w:pPr>
    </w:p>
    <w:p w14:paraId="6432ED26" w14:textId="77777777" w:rsidR="00692E71" w:rsidRPr="001E3185" w:rsidRDefault="00692E71" w:rsidP="00692E71">
      <w:pPr>
        <w:rPr>
          <w:rFonts w:cs="Arial"/>
        </w:rPr>
      </w:pPr>
      <w:r w:rsidRPr="001E3185">
        <w:rPr>
          <w:rFonts w:cs="Arial"/>
        </w:rPr>
        <w:t>* Combined concentrations in sediment</w:t>
      </w:r>
    </w:p>
    <w:p w14:paraId="10C0B43C" w14:textId="77777777" w:rsidR="00692E71" w:rsidRPr="001E3185" w:rsidRDefault="00692E71" w:rsidP="00692E71">
      <w:pPr>
        <w:rPr>
          <w:rFonts w:cs="Arial"/>
        </w:rPr>
      </w:pPr>
    </w:p>
    <w:p w14:paraId="4BCF102D" w14:textId="77777777" w:rsidR="00692E71" w:rsidRPr="001E3185" w:rsidRDefault="00692E71" w:rsidP="00692E71">
      <w:pPr>
        <w:rPr>
          <w:rFonts w:cs="Arial"/>
        </w:rPr>
      </w:pPr>
      <w:r w:rsidRPr="001E3185">
        <w:rPr>
          <w:rFonts w:cs="Arial"/>
        </w:rPr>
        <w:t>The combined concentrations in sediment were calculated according to the equilibrium partitioning method, based on formulas 18, 24 and 50 in the Technical Guidance Document on Risk Assessment (TGD). The calculations are shown in section 3.3.2.4.4 and the results in the table below.</w:t>
      </w:r>
    </w:p>
    <w:p w14:paraId="61AC78E5" w14:textId="77777777" w:rsidR="00692E71" w:rsidRPr="001E3185" w:rsidRDefault="00692E71" w:rsidP="00692E71">
      <w:pPr>
        <w:rPr>
          <w:rFonts w:cs="Arial"/>
        </w:rPr>
      </w:pPr>
    </w:p>
    <w:p w14:paraId="30A6CE45" w14:textId="77777777" w:rsidR="00692E71" w:rsidRPr="001E3185" w:rsidRDefault="00692E71" w:rsidP="00692E71">
      <w:pPr>
        <w:pStyle w:val="Lgende"/>
        <w:spacing w:after="0"/>
        <w:rPr>
          <w:rFonts w:ascii="Verdana" w:hAnsi="Verdana"/>
          <w:b/>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27</w:t>
      </w:r>
      <w:r w:rsidRPr="001E3185">
        <w:rPr>
          <w:rFonts w:ascii="Verdana" w:hAnsi="Verdana"/>
        </w:rPr>
        <w:fldChar w:fldCharType="end"/>
      </w:r>
      <w:r w:rsidRPr="001E3185">
        <w:rPr>
          <w:rFonts w:ascii="Verdana" w:hAnsi="Verdana"/>
        </w:rPr>
        <w:t xml:space="preserve">: Combined concentration in sediment from </w:t>
      </w:r>
      <w:r w:rsidRPr="001E3185">
        <w:rPr>
          <w:rFonts w:ascii="Verdana" w:hAnsi="Verdana"/>
          <w:i/>
        </w:rPr>
        <w:t>in-situ</w:t>
      </w:r>
      <w:r w:rsidRPr="001E3185">
        <w:rPr>
          <w:rFonts w:ascii="Verdana" w:hAnsi="Verdana"/>
        </w:rPr>
        <w:t xml:space="preserve"> (brushing) and </w:t>
      </w:r>
      <w:r w:rsidRPr="001E3185">
        <w:rPr>
          <w:rFonts w:ascii="Verdana" w:hAnsi="Verdana"/>
          <w:i/>
        </w:rPr>
        <w:t>in-service</w:t>
      </w:r>
      <w:r w:rsidRPr="001E3185">
        <w:rPr>
          <w:rFonts w:ascii="Verdana" w:hAnsi="Verdana"/>
        </w:rPr>
        <w:t xml:space="preserve"> (bridge over pond) taking removal into account</w:t>
      </w:r>
    </w:p>
    <w:tbl>
      <w:tblPr>
        <w:tblW w:w="9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559"/>
        <w:gridCol w:w="2552"/>
        <w:gridCol w:w="1133"/>
        <w:gridCol w:w="786"/>
      </w:tblGrid>
      <w:tr w:rsidR="00692E71" w:rsidRPr="001E3185" w14:paraId="186FFF21" w14:textId="77777777" w:rsidTr="008E0250">
        <w:trPr>
          <w:trHeight w:val="283"/>
          <w:tblHeader/>
        </w:trPr>
        <w:tc>
          <w:tcPr>
            <w:tcW w:w="3369" w:type="dxa"/>
            <w:shd w:val="clear" w:color="auto" w:fill="D9D9D9" w:themeFill="background1" w:themeFillShade="D9"/>
            <w:vAlign w:val="center"/>
          </w:tcPr>
          <w:p w14:paraId="0A44082F" w14:textId="77777777" w:rsidR="00692E71" w:rsidRPr="001E3185" w:rsidRDefault="00692E71" w:rsidP="008E0250">
            <w:pPr>
              <w:jc w:val="center"/>
              <w:rPr>
                <w:rFonts w:cs="Arial"/>
                <w:sz w:val="18"/>
                <w:szCs w:val="18"/>
                <w:highlight w:val="yellow"/>
              </w:rPr>
            </w:pPr>
            <w:r w:rsidRPr="001E3185">
              <w:rPr>
                <w:rFonts w:cs="Arial"/>
                <w:sz w:val="18"/>
                <w:szCs w:val="18"/>
              </w:rPr>
              <w:t>Parameter/variable</w:t>
            </w:r>
          </w:p>
        </w:tc>
        <w:tc>
          <w:tcPr>
            <w:tcW w:w="1559" w:type="dxa"/>
            <w:shd w:val="clear" w:color="auto" w:fill="D9D9D9" w:themeFill="background1" w:themeFillShade="D9"/>
            <w:vAlign w:val="center"/>
          </w:tcPr>
          <w:p w14:paraId="6EFAA1C1" w14:textId="77777777" w:rsidR="00692E71" w:rsidRPr="001E3185" w:rsidRDefault="00692E71" w:rsidP="008E0250">
            <w:pPr>
              <w:jc w:val="center"/>
              <w:rPr>
                <w:rFonts w:cs="Arial"/>
                <w:sz w:val="18"/>
                <w:szCs w:val="18"/>
              </w:rPr>
            </w:pPr>
            <w:r w:rsidRPr="001E3185">
              <w:rPr>
                <w:rFonts w:cs="Arial"/>
                <w:sz w:val="18"/>
                <w:szCs w:val="18"/>
              </w:rPr>
              <w:t>Nomenclature</w:t>
            </w:r>
          </w:p>
        </w:tc>
        <w:tc>
          <w:tcPr>
            <w:tcW w:w="2552" w:type="dxa"/>
            <w:shd w:val="clear" w:color="auto" w:fill="D9D9D9" w:themeFill="background1" w:themeFillShade="D9"/>
            <w:vAlign w:val="center"/>
          </w:tcPr>
          <w:p w14:paraId="201C492C" w14:textId="77777777" w:rsidR="00692E71" w:rsidRPr="001E3185" w:rsidRDefault="00692E71" w:rsidP="008E0250">
            <w:pPr>
              <w:jc w:val="center"/>
              <w:rPr>
                <w:rFonts w:cs="Arial"/>
                <w:sz w:val="18"/>
                <w:szCs w:val="18"/>
              </w:rPr>
            </w:pPr>
            <w:r w:rsidRPr="001E3185">
              <w:rPr>
                <w:rFonts w:cs="Arial"/>
                <w:sz w:val="18"/>
                <w:szCs w:val="18"/>
              </w:rPr>
              <w:t>Value</w:t>
            </w:r>
          </w:p>
        </w:tc>
        <w:tc>
          <w:tcPr>
            <w:tcW w:w="1133" w:type="dxa"/>
            <w:shd w:val="clear" w:color="auto" w:fill="D9D9D9" w:themeFill="background1" w:themeFillShade="D9"/>
            <w:vAlign w:val="center"/>
          </w:tcPr>
          <w:p w14:paraId="782FF1BA" w14:textId="77777777" w:rsidR="00692E71" w:rsidRPr="001E3185" w:rsidRDefault="00692E71" w:rsidP="008E0250">
            <w:pPr>
              <w:jc w:val="center"/>
              <w:rPr>
                <w:rFonts w:cs="Arial"/>
                <w:sz w:val="18"/>
                <w:szCs w:val="18"/>
              </w:rPr>
            </w:pPr>
            <w:r w:rsidRPr="001E3185">
              <w:rPr>
                <w:rFonts w:cs="Arial"/>
                <w:sz w:val="18"/>
                <w:szCs w:val="18"/>
              </w:rPr>
              <w:t>Unit</w:t>
            </w:r>
          </w:p>
        </w:tc>
        <w:tc>
          <w:tcPr>
            <w:tcW w:w="786" w:type="dxa"/>
            <w:shd w:val="clear" w:color="auto" w:fill="D9D9D9" w:themeFill="background1" w:themeFillShade="D9"/>
            <w:vAlign w:val="center"/>
          </w:tcPr>
          <w:p w14:paraId="6259571E" w14:textId="77777777" w:rsidR="00692E71" w:rsidRPr="001E3185" w:rsidRDefault="00692E71" w:rsidP="008E0250">
            <w:pPr>
              <w:jc w:val="center"/>
              <w:rPr>
                <w:rFonts w:cs="Arial"/>
                <w:sz w:val="18"/>
                <w:szCs w:val="18"/>
              </w:rPr>
            </w:pPr>
            <w:r w:rsidRPr="001E3185">
              <w:rPr>
                <w:rFonts w:cs="Arial"/>
                <w:sz w:val="18"/>
                <w:szCs w:val="18"/>
              </w:rPr>
              <w:t>Origin</w:t>
            </w:r>
          </w:p>
        </w:tc>
      </w:tr>
      <w:tr w:rsidR="00692E71" w:rsidRPr="001E3185" w14:paraId="317F54A6" w14:textId="77777777" w:rsidTr="008E0250">
        <w:trPr>
          <w:trHeight w:val="283"/>
        </w:trPr>
        <w:tc>
          <w:tcPr>
            <w:tcW w:w="9399" w:type="dxa"/>
            <w:gridSpan w:val="5"/>
            <w:vAlign w:val="center"/>
          </w:tcPr>
          <w:p w14:paraId="1B9B57AD" w14:textId="77777777" w:rsidR="00692E71" w:rsidRPr="001E3185" w:rsidRDefault="00692E71" w:rsidP="008E0250">
            <w:pPr>
              <w:rPr>
                <w:rFonts w:cs="Arial"/>
                <w:b/>
                <w:sz w:val="18"/>
                <w:szCs w:val="18"/>
              </w:rPr>
            </w:pPr>
            <w:r w:rsidRPr="001E3185">
              <w:rPr>
                <w:rFonts w:cs="Arial"/>
                <w:b/>
                <w:sz w:val="18"/>
                <w:szCs w:val="18"/>
              </w:rPr>
              <w:t>OUTPUT EMISSION</w:t>
            </w:r>
          </w:p>
        </w:tc>
      </w:tr>
      <w:tr w:rsidR="00692E71" w:rsidRPr="001E3185" w14:paraId="3D914D0C" w14:textId="77777777" w:rsidTr="008E0250">
        <w:tc>
          <w:tcPr>
            <w:tcW w:w="3369" w:type="dxa"/>
            <w:vAlign w:val="center"/>
          </w:tcPr>
          <w:p w14:paraId="7CDF451C" w14:textId="77777777" w:rsidR="00692E71" w:rsidRPr="001E3185" w:rsidRDefault="00692E71" w:rsidP="008E0250">
            <w:pPr>
              <w:rPr>
                <w:rFonts w:cs="Arial"/>
                <w:i/>
                <w:iCs/>
                <w:sz w:val="18"/>
                <w:szCs w:val="18"/>
              </w:rPr>
            </w:pPr>
            <w:r w:rsidRPr="001E3185">
              <w:rPr>
                <w:rFonts w:cs="Arial"/>
                <w:sz w:val="18"/>
                <w:szCs w:val="18"/>
              </w:rPr>
              <w:t>Combined concentrations in sediment resulting from application (brushing) and leaching of treated wood (30d), professional application</w:t>
            </w:r>
          </w:p>
        </w:tc>
        <w:tc>
          <w:tcPr>
            <w:tcW w:w="1559" w:type="dxa"/>
            <w:vAlign w:val="center"/>
          </w:tcPr>
          <w:p w14:paraId="1C6B3717"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sed,total, </w:t>
            </w:r>
            <w:r w:rsidRPr="001E3185">
              <w:rPr>
                <w:rFonts w:cs="Arial"/>
                <w:iCs/>
                <w:sz w:val="18"/>
                <w:szCs w:val="18"/>
                <w:vertAlign w:val="subscript"/>
              </w:rPr>
              <w:t>time1</w:t>
            </w:r>
          </w:p>
        </w:tc>
        <w:tc>
          <w:tcPr>
            <w:tcW w:w="2552" w:type="dxa"/>
            <w:vAlign w:val="center"/>
          </w:tcPr>
          <w:p w14:paraId="582D20D4" w14:textId="77777777" w:rsidR="00692E71" w:rsidRPr="001E3185" w:rsidRDefault="00692E71" w:rsidP="008E0250">
            <w:pPr>
              <w:jc w:val="center"/>
              <w:rPr>
                <w:rFonts w:cs="Arial"/>
                <w:sz w:val="18"/>
                <w:szCs w:val="18"/>
              </w:rPr>
            </w:pPr>
            <w:r w:rsidRPr="001E3185">
              <w:rPr>
                <w:rFonts w:cs="Arial"/>
                <w:iCs/>
                <w:sz w:val="18"/>
                <w:szCs w:val="18"/>
              </w:rPr>
              <w:t>1.7</w:t>
            </w:r>
            <w:r w:rsidRPr="001E3185">
              <w:rPr>
                <w:rFonts w:cs="Arial"/>
                <w:sz w:val="18"/>
                <w:szCs w:val="18"/>
              </w:rPr>
              <w:t>*10</w:t>
            </w:r>
            <w:r w:rsidRPr="001E3185">
              <w:rPr>
                <w:rFonts w:cs="Arial"/>
                <w:sz w:val="18"/>
                <w:szCs w:val="18"/>
                <w:vertAlign w:val="superscript"/>
              </w:rPr>
              <w:t>-6</w:t>
            </w:r>
            <w:r w:rsidRPr="001E3185">
              <w:rPr>
                <w:rFonts w:cs="Arial"/>
                <w:sz w:val="18"/>
                <w:szCs w:val="18"/>
              </w:rPr>
              <w:t xml:space="preserve"> (IPBC)</w:t>
            </w:r>
          </w:p>
          <w:p w14:paraId="56515D0D" w14:textId="77777777" w:rsidR="00692E71" w:rsidRPr="001E3185" w:rsidRDefault="00692E71" w:rsidP="008E0250">
            <w:pPr>
              <w:jc w:val="center"/>
              <w:rPr>
                <w:rFonts w:cs="Arial"/>
                <w:sz w:val="18"/>
                <w:szCs w:val="18"/>
              </w:rPr>
            </w:pPr>
            <w:r w:rsidRPr="001E3185">
              <w:rPr>
                <w:rFonts w:cs="Arial"/>
                <w:sz w:val="18"/>
                <w:szCs w:val="18"/>
              </w:rPr>
              <w:t xml:space="preserve"> 3</w:t>
            </w:r>
            <w:r w:rsidRPr="001E3185">
              <w:rPr>
                <w:rFonts w:cs="Arial"/>
                <w:iCs/>
                <w:sz w:val="18"/>
                <w:szCs w:val="18"/>
              </w:rPr>
              <w:t>.0</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(propiconazole)</w:t>
            </w:r>
          </w:p>
          <w:p w14:paraId="0A6B951E" w14:textId="77777777" w:rsidR="00692E71" w:rsidRPr="001E3185" w:rsidRDefault="00692E71" w:rsidP="008E0250">
            <w:pPr>
              <w:jc w:val="center"/>
              <w:rPr>
                <w:rFonts w:cs="Arial"/>
                <w:sz w:val="18"/>
                <w:szCs w:val="18"/>
              </w:rPr>
            </w:pPr>
            <w:r w:rsidRPr="001E3185">
              <w:rPr>
                <w:rFonts w:cs="Arial"/>
                <w:sz w:val="18"/>
                <w:szCs w:val="18"/>
              </w:rPr>
              <w:t xml:space="preserve">   </w:t>
            </w:r>
            <w:r w:rsidRPr="001E3185">
              <w:rPr>
                <w:rFonts w:cs="Arial"/>
                <w:iCs/>
                <w:sz w:val="18"/>
                <w:szCs w:val="18"/>
              </w:rPr>
              <w:t>1.2</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(tebuconazole)</w:t>
            </w:r>
          </w:p>
          <w:p w14:paraId="5C4447C2" w14:textId="77777777" w:rsidR="00692E71" w:rsidRPr="001E3185" w:rsidRDefault="00692E71" w:rsidP="008E0250">
            <w:pPr>
              <w:jc w:val="center"/>
              <w:rPr>
                <w:rFonts w:cs="Arial"/>
                <w:sz w:val="18"/>
                <w:szCs w:val="18"/>
              </w:rPr>
            </w:pPr>
            <w:r w:rsidRPr="001E3185">
              <w:rPr>
                <w:rFonts w:cs="Arial"/>
                <w:sz w:val="18"/>
                <w:szCs w:val="18"/>
              </w:rPr>
              <w:t xml:space="preserve">  4</w:t>
            </w:r>
            <w:r w:rsidRPr="001E3185">
              <w:rPr>
                <w:rFonts w:cs="Arial"/>
                <w:iCs/>
                <w:sz w:val="18"/>
                <w:szCs w:val="18"/>
              </w:rPr>
              <w:t>.5</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(cypermethrin)</w:t>
            </w:r>
          </w:p>
        </w:tc>
        <w:tc>
          <w:tcPr>
            <w:tcW w:w="1133" w:type="dxa"/>
            <w:vAlign w:val="center"/>
          </w:tcPr>
          <w:p w14:paraId="4281CF98" w14:textId="77777777" w:rsidR="00692E71" w:rsidRPr="001E3185" w:rsidRDefault="00692E71" w:rsidP="008E0250">
            <w:pPr>
              <w:jc w:val="center"/>
              <w:rPr>
                <w:rFonts w:cs="Arial"/>
                <w:i/>
                <w:iCs/>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0905C633"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6CBF0738" w14:textId="77777777" w:rsidTr="008E0250">
        <w:tc>
          <w:tcPr>
            <w:tcW w:w="3369" w:type="dxa"/>
            <w:vAlign w:val="center"/>
          </w:tcPr>
          <w:p w14:paraId="0A4599E2" w14:textId="77777777" w:rsidR="00692E71" w:rsidRPr="001E3185" w:rsidRDefault="00692E71" w:rsidP="008E0250">
            <w:pPr>
              <w:keepNext/>
              <w:keepLines/>
              <w:rPr>
                <w:rFonts w:cs="Arial"/>
                <w:sz w:val="18"/>
                <w:szCs w:val="18"/>
              </w:rPr>
            </w:pPr>
            <w:r w:rsidRPr="001E3185">
              <w:rPr>
                <w:rFonts w:cs="Arial"/>
                <w:sz w:val="18"/>
                <w:szCs w:val="18"/>
              </w:rPr>
              <w:t>Combined concentrations in sediment resulting from application (brushing) and leaching of treated wood (30d), non-professional application</w:t>
            </w:r>
          </w:p>
        </w:tc>
        <w:tc>
          <w:tcPr>
            <w:tcW w:w="1559" w:type="dxa"/>
            <w:vAlign w:val="center"/>
          </w:tcPr>
          <w:p w14:paraId="2B2D2262" w14:textId="77777777" w:rsidR="00692E71" w:rsidRPr="001E3185" w:rsidRDefault="00692E71" w:rsidP="008E0250">
            <w:pPr>
              <w:keepNext/>
              <w:keepLines/>
              <w:rPr>
                <w:rFonts w:cs="Arial"/>
                <w:sz w:val="18"/>
                <w:szCs w:val="18"/>
              </w:rPr>
            </w:pPr>
            <w:r w:rsidRPr="001E3185">
              <w:rPr>
                <w:rFonts w:cs="Arial"/>
                <w:sz w:val="18"/>
                <w:szCs w:val="18"/>
              </w:rPr>
              <w:t>Clocal</w:t>
            </w:r>
            <w:r w:rsidRPr="001E3185">
              <w:rPr>
                <w:rFonts w:cs="Arial"/>
                <w:sz w:val="18"/>
                <w:szCs w:val="18"/>
                <w:vertAlign w:val="subscript"/>
              </w:rPr>
              <w:t xml:space="preserve">sed,total, </w:t>
            </w:r>
            <w:r w:rsidRPr="001E3185">
              <w:rPr>
                <w:rFonts w:cs="Arial"/>
                <w:iCs/>
                <w:sz w:val="18"/>
                <w:szCs w:val="18"/>
                <w:vertAlign w:val="subscript"/>
              </w:rPr>
              <w:t>time1</w:t>
            </w:r>
          </w:p>
        </w:tc>
        <w:tc>
          <w:tcPr>
            <w:tcW w:w="2552" w:type="dxa"/>
            <w:vAlign w:val="center"/>
          </w:tcPr>
          <w:p w14:paraId="7D8CD4AD" w14:textId="77777777" w:rsidR="00692E71" w:rsidRPr="001E3185" w:rsidRDefault="00692E71" w:rsidP="008E0250">
            <w:pPr>
              <w:jc w:val="center"/>
              <w:rPr>
                <w:rFonts w:cs="Arial"/>
                <w:sz w:val="18"/>
                <w:szCs w:val="18"/>
              </w:rPr>
            </w:pPr>
            <w:r w:rsidRPr="001E3185">
              <w:rPr>
                <w:rFonts w:cs="Arial"/>
                <w:iCs/>
                <w:sz w:val="18"/>
                <w:szCs w:val="18"/>
              </w:rPr>
              <w:t>2.2</w:t>
            </w:r>
            <w:r w:rsidRPr="001E3185">
              <w:rPr>
                <w:rFonts w:cs="Arial"/>
                <w:sz w:val="18"/>
                <w:szCs w:val="18"/>
              </w:rPr>
              <w:t>*10</w:t>
            </w:r>
            <w:r w:rsidRPr="001E3185">
              <w:rPr>
                <w:rFonts w:cs="Arial"/>
                <w:sz w:val="18"/>
                <w:szCs w:val="18"/>
                <w:vertAlign w:val="superscript"/>
              </w:rPr>
              <w:t>-6</w:t>
            </w:r>
            <w:r w:rsidRPr="001E3185">
              <w:rPr>
                <w:rFonts w:cs="Arial"/>
                <w:sz w:val="18"/>
                <w:szCs w:val="18"/>
              </w:rPr>
              <w:t xml:space="preserve"> (IPBC)</w:t>
            </w:r>
          </w:p>
          <w:p w14:paraId="1EC7F134" w14:textId="77777777" w:rsidR="00692E71" w:rsidRPr="001E3185" w:rsidRDefault="00692E71" w:rsidP="008E0250">
            <w:pPr>
              <w:jc w:val="center"/>
              <w:rPr>
                <w:rFonts w:cs="Arial"/>
                <w:sz w:val="18"/>
                <w:szCs w:val="18"/>
              </w:rPr>
            </w:pPr>
            <w:r w:rsidRPr="001E3185">
              <w:rPr>
                <w:rFonts w:cs="Arial"/>
                <w:sz w:val="18"/>
                <w:szCs w:val="18"/>
              </w:rPr>
              <w:t xml:space="preserve"> 3</w:t>
            </w:r>
            <w:r w:rsidRPr="001E3185">
              <w:rPr>
                <w:rFonts w:cs="Arial"/>
                <w:iCs/>
                <w:sz w:val="18"/>
                <w:szCs w:val="18"/>
              </w:rPr>
              <w:t>.6</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(propiconazole)</w:t>
            </w:r>
          </w:p>
          <w:p w14:paraId="777D1135" w14:textId="77777777" w:rsidR="00692E71" w:rsidRPr="001E3185" w:rsidRDefault="00692E71" w:rsidP="008E0250">
            <w:pPr>
              <w:jc w:val="center"/>
              <w:rPr>
                <w:rFonts w:cs="Arial"/>
                <w:sz w:val="18"/>
                <w:szCs w:val="18"/>
              </w:rPr>
            </w:pPr>
            <w:r w:rsidRPr="001E3185">
              <w:rPr>
                <w:rFonts w:cs="Arial"/>
                <w:sz w:val="18"/>
                <w:szCs w:val="18"/>
              </w:rPr>
              <w:t xml:space="preserve">   </w:t>
            </w:r>
            <w:r w:rsidRPr="001E3185">
              <w:rPr>
                <w:rFonts w:cs="Arial"/>
                <w:iCs/>
                <w:sz w:val="18"/>
                <w:szCs w:val="18"/>
              </w:rPr>
              <w:t>1.4</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(tebuconazole)</w:t>
            </w:r>
          </w:p>
          <w:p w14:paraId="140A1CBC" w14:textId="77777777" w:rsidR="00692E71" w:rsidRPr="001E3185" w:rsidRDefault="00692E71" w:rsidP="008E0250">
            <w:pPr>
              <w:keepNext/>
              <w:keepLines/>
              <w:jc w:val="center"/>
              <w:rPr>
                <w:rFonts w:cs="Arial"/>
                <w:iCs/>
                <w:sz w:val="18"/>
                <w:szCs w:val="18"/>
              </w:rPr>
            </w:pPr>
            <w:r w:rsidRPr="001E3185">
              <w:rPr>
                <w:rFonts w:cs="Arial"/>
                <w:sz w:val="18"/>
                <w:szCs w:val="18"/>
              </w:rPr>
              <w:t xml:space="preserve">  7</w:t>
            </w:r>
            <w:r w:rsidRPr="001E3185">
              <w:rPr>
                <w:rFonts w:cs="Arial"/>
                <w:iCs/>
                <w:sz w:val="18"/>
                <w:szCs w:val="18"/>
              </w:rPr>
              <w:t>.5</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(cypermethrin)</w:t>
            </w:r>
          </w:p>
        </w:tc>
        <w:tc>
          <w:tcPr>
            <w:tcW w:w="1133" w:type="dxa"/>
            <w:vAlign w:val="center"/>
          </w:tcPr>
          <w:p w14:paraId="62FD2326" w14:textId="77777777" w:rsidR="00692E71" w:rsidRPr="001E3185" w:rsidRDefault="00692E71" w:rsidP="008E0250">
            <w:pPr>
              <w:keepNext/>
              <w:keepLines/>
              <w:jc w:val="cente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243A5441" w14:textId="77777777" w:rsidR="00692E71" w:rsidRPr="001E3185" w:rsidRDefault="00692E71" w:rsidP="008E0250">
            <w:pPr>
              <w:keepNext/>
              <w:keepLines/>
              <w:jc w:val="center"/>
              <w:rPr>
                <w:rFonts w:cs="Arial"/>
                <w:sz w:val="18"/>
                <w:szCs w:val="18"/>
              </w:rPr>
            </w:pPr>
            <w:r w:rsidRPr="001E3185">
              <w:rPr>
                <w:rFonts w:cs="Arial"/>
                <w:sz w:val="18"/>
                <w:szCs w:val="18"/>
              </w:rPr>
              <w:t>O</w:t>
            </w:r>
          </w:p>
        </w:tc>
      </w:tr>
      <w:tr w:rsidR="00692E71" w:rsidRPr="001E3185" w14:paraId="01FD93FC" w14:textId="77777777" w:rsidTr="008E0250">
        <w:tc>
          <w:tcPr>
            <w:tcW w:w="3369" w:type="dxa"/>
            <w:vAlign w:val="center"/>
          </w:tcPr>
          <w:p w14:paraId="7784E5BA" w14:textId="77777777" w:rsidR="00692E71" w:rsidRPr="001E3185" w:rsidRDefault="00692E71" w:rsidP="008E0250">
            <w:pPr>
              <w:rPr>
                <w:rFonts w:cs="Arial"/>
                <w:sz w:val="18"/>
                <w:szCs w:val="18"/>
              </w:rPr>
            </w:pPr>
            <w:r w:rsidRPr="001E3185">
              <w:rPr>
                <w:rFonts w:cs="Arial"/>
                <w:sz w:val="18"/>
                <w:szCs w:val="18"/>
              </w:rPr>
              <w:t>Combined concentrations in sediment resulting from application (brushing) and leaching of treated wood (1825d), professional application</w:t>
            </w:r>
          </w:p>
        </w:tc>
        <w:tc>
          <w:tcPr>
            <w:tcW w:w="1559" w:type="dxa"/>
            <w:vAlign w:val="center"/>
          </w:tcPr>
          <w:p w14:paraId="406E1079"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sed,total,</w:t>
            </w:r>
            <w:r w:rsidRPr="001E3185">
              <w:rPr>
                <w:rFonts w:cs="Arial"/>
                <w:iCs/>
                <w:sz w:val="18"/>
                <w:szCs w:val="18"/>
                <w:vertAlign w:val="subscript"/>
              </w:rPr>
              <w:t xml:space="preserve"> time2</w:t>
            </w:r>
          </w:p>
        </w:tc>
        <w:tc>
          <w:tcPr>
            <w:tcW w:w="2552" w:type="dxa"/>
            <w:vAlign w:val="center"/>
          </w:tcPr>
          <w:p w14:paraId="597ACE31" w14:textId="77777777" w:rsidR="00692E71" w:rsidRPr="001E3185" w:rsidRDefault="00692E71" w:rsidP="008E0250">
            <w:pPr>
              <w:jc w:val="center"/>
              <w:rPr>
                <w:rFonts w:cs="Arial"/>
                <w:sz w:val="18"/>
                <w:szCs w:val="18"/>
              </w:rPr>
            </w:pPr>
            <w:r w:rsidRPr="001E3185">
              <w:rPr>
                <w:rFonts w:cs="Arial"/>
                <w:iCs/>
                <w:sz w:val="18"/>
                <w:szCs w:val="18"/>
              </w:rPr>
              <w:t>6.1</w:t>
            </w:r>
            <w:r w:rsidRPr="001E3185">
              <w:rPr>
                <w:rFonts w:cs="Arial"/>
                <w:sz w:val="18"/>
                <w:szCs w:val="18"/>
              </w:rPr>
              <w:t>*10</w:t>
            </w:r>
            <w:r w:rsidRPr="001E3185">
              <w:rPr>
                <w:rFonts w:cs="Arial"/>
                <w:sz w:val="18"/>
                <w:szCs w:val="18"/>
                <w:vertAlign w:val="superscript"/>
              </w:rPr>
              <w:t>-8</w:t>
            </w:r>
            <w:r w:rsidRPr="001E3185">
              <w:rPr>
                <w:rFonts w:cs="Arial"/>
                <w:sz w:val="18"/>
                <w:szCs w:val="18"/>
              </w:rPr>
              <w:t xml:space="preserve"> (IPBC)</w:t>
            </w:r>
          </w:p>
          <w:p w14:paraId="57451EA4" w14:textId="77777777" w:rsidR="00692E71" w:rsidRPr="001E3185" w:rsidRDefault="00692E71" w:rsidP="008E0250">
            <w:pPr>
              <w:jc w:val="center"/>
              <w:rPr>
                <w:rFonts w:cs="Arial"/>
                <w:sz w:val="18"/>
                <w:szCs w:val="18"/>
              </w:rPr>
            </w:pPr>
            <w:r w:rsidRPr="001E3185">
              <w:rPr>
                <w:rFonts w:cs="Arial"/>
                <w:sz w:val="18"/>
                <w:szCs w:val="18"/>
              </w:rPr>
              <w:t xml:space="preserve"> 6</w:t>
            </w:r>
            <w:r w:rsidRPr="001E3185">
              <w:rPr>
                <w:rFonts w:cs="Arial"/>
                <w:iCs/>
                <w:sz w:val="18"/>
                <w:szCs w:val="18"/>
              </w:rPr>
              <w:t>.2</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(propiconazole)</w:t>
            </w:r>
          </w:p>
          <w:p w14:paraId="11B5688D" w14:textId="77777777" w:rsidR="00692E71" w:rsidRPr="001E3185" w:rsidRDefault="00692E71" w:rsidP="008E0250">
            <w:pPr>
              <w:jc w:val="center"/>
              <w:rPr>
                <w:rFonts w:cs="Arial"/>
                <w:sz w:val="18"/>
                <w:szCs w:val="18"/>
              </w:rPr>
            </w:pPr>
            <w:r w:rsidRPr="001E3185">
              <w:rPr>
                <w:rFonts w:cs="Arial"/>
                <w:sz w:val="18"/>
                <w:szCs w:val="18"/>
              </w:rPr>
              <w:t xml:space="preserve">   8</w:t>
            </w:r>
            <w:r w:rsidRPr="001E3185">
              <w:rPr>
                <w:rFonts w:cs="Arial"/>
                <w:iCs/>
                <w:sz w:val="18"/>
                <w:szCs w:val="18"/>
              </w:rPr>
              <w:t>.9</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(tebuconazole)</w:t>
            </w:r>
          </w:p>
          <w:p w14:paraId="77789D12" w14:textId="77777777" w:rsidR="00692E71" w:rsidRPr="001E3185" w:rsidRDefault="00692E71" w:rsidP="008E0250">
            <w:pPr>
              <w:jc w:val="center"/>
              <w:rPr>
                <w:rFonts w:cs="Arial"/>
                <w:sz w:val="18"/>
                <w:szCs w:val="18"/>
              </w:rPr>
            </w:pPr>
            <w:r w:rsidRPr="001E3185">
              <w:rPr>
                <w:rFonts w:cs="Arial"/>
                <w:sz w:val="18"/>
                <w:szCs w:val="18"/>
              </w:rPr>
              <w:t xml:space="preserve">  6</w:t>
            </w:r>
            <w:r w:rsidRPr="001E3185">
              <w:rPr>
                <w:rFonts w:cs="Arial"/>
                <w:iCs/>
                <w:sz w:val="18"/>
                <w:szCs w:val="18"/>
              </w:rPr>
              <w:t>.6</w:t>
            </w:r>
            <w:r w:rsidRPr="001E3185">
              <w:rPr>
                <w:rFonts w:cs="Arial"/>
                <w:sz w:val="18"/>
                <w:szCs w:val="18"/>
              </w:rPr>
              <w:t>*10</w:t>
            </w:r>
            <w:r w:rsidRPr="001E3185">
              <w:rPr>
                <w:rFonts w:cs="Arial"/>
                <w:sz w:val="18"/>
                <w:szCs w:val="18"/>
                <w:vertAlign w:val="superscript"/>
              </w:rPr>
              <w:t>-4</w:t>
            </w:r>
            <w:r w:rsidRPr="001E3185">
              <w:rPr>
                <w:rFonts w:cs="Arial"/>
                <w:sz w:val="18"/>
                <w:szCs w:val="18"/>
              </w:rPr>
              <w:t xml:space="preserve"> (cypermethrin)</w:t>
            </w:r>
          </w:p>
        </w:tc>
        <w:tc>
          <w:tcPr>
            <w:tcW w:w="1133" w:type="dxa"/>
            <w:vAlign w:val="center"/>
          </w:tcPr>
          <w:p w14:paraId="692EB00D" w14:textId="77777777" w:rsidR="00692E71" w:rsidRPr="001E3185" w:rsidRDefault="00692E71" w:rsidP="008E0250">
            <w:pPr>
              <w:jc w:val="cente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3F24CDF2"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6B176DCD" w14:textId="77777777" w:rsidTr="008E0250">
        <w:tc>
          <w:tcPr>
            <w:tcW w:w="3369" w:type="dxa"/>
            <w:vAlign w:val="center"/>
          </w:tcPr>
          <w:p w14:paraId="7822E091" w14:textId="77777777" w:rsidR="00692E71" w:rsidRPr="001E3185" w:rsidRDefault="00692E71" w:rsidP="008E0250">
            <w:pPr>
              <w:rPr>
                <w:rFonts w:cs="Arial"/>
                <w:sz w:val="18"/>
                <w:szCs w:val="18"/>
              </w:rPr>
            </w:pPr>
            <w:r w:rsidRPr="001E3185">
              <w:rPr>
                <w:rFonts w:cs="Arial"/>
                <w:sz w:val="18"/>
                <w:szCs w:val="18"/>
              </w:rPr>
              <w:t>Combined concentrations in sediment resulting from application (brushing) and leaching of treated wood (1825d), non-professional application</w:t>
            </w:r>
          </w:p>
        </w:tc>
        <w:tc>
          <w:tcPr>
            <w:tcW w:w="1559" w:type="dxa"/>
            <w:vAlign w:val="center"/>
          </w:tcPr>
          <w:p w14:paraId="6D0E1974"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sed,total,</w:t>
            </w:r>
            <w:r w:rsidRPr="001E3185">
              <w:rPr>
                <w:rFonts w:cs="Arial"/>
                <w:iCs/>
                <w:sz w:val="18"/>
                <w:szCs w:val="18"/>
                <w:vertAlign w:val="subscript"/>
              </w:rPr>
              <w:t xml:space="preserve"> time2</w:t>
            </w:r>
          </w:p>
        </w:tc>
        <w:tc>
          <w:tcPr>
            <w:tcW w:w="2552" w:type="dxa"/>
            <w:vAlign w:val="center"/>
          </w:tcPr>
          <w:p w14:paraId="50F374F2" w14:textId="77777777" w:rsidR="00692E71" w:rsidRPr="001E3185" w:rsidRDefault="00692E71" w:rsidP="008E0250">
            <w:pPr>
              <w:jc w:val="center"/>
              <w:rPr>
                <w:rFonts w:cs="Arial"/>
                <w:sz w:val="18"/>
                <w:szCs w:val="18"/>
              </w:rPr>
            </w:pPr>
            <w:r w:rsidRPr="001E3185">
              <w:rPr>
                <w:rFonts w:cs="Arial"/>
                <w:iCs/>
                <w:sz w:val="18"/>
                <w:szCs w:val="18"/>
              </w:rPr>
              <w:t>6.9</w:t>
            </w:r>
            <w:r w:rsidRPr="001E3185">
              <w:rPr>
                <w:rFonts w:cs="Arial"/>
                <w:sz w:val="18"/>
                <w:szCs w:val="18"/>
              </w:rPr>
              <w:t>*10</w:t>
            </w:r>
            <w:r w:rsidRPr="001E3185">
              <w:rPr>
                <w:rFonts w:cs="Arial"/>
                <w:sz w:val="18"/>
                <w:szCs w:val="18"/>
                <w:vertAlign w:val="superscript"/>
              </w:rPr>
              <w:t>-8</w:t>
            </w:r>
            <w:r w:rsidRPr="001E3185">
              <w:rPr>
                <w:rFonts w:cs="Arial"/>
                <w:sz w:val="18"/>
                <w:szCs w:val="18"/>
              </w:rPr>
              <w:t xml:space="preserve"> (IPBC)</w:t>
            </w:r>
          </w:p>
          <w:p w14:paraId="26DA40DB" w14:textId="77777777" w:rsidR="00692E71" w:rsidRPr="001E3185" w:rsidRDefault="00692E71" w:rsidP="008E0250">
            <w:pPr>
              <w:jc w:val="center"/>
              <w:rPr>
                <w:rFonts w:cs="Arial"/>
                <w:sz w:val="18"/>
                <w:szCs w:val="18"/>
              </w:rPr>
            </w:pPr>
            <w:r w:rsidRPr="001E3185">
              <w:rPr>
                <w:rFonts w:cs="Arial"/>
                <w:sz w:val="18"/>
                <w:szCs w:val="18"/>
              </w:rPr>
              <w:t xml:space="preserve"> 6</w:t>
            </w:r>
            <w:r w:rsidRPr="001E3185">
              <w:rPr>
                <w:rFonts w:cs="Arial"/>
                <w:iCs/>
                <w:sz w:val="18"/>
                <w:szCs w:val="18"/>
              </w:rPr>
              <w:t>.6</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(propiconazole)</w:t>
            </w:r>
          </w:p>
          <w:p w14:paraId="1DF6DC57" w14:textId="77777777" w:rsidR="00692E71" w:rsidRPr="001E3185" w:rsidRDefault="00692E71" w:rsidP="008E0250">
            <w:pPr>
              <w:jc w:val="center"/>
              <w:rPr>
                <w:rFonts w:cs="Arial"/>
                <w:sz w:val="18"/>
                <w:szCs w:val="18"/>
              </w:rPr>
            </w:pPr>
            <w:r w:rsidRPr="001E3185">
              <w:rPr>
                <w:rFonts w:cs="Arial"/>
                <w:sz w:val="18"/>
                <w:szCs w:val="18"/>
              </w:rPr>
              <w:t xml:space="preserve">   9</w:t>
            </w:r>
            <w:r w:rsidRPr="001E3185">
              <w:rPr>
                <w:rFonts w:cs="Arial"/>
                <w:iCs/>
                <w:sz w:val="18"/>
                <w:szCs w:val="18"/>
              </w:rPr>
              <w:t>.5</w:t>
            </w:r>
            <w:r w:rsidRPr="001E3185">
              <w:rPr>
                <w:rFonts w:cs="Arial"/>
                <w:sz w:val="18"/>
                <w:szCs w:val="18"/>
              </w:rPr>
              <w:t>*10</w:t>
            </w:r>
            <w:r w:rsidRPr="001E3185">
              <w:rPr>
                <w:rFonts w:cs="Arial"/>
                <w:sz w:val="18"/>
                <w:szCs w:val="18"/>
                <w:vertAlign w:val="superscript"/>
              </w:rPr>
              <w:t>-4</w:t>
            </w:r>
            <w:r w:rsidRPr="001E3185">
              <w:rPr>
                <w:rFonts w:cs="Arial"/>
                <w:sz w:val="18"/>
                <w:szCs w:val="18"/>
              </w:rPr>
              <w:t xml:space="preserve"> (tebuconazole)</w:t>
            </w:r>
          </w:p>
          <w:p w14:paraId="226FB3B9" w14:textId="77777777" w:rsidR="00692E71" w:rsidRPr="001E3185" w:rsidRDefault="00692E71" w:rsidP="008E0250">
            <w:pPr>
              <w:jc w:val="center"/>
              <w:rPr>
                <w:rFonts w:cs="Arial"/>
                <w:iCs/>
                <w:sz w:val="18"/>
                <w:szCs w:val="18"/>
              </w:rPr>
            </w:pPr>
            <w:r w:rsidRPr="001E3185">
              <w:rPr>
                <w:rFonts w:cs="Arial"/>
                <w:sz w:val="18"/>
                <w:szCs w:val="18"/>
              </w:rPr>
              <w:t xml:space="preserve">  3</w:t>
            </w:r>
            <w:r w:rsidRPr="001E3185">
              <w:rPr>
                <w:rFonts w:cs="Arial"/>
                <w:iCs/>
                <w:sz w:val="18"/>
                <w:szCs w:val="18"/>
              </w:rPr>
              <w:t>.8</w:t>
            </w:r>
            <w:r w:rsidRPr="001E3185">
              <w:rPr>
                <w:rFonts w:cs="Arial"/>
                <w:sz w:val="18"/>
                <w:szCs w:val="18"/>
              </w:rPr>
              <w:t>*10</w:t>
            </w:r>
            <w:r w:rsidRPr="001E3185">
              <w:rPr>
                <w:rFonts w:cs="Arial"/>
                <w:sz w:val="18"/>
                <w:szCs w:val="18"/>
                <w:vertAlign w:val="superscript"/>
              </w:rPr>
              <w:t>-4</w:t>
            </w:r>
            <w:r w:rsidRPr="001E3185">
              <w:rPr>
                <w:rFonts w:cs="Arial"/>
                <w:sz w:val="18"/>
                <w:szCs w:val="18"/>
              </w:rPr>
              <w:t xml:space="preserve"> (cypermethrin)</w:t>
            </w:r>
          </w:p>
        </w:tc>
        <w:tc>
          <w:tcPr>
            <w:tcW w:w="1133" w:type="dxa"/>
            <w:vAlign w:val="center"/>
          </w:tcPr>
          <w:p w14:paraId="324E89F0" w14:textId="77777777" w:rsidR="00692E71" w:rsidRPr="001E3185" w:rsidRDefault="00692E71" w:rsidP="008E0250">
            <w:pPr>
              <w:jc w:val="cente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0A0E8BD7" w14:textId="77777777" w:rsidR="00692E71" w:rsidRPr="001E3185" w:rsidRDefault="00692E71" w:rsidP="008E0250">
            <w:pPr>
              <w:jc w:val="center"/>
              <w:rPr>
                <w:rFonts w:cs="Arial"/>
                <w:sz w:val="18"/>
                <w:szCs w:val="18"/>
              </w:rPr>
            </w:pPr>
            <w:r w:rsidRPr="001E3185">
              <w:rPr>
                <w:rFonts w:cs="Arial"/>
                <w:sz w:val="18"/>
                <w:szCs w:val="18"/>
              </w:rPr>
              <w:t>O</w:t>
            </w:r>
          </w:p>
        </w:tc>
      </w:tr>
    </w:tbl>
    <w:p w14:paraId="7CDC423D" w14:textId="77777777" w:rsidR="00692E71" w:rsidRPr="00750AC3" w:rsidRDefault="00692E71" w:rsidP="00692E71">
      <w:pPr>
        <w:rPr>
          <w:rFonts w:ascii="Arial" w:hAnsi="Arial" w:cs="Arial"/>
          <w:highlight w:val="yellow"/>
        </w:rPr>
      </w:pPr>
    </w:p>
    <w:p w14:paraId="28E6063D" w14:textId="77777777" w:rsidR="00692E71" w:rsidRPr="00FE333D" w:rsidRDefault="00692E71" w:rsidP="003356DA">
      <w:pPr>
        <w:pStyle w:val="Titre7"/>
        <w:rPr>
          <w:lang w:val="en-US"/>
        </w:rPr>
      </w:pPr>
      <w:bookmarkStart w:id="137" w:name="_Toc452669002"/>
      <w:r w:rsidRPr="00FE333D">
        <w:rPr>
          <w:lang w:val="en-US"/>
        </w:rPr>
        <w:t>Spraying, combined concentrations from in-situ treatment and in-service</w:t>
      </w:r>
      <w:bookmarkEnd w:id="137"/>
    </w:p>
    <w:p w14:paraId="1B8A112D" w14:textId="77777777" w:rsidR="00692E71" w:rsidRPr="001E3185" w:rsidRDefault="00692E71" w:rsidP="00692E71">
      <w:pPr>
        <w:rPr>
          <w:rFonts w:cs="Arial"/>
        </w:rPr>
      </w:pPr>
    </w:p>
    <w:p w14:paraId="1AC1BBF9" w14:textId="77777777" w:rsidR="00692E71" w:rsidRPr="001E3185" w:rsidRDefault="00692E71" w:rsidP="00692E71">
      <w:pPr>
        <w:rPr>
          <w:rFonts w:cs="Arial"/>
        </w:rPr>
      </w:pPr>
      <w:r w:rsidRPr="001E3185">
        <w:rPr>
          <w:rFonts w:cs="Arial"/>
        </w:rPr>
        <w:t xml:space="preserve">The combined concentrations in soil and pore-water resulting from </w:t>
      </w:r>
      <w:r w:rsidRPr="001E3185">
        <w:rPr>
          <w:rFonts w:cs="Arial"/>
          <w:i/>
        </w:rPr>
        <w:t>In-situ</w:t>
      </w:r>
      <w:r w:rsidRPr="001E3185">
        <w:rPr>
          <w:rFonts w:cs="Arial"/>
        </w:rPr>
        <w:t xml:space="preserve"> treatment (spraying) and </w:t>
      </w:r>
      <w:r w:rsidRPr="001E3185">
        <w:rPr>
          <w:rFonts w:cs="Arial"/>
          <w:i/>
        </w:rPr>
        <w:t>in-service</w:t>
      </w:r>
      <w:r w:rsidRPr="001E3185">
        <w:rPr>
          <w:rFonts w:cs="Arial"/>
        </w:rPr>
        <w:t xml:space="preserve"> (House) of treated wood are presented below.</w:t>
      </w:r>
    </w:p>
    <w:p w14:paraId="15550405" w14:textId="77777777" w:rsidR="00692E71" w:rsidRPr="001E3185" w:rsidRDefault="00692E71" w:rsidP="00692E71">
      <w:pPr>
        <w:rPr>
          <w:rFonts w:cs="Arial"/>
        </w:rPr>
      </w:pPr>
    </w:p>
    <w:p w14:paraId="7987EF02" w14:textId="77777777" w:rsidR="00692E71" w:rsidRPr="001E3185" w:rsidRDefault="00692E71" w:rsidP="00692E71">
      <w:pPr>
        <w:rPr>
          <w:rFonts w:cs="Arial"/>
          <w:b/>
        </w:rPr>
      </w:pPr>
      <w:r w:rsidRPr="001E3185">
        <w:rPr>
          <w:rFonts w:cs="Arial"/>
          <w:b/>
        </w:rPr>
        <w:t>- Combined concentrations not taking removal into account</w:t>
      </w:r>
    </w:p>
    <w:p w14:paraId="6EE90C98" w14:textId="77777777" w:rsidR="00692E71" w:rsidRPr="001E3185" w:rsidRDefault="00692E71" w:rsidP="00692E71">
      <w:pPr>
        <w:rPr>
          <w:rFonts w:cs="Arial"/>
          <w:highlight w:val="yellow"/>
        </w:rPr>
      </w:pPr>
    </w:p>
    <w:p w14:paraId="7D952092" w14:textId="77777777" w:rsidR="00692E71" w:rsidRPr="001E3185" w:rsidRDefault="00692E71" w:rsidP="00692E71">
      <w:pPr>
        <w:pStyle w:val="Lgende"/>
        <w:spacing w:after="0"/>
        <w:rPr>
          <w:rFonts w:ascii="Verdana" w:hAnsi="Verdana"/>
          <w:b/>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28</w:t>
      </w:r>
      <w:r w:rsidRPr="001E3185">
        <w:rPr>
          <w:rFonts w:ascii="Verdana" w:hAnsi="Verdana"/>
        </w:rPr>
        <w:fldChar w:fldCharType="end"/>
      </w:r>
      <w:r w:rsidRPr="001E3185">
        <w:rPr>
          <w:rFonts w:ascii="Verdana" w:hAnsi="Verdana"/>
        </w:rPr>
        <w:t xml:space="preserve">: Combined concentration in soil from </w:t>
      </w:r>
      <w:r w:rsidRPr="001E3185">
        <w:rPr>
          <w:rFonts w:ascii="Verdana" w:hAnsi="Verdana"/>
          <w:i/>
        </w:rPr>
        <w:t>in-situ</w:t>
      </w:r>
      <w:r w:rsidRPr="001E3185">
        <w:rPr>
          <w:rFonts w:ascii="Verdana" w:hAnsi="Verdana"/>
        </w:rPr>
        <w:t xml:space="preserve"> (spraying) and in-service (house) Tier 1 and Tier 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5"/>
        <w:gridCol w:w="2178"/>
        <w:gridCol w:w="2126"/>
        <w:gridCol w:w="1134"/>
        <w:gridCol w:w="851"/>
      </w:tblGrid>
      <w:tr w:rsidR="00692E71" w:rsidRPr="001E3185" w14:paraId="1D39DDAA" w14:textId="77777777" w:rsidTr="008E0250">
        <w:trPr>
          <w:trHeight w:val="283"/>
          <w:tblHeader/>
        </w:trPr>
        <w:tc>
          <w:tcPr>
            <w:tcW w:w="3175" w:type="dxa"/>
            <w:shd w:val="clear" w:color="auto" w:fill="D9D9D9" w:themeFill="background1" w:themeFillShade="D9"/>
            <w:vAlign w:val="center"/>
          </w:tcPr>
          <w:p w14:paraId="5D0F7CE5" w14:textId="77777777" w:rsidR="00692E71" w:rsidRPr="001E3185" w:rsidRDefault="00692E71" w:rsidP="008E0250">
            <w:pPr>
              <w:rPr>
                <w:rFonts w:cs="Arial"/>
                <w:b/>
                <w:sz w:val="18"/>
                <w:szCs w:val="18"/>
                <w:highlight w:val="yellow"/>
              </w:rPr>
            </w:pPr>
            <w:r w:rsidRPr="001E3185">
              <w:rPr>
                <w:rFonts w:cs="Arial"/>
                <w:b/>
                <w:sz w:val="18"/>
                <w:szCs w:val="18"/>
              </w:rPr>
              <w:t>Parameter/variable</w:t>
            </w:r>
          </w:p>
        </w:tc>
        <w:tc>
          <w:tcPr>
            <w:tcW w:w="2178" w:type="dxa"/>
            <w:shd w:val="clear" w:color="auto" w:fill="D9D9D9" w:themeFill="background1" w:themeFillShade="D9"/>
            <w:vAlign w:val="center"/>
          </w:tcPr>
          <w:p w14:paraId="363740C6" w14:textId="77777777" w:rsidR="00692E71" w:rsidRPr="001E3185" w:rsidRDefault="00692E71" w:rsidP="008E0250">
            <w:pPr>
              <w:jc w:val="center"/>
              <w:rPr>
                <w:rFonts w:cs="Arial"/>
                <w:b/>
                <w:sz w:val="18"/>
                <w:szCs w:val="18"/>
              </w:rPr>
            </w:pPr>
            <w:r w:rsidRPr="001E3185">
              <w:rPr>
                <w:rFonts w:cs="Arial"/>
                <w:b/>
                <w:sz w:val="18"/>
                <w:szCs w:val="18"/>
              </w:rPr>
              <w:t>Nomenclature</w:t>
            </w:r>
          </w:p>
        </w:tc>
        <w:tc>
          <w:tcPr>
            <w:tcW w:w="2126" w:type="dxa"/>
            <w:shd w:val="clear" w:color="auto" w:fill="D9D9D9" w:themeFill="background1" w:themeFillShade="D9"/>
            <w:vAlign w:val="center"/>
          </w:tcPr>
          <w:p w14:paraId="00BCAEC5" w14:textId="77777777" w:rsidR="00692E71" w:rsidRPr="001E3185" w:rsidRDefault="00692E71" w:rsidP="008E0250">
            <w:pPr>
              <w:jc w:val="center"/>
              <w:rPr>
                <w:rFonts w:cs="Arial"/>
                <w:b/>
                <w:sz w:val="18"/>
                <w:szCs w:val="18"/>
              </w:rPr>
            </w:pPr>
            <w:r w:rsidRPr="001E3185">
              <w:rPr>
                <w:rFonts w:cs="Arial"/>
                <w:b/>
                <w:sz w:val="18"/>
                <w:szCs w:val="18"/>
              </w:rPr>
              <w:t>Value</w:t>
            </w:r>
          </w:p>
        </w:tc>
        <w:tc>
          <w:tcPr>
            <w:tcW w:w="1134" w:type="dxa"/>
            <w:shd w:val="clear" w:color="auto" w:fill="D9D9D9" w:themeFill="background1" w:themeFillShade="D9"/>
            <w:vAlign w:val="center"/>
          </w:tcPr>
          <w:p w14:paraId="61896FF1" w14:textId="77777777" w:rsidR="00692E71" w:rsidRPr="001E3185" w:rsidRDefault="00692E71" w:rsidP="008E0250">
            <w:pPr>
              <w:jc w:val="center"/>
              <w:rPr>
                <w:rFonts w:cs="Arial"/>
                <w:b/>
                <w:sz w:val="18"/>
                <w:szCs w:val="18"/>
              </w:rPr>
            </w:pPr>
            <w:r w:rsidRPr="001E3185">
              <w:rPr>
                <w:rFonts w:cs="Arial"/>
                <w:b/>
                <w:sz w:val="18"/>
                <w:szCs w:val="18"/>
              </w:rPr>
              <w:t>Unit</w:t>
            </w:r>
          </w:p>
        </w:tc>
        <w:tc>
          <w:tcPr>
            <w:tcW w:w="851" w:type="dxa"/>
            <w:shd w:val="clear" w:color="auto" w:fill="D9D9D9" w:themeFill="background1" w:themeFillShade="D9"/>
            <w:vAlign w:val="center"/>
          </w:tcPr>
          <w:p w14:paraId="7098491D" w14:textId="77777777" w:rsidR="00692E71" w:rsidRPr="001E3185" w:rsidRDefault="00692E71" w:rsidP="008E0250">
            <w:pPr>
              <w:jc w:val="center"/>
              <w:rPr>
                <w:rFonts w:cs="Arial"/>
                <w:b/>
                <w:sz w:val="18"/>
                <w:szCs w:val="18"/>
              </w:rPr>
            </w:pPr>
            <w:r w:rsidRPr="001E3185">
              <w:rPr>
                <w:rFonts w:cs="Arial"/>
                <w:b/>
                <w:sz w:val="18"/>
                <w:szCs w:val="18"/>
              </w:rPr>
              <w:t>Origin</w:t>
            </w:r>
          </w:p>
        </w:tc>
      </w:tr>
      <w:tr w:rsidR="00692E71" w:rsidRPr="001E3185" w14:paraId="33BA851F" w14:textId="77777777" w:rsidTr="008E0250">
        <w:trPr>
          <w:trHeight w:val="283"/>
        </w:trPr>
        <w:tc>
          <w:tcPr>
            <w:tcW w:w="9464" w:type="dxa"/>
            <w:gridSpan w:val="5"/>
            <w:vAlign w:val="center"/>
          </w:tcPr>
          <w:p w14:paraId="4FF98D9C" w14:textId="77777777" w:rsidR="00692E71" w:rsidRPr="001E3185" w:rsidRDefault="00692E71" w:rsidP="008E0250">
            <w:pPr>
              <w:rPr>
                <w:rFonts w:cs="Arial"/>
                <w:b/>
                <w:sz w:val="18"/>
                <w:szCs w:val="18"/>
              </w:rPr>
            </w:pPr>
            <w:r w:rsidRPr="001E3185">
              <w:rPr>
                <w:rFonts w:cs="Arial"/>
                <w:b/>
                <w:sz w:val="18"/>
                <w:szCs w:val="18"/>
              </w:rPr>
              <w:t>OUTPUT EMISSION</w:t>
            </w:r>
          </w:p>
        </w:tc>
      </w:tr>
      <w:tr w:rsidR="00692E71" w:rsidRPr="001E3185" w14:paraId="56B08790" w14:textId="77777777" w:rsidTr="008E0250">
        <w:tc>
          <w:tcPr>
            <w:tcW w:w="3175" w:type="dxa"/>
            <w:vAlign w:val="center"/>
          </w:tcPr>
          <w:p w14:paraId="1591BBDF" w14:textId="77777777" w:rsidR="00692E71" w:rsidRPr="001E3185" w:rsidRDefault="00692E71" w:rsidP="008E0250">
            <w:pPr>
              <w:rPr>
                <w:rFonts w:cs="Arial"/>
                <w:i/>
                <w:iCs/>
                <w:sz w:val="18"/>
                <w:szCs w:val="18"/>
              </w:rPr>
            </w:pPr>
            <w:r w:rsidRPr="001E3185">
              <w:rPr>
                <w:rFonts w:cs="Arial"/>
                <w:sz w:val="18"/>
                <w:szCs w:val="18"/>
              </w:rPr>
              <w:t>Combined concentrations in soil resulting from application (spraying) and leaching of treated wood (30d)</w:t>
            </w:r>
          </w:p>
        </w:tc>
        <w:tc>
          <w:tcPr>
            <w:tcW w:w="2178" w:type="dxa"/>
            <w:vAlign w:val="center"/>
          </w:tcPr>
          <w:p w14:paraId="12E12A0A" w14:textId="77777777" w:rsidR="00692E71" w:rsidRPr="001E3185" w:rsidRDefault="00692E71" w:rsidP="008E0250">
            <w:pPr>
              <w:jc w:val="center"/>
              <w:rPr>
                <w:rFonts w:cs="Arial"/>
                <w:sz w:val="18"/>
                <w:szCs w:val="18"/>
              </w:rPr>
            </w:pPr>
            <w:r w:rsidRPr="001E3185">
              <w:rPr>
                <w:rFonts w:cs="Arial"/>
                <w:sz w:val="18"/>
                <w:szCs w:val="18"/>
              </w:rPr>
              <w:t>Clocal</w:t>
            </w:r>
            <w:r w:rsidRPr="001E3185">
              <w:rPr>
                <w:rFonts w:cs="Arial"/>
                <w:sz w:val="18"/>
                <w:szCs w:val="18"/>
                <w:vertAlign w:val="subscript"/>
              </w:rPr>
              <w:t xml:space="preserve">soil,total, </w:t>
            </w:r>
            <w:r w:rsidRPr="001E3185">
              <w:rPr>
                <w:rFonts w:cs="Arial"/>
                <w:iCs/>
                <w:sz w:val="18"/>
                <w:szCs w:val="18"/>
                <w:vertAlign w:val="subscript"/>
              </w:rPr>
              <w:t>time1 tier1</w:t>
            </w:r>
          </w:p>
        </w:tc>
        <w:tc>
          <w:tcPr>
            <w:tcW w:w="2126" w:type="dxa"/>
            <w:vAlign w:val="center"/>
          </w:tcPr>
          <w:p w14:paraId="631674CF" w14:textId="77777777" w:rsidR="00692E71" w:rsidRPr="001E3185" w:rsidRDefault="00692E71" w:rsidP="008E0250">
            <w:pPr>
              <w:jc w:val="center"/>
              <w:rPr>
                <w:rFonts w:cs="Arial"/>
                <w:sz w:val="18"/>
                <w:szCs w:val="18"/>
              </w:rPr>
            </w:pPr>
            <w:r w:rsidRPr="001E3185">
              <w:rPr>
                <w:rFonts w:cs="Arial"/>
                <w:sz w:val="18"/>
                <w:szCs w:val="18"/>
              </w:rPr>
              <w:t xml:space="preserve"> 0.20 (IPBC)</w:t>
            </w:r>
          </w:p>
          <w:p w14:paraId="6F8C055C" w14:textId="77777777" w:rsidR="00692E71" w:rsidRPr="001E3185" w:rsidRDefault="00692E71" w:rsidP="008E0250">
            <w:pPr>
              <w:jc w:val="center"/>
              <w:rPr>
                <w:rFonts w:cs="Arial"/>
                <w:sz w:val="18"/>
                <w:szCs w:val="18"/>
              </w:rPr>
            </w:pPr>
            <w:r w:rsidRPr="001E3185">
              <w:rPr>
                <w:rFonts w:cs="Arial"/>
                <w:sz w:val="18"/>
                <w:szCs w:val="18"/>
              </w:rPr>
              <w:t>0.62 (propiconazole)</w:t>
            </w:r>
          </w:p>
          <w:p w14:paraId="69B6844B" w14:textId="77777777" w:rsidR="00692E71" w:rsidRPr="001E3185" w:rsidRDefault="00692E71" w:rsidP="008E0250">
            <w:pPr>
              <w:jc w:val="center"/>
              <w:rPr>
                <w:rFonts w:cs="Arial"/>
                <w:sz w:val="18"/>
                <w:szCs w:val="18"/>
              </w:rPr>
            </w:pPr>
            <w:r w:rsidRPr="001E3185">
              <w:rPr>
                <w:rFonts w:cs="Arial"/>
                <w:sz w:val="18"/>
                <w:szCs w:val="18"/>
              </w:rPr>
              <w:t>0.22 (tebuconazole)</w:t>
            </w:r>
          </w:p>
          <w:p w14:paraId="19FE246A" w14:textId="77777777" w:rsidR="00692E71" w:rsidRPr="001E3185" w:rsidRDefault="00692E71" w:rsidP="008E0250">
            <w:pPr>
              <w:jc w:val="center"/>
              <w:rPr>
                <w:rFonts w:cs="Arial"/>
                <w:sz w:val="18"/>
                <w:szCs w:val="18"/>
              </w:rPr>
            </w:pPr>
            <w:r w:rsidRPr="001E3185">
              <w:rPr>
                <w:rFonts w:cs="Arial"/>
                <w:sz w:val="18"/>
                <w:szCs w:val="18"/>
              </w:rPr>
              <w:t>0.24 (cypermethrin)</w:t>
            </w:r>
          </w:p>
        </w:tc>
        <w:tc>
          <w:tcPr>
            <w:tcW w:w="1134" w:type="dxa"/>
            <w:vAlign w:val="center"/>
          </w:tcPr>
          <w:p w14:paraId="45C7B0F4" w14:textId="77777777" w:rsidR="00692E71" w:rsidRPr="001E3185" w:rsidRDefault="00692E71" w:rsidP="008E0250">
            <w:pPr>
              <w:rPr>
                <w:rFonts w:cs="Arial"/>
                <w:i/>
                <w:iCs/>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851" w:type="dxa"/>
            <w:vAlign w:val="center"/>
          </w:tcPr>
          <w:p w14:paraId="18DC4E32"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420A2347" w14:textId="77777777" w:rsidTr="008E0250">
        <w:tc>
          <w:tcPr>
            <w:tcW w:w="3175" w:type="dxa"/>
            <w:vAlign w:val="center"/>
          </w:tcPr>
          <w:p w14:paraId="4D4D9061" w14:textId="77777777" w:rsidR="00692E71" w:rsidRPr="001E3185" w:rsidRDefault="00692E71" w:rsidP="008E0250">
            <w:pPr>
              <w:rPr>
                <w:rFonts w:cs="Arial"/>
                <w:sz w:val="18"/>
                <w:szCs w:val="18"/>
              </w:rPr>
            </w:pPr>
            <w:r w:rsidRPr="001E3185">
              <w:rPr>
                <w:rFonts w:cs="Arial"/>
                <w:sz w:val="18"/>
                <w:szCs w:val="18"/>
              </w:rPr>
              <w:t>Combined concentrations in soil resulting from application (spraying) and leaching of treated wood (1825d)</w:t>
            </w:r>
          </w:p>
        </w:tc>
        <w:tc>
          <w:tcPr>
            <w:tcW w:w="2178" w:type="dxa"/>
            <w:vAlign w:val="center"/>
          </w:tcPr>
          <w:p w14:paraId="33A8B6C0" w14:textId="77777777" w:rsidR="00692E71" w:rsidRPr="001E3185" w:rsidRDefault="00692E71" w:rsidP="008E0250">
            <w:pPr>
              <w:jc w:val="center"/>
              <w:rPr>
                <w:rFonts w:cs="Arial"/>
                <w:sz w:val="18"/>
                <w:szCs w:val="18"/>
              </w:rPr>
            </w:pPr>
            <w:r w:rsidRPr="001E3185">
              <w:rPr>
                <w:rFonts w:cs="Arial"/>
                <w:sz w:val="18"/>
                <w:szCs w:val="18"/>
              </w:rPr>
              <w:t>Clocal</w:t>
            </w:r>
            <w:r w:rsidRPr="001E3185">
              <w:rPr>
                <w:rFonts w:cs="Arial"/>
                <w:sz w:val="18"/>
                <w:szCs w:val="18"/>
                <w:vertAlign w:val="subscript"/>
              </w:rPr>
              <w:t>soil,total,</w:t>
            </w:r>
            <w:r w:rsidRPr="001E3185">
              <w:rPr>
                <w:rFonts w:cs="Arial"/>
                <w:iCs/>
                <w:sz w:val="18"/>
                <w:szCs w:val="18"/>
                <w:vertAlign w:val="subscript"/>
              </w:rPr>
              <w:t xml:space="preserve"> time2 tier1</w:t>
            </w:r>
          </w:p>
        </w:tc>
        <w:tc>
          <w:tcPr>
            <w:tcW w:w="2126" w:type="dxa"/>
            <w:vAlign w:val="center"/>
          </w:tcPr>
          <w:p w14:paraId="6A77B199" w14:textId="77777777" w:rsidR="00692E71" w:rsidRPr="001E3185" w:rsidRDefault="00692E71" w:rsidP="008E0250">
            <w:pPr>
              <w:jc w:val="center"/>
              <w:rPr>
                <w:rFonts w:cs="Arial"/>
                <w:sz w:val="18"/>
                <w:szCs w:val="18"/>
              </w:rPr>
            </w:pPr>
            <w:r w:rsidRPr="001E3185">
              <w:rPr>
                <w:rFonts w:cs="Arial"/>
                <w:sz w:val="18"/>
                <w:szCs w:val="18"/>
              </w:rPr>
              <w:t>0.25 (IPBC)</w:t>
            </w:r>
          </w:p>
          <w:p w14:paraId="0CE53039" w14:textId="77777777" w:rsidR="00692E71" w:rsidRPr="001E3185" w:rsidRDefault="00692E71" w:rsidP="008E0250">
            <w:pPr>
              <w:jc w:val="center"/>
              <w:rPr>
                <w:rFonts w:cs="Arial"/>
                <w:sz w:val="18"/>
                <w:szCs w:val="18"/>
              </w:rPr>
            </w:pPr>
            <w:r w:rsidRPr="001E3185">
              <w:rPr>
                <w:rFonts w:cs="Arial"/>
                <w:sz w:val="18"/>
                <w:szCs w:val="18"/>
              </w:rPr>
              <w:t>0.93 (propiconazole)</w:t>
            </w:r>
          </w:p>
          <w:p w14:paraId="4F77B4ED" w14:textId="77777777" w:rsidR="00692E71" w:rsidRPr="001E3185" w:rsidRDefault="00692E71" w:rsidP="008E0250">
            <w:pPr>
              <w:jc w:val="center"/>
              <w:rPr>
                <w:rFonts w:cs="Arial"/>
                <w:sz w:val="18"/>
                <w:szCs w:val="18"/>
              </w:rPr>
            </w:pPr>
            <w:r w:rsidRPr="001E3185">
              <w:rPr>
                <w:rFonts w:cs="Arial"/>
                <w:sz w:val="18"/>
                <w:szCs w:val="18"/>
              </w:rPr>
              <w:t xml:space="preserve"> 0.33 (tebuconazole)</w:t>
            </w:r>
          </w:p>
          <w:p w14:paraId="3E64C71B" w14:textId="77777777" w:rsidR="00692E71" w:rsidRPr="001E3185" w:rsidRDefault="00692E71" w:rsidP="008E0250">
            <w:pPr>
              <w:jc w:val="center"/>
              <w:rPr>
                <w:rFonts w:cs="Arial"/>
                <w:sz w:val="18"/>
                <w:szCs w:val="18"/>
              </w:rPr>
            </w:pPr>
            <w:r w:rsidRPr="001E3185">
              <w:rPr>
                <w:rFonts w:cs="Arial"/>
                <w:sz w:val="18"/>
                <w:szCs w:val="18"/>
              </w:rPr>
              <w:t xml:space="preserve"> 0.25 (cypermethrin)</w:t>
            </w:r>
          </w:p>
        </w:tc>
        <w:tc>
          <w:tcPr>
            <w:tcW w:w="1134" w:type="dxa"/>
            <w:vAlign w:val="center"/>
          </w:tcPr>
          <w:p w14:paraId="3B373CF0" w14:textId="77777777" w:rsidR="00692E71" w:rsidRPr="001E3185" w:rsidRDefault="00692E71" w:rsidP="008E0250">
            <w:pP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851" w:type="dxa"/>
            <w:vAlign w:val="center"/>
          </w:tcPr>
          <w:p w14:paraId="51298CC4"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2963E560" w14:textId="77777777" w:rsidTr="008E0250">
        <w:tc>
          <w:tcPr>
            <w:tcW w:w="3175" w:type="dxa"/>
            <w:vAlign w:val="center"/>
          </w:tcPr>
          <w:p w14:paraId="19F84019" w14:textId="77777777" w:rsidR="00692E71" w:rsidRPr="001E3185" w:rsidRDefault="00692E71" w:rsidP="008E0250">
            <w:pPr>
              <w:rPr>
                <w:rFonts w:cs="Arial"/>
                <w:sz w:val="18"/>
                <w:szCs w:val="18"/>
              </w:rPr>
            </w:pPr>
            <w:r w:rsidRPr="001E3185">
              <w:rPr>
                <w:rFonts w:cs="Arial"/>
                <w:sz w:val="18"/>
                <w:szCs w:val="18"/>
              </w:rPr>
              <w:lastRenderedPageBreak/>
              <w:t>Combined concentrations in soil resulting from application (spraying) and leaching of treated wood (30d) Tier 2</w:t>
            </w:r>
          </w:p>
        </w:tc>
        <w:tc>
          <w:tcPr>
            <w:tcW w:w="2178" w:type="dxa"/>
            <w:vAlign w:val="center"/>
          </w:tcPr>
          <w:p w14:paraId="63BFC8BC" w14:textId="77777777" w:rsidR="00692E71" w:rsidRPr="001E3185" w:rsidRDefault="00692E71" w:rsidP="008E0250">
            <w:pPr>
              <w:jc w:val="center"/>
              <w:rPr>
                <w:rFonts w:cs="Arial"/>
                <w:sz w:val="18"/>
                <w:szCs w:val="18"/>
              </w:rPr>
            </w:pPr>
            <w:r w:rsidRPr="001E3185">
              <w:rPr>
                <w:rFonts w:cs="Arial"/>
                <w:sz w:val="18"/>
                <w:szCs w:val="18"/>
              </w:rPr>
              <w:t>Clocal</w:t>
            </w:r>
            <w:r w:rsidRPr="001E3185">
              <w:rPr>
                <w:rFonts w:cs="Arial"/>
                <w:sz w:val="18"/>
                <w:szCs w:val="18"/>
                <w:vertAlign w:val="subscript"/>
              </w:rPr>
              <w:t xml:space="preserve">soil,total, </w:t>
            </w:r>
            <w:r w:rsidRPr="001E3185">
              <w:rPr>
                <w:rFonts w:cs="Arial"/>
                <w:iCs/>
                <w:sz w:val="18"/>
                <w:szCs w:val="18"/>
                <w:vertAlign w:val="subscript"/>
              </w:rPr>
              <w:t>time1 tier2</w:t>
            </w:r>
          </w:p>
        </w:tc>
        <w:tc>
          <w:tcPr>
            <w:tcW w:w="2126" w:type="dxa"/>
            <w:vAlign w:val="center"/>
          </w:tcPr>
          <w:p w14:paraId="4F84C357" w14:textId="77777777" w:rsidR="00692E71" w:rsidRPr="001E3185" w:rsidRDefault="00692E71" w:rsidP="008E0250">
            <w:pPr>
              <w:jc w:val="center"/>
              <w:rPr>
                <w:rFonts w:cs="Arial"/>
                <w:sz w:val="18"/>
                <w:szCs w:val="18"/>
              </w:rPr>
            </w:pPr>
            <w:r w:rsidRPr="001E3185">
              <w:rPr>
                <w:rFonts w:cs="Arial"/>
                <w:sz w:val="18"/>
                <w:szCs w:val="18"/>
              </w:rPr>
              <w:t xml:space="preserve"> 0.04 (IPBC)</w:t>
            </w:r>
          </w:p>
          <w:p w14:paraId="3346C1CA" w14:textId="77777777" w:rsidR="00692E71" w:rsidRPr="001E3185" w:rsidRDefault="00692E71" w:rsidP="008E0250">
            <w:pPr>
              <w:jc w:val="center"/>
              <w:rPr>
                <w:rFonts w:cs="Arial"/>
                <w:sz w:val="18"/>
                <w:szCs w:val="18"/>
              </w:rPr>
            </w:pPr>
            <w:r w:rsidRPr="001E3185">
              <w:rPr>
                <w:rFonts w:cs="Arial"/>
                <w:sz w:val="18"/>
                <w:szCs w:val="18"/>
              </w:rPr>
              <w:t>0.16 (propiconazole)</w:t>
            </w:r>
          </w:p>
          <w:p w14:paraId="3C852C6A" w14:textId="77777777" w:rsidR="00692E71" w:rsidRPr="001E3185" w:rsidRDefault="00692E71" w:rsidP="008E0250">
            <w:pPr>
              <w:jc w:val="center"/>
              <w:rPr>
                <w:rFonts w:cs="Arial"/>
                <w:sz w:val="18"/>
                <w:szCs w:val="18"/>
              </w:rPr>
            </w:pPr>
            <w:r w:rsidRPr="001E3185">
              <w:rPr>
                <w:rFonts w:cs="Arial"/>
                <w:sz w:val="18"/>
                <w:szCs w:val="18"/>
              </w:rPr>
              <w:t>0.07 (tebuconazole)</w:t>
            </w:r>
          </w:p>
          <w:p w14:paraId="5C05A3AA" w14:textId="77777777" w:rsidR="00692E71" w:rsidRPr="001E3185" w:rsidRDefault="00692E71" w:rsidP="008E0250">
            <w:pPr>
              <w:jc w:val="center"/>
              <w:rPr>
                <w:rFonts w:cs="Arial"/>
                <w:sz w:val="18"/>
                <w:szCs w:val="18"/>
              </w:rPr>
            </w:pPr>
            <w:r w:rsidRPr="001E3185">
              <w:rPr>
                <w:rFonts w:cs="Arial"/>
                <w:sz w:val="18"/>
                <w:szCs w:val="18"/>
              </w:rPr>
              <w:t>0.02 (cypermethrin)</w:t>
            </w:r>
          </w:p>
        </w:tc>
        <w:tc>
          <w:tcPr>
            <w:tcW w:w="1134" w:type="dxa"/>
            <w:vAlign w:val="center"/>
          </w:tcPr>
          <w:p w14:paraId="5F64A3B2" w14:textId="77777777" w:rsidR="00692E71" w:rsidRPr="001E3185" w:rsidRDefault="00692E71" w:rsidP="008E0250">
            <w:pP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851" w:type="dxa"/>
            <w:vAlign w:val="center"/>
          </w:tcPr>
          <w:p w14:paraId="32E8D5EE" w14:textId="77777777" w:rsidR="00692E71" w:rsidRPr="001E3185" w:rsidRDefault="00692E71" w:rsidP="008E0250">
            <w:pPr>
              <w:jc w:val="center"/>
              <w:rPr>
                <w:rFonts w:cs="Arial"/>
                <w:sz w:val="18"/>
                <w:szCs w:val="18"/>
              </w:rPr>
            </w:pPr>
            <w:r w:rsidRPr="001E3185">
              <w:rPr>
                <w:rFonts w:cs="Arial"/>
                <w:sz w:val="18"/>
                <w:szCs w:val="18"/>
              </w:rPr>
              <w:t>O</w:t>
            </w:r>
          </w:p>
        </w:tc>
      </w:tr>
    </w:tbl>
    <w:p w14:paraId="78636C83" w14:textId="77777777" w:rsidR="00692E71" w:rsidRPr="001E3185" w:rsidRDefault="00692E71" w:rsidP="00692E71">
      <w:pPr>
        <w:rPr>
          <w:rFonts w:cs="Arial"/>
          <w:iCs/>
        </w:rPr>
      </w:pPr>
    </w:p>
    <w:p w14:paraId="1946D939" w14:textId="77777777" w:rsidR="00692E71" w:rsidRPr="001E3185" w:rsidRDefault="00692E71" w:rsidP="00692E71">
      <w:pPr>
        <w:rPr>
          <w:rFonts w:cs="Arial"/>
          <w:iCs/>
        </w:rPr>
      </w:pPr>
      <w:r w:rsidRPr="001E3185">
        <w:rPr>
          <w:rFonts w:cs="Arial"/>
          <w:iCs/>
          <w:u w:val="single"/>
        </w:rPr>
        <w:t>Calculations (IPBC and tier 1 application used as an example)</w:t>
      </w:r>
      <w:r w:rsidRPr="001E3185">
        <w:rPr>
          <w:rFonts w:cs="Arial"/>
          <w:iCs/>
        </w:rPr>
        <w:t>:</w:t>
      </w:r>
    </w:p>
    <w:p w14:paraId="4E082E75" w14:textId="77777777" w:rsidR="00692E71" w:rsidRPr="001E3185" w:rsidRDefault="00692E71" w:rsidP="00692E71">
      <w:pPr>
        <w:rPr>
          <w:rFonts w:cs="Arial"/>
        </w:rPr>
      </w:pPr>
    </w:p>
    <w:p w14:paraId="2AEB14AC" w14:textId="77777777" w:rsidR="00692E71" w:rsidRPr="001E3185" w:rsidRDefault="00692E71" w:rsidP="00692E71">
      <w:pPr>
        <w:rPr>
          <w:rFonts w:cs="Arial"/>
          <w:vertAlign w:val="subscript"/>
        </w:rPr>
      </w:pPr>
      <w:r w:rsidRPr="001E3185">
        <w:rPr>
          <w:rFonts w:cs="Arial"/>
        </w:rPr>
        <w:t>Clocal</w:t>
      </w:r>
      <w:r w:rsidRPr="001E3185">
        <w:rPr>
          <w:rFonts w:cs="Arial"/>
          <w:vertAlign w:val="subscript"/>
        </w:rPr>
        <w:t>soil</w:t>
      </w:r>
      <w:proofErr w:type="gramStart"/>
      <w:r w:rsidRPr="001E3185">
        <w:rPr>
          <w:rFonts w:cs="Arial"/>
          <w:vertAlign w:val="subscript"/>
        </w:rPr>
        <w:t>,total</w:t>
      </w:r>
      <w:proofErr w:type="gramEnd"/>
      <w:r w:rsidRPr="001E3185">
        <w:rPr>
          <w:rFonts w:cs="Arial"/>
          <w:vertAlign w:val="subscript"/>
        </w:rPr>
        <w:t xml:space="preserve">, </w:t>
      </w:r>
      <w:r w:rsidRPr="001E3185">
        <w:rPr>
          <w:rFonts w:cs="Arial"/>
          <w:iCs/>
          <w:vertAlign w:val="subscript"/>
        </w:rPr>
        <w:t>time1 tier1</w:t>
      </w:r>
      <w:r w:rsidRPr="001E3185">
        <w:rPr>
          <w:rFonts w:cs="Arial"/>
          <w:iCs/>
        </w:rPr>
        <w:t xml:space="preserve"> = </w:t>
      </w:r>
      <w:r w:rsidRPr="001E3185">
        <w:rPr>
          <w:rFonts w:cs="Arial"/>
        </w:rPr>
        <w:t>Clocal</w:t>
      </w:r>
      <w:r w:rsidRPr="001E3185">
        <w:rPr>
          <w:rFonts w:cs="Arial"/>
          <w:vertAlign w:val="subscript"/>
        </w:rPr>
        <w:t>soil, tier 1</w:t>
      </w:r>
      <w:r w:rsidRPr="001E3185">
        <w:rPr>
          <w:rFonts w:cs="Arial"/>
        </w:rPr>
        <w:t xml:space="preserve"> + Clocal</w:t>
      </w:r>
      <w:r w:rsidRPr="001E3185">
        <w:rPr>
          <w:rFonts w:cs="Arial"/>
          <w:vertAlign w:val="subscript"/>
        </w:rPr>
        <w:t xml:space="preserve">soil,leach,time 1 </w:t>
      </w:r>
    </w:p>
    <w:p w14:paraId="1784DFFB" w14:textId="77777777" w:rsidR="00692E71" w:rsidRPr="001E3185" w:rsidRDefault="00692E71" w:rsidP="00692E71">
      <w:pPr>
        <w:rPr>
          <w:rFonts w:cs="Arial"/>
          <w:iCs/>
        </w:rPr>
      </w:pPr>
      <w:r w:rsidRPr="001E3185">
        <w:rPr>
          <w:rFonts w:cs="Arial"/>
        </w:rPr>
        <w:t>Clocal</w:t>
      </w:r>
      <w:r w:rsidRPr="001E3185">
        <w:rPr>
          <w:rFonts w:cs="Arial"/>
          <w:vertAlign w:val="subscript"/>
        </w:rPr>
        <w:t>soil</w:t>
      </w:r>
      <w:proofErr w:type="gramStart"/>
      <w:r w:rsidRPr="001E3185">
        <w:rPr>
          <w:rFonts w:cs="Arial"/>
          <w:vertAlign w:val="subscript"/>
        </w:rPr>
        <w:t>,total</w:t>
      </w:r>
      <w:proofErr w:type="gramEnd"/>
      <w:r w:rsidRPr="001E3185">
        <w:rPr>
          <w:rFonts w:cs="Arial"/>
          <w:vertAlign w:val="subscript"/>
        </w:rPr>
        <w:t xml:space="preserve">, </w:t>
      </w:r>
      <w:r w:rsidRPr="001E3185">
        <w:rPr>
          <w:rFonts w:cs="Arial"/>
          <w:iCs/>
          <w:vertAlign w:val="subscript"/>
        </w:rPr>
        <w:t>time1 tier1</w:t>
      </w:r>
      <w:r w:rsidRPr="001E3185">
        <w:rPr>
          <w:rFonts w:cs="Arial"/>
          <w:iCs/>
        </w:rPr>
        <w:t xml:space="preserve"> = 0.17 + 0.028</w:t>
      </w:r>
    </w:p>
    <w:p w14:paraId="5F915D53" w14:textId="77777777" w:rsidR="00692E71" w:rsidRPr="001E3185" w:rsidRDefault="00692E71" w:rsidP="00692E71">
      <w:pPr>
        <w:rPr>
          <w:rFonts w:cs="Arial"/>
          <w:iCs/>
          <w:vertAlign w:val="subscript"/>
        </w:rPr>
      </w:pPr>
      <w:r w:rsidRPr="001E3185">
        <w:rPr>
          <w:rFonts w:cs="Arial"/>
        </w:rPr>
        <w:t>Clocal</w:t>
      </w:r>
      <w:r w:rsidRPr="001E3185">
        <w:rPr>
          <w:rFonts w:cs="Arial"/>
          <w:vertAlign w:val="subscript"/>
        </w:rPr>
        <w:t>soil</w:t>
      </w:r>
      <w:proofErr w:type="gramStart"/>
      <w:r w:rsidRPr="001E3185">
        <w:rPr>
          <w:rFonts w:cs="Arial"/>
          <w:vertAlign w:val="subscript"/>
        </w:rPr>
        <w:t>,total</w:t>
      </w:r>
      <w:proofErr w:type="gramEnd"/>
      <w:r w:rsidRPr="001E3185">
        <w:rPr>
          <w:rFonts w:cs="Arial"/>
          <w:vertAlign w:val="subscript"/>
        </w:rPr>
        <w:t xml:space="preserve">, </w:t>
      </w:r>
      <w:r w:rsidRPr="001E3185">
        <w:rPr>
          <w:rFonts w:cs="Arial"/>
          <w:iCs/>
          <w:vertAlign w:val="subscript"/>
        </w:rPr>
        <w:t>time1</w:t>
      </w:r>
      <w:r w:rsidRPr="001E3185">
        <w:rPr>
          <w:rFonts w:cs="Arial"/>
          <w:iCs/>
        </w:rPr>
        <w:t xml:space="preserve"> </w:t>
      </w:r>
      <w:r w:rsidRPr="001E3185">
        <w:rPr>
          <w:rFonts w:cs="Arial"/>
          <w:iCs/>
          <w:vertAlign w:val="subscript"/>
        </w:rPr>
        <w:t xml:space="preserve">tier1 </w:t>
      </w:r>
      <w:r w:rsidRPr="001E3185">
        <w:rPr>
          <w:rFonts w:cs="Arial"/>
          <w:iCs/>
        </w:rPr>
        <w:t>= 0.20 mg/kg</w:t>
      </w:r>
      <w:r w:rsidRPr="001E3185">
        <w:rPr>
          <w:rFonts w:cs="Arial"/>
          <w:iCs/>
          <w:vertAlign w:val="subscript"/>
        </w:rPr>
        <w:t>wwt</w:t>
      </w:r>
    </w:p>
    <w:p w14:paraId="66B61B62" w14:textId="77777777" w:rsidR="00692E71" w:rsidRPr="001E3185" w:rsidRDefault="00692E71" w:rsidP="00692E71">
      <w:pPr>
        <w:rPr>
          <w:rFonts w:cs="Arial"/>
          <w:b/>
        </w:rPr>
      </w:pPr>
    </w:p>
    <w:p w14:paraId="73455D75" w14:textId="77777777" w:rsidR="00692E71" w:rsidRPr="001E3185" w:rsidRDefault="00692E71" w:rsidP="00692E71">
      <w:pPr>
        <w:rPr>
          <w:rFonts w:cs="Arial"/>
          <w:b/>
        </w:rPr>
      </w:pPr>
      <w:r w:rsidRPr="001E3185">
        <w:rPr>
          <w:rFonts w:cs="Arial"/>
          <w:b/>
        </w:rPr>
        <w:t>- Combined concentrations taking removal into account</w:t>
      </w:r>
    </w:p>
    <w:p w14:paraId="471F500F" w14:textId="77777777" w:rsidR="00692E71" w:rsidRPr="001E3185" w:rsidRDefault="00692E71" w:rsidP="00692E71">
      <w:pPr>
        <w:rPr>
          <w:rFonts w:cs="Arial"/>
        </w:rPr>
      </w:pPr>
    </w:p>
    <w:p w14:paraId="174F2159" w14:textId="77777777" w:rsidR="00692E71" w:rsidRPr="001E3185" w:rsidRDefault="00692E71" w:rsidP="00692E71">
      <w:pPr>
        <w:rPr>
          <w:rFonts w:cs="Arial"/>
        </w:rPr>
      </w:pPr>
      <w:r w:rsidRPr="001E3185">
        <w:rPr>
          <w:rFonts w:cs="Arial"/>
        </w:rPr>
        <w:t>In a second tier, soil and pore-water concentrations taking removal into account were calculated. The calculations are described in section 3.3.2.4.1.</w:t>
      </w:r>
    </w:p>
    <w:p w14:paraId="51BF1B43" w14:textId="77777777" w:rsidR="00692E71" w:rsidRPr="001E3185" w:rsidRDefault="00692E71" w:rsidP="00692E71">
      <w:pPr>
        <w:rPr>
          <w:rFonts w:cs="Arial"/>
        </w:rPr>
      </w:pPr>
    </w:p>
    <w:p w14:paraId="2B85C191" w14:textId="77777777" w:rsidR="00692E71" w:rsidRPr="001E3185" w:rsidRDefault="00692E71" w:rsidP="00692E71">
      <w:pPr>
        <w:rPr>
          <w:rFonts w:cs="Arial"/>
        </w:rPr>
      </w:pPr>
      <w:r w:rsidRPr="001E3185">
        <w:rPr>
          <w:rFonts w:cs="Arial"/>
        </w:rPr>
        <w:t>The resulting soil and pore-water concentrations taking into account removal processes over Time1 (30 days) and Time2 (1825 days) are presented below.</w:t>
      </w:r>
    </w:p>
    <w:p w14:paraId="455FA48D" w14:textId="77777777" w:rsidR="00692E71" w:rsidRPr="001E3185" w:rsidRDefault="00692E71" w:rsidP="00692E71">
      <w:pPr>
        <w:rPr>
          <w:rFonts w:cs="Arial"/>
        </w:rPr>
      </w:pPr>
    </w:p>
    <w:p w14:paraId="01389D01" w14:textId="77777777" w:rsidR="00692E71" w:rsidRPr="001E3185" w:rsidRDefault="00692E71" w:rsidP="00692E71">
      <w:pPr>
        <w:pStyle w:val="Lgende"/>
        <w:spacing w:after="0"/>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29</w:t>
      </w:r>
      <w:r w:rsidRPr="001E3185">
        <w:rPr>
          <w:rFonts w:ascii="Verdana" w:hAnsi="Verdana"/>
        </w:rPr>
        <w:fldChar w:fldCharType="end"/>
      </w:r>
      <w:r w:rsidRPr="001E3185">
        <w:rPr>
          <w:rFonts w:ascii="Verdana" w:hAnsi="Verdana"/>
        </w:rPr>
        <w:t>: Combined concentration in soil and pore-water from in-situ (spraying) and in-service (house) taking removal into account Tier 1 and Tier 2.</w:t>
      </w:r>
    </w:p>
    <w:tbl>
      <w:tblPr>
        <w:tblW w:w="9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1"/>
        <w:gridCol w:w="2122"/>
        <w:gridCol w:w="2268"/>
        <w:gridCol w:w="1134"/>
        <w:gridCol w:w="786"/>
        <w:gridCol w:w="8"/>
      </w:tblGrid>
      <w:tr w:rsidR="00692E71" w:rsidRPr="001E3185" w14:paraId="3E2E2CF7" w14:textId="77777777" w:rsidTr="008E0250">
        <w:trPr>
          <w:gridAfter w:val="1"/>
          <w:wAfter w:w="8" w:type="dxa"/>
          <w:trHeight w:val="283"/>
          <w:tblHeader/>
        </w:trPr>
        <w:tc>
          <w:tcPr>
            <w:tcW w:w="3231" w:type="dxa"/>
            <w:shd w:val="clear" w:color="auto" w:fill="D9D9D9" w:themeFill="background1" w:themeFillShade="D9"/>
            <w:vAlign w:val="center"/>
          </w:tcPr>
          <w:p w14:paraId="73EBD26D" w14:textId="77777777" w:rsidR="00692E71" w:rsidRPr="001E3185" w:rsidRDefault="00692E71" w:rsidP="008E0250">
            <w:pPr>
              <w:jc w:val="center"/>
              <w:rPr>
                <w:rFonts w:cs="Arial"/>
                <w:sz w:val="18"/>
                <w:szCs w:val="18"/>
                <w:highlight w:val="yellow"/>
              </w:rPr>
            </w:pPr>
            <w:r w:rsidRPr="001E3185">
              <w:rPr>
                <w:rFonts w:cs="Arial"/>
                <w:sz w:val="18"/>
                <w:szCs w:val="18"/>
              </w:rPr>
              <w:t>Parameter/variable</w:t>
            </w:r>
          </w:p>
        </w:tc>
        <w:tc>
          <w:tcPr>
            <w:tcW w:w="2122" w:type="dxa"/>
            <w:shd w:val="clear" w:color="auto" w:fill="D9D9D9" w:themeFill="background1" w:themeFillShade="D9"/>
            <w:vAlign w:val="center"/>
          </w:tcPr>
          <w:p w14:paraId="38F4A01A" w14:textId="77777777" w:rsidR="00692E71" w:rsidRPr="001E3185" w:rsidRDefault="00692E71" w:rsidP="008E0250">
            <w:pPr>
              <w:jc w:val="center"/>
              <w:rPr>
                <w:rFonts w:cs="Arial"/>
                <w:sz w:val="18"/>
                <w:szCs w:val="18"/>
              </w:rPr>
            </w:pPr>
            <w:r w:rsidRPr="001E3185">
              <w:rPr>
                <w:rFonts w:cs="Arial"/>
                <w:sz w:val="18"/>
                <w:szCs w:val="18"/>
              </w:rPr>
              <w:t>Nomenclature</w:t>
            </w:r>
          </w:p>
        </w:tc>
        <w:tc>
          <w:tcPr>
            <w:tcW w:w="2268" w:type="dxa"/>
            <w:shd w:val="clear" w:color="auto" w:fill="D9D9D9" w:themeFill="background1" w:themeFillShade="D9"/>
            <w:vAlign w:val="center"/>
          </w:tcPr>
          <w:p w14:paraId="1BAED83E" w14:textId="77777777" w:rsidR="00692E71" w:rsidRPr="001E3185" w:rsidRDefault="00692E71" w:rsidP="008E0250">
            <w:pPr>
              <w:jc w:val="center"/>
              <w:rPr>
                <w:rFonts w:cs="Arial"/>
                <w:sz w:val="18"/>
                <w:szCs w:val="18"/>
              </w:rPr>
            </w:pPr>
            <w:r w:rsidRPr="001E3185">
              <w:rPr>
                <w:rFonts w:cs="Arial"/>
                <w:sz w:val="18"/>
                <w:szCs w:val="18"/>
              </w:rPr>
              <w:t>Value</w:t>
            </w:r>
          </w:p>
        </w:tc>
        <w:tc>
          <w:tcPr>
            <w:tcW w:w="1134" w:type="dxa"/>
            <w:shd w:val="clear" w:color="auto" w:fill="D9D9D9" w:themeFill="background1" w:themeFillShade="D9"/>
            <w:vAlign w:val="center"/>
          </w:tcPr>
          <w:p w14:paraId="1DAA915A" w14:textId="77777777" w:rsidR="00692E71" w:rsidRPr="001E3185" w:rsidRDefault="00692E71" w:rsidP="008E0250">
            <w:pPr>
              <w:jc w:val="center"/>
              <w:rPr>
                <w:rFonts w:cs="Arial"/>
                <w:sz w:val="18"/>
                <w:szCs w:val="18"/>
              </w:rPr>
            </w:pPr>
            <w:r w:rsidRPr="001E3185">
              <w:rPr>
                <w:rFonts w:cs="Arial"/>
                <w:sz w:val="18"/>
                <w:szCs w:val="18"/>
              </w:rPr>
              <w:t>Unit</w:t>
            </w:r>
          </w:p>
        </w:tc>
        <w:tc>
          <w:tcPr>
            <w:tcW w:w="786" w:type="dxa"/>
            <w:shd w:val="clear" w:color="auto" w:fill="D9D9D9" w:themeFill="background1" w:themeFillShade="D9"/>
            <w:vAlign w:val="center"/>
          </w:tcPr>
          <w:p w14:paraId="3396E078" w14:textId="77777777" w:rsidR="00692E71" w:rsidRPr="001E3185" w:rsidRDefault="00692E71" w:rsidP="008E0250">
            <w:pPr>
              <w:jc w:val="center"/>
              <w:rPr>
                <w:rFonts w:cs="Arial"/>
                <w:sz w:val="18"/>
                <w:szCs w:val="18"/>
              </w:rPr>
            </w:pPr>
            <w:r w:rsidRPr="001E3185">
              <w:rPr>
                <w:rFonts w:cs="Arial"/>
                <w:sz w:val="18"/>
                <w:szCs w:val="18"/>
              </w:rPr>
              <w:t>Origin</w:t>
            </w:r>
          </w:p>
        </w:tc>
      </w:tr>
      <w:tr w:rsidR="00692E71" w:rsidRPr="001E3185" w14:paraId="214BB662" w14:textId="77777777" w:rsidTr="008E0250">
        <w:trPr>
          <w:trHeight w:val="283"/>
        </w:trPr>
        <w:tc>
          <w:tcPr>
            <w:tcW w:w="9549" w:type="dxa"/>
            <w:gridSpan w:val="6"/>
            <w:vAlign w:val="center"/>
          </w:tcPr>
          <w:p w14:paraId="0C7FE39D" w14:textId="77777777" w:rsidR="00692E71" w:rsidRPr="001E3185" w:rsidRDefault="00692E71" w:rsidP="008E0250">
            <w:pPr>
              <w:rPr>
                <w:rFonts w:cs="Arial"/>
                <w:b/>
                <w:sz w:val="18"/>
                <w:szCs w:val="18"/>
              </w:rPr>
            </w:pPr>
            <w:r w:rsidRPr="001E3185">
              <w:rPr>
                <w:rFonts w:cs="Arial"/>
                <w:b/>
                <w:sz w:val="18"/>
                <w:szCs w:val="18"/>
              </w:rPr>
              <w:t>OUTPUT EMISSION</w:t>
            </w:r>
          </w:p>
        </w:tc>
      </w:tr>
      <w:tr w:rsidR="00692E71" w:rsidRPr="001E3185" w14:paraId="605334D9" w14:textId="77777777" w:rsidTr="008E0250">
        <w:trPr>
          <w:gridAfter w:val="1"/>
          <w:wAfter w:w="8" w:type="dxa"/>
        </w:trPr>
        <w:tc>
          <w:tcPr>
            <w:tcW w:w="3231" w:type="dxa"/>
            <w:vAlign w:val="center"/>
          </w:tcPr>
          <w:p w14:paraId="70A097DA" w14:textId="77777777" w:rsidR="00692E71" w:rsidRPr="001E3185" w:rsidRDefault="00692E71" w:rsidP="008E0250">
            <w:pPr>
              <w:rPr>
                <w:rFonts w:cs="Arial"/>
                <w:i/>
                <w:iCs/>
                <w:sz w:val="18"/>
                <w:szCs w:val="18"/>
              </w:rPr>
            </w:pPr>
            <w:r w:rsidRPr="001E3185">
              <w:rPr>
                <w:rFonts w:cs="Arial"/>
                <w:sz w:val="18"/>
                <w:szCs w:val="18"/>
              </w:rPr>
              <w:t>Combined concentrations in soil resulting from application (brushing) and leaching of treated wood (30d), tier 1</w:t>
            </w:r>
          </w:p>
        </w:tc>
        <w:tc>
          <w:tcPr>
            <w:tcW w:w="2122" w:type="dxa"/>
            <w:vAlign w:val="center"/>
          </w:tcPr>
          <w:p w14:paraId="5BEE869F"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soil,total, rem, </w:t>
            </w:r>
            <w:r w:rsidRPr="001E3185">
              <w:rPr>
                <w:rFonts w:cs="Arial"/>
                <w:iCs/>
                <w:sz w:val="18"/>
                <w:szCs w:val="18"/>
                <w:vertAlign w:val="subscript"/>
              </w:rPr>
              <w:t>time1 tier 1</w:t>
            </w:r>
          </w:p>
        </w:tc>
        <w:tc>
          <w:tcPr>
            <w:tcW w:w="2268" w:type="dxa"/>
            <w:vAlign w:val="center"/>
          </w:tcPr>
          <w:p w14:paraId="68AF687C" w14:textId="77777777" w:rsidR="00692E71" w:rsidRPr="001E3185" w:rsidRDefault="00692E71" w:rsidP="008E0250">
            <w:pPr>
              <w:jc w:val="center"/>
              <w:rPr>
                <w:rFonts w:cs="Arial"/>
                <w:sz w:val="18"/>
                <w:szCs w:val="18"/>
              </w:rPr>
            </w:pPr>
            <w:r w:rsidRPr="001E3185">
              <w:rPr>
                <w:rFonts w:cs="Arial"/>
                <w:sz w:val="18"/>
                <w:szCs w:val="18"/>
              </w:rPr>
              <w:t xml:space="preserve"> 2.8*10</w:t>
            </w:r>
            <w:r w:rsidRPr="001E3185">
              <w:rPr>
                <w:rFonts w:cs="Arial"/>
                <w:sz w:val="18"/>
                <w:szCs w:val="18"/>
                <w:vertAlign w:val="superscript"/>
              </w:rPr>
              <w:t>-5</w:t>
            </w:r>
            <w:r w:rsidRPr="001E3185">
              <w:rPr>
                <w:rFonts w:cs="Arial"/>
                <w:sz w:val="18"/>
                <w:szCs w:val="18"/>
              </w:rPr>
              <w:t xml:space="preserve"> (IPBC)</w:t>
            </w:r>
          </w:p>
          <w:p w14:paraId="2C485E60" w14:textId="77777777" w:rsidR="00692E71" w:rsidRPr="001E3185" w:rsidRDefault="00692E71" w:rsidP="008E0250">
            <w:pPr>
              <w:jc w:val="center"/>
              <w:rPr>
                <w:rFonts w:cs="Arial"/>
                <w:sz w:val="18"/>
                <w:szCs w:val="18"/>
              </w:rPr>
            </w:pPr>
            <w:r w:rsidRPr="001E3185">
              <w:rPr>
                <w:rFonts w:cs="Arial"/>
                <w:sz w:val="18"/>
                <w:szCs w:val="18"/>
              </w:rPr>
              <w:t>0.54 (propiconazole)</w:t>
            </w:r>
          </w:p>
          <w:p w14:paraId="6F594FFB" w14:textId="77777777" w:rsidR="00692E71" w:rsidRPr="001E3185" w:rsidRDefault="00692E71" w:rsidP="008E0250">
            <w:pPr>
              <w:jc w:val="center"/>
              <w:rPr>
                <w:rFonts w:cs="Arial"/>
                <w:sz w:val="18"/>
                <w:szCs w:val="18"/>
              </w:rPr>
            </w:pPr>
            <w:r w:rsidRPr="001E3185">
              <w:rPr>
                <w:rFonts w:cs="Arial"/>
                <w:sz w:val="18"/>
                <w:szCs w:val="18"/>
              </w:rPr>
              <w:t>0.17 (tebuconazole)</w:t>
            </w:r>
          </w:p>
          <w:p w14:paraId="505E387C" w14:textId="77777777" w:rsidR="00692E71" w:rsidRPr="001E3185" w:rsidRDefault="00692E71" w:rsidP="008E0250">
            <w:pPr>
              <w:jc w:val="center"/>
              <w:rPr>
                <w:rFonts w:cs="Arial"/>
                <w:sz w:val="18"/>
                <w:szCs w:val="18"/>
              </w:rPr>
            </w:pPr>
            <w:r w:rsidRPr="001E3185">
              <w:rPr>
                <w:rFonts w:cs="Arial"/>
                <w:sz w:val="18"/>
                <w:szCs w:val="18"/>
              </w:rPr>
              <w:t>0.07 (cypermethrin)</w:t>
            </w:r>
          </w:p>
        </w:tc>
        <w:tc>
          <w:tcPr>
            <w:tcW w:w="1134" w:type="dxa"/>
            <w:vAlign w:val="center"/>
          </w:tcPr>
          <w:p w14:paraId="49A9C0E4" w14:textId="77777777" w:rsidR="00692E71" w:rsidRPr="001E3185" w:rsidRDefault="00692E71" w:rsidP="008E0250">
            <w:pPr>
              <w:rPr>
                <w:rFonts w:cs="Arial"/>
                <w:i/>
                <w:iCs/>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1059CE7C"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614840AB" w14:textId="77777777" w:rsidTr="008E0250">
        <w:trPr>
          <w:gridAfter w:val="1"/>
          <w:wAfter w:w="8" w:type="dxa"/>
        </w:trPr>
        <w:tc>
          <w:tcPr>
            <w:tcW w:w="3231" w:type="dxa"/>
            <w:vAlign w:val="center"/>
          </w:tcPr>
          <w:p w14:paraId="731F65CF" w14:textId="77777777" w:rsidR="00692E71" w:rsidRPr="001E3185" w:rsidRDefault="00692E71" w:rsidP="008E0250">
            <w:pPr>
              <w:rPr>
                <w:rFonts w:cs="Arial"/>
                <w:sz w:val="18"/>
                <w:szCs w:val="18"/>
              </w:rPr>
            </w:pPr>
            <w:r w:rsidRPr="001E3185">
              <w:rPr>
                <w:rFonts w:cs="Arial"/>
                <w:sz w:val="18"/>
                <w:szCs w:val="18"/>
              </w:rPr>
              <w:t>Combined concentrations in soil resulting from application (brushing) and leaching of treated wood (1825d), tier 1</w:t>
            </w:r>
          </w:p>
        </w:tc>
        <w:tc>
          <w:tcPr>
            <w:tcW w:w="2122" w:type="dxa"/>
            <w:vAlign w:val="center"/>
          </w:tcPr>
          <w:p w14:paraId="1691B581"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soil,total, rem, </w:t>
            </w:r>
            <w:r w:rsidRPr="001E3185">
              <w:rPr>
                <w:rFonts w:cs="Arial"/>
                <w:iCs/>
                <w:sz w:val="18"/>
                <w:szCs w:val="18"/>
                <w:vertAlign w:val="subscript"/>
              </w:rPr>
              <w:t xml:space="preserve"> time2 tier 1</w:t>
            </w:r>
          </w:p>
        </w:tc>
        <w:tc>
          <w:tcPr>
            <w:tcW w:w="2268" w:type="dxa"/>
            <w:vAlign w:val="center"/>
          </w:tcPr>
          <w:p w14:paraId="6EECE0B7" w14:textId="77777777" w:rsidR="00692E71" w:rsidRPr="001E3185" w:rsidRDefault="00692E71" w:rsidP="008E0250">
            <w:pPr>
              <w:jc w:val="center"/>
              <w:rPr>
                <w:rFonts w:cs="Arial"/>
                <w:sz w:val="18"/>
                <w:szCs w:val="18"/>
              </w:rPr>
            </w:pPr>
            <w:r w:rsidRPr="001E3185">
              <w:rPr>
                <w:rFonts w:cs="Arial"/>
                <w:sz w:val="18"/>
                <w:szCs w:val="18"/>
              </w:rPr>
              <w:t>8.6*10</w:t>
            </w:r>
            <w:r w:rsidRPr="001E3185">
              <w:rPr>
                <w:rFonts w:cs="Arial"/>
                <w:sz w:val="18"/>
                <w:szCs w:val="18"/>
                <w:vertAlign w:val="superscript"/>
              </w:rPr>
              <w:t>-7</w:t>
            </w:r>
            <w:r w:rsidRPr="001E3185">
              <w:rPr>
                <w:rFonts w:cs="Arial"/>
                <w:sz w:val="18"/>
                <w:szCs w:val="18"/>
              </w:rPr>
              <w:t xml:space="preserve"> (IPBC)</w:t>
            </w:r>
          </w:p>
          <w:p w14:paraId="1075B7EE" w14:textId="77777777" w:rsidR="00692E71" w:rsidRPr="001E3185" w:rsidRDefault="00692E71" w:rsidP="008E0250">
            <w:pPr>
              <w:jc w:val="center"/>
              <w:rPr>
                <w:rFonts w:cs="Arial"/>
                <w:sz w:val="18"/>
                <w:szCs w:val="18"/>
              </w:rPr>
            </w:pPr>
            <w:r w:rsidRPr="001E3185">
              <w:rPr>
                <w:rFonts w:cs="Arial"/>
                <w:sz w:val="18"/>
                <w:szCs w:val="18"/>
              </w:rPr>
              <w:t>0.03 (propiconazole)</w:t>
            </w:r>
          </w:p>
          <w:p w14:paraId="0F1DEB39" w14:textId="77777777" w:rsidR="00692E71" w:rsidRPr="001E3185" w:rsidRDefault="00692E71" w:rsidP="008E0250">
            <w:pPr>
              <w:jc w:val="center"/>
              <w:rPr>
                <w:rFonts w:cs="Arial"/>
                <w:sz w:val="18"/>
                <w:szCs w:val="18"/>
              </w:rPr>
            </w:pPr>
            <w:r w:rsidRPr="001E3185">
              <w:rPr>
                <w:rFonts w:cs="Arial"/>
                <w:sz w:val="18"/>
                <w:szCs w:val="18"/>
              </w:rPr>
              <w:t xml:space="preserve"> 0.01 (tebuconazole)</w:t>
            </w:r>
          </w:p>
          <w:p w14:paraId="09D5A14F" w14:textId="77777777" w:rsidR="00692E71" w:rsidRPr="001E3185" w:rsidRDefault="00692E71" w:rsidP="008E0250">
            <w:pPr>
              <w:jc w:val="center"/>
              <w:rPr>
                <w:rFonts w:cs="Arial"/>
                <w:sz w:val="18"/>
                <w:szCs w:val="18"/>
              </w:rPr>
            </w:pPr>
            <w:r w:rsidRPr="001E3185">
              <w:rPr>
                <w:rFonts w:cs="Arial"/>
                <w:sz w:val="18"/>
                <w:szCs w:val="18"/>
              </w:rPr>
              <w:t xml:space="preserve"> 1.5*10</w:t>
            </w:r>
            <w:r w:rsidRPr="001E3185">
              <w:rPr>
                <w:rFonts w:cs="Arial"/>
                <w:sz w:val="18"/>
                <w:szCs w:val="18"/>
                <w:vertAlign w:val="superscript"/>
              </w:rPr>
              <w:t>-4</w:t>
            </w:r>
            <w:r w:rsidRPr="001E3185">
              <w:rPr>
                <w:rFonts w:cs="Arial"/>
                <w:sz w:val="18"/>
                <w:szCs w:val="18"/>
              </w:rPr>
              <w:t xml:space="preserve"> (cypermethrin)</w:t>
            </w:r>
          </w:p>
        </w:tc>
        <w:tc>
          <w:tcPr>
            <w:tcW w:w="1134" w:type="dxa"/>
            <w:vAlign w:val="center"/>
          </w:tcPr>
          <w:p w14:paraId="6399FEA2" w14:textId="77777777" w:rsidR="00692E71" w:rsidRPr="001E3185" w:rsidRDefault="00692E71" w:rsidP="008E0250">
            <w:pP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25CA69C4"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31B91795" w14:textId="77777777" w:rsidTr="008E0250">
        <w:trPr>
          <w:gridAfter w:val="1"/>
          <w:wAfter w:w="8" w:type="dxa"/>
        </w:trPr>
        <w:tc>
          <w:tcPr>
            <w:tcW w:w="3231" w:type="dxa"/>
            <w:vAlign w:val="center"/>
          </w:tcPr>
          <w:p w14:paraId="2BE5D05D" w14:textId="77777777" w:rsidR="00692E71" w:rsidRPr="001E3185" w:rsidRDefault="00692E71" w:rsidP="008E0250">
            <w:pPr>
              <w:rPr>
                <w:rFonts w:cs="Arial"/>
                <w:sz w:val="18"/>
                <w:szCs w:val="18"/>
              </w:rPr>
            </w:pPr>
            <w:r w:rsidRPr="001E3185">
              <w:rPr>
                <w:rFonts w:cs="Arial"/>
                <w:sz w:val="18"/>
                <w:szCs w:val="18"/>
              </w:rPr>
              <w:t>Combined concentrations in soil resulting from application (spraying) and leaching of treated wood (30d) Tier 2</w:t>
            </w:r>
          </w:p>
        </w:tc>
        <w:tc>
          <w:tcPr>
            <w:tcW w:w="2122" w:type="dxa"/>
            <w:vAlign w:val="center"/>
          </w:tcPr>
          <w:p w14:paraId="2A775D5F"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soil,total, rem,  </w:t>
            </w:r>
            <w:r w:rsidRPr="001E3185">
              <w:rPr>
                <w:rFonts w:cs="Arial"/>
                <w:iCs/>
                <w:sz w:val="18"/>
                <w:szCs w:val="18"/>
                <w:vertAlign w:val="subscript"/>
              </w:rPr>
              <w:t>time1 tier2</w:t>
            </w:r>
          </w:p>
        </w:tc>
        <w:tc>
          <w:tcPr>
            <w:tcW w:w="2268" w:type="dxa"/>
            <w:vAlign w:val="center"/>
          </w:tcPr>
          <w:p w14:paraId="4045DA55" w14:textId="77777777" w:rsidR="00692E71" w:rsidRPr="001E3185" w:rsidRDefault="00692E71" w:rsidP="008E0250">
            <w:pPr>
              <w:jc w:val="center"/>
              <w:rPr>
                <w:rFonts w:cs="Arial"/>
                <w:sz w:val="18"/>
                <w:szCs w:val="18"/>
              </w:rPr>
            </w:pPr>
            <w:r w:rsidRPr="001E3185">
              <w:rPr>
                <w:rFonts w:cs="Arial"/>
                <w:sz w:val="18"/>
                <w:szCs w:val="18"/>
              </w:rPr>
              <w:t xml:space="preserve"> 2.8*10</w:t>
            </w:r>
            <w:r w:rsidRPr="001E3185">
              <w:rPr>
                <w:rFonts w:cs="Arial"/>
                <w:sz w:val="18"/>
                <w:szCs w:val="18"/>
                <w:vertAlign w:val="superscript"/>
              </w:rPr>
              <w:t>-5</w:t>
            </w:r>
            <w:r w:rsidRPr="001E3185">
              <w:rPr>
                <w:rFonts w:cs="Arial"/>
                <w:sz w:val="18"/>
                <w:szCs w:val="18"/>
              </w:rPr>
              <w:t xml:space="preserve"> (IPBC)</w:t>
            </w:r>
          </w:p>
          <w:p w14:paraId="52D5BA08" w14:textId="77777777" w:rsidR="00692E71" w:rsidRPr="001E3185" w:rsidRDefault="00692E71" w:rsidP="008E0250">
            <w:pPr>
              <w:jc w:val="center"/>
              <w:rPr>
                <w:rFonts w:cs="Arial"/>
                <w:sz w:val="18"/>
                <w:szCs w:val="18"/>
              </w:rPr>
            </w:pPr>
            <w:r w:rsidRPr="001E3185">
              <w:rPr>
                <w:rFonts w:cs="Arial"/>
                <w:sz w:val="18"/>
                <w:szCs w:val="18"/>
              </w:rPr>
              <w:t>0.15 (propiconazole)</w:t>
            </w:r>
          </w:p>
          <w:p w14:paraId="6C4EA5DC" w14:textId="77777777" w:rsidR="00692E71" w:rsidRPr="001E3185" w:rsidRDefault="00692E71" w:rsidP="008E0250">
            <w:pPr>
              <w:jc w:val="center"/>
              <w:rPr>
                <w:rFonts w:cs="Arial"/>
                <w:sz w:val="18"/>
                <w:szCs w:val="18"/>
              </w:rPr>
            </w:pPr>
            <w:r w:rsidRPr="001E3185">
              <w:rPr>
                <w:rFonts w:cs="Arial"/>
                <w:sz w:val="18"/>
                <w:szCs w:val="18"/>
              </w:rPr>
              <w:t>0.06 (tebuconazole)</w:t>
            </w:r>
          </w:p>
          <w:p w14:paraId="203DEAC6" w14:textId="77777777" w:rsidR="00692E71" w:rsidRPr="001E3185" w:rsidRDefault="00692E71" w:rsidP="008E0250">
            <w:pPr>
              <w:jc w:val="center"/>
              <w:rPr>
                <w:rFonts w:cs="Arial"/>
                <w:sz w:val="18"/>
                <w:szCs w:val="18"/>
              </w:rPr>
            </w:pPr>
            <w:r w:rsidRPr="001E3185">
              <w:rPr>
                <w:rFonts w:cs="Arial"/>
                <w:sz w:val="18"/>
                <w:szCs w:val="18"/>
              </w:rPr>
              <w:t>0.01 (cypermethrin)</w:t>
            </w:r>
          </w:p>
        </w:tc>
        <w:tc>
          <w:tcPr>
            <w:tcW w:w="1134" w:type="dxa"/>
            <w:vAlign w:val="center"/>
          </w:tcPr>
          <w:p w14:paraId="02647F88" w14:textId="77777777" w:rsidR="00692E71" w:rsidRPr="001E3185" w:rsidRDefault="00692E71" w:rsidP="008E0250">
            <w:pP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647D3076"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3AC6E4DC" w14:textId="77777777" w:rsidTr="008E0250">
        <w:trPr>
          <w:gridAfter w:val="1"/>
          <w:wAfter w:w="8" w:type="dxa"/>
        </w:trPr>
        <w:tc>
          <w:tcPr>
            <w:tcW w:w="3231" w:type="dxa"/>
            <w:vAlign w:val="center"/>
          </w:tcPr>
          <w:p w14:paraId="24CA6B26" w14:textId="77777777" w:rsidR="00692E71" w:rsidRPr="001E3185" w:rsidRDefault="00692E71" w:rsidP="008E0250">
            <w:pPr>
              <w:rPr>
                <w:rFonts w:cs="Arial"/>
                <w:sz w:val="18"/>
                <w:szCs w:val="18"/>
              </w:rPr>
            </w:pPr>
            <w:r w:rsidRPr="001E3185">
              <w:rPr>
                <w:rFonts w:cs="Arial"/>
                <w:sz w:val="18"/>
                <w:szCs w:val="18"/>
              </w:rPr>
              <w:t>Combined concentrations in soil resulting from application (spraying) and leaching of treated wood (1825d) Tier 2</w:t>
            </w:r>
          </w:p>
        </w:tc>
        <w:tc>
          <w:tcPr>
            <w:tcW w:w="2122" w:type="dxa"/>
            <w:vAlign w:val="center"/>
          </w:tcPr>
          <w:p w14:paraId="047D573E"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soil,total,</w:t>
            </w:r>
            <w:r w:rsidRPr="001E3185">
              <w:rPr>
                <w:rFonts w:cs="Arial"/>
                <w:iCs/>
                <w:sz w:val="18"/>
                <w:szCs w:val="18"/>
                <w:vertAlign w:val="subscript"/>
              </w:rPr>
              <w:t xml:space="preserve"> rem, time2 tier2</w:t>
            </w:r>
          </w:p>
        </w:tc>
        <w:tc>
          <w:tcPr>
            <w:tcW w:w="2268" w:type="dxa"/>
            <w:vAlign w:val="center"/>
          </w:tcPr>
          <w:p w14:paraId="57888F1C" w14:textId="77777777" w:rsidR="00692E71" w:rsidRPr="001E3185" w:rsidRDefault="00692E71" w:rsidP="008E0250">
            <w:pPr>
              <w:jc w:val="center"/>
              <w:rPr>
                <w:rFonts w:cs="Arial"/>
                <w:sz w:val="18"/>
                <w:szCs w:val="18"/>
              </w:rPr>
            </w:pPr>
            <w:r w:rsidRPr="001E3185">
              <w:rPr>
                <w:rFonts w:cs="Arial"/>
                <w:sz w:val="18"/>
                <w:szCs w:val="18"/>
              </w:rPr>
              <w:t>8.6*10</w:t>
            </w:r>
            <w:r w:rsidRPr="001E3185">
              <w:rPr>
                <w:rFonts w:cs="Arial"/>
                <w:sz w:val="18"/>
                <w:szCs w:val="18"/>
                <w:vertAlign w:val="superscript"/>
              </w:rPr>
              <w:t>-7</w:t>
            </w:r>
            <w:r w:rsidRPr="001E3185">
              <w:rPr>
                <w:rFonts w:cs="Arial"/>
                <w:sz w:val="18"/>
                <w:szCs w:val="18"/>
              </w:rPr>
              <w:t xml:space="preserve"> (IPBC)</w:t>
            </w:r>
          </w:p>
          <w:p w14:paraId="2CE6F7BF" w14:textId="77777777" w:rsidR="00692E71" w:rsidRPr="001E3185" w:rsidRDefault="00692E71" w:rsidP="008E0250">
            <w:pPr>
              <w:jc w:val="center"/>
              <w:rPr>
                <w:rFonts w:cs="Arial"/>
                <w:sz w:val="18"/>
                <w:szCs w:val="18"/>
              </w:rPr>
            </w:pPr>
            <w:r w:rsidRPr="001E3185">
              <w:rPr>
                <w:rFonts w:cs="Arial"/>
                <w:sz w:val="18"/>
                <w:szCs w:val="18"/>
              </w:rPr>
              <w:t>0.03 (propiconazole)</w:t>
            </w:r>
          </w:p>
          <w:p w14:paraId="33BB144F" w14:textId="77777777" w:rsidR="00692E71" w:rsidRPr="001E3185" w:rsidRDefault="00692E71" w:rsidP="008E0250">
            <w:pPr>
              <w:jc w:val="center"/>
              <w:rPr>
                <w:rFonts w:cs="Arial"/>
                <w:sz w:val="18"/>
                <w:szCs w:val="18"/>
              </w:rPr>
            </w:pPr>
            <w:r w:rsidRPr="001E3185">
              <w:rPr>
                <w:rFonts w:cs="Arial"/>
                <w:sz w:val="18"/>
                <w:szCs w:val="18"/>
              </w:rPr>
              <w:t xml:space="preserve"> 0.01 (tebuconazole)</w:t>
            </w:r>
          </w:p>
          <w:p w14:paraId="2B06DDD6" w14:textId="77777777" w:rsidR="00692E71" w:rsidRPr="001E3185" w:rsidRDefault="00692E71" w:rsidP="008E0250">
            <w:pPr>
              <w:jc w:val="center"/>
              <w:rPr>
                <w:rFonts w:cs="Arial"/>
                <w:sz w:val="18"/>
                <w:szCs w:val="18"/>
              </w:rPr>
            </w:pPr>
            <w:r w:rsidRPr="001E3185">
              <w:rPr>
                <w:rFonts w:cs="Arial"/>
                <w:sz w:val="18"/>
                <w:szCs w:val="18"/>
              </w:rPr>
              <w:t xml:space="preserve"> 1.5*10</w:t>
            </w:r>
            <w:r w:rsidRPr="001E3185">
              <w:rPr>
                <w:rFonts w:cs="Arial"/>
                <w:sz w:val="18"/>
                <w:szCs w:val="18"/>
                <w:vertAlign w:val="superscript"/>
              </w:rPr>
              <w:t>-4</w:t>
            </w:r>
            <w:r w:rsidRPr="001E3185">
              <w:rPr>
                <w:rFonts w:cs="Arial"/>
                <w:sz w:val="18"/>
                <w:szCs w:val="18"/>
              </w:rPr>
              <w:t xml:space="preserve"> (cypermethrin)</w:t>
            </w:r>
          </w:p>
        </w:tc>
        <w:tc>
          <w:tcPr>
            <w:tcW w:w="1134" w:type="dxa"/>
            <w:vAlign w:val="center"/>
          </w:tcPr>
          <w:p w14:paraId="41792AFE" w14:textId="77777777" w:rsidR="00692E71" w:rsidRPr="001E3185" w:rsidRDefault="00692E71" w:rsidP="008E0250">
            <w:pP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60731A5A"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5B83436E" w14:textId="77777777" w:rsidTr="008E0250">
        <w:trPr>
          <w:gridAfter w:val="1"/>
          <w:wAfter w:w="8" w:type="dxa"/>
        </w:trPr>
        <w:tc>
          <w:tcPr>
            <w:tcW w:w="3231" w:type="dxa"/>
            <w:vAlign w:val="center"/>
          </w:tcPr>
          <w:p w14:paraId="7B46908E" w14:textId="77777777" w:rsidR="00692E71" w:rsidRPr="001E3185" w:rsidRDefault="00692E71" w:rsidP="008E0250">
            <w:pPr>
              <w:rPr>
                <w:rFonts w:cs="Arial"/>
                <w:sz w:val="18"/>
                <w:szCs w:val="18"/>
              </w:rPr>
            </w:pPr>
            <w:r w:rsidRPr="001E3185">
              <w:rPr>
                <w:rFonts w:cs="Arial"/>
                <w:sz w:val="18"/>
                <w:szCs w:val="18"/>
              </w:rPr>
              <w:t>Average concentrations in pore water over the initial assessment period (30d), tier 1</w:t>
            </w:r>
          </w:p>
        </w:tc>
        <w:tc>
          <w:tcPr>
            <w:tcW w:w="2122" w:type="dxa"/>
            <w:vAlign w:val="center"/>
          </w:tcPr>
          <w:p w14:paraId="5D24801C" w14:textId="77777777" w:rsidR="00692E71" w:rsidRPr="001E3185" w:rsidRDefault="00692E71" w:rsidP="008E0250">
            <w:pPr>
              <w:rPr>
                <w:rFonts w:cs="Arial"/>
                <w:iCs/>
                <w:sz w:val="18"/>
                <w:szCs w:val="18"/>
              </w:rPr>
            </w:pPr>
            <w:r w:rsidRPr="001E3185">
              <w:rPr>
                <w:rFonts w:cs="Arial"/>
                <w:iCs/>
                <w:sz w:val="18"/>
                <w:szCs w:val="18"/>
              </w:rPr>
              <w:t>Clocal</w:t>
            </w:r>
            <w:r w:rsidRPr="001E3185">
              <w:rPr>
                <w:rFonts w:cs="Arial"/>
                <w:iCs/>
                <w:sz w:val="18"/>
                <w:szCs w:val="18"/>
                <w:vertAlign w:val="subscript"/>
              </w:rPr>
              <w:t>pore,time1 tier1</w:t>
            </w:r>
          </w:p>
        </w:tc>
        <w:tc>
          <w:tcPr>
            <w:tcW w:w="2268" w:type="dxa"/>
            <w:vAlign w:val="center"/>
          </w:tcPr>
          <w:p w14:paraId="5C539AFF" w14:textId="77777777" w:rsidR="00692E71" w:rsidRPr="001E3185" w:rsidRDefault="00692E71" w:rsidP="008E0250">
            <w:pPr>
              <w:jc w:val="center"/>
              <w:rPr>
                <w:rFonts w:cs="Arial"/>
                <w:sz w:val="18"/>
                <w:szCs w:val="18"/>
              </w:rPr>
            </w:pPr>
            <w:r w:rsidRPr="001E3185">
              <w:rPr>
                <w:rFonts w:cs="Arial"/>
                <w:sz w:val="18"/>
                <w:szCs w:val="18"/>
              </w:rPr>
              <w:t>0.01 (IPBC)</w:t>
            </w:r>
          </w:p>
          <w:p w14:paraId="0E6E06E6" w14:textId="77777777" w:rsidR="00692E71" w:rsidRPr="001E3185" w:rsidRDefault="00692E71" w:rsidP="008E0250">
            <w:pPr>
              <w:jc w:val="center"/>
              <w:rPr>
                <w:rFonts w:cs="Arial"/>
                <w:sz w:val="18"/>
                <w:szCs w:val="18"/>
              </w:rPr>
            </w:pPr>
            <w:r w:rsidRPr="001E3185">
              <w:rPr>
                <w:rFonts w:cs="Arial"/>
                <w:sz w:val="18"/>
                <w:szCs w:val="18"/>
              </w:rPr>
              <w:t xml:space="preserve"> 32.03 (propiconazole)</w:t>
            </w:r>
          </w:p>
          <w:p w14:paraId="2E0B6C5D" w14:textId="77777777" w:rsidR="00692E71" w:rsidRPr="001E3185" w:rsidRDefault="00692E71" w:rsidP="008E0250">
            <w:pPr>
              <w:jc w:val="center"/>
              <w:rPr>
                <w:rFonts w:cs="Arial"/>
                <w:sz w:val="18"/>
                <w:szCs w:val="18"/>
              </w:rPr>
            </w:pPr>
            <w:r w:rsidRPr="001E3185">
              <w:rPr>
                <w:rFonts w:cs="Arial"/>
                <w:sz w:val="18"/>
                <w:szCs w:val="18"/>
              </w:rPr>
              <w:t>9.79 (tebuconazole)</w:t>
            </w:r>
          </w:p>
          <w:p w14:paraId="0748F837" w14:textId="77777777" w:rsidR="00692E71" w:rsidRPr="001E3185" w:rsidRDefault="00692E71" w:rsidP="008E0250">
            <w:pPr>
              <w:jc w:val="center"/>
              <w:rPr>
                <w:rFonts w:cs="Arial"/>
                <w:sz w:val="18"/>
                <w:szCs w:val="18"/>
              </w:rPr>
            </w:pPr>
            <w:r w:rsidRPr="001E3185">
              <w:rPr>
                <w:rFonts w:cs="Arial"/>
                <w:sz w:val="18"/>
                <w:szCs w:val="18"/>
              </w:rPr>
              <w:t xml:space="preserve"> 6.7*10</w:t>
            </w:r>
            <w:r w:rsidRPr="001E3185">
              <w:rPr>
                <w:rFonts w:cs="Arial"/>
                <w:sz w:val="18"/>
                <w:szCs w:val="18"/>
                <w:vertAlign w:val="superscript"/>
              </w:rPr>
              <w:t>-3</w:t>
            </w:r>
            <w:r w:rsidRPr="001E3185">
              <w:rPr>
                <w:rFonts w:cs="Arial"/>
                <w:sz w:val="18"/>
                <w:szCs w:val="18"/>
              </w:rPr>
              <w:t xml:space="preserve"> (cypermethrin)</w:t>
            </w:r>
          </w:p>
        </w:tc>
        <w:tc>
          <w:tcPr>
            <w:tcW w:w="1134" w:type="dxa"/>
            <w:vAlign w:val="center"/>
          </w:tcPr>
          <w:p w14:paraId="156713F3" w14:textId="77777777" w:rsidR="00692E71" w:rsidRPr="001E3185" w:rsidRDefault="00692E71" w:rsidP="008E0250">
            <w:pP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2E750D12"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354772B8" w14:textId="77777777" w:rsidTr="008E0250">
        <w:trPr>
          <w:gridAfter w:val="1"/>
          <w:wAfter w:w="8" w:type="dxa"/>
        </w:trPr>
        <w:tc>
          <w:tcPr>
            <w:tcW w:w="3231" w:type="dxa"/>
            <w:vAlign w:val="center"/>
          </w:tcPr>
          <w:p w14:paraId="55BEAF46" w14:textId="77777777" w:rsidR="00692E71" w:rsidRPr="001E3185" w:rsidRDefault="00692E71" w:rsidP="008E0250">
            <w:pPr>
              <w:rPr>
                <w:rFonts w:cs="Arial"/>
                <w:sz w:val="18"/>
                <w:szCs w:val="18"/>
              </w:rPr>
            </w:pPr>
            <w:r w:rsidRPr="001E3185">
              <w:rPr>
                <w:rFonts w:cs="Arial"/>
                <w:sz w:val="18"/>
                <w:szCs w:val="18"/>
              </w:rPr>
              <w:t>Average concentration in pore water over a longer duration (1825 d), tier 1</w:t>
            </w:r>
          </w:p>
        </w:tc>
        <w:tc>
          <w:tcPr>
            <w:tcW w:w="2122" w:type="dxa"/>
            <w:vAlign w:val="center"/>
          </w:tcPr>
          <w:p w14:paraId="0F56E1E1" w14:textId="77777777" w:rsidR="00692E71" w:rsidRPr="001E3185" w:rsidRDefault="00692E71" w:rsidP="008E0250">
            <w:pPr>
              <w:rPr>
                <w:rFonts w:cs="Arial"/>
                <w:iCs/>
                <w:sz w:val="18"/>
                <w:szCs w:val="18"/>
              </w:rPr>
            </w:pPr>
            <w:r w:rsidRPr="001E3185">
              <w:rPr>
                <w:rFonts w:cs="Arial"/>
                <w:iCs/>
                <w:sz w:val="18"/>
                <w:szCs w:val="18"/>
              </w:rPr>
              <w:t>Clocal</w:t>
            </w:r>
            <w:r w:rsidRPr="001E3185">
              <w:rPr>
                <w:rFonts w:cs="Arial"/>
                <w:iCs/>
                <w:sz w:val="18"/>
                <w:szCs w:val="18"/>
                <w:vertAlign w:val="subscript"/>
              </w:rPr>
              <w:t>pore,time2 tier1</w:t>
            </w:r>
          </w:p>
        </w:tc>
        <w:tc>
          <w:tcPr>
            <w:tcW w:w="2268" w:type="dxa"/>
            <w:vAlign w:val="center"/>
          </w:tcPr>
          <w:p w14:paraId="1324393A" w14:textId="77777777" w:rsidR="00692E71" w:rsidRPr="001E3185" w:rsidRDefault="00692E71" w:rsidP="008E0250">
            <w:pPr>
              <w:jc w:val="center"/>
              <w:rPr>
                <w:rFonts w:cs="Arial"/>
                <w:sz w:val="18"/>
                <w:szCs w:val="18"/>
              </w:rPr>
            </w:pPr>
            <w:r w:rsidRPr="001E3185">
              <w:rPr>
                <w:rFonts w:cs="Arial"/>
                <w:sz w:val="18"/>
                <w:szCs w:val="18"/>
              </w:rPr>
              <w:t>3.7*10</w:t>
            </w:r>
            <w:r w:rsidRPr="001E3185">
              <w:rPr>
                <w:rFonts w:cs="Arial"/>
                <w:sz w:val="18"/>
                <w:szCs w:val="18"/>
                <w:vertAlign w:val="superscript"/>
              </w:rPr>
              <w:t>-4</w:t>
            </w:r>
            <w:r w:rsidRPr="001E3185">
              <w:rPr>
                <w:rFonts w:cs="Arial"/>
                <w:sz w:val="18"/>
                <w:szCs w:val="18"/>
              </w:rPr>
              <w:t xml:space="preserve"> (IPBC)</w:t>
            </w:r>
          </w:p>
          <w:p w14:paraId="6FB41A4B" w14:textId="77777777" w:rsidR="00692E71" w:rsidRPr="001E3185" w:rsidRDefault="00692E71" w:rsidP="008E0250">
            <w:pPr>
              <w:jc w:val="center"/>
              <w:rPr>
                <w:rFonts w:cs="Arial"/>
                <w:sz w:val="18"/>
                <w:szCs w:val="18"/>
              </w:rPr>
            </w:pPr>
            <w:r w:rsidRPr="001E3185">
              <w:rPr>
                <w:rFonts w:cs="Arial"/>
                <w:sz w:val="18"/>
                <w:szCs w:val="18"/>
              </w:rPr>
              <w:t xml:space="preserve"> 1.87 (propiconazole)</w:t>
            </w:r>
          </w:p>
          <w:p w14:paraId="6B61A03C" w14:textId="77777777" w:rsidR="00692E71" w:rsidRPr="001E3185" w:rsidRDefault="00692E71" w:rsidP="008E0250">
            <w:pPr>
              <w:jc w:val="center"/>
              <w:rPr>
                <w:rFonts w:cs="Arial"/>
                <w:sz w:val="18"/>
                <w:szCs w:val="18"/>
              </w:rPr>
            </w:pPr>
            <w:r w:rsidRPr="001E3185">
              <w:rPr>
                <w:rFonts w:cs="Arial"/>
                <w:sz w:val="18"/>
                <w:szCs w:val="18"/>
              </w:rPr>
              <w:t xml:space="preserve">  0.39 (tebuconazole)</w:t>
            </w:r>
          </w:p>
          <w:p w14:paraId="1B4D1AB4" w14:textId="77777777" w:rsidR="00692E71" w:rsidRPr="001E3185" w:rsidRDefault="00692E71" w:rsidP="008E0250">
            <w:pPr>
              <w:jc w:val="center"/>
              <w:rPr>
                <w:rFonts w:cs="Arial"/>
                <w:sz w:val="18"/>
                <w:szCs w:val="18"/>
              </w:rPr>
            </w:pPr>
            <w:r w:rsidRPr="001E3185">
              <w:rPr>
                <w:rFonts w:cs="Arial"/>
                <w:sz w:val="18"/>
                <w:szCs w:val="18"/>
              </w:rPr>
              <w:t>1.4*10</w:t>
            </w:r>
            <w:r w:rsidRPr="001E3185">
              <w:rPr>
                <w:rFonts w:cs="Arial"/>
                <w:sz w:val="18"/>
                <w:szCs w:val="18"/>
                <w:vertAlign w:val="superscript"/>
              </w:rPr>
              <w:t>-5</w:t>
            </w:r>
            <w:r w:rsidRPr="001E3185">
              <w:rPr>
                <w:rFonts w:cs="Arial"/>
                <w:sz w:val="18"/>
                <w:szCs w:val="18"/>
              </w:rPr>
              <w:t xml:space="preserve"> (cypermethrin)</w:t>
            </w:r>
          </w:p>
        </w:tc>
        <w:tc>
          <w:tcPr>
            <w:tcW w:w="1134" w:type="dxa"/>
            <w:vAlign w:val="center"/>
          </w:tcPr>
          <w:p w14:paraId="78063D6F" w14:textId="77777777" w:rsidR="00692E71" w:rsidRPr="001E3185" w:rsidRDefault="00692E71" w:rsidP="008E0250">
            <w:pP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226FC78F"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1DED15D6" w14:textId="77777777" w:rsidTr="008E0250">
        <w:trPr>
          <w:gridAfter w:val="1"/>
          <w:wAfter w:w="8" w:type="dxa"/>
        </w:trPr>
        <w:tc>
          <w:tcPr>
            <w:tcW w:w="3231" w:type="dxa"/>
            <w:vAlign w:val="center"/>
          </w:tcPr>
          <w:p w14:paraId="1108D869" w14:textId="77777777" w:rsidR="00692E71" w:rsidRPr="001E3185" w:rsidRDefault="00692E71" w:rsidP="008E0250">
            <w:pPr>
              <w:rPr>
                <w:rFonts w:cs="Arial"/>
                <w:sz w:val="18"/>
                <w:szCs w:val="18"/>
              </w:rPr>
            </w:pPr>
            <w:r w:rsidRPr="001E3185">
              <w:rPr>
                <w:rFonts w:cs="Arial"/>
                <w:sz w:val="18"/>
                <w:szCs w:val="18"/>
              </w:rPr>
              <w:t>Average concentrations in pore water over the initial assessment period (30d), tier 2</w:t>
            </w:r>
          </w:p>
        </w:tc>
        <w:tc>
          <w:tcPr>
            <w:tcW w:w="2122" w:type="dxa"/>
            <w:vAlign w:val="center"/>
          </w:tcPr>
          <w:p w14:paraId="1B62E646" w14:textId="77777777" w:rsidR="00692E71" w:rsidRPr="001E3185" w:rsidRDefault="00692E71" w:rsidP="008E0250">
            <w:pPr>
              <w:rPr>
                <w:rFonts w:cs="Arial"/>
                <w:iCs/>
                <w:sz w:val="18"/>
                <w:szCs w:val="18"/>
              </w:rPr>
            </w:pPr>
            <w:r w:rsidRPr="001E3185">
              <w:rPr>
                <w:rFonts w:cs="Arial"/>
                <w:iCs/>
                <w:sz w:val="18"/>
                <w:szCs w:val="18"/>
              </w:rPr>
              <w:t>Clocal</w:t>
            </w:r>
            <w:r w:rsidRPr="001E3185">
              <w:rPr>
                <w:rFonts w:cs="Arial"/>
                <w:iCs/>
                <w:sz w:val="18"/>
                <w:szCs w:val="18"/>
                <w:vertAlign w:val="subscript"/>
              </w:rPr>
              <w:t>pore,time1 tier2</w:t>
            </w:r>
          </w:p>
        </w:tc>
        <w:tc>
          <w:tcPr>
            <w:tcW w:w="2268" w:type="dxa"/>
            <w:vAlign w:val="center"/>
          </w:tcPr>
          <w:p w14:paraId="3C28D2C3" w14:textId="77777777" w:rsidR="00692E71" w:rsidRPr="001E3185" w:rsidRDefault="00692E71" w:rsidP="008E0250">
            <w:pPr>
              <w:jc w:val="center"/>
              <w:rPr>
                <w:rFonts w:cs="Arial"/>
                <w:sz w:val="18"/>
                <w:szCs w:val="18"/>
              </w:rPr>
            </w:pPr>
            <w:r w:rsidRPr="001E3185">
              <w:rPr>
                <w:rFonts w:cs="Arial"/>
                <w:sz w:val="18"/>
                <w:szCs w:val="18"/>
              </w:rPr>
              <w:t>0.01 (IPBC)</w:t>
            </w:r>
          </w:p>
          <w:p w14:paraId="052A59B0" w14:textId="77777777" w:rsidR="00692E71" w:rsidRPr="001E3185" w:rsidRDefault="00692E71" w:rsidP="008E0250">
            <w:pPr>
              <w:jc w:val="center"/>
              <w:rPr>
                <w:rFonts w:cs="Arial"/>
                <w:sz w:val="18"/>
                <w:szCs w:val="18"/>
              </w:rPr>
            </w:pPr>
            <w:r w:rsidRPr="001E3185">
              <w:rPr>
                <w:rFonts w:cs="Arial"/>
                <w:sz w:val="18"/>
                <w:szCs w:val="18"/>
              </w:rPr>
              <w:t xml:space="preserve"> 8.79 (propiconazole)</w:t>
            </w:r>
          </w:p>
          <w:p w14:paraId="44BF560E" w14:textId="77777777" w:rsidR="00692E71" w:rsidRPr="001E3185" w:rsidRDefault="00692E71" w:rsidP="008E0250">
            <w:pPr>
              <w:jc w:val="center"/>
              <w:rPr>
                <w:rFonts w:cs="Arial"/>
                <w:sz w:val="18"/>
                <w:szCs w:val="18"/>
              </w:rPr>
            </w:pPr>
            <w:r w:rsidRPr="001E3185">
              <w:rPr>
                <w:rFonts w:cs="Arial"/>
                <w:sz w:val="18"/>
                <w:szCs w:val="18"/>
              </w:rPr>
              <w:t>3.79 (tebuconazole)</w:t>
            </w:r>
          </w:p>
          <w:p w14:paraId="7B553BDC" w14:textId="77777777" w:rsidR="00692E71" w:rsidRPr="001E3185" w:rsidRDefault="00692E71" w:rsidP="008E0250">
            <w:pPr>
              <w:jc w:val="center"/>
              <w:rPr>
                <w:rFonts w:cs="Arial"/>
                <w:sz w:val="18"/>
                <w:szCs w:val="18"/>
              </w:rPr>
            </w:pPr>
            <w:r w:rsidRPr="001E3185">
              <w:rPr>
                <w:rFonts w:cs="Arial"/>
                <w:sz w:val="18"/>
                <w:szCs w:val="18"/>
              </w:rPr>
              <w:t xml:space="preserve"> 0.002 (cypermethrin)</w:t>
            </w:r>
          </w:p>
        </w:tc>
        <w:tc>
          <w:tcPr>
            <w:tcW w:w="1134" w:type="dxa"/>
            <w:vAlign w:val="center"/>
          </w:tcPr>
          <w:p w14:paraId="0FE672E4" w14:textId="77777777" w:rsidR="00692E71" w:rsidRPr="001E3185" w:rsidRDefault="00692E71" w:rsidP="008E0250">
            <w:pP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16D253FF"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58B20184" w14:textId="77777777" w:rsidTr="008E0250">
        <w:trPr>
          <w:gridAfter w:val="1"/>
          <w:wAfter w:w="8" w:type="dxa"/>
        </w:trPr>
        <w:tc>
          <w:tcPr>
            <w:tcW w:w="3231" w:type="dxa"/>
            <w:vAlign w:val="center"/>
          </w:tcPr>
          <w:p w14:paraId="2B6B6F10" w14:textId="77777777" w:rsidR="00692E71" w:rsidRPr="001E3185" w:rsidRDefault="00692E71" w:rsidP="008E0250">
            <w:pPr>
              <w:rPr>
                <w:rFonts w:cs="Arial"/>
                <w:sz w:val="18"/>
                <w:szCs w:val="18"/>
              </w:rPr>
            </w:pPr>
            <w:r w:rsidRPr="001E3185">
              <w:rPr>
                <w:rFonts w:cs="Arial"/>
                <w:sz w:val="18"/>
                <w:szCs w:val="18"/>
              </w:rPr>
              <w:t>Average concentration in pore water over a longer duration (1825 d), tier 2</w:t>
            </w:r>
          </w:p>
        </w:tc>
        <w:tc>
          <w:tcPr>
            <w:tcW w:w="2122" w:type="dxa"/>
            <w:vAlign w:val="center"/>
          </w:tcPr>
          <w:p w14:paraId="539074C1" w14:textId="77777777" w:rsidR="00692E71" w:rsidRPr="001E3185" w:rsidRDefault="00692E71" w:rsidP="008E0250">
            <w:pPr>
              <w:rPr>
                <w:rFonts w:cs="Arial"/>
                <w:iCs/>
                <w:sz w:val="18"/>
                <w:szCs w:val="18"/>
              </w:rPr>
            </w:pPr>
            <w:r w:rsidRPr="001E3185">
              <w:rPr>
                <w:rFonts w:cs="Arial"/>
                <w:iCs/>
                <w:sz w:val="18"/>
                <w:szCs w:val="18"/>
              </w:rPr>
              <w:t>Clocal</w:t>
            </w:r>
            <w:r w:rsidRPr="001E3185">
              <w:rPr>
                <w:rFonts w:cs="Arial"/>
                <w:iCs/>
                <w:sz w:val="18"/>
                <w:szCs w:val="18"/>
                <w:vertAlign w:val="subscript"/>
              </w:rPr>
              <w:t>pore,time2 tier2</w:t>
            </w:r>
          </w:p>
        </w:tc>
        <w:tc>
          <w:tcPr>
            <w:tcW w:w="2268" w:type="dxa"/>
            <w:vAlign w:val="center"/>
          </w:tcPr>
          <w:p w14:paraId="67DBF5F0" w14:textId="77777777" w:rsidR="00692E71" w:rsidRPr="001E3185" w:rsidRDefault="00692E71" w:rsidP="008E0250">
            <w:pPr>
              <w:jc w:val="center"/>
              <w:rPr>
                <w:rFonts w:cs="Arial"/>
                <w:sz w:val="18"/>
                <w:szCs w:val="18"/>
              </w:rPr>
            </w:pPr>
            <w:r w:rsidRPr="001E3185">
              <w:rPr>
                <w:rFonts w:cs="Arial"/>
                <w:sz w:val="18"/>
                <w:szCs w:val="18"/>
              </w:rPr>
              <w:t>3.7*10</w:t>
            </w:r>
            <w:r w:rsidRPr="001E3185">
              <w:rPr>
                <w:rFonts w:cs="Arial"/>
                <w:sz w:val="18"/>
                <w:szCs w:val="18"/>
                <w:vertAlign w:val="superscript"/>
              </w:rPr>
              <w:t>-4</w:t>
            </w:r>
            <w:r w:rsidRPr="001E3185">
              <w:rPr>
                <w:rFonts w:cs="Arial"/>
                <w:sz w:val="18"/>
                <w:szCs w:val="18"/>
              </w:rPr>
              <w:t xml:space="preserve"> (IPBC)</w:t>
            </w:r>
          </w:p>
          <w:p w14:paraId="7C76F29E" w14:textId="77777777" w:rsidR="00692E71" w:rsidRPr="001E3185" w:rsidRDefault="00692E71" w:rsidP="008E0250">
            <w:pPr>
              <w:jc w:val="center"/>
              <w:rPr>
                <w:rFonts w:cs="Arial"/>
                <w:sz w:val="18"/>
                <w:szCs w:val="18"/>
              </w:rPr>
            </w:pPr>
            <w:r w:rsidRPr="001E3185">
              <w:rPr>
                <w:rFonts w:cs="Arial"/>
                <w:sz w:val="18"/>
                <w:szCs w:val="18"/>
              </w:rPr>
              <w:t xml:space="preserve"> 1.87 (propiconazole)</w:t>
            </w:r>
          </w:p>
          <w:p w14:paraId="7A468FF4" w14:textId="77777777" w:rsidR="00692E71" w:rsidRPr="001E3185" w:rsidRDefault="00692E71" w:rsidP="008E0250">
            <w:pPr>
              <w:jc w:val="center"/>
              <w:rPr>
                <w:rFonts w:cs="Arial"/>
                <w:sz w:val="18"/>
                <w:szCs w:val="18"/>
              </w:rPr>
            </w:pPr>
            <w:r w:rsidRPr="001E3185">
              <w:rPr>
                <w:rFonts w:cs="Arial"/>
                <w:sz w:val="18"/>
                <w:szCs w:val="18"/>
              </w:rPr>
              <w:t xml:space="preserve">  0.39 (tebuconazole)</w:t>
            </w:r>
          </w:p>
          <w:p w14:paraId="000D8DE3" w14:textId="77777777" w:rsidR="00692E71" w:rsidRPr="001E3185" w:rsidRDefault="00692E71" w:rsidP="008E0250">
            <w:pPr>
              <w:jc w:val="center"/>
              <w:rPr>
                <w:rFonts w:cs="Arial"/>
                <w:sz w:val="18"/>
                <w:szCs w:val="18"/>
              </w:rPr>
            </w:pPr>
            <w:r w:rsidRPr="001E3185">
              <w:rPr>
                <w:rFonts w:cs="Arial"/>
                <w:sz w:val="18"/>
                <w:szCs w:val="18"/>
              </w:rPr>
              <w:t>1.4*10</w:t>
            </w:r>
            <w:r w:rsidRPr="001E3185">
              <w:rPr>
                <w:rFonts w:cs="Arial"/>
                <w:sz w:val="18"/>
                <w:szCs w:val="18"/>
                <w:vertAlign w:val="superscript"/>
              </w:rPr>
              <w:t>-5</w:t>
            </w:r>
            <w:r w:rsidRPr="001E3185">
              <w:rPr>
                <w:rFonts w:cs="Arial"/>
                <w:sz w:val="18"/>
                <w:szCs w:val="18"/>
              </w:rPr>
              <w:t xml:space="preserve"> (cypermethrin)</w:t>
            </w:r>
          </w:p>
        </w:tc>
        <w:tc>
          <w:tcPr>
            <w:tcW w:w="1134" w:type="dxa"/>
            <w:vAlign w:val="center"/>
          </w:tcPr>
          <w:p w14:paraId="2308F5E3" w14:textId="77777777" w:rsidR="00692E71" w:rsidRPr="001E3185" w:rsidRDefault="00692E71" w:rsidP="008E0250">
            <w:pP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29CDD6B1" w14:textId="77777777" w:rsidR="00692E71" w:rsidRPr="001E3185" w:rsidRDefault="00692E71" w:rsidP="008E0250">
            <w:pPr>
              <w:jc w:val="center"/>
              <w:rPr>
                <w:rFonts w:cs="Arial"/>
                <w:sz w:val="18"/>
                <w:szCs w:val="18"/>
              </w:rPr>
            </w:pPr>
            <w:r w:rsidRPr="001E3185">
              <w:rPr>
                <w:rFonts w:cs="Arial"/>
                <w:sz w:val="18"/>
                <w:szCs w:val="18"/>
              </w:rPr>
              <w:t>O</w:t>
            </w:r>
          </w:p>
        </w:tc>
      </w:tr>
    </w:tbl>
    <w:p w14:paraId="3FF10E27" w14:textId="77777777" w:rsidR="00692E71" w:rsidRPr="001E3185" w:rsidRDefault="00692E71" w:rsidP="00692E71">
      <w:pPr>
        <w:rPr>
          <w:rFonts w:cs="Arial"/>
        </w:rPr>
      </w:pPr>
    </w:p>
    <w:p w14:paraId="1DB8C8E9" w14:textId="77777777" w:rsidR="00692E71" w:rsidRPr="001E3185" w:rsidRDefault="00692E71" w:rsidP="00692E71">
      <w:pPr>
        <w:rPr>
          <w:rFonts w:cs="Arial"/>
        </w:rPr>
      </w:pPr>
      <w:r w:rsidRPr="001E3185">
        <w:rPr>
          <w:rFonts w:cs="Arial"/>
          <w:iCs/>
        </w:rPr>
        <w:lastRenderedPageBreak/>
        <w:t>The average concentration in the pore water can be calculated as (</w:t>
      </w:r>
      <w:r w:rsidRPr="001E3185">
        <w:rPr>
          <w:rFonts w:cs="Arial"/>
        </w:rPr>
        <w:t>IPBC used as an example):</w:t>
      </w:r>
    </w:p>
    <w:p w14:paraId="550044D8" w14:textId="77777777" w:rsidR="00692E71" w:rsidRPr="001E3185" w:rsidRDefault="00692E71" w:rsidP="00692E71">
      <w:pPr>
        <w:rPr>
          <w:rFonts w:cs="Arial"/>
          <w:iCs/>
        </w:rPr>
      </w:pPr>
    </w:p>
    <w:p w14:paraId="065E0723" w14:textId="77777777" w:rsidR="00692E71" w:rsidRPr="001E3185" w:rsidRDefault="00692E71" w:rsidP="00692E71">
      <w:pPr>
        <w:rPr>
          <w:rFonts w:cs="Arial"/>
          <w:iCs/>
          <w:vertAlign w:val="subscript"/>
        </w:rPr>
      </w:pPr>
      <w:r w:rsidRPr="001E3185">
        <w:rPr>
          <w:rFonts w:cs="Arial"/>
          <w:iCs/>
        </w:rPr>
        <w:t>Clocal</w:t>
      </w:r>
      <w:r w:rsidRPr="001E3185">
        <w:rPr>
          <w:rFonts w:cs="Arial"/>
          <w:iCs/>
          <w:vertAlign w:val="subscript"/>
        </w:rPr>
        <w:t>pore</w:t>
      </w:r>
      <w:proofErr w:type="gramStart"/>
      <w:r w:rsidRPr="001E3185">
        <w:rPr>
          <w:rFonts w:cs="Arial"/>
          <w:iCs/>
          <w:vertAlign w:val="subscript"/>
        </w:rPr>
        <w:t>,time1</w:t>
      </w:r>
      <w:proofErr w:type="gramEnd"/>
      <w:r w:rsidRPr="001E3185">
        <w:rPr>
          <w:rFonts w:cs="Arial"/>
          <w:iCs/>
          <w:vertAlign w:val="subscript"/>
        </w:rPr>
        <w:t xml:space="preserve"> tier 1 </w:t>
      </w:r>
      <w:r w:rsidRPr="001E3185">
        <w:rPr>
          <w:rFonts w:cs="Arial"/>
          <w:iCs/>
        </w:rPr>
        <w:t xml:space="preserve">= </w:t>
      </w:r>
      <w:r w:rsidRPr="001E3185">
        <w:rPr>
          <w:rFonts w:cs="Arial"/>
        </w:rPr>
        <w:t>Clocal</w:t>
      </w:r>
      <w:r w:rsidRPr="001E3185">
        <w:rPr>
          <w:rFonts w:cs="Arial"/>
          <w:vertAlign w:val="subscript"/>
        </w:rPr>
        <w:t xml:space="preserve">soil,total, </w:t>
      </w:r>
      <w:r w:rsidRPr="001E3185">
        <w:rPr>
          <w:rFonts w:cs="Arial"/>
          <w:iCs/>
          <w:vertAlign w:val="subscript"/>
        </w:rPr>
        <w:t xml:space="preserve">time1 tier1 </w:t>
      </w:r>
      <w:r w:rsidRPr="001E3185">
        <w:rPr>
          <w:rFonts w:cs="Arial"/>
          <w:iCs/>
        </w:rPr>
        <w:t>* RHO</w:t>
      </w:r>
      <w:r w:rsidRPr="001E3185">
        <w:rPr>
          <w:rFonts w:cs="Arial"/>
          <w:iCs/>
          <w:vertAlign w:val="subscript"/>
        </w:rPr>
        <w:t>soil</w:t>
      </w:r>
      <w:r w:rsidRPr="001E3185">
        <w:rPr>
          <w:rFonts w:cs="Arial"/>
          <w:iCs/>
        </w:rPr>
        <w:t xml:space="preserve"> / k</w:t>
      </w:r>
      <w:r w:rsidRPr="001E3185">
        <w:rPr>
          <w:rFonts w:cs="Arial"/>
          <w:iCs/>
          <w:vertAlign w:val="subscript"/>
        </w:rPr>
        <w:t>soil-water</w:t>
      </w:r>
    </w:p>
    <w:p w14:paraId="60447612" w14:textId="77777777" w:rsidR="00692E71" w:rsidRPr="001E3185" w:rsidRDefault="00692E71" w:rsidP="00692E71">
      <w:pPr>
        <w:rPr>
          <w:rFonts w:cs="Arial"/>
          <w:iCs/>
        </w:rPr>
      </w:pPr>
      <w:r w:rsidRPr="001E3185">
        <w:rPr>
          <w:rFonts w:cs="Arial"/>
          <w:iCs/>
        </w:rPr>
        <w:t>Clocal</w:t>
      </w:r>
      <w:r w:rsidRPr="001E3185">
        <w:rPr>
          <w:rFonts w:cs="Arial"/>
          <w:iCs/>
          <w:vertAlign w:val="subscript"/>
        </w:rPr>
        <w:t>pore</w:t>
      </w:r>
      <w:proofErr w:type="gramStart"/>
      <w:r w:rsidRPr="001E3185">
        <w:rPr>
          <w:rFonts w:cs="Arial"/>
          <w:iCs/>
          <w:vertAlign w:val="subscript"/>
        </w:rPr>
        <w:t>,time1</w:t>
      </w:r>
      <w:proofErr w:type="gramEnd"/>
      <w:r w:rsidRPr="001E3185">
        <w:rPr>
          <w:rFonts w:cs="Arial"/>
          <w:iCs/>
          <w:vertAlign w:val="subscript"/>
        </w:rPr>
        <w:t xml:space="preserve"> tier 1 </w:t>
      </w:r>
      <w:r w:rsidRPr="001E3185">
        <w:rPr>
          <w:rFonts w:cs="Arial"/>
          <w:iCs/>
        </w:rPr>
        <w:t xml:space="preserve">= </w:t>
      </w:r>
      <w:r w:rsidRPr="001E3185">
        <w:rPr>
          <w:rFonts w:cs="Arial"/>
        </w:rPr>
        <w:t>2.8*10</w:t>
      </w:r>
      <w:r w:rsidRPr="001E3185">
        <w:rPr>
          <w:rFonts w:cs="Arial"/>
          <w:vertAlign w:val="superscript"/>
        </w:rPr>
        <w:t>-5</w:t>
      </w:r>
      <w:r w:rsidRPr="001E3185">
        <w:rPr>
          <w:rFonts w:cs="Arial"/>
          <w:iCs/>
        </w:rPr>
        <w:t xml:space="preserve"> * 1700 / 3.98</w:t>
      </w:r>
    </w:p>
    <w:p w14:paraId="3D727EC2" w14:textId="77777777" w:rsidR="00692E71" w:rsidRPr="001E3185" w:rsidRDefault="00692E71" w:rsidP="00692E71">
      <w:pPr>
        <w:rPr>
          <w:rFonts w:cs="Arial"/>
          <w:iCs/>
        </w:rPr>
      </w:pPr>
      <w:r w:rsidRPr="001E3185">
        <w:rPr>
          <w:rFonts w:cs="Arial"/>
          <w:iCs/>
        </w:rPr>
        <w:t>Clocal</w:t>
      </w:r>
      <w:r w:rsidRPr="001E3185">
        <w:rPr>
          <w:rFonts w:cs="Arial"/>
          <w:iCs/>
          <w:vertAlign w:val="subscript"/>
        </w:rPr>
        <w:t>pore</w:t>
      </w:r>
      <w:proofErr w:type="gramStart"/>
      <w:r w:rsidRPr="001E3185">
        <w:rPr>
          <w:rFonts w:cs="Arial"/>
          <w:iCs/>
          <w:vertAlign w:val="subscript"/>
        </w:rPr>
        <w:t>,time1</w:t>
      </w:r>
      <w:proofErr w:type="gramEnd"/>
      <w:r w:rsidRPr="001E3185">
        <w:rPr>
          <w:rFonts w:cs="Arial"/>
          <w:iCs/>
          <w:vertAlign w:val="subscript"/>
        </w:rPr>
        <w:t xml:space="preserve"> tier 1 </w:t>
      </w:r>
      <w:r w:rsidRPr="001E3185">
        <w:rPr>
          <w:rFonts w:cs="Arial"/>
          <w:iCs/>
        </w:rPr>
        <w:t xml:space="preserve">=  0.01 </w:t>
      </w:r>
      <w:r w:rsidRPr="001E3185">
        <w:rPr>
          <w:rFonts w:cs="Arial"/>
        </w:rPr>
        <w:t>µg.L</w:t>
      </w:r>
      <w:r w:rsidRPr="001E3185">
        <w:rPr>
          <w:rFonts w:cs="Arial"/>
          <w:vertAlign w:val="superscript"/>
        </w:rPr>
        <w:t>-1</w:t>
      </w:r>
    </w:p>
    <w:p w14:paraId="6C75B9BB" w14:textId="77777777" w:rsidR="00692E71" w:rsidRPr="001E3185" w:rsidRDefault="00692E71" w:rsidP="00692E71">
      <w:pPr>
        <w:rPr>
          <w:b/>
          <w:bCs/>
        </w:rPr>
      </w:pPr>
    </w:p>
    <w:tbl>
      <w:tblPr>
        <w:tblW w:w="5035" w:type="pct"/>
        <w:tblInd w:w="-34"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837"/>
      </w:tblGrid>
      <w:tr w:rsidR="00692E71" w:rsidRPr="001E3185" w14:paraId="07DFAD61" w14:textId="77777777" w:rsidTr="008E0250">
        <w:tc>
          <w:tcPr>
            <w:tcW w:w="5000" w:type="pct"/>
            <w:shd w:val="clear" w:color="auto" w:fill="D6E3BC"/>
          </w:tcPr>
          <w:p w14:paraId="7B63324B"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6</w:t>
            </w:r>
            <w:r w:rsidRPr="001E3185">
              <w:rPr>
                <w:rFonts w:ascii="Verdana" w:hAnsi="Verdana"/>
                <w:noProof/>
              </w:rPr>
              <w:fldChar w:fldCharType="end"/>
            </w:r>
          </w:p>
          <w:p w14:paraId="278D4EB9" w14:textId="77777777" w:rsidR="00692E71" w:rsidRPr="001E3185" w:rsidRDefault="00692E71" w:rsidP="008E0250">
            <w:pPr>
              <w:pStyle w:val="Lgende"/>
              <w:rPr>
                <w:rFonts w:ascii="Verdana" w:hAnsi="Verdana"/>
              </w:rPr>
            </w:pPr>
          </w:p>
          <w:p w14:paraId="7311E333" w14:textId="77777777" w:rsidR="00692E71" w:rsidRPr="001E3185" w:rsidRDefault="00692E71" w:rsidP="00F32B7F">
            <w:pPr>
              <w:pStyle w:val="Lgende"/>
              <w:numPr>
                <w:ilvl w:val="0"/>
                <w:numId w:val="18"/>
              </w:numPr>
              <w:suppressAutoHyphens w:val="0"/>
              <w:spacing w:after="200"/>
              <w:rPr>
                <w:rFonts w:ascii="Verdana" w:hAnsi="Verdana"/>
              </w:rPr>
            </w:pPr>
            <w:r w:rsidRPr="001E3185">
              <w:rPr>
                <w:rFonts w:ascii="Verdana" w:hAnsi="Verdana"/>
              </w:rPr>
              <w:t>Calculation of leaching rates from the semi-field leaching study</w:t>
            </w:r>
          </w:p>
          <w:p w14:paraId="10460D1F" w14:textId="77777777" w:rsidR="00692E71" w:rsidRPr="001E3185" w:rsidRDefault="00692E71" w:rsidP="008E0250">
            <w:pPr>
              <w:autoSpaceDE w:val="0"/>
              <w:autoSpaceDN w:val="0"/>
              <w:spacing w:before="240" w:line="276" w:lineRule="auto"/>
              <w:rPr>
                <w:rFonts w:cs="Arial"/>
              </w:rPr>
            </w:pPr>
            <w:r w:rsidRPr="001E3185">
              <w:rPr>
                <w:rFonts w:cs="Arial"/>
              </w:rPr>
              <w:t xml:space="preserve">The leaching values used in the calculation of emissions are derived from the leaching study results. The study has been carried out with the X6122B1 product during 421 days and from a surface application. The results of the semi-field study were recalculated by FR-CA by expressing the leaching in losses per mm rain incident on the panels for the standard rain year, instead of time, as the variability with time is of secondary interest due to the natural variability of rainfall. The results are presented over calendar years and over standard rain years (700 mm rain, in 365 days, </w:t>
            </w:r>
            <w:r w:rsidRPr="001E3185">
              <w:rPr>
                <w:rFonts w:cs="Arial"/>
                <w:i/>
              </w:rPr>
              <w:t>i.e.</w:t>
            </w:r>
            <w:r w:rsidRPr="001E3185">
              <w:rPr>
                <w:rFonts w:cs="Arial"/>
              </w:rPr>
              <w:t xml:space="preserve"> 1.92 mm rain per day).</w:t>
            </w:r>
          </w:p>
          <w:p w14:paraId="6A721FD2" w14:textId="77777777" w:rsidR="00692E71" w:rsidRPr="001E3185" w:rsidRDefault="00692E71" w:rsidP="008E0250">
            <w:pPr>
              <w:autoSpaceDE w:val="0"/>
              <w:autoSpaceDN w:val="0"/>
              <w:spacing w:before="240" w:line="276" w:lineRule="auto"/>
              <w:rPr>
                <w:rFonts w:cs="Arial"/>
              </w:rPr>
            </w:pPr>
            <w:r w:rsidRPr="001E3185">
              <w:rPr>
                <w:rFonts w:cs="Arial"/>
              </w:rPr>
              <w:t>The applicant performed leaching study using the product without topcoat.</w:t>
            </w:r>
          </w:p>
          <w:p w14:paraId="373BB905" w14:textId="77777777" w:rsidR="00692E71" w:rsidRPr="001E3185" w:rsidRDefault="00692E71" w:rsidP="008E0250">
            <w:pPr>
              <w:autoSpaceDE w:val="0"/>
              <w:autoSpaceDN w:val="0"/>
              <w:spacing w:before="240" w:line="276" w:lineRule="auto"/>
              <w:rPr>
                <w:rFonts w:cs="Arial"/>
              </w:rPr>
            </w:pPr>
            <w:r w:rsidRPr="001E3185">
              <w:rPr>
                <w:rFonts w:cs="Arial"/>
              </w:rPr>
              <w:t>For each active substance and to estimation the Q*</w:t>
            </w:r>
            <w:r w:rsidRPr="001E3185">
              <w:rPr>
                <w:rFonts w:cs="Arial"/>
                <w:vertAlign w:val="subscript"/>
              </w:rPr>
              <w:t xml:space="preserve">leach, time, </w:t>
            </w:r>
            <w:r w:rsidRPr="001E3185">
              <w:rPr>
                <w:rFonts w:cs="Arial"/>
              </w:rPr>
              <w:t>the best goodness of the fit (with the r² value closest to 1) is obtained by fitting the cumulative quantities leached versus cumulative rain fall plot using a linear regression:</w:t>
            </w:r>
          </w:p>
          <w:p w14:paraId="0935C6B7" w14:textId="77777777" w:rsidR="00692E71" w:rsidRPr="001E3185" w:rsidRDefault="00692E71" w:rsidP="008E0250">
            <w:pPr>
              <w:autoSpaceDE w:val="0"/>
              <w:autoSpaceDN w:val="0"/>
              <w:jc w:val="center"/>
              <w:rPr>
                <w:rFonts w:cs="Arial"/>
              </w:rPr>
            </w:pPr>
            <w:r w:rsidRPr="001E3185">
              <w:rPr>
                <w:rFonts w:cs="Arial"/>
              </w:rPr>
              <w:t>Q*</w:t>
            </w:r>
            <w:r w:rsidRPr="001E3185">
              <w:rPr>
                <w:rFonts w:cs="Arial"/>
                <w:vertAlign w:val="subscript"/>
              </w:rPr>
              <w:t xml:space="preserve">leach,time </w:t>
            </w:r>
            <w:r w:rsidRPr="001E3185">
              <w:rPr>
                <w:rFonts w:cs="Arial"/>
              </w:rPr>
              <w:t>= a*mm + b</w:t>
            </w:r>
          </w:p>
          <w:p w14:paraId="6F152269" w14:textId="77777777" w:rsidR="00692E71" w:rsidRPr="001E3185" w:rsidRDefault="00692E71" w:rsidP="008E0250">
            <w:pPr>
              <w:autoSpaceDE w:val="0"/>
              <w:autoSpaceDN w:val="0"/>
              <w:rPr>
                <w:rFonts w:cs="Arial"/>
              </w:rPr>
            </w:pPr>
            <w:r w:rsidRPr="001E3185">
              <w:rPr>
                <w:rFonts w:cs="Arial"/>
              </w:rPr>
              <w:t>Q*</w:t>
            </w:r>
            <w:r w:rsidRPr="001E3185">
              <w:rPr>
                <w:rFonts w:cs="Arial"/>
                <w:vertAlign w:val="subscript"/>
              </w:rPr>
              <w:t>leach, time</w:t>
            </w:r>
            <w:r w:rsidRPr="001E3185">
              <w:rPr>
                <w:rFonts w:cs="Arial"/>
              </w:rPr>
              <w:t xml:space="preserve"> values are calculated for:</w:t>
            </w:r>
          </w:p>
          <w:p w14:paraId="18D5FE5F" w14:textId="77777777" w:rsidR="00692E71" w:rsidRPr="001E3185" w:rsidRDefault="00692E71" w:rsidP="00F32B7F">
            <w:pPr>
              <w:pStyle w:val="Paragraphedeliste"/>
              <w:numPr>
                <w:ilvl w:val="0"/>
                <w:numId w:val="14"/>
              </w:numPr>
              <w:suppressAutoHyphens w:val="0"/>
              <w:autoSpaceDE w:val="0"/>
              <w:autoSpaceDN w:val="0"/>
              <w:spacing w:line="276" w:lineRule="auto"/>
              <w:contextualSpacing/>
              <w:rPr>
                <w:rFonts w:cs="Arial"/>
              </w:rPr>
            </w:pPr>
            <w:r w:rsidRPr="001E3185">
              <w:rPr>
                <w:rFonts w:cs="Arial"/>
              </w:rPr>
              <w:t>TIME1 = 30 days, equivalent to 30 * 1.92 = 57.53 mm of accumulated rain;</w:t>
            </w:r>
          </w:p>
          <w:p w14:paraId="648C4F76" w14:textId="77777777" w:rsidR="00692E71" w:rsidRPr="001E3185" w:rsidRDefault="00692E71" w:rsidP="00F32B7F">
            <w:pPr>
              <w:pStyle w:val="Paragraphedeliste"/>
              <w:numPr>
                <w:ilvl w:val="0"/>
                <w:numId w:val="14"/>
              </w:numPr>
              <w:suppressAutoHyphens w:val="0"/>
              <w:autoSpaceDE w:val="0"/>
              <w:autoSpaceDN w:val="0"/>
              <w:spacing w:line="276" w:lineRule="auto"/>
              <w:contextualSpacing/>
              <w:rPr>
                <w:rFonts w:cs="Arial"/>
              </w:rPr>
            </w:pPr>
            <w:r w:rsidRPr="001E3185">
              <w:rPr>
                <w:rFonts w:cs="Arial"/>
              </w:rPr>
              <w:t>TIME2 = 5 years, equivalent to 1825 * 1.92 = 3500 mm of accumulated rain;</w:t>
            </w:r>
          </w:p>
          <w:p w14:paraId="75D1509C" w14:textId="77777777" w:rsidR="00692E71" w:rsidRPr="001E3185" w:rsidRDefault="00692E71" w:rsidP="00F32B7F">
            <w:pPr>
              <w:pStyle w:val="Paragraphedeliste"/>
              <w:numPr>
                <w:ilvl w:val="0"/>
                <w:numId w:val="14"/>
              </w:numPr>
              <w:suppressAutoHyphens w:val="0"/>
              <w:autoSpaceDE w:val="0"/>
              <w:autoSpaceDN w:val="0"/>
              <w:spacing w:line="276" w:lineRule="auto"/>
              <w:contextualSpacing/>
              <w:rPr>
                <w:rFonts w:cs="Arial"/>
              </w:rPr>
            </w:pPr>
            <w:r w:rsidRPr="001E3185">
              <w:rPr>
                <w:rFonts w:cs="Arial"/>
              </w:rPr>
              <w:t>TIME2 = 15 years, equivalent to 5475 * 1.92 = 10512 mm of accumulated rain.</w:t>
            </w:r>
          </w:p>
          <w:p w14:paraId="7A0E5C57" w14:textId="77777777" w:rsidR="00692E71" w:rsidRPr="001E3185" w:rsidRDefault="00692E71" w:rsidP="008E0250">
            <w:pPr>
              <w:autoSpaceDE w:val="0"/>
              <w:autoSpaceDN w:val="0"/>
              <w:spacing w:before="240"/>
              <w:rPr>
                <w:rFonts w:cs="Arial"/>
              </w:rPr>
            </w:pPr>
            <w:r w:rsidRPr="001E3185">
              <w:rPr>
                <w:rFonts w:cs="Arial"/>
              </w:rPr>
              <w:t>Noted that the limit of quantification for IPBC and for Cypermethrin is 0.02 µg/mL instead of 0.01 µg/mL (as indicated by the registrant). This value was used as input for the leaching estimation.</w:t>
            </w:r>
          </w:p>
          <w:p w14:paraId="13F9768F" w14:textId="77777777" w:rsidR="00692E71" w:rsidRPr="001E3185" w:rsidRDefault="00692E71" w:rsidP="008E0250">
            <w:pPr>
              <w:autoSpaceDE w:val="0"/>
              <w:autoSpaceDN w:val="0"/>
              <w:spacing w:before="240"/>
              <w:rPr>
                <w:rFonts w:cs="Arial"/>
              </w:rPr>
            </w:pPr>
            <w:r w:rsidRPr="001E3185">
              <w:rPr>
                <w:rFonts w:cs="Arial"/>
              </w:rPr>
              <w:t xml:space="preserve">The leaching values obtained from an application by brushing at </w:t>
            </w:r>
            <w:r w:rsidR="00EF74A2" w:rsidRPr="001E3185">
              <w:rPr>
                <w:rFonts w:cs="Arial"/>
              </w:rPr>
              <w:t>300.1 g.</w:t>
            </w:r>
            <w:r w:rsidRPr="001E3185">
              <w:rPr>
                <w:rFonts w:cs="Arial"/>
              </w:rPr>
              <w:t>m</w:t>
            </w:r>
            <w:r w:rsidR="00EF74A2" w:rsidRPr="001E3185">
              <w:rPr>
                <w:rFonts w:cs="Arial"/>
                <w:vertAlign w:val="superscript"/>
              </w:rPr>
              <w:t>-</w:t>
            </w:r>
            <w:r w:rsidRPr="001E3185">
              <w:rPr>
                <w:rFonts w:cs="Arial"/>
              </w:rPr>
              <w:t>² without topcoat have been normalized for an application dose of 200 g.m</w:t>
            </w:r>
            <w:r w:rsidRPr="001E3185">
              <w:rPr>
                <w:rFonts w:cs="Arial"/>
                <w:vertAlign w:val="superscript"/>
              </w:rPr>
              <w:t>-2</w:t>
            </w:r>
            <w:r w:rsidRPr="001E3185">
              <w:rPr>
                <w:rFonts w:cs="Arial"/>
              </w:rPr>
              <w:t xml:space="preserve"> and have been normalized t</w:t>
            </w:r>
            <w:r w:rsidRPr="001E3185">
              <w:t>o</w:t>
            </w:r>
            <w:r w:rsidRPr="001E3185">
              <w:rPr>
                <w:rFonts w:cs="Arial"/>
              </w:rPr>
              <w:t xml:space="preserve"> 700 mm per year of rainfall for each active substance are summarized in the following table:</w:t>
            </w:r>
          </w:p>
          <w:p w14:paraId="644616A7" w14:textId="77777777" w:rsidR="00692E71" w:rsidRPr="001E3185" w:rsidRDefault="00692E71" w:rsidP="008E0250">
            <w:pPr>
              <w:autoSpaceDE w:val="0"/>
              <w:autoSpaceDN w:val="0"/>
              <w:spacing w:before="360"/>
              <w:rPr>
                <w:rFonts w:cs="Arial"/>
                <w:b/>
              </w:rPr>
            </w:pPr>
            <w:r w:rsidRPr="001E3185">
              <w:rPr>
                <w:rFonts w:cs="Arial"/>
                <w:b/>
              </w:rPr>
              <w:t>Leaching values obtained from surface application at 200 g/m² without topcoat.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296"/>
              <w:gridCol w:w="1490"/>
              <w:gridCol w:w="1577"/>
              <w:gridCol w:w="1392"/>
            </w:tblGrid>
            <w:tr w:rsidR="00692E71" w:rsidRPr="001E3185" w14:paraId="7CF1C7AB" w14:textId="77777777" w:rsidTr="008E0250">
              <w:tc>
                <w:tcPr>
                  <w:tcW w:w="797" w:type="pct"/>
                  <w:vMerge w:val="restart"/>
                  <w:vAlign w:val="center"/>
                </w:tcPr>
                <w:p w14:paraId="6FDFE22D" w14:textId="77777777" w:rsidR="00692E71" w:rsidRPr="001E3185" w:rsidRDefault="00692E71" w:rsidP="008E0250">
                  <w:pPr>
                    <w:jc w:val="center"/>
                    <w:rPr>
                      <w:rFonts w:cs="Arial"/>
                      <w:b/>
                    </w:rPr>
                  </w:pPr>
                </w:p>
              </w:tc>
              <w:tc>
                <w:tcPr>
                  <w:tcW w:w="1777" w:type="pct"/>
                  <w:vMerge w:val="restart"/>
                  <w:vAlign w:val="center"/>
                </w:tcPr>
                <w:p w14:paraId="7AF4CC8F" w14:textId="77777777" w:rsidR="00692E71" w:rsidRPr="001E3185" w:rsidRDefault="00692E71" w:rsidP="008E0250">
                  <w:pPr>
                    <w:rPr>
                      <w:rFonts w:cs="Arial"/>
                      <w:b/>
                    </w:rPr>
                  </w:pPr>
                  <w:r w:rsidRPr="001E3185">
                    <w:rPr>
                      <w:rFonts w:cs="Arial"/>
                      <w:b/>
                    </w:rPr>
                    <w:t>Equations used for calculations</w:t>
                  </w:r>
                </w:p>
              </w:tc>
              <w:tc>
                <w:tcPr>
                  <w:tcW w:w="2426" w:type="pct"/>
                  <w:gridSpan w:val="3"/>
                  <w:vAlign w:val="center"/>
                </w:tcPr>
                <w:p w14:paraId="1C587FAA" w14:textId="77777777" w:rsidR="00692E71" w:rsidRPr="001E3185" w:rsidRDefault="00692E71" w:rsidP="008E0250">
                  <w:pPr>
                    <w:jc w:val="center"/>
                    <w:rPr>
                      <w:rFonts w:cs="Arial"/>
                      <w:b/>
                    </w:rPr>
                  </w:pPr>
                  <w:r w:rsidRPr="001E3185">
                    <w:rPr>
                      <w:rFonts w:cs="Arial"/>
                      <w:b/>
                    </w:rPr>
                    <w:t>Q*leach</w:t>
                  </w:r>
                </w:p>
                <w:p w14:paraId="0A265E06" w14:textId="77777777" w:rsidR="00692E71" w:rsidRPr="001E3185" w:rsidRDefault="00692E71" w:rsidP="008E0250">
                  <w:pPr>
                    <w:jc w:val="center"/>
                    <w:rPr>
                      <w:rFonts w:cs="Arial"/>
                      <w:b/>
                    </w:rPr>
                  </w:pPr>
                  <w:r w:rsidRPr="001E3185">
                    <w:rPr>
                      <w:rFonts w:cs="Arial"/>
                      <w:b/>
                    </w:rPr>
                    <w:t>[mg.m</w:t>
                  </w:r>
                  <w:r w:rsidRPr="001E3185">
                    <w:rPr>
                      <w:rFonts w:cs="Arial"/>
                      <w:b/>
                      <w:vertAlign w:val="superscript"/>
                    </w:rPr>
                    <w:t>-2</w:t>
                  </w:r>
                  <w:r w:rsidRPr="001E3185">
                    <w:rPr>
                      <w:rFonts w:cs="Arial"/>
                      <w:b/>
                    </w:rPr>
                    <w:t>]</w:t>
                  </w:r>
                </w:p>
              </w:tc>
            </w:tr>
            <w:tr w:rsidR="00692E71" w:rsidRPr="001E3185" w14:paraId="1F1AD99B" w14:textId="77777777" w:rsidTr="008E0250">
              <w:trPr>
                <w:trHeight w:val="354"/>
              </w:trPr>
              <w:tc>
                <w:tcPr>
                  <w:tcW w:w="797" w:type="pct"/>
                  <w:vMerge/>
                  <w:vAlign w:val="center"/>
                </w:tcPr>
                <w:p w14:paraId="6285F3DD" w14:textId="77777777" w:rsidR="00692E71" w:rsidRPr="001E3185" w:rsidRDefault="00692E71" w:rsidP="008E0250">
                  <w:pPr>
                    <w:jc w:val="center"/>
                    <w:rPr>
                      <w:rFonts w:cs="Arial"/>
                      <w:b/>
                    </w:rPr>
                  </w:pPr>
                </w:p>
              </w:tc>
              <w:tc>
                <w:tcPr>
                  <w:tcW w:w="1777" w:type="pct"/>
                  <w:vMerge/>
                  <w:vAlign w:val="center"/>
                </w:tcPr>
                <w:p w14:paraId="47E95228" w14:textId="77777777" w:rsidR="00692E71" w:rsidRPr="001E3185" w:rsidRDefault="00692E71" w:rsidP="008E0250">
                  <w:pPr>
                    <w:rPr>
                      <w:rFonts w:cs="Arial"/>
                      <w:b/>
                    </w:rPr>
                  </w:pPr>
                </w:p>
              </w:tc>
              <w:tc>
                <w:tcPr>
                  <w:tcW w:w="811" w:type="pct"/>
                  <w:vAlign w:val="center"/>
                </w:tcPr>
                <w:p w14:paraId="5D019F72" w14:textId="77777777" w:rsidR="00692E71" w:rsidRPr="001E3185" w:rsidRDefault="00692E71" w:rsidP="008E0250">
                  <w:pPr>
                    <w:jc w:val="center"/>
                    <w:rPr>
                      <w:rFonts w:cs="Arial"/>
                      <w:b/>
                    </w:rPr>
                  </w:pPr>
                  <w:r w:rsidRPr="001E3185">
                    <w:rPr>
                      <w:rFonts w:cs="Arial"/>
                      <w:b/>
                    </w:rPr>
                    <w:t>TIME 1 (30d)</w:t>
                  </w:r>
                </w:p>
              </w:tc>
              <w:tc>
                <w:tcPr>
                  <w:tcW w:w="857" w:type="pct"/>
                  <w:vAlign w:val="center"/>
                </w:tcPr>
                <w:p w14:paraId="224ECD3B" w14:textId="77777777" w:rsidR="00692E71" w:rsidRPr="001E3185" w:rsidRDefault="00692E71" w:rsidP="008E0250">
                  <w:pPr>
                    <w:jc w:val="center"/>
                    <w:rPr>
                      <w:rFonts w:cs="Arial"/>
                      <w:b/>
                    </w:rPr>
                  </w:pPr>
                  <w:r w:rsidRPr="001E3185">
                    <w:rPr>
                      <w:rFonts w:cs="Arial"/>
                      <w:b/>
                    </w:rPr>
                    <w:t>TIME 2 (5y)</w:t>
                  </w:r>
                </w:p>
                <w:p w14:paraId="44240ABA" w14:textId="77777777" w:rsidR="00692E71" w:rsidRPr="001E3185" w:rsidRDefault="00692E71" w:rsidP="008E0250">
                  <w:pPr>
                    <w:jc w:val="center"/>
                    <w:rPr>
                      <w:rFonts w:cs="Arial"/>
                      <w:b/>
                      <w:i/>
                    </w:rPr>
                  </w:pPr>
                  <w:r w:rsidRPr="001E3185">
                    <w:rPr>
                      <w:rFonts w:cs="Arial"/>
                      <w:b/>
                      <w:i/>
                    </w:rPr>
                    <w:t>In situ</w:t>
                  </w:r>
                </w:p>
              </w:tc>
              <w:tc>
                <w:tcPr>
                  <w:tcW w:w="758" w:type="pct"/>
                  <w:vAlign w:val="center"/>
                </w:tcPr>
                <w:p w14:paraId="35BC678C" w14:textId="77777777" w:rsidR="00692E71" w:rsidRPr="001E3185" w:rsidRDefault="00692E71" w:rsidP="008E0250">
                  <w:pPr>
                    <w:jc w:val="center"/>
                    <w:rPr>
                      <w:rFonts w:cs="Arial"/>
                      <w:b/>
                    </w:rPr>
                  </w:pPr>
                  <w:r w:rsidRPr="001E3185">
                    <w:rPr>
                      <w:rFonts w:cs="Arial"/>
                      <w:b/>
                    </w:rPr>
                    <w:t>TIME 2 (15y)</w:t>
                  </w:r>
                </w:p>
                <w:p w14:paraId="17DD47DE" w14:textId="77777777" w:rsidR="00692E71" w:rsidRPr="001E3185" w:rsidRDefault="00692E71" w:rsidP="008E0250">
                  <w:pPr>
                    <w:jc w:val="center"/>
                    <w:rPr>
                      <w:rFonts w:cs="Arial"/>
                      <w:b/>
                    </w:rPr>
                  </w:pPr>
                  <w:r w:rsidRPr="001E3185">
                    <w:rPr>
                      <w:rFonts w:cs="Arial"/>
                      <w:b/>
                    </w:rPr>
                    <w:t>Industrial</w:t>
                  </w:r>
                </w:p>
              </w:tc>
            </w:tr>
            <w:tr w:rsidR="00692E71" w:rsidRPr="001E3185" w14:paraId="4FB7CAF7" w14:textId="77777777" w:rsidTr="008E0250">
              <w:trPr>
                <w:trHeight w:val="510"/>
              </w:trPr>
              <w:tc>
                <w:tcPr>
                  <w:tcW w:w="797" w:type="pct"/>
                  <w:vAlign w:val="center"/>
                </w:tcPr>
                <w:p w14:paraId="641ACD7F" w14:textId="77777777" w:rsidR="00692E71" w:rsidRPr="001E3185" w:rsidRDefault="00692E71" w:rsidP="008E0250">
                  <w:pPr>
                    <w:rPr>
                      <w:rFonts w:cs="Arial"/>
                    </w:rPr>
                  </w:pPr>
                  <w:r w:rsidRPr="001E3185">
                    <w:rPr>
                      <w:rFonts w:cs="Arial"/>
                    </w:rPr>
                    <w:t>Propiconazole</w:t>
                  </w:r>
                </w:p>
              </w:tc>
              <w:tc>
                <w:tcPr>
                  <w:tcW w:w="1777" w:type="pct"/>
                  <w:vAlign w:val="center"/>
                </w:tcPr>
                <w:p w14:paraId="734A7832" w14:textId="77777777" w:rsidR="00692E71" w:rsidRPr="001E3185" w:rsidRDefault="00692E71" w:rsidP="008E0250">
                  <w:pPr>
                    <w:rPr>
                      <w:rFonts w:cs="Arial"/>
                    </w:rPr>
                  </w:pPr>
                  <w:r w:rsidRPr="001E3185">
                    <w:rPr>
                      <w:rFonts w:cs="Arial"/>
                    </w:rPr>
                    <w:t>Q*</w:t>
                  </w:r>
                  <w:r w:rsidRPr="001E3185">
                    <w:rPr>
                      <w:rFonts w:cs="Arial"/>
                      <w:vertAlign w:val="subscript"/>
                    </w:rPr>
                    <w:t>leach</w:t>
                  </w:r>
                  <w:r w:rsidRPr="001E3185">
                    <w:rPr>
                      <w:rFonts w:cs="Arial"/>
                    </w:rPr>
                    <w:t xml:space="preserve"> = 24.884 * mm + 28656</w:t>
                  </w:r>
                </w:p>
                <w:p w14:paraId="0AF2080F" w14:textId="77777777" w:rsidR="00692E71" w:rsidRPr="001E3185" w:rsidRDefault="00692E71" w:rsidP="008E0250">
                  <w:pPr>
                    <w:rPr>
                      <w:rFonts w:cs="Arial"/>
                      <w:b/>
                    </w:rPr>
                  </w:pPr>
                  <w:r w:rsidRPr="001E3185">
                    <w:rPr>
                      <w:rFonts w:cs="Arial"/>
                      <w:b/>
                    </w:rPr>
                    <w:t>(r² = 0.99)</w:t>
                  </w:r>
                </w:p>
              </w:tc>
              <w:tc>
                <w:tcPr>
                  <w:tcW w:w="811" w:type="pct"/>
                  <w:vAlign w:val="center"/>
                </w:tcPr>
                <w:p w14:paraId="022BDE87" w14:textId="77777777" w:rsidR="00692E71" w:rsidRPr="001E3185" w:rsidRDefault="00692E71" w:rsidP="008E0250">
                  <w:pPr>
                    <w:jc w:val="center"/>
                    <w:rPr>
                      <w:rFonts w:cs="Arial"/>
                    </w:rPr>
                  </w:pPr>
                  <w:r w:rsidRPr="001E3185">
                    <w:rPr>
                      <w:rFonts w:cs="Arial"/>
                    </w:rPr>
                    <w:t>19.96</w:t>
                  </w:r>
                </w:p>
              </w:tc>
              <w:tc>
                <w:tcPr>
                  <w:tcW w:w="857" w:type="pct"/>
                  <w:vAlign w:val="center"/>
                </w:tcPr>
                <w:p w14:paraId="6804818F" w14:textId="77777777" w:rsidR="00692E71" w:rsidRPr="001E3185" w:rsidRDefault="00692E71" w:rsidP="008E0250">
                  <w:pPr>
                    <w:jc w:val="center"/>
                    <w:rPr>
                      <w:rFonts w:cs="Arial"/>
                    </w:rPr>
                  </w:pPr>
                  <w:r w:rsidRPr="001E3185">
                    <w:rPr>
                      <w:rFonts w:cs="Arial"/>
                    </w:rPr>
                    <w:t>76.78</w:t>
                  </w:r>
                </w:p>
              </w:tc>
              <w:tc>
                <w:tcPr>
                  <w:tcW w:w="758" w:type="pct"/>
                  <w:vAlign w:val="center"/>
                </w:tcPr>
                <w:p w14:paraId="0FEB44B7" w14:textId="77777777" w:rsidR="00692E71" w:rsidRPr="001E3185" w:rsidRDefault="00692E71" w:rsidP="008E0250">
                  <w:pPr>
                    <w:jc w:val="center"/>
                    <w:rPr>
                      <w:rFonts w:cs="Arial"/>
                    </w:rPr>
                  </w:pPr>
                  <w:r w:rsidRPr="001E3185">
                    <w:rPr>
                      <w:rFonts w:cs="Arial"/>
                    </w:rPr>
                    <w:t>192.33</w:t>
                  </w:r>
                </w:p>
              </w:tc>
            </w:tr>
            <w:tr w:rsidR="00692E71" w:rsidRPr="001E3185" w14:paraId="26942859" w14:textId="77777777" w:rsidTr="008E0250">
              <w:trPr>
                <w:trHeight w:val="510"/>
              </w:trPr>
              <w:tc>
                <w:tcPr>
                  <w:tcW w:w="797" w:type="pct"/>
                  <w:vAlign w:val="center"/>
                </w:tcPr>
                <w:p w14:paraId="58F23F32" w14:textId="77777777" w:rsidR="00692E71" w:rsidRPr="001E3185" w:rsidRDefault="00692E71" w:rsidP="008E0250">
                  <w:pPr>
                    <w:rPr>
                      <w:rFonts w:cs="Arial"/>
                    </w:rPr>
                  </w:pPr>
                  <w:r w:rsidRPr="001E3185">
                    <w:rPr>
                      <w:rFonts w:cs="Arial"/>
                    </w:rPr>
                    <w:t>Tebuconazole</w:t>
                  </w:r>
                </w:p>
              </w:tc>
              <w:tc>
                <w:tcPr>
                  <w:tcW w:w="1777" w:type="pct"/>
                  <w:vAlign w:val="center"/>
                </w:tcPr>
                <w:p w14:paraId="606F365B" w14:textId="77777777" w:rsidR="00692E71" w:rsidRPr="001E3185" w:rsidRDefault="00692E71" w:rsidP="008E0250">
                  <w:pPr>
                    <w:rPr>
                      <w:rFonts w:cs="Arial"/>
                    </w:rPr>
                  </w:pPr>
                  <w:r w:rsidRPr="001E3185">
                    <w:rPr>
                      <w:rFonts w:cs="Arial"/>
                    </w:rPr>
                    <w:t>Q*</w:t>
                  </w:r>
                  <w:r w:rsidRPr="001E3185">
                    <w:rPr>
                      <w:rFonts w:cs="Arial"/>
                      <w:vertAlign w:val="subscript"/>
                    </w:rPr>
                    <w:t>leach</w:t>
                  </w:r>
                  <w:r w:rsidRPr="001E3185">
                    <w:rPr>
                      <w:rFonts w:cs="Arial"/>
                    </w:rPr>
                    <w:t xml:space="preserve"> = 9.001 * mm + 12738</w:t>
                  </w:r>
                </w:p>
                <w:p w14:paraId="25852F0E" w14:textId="77777777" w:rsidR="00692E71" w:rsidRPr="001E3185" w:rsidRDefault="00692E71" w:rsidP="008E0250">
                  <w:pPr>
                    <w:rPr>
                      <w:rFonts w:cs="Arial"/>
                    </w:rPr>
                  </w:pPr>
                  <w:r w:rsidRPr="001E3185">
                    <w:rPr>
                      <w:rFonts w:cs="Arial"/>
                      <w:b/>
                    </w:rPr>
                    <w:t>(r² = 0.99)</w:t>
                  </w:r>
                </w:p>
              </w:tc>
              <w:tc>
                <w:tcPr>
                  <w:tcW w:w="811" w:type="pct"/>
                  <w:vAlign w:val="center"/>
                </w:tcPr>
                <w:p w14:paraId="016AF871" w14:textId="77777777" w:rsidR="00692E71" w:rsidRPr="001E3185" w:rsidRDefault="00692E71" w:rsidP="008E0250">
                  <w:pPr>
                    <w:jc w:val="center"/>
                    <w:rPr>
                      <w:rFonts w:cs="Arial"/>
                    </w:rPr>
                  </w:pPr>
                  <w:r w:rsidRPr="001E3185">
                    <w:rPr>
                      <w:rFonts w:cs="Arial"/>
                    </w:rPr>
                    <w:t>8.79</w:t>
                  </w:r>
                </w:p>
              </w:tc>
              <w:tc>
                <w:tcPr>
                  <w:tcW w:w="857" w:type="pct"/>
                  <w:vAlign w:val="center"/>
                </w:tcPr>
                <w:p w14:paraId="7FC9BE0B" w14:textId="77777777" w:rsidR="00692E71" w:rsidRPr="001E3185" w:rsidRDefault="00692E71" w:rsidP="008E0250">
                  <w:pPr>
                    <w:jc w:val="center"/>
                    <w:rPr>
                      <w:rFonts w:cs="Arial"/>
                    </w:rPr>
                  </w:pPr>
                  <w:r w:rsidRPr="001E3185">
                    <w:rPr>
                      <w:rFonts w:cs="Arial"/>
                    </w:rPr>
                    <w:t>29.35</w:t>
                  </w:r>
                </w:p>
              </w:tc>
              <w:tc>
                <w:tcPr>
                  <w:tcW w:w="758" w:type="pct"/>
                  <w:vAlign w:val="center"/>
                </w:tcPr>
                <w:p w14:paraId="798CB8A2" w14:textId="77777777" w:rsidR="00692E71" w:rsidRPr="001E3185" w:rsidRDefault="00692E71" w:rsidP="008E0250">
                  <w:pPr>
                    <w:jc w:val="center"/>
                    <w:rPr>
                      <w:rFonts w:cs="Arial"/>
                    </w:rPr>
                  </w:pPr>
                  <w:r w:rsidRPr="001E3185">
                    <w:rPr>
                      <w:rFonts w:cs="Arial"/>
                    </w:rPr>
                    <w:t>71.14</w:t>
                  </w:r>
                </w:p>
              </w:tc>
            </w:tr>
            <w:tr w:rsidR="00692E71" w:rsidRPr="001E3185" w14:paraId="55588E2C" w14:textId="77777777" w:rsidTr="008E0250">
              <w:trPr>
                <w:trHeight w:val="510"/>
              </w:trPr>
              <w:tc>
                <w:tcPr>
                  <w:tcW w:w="797" w:type="pct"/>
                  <w:vAlign w:val="center"/>
                </w:tcPr>
                <w:p w14:paraId="1CDC9DCC" w14:textId="77777777" w:rsidR="00692E71" w:rsidRPr="001E3185" w:rsidRDefault="00692E71" w:rsidP="008E0250">
                  <w:pPr>
                    <w:rPr>
                      <w:rFonts w:cs="Arial"/>
                    </w:rPr>
                  </w:pPr>
                  <w:r w:rsidRPr="001E3185">
                    <w:rPr>
                      <w:rFonts w:cs="Arial"/>
                    </w:rPr>
                    <w:t>Cypermethrin</w:t>
                  </w:r>
                </w:p>
              </w:tc>
              <w:tc>
                <w:tcPr>
                  <w:tcW w:w="1777" w:type="pct"/>
                  <w:vAlign w:val="center"/>
                </w:tcPr>
                <w:p w14:paraId="569E6F2E" w14:textId="77777777" w:rsidR="00692E71" w:rsidRPr="001E3185" w:rsidRDefault="00692E71" w:rsidP="008E0250">
                  <w:pPr>
                    <w:rPr>
                      <w:rFonts w:cs="Arial"/>
                    </w:rPr>
                  </w:pPr>
                  <w:r w:rsidRPr="001E3185">
                    <w:rPr>
                      <w:rFonts w:cs="Arial"/>
                    </w:rPr>
                    <w:t>Q*</w:t>
                  </w:r>
                  <w:r w:rsidRPr="001E3185">
                    <w:rPr>
                      <w:rFonts w:cs="Arial"/>
                      <w:vertAlign w:val="subscript"/>
                    </w:rPr>
                    <w:t>leach</w:t>
                  </w:r>
                  <w:r w:rsidRPr="001E3185">
                    <w:rPr>
                      <w:rFonts w:cs="Arial"/>
                    </w:rPr>
                    <w:t xml:space="preserve"> = 1.768 * mm + 25.327</w:t>
                  </w:r>
                </w:p>
                <w:p w14:paraId="171C09E9" w14:textId="77777777" w:rsidR="00692E71" w:rsidRPr="001E3185" w:rsidRDefault="00692E71" w:rsidP="008E0250">
                  <w:pPr>
                    <w:rPr>
                      <w:rFonts w:cs="Arial"/>
                    </w:rPr>
                  </w:pPr>
                  <w:r w:rsidRPr="001E3185">
                    <w:rPr>
                      <w:rFonts w:cs="Arial"/>
                      <w:b/>
                    </w:rPr>
                    <w:t>(r² = 0.97)</w:t>
                  </w:r>
                </w:p>
              </w:tc>
              <w:tc>
                <w:tcPr>
                  <w:tcW w:w="811" w:type="pct"/>
                  <w:vAlign w:val="center"/>
                </w:tcPr>
                <w:p w14:paraId="29B4ED16" w14:textId="77777777" w:rsidR="00692E71" w:rsidRPr="001E3185" w:rsidRDefault="00692E71" w:rsidP="008E0250">
                  <w:pPr>
                    <w:jc w:val="center"/>
                    <w:rPr>
                      <w:rFonts w:cs="Arial"/>
                    </w:rPr>
                  </w:pPr>
                  <w:r w:rsidRPr="001E3185">
                    <w:rPr>
                      <w:rFonts w:cs="Arial"/>
                    </w:rPr>
                    <w:t>8.42E-02</w:t>
                  </w:r>
                </w:p>
              </w:tc>
              <w:tc>
                <w:tcPr>
                  <w:tcW w:w="857" w:type="pct"/>
                  <w:vAlign w:val="center"/>
                </w:tcPr>
                <w:p w14:paraId="1CF83CBC" w14:textId="77777777" w:rsidR="00692E71" w:rsidRPr="001E3185" w:rsidRDefault="00692E71" w:rsidP="008E0250">
                  <w:pPr>
                    <w:jc w:val="center"/>
                    <w:rPr>
                      <w:rFonts w:cs="Arial"/>
                    </w:rPr>
                  </w:pPr>
                  <w:r w:rsidRPr="001E3185">
                    <w:rPr>
                      <w:rFonts w:cs="Arial"/>
                    </w:rPr>
                    <w:t>4.12</w:t>
                  </w:r>
                </w:p>
              </w:tc>
              <w:tc>
                <w:tcPr>
                  <w:tcW w:w="758" w:type="pct"/>
                  <w:vAlign w:val="center"/>
                </w:tcPr>
                <w:p w14:paraId="7A3EC6AB" w14:textId="77777777" w:rsidR="00692E71" w:rsidRPr="001E3185" w:rsidRDefault="00692E71" w:rsidP="008E0250">
                  <w:pPr>
                    <w:jc w:val="center"/>
                    <w:rPr>
                      <w:rFonts w:cs="Arial"/>
                    </w:rPr>
                  </w:pPr>
                  <w:r w:rsidRPr="001E3185">
                    <w:rPr>
                      <w:rFonts w:cs="Arial"/>
                    </w:rPr>
                    <w:t>12.33</w:t>
                  </w:r>
                </w:p>
              </w:tc>
            </w:tr>
            <w:tr w:rsidR="00692E71" w:rsidRPr="001E3185" w14:paraId="0794DD87" w14:textId="77777777" w:rsidTr="008E0250">
              <w:trPr>
                <w:trHeight w:val="510"/>
              </w:trPr>
              <w:tc>
                <w:tcPr>
                  <w:tcW w:w="797" w:type="pct"/>
                  <w:vAlign w:val="center"/>
                </w:tcPr>
                <w:p w14:paraId="41531828" w14:textId="77777777" w:rsidR="00692E71" w:rsidRPr="001E3185" w:rsidRDefault="00692E71" w:rsidP="008E0250">
                  <w:pPr>
                    <w:rPr>
                      <w:rFonts w:cs="Arial"/>
                    </w:rPr>
                  </w:pPr>
                  <w:r w:rsidRPr="001E3185">
                    <w:rPr>
                      <w:rFonts w:cs="Arial"/>
                    </w:rPr>
                    <w:t>IPBC</w:t>
                  </w:r>
                </w:p>
              </w:tc>
              <w:tc>
                <w:tcPr>
                  <w:tcW w:w="1777" w:type="pct"/>
                  <w:vAlign w:val="center"/>
                </w:tcPr>
                <w:p w14:paraId="2BD29F22" w14:textId="77777777" w:rsidR="00692E71" w:rsidRPr="001E3185" w:rsidRDefault="00692E71" w:rsidP="008E0250">
                  <w:pPr>
                    <w:rPr>
                      <w:rFonts w:cs="Arial"/>
                    </w:rPr>
                  </w:pPr>
                  <w:r w:rsidRPr="001E3185">
                    <w:rPr>
                      <w:rFonts w:cs="Arial"/>
                    </w:rPr>
                    <w:t>Q*</w:t>
                  </w:r>
                  <w:r w:rsidRPr="001E3185">
                    <w:rPr>
                      <w:rFonts w:cs="Arial"/>
                      <w:vertAlign w:val="subscript"/>
                    </w:rPr>
                    <w:t>leach</w:t>
                  </w:r>
                  <w:r w:rsidRPr="001E3185">
                    <w:rPr>
                      <w:rFonts w:cs="Arial"/>
                    </w:rPr>
                    <w:t xml:space="preserve"> = 6.033 * mm + 7250.4</w:t>
                  </w:r>
                </w:p>
                <w:p w14:paraId="4A2FA4B5" w14:textId="77777777" w:rsidR="00692E71" w:rsidRPr="001E3185" w:rsidRDefault="00692E71" w:rsidP="008E0250">
                  <w:pPr>
                    <w:rPr>
                      <w:rFonts w:cs="Arial"/>
                    </w:rPr>
                  </w:pPr>
                  <w:r w:rsidRPr="001E3185">
                    <w:rPr>
                      <w:rFonts w:cs="Arial"/>
                      <w:b/>
                    </w:rPr>
                    <w:t>(r² = 0.98)</w:t>
                  </w:r>
                </w:p>
              </w:tc>
              <w:tc>
                <w:tcPr>
                  <w:tcW w:w="811" w:type="pct"/>
                  <w:vAlign w:val="center"/>
                </w:tcPr>
                <w:p w14:paraId="20CE86ED" w14:textId="77777777" w:rsidR="00692E71" w:rsidRPr="001E3185" w:rsidRDefault="00692E71" w:rsidP="008E0250">
                  <w:pPr>
                    <w:jc w:val="center"/>
                    <w:rPr>
                      <w:rFonts w:cs="Arial"/>
                    </w:rPr>
                  </w:pPr>
                  <w:r w:rsidRPr="001E3185">
                    <w:rPr>
                      <w:rFonts w:cs="Arial"/>
                    </w:rPr>
                    <w:t>5.04</w:t>
                  </w:r>
                </w:p>
              </w:tc>
              <w:tc>
                <w:tcPr>
                  <w:tcW w:w="857" w:type="pct"/>
                  <w:vAlign w:val="center"/>
                </w:tcPr>
                <w:p w14:paraId="2E1AFD67" w14:textId="77777777" w:rsidR="00692E71" w:rsidRPr="001E3185" w:rsidRDefault="00692E71" w:rsidP="008E0250">
                  <w:pPr>
                    <w:jc w:val="center"/>
                    <w:rPr>
                      <w:rFonts w:cs="Arial"/>
                    </w:rPr>
                  </w:pPr>
                  <w:r w:rsidRPr="001E3185">
                    <w:rPr>
                      <w:rFonts w:cs="Arial"/>
                    </w:rPr>
                    <w:t>18.82</w:t>
                  </w:r>
                </w:p>
              </w:tc>
              <w:tc>
                <w:tcPr>
                  <w:tcW w:w="758" w:type="pct"/>
                  <w:vAlign w:val="center"/>
                </w:tcPr>
                <w:p w14:paraId="5C7820F2" w14:textId="77777777" w:rsidR="00692E71" w:rsidRPr="001E3185" w:rsidRDefault="00692E71" w:rsidP="008E0250">
                  <w:pPr>
                    <w:jc w:val="center"/>
                    <w:rPr>
                      <w:rFonts w:cs="Arial"/>
                    </w:rPr>
                  </w:pPr>
                  <w:r w:rsidRPr="001E3185">
                    <w:rPr>
                      <w:rFonts w:cs="Arial"/>
                    </w:rPr>
                    <w:t>46.83</w:t>
                  </w:r>
                </w:p>
              </w:tc>
            </w:tr>
          </w:tbl>
          <w:p w14:paraId="75032FF3" w14:textId="77777777" w:rsidR="00692E71" w:rsidRPr="001E3185" w:rsidRDefault="00692E71" w:rsidP="008E0250">
            <w:pPr>
              <w:autoSpaceDE w:val="0"/>
              <w:autoSpaceDN w:val="0"/>
              <w:rPr>
                <w:rFonts w:cs="Arial"/>
              </w:rPr>
            </w:pPr>
          </w:p>
          <w:p w14:paraId="1653680E" w14:textId="77777777" w:rsidR="00692E71" w:rsidRPr="001E3185" w:rsidRDefault="00692E71" w:rsidP="008E0250">
            <w:pPr>
              <w:autoSpaceDE w:val="0"/>
              <w:autoSpaceDN w:val="0"/>
              <w:spacing w:before="120" w:line="276" w:lineRule="auto"/>
              <w:rPr>
                <w:rFonts w:cs="Arial"/>
              </w:rPr>
            </w:pPr>
            <w:r w:rsidRPr="001E3185">
              <w:rPr>
                <w:rFonts w:cs="Arial"/>
              </w:rPr>
              <w:lastRenderedPageBreak/>
              <w:t>Moreover IPBC is rapidly degraded in water with a DT</w:t>
            </w:r>
            <w:r w:rsidRPr="001E3185">
              <w:rPr>
                <w:rFonts w:cs="Arial"/>
                <w:vertAlign w:val="subscript"/>
              </w:rPr>
              <w:t>50</w:t>
            </w:r>
            <w:r w:rsidRPr="001E3185">
              <w:rPr>
                <w:rFonts w:cs="Arial"/>
              </w:rPr>
              <w:t xml:space="preserve"> of 3.1 h at 12°C and in soil with a DT</w:t>
            </w:r>
            <w:r w:rsidRPr="001E3185">
              <w:rPr>
                <w:rFonts w:cs="Arial"/>
                <w:vertAlign w:val="subscript"/>
              </w:rPr>
              <w:t>50</w:t>
            </w:r>
            <w:r w:rsidRPr="001E3185">
              <w:rPr>
                <w:rFonts w:cs="Arial"/>
              </w:rPr>
              <w:t xml:space="preserve"> of 4.7 h at 12°C. Therefore, emissions of PBC (degradation product of IPBC) are also calculated assuming 100% transformation of IPBC to PBC at time 0, using the ratio between the molar mass of PBC and IPBC of 0.552 in water and in soil.</w:t>
            </w:r>
          </w:p>
          <w:p w14:paraId="18CB8E6C" w14:textId="77777777" w:rsidR="00692E71" w:rsidRPr="001E3185" w:rsidRDefault="00692E71" w:rsidP="008E0250">
            <w:pPr>
              <w:autoSpaceDE w:val="0"/>
              <w:autoSpaceDN w:val="0"/>
              <w:spacing w:before="120" w:after="120" w:line="276" w:lineRule="auto"/>
              <w:rPr>
                <w:rFonts w:cs="Arial"/>
              </w:rPr>
            </w:pPr>
            <w:r w:rsidRPr="001E3185">
              <w:rPr>
                <w:rFonts w:cs="Arial"/>
              </w:rPr>
              <w:t>The assessment of 1</w:t>
            </w:r>
            <w:proofErr w:type="gramStart"/>
            <w:r w:rsidRPr="001E3185">
              <w:rPr>
                <w:rFonts w:cs="Arial"/>
              </w:rPr>
              <w:t>,2,4</w:t>
            </w:r>
            <w:proofErr w:type="gramEnd"/>
            <w:r w:rsidRPr="001E3185">
              <w:rPr>
                <w:rFonts w:cs="Arial"/>
              </w:rPr>
              <w:t>-triazole was proposed only for emission to soil. The emission calculation for the metabolite takes into account the maximal level of degradation of the substances in soil (9% and 43.23% for tebuconazole and propiconazole respectively) and the molar mass of each component. An assessment of PBC in water and in soil and an assessment of 1</w:t>
            </w:r>
            <w:proofErr w:type="gramStart"/>
            <w:r w:rsidRPr="001E3185">
              <w:rPr>
                <w:rFonts w:cs="Arial"/>
              </w:rPr>
              <w:t>,2,4</w:t>
            </w:r>
            <w:proofErr w:type="gramEnd"/>
            <w:r w:rsidRPr="001E3185">
              <w:rPr>
                <w:rFonts w:cs="Arial"/>
              </w:rPr>
              <w:t>-triazole is also proposed for soil compartment.</w:t>
            </w:r>
          </w:p>
          <w:p w14:paraId="54237497" w14:textId="77777777" w:rsidR="00692E71" w:rsidRPr="001E3185" w:rsidRDefault="00692E71" w:rsidP="008E0250">
            <w:pPr>
              <w:autoSpaceDE w:val="0"/>
              <w:autoSpaceDN w:val="0"/>
              <w:rPr>
                <w:rFonts w:cs="Arial"/>
                <w:b/>
              </w:rPr>
            </w:pPr>
            <w:r w:rsidRPr="001E3185">
              <w:rPr>
                <w:rFonts w:cs="Arial"/>
                <w:b/>
              </w:rPr>
              <w:t>Relevant metabolites - Leaching values obtained from surface application at 200 g/m² without topcoat.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1560"/>
              <w:gridCol w:w="1558"/>
              <w:gridCol w:w="1419"/>
            </w:tblGrid>
            <w:tr w:rsidR="00692E71" w:rsidRPr="001E3185" w14:paraId="2C128FBC" w14:textId="77777777" w:rsidTr="008E0250">
              <w:trPr>
                <w:trHeight w:val="830"/>
              </w:trPr>
              <w:tc>
                <w:tcPr>
                  <w:tcW w:w="2574" w:type="pct"/>
                  <w:vMerge w:val="restart"/>
                  <w:vAlign w:val="center"/>
                </w:tcPr>
                <w:p w14:paraId="6F3C96E6" w14:textId="77777777" w:rsidR="00692E71" w:rsidRPr="001E3185" w:rsidRDefault="00692E71" w:rsidP="008E0250">
                  <w:pPr>
                    <w:rPr>
                      <w:rFonts w:cs="Arial"/>
                      <w:b/>
                    </w:rPr>
                  </w:pPr>
                </w:p>
              </w:tc>
              <w:tc>
                <w:tcPr>
                  <w:tcW w:w="2426" w:type="pct"/>
                  <w:gridSpan w:val="3"/>
                  <w:vAlign w:val="center"/>
                </w:tcPr>
                <w:p w14:paraId="0275F1CA" w14:textId="77777777" w:rsidR="00692E71" w:rsidRPr="001E3185" w:rsidRDefault="00692E71" w:rsidP="008E0250">
                  <w:pPr>
                    <w:jc w:val="center"/>
                    <w:rPr>
                      <w:rFonts w:cs="Arial"/>
                      <w:b/>
                    </w:rPr>
                  </w:pPr>
                  <w:r w:rsidRPr="001E3185">
                    <w:rPr>
                      <w:rFonts w:cs="Arial"/>
                      <w:b/>
                    </w:rPr>
                    <w:t>Q*leach</w:t>
                  </w:r>
                </w:p>
                <w:p w14:paraId="01C98C28" w14:textId="77777777" w:rsidR="00692E71" w:rsidRPr="001E3185" w:rsidRDefault="00692E71" w:rsidP="008E0250">
                  <w:pPr>
                    <w:jc w:val="center"/>
                    <w:rPr>
                      <w:rFonts w:cs="Arial"/>
                      <w:b/>
                    </w:rPr>
                  </w:pPr>
                  <w:r w:rsidRPr="001E3185">
                    <w:rPr>
                      <w:rFonts w:cs="Arial"/>
                      <w:b/>
                    </w:rPr>
                    <w:t>[mg.m</w:t>
                  </w:r>
                  <w:r w:rsidRPr="001E3185">
                    <w:rPr>
                      <w:rFonts w:cs="Arial"/>
                      <w:b/>
                      <w:vertAlign w:val="superscript"/>
                    </w:rPr>
                    <w:t>-2</w:t>
                  </w:r>
                  <w:r w:rsidRPr="001E3185">
                    <w:rPr>
                      <w:rFonts w:cs="Arial"/>
                      <w:b/>
                    </w:rPr>
                    <w:t>]</w:t>
                  </w:r>
                </w:p>
              </w:tc>
            </w:tr>
            <w:tr w:rsidR="00692E71" w:rsidRPr="001E3185" w14:paraId="374EF1AA" w14:textId="77777777" w:rsidTr="008E0250">
              <w:tc>
                <w:tcPr>
                  <w:tcW w:w="2574" w:type="pct"/>
                  <w:vMerge/>
                  <w:vAlign w:val="center"/>
                </w:tcPr>
                <w:p w14:paraId="5F20E86C" w14:textId="77777777" w:rsidR="00692E71" w:rsidRPr="001E3185" w:rsidRDefault="00692E71" w:rsidP="008E0250">
                  <w:pPr>
                    <w:rPr>
                      <w:rFonts w:cs="Arial"/>
                      <w:b/>
                    </w:rPr>
                  </w:pPr>
                </w:p>
              </w:tc>
              <w:tc>
                <w:tcPr>
                  <w:tcW w:w="834" w:type="pct"/>
                  <w:vAlign w:val="center"/>
                </w:tcPr>
                <w:p w14:paraId="0C815439" w14:textId="77777777" w:rsidR="00692E71" w:rsidRPr="001E3185" w:rsidRDefault="00692E71" w:rsidP="008E0250">
                  <w:pPr>
                    <w:jc w:val="center"/>
                    <w:rPr>
                      <w:rFonts w:cs="Arial"/>
                      <w:b/>
                    </w:rPr>
                  </w:pPr>
                  <w:r w:rsidRPr="001E3185">
                    <w:rPr>
                      <w:rFonts w:cs="Arial"/>
                      <w:b/>
                    </w:rPr>
                    <w:t>TIME 1 (30d)</w:t>
                  </w:r>
                </w:p>
              </w:tc>
              <w:tc>
                <w:tcPr>
                  <w:tcW w:w="833" w:type="pct"/>
                  <w:vAlign w:val="center"/>
                </w:tcPr>
                <w:p w14:paraId="5888D224" w14:textId="77777777" w:rsidR="00692E71" w:rsidRPr="001E3185" w:rsidRDefault="00692E71" w:rsidP="008E0250">
                  <w:pPr>
                    <w:jc w:val="center"/>
                    <w:rPr>
                      <w:rFonts w:cs="Arial"/>
                      <w:b/>
                    </w:rPr>
                  </w:pPr>
                  <w:r w:rsidRPr="001E3185">
                    <w:rPr>
                      <w:rFonts w:cs="Arial"/>
                      <w:b/>
                    </w:rPr>
                    <w:t>TIME2 (5y)</w:t>
                  </w:r>
                </w:p>
                <w:p w14:paraId="13F29B34" w14:textId="77777777" w:rsidR="00692E71" w:rsidRPr="001E3185" w:rsidRDefault="00692E71" w:rsidP="008E0250">
                  <w:pPr>
                    <w:jc w:val="center"/>
                    <w:rPr>
                      <w:rFonts w:cs="Arial"/>
                      <w:b/>
                    </w:rPr>
                  </w:pPr>
                  <w:r w:rsidRPr="001E3185">
                    <w:rPr>
                      <w:rFonts w:cs="Arial"/>
                      <w:b/>
                      <w:i/>
                    </w:rPr>
                    <w:t>In situ</w:t>
                  </w:r>
                </w:p>
              </w:tc>
              <w:tc>
                <w:tcPr>
                  <w:tcW w:w="759" w:type="pct"/>
                  <w:vAlign w:val="center"/>
                </w:tcPr>
                <w:p w14:paraId="5D38D17C" w14:textId="77777777" w:rsidR="00692E71" w:rsidRPr="001E3185" w:rsidRDefault="00692E71" w:rsidP="008E0250">
                  <w:pPr>
                    <w:jc w:val="center"/>
                    <w:rPr>
                      <w:rFonts w:cs="Arial"/>
                      <w:b/>
                    </w:rPr>
                  </w:pPr>
                  <w:r w:rsidRPr="001E3185">
                    <w:rPr>
                      <w:rFonts w:cs="Arial"/>
                      <w:b/>
                    </w:rPr>
                    <w:t>TIME 1 (15y)</w:t>
                  </w:r>
                </w:p>
                <w:p w14:paraId="67C979B5" w14:textId="77777777" w:rsidR="00692E71" w:rsidRPr="001E3185" w:rsidRDefault="00692E71" w:rsidP="008E0250">
                  <w:pPr>
                    <w:jc w:val="center"/>
                    <w:rPr>
                      <w:rFonts w:cs="Arial"/>
                      <w:b/>
                    </w:rPr>
                  </w:pPr>
                  <w:r w:rsidRPr="001E3185">
                    <w:rPr>
                      <w:rFonts w:cs="Arial"/>
                      <w:b/>
                    </w:rPr>
                    <w:t>Industrial</w:t>
                  </w:r>
                </w:p>
              </w:tc>
            </w:tr>
            <w:tr w:rsidR="00692E71" w:rsidRPr="001E3185" w14:paraId="2DA30FBC" w14:textId="77777777" w:rsidTr="008E0250">
              <w:trPr>
                <w:trHeight w:val="510"/>
              </w:trPr>
              <w:tc>
                <w:tcPr>
                  <w:tcW w:w="5000" w:type="pct"/>
                  <w:gridSpan w:val="4"/>
                  <w:vAlign w:val="center"/>
                </w:tcPr>
                <w:p w14:paraId="6A99E996" w14:textId="77777777" w:rsidR="00692E71" w:rsidRPr="001E3185" w:rsidRDefault="00692E71" w:rsidP="008E0250">
                  <w:pPr>
                    <w:rPr>
                      <w:rFonts w:cs="Arial"/>
                      <w:b/>
                    </w:rPr>
                  </w:pPr>
                  <w:r w:rsidRPr="001E3185">
                    <w:rPr>
                      <w:rFonts w:cs="Arial"/>
                      <w:b/>
                    </w:rPr>
                    <w:t xml:space="preserve">Equations: </w:t>
                  </w:r>
                  <w:r w:rsidRPr="001E3185">
                    <w:rPr>
                      <w:rFonts w:cs="Arial"/>
                    </w:rPr>
                    <w:t xml:space="preserve"> Q*</w:t>
                  </w:r>
                  <w:r w:rsidRPr="001E3185">
                    <w:rPr>
                      <w:rFonts w:cs="Arial"/>
                      <w:vertAlign w:val="subscript"/>
                    </w:rPr>
                    <w:t xml:space="preserve">leach, time1 </w:t>
                  </w:r>
                  <w:r w:rsidRPr="001E3185">
                    <w:rPr>
                      <w:rFonts w:cs="Arial"/>
                    </w:rPr>
                    <w:t xml:space="preserve"> = ( Q*</w:t>
                  </w:r>
                  <w:r w:rsidRPr="001E3185">
                    <w:rPr>
                      <w:rFonts w:cs="Arial"/>
                      <w:vertAlign w:val="subscript"/>
                    </w:rPr>
                    <w:t xml:space="preserve">leach time 1/time2 </w:t>
                  </w:r>
                  <w:r w:rsidRPr="001E3185">
                    <w:rPr>
                      <w:rFonts w:cs="Arial"/>
                    </w:rPr>
                    <w:t>* DEG</w:t>
                  </w:r>
                  <w:r w:rsidRPr="001E3185">
                    <w:rPr>
                      <w:rFonts w:cs="Arial"/>
                      <w:vertAlign w:val="subscript"/>
                    </w:rPr>
                    <w:t xml:space="preserve">rate </w:t>
                  </w:r>
                  <w:r w:rsidRPr="001E3185">
                    <w:rPr>
                      <w:rFonts w:cs="Arial"/>
                    </w:rPr>
                    <w:t xml:space="preserve">* Molar mass </w:t>
                  </w:r>
                  <w:r w:rsidRPr="001E3185">
                    <w:rPr>
                      <w:rFonts w:cs="Arial"/>
                      <w:vertAlign w:val="subscript"/>
                    </w:rPr>
                    <w:t>metabolite</w:t>
                  </w:r>
                  <w:r w:rsidRPr="001E3185">
                    <w:rPr>
                      <w:rFonts w:cs="Arial"/>
                    </w:rPr>
                    <w:t xml:space="preserve">/Molar mass </w:t>
                  </w:r>
                  <w:r w:rsidRPr="001E3185">
                    <w:rPr>
                      <w:rFonts w:cs="Arial"/>
                      <w:vertAlign w:val="subscript"/>
                    </w:rPr>
                    <w:t>parent</w:t>
                  </w:r>
                  <w:r w:rsidRPr="001E3185">
                    <w:rPr>
                      <w:rFonts w:cs="Arial"/>
                    </w:rPr>
                    <w:t>)</w:t>
                  </w:r>
                </w:p>
              </w:tc>
            </w:tr>
            <w:tr w:rsidR="00692E71" w:rsidRPr="001E3185" w14:paraId="68903997" w14:textId="77777777" w:rsidTr="008E0250">
              <w:trPr>
                <w:trHeight w:val="510"/>
              </w:trPr>
              <w:tc>
                <w:tcPr>
                  <w:tcW w:w="2574" w:type="pct"/>
                  <w:vAlign w:val="center"/>
                </w:tcPr>
                <w:p w14:paraId="639F7CE1" w14:textId="77777777" w:rsidR="00692E71" w:rsidRPr="001E3185" w:rsidRDefault="00692E71" w:rsidP="008E0250">
                  <w:pPr>
                    <w:rPr>
                      <w:rFonts w:cs="Arial"/>
                    </w:rPr>
                  </w:pPr>
                  <w:r w:rsidRPr="001E3185">
                    <w:rPr>
                      <w:rFonts w:cs="Arial"/>
                    </w:rPr>
                    <w:t>1,2,4-triazole</w:t>
                  </w:r>
                </w:p>
              </w:tc>
              <w:tc>
                <w:tcPr>
                  <w:tcW w:w="834" w:type="pct"/>
                  <w:vAlign w:val="center"/>
                </w:tcPr>
                <w:p w14:paraId="7886BEEB" w14:textId="77777777" w:rsidR="00692E71" w:rsidRPr="001E3185" w:rsidRDefault="00692E71" w:rsidP="008E0250">
                  <w:pPr>
                    <w:jc w:val="center"/>
                    <w:rPr>
                      <w:rFonts w:cs="Arial"/>
                    </w:rPr>
                  </w:pPr>
                  <w:r w:rsidRPr="001E3185">
                    <w:rPr>
                      <w:rFonts w:cs="Arial"/>
                    </w:rPr>
                    <w:t>1.92</w:t>
                  </w:r>
                </w:p>
              </w:tc>
              <w:tc>
                <w:tcPr>
                  <w:tcW w:w="833" w:type="pct"/>
                  <w:vAlign w:val="center"/>
                </w:tcPr>
                <w:p w14:paraId="64572EE3" w14:textId="77777777" w:rsidR="00692E71" w:rsidRPr="001E3185" w:rsidRDefault="00692E71" w:rsidP="008E0250">
                  <w:pPr>
                    <w:jc w:val="center"/>
                    <w:rPr>
                      <w:rFonts w:cs="Arial"/>
                    </w:rPr>
                  </w:pPr>
                  <w:r w:rsidRPr="001E3185">
                    <w:rPr>
                      <w:rFonts w:cs="Arial"/>
                    </w:rPr>
                    <w:t>7.29</w:t>
                  </w:r>
                </w:p>
              </w:tc>
              <w:tc>
                <w:tcPr>
                  <w:tcW w:w="759" w:type="pct"/>
                  <w:vAlign w:val="center"/>
                </w:tcPr>
                <w:p w14:paraId="7FAE9B7E" w14:textId="77777777" w:rsidR="00692E71" w:rsidRPr="001E3185" w:rsidRDefault="00692E71" w:rsidP="008E0250">
                  <w:pPr>
                    <w:jc w:val="center"/>
                    <w:rPr>
                      <w:rFonts w:cs="Arial"/>
                    </w:rPr>
                  </w:pPr>
                  <w:r w:rsidRPr="001E3185">
                    <w:rPr>
                      <w:rFonts w:cs="Arial"/>
                    </w:rPr>
                    <w:t>18.23</w:t>
                  </w:r>
                </w:p>
              </w:tc>
            </w:tr>
            <w:tr w:rsidR="00692E71" w:rsidRPr="001E3185" w14:paraId="427B755C" w14:textId="77777777" w:rsidTr="008E0250">
              <w:trPr>
                <w:trHeight w:val="510"/>
              </w:trPr>
              <w:tc>
                <w:tcPr>
                  <w:tcW w:w="2574" w:type="pct"/>
                  <w:vAlign w:val="center"/>
                </w:tcPr>
                <w:p w14:paraId="7FFE49C4" w14:textId="77777777" w:rsidR="00692E71" w:rsidRPr="001E3185" w:rsidRDefault="00692E71" w:rsidP="008E0250">
                  <w:pPr>
                    <w:rPr>
                      <w:rFonts w:cs="Arial"/>
                    </w:rPr>
                  </w:pPr>
                  <w:r w:rsidRPr="001E3185">
                    <w:rPr>
                      <w:rFonts w:cs="Arial"/>
                    </w:rPr>
                    <w:t>PBC</w:t>
                  </w:r>
                </w:p>
              </w:tc>
              <w:tc>
                <w:tcPr>
                  <w:tcW w:w="834" w:type="pct"/>
                  <w:vAlign w:val="center"/>
                </w:tcPr>
                <w:p w14:paraId="5960E454" w14:textId="77777777" w:rsidR="00692E71" w:rsidRPr="001E3185" w:rsidRDefault="00692E71" w:rsidP="008E0250">
                  <w:pPr>
                    <w:jc w:val="center"/>
                    <w:rPr>
                      <w:rFonts w:cs="Arial"/>
                    </w:rPr>
                  </w:pPr>
                  <w:r w:rsidRPr="001E3185">
                    <w:rPr>
                      <w:rFonts w:cs="Arial"/>
                    </w:rPr>
                    <w:t>2.78</w:t>
                  </w:r>
                </w:p>
              </w:tc>
              <w:tc>
                <w:tcPr>
                  <w:tcW w:w="833" w:type="pct"/>
                  <w:vAlign w:val="center"/>
                </w:tcPr>
                <w:p w14:paraId="75245BBB" w14:textId="77777777" w:rsidR="00692E71" w:rsidRPr="001E3185" w:rsidRDefault="00692E71" w:rsidP="008E0250">
                  <w:pPr>
                    <w:jc w:val="center"/>
                    <w:rPr>
                      <w:rFonts w:cs="Arial"/>
                    </w:rPr>
                  </w:pPr>
                  <w:r w:rsidRPr="001E3185">
                    <w:rPr>
                      <w:rFonts w:cs="Arial"/>
                    </w:rPr>
                    <w:t>10.39</w:t>
                  </w:r>
                </w:p>
              </w:tc>
              <w:tc>
                <w:tcPr>
                  <w:tcW w:w="759" w:type="pct"/>
                  <w:vAlign w:val="center"/>
                </w:tcPr>
                <w:p w14:paraId="0EE00062" w14:textId="77777777" w:rsidR="00692E71" w:rsidRPr="001E3185" w:rsidRDefault="00692E71" w:rsidP="008E0250">
                  <w:pPr>
                    <w:jc w:val="center"/>
                    <w:rPr>
                      <w:rFonts w:cs="Arial"/>
                    </w:rPr>
                  </w:pPr>
                  <w:r w:rsidRPr="001E3185">
                    <w:rPr>
                      <w:rFonts w:cs="Arial"/>
                    </w:rPr>
                    <w:t>25.86</w:t>
                  </w:r>
                </w:p>
              </w:tc>
            </w:tr>
          </w:tbl>
          <w:p w14:paraId="15522863" w14:textId="77777777" w:rsidR="00692E71" w:rsidRPr="001E3185" w:rsidRDefault="00692E71" w:rsidP="008E0250">
            <w:pPr>
              <w:autoSpaceDE w:val="0"/>
              <w:autoSpaceDN w:val="0"/>
              <w:spacing w:line="276" w:lineRule="auto"/>
              <w:rPr>
                <w:rFonts w:cs="Arial"/>
              </w:rPr>
            </w:pPr>
          </w:p>
          <w:p w14:paraId="0BE408E7" w14:textId="77777777" w:rsidR="00692E71" w:rsidRPr="001E3185" w:rsidRDefault="00692E71" w:rsidP="008E0250">
            <w:pPr>
              <w:autoSpaceDE w:val="0"/>
              <w:autoSpaceDN w:val="0"/>
              <w:spacing w:line="276" w:lineRule="auto"/>
              <w:rPr>
                <w:rFonts w:cs="Arial"/>
              </w:rPr>
            </w:pPr>
            <w:r w:rsidRPr="001E3185">
              <w:rPr>
                <w:rFonts w:cs="Arial"/>
              </w:rPr>
              <w:t>The relevant environmental compartments for each substance and identified metabolites are specified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559"/>
              <w:gridCol w:w="915"/>
              <w:gridCol w:w="637"/>
              <w:gridCol w:w="915"/>
              <w:gridCol w:w="584"/>
              <w:gridCol w:w="915"/>
              <w:gridCol w:w="624"/>
              <w:gridCol w:w="915"/>
              <w:gridCol w:w="784"/>
              <w:gridCol w:w="1167"/>
            </w:tblGrid>
            <w:tr w:rsidR="00692E71" w:rsidRPr="001E3185" w14:paraId="40680FD1" w14:textId="77777777" w:rsidTr="008E0250">
              <w:trPr>
                <w:trHeight w:val="567"/>
              </w:trPr>
              <w:tc>
                <w:tcPr>
                  <w:tcW w:w="754" w:type="pct"/>
                  <w:vMerge w:val="restart"/>
                  <w:shd w:val="clear" w:color="auto" w:fill="B8CCE4" w:themeFill="accent1" w:themeFillTint="66"/>
                  <w:vAlign w:val="center"/>
                </w:tcPr>
                <w:p w14:paraId="46363C77"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Phase</w:t>
                  </w:r>
                </w:p>
              </w:tc>
              <w:tc>
                <w:tcPr>
                  <w:tcW w:w="346" w:type="pct"/>
                  <w:vMerge w:val="restart"/>
                  <w:shd w:val="clear" w:color="auto" w:fill="B8CCE4" w:themeFill="accent1" w:themeFillTint="66"/>
                  <w:vAlign w:val="center"/>
                </w:tcPr>
                <w:p w14:paraId="29BA8410"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STP</w:t>
                  </w:r>
                </w:p>
              </w:tc>
              <w:tc>
                <w:tcPr>
                  <w:tcW w:w="858" w:type="pct"/>
                  <w:gridSpan w:val="2"/>
                  <w:shd w:val="clear" w:color="auto" w:fill="B8CCE4" w:themeFill="accent1" w:themeFillTint="66"/>
                  <w:vAlign w:val="center"/>
                </w:tcPr>
                <w:p w14:paraId="736923B0"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Surface water</w:t>
                  </w:r>
                </w:p>
              </w:tc>
              <w:tc>
                <w:tcPr>
                  <w:tcW w:w="818" w:type="pct"/>
                  <w:gridSpan w:val="2"/>
                  <w:shd w:val="clear" w:color="auto" w:fill="B8CCE4" w:themeFill="accent1" w:themeFillTint="66"/>
                  <w:vAlign w:val="center"/>
                </w:tcPr>
                <w:p w14:paraId="238B1AE3"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Sediment</w:t>
                  </w:r>
                </w:p>
              </w:tc>
              <w:tc>
                <w:tcPr>
                  <w:tcW w:w="839" w:type="pct"/>
                  <w:gridSpan w:val="2"/>
                  <w:shd w:val="clear" w:color="auto" w:fill="B8CCE4" w:themeFill="accent1" w:themeFillTint="66"/>
                  <w:vAlign w:val="center"/>
                </w:tcPr>
                <w:p w14:paraId="2A934B5C"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Soil</w:t>
                  </w:r>
                </w:p>
              </w:tc>
              <w:tc>
                <w:tcPr>
                  <w:tcW w:w="838" w:type="pct"/>
                  <w:gridSpan w:val="2"/>
                  <w:shd w:val="clear" w:color="auto" w:fill="B8CCE4" w:themeFill="accent1" w:themeFillTint="66"/>
                  <w:vAlign w:val="center"/>
                </w:tcPr>
                <w:p w14:paraId="6FBEDA8A"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Groundwater</w:t>
                  </w:r>
                </w:p>
              </w:tc>
              <w:tc>
                <w:tcPr>
                  <w:tcW w:w="547" w:type="pct"/>
                  <w:vMerge w:val="restart"/>
                  <w:shd w:val="clear" w:color="auto" w:fill="B8CCE4" w:themeFill="accent1" w:themeFillTint="66"/>
                  <w:vAlign w:val="center"/>
                </w:tcPr>
                <w:p w14:paraId="07D2E356"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Secondary Poisoning</w:t>
                  </w:r>
                </w:p>
              </w:tc>
            </w:tr>
            <w:tr w:rsidR="00692E71" w:rsidRPr="001E3185" w14:paraId="4CAEF888" w14:textId="77777777" w:rsidTr="008E0250">
              <w:trPr>
                <w:trHeight w:val="567"/>
              </w:trPr>
              <w:tc>
                <w:tcPr>
                  <w:tcW w:w="754" w:type="pct"/>
                  <w:vMerge/>
                </w:tcPr>
                <w:p w14:paraId="733399E4"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346" w:type="pct"/>
                  <w:vMerge/>
                </w:tcPr>
                <w:p w14:paraId="1DA3BF49"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446" w:type="pct"/>
                  <w:shd w:val="clear" w:color="auto" w:fill="DBE5F1" w:themeFill="accent1" w:themeFillTint="33"/>
                  <w:vAlign w:val="center"/>
                </w:tcPr>
                <w:p w14:paraId="2DEE05F3"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413" w:type="pct"/>
                  <w:shd w:val="clear" w:color="auto" w:fill="DBE5F1" w:themeFill="accent1" w:themeFillTint="33"/>
                  <w:vAlign w:val="center"/>
                </w:tcPr>
                <w:p w14:paraId="1F66F81F"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446" w:type="pct"/>
                  <w:shd w:val="clear" w:color="auto" w:fill="DBE5F1" w:themeFill="accent1" w:themeFillTint="33"/>
                  <w:vAlign w:val="center"/>
                </w:tcPr>
                <w:p w14:paraId="4C49839E"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372" w:type="pct"/>
                  <w:shd w:val="clear" w:color="auto" w:fill="DBE5F1" w:themeFill="accent1" w:themeFillTint="33"/>
                  <w:vAlign w:val="center"/>
                </w:tcPr>
                <w:p w14:paraId="3B4B33BE"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446" w:type="pct"/>
                  <w:shd w:val="clear" w:color="auto" w:fill="DBE5F1" w:themeFill="accent1" w:themeFillTint="33"/>
                  <w:vAlign w:val="center"/>
                </w:tcPr>
                <w:p w14:paraId="4F0CD6B7"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393" w:type="pct"/>
                  <w:shd w:val="clear" w:color="auto" w:fill="DBE5F1" w:themeFill="accent1" w:themeFillTint="33"/>
                  <w:vAlign w:val="center"/>
                </w:tcPr>
                <w:p w14:paraId="3A960A64"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362" w:type="pct"/>
                  <w:shd w:val="clear" w:color="auto" w:fill="DBE5F1" w:themeFill="accent1" w:themeFillTint="33"/>
                  <w:vAlign w:val="center"/>
                </w:tcPr>
                <w:p w14:paraId="291964FD"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476" w:type="pct"/>
                  <w:shd w:val="clear" w:color="auto" w:fill="DBE5F1" w:themeFill="accent1" w:themeFillTint="33"/>
                  <w:vAlign w:val="center"/>
                </w:tcPr>
                <w:p w14:paraId="4E43FC66"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547" w:type="pct"/>
                  <w:vMerge/>
                </w:tcPr>
                <w:p w14:paraId="2136C1A1" w14:textId="77777777" w:rsidR="00692E71" w:rsidRPr="001E3185" w:rsidRDefault="00692E71" w:rsidP="008E0250">
                  <w:pPr>
                    <w:tabs>
                      <w:tab w:val="decimal" w:pos="-108"/>
                    </w:tabs>
                    <w:autoSpaceDE w:val="0"/>
                    <w:autoSpaceDN w:val="0"/>
                    <w:adjustRightInd w:val="0"/>
                    <w:spacing w:before="60"/>
                    <w:jc w:val="center"/>
                    <w:rPr>
                      <w:rFonts w:cs="Arial"/>
                      <w:i/>
                      <w:sz w:val="18"/>
                      <w:szCs w:val="18"/>
                      <w:lang w:eastAsia="en-GB"/>
                    </w:rPr>
                  </w:pPr>
                </w:p>
              </w:tc>
            </w:tr>
            <w:tr w:rsidR="00692E71" w:rsidRPr="001E3185" w14:paraId="20B9E4FC" w14:textId="77777777" w:rsidTr="008E0250">
              <w:trPr>
                <w:trHeight w:val="850"/>
              </w:trPr>
              <w:tc>
                <w:tcPr>
                  <w:tcW w:w="754" w:type="pct"/>
                  <w:vAlign w:val="center"/>
                </w:tcPr>
                <w:p w14:paraId="6F815856"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rPr>
                    <w:t>Propiconazole</w:t>
                  </w:r>
                </w:p>
              </w:tc>
              <w:tc>
                <w:tcPr>
                  <w:tcW w:w="346" w:type="pct"/>
                  <w:shd w:val="clear" w:color="auto" w:fill="F2DBDB" w:themeFill="accent2" w:themeFillTint="33"/>
                  <w:vAlign w:val="center"/>
                </w:tcPr>
                <w:p w14:paraId="5026E0C4"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7E898D0D"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13" w:type="pct"/>
                  <w:shd w:val="clear" w:color="auto" w:fill="F2DBDB" w:themeFill="accent2" w:themeFillTint="33"/>
                  <w:vAlign w:val="center"/>
                </w:tcPr>
                <w:p w14:paraId="7DF5215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400DA728"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72" w:type="pct"/>
                  <w:shd w:val="clear" w:color="auto" w:fill="F2DBDB" w:themeFill="accent2" w:themeFillTint="33"/>
                  <w:vAlign w:val="center"/>
                </w:tcPr>
                <w:p w14:paraId="66D27030"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3226C64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93" w:type="pct"/>
                  <w:shd w:val="clear" w:color="auto" w:fill="F2DBDB" w:themeFill="accent2" w:themeFillTint="33"/>
                  <w:vAlign w:val="center"/>
                </w:tcPr>
                <w:p w14:paraId="1491F175"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62" w:type="pct"/>
                  <w:shd w:val="clear" w:color="auto" w:fill="F2DBDB" w:themeFill="accent2" w:themeFillTint="33"/>
                  <w:vAlign w:val="center"/>
                </w:tcPr>
                <w:p w14:paraId="3DE8D08C"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76" w:type="pct"/>
                  <w:shd w:val="clear" w:color="auto" w:fill="F2DBDB" w:themeFill="accent2" w:themeFillTint="33"/>
                  <w:vAlign w:val="center"/>
                </w:tcPr>
                <w:p w14:paraId="279569CC"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547" w:type="pct"/>
                  <w:vAlign w:val="center"/>
                </w:tcPr>
                <w:p w14:paraId="2A086FE8"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r>
            <w:tr w:rsidR="00692E71" w:rsidRPr="001E3185" w14:paraId="2717111E" w14:textId="77777777" w:rsidTr="008E0250">
              <w:trPr>
                <w:trHeight w:val="850"/>
              </w:trPr>
              <w:tc>
                <w:tcPr>
                  <w:tcW w:w="754" w:type="pct"/>
                  <w:vAlign w:val="center"/>
                </w:tcPr>
                <w:p w14:paraId="169258E3"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rPr>
                    <w:t>Tebuconazole</w:t>
                  </w:r>
                </w:p>
              </w:tc>
              <w:tc>
                <w:tcPr>
                  <w:tcW w:w="346" w:type="pct"/>
                  <w:shd w:val="clear" w:color="auto" w:fill="F2DBDB" w:themeFill="accent2" w:themeFillTint="33"/>
                  <w:vAlign w:val="center"/>
                </w:tcPr>
                <w:p w14:paraId="0768BEE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5871685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13" w:type="pct"/>
                  <w:shd w:val="clear" w:color="auto" w:fill="F2DBDB" w:themeFill="accent2" w:themeFillTint="33"/>
                  <w:vAlign w:val="center"/>
                </w:tcPr>
                <w:p w14:paraId="11BD583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27EE9BDD"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72" w:type="pct"/>
                  <w:shd w:val="clear" w:color="auto" w:fill="F2DBDB" w:themeFill="accent2" w:themeFillTint="33"/>
                  <w:vAlign w:val="center"/>
                </w:tcPr>
                <w:p w14:paraId="07DE2B41"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712E1867"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93" w:type="pct"/>
                  <w:shd w:val="clear" w:color="auto" w:fill="F2DBDB" w:themeFill="accent2" w:themeFillTint="33"/>
                  <w:vAlign w:val="center"/>
                </w:tcPr>
                <w:p w14:paraId="106B25AD"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62" w:type="pct"/>
                  <w:shd w:val="clear" w:color="auto" w:fill="F2DBDB" w:themeFill="accent2" w:themeFillTint="33"/>
                  <w:vAlign w:val="center"/>
                </w:tcPr>
                <w:p w14:paraId="799113D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76" w:type="pct"/>
                  <w:shd w:val="clear" w:color="auto" w:fill="F2DBDB" w:themeFill="accent2" w:themeFillTint="33"/>
                  <w:vAlign w:val="center"/>
                </w:tcPr>
                <w:p w14:paraId="4DB42A6D"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547" w:type="pct"/>
                  <w:vAlign w:val="center"/>
                </w:tcPr>
                <w:p w14:paraId="13CC7E54"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r>
            <w:tr w:rsidR="00692E71" w:rsidRPr="001E3185" w14:paraId="0A01755B" w14:textId="77777777" w:rsidTr="008E0250">
              <w:trPr>
                <w:trHeight w:val="850"/>
              </w:trPr>
              <w:tc>
                <w:tcPr>
                  <w:tcW w:w="754" w:type="pct"/>
                  <w:vAlign w:val="center"/>
                </w:tcPr>
                <w:p w14:paraId="3AF87302"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rPr>
                    <w:t>Cypermethrin</w:t>
                  </w:r>
                </w:p>
              </w:tc>
              <w:tc>
                <w:tcPr>
                  <w:tcW w:w="346" w:type="pct"/>
                  <w:shd w:val="clear" w:color="auto" w:fill="F2DBDB" w:themeFill="accent2" w:themeFillTint="33"/>
                  <w:vAlign w:val="center"/>
                </w:tcPr>
                <w:p w14:paraId="6860D5A9"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65F1AE9A"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13" w:type="pct"/>
                  <w:shd w:val="clear" w:color="auto" w:fill="F2DBDB" w:themeFill="accent2" w:themeFillTint="33"/>
                  <w:vAlign w:val="center"/>
                </w:tcPr>
                <w:p w14:paraId="03C42D9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181636C1"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72" w:type="pct"/>
                  <w:shd w:val="clear" w:color="auto" w:fill="F2DBDB" w:themeFill="accent2" w:themeFillTint="33"/>
                  <w:vAlign w:val="center"/>
                </w:tcPr>
                <w:p w14:paraId="273F3A5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3FAF0117"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93" w:type="pct"/>
                  <w:shd w:val="clear" w:color="auto" w:fill="F2DBDB" w:themeFill="accent2" w:themeFillTint="33"/>
                  <w:vAlign w:val="center"/>
                </w:tcPr>
                <w:p w14:paraId="37C99A22"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62" w:type="pct"/>
                  <w:shd w:val="clear" w:color="auto" w:fill="auto"/>
                  <w:vAlign w:val="center"/>
                </w:tcPr>
                <w:p w14:paraId="4C2AEED4"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c>
                <w:tcPr>
                  <w:tcW w:w="476" w:type="pct"/>
                  <w:shd w:val="clear" w:color="auto" w:fill="auto"/>
                  <w:vAlign w:val="center"/>
                </w:tcPr>
                <w:p w14:paraId="26192B1C"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c>
                <w:tcPr>
                  <w:tcW w:w="547" w:type="pct"/>
                  <w:shd w:val="clear" w:color="auto" w:fill="F2DBDB" w:themeFill="accent2" w:themeFillTint="33"/>
                  <w:vAlign w:val="center"/>
                </w:tcPr>
                <w:p w14:paraId="2E97A0D2"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r>
            <w:tr w:rsidR="00692E71" w:rsidRPr="001E3185" w14:paraId="20F2A5CC" w14:textId="77777777" w:rsidTr="008E0250">
              <w:trPr>
                <w:trHeight w:val="850"/>
              </w:trPr>
              <w:tc>
                <w:tcPr>
                  <w:tcW w:w="754" w:type="pct"/>
                  <w:vAlign w:val="center"/>
                </w:tcPr>
                <w:p w14:paraId="74FFC819"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rPr>
                    <w:t>IPBC</w:t>
                  </w:r>
                </w:p>
              </w:tc>
              <w:tc>
                <w:tcPr>
                  <w:tcW w:w="346" w:type="pct"/>
                  <w:shd w:val="clear" w:color="auto" w:fill="F2DBDB" w:themeFill="accent2" w:themeFillTint="33"/>
                  <w:vAlign w:val="center"/>
                </w:tcPr>
                <w:p w14:paraId="13AC4F16"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46" w:type="pct"/>
                  <w:shd w:val="clear" w:color="auto" w:fill="F2DBDB" w:themeFill="accent2" w:themeFillTint="33"/>
                  <w:vAlign w:val="center"/>
                </w:tcPr>
                <w:p w14:paraId="5462B6F6"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13" w:type="pct"/>
                  <w:vAlign w:val="center"/>
                </w:tcPr>
                <w:p w14:paraId="6A11EF81"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446" w:type="pct"/>
                  <w:vAlign w:val="center"/>
                </w:tcPr>
                <w:p w14:paraId="4D1E1688"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c>
                <w:tcPr>
                  <w:tcW w:w="372" w:type="pct"/>
                  <w:vAlign w:val="center"/>
                </w:tcPr>
                <w:p w14:paraId="1653441D"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446" w:type="pct"/>
                  <w:shd w:val="clear" w:color="auto" w:fill="F2DBDB" w:themeFill="accent2" w:themeFillTint="33"/>
                  <w:vAlign w:val="center"/>
                </w:tcPr>
                <w:p w14:paraId="1368C4CF"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393" w:type="pct"/>
                  <w:vAlign w:val="center"/>
                </w:tcPr>
                <w:p w14:paraId="3552FC7C"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362" w:type="pct"/>
                  <w:shd w:val="clear" w:color="auto" w:fill="F2DBDB" w:themeFill="accent2" w:themeFillTint="33"/>
                  <w:vAlign w:val="center"/>
                </w:tcPr>
                <w:p w14:paraId="4BACFF3B"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76" w:type="pct"/>
                  <w:shd w:val="clear" w:color="auto" w:fill="auto"/>
                  <w:vAlign w:val="center"/>
                </w:tcPr>
                <w:p w14:paraId="46C860A3"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547" w:type="pct"/>
                  <w:vAlign w:val="center"/>
                </w:tcPr>
                <w:p w14:paraId="10301DC4"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r>
            <w:tr w:rsidR="00692E71" w:rsidRPr="001E3185" w14:paraId="6DC0E065" w14:textId="77777777" w:rsidTr="008E0250">
              <w:trPr>
                <w:trHeight w:val="850"/>
              </w:trPr>
              <w:tc>
                <w:tcPr>
                  <w:tcW w:w="754" w:type="pct"/>
                  <w:vAlign w:val="center"/>
                </w:tcPr>
                <w:p w14:paraId="17CF426D"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PBC</w:t>
                  </w:r>
                </w:p>
              </w:tc>
              <w:tc>
                <w:tcPr>
                  <w:tcW w:w="346" w:type="pct"/>
                  <w:shd w:val="clear" w:color="auto" w:fill="F2DBDB" w:themeFill="accent2" w:themeFillTint="33"/>
                  <w:vAlign w:val="center"/>
                </w:tcPr>
                <w:p w14:paraId="053415BC"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46" w:type="pct"/>
                  <w:shd w:val="clear" w:color="auto" w:fill="F2DBDB" w:themeFill="accent2" w:themeFillTint="33"/>
                  <w:vAlign w:val="center"/>
                </w:tcPr>
                <w:p w14:paraId="3A32815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13" w:type="pct"/>
                  <w:shd w:val="clear" w:color="auto" w:fill="F2DBDB" w:themeFill="accent2" w:themeFillTint="33"/>
                  <w:vAlign w:val="center"/>
                </w:tcPr>
                <w:p w14:paraId="3E99FC91"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46" w:type="pct"/>
                  <w:shd w:val="clear" w:color="auto" w:fill="F2DBDB" w:themeFill="accent2" w:themeFillTint="33"/>
                  <w:vAlign w:val="center"/>
                </w:tcPr>
                <w:p w14:paraId="347B2576"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72" w:type="pct"/>
                  <w:shd w:val="clear" w:color="auto" w:fill="F2DBDB" w:themeFill="accent2" w:themeFillTint="33"/>
                  <w:vAlign w:val="center"/>
                </w:tcPr>
                <w:p w14:paraId="7358F116"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46" w:type="pct"/>
                  <w:shd w:val="clear" w:color="auto" w:fill="F2DBDB" w:themeFill="accent2" w:themeFillTint="33"/>
                  <w:vAlign w:val="center"/>
                </w:tcPr>
                <w:p w14:paraId="3625D54D"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393" w:type="pct"/>
                  <w:shd w:val="clear" w:color="auto" w:fill="F2DBDB" w:themeFill="accent2" w:themeFillTint="33"/>
                  <w:vAlign w:val="center"/>
                </w:tcPr>
                <w:p w14:paraId="6474ABA2"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362" w:type="pct"/>
                  <w:shd w:val="clear" w:color="auto" w:fill="F2DBDB" w:themeFill="accent2" w:themeFillTint="33"/>
                  <w:vAlign w:val="center"/>
                </w:tcPr>
                <w:p w14:paraId="6AE95CAF"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76" w:type="pct"/>
                  <w:shd w:val="clear" w:color="auto" w:fill="F2DBDB" w:themeFill="accent2" w:themeFillTint="33"/>
                  <w:vAlign w:val="center"/>
                </w:tcPr>
                <w:p w14:paraId="1595A8ED"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547" w:type="pct"/>
                  <w:vAlign w:val="center"/>
                </w:tcPr>
                <w:p w14:paraId="297E4F9C"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r>
            <w:tr w:rsidR="00692E71" w:rsidRPr="001E3185" w14:paraId="2744C69B" w14:textId="77777777" w:rsidTr="008E0250">
              <w:trPr>
                <w:trHeight w:val="850"/>
              </w:trPr>
              <w:tc>
                <w:tcPr>
                  <w:tcW w:w="754" w:type="pct"/>
                  <w:vAlign w:val="center"/>
                </w:tcPr>
                <w:p w14:paraId="1B6D82E5"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rPr>
                    <w:t>1,2,4-triazole</w:t>
                  </w:r>
                </w:p>
              </w:tc>
              <w:tc>
                <w:tcPr>
                  <w:tcW w:w="346" w:type="pct"/>
                  <w:shd w:val="clear" w:color="auto" w:fill="auto"/>
                  <w:vAlign w:val="center"/>
                </w:tcPr>
                <w:p w14:paraId="53435CF0"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446" w:type="pct"/>
                  <w:vAlign w:val="center"/>
                </w:tcPr>
                <w:p w14:paraId="5A51438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c>
                <w:tcPr>
                  <w:tcW w:w="413" w:type="pct"/>
                  <w:vAlign w:val="center"/>
                </w:tcPr>
                <w:p w14:paraId="7A991BF6"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446" w:type="pct"/>
                  <w:vAlign w:val="center"/>
                </w:tcPr>
                <w:p w14:paraId="5ED29ED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c>
                <w:tcPr>
                  <w:tcW w:w="372" w:type="pct"/>
                  <w:vAlign w:val="center"/>
                </w:tcPr>
                <w:p w14:paraId="51252660"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446" w:type="pct"/>
                  <w:shd w:val="clear" w:color="auto" w:fill="F2DBDB" w:themeFill="accent2" w:themeFillTint="33"/>
                  <w:vAlign w:val="center"/>
                </w:tcPr>
                <w:p w14:paraId="193E2385"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393" w:type="pct"/>
                  <w:vAlign w:val="center"/>
                </w:tcPr>
                <w:p w14:paraId="7FE55558"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362" w:type="pct"/>
                  <w:shd w:val="clear" w:color="auto" w:fill="F2DBDB" w:themeFill="accent2" w:themeFillTint="33"/>
                  <w:vAlign w:val="center"/>
                </w:tcPr>
                <w:p w14:paraId="1C07FB5F"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76" w:type="pct"/>
                  <w:shd w:val="clear" w:color="auto" w:fill="F2DBDB" w:themeFill="accent2" w:themeFillTint="33"/>
                  <w:vAlign w:val="center"/>
                </w:tcPr>
                <w:p w14:paraId="79431C49"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547" w:type="pct"/>
                  <w:vAlign w:val="center"/>
                </w:tcPr>
                <w:p w14:paraId="1EA1263D"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r>
          </w:tbl>
          <w:p w14:paraId="1483F6FC" w14:textId="77777777" w:rsidR="00692E71" w:rsidRPr="001E3185" w:rsidRDefault="00692E71" w:rsidP="008E0250">
            <w:pPr>
              <w:autoSpaceDE w:val="0"/>
              <w:autoSpaceDN w:val="0"/>
              <w:spacing w:line="276" w:lineRule="auto"/>
              <w:rPr>
                <w:rFonts w:cs="Arial"/>
              </w:rPr>
            </w:pPr>
          </w:p>
          <w:p w14:paraId="25A6F0BF" w14:textId="77777777" w:rsidR="00692E71" w:rsidRPr="001E3185" w:rsidRDefault="00692E71" w:rsidP="008E0250">
            <w:pPr>
              <w:autoSpaceDE w:val="0"/>
              <w:autoSpaceDN w:val="0"/>
              <w:spacing w:line="276" w:lineRule="auto"/>
              <w:rPr>
                <w:rFonts w:cs="Arial"/>
              </w:rPr>
            </w:pPr>
          </w:p>
          <w:p w14:paraId="106EA901" w14:textId="77777777" w:rsidR="00692E71" w:rsidRPr="001E3185" w:rsidRDefault="00692E71" w:rsidP="00F32B7F">
            <w:pPr>
              <w:pStyle w:val="Lgende"/>
              <w:numPr>
                <w:ilvl w:val="0"/>
                <w:numId w:val="18"/>
              </w:numPr>
              <w:suppressAutoHyphens w:val="0"/>
              <w:spacing w:after="200"/>
              <w:rPr>
                <w:rFonts w:ascii="Verdana" w:hAnsi="Verdana"/>
              </w:rPr>
            </w:pPr>
            <w:r w:rsidRPr="001E3185">
              <w:rPr>
                <w:rFonts w:ascii="Verdana" w:hAnsi="Verdana"/>
              </w:rPr>
              <w:lastRenderedPageBreak/>
              <w:t>Estimation of emissions – Industrial Dipping (storage phase only)</w:t>
            </w:r>
          </w:p>
          <w:p w14:paraId="00564822" w14:textId="40FB2095" w:rsidR="00692E71" w:rsidRPr="001E3185" w:rsidRDefault="00692E71" w:rsidP="008E0250">
            <w:pPr>
              <w:autoSpaceDE w:val="0"/>
              <w:autoSpaceDN w:val="0"/>
              <w:spacing w:before="120" w:after="240" w:line="276" w:lineRule="auto"/>
              <w:rPr>
                <w:rFonts w:cs="Arial"/>
              </w:rPr>
            </w:pPr>
            <w:r w:rsidRPr="001E3185">
              <w:rPr>
                <w:rFonts w:cs="Arial"/>
              </w:rPr>
              <w:t>FR-CA agrees with the registrant’s inputs used for the estimation of releases from industrial treatment (storage phase) according to the “industrial dipping process” scenario described in the PT08-ESD. However the average daily flux (</w:t>
            </w:r>
            <w:r w:rsidRPr="001E3185">
              <w:rPr>
                <w:rFonts w:cs="Arial"/>
                <w:i/>
                <w:iCs/>
                <w:sz w:val="18"/>
                <w:szCs w:val="18"/>
              </w:rPr>
              <w:t>FLUX</w:t>
            </w:r>
            <w:r w:rsidRPr="001E3185">
              <w:rPr>
                <w:rFonts w:cs="Arial"/>
                <w:i/>
                <w:iCs/>
                <w:sz w:val="18"/>
                <w:szCs w:val="18"/>
                <w:vertAlign w:val="subscript"/>
              </w:rPr>
              <w:t>storage</w:t>
            </w:r>
            <w:proofErr w:type="gramStart"/>
            <w:r w:rsidRPr="001E3185">
              <w:rPr>
                <w:rFonts w:cs="Arial"/>
                <w:i/>
                <w:iCs/>
                <w:sz w:val="18"/>
                <w:szCs w:val="18"/>
                <w:vertAlign w:val="subscript"/>
              </w:rPr>
              <w:t>,dipp</w:t>
            </w:r>
            <w:proofErr w:type="gramEnd"/>
            <w:r w:rsidRPr="001E3185">
              <w:rPr>
                <w:rFonts w:cs="Arial"/>
                <w:i/>
                <w:iCs/>
                <w:sz w:val="18"/>
                <w:szCs w:val="18"/>
              </w:rPr>
              <w:t>)</w:t>
            </w:r>
            <w:r w:rsidRPr="001E3185">
              <w:rPr>
                <w:rFonts w:cs="Arial"/>
              </w:rPr>
              <w:t xml:space="preserve"> for each substance have been recalculated from the new Q*leach</w:t>
            </w:r>
            <w:r w:rsidRPr="001E3185">
              <w:rPr>
                <w:rFonts w:cs="Arial"/>
                <w:vertAlign w:val="subscript"/>
              </w:rPr>
              <w:t>, time 1</w:t>
            </w:r>
            <w:r w:rsidRPr="001E3185">
              <w:rPr>
                <w:rFonts w:cs="Arial"/>
              </w:rPr>
              <w:t xml:space="preserve"> values (see above). Moreover</w:t>
            </w:r>
            <w:r w:rsidR="00033DB6" w:rsidRPr="001E3185">
              <w:rPr>
                <w:rFonts w:cs="Arial"/>
              </w:rPr>
              <w:t>, f</w:t>
            </w:r>
            <w:r w:rsidRPr="001E3185">
              <w:rPr>
                <w:rFonts w:cs="Arial"/>
              </w:rPr>
              <w:t>or the service life for the longer storage period on a storage place, i.e. Time 2, a default value of 7300 days (i.e. 20 years) must be used, which corresponds to the average life span of an industrial treatment plant.</w:t>
            </w:r>
          </w:p>
          <w:p w14:paraId="0919FFBF" w14:textId="77777777" w:rsidR="00692E71" w:rsidRPr="001E3185" w:rsidRDefault="00692E71" w:rsidP="008E0250">
            <w:pPr>
              <w:autoSpaceDE w:val="0"/>
              <w:autoSpaceDN w:val="0"/>
              <w:spacing w:before="120" w:after="240" w:line="276" w:lineRule="auto"/>
              <w:rPr>
                <w:rFonts w:cs="Arial"/>
              </w:rPr>
            </w:pPr>
            <w:r w:rsidRPr="001E3185">
              <w:rPr>
                <w:rFonts w:cs="Arial"/>
              </w:rPr>
              <w:t>For the application phase, no emission estimations were provided by the applicant based on mandatory risk mitigation measures for wood treatment plants.</w:t>
            </w:r>
          </w:p>
          <w:tbl>
            <w:tblPr>
              <w:tblW w:w="0" w:type="auto"/>
              <w:tblInd w:w="846" w:type="dxa"/>
              <w:tblLook w:val="04A0" w:firstRow="1" w:lastRow="0" w:firstColumn="1" w:lastColumn="0" w:noHBand="0" w:noVBand="1"/>
            </w:tblPr>
            <w:tblGrid>
              <w:gridCol w:w="4673"/>
              <w:gridCol w:w="1695"/>
              <w:gridCol w:w="1627"/>
            </w:tblGrid>
            <w:tr w:rsidR="00692E71" w:rsidRPr="001E3185" w14:paraId="0909F845" w14:textId="77777777" w:rsidTr="008E0250">
              <w:tc>
                <w:tcPr>
                  <w:tcW w:w="4673" w:type="dxa"/>
                  <w:vAlign w:val="center"/>
                </w:tcPr>
                <w:p w14:paraId="4574E920" w14:textId="77777777" w:rsidR="00692E71" w:rsidRPr="001E3185" w:rsidRDefault="00692E71" w:rsidP="008E0250">
                  <w:pPr>
                    <w:pStyle w:val="Default"/>
                    <w:rPr>
                      <w:rFonts w:ascii="Verdana" w:hAnsi="Verdana" w:cs="Arial"/>
                      <w:sz w:val="18"/>
                      <w:szCs w:val="18"/>
                    </w:rPr>
                  </w:pPr>
                  <w:r w:rsidRPr="001E3185">
                    <w:rPr>
                      <w:rFonts w:ascii="Verdana" w:hAnsi="Verdana" w:cs="Arial"/>
                      <w:sz w:val="18"/>
                      <w:szCs w:val="18"/>
                    </w:rPr>
                    <w:t>Nomenclature</w:t>
                  </w:r>
                </w:p>
              </w:tc>
              <w:tc>
                <w:tcPr>
                  <w:tcW w:w="1695" w:type="dxa"/>
                  <w:vAlign w:val="center"/>
                </w:tcPr>
                <w:p w14:paraId="31205552" w14:textId="77777777" w:rsidR="00692E71" w:rsidRPr="001E3185" w:rsidRDefault="00692E71" w:rsidP="008E0250">
                  <w:pPr>
                    <w:pStyle w:val="Default"/>
                    <w:jc w:val="center"/>
                    <w:rPr>
                      <w:rFonts w:ascii="Verdana" w:hAnsi="Verdana" w:cs="Arial"/>
                      <w:sz w:val="18"/>
                      <w:szCs w:val="18"/>
                    </w:rPr>
                  </w:pPr>
                  <w:r w:rsidRPr="001E3185">
                    <w:rPr>
                      <w:rFonts w:ascii="Verdana" w:hAnsi="Verdana" w:cs="Arial"/>
                      <w:sz w:val="18"/>
                      <w:szCs w:val="18"/>
                    </w:rPr>
                    <w:t>Value</w:t>
                  </w:r>
                </w:p>
              </w:tc>
              <w:tc>
                <w:tcPr>
                  <w:tcW w:w="1627" w:type="dxa"/>
                  <w:vAlign w:val="center"/>
                </w:tcPr>
                <w:p w14:paraId="4075FA23" w14:textId="77777777" w:rsidR="00692E71" w:rsidRPr="001E3185" w:rsidRDefault="00692E71" w:rsidP="008E0250">
                  <w:pPr>
                    <w:pStyle w:val="Default"/>
                    <w:jc w:val="center"/>
                    <w:rPr>
                      <w:rFonts w:ascii="Verdana" w:hAnsi="Verdana" w:cs="Arial"/>
                      <w:sz w:val="18"/>
                      <w:szCs w:val="18"/>
                    </w:rPr>
                  </w:pPr>
                  <w:r w:rsidRPr="001E3185">
                    <w:rPr>
                      <w:rFonts w:ascii="Verdana" w:hAnsi="Verdana" w:cs="Arial"/>
                      <w:sz w:val="18"/>
                      <w:szCs w:val="18"/>
                    </w:rPr>
                    <w:t>Unit</w:t>
                  </w:r>
                </w:p>
              </w:tc>
            </w:tr>
            <w:tr w:rsidR="00692E71" w:rsidRPr="001E3185" w14:paraId="1935157C" w14:textId="77777777" w:rsidTr="008E0250">
              <w:trPr>
                <w:trHeight w:val="340"/>
              </w:trPr>
              <w:tc>
                <w:tcPr>
                  <w:tcW w:w="6368" w:type="dxa"/>
                  <w:gridSpan w:val="2"/>
                  <w:vAlign w:val="center"/>
                </w:tcPr>
                <w:p w14:paraId="5E862397" w14:textId="77777777" w:rsidR="00692E71" w:rsidRPr="001E3185" w:rsidRDefault="00692E71" w:rsidP="008E0250">
                  <w:pPr>
                    <w:pStyle w:val="Default"/>
                    <w:rPr>
                      <w:rFonts w:ascii="Verdana" w:hAnsi="Verdana" w:cs="Arial"/>
                      <w:sz w:val="18"/>
                      <w:szCs w:val="18"/>
                    </w:rPr>
                  </w:pPr>
                  <w:r w:rsidRPr="001E3185">
                    <w:rPr>
                      <w:rFonts w:ascii="Verdana" w:hAnsi="Verdana" w:cs="Arial"/>
                      <w:iCs/>
                      <w:sz w:val="18"/>
                      <w:szCs w:val="18"/>
                    </w:rPr>
                    <w:t xml:space="preserve">FLUX </w:t>
                  </w:r>
                  <w:r w:rsidRPr="001E3185">
                    <w:rPr>
                      <w:rFonts w:ascii="Verdana" w:hAnsi="Verdana" w:cs="Arial"/>
                      <w:iCs/>
                      <w:sz w:val="18"/>
                      <w:szCs w:val="18"/>
                      <w:vertAlign w:val="subscript"/>
                    </w:rPr>
                    <w:t xml:space="preserve">storage, dipp </w:t>
                  </w:r>
                  <w:r w:rsidRPr="001E3185">
                    <w:rPr>
                      <w:rFonts w:ascii="Verdana" w:hAnsi="Verdana" w:cs="Arial"/>
                      <w:iCs/>
                      <w:sz w:val="18"/>
                      <w:szCs w:val="18"/>
                    </w:rPr>
                    <w:t>(considering 30 days leaching)</w:t>
                  </w:r>
                </w:p>
              </w:tc>
              <w:tc>
                <w:tcPr>
                  <w:tcW w:w="1627" w:type="dxa"/>
                  <w:vMerge w:val="restart"/>
                  <w:vAlign w:val="center"/>
                </w:tcPr>
                <w:p w14:paraId="5B103E5B" w14:textId="77777777" w:rsidR="00692E71" w:rsidRPr="001E3185" w:rsidRDefault="00692E71" w:rsidP="008E0250">
                  <w:pPr>
                    <w:pStyle w:val="Default"/>
                    <w:jc w:val="center"/>
                    <w:rPr>
                      <w:rFonts w:ascii="Verdana" w:hAnsi="Verdana" w:cs="Arial"/>
                      <w:sz w:val="18"/>
                      <w:szCs w:val="18"/>
                    </w:rPr>
                  </w:pPr>
                  <w:r w:rsidRPr="001E3185">
                    <w:rPr>
                      <w:rFonts w:ascii="Verdana" w:hAnsi="Verdana" w:cs="Arial"/>
                      <w:sz w:val="18"/>
                      <w:szCs w:val="18"/>
                    </w:rPr>
                    <w:t>[kg.m</w:t>
                  </w:r>
                  <w:r w:rsidRPr="001E3185">
                    <w:rPr>
                      <w:rFonts w:ascii="Verdana" w:hAnsi="Verdana" w:cs="Arial"/>
                      <w:sz w:val="18"/>
                      <w:szCs w:val="18"/>
                      <w:vertAlign w:val="superscript"/>
                    </w:rPr>
                    <w:t>-2</w:t>
                  </w:r>
                  <w:r w:rsidRPr="001E3185">
                    <w:rPr>
                      <w:rFonts w:ascii="Verdana" w:hAnsi="Verdana" w:cs="Arial"/>
                      <w:sz w:val="18"/>
                      <w:szCs w:val="18"/>
                    </w:rPr>
                    <w:t>.d</w:t>
                  </w:r>
                  <w:r w:rsidRPr="001E3185">
                    <w:rPr>
                      <w:rFonts w:ascii="Verdana" w:hAnsi="Verdana" w:cs="Arial"/>
                      <w:sz w:val="18"/>
                      <w:szCs w:val="18"/>
                      <w:vertAlign w:val="superscript"/>
                    </w:rPr>
                    <w:t>-1</w:t>
                  </w:r>
                  <w:r w:rsidRPr="001E3185">
                    <w:rPr>
                      <w:rFonts w:ascii="Verdana" w:hAnsi="Verdana" w:cs="Arial"/>
                      <w:sz w:val="18"/>
                      <w:szCs w:val="18"/>
                    </w:rPr>
                    <w:t>]</w:t>
                  </w:r>
                </w:p>
              </w:tc>
            </w:tr>
            <w:tr w:rsidR="00692E71" w:rsidRPr="001E3185" w14:paraId="5456D9FB" w14:textId="77777777" w:rsidTr="008E0250">
              <w:trPr>
                <w:trHeight w:val="283"/>
              </w:trPr>
              <w:tc>
                <w:tcPr>
                  <w:tcW w:w="4673" w:type="dxa"/>
                  <w:vAlign w:val="center"/>
                </w:tcPr>
                <w:p w14:paraId="2485E328" w14:textId="77777777" w:rsidR="00692E71" w:rsidRPr="001E3185" w:rsidRDefault="00692E71" w:rsidP="008E0250">
                  <w:pPr>
                    <w:autoSpaceDE w:val="0"/>
                    <w:autoSpaceDN w:val="0"/>
                    <w:ind w:left="596"/>
                    <w:rPr>
                      <w:rFonts w:cs="Arial"/>
                      <w:sz w:val="18"/>
                      <w:szCs w:val="18"/>
                    </w:rPr>
                  </w:pPr>
                  <w:r w:rsidRPr="001E3185">
                    <w:rPr>
                      <w:rFonts w:cs="Arial"/>
                      <w:sz w:val="18"/>
                      <w:szCs w:val="18"/>
                    </w:rPr>
                    <w:t>Tebuconazole</w:t>
                  </w:r>
                </w:p>
              </w:tc>
              <w:tc>
                <w:tcPr>
                  <w:tcW w:w="1695" w:type="dxa"/>
                  <w:vAlign w:val="center"/>
                </w:tcPr>
                <w:p w14:paraId="3F683658" w14:textId="77777777" w:rsidR="00692E71" w:rsidRPr="001E3185" w:rsidRDefault="00692E71" w:rsidP="008E0250">
                  <w:pPr>
                    <w:autoSpaceDE w:val="0"/>
                    <w:autoSpaceDN w:val="0"/>
                    <w:jc w:val="center"/>
                    <w:rPr>
                      <w:rFonts w:cs="Arial"/>
                      <w:sz w:val="18"/>
                      <w:szCs w:val="18"/>
                    </w:rPr>
                  </w:pPr>
                  <w:r w:rsidRPr="001E3185">
                    <w:rPr>
                      <w:rFonts w:cs="Arial"/>
                      <w:sz w:val="18"/>
                      <w:szCs w:val="18"/>
                    </w:rPr>
                    <w:t>2.93E-07</w:t>
                  </w:r>
                </w:p>
              </w:tc>
              <w:tc>
                <w:tcPr>
                  <w:tcW w:w="1627" w:type="dxa"/>
                  <w:vMerge/>
                </w:tcPr>
                <w:p w14:paraId="1BF9AC62" w14:textId="77777777" w:rsidR="00692E71" w:rsidRPr="001E3185" w:rsidRDefault="00692E71" w:rsidP="008E0250">
                  <w:pPr>
                    <w:autoSpaceDE w:val="0"/>
                    <w:autoSpaceDN w:val="0"/>
                    <w:spacing w:before="120"/>
                    <w:rPr>
                      <w:rFonts w:cs="Arial"/>
                      <w:sz w:val="18"/>
                      <w:szCs w:val="18"/>
                    </w:rPr>
                  </w:pPr>
                </w:p>
              </w:tc>
            </w:tr>
            <w:tr w:rsidR="00692E71" w:rsidRPr="001E3185" w14:paraId="78C844EE" w14:textId="77777777" w:rsidTr="008E0250">
              <w:trPr>
                <w:trHeight w:val="283"/>
              </w:trPr>
              <w:tc>
                <w:tcPr>
                  <w:tcW w:w="4673" w:type="dxa"/>
                  <w:vAlign w:val="center"/>
                </w:tcPr>
                <w:p w14:paraId="22F55CBC" w14:textId="77777777" w:rsidR="00692E71" w:rsidRPr="001E3185" w:rsidRDefault="00692E71" w:rsidP="008E0250">
                  <w:pPr>
                    <w:autoSpaceDE w:val="0"/>
                    <w:autoSpaceDN w:val="0"/>
                    <w:ind w:left="596"/>
                    <w:rPr>
                      <w:rFonts w:cs="Arial"/>
                      <w:sz w:val="18"/>
                      <w:szCs w:val="18"/>
                    </w:rPr>
                  </w:pPr>
                  <w:r w:rsidRPr="001E3185">
                    <w:rPr>
                      <w:rFonts w:cs="Arial"/>
                      <w:sz w:val="18"/>
                      <w:szCs w:val="18"/>
                    </w:rPr>
                    <w:t>Propiconazole</w:t>
                  </w:r>
                </w:p>
              </w:tc>
              <w:tc>
                <w:tcPr>
                  <w:tcW w:w="1695" w:type="dxa"/>
                  <w:vAlign w:val="center"/>
                </w:tcPr>
                <w:p w14:paraId="39F35703" w14:textId="77777777" w:rsidR="00692E71" w:rsidRPr="001E3185" w:rsidRDefault="00692E71" w:rsidP="008E0250">
                  <w:pPr>
                    <w:autoSpaceDE w:val="0"/>
                    <w:autoSpaceDN w:val="0"/>
                    <w:jc w:val="center"/>
                    <w:rPr>
                      <w:rFonts w:cs="Arial"/>
                      <w:sz w:val="18"/>
                      <w:szCs w:val="18"/>
                    </w:rPr>
                  </w:pPr>
                  <w:r w:rsidRPr="001E3185">
                    <w:rPr>
                      <w:rFonts w:cs="Arial"/>
                      <w:sz w:val="18"/>
                      <w:szCs w:val="18"/>
                    </w:rPr>
                    <w:t>6.65E-07</w:t>
                  </w:r>
                </w:p>
              </w:tc>
              <w:tc>
                <w:tcPr>
                  <w:tcW w:w="1627" w:type="dxa"/>
                  <w:vMerge/>
                </w:tcPr>
                <w:p w14:paraId="475DE934" w14:textId="77777777" w:rsidR="00692E71" w:rsidRPr="001E3185" w:rsidRDefault="00692E71" w:rsidP="008E0250">
                  <w:pPr>
                    <w:autoSpaceDE w:val="0"/>
                    <w:autoSpaceDN w:val="0"/>
                    <w:spacing w:before="120"/>
                    <w:rPr>
                      <w:rFonts w:cs="Arial"/>
                      <w:sz w:val="18"/>
                      <w:szCs w:val="18"/>
                    </w:rPr>
                  </w:pPr>
                </w:p>
              </w:tc>
            </w:tr>
            <w:tr w:rsidR="00692E71" w:rsidRPr="001E3185" w14:paraId="22B9B989" w14:textId="77777777" w:rsidTr="008E0250">
              <w:trPr>
                <w:trHeight w:val="283"/>
              </w:trPr>
              <w:tc>
                <w:tcPr>
                  <w:tcW w:w="4673" w:type="dxa"/>
                  <w:vAlign w:val="center"/>
                </w:tcPr>
                <w:p w14:paraId="360964E2" w14:textId="77777777" w:rsidR="00692E71" w:rsidRPr="001E3185" w:rsidRDefault="00692E71" w:rsidP="008E0250">
                  <w:pPr>
                    <w:autoSpaceDE w:val="0"/>
                    <w:autoSpaceDN w:val="0"/>
                    <w:ind w:left="596"/>
                    <w:rPr>
                      <w:rFonts w:cs="Arial"/>
                      <w:sz w:val="18"/>
                      <w:szCs w:val="18"/>
                    </w:rPr>
                  </w:pPr>
                  <w:r w:rsidRPr="001E3185">
                    <w:rPr>
                      <w:rFonts w:cs="Arial"/>
                      <w:sz w:val="18"/>
                      <w:szCs w:val="18"/>
                    </w:rPr>
                    <w:t>Cypermethrin</w:t>
                  </w:r>
                </w:p>
              </w:tc>
              <w:tc>
                <w:tcPr>
                  <w:tcW w:w="1695" w:type="dxa"/>
                  <w:vAlign w:val="center"/>
                </w:tcPr>
                <w:p w14:paraId="217006D9" w14:textId="77777777" w:rsidR="00692E71" w:rsidRPr="001E3185" w:rsidRDefault="00692E71" w:rsidP="008E0250">
                  <w:pPr>
                    <w:autoSpaceDE w:val="0"/>
                    <w:autoSpaceDN w:val="0"/>
                    <w:jc w:val="center"/>
                    <w:rPr>
                      <w:rFonts w:cs="Arial"/>
                      <w:sz w:val="18"/>
                      <w:szCs w:val="18"/>
                    </w:rPr>
                  </w:pPr>
                  <w:r w:rsidRPr="001E3185">
                    <w:rPr>
                      <w:rFonts w:cs="Arial"/>
                      <w:sz w:val="18"/>
                      <w:szCs w:val="18"/>
                    </w:rPr>
                    <w:t>2.81E-09</w:t>
                  </w:r>
                </w:p>
              </w:tc>
              <w:tc>
                <w:tcPr>
                  <w:tcW w:w="1627" w:type="dxa"/>
                  <w:vMerge/>
                </w:tcPr>
                <w:p w14:paraId="61C37704" w14:textId="77777777" w:rsidR="00692E71" w:rsidRPr="001E3185" w:rsidRDefault="00692E71" w:rsidP="008E0250">
                  <w:pPr>
                    <w:autoSpaceDE w:val="0"/>
                    <w:autoSpaceDN w:val="0"/>
                    <w:spacing w:before="120"/>
                    <w:rPr>
                      <w:rFonts w:cs="Arial"/>
                      <w:sz w:val="18"/>
                      <w:szCs w:val="18"/>
                    </w:rPr>
                  </w:pPr>
                </w:p>
              </w:tc>
            </w:tr>
            <w:tr w:rsidR="00692E71" w:rsidRPr="001E3185" w14:paraId="0829F848" w14:textId="77777777" w:rsidTr="008E0250">
              <w:trPr>
                <w:trHeight w:val="283"/>
              </w:trPr>
              <w:tc>
                <w:tcPr>
                  <w:tcW w:w="4673" w:type="dxa"/>
                  <w:vAlign w:val="center"/>
                </w:tcPr>
                <w:p w14:paraId="4A0F7185" w14:textId="77777777" w:rsidR="00692E71" w:rsidRPr="001E3185" w:rsidRDefault="00692E71" w:rsidP="008E0250">
                  <w:pPr>
                    <w:autoSpaceDE w:val="0"/>
                    <w:autoSpaceDN w:val="0"/>
                    <w:ind w:left="596"/>
                    <w:rPr>
                      <w:rFonts w:cs="Arial"/>
                      <w:sz w:val="18"/>
                      <w:szCs w:val="18"/>
                    </w:rPr>
                  </w:pPr>
                  <w:r w:rsidRPr="001E3185">
                    <w:rPr>
                      <w:rFonts w:cs="Arial"/>
                      <w:sz w:val="18"/>
                      <w:szCs w:val="18"/>
                    </w:rPr>
                    <w:t>IPBC</w:t>
                  </w:r>
                </w:p>
              </w:tc>
              <w:tc>
                <w:tcPr>
                  <w:tcW w:w="1695" w:type="dxa"/>
                  <w:vAlign w:val="center"/>
                </w:tcPr>
                <w:p w14:paraId="4D82D05C" w14:textId="77777777" w:rsidR="00692E71" w:rsidRPr="001E3185" w:rsidRDefault="00692E71" w:rsidP="008E0250">
                  <w:pPr>
                    <w:autoSpaceDE w:val="0"/>
                    <w:autoSpaceDN w:val="0"/>
                    <w:jc w:val="center"/>
                    <w:rPr>
                      <w:rFonts w:cs="Arial"/>
                      <w:sz w:val="18"/>
                      <w:szCs w:val="18"/>
                    </w:rPr>
                  </w:pPr>
                  <w:r w:rsidRPr="001E3185">
                    <w:rPr>
                      <w:rFonts w:cs="Arial"/>
                      <w:sz w:val="18"/>
                      <w:szCs w:val="18"/>
                    </w:rPr>
                    <w:t>1.68E-07</w:t>
                  </w:r>
                </w:p>
              </w:tc>
              <w:tc>
                <w:tcPr>
                  <w:tcW w:w="1627" w:type="dxa"/>
                  <w:vMerge/>
                </w:tcPr>
                <w:p w14:paraId="2E80397B" w14:textId="77777777" w:rsidR="00692E71" w:rsidRPr="001E3185" w:rsidRDefault="00692E71" w:rsidP="008E0250">
                  <w:pPr>
                    <w:autoSpaceDE w:val="0"/>
                    <w:autoSpaceDN w:val="0"/>
                    <w:spacing w:before="120"/>
                    <w:rPr>
                      <w:rFonts w:cs="Arial"/>
                      <w:sz w:val="18"/>
                      <w:szCs w:val="18"/>
                    </w:rPr>
                  </w:pPr>
                </w:p>
              </w:tc>
            </w:tr>
            <w:tr w:rsidR="00692E71" w:rsidRPr="001E3185" w14:paraId="63624F44" w14:textId="77777777" w:rsidTr="008E0250">
              <w:trPr>
                <w:trHeight w:val="283"/>
              </w:trPr>
              <w:tc>
                <w:tcPr>
                  <w:tcW w:w="4673" w:type="dxa"/>
                  <w:vAlign w:val="center"/>
                </w:tcPr>
                <w:p w14:paraId="4D269867" w14:textId="77777777" w:rsidR="00692E71" w:rsidRPr="001E3185" w:rsidRDefault="00692E71" w:rsidP="008E0250">
                  <w:pPr>
                    <w:autoSpaceDE w:val="0"/>
                    <w:autoSpaceDN w:val="0"/>
                    <w:ind w:left="596"/>
                    <w:rPr>
                      <w:rFonts w:cs="Arial"/>
                      <w:sz w:val="18"/>
                      <w:szCs w:val="18"/>
                    </w:rPr>
                  </w:pPr>
                  <w:r w:rsidRPr="001E3185">
                    <w:rPr>
                      <w:rFonts w:cs="Arial"/>
                      <w:sz w:val="18"/>
                      <w:szCs w:val="18"/>
                    </w:rPr>
                    <w:t>PBC</w:t>
                  </w:r>
                </w:p>
              </w:tc>
              <w:tc>
                <w:tcPr>
                  <w:tcW w:w="1695" w:type="dxa"/>
                  <w:vAlign w:val="center"/>
                </w:tcPr>
                <w:p w14:paraId="5CB194BD" w14:textId="77777777" w:rsidR="00692E71" w:rsidRPr="001E3185" w:rsidRDefault="00692E71" w:rsidP="008E0250">
                  <w:pPr>
                    <w:autoSpaceDE w:val="0"/>
                    <w:autoSpaceDN w:val="0"/>
                    <w:jc w:val="center"/>
                    <w:rPr>
                      <w:rFonts w:cs="Arial"/>
                      <w:sz w:val="18"/>
                      <w:szCs w:val="18"/>
                    </w:rPr>
                  </w:pPr>
                  <w:r w:rsidRPr="001E3185">
                    <w:rPr>
                      <w:rFonts w:cs="Arial"/>
                      <w:sz w:val="18"/>
                      <w:szCs w:val="18"/>
                    </w:rPr>
                    <w:t>9.28E-08</w:t>
                  </w:r>
                </w:p>
              </w:tc>
              <w:tc>
                <w:tcPr>
                  <w:tcW w:w="1627" w:type="dxa"/>
                  <w:vMerge/>
                </w:tcPr>
                <w:p w14:paraId="23A3F107" w14:textId="77777777" w:rsidR="00692E71" w:rsidRPr="001E3185" w:rsidRDefault="00692E71" w:rsidP="008E0250">
                  <w:pPr>
                    <w:autoSpaceDE w:val="0"/>
                    <w:autoSpaceDN w:val="0"/>
                    <w:spacing w:before="120"/>
                    <w:rPr>
                      <w:rFonts w:cs="Arial"/>
                      <w:sz w:val="18"/>
                      <w:szCs w:val="18"/>
                    </w:rPr>
                  </w:pPr>
                </w:p>
              </w:tc>
            </w:tr>
            <w:tr w:rsidR="00692E71" w:rsidRPr="001E3185" w14:paraId="328B7000" w14:textId="77777777" w:rsidTr="008E0250">
              <w:trPr>
                <w:trHeight w:val="283"/>
              </w:trPr>
              <w:tc>
                <w:tcPr>
                  <w:tcW w:w="4673" w:type="dxa"/>
                  <w:vAlign w:val="center"/>
                </w:tcPr>
                <w:p w14:paraId="4D87C69C" w14:textId="77777777" w:rsidR="00692E71" w:rsidRPr="001E3185" w:rsidRDefault="00692E71" w:rsidP="008E0250">
                  <w:pPr>
                    <w:autoSpaceDE w:val="0"/>
                    <w:autoSpaceDN w:val="0"/>
                    <w:ind w:left="596"/>
                    <w:rPr>
                      <w:rFonts w:cs="Arial"/>
                      <w:sz w:val="18"/>
                      <w:szCs w:val="18"/>
                    </w:rPr>
                  </w:pPr>
                  <w:r w:rsidRPr="001E3185">
                    <w:rPr>
                      <w:rFonts w:cs="Arial"/>
                      <w:sz w:val="18"/>
                      <w:szCs w:val="18"/>
                    </w:rPr>
                    <w:t>1,2,4-triazole</w:t>
                  </w:r>
                </w:p>
              </w:tc>
              <w:tc>
                <w:tcPr>
                  <w:tcW w:w="1695" w:type="dxa"/>
                  <w:vAlign w:val="center"/>
                </w:tcPr>
                <w:p w14:paraId="6CDB1F84" w14:textId="77777777" w:rsidR="00692E71" w:rsidRPr="001E3185" w:rsidRDefault="00692E71" w:rsidP="008E0250">
                  <w:pPr>
                    <w:autoSpaceDE w:val="0"/>
                    <w:autoSpaceDN w:val="0"/>
                    <w:jc w:val="center"/>
                    <w:rPr>
                      <w:rFonts w:cs="Arial"/>
                      <w:sz w:val="18"/>
                      <w:szCs w:val="18"/>
                    </w:rPr>
                  </w:pPr>
                  <w:r w:rsidRPr="001E3185">
                    <w:rPr>
                      <w:rFonts w:cs="Arial"/>
                      <w:sz w:val="18"/>
                      <w:szCs w:val="18"/>
                    </w:rPr>
                    <w:t>6.40E-08</w:t>
                  </w:r>
                </w:p>
              </w:tc>
              <w:tc>
                <w:tcPr>
                  <w:tcW w:w="1627" w:type="dxa"/>
                  <w:vMerge/>
                </w:tcPr>
                <w:p w14:paraId="2D550AC8" w14:textId="77777777" w:rsidR="00692E71" w:rsidRPr="001E3185" w:rsidRDefault="00692E71" w:rsidP="008E0250">
                  <w:pPr>
                    <w:autoSpaceDE w:val="0"/>
                    <w:autoSpaceDN w:val="0"/>
                    <w:spacing w:before="120"/>
                    <w:rPr>
                      <w:rFonts w:cs="Arial"/>
                      <w:sz w:val="18"/>
                      <w:szCs w:val="18"/>
                    </w:rPr>
                  </w:pPr>
                </w:p>
              </w:tc>
            </w:tr>
            <w:tr w:rsidR="00692E71" w:rsidRPr="001E3185" w14:paraId="78B3EDE9" w14:textId="77777777" w:rsidTr="008E0250">
              <w:trPr>
                <w:trHeight w:val="340"/>
              </w:trPr>
              <w:tc>
                <w:tcPr>
                  <w:tcW w:w="6368" w:type="dxa"/>
                  <w:gridSpan w:val="2"/>
                  <w:vAlign w:val="center"/>
                </w:tcPr>
                <w:p w14:paraId="2A548592" w14:textId="77777777" w:rsidR="00692E71" w:rsidRPr="001E3185" w:rsidRDefault="00692E71" w:rsidP="008E0250">
                  <w:pPr>
                    <w:autoSpaceDE w:val="0"/>
                    <w:autoSpaceDN w:val="0"/>
                    <w:rPr>
                      <w:rFonts w:cs="Arial"/>
                      <w:sz w:val="18"/>
                      <w:szCs w:val="18"/>
                    </w:rPr>
                  </w:pPr>
                  <w:r w:rsidRPr="001E3185">
                    <w:rPr>
                      <w:rFonts w:cs="Arial"/>
                      <w:i/>
                      <w:iCs/>
                      <w:sz w:val="18"/>
                      <w:szCs w:val="18"/>
                    </w:rPr>
                    <w:t>Q</w:t>
                  </w:r>
                  <w:r w:rsidRPr="001E3185">
                    <w:rPr>
                      <w:rFonts w:cs="Arial"/>
                      <w:i/>
                      <w:iCs/>
                      <w:sz w:val="18"/>
                      <w:szCs w:val="18"/>
                      <w:vertAlign w:val="subscript"/>
                    </w:rPr>
                    <w:t>leachstorage,time1</w:t>
                  </w:r>
                </w:p>
              </w:tc>
              <w:tc>
                <w:tcPr>
                  <w:tcW w:w="1627" w:type="dxa"/>
                  <w:vMerge w:val="restart"/>
                  <w:vAlign w:val="center"/>
                </w:tcPr>
                <w:p w14:paraId="0794F627" w14:textId="77777777" w:rsidR="00692E71" w:rsidRPr="001E3185" w:rsidRDefault="00692E71" w:rsidP="008E0250">
                  <w:pPr>
                    <w:autoSpaceDE w:val="0"/>
                    <w:autoSpaceDN w:val="0"/>
                    <w:spacing w:before="120"/>
                    <w:jc w:val="center"/>
                    <w:rPr>
                      <w:rFonts w:cs="Arial"/>
                      <w:sz w:val="18"/>
                      <w:szCs w:val="18"/>
                    </w:rPr>
                  </w:pPr>
                  <w:r w:rsidRPr="001E3185">
                    <w:rPr>
                      <w:rFonts w:cs="Arial"/>
                      <w:sz w:val="18"/>
                      <w:szCs w:val="18"/>
                    </w:rPr>
                    <w:t>[kg]</w:t>
                  </w:r>
                </w:p>
              </w:tc>
            </w:tr>
            <w:tr w:rsidR="00692E71" w:rsidRPr="001E3185" w14:paraId="756DCF53" w14:textId="77777777" w:rsidTr="008E0250">
              <w:trPr>
                <w:trHeight w:val="283"/>
              </w:trPr>
              <w:tc>
                <w:tcPr>
                  <w:tcW w:w="4673" w:type="dxa"/>
                  <w:vAlign w:val="center"/>
                </w:tcPr>
                <w:p w14:paraId="29BB093E" w14:textId="77777777" w:rsidR="00692E71" w:rsidRPr="001E3185" w:rsidRDefault="00692E71" w:rsidP="008E0250">
                  <w:pPr>
                    <w:autoSpaceDE w:val="0"/>
                    <w:autoSpaceDN w:val="0"/>
                    <w:ind w:left="596"/>
                    <w:rPr>
                      <w:rFonts w:cs="Arial"/>
                      <w:sz w:val="18"/>
                      <w:szCs w:val="18"/>
                    </w:rPr>
                  </w:pPr>
                  <w:r w:rsidRPr="001E3185">
                    <w:rPr>
                      <w:rFonts w:cs="Arial"/>
                      <w:sz w:val="18"/>
                      <w:szCs w:val="18"/>
                    </w:rPr>
                    <w:t>Tebuconazole</w:t>
                  </w:r>
                </w:p>
              </w:tc>
              <w:tc>
                <w:tcPr>
                  <w:tcW w:w="1695" w:type="dxa"/>
                  <w:vAlign w:val="center"/>
                </w:tcPr>
                <w:p w14:paraId="075E6445" w14:textId="77777777" w:rsidR="00692E71" w:rsidRPr="001E3185" w:rsidRDefault="00692E71" w:rsidP="008E0250">
                  <w:pPr>
                    <w:autoSpaceDE w:val="0"/>
                    <w:autoSpaceDN w:val="0"/>
                    <w:jc w:val="center"/>
                    <w:rPr>
                      <w:rFonts w:cs="Arial"/>
                      <w:sz w:val="18"/>
                      <w:szCs w:val="18"/>
                    </w:rPr>
                  </w:pPr>
                  <w:r w:rsidRPr="001E3185">
                    <w:rPr>
                      <w:rFonts w:cs="Arial"/>
                      <w:sz w:val="18"/>
                      <w:szCs w:val="18"/>
                    </w:rPr>
                    <w:t>6.77E-02</w:t>
                  </w:r>
                </w:p>
              </w:tc>
              <w:tc>
                <w:tcPr>
                  <w:tcW w:w="1627" w:type="dxa"/>
                  <w:vMerge/>
                </w:tcPr>
                <w:p w14:paraId="4B396F40" w14:textId="77777777" w:rsidR="00692E71" w:rsidRPr="001E3185" w:rsidRDefault="00692E71" w:rsidP="008E0250">
                  <w:pPr>
                    <w:autoSpaceDE w:val="0"/>
                    <w:autoSpaceDN w:val="0"/>
                    <w:spacing w:before="120"/>
                    <w:rPr>
                      <w:rFonts w:cs="Arial"/>
                      <w:sz w:val="18"/>
                      <w:szCs w:val="18"/>
                    </w:rPr>
                  </w:pPr>
                </w:p>
              </w:tc>
            </w:tr>
            <w:tr w:rsidR="00692E71" w:rsidRPr="001E3185" w14:paraId="4174D7F9" w14:textId="77777777" w:rsidTr="008E0250">
              <w:trPr>
                <w:trHeight w:val="283"/>
              </w:trPr>
              <w:tc>
                <w:tcPr>
                  <w:tcW w:w="4673" w:type="dxa"/>
                  <w:vAlign w:val="center"/>
                </w:tcPr>
                <w:p w14:paraId="10B7A4A2" w14:textId="77777777" w:rsidR="00692E71" w:rsidRPr="001E3185" w:rsidRDefault="00692E71" w:rsidP="008E0250">
                  <w:pPr>
                    <w:autoSpaceDE w:val="0"/>
                    <w:autoSpaceDN w:val="0"/>
                    <w:ind w:left="596"/>
                    <w:rPr>
                      <w:rFonts w:cs="Arial"/>
                      <w:sz w:val="18"/>
                      <w:szCs w:val="18"/>
                    </w:rPr>
                  </w:pPr>
                  <w:r w:rsidRPr="001E3185">
                    <w:rPr>
                      <w:rFonts w:cs="Arial"/>
                      <w:sz w:val="18"/>
                      <w:szCs w:val="18"/>
                    </w:rPr>
                    <w:t>Propiconazole</w:t>
                  </w:r>
                </w:p>
              </w:tc>
              <w:tc>
                <w:tcPr>
                  <w:tcW w:w="1695" w:type="dxa"/>
                  <w:vAlign w:val="center"/>
                </w:tcPr>
                <w:p w14:paraId="70338987" w14:textId="77777777" w:rsidR="00692E71" w:rsidRPr="001E3185" w:rsidRDefault="00692E71" w:rsidP="008E0250">
                  <w:pPr>
                    <w:autoSpaceDE w:val="0"/>
                    <w:autoSpaceDN w:val="0"/>
                    <w:jc w:val="center"/>
                    <w:rPr>
                      <w:rFonts w:cs="Arial"/>
                      <w:sz w:val="18"/>
                      <w:szCs w:val="18"/>
                    </w:rPr>
                  </w:pPr>
                  <w:r w:rsidRPr="001E3185">
                    <w:rPr>
                      <w:rFonts w:cs="Arial"/>
                      <w:sz w:val="18"/>
                      <w:szCs w:val="18"/>
                    </w:rPr>
                    <w:t>1.54E-01</w:t>
                  </w:r>
                </w:p>
              </w:tc>
              <w:tc>
                <w:tcPr>
                  <w:tcW w:w="1627" w:type="dxa"/>
                  <w:vMerge/>
                </w:tcPr>
                <w:p w14:paraId="04300678" w14:textId="77777777" w:rsidR="00692E71" w:rsidRPr="001E3185" w:rsidRDefault="00692E71" w:rsidP="008E0250">
                  <w:pPr>
                    <w:autoSpaceDE w:val="0"/>
                    <w:autoSpaceDN w:val="0"/>
                    <w:spacing w:before="120"/>
                    <w:rPr>
                      <w:rFonts w:cs="Arial"/>
                      <w:sz w:val="18"/>
                      <w:szCs w:val="18"/>
                    </w:rPr>
                  </w:pPr>
                </w:p>
              </w:tc>
            </w:tr>
            <w:tr w:rsidR="00692E71" w:rsidRPr="001E3185" w14:paraId="2E35D34E" w14:textId="77777777" w:rsidTr="008E0250">
              <w:trPr>
                <w:trHeight w:val="283"/>
              </w:trPr>
              <w:tc>
                <w:tcPr>
                  <w:tcW w:w="4673" w:type="dxa"/>
                  <w:vAlign w:val="center"/>
                </w:tcPr>
                <w:p w14:paraId="3A8E5601" w14:textId="77777777" w:rsidR="00692E71" w:rsidRPr="001E3185" w:rsidRDefault="00692E71" w:rsidP="008E0250">
                  <w:pPr>
                    <w:autoSpaceDE w:val="0"/>
                    <w:autoSpaceDN w:val="0"/>
                    <w:ind w:left="596"/>
                    <w:rPr>
                      <w:rFonts w:cs="Arial"/>
                      <w:sz w:val="18"/>
                      <w:szCs w:val="18"/>
                    </w:rPr>
                  </w:pPr>
                  <w:r w:rsidRPr="001E3185">
                    <w:rPr>
                      <w:rFonts w:cs="Arial"/>
                      <w:sz w:val="18"/>
                      <w:szCs w:val="18"/>
                    </w:rPr>
                    <w:t>Cypermethrin</w:t>
                  </w:r>
                </w:p>
              </w:tc>
              <w:tc>
                <w:tcPr>
                  <w:tcW w:w="1695" w:type="dxa"/>
                  <w:vAlign w:val="center"/>
                </w:tcPr>
                <w:p w14:paraId="01864972" w14:textId="77777777" w:rsidR="00692E71" w:rsidRPr="001E3185" w:rsidRDefault="00692E71" w:rsidP="008E0250">
                  <w:pPr>
                    <w:autoSpaceDE w:val="0"/>
                    <w:autoSpaceDN w:val="0"/>
                    <w:jc w:val="center"/>
                    <w:rPr>
                      <w:rFonts w:cs="Arial"/>
                      <w:sz w:val="18"/>
                      <w:szCs w:val="18"/>
                    </w:rPr>
                  </w:pPr>
                  <w:r w:rsidRPr="001E3185">
                    <w:rPr>
                      <w:rFonts w:cs="Arial"/>
                      <w:sz w:val="18"/>
                      <w:szCs w:val="18"/>
                    </w:rPr>
                    <w:t>6.48E-04</w:t>
                  </w:r>
                </w:p>
              </w:tc>
              <w:tc>
                <w:tcPr>
                  <w:tcW w:w="1627" w:type="dxa"/>
                  <w:vMerge/>
                </w:tcPr>
                <w:p w14:paraId="17BC4F2B" w14:textId="77777777" w:rsidR="00692E71" w:rsidRPr="001E3185" w:rsidRDefault="00692E71" w:rsidP="008E0250">
                  <w:pPr>
                    <w:autoSpaceDE w:val="0"/>
                    <w:autoSpaceDN w:val="0"/>
                    <w:spacing w:before="120"/>
                    <w:rPr>
                      <w:rFonts w:cs="Arial"/>
                      <w:sz w:val="18"/>
                      <w:szCs w:val="18"/>
                    </w:rPr>
                  </w:pPr>
                </w:p>
              </w:tc>
            </w:tr>
            <w:tr w:rsidR="00692E71" w:rsidRPr="001E3185" w14:paraId="7DE9798C" w14:textId="77777777" w:rsidTr="008E0250">
              <w:trPr>
                <w:trHeight w:val="283"/>
              </w:trPr>
              <w:tc>
                <w:tcPr>
                  <w:tcW w:w="4673" w:type="dxa"/>
                  <w:vAlign w:val="center"/>
                </w:tcPr>
                <w:p w14:paraId="61F81C88" w14:textId="77777777" w:rsidR="00692E71" w:rsidRPr="001E3185" w:rsidRDefault="00692E71" w:rsidP="008E0250">
                  <w:pPr>
                    <w:autoSpaceDE w:val="0"/>
                    <w:autoSpaceDN w:val="0"/>
                    <w:ind w:left="596"/>
                    <w:rPr>
                      <w:rFonts w:cs="Arial"/>
                      <w:sz w:val="18"/>
                      <w:szCs w:val="18"/>
                    </w:rPr>
                  </w:pPr>
                  <w:r w:rsidRPr="001E3185">
                    <w:rPr>
                      <w:rFonts w:cs="Arial"/>
                      <w:sz w:val="18"/>
                      <w:szCs w:val="18"/>
                    </w:rPr>
                    <w:t>IPBC</w:t>
                  </w:r>
                </w:p>
              </w:tc>
              <w:tc>
                <w:tcPr>
                  <w:tcW w:w="1695" w:type="dxa"/>
                  <w:vAlign w:val="center"/>
                </w:tcPr>
                <w:p w14:paraId="066B70A7" w14:textId="77777777" w:rsidR="00692E71" w:rsidRPr="001E3185" w:rsidRDefault="00692E71" w:rsidP="008E0250">
                  <w:pPr>
                    <w:autoSpaceDE w:val="0"/>
                    <w:autoSpaceDN w:val="0"/>
                    <w:jc w:val="center"/>
                    <w:rPr>
                      <w:rFonts w:cs="Arial"/>
                      <w:sz w:val="18"/>
                      <w:szCs w:val="18"/>
                    </w:rPr>
                  </w:pPr>
                  <w:r w:rsidRPr="001E3185">
                    <w:rPr>
                      <w:rFonts w:cs="Arial"/>
                      <w:sz w:val="18"/>
                      <w:szCs w:val="18"/>
                    </w:rPr>
                    <w:t>3.88E-02</w:t>
                  </w:r>
                </w:p>
              </w:tc>
              <w:tc>
                <w:tcPr>
                  <w:tcW w:w="1627" w:type="dxa"/>
                  <w:vMerge/>
                </w:tcPr>
                <w:p w14:paraId="62CD6D5D" w14:textId="77777777" w:rsidR="00692E71" w:rsidRPr="001E3185" w:rsidRDefault="00692E71" w:rsidP="008E0250">
                  <w:pPr>
                    <w:autoSpaceDE w:val="0"/>
                    <w:autoSpaceDN w:val="0"/>
                    <w:spacing w:before="120"/>
                    <w:rPr>
                      <w:rFonts w:cs="Arial"/>
                      <w:sz w:val="18"/>
                      <w:szCs w:val="18"/>
                    </w:rPr>
                  </w:pPr>
                </w:p>
              </w:tc>
            </w:tr>
            <w:tr w:rsidR="00692E71" w:rsidRPr="001E3185" w14:paraId="62CDADBB" w14:textId="77777777" w:rsidTr="008E0250">
              <w:trPr>
                <w:trHeight w:val="283"/>
              </w:trPr>
              <w:tc>
                <w:tcPr>
                  <w:tcW w:w="4673" w:type="dxa"/>
                  <w:vAlign w:val="center"/>
                </w:tcPr>
                <w:p w14:paraId="00E8FE3A" w14:textId="77777777" w:rsidR="00692E71" w:rsidRPr="001E3185" w:rsidRDefault="00692E71" w:rsidP="008E0250">
                  <w:pPr>
                    <w:autoSpaceDE w:val="0"/>
                    <w:autoSpaceDN w:val="0"/>
                    <w:ind w:left="596"/>
                    <w:rPr>
                      <w:rFonts w:cs="Arial"/>
                      <w:sz w:val="18"/>
                      <w:szCs w:val="18"/>
                    </w:rPr>
                  </w:pPr>
                  <w:r w:rsidRPr="001E3185">
                    <w:rPr>
                      <w:rFonts w:cs="Arial"/>
                      <w:sz w:val="18"/>
                      <w:szCs w:val="18"/>
                    </w:rPr>
                    <w:t>PBC</w:t>
                  </w:r>
                </w:p>
              </w:tc>
              <w:tc>
                <w:tcPr>
                  <w:tcW w:w="1695" w:type="dxa"/>
                  <w:vAlign w:val="center"/>
                </w:tcPr>
                <w:p w14:paraId="056DAF0C" w14:textId="77777777" w:rsidR="00692E71" w:rsidRPr="001E3185" w:rsidRDefault="00692E71" w:rsidP="008E0250">
                  <w:pPr>
                    <w:autoSpaceDE w:val="0"/>
                    <w:autoSpaceDN w:val="0"/>
                    <w:jc w:val="center"/>
                    <w:rPr>
                      <w:rFonts w:cs="Arial"/>
                      <w:sz w:val="18"/>
                      <w:szCs w:val="18"/>
                    </w:rPr>
                  </w:pPr>
                  <w:r w:rsidRPr="001E3185">
                    <w:rPr>
                      <w:rFonts w:cs="Arial"/>
                      <w:sz w:val="18"/>
                      <w:szCs w:val="18"/>
                    </w:rPr>
                    <w:t>2.14E-02</w:t>
                  </w:r>
                </w:p>
              </w:tc>
              <w:tc>
                <w:tcPr>
                  <w:tcW w:w="1627" w:type="dxa"/>
                  <w:vMerge/>
                </w:tcPr>
                <w:p w14:paraId="5BE106C5" w14:textId="77777777" w:rsidR="00692E71" w:rsidRPr="001E3185" w:rsidRDefault="00692E71" w:rsidP="008E0250">
                  <w:pPr>
                    <w:autoSpaceDE w:val="0"/>
                    <w:autoSpaceDN w:val="0"/>
                    <w:spacing w:before="120"/>
                    <w:rPr>
                      <w:rFonts w:cs="Arial"/>
                      <w:sz w:val="18"/>
                      <w:szCs w:val="18"/>
                    </w:rPr>
                  </w:pPr>
                </w:p>
              </w:tc>
            </w:tr>
            <w:tr w:rsidR="00692E71" w:rsidRPr="001E3185" w14:paraId="23C267EE" w14:textId="77777777" w:rsidTr="008E0250">
              <w:trPr>
                <w:trHeight w:val="283"/>
              </w:trPr>
              <w:tc>
                <w:tcPr>
                  <w:tcW w:w="4673" w:type="dxa"/>
                  <w:vAlign w:val="center"/>
                </w:tcPr>
                <w:p w14:paraId="078ECAAF" w14:textId="77777777" w:rsidR="00692E71" w:rsidRPr="001E3185" w:rsidRDefault="00692E71" w:rsidP="008E0250">
                  <w:pPr>
                    <w:autoSpaceDE w:val="0"/>
                    <w:autoSpaceDN w:val="0"/>
                    <w:ind w:left="596"/>
                    <w:rPr>
                      <w:rFonts w:cs="Arial"/>
                      <w:sz w:val="18"/>
                      <w:szCs w:val="18"/>
                    </w:rPr>
                  </w:pPr>
                  <w:r w:rsidRPr="001E3185">
                    <w:rPr>
                      <w:rFonts w:cs="Arial"/>
                      <w:sz w:val="18"/>
                      <w:szCs w:val="18"/>
                    </w:rPr>
                    <w:t>1,2,4-triazole</w:t>
                  </w:r>
                </w:p>
              </w:tc>
              <w:tc>
                <w:tcPr>
                  <w:tcW w:w="1695" w:type="dxa"/>
                  <w:vAlign w:val="center"/>
                </w:tcPr>
                <w:p w14:paraId="0C0256B2" w14:textId="77777777" w:rsidR="00692E71" w:rsidRPr="001E3185" w:rsidRDefault="00692E71" w:rsidP="008E0250">
                  <w:pPr>
                    <w:autoSpaceDE w:val="0"/>
                    <w:autoSpaceDN w:val="0"/>
                    <w:jc w:val="center"/>
                    <w:rPr>
                      <w:rFonts w:cs="Arial"/>
                      <w:sz w:val="18"/>
                      <w:szCs w:val="18"/>
                    </w:rPr>
                  </w:pPr>
                  <w:r w:rsidRPr="001E3185">
                    <w:rPr>
                      <w:rFonts w:cs="Arial"/>
                      <w:sz w:val="18"/>
                      <w:szCs w:val="18"/>
                    </w:rPr>
                    <w:t>1.48E-02</w:t>
                  </w:r>
                </w:p>
              </w:tc>
              <w:tc>
                <w:tcPr>
                  <w:tcW w:w="1627" w:type="dxa"/>
                  <w:vMerge/>
                </w:tcPr>
                <w:p w14:paraId="50C4AA34" w14:textId="77777777" w:rsidR="00692E71" w:rsidRPr="001E3185" w:rsidRDefault="00692E71" w:rsidP="008E0250">
                  <w:pPr>
                    <w:autoSpaceDE w:val="0"/>
                    <w:autoSpaceDN w:val="0"/>
                    <w:spacing w:before="120"/>
                    <w:rPr>
                      <w:rFonts w:cs="Arial"/>
                      <w:sz w:val="18"/>
                      <w:szCs w:val="18"/>
                    </w:rPr>
                  </w:pPr>
                </w:p>
              </w:tc>
            </w:tr>
            <w:tr w:rsidR="00692E71" w:rsidRPr="001E3185" w14:paraId="0E215893" w14:textId="77777777" w:rsidTr="008E0250">
              <w:trPr>
                <w:trHeight w:val="340"/>
              </w:trPr>
              <w:tc>
                <w:tcPr>
                  <w:tcW w:w="6368" w:type="dxa"/>
                  <w:gridSpan w:val="2"/>
                  <w:vAlign w:val="center"/>
                </w:tcPr>
                <w:p w14:paraId="7419E389" w14:textId="77777777" w:rsidR="00692E71" w:rsidRPr="001E3185" w:rsidRDefault="00692E71" w:rsidP="008E0250">
                  <w:pPr>
                    <w:autoSpaceDE w:val="0"/>
                    <w:autoSpaceDN w:val="0"/>
                    <w:rPr>
                      <w:rFonts w:cs="Arial"/>
                      <w:sz w:val="18"/>
                      <w:szCs w:val="18"/>
                    </w:rPr>
                  </w:pPr>
                  <w:r w:rsidRPr="001E3185">
                    <w:rPr>
                      <w:rFonts w:cs="Arial"/>
                      <w:i/>
                      <w:iCs/>
                      <w:sz w:val="18"/>
                      <w:szCs w:val="18"/>
                    </w:rPr>
                    <w:t>Q</w:t>
                  </w:r>
                  <w:r w:rsidRPr="001E3185">
                    <w:rPr>
                      <w:rFonts w:cs="Arial"/>
                      <w:i/>
                      <w:iCs/>
                      <w:sz w:val="18"/>
                      <w:szCs w:val="18"/>
                      <w:vertAlign w:val="subscript"/>
                    </w:rPr>
                    <w:t>leachstorage,time 2</w:t>
                  </w:r>
                </w:p>
              </w:tc>
              <w:tc>
                <w:tcPr>
                  <w:tcW w:w="1627" w:type="dxa"/>
                  <w:vMerge w:val="restart"/>
                  <w:vAlign w:val="center"/>
                </w:tcPr>
                <w:p w14:paraId="203AE2F3" w14:textId="77777777" w:rsidR="00692E71" w:rsidRPr="001E3185" w:rsidRDefault="00692E71" w:rsidP="008E0250">
                  <w:pPr>
                    <w:autoSpaceDE w:val="0"/>
                    <w:autoSpaceDN w:val="0"/>
                    <w:spacing w:before="120"/>
                    <w:jc w:val="center"/>
                    <w:rPr>
                      <w:rFonts w:cs="Arial"/>
                      <w:sz w:val="18"/>
                      <w:szCs w:val="18"/>
                    </w:rPr>
                  </w:pPr>
                  <w:r w:rsidRPr="001E3185">
                    <w:rPr>
                      <w:rFonts w:cs="Arial"/>
                      <w:sz w:val="18"/>
                      <w:szCs w:val="18"/>
                    </w:rPr>
                    <w:t>[kg]</w:t>
                  </w:r>
                </w:p>
              </w:tc>
            </w:tr>
            <w:tr w:rsidR="00692E71" w:rsidRPr="001E3185" w14:paraId="4EB1F609" w14:textId="77777777" w:rsidTr="008E0250">
              <w:trPr>
                <w:trHeight w:val="283"/>
              </w:trPr>
              <w:tc>
                <w:tcPr>
                  <w:tcW w:w="4673" w:type="dxa"/>
                  <w:vAlign w:val="center"/>
                </w:tcPr>
                <w:p w14:paraId="304FC024" w14:textId="77777777" w:rsidR="00692E71" w:rsidRPr="001E3185" w:rsidRDefault="00692E71" w:rsidP="008E0250">
                  <w:pPr>
                    <w:autoSpaceDE w:val="0"/>
                    <w:autoSpaceDN w:val="0"/>
                    <w:ind w:left="596"/>
                    <w:rPr>
                      <w:rFonts w:cs="Arial"/>
                      <w:sz w:val="18"/>
                      <w:szCs w:val="18"/>
                    </w:rPr>
                  </w:pPr>
                  <w:r w:rsidRPr="001E3185">
                    <w:rPr>
                      <w:rFonts w:cs="Arial"/>
                      <w:sz w:val="18"/>
                      <w:szCs w:val="18"/>
                    </w:rPr>
                    <w:t>Tebuconazole</w:t>
                  </w:r>
                </w:p>
              </w:tc>
              <w:tc>
                <w:tcPr>
                  <w:tcW w:w="1695" w:type="dxa"/>
                  <w:vAlign w:val="center"/>
                </w:tcPr>
                <w:p w14:paraId="7E8AFC84"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1.65E+01</w:t>
                  </w:r>
                </w:p>
              </w:tc>
              <w:tc>
                <w:tcPr>
                  <w:tcW w:w="1627" w:type="dxa"/>
                  <w:vMerge/>
                </w:tcPr>
                <w:p w14:paraId="3506532F" w14:textId="77777777" w:rsidR="00692E71" w:rsidRPr="001E3185" w:rsidRDefault="00692E71" w:rsidP="008E0250">
                  <w:pPr>
                    <w:autoSpaceDE w:val="0"/>
                    <w:autoSpaceDN w:val="0"/>
                    <w:spacing w:before="120"/>
                    <w:rPr>
                      <w:rFonts w:cs="Arial"/>
                      <w:sz w:val="18"/>
                      <w:szCs w:val="18"/>
                    </w:rPr>
                  </w:pPr>
                </w:p>
              </w:tc>
            </w:tr>
            <w:tr w:rsidR="00692E71" w:rsidRPr="001E3185" w14:paraId="554586FD" w14:textId="77777777" w:rsidTr="008E0250">
              <w:trPr>
                <w:trHeight w:val="283"/>
              </w:trPr>
              <w:tc>
                <w:tcPr>
                  <w:tcW w:w="4673" w:type="dxa"/>
                  <w:vAlign w:val="center"/>
                </w:tcPr>
                <w:p w14:paraId="1C388772" w14:textId="77777777" w:rsidR="00692E71" w:rsidRPr="001E3185" w:rsidRDefault="00692E71" w:rsidP="008E0250">
                  <w:pPr>
                    <w:autoSpaceDE w:val="0"/>
                    <w:autoSpaceDN w:val="0"/>
                    <w:ind w:left="596"/>
                    <w:rPr>
                      <w:rFonts w:cs="Arial"/>
                      <w:sz w:val="18"/>
                      <w:szCs w:val="18"/>
                    </w:rPr>
                  </w:pPr>
                  <w:r w:rsidRPr="001E3185">
                    <w:rPr>
                      <w:rFonts w:cs="Arial"/>
                      <w:sz w:val="18"/>
                      <w:szCs w:val="18"/>
                    </w:rPr>
                    <w:t>Propiconazole</w:t>
                  </w:r>
                </w:p>
              </w:tc>
              <w:tc>
                <w:tcPr>
                  <w:tcW w:w="1695" w:type="dxa"/>
                  <w:vAlign w:val="center"/>
                </w:tcPr>
                <w:p w14:paraId="3FB0E187"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3.74E+01</w:t>
                  </w:r>
                </w:p>
              </w:tc>
              <w:tc>
                <w:tcPr>
                  <w:tcW w:w="1627" w:type="dxa"/>
                  <w:vMerge/>
                </w:tcPr>
                <w:p w14:paraId="7FC8CBF6" w14:textId="77777777" w:rsidR="00692E71" w:rsidRPr="001E3185" w:rsidRDefault="00692E71" w:rsidP="008E0250">
                  <w:pPr>
                    <w:autoSpaceDE w:val="0"/>
                    <w:autoSpaceDN w:val="0"/>
                    <w:spacing w:before="120"/>
                    <w:rPr>
                      <w:rFonts w:cs="Arial"/>
                      <w:sz w:val="18"/>
                      <w:szCs w:val="18"/>
                    </w:rPr>
                  </w:pPr>
                </w:p>
              </w:tc>
            </w:tr>
            <w:tr w:rsidR="00692E71" w:rsidRPr="001E3185" w14:paraId="59C1E5D3" w14:textId="77777777" w:rsidTr="008E0250">
              <w:trPr>
                <w:trHeight w:val="283"/>
              </w:trPr>
              <w:tc>
                <w:tcPr>
                  <w:tcW w:w="4673" w:type="dxa"/>
                  <w:vAlign w:val="center"/>
                </w:tcPr>
                <w:p w14:paraId="67588408" w14:textId="77777777" w:rsidR="00692E71" w:rsidRPr="001E3185" w:rsidRDefault="00692E71" w:rsidP="008E0250">
                  <w:pPr>
                    <w:autoSpaceDE w:val="0"/>
                    <w:autoSpaceDN w:val="0"/>
                    <w:ind w:left="596"/>
                    <w:rPr>
                      <w:rFonts w:cs="Arial"/>
                      <w:sz w:val="18"/>
                      <w:szCs w:val="18"/>
                    </w:rPr>
                  </w:pPr>
                  <w:r w:rsidRPr="001E3185">
                    <w:rPr>
                      <w:rFonts w:cs="Arial"/>
                      <w:sz w:val="18"/>
                      <w:szCs w:val="18"/>
                    </w:rPr>
                    <w:t>Cypermethrin</w:t>
                  </w:r>
                </w:p>
              </w:tc>
              <w:tc>
                <w:tcPr>
                  <w:tcW w:w="1695" w:type="dxa"/>
                  <w:vAlign w:val="center"/>
                </w:tcPr>
                <w:p w14:paraId="49CE04DE"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1.58E-01</w:t>
                  </w:r>
                </w:p>
              </w:tc>
              <w:tc>
                <w:tcPr>
                  <w:tcW w:w="1627" w:type="dxa"/>
                  <w:vMerge/>
                </w:tcPr>
                <w:p w14:paraId="7F9D89F1" w14:textId="77777777" w:rsidR="00692E71" w:rsidRPr="001E3185" w:rsidRDefault="00692E71" w:rsidP="008E0250">
                  <w:pPr>
                    <w:autoSpaceDE w:val="0"/>
                    <w:autoSpaceDN w:val="0"/>
                    <w:spacing w:before="120"/>
                    <w:rPr>
                      <w:rFonts w:cs="Arial"/>
                      <w:sz w:val="18"/>
                      <w:szCs w:val="18"/>
                    </w:rPr>
                  </w:pPr>
                </w:p>
              </w:tc>
            </w:tr>
            <w:tr w:rsidR="00692E71" w:rsidRPr="001E3185" w14:paraId="4A425322" w14:textId="77777777" w:rsidTr="008E0250">
              <w:trPr>
                <w:trHeight w:val="283"/>
              </w:trPr>
              <w:tc>
                <w:tcPr>
                  <w:tcW w:w="4673" w:type="dxa"/>
                  <w:vAlign w:val="center"/>
                </w:tcPr>
                <w:p w14:paraId="7E9AB27B" w14:textId="77777777" w:rsidR="00692E71" w:rsidRPr="001E3185" w:rsidRDefault="00692E71" w:rsidP="008E0250">
                  <w:pPr>
                    <w:autoSpaceDE w:val="0"/>
                    <w:autoSpaceDN w:val="0"/>
                    <w:ind w:left="596"/>
                    <w:rPr>
                      <w:rFonts w:cs="Arial"/>
                      <w:sz w:val="18"/>
                      <w:szCs w:val="18"/>
                    </w:rPr>
                  </w:pPr>
                  <w:r w:rsidRPr="001E3185">
                    <w:rPr>
                      <w:rFonts w:cs="Arial"/>
                      <w:sz w:val="18"/>
                      <w:szCs w:val="18"/>
                    </w:rPr>
                    <w:t>IPBC</w:t>
                  </w:r>
                </w:p>
              </w:tc>
              <w:tc>
                <w:tcPr>
                  <w:tcW w:w="1695" w:type="dxa"/>
                  <w:vAlign w:val="center"/>
                </w:tcPr>
                <w:p w14:paraId="0FBE08EE"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9.44E+00</w:t>
                  </w:r>
                </w:p>
              </w:tc>
              <w:tc>
                <w:tcPr>
                  <w:tcW w:w="1627" w:type="dxa"/>
                  <w:vMerge/>
                </w:tcPr>
                <w:p w14:paraId="086949D6" w14:textId="77777777" w:rsidR="00692E71" w:rsidRPr="001E3185" w:rsidRDefault="00692E71" w:rsidP="008E0250">
                  <w:pPr>
                    <w:autoSpaceDE w:val="0"/>
                    <w:autoSpaceDN w:val="0"/>
                    <w:spacing w:before="120"/>
                    <w:rPr>
                      <w:rFonts w:cs="Arial"/>
                      <w:sz w:val="18"/>
                      <w:szCs w:val="18"/>
                    </w:rPr>
                  </w:pPr>
                </w:p>
              </w:tc>
            </w:tr>
            <w:tr w:rsidR="00692E71" w:rsidRPr="001E3185" w14:paraId="24138B54" w14:textId="77777777" w:rsidTr="008E0250">
              <w:trPr>
                <w:trHeight w:val="283"/>
              </w:trPr>
              <w:tc>
                <w:tcPr>
                  <w:tcW w:w="4673" w:type="dxa"/>
                  <w:vAlign w:val="center"/>
                </w:tcPr>
                <w:p w14:paraId="6D7C28A0" w14:textId="77777777" w:rsidR="00692E71" w:rsidRPr="001E3185" w:rsidRDefault="00692E71" w:rsidP="008E0250">
                  <w:pPr>
                    <w:autoSpaceDE w:val="0"/>
                    <w:autoSpaceDN w:val="0"/>
                    <w:ind w:left="596"/>
                    <w:rPr>
                      <w:rFonts w:cs="Arial"/>
                      <w:sz w:val="18"/>
                      <w:szCs w:val="18"/>
                    </w:rPr>
                  </w:pPr>
                  <w:r w:rsidRPr="001E3185">
                    <w:rPr>
                      <w:rFonts w:cs="Arial"/>
                      <w:sz w:val="18"/>
                      <w:szCs w:val="18"/>
                    </w:rPr>
                    <w:t>PBC</w:t>
                  </w:r>
                </w:p>
              </w:tc>
              <w:tc>
                <w:tcPr>
                  <w:tcW w:w="1695" w:type="dxa"/>
                  <w:vAlign w:val="center"/>
                </w:tcPr>
                <w:p w14:paraId="4F2F63D5"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5.21E+00</w:t>
                  </w:r>
                </w:p>
              </w:tc>
              <w:tc>
                <w:tcPr>
                  <w:tcW w:w="1627" w:type="dxa"/>
                  <w:vMerge/>
                </w:tcPr>
                <w:p w14:paraId="6815B6D2" w14:textId="77777777" w:rsidR="00692E71" w:rsidRPr="001E3185" w:rsidRDefault="00692E71" w:rsidP="008E0250">
                  <w:pPr>
                    <w:autoSpaceDE w:val="0"/>
                    <w:autoSpaceDN w:val="0"/>
                    <w:spacing w:before="120"/>
                    <w:rPr>
                      <w:rFonts w:cs="Arial"/>
                      <w:sz w:val="18"/>
                      <w:szCs w:val="18"/>
                    </w:rPr>
                  </w:pPr>
                </w:p>
              </w:tc>
            </w:tr>
            <w:tr w:rsidR="00692E71" w:rsidRPr="001E3185" w14:paraId="79018395" w14:textId="77777777" w:rsidTr="008E0250">
              <w:trPr>
                <w:trHeight w:val="283"/>
              </w:trPr>
              <w:tc>
                <w:tcPr>
                  <w:tcW w:w="4673" w:type="dxa"/>
                  <w:vAlign w:val="center"/>
                </w:tcPr>
                <w:p w14:paraId="1CD4E4B8" w14:textId="77777777" w:rsidR="00692E71" w:rsidRPr="001E3185" w:rsidRDefault="00692E71" w:rsidP="008E0250">
                  <w:pPr>
                    <w:autoSpaceDE w:val="0"/>
                    <w:autoSpaceDN w:val="0"/>
                    <w:ind w:left="596"/>
                    <w:rPr>
                      <w:rFonts w:cs="Arial"/>
                      <w:sz w:val="18"/>
                      <w:szCs w:val="18"/>
                    </w:rPr>
                  </w:pPr>
                  <w:r w:rsidRPr="001E3185">
                    <w:rPr>
                      <w:rFonts w:cs="Arial"/>
                      <w:sz w:val="18"/>
                      <w:szCs w:val="18"/>
                    </w:rPr>
                    <w:t>1,2,4-triazole</w:t>
                  </w:r>
                </w:p>
              </w:tc>
              <w:tc>
                <w:tcPr>
                  <w:tcW w:w="1695" w:type="dxa"/>
                  <w:vAlign w:val="center"/>
                </w:tcPr>
                <w:p w14:paraId="2E571A19"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3.60E+00</w:t>
                  </w:r>
                </w:p>
              </w:tc>
              <w:tc>
                <w:tcPr>
                  <w:tcW w:w="1627" w:type="dxa"/>
                  <w:vMerge/>
                </w:tcPr>
                <w:p w14:paraId="5E90EDD9" w14:textId="77777777" w:rsidR="00692E71" w:rsidRPr="001E3185" w:rsidRDefault="00692E71" w:rsidP="008E0250">
                  <w:pPr>
                    <w:autoSpaceDE w:val="0"/>
                    <w:autoSpaceDN w:val="0"/>
                    <w:spacing w:before="120"/>
                    <w:rPr>
                      <w:rFonts w:cs="Arial"/>
                      <w:sz w:val="18"/>
                      <w:szCs w:val="18"/>
                    </w:rPr>
                  </w:pPr>
                </w:p>
              </w:tc>
            </w:tr>
            <w:tr w:rsidR="00692E71" w:rsidRPr="001E3185" w14:paraId="17DFA213" w14:textId="77777777" w:rsidTr="008E0250">
              <w:trPr>
                <w:trHeight w:val="340"/>
              </w:trPr>
              <w:tc>
                <w:tcPr>
                  <w:tcW w:w="6368" w:type="dxa"/>
                  <w:gridSpan w:val="2"/>
                  <w:vAlign w:val="center"/>
                </w:tcPr>
                <w:p w14:paraId="4A21DE98" w14:textId="77777777" w:rsidR="00692E71" w:rsidRPr="001E3185" w:rsidRDefault="00692E71" w:rsidP="008E0250">
                  <w:pPr>
                    <w:autoSpaceDE w:val="0"/>
                    <w:autoSpaceDN w:val="0"/>
                    <w:rPr>
                      <w:rFonts w:cs="Arial"/>
                      <w:sz w:val="18"/>
                      <w:szCs w:val="18"/>
                    </w:rPr>
                  </w:pPr>
                  <w:r w:rsidRPr="001E3185">
                    <w:rPr>
                      <w:rFonts w:cs="Arial"/>
                      <w:i/>
                      <w:iCs/>
                      <w:sz w:val="18"/>
                      <w:szCs w:val="18"/>
                    </w:rPr>
                    <w:t>Elocal</w:t>
                  </w:r>
                  <w:r w:rsidRPr="001E3185">
                    <w:rPr>
                      <w:rFonts w:cs="Arial"/>
                      <w:i/>
                      <w:iCs/>
                      <w:sz w:val="18"/>
                      <w:szCs w:val="18"/>
                      <w:vertAlign w:val="subscript"/>
                    </w:rPr>
                    <w:t>surfacewater,time1</w:t>
                  </w:r>
                </w:p>
              </w:tc>
              <w:tc>
                <w:tcPr>
                  <w:tcW w:w="1627" w:type="dxa"/>
                  <w:vMerge w:val="restart"/>
                  <w:vAlign w:val="center"/>
                </w:tcPr>
                <w:p w14:paraId="1065439D" w14:textId="77777777" w:rsidR="00692E71" w:rsidRPr="001E3185" w:rsidRDefault="00692E71" w:rsidP="008E0250">
                  <w:pPr>
                    <w:autoSpaceDE w:val="0"/>
                    <w:autoSpaceDN w:val="0"/>
                    <w:spacing w:before="120"/>
                    <w:jc w:val="center"/>
                    <w:rPr>
                      <w:rFonts w:cs="Arial"/>
                      <w:sz w:val="18"/>
                      <w:szCs w:val="18"/>
                    </w:rPr>
                  </w:pPr>
                  <w:r w:rsidRPr="001E3185">
                    <w:rPr>
                      <w:rFonts w:cs="Arial"/>
                      <w:sz w:val="18"/>
                      <w:szCs w:val="18"/>
                    </w:rPr>
                    <w:t>[kg.d</w:t>
                  </w:r>
                  <w:r w:rsidRPr="001E3185">
                    <w:rPr>
                      <w:rFonts w:cs="Arial"/>
                      <w:sz w:val="18"/>
                      <w:szCs w:val="18"/>
                      <w:vertAlign w:val="superscript"/>
                    </w:rPr>
                    <w:t>-1</w:t>
                  </w:r>
                  <w:r w:rsidRPr="001E3185">
                    <w:rPr>
                      <w:rFonts w:cs="Arial"/>
                      <w:sz w:val="18"/>
                      <w:szCs w:val="18"/>
                    </w:rPr>
                    <w:t>]</w:t>
                  </w:r>
                </w:p>
              </w:tc>
            </w:tr>
            <w:tr w:rsidR="00692E71" w:rsidRPr="001E3185" w14:paraId="04257C04" w14:textId="77777777" w:rsidTr="008E0250">
              <w:trPr>
                <w:trHeight w:val="283"/>
              </w:trPr>
              <w:tc>
                <w:tcPr>
                  <w:tcW w:w="4673" w:type="dxa"/>
                  <w:vAlign w:val="center"/>
                </w:tcPr>
                <w:p w14:paraId="795963AD" w14:textId="77777777" w:rsidR="00692E71" w:rsidRPr="001E3185" w:rsidRDefault="00692E71" w:rsidP="008E0250">
                  <w:pPr>
                    <w:autoSpaceDE w:val="0"/>
                    <w:autoSpaceDN w:val="0"/>
                    <w:ind w:left="596"/>
                    <w:rPr>
                      <w:rFonts w:cs="Arial"/>
                      <w:sz w:val="18"/>
                      <w:szCs w:val="18"/>
                    </w:rPr>
                  </w:pPr>
                  <w:r w:rsidRPr="001E3185">
                    <w:rPr>
                      <w:rFonts w:cs="Arial"/>
                      <w:sz w:val="18"/>
                      <w:szCs w:val="18"/>
                    </w:rPr>
                    <w:t>Tebuconazole</w:t>
                  </w:r>
                </w:p>
              </w:tc>
              <w:tc>
                <w:tcPr>
                  <w:tcW w:w="1695" w:type="dxa"/>
                  <w:vAlign w:val="center"/>
                </w:tcPr>
                <w:p w14:paraId="7551ED90" w14:textId="77777777" w:rsidR="00692E71" w:rsidRPr="001E3185" w:rsidRDefault="00692E71" w:rsidP="008E0250">
                  <w:pPr>
                    <w:autoSpaceDE w:val="0"/>
                    <w:autoSpaceDN w:val="0"/>
                    <w:jc w:val="center"/>
                    <w:rPr>
                      <w:rFonts w:cs="Arial"/>
                      <w:sz w:val="18"/>
                      <w:szCs w:val="18"/>
                    </w:rPr>
                  </w:pPr>
                  <w:r w:rsidRPr="001E3185">
                    <w:rPr>
                      <w:rFonts w:cs="Arial"/>
                      <w:sz w:val="18"/>
                      <w:szCs w:val="18"/>
                    </w:rPr>
                    <w:t>1.13E-03</w:t>
                  </w:r>
                </w:p>
              </w:tc>
              <w:tc>
                <w:tcPr>
                  <w:tcW w:w="1627" w:type="dxa"/>
                  <w:vMerge/>
                </w:tcPr>
                <w:p w14:paraId="6313A81E" w14:textId="77777777" w:rsidR="00692E71" w:rsidRPr="001E3185" w:rsidRDefault="00692E71" w:rsidP="008E0250">
                  <w:pPr>
                    <w:autoSpaceDE w:val="0"/>
                    <w:autoSpaceDN w:val="0"/>
                    <w:spacing w:before="120"/>
                    <w:rPr>
                      <w:rFonts w:cs="Arial"/>
                      <w:sz w:val="18"/>
                      <w:szCs w:val="18"/>
                    </w:rPr>
                  </w:pPr>
                </w:p>
              </w:tc>
            </w:tr>
            <w:tr w:rsidR="00692E71" w:rsidRPr="001E3185" w14:paraId="27968E51" w14:textId="77777777" w:rsidTr="008E0250">
              <w:trPr>
                <w:trHeight w:val="283"/>
              </w:trPr>
              <w:tc>
                <w:tcPr>
                  <w:tcW w:w="4673" w:type="dxa"/>
                  <w:vAlign w:val="center"/>
                </w:tcPr>
                <w:p w14:paraId="2D135542" w14:textId="77777777" w:rsidR="00692E71" w:rsidRPr="001E3185" w:rsidRDefault="00692E71" w:rsidP="008E0250">
                  <w:pPr>
                    <w:autoSpaceDE w:val="0"/>
                    <w:autoSpaceDN w:val="0"/>
                    <w:ind w:left="596"/>
                    <w:rPr>
                      <w:rFonts w:cs="Arial"/>
                      <w:sz w:val="18"/>
                      <w:szCs w:val="18"/>
                    </w:rPr>
                  </w:pPr>
                  <w:r w:rsidRPr="001E3185">
                    <w:rPr>
                      <w:rFonts w:cs="Arial"/>
                      <w:sz w:val="18"/>
                      <w:szCs w:val="18"/>
                    </w:rPr>
                    <w:t>Propiconazole</w:t>
                  </w:r>
                </w:p>
              </w:tc>
              <w:tc>
                <w:tcPr>
                  <w:tcW w:w="1695" w:type="dxa"/>
                  <w:vAlign w:val="center"/>
                </w:tcPr>
                <w:p w14:paraId="59BA9A78" w14:textId="77777777" w:rsidR="00692E71" w:rsidRPr="001E3185" w:rsidRDefault="00692E71" w:rsidP="008E0250">
                  <w:pPr>
                    <w:autoSpaceDE w:val="0"/>
                    <w:autoSpaceDN w:val="0"/>
                    <w:jc w:val="center"/>
                    <w:rPr>
                      <w:rFonts w:cs="Arial"/>
                      <w:sz w:val="18"/>
                      <w:szCs w:val="18"/>
                    </w:rPr>
                  </w:pPr>
                  <w:r w:rsidRPr="001E3185">
                    <w:rPr>
                      <w:rFonts w:cs="Arial"/>
                      <w:sz w:val="18"/>
                      <w:szCs w:val="18"/>
                    </w:rPr>
                    <w:t>2.56E-03</w:t>
                  </w:r>
                </w:p>
              </w:tc>
              <w:tc>
                <w:tcPr>
                  <w:tcW w:w="1627" w:type="dxa"/>
                  <w:vMerge/>
                </w:tcPr>
                <w:p w14:paraId="66C4D119" w14:textId="77777777" w:rsidR="00692E71" w:rsidRPr="001E3185" w:rsidRDefault="00692E71" w:rsidP="008E0250">
                  <w:pPr>
                    <w:autoSpaceDE w:val="0"/>
                    <w:autoSpaceDN w:val="0"/>
                    <w:spacing w:before="120"/>
                    <w:rPr>
                      <w:rFonts w:cs="Arial"/>
                      <w:sz w:val="18"/>
                      <w:szCs w:val="18"/>
                    </w:rPr>
                  </w:pPr>
                </w:p>
              </w:tc>
            </w:tr>
            <w:tr w:rsidR="00692E71" w:rsidRPr="001E3185" w14:paraId="3BF7D1B3" w14:textId="77777777" w:rsidTr="008E0250">
              <w:trPr>
                <w:trHeight w:val="283"/>
              </w:trPr>
              <w:tc>
                <w:tcPr>
                  <w:tcW w:w="4673" w:type="dxa"/>
                  <w:vAlign w:val="center"/>
                </w:tcPr>
                <w:p w14:paraId="55DE71EC" w14:textId="77777777" w:rsidR="00692E71" w:rsidRPr="001E3185" w:rsidRDefault="00692E71" w:rsidP="008E0250">
                  <w:pPr>
                    <w:autoSpaceDE w:val="0"/>
                    <w:autoSpaceDN w:val="0"/>
                    <w:ind w:left="596"/>
                    <w:rPr>
                      <w:rFonts w:cs="Arial"/>
                      <w:sz w:val="18"/>
                      <w:szCs w:val="18"/>
                    </w:rPr>
                  </w:pPr>
                  <w:r w:rsidRPr="001E3185">
                    <w:rPr>
                      <w:rFonts w:cs="Arial"/>
                      <w:sz w:val="18"/>
                      <w:szCs w:val="18"/>
                    </w:rPr>
                    <w:t>Cypermethrin</w:t>
                  </w:r>
                </w:p>
              </w:tc>
              <w:tc>
                <w:tcPr>
                  <w:tcW w:w="1695" w:type="dxa"/>
                  <w:vAlign w:val="center"/>
                </w:tcPr>
                <w:p w14:paraId="51C542ED" w14:textId="77777777" w:rsidR="00692E71" w:rsidRPr="001E3185" w:rsidRDefault="00692E71" w:rsidP="008E0250">
                  <w:pPr>
                    <w:autoSpaceDE w:val="0"/>
                    <w:autoSpaceDN w:val="0"/>
                    <w:jc w:val="center"/>
                    <w:rPr>
                      <w:rFonts w:cs="Arial"/>
                      <w:sz w:val="18"/>
                      <w:szCs w:val="18"/>
                    </w:rPr>
                  </w:pPr>
                  <w:r w:rsidRPr="001E3185">
                    <w:rPr>
                      <w:rFonts w:cs="Arial"/>
                      <w:sz w:val="18"/>
                      <w:szCs w:val="18"/>
                    </w:rPr>
                    <w:t>1.08E-05</w:t>
                  </w:r>
                </w:p>
              </w:tc>
              <w:tc>
                <w:tcPr>
                  <w:tcW w:w="1627" w:type="dxa"/>
                  <w:vMerge/>
                </w:tcPr>
                <w:p w14:paraId="17A54FEC" w14:textId="77777777" w:rsidR="00692E71" w:rsidRPr="001E3185" w:rsidRDefault="00692E71" w:rsidP="008E0250">
                  <w:pPr>
                    <w:autoSpaceDE w:val="0"/>
                    <w:autoSpaceDN w:val="0"/>
                    <w:spacing w:before="120"/>
                    <w:rPr>
                      <w:rFonts w:cs="Arial"/>
                      <w:sz w:val="18"/>
                      <w:szCs w:val="18"/>
                    </w:rPr>
                  </w:pPr>
                </w:p>
              </w:tc>
            </w:tr>
            <w:tr w:rsidR="00692E71" w:rsidRPr="001E3185" w14:paraId="2064A735" w14:textId="77777777" w:rsidTr="008E0250">
              <w:trPr>
                <w:trHeight w:val="283"/>
              </w:trPr>
              <w:tc>
                <w:tcPr>
                  <w:tcW w:w="4673" w:type="dxa"/>
                  <w:vAlign w:val="center"/>
                </w:tcPr>
                <w:p w14:paraId="2D348603" w14:textId="77777777" w:rsidR="00692E71" w:rsidRPr="001E3185" w:rsidRDefault="00692E71" w:rsidP="008E0250">
                  <w:pPr>
                    <w:autoSpaceDE w:val="0"/>
                    <w:autoSpaceDN w:val="0"/>
                    <w:ind w:left="596"/>
                    <w:rPr>
                      <w:rFonts w:cs="Arial"/>
                      <w:sz w:val="18"/>
                      <w:szCs w:val="18"/>
                    </w:rPr>
                  </w:pPr>
                  <w:r w:rsidRPr="001E3185">
                    <w:rPr>
                      <w:rFonts w:cs="Arial"/>
                      <w:sz w:val="18"/>
                      <w:szCs w:val="18"/>
                    </w:rPr>
                    <w:t>IPBC</w:t>
                  </w:r>
                </w:p>
              </w:tc>
              <w:tc>
                <w:tcPr>
                  <w:tcW w:w="1695" w:type="dxa"/>
                  <w:vAlign w:val="center"/>
                </w:tcPr>
                <w:p w14:paraId="5305ED97" w14:textId="77777777" w:rsidR="00692E71" w:rsidRPr="001E3185" w:rsidRDefault="00692E71" w:rsidP="008E0250">
                  <w:pPr>
                    <w:autoSpaceDE w:val="0"/>
                    <w:autoSpaceDN w:val="0"/>
                    <w:jc w:val="center"/>
                    <w:rPr>
                      <w:rFonts w:cs="Arial"/>
                      <w:sz w:val="18"/>
                      <w:szCs w:val="18"/>
                    </w:rPr>
                  </w:pPr>
                  <w:r w:rsidRPr="001E3185">
                    <w:rPr>
                      <w:rFonts w:cs="Arial"/>
                      <w:sz w:val="18"/>
                      <w:szCs w:val="18"/>
                    </w:rPr>
                    <w:t>6.47E-04</w:t>
                  </w:r>
                </w:p>
              </w:tc>
              <w:tc>
                <w:tcPr>
                  <w:tcW w:w="1627" w:type="dxa"/>
                  <w:vMerge/>
                </w:tcPr>
                <w:p w14:paraId="2578A528" w14:textId="77777777" w:rsidR="00692E71" w:rsidRPr="001E3185" w:rsidRDefault="00692E71" w:rsidP="008E0250">
                  <w:pPr>
                    <w:autoSpaceDE w:val="0"/>
                    <w:autoSpaceDN w:val="0"/>
                    <w:spacing w:before="120"/>
                    <w:rPr>
                      <w:rFonts w:cs="Arial"/>
                      <w:sz w:val="18"/>
                      <w:szCs w:val="18"/>
                    </w:rPr>
                  </w:pPr>
                </w:p>
              </w:tc>
            </w:tr>
            <w:tr w:rsidR="00692E71" w:rsidRPr="001E3185" w14:paraId="14824DFF" w14:textId="77777777" w:rsidTr="008E0250">
              <w:trPr>
                <w:trHeight w:val="283"/>
              </w:trPr>
              <w:tc>
                <w:tcPr>
                  <w:tcW w:w="4673" w:type="dxa"/>
                  <w:vAlign w:val="center"/>
                </w:tcPr>
                <w:p w14:paraId="506F4E28" w14:textId="77777777" w:rsidR="00692E71" w:rsidRPr="001E3185" w:rsidRDefault="00692E71" w:rsidP="008E0250">
                  <w:pPr>
                    <w:autoSpaceDE w:val="0"/>
                    <w:autoSpaceDN w:val="0"/>
                    <w:ind w:left="596"/>
                    <w:rPr>
                      <w:rFonts w:cs="Arial"/>
                      <w:sz w:val="18"/>
                      <w:szCs w:val="18"/>
                    </w:rPr>
                  </w:pPr>
                  <w:r w:rsidRPr="001E3185">
                    <w:rPr>
                      <w:rFonts w:cs="Arial"/>
                      <w:sz w:val="18"/>
                      <w:szCs w:val="18"/>
                    </w:rPr>
                    <w:t>PBC</w:t>
                  </w:r>
                </w:p>
              </w:tc>
              <w:tc>
                <w:tcPr>
                  <w:tcW w:w="1695" w:type="dxa"/>
                  <w:vAlign w:val="center"/>
                </w:tcPr>
                <w:p w14:paraId="59162D52" w14:textId="77777777" w:rsidR="00692E71" w:rsidRPr="001E3185" w:rsidRDefault="00692E71" w:rsidP="008E0250">
                  <w:pPr>
                    <w:autoSpaceDE w:val="0"/>
                    <w:autoSpaceDN w:val="0"/>
                    <w:jc w:val="center"/>
                    <w:rPr>
                      <w:rFonts w:cs="Arial"/>
                      <w:sz w:val="18"/>
                      <w:szCs w:val="18"/>
                    </w:rPr>
                  </w:pPr>
                  <w:r w:rsidRPr="001E3185">
                    <w:rPr>
                      <w:rFonts w:cs="Arial"/>
                      <w:sz w:val="18"/>
                      <w:szCs w:val="18"/>
                    </w:rPr>
                    <w:t>3.57E-04</w:t>
                  </w:r>
                </w:p>
              </w:tc>
              <w:tc>
                <w:tcPr>
                  <w:tcW w:w="1627" w:type="dxa"/>
                  <w:vMerge/>
                </w:tcPr>
                <w:p w14:paraId="42D585FF" w14:textId="77777777" w:rsidR="00692E71" w:rsidRPr="001E3185" w:rsidRDefault="00692E71" w:rsidP="008E0250">
                  <w:pPr>
                    <w:autoSpaceDE w:val="0"/>
                    <w:autoSpaceDN w:val="0"/>
                    <w:spacing w:before="120"/>
                    <w:rPr>
                      <w:rFonts w:cs="Arial"/>
                      <w:sz w:val="18"/>
                      <w:szCs w:val="18"/>
                    </w:rPr>
                  </w:pPr>
                </w:p>
              </w:tc>
            </w:tr>
          </w:tbl>
          <w:p w14:paraId="65F6F89D" w14:textId="77777777" w:rsidR="00692E71" w:rsidRPr="001E3185" w:rsidRDefault="00692E71" w:rsidP="008E0250">
            <w:pPr>
              <w:autoSpaceDE w:val="0"/>
              <w:autoSpaceDN w:val="0"/>
              <w:spacing w:line="276" w:lineRule="auto"/>
              <w:rPr>
                <w:rFonts w:cs="Arial"/>
              </w:rPr>
            </w:pPr>
          </w:p>
          <w:p w14:paraId="4EAC9C17" w14:textId="77777777" w:rsidR="00692E71" w:rsidRPr="001E3185" w:rsidRDefault="00692E71" w:rsidP="008E0250">
            <w:pPr>
              <w:autoSpaceDE w:val="0"/>
              <w:autoSpaceDN w:val="0"/>
              <w:spacing w:line="276" w:lineRule="auto"/>
              <w:rPr>
                <w:rFonts w:cs="Arial"/>
              </w:rPr>
            </w:pPr>
          </w:p>
          <w:p w14:paraId="4EECFE43" w14:textId="77777777" w:rsidR="00692E71" w:rsidRPr="001E3185" w:rsidRDefault="00692E71" w:rsidP="00F32B7F">
            <w:pPr>
              <w:pStyle w:val="Lgende"/>
              <w:numPr>
                <w:ilvl w:val="0"/>
                <w:numId w:val="18"/>
              </w:numPr>
              <w:suppressAutoHyphens w:val="0"/>
              <w:spacing w:after="200"/>
              <w:rPr>
                <w:rFonts w:ascii="Verdana" w:hAnsi="Verdana"/>
              </w:rPr>
            </w:pPr>
            <w:r w:rsidRPr="001E3185">
              <w:rPr>
                <w:rFonts w:ascii="Verdana" w:hAnsi="Verdana"/>
              </w:rPr>
              <w:t>Estimation of emissions - In-situ application</w:t>
            </w:r>
          </w:p>
          <w:p w14:paraId="74E33D5C" w14:textId="77777777" w:rsidR="00692E71" w:rsidRPr="001E3185" w:rsidRDefault="00692E71" w:rsidP="008E0250">
            <w:pPr>
              <w:autoSpaceDE w:val="0"/>
              <w:autoSpaceDN w:val="0"/>
              <w:spacing w:before="120" w:after="240" w:line="276" w:lineRule="auto"/>
              <w:rPr>
                <w:rFonts w:cs="Arial"/>
              </w:rPr>
            </w:pPr>
            <w:r w:rsidRPr="001E3185">
              <w:rPr>
                <w:rFonts w:cs="Arial"/>
              </w:rPr>
              <w:t>FR-CA agrees with the registrant’s inputs used for the estimation of releases from brush and spray application of the product according to the “house” scenario described in the PT08-ESD, except for the input “content of active substance in the product”, expressed in pure active substance instead of technical active substance.</w:t>
            </w:r>
          </w:p>
          <w:tbl>
            <w:tblPr>
              <w:tblW w:w="0" w:type="auto"/>
              <w:tblLook w:val="04A0" w:firstRow="1" w:lastRow="0" w:firstColumn="1" w:lastColumn="0" w:noHBand="0" w:noVBand="1"/>
            </w:tblPr>
            <w:tblGrid>
              <w:gridCol w:w="3113"/>
              <w:gridCol w:w="1627"/>
              <w:gridCol w:w="1627"/>
              <w:gridCol w:w="1627"/>
              <w:gridCol w:w="1627"/>
            </w:tblGrid>
            <w:tr w:rsidR="00692E71" w:rsidRPr="001E3185" w14:paraId="38BC30CD" w14:textId="77777777" w:rsidTr="008E0250">
              <w:trPr>
                <w:trHeight w:val="410"/>
              </w:trPr>
              <w:tc>
                <w:tcPr>
                  <w:tcW w:w="3114" w:type="dxa"/>
                </w:tcPr>
                <w:p w14:paraId="4CB5D746" w14:textId="77777777" w:rsidR="00692E71" w:rsidRPr="001E3185" w:rsidRDefault="00692E71" w:rsidP="008E0250">
                  <w:pPr>
                    <w:autoSpaceDE w:val="0"/>
                    <w:autoSpaceDN w:val="0"/>
                    <w:spacing w:before="120"/>
                    <w:rPr>
                      <w:rFonts w:cs="Arial"/>
                    </w:rPr>
                  </w:pPr>
                  <w:r w:rsidRPr="001E3185">
                    <w:rPr>
                      <w:rFonts w:cs="Arial"/>
                    </w:rPr>
                    <w:t>Expression of the active substance’s content</w:t>
                  </w:r>
                </w:p>
              </w:tc>
              <w:tc>
                <w:tcPr>
                  <w:tcW w:w="1627" w:type="dxa"/>
                  <w:vAlign w:val="center"/>
                </w:tcPr>
                <w:p w14:paraId="77108526" w14:textId="77777777" w:rsidR="00692E71" w:rsidRPr="001E3185" w:rsidRDefault="00692E71" w:rsidP="008E0250">
                  <w:pPr>
                    <w:autoSpaceDE w:val="0"/>
                    <w:autoSpaceDN w:val="0"/>
                    <w:jc w:val="center"/>
                    <w:rPr>
                      <w:rFonts w:cs="Arial"/>
                      <w:sz w:val="18"/>
                      <w:szCs w:val="18"/>
                    </w:rPr>
                  </w:pPr>
                  <w:r w:rsidRPr="001E3185">
                    <w:rPr>
                      <w:rFonts w:cs="Arial"/>
                      <w:sz w:val="18"/>
                      <w:szCs w:val="18"/>
                    </w:rPr>
                    <w:t>Cypermethrin</w:t>
                  </w:r>
                </w:p>
              </w:tc>
              <w:tc>
                <w:tcPr>
                  <w:tcW w:w="1627" w:type="dxa"/>
                  <w:vAlign w:val="center"/>
                </w:tcPr>
                <w:p w14:paraId="4FD0F226" w14:textId="77777777" w:rsidR="00692E71" w:rsidRPr="001E3185" w:rsidRDefault="00692E71" w:rsidP="008E0250">
                  <w:pPr>
                    <w:autoSpaceDE w:val="0"/>
                    <w:autoSpaceDN w:val="0"/>
                    <w:jc w:val="center"/>
                    <w:rPr>
                      <w:rFonts w:cs="Arial"/>
                      <w:sz w:val="18"/>
                      <w:szCs w:val="18"/>
                    </w:rPr>
                  </w:pPr>
                  <w:r w:rsidRPr="001E3185">
                    <w:rPr>
                      <w:rFonts w:cs="Arial"/>
                      <w:sz w:val="18"/>
                      <w:szCs w:val="18"/>
                    </w:rPr>
                    <w:t>Tebuconazole</w:t>
                  </w:r>
                </w:p>
              </w:tc>
              <w:tc>
                <w:tcPr>
                  <w:tcW w:w="1627" w:type="dxa"/>
                  <w:vAlign w:val="center"/>
                </w:tcPr>
                <w:p w14:paraId="1DE672A6" w14:textId="77777777" w:rsidR="00692E71" w:rsidRPr="001E3185" w:rsidRDefault="00692E71" w:rsidP="008E0250">
                  <w:pPr>
                    <w:autoSpaceDE w:val="0"/>
                    <w:autoSpaceDN w:val="0"/>
                    <w:jc w:val="center"/>
                    <w:rPr>
                      <w:rFonts w:cs="Arial"/>
                      <w:sz w:val="18"/>
                      <w:szCs w:val="18"/>
                    </w:rPr>
                  </w:pPr>
                  <w:r w:rsidRPr="001E3185">
                    <w:rPr>
                      <w:rFonts w:cs="Arial"/>
                      <w:sz w:val="18"/>
                      <w:szCs w:val="18"/>
                    </w:rPr>
                    <w:t>Propiconazole</w:t>
                  </w:r>
                </w:p>
              </w:tc>
              <w:tc>
                <w:tcPr>
                  <w:tcW w:w="1628" w:type="dxa"/>
                  <w:vAlign w:val="center"/>
                </w:tcPr>
                <w:p w14:paraId="2CC911CA" w14:textId="77777777" w:rsidR="00692E71" w:rsidRPr="001E3185" w:rsidRDefault="00692E71" w:rsidP="008E0250">
                  <w:pPr>
                    <w:autoSpaceDE w:val="0"/>
                    <w:autoSpaceDN w:val="0"/>
                    <w:jc w:val="center"/>
                    <w:rPr>
                      <w:rFonts w:cs="Arial"/>
                      <w:sz w:val="18"/>
                      <w:szCs w:val="18"/>
                    </w:rPr>
                  </w:pPr>
                  <w:r w:rsidRPr="001E3185">
                    <w:rPr>
                      <w:rFonts w:cs="Arial"/>
                      <w:sz w:val="18"/>
                      <w:szCs w:val="18"/>
                    </w:rPr>
                    <w:t>IPBC</w:t>
                  </w:r>
                </w:p>
              </w:tc>
            </w:tr>
            <w:tr w:rsidR="00692E71" w:rsidRPr="001E3185" w14:paraId="42171148" w14:textId="77777777" w:rsidTr="008E0250">
              <w:tc>
                <w:tcPr>
                  <w:tcW w:w="3114" w:type="dxa"/>
                </w:tcPr>
                <w:p w14:paraId="26A8E7B7" w14:textId="77777777" w:rsidR="00692E71" w:rsidRPr="001E3185" w:rsidRDefault="00692E71" w:rsidP="008E0250">
                  <w:pPr>
                    <w:autoSpaceDE w:val="0"/>
                    <w:autoSpaceDN w:val="0"/>
                    <w:spacing w:before="120"/>
                    <w:rPr>
                      <w:rFonts w:cs="Arial"/>
                    </w:rPr>
                  </w:pPr>
                  <w:r w:rsidRPr="001E3185">
                    <w:rPr>
                      <w:rFonts w:cs="Arial"/>
                    </w:rPr>
                    <w:t>Pure (%w/w)</w:t>
                  </w:r>
                </w:p>
              </w:tc>
              <w:tc>
                <w:tcPr>
                  <w:tcW w:w="1627" w:type="dxa"/>
                </w:tcPr>
                <w:p w14:paraId="38CE16A5" w14:textId="77777777" w:rsidR="00692E71" w:rsidRPr="001E3185" w:rsidRDefault="00692E71" w:rsidP="008E0250">
                  <w:pPr>
                    <w:autoSpaceDE w:val="0"/>
                    <w:autoSpaceDN w:val="0"/>
                    <w:spacing w:before="120"/>
                    <w:rPr>
                      <w:rFonts w:cs="Arial"/>
                    </w:rPr>
                  </w:pPr>
                  <w:r w:rsidRPr="001E3185">
                    <w:rPr>
                      <w:rFonts w:cs="Arial"/>
                    </w:rPr>
                    <w:t>0.07</w:t>
                  </w:r>
                </w:p>
              </w:tc>
              <w:tc>
                <w:tcPr>
                  <w:tcW w:w="1627" w:type="dxa"/>
                </w:tcPr>
                <w:p w14:paraId="55479680" w14:textId="77777777" w:rsidR="00692E71" w:rsidRPr="001E3185" w:rsidRDefault="00692E71" w:rsidP="008E0250">
                  <w:pPr>
                    <w:autoSpaceDE w:val="0"/>
                    <w:autoSpaceDN w:val="0"/>
                    <w:spacing w:before="120"/>
                    <w:rPr>
                      <w:rFonts w:cs="Arial"/>
                    </w:rPr>
                  </w:pPr>
                  <w:r w:rsidRPr="001E3185">
                    <w:rPr>
                      <w:rFonts w:cs="Arial"/>
                    </w:rPr>
                    <w:t>0.05</w:t>
                  </w:r>
                </w:p>
              </w:tc>
              <w:tc>
                <w:tcPr>
                  <w:tcW w:w="1627" w:type="dxa"/>
                </w:tcPr>
                <w:p w14:paraId="36658F2E" w14:textId="77777777" w:rsidR="00692E71" w:rsidRPr="001E3185" w:rsidRDefault="00692E71" w:rsidP="008E0250">
                  <w:pPr>
                    <w:autoSpaceDE w:val="0"/>
                    <w:autoSpaceDN w:val="0"/>
                    <w:spacing w:before="120"/>
                    <w:rPr>
                      <w:rFonts w:cs="Arial"/>
                    </w:rPr>
                  </w:pPr>
                  <w:r w:rsidRPr="001E3185">
                    <w:rPr>
                      <w:rFonts w:cs="Arial"/>
                    </w:rPr>
                    <w:t>0.15</w:t>
                  </w:r>
                </w:p>
              </w:tc>
              <w:tc>
                <w:tcPr>
                  <w:tcW w:w="1628" w:type="dxa"/>
                </w:tcPr>
                <w:p w14:paraId="7132BA04" w14:textId="77777777" w:rsidR="00692E71" w:rsidRPr="001E3185" w:rsidRDefault="00692E71" w:rsidP="008E0250">
                  <w:pPr>
                    <w:autoSpaceDE w:val="0"/>
                    <w:autoSpaceDN w:val="0"/>
                    <w:spacing w:before="120"/>
                    <w:rPr>
                      <w:rFonts w:cs="Arial"/>
                    </w:rPr>
                  </w:pPr>
                  <w:r w:rsidRPr="001E3185">
                    <w:rPr>
                      <w:rFonts w:cs="Arial"/>
                    </w:rPr>
                    <w:t>0.05</w:t>
                  </w:r>
                </w:p>
              </w:tc>
            </w:tr>
            <w:tr w:rsidR="00692E71" w:rsidRPr="001E3185" w14:paraId="0DB4D831" w14:textId="77777777" w:rsidTr="008E0250">
              <w:tc>
                <w:tcPr>
                  <w:tcW w:w="3114" w:type="dxa"/>
                </w:tcPr>
                <w:p w14:paraId="09FECB4E" w14:textId="77777777" w:rsidR="00692E71" w:rsidRPr="001E3185" w:rsidRDefault="00692E71" w:rsidP="008E0250">
                  <w:pPr>
                    <w:autoSpaceDE w:val="0"/>
                    <w:autoSpaceDN w:val="0"/>
                    <w:spacing w:before="120"/>
                    <w:rPr>
                      <w:rFonts w:cs="Arial"/>
                    </w:rPr>
                  </w:pPr>
                  <w:r w:rsidRPr="001E3185">
                    <w:rPr>
                      <w:rFonts w:cs="Arial"/>
                    </w:rPr>
                    <w:lastRenderedPageBreak/>
                    <w:t>Technical (%w/w)</w:t>
                  </w:r>
                </w:p>
              </w:tc>
              <w:tc>
                <w:tcPr>
                  <w:tcW w:w="1627" w:type="dxa"/>
                </w:tcPr>
                <w:p w14:paraId="0ECA2224" w14:textId="77777777" w:rsidR="00692E71" w:rsidRPr="001E3185" w:rsidRDefault="00692E71" w:rsidP="008E0250">
                  <w:pPr>
                    <w:autoSpaceDE w:val="0"/>
                    <w:autoSpaceDN w:val="0"/>
                    <w:spacing w:before="120"/>
                    <w:rPr>
                      <w:rFonts w:cs="Arial"/>
                    </w:rPr>
                  </w:pPr>
                  <w:r w:rsidRPr="001E3185">
                    <w:rPr>
                      <w:rFonts w:cs="Arial"/>
                    </w:rPr>
                    <w:t>0.08</w:t>
                  </w:r>
                </w:p>
              </w:tc>
              <w:tc>
                <w:tcPr>
                  <w:tcW w:w="1627" w:type="dxa"/>
                </w:tcPr>
                <w:p w14:paraId="7B8C7865" w14:textId="77777777" w:rsidR="00692E71" w:rsidRPr="001E3185" w:rsidRDefault="00692E71" w:rsidP="008E0250">
                  <w:pPr>
                    <w:autoSpaceDE w:val="0"/>
                    <w:autoSpaceDN w:val="0"/>
                    <w:spacing w:before="120"/>
                    <w:rPr>
                      <w:rFonts w:cs="Arial"/>
                    </w:rPr>
                  </w:pPr>
                  <w:r w:rsidRPr="001E3185">
                    <w:rPr>
                      <w:rFonts w:cs="Arial"/>
                    </w:rPr>
                    <w:t>0.05</w:t>
                  </w:r>
                </w:p>
              </w:tc>
              <w:tc>
                <w:tcPr>
                  <w:tcW w:w="1627" w:type="dxa"/>
                </w:tcPr>
                <w:p w14:paraId="56F3B92B" w14:textId="77777777" w:rsidR="00692E71" w:rsidRPr="001E3185" w:rsidRDefault="00692E71" w:rsidP="008E0250">
                  <w:pPr>
                    <w:autoSpaceDE w:val="0"/>
                    <w:autoSpaceDN w:val="0"/>
                    <w:spacing w:before="120"/>
                    <w:rPr>
                      <w:rFonts w:cs="Arial"/>
                    </w:rPr>
                  </w:pPr>
                  <w:r w:rsidRPr="001E3185">
                    <w:rPr>
                      <w:rFonts w:cs="Arial"/>
                    </w:rPr>
                    <w:t>0.16</w:t>
                  </w:r>
                </w:p>
              </w:tc>
              <w:tc>
                <w:tcPr>
                  <w:tcW w:w="1628" w:type="dxa"/>
                </w:tcPr>
                <w:p w14:paraId="5F1397D6" w14:textId="77777777" w:rsidR="00692E71" w:rsidRPr="001E3185" w:rsidRDefault="00692E71" w:rsidP="008E0250">
                  <w:pPr>
                    <w:autoSpaceDE w:val="0"/>
                    <w:autoSpaceDN w:val="0"/>
                    <w:spacing w:before="120"/>
                    <w:rPr>
                      <w:rFonts w:cs="Arial"/>
                    </w:rPr>
                  </w:pPr>
                  <w:r w:rsidRPr="001E3185">
                    <w:rPr>
                      <w:rFonts w:cs="Arial"/>
                    </w:rPr>
                    <w:t>0.05</w:t>
                  </w:r>
                </w:p>
              </w:tc>
            </w:tr>
          </w:tbl>
          <w:p w14:paraId="6DD69568" w14:textId="77777777" w:rsidR="00692E71" w:rsidRPr="001E3185" w:rsidRDefault="00692E71" w:rsidP="008E0250">
            <w:pPr>
              <w:autoSpaceDE w:val="0"/>
              <w:autoSpaceDN w:val="0"/>
              <w:spacing w:before="240" w:line="276" w:lineRule="auto"/>
              <w:rPr>
                <w:rFonts w:cs="Arial"/>
              </w:rPr>
            </w:pPr>
            <w:r w:rsidRPr="001E3185">
              <w:rPr>
                <w:rFonts w:cs="Arial"/>
              </w:rPr>
              <w:t>According to the technical Agreements for Biocides (June 2016), the house-scenario is the worst case scenario and would therefore be sufficient. Consequently, the fence scenario has been deleted.</w:t>
            </w:r>
          </w:p>
          <w:p w14:paraId="5C2EAD2B" w14:textId="77777777" w:rsidR="00692E71" w:rsidRPr="001E3185" w:rsidRDefault="00692E71" w:rsidP="008E0250">
            <w:pPr>
              <w:autoSpaceDE w:val="0"/>
              <w:autoSpaceDN w:val="0"/>
              <w:spacing w:before="120" w:after="120" w:line="276" w:lineRule="auto"/>
              <w:rPr>
                <w:rFonts w:cs="Arial"/>
              </w:rPr>
            </w:pPr>
            <w:r w:rsidRPr="001E3185">
              <w:rPr>
                <w:rFonts w:cs="Arial"/>
              </w:rPr>
              <w:t>An assessment of PBC in water and in soil and an assessment of 1</w:t>
            </w:r>
            <w:proofErr w:type="gramStart"/>
            <w:r w:rsidRPr="001E3185">
              <w:rPr>
                <w:rFonts w:cs="Arial"/>
              </w:rPr>
              <w:t>,2,4</w:t>
            </w:r>
            <w:proofErr w:type="gramEnd"/>
            <w:r w:rsidRPr="001E3185">
              <w:rPr>
                <w:rFonts w:cs="Arial"/>
              </w:rPr>
              <w:t>-triazole in soil is proposed (see above).</w:t>
            </w:r>
          </w:p>
          <w:p w14:paraId="05B6242A" w14:textId="77777777" w:rsidR="00692E71" w:rsidRPr="001E3185" w:rsidRDefault="00692E71" w:rsidP="008E0250">
            <w:pPr>
              <w:autoSpaceDE w:val="0"/>
              <w:autoSpaceDN w:val="0"/>
              <w:spacing w:before="120" w:after="120" w:line="276" w:lineRule="auto"/>
              <w:rPr>
                <w:rFonts w:cs="Arial"/>
              </w:rPr>
            </w:pPr>
            <w:r w:rsidRPr="001E3185">
              <w:rPr>
                <w:rFonts w:cs="Arial"/>
              </w:rPr>
              <w:t>According to the ESD-PT08, no scenario is currently available for estimating direct release to surface water from outdoor spraying application. Therefore, the ESD-TP08 scenario “bridge over pond” was adapted by considering the fraction of product lost to water during application as the sum of releases due to run-off (F</w:t>
            </w:r>
            <w:r w:rsidRPr="001E3185">
              <w:rPr>
                <w:rFonts w:cs="Arial"/>
                <w:vertAlign w:val="subscript"/>
              </w:rPr>
              <w:t>runoff</w:t>
            </w:r>
            <w:r w:rsidRPr="001E3185">
              <w:rPr>
                <w:rFonts w:cs="Arial"/>
              </w:rPr>
              <w:t xml:space="preserve"> = 0.2) and drift (F</w:t>
            </w:r>
            <w:r w:rsidRPr="001E3185">
              <w:rPr>
                <w:rFonts w:cs="Arial"/>
                <w:vertAlign w:val="subscript"/>
              </w:rPr>
              <w:t>drift</w:t>
            </w:r>
            <w:r w:rsidRPr="001E3185">
              <w:rPr>
                <w:rFonts w:cs="Arial"/>
              </w:rPr>
              <w:t xml:space="preserve"> = 0.1) described in the section 4.4.5 of the ESD-PT08 (2013).</w:t>
            </w:r>
          </w:p>
          <w:p w14:paraId="3796150F" w14:textId="77777777" w:rsidR="00692E71" w:rsidRPr="001E3185" w:rsidRDefault="00692E71" w:rsidP="008E0250">
            <w:pPr>
              <w:autoSpaceDE w:val="0"/>
              <w:autoSpaceDN w:val="0"/>
              <w:rPr>
                <w:rFonts w:cs="Arial"/>
              </w:rPr>
            </w:pPr>
          </w:p>
          <w:p w14:paraId="13B2A3F6" w14:textId="77777777" w:rsidR="00692E71" w:rsidRPr="001E3185" w:rsidRDefault="00692E71" w:rsidP="00F32B7F">
            <w:pPr>
              <w:pStyle w:val="Lgende"/>
              <w:numPr>
                <w:ilvl w:val="1"/>
                <w:numId w:val="18"/>
              </w:numPr>
              <w:suppressAutoHyphens w:val="0"/>
              <w:spacing w:after="200"/>
              <w:rPr>
                <w:rFonts w:ascii="Verdana" w:hAnsi="Verdana"/>
              </w:rPr>
            </w:pPr>
            <w:r w:rsidRPr="001E3185">
              <w:rPr>
                <w:rFonts w:ascii="Verdana" w:hAnsi="Verdana"/>
              </w:rPr>
              <w:t>Emission from in-situ brushing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04"/>
              <w:gridCol w:w="3202"/>
            </w:tblGrid>
            <w:tr w:rsidR="00692E71" w:rsidRPr="001E3185" w14:paraId="51F02F8F" w14:textId="77777777" w:rsidTr="008E0250">
              <w:trPr>
                <w:trHeight w:val="510"/>
              </w:trPr>
              <w:tc>
                <w:tcPr>
                  <w:tcW w:w="5000" w:type="pct"/>
                  <w:gridSpan w:val="3"/>
                  <w:shd w:val="clear" w:color="auto" w:fill="auto"/>
                  <w:vAlign w:val="center"/>
                </w:tcPr>
                <w:p w14:paraId="4748E118" w14:textId="77777777" w:rsidR="00692E71" w:rsidRPr="001E3185" w:rsidRDefault="00692E71" w:rsidP="008E0250">
                  <w:pPr>
                    <w:autoSpaceDE w:val="0"/>
                    <w:autoSpaceDN w:val="0"/>
                    <w:rPr>
                      <w:rFonts w:cs="Arial"/>
                      <w:b/>
                      <w:i/>
                      <w:sz w:val="18"/>
                      <w:szCs w:val="18"/>
                      <w:u w:val="single"/>
                    </w:rPr>
                  </w:pPr>
                  <w:r w:rsidRPr="001E3185">
                    <w:rPr>
                      <w:rFonts w:cs="Arial"/>
                      <w:b/>
                      <w:i/>
                      <w:sz w:val="18"/>
                      <w:szCs w:val="18"/>
                      <w:u w:val="single"/>
                    </w:rPr>
                    <w:t>Outputs- House scenario-200 g/m2</w:t>
                  </w:r>
                </w:p>
              </w:tc>
            </w:tr>
            <w:tr w:rsidR="00692E71" w:rsidRPr="001E3185" w14:paraId="49EDAB72" w14:textId="77777777" w:rsidTr="008E0250">
              <w:tc>
                <w:tcPr>
                  <w:tcW w:w="1667" w:type="pct"/>
                  <w:shd w:val="clear" w:color="auto" w:fill="auto"/>
                </w:tcPr>
                <w:p w14:paraId="065D52A0" w14:textId="77777777" w:rsidR="00692E71" w:rsidRPr="001E3185" w:rsidRDefault="00692E71" w:rsidP="008E0250">
                  <w:pPr>
                    <w:autoSpaceDE w:val="0"/>
                    <w:autoSpaceDN w:val="0"/>
                    <w:rPr>
                      <w:rFonts w:cs="Arial"/>
                      <w:b/>
                      <w:sz w:val="18"/>
                      <w:szCs w:val="18"/>
                    </w:rPr>
                  </w:pPr>
                </w:p>
              </w:tc>
              <w:tc>
                <w:tcPr>
                  <w:tcW w:w="1667" w:type="pct"/>
                  <w:shd w:val="clear" w:color="auto" w:fill="auto"/>
                  <w:vAlign w:val="center"/>
                </w:tcPr>
                <w:p w14:paraId="45377727" w14:textId="77777777" w:rsidR="00692E71" w:rsidRPr="001E3185" w:rsidRDefault="00692E71" w:rsidP="008E0250">
                  <w:pPr>
                    <w:autoSpaceDE w:val="0"/>
                    <w:autoSpaceDN w:val="0"/>
                    <w:jc w:val="center"/>
                    <w:rPr>
                      <w:rFonts w:cs="Arial"/>
                      <w:b/>
                      <w:sz w:val="18"/>
                      <w:szCs w:val="18"/>
                    </w:rPr>
                  </w:pPr>
                  <w:r w:rsidRPr="001E3185">
                    <w:rPr>
                      <w:rFonts w:cs="Arial"/>
                      <w:sz w:val="18"/>
                      <w:szCs w:val="18"/>
                    </w:rPr>
                    <w:t>Professional</w:t>
                  </w:r>
                </w:p>
              </w:tc>
              <w:tc>
                <w:tcPr>
                  <w:tcW w:w="1666" w:type="pct"/>
                  <w:shd w:val="clear" w:color="auto" w:fill="auto"/>
                  <w:vAlign w:val="center"/>
                </w:tcPr>
                <w:p w14:paraId="7BE2E164" w14:textId="77777777" w:rsidR="00692E71" w:rsidRPr="001E3185" w:rsidRDefault="00692E71" w:rsidP="008E0250">
                  <w:pPr>
                    <w:autoSpaceDE w:val="0"/>
                    <w:autoSpaceDN w:val="0"/>
                    <w:jc w:val="center"/>
                    <w:rPr>
                      <w:rFonts w:cs="Arial"/>
                      <w:b/>
                      <w:sz w:val="18"/>
                      <w:szCs w:val="18"/>
                    </w:rPr>
                  </w:pPr>
                  <w:r w:rsidRPr="001E3185">
                    <w:rPr>
                      <w:rFonts w:cs="Arial"/>
                      <w:sz w:val="18"/>
                      <w:szCs w:val="18"/>
                    </w:rPr>
                    <w:t>Non professional</w:t>
                  </w:r>
                </w:p>
              </w:tc>
            </w:tr>
            <w:tr w:rsidR="00692E71" w:rsidRPr="001E3185" w14:paraId="7C39BD14" w14:textId="77777777" w:rsidTr="008E0250">
              <w:tc>
                <w:tcPr>
                  <w:tcW w:w="5000" w:type="pct"/>
                  <w:gridSpan w:val="3"/>
                  <w:shd w:val="clear" w:color="auto" w:fill="auto"/>
                  <w:vAlign w:val="center"/>
                </w:tcPr>
                <w:p w14:paraId="3DD70077" w14:textId="5B6D603A" w:rsidR="00692E71" w:rsidRPr="001E3185" w:rsidRDefault="00692E71" w:rsidP="008E0250">
                  <w:pPr>
                    <w:autoSpaceDE w:val="0"/>
                    <w:autoSpaceDN w:val="0"/>
                    <w:rPr>
                      <w:rFonts w:cs="Arial"/>
                      <w:sz w:val="18"/>
                      <w:szCs w:val="18"/>
                    </w:rPr>
                  </w:pPr>
                  <w:r w:rsidRPr="001E3185">
                    <w:rPr>
                      <w:rFonts w:cs="Arial"/>
                      <w:b/>
                      <w:sz w:val="18"/>
                      <w:szCs w:val="18"/>
                    </w:rPr>
                    <w:t xml:space="preserve">Emission of substance to soil – E </w:t>
                  </w:r>
                  <w:r w:rsidRPr="001E3185">
                    <w:rPr>
                      <w:rFonts w:cs="Arial"/>
                      <w:b/>
                      <w:sz w:val="18"/>
                      <w:szCs w:val="18"/>
                      <w:vertAlign w:val="subscript"/>
                    </w:rPr>
                    <w:t>soil,brush</w:t>
                  </w:r>
                  <w:r w:rsidR="00D47F2B">
                    <w:rPr>
                      <w:rFonts w:cs="Arial"/>
                      <w:b/>
                      <w:sz w:val="18"/>
                      <w:szCs w:val="18"/>
                      <w:vertAlign w:val="subscript"/>
                    </w:rPr>
                    <w:t>_house</w:t>
                  </w:r>
                  <w:r w:rsidRPr="001E3185">
                    <w:rPr>
                      <w:rFonts w:cs="Arial"/>
                      <w:b/>
                      <w:sz w:val="18"/>
                      <w:szCs w:val="18"/>
                    </w:rPr>
                    <w:t xml:space="preserve"> [kg.d</w:t>
                  </w:r>
                  <w:r w:rsidRPr="001E3185">
                    <w:rPr>
                      <w:rFonts w:cs="Arial"/>
                      <w:b/>
                      <w:sz w:val="18"/>
                      <w:szCs w:val="18"/>
                      <w:vertAlign w:val="superscript"/>
                    </w:rPr>
                    <w:t>-1</w:t>
                  </w:r>
                  <w:r w:rsidRPr="001E3185">
                    <w:rPr>
                      <w:rFonts w:cs="Arial"/>
                      <w:b/>
                      <w:sz w:val="18"/>
                      <w:szCs w:val="18"/>
                    </w:rPr>
                    <w:t>]</w:t>
                  </w:r>
                </w:p>
              </w:tc>
            </w:tr>
            <w:tr w:rsidR="00692E71" w:rsidRPr="001E3185" w14:paraId="21E0364A" w14:textId="77777777" w:rsidTr="008E0250">
              <w:tc>
                <w:tcPr>
                  <w:tcW w:w="1667" w:type="pct"/>
                  <w:shd w:val="clear" w:color="auto" w:fill="auto"/>
                  <w:vAlign w:val="center"/>
                </w:tcPr>
                <w:p w14:paraId="4E179F07" w14:textId="77777777" w:rsidR="00692E71" w:rsidRPr="001E3185" w:rsidRDefault="00692E71" w:rsidP="008E0250">
                  <w:pPr>
                    <w:autoSpaceDE w:val="0"/>
                    <w:autoSpaceDN w:val="0"/>
                    <w:rPr>
                      <w:rFonts w:cs="Arial"/>
                      <w:sz w:val="18"/>
                      <w:szCs w:val="18"/>
                    </w:rPr>
                  </w:pPr>
                  <w:r w:rsidRPr="001E3185">
                    <w:rPr>
                      <w:rFonts w:cs="Arial"/>
                      <w:sz w:val="18"/>
                      <w:szCs w:val="18"/>
                    </w:rPr>
                    <w:t>Tebuconazole</w:t>
                  </w:r>
                </w:p>
              </w:tc>
              <w:tc>
                <w:tcPr>
                  <w:tcW w:w="1667" w:type="pct"/>
                  <w:shd w:val="clear" w:color="auto" w:fill="auto"/>
                  <w:vAlign w:val="center"/>
                </w:tcPr>
                <w:p w14:paraId="7B3CA5A2" w14:textId="77777777" w:rsidR="00692E71" w:rsidRPr="001E3185" w:rsidRDefault="00692E71" w:rsidP="008E0250">
                  <w:pPr>
                    <w:autoSpaceDE w:val="0"/>
                    <w:autoSpaceDN w:val="0"/>
                    <w:jc w:val="center"/>
                    <w:rPr>
                      <w:rFonts w:cs="Arial"/>
                      <w:sz w:val="18"/>
                      <w:szCs w:val="18"/>
                    </w:rPr>
                  </w:pPr>
                  <w:r w:rsidRPr="001E3185">
                    <w:rPr>
                      <w:rFonts w:cs="Arial"/>
                      <w:sz w:val="18"/>
                      <w:szCs w:val="18"/>
                    </w:rPr>
                    <w:t>3.75E-04</w:t>
                  </w:r>
                </w:p>
              </w:tc>
              <w:tc>
                <w:tcPr>
                  <w:tcW w:w="1666" w:type="pct"/>
                  <w:shd w:val="clear" w:color="auto" w:fill="auto"/>
                  <w:vAlign w:val="center"/>
                </w:tcPr>
                <w:p w14:paraId="60AB2CBD" w14:textId="77777777" w:rsidR="00692E71" w:rsidRPr="001E3185" w:rsidRDefault="00692E71" w:rsidP="008E0250">
                  <w:pPr>
                    <w:autoSpaceDE w:val="0"/>
                    <w:autoSpaceDN w:val="0"/>
                    <w:jc w:val="center"/>
                    <w:rPr>
                      <w:rFonts w:cs="Arial"/>
                      <w:sz w:val="18"/>
                      <w:szCs w:val="18"/>
                    </w:rPr>
                  </w:pPr>
                  <w:r w:rsidRPr="001E3185">
                    <w:rPr>
                      <w:rFonts w:cs="Arial"/>
                      <w:sz w:val="18"/>
                      <w:szCs w:val="18"/>
                    </w:rPr>
                    <w:t>6.25E-04</w:t>
                  </w:r>
                </w:p>
              </w:tc>
            </w:tr>
            <w:tr w:rsidR="00692E71" w:rsidRPr="001E3185" w14:paraId="0C3BAB19" w14:textId="77777777" w:rsidTr="008E0250">
              <w:tc>
                <w:tcPr>
                  <w:tcW w:w="1667" w:type="pct"/>
                  <w:shd w:val="clear" w:color="auto" w:fill="auto"/>
                  <w:vAlign w:val="center"/>
                </w:tcPr>
                <w:p w14:paraId="318F7061" w14:textId="77777777" w:rsidR="00692E71" w:rsidRPr="001E3185" w:rsidRDefault="00692E71" w:rsidP="008E0250">
                  <w:pPr>
                    <w:autoSpaceDE w:val="0"/>
                    <w:autoSpaceDN w:val="0"/>
                    <w:rPr>
                      <w:rFonts w:cs="Arial"/>
                      <w:sz w:val="18"/>
                      <w:szCs w:val="18"/>
                    </w:rPr>
                  </w:pPr>
                  <w:r w:rsidRPr="001E3185">
                    <w:rPr>
                      <w:rFonts w:cs="Arial"/>
                      <w:sz w:val="18"/>
                      <w:szCs w:val="18"/>
                    </w:rPr>
                    <w:t>Propiconazole</w:t>
                  </w:r>
                </w:p>
              </w:tc>
              <w:tc>
                <w:tcPr>
                  <w:tcW w:w="1667" w:type="pct"/>
                  <w:shd w:val="clear" w:color="auto" w:fill="auto"/>
                  <w:vAlign w:val="center"/>
                </w:tcPr>
                <w:p w14:paraId="66D6F541" w14:textId="77777777" w:rsidR="00692E71" w:rsidRPr="001E3185" w:rsidRDefault="00692E71" w:rsidP="008E0250">
                  <w:pPr>
                    <w:autoSpaceDE w:val="0"/>
                    <w:autoSpaceDN w:val="0"/>
                    <w:jc w:val="center"/>
                    <w:rPr>
                      <w:rFonts w:cs="Arial"/>
                      <w:sz w:val="18"/>
                      <w:szCs w:val="18"/>
                    </w:rPr>
                  </w:pPr>
                  <w:r w:rsidRPr="001E3185">
                    <w:rPr>
                      <w:rFonts w:cs="Arial"/>
                      <w:sz w:val="18"/>
                      <w:szCs w:val="18"/>
                    </w:rPr>
                    <w:t>1.20E-03</w:t>
                  </w:r>
                </w:p>
              </w:tc>
              <w:tc>
                <w:tcPr>
                  <w:tcW w:w="1666" w:type="pct"/>
                  <w:shd w:val="clear" w:color="auto" w:fill="auto"/>
                  <w:vAlign w:val="center"/>
                </w:tcPr>
                <w:p w14:paraId="5F8BAB68" w14:textId="77777777" w:rsidR="00692E71" w:rsidRPr="001E3185" w:rsidRDefault="00692E71" w:rsidP="008E0250">
                  <w:pPr>
                    <w:autoSpaceDE w:val="0"/>
                    <w:autoSpaceDN w:val="0"/>
                    <w:jc w:val="center"/>
                    <w:rPr>
                      <w:rFonts w:cs="Arial"/>
                      <w:sz w:val="18"/>
                      <w:szCs w:val="18"/>
                    </w:rPr>
                  </w:pPr>
                  <w:r w:rsidRPr="001E3185">
                    <w:rPr>
                      <w:rFonts w:cs="Arial"/>
                      <w:sz w:val="18"/>
                      <w:szCs w:val="18"/>
                    </w:rPr>
                    <w:t>2.00E-03</w:t>
                  </w:r>
                </w:p>
              </w:tc>
            </w:tr>
            <w:tr w:rsidR="00692E71" w:rsidRPr="001E3185" w14:paraId="757567B9" w14:textId="77777777" w:rsidTr="008E0250">
              <w:tc>
                <w:tcPr>
                  <w:tcW w:w="1667" w:type="pct"/>
                  <w:shd w:val="clear" w:color="auto" w:fill="auto"/>
                  <w:vAlign w:val="center"/>
                </w:tcPr>
                <w:p w14:paraId="681F8A4A" w14:textId="77777777" w:rsidR="00692E71" w:rsidRPr="001E3185" w:rsidRDefault="00692E71" w:rsidP="008E0250">
                  <w:pPr>
                    <w:autoSpaceDE w:val="0"/>
                    <w:autoSpaceDN w:val="0"/>
                    <w:rPr>
                      <w:rFonts w:cs="Arial"/>
                      <w:sz w:val="18"/>
                      <w:szCs w:val="18"/>
                    </w:rPr>
                  </w:pPr>
                  <w:r w:rsidRPr="001E3185">
                    <w:rPr>
                      <w:rFonts w:cs="Arial"/>
                      <w:sz w:val="18"/>
                      <w:szCs w:val="18"/>
                    </w:rPr>
                    <w:t>Cypermethrin</w:t>
                  </w:r>
                </w:p>
              </w:tc>
              <w:tc>
                <w:tcPr>
                  <w:tcW w:w="1667" w:type="pct"/>
                  <w:shd w:val="clear" w:color="auto" w:fill="auto"/>
                  <w:vAlign w:val="center"/>
                </w:tcPr>
                <w:p w14:paraId="1D09192B" w14:textId="77777777" w:rsidR="00692E71" w:rsidRPr="001E3185" w:rsidRDefault="00692E71" w:rsidP="008E0250">
                  <w:pPr>
                    <w:autoSpaceDE w:val="0"/>
                    <w:autoSpaceDN w:val="0"/>
                    <w:jc w:val="center"/>
                    <w:rPr>
                      <w:rFonts w:cs="Arial"/>
                      <w:sz w:val="18"/>
                      <w:szCs w:val="18"/>
                    </w:rPr>
                  </w:pPr>
                  <w:r w:rsidRPr="001E3185">
                    <w:rPr>
                      <w:rFonts w:cs="Arial"/>
                      <w:sz w:val="18"/>
                      <w:szCs w:val="18"/>
                    </w:rPr>
                    <w:t>6.00E-04</w:t>
                  </w:r>
                </w:p>
              </w:tc>
              <w:tc>
                <w:tcPr>
                  <w:tcW w:w="1666" w:type="pct"/>
                  <w:shd w:val="clear" w:color="auto" w:fill="auto"/>
                  <w:vAlign w:val="center"/>
                </w:tcPr>
                <w:p w14:paraId="011749C3" w14:textId="77777777" w:rsidR="00692E71" w:rsidRPr="001E3185" w:rsidRDefault="00692E71" w:rsidP="008E0250">
                  <w:pPr>
                    <w:autoSpaceDE w:val="0"/>
                    <w:autoSpaceDN w:val="0"/>
                    <w:jc w:val="center"/>
                    <w:rPr>
                      <w:rFonts w:cs="Arial"/>
                      <w:sz w:val="18"/>
                      <w:szCs w:val="18"/>
                    </w:rPr>
                  </w:pPr>
                  <w:r w:rsidRPr="001E3185">
                    <w:rPr>
                      <w:rFonts w:cs="Arial"/>
                      <w:sz w:val="18"/>
                      <w:szCs w:val="18"/>
                    </w:rPr>
                    <w:t>1.00E-03</w:t>
                  </w:r>
                </w:p>
              </w:tc>
            </w:tr>
            <w:tr w:rsidR="00692E71" w:rsidRPr="001E3185" w14:paraId="365D6CC2" w14:textId="77777777" w:rsidTr="008E0250">
              <w:tc>
                <w:tcPr>
                  <w:tcW w:w="1667" w:type="pct"/>
                  <w:shd w:val="clear" w:color="auto" w:fill="auto"/>
                  <w:vAlign w:val="center"/>
                </w:tcPr>
                <w:p w14:paraId="341912A7" w14:textId="77777777" w:rsidR="00692E71" w:rsidRPr="001E3185" w:rsidRDefault="00692E71" w:rsidP="008E0250">
                  <w:pPr>
                    <w:autoSpaceDE w:val="0"/>
                    <w:autoSpaceDN w:val="0"/>
                    <w:rPr>
                      <w:rFonts w:cs="Arial"/>
                      <w:sz w:val="18"/>
                      <w:szCs w:val="18"/>
                    </w:rPr>
                  </w:pPr>
                  <w:r w:rsidRPr="001E3185">
                    <w:rPr>
                      <w:rFonts w:cs="Arial"/>
                      <w:sz w:val="18"/>
                      <w:szCs w:val="18"/>
                    </w:rPr>
                    <w:t>IPBC</w:t>
                  </w:r>
                </w:p>
              </w:tc>
              <w:tc>
                <w:tcPr>
                  <w:tcW w:w="1667" w:type="pct"/>
                  <w:shd w:val="clear" w:color="auto" w:fill="auto"/>
                  <w:vAlign w:val="center"/>
                </w:tcPr>
                <w:p w14:paraId="40ED6C01" w14:textId="77777777" w:rsidR="00692E71" w:rsidRPr="001E3185" w:rsidRDefault="00692E71" w:rsidP="008E0250">
                  <w:pPr>
                    <w:autoSpaceDE w:val="0"/>
                    <w:autoSpaceDN w:val="0"/>
                    <w:jc w:val="center"/>
                    <w:rPr>
                      <w:rFonts w:cs="Arial"/>
                      <w:sz w:val="18"/>
                      <w:szCs w:val="18"/>
                    </w:rPr>
                  </w:pPr>
                  <w:r w:rsidRPr="001E3185">
                    <w:rPr>
                      <w:rFonts w:cs="Arial"/>
                      <w:sz w:val="18"/>
                      <w:szCs w:val="18"/>
                    </w:rPr>
                    <w:t>3.75E-04</w:t>
                  </w:r>
                </w:p>
              </w:tc>
              <w:tc>
                <w:tcPr>
                  <w:tcW w:w="1666" w:type="pct"/>
                  <w:shd w:val="clear" w:color="auto" w:fill="auto"/>
                  <w:vAlign w:val="center"/>
                </w:tcPr>
                <w:p w14:paraId="6F554C4F" w14:textId="77777777" w:rsidR="00692E71" w:rsidRPr="001E3185" w:rsidRDefault="00692E71" w:rsidP="008E0250">
                  <w:pPr>
                    <w:autoSpaceDE w:val="0"/>
                    <w:autoSpaceDN w:val="0"/>
                    <w:jc w:val="center"/>
                    <w:rPr>
                      <w:rFonts w:cs="Arial"/>
                      <w:sz w:val="18"/>
                      <w:szCs w:val="18"/>
                    </w:rPr>
                  </w:pPr>
                  <w:r w:rsidRPr="001E3185">
                    <w:rPr>
                      <w:rFonts w:cs="Arial"/>
                      <w:sz w:val="18"/>
                      <w:szCs w:val="18"/>
                    </w:rPr>
                    <w:t>6.25E-04</w:t>
                  </w:r>
                </w:p>
              </w:tc>
            </w:tr>
            <w:tr w:rsidR="00692E71" w:rsidRPr="001E3185" w14:paraId="7801624E" w14:textId="77777777" w:rsidTr="008E0250">
              <w:tc>
                <w:tcPr>
                  <w:tcW w:w="1667" w:type="pct"/>
                  <w:shd w:val="clear" w:color="auto" w:fill="auto"/>
                  <w:vAlign w:val="center"/>
                </w:tcPr>
                <w:p w14:paraId="39222445" w14:textId="77777777" w:rsidR="00692E71" w:rsidRPr="001E3185" w:rsidRDefault="00692E71" w:rsidP="008E0250">
                  <w:pPr>
                    <w:autoSpaceDE w:val="0"/>
                    <w:autoSpaceDN w:val="0"/>
                    <w:rPr>
                      <w:rFonts w:cs="Arial"/>
                      <w:sz w:val="18"/>
                      <w:szCs w:val="18"/>
                    </w:rPr>
                  </w:pPr>
                  <w:r w:rsidRPr="001E3185">
                    <w:rPr>
                      <w:rFonts w:cs="Arial"/>
                      <w:sz w:val="18"/>
                      <w:szCs w:val="18"/>
                    </w:rPr>
                    <w:t>PBC</w:t>
                  </w:r>
                </w:p>
              </w:tc>
              <w:tc>
                <w:tcPr>
                  <w:tcW w:w="1667" w:type="pct"/>
                  <w:shd w:val="clear" w:color="auto" w:fill="auto"/>
                  <w:vAlign w:val="center"/>
                </w:tcPr>
                <w:p w14:paraId="6DD64414" w14:textId="77777777" w:rsidR="00692E71" w:rsidRPr="001E3185" w:rsidRDefault="00692E71" w:rsidP="008E0250">
                  <w:pPr>
                    <w:autoSpaceDE w:val="0"/>
                    <w:autoSpaceDN w:val="0"/>
                    <w:jc w:val="center"/>
                    <w:rPr>
                      <w:rFonts w:cs="Arial"/>
                      <w:sz w:val="18"/>
                      <w:szCs w:val="18"/>
                    </w:rPr>
                  </w:pPr>
                  <w:r w:rsidRPr="001E3185">
                    <w:rPr>
                      <w:rFonts w:cs="Arial"/>
                      <w:sz w:val="18"/>
                      <w:szCs w:val="18"/>
                    </w:rPr>
                    <w:t>2.07E-04</w:t>
                  </w:r>
                </w:p>
              </w:tc>
              <w:tc>
                <w:tcPr>
                  <w:tcW w:w="1666" w:type="pct"/>
                  <w:shd w:val="clear" w:color="auto" w:fill="auto"/>
                  <w:vAlign w:val="center"/>
                </w:tcPr>
                <w:p w14:paraId="4FFEAB60" w14:textId="77777777" w:rsidR="00692E71" w:rsidRPr="001E3185" w:rsidRDefault="00692E71" w:rsidP="008E0250">
                  <w:pPr>
                    <w:autoSpaceDE w:val="0"/>
                    <w:autoSpaceDN w:val="0"/>
                    <w:jc w:val="center"/>
                    <w:rPr>
                      <w:rFonts w:cs="Arial"/>
                      <w:sz w:val="18"/>
                      <w:szCs w:val="18"/>
                    </w:rPr>
                  </w:pPr>
                  <w:r w:rsidRPr="001E3185">
                    <w:rPr>
                      <w:rFonts w:cs="Arial"/>
                      <w:sz w:val="18"/>
                      <w:szCs w:val="18"/>
                    </w:rPr>
                    <w:t>3.45E-04</w:t>
                  </w:r>
                </w:p>
              </w:tc>
            </w:tr>
            <w:tr w:rsidR="00692E71" w:rsidRPr="001E3185" w14:paraId="438DAC81" w14:textId="77777777" w:rsidTr="008E0250">
              <w:tc>
                <w:tcPr>
                  <w:tcW w:w="1667" w:type="pct"/>
                  <w:shd w:val="clear" w:color="auto" w:fill="auto"/>
                  <w:vAlign w:val="center"/>
                </w:tcPr>
                <w:p w14:paraId="682541C5" w14:textId="77777777" w:rsidR="00692E71" w:rsidRPr="001E3185" w:rsidRDefault="00692E71" w:rsidP="008E0250">
                  <w:pPr>
                    <w:autoSpaceDE w:val="0"/>
                    <w:autoSpaceDN w:val="0"/>
                    <w:rPr>
                      <w:rFonts w:cs="Arial"/>
                      <w:sz w:val="18"/>
                      <w:szCs w:val="18"/>
                    </w:rPr>
                  </w:pPr>
                  <w:r w:rsidRPr="001E3185">
                    <w:rPr>
                      <w:rFonts w:cs="Arial"/>
                      <w:sz w:val="18"/>
                      <w:szCs w:val="18"/>
                    </w:rPr>
                    <w:t>1,2,4-triazole</w:t>
                  </w:r>
                </w:p>
              </w:tc>
              <w:tc>
                <w:tcPr>
                  <w:tcW w:w="1667" w:type="pct"/>
                  <w:shd w:val="clear" w:color="auto" w:fill="auto"/>
                  <w:vAlign w:val="center"/>
                </w:tcPr>
                <w:p w14:paraId="78591115" w14:textId="77777777" w:rsidR="00692E71" w:rsidRPr="001E3185" w:rsidRDefault="00692E71" w:rsidP="008E0250">
                  <w:pPr>
                    <w:autoSpaceDE w:val="0"/>
                    <w:autoSpaceDN w:val="0"/>
                    <w:jc w:val="center"/>
                    <w:rPr>
                      <w:rFonts w:cs="Arial"/>
                      <w:sz w:val="18"/>
                      <w:szCs w:val="18"/>
                    </w:rPr>
                  </w:pPr>
                  <w:r w:rsidRPr="001E3185">
                    <w:rPr>
                      <w:rFonts w:cs="Arial"/>
                      <w:sz w:val="18"/>
                      <w:szCs w:val="18"/>
                    </w:rPr>
                    <w:t>1.12E-04</w:t>
                  </w:r>
                </w:p>
              </w:tc>
              <w:tc>
                <w:tcPr>
                  <w:tcW w:w="1666" w:type="pct"/>
                  <w:shd w:val="clear" w:color="auto" w:fill="auto"/>
                  <w:vAlign w:val="center"/>
                </w:tcPr>
                <w:p w14:paraId="0BF14FC3" w14:textId="77777777" w:rsidR="00692E71" w:rsidRPr="001E3185" w:rsidRDefault="00692E71" w:rsidP="008E0250">
                  <w:pPr>
                    <w:autoSpaceDE w:val="0"/>
                    <w:autoSpaceDN w:val="0"/>
                    <w:jc w:val="center"/>
                    <w:rPr>
                      <w:rFonts w:cs="Arial"/>
                      <w:sz w:val="18"/>
                      <w:szCs w:val="18"/>
                    </w:rPr>
                  </w:pPr>
                  <w:r w:rsidRPr="001E3185">
                    <w:rPr>
                      <w:rFonts w:cs="Arial"/>
                      <w:sz w:val="18"/>
                      <w:szCs w:val="18"/>
                    </w:rPr>
                    <w:t>1.87E-04</w:t>
                  </w:r>
                </w:p>
              </w:tc>
            </w:tr>
            <w:tr w:rsidR="00692E71" w:rsidRPr="001E3185" w14:paraId="317D3D3B" w14:textId="77777777" w:rsidTr="008E0250">
              <w:trPr>
                <w:trHeight w:val="510"/>
              </w:trPr>
              <w:tc>
                <w:tcPr>
                  <w:tcW w:w="5000" w:type="pct"/>
                  <w:gridSpan w:val="3"/>
                  <w:shd w:val="clear" w:color="auto" w:fill="auto"/>
                  <w:vAlign w:val="center"/>
                </w:tcPr>
                <w:p w14:paraId="2D1FA156" w14:textId="77777777" w:rsidR="00692E71" w:rsidRPr="001E3185" w:rsidRDefault="00692E71" w:rsidP="008E0250">
                  <w:pPr>
                    <w:autoSpaceDE w:val="0"/>
                    <w:autoSpaceDN w:val="0"/>
                    <w:rPr>
                      <w:rFonts w:cs="Arial"/>
                      <w:sz w:val="18"/>
                      <w:szCs w:val="18"/>
                    </w:rPr>
                  </w:pPr>
                  <w:r w:rsidRPr="001E3185">
                    <w:rPr>
                      <w:rFonts w:cs="Arial"/>
                      <w:b/>
                      <w:i/>
                      <w:sz w:val="18"/>
                      <w:szCs w:val="18"/>
                      <w:u w:val="single"/>
                    </w:rPr>
                    <w:t>Outputs- Bridge scenario</w:t>
                  </w:r>
                </w:p>
              </w:tc>
            </w:tr>
            <w:tr w:rsidR="00692E71" w:rsidRPr="001E3185" w14:paraId="7B4107C4" w14:textId="77777777" w:rsidTr="008E0250">
              <w:tc>
                <w:tcPr>
                  <w:tcW w:w="5000" w:type="pct"/>
                  <w:gridSpan w:val="3"/>
                  <w:shd w:val="clear" w:color="auto" w:fill="auto"/>
                </w:tcPr>
                <w:p w14:paraId="2CA2C3DF" w14:textId="0E1179C0" w:rsidR="00692E71" w:rsidRPr="001E3185" w:rsidRDefault="00692E71" w:rsidP="008E0250">
                  <w:pPr>
                    <w:autoSpaceDE w:val="0"/>
                    <w:autoSpaceDN w:val="0"/>
                    <w:rPr>
                      <w:rFonts w:cs="Arial"/>
                      <w:b/>
                      <w:i/>
                      <w:sz w:val="18"/>
                      <w:szCs w:val="18"/>
                      <w:u w:val="single"/>
                    </w:rPr>
                  </w:pPr>
                  <w:r w:rsidRPr="001E3185">
                    <w:rPr>
                      <w:rFonts w:cs="Arial"/>
                      <w:b/>
                      <w:sz w:val="18"/>
                      <w:szCs w:val="18"/>
                    </w:rPr>
                    <w:t xml:space="preserve">Emission of substance to water – E </w:t>
                  </w:r>
                  <w:r w:rsidRPr="001E3185">
                    <w:rPr>
                      <w:rFonts w:cs="Arial"/>
                      <w:b/>
                      <w:sz w:val="18"/>
                      <w:szCs w:val="18"/>
                      <w:vertAlign w:val="subscript"/>
                    </w:rPr>
                    <w:t>water,</w:t>
                  </w:r>
                  <w:r w:rsidR="00D47F2B">
                    <w:rPr>
                      <w:rFonts w:cs="Arial"/>
                      <w:b/>
                      <w:sz w:val="18"/>
                      <w:szCs w:val="18"/>
                      <w:vertAlign w:val="subscript"/>
                    </w:rPr>
                    <w:t>brush_</w:t>
                  </w:r>
                  <w:r w:rsidRPr="001E3185">
                    <w:rPr>
                      <w:rFonts w:cs="Arial"/>
                      <w:b/>
                      <w:sz w:val="18"/>
                      <w:szCs w:val="18"/>
                      <w:vertAlign w:val="subscript"/>
                    </w:rPr>
                    <w:t xml:space="preserve">bridge </w:t>
                  </w:r>
                  <w:r w:rsidRPr="001E3185">
                    <w:rPr>
                      <w:rFonts w:cs="Arial"/>
                      <w:b/>
                      <w:sz w:val="18"/>
                      <w:szCs w:val="18"/>
                    </w:rPr>
                    <w:t>[kg.d</w:t>
                  </w:r>
                  <w:r w:rsidRPr="001E3185">
                    <w:rPr>
                      <w:rFonts w:cs="Arial"/>
                      <w:b/>
                      <w:sz w:val="18"/>
                      <w:szCs w:val="18"/>
                      <w:vertAlign w:val="superscript"/>
                    </w:rPr>
                    <w:t>-1</w:t>
                  </w:r>
                  <w:r w:rsidRPr="001E3185">
                    <w:rPr>
                      <w:rFonts w:cs="Arial"/>
                      <w:b/>
                      <w:sz w:val="18"/>
                      <w:szCs w:val="18"/>
                    </w:rPr>
                    <w:t>]</w:t>
                  </w:r>
                </w:p>
              </w:tc>
            </w:tr>
            <w:tr w:rsidR="00692E71" w:rsidRPr="001E3185" w14:paraId="371C1E91" w14:textId="77777777" w:rsidTr="008E0250">
              <w:tc>
                <w:tcPr>
                  <w:tcW w:w="1667" w:type="pct"/>
                  <w:shd w:val="clear" w:color="auto" w:fill="auto"/>
                </w:tcPr>
                <w:p w14:paraId="08D3EE88" w14:textId="77777777" w:rsidR="00692E71" w:rsidRPr="001E3185" w:rsidRDefault="00692E71" w:rsidP="008E0250">
                  <w:pPr>
                    <w:autoSpaceDE w:val="0"/>
                    <w:autoSpaceDN w:val="0"/>
                    <w:rPr>
                      <w:rFonts w:cs="Arial"/>
                      <w:sz w:val="18"/>
                      <w:szCs w:val="18"/>
                    </w:rPr>
                  </w:pPr>
                </w:p>
              </w:tc>
              <w:tc>
                <w:tcPr>
                  <w:tcW w:w="1667" w:type="pct"/>
                  <w:shd w:val="clear" w:color="auto" w:fill="auto"/>
                  <w:vAlign w:val="center"/>
                </w:tcPr>
                <w:p w14:paraId="4572827D" w14:textId="77777777" w:rsidR="00692E71" w:rsidRPr="001E3185" w:rsidRDefault="00692E71" w:rsidP="008E0250">
                  <w:pPr>
                    <w:autoSpaceDE w:val="0"/>
                    <w:autoSpaceDN w:val="0"/>
                    <w:jc w:val="center"/>
                    <w:rPr>
                      <w:rFonts w:cs="Arial"/>
                      <w:sz w:val="18"/>
                      <w:szCs w:val="18"/>
                    </w:rPr>
                  </w:pPr>
                  <w:r w:rsidRPr="001E3185">
                    <w:rPr>
                      <w:rFonts w:cs="Arial"/>
                      <w:sz w:val="18"/>
                      <w:szCs w:val="18"/>
                    </w:rPr>
                    <w:t>Professional</w:t>
                  </w:r>
                </w:p>
              </w:tc>
              <w:tc>
                <w:tcPr>
                  <w:tcW w:w="1666" w:type="pct"/>
                  <w:shd w:val="clear" w:color="auto" w:fill="auto"/>
                  <w:vAlign w:val="center"/>
                </w:tcPr>
                <w:p w14:paraId="5504E042" w14:textId="77777777" w:rsidR="00692E71" w:rsidRPr="001E3185" w:rsidRDefault="00692E71" w:rsidP="008E0250">
                  <w:pPr>
                    <w:autoSpaceDE w:val="0"/>
                    <w:autoSpaceDN w:val="0"/>
                    <w:jc w:val="center"/>
                    <w:rPr>
                      <w:rFonts w:cs="Arial"/>
                      <w:sz w:val="18"/>
                      <w:szCs w:val="18"/>
                    </w:rPr>
                  </w:pPr>
                  <w:r w:rsidRPr="001E3185">
                    <w:rPr>
                      <w:rFonts w:cs="Arial"/>
                      <w:sz w:val="18"/>
                      <w:szCs w:val="18"/>
                    </w:rPr>
                    <w:t>Non professional</w:t>
                  </w:r>
                </w:p>
              </w:tc>
            </w:tr>
            <w:tr w:rsidR="00692E71" w:rsidRPr="001E3185" w14:paraId="6B30272A" w14:textId="77777777" w:rsidTr="008E0250">
              <w:tc>
                <w:tcPr>
                  <w:tcW w:w="1667" w:type="pct"/>
                  <w:shd w:val="clear" w:color="auto" w:fill="auto"/>
                  <w:vAlign w:val="center"/>
                </w:tcPr>
                <w:p w14:paraId="4CCD6B4E" w14:textId="77777777" w:rsidR="00692E71" w:rsidRPr="001E3185" w:rsidRDefault="00692E71" w:rsidP="008E0250">
                  <w:pPr>
                    <w:autoSpaceDE w:val="0"/>
                    <w:autoSpaceDN w:val="0"/>
                    <w:rPr>
                      <w:rFonts w:cs="Arial"/>
                      <w:sz w:val="18"/>
                      <w:szCs w:val="18"/>
                    </w:rPr>
                  </w:pPr>
                  <w:r w:rsidRPr="001E3185">
                    <w:rPr>
                      <w:rFonts w:cs="Arial"/>
                      <w:sz w:val="18"/>
                      <w:szCs w:val="18"/>
                    </w:rPr>
                    <w:t>Tebuconazole</w:t>
                  </w:r>
                </w:p>
              </w:tc>
              <w:tc>
                <w:tcPr>
                  <w:tcW w:w="1667" w:type="pct"/>
                  <w:shd w:val="clear" w:color="auto" w:fill="auto"/>
                  <w:vAlign w:val="center"/>
                </w:tcPr>
                <w:p w14:paraId="7F9A65E0" w14:textId="77777777" w:rsidR="00692E71" w:rsidRPr="001E3185" w:rsidRDefault="00692E71" w:rsidP="008E0250">
                  <w:pPr>
                    <w:autoSpaceDE w:val="0"/>
                    <w:autoSpaceDN w:val="0"/>
                    <w:jc w:val="center"/>
                    <w:rPr>
                      <w:rFonts w:cs="Arial"/>
                      <w:sz w:val="18"/>
                      <w:szCs w:val="18"/>
                    </w:rPr>
                  </w:pPr>
                  <w:r w:rsidRPr="001E3185">
                    <w:rPr>
                      <w:rFonts w:cs="Arial"/>
                      <w:sz w:val="18"/>
                      <w:szCs w:val="18"/>
                    </w:rPr>
                    <w:t>3.00E-05</w:t>
                  </w:r>
                </w:p>
              </w:tc>
              <w:tc>
                <w:tcPr>
                  <w:tcW w:w="1666" w:type="pct"/>
                  <w:shd w:val="clear" w:color="auto" w:fill="auto"/>
                  <w:vAlign w:val="center"/>
                </w:tcPr>
                <w:p w14:paraId="61433AB5" w14:textId="77777777" w:rsidR="00692E71" w:rsidRPr="001E3185" w:rsidRDefault="00692E71" w:rsidP="008E0250">
                  <w:pPr>
                    <w:autoSpaceDE w:val="0"/>
                    <w:autoSpaceDN w:val="0"/>
                    <w:jc w:val="center"/>
                    <w:rPr>
                      <w:rFonts w:cs="Arial"/>
                      <w:sz w:val="18"/>
                      <w:szCs w:val="18"/>
                    </w:rPr>
                  </w:pPr>
                  <w:r w:rsidRPr="001E3185">
                    <w:rPr>
                      <w:rFonts w:cs="Arial"/>
                      <w:sz w:val="18"/>
                      <w:szCs w:val="18"/>
                    </w:rPr>
                    <w:t>5.00E-05</w:t>
                  </w:r>
                </w:p>
              </w:tc>
            </w:tr>
            <w:tr w:rsidR="00692E71" w:rsidRPr="001E3185" w14:paraId="59FA595D" w14:textId="77777777" w:rsidTr="008E0250">
              <w:tc>
                <w:tcPr>
                  <w:tcW w:w="1667" w:type="pct"/>
                  <w:shd w:val="clear" w:color="auto" w:fill="auto"/>
                  <w:vAlign w:val="center"/>
                </w:tcPr>
                <w:p w14:paraId="315B684D" w14:textId="77777777" w:rsidR="00692E71" w:rsidRPr="001E3185" w:rsidRDefault="00692E71" w:rsidP="008E0250">
                  <w:pPr>
                    <w:autoSpaceDE w:val="0"/>
                    <w:autoSpaceDN w:val="0"/>
                    <w:rPr>
                      <w:rFonts w:cs="Arial"/>
                      <w:sz w:val="18"/>
                      <w:szCs w:val="18"/>
                    </w:rPr>
                  </w:pPr>
                  <w:r w:rsidRPr="001E3185">
                    <w:rPr>
                      <w:rFonts w:cs="Arial"/>
                      <w:sz w:val="18"/>
                      <w:szCs w:val="18"/>
                    </w:rPr>
                    <w:t>Propiconazole</w:t>
                  </w:r>
                </w:p>
              </w:tc>
              <w:tc>
                <w:tcPr>
                  <w:tcW w:w="1667" w:type="pct"/>
                  <w:shd w:val="clear" w:color="auto" w:fill="auto"/>
                  <w:vAlign w:val="center"/>
                </w:tcPr>
                <w:p w14:paraId="1ABD1722" w14:textId="77777777" w:rsidR="00692E71" w:rsidRPr="001E3185" w:rsidRDefault="00692E71" w:rsidP="008E0250">
                  <w:pPr>
                    <w:autoSpaceDE w:val="0"/>
                    <w:autoSpaceDN w:val="0"/>
                    <w:jc w:val="center"/>
                    <w:rPr>
                      <w:rFonts w:cs="Arial"/>
                      <w:sz w:val="18"/>
                      <w:szCs w:val="18"/>
                    </w:rPr>
                  </w:pPr>
                  <w:r w:rsidRPr="001E3185">
                    <w:rPr>
                      <w:rFonts w:cs="Arial"/>
                      <w:sz w:val="18"/>
                      <w:szCs w:val="18"/>
                    </w:rPr>
                    <w:t>9.60E-05</w:t>
                  </w:r>
                </w:p>
              </w:tc>
              <w:tc>
                <w:tcPr>
                  <w:tcW w:w="1666" w:type="pct"/>
                  <w:shd w:val="clear" w:color="auto" w:fill="auto"/>
                  <w:vAlign w:val="center"/>
                </w:tcPr>
                <w:p w14:paraId="632D3FED" w14:textId="77777777" w:rsidR="00692E71" w:rsidRPr="001E3185" w:rsidRDefault="00692E71" w:rsidP="008E0250">
                  <w:pPr>
                    <w:autoSpaceDE w:val="0"/>
                    <w:autoSpaceDN w:val="0"/>
                    <w:jc w:val="center"/>
                    <w:rPr>
                      <w:rFonts w:cs="Arial"/>
                      <w:sz w:val="18"/>
                      <w:szCs w:val="18"/>
                    </w:rPr>
                  </w:pPr>
                  <w:r w:rsidRPr="001E3185">
                    <w:rPr>
                      <w:rFonts w:cs="Arial"/>
                      <w:sz w:val="18"/>
                      <w:szCs w:val="18"/>
                    </w:rPr>
                    <w:t>1.60E-04</w:t>
                  </w:r>
                </w:p>
              </w:tc>
            </w:tr>
            <w:tr w:rsidR="00692E71" w:rsidRPr="001E3185" w14:paraId="4C9904CC" w14:textId="77777777" w:rsidTr="008E0250">
              <w:tc>
                <w:tcPr>
                  <w:tcW w:w="1667" w:type="pct"/>
                  <w:shd w:val="clear" w:color="auto" w:fill="auto"/>
                  <w:vAlign w:val="center"/>
                </w:tcPr>
                <w:p w14:paraId="74431EB2" w14:textId="77777777" w:rsidR="00692E71" w:rsidRPr="001E3185" w:rsidRDefault="00692E71" w:rsidP="008E0250">
                  <w:pPr>
                    <w:autoSpaceDE w:val="0"/>
                    <w:autoSpaceDN w:val="0"/>
                    <w:rPr>
                      <w:rFonts w:cs="Arial"/>
                      <w:sz w:val="18"/>
                      <w:szCs w:val="18"/>
                    </w:rPr>
                  </w:pPr>
                  <w:r w:rsidRPr="001E3185">
                    <w:rPr>
                      <w:rFonts w:cs="Arial"/>
                      <w:sz w:val="18"/>
                      <w:szCs w:val="18"/>
                    </w:rPr>
                    <w:t>Cypermethrin</w:t>
                  </w:r>
                </w:p>
              </w:tc>
              <w:tc>
                <w:tcPr>
                  <w:tcW w:w="1667" w:type="pct"/>
                  <w:shd w:val="clear" w:color="auto" w:fill="auto"/>
                  <w:vAlign w:val="center"/>
                </w:tcPr>
                <w:p w14:paraId="4DFD91AB" w14:textId="77777777" w:rsidR="00692E71" w:rsidRPr="001E3185" w:rsidRDefault="00692E71" w:rsidP="008E0250">
                  <w:pPr>
                    <w:autoSpaceDE w:val="0"/>
                    <w:autoSpaceDN w:val="0"/>
                    <w:jc w:val="center"/>
                    <w:rPr>
                      <w:rFonts w:cs="Arial"/>
                      <w:sz w:val="18"/>
                      <w:szCs w:val="18"/>
                    </w:rPr>
                  </w:pPr>
                  <w:r w:rsidRPr="001E3185">
                    <w:rPr>
                      <w:rFonts w:cs="Arial"/>
                      <w:sz w:val="18"/>
                      <w:szCs w:val="18"/>
                    </w:rPr>
                    <w:t>4.80E-05</w:t>
                  </w:r>
                </w:p>
              </w:tc>
              <w:tc>
                <w:tcPr>
                  <w:tcW w:w="1666" w:type="pct"/>
                  <w:shd w:val="clear" w:color="auto" w:fill="auto"/>
                  <w:vAlign w:val="center"/>
                </w:tcPr>
                <w:p w14:paraId="13CA2278" w14:textId="77777777" w:rsidR="00692E71" w:rsidRPr="001E3185" w:rsidRDefault="00692E71" w:rsidP="008E0250">
                  <w:pPr>
                    <w:autoSpaceDE w:val="0"/>
                    <w:autoSpaceDN w:val="0"/>
                    <w:jc w:val="center"/>
                    <w:rPr>
                      <w:rFonts w:cs="Arial"/>
                      <w:sz w:val="18"/>
                      <w:szCs w:val="18"/>
                    </w:rPr>
                  </w:pPr>
                  <w:r w:rsidRPr="001E3185">
                    <w:rPr>
                      <w:rFonts w:cs="Arial"/>
                      <w:sz w:val="18"/>
                      <w:szCs w:val="18"/>
                    </w:rPr>
                    <w:t>8.00E-05</w:t>
                  </w:r>
                </w:p>
              </w:tc>
            </w:tr>
            <w:tr w:rsidR="00692E71" w:rsidRPr="001E3185" w14:paraId="1D5B005D" w14:textId="77777777" w:rsidTr="008E0250">
              <w:tc>
                <w:tcPr>
                  <w:tcW w:w="1667" w:type="pct"/>
                  <w:shd w:val="clear" w:color="auto" w:fill="auto"/>
                  <w:vAlign w:val="center"/>
                </w:tcPr>
                <w:p w14:paraId="2559F096" w14:textId="77777777" w:rsidR="00692E71" w:rsidRPr="001E3185" w:rsidRDefault="00692E71" w:rsidP="008E0250">
                  <w:pPr>
                    <w:autoSpaceDE w:val="0"/>
                    <w:autoSpaceDN w:val="0"/>
                    <w:rPr>
                      <w:rFonts w:cs="Arial"/>
                      <w:sz w:val="18"/>
                      <w:szCs w:val="18"/>
                    </w:rPr>
                  </w:pPr>
                  <w:r w:rsidRPr="001E3185">
                    <w:rPr>
                      <w:rFonts w:cs="Arial"/>
                      <w:sz w:val="18"/>
                      <w:szCs w:val="18"/>
                    </w:rPr>
                    <w:t>IPBC</w:t>
                  </w:r>
                </w:p>
              </w:tc>
              <w:tc>
                <w:tcPr>
                  <w:tcW w:w="1667" w:type="pct"/>
                  <w:shd w:val="clear" w:color="auto" w:fill="auto"/>
                  <w:vAlign w:val="center"/>
                </w:tcPr>
                <w:p w14:paraId="066F623E" w14:textId="77777777" w:rsidR="00692E71" w:rsidRPr="001E3185" w:rsidRDefault="00692E71" w:rsidP="008E0250">
                  <w:pPr>
                    <w:autoSpaceDE w:val="0"/>
                    <w:autoSpaceDN w:val="0"/>
                    <w:jc w:val="center"/>
                    <w:rPr>
                      <w:rFonts w:cs="Arial"/>
                      <w:sz w:val="18"/>
                      <w:szCs w:val="18"/>
                    </w:rPr>
                  </w:pPr>
                  <w:r w:rsidRPr="001E3185">
                    <w:rPr>
                      <w:rFonts w:cs="Arial"/>
                      <w:sz w:val="18"/>
                      <w:szCs w:val="18"/>
                    </w:rPr>
                    <w:t>3.00E-05</w:t>
                  </w:r>
                </w:p>
              </w:tc>
              <w:tc>
                <w:tcPr>
                  <w:tcW w:w="1666" w:type="pct"/>
                  <w:shd w:val="clear" w:color="auto" w:fill="auto"/>
                  <w:vAlign w:val="center"/>
                </w:tcPr>
                <w:p w14:paraId="7A189D64" w14:textId="77777777" w:rsidR="00692E71" w:rsidRPr="001E3185" w:rsidRDefault="00692E71" w:rsidP="008E0250">
                  <w:pPr>
                    <w:autoSpaceDE w:val="0"/>
                    <w:autoSpaceDN w:val="0"/>
                    <w:jc w:val="center"/>
                    <w:rPr>
                      <w:rFonts w:cs="Arial"/>
                      <w:sz w:val="18"/>
                      <w:szCs w:val="18"/>
                    </w:rPr>
                  </w:pPr>
                  <w:r w:rsidRPr="001E3185">
                    <w:rPr>
                      <w:rFonts w:cs="Arial"/>
                      <w:sz w:val="18"/>
                      <w:szCs w:val="18"/>
                    </w:rPr>
                    <w:t>5.00E-05</w:t>
                  </w:r>
                </w:p>
              </w:tc>
            </w:tr>
            <w:tr w:rsidR="00692E71" w:rsidRPr="001E3185" w14:paraId="291C1EAD" w14:textId="77777777" w:rsidTr="008E0250">
              <w:tc>
                <w:tcPr>
                  <w:tcW w:w="1667" w:type="pct"/>
                  <w:shd w:val="clear" w:color="auto" w:fill="auto"/>
                  <w:vAlign w:val="center"/>
                </w:tcPr>
                <w:p w14:paraId="4729AD27" w14:textId="77777777" w:rsidR="00692E71" w:rsidRPr="001E3185" w:rsidRDefault="00692E71" w:rsidP="008E0250">
                  <w:pPr>
                    <w:autoSpaceDE w:val="0"/>
                    <w:autoSpaceDN w:val="0"/>
                    <w:rPr>
                      <w:rFonts w:cs="Arial"/>
                      <w:sz w:val="18"/>
                      <w:szCs w:val="18"/>
                    </w:rPr>
                  </w:pPr>
                  <w:r w:rsidRPr="001E3185">
                    <w:rPr>
                      <w:rFonts w:cs="Arial"/>
                      <w:sz w:val="18"/>
                      <w:szCs w:val="18"/>
                    </w:rPr>
                    <w:t>PBC</w:t>
                  </w:r>
                </w:p>
              </w:tc>
              <w:tc>
                <w:tcPr>
                  <w:tcW w:w="1667" w:type="pct"/>
                  <w:shd w:val="clear" w:color="auto" w:fill="auto"/>
                  <w:vAlign w:val="center"/>
                </w:tcPr>
                <w:p w14:paraId="24E481F1" w14:textId="77777777" w:rsidR="00692E71" w:rsidRPr="001E3185" w:rsidRDefault="00692E71" w:rsidP="008E0250">
                  <w:pPr>
                    <w:autoSpaceDE w:val="0"/>
                    <w:autoSpaceDN w:val="0"/>
                    <w:jc w:val="center"/>
                    <w:rPr>
                      <w:rFonts w:cs="Arial"/>
                      <w:sz w:val="18"/>
                      <w:szCs w:val="18"/>
                    </w:rPr>
                  </w:pPr>
                  <w:r w:rsidRPr="001E3185">
                    <w:rPr>
                      <w:rFonts w:cs="Arial"/>
                      <w:sz w:val="18"/>
                      <w:szCs w:val="18"/>
                    </w:rPr>
                    <w:t>1.66E-05</w:t>
                  </w:r>
                </w:p>
              </w:tc>
              <w:tc>
                <w:tcPr>
                  <w:tcW w:w="1666" w:type="pct"/>
                  <w:shd w:val="clear" w:color="auto" w:fill="auto"/>
                  <w:vAlign w:val="center"/>
                </w:tcPr>
                <w:p w14:paraId="6D59CD0B" w14:textId="77777777" w:rsidR="00692E71" w:rsidRPr="001E3185" w:rsidRDefault="00692E71" w:rsidP="008E0250">
                  <w:pPr>
                    <w:autoSpaceDE w:val="0"/>
                    <w:autoSpaceDN w:val="0"/>
                    <w:jc w:val="center"/>
                    <w:rPr>
                      <w:rFonts w:cs="Arial"/>
                      <w:sz w:val="18"/>
                      <w:szCs w:val="18"/>
                    </w:rPr>
                  </w:pPr>
                  <w:r w:rsidRPr="001E3185">
                    <w:rPr>
                      <w:rFonts w:cs="Arial"/>
                      <w:sz w:val="18"/>
                      <w:szCs w:val="18"/>
                    </w:rPr>
                    <w:t>2.76E-05</w:t>
                  </w:r>
                </w:p>
              </w:tc>
            </w:tr>
          </w:tbl>
          <w:p w14:paraId="36D19A1B" w14:textId="77777777" w:rsidR="00692E71" w:rsidRPr="001E3185" w:rsidRDefault="00692E71" w:rsidP="008E0250">
            <w:pPr>
              <w:autoSpaceDE w:val="0"/>
              <w:autoSpaceDN w:val="0"/>
              <w:spacing w:line="276" w:lineRule="auto"/>
              <w:rPr>
                <w:rFonts w:cs="Arial"/>
              </w:rPr>
            </w:pPr>
          </w:p>
          <w:p w14:paraId="2211CDAF" w14:textId="77777777" w:rsidR="00692E71" w:rsidRPr="001E3185" w:rsidRDefault="00692E71" w:rsidP="008E0250">
            <w:pPr>
              <w:autoSpaceDE w:val="0"/>
              <w:autoSpaceDN w:val="0"/>
              <w:spacing w:line="276" w:lineRule="auto"/>
              <w:rPr>
                <w:rFonts w:cs="Arial"/>
              </w:rPr>
            </w:pPr>
          </w:p>
          <w:p w14:paraId="200C7E2E" w14:textId="77777777" w:rsidR="00692E71" w:rsidRPr="001E3185" w:rsidRDefault="00692E71" w:rsidP="00F32B7F">
            <w:pPr>
              <w:pStyle w:val="Lgende"/>
              <w:numPr>
                <w:ilvl w:val="1"/>
                <w:numId w:val="18"/>
              </w:numPr>
              <w:suppressAutoHyphens w:val="0"/>
              <w:spacing w:after="200"/>
              <w:rPr>
                <w:rFonts w:ascii="Verdana" w:hAnsi="Verdana"/>
              </w:rPr>
            </w:pPr>
            <w:r w:rsidRPr="001E3185">
              <w:rPr>
                <w:rFonts w:ascii="Verdana" w:hAnsi="Verdana"/>
              </w:rPr>
              <w:t>Emissions from in-situ spraying application</w:t>
            </w:r>
          </w:p>
          <w:p w14:paraId="1A5168C1" w14:textId="77777777" w:rsidR="00692E71" w:rsidRPr="001E3185" w:rsidRDefault="00692E71" w:rsidP="008E0250">
            <w:pPr>
              <w:autoSpaceDE w:val="0"/>
              <w:autoSpaceDN w:val="0"/>
              <w:spacing w:before="120" w:after="120" w:line="276" w:lineRule="auto"/>
              <w:rPr>
                <w:rFonts w:cs="Arial"/>
              </w:rPr>
            </w:pPr>
          </w:p>
          <w:p w14:paraId="402C76E0" w14:textId="77777777" w:rsidR="00692E71" w:rsidRPr="001E3185" w:rsidRDefault="00692E71" w:rsidP="008E0250">
            <w:pPr>
              <w:keepNext/>
              <w:autoSpaceDE w:val="0"/>
              <w:autoSpaceDN w:val="0"/>
              <w:spacing w:before="120" w:line="276" w:lineRule="auto"/>
              <w:rPr>
                <w:rFonts w:cs="Arial"/>
              </w:rPr>
            </w:pPr>
            <w:r w:rsidRPr="001E3185">
              <w:rPr>
                <w:rFonts w:cs="Arial"/>
                <w:b/>
              </w:rPr>
              <w:t>Inputs – calculations of emissions from application by spraying – bridge scenario</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2175"/>
              <w:gridCol w:w="2177"/>
              <w:gridCol w:w="1055"/>
            </w:tblGrid>
            <w:tr w:rsidR="00692E71" w:rsidRPr="001E3185" w14:paraId="1DF1BF21" w14:textId="77777777" w:rsidTr="008E0250">
              <w:trPr>
                <w:trHeight w:val="340"/>
              </w:trPr>
              <w:tc>
                <w:tcPr>
                  <w:tcW w:w="5000" w:type="pct"/>
                  <w:gridSpan w:val="4"/>
                  <w:shd w:val="clear" w:color="auto" w:fill="auto"/>
                  <w:vAlign w:val="center"/>
                </w:tcPr>
                <w:p w14:paraId="04D94326" w14:textId="77777777" w:rsidR="00692E71" w:rsidRPr="001E3185" w:rsidRDefault="00692E71" w:rsidP="008E0250">
                  <w:pPr>
                    <w:keepNext/>
                    <w:autoSpaceDE w:val="0"/>
                    <w:autoSpaceDN w:val="0"/>
                    <w:rPr>
                      <w:rFonts w:cs="Arial"/>
                      <w:b/>
                    </w:rPr>
                  </w:pPr>
                  <w:r w:rsidRPr="001E3185">
                    <w:rPr>
                      <w:rFonts w:cs="Arial"/>
                      <w:b/>
                      <w:i/>
                      <w:u w:val="single"/>
                    </w:rPr>
                    <w:t>Inputs:</w:t>
                  </w:r>
                </w:p>
              </w:tc>
            </w:tr>
            <w:tr w:rsidR="00692E71" w:rsidRPr="001E3185" w14:paraId="1C8A121C" w14:textId="77777777" w:rsidTr="008E0250">
              <w:trPr>
                <w:trHeight w:val="340"/>
              </w:trPr>
              <w:tc>
                <w:tcPr>
                  <w:tcW w:w="2186" w:type="pct"/>
                  <w:shd w:val="clear" w:color="auto" w:fill="auto"/>
                  <w:vAlign w:val="center"/>
                </w:tcPr>
                <w:p w14:paraId="5E3E22EA" w14:textId="77777777" w:rsidR="00692E71" w:rsidRPr="001E3185" w:rsidRDefault="00692E71" w:rsidP="008E0250">
                  <w:pPr>
                    <w:autoSpaceDE w:val="0"/>
                    <w:autoSpaceDN w:val="0"/>
                    <w:rPr>
                      <w:rFonts w:cs="Arial"/>
                      <w:b/>
                    </w:rPr>
                  </w:pPr>
                  <w:r w:rsidRPr="001E3185">
                    <w:rPr>
                      <w:rFonts w:cs="Arial"/>
                      <w:b/>
                    </w:rPr>
                    <w:t>Parameter/variable</w:t>
                  </w:r>
                </w:p>
              </w:tc>
              <w:tc>
                <w:tcPr>
                  <w:tcW w:w="1132" w:type="pct"/>
                  <w:shd w:val="clear" w:color="auto" w:fill="auto"/>
                  <w:vAlign w:val="center"/>
                </w:tcPr>
                <w:p w14:paraId="10CE4141" w14:textId="77777777" w:rsidR="00692E71" w:rsidRPr="001E3185" w:rsidRDefault="00692E71" w:rsidP="008E0250">
                  <w:pPr>
                    <w:autoSpaceDE w:val="0"/>
                    <w:autoSpaceDN w:val="0"/>
                    <w:jc w:val="center"/>
                    <w:rPr>
                      <w:rFonts w:cs="Arial"/>
                      <w:b/>
                    </w:rPr>
                  </w:pPr>
                  <w:r w:rsidRPr="001E3185">
                    <w:rPr>
                      <w:rFonts w:cs="Arial"/>
                      <w:b/>
                    </w:rPr>
                    <w:t>Symbol</w:t>
                  </w:r>
                </w:p>
              </w:tc>
              <w:tc>
                <w:tcPr>
                  <w:tcW w:w="1133" w:type="pct"/>
                  <w:shd w:val="clear" w:color="auto" w:fill="auto"/>
                  <w:vAlign w:val="center"/>
                </w:tcPr>
                <w:p w14:paraId="53AA10B6" w14:textId="77777777" w:rsidR="00692E71" w:rsidRPr="001E3185" w:rsidRDefault="00692E71" w:rsidP="008E0250">
                  <w:pPr>
                    <w:autoSpaceDE w:val="0"/>
                    <w:autoSpaceDN w:val="0"/>
                    <w:jc w:val="center"/>
                    <w:rPr>
                      <w:rFonts w:cs="Arial"/>
                      <w:b/>
                    </w:rPr>
                  </w:pPr>
                  <w:r w:rsidRPr="001E3185">
                    <w:rPr>
                      <w:rFonts w:cs="Arial"/>
                      <w:b/>
                    </w:rPr>
                    <w:t>Value</w:t>
                  </w:r>
                </w:p>
              </w:tc>
              <w:tc>
                <w:tcPr>
                  <w:tcW w:w="550" w:type="pct"/>
                  <w:shd w:val="clear" w:color="auto" w:fill="auto"/>
                  <w:vAlign w:val="center"/>
                </w:tcPr>
                <w:p w14:paraId="3E4FF580" w14:textId="77777777" w:rsidR="00692E71" w:rsidRPr="001E3185" w:rsidRDefault="00692E71" w:rsidP="008E0250">
                  <w:pPr>
                    <w:autoSpaceDE w:val="0"/>
                    <w:autoSpaceDN w:val="0"/>
                    <w:jc w:val="center"/>
                    <w:rPr>
                      <w:rFonts w:cs="Arial"/>
                      <w:b/>
                    </w:rPr>
                  </w:pPr>
                  <w:r w:rsidRPr="001E3185">
                    <w:rPr>
                      <w:rFonts w:cs="Arial"/>
                      <w:b/>
                    </w:rPr>
                    <w:t>Unit</w:t>
                  </w:r>
                </w:p>
              </w:tc>
            </w:tr>
            <w:tr w:rsidR="00692E71" w:rsidRPr="001E3185" w14:paraId="0B6DE663" w14:textId="77777777" w:rsidTr="008E0250">
              <w:trPr>
                <w:trHeight w:val="340"/>
              </w:trPr>
              <w:tc>
                <w:tcPr>
                  <w:tcW w:w="2186" w:type="pct"/>
                  <w:shd w:val="clear" w:color="auto" w:fill="auto"/>
                  <w:vAlign w:val="center"/>
                </w:tcPr>
                <w:p w14:paraId="77E57125" w14:textId="77777777" w:rsidR="00692E71" w:rsidRPr="001E3185" w:rsidRDefault="00692E71" w:rsidP="008E0250">
                  <w:pPr>
                    <w:autoSpaceDE w:val="0"/>
                    <w:autoSpaceDN w:val="0"/>
                    <w:rPr>
                      <w:rFonts w:cs="Arial"/>
                    </w:rPr>
                  </w:pPr>
                  <w:r w:rsidRPr="001E3185">
                    <w:rPr>
                      <w:rFonts w:cs="Arial"/>
                    </w:rPr>
                    <w:t>Treated wood area</w:t>
                  </w:r>
                </w:p>
              </w:tc>
              <w:tc>
                <w:tcPr>
                  <w:tcW w:w="1132" w:type="pct"/>
                  <w:shd w:val="clear" w:color="auto" w:fill="auto"/>
                  <w:vAlign w:val="center"/>
                </w:tcPr>
                <w:p w14:paraId="38328264" w14:textId="77777777" w:rsidR="00692E71" w:rsidRPr="001E3185" w:rsidRDefault="00692E71" w:rsidP="008E0250">
                  <w:pPr>
                    <w:autoSpaceDE w:val="0"/>
                    <w:autoSpaceDN w:val="0"/>
                    <w:jc w:val="center"/>
                    <w:rPr>
                      <w:rFonts w:cs="Arial"/>
                    </w:rPr>
                  </w:pPr>
                  <w:r w:rsidRPr="001E3185">
                    <w:rPr>
                      <w:rFonts w:cs="Arial"/>
                    </w:rPr>
                    <w:t>AREA</w:t>
                  </w:r>
                  <w:r w:rsidRPr="001E3185">
                    <w:rPr>
                      <w:rFonts w:cs="Arial"/>
                      <w:vertAlign w:val="subscript"/>
                    </w:rPr>
                    <w:t>bridge</w:t>
                  </w:r>
                </w:p>
              </w:tc>
              <w:tc>
                <w:tcPr>
                  <w:tcW w:w="1133" w:type="pct"/>
                  <w:shd w:val="clear" w:color="auto" w:fill="auto"/>
                  <w:vAlign w:val="center"/>
                </w:tcPr>
                <w:p w14:paraId="04C10A2D" w14:textId="77777777" w:rsidR="00692E71" w:rsidRPr="001E3185" w:rsidRDefault="00692E71" w:rsidP="008E0250">
                  <w:pPr>
                    <w:autoSpaceDE w:val="0"/>
                    <w:autoSpaceDN w:val="0"/>
                    <w:jc w:val="center"/>
                    <w:rPr>
                      <w:rFonts w:cs="Arial"/>
                    </w:rPr>
                  </w:pPr>
                  <w:r w:rsidRPr="001E3185">
                    <w:rPr>
                      <w:rFonts w:cs="Arial"/>
                    </w:rPr>
                    <w:t>10</w:t>
                  </w:r>
                </w:p>
              </w:tc>
              <w:tc>
                <w:tcPr>
                  <w:tcW w:w="550" w:type="pct"/>
                  <w:shd w:val="clear" w:color="auto" w:fill="auto"/>
                  <w:vAlign w:val="center"/>
                </w:tcPr>
                <w:p w14:paraId="7CB01DA3" w14:textId="77777777" w:rsidR="00692E71" w:rsidRPr="001E3185" w:rsidRDefault="00692E71" w:rsidP="008E0250">
                  <w:pPr>
                    <w:autoSpaceDE w:val="0"/>
                    <w:autoSpaceDN w:val="0"/>
                    <w:jc w:val="center"/>
                    <w:rPr>
                      <w:rFonts w:cs="Arial"/>
                    </w:rPr>
                  </w:pPr>
                  <w:r w:rsidRPr="001E3185">
                    <w:rPr>
                      <w:rFonts w:cs="Arial"/>
                    </w:rPr>
                    <w:t>[m².d</w:t>
                  </w:r>
                  <w:r w:rsidRPr="001E3185">
                    <w:rPr>
                      <w:rFonts w:cs="Arial"/>
                      <w:vertAlign w:val="superscript"/>
                    </w:rPr>
                    <w:t>-1</w:t>
                  </w:r>
                  <w:r w:rsidRPr="001E3185">
                    <w:rPr>
                      <w:rFonts w:cs="Arial"/>
                    </w:rPr>
                    <w:t>]</w:t>
                  </w:r>
                </w:p>
              </w:tc>
            </w:tr>
            <w:tr w:rsidR="00692E71" w:rsidRPr="001E3185" w14:paraId="5BFE9374" w14:textId="77777777" w:rsidTr="008E0250">
              <w:trPr>
                <w:trHeight w:val="340"/>
              </w:trPr>
              <w:tc>
                <w:tcPr>
                  <w:tcW w:w="2186" w:type="pct"/>
                  <w:shd w:val="clear" w:color="auto" w:fill="auto"/>
                  <w:vAlign w:val="center"/>
                </w:tcPr>
                <w:p w14:paraId="122C144C" w14:textId="77777777" w:rsidR="00692E71" w:rsidRPr="001E3185" w:rsidRDefault="00692E71" w:rsidP="008E0250">
                  <w:pPr>
                    <w:autoSpaceDE w:val="0"/>
                    <w:autoSpaceDN w:val="0"/>
                    <w:rPr>
                      <w:rFonts w:cs="Arial"/>
                    </w:rPr>
                  </w:pPr>
                  <w:r w:rsidRPr="001E3185">
                    <w:rPr>
                      <w:rFonts w:cs="Arial"/>
                    </w:rPr>
                    <w:t>Application rate of the product</w:t>
                  </w:r>
                </w:p>
              </w:tc>
              <w:tc>
                <w:tcPr>
                  <w:tcW w:w="1132" w:type="pct"/>
                  <w:shd w:val="clear" w:color="auto" w:fill="auto"/>
                  <w:vAlign w:val="center"/>
                </w:tcPr>
                <w:p w14:paraId="40136128" w14:textId="77777777" w:rsidR="00692E71" w:rsidRPr="001E3185" w:rsidRDefault="00692E71" w:rsidP="008E0250">
                  <w:pPr>
                    <w:autoSpaceDE w:val="0"/>
                    <w:autoSpaceDN w:val="0"/>
                    <w:jc w:val="center"/>
                    <w:rPr>
                      <w:rFonts w:cs="Arial"/>
                    </w:rPr>
                  </w:pPr>
                  <w:r w:rsidRPr="001E3185">
                    <w:rPr>
                      <w:rFonts w:cs="Arial"/>
                    </w:rPr>
                    <w:t>Q</w:t>
                  </w:r>
                  <w:r w:rsidRPr="001E3185">
                    <w:rPr>
                      <w:rFonts w:cs="Arial"/>
                      <w:vertAlign w:val="subscript"/>
                    </w:rPr>
                    <w:t>applic.product</w:t>
                  </w:r>
                </w:p>
              </w:tc>
              <w:tc>
                <w:tcPr>
                  <w:tcW w:w="1133" w:type="pct"/>
                  <w:shd w:val="clear" w:color="auto" w:fill="auto"/>
                  <w:vAlign w:val="center"/>
                </w:tcPr>
                <w:p w14:paraId="42830230" w14:textId="77777777" w:rsidR="00692E71" w:rsidRPr="001E3185" w:rsidRDefault="00692E71" w:rsidP="008E0250">
                  <w:pPr>
                    <w:autoSpaceDE w:val="0"/>
                    <w:autoSpaceDN w:val="0"/>
                    <w:jc w:val="center"/>
                    <w:rPr>
                      <w:rFonts w:cs="Arial"/>
                    </w:rPr>
                  </w:pPr>
                  <w:r w:rsidRPr="001E3185">
                    <w:rPr>
                      <w:rFonts w:cs="Arial"/>
                    </w:rPr>
                    <w:t>0.2</w:t>
                  </w:r>
                </w:p>
              </w:tc>
              <w:tc>
                <w:tcPr>
                  <w:tcW w:w="550" w:type="pct"/>
                  <w:shd w:val="clear" w:color="auto" w:fill="auto"/>
                  <w:vAlign w:val="center"/>
                </w:tcPr>
                <w:p w14:paraId="36F7D04B" w14:textId="77777777" w:rsidR="00692E71" w:rsidRPr="001E3185" w:rsidRDefault="00692E71" w:rsidP="008E0250">
                  <w:pPr>
                    <w:autoSpaceDE w:val="0"/>
                    <w:autoSpaceDN w:val="0"/>
                    <w:jc w:val="center"/>
                    <w:rPr>
                      <w:rFonts w:cs="Arial"/>
                    </w:rPr>
                  </w:pPr>
                  <w:r w:rsidRPr="001E3185">
                    <w:rPr>
                      <w:rFonts w:cs="Arial"/>
                    </w:rPr>
                    <w:t>[L.m</w:t>
                  </w:r>
                  <w:r w:rsidRPr="001E3185">
                    <w:rPr>
                      <w:rFonts w:cs="Arial"/>
                      <w:vertAlign w:val="superscript"/>
                    </w:rPr>
                    <w:t>-2</w:t>
                  </w:r>
                  <w:r w:rsidRPr="001E3185">
                    <w:rPr>
                      <w:rFonts w:cs="Arial"/>
                    </w:rPr>
                    <w:t>]</w:t>
                  </w:r>
                </w:p>
              </w:tc>
            </w:tr>
            <w:tr w:rsidR="00692E71" w:rsidRPr="001E3185" w14:paraId="191C52F6" w14:textId="77777777" w:rsidTr="008E0250">
              <w:trPr>
                <w:trHeight w:val="340"/>
              </w:trPr>
              <w:tc>
                <w:tcPr>
                  <w:tcW w:w="2186" w:type="pct"/>
                  <w:shd w:val="clear" w:color="auto" w:fill="auto"/>
                  <w:vAlign w:val="center"/>
                </w:tcPr>
                <w:p w14:paraId="506BAA8C" w14:textId="77777777" w:rsidR="00692E71" w:rsidRPr="001E3185" w:rsidRDefault="00692E71" w:rsidP="008E0250">
                  <w:pPr>
                    <w:autoSpaceDE w:val="0"/>
                    <w:autoSpaceDN w:val="0"/>
                    <w:rPr>
                      <w:rFonts w:cs="Arial"/>
                    </w:rPr>
                  </w:pPr>
                  <w:r w:rsidRPr="001E3185">
                    <w:rPr>
                      <w:rFonts w:cs="Arial"/>
                    </w:rPr>
                    <w:t>Content of the active substances</w:t>
                  </w:r>
                </w:p>
              </w:tc>
              <w:tc>
                <w:tcPr>
                  <w:tcW w:w="1132" w:type="pct"/>
                  <w:shd w:val="clear" w:color="auto" w:fill="auto"/>
                  <w:vAlign w:val="center"/>
                </w:tcPr>
                <w:p w14:paraId="4D7A9BCB" w14:textId="77777777" w:rsidR="00692E71" w:rsidRPr="001E3185" w:rsidRDefault="00692E71" w:rsidP="008E0250">
                  <w:pPr>
                    <w:autoSpaceDE w:val="0"/>
                    <w:autoSpaceDN w:val="0"/>
                    <w:jc w:val="center"/>
                    <w:rPr>
                      <w:rFonts w:cs="Arial"/>
                    </w:rPr>
                  </w:pPr>
                  <w:r w:rsidRPr="001E3185">
                    <w:rPr>
                      <w:rFonts w:cs="Arial"/>
                    </w:rPr>
                    <w:t>f</w:t>
                  </w:r>
                  <w:r w:rsidRPr="001E3185">
                    <w:rPr>
                      <w:rFonts w:cs="Arial"/>
                      <w:vertAlign w:val="subscript"/>
                    </w:rPr>
                    <w:t>ai</w:t>
                  </w:r>
                </w:p>
              </w:tc>
              <w:tc>
                <w:tcPr>
                  <w:tcW w:w="1133" w:type="pct"/>
                  <w:shd w:val="clear" w:color="auto" w:fill="auto"/>
                  <w:vAlign w:val="center"/>
                </w:tcPr>
                <w:p w14:paraId="73B799E7" w14:textId="77777777" w:rsidR="00692E71" w:rsidRPr="001E3185" w:rsidRDefault="00692E71" w:rsidP="008E0250">
                  <w:pPr>
                    <w:autoSpaceDE w:val="0"/>
                    <w:autoSpaceDN w:val="0"/>
                    <w:jc w:val="center"/>
                    <w:rPr>
                      <w:rFonts w:cs="Arial"/>
                    </w:rPr>
                  </w:pPr>
                  <w:r w:rsidRPr="001E3185">
                    <w:rPr>
                      <w:rFonts w:cs="Arial"/>
                    </w:rPr>
                    <w:t>See above</w:t>
                  </w:r>
                </w:p>
              </w:tc>
              <w:tc>
                <w:tcPr>
                  <w:tcW w:w="550" w:type="pct"/>
                  <w:shd w:val="clear" w:color="auto" w:fill="auto"/>
                  <w:vAlign w:val="center"/>
                </w:tcPr>
                <w:p w14:paraId="659826FB" w14:textId="77777777" w:rsidR="00692E71" w:rsidRPr="001E3185" w:rsidRDefault="00692E71" w:rsidP="008E0250">
                  <w:pPr>
                    <w:autoSpaceDE w:val="0"/>
                    <w:autoSpaceDN w:val="0"/>
                    <w:jc w:val="center"/>
                    <w:rPr>
                      <w:rFonts w:cs="Arial"/>
                    </w:rPr>
                  </w:pPr>
                  <w:r w:rsidRPr="001E3185">
                    <w:rPr>
                      <w:rFonts w:cs="Arial"/>
                    </w:rPr>
                    <w:t>[-]</w:t>
                  </w:r>
                </w:p>
              </w:tc>
            </w:tr>
            <w:tr w:rsidR="00692E71" w:rsidRPr="001E3185" w14:paraId="57DF4A32" w14:textId="77777777" w:rsidTr="008E0250">
              <w:trPr>
                <w:trHeight w:val="340"/>
              </w:trPr>
              <w:tc>
                <w:tcPr>
                  <w:tcW w:w="2186" w:type="pct"/>
                  <w:shd w:val="clear" w:color="auto" w:fill="auto"/>
                  <w:vAlign w:val="center"/>
                </w:tcPr>
                <w:p w14:paraId="6EA770CB" w14:textId="77777777" w:rsidR="00692E71" w:rsidRPr="001E3185" w:rsidRDefault="00692E71" w:rsidP="008E0250">
                  <w:pPr>
                    <w:autoSpaceDE w:val="0"/>
                    <w:autoSpaceDN w:val="0"/>
                    <w:rPr>
                      <w:rFonts w:cs="Arial"/>
                    </w:rPr>
                  </w:pPr>
                  <w:r w:rsidRPr="001E3185">
                    <w:rPr>
                      <w:rFonts w:cs="Arial"/>
                    </w:rPr>
                    <w:t>Density of the product</w:t>
                  </w:r>
                </w:p>
              </w:tc>
              <w:tc>
                <w:tcPr>
                  <w:tcW w:w="1132" w:type="pct"/>
                  <w:shd w:val="clear" w:color="auto" w:fill="auto"/>
                  <w:vAlign w:val="center"/>
                </w:tcPr>
                <w:p w14:paraId="289F1C40" w14:textId="77777777" w:rsidR="00692E71" w:rsidRPr="001E3185" w:rsidRDefault="00692E71" w:rsidP="008E0250">
                  <w:pPr>
                    <w:autoSpaceDE w:val="0"/>
                    <w:autoSpaceDN w:val="0"/>
                    <w:jc w:val="center"/>
                    <w:rPr>
                      <w:rFonts w:cs="Arial"/>
                    </w:rPr>
                  </w:pPr>
                  <w:r w:rsidRPr="001E3185">
                    <w:rPr>
                      <w:rFonts w:cs="Arial"/>
                    </w:rPr>
                    <w:t>RHO</w:t>
                  </w:r>
                  <w:r w:rsidRPr="001E3185">
                    <w:rPr>
                      <w:rFonts w:cs="Arial"/>
                      <w:vertAlign w:val="subscript"/>
                    </w:rPr>
                    <w:t>product</w:t>
                  </w:r>
                </w:p>
              </w:tc>
              <w:tc>
                <w:tcPr>
                  <w:tcW w:w="1133" w:type="pct"/>
                  <w:shd w:val="clear" w:color="auto" w:fill="auto"/>
                  <w:vAlign w:val="center"/>
                </w:tcPr>
                <w:p w14:paraId="7B0B8A81" w14:textId="77777777" w:rsidR="00692E71" w:rsidRPr="001E3185" w:rsidRDefault="00692E71" w:rsidP="008E0250">
                  <w:pPr>
                    <w:autoSpaceDE w:val="0"/>
                    <w:autoSpaceDN w:val="0"/>
                    <w:jc w:val="center"/>
                    <w:rPr>
                      <w:rFonts w:cs="Arial"/>
                    </w:rPr>
                  </w:pPr>
                  <w:r w:rsidRPr="001E3185">
                    <w:rPr>
                      <w:rFonts w:cs="Arial"/>
                    </w:rPr>
                    <w:t>1</w:t>
                  </w:r>
                </w:p>
              </w:tc>
              <w:tc>
                <w:tcPr>
                  <w:tcW w:w="550" w:type="pct"/>
                  <w:shd w:val="clear" w:color="auto" w:fill="auto"/>
                  <w:vAlign w:val="center"/>
                </w:tcPr>
                <w:p w14:paraId="04CD6D1B" w14:textId="15A748A1" w:rsidR="00692E71" w:rsidRPr="001E3185" w:rsidRDefault="00692E71" w:rsidP="00AC2A64">
                  <w:pPr>
                    <w:autoSpaceDE w:val="0"/>
                    <w:autoSpaceDN w:val="0"/>
                    <w:jc w:val="center"/>
                    <w:rPr>
                      <w:rFonts w:cs="Arial"/>
                    </w:rPr>
                  </w:pPr>
                  <w:r w:rsidRPr="001E3185">
                    <w:rPr>
                      <w:rFonts w:cs="Arial"/>
                    </w:rPr>
                    <w:t>[kg.</w:t>
                  </w:r>
                  <w:r w:rsidR="00AC2A64">
                    <w:rPr>
                      <w:rFonts w:cs="Arial"/>
                    </w:rPr>
                    <w:t>l</w:t>
                  </w:r>
                  <w:r w:rsidRPr="001E3185">
                    <w:rPr>
                      <w:rFonts w:cs="Arial"/>
                      <w:vertAlign w:val="superscript"/>
                    </w:rPr>
                    <w:t>-3</w:t>
                  </w:r>
                  <w:r w:rsidRPr="001E3185">
                    <w:rPr>
                      <w:rFonts w:cs="Arial"/>
                    </w:rPr>
                    <w:t>]</w:t>
                  </w:r>
                </w:p>
              </w:tc>
            </w:tr>
            <w:tr w:rsidR="00692E71" w:rsidRPr="001E3185" w14:paraId="1B7B2A2E" w14:textId="77777777" w:rsidTr="008E0250">
              <w:trPr>
                <w:trHeight w:val="340"/>
              </w:trPr>
              <w:tc>
                <w:tcPr>
                  <w:tcW w:w="2186" w:type="pct"/>
                  <w:shd w:val="clear" w:color="auto" w:fill="auto"/>
                  <w:vAlign w:val="center"/>
                </w:tcPr>
                <w:p w14:paraId="2C2E5282" w14:textId="77777777" w:rsidR="00692E71" w:rsidRPr="001E3185" w:rsidRDefault="00692E71" w:rsidP="008E0250">
                  <w:pPr>
                    <w:autoSpaceDE w:val="0"/>
                    <w:autoSpaceDN w:val="0"/>
                    <w:rPr>
                      <w:rFonts w:cs="Arial"/>
                    </w:rPr>
                  </w:pPr>
                  <w:r w:rsidRPr="001E3185">
                    <w:rPr>
                      <w:rFonts w:cs="Arial"/>
                    </w:rPr>
                    <w:t>Fraction of product lost to water during application by drift and by run-off</w:t>
                  </w:r>
                </w:p>
              </w:tc>
              <w:tc>
                <w:tcPr>
                  <w:tcW w:w="1132" w:type="pct"/>
                  <w:shd w:val="clear" w:color="auto" w:fill="auto"/>
                  <w:vAlign w:val="center"/>
                </w:tcPr>
                <w:p w14:paraId="081FFFC0" w14:textId="77777777" w:rsidR="00692E71" w:rsidRPr="001E3185" w:rsidRDefault="00692E71" w:rsidP="008E0250">
                  <w:pPr>
                    <w:autoSpaceDE w:val="0"/>
                    <w:autoSpaceDN w:val="0"/>
                    <w:jc w:val="center"/>
                    <w:rPr>
                      <w:rFonts w:cs="Arial"/>
                    </w:rPr>
                  </w:pPr>
                  <w:r w:rsidRPr="001E3185">
                    <w:rPr>
                      <w:rFonts w:cs="Arial"/>
                    </w:rPr>
                    <w:t>F</w:t>
                  </w:r>
                  <w:r w:rsidRPr="001E3185">
                    <w:rPr>
                      <w:rFonts w:cs="Arial"/>
                      <w:vertAlign w:val="subscript"/>
                    </w:rPr>
                    <w:t>water,spray</w:t>
                  </w:r>
                </w:p>
              </w:tc>
              <w:tc>
                <w:tcPr>
                  <w:tcW w:w="1133" w:type="pct"/>
                  <w:shd w:val="clear" w:color="auto" w:fill="auto"/>
                  <w:vAlign w:val="center"/>
                </w:tcPr>
                <w:p w14:paraId="4EA316E8" w14:textId="321D7F36" w:rsidR="00692E71" w:rsidRPr="001E3185" w:rsidRDefault="00692E71" w:rsidP="008E0250">
                  <w:pPr>
                    <w:autoSpaceDE w:val="0"/>
                    <w:autoSpaceDN w:val="0"/>
                    <w:jc w:val="center"/>
                    <w:rPr>
                      <w:rFonts w:cs="Arial"/>
                    </w:rPr>
                  </w:pPr>
                  <w:r w:rsidRPr="001E3185">
                    <w:rPr>
                      <w:rFonts w:cs="Arial"/>
                    </w:rPr>
                    <w:t>0.</w:t>
                  </w:r>
                  <w:r w:rsidR="00CE4011">
                    <w:rPr>
                      <w:rFonts w:cs="Arial"/>
                    </w:rPr>
                    <w:t>0</w:t>
                  </w:r>
                  <w:r w:rsidRPr="001E3185">
                    <w:rPr>
                      <w:rFonts w:cs="Arial"/>
                    </w:rPr>
                    <w:t>3</w:t>
                  </w:r>
                </w:p>
              </w:tc>
              <w:tc>
                <w:tcPr>
                  <w:tcW w:w="550" w:type="pct"/>
                  <w:shd w:val="clear" w:color="auto" w:fill="auto"/>
                  <w:vAlign w:val="center"/>
                </w:tcPr>
                <w:p w14:paraId="61B297EC" w14:textId="77777777" w:rsidR="00692E71" w:rsidRPr="001E3185" w:rsidRDefault="00692E71" w:rsidP="008E0250">
                  <w:pPr>
                    <w:autoSpaceDE w:val="0"/>
                    <w:autoSpaceDN w:val="0"/>
                    <w:jc w:val="center"/>
                    <w:rPr>
                      <w:rFonts w:cs="Arial"/>
                    </w:rPr>
                  </w:pPr>
                  <w:r w:rsidRPr="001E3185">
                    <w:rPr>
                      <w:rFonts w:cs="Arial"/>
                    </w:rPr>
                    <w:t>[-]</w:t>
                  </w:r>
                </w:p>
              </w:tc>
            </w:tr>
            <w:tr w:rsidR="00692E71" w:rsidRPr="001E3185" w14:paraId="38AE6EA0" w14:textId="77777777" w:rsidTr="008E0250">
              <w:trPr>
                <w:trHeight w:val="340"/>
              </w:trPr>
              <w:tc>
                <w:tcPr>
                  <w:tcW w:w="2186" w:type="pct"/>
                  <w:shd w:val="clear" w:color="auto" w:fill="auto"/>
                  <w:vAlign w:val="center"/>
                </w:tcPr>
                <w:p w14:paraId="5F0DDA56" w14:textId="77777777" w:rsidR="00692E71" w:rsidRPr="001E3185" w:rsidRDefault="00692E71" w:rsidP="008E0250">
                  <w:pPr>
                    <w:autoSpaceDE w:val="0"/>
                    <w:autoSpaceDN w:val="0"/>
                    <w:rPr>
                      <w:rFonts w:cs="Arial"/>
                    </w:rPr>
                  </w:pPr>
                  <w:r w:rsidRPr="001E3185">
                    <w:rPr>
                      <w:rFonts w:cs="Arial"/>
                    </w:rPr>
                    <w:t>Water volume under bridge</w:t>
                  </w:r>
                </w:p>
              </w:tc>
              <w:tc>
                <w:tcPr>
                  <w:tcW w:w="1132" w:type="pct"/>
                  <w:shd w:val="clear" w:color="auto" w:fill="auto"/>
                  <w:vAlign w:val="center"/>
                </w:tcPr>
                <w:p w14:paraId="317DF4DA" w14:textId="77777777" w:rsidR="00692E71" w:rsidRPr="001E3185" w:rsidRDefault="00692E71" w:rsidP="008E0250">
                  <w:pPr>
                    <w:autoSpaceDE w:val="0"/>
                    <w:autoSpaceDN w:val="0"/>
                    <w:jc w:val="center"/>
                    <w:rPr>
                      <w:rFonts w:cs="Arial"/>
                    </w:rPr>
                  </w:pPr>
                  <w:r w:rsidRPr="001E3185">
                    <w:rPr>
                      <w:rFonts w:cs="Arial"/>
                    </w:rPr>
                    <w:t>V</w:t>
                  </w:r>
                  <w:r w:rsidRPr="001E3185">
                    <w:rPr>
                      <w:rFonts w:cs="Arial"/>
                      <w:vertAlign w:val="subscript"/>
                    </w:rPr>
                    <w:t>water</w:t>
                  </w:r>
                </w:p>
              </w:tc>
              <w:tc>
                <w:tcPr>
                  <w:tcW w:w="1133" w:type="pct"/>
                  <w:shd w:val="clear" w:color="auto" w:fill="auto"/>
                  <w:vAlign w:val="center"/>
                </w:tcPr>
                <w:p w14:paraId="48272058" w14:textId="77777777" w:rsidR="00692E71" w:rsidRPr="001E3185" w:rsidRDefault="00692E71" w:rsidP="008E0250">
                  <w:pPr>
                    <w:autoSpaceDE w:val="0"/>
                    <w:autoSpaceDN w:val="0"/>
                    <w:jc w:val="center"/>
                    <w:rPr>
                      <w:rFonts w:cs="Arial"/>
                    </w:rPr>
                  </w:pPr>
                  <w:r w:rsidRPr="001E3185">
                    <w:rPr>
                      <w:rFonts w:cs="Arial"/>
                    </w:rPr>
                    <w:t>1000</w:t>
                  </w:r>
                </w:p>
              </w:tc>
              <w:tc>
                <w:tcPr>
                  <w:tcW w:w="550" w:type="pct"/>
                  <w:shd w:val="clear" w:color="auto" w:fill="auto"/>
                  <w:vAlign w:val="center"/>
                </w:tcPr>
                <w:p w14:paraId="20109EF2" w14:textId="4D9A06AE" w:rsidR="00692E71" w:rsidRPr="001E3185" w:rsidRDefault="00692E71" w:rsidP="002107D1">
                  <w:pPr>
                    <w:autoSpaceDE w:val="0"/>
                    <w:autoSpaceDN w:val="0"/>
                    <w:jc w:val="center"/>
                    <w:rPr>
                      <w:rFonts w:cs="Arial"/>
                    </w:rPr>
                  </w:pPr>
                  <w:r w:rsidRPr="001E3185">
                    <w:rPr>
                      <w:rFonts w:cs="Arial"/>
                    </w:rPr>
                    <w:t>[m</w:t>
                  </w:r>
                  <w:r w:rsidR="002107D1" w:rsidRPr="002107D1">
                    <w:rPr>
                      <w:rFonts w:cs="Arial"/>
                      <w:vertAlign w:val="superscript"/>
                    </w:rPr>
                    <w:t>3</w:t>
                  </w:r>
                  <w:r w:rsidR="002107D1" w:rsidRPr="001E3185">
                    <w:rPr>
                      <w:rFonts w:cs="Arial"/>
                    </w:rPr>
                    <w:t>]</w:t>
                  </w:r>
                </w:p>
              </w:tc>
            </w:tr>
          </w:tbl>
          <w:p w14:paraId="16D6B942" w14:textId="77777777" w:rsidR="00692E71" w:rsidRPr="001E3185" w:rsidRDefault="00692E71" w:rsidP="008E0250">
            <w:pPr>
              <w:autoSpaceDE w:val="0"/>
              <w:autoSpaceDN w:val="0"/>
              <w:spacing w:before="120" w:after="240" w:line="276" w:lineRule="auto"/>
              <w:rPr>
                <w:rFonts w:cs="Arial"/>
              </w:rPr>
            </w:pPr>
          </w:p>
          <w:p w14:paraId="468DD73E" w14:textId="77777777" w:rsidR="00692E71" w:rsidRPr="001E3185" w:rsidRDefault="00692E71" w:rsidP="008E0250">
            <w:pPr>
              <w:autoSpaceDE w:val="0"/>
              <w:autoSpaceDN w:val="0"/>
              <w:spacing w:line="276" w:lineRule="auto"/>
              <w:rPr>
                <w:rFonts w:cs="Arial"/>
                <w:b/>
              </w:rPr>
            </w:pPr>
            <w:r w:rsidRPr="001E3185">
              <w:rPr>
                <w:rFonts w:cs="Arial"/>
                <w:b/>
              </w:rPr>
              <w:t>Emission from in-situ spraying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407"/>
            </w:tblGrid>
            <w:tr w:rsidR="00692E71" w:rsidRPr="001E3185" w14:paraId="41434835" w14:textId="77777777" w:rsidTr="008E0250">
              <w:trPr>
                <w:trHeight w:val="550"/>
              </w:trPr>
              <w:tc>
                <w:tcPr>
                  <w:tcW w:w="5000" w:type="pct"/>
                  <w:gridSpan w:val="2"/>
                  <w:shd w:val="clear" w:color="auto" w:fill="auto"/>
                  <w:vAlign w:val="center"/>
                </w:tcPr>
                <w:p w14:paraId="4A873D30" w14:textId="77777777" w:rsidR="00692E71" w:rsidRPr="001E3185" w:rsidRDefault="00692E71" w:rsidP="008E0250">
                  <w:pPr>
                    <w:autoSpaceDE w:val="0"/>
                    <w:autoSpaceDN w:val="0"/>
                    <w:rPr>
                      <w:rFonts w:cs="Arial"/>
                      <w:b/>
                      <w:i/>
                      <w:u w:val="single"/>
                    </w:rPr>
                  </w:pPr>
                  <w:r w:rsidRPr="001E3185">
                    <w:rPr>
                      <w:rFonts w:cs="Arial"/>
                      <w:b/>
                      <w:i/>
                      <w:u w:val="single"/>
                    </w:rPr>
                    <w:lastRenderedPageBreak/>
                    <w:t>Outputs- House scenario</w:t>
                  </w:r>
                </w:p>
              </w:tc>
            </w:tr>
            <w:tr w:rsidR="00692E71" w:rsidRPr="001E3185" w14:paraId="2A540A8A" w14:textId="77777777" w:rsidTr="008E0250">
              <w:tc>
                <w:tcPr>
                  <w:tcW w:w="5000" w:type="pct"/>
                  <w:gridSpan w:val="2"/>
                  <w:shd w:val="clear" w:color="auto" w:fill="auto"/>
                  <w:vAlign w:val="center"/>
                </w:tcPr>
                <w:p w14:paraId="4D35F710" w14:textId="28FF11E9" w:rsidR="00692E71" w:rsidRPr="001E3185" w:rsidRDefault="00692E71" w:rsidP="00D47F2B">
                  <w:pPr>
                    <w:autoSpaceDE w:val="0"/>
                    <w:autoSpaceDN w:val="0"/>
                    <w:rPr>
                      <w:rFonts w:cs="Arial"/>
                      <w:b/>
                    </w:rPr>
                  </w:pPr>
                  <w:r w:rsidRPr="001E3185">
                    <w:rPr>
                      <w:rFonts w:cs="Arial"/>
                      <w:b/>
                    </w:rPr>
                    <w:t xml:space="preserve">Emission of substance to soil after application (run-off) – E </w:t>
                  </w:r>
                  <w:r w:rsidRPr="001E3185">
                    <w:rPr>
                      <w:rFonts w:cs="Arial"/>
                      <w:b/>
                      <w:vertAlign w:val="subscript"/>
                    </w:rPr>
                    <w:t>soil,</w:t>
                  </w:r>
                  <w:r w:rsidR="00D47F2B">
                    <w:rPr>
                      <w:rFonts w:cs="Arial"/>
                      <w:b/>
                      <w:vertAlign w:val="subscript"/>
                    </w:rPr>
                    <w:t>runoff</w:t>
                  </w:r>
                  <w:r w:rsidRPr="001E3185">
                    <w:rPr>
                      <w:rFonts w:cs="Arial"/>
                      <w:b/>
                    </w:rPr>
                    <w:t xml:space="preserve"> [kg.d</w:t>
                  </w:r>
                  <w:r w:rsidRPr="001E3185">
                    <w:rPr>
                      <w:rFonts w:cs="Arial"/>
                      <w:b/>
                      <w:vertAlign w:val="superscript"/>
                    </w:rPr>
                    <w:t>-1</w:t>
                  </w:r>
                  <w:r w:rsidRPr="001E3185">
                    <w:rPr>
                      <w:rFonts w:cs="Arial"/>
                      <w:b/>
                    </w:rPr>
                    <w:t>]</w:t>
                  </w:r>
                </w:p>
              </w:tc>
            </w:tr>
            <w:tr w:rsidR="00692E71" w:rsidRPr="001E3185" w14:paraId="6C7B03EC" w14:textId="77777777" w:rsidTr="008E0250">
              <w:tc>
                <w:tcPr>
                  <w:tcW w:w="1667" w:type="pct"/>
                  <w:shd w:val="clear" w:color="auto" w:fill="auto"/>
                  <w:vAlign w:val="center"/>
                </w:tcPr>
                <w:p w14:paraId="75250EEB" w14:textId="77777777" w:rsidR="00692E71" w:rsidRPr="001E3185" w:rsidRDefault="00692E71" w:rsidP="008E0250">
                  <w:pPr>
                    <w:autoSpaceDE w:val="0"/>
                    <w:autoSpaceDN w:val="0"/>
                    <w:rPr>
                      <w:rFonts w:cs="Arial"/>
                    </w:rPr>
                  </w:pPr>
                  <w:r w:rsidRPr="001E3185">
                    <w:rPr>
                      <w:rFonts w:cs="Arial"/>
                    </w:rPr>
                    <w:t>Tebuconazole</w:t>
                  </w:r>
                </w:p>
              </w:tc>
              <w:tc>
                <w:tcPr>
                  <w:tcW w:w="3333" w:type="pct"/>
                  <w:shd w:val="clear" w:color="auto" w:fill="auto"/>
                  <w:vAlign w:val="center"/>
                </w:tcPr>
                <w:p w14:paraId="29BA55D1" w14:textId="77777777" w:rsidR="00692E71" w:rsidRPr="001E3185" w:rsidRDefault="00692E71" w:rsidP="008E0250">
                  <w:pPr>
                    <w:autoSpaceDE w:val="0"/>
                    <w:autoSpaceDN w:val="0"/>
                    <w:jc w:val="center"/>
                    <w:rPr>
                      <w:rFonts w:cs="Arial"/>
                    </w:rPr>
                  </w:pPr>
                  <w:r w:rsidRPr="001E3185">
                    <w:rPr>
                      <w:rFonts w:cs="Arial"/>
                    </w:rPr>
                    <w:t>2.50E-03</w:t>
                  </w:r>
                </w:p>
              </w:tc>
            </w:tr>
            <w:tr w:rsidR="00692E71" w:rsidRPr="001E3185" w14:paraId="46ECA380" w14:textId="77777777" w:rsidTr="008E0250">
              <w:tc>
                <w:tcPr>
                  <w:tcW w:w="1667" w:type="pct"/>
                  <w:shd w:val="clear" w:color="auto" w:fill="auto"/>
                  <w:vAlign w:val="center"/>
                </w:tcPr>
                <w:p w14:paraId="46525C23" w14:textId="77777777" w:rsidR="00692E71" w:rsidRPr="001E3185" w:rsidRDefault="00692E71" w:rsidP="008E0250">
                  <w:pPr>
                    <w:autoSpaceDE w:val="0"/>
                    <w:autoSpaceDN w:val="0"/>
                    <w:rPr>
                      <w:rFonts w:cs="Arial"/>
                    </w:rPr>
                  </w:pPr>
                  <w:r w:rsidRPr="001E3185">
                    <w:rPr>
                      <w:rFonts w:cs="Arial"/>
                    </w:rPr>
                    <w:t>Propiconazole</w:t>
                  </w:r>
                </w:p>
              </w:tc>
              <w:tc>
                <w:tcPr>
                  <w:tcW w:w="3333" w:type="pct"/>
                  <w:shd w:val="clear" w:color="auto" w:fill="auto"/>
                  <w:vAlign w:val="center"/>
                </w:tcPr>
                <w:p w14:paraId="60A577AA" w14:textId="77777777" w:rsidR="00692E71" w:rsidRPr="001E3185" w:rsidRDefault="00692E71" w:rsidP="008E0250">
                  <w:pPr>
                    <w:autoSpaceDE w:val="0"/>
                    <w:autoSpaceDN w:val="0"/>
                    <w:jc w:val="center"/>
                    <w:rPr>
                      <w:rFonts w:cs="Arial"/>
                    </w:rPr>
                  </w:pPr>
                  <w:r w:rsidRPr="001E3185">
                    <w:rPr>
                      <w:rFonts w:cs="Arial"/>
                    </w:rPr>
                    <w:t>8.00E-03</w:t>
                  </w:r>
                </w:p>
              </w:tc>
            </w:tr>
            <w:tr w:rsidR="00692E71" w:rsidRPr="001E3185" w14:paraId="5479F529" w14:textId="77777777" w:rsidTr="008E0250">
              <w:tc>
                <w:tcPr>
                  <w:tcW w:w="1667" w:type="pct"/>
                  <w:shd w:val="clear" w:color="auto" w:fill="auto"/>
                  <w:vAlign w:val="center"/>
                </w:tcPr>
                <w:p w14:paraId="7F49512B" w14:textId="77777777" w:rsidR="00692E71" w:rsidRPr="001E3185" w:rsidRDefault="00692E71" w:rsidP="008E0250">
                  <w:pPr>
                    <w:autoSpaceDE w:val="0"/>
                    <w:autoSpaceDN w:val="0"/>
                    <w:rPr>
                      <w:rFonts w:cs="Arial"/>
                    </w:rPr>
                  </w:pPr>
                  <w:r w:rsidRPr="001E3185">
                    <w:rPr>
                      <w:rFonts w:cs="Arial"/>
                    </w:rPr>
                    <w:t>Cypermethrin</w:t>
                  </w:r>
                </w:p>
              </w:tc>
              <w:tc>
                <w:tcPr>
                  <w:tcW w:w="3333" w:type="pct"/>
                  <w:shd w:val="clear" w:color="auto" w:fill="auto"/>
                  <w:vAlign w:val="center"/>
                </w:tcPr>
                <w:p w14:paraId="3ABBDF80" w14:textId="77777777" w:rsidR="00692E71" w:rsidRPr="001E3185" w:rsidRDefault="00692E71" w:rsidP="008E0250">
                  <w:pPr>
                    <w:autoSpaceDE w:val="0"/>
                    <w:autoSpaceDN w:val="0"/>
                    <w:jc w:val="center"/>
                    <w:rPr>
                      <w:rFonts w:cs="Arial"/>
                    </w:rPr>
                  </w:pPr>
                  <w:r w:rsidRPr="001E3185">
                    <w:rPr>
                      <w:rFonts w:cs="Arial"/>
                    </w:rPr>
                    <w:t>4.00E-03</w:t>
                  </w:r>
                </w:p>
              </w:tc>
            </w:tr>
            <w:tr w:rsidR="00692E71" w:rsidRPr="001E3185" w14:paraId="71E3B047" w14:textId="77777777" w:rsidTr="008E0250">
              <w:tc>
                <w:tcPr>
                  <w:tcW w:w="1667" w:type="pct"/>
                  <w:shd w:val="clear" w:color="auto" w:fill="auto"/>
                  <w:vAlign w:val="center"/>
                </w:tcPr>
                <w:p w14:paraId="65BF008E" w14:textId="77777777" w:rsidR="00692E71" w:rsidRPr="001E3185" w:rsidRDefault="00692E71" w:rsidP="008E0250">
                  <w:pPr>
                    <w:autoSpaceDE w:val="0"/>
                    <w:autoSpaceDN w:val="0"/>
                    <w:rPr>
                      <w:rFonts w:cs="Arial"/>
                    </w:rPr>
                  </w:pPr>
                  <w:r w:rsidRPr="001E3185">
                    <w:rPr>
                      <w:rFonts w:cs="Arial"/>
                    </w:rPr>
                    <w:t>IPBC</w:t>
                  </w:r>
                </w:p>
              </w:tc>
              <w:tc>
                <w:tcPr>
                  <w:tcW w:w="3333" w:type="pct"/>
                  <w:shd w:val="clear" w:color="auto" w:fill="auto"/>
                  <w:vAlign w:val="center"/>
                </w:tcPr>
                <w:p w14:paraId="6B853F8B" w14:textId="77777777" w:rsidR="00692E71" w:rsidRPr="001E3185" w:rsidRDefault="00692E71" w:rsidP="008E0250">
                  <w:pPr>
                    <w:autoSpaceDE w:val="0"/>
                    <w:autoSpaceDN w:val="0"/>
                    <w:jc w:val="center"/>
                    <w:rPr>
                      <w:rFonts w:cs="Arial"/>
                    </w:rPr>
                  </w:pPr>
                  <w:r w:rsidRPr="001E3185">
                    <w:rPr>
                      <w:rFonts w:cs="Arial"/>
                    </w:rPr>
                    <w:t>2.50E-03</w:t>
                  </w:r>
                </w:p>
              </w:tc>
            </w:tr>
            <w:tr w:rsidR="00692E71" w:rsidRPr="001E3185" w14:paraId="7D2C85E4" w14:textId="77777777" w:rsidTr="008E0250">
              <w:tc>
                <w:tcPr>
                  <w:tcW w:w="1667" w:type="pct"/>
                  <w:shd w:val="clear" w:color="auto" w:fill="auto"/>
                  <w:vAlign w:val="center"/>
                </w:tcPr>
                <w:p w14:paraId="46EE8C81" w14:textId="77777777" w:rsidR="00692E71" w:rsidRPr="001E3185" w:rsidRDefault="00692E71" w:rsidP="008E0250">
                  <w:pPr>
                    <w:autoSpaceDE w:val="0"/>
                    <w:autoSpaceDN w:val="0"/>
                    <w:rPr>
                      <w:rFonts w:cs="Arial"/>
                    </w:rPr>
                  </w:pPr>
                  <w:r w:rsidRPr="001E3185">
                    <w:rPr>
                      <w:rFonts w:cs="Arial"/>
                    </w:rPr>
                    <w:t>PBC</w:t>
                  </w:r>
                </w:p>
              </w:tc>
              <w:tc>
                <w:tcPr>
                  <w:tcW w:w="3333" w:type="pct"/>
                  <w:shd w:val="clear" w:color="auto" w:fill="auto"/>
                  <w:vAlign w:val="center"/>
                </w:tcPr>
                <w:p w14:paraId="4890FC51" w14:textId="77777777" w:rsidR="00692E71" w:rsidRPr="001E3185" w:rsidRDefault="00692E71" w:rsidP="008E0250">
                  <w:pPr>
                    <w:autoSpaceDE w:val="0"/>
                    <w:autoSpaceDN w:val="0"/>
                    <w:jc w:val="center"/>
                    <w:rPr>
                      <w:rFonts w:cs="Arial"/>
                    </w:rPr>
                  </w:pPr>
                  <w:r w:rsidRPr="001E3185">
                    <w:rPr>
                      <w:rFonts w:cs="Arial"/>
                    </w:rPr>
                    <w:t>1.38E-03</w:t>
                  </w:r>
                </w:p>
              </w:tc>
            </w:tr>
            <w:tr w:rsidR="00692E71" w:rsidRPr="001E3185" w14:paraId="51EDD0AC" w14:textId="77777777" w:rsidTr="008E0250">
              <w:tc>
                <w:tcPr>
                  <w:tcW w:w="1667" w:type="pct"/>
                  <w:shd w:val="clear" w:color="auto" w:fill="auto"/>
                  <w:vAlign w:val="center"/>
                </w:tcPr>
                <w:p w14:paraId="30196D32" w14:textId="77777777" w:rsidR="00692E71" w:rsidRPr="001E3185" w:rsidRDefault="00692E71" w:rsidP="008E0250">
                  <w:pPr>
                    <w:autoSpaceDE w:val="0"/>
                    <w:autoSpaceDN w:val="0"/>
                    <w:rPr>
                      <w:rFonts w:cs="Arial"/>
                    </w:rPr>
                  </w:pPr>
                  <w:r w:rsidRPr="001E3185">
                    <w:rPr>
                      <w:rFonts w:cs="Arial"/>
                    </w:rPr>
                    <w:t>1,2,4-triazole</w:t>
                  </w:r>
                </w:p>
              </w:tc>
              <w:tc>
                <w:tcPr>
                  <w:tcW w:w="3333" w:type="pct"/>
                  <w:shd w:val="clear" w:color="auto" w:fill="auto"/>
                  <w:vAlign w:val="center"/>
                </w:tcPr>
                <w:p w14:paraId="5A7EEA42" w14:textId="77777777" w:rsidR="00692E71" w:rsidRPr="001E3185" w:rsidRDefault="00692E71" w:rsidP="008E0250">
                  <w:pPr>
                    <w:autoSpaceDE w:val="0"/>
                    <w:autoSpaceDN w:val="0"/>
                    <w:jc w:val="center"/>
                    <w:rPr>
                      <w:rFonts w:cs="Arial"/>
                    </w:rPr>
                  </w:pPr>
                  <w:r w:rsidRPr="001E3185">
                    <w:rPr>
                      <w:rFonts w:cs="Arial"/>
                    </w:rPr>
                    <w:t>7.49E-03</w:t>
                  </w:r>
                </w:p>
              </w:tc>
            </w:tr>
            <w:tr w:rsidR="00692E71" w:rsidRPr="001E3185" w14:paraId="4DEF865F" w14:textId="77777777" w:rsidTr="008E0250">
              <w:tc>
                <w:tcPr>
                  <w:tcW w:w="5000" w:type="pct"/>
                  <w:gridSpan w:val="2"/>
                  <w:shd w:val="clear" w:color="auto" w:fill="auto"/>
                  <w:vAlign w:val="center"/>
                </w:tcPr>
                <w:p w14:paraId="2B6B4980" w14:textId="5C5EE32C" w:rsidR="00692E71" w:rsidRPr="001E3185" w:rsidRDefault="00692E71" w:rsidP="00D47F2B">
                  <w:pPr>
                    <w:autoSpaceDE w:val="0"/>
                    <w:autoSpaceDN w:val="0"/>
                    <w:rPr>
                      <w:rFonts w:cs="Arial"/>
                      <w:b/>
                    </w:rPr>
                  </w:pPr>
                  <w:r w:rsidRPr="001E3185">
                    <w:rPr>
                      <w:rFonts w:cs="Arial"/>
                      <w:b/>
                    </w:rPr>
                    <w:t xml:space="preserve">Emission of substance to soil after application (drift Tier 1) – E </w:t>
                  </w:r>
                  <w:r w:rsidRPr="001E3185">
                    <w:rPr>
                      <w:rFonts w:cs="Arial"/>
                      <w:b/>
                      <w:vertAlign w:val="subscript"/>
                    </w:rPr>
                    <w:t>soil,</w:t>
                  </w:r>
                  <w:r w:rsidR="00D47F2B">
                    <w:rPr>
                      <w:rFonts w:cs="Arial"/>
                      <w:b/>
                      <w:vertAlign w:val="subscript"/>
                    </w:rPr>
                    <w:t>spray_drift, tier 1</w:t>
                  </w:r>
                  <w:r w:rsidRPr="001E3185">
                    <w:rPr>
                      <w:rFonts w:cs="Arial"/>
                      <w:b/>
                    </w:rPr>
                    <w:t xml:space="preserve"> [kg.d</w:t>
                  </w:r>
                  <w:r w:rsidRPr="001E3185">
                    <w:rPr>
                      <w:rFonts w:cs="Arial"/>
                      <w:b/>
                      <w:vertAlign w:val="superscript"/>
                    </w:rPr>
                    <w:t>-1</w:t>
                  </w:r>
                  <w:r w:rsidRPr="001E3185">
                    <w:rPr>
                      <w:rFonts w:cs="Arial"/>
                      <w:b/>
                    </w:rPr>
                    <w:t>]</w:t>
                  </w:r>
                </w:p>
              </w:tc>
            </w:tr>
            <w:tr w:rsidR="00692E71" w:rsidRPr="001E3185" w14:paraId="6242D371" w14:textId="77777777" w:rsidTr="008E0250">
              <w:tc>
                <w:tcPr>
                  <w:tcW w:w="1667" w:type="pct"/>
                  <w:shd w:val="clear" w:color="auto" w:fill="auto"/>
                  <w:vAlign w:val="center"/>
                </w:tcPr>
                <w:p w14:paraId="7902C04D" w14:textId="77777777" w:rsidR="00692E71" w:rsidRPr="001E3185" w:rsidRDefault="00692E71" w:rsidP="008E0250">
                  <w:pPr>
                    <w:autoSpaceDE w:val="0"/>
                    <w:autoSpaceDN w:val="0"/>
                    <w:rPr>
                      <w:rFonts w:cs="Arial"/>
                    </w:rPr>
                  </w:pPr>
                  <w:r w:rsidRPr="001E3185">
                    <w:rPr>
                      <w:rFonts w:cs="Arial"/>
                    </w:rPr>
                    <w:t>Tebuconazole</w:t>
                  </w:r>
                </w:p>
              </w:tc>
              <w:tc>
                <w:tcPr>
                  <w:tcW w:w="3333" w:type="pct"/>
                  <w:shd w:val="clear" w:color="auto" w:fill="auto"/>
                  <w:vAlign w:val="center"/>
                </w:tcPr>
                <w:p w14:paraId="79984959" w14:textId="77777777" w:rsidR="00692E71" w:rsidRPr="001E3185" w:rsidRDefault="00692E71" w:rsidP="008E0250">
                  <w:pPr>
                    <w:autoSpaceDE w:val="0"/>
                    <w:autoSpaceDN w:val="0"/>
                    <w:jc w:val="center"/>
                    <w:rPr>
                      <w:rFonts w:cs="Arial"/>
                    </w:rPr>
                  </w:pPr>
                  <w:r w:rsidRPr="001E3185">
                    <w:rPr>
                      <w:rFonts w:cs="Arial"/>
                    </w:rPr>
                    <w:t>1.25E-03</w:t>
                  </w:r>
                </w:p>
              </w:tc>
            </w:tr>
            <w:tr w:rsidR="00692E71" w:rsidRPr="001E3185" w14:paraId="64FE2144" w14:textId="77777777" w:rsidTr="008E0250">
              <w:tc>
                <w:tcPr>
                  <w:tcW w:w="1667" w:type="pct"/>
                  <w:shd w:val="clear" w:color="auto" w:fill="auto"/>
                  <w:vAlign w:val="center"/>
                </w:tcPr>
                <w:p w14:paraId="38B6767C" w14:textId="77777777" w:rsidR="00692E71" w:rsidRPr="001E3185" w:rsidRDefault="00692E71" w:rsidP="008E0250">
                  <w:pPr>
                    <w:autoSpaceDE w:val="0"/>
                    <w:autoSpaceDN w:val="0"/>
                    <w:rPr>
                      <w:rFonts w:cs="Arial"/>
                    </w:rPr>
                  </w:pPr>
                  <w:r w:rsidRPr="001E3185">
                    <w:rPr>
                      <w:rFonts w:cs="Arial"/>
                    </w:rPr>
                    <w:t>Propiconazole</w:t>
                  </w:r>
                </w:p>
              </w:tc>
              <w:tc>
                <w:tcPr>
                  <w:tcW w:w="3333" w:type="pct"/>
                  <w:shd w:val="clear" w:color="auto" w:fill="auto"/>
                  <w:vAlign w:val="center"/>
                </w:tcPr>
                <w:p w14:paraId="4AEC441E" w14:textId="77777777" w:rsidR="00692E71" w:rsidRPr="001E3185" w:rsidRDefault="00692E71" w:rsidP="008E0250">
                  <w:pPr>
                    <w:autoSpaceDE w:val="0"/>
                    <w:autoSpaceDN w:val="0"/>
                    <w:jc w:val="center"/>
                    <w:rPr>
                      <w:rFonts w:cs="Arial"/>
                    </w:rPr>
                  </w:pPr>
                  <w:r w:rsidRPr="001E3185">
                    <w:rPr>
                      <w:rFonts w:cs="Arial"/>
                    </w:rPr>
                    <w:t>4.00E-03</w:t>
                  </w:r>
                </w:p>
              </w:tc>
            </w:tr>
            <w:tr w:rsidR="00692E71" w:rsidRPr="001E3185" w14:paraId="2C8BFADA" w14:textId="77777777" w:rsidTr="008E0250">
              <w:tc>
                <w:tcPr>
                  <w:tcW w:w="1667" w:type="pct"/>
                  <w:shd w:val="clear" w:color="auto" w:fill="auto"/>
                  <w:vAlign w:val="center"/>
                </w:tcPr>
                <w:p w14:paraId="044F1CE7" w14:textId="77777777" w:rsidR="00692E71" w:rsidRPr="001E3185" w:rsidRDefault="00692E71" w:rsidP="008E0250">
                  <w:pPr>
                    <w:autoSpaceDE w:val="0"/>
                    <w:autoSpaceDN w:val="0"/>
                    <w:rPr>
                      <w:rFonts w:cs="Arial"/>
                    </w:rPr>
                  </w:pPr>
                  <w:r w:rsidRPr="001E3185">
                    <w:rPr>
                      <w:rFonts w:cs="Arial"/>
                    </w:rPr>
                    <w:t>Cypermethrin</w:t>
                  </w:r>
                </w:p>
              </w:tc>
              <w:tc>
                <w:tcPr>
                  <w:tcW w:w="3333" w:type="pct"/>
                  <w:shd w:val="clear" w:color="auto" w:fill="auto"/>
                  <w:vAlign w:val="center"/>
                </w:tcPr>
                <w:p w14:paraId="6A146C4F" w14:textId="77777777" w:rsidR="00692E71" w:rsidRPr="001E3185" w:rsidRDefault="00692E71" w:rsidP="008E0250">
                  <w:pPr>
                    <w:autoSpaceDE w:val="0"/>
                    <w:autoSpaceDN w:val="0"/>
                    <w:jc w:val="center"/>
                    <w:rPr>
                      <w:rFonts w:cs="Arial"/>
                    </w:rPr>
                  </w:pPr>
                  <w:r w:rsidRPr="001E3185">
                    <w:rPr>
                      <w:rFonts w:cs="Arial"/>
                    </w:rPr>
                    <w:t>2.00E-03</w:t>
                  </w:r>
                </w:p>
              </w:tc>
            </w:tr>
            <w:tr w:rsidR="00692E71" w:rsidRPr="001E3185" w14:paraId="69628106" w14:textId="77777777" w:rsidTr="008E0250">
              <w:tc>
                <w:tcPr>
                  <w:tcW w:w="1667" w:type="pct"/>
                  <w:shd w:val="clear" w:color="auto" w:fill="auto"/>
                  <w:vAlign w:val="center"/>
                </w:tcPr>
                <w:p w14:paraId="1123431B" w14:textId="77777777" w:rsidR="00692E71" w:rsidRPr="001E3185" w:rsidRDefault="00692E71" w:rsidP="008E0250">
                  <w:pPr>
                    <w:autoSpaceDE w:val="0"/>
                    <w:autoSpaceDN w:val="0"/>
                    <w:rPr>
                      <w:rFonts w:cs="Arial"/>
                    </w:rPr>
                  </w:pPr>
                  <w:r w:rsidRPr="001E3185">
                    <w:rPr>
                      <w:rFonts w:cs="Arial"/>
                    </w:rPr>
                    <w:t>IPBC</w:t>
                  </w:r>
                </w:p>
              </w:tc>
              <w:tc>
                <w:tcPr>
                  <w:tcW w:w="3333" w:type="pct"/>
                  <w:shd w:val="clear" w:color="auto" w:fill="auto"/>
                  <w:vAlign w:val="center"/>
                </w:tcPr>
                <w:p w14:paraId="10D22858" w14:textId="77777777" w:rsidR="00692E71" w:rsidRPr="001E3185" w:rsidRDefault="00692E71" w:rsidP="008E0250">
                  <w:pPr>
                    <w:autoSpaceDE w:val="0"/>
                    <w:autoSpaceDN w:val="0"/>
                    <w:jc w:val="center"/>
                    <w:rPr>
                      <w:rFonts w:cs="Arial"/>
                    </w:rPr>
                  </w:pPr>
                  <w:r w:rsidRPr="001E3185">
                    <w:rPr>
                      <w:rFonts w:cs="Arial"/>
                    </w:rPr>
                    <w:t>1.25E-03</w:t>
                  </w:r>
                </w:p>
              </w:tc>
            </w:tr>
            <w:tr w:rsidR="00692E71" w:rsidRPr="001E3185" w14:paraId="65DA9F39" w14:textId="77777777" w:rsidTr="008E0250">
              <w:tc>
                <w:tcPr>
                  <w:tcW w:w="1667" w:type="pct"/>
                  <w:shd w:val="clear" w:color="auto" w:fill="auto"/>
                  <w:vAlign w:val="center"/>
                </w:tcPr>
                <w:p w14:paraId="02FCA0D8" w14:textId="77777777" w:rsidR="00692E71" w:rsidRPr="001E3185" w:rsidRDefault="00692E71" w:rsidP="008E0250">
                  <w:pPr>
                    <w:autoSpaceDE w:val="0"/>
                    <w:autoSpaceDN w:val="0"/>
                    <w:rPr>
                      <w:rFonts w:cs="Arial"/>
                    </w:rPr>
                  </w:pPr>
                  <w:r w:rsidRPr="001E3185">
                    <w:rPr>
                      <w:rFonts w:cs="Arial"/>
                    </w:rPr>
                    <w:t>PBC</w:t>
                  </w:r>
                </w:p>
              </w:tc>
              <w:tc>
                <w:tcPr>
                  <w:tcW w:w="3333" w:type="pct"/>
                  <w:shd w:val="clear" w:color="auto" w:fill="auto"/>
                  <w:vAlign w:val="center"/>
                </w:tcPr>
                <w:p w14:paraId="30B333E5" w14:textId="77777777" w:rsidR="00692E71" w:rsidRPr="001E3185" w:rsidRDefault="00692E71" w:rsidP="008E0250">
                  <w:pPr>
                    <w:autoSpaceDE w:val="0"/>
                    <w:autoSpaceDN w:val="0"/>
                    <w:jc w:val="center"/>
                    <w:rPr>
                      <w:rFonts w:cs="Arial"/>
                    </w:rPr>
                  </w:pPr>
                  <w:r w:rsidRPr="001E3185">
                    <w:rPr>
                      <w:rFonts w:cs="Arial"/>
                    </w:rPr>
                    <w:t>6.90E-04</w:t>
                  </w:r>
                </w:p>
              </w:tc>
            </w:tr>
            <w:tr w:rsidR="00692E71" w:rsidRPr="001E3185" w14:paraId="4DBF4F4C" w14:textId="77777777" w:rsidTr="008E0250">
              <w:tc>
                <w:tcPr>
                  <w:tcW w:w="1667" w:type="pct"/>
                  <w:shd w:val="clear" w:color="auto" w:fill="auto"/>
                  <w:vAlign w:val="center"/>
                </w:tcPr>
                <w:p w14:paraId="0F1B460C" w14:textId="77777777" w:rsidR="00692E71" w:rsidRPr="001E3185" w:rsidRDefault="00692E71" w:rsidP="008E0250">
                  <w:pPr>
                    <w:autoSpaceDE w:val="0"/>
                    <w:autoSpaceDN w:val="0"/>
                    <w:rPr>
                      <w:rFonts w:cs="Arial"/>
                    </w:rPr>
                  </w:pPr>
                  <w:r w:rsidRPr="001E3185">
                    <w:rPr>
                      <w:rFonts w:cs="Arial"/>
                    </w:rPr>
                    <w:t>.90E-041,2,4-triazole</w:t>
                  </w:r>
                </w:p>
              </w:tc>
              <w:tc>
                <w:tcPr>
                  <w:tcW w:w="3333" w:type="pct"/>
                  <w:shd w:val="clear" w:color="auto" w:fill="auto"/>
                  <w:vAlign w:val="center"/>
                </w:tcPr>
                <w:p w14:paraId="245AE2E6" w14:textId="77777777" w:rsidR="00692E71" w:rsidRPr="001E3185" w:rsidRDefault="00692E71" w:rsidP="008E0250">
                  <w:pPr>
                    <w:autoSpaceDE w:val="0"/>
                    <w:autoSpaceDN w:val="0"/>
                    <w:jc w:val="center"/>
                    <w:rPr>
                      <w:rFonts w:cs="Arial"/>
                    </w:rPr>
                  </w:pPr>
                  <w:r w:rsidRPr="001E3185">
                    <w:rPr>
                      <w:rFonts w:cs="Arial"/>
                    </w:rPr>
                    <w:t>3.73E-04</w:t>
                  </w:r>
                </w:p>
              </w:tc>
            </w:tr>
            <w:tr w:rsidR="00692E71" w:rsidRPr="001E3185" w14:paraId="439F532D" w14:textId="77777777" w:rsidTr="008E0250">
              <w:tc>
                <w:tcPr>
                  <w:tcW w:w="5000" w:type="pct"/>
                  <w:gridSpan w:val="2"/>
                  <w:shd w:val="clear" w:color="auto" w:fill="auto"/>
                  <w:vAlign w:val="center"/>
                </w:tcPr>
                <w:p w14:paraId="3F51E3DC" w14:textId="45A3B21E" w:rsidR="00692E71" w:rsidRPr="001E3185" w:rsidRDefault="00692E71" w:rsidP="00D47F2B">
                  <w:pPr>
                    <w:autoSpaceDE w:val="0"/>
                    <w:autoSpaceDN w:val="0"/>
                    <w:rPr>
                      <w:rFonts w:cs="Arial"/>
                      <w:b/>
                    </w:rPr>
                  </w:pPr>
                  <w:r w:rsidRPr="001E3185">
                    <w:rPr>
                      <w:rFonts w:cs="Arial"/>
                      <w:b/>
                    </w:rPr>
                    <w:t xml:space="preserve">Emission of substance to soil after application (drift Tier 2) – E </w:t>
                  </w:r>
                  <w:r w:rsidRPr="001E3185">
                    <w:rPr>
                      <w:rFonts w:cs="Arial"/>
                      <w:b/>
                      <w:vertAlign w:val="subscript"/>
                    </w:rPr>
                    <w:t>soil,</w:t>
                  </w:r>
                  <w:r w:rsidR="00D47F2B">
                    <w:rPr>
                      <w:rFonts w:cs="Arial"/>
                      <w:b/>
                      <w:vertAlign w:val="subscript"/>
                    </w:rPr>
                    <w:t xml:space="preserve"> spray_drift, tier 2</w:t>
                  </w:r>
                  <w:r w:rsidR="00D47F2B" w:rsidRPr="001E3185" w:rsidDel="00D47F2B">
                    <w:rPr>
                      <w:rFonts w:cs="Arial"/>
                      <w:b/>
                      <w:vertAlign w:val="subscript"/>
                    </w:rPr>
                    <w:t xml:space="preserve"> </w:t>
                  </w:r>
                  <w:r w:rsidRPr="001E3185">
                    <w:rPr>
                      <w:rFonts w:cs="Arial"/>
                      <w:b/>
                    </w:rPr>
                    <w:t>[kg.d</w:t>
                  </w:r>
                  <w:r w:rsidRPr="001E3185">
                    <w:rPr>
                      <w:rFonts w:cs="Arial"/>
                      <w:b/>
                      <w:vertAlign w:val="superscript"/>
                    </w:rPr>
                    <w:t>-1</w:t>
                  </w:r>
                  <w:r w:rsidRPr="001E3185">
                    <w:rPr>
                      <w:rFonts w:cs="Arial"/>
                      <w:b/>
                    </w:rPr>
                    <w:t>]</w:t>
                  </w:r>
                </w:p>
              </w:tc>
            </w:tr>
            <w:tr w:rsidR="00692E71" w:rsidRPr="001E3185" w14:paraId="004A8B99" w14:textId="77777777" w:rsidTr="008E0250">
              <w:tc>
                <w:tcPr>
                  <w:tcW w:w="1667" w:type="pct"/>
                  <w:shd w:val="clear" w:color="auto" w:fill="auto"/>
                  <w:vAlign w:val="center"/>
                </w:tcPr>
                <w:p w14:paraId="5246C089" w14:textId="77777777" w:rsidR="00692E71" w:rsidRPr="001E3185" w:rsidRDefault="00692E71" w:rsidP="008E0250">
                  <w:pPr>
                    <w:autoSpaceDE w:val="0"/>
                    <w:autoSpaceDN w:val="0"/>
                    <w:rPr>
                      <w:rFonts w:cs="Arial"/>
                    </w:rPr>
                  </w:pPr>
                  <w:r w:rsidRPr="001E3185">
                    <w:rPr>
                      <w:rFonts w:cs="Arial"/>
                    </w:rPr>
                    <w:t>Tebuconazole</w:t>
                  </w:r>
                </w:p>
              </w:tc>
              <w:tc>
                <w:tcPr>
                  <w:tcW w:w="3333" w:type="pct"/>
                  <w:shd w:val="clear" w:color="auto" w:fill="auto"/>
                  <w:vAlign w:val="center"/>
                </w:tcPr>
                <w:p w14:paraId="7F5523C7" w14:textId="77777777" w:rsidR="00692E71" w:rsidRPr="001E3185" w:rsidRDefault="00692E71" w:rsidP="008E0250">
                  <w:pPr>
                    <w:autoSpaceDE w:val="0"/>
                    <w:autoSpaceDN w:val="0"/>
                    <w:jc w:val="center"/>
                    <w:rPr>
                      <w:rFonts w:cs="Arial"/>
                    </w:rPr>
                  </w:pPr>
                  <w:r w:rsidRPr="001E3185">
                    <w:rPr>
                      <w:rFonts w:cs="Arial"/>
                    </w:rPr>
                    <w:t>4.13E-04</w:t>
                  </w:r>
                </w:p>
              </w:tc>
            </w:tr>
            <w:tr w:rsidR="00692E71" w:rsidRPr="001E3185" w14:paraId="25596109" w14:textId="77777777" w:rsidTr="008E0250">
              <w:tc>
                <w:tcPr>
                  <w:tcW w:w="1667" w:type="pct"/>
                  <w:shd w:val="clear" w:color="auto" w:fill="auto"/>
                  <w:vAlign w:val="center"/>
                </w:tcPr>
                <w:p w14:paraId="46DA1B43" w14:textId="77777777" w:rsidR="00692E71" w:rsidRPr="001E3185" w:rsidRDefault="00692E71" w:rsidP="008E0250">
                  <w:pPr>
                    <w:autoSpaceDE w:val="0"/>
                    <w:autoSpaceDN w:val="0"/>
                    <w:rPr>
                      <w:rFonts w:cs="Arial"/>
                    </w:rPr>
                  </w:pPr>
                  <w:r w:rsidRPr="001E3185">
                    <w:rPr>
                      <w:rFonts w:cs="Arial"/>
                    </w:rPr>
                    <w:t>Propiconazole</w:t>
                  </w:r>
                </w:p>
              </w:tc>
              <w:tc>
                <w:tcPr>
                  <w:tcW w:w="3333" w:type="pct"/>
                  <w:shd w:val="clear" w:color="auto" w:fill="auto"/>
                  <w:vAlign w:val="center"/>
                </w:tcPr>
                <w:p w14:paraId="3854B966" w14:textId="77777777" w:rsidR="00692E71" w:rsidRPr="001E3185" w:rsidRDefault="00692E71" w:rsidP="008E0250">
                  <w:pPr>
                    <w:autoSpaceDE w:val="0"/>
                    <w:autoSpaceDN w:val="0"/>
                    <w:jc w:val="center"/>
                    <w:rPr>
                      <w:rFonts w:cs="Arial"/>
                    </w:rPr>
                  </w:pPr>
                  <w:r w:rsidRPr="001E3185">
                    <w:rPr>
                      <w:rFonts w:cs="Arial"/>
                    </w:rPr>
                    <w:t>1.32E-03</w:t>
                  </w:r>
                </w:p>
              </w:tc>
            </w:tr>
            <w:tr w:rsidR="00692E71" w:rsidRPr="001E3185" w14:paraId="1DB413E3" w14:textId="77777777" w:rsidTr="008E0250">
              <w:tc>
                <w:tcPr>
                  <w:tcW w:w="1667" w:type="pct"/>
                  <w:shd w:val="clear" w:color="auto" w:fill="auto"/>
                  <w:vAlign w:val="center"/>
                </w:tcPr>
                <w:p w14:paraId="70EC6E15" w14:textId="77777777" w:rsidR="00692E71" w:rsidRPr="001E3185" w:rsidRDefault="00692E71" w:rsidP="008E0250">
                  <w:pPr>
                    <w:autoSpaceDE w:val="0"/>
                    <w:autoSpaceDN w:val="0"/>
                    <w:rPr>
                      <w:rFonts w:cs="Arial"/>
                    </w:rPr>
                  </w:pPr>
                  <w:r w:rsidRPr="001E3185">
                    <w:rPr>
                      <w:rFonts w:cs="Arial"/>
                    </w:rPr>
                    <w:t>Cypermethrin</w:t>
                  </w:r>
                </w:p>
              </w:tc>
              <w:tc>
                <w:tcPr>
                  <w:tcW w:w="3333" w:type="pct"/>
                  <w:shd w:val="clear" w:color="auto" w:fill="auto"/>
                  <w:vAlign w:val="center"/>
                </w:tcPr>
                <w:p w14:paraId="39481756" w14:textId="77777777" w:rsidR="00692E71" w:rsidRPr="001E3185" w:rsidRDefault="00692E71" w:rsidP="008E0250">
                  <w:pPr>
                    <w:autoSpaceDE w:val="0"/>
                    <w:autoSpaceDN w:val="0"/>
                    <w:jc w:val="center"/>
                    <w:rPr>
                      <w:rFonts w:cs="Arial"/>
                    </w:rPr>
                  </w:pPr>
                  <w:r w:rsidRPr="001E3185">
                    <w:rPr>
                      <w:rFonts w:cs="Arial"/>
                    </w:rPr>
                    <w:t>6.60E-04</w:t>
                  </w:r>
                </w:p>
              </w:tc>
            </w:tr>
            <w:tr w:rsidR="00692E71" w:rsidRPr="001E3185" w14:paraId="3A1F90A8" w14:textId="77777777" w:rsidTr="008E0250">
              <w:tc>
                <w:tcPr>
                  <w:tcW w:w="1667" w:type="pct"/>
                  <w:shd w:val="clear" w:color="auto" w:fill="auto"/>
                  <w:vAlign w:val="center"/>
                </w:tcPr>
                <w:p w14:paraId="206BB68C" w14:textId="77777777" w:rsidR="00692E71" w:rsidRPr="001E3185" w:rsidRDefault="00692E71" w:rsidP="008E0250">
                  <w:pPr>
                    <w:autoSpaceDE w:val="0"/>
                    <w:autoSpaceDN w:val="0"/>
                    <w:rPr>
                      <w:rFonts w:cs="Arial"/>
                    </w:rPr>
                  </w:pPr>
                  <w:r w:rsidRPr="001E3185">
                    <w:rPr>
                      <w:rFonts w:cs="Arial"/>
                    </w:rPr>
                    <w:t>IPBC</w:t>
                  </w:r>
                </w:p>
              </w:tc>
              <w:tc>
                <w:tcPr>
                  <w:tcW w:w="3333" w:type="pct"/>
                  <w:shd w:val="clear" w:color="auto" w:fill="auto"/>
                  <w:vAlign w:val="center"/>
                </w:tcPr>
                <w:p w14:paraId="5F46CC7C" w14:textId="77777777" w:rsidR="00692E71" w:rsidRPr="001E3185" w:rsidRDefault="00692E71" w:rsidP="008E0250">
                  <w:pPr>
                    <w:autoSpaceDE w:val="0"/>
                    <w:autoSpaceDN w:val="0"/>
                    <w:jc w:val="center"/>
                    <w:rPr>
                      <w:rFonts w:cs="Arial"/>
                    </w:rPr>
                  </w:pPr>
                  <w:r w:rsidRPr="001E3185">
                    <w:rPr>
                      <w:rFonts w:cs="Arial"/>
                    </w:rPr>
                    <w:t>4.13E-04</w:t>
                  </w:r>
                </w:p>
              </w:tc>
            </w:tr>
            <w:tr w:rsidR="00692E71" w:rsidRPr="001E3185" w14:paraId="385969A6" w14:textId="77777777" w:rsidTr="008E0250">
              <w:tc>
                <w:tcPr>
                  <w:tcW w:w="1667" w:type="pct"/>
                  <w:shd w:val="clear" w:color="auto" w:fill="auto"/>
                  <w:vAlign w:val="center"/>
                </w:tcPr>
                <w:p w14:paraId="67FD4E2D" w14:textId="77777777" w:rsidR="00692E71" w:rsidRPr="001E3185" w:rsidRDefault="00692E71" w:rsidP="008E0250">
                  <w:pPr>
                    <w:autoSpaceDE w:val="0"/>
                    <w:autoSpaceDN w:val="0"/>
                    <w:rPr>
                      <w:rFonts w:cs="Arial"/>
                    </w:rPr>
                  </w:pPr>
                  <w:r w:rsidRPr="001E3185">
                    <w:rPr>
                      <w:rFonts w:cs="Arial"/>
                    </w:rPr>
                    <w:t>PBC</w:t>
                  </w:r>
                </w:p>
              </w:tc>
              <w:tc>
                <w:tcPr>
                  <w:tcW w:w="3333" w:type="pct"/>
                  <w:shd w:val="clear" w:color="auto" w:fill="auto"/>
                  <w:vAlign w:val="center"/>
                </w:tcPr>
                <w:p w14:paraId="7BAD09AF" w14:textId="77777777" w:rsidR="00692E71" w:rsidRPr="001E3185" w:rsidRDefault="00692E71" w:rsidP="008E0250">
                  <w:pPr>
                    <w:autoSpaceDE w:val="0"/>
                    <w:autoSpaceDN w:val="0"/>
                    <w:jc w:val="center"/>
                    <w:rPr>
                      <w:rFonts w:cs="Arial"/>
                    </w:rPr>
                  </w:pPr>
                  <w:r w:rsidRPr="001E3185">
                    <w:rPr>
                      <w:rFonts w:cs="Arial"/>
                    </w:rPr>
                    <w:t>2.28E-04</w:t>
                  </w:r>
                </w:p>
              </w:tc>
            </w:tr>
            <w:tr w:rsidR="00692E71" w:rsidRPr="001E3185" w14:paraId="79333E32" w14:textId="77777777" w:rsidTr="008E0250">
              <w:tc>
                <w:tcPr>
                  <w:tcW w:w="1667" w:type="pct"/>
                  <w:shd w:val="clear" w:color="auto" w:fill="auto"/>
                  <w:vAlign w:val="center"/>
                </w:tcPr>
                <w:p w14:paraId="5936CE82" w14:textId="77777777" w:rsidR="00692E71" w:rsidRPr="001E3185" w:rsidRDefault="00692E71" w:rsidP="008E0250">
                  <w:pPr>
                    <w:autoSpaceDE w:val="0"/>
                    <w:autoSpaceDN w:val="0"/>
                    <w:rPr>
                      <w:rFonts w:cs="Arial"/>
                    </w:rPr>
                  </w:pPr>
                  <w:r w:rsidRPr="001E3185">
                    <w:rPr>
                      <w:rFonts w:cs="Arial"/>
                    </w:rPr>
                    <w:t>1,2,4-triazole</w:t>
                  </w:r>
                </w:p>
              </w:tc>
              <w:tc>
                <w:tcPr>
                  <w:tcW w:w="3333" w:type="pct"/>
                  <w:shd w:val="clear" w:color="auto" w:fill="auto"/>
                  <w:vAlign w:val="center"/>
                </w:tcPr>
                <w:p w14:paraId="269D3CD3" w14:textId="77777777" w:rsidR="00692E71" w:rsidRPr="001E3185" w:rsidRDefault="00692E71" w:rsidP="008E0250">
                  <w:pPr>
                    <w:autoSpaceDE w:val="0"/>
                    <w:autoSpaceDN w:val="0"/>
                    <w:jc w:val="center"/>
                    <w:rPr>
                      <w:rFonts w:cs="Arial"/>
                    </w:rPr>
                  </w:pPr>
                  <w:r w:rsidRPr="001E3185">
                    <w:rPr>
                      <w:rFonts w:cs="Arial"/>
                    </w:rPr>
                    <w:t>1.23E-04</w:t>
                  </w:r>
                </w:p>
              </w:tc>
            </w:tr>
            <w:tr w:rsidR="00692E71" w:rsidRPr="001E3185" w14:paraId="398D9B23" w14:textId="77777777" w:rsidTr="008E0250">
              <w:trPr>
                <w:trHeight w:val="492"/>
              </w:trPr>
              <w:tc>
                <w:tcPr>
                  <w:tcW w:w="5000" w:type="pct"/>
                  <w:gridSpan w:val="2"/>
                  <w:shd w:val="clear" w:color="auto" w:fill="auto"/>
                  <w:vAlign w:val="center"/>
                </w:tcPr>
                <w:p w14:paraId="3DE5F24F" w14:textId="77777777" w:rsidR="00692E71" w:rsidRPr="001E3185" w:rsidRDefault="00692E71" w:rsidP="008E0250">
                  <w:pPr>
                    <w:autoSpaceDE w:val="0"/>
                    <w:autoSpaceDN w:val="0"/>
                    <w:rPr>
                      <w:rFonts w:cs="Arial"/>
                    </w:rPr>
                  </w:pPr>
                  <w:r w:rsidRPr="001E3185">
                    <w:rPr>
                      <w:rFonts w:cs="Arial"/>
                      <w:b/>
                      <w:i/>
                      <w:u w:val="single"/>
                    </w:rPr>
                    <w:t>Outputs- Bridge scenario</w:t>
                  </w:r>
                </w:p>
              </w:tc>
            </w:tr>
            <w:tr w:rsidR="00692E71" w:rsidRPr="001E3185" w14:paraId="0244145B" w14:textId="77777777" w:rsidTr="008E0250">
              <w:tc>
                <w:tcPr>
                  <w:tcW w:w="5000" w:type="pct"/>
                  <w:gridSpan w:val="2"/>
                  <w:shd w:val="clear" w:color="auto" w:fill="auto"/>
                  <w:vAlign w:val="center"/>
                </w:tcPr>
                <w:p w14:paraId="088570C6" w14:textId="795E3EB6" w:rsidR="00692E71" w:rsidRPr="001E3185" w:rsidRDefault="00692E71" w:rsidP="00D47F2B">
                  <w:pPr>
                    <w:autoSpaceDE w:val="0"/>
                    <w:autoSpaceDN w:val="0"/>
                    <w:rPr>
                      <w:rFonts w:cs="Arial"/>
                      <w:b/>
                      <w:i/>
                      <w:u w:val="single"/>
                    </w:rPr>
                  </w:pPr>
                  <w:r w:rsidRPr="001E3185">
                    <w:rPr>
                      <w:rFonts w:cs="Arial"/>
                      <w:b/>
                    </w:rPr>
                    <w:t xml:space="preserve">Emission of substance to water after application – E </w:t>
                  </w:r>
                  <w:r w:rsidRPr="001E3185">
                    <w:rPr>
                      <w:rFonts w:cs="Arial"/>
                      <w:b/>
                      <w:vertAlign w:val="subscript"/>
                    </w:rPr>
                    <w:t>water,</w:t>
                  </w:r>
                  <w:r w:rsidR="00D47F2B">
                    <w:rPr>
                      <w:rFonts w:cs="Arial"/>
                      <w:b/>
                      <w:vertAlign w:val="subscript"/>
                    </w:rPr>
                    <w:t>spray_</w:t>
                  </w:r>
                  <w:r w:rsidRPr="001E3185">
                    <w:rPr>
                      <w:rFonts w:cs="Arial"/>
                      <w:b/>
                      <w:vertAlign w:val="subscript"/>
                    </w:rPr>
                    <w:t xml:space="preserve">bridge </w:t>
                  </w:r>
                  <w:r w:rsidRPr="001E3185">
                    <w:rPr>
                      <w:rFonts w:cs="Arial"/>
                      <w:b/>
                    </w:rPr>
                    <w:t>[kg.d</w:t>
                  </w:r>
                  <w:r w:rsidRPr="001E3185">
                    <w:rPr>
                      <w:rFonts w:cs="Arial"/>
                      <w:b/>
                      <w:vertAlign w:val="superscript"/>
                    </w:rPr>
                    <w:t>-1</w:t>
                  </w:r>
                  <w:r w:rsidRPr="001E3185">
                    <w:rPr>
                      <w:rFonts w:cs="Arial"/>
                      <w:b/>
                    </w:rPr>
                    <w:t>]</w:t>
                  </w:r>
                </w:p>
              </w:tc>
            </w:tr>
            <w:tr w:rsidR="00692E71" w:rsidRPr="001E3185" w14:paraId="79EF8D01" w14:textId="77777777" w:rsidTr="008E0250">
              <w:tc>
                <w:tcPr>
                  <w:tcW w:w="1667" w:type="pct"/>
                  <w:shd w:val="clear" w:color="auto" w:fill="auto"/>
                  <w:vAlign w:val="center"/>
                </w:tcPr>
                <w:p w14:paraId="08CD91EC" w14:textId="77777777" w:rsidR="00692E71" w:rsidRPr="001E3185" w:rsidRDefault="00692E71" w:rsidP="008E0250">
                  <w:pPr>
                    <w:autoSpaceDE w:val="0"/>
                    <w:autoSpaceDN w:val="0"/>
                    <w:rPr>
                      <w:rFonts w:cs="Arial"/>
                    </w:rPr>
                  </w:pPr>
                  <w:r w:rsidRPr="001E3185">
                    <w:rPr>
                      <w:rFonts w:cs="Arial"/>
                    </w:rPr>
                    <w:t>Tebuconazole</w:t>
                  </w:r>
                </w:p>
              </w:tc>
              <w:tc>
                <w:tcPr>
                  <w:tcW w:w="3333" w:type="pct"/>
                  <w:shd w:val="clear" w:color="auto" w:fill="auto"/>
                  <w:vAlign w:val="center"/>
                </w:tcPr>
                <w:p w14:paraId="5163BA51" w14:textId="33F4FC4B" w:rsidR="00692E71" w:rsidRPr="001E3185" w:rsidRDefault="00692E71" w:rsidP="00823A0D">
                  <w:pPr>
                    <w:autoSpaceDE w:val="0"/>
                    <w:autoSpaceDN w:val="0"/>
                    <w:jc w:val="center"/>
                    <w:rPr>
                      <w:rFonts w:cs="Arial"/>
                    </w:rPr>
                  </w:pPr>
                  <w:r w:rsidRPr="001E3185">
                    <w:rPr>
                      <w:rFonts w:cs="Arial"/>
                    </w:rPr>
                    <w:t>3.00E-</w:t>
                  </w:r>
                  <w:r w:rsidR="00823A0D" w:rsidRPr="001E3185">
                    <w:rPr>
                      <w:rFonts w:cs="Arial"/>
                    </w:rPr>
                    <w:t>0</w:t>
                  </w:r>
                  <w:r w:rsidR="00823A0D">
                    <w:rPr>
                      <w:rFonts w:cs="Arial"/>
                    </w:rPr>
                    <w:t>5</w:t>
                  </w:r>
                </w:p>
              </w:tc>
            </w:tr>
            <w:tr w:rsidR="00692E71" w:rsidRPr="001E3185" w14:paraId="481ED030" w14:textId="77777777" w:rsidTr="008E0250">
              <w:tc>
                <w:tcPr>
                  <w:tcW w:w="1667" w:type="pct"/>
                  <w:shd w:val="clear" w:color="auto" w:fill="auto"/>
                  <w:vAlign w:val="center"/>
                </w:tcPr>
                <w:p w14:paraId="76015D3D" w14:textId="77777777" w:rsidR="00692E71" w:rsidRPr="001E3185" w:rsidRDefault="00692E71" w:rsidP="008E0250">
                  <w:pPr>
                    <w:autoSpaceDE w:val="0"/>
                    <w:autoSpaceDN w:val="0"/>
                    <w:rPr>
                      <w:rFonts w:cs="Arial"/>
                    </w:rPr>
                  </w:pPr>
                  <w:r w:rsidRPr="001E3185">
                    <w:rPr>
                      <w:rFonts w:cs="Arial"/>
                    </w:rPr>
                    <w:t>Propiconazole</w:t>
                  </w:r>
                </w:p>
              </w:tc>
              <w:tc>
                <w:tcPr>
                  <w:tcW w:w="3333" w:type="pct"/>
                  <w:shd w:val="clear" w:color="auto" w:fill="auto"/>
                  <w:vAlign w:val="center"/>
                </w:tcPr>
                <w:p w14:paraId="2D62F35C" w14:textId="587FA974" w:rsidR="00692E71" w:rsidRPr="001E3185" w:rsidRDefault="00692E71" w:rsidP="00823A0D">
                  <w:pPr>
                    <w:autoSpaceDE w:val="0"/>
                    <w:autoSpaceDN w:val="0"/>
                    <w:jc w:val="center"/>
                    <w:rPr>
                      <w:rFonts w:cs="Arial"/>
                    </w:rPr>
                  </w:pPr>
                  <w:r w:rsidRPr="001E3185">
                    <w:rPr>
                      <w:rFonts w:cs="Arial"/>
                    </w:rPr>
                    <w:t>9.60E-</w:t>
                  </w:r>
                  <w:r w:rsidR="00823A0D" w:rsidRPr="001E3185">
                    <w:rPr>
                      <w:rFonts w:cs="Arial"/>
                    </w:rPr>
                    <w:t>0</w:t>
                  </w:r>
                  <w:r w:rsidR="00823A0D">
                    <w:rPr>
                      <w:rFonts w:cs="Arial"/>
                    </w:rPr>
                    <w:t>5</w:t>
                  </w:r>
                </w:p>
              </w:tc>
            </w:tr>
            <w:tr w:rsidR="00692E71" w:rsidRPr="001E3185" w14:paraId="23482059" w14:textId="77777777" w:rsidTr="008E0250">
              <w:tc>
                <w:tcPr>
                  <w:tcW w:w="1667" w:type="pct"/>
                  <w:shd w:val="clear" w:color="auto" w:fill="auto"/>
                  <w:vAlign w:val="center"/>
                </w:tcPr>
                <w:p w14:paraId="61258B04" w14:textId="77777777" w:rsidR="00692E71" w:rsidRPr="001E3185" w:rsidRDefault="00692E71" w:rsidP="008E0250">
                  <w:pPr>
                    <w:autoSpaceDE w:val="0"/>
                    <w:autoSpaceDN w:val="0"/>
                    <w:rPr>
                      <w:rFonts w:cs="Arial"/>
                    </w:rPr>
                  </w:pPr>
                  <w:r w:rsidRPr="001E3185">
                    <w:rPr>
                      <w:rFonts w:cs="Arial"/>
                    </w:rPr>
                    <w:t>Cypermethrin</w:t>
                  </w:r>
                </w:p>
              </w:tc>
              <w:tc>
                <w:tcPr>
                  <w:tcW w:w="3333" w:type="pct"/>
                  <w:shd w:val="clear" w:color="auto" w:fill="auto"/>
                  <w:vAlign w:val="center"/>
                </w:tcPr>
                <w:p w14:paraId="78530087" w14:textId="3494A9AC" w:rsidR="00692E71" w:rsidRPr="001E3185" w:rsidRDefault="00692E71" w:rsidP="00823A0D">
                  <w:pPr>
                    <w:autoSpaceDE w:val="0"/>
                    <w:autoSpaceDN w:val="0"/>
                    <w:jc w:val="center"/>
                    <w:rPr>
                      <w:rFonts w:cs="Arial"/>
                    </w:rPr>
                  </w:pPr>
                  <w:r w:rsidRPr="001E3185">
                    <w:rPr>
                      <w:rFonts w:cs="Arial"/>
                    </w:rPr>
                    <w:t>4.80E-</w:t>
                  </w:r>
                  <w:r w:rsidR="00823A0D" w:rsidRPr="001E3185">
                    <w:rPr>
                      <w:rFonts w:cs="Arial"/>
                    </w:rPr>
                    <w:t>0</w:t>
                  </w:r>
                  <w:r w:rsidR="00823A0D">
                    <w:rPr>
                      <w:rFonts w:cs="Arial"/>
                    </w:rPr>
                    <w:t>5</w:t>
                  </w:r>
                </w:p>
              </w:tc>
            </w:tr>
            <w:tr w:rsidR="00692E71" w:rsidRPr="001E3185" w14:paraId="1DC8230A" w14:textId="77777777" w:rsidTr="008E0250">
              <w:tc>
                <w:tcPr>
                  <w:tcW w:w="1667" w:type="pct"/>
                  <w:shd w:val="clear" w:color="auto" w:fill="auto"/>
                  <w:vAlign w:val="center"/>
                </w:tcPr>
                <w:p w14:paraId="210DBFFD" w14:textId="77777777" w:rsidR="00692E71" w:rsidRPr="001E3185" w:rsidRDefault="00692E71" w:rsidP="008E0250">
                  <w:pPr>
                    <w:autoSpaceDE w:val="0"/>
                    <w:autoSpaceDN w:val="0"/>
                    <w:rPr>
                      <w:rFonts w:cs="Arial"/>
                    </w:rPr>
                  </w:pPr>
                  <w:r w:rsidRPr="001E3185">
                    <w:rPr>
                      <w:rFonts w:cs="Arial"/>
                    </w:rPr>
                    <w:t>IPBC</w:t>
                  </w:r>
                </w:p>
              </w:tc>
              <w:tc>
                <w:tcPr>
                  <w:tcW w:w="3333" w:type="pct"/>
                  <w:shd w:val="clear" w:color="auto" w:fill="auto"/>
                  <w:vAlign w:val="center"/>
                </w:tcPr>
                <w:p w14:paraId="278B1598" w14:textId="463DFFDB" w:rsidR="00692E71" w:rsidRPr="001E3185" w:rsidRDefault="00692E71" w:rsidP="00823A0D">
                  <w:pPr>
                    <w:autoSpaceDE w:val="0"/>
                    <w:autoSpaceDN w:val="0"/>
                    <w:jc w:val="center"/>
                    <w:rPr>
                      <w:rFonts w:cs="Arial"/>
                    </w:rPr>
                  </w:pPr>
                  <w:r w:rsidRPr="001E3185">
                    <w:rPr>
                      <w:rFonts w:cs="Arial"/>
                    </w:rPr>
                    <w:t>3.00E-</w:t>
                  </w:r>
                  <w:r w:rsidR="00823A0D" w:rsidRPr="001E3185">
                    <w:rPr>
                      <w:rFonts w:cs="Arial"/>
                    </w:rPr>
                    <w:t>0</w:t>
                  </w:r>
                  <w:r w:rsidR="00823A0D">
                    <w:rPr>
                      <w:rFonts w:cs="Arial"/>
                    </w:rPr>
                    <w:t>5</w:t>
                  </w:r>
                </w:p>
              </w:tc>
            </w:tr>
            <w:tr w:rsidR="00692E71" w:rsidRPr="001E3185" w14:paraId="2FA589F3" w14:textId="77777777" w:rsidTr="008E0250">
              <w:tc>
                <w:tcPr>
                  <w:tcW w:w="1667" w:type="pct"/>
                  <w:shd w:val="clear" w:color="auto" w:fill="auto"/>
                  <w:vAlign w:val="center"/>
                </w:tcPr>
                <w:p w14:paraId="21F500AA" w14:textId="77777777" w:rsidR="00692E71" w:rsidRPr="001E3185" w:rsidRDefault="00692E71" w:rsidP="008E0250">
                  <w:pPr>
                    <w:autoSpaceDE w:val="0"/>
                    <w:autoSpaceDN w:val="0"/>
                    <w:rPr>
                      <w:rFonts w:cs="Arial"/>
                    </w:rPr>
                  </w:pPr>
                  <w:r w:rsidRPr="001E3185">
                    <w:rPr>
                      <w:rFonts w:cs="Arial"/>
                    </w:rPr>
                    <w:t>PBC</w:t>
                  </w:r>
                </w:p>
              </w:tc>
              <w:tc>
                <w:tcPr>
                  <w:tcW w:w="3333" w:type="pct"/>
                  <w:shd w:val="clear" w:color="auto" w:fill="auto"/>
                  <w:vAlign w:val="center"/>
                </w:tcPr>
                <w:p w14:paraId="4F273EEB" w14:textId="538D3C44" w:rsidR="00692E71" w:rsidRPr="001E3185" w:rsidRDefault="00692E71" w:rsidP="00823A0D">
                  <w:pPr>
                    <w:autoSpaceDE w:val="0"/>
                    <w:autoSpaceDN w:val="0"/>
                    <w:jc w:val="center"/>
                    <w:rPr>
                      <w:rFonts w:cs="Arial"/>
                    </w:rPr>
                  </w:pPr>
                  <w:r w:rsidRPr="001E3185">
                    <w:rPr>
                      <w:rFonts w:cs="Arial"/>
                    </w:rPr>
                    <w:t>1.66E-</w:t>
                  </w:r>
                  <w:r w:rsidR="00823A0D" w:rsidRPr="001E3185">
                    <w:rPr>
                      <w:rFonts w:cs="Arial"/>
                    </w:rPr>
                    <w:t>0</w:t>
                  </w:r>
                  <w:r w:rsidR="00823A0D">
                    <w:rPr>
                      <w:rFonts w:cs="Arial"/>
                    </w:rPr>
                    <w:t>5</w:t>
                  </w:r>
                </w:p>
              </w:tc>
            </w:tr>
          </w:tbl>
          <w:p w14:paraId="7CA9FB2D" w14:textId="77777777" w:rsidR="00692E71" w:rsidRPr="001E3185" w:rsidRDefault="00692E71" w:rsidP="008E0250">
            <w:pPr>
              <w:autoSpaceDE w:val="0"/>
              <w:autoSpaceDN w:val="0"/>
              <w:spacing w:line="276" w:lineRule="auto"/>
              <w:rPr>
                <w:rFonts w:cs="Arial"/>
              </w:rPr>
            </w:pPr>
          </w:p>
          <w:p w14:paraId="2015EDA1" w14:textId="77777777" w:rsidR="00692E71" w:rsidRPr="001E3185" w:rsidRDefault="00692E71" w:rsidP="008E0250">
            <w:pPr>
              <w:autoSpaceDE w:val="0"/>
              <w:autoSpaceDN w:val="0"/>
              <w:spacing w:line="276" w:lineRule="auto"/>
              <w:rPr>
                <w:rFonts w:cs="Arial"/>
              </w:rPr>
            </w:pPr>
          </w:p>
          <w:p w14:paraId="0449EBC5" w14:textId="77777777" w:rsidR="00692E71" w:rsidRPr="001E3185" w:rsidRDefault="00692E71" w:rsidP="00F32B7F">
            <w:pPr>
              <w:pStyle w:val="Lgende"/>
              <w:numPr>
                <w:ilvl w:val="0"/>
                <w:numId w:val="18"/>
              </w:numPr>
              <w:suppressAutoHyphens w:val="0"/>
              <w:spacing w:after="200"/>
              <w:rPr>
                <w:rFonts w:ascii="Verdana" w:hAnsi="Verdana"/>
              </w:rPr>
            </w:pPr>
            <w:r w:rsidRPr="001E3185">
              <w:rPr>
                <w:rFonts w:ascii="Verdana" w:hAnsi="Verdana"/>
              </w:rPr>
              <w:t>Emissions from treated wood in-service</w:t>
            </w:r>
          </w:p>
          <w:p w14:paraId="22E69379" w14:textId="77777777" w:rsidR="00692E71" w:rsidRPr="001E3185" w:rsidRDefault="00692E71" w:rsidP="00F32B7F">
            <w:pPr>
              <w:pStyle w:val="Lgende"/>
              <w:numPr>
                <w:ilvl w:val="1"/>
                <w:numId w:val="18"/>
              </w:numPr>
              <w:suppressAutoHyphens w:val="0"/>
              <w:spacing w:after="200"/>
              <w:rPr>
                <w:rFonts w:ascii="Verdana" w:hAnsi="Verdana"/>
              </w:rPr>
            </w:pPr>
            <w:r w:rsidRPr="001E3185">
              <w:rPr>
                <w:rFonts w:ascii="Verdana" w:hAnsi="Verdana"/>
              </w:rPr>
              <w:t xml:space="preserve">Emissions from treated house in-service of industrial / </w:t>
            </w:r>
            <w:r w:rsidRPr="001E3185">
              <w:rPr>
                <w:rFonts w:ascii="Verdana" w:hAnsi="Verdana"/>
                <w:i/>
              </w:rPr>
              <w:t>in situ</w:t>
            </w:r>
            <w:r w:rsidRPr="001E3185">
              <w:rPr>
                <w:rFonts w:ascii="Verdana" w:hAnsi="Verdana"/>
              </w:rPr>
              <w:t xml:space="preserve"> treated wood</w:t>
            </w:r>
          </w:p>
          <w:p w14:paraId="02B45790" w14:textId="77777777" w:rsidR="00692E71" w:rsidRPr="001E3185" w:rsidRDefault="00692E71" w:rsidP="008E0250">
            <w:pPr>
              <w:autoSpaceDE w:val="0"/>
              <w:autoSpaceDN w:val="0"/>
              <w:jc w:val="center"/>
              <w:rPr>
                <w:rFonts w:cs="Arial"/>
              </w:rPr>
            </w:pPr>
            <w:r w:rsidRPr="001E3185">
              <w:rPr>
                <w:rFonts w:cs="Arial"/>
                <w:b/>
                <w:u w:val="single"/>
              </w:rPr>
              <w:t xml:space="preserve">HOUSE - treated wood in service– industrial / </w:t>
            </w:r>
            <w:r w:rsidRPr="001E3185">
              <w:rPr>
                <w:rFonts w:cs="Arial"/>
                <w:b/>
                <w:i/>
                <w:u w:val="single"/>
              </w:rPr>
              <w:t>in-situ</w:t>
            </w:r>
            <w:r w:rsidRPr="001E3185">
              <w:rPr>
                <w:rFonts w:cs="Arial"/>
                <w:b/>
                <w:u w:val="single"/>
              </w:rPr>
              <w:t xml:space="preserve"> application - Inputs</w:t>
            </w:r>
          </w:p>
          <w:tbl>
            <w:tblPr>
              <w:tblW w:w="32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763"/>
              <w:gridCol w:w="1638"/>
              <w:gridCol w:w="1394"/>
              <w:gridCol w:w="8"/>
            </w:tblGrid>
            <w:tr w:rsidR="00692E71" w:rsidRPr="001E3185" w14:paraId="6A0D5231" w14:textId="77777777" w:rsidTr="008E0250">
              <w:trPr>
                <w:gridAfter w:val="1"/>
                <w:wAfter w:w="6" w:type="pct"/>
                <w:trHeight w:val="340"/>
                <w:jc w:val="center"/>
              </w:trPr>
              <w:tc>
                <w:tcPr>
                  <w:tcW w:w="1200" w:type="pct"/>
                  <w:shd w:val="clear" w:color="auto" w:fill="auto"/>
                  <w:vAlign w:val="center"/>
                </w:tcPr>
                <w:p w14:paraId="5B8FD12E" w14:textId="77777777" w:rsidR="00692E71" w:rsidRPr="001E3185" w:rsidRDefault="00692E71" w:rsidP="008E0250">
                  <w:pPr>
                    <w:autoSpaceDE w:val="0"/>
                    <w:autoSpaceDN w:val="0"/>
                    <w:jc w:val="center"/>
                    <w:rPr>
                      <w:rFonts w:cs="Arial"/>
                      <w:b/>
                    </w:rPr>
                  </w:pPr>
                  <w:r w:rsidRPr="001E3185">
                    <w:rPr>
                      <w:rFonts w:cs="Arial"/>
                      <w:b/>
                    </w:rPr>
                    <w:t>Symbol</w:t>
                  </w:r>
                </w:p>
              </w:tc>
              <w:tc>
                <w:tcPr>
                  <w:tcW w:w="2691" w:type="pct"/>
                  <w:gridSpan w:val="2"/>
                  <w:shd w:val="clear" w:color="auto" w:fill="auto"/>
                  <w:vAlign w:val="center"/>
                </w:tcPr>
                <w:p w14:paraId="3758AF73" w14:textId="77777777" w:rsidR="00692E71" w:rsidRPr="001E3185" w:rsidRDefault="00692E71" w:rsidP="008E0250">
                  <w:pPr>
                    <w:autoSpaceDE w:val="0"/>
                    <w:autoSpaceDN w:val="0"/>
                    <w:jc w:val="center"/>
                    <w:rPr>
                      <w:rFonts w:cs="Arial"/>
                      <w:b/>
                    </w:rPr>
                  </w:pPr>
                  <w:r w:rsidRPr="001E3185">
                    <w:rPr>
                      <w:rFonts w:cs="Arial"/>
                      <w:b/>
                    </w:rPr>
                    <w:t>Value</w:t>
                  </w:r>
                </w:p>
              </w:tc>
              <w:tc>
                <w:tcPr>
                  <w:tcW w:w="1103" w:type="pct"/>
                  <w:shd w:val="clear" w:color="auto" w:fill="auto"/>
                  <w:vAlign w:val="center"/>
                </w:tcPr>
                <w:p w14:paraId="604FA22C" w14:textId="77777777" w:rsidR="00692E71" w:rsidRPr="001E3185" w:rsidRDefault="00692E71" w:rsidP="008E0250">
                  <w:pPr>
                    <w:autoSpaceDE w:val="0"/>
                    <w:autoSpaceDN w:val="0"/>
                    <w:jc w:val="center"/>
                    <w:rPr>
                      <w:rFonts w:cs="Arial"/>
                      <w:b/>
                    </w:rPr>
                  </w:pPr>
                  <w:r w:rsidRPr="001E3185">
                    <w:rPr>
                      <w:rFonts w:cs="Arial"/>
                      <w:b/>
                    </w:rPr>
                    <w:t>Unit</w:t>
                  </w:r>
                </w:p>
              </w:tc>
            </w:tr>
            <w:tr w:rsidR="00692E71" w:rsidRPr="001E3185" w14:paraId="3A0E0540" w14:textId="77777777" w:rsidTr="008E0250">
              <w:trPr>
                <w:trHeight w:val="340"/>
                <w:jc w:val="center"/>
              </w:trPr>
              <w:tc>
                <w:tcPr>
                  <w:tcW w:w="5000" w:type="pct"/>
                  <w:gridSpan w:val="5"/>
                  <w:shd w:val="clear" w:color="auto" w:fill="auto"/>
                  <w:vAlign w:val="center"/>
                </w:tcPr>
                <w:p w14:paraId="1C170456" w14:textId="77777777" w:rsidR="00692E71" w:rsidRPr="001E3185" w:rsidRDefault="00692E71" w:rsidP="008E0250">
                  <w:pPr>
                    <w:autoSpaceDE w:val="0"/>
                    <w:autoSpaceDN w:val="0"/>
                    <w:rPr>
                      <w:rFonts w:cs="Arial"/>
                      <w:i/>
                      <w:u w:val="single"/>
                    </w:rPr>
                  </w:pPr>
                  <w:r w:rsidRPr="001E3185">
                    <w:rPr>
                      <w:rFonts w:cs="Arial"/>
                      <w:i/>
                      <w:u w:val="single"/>
                    </w:rPr>
                    <w:t>Inputs</w:t>
                  </w:r>
                </w:p>
              </w:tc>
            </w:tr>
            <w:tr w:rsidR="00692E71" w:rsidRPr="001E3185" w14:paraId="4824CD20" w14:textId="77777777" w:rsidTr="008E0250">
              <w:trPr>
                <w:gridAfter w:val="1"/>
                <w:wAfter w:w="6" w:type="pct"/>
                <w:trHeight w:val="340"/>
                <w:jc w:val="center"/>
              </w:trPr>
              <w:tc>
                <w:tcPr>
                  <w:tcW w:w="1200" w:type="pct"/>
                  <w:shd w:val="clear" w:color="auto" w:fill="auto"/>
                  <w:vAlign w:val="center"/>
                </w:tcPr>
                <w:p w14:paraId="46EC2FF5" w14:textId="77777777" w:rsidR="00692E71" w:rsidRPr="001E3185" w:rsidRDefault="00692E71" w:rsidP="008E0250">
                  <w:pPr>
                    <w:autoSpaceDE w:val="0"/>
                    <w:autoSpaceDN w:val="0"/>
                    <w:rPr>
                      <w:rFonts w:cs="Arial"/>
                    </w:rPr>
                  </w:pPr>
                  <w:r w:rsidRPr="001E3185">
                    <w:rPr>
                      <w:rFonts w:cs="Arial"/>
                    </w:rPr>
                    <w:t>Application</w:t>
                  </w:r>
                </w:p>
              </w:tc>
              <w:tc>
                <w:tcPr>
                  <w:tcW w:w="1395" w:type="pct"/>
                  <w:shd w:val="clear" w:color="auto" w:fill="auto"/>
                  <w:vAlign w:val="center"/>
                </w:tcPr>
                <w:p w14:paraId="6DF89D52" w14:textId="77777777" w:rsidR="00692E71" w:rsidRPr="001E3185" w:rsidRDefault="00692E71" w:rsidP="008E0250">
                  <w:pPr>
                    <w:autoSpaceDE w:val="0"/>
                    <w:autoSpaceDN w:val="0"/>
                    <w:jc w:val="center"/>
                    <w:rPr>
                      <w:rFonts w:cs="Arial"/>
                    </w:rPr>
                  </w:pPr>
                  <w:r w:rsidRPr="001E3185">
                    <w:rPr>
                      <w:rFonts w:cs="Arial"/>
                    </w:rPr>
                    <w:t>Industrial</w:t>
                  </w:r>
                </w:p>
              </w:tc>
              <w:tc>
                <w:tcPr>
                  <w:tcW w:w="1296" w:type="pct"/>
                  <w:shd w:val="clear" w:color="auto" w:fill="auto"/>
                  <w:vAlign w:val="center"/>
                </w:tcPr>
                <w:p w14:paraId="75B85264" w14:textId="77777777" w:rsidR="00692E71" w:rsidRPr="001E3185" w:rsidRDefault="00692E71" w:rsidP="008E0250">
                  <w:pPr>
                    <w:autoSpaceDE w:val="0"/>
                    <w:autoSpaceDN w:val="0"/>
                    <w:jc w:val="center"/>
                    <w:rPr>
                      <w:rFonts w:cs="Arial"/>
                      <w:i/>
                    </w:rPr>
                  </w:pPr>
                  <w:r w:rsidRPr="001E3185">
                    <w:rPr>
                      <w:rFonts w:cs="Arial"/>
                      <w:i/>
                    </w:rPr>
                    <w:t>In situ</w:t>
                  </w:r>
                </w:p>
              </w:tc>
              <w:tc>
                <w:tcPr>
                  <w:tcW w:w="1103" w:type="pct"/>
                  <w:shd w:val="clear" w:color="auto" w:fill="auto"/>
                  <w:vAlign w:val="center"/>
                </w:tcPr>
                <w:p w14:paraId="3B3DAD0E" w14:textId="77777777" w:rsidR="00692E71" w:rsidRPr="001E3185" w:rsidRDefault="00692E71" w:rsidP="008E0250">
                  <w:pPr>
                    <w:autoSpaceDE w:val="0"/>
                    <w:autoSpaceDN w:val="0"/>
                    <w:jc w:val="center"/>
                    <w:rPr>
                      <w:rFonts w:cs="Arial"/>
                    </w:rPr>
                  </w:pPr>
                  <w:r w:rsidRPr="001E3185">
                    <w:rPr>
                      <w:rFonts w:cs="Arial"/>
                    </w:rPr>
                    <w:t>[-]</w:t>
                  </w:r>
                </w:p>
              </w:tc>
            </w:tr>
            <w:tr w:rsidR="00692E71" w:rsidRPr="001E3185" w14:paraId="6A989C16" w14:textId="77777777" w:rsidTr="008E0250">
              <w:trPr>
                <w:gridAfter w:val="1"/>
                <w:wAfter w:w="6" w:type="pct"/>
                <w:trHeight w:val="340"/>
                <w:jc w:val="center"/>
              </w:trPr>
              <w:tc>
                <w:tcPr>
                  <w:tcW w:w="1200" w:type="pct"/>
                  <w:shd w:val="clear" w:color="auto" w:fill="auto"/>
                  <w:vAlign w:val="center"/>
                </w:tcPr>
                <w:p w14:paraId="46DE12B3" w14:textId="77777777" w:rsidR="00692E71" w:rsidRPr="001E3185" w:rsidRDefault="00692E71" w:rsidP="008E0250">
                  <w:pPr>
                    <w:autoSpaceDE w:val="0"/>
                    <w:autoSpaceDN w:val="0"/>
                    <w:rPr>
                      <w:rFonts w:cs="Arial"/>
                    </w:rPr>
                  </w:pPr>
                  <w:r w:rsidRPr="001E3185">
                    <w:rPr>
                      <w:rFonts w:cs="Arial"/>
                    </w:rPr>
                    <w:t xml:space="preserve">AREA </w:t>
                  </w:r>
                  <w:r w:rsidRPr="001E3185">
                    <w:rPr>
                      <w:rFonts w:cs="Arial"/>
                      <w:vertAlign w:val="subscript"/>
                    </w:rPr>
                    <w:t>house</w:t>
                  </w:r>
                </w:p>
              </w:tc>
              <w:tc>
                <w:tcPr>
                  <w:tcW w:w="2691" w:type="pct"/>
                  <w:gridSpan w:val="2"/>
                  <w:shd w:val="clear" w:color="auto" w:fill="auto"/>
                  <w:vAlign w:val="center"/>
                </w:tcPr>
                <w:p w14:paraId="50804135" w14:textId="77777777" w:rsidR="00692E71" w:rsidRPr="001E3185" w:rsidRDefault="00692E71" w:rsidP="008E0250">
                  <w:pPr>
                    <w:autoSpaceDE w:val="0"/>
                    <w:autoSpaceDN w:val="0"/>
                    <w:jc w:val="center"/>
                    <w:rPr>
                      <w:rFonts w:cs="Arial"/>
                    </w:rPr>
                  </w:pPr>
                  <w:r w:rsidRPr="001E3185">
                    <w:rPr>
                      <w:rFonts w:cs="Arial"/>
                    </w:rPr>
                    <w:t>125</w:t>
                  </w:r>
                </w:p>
              </w:tc>
              <w:tc>
                <w:tcPr>
                  <w:tcW w:w="1103" w:type="pct"/>
                  <w:shd w:val="clear" w:color="auto" w:fill="auto"/>
                  <w:vAlign w:val="center"/>
                </w:tcPr>
                <w:p w14:paraId="63526279" w14:textId="77777777" w:rsidR="00692E71" w:rsidRPr="001E3185" w:rsidRDefault="00692E71" w:rsidP="008E0250">
                  <w:pPr>
                    <w:autoSpaceDE w:val="0"/>
                    <w:autoSpaceDN w:val="0"/>
                    <w:jc w:val="center"/>
                    <w:rPr>
                      <w:rFonts w:cs="Arial"/>
                    </w:rPr>
                  </w:pPr>
                  <w:r w:rsidRPr="001E3185">
                    <w:rPr>
                      <w:rFonts w:cs="Arial"/>
                    </w:rPr>
                    <w:t>[m²]</w:t>
                  </w:r>
                </w:p>
              </w:tc>
            </w:tr>
            <w:tr w:rsidR="00692E71" w:rsidRPr="001E3185" w14:paraId="7775391C" w14:textId="77777777" w:rsidTr="008E0250">
              <w:trPr>
                <w:gridAfter w:val="1"/>
                <w:wAfter w:w="6" w:type="pct"/>
                <w:trHeight w:val="340"/>
                <w:jc w:val="center"/>
              </w:trPr>
              <w:tc>
                <w:tcPr>
                  <w:tcW w:w="1200" w:type="pct"/>
                  <w:shd w:val="clear" w:color="auto" w:fill="auto"/>
                  <w:vAlign w:val="center"/>
                </w:tcPr>
                <w:p w14:paraId="7BA8F9EA" w14:textId="77777777" w:rsidR="00692E71" w:rsidRPr="001E3185" w:rsidRDefault="00692E71" w:rsidP="008E0250">
                  <w:pPr>
                    <w:autoSpaceDE w:val="0"/>
                    <w:autoSpaceDN w:val="0"/>
                    <w:rPr>
                      <w:rFonts w:cs="Arial"/>
                    </w:rPr>
                  </w:pPr>
                  <w:r w:rsidRPr="001E3185">
                    <w:rPr>
                      <w:rFonts w:cs="Arial"/>
                    </w:rPr>
                    <w:t>TIME1</w:t>
                  </w:r>
                </w:p>
              </w:tc>
              <w:tc>
                <w:tcPr>
                  <w:tcW w:w="2691" w:type="pct"/>
                  <w:gridSpan w:val="2"/>
                  <w:shd w:val="clear" w:color="auto" w:fill="auto"/>
                  <w:vAlign w:val="center"/>
                </w:tcPr>
                <w:p w14:paraId="1C8884DD" w14:textId="77777777" w:rsidR="00692E71" w:rsidRPr="001E3185" w:rsidRDefault="00692E71" w:rsidP="008E0250">
                  <w:pPr>
                    <w:autoSpaceDE w:val="0"/>
                    <w:autoSpaceDN w:val="0"/>
                    <w:jc w:val="center"/>
                    <w:rPr>
                      <w:rFonts w:cs="Arial"/>
                    </w:rPr>
                  </w:pPr>
                  <w:r w:rsidRPr="001E3185">
                    <w:rPr>
                      <w:rFonts w:cs="Arial"/>
                    </w:rPr>
                    <w:t>30</w:t>
                  </w:r>
                </w:p>
              </w:tc>
              <w:tc>
                <w:tcPr>
                  <w:tcW w:w="1103" w:type="pct"/>
                  <w:shd w:val="clear" w:color="auto" w:fill="auto"/>
                  <w:vAlign w:val="center"/>
                </w:tcPr>
                <w:p w14:paraId="3C5DD9B1" w14:textId="77777777" w:rsidR="00692E71" w:rsidRPr="001E3185" w:rsidRDefault="00692E71" w:rsidP="008E0250">
                  <w:pPr>
                    <w:autoSpaceDE w:val="0"/>
                    <w:autoSpaceDN w:val="0"/>
                    <w:jc w:val="center"/>
                    <w:rPr>
                      <w:rFonts w:cs="Arial"/>
                    </w:rPr>
                  </w:pPr>
                  <w:r w:rsidRPr="001E3185">
                    <w:rPr>
                      <w:rFonts w:cs="Arial"/>
                    </w:rPr>
                    <w:t>[d]</w:t>
                  </w:r>
                </w:p>
              </w:tc>
            </w:tr>
            <w:tr w:rsidR="00692E71" w:rsidRPr="001E3185" w14:paraId="4AD4C194" w14:textId="77777777" w:rsidTr="008E0250">
              <w:trPr>
                <w:gridAfter w:val="1"/>
                <w:wAfter w:w="6" w:type="pct"/>
                <w:trHeight w:val="340"/>
                <w:jc w:val="center"/>
              </w:trPr>
              <w:tc>
                <w:tcPr>
                  <w:tcW w:w="1200" w:type="pct"/>
                  <w:shd w:val="clear" w:color="auto" w:fill="auto"/>
                  <w:vAlign w:val="center"/>
                </w:tcPr>
                <w:p w14:paraId="671CD0E5" w14:textId="77777777" w:rsidR="00692E71" w:rsidRPr="001E3185" w:rsidRDefault="00692E71" w:rsidP="008E0250">
                  <w:pPr>
                    <w:autoSpaceDE w:val="0"/>
                    <w:autoSpaceDN w:val="0"/>
                    <w:rPr>
                      <w:rFonts w:cs="Arial"/>
                    </w:rPr>
                  </w:pPr>
                  <w:r w:rsidRPr="001E3185">
                    <w:rPr>
                      <w:rFonts w:cs="Arial"/>
                    </w:rPr>
                    <w:t>TIME2</w:t>
                  </w:r>
                </w:p>
              </w:tc>
              <w:tc>
                <w:tcPr>
                  <w:tcW w:w="1395" w:type="pct"/>
                  <w:shd w:val="clear" w:color="auto" w:fill="auto"/>
                  <w:vAlign w:val="center"/>
                </w:tcPr>
                <w:p w14:paraId="5786C66B" w14:textId="77777777" w:rsidR="00692E71" w:rsidRPr="001E3185" w:rsidRDefault="00692E71" w:rsidP="008E0250">
                  <w:pPr>
                    <w:autoSpaceDE w:val="0"/>
                    <w:autoSpaceDN w:val="0"/>
                    <w:jc w:val="center"/>
                    <w:rPr>
                      <w:rFonts w:cs="Arial"/>
                    </w:rPr>
                  </w:pPr>
                  <w:r w:rsidRPr="001E3185">
                    <w:rPr>
                      <w:rFonts w:cs="Arial"/>
                    </w:rPr>
                    <w:t>5475</w:t>
                  </w:r>
                </w:p>
              </w:tc>
              <w:tc>
                <w:tcPr>
                  <w:tcW w:w="1296" w:type="pct"/>
                  <w:shd w:val="clear" w:color="auto" w:fill="auto"/>
                  <w:vAlign w:val="center"/>
                </w:tcPr>
                <w:p w14:paraId="6876DFEB" w14:textId="77777777" w:rsidR="00692E71" w:rsidRPr="001E3185" w:rsidRDefault="00692E71" w:rsidP="008E0250">
                  <w:pPr>
                    <w:autoSpaceDE w:val="0"/>
                    <w:autoSpaceDN w:val="0"/>
                    <w:jc w:val="center"/>
                    <w:rPr>
                      <w:rFonts w:cs="Arial"/>
                    </w:rPr>
                  </w:pPr>
                  <w:r w:rsidRPr="001E3185">
                    <w:rPr>
                      <w:rFonts w:cs="Arial"/>
                    </w:rPr>
                    <w:t>1825</w:t>
                  </w:r>
                </w:p>
              </w:tc>
              <w:tc>
                <w:tcPr>
                  <w:tcW w:w="1103" w:type="pct"/>
                  <w:shd w:val="clear" w:color="auto" w:fill="auto"/>
                  <w:vAlign w:val="center"/>
                </w:tcPr>
                <w:p w14:paraId="33792D89" w14:textId="77777777" w:rsidR="00692E71" w:rsidRPr="001E3185" w:rsidRDefault="00692E71" w:rsidP="008E0250">
                  <w:pPr>
                    <w:autoSpaceDE w:val="0"/>
                    <w:autoSpaceDN w:val="0"/>
                    <w:jc w:val="center"/>
                    <w:rPr>
                      <w:rFonts w:cs="Arial"/>
                    </w:rPr>
                  </w:pPr>
                  <w:r w:rsidRPr="001E3185">
                    <w:rPr>
                      <w:rFonts w:cs="Arial"/>
                    </w:rPr>
                    <w:t>[d]</w:t>
                  </w:r>
                </w:p>
              </w:tc>
            </w:tr>
            <w:tr w:rsidR="00692E71" w:rsidRPr="001E3185" w14:paraId="7903A972" w14:textId="77777777" w:rsidTr="008E0250">
              <w:trPr>
                <w:gridAfter w:val="1"/>
                <w:wAfter w:w="6" w:type="pct"/>
                <w:trHeight w:val="340"/>
                <w:jc w:val="center"/>
              </w:trPr>
              <w:tc>
                <w:tcPr>
                  <w:tcW w:w="1200" w:type="pct"/>
                  <w:shd w:val="clear" w:color="auto" w:fill="auto"/>
                  <w:vAlign w:val="center"/>
                </w:tcPr>
                <w:p w14:paraId="5F131851" w14:textId="77777777" w:rsidR="00692E71" w:rsidRPr="001E3185" w:rsidRDefault="00692E71" w:rsidP="008E0250">
                  <w:pPr>
                    <w:autoSpaceDE w:val="0"/>
                    <w:autoSpaceDN w:val="0"/>
                    <w:rPr>
                      <w:rFonts w:cs="Arial"/>
                    </w:rPr>
                  </w:pPr>
                  <w:r w:rsidRPr="001E3185">
                    <w:rPr>
                      <w:rFonts w:cs="Arial"/>
                    </w:rPr>
                    <w:t>Q*</w:t>
                  </w:r>
                  <w:r w:rsidRPr="001E3185">
                    <w:rPr>
                      <w:rFonts w:cs="Arial"/>
                      <w:vertAlign w:val="subscript"/>
                    </w:rPr>
                    <w:t>leach,TIME1</w:t>
                  </w:r>
                </w:p>
              </w:tc>
              <w:tc>
                <w:tcPr>
                  <w:tcW w:w="2691" w:type="pct"/>
                  <w:gridSpan w:val="2"/>
                  <w:vMerge w:val="restart"/>
                  <w:shd w:val="clear" w:color="auto" w:fill="auto"/>
                  <w:vAlign w:val="center"/>
                </w:tcPr>
                <w:p w14:paraId="7A98B530" w14:textId="77777777" w:rsidR="00692E71" w:rsidRPr="001E3185" w:rsidRDefault="00692E71" w:rsidP="008E0250">
                  <w:pPr>
                    <w:autoSpaceDE w:val="0"/>
                    <w:autoSpaceDN w:val="0"/>
                    <w:jc w:val="center"/>
                    <w:rPr>
                      <w:rFonts w:cs="Arial"/>
                    </w:rPr>
                  </w:pPr>
                  <w:r w:rsidRPr="001E3185">
                    <w:rPr>
                      <w:rFonts w:cs="Arial"/>
                    </w:rPr>
                    <w:t>See leaching values in section 1</w:t>
                  </w:r>
                </w:p>
              </w:tc>
              <w:tc>
                <w:tcPr>
                  <w:tcW w:w="1103" w:type="pct"/>
                  <w:shd w:val="clear" w:color="auto" w:fill="auto"/>
                  <w:vAlign w:val="center"/>
                </w:tcPr>
                <w:p w14:paraId="4F6BE381" w14:textId="77777777" w:rsidR="00692E71" w:rsidRPr="001E3185" w:rsidRDefault="00692E71" w:rsidP="008E0250">
                  <w:pPr>
                    <w:autoSpaceDE w:val="0"/>
                    <w:autoSpaceDN w:val="0"/>
                    <w:jc w:val="center"/>
                    <w:rPr>
                      <w:rFonts w:cs="Arial"/>
                    </w:rPr>
                  </w:pPr>
                  <w:r w:rsidRPr="001E3185">
                    <w:rPr>
                      <w:rFonts w:cs="Arial"/>
                    </w:rPr>
                    <w:t>[mg.m</w:t>
                  </w:r>
                  <w:r w:rsidRPr="001E3185">
                    <w:rPr>
                      <w:rFonts w:cs="Arial"/>
                      <w:vertAlign w:val="superscript"/>
                    </w:rPr>
                    <w:t>-2</w:t>
                  </w:r>
                  <w:r w:rsidRPr="001E3185">
                    <w:rPr>
                      <w:rFonts w:cs="Arial"/>
                    </w:rPr>
                    <w:t>]</w:t>
                  </w:r>
                </w:p>
              </w:tc>
            </w:tr>
            <w:tr w:rsidR="00692E71" w:rsidRPr="001E3185" w14:paraId="1FE4131A" w14:textId="77777777" w:rsidTr="008E0250">
              <w:trPr>
                <w:gridAfter w:val="1"/>
                <w:wAfter w:w="6" w:type="pct"/>
                <w:trHeight w:val="340"/>
                <w:jc w:val="center"/>
              </w:trPr>
              <w:tc>
                <w:tcPr>
                  <w:tcW w:w="1200" w:type="pct"/>
                  <w:shd w:val="clear" w:color="auto" w:fill="auto"/>
                  <w:vAlign w:val="center"/>
                </w:tcPr>
                <w:p w14:paraId="1C887599" w14:textId="77777777" w:rsidR="00692E71" w:rsidRPr="001E3185" w:rsidRDefault="00692E71" w:rsidP="008E0250">
                  <w:pPr>
                    <w:autoSpaceDE w:val="0"/>
                    <w:autoSpaceDN w:val="0"/>
                    <w:rPr>
                      <w:rFonts w:cs="Arial"/>
                    </w:rPr>
                  </w:pPr>
                  <w:r w:rsidRPr="001E3185">
                    <w:rPr>
                      <w:rFonts w:cs="Arial"/>
                    </w:rPr>
                    <w:t>Q*</w:t>
                  </w:r>
                  <w:r w:rsidRPr="001E3185">
                    <w:rPr>
                      <w:rFonts w:cs="Arial"/>
                      <w:vertAlign w:val="subscript"/>
                    </w:rPr>
                    <w:t>leach,TIME2</w:t>
                  </w:r>
                </w:p>
              </w:tc>
              <w:tc>
                <w:tcPr>
                  <w:tcW w:w="2691" w:type="pct"/>
                  <w:gridSpan w:val="2"/>
                  <w:vMerge/>
                  <w:shd w:val="clear" w:color="auto" w:fill="auto"/>
                  <w:vAlign w:val="center"/>
                </w:tcPr>
                <w:p w14:paraId="3A1439BC" w14:textId="77777777" w:rsidR="00692E71" w:rsidRPr="001E3185" w:rsidRDefault="00692E71" w:rsidP="008E0250">
                  <w:pPr>
                    <w:autoSpaceDE w:val="0"/>
                    <w:autoSpaceDN w:val="0"/>
                    <w:jc w:val="center"/>
                    <w:rPr>
                      <w:rFonts w:cs="Arial"/>
                    </w:rPr>
                  </w:pPr>
                </w:p>
              </w:tc>
              <w:tc>
                <w:tcPr>
                  <w:tcW w:w="1103" w:type="pct"/>
                  <w:shd w:val="clear" w:color="auto" w:fill="auto"/>
                  <w:vAlign w:val="center"/>
                </w:tcPr>
                <w:p w14:paraId="34F7C241" w14:textId="77777777" w:rsidR="00692E71" w:rsidRPr="001E3185" w:rsidRDefault="00692E71" w:rsidP="008E0250">
                  <w:pPr>
                    <w:autoSpaceDE w:val="0"/>
                    <w:autoSpaceDN w:val="0"/>
                    <w:jc w:val="center"/>
                    <w:rPr>
                      <w:rFonts w:cs="Arial"/>
                    </w:rPr>
                  </w:pPr>
                  <w:r w:rsidRPr="001E3185">
                    <w:rPr>
                      <w:rFonts w:cs="Arial"/>
                    </w:rPr>
                    <w:t>[mg.m</w:t>
                  </w:r>
                  <w:r w:rsidRPr="001E3185">
                    <w:rPr>
                      <w:rFonts w:cs="Arial"/>
                      <w:vertAlign w:val="superscript"/>
                    </w:rPr>
                    <w:t>-2</w:t>
                  </w:r>
                  <w:r w:rsidRPr="001E3185">
                    <w:rPr>
                      <w:rFonts w:cs="Arial"/>
                    </w:rPr>
                    <w:t>]</w:t>
                  </w:r>
                </w:p>
              </w:tc>
            </w:tr>
            <w:tr w:rsidR="00692E71" w:rsidRPr="001E3185" w14:paraId="46DEBC85" w14:textId="77777777" w:rsidTr="008E0250">
              <w:trPr>
                <w:gridAfter w:val="1"/>
                <w:wAfter w:w="6" w:type="pct"/>
                <w:trHeight w:val="340"/>
                <w:jc w:val="center"/>
              </w:trPr>
              <w:tc>
                <w:tcPr>
                  <w:tcW w:w="1200" w:type="pct"/>
                  <w:shd w:val="clear" w:color="auto" w:fill="auto"/>
                  <w:vAlign w:val="center"/>
                </w:tcPr>
                <w:p w14:paraId="0BBD9DF9" w14:textId="77777777" w:rsidR="00692E71" w:rsidRPr="001E3185" w:rsidRDefault="00692E71" w:rsidP="008E0250">
                  <w:pPr>
                    <w:autoSpaceDE w:val="0"/>
                    <w:autoSpaceDN w:val="0"/>
                    <w:rPr>
                      <w:rFonts w:cs="Arial"/>
                    </w:rPr>
                  </w:pPr>
                  <w:r w:rsidRPr="001E3185">
                    <w:rPr>
                      <w:rFonts w:cs="Arial"/>
                    </w:rPr>
                    <w:t>DT</w:t>
                  </w:r>
                  <w:r w:rsidRPr="001E3185">
                    <w:rPr>
                      <w:rFonts w:cs="Arial"/>
                      <w:vertAlign w:val="subscript"/>
                    </w:rPr>
                    <w:t>50</w:t>
                  </w:r>
                  <w:r w:rsidRPr="001E3185">
                    <w:rPr>
                      <w:rFonts w:cs="Arial"/>
                    </w:rPr>
                    <w:t xml:space="preserve"> </w:t>
                  </w:r>
                  <w:r w:rsidRPr="001E3185">
                    <w:rPr>
                      <w:rFonts w:cs="Arial"/>
                      <w:vertAlign w:val="subscript"/>
                    </w:rPr>
                    <w:t>soil</w:t>
                  </w:r>
                </w:p>
              </w:tc>
              <w:tc>
                <w:tcPr>
                  <w:tcW w:w="2691" w:type="pct"/>
                  <w:gridSpan w:val="2"/>
                  <w:shd w:val="clear" w:color="auto" w:fill="auto"/>
                  <w:vAlign w:val="center"/>
                </w:tcPr>
                <w:p w14:paraId="0461FE8D" w14:textId="77777777" w:rsidR="00692E71" w:rsidRPr="001E3185" w:rsidRDefault="00692E71" w:rsidP="008E0250">
                  <w:pPr>
                    <w:autoSpaceDE w:val="0"/>
                    <w:autoSpaceDN w:val="0"/>
                    <w:jc w:val="center"/>
                    <w:rPr>
                      <w:rFonts w:cs="Arial"/>
                    </w:rPr>
                  </w:pPr>
                  <w:r w:rsidRPr="001E3185">
                    <w:rPr>
                      <w:rFonts w:cs="Arial"/>
                    </w:rPr>
                    <w:t>See FR-CA box 2</w:t>
                  </w:r>
                </w:p>
              </w:tc>
              <w:tc>
                <w:tcPr>
                  <w:tcW w:w="1103" w:type="pct"/>
                  <w:shd w:val="clear" w:color="auto" w:fill="auto"/>
                  <w:vAlign w:val="center"/>
                </w:tcPr>
                <w:p w14:paraId="3E6F1754" w14:textId="77777777" w:rsidR="00692E71" w:rsidRPr="001E3185" w:rsidRDefault="00692E71" w:rsidP="008E0250">
                  <w:pPr>
                    <w:autoSpaceDE w:val="0"/>
                    <w:autoSpaceDN w:val="0"/>
                    <w:jc w:val="center"/>
                    <w:rPr>
                      <w:rFonts w:cs="Arial"/>
                    </w:rPr>
                  </w:pPr>
                  <w:r w:rsidRPr="001E3185">
                    <w:rPr>
                      <w:rFonts w:cs="Arial"/>
                    </w:rPr>
                    <w:t>[d</w:t>
                  </w:r>
                  <w:r w:rsidRPr="001E3185">
                    <w:rPr>
                      <w:rFonts w:cs="Arial"/>
                      <w:vertAlign w:val="superscript"/>
                    </w:rPr>
                    <w:t>-1</w:t>
                  </w:r>
                  <w:r w:rsidRPr="001E3185">
                    <w:rPr>
                      <w:rFonts w:cs="Arial"/>
                    </w:rPr>
                    <w:t>]</w:t>
                  </w:r>
                </w:p>
              </w:tc>
            </w:tr>
            <w:tr w:rsidR="00692E71" w:rsidRPr="001E3185" w14:paraId="20835DEF" w14:textId="77777777" w:rsidTr="008E0250">
              <w:trPr>
                <w:gridAfter w:val="1"/>
                <w:wAfter w:w="6" w:type="pct"/>
                <w:trHeight w:val="340"/>
                <w:jc w:val="center"/>
              </w:trPr>
              <w:tc>
                <w:tcPr>
                  <w:tcW w:w="1200" w:type="pct"/>
                  <w:shd w:val="clear" w:color="auto" w:fill="auto"/>
                  <w:vAlign w:val="center"/>
                </w:tcPr>
                <w:p w14:paraId="69F30D56" w14:textId="77777777" w:rsidR="00692E71" w:rsidRPr="001E3185" w:rsidRDefault="00692E71" w:rsidP="008E0250">
                  <w:pPr>
                    <w:autoSpaceDE w:val="0"/>
                    <w:autoSpaceDN w:val="0"/>
                    <w:rPr>
                      <w:rFonts w:cs="Arial"/>
                    </w:rPr>
                  </w:pPr>
                  <w:r w:rsidRPr="001E3185">
                    <w:rPr>
                      <w:rFonts w:cs="Arial"/>
                    </w:rPr>
                    <w:t xml:space="preserve">V </w:t>
                  </w:r>
                  <w:r w:rsidRPr="001E3185">
                    <w:rPr>
                      <w:rFonts w:cs="Arial"/>
                      <w:vertAlign w:val="subscript"/>
                    </w:rPr>
                    <w:t>soil</w:t>
                  </w:r>
                </w:p>
              </w:tc>
              <w:tc>
                <w:tcPr>
                  <w:tcW w:w="2691" w:type="pct"/>
                  <w:gridSpan w:val="2"/>
                  <w:shd w:val="clear" w:color="auto" w:fill="auto"/>
                  <w:vAlign w:val="center"/>
                </w:tcPr>
                <w:p w14:paraId="2C537FF9" w14:textId="77777777" w:rsidR="00692E71" w:rsidRPr="001E3185" w:rsidRDefault="00692E71" w:rsidP="008E0250">
                  <w:pPr>
                    <w:autoSpaceDE w:val="0"/>
                    <w:autoSpaceDN w:val="0"/>
                    <w:jc w:val="center"/>
                    <w:rPr>
                      <w:rFonts w:cs="Arial"/>
                    </w:rPr>
                  </w:pPr>
                  <w:r w:rsidRPr="001E3185">
                    <w:rPr>
                      <w:rFonts w:cs="Arial"/>
                    </w:rPr>
                    <w:t>13</w:t>
                  </w:r>
                </w:p>
              </w:tc>
              <w:tc>
                <w:tcPr>
                  <w:tcW w:w="1103" w:type="pct"/>
                  <w:shd w:val="clear" w:color="auto" w:fill="auto"/>
                  <w:vAlign w:val="center"/>
                </w:tcPr>
                <w:p w14:paraId="1A61443B" w14:textId="77777777" w:rsidR="00692E71" w:rsidRPr="001E3185" w:rsidRDefault="00692E71" w:rsidP="008E0250">
                  <w:pPr>
                    <w:autoSpaceDE w:val="0"/>
                    <w:autoSpaceDN w:val="0"/>
                    <w:jc w:val="center"/>
                    <w:rPr>
                      <w:rFonts w:cs="Arial"/>
                    </w:rPr>
                  </w:pPr>
                  <w:r w:rsidRPr="001E3185">
                    <w:rPr>
                      <w:rFonts w:cs="Arial"/>
                    </w:rPr>
                    <w:t>[m</w:t>
                  </w:r>
                  <w:r w:rsidRPr="001E3185">
                    <w:rPr>
                      <w:rFonts w:cs="Arial"/>
                      <w:vertAlign w:val="superscript"/>
                    </w:rPr>
                    <w:t>3</w:t>
                  </w:r>
                  <w:r w:rsidRPr="001E3185">
                    <w:rPr>
                      <w:rFonts w:cs="Arial"/>
                    </w:rPr>
                    <w:t>]</w:t>
                  </w:r>
                </w:p>
              </w:tc>
            </w:tr>
            <w:tr w:rsidR="00692E71" w:rsidRPr="001E3185" w14:paraId="5B86B4AF" w14:textId="77777777" w:rsidTr="008E0250">
              <w:trPr>
                <w:gridAfter w:val="1"/>
                <w:wAfter w:w="6" w:type="pct"/>
                <w:trHeight w:val="340"/>
                <w:jc w:val="center"/>
              </w:trPr>
              <w:tc>
                <w:tcPr>
                  <w:tcW w:w="1200" w:type="pct"/>
                  <w:shd w:val="clear" w:color="auto" w:fill="auto"/>
                  <w:vAlign w:val="center"/>
                </w:tcPr>
                <w:p w14:paraId="6AB74CC6" w14:textId="77777777" w:rsidR="00692E71" w:rsidRPr="001E3185" w:rsidRDefault="00692E71" w:rsidP="008E0250">
                  <w:pPr>
                    <w:autoSpaceDE w:val="0"/>
                    <w:autoSpaceDN w:val="0"/>
                    <w:rPr>
                      <w:rFonts w:cs="Arial"/>
                    </w:rPr>
                  </w:pPr>
                  <w:r w:rsidRPr="001E3185">
                    <w:rPr>
                      <w:rFonts w:cs="Arial"/>
                    </w:rPr>
                    <w:t xml:space="preserve">RHO </w:t>
                  </w:r>
                  <w:r w:rsidRPr="001E3185">
                    <w:rPr>
                      <w:rFonts w:cs="Arial"/>
                      <w:vertAlign w:val="subscript"/>
                    </w:rPr>
                    <w:t>soil</w:t>
                  </w:r>
                </w:p>
              </w:tc>
              <w:tc>
                <w:tcPr>
                  <w:tcW w:w="2691" w:type="pct"/>
                  <w:gridSpan w:val="2"/>
                  <w:shd w:val="clear" w:color="auto" w:fill="auto"/>
                  <w:vAlign w:val="center"/>
                </w:tcPr>
                <w:p w14:paraId="1509358D" w14:textId="77777777" w:rsidR="00692E71" w:rsidRPr="001E3185" w:rsidRDefault="00692E71" w:rsidP="008E0250">
                  <w:pPr>
                    <w:autoSpaceDE w:val="0"/>
                    <w:autoSpaceDN w:val="0"/>
                    <w:jc w:val="center"/>
                    <w:rPr>
                      <w:rFonts w:cs="Arial"/>
                    </w:rPr>
                  </w:pPr>
                  <w:r w:rsidRPr="001E3185">
                    <w:rPr>
                      <w:rFonts w:cs="Arial"/>
                    </w:rPr>
                    <w:t>1700</w:t>
                  </w:r>
                </w:p>
              </w:tc>
              <w:tc>
                <w:tcPr>
                  <w:tcW w:w="1103" w:type="pct"/>
                  <w:shd w:val="clear" w:color="auto" w:fill="auto"/>
                  <w:vAlign w:val="center"/>
                </w:tcPr>
                <w:p w14:paraId="1D583219" w14:textId="77777777" w:rsidR="00692E71" w:rsidRPr="001E3185" w:rsidRDefault="00692E71" w:rsidP="008E0250">
                  <w:pPr>
                    <w:autoSpaceDE w:val="0"/>
                    <w:autoSpaceDN w:val="0"/>
                    <w:jc w:val="center"/>
                    <w:rPr>
                      <w:rFonts w:cs="Arial"/>
                    </w:rPr>
                  </w:pPr>
                  <w:r w:rsidRPr="001E3185">
                    <w:rPr>
                      <w:rFonts w:cs="Arial"/>
                    </w:rPr>
                    <w:t>[kg</w:t>
                  </w:r>
                  <w:r w:rsidRPr="001E3185">
                    <w:rPr>
                      <w:rFonts w:cs="Arial"/>
                      <w:vertAlign w:val="subscript"/>
                    </w:rPr>
                    <w:t>wwt</w:t>
                  </w:r>
                  <w:r w:rsidRPr="001E3185">
                    <w:rPr>
                      <w:rFonts w:cs="Arial"/>
                    </w:rPr>
                    <w:t>.m</w:t>
                  </w:r>
                  <w:r w:rsidRPr="001E3185">
                    <w:rPr>
                      <w:rFonts w:cs="Arial"/>
                      <w:vertAlign w:val="superscript"/>
                    </w:rPr>
                    <w:t>-3</w:t>
                  </w:r>
                  <w:r w:rsidRPr="001E3185">
                    <w:rPr>
                      <w:rFonts w:cs="Arial"/>
                    </w:rPr>
                    <w:t>]</w:t>
                  </w:r>
                </w:p>
              </w:tc>
            </w:tr>
          </w:tbl>
          <w:p w14:paraId="59CE81FA" w14:textId="77777777" w:rsidR="00692E71" w:rsidRPr="001E3185" w:rsidRDefault="00692E71" w:rsidP="008E0250">
            <w:pPr>
              <w:autoSpaceDE w:val="0"/>
              <w:autoSpaceDN w:val="0"/>
              <w:spacing w:after="60"/>
              <w:rPr>
                <w:rFonts w:cs="Arial"/>
              </w:rPr>
            </w:pPr>
          </w:p>
          <w:p w14:paraId="625D3CF1" w14:textId="77777777" w:rsidR="00692E71" w:rsidRPr="001E3185" w:rsidRDefault="00692E71" w:rsidP="008E0250">
            <w:pPr>
              <w:autoSpaceDE w:val="0"/>
              <w:autoSpaceDN w:val="0"/>
              <w:jc w:val="center"/>
              <w:rPr>
                <w:rFonts w:cs="Arial"/>
              </w:rPr>
            </w:pPr>
            <w:r w:rsidRPr="001E3185">
              <w:rPr>
                <w:rFonts w:cs="Arial"/>
                <w:b/>
                <w:u w:val="single"/>
              </w:rPr>
              <w:lastRenderedPageBreak/>
              <w:t>HOUSE - treated wood in service (industrial / in situ application 200 g/m2) - Outputs</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478"/>
              <w:gridCol w:w="2363"/>
              <w:gridCol w:w="2364"/>
            </w:tblGrid>
            <w:tr w:rsidR="00692E71" w:rsidRPr="001E3185" w14:paraId="7E82A75F" w14:textId="77777777" w:rsidTr="008E0250">
              <w:trPr>
                <w:trHeight w:val="624"/>
                <w:jc w:val="center"/>
              </w:trPr>
              <w:tc>
                <w:tcPr>
                  <w:tcW w:w="771" w:type="pct"/>
                  <w:vMerge w:val="restart"/>
                  <w:vAlign w:val="center"/>
                </w:tcPr>
                <w:p w14:paraId="2DF7E3AF" w14:textId="77777777" w:rsidR="00692E71" w:rsidRPr="001E3185" w:rsidRDefault="00692E71" w:rsidP="008E0250">
                  <w:pPr>
                    <w:rPr>
                      <w:rFonts w:cs="Arial"/>
                      <w:b/>
                    </w:rPr>
                  </w:pPr>
                </w:p>
              </w:tc>
              <w:tc>
                <w:tcPr>
                  <w:tcW w:w="1453" w:type="pct"/>
                  <w:vAlign w:val="center"/>
                </w:tcPr>
                <w:p w14:paraId="19E68D43"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tc>
              <w:tc>
                <w:tcPr>
                  <w:tcW w:w="1388" w:type="pct"/>
                  <w:vAlign w:val="center"/>
                </w:tcPr>
                <w:p w14:paraId="3CC61144" w14:textId="77777777" w:rsidR="00692E71" w:rsidRPr="001E3185" w:rsidRDefault="00692E71" w:rsidP="008E0250">
                  <w:pPr>
                    <w:jc w:val="center"/>
                    <w:rPr>
                      <w:rFonts w:cs="Arial"/>
                      <w:b/>
                    </w:rPr>
                  </w:pPr>
                  <w:r w:rsidRPr="001E3185">
                    <w:rPr>
                      <w:rFonts w:cs="Arial"/>
                      <w:b/>
                      <w:i/>
                    </w:rPr>
                    <w:t>In situ</w:t>
                  </w:r>
                  <w:r w:rsidRPr="001E3185">
                    <w:rPr>
                      <w:rFonts w:cs="Arial"/>
                      <w:b/>
                    </w:rPr>
                    <w:t xml:space="preserve"> application</w:t>
                  </w:r>
                </w:p>
              </w:tc>
              <w:tc>
                <w:tcPr>
                  <w:tcW w:w="1388" w:type="pct"/>
                  <w:vAlign w:val="center"/>
                </w:tcPr>
                <w:p w14:paraId="159133F3" w14:textId="77777777" w:rsidR="00692E71" w:rsidRPr="001E3185" w:rsidRDefault="00692E71" w:rsidP="008E0250">
                  <w:pPr>
                    <w:jc w:val="center"/>
                    <w:rPr>
                      <w:rFonts w:cs="Arial"/>
                      <w:b/>
                    </w:rPr>
                  </w:pPr>
                  <w:r w:rsidRPr="001E3185">
                    <w:rPr>
                      <w:rFonts w:cs="Arial"/>
                      <w:b/>
                    </w:rPr>
                    <w:t>Industrial application</w:t>
                  </w:r>
                </w:p>
              </w:tc>
            </w:tr>
            <w:tr w:rsidR="00692E71" w:rsidRPr="001E3185" w14:paraId="41081780" w14:textId="77777777" w:rsidTr="008E0250">
              <w:trPr>
                <w:trHeight w:val="340"/>
                <w:jc w:val="center"/>
              </w:trPr>
              <w:tc>
                <w:tcPr>
                  <w:tcW w:w="771" w:type="pct"/>
                  <w:vMerge/>
                  <w:vAlign w:val="center"/>
                </w:tcPr>
                <w:p w14:paraId="755BED41" w14:textId="77777777" w:rsidR="00692E71" w:rsidRPr="001E3185" w:rsidRDefault="00692E71" w:rsidP="008E0250">
                  <w:pPr>
                    <w:rPr>
                      <w:rFonts w:cs="Arial"/>
                      <w:b/>
                    </w:rPr>
                  </w:pPr>
                </w:p>
              </w:tc>
              <w:tc>
                <w:tcPr>
                  <w:tcW w:w="1453" w:type="pct"/>
                  <w:vAlign w:val="center"/>
                </w:tcPr>
                <w:p w14:paraId="62A9DFA8" w14:textId="77777777" w:rsidR="00692E71" w:rsidRPr="001E3185" w:rsidRDefault="00692E71" w:rsidP="008E0250">
                  <w:pPr>
                    <w:jc w:val="center"/>
                    <w:rPr>
                      <w:rFonts w:cs="Arial"/>
                      <w:b/>
                    </w:rPr>
                  </w:pPr>
                  <w:r w:rsidRPr="001E3185">
                    <w:rPr>
                      <w:rFonts w:cs="Arial"/>
                      <w:b/>
                    </w:rPr>
                    <w:t>Q</w:t>
                  </w:r>
                  <w:r w:rsidRPr="001E3185">
                    <w:rPr>
                      <w:rFonts w:cs="Arial"/>
                      <w:b/>
                      <w:vertAlign w:val="subscript"/>
                    </w:rPr>
                    <w:t>leach,</w:t>
                  </w:r>
                  <w:r w:rsidRPr="001E3185">
                    <w:rPr>
                      <w:rFonts w:cs="Arial"/>
                      <w:b/>
                    </w:rPr>
                    <w:t xml:space="preserve"> </w:t>
                  </w:r>
                  <w:r w:rsidRPr="001E3185">
                    <w:rPr>
                      <w:rFonts w:cs="Arial"/>
                      <w:b/>
                      <w:vertAlign w:val="subscript"/>
                    </w:rPr>
                    <w:t xml:space="preserve">TIME1(30d) </w:t>
                  </w:r>
                  <w:r w:rsidRPr="001E3185">
                    <w:rPr>
                      <w:rFonts w:cs="Arial"/>
                      <w:b/>
                    </w:rPr>
                    <w:t>[kg]</w:t>
                  </w:r>
                </w:p>
              </w:tc>
              <w:tc>
                <w:tcPr>
                  <w:tcW w:w="1388" w:type="pct"/>
                  <w:vAlign w:val="center"/>
                </w:tcPr>
                <w:p w14:paraId="29F6126A" w14:textId="77777777" w:rsidR="00692E71" w:rsidRPr="001E3185" w:rsidRDefault="00692E71" w:rsidP="008E0250">
                  <w:pPr>
                    <w:jc w:val="center"/>
                    <w:rPr>
                      <w:rFonts w:cs="Arial"/>
                      <w:b/>
                    </w:rPr>
                  </w:pPr>
                  <w:r w:rsidRPr="001E3185">
                    <w:rPr>
                      <w:rFonts w:cs="Arial"/>
                      <w:b/>
                    </w:rPr>
                    <w:t>Q</w:t>
                  </w:r>
                  <w:r w:rsidRPr="001E3185">
                    <w:rPr>
                      <w:rFonts w:cs="Arial"/>
                      <w:b/>
                      <w:vertAlign w:val="subscript"/>
                    </w:rPr>
                    <w:t>leach,</w:t>
                  </w:r>
                  <w:r w:rsidRPr="001E3185">
                    <w:rPr>
                      <w:rFonts w:cs="Arial"/>
                      <w:b/>
                    </w:rPr>
                    <w:t xml:space="preserve"> </w:t>
                  </w:r>
                  <w:r w:rsidRPr="001E3185">
                    <w:rPr>
                      <w:rFonts w:cs="Arial"/>
                      <w:b/>
                      <w:vertAlign w:val="subscript"/>
                    </w:rPr>
                    <w:t xml:space="preserve">TIME2 (5y) </w:t>
                  </w:r>
                  <w:r w:rsidRPr="001E3185">
                    <w:rPr>
                      <w:rFonts w:cs="Arial"/>
                      <w:b/>
                    </w:rPr>
                    <w:t xml:space="preserve"> [kg]</w:t>
                  </w:r>
                </w:p>
              </w:tc>
              <w:tc>
                <w:tcPr>
                  <w:tcW w:w="1388" w:type="pct"/>
                  <w:vAlign w:val="center"/>
                </w:tcPr>
                <w:p w14:paraId="602D32F0" w14:textId="77777777" w:rsidR="00692E71" w:rsidRPr="001E3185" w:rsidRDefault="00692E71" w:rsidP="008E0250">
                  <w:pPr>
                    <w:jc w:val="center"/>
                    <w:rPr>
                      <w:rFonts w:cs="Arial"/>
                      <w:b/>
                    </w:rPr>
                  </w:pPr>
                  <w:r w:rsidRPr="001E3185">
                    <w:rPr>
                      <w:rFonts w:cs="Arial"/>
                      <w:b/>
                    </w:rPr>
                    <w:t>Q</w:t>
                  </w:r>
                  <w:r w:rsidRPr="001E3185">
                    <w:rPr>
                      <w:rFonts w:cs="Arial"/>
                      <w:b/>
                      <w:vertAlign w:val="subscript"/>
                    </w:rPr>
                    <w:t>leach,</w:t>
                  </w:r>
                  <w:r w:rsidRPr="001E3185">
                    <w:rPr>
                      <w:rFonts w:cs="Arial"/>
                      <w:b/>
                    </w:rPr>
                    <w:t xml:space="preserve"> </w:t>
                  </w:r>
                  <w:r w:rsidRPr="001E3185">
                    <w:rPr>
                      <w:rFonts w:cs="Arial"/>
                      <w:b/>
                      <w:vertAlign w:val="subscript"/>
                    </w:rPr>
                    <w:t xml:space="preserve">TIME2 (15y) </w:t>
                  </w:r>
                  <w:r w:rsidRPr="001E3185">
                    <w:rPr>
                      <w:rFonts w:cs="Arial"/>
                      <w:b/>
                    </w:rPr>
                    <w:t xml:space="preserve"> [kg]</w:t>
                  </w:r>
                </w:p>
              </w:tc>
            </w:tr>
            <w:tr w:rsidR="00692E71" w:rsidRPr="001E3185" w14:paraId="39EC38D3" w14:textId="77777777" w:rsidTr="008E0250">
              <w:trPr>
                <w:trHeight w:val="397"/>
                <w:jc w:val="center"/>
              </w:trPr>
              <w:tc>
                <w:tcPr>
                  <w:tcW w:w="771" w:type="pct"/>
                  <w:vAlign w:val="center"/>
                </w:tcPr>
                <w:p w14:paraId="6E7A5C12" w14:textId="77777777" w:rsidR="00692E71" w:rsidRPr="001E3185" w:rsidRDefault="00692E71" w:rsidP="008E0250">
                  <w:pPr>
                    <w:rPr>
                      <w:rFonts w:cs="Arial"/>
                      <w:b/>
                    </w:rPr>
                  </w:pPr>
                  <w:r w:rsidRPr="001E3185">
                    <w:rPr>
                      <w:rFonts w:cs="Arial"/>
                    </w:rPr>
                    <w:t>Propiconazole</w:t>
                  </w:r>
                </w:p>
              </w:tc>
              <w:tc>
                <w:tcPr>
                  <w:tcW w:w="1453" w:type="pct"/>
                  <w:vAlign w:val="center"/>
                </w:tcPr>
                <w:p w14:paraId="672AFED2" w14:textId="77777777" w:rsidR="00692E71" w:rsidRPr="001E3185" w:rsidRDefault="00692E71" w:rsidP="008E0250">
                  <w:pPr>
                    <w:jc w:val="center"/>
                    <w:rPr>
                      <w:rFonts w:cs="Arial"/>
                    </w:rPr>
                  </w:pPr>
                  <w:r w:rsidRPr="001E3185">
                    <w:rPr>
                      <w:rFonts w:cs="Arial"/>
                    </w:rPr>
                    <w:t>2.50E-03</w:t>
                  </w:r>
                </w:p>
              </w:tc>
              <w:tc>
                <w:tcPr>
                  <w:tcW w:w="1388" w:type="pct"/>
                  <w:vAlign w:val="center"/>
                </w:tcPr>
                <w:p w14:paraId="777EA7DC" w14:textId="77777777" w:rsidR="00692E71" w:rsidRPr="001E3185" w:rsidRDefault="00692E71" w:rsidP="008E0250">
                  <w:pPr>
                    <w:jc w:val="center"/>
                    <w:rPr>
                      <w:rFonts w:cs="Arial"/>
                    </w:rPr>
                  </w:pPr>
                  <w:r w:rsidRPr="001E3185">
                    <w:rPr>
                      <w:rFonts w:cs="Arial"/>
                    </w:rPr>
                    <w:t>9.60E-03</w:t>
                  </w:r>
                </w:p>
              </w:tc>
              <w:tc>
                <w:tcPr>
                  <w:tcW w:w="1388" w:type="pct"/>
                  <w:vAlign w:val="center"/>
                </w:tcPr>
                <w:p w14:paraId="50FAA080" w14:textId="77777777" w:rsidR="00692E71" w:rsidRPr="001E3185" w:rsidRDefault="00692E71" w:rsidP="008E0250">
                  <w:pPr>
                    <w:jc w:val="center"/>
                    <w:rPr>
                      <w:rFonts w:cs="Arial"/>
                    </w:rPr>
                  </w:pPr>
                  <w:r w:rsidRPr="001E3185">
                    <w:rPr>
                      <w:rFonts w:cs="Arial"/>
                    </w:rPr>
                    <w:t>2.40E-02</w:t>
                  </w:r>
                </w:p>
              </w:tc>
            </w:tr>
            <w:tr w:rsidR="00692E71" w:rsidRPr="001E3185" w14:paraId="24A0B0F7" w14:textId="77777777" w:rsidTr="008E0250">
              <w:trPr>
                <w:trHeight w:val="397"/>
                <w:jc w:val="center"/>
              </w:trPr>
              <w:tc>
                <w:tcPr>
                  <w:tcW w:w="771" w:type="pct"/>
                  <w:vAlign w:val="center"/>
                </w:tcPr>
                <w:p w14:paraId="364CC6D4" w14:textId="77777777" w:rsidR="00692E71" w:rsidRPr="001E3185" w:rsidRDefault="00692E71" w:rsidP="008E0250">
                  <w:pPr>
                    <w:rPr>
                      <w:rFonts w:cs="Arial"/>
                    </w:rPr>
                  </w:pPr>
                  <w:r w:rsidRPr="001E3185">
                    <w:rPr>
                      <w:rFonts w:cs="Arial"/>
                    </w:rPr>
                    <w:t>Tebuconazole</w:t>
                  </w:r>
                </w:p>
              </w:tc>
              <w:tc>
                <w:tcPr>
                  <w:tcW w:w="1453" w:type="pct"/>
                  <w:vAlign w:val="center"/>
                </w:tcPr>
                <w:p w14:paraId="3A747421" w14:textId="77777777" w:rsidR="00692E71" w:rsidRPr="001E3185" w:rsidRDefault="00692E71" w:rsidP="008E0250">
                  <w:pPr>
                    <w:jc w:val="center"/>
                    <w:rPr>
                      <w:rFonts w:cs="Arial"/>
                    </w:rPr>
                  </w:pPr>
                  <w:r w:rsidRPr="001E3185">
                    <w:rPr>
                      <w:rFonts w:cs="Arial"/>
                    </w:rPr>
                    <w:t>1.10E-03</w:t>
                  </w:r>
                </w:p>
              </w:tc>
              <w:tc>
                <w:tcPr>
                  <w:tcW w:w="1388" w:type="pct"/>
                  <w:vAlign w:val="center"/>
                </w:tcPr>
                <w:p w14:paraId="2097E9E9" w14:textId="77777777" w:rsidR="00692E71" w:rsidRPr="001E3185" w:rsidRDefault="00692E71" w:rsidP="008E0250">
                  <w:pPr>
                    <w:jc w:val="center"/>
                    <w:rPr>
                      <w:rFonts w:cs="Arial"/>
                    </w:rPr>
                  </w:pPr>
                  <w:r w:rsidRPr="001E3185">
                    <w:rPr>
                      <w:rFonts w:cs="Arial"/>
                    </w:rPr>
                    <w:t>3.67E-03</w:t>
                  </w:r>
                </w:p>
              </w:tc>
              <w:tc>
                <w:tcPr>
                  <w:tcW w:w="1388" w:type="pct"/>
                  <w:vAlign w:val="center"/>
                </w:tcPr>
                <w:p w14:paraId="7EF553E7" w14:textId="77777777" w:rsidR="00692E71" w:rsidRPr="001E3185" w:rsidRDefault="00692E71" w:rsidP="008E0250">
                  <w:pPr>
                    <w:jc w:val="center"/>
                    <w:rPr>
                      <w:rFonts w:cs="Arial"/>
                    </w:rPr>
                  </w:pPr>
                  <w:r w:rsidRPr="001E3185">
                    <w:rPr>
                      <w:rFonts w:cs="Arial"/>
                    </w:rPr>
                    <w:t>8.89E-03</w:t>
                  </w:r>
                </w:p>
              </w:tc>
            </w:tr>
            <w:tr w:rsidR="00692E71" w:rsidRPr="001E3185" w14:paraId="2AD4979C" w14:textId="77777777" w:rsidTr="008E0250">
              <w:trPr>
                <w:trHeight w:val="397"/>
                <w:jc w:val="center"/>
              </w:trPr>
              <w:tc>
                <w:tcPr>
                  <w:tcW w:w="771" w:type="pct"/>
                  <w:vAlign w:val="center"/>
                </w:tcPr>
                <w:p w14:paraId="43B1CADF" w14:textId="77777777" w:rsidR="00692E71" w:rsidRPr="001E3185" w:rsidRDefault="00692E71" w:rsidP="008E0250">
                  <w:pPr>
                    <w:rPr>
                      <w:rFonts w:cs="Arial"/>
                    </w:rPr>
                  </w:pPr>
                  <w:r w:rsidRPr="001E3185">
                    <w:rPr>
                      <w:rFonts w:cs="Arial"/>
                    </w:rPr>
                    <w:t>Cypermethrin</w:t>
                  </w:r>
                </w:p>
              </w:tc>
              <w:tc>
                <w:tcPr>
                  <w:tcW w:w="1453" w:type="pct"/>
                  <w:vAlign w:val="center"/>
                </w:tcPr>
                <w:p w14:paraId="16C0B05F" w14:textId="77777777" w:rsidR="00692E71" w:rsidRPr="001E3185" w:rsidRDefault="00692E71" w:rsidP="008E0250">
                  <w:pPr>
                    <w:jc w:val="center"/>
                    <w:rPr>
                      <w:rFonts w:cs="Arial"/>
                    </w:rPr>
                  </w:pPr>
                  <w:r w:rsidRPr="001E3185">
                    <w:rPr>
                      <w:rFonts w:cs="Arial"/>
                    </w:rPr>
                    <w:t>1.05E-05</w:t>
                  </w:r>
                </w:p>
              </w:tc>
              <w:tc>
                <w:tcPr>
                  <w:tcW w:w="1388" w:type="pct"/>
                  <w:vAlign w:val="center"/>
                </w:tcPr>
                <w:p w14:paraId="793ADA71" w14:textId="77777777" w:rsidR="00692E71" w:rsidRPr="001E3185" w:rsidRDefault="00692E71" w:rsidP="008E0250">
                  <w:pPr>
                    <w:jc w:val="center"/>
                    <w:rPr>
                      <w:rFonts w:cs="Arial"/>
                    </w:rPr>
                  </w:pPr>
                  <w:r w:rsidRPr="001E3185">
                    <w:rPr>
                      <w:rFonts w:cs="Arial"/>
                    </w:rPr>
                    <w:t>5.15E-04</w:t>
                  </w:r>
                </w:p>
              </w:tc>
              <w:tc>
                <w:tcPr>
                  <w:tcW w:w="1388" w:type="pct"/>
                  <w:vAlign w:val="center"/>
                </w:tcPr>
                <w:p w14:paraId="61DB0826" w14:textId="77777777" w:rsidR="00692E71" w:rsidRPr="001E3185" w:rsidRDefault="00692E71" w:rsidP="008E0250">
                  <w:pPr>
                    <w:jc w:val="center"/>
                    <w:rPr>
                      <w:rFonts w:cs="Arial"/>
                    </w:rPr>
                  </w:pPr>
                  <w:r w:rsidRPr="001E3185">
                    <w:rPr>
                      <w:rFonts w:cs="Arial"/>
                    </w:rPr>
                    <w:t>1.54E-03</w:t>
                  </w:r>
                </w:p>
              </w:tc>
            </w:tr>
            <w:tr w:rsidR="00692E71" w:rsidRPr="001E3185" w14:paraId="47DBA3DA" w14:textId="77777777" w:rsidTr="008E0250">
              <w:trPr>
                <w:trHeight w:val="397"/>
                <w:jc w:val="center"/>
              </w:trPr>
              <w:tc>
                <w:tcPr>
                  <w:tcW w:w="771" w:type="pct"/>
                  <w:vAlign w:val="center"/>
                </w:tcPr>
                <w:p w14:paraId="38C9148A" w14:textId="77777777" w:rsidR="00692E71" w:rsidRPr="001E3185" w:rsidRDefault="00692E71" w:rsidP="008E0250">
                  <w:pPr>
                    <w:rPr>
                      <w:rFonts w:cs="Arial"/>
                    </w:rPr>
                  </w:pPr>
                  <w:r w:rsidRPr="001E3185">
                    <w:rPr>
                      <w:rFonts w:cs="Arial"/>
                    </w:rPr>
                    <w:t>IPBC</w:t>
                  </w:r>
                </w:p>
              </w:tc>
              <w:tc>
                <w:tcPr>
                  <w:tcW w:w="1453" w:type="pct"/>
                  <w:vAlign w:val="center"/>
                </w:tcPr>
                <w:p w14:paraId="1525B5F2" w14:textId="77777777" w:rsidR="00692E71" w:rsidRPr="001E3185" w:rsidRDefault="00692E71" w:rsidP="008E0250">
                  <w:pPr>
                    <w:jc w:val="center"/>
                    <w:rPr>
                      <w:rFonts w:cs="Arial"/>
                    </w:rPr>
                  </w:pPr>
                  <w:r w:rsidRPr="001E3185">
                    <w:rPr>
                      <w:rFonts w:cs="Arial"/>
                    </w:rPr>
                    <w:t>6.30E-04</w:t>
                  </w:r>
                </w:p>
              </w:tc>
              <w:tc>
                <w:tcPr>
                  <w:tcW w:w="1388" w:type="pct"/>
                  <w:vAlign w:val="center"/>
                </w:tcPr>
                <w:p w14:paraId="62C1C726" w14:textId="77777777" w:rsidR="00692E71" w:rsidRPr="001E3185" w:rsidRDefault="00692E71" w:rsidP="008E0250">
                  <w:pPr>
                    <w:jc w:val="center"/>
                    <w:rPr>
                      <w:rFonts w:cs="Arial"/>
                    </w:rPr>
                  </w:pPr>
                  <w:r w:rsidRPr="001E3185">
                    <w:rPr>
                      <w:rFonts w:cs="Arial"/>
                    </w:rPr>
                    <w:t>2.35E-03</w:t>
                  </w:r>
                </w:p>
              </w:tc>
              <w:tc>
                <w:tcPr>
                  <w:tcW w:w="1388" w:type="pct"/>
                  <w:vAlign w:val="center"/>
                </w:tcPr>
                <w:p w14:paraId="3F01EC86" w14:textId="77777777" w:rsidR="00692E71" w:rsidRPr="001E3185" w:rsidRDefault="00692E71" w:rsidP="008E0250">
                  <w:pPr>
                    <w:jc w:val="center"/>
                    <w:rPr>
                      <w:rFonts w:cs="Arial"/>
                    </w:rPr>
                  </w:pPr>
                  <w:r w:rsidRPr="001E3185">
                    <w:rPr>
                      <w:rFonts w:cs="Arial"/>
                    </w:rPr>
                    <w:t>5.85E-03</w:t>
                  </w:r>
                </w:p>
              </w:tc>
            </w:tr>
            <w:tr w:rsidR="00692E71" w:rsidRPr="001E3185" w14:paraId="34CB3B9C" w14:textId="77777777" w:rsidTr="008E0250">
              <w:trPr>
                <w:trHeight w:val="397"/>
                <w:jc w:val="center"/>
              </w:trPr>
              <w:tc>
                <w:tcPr>
                  <w:tcW w:w="771" w:type="pct"/>
                  <w:vAlign w:val="center"/>
                </w:tcPr>
                <w:p w14:paraId="5029AD7F" w14:textId="77777777" w:rsidR="00692E71" w:rsidRPr="001E3185" w:rsidRDefault="00692E71" w:rsidP="008E0250">
                  <w:pPr>
                    <w:rPr>
                      <w:rFonts w:cs="Arial"/>
                    </w:rPr>
                  </w:pPr>
                  <w:r w:rsidRPr="001E3185">
                    <w:rPr>
                      <w:rFonts w:cs="Arial"/>
                    </w:rPr>
                    <w:t>1,2,4-triazole</w:t>
                  </w:r>
                </w:p>
              </w:tc>
              <w:tc>
                <w:tcPr>
                  <w:tcW w:w="1453" w:type="pct"/>
                  <w:vAlign w:val="center"/>
                </w:tcPr>
                <w:p w14:paraId="69F1D007" w14:textId="77777777" w:rsidR="00692E71" w:rsidRPr="001E3185" w:rsidRDefault="00692E71" w:rsidP="008E0250">
                  <w:pPr>
                    <w:jc w:val="center"/>
                    <w:rPr>
                      <w:rFonts w:cs="Arial"/>
                    </w:rPr>
                  </w:pPr>
                  <w:r w:rsidRPr="001E3185">
                    <w:rPr>
                      <w:rFonts w:cs="Arial"/>
                    </w:rPr>
                    <w:t>2.40E-04</w:t>
                  </w:r>
                </w:p>
              </w:tc>
              <w:tc>
                <w:tcPr>
                  <w:tcW w:w="1388" w:type="pct"/>
                  <w:vAlign w:val="center"/>
                </w:tcPr>
                <w:p w14:paraId="7CC69626" w14:textId="77777777" w:rsidR="00692E71" w:rsidRPr="001E3185" w:rsidRDefault="00692E71" w:rsidP="008E0250">
                  <w:pPr>
                    <w:jc w:val="center"/>
                    <w:rPr>
                      <w:rFonts w:cs="Arial"/>
                    </w:rPr>
                  </w:pPr>
                  <w:r w:rsidRPr="001E3185">
                    <w:rPr>
                      <w:rFonts w:cs="Arial"/>
                    </w:rPr>
                    <w:t>9.12E-04</w:t>
                  </w:r>
                </w:p>
              </w:tc>
              <w:tc>
                <w:tcPr>
                  <w:tcW w:w="1388" w:type="pct"/>
                  <w:vAlign w:val="center"/>
                </w:tcPr>
                <w:p w14:paraId="697B2870" w14:textId="77777777" w:rsidR="00692E71" w:rsidRPr="001E3185" w:rsidRDefault="00692E71" w:rsidP="008E0250">
                  <w:pPr>
                    <w:jc w:val="center"/>
                    <w:rPr>
                      <w:rFonts w:cs="Arial"/>
                    </w:rPr>
                  </w:pPr>
                  <w:r w:rsidRPr="001E3185">
                    <w:rPr>
                      <w:rFonts w:cs="Arial"/>
                    </w:rPr>
                    <w:t>2.28E-03</w:t>
                  </w:r>
                </w:p>
              </w:tc>
            </w:tr>
            <w:tr w:rsidR="00692E71" w:rsidRPr="001E3185" w14:paraId="08C9788C" w14:textId="77777777" w:rsidTr="008E0250">
              <w:trPr>
                <w:trHeight w:val="397"/>
                <w:jc w:val="center"/>
              </w:trPr>
              <w:tc>
                <w:tcPr>
                  <w:tcW w:w="771" w:type="pct"/>
                  <w:vAlign w:val="center"/>
                </w:tcPr>
                <w:p w14:paraId="73BAB13A" w14:textId="77777777" w:rsidR="00692E71" w:rsidRPr="001E3185" w:rsidRDefault="00692E71" w:rsidP="008E0250">
                  <w:pPr>
                    <w:rPr>
                      <w:rFonts w:cs="Arial"/>
                    </w:rPr>
                  </w:pPr>
                  <w:r w:rsidRPr="001E3185">
                    <w:rPr>
                      <w:rFonts w:cs="Arial"/>
                    </w:rPr>
                    <w:t>PBC</w:t>
                  </w:r>
                </w:p>
              </w:tc>
              <w:tc>
                <w:tcPr>
                  <w:tcW w:w="1453" w:type="pct"/>
                  <w:vAlign w:val="center"/>
                </w:tcPr>
                <w:p w14:paraId="5C2DEAF1" w14:textId="77777777" w:rsidR="00692E71" w:rsidRPr="001E3185" w:rsidRDefault="00692E71" w:rsidP="008E0250">
                  <w:pPr>
                    <w:jc w:val="center"/>
                    <w:rPr>
                      <w:rFonts w:cs="Arial"/>
                    </w:rPr>
                  </w:pPr>
                  <w:r w:rsidRPr="001E3185">
                    <w:rPr>
                      <w:rFonts w:cs="Arial"/>
                    </w:rPr>
                    <w:t>3.48E-04</w:t>
                  </w:r>
                </w:p>
              </w:tc>
              <w:tc>
                <w:tcPr>
                  <w:tcW w:w="1388" w:type="pct"/>
                  <w:vAlign w:val="center"/>
                </w:tcPr>
                <w:p w14:paraId="689AF68A" w14:textId="77777777" w:rsidR="00692E71" w:rsidRPr="001E3185" w:rsidRDefault="00692E71" w:rsidP="008E0250">
                  <w:pPr>
                    <w:jc w:val="center"/>
                    <w:rPr>
                      <w:rFonts w:cs="Arial"/>
                    </w:rPr>
                  </w:pPr>
                  <w:r w:rsidRPr="001E3185">
                    <w:rPr>
                      <w:rFonts w:cs="Arial"/>
                    </w:rPr>
                    <w:t>1.30E-03</w:t>
                  </w:r>
                </w:p>
              </w:tc>
              <w:tc>
                <w:tcPr>
                  <w:tcW w:w="1388" w:type="pct"/>
                  <w:vAlign w:val="center"/>
                </w:tcPr>
                <w:p w14:paraId="1BF107EB" w14:textId="77777777" w:rsidR="00692E71" w:rsidRPr="001E3185" w:rsidRDefault="00692E71" w:rsidP="008E0250">
                  <w:pPr>
                    <w:jc w:val="center"/>
                    <w:rPr>
                      <w:rFonts w:cs="Arial"/>
                    </w:rPr>
                  </w:pPr>
                  <w:r w:rsidRPr="001E3185">
                    <w:rPr>
                      <w:rFonts w:cs="Arial"/>
                    </w:rPr>
                    <w:t>3.23E-03</w:t>
                  </w:r>
                </w:p>
              </w:tc>
            </w:tr>
          </w:tbl>
          <w:p w14:paraId="342252D9" w14:textId="77777777" w:rsidR="00692E71" w:rsidRPr="001E3185" w:rsidRDefault="00692E71" w:rsidP="008E0250">
            <w:pPr>
              <w:autoSpaceDE w:val="0"/>
              <w:autoSpaceDN w:val="0"/>
              <w:spacing w:line="276" w:lineRule="auto"/>
              <w:rPr>
                <w:rFonts w:cs="Arial"/>
              </w:rPr>
            </w:pPr>
          </w:p>
          <w:p w14:paraId="23D12D52" w14:textId="77777777" w:rsidR="00692E71" w:rsidRPr="001E3185" w:rsidRDefault="00692E71" w:rsidP="008E0250">
            <w:pPr>
              <w:autoSpaceDE w:val="0"/>
              <w:autoSpaceDN w:val="0"/>
              <w:spacing w:line="276" w:lineRule="auto"/>
              <w:rPr>
                <w:rFonts w:cs="Arial"/>
              </w:rPr>
            </w:pPr>
          </w:p>
          <w:p w14:paraId="2AC45824" w14:textId="77777777" w:rsidR="00692E71" w:rsidRPr="001E3185" w:rsidRDefault="00692E71" w:rsidP="00F32B7F">
            <w:pPr>
              <w:pStyle w:val="Lgende"/>
              <w:numPr>
                <w:ilvl w:val="1"/>
                <w:numId w:val="18"/>
              </w:numPr>
              <w:suppressAutoHyphens w:val="0"/>
              <w:spacing w:after="200"/>
              <w:rPr>
                <w:rFonts w:ascii="Verdana" w:hAnsi="Verdana"/>
              </w:rPr>
            </w:pPr>
            <w:r w:rsidRPr="001E3185">
              <w:rPr>
                <w:rFonts w:ascii="Verdana" w:hAnsi="Verdana"/>
              </w:rPr>
              <w:t>Emissions from treated noise barrier in-service of industrial treated wood</w:t>
            </w:r>
          </w:p>
          <w:p w14:paraId="49761D24" w14:textId="77777777" w:rsidR="00692E71" w:rsidRPr="001E3185" w:rsidRDefault="00692E71" w:rsidP="008E0250">
            <w:pPr>
              <w:keepNext/>
              <w:shd w:val="clear" w:color="auto" w:fill="D6E3BC" w:themeFill="accent3" w:themeFillTint="66"/>
              <w:autoSpaceDE w:val="0"/>
              <w:autoSpaceDN w:val="0"/>
              <w:spacing w:before="120" w:after="240"/>
              <w:rPr>
                <w:rFonts w:cs="Arial"/>
              </w:rPr>
            </w:pPr>
          </w:p>
          <w:p w14:paraId="5348D388" w14:textId="77777777" w:rsidR="00692E71" w:rsidRPr="001E3185" w:rsidRDefault="00692E71" w:rsidP="008E0250">
            <w:pPr>
              <w:keepNext/>
              <w:autoSpaceDE w:val="0"/>
              <w:autoSpaceDN w:val="0"/>
              <w:jc w:val="center"/>
              <w:rPr>
                <w:rFonts w:cs="Arial"/>
              </w:rPr>
            </w:pPr>
            <w:r w:rsidRPr="001E3185">
              <w:rPr>
                <w:rFonts w:cs="Arial"/>
                <w:b/>
                <w:u w:val="single"/>
              </w:rPr>
              <w:t>NOISE BARRIER - treated noise barrier in-service – industrial application - Inputs</w:t>
            </w:r>
          </w:p>
          <w:tbl>
            <w:tblPr>
              <w:tblW w:w="33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3385"/>
              <w:gridCol w:w="1407"/>
            </w:tblGrid>
            <w:tr w:rsidR="00692E71" w:rsidRPr="001E3185" w14:paraId="657178D2" w14:textId="77777777" w:rsidTr="008E0250">
              <w:trPr>
                <w:trHeight w:val="340"/>
                <w:jc w:val="center"/>
              </w:trPr>
              <w:tc>
                <w:tcPr>
                  <w:tcW w:w="1333" w:type="pct"/>
                  <w:shd w:val="clear" w:color="auto" w:fill="auto"/>
                  <w:vAlign w:val="center"/>
                </w:tcPr>
                <w:p w14:paraId="2BE7E000" w14:textId="77777777" w:rsidR="00692E71" w:rsidRPr="001E3185" w:rsidRDefault="00692E71" w:rsidP="008E0250">
                  <w:pPr>
                    <w:keepNext/>
                    <w:autoSpaceDE w:val="0"/>
                    <w:autoSpaceDN w:val="0"/>
                    <w:jc w:val="center"/>
                    <w:rPr>
                      <w:rFonts w:cs="Arial"/>
                      <w:b/>
                    </w:rPr>
                  </w:pPr>
                  <w:r w:rsidRPr="001E3185">
                    <w:rPr>
                      <w:rFonts w:cs="Arial"/>
                      <w:b/>
                    </w:rPr>
                    <w:t>Symbol</w:t>
                  </w:r>
                </w:p>
              </w:tc>
              <w:tc>
                <w:tcPr>
                  <w:tcW w:w="2590" w:type="pct"/>
                  <w:shd w:val="clear" w:color="auto" w:fill="auto"/>
                  <w:vAlign w:val="center"/>
                </w:tcPr>
                <w:p w14:paraId="7989206F" w14:textId="77777777" w:rsidR="00692E71" w:rsidRPr="001E3185" w:rsidRDefault="00692E71" w:rsidP="008E0250">
                  <w:pPr>
                    <w:keepNext/>
                    <w:autoSpaceDE w:val="0"/>
                    <w:autoSpaceDN w:val="0"/>
                    <w:jc w:val="center"/>
                    <w:rPr>
                      <w:rFonts w:cs="Arial"/>
                      <w:b/>
                    </w:rPr>
                  </w:pPr>
                  <w:r w:rsidRPr="001E3185">
                    <w:rPr>
                      <w:rFonts w:cs="Arial"/>
                      <w:b/>
                    </w:rPr>
                    <w:t>Value</w:t>
                  </w:r>
                </w:p>
              </w:tc>
              <w:tc>
                <w:tcPr>
                  <w:tcW w:w="1077" w:type="pct"/>
                  <w:shd w:val="clear" w:color="auto" w:fill="auto"/>
                  <w:vAlign w:val="center"/>
                </w:tcPr>
                <w:p w14:paraId="1CAE4A9F" w14:textId="77777777" w:rsidR="00692E71" w:rsidRPr="001E3185" w:rsidRDefault="00692E71" w:rsidP="008E0250">
                  <w:pPr>
                    <w:keepNext/>
                    <w:autoSpaceDE w:val="0"/>
                    <w:autoSpaceDN w:val="0"/>
                    <w:jc w:val="center"/>
                    <w:rPr>
                      <w:rFonts w:cs="Arial"/>
                      <w:b/>
                    </w:rPr>
                  </w:pPr>
                  <w:r w:rsidRPr="001E3185">
                    <w:rPr>
                      <w:rFonts w:cs="Arial"/>
                      <w:b/>
                    </w:rPr>
                    <w:t>Unit</w:t>
                  </w:r>
                </w:p>
              </w:tc>
            </w:tr>
            <w:tr w:rsidR="00692E71" w:rsidRPr="001E3185" w14:paraId="054B4008" w14:textId="77777777" w:rsidTr="008E0250">
              <w:trPr>
                <w:trHeight w:val="340"/>
                <w:jc w:val="center"/>
              </w:trPr>
              <w:tc>
                <w:tcPr>
                  <w:tcW w:w="5000" w:type="pct"/>
                  <w:gridSpan w:val="3"/>
                  <w:shd w:val="clear" w:color="auto" w:fill="auto"/>
                  <w:vAlign w:val="center"/>
                </w:tcPr>
                <w:p w14:paraId="4D34FFEF" w14:textId="77777777" w:rsidR="00692E71" w:rsidRPr="001E3185" w:rsidRDefault="00692E71" w:rsidP="008E0250">
                  <w:pPr>
                    <w:keepNext/>
                    <w:autoSpaceDE w:val="0"/>
                    <w:autoSpaceDN w:val="0"/>
                    <w:rPr>
                      <w:rFonts w:cs="Arial"/>
                      <w:i/>
                      <w:u w:val="single"/>
                    </w:rPr>
                  </w:pPr>
                  <w:r w:rsidRPr="001E3185">
                    <w:rPr>
                      <w:rFonts w:cs="Arial"/>
                      <w:i/>
                      <w:u w:val="single"/>
                    </w:rPr>
                    <w:t>Inputs</w:t>
                  </w:r>
                </w:p>
              </w:tc>
            </w:tr>
            <w:tr w:rsidR="008931EA" w:rsidRPr="001E3185" w14:paraId="0BF9E229" w14:textId="77777777" w:rsidTr="008931EA">
              <w:trPr>
                <w:trHeight w:val="340"/>
                <w:jc w:val="center"/>
              </w:trPr>
              <w:tc>
                <w:tcPr>
                  <w:tcW w:w="1333" w:type="pct"/>
                  <w:shd w:val="clear" w:color="auto" w:fill="auto"/>
                  <w:vAlign w:val="center"/>
                </w:tcPr>
                <w:p w14:paraId="32E41BF8" w14:textId="77777777" w:rsidR="008931EA" w:rsidRPr="001E3185" w:rsidRDefault="008931EA" w:rsidP="008E0250">
                  <w:pPr>
                    <w:keepNext/>
                    <w:autoSpaceDE w:val="0"/>
                    <w:autoSpaceDN w:val="0"/>
                    <w:rPr>
                      <w:rFonts w:cs="Arial"/>
                    </w:rPr>
                  </w:pPr>
                </w:p>
              </w:tc>
              <w:tc>
                <w:tcPr>
                  <w:tcW w:w="2590" w:type="pct"/>
                  <w:shd w:val="clear" w:color="auto" w:fill="auto"/>
                  <w:vAlign w:val="center"/>
                </w:tcPr>
                <w:p w14:paraId="6F01779B" w14:textId="77777777" w:rsidR="008931EA" w:rsidRPr="001E3185" w:rsidRDefault="008931EA" w:rsidP="008E0250">
                  <w:pPr>
                    <w:autoSpaceDE w:val="0"/>
                    <w:autoSpaceDN w:val="0"/>
                    <w:jc w:val="center"/>
                    <w:rPr>
                      <w:rFonts w:cs="Arial"/>
                    </w:rPr>
                  </w:pPr>
                  <w:r w:rsidRPr="001E3185">
                    <w:rPr>
                      <w:rFonts w:cs="Arial"/>
                    </w:rPr>
                    <w:t>Industrial</w:t>
                  </w:r>
                </w:p>
                <w:p w14:paraId="682F8B04" w14:textId="6C4DD005" w:rsidR="008931EA" w:rsidRPr="001E3185" w:rsidRDefault="008931EA" w:rsidP="008E0250">
                  <w:pPr>
                    <w:autoSpaceDE w:val="0"/>
                    <w:autoSpaceDN w:val="0"/>
                    <w:jc w:val="center"/>
                    <w:rPr>
                      <w:rFonts w:cs="Arial"/>
                      <w:i/>
                    </w:rPr>
                  </w:pPr>
                </w:p>
              </w:tc>
              <w:tc>
                <w:tcPr>
                  <w:tcW w:w="1077" w:type="pct"/>
                  <w:shd w:val="clear" w:color="auto" w:fill="auto"/>
                  <w:vAlign w:val="center"/>
                </w:tcPr>
                <w:p w14:paraId="02F4FF7C" w14:textId="77777777" w:rsidR="008931EA" w:rsidRPr="001E3185" w:rsidRDefault="008931EA" w:rsidP="008E0250">
                  <w:pPr>
                    <w:keepNext/>
                    <w:autoSpaceDE w:val="0"/>
                    <w:autoSpaceDN w:val="0"/>
                    <w:jc w:val="center"/>
                    <w:rPr>
                      <w:rFonts w:cs="Arial"/>
                    </w:rPr>
                  </w:pPr>
                </w:p>
              </w:tc>
            </w:tr>
            <w:tr w:rsidR="00692E71" w:rsidRPr="001E3185" w14:paraId="2CFF872E" w14:textId="77777777" w:rsidTr="008E0250">
              <w:trPr>
                <w:trHeight w:val="340"/>
                <w:jc w:val="center"/>
              </w:trPr>
              <w:tc>
                <w:tcPr>
                  <w:tcW w:w="1333" w:type="pct"/>
                  <w:shd w:val="clear" w:color="auto" w:fill="auto"/>
                  <w:vAlign w:val="center"/>
                </w:tcPr>
                <w:p w14:paraId="0C65F586" w14:textId="77777777" w:rsidR="00692E71" w:rsidRPr="001E3185" w:rsidRDefault="00692E71" w:rsidP="008E0250">
                  <w:pPr>
                    <w:keepNext/>
                    <w:autoSpaceDE w:val="0"/>
                    <w:autoSpaceDN w:val="0"/>
                    <w:rPr>
                      <w:rFonts w:cs="Arial"/>
                    </w:rPr>
                  </w:pPr>
                  <w:r w:rsidRPr="001E3185">
                    <w:rPr>
                      <w:rFonts w:cs="Arial"/>
                    </w:rPr>
                    <w:t xml:space="preserve">AREA </w:t>
                  </w:r>
                  <w:r w:rsidRPr="001E3185">
                    <w:rPr>
                      <w:rFonts w:cs="Arial"/>
                      <w:vertAlign w:val="subscript"/>
                    </w:rPr>
                    <w:t>noise-barrier</w:t>
                  </w:r>
                </w:p>
              </w:tc>
              <w:tc>
                <w:tcPr>
                  <w:tcW w:w="2590" w:type="pct"/>
                  <w:shd w:val="clear" w:color="auto" w:fill="auto"/>
                  <w:vAlign w:val="center"/>
                </w:tcPr>
                <w:p w14:paraId="3E88C9BF" w14:textId="77777777" w:rsidR="00692E71" w:rsidRPr="001E3185" w:rsidRDefault="00692E71" w:rsidP="008E0250">
                  <w:pPr>
                    <w:keepNext/>
                    <w:autoSpaceDE w:val="0"/>
                    <w:autoSpaceDN w:val="0"/>
                    <w:jc w:val="center"/>
                    <w:rPr>
                      <w:rFonts w:cs="Arial"/>
                    </w:rPr>
                  </w:pPr>
                  <w:r w:rsidRPr="001E3185">
                    <w:rPr>
                      <w:rFonts w:cs="Arial"/>
                    </w:rPr>
                    <w:t>3000</w:t>
                  </w:r>
                </w:p>
              </w:tc>
              <w:tc>
                <w:tcPr>
                  <w:tcW w:w="1077" w:type="pct"/>
                  <w:shd w:val="clear" w:color="auto" w:fill="auto"/>
                  <w:vAlign w:val="center"/>
                </w:tcPr>
                <w:p w14:paraId="20B07830" w14:textId="77777777" w:rsidR="00692E71" w:rsidRPr="001E3185" w:rsidRDefault="00692E71" w:rsidP="008E0250">
                  <w:pPr>
                    <w:keepNext/>
                    <w:autoSpaceDE w:val="0"/>
                    <w:autoSpaceDN w:val="0"/>
                    <w:jc w:val="center"/>
                    <w:rPr>
                      <w:rFonts w:cs="Arial"/>
                    </w:rPr>
                  </w:pPr>
                  <w:r w:rsidRPr="001E3185">
                    <w:rPr>
                      <w:rFonts w:cs="Arial"/>
                    </w:rPr>
                    <w:t>[m²]</w:t>
                  </w:r>
                </w:p>
              </w:tc>
            </w:tr>
            <w:tr w:rsidR="00692E71" w:rsidRPr="001E3185" w14:paraId="367EB14A" w14:textId="77777777" w:rsidTr="008E0250">
              <w:trPr>
                <w:trHeight w:val="340"/>
                <w:jc w:val="center"/>
              </w:trPr>
              <w:tc>
                <w:tcPr>
                  <w:tcW w:w="1333" w:type="pct"/>
                  <w:shd w:val="clear" w:color="auto" w:fill="auto"/>
                  <w:vAlign w:val="center"/>
                </w:tcPr>
                <w:p w14:paraId="61F1BCF6" w14:textId="77777777" w:rsidR="00692E71" w:rsidRPr="001E3185" w:rsidRDefault="00692E71" w:rsidP="008E0250">
                  <w:pPr>
                    <w:keepNext/>
                    <w:autoSpaceDE w:val="0"/>
                    <w:autoSpaceDN w:val="0"/>
                    <w:rPr>
                      <w:rFonts w:cs="Arial"/>
                    </w:rPr>
                  </w:pPr>
                  <w:r w:rsidRPr="001E3185">
                    <w:rPr>
                      <w:rFonts w:cs="Arial"/>
                    </w:rPr>
                    <w:t>TIME1</w:t>
                  </w:r>
                </w:p>
              </w:tc>
              <w:tc>
                <w:tcPr>
                  <w:tcW w:w="2590" w:type="pct"/>
                  <w:shd w:val="clear" w:color="auto" w:fill="auto"/>
                  <w:vAlign w:val="center"/>
                </w:tcPr>
                <w:p w14:paraId="11EB0DA0" w14:textId="77777777" w:rsidR="00692E71" w:rsidRPr="001E3185" w:rsidRDefault="00692E71" w:rsidP="008E0250">
                  <w:pPr>
                    <w:keepNext/>
                    <w:autoSpaceDE w:val="0"/>
                    <w:autoSpaceDN w:val="0"/>
                    <w:jc w:val="center"/>
                    <w:rPr>
                      <w:rFonts w:cs="Arial"/>
                    </w:rPr>
                  </w:pPr>
                  <w:r w:rsidRPr="001E3185">
                    <w:rPr>
                      <w:rFonts w:cs="Arial"/>
                    </w:rPr>
                    <w:t>30</w:t>
                  </w:r>
                </w:p>
              </w:tc>
              <w:tc>
                <w:tcPr>
                  <w:tcW w:w="1077" w:type="pct"/>
                  <w:shd w:val="clear" w:color="auto" w:fill="auto"/>
                  <w:vAlign w:val="center"/>
                </w:tcPr>
                <w:p w14:paraId="017667F4" w14:textId="77777777" w:rsidR="00692E71" w:rsidRPr="001E3185" w:rsidRDefault="00692E71" w:rsidP="008E0250">
                  <w:pPr>
                    <w:keepNext/>
                    <w:autoSpaceDE w:val="0"/>
                    <w:autoSpaceDN w:val="0"/>
                    <w:jc w:val="center"/>
                    <w:rPr>
                      <w:rFonts w:cs="Arial"/>
                    </w:rPr>
                  </w:pPr>
                  <w:r w:rsidRPr="001E3185">
                    <w:rPr>
                      <w:rFonts w:cs="Arial"/>
                    </w:rPr>
                    <w:t>[d]</w:t>
                  </w:r>
                </w:p>
              </w:tc>
            </w:tr>
            <w:tr w:rsidR="008931EA" w:rsidRPr="001E3185" w14:paraId="29D39F2A" w14:textId="77777777" w:rsidTr="008931EA">
              <w:trPr>
                <w:trHeight w:val="340"/>
                <w:jc w:val="center"/>
              </w:trPr>
              <w:tc>
                <w:tcPr>
                  <w:tcW w:w="1333" w:type="pct"/>
                  <w:shd w:val="clear" w:color="auto" w:fill="auto"/>
                  <w:vAlign w:val="center"/>
                </w:tcPr>
                <w:p w14:paraId="35643FD2" w14:textId="77777777" w:rsidR="008931EA" w:rsidRPr="001E3185" w:rsidRDefault="008931EA" w:rsidP="008E0250">
                  <w:pPr>
                    <w:keepNext/>
                    <w:autoSpaceDE w:val="0"/>
                    <w:autoSpaceDN w:val="0"/>
                    <w:rPr>
                      <w:rFonts w:cs="Arial"/>
                    </w:rPr>
                  </w:pPr>
                  <w:r w:rsidRPr="001E3185">
                    <w:rPr>
                      <w:rFonts w:cs="Arial"/>
                    </w:rPr>
                    <w:t>TIME2</w:t>
                  </w:r>
                </w:p>
              </w:tc>
              <w:tc>
                <w:tcPr>
                  <w:tcW w:w="2590" w:type="pct"/>
                  <w:shd w:val="clear" w:color="auto" w:fill="auto"/>
                  <w:vAlign w:val="center"/>
                </w:tcPr>
                <w:p w14:paraId="3C0E04C8" w14:textId="00324F6C" w:rsidR="008931EA" w:rsidRPr="001E3185" w:rsidRDefault="008931EA" w:rsidP="008E0250">
                  <w:pPr>
                    <w:keepNext/>
                    <w:autoSpaceDE w:val="0"/>
                    <w:autoSpaceDN w:val="0"/>
                    <w:jc w:val="center"/>
                    <w:rPr>
                      <w:rFonts w:cs="Arial"/>
                    </w:rPr>
                  </w:pPr>
                </w:p>
                <w:p w14:paraId="7E8CF947" w14:textId="1EB25FB2" w:rsidR="008931EA" w:rsidRPr="001E3185" w:rsidRDefault="008931EA" w:rsidP="008E0250">
                  <w:pPr>
                    <w:keepNext/>
                    <w:autoSpaceDE w:val="0"/>
                    <w:autoSpaceDN w:val="0"/>
                    <w:jc w:val="center"/>
                    <w:rPr>
                      <w:rFonts w:cs="Arial"/>
                    </w:rPr>
                  </w:pPr>
                  <w:r>
                    <w:rPr>
                      <w:rFonts w:cs="Arial"/>
                    </w:rPr>
                    <w:t>5475</w:t>
                  </w:r>
                </w:p>
              </w:tc>
              <w:tc>
                <w:tcPr>
                  <w:tcW w:w="1077" w:type="pct"/>
                  <w:shd w:val="clear" w:color="auto" w:fill="auto"/>
                  <w:vAlign w:val="center"/>
                </w:tcPr>
                <w:p w14:paraId="0144072B" w14:textId="77777777" w:rsidR="008931EA" w:rsidRPr="001E3185" w:rsidRDefault="008931EA" w:rsidP="008E0250">
                  <w:pPr>
                    <w:keepNext/>
                    <w:autoSpaceDE w:val="0"/>
                    <w:autoSpaceDN w:val="0"/>
                    <w:jc w:val="center"/>
                    <w:rPr>
                      <w:rFonts w:cs="Arial"/>
                    </w:rPr>
                  </w:pPr>
                  <w:r w:rsidRPr="001E3185">
                    <w:rPr>
                      <w:rFonts w:cs="Arial"/>
                    </w:rPr>
                    <w:t>[d]</w:t>
                  </w:r>
                </w:p>
              </w:tc>
            </w:tr>
            <w:tr w:rsidR="00692E71" w:rsidRPr="001E3185" w14:paraId="1EDCEF05" w14:textId="77777777" w:rsidTr="008E0250">
              <w:trPr>
                <w:trHeight w:val="340"/>
                <w:jc w:val="center"/>
              </w:trPr>
              <w:tc>
                <w:tcPr>
                  <w:tcW w:w="1333" w:type="pct"/>
                  <w:shd w:val="clear" w:color="auto" w:fill="auto"/>
                  <w:vAlign w:val="center"/>
                </w:tcPr>
                <w:p w14:paraId="368DDDFC" w14:textId="77777777" w:rsidR="00692E71" w:rsidRPr="001E3185" w:rsidRDefault="00692E71" w:rsidP="008E0250">
                  <w:pPr>
                    <w:keepNext/>
                    <w:autoSpaceDE w:val="0"/>
                    <w:autoSpaceDN w:val="0"/>
                    <w:rPr>
                      <w:rFonts w:cs="Arial"/>
                    </w:rPr>
                  </w:pPr>
                  <w:r w:rsidRPr="001E3185">
                    <w:rPr>
                      <w:rFonts w:cs="Arial"/>
                    </w:rPr>
                    <w:t>Q*</w:t>
                  </w:r>
                  <w:r w:rsidRPr="001E3185">
                    <w:rPr>
                      <w:rFonts w:cs="Arial"/>
                      <w:vertAlign w:val="subscript"/>
                    </w:rPr>
                    <w:t>leach,TIME1</w:t>
                  </w:r>
                </w:p>
              </w:tc>
              <w:tc>
                <w:tcPr>
                  <w:tcW w:w="2590" w:type="pct"/>
                  <w:vMerge w:val="restart"/>
                  <w:shd w:val="clear" w:color="auto" w:fill="auto"/>
                  <w:vAlign w:val="center"/>
                </w:tcPr>
                <w:p w14:paraId="7B89D5B6" w14:textId="77777777" w:rsidR="00692E71" w:rsidRPr="001E3185" w:rsidRDefault="00692E71" w:rsidP="008E0250">
                  <w:pPr>
                    <w:keepNext/>
                    <w:autoSpaceDE w:val="0"/>
                    <w:autoSpaceDN w:val="0"/>
                    <w:jc w:val="center"/>
                    <w:rPr>
                      <w:rFonts w:cs="Arial"/>
                    </w:rPr>
                  </w:pPr>
                  <w:r w:rsidRPr="001E3185">
                    <w:rPr>
                      <w:rFonts w:cs="Arial"/>
                    </w:rPr>
                    <w:t>See leaching values in section 1</w:t>
                  </w:r>
                </w:p>
              </w:tc>
              <w:tc>
                <w:tcPr>
                  <w:tcW w:w="1077" w:type="pct"/>
                  <w:shd w:val="clear" w:color="auto" w:fill="auto"/>
                  <w:vAlign w:val="center"/>
                </w:tcPr>
                <w:p w14:paraId="71D8A272" w14:textId="77777777" w:rsidR="00692E71" w:rsidRPr="001E3185" w:rsidRDefault="00692E71" w:rsidP="008E0250">
                  <w:pPr>
                    <w:keepNext/>
                    <w:autoSpaceDE w:val="0"/>
                    <w:autoSpaceDN w:val="0"/>
                    <w:jc w:val="center"/>
                    <w:rPr>
                      <w:rFonts w:cs="Arial"/>
                    </w:rPr>
                  </w:pPr>
                  <w:r w:rsidRPr="001E3185">
                    <w:rPr>
                      <w:rFonts w:cs="Arial"/>
                    </w:rPr>
                    <w:t>[mg.m</w:t>
                  </w:r>
                  <w:r w:rsidRPr="001E3185">
                    <w:rPr>
                      <w:rFonts w:cs="Arial"/>
                      <w:vertAlign w:val="superscript"/>
                    </w:rPr>
                    <w:t>-2</w:t>
                  </w:r>
                  <w:r w:rsidRPr="001E3185">
                    <w:rPr>
                      <w:rFonts w:cs="Arial"/>
                    </w:rPr>
                    <w:t>]</w:t>
                  </w:r>
                </w:p>
              </w:tc>
            </w:tr>
            <w:tr w:rsidR="00692E71" w:rsidRPr="001E3185" w14:paraId="182215F2" w14:textId="77777777" w:rsidTr="008E0250">
              <w:trPr>
                <w:trHeight w:val="340"/>
                <w:jc w:val="center"/>
              </w:trPr>
              <w:tc>
                <w:tcPr>
                  <w:tcW w:w="1333" w:type="pct"/>
                  <w:shd w:val="clear" w:color="auto" w:fill="auto"/>
                  <w:vAlign w:val="center"/>
                </w:tcPr>
                <w:p w14:paraId="1CCA532F" w14:textId="77777777" w:rsidR="00692E71" w:rsidRPr="001E3185" w:rsidRDefault="00692E71" w:rsidP="008E0250">
                  <w:pPr>
                    <w:keepNext/>
                    <w:autoSpaceDE w:val="0"/>
                    <w:autoSpaceDN w:val="0"/>
                    <w:rPr>
                      <w:rFonts w:cs="Arial"/>
                    </w:rPr>
                  </w:pPr>
                  <w:r w:rsidRPr="001E3185">
                    <w:rPr>
                      <w:rFonts w:cs="Arial"/>
                    </w:rPr>
                    <w:t>Q*</w:t>
                  </w:r>
                  <w:r w:rsidRPr="001E3185">
                    <w:rPr>
                      <w:rFonts w:cs="Arial"/>
                      <w:vertAlign w:val="subscript"/>
                    </w:rPr>
                    <w:t>leach,TIME2</w:t>
                  </w:r>
                </w:p>
              </w:tc>
              <w:tc>
                <w:tcPr>
                  <w:tcW w:w="2590" w:type="pct"/>
                  <w:vMerge/>
                  <w:shd w:val="clear" w:color="auto" w:fill="auto"/>
                  <w:vAlign w:val="center"/>
                </w:tcPr>
                <w:p w14:paraId="18E5E6AD" w14:textId="77777777" w:rsidR="00692E71" w:rsidRPr="001E3185" w:rsidRDefault="00692E71" w:rsidP="008E0250">
                  <w:pPr>
                    <w:keepNext/>
                    <w:autoSpaceDE w:val="0"/>
                    <w:autoSpaceDN w:val="0"/>
                    <w:jc w:val="center"/>
                    <w:rPr>
                      <w:rFonts w:cs="Arial"/>
                    </w:rPr>
                  </w:pPr>
                </w:p>
              </w:tc>
              <w:tc>
                <w:tcPr>
                  <w:tcW w:w="1077" w:type="pct"/>
                  <w:shd w:val="clear" w:color="auto" w:fill="auto"/>
                  <w:vAlign w:val="center"/>
                </w:tcPr>
                <w:p w14:paraId="46CF41F4" w14:textId="77777777" w:rsidR="00692E71" w:rsidRPr="001E3185" w:rsidRDefault="00692E71" w:rsidP="008E0250">
                  <w:pPr>
                    <w:keepNext/>
                    <w:autoSpaceDE w:val="0"/>
                    <w:autoSpaceDN w:val="0"/>
                    <w:jc w:val="center"/>
                    <w:rPr>
                      <w:rFonts w:cs="Arial"/>
                    </w:rPr>
                  </w:pPr>
                  <w:r w:rsidRPr="001E3185">
                    <w:rPr>
                      <w:rFonts w:cs="Arial"/>
                    </w:rPr>
                    <w:t>[mg.m</w:t>
                  </w:r>
                  <w:r w:rsidRPr="001E3185">
                    <w:rPr>
                      <w:rFonts w:cs="Arial"/>
                      <w:vertAlign w:val="superscript"/>
                    </w:rPr>
                    <w:t>-2</w:t>
                  </w:r>
                  <w:r w:rsidRPr="001E3185">
                    <w:rPr>
                      <w:rFonts w:cs="Arial"/>
                    </w:rPr>
                    <w:t>]</w:t>
                  </w:r>
                </w:p>
              </w:tc>
            </w:tr>
            <w:tr w:rsidR="00692E71" w:rsidRPr="001E3185" w14:paraId="39470513" w14:textId="77777777" w:rsidTr="008E0250">
              <w:trPr>
                <w:trHeight w:val="340"/>
                <w:jc w:val="center"/>
              </w:trPr>
              <w:tc>
                <w:tcPr>
                  <w:tcW w:w="1333" w:type="pct"/>
                  <w:shd w:val="clear" w:color="auto" w:fill="auto"/>
                  <w:vAlign w:val="center"/>
                </w:tcPr>
                <w:p w14:paraId="6EB09265" w14:textId="77777777" w:rsidR="00692E71" w:rsidRPr="001E3185" w:rsidRDefault="00692E71" w:rsidP="008E0250">
                  <w:pPr>
                    <w:keepNext/>
                    <w:autoSpaceDE w:val="0"/>
                    <w:autoSpaceDN w:val="0"/>
                    <w:rPr>
                      <w:rFonts w:cs="Arial"/>
                    </w:rPr>
                  </w:pPr>
                  <w:r w:rsidRPr="001E3185">
                    <w:rPr>
                      <w:rFonts w:cs="Arial"/>
                    </w:rPr>
                    <w:t>DT</w:t>
                  </w:r>
                  <w:r w:rsidRPr="001E3185">
                    <w:rPr>
                      <w:rFonts w:cs="Arial"/>
                      <w:vertAlign w:val="subscript"/>
                    </w:rPr>
                    <w:t>50</w:t>
                  </w:r>
                  <w:r w:rsidRPr="001E3185">
                    <w:rPr>
                      <w:rFonts w:cs="Arial"/>
                    </w:rPr>
                    <w:t xml:space="preserve"> </w:t>
                  </w:r>
                  <w:r w:rsidRPr="001E3185">
                    <w:rPr>
                      <w:rFonts w:cs="Arial"/>
                      <w:vertAlign w:val="subscript"/>
                    </w:rPr>
                    <w:t>soil</w:t>
                  </w:r>
                </w:p>
              </w:tc>
              <w:tc>
                <w:tcPr>
                  <w:tcW w:w="2590" w:type="pct"/>
                  <w:shd w:val="clear" w:color="auto" w:fill="D6E3BC" w:themeFill="accent3" w:themeFillTint="66"/>
                  <w:vAlign w:val="center"/>
                </w:tcPr>
                <w:p w14:paraId="06ED105A" w14:textId="77777777" w:rsidR="00692E71" w:rsidRPr="001E3185" w:rsidRDefault="00692E71" w:rsidP="008E0250">
                  <w:pPr>
                    <w:keepNext/>
                    <w:autoSpaceDE w:val="0"/>
                    <w:autoSpaceDN w:val="0"/>
                    <w:jc w:val="center"/>
                    <w:rPr>
                      <w:rFonts w:cs="Arial"/>
                    </w:rPr>
                  </w:pPr>
                  <w:r w:rsidRPr="001E3185">
                    <w:rPr>
                      <w:rFonts w:cs="Arial"/>
                    </w:rPr>
                    <w:t>See FR-CA box 2</w:t>
                  </w:r>
                </w:p>
              </w:tc>
              <w:tc>
                <w:tcPr>
                  <w:tcW w:w="1077" w:type="pct"/>
                  <w:shd w:val="clear" w:color="auto" w:fill="auto"/>
                  <w:vAlign w:val="center"/>
                </w:tcPr>
                <w:p w14:paraId="4F98F049" w14:textId="77777777" w:rsidR="00692E71" w:rsidRPr="001E3185" w:rsidRDefault="00692E71" w:rsidP="008E0250">
                  <w:pPr>
                    <w:keepNext/>
                    <w:autoSpaceDE w:val="0"/>
                    <w:autoSpaceDN w:val="0"/>
                    <w:jc w:val="center"/>
                    <w:rPr>
                      <w:rFonts w:cs="Arial"/>
                    </w:rPr>
                  </w:pPr>
                  <w:r w:rsidRPr="001E3185">
                    <w:rPr>
                      <w:rFonts w:cs="Arial"/>
                    </w:rPr>
                    <w:t>[d</w:t>
                  </w:r>
                  <w:r w:rsidRPr="001E3185">
                    <w:rPr>
                      <w:rFonts w:cs="Arial"/>
                      <w:vertAlign w:val="superscript"/>
                    </w:rPr>
                    <w:t>-1</w:t>
                  </w:r>
                  <w:r w:rsidRPr="001E3185">
                    <w:rPr>
                      <w:rFonts w:cs="Arial"/>
                    </w:rPr>
                    <w:t>]</w:t>
                  </w:r>
                </w:p>
              </w:tc>
            </w:tr>
            <w:tr w:rsidR="00692E71" w:rsidRPr="001E3185" w14:paraId="3F5A0593" w14:textId="77777777" w:rsidTr="008E0250">
              <w:trPr>
                <w:trHeight w:val="340"/>
                <w:jc w:val="center"/>
              </w:trPr>
              <w:tc>
                <w:tcPr>
                  <w:tcW w:w="1333" w:type="pct"/>
                  <w:shd w:val="clear" w:color="auto" w:fill="auto"/>
                  <w:vAlign w:val="center"/>
                </w:tcPr>
                <w:p w14:paraId="749A7A99" w14:textId="77777777" w:rsidR="00692E71" w:rsidRPr="001E3185" w:rsidRDefault="00692E71" w:rsidP="008E0250">
                  <w:pPr>
                    <w:autoSpaceDE w:val="0"/>
                    <w:autoSpaceDN w:val="0"/>
                    <w:rPr>
                      <w:rFonts w:cs="Arial"/>
                    </w:rPr>
                  </w:pPr>
                  <w:r w:rsidRPr="001E3185">
                    <w:rPr>
                      <w:rFonts w:cs="Arial"/>
                    </w:rPr>
                    <w:t xml:space="preserve">V </w:t>
                  </w:r>
                  <w:r w:rsidRPr="001E3185">
                    <w:rPr>
                      <w:rFonts w:cs="Arial"/>
                      <w:vertAlign w:val="subscript"/>
                    </w:rPr>
                    <w:t>soil</w:t>
                  </w:r>
                </w:p>
              </w:tc>
              <w:tc>
                <w:tcPr>
                  <w:tcW w:w="2590" w:type="pct"/>
                  <w:shd w:val="clear" w:color="auto" w:fill="auto"/>
                  <w:vAlign w:val="center"/>
                </w:tcPr>
                <w:p w14:paraId="655E3179" w14:textId="77777777" w:rsidR="00692E71" w:rsidRPr="001E3185" w:rsidRDefault="00692E71" w:rsidP="008E0250">
                  <w:pPr>
                    <w:autoSpaceDE w:val="0"/>
                    <w:autoSpaceDN w:val="0"/>
                    <w:jc w:val="center"/>
                    <w:rPr>
                      <w:rFonts w:cs="Arial"/>
                    </w:rPr>
                  </w:pPr>
                  <w:r w:rsidRPr="001E3185">
                    <w:rPr>
                      <w:rFonts w:cs="Arial"/>
                    </w:rPr>
                    <w:t>250</w:t>
                  </w:r>
                </w:p>
              </w:tc>
              <w:tc>
                <w:tcPr>
                  <w:tcW w:w="1077" w:type="pct"/>
                  <w:shd w:val="clear" w:color="auto" w:fill="auto"/>
                  <w:vAlign w:val="center"/>
                </w:tcPr>
                <w:p w14:paraId="699CCC64" w14:textId="77777777" w:rsidR="00692E71" w:rsidRPr="001E3185" w:rsidRDefault="00692E71" w:rsidP="008E0250">
                  <w:pPr>
                    <w:autoSpaceDE w:val="0"/>
                    <w:autoSpaceDN w:val="0"/>
                    <w:jc w:val="center"/>
                    <w:rPr>
                      <w:rFonts w:cs="Arial"/>
                    </w:rPr>
                  </w:pPr>
                  <w:r w:rsidRPr="001E3185">
                    <w:rPr>
                      <w:rFonts w:cs="Arial"/>
                    </w:rPr>
                    <w:t>[m</w:t>
                  </w:r>
                  <w:r w:rsidRPr="001E3185">
                    <w:rPr>
                      <w:rFonts w:cs="Arial"/>
                      <w:vertAlign w:val="superscript"/>
                    </w:rPr>
                    <w:t>3</w:t>
                  </w:r>
                  <w:r w:rsidRPr="001E3185">
                    <w:rPr>
                      <w:rFonts w:cs="Arial"/>
                    </w:rPr>
                    <w:t>]</w:t>
                  </w:r>
                </w:p>
              </w:tc>
            </w:tr>
            <w:tr w:rsidR="00692E71" w:rsidRPr="001E3185" w14:paraId="20CC3560" w14:textId="77777777" w:rsidTr="008E0250">
              <w:trPr>
                <w:trHeight w:val="340"/>
                <w:jc w:val="center"/>
              </w:trPr>
              <w:tc>
                <w:tcPr>
                  <w:tcW w:w="1333" w:type="pct"/>
                  <w:shd w:val="clear" w:color="auto" w:fill="auto"/>
                  <w:vAlign w:val="center"/>
                </w:tcPr>
                <w:p w14:paraId="7B94ABCB" w14:textId="77777777" w:rsidR="00692E71" w:rsidRPr="001E3185" w:rsidRDefault="00692E71" w:rsidP="008E0250">
                  <w:pPr>
                    <w:autoSpaceDE w:val="0"/>
                    <w:autoSpaceDN w:val="0"/>
                    <w:rPr>
                      <w:rFonts w:cs="Arial"/>
                    </w:rPr>
                  </w:pPr>
                  <w:r w:rsidRPr="001E3185">
                    <w:rPr>
                      <w:rFonts w:cs="Arial"/>
                    </w:rPr>
                    <w:t xml:space="preserve">RHO </w:t>
                  </w:r>
                  <w:r w:rsidRPr="001E3185">
                    <w:rPr>
                      <w:rFonts w:cs="Arial"/>
                      <w:vertAlign w:val="subscript"/>
                    </w:rPr>
                    <w:t>soil</w:t>
                  </w:r>
                </w:p>
              </w:tc>
              <w:tc>
                <w:tcPr>
                  <w:tcW w:w="2590" w:type="pct"/>
                  <w:shd w:val="clear" w:color="auto" w:fill="auto"/>
                  <w:vAlign w:val="center"/>
                </w:tcPr>
                <w:p w14:paraId="118F9152" w14:textId="77777777" w:rsidR="00692E71" w:rsidRPr="001E3185" w:rsidRDefault="00692E71" w:rsidP="008E0250">
                  <w:pPr>
                    <w:autoSpaceDE w:val="0"/>
                    <w:autoSpaceDN w:val="0"/>
                    <w:jc w:val="center"/>
                    <w:rPr>
                      <w:rFonts w:cs="Arial"/>
                    </w:rPr>
                  </w:pPr>
                  <w:r w:rsidRPr="001E3185">
                    <w:rPr>
                      <w:rFonts w:cs="Arial"/>
                    </w:rPr>
                    <w:t>1700</w:t>
                  </w:r>
                </w:p>
              </w:tc>
              <w:tc>
                <w:tcPr>
                  <w:tcW w:w="1077" w:type="pct"/>
                  <w:shd w:val="clear" w:color="auto" w:fill="auto"/>
                  <w:vAlign w:val="center"/>
                </w:tcPr>
                <w:p w14:paraId="4BC6B2F5" w14:textId="77777777" w:rsidR="00692E71" w:rsidRPr="001E3185" w:rsidRDefault="00692E71" w:rsidP="008E0250">
                  <w:pPr>
                    <w:autoSpaceDE w:val="0"/>
                    <w:autoSpaceDN w:val="0"/>
                    <w:jc w:val="center"/>
                    <w:rPr>
                      <w:rFonts w:cs="Arial"/>
                    </w:rPr>
                  </w:pPr>
                  <w:r w:rsidRPr="001E3185">
                    <w:rPr>
                      <w:rFonts w:cs="Arial"/>
                    </w:rPr>
                    <w:t>[kg</w:t>
                  </w:r>
                  <w:r w:rsidRPr="001E3185">
                    <w:rPr>
                      <w:rFonts w:cs="Arial"/>
                      <w:vertAlign w:val="subscript"/>
                    </w:rPr>
                    <w:t>wwt</w:t>
                  </w:r>
                  <w:r w:rsidRPr="001E3185">
                    <w:rPr>
                      <w:rFonts w:cs="Arial"/>
                    </w:rPr>
                    <w:t>.m</w:t>
                  </w:r>
                  <w:r w:rsidRPr="001E3185">
                    <w:rPr>
                      <w:rFonts w:cs="Arial"/>
                      <w:vertAlign w:val="superscript"/>
                    </w:rPr>
                    <w:t>-3</w:t>
                  </w:r>
                  <w:r w:rsidRPr="001E3185">
                    <w:rPr>
                      <w:rFonts w:cs="Arial"/>
                    </w:rPr>
                    <w:t>]</w:t>
                  </w:r>
                </w:p>
              </w:tc>
            </w:tr>
            <w:tr w:rsidR="00692E71" w:rsidRPr="001E3185" w14:paraId="35DFD71B" w14:textId="77777777" w:rsidTr="008E0250">
              <w:trPr>
                <w:trHeight w:val="340"/>
                <w:jc w:val="center"/>
              </w:trPr>
              <w:tc>
                <w:tcPr>
                  <w:tcW w:w="1333" w:type="pct"/>
                  <w:shd w:val="clear" w:color="auto" w:fill="auto"/>
                  <w:vAlign w:val="center"/>
                </w:tcPr>
                <w:p w14:paraId="55286B95" w14:textId="77777777" w:rsidR="00692E71" w:rsidRPr="001E3185" w:rsidRDefault="00692E71" w:rsidP="008E0250">
                  <w:pPr>
                    <w:autoSpaceDE w:val="0"/>
                    <w:autoSpaceDN w:val="0"/>
                    <w:rPr>
                      <w:rFonts w:cs="Arial"/>
                    </w:rPr>
                  </w:pPr>
                  <w:r w:rsidRPr="001E3185">
                    <w:rPr>
                      <w:rFonts w:cs="Arial"/>
                    </w:rPr>
                    <w:t xml:space="preserve">F </w:t>
                  </w:r>
                  <w:r w:rsidRPr="001E3185">
                    <w:rPr>
                      <w:rFonts w:cs="Arial"/>
                      <w:vertAlign w:val="subscript"/>
                    </w:rPr>
                    <w:t>SOIL</w:t>
                  </w:r>
                </w:p>
              </w:tc>
              <w:tc>
                <w:tcPr>
                  <w:tcW w:w="2590" w:type="pct"/>
                  <w:shd w:val="clear" w:color="auto" w:fill="auto"/>
                  <w:vAlign w:val="center"/>
                </w:tcPr>
                <w:p w14:paraId="0AB40674" w14:textId="77777777" w:rsidR="00692E71" w:rsidRPr="001E3185" w:rsidRDefault="00692E71" w:rsidP="008E0250">
                  <w:pPr>
                    <w:autoSpaceDE w:val="0"/>
                    <w:autoSpaceDN w:val="0"/>
                    <w:jc w:val="center"/>
                    <w:rPr>
                      <w:rFonts w:cs="Arial"/>
                    </w:rPr>
                  </w:pPr>
                  <w:r w:rsidRPr="001E3185">
                    <w:rPr>
                      <w:rFonts w:cs="Arial"/>
                    </w:rPr>
                    <w:t>0.3</w:t>
                  </w:r>
                </w:p>
              </w:tc>
              <w:tc>
                <w:tcPr>
                  <w:tcW w:w="1077" w:type="pct"/>
                  <w:shd w:val="clear" w:color="auto" w:fill="auto"/>
                  <w:vAlign w:val="center"/>
                </w:tcPr>
                <w:p w14:paraId="37684305" w14:textId="77777777" w:rsidR="00692E71" w:rsidRPr="001E3185" w:rsidRDefault="00692E71" w:rsidP="008E0250">
                  <w:pPr>
                    <w:autoSpaceDE w:val="0"/>
                    <w:autoSpaceDN w:val="0"/>
                    <w:jc w:val="center"/>
                    <w:rPr>
                      <w:rFonts w:cs="Arial"/>
                    </w:rPr>
                  </w:pPr>
                  <w:r w:rsidRPr="001E3185">
                    <w:rPr>
                      <w:rFonts w:cs="Arial"/>
                    </w:rPr>
                    <w:t>[-]</w:t>
                  </w:r>
                </w:p>
              </w:tc>
            </w:tr>
            <w:tr w:rsidR="00692E71" w:rsidRPr="001E3185" w14:paraId="0ABC7F08" w14:textId="77777777" w:rsidTr="008E0250">
              <w:trPr>
                <w:trHeight w:val="340"/>
                <w:jc w:val="center"/>
              </w:trPr>
              <w:tc>
                <w:tcPr>
                  <w:tcW w:w="1333" w:type="pct"/>
                  <w:shd w:val="clear" w:color="auto" w:fill="auto"/>
                  <w:vAlign w:val="center"/>
                </w:tcPr>
                <w:p w14:paraId="674BFACD" w14:textId="77777777" w:rsidR="00692E71" w:rsidRPr="001E3185" w:rsidRDefault="00692E71" w:rsidP="008E0250">
                  <w:pPr>
                    <w:autoSpaceDE w:val="0"/>
                    <w:autoSpaceDN w:val="0"/>
                    <w:rPr>
                      <w:rFonts w:cs="Arial"/>
                    </w:rPr>
                  </w:pPr>
                  <w:r w:rsidRPr="001E3185">
                    <w:rPr>
                      <w:rFonts w:cs="Arial"/>
                    </w:rPr>
                    <w:t xml:space="preserve">F </w:t>
                  </w:r>
                  <w:r w:rsidRPr="001E3185">
                    <w:rPr>
                      <w:rFonts w:cs="Arial"/>
                      <w:vertAlign w:val="subscript"/>
                    </w:rPr>
                    <w:t>STP</w:t>
                  </w:r>
                </w:p>
              </w:tc>
              <w:tc>
                <w:tcPr>
                  <w:tcW w:w="2590" w:type="pct"/>
                  <w:shd w:val="clear" w:color="auto" w:fill="auto"/>
                  <w:vAlign w:val="center"/>
                </w:tcPr>
                <w:p w14:paraId="68E17C10" w14:textId="77777777" w:rsidR="00692E71" w:rsidRPr="001E3185" w:rsidRDefault="00692E71" w:rsidP="008E0250">
                  <w:pPr>
                    <w:autoSpaceDE w:val="0"/>
                    <w:autoSpaceDN w:val="0"/>
                    <w:jc w:val="center"/>
                    <w:rPr>
                      <w:rFonts w:cs="Arial"/>
                    </w:rPr>
                  </w:pPr>
                  <w:r w:rsidRPr="001E3185">
                    <w:rPr>
                      <w:rFonts w:cs="Arial"/>
                    </w:rPr>
                    <w:t>0.7</w:t>
                  </w:r>
                </w:p>
              </w:tc>
              <w:tc>
                <w:tcPr>
                  <w:tcW w:w="1077" w:type="pct"/>
                  <w:shd w:val="clear" w:color="auto" w:fill="auto"/>
                  <w:vAlign w:val="center"/>
                </w:tcPr>
                <w:p w14:paraId="2D6159BD" w14:textId="77777777" w:rsidR="00692E71" w:rsidRPr="001E3185" w:rsidRDefault="00692E71" w:rsidP="008E0250">
                  <w:pPr>
                    <w:autoSpaceDE w:val="0"/>
                    <w:autoSpaceDN w:val="0"/>
                    <w:jc w:val="center"/>
                    <w:rPr>
                      <w:rFonts w:cs="Arial"/>
                    </w:rPr>
                  </w:pPr>
                  <w:r w:rsidRPr="001E3185">
                    <w:rPr>
                      <w:rFonts w:cs="Arial"/>
                    </w:rPr>
                    <w:t>[-]</w:t>
                  </w:r>
                </w:p>
              </w:tc>
            </w:tr>
          </w:tbl>
          <w:p w14:paraId="7C620170" w14:textId="77777777" w:rsidR="00692E71" w:rsidRPr="001E3185" w:rsidRDefault="00692E71" w:rsidP="008E0250">
            <w:pPr>
              <w:autoSpaceDE w:val="0"/>
              <w:autoSpaceDN w:val="0"/>
              <w:spacing w:after="60"/>
              <w:rPr>
                <w:rFonts w:cs="Arial"/>
              </w:rPr>
            </w:pPr>
          </w:p>
          <w:p w14:paraId="56DE13FB" w14:textId="77777777" w:rsidR="00692E71" w:rsidRPr="001E3185" w:rsidRDefault="00692E71" w:rsidP="008E0250">
            <w:pPr>
              <w:autoSpaceDE w:val="0"/>
              <w:autoSpaceDN w:val="0"/>
              <w:jc w:val="center"/>
              <w:rPr>
                <w:rFonts w:cs="Arial"/>
                <w:b/>
                <w:u w:val="single"/>
              </w:rPr>
            </w:pPr>
            <w:r w:rsidRPr="001E3185">
              <w:rPr>
                <w:rFonts w:cs="Arial"/>
                <w:b/>
                <w:u w:val="single"/>
              </w:rPr>
              <w:t>NOISE BARRIER - treated noise barrier in-service – industrial application – Outputs</w:t>
            </w:r>
          </w:p>
          <w:tbl>
            <w:tblPr>
              <w:tblW w:w="6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440"/>
              <w:gridCol w:w="2382"/>
            </w:tblGrid>
            <w:tr w:rsidR="00692E71" w:rsidRPr="001E3185" w14:paraId="4B46E8A6" w14:textId="77777777" w:rsidTr="008E0250">
              <w:trPr>
                <w:trHeight w:val="397"/>
                <w:jc w:val="center"/>
              </w:trPr>
              <w:tc>
                <w:tcPr>
                  <w:tcW w:w="1350" w:type="pct"/>
                  <w:vAlign w:val="center"/>
                </w:tcPr>
                <w:p w14:paraId="20B16C69" w14:textId="77777777" w:rsidR="00692E71" w:rsidRPr="001E3185" w:rsidRDefault="00692E71" w:rsidP="008E0250">
                  <w:pPr>
                    <w:rPr>
                      <w:rFonts w:cs="Arial"/>
                      <w:b/>
                      <w:i/>
                    </w:rPr>
                  </w:pPr>
                </w:p>
              </w:tc>
              <w:tc>
                <w:tcPr>
                  <w:tcW w:w="1847" w:type="pct"/>
                  <w:vAlign w:val="center"/>
                </w:tcPr>
                <w:p w14:paraId="5198C505" w14:textId="77777777" w:rsidR="00692E71" w:rsidRPr="001E3185" w:rsidRDefault="00692E71" w:rsidP="008E0250">
                  <w:pPr>
                    <w:jc w:val="center"/>
                    <w:rPr>
                      <w:rFonts w:cs="Arial"/>
                      <w:b/>
                      <w:i/>
                    </w:rPr>
                  </w:pPr>
                  <w:r w:rsidRPr="001E3185">
                    <w:rPr>
                      <w:rFonts w:cs="Arial"/>
                      <w:b/>
                    </w:rPr>
                    <w:t>Industrial application</w:t>
                  </w:r>
                </w:p>
              </w:tc>
              <w:tc>
                <w:tcPr>
                  <w:tcW w:w="1802" w:type="pct"/>
                  <w:vAlign w:val="center"/>
                </w:tcPr>
                <w:p w14:paraId="6CCB3897" w14:textId="77777777" w:rsidR="00692E71" w:rsidRPr="001E3185" w:rsidRDefault="00692E71" w:rsidP="008E0250">
                  <w:pPr>
                    <w:jc w:val="center"/>
                    <w:rPr>
                      <w:rFonts w:cs="Arial"/>
                      <w:b/>
                    </w:rPr>
                  </w:pPr>
                  <w:r w:rsidRPr="001E3185">
                    <w:rPr>
                      <w:rFonts w:cs="Arial"/>
                      <w:b/>
                    </w:rPr>
                    <w:t>Industrial application</w:t>
                  </w:r>
                </w:p>
              </w:tc>
            </w:tr>
            <w:tr w:rsidR="00692E71" w:rsidRPr="001E3185" w14:paraId="1D629699" w14:textId="77777777" w:rsidTr="008E0250">
              <w:trPr>
                <w:trHeight w:val="397"/>
                <w:jc w:val="center"/>
              </w:trPr>
              <w:tc>
                <w:tcPr>
                  <w:tcW w:w="5000" w:type="pct"/>
                  <w:gridSpan w:val="3"/>
                  <w:vAlign w:val="center"/>
                </w:tcPr>
                <w:p w14:paraId="7A580271" w14:textId="77777777" w:rsidR="00692E71" w:rsidRPr="001E3185" w:rsidRDefault="00692E71" w:rsidP="008E0250">
                  <w:pPr>
                    <w:rPr>
                      <w:rFonts w:cs="Arial"/>
                      <w:b/>
                      <w:i/>
                    </w:rPr>
                  </w:pPr>
                  <w:r w:rsidRPr="001E3185">
                    <w:rPr>
                      <w:rFonts w:cs="Arial"/>
                      <w:b/>
                      <w:i/>
                    </w:rPr>
                    <w:t>Direct emissions to soil</w:t>
                  </w:r>
                </w:p>
              </w:tc>
            </w:tr>
            <w:tr w:rsidR="00692E71" w:rsidRPr="001E3185" w14:paraId="44C0C94A" w14:textId="77777777" w:rsidTr="008E0250">
              <w:trPr>
                <w:trHeight w:val="340"/>
                <w:jc w:val="center"/>
              </w:trPr>
              <w:tc>
                <w:tcPr>
                  <w:tcW w:w="1350" w:type="pct"/>
                  <w:vAlign w:val="center"/>
                </w:tcPr>
                <w:p w14:paraId="6A3834A3" w14:textId="77777777" w:rsidR="00692E71" w:rsidRPr="001E3185" w:rsidRDefault="00692E71" w:rsidP="008E0250">
                  <w:pPr>
                    <w:rPr>
                      <w:rFonts w:cs="Arial"/>
                      <w:b/>
                    </w:rPr>
                  </w:pPr>
                </w:p>
              </w:tc>
              <w:tc>
                <w:tcPr>
                  <w:tcW w:w="1847" w:type="pct"/>
                  <w:vAlign w:val="center"/>
                </w:tcPr>
                <w:p w14:paraId="09482EE1" w14:textId="77777777" w:rsidR="00692E71" w:rsidRPr="001E3185" w:rsidRDefault="00692E71" w:rsidP="008E0250">
                  <w:pPr>
                    <w:jc w:val="center"/>
                    <w:rPr>
                      <w:rFonts w:cs="Arial"/>
                      <w:b/>
                    </w:rPr>
                  </w:pPr>
                  <w:r w:rsidRPr="001E3185">
                    <w:rPr>
                      <w:rFonts w:cs="Arial"/>
                      <w:b/>
                    </w:rPr>
                    <w:t>Q</w:t>
                  </w:r>
                  <w:r w:rsidRPr="001E3185">
                    <w:rPr>
                      <w:rFonts w:cs="Arial"/>
                      <w:b/>
                      <w:vertAlign w:val="subscript"/>
                    </w:rPr>
                    <w:t>leach,</w:t>
                  </w:r>
                  <w:r w:rsidRPr="001E3185">
                    <w:rPr>
                      <w:rFonts w:cs="Arial"/>
                      <w:b/>
                    </w:rPr>
                    <w:t xml:space="preserve"> </w:t>
                  </w:r>
                  <w:r w:rsidRPr="001E3185">
                    <w:rPr>
                      <w:rFonts w:cs="Arial"/>
                      <w:b/>
                      <w:vertAlign w:val="subscript"/>
                    </w:rPr>
                    <w:t xml:space="preserve">TIME1 (30d) </w:t>
                  </w:r>
                  <w:r w:rsidRPr="001E3185">
                    <w:rPr>
                      <w:rFonts w:cs="Arial"/>
                      <w:b/>
                    </w:rPr>
                    <w:t>[kg]</w:t>
                  </w:r>
                </w:p>
              </w:tc>
              <w:tc>
                <w:tcPr>
                  <w:tcW w:w="1802" w:type="pct"/>
                  <w:vAlign w:val="center"/>
                </w:tcPr>
                <w:p w14:paraId="313B232A" w14:textId="77777777" w:rsidR="00692E71" w:rsidRPr="001E3185" w:rsidRDefault="00692E71" w:rsidP="008E0250">
                  <w:pPr>
                    <w:jc w:val="center"/>
                    <w:rPr>
                      <w:rFonts w:cs="Arial"/>
                      <w:b/>
                    </w:rPr>
                  </w:pPr>
                  <w:r w:rsidRPr="001E3185">
                    <w:rPr>
                      <w:rFonts w:cs="Arial"/>
                      <w:b/>
                    </w:rPr>
                    <w:t>Q</w:t>
                  </w:r>
                  <w:r w:rsidRPr="001E3185">
                    <w:rPr>
                      <w:rFonts w:cs="Arial"/>
                      <w:b/>
                      <w:vertAlign w:val="subscript"/>
                    </w:rPr>
                    <w:t>leach,</w:t>
                  </w:r>
                  <w:r w:rsidRPr="001E3185">
                    <w:rPr>
                      <w:rFonts w:cs="Arial"/>
                      <w:b/>
                    </w:rPr>
                    <w:t xml:space="preserve"> </w:t>
                  </w:r>
                  <w:r w:rsidRPr="001E3185">
                    <w:rPr>
                      <w:rFonts w:cs="Arial"/>
                      <w:b/>
                      <w:vertAlign w:val="subscript"/>
                    </w:rPr>
                    <w:t xml:space="preserve">TIME2 (15y) </w:t>
                  </w:r>
                  <w:r w:rsidRPr="001E3185">
                    <w:rPr>
                      <w:rFonts w:cs="Arial"/>
                      <w:b/>
                    </w:rPr>
                    <w:t xml:space="preserve"> [kg]</w:t>
                  </w:r>
                </w:p>
              </w:tc>
            </w:tr>
            <w:tr w:rsidR="00692E71" w:rsidRPr="001E3185" w14:paraId="4242E47E" w14:textId="77777777" w:rsidTr="008E0250">
              <w:trPr>
                <w:trHeight w:val="340"/>
                <w:jc w:val="center"/>
              </w:trPr>
              <w:tc>
                <w:tcPr>
                  <w:tcW w:w="1350" w:type="pct"/>
                  <w:vAlign w:val="center"/>
                </w:tcPr>
                <w:p w14:paraId="32F6FD37" w14:textId="77777777" w:rsidR="00692E71" w:rsidRPr="001E3185" w:rsidRDefault="00692E71" w:rsidP="008E0250">
                  <w:pPr>
                    <w:rPr>
                      <w:rFonts w:cs="Arial"/>
                      <w:b/>
                    </w:rPr>
                  </w:pPr>
                  <w:r w:rsidRPr="001E3185">
                    <w:rPr>
                      <w:rFonts w:cs="Arial"/>
                    </w:rPr>
                    <w:t>Propiconazole</w:t>
                  </w:r>
                </w:p>
              </w:tc>
              <w:tc>
                <w:tcPr>
                  <w:tcW w:w="1847" w:type="pct"/>
                  <w:vAlign w:val="center"/>
                </w:tcPr>
                <w:p w14:paraId="485CFEF2" w14:textId="77777777" w:rsidR="00692E71" w:rsidRPr="001E3185" w:rsidRDefault="00692E71" w:rsidP="008E0250">
                  <w:pPr>
                    <w:jc w:val="center"/>
                    <w:rPr>
                      <w:rFonts w:cs="Arial"/>
                    </w:rPr>
                  </w:pPr>
                  <w:r w:rsidRPr="001E3185">
                    <w:rPr>
                      <w:rFonts w:cs="Arial"/>
                    </w:rPr>
                    <w:t>1.80E-02</w:t>
                  </w:r>
                </w:p>
              </w:tc>
              <w:tc>
                <w:tcPr>
                  <w:tcW w:w="1802" w:type="pct"/>
                  <w:vAlign w:val="center"/>
                </w:tcPr>
                <w:p w14:paraId="32AD6D32" w14:textId="77777777" w:rsidR="00692E71" w:rsidRPr="001E3185" w:rsidRDefault="00692E71" w:rsidP="008E0250">
                  <w:pPr>
                    <w:jc w:val="center"/>
                    <w:rPr>
                      <w:rFonts w:cs="Arial"/>
                    </w:rPr>
                  </w:pPr>
                  <w:r w:rsidRPr="001E3185">
                    <w:rPr>
                      <w:rFonts w:cs="Arial"/>
                    </w:rPr>
                    <w:t>1.73E-01</w:t>
                  </w:r>
                </w:p>
              </w:tc>
            </w:tr>
            <w:tr w:rsidR="00692E71" w:rsidRPr="001E3185" w14:paraId="0DA5F8E5" w14:textId="77777777" w:rsidTr="008E0250">
              <w:trPr>
                <w:trHeight w:val="340"/>
                <w:jc w:val="center"/>
              </w:trPr>
              <w:tc>
                <w:tcPr>
                  <w:tcW w:w="1350" w:type="pct"/>
                  <w:vAlign w:val="center"/>
                </w:tcPr>
                <w:p w14:paraId="1B447AA3" w14:textId="77777777" w:rsidR="00692E71" w:rsidRPr="001E3185" w:rsidRDefault="00692E71" w:rsidP="008E0250">
                  <w:pPr>
                    <w:rPr>
                      <w:rFonts w:cs="Arial"/>
                    </w:rPr>
                  </w:pPr>
                  <w:r w:rsidRPr="001E3185">
                    <w:rPr>
                      <w:rFonts w:cs="Arial"/>
                    </w:rPr>
                    <w:t>Tebuconazole</w:t>
                  </w:r>
                </w:p>
              </w:tc>
              <w:tc>
                <w:tcPr>
                  <w:tcW w:w="1847" w:type="pct"/>
                  <w:vAlign w:val="center"/>
                </w:tcPr>
                <w:p w14:paraId="2D216FEB" w14:textId="77777777" w:rsidR="00692E71" w:rsidRPr="001E3185" w:rsidRDefault="00692E71" w:rsidP="008E0250">
                  <w:pPr>
                    <w:jc w:val="center"/>
                    <w:rPr>
                      <w:rFonts w:cs="Arial"/>
                    </w:rPr>
                  </w:pPr>
                  <w:r w:rsidRPr="001E3185">
                    <w:rPr>
                      <w:rFonts w:cs="Arial"/>
                    </w:rPr>
                    <w:t>7.91E-03</w:t>
                  </w:r>
                </w:p>
              </w:tc>
              <w:tc>
                <w:tcPr>
                  <w:tcW w:w="1802" w:type="pct"/>
                  <w:vAlign w:val="center"/>
                </w:tcPr>
                <w:p w14:paraId="76CF66C1" w14:textId="77777777" w:rsidR="00692E71" w:rsidRPr="001E3185" w:rsidRDefault="00692E71" w:rsidP="008E0250">
                  <w:pPr>
                    <w:jc w:val="center"/>
                    <w:rPr>
                      <w:rFonts w:cs="Arial"/>
                    </w:rPr>
                  </w:pPr>
                  <w:r w:rsidRPr="001E3185">
                    <w:rPr>
                      <w:rFonts w:cs="Arial"/>
                    </w:rPr>
                    <w:t>6.40E-02</w:t>
                  </w:r>
                </w:p>
              </w:tc>
            </w:tr>
            <w:tr w:rsidR="00692E71" w:rsidRPr="001E3185" w14:paraId="193C45D2" w14:textId="77777777" w:rsidTr="008E0250">
              <w:trPr>
                <w:trHeight w:val="340"/>
                <w:jc w:val="center"/>
              </w:trPr>
              <w:tc>
                <w:tcPr>
                  <w:tcW w:w="1350" w:type="pct"/>
                  <w:vAlign w:val="center"/>
                </w:tcPr>
                <w:p w14:paraId="334A298E" w14:textId="77777777" w:rsidR="00692E71" w:rsidRPr="001E3185" w:rsidRDefault="00692E71" w:rsidP="008E0250">
                  <w:pPr>
                    <w:rPr>
                      <w:rFonts w:cs="Arial"/>
                    </w:rPr>
                  </w:pPr>
                  <w:r w:rsidRPr="001E3185">
                    <w:rPr>
                      <w:rFonts w:cs="Arial"/>
                    </w:rPr>
                    <w:t>Cypermethrin</w:t>
                  </w:r>
                </w:p>
              </w:tc>
              <w:tc>
                <w:tcPr>
                  <w:tcW w:w="1847" w:type="pct"/>
                  <w:vAlign w:val="center"/>
                </w:tcPr>
                <w:p w14:paraId="3F29078D" w14:textId="77777777" w:rsidR="00692E71" w:rsidRPr="001E3185" w:rsidRDefault="00692E71" w:rsidP="008E0250">
                  <w:pPr>
                    <w:jc w:val="center"/>
                    <w:rPr>
                      <w:rFonts w:cs="Arial"/>
                    </w:rPr>
                  </w:pPr>
                  <w:r w:rsidRPr="001E3185">
                    <w:rPr>
                      <w:rFonts w:cs="Arial"/>
                    </w:rPr>
                    <w:t>7.58E-05</w:t>
                  </w:r>
                </w:p>
              </w:tc>
              <w:tc>
                <w:tcPr>
                  <w:tcW w:w="1802" w:type="pct"/>
                  <w:vAlign w:val="center"/>
                </w:tcPr>
                <w:p w14:paraId="24137355" w14:textId="77777777" w:rsidR="00692E71" w:rsidRPr="001E3185" w:rsidRDefault="00692E71" w:rsidP="008E0250">
                  <w:pPr>
                    <w:jc w:val="center"/>
                    <w:rPr>
                      <w:rFonts w:cs="Arial"/>
                    </w:rPr>
                  </w:pPr>
                  <w:r w:rsidRPr="001E3185">
                    <w:rPr>
                      <w:rFonts w:cs="Arial"/>
                    </w:rPr>
                    <w:t>1.11E-02</w:t>
                  </w:r>
                </w:p>
              </w:tc>
            </w:tr>
            <w:tr w:rsidR="00692E71" w:rsidRPr="001E3185" w14:paraId="14E57B36" w14:textId="77777777" w:rsidTr="008E0250">
              <w:trPr>
                <w:trHeight w:val="340"/>
                <w:jc w:val="center"/>
              </w:trPr>
              <w:tc>
                <w:tcPr>
                  <w:tcW w:w="1350" w:type="pct"/>
                  <w:vAlign w:val="center"/>
                </w:tcPr>
                <w:p w14:paraId="384F36C5" w14:textId="77777777" w:rsidR="00692E71" w:rsidRPr="001E3185" w:rsidRDefault="00692E71" w:rsidP="008E0250">
                  <w:pPr>
                    <w:rPr>
                      <w:rFonts w:cs="Arial"/>
                    </w:rPr>
                  </w:pPr>
                  <w:r w:rsidRPr="001E3185">
                    <w:rPr>
                      <w:rFonts w:cs="Arial"/>
                    </w:rPr>
                    <w:t>IPBC</w:t>
                  </w:r>
                </w:p>
              </w:tc>
              <w:tc>
                <w:tcPr>
                  <w:tcW w:w="1847" w:type="pct"/>
                  <w:vAlign w:val="center"/>
                </w:tcPr>
                <w:p w14:paraId="51F50738" w14:textId="77777777" w:rsidR="00692E71" w:rsidRPr="001E3185" w:rsidRDefault="00692E71" w:rsidP="008E0250">
                  <w:pPr>
                    <w:jc w:val="center"/>
                    <w:rPr>
                      <w:rFonts w:cs="Arial"/>
                    </w:rPr>
                  </w:pPr>
                  <w:r w:rsidRPr="001E3185">
                    <w:rPr>
                      <w:rFonts w:cs="Arial"/>
                    </w:rPr>
                    <w:t>4.54E-03</w:t>
                  </w:r>
                </w:p>
              </w:tc>
              <w:tc>
                <w:tcPr>
                  <w:tcW w:w="1802" w:type="pct"/>
                  <w:vAlign w:val="center"/>
                </w:tcPr>
                <w:p w14:paraId="4022DF83" w14:textId="77777777" w:rsidR="00692E71" w:rsidRPr="001E3185" w:rsidRDefault="00692E71" w:rsidP="008E0250">
                  <w:pPr>
                    <w:jc w:val="center"/>
                    <w:rPr>
                      <w:rFonts w:cs="Arial"/>
                    </w:rPr>
                  </w:pPr>
                  <w:r w:rsidRPr="001E3185">
                    <w:rPr>
                      <w:rFonts w:cs="Arial"/>
                    </w:rPr>
                    <w:t>4.21E-02</w:t>
                  </w:r>
                </w:p>
              </w:tc>
            </w:tr>
            <w:tr w:rsidR="00692E71" w:rsidRPr="001E3185" w14:paraId="3D4A9BA3" w14:textId="77777777" w:rsidTr="008E0250">
              <w:trPr>
                <w:trHeight w:val="340"/>
                <w:jc w:val="center"/>
              </w:trPr>
              <w:tc>
                <w:tcPr>
                  <w:tcW w:w="1350" w:type="pct"/>
                  <w:vAlign w:val="center"/>
                </w:tcPr>
                <w:p w14:paraId="42B47932" w14:textId="77777777" w:rsidR="00692E71" w:rsidRPr="001E3185" w:rsidRDefault="00692E71" w:rsidP="008E0250">
                  <w:pPr>
                    <w:rPr>
                      <w:rFonts w:cs="Arial"/>
                    </w:rPr>
                  </w:pPr>
                  <w:r w:rsidRPr="001E3185">
                    <w:rPr>
                      <w:rFonts w:cs="Arial"/>
                    </w:rPr>
                    <w:t>PBC</w:t>
                  </w:r>
                </w:p>
              </w:tc>
              <w:tc>
                <w:tcPr>
                  <w:tcW w:w="1847" w:type="pct"/>
                  <w:vAlign w:val="center"/>
                </w:tcPr>
                <w:p w14:paraId="209A3DF2" w14:textId="77777777" w:rsidR="00692E71" w:rsidRPr="001E3185" w:rsidRDefault="00692E71" w:rsidP="008E0250">
                  <w:pPr>
                    <w:jc w:val="center"/>
                    <w:rPr>
                      <w:rFonts w:cs="Arial"/>
                    </w:rPr>
                  </w:pPr>
                  <w:r w:rsidRPr="001E3185">
                    <w:rPr>
                      <w:rFonts w:cs="Arial"/>
                    </w:rPr>
                    <w:t>2.50E-03</w:t>
                  </w:r>
                </w:p>
              </w:tc>
              <w:tc>
                <w:tcPr>
                  <w:tcW w:w="1802" w:type="pct"/>
                  <w:vAlign w:val="center"/>
                </w:tcPr>
                <w:p w14:paraId="58472B07" w14:textId="77777777" w:rsidR="00692E71" w:rsidRPr="001E3185" w:rsidRDefault="00692E71" w:rsidP="008E0250">
                  <w:pPr>
                    <w:jc w:val="center"/>
                    <w:rPr>
                      <w:rFonts w:cs="Arial"/>
                    </w:rPr>
                  </w:pPr>
                  <w:r w:rsidRPr="001E3185">
                    <w:rPr>
                      <w:rFonts w:cs="Arial"/>
                    </w:rPr>
                    <w:t>2.33E-02</w:t>
                  </w:r>
                </w:p>
              </w:tc>
            </w:tr>
            <w:tr w:rsidR="00692E71" w:rsidRPr="001E3185" w14:paraId="63B53E09" w14:textId="77777777" w:rsidTr="008E0250">
              <w:trPr>
                <w:trHeight w:val="340"/>
                <w:jc w:val="center"/>
              </w:trPr>
              <w:tc>
                <w:tcPr>
                  <w:tcW w:w="1350" w:type="pct"/>
                  <w:vAlign w:val="center"/>
                </w:tcPr>
                <w:p w14:paraId="72418BDC" w14:textId="77777777" w:rsidR="00692E71" w:rsidRPr="001E3185" w:rsidRDefault="00692E71" w:rsidP="008E0250">
                  <w:pPr>
                    <w:rPr>
                      <w:rFonts w:cs="Arial"/>
                    </w:rPr>
                  </w:pPr>
                  <w:r w:rsidRPr="001E3185">
                    <w:rPr>
                      <w:rFonts w:cs="Arial"/>
                    </w:rPr>
                    <w:lastRenderedPageBreak/>
                    <w:t>1,2,4-triazole</w:t>
                  </w:r>
                </w:p>
              </w:tc>
              <w:tc>
                <w:tcPr>
                  <w:tcW w:w="1847" w:type="pct"/>
                  <w:vAlign w:val="center"/>
                </w:tcPr>
                <w:p w14:paraId="579F7A58" w14:textId="77777777" w:rsidR="00692E71" w:rsidRPr="001E3185" w:rsidRDefault="00692E71" w:rsidP="008E0250">
                  <w:pPr>
                    <w:jc w:val="center"/>
                    <w:rPr>
                      <w:rFonts w:cs="Arial"/>
                    </w:rPr>
                  </w:pPr>
                  <w:r w:rsidRPr="001E3185">
                    <w:rPr>
                      <w:rFonts w:cs="Arial"/>
                    </w:rPr>
                    <w:t>1.73E-03</w:t>
                  </w:r>
                </w:p>
              </w:tc>
              <w:tc>
                <w:tcPr>
                  <w:tcW w:w="1802" w:type="pct"/>
                  <w:vAlign w:val="center"/>
                </w:tcPr>
                <w:p w14:paraId="1C2572E3" w14:textId="77777777" w:rsidR="00692E71" w:rsidRPr="001E3185" w:rsidRDefault="00692E71" w:rsidP="008E0250">
                  <w:pPr>
                    <w:jc w:val="center"/>
                    <w:rPr>
                      <w:rFonts w:cs="Arial"/>
                    </w:rPr>
                  </w:pPr>
                  <w:r w:rsidRPr="001E3185">
                    <w:rPr>
                      <w:rFonts w:cs="Arial"/>
                    </w:rPr>
                    <w:t>1.64E-02</w:t>
                  </w:r>
                </w:p>
              </w:tc>
            </w:tr>
            <w:tr w:rsidR="00692E71" w:rsidRPr="001E3185" w14:paraId="6A0F3D18" w14:textId="77777777" w:rsidTr="008E0250">
              <w:trPr>
                <w:trHeight w:val="397"/>
                <w:jc w:val="center"/>
              </w:trPr>
              <w:tc>
                <w:tcPr>
                  <w:tcW w:w="5000" w:type="pct"/>
                  <w:gridSpan w:val="3"/>
                  <w:vAlign w:val="center"/>
                </w:tcPr>
                <w:p w14:paraId="3B19DBBA" w14:textId="77777777" w:rsidR="00692E71" w:rsidRPr="001E3185" w:rsidRDefault="00692E71" w:rsidP="008E0250">
                  <w:pPr>
                    <w:rPr>
                      <w:rFonts w:cs="Arial"/>
                      <w:b/>
                      <w:i/>
                    </w:rPr>
                  </w:pPr>
                  <w:r w:rsidRPr="001E3185">
                    <w:rPr>
                      <w:rFonts w:cs="Arial"/>
                      <w:b/>
                      <w:i/>
                    </w:rPr>
                    <w:t>Emissions to STP</w:t>
                  </w:r>
                </w:p>
              </w:tc>
            </w:tr>
            <w:tr w:rsidR="00692E71" w:rsidRPr="001E3185" w14:paraId="0DB1A2C8" w14:textId="77777777" w:rsidTr="008E0250">
              <w:trPr>
                <w:trHeight w:val="340"/>
                <w:jc w:val="center"/>
              </w:trPr>
              <w:tc>
                <w:tcPr>
                  <w:tcW w:w="1350" w:type="pct"/>
                  <w:vAlign w:val="center"/>
                </w:tcPr>
                <w:p w14:paraId="65A7A958" w14:textId="77777777" w:rsidR="00692E71" w:rsidRPr="001E3185" w:rsidRDefault="00692E71" w:rsidP="008E0250">
                  <w:pPr>
                    <w:rPr>
                      <w:rFonts w:cs="Arial"/>
                      <w:b/>
                    </w:rPr>
                  </w:pPr>
                </w:p>
              </w:tc>
              <w:tc>
                <w:tcPr>
                  <w:tcW w:w="1847" w:type="pct"/>
                  <w:vAlign w:val="center"/>
                </w:tcPr>
                <w:p w14:paraId="6C1876D3" w14:textId="77777777" w:rsidR="00692E71" w:rsidRPr="001E3185" w:rsidRDefault="00692E71" w:rsidP="008E0250">
                  <w:pPr>
                    <w:jc w:val="center"/>
                    <w:rPr>
                      <w:rFonts w:cs="Arial"/>
                      <w:b/>
                    </w:rPr>
                  </w:pPr>
                  <w:r w:rsidRPr="001E3185">
                    <w:rPr>
                      <w:rFonts w:cs="Arial"/>
                      <w:b/>
                    </w:rPr>
                    <w:t>E</w:t>
                  </w:r>
                  <w:r w:rsidRPr="001E3185">
                    <w:rPr>
                      <w:rFonts w:cs="Arial"/>
                      <w:b/>
                      <w:vertAlign w:val="subscript"/>
                    </w:rPr>
                    <w:t>STP</w:t>
                  </w:r>
                  <w:r w:rsidRPr="001E3185">
                    <w:rPr>
                      <w:rFonts w:cs="Arial"/>
                      <w:b/>
                    </w:rPr>
                    <w:t xml:space="preserve"> </w:t>
                  </w:r>
                  <w:r w:rsidRPr="001E3185">
                    <w:rPr>
                      <w:rFonts w:cs="Arial"/>
                      <w:b/>
                      <w:vertAlign w:val="subscript"/>
                    </w:rPr>
                    <w:t xml:space="preserve">TIME1 (30d) </w:t>
                  </w:r>
                  <w:r w:rsidRPr="001E3185">
                    <w:rPr>
                      <w:rFonts w:cs="Arial"/>
                      <w:b/>
                    </w:rPr>
                    <w:t>[kg.d</w:t>
                  </w:r>
                  <w:r w:rsidRPr="001E3185">
                    <w:rPr>
                      <w:rFonts w:cs="Arial"/>
                      <w:b/>
                      <w:vertAlign w:val="superscript"/>
                    </w:rPr>
                    <w:t>-1</w:t>
                  </w:r>
                  <w:r w:rsidRPr="001E3185">
                    <w:rPr>
                      <w:rFonts w:cs="Arial"/>
                      <w:b/>
                    </w:rPr>
                    <w:t>]</w:t>
                  </w:r>
                </w:p>
              </w:tc>
              <w:tc>
                <w:tcPr>
                  <w:tcW w:w="1802" w:type="pct"/>
                  <w:vAlign w:val="center"/>
                </w:tcPr>
                <w:p w14:paraId="01935F0A" w14:textId="77777777" w:rsidR="00692E71" w:rsidRPr="001E3185" w:rsidRDefault="00692E71" w:rsidP="008E0250">
                  <w:pPr>
                    <w:jc w:val="center"/>
                    <w:rPr>
                      <w:rFonts w:cs="Arial"/>
                      <w:b/>
                    </w:rPr>
                  </w:pPr>
                  <w:r w:rsidRPr="001E3185">
                    <w:rPr>
                      <w:rFonts w:cs="Arial"/>
                      <w:b/>
                    </w:rPr>
                    <w:t>E</w:t>
                  </w:r>
                  <w:r w:rsidRPr="001E3185">
                    <w:rPr>
                      <w:rFonts w:cs="Arial"/>
                      <w:b/>
                      <w:vertAlign w:val="subscript"/>
                    </w:rPr>
                    <w:t>STP</w:t>
                  </w:r>
                  <w:r w:rsidRPr="001E3185">
                    <w:rPr>
                      <w:rFonts w:cs="Arial"/>
                      <w:b/>
                    </w:rPr>
                    <w:t xml:space="preserve"> </w:t>
                  </w:r>
                  <w:r w:rsidRPr="001E3185">
                    <w:rPr>
                      <w:rFonts w:cs="Arial"/>
                      <w:b/>
                      <w:vertAlign w:val="subscript"/>
                    </w:rPr>
                    <w:t xml:space="preserve">TIME2 (15y) </w:t>
                  </w:r>
                  <w:r w:rsidRPr="001E3185">
                    <w:rPr>
                      <w:rFonts w:cs="Arial"/>
                      <w:b/>
                    </w:rPr>
                    <w:t xml:space="preserve"> [ kg.d</w:t>
                  </w:r>
                  <w:r w:rsidRPr="001E3185">
                    <w:rPr>
                      <w:rFonts w:cs="Arial"/>
                      <w:b/>
                      <w:vertAlign w:val="superscript"/>
                    </w:rPr>
                    <w:t>-1</w:t>
                  </w:r>
                  <w:r w:rsidRPr="001E3185">
                    <w:rPr>
                      <w:rFonts w:cs="Arial"/>
                      <w:b/>
                    </w:rPr>
                    <w:t>]</w:t>
                  </w:r>
                </w:p>
              </w:tc>
            </w:tr>
            <w:tr w:rsidR="00692E71" w:rsidRPr="001E3185" w14:paraId="31530061" w14:textId="77777777" w:rsidTr="008E0250">
              <w:trPr>
                <w:trHeight w:val="340"/>
                <w:jc w:val="center"/>
              </w:trPr>
              <w:tc>
                <w:tcPr>
                  <w:tcW w:w="1350" w:type="pct"/>
                  <w:vAlign w:val="center"/>
                </w:tcPr>
                <w:p w14:paraId="72BE8335" w14:textId="77777777" w:rsidR="00692E71" w:rsidRPr="001E3185" w:rsidRDefault="00692E71" w:rsidP="008E0250">
                  <w:pPr>
                    <w:rPr>
                      <w:rFonts w:cs="Arial"/>
                      <w:b/>
                    </w:rPr>
                  </w:pPr>
                  <w:r w:rsidRPr="001E3185">
                    <w:rPr>
                      <w:rFonts w:cs="Arial"/>
                    </w:rPr>
                    <w:t>Propiconazole</w:t>
                  </w:r>
                </w:p>
              </w:tc>
              <w:tc>
                <w:tcPr>
                  <w:tcW w:w="1847" w:type="pct"/>
                  <w:vAlign w:val="center"/>
                </w:tcPr>
                <w:p w14:paraId="11BC8892" w14:textId="77777777" w:rsidR="00692E71" w:rsidRPr="001E3185" w:rsidRDefault="00692E71" w:rsidP="008E0250">
                  <w:pPr>
                    <w:jc w:val="center"/>
                    <w:rPr>
                      <w:rFonts w:cs="Arial"/>
                    </w:rPr>
                  </w:pPr>
                  <w:r w:rsidRPr="001E3185">
                    <w:rPr>
                      <w:rFonts w:cs="Arial"/>
                    </w:rPr>
                    <w:t>1.40E-03</w:t>
                  </w:r>
                </w:p>
              </w:tc>
              <w:tc>
                <w:tcPr>
                  <w:tcW w:w="1802" w:type="pct"/>
                  <w:vAlign w:val="center"/>
                </w:tcPr>
                <w:p w14:paraId="08D01219" w14:textId="77777777" w:rsidR="00692E71" w:rsidRPr="001E3185" w:rsidRDefault="00692E71" w:rsidP="008E0250">
                  <w:pPr>
                    <w:jc w:val="center"/>
                    <w:rPr>
                      <w:rFonts w:cs="Arial"/>
                    </w:rPr>
                  </w:pPr>
                  <w:r w:rsidRPr="001E3185">
                    <w:rPr>
                      <w:rFonts w:cs="Arial"/>
                    </w:rPr>
                    <w:t>7.38E-05</w:t>
                  </w:r>
                </w:p>
              </w:tc>
            </w:tr>
            <w:tr w:rsidR="00692E71" w:rsidRPr="001E3185" w14:paraId="5C1CF043" w14:textId="77777777" w:rsidTr="008E0250">
              <w:trPr>
                <w:trHeight w:val="340"/>
                <w:jc w:val="center"/>
              </w:trPr>
              <w:tc>
                <w:tcPr>
                  <w:tcW w:w="1350" w:type="pct"/>
                  <w:vAlign w:val="center"/>
                </w:tcPr>
                <w:p w14:paraId="58426506" w14:textId="77777777" w:rsidR="00692E71" w:rsidRPr="001E3185" w:rsidRDefault="00692E71" w:rsidP="008E0250">
                  <w:pPr>
                    <w:rPr>
                      <w:rFonts w:cs="Arial"/>
                    </w:rPr>
                  </w:pPr>
                  <w:r w:rsidRPr="001E3185">
                    <w:rPr>
                      <w:rFonts w:cs="Arial"/>
                    </w:rPr>
                    <w:t>Tebuconazole</w:t>
                  </w:r>
                </w:p>
              </w:tc>
              <w:tc>
                <w:tcPr>
                  <w:tcW w:w="1847" w:type="pct"/>
                  <w:vAlign w:val="center"/>
                </w:tcPr>
                <w:p w14:paraId="062A8494" w14:textId="77777777" w:rsidR="00692E71" w:rsidRPr="001E3185" w:rsidRDefault="00692E71" w:rsidP="008E0250">
                  <w:pPr>
                    <w:jc w:val="center"/>
                    <w:rPr>
                      <w:rFonts w:cs="Arial"/>
                    </w:rPr>
                  </w:pPr>
                  <w:r w:rsidRPr="001E3185">
                    <w:rPr>
                      <w:rFonts w:cs="Arial"/>
                    </w:rPr>
                    <w:t>6.15E-04</w:t>
                  </w:r>
                </w:p>
              </w:tc>
              <w:tc>
                <w:tcPr>
                  <w:tcW w:w="1802" w:type="pct"/>
                  <w:vAlign w:val="center"/>
                </w:tcPr>
                <w:p w14:paraId="282CDCBC" w14:textId="77777777" w:rsidR="00692E71" w:rsidRPr="001E3185" w:rsidRDefault="00692E71" w:rsidP="008E0250">
                  <w:pPr>
                    <w:jc w:val="center"/>
                    <w:rPr>
                      <w:rFonts w:cs="Arial"/>
                    </w:rPr>
                  </w:pPr>
                  <w:r w:rsidRPr="001E3185">
                    <w:rPr>
                      <w:rFonts w:cs="Arial"/>
                    </w:rPr>
                    <w:t>2.73E-05</w:t>
                  </w:r>
                </w:p>
              </w:tc>
            </w:tr>
            <w:tr w:rsidR="00692E71" w:rsidRPr="001E3185" w14:paraId="718D0A0B" w14:textId="77777777" w:rsidTr="008E0250">
              <w:trPr>
                <w:trHeight w:val="340"/>
                <w:jc w:val="center"/>
              </w:trPr>
              <w:tc>
                <w:tcPr>
                  <w:tcW w:w="1350" w:type="pct"/>
                  <w:vAlign w:val="center"/>
                </w:tcPr>
                <w:p w14:paraId="5D3A1D9E" w14:textId="77777777" w:rsidR="00692E71" w:rsidRPr="001E3185" w:rsidRDefault="00692E71" w:rsidP="008E0250">
                  <w:pPr>
                    <w:rPr>
                      <w:rFonts w:cs="Arial"/>
                    </w:rPr>
                  </w:pPr>
                  <w:r w:rsidRPr="001E3185">
                    <w:rPr>
                      <w:rFonts w:cs="Arial"/>
                    </w:rPr>
                    <w:t>Cypermethrin</w:t>
                  </w:r>
                </w:p>
              </w:tc>
              <w:tc>
                <w:tcPr>
                  <w:tcW w:w="1847" w:type="pct"/>
                  <w:vAlign w:val="center"/>
                </w:tcPr>
                <w:p w14:paraId="198F2A17" w14:textId="77777777" w:rsidR="00692E71" w:rsidRPr="001E3185" w:rsidRDefault="00692E71" w:rsidP="008E0250">
                  <w:pPr>
                    <w:jc w:val="center"/>
                    <w:rPr>
                      <w:rFonts w:cs="Arial"/>
                    </w:rPr>
                  </w:pPr>
                  <w:r w:rsidRPr="001E3185">
                    <w:rPr>
                      <w:rFonts w:cs="Arial"/>
                    </w:rPr>
                    <w:t>5.89E-06</w:t>
                  </w:r>
                </w:p>
              </w:tc>
              <w:tc>
                <w:tcPr>
                  <w:tcW w:w="1802" w:type="pct"/>
                  <w:vAlign w:val="center"/>
                </w:tcPr>
                <w:p w14:paraId="244E7937" w14:textId="77777777" w:rsidR="00692E71" w:rsidRPr="001E3185" w:rsidRDefault="00692E71" w:rsidP="008E0250">
                  <w:pPr>
                    <w:jc w:val="center"/>
                    <w:rPr>
                      <w:rFonts w:cs="Arial"/>
                    </w:rPr>
                  </w:pPr>
                  <w:r w:rsidRPr="001E3185">
                    <w:rPr>
                      <w:rFonts w:cs="Arial"/>
                    </w:rPr>
                    <w:t>4.73E-06</w:t>
                  </w:r>
                </w:p>
              </w:tc>
            </w:tr>
            <w:tr w:rsidR="00692E71" w:rsidRPr="001E3185" w14:paraId="40EB8D62" w14:textId="77777777" w:rsidTr="008E0250">
              <w:trPr>
                <w:trHeight w:val="340"/>
                <w:jc w:val="center"/>
              </w:trPr>
              <w:tc>
                <w:tcPr>
                  <w:tcW w:w="1350" w:type="pct"/>
                  <w:vAlign w:val="center"/>
                </w:tcPr>
                <w:p w14:paraId="4AC74ABF" w14:textId="77777777" w:rsidR="00692E71" w:rsidRPr="001E3185" w:rsidRDefault="00692E71" w:rsidP="008E0250">
                  <w:pPr>
                    <w:rPr>
                      <w:rFonts w:cs="Arial"/>
                    </w:rPr>
                  </w:pPr>
                  <w:r w:rsidRPr="001E3185">
                    <w:rPr>
                      <w:rFonts w:cs="Arial"/>
                    </w:rPr>
                    <w:t>IPBC</w:t>
                  </w:r>
                </w:p>
              </w:tc>
              <w:tc>
                <w:tcPr>
                  <w:tcW w:w="1847" w:type="pct"/>
                  <w:vAlign w:val="center"/>
                </w:tcPr>
                <w:p w14:paraId="5A8B59E0" w14:textId="77777777" w:rsidR="00692E71" w:rsidRPr="001E3185" w:rsidRDefault="00692E71" w:rsidP="008E0250">
                  <w:pPr>
                    <w:jc w:val="center"/>
                    <w:rPr>
                      <w:rFonts w:cs="Arial"/>
                    </w:rPr>
                  </w:pPr>
                  <w:r w:rsidRPr="001E3185">
                    <w:rPr>
                      <w:rFonts w:cs="Arial"/>
                    </w:rPr>
                    <w:t>3.53E-04</w:t>
                  </w:r>
                </w:p>
              </w:tc>
              <w:tc>
                <w:tcPr>
                  <w:tcW w:w="1802" w:type="pct"/>
                  <w:vAlign w:val="center"/>
                </w:tcPr>
                <w:p w14:paraId="2F03D412" w14:textId="77777777" w:rsidR="00692E71" w:rsidRPr="001E3185" w:rsidRDefault="00692E71" w:rsidP="008E0250">
                  <w:pPr>
                    <w:jc w:val="center"/>
                    <w:rPr>
                      <w:rFonts w:cs="Arial"/>
                    </w:rPr>
                  </w:pPr>
                  <w:r w:rsidRPr="001E3185">
                    <w:rPr>
                      <w:rFonts w:cs="Arial"/>
                    </w:rPr>
                    <w:t>1.80E-05</w:t>
                  </w:r>
                </w:p>
              </w:tc>
            </w:tr>
            <w:tr w:rsidR="00692E71" w:rsidRPr="001E3185" w14:paraId="333A8E21" w14:textId="77777777" w:rsidTr="008E0250">
              <w:trPr>
                <w:trHeight w:val="340"/>
                <w:jc w:val="center"/>
              </w:trPr>
              <w:tc>
                <w:tcPr>
                  <w:tcW w:w="1350" w:type="pct"/>
                  <w:vAlign w:val="center"/>
                </w:tcPr>
                <w:p w14:paraId="279BB016" w14:textId="77777777" w:rsidR="00692E71" w:rsidRPr="001E3185" w:rsidRDefault="00692E71" w:rsidP="008E0250">
                  <w:pPr>
                    <w:rPr>
                      <w:rFonts w:cs="Arial"/>
                    </w:rPr>
                  </w:pPr>
                  <w:r w:rsidRPr="001E3185">
                    <w:rPr>
                      <w:rFonts w:cs="Arial"/>
                    </w:rPr>
                    <w:t>PBC</w:t>
                  </w:r>
                </w:p>
              </w:tc>
              <w:tc>
                <w:tcPr>
                  <w:tcW w:w="1847" w:type="pct"/>
                  <w:vAlign w:val="center"/>
                </w:tcPr>
                <w:p w14:paraId="1ABEFA69" w14:textId="77777777" w:rsidR="00692E71" w:rsidRPr="001E3185" w:rsidRDefault="00692E71" w:rsidP="008E0250">
                  <w:pPr>
                    <w:jc w:val="center"/>
                    <w:rPr>
                      <w:rFonts w:cs="Arial"/>
                    </w:rPr>
                  </w:pPr>
                  <w:r w:rsidRPr="001E3185">
                    <w:rPr>
                      <w:rFonts w:cs="Arial"/>
                    </w:rPr>
                    <w:t>1.95E-04</w:t>
                  </w:r>
                </w:p>
              </w:tc>
              <w:tc>
                <w:tcPr>
                  <w:tcW w:w="1802" w:type="pct"/>
                  <w:vAlign w:val="center"/>
                </w:tcPr>
                <w:p w14:paraId="2B994D63" w14:textId="77777777" w:rsidR="00692E71" w:rsidRPr="001E3185" w:rsidRDefault="00692E71" w:rsidP="008E0250">
                  <w:pPr>
                    <w:jc w:val="center"/>
                    <w:rPr>
                      <w:rFonts w:cs="Arial"/>
                    </w:rPr>
                  </w:pPr>
                  <w:r w:rsidRPr="001E3185">
                    <w:rPr>
                      <w:rFonts w:cs="Arial"/>
                    </w:rPr>
                    <w:t>9.92E-06</w:t>
                  </w:r>
                </w:p>
              </w:tc>
            </w:tr>
            <w:tr w:rsidR="00692E71" w:rsidRPr="001E3185" w14:paraId="26378184" w14:textId="77777777" w:rsidTr="008E0250">
              <w:trPr>
                <w:trHeight w:val="283"/>
                <w:jc w:val="center"/>
              </w:trPr>
              <w:tc>
                <w:tcPr>
                  <w:tcW w:w="1350" w:type="pct"/>
                  <w:vAlign w:val="center"/>
                </w:tcPr>
                <w:p w14:paraId="686B668C" w14:textId="77777777" w:rsidR="00692E71" w:rsidRPr="001E3185" w:rsidRDefault="00692E71" w:rsidP="008E0250">
                  <w:pPr>
                    <w:rPr>
                      <w:rFonts w:cs="Arial"/>
                    </w:rPr>
                  </w:pPr>
                  <w:r w:rsidRPr="001E3185">
                    <w:rPr>
                      <w:rFonts w:cs="Arial"/>
                    </w:rPr>
                    <w:t>1,2,4-triazole</w:t>
                  </w:r>
                </w:p>
              </w:tc>
              <w:tc>
                <w:tcPr>
                  <w:tcW w:w="1847" w:type="pct"/>
                  <w:vAlign w:val="center"/>
                </w:tcPr>
                <w:p w14:paraId="7B49EB89" w14:textId="77777777" w:rsidR="00692E71" w:rsidRPr="001E3185" w:rsidRDefault="00692E71" w:rsidP="008E0250">
                  <w:pPr>
                    <w:jc w:val="center"/>
                    <w:rPr>
                      <w:rFonts w:cs="Arial"/>
                    </w:rPr>
                  </w:pPr>
                  <w:r w:rsidRPr="001E3185">
                    <w:rPr>
                      <w:rFonts w:cs="Arial"/>
                    </w:rPr>
                    <w:t>1.34E-04</w:t>
                  </w:r>
                </w:p>
              </w:tc>
              <w:tc>
                <w:tcPr>
                  <w:tcW w:w="1802" w:type="pct"/>
                  <w:vAlign w:val="center"/>
                </w:tcPr>
                <w:p w14:paraId="5DDDEF70" w14:textId="77777777" w:rsidR="00692E71" w:rsidRPr="001E3185" w:rsidRDefault="00692E71" w:rsidP="008E0250">
                  <w:pPr>
                    <w:jc w:val="center"/>
                    <w:rPr>
                      <w:rFonts w:cs="Arial"/>
                    </w:rPr>
                  </w:pPr>
                  <w:r w:rsidRPr="001E3185">
                    <w:rPr>
                      <w:rFonts w:cs="Arial"/>
                    </w:rPr>
                    <w:t>6.99E-06</w:t>
                  </w:r>
                </w:p>
              </w:tc>
            </w:tr>
          </w:tbl>
          <w:p w14:paraId="3A707906" w14:textId="77777777" w:rsidR="00692E71" w:rsidRPr="001E3185" w:rsidRDefault="00692E71" w:rsidP="008E0250">
            <w:pPr>
              <w:autoSpaceDE w:val="0"/>
              <w:autoSpaceDN w:val="0"/>
              <w:spacing w:line="276" w:lineRule="auto"/>
              <w:rPr>
                <w:rFonts w:cs="Arial"/>
              </w:rPr>
            </w:pPr>
          </w:p>
        </w:tc>
      </w:tr>
    </w:tbl>
    <w:p w14:paraId="2B0B1FAE" w14:textId="77777777" w:rsidR="00692E71" w:rsidRPr="001E3185" w:rsidRDefault="00692E71" w:rsidP="00692E71">
      <w:pPr>
        <w:rPr>
          <w:b/>
          <w:bCs/>
        </w:rPr>
      </w:pPr>
    </w:p>
    <w:p w14:paraId="64CB2DF3" w14:textId="77777777" w:rsidR="00692E71" w:rsidRPr="001E3185" w:rsidRDefault="00692E71" w:rsidP="00692E71">
      <w:pPr>
        <w:rPr>
          <w:b/>
          <w:bCs/>
        </w:rPr>
      </w:pPr>
    </w:p>
    <w:p w14:paraId="61AEB804" w14:textId="77777777" w:rsidR="00692E71" w:rsidRPr="003356DA" w:rsidRDefault="00692E71" w:rsidP="003356DA">
      <w:pPr>
        <w:pStyle w:val="Titre4"/>
      </w:pPr>
      <w:bookmarkStart w:id="138" w:name="_Toc536627322"/>
      <w:r w:rsidRPr="003356DA">
        <w:t>Local PECs</w:t>
      </w:r>
      <w:bookmarkEnd w:id="138"/>
    </w:p>
    <w:p w14:paraId="06D64B25" w14:textId="77777777" w:rsidR="00692E71" w:rsidRPr="00B66713" w:rsidRDefault="00692E71" w:rsidP="00692E71">
      <w:pPr>
        <w:rPr>
          <w:rFonts w:ascii="Arial" w:hAnsi="Arial" w:cs="Arial"/>
        </w:rPr>
      </w:pPr>
    </w:p>
    <w:p w14:paraId="660D8E2D" w14:textId="77777777" w:rsidR="00692E71" w:rsidRPr="001E3185" w:rsidRDefault="00692E71" w:rsidP="00692E71">
      <w:pPr>
        <w:rPr>
          <w:rFonts w:cs="Arial"/>
        </w:rPr>
      </w:pPr>
      <w:r w:rsidRPr="001E3185">
        <w:rPr>
          <w:rFonts w:cs="Arial"/>
        </w:rPr>
        <w:t xml:space="preserve">In the following tables, PEC values for treatment and in-service with and without removal are listed. Also the combination of PEC values from </w:t>
      </w:r>
      <w:r w:rsidRPr="001E3185">
        <w:rPr>
          <w:rFonts w:cs="Arial"/>
          <w:i/>
        </w:rPr>
        <w:t>in-situ</w:t>
      </w:r>
      <w:r w:rsidRPr="001E3185">
        <w:rPr>
          <w:rFonts w:cs="Arial"/>
        </w:rPr>
        <w:t xml:space="preserve"> treatment and in-service is shown.</w:t>
      </w:r>
    </w:p>
    <w:p w14:paraId="311435FB" w14:textId="77777777" w:rsidR="00692E71" w:rsidRPr="001E3185" w:rsidRDefault="00692E71" w:rsidP="00692E71">
      <w:pPr>
        <w:rPr>
          <w:rFonts w:cs="Arial"/>
        </w:rPr>
      </w:pPr>
      <w:r w:rsidRPr="001E3185">
        <w:rPr>
          <w:rFonts w:cs="Arial"/>
        </w:rPr>
        <w:t xml:space="preserve">The </w:t>
      </w:r>
      <w:r w:rsidRPr="001E3185">
        <w:rPr>
          <w:rFonts w:cs="Arial"/>
          <w:i/>
        </w:rPr>
        <w:t>in-situ</w:t>
      </w:r>
      <w:r w:rsidRPr="001E3185">
        <w:rPr>
          <w:rFonts w:cs="Arial"/>
        </w:rPr>
        <w:t xml:space="preserve"> treatment is based on both the professional and non-professional calculations.</w:t>
      </w:r>
    </w:p>
    <w:p w14:paraId="6F67ABA8" w14:textId="77777777" w:rsidR="00692E71" w:rsidRPr="00575E63" w:rsidRDefault="00692E71" w:rsidP="00692E71">
      <w:pPr>
        <w:rPr>
          <w:rFonts w:ascii="Arial" w:hAnsi="Arial" w:cs="Arial"/>
        </w:rPr>
      </w:pPr>
    </w:p>
    <w:p w14:paraId="77314530" w14:textId="77777777" w:rsidR="00692E71" w:rsidRPr="003356DA" w:rsidRDefault="00692E71" w:rsidP="003356DA">
      <w:pPr>
        <w:pStyle w:val="Titre5"/>
      </w:pPr>
      <w:bookmarkStart w:id="139" w:name="_Toc452669004"/>
      <w:r w:rsidRPr="003356DA">
        <w:t>PEC industrial application, dipping</w:t>
      </w:r>
      <w:bookmarkEnd w:id="139"/>
    </w:p>
    <w:p w14:paraId="383837B3" w14:textId="77777777" w:rsidR="00692E71" w:rsidRPr="001E3185" w:rsidRDefault="00692E71" w:rsidP="00692E71">
      <w:pPr>
        <w:rPr>
          <w:rFonts w:cs="Arial"/>
        </w:rPr>
      </w:pPr>
    </w:p>
    <w:p w14:paraId="5FBDB234" w14:textId="77777777" w:rsidR="00692E71" w:rsidRPr="001E3185" w:rsidRDefault="00692E71" w:rsidP="00F32B7F">
      <w:pPr>
        <w:pStyle w:val="Paragraphedeliste"/>
        <w:numPr>
          <w:ilvl w:val="0"/>
          <w:numId w:val="12"/>
        </w:numPr>
        <w:suppressAutoHyphens w:val="0"/>
        <w:autoSpaceDE w:val="0"/>
        <w:autoSpaceDN w:val="0"/>
        <w:adjustRightInd w:val="0"/>
        <w:rPr>
          <w:rFonts w:cs="Arial"/>
        </w:rPr>
      </w:pPr>
      <w:r w:rsidRPr="001E3185">
        <w:rPr>
          <w:rFonts w:cs="Arial"/>
        </w:rPr>
        <w:t xml:space="preserve">PEC in surface water </w:t>
      </w:r>
    </w:p>
    <w:p w14:paraId="0B6A6F7A" w14:textId="77777777" w:rsidR="00692E71" w:rsidRPr="001E3185" w:rsidRDefault="00692E71" w:rsidP="00692E71">
      <w:pPr>
        <w:rPr>
          <w:rFonts w:cs="Arial"/>
        </w:rPr>
      </w:pPr>
    </w:p>
    <w:p w14:paraId="0D435518"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30</w:t>
      </w:r>
      <w:r w:rsidRPr="001E3185">
        <w:rPr>
          <w:rFonts w:ascii="Verdana" w:hAnsi="Verdana"/>
        </w:rPr>
        <w:fldChar w:fldCharType="end"/>
      </w:r>
      <w:r w:rsidRPr="001E3185">
        <w:rPr>
          <w:rFonts w:ascii="Verdana" w:hAnsi="Verdana"/>
        </w:rPr>
        <w:t>: PEC in surface water, industrial application, storage.</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515"/>
        <w:gridCol w:w="1361"/>
        <w:gridCol w:w="1563"/>
        <w:gridCol w:w="1527"/>
        <w:gridCol w:w="1522"/>
      </w:tblGrid>
      <w:tr w:rsidR="00692E71" w:rsidRPr="001E3185" w14:paraId="0D82D759" w14:textId="77777777" w:rsidTr="008E0250">
        <w:trPr>
          <w:trHeight w:val="20"/>
          <w:tblHeader/>
        </w:trPr>
        <w:tc>
          <w:tcPr>
            <w:tcW w:w="3515" w:type="dxa"/>
            <w:shd w:val="clear" w:color="auto" w:fill="FFFFFF" w:themeFill="background1"/>
            <w:noWrap/>
            <w:vAlign w:val="center"/>
          </w:tcPr>
          <w:p w14:paraId="6B242EEA" w14:textId="77777777" w:rsidR="00692E71" w:rsidRPr="001E3185" w:rsidRDefault="00692E71" w:rsidP="008E0250">
            <w:pPr>
              <w:rPr>
                <w:rFonts w:cs="Arial"/>
                <w:sz w:val="18"/>
                <w:szCs w:val="18"/>
                <w:lang w:eastAsia="da-DK"/>
              </w:rPr>
            </w:pPr>
          </w:p>
        </w:tc>
        <w:tc>
          <w:tcPr>
            <w:tcW w:w="1361" w:type="dxa"/>
            <w:shd w:val="clear" w:color="auto" w:fill="FFFFFF" w:themeFill="background1"/>
            <w:noWrap/>
            <w:vAlign w:val="center"/>
          </w:tcPr>
          <w:p w14:paraId="6628C5DC"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IPBC</w:t>
            </w:r>
          </w:p>
        </w:tc>
        <w:tc>
          <w:tcPr>
            <w:tcW w:w="1507" w:type="dxa"/>
            <w:shd w:val="clear" w:color="auto" w:fill="FFFFFF" w:themeFill="background1"/>
            <w:noWrap/>
            <w:vAlign w:val="center"/>
          </w:tcPr>
          <w:p w14:paraId="453B76B1"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Propiconazole</w:t>
            </w:r>
          </w:p>
        </w:tc>
        <w:tc>
          <w:tcPr>
            <w:tcW w:w="1474" w:type="dxa"/>
            <w:shd w:val="clear" w:color="auto" w:fill="FFFFFF" w:themeFill="background1"/>
            <w:noWrap/>
            <w:vAlign w:val="center"/>
          </w:tcPr>
          <w:p w14:paraId="1545421D"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Tebuconazole</w:t>
            </w:r>
          </w:p>
        </w:tc>
        <w:tc>
          <w:tcPr>
            <w:tcW w:w="1441" w:type="dxa"/>
            <w:shd w:val="clear" w:color="auto" w:fill="FFFFFF" w:themeFill="background1"/>
            <w:vAlign w:val="center"/>
          </w:tcPr>
          <w:p w14:paraId="1D0615E6"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Cypermethrin</w:t>
            </w:r>
          </w:p>
        </w:tc>
      </w:tr>
      <w:tr w:rsidR="00692E71" w:rsidRPr="001E3185" w14:paraId="2B0B3664" w14:textId="77777777" w:rsidTr="008E0250">
        <w:trPr>
          <w:trHeight w:val="20"/>
        </w:trPr>
        <w:tc>
          <w:tcPr>
            <w:tcW w:w="3515" w:type="dxa"/>
            <w:shd w:val="clear" w:color="auto" w:fill="FFFFFF" w:themeFill="background1"/>
            <w:noWrap/>
            <w:vAlign w:val="center"/>
          </w:tcPr>
          <w:p w14:paraId="6F8C2D0C" w14:textId="77777777" w:rsidR="00692E71" w:rsidRPr="001E3185" w:rsidRDefault="00692E71" w:rsidP="008E0250">
            <w:pPr>
              <w:rPr>
                <w:rFonts w:cs="Arial"/>
                <w:b/>
                <w:sz w:val="18"/>
                <w:szCs w:val="18"/>
                <w:lang w:eastAsia="da-DK"/>
              </w:rPr>
            </w:pPr>
            <w:r w:rsidRPr="001E3185">
              <w:rPr>
                <w:rFonts w:cs="Arial"/>
                <w:b/>
                <w:sz w:val="18"/>
                <w:szCs w:val="18"/>
                <w:lang w:eastAsia="da-DK"/>
              </w:rPr>
              <w:t>Dipping (surface water)</w:t>
            </w:r>
          </w:p>
        </w:tc>
        <w:tc>
          <w:tcPr>
            <w:tcW w:w="1361" w:type="dxa"/>
            <w:shd w:val="clear" w:color="auto" w:fill="FFFFFF" w:themeFill="background1"/>
            <w:noWrap/>
            <w:vAlign w:val="center"/>
          </w:tcPr>
          <w:p w14:paraId="6FA91CA5" w14:textId="77777777" w:rsidR="00692E71" w:rsidRPr="001E3185" w:rsidRDefault="00692E71" w:rsidP="008E0250">
            <w:pPr>
              <w:jc w:val="center"/>
              <w:rPr>
                <w:rFonts w:cs="Arial"/>
                <w:sz w:val="18"/>
                <w:szCs w:val="18"/>
                <w:lang w:eastAsia="da-DK"/>
              </w:rPr>
            </w:pPr>
          </w:p>
        </w:tc>
        <w:tc>
          <w:tcPr>
            <w:tcW w:w="1507" w:type="dxa"/>
            <w:shd w:val="clear" w:color="auto" w:fill="FFFFFF" w:themeFill="background1"/>
            <w:noWrap/>
            <w:vAlign w:val="center"/>
          </w:tcPr>
          <w:p w14:paraId="45BCC660" w14:textId="77777777" w:rsidR="00692E71" w:rsidRPr="001E3185" w:rsidRDefault="00692E71" w:rsidP="008E0250">
            <w:pPr>
              <w:jc w:val="center"/>
              <w:rPr>
                <w:rFonts w:cs="Arial"/>
                <w:sz w:val="18"/>
                <w:szCs w:val="18"/>
                <w:lang w:eastAsia="da-DK"/>
              </w:rPr>
            </w:pPr>
          </w:p>
        </w:tc>
        <w:tc>
          <w:tcPr>
            <w:tcW w:w="1474" w:type="dxa"/>
            <w:shd w:val="clear" w:color="auto" w:fill="FFFFFF" w:themeFill="background1"/>
            <w:noWrap/>
            <w:vAlign w:val="center"/>
          </w:tcPr>
          <w:p w14:paraId="76132205" w14:textId="77777777" w:rsidR="00692E71" w:rsidRPr="001E3185" w:rsidRDefault="00692E71" w:rsidP="008E0250">
            <w:pPr>
              <w:jc w:val="center"/>
              <w:rPr>
                <w:rFonts w:cs="Arial"/>
                <w:sz w:val="18"/>
                <w:szCs w:val="18"/>
                <w:lang w:eastAsia="da-DK"/>
              </w:rPr>
            </w:pPr>
          </w:p>
        </w:tc>
        <w:tc>
          <w:tcPr>
            <w:tcW w:w="1441" w:type="dxa"/>
            <w:shd w:val="clear" w:color="auto" w:fill="FFFFFF" w:themeFill="background1"/>
            <w:vAlign w:val="center"/>
          </w:tcPr>
          <w:p w14:paraId="570D0F27" w14:textId="77777777" w:rsidR="00692E71" w:rsidRPr="001E3185" w:rsidRDefault="00692E71" w:rsidP="008E0250">
            <w:pPr>
              <w:jc w:val="center"/>
              <w:rPr>
                <w:rFonts w:cs="Arial"/>
                <w:sz w:val="18"/>
                <w:szCs w:val="18"/>
                <w:lang w:eastAsia="da-DK"/>
              </w:rPr>
            </w:pPr>
          </w:p>
        </w:tc>
      </w:tr>
      <w:tr w:rsidR="00692E71" w:rsidRPr="001E3185" w14:paraId="4AD64925" w14:textId="77777777" w:rsidTr="008E0250">
        <w:trPr>
          <w:trHeight w:val="20"/>
        </w:trPr>
        <w:tc>
          <w:tcPr>
            <w:tcW w:w="3515" w:type="dxa"/>
            <w:shd w:val="clear" w:color="auto" w:fill="FFFFFF" w:themeFill="background1"/>
            <w:noWrap/>
            <w:vAlign w:val="center"/>
          </w:tcPr>
          <w:p w14:paraId="68327165" w14:textId="77777777" w:rsidR="00692E71" w:rsidRPr="001E3185" w:rsidRDefault="00692E71" w:rsidP="008E0250">
            <w:pPr>
              <w:rPr>
                <w:rFonts w:cs="Arial"/>
                <w:sz w:val="18"/>
                <w:szCs w:val="18"/>
                <w:lang w:eastAsia="da-DK"/>
              </w:rPr>
            </w:pPr>
            <w:r w:rsidRPr="001E3185">
              <w:rPr>
                <w:rFonts w:cs="Arial"/>
                <w:sz w:val="18"/>
                <w:szCs w:val="18"/>
              </w:rPr>
              <w:t>PEC in surface water over the initial assessment period [µg.L</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72350C13" w14:textId="77777777" w:rsidR="00692E71" w:rsidRPr="001E3185" w:rsidRDefault="00692E71" w:rsidP="008E0250">
            <w:pPr>
              <w:jc w:val="center"/>
              <w:rPr>
                <w:rFonts w:cs="Arial"/>
                <w:sz w:val="18"/>
                <w:szCs w:val="18"/>
                <w:lang w:eastAsia="da-DK"/>
              </w:rPr>
            </w:pPr>
            <w:r w:rsidRPr="001E3185">
              <w:rPr>
                <w:rFonts w:cs="Arial"/>
                <w:sz w:val="18"/>
                <w:szCs w:val="18"/>
              </w:rPr>
              <w:t>0.03</w:t>
            </w:r>
          </w:p>
        </w:tc>
        <w:tc>
          <w:tcPr>
            <w:tcW w:w="1507" w:type="dxa"/>
            <w:shd w:val="clear" w:color="auto" w:fill="FFFFFF" w:themeFill="background1"/>
            <w:noWrap/>
            <w:vAlign w:val="center"/>
          </w:tcPr>
          <w:p w14:paraId="781D33AE" w14:textId="77777777" w:rsidR="00692E71" w:rsidRPr="001E3185" w:rsidRDefault="00692E71" w:rsidP="008E0250">
            <w:pPr>
              <w:jc w:val="center"/>
              <w:rPr>
                <w:rFonts w:cs="Arial"/>
                <w:sz w:val="18"/>
                <w:szCs w:val="18"/>
              </w:rPr>
            </w:pPr>
            <w:r w:rsidRPr="001E3185">
              <w:rPr>
                <w:rFonts w:cs="Arial"/>
                <w:sz w:val="18"/>
                <w:szCs w:val="18"/>
              </w:rPr>
              <w:t>0.10</w:t>
            </w:r>
          </w:p>
        </w:tc>
        <w:tc>
          <w:tcPr>
            <w:tcW w:w="1474" w:type="dxa"/>
            <w:shd w:val="clear" w:color="auto" w:fill="FFFFFF" w:themeFill="background1"/>
            <w:noWrap/>
            <w:vAlign w:val="center"/>
          </w:tcPr>
          <w:p w14:paraId="135480F1" w14:textId="77777777" w:rsidR="00692E71" w:rsidRPr="001E3185" w:rsidRDefault="00692E71" w:rsidP="008E0250">
            <w:pPr>
              <w:jc w:val="center"/>
              <w:rPr>
                <w:rFonts w:cs="Arial"/>
                <w:sz w:val="18"/>
                <w:szCs w:val="18"/>
              </w:rPr>
            </w:pPr>
            <w:r w:rsidRPr="001E3185">
              <w:rPr>
                <w:rFonts w:cs="Arial"/>
                <w:sz w:val="18"/>
                <w:szCs w:val="18"/>
              </w:rPr>
              <w:t>0.04</w:t>
            </w:r>
          </w:p>
        </w:tc>
        <w:tc>
          <w:tcPr>
            <w:tcW w:w="1441" w:type="dxa"/>
            <w:shd w:val="clear" w:color="auto" w:fill="FFFFFF" w:themeFill="background1"/>
            <w:vAlign w:val="center"/>
          </w:tcPr>
          <w:p w14:paraId="2BE3523A" w14:textId="77777777" w:rsidR="00692E71" w:rsidRPr="001E3185" w:rsidRDefault="00692E71" w:rsidP="008E0250">
            <w:pPr>
              <w:jc w:val="center"/>
              <w:rPr>
                <w:rFonts w:cs="Arial"/>
                <w:sz w:val="18"/>
                <w:szCs w:val="18"/>
              </w:rPr>
            </w:pPr>
            <w:r w:rsidRPr="001E3185">
              <w:rPr>
                <w:rFonts w:cs="Arial"/>
                <w:sz w:val="18"/>
                <w:szCs w:val="18"/>
              </w:rPr>
              <w:t>2.8*10</w:t>
            </w:r>
            <w:r w:rsidRPr="001E3185">
              <w:rPr>
                <w:rFonts w:cs="Arial"/>
                <w:sz w:val="18"/>
                <w:szCs w:val="18"/>
                <w:vertAlign w:val="superscript"/>
              </w:rPr>
              <w:t>-4</w:t>
            </w:r>
          </w:p>
        </w:tc>
      </w:tr>
      <w:tr w:rsidR="00692E71" w:rsidRPr="001E3185" w14:paraId="6D11CABF" w14:textId="77777777" w:rsidTr="008E0250">
        <w:trPr>
          <w:trHeight w:val="20"/>
        </w:trPr>
        <w:tc>
          <w:tcPr>
            <w:tcW w:w="3515" w:type="dxa"/>
            <w:shd w:val="clear" w:color="auto" w:fill="FFFFFF" w:themeFill="background1"/>
            <w:noWrap/>
            <w:vAlign w:val="center"/>
          </w:tcPr>
          <w:p w14:paraId="19C0F4A0" w14:textId="77777777" w:rsidR="00692E71" w:rsidRPr="001E3185" w:rsidRDefault="00692E71" w:rsidP="008E0250">
            <w:pPr>
              <w:rPr>
                <w:rFonts w:cs="Arial"/>
                <w:sz w:val="18"/>
                <w:szCs w:val="18"/>
                <w:lang w:eastAsia="da-DK"/>
              </w:rPr>
            </w:pPr>
            <w:r w:rsidRPr="001E3185">
              <w:rPr>
                <w:rFonts w:cs="Arial"/>
                <w:sz w:val="18"/>
                <w:szCs w:val="18"/>
              </w:rPr>
              <w:t>PEC in surface water over a longer assessment period [µg.L</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1A754BFC" w14:textId="77777777" w:rsidR="00692E71" w:rsidRPr="001E3185" w:rsidRDefault="00692E71" w:rsidP="008E0250">
            <w:pPr>
              <w:jc w:val="center"/>
              <w:rPr>
                <w:rFonts w:cs="Arial"/>
                <w:sz w:val="18"/>
                <w:szCs w:val="18"/>
                <w:lang w:eastAsia="da-DK"/>
              </w:rPr>
            </w:pPr>
            <w:r w:rsidRPr="001E3185">
              <w:rPr>
                <w:rFonts w:cs="Arial"/>
                <w:sz w:val="18"/>
                <w:szCs w:val="18"/>
              </w:rPr>
              <w:t>2.5*10</w:t>
            </w:r>
            <w:r w:rsidRPr="001E3185">
              <w:rPr>
                <w:rFonts w:cs="Arial"/>
                <w:sz w:val="18"/>
                <w:szCs w:val="18"/>
                <w:vertAlign w:val="superscript"/>
              </w:rPr>
              <w:t>-2</w:t>
            </w:r>
          </w:p>
        </w:tc>
        <w:tc>
          <w:tcPr>
            <w:tcW w:w="1507" w:type="dxa"/>
            <w:shd w:val="clear" w:color="auto" w:fill="FFFFFF" w:themeFill="background1"/>
            <w:noWrap/>
            <w:vAlign w:val="center"/>
          </w:tcPr>
          <w:p w14:paraId="20F0BC52" w14:textId="77777777" w:rsidR="00692E71" w:rsidRPr="001E3185" w:rsidRDefault="00692E71" w:rsidP="008E0250">
            <w:pPr>
              <w:jc w:val="center"/>
              <w:rPr>
                <w:rFonts w:cs="Arial"/>
                <w:sz w:val="18"/>
                <w:szCs w:val="18"/>
              </w:rPr>
            </w:pPr>
            <w:r w:rsidRPr="001E3185">
              <w:rPr>
                <w:rFonts w:cs="Arial"/>
                <w:sz w:val="18"/>
                <w:szCs w:val="18"/>
              </w:rPr>
              <w:t>1.0*10</w:t>
            </w:r>
            <w:r w:rsidRPr="001E3185">
              <w:rPr>
                <w:rFonts w:cs="Arial"/>
                <w:sz w:val="18"/>
                <w:szCs w:val="18"/>
                <w:vertAlign w:val="superscript"/>
              </w:rPr>
              <w:t>-1</w:t>
            </w:r>
          </w:p>
        </w:tc>
        <w:tc>
          <w:tcPr>
            <w:tcW w:w="1474" w:type="dxa"/>
            <w:shd w:val="clear" w:color="auto" w:fill="FFFFFF" w:themeFill="background1"/>
            <w:noWrap/>
            <w:vAlign w:val="center"/>
          </w:tcPr>
          <w:p w14:paraId="4E754AFD" w14:textId="77777777" w:rsidR="00692E71" w:rsidRPr="001E3185" w:rsidRDefault="00692E71" w:rsidP="008E0250">
            <w:pPr>
              <w:jc w:val="center"/>
              <w:rPr>
                <w:rFonts w:cs="Arial"/>
                <w:sz w:val="18"/>
                <w:szCs w:val="18"/>
              </w:rPr>
            </w:pPr>
            <w:r w:rsidRPr="001E3185">
              <w:rPr>
                <w:rFonts w:cs="Arial"/>
                <w:sz w:val="18"/>
                <w:szCs w:val="18"/>
              </w:rPr>
              <w:t>4.4*10</w:t>
            </w:r>
            <w:r w:rsidRPr="001E3185">
              <w:rPr>
                <w:rFonts w:cs="Arial"/>
                <w:sz w:val="18"/>
                <w:szCs w:val="18"/>
                <w:vertAlign w:val="superscript"/>
              </w:rPr>
              <w:t>-2</w:t>
            </w:r>
          </w:p>
        </w:tc>
        <w:tc>
          <w:tcPr>
            <w:tcW w:w="1441" w:type="dxa"/>
            <w:shd w:val="clear" w:color="auto" w:fill="FFFFFF" w:themeFill="background1"/>
            <w:vAlign w:val="center"/>
          </w:tcPr>
          <w:p w14:paraId="04CAA468" w14:textId="77777777" w:rsidR="00692E71" w:rsidRPr="001E3185" w:rsidRDefault="00692E71" w:rsidP="008E0250">
            <w:pPr>
              <w:jc w:val="center"/>
              <w:rPr>
                <w:rFonts w:cs="Arial"/>
                <w:sz w:val="18"/>
                <w:szCs w:val="18"/>
              </w:rPr>
            </w:pPr>
            <w:r w:rsidRPr="001E3185">
              <w:rPr>
                <w:rFonts w:cs="Arial"/>
                <w:sz w:val="18"/>
                <w:szCs w:val="18"/>
              </w:rPr>
              <w:t>2.8*10</w:t>
            </w:r>
            <w:r w:rsidRPr="001E3185">
              <w:rPr>
                <w:rFonts w:cs="Arial"/>
                <w:sz w:val="18"/>
                <w:szCs w:val="18"/>
                <w:vertAlign w:val="superscript"/>
              </w:rPr>
              <w:t>-4</w:t>
            </w:r>
          </w:p>
        </w:tc>
      </w:tr>
    </w:tbl>
    <w:p w14:paraId="5E9BFE97" w14:textId="77777777" w:rsidR="00692E71" w:rsidRPr="001E3185" w:rsidRDefault="00692E71" w:rsidP="00692E71">
      <w:pPr>
        <w:rPr>
          <w:rFonts w:cs="Arial"/>
        </w:rPr>
      </w:pPr>
    </w:p>
    <w:p w14:paraId="2182D4C7" w14:textId="77777777" w:rsidR="00692E71" w:rsidRPr="001E3185" w:rsidRDefault="00692E71" w:rsidP="00692E71">
      <w:pPr>
        <w:rPr>
          <w:rFonts w:cs="Arial"/>
        </w:rPr>
      </w:pPr>
    </w:p>
    <w:p w14:paraId="33299BAD" w14:textId="77777777" w:rsidR="00692E71" w:rsidRPr="001E3185" w:rsidRDefault="00692E71" w:rsidP="00F32B7F">
      <w:pPr>
        <w:pStyle w:val="Paragraphedeliste"/>
        <w:numPr>
          <w:ilvl w:val="0"/>
          <w:numId w:val="12"/>
        </w:numPr>
        <w:suppressAutoHyphens w:val="0"/>
        <w:autoSpaceDE w:val="0"/>
        <w:autoSpaceDN w:val="0"/>
        <w:adjustRightInd w:val="0"/>
        <w:rPr>
          <w:rFonts w:cs="Arial"/>
        </w:rPr>
      </w:pPr>
      <w:r w:rsidRPr="001E3185">
        <w:rPr>
          <w:rFonts w:cs="Arial"/>
        </w:rPr>
        <w:t>PEC in soil and pore water</w:t>
      </w:r>
    </w:p>
    <w:p w14:paraId="5E461D54" w14:textId="77777777" w:rsidR="00692E71" w:rsidRPr="001E3185" w:rsidRDefault="00692E71" w:rsidP="00692E71">
      <w:pPr>
        <w:rPr>
          <w:rFonts w:cs="Arial"/>
          <w:b/>
        </w:rPr>
      </w:pPr>
    </w:p>
    <w:p w14:paraId="42E0056B"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31</w:t>
      </w:r>
      <w:r w:rsidRPr="001E3185">
        <w:rPr>
          <w:rFonts w:ascii="Verdana" w:hAnsi="Verdana"/>
        </w:rPr>
        <w:fldChar w:fldCharType="end"/>
      </w:r>
      <w:r w:rsidRPr="001E3185">
        <w:rPr>
          <w:rFonts w:ascii="Verdana" w:hAnsi="Verdana"/>
        </w:rPr>
        <w:t>: PEC in soil and pore water, industrial application, storage.</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515"/>
        <w:gridCol w:w="1361"/>
        <w:gridCol w:w="1563"/>
        <w:gridCol w:w="1527"/>
        <w:gridCol w:w="1522"/>
      </w:tblGrid>
      <w:tr w:rsidR="00692E71" w:rsidRPr="001E3185" w14:paraId="26A02B00" w14:textId="77777777" w:rsidTr="008E0250">
        <w:trPr>
          <w:trHeight w:val="20"/>
          <w:tblHeader/>
        </w:trPr>
        <w:tc>
          <w:tcPr>
            <w:tcW w:w="3515" w:type="dxa"/>
            <w:shd w:val="clear" w:color="auto" w:fill="FFFFFF" w:themeFill="background1"/>
            <w:noWrap/>
            <w:vAlign w:val="center"/>
          </w:tcPr>
          <w:p w14:paraId="273CB4E9" w14:textId="77777777" w:rsidR="00692E71" w:rsidRPr="001E3185" w:rsidRDefault="00692E71" w:rsidP="008E0250">
            <w:pPr>
              <w:rPr>
                <w:rFonts w:cs="Arial"/>
                <w:sz w:val="18"/>
                <w:szCs w:val="18"/>
                <w:lang w:eastAsia="da-DK"/>
              </w:rPr>
            </w:pPr>
          </w:p>
        </w:tc>
        <w:tc>
          <w:tcPr>
            <w:tcW w:w="1361" w:type="dxa"/>
            <w:shd w:val="clear" w:color="auto" w:fill="FFFFFF" w:themeFill="background1"/>
            <w:noWrap/>
            <w:vAlign w:val="center"/>
          </w:tcPr>
          <w:p w14:paraId="5EF51CB8"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IPBC</w:t>
            </w:r>
          </w:p>
        </w:tc>
        <w:tc>
          <w:tcPr>
            <w:tcW w:w="1507" w:type="dxa"/>
            <w:shd w:val="clear" w:color="auto" w:fill="FFFFFF" w:themeFill="background1"/>
            <w:noWrap/>
            <w:vAlign w:val="center"/>
          </w:tcPr>
          <w:p w14:paraId="7C5BA305"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Propiconazole</w:t>
            </w:r>
          </w:p>
        </w:tc>
        <w:tc>
          <w:tcPr>
            <w:tcW w:w="1474" w:type="dxa"/>
            <w:shd w:val="clear" w:color="auto" w:fill="FFFFFF" w:themeFill="background1"/>
            <w:noWrap/>
            <w:vAlign w:val="center"/>
          </w:tcPr>
          <w:p w14:paraId="6289F166"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Tebuconazole</w:t>
            </w:r>
          </w:p>
        </w:tc>
        <w:tc>
          <w:tcPr>
            <w:tcW w:w="1441" w:type="dxa"/>
            <w:shd w:val="clear" w:color="auto" w:fill="FFFFFF" w:themeFill="background1"/>
            <w:vAlign w:val="center"/>
          </w:tcPr>
          <w:p w14:paraId="60FEB630"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Cypermethrin</w:t>
            </w:r>
          </w:p>
        </w:tc>
      </w:tr>
      <w:tr w:rsidR="00692E71" w:rsidRPr="001E3185" w14:paraId="16076DA0" w14:textId="77777777" w:rsidTr="008E0250">
        <w:trPr>
          <w:trHeight w:val="20"/>
        </w:trPr>
        <w:tc>
          <w:tcPr>
            <w:tcW w:w="3515" w:type="dxa"/>
            <w:shd w:val="clear" w:color="auto" w:fill="FFFFFF" w:themeFill="background1"/>
            <w:noWrap/>
            <w:vAlign w:val="center"/>
          </w:tcPr>
          <w:p w14:paraId="699E777D" w14:textId="77777777" w:rsidR="00692E71" w:rsidRPr="001E3185" w:rsidRDefault="00692E71" w:rsidP="008E0250">
            <w:pPr>
              <w:rPr>
                <w:rFonts w:cs="Arial"/>
                <w:b/>
                <w:sz w:val="18"/>
                <w:szCs w:val="18"/>
                <w:lang w:eastAsia="da-DK"/>
              </w:rPr>
            </w:pPr>
            <w:r w:rsidRPr="001E3185">
              <w:rPr>
                <w:rFonts w:cs="Arial"/>
                <w:b/>
                <w:sz w:val="18"/>
                <w:szCs w:val="18"/>
                <w:lang w:eastAsia="da-DK"/>
              </w:rPr>
              <w:t>Dipping (soil)</w:t>
            </w:r>
          </w:p>
        </w:tc>
        <w:tc>
          <w:tcPr>
            <w:tcW w:w="1361" w:type="dxa"/>
            <w:shd w:val="clear" w:color="auto" w:fill="FFFFFF" w:themeFill="background1"/>
            <w:noWrap/>
            <w:vAlign w:val="center"/>
          </w:tcPr>
          <w:p w14:paraId="7F5AE41A" w14:textId="77777777" w:rsidR="00692E71" w:rsidRPr="001E3185" w:rsidRDefault="00692E71" w:rsidP="008E0250">
            <w:pPr>
              <w:jc w:val="center"/>
              <w:rPr>
                <w:rFonts w:cs="Arial"/>
                <w:sz w:val="18"/>
                <w:szCs w:val="18"/>
                <w:lang w:eastAsia="da-DK"/>
              </w:rPr>
            </w:pPr>
          </w:p>
        </w:tc>
        <w:tc>
          <w:tcPr>
            <w:tcW w:w="1507" w:type="dxa"/>
            <w:shd w:val="clear" w:color="auto" w:fill="FFFFFF" w:themeFill="background1"/>
            <w:noWrap/>
            <w:vAlign w:val="center"/>
          </w:tcPr>
          <w:p w14:paraId="5CEDB6A6" w14:textId="77777777" w:rsidR="00692E71" w:rsidRPr="001E3185" w:rsidRDefault="00692E71" w:rsidP="008E0250">
            <w:pPr>
              <w:jc w:val="center"/>
              <w:rPr>
                <w:rFonts w:cs="Arial"/>
                <w:sz w:val="18"/>
                <w:szCs w:val="18"/>
                <w:lang w:eastAsia="da-DK"/>
              </w:rPr>
            </w:pPr>
          </w:p>
        </w:tc>
        <w:tc>
          <w:tcPr>
            <w:tcW w:w="1474" w:type="dxa"/>
            <w:shd w:val="clear" w:color="auto" w:fill="FFFFFF" w:themeFill="background1"/>
            <w:noWrap/>
            <w:vAlign w:val="center"/>
          </w:tcPr>
          <w:p w14:paraId="2684EC3A" w14:textId="77777777" w:rsidR="00692E71" w:rsidRPr="001E3185" w:rsidRDefault="00692E71" w:rsidP="008E0250">
            <w:pPr>
              <w:jc w:val="center"/>
              <w:rPr>
                <w:rFonts w:cs="Arial"/>
                <w:sz w:val="18"/>
                <w:szCs w:val="18"/>
                <w:lang w:eastAsia="da-DK"/>
              </w:rPr>
            </w:pPr>
          </w:p>
        </w:tc>
        <w:tc>
          <w:tcPr>
            <w:tcW w:w="1441" w:type="dxa"/>
            <w:shd w:val="clear" w:color="auto" w:fill="FFFFFF" w:themeFill="background1"/>
            <w:vAlign w:val="center"/>
          </w:tcPr>
          <w:p w14:paraId="54673274" w14:textId="77777777" w:rsidR="00692E71" w:rsidRPr="001E3185" w:rsidRDefault="00692E71" w:rsidP="008E0250">
            <w:pPr>
              <w:jc w:val="center"/>
              <w:rPr>
                <w:rFonts w:cs="Arial"/>
                <w:sz w:val="18"/>
                <w:szCs w:val="18"/>
                <w:lang w:eastAsia="da-DK"/>
              </w:rPr>
            </w:pPr>
          </w:p>
        </w:tc>
      </w:tr>
      <w:tr w:rsidR="00692E71" w:rsidRPr="001E3185" w14:paraId="5F137D83" w14:textId="77777777" w:rsidTr="008E0250">
        <w:trPr>
          <w:trHeight w:val="20"/>
        </w:trPr>
        <w:tc>
          <w:tcPr>
            <w:tcW w:w="3515" w:type="dxa"/>
            <w:shd w:val="clear" w:color="auto" w:fill="FFFFFF" w:themeFill="background1"/>
            <w:noWrap/>
            <w:vAlign w:val="center"/>
          </w:tcPr>
          <w:p w14:paraId="360552AA" w14:textId="77777777" w:rsidR="00692E71" w:rsidRPr="001E3185" w:rsidRDefault="00692E71" w:rsidP="008E0250">
            <w:pPr>
              <w:rPr>
                <w:rFonts w:cs="Arial"/>
                <w:sz w:val="18"/>
                <w:szCs w:val="18"/>
                <w:lang w:eastAsia="da-DK"/>
              </w:rPr>
            </w:pPr>
            <w:r w:rsidRPr="001E3185">
              <w:rPr>
                <w:rFonts w:cs="Arial"/>
                <w:sz w:val="18"/>
                <w:szCs w:val="18"/>
              </w:rPr>
              <w:t>PEC in soil at storage place at the end of the initial assessment period [mg.kg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05411ECD" w14:textId="77777777" w:rsidR="00692E71" w:rsidRPr="001E3185" w:rsidRDefault="00692E71" w:rsidP="008E0250">
            <w:pPr>
              <w:jc w:val="center"/>
              <w:rPr>
                <w:rFonts w:cs="Arial"/>
                <w:sz w:val="18"/>
                <w:szCs w:val="18"/>
                <w:lang w:eastAsia="da-DK"/>
              </w:rPr>
            </w:pPr>
            <w:r w:rsidRPr="001E3185">
              <w:rPr>
                <w:rFonts w:cs="Arial"/>
                <w:sz w:val="18"/>
                <w:szCs w:val="18"/>
              </w:rPr>
              <w:t>0.03</w:t>
            </w:r>
          </w:p>
        </w:tc>
        <w:tc>
          <w:tcPr>
            <w:tcW w:w="1507" w:type="dxa"/>
            <w:shd w:val="clear" w:color="auto" w:fill="FFFFFF" w:themeFill="background1"/>
            <w:noWrap/>
            <w:vAlign w:val="center"/>
          </w:tcPr>
          <w:p w14:paraId="2E474630" w14:textId="77777777" w:rsidR="00692E71" w:rsidRPr="001E3185" w:rsidRDefault="00692E71" w:rsidP="008E0250">
            <w:pPr>
              <w:jc w:val="center"/>
              <w:rPr>
                <w:rFonts w:cs="Arial"/>
                <w:sz w:val="18"/>
                <w:szCs w:val="18"/>
              </w:rPr>
            </w:pPr>
            <w:r w:rsidRPr="001E3185">
              <w:rPr>
                <w:rFonts w:cs="Arial"/>
                <w:sz w:val="18"/>
                <w:szCs w:val="18"/>
              </w:rPr>
              <w:t>0.13</w:t>
            </w:r>
          </w:p>
        </w:tc>
        <w:tc>
          <w:tcPr>
            <w:tcW w:w="1474" w:type="dxa"/>
            <w:shd w:val="clear" w:color="auto" w:fill="FFFFFF" w:themeFill="background1"/>
            <w:noWrap/>
            <w:vAlign w:val="center"/>
          </w:tcPr>
          <w:p w14:paraId="7F5C5D40" w14:textId="77777777" w:rsidR="00692E71" w:rsidRPr="001E3185" w:rsidRDefault="00692E71" w:rsidP="008E0250">
            <w:pPr>
              <w:jc w:val="center"/>
              <w:rPr>
                <w:rFonts w:cs="Arial"/>
                <w:sz w:val="18"/>
                <w:szCs w:val="18"/>
              </w:rPr>
            </w:pPr>
            <w:r w:rsidRPr="001E3185">
              <w:rPr>
                <w:rFonts w:cs="Arial"/>
                <w:sz w:val="18"/>
                <w:szCs w:val="18"/>
              </w:rPr>
              <w:t>0.06</w:t>
            </w:r>
          </w:p>
        </w:tc>
        <w:tc>
          <w:tcPr>
            <w:tcW w:w="1441" w:type="dxa"/>
            <w:shd w:val="clear" w:color="auto" w:fill="FFFFFF" w:themeFill="background1"/>
            <w:vAlign w:val="center"/>
          </w:tcPr>
          <w:p w14:paraId="15725AD6" w14:textId="77777777" w:rsidR="00692E71" w:rsidRPr="001E3185" w:rsidRDefault="00692E71" w:rsidP="008E0250">
            <w:pPr>
              <w:jc w:val="center"/>
              <w:rPr>
                <w:rFonts w:cs="Arial"/>
                <w:sz w:val="18"/>
                <w:szCs w:val="18"/>
              </w:rPr>
            </w:pPr>
            <w:r w:rsidRPr="001E3185">
              <w:rPr>
                <w:rFonts w:cs="Arial"/>
                <w:sz w:val="18"/>
                <w:szCs w:val="18"/>
              </w:rPr>
              <w:t>3.7*10</w:t>
            </w:r>
            <w:r w:rsidRPr="001E3185">
              <w:rPr>
                <w:rFonts w:cs="Arial"/>
                <w:sz w:val="18"/>
                <w:szCs w:val="18"/>
                <w:vertAlign w:val="superscript"/>
              </w:rPr>
              <w:t>-4</w:t>
            </w:r>
          </w:p>
        </w:tc>
      </w:tr>
      <w:tr w:rsidR="00692E71" w:rsidRPr="001E3185" w14:paraId="5D77FA8A" w14:textId="77777777" w:rsidTr="008E0250">
        <w:trPr>
          <w:trHeight w:val="20"/>
        </w:trPr>
        <w:tc>
          <w:tcPr>
            <w:tcW w:w="3515" w:type="dxa"/>
            <w:shd w:val="clear" w:color="auto" w:fill="FFFFFF" w:themeFill="background1"/>
            <w:noWrap/>
            <w:vAlign w:val="center"/>
          </w:tcPr>
          <w:p w14:paraId="09C2E628" w14:textId="77777777" w:rsidR="00692E71" w:rsidRPr="001E3185" w:rsidRDefault="00692E71" w:rsidP="008E0250">
            <w:pPr>
              <w:rPr>
                <w:rFonts w:cs="Arial"/>
                <w:sz w:val="18"/>
                <w:szCs w:val="18"/>
              </w:rPr>
            </w:pPr>
            <w:r w:rsidRPr="001E3185">
              <w:rPr>
                <w:rFonts w:cs="Arial"/>
                <w:sz w:val="18"/>
                <w:szCs w:val="18"/>
              </w:rPr>
              <w:t xml:space="preserve">PEC in soil at storage place at the end of a longer assessment period </w:t>
            </w:r>
          </w:p>
          <w:p w14:paraId="15043EA9" w14:textId="77777777" w:rsidR="00692E71" w:rsidRPr="001E3185" w:rsidRDefault="00692E71" w:rsidP="008E0250">
            <w:pPr>
              <w:rPr>
                <w:rFonts w:cs="Arial"/>
                <w:sz w:val="18"/>
                <w:szCs w:val="18"/>
                <w:lang w:eastAsia="da-DK"/>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5EE4A0BA" w14:textId="77777777" w:rsidR="00692E71" w:rsidRPr="001E3185" w:rsidRDefault="00692E71" w:rsidP="008E0250">
            <w:pPr>
              <w:jc w:val="center"/>
              <w:rPr>
                <w:rFonts w:cs="Arial"/>
                <w:sz w:val="18"/>
                <w:szCs w:val="18"/>
                <w:lang w:eastAsia="da-DK"/>
              </w:rPr>
            </w:pPr>
            <w:r w:rsidRPr="001E3185">
              <w:rPr>
                <w:rFonts w:cs="Arial"/>
                <w:sz w:val="18"/>
                <w:szCs w:val="18"/>
              </w:rPr>
              <w:t>5.95</w:t>
            </w:r>
          </w:p>
        </w:tc>
        <w:tc>
          <w:tcPr>
            <w:tcW w:w="1507" w:type="dxa"/>
            <w:shd w:val="clear" w:color="auto" w:fill="FFFFFF" w:themeFill="background1"/>
            <w:noWrap/>
            <w:vAlign w:val="center"/>
          </w:tcPr>
          <w:p w14:paraId="03F6D66B" w14:textId="77777777" w:rsidR="00692E71" w:rsidRPr="001E3185" w:rsidRDefault="00692E71" w:rsidP="008E0250">
            <w:pPr>
              <w:jc w:val="center"/>
              <w:rPr>
                <w:rFonts w:cs="Arial"/>
                <w:sz w:val="18"/>
                <w:szCs w:val="18"/>
              </w:rPr>
            </w:pPr>
            <w:r w:rsidRPr="001E3185">
              <w:rPr>
                <w:rFonts w:cs="Arial"/>
                <w:sz w:val="18"/>
                <w:szCs w:val="18"/>
              </w:rPr>
              <w:t>24.13</w:t>
            </w:r>
          </w:p>
        </w:tc>
        <w:tc>
          <w:tcPr>
            <w:tcW w:w="1474" w:type="dxa"/>
            <w:shd w:val="clear" w:color="auto" w:fill="FFFFFF" w:themeFill="background1"/>
            <w:noWrap/>
            <w:vAlign w:val="center"/>
          </w:tcPr>
          <w:p w14:paraId="2F8C67FE" w14:textId="77777777" w:rsidR="00692E71" w:rsidRPr="001E3185" w:rsidRDefault="00692E71" w:rsidP="008E0250">
            <w:pPr>
              <w:jc w:val="center"/>
              <w:rPr>
                <w:rFonts w:cs="Arial"/>
                <w:sz w:val="18"/>
                <w:szCs w:val="18"/>
              </w:rPr>
            </w:pPr>
            <w:r w:rsidRPr="001E3185">
              <w:rPr>
                <w:rFonts w:cs="Arial"/>
                <w:sz w:val="18"/>
                <w:szCs w:val="18"/>
              </w:rPr>
              <w:t>10.58</w:t>
            </w:r>
          </w:p>
        </w:tc>
        <w:tc>
          <w:tcPr>
            <w:tcW w:w="1441" w:type="dxa"/>
            <w:shd w:val="clear" w:color="auto" w:fill="FFFFFF" w:themeFill="background1"/>
            <w:vAlign w:val="center"/>
          </w:tcPr>
          <w:p w14:paraId="387E39B1" w14:textId="77777777" w:rsidR="00692E71" w:rsidRPr="001E3185" w:rsidRDefault="00692E71" w:rsidP="008E0250">
            <w:pPr>
              <w:jc w:val="center"/>
              <w:rPr>
                <w:rFonts w:cs="Arial"/>
                <w:sz w:val="18"/>
                <w:szCs w:val="18"/>
              </w:rPr>
            </w:pPr>
            <w:r w:rsidRPr="001E3185">
              <w:rPr>
                <w:rFonts w:cs="Arial"/>
                <w:sz w:val="18"/>
                <w:szCs w:val="18"/>
              </w:rPr>
              <w:t>0.07</w:t>
            </w:r>
          </w:p>
        </w:tc>
      </w:tr>
      <w:tr w:rsidR="00692E71" w:rsidRPr="001E3185" w14:paraId="49EE4BD2" w14:textId="77777777" w:rsidTr="008E0250">
        <w:trPr>
          <w:trHeight w:val="20"/>
        </w:trPr>
        <w:tc>
          <w:tcPr>
            <w:tcW w:w="3515" w:type="dxa"/>
            <w:shd w:val="clear" w:color="auto" w:fill="FFFFFF" w:themeFill="background1"/>
            <w:noWrap/>
            <w:vAlign w:val="center"/>
          </w:tcPr>
          <w:p w14:paraId="5ED365A9" w14:textId="77777777" w:rsidR="00692E71" w:rsidRPr="001E3185" w:rsidRDefault="00692E71" w:rsidP="008E0250">
            <w:pPr>
              <w:rPr>
                <w:rFonts w:cs="Arial"/>
                <w:sz w:val="18"/>
                <w:szCs w:val="18"/>
              </w:rPr>
            </w:pPr>
          </w:p>
        </w:tc>
        <w:tc>
          <w:tcPr>
            <w:tcW w:w="1361" w:type="dxa"/>
            <w:shd w:val="clear" w:color="auto" w:fill="FFFFFF" w:themeFill="background1"/>
            <w:noWrap/>
            <w:vAlign w:val="center"/>
          </w:tcPr>
          <w:p w14:paraId="6EEFE2F4" w14:textId="77777777" w:rsidR="00692E71" w:rsidRPr="001E3185" w:rsidRDefault="00692E71" w:rsidP="008E0250">
            <w:pPr>
              <w:jc w:val="center"/>
              <w:rPr>
                <w:rFonts w:cs="Arial"/>
                <w:sz w:val="18"/>
                <w:szCs w:val="18"/>
                <w:highlight w:val="yellow"/>
              </w:rPr>
            </w:pPr>
          </w:p>
        </w:tc>
        <w:tc>
          <w:tcPr>
            <w:tcW w:w="1507" w:type="dxa"/>
            <w:shd w:val="clear" w:color="auto" w:fill="FFFFFF" w:themeFill="background1"/>
            <w:noWrap/>
            <w:vAlign w:val="center"/>
          </w:tcPr>
          <w:p w14:paraId="03E28D53" w14:textId="77777777" w:rsidR="00692E71" w:rsidRPr="001E3185" w:rsidRDefault="00692E71" w:rsidP="008E0250">
            <w:pPr>
              <w:jc w:val="center"/>
              <w:rPr>
                <w:rFonts w:cs="Arial"/>
                <w:sz w:val="18"/>
                <w:szCs w:val="18"/>
                <w:highlight w:val="yellow"/>
              </w:rPr>
            </w:pPr>
          </w:p>
        </w:tc>
        <w:tc>
          <w:tcPr>
            <w:tcW w:w="1474" w:type="dxa"/>
            <w:shd w:val="clear" w:color="auto" w:fill="FFFFFF" w:themeFill="background1"/>
            <w:noWrap/>
            <w:vAlign w:val="center"/>
          </w:tcPr>
          <w:p w14:paraId="2554652C" w14:textId="77777777" w:rsidR="00692E71" w:rsidRPr="001E3185" w:rsidRDefault="00692E71" w:rsidP="008E0250">
            <w:pPr>
              <w:jc w:val="center"/>
              <w:rPr>
                <w:rFonts w:cs="Arial"/>
                <w:sz w:val="18"/>
                <w:szCs w:val="18"/>
                <w:highlight w:val="yellow"/>
              </w:rPr>
            </w:pPr>
          </w:p>
        </w:tc>
        <w:tc>
          <w:tcPr>
            <w:tcW w:w="1441" w:type="dxa"/>
            <w:shd w:val="clear" w:color="auto" w:fill="FFFFFF" w:themeFill="background1"/>
            <w:vAlign w:val="center"/>
          </w:tcPr>
          <w:p w14:paraId="31BA0F6B" w14:textId="77777777" w:rsidR="00692E71" w:rsidRPr="001E3185" w:rsidRDefault="00692E71" w:rsidP="008E0250">
            <w:pPr>
              <w:jc w:val="center"/>
              <w:rPr>
                <w:rFonts w:cs="Arial"/>
                <w:sz w:val="18"/>
                <w:szCs w:val="18"/>
                <w:highlight w:val="yellow"/>
              </w:rPr>
            </w:pPr>
          </w:p>
        </w:tc>
      </w:tr>
      <w:tr w:rsidR="00692E71" w:rsidRPr="001E3185" w14:paraId="229B1281" w14:textId="77777777" w:rsidTr="008E0250">
        <w:trPr>
          <w:trHeight w:val="20"/>
        </w:trPr>
        <w:tc>
          <w:tcPr>
            <w:tcW w:w="3515" w:type="dxa"/>
            <w:shd w:val="clear" w:color="auto" w:fill="FFFFFF" w:themeFill="background1"/>
            <w:noWrap/>
            <w:vAlign w:val="center"/>
          </w:tcPr>
          <w:p w14:paraId="55DF89DC" w14:textId="77777777" w:rsidR="00692E71" w:rsidRPr="001E3185" w:rsidRDefault="00692E71" w:rsidP="008E0250">
            <w:pPr>
              <w:rPr>
                <w:rFonts w:cs="Arial"/>
                <w:sz w:val="18"/>
                <w:szCs w:val="18"/>
              </w:rPr>
            </w:pPr>
            <w:r w:rsidRPr="001E3185">
              <w:rPr>
                <w:rFonts w:cs="Arial"/>
                <w:sz w:val="18"/>
                <w:szCs w:val="18"/>
              </w:rPr>
              <w:t>PEC in soil at storage place at the end of the initial assessment period with removal [mg.kg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7BB89D34" w14:textId="77777777" w:rsidR="00692E71" w:rsidRPr="001E3185" w:rsidRDefault="00692E71" w:rsidP="008E0250">
            <w:pPr>
              <w:jc w:val="center"/>
              <w:rPr>
                <w:rFonts w:cs="Arial"/>
                <w:sz w:val="18"/>
                <w:szCs w:val="18"/>
              </w:rPr>
            </w:pPr>
            <w:r w:rsidRPr="001E3185">
              <w:rPr>
                <w:rFonts w:cs="Arial"/>
                <w:sz w:val="18"/>
                <w:szCs w:val="18"/>
              </w:rPr>
              <w:t>3.2*10</w:t>
            </w:r>
            <w:r w:rsidRPr="001E3185">
              <w:rPr>
                <w:rFonts w:cs="Arial"/>
                <w:sz w:val="18"/>
                <w:szCs w:val="18"/>
                <w:vertAlign w:val="superscript"/>
              </w:rPr>
              <w:t>-5</w:t>
            </w:r>
          </w:p>
        </w:tc>
        <w:tc>
          <w:tcPr>
            <w:tcW w:w="1507" w:type="dxa"/>
            <w:shd w:val="clear" w:color="auto" w:fill="FFFFFF" w:themeFill="background1"/>
            <w:noWrap/>
            <w:vAlign w:val="center"/>
          </w:tcPr>
          <w:p w14:paraId="7473BD63" w14:textId="77777777" w:rsidR="00692E71" w:rsidRPr="001E3185" w:rsidRDefault="00692E71" w:rsidP="008E0250">
            <w:pPr>
              <w:jc w:val="center"/>
              <w:rPr>
                <w:rFonts w:cs="Arial"/>
                <w:sz w:val="18"/>
                <w:szCs w:val="18"/>
              </w:rPr>
            </w:pPr>
            <w:r w:rsidRPr="001E3185">
              <w:rPr>
                <w:rFonts w:cs="Arial"/>
                <w:sz w:val="18"/>
                <w:szCs w:val="18"/>
              </w:rPr>
              <w:t>0.12</w:t>
            </w:r>
          </w:p>
        </w:tc>
        <w:tc>
          <w:tcPr>
            <w:tcW w:w="1474" w:type="dxa"/>
            <w:shd w:val="clear" w:color="auto" w:fill="FFFFFF" w:themeFill="background1"/>
            <w:noWrap/>
            <w:vAlign w:val="center"/>
          </w:tcPr>
          <w:p w14:paraId="17357594" w14:textId="77777777" w:rsidR="00692E71" w:rsidRPr="001E3185" w:rsidRDefault="00692E71" w:rsidP="008E0250">
            <w:pPr>
              <w:jc w:val="center"/>
              <w:rPr>
                <w:rFonts w:cs="Arial"/>
                <w:sz w:val="18"/>
                <w:szCs w:val="18"/>
              </w:rPr>
            </w:pPr>
            <w:r w:rsidRPr="001E3185">
              <w:rPr>
                <w:rFonts w:cs="Arial"/>
                <w:sz w:val="18"/>
                <w:szCs w:val="18"/>
              </w:rPr>
              <w:t>0.05</w:t>
            </w:r>
          </w:p>
        </w:tc>
        <w:tc>
          <w:tcPr>
            <w:tcW w:w="1441" w:type="dxa"/>
            <w:shd w:val="clear" w:color="auto" w:fill="FFFFFF" w:themeFill="background1"/>
            <w:vAlign w:val="center"/>
          </w:tcPr>
          <w:p w14:paraId="78EC76EB" w14:textId="77777777" w:rsidR="00692E71" w:rsidRPr="001E3185" w:rsidRDefault="00692E71" w:rsidP="008E0250">
            <w:pPr>
              <w:jc w:val="center"/>
              <w:rPr>
                <w:rFonts w:cs="Arial"/>
                <w:sz w:val="18"/>
                <w:szCs w:val="18"/>
              </w:rPr>
            </w:pPr>
            <w:r w:rsidRPr="001E3185">
              <w:rPr>
                <w:rFonts w:cs="Arial"/>
                <w:sz w:val="18"/>
                <w:szCs w:val="18"/>
              </w:rPr>
              <w:t>2.1*10</w:t>
            </w:r>
            <w:r w:rsidRPr="001E3185">
              <w:rPr>
                <w:rFonts w:cs="Arial"/>
                <w:sz w:val="18"/>
                <w:szCs w:val="18"/>
                <w:vertAlign w:val="superscript"/>
              </w:rPr>
              <w:t>-4</w:t>
            </w:r>
          </w:p>
        </w:tc>
      </w:tr>
      <w:tr w:rsidR="00692E71" w:rsidRPr="001E3185" w14:paraId="42585315" w14:textId="77777777" w:rsidTr="008E0250">
        <w:trPr>
          <w:trHeight w:val="20"/>
        </w:trPr>
        <w:tc>
          <w:tcPr>
            <w:tcW w:w="3515" w:type="dxa"/>
            <w:shd w:val="clear" w:color="auto" w:fill="FFFFFF" w:themeFill="background1"/>
            <w:noWrap/>
            <w:vAlign w:val="center"/>
          </w:tcPr>
          <w:p w14:paraId="32219F87" w14:textId="77777777" w:rsidR="00692E71" w:rsidRPr="001E3185" w:rsidRDefault="00692E71" w:rsidP="008E0250">
            <w:pPr>
              <w:rPr>
                <w:rFonts w:cs="Arial"/>
                <w:sz w:val="18"/>
                <w:szCs w:val="18"/>
              </w:rPr>
            </w:pPr>
            <w:r w:rsidRPr="001E3185">
              <w:rPr>
                <w:rFonts w:cs="Arial"/>
                <w:sz w:val="18"/>
                <w:szCs w:val="18"/>
              </w:rPr>
              <w:t>PEC in soil at storage place at the end of a longer assessment period with removal [mg.kg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4EF1CE84" w14:textId="77777777" w:rsidR="00692E71" w:rsidRPr="001E3185" w:rsidRDefault="00692E71" w:rsidP="008E0250">
            <w:pPr>
              <w:jc w:val="center"/>
              <w:rPr>
                <w:rFonts w:cs="Arial"/>
                <w:sz w:val="18"/>
                <w:szCs w:val="18"/>
              </w:rPr>
            </w:pPr>
            <w:r w:rsidRPr="001E3185">
              <w:rPr>
                <w:rFonts w:cs="Arial"/>
                <w:sz w:val="18"/>
                <w:szCs w:val="18"/>
              </w:rPr>
              <w:t>3.3*10</w:t>
            </w:r>
            <w:r w:rsidRPr="001E3185">
              <w:rPr>
                <w:rFonts w:cs="Arial"/>
                <w:sz w:val="18"/>
                <w:szCs w:val="18"/>
                <w:vertAlign w:val="superscript"/>
              </w:rPr>
              <w:t>-5</w:t>
            </w:r>
          </w:p>
        </w:tc>
        <w:tc>
          <w:tcPr>
            <w:tcW w:w="1507" w:type="dxa"/>
            <w:shd w:val="clear" w:color="auto" w:fill="FFFFFF" w:themeFill="background1"/>
            <w:noWrap/>
            <w:vAlign w:val="center"/>
          </w:tcPr>
          <w:p w14:paraId="2D8C7AF1" w14:textId="77777777" w:rsidR="00692E71" w:rsidRPr="001E3185" w:rsidRDefault="00692E71" w:rsidP="008E0250">
            <w:pPr>
              <w:jc w:val="center"/>
              <w:rPr>
                <w:rFonts w:cs="Arial"/>
                <w:sz w:val="18"/>
                <w:szCs w:val="18"/>
              </w:rPr>
            </w:pPr>
            <w:r w:rsidRPr="001E3185">
              <w:rPr>
                <w:rFonts w:cs="Arial"/>
                <w:sz w:val="18"/>
                <w:szCs w:val="18"/>
              </w:rPr>
              <w:t>0.82</w:t>
            </w:r>
          </w:p>
        </w:tc>
        <w:tc>
          <w:tcPr>
            <w:tcW w:w="1474" w:type="dxa"/>
            <w:shd w:val="clear" w:color="auto" w:fill="FFFFFF" w:themeFill="background1"/>
            <w:noWrap/>
            <w:vAlign w:val="center"/>
          </w:tcPr>
          <w:p w14:paraId="015532FE" w14:textId="77777777" w:rsidR="00692E71" w:rsidRPr="001E3185" w:rsidRDefault="00692E71" w:rsidP="008E0250">
            <w:pPr>
              <w:jc w:val="center"/>
              <w:rPr>
                <w:rFonts w:cs="Arial"/>
                <w:sz w:val="18"/>
                <w:szCs w:val="18"/>
              </w:rPr>
            </w:pPr>
            <w:r w:rsidRPr="001E3185">
              <w:rPr>
                <w:rFonts w:cs="Arial"/>
                <w:sz w:val="18"/>
                <w:szCs w:val="18"/>
              </w:rPr>
              <w:t>0.21</w:t>
            </w:r>
          </w:p>
        </w:tc>
        <w:tc>
          <w:tcPr>
            <w:tcW w:w="1441" w:type="dxa"/>
            <w:shd w:val="clear" w:color="auto" w:fill="FFFFFF" w:themeFill="background1"/>
            <w:vAlign w:val="center"/>
          </w:tcPr>
          <w:p w14:paraId="3C91D9AB" w14:textId="77777777" w:rsidR="00692E71" w:rsidRPr="001E3185" w:rsidRDefault="00692E71" w:rsidP="008E0250">
            <w:pPr>
              <w:jc w:val="center"/>
              <w:rPr>
                <w:rFonts w:cs="Arial"/>
                <w:sz w:val="18"/>
                <w:szCs w:val="18"/>
              </w:rPr>
            </w:pPr>
            <w:r w:rsidRPr="001E3185">
              <w:rPr>
                <w:rFonts w:cs="Arial"/>
                <w:sz w:val="18"/>
                <w:szCs w:val="18"/>
              </w:rPr>
              <w:t>3.0*10</w:t>
            </w:r>
            <w:r w:rsidRPr="001E3185">
              <w:rPr>
                <w:rFonts w:cs="Arial"/>
                <w:sz w:val="18"/>
                <w:szCs w:val="18"/>
                <w:vertAlign w:val="superscript"/>
              </w:rPr>
              <w:t>-4</w:t>
            </w:r>
          </w:p>
        </w:tc>
      </w:tr>
      <w:tr w:rsidR="00692E71" w:rsidRPr="001E3185" w14:paraId="2AFBE374" w14:textId="77777777" w:rsidTr="008E0250">
        <w:trPr>
          <w:trHeight w:val="20"/>
        </w:trPr>
        <w:tc>
          <w:tcPr>
            <w:tcW w:w="3515" w:type="dxa"/>
            <w:shd w:val="clear" w:color="auto" w:fill="FFFFFF" w:themeFill="background1"/>
            <w:noWrap/>
            <w:vAlign w:val="center"/>
          </w:tcPr>
          <w:p w14:paraId="51782964" w14:textId="77777777" w:rsidR="00692E71" w:rsidRPr="001E3185" w:rsidRDefault="00692E71" w:rsidP="008E0250">
            <w:pPr>
              <w:rPr>
                <w:rFonts w:cs="Arial"/>
                <w:sz w:val="18"/>
                <w:szCs w:val="18"/>
                <w:lang w:eastAsia="da-DK"/>
              </w:rPr>
            </w:pPr>
            <w:r w:rsidRPr="001E3185">
              <w:rPr>
                <w:rFonts w:cs="Arial"/>
                <w:b/>
                <w:sz w:val="18"/>
                <w:szCs w:val="18"/>
                <w:lang w:eastAsia="da-DK"/>
              </w:rPr>
              <w:t>Dipping (pore water)</w:t>
            </w:r>
          </w:p>
        </w:tc>
        <w:tc>
          <w:tcPr>
            <w:tcW w:w="1361" w:type="dxa"/>
            <w:shd w:val="clear" w:color="auto" w:fill="FFFFFF" w:themeFill="background1"/>
            <w:noWrap/>
            <w:vAlign w:val="center"/>
          </w:tcPr>
          <w:p w14:paraId="09D8B63A" w14:textId="77777777" w:rsidR="00692E71" w:rsidRPr="001E3185" w:rsidRDefault="00692E71" w:rsidP="008E0250">
            <w:pPr>
              <w:jc w:val="center"/>
              <w:rPr>
                <w:rFonts w:cs="Arial"/>
                <w:sz w:val="18"/>
                <w:szCs w:val="18"/>
                <w:highlight w:val="lightGray"/>
                <w:lang w:eastAsia="da-DK"/>
              </w:rPr>
            </w:pPr>
          </w:p>
        </w:tc>
        <w:tc>
          <w:tcPr>
            <w:tcW w:w="1507" w:type="dxa"/>
            <w:shd w:val="clear" w:color="auto" w:fill="FFFFFF" w:themeFill="background1"/>
            <w:noWrap/>
            <w:vAlign w:val="center"/>
          </w:tcPr>
          <w:p w14:paraId="59D37AD4" w14:textId="77777777" w:rsidR="00692E71" w:rsidRPr="001E3185" w:rsidRDefault="00692E71" w:rsidP="008E0250">
            <w:pPr>
              <w:jc w:val="center"/>
              <w:rPr>
                <w:rFonts w:cs="Arial"/>
                <w:sz w:val="18"/>
                <w:szCs w:val="18"/>
                <w:highlight w:val="lightGray"/>
              </w:rPr>
            </w:pPr>
          </w:p>
        </w:tc>
        <w:tc>
          <w:tcPr>
            <w:tcW w:w="1474" w:type="dxa"/>
            <w:shd w:val="clear" w:color="auto" w:fill="FFFFFF" w:themeFill="background1"/>
            <w:noWrap/>
            <w:vAlign w:val="center"/>
          </w:tcPr>
          <w:p w14:paraId="211BF3DB" w14:textId="77777777" w:rsidR="00692E71" w:rsidRPr="001E3185" w:rsidRDefault="00692E71" w:rsidP="008E0250">
            <w:pPr>
              <w:jc w:val="center"/>
              <w:rPr>
                <w:rFonts w:cs="Arial"/>
                <w:sz w:val="18"/>
                <w:szCs w:val="18"/>
                <w:highlight w:val="lightGray"/>
              </w:rPr>
            </w:pPr>
          </w:p>
        </w:tc>
        <w:tc>
          <w:tcPr>
            <w:tcW w:w="1441" w:type="dxa"/>
            <w:shd w:val="clear" w:color="auto" w:fill="FFFFFF" w:themeFill="background1"/>
            <w:vAlign w:val="center"/>
          </w:tcPr>
          <w:p w14:paraId="4866CE0F" w14:textId="77777777" w:rsidR="00692E71" w:rsidRPr="001E3185" w:rsidRDefault="00692E71" w:rsidP="008E0250">
            <w:pPr>
              <w:jc w:val="center"/>
              <w:rPr>
                <w:rFonts w:cs="Arial"/>
                <w:sz w:val="18"/>
                <w:szCs w:val="18"/>
                <w:highlight w:val="lightGray"/>
              </w:rPr>
            </w:pPr>
          </w:p>
        </w:tc>
      </w:tr>
      <w:tr w:rsidR="00692E71" w:rsidRPr="001E3185" w14:paraId="658816AE" w14:textId="77777777" w:rsidTr="008E0250">
        <w:trPr>
          <w:trHeight w:val="20"/>
        </w:trPr>
        <w:tc>
          <w:tcPr>
            <w:tcW w:w="3515" w:type="dxa"/>
            <w:shd w:val="clear" w:color="auto" w:fill="FFFFFF" w:themeFill="background1"/>
            <w:noWrap/>
            <w:vAlign w:val="center"/>
          </w:tcPr>
          <w:p w14:paraId="1C518FFE" w14:textId="77777777" w:rsidR="00692E71" w:rsidRPr="001E3185" w:rsidRDefault="00692E71" w:rsidP="008E0250">
            <w:pPr>
              <w:rPr>
                <w:rFonts w:cs="Arial"/>
                <w:sz w:val="18"/>
                <w:szCs w:val="18"/>
                <w:lang w:eastAsia="da-DK"/>
              </w:rPr>
            </w:pPr>
            <w:r w:rsidRPr="001E3185">
              <w:rPr>
                <w:rFonts w:cs="Arial"/>
                <w:sz w:val="18"/>
                <w:szCs w:val="18"/>
                <w:lang w:eastAsia="da-DK"/>
              </w:rPr>
              <w:t xml:space="preserve">PEC local with removal Time 1 (30 days) </w:t>
            </w:r>
            <w:r w:rsidRPr="001E3185">
              <w:rPr>
                <w:rFonts w:cs="Arial"/>
                <w:sz w:val="18"/>
                <w:szCs w:val="18"/>
              </w:rPr>
              <w:t>[µg/L]</w:t>
            </w:r>
          </w:p>
        </w:tc>
        <w:tc>
          <w:tcPr>
            <w:tcW w:w="1361" w:type="dxa"/>
            <w:shd w:val="clear" w:color="auto" w:fill="FFFFFF" w:themeFill="background1"/>
            <w:noWrap/>
            <w:vAlign w:val="center"/>
          </w:tcPr>
          <w:p w14:paraId="000DB541" w14:textId="77777777" w:rsidR="00692E71" w:rsidRPr="001E3185" w:rsidRDefault="00692E71" w:rsidP="008E0250">
            <w:pPr>
              <w:jc w:val="center"/>
              <w:rPr>
                <w:rFonts w:cs="Arial"/>
                <w:sz w:val="18"/>
                <w:szCs w:val="18"/>
                <w:highlight w:val="lightGray"/>
                <w:lang w:eastAsia="da-DK"/>
              </w:rPr>
            </w:pPr>
            <w:r w:rsidRPr="001E3185">
              <w:rPr>
                <w:rFonts w:cs="Arial"/>
                <w:sz w:val="18"/>
                <w:szCs w:val="18"/>
              </w:rPr>
              <w:t>0.01</w:t>
            </w:r>
          </w:p>
        </w:tc>
        <w:tc>
          <w:tcPr>
            <w:tcW w:w="1507" w:type="dxa"/>
            <w:shd w:val="clear" w:color="auto" w:fill="FFFFFF" w:themeFill="background1"/>
            <w:noWrap/>
            <w:vAlign w:val="center"/>
          </w:tcPr>
          <w:p w14:paraId="28EF3803" w14:textId="77777777" w:rsidR="00692E71" w:rsidRPr="001E3185" w:rsidRDefault="00692E71" w:rsidP="008E0250">
            <w:pPr>
              <w:jc w:val="center"/>
              <w:rPr>
                <w:rFonts w:cs="Arial"/>
                <w:sz w:val="18"/>
                <w:szCs w:val="18"/>
                <w:highlight w:val="lightGray"/>
              </w:rPr>
            </w:pPr>
            <w:r w:rsidRPr="001E3185">
              <w:rPr>
                <w:rFonts w:cs="Arial"/>
                <w:sz w:val="18"/>
                <w:szCs w:val="18"/>
              </w:rPr>
              <w:t>7.26</w:t>
            </w:r>
          </w:p>
        </w:tc>
        <w:tc>
          <w:tcPr>
            <w:tcW w:w="1474" w:type="dxa"/>
            <w:shd w:val="clear" w:color="auto" w:fill="FFFFFF" w:themeFill="background1"/>
            <w:noWrap/>
            <w:vAlign w:val="center"/>
          </w:tcPr>
          <w:p w14:paraId="7C4483CF" w14:textId="77777777" w:rsidR="00692E71" w:rsidRPr="001E3185" w:rsidRDefault="00692E71" w:rsidP="008E0250">
            <w:pPr>
              <w:jc w:val="center"/>
              <w:rPr>
                <w:rFonts w:cs="Arial"/>
                <w:sz w:val="18"/>
                <w:szCs w:val="18"/>
                <w:highlight w:val="lightGray"/>
              </w:rPr>
            </w:pPr>
            <w:r w:rsidRPr="001E3185">
              <w:rPr>
                <w:rFonts w:cs="Arial"/>
                <w:sz w:val="18"/>
                <w:szCs w:val="18"/>
              </w:rPr>
              <w:t>2.87</w:t>
            </w:r>
          </w:p>
        </w:tc>
        <w:tc>
          <w:tcPr>
            <w:tcW w:w="1441" w:type="dxa"/>
            <w:shd w:val="clear" w:color="auto" w:fill="FFFFFF" w:themeFill="background1"/>
            <w:vAlign w:val="center"/>
          </w:tcPr>
          <w:p w14:paraId="6B8196EE" w14:textId="77777777" w:rsidR="00692E71" w:rsidRPr="001E3185" w:rsidRDefault="00692E71" w:rsidP="008E0250">
            <w:pPr>
              <w:jc w:val="center"/>
              <w:rPr>
                <w:rFonts w:cs="Arial"/>
                <w:sz w:val="18"/>
                <w:szCs w:val="18"/>
                <w:highlight w:val="lightGray"/>
              </w:rPr>
            </w:pPr>
            <w:r w:rsidRPr="001E3185">
              <w:rPr>
                <w:rFonts w:cs="Arial"/>
                <w:sz w:val="18"/>
                <w:szCs w:val="18"/>
              </w:rPr>
              <w:t>2.1*10</w:t>
            </w:r>
            <w:r w:rsidRPr="001E3185">
              <w:rPr>
                <w:rFonts w:cs="Arial"/>
                <w:sz w:val="18"/>
                <w:szCs w:val="18"/>
                <w:vertAlign w:val="superscript"/>
              </w:rPr>
              <w:t>-5</w:t>
            </w:r>
          </w:p>
        </w:tc>
      </w:tr>
      <w:tr w:rsidR="00692E71" w:rsidRPr="001E3185" w14:paraId="346D3EC3" w14:textId="77777777" w:rsidTr="008E0250">
        <w:trPr>
          <w:trHeight w:val="20"/>
        </w:trPr>
        <w:tc>
          <w:tcPr>
            <w:tcW w:w="3515" w:type="dxa"/>
            <w:shd w:val="clear" w:color="auto" w:fill="FFFFFF" w:themeFill="background1"/>
            <w:noWrap/>
            <w:vAlign w:val="center"/>
          </w:tcPr>
          <w:p w14:paraId="30DAF28B" w14:textId="77777777" w:rsidR="00692E71" w:rsidRPr="001E3185" w:rsidRDefault="00692E71" w:rsidP="008E0250">
            <w:pPr>
              <w:rPr>
                <w:rFonts w:cs="Arial"/>
                <w:sz w:val="18"/>
                <w:szCs w:val="18"/>
                <w:lang w:eastAsia="da-DK"/>
              </w:rPr>
            </w:pPr>
            <w:r w:rsidRPr="001E3185">
              <w:rPr>
                <w:rFonts w:cs="Arial"/>
                <w:sz w:val="18"/>
                <w:szCs w:val="18"/>
                <w:lang w:eastAsia="da-DK"/>
              </w:rPr>
              <w:lastRenderedPageBreak/>
              <w:t xml:space="preserve">PEC local with removal Time 2 (1825 days) </w:t>
            </w:r>
            <w:r w:rsidRPr="001E3185">
              <w:rPr>
                <w:rFonts w:cs="Arial"/>
                <w:sz w:val="18"/>
                <w:szCs w:val="18"/>
              </w:rPr>
              <w:t>[µg/L]</w:t>
            </w:r>
          </w:p>
        </w:tc>
        <w:tc>
          <w:tcPr>
            <w:tcW w:w="1361" w:type="dxa"/>
            <w:shd w:val="clear" w:color="auto" w:fill="FFFFFF" w:themeFill="background1"/>
            <w:noWrap/>
            <w:vAlign w:val="center"/>
          </w:tcPr>
          <w:p w14:paraId="5A979676" w14:textId="77777777" w:rsidR="00692E71" w:rsidRPr="001E3185" w:rsidRDefault="00692E71" w:rsidP="008E0250">
            <w:pPr>
              <w:jc w:val="center"/>
              <w:rPr>
                <w:rFonts w:cs="Arial"/>
                <w:sz w:val="18"/>
                <w:szCs w:val="18"/>
                <w:highlight w:val="lightGray"/>
                <w:lang w:eastAsia="da-DK"/>
              </w:rPr>
            </w:pPr>
            <w:r w:rsidRPr="001E3185">
              <w:rPr>
                <w:rFonts w:cs="Arial"/>
                <w:sz w:val="18"/>
                <w:szCs w:val="18"/>
              </w:rPr>
              <w:t>1.4*10</w:t>
            </w:r>
            <w:r w:rsidRPr="001E3185">
              <w:rPr>
                <w:rFonts w:cs="Arial"/>
                <w:sz w:val="18"/>
                <w:szCs w:val="18"/>
                <w:vertAlign w:val="superscript"/>
              </w:rPr>
              <w:t>-2</w:t>
            </w:r>
          </w:p>
        </w:tc>
        <w:tc>
          <w:tcPr>
            <w:tcW w:w="1507" w:type="dxa"/>
            <w:shd w:val="clear" w:color="auto" w:fill="FFFFFF" w:themeFill="background1"/>
            <w:noWrap/>
            <w:vAlign w:val="center"/>
          </w:tcPr>
          <w:p w14:paraId="04741027" w14:textId="77777777" w:rsidR="00692E71" w:rsidRPr="001E3185" w:rsidRDefault="00692E71" w:rsidP="008E0250">
            <w:pPr>
              <w:jc w:val="center"/>
              <w:rPr>
                <w:rFonts w:cs="Arial"/>
                <w:sz w:val="18"/>
                <w:szCs w:val="18"/>
                <w:highlight w:val="lightGray"/>
              </w:rPr>
            </w:pPr>
            <w:r w:rsidRPr="001E3185">
              <w:rPr>
                <w:rFonts w:cs="Arial"/>
                <w:sz w:val="18"/>
                <w:szCs w:val="18"/>
              </w:rPr>
              <w:t>49</w:t>
            </w:r>
          </w:p>
        </w:tc>
        <w:tc>
          <w:tcPr>
            <w:tcW w:w="1474" w:type="dxa"/>
            <w:shd w:val="clear" w:color="auto" w:fill="FFFFFF" w:themeFill="background1"/>
            <w:noWrap/>
            <w:vAlign w:val="center"/>
          </w:tcPr>
          <w:p w14:paraId="739C4F21" w14:textId="77777777" w:rsidR="00692E71" w:rsidRPr="001E3185" w:rsidRDefault="00692E71" w:rsidP="008E0250">
            <w:pPr>
              <w:jc w:val="center"/>
              <w:rPr>
                <w:rFonts w:cs="Arial"/>
                <w:sz w:val="18"/>
                <w:szCs w:val="18"/>
                <w:highlight w:val="lightGray"/>
              </w:rPr>
            </w:pPr>
            <w:r w:rsidRPr="001E3185">
              <w:rPr>
                <w:rFonts w:cs="Arial"/>
                <w:sz w:val="18"/>
                <w:szCs w:val="18"/>
              </w:rPr>
              <w:t>12</w:t>
            </w:r>
          </w:p>
        </w:tc>
        <w:tc>
          <w:tcPr>
            <w:tcW w:w="1441" w:type="dxa"/>
            <w:shd w:val="clear" w:color="auto" w:fill="FFFFFF" w:themeFill="background1"/>
            <w:vAlign w:val="center"/>
          </w:tcPr>
          <w:p w14:paraId="4E949036" w14:textId="77777777" w:rsidR="00692E71" w:rsidRPr="001E3185" w:rsidRDefault="00692E71" w:rsidP="008E0250">
            <w:pPr>
              <w:jc w:val="center"/>
              <w:rPr>
                <w:rFonts w:cs="Arial"/>
                <w:sz w:val="18"/>
                <w:szCs w:val="18"/>
                <w:highlight w:val="lightGray"/>
              </w:rPr>
            </w:pPr>
            <w:r w:rsidRPr="001E3185">
              <w:rPr>
                <w:rFonts w:cs="Arial"/>
                <w:sz w:val="18"/>
                <w:szCs w:val="18"/>
              </w:rPr>
              <w:t>3.0*10</w:t>
            </w:r>
            <w:r w:rsidRPr="001E3185">
              <w:rPr>
                <w:rFonts w:cs="Arial"/>
                <w:sz w:val="18"/>
                <w:szCs w:val="18"/>
                <w:vertAlign w:val="superscript"/>
              </w:rPr>
              <w:t>-5</w:t>
            </w:r>
          </w:p>
        </w:tc>
      </w:tr>
    </w:tbl>
    <w:p w14:paraId="5E0D7BD4" w14:textId="77777777" w:rsidR="00692E71" w:rsidRPr="001E3185" w:rsidRDefault="00692E71" w:rsidP="00692E71">
      <w:pPr>
        <w:rPr>
          <w:rFonts w:cs="Arial"/>
        </w:rPr>
      </w:pPr>
    </w:p>
    <w:p w14:paraId="46546EAC" w14:textId="77777777" w:rsidR="00692E71" w:rsidRPr="00FE333D" w:rsidRDefault="00692E71" w:rsidP="003356DA">
      <w:pPr>
        <w:pStyle w:val="Titre5"/>
        <w:rPr>
          <w:lang w:val="en-US"/>
        </w:rPr>
      </w:pPr>
      <w:bookmarkStart w:id="140" w:name="_Toc419190160"/>
      <w:bookmarkStart w:id="141" w:name="_Toc452669005"/>
      <w:r w:rsidRPr="00FE333D">
        <w:rPr>
          <w:lang w:val="en-US"/>
        </w:rPr>
        <w:t>PEC in-situ application, brushing and spraying</w:t>
      </w:r>
      <w:bookmarkEnd w:id="140"/>
      <w:bookmarkEnd w:id="141"/>
    </w:p>
    <w:p w14:paraId="3026A396" w14:textId="77777777" w:rsidR="00692E71" w:rsidRPr="001E3185" w:rsidRDefault="00692E71" w:rsidP="00692E71">
      <w:pPr>
        <w:rPr>
          <w:rFonts w:cs="Arial"/>
        </w:rPr>
      </w:pPr>
    </w:p>
    <w:p w14:paraId="555E88EF" w14:textId="77777777" w:rsidR="00692E71" w:rsidRPr="001E3185" w:rsidRDefault="00692E71" w:rsidP="00F32B7F">
      <w:pPr>
        <w:pStyle w:val="Paragraphedeliste"/>
        <w:numPr>
          <w:ilvl w:val="0"/>
          <w:numId w:val="12"/>
        </w:numPr>
        <w:suppressAutoHyphens w:val="0"/>
        <w:autoSpaceDE w:val="0"/>
        <w:autoSpaceDN w:val="0"/>
        <w:adjustRightInd w:val="0"/>
        <w:rPr>
          <w:rFonts w:cs="Arial"/>
        </w:rPr>
      </w:pPr>
      <w:r w:rsidRPr="001E3185">
        <w:rPr>
          <w:rFonts w:cs="Arial"/>
        </w:rPr>
        <w:t xml:space="preserve">PEC in surface water </w:t>
      </w:r>
    </w:p>
    <w:p w14:paraId="26B811B1" w14:textId="77777777" w:rsidR="00692E71" w:rsidRPr="001E3185" w:rsidRDefault="00692E71" w:rsidP="00692E71">
      <w:pPr>
        <w:rPr>
          <w:rFonts w:cs="Arial"/>
        </w:rPr>
      </w:pPr>
    </w:p>
    <w:p w14:paraId="7E8B771B"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32</w:t>
      </w:r>
      <w:r w:rsidRPr="001E3185">
        <w:rPr>
          <w:rFonts w:ascii="Verdana" w:hAnsi="Verdana"/>
        </w:rPr>
        <w:fldChar w:fldCharType="end"/>
      </w:r>
      <w:r w:rsidRPr="001E3185">
        <w:rPr>
          <w:rFonts w:ascii="Verdana" w:hAnsi="Verdana"/>
        </w:rPr>
        <w:t>: PEC in surface water, in-situ application.</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588"/>
        <w:gridCol w:w="1224"/>
        <w:gridCol w:w="1680"/>
        <w:gridCol w:w="1641"/>
        <w:gridCol w:w="1636"/>
      </w:tblGrid>
      <w:tr w:rsidR="00692E71" w:rsidRPr="001E3185" w14:paraId="1400635B" w14:textId="77777777" w:rsidTr="008E0250">
        <w:trPr>
          <w:trHeight w:val="20"/>
          <w:tblHeader/>
          <w:jc w:val="center"/>
        </w:trPr>
        <w:tc>
          <w:tcPr>
            <w:tcW w:w="3681" w:type="dxa"/>
            <w:shd w:val="clear" w:color="auto" w:fill="FFFFFF" w:themeFill="background1"/>
            <w:noWrap/>
            <w:vAlign w:val="bottom"/>
          </w:tcPr>
          <w:p w14:paraId="476555C6" w14:textId="77777777" w:rsidR="00692E71" w:rsidRPr="001E3185" w:rsidRDefault="00692E71" w:rsidP="008E0250">
            <w:pPr>
              <w:rPr>
                <w:rFonts w:cs="Arial"/>
                <w:lang w:eastAsia="da-DK"/>
              </w:rPr>
            </w:pPr>
          </w:p>
        </w:tc>
        <w:tc>
          <w:tcPr>
            <w:tcW w:w="1253" w:type="dxa"/>
            <w:shd w:val="clear" w:color="auto" w:fill="FFFFFF" w:themeFill="background1"/>
            <w:noWrap/>
            <w:vAlign w:val="bottom"/>
          </w:tcPr>
          <w:p w14:paraId="1598564A" w14:textId="77777777" w:rsidR="00692E71" w:rsidRPr="001E3185" w:rsidRDefault="00692E71" w:rsidP="008E0250">
            <w:pPr>
              <w:jc w:val="center"/>
              <w:rPr>
                <w:rFonts w:cs="Arial"/>
                <w:b/>
                <w:lang w:eastAsia="da-DK"/>
              </w:rPr>
            </w:pPr>
            <w:r w:rsidRPr="001E3185">
              <w:rPr>
                <w:rFonts w:cs="Arial"/>
                <w:b/>
                <w:lang w:eastAsia="da-DK"/>
              </w:rPr>
              <w:t>IPBC</w:t>
            </w:r>
          </w:p>
        </w:tc>
        <w:tc>
          <w:tcPr>
            <w:tcW w:w="1507" w:type="dxa"/>
            <w:shd w:val="clear" w:color="auto" w:fill="FFFFFF" w:themeFill="background1"/>
            <w:noWrap/>
            <w:vAlign w:val="bottom"/>
          </w:tcPr>
          <w:p w14:paraId="103301B1" w14:textId="77777777" w:rsidR="00692E71" w:rsidRPr="001E3185" w:rsidRDefault="00692E71" w:rsidP="008E0250">
            <w:pPr>
              <w:jc w:val="center"/>
              <w:rPr>
                <w:rFonts w:cs="Arial"/>
                <w:b/>
                <w:lang w:eastAsia="da-DK"/>
              </w:rPr>
            </w:pPr>
            <w:r w:rsidRPr="001E3185">
              <w:rPr>
                <w:rFonts w:cs="Arial"/>
                <w:b/>
                <w:lang w:eastAsia="da-DK"/>
              </w:rPr>
              <w:t>Propiconazole</w:t>
            </w:r>
          </w:p>
        </w:tc>
        <w:tc>
          <w:tcPr>
            <w:tcW w:w="1474" w:type="dxa"/>
            <w:shd w:val="clear" w:color="auto" w:fill="FFFFFF" w:themeFill="background1"/>
            <w:noWrap/>
            <w:vAlign w:val="bottom"/>
          </w:tcPr>
          <w:p w14:paraId="0FD4AE9B" w14:textId="77777777" w:rsidR="00692E71" w:rsidRPr="001E3185" w:rsidRDefault="00692E71" w:rsidP="008E0250">
            <w:pPr>
              <w:jc w:val="center"/>
              <w:rPr>
                <w:rFonts w:cs="Arial"/>
                <w:b/>
                <w:lang w:eastAsia="da-DK"/>
              </w:rPr>
            </w:pPr>
            <w:r w:rsidRPr="001E3185">
              <w:rPr>
                <w:rFonts w:cs="Arial"/>
                <w:b/>
                <w:lang w:eastAsia="da-DK"/>
              </w:rPr>
              <w:t>Tebuconazole</w:t>
            </w:r>
          </w:p>
        </w:tc>
        <w:tc>
          <w:tcPr>
            <w:tcW w:w="1441" w:type="dxa"/>
            <w:shd w:val="clear" w:color="auto" w:fill="FFFFFF" w:themeFill="background1"/>
          </w:tcPr>
          <w:p w14:paraId="6D3B38D6"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5888D699" w14:textId="77777777" w:rsidTr="008E0250">
        <w:trPr>
          <w:trHeight w:val="20"/>
          <w:jc w:val="center"/>
        </w:trPr>
        <w:tc>
          <w:tcPr>
            <w:tcW w:w="3681" w:type="dxa"/>
            <w:shd w:val="clear" w:color="auto" w:fill="FFFFFF" w:themeFill="background1"/>
            <w:noWrap/>
            <w:vAlign w:val="bottom"/>
          </w:tcPr>
          <w:p w14:paraId="6DF0460A" w14:textId="77777777" w:rsidR="00692E71" w:rsidRPr="001E3185" w:rsidRDefault="00692E71" w:rsidP="008E0250">
            <w:pPr>
              <w:rPr>
                <w:rFonts w:cs="Arial"/>
                <w:b/>
                <w:lang w:eastAsia="da-DK"/>
              </w:rPr>
            </w:pPr>
            <w:r w:rsidRPr="001E3185">
              <w:rPr>
                <w:rFonts w:cs="Arial"/>
                <w:b/>
                <w:lang w:eastAsia="da-DK"/>
              </w:rPr>
              <w:t>Bridge over Pond (surface water)</w:t>
            </w:r>
          </w:p>
        </w:tc>
        <w:tc>
          <w:tcPr>
            <w:tcW w:w="1253" w:type="dxa"/>
            <w:shd w:val="clear" w:color="auto" w:fill="FFFFFF" w:themeFill="background1"/>
            <w:noWrap/>
            <w:vAlign w:val="bottom"/>
          </w:tcPr>
          <w:p w14:paraId="35BBDF60" w14:textId="77777777" w:rsidR="00692E71" w:rsidRPr="001E3185" w:rsidRDefault="00692E71" w:rsidP="008E0250">
            <w:pPr>
              <w:jc w:val="center"/>
              <w:rPr>
                <w:rFonts w:cs="Arial"/>
                <w:lang w:eastAsia="da-DK"/>
              </w:rPr>
            </w:pPr>
          </w:p>
        </w:tc>
        <w:tc>
          <w:tcPr>
            <w:tcW w:w="1507" w:type="dxa"/>
            <w:shd w:val="clear" w:color="auto" w:fill="FFFFFF" w:themeFill="background1"/>
            <w:noWrap/>
            <w:vAlign w:val="bottom"/>
          </w:tcPr>
          <w:p w14:paraId="03753587" w14:textId="77777777" w:rsidR="00692E71" w:rsidRPr="001E3185" w:rsidRDefault="00692E71" w:rsidP="008E0250">
            <w:pPr>
              <w:jc w:val="center"/>
              <w:rPr>
                <w:rFonts w:cs="Arial"/>
                <w:lang w:eastAsia="da-DK"/>
              </w:rPr>
            </w:pPr>
          </w:p>
        </w:tc>
        <w:tc>
          <w:tcPr>
            <w:tcW w:w="1474" w:type="dxa"/>
            <w:shd w:val="clear" w:color="auto" w:fill="FFFFFF" w:themeFill="background1"/>
            <w:noWrap/>
            <w:vAlign w:val="bottom"/>
          </w:tcPr>
          <w:p w14:paraId="429332BE" w14:textId="77777777" w:rsidR="00692E71" w:rsidRPr="001E3185" w:rsidRDefault="00692E71" w:rsidP="008E0250">
            <w:pPr>
              <w:jc w:val="center"/>
              <w:rPr>
                <w:rFonts w:cs="Arial"/>
                <w:lang w:eastAsia="da-DK"/>
              </w:rPr>
            </w:pPr>
          </w:p>
        </w:tc>
        <w:tc>
          <w:tcPr>
            <w:tcW w:w="1441" w:type="dxa"/>
            <w:shd w:val="clear" w:color="auto" w:fill="FFFFFF" w:themeFill="background1"/>
          </w:tcPr>
          <w:p w14:paraId="240E6D6E" w14:textId="77777777" w:rsidR="00692E71" w:rsidRPr="001E3185" w:rsidRDefault="00692E71" w:rsidP="008E0250">
            <w:pPr>
              <w:jc w:val="center"/>
              <w:rPr>
                <w:rFonts w:cs="Arial"/>
                <w:lang w:eastAsia="da-DK"/>
              </w:rPr>
            </w:pPr>
          </w:p>
        </w:tc>
      </w:tr>
      <w:tr w:rsidR="00692E71" w:rsidRPr="001E3185" w14:paraId="22D1E245" w14:textId="77777777" w:rsidTr="008E0250">
        <w:trPr>
          <w:trHeight w:val="20"/>
          <w:jc w:val="center"/>
        </w:trPr>
        <w:tc>
          <w:tcPr>
            <w:tcW w:w="3681" w:type="dxa"/>
            <w:shd w:val="clear" w:color="auto" w:fill="FFFFFF" w:themeFill="background1"/>
            <w:noWrap/>
            <w:vAlign w:val="bottom"/>
          </w:tcPr>
          <w:p w14:paraId="149D89EB" w14:textId="77777777" w:rsidR="00692E71" w:rsidRPr="001E3185" w:rsidRDefault="00692E71" w:rsidP="008E0250">
            <w:pPr>
              <w:rPr>
                <w:rFonts w:cs="Arial"/>
                <w:lang w:eastAsia="da-DK"/>
              </w:rPr>
            </w:pPr>
            <w:r w:rsidRPr="001E3185">
              <w:rPr>
                <w:rFonts w:cs="Arial"/>
                <w:lang w:eastAsia="da-DK"/>
              </w:rPr>
              <w:t>PEC local in</w:t>
            </w:r>
            <w:r w:rsidRPr="001E3185">
              <w:rPr>
                <w:rFonts w:cs="Arial"/>
              </w:rPr>
              <w:t xml:space="preserve"> water at the end of the day of application (bridge, professional application) [µg.L</w:t>
            </w:r>
            <w:r w:rsidRPr="001E3185">
              <w:rPr>
                <w:rFonts w:cs="Arial"/>
                <w:vertAlign w:val="superscript"/>
              </w:rPr>
              <w:t>-1</w:t>
            </w:r>
            <w:r w:rsidRPr="001E3185">
              <w:rPr>
                <w:rFonts w:cs="Arial"/>
              </w:rPr>
              <w:t>]</w:t>
            </w:r>
          </w:p>
        </w:tc>
        <w:tc>
          <w:tcPr>
            <w:tcW w:w="1253" w:type="dxa"/>
            <w:shd w:val="clear" w:color="auto" w:fill="FFFFFF" w:themeFill="background1"/>
            <w:noWrap/>
            <w:vAlign w:val="center"/>
          </w:tcPr>
          <w:p w14:paraId="7AC0CA25" w14:textId="77777777" w:rsidR="00692E71" w:rsidRPr="001E3185" w:rsidRDefault="00692E71" w:rsidP="008E0250">
            <w:pPr>
              <w:jc w:val="center"/>
              <w:rPr>
                <w:rFonts w:cs="Arial"/>
                <w:lang w:eastAsia="da-DK"/>
              </w:rPr>
            </w:pPr>
            <w:r w:rsidRPr="001E3185">
              <w:rPr>
                <w:rFonts w:cs="Arial"/>
              </w:rPr>
              <w:t>0.03</w:t>
            </w:r>
          </w:p>
        </w:tc>
        <w:tc>
          <w:tcPr>
            <w:tcW w:w="1507" w:type="dxa"/>
            <w:shd w:val="clear" w:color="auto" w:fill="FFFFFF" w:themeFill="background1"/>
            <w:noWrap/>
            <w:vAlign w:val="center"/>
          </w:tcPr>
          <w:p w14:paraId="5117DC1C" w14:textId="77777777" w:rsidR="00692E71" w:rsidRPr="001E3185" w:rsidRDefault="00692E71" w:rsidP="008E0250">
            <w:pPr>
              <w:jc w:val="center"/>
              <w:rPr>
                <w:rFonts w:cs="Arial"/>
              </w:rPr>
            </w:pPr>
            <w:r w:rsidRPr="001E3185">
              <w:rPr>
                <w:rFonts w:cs="Arial"/>
              </w:rPr>
              <w:t>0.09</w:t>
            </w:r>
          </w:p>
        </w:tc>
        <w:tc>
          <w:tcPr>
            <w:tcW w:w="1474" w:type="dxa"/>
            <w:shd w:val="clear" w:color="auto" w:fill="FFFFFF" w:themeFill="background1"/>
            <w:noWrap/>
            <w:vAlign w:val="center"/>
          </w:tcPr>
          <w:p w14:paraId="1B6402F4" w14:textId="77777777" w:rsidR="00692E71" w:rsidRPr="001E3185" w:rsidRDefault="00692E71" w:rsidP="008E0250">
            <w:pPr>
              <w:jc w:val="center"/>
              <w:rPr>
                <w:rFonts w:cs="Arial"/>
              </w:rPr>
            </w:pPr>
            <w:r w:rsidRPr="001E3185">
              <w:rPr>
                <w:rFonts w:cs="Arial"/>
              </w:rPr>
              <w:t>0.03</w:t>
            </w:r>
          </w:p>
        </w:tc>
        <w:tc>
          <w:tcPr>
            <w:tcW w:w="1441" w:type="dxa"/>
            <w:shd w:val="clear" w:color="auto" w:fill="FFFFFF" w:themeFill="background1"/>
            <w:vAlign w:val="center"/>
          </w:tcPr>
          <w:p w14:paraId="66D209E1" w14:textId="77777777" w:rsidR="00692E71" w:rsidRPr="001E3185" w:rsidRDefault="00692E71" w:rsidP="008E0250">
            <w:pPr>
              <w:jc w:val="center"/>
              <w:rPr>
                <w:rFonts w:cs="Arial"/>
              </w:rPr>
            </w:pPr>
            <w:r w:rsidRPr="001E3185">
              <w:rPr>
                <w:rFonts w:cs="Arial"/>
              </w:rPr>
              <w:t>0.04</w:t>
            </w:r>
          </w:p>
        </w:tc>
      </w:tr>
      <w:tr w:rsidR="00692E71" w:rsidRPr="001E3185" w14:paraId="7C3254CB" w14:textId="77777777" w:rsidTr="008E0250">
        <w:trPr>
          <w:trHeight w:val="20"/>
          <w:jc w:val="center"/>
        </w:trPr>
        <w:tc>
          <w:tcPr>
            <w:tcW w:w="3681" w:type="dxa"/>
            <w:shd w:val="clear" w:color="auto" w:fill="FFFFFF" w:themeFill="background1"/>
            <w:noWrap/>
            <w:vAlign w:val="bottom"/>
          </w:tcPr>
          <w:p w14:paraId="68E22943"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rPr>
              <w:t>in water at the end of the day of application (bridge, non-professional application) [µg.L</w:t>
            </w:r>
            <w:r w:rsidRPr="001E3185">
              <w:rPr>
                <w:rFonts w:cs="Arial"/>
                <w:vertAlign w:val="superscript"/>
              </w:rPr>
              <w:t>-1</w:t>
            </w:r>
            <w:r w:rsidRPr="001E3185">
              <w:rPr>
                <w:rFonts w:cs="Arial"/>
              </w:rPr>
              <w:t>]</w:t>
            </w:r>
          </w:p>
        </w:tc>
        <w:tc>
          <w:tcPr>
            <w:tcW w:w="1253" w:type="dxa"/>
            <w:shd w:val="clear" w:color="auto" w:fill="FFFFFF" w:themeFill="background1"/>
            <w:noWrap/>
            <w:vAlign w:val="center"/>
          </w:tcPr>
          <w:p w14:paraId="4755D205" w14:textId="77777777" w:rsidR="00692E71" w:rsidRPr="001E3185" w:rsidRDefault="00692E71" w:rsidP="008E0250">
            <w:pPr>
              <w:jc w:val="center"/>
              <w:rPr>
                <w:rFonts w:cs="Arial"/>
                <w:lang w:eastAsia="da-DK"/>
              </w:rPr>
            </w:pPr>
            <w:r w:rsidRPr="001E3185">
              <w:rPr>
                <w:rFonts w:cs="Arial"/>
              </w:rPr>
              <w:t>0.05</w:t>
            </w:r>
          </w:p>
        </w:tc>
        <w:tc>
          <w:tcPr>
            <w:tcW w:w="1507" w:type="dxa"/>
            <w:shd w:val="clear" w:color="auto" w:fill="FFFFFF" w:themeFill="background1"/>
            <w:noWrap/>
            <w:vAlign w:val="center"/>
          </w:tcPr>
          <w:p w14:paraId="4266EC1F" w14:textId="77777777" w:rsidR="00692E71" w:rsidRPr="001E3185" w:rsidRDefault="00692E71" w:rsidP="008E0250">
            <w:pPr>
              <w:jc w:val="center"/>
              <w:rPr>
                <w:rFonts w:cs="Arial"/>
              </w:rPr>
            </w:pPr>
            <w:r w:rsidRPr="001E3185">
              <w:rPr>
                <w:rFonts w:cs="Arial"/>
              </w:rPr>
              <w:t>0.15</w:t>
            </w:r>
          </w:p>
        </w:tc>
        <w:tc>
          <w:tcPr>
            <w:tcW w:w="1474" w:type="dxa"/>
            <w:shd w:val="clear" w:color="auto" w:fill="FFFFFF" w:themeFill="background1"/>
            <w:noWrap/>
            <w:vAlign w:val="center"/>
          </w:tcPr>
          <w:p w14:paraId="017D4718" w14:textId="77777777" w:rsidR="00692E71" w:rsidRPr="001E3185" w:rsidRDefault="00692E71" w:rsidP="008E0250">
            <w:pPr>
              <w:jc w:val="center"/>
              <w:rPr>
                <w:rFonts w:cs="Arial"/>
              </w:rPr>
            </w:pPr>
            <w:r w:rsidRPr="001E3185">
              <w:rPr>
                <w:rFonts w:cs="Arial"/>
              </w:rPr>
              <w:t>0.05</w:t>
            </w:r>
          </w:p>
        </w:tc>
        <w:tc>
          <w:tcPr>
            <w:tcW w:w="1441" w:type="dxa"/>
            <w:shd w:val="clear" w:color="auto" w:fill="FFFFFF" w:themeFill="background1"/>
            <w:vAlign w:val="center"/>
          </w:tcPr>
          <w:p w14:paraId="3E1D116D" w14:textId="77777777" w:rsidR="00692E71" w:rsidRPr="001E3185" w:rsidRDefault="00692E71" w:rsidP="008E0250">
            <w:pPr>
              <w:jc w:val="center"/>
              <w:rPr>
                <w:rFonts w:cs="Arial"/>
              </w:rPr>
            </w:pPr>
            <w:r w:rsidRPr="001E3185">
              <w:rPr>
                <w:rFonts w:cs="Arial"/>
              </w:rPr>
              <w:t>0.07</w:t>
            </w:r>
          </w:p>
        </w:tc>
      </w:tr>
    </w:tbl>
    <w:p w14:paraId="31EBDF04" w14:textId="77777777" w:rsidR="00692E71" w:rsidRPr="001E3185" w:rsidRDefault="00692E71" w:rsidP="00692E71">
      <w:pPr>
        <w:rPr>
          <w:rFonts w:cs="Arial"/>
        </w:rPr>
      </w:pPr>
    </w:p>
    <w:p w14:paraId="40D76C41" w14:textId="77777777" w:rsidR="00692E71" w:rsidRPr="001E3185" w:rsidRDefault="00692E71" w:rsidP="00F32B7F">
      <w:pPr>
        <w:pStyle w:val="Paragraphedeliste"/>
        <w:numPr>
          <w:ilvl w:val="0"/>
          <w:numId w:val="12"/>
        </w:numPr>
        <w:suppressAutoHyphens w:val="0"/>
        <w:autoSpaceDE w:val="0"/>
        <w:autoSpaceDN w:val="0"/>
        <w:adjustRightInd w:val="0"/>
        <w:rPr>
          <w:rFonts w:cs="Arial"/>
        </w:rPr>
      </w:pPr>
      <w:r w:rsidRPr="001E3185">
        <w:rPr>
          <w:rFonts w:cs="Arial"/>
        </w:rPr>
        <w:t xml:space="preserve">PEC in soil </w:t>
      </w:r>
    </w:p>
    <w:p w14:paraId="2360BE40" w14:textId="77777777" w:rsidR="00692E71" w:rsidRPr="001E3185" w:rsidRDefault="00692E71" w:rsidP="00692E71">
      <w:pPr>
        <w:rPr>
          <w:rFonts w:cs="Arial"/>
        </w:rPr>
      </w:pPr>
    </w:p>
    <w:p w14:paraId="516F5F69"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33</w:t>
      </w:r>
      <w:r w:rsidRPr="001E3185">
        <w:rPr>
          <w:rFonts w:ascii="Verdana" w:hAnsi="Verdana"/>
        </w:rPr>
        <w:fldChar w:fldCharType="end"/>
      </w:r>
      <w:r w:rsidRPr="001E3185">
        <w:rPr>
          <w:rFonts w:ascii="Verdana" w:hAnsi="Verdana"/>
        </w:rPr>
        <w:t>: PEC in soil, in-situ application.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559"/>
        <w:gridCol w:w="1560"/>
        <w:gridCol w:w="1559"/>
      </w:tblGrid>
      <w:tr w:rsidR="00692E71" w:rsidRPr="001E3185" w14:paraId="75CE28AE" w14:textId="77777777" w:rsidTr="008E0250">
        <w:trPr>
          <w:trHeight w:val="20"/>
          <w:tblHeader/>
        </w:trPr>
        <w:tc>
          <w:tcPr>
            <w:tcW w:w="3681" w:type="dxa"/>
            <w:shd w:val="clear" w:color="auto" w:fill="FFFFFF" w:themeFill="background1"/>
            <w:noWrap/>
            <w:vAlign w:val="bottom"/>
          </w:tcPr>
          <w:p w14:paraId="38AC27E5"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3F83537C"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2C2686FA" w14:textId="77777777" w:rsidR="00692E71" w:rsidRPr="001E3185" w:rsidRDefault="00692E71" w:rsidP="008E0250">
            <w:pPr>
              <w:jc w:val="center"/>
              <w:rPr>
                <w:rFonts w:cs="Arial"/>
                <w:b/>
                <w:lang w:eastAsia="da-DK"/>
              </w:rPr>
            </w:pPr>
            <w:r w:rsidRPr="001E3185">
              <w:rPr>
                <w:rFonts w:cs="Arial"/>
                <w:b/>
                <w:lang w:eastAsia="da-DK"/>
              </w:rPr>
              <w:t xml:space="preserve">Propiconazole </w:t>
            </w:r>
          </w:p>
        </w:tc>
        <w:tc>
          <w:tcPr>
            <w:tcW w:w="1560" w:type="dxa"/>
            <w:shd w:val="clear" w:color="auto" w:fill="FFFFFF" w:themeFill="background1"/>
            <w:noWrap/>
            <w:vAlign w:val="center"/>
          </w:tcPr>
          <w:p w14:paraId="5D14F0DF"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076982DE"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143462ED" w14:textId="77777777" w:rsidTr="008E0250">
        <w:trPr>
          <w:trHeight w:val="20"/>
        </w:trPr>
        <w:tc>
          <w:tcPr>
            <w:tcW w:w="3681" w:type="dxa"/>
            <w:shd w:val="clear" w:color="auto" w:fill="FFFFFF" w:themeFill="background1"/>
            <w:noWrap/>
            <w:vAlign w:val="bottom"/>
          </w:tcPr>
          <w:p w14:paraId="00FB9799" w14:textId="77777777" w:rsidR="00692E71" w:rsidRPr="001E3185" w:rsidRDefault="00692E71" w:rsidP="008E0250">
            <w:pPr>
              <w:rPr>
                <w:rFonts w:cs="Arial"/>
                <w:b/>
                <w:lang w:eastAsia="da-DK"/>
              </w:rPr>
            </w:pPr>
            <w:r w:rsidRPr="001E3185">
              <w:rPr>
                <w:rFonts w:cs="Arial"/>
                <w:b/>
                <w:lang w:eastAsia="da-DK"/>
              </w:rPr>
              <w:t>House (brushing, soil)</w:t>
            </w:r>
          </w:p>
        </w:tc>
        <w:tc>
          <w:tcPr>
            <w:tcW w:w="992" w:type="dxa"/>
            <w:shd w:val="clear" w:color="auto" w:fill="FFFFFF" w:themeFill="background1"/>
            <w:noWrap/>
            <w:vAlign w:val="center"/>
          </w:tcPr>
          <w:p w14:paraId="4EF369C6" w14:textId="77777777" w:rsidR="00692E71" w:rsidRPr="001E3185" w:rsidRDefault="00692E71" w:rsidP="008E0250">
            <w:pPr>
              <w:jc w:val="center"/>
              <w:rPr>
                <w:rFonts w:cs="Arial"/>
                <w:lang w:eastAsia="da-DK"/>
              </w:rPr>
            </w:pPr>
          </w:p>
        </w:tc>
        <w:tc>
          <w:tcPr>
            <w:tcW w:w="1559" w:type="dxa"/>
            <w:shd w:val="clear" w:color="auto" w:fill="FFFFFF" w:themeFill="background1"/>
            <w:noWrap/>
            <w:vAlign w:val="center"/>
          </w:tcPr>
          <w:p w14:paraId="6B2DBCAD" w14:textId="77777777" w:rsidR="00692E71" w:rsidRPr="001E3185" w:rsidRDefault="00692E71" w:rsidP="008E0250">
            <w:pPr>
              <w:jc w:val="center"/>
              <w:rPr>
                <w:rFonts w:cs="Arial"/>
                <w:lang w:eastAsia="da-DK"/>
              </w:rPr>
            </w:pPr>
          </w:p>
        </w:tc>
        <w:tc>
          <w:tcPr>
            <w:tcW w:w="1560" w:type="dxa"/>
            <w:shd w:val="clear" w:color="auto" w:fill="FFFFFF" w:themeFill="background1"/>
            <w:noWrap/>
            <w:vAlign w:val="center"/>
          </w:tcPr>
          <w:p w14:paraId="54AC25CB" w14:textId="77777777" w:rsidR="00692E71" w:rsidRPr="001E3185" w:rsidRDefault="00692E71" w:rsidP="008E0250">
            <w:pPr>
              <w:jc w:val="center"/>
              <w:rPr>
                <w:rFonts w:cs="Arial"/>
                <w:lang w:eastAsia="da-DK"/>
              </w:rPr>
            </w:pPr>
          </w:p>
        </w:tc>
        <w:tc>
          <w:tcPr>
            <w:tcW w:w="1559" w:type="dxa"/>
            <w:shd w:val="clear" w:color="auto" w:fill="FFFFFF" w:themeFill="background1"/>
            <w:vAlign w:val="center"/>
          </w:tcPr>
          <w:p w14:paraId="6B32BAC7" w14:textId="77777777" w:rsidR="00692E71" w:rsidRPr="001E3185" w:rsidRDefault="00692E71" w:rsidP="008E0250">
            <w:pPr>
              <w:jc w:val="center"/>
              <w:rPr>
                <w:rFonts w:cs="Arial"/>
                <w:lang w:eastAsia="da-DK"/>
              </w:rPr>
            </w:pPr>
          </w:p>
        </w:tc>
      </w:tr>
      <w:tr w:rsidR="00692E71" w:rsidRPr="001E3185" w14:paraId="18ABCB38" w14:textId="77777777" w:rsidTr="008E0250">
        <w:trPr>
          <w:trHeight w:val="20"/>
        </w:trPr>
        <w:tc>
          <w:tcPr>
            <w:tcW w:w="3681" w:type="dxa"/>
            <w:shd w:val="clear" w:color="auto" w:fill="FFFFFF" w:themeFill="background1"/>
            <w:noWrap/>
            <w:vAlign w:val="bottom"/>
          </w:tcPr>
          <w:p w14:paraId="38C3D0AD" w14:textId="77777777" w:rsidR="00692E71" w:rsidRPr="001E3185" w:rsidRDefault="00692E71" w:rsidP="008E0250">
            <w:pPr>
              <w:rPr>
                <w:rFonts w:cs="Arial"/>
                <w:b/>
                <w:lang w:eastAsia="da-DK"/>
              </w:rPr>
            </w:pPr>
            <w:r w:rsidRPr="001E3185">
              <w:rPr>
                <w:rFonts w:cs="Arial"/>
                <w:lang w:eastAsia="da-DK"/>
              </w:rPr>
              <w:t xml:space="preserve">PEC local in </w:t>
            </w:r>
            <w:r w:rsidRPr="001E3185">
              <w:rPr>
                <w:rFonts w:cs="Arial"/>
              </w:rPr>
              <w:t>soil at the end of the day of application (house, professional application) [mg.kg</w:t>
            </w:r>
            <w:r w:rsidRPr="001E3185">
              <w:rPr>
                <w:rFonts w:cs="Arial"/>
                <w:vertAlign w:val="subscript"/>
              </w:rPr>
              <w:t>wwt</w:t>
            </w:r>
            <w:r w:rsidRPr="001E3185">
              <w:rPr>
                <w:rFonts w:cs="Arial"/>
                <w:vertAlign w:val="superscript"/>
              </w:rPr>
              <w:t>-1</w:t>
            </w:r>
            <w:r w:rsidRPr="001E3185">
              <w:rPr>
                <w:rFonts w:cs="Arial"/>
              </w:rPr>
              <w:t>]</w:t>
            </w:r>
          </w:p>
        </w:tc>
        <w:tc>
          <w:tcPr>
            <w:tcW w:w="992" w:type="dxa"/>
            <w:shd w:val="clear" w:color="auto" w:fill="FFFFFF" w:themeFill="background1"/>
            <w:noWrap/>
            <w:vAlign w:val="center"/>
          </w:tcPr>
          <w:p w14:paraId="4B2947A0"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noWrap/>
            <w:vAlign w:val="center"/>
          </w:tcPr>
          <w:p w14:paraId="09ADA99C" w14:textId="77777777" w:rsidR="00692E71" w:rsidRPr="001E3185" w:rsidRDefault="00692E71" w:rsidP="008E0250">
            <w:pPr>
              <w:jc w:val="center"/>
              <w:rPr>
                <w:rFonts w:cs="Arial"/>
                <w:lang w:eastAsia="da-DK"/>
              </w:rPr>
            </w:pPr>
            <w:r w:rsidRPr="001E3185">
              <w:rPr>
                <w:rFonts w:cs="Arial"/>
              </w:rPr>
              <w:t>0.05</w:t>
            </w:r>
          </w:p>
        </w:tc>
        <w:tc>
          <w:tcPr>
            <w:tcW w:w="1560" w:type="dxa"/>
            <w:shd w:val="clear" w:color="auto" w:fill="FFFFFF" w:themeFill="background1"/>
            <w:noWrap/>
            <w:vAlign w:val="center"/>
          </w:tcPr>
          <w:p w14:paraId="66506909"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vAlign w:val="center"/>
          </w:tcPr>
          <w:p w14:paraId="35DA7448" w14:textId="77777777" w:rsidR="00692E71" w:rsidRPr="001E3185" w:rsidRDefault="00692E71" w:rsidP="008E0250">
            <w:pPr>
              <w:jc w:val="center"/>
              <w:rPr>
                <w:rFonts w:cs="Arial"/>
                <w:lang w:eastAsia="da-DK"/>
              </w:rPr>
            </w:pPr>
            <w:r w:rsidRPr="001E3185">
              <w:rPr>
                <w:rFonts w:cs="Arial"/>
              </w:rPr>
              <w:t>0.02</w:t>
            </w:r>
          </w:p>
        </w:tc>
      </w:tr>
      <w:tr w:rsidR="00692E71" w:rsidRPr="001E3185" w14:paraId="6F1006C9" w14:textId="77777777" w:rsidTr="008E0250">
        <w:trPr>
          <w:trHeight w:val="20"/>
        </w:trPr>
        <w:tc>
          <w:tcPr>
            <w:tcW w:w="3681" w:type="dxa"/>
            <w:shd w:val="clear" w:color="auto" w:fill="FFFFFF" w:themeFill="background1"/>
            <w:noWrap/>
            <w:vAlign w:val="center"/>
          </w:tcPr>
          <w:p w14:paraId="119FEDC0" w14:textId="77777777" w:rsidR="00692E71" w:rsidRPr="001E3185" w:rsidRDefault="00692E71" w:rsidP="008E0250">
            <w:pPr>
              <w:rPr>
                <w:rFonts w:cs="Arial"/>
                <w:lang w:eastAsia="da-DK"/>
              </w:rPr>
            </w:pPr>
            <w:r w:rsidRPr="001E3185">
              <w:rPr>
                <w:rFonts w:cs="Arial"/>
                <w:lang w:eastAsia="da-DK"/>
              </w:rPr>
              <w:t xml:space="preserve">PEC local in </w:t>
            </w:r>
            <w:r w:rsidRPr="001E3185">
              <w:rPr>
                <w:rFonts w:cs="Arial"/>
              </w:rPr>
              <w:t>soil at the end of the day of application (house, non-professional application) [mg.kg</w:t>
            </w:r>
            <w:r w:rsidRPr="001E3185">
              <w:rPr>
                <w:rFonts w:cs="Arial"/>
                <w:vertAlign w:val="subscript"/>
              </w:rPr>
              <w:t>wwt</w:t>
            </w:r>
            <w:r w:rsidRPr="001E3185">
              <w:rPr>
                <w:rFonts w:cs="Arial"/>
                <w:vertAlign w:val="superscript"/>
              </w:rPr>
              <w:t>-1</w:t>
            </w:r>
            <w:r w:rsidRPr="001E3185">
              <w:rPr>
                <w:rFonts w:cs="Arial"/>
              </w:rPr>
              <w:t>]</w:t>
            </w:r>
          </w:p>
        </w:tc>
        <w:tc>
          <w:tcPr>
            <w:tcW w:w="992" w:type="dxa"/>
            <w:shd w:val="clear" w:color="auto" w:fill="FFFFFF" w:themeFill="background1"/>
            <w:noWrap/>
            <w:vAlign w:val="center"/>
          </w:tcPr>
          <w:p w14:paraId="3F70A063" w14:textId="77777777" w:rsidR="00692E71" w:rsidRPr="001E3185" w:rsidRDefault="00692E71" w:rsidP="008E0250">
            <w:pPr>
              <w:jc w:val="center"/>
              <w:rPr>
                <w:rFonts w:cs="Arial"/>
              </w:rPr>
            </w:pPr>
            <w:r w:rsidRPr="001E3185">
              <w:rPr>
                <w:rFonts w:cs="Arial"/>
              </w:rPr>
              <w:t>0.03</w:t>
            </w:r>
          </w:p>
        </w:tc>
        <w:tc>
          <w:tcPr>
            <w:tcW w:w="1559" w:type="dxa"/>
            <w:shd w:val="clear" w:color="auto" w:fill="FFFFFF" w:themeFill="background1"/>
            <w:noWrap/>
            <w:vAlign w:val="center"/>
          </w:tcPr>
          <w:p w14:paraId="5EC5D44C" w14:textId="77777777" w:rsidR="00692E71" w:rsidRPr="001E3185" w:rsidRDefault="00692E71" w:rsidP="008E0250">
            <w:pPr>
              <w:jc w:val="center"/>
              <w:rPr>
                <w:rFonts w:cs="Arial"/>
              </w:rPr>
            </w:pPr>
            <w:r w:rsidRPr="001E3185">
              <w:rPr>
                <w:rFonts w:cs="Arial"/>
              </w:rPr>
              <w:t>0.09</w:t>
            </w:r>
          </w:p>
        </w:tc>
        <w:tc>
          <w:tcPr>
            <w:tcW w:w="1560" w:type="dxa"/>
            <w:shd w:val="clear" w:color="auto" w:fill="FFFFFF" w:themeFill="background1"/>
            <w:noWrap/>
            <w:vAlign w:val="center"/>
          </w:tcPr>
          <w:p w14:paraId="666E5BBF" w14:textId="77777777" w:rsidR="00692E71" w:rsidRPr="001E3185" w:rsidRDefault="00692E71" w:rsidP="008E0250">
            <w:pPr>
              <w:jc w:val="center"/>
              <w:rPr>
                <w:rFonts w:cs="Arial"/>
              </w:rPr>
            </w:pPr>
            <w:r w:rsidRPr="001E3185">
              <w:rPr>
                <w:rFonts w:cs="Arial"/>
              </w:rPr>
              <w:t>0.03</w:t>
            </w:r>
          </w:p>
        </w:tc>
        <w:tc>
          <w:tcPr>
            <w:tcW w:w="1559" w:type="dxa"/>
            <w:shd w:val="clear" w:color="auto" w:fill="FFFFFF" w:themeFill="background1"/>
            <w:vAlign w:val="center"/>
          </w:tcPr>
          <w:p w14:paraId="32C29D0F" w14:textId="77777777" w:rsidR="00692E71" w:rsidRPr="001E3185" w:rsidRDefault="00692E71" w:rsidP="008E0250">
            <w:pPr>
              <w:jc w:val="center"/>
              <w:rPr>
                <w:rFonts w:cs="Arial"/>
              </w:rPr>
            </w:pPr>
            <w:r w:rsidRPr="001E3185">
              <w:rPr>
                <w:rFonts w:cs="Arial"/>
              </w:rPr>
              <w:t>0.04</w:t>
            </w:r>
          </w:p>
        </w:tc>
      </w:tr>
      <w:tr w:rsidR="00692E71" w:rsidRPr="001E3185" w14:paraId="7C95E027" w14:textId="77777777" w:rsidTr="008E0250">
        <w:trPr>
          <w:trHeight w:val="20"/>
        </w:trPr>
        <w:tc>
          <w:tcPr>
            <w:tcW w:w="3681" w:type="dxa"/>
            <w:shd w:val="clear" w:color="auto" w:fill="FFFFFF" w:themeFill="background1"/>
            <w:noWrap/>
            <w:vAlign w:val="center"/>
          </w:tcPr>
          <w:p w14:paraId="54E15204" w14:textId="77777777" w:rsidR="00692E71" w:rsidRPr="001E3185" w:rsidRDefault="00692E71" w:rsidP="008E0250">
            <w:pPr>
              <w:rPr>
                <w:rFonts w:cs="Arial"/>
                <w:lang w:eastAsia="da-DK"/>
              </w:rPr>
            </w:pPr>
            <w:r w:rsidRPr="001E3185">
              <w:rPr>
                <w:rFonts w:cs="Arial"/>
                <w:b/>
                <w:lang w:eastAsia="da-DK"/>
              </w:rPr>
              <w:t>Fence (brushing, soil)</w:t>
            </w:r>
          </w:p>
        </w:tc>
        <w:tc>
          <w:tcPr>
            <w:tcW w:w="992" w:type="dxa"/>
            <w:shd w:val="clear" w:color="auto" w:fill="FFFFFF" w:themeFill="background1"/>
            <w:noWrap/>
            <w:vAlign w:val="center"/>
          </w:tcPr>
          <w:p w14:paraId="63144D2D" w14:textId="77777777" w:rsidR="00692E71" w:rsidRPr="001E3185" w:rsidRDefault="00692E71" w:rsidP="008E0250">
            <w:pPr>
              <w:jc w:val="center"/>
              <w:rPr>
                <w:rFonts w:cs="Arial"/>
              </w:rPr>
            </w:pPr>
          </w:p>
        </w:tc>
        <w:tc>
          <w:tcPr>
            <w:tcW w:w="1559" w:type="dxa"/>
            <w:shd w:val="clear" w:color="auto" w:fill="FFFFFF" w:themeFill="background1"/>
            <w:noWrap/>
            <w:vAlign w:val="center"/>
          </w:tcPr>
          <w:p w14:paraId="1CE19C81" w14:textId="77777777" w:rsidR="00692E71" w:rsidRPr="001E3185" w:rsidRDefault="00692E71" w:rsidP="008E0250">
            <w:pPr>
              <w:jc w:val="center"/>
              <w:rPr>
                <w:rFonts w:cs="Arial"/>
              </w:rPr>
            </w:pPr>
          </w:p>
        </w:tc>
        <w:tc>
          <w:tcPr>
            <w:tcW w:w="1560" w:type="dxa"/>
            <w:shd w:val="clear" w:color="auto" w:fill="FFFFFF" w:themeFill="background1"/>
            <w:noWrap/>
            <w:vAlign w:val="center"/>
          </w:tcPr>
          <w:p w14:paraId="163DBC96" w14:textId="77777777" w:rsidR="00692E71" w:rsidRPr="001E3185" w:rsidRDefault="00692E71" w:rsidP="008E0250">
            <w:pPr>
              <w:jc w:val="center"/>
              <w:rPr>
                <w:rFonts w:cs="Arial"/>
              </w:rPr>
            </w:pPr>
          </w:p>
        </w:tc>
        <w:tc>
          <w:tcPr>
            <w:tcW w:w="1559" w:type="dxa"/>
            <w:shd w:val="clear" w:color="auto" w:fill="FFFFFF" w:themeFill="background1"/>
            <w:vAlign w:val="center"/>
          </w:tcPr>
          <w:p w14:paraId="5978710D" w14:textId="77777777" w:rsidR="00692E71" w:rsidRPr="001E3185" w:rsidRDefault="00692E71" w:rsidP="008E0250">
            <w:pPr>
              <w:jc w:val="center"/>
              <w:rPr>
                <w:rFonts w:cs="Arial"/>
              </w:rPr>
            </w:pPr>
          </w:p>
        </w:tc>
      </w:tr>
      <w:tr w:rsidR="00692E71" w:rsidRPr="001E3185" w14:paraId="3B6E03A4" w14:textId="77777777" w:rsidTr="008E0250">
        <w:trPr>
          <w:trHeight w:val="20"/>
        </w:trPr>
        <w:tc>
          <w:tcPr>
            <w:tcW w:w="3681" w:type="dxa"/>
            <w:shd w:val="clear" w:color="auto" w:fill="FFFFFF" w:themeFill="background1"/>
            <w:noWrap/>
            <w:vAlign w:val="center"/>
          </w:tcPr>
          <w:p w14:paraId="1CC52F9B" w14:textId="77777777" w:rsidR="00692E71" w:rsidRPr="001E3185" w:rsidRDefault="00692E71" w:rsidP="008E0250">
            <w:pPr>
              <w:rPr>
                <w:rFonts w:cs="Arial"/>
                <w:b/>
                <w:lang w:eastAsia="da-DK"/>
              </w:rPr>
            </w:pPr>
            <w:r w:rsidRPr="001E3185">
              <w:rPr>
                <w:rFonts w:cs="Arial"/>
                <w:lang w:eastAsia="da-DK"/>
              </w:rPr>
              <w:t xml:space="preserve">PEC local in </w:t>
            </w:r>
            <w:r w:rsidRPr="001E3185">
              <w:rPr>
                <w:rFonts w:cs="Arial"/>
              </w:rPr>
              <w:t>soil at the end of the day of application (fence, professional application) [mg.kg</w:t>
            </w:r>
            <w:r w:rsidRPr="001E3185">
              <w:rPr>
                <w:rFonts w:cs="Arial"/>
                <w:vertAlign w:val="subscript"/>
              </w:rPr>
              <w:t>wwt</w:t>
            </w:r>
            <w:r w:rsidRPr="001E3185">
              <w:rPr>
                <w:rFonts w:cs="Arial"/>
                <w:vertAlign w:val="superscript"/>
              </w:rPr>
              <w:t>-1</w:t>
            </w:r>
            <w:r w:rsidRPr="001E3185">
              <w:rPr>
                <w:rFonts w:cs="Arial"/>
              </w:rPr>
              <w:t>]</w:t>
            </w:r>
          </w:p>
        </w:tc>
        <w:tc>
          <w:tcPr>
            <w:tcW w:w="992" w:type="dxa"/>
            <w:shd w:val="clear" w:color="auto" w:fill="FFFFFF" w:themeFill="background1"/>
            <w:noWrap/>
            <w:vAlign w:val="center"/>
          </w:tcPr>
          <w:p w14:paraId="53C01577"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0B044D00" w14:textId="77777777" w:rsidR="00692E71" w:rsidRPr="001E3185" w:rsidRDefault="00692E71" w:rsidP="008E0250">
            <w:pPr>
              <w:jc w:val="center"/>
              <w:rPr>
                <w:rFonts w:cs="Arial"/>
                <w:lang w:eastAsia="da-DK"/>
              </w:rPr>
            </w:pPr>
            <w:r w:rsidRPr="001E3185">
              <w:rPr>
                <w:rFonts w:cs="Arial"/>
              </w:rPr>
              <w:t>0.04</w:t>
            </w:r>
          </w:p>
        </w:tc>
        <w:tc>
          <w:tcPr>
            <w:tcW w:w="1560" w:type="dxa"/>
            <w:shd w:val="clear" w:color="auto" w:fill="FFFFFF" w:themeFill="background1"/>
            <w:noWrap/>
            <w:vAlign w:val="center"/>
          </w:tcPr>
          <w:p w14:paraId="3F0AB983"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vAlign w:val="center"/>
          </w:tcPr>
          <w:p w14:paraId="197BBF7E" w14:textId="77777777" w:rsidR="00692E71" w:rsidRPr="001E3185" w:rsidRDefault="00692E71" w:rsidP="008E0250">
            <w:pPr>
              <w:jc w:val="center"/>
              <w:rPr>
                <w:rFonts w:cs="Arial"/>
                <w:lang w:eastAsia="da-DK"/>
              </w:rPr>
            </w:pPr>
            <w:r w:rsidRPr="001E3185">
              <w:rPr>
                <w:rFonts w:cs="Arial"/>
              </w:rPr>
              <w:t>0.02</w:t>
            </w:r>
          </w:p>
        </w:tc>
      </w:tr>
      <w:tr w:rsidR="00692E71" w:rsidRPr="001E3185" w14:paraId="60D93DEB" w14:textId="77777777" w:rsidTr="008E0250">
        <w:trPr>
          <w:trHeight w:val="20"/>
        </w:trPr>
        <w:tc>
          <w:tcPr>
            <w:tcW w:w="3681" w:type="dxa"/>
            <w:shd w:val="clear" w:color="auto" w:fill="FFFFFF" w:themeFill="background1"/>
            <w:noWrap/>
            <w:vAlign w:val="center"/>
          </w:tcPr>
          <w:p w14:paraId="068E6D45" w14:textId="77777777" w:rsidR="00692E71" w:rsidRPr="001E3185" w:rsidRDefault="00692E71" w:rsidP="008E0250">
            <w:pPr>
              <w:rPr>
                <w:rFonts w:cs="Arial"/>
                <w:b/>
                <w:lang w:eastAsia="da-DK"/>
              </w:rPr>
            </w:pPr>
            <w:r w:rsidRPr="001E3185">
              <w:rPr>
                <w:rFonts w:cs="Arial"/>
                <w:lang w:eastAsia="da-DK"/>
              </w:rPr>
              <w:t xml:space="preserve">PEC local in </w:t>
            </w:r>
            <w:r w:rsidRPr="001E3185">
              <w:rPr>
                <w:rFonts w:cs="Arial"/>
              </w:rPr>
              <w:t>soil at the end of the day of application (fence, non-professional application) [mg.kg</w:t>
            </w:r>
            <w:r w:rsidRPr="001E3185">
              <w:rPr>
                <w:rFonts w:cs="Arial"/>
                <w:vertAlign w:val="subscript"/>
              </w:rPr>
              <w:t>wwt</w:t>
            </w:r>
            <w:r w:rsidRPr="001E3185">
              <w:rPr>
                <w:rFonts w:cs="Arial"/>
                <w:vertAlign w:val="superscript"/>
              </w:rPr>
              <w:t>-1</w:t>
            </w:r>
            <w:r w:rsidRPr="001E3185">
              <w:rPr>
                <w:rFonts w:cs="Arial"/>
              </w:rPr>
              <w:t>]</w:t>
            </w:r>
          </w:p>
        </w:tc>
        <w:tc>
          <w:tcPr>
            <w:tcW w:w="992" w:type="dxa"/>
            <w:shd w:val="clear" w:color="auto" w:fill="FFFFFF" w:themeFill="background1"/>
            <w:noWrap/>
            <w:vAlign w:val="center"/>
          </w:tcPr>
          <w:p w14:paraId="21029682"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noWrap/>
            <w:vAlign w:val="center"/>
          </w:tcPr>
          <w:p w14:paraId="7B54B3AB" w14:textId="77777777" w:rsidR="00692E71" w:rsidRPr="001E3185" w:rsidRDefault="00692E71" w:rsidP="008E0250">
            <w:pPr>
              <w:jc w:val="center"/>
              <w:rPr>
                <w:rFonts w:cs="Arial"/>
                <w:lang w:eastAsia="da-DK"/>
              </w:rPr>
            </w:pPr>
            <w:r w:rsidRPr="001E3185">
              <w:rPr>
                <w:rFonts w:cs="Arial"/>
              </w:rPr>
              <w:t>0.07</w:t>
            </w:r>
          </w:p>
        </w:tc>
        <w:tc>
          <w:tcPr>
            <w:tcW w:w="1560" w:type="dxa"/>
            <w:shd w:val="clear" w:color="auto" w:fill="FFFFFF" w:themeFill="background1"/>
            <w:noWrap/>
            <w:vAlign w:val="center"/>
          </w:tcPr>
          <w:p w14:paraId="7B7D9B08"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vAlign w:val="center"/>
          </w:tcPr>
          <w:p w14:paraId="1CB1821C" w14:textId="77777777" w:rsidR="00692E71" w:rsidRPr="001E3185" w:rsidRDefault="00692E71" w:rsidP="008E0250">
            <w:pPr>
              <w:jc w:val="center"/>
              <w:rPr>
                <w:rFonts w:cs="Arial"/>
                <w:lang w:eastAsia="da-DK"/>
              </w:rPr>
            </w:pPr>
            <w:r w:rsidRPr="001E3185">
              <w:rPr>
                <w:rFonts w:cs="Arial"/>
              </w:rPr>
              <w:t>0.03</w:t>
            </w:r>
          </w:p>
        </w:tc>
      </w:tr>
      <w:tr w:rsidR="00692E71" w:rsidRPr="001E3185" w14:paraId="00BE1DBB" w14:textId="77777777" w:rsidTr="008E0250">
        <w:trPr>
          <w:trHeight w:val="20"/>
        </w:trPr>
        <w:tc>
          <w:tcPr>
            <w:tcW w:w="3681" w:type="dxa"/>
            <w:shd w:val="clear" w:color="auto" w:fill="FFFFFF" w:themeFill="background1"/>
            <w:noWrap/>
            <w:vAlign w:val="bottom"/>
          </w:tcPr>
          <w:p w14:paraId="092940BC" w14:textId="77777777" w:rsidR="00692E71" w:rsidRPr="001E3185" w:rsidRDefault="00692E71" w:rsidP="008E0250">
            <w:pPr>
              <w:rPr>
                <w:rFonts w:cs="Arial"/>
                <w:lang w:eastAsia="da-DK"/>
              </w:rPr>
            </w:pPr>
            <w:r w:rsidRPr="001E3185">
              <w:rPr>
                <w:rFonts w:cs="Arial"/>
                <w:b/>
                <w:lang w:eastAsia="da-DK"/>
              </w:rPr>
              <w:t>House (spraying, soil)</w:t>
            </w:r>
          </w:p>
        </w:tc>
        <w:tc>
          <w:tcPr>
            <w:tcW w:w="992" w:type="dxa"/>
            <w:shd w:val="clear" w:color="auto" w:fill="FFFFFF" w:themeFill="background1"/>
            <w:noWrap/>
            <w:vAlign w:val="center"/>
          </w:tcPr>
          <w:p w14:paraId="0EA5100A" w14:textId="77777777" w:rsidR="00692E71" w:rsidRPr="001E3185" w:rsidRDefault="00692E71" w:rsidP="008E0250">
            <w:pPr>
              <w:jc w:val="center"/>
              <w:rPr>
                <w:rFonts w:cs="Arial"/>
                <w:lang w:eastAsia="da-DK"/>
              </w:rPr>
            </w:pPr>
          </w:p>
        </w:tc>
        <w:tc>
          <w:tcPr>
            <w:tcW w:w="1559" w:type="dxa"/>
            <w:shd w:val="clear" w:color="auto" w:fill="FFFFFF" w:themeFill="background1"/>
            <w:noWrap/>
            <w:vAlign w:val="center"/>
          </w:tcPr>
          <w:p w14:paraId="6D651BC2" w14:textId="77777777" w:rsidR="00692E71" w:rsidRPr="001E3185" w:rsidRDefault="00692E71" w:rsidP="008E0250">
            <w:pPr>
              <w:jc w:val="center"/>
              <w:rPr>
                <w:rFonts w:cs="Arial"/>
                <w:lang w:eastAsia="da-DK"/>
              </w:rPr>
            </w:pPr>
          </w:p>
        </w:tc>
        <w:tc>
          <w:tcPr>
            <w:tcW w:w="1560" w:type="dxa"/>
            <w:shd w:val="clear" w:color="auto" w:fill="FFFFFF" w:themeFill="background1"/>
            <w:noWrap/>
            <w:vAlign w:val="center"/>
          </w:tcPr>
          <w:p w14:paraId="5AE6D04B" w14:textId="77777777" w:rsidR="00692E71" w:rsidRPr="001E3185" w:rsidRDefault="00692E71" w:rsidP="008E0250">
            <w:pPr>
              <w:jc w:val="center"/>
              <w:rPr>
                <w:rFonts w:cs="Arial"/>
                <w:lang w:eastAsia="da-DK"/>
              </w:rPr>
            </w:pPr>
          </w:p>
        </w:tc>
        <w:tc>
          <w:tcPr>
            <w:tcW w:w="1559" w:type="dxa"/>
            <w:shd w:val="clear" w:color="auto" w:fill="FFFFFF" w:themeFill="background1"/>
            <w:vAlign w:val="center"/>
          </w:tcPr>
          <w:p w14:paraId="63D1BFF6" w14:textId="77777777" w:rsidR="00692E71" w:rsidRPr="001E3185" w:rsidRDefault="00692E71" w:rsidP="008E0250">
            <w:pPr>
              <w:jc w:val="center"/>
              <w:rPr>
                <w:rFonts w:cs="Arial"/>
                <w:lang w:eastAsia="da-DK"/>
              </w:rPr>
            </w:pPr>
          </w:p>
        </w:tc>
      </w:tr>
      <w:tr w:rsidR="00692E71" w:rsidRPr="001E3185" w14:paraId="604905D7" w14:textId="77777777" w:rsidTr="008E0250">
        <w:trPr>
          <w:trHeight w:val="20"/>
        </w:trPr>
        <w:tc>
          <w:tcPr>
            <w:tcW w:w="3681" w:type="dxa"/>
            <w:shd w:val="clear" w:color="auto" w:fill="FFFFFF" w:themeFill="background1"/>
            <w:noWrap/>
            <w:vAlign w:val="center"/>
          </w:tcPr>
          <w:p w14:paraId="18874EDA" w14:textId="77777777" w:rsidR="00692E71" w:rsidRPr="001E3185" w:rsidRDefault="00692E71" w:rsidP="008E0250">
            <w:pPr>
              <w:rPr>
                <w:rFonts w:cs="Arial"/>
                <w:lang w:eastAsia="da-DK"/>
              </w:rPr>
            </w:pPr>
            <w:r w:rsidRPr="001E3185">
              <w:rPr>
                <w:rFonts w:cs="Arial"/>
              </w:rPr>
              <w:t>PEC local in soil at the end of the day of application due to spray drift (tier 1) and run-off</w:t>
            </w:r>
          </w:p>
        </w:tc>
        <w:tc>
          <w:tcPr>
            <w:tcW w:w="992" w:type="dxa"/>
            <w:shd w:val="clear" w:color="auto" w:fill="FFFFFF" w:themeFill="background1"/>
            <w:noWrap/>
            <w:vAlign w:val="center"/>
          </w:tcPr>
          <w:p w14:paraId="19E8B25A" w14:textId="77777777" w:rsidR="00692E71" w:rsidRPr="001E3185" w:rsidRDefault="00692E71" w:rsidP="008E0250">
            <w:pPr>
              <w:jc w:val="center"/>
              <w:rPr>
                <w:rFonts w:cs="Arial"/>
                <w:lang w:eastAsia="da-DK"/>
              </w:rPr>
            </w:pPr>
            <w:r w:rsidRPr="001E3185">
              <w:rPr>
                <w:rFonts w:cs="Arial"/>
              </w:rPr>
              <w:t>0.17</w:t>
            </w:r>
          </w:p>
        </w:tc>
        <w:tc>
          <w:tcPr>
            <w:tcW w:w="1559" w:type="dxa"/>
            <w:shd w:val="clear" w:color="auto" w:fill="FFFFFF" w:themeFill="background1"/>
            <w:noWrap/>
            <w:vAlign w:val="center"/>
          </w:tcPr>
          <w:p w14:paraId="0F0EEBAC" w14:textId="77777777" w:rsidR="00692E71" w:rsidRPr="001E3185" w:rsidRDefault="00692E71" w:rsidP="008E0250">
            <w:pPr>
              <w:jc w:val="center"/>
              <w:rPr>
                <w:rFonts w:cs="Arial"/>
                <w:lang w:eastAsia="da-DK"/>
              </w:rPr>
            </w:pPr>
            <w:r w:rsidRPr="001E3185">
              <w:rPr>
                <w:rFonts w:cs="Arial"/>
              </w:rPr>
              <w:t>0.51</w:t>
            </w:r>
          </w:p>
        </w:tc>
        <w:tc>
          <w:tcPr>
            <w:tcW w:w="1560" w:type="dxa"/>
            <w:shd w:val="clear" w:color="auto" w:fill="FFFFFF" w:themeFill="background1"/>
            <w:noWrap/>
            <w:vAlign w:val="center"/>
          </w:tcPr>
          <w:p w14:paraId="4A73CD75" w14:textId="77777777" w:rsidR="00692E71" w:rsidRPr="001E3185" w:rsidRDefault="00692E71" w:rsidP="008E0250">
            <w:pPr>
              <w:jc w:val="center"/>
              <w:rPr>
                <w:rFonts w:cs="Arial"/>
                <w:lang w:eastAsia="da-DK"/>
              </w:rPr>
            </w:pPr>
            <w:r w:rsidRPr="001E3185">
              <w:rPr>
                <w:rFonts w:cs="Arial"/>
              </w:rPr>
              <w:t>0.17</w:t>
            </w:r>
          </w:p>
        </w:tc>
        <w:tc>
          <w:tcPr>
            <w:tcW w:w="1559" w:type="dxa"/>
            <w:shd w:val="clear" w:color="auto" w:fill="FFFFFF" w:themeFill="background1"/>
            <w:vAlign w:val="center"/>
          </w:tcPr>
          <w:p w14:paraId="579DEAE4" w14:textId="77777777" w:rsidR="00692E71" w:rsidRPr="001E3185" w:rsidRDefault="00692E71" w:rsidP="008E0250">
            <w:pPr>
              <w:jc w:val="center"/>
              <w:rPr>
                <w:rFonts w:cs="Arial"/>
                <w:lang w:eastAsia="da-DK"/>
              </w:rPr>
            </w:pPr>
            <w:r w:rsidRPr="001E3185">
              <w:rPr>
                <w:rFonts w:cs="Arial"/>
              </w:rPr>
              <w:t>0.24</w:t>
            </w:r>
          </w:p>
        </w:tc>
      </w:tr>
      <w:tr w:rsidR="00692E71" w:rsidRPr="001E3185" w14:paraId="4E31678B" w14:textId="77777777" w:rsidTr="008E0250">
        <w:trPr>
          <w:trHeight w:val="20"/>
        </w:trPr>
        <w:tc>
          <w:tcPr>
            <w:tcW w:w="3681" w:type="dxa"/>
            <w:shd w:val="clear" w:color="auto" w:fill="FFFFFF" w:themeFill="background1"/>
            <w:noWrap/>
            <w:vAlign w:val="center"/>
          </w:tcPr>
          <w:p w14:paraId="6C720137" w14:textId="77777777" w:rsidR="00692E71" w:rsidRPr="001E3185" w:rsidRDefault="00692E71" w:rsidP="008E0250">
            <w:pPr>
              <w:rPr>
                <w:rFonts w:cs="Arial"/>
              </w:rPr>
            </w:pPr>
            <w:r w:rsidRPr="001E3185">
              <w:rPr>
                <w:rFonts w:cs="Arial"/>
              </w:rPr>
              <w:t>PEC local in soil at the end of the day of application due to spray drift  (tier 2) and run-off</w:t>
            </w:r>
          </w:p>
        </w:tc>
        <w:tc>
          <w:tcPr>
            <w:tcW w:w="992" w:type="dxa"/>
            <w:shd w:val="clear" w:color="auto" w:fill="FFFFFF" w:themeFill="background1"/>
            <w:noWrap/>
            <w:vAlign w:val="center"/>
          </w:tcPr>
          <w:p w14:paraId="6CA57B56"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noWrap/>
            <w:vAlign w:val="center"/>
          </w:tcPr>
          <w:p w14:paraId="237982DD" w14:textId="77777777" w:rsidR="00692E71" w:rsidRPr="001E3185" w:rsidRDefault="00692E71" w:rsidP="008E0250">
            <w:pPr>
              <w:jc w:val="center"/>
              <w:rPr>
                <w:rFonts w:cs="Arial"/>
                <w:lang w:eastAsia="da-DK"/>
              </w:rPr>
            </w:pPr>
            <w:r w:rsidRPr="001E3185">
              <w:rPr>
                <w:rFonts w:cs="Arial"/>
              </w:rPr>
              <w:t>0.05</w:t>
            </w:r>
          </w:p>
        </w:tc>
        <w:tc>
          <w:tcPr>
            <w:tcW w:w="1560" w:type="dxa"/>
            <w:shd w:val="clear" w:color="auto" w:fill="FFFFFF" w:themeFill="background1"/>
            <w:noWrap/>
            <w:vAlign w:val="center"/>
          </w:tcPr>
          <w:p w14:paraId="079E0C10"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vAlign w:val="center"/>
          </w:tcPr>
          <w:p w14:paraId="554188FE" w14:textId="77777777" w:rsidR="00692E71" w:rsidRPr="001E3185" w:rsidRDefault="00692E71" w:rsidP="008E0250">
            <w:pPr>
              <w:jc w:val="center"/>
              <w:rPr>
                <w:rFonts w:cs="Arial"/>
                <w:lang w:eastAsia="da-DK"/>
              </w:rPr>
            </w:pPr>
            <w:r w:rsidRPr="001E3185">
              <w:rPr>
                <w:rFonts w:cs="Arial"/>
              </w:rPr>
              <w:t>0.02</w:t>
            </w:r>
          </w:p>
        </w:tc>
      </w:tr>
    </w:tbl>
    <w:p w14:paraId="585E0F38" w14:textId="77777777" w:rsidR="00692E71" w:rsidRPr="00750AC3" w:rsidRDefault="00692E71" w:rsidP="00692E71">
      <w:pPr>
        <w:rPr>
          <w:rFonts w:ascii="Arial" w:hAnsi="Arial" w:cs="Arial"/>
        </w:rPr>
      </w:pPr>
    </w:p>
    <w:p w14:paraId="2B7ABB60" w14:textId="77777777" w:rsidR="00692E71" w:rsidRPr="00FE333D" w:rsidRDefault="00692E71" w:rsidP="003356DA">
      <w:pPr>
        <w:pStyle w:val="Titre5"/>
        <w:rPr>
          <w:lang w:val="en-US"/>
        </w:rPr>
      </w:pPr>
      <w:bookmarkStart w:id="142" w:name="_Toc452669006"/>
      <w:r w:rsidRPr="00FE333D">
        <w:rPr>
          <w:lang w:val="en-US"/>
        </w:rPr>
        <w:t>PEC in STP, surface water and sediment</w:t>
      </w:r>
      <w:bookmarkEnd w:id="142"/>
    </w:p>
    <w:p w14:paraId="1E731829" w14:textId="77777777" w:rsidR="00692E71" w:rsidRPr="001E3185" w:rsidRDefault="00692E71" w:rsidP="00692E71">
      <w:pPr>
        <w:rPr>
          <w:rFonts w:cs="Arial"/>
        </w:rPr>
      </w:pPr>
    </w:p>
    <w:p w14:paraId="40729EE8"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34</w:t>
      </w:r>
      <w:r w:rsidRPr="001E3185">
        <w:rPr>
          <w:rFonts w:ascii="Verdana" w:hAnsi="Verdana"/>
        </w:rPr>
        <w:fldChar w:fldCharType="end"/>
      </w:r>
      <w:r w:rsidRPr="001E3185">
        <w:rPr>
          <w:rFonts w:ascii="Verdana" w:hAnsi="Verdana"/>
        </w:rPr>
        <w:t>: PEC in STP, surface water and sediment, industrial dipping, in-service.</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843"/>
        <w:gridCol w:w="1084"/>
        <w:gridCol w:w="1641"/>
        <w:gridCol w:w="1603"/>
        <w:gridCol w:w="1598"/>
      </w:tblGrid>
      <w:tr w:rsidR="00692E71" w:rsidRPr="001E3185" w14:paraId="0764EF7E" w14:textId="77777777" w:rsidTr="008E0250">
        <w:trPr>
          <w:trHeight w:val="20"/>
          <w:tblHeader/>
        </w:trPr>
        <w:tc>
          <w:tcPr>
            <w:tcW w:w="4039" w:type="dxa"/>
            <w:shd w:val="clear" w:color="auto" w:fill="FFFFFF" w:themeFill="background1"/>
            <w:noWrap/>
            <w:vAlign w:val="bottom"/>
          </w:tcPr>
          <w:p w14:paraId="08470519" w14:textId="77777777" w:rsidR="00692E71" w:rsidRPr="001E3185" w:rsidRDefault="00692E71" w:rsidP="008E0250">
            <w:pPr>
              <w:rPr>
                <w:rFonts w:cs="Arial"/>
                <w:lang w:eastAsia="da-DK"/>
              </w:rPr>
            </w:pPr>
          </w:p>
        </w:tc>
        <w:tc>
          <w:tcPr>
            <w:tcW w:w="1134" w:type="dxa"/>
            <w:shd w:val="clear" w:color="auto" w:fill="FFFFFF" w:themeFill="background1"/>
            <w:noWrap/>
            <w:vAlign w:val="bottom"/>
          </w:tcPr>
          <w:p w14:paraId="279B4941" w14:textId="77777777" w:rsidR="00692E71" w:rsidRPr="001E3185" w:rsidRDefault="00692E71" w:rsidP="008E0250">
            <w:pPr>
              <w:jc w:val="center"/>
              <w:rPr>
                <w:rFonts w:cs="Arial"/>
                <w:b/>
                <w:lang w:eastAsia="da-DK"/>
              </w:rPr>
            </w:pPr>
            <w:r w:rsidRPr="001E3185">
              <w:rPr>
                <w:rFonts w:cs="Arial"/>
                <w:b/>
                <w:lang w:eastAsia="da-DK"/>
              </w:rPr>
              <w:t>IPBC</w:t>
            </w:r>
          </w:p>
        </w:tc>
        <w:tc>
          <w:tcPr>
            <w:tcW w:w="1507" w:type="dxa"/>
            <w:shd w:val="clear" w:color="auto" w:fill="FFFFFF" w:themeFill="background1"/>
            <w:noWrap/>
            <w:vAlign w:val="bottom"/>
          </w:tcPr>
          <w:p w14:paraId="0B560CCC" w14:textId="77777777" w:rsidR="00692E71" w:rsidRPr="001E3185" w:rsidRDefault="00692E71" w:rsidP="008E0250">
            <w:pPr>
              <w:jc w:val="center"/>
              <w:rPr>
                <w:rFonts w:cs="Arial"/>
                <w:b/>
                <w:lang w:eastAsia="da-DK"/>
              </w:rPr>
            </w:pPr>
            <w:r w:rsidRPr="001E3185">
              <w:rPr>
                <w:rFonts w:cs="Arial"/>
                <w:b/>
                <w:lang w:eastAsia="da-DK"/>
              </w:rPr>
              <w:t>Propiconazole</w:t>
            </w:r>
          </w:p>
        </w:tc>
        <w:tc>
          <w:tcPr>
            <w:tcW w:w="1474" w:type="dxa"/>
            <w:shd w:val="clear" w:color="auto" w:fill="FFFFFF" w:themeFill="background1"/>
            <w:noWrap/>
            <w:vAlign w:val="bottom"/>
          </w:tcPr>
          <w:p w14:paraId="7F359AD7" w14:textId="77777777" w:rsidR="00692E71" w:rsidRPr="001E3185" w:rsidRDefault="00692E71" w:rsidP="008E0250">
            <w:pPr>
              <w:jc w:val="center"/>
              <w:rPr>
                <w:rFonts w:cs="Arial"/>
                <w:b/>
                <w:lang w:eastAsia="da-DK"/>
              </w:rPr>
            </w:pPr>
            <w:r w:rsidRPr="001E3185">
              <w:rPr>
                <w:rFonts w:cs="Arial"/>
                <w:b/>
                <w:lang w:eastAsia="da-DK"/>
              </w:rPr>
              <w:t>Tebuconazole</w:t>
            </w:r>
          </w:p>
        </w:tc>
        <w:tc>
          <w:tcPr>
            <w:tcW w:w="1441" w:type="dxa"/>
            <w:shd w:val="clear" w:color="auto" w:fill="FFFFFF" w:themeFill="background1"/>
          </w:tcPr>
          <w:p w14:paraId="468214CE"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4854DCF3" w14:textId="77777777" w:rsidTr="008E0250">
        <w:trPr>
          <w:trHeight w:val="20"/>
        </w:trPr>
        <w:tc>
          <w:tcPr>
            <w:tcW w:w="9595" w:type="dxa"/>
            <w:gridSpan w:val="5"/>
            <w:shd w:val="clear" w:color="auto" w:fill="FFFFFF" w:themeFill="background1"/>
            <w:noWrap/>
            <w:vAlign w:val="center"/>
          </w:tcPr>
          <w:p w14:paraId="46446148" w14:textId="77777777" w:rsidR="00692E71" w:rsidRPr="001E3185" w:rsidRDefault="00692E71" w:rsidP="008E0250">
            <w:pPr>
              <w:rPr>
                <w:rFonts w:cs="Arial"/>
                <w:lang w:eastAsia="da-DK"/>
              </w:rPr>
            </w:pPr>
            <w:r w:rsidRPr="001E3185">
              <w:rPr>
                <w:rFonts w:cs="Arial"/>
                <w:b/>
                <w:lang w:eastAsia="da-DK"/>
              </w:rPr>
              <w:t>Noise Barrier (STP influent)</w:t>
            </w:r>
          </w:p>
        </w:tc>
      </w:tr>
      <w:tr w:rsidR="00692E71" w:rsidRPr="001E3185" w14:paraId="5852F915" w14:textId="77777777" w:rsidTr="008E0250">
        <w:trPr>
          <w:trHeight w:val="20"/>
        </w:trPr>
        <w:tc>
          <w:tcPr>
            <w:tcW w:w="4039" w:type="dxa"/>
            <w:shd w:val="clear" w:color="auto" w:fill="FFFFFF" w:themeFill="background1"/>
            <w:noWrap/>
            <w:vAlign w:val="center"/>
          </w:tcPr>
          <w:p w14:paraId="7AAD2F4A"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without removal [µg/L] Time 1</w:t>
            </w:r>
          </w:p>
        </w:tc>
        <w:tc>
          <w:tcPr>
            <w:tcW w:w="1134" w:type="dxa"/>
            <w:shd w:val="clear" w:color="auto" w:fill="FFFFFF" w:themeFill="background1"/>
            <w:noWrap/>
            <w:vAlign w:val="center"/>
          </w:tcPr>
          <w:p w14:paraId="60FC21FE" w14:textId="77777777" w:rsidR="00692E71" w:rsidRPr="001E3185" w:rsidRDefault="00692E71" w:rsidP="008E0250">
            <w:pPr>
              <w:jc w:val="center"/>
              <w:rPr>
                <w:rFonts w:cs="Arial"/>
                <w:lang w:eastAsia="da-DK"/>
              </w:rPr>
            </w:pPr>
            <w:r w:rsidRPr="001E3185">
              <w:rPr>
                <w:rFonts w:cs="Arial"/>
              </w:rPr>
              <w:t>0.18</w:t>
            </w:r>
          </w:p>
        </w:tc>
        <w:tc>
          <w:tcPr>
            <w:tcW w:w="1507" w:type="dxa"/>
            <w:shd w:val="clear" w:color="auto" w:fill="FFFFFF" w:themeFill="background1"/>
            <w:noWrap/>
            <w:vAlign w:val="center"/>
          </w:tcPr>
          <w:p w14:paraId="43B0EDB5" w14:textId="77777777" w:rsidR="00692E71" w:rsidRPr="001E3185" w:rsidRDefault="00692E71" w:rsidP="008E0250">
            <w:pPr>
              <w:jc w:val="center"/>
              <w:rPr>
                <w:rFonts w:cs="Arial"/>
                <w:lang w:eastAsia="da-DK"/>
              </w:rPr>
            </w:pPr>
            <w:r w:rsidRPr="001E3185">
              <w:rPr>
                <w:rFonts w:cs="Arial"/>
              </w:rPr>
              <w:t>0.72</w:t>
            </w:r>
          </w:p>
        </w:tc>
        <w:tc>
          <w:tcPr>
            <w:tcW w:w="1474" w:type="dxa"/>
            <w:shd w:val="clear" w:color="auto" w:fill="FFFFFF" w:themeFill="background1"/>
            <w:noWrap/>
            <w:vAlign w:val="center"/>
          </w:tcPr>
          <w:p w14:paraId="759C09D3" w14:textId="77777777" w:rsidR="00692E71" w:rsidRPr="001E3185" w:rsidRDefault="00692E71" w:rsidP="008E0250">
            <w:pPr>
              <w:jc w:val="center"/>
              <w:rPr>
                <w:rFonts w:cs="Arial"/>
                <w:lang w:eastAsia="da-DK"/>
              </w:rPr>
            </w:pPr>
            <w:r w:rsidRPr="001E3185">
              <w:rPr>
                <w:rFonts w:cs="Arial"/>
              </w:rPr>
              <w:t>0.31</w:t>
            </w:r>
          </w:p>
        </w:tc>
        <w:tc>
          <w:tcPr>
            <w:tcW w:w="1441" w:type="dxa"/>
            <w:shd w:val="clear" w:color="auto" w:fill="FFFFFF" w:themeFill="background1"/>
            <w:vAlign w:val="center"/>
          </w:tcPr>
          <w:p w14:paraId="7E31D205" w14:textId="77777777" w:rsidR="00692E71" w:rsidRPr="001E3185" w:rsidRDefault="00692E71" w:rsidP="008E0250">
            <w:pPr>
              <w:jc w:val="center"/>
              <w:rPr>
                <w:rFonts w:cs="Arial"/>
                <w:lang w:eastAsia="da-DK"/>
              </w:rPr>
            </w:pPr>
            <w:r w:rsidRPr="001E3185">
              <w:rPr>
                <w:rFonts w:cs="Arial"/>
              </w:rPr>
              <w:t>2.0*10</w:t>
            </w:r>
            <w:r w:rsidRPr="001E3185">
              <w:rPr>
                <w:rFonts w:cs="Arial"/>
                <w:vertAlign w:val="superscript"/>
              </w:rPr>
              <w:t>-3</w:t>
            </w:r>
          </w:p>
        </w:tc>
      </w:tr>
      <w:tr w:rsidR="00692E71" w:rsidRPr="001E3185" w14:paraId="53348F09" w14:textId="77777777" w:rsidTr="008E0250">
        <w:trPr>
          <w:trHeight w:val="20"/>
        </w:trPr>
        <w:tc>
          <w:tcPr>
            <w:tcW w:w="4039" w:type="dxa"/>
            <w:shd w:val="clear" w:color="auto" w:fill="FFFFFF" w:themeFill="background1"/>
            <w:noWrap/>
            <w:vAlign w:val="center"/>
          </w:tcPr>
          <w:p w14:paraId="022A90CB"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without removal [µg/L] Time 2 (5475 days)</w:t>
            </w:r>
          </w:p>
        </w:tc>
        <w:tc>
          <w:tcPr>
            <w:tcW w:w="1134" w:type="dxa"/>
            <w:shd w:val="clear" w:color="auto" w:fill="FFFFFF" w:themeFill="background1"/>
            <w:noWrap/>
            <w:vAlign w:val="center"/>
          </w:tcPr>
          <w:p w14:paraId="36018062" w14:textId="77777777" w:rsidR="00692E71" w:rsidRPr="001E3185" w:rsidRDefault="00692E71" w:rsidP="008E0250">
            <w:pPr>
              <w:jc w:val="center"/>
              <w:rPr>
                <w:rFonts w:cs="Arial"/>
                <w:lang w:eastAsia="da-DK"/>
              </w:rPr>
            </w:pPr>
            <w:r w:rsidRPr="001E3185">
              <w:rPr>
                <w:rFonts w:cs="Arial"/>
              </w:rPr>
              <w:t>0.01</w:t>
            </w:r>
          </w:p>
        </w:tc>
        <w:tc>
          <w:tcPr>
            <w:tcW w:w="1507" w:type="dxa"/>
            <w:shd w:val="clear" w:color="auto" w:fill="FFFFFF" w:themeFill="background1"/>
            <w:noWrap/>
            <w:vAlign w:val="center"/>
          </w:tcPr>
          <w:p w14:paraId="72A6F1C3" w14:textId="77777777" w:rsidR="00692E71" w:rsidRPr="001E3185" w:rsidRDefault="00692E71" w:rsidP="008E0250">
            <w:pPr>
              <w:jc w:val="center"/>
              <w:rPr>
                <w:rFonts w:cs="Arial"/>
                <w:lang w:eastAsia="da-DK"/>
              </w:rPr>
            </w:pPr>
            <w:r w:rsidRPr="001E3185">
              <w:rPr>
                <w:rFonts w:cs="Arial"/>
              </w:rPr>
              <w:t>0.03</w:t>
            </w:r>
          </w:p>
        </w:tc>
        <w:tc>
          <w:tcPr>
            <w:tcW w:w="1474" w:type="dxa"/>
            <w:shd w:val="clear" w:color="auto" w:fill="FFFFFF" w:themeFill="background1"/>
            <w:noWrap/>
            <w:vAlign w:val="center"/>
          </w:tcPr>
          <w:p w14:paraId="0995C599" w14:textId="77777777" w:rsidR="00692E71" w:rsidRPr="001E3185" w:rsidRDefault="00692E71" w:rsidP="008E0250">
            <w:pPr>
              <w:jc w:val="center"/>
              <w:rPr>
                <w:rFonts w:cs="Arial"/>
                <w:lang w:eastAsia="da-DK"/>
              </w:rPr>
            </w:pPr>
            <w:r w:rsidRPr="001E3185">
              <w:rPr>
                <w:rFonts w:cs="Arial"/>
              </w:rPr>
              <w:t>0.01</w:t>
            </w:r>
          </w:p>
        </w:tc>
        <w:tc>
          <w:tcPr>
            <w:tcW w:w="1441" w:type="dxa"/>
            <w:shd w:val="clear" w:color="auto" w:fill="FFFFFF" w:themeFill="background1"/>
            <w:vAlign w:val="center"/>
          </w:tcPr>
          <w:p w14:paraId="51CA2685" w14:textId="77777777" w:rsidR="00692E71" w:rsidRPr="001E3185" w:rsidRDefault="00692E71" w:rsidP="008E0250">
            <w:pPr>
              <w:jc w:val="center"/>
              <w:rPr>
                <w:rFonts w:cs="Arial"/>
                <w:lang w:eastAsia="da-DK"/>
              </w:rPr>
            </w:pPr>
            <w:r w:rsidRPr="001E3185">
              <w:rPr>
                <w:rFonts w:cs="Arial"/>
              </w:rPr>
              <w:t>1.1*10</w:t>
            </w:r>
            <w:r w:rsidRPr="001E3185">
              <w:rPr>
                <w:rFonts w:cs="Arial"/>
                <w:vertAlign w:val="superscript"/>
              </w:rPr>
              <w:t>-3</w:t>
            </w:r>
          </w:p>
        </w:tc>
      </w:tr>
      <w:tr w:rsidR="00692E71" w:rsidRPr="001E3185" w14:paraId="60B0AEAA" w14:textId="77777777" w:rsidTr="008E0250">
        <w:trPr>
          <w:trHeight w:val="20"/>
        </w:trPr>
        <w:tc>
          <w:tcPr>
            <w:tcW w:w="9595" w:type="dxa"/>
            <w:gridSpan w:val="5"/>
            <w:shd w:val="clear" w:color="auto" w:fill="FFFFFF" w:themeFill="background1"/>
            <w:noWrap/>
            <w:vAlign w:val="bottom"/>
          </w:tcPr>
          <w:p w14:paraId="22603A7E" w14:textId="77777777" w:rsidR="00692E71" w:rsidRPr="001E3185" w:rsidRDefault="00692E71" w:rsidP="008E0250">
            <w:pPr>
              <w:jc w:val="center"/>
              <w:rPr>
                <w:rFonts w:cs="Arial"/>
                <w:lang w:eastAsia="da-DK"/>
              </w:rPr>
            </w:pPr>
          </w:p>
        </w:tc>
      </w:tr>
      <w:tr w:rsidR="00692E71" w:rsidRPr="001E3185" w14:paraId="59FD114C" w14:textId="77777777" w:rsidTr="008E0250">
        <w:trPr>
          <w:trHeight w:val="20"/>
        </w:trPr>
        <w:tc>
          <w:tcPr>
            <w:tcW w:w="9595" w:type="dxa"/>
            <w:gridSpan w:val="5"/>
            <w:shd w:val="clear" w:color="auto" w:fill="FFFFFF" w:themeFill="background1"/>
            <w:noWrap/>
            <w:vAlign w:val="center"/>
          </w:tcPr>
          <w:p w14:paraId="7529A71E" w14:textId="77777777" w:rsidR="00692E71" w:rsidRPr="001E3185" w:rsidRDefault="00692E71" w:rsidP="008E0250">
            <w:pPr>
              <w:rPr>
                <w:rFonts w:cs="Arial"/>
                <w:lang w:eastAsia="da-DK"/>
              </w:rPr>
            </w:pPr>
            <w:r w:rsidRPr="001E3185">
              <w:rPr>
                <w:rFonts w:cs="Arial"/>
                <w:b/>
                <w:lang w:eastAsia="da-DK"/>
              </w:rPr>
              <w:t>Bridge over Pond (surface water)</w:t>
            </w:r>
          </w:p>
        </w:tc>
      </w:tr>
      <w:tr w:rsidR="00692E71" w:rsidRPr="001E3185" w14:paraId="1B6ED1A9" w14:textId="77777777" w:rsidTr="008E0250">
        <w:trPr>
          <w:trHeight w:val="20"/>
        </w:trPr>
        <w:tc>
          <w:tcPr>
            <w:tcW w:w="4039" w:type="dxa"/>
            <w:shd w:val="clear" w:color="auto" w:fill="FFFFFF" w:themeFill="background1"/>
            <w:noWrap/>
            <w:vAlign w:val="center"/>
          </w:tcPr>
          <w:p w14:paraId="5C8D83EC"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without removal [µg/L] Time 1</w:t>
            </w:r>
          </w:p>
        </w:tc>
        <w:tc>
          <w:tcPr>
            <w:tcW w:w="1134" w:type="dxa"/>
            <w:shd w:val="clear" w:color="auto" w:fill="FFFFFF" w:themeFill="background1"/>
            <w:noWrap/>
            <w:vAlign w:val="center"/>
          </w:tcPr>
          <w:p w14:paraId="3C0AE37B" w14:textId="77777777" w:rsidR="00692E71" w:rsidRPr="001E3185" w:rsidRDefault="00692E71" w:rsidP="008E0250">
            <w:pPr>
              <w:jc w:val="center"/>
              <w:rPr>
                <w:rFonts w:cs="Arial"/>
                <w:lang w:eastAsia="da-DK"/>
              </w:rPr>
            </w:pPr>
            <w:r w:rsidRPr="001E3185">
              <w:rPr>
                <w:rFonts w:cs="Arial"/>
              </w:rPr>
              <w:t>0.05</w:t>
            </w:r>
          </w:p>
        </w:tc>
        <w:tc>
          <w:tcPr>
            <w:tcW w:w="1507" w:type="dxa"/>
            <w:shd w:val="clear" w:color="auto" w:fill="FFFFFF" w:themeFill="background1"/>
            <w:noWrap/>
            <w:vAlign w:val="center"/>
          </w:tcPr>
          <w:p w14:paraId="08C5AAFF" w14:textId="77777777" w:rsidR="00692E71" w:rsidRPr="001E3185" w:rsidRDefault="00692E71" w:rsidP="008E0250">
            <w:pPr>
              <w:jc w:val="center"/>
              <w:rPr>
                <w:rFonts w:cs="Arial"/>
                <w:lang w:eastAsia="da-DK"/>
              </w:rPr>
            </w:pPr>
            <w:r w:rsidRPr="001E3185">
              <w:rPr>
                <w:rFonts w:cs="Arial"/>
              </w:rPr>
              <w:t>0.20</w:t>
            </w:r>
          </w:p>
        </w:tc>
        <w:tc>
          <w:tcPr>
            <w:tcW w:w="1474" w:type="dxa"/>
            <w:shd w:val="clear" w:color="auto" w:fill="FFFFFF" w:themeFill="background1"/>
            <w:noWrap/>
            <w:vAlign w:val="center"/>
          </w:tcPr>
          <w:p w14:paraId="223DACCA" w14:textId="77777777" w:rsidR="00692E71" w:rsidRPr="001E3185" w:rsidRDefault="00692E71" w:rsidP="008E0250">
            <w:pPr>
              <w:jc w:val="center"/>
              <w:rPr>
                <w:rFonts w:cs="Arial"/>
                <w:lang w:eastAsia="da-DK"/>
              </w:rPr>
            </w:pPr>
            <w:r w:rsidRPr="001E3185">
              <w:rPr>
                <w:rFonts w:cs="Arial"/>
              </w:rPr>
              <w:t>0.09</w:t>
            </w:r>
          </w:p>
        </w:tc>
        <w:tc>
          <w:tcPr>
            <w:tcW w:w="1441" w:type="dxa"/>
            <w:shd w:val="clear" w:color="auto" w:fill="FFFFFF" w:themeFill="background1"/>
            <w:vAlign w:val="center"/>
          </w:tcPr>
          <w:p w14:paraId="331A850B" w14:textId="77777777" w:rsidR="00692E71" w:rsidRPr="001E3185" w:rsidRDefault="00692E71" w:rsidP="008E0250">
            <w:pPr>
              <w:jc w:val="center"/>
              <w:rPr>
                <w:rFonts w:cs="Arial"/>
                <w:lang w:eastAsia="da-DK"/>
              </w:rPr>
            </w:pPr>
            <w:r w:rsidRPr="001E3185">
              <w:rPr>
                <w:rFonts w:cs="Arial"/>
              </w:rPr>
              <w:t>5.7*10</w:t>
            </w:r>
            <w:r w:rsidRPr="001E3185">
              <w:rPr>
                <w:rFonts w:cs="Arial"/>
                <w:vertAlign w:val="superscript"/>
              </w:rPr>
              <w:t>-4</w:t>
            </w:r>
          </w:p>
        </w:tc>
      </w:tr>
      <w:tr w:rsidR="00692E71" w:rsidRPr="001E3185" w14:paraId="34658EEB" w14:textId="77777777" w:rsidTr="008E0250">
        <w:trPr>
          <w:trHeight w:val="20"/>
        </w:trPr>
        <w:tc>
          <w:tcPr>
            <w:tcW w:w="4039" w:type="dxa"/>
            <w:shd w:val="clear" w:color="auto" w:fill="FFFFFF" w:themeFill="background1"/>
            <w:noWrap/>
            <w:vAlign w:val="center"/>
          </w:tcPr>
          <w:p w14:paraId="056E11FF"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without removal [µg/L] Time 2 (5475 days)</w:t>
            </w:r>
          </w:p>
        </w:tc>
        <w:tc>
          <w:tcPr>
            <w:tcW w:w="1134" w:type="dxa"/>
            <w:shd w:val="clear" w:color="auto" w:fill="FFFFFF" w:themeFill="background1"/>
            <w:noWrap/>
            <w:vAlign w:val="center"/>
          </w:tcPr>
          <w:p w14:paraId="6AB50FB1" w14:textId="77777777" w:rsidR="00692E71" w:rsidRPr="001E3185" w:rsidRDefault="00692E71" w:rsidP="008E0250">
            <w:pPr>
              <w:jc w:val="center"/>
              <w:rPr>
                <w:rFonts w:cs="Arial"/>
                <w:lang w:eastAsia="da-DK"/>
              </w:rPr>
            </w:pPr>
            <w:r w:rsidRPr="001E3185">
              <w:rPr>
                <w:rFonts w:cs="Arial"/>
              </w:rPr>
              <w:t>0.33</w:t>
            </w:r>
          </w:p>
        </w:tc>
        <w:tc>
          <w:tcPr>
            <w:tcW w:w="1507" w:type="dxa"/>
            <w:shd w:val="clear" w:color="auto" w:fill="FFFFFF" w:themeFill="background1"/>
            <w:noWrap/>
            <w:vAlign w:val="center"/>
          </w:tcPr>
          <w:p w14:paraId="3F27F203" w14:textId="77777777" w:rsidR="00692E71" w:rsidRPr="001E3185" w:rsidRDefault="00692E71" w:rsidP="008E0250">
            <w:pPr>
              <w:jc w:val="center"/>
              <w:rPr>
                <w:rFonts w:cs="Arial"/>
                <w:lang w:eastAsia="da-DK"/>
              </w:rPr>
            </w:pPr>
            <w:r w:rsidRPr="001E3185">
              <w:rPr>
                <w:rFonts w:cs="Arial"/>
              </w:rPr>
              <w:t>1.83</w:t>
            </w:r>
          </w:p>
        </w:tc>
        <w:tc>
          <w:tcPr>
            <w:tcW w:w="1474" w:type="dxa"/>
            <w:shd w:val="clear" w:color="auto" w:fill="FFFFFF" w:themeFill="background1"/>
            <w:noWrap/>
            <w:vAlign w:val="center"/>
          </w:tcPr>
          <w:p w14:paraId="7A7C2877" w14:textId="77777777" w:rsidR="00692E71" w:rsidRPr="001E3185" w:rsidRDefault="00692E71" w:rsidP="008E0250">
            <w:pPr>
              <w:jc w:val="center"/>
              <w:rPr>
                <w:rFonts w:cs="Arial"/>
                <w:lang w:eastAsia="da-DK"/>
              </w:rPr>
            </w:pPr>
            <w:r w:rsidRPr="001E3185">
              <w:rPr>
                <w:rFonts w:cs="Arial"/>
              </w:rPr>
              <w:t>0.68</w:t>
            </w:r>
          </w:p>
        </w:tc>
        <w:tc>
          <w:tcPr>
            <w:tcW w:w="1441" w:type="dxa"/>
            <w:shd w:val="clear" w:color="auto" w:fill="FFFFFF" w:themeFill="background1"/>
            <w:vAlign w:val="center"/>
          </w:tcPr>
          <w:p w14:paraId="08295319" w14:textId="77777777" w:rsidR="00692E71" w:rsidRPr="001E3185" w:rsidRDefault="00692E71" w:rsidP="008E0250">
            <w:pPr>
              <w:jc w:val="center"/>
              <w:rPr>
                <w:rFonts w:cs="Arial"/>
                <w:lang w:eastAsia="da-DK"/>
              </w:rPr>
            </w:pPr>
            <w:r w:rsidRPr="001E3185">
              <w:rPr>
                <w:rFonts w:cs="Arial"/>
              </w:rPr>
              <w:t>0.06</w:t>
            </w:r>
          </w:p>
        </w:tc>
      </w:tr>
      <w:tr w:rsidR="00692E71" w:rsidRPr="001E3185" w14:paraId="4C4BA147" w14:textId="77777777" w:rsidTr="008E0250">
        <w:trPr>
          <w:trHeight w:val="20"/>
        </w:trPr>
        <w:tc>
          <w:tcPr>
            <w:tcW w:w="4039" w:type="dxa"/>
            <w:shd w:val="clear" w:color="auto" w:fill="FFFFFF" w:themeFill="background1"/>
            <w:noWrap/>
            <w:vAlign w:val="center"/>
          </w:tcPr>
          <w:p w14:paraId="3728A6FC"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 removal, [µg/L] Time 1 (30 days)</w:t>
            </w:r>
          </w:p>
        </w:tc>
        <w:tc>
          <w:tcPr>
            <w:tcW w:w="1134" w:type="dxa"/>
            <w:shd w:val="clear" w:color="auto" w:fill="FFFFFF" w:themeFill="background1"/>
            <w:noWrap/>
            <w:vAlign w:val="center"/>
          </w:tcPr>
          <w:p w14:paraId="2D9AF4AE" w14:textId="77777777" w:rsidR="00692E71" w:rsidRPr="001E3185" w:rsidRDefault="00692E71" w:rsidP="008E0250">
            <w:pPr>
              <w:jc w:val="center"/>
              <w:rPr>
                <w:rFonts w:cs="Arial"/>
                <w:lang w:eastAsia="da-DK"/>
              </w:rPr>
            </w:pPr>
            <w:r w:rsidRPr="001E3185">
              <w:rPr>
                <w:rFonts w:cs="Arial"/>
              </w:rPr>
              <w:t>3.1*10</w:t>
            </w:r>
            <w:r w:rsidRPr="001E3185">
              <w:rPr>
                <w:rFonts w:cs="Arial"/>
                <w:vertAlign w:val="superscript"/>
              </w:rPr>
              <w:t>-4</w:t>
            </w:r>
          </w:p>
        </w:tc>
        <w:tc>
          <w:tcPr>
            <w:tcW w:w="1507" w:type="dxa"/>
            <w:shd w:val="clear" w:color="auto" w:fill="FFFFFF" w:themeFill="background1"/>
            <w:noWrap/>
            <w:vAlign w:val="center"/>
          </w:tcPr>
          <w:p w14:paraId="2CA9769A" w14:textId="77777777" w:rsidR="00692E71" w:rsidRPr="001E3185" w:rsidRDefault="00692E71" w:rsidP="008E0250">
            <w:pPr>
              <w:jc w:val="center"/>
              <w:rPr>
                <w:rFonts w:cs="Arial"/>
                <w:lang w:eastAsia="da-DK"/>
              </w:rPr>
            </w:pPr>
            <w:r w:rsidRPr="001E3185">
              <w:rPr>
                <w:rFonts w:cs="Arial"/>
              </w:rPr>
              <w:t>9.8*10-2</w:t>
            </w:r>
          </w:p>
        </w:tc>
        <w:tc>
          <w:tcPr>
            <w:tcW w:w="1474" w:type="dxa"/>
            <w:shd w:val="clear" w:color="auto" w:fill="FFFFFF" w:themeFill="background1"/>
            <w:noWrap/>
            <w:vAlign w:val="center"/>
          </w:tcPr>
          <w:p w14:paraId="7C37BF0B" w14:textId="77777777" w:rsidR="00692E71" w:rsidRPr="001E3185" w:rsidRDefault="00692E71" w:rsidP="008E0250">
            <w:pPr>
              <w:jc w:val="center"/>
              <w:rPr>
                <w:rFonts w:cs="Arial"/>
                <w:lang w:eastAsia="da-DK"/>
              </w:rPr>
            </w:pPr>
            <w:r w:rsidRPr="001E3185">
              <w:rPr>
                <w:rFonts w:cs="Arial"/>
              </w:rPr>
              <w:t>4.2*10-2</w:t>
            </w:r>
          </w:p>
        </w:tc>
        <w:tc>
          <w:tcPr>
            <w:tcW w:w="1441" w:type="dxa"/>
            <w:shd w:val="clear" w:color="auto" w:fill="FFFFFF" w:themeFill="background1"/>
            <w:vAlign w:val="center"/>
          </w:tcPr>
          <w:p w14:paraId="01A905AE" w14:textId="77777777" w:rsidR="00692E71" w:rsidRPr="001E3185" w:rsidRDefault="00692E71" w:rsidP="008E0250">
            <w:pPr>
              <w:jc w:val="center"/>
              <w:rPr>
                <w:rFonts w:cs="Arial"/>
                <w:lang w:eastAsia="da-DK"/>
              </w:rPr>
            </w:pPr>
            <w:r w:rsidRPr="001E3185">
              <w:rPr>
                <w:rFonts w:cs="Arial"/>
              </w:rPr>
              <w:t>4.8*10-6</w:t>
            </w:r>
          </w:p>
        </w:tc>
      </w:tr>
      <w:tr w:rsidR="00692E71" w:rsidRPr="001E3185" w14:paraId="1964A3AA" w14:textId="77777777" w:rsidTr="008E0250">
        <w:trPr>
          <w:trHeight w:val="20"/>
        </w:trPr>
        <w:tc>
          <w:tcPr>
            <w:tcW w:w="4039" w:type="dxa"/>
            <w:shd w:val="clear" w:color="auto" w:fill="FFFFFF" w:themeFill="background1"/>
            <w:noWrap/>
            <w:vAlign w:val="center"/>
          </w:tcPr>
          <w:p w14:paraId="0C76FC0F"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 removal, [µg/L] Time 2 (1825 days)</w:t>
            </w:r>
          </w:p>
        </w:tc>
        <w:tc>
          <w:tcPr>
            <w:tcW w:w="1134" w:type="dxa"/>
            <w:shd w:val="clear" w:color="auto" w:fill="FFFFFF" w:themeFill="background1"/>
            <w:noWrap/>
            <w:vAlign w:val="center"/>
          </w:tcPr>
          <w:p w14:paraId="4BB09388" w14:textId="77777777" w:rsidR="00692E71" w:rsidRPr="001E3185" w:rsidRDefault="00692E71" w:rsidP="008E0250">
            <w:pPr>
              <w:jc w:val="center"/>
              <w:rPr>
                <w:rFonts w:cs="Arial"/>
                <w:lang w:eastAsia="da-DK"/>
              </w:rPr>
            </w:pPr>
            <w:r w:rsidRPr="001E3185">
              <w:rPr>
                <w:rFonts w:cs="Arial"/>
              </w:rPr>
              <w:t>1.1*10</w:t>
            </w:r>
            <w:r w:rsidRPr="001E3185">
              <w:rPr>
                <w:rFonts w:cs="Arial"/>
                <w:vertAlign w:val="superscript"/>
              </w:rPr>
              <w:t>-5</w:t>
            </w:r>
          </w:p>
        </w:tc>
        <w:tc>
          <w:tcPr>
            <w:tcW w:w="1507" w:type="dxa"/>
            <w:shd w:val="clear" w:color="auto" w:fill="FFFFFF" w:themeFill="background1"/>
            <w:noWrap/>
            <w:vAlign w:val="center"/>
          </w:tcPr>
          <w:p w14:paraId="50189834" w14:textId="77777777" w:rsidR="00692E71" w:rsidRPr="001E3185" w:rsidRDefault="00692E71" w:rsidP="008E0250">
            <w:pPr>
              <w:jc w:val="center"/>
              <w:rPr>
                <w:rFonts w:cs="Arial"/>
                <w:lang w:eastAsia="da-DK"/>
              </w:rPr>
            </w:pPr>
            <w:r w:rsidRPr="001E3185">
              <w:rPr>
                <w:rFonts w:cs="Arial"/>
              </w:rPr>
              <w:t>3.9*10</w:t>
            </w:r>
            <w:r w:rsidRPr="001E3185">
              <w:rPr>
                <w:rFonts w:cs="Arial"/>
                <w:vertAlign w:val="superscript"/>
              </w:rPr>
              <w:t>-1</w:t>
            </w:r>
          </w:p>
        </w:tc>
        <w:tc>
          <w:tcPr>
            <w:tcW w:w="1474" w:type="dxa"/>
            <w:shd w:val="clear" w:color="auto" w:fill="FFFFFF" w:themeFill="background1"/>
            <w:noWrap/>
            <w:vAlign w:val="center"/>
          </w:tcPr>
          <w:p w14:paraId="5A93EDE3" w14:textId="77777777" w:rsidR="00692E71" w:rsidRPr="001E3185" w:rsidRDefault="00692E71" w:rsidP="008E0250">
            <w:pPr>
              <w:jc w:val="center"/>
              <w:rPr>
                <w:rFonts w:cs="Arial"/>
                <w:lang w:eastAsia="da-DK"/>
              </w:rPr>
            </w:pPr>
            <w:r w:rsidRPr="001E3185">
              <w:rPr>
                <w:rFonts w:cs="Arial"/>
              </w:rPr>
              <w:t>3.2*10</w:t>
            </w:r>
            <w:r w:rsidRPr="001E3185">
              <w:rPr>
                <w:rFonts w:cs="Arial"/>
                <w:vertAlign w:val="superscript"/>
              </w:rPr>
              <w:t>-2</w:t>
            </w:r>
          </w:p>
        </w:tc>
        <w:tc>
          <w:tcPr>
            <w:tcW w:w="1441" w:type="dxa"/>
            <w:shd w:val="clear" w:color="auto" w:fill="FFFFFF" w:themeFill="background1"/>
            <w:vAlign w:val="center"/>
          </w:tcPr>
          <w:p w14:paraId="781A05FD" w14:textId="77777777" w:rsidR="00692E71" w:rsidRPr="001E3185" w:rsidRDefault="00692E71" w:rsidP="008E0250">
            <w:pPr>
              <w:jc w:val="center"/>
              <w:rPr>
                <w:rFonts w:cs="Arial"/>
                <w:lang w:eastAsia="da-DK"/>
              </w:rPr>
            </w:pPr>
            <w:r w:rsidRPr="001E3185">
              <w:rPr>
                <w:rFonts w:cs="Arial"/>
              </w:rPr>
              <w:t>6.7*10</w:t>
            </w:r>
            <w:r w:rsidRPr="001E3185">
              <w:rPr>
                <w:rFonts w:cs="Arial"/>
                <w:vertAlign w:val="superscript"/>
              </w:rPr>
              <w:t>-6</w:t>
            </w:r>
          </w:p>
        </w:tc>
      </w:tr>
      <w:tr w:rsidR="00692E71" w:rsidRPr="001E3185" w14:paraId="7BA1279B" w14:textId="77777777" w:rsidTr="008E0250">
        <w:trPr>
          <w:trHeight w:val="20"/>
        </w:trPr>
        <w:tc>
          <w:tcPr>
            <w:tcW w:w="9595" w:type="dxa"/>
            <w:gridSpan w:val="5"/>
            <w:shd w:val="clear" w:color="auto" w:fill="FFFFFF" w:themeFill="background1"/>
            <w:noWrap/>
            <w:vAlign w:val="center"/>
          </w:tcPr>
          <w:p w14:paraId="44E761D6" w14:textId="77777777" w:rsidR="00692E71" w:rsidRPr="001E3185" w:rsidRDefault="00692E71" w:rsidP="008E0250">
            <w:pPr>
              <w:rPr>
                <w:rFonts w:cs="Arial"/>
              </w:rPr>
            </w:pPr>
          </w:p>
        </w:tc>
      </w:tr>
      <w:tr w:rsidR="00692E71" w:rsidRPr="001E3185" w14:paraId="78EB0A5B" w14:textId="77777777" w:rsidTr="008E0250">
        <w:trPr>
          <w:trHeight w:val="20"/>
        </w:trPr>
        <w:tc>
          <w:tcPr>
            <w:tcW w:w="9595" w:type="dxa"/>
            <w:gridSpan w:val="5"/>
            <w:shd w:val="clear" w:color="auto" w:fill="FFFFFF" w:themeFill="background1"/>
            <w:noWrap/>
            <w:vAlign w:val="center"/>
          </w:tcPr>
          <w:p w14:paraId="70794F7B" w14:textId="77777777" w:rsidR="00692E71" w:rsidRPr="001E3185" w:rsidRDefault="00692E71" w:rsidP="008E0250">
            <w:pPr>
              <w:rPr>
                <w:rFonts w:cs="Arial"/>
                <w:lang w:eastAsia="da-DK"/>
              </w:rPr>
            </w:pPr>
            <w:r w:rsidRPr="001E3185">
              <w:rPr>
                <w:rFonts w:cs="Arial"/>
                <w:b/>
                <w:lang w:eastAsia="da-DK"/>
              </w:rPr>
              <w:t>Bridge over Pond (sediment)</w:t>
            </w:r>
          </w:p>
        </w:tc>
      </w:tr>
      <w:tr w:rsidR="00692E71" w:rsidRPr="001E3185" w14:paraId="60208164" w14:textId="77777777" w:rsidTr="008E0250">
        <w:trPr>
          <w:trHeight w:val="20"/>
        </w:trPr>
        <w:tc>
          <w:tcPr>
            <w:tcW w:w="4039" w:type="dxa"/>
            <w:shd w:val="clear" w:color="auto" w:fill="FFFFFF" w:themeFill="background1"/>
            <w:noWrap/>
            <w:vAlign w:val="center"/>
          </w:tcPr>
          <w:p w14:paraId="6BF93BD1"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1134" w:type="dxa"/>
            <w:shd w:val="clear" w:color="auto" w:fill="FFFFFF" w:themeFill="background1"/>
            <w:noWrap/>
            <w:vAlign w:val="center"/>
          </w:tcPr>
          <w:p w14:paraId="5378BD61" w14:textId="77777777" w:rsidR="00692E71" w:rsidRPr="001E3185" w:rsidRDefault="00692E71" w:rsidP="008E0250">
            <w:pPr>
              <w:jc w:val="center"/>
              <w:rPr>
                <w:rFonts w:cs="Arial"/>
                <w:lang w:eastAsia="da-DK"/>
              </w:rPr>
            </w:pPr>
            <w:r w:rsidRPr="001E3185">
              <w:rPr>
                <w:rFonts w:cs="Arial"/>
              </w:rPr>
              <w:t>1.1*10</w:t>
            </w:r>
            <w:r w:rsidRPr="001E3185">
              <w:rPr>
                <w:rFonts w:cs="Arial"/>
                <w:vertAlign w:val="superscript"/>
              </w:rPr>
              <w:t>-6</w:t>
            </w:r>
          </w:p>
        </w:tc>
        <w:tc>
          <w:tcPr>
            <w:tcW w:w="1507" w:type="dxa"/>
            <w:shd w:val="clear" w:color="auto" w:fill="FFFFFF" w:themeFill="background1"/>
            <w:noWrap/>
            <w:vAlign w:val="center"/>
          </w:tcPr>
          <w:p w14:paraId="5A062733" w14:textId="77777777" w:rsidR="00692E71" w:rsidRPr="001E3185" w:rsidRDefault="00692E71" w:rsidP="008E0250">
            <w:pPr>
              <w:jc w:val="center"/>
              <w:rPr>
                <w:rFonts w:cs="Arial"/>
                <w:lang w:eastAsia="da-DK"/>
              </w:rPr>
            </w:pPr>
            <w:r w:rsidRPr="001E3185">
              <w:rPr>
                <w:rFonts w:cs="Arial"/>
              </w:rPr>
              <w:t>2.1*10</w:t>
            </w:r>
            <w:r w:rsidRPr="001E3185">
              <w:rPr>
                <w:rFonts w:cs="Arial"/>
                <w:vertAlign w:val="superscript"/>
              </w:rPr>
              <w:t>-3</w:t>
            </w:r>
          </w:p>
        </w:tc>
        <w:tc>
          <w:tcPr>
            <w:tcW w:w="1474" w:type="dxa"/>
            <w:shd w:val="clear" w:color="auto" w:fill="FFFFFF" w:themeFill="background1"/>
            <w:noWrap/>
            <w:vAlign w:val="center"/>
          </w:tcPr>
          <w:p w14:paraId="391ABE1F" w14:textId="77777777" w:rsidR="00692E71" w:rsidRPr="001E3185" w:rsidRDefault="00692E71" w:rsidP="008E0250">
            <w:pPr>
              <w:jc w:val="center"/>
              <w:rPr>
                <w:rFonts w:cs="Arial"/>
                <w:lang w:eastAsia="da-DK"/>
              </w:rPr>
            </w:pPr>
            <w:r w:rsidRPr="001E3185">
              <w:rPr>
                <w:rFonts w:cs="Arial"/>
              </w:rPr>
              <w:t>9.3*10</w:t>
            </w:r>
            <w:r w:rsidRPr="001E3185">
              <w:rPr>
                <w:rFonts w:cs="Arial"/>
                <w:vertAlign w:val="superscript"/>
              </w:rPr>
              <w:t>-4</w:t>
            </w:r>
          </w:p>
        </w:tc>
        <w:tc>
          <w:tcPr>
            <w:tcW w:w="1441" w:type="dxa"/>
            <w:shd w:val="clear" w:color="auto" w:fill="FFFFFF" w:themeFill="background1"/>
            <w:vAlign w:val="center"/>
          </w:tcPr>
          <w:p w14:paraId="51FC88FF" w14:textId="77777777" w:rsidR="00692E71" w:rsidRPr="001E3185" w:rsidRDefault="00692E71" w:rsidP="008E0250">
            <w:pPr>
              <w:jc w:val="center"/>
              <w:rPr>
                <w:rFonts w:cs="Arial"/>
                <w:lang w:eastAsia="da-DK"/>
              </w:rPr>
            </w:pPr>
            <w:r w:rsidRPr="001E3185">
              <w:rPr>
                <w:rFonts w:cs="Arial"/>
              </w:rPr>
              <w:t>6.0*10</w:t>
            </w:r>
            <w:r w:rsidRPr="001E3185">
              <w:rPr>
                <w:rFonts w:cs="Arial"/>
                <w:vertAlign w:val="superscript"/>
              </w:rPr>
              <w:t>-5</w:t>
            </w:r>
          </w:p>
        </w:tc>
      </w:tr>
      <w:tr w:rsidR="00692E71" w:rsidRPr="001E3185" w14:paraId="76E93E9D" w14:textId="77777777" w:rsidTr="008E0250">
        <w:trPr>
          <w:trHeight w:val="20"/>
        </w:trPr>
        <w:tc>
          <w:tcPr>
            <w:tcW w:w="4039" w:type="dxa"/>
            <w:shd w:val="clear" w:color="auto" w:fill="FFFFFF" w:themeFill="background1"/>
            <w:noWrap/>
            <w:vAlign w:val="center"/>
          </w:tcPr>
          <w:p w14:paraId="5A10C29A"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50066FA7" w14:textId="77777777" w:rsidR="00692E71" w:rsidRPr="001E3185" w:rsidRDefault="00692E71" w:rsidP="008E0250">
            <w:pPr>
              <w:jc w:val="center"/>
              <w:rPr>
                <w:rFonts w:cs="Arial"/>
                <w:lang w:eastAsia="da-DK"/>
              </w:rPr>
            </w:pPr>
            <w:r w:rsidRPr="001E3185">
              <w:rPr>
                <w:rFonts w:cs="Arial"/>
              </w:rPr>
              <w:t>3.9*10</w:t>
            </w:r>
            <w:r w:rsidRPr="001E3185">
              <w:rPr>
                <w:rFonts w:cs="Arial"/>
                <w:vertAlign w:val="superscript"/>
              </w:rPr>
              <w:t>-8</w:t>
            </w:r>
          </w:p>
        </w:tc>
        <w:tc>
          <w:tcPr>
            <w:tcW w:w="1507" w:type="dxa"/>
            <w:shd w:val="clear" w:color="auto" w:fill="FFFFFF" w:themeFill="background1"/>
            <w:noWrap/>
            <w:vAlign w:val="center"/>
          </w:tcPr>
          <w:p w14:paraId="21F62E1D" w14:textId="77777777" w:rsidR="00692E71" w:rsidRPr="001E3185" w:rsidRDefault="00692E71" w:rsidP="008E0250">
            <w:pPr>
              <w:jc w:val="center"/>
              <w:rPr>
                <w:rFonts w:cs="Arial"/>
                <w:lang w:eastAsia="da-DK"/>
              </w:rPr>
            </w:pPr>
            <w:r w:rsidRPr="001E3185">
              <w:rPr>
                <w:rFonts w:cs="Arial"/>
              </w:rPr>
              <w:t>8.3*10</w:t>
            </w:r>
            <w:r w:rsidRPr="001E3185">
              <w:rPr>
                <w:rFonts w:cs="Arial"/>
                <w:vertAlign w:val="superscript"/>
              </w:rPr>
              <w:t>-3</w:t>
            </w:r>
          </w:p>
        </w:tc>
        <w:tc>
          <w:tcPr>
            <w:tcW w:w="1474" w:type="dxa"/>
            <w:shd w:val="clear" w:color="auto" w:fill="FFFFFF" w:themeFill="background1"/>
            <w:noWrap/>
            <w:vAlign w:val="center"/>
          </w:tcPr>
          <w:p w14:paraId="7C53DD35" w14:textId="77777777" w:rsidR="00692E71" w:rsidRPr="001E3185" w:rsidRDefault="00692E71" w:rsidP="008E0250">
            <w:pPr>
              <w:jc w:val="center"/>
              <w:rPr>
                <w:rFonts w:cs="Arial"/>
                <w:lang w:eastAsia="da-DK"/>
              </w:rPr>
            </w:pPr>
            <w:r w:rsidRPr="001E3185">
              <w:rPr>
                <w:rFonts w:cs="Arial"/>
              </w:rPr>
              <w:t>7.2*10</w:t>
            </w:r>
            <w:r w:rsidRPr="001E3185">
              <w:rPr>
                <w:rFonts w:cs="Arial"/>
                <w:vertAlign w:val="superscript"/>
              </w:rPr>
              <w:t>-4</w:t>
            </w:r>
          </w:p>
        </w:tc>
        <w:tc>
          <w:tcPr>
            <w:tcW w:w="1441" w:type="dxa"/>
            <w:shd w:val="clear" w:color="auto" w:fill="FFFFFF" w:themeFill="background1"/>
            <w:vAlign w:val="center"/>
          </w:tcPr>
          <w:p w14:paraId="385A2FD1" w14:textId="77777777" w:rsidR="00692E71" w:rsidRPr="001E3185" w:rsidRDefault="00692E71" w:rsidP="008E0250">
            <w:pPr>
              <w:jc w:val="center"/>
              <w:rPr>
                <w:rFonts w:cs="Arial"/>
                <w:lang w:eastAsia="da-DK"/>
              </w:rPr>
            </w:pPr>
            <w:r w:rsidRPr="001E3185">
              <w:rPr>
                <w:rFonts w:cs="Arial"/>
              </w:rPr>
              <w:t>8.4*10</w:t>
            </w:r>
            <w:r w:rsidRPr="001E3185">
              <w:rPr>
                <w:rFonts w:cs="Arial"/>
                <w:vertAlign w:val="superscript"/>
              </w:rPr>
              <w:t>-5</w:t>
            </w:r>
          </w:p>
        </w:tc>
      </w:tr>
    </w:tbl>
    <w:p w14:paraId="6D13F722" w14:textId="77777777" w:rsidR="00692E71" w:rsidRPr="001E3185" w:rsidRDefault="00692E71" w:rsidP="00692E71">
      <w:pPr>
        <w:rPr>
          <w:rFonts w:cs="Arial"/>
        </w:rPr>
      </w:pPr>
    </w:p>
    <w:p w14:paraId="31FCB4FC"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35</w:t>
      </w:r>
      <w:r w:rsidRPr="001E3185">
        <w:rPr>
          <w:rFonts w:ascii="Verdana" w:hAnsi="Verdana"/>
        </w:rPr>
        <w:fldChar w:fldCharType="end"/>
      </w:r>
      <w:r w:rsidRPr="001E3185">
        <w:rPr>
          <w:rFonts w:ascii="Verdana" w:hAnsi="Verdana"/>
        </w:rPr>
        <w:t>:  PEC in surface water and sediment, professional application.</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843"/>
        <w:gridCol w:w="1084"/>
        <w:gridCol w:w="1641"/>
        <w:gridCol w:w="1603"/>
        <w:gridCol w:w="1598"/>
      </w:tblGrid>
      <w:tr w:rsidR="00692E71" w:rsidRPr="001E3185" w14:paraId="29811501" w14:textId="77777777" w:rsidTr="008E0250">
        <w:trPr>
          <w:trHeight w:val="20"/>
          <w:tblHeader/>
        </w:trPr>
        <w:tc>
          <w:tcPr>
            <w:tcW w:w="4039" w:type="dxa"/>
            <w:shd w:val="clear" w:color="auto" w:fill="FFFFFF" w:themeFill="background1"/>
            <w:noWrap/>
            <w:vAlign w:val="bottom"/>
          </w:tcPr>
          <w:p w14:paraId="46B7F519" w14:textId="77777777" w:rsidR="00692E71" w:rsidRPr="001E3185" w:rsidRDefault="00692E71" w:rsidP="008E0250">
            <w:pPr>
              <w:rPr>
                <w:rFonts w:cs="Arial"/>
                <w:lang w:eastAsia="da-DK"/>
              </w:rPr>
            </w:pPr>
          </w:p>
        </w:tc>
        <w:tc>
          <w:tcPr>
            <w:tcW w:w="1134" w:type="dxa"/>
            <w:shd w:val="clear" w:color="auto" w:fill="FFFFFF" w:themeFill="background1"/>
            <w:noWrap/>
            <w:vAlign w:val="bottom"/>
          </w:tcPr>
          <w:p w14:paraId="1A4299D9" w14:textId="77777777" w:rsidR="00692E71" w:rsidRPr="001E3185" w:rsidRDefault="00692E71" w:rsidP="008E0250">
            <w:pPr>
              <w:jc w:val="center"/>
              <w:rPr>
                <w:rFonts w:cs="Arial"/>
                <w:b/>
                <w:lang w:eastAsia="da-DK"/>
              </w:rPr>
            </w:pPr>
            <w:r w:rsidRPr="001E3185">
              <w:rPr>
                <w:rFonts w:cs="Arial"/>
                <w:b/>
                <w:lang w:eastAsia="da-DK"/>
              </w:rPr>
              <w:t>IPBC</w:t>
            </w:r>
          </w:p>
        </w:tc>
        <w:tc>
          <w:tcPr>
            <w:tcW w:w="1507" w:type="dxa"/>
            <w:shd w:val="clear" w:color="auto" w:fill="FFFFFF" w:themeFill="background1"/>
            <w:noWrap/>
            <w:vAlign w:val="bottom"/>
          </w:tcPr>
          <w:p w14:paraId="0814E48A" w14:textId="77777777" w:rsidR="00692E71" w:rsidRPr="001E3185" w:rsidRDefault="00692E71" w:rsidP="008E0250">
            <w:pPr>
              <w:jc w:val="center"/>
              <w:rPr>
                <w:rFonts w:cs="Arial"/>
                <w:b/>
                <w:lang w:eastAsia="da-DK"/>
              </w:rPr>
            </w:pPr>
            <w:r w:rsidRPr="001E3185">
              <w:rPr>
                <w:rFonts w:cs="Arial"/>
                <w:b/>
                <w:lang w:eastAsia="da-DK"/>
              </w:rPr>
              <w:t>Propiconazole</w:t>
            </w:r>
          </w:p>
        </w:tc>
        <w:tc>
          <w:tcPr>
            <w:tcW w:w="1474" w:type="dxa"/>
            <w:shd w:val="clear" w:color="auto" w:fill="FFFFFF" w:themeFill="background1"/>
            <w:noWrap/>
            <w:vAlign w:val="bottom"/>
          </w:tcPr>
          <w:p w14:paraId="24903948" w14:textId="77777777" w:rsidR="00692E71" w:rsidRPr="001E3185" w:rsidRDefault="00692E71" w:rsidP="008E0250">
            <w:pPr>
              <w:jc w:val="center"/>
              <w:rPr>
                <w:rFonts w:cs="Arial"/>
                <w:b/>
                <w:lang w:eastAsia="da-DK"/>
              </w:rPr>
            </w:pPr>
            <w:r w:rsidRPr="001E3185">
              <w:rPr>
                <w:rFonts w:cs="Arial"/>
                <w:b/>
                <w:lang w:eastAsia="da-DK"/>
              </w:rPr>
              <w:t>Tebuconazole</w:t>
            </w:r>
          </w:p>
        </w:tc>
        <w:tc>
          <w:tcPr>
            <w:tcW w:w="1441" w:type="dxa"/>
            <w:shd w:val="clear" w:color="auto" w:fill="FFFFFF" w:themeFill="background1"/>
          </w:tcPr>
          <w:p w14:paraId="4BF24D02"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65EB1023" w14:textId="77777777" w:rsidTr="008E0250">
        <w:trPr>
          <w:trHeight w:val="20"/>
        </w:trPr>
        <w:tc>
          <w:tcPr>
            <w:tcW w:w="9595" w:type="dxa"/>
            <w:gridSpan w:val="5"/>
            <w:shd w:val="clear" w:color="auto" w:fill="FFFFFF" w:themeFill="background1"/>
            <w:noWrap/>
            <w:vAlign w:val="center"/>
          </w:tcPr>
          <w:p w14:paraId="580F8195" w14:textId="77777777" w:rsidR="00692E71" w:rsidRPr="001E3185" w:rsidRDefault="00692E71" w:rsidP="008E0250">
            <w:pPr>
              <w:rPr>
                <w:rFonts w:cs="Arial"/>
                <w:lang w:eastAsia="da-DK"/>
              </w:rPr>
            </w:pPr>
            <w:r w:rsidRPr="001E3185">
              <w:rPr>
                <w:rFonts w:cs="Arial"/>
                <w:b/>
                <w:lang w:eastAsia="da-DK"/>
              </w:rPr>
              <w:t>Bridge over Pond (surface water)</w:t>
            </w:r>
          </w:p>
        </w:tc>
      </w:tr>
      <w:tr w:rsidR="00692E71" w:rsidRPr="001E3185" w14:paraId="18207C21" w14:textId="77777777" w:rsidTr="008E0250">
        <w:trPr>
          <w:trHeight w:val="20"/>
        </w:trPr>
        <w:tc>
          <w:tcPr>
            <w:tcW w:w="4039" w:type="dxa"/>
            <w:shd w:val="clear" w:color="auto" w:fill="FFFFFF" w:themeFill="background1"/>
            <w:noWrap/>
            <w:vAlign w:val="center"/>
          </w:tcPr>
          <w:p w14:paraId="05D6F4D9"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w:t>
            </w:r>
          </w:p>
        </w:tc>
        <w:tc>
          <w:tcPr>
            <w:tcW w:w="1134" w:type="dxa"/>
            <w:shd w:val="clear" w:color="auto" w:fill="FFFFFF" w:themeFill="background1"/>
            <w:noWrap/>
            <w:vAlign w:val="center"/>
          </w:tcPr>
          <w:p w14:paraId="227BCC0D" w14:textId="77777777" w:rsidR="00692E71" w:rsidRPr="001E3185" w:rsidRDefault="00692E71" w:rsidP="008E0250">
            <w:pPr>
              <w:jc w:val="center"/>
              <w:rPr>
                <w:rFonts w:cs="Arial"/>
                <w:lang w:eastAsia="da-DK"/>
              </w:rPr>
            </w:pPr>
            <w:r w:rsidRPr="001E3185">
              <w:rPr>
                <w:rFonts w:cs="Arial"/>
              </w:rPr>
              <w:t>0.08</w:t>
            </w:r>
          </w:p>
        </w:tc>
        <w:tc>
          <w:tcPr>
            <w:tcW w:w="1507" w:type="dxa"/>
            <w:shd w:val="clear" w:color="auto" w:fill="FFFFFF" w:themeFill="background1"/>
            <w:noWrap/>
            <w:vAlign w:val="center"/>
          </w:tcPr>
          <w:p w14:paraId="024FD070" w14:textId="77777777" w:rsidR="00692E71" w:rsidRPr="001E3185" w:rsidRDefault="00692E71" w:rsidP="008E0250">
            <w:pPr>
              <w:jc w:val="center"/>
              <w:rPr>
                <w:rFonts w:cs="Arial"/>
              </w:rPr>
            </w:pPr>
            <w:r w:rsidRPr="001E3185">
              <w:rPr>
                <w:rFonts w:cs="Arial"/>
              </w:rPr>
              <w:t>0.29</w:t>
            </w:r>
          </w:p>
        </w:tc>
        <w:tc>
          <w:tcPr>
            <w:tcW w:w="1474" w:type="dxa"/>
            <w:shd w:val="clear" w:color="auto" w:fill="FFFFFF" w:themeFill="background1"/>
            <w:noWrap/>
            <w:vAlign w:val="center"/>
          </w:tcPr>
          <w:p w14:paraId="4AFC17A0" w14:textId="77777777" w:rsidR="00692E71" w:rsidRPr="001E3185" w:rsidRDefault="00692E71" w:rsidP="008E0250">
            <w:pPr>
              <w:jc w:val="center"/>
              <w:rPr>
                <w:rFonts w:cs="Arial"/>
              </w:rPr>
            </w:pPr>
            <w:r w:rsidRPr="001E3185">
              <w:rPr>
                <w:rFonts w:cs="Arial"/>
              </w:rPr>
              <w:t>0.12</w:t>
            </w:r>
          </w:p>
        </w:tc>
        <w:tc>
          <w:tcPr>
            <w:tcW w:w="1441" w:type="dxa"/>
            <w:shd w:val="clear" w:color="auto" w:fill="FFFFFF" w:themeFill="background1"/>
            <w:vAlign w:val="center"/>
          </w:tcPr>
          <w:p w14:paraId="44234525" w14:textId="77777777" w:rsidR="00692E71" w:rsidRPr="001E3185" w:rsidRDefault="00692E71" w:rsidP="008E0250">
            <w:pPr>
              <w:jc w:val="center"/>
              <w:rPr>
                <w:rFonts w:cs="Arial"/>
              </w:rPr>
            </w:pPr>
            <w:r w:rsidRPr="001E3185">
              <w:rPr>
                <w:rFonts w:cs="Arial"/>
              </w:rPr>
              <w:t>0.04</w:t>
            </w:r>
          </w:p>
        </w:tc>
      </w:tr>
      <w:tr w:rsidR="00692E71" w:rsidRPr="001E3185" w14:paraId="1760751C" w14:textId="77777777" w:rsidTr="008E0250">
        <w:trPr>
          <w:trHeight w:val="20"/>
        </w:trPr>
        <w:tc>
          <w:tcPr>
            <w:tcW w:w="4039" w:type="dxa"/>
            <w:shd w:val="clear" w:color="auto" w:fill="FFFFFF" w:themeFill="background1"/>
            <w:noWrap/>
            <w:vAlign w:val="center"/>
          </w:tcPr>
          <w:p w14:paraId="3146AFBE"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7FD0D6E0" w14:textId="77777777" w:rsidR="00692E71" w:rsidRPr="001E3185" w:rsidRDefault="00692E71" w:rsidP="008E0250">
            <w:pPr>
              <w:jc w:val="center"/>
              <w:rPr>
                <w:rFonts w:cs="Arial"/>
                <w:lang w:eastAsia="da-DK"/>
              </w:rPr>
            </w:pPr>
            <w:r w:rsidRPr="001E3185">
              <w:rPr>
                <w:rFonts w:cs="Arial"/>
              </w:rPr>
              <w:t>0.17</w:t>
            </w:r>
          </w:p>
        </w:tc>
        <w:tc>
          <w:tcPr>
            <w:tcW w:w="1507" w:type="dxa"/>
            <w:shd w:val="clear" w:color="auto" w:fill="FFFFFF" w:themeFill="background1"/>
            <w:noWrap/>
            <w:vAlign w:val="center"/>
          </w:tcPr>
          <w:p w14:paraId="09D03AD3" w14:textId="77777777" w:rsidR="00692E71" w:rsidRPr="001E3185" w:rsidRDefault="00692E71" w:rsidP="008E0250">
            <w:pPr>
              <w:jc w:val="center"/>
              <w:rPr>
                <w:rFonts w:cs="Arial"/>
              </w:rPr>
            </w:pPr>
            <w:r w:rsidRPr="001E3185">
              <w:rPr>
                <w:rFonts w:cs="Arial"/>
              </w:rPr>
              <w:t>0.83</w:t>
            </w:r>
          </w:p>
        </w:tc>
        <w:tc>
          <w:tcPr>
            <w:tcW w:w="1474" w:type="dxa"/>
            <w:shd w:val="clear" w:color="auto" w:fill="FFFFFF" w:themeFill="background1"/>
            <w:noWrap/>
            <w:vAlign w:val="center"/>
          </w:tcPr>
          <w:p w14:paraId="146D766A" w14:textId="77777777" w:rsidR="00692E71" w:rsidRPr="001E3185" w:rsidRDefault="00692E71" w:rsidP="008E0250">
            <w:pPr>
              <w:jc w:val="center"/>
              <w:rPr>
                <w:rFonts w:cs="Arial"/>
              </w:rPr>
            </w:pPr>
            <w:r w:rsidRPr="001E3185">
              <w:rPr>
                <w:rFonts w:cs="Arial"/>
              </w:rPr>
              <w:t>0.31</w:t>
            </w:r>
          </w:p>
        </w:tc>
        <w:tc>
          <w:tcPr>
            <w:tcW w:w="1441" w:type="dxa"/>
            <w:shd w:val="clear" w:color="auto" w:fill="FFFFFF" w:themeFill="background1"/>
            <w:vAlign w:val="center"/>
          </w:tcPr>
          <w:p w14:paraId="4664781B" w14:textId="77777777" w:rsidR="00692E71" w:rsidRPr="001E3185" w:rsidRDefault="00692E71" w:rsidP="008E0250">
            <w:pPr>
              <w:jc w:val="center"/>
              <w:rPr>
                <w:rFonts w:cs="Arial"/>
              </w:rPr>
            </w:pPr>
            <w:r w:rsidRPr="001E3185">
              <w:rPr>
                <w:rFonts w:cs="Arial"/>
              </w:rPr>
              <w:t>0.06</w:t>
            </w:r>
          </w:p>
        </w:tc>
      </w:tr>
      <w:tr w:rsidR="00692E71" w:rsidRPr="001E3185" w14:paraId="1A569BDA" w14:textId="77777777" w:rsidTr="008E0250">
        <w:trPr>
          <w:trHeight w:val="20"/>
        </w:trPr>
        <w:tc>
          <w:tcPr>
            <w:tcW w:w="4039" w:type="dxa"/>
            <w:shd w:val="clear" w:color="auto" w:fill="FFFFFF" w:themeFill="background1"/>
            <w:noWrap/>
            <w:vAlign w:val="center"/>
          </w:tcPr>
          <w:p w14:paraId="6A7969B8"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1134" w:type="dxa"/>
            <w:shd w:val="clear" w:color="auto" w:fill="FFFFFF" w:themeFill="background1"/>
            <w:noWrap/>
            <w:vAlign w:val="center"/>
          </w:tcPr>
          <w:p w14:paraId="4ED99AAC" w14:textId="77777777" w:rsidR="00692E71" w:rsidRPr="001E3185" w:rsidRDefault="00692E71" w:rsidP="008E0250">
            <w:pPr>
              <w:jc w:val="center"/>
              <w:rPr>
                <w:rFonts w:cs="Arial"/>
              </w:rPr>
            </w:pPr>
            <w:r w:rsidRPr="001E3185">
              <w:rPr>
                <w:rFonts w:cs="Arial"/>
              </w:rPr>
              <w:t>4.9*10</w:t>
            </w:r>
            <w:r w:rsidRPr="001E3185">
              <w:rPr>
                <w:rFonts w:cs="Arial"/>
                <w:vertAlign w:val="superscript"/>
              </w:rPr>
              <w:t>-4</w:t>
            </w:r>
          </w:p>
        </w:tc>
        <w:tc>
          <w:tcPr>
            <w:tcW w:w="1507" w:type="dxa"/>
            <w:shd w:val="clear" w:color="auto" w:fill="FFFFFF" w:themeFill="background1"/>
            <w:noWrap/>
            <w:vAlign w:val="center"/>
          </w:tcPr>
          <w:p w14:paraId="0D0FA8BB" w14:textId="77777777" w:rsidR="00692E71" w:rsidRPr="001E3185" w:rsidRDefault="00692E71" w:rsidP="008E0250">
            <w:pPr>
              <w:jc w:val="center"/>
              <w:rPr>
                <w:rFonts w:cs="Arial"/>
              </w:rPr>
            </w:pPr>
            <w:r w:rsidRPr="001E3185">
              <w:rPr>
                <w:rFonts w:cs="Arial"/>
              </w:rPr>
              <w:t>0.14</w:t>
            </w:r>
          </w:p>
        </w:tc>
        <w:tc>
          <w:tcPr>
            <w:tcW w:w="1474" w:type="dxa"/>
            <w:shd w:val="clear" w:color="auto" w:fill="FFFFFF" w:themeFill="background1"/>
            <w:noWrap/>
            <w:vAlign w:val="center"/>
          </w:tcPr>
          <w:p w14:paraId="2CC8C528" w14:textId="77777777" w:rsidR="00692E71" w:rsidRPr="001E3185" w:rsidRDefault="00692E71" w:rsidP="008E0250">
            <w:pPr>
              <w:jc w:val="center"/>
              <w:rPr>
                <w:rFonts w:cs="Arial"/>
              </w:rPr>
            </w:pPr>
            <w:r w:rsidRPr="001E3185">
              <w:rPr>
                <w:rFonts w:cs="Arial"/>
              </w:rPr>
              <w:t>0.06</w:t>
            </w:r>
          </w:p>
        </w:tc>
        <w:tc>
          <w:tcPr>
            <w:tcW w:w="1441" w:type="dxa"/>
            <w:shd w:val="clear" w:color="auto" w:fill="FFFFFF" w:themeFill="background1"/>
            <w:vAlign w:val="center"/>
          </w:tcPr>
          <w:p w14:paraId="2D40645A" w14:textId="77777777" w:rsidR="00692E71" w:rsidRPr="001E3185" w:rsidRDefault="00692E71" w:rsidP="008E0250">
            <w:pPr>
              <w:jc w:val="center"/>
              <w:rPr>
                <w:rFonts w:cs="Arial"/>
              </w:rPr>
            </w:pPr>
            <w:r w:rsidRPr="001E3185">
              <w:rPr>
                <w:rFonts w:cs="Arial"/>
              </w:rPr>
              <w:t>3.6*10-4</w:t>
            </w:r>
          </w:p>
        </w:tc>
      </w:tr>
      <w:tr w:rsidR="00692E71" w:rsidRPr="001E3185" w14:paraId="3222E15A" w14:textId="77777777" w:rsidTr="008E0250">
        <w:trPr>
          <w:trHeight w:val="20"/>
        </w:trPr>
        <w:tc>
          <w:tcPr>
            <w:tcW w:w="4039" w:type="dxa"/>
            <w:shd w:val="clear" w:color="auto" w:fill="FFFFFF" w:themeFill="background1"/>
            <w:noWrap/>
            <w:vAlign w:val="center"/>
          </w:tcPr>
          <w:p w14:paraId="07A5B4CB"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7B1584DE" w14:textId="77777777" w:rsidR="00692E71" w:rsidRPr="001E3185" w:rsidRDefault="00692E71" w:rsidP="008E0250">
            <w:pPr>
              <w:jc w:val="center"/>
              <w:rPr>
                <w:rFonts w:cs="Arial"/>
                <w:lang w:eastAsia="da-DK"/>
              </w:rPr>
            </w:pPr>
            <w:r w:rsidRPr="001E3185">
              <w:rPr>
                <w:rFonts w:cs="Arial"/>
              </w:rPr>
              <w:t>1.7*10</w:t>
            </w:r>
            <w:r w:rsidRPr="001E3185">
              <w:rPr>
                <w:rFonts w:cs="Arial"/>
                <w:vertAlign w:val="superscript"/>
              </w:rPr>
              <w:t>-5</w:t>
            </w:r>
          </w:p>
        </w:tc>
        <w:tc>
          <w:tcPr>
            <w:tcW w:w="1507" w:type="dxa"/>
            <w:shd w:val="clear" w:color="auto" w:fill="FFFFFF" w:themeFill="background1"/>
            <w:noWrap/>
            <w:vAlign w:val="center"/>
          </w:tcPr>
          <w:p w14:paraId="0397308A" w14:textId="77777777" w:rsidR="00692E71" w:rsidRPr="001E3185" w:rsidRDefault="00692E71" w:rsidP="008E0250">
            <w:pPr>
              <w:jc w:val="center"/>
              <w:rPr>
                <w:rFonts w:cs="Arial"/>
              </w:rPr>
            </w:pPr>
            <w:r w:rsidRPr="001E3185">
              <w:rPr>
                <w:rFonts w:cs="Arial"/>
              </w:rPr>
              <w:t>0.29</w:t>
            </w:r>
          </w:p>
        </w:tc>
        <w:tc>
          <w:tcPr>
            <w:tcW w:w="1474" w:type="dxa"/>
            <w:shd w:val="clear" w:color="auto" w:fill="FFFFFF" w:themeFill="background1"/>
            <w:noWrap/>
            <w:vAlign w:val="center"/>
          </w:tcPr>
          <w:p w14:paraId="5A2DC339" w14:textId="77777777" w:rsidR="00692E71" w:rsidRPr="001E3185" w:rsidRDefault="00692E71" w:rsidP="008E0250">
            <w:pPr>
              <w:jc w:val="center"/>
              <w:rPr>
                <w:rFonts w:cs="Arial"/>
              </w:rPr>
            </w:pPr>
            <w:r w:rsidRPr="001E3185">
              <w:rPr>
                <w:rFonts w:cs="Arial"/>
              </w:rPr>
              <w:t>0.04</w:t>
            </w:r>
          </w:p>
        </w:tc>
        <w:tc>
          <w:tcPr>
            <w:tcW w:w="1441" w:type="dxa"/>
            <w:shd w:val="clear" w:color="auto" w:fill="FFFFFF" w:themeFill="background1"/>
            <w:vAlign w:val="center"/>
          </w:tcPr>
          <w:p w14:paraId="28A7382D" w14:textId="77777777" w:rsidR="00692E71" w:rsidRPr="001E3185" w:rsidRDefault="00692E71" w:rsidP="008E0250">
            <w:pPr>
              <w:jc w:val="center"/>
              <w:rPr>
                <w:rFonts w:cs="Arial"/>
              </w:rPr>
            </w:pPr>
            <w:r w:rsidRPr="001E3185">
              <w:rPr>
                <w:rFonts w:cs="Arial"/>
              </w:rPr>
              <w:t>2.1*10</w:t>
            </w:r>
            <w:r w:rsidRPr="001E3185">
              <w:rPr>
                <w:rFonts w:cs="Arial"/>
                <w:vertAlign w:val="superscript"/>
              </w:rPr>
              <w:t>-5</w:t>
            </w:r>
          </w:p>
        </w:tc>
      </w:tr>
      <w:tr w:rsidR="00692E71" w:rsidRPr="001E3185" w14:paraId="57F0AC35" w14:textId="77777777" w:rsidTr="008E0250">
        <w:trPr>
          <w:trHeight w:val="20"/>
        </w:trPr>
        <w:tc>
          <w:tcPr>
            <w:tcW w:w="9595" w:type="dxa"/>
            <w:gridSpan w:val="5"/>
            <w:shd w:val="clear" w:color="auto" w:fill="FFFFFF" w:themeFill="background1"/>
            <w:noWrap/>
            <w:vAlign w:val="bottom"/>
          </w:tcPr>
          <w:p w14:paraId="7F2C0CB6" w14:textId="77777777" w:rsidR="00692E71" w:rsidRPr="001E3185" w:rsidRDefault="00692E71" w:rsidP="008E0250">
            <w:pPr>
              <w:jc w:val="center"/>
              <w:rPr>
                <w:rFonts w:cs="Arial"/>
              </w:rPr>
            </w:pPr>
          </w:p>
        </w:tc>
      </w:tr>
      <w:tr w:rsidR="00692E71" w:rsidRPr="001E3185" w14:paraId="1B1A02B3" w14:textId="77777777" w:rsidTr="008E0250">
        <w:trPr>
          <w:trHeight w:val="20"/>
        </w:trPr>
        <w:tc>
          <w:tcPr>
            <w:tcW w:w="9595" w:type="dxa"/>
            <w:gridSpan w:val="5"/>
            <w:shd w:val="clear" w:color="auto" w:fill="FFFFFF" w:themeFill="background1"/>
            <w:noWrap/>
            <w:vAlign w:val="center"/>
          </w:tcPr>
          <w:p w14:paraId="470B6477" w14:textId="77777777" w:rsidR="00692E71" w:rsidRPr="001E3185" w:rsidRDefault="00692E71" w:rsidP="008E0250">
            <w:pPr>
              <w:rPr>
                <w:rFonts w:cs="Arial"/>
              </w:rPr>
            </w:pPr>
            <w:r w:rsidRPr="001E3185">
              <w:rPr>
                <w:rFonts w:cs="Arial"/>
                <w:b/>
                <w:lang w:eastAsia="da-DK"/>
              </w:rPr>
              <w:t>Bridge over Pond (sediment)</w:t>
            </w:r>
          </w:p>
        </w:tc>
      </w:tr>
      <w:tr w:rsidR="00692E71" w:rsidRPr="001E3185" w14:paraId="7CD3F3F8" w14:textId="77777777" w:rsidTr="008E0250">
        <w:trPr>
          <w:trHeight w:val="20"/>
        </w:trPr>
        <w:tc>
          <w:tcPr>
            <w:tcW w:w="4039" w:type="dxa"/>
            <w:shd w:val="clear" w:color="auto" w:fill="FFFFFF" w:themeFill="background1"/>
            <w:noWrap/>
            <w:vAlign w:val="center"/>
          </w:tcPr>
          <w:p w14:paraId="4FE63BDB"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w:t>
            </w:r>
          </w:p>
        </w:tc>
        <w:tc>
          <w:tcPr>
            <w:tcW w:w="1134" w:type="dxa"/>
            <w:shd w:val="clear" w:color="auto" w:fill="FFFFFF" w:themeFill="background1"/>
            <w:noWrap/>
            <w:vAlign w:val="center"/>
          </w:tcPr>
          <w:p w14:paraId="4E932E8E" w14:textId="77777777" w:rsidR="00692E71" w:rsidRPr="001E3185" w:rsidRDefault="00692E71" w:rsidP="008E0250">
            <w:pPr>
              <w:jc w:val="center"/>
              <w:rPr>
                <w:rFonts w:cs="Arial"/>
                <w:lang w:eastAsia="da-DK"/>
              </w:rPr>
            </w:pPr>
            <w:r w:rsidRPr="001E3185">
              <w:rPr>
                <w:rFonts w:cs="Arial"/>
              </w:rPr>
              <w:t>2.8*10</w:t>
            </w:r>
            <w:r w:rsidRPr="001E3185">
              <w:rPr>
                <w:rFonts w:cs="Arial"/>
                <w:vertAlign w:val="superscript"/>
              </w:rPr>
              <w:t>-4</w:t>
            </w:r>
          </w:p>
        </w:tc>
        <w:tc>
          <w:tcPr>
            <w:tcW w:w="1507" w:type="dxa"/>
            <w:shd w:val="clear" w:color="auto" w:fill="FFFFFF" w:themeFill="background1"/>
            <w:noWrap/>
            <w:vAlign w:val="center"/>
          </w:tcPr>
          <w:p w14:paraId="7F6DC9EF" w14:textId="77777777" w:rsidR="00692E71" w:rsidRPr="001E3185" w:rsidRDefault="00692E71" w:rsidP="008E0250">
            <w:pPr>
              <w:jc w:val="center"/>
              <w:rPr>
                <w:rFonts w:cs="Arial"/>
              </w:rPr>
            </w:pPr>
            <w:r w:rsidRPr="001E3185">
              <w:rPr>
                <w:rFonts w:cs="Arial"/>
              </w:rPr>
              <w:t>6.3*10</w:t>
            </w:r>
            <w:r w:rsidRPr="001E3185">
              <w:rPr>
                <w:rFonts w:cs="Arial"/>
                <w:vertAlign w:val="superscript"/>
              </w:rPr>
              <w:t>-3</w:t>
            </w:r>
          </w:p>
        </w:tc>
        <w:tc>
          <w:tcPr>
            <w:tcW w:w="1474" w:type="dxa"/>
            <w:shd w:val="clear" w:color="auto" w:fill="FFFFFF" w:themeFill="background1"/>
            <w:noWrap/>
            <w:vAlign w:val="center"/>
          </w:tcPr>
          <w:p w14:paraId="31E8D98D" w14:textId="77777777" w:rsidR="00692E71" w:rsidRPr="001E3185" w:rsidRDefault="00692E71" w:rsidP="008E0250">
            <w:pPr>
              <w:jc w:val="center"/>
              <w:rPr>
                <w:rFonts w:cs="Arial"/>
              </w:rPr>
            </w:pPr>
            <w:r w:rsidRPr="001E3185">
              <w:rPr>
                <w:rFonts w:cs="Arial"/>
              </w:rPr>
              <w:t>2.7*10</w:t>
            </w:r>
            <w:r w:rsidRPr="001E3185">
              <w:rPr>
                <w:rFonts w:cs="Arial"/>
                <w:vertAlign w:val="superscript"/>
              </w:rPr>
              <w:t>-3</w:t>
            </w:r>
          </w:p>
        </w:tc>
        <w:tc>
          <w:tcPr>
            <w:tcW w:w="1441" w:type="dxa"/>
            <w:shd w:val="clear" w:color="auto" w:fill="FFFFFF" w:themeFill="background1"/>
            <w:vAlign w:val="center"/>
          </w:tcPr>
          <w:p w14:paraId="4CEEB649" w14:textId="77777777" w:rsidR="00692E71" w:rsidRPr="001E3185" w:rsidRDefault="00692E71" w:rsidP="008E0250">
            <w:pPr>
              <w:jc w:val="center"/>
              <w:rPr>
                <w:rFonts w:cs="Arial"/>
              </w:rPr>
            </w:pPr>
            <w:r w:rsidRPr="001E3185">
              <w:rPr>
                <w:rFonts w:cs="Arial"/>
              </w:rPr>
              <w:t>5.3*10</w:t>
            </w:r>
            <w:r w:rsidRPr="001E3185">
              <w:rPr>
                <w:rFonts w:cs="Arial"/>
                <w:vertAlign w:val="superscript"/>
              </w:rPr>
              <w:t>-1</w:t>
            </w:r>
          </w:p>
        </w:tc>
      </w:tr>
      <w:tr w:rsidR="00692E71" w:rsidRPr="001E3185" w14:paraId="1D4CA88B" w14:textId="77777777" w:rsidTr="008E0250">
        <w:trPr>
          <w:trHeight w:val="20"/>
        </w:trPr>
        <w:tc>
          <w:tcPr>
            <w:tcW w:w="4039" w:type="dxa"/>
            <w:shd w:val="clear" w:color="auto" w:fill="FFFFFF" w:themeFill="background1"/>
            <w:noWrap/>
            <w:vAlign w:val="center"/>
          </w:tcPr>
          <w:p w14:paraId="6A436F0C"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3808063D" w14:textId="77777777" w:rsidR="00692E71" w:rsidRPr="001E3185" w:rsidRDefault="00692E71" w:rsidP="008E0250">
            <w:pPr>
              <w:jc w:val="center"/>
              <w:rPr>
                <w:rFonts w:cs="Arial"/>
              </w:rPr>
            </w:pPr>
            <w:r w:rsidRPr="001E3185">
              <w:rPr>
                <w:rFonts w:cs="Arial"/>
              </w:rPr>
              <w:t>6.1*10</w:t>
            </w:r>
            <w:r w:rsidRPr="001E3185">
              <w:rPr>
                <w:rFonts w:cs="Arial"/>
                <w:vertAlign w:val="superscript"/>
              </w:rPr>
              <w:t>-4</w:t>
            </w:r>
          </w:p>
        </w:tc>
        <w:tc>
          <w:tcPr>
            <w:tcW w:w="1507" w:type="dxa"/>
            <w:shd w:val="clear" w:color="auto" w:fill="FFFFFF" w:themeFill="background1"/>
            <w:noWrap/>
            <w:vAlign w:val="center"/>
          </w:tcPr>
          <w:p w14:paraId="26E414B3" w14:textId="77777777" w:rsidR="00692E71" w:rsidRPr="001E3185" w:rsidRDefault="00692E71" w:rsidP="008E0250">
            <w:pPr>
              <w:jc w:val="center"/>
              <w:rPr>
                <w:rFonts w:cs="Arial"/>
              </w:rPr>
            </w:pPr>
            <w:r w:rsidRPr="001E3185">
              <w:rPr>
                <w:rFonts w:cs="Arial"/>
              </w:rPr>
              <w:t>0.02</w:t>
            </w:r>
          </w:p>
        </w:tc>
        <w:tc>
          <w:tcPr>
            <w:tcW w:w="1474" w:type="dxa"/>
            <w:shd w:val="clear" w:color="auto" w:fill="FFFFFF" w:themeFill="background1"/>
            <w:noWrap/>
            <w:vAlign w:val="center"/>
          </w:tcPr>
          <w:p w14:paraId="16FAD5E5" w14:textId="77777777" w:rsidR="00692E71" w:rsidRPr="001E3185" w:rsidRDefault="00692E71" w:rsidP="008E0250">
            <w:pPr>
              <w:jc w:val="center"/>
              <w:rPr>
                <w:rFonts w:cs="Arial"/>
              </w:rPr>
            </w:pPr>
            <w:r w:rsidRPr="001E3185">
              <w:rPr>
                <w:rFonts w:cs="Arial"/>
              </w:rPr>
              <w:t>0.01</w:t>
            </w:r>
          </w:p>
        </w:tc>
        <w:tc>
          <w:tcPr>
            <w:tcW w:w="1441" w:type="dxa"/>
            <w:shd w:val="clear" w:color="auto" w:fill="FFFFFF" w:themeFill="background1"/>
            <w:vAlign w:val="center"/>
          </w:tcPr>
          <w:p w14:paraId="2FEC74E1" w14:textId="77777777" w:rsidR="00692E71" w:rsidRPr="001E3185" w:rsidRDefault="00692E71" w:rsidP="008E0250">
            <w:pPr>
              <w:jc w:val="center"/>
              <w:rPr>
                <w:rFonts w:cs="Arial"/>
              </w:rPr>
            </w:pPr>
            <w:r w:rsidRPr="001E3185">
              <w:rPr>
                <w:rFonts w:cs="Arial"/>
              </w:rPr>
              <w:t>0.77</w:t>
            </w:r>
          </w:p>
        </w:tc>
      </w:tr>
      <w:tr w:rsidR="00692E71" w:rsidRPr="001E3185" w14:paraId="79A268D2" w14:textId="77777777" w:rsidTr="008E0250">
        <w:trPr>
          <w:trHeight w:val="20"/>
        </w:trPr>
        <w:tc>
          <w:tcPr>
            <w:tcW w:w="4039" w:type="dxa"/>
            <w:shd w:val="clear" w:color="auto" w:fill="FFFFFF" w:themeFill="background1"/>
            <w:noWrap/>
            <w:vAlign w:val="center"/>
          </w:tcPr>
          <w:p w14:paraId="20EA96F1"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1134" w:type="dxa"/>
            <w:shd w:val="clear" w:color="auto" w:fill="FFFFFF" w:themeFill="background1"/>
            <w:noWrap/>
            <w:vAlign w:val="center"/>
          </w:tcPr>
          <w:p w14:paraId="62AD691A" w14:textId="77777777" w:rsidR="00692E71" w:rsidRPr="001E3185" w:rsidRDefault="00692E71" w:rsidP="008E0250">
            <w:pPr>
              <w:jc w:val="center"/>
              <w:rPr>
                <w:rFonts w:cs="Arial"/>
                <w:lang w:eastAsia="da-DK"/>
              </w:rPr>
            </w:pPr>
            <w:r w:rsidRPr="001E3185">
              <w:rPr>
                <w:rFonts w:cs="Arial"/>
              </w:rPr>
              <w:t>1.7*10</w:t>
            </w:r>
            <w:r w:rsidRPr="001E3185">
              <w:rPr>
                <w:rFonts w:cs="Arial"/>
                <w:vertAlign w:val="superscript"/>
              </w:rPr>
              <w:t>-6</w:t>
            </w:r>
          </w:p>
        </w:tc>
        <w:tc>
          <w:tcPr>
            <w:tcW w:w="1507" w:type="dxa"/>
            <w:shd w:val="clear" w:color="auto" w:fill="FFFFFF" w:themeFill="background1"/>
            <w:noWrap/>
            <w:vAlign w:val="center"/>
          </w:tcPr>
          <w:p w14:paraId="31A5E436" w14:textId="77777777" w:rsidR="00692E71" w:rsidRPr="001E3185" w:rsidRDefault="00692E71" w:rsidP="008E0250">
            <w:pPr>
              <w:jc w:val="center"/>
              <w:rPr>
                <w:rFonts w:cs="Arial"/>
              </w:rPr>
            </w:pPr>
            <w:r w:rsidRPr="001E3185">
              <w:rPr>
                <w:rFonts w:cs="Arial"/>
              </w:rPr>
              <w:t>3.0*10</w:t>
            </w:r>
            <w:r w:rsidRPr="001E3185">
              <w:rPr>
                <w:rFonts w:cs="Arial"/>
                <w:vertAlign w:val="superscript"/>
              </w:rPr>
              <w:t>-3</w:t>
            </w:r>
          </w:p>
        </w:tc>
        <w:tc>
          <w:tcPr>
            <w:tcW w:w="1474" w:type="dxa"/>
            <w:shd w:val="clear" w:color="auto" w:fill="FFFFFF" w:themeFill="background1"/>
            <w:noWrap/>
            <w:vAlign w:val="center"/>
          </w:tcPr>
          <w:p w14:paraId="4430B652" w14:textId="77777777" w:rsidR="00692E71" w:rsidRPr="001E3185" w:rsidRDefault="00692E71" w:rsidP="008E0250">
            <w:pPr>
              <w:jc w:val="center"/>
              <w:rPr>
                <w:rFonts w:cs="Arial"/>
              </w:rPr>
            </w:pPr>
            <w:r w:rsidRPr="001E3185">
              <w:rPr>
                <w:rFonts w:cs="Arial"/>
              </w:rPr>
              <w:t>1.2*10</w:t>
            </w:r>
            <w:r w:rsidRPr="001E3185">
              <w:rPr>
                <w:rFonts w:cs="Arial"/>
                <w:vertAlign w:val="superscript"/>
              </w:rPr>
              <w:t>-3</w:t>
            </w:r>
          </w:p>
        </w:tc>
        <w:tc>
          <w:tcPr>
            <w:tcW w:w="1441" w:type="dxa"/>
            <w:shd w:val="clear" w:color="auto" w:fill="FFFFFF" w:themeFill="background1"/>
            <w:vAlign w:val="center"/>
          </w:tcPr>
          <w:p w14:paraId="1BCF454D" w14:textId="77777777" w:rsidR="00692E71" w:rsidRPr="001E3185" w:rsidRDefault="00692E71" w:rsidP="008E0250">
            <w:pPr>
              <w:jc w:val="center"/>
              <w:rPr>
                <w:rFonts w:cs="Arial"/>
              </w:rPr>
            </w:pPr>
            <w:r w:rsidRPr="001E3185">
              <w:rPr>
                <w:rFonts w:cs="Arial"/>
              </w:rPr>
              <w:t>4.5*10</w:t>
            </w:r>
            <w:r w:rsidRPr="001E3185">
              <w:rPr>
                <w:rFonts w:cs="Arial"/>
                <w:vertAlign w:val="superscript"/>
              </w:rPr>
              <w:t>-3</w:t>
            </w:r>
          </w:p>
        </w:tc>
      </w:tr>
      <w:tr w:rsidR="00692E71" w:rsidRPr="001E3185" w14:paraId="1BF30696" w14:textId="77777777" w:rsidTr="008E0250">
        <w:trPr>
          <w:trHeight w:val="20"/>
        </w:trPr>
        <w:tc>
          <w:tcPr>
            <w:tcW w:w="4039" w:type="dxa"/>
            <w:shd w:val="clear" w:color="auto" w:fill="FFFFFF" w:themeFill="background1"/>
            <w:noWrap/>
            <w:vAlign w:val="center"/>
          </w:tcPr>
          <w:p w14:paraId="669C35ED"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11CDA5D5" w14:textId="77777777" w:rsidR="00692E71" w:rsidRPr="001E3185" w:rsidRDefault="00692E71" w:rsidP="008E0250">
            <w:pPr>
              <w:jc w:val="center"/>
              <w:rPr>
                <w:rFonts w:cs="Arial"/>
                <w:lang w:eastAsia="da-DK"/>
              </w:rPr>
            </w:pPr>
            <w:r w:rsidRPr="001E3185">
              <w:rPr>
                <w:rFonts w:cs="Arial"/>
              </w:rPr>
              <w:t>6.1*10</w:t>
            </w:r>
            <w:r w:rsidRPr="001E3185">
              <w:rPr>
                <w:rFonts w:cs="Arial"/>
                <w:vertAlign w:val="superscript"/>
              </w:rPr>
              <w:t>-8</w:t>
            </w:r>
          </w:p>
        </w:tc>
        <w:tc>
          <w:tcPr>
            <w:tcW w:w="1507" w:type="dxa"/>
            <w:shd w:val="clear" w:color="auto" w:fill="FFFFFF" w:themeFill="background1"/>
            <w:noWrap/>
            <w:vAlign w:val="center"/>
          </w:tcPr>
          <w:p w14:paraId="195FA2F7" w14:textId="77777777" w:rsidR="00692E71" w:rsidRPr="001E3185" w:rsidRDefault="00692E71" w:rsidP="008E0250">
            <w:pPr>
              <w:jc w:val="center"/>
              <w:rPr>
                <w:rFonts w:cs="Arial"/>
              </w:rPr>
            </w:pPr>
            <w:r w:rsidRPr="001E3185">
              <w:rPr>
                <w:rFonts w:cs="Arial"/>
              </w:rPr>
              <w:t>6.2*10</w:t>
            </w:r>
            <w:r w:rsidRPr="001E3185">
              <w:rPr>
                <w:rFonts w:cs="Arial"/>
                <w:vertAlign w:val="superscript"/>
              </w:rPr>
              <w:t>-3</w:t>
            </w:r>
          </w:p>
        </w:tc>
        <w:tc>
          <w:tcPr>
            <w:tcW w:w="1474" w:type="dxa"/>
            <w:shd w:val="clear" w:color="auto" w:fill="FFFFFF" w:themeFill="background1"/>
            <w:noWrap/>
            <w:vAlign w:val="center"/>
          </w:tcPr>
          <w:p w14:paraId="04FB9542" w14:textId="77777777" w:rsidR="00692E71" w:rsidRPr="001E3185" w:rsidRDefault="00692E71" w:rsidP="008E0250">
            <w:pPr>
              <w:jc w:val="center"/>
              <w:rPr>
                <w:rFonts w:cs="Arial"/>
              </w:rPr>
            </w:pPr>
            <w:r w:rsidRPr="001E3185">
              <w:rPr>
                <w:rFonts w:cs="Arial"/>
              </w:rPr>
              <w:t>8.9*10</w:t>
            </w:r>
            <w:r w:rsidRPr="001E3185">
              <w:rPr>
                <w:rFonts w:cs="Arial"/>
                <w:vertAlign w:val="superscript"/>
              </w:rPr>
              <w:t>-4</w:t>
            </w:r>
          </w:p>
        </w:tc>
        <w:tc>
          <w:tcPr>
            <w:tcW w:w="1441" w:type="dxa"/>
            <w:shd w:val="clear" w:color="auto" w:fill="FFFFFF" w:themeFill="background1"/>
            <w:vAlign w:val="center"/>
          </w:tcPr>
          <w:p w14:paraId="4299A8F1" w14:textId="77777777" w:rsidR="00692E71" w:rsidRPr="001E3185" w:rsidRDefault="00692E71" w:rsidP="008E0250">
            <w:pPr>
              <w:jc w:val="center"/>
              <w:rPr>
                <w:rFonts w:cs="Arial"/>
              </w:rPr>
            </w:pPr>
            <w:r w:rsidRPr="001E3185">
              <w:rPr>
                <w:rFonts w:cs="Arial"/>
              </w:rPr>
              <w:t>2.6*10</w:t>
            </w:r>
            <w:r w:rsidRPr="001E3185">
              <w:rPr>
                <w:rFonts w:cs="Arial"/>
                <w:vertAlign w:val="superscript"/>
              </w:rPr>
              <w:t>-4</w:t>
            </w:r>
          </w:p>
        </w:tc>
      </w:tr>
    </w:tbl>
    <w:p w14:paraId="55506495" w14:textId="77777777" w:rsidR="00692E71" w:rsidRPr="001E3185" w:rsidRDefault="00692E71" w:rsidP="00692E71">
      <w:pPr>
        <w:rPr>
          <w:rFonts w:cs="Arial"/>
        </w:rPr>
      </w:pPr>
    </w:p>
    <w:p w14:paraId="082F9BE6"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36</w:t>
      </w:r>
      <w:r w:rsidRPr="001E3185">
        <w:rPr>
          <w:rFonts w:ascii="Verdana" w:hAnsi="Verdana"/>
        </w:rPr>
        <w:fldChar w:fldCharType="end"/>
      </w:r>
      <w:r w:rsidRPr="001E3185">
        <w:rPr>
          <w:rFonts w:ascii="Verdana" w:hAnsi="Verdana"/>
        </w:rPr>
        <w:t>: PEC in surface water and sediment, non-professional application.</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843"/>
        <w:gridCol w:w="1084"/>
        <w:gridCol w:w="1641"/>
        <w:gridCol w:w="1603"/>
        <w:gridCol w:w="1598"/>
      </w:tblGrid>
      <w:tr w:rsidR="00692E71" w:rsidRPr="001E3185" w14:paraId="11F3EEE9" w14:textId="77777777" w:rsidTr="008E0250">
        <w:trPr>
          <w:trHeight w:val="20"/>
          <w:tblHeader/>
        </w:trPr>
        <w:tc>
          <w:tcPr>
            <w:tcW w:w="4039" w:type="dxa"/>
            <w:shd w:val="clear" w:color="auto" w:fill="FFFFFF" w:themeFill="background1"/>
            <w:noWrap/>
            <w:vAlign w:val="bottom"/>
          </w:tcPr>
          <w:p w14:paraId="257C6C05" w14:textId="77777777" w:rsidR="00692E71" w:rsidRPr="001E3185" w:rsidRDefault="00692E71" w:rsidP="008E0250">
            <w:pPr>
              <w:rPr>
                <w:rFonts w:cs="Arial"/>
                <w:lang w:eastAsia="da-DK"/>
              </w:rPr>
            </w:pPr>
          </w:p>
        </w:tc>
        <w:tc>
          <w:tcPr>
            <w:tcW w:w="1134" w:type="dxa"/>
            <w:shd w:val="clear" w:color="auto" w:fill="FFFFFF" w:themeFill="background1"/>
            <w:noWrap/>
            <w:vAlign w:val="center"/>
          </w:tcPr>
          <w:p w14:paraId="3148CEC3" w14:textId="77777777" w:rsidR="00692E71" w:rsidRPr="001E3185" w:rsidRDefault="00692E71" w:rsidP="008E0250">
            <w:pPr>
              <w:jc w:val="center"/>
              <w:rPr>
                <w:rFonts w:cs="Arial"/>
                <w:b/>
                <w:lang w:eastAsia="da-DK"/>
              </w:rPr>
            </w:pPr>
            <w:r w:rsidRPr="001E3185">
              <w:rPr>
                <w:rFonts w:cs="Arial"/>
                <w:b/>
                <w:lang w:eastAsia="da-DK"/>
              </w:rPr>
              <w:t>IPBC</w:t>
            </w:r>
          </w:p>
        </w:tc>
        <w:tc>
          <w:tcPr>
            <w:tcW w:w="1507" w:type="dxa"/>
            <w:shd w:val="clear" w:color="auto" w:fill="FFFFFF" w:themeFill="background1"/>
            <w:noWrap/>
            <w:vAlign w:val="center"/>
          </w:tcPr>
          <w:p w14:paraId="5130EB9A" w14:textId="77777777" w:rsidR="00692E71" w:rsidRPr="001E3185" w:rsidRDefault="00692E71" w:rsidP="008E0250">
            <w:pPr>
              <w:jc w:val="center"/>
              <w:rPr>
                <w:rFonts w:cs="Arial"/>
                <w:b/>
                <w:lang w:eastAsia="da-DK"/>
              </w:rPr>
            </w:pPr>
            <w:r w:rsidRPr="001E3185">
              <w:rPr>
                <w:rFonts w:cs="Arial"/>
                <w:b/>
                <w:lang w:eastAsia="da-DK"/>
              </w:rPr>
              <w:t>Propiconazole</w:t>
            </w:r>
          </w:p>
        </w:tc>
        <w:tc>
          <w:tcPr>
            <w:tcW w:w="1474" w:type="dxa"/>
            <w:shd w:val="clear" w:color="auto" w:fill="FFFFFF" w:themeFill="background1"/>
            <w:noWrap/>
            <w:vAlign w:val="center"/>
          </w:tcPr>
          <w:p w14:paraId="5CCB47D6" w14:textId="77777777" w:rsidR="00692E71" w:rsidRPr="001E3185" w:rsidRDefault="00692E71" w:rsidP="008E0250">
            <w:pPr>
              <w:jc w:val="center"/>
              <w:rPr>
                <w:rFonts w:cs="Arial"/>
                <w:b/>
                <w:lang w:eastAsia="da-DK"/>
              </w:rPr>
            </w:pPr>
            <w:r w:rsidRPr="001E3185">
              <w:rPr>
                <w:rFonts w:cs="Arial"/>
                <w:b/>
                <w:lang w:eastAsia="da-DK"/>
              </w:rPr>
              <w:t>Tebuconazole</w:t>
            </w:r>
          </w:p>
        </w:tc>
        <w:tc>
          <w:tcPr>
            <w:tcW w:w="1441" w:type="dxa"/>
            <w:shd w:val="clear" w:color="auto" w:fill="FFFFFF" w:themeFill="background1"/>
            <w:vAlign w:val="center"/>
          </w:tcPr>
          <w:p w14:paraId="7D8FD539"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4E5E3750" w14:textId="77777777" w:rsidTr="008E0250">
        <w:trPr>
          <w:trHeight w:val="20"/>
        </w:trPr>
        <w:tc>
          <w:tcPr>
            <w:tcW w:w="9595" w:type="dxa"/>
            <w:gridSpan w:val="5"/>
            <w:shd w:val="clear" w:color="auto" w:fill="FFFFFF" w:themeFill="background1"/>
            <w:noWrap/>
            <w:vAlign w:val="center"/>
          </w:tcPr>
          <w:p w14:paraId="56211638" w14:textId="77777777" w:rsidR="00692E71" w:rsidRPr="001E3185" w:rsidRDefault="00692E71" w:rsidP="008E0250">
            <w:pPr>
              <w:rPr>
                <w:rFonts w:cs="Arial"/>
                <w:lang w:eastAsia="da-DK"/>
              </w:rPr>
            </w:pPr>
            <w:r w:rsidRPr="001E3185">
              <w:rPr>
                <w:rFonts w:cs="Arial"/>
                <w:b/>
                <w:lang w:eastAsia="da-DK"/>
              </w:rPr>
              <w:t>Bridge over Pond (surface water)</w:t>
            </w:r>
          </w:p>
        </w:tc>
      </w:tr>
      <w:tr w:rsidR="00692E71" w:rsidRPr="001E3185" w14:paraId="5C190E89" w14:textId="77777777" w:rsidTr="008E0250">
        <w:trPr>
          <w:trHeight w:val="20"/>
        </w:trPr>
        <w:tc>
          <w:tcPr>
            <w:tcW w:w="4039" w:type="dxa"/>
            <w:shd w:val="clear" w:color="auto" w:fill="FFFFFF" w:themeFill="background1"/>
            <w:noWrap/>
            <w:vAlign w:val="center"/>
          </w:tcPr>
          <w:p w14:paraId="0F7CD128"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w:t>
            </w:r>
          </w:p>
        </w:tc>
        <w:tc>
          <w:tcPr>
            <w:tcW w:w="1134" w:type="dxa"/>
            <w:shd w:val="clear" w:color="auto" w:fill="FFFFFF" w:themeFill="background1"/>
            <w:noWrap/>
            <w:vAlign w:val="center"/>
          </w:tcPr>
          <w:p w14:paraId="42709DE2" w14:textId="77777777" w:rsidR="00692E71" w:rsidRPr="001E3185" w:rsidRDefault="00692E71" w:rsidP="008E0250">
            <w:pPr>
              <w:jc w:val="center"/>
              <w:rPr>
                <w:rFonts w:cs="Arial"/>
                <w:lang w:eastAsia="da-DK"/>
              </w:rPr>
            </w:pPr>
            <w:r w:rsidRPr="001E3185">
              <w:rPr>
                <w:rFonts w:cs="Arial"/>
              </w:rPr>
              <w:t>0.10</w:t>
            </w:r>
          </w:p>
        </w:tc>
        <w:tc>
          <w:tcPr>
            <w:tcW w:w="1507" w:type="dxa"/>
            <w:shd w:val="clear" w:color="auto" w:fill="FFFFFF" w:themeFill="background1"/>
            <w:noWrap/>
            <w:vAlign w:val="center"/>
          </w:tcPr>
          <w:p w14:paraId="7565C356" w14:textId="77777777" w:rsidR="00692E71" w:rsidRPr="001E3185" w:rsidRDefault="00692E71" w:rsidP="008E0250">
            <w:pPr>
              <w:jc w:val="center"/>
              <w:rPr>
                <w:rFonts w:cs="Arial"/>
              </w:rPr>
            </w:pPr>
            <w:r w:rsidRPr="001E3185">
              <w:rPr>
                <w:rFonts w:cs="Arial"/>
              </w:rPr>
              <w:t>0.35</w:t>
            </w:r>
          </w:p>
        </w:tc>
        <w:tc>
          <w:tcPr>
            <w:tcW w:w="1474" w:type="dxa"/>
            <w:shd w:val="clear" w:color="auto" w:fill="FFFFFF" w:themeFill="background1"/>
            <w:noWrap/>
            <w:vAlign w:val="center"/>
          </w:tcPr>
          <w:p w14:paraId="5C03AB15" w14:textId="77777777" w:rsidR="00692E71" w:rsidRPr="001E3185" w:rsidRDefault="00692E71" w:rsidP="008E0250">
            <w:pPr>
              <w:jc w:val="center"/>
              <w:rPr>
                <w:rFonts w:cs="Arial"/>
              </w:rPr>
            </w:pPr>
            <w:r w:rsidRPr="001E3185">
              <w:rPr>
                <w:rFonts w:cs="Arial"/>
              </w:rPr>
              <w:t>0.14</w:t>
            </w:r>
          </w:p>
        </w:tc>
        <w:tc>
          <w:tcPr>
            <w:tcW w:w="1441" w:type="dxa"/>
            <w:shd w:val="clear" w:color="auto" w:fill="FFFFFF" w:themeFill="background1"/>
            <w:vAlign w:val="center"/>
          </w:tcPr>
          <w:p w14:paraId="13C733C0" w14:textId="77777777" w:rsidR="00692E71" w:rsidRPr="001E3185" w:rsidRDefault="00692E71" w:rsidP="008E0250">
            <w:pPr>
              <w:jc w:val="center"/>
              <w:rPr>
                <w:rFonts w:cs="Arial"/>
              </w:rPr>
            </w:pPr>
            <w:r w:rsidRPr="001E3185">
              <w:rPr>
                <w:rFonts w:cs="Arial"/>
              </w:rPr>
              <w:t>0.07</w:t>
            </w:r>
          </w:p>
        </w:tc>
      </w:tr>
      <w:tr w:rsidR="00692E71" w:rsidRPr="001E3185" w14:paraId="25108B6A" w14:textId="77777777" w:rsidTr="008E0250">
        <w:trPr>
          <w:trHeight w:val="20"/>
        </w:trPr>
        <w:tc>
          <w:tcPr>
            <w:tcW w:w="4039" w:type="dxa"/>
            <w:shd w:val="clear" w:color="auto" w:fill="FFFFFF" w:themeFill="background1"/>
            <w:noWrap/>
            <w:vAlign w:val="center"/>
          </w:tcPr>
          <w:p w14:paraId="484F8A0A"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2E6F8D88" w14:textId="77777777" w:rsidR="00692E71" w:rsidRPr="001E3185" w:rsidRDefault="00692E71" w:rsidP="008E0250">
            <w:pPr>
              <w:jc w:val="center"/>
              <w:rPr>
                <w:rFonts w:cs="Arial"/>
                <w:lang w:eastAsia="da-DK"/>
              </w:rPr>
            </w:pPr>
            <w:r w:rsidRPr="001E3185">
              <w:rPr>
                <w:rFonts w:cs="Arial"/>
              </w:rPr>
              <w:t>0.19</w:t>
            </w:r>
          </w:p>
        </w:tc>
        <w:tc>
          <w:tcPr>
            <w:tcW w:w="1507" w:type="dxa"/>
            <w:shd w:val="clear" w:color="auto" w:fill="FFFFFF" w:themeFill="background1"/>
            <w:noWrap/>
            <w:vAlign w:val="center"/>
          </w:tcPr>
          <w:p w14:paraId="08956377" w14:textId="77777777" w:rsidR="00692E71" w:rsidRPr="001E3185" w:rsidRDefault="00692E71" w:rsidP="008E0250">
            <w:pPr>
              <w:jc w:val="center"/>
              <w:rPr>
                <w:rFonts w:cs="Arial"/>
              </w:rPr>
            </w:pPr>
            <w:r w:rsidRPr="001E3185">
              <w:rPr>
                <w:rFonts w:cs="Arial"/>
              </w:rPr>
              <w:t>0.89</w:t>
            </w:r>
          </w:p>
        </w:tc>
        <w:tc>
          <w:tcPr>
            <w:tcW w:w="1474" w:type="dxa"/>
            <w:shd w:val="clear" w:color="auto" w:fill="FFFFFF" w:themeFill="background1"/>
            <w:noWrap/>
            <w:vAlign w:val="center"/>
          </w:tcPr>
          <w:p w14:paraId="66158387" w14:textId="77777777" w:rsidR="00692E71" w:rsidRPr="001E3185" w:rsidRDefault="00692E71" w:rsidP="008E0250">
            <w:pPr>
              <w:jc w:val="center"/>
              <w:rPr>
                <w:rFonts w:cs="Arial"/>
              </w:rPr>
            </w:pPr>
            <w:r w:rsidRPr="001E3185">
              <w:rPr>
                <w:rFonts w:cs="Arial"/>
              </w:rPr>
              <w:t>0.33</w:t>
            </w:r>
          </w:p>
        </w:tc>
        <w:tc>
          <w:tcPr>
            <w:tcW w:w="1441" w:type="dxa"/>
            <w:shd w:val="clear" w:color="auto" w:fill="FFFFFF" w:themeFill="background1"/>
            <w:vAlign w:val="center"/>
          </w:tcPr>
          <w:p w14:paraId="6263ADD4" w14:textId="77777777" w:rsidR="00692E71" w:rsidRPr="001E3185" w:rsidRDefault="00692E71" w:rsidP="008E0250">
            <w:pPr>
              <w:jc w:val="center"/>
              <w:rPr>
                <w:rFonts w:cs="Arial"/>
              </w:rPr>
            </w:pPr>
            <w:r w:rsidRPr="001E3185">
              <w:rPr>
                <w:rFonts w:cs="Arial"/>
              </w:rPr>
              <w:t>0.09</w:t>
            </w:r>
          </w:p>
        </w:tc>
      </w:tr>
      <w:tr w:rsidR="00692E71" w:rsidRPr="001E3185" w14:paraId="70BF94F1" w14:textId="77777777" w:rsidTr="008E0250">
        <w:trPr>
          <w:trHeight w:val="20"/>
        </w:trPr>
        <w:tc>
          <w:tcPr>
            <w:tcW w:w="4039" w:type="dxa"/>
            <w:shd w:val="clear" w:color="auto" w:fill="FFFFFF" w:themeFill="background1"/>
            <w:noWrap/>
            <w:vAlign w:val="center"/>
          </w:tcPr>
          <w:p w14:paraId="06C11C7B"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1134" w:type="dxa"/>
            <w:shd w:val="clear" w:color="auto" w:fill="FFFFFF" w:themeFill="background1"/>
            <w:noWrap/>
            <w:vAlign w:val="center"/>
          </w:tcPr>
          <w:p w14:paraId="396E4C49" w14:textId="77777777" w:rsidR="00692E71" w:rsidRPr="001E3185" w:rsidRDefault="00692E71" w:rsidP="008E0250">
            <w:pPr>
              <w:jc w:val="center"/>
              <w:rPr>
                <w:rFonts w:cs="Arial"/>
              </w:rPr>
            </w:pPr>
            <w:r w:rsidRPr="001E3185">
              <w:rPr>
                <w:rFonts w:cs="Arial"/>
              </w:rPr>
              <w:t>6.2*10</w:t>
            </w:r>
            <w:r w:rsidRPr="001E3185">
              <w:rPr>
                <w:rFonts w:cs="Arial"/>
                <w:vertAlign w:val="superscript"/>
              </w:rPr>
              <w:t>-4</w:t>
            </w:r>
          </w:p>
        </w:tc>
        <w:tc>
          <w:tcPr>
            <w:tcW w:w="1507" w:type="dxa"/>
            <w:shd w:val="clear" w:color="auto" w:fill="FFFFFF" w:themeFill="background1"/>
            <w:noWrap/>
            <w:vAlign w:val="center"/>
          </w:tcPr>
          <w:p w14:paraId="57716FCC" w14:textId="77777777" w:rsidR="00692E71" w:rsidRPr="001E3185" w:rsidRDefault="00692E71" w:rsidP="008E0250">
            <w:pPr>
              <w:jc w:val="center"/>
              <w:rPr>
                <w:rFonts w:cs="Arial"/>
              </w:rPr>
            </w:pPr>
            <w:r w:rsidRPr="001E3185">
              <w:rPr>
                <w:rFonts w:cs="Arial"/>
              </w:rPr>
              <w:t>0.17</w:t>
            </w:r>
          </w:p>
        </w:tc>
        <w:tc>
          <w:tcPr>
            <w:tcW w:w="1474" w:type="dxa"/>
            <w:shd w:val="clear" w:color="auto" w:fill="FFFFFF" w:themeFill="background1"/>
            <w:noWrap/>
            <w:vAlign w:val="center"/>
          </w:tcPr>
          <w:p w14:paraId="35DAD8CD" w14:textId="77777777" w:rsidR="00692E71" w:rsidRPr="001E3185" w:rsidRDefault="00692E71" w:rsidP="008E0250">
            <w:pPr>
              <w:jc w:val="center"/>
              <w:rPr>
                <w:rFonts w:cs="Arial"/>
              </w:rPr>
            </w:pPr>
            <w:r w:rsidRPr="001E3185">
              <w:rPr>
                <w:rFonts w:cs="Arial"/>
              </w:rPr>
              <w:t>0.06</w:t>
            </w:r>
          </w:p>
        </w:tc>
        <w:tc>
          <w:tcPr>
            <w:tcW w:w="1441" w:type="dxa"/>
            <w:shd w:val="clear" w:color="auto" w:fill="FFFFFF" w:themeFill="background1"/>
            <w:vAlign w:val="center"/>
          </w:tcPr>
          <w:p w14:paraId="27BBF555" w14:textId="77777777" w:rsidR="00692E71" w:rsidRPr="001E3185" w:rsidRDefault="00692E71" w:rsidP="008E0250">
            <w:pPr>
              <w:jc w:val="center"/>
              <w:rPr>
                <w:rFonts w:cs="Arial"/>
              </w:rPr>
            </w:pPr>
            <w:r w:rsidRPr="001E3185">
              <w:rPr>
                <w:rFonts w:cs="Arial"/>
              </w:rPr>
              <w:t>6.0*10</w:t>
            </w:r>
            <w:r w:rsidRPr="001E3185">
              <w:rPr>
                <w:rFonts w:cs="Arial"/>
                <w:vertAlign w:val="superscript"/>
              </w:rPr>
              <w:t>-4</w:t>
            </w:r>
          </w:p>
        </w:tc>
      </w:tr>
      <w:tr w:rsidR="00692E71" w:rsidRPr="001E3185" w14:paraId="284438E5" w14:textId="77777777" w:rsidTr="008E0250">
        <w:trPr>
          <w:trHeight w:val="20"/>
        </w:trPr>
        <w:tc>
          <w:tcPr>
            <w:tcW w:w="4039" w:type="dxa"/>
            <w:shd w:val="clear" w:color="auto" w:fill="FFFFFF" w:themeFill="background1"/>
            <w:noWrap/>
            <w:vAlign w:val="center"/>
          </w:tcPr>
          <w:p w14:paraId="00C1E44E"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29603677" w14:textId="77777777" w:rsidR="00692E71" w:rsidRPr="001E3185" w:rsidRDefault="00692E71" w:rsidP="008E0250">
            <w:pPr>
              <w:jc w:val="center"/>
              <w:rPr>
                <w:rFonts w:cs="Arial"/>
                <w:lang w:eastAsia="da-DK"/>
              </w:rPr>
            </w:pPr>
            <w:r w:rsidRPr="001E3185">
              <w:rPr>
                <w:rFonts w:cs="Arial"/>
              </w:rPr>
              <w:t>1.9*10</w:t>
            </w:r>
            <w:r w:rsidRPr="001E3185">
              <w:rPr>
                <w:rFonts w:cs="Arial"/>
                <w:vertAlign w:val="superscript"/>
              </w:rPr>
              <w:t>-5</w:t>
            </w:r>
          </w:p>
        </w:tc>
        <w:tc>
          <w:tcPr>
            <w:tcW w:w="1507" w:type="dxa"/>
            <w:shd w:val="clear" w:color="auto" w:fill="FFFFFF" w:themeFill="background1"/>
            <w:noWrap/>
            <w:vAlign w:val="center"/>
          </w:tcPr>
          <w:p w14:paraId="6B163A90" w14:textId="77777777" w:rsidR="00692E71" w:rsidRPr="001E3185" w:rsidRDefault="00692E71" w:rsidP="008E0250">
            <w:pPr>
              <w:jc w:val="center"/>
              <w:rPr>
                <w:rFonts w:cs="Arial"/>
              </w:rPr>
            </w:pPr>
            <w:r w:rsidRPr="001E3185">
              <w:rPr>
                <w:rFonts w:cs="Arial"/>
              </w:rPr>
              <w:t>0.31</w:t>
            </w:r>
          </w:p>
        </w:tc>
        <w:tc>
          <w:tcPr>
            <w:tcW w:w="1474" w:type="dxa"/>
            <w:shd w:val="clear" w:color="auto" w:fill="FFFFFF" w:themeFill="background1"/>
            <w:noWrap/>
            <w:vAlign w:val="center"/>
          </w:tcPr>
          <w:p w14:paraId="4ED188A8" w14:textId="77777777" w:rsidR="00692E71" w:rsidRPr="001E3185" w:rsidRDefault="00692E71" w:rsidP="008E0250">
            <w:pPr>
              <w:jc w:val="center"/>
              <w:rPr>
                <w:rFonts w:cs="Arial"/>
              </w:rPr>
            </w:pPr>
            <w:r w:rsidRPr="001E3185">
              <w:rPr>
                <w:rFonts w:cs="Arial"/>
              </w:rPr>
              <w:t>0.04</w:t>
            </w:r>
          </w:p>
        </w:tc>
        <w:tc>
          <w:tcPr>
            <w:tcW w:w="1441" w:type="dxa"/>
            <w:shd w:val="clear" w:color="auto" w:fill="FFFFFF" w:themeFill="background1"/>
            <w:vAlign w:val="center"/>
          </w:tcPr>
          <w:p w14:paraId="57746B46" w14:textId="77777777" w:rsidR="00692E71" w:rsidRPr="001E3185" w:rsidRDefault="00692E71" w:rsidP="008E0250">
            <w:pPr>
              <w:jc w:val="center"/>
              <w:rPr>
                <w:rFonts w:cs="Arial"/>
              </w:rPr>
            </w:pPr>
            <w:r w:rsidRPr="001E3185">
              <w:rPr>
                <w:rFonts w:cs="Arial"/>
              </w:rPr>
              <w:t>3.1*10</w:t>
            </w:r>
            <w:r w:rsidRPr="001E3185">
              <w:rPr>
                <w:rFonts w:cs="Arial"/>
                <w:vertAlign w:val="superscript"/>
              </w:rPr>
              <w:t>-5</w:t>
            </w:r>
          </w:p>
        </w:tc>
      </w:tr>
      <w:tr w:rsidR="00692E71" w:rsidRPr="001E3185" w14:paraId="398F9439" w14:textId="77777777" w:rsidTr="008E0250">
        <w:trPr>
          <w:trHeight w:val="20"/>
        </w:trPr>
        <w:tc>
          <w:tcPr>
            <w:tcW w:w="9595" w:type="dxa"/>
            <w:gridSpan w:val="5"/>
            <w:shd w:val="clear" w:color="auto" w:fill="FFFFFF" w:themeFill="background1"/>
            <w:noWrap/>
            <w:vAlign w:val="center"/>
          </w:tcPr>
          <w:p w14:paraId="5C476236" w14:textId="77777777" w:rsidR="00692E71" w:rsidRPr="001E3185" w:rsidRDefault="00692E71" w:rsidP="008E0250">
            <w:pPr>
              <w:rPr>
                <w:rFonts w:cs="Arial"/>
              </w:rPr>
            </w:pPr>
          </w:p>
        </w:tc>
      </w:tr>
      <w:tr w:rsidR="00692E71" w:rsidRPr="001E3185" w14:paraId="3CF7D1F2" w14:textId="77777777" w:rsidTr="008E0250">
        <w:trPr>
          <w:trHeight w:val="20"/>
        </w:trPr>
        <w:tc>
          <w:tcPr>
            <w:tcW w:w="9595" w:type="dxa"/>
            <w:gridSpan w:val="5"/>
            <w:shd w:val="clear" w:color="auto" w:fill="FFFFFF" w:themeFill="background1"/>
            <w:noWrap/>
            <w:vAlign w:val="center"/>
          </w:tcPr>
          <w:p w14:paraId="54362A0B" w14:textId="77777777" w:rsidR="00692E71" w:rsidRPr="001E3185" w:rsidRDefault="00692E71" w:rsidP="008E0250">
            <w:pPr>
              <w:rPr>
                <w:rFonts w:cs="Arial"/>
              </w:rPr>
            </w:pPr>
            <w:r w:rsidRPr="001E3185">
              <w:rPr>
                <w:rFonts w:cs="Arial"/>
                <w:b/>
                <w:lang w:eastAsia="da-DK"/>
              </w:rPr>
              <w:t>Bridge over Pond (sediment)</w:t>
            </w:r>
          </w:p>
        </w:tc>
      </w:tr>
      <w:tr w:rsidR="00692E71" w:rsidRPr="001E3185" w14:paraId="081E375B" w14:textId="77777777" w:rsidTr="008E0250">
        <w:trPr>
          <w:trHeight w:val="20"/>
        </w:trPr>
        <w:tc>
          <w:tcPr>
            <w:tcW w:w="4039" w:type="dxa"/>
            <w:shd w:val="clear" w:color="auto" w:fill="FFFFFF" w:themeFill="background1"/>
            <w:noWrap/>
            <w:vAlign w:val="center"/>
          </w:tcPr>
          <w:p w14:paraId="0A3E049D"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w:t>
            </w:r>
          </w:p>
        </w:tc>
        <w:tc>
          <w:tcPr>
            <w:tcW w:w="1134" w:type="dxa"/>
            <w:shd w:val="clear" w:color="auto" w:fill="FFFFFF" w:themeFill="background1"/>
            <w:noWrap/>
            <w:vAlign w:val="center"/>
          </w:tcPr>
          <w:p w14:paraId="0843AA65" w14:textId="77777777" w:rsidR="00692E71" w:rsidRPr="001E3185" w:rsidRDefault="00692E71" w:rsidP="008E0250">
            <w:pPr>
              <w:jc w:val="center"/>
              <w:rPr>
                <w:rFonts w:cs="Arial"/>
                <w:lang w:eastAsia="da-DK"/>
              </w:rPr>
            </w:pPr>
            <w:r w:rsidRPr="001E3185">
              <w:rPr>
                <w:rFonts w:cs="Arial"/>
              </w:rPr>
              <w:t>3.5*10</w:t>
            </w:r>
            <w:r w:rsidRPr="001E3185">
              <w:rPr>
                <w:rFonts w:cs="Arial"/>
                <w:vertAlign w:val="superscript"/>
              </w:rPr>
              <w:t>-4</w:t>
            </w:r>
          </w:p>
        </w:tc>
        <w:tc>
          <w:tcPr>
            <w:tcW w:w="1507" w:type="dxa"/>
            <w:shd w:val="clear" w:color="auto" w:fill="FFFFFF" w:themeFill="background1"/>
            <w:noWrap/>
            <w:vAlign w:val="center"/>
          </w:tcPr>
          <w:p w14:paraId="26EC9060" w14:textId="77777777" w:rsidR="00692E71" w:rsidRPr="001E3185" w:rsidRDefault="00692E71" w:rsidP="008E0250">
            <w:pPr>
              <w:jc w:val="center"/>
              <w:rPr>
                <w:rFonts w:cs="Arial"/>
              </w:rPr>
            </w:pPr>
            <w:r w:rsidRPr="001E3185">
              <w:rPr>
                <w:rFonts w:cs="Arial"/>
              </w:rPr>
              <w:t>0.01</w:t>
            </w:r>
          </w:p>
        </w:tc>
        <w:tc>
          <w:tcPr>
            <w:tcW w:w="1474" w:type="dxa"/>
            <w:shd w:val="clear" w:color="auto" w:fill="FFFFFF" w:themeFill="background1"/>
            <w:noWrap/>
            <w:vAlign w:val="center"/>
          </w:tcPr>
          <w:p w14:paraId="5C6B88BE" w14:textId="77777777" w:rsidR="00692E71" w:rsidRPr="001E3185" w:rsidRDefault="00692E71" w:rsidP="008E0250">
            <w:pPr>
              <w:jc w:val="center"/>
              <w:rPr>
                <w:rFonts w:cs="Arial"/>
              </w:rPr>
            </w:pPr>
            <w:r w:rsidRPr="001E3185">
              <w:rPr>
                <w:rFonts w:cs="Arial"/>
              </w:rPr>
              <w:t>3.1*10</w:t>
            </w:r>
            <w:r w:rsidRPr="001E3185">
              <w:rPr>
                <w:rFonts w:cs="Arial"/>
                <w:vertAlign w:val="superscript"/>
              </w:rPr>
              <w:t>-3</w:t>
            </w:r>
          </w:p>
        </w:tc>
        <w:tc>
          <w:tcPr>
            <w:tcW w:w="1441" w:type="dxa"/>
            <w:shd w:val="clear" w:color="auto" w:fill="FFFFFF" w:themeFill="background1"/>
            <w:vAlign w:val="center"/>
          </w:tcPr>
          <w:p w14:paraId="2469C102" w14:textId="77777777" w:rsidR="00692E71" w:rsidRPr="001E3185" w:rsidRDefault="00692E71" w:rsidP="008E0250">
            <w:pPr>
              <w:jc w:val="center"/>
              <w:rPr>
                <w:rFonts w:cs="Arial"/>
              </w:rPr>
            </w:pPr>
            <w:r w:rsidRPr="001E3185">
              <w:rPr>
                <w:rFonts w:cs="Arial"/>
              </w:rPr>
              <w:t>0.88</w:t>
            </w:r>
          </w:p>
        </w:tc>
      </w:tr>
      <w:tr w:rsidR="00692E71" w:rsidRPr="001E3185" w14:paraId="55CC183A" w14:textId="77777777" w:rsidTr="008E0250">
        <w:trPr>
          <w:trHeight w:val="20"/>
        </w:trPr>
        <w:tc>
          <w:tcPr>
            <w:tcW w:w="4039" w:type="dxa"/>
            <w:shd w:val="clear" w:color="auto" w:fill="FFFFFF" w:themeFill="background1"/>
            <w:noWrap/>
            <w:vAlign w:val="center"/>
          </w:tcPr>
          <w:p w14:paraId="0A3E586E" w14:textId="77777777" w:rsidR="00692E71" w:rsidRPr="001E3185" w:rsidRDefault="00692E71" w:rsidP="008E0250">
            <w:pPr>
              <w:rPr>
                <w:rFonts w:cs="Arial"/>
                <w:lang w:eastAsia="da-DK"/>
              </w:rPr>
            </w:pPr>
            <w:r w:rsidRPr="001E3185">
              <w:rPr>
                <w:rFonts w:cs="Arial"/>
                <w:lang w:eastAsia="da-DK"/>
              </w:rPr>
              <w:lastRenderedPageBreak/>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14D33A8C" w14:textId="77777777" w:rsidR="00692E71" w:rsidRPr="001E3185" w:rsidRDefault="00692E71" w:rsidP="008E0250">
            <w:pPr>
              <w:jc w:val="center"/>
              <w:rPr>
                <w:rFonts w:cs="Arial"/>
              </w:rPr>
            </w:pPr>
            <w:r w:rsidRPr="001E3185">
              <w:rPr>
                <w:rFonts w:cs="Arial"/>
              </w:rPr>
              <w:t>6.8*10</w:t>
            </w:r>
            <w:r w:rsidRPr="001E3185">
              <w:rPr>
                <w:rFonts w:cs="Arial"/>
                <w:vertAlign w:val="superscript"/>
              </w:rPr>
              <w:t>-4</w:t>
            </w:r>
          </w:p>
        </w:tc>
        <w:tc>
          <w:tcPr>
            <w:tcW w:w="1507" w:type="dxa"/>
            <w:shd w:val="clear" w:color="auto" w:fill="FFFFFF" w:themeFill="background1"/>
            <w:noWrap/>
            <w:vAlign w:val="center"/>
          </w:tcPr>
          <w:p w14:paraId="0679C463" w14:textId="77777777" w:rsidR="00692E71" w:rsidRPr="001E3185" w:rsidRDefault="00692E71" w:rsidP="008E0250">
            <w:pPr>
              <w:jc w:val="center"/>
              <w:rPr>
                <w:rFonts w:cs="Arial"/>
              </w:rPr>
            </w:pPr>
            <w:r w:rsidRPr="001E3185">
              <w:rPr>
                <w:rFonts w:cs="Arial"/>
              </w:rPr>
              <w:t>0.02</w:t>
            </w:r>
          </w:p>
        </w:tc>
        <w:tc>
          <w:tcPr>
            <w:tcW w:w="1474" w:type="dxa"/>
            <w:shd w:val="clear" w:color="auto" w:fill="FFFFFF" w:themeFill="background1"/>
            <w:noWrap/>
            <w:vAlign w:val="center"/>
          </w:tcPr>
          <w:p w14:paraId="086FADEF" w14:textId="77777777" w:rsidR="00692E71" w:rsidRPr="001E3185" w:rsidRDefault="00692E71" w:rsidP="008E0250">
            <w:pPr>
              <w:jc w:val="center"/>
              <w:rPr>
                <w:rFonts w:cs="Arial"/>
              </w:rPr>
            </w:pPr>
            <w:r w:rsidRPr="001E3185">
              <w:rPr>
                <w:rFonts w:cs="Arial"/>
              </w:rPr>
              <w:t>0.01</w:t>
            </w:r>
          </w:p>
        </w:tc>
        <w:tc>
          <w:tcPr>
            <w:tcW w:w="1441" w:type="dxa"/>
            <w:shd w:val="clear" w:color="auto" w:fill="FFFFFF" w:themeFill="background1"/>
            <w:vAlign w:val="center"/>
          </w:tcPr>
          <w:p w14:paraId="3F70647E" w14:textId="77777777" w:rsidR="00692E71" w:rsidRPr="001E3185" w:rsidRDefault="00692E71" w:rsidP="008E0250">
            <w:pPr>
              <w:jc w:val="center"/>
              <w:rPr>
                <w:rFonts w:cs="Arial"/>
              </w:rPr>
            </w:pPr>
            <w:r w:rsidRPr="001E3185">
              <w:rPr>
                <w:rFonts w:cs="Arial"/>
              </w:rPr>
              <w:t>1.12</w:t>
            </w:r>
          </w:p>
        </w:tc>
      </w:tr>
      <w:tr w:rsidR="00692E71" w:rsidRPr="001E3185" w14:paraId="5C537057" w14:textId="77777777" w:rsidTr="008E0250">
        <w:trPr>
          <w:trHeight w:val="20"/>
        </w:trPr>
        <w:tc>
          <w:tcPr>
            <w:tcW w:w="4039" w:type="dxa"/>
            <w:shd w:val="clear" w:color="auto" w:fill="FFFFFF" w:themeFill="background1"/>
            <w:noWrap/>
            <w:vAlign w:val="center"/>
          </w:tcPr>
          <w:p w14:paraId="11CA5CD6"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1134" w:type="dxa"/>
            <w:shd w:val="clear" w:color="auto" w:fill="FFFFFF" w:themeFill="background1"/>
            <w:noWrap/>
            <w:vAlign w:val="center"/>
          </w:tcPr>
          <w:p w14:paraId="1B584992" w14:textId="77777777" w:rsidR="00692E71" w:rsidRPr="001E3185" w:rsidRDefault="00692E71" w:rsidP="008E0250">
            <w:pPr>
              <w:jc w:val="center"/>
              <w:rPr>
                <w:rFonts w:cs="Arial"/>
                <w:lang w:eastAsia="da-DK"/>
              </w:rPr>
            </w:pPr>
            <w:r w:rsidRPr="001E3185">
              <w:rPr>
                <w:rFonts w:cs="Arial"/>
              </w:rPr>
              <w:t>2.2*10</w:t>
            </w:r>
            <w:r w:rsidRPr="001E3185">
              <w:rPr>
                <w:rFonts w:cs="Arial"/>
                <w:vertAlign w:val="superscript"/>
              </w:rPr>
              <w:t>-6</w:t>
            </w:r>
          </w:p>
        </w:tc>
        <w:tc>
          <w:tcPr>
            <w:tcW w:w="1507" w:type="dxa"/>
            <w:shd w:val="clear" w:color="auto" w:fill="FFFFFF" w:themeFill="background1"/>
            <w:noWrap/>
            <w:vAlign w:val="center"/>
          </w:tcPr>
          <w:p w14:paraId="250B38FD" w14:textId="77777777" w:rsidR="00692E71" w:rsidRPr="001E3185" w:rsidRDefault="00692E71" w:rsidP="008E0250">
            <w:pPr>
              <w:jc w:val="center"/>
              <w:rPr>
                <w:rFonts w:cs="Arial"/>
              </w:rPr>
            </w:pPr>
            <w:r w:rsidRPr="001E3185">
              <w:rPr>
                <w:rFonts w:cs="Arial"/>
              </w:rPr>
              <w:t>3.6*10</w:t>
            </w:r>
            <w:r w:rsidRPr="001E3185">
              <w:rPr>
                <w:rFonts w:cs="Arial"/>
                <w:vertAlign w:val="superscript"/>
              </w:rPr>
              <w:t>-3</w:t>
            </w:r>
          </w:p>
        </w:tc>
        <w:tc>
          <w:tcPr>
            <w:tcW w:w="1474" w:type="dxa"/>
            <w:shd w:val="clear" w:color="auto" w:fill="FFFFFF" w:themeFill="background1"/>
            <w:noWrap/>
            <w:vAlign w:val="center"/>
          </w:tcPr>
          <w:p w14:paraId="3A95F84F" w14:textId="77777777" w:rsidR="00692E71" w:rsidRPr="001E3185" w:rsidRDefault="00692E71" w:rsidP="008E0250">
            <w:pPr>
              <w:jc w:val="center"/>
              <w:rPr>
                <w:rFonts w:cs="Arial"/>
              </w:rPr>
            </w:pPr>
            <w:r w:rsidRPr="001E3185">
              <w:rPr>
                <w:rFonts w:cs="Arial"/>
              </w:rPr>
              <w:t>1.4*10</w:t>
            </w:r>
            <w:r w:rsidRPr="001E3185">
              <w:rPr>
                <w:rFonts w:cs="Arial"/>
                <w:vertAlign w:val="superscript"/>
              </w:rPr>
              <w:t>-3</w:t>
            </w:r>
          </w:p>
        </w:tc>
        <w:tc>
          <w:tcPr>
            <w:tcW w:w="1441" w:type="dxa"/>
            <w:shd w:val="clear" w:color="auto" w:fill="FFFFFF" w:themeFill="background1"/>
            <w:vAlign w:val="center"/>
          </w:tcPr>
          <w:p w14:paraId="2663C398" w14:textId="77777777" w:rsidR="00692E71" w:rsidRPr="001E3185" w:rsidRDefault="00692E71" w:rsidP="008E0250">
            <w:pPr>
              <w:jc w:val="center"/>
              <w:rPr>
                <w:rFonts w:cs="Arial"/>
              </w:rPr>
            </w:pPr>
            <w:r w:rsidRPr="001E3185">
              <w:rPr>
                <w:rFonts w:cs="Arial"/>
              </w:rPr>
              <w:t>7.5*10</w:t>
            </w:r>
            <w:r w:rsidRPr="001E3185">
              <w:rPr>
                <w:rFonts w:cs="Arial"/>
                <w:vertAlign w:val="superscript"/>
              </w:rPr>
              <w:t>-3</w:t>
            </w:r>
          </w:p>
        </w:tc>
      </w:tr>
      <w:tr w:rsidR="00692E71" w:rsidRPr="001E3185" w14:paraId="3E3E0BB1" w14:textId="77777777" w:rsidTr="008E0250">
        <w:trPr>
          <w:trHeight w:val="20"/>
        </w:trPr>
        <w:tc>
          <w:tcPr>
            <w:tcW w:w="4039" w:type="dxa"/>
            <w:shd w:val="clear" w:color="auto" w:fill="FFFFFF" w:themeFill="background1"/>
            <w:noWrap/>
            <w:vAlign w:val="center"/>
          </w:tcPr>
          <w:p w14:paraId="08099672"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72DD48E9" w14:textId="77777777" w:rsidR="00692E71" w:rsidRPr="001E3185" w:rsidRDefault="00692E71" w:rsidP="008E0250">
            <w:pPr>
              <w:jc w:val="center"/>
              <w:rPr>
                <w:rFonts w:cs="Arial"/>
                <w:lang w:eastAsia="da-DK"/>
              </w:rPr>
            </w:pPr>
            <w:r w:rsidRPr="001E3185">
              <w:rPr>
                <w:rFonts w:cs="Arial"/>
              </w:rPr>
              <w:t>6.9*10</w:t>
            </w:r>
            <w:r w:rsidRPr="001E3185">
              <w:rPr>
                <w:rFonts w:cs="Arial"/>
                <w:vertAlign w:val="superscript"/>
              </w:rPr>
              <w:t>-8</w:t>
            </w:r>
          </w:p>
        </w:tc>
        <w:tc>
          <w:tcPr>
            <w:tcW w:w="1507" w:type="dxa"/>
            <w:shd w:val="clear" w:color="auto" w:fill="FFFFFF" w:themeFill="background1"/>
            <w:noWrap/>
            <w:vAlign w:val="center"/>
          </w:tcPr>
          <w:p w14:paraId="2E430702" w14:textId="77777777" w:rsidR="00692E71" w:rsidRPr="001E3185" w:rsidRDefault="00692E71" w:rsidP="008E0250">
            <w:pPr>
              <w:jc w:val="center"/>
              <w:rPr>
                <w:rFonts w:cs="Arial"/>
              </w:rPr>
            </w:pPr>
            <w:r w:rsidRPr="001E3185">
              <w:rPr>
                <w:rFonts w:cs="Arial"/>
              </w:rPr>
              <w:t>6.6*10</w:t>
            </w:r>
            <w:r w:rsidRPr="001E3185">
              <w:rPr>
                <w:rFonts w:cs="Arial"/>
                <w:vertAlign w:val="superscript"/>
              </w:rPr>
              <w:t>-3</w:t>
            </w:r>
          </w:p>
        </w:tc>
        <w:tc>
          <w:tcPr>
            <w:tcW w:w="1474" w:type="dxa"/>
            <w:shd w:val="clear" w:color="auto" w:fill="FFFFFF" w:themeFill="background1"/>
            <w:noWrap/>
            <w:vAlign w:val="center"/>
          </w:tcPr>
          <w:p w14:paraId="5C70B503" w14:textId="77777777" w:rsidR="00692E71" w:rsidRPr="001E3185" w:rsidRDefault="00692E71" w:rsidP="008E0250">
            <w:pPr>
              <w:jc w:val="center"/>
              <w:rPr>
                <w:rFonts w:cs="Arial"/>
              </w:rPr>
            </w:pPr>
            <w:r w:rsidRPr="001E3185">
              <w:rPr>
                <w:rFonts w:cs="Arial"/>
              </w:rPr>
              <w:t>9.5*10</w:t>
            </w:r>
            <w:r w:rsidRPr="001E3185">
              <w:rPr>
                <w:rFonts w:cs="Arial"/>
                <w:vertAlign w:val="superscript"/>
              </w:rPr>
              <w:t>-4</w:t>
            </w:r>
          </w:p>
        </w:tc>
        <w:tc>
          <w:tcPr>
            <w:tcW w:w="1441" w:type="dxa"/>
            <w:shd w:val="clear" w:color="auto" w:fill="FFFFFF" w:themeFill="background1"/>
            <w:vAlign w:val="center"/>
          </w:tcPr>
          <w:p w14:paraId="6ADD1365" w14:textId="77777777" w:rsidR="00692E71" w:rsidRPr="001E3185" w:rsidRDefault="00692E71" w:rsidP="008E0250">
            <w:pPr>
              <w:jc w:val="center"/>
              <w:rPr>
                <w:rFonts w:cs="Arial"/>
              </w:rPr>
            </w:pPr>
            <w:r w:rsidRPr="001E3185">
              <w:rPr>
                <w:rFonts w:cs="Arial"/>
              </w:rPr>
              <w:t>3.8*10</w:t>
            </w:r>
            <w:r w:rsidRPr="001E3185">
              <w:rPr>
                <w:rFonts w:cs="Arial"/>
                <w:vertAlign w:val="superscript"/>
              </w:rPr>
              <w:t>-4</w:t>
            </w:r>
          </w:p>
        </w:tc>
      </w:tr>
    </w:tbl>
    <w:p w14:paraId="6D5364D5" w14:textId="77777777" w:rsidR="00692E71" w:rsidRPr="001E3185" w:rsidRDefault="00692E71" w:rsidP="00692E71">
      <w:pPr>
        <w:rPr>
          <w:rFonts w:cs="Arial"/>
          <w:highlight w:val="yellow"/>
        </w:rPr>
      </w:pPr>
    </w:p>
    <w:p w14:paraId="33502FEC" w14:textId="77777777" w:rsidR="00692E71" w:rsidRPr="003356DA" w:rsidRDefault="00692E71" w:rsidP="003356DA">
      <w:pPr>
        <w:pStyle w:val="Titre5"/>
      </w:pPr>
      <w:bookmarkStart w:id="143" w:name="_Toc452669007"/>
      <w:r w:rsidRPr="003356DA">
        <w:t>PEC in air</w:t>
      </w:r>
      <w:bookmarkEnd w:id="143"/>
    </w:p>
    <w:p w14:paraId="264B43FB" w14:textId="77777777" w:rsidR="00692E71" w:rsidRPr="001E3185" w:rsidRDefault="00692E71" w:rsidP="00692E71">
      <w:pPr>
        <w:pStyle w:val="Titre4"/>
        <w:numPr>
          <w:ilvl w:val="0"/>
          <w:numId w:val="0"/>
        </w:numPr>
        <w:rPr>
          <w:lang w:val="en-GB"/>
        </w:rPr>
      </w:pPr>
    </w:p>
    <w:p w14:paraId="307BC675" w14:textId="77777777" w:rsidR="00692E71" w:rsidRPr="001E3185" w:rsidRDefault="00692E71" w:rsidP="00692E71">
      <w:pPr>
        <w:rPr>
          <w:rFonts w:cs="Arial"/>
        </w:rPr>
      </w:pPr>
      <w:r w:rsidRPr="001E3185">
        <w:rPr>
          <w:rFonts w:cs="Arial"/>
        </w:rPr>
        <w:t>The following conclusions concerning the air compartment are taken from the AR:</w:t>
      </w:r>
    </w:p>
    <w:p w14:paraId="17793AEB" w14:textId="77777777" w:rsidR="00692E71" w:rsidRPr="001E3185" w:rsidRDefault="00692E71" w:rsidP="00692E71">
      <w:pPr>
        <w:rPr>
          <w:rFonts w:cs="Arial"/>
        </w:rPr>
      </w:pPr>
    </w:p>
    <w:p w14:paraId="20D5F6A1" w14:textId="77777777" w:rsidR="00692E71" w:rsidRPr="001E3185" w:rsidRDefault="00692E71" w:rsidP="00692E71">
      <w:pPr>
        <w:rPr>
          <w:rFonts w:cs="Arial"/>
          <w:b/>
          <w:u w:val="single"/>
        </w:rPr>
      </w:pPr>
      <w:r w:rsidRPr="001E3185">
        <w:rPr>
          <w:rFonts w:cs="Arial"/>
          <w:b/>
          <w:u w:val="single"/>
        </w:rPr>
        <w:t>IPBC</w:t>
      </w:r>
    </w:p>
    <w:p w14:paraId="4B634D3D" w14:textId="77777777" w:rsidR="00692E71" w:rsidRPr="001E3185" w:rsidRDefault="00692E71" w:rsidP="00692E71">
      <w:pPr>
        <w:rPr>
          <w:rFonts w:cs="Arial"/>
        </w:rPr>
      </w:pPr>
      <w:r w:rsidRPr="001E3185">
        <w:rPr>
          <w:rFonts w:cs="Arial"/>
        </w:rPr>
        <w:t>Air will not be an environmental compartment of concern for IPBC used in wood preservatives because of the low vapour pressure of this compound. It should also be noted that the calculated DT</w:t>
      </w:r>
      <w:r w:rsidRPr="001E3185">
        <w:rPr>
          <w:rFonts w:cs="Arial"/>
          <w:vertAlign w:val="subscript"/>
        </w:rPr>
        <w:t>50</w:t>
      </w:r>
      <w:r w:rsidRPr="001E3185">
        <w:rPr>
          <w:rFonts w:cs="Arial"/>
        </w:rPr>
        <w:t xml:space="preserve"> of IPBC in air is only about 15 hours and is therefore not considered persistent in air.</w:t>
      </w:r>
    </w:p>
    <w:p w14:paraId="3B96F354" w14:textId="77777777" w:rsidR="00692E71" w:rsidRPr="001E3185" w:rsidRDefault="00692E71" w:rsidP="00692E71">
      <w:pPr>
        <w:rPr>
          <w:rFonts w:cs="Arial"/>
        </w:rPr>
      </w:pPr>
    </w:p>
    <w:p w14:paraId="2901B303" w14:textId="77777777" w:rsidR="00692E71" w:rsidRPr="001E3185" w:rsidRDefault="00692E71" w:rsidP="00692E71">
      <w:pPr>
        <w:rPr>
          <w:rFonts w:cs="Arial"/>
        </w:rPr>
      </w:pPr>
      <w:r w:rsidRPr="001E3185">
        <w:rPr>
          <w:rFonts w:cs="Arial"/>
          <w:b/>
          <w:u w:val="single"/>
        </w:rPr>
        <w:t>Propiconazole and tebuconazole</w:t>
      </w:r>
      <w:r w:rsidRPr="001E3185">
        <w:rPr>
          <w:rFonts w:cs="Arial"/>
        </w:rPr>
        <w:t>:</w:t>
      </w:r>
    </w:p>
    <w:p w14:paraId="413D373B" w14:textId="77777777" w:rsidR="00692E71" w:rsidRPr="001E3185" w:rsidRDefault="00692E71" w:rsidP="00692E71">
      <w:pPr>
        <w:rPr>
          <w:rFonts w:cs="Arial"/>
        </w:rPr>
      </w:pPr>
      <w:r w:rsidRPr="001E3185">
        <w:rPr>
          <w:rFonts w:cs="Arial"/>
        </w:rPr>
        <w:t>According to the vapour pressure and the Henry’s law constant of propiconazole and tebuconazole the atmosphere is not a compartment of concern for these compounds.</w:t>
      </w:r>
    </w:p>
    <w:p w14:paraId="647CB4AA" w14:textId="77777777" w:rsidR="00692E71" w:rsidRPr="001E3185" w:rsidRDefault="00692E71" w:rsidP="00692E71">
      <w:pPr>
        <w:rPr>
          <w:rFonts w:cs="Arial"/>
        </w:rPr>
      </w:pPr>
    </w:p>
    <w:p w14:paraId="1F2BBC9F" w14:textId="77777777" w:rsidR="00692E71" w:rsidRPr="001E3185" w:rsidRDefault="00692E71" w:rsidP="00692E71">
      <w:pPr>
        <w:rPr>
          <w:rFonts w:cs="Arial"/>
        </w:rPr>
      </w:pPr>
      <w:r w:rsidRPr="001E3185">
        <w:rPr>
          <w:rFonts w:cs="Arial"/>
          <w:b/>
          <w:u w:val="single"/>
        </w:rPr>
        <w:t>Cypermethrin</w:t>
      </w:r>
      <w:r w:rsidRPr="001E3185">
        <w:rPr>
          <w:rFonts w:cs="Arial"/>
        </w:rPr>
        <w:t>:</w:t>
      </w:r>
    </w:p>
    <w:p w14:paraId="6BEFD196" w14:textId="77777777" w:rsidR="00692E71" w:rsidRPr="001E3185" w:rsidRDefault="00692E71" w:rsidP="00692E71">
      <w:pPr>
        <w:rPr>
          <w:rFonts w:cs="Arial"/>
        </w:rPr>
      </w:pPr>
      <w:r w:rsidRPr="001E3185">
        <w:rPr>
          <w:rFonts w:cs="Arial"/>
        </w:rPr>
        <w:t>Cypermethrin has a low volatility and emissions to the air compartment are expected to be low.</w:t>
      </w:r>
    </w:p>
    <w:p w14:paraId="6A485FAD" w14:textId="77777777" w:rsidR="00692E71" w:rsidRPr="001E3185" w:rsidRDefault="00692E71" w:rsidP="00692E71">
      <w:pPr>
        <w:rPr>
          <w:rFonts w:cs="Arial"/>
        </w:rPr>
      </w:pPr>
    </w:p>
    <w:p w14:paraId="758B572C" w14:textId="77777777" w:rsidR="00692E71" w:rsidRPr="001E3185" w:rsidRDefault="00692E71" w:rsidP="00692E71">
      <w:pPr>
        <w:rPr>
          <w:rFonts w:cs="Arial"/>
        </w:rPr>
      </w:pPr>
      <w:r w:rsidRPr="001E3185">
        <w:rPr>
          <w:rFonts w:cs="Arial"/>
        </w:rPr>
        <w:t>Based on the above conclusions from the AR, risk assessment to air is not performed.</w:t>
      </w:r>
    </w:p>
    <w:p w14:paraId="7D9C1F54" w14:textId="77777777" w:rsidR="00692E71" w:rsidRPr="00575E63" w:rsidRDefault="00692E71" w:rsidP="00692E71">
      <w:pPr>
        <w:rPr>
          <w:rFonts w:ascii="Arial" w:hAnsi="Arial" w:cs="Arial"/>
        </w:rPr>
      </w:pPr>
    </w:p>
    <w:p w14:paraId="696ACC87" w14:textId="77777777" w:rsidR="00692E71" w:rsidRPr="00FE333D" w:rsidRDefault="00692E71" w:rsidP="003356DA">
      <w:pPr>
        <w:pStyle w:val="Titre5"/>
        <w:rPr>
          <w:lang w:val="en-US"/>
        </w:rPr>
      </w:pPr>
      <w:r w:rsidRPr="00FE333D">
        <w:rPr>
          <w:lang w:val="en-US"/>
        </w:rPr>
        <w:t>PEC in soil, pore water and groundwater</w:t>
      </w:r>
    </w:p>
    <w:p w14:paraId="4135505A" w14:textId="77777777" w:rsidR="00692E71" w:rsidRPr="001E3185" w:rsidRDefault="00692E71" w:rsidP="00692E71">
      <w:pPr>
        <w:rPr>
          <w:rFonts w:cs="Arial"/>
        </w:rPr>
      </w:pPr>
    </w:p>
    <w:p w14:paraId="35586975" w14:textId="77777777" w:rsidR="00692E71" w:rsidRPr="001E3185" w:rsidRDefault="00692E71" w:rsidP="00692E71">
      <w:pPr>
        <w:pStyle w:val="Lgende"/>
        <w:rPr>
          <w:rFonts w:ascii="Verdana" w:hAnsi="Verdana"/>
          <w:b/>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37</w:t>
      </w:r>
      <w:r w:rsidRPr="001E3185">
        <w:rPr>
          <w:rFonts w:ascii="Verdana" w:hAnsi="Verdana"/>
        </w:rPr>
        <w:fldChar w:fldCharType="end"/>
      </w:r>
      <w:r w:rsidRPr="001E3185">
        <w:rPr>
          <w:rFonts w:ascii="Verdana" w:hAnsi="Verdana"/>
        </w:rPr>
        <w:t>: PEC in soil, industrial dipping, in-service.</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181"/>
        <w:gridCol w:w="992"/>
        <w:gridCol w:w="1559"/>
        <w:gridCol w:w="1560"/>
        <w:gridCol w:w="1559"/>
      </w:tblGrid>
      <w:tr w:rsidR="00692E71" w:rsidRPr="001E3185" w14:paraId="54610B8A" w14:textId="77777777" w:rsidTr="008E0250">
        <w:trPr>
          <w:trHeight w:val="20"/>
          <w:tblHeader/>
        </w:trPr>
        <w:tc>
          <w:tcPr>
            <w:tcW w:w="4181" w:type="dxa"/>
            <w:shd w:val="clear" w:color="auto" w:fill="FFFFFF" w:themeFill="background1"/>
            <w:noWrap/>
            <w:vAlign w:val="bottom"/>
          </w:tcPr>
          <w:p w14:paraId="1BD28266"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75E1552C"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608D7C2F" w14:textId="77777777" w:rsidR="00692E71" w:rsidRPr="001E3185" w:rsidRDefault="00692E71" w:rsidP="008E0250">
            <w:pPr>
              <w:jc w:val="center"/>
              <w:rPr>
                <w:rFonts w:cs="Arial"/>
                <w:b/>
                <w:lang w:eastAsia="da-DK"/>
              </w:rPr>
            </w:pPr>
            <w:r w:rsidRPr="001E3185">
              <w:rPr>
                <w:rFonts w:cs="Arial"/>
                <w:b/>
                <w:lang w:eastAsia="da-DK"/>
              </w:rPr>
              <w:t>Propiconazole</w:t>
            </w:r>
          </w:p>
        </w:tc>
        <w:tc>
          <w:tcPr>
            <w:tcW w:w="1560" w:type="dxa"/>
            <w:shd w:val="clear" w:color="auto" w:fill="FFFFFF" w:themeFill="background1"/>
            <w:noWrap/>
            <w:vAlign w:val="center"/>
          </w:tcPr>
          <w:p w14:paraId="2EE1F303"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2D348F0F"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0A8FB213" w14:textId="77777777" w:rsidTr="008E0250">
        <w:trPr>
          <w:trHeight w:val="20"/>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0485D9" w14:textId="77777777" w:rsidR="00692E71" w:rsidRPr="001E3185" w:rsidRDefault="00692E71" w:rsidP="008E0250">
            <w:pPr>
              <w:rPr>
                <w:rFonts w:cs="Arial"/>
                <w:highlight w:val="yellow"/>
                <w:lang w:eastAsia="da-DK"/>
              </w:rPr>
            </w:pPr>
            <w:r w:rsidRPr="001E3185">
              <w:rPr>
                <w:rFonts w:cs="Arial"/>
                <w:b/>
                <w:lang w:eastAsia="da-DK"/>
              </w:rPr>
              <w:t>House (soil)</w:t>
            </w:r>
          </w:p>
        </w:tc>
      </w:tr>
      <w:tr w:rsidR="00692E71" w:rsidRPr="001E3185" w14:paraId="298AF4FD"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AF2705"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78B36B" w14:textId="77777777" w:rsidR="00692E71" w:rsidRPr="001E3185" w:rsidRDefault="00692E71" w:rsidP="008E0250">
            <w:pPr>
              <w:jc w:val="center"/>
              <w:rPr>
                <w:rFonts w:cs="Arial"/>
                <w:highlight w:val="yellow"/>
                <w:lang w:eastAsia="da-DK"/>
              </w:rPr>
            </w:pPr>
            <w:r w:rsidRPr="001E3185">
              <w:rPr>
                <w:rFonts w:cs="Arial"/>
              </w:rPr>
              <w:t>0.03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881074" w14:textId="77777777" w:rsidR="00692E71" w:rsidRPr="001E3185" w:rsidRDefault="00692E71" w:rsidP="008E0250">
            <w:pPr>
              <w:jc w:val="center"/>
              <w:rPr>
                <w:rFonts w:cs="Arial"/>
                <w:highlight w:val="yellow"/>
                <w:lang w:eastAsia="da-DK"/>
              </w:rPr>
            </w:pPr>
            <w:r w:rsidRPr="001E3185">
              <w:rPr>
                <w:rFonts w:cs="Arial"/>
              </w:rPr>
              <w:t>0.12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EBD9ED" w14:textId="77777777" w:rsidR="00692E71" w:rsidRPr="001E3185" w:rsidRDefault="00692E71" w:rsidP="008E0250">
            <w:pPr>
              <w:jc w:val="center"/>
              <w:rPr>
                <w:rFonts w:cs="Arial"/>
                <w:highlight w:val="yellow"/>
                <w:lang w:eastAsia="da-DK"/>
              </w:rPr>
            </w:pPr>
            <w:r w:rsidRPr="001E3185">
              <w:rPr>
                <w:rFonts w:cs="Arial"/>
              </w:rPr>
              <w:t>0.05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443F" w14:textId="77777777" w:rsidR="00692E71" w:rsidRPr="001E3185" w:rsidRDefault="00692E71" w:rsidP="008E0250">
            <w:pPr>
              <w:jc w:val="center"/>
              <w:rPr>
                <w:rFonts w:cs="Arial"/>
                <w:highlight w:val="yellow"/>
                <w:lang w:eastAsia="da-DK"/>
              </w:rPr>
            </w:pPr>
            <w:r w:rsidRPr="001E3185">
              <w:rPr>
                <w:rFonts w:cs="Arial"/>
              </w:rPr>
              <w:t>3.2*10</w:t>
            </w:r>
            <w:r w:rsidRPr="001E3185">
              <w:rPr>
                <w:rFonts w:cs="Arial"/>
                <w:vertAlign w:val="superscript"/>
              </w:rPr>
              <w:t>-4</w:t>
            </w:r>
          </w:p>
        </w:tc>
      </w:tr>
      <w:tr w:rsidR="00692E71" w:rsidRPr="001E3185" w14:paraId="37757455"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E5480E"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0A1920" w14:textId="77777777" w:rsidR="00692E71" w:rsidRPr="001E3185" w:rsidRDefault="00692E71" w:rsidP="008E0250">
            <w:pPr>
              <w:jc w:val="center"/>
              <w:rPr>
                <w:rFonts w:cs="Arial"/>
                <w:highlight w:val="yellow"/>
                <w:lang w:eastAsia="da-DK"/>
              </w:rPr>
            </w:pPr>
            <w:r w:rsidRPr="001E3185">
              <w:rPr>
                <w:rFonts w:cs="Arial"/>
              </w:rPr>
              <w:t>0.19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72CAE0" w14:textId="77777777" w:rsidR="00692E71" w:rsidRPr="001E3185" w:rsidRDefault="00692E71" w:rsidP="008E0250">
            <w:pPr>
              <w:jc w:val="center"/>
              <w:rPr>
                <w:rFonts w:cs="Arial"/>
                <w:highlight w:val="yellow"/>
                <w:lang w:eastAsia="da-DK"/>
              </w:rPr>
            </w:pPr>
            <w:r w:rsidRPr="001E3185">
              <w:rPr>
                <w:rFonts w:cs="Arial"/>
              </w:rPr>
              <w:t>1.04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DDBC95" w14:textId="77777777" w:rsidR="00692E71" w:rsidRPr="001E3185" w:rsidRDefault="00692E71" w:rsidP="008E0250">
            <w:pPr>
              <w:jc w:val="center"/>
              <w:rPr>
                <w:rFonts w:cs="Arial"/>
                <w:highlight w:val="yellow"/>
                <w:lang w:eastAsia="da-DK"/>
              </w:rPr>
            </w:pPr>
            <w:r w:rsidRPr="001E3185">
              <w:rPr>
                <w:rFonts w:cs="Arial"/>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8655C" w14:textId="77777777" w:rsidR="00692E71" w:rsidRPr="001E3185" w:rsidRDefault="00692E71" w:rsidP="008E0250">
            <w:pPr>
              <w:jc w:val="center"/>
              <w:rPr>
                <w:rFonts w:cs="Arial"/>
                <w:highlight w:val="yellow"/>
                <w:lang w:eastAsia="da-DK"/>
              </w:rPr>
            </w:pPr>
            <w:r w:rsidRPr="001E3185">
              <w:rPr>
                <w:rFonts w:cs="Arial"/>
              </w:rPr>
              <w:t>0.03</w:t>
            </w:r>
          </w:p>
        </w:tc>
      </w:tr>
      <w:tr w:rsidR="00692E71" w:rsidRPr="001E3185" w14:paraId="24A537CE"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FCA8BD"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E2158F" w14:textId="77777777" w:rsidR="00692E71" w:rsidRPr="001E3185" w:rsidRDefault="00692E71" w:rsidP="008E0250">
            <w:pPr>
              <w:jc w:val="center"/>
              <w:rPr>
                <w:rFonts w:cs="Arial"/>
                <w:lang w:eastAsia="da-DK"/>
              </w:rPr>
            </w:pPr>
            <w:r w:rsidRPr="001E3185">
              <w:rPr>
                <w:rFonts w:cs="Arial"/>
              </w:rPr>
              <w:t>2.8*10</w:t>
            </w:r>
            <w:r w:rsidRPr="001E3185">
              <w:rPr>
                <w:rFonts w:cs="Arial"/>
                <w:vertAlign w:val="superscript"/>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61B996" w14:textId="77777777" w:rsidR="00692E71" w:rsidRPr="001E3185" w:rsidRDefault="00692E71" w:rsidP="008E0250">
            <w:pPr>
              <w:jc w:val="center"/>
              <w:rPr>
                <w:rFonts w:cs="Arial"/>
                <w:lang w:eastAsia="da-DK"/>
              </w:rPr>
            </w:pPr>
            <w:r w:rsidRPr="001E3185">
              <w:rPr>
                <w:rFonts w:cs="Arial"/>
              </w:rPr>
              <w:t>0.11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197088" w14:textId="77777777" w:rsidR="00692E71" w:rsidRPr="001E3185" w:rsidRDefault="00692E71" w:rsidP="008E0250">
            <w:pPr>
              <w:jc w:val="center"/>
              <w:rPr>
                <w:rFonts w:cs="Arial"/>
                <w:lang w:eastAsia="da-DK"/>
              </w:rPr>
            </w:pPr>
            <w:r w:rsidRPr="001E3185">
              <w:rPr>
                <w:rFonts w:cs="Arial"/>
              </w:rPr>
              <w:t>0.04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EDE5C" w14:textId="77777777" w:rsidR="00692E71" w:rsidRPr="001E3185" w:rsidRDefault="00692E71" w:rsidP="008E0250">
            <w:pPr>
              <w:jc w:val="center"/>
              <w:rPr>
                <w:rFonts w:cs="Arial"/>
                <w:lang w:eastAsia="da-DK"/>
              </w:rPr>
            </w:pPr>
            <w:r w:rsidRPr="001E3185">
              <w:rPr>
                <w:rFonts w:cs="Arial"/>
              </w:rPr>
              <w:t>1.8*10</w:t>
            </w:r>
            <w:r w:rsidRPr="001E3185">
              <w:rPr>
                <w:rFonts w:cs="Arial"/>
                <w:vertAlign w:val="superscript"/>
              </w:rPr>
              <w:t>-4</w:t>
            </w:r>
          </w:p>
        </w:tc>
      </w:tr>
      <w:tr w:rsidR="00692E71" w:rsidRPr="001E3185" w14:paraId="7969BBCC"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5A9F24"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9828F5" w14:textId="77777777" w:rsidR="00692E71" w:rsidRPr="001E3185" w:rsidRDefault="00692E71" w:rsidP="008E0250">
            <w:pPr>
              <w:jc w:val="center"/>
              <w:rPr>
                <w:rFonts w:cs="Arial"/>
                <w:lang w:eastAsia="da-DK"/>
              </w:rPr>
            </w:pPr>
            <w:r w:rsidRPr="001E3185">
              <w:rPr>
                <w:rFonts w:cs="Arial"/>
              </w:rPr>
              <w:t>8.6*10</w:t>
            </w:r>
            <w:r w:rsidRPr="001E3185">
              <w:rPr>
                <w:rFonts w:cs="Arial"/>
                <w:vertAlign w:val="superscript"/>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6802AA" w14:textId="77777777" w:rsidR="00692E71" w:rsidRPr="001E3185" w:rsidRDefault="00692E71" w:rsidP="008E0250">
            <w:pPr>
              <w:jc w:val="center"/>
              <w:rPr>
                <w:rFonts w:cs="Arial"/>
                <w:lang w:eastAsia="da-DK"/>
              </w:rPr>
            </w:pPr>
            <w:r w:rsidRPr="001E3185">
              <w:rPr>
                <w:rFonts w:cs="Arial"/>
              </w:rPr>
              <w:t>0.03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B0E6D" w14:textId="77777777" w:rsidR="00692E71" w:rsidRPr="001E3185" w:rsidRDefault="00692E71" w:rsidP="008E0250">
            <w:pPr>
              <w:jc w:val="center"/>
              <w:rPr>
                <w:rFonts w:cs="Arial"/>
                <w:lang w:eastAsia="da-DK"/>
              </w:rPr>
            </w:pPr>
            <w:r w:rsidRPr="001E3185">
              <w:rPr>
                <w:rFonts w:cs="Arial"/>
              </w:rPr>
              <w:t>0.01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516D6" w14:textId="77777777" w:rsidR="00692E71" w:rsidRPr="001E3185" w:rsidRDefault="00692E71" w:rsidP="008E0250">
            <w:pPr>
              <w:jc w:val="center"/>
              <w:rPr>
                <w:rFonts w:cs="Arial"/>
                <w:lang w:eastAsia="da-DK"/>
              </w:rPr>
            </w:pPr>
            <w:r w:rsidRPr="001E3185">
              <w:rPr>
                <w:rFonts w:cs="Arial"/>
              </w:rPr>
              <w:t>1.5*10</w:t>
            </w:r>
            <w:r w:rsidRPr="001E3185">
              <w:rPr>
                <w:rFonts w:cs="Arial"/>
                <w:vertAlign w:val="superscript"/>
              </w:rPr>
              <w:t>-4</w:t>
            </w:r>
          </w:p>
        </w:tc>
      </w:tr>
      <w:tr w:rsidR="00692E71" w:rsidRPr="001E3185" w14:paraId="588C38BE" w14:textId="77777777" w:rsidTr="008E0250">
        <w:trPr>
          <w:trHeight w:val="20"/>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5679D1" w14:textId="77777777" w:rsidR="00692E71" w:rsidRPr="001E3185" w:rsidRDefault="00692E71" w:rsidP="008E0250">
            <w:pPr>
              <w:jc w:val="center"/>
              <w:rPr>
                <w:rFonts w:cs="Arial"/>
              </w:rPr>
            </w:pPr>
          </w:p>
        </w:tc>
      </w:tr>
      <w:tr w:rsidR="00692E71" w:rsidRPr="001E3185" w14:paraId="6E4B57C6" w14:textId="77777777" w:rsidTr="008E0250">
        <w:trPr>
          <w:trHeight w:val="20"/>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69A77E" w14:textId="77777777" w:rsidR="00692E71" w:rsidRPr="001E3185" w:rsidRDefault="00692E71" w:rsidP="008E0250">
            <w:pPr>
              <w:rPr>
                <w:rFonts w:cs="Arial"/>
                <w:lang w:eastAsia="da-DK"/>
              </w:rPr>
            </w:pPr>
            <w:r w:rsidRPr="001E3185">
              <w:rPr>
                <w:rFonts w:cs="Arial"/>
                <w:b/>
                <w:lang w:eastAsia="da-DK"/>
              </w:rPr>
              <w:t>Fence (soil)</w:t>
            </w:r>
          </w:p>
        </w:tc>
      </w:tr>
      <w:tr w:rsidR="00692E71" w:rsidRPr="001E3185" w14:paraId="4AA0D2C7"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734050"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7720CA" w14:textId="77777777" w:rsidR="00692E71" w:rsidRPr="001E3185" w:rsidRDefault="00692E71" w:rsidP="008E0250">
            <w:pPr>
              <w:jc w:val="center"/>
              <w:rPr>
                <w:rFonts w:cs="Arial"/>
                <w:lang w:eastAsia="da-DK"/>
              </w:rPr>
            </w:pPr>
            <w:r w:rsidRPr="001E3185">
              <w:rPr>
                <w:rFonts w:cs="Arial"/>
              </w:rPr>
              <w:t>2.4*10</w:t>
            </w:r>
            <w:r w:rsidRPr="001E3185">
              <w:rPr>
                <w:rFonts w:cs="Arial"/>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31DC85" w14:textId="77777777" w:rsidR="00692E71" w:rsidRPr="001E3185" w:rsidRDefault="00692E71" w:rsidP="008E0250">
            <w:pPr>
              <w:jc w:val="center"/>
              <w:rPr>
                <w:rFonts w:cs="Arial"/>
                <w:lang w:eastAsia="da-DK"/>
              </w:rPr>
            </w:pPr>
            <w:r w:rsidRPr="001E3185">
              <w:rPr>
                <w:rFonts w:cs="Arial"/>
              </w:rPr>
              <w:t>0.10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E5ACF6" w14:textId="77777777" w:rsidR="00692E71" w:rsidRPr="001E3185" w:rsidRDefault="00692E71" w:rsidP="008E0250">
            <w:pPr>
              <w:jc w:val="center"/>
              <w:rPr>
                <w:rFonts w:cs="Arial"/>
                <w:lang w:eastAsia="da-DK"/>
              </w:rPr>
            </w:pPr>
            <w:r w:rsidRPr="001E3185">
              <w:rPr>
                <w:rFonts w:cs="Arial"/>
              </w:rPr>
              <w:t>0.04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9409E" w14:textId="77777777" w:rsidR="00692E71" w:rsidRPr="001E3185" w:rsidRDefault="00692E71" w:rsidP="008E0250">
            <w:pPr>
              <w:jc w:val="center"/>
              <w:rPr>
                <w:rFonts w:cs="Arial"/>
                <w:lang w:eastAsia="da-DK"/>
              </w:rPr>
            </w:pPr>
            <w:r w:rsidRPr="001E3185">
              <w:rPr>
                <w:rFonts w:cs="Arial"/>
              </w:rPr>
              <w:t>2.7*10</w:t>
            </w:r>
            <w:r w:rsidRPr="001E3185">
              <w:rPr>
                <w:rFonts w:cs="Arial"/>
                <w:vertAlign w:val="superscript"/>
              </w:rPr>
              <w:t>-4</w:t>
            </w:r>
          </w:p>
        </w:tc>
      </w:tr>
      <w:tr w:rsidR="00692E71" w:rsidRPr="001E3185" w14:paraId="08FAE7F9"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C2ECFE"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0A97CD" w14:textId="77777777" w:rsidR="00692E71" w:rsidRPr="001E3185" w:rsidRDefault="00692E71" w:rsidP="008E0250">
            <w:pPr>
              <w:jc w:val="center"/>
              <w:rPr>
                <w:rFonts w:cs="Arial"/>
                <w:lang w:eastAsia="da-DK"/>
              </w:rPr>
            </w:pPr>
            <w:r w:rsidRPr="001E3185">
              <w:rPr>
                <w:rFonts w:cs="Arial"/>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6E70E8" w14:textId="77777777" w:rsidR="00692E71" w:rsidRPr="001E3185" w:rsidRDefault="00692E71" w:rsidP="008E0250">
            <w:pPr>
              <w:jc w:val="center"/>
              <w:rPr>
                <w:rFonts w:cs="Arial"/>
                <w:lang w:eastAsia="da-DK"/>
              </w:rPr>
            </w:pPr>
            <w:r w:rsidRPr="001E3185">
              <w:rPr>
                <w:rFonts w:cs="Arial"/>
              </w:rPr>
              <w:t>0.86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EE6186" w14:textId="77777777" w:rsidR="00692E71" w:rsidRPr="001E3185" w:rsidRDefault="00692E71" w:rsidP="008E0250">
            <w:pPr>
              <w:jc w:val="center"/>
              <w:rPr>
                <w:rFonts w:cs="Arial"/>
                <w:lang w:eastAsia="da-DK"/>
              </w:rPr>
            </w:pPr>
            <w:r w:rsidRPr="001E3185">
              <w:rPr>
                <w:rFonts w:cs="Arial"/>
              </w:rPr>
              <w:t>0.32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04B71" w14:textId="77777777" w:rsidR="00692E71" w:rsidRPr="001E3185" w:rsidRDefault="00692E71" w:rsidP="008E0250">
            <w:pPr>
              <w:jc w:val="center"/>
              <w:rPr>
                <w:rFonts w:cs="Arial"/>
                <w:lang w:eastAsia="da-DK"/>
              </w:rPr>
            </w:pPr>
            <w:r w:rsidRPr="001E3185">
              <w:rPr>
                <w:rFonts w:cs="Arial"/>
              </w:rPr>
              <w:t>2.7*10</w:t>
            </w:r>
            <w:r w:rsidRPr="001E3185">
              <w:rPr>
                <w:rFonts w:cs="Arial"/>
                <w:vertAlign w:val="superscript"/>
              </w:rPr>
              <w:t>-2</w:t>
            </w:r>
          </w:p>
        </w:tc>
      </w:tr>
      <w:tr w:rsidR="00692E71" w:rsidRPr="001E3185" w14:paraId="5E257108"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A1FE99"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B0F477" w14:textId="77777777" w:rsidR="00692E71" w:rsidRPr="001E3185" w:rsidRDefault="00692E71" w:rsidP="008E0250">
            <w:pPr>
              <w:jc w:val="center"/>
              <w:rPr>
                <w:rFonts w:cs="Arial"/>
                <w:lang w:eastAsia="da-DK"/>
              </w:rPr>
            </w:pPr>
            <w:r w:rsidRPr="001E3185">
              <w:rPr>
                <w:rFonts w:cs="Arial"/>
              </w:rPr>
              <w:t>2.4*10</w:t>
            </w:r>
            <w:r w:rsidRPr="001E3185">
              <w:rPr>
                <w:rFonts w:cs="Arial"/>
                <w:vertAlign w:val="superscript"/>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9F28FF" w14:textId="77777777" w:rsidR="00692E71" w:rsidRPr="001E3185" w:rsidRDefault="00692E71" w:rsidP="008E0250">
            <w:pPr>
              <w:jc w:val="center"/>
              <w:rPr>
                <w:rFonts w:cs="Arial"/>
                <w:lang w:eastAsia="da-DK"/>
              </w:rPr>
            </w:pPr>
            <w:r w:rsidRPr="001E3185">
              <w:rPr>
                <w:rFonts w:cs="Arial"/>
              </w:rPr>
              <w:t>0.09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F4A3D3" w14:textId="77777777" w:rsidR="00692E71" w:rsidRPr="001E3185" w:rsidRDefault="00692E71" w:rsidP="008E0250">
            <w:pPr>
              <w:jc w:val="center"/>
              <w:rPr>
                <w:rFonts w:cs="Arial"/>
                <w:lang w:eastAsia="da-DK"/>
              </w:rPr>
            </w:pPr>
            <w:r w:rsidRPr="001E3185">
              <w:rPr>
                <w:rFonts w:cs="Arial"/>
              </w:rPr>
              <w:t>0.04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DCE71" w14:textId="77777777" w:rsidR="00692E71" w:rsidRPr="001E3185" w:rsidRDefault="00692E71" w:rsidP="008E0250">
            <w:pPr>
              <w:jc w:val="center"/>
              <w:rPr>
                <w:rFonts w:cs="Arial"/>
                <w:lang w:eastAsia="da-DK"/>
              </w:rPr>
            </w:pPr>
            <w:r w:rsidRPr="001E3185">
              <w:rPr>
                <w:rFonts w:cs="Arial"/>
              </w:rPr>
              <w:t>1.5*10</w:t>
            </w:r>
            <w:r w:rsidRPr="001E3185">
              <w:rPr>
                <w:rFonts w:cs="Arial"/>
                <w:vertAlign w:val="superscript"/>
              </w:rPr>
              <w:t>-4</w:t>
            </w:r>
          </w:p>
        </w:tc>
      </w:tr>
      <w:tr w:rsidR="00692E71" w:rsidRPr="001E3185" w14:paraId="6612F4D4"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6E31A6"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738B30" w14:textId="77777777" w:rsidR="00692E71" w:rsidRPr="001E3185" w:rsidRDefault="00692E71" w:rsidP="008E0250">
            <w:pPr>
              <w:jc w:val="center"/>
              <w:rPr>
                <w:rFonts w:cs="Arial"/>
                <w:lang w:eastAsia="da-DK"/>
              </w:rPr>
            </w:pPr>
            <w:r w:rsidRPr="001E3185">
              <w:rPr>
                <w:rFonts w:cs="Arial"/>
              </w:rPr>
              <w:t>7.2*10</w:t>
            </w:r>
            <w:r w:rsidRPr="001E3185">
              <w:rPr>
                <w:rFonts w:cs="Arial"/>
                <w:vertAlign w:val="superscript"/>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AFA121" w14:textId="77777777" w:rsidR="00692E71" w:rsidRPr="001E3185" w:rsidRDefault="00692E71" w:rsidP="008E0250">
            <w:pPr>
              <w:jc w:val="center"/>
              <w:rPr>
                <w:rFonts w:cs="Arial"/>
                <w:lang w:eastAsia="da-DK"/>
              </w:rPr>
            </w:pPr>
            <w:r w:rsidRPr="001E3185">
              <w:rPr>
                <w:rFonts w:cs="Arial"/>
              </w:rPr>
              <w:t>2.6*10</w:t>
            </w:r>
            <w:r w:rsidRPr="001E3185">
              <w:rPr>
                <w:rFonts w:cs="Arial"/>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C55006" w14:textId="77777777" w:rsidR="00692E71" w:rsidRPr="001E3185" w:rsidRDefault="00692E71" w:rsidP="008E0250">
            <w:pPr>
              <w:jc w:val="center"/>
              <w:rPr>
                <w:rFonts w:cs="Arial"/>
                <w:lang w:eastAsia="da-DK"/>
              </w:rPr>
            </w:pPr>
            <w:r w:rsidRPr="001E3185">
              <w:rPr>
                <w:rFonts w:cs="Arial"/>
              </w:rPr>
              <w:t>5.7*10</w:t>
            </w:r>
            <w:r w:rsidRPr="001E3185">
              <w:rPr>
                <w:rFonts w:cs="Arial"/>
                <w:vertAlign w:val="superscript"/>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BB245" w14:textId="77777777" w:rsidR="00692E71" w:rsidRPr="001E3185" w:rsidRDefault="00692E71" w:rsidP="008E0250">
            <w:pPr>
              <w:jc w:val="center"/>
              <w:rPr>
                <w:rFonts w:cs="Arial"/>
                <w:lang w:eastAsia="da-DK"/>
              </w:rPr>
            </w:pPr>
            <w:r w:rsidRPr="001E3185">
              <w:rPr>
                <w:rFonts w:cs="Arial"/>
              </w:rPr>
              <w:t>1.2*10</w:t>
            </w:r>
            <w:r w:rsidRPr="001E3185">
              <w:rPr>
                <w:rFonts w:cs="Arial"/>
                <w:vertAlign w:val="superscript"/>
              </w:rPr>
              <w:t>-4</w:t>
            </w:r>
          </w:p>
        </w:tc>
      </w:tr>
      <w:tr w:rsidR="00692E71" w:rsidRPr="001E3185" w14:paraId="4C85B312" w14:textId="77777777" w:rsidTr="008E0250">
        <w:trPr>
          <w:trHeight w:val="20"/>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475B49" w14:textId="77777777" w:rsidR="00692E71" w:rsidRPr="001E3185" w:rsidRDefault="00692E71" w:rsidP="008E0250">
            <w:pPr>
              <w:jc w:val="center"/>
              <w:rPr>
                <w:rFonts w:cs="Arial"/>
              </w:rPr>
            </w:pPr>
          </w:p>
        </w:tc>
      </w:tr>
      <w:tr w:rsidR="00692E71" w:rsidRPr="001E3185" w14:paraId="157BD25E" w14:textId="77777777" w:rsidTr="008E0250">
        <w:trPr>
          <w:trHeight w:val="20"/>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33922E" w14:textId="77777777" w:rsidR="00692E71" w:rsidRPr="001E3185" w:rsidRDefault="00692E71" w:rsidP="008E0250">
            <w:pPr>
              <w:rPr>
                <w:rFonts w:cs="Arial"/>
                <w:lang w:eastAsia="da-DK"/>
              </w:rPr>
            </w:pPr>
            <w:r w:rsidRPr="001E3185">
              <w:rPr>
                <w:rFonts w:cs="Arial"/>
                <w:b/>
                <w:lang w:eastAsia="da-DK"/>
              </w:rPr>
              <w:t>Noise Barrier (soil)</w:t>
            </w:r>
          </w:p>
        </w:tc>
      </w:tr>
      <w:tr w:rsidR="00692E71" w:rsidRPr="001E3185" w14:paraId="60BB8252"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4229F4"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504C41" w14:textId="77777777" w:rsidR="00692E71" w:rsidRPr="001E3185" w:rsidRDefault="00692E71" w:rsidP="008E0250">
            <w:pPr>
              <w:jc w:val="center"/>
              <w:rPr>
                <w:rFonts w:cs="Arial"/>
                <w:lang w:eastAsia="da-DK"/>
              </w:rPr>
            </w:pPr>
            <w:r w:rsidRPr="001E3185">
              <w:rPr>
                <w:rFonts w:cs="Arial"/>
              </w:rPr>
              <w:t>0.01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8A58EB" w14:textId="77777777" w:rsidR="00692E71" w:rsidRPr="001E3185" w:rsidRDefault="00692E71" w:rsidP="008E0250">
            <w:pPr>
              <w:jc w:val="center"/>
              <w:rPr>
                <w:rFonts w:cs="Arial"/>
                <w:lang w:eastAsia="da-DK"/>
              </w:rPr>
            </w:pPr>
            <w:r w:rsidRPr="001E3185">
              <w:rPr>
                <w:rFonts w:cs="Arial"/>
              </w:rPr>
              <w:t>0.04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81FA26" w14:textId="77777777" w:rsidR="00692E71" w:rsidRPr="001E3185" w:rsidRDefault="00692E71" w:rsidP="008E0250">
            <w:pPr>
              <w:jc w:val="center"/>
              <w:rPr>
                <w:rFonts w:cs="Arial"/>
                <w:lang w:eastAsia="da-DK"/>
              </w:rPr>
            </w:pPr>
            <w:r w:rsidRPr="001E3185">
              <w:rPr>
                <w:rFonts w:cs="Arial"/>
              </w:rPr>
              <w:t>0.02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66848" w14:textId="77777777" w:rsidR="00692E71" w:rsidRPr="001E3185" w:rsidRDefault="00692E71" w:rsidP="008E0250">
            <w:pPr>
              <w:jc w:val="center"/>
              <w:rPr>
                <w:rFonts w:cs="Arial"/>
                <w:lang w:eastAsia="da-DK"/>
              </w:rPr>
            </w:pPr>
            <w:r w:rsidRPr="001E3185">
              <w:rPr>
                <w:rFonts w:cs="Arial"/>
              </w:rPr>
              <w:t>1.2*10</w:t>
            </w:r>
            <w:r w:rsidRPr="001E3185">
              <w:rPr>
                <w:rFonts w:cs="Arial"/>
                <w:vertAlign w:val="superscript"/>
              </w:rPr>
              <w:t>-4</w:t>
            </w:r>
          </w:p>
        </w:tc>
      </w:tr>
      <w:tr w:rsidR="00692E71" w:rsidRPr="001E3185" w14:paraId="7B85520B"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8380C6"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EFDE82" w14:textId="77777777" w:rsidR="00692E71" w:rsidRPr="001E3185" w:rsidRDefault="00692E71" w:rsidP="008E0250">
            <w:pPr>
              <w:jc w:val="center"/>
              <w:rPr>
                <w:rFonts w:cs="Arial"/>
                <w:lang w:eastAsia="da-DK"/>
              </w:rPr>
            </w:pPr>
            <w:r w:rsidRPr="001E3185">
              <w:rPr>
                <w:rFonts w:cs="Arial"/>
              </w:rPr>
              <w:t>0.07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37EC01" w14:textId="77777777" w:rsidR="00692E71" w:rsidRPr="001E3185" w:rsidRDefault="00692E71" w:rsidP="008E0250">
            <w:pPr>
              <w:jc w:val="center"/>
              <w:rPr>
                <w:rFonts w:cs="Arial"/>
                <w:lang w:eastAsia="da-DK"/>
              </w:rPr>
            </w:pPr>
            <w:r w:rsidRPr="001E3185">
              <w:rPr>
                <w:rFonts w:cs="Arial"/>
              </w:rPr>
              <w:t>0.39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65C6D8" w14:textId="77777777" w:rsidR="00692E71" w:rsidRPr="001E3185" w:rsidRDefault="00692E71" w:rsidP="008E0250">
            <w:pPr>
              <w:jc w:val="center"/>
              <w:rPr>
                <w:rFonts w:cs="Arial"/>
                <w:lang w:eastAsia="da-DK"/>
              </w:rPr>
            </w:pPr>
            <w:r w:rsidRPr="001E3185">
              <w:rPr>
                <w:rFonts w:cs="Arial"/>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A1645" w14:textId="77777777" w:rsidR="00692E71" w:rsidRPr="001E3185" w:rsidRDefault="00692E71" w:rsidP="008E0250">
            <w:pPr>
              <w:jc w:val="center"/>
              <w:rPr>
                <w:rFonts w:cs="Arial"/>
                <w:lang w:eastAsia="da-DK"/>
              </w:rPr>
            </w:pPr>
            <w:r w:rsidRPr="001E3185">
              <w:rPr>
                <w:rFonts w:cs="Arial"/>
              </w:rPr>
              <w:t>0.01</w:t>
            </w:r>
          </w:p>
        </w:tc>
      </w:tr>
      <w:tr w:rsidR="00692E71" w:rsidRPr="001E3185" w14:paraId="341DFCB6"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A96F4D" w14:textId="77777777" w:rsidR="00692E71" w:rsidRPr="001E3185" w:rsidRDefault="00692E71" w:rsidP="008E0250">
            <w:pPr>
              <w:keepNext/>
              <w:keepLines/>
              <w:rPr>
                <w:rFonts w:cs="Arial"/>
                <w:b/>
                <w:lang w:eastAsia="da-DK"/>
              </w:rPr>
            </w:pPr>
            <w:r w:rsidRPr="001E3185">
              <w:rPr>
                <w:rFonts w:cs="Arial"/>
                <w:lang w:eastAsia="da-DK"/>
              </w:rPr>
              <w:lastRenderedPageBreak/>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1FA7D4" w14:textId="77777777" w:rsidR="00692E71" w:rsidRPr="001E3185" w:rsidRDefault="00692E71" w:rsidP="008E0250">
            <w:pPr>
              <w:jc w:val="center"/>
              <w:rPr>
                <w:rFonts w:cs="Arial"/>
                <w:lang w:eastAsia="da-DK"/>
              </w:rPr>
            </w:pPr>
            <w:r w:rsidRPr="001E3185">
              <w:rPr>
                <w:rFonts w:cs="Arial"/>
              </w:rPr>
              <w:t>1.1*10</w:t>
            </w:r>
            <w:r w:rsidRPr="001E3185">
              <w:rPr>
                <w:rFonts w:cs="Arial"/>
                <w:vertAlign w:val="superscript"/>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763519" w14:textId="77777777" w:rsidR="00692E71" w:rsidRPr="001E3185" w:rsidRDefault="00692E71" w:rsidP="008E0250">
            <w:pPr>
              <w:jc w:val="center"/>
              <w:rPr>
                <w:rFonts w:cs="Arial"/>
                <w:lang w:eastAsia="da-DK"/>
              </w:rPr>
            </w:pPr>
            <w:r w:rsidRPr="001E3185">
              <w:rPr>
                <w:rFonts w:cs="Arial"/>
              </w:rPr>
              <w:t>0.04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DFEC0E" w14:textId="77777777" w:rsidR="00692E71" w:rsidRPr="001E3185" w:rsidRDefault="00692E71" w:rsidP="008E0250">
            <w:pPr>
              <w:jc w:val="center"/>
              <w:rPr>
                <w:rFonts w:cs="Arial"/>
                <w:lang w:eastAsia="da-DK"/>
              </w:rPr>
            </w:pPr>
            <w:r w:rsidRPr="001E3185">
              <w:rPr>
                <w:rFonts w:cs="Arial"/>
              </w:rPr>
              <w:t>0.02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FA51B" w14:textId="77777777" w:rsidR="00692E71" w:rsidRPr="001E3185" w:rsidRDefault="00692E71" w:rsidP="008E0250">
            <w:pPr>
              <w:jc w:val="center"/>
              <w:rPr>
                <w:rFonts w:cs="Arial"/>
                <w:lang w:eastAsia="da-DK"/>
              </w:rPr>
            </w:pPr>
            <w:r w:rsidRPr="001E3185">
              <w:rPr>
                <w:rFonts w:cs="Arial"/>
              </w:rPr>
              <w:t>6.9*10</w:t>
            </w:r>
            <w:r w:rsidRPr="001E3185">
              <w:rPr>
                <w:rFonts w:cs="Arial"/>
                <w:vertAlign w:val="superscript"/>
              </w:rPr>
              <w:t>-5</w:t>
            </w:r>
          </w:p>
        </w:tc>
      </w:tr>
      <w:tr w:rsidR="00692E71" w:rsidRPr="001E3185" w14:paraId="5BB5F767"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74AE5A"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51A38B" w14:textId="77777777" w:rsidR="00692E71" w:rsidRPr="001E3185" w:rsidRDefault="00692E71" w:rsidP="008E0250">
            <w:pPr>
              <w:jc w:val="center"/>
              <w:rPr>
                <w:rFonts w:cs="Arial"/>
                <w:lang w:eastAsia="da-DK"/>
              </w:rPr>
            </w:pPr>
            <w:r w:rsidRPr="001E3185">
              <w:rPr>
                <w:rFonts w:cs="Arial"/>
              </w:rPr>
              <w:t>3.2*10</w:t>
            </w:r>
            <w:r w:rsidRPr="001E3185">
              <w:rPr>
                <w:rFonts w:cs="Arial"/>
                <w:vertAlign w:val="superscript"/>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FBADE3" w14:textId="77777777" w:rsidR="00692E71" w:rsidRPr="001E3185" w:rsidRDefault="00692E71" w:rsidP="008E0250">
            <w:pPr>
              <w:jc w:val="center"/>
              <w:rPr>
                <w:rFonts w:cs="Arial"/>
                <w:lang w:eastAsia="da-DK"/>
              </w:rPr>
            </w:pPr>
            <w:r w:rsidRPr="001E3185">
              <w:rPr>
                <w:rFonts w:cs="Arial"/>
              </w:rPr>
              <w:t>1.2*10</w:t>
            </w:r>
            <w:r w:rsidRPr="001E3185">
              <w:rPr>
                <w:rFonts w:cs="Arial"/>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4AC59F" w14:textId="77777777" w:rsidR="00692E71" w:rsidRPr="001E3185" w:rsidRDefault="00692E71" w:rsidP="008E0250">
            <w:pPr>
              <w:jc w:val="center"/>
              <w:rPr>
                <w:rFonts w:cs="Arial"/>
                <w:lang w:eastAsia="da-DK"/>
              </w:rPr>
            </w:pPr>
            <w:r w:rsidRPr="001E3185">
              <w:rPr>
                <w:rFonts w:cs="Arial"/>
              </w:rPr>
              <w:t>2.6*10</w:t>
            </w:r>
            <w:r w:rsidRPr="001E3185">
              <w:rPr>
                <w:rFonts w:cs="Arial"/>
                <w:vertAlign w:val="superscript"/>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C12B2" w14:textId="77777777" w:rsidR="00692E71" w:rsidRPr="001E3185" w:rsidRDefault="00692E71" w:rsidP="008E0250">
            <w:pPr>
              <w:jc w:val="center"/>
              <w:rPr>
                <w:rFonts w:cs="Arial"/>
                <w:lang w:eastAsia="da-DK"/>
              </w:rPr>
            </w:pPr>
            <w:r w:rsidRPr="001E3185">
              <w:rPr>
                <w:rFonts w:cs="Arial"/>
              </w:rPr>
              <w:t>5.5*10</w:t>
            </w:r>
            <w:r w:rsidRPr="001E3185">
              <w:rPr>
                <w:rFonts w:cs="Arial"/>
                <w:vertAlign w:val="superscript"/>
              </w:rPr>
              <w:t>-5</w:t>
            </w:r>
          </w:p>
        </w:tc>
      </w:tr>
    </w:tbl>
    <w:p w14:paraId="6EE101DB" w14:textId="77777777" w:rsidR="00692E71" w:rsidRPr="001E3185" w:rsidRDefault="00692E71" w:rsidP="00692E71">
      <w:pPr>
        <w:rPr>
          <w:rFonts w:cs="Arial"/>
        </w:rPr>
      </w:pPr>
    </w:p>
    <w:p w14:paraId="49112DC9"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38</w:t>
      </w:r>
      <w:r w:rsidRPr="001E3185">
        <w:rPr>
          <w:rFonts w:ascii="Verdana" w:hAnsi="Verdana"/>
        </w:rPr>
        <w:fldChar w:fldCharType="end"/>
      </w:r>
      <w:r w:rsidRPr="001E3185">
        <w:rPr>
          <w:rFonts w:ascii="Verdana" w:hAnsi="Verdana"/>
        </w:rPr>
        <w:t xml:space="preserve">: PEC in soil, brushing, </w:t>
      </w:r>
      <w:proofErr w:type="gramStart"/>
      <w:r w:rsidRPr="001E3185">
        <w:rPr>
          <w:rFonts w:ascii="Verdana" w:hAnsi="Verdana"/>
        </w:rPr>
        <w:t>professional</w:t>
      </w:r>
      <w:proofErr w:type="gramEnd"/>
      <w:r w:rsidRPr="001E3185">
        <w:rPr>
          <w:rFonts w:ascii="Verdana" w:hAnsi="Verdana"/>
        </w:rPr>
        <w:t xml:space="preserve"> application.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181"/>
        <w:gridCol w:w="992"/>
        <w:gridCol w:w="1559"/>
        <w:gridCol w:w="1560"/>
        <w:gridCol w:w="1559"/>
      </w:tblGrid>
      <w:tr w:rsidR="00692E71" w:rsidRPr="001E3185" w14:paraId="32D336FC" w14:textId="77777777" w:rsidTr="008E0250">
        <w:trPr>
          <w:trHeight w:val="20"/>
          <w:tblHeader/>
        </w:trPr>
        <w:tc>
          <w:tcPr>
            <w:tcW w:w="4181" w:type="dxa"/>
            <w:shd w:val="clear" w:color="auto" w:fill="FFFFFF" w:themeFill="background1"/>
            <w:noWrap/>
            <w:vAlign w:val="bottom"/>
          </w:tcPr>
          <w:p w14:paraId="33166258"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7CC79A23"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10713E8F" w14:textId="77777777" w:rsidR="00692E71" w:rsidRPr="001E3185" w:rsidRDefault="00692E71" w:rsidP="008E0250">
            <w:pPr>
              <w:jc w:val="center"/>
              <w:rPr>
                <w:rFonts w:cs="Arial"/>
                <w:b/>
                <w:lang w:eastAsia="da-DK"/>
              </w:rPr>
            </w:pPr>
            <w:r w:rsidRPr="001E3185">
              <w:rPr>
                <w:rFonts w:cs="Arial"/>
                <w:b/>
                <w:lang w:eastAsia="da-DK"/>
              </w:rPr>
              <w:t>Propiconazole</w:t>
            </w:r>
          </w:p>
        </w:tc>
        <w:tc>
          <w:tcPr>
            <w:tcW w:w="1560" w:type="dxa"/>
            <w:shd w:val="clear" w:color="auto" w:fill="FFFFFF" w:themeFill="background1"/>
            <w:noWrap/>
            <w:vAlign w:val="center"/>
          </w:tcPr>
          <w:p w14:paraId="6379A194"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4C389C5B"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20213AE8" w14:textId="77777777" w:rsidTr="008E0250">
        <w:trPr>
          <w:trHeight w:val="20"/>
        </w:trPr>
        <w:tc>
          <w:tcPr>
            <w:tcW w:w="9851" w:type="dxa"/>
            <w:gridSpan w:val="5"/>
            <w:shd w:val="clear" w:color="auto" w:fill="FFFFFF" w:themeFill="background1"/>
            <w:noWrap/>
            <w:vAlign w:val="center"/>
          </w:tcPr>
          <w:p w14:paraId="6BF138E9" w14:textId="77777777" w:rsidR="00692E71" w:rsidRPr="001E3185" w:rsidRDefault="00692E71" w:rsidP="008E0250">
            <w:pPr>
              <w:rPr>
                <w:rFonts w:cs="Arial"/>
                <w:lang w:eastAsia="da-DK"/>
              </w:rPr>
            </w:pPr>
            <w:r w:rsidRPr="001E3185">
              <w:rPr>
                <w:rFonts w:cs="Arial"/>
                <w:b/>
                <w:lang w:eastAsia="da-DK"/>
              </w:rPr>
              <w:t>House (brushing, soil)</w:t>
            </w:r>
          </w:p>
        </w:tc>
      </w:tr>
      <w:tr w:rsidR="00692E71" w:rsidRPr="001E3185" w14:paraId="4DEE91F8" w14:textId="77777777" w:rsidTr="008E0250">
        <w:trPr>
          <w:trHeight w:val="20"/>
        </w:trPr>
        <w:tc>
          <w:tcPr>
            <w:tcW w:w="4181" w:type="dxa"/>
            <w:shd w:val="clear" w:color="auto" w:fill="FFFFFF" w:themeFill="background1"/>
            <w:noWrap/>
            <w:vAlign w:val="bottom"/>
          </w:tcPr>
          <w:p w14:paraId="35DD9E4A"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120E45B7" w14:textId="77777777" w:rsidR="00692E71" w:rsidRPr="001E3185" w:rsidRDefault="00692E71" w:rsidP="008E0250">
            <w:pPr>
              <w:jc w:val="center"/>
              <w:rPr>
                <w:rFonts w:cs="Arial"/>
                <w:lang w:eastAsia="da-DK"/>
              </w:rPr>
            </w:pPr>
            <w:r w:rsidRPr="001E3185">
              <w:rPr>
                <w:rFonts w:cs="Arial"/>
              </w:rPr>
              <w:t>0.05</w:t>
            </w:r>
          </w:p>
        </w:tc>
        <w:tc>
          <w:tcPr>
            <w:tcW w:w="1559" w:type="dxa"/>
            <w:shd w:val="clear" w:color="auto" w:fill="FFFFFF" w:themeFill="background1"/>
            <w:noWrap/>
            <w:vAlign w:val="center"/>
          </w:tcPr>
          <w:p w14:paraId="4895463C" w14:textId="77777777" w:rsidR="00692E71" w:rsidRPr="001E3185" w:rsidRDefault="00692E71" w:rsidP="008E0250">
            <w:pPr>
              <w:jc w:val="center"/>
              <w:rPr>
                <w:rFonts w:cs="Arial"/>
                <w:lang w:eastAsia="da-DK"/>
              </w:rPr>
            </w:pPr>
            <w:r w:rsidRPr="001E3185">
              <w:rPr>
                <w:rFonts w:cs="Arial"/>
              </w:rPr>
              <w:t>0.17</w:t>
            </w:r>
          </w:p>
        </w:tc>
        <w:tc>
          <w:tcPr>
            <w:tcW w:w="1560" w:type="dxa"/>
            <w:shd w:val="clear" w:color="auto" w:fill="FFFFFF" w:themeFill="background1"/>
            <w:noWrap/>
            <w:vAlign w:val="center"/>
          </w:tcPr>
          <w:p w14:paraId="21B453F3" w14:textId="77777777" w:rsidR="00692E71" w:rsidRPr="001E3185" w:rsidRDefault="00692E71" w:rsidP="008E0250">
            <w:pPr>
              <w:jc w:val="center"/>
              <w:rPr>
                <w:rFonts w:cs="Arial"/>
                <w:lang w:eastAsia="da-DK"/>
              </w:rPr>
            </w:pPr>
            <w:r w:rsidRPr="001E3185">
              <w:rPr>
                <w:rFonts w:cs="Arial"/>
              </w:rPr>
              <w:t>0.07</w:t>
            </w:r>
          </w:p>
        </w:tc>
        <w:tc>
          <w:tcPr>
            <w:tcW w:w="1559" w:type="dxa"/>
            <w:shd w:val="clear" w:color="auto" w:fill="FFFFFF" w:themeFill="background1"/>
            <w:vAlign w:val="center"/>
          </w:tcPr>
          <w:p w14:paraId="1E055730" w14:textId="77777777" w:rsidR="00692E71" w:rsidRPr="001E3185" w:rsidRDefault="00692E71" w:rsidP="008E0250">
            <w:pPr>
              <w:jc w:val="center"/>
              <w:rPr>
                <w:rFonts w:cs="Arial"/>
                <w:lang w:eastAsia="da-DK"/>
              </w:rPr>
            </w:pPr>
            <w:r w:rsidRPr="001E3185">
              <w:rPr>
                <w:rFonts w:cs="Arial"/>
              </w:rPr>
              <w:t>0.02</w:t>
            </w:r>
          </w:p>
        </w:tc>
      </w:tr>
      <w:tr w:rsidR="00692E71" w:rsidRPr="001E3185" w14:paraId="496CF536" w14:textId="77777777" w:rsidTr="008E0250">
        <w:trPr>
          <w:trHeight w:val="20"/>
        </w:trPr>
        <w:tc>
          <w:tcPr>
            <w:tcW w:w="4181" w:type="dxa"/>
            <w:shd w:val="clear" w:color="auto" w:fill="FFFFFF" w:themeFill="background1"/>
            <w:noWrap/>
            <w:vAlign w:val="bottom"/>
          </w:tcPr>
          <w:p w14:paraId="5462C683"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6C666D3F" w14:textId="77777777" w:rsidR="00692E71" w:rsidRPr="001E3185" w:rsidRDefault="00692E71" w:rsidP="008E0250">
            <w:pPr>
              <w:jc w:val="center"/>
              <w:rPr>
                <w:rFonts w:cs="Arial"/>
              </w:rPr>
            </w:pPr>
            <w:r w:rsidRPr="001E3185">
              <w:rPr>
                <w:rFonts w:cs="Arial"/>
              </w:rPr>
              <w:t>0.10</w:t>
            </w:r>
          </w:p>
        </w:tc>
        <w:tc>
          <w:tcPr>
            <w:tcW w:w="1559" w:type="dxa"/>
            <w:shd w:val="clear" w:color="auto" w:fill="FFFFFF" w:themeFill="background1"/>
            <w:noWrap/>
            <w:vAlign w:val="center"/>
          </w:tcPr>
          <w:p w14:paraId="307A0C0A" w14:textId="77777777" w:rsidR="00692E71" w:rsidRPr="001E3185" w:rsidRDefault="00692E71" w:rsidP="008E0250">
            <w:pPr>
              <w:jc w:val="center"/>
              <w:rPr>
                <w:rFonts w:cs="Arial"/>
              </w:rPr>
            </w:pPr>
            <w:r w:rsidRPr="001E3185">
              <w:rPr>
                <w:rFonts w:cs="Arial"/>
              </w:rPr>
              <w:t>0.47</w:t>
            </w:r>
          </w:p>
        </w:tc>
        <w:tc>
          <w:tcPr>
            <w:tcW w:w="1560" w:type="dxa"/>
            <w:shd w:val="clear" w:color="auto" w:fill="FFFFFF" w:themeFill="background1"/>
            <w:noWrap/>
            <w:vAlign w:val="center"/>
          </w:tcPr>
          <w:p w14:paraId="552CA2BD" w14:textId="77777777" w:rsidR="00692E71" w:rsidRPr="001E3185" w:rsidRDefault="00692E71" w:rsidP="008E0250">
            <w:pPr>
              <w:jc w:val="center"/>
              <w:rPr>
                <w:rFonts w:cs="Arial"/>
              </w:rPr>
            </w:pPr>
            <w:r w:rsidRPr="001E3185">
              <w:rPr>
                <w:rFonts w:cs="Arial"/>
              </w:rPr>
              <w:t>0.18</w:t>
            </w:r>
          </w:p>
        </w:tc>
        <w:tc>
          <w:tcPr>
            <w:tcW w:w="1559" w:type="dxa"/>
            <w:shd w:val="clear" w:color="auto" w:fill="FFFFFF" w:themeFill="background1"/>
            <w:vAlign w:val="center"/>
          </w:tcPr>
          <w:p w14:paraId="2C6C14F6" w14:textId="77777777" w:rsidR="00692E71" w:rsidRPr="001E3185" w:rsidRDefault="00692E71" w:rsidP="008E0250">
            <w:pPr>
              <w:jc w:val="center"/>
              <w:rPr>
                <w:rFonts w:cs="Arial"/>
              </w:rPr>
            </w:pPr>
            <w:r w:rsidRPr="001E3185">
              <w:rPr>
                <w:rFonts w:cs="Arial"/>
              </w:rPr>
              <w:t>0.03</w:t>
            </w:r>
          </w:p>
        </w:tc>
      </w:tr>
      <w:tr w:rsidR="00692E71" w:rsidRPr="001E3185" w14:paraId="1D324E29" w14:textId="77777777" w:rsidTr="008E0250">
        <w:trPr>
          <w:trHeight w:val="20"/>
        </w:trPr>
        <w:tc>
          <w:tcPr>
            <w:tcW w:w="4181" w:type="dxa"/>
            <w:shd w:val="clear" w:color="auto" w:fill="FFFFFF" w:themeFill="background1"/>
            <w:noWrap/>
            <w:vAlign w:val="bottom"/>
          </w:tcPr>
          <w:p w14:paraId="7407FC45"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7165D33B" w14:textId="77777777" w:rsidR="00692E71" w:rsidRPr="001E3185" w:rsidRDefault="00692E71" w:rsidP="008E0250">
            <w:pPr>
              <w:jc w:val="center"/>
              <w:rPr>
                <w:rFonts w:cs="Arial"/>
                <w:lang w:eastAsia="da-DK"/>
              </w:rPr>
            </w:pPr>
            <w:r w:rsidRPr="001E3185">
              <w:rPr>
                <w:rFonts w:cs="Arial"/>
              </w:rPr>
              <w:t>2.8*10</w:t>
            </w:r>
            <w:r w:rsidRPr="001E3185">
              <w:rPr>
                <w:rFonts w:cs="Arial"/>
                <w:vertAlign w:val="superscript"/>
              </w:rPr>
              <w:t>-5</w:t>
            </w:r>
          </w:p>
        </w:tc>
        <w:tc>
          <w:tcPr>
            <w:tcW w:w="1559" w:type="dxa"/>
            <w:shd w:val="clear" w:color="auto" w:fill="FFFFFF" w:themeFill="background1"/>
            <w:noWrap/>
            <w:vAlign w:val="center"/>
          </w:tcPr>
          <w:p w14:paraId="6A657B7D" w14:textId="77777777" w:rsidR="00692E71" w:rsidRPr="001E3185" w:rsidRDefault="00692E71" w:rsidP="008E0250">
            <w:pPr>
              <w:jc w:val="center"/>
              <w:rPr>
                <w:rFonts w:cs="Arial"/>
                <w:lang w:eastAsia="da-DK"/>
              </w:rPr>
            </w:pPr>
            <w:r w:rsidRPr="001E3185">
              <w:rPr>
                <w:rFonts w:cs="Arial"/>
              </w:rPr>
              <w:t>0.15</w:t>
            </w:r>
          </w:p>
        </w:tc>
        <w:tc>
          <w:tcPr>
            <w:tcW w:w="1560" w:type="dxa"/>
            <w:shd w:val="clear" w:color="auto" w:fill="FFFFFF" w:themeFill="background1"/>
            <w:noWrap/>
            <w:vAlign w:val="center"/>
          </w:tcPr>
          <w:p w14:paraId="523F4A64" w14:textId="77777777" w:rsidR="00692E71" w:rsidRPr="001E3185" w:rsidRDefault="00692E71" w:rsidP="008E0250">
            <w:pPr>
              <w:jc w:val="center"/>
              <w:rPr>
                <w:rFonts w:cs="Arial"/>
                <w:lang w:eastAsia="da-DK"/>
              </w:rPr>
            </w:pPr>
            <w:r w:rsidRPr="001E3185">
              <w:rPr>
                <w:rFonts w:cs="Arial"/>
              </w:rPr>
              <w:t>0.06</w:t>
            </w:r>
          </w:p>
        </w:tc>
        <w:tc>
          <w:tcPr>
            <w:tcW w:w="1559" w:type="dxa"/>
            <w:shd w:val="clear" w:color="auto" w:fill="FFFFFF" w:themeFill="background1"/>
            <w:vAlign w:val="center"/>
          </w:tcPr>
          <w:p w14:paraId="6115D251" w14:textId="77777777" w:rsidR="00692E71" w:rsidRPr="001E3185" w:rsidRDefault="00692E71" w:rsidP="008E0250">
            <w:pPr>
              <w:jc w:val="center"/>
              <w:rPr>
                <w:rFonts w:cs="Arial"/>
                <w:lang w:eastAsia="da-DK"/>
              </w:rPr>
            </w:pPr>
            <w:r w:rsidRPr="001E3185">
              <w:rPr>
                <w:rFonts w:cs="Arial"/>
              </w:rPr>
              <w:t>0.01</w:t>
            </w:r>
          </w:p>
        </w:tc>
      </w:tr>
      <w:tr w:rsidR="00692E71" w:rsidRPr="001E3185" w14:paraId="54DEC478" w14:textId="77777777" w:rsidTr="008E0250">
        <w:trPr>
          <w:trHeight w:val="20"/>
        </w:trPr>
        <w:tc>
          <w:tcPr>
            <w:tcW w:w="4181" w:type="dxa"/>
            <w:shd w:val="clear" w:color="auto" w:fill="FFFFFF" w:themeFill="background1"/>
            <w:noWrap/>
            <w:vAlign w:val="bottom"/>
          </w:tcPr>
          <w:p w14:paraId="2DED417A"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01F5C336" w14:textId="77777777" w:rsidR="00692E71" w:rsidRPr="001E3185" w:rsidRDefault="00692E71" w:rsidP="008E0250">
            <w:pPr>
              <w:jc w:val="center"/>
              <w:rPr>
                <w:rFonts w:cs="Arial"/>
                <w:lang w:eastAsia="da-DK"/>
              </w:rPr>
            </w:pPr>
            <w:r w:rsidRPr="001E3185">
              <w:rPr>
                <w:rFonts w:cs="Arial"/>
              </w:rPr>
              <w:t>8.6*10</w:t>
            </w:r>
            <w:r w:rsidRPr="001E3185">
              <w:rPr>
                <w:rFonts w:cs="Arial"/>
                <w:vertAlign w:val="superscript"/>
              </w:rPr>
              <w:t>-7</w:t>
            </w:r>
          </w:p>
        </w:tc>
        <w:tc>
          <w:tcPr>
            <w:tcW w:w="1559" w:type="dxa"/>
            <w:shd w:val="clear" w:color="auto" w:fill="FFFFFF" w:themeFill="background1"/>
            <w:noWrap/>
            <w:vAlign w:val="center"/>
          </w:tcPr>
          <w:p w14:paraId="4C4E9295" w14:textId="77777777" w:rsidR="00692E71" w:rsidRPr="001E3185" w:rsidRDefault="00692E71" w:rsidP="008E0250">
            <w:pPr>
              <w:jc w:val="center"/>
              <w:rPr>
                <w:rFonts w:cs="Arial"/>
                <w:lang w:eastAsia="da-DK"/>
              </w:rPr>
            </w:pPr>
            <w:r w:rsidRPr="001E3185">
              <w:rPr>
                <w:rFonts w:cs="Arial"/>
              </w:rPr>
              <w:t>0.03</w:t>
            </w:r>
          </w:p>
        </w:tc>
        <w:tc>
          <w:tcPr>
            <w:tcW w:w="1560" w:type="dxa"/>
            <w:shd w:val="clear" w:color="auto" w:fill="FFFFFF" w:themeFill="background1"/>
            <w:noWrap/>
            <w:vAlign w:val="center"/>
          </w:tcPr>
          <w:p w14:paraId="7D5A3F29"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vAlign w:val="center"/>
          </w:tcPr>
          <w:p w14:paraId="0A36015B" w14:textId="77777777" w:rsidR="00692E71" w:rsidRPr="001E3185" w:rsidRDefault="00692E71" w:rsidP="008E0250">
            <w:pPr>
              <w:jc w:val="center"/>
              <w:rPr>
                <w:rFonts w:cs="Arial"/>
                <w:lang w:eastAsia="da-DK"/>
              </w:rPr>
            </w:pPr>
            <w:r w:rsidRPr="001E3185">
              <w:rPr>
                <w:rFonts w:cs="Arial"/>
              </w:rPr>
              <w:t>1.5*10</w:t>
            </w:r>
            <w:r w:rsidRPr="001E3185">
              <w:rPr>
                <w:rFonts w:cs="Arial"/>
                <w:vertAlign w:val="superscript"/>
              </w:rPr>
              <w:t>-4</w:t>
            </w:r>
          </w:p>
        </w:tc>
      </w:tr>
      <w:tr w:rsidR="00692E71" w:rsidRPr="001E3185" w14:paraId="5D9C23BB" w14:textId="77777777" w:rsidTr="008E0250">
        <w:trPr>
          <w:trHeight w:val="20"/>
        </w:trPr>
        <w:tc>
          <w:tcPr>
            <w:tcW w:w="9851" w:type="dxa"/>
            <w:gridSpan w:val="5"/>
            <w:shd w:val="clear" w:color="auto" w:fill="FFFFFF" w:themeFill="background1"/>
            <w:noWrap/>
            <w:vAlign w:val="bottom"/>
          </w:tcPr>
          <w:p w14:paraId="01240338" w14:textId="77777777" w:rsidR="00692E71" w:rsidRPr="001E3185" w:rsidRDefault="00692E71" w:rsidP="008E0250">
            <w:pPr>
              <w:jc w:val="center"/>
              <w:rPr>
                <w:rFonts w:cs="Arial"/>
              </w:rPr>
            </w:pPr>
          </w:p>
        </w:tc>
      </w:tr>
      <w:tr w:rsidR="00692E71" w:rsidRPr="001E3185" w14:paraId="6BFF2D66" w14:textId="77777777" w:rsidTr="008E0250">
        <w:trPr>
          <w:trHeight w:val="20"/>
        </w:trPr>
        <w:tc>
          <w:tcPr>
            <w:tcW w:w="9851" w:type="dxa"/>
            <w:gridSpan w:val="5"/>
            <w:shd w:val="clear" w:color="auto" w:fill="FFFFFF" w:themeFill="background1"/>
            <w:noWrap/>
            <w:vAlign w:val="center"/>
          </w:tcPr>
          <w:p w14:paraId="4A13931A" w14:textId="77777777" w:rsidR="00692E71" w:rsidRPr="001E3185" w:rsidRDefault="00692E71" w:rsidP="008E0250">
            <w:pPr>
              <w:rPr>
                <w:rFonts w:cs="Arial"/>
              </w:rPr>
            </w:pPr>
            <w:r w:rsidRPr="001E3185">
              <w:rPr>
                <w:rFonts w:cs="Arial"/>
                <w:b/>
                <w:lang w:eastAsia="da-DK"/>
              </w:rPr>
              <w:t>Fence (brushing, soil)</w:t>
            </w:r>
          </w:p>
        </w:tc>
      </w:tr>
      <w:tr w:rsidR="00692E71" w:rsidRPr="001E3185" w14:paraId="4A1D1B4A" w14:textId="77777777" w:rsidTr="008E0250">
        <w:trPr>
          <w:trHeight w:val="20"/>
        </w:trPr>
        <w:tc>
          <w:tcPr>
            <w:tcW w:w="4181" w:type="dxa"/>
            <w:shd w:val="clear" w:color="auto" w:fill="FFFFFF" w:themeFill="background1"/>
            <w:noWrap/>
            <w:vAlign w:val="bottom"/>
          </w:tcPr>
          <w:p w14:paraId="377DA3E8"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6A05CCE0" w14:textId="77777777" w:rsidR="00692E71" w:rsidRPr="001E3185" w:rsidRDefault="00692E71" w:rsidP="008E0250">
            <w:pPr>
              <w:jc w:val="center"/>
              <w:rPr>
                <w:rFonts w:cs="Arial"/>
                <w:lang w:eastAsia="da-DK"/>
              </w:rPr>
            </w:pPr>
            <w:r w:rsidRPr="001E3185">
              <w:rPr>
                <w:rFonts w:cs="Arial"/>
              </w:rPr>
              <w:t>3.8*10</w:t>
            </w:r>
            <w:r w:rsidRPr="001E3185">
              <w:rPr>
                <w:rFonts w:cs="Arial"/>
                <w:vertAlign w:val="superscript"/>
              </w:rPr>
              <w:t>-2</w:t>
            </w:r>
          </w:p>
        </w:tc>
        <w:tc>
          <w:tcPr>
            <w:tcW w:w="1559" w:type="dxa"/>
            <w:shd w:val="clear" w:color="auto" w:fill="FFFFFF" w:themeFill="background1"/>
            <w:noWrap/>
            <w:vAlign w:val="center"/>
          </w:tcPr>
          <w:p w14:paraId="7B91A628" w14:textId="77777777" w:rsidR="00692E71" w:rsidRPr="001E3185" w:rsidRDefault="00692E71" w:rsidP="008E0250">
            <w:pPr>
              <w:jc w:val="center"/>
              <w:rPr>
                <w:rFonts w:cs="Arial"/>
              </w:rPr>
            </w:pPr>
            <w:r w:rsidRPr="001E3185">
              <w:rPr>
                <w:rFonts w:cs="Arial"/>
              </w:rPr>
              <w:t>0.14</w:t>
            </w:r>
          </w:p>
        </w:tc>
        <w:tc>
          <w:tcPr>
            <w:tcW w:w="1560" w:type="dxa"/>
            <w:shd w:val="clear" w:color="auto" w:fill="FFFFFF" w:themeFill="background1"/>
            <w:noWrap/>
            <w:vAlign w:val="center"/>
          </w:tcPr>
          <w:p w14:paraId="1DA0453E" w14:textId="77777777" w:rsidR="00692E71" w:rsidRPr="001E3185" w:rsidRDefault="00692E71" w:rsidP="008E0250">
            <w:pPr>
              <w:jc w:val="center"/>
              <w:rPr>
                <w:rFonts w:cs="Arial"/>
              </w:rPr>
            </w:pPr>
            <w:r w:rsidRPr="001E3185">
              <w:rPr>
                <w:rFonts w:cs="Arial"/>
              </w:rPr>
              <w:t>0.06</w:t>
            </w:r>
          </w:p>
        </w:tc>
        <w:tc>
          <w:tcPr>
            <w:tcW w:w="1559" w:type="dxa"/>
            <w:shd w:val="clear" w:color="auto" w:fill="FFFFFF" w:themeFill="background1"/>
            <w:vAlign w:val="center"/>
          </w:tcPr>
          <w:p w14:paraId="288D26FA" w14:textId="77777777" w:rsidR="00692E71" w:rsidRPr="001E3185" w:rsidRDefault="00692E71" w:rsidP="008E0250">
            <w:pPr>
              <w:jc w:val="center"/>
              <w:rPr>
                <w:rFonts w:cs="Arial"/>
              </w:rPr>
            </w:pPr>
            <w:r w:rsidRPr="001E3185">
              <w:rPr>
                <w:rFonts w:cs="Arial"/>
              </w:rPr>
              <w:t>2.0*10</w:t>
            </w:r>
            <w:r w:rsidRPr="001E3185">
              <w:rPr>
                <w:rFonts w:cs="Arial"/>
                <w:vertAlign w:val="superscript"/>
              </w:rPr>
              <w:t>-2</w:t>
            </w:r>
          </w:p>
        </w:tc>
      </w:tr>
      <w:tr w:rsidR="00692E71" w:rsidRPr="001E3185" w14:paraId="08BB8FCD" w14:textId="77777777" w:rsidTr="008E0250">
        <w:trPr>
          <w:trHeight w:val="20"/>
        </w:trPr>
        <w:tc>
          <w:tcPr>
            <w:tcW w:w="4181" w:type="dxa"/>
            <w:shd w:val="clear" w:color="auto" w:fill="FFFFFF" w:themeFill="background1"/>
            <w:noWrap/>
            <w:vAlign w:val="bottom"/>
          </w:tcPr>
          <w:p w14:paraId="59ACB0E3"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510AC77C" w14:textId="77777777" w:rsidR="00692E71" w:rsidRPr="001E3185" w:rsidRDefault="00692E71" w:rsidP="008E0250">
            <w:pPr>
              <w:jc w:val="center"/>
              <w:rPr>
                <w:rFonts w:cs="Arial"/>
                <w:lang w:eastAsia="da-DK"/>
              </w:rPr>
            </w:pPr>
            <w:r w:rsidRPr="001E3185">
              <w:rPr>
                <w:rFonts w:cs="Arial"/>
              </w:rPr>
              <w:t>0.08</w:t>
            </w:r>
          </w:p>
        </w:tc>
        <w:tc>
          <w:tcPr>
            <w:tcW w:w="1559" w:type="dxa"/>
            <w:shd w:val="clear" w:color="auto" w:fill="FFFFFF" w:themeFill="background1"/>
            <w:noWrap/>
            <w:vAlign w:val="center"/>
          </w:tcPr>
          <w:p w14:paraId="2593C3C7" w14:textId="77777777" w:rsidR="00692E71" w:rsidRPr="001E3185" w:rsidRDefault="00692E71" w:rsidP="008E0250">
            <w:pPr>
              <w:jc w:val="center"/>
              <w:rPr>
                <w:rFonts w:cs="Arial"/>
              </w:rPr>
            </w:pPr>
            <w:r w:rsidRPr="001E3185">
              <w:rPr>
                <w:rFonts w:cs="Arial"/>
              </w:rPr>
              <w:t>0.39</w:t>
            </w:r>
          </w:p>
        </w:tc>
        <w:tc>
          <w:tcPr>
            <w:tcW w:w="1560" w:type="dxa"/>
            <w:shd w:val="clear" w:color="auto" w:fill="FFFFFF" w:themeFill="background1"/>
            <w:noWrap/>
            <w:vAlign w:val="center"/>
          </w:tcPr>
          <w:p w14:paraId="30CA7A11" w14:textId="77777777" w:rsidR="00692E71" w:rsidRPr="001E3185" w:rsidRDefault="00692E71" w:rsidP="008E0250">
            <w:pPr>
              <w:jc w:val="center"/>
              <w:rPr>
                <w:rFonts w:cs="Arial"/>
              </w:rPr>
            </w:pPr>
            <w:r w:rsidRPr="001E3185">
              <w:rPr>
                <w:rFonts w:cs="Arial"/>
              </w:rPr>
              <w:t>0.15</w:t>
            </w:r>
          </w:p>
        </w:tc>
        <w:tc>
          <w:tcPr>
            <w:tcW w:w="1559" w:type="dxa"/>
            <w:shd w:val="clear" w:color="auto" w:fill="FFFFFF" w:themeFill="background1"/>
            <w:vAlign w:val="center"/>
          </w:tcPr>
          <w:p w14:paraId="62B9B0AC" w14:textId="77777777" w:rsidR="00692E71" w:rsidRPr="001E3185" w:rsidRDefault="00692E71" w:rsidP="008E0250">
            <w:pPr>
              <w:jc w:val="center"/>
              <w:rPr>
                <w:rFonts w:cs="Arial"/>
              </w:rPr>
            </w:pPr>
            <w:r w:rsidRPr="001E3185">
              <w:rPr>
                <w:rFonts w:cs="Arial"/>
              </w:rPr>
              <w:t>2.9*10</w:t>
            </w:r>
            <w:r w:rsidRPr="001E3185">
              <w:rPr>
                <w:rFonts w:cs="Arial"/>
                <w:vertAlign w:val="superscript"/>
              </w:rPr>
              <w:t>-2</w:t>
            </w:r>
          </w:p>
        </w:tc>
      </w:tr>
      <w:tr w:rsidR="00692E71" w:rsidRPr="001E3185" w14:paraId="1B3BB92A" w14:textId="77777777" w:rsidTr="008E0250">
        <w:trPr>
          <w:trHeight w:val="20"/>
        </w:trPr>
        <w:tc>
          <w:tcPr>
            <w:tcW w:w="4181" w:type="dxa"/>
            <w:shd w:val="clear" w:color="auto" w:fill="FFFFFF" w:themeFill="background1"/>
            <w:noWrap/>
            <w:vAlign w:val="bottom"/>
          </w:tcPr>
          <w:p w14:paraId="1E8872BB"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73A63FCE" w14:textId="77777777" w:rsidR="00692E71" w:rsidRPr="001E3185" w:rsidRDefault="00692E71" w:rsidP="008E0250">
            <w:pPr>
              <w:jc w:val="center"/>
              <w:rPr>
                <w:rFonts w:cs="Arial"/>
                <w:lang w:eastAsia="da-DK"/>
              </w:rPr>
            </w:pPr>
            <w:r w:rsidRPr="001E3185">
              <w:rPr>
                <w:rFonts w:cs="Arial"/>
              </w:rPr>
              <w:t>2.4*10</w:t>
            </w:r>
            <w:r w:rsidRPr="001E3185">
              <w:rPr>
                <w:rFonts w:cs="Arial"/>
                <w:vertAlign w:val="superscript"/>
              </w:rPr>
              <w:t>-5</w:t>
            </w:r>
          </w:p>
        </w:tc>
        <w:tc>
          <w:tcPr>
            <w:tcW w:w="1559" w:type="dxa"/>
            <w:shd w:val="clear" w:color="auto" w:fill="FFFFFF" w:themeFill="background1"/>
            <w:noWrap/>
            <w:vAlign w:val="center"/>
          </w:tcPr>
          <w:p w14:paraId="4BEAB3CD" w14:textId="77777777" w:rsidR="00692E71" w:rsidRPr="001E3185" w:rsidRDefault="00692E71" w:rsidP="008E0250">
            <w:pPr>
              <w:jc w:val="center"/>
              <w:rPr>
                <w:rFonts w:cs="Arial"/>
              </w:rPr>
            </w:pPr>
            <w:r w:rsidRPr="001E3185">
              <w:rPr>
                <w:rFonts w:cs="Arial"/>
              </w:rPr>
              <w:t>0.12</w:t>
            </w:r>
          </w:p>
        </w:tc>
        <w:tc>
          <w:tcPr>
            <w:tcW w:w="1560" w:type="dxa"/>
            <w:shd w:val="clear" w:color="auto" w:fill="FFFFFF" w:themeFill="background1"/>
            <w:noWrap/>
            <w:vAlign w:val="center"/>
          </w:tcPr>
          <w:p w14:paraId="0600A3F5" w14:textId="77777777" w:rsidR="00692E71" w:rsidRPr="001E3185" w:rsidRDefault="00692E71" w:rsidP="008E0250">
            <w:pPr>
              <w:jc w:val="center"/>
              <w:rPr>
                <w:rFonts w:cs="Arial"/>
              </w:rPr>
            </w:pPr>
            <w:r w:rsidRPr="001E3185">
              <w:rPr>
                <w:rFonts w:cs="Arial"/>
              </w:rPr>
              <w:t>0.05</w:t>
            </w:r>
          </w:p>
        </w:tc>
        <w:tc>
          <w:tcPr>
            <w:tcW w:w="1559" w:type="dxa"/>
            <w:shd w:val="clear" w:color="auto" w:fill="FFFFFF" w:themeFill="background1"/>
            <w:vAlign w:val="center"/>
          </w:tcPr>
          <w:p w14:paraId="619E915E" w14:textId="77777777" w:rsidR="00692E71" w:rsidRPr="001E3185" w:rsidRDefault="00692E71" w:rsidP="008E0250">
            <w:pPr>
              <w:jc w:val="center"/>
              <w:rPr>
                <w:rFonts w:cs="Arial"/>
              </w:rPr>
            </w:pPr>
            <w:r w:rsidRPr="001E3185">
              <w:rPr>
                <w:rFonts w:cs="Arial"/>
              </w:rPr>
              <w:t>5.8*10</w:t>
            </w:r>
            <w:r w:rsidRPr="001E3185">
              <w:rPr>
                <w:rFonts w:cs="Arial"/>
                <w:vertAlign w:val="superscript"/>
              </w:rPr>
              <w:t>-3</w:t>
            </w:r>
          </w:p>
        </w:tc>
      </w:tr>
      <w:tr w:rsidR="00692E71" w:rsidRPr="001E3185" w14:paraId="361E2708" w14:textId="77777777" w:rsidTr="008E0250">
        <w:trPr>
          <w:trHeight w:val="20"/>
        </w:trPr>
        <w:tc>
          <w:tcPr>
            <w:tcW w:w="4181" w:type="dxa"/>
            <w:shd w:val="clear" w:color="auto" w:fill="FFFFFF" w:themeFill="background1"/>
            <w:noWrap/>
            <w:vAlign w:val="bottom"/>
          </w:tcPr>
          <w:p w14:paraId="5D3B36F4"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43B81F68" w14:textId="77777777" w:rsidR="00692E71" w:rsidRPr="001E3185" w:rsidRDefault="00692E71" w:rsidP="008E0250">
            <w:pPr>
              <w:jc w:val="center"/>
              <w:rPr>
                <w:rFonts w:cs="Arial"/>
                <w:lang w:eastAsia="da-DK"/>
              </w:rPr>
            </w:pPr>
            <w:r w:rsidRPr="001E3185">
              <w:rPr>
                <w:rFonts w:cs="Arial"/>
              </w:rPr>
              <w:t>7.2*10</w:t>
            </w:r>
            <w:r w:rsidRPr="001E3185">
              <w:rPr>
                <w:rFonts w:cs="Arial"/>
                <w:vertAlign w:val="superscript"/>
              </w:rPr>
              <w:t>-7</w:t>
            </w:r>
          </w:p>
        </w:tc>
        <w:tc>
          <w:tcPr>
            <w:tcW w:w="1559" w:type="dxa"/>
            <w:shd w:val="clear" w:color="auto" w:fill="FFFFFF" w:themeFill="background1"/>
            <w:noWrap/>
            <w:vAlign w:val="center"/>
          </w:tcPr>
          <w:p w14:paraId="0999C0C9" w14:textId="77777777" w:rsidR="00692E71" w:rsidRPr="001E3185" w:rsidRDefault="00692E71" w:rsidP="008E0250">
            <w:pPr>
              <w:jc w:val="center"/>
              <w:rPr>
                <w:rFonts w:cs="Arial"/>
              </w:rPr>
            </w:pPr>
            <w:r w:rsidRPr="001E3185">
              <w:rPr>
                <w:rFonts w:cs="Arial"/>
              </w:rPr>
              <w:t>2.6*10</w:t>
            </w:r>
            <w:r w:rsidRPr="001E3185">
              <w:rPr>
                <w:rFonts w:cs="Arial"/>
                <w:vertAlign w:val="superscript"/>
              </w:rPr>
              <w:t>-2</w:t>
            </w:r>
          </w:p>
        </w:tc>
        <w:tc>
          <w:tcPr>
            <w:tcW w:w="1560" w:type="dxa"/>
            <w:shd w:val="clear" w:color="auto" w:fill="FFFFFF" w:themeFill="background1"/>
            <w:noWrap/>
            <w:vAlign w:val="center"/>
          </w:tcPr>
          <w:p w14:paraId="6A8596FD" w14:textId="77777777" w:rsidR="00692E71" w:rsidRPr="001E3185" w:rsidRDefault="00692E71" w:rsidP="008E0250">
            <w:pPr>
              <w:jc w:val="center"/>
              <w:rPr>
                <w:rFonts w:cs="Arial"/>
              </w:rPr>
            </w:pPr>
            <w:r w:rsidRPr="001E3185">
              <w:rPr>
                <w:rFonts w:cs="Arial"/>
              </w:rPr>
              <w:t>5.7*10</w:t>
            </w:r>
            <w:r w:rsidRPr="001E3185">
              <w:rPr>
                <w:rFonts w:cs="Arial"/>
                <w:vertAlign w:val="superscript"/>
              </w:rPr>
              <w:t>-3</w:t>
            </w:r>
          </w:p>
        </w:tc>
        <w:tc>
          <w:tcPr>
            <w:tcW w:w="1559" w:type="dxa"/>
            <w:shd w:val="clear" w:color="auto" w:fill="FFFFFF" w:themeFill="background1"/>
            <w:vAlign w:val="center"/>
          </w:tcPr>
          <w:p w14:paraId="21FE5C0D" w14:textId="77777777" w:rsidR="00692E71" w:rsidRPr="001E3185" w:rsidRDefault="00692E71" w:rsidP="008E0250">
            <w:pPr>
              <w:jc w:val="center"/>
              <w:rPr>
                <w:rFonts w:cs="Arial"/>
              </w:rPr>
            </w:pPr>
            <w:r w:rsidRPr="001E3185">
              <w:rPr>
                <w:rFonts w:cs="Arial"/>
              </w:rPr>
              <w:t>1.2*10</w:t>
            </w:r>
            <w:r w:rsidRPr="001E3185">
              <w:rPr>
                <w:rFonts w:cs="Arial"/>
                <w:vertAlign w:val="superscript"/>
              </w:rPr>
              <w:t>-4</w:t>
            </w:r>
          </w:p>
        </w:tc>
      </w:tr>
    </w:tbl>
    <w:p w14:paraId="3DCC1C3F" w14:textId="77777777" w:rsidR="00692E71" w:rsidRPr="001E3185" w:rsidRDefault="00692E71" w:rsidP="00692E71">
      <w:pPr>
        <w:rPr>
          <w:rFonts w:cs="Arial"/>
          <w:b/>
        </w:rPr>
      </w:pPr>
    </w:p>
    <w:p w14:paraId="5A647B85"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39</w:t>
      </w:r>
      <w:r w:rsidRPr="001E3185">
        <w:rPr>
          <w:rFonts w:ascii="Verdana" w:hAnsi="Verdana"/>
        </w:rPr>
        <w:fldChar w:fldCharType="end"/>
      </w:r>
      <w:r w:rsidRPr="001E3185">
        <w:rPr>
          <w:rFonts w:ascii="Verdana" w:hAnsi="Verdana"/>
        </w:rPr>
        <w:t xml:space="preserve">: PEC in soil, brushing, </w:t>
      </w:r>
      <w:proofErr w:type="gramStart"/>
      <w:r w:rsidRPr="001E3185">
        <w:rPr>
          <w:rFonts w:ascii="Verdana" w:hAnsi="Verdana"/>
        </w:rPr>
        <w:t>non</w:t>
      </w:r>
      <w:proofErr w:type="gramEnd"/>
      <w:r w:rsidRPr="001E3185">
        <w:rPr>
          <w:rFonts w:ascii="Verdana" w:hAnsi="Verdana"/>
        </w:rPr>
        <w:t>-professional application.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181"/>
        <w:gridCol w:w="992"/>
        <w:gridCol w:w="1559"/>
        <w:gridCol w:w="1560"/>
        <w:gridCol w:w="1559"/>
      </w:tblGrid>
      <w:tr w:rsidR="00692E71" w:rsidRPr="001E3185" w14:paraId="4BEEAA2A" w14:textId="77777777" w:rsidTr="008E0250">
        <w:trPr>
          <w:trHeight w:val="20"/>
          <w:tblHeader/>
        </w:trPr>
        <w:tc>
          <w:tcPr>
            <w:tcW w:w="4181" w:type="dxa"/>
            <w:shd w:val="clear" w:color="auto" w:fill="FFFFFF" w:themeFill="background1"/>
            <w:noWrap/>
            <w:vAlign w:val="bottom"/>
          </w:tcPr>
          <w:p w14:paraId="5BE386F7"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42BD8FEA"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7D46EA35"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560" w:type="dxa"/>
            <w:shd w:val="clear" w:color="auto" w:fill="FFFFFF" w:themeFill="background1"/>
            <w:noWrap/>
            <w:vAlign w:val="center"/>
          </w:tcPr>
          <w:p w14:paraId="2493EA2B"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598B3149"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729622A9" w14:textId="77777777" w:rsidTr="008E0250">
        <w:trPr>
          <w:trHeight w:val="20"/>
        </w:trPr>
        <w:tc>
          <w:tcPr>
            <w:tcW w:w="9851" w:type="dxa"/>
            <w:gridSpan w:val="5"/>
            <w:shd w:val="clear" w:color="auto" w:fill="FFFFFF" w:themeFill="background1"/>
            <w:noWrap/>
            <w:vAlign w:val="center"/>
          </w:tcPr>
          <w:p w14:paraId="1E02F5A3" w14:textId="77777777" w:rsidR="00692E71" w:rsidRPr="001E3185" w:rsidRDefault="00692E71" w:rsidP="008E0250">
            <w:pPr>
              <w:rPr>
                <w:rFonts w:cs="Arial"/>
                <w:lang w:eastAsia="da-DK"/>
              </w:rPr>
            </w:pPr>
            <w:r w:rsidRPr="001E3185">
              <w:rPr>
                <w:rFonts w:cs="Arial"/>
                <w:b/>
                <w:lang w:eastAsia="da-DK"/>
              </w:rPr>
              <w:t>House (brushing, soil)</w:t>
            </w:r>
          </w:p>
        </w:tc>
      </w:tr>
      <w:tr w:rsidR="00692E71" w:rsidRPr="001E3185" w14:paraId="2B7FBBE9" w14:textId="77777777" w:rsidTr="008E0250">
        <w:trPr>
          <w:trHeight w:val="20"/>
        </w:trPr>
        <w:tc>
          <w:tcPr>
            <w:tcW w:w="4181" w:type="dxa"/>
            <w:shd w:val="clear" w:color="auto" w:fill="FFFFFF" w:themeFill="background1"/>
            <w:noWrap/>
            <w:vAlign w:val="bottom"/>
          </w:tcPr>
          <w:p w14:paraId="04BCB34C"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56370E80" w14:textId="77777777" w:rsidR="00692E71" w:rsidRPr="001E3185" w:rsidRDefault="00692E71" w:rsidP="008E0250">
            <w:pPr>
              <w:jc w:val="center"/>
              <w:rPr>
                <w:rFonts w:cs="Arial"/>
                <w:lang w:eastAsia="da-DK"/>
              </w:rPr>
            </w:pPr>
            <w:r w:rsidRPr="001E3185">
              <w:rPr>
                <w:rFonts w:cs="Arial"/>
              </w:rPr>
              <w:t>0.06</w:t>
            </w:r>
          </w:p>
        </w:tc>
        <w:tc>
          <w:tcPr>
            <w:tcW w:w="1559" w:type="dxa"/>
            <w:shd w:val="clear" w:color="auto" w:fill="FFFFFF" w:themeFill="background1"/>
            <w:noWrap/>
            <w:vAlign w:val="center"/>
          </w:tcPr>
          <w:p w14:paraId="19341E91" w14:textId="77777777" w:rsidR="00692E71" w:rsidRPr="001E3185" w:rsidRDefault="00692E71" w:rsidP="008E0250">
            <w:pPr>
              <w:jc w:val="center"/>
              <w:rPr>
                <w:rFonts w:cs="Arial"/>
                <w:lang w:eastAsia="da-DK"/>
              </w:rPr>
            </w:pPr>
            <w:r w:rsidRPr="001E3185">
              <w:rPr>
                <w:rFonts w:cs="Arial"/>
              </w:rPr>
              <w:t>0.20</w:t>
            </w:r>
          </w:p>
        </w:tc>
        <w:tc>
          <w:tcPr>
            <w:tcW w:w="1560" w:type="dxa"/>
            <w:shd w:val="clear" w:color="auto" w:fill="FFFFFF" w:themeFill="background1"/>
            <w:noWrap/>
            <w:vAlign w:val="center"/>
          </w:tcPr>
          <w:p w14:paraId="7F8560E3" w14:textId="77777777" w:rsidR="00692E71" w:rsidRPr="001E3185" w:rsidRDefault="00692E71" w:rsidP="008E0250">
            <w:pPr>
              <w:jc w:val="center"/>
              <w:rPr>
                <w:rFonts w:cs="Arial"/>
                <w:lang w:eastAsia="da-DK"/>
              </w:rPr>
            </w:pPr>
            <w:r w:rsidRPr="001E3185">
              <w:rPr>
                <w:rFonts w:cs="Arial"/>
              </w:rPr>
              <w:t>0.08</w:t>
            </w:r>
          </w:p>
        </w:tc>
        <w:tc>
          <w:tcPr>
            <w:tcW w:w="1559" w:type="dxa"/>
            <w:shd w:val="clear" w:color="auto" w:fill="FFFFFF" w:themeFill="background1"/>
            <w:vAlign w:val="center"/>
          </w:tcPr>
          <w:p w14:paraId="3AE2D7DB" w14:textId="77777777" w:rsidR="00692E71" w:rsidRPr="001E3185" w:rsidRDefault="00692E71" w:rsidP="008E0250">
            <w:pPr>
              <w:jc w:val="center"/>
              <w:rPr>
                <w:rFonts w:cs="Arial"/>
                <w:lang w:eastAsia="da-DK"/>
              </w:rPr>
            </w:pPr>
            <w:r w:rsidRPr="001E3185">
              <w:rPr>
                <w:rFonts w:cs="Arial"/>
              </w:rPr>
              <w:t>0.04</w:t>
            </w:r>
          </w:p>
        </w:tc>
      </w:tr>
      <w:tr w:rsidR="00692E71" w:rsidRPr="001E3185" w14:paraId="482549A9" w14:textId="77777777" w:rsidTr="008E0250">
        <w:trPr>
          <w:trHeight w:val="20"/>
        </w:trPr>
        <w:tc>
          <w:tcPr>
            <w:tcW w:w="4181" w:type="dxa"/>
            <w:shd w:val="clear" w:color="auto" w:fill="FFFFFF" w:themeFill="background1"/>
            <w:noWrap/>
            <w:vAlign w:val="bottom"/>
          </w:tcPr>
          <w:p w14:paraId="5E589AD5"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0838B845" w14:textId="77777777" w:rsidR="00692E71" w:rsidRPr="001E3185" w:rsidRDefault="00692E71" w:rsidP="008E0250">
            <w:pPr>
              <w:jc w:val="center"/>
              <w:rPr>
                <w:rFonts w:cs="Arial"/>
              </w:rPr>
            </w:pPr>
            <w:r w:rsidRPr="001E3185">
              <w:rPr>
                <w:rFonts w:cs="Arial"/>
              </w:rPr>
              <w:t>0.11</w:t>
            </w:r>
          </w:p>
        </w:tc>
        <w:tc>
          <w:tcPr>
            <w:tcW w:w="1559" w:type="dxa"/>
            <w:shd w:val="clear" w:color="auto" w:fill="FFFFFF" w:themeFill="background1"/>
            <w:noWrap/>
            <w:vAlign w:val="center"/>
          </w:tcPr>
          <w:p w14:paraId="0301EF36" w14:textId="77777777" w:rsidR="00692E71" w:rsidRPr="001E3185" w:rsidRDefault="00692E71" w:rsidP="008E0250">
            <w:pPr>
              <w:jc w:val="center"/>
              <w:rPr>
                <w:rFonts w:cs="Arial"/>
              </w:rPr>
            </w:pPr>
            <w:r w:rsidRPr="001E3185">
              <w:rPr>
                <w:rFonts w:cs="Arial"/>
              </w:rPr>
              <w:t>0.50</w:t>
            </w:r>
          </w:p>
        </w:tc>
        <w:tc>
          <w:tcPr>
            <w:tcW w:w="1560" w:type="dxa"/>
            <w:shd w:val="clear" w:color="auto" w:fill="FFFFFF" w:themeFill="background1"/>
            <w:noWrap/>
            <w:vAlign w:val="center"/>
          </w:tcPr>
          <w:p w14:paraId="7C428A4F" w14:textId="77777777" w:rsidR="00692E71" w:rsidRPr="001E3185" w:rsidRDefault="00692E71" w:rsidP="008E0250">
            <w:pPr>
              <w:jc w:val="center"/>
              <w:rPr>
                <w:rFonts w:cs="Arial"/>
              </w:rPr>
            </w:pPr>
            <w:r w:rsidRPr="001E3185">
              <w:rPr>
                <w:rFonts w:cs="Arial"/>
              </w:rPr>
              <w:t>0.19</w:t>
            </w:r>
          </w:p>
        </w:tc>
        <w:tc>
          <w:tcPr>
            <w:tcW w:w="1559" w:type="dxa"/>
            <w:shd w:val="clear" w:color="auto" w:fill="FFFFFF" w:themeFill="background1"/>
            <w:vAlign w:val="center"/>
          </w:tcPr>
          <w:p w14:paraId="1FC0F28A" w14:textId="77777777" w:rsidR="00692E71" w:rsidRPr="001E3185" w:rsidRDefault="00692E71" w:rsidP="008E0250">
            <w:pPr>
              <w:jc w:val="center"/>
              <w:rPr>
                <w:rFonts w:cs="Arial"/>
              </w:rPr>
            </w:pPr>
            <w:r w:rsidRPr="001E3185">
              <w:rPr>
                <w:rFonts w:cs="Arial"/>
              </w:rPr>
              <w:t>0.05</w:t>
            </w:r>
          </w:p>
        </w:tc>
      </w:tr>
      <w:tr w:rsidR="00692E71" w:rsidRPr="001E3185" w14:paraId="1CD6A677" w14:textId="77777777" w:rsidTr="008E0250">
        <w:trPr>
          <w:trHeight w:val="20"/>
        </w:trPr>
        <w:tc>
          <w:tcPr>
            <w:tcW w:w="4181" w:type="dxa"/>
            <w:shd w:val="clear" w:color="auto" w:fill="FFFFFF" w:themeFill="background1"/>
            <w:noWrap/>
            <w:vAlign w:val="bottom"/>
          </w:tcPr>
          <w:p w14:paraId="5987B4B4"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462C5533" w14:textId="77777777" w:rsidR="00692E71" w:rsidRPr="001E3185" w:rsidRDefault="00692E71" w:rsidP="008E0250">
            <w:pPr>
              <w:jc w:val="center"/>
              <w:rPr>
                <w:rFonts w:cs="Arial"/>
                <w:lang w:eastAsia="da-DK"/>
              </w:rPr>
            </w:pPr>
            <w:r w:rsidRPr="001E3185">
              <w:rPr>
                <w:rFonts w:cs="Arial"/>
              </w:rPr>
              <w:t>2.8*10</w:t>
            </w:r>
            <w:r w:rsidRPr="001E3185">
              <w:rPr>
                <w:rFonts w:cs="Arial"/>
                <w:vertAlign w:val="superscript"/>
              </w:rPr>
              <w:t>-5</w:t>
            </w:r>
          </w:p>
        </w:tc>
        <w:tc>
          <w:tcPr>
            <w:tcW w:w="1559" w:type="dxa"/>
            <w:shd w:val="clear" w:color="auto" w:fill="FFFFFF" w:themeFill="background1"/>
            <w:noWrap/>
            <w:vAlign w:val="center"/>
          </w:tcPr>
          <w:p w14:paraId="2DCD7060" w14:textId="77777777" w:rsidR="00692E71" w:rsidRPr="001E3185" w:rsidRDefault="00692E71" w:rsidP="008E0250">
            <w:pPr>
              <w:jc w:val="center"/>
              <w:rPr>
                <w:rFonts w:cs="Arial"/>
                <w:lang w:eastAsia="da-DK"/>
              </w:rPr>
            </w:pPr>
            <w:r w:rsidRPr="001E3185">
              <w:rPr>
                <w:rFonts w:cs="Arial"/>
              </w:rPr>
              <w:t>0.18</w:t>
            </w:r>
          </w:p>
        </w:tc>
        <w:tc>
          <w:tcPr>
            <w:tcW w:w="1560" w:type="dxa"/>
            <w:shd w:val="clear" w:color="auto" w:fill="FFFFFF" w:themeFill="background1"/>
            <w:noWrap/>
            <w:vAlign w:val="center"/>
          </w:tcPr>
          <w:p w14:paraId="3D5CED77" w14:textId="77777777" w:rsidR="00692E71" w:rsidRPr="001E3185" w:rsidRDefault="00692E71" w:rsidP="008E0250">
            <w:pPr>
              <w:jc w:val="center"/>
              <w:rPr>
                <w:rFonts w:cs="Arial"/>
                <w:lang w:eastAsia="da-DK"/>
              </w:rPr>
            </w:pPr>
            <w:r w:rsidRPr="001E3185">
              <w:rPr>
                <w:rFonts w:cs="Arial"/>
              </w:rPr>
              <w:t>0.07</w:t>
            </w:r>
          </w:p>
        </w:tc>
        <w:tc>
          <w:tcPr>
            <w:tcW w:w="1559" w:type="dxa"/>
            <w:shd w:val="clear" w:color="auto" w:fill="FFFFFF" w:themeFill="background1"/>
            <w:vAlign w:val="center"/>
          </w:tcPr>
          <w:p w14:paraId="310EB8DC" w14:textId="77777777" w:rsidR="00692E71" w:rsidRPr="001E3185" w:rsidRDefault="00692E71" w:rsidP="008E0250">
            <w:pPr>
              <w:jc w:val="center"/>
              <w:rPr>
                <w:rFonts w:cs="Arial"/>
                <w:lang w:eastAsia="da-DK"/>
              </w:rPr>
            </w:pPr>
            <w:r w:rsidRPr="001E3185">
              <w:rPr>
                <w:rFonts w:cs="Arial"/>
              </w:rPr>
              <w:t>0.01</w:t>
            </w:r>
          </w:p>
        </w:tc>
      </w:tr>
      <w:tr w:rsidR="00692E71" w:rsidRPr="001E3185" w14:paraId="4708BF96" w14:textId="77777777" w:rsidTr="008E0250">
        <w:trPr>
          <w:trHeight w:val="20"/>
        </w:trPr>
        <w:tc>
          <w:tcPr>
            <w:tcW w:w="4181" w:type="dxa"/>
            <w:shd w:val="clear" w:color="auto" w:fill="FFFFFF" w:themeFill="background1"/>
            <w:noWrap/>
            <w:vAlign w:val="bottom"/>
          </w:tcPr>
          <w:p w14:paraId="71BCF533"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79179AC9" w14:textId="77777777" w:rsidR="00692E71" w:rsidRPr="001E3185" w:rsidRDefault="00692E71" w:rsidP="008E0250">
            <w:pPr>
              <w:jc w:val="center"/>
              <w:rPr>
                <w:rFonts w:cs="Arial"/>
                <w:lang w:eastAsia="da-DK"/>
              </w:rPr>
            </w:pPr>
            <w:r w:rsidRPr="001E3185">
              <w:rPr>
                <w:rFonts w:cs="Arial"/>
              </w:rPr>
              <w:t>8.6*10</w:t>
            </w:r>
            <w:r w:rsidRPr="001E3185">
              <w:rPr>
                <w:rFonts w:cs="Arial"/>
                <w:vertAlign w:val="superscript"/>
              </w:rPr>
              <w:t>-7</w:t>
            </w:r>
          </w:p>
        </w:tc>
        <w:tc>
          <w:tcPr>
            <w:tcW w:w="1559" w:type="dxa"/>
            <w:shd w:val="clear" w:color="auto" w:fill="FFFFFF" w:themeFill="background1"/>
            <w:noWrap/>
            <w:vAlign w:val="center"/>
          </w:tcPr>
          <w:p w14:paraId="199A1B91" w14:textId="77777777" w:rsidR="00692E71" w:rsidRPr="001E3185" w:rsidRDefault="00692E71" w:rsidP="008E0250">
            <w:pPr>
              <w:jc w:val="center"/>
              <w:rPr>
                <w:rFonts w:cs="Arial"/>
                <w:lang w:eastAsia="da-DK"/>
              </w:rPr>
            </w:pPr>
            <w:r w:rsidRPr="001E3185">
              <w:rPr>
                <w:rFonts w:cs="Arial"/>
              </w:rPr>
              <w:t>0.03</w:t>
            </w:r>
          </w:p>
        </w:tc>
        <w:tc>
          <w:tcPr>
            <w:tcW w:w="1560" w:type="dxa"/>
            <w:shd w:val="clear" w:color="auto" w:fill="FFFFFF" w:themeFill="background1"/>
            <w:noWrap/>
            <w:vAlign w:val="center"/>
          </w:tcPr>
          <w:p w14:paraId="4820379B"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vAlign w:val="center"/>
          </w:tcPr>
          <w:p w14:paraId="17021C6A" w14:textId="77777777" w:rsidR="00692E71" w:rsidRPr="001E3185" w:rsidRDefault="00692E71" w:rsidP="008E0250">
            <w:pPr>
              <w:jc w:val="center"/>
              <w:rPr>
                <w:rFonts w:cs="Arial"/>
                <w:lang w:eastAsia="da-DK"/>
              </w:rPr>
            </w:pPr>
            <w:r w:rsidRPr="001E3185">
              <w:rPr>
                <w:rFonts w:cs="Arial"/>
              </w:rPr>
              <w:t>1.5*10</w:t>
            </w:r>
            <w:r w:rsidRPr="001E3185">
              <w:rPr>
                <w:rFonts w:cs="Arial"/>
                <w:vertAlign w:val="superscript"/>
              </w:rPr>
              <w:t>-4</w:t>
            </w:r>
          </w:p>
        </w:tc>
      </w:tr>
      <w:tr w:rsidR="00692E71" w:rsidRPr="001E3185" w14:paraId="7122AB3B" w14:textId="77777777" w:rsidTr="008E0250">
        <w:trPr>
          <w:trHeight w:val="20"/>
        </w:trPr>
        <w:tc>
          <w:tcPr>
            <w:tcW w:w="9851" w:type="dxa"/>
            <w:gridSpan w:val="5"/>
            <w:shd w:val="clear" w:color="auto" w:fill="FFFFFF" w:themeFill="background1"/>
            <w:noWrap/>
            <w:vAlign w:val="bottom"/>
          </w:tcPr>
          <w:p w14:paraId="35AAB65C" w14:textId="77777777" w:rsidR="00692E71" w:rsidRPr="001E3185" w:rsidRDefault="00692E71" w:rsidP="008E0250">
            <w:pPr>
              <w:jc w:val="center"/>
              <w:rPr>
                <w:rFonts w:cs="Arial"/>
              </w:rPr>
            </w:pPr>
          </w:p>
        </w:tc>
      </w:tr>
      <w:tr w:rsidR="00692E71" w:rsidRPr="001E3185" w14:paraId="2DEC25A0" w14:textId="77777777" w:rsidTr="008E0250">
        <w:trPr>
          <w:trHeight w:val="20"/>
        </w:trPr>
        <w:tc>
          <w:tcPr>
            <w:tcW w:w="9851" w:type="dxa"/>
            <w:gridSpan w:val="5"/>
            <w:shd w:val="clear" w:color="auto" w:fill="FFFFFF" w:themeFill="background1"/>
            <w:noWrap/>
            <w:vAlign w:val="center"/>
          </w:tcPr>
          <w:p w14:paraId="5A0FDF08" w14:textId="77777777" w:rsidR="00692E71" w:rsidRPr="001E3185" w:rsidRDefault="00692E71" w:rsidP="008E0250">
            <w:pPr>
              <w:rPr>
                <w:rFonts w:cs="Arial"/>
              </w:rPr>
            </w:pPr>
            <w:r w:rsidRPr="001E3185">
              <w:rPr>
                <w:rFonts w:cs="Arial"/>
                <w:b/>
                <w:lang w:eastAsia="da-DK"/>
              </w:rPr>
              <w:t>Fence (brushing, soil)</w:t>
            </w:r>
          </w:p>
        </w:tc>
      </w:tr>
      <w:tr w:rsidR="00692E71" w:rsidRPr="001E3185" w14:paraId="3A91EF00" w14:textId="77777777" w:rsidTr="008E0250">
        <w:trPr>
          <w:trHeight w:val="20"/>
        </w:trPr>
        <w:tc>
          <w:tcPr>
            <w:tcW w:w="4181" w:type="dxa"/>
            <w:shd w:val="clear" w:color="auto" w:fill="FFFFFF" w:themeFill="background1"/>
            <w:noWrap/>
            <w:vAlign w:val="bottom"/>
          </w:tcPr>
          <w:p w14:paraId="576C3E4B"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6E9EB4E9" w14:textId="77777777" w:rsidR="00692E71" w:rsidRPr="001E3185" w:rsidRDefault="00692E71" w:rsidP="008E0250">
            <w:pPr>
              <w:jc w:val="center"/>
              <w:rPr>
                <w:rFonts w:cs="Arial"/>
                <w:lang w:eastAsia="da-DK"/>
              </w:rPr>
            </w:pPr>
            <w:r w:rsidRPr="001E3185">
              <w:rPr>
                <w:rFonts w:cs="Arial"/>
              </w:rPr>
              <w:t>4.7*10</w:t>
            </w:r>
            <w:r w:rsidRPr="001E3185">
              <w:rPr>
                <w:rFonts w:cs="Arial"/>
                <w:vertAlign w:val="superscript"/>
              </w:rPr>
              <w:t>-2</w:t>
            </w:r>
          </w:p>
        </w:tc>
        <w:tc>
          <w:tcPr>
            <w:tcW w:w="1559" w:type="dxa"/>
            <w:shd w:val="clear" w:color="auto" w:fill="FFFFFF" w:themeFill="background1"/>
            <w:noWrap/>
            <w:vAlign w:val="center"/>
          </w:tcPr>
          <w:p w14:paraId="598F3D8A" w14:textId="77777777" w:rsidR="00692E71" w:rsidRPr="001E3185" w:rsidRDefault="00692E71" w:rsidP="008E0250">
            <w:pPr>
              <w:jc w:val="center"/>
              <w:rPr>
                <w:rFonts w:cs="Arial"/>
              </w:rPr>
            </w:pPr>
            <w:r w:rsidRPr="001E3185">
              <w:rPr>
                <w:rFonts w:cs="Arial"/>
              </w:rPr>
              <w:t>0.17</w:t>
            </w:r>
          </w:p>
        </w:tc>
        <w:tc>
          <w:tcPr>
            <w:tcW w:w="1560" w:type="dxa"/>
            <w:shd w:val="clear" w:color="auto" w:fill="FFFFFF" w:themeFill="background1"/>
            <w:noWrap/>
            <w:vAlign w:val="center"/>
          </w:tcPr>
          <w:p w14:paraId="6738AA60" w14:textId="77777777" w:rsidR="00692E71" w:rsidRPr="001E3185" w:rsidRDefault="00692E71" w:rsidP="008E0250">
            <w:pPr>
              <w:jc w:val="center"/>
              <w:rPr>
                <w:rFonts w:cs="Arial"/>
              </w:rPr>
            </w:pPr>
            <w:r w:rsidRPr="001E3185">
              <w:rPr>
                <w:rFonts w:cs="Arial"/>
              </w:rPr>
              <w:t>0.07</w:t>
            </w:r>
          </w:p>
        </w:tc>
        <w:tc>
          <w:tcPr>
            <w:tcW w:w="1559" w:type="dxa"/>
            <w:shd w:val="clear" w:color="auto" w:fill="FFFFFF" w:themeFill="background1"/>
            <w:vAlign w:val="center"/>
          </w:tcPr>
          <w:p w14:paraId="03ED1D83" w14:textId="77777777" w:rsidR="00692E71" w:rsidRPr="001E3185" w:rsidRDefault="00692E71" w:rsidP="008E0250">
            <w:pPr>
              <w:jc w:val="center"/>
              <w:rPr>
                <w:rFonts w:cs="Arial"/>
              </w:rPr>
            </w:pPr>
            <w:r w:rsidRPr="001E3185">
              <w:rPr>
                <w:rFonts w:cs="Arial"/>
              </w:rPr>
              <w:t>3.3*10</w:t>
            </w:r>
            <w:r w:rsidRPr="001E3185">
              <w:rPr>
                <w:rFonts w:cs="Arial"/>
                <w:vertAlign w:val="superscript"/>
              </w:rPr>
              <w:t>-2</w:t>
            </w:r>
          </w:p>
        </w:tc>
      </w:tr>
      <w:tr w:rsidR="00692E71" w:rsidRPr="001E3185" w14:paraId="7BA62ACF" w14:textId="77777777" w:rsidTr="008E0250">
        <w:trPr>
          <w:trHeight w:val="20"/>
        </w:trPr>
        <w:tc>
          <w:tcPr>
            <w:tcW w:w="4181" w:type="dxa"/>
            <w:shd w:val="clear" w:color="auto" w:fill="FFFFFF" w:themeFill="background1"/>
            <w:noWrap/>
            <w:vAlign w:val="bottom"/>
          </w:tcPr>
          <w:p w14:paraId="0B8AA6A0"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6126F082" w14:textId="77777777" w:rsidR="00692E71" w:rsidRPr="001E3185" w:rsidRDefault="00692E71" w:rsidP="008E0250">
            <w:pPr>
              <w:jc w:val="center"/>
              <w:rPr>
                <w:rFonts w:cs="Arial"/>
                <w:lang w:eastAsia="da-DK"/>
              </w:rPr>
            </w:pPr>
            <w:r w:rsidRPr="001E3185">
              <w:rPr>
                <w:rFonts w:cs="Arial"/>
              </w:rPr>
              <w:t>0.09</w:t>
            </w:r>
          </w:p>
        </w:tc>
        <w:tc>
          <w:tcPr>
            <w:tcW w:w="1559" w:type="dxa"/>
            <w:shd w:val="clear" w:color="auto" w:fill="FFFFFF" w:themeFill="background1"/>
            <w:noWrap/>
            <w:vAlign w:val="center"/>
          </w:tcPr>
          <w:p w14:paraId="2DE5A7C2" w14:textId="77777777" w:rsidR="00692E71" w:rsidRPr="001E3185" w:rsidRDefault="00692E71" w:rsidP="008E0250">
            <w:pPr>
              <w:jc w:val="center"/>
              <w:rPr>
                <w:rFonts w:cs="Arial"/>
              </w:rPr>
            </w:pPr>
            <w:r w:rsidRPr="001E3185">
              <w:rPr>
                <w:rFonts w:cs="Arial"/>
              </w:rPr>
              <w:t>0.42</w:t>
            </w:r>
          </w:p>
        </w:tc>
        <w:tc>
          <w:tcPr>
            <w:tcW w:w="1560" w:type="dxa"/>
            <w:shd w:val="clear" w:color="auto" w:fill="FFFFFF" w:themeFill="background1"/>
            <w:noWrap/>
            <w:vAlign w:val="center"/>
          </w:tcPr>
          <w:p w14:paraId="5E6192F8" w14:textId="77777777" w:rsidR="00692E71" w:rsidRPr="001E3185" w:rsidRDefault="00692E71" w:rsidP="008E0250">
            <w:pPr>
              <w:jc w:val="center"/>
              <w:rPr>
                <w:rFonts w:cs="Arial"/>
              </w:rPr>
            </w:pPr>
            <w:r w:rsidRPr="001E3185">
              <w:rPr>
                <w:rFonts w:cs="Arial"/>
              </w:rPr>
              <w:t>0.16</w:t>
            </w:r>
          </w:p>
        </w:tc>
        <w:tc>
          <w:tcPr>
            <w:tcW w:w="1559" w:type="dxa"/>
            <w:shd w:val="clear" w:color="auto" w:fill="FFFFFF" w:themeFill="background1"/>
            <w:vAlign w:val="center"/>
          </w:tcPr>
          <w:p w14:paraId="60501799" w14:textId="77777777" w:rsidR="00692E71" w:rsidRPr="001E3185" w:rsidRDefault="00692E71" w:rsidP="008E0250">
            <w:pPr>
              <w:jc w:val="center"/>
              <w:rPr>
                <w:rFonts w:cs="Arial"/>
              </w:rPr>
            </w:pPr>
            <w:r w:rsidRPr="001E3185">
              <w:rPr>
                <w:rFonts w:cs="Arial"/>
              </w:rPr>
              <w:t>4.2*10</w:t>
            </w:r>
            <w:r w:rsidRPr="001E3185">
              <w:rPr>
                <w:rFonts w:cs="Arial"/>
                <w:vertAlign w:val="superscript"/>
              </w:rPr>
              <w:t>-2</w:t>
            </w:r>
          </w:p>
        </w:tc>
      </w:tr>
      <w:tr w:rsidR="00692E71" w:rsidRPr="001E3185" w14:paraId="1378C4B4" w14:textId="77777777" w:rsidTr="008E0250">
        <w:trPr>
          <w:trHeight w:val="20"/>
        </w:trPr>
        <w:tc>
          <w:tcPr>
            <w:tcW w:w="4181" w:type="dxa"/>
            <w:shd w:val="clear" w:color="auto" w:fill="FFFFFF" w:themeFill="background1"/>
            <w:noWrap/>
            <w:vAlign w:val="bottom"/>
          </w:tcPr>
          <w:p w14:paraId="30C54C6C"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1C11A394" w14:textId="77777777" w:rsidR="00692E71" w:rsidRPr="001E3185" w:rsidRDefault="00692E71" w:rsidP="008E0250">
            <w:pPr>
              <w:jc w:val="center"/>
              <w:rPr>
                <w:rFonts w:cs="Arial"/>
                <w:lang w:eastAsia="da-DK"/>
              </w:rPr>
            </w:pPr>
            <w:r w:rsidRPr="001E3185">
              <w:rPr>
                <w:rFonts w:cs="Arial"/>
              </w:rPr>
              <w:t>2.4*10</w:t>
            </w:r>
            <w:r w:rsidRPr="001E3185">
              <w:rPr>
                <w:rFonts w:cs="Arial"/>
                <w:vertAlign w:val="superscript"/>
              </w:rPr>
              <w:t>-5</w:t>
            </w:r>
          </w:p>
        </w:tc>
        <w:tc>
          <w:tcPr>
            <w:tcW w:w="1559" w:type="dxa"/>
            <w:shd w:val="clear" w:color="auto" w:fill="FFFFFF" w:themeFill="background1"/>
            <w:noWrap/>
            <w:vAlign w:val="center"/>
          </w:tcPr>
          <w:p w14:paraId="6BBD1E29" w14:textId="77777777" w:rsidR="00692E71" w:rsidRPr="001E3185" w:rsidRDefault="00692E71" w:rsidP="008E0250">
            <w:pPr>
              <w:jc w:val="center"/>
              <w:rPr>
                <w:rFonts w:cs="Arial"/>
              </w:rPr>
            </w:pPr>
            <w:r w:rsidRPr="001E3185">
              <w:rPr>
                <w:rFonts w:cs="Arial"/>
              </w:rPr>
              <w:t>0.15</w:t>
            </w:r>
          </w:p>
        </w:tc>
        <w:tc>
          <w:tcPr>
            <w:tcW w:w="1560" w:type="dxa"/>
            <w:shd w:val="clear" w:color="auto" w:fill="FFFFFF" w:themeFill="background1"/>
            <w:noWrap/>
            <w:vAlign w:val="center"/>
          </w:tcPr>
          <w:p w14:paraId="513AE9FA" w14:textId="77777777" w:rsidR="00692E71" w:rsidRPr="001E3185" w:rsidRDefault="00692E71" w:rsidP="008E0250">
            <w:pPr>
              <w:jc w:val="center"/>
              <w:rPr>
                <w:rFonts w:cs="Arial"/>
              </w:rPr>
            </w:pPr>
            <w:r w:rsidRPr="001E3185">
              <w:rPr>
                <w:rFonts w:cs="Arial"/>
              </w:rPr>
              <w:t>0.05</w:t>
            </w:r>
          </w:p>
        </w:tc>
        <w:tc>
          <w:tcPr>
            <w:tcW w:w="1559" w:type="dxa"/>
            <w:shd w:val="clear" w:color="auto" w:fill="FFFFFF" w:themeFill="background1"/>
            <w:vAlign w:val="center"/>
          </w:tcPr>
          <w:p w14:paraId="5C2F08FD" w14:textId="77777777" w:rsidR="00692E71" w:rsidRPr="001E3185" w:rsidRDefault="00692E71" w:rsidP="008E0250">
            <w:pPr>
              <w:jc w:val="center"/>
              <w:rPr>
                <w:rFonts w:cs="Arial"/>
              </w:rPr>
            </w:pPr>
            <w:r w:rsidRPr="001E3185">
              <w:rPr>
                <w:rFonts w:cs="Arial"/>
              </w:rPr>
              <w:t>9.6*10</w:t>
            </w:r>
            <w:r w:rsidRPr="001E3185">
              <w:rPr>
                <w:rFonts w:cs="Arial"/>
                <w:vertAlign w:val="superscript"/>
              </w:rPr>
              <w:t>-3</w:t>
            </w:r>
          </w:p>
        </w:tc>
      </w:tr>
      <w:tr w:rsidR="00692E71" w:rsidRPr="001E3185" w14:paraId="72E5C16D" w14:textId="77777777" w:rsidTr="008E0250">
        <w:trPr>
          <w:trHeight w:val="20"/>
        </w:trPr>
        <w:tc>
          <w:tcPr>
            <w:tcW w:w="4181" w:type="dxa"/>
            <w:shd w:val="clear" w:color="auto" w:fill="FFFFFF" w:themeFill="background1"/>
            <w:noWrap/>
            <w:vAlign w:val="bottom"/>
          </w:tcPr>
          <w:p w14:paraId="1B1EEB5C"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0C37E438" w14:textId="77777777" w:rsidR="00692E71" w:rsidRPr="001E3185" w:rsidRDefault="00692E71" w:rsidP="008E0250">
            <w:pPr>
              <w:jc w:val="center"/>
              <w:rPr>
                <w:rFonts w:cs="Arial"/>
                <w:lang w:eastAsia="da-DK"/>
              </w:rPr>
            </w:pPr>
            <w:r w:rsidRPr="001E3185">
              <w:rPr>
                <w:rFonts w:cs="Arial"/>
              </w:rPr>
              <w:t>7.2*10</w:t>
            </w:r>
            <w:r w:rsidRPr="001E3185">
              <w:rPr>
                <w:rFonts w:cs="Arial"/>
                <w:vertAlign w:val="superscript"/>
              </w:rPr>
              <w:t>-7</w:t>
            </w:r>
          </w:p>
        </w:tc>
        <w:tc>
          <w:tcPr>
            <w:tcW w:w="1559" w:type="dxa"/>
            <w:shd w:val="clear" w:color="auto" w:fill="FFFFFF" w:themeFill="background1"/>
            <w:noWrap/>
            <w:vAlign w:val="center"/>
          </w:tcPr>
          <w:p w14:paraId="573AE9DF" w14:textId="77777777" w:rsidR="00692E71" w:rsidRPr="001E3185" w:rsidRDefault="00692E71" w:rsidP="008E0250">
            <w:pPr>
              <w:jc w:val="center"/>
              <w:rPr>
                <w:rFonts w:cs="Arial"/>
              </w:rPr>
            </w:pPr>
            <w:r w:rsidRPr="001E3185">
              <w:rPr>
                <w:rFonts w:cs="Arial"/>
              </w:rPr>
              <w:t>2.6*10</w:t>
            </w:r>
            <w:r w:rsidRPr="001E3185">
              <w:rPr>
                <w:rFonts w:cs="Arial"/>
                <w:vertAlign w:val="superscript"/>
              </w:rPr>
              <w:t>-2</w:t>
            </w:r>
          </w:p>
        </w:tc>
        <w:tc>
          <w:tcPr>
            <w:tcW w:w="1560" w:type="dxa"/>
            <w:shd w:val="clear" w:color="auto" w:fill="FFFFFF" w:themeFill="background1"/>
            <w:noWrap/>
            <w:vAlign w:val="center"/>
          </w:tcPr>
          <w:p w14:paraId="0A2AEC54" w14:textId="77777777" w:rsidR="00692E71" w:rsidRPr="001E3185" w:rsidRDefault="00692E71" w:rsidP="008E0250">
            <w:pPr>
              <w:jc w:val="center"/>
              <w:rPr>
                <w:rFonts w:cs="Arial"/>
              </w:rPr>
            </w:pPr>
            <w:r w:rsidRPr="001E3185">
              <w:rPr>
                <w:rFonts w:cs="Arial"/>
              </w:rPr>
              <w:t>5.7*10</w:t>
            </w:r>
            <w:r w:rsidRPr="001E3185">
              <w:rPr>
                <w:rFonts w:cs="Arial"/>
                <w:vertAlign w:val="superscript"/>
              </w:rPr>
              <w:t>-3</w:t>
            </w:r>
          </w:p>
        </w:tc>
        <w:tc>
          <w:tcPr>
            <w:tcW w:w="1559" w:type="dxa"/>
            <w:shd w:val="clear" w:color="auto" w:fill="FFFFFF" w:themeFill="background1"/>
            <w:vAlign w:val="center"/>
          </w:tcPr>
          <w:p w14:paraId="2BB8FD9A" w14:textId="77777777" w:rsidR="00692E71" w:rsidRPr="001E3185" w:rsidRDefault="00692E71" w:rsidP="008E0250">
            <w:pPr>
              <w:jc w:val="center"/>
              <w:rPr>
                <w:rFonts w:cs="Arial"/>
              </w:rPr>
            </w:pPr>
            <w:r w:rsidRPr="001E3185">
              <w:rPr>
                <w:rFonts w:cs="Arial"/>
              </w:rPr>
              <w:t>1.2*10</w:t>
            </w:r>
            <w:r w:rsidRPr="001E3185">
              <w:rPr>
                <w:rFonts w:cs="Arial"/>
                <w:vertAlign w:val="superscript"/>
              </w:rPr>
              <w:t>-4</w:t>
            </w:r>
          </w:p>
        </w:tc>
      </w:tr>
    </w:tbl>
    <w:p w14:paraId="733A738C" w14:textId="77777777" w:rsidR="00692E71" w:rsidRPr="001E3185" w:rsidRDefault="00692E71" w:rsidP="00692E71">
      <w:pPr>
        <w:rPr>
          <w:rFonts w:cs="Arial"/>
          <w:b/>
        </w:rPr>
      </w:pPr>
    </w:p>
    <w:p w14:paraId="246FB2EE"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40</w:t>
      </w:r>
      <w:r w:rsidRPr="001E3185">
        <w:rPr>
          <w:rFonts w:ascii="Verdana" w:hAnsi="Verdana"/>
        </w:rPr>
        <w:fldChar w:fldCharType="end"/>
      </w:r>
      <w:r w:rsidRPr="001E3185">
        <w:rPr>
          <w:rFonts w:ascii="Verdana" w:hAnsi="Verdana"/>
        </w:rPr>
        <w:t>:  PEC in soil, spraying.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181"/>
        <w:gridCol w:w="992"/>
        <w:gridCol w:w="1559"/>
        <w:gridCol w:w="1560"/>
        <w:gridCol w:w="1559"/>
      </w:tblGrid>
      <w:tr w:rsidR="00692E71" w:rsidRPr="001E3185" w14:paraId="44C09F84" w14:textId="77777777" w:rsidTr="008E0250">
        <w:trPr>
          <w:trHeight w:val="20"/>
          <w:tblHeader/>
        </w:trPr>
        <w:tc>
          <w:tcPr>
            <w:tcW w:w="4181" w:type="dxa"/>
            <w:shd w:val="clear" w:color="auto" w:fill="FFFFFF" w:themeFill="background1"/>
            <w:noWrap/>
            <w:vAlign w:val="bottom"/>
          </w:tcPr>
          <w:p w14:paraId="6C300BAE"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0A3D0D66"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6337A6D8"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560" w:type="dxa"/>
            <w:shd w:val="clear" w:color="auto" w:fill="FFFFFF" w:themeFill="background1"/>
            <w:noWrap/>
            <w:vAlign w:val="center"/>
          </w:tcPr>
          <w:p w14:paraId="69088D6C"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08266A17"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1D63AA40" w14:textId="77777777" w:rsidTr="008E0250">
        <w:trPr>
          <w:trHeight w:val="20"/>
        </w:trPr>
        <w:tc>
          <w:tcPr>
            <w:tcW w:w="9851" w:type="dxa"/>
            <w:gridSpan w:val="5"/>
            <w:shd w:val="clear" w:color="auto" w:fill="FFFFFF" w:themeFill="background1"/>
            <w:noWrap/>
            <w:vAlign w:val="center"/>
          </w:tcPr>
          <w:p w14:paraId="2CB45668" w14:textId="77777777" w:rsidR="00692E71" w:rsidRPr="001E3185" w:rsidRDefault="00692E71" w:rsidP="008E0250">
            <w:pPr>
              <w:rPr>
                <w:rFonts w:cs="Arial"/>
              </w:rPr>
            </w:pPr>
            <w:r w:rsidRPr="001E3185">
              <w:rPr>
                <w:rFonts w:cs="Arial"/>
                <w:b/>
                <w:lang w:eastAsia="da-DK"/>
              </w:rPr>
              <w:t>House (spraying, Tier 1, soil)</w:t>
            </w:r>
          </w:p>
        </w:tc>
      </w:tr>
      <w:tr w:rsidR="00692E71" w:rsidRPr="001E3185" w14:paraId="4C9565E6" w14:textId="77777777" w:rsidTr="008E0250">
        <w:trPr>
          <w:trHeight w:val="20"/>
        </w:trPr>
        <w:tc>
          <w:tcPr>
            <w:tcW w:w="4181" w:type="dxa"/>
            <w:shd w:val="clear" w:color="auto" w:fill="FFFFFF" w:themeFill="background1"/>
            <w:noWrap/>
            <w:vAlign w:val="bottom"/>
          </w:tcPr>
          <w:p w14:paraId="1387244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4286A4A2" w14:textId="77777777" w:rsidR="00692E71" w:rsidRPr="001E3185" w:rsidRDefault="00692E71" w:rsidP="008E0250">
            <w:pPr>
              <w:jc w:val="center"/>
              <w:rPr>
                <w:rFonts w:cs="Arial"/>
                <w:lang w:eastAsia="da-DK"/>
              </w:rPr>
            </w:pPr>
            <w:r w:rsidRPr="001E3185">
              <w:rPr>
                <w:rFonts w:cs="Arial"/>
              </w:rPr>
              <w:t>0.20</w:t>
            </w:r>
          </w:p>
        </w:tc>
        <w:tc>
          <w:tcPr>
            <w:tcW w:w="1559" w:type="dxa"/>
            <w:shd w:val="clear" w:color="auto" w:fill="FFFFFF" w:themeFill="background1"/>
            <w:noWrap/>
            <w:vAlign w:val="center"/>
          </w:tcPr>
          <w:p w14:paraId="4266BE95" w14:textId="77777777" w:rsidR="00692E71" w:rsidRPr="001E3185" w:rsidRDefault="00692E71" w:rsidP="008E0250">
            <w:pPr>
              <w:jc w:val="center"/>
              <w:rPr>
                <w:rFonts w:cs="Arial"/>
              </w:rPr>
            </w:pPr>
            <w:r w:rsidRPr="001E3185">
              <w:rPr>
                <w:rFonts w:cs="Arial"/>
              </w:rPr>
              <w:t>0.62</w:t>
            </w:r>
          </w:p>
        </w:tc>
        <w:tc>
          <w:tcPr>
            <w:tcW w:w="1560" w:type="dxa"/>
            <w:shd w:val="clear" w:color="auto" w:fill="FFFFFF" w:themeFill="background1"/>
            <w:noWrap/>
            <w:vAlign w:val="center"/>
          </w:tcPr>
          <w:p w14:paraId="7AAA2AE6" w14:textId="77777777" w:rsidR="00692E71" w:rsidRPr="001E3185" w:rsidRDefault="00692E71" w:rsidP="008E0250">
            <w:pPr>
              <w:jc w:val="center"/>
              <w:rPr>
                <w:rFonts w:cs="Arial"/>
              </w:rPr>
            </w:pPr>
            <w:r w:rsidRPr="001E3185">
              <w:rPr>
                <w:rFonts w:cs="Arial"/>
              </w:rPr>
              <w:t>0.22</w:t>
            </w:r>
          </w:p>
        </w:tc>
        <w:tc>
          <w:tcPr>
            <w:tcW w:w="1559" w:type="dxa"/>
            <w:shd w:val="clear" w:color="auto" w:fill="FFFFFF" w:themeFill="background1"/>
            <w:vAlign w:val="center"/>
          </w:tcPr>
          <w:p w14:paraId="6D3CB269" w14:textId="77777777" w:rsidR="00692E71" w:rsidRPr="001E3185" w:rsidRDefault="00692E71" w:rsidP="008E0250">
            <w:pPr>
              <w:jc w:val="center"/>
              <w:rPr>
                <w:rFonts w:cs="Arial"/>
              </w:rPr>
            </w:pPr>
            <w:r w:rsidRPr="001E3185">
              <w:rPr>
                <w:rFonts w:cs="Arial"/>
              </w:rPr>
              <w:t>0.24</w:t>
            </w:r>
          </w:p>
        </w:tc>
      </w:tr>
      <w:tr w:rsidR="00692E71" w:rsidRPr="001E3185" w14:paraId="07BED8BD" w14:textId="77777777" w:rsidTr="008E0250">
        <w:trPr>
          <w:trHeight w:val="20"/>
        </w:trPr>
        <w:tc>
          <w:tcPr>
            <w:tcW w:w="4181" w:type="dxa"/>
            <w:shd w:val="clear" w:color="auto" w:fill="FFFFFF" w:themeFill="background1"/>
            <w:noWrap/>
            <w:vAlign w:val="bottom"/>
          </w:tcPr>
          <w:p w14:paraId="1A72F6DB" w14:textId="77777777" w:rsidR="00692E71" w:rsidRPr="001E3185" w:rsidRDefault="00692E71" w:rsidP="008E0250">
            <w:pPr>
              <w:rPr>
                <w:rFonts w:cs="Arial"/>
                <w:lang w:eastAsia="da-DK"/>
              </w:rPr>
            </w:pPr>
            <w:r w:rsidRPr="001E3185">
              <w:rPr>
                <w:rFonts w:cs="Arial"/>
                <w:lang w:eastAsia="da-DK"/>
              </w:rPr>
              <w:lastRenderedPageBreak/>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47750248" w14:textId="77777777" w:rsidR="00692E71" w:rsidRPr="001E3185" w:rsidRDefault="00692E71" w:rsidP="008E0250">
            <w:pPr>
              <w:jc w:val="center"/>
              <w:rPr>
                <w:rFonts w:cs="Arial"/>
              </w:rPr>
            </w:pPr>
            <w:r w:rsidRPr="001E3185">
              <w:rPr>
                <w:rFonts w:cs="Arial"/>
              </w:rPr>
              <w:t>0.25</w:t>
            </w:r>
          </w:p>
        </w:tc>
        <w:tc>
          <w:tcPr>
            <w:tcW w:w="1559" w:type="dxa"/>
            <w:shd w:val="clear" w:color="auto" w:fill="FFFFFF" w:themeFill="background1"/>
            <w:noWrap/>
            <w:vAlign w:val="center"/>
          </w:tcPr>
          <w:p w14:paraId="6EE54C03" w14:textId="77777777" w:rsidR="00692E71" w:rsidRPr="001E3185" w:rsidRDefault="00692E71" w:rsidP="008E0250">
            <w:pPr>
              <w:jc w:val="center"/>
              <w:rPr>
                <w:rFonts w:cs="Arial"/>
              </w:rPr>
            </w:pPr>
            <w:r w:rsidRPr="001E3185">
              <w:rPr>
                <w:rFonts w:cs="Arial"/>
              </w:rPr>
              <w:t>0.93</w:t>
            </w:r>
          </w:p>
        </w:tc>
        <w:tc>
          <w:tcPr>
            <w:tcW w:w="1560" w:type="dxa"/>
            <w:shd w:val="clear" w:color="auto" w:fill="FFFFFF" w:themeFill="background1"/>
            <w:noWrap/>
            <w:vAlign w:val="center"/>
          </w:tcPr>
          <w:p w14:paraId="6DA1F058" w14:textId="77777777" w:rsidR="00692E71" w:rsidRPr="001E3185" w:rsidRDefault="00692E71" w:rsidP="008E0250">
            <w:pPr>
              <w:jc w:val="center"/>
              <w:rPr>
                <w:rFonts w:cs="Arial"/>
              </w:rPr>
            </w:pPr>
            <w:r w:rsidRPr="001E3185">
              <w:rPr>
                <w:rFonts w:cs="Arial"/>
              </w:rPr>
              <w:t>0.33</w:t>
            </w:r>
          </w:p>
        </w:tc>
        <w:tc>
          <w:tcPr>
            <w:tcW w:w="1559" w:type="dxa"/>
            <w:shd w:val="clear" w:color="auto" w:fill="FFFFFF" w:themeFill="background1"/>
            <w:vAlign w:val="center"/>
          </w:tcPr>
          <w:p w14:paraId="788E577A" w14:textId="77777777" w:rsidR="00692E71" w:rsidRPr="001E3185" w:rsidRDefault="00692E71" w:rsidP="008E0250">
            <w:pPr>
              <w:jc w:val="center"/>
              <w:rPr>
                <w:rFonts w:cs="Arial"/>
              </w:rPr>
            </w:pPr>
            <w:r w:rsidRPr="001E3185">
              <w:rPr>
                <w:rFonts w:cs="Arial"/>
              </w:rPr>
              <w:t>0.25</w:t>
            </w:r>
          </w:p>
        </w:tc>
      </w:tr>
      <w:tr w:rsidR="00692E71" w:rsidRPr="001E3185" w14:paraId="0FAC5877" w14:textId="77777777" w:rsidTr="008E0250">
        <w:trPr>
          <w:trHeight w:val="20"/>
        </w:trPr>
        <w:tc>
          <w:tcPr>
            <w:tcW w:w="4181" w:type="dxa"/>
            <w:shd w:val="clear" w:color="auto" w:fill="FFFFFF" w:themeFill="background1"/>
            <w:noWrap/>
            <w:vAlign w:val="bottom"/>
          </w:tcPr>
          <w:p w14:paraId="3F8D700D"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30106EB4" w14:textId="77777777" w:rsidR="00692E71" w:rsidRPr="001E3185" w:rsidRDefault="00692E71" w:rsidP="008E0250">
            <w:pPr>
              <w:keepNext/>
              <w:keepLines/>
              <w:jc w:val="center"/>
              <w:rPr>
                <w:rFonts w:cs="Arial"/>
                <w:lang w:eastAsia="da-DK"/>
              </w:rPr>
            </w:pPr>
            <w:r w:rsidRPr="001E3185">
              <w:rPr>
                <w:rFonts w:cs="Arial"/>
              </w:rPr>
              <w:t>2.8*10</w:t>
            </w:r>
            <w:r w:rsidRPr="001E3185">
              <w:rPr>
                <w:rFonts w:cs="Arial"/>
                <w:vertAlign w:val="superscript"/>
              </w:rPr>
              <w:t>-5</w:t>
            </w:r>
          </w:p>
        </w:tc>
        <w:tc>
          <w:tcPr>
            <w:tcW w:w="1559" w:type="dxa"/>
            <w:shd w:val="clear" w:color="auto" w:fill="FFFFFF" w:themeFill="background1"/>
            <w:noWrap/>
            <w:vAlign w:val="center"/>
          </w:tcPr>
          <w:p w14:paraId="0173A9EA" w14:textId="77777777" w:rsidR="00692E71" w:rsidRPr="001E3185" w:rsidRDefault="00692E71" w:rsidP="008E0250">
            <w:pPr>
              <w:keepNext/>
              <w:keepLines/>
              <w:jc w:val="center"/>
              <w:rPr>
                <w:rFonts w:cs="Arial"/>
              </w:rPr>
            </w:pPr>
            <w:r w:rsidRPr="001E3185">
              <w:rPr>
                <w:rFonts w:cs="Arial"/>
              </w:rPr>
              <w:t>0.54</w:t>
            </w:r>
          </w:p>
        </w:tc>
        <w:tc>
          <w:tcPr>
            <w:tcW w:w="1560" w:type="dxa"/>
            <w:shd w:val="clear" w:color="auto" w:fill="FFFFFF" w:themeFill="background1"/>
            <w:noWrap/>
            <w:vAlign w:val="center"/>
          </w:tcPr>
          <w:p w14:paraId="4D4A242A" w14:textId="77777777" w:rsidR="00692E71" w:rsidRPr="001E3185" w:rsidRDefault="00692E71" w:rsidP="008E0250">
            <w:pPr>
              <w:keepNext/>
              <w:keepLines/>
              <w:jc w:val="center"/>
              <w:rPr>
                <w:rFonts w:cs="Arial"/>
              </w:rPr>
            </w:pPr>
            <w:r w:rsidRPr="001E3185">
              <w:rPr>
                <w:rFonts w:cs="Arial"/>
              </w:rPr>
              <w:t>0.17</w:t>
            </w:r>
          </w:p>
        </w:tc>
        <w:tc>
          <w:tcPr>
            <w:tcW w:w="1559" w:type="dxa"/>
            <w:shd w:val="clear" w:color="auto" w:fill="FFFFFF" w:themeFill="background1"/>
            <w:vAlign w:val="center"/>
          </w:tcPr>
          <w:p w14:paraId="305A34E7" w14:textId="77777777" w:rsidR="00692E71" w:rsidRPr="001E3185" w:rsidRDefault="00692E71" w:rsidP="008E0250">
            <w:pPr>
              <w:keepNext/>
              <w:keepLines/>
              <w:jc w:val="center"/>
              <w:rPr>
                <w:rFonts w:cs="Arial"/>
              </w:rPr>
            </w:pPr>
            <w:r w:rsidRPr="001E3185">
              <w:rPr>
                <w:rFonts w:cs="Arial"/>
              </w:rPr>
              <w:t>0.07</w:t>
            </w:r>
          </w:p>
        </w:tc>
      </w:tr>
      <w:tr w:rsidR="00692E71" w:rsidRPr="001E3185" w14:paraId="5A717744" w14:textId="77777777" w:rsidTr="008E0250">
        <w:trPr>
          <w:cantSplit/>
          <w:trHeight w:val="20"/>
        </w:trPr>
        <w:tc>
          <w:tcPr>
            <w:tcW w:w="4181" w:type="dxa"/>
            <w:shd w:val="clear" w:color="auto" w:fill="FFFFFF" w:themeFill="background1"/>
            <w:noWrap/>
            <w:vAlign w:val="bottom"/>
          </w:tcPr>
          <w:p w14:paraId="61CA78D6"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2F8A9F02" w14:textId="77777777" w:rsidR="00692E71" w:rsidRPr="001E3185" w:rsidRDefault="00692E71" w:rsidP="008E0250">
            <w:pPr>
              <w:keepNext/>
              <w:keepLines/>
              <w:jc w:val="center"/>
              <w:rPr>
                <w:rFonts w:cs="Arial"/>
                <w:lang w:eastAsia="da-DK"/>
              </w:rPr>
            </w:pPr>
            <w:r w:rsidRPr="001E3185">
              <w:rPr>
                <w:rFonts w:cs="Arial"/>
              </w:rPr>
              <w:t>8.6*10</w:t>
            </w:r>
            <w:r w:rsidRPr="001E3185">
              <w:rPr>
                <w:rFonts w:cs="Arial"/>
                <w:vertAlign w:val="superscript"/>
              </w:rPr>
              <w:t>-7</w:t>
            </w:r>
          </w:p>
        </w:tc>
        <w:tc>
          <w:tcPr>
            <w:tcW w:w="1559" w:type="dxa"/>
            <w:shd w:val="clear" w:color="auto" w:fill="FFFFFF" w:themeFill="background1"/>
            <w:noWrap/>
            <w:vAlign w:val="center"/>
          </w:tcPr>
          <w:p w14:paraId="7402CD77" w14:textId="77777777" w:rsidR="00692E71" w:rsidRPr="001E3185" w:rsidRDefault="00692E71" w:rsidP="008E0250">
            <w:pPr>
              <w:keepNext/>
              <w:keepLines/>
              <w:jc w:val="center"/>
              <w:rPr>
                <w:rFonts w:cs="Arial"/>
              </w:rPr>
            </w:pPr>
            <w:r w:rsidRPr="001E3185">
              <w:rPr>
                <w:rFonts w:cs="Arial"/>
              </w:rPr>
              <w:t>0.03</w:t>
            </w:r>
          </w:p>
        </w:tc>
        <w:tc>
          <w:tcPr>
            <w:tcW w:w="1560" w:type="dxa"/>
            <w:shd w:val="clear" w:color="auto" w:fill="FFFFFF" w:themeFill="background1"/>
            <w:noWrap/>
            <w:vAlign w:val="center"/>
          </w:tcPr>
          <w:p w14:paraId="2A9141D9" w14:textId="77777777" w:rsidR="00692E71" w:rsidRPr="001E3185" w:rsidRDefault="00692E71" w:rsidP="008E0250">
            <w:pPr>
              <w:keepNext/>
              <w:keepLines/>
              <w:jc w:val="center"/>
              <w:rPr>
                <w:rFonts w:cs="Arial"/>
              </w:rPr>
            </w:pPr>
            <w:r w:rsidRPr="001E3185">
              <w:rPr>
                <w:rFonts w:cs="Arial"/>
              </w:rPr>
              <w:t>0.01</w:t>
            </w:r>
          </w:p>
        </w:tc>
        <w:tc>
          <w:tcPr>
            <w:tcW w:w="1559" w:type="dxa"/>
            <w:shd w:val="clear" w:color="auto" w:fill="FFFFFF" w:themeFill="background1"/>
            <w:vAlign w:val="center"/>
          </w:tcPr>
          <w:p w14:paraId="2197DFCD" w14:textId="77777777" w:rsidR="00692E71" w:rsidRPr="001E3185" w:rsidRDefault="00692E71" w:rsidP="008E0250">
            <w:pPr>
              <w:keepNext/>
              <w:keepLines/>
              <w:jc w:val="center"/>
              <w:rPr>
                <w:rFonts w:cs="Arial"/>
              </w:rPr>
            </w:pPr>
            <w:r w:rsidRPr="001E3185">
              <w:rPr>
                <w:rFonts w:cs="Arial"/>
              </w:rPr>
              <w:t>1.5*10</w:t>
            </w:r>
            <w:r w:rsidRPr="001E3185">
              <w:rPr>
                <w:rFonts w:cs="Arial"/>
                <w:vertAlign w:val="superscript"/>
              </w:rPr>
              <w:t>-4</w:t>
            </w:r>
          </w:p>
        </w:tc>
      </w:tr>
      <w:tr w:rsidR="00692E71" w:rsidRPr="001E3185" w14:paraId="6EA2FA87" w14:textId="77777777" w:rsidTr="008E0250">
        <w:trPr>
          <w:cantSplit/>
          <w:trHeight w:val="20"/>
        </w:trPr>
        <w:tc>
          <w:tcPr>
            <w:tcW w:w="9851" w:type="dxa"/>
            <w:gridSpan w:val="5"/>
            <w:shd w:val="clear" w:color="auto" w:fill="FFFFFF" w:themeFill="background1"/>
            <w:noWrap/>
            <w:vAlign w:val="bottom"/>
          </w:tcPr>
          <w:p w14:paraId="4DF94398" w14:textId="77777777" w:rsidR="00692E71" w:rsidRPr="001E3185" w:rsidRDefault="00692E71" w:rsidP="008E0250">
            <w:pPr>
              <w:keepNext/>
              <w:keepLines/>
              <w:jc w:val="center"/>
              <w:rPr>
                <w:rFonts w:cs="Arial"/>
              </w:rPr>
            </w:pPr>
          </w:p>
        </w:tc>
      </w:tr>
      <w:tr w:rsidR="00692E71" w:rsidRPr="001E3185" w14:paraId="1A310A1F" w14:textId="77777777" w:rsidTr="008E0250">
        <w:trPr>
          <w:cantSplit/>
          <w:trHeight w:val="20"/>
        </w:trPr>
        <w:tc>
          <w:tcPr>
            <w:tcW w:w="9851" w:type="dxa"/>
            <w:gridSpan w:val="5"/>
            <w:shd w:val="clear" w:color="auto" w:fill="FFFFFF" w:themeFill="background1"/>
            <w:noWrap/>
            <w:vAlign w:val="center"/>
          </w:tcPr>
          <w:p w14:paraId="7D7204DA" w14:textId="77777777" w:rsidR="00692E71" w:rsidRPr="001E3185" w:rsidRDefault="00692E71" w:rsidP="008E0250">
            <w:pPr>
              <w:rPr>
                <w:rFonts w:cs="Arial"/>
              </w:rPr>
            </w:pPr>
            <w:r w:rsidRPr="001E3185">
              <w:rPr>
                <w:rFonts w:cs="Arial"/>
                <w:b/>
                <w:lang w:eastAsia="da-DK"/>
              </w:rPr>
              <w:t>House (spraying, Tier 2, soil)</w:t>
            </w:r>
          </w:p>
        </w:tc>
      </w:tr>
      <w:tr w:rsidR="00692E71" w:rsidRPr="001E3185" w14:paraId="7981103E" w14:textId="77777777" w:rsidTr="008E0250">
        <w:trPr>
          <w:cantSplit/>
          <w:trHeight w:val="20"/>
        </w:trPr>
        <w:tc>
          <w:tcPr>
            <w:tcW w:w="4181" w:type="dxa"/>
            <w:shd w:val="clear" w:color="auto" w:fill="FFFFFF" w:themeFill="background1"/>
            <w:noWrap/>
            <w:vAlign w:val="bottom"/>
          </w:tcPr>
          <w:p w14:paraId="665E0287"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3F93E8E2" w14:textId="77777777" w:rsidR="00692E71" w:rsidRPr="001E3185" w:rsidRDefault="00692E71" w:rsidP="008E0250">
            <w:pPr>
              <w:jc w:val="center"/>
              <w:rPr>
                <w:rFonts w:cs="Arial"/>
                <w:lang w:eastAsia="da-DK"/>
              </w:rPr>
            </w:pPr>
            <w:r w:rsidRPr="001E3185">
              <w:rPr>
                <w:rFonts w:cs="Arial"/>
              </w:rPr>
              <w:t>0.04</w:t>
            </w:r>
          </w:p>
        </w:tc>
        <w:tc>
          <w:tcPr>
            <w:tcW w:w="1559" w:type="dxa"/>
            <w:shd w:val="clear" w:color="auto" w:fill="FFFFFF" w:themeFill="background1"/>
            <w:noWrap/>
            <w:vAlign w:val="center"/>
          </w:tcPr>
          <w:p w14:paraId="2859F8E6" w14:textId="77777777" w:rsidR="00692E71" w:rsidRPr="001E3185" w:rsidRDefault="00692E71" w:rsidP="008E0250">
            <w:pPr>
              <w:jc w:val="center"/>
              <w:rPr>
                <w:rFonts w:cs="Arial"/>
              </w:rPr>
            </w:pPr>
            <w:r w:rsidRPr="001E3185">
              <w:rPr>
                <w:rFonts w:cs="Arial"/>
              </w:rPr>
              <w:t>0.16</w:t>
            </w:r>
          </w:p>
        </w:tc>
        <w:tc>
          <w:tcPr>
            <w:tcW w:w="1560" w:type="dxa"/>
            <w:shd w:val="clear" w:color="auto" w:fill="FFFFFF" w:themeFill="background1"/>
            <w:noWrap/>
            <w:vAlign w:val="center"/>
          </w:tcPr>
          <w:p w14:paraId="1EAE5E62" w14:textId="77777777" w:rsidR="00692E71" w:rsidRPr="001E3185" w:rsidRDefault="00692E71" w:rsidP="008E0250">
            <w:pPr>
              <w:jc w:val="center"/>
              <w:rPr>
                <w:rFonts w:cs="Arial"/>
              </w:rPr>
            </w:pPr>
            <w:r w:rsidRPr="001E3185">
              <w:rPr>
                <w:rFonts w:cs="Arial"/>
              </w:rPr>
              <w:t>0.07</w:t>
            </w:r>
          </w:p>
        </w:tc>
        <w:tc>
          <w:tcPr>
            <w:tcW w:w="1559" w:type="dxa"/>
            <w:shd w:val="clear" w:color="auto" w:fill="FFFFFF" w:themeFill="background1"/>
            <w:vAlign w:val="center"/>
          </w:tcPr>
          <w:p w14:paraId="22678C60" w14:textId="77777777" w:rsidR="00692E71" w:rsidRPr="001E3185" w:rsidRDefault="00692E71" w:rsidP="008E0250">
            <w:pPr>
              <w:jc w:val="center"/>
              <w:rPr>
                <w:rFonts w:cs="Arial"/>
              </w:rPr>
            </w:pPr>
            <w:r w:rsidRPr="001E3185">
              <w:rPr>
                <w:rFonts w:cs="Arial"/>
              </w:rPr>
              <w:t>0.02</w:t>
            </w:r>
          </w:p>
        </w:tc>
      </w:tr>
      <w:tr w:rsidR="00692E71" w:rsidRPr="001E3185" w14:paraId="4B0E2808" w14:textId="77777777" w:rsidTr="008E0250">
        <w:trPr>
          <w:trHeight w:val="20"/>
        </w:trPr>
        <w:tc>
          <w:tcPr>
            <w:tcW w:w="4181" w:type="dxa"/>
            <w:shd w:val="clear" w:color="auto" w:fill="FFFFFF" w:themeFill="background1"/>
            <w:noWrap/>
            <w:vAlign w:val="bottom"/>
          </w:tcPr>
          <w:p w14:paraId="675924C4"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61E451FC" w14:textId="77777777" w:rsidR="00692E71" w:rsidRPr="001E3185" w:rsidRDefault="00692E71" w:rsidP="008E0250">
            <w:pPr>
              <w:jc w:val="center"/>
              <w:rPr>
                <w:rFonts w:cs="Arial"/>
              </w:rPr>
            </w:pPr>
            <w:r w:rsidRPr="001E3185">
              <w:rPr>
                <w:rFonts w:cs="Arial"/>
              </w:rPr>
              <w:t>0.10</w:t>
            </w:r>
          </w:p>
        </w:tc>
        <w:tc>
          <w:tcPr>
            <w:tcW w:w="1559" w:type="dxa"/>
            <w:shd w:val="clear" w:color="auto" w:fill="FFFFFF" w:themeFill="background1"/>
            <w:noWrap/>
            <w:vAlign w:val="center"/>
          </w:tcPr>
          <w:p w14:paraId="0F2A2823" w14:textId="77777777" w:rsidR="00692E71" w:rsidRPr="001E3185" w:rsidRDefault="00692E71" w:rsidP="008E0250">
            <w:pPr>
              <w:jc w:val="center"/>
              <w:rPr>
                <w:rFonts w:cs="Arial"/>
              </w:rPr>
            </w:pPr>
            <w:r w:rsidRPr="001E3185">
              <w:rPr>
                <w:rFonts w:cs="Arial"/>
              </w:rPr>
              <w:t>0.47</w:t>
            </w:r>
          </w:p>
        </w:tc>
        <w:tc>
          <w:tcPr>
            <w:tcW w:w="1560" w:type="dxa"/>
            <w:shd w:val="clear" w:color="auto" w:fill="FFFFFF" w:themeFill="background1"/>
            <w:noWrap/>
            <w:vAlign w:val="center"/>
          </w:tcPr>
          <w:p w14:paraId="5F52764B" w14:textId="77777777" w:rsidR="00692E71" w:rsidRPr="001E3185" w:rsidRDefault="00692E71" w:rsidP="008E0250">
            <w:pPr>
              <w:jc w:val="center"/>
              <w:rPr>
                <w:rFonts w:cs="Arial"/>
              </w:rPr>
            </w:pPr>
            <w:r w:rsidRPr="001E3185">
              <w:rPr>
                <w:rFonts w:cs="Arial"/>
              </w:rPr>
              <w:t>0.18</w:t>
            </w:r>
          </w:p>
        </w:tc>
        <w:tc>
          <w:tcPr>
            <w:tcW w:w="1559" w:type="dxa"/>
            <w:shd w:val="clear" w:color="auto" w:fill="FFFFFF" w:themeFill="background1"/>
            <w:vAlign w:val="center"/>
          </w:tcPr>
          <w:p w14:paraId="79910232" w14:textId="77777777" w:rsidR="00692E71" w:rsidRPr="001E3185" w:rsidRDefault="00692E71" w:rsidP="008E0250">
            <w:pPr>
              <w:jc w:val="center"/>
              <w:rPr>
                <w:rFonts w:cs="Arial"/>
              </w:rPr>
            </w:pPr>
            <w:r w:rsidRPr="001E3185">
              <w:rPr>
                <w:rFonts w:cs="Arial"/>
              </w:rPr>
              <w:t>0.03</w:t>
            </w:r>
          </w:p>
        </w:tc>
      </w:tr>
      <w:tr w:rsidR="00692E71" w:rsidRPr="001E3185" w14:paraId="37938AA9" w14:textId="77777777" w:rsidTr="008E0250">
        <w:trPr>
          <w:trHeight w:val="20"/>
        </w:trPr>
        <w:tc>
          <w:tcPr>
            <w:tcW w:w="4181" w:type="dxa"/>
            <w:shd w:val="clear" w:color="auto" w:fill="FFFFFF" w:themeFill="background1"/>
            <w:noWrap/>
            <w:vAlign w:val="bottom"/>
          </w:tcPr>
          <w:p w14:paraId="79229C16"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3FCAE863" w14:textId="77777777" w:rsidR="00692E71" w:rsidRPr="001E3185" w:rsidRDefault="00692E71" w:rsidP="008E0250">
            <w:pPr>
              <w:jc w:val="center"/>
              <w:rPr>
                <w:rFonts w:cs="Arial"/>
                <w:lang w:eastAsia="da-DK"/>
              </w:rPr>
            </w:pPr>
            <w:r w:rsidRPr="001E3185">
              <w:rPr>
                <w:rFonts w:cs="Arial"/>
              </w:rPr>
              <w:t>2.8*10</w:t>
            </w:r>
            <w:r w:rsidRPr="001E3185">
              <w:rPr>
                <w:rFonts w:cs="Arial"/>
                <w:vertAlign w:val="superscript"/>
              </w:rPr>
              <w:t>-5</w:t>
            </w:r>
          </w:p>
        </w:tc>
        <w:tc>
          <w:tcPr>
            <w:tcW w:w="1559" w:type="dxa"/>
            <w:shd w:val="clear" w:color="auto" w:fill="FFFFFF" w:themeFill="background1"/>
            <w:noWrap/>
            <w:vAlign w:val="center"/>
          </w:tcPr>
          <w:p w14:paraId="6641E31F" w14:textId="77777777" w:rsidR="00692E71" w:rsidRPr="001E3185" w:rsidRDefault="00692E71" w:rsidP="008E0250">
            <w:pPr>
              <w:jc w:val="center"/>
              <w:rPr>
                <w:rFonts w:cs="Arial"/>
              </w:rPr>
            </w:pPr>
            <w:r w:rsidRPr="001E3185">
              <w:rPr>
                <w:rFonts w:cs="Arial"/>
              </w:rPr>
              <w:t>0.15</w:t>
            </w:r>
          </w:p>
        </w:tc>
        <w:tc>
          <w:tcPr>
            <w:tcW w:w="1560" w:type="dxa"/>
            <w:shd w:val="clear" w:color="auto" w:fill="FFFFFF" w:themeFill="background1"/>
            <w:noWrap/>
            <w:vAlign w:val="center"/>
          </w:tcPr>
          <w:p w14:paraId="08B30F35" w14:textId="77777777" w:rsidR="00692E71" w:rsidRPr="001E3185" w:rsidRDefault="00692E71" w:rsidP="008E0250">
            <w:pPr>
              <w:jc w:val="center"/>
              <w:rPr>
                <w:rFonts w:cs="Arial"/>
              </w:rPr>
            </w:pPr>
            <w:r w:rsidRPr="001E3185">
              <w:rPr>
                <w:rFonts w:cs="Arial"/>
              </w:rPr>
              <w:t>0.06</w:t>
            </w:r>
          </w:p>
        </w:tc>
        <w:tc>
          <w:tcPr>
            <w:tcW w:w="1559" w:type="dxa"/>
            <w:shd w:val="clear" w:color="auto" w:fill="FFFFFF" w:themeFill="background1"/>
            <w:vAlign w:val="center"/>
          </w:tcPr>
          <w:p w14:paraId="585B09CB" w14:textId="77777777" w:rsidR="00692E71" w:rsidRPr="001E3185" w:rsidRDefault="00692E71" w:rsidP="008E0250">
            <w:pPr>
              <w:jc w:val="center"/>
              <w:rPr>
                <w:rFonts w:cs="Arial"/>
              </w:rPr>
            </w:pPr>
            <w:r w:rsidRPr="001E3185">
              <w:rPr>
                <w:rFonts w:cs="Arial"/>
              </w:rPr>
              <w:t>0.01</w:t>
            </w:r>
          </w:p>
        </w:tc>
      </w:tr>
      <w:tr w:rsidR="00692E71" w:rsidRPr="001E3185" w14:paraId="7CD8310C" w14:textId="77777777" w:rsidTr="008E0250">
        <w:trPr>
          <w:trHeight w:val="20"/>
        </w:trPr>
        <w:tc>
          <w:tcPr>
            <w:tcW w:w="4181" w:type="dxa"/>
            <w:shd w:val="clear" w:color="auto" w:fill="FFFFFF" w:themeFill="background1"/>
            <w:noWrap/>
            <w:vAlign w:val="bottom"/>
          </w:tcPr>
          <w:p w14:paraId="323B4E09"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282D848A" w14:textId="77777777" w:rsidR="00692E71" w:rsidRPr="001E3185" w:rsidRDefault="00692E71" w:rsidP="008E0250">
            <w:pPr>
              <w:jc w:val="center"/>
              <w:rPr>
                <w:rFonts w:cs="Arial"/>
                <w:lang w:eastAsia="da-DK"/>
              </w:rPr>
            </w:pPr>
            <w:r w:rsidRPr="001E3185">
              <w:rPr>
                <w:rFonts w:cs="Arial"/>
              </w:rPr>
              <w:t>8.6*10</w:t>
            </w:r>
            <w:r w:rsidRPr="001E3185">
              <w:rPr>
                <w:rFonts w:cs="Arial"/>
                <w:vertAlign w:val="superscript"/>
              </w:rPr>
              <w:t>-7</w:t>
            </w:r>
          </w:p>
        </w:tc>
        <w:tc>
          <w:tcPr>
            <w:tcW w:w="1559" w:type="dxa"/>
            <w:shd w:val="clear" w:color="auto" w:fill="FFFFFF" w:themeFill="background1"/>
            <w:noWrap/>
            <w:vAlign w:val="center"/>
          </w:tcPr>
          <w:p w14:paraId="754270BB" w14:textId="77777777" w:rsidR="00692E71" w:rsidRPr="001E3185" w:rsidRDefault="00692E71" w:rsidP="008E0250">
            <w:pPr>
              <w:jc w:val="center"/>
              <w:rPr>
                <w:rFonts w:cs="Arial"/>
              </w:rPr>
            </w:pPr>
            <w:r w:rsidRPr="001E3185">
              <w:rPr>
                <w:rFonts w:cs="Arial"/>
              </w:rPr>
              <w:t>0.03</w:t>
            </w:r>
          </w:p>
        </w:tc>
        <w:tc>
          <w:tcPr>
            <w:tcW w:w="1560" w:type="dxa"/>
            <w:shd w:val="clear" w:color="auto" w:fill="FFFFFF" w:themeFill="background1"/>
            <w:noWrap/>
            <w:vAlign w:val="center"/>
          </w:tcPr>
          <w:p w14:paraId="10EBA488" w14:textId="77777777" w:rsidR="00692E71" w:rsidRPr="001E3185" w:rsidRDefault="00692E71" w:rsidP="008E0250">
            <w:pPr>
              <w:jc w:val="center"/>
              <w:rPr>
                <w:rFonts w:cs="Arial"/>
              </w:rPr>
            </w:pPr>
            <w:r w:rsidRPr="001E3185">
              <w:rPr>
                <w:rFonts w:cs="Arial"/>
              </w:rPr>
              <w:t>0.01</w:t>
            </w:r>
          </w:p>
        </w:tc>
        <w:tc>
          <w:tcPr>
            <w:tcW w:w="1559" w:type="dxa"/>
            <w:shd w:val="clear" w:color="auto" w:fill="FFFFFF" w:themeFill="background1"/>
            <w:vAlign w:val="center"/>
          </w:tcPr>
          <w:p w14:paraId="3B13ACC7" w14:textId="77777777" w:rsidR="00692E71" w:rsidRPr="001E3185" w:rsidRDefault="00692E71" w:rsidP="008E0250">
            <w:pPr>
              <w:jc w:val="center"/>
              <w:rPr>
                <w:rFonts w:cs="Arial"/>
              </w:rPr>
            </w:pPr>
            <w:r w:rsidRPr="001E3185">
              <w:rPr>
                <w:rFonts w:cs="Arial"/>
              </w:rPr>
              <w:t>1.5*10</w:t>
            </w:r>
            <w:r w:rsidRPr="001E3185">
              <w:rPr>
                <w:rFonts w:cs="Arial"/>
                <w:vertAlign w:val="superscript"/>
              </w:rPr>
              <w:t>-4</w:t>
            </w:r>
          </w:p>
        </w:tc>
      </w:tr>
    </w:tbl>
    <w:p w14:paraId="0CDE82A3" w14:textId="77777777" w:rsidR="00692E71" w:rsidRPr="001E3185" w:rsidRDefault="00692E71" w:rsidP="00692E71">
      <w:pPr>
        <w:pStyle w:val="En-tte"/>
        <w:rPr>
          <w:rFonts w:ascii="Verdana" w:hAnsi="Verdana" w:cs="Arial"/>
          <w:b/>
        </w:rPr>
      </w:pPr>
    </w:p>
    <w:p w14:paraId="4F4662A2" w14:textId="77777777" w:rsidR="00692E71" w:rsidRPr="001E3185" w:rsidRDefault="00692E71" w:rsidP="00692E71">
      <w:pPr>
        <w:pStyle w:val="En-tte"/>
        <w:rPr>
          <w:rFonts w:ascii="Verdana" w:hAnsi="Verdana" w:cs="Arial"/>
          <w:b/>
        </w:rPr>
      </w:pPr>
    </w:p>
    <w:p w14:paraId="5A42BC43"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41</w:t>
      </w:r>
      <w:r w:rsidRPr="001E3185">
        <w:rPr>
          <w:rFonts w:ascii="Verdana" w:hAnsi="Verdana"/>
        </w:rPr>
        <w:fldChar w:fldCharType="end"/>
      </w:r>
      <w:r w:rsidRPr="001E3185">
        <w:rPr>
          <w:rFonts w:ascii="Verdana" w:hAnsi="Verdana"/>
        </w:rPr>
        <w:t xml:space="preserve">: PEC in pore water, industrial dipping, </w:t>
      </w:r>
      <w:proofErr w:type="gramStart"/>
      <w:r w:rsidRPr="001E3185">
        <w:rPr>
          <w:rFonts w:ascii="Verdana" w:hAnsi="Verdana"/>
        </w:rPr>
        <w:t>in</w:t>
      </w:r>
      <w:proofErr w:type="gramEnd"/>
      <w:r w:rsidRPr="001E3185">
        <w:rPr>
          <w:rFonts w:ascii="Verdana" w:hAnsi="Verdana"/>
        </w:rPr>
        <w:t>-sevice.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559"/>
        <w:gridCol w:w="1560"/>
        <w:gridCol w:w="1559"/>
      </w:tblGrid>
      <w:tr w:rsidR="00692E71" w:rsidRPr="001E3185" w14:paraId="56AFD6D9" w14:textId="77777777" w:rsidTr="008E0250">
        <w:trPr>
          <w:trHeight w:val="20"/>
          <w:tblHeader/>
        </w:trPr>
        <w:tc>
          <w:tcPr>
            <w:tcW w:w="3681" w:type="dxa"/>
            <w:shd w:val="clear" w:color="auto" w:fill="FFFFFF" w:themeFill="background1"/>
            <w:noWrap/>
            <w:vAlign w:val="bottom"/>
          </w:tcPr>
          <w:p w14:paraId="4D3D4742"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42E37E8D"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2C7ABD51" w14:textId="77777777" w:rsidR="00692E71" w:rsidRPr="001E3185" w:rsidRDefault="00692E71" w:rsidP="008E0250">
            <w:pPr>
              <w:jc w:val="center"/>
              <w:rPr>
                <w:rFonts w:cs="Arial"/>
                <w:b/>
                <w:lang w:eastAsia="da-DK"/>
              </w:rPr>
            </w:pPr>
            <w:r w:rsidRPr="001E3185">
              <w:rPr>
                <w:rFonts w:cs="Arial"/>
                <w:b/>
                <w:lang w:eastAsia="da-DK"/>
              </w:rPr>
              <w:t>Propiconazole</w:t>
            </w:r>
          </w:p>
        </w:tc>
        <w:tc>
          <w:tcPr>
            <w:tcW w:w="1560" w:type="dxa"/>
            <w:shd w:val="clear" w:color="auto" w:fill="FFFFFF" w:themeFill="background1"/>
            <w:noWrap/>
            <w:vAlign w:val="center"/>
          </w:tcPr>
          <w:p w14:paraId="7BBD9AF3"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33EE43E7"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43F5C963" w14:textId="77777777" w:rsidTr="008E0250">
        <w:trPr>
          <w:trHeight w:val="20"/>
        </w:trPr>
        <w:tc>
          <w:tcPr>
            <w:tcW w:w="9351" w:type="dxa"/>
            <w:gridSpan w:val="5"/>
            <w:shd w:val="clear" w:color="auto" w:fill="FFFFFF" w:themeFill="background1"/>
            <w:noWrap/>
            <w:vAlign w:val="center"/>
          </w:tcPr>
          <w:p w14:paraId="32D22C2F" w14:textId="77777777" w:rsidR="00692E71" w:rsidRPr="001E3185" w:rsidRDefault="00692E71" w:rsidP="008E0250">
            <w:pPr>
              <w:rPr>
                <w:rFonts w:cs="Arial"/>
                <w:lang w:eastAsia="da-DK"/>
              </w:rPr>
            </w:pPr>
            <w:r w:rsidRPr="001E3185">
              <w:rPr>
                <w:rFonts w:cs="Arial"/>
                <w:b/>
                <w:lang w:eastAsia="da-DK"/>
              </w:rPr>
              <w:t>House (pore water)</w:t>
            </w:r>
          </w:p>
        </w:tc>
      </w:tr>
      <w:tr w:rsidR="00692E71" w:rsidRPr="001E3185" w14:paraId="6FB26E98" w14:textId="77777777" w:rsidTr="008E0250">
        <w:trPr>
          <w:trHeight w:val="20"/>
        </w:trPr>
        <w:tc>
          <w:tcPr>
            <w:tcW w:w="3681" w:type="dxa"/>
            <w:shd w:val="clear" w:color="auto" w:fill="FFFFFF" w:themeFill="background1"/>
            <w:noWrap/>
            <w:vAlign w:val="center"/>
          </w:tcPr>
          <w:p w14:paraId="473BAB4A"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572704EE"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0EF51081" w14:textId="77777777" w:rsidR="00692E71" w:rsidRPr="001E3185" w:rsidRDefault="00692E71" w:rsidP="008E0250">
            <w:pPr>
              <w:jc w:val="center"/>
              <w:rPr>
                <w:rFonts w:cs="Arial"/>
                <w:lang w:eastAsia="da-DK"/>
              </w:rPr>
            </w:pPr>
            <w:r w:rsidRPr="001E3185">
              <w:rPr>
                <w:rFonts w:cs="Arial"/>
              </w:rPr>
              <w:t>6.35</w:t>
            </w:r>
          </w:p>
        </w:tc>
        <w:tc>
          <w:tcPr>
            <w:tcW w:w="1560" w:type="dxa"/>
            <w:shd w:val="clear" w:color="auto" w:fill="FFFFFF" w:themeFill="background1"/>
            <w:noWrap/>
            <w:vAlign w:val="center"/>
          </w:tcPr>
          <w:p w14:paraId="6A86E9DF" w14:textId="77777777" w:rsidR="00692E71" w:rsidRPr="001E3185" w:rsidRDefault="00692E71" w:rsidP="008E0250">
            <w:pPr>
              <w:jc w:val="center"/>
              <w:rPr>
                <w:rFonts w:cs="Arial"/>
                <w:lang w:eastAsia="da-DK"/>
              </w:rPr>
            </w:pPr>
            <w:r w:rsidRPr="001E3185">
              <w:rPr>
                <w:rFonts w:cs="Arial"/>
              </w:rPr>
              <w:t>2.51</w:t>
            </w:r>
          </w:p>
        </w:tc>
        <w:tc>
          <w:tcPr>
            <w:tcW w:w="1559" w:type="dxa"/>
            <w:shd w:val="clear" w:color="auto" w:fill="FFFFFF" w:themeFill="background1"/>
            <w:vAlign w:val="center"/>
          </w:tcPr>
          <w:p w14:paraId="54C6F504" w14:textId="77777777" w:rsidR="00692E71" w:rsidRPr="001E3185" w:rsidRDefault="00692E71" w:rsidP="008E0250">
            <w:pPr>
              <w:jc w:val="center"/>
              <w:rPr>
                <w:rFonts w:cs="Arial"/>
                <w:lang w:eastAsia="da-DK"/>
              </w:rPr>
            </w:pPr>
            <w:r w:rsidRPr="001E3185">
              <w:rPr>
                <w:rFonts w:cs="Arial"/>
              </w:rPr>
              <w:t>1.8*10</w:t>
            </w:r>
            <w:r w:rsidRPr="001E3185">
              <w:rPr>
                <w:rFonts w:cs="Arial"/>
                <w:vertAlign w:val="superscript"/>
              </w:rPr>
              <w:t>-5</w:t>
            </w:r>
          </w:p>
        </w:tc>
      </w:tr>
      <w:tr w:rsidR="00692E71" w:rsidRPr="001E3185" w14:paraId="44CCF692" w14:textId="77777777" w:rsidTr="008E0250">
        <w:trPr>
          <w:trHeight w:val="20"/>
        </w:trPr>
        <w:tc>
          <w:tcPr>
            <w:tcW w:w="3681" w:type="dxa"/>
            <w:shd w:val="clear" w:color="auto" w:fill="FFFFFF" w:themeFill="background1"/>
            <w:noWrap/>
            <w:vAlign w:val="center"/>
          </w:tcPr>
          <w:p w14:paraId="2B49BCC0"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46DACB38" w14:textId="77777777" w:rsidR="00692E71" w:rsidRPr="001E3185" w:rsidRDefault="00692E71" w:rsidP="008E0250">
            <w:pPr>
              <w:jc w:val="center"/>
              <w:rPr>
                <w:rFonts w:cs="Arial"/>
                <w:lang w:eastAsia="da-DK"/>
              </w:rPr>
            </w:pPr>
            <w:r w:rsidRPr="001E3185">
              <w:rPr>
                <w:rFonts w:cs="Arial"/>
              </w:rPr>
              <w:t>3.7*10</w:t>
            </w:r>
            <w:r w:rsidRPr="001E3185">
              <w:rPr>
                <w:rFonts w:cs="Arial"/>
                <w:vertAlign w:val="superscript"/>
              </w:rPr>
              <w:t>-4</w:t>
            </w:r>
          </w:p>
        </w:tc>
        <w:tc>
          <w:tcPr>
            <w:tcW w:w="1559" w:type="dxa"/>
            <w:shd w:val="clear" w:color="auto" w:fill="FFFFFF" w:themeFill="background1"/>
            <w:noWrap/>
            <w:vAlign w:val="center"/>
          </w:tcPr>
          <w:p w14:paraId="52B30965" w14:textId="77777777" w:rsidR="00692E71" w:rsidRPr="001E3185" w:rsidRDefault="00692E71" w:rsidP="008E0250">
            <w:pPr>
              <w:jc w:val="center"/>
              <w:rPr>
                <w:rFonts w:cs="Arial"/>
                <w:lang w:eastAsia="da-DK"/>
              </w:rPr>
            </w:pPr>
            <w:r w:rsidRPr="001E3185">
              <w:rPr>
                <w:rFonts w:cs="Arial"/>
              </w:rPr>
              <w:t>1.87</w:t>
            </w:r>
          </w:p>
        </w:tc>
        <w:tc>
          <w:tcPr>
            <w:tcW w:w="1560" w:type="dxa"/>
            <w:shd w:val="clear" w:color="auto" w:fill="FFFFFF" w:themeFill="background1"/>
            <w:noWrap/>
            <w:vAlign w:val="center"/>
          </w:tcPr>
          <w:p w14:paraId="397C50AB" w14:textId="77777777" w:rsidR="00692E71" w:rsidRPr="001E3185" w:rsidRDefault="00692E71" w:rsidP="008E0250">
            <w:pPr>
              <w:jc w:val="center"/>
              <w:rPr>
                <w:rFonts w:cs="Arial"/>
                <w:lang w:eastAsia="da-DK"/>
              </w:rPr>
            </w:pPr>
            <w:r w:rsidRPr="001E3185">
              <w:rPr>
                <w:rFonts w:cs="Arial"/>
              </w:rPr>
              <w:t>0.39</w:t>
            </w:r>
          </w:p>
        </w:tc>
        <w:tc>
          <w:tcPr>
            <w:tcW w:w="1559" w:type="dxa"/>
            <w:shd w:val="clear" w:color="auto" w:fill="FFFFFF" w:themeFill="background1"/>
            <w:vAlign w:val="center"/>
          </w:tcPr>
          <w:p w14:paraId="712F75F4" w14:textId="77777777" w:rsidR="00692E71" w:rsidRPr="001E3185" w:rsidRDefault="00692E71" w:rsidP="008E0250">
            <w:pPr>
              <w:jc w:val="center"/>
              <w:rPr>
                <w:rFonts w:cs="Arial"/>
                <w:lang w:eastAsia="da-DK"/>
              </w:rPr>
            </w:pPr>
            <w:r w:rsidRPr="001E3185">
              <w:rPr>
                <w:rFonts w:cs="Arial"/>
              </w:rPr>
              <w:t>1.4*10</w:t>
            </w:r>
            <w:r w:rsidRPr="001E3185">
              <w:rPr>
                <w:rFonts w:cs="Arial"/>
                <w:vertAlign w:val="superscript"/>
              </w:rPr>
              <w:t>-5</w:t>
            </w:r>
          </w:p>
        </w:tc>
      </w:tr>
      <w:tr w:rsidR="00692E71" w:rsidRPr="001E3185" w14:paraId="7D105722" w14:textId="77777777" w:rsidTr="008E0250">
        <w:trPr>
          <w:trHeight w:val="20"/>
        </w:trPr>
        <w:tc>
          <w:tcPr>
            <w:tcW w:w="9351" w:type="dxa"/>
            <w:gridSpan w:val="5"/>
            <w:shd w:val="clear" w:color="auto" w:fill="FFFFFF" w:themeFill="background1"/>
            <w:noWrap/>
            <w:vAlign w:val="bottom"/>
          </w:tcPr>
          <w:p w14:paraId="061C0C4B" w14:textId="77777777" w:rsidR="00692E71" w:rsidRPr="001E3185" w:rsidRDefault="00692E71" w:rsidP="008E0250">
            <w:pPr>
              <w:jc w:val="center"/>
              <w:rPr>
                <w:rFonts w:cs="Arial"/>
              </w:rPr>
            </w:pPr>
          </w:p>
        </w:tc>
      </w:tr>
      <w:tr w:rsidR="00692E71" w:rsidRPr="001E3185" w14:paraId="4B87DE01" w14:textId="77777777" w:rsidTr="008E0250">
        <w:trPr>
          <w:trHeight w:val="20"/>
        </w:trPr>
        <w:tc>
          <w:tcPr>
            <w:tcW w:w="9351" w:type="dxa"/>
            <w:gridSpan w:val="5"/>
            <w:shd w:val="clear" w:color="auto" w:fill="FFFFFF" w:themeFill="background1"/>
            <w:noWrap/>
            <w:vAlign w:val="center"/>
          </w:tcPr>
          <w:p w14:paraId="76EBB4E6" w14:textId="77777777" w:rsidR="00692E71" w:rsidRPr="001E3185" w:rsidRDefault="00692E71" w:rsidP="008E0250">
            <w:pPr>
              <w:rPr>
                <w:rFonts w:cs="Arial"/>
                <w:lang w:eastAsia="da-DK"/>
              </w:rPr>
            </w:pPr>
            <w:r w:rsidRPr="001E3185">
              <w:rPr>
                <w:rFonts w:cs="Arial"/>
                <w:b/>
                <w:lang w:eastAsia="da-DK"/>
              </w:rPr>
              <w:t>Fence (pore water)</w:t>
            </w:r>
          </w:p>
        </w:tc>
      </w:tr>
      <w:tr w:rsidR="00692E71" w:rsidRPr="001E3185" w14:paraId="6749A578" w14:textId="77777777" w:rsidTr="008E0250">
        <w:trPr>
          <w:trHeight w:val="20"/>
        </w:trPr>
        <w:tc>
          <w:tcPr>
            <w:tcW w:w="3681" w:type="dxa"/>
            <w:shd w:val="clear" w:color="auto" w:fill="FFFFFF" w:themeFill="background1"/>
            <w:noWrap/>
            <w:vAlign w:val="center"/>
          </w:tcPr>
          <w:p w14:paraId="365CAF58"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1CBF9ACA"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7DA1E65C" w14:textId="77777777" w:rsidR="00692E71" w:rsidRPr="001E3185" w:rsidRDefault="00692E71" w:rsidP="008E0250">
            <w:pPr>
              <w:jc w:val="center"/>
              <w:rPr>
                <w:rFonts w:cs="Arial"/>
                <w:lang w:eastAsia="da-DK"/>
              </w:rPr>
            </w:pPr>
            <w:r w:rsidRPr="001E3185">
              <w:rPr>
                <w:rFonts w:cs="Arial"/>
              </w:rPr>
              <w:t>5.28</w:t>
            </w:r>
          </w:p>
        </w:tc>
        <w:tc>
          <w:tcPr>
            <w:tcW w:w="1560" w:type="dxa"/>
            <w:shd w:val="clear" w:color="auto" w:fill="FFFFFF" w:themeFill="background1"/>
            <w:noWrap/>
            <w:vAlign w:val="center"/>
          </w:tcPr>
          <w:p w14:paraId="470F535A" w14:textId="77777777" w:rsidR="00692E71" w:rsidRPr="001E3185" w:rsidRDefault="00692E71" w:rsidP="008E0250">
            <w:pPr>
              <w:jc w:val="center"/>
              <w:rPr>
                <w:rFonts w:cs="Arial"/>
                <w:lang w:eastAsia="da-DK"/>
              </w:rPr>
            </w:pPr>
            <w:r w:rsidRPr="001E3185">
              <w:rPr>
                <w:rFonts w:cs="Arial"/>
              </w:rPr>
              <w:t>2.09</w:t>
            </w:r>
          </w:p>
        </w:tc>
        <w:tc>
          <w:tcPr>
            <w:tcW w:w="1559" w:type="dxa"/>
            <w:shd w:val="clear" w:color="auto" w:fill="FFFFFF" w:themeFill="background1"/>
            <w:vAlign w:val="center"/>
          </w:tcPr>
          <w:p w14:paraId="31FD8E52" w14:textId="77777777" w:rsidR="00692E71" w:rsidRPr="001E3185" w:rsidRDefault="00692E71" w:rsidP="008E0250">
            <w:pPr>
              <w:jc w:val="center"/>
              <w:rPr>
                <w:rFonts w:cs="Arial"/>
                <w:lang w:eastAsia="da-DK"/>
              </w:rPr>
            </w:pPr>
            <w:r w:rsidRPr="001E3185">
              <w:rPr>
                <w:rFonts w:cs="Arial"/>
              </w:rPr>
              <w:t>1.5*10</w:t>
            </w:r>
            <w:r w:rsidRPr="001E3185">
              <w:rPr>
                <w:rFonts w:cs="Arial"/>
                <w:vertAlign w:val="superscript"/>
              </w:rPr>
              <w:t>-5</w:t>
            </w:r>
          </w:p>
        </w:tc>
      </w:tr>
      <w:tr w:rsidR="00692E71" w:rsidRPr="001E3185" w14:paraId="10B00F6C" w14:textId="77777777" w:rsidTr="008E0250">
        <w:trPr>
          <w:trHeight w:val="20"/>
        </w:trPr>
        <w:tc>
          <w:tcPr>
            <w:tcW w:w="3681" w:type="dxa"/>
            <w:shd w:val="clear" w:color="auto" w:fill="FFFFFF" w:themeFill="background1"/>
            <w:noWrap/>
            <w:vAlign w:val="center"/>
          </w:tcPr>
          <w:p w14:paraId="0F5DE9F4"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20E4E4B3" w14:textId="77777777" w:rsidR="00692E71" w:rsidRPr="001E3185" w:rsidRDefault="00692E71" w:rsidP="008E0250">
            <w:pPr>
              <w:jc w:val="center"/>
              <w:rPr>
                <w:rFonts w:cs="Arial"/>
                <w:lang w:eastAsia="da-DK"/>
              </w:rPr>
            </w:pPr>
            <w:r w:rsidRPr="001E3185">
              <w:rPr>
                <w:rFonts w:cs="Arial"/>
              </w:rPr>
              <w:t>3.1*10</w:t>
            </w:r>
            <w:r w:rsidRPr="001E3185">
              <w:rPr>
                <w:rFonts w:cs="Arial"/>
                <w:vertAlign w:val="superscript"/>
              </w:rPr>
              <w:t>-4</w:t>
            </w:r>
          </w:p>
        </w:tc>
        <w:tc>
          <w:tcPr>
            <w:tcW w:w="1559" w:type="dxa"/>
            <w:shd w:val="clear" w:color="auto" w:fill="FFFFFF" w:themeFill="background1"/>
            <w:noWrap/>
            <w:vAlign w:val="center"/>
          </w:tcPr>
          <w:p w14:paraId="08265D34" w14:textId="77777777" w:rsidR="00692E71" w:rsidRPr="001E3185" w:rsidRDefault="00692E71" w:rsidP="008E0250">
            <w:pPr>
              <w:jc w:val="center"/>
              <w:rPr>
                <w:rFonts w:cs="Arial"/>
                <w:lang w:eastAsia="da-DK"/>
              </w:rPr>
            </w:pPr>
            <w:r w:rsidRPr="001E3185">
              <w:rPr>
                <w:rFonts w:cs="Arial"/>
              </w:rPr>
              <w:t>1.56</w:t>
            </w:r>
          </w:p>
        </w:tc>
        <w:tc>
          <w:tcPr>
            <w:tcW w:w="1560" w:type="dxa"/>
            <w:shd w:val="clear" w:color="auto" w:fill="FFFFFF" w:themeFill="background1"/>
            <w:noWrap/>
            <w:vAlign w:val="center"/>
          </w:tcPr>
          <w:p w14:paraId="42D253E1" w14:textId="77777777" w:rsidR="00692E71" w:rsidRPr="001E3185" w:rsidRDefault="00692E71" w:rsidP="008E0250">
            <w:pPr>
              <w:jc w:val="center"/>
              <w:rPr>
                <w:rFonts w:cs="Arial"/>
                <w:lang w:eastAsia="da-DK"/>
              </w:rPr>
            </w:pPr>
            <w:r w:rsidRPr="001E3185">
              <w:rPr>
                <w:rFonts w:cs="Arial"/>
              </w:rPr>
              <w:t>0.32</w:t>
            </w:r>
          </w:p>
        </w:tc>
        <w:tc>
          <w:tcPr>
            <w:tcW w:w="1559" w:type="dxa"/>
            <w:shd w:val="clear" w:color="auto" w:fill="FFFFFF" w:themeFill="background1"/>
            <w:vAlign w:val="center"/>
          </w:tcPr>
          <w:p w14:paraId="19E8BD3A" w14:textId="77777777" w:rsidR="00692E71" w:rsidRPr="001E3185" w:rsidRDefault="00692E71" w:rsidP="008E0250">
            <w:pPr>
              <w:jc w:val="center"/>
              <w:rPr>
                <w:rFonts w:cs="Arial"/>
                <w:lang w:eastAsia="da-DK"/>
              </w:rPr>
            </w:pPr>
            <w:r w:rsidRPr="001E3185">
              <w:rPr>
                <w:rFonts w:cs="Arial"/>
              </w:rPr>
              <w:t>1.2*10</w:t>
            </w:r>
            <w:r w:rsidRPr="001E3185">
              <w:rPr>
                <w:rFonts w:cs="Arial"/>
                <w:vertAlign w:val="superscript"/>
              </w:rPr>
              <w:t>-5</w:t>
            </w:r>
          </w:p>
        </w:tc>
      </w:tr>
      <w:tr w:rsidR="00692E71" w:rsidRPr="001E3185" w14:paraId="0663E311" w14:textId="77777777" w:rsidTr="008E0250">
        <w:trPr>
          <w:trHeight w:val="20"/>
        </w:trPr>
        <w:tc>
          <w:tcPr>
            <w:tcW w:w="9351" w:type="dxa"/>
            <w:gridSpan w:val="5"/>
            <w:shd w:val="clear" w:color="auto" w:fill="FFFFFF" w:themeFill="background1"/>
            <w:noWrap/>
            <w:vAlign w:val="bottom"/>
          </w:tcPr>
          <w:p w14:paraId="4D4C624C" w14:textId="77777777" w:rsidR="00692E71" w:rsidRPr="001E3185" w:rsidRDefault="00692E71" w:rsidP="008E0250">
            <w:pPr>
              <w:jc w:val="center"/>
              <w:rPr>
                <w:rFonts w:cs="Arial"/>
              </w:rPr>
            </w:pPr>
          </w:p>
        </w:tc>
      </w:tr>
      <w:tr w:rsidR="00692E71" w:rsidRPr="001E3185" w14:paraId="52B7BA38" w14:textId="77777777" w:rsidTr="008E0250">
        <w:trPr>
          <w:trHeight w:val="20"/>
        </w:trPr>
        <w:tc>
          <w:tcPr>
            <w:tcW w:w="9351" w:type="dxa"/>
            <w:gridSpan w:val="5"/>
            <w:shd w:val="clear" w:color="auto" w:fill="FFFFFF" w:themeFill="background1"/>
            <w:noWrap/>
            <w:vAlign w:val="center"/>
          </w:tcPr>
          <w:p w14:paraId="410AB467" w14:textId="77777777" w:rsidR="00692E71" w:rsidRPr="001E3185" w:rsidRDefault="00692E71" w:rsidP="008E0250">
            <w:pPr>
              <w:rPr>
                <w:rFonts w:cs="Arial"/>
                <w:lang w:eastAsia="da-DK"/>
              </w:rPr>
            </w:pPr>
            <w:r w:rsidRPr="001E3185">
              <w:rPr>
                <w:rFonts w:cs="Arial"/>
                <w:b/>
                <w:lang w:eastAsia="da-DK"/>
              </w:rPr>
              <w:t>Noise Barrier (pore water)</w:t>
            </w:r>
          </w:p>
        </w:tc>
      </w:tr>
      <w:tr w:rsidR="00692E71" w:rsidRPr="001E3185" w14:paraId="39B778B6" w14:textId="77777777" w:rsidTr="008E0250">
        <w:trPr>
          <w:trHeight w:val="20"/>
        </w:trPr>
        <w:tc>
          <w:tcPr>
            <w:tcW w:w="3681" w:type="dxa"/>
            <w:shd w:val="clear" w:color="auto" w:fill="FFFFFF" w:themeFill="background1"/>
            <w:noWrap/>
            <w:vAlign w:val="center"/>
          </w:tcPr>
          <w:p w14:paraId="6D6FD846"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76C8DEC7" w14:textId="77777777" w:rsidR="00692E71" w:rsidRPr="001E3185" w:rsidRDefault="00692E71" w:rsidP="008E0250">
            <w:pPr>
              <w:jc w:val="center"/>
              <w:rPr>
                <w:rFonts w:cs="Arial"/>
                <w:lang w:eastAsia="da-DK"/>
              </w:rPr>
            </w:pPr>
            <w:r w:rsidRPr="001E3185">
              <w:rPr>
                <w:rFonts w:cs="Arial"/>
              </w:rPr>
              <w:t>4.5*10</w:t>
            </w:r>
            <w:r w:rsidRPr="001E3185">
              <w:rPr>
                <w:rFonts w:cs="Arial"/>
                <w:vertAlign w:val="superscript"/>
              </w:rPr>
              <w:t>-3</w:t>
            </w:r>
          </w:p>
        </w:tc>
        <w:tc>
          <w:tcPr>
            <w:tcW w:w="1559" w:type="dxa"/>
            <w:shd w:val="clear" w:color="auto" w:fill="FFFFFF" w:themeFill="background1"/>
            <w:noWrap/>
            <w:vAlign w:val="center"/>
          </w:tcPr>
          <w:p w14:paraId="1317611F" w14:textId="77777777" w:rsidR="00692E71" w:rsidRPr="001E3185" w:rsidRDefault="00692E71" w:rsidP="008E0250">
            <w:pPr>
              <w:jc w:val="center"/>
              <w:rPr>
                <w:rFonts w:cs="Arial"/>
                <w:lang w:eastAsia="da-DK"/>
              </w:rPr>
            </w:pPr>
            <w:r w:rsidRPr="001E3185">
              <w:rPr>
                <w:rFonts w:cs="Arial"/>
              </w:rPr>
              <w:t>2.38</w:t>
            </w:r>
          </w:p>
        </w:tc>
        <w:tc>
          <w:tcPr>
            <w:tcW w:w="1560" w:type="dxa"/>
            <w:shd w:val="clear" w:color="auto" w:fill="FFFFFF" w:themeFill="background1"/>
            <w:noWrap/>
            <w:vAlign w:val="center"/>
          </w:tcPr>
          <w:p w14:paraId="02F59A3D" w14:textId="77777777" w:rsidR="00692E71" w:rsidRPr="001E3185" w:rsidRDefault="00692E71" w:rsidP="008E0250">
            <w:pPr>
              <w:jc w:val="center"/>
              <w:rPr>
                <w:rFonts w:cs="Arial"/>
                <w:lang w:eastAsia="da-DK"/>
              </w:rPr>
            </w:pPr>
            <w:r w:rsidRPr="001E3185">
              <w:rPr>
                <w:rFonts w:cs="Arial"/>
              </w:rPr>
              <w:t>0.94</w:t>
            </w:r>
          </w:p>
        </w:tc>
        <w:tc>
          <w:tcPr>
            <w:tcW w:w="1559" w:type="dxa"/>
            <w:shd w:val="clear" w:color="auto" w:fill="FFFFFF" w:themeFill="background1"/>
            <w:vAlign w:val="center"/>
          </w:tcPr>
          <w:p w14:paraId="232ABD93" w14:textId="77777777" w:rsidR="00692E71" w:rsidRPr="001E3185" w:rsidRDefault="00692E71" w:rsidP="008E0250">
            <w:pPr>
              <w:jc w:val="center"/>
              <w:rPr>
                <w:rFonts w:cs="Arial"/>
                <w:lang w:eastAsia="da-DK"/>
              </w:rPr>
            </w:pPr>
            <w:r w:rsidRPr="001E3185">
              <w:rPr>
                <w:rFonts w:cs="Arial"/>
              </w:rPr>
              <w:t>6.8*10</w:t>
            </w:r>
            <w:r w:rsidRPr="001E3185">
              <w:rPr>
                <w:rFonts w:cs="Arial"/>
                <w:vertAlign w:val="superscript"/>
              </w:rPr>
              <w:t>-6</w:t>
            </w:r>
          </w:p>
        </w:tc>
      </w:tr>
      <w:tr w:rsidR="00692E71" w:rsidRPr="001E3185" w14:paraId="7AF2806E" w14:textId="77777777" w:rsidTr="008E0250">
        <w:trPr>
          <w:trHeight w:val="20"/>
        </w:trPr>
        <w:tc>
          <w:tcPr>
            <w:tcW w:w="3681" w:type="dxa"/>
            <w:shd w:val="clear" w:color="auto" w:fill="FFFFFF" w:themeFill="background1"/>
            <w:noWrap/>
            <w:vAlign w:val="center"/>
          </w:tcPr>
          <w:p w14:paraId="4E9EB376"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39578B70" w14:textId="77777777" w:rsidR="00692E71" w:rsidRPr="001E3185" w:rsidRDefault="00692E71" w:rsidP="008E0250">
            <w:pPr>
              <w:jc w:val="center"/>
              <w:rPr>
                <w:rFonts w:cs="Arial"/>
                <w:lang w:eastAsia="da-DK"/>
              </w:rPr>
            </w:pPr>
            <w:r w:rsidRPr="001E3185">
              <w:rPr>
                <w:rFonts w:cs="Arial"/>
              </w:rPr>
              <w:t>1.4*10</w:t>
            </w:r>
            <w:r w:rsidRPr="001E3185">
              <w:rPr>
                <w:rFonts w:cs="Arial"/>
                <w:vertAlign w:val="superscript"/>
              </w:rPr>
              <w:t>-4</w:t>
            </w:r>
          </w:p>
        </w:tc>
        <w:tc>
          <w:tcPr>
            <w:tcW w:w="1559" w:type="dxa"/>
            <w:shd w:val="clear" w:color="auto" w:fill="FFFFFF" w:themeFill="background1"/>
            <w:noWrap/>
            <w:vAlign w:val="center"/>
          </w:tcPr>
          <w:p w14:paraId="6E8D0BCB" w14:textId="77777777" w:rsidR="00692E71" w:rsidRPr="001E3185" w:rsidRDefault="00692E71" w:rsidP="008E0250">
            <w:pPr>
              <w:jc w:val="center"/>
              <w:rPr>
                <w:rFonts w:cs="Arial"/>
                <w:lang w:eastAsia="da-DK"/>
              </w:rPr>
            </w:pPr>
            <w:r w:rsidRPr="001E3185">
              <w:rPr>
                <w:rFonts w:cs="Arial"/>
              </w:rPr>
              <w:t>0.70</w:t>
            </w:r>
          </w:p>
        </w:tc>
        <w:tc>
          <w:tcPr>
            <w:tcW w:w="1560" w:type="dxa"/>
            <w:shd w:val="clear" w:color="auto" w:fill="FFFFFF" w:themeFill="background1"/>
            <w:noWrap/>
            <w:vAlign w:val="center"/>
          </w:tcPr>
          <w:p w14:paraId="340A6F38" w14:textId="77777777" w:rsidR="00692E71" w:rsidRPr="001E3185" w:rsidRDefault="00692E71" w:rsidP="008E0250">
            <w:pPr>
              <w:jc w:val="center"/>
              <w:rPr>
                <w:rFonts w:cs="Arial"/>
                <w:lang w:eastAsia="da-DK"/>
              </w:rPr>
            </w:pPr>
            <w:r w:rsidRPr="001E3185">
              <w:rPr>
                <w:rFonts w:cs="Arial"/>
              </w:rPr>
              <w:t>0.14</w:t>
            </w:r>
          </w:p>
        </w:tc>
        <w:tc>
          <w:tcPr>
            <w:tcW w:w="1559" w:type="dxa"/>
            <w:shd w:val="clear" w:color="auto" w:fill="FFFFFF" w:themeFill="background1"/>
            <w:vAlign w:val="center"/>
          </w:tcPr>
          <w:p w14:paraId="0F599695" w14:textId="77777777" w:rsidR="00692E71" w:rsidRPr="001E3185" w:rsidRDefault="00692E71" w:rsidP="008E0250">
            <w:pPr>
              <w:jc w:val="center"/>
              <w:rPr>
                <w:rFonts w:cs="Arial"/>
                <w:lang w:eastAsia="da-DK"/>
              </w:rPr>
            </w:pPr>
            <w:r w:rsidRPr="001E3185">
              <w:rPr>
                <w:rFonts w:cs="Arial"/>
              </w:rPr>
              <w:t>5.4*10</w:t>
            </w:r>
            <w:r w:rsidRPr="001E3185">
              <w:rPr>
                <w:rFonts w:cs="Arial"/>
                <w:vertAlign w:val="superscript"/>
              </w:rPr>
              <w:t>-6</w:t>
            </w:r>
          </w:p>
        </w:tc>
      </w:tr>
    </w:tbl>
    <w:p w14:paraId="443605E7" w14:textId="77777777" w:rsidR="00692E71" w:rsidRPr="001E3185" w:rsidRDefault="00692E71" w:rsidP="00692E71">
      <w:pPr>
        <w:pStyle w:val="En-tte"/>
        <w:rPr>
          <w:rFonts w:ascii="Verdana" w:hAnsi="Verdana" w:cs="Arial"/>
          <w:b/>
        </w:rPr>
      </w:pPr>
    </w:p>
    <w:p w14:paraId="678D5831"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42</w:t>
      </w:r>
      <w:r w:rsidRPr="001E3185">
        <w:rPr>
          <w:rFonts w:ascii="Verdana" w:hAnsi="Verdana"/>
        </w:rPr>
        <w:fldChar w:fldCharType="end"/>
      </w:r>
      <w:r w:rsidRPr="001E3185">
        <w:rPr>
          <w:rFonts w:ascii="Verdana" w:hAnsi="Verdana"/>
        </w:rPr>
        <w:t xml:space="preserve">: PEC in pore water, brushing, </w:t>
      </w:r>
      <w:proofErr w:type="gramStart"/>
      <w:r w:rsidRPr="001E3185">
        <w:rPr>
          <w:rFonts w:ascii="Verdana" w:hAnsi="Verdana"/>
        </w:rPr>
        <w:t>professional</w:t>
      </w:r>
      <w:proofErr w:type="gramEnd"/>
      <w:r w:rsidRPr="001E3185">
        <w:rPr>
          <w:rFonts w:ascii="Verdana" w:hAnsi="Verdana"/>
        </w:rPr>
        <w:t xml:space="preserve"> application.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559"/>
        <w:gridCol w:w="1560"/>
        <w:gridCol w:w="1559"/>
      </w:tblGrid>
      <w:tr w:rsidR="00692E71" w:rsidRPr="001E3185" w14:paraId="033C42E3" w14:textId="77777777" w:rsidTr="008E0250">
        <w:trPr>
          <w:trHeight w:val="20"/>
          <w:tblHeader/>
        </w:trPr>
        <w:tc>
          <w:tcPr>
            <w:tcW w:w="3681" w:type="dxa"/>
            <w:shd w:val="clear" w:color="auto" w:fill="FFFFFF" w:themeFill="background1"/>
            <w:noWrap/>
            <w:vAlign w:val="bottom"/>
          </w:tcPr>
          <w:p w14:paraId="347D3182"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41E11CAC"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7415C128"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560" w:type="dxa"/>
            <w:shd w:val="clear" w:color="auto" w:fill="FFFFFF" w:themeFill="background1"/>
            <w:noWrap/>
            <w:vAlign w:val="center"/>
          </w:tcPr>
          <w:p w14:paraId="01A01119"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74BC9F68"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2C831D13" w14:textId="77777777" w:rsidTr="008E0250">
        <w:trPr>
          <w:trHeight w:val="20"/>
        </w:trPr>
        <w:tc>
          <w:tcPr>
            <w:tcW w:w="9351" w:type="dxa"/>
            <w:gridSpan w:val="5"/>
            <w:shd w:val="clear" w:color="auto" w:fill="FFFFFF" w:themeFill="background1"/>
            <w:noWrap/>
            <w:vAlign w:val="center"/>
          </w:tcPr>
          <w:p w14:paraId="39DE9EE9" w14:textId="77777777" w:rsidR="00692E71" w:rsidRPr="001E3185" w:rsidRDefault="00692E71" w:rsidP="008E0250">
            <w:pPr>
              <w:rPr>
                <w:rFonts w:cs="Arial"/>
                <w:lang w:eastAsia="da-DK"/>
              </w:rPr>
            </w:pPr>
            <w:r w:rsidRPr="001E3185">
              <w:rPr>
                <w:rFonts w:cs="Arial"/>
                <w:b/>
                <w:lang w:eastAsia="da-DK"/>
              </w:rPr>
              <w:t>House (brushing, pore water)</w:t>
            </w:r>
          </w:p>
        </w:tc>
      </w:tr>
      <w:tr w:rsidR="00692E71" w:rsidRPr="001E3185" w14:paraId="3CB5AEDB" w14:textId="77777777" w:rsidTr="008E0250">
        <w:trPr>
          <w:trHeight w:val="20"/>
        </w:trPr>
        <w:tc>
          <w:tcPr>
            <w:tcW w:w="3681" w:type="dxa"/>
            <w:shd w:val="clear" w:color="auto" w:fill="FFFFFF" w:themeFill="background1"/>
            <w:noWrap/>
            <w:vAlign w:val="center"/>
          </w:tcPr>
          <w:p w14:paraId="3CFF36DF"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 xml:space="preserve">[µg/L] </w:t>
            </w:r>
            <w:r w:rsidRPr="001E3185">
              <w:rPr>
                <w:rFonts w:cs="Arial"/>
                <w:vertAlign w:val="subscript"/>
                <w:lang w:eastAsia="da-DK"/>
              </w:rPr>
              <w:t>Time 1 (30 days)</w:t>
            </w:r>
          </w:p>
        </w:tc>
        <w:tc>
          <w:tcPr>
            <w:tcW w:w="992" w:type="dxa"/>
            <w:shd w:val="clear" w:color="auto" w:fill="FFFFFF" w:themeFill="background1"/>
            <w:noWrap/>
            <w:vAlign w:val="center"/>
          </w:tcPr>
          <w:p w14:paraId="25E8E21A" w14:textId="77777777" w:rsidR="00692E71" w:rsidRPr="001E3185" w:rsidRDefault="00692E71" w:rsidP="008E0250">
            <w:pPr>
              <w:jc w:val="center"/>
              <w:rPr>
                <w:rFonts w:cs="Arial"/>
                <w:lang w:eastAsia="da-DK"/>
              </w:rPr>
            </w:pPr>
            <w:r w:rsidRPr="001E3185">
              <w:rPr>
                <w:rFonts w:cs="Arial"/>
              </w:rPr>
              <w:t>19.42</w:t>
            </w:r>
          </w:p>
        </w:tc>
        <w:tc>
          <w:tcPr>
            <w:tcW w:w="1559" w:type="dxa"/>
            <w:shd w:val="clear" w:color="auto" w:fill="FFFFFF" w:themeFill="background1"/>
            <w:noWrap/>
            <w:vAlign w:val="center"/>
          </w:tcPr>
          <w:p w14:paraId="7236D828" w14:textId="77777777" w:rsidR="00692E71" w:rsidRPr="001E3185" w:rsidRDefault="00692E71" w:rsidP="008E0250">
            <w:pPr>
              <w:jc w:val="center"/>
              <w:rPr>
                <w:rFonts w:cs="Arial"/>
                <w:lang w:eastAsia="da-DK"/>
              </w:rPr>
            </w:pPr>
            <w:r w:rsidRPr="001E3185">
              <w:rPr>
                <w:rFonts w:cs="Arial"/>
              </w:rPr>
              <w:t>9.92</w:t>
            </w:r>
          </w:p>
        </w:tc>
        <w:tc>
          <w:tcPr>
            <w:tcW w:w="1560" w:type="dxa"/>
            <w:shd w:val="clear" w:color="auto" w:fill="FFFFFF" w:themeFill="background1"/>
            <w:noWrap/>
            <w:vAlign w:val="center"/>
          </w:tcPr>
          <w:p w14:paraId="3D0F7922" w14:textId="77777777" w:rsidR="00692E71" w:rsidRPr="001E3185" w:rsidRDefault="00692E71" w:rsidP="008E0250">
            <w:pPr>
              <w:jc w:val="center"/>
              <w:rPr>
                <w:rFonts w:cs="Arial"/>
                <w:lang w:eastAsia="da-DK"/>
              </w:rPr>
            </w:pPr>
            <w:r w:rsidRPr="001E3185">
              <w:rPr>
                <w:rFonts w:cs="Arial"/>
              </w:rPr>
              <w:t>3.84</w:t>
            </w:r>
          </w:p>
        </w:tc>
        <w:tc>
          <w:tcPr>
            <w:tcW w:w="1559" w:type="dxa"/>
            <w:shd w:val="clear" w:color="auto" w:fill="FFFFFF" w:themeFill="background1"/>
            <w:vAlign w:val="center"/>
          </w:tcPr>
          <w:p w14:paraId="15A6D7E8" w14:textId="77777777" w:rsidR="00692E71" w:rsidRPr="001E3185" w:rsidRDefault="00692E71" w:rsidP="008E0250">
            <w:pPr>
              <w:jc w:val="center"/>
              <w:rPr>
                <w:rFonts w:cs="Arial"/>
                <w:lang w:eastAsia="da-DK"/>
              </w:rPr>
            </w:pPr>
            <w:r w:rsidRPr="001E3185">
              <w:rPr>
                <w:rFonts w:cs="Arial"/>
              </w:rPr>
              <w:t>2.4*10</w:t>
            </w:r>
            <w:r w:rsidRPr="001E3185">
              <w:rPr>
                <w:rFonts w:cs="Arial"/>
                <w:vertAlign w:val="superscript"/>
              </w:rPr>
              <w:t>-3</w:t>
            </w:r>
          </w:p>
        </w:tc>
      </w:tr>
      <w:tr w:rsidR="00692E71" w:rsidRPr="001E3185" w14:paraId="42FB771D" w14:textId="77777777" w:rsidTr="008E0250">
        <w:trPr>
          <w:trHeight w:val="20"/>
        </w:trPr>
        <w:tc>
          <w:tcPr>
            <w:tcW w:w="3681" w:type="dxa"/>
            <w:shd w:val="clear" w:color="auto" w:fill="FFFFFF" w:themeFill="background1"/>
            <w:noWrap/>
            <w:vAlign w:val="center"/>
          </w:tcPr>
          <w:p w14:paraId="2101DDA7"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5FA11E31" w14:textId="77777777" w:rsidR="00692E71" w:rsidRPr="001E3185" w:rsidRDefault="00692E71" w:rsidP="008E0250">
            <w:pPr>
              <w:jc w:val="center"/>
              <w:rPr>
                <w:rFonts w:cs="Arial"/>
              </w:rPr>
            </w:pPr>
            <w:r w:rsidRPr="001E3185">
              <w:rPr>
                <w:rFonts w:cs="Arial"/>
              </w:rPr>
              <w:t>41.57</w:t>
            </w:r>
          </w:p>
        </w:tc>
        <w:tc>
          <w:tcPr>
            <w:tcW w:w="1559" w:type="dxa"/>
            <w:shd w:val="clear" w:color="auto" w:fill="FFFFFF" w:themeFill="background1"/>
            <w:noWrap/>
            <w:vAlign w:val="center"/>
          </w:tcPr>
          <w:p w14:paraId="4310256D" w14:textId="77777777" w:rsidR="00692E71" w:rsidRPr="001E3185" w:rsidRDefault="00692E71" w:rsidP="008E0250">
            <w:pPr>
              <w:jc w:val="center"/>
              <w:rPr>
                <w:rFonts w:cs="Arial"/>
              </w:rPr>
            </w:pPr>
            <w:r w:rsidRPr="001E3185">
              <w:rPr>
                <w:rFonts w:cs="Arial"/>
              </w:rPr>
              <w:t>28.03</w:t>
            </w:r>
          </w:p>
        </w:tc>
        <w:tc>
          <w:tcPr>
            <w:tcW w:w="1560" w:type="dxa"/>
            <w:shd w:val="clear" w:color="auto" w:fill="FFFFFF" w:themeFill="background1"/>
            <w:noWrap/>
            <w:vAlign w:val="center"/>
          </w:tcPr>
          <w:p w14:paraId="5D78A874" w14:textId="77777777" w:rsidR="00692E71" w:rsidRPr="001E3185" w:rsidRDefault="00692E71" w:rsidP="008E0250">
            <w:pPr>
              <w:jc w:val="center"/>
              <w:rPr>
                <w:rFonts w:cs="Arial"/>
              </w:rPr>
            </w:pPr>
            <w:r w:rsidRPr="001E3185">
              <w:rPr>
                <w:rFonts w:cs="Arial"/>
              </w:rPr>
              <w:t>10.11</w:t>
            </w:r>
          </w:p>
        </w:tc>
        <w:tc>
          <w:tcPr>
            <w:tcW w:w="1559" w:type="dxa"/>
            <w:shd w:val="clear" w:color="auto" w:fill="FFFFFF" w:themeFill="background1"/>
            <w:vAlign w:val="center"/>
          </w:tcPr>
          <w:p w14:paraId="78E34C85" w14:textId="77777777" w:rsidR="00692E71" w:rsidRPr="001E3185" w:rsidRDefault="00692E71" w:rsidP="008E0250">
            <w:pPr>
              <w:jc w:val="center"/>
              <w:rPr>
                <w:rFonts w:cs="Arial"/>
              </w:rPr>
            </w:pPr>
            <w:r w:rsidRPr="001E3185">
              <w:rPr>
                <w:rFonts w:cs="Arial"/>
              </w:rPr>
              <w:t>3.4*10</w:t>
            </w:r>
            <w:r w:rsidRPr="001E3185">
              <w:rPr>
                <w:rFonts w:cs="Arial"/>
                <w:vertAlign w:val="superscript"/>
              </w:rPr>
              <w:t>-3</w:t>
            </w:r>
          </w:p>
        </w:tc>
      </w:tr>
      <w:tr w:rsidR="00692E71" w:rsidRPr="001E3185" w14:paraId="040A373C" w14:textId="77777777" w:rsidTr="008E0250">
        <w:trPr>
          <w:trHeight w:val="20"/>
        </w:trPr>
        <w:tc>
          <w:tcPr>
            <w:tcW w:w="3681" w:type="dxa"/>
            <w:shd w:val="clear" w:color="auto" w:fill="FFFFFF" w:themeFill="background1"/>
            <w:noWrap/>
            <w:vAlign w:val="center"/>
          </w:tcPr>
          <w:p w14:paraId="4415637C"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03965E9F"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3AB8B3AF" w14:textId="77777777" w:rsidR="00692E71" w:rsidRPr="001E3185" w:rsidRDefault="00692E71" w:rsidP="008E0250">
            <w:pPr>
              <w:jc w:val="center"/>
              <w:rPr>
                <w:rFonts w:cs="Arial"/>
                <w:lang w:eastAsia="da-DK"/>
              </w:rPr>
            </w:pPr>
            <w:r w:rsidRPr="001E3185">
              <w:rPr>
                <w:rFonts w:cs="Arial"/>
              </w:rPr>
              <w:t>8.91</w:t>
            </w:r>
          </w:p>
        </w:tc>
        <w:tc>
          <w:tcPr>
            <w:tcW w:w="1560" w:type="dxa"/>
            <w:shd w:val="clear" w:color="auto" w:fill="FFFFFF" w:themeFill="background1"/>
            <w:noWrap/>
            <w:vAlign w:val="center"/>
          </w:tcPr>
          <w:p w14:paraId="5AD203B5" w14:textId="77777777" w:rsidR="00692E71" w:rsidRPr="001E3185" w:rsidRDefault="00692E71" w:rsidP="008E0250">
            <w:pPr>
              <w:jc w:val="center"/>
              <w:rPr>
                <w:rFonts w:cs="Arial"/>
                <w:lang w:eastAsia="da-DK"/>
              </w:rPr>
            </w:pPr>
            <w:r w:rsidRPr="001E3185">
              <w:rPr>
                <w:rFonts w:cs="Arial"/>
              </w:rPr>
              <w:t>3.24</w:t>
            </w:r>
          </w:p>
        </w:tc>
        <w:tc>
          <w:tcPr>
            <w:tcW w:w="1559" w:type="dxa"/>
            <w:shd w:val="clear" w:color="auto" w:fill="FFFFFF" w:themeFill="background1"/>
            <w:vAlign w:val="center"/>
          </w:tcPr>
          <w:p w14:paraId="45E52D5E" w14:textId="77777777" w:rsidR="00692E71" w:rsidRPr="001E3185" w:rsidRDefault="00692E71" w:rsidP="008E0250">
            <w:pPr>
              <w:jc w:val="center"/>
              <w:rPr>
                <w:rFonts w:cs="Arial"/>
                <w:lang w:eastAsia="da-DK"/>
              </w:rPr>
            </w:pPr>
            <w:r w:rsidRPr="001E3185">
              <w:rPr>
                <w:rFonts w:cs="Arial"/>
              </w:rPr>
              <w:t>6.9*10</w:t>
            </w:r>
            <w:r w:rsidRPr="001E3185">
              <w:rPr>
                <w:rFonts w:cs="Arial"/>
                <w:vertAlign w:val="superscript"/>
              </w:rPr>
              <w:t>-4</w:t>
            </w:r>
          </w:p>
        </w:tc>
      </w:tr>
      <w:tr w:rsidR="00692E71" w:rsidRPr="001E3185" w14:paraId="015CD45A" w14:textId="77777777" w:rsidTr="008E0250">
        <w:trPr>
          <w:trHeight w:val="20"/>
        </w:trPr>
        <w:tc>
          <w:tcPr>
            <w:tcW w:w="3681" w:type="dxa"/>
            <w:shd w:val="clear" w:color="auto" w:fill="FFFFFF" w:themeFill="background1"/>
            <w:noWrap/>
            <w:vAlign w:val="center"/>
          </w:tcPr>
          <w:p w14:paraId="16F5A23C"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685D9C6E" w14:textId="77777777" w:rsidR="00692E71" w:rsidRPr="001E3185" w:rsidRDefault="00692E71" w:rsidP="008E0250">
            <w:pPr>
              <w:jc w:val="center"/>
              <w:rPr>
                <w:rFonts w:cs="Arial"/>
                <w:lang w:eastAsia="da-DK"/>
              </w:rPr>
            </w:pPr>
            <w:r w:rsidRPr="001E3185">
              <w:rPr>
                <w:rFonts w:cs="Arial"/>
              </w:rPr>
              <w:t>3.7*10</w:t>
            </w:r>
            <w:r w:rsidRPr="001E3185">
              <w:rPr>
                <w:rFonts w:cs="Arial"/>
                <w:vertAlign w:val="superscript"/>
              </w:rPr>
              <w:t>-4</w:t>
            </w:r>
          </w:p>
        </w:tc>
        <w:tc>
          <w:tcPr>
            <w:tcW w:w="1559" w:type="dxa"/>
            <w:shd w:val="clear" w:color="auto" w:fill="FFFFFF" w:themeFill="background1"/>
            <w:noWrap/>
            <w:vAlign w:val="center"/>
          </w:tcPr>
          <w:p w14:paraId="6A47107C" w14:textId="77777777" w:rsidR="00692E71" w:rsidRPr="001E3185" w:rsidRDefault="00692E71" w:rsidP="008E0250">
            <w:pPr>
              <w:jc w:val="center"/>
              <w:rPr>
                <w:rFonts w:cs="Arial"/>
                <w:lang w:eastAsia="da-DK"/>
              </w:rPr>
            </w:pPr>
            <w:r w:rsidRPr="001E3185">
              <w:rPr>
                <w:rFonts w:cs="Arial"/>
              </w:rPr>
              <w:t>1.87</w:t>
            </w:r>
          </w:p>
        </w:tc>
        <w:tc>
          <w:tcPr>
            <w:tcW w:w="1560" w:type="dxa"/>
            <w:shd w:val="clear" w:color="auto" w:fill="FFFFFF" w:themeFill="background1"/>
            <w:noWrap/>
            <w:vAlign w:val="center"/>
          </w:tcPr>
          <w:p w14:paraId="43504DCC" w14:textId="77777777" w:rsidR="00692E71" w:rsidRPr="001E3185" w:rsidRDefault="00692E71" w:rsidP="008E0250">
            <w:pPr>
              <w:jc w:val="center"/>
              <w:rPr>
                <w:rFonts w:cs="Arial"/>
                <w:lang w:eastAsia="da-DK"/>
              </w:rPr>
            </w:pPr>
            <w:r w:rsidRPr="001E3185">
              <w:rPr>
                <w:rFonts w:cs="Arial"/>
              </w:rPr>
              <w:t>0.39</w:t>
            </w:r>
          </w:p>
        </w:tc>
        <w:tc>
          <w:tcPr>
            <w:tcW w:w="1559" w:type="dxa"/>
            <w:shd w:val="clear" w:color="auto" w:fill="FFFFFF" w:themeFill="background1"/>
            <w:vAlign w:val="center"/>
          </w:tcPr>
          <w:p w14:paraId="7AC56266" w14:textId="77777777" w:rsidR="00692E71" w:rsidRPr="001E3185" w:rsidRDefault="00692E71" w:rsidP="008E0250">
            <w:pPr>
              <w:jc w:val="center"/>
              <w:rPr>
                <w:rFonts w:cs="Arial"/>
                <w:lang w:eastAsia="da-DK"/>
              </w:rPr>
            </w:pPr>
            <w:r w:rsidRPr="001E3185">
              <w:rPr>
                <w:rFonts w:cs="Arial"/>
              </w:rPr>
              <w:t>1.4*10</w:t>
            </w:r>
            <w:r w:rsidRPr="001E3185">
              <w:rPr>
                <w:rFonts w:cs="Arial"/>
                <w:vertAlign w:val="superscript"/>
              </w:rPr>
              <w:t>-5</w:t>
            </w:r>
          </w:p>
        </w:tc>
      </w:tr>
      <w:tr w:rsidR="00692E71" w:rsidRPr="001E3185" w14:paraId="1B0C6575" w14:textId="77777777" w:rsidTr="008E0250">
        <w:trPr>
          <w:trHeight w:val="20"/>
        </w:trPr>
        <w:tc>
          <w:tcPr>
            <w:tcW w:w="9351" w:type="dxa"/>
            <w:gridSpan w:val="5"/>
            <w:shd w:val="clear" w:color="auto" w:fill="FFFFFF" w:themeFill="background1"/>
            <w:noWrap/>
            <w:vAlign w:val="bottom"/>
          </w:tcPr>
          <w:p w14:paraId="614B2662" w14:textId="77777777" w:rsidR="00692E71" w:rsidRPr="001E3185" w:rsidRDefault="00692E71" w:rsidP="008E0250">
            <w:pPr>
              <w:jc w:val="center"/>
              <w:rPr>
                <w:rFonts w:cs="Arial"/>
              </w:rPr>
            </w:pPr>
          </w:p>
        </w:tc>
      </w:tr>
      <w:tr w:rsidR="00692E71" w:rsidRPr="001E3185" w14:paraId="3089C75D" w14:textId="77777777" w:rsidTr="008E0250">
        <w:trPr>
          <w:trHeight w:val="20"/>
        </w:trPr>
        <w:tc>
          <w:tcPr>
            <w:tcW w:w="9351" w:type="dxa"/>
            <w:gridSpan w:val="5"/>
            <w:shd w:val="clear" w:color="auto" w:fill="FFFFFF" w:themeFill="background1"/>
            <w:noWrap/>
            <w:vAlign w:val="center"/>
          </w:tcPr>
          <w:p w14:paraId="459CEF01" w14:textId="77777777" w:rsidR="00692E71" w:rsidRPr="001E3185" w:rsidRDefault="00692E71" w:rsidP="008E0250">
            <w:pPr>
              <w:rPr>
                <w:rFonts w:cs="Arial"/>
              </w:rPr>
            </w:pPr>
            <w:r w:rsidRPr="001E3185">
              <w:rPr>
                <w:rFonts w:cs="Arial"/>
                <w:b/>
                <w:lang w:eastAsia="da-DK"/>
              </w:rPr>
              <w:t>Fence (brushing, pore water)</w:t>
            </w:r>
          </w:p>
        </w:tc>
      </w:tr>
      <w:tr w:rsidR="00692E71" w:rsidRPr="001E3185" w14:paraId="181B2FDE" w14:textId="77777777" w:rsidTr="008E0250">
        <w:trPr>
          <w:trHeight w:val="20"/>
        </w:trPr>
        <w:tc>
          <w:tcPr>
            <w:tcW w:w="3681" w:type="dxa"/>
            <w:shd w:val="clear" w:color="auto" w:fill="FFFFFF" w:themeFill="background1"/>
            <w:noWrap/>
            <w:vAlign w:val="center"/>
          </w:tcPr>
          <w:p w14:paraId="30B217FF"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1</w:t>
            </w:r>
          </w:p>
        </w:tc>
        <w:tc>
          <w:tcPr>
            <w:tcW w:w="992" w:type="dxa"/>
            <w:shd w:val="clear" w:color="auto" w:fill="FFFFFF" w:themeFill="background1"/>
            <w:noWrap/>
            <w:vAlign w:val="center"/>
          </w:tcPr>
          <w:p w14:paraId="3B4F69FA" w14:textId="77777777" w:rsidR="00692E71" w:rsidRPr="001E3185" w:rsidRDefault="00692E71" w:rsidP="008E0250">
            <w:pPr>
              <w:jc w:val="center"/>
              <w:rPr>
                <w:rFonts w:cs="Arial"/>
                <w:lang w:eastAsia="da-DK"/>
              </w:rPr>
            </w:pPr>
            <w:r w:rsidRPr="001E3185">
              <w:rPr>
                <w:rFonts w:cs="Arial"/>
              </w:rPr>
              <w:t>16.16</w:t>
            </w:r>
          </w:p>
        </w:tc>
        <w:tc>
          <w:tcPr>
            <w:tcW w:w="1559" w:type="dxa"/>
            <w:shd w:val="clear" w:color="auto" w:fill="FFFFFF" w:themeFill="background1"/>
            <w:noWrap/>
            <w:vAlign w:val="center"/>
          </w:tcPr>
          <w:p w14:paraId="70A17B93" w14:textId="77777777" w:rsidR="00692E71" w:rsidRPr="001E3185" w:rsidRDefault="00692E71" w:rsidP="008E0250">
            <w:pPr>
              <w:jc w:val="center"/>
              <w:rPr>
                <w:rFonts w:cs="Arial"/>
              </w:rPr>
            </w:pPr>
            <w:r w:rsidRPr="001E3185">
              <w:rPr>
                <w:rFonts w:cs="Arial"/>
              </w:rPr>
              <w:t>8.26</w:t>
            </w:r>
          </w:p>
        </w:tc>
        <w:tc>
          <w:tcPr>
            <w:tcW w:w="1560" w:type="dxa"/>
            <w:shd w:val="clear" w:color="auto" w:fill="FFFFFF" w:themeFill="background1"/>
            <w:noWrap/>
            <w:vAlign w:val="center"/>
          </w:tcPr>
          <w:p w14:paraId="7E0EBBD9" w14:textId="77777777" w:rsidR="00692E71" w:rsidRPr="001E3185" w:rsidRDefault="00692E71" w:rsidP="008E0250">
            <w:pPr>
              <w:jc w:val="center"/>
              <w:rPr>
                <w:rFonts w:cs="Arial"/>
              </w:rPr>
            </w:pPr>
            <w:r w:rsidRPr="001E3185">
              <w:rPr>
                <w:rFonts w:cs="Arial"/>
              </w:rPr>
              <w:t>3.19</w:t>
            </w:r>
          </w:p>
        </w:tc>
        <w:tc>
          <w:tcPr>
            <w:tcW w:w="1559" w:type="dxa"/>
            <w:shd w:val="clear" w:color="auto" w:fill="FFFFFF" w:themeFill="background1"/>
            <w:vAlign w:val="center"/>
          </w:tcPr>
          <w:p w14:paraId="16496101" w14:textId="77777777" w:rsidR="00692E71" w:rsidRPr="001E3185" w:rsidRDefault="00692E71" w:rsidP="008E0250">
            <w:pPr>
              <w:jc w:val="center"/>
              <w:rPr>
                <w:rFonts w:cs="Arial"/>
              </w:rPr>
            </w:pPr>
            <w:r w:rsidRPr="001E3185">
              <w:rPr>
                <w:rFonts w:cs="Arial"/>
              </w:rPr>
              <w:t>2.0*10</w:t>
            </w:r>
            <w:r w:rsidRPr="001E3185">
              <w:rPr>
                <w:rFonts w:cs="Arial"/>
                <w:vertAlign w:val="superscript"/>
              </w:rPr>
              <w:t>-3</w:t>
            </w:r>
          </w:p>
        </w:tc>
      </w:tr>
      <w:tr w:rsidR="00692E71" w:rsidRPr="001E3185" w14:paraId="4FCCA6D4" w14:textId="77777777" w:rsidTr="008E0250">
        <w:trPr>
          <w:trHeight w:val="20"/>
        </w:trPr>
        <w:tc>
          <w:tcPr>
            <w:tcW w:w="3681" w:type="dxa"/>
            <w:shd w:val="clear" w:color="auto" w:fill="FFFFFF" w:themeFill="background1"/>
            <w:noWrap/>
            <w:vAlign w:val="center"/>
          </w:tcPr>
          <w:p w14:paraId="66081C95"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603D5E2A" w14:textId="77777777" w:rsidR="00692E71" w:rsidRPr="001E3185" w:rsidRDefault="00692E71" w:rsidP="008E0250">
            <w:pPr>
              <w:jc w:val="center"/>
              <w:rPr>
                <w:rFonts w:cs="Arial"/>
                <w:lang w:eastAsia="da-DK"/>
              </w:rPr>
            </w:pPr>
            <w:r w:rsidRPr="001E3185">
              <w:rPr>
                <w:rFonts w:cs="Arial"/>
              </w:rPr>
              <w:t>34.59</w:t>
            </w:r>
          </w:p>
        </w:tc>
        <w:tc>
          <w:tcPr>
            <w:tcW w:w="1559" w:type="dxa"/>
            <w:shd w:val="clear" w:color="auto" w:fill="FFFFFF" w:themeFill="background1"/>
            <w:noWrap/>
            <w:vAlign w:val="center"/>
          </w:tcPr>
          <w:p w14:paraId="2D524986" w14:textId="77777777" w:rsidR="00692E71" w:rsidRPr="001E3185" w:rsidRDefault="00692E71" w:rsidP="008E0250">
            <w:pPr>
              <w:jc w:val="center"/>
              <w:rPr>
                <w:rFonts w:cs="Arial"/>
              </w:rPr>
            </w:pPr>
            <w:r w:rsidRPr="001E3185">
              <w:rPr>
                <w:rFonts w:cs="Arial"/>
              </w:rPr>
              <w:t>23.32</w:t>
            </w:r>
          </w:p>
        </w:tc>
        <w:tc>
          <w:tcPr>
            <w:tcW w:w="1560" w:type="dxa"/>
            <w:shd w:val="clear" w:color="auto" w:fill="FFFFFF" w:themeFill="background1"/>
            <w:noWrap/>
            <w:vAlign w:val="center"/>
          </w:tcPr>
          <w:p w14:paraId="48DB7278" w14:textId="77777777" w:rsidR="00692E71" w:rsidRPr="001E3185" w:rsidRDefault="00692E71" w:rsidP="008E0250">
            <w:pPr>
              <w:jc w:val="center"/>
              <w:rPr>
                <w:rFonts w:cs="Arial"/>
              </w:rPr>
            </w:pPr>
            <w:r w:rsidRPr="001E3185">
              <w:rPr>
                <w:rFonts w:cs="Arial"/>
              </w:rPr>
              <w:t>8.41</w:t>
            </w:r>
          </w:p>
        </w:tc>
        <w:tc>
          <w:tcPr>
            <w:tcW w:w="1559" w:type="dxa"/>
            <w:shd w:val="clear" w:color="auto" w:fill="FFFFFF" w:themeFill="background1"/>
            <w:vAlign w:val="center"/>
          </w:tcPr>
          <w:p w14:paraId="25C348CD" w14:textId="77777777" w:rsidR="00692E71" w:rsidRPr="001E3185" w:rsidRDefault="00692E71" w:rsidP="008E0250">
            <w:pPr>
              <w:jc w:val="center"/>
              <w:rPr>
                <w:rFonts w:cs="Arial"/>
              </w:rPr>
            </w:pPr>
            <w:r w:rsidRPr="001E3185">
              <w:rPr>
                <w:rFonts w:cs="Arial"/>
              </w:rPr>
              <w:t>2.9*10</w:t>
            </w:r>
            <w:r w:rsidRPr="001E3185">
              <w:rPr>
                <w:rFonts w:cs="Arial"/>
                <w:vertAlign w:val="superscript"/>
              </w:rPr>
              <w:t>-3</w:t>
            </w:r>
          </w:p>
        </w:tc>
      </w:tr>
      <w:tr w:rsidR="00692E71" w:rsidRPr="001E3185" w14:paraId="5BFB621A" w14:textId="77777777" w:rsidTr="008E0250">
        <w:trPr>
          <w:trHeight w:val="20"/>
        </w:trPr>
        <w:tc>
          <w:tcPr>
            <w:tcW w:w="3681" w:type="dxa"/>
            <w:shd w:val="clear" w:color="auto" w:fill="FFFFFF" w:themeFill="background1"/>
            <w:noWrap/>
            <w:vAlign w:val="center"/>
          </w:tcPr>
          <w:p w14:paraId="7929025B"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354C5A1D"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4D29EA85" w14:textId="77777777" w:rsidR="00692E71" w:rsidRPr="001E3185" w:rsidRDefault="00692E71" w:rsidP="008E0250">
            <w:pPr>
              <w:jc w:val="center"/>
              <w:rPr>
                <w:rFonts w:cs="Arial"/>
              </w:rPr>
            </w:pPr>
            <w:r w:rsidRPr="001E3185">
              <w:rPr>
                <w:rFonts w:cs="Arial"/>
              </w:rPr>
              <w:t>7.42</w:t>
            </w:r>
          </w:p>
        </w:tc>
        <w:tc>
          <w:tcPr>
            <w:tcW w:w="1560" w:type="dxa"/>
            <w:shd w:val="clear" w:color="auto" w:fill="FFFFFF" w:themeFill="background1"/>
            <w:noWrap/>
            <w:vAlign w:val="center"/>
          </w:tcPr>
          <w:p w14:paraId="5C16BDF1" w14:textId="77777777" w:rsidR="00692E71" w:rsidRPr="001E3185" w:rsidRDefault="00692E71" w:rsidP="008E0250">
            <w:pPr>
              <w:jc w:val="center"/>
              <w:rPr>
                <w:rFonts w:cs="Arial"/>
              </w:rPr>
            </w:pPr>
            <w:r w:rsidRPr="001E3185">
              <w:rPr>
                <w:rFonts w:cs="Arial"/>
              </w:rPr>
              <w:t>2.69</w:t>
            </w:r>
          </w:p>
        </w:tc>
        <w:tc>
          <w:tcPr>
            <w:tcW w:w="1559" w:type="dxa"/>
            <w:shd w:val="clear" w:color="auto" w:fill="FFFFFF" w:themeFill="background1"/>
            <w:vAlign w:val="center"/>
          </w:tcPr>
          <w:p w14:paraId="6F81A748" w14:textId="77777777" w:rsidR="00692E71" w:rsidRPr="001E3185" w:rsidRDefault="00692E71" w:rsidP="008E0250">
            <w:pPr>
              <w:jc w:val="center"/>
              <w:rPr>
                <w:rFonts w:cs="Arial"/>
              </w:rPr>
            </w:pPr>
            <w:r w:rsidRPr="001E3185">
              <w:rPr>
                <w:rFonts w:cs="Arial"/>
              </w:rPr>
              <w:t>5.7*10</w:t>
            </w:r>
            <w:r w:rsidRPr="001E3185">
              <w:rPr>
                <w:rFonts w:cs="Arial"/>
                <w:vertAlign w:val="superscript"/>
              </w:rPr>
              <w:t>-4</w:t>
            </w:r>
          </w:p>
        </w:tc>
      </w:tr>
      <w:tr w:rsidR="00692E71" w:rsidRPr="001E3185" w14:paraId="407FDC59" w14:textId="77777777" w:rsidTr="008E0250">
        <w:trPr>
          <w:trHeight w:val="20"/>
        </w:trPr>
        <w:tc>
          <w:tcPr>
            <w:tcW w:w="3681" w:type="dxa"/>
            <w:shd w:val="clear" w:color="auto" w:fill="FFFFFF" w:themeFill="background1"/>
            <w:noWrap/>
            <w:vAlign w:val="center"/>
          </w:tcPr>
          <w:p w14:paraId="55EF5D7B"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5AE20FF3" w14:textId="77777777" w:rsidR="00692E71" w:rsidRPr="001E3185" w:rsidRDefault="00692E71" w:rsidP="008E0250">
            <w:pPr>
              <w:jc w:val="center"/>
              <w:rPr>
                <w:rFonts w:cs="Arial"/>
                <w:lang w:eastAsia="da-DK"/>
              </w:rPr>
            </w:pPr>
            <w:r w:rsidRPr="001E3185">
              <w:rPr>
                <w:rFonts w:cs="Arial"/>
              </w:rPr>
              <w:t>3.1*10</w:t>
            </w:r>
            <w:r w:rsidRPr="001E3185">
              <w:rPr>
                <w:rFonts w:cs="Arial"/>
                <w:vertAlign w:val="superscript"/>
              </w:rPr>
              <w:t>-4</w:t>
            </w:r>
          </w:p>
        </w:tc>
        <w:tc>
          <w:tcPr>
            <w:tcW w:w="1559" w:type="dxa"/>
            <w:shd w:val="clear" w:color="auto" w:fill="FFFFFF" w:themeFill="background1"/>
            <w:noWrap/>
            <w:vAlign w:val="center"/>
          </w:tcPr>
          <w:p w14:paraId="2D8AB612" w14:textId="77777777" w:rsidR="00692E71" w:rsidRPr="001E3185" w:rsidRDefault="00692E71" w:rsidP="008E0250">
            <w:pPr>
              <w:jc w:val="center"/>
              <w:rPr>
                <w:rFonts w:cs="Arial"/>
              </w:rPr>
            </w:pPr>
            <w:r w:rsidRPr="001E3185">
              <w:rPr>
                <w:rFonts w:cs="Arial"/>
              </w:rPr>
              <w:t>1.56</w:t>
            </w:r>
          </w:p>
        </w:tc>
        <w:tc>
          <w:tcPr>
            <w:tcW w:w="1560" w:type="dxa"/>
            <w:shd w:val="clear" w:color="auto" w:fill="FFFFFF" w:themeFill="background1"/>
            <w:noWrap/>
            <w:vAlign w:val="center"/>
          </w:tcPr>
          <w:p w14:paraId="3D778D62" w14:textId="77777777" w:rsidR="00692E71" w:rsidRPr="001E3185" w:rsidRDefault="00692E71" w:rsidP="008E0250">
            <w:pPr>
              <w:jc w:val="center"/>
              <w:rPr>
                <w:rFonts w:cs="Arial"/>
              </w:rPr>
            </w:pPr>
            <w:r w:rsidRPr="001E3185">
              <w:rPr>
                <w:rFonts w:cs="Arial"/>
              </w:rPr>
              <w:t>0.32</w:t>
            </w:r>
          </w:p>
        </w:tc>
        <w:tc>
          <w:tcPr>
            <w:tcW w:w="1559" w:type="dxa"/>
            <w:shd w:val="clear" w:color="auto" w:fill="FFFFFF" w:themeFill="background1"/>
            <w:vAlign w:val="center"/>
          </w:tcPr>
          <w:p w14:paraId="2E77AEF6" w14:textId="77777777" w:rsidR="00692E71" w:rsidRPr="001E3185" w:rsidRDefault="00692E71" w:rsidP="008E0250">
            <w:pPr>
              <w:jc w:val="center"/>
              <w:rPr>
                <w:rFonts w:cs="Arial"/>
              </w:rPr>
            </w:pPr>
            <w:r w:rsidRPr="001E3185">
              <w:rPr>
                <w:rFonts w:cs="Arial"/>
              </w:rPr>
              <w:t>1.2*10</w:t>
            </w:r>
            <w:r w:rsidRPr="001E3185">
              <w:rPr>
                <w:rFonts w:cs="Arial"/>
                <w:vertAlign w:val="superscript"/>
              </w:rPr>
              <w:t>-5</w:t>
            </w:r>
          </w:p>
        </w:tc>
      </w:tr>
    </w:tbl>
    <w:p w14:paraId="04351907" w14:textId="77777777" w:rsidR="00692E71" w:rsidRPr="001E3185" w:rsidRDefault="00692E71" w:rsidP="00692E71">
      <w:pPr>
        <w:pStyle w:val="En-tte"/>
        <w:rPr>
          <w:rFonts w:ascii="Verdana" w:hAnsi="Verdana" w:cs="Arial"/>
          <w:highlight w:val="yellow"/>
        </w:rPr>
      </w:pPr>
    </w:p>
    <w:p w14:paraId="040DDB18" w14:textId="77777777" w:rsidR="00692E71" w:rsidRPr="001E3185" w:rsidRDefault="00692E71" w:rsidP="00692E71">
      <w:pPr>
        <w:rPr>
          <w:rFonts w:cs="Arial"/>
          <w:b/>
        </w:rPr>
      </w:pPr>
    </w:p>
    <w:p w14:paraId="229AC804"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43</w:t>
      </w:r>
      <w:r w:rsidRPr="001E3185">
        <w:rPr>
          <w:rFonts w:ascii="Verdana" w:hAnsi="Verdana"/>
        </w:rPr>
        <w:fldChar w:fldCharType="end"/>
      </w:r>
      <w:r w:rsidRPr="001E3185">
        <w:rPr>
          <w:rFonts w:ascii="Verdana" w:hAnsi="Verdana"/>
        </w:rPr>
        <w:t xml:space="preserve">: PEC in pore water, brushing, </w:t>
      </w:r>
      <w:proofErr w:type="gramStart"/>
      <w:r w:rsidRPr="001E3185">
        <w:rPr>
          <w:rFonts w:ascii="Verdana" w:hAnsi="Verdana"/>
        </w:rPr>
        <w:t>non</w:t>
      </w:r>
      <w:proofErr w:type="gramEnd"/>
      <w:r w:rsidRPr="001E3185">
        <w:rPr>
          <w:rFonts w:ascii="Verdana" w:hAnsi="Verdana"/>
        </w:rPr>
        <w:t>-professional application.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559"/>
        <w:gridCol w:w="1560"/>
        <w:gridCol w:w="1559"/>
      </w:tblGrid>
      <w:tr w:rsidR="00692E71" w:rsidRPr="001E3185" w14:paraId="0344E897" w14:textId="77777777" w:rsidTr="008E0250">
        <w:trPr>
          <w:trHeight w:val="20"/>
          <w:tblHeader/>
        </w:trPr>
        <w:tc>
          <w:tcPr>
            <w:tcW w:w="3681" w:type="dxa"/>
            <w:shd w:val="clear" w:color="auto" w:fill="FFFFFF" w:themeFill="background1"/>
            <w:noWrap/>
            <w:vAlign w:val="bottom"/>
          </w:tcPr>
          <w:p w14:paraId="26F7FFF2"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1322AD20"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34585FAB"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560" w:type="dxa"/>
            <w:shd w:val="clear" w:color="auto" w:fill="FFFFFF" w:themeFill="background1"/>
            <w:noWrap/>
            <w:vAlign w:val="center"/>
          </w:tcPr>
          <w:p w14:paraId="3D5B020E"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676AB23E"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3FDD02A1" w14:textId="77777777" w:rsidTr="008E0250">
        <w:trPr>
          <w:trHeight w:val="20"/>
        </w:trPr>
        <w:tc>
          <w:tcPr>
            <w:tcW w:w="9351" w:type="dxa"/>
            <w:gridSpan w:val="5"/>
            <w:shd w:val="clear" w:color="auto" w:fill="FFFFFF" w:themeFill="background1"/>
            <w:noWrap/>
            <w:vAlign w:val="center"/>
          </w:tcPr>
          <w:p w14:paraId="059BAA32" w14:textId="77777777" w:rsidR="00692E71" w:rsidRPr="001E3185" w:rsidRDefault="00692E71" w:rsidP="008E0250">
            <w:pPr>
              <w:rPr>
                <w:rFonts w:cs="Arial"/>
                <w:lang w:eastAsia="da-DK"/>
              </w:rPr>
            </w:pPr>
            <w:r w:rsidRPr="001E3185">
              <w:rPr>
                <w:rFonts w:cs="Arial"/>
                <w:b/>
                <w:lang w:eastAsia="da-DK"/>
              </w:rPr>
              <w:t>House (brushing, pore water)</w:t>
            </w:r>
          </w:p>
        </w:tc>
      </w:tr>
      <w:tr w:rsidR="00692E71" w:rsidRPr="001E3185" w14:paraId="61E5151E" w14:textId="77777777" w:rsidTr="008E0250">
        <w:trPr>
          <w:trHeight w:val="20"/>
        </w:trPr>
        <w:tc>
          <w:tcPr>
            <w:tcW w:w="3681" w:type="dxa"/>
            <w:shd w:val="clear" w:color="auto" w:fill="FFFFFF" w:themeFill="background1"/>
            <w:noWrap/>
            <w:vAlign w:val="bottom"/>
          </w:tcPr>
          <w:p w14:paraId="1CBAA96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 xml:space="preserve">[µg/L] </w:t>
            </w:r>
            <w:r w:rsidRPr="001E3185">
              <w:rPr>
                <w:rFonts w:cs="Arial"/>
                <w:vertAlign w:val="subscript"/>
                <w:lang w:eastAsia="da-DK"/>
              </w:rPr>
              <w:t>Time 1 (30 days)</w:t>
            </w:r>
          </w:p>
        </w:tc>
        <w:tc>
          <w:tcPr>
            <w:tcW w:w="992" w:type="dxa"/>
            <w:shd w:val="clear" w:color="auto" w:fill="FFFFFF" w:themeFill="background1"/>
            <w:noWrap/>
            <w:vAlign w:val="center"/>
          </w:tcPr>
          <w:p w14:paraId="4000C30F" w14:textId="77777777" w:rsidR="00692E71" w:rsidRPr="001E3185" w:rsidRDefault="00692E71" w:rsidP="008E0250">
            <w:pPr>
              <w:jc w:val="center"/>
              <w:rPr>
                <w:rFonts w:cs="Arial"/>
                <w:lang w:eastAsia="da-DK"/>
              </w:rPr>
            </w:pPr>
            <w:r w:rsidRPr="001E3185">
              <w:rPr>
                <w:rFonts w:cs="Arial"/>
              </w:rPr>
              <w:t>24</w:t>
            </w:r>
          </w:p>
        </w:tc>
        <w:tc>
          <w:tcPr>
            <w:tcW w:w="1559" w:type="dxa"/>
            <w:shd w:val="clear" w:color="auto" w:fill="FFFFFF" w:themeFill="background1"/>
            <w:noWrap/>
            <w:vAlign w:val="center"/>
          </w:tcPr>
          <w:p w14:paraId="7847E199" w14:textId="77777777" w:rsidR="00692E71" w:rsidRPr="001E3185" w:rsidRDefault="00692E71" w:rsidP="008E0250">
            <w:pPr>
              <w:jc w:val="center"/>
              <w:rPr>
                <w:rFonts w:cs="Arial"/>
                <w:lang w:eastAsia="da-DK"/>
              </w:rPr>
            </w:pPr>
            <w:r w:rsidRPr="001E3185">
              <w:rPr>
                <w:rFonts w:cs="Arial"/>
              </w:rPr>
              <w:t>12</w:t>
            </w:r>
          </w:p>
        </w:tc>
        <w:tc>
          <w:tcPr>
            <w:tcW w:w="1560" w:type="dxa"/>
            <w:shd w:val="clear" w:color="auto" w:fill="FFFFFF" w:themeFill="background1"/>
            <w:noWrap/>
            <w:vAlign w:val="center"/>
          </w:tcPr>
          <w:p w14:paraId="78A6B1E6" w14:textId="77777777" w:rsidR="00692E71" w:rsidRPr="001E3185" w:rsidRDefault="00692E71" w:rsidP="008E0250">
            <w:pPr>
              <w:jc w:val="center"/>
              <w:rPr>
                <w:rFonts w:cs="Arial"/>
                <w:lang w:eastAsia="da-DK"/>
              </w:rPr>
            </w:pPr>
            <w:r w:rsidRPr="001E3185">
              <w:rPr>
                <w:rFonts w:cs="Arial"/>
              </w:rPr>
              <w:t>4.48</w:t>
            </w:r>
          </w:p>
        </w:tc>
        <w:tc>
          <w:tcPr>
            <w:tcW w:w="1559" w:type="dxa"/>
            <w:shd w:val="clear" w:color="auto" w:fill="FFFFFF" w:themeFill="background1"/>
            <w:vAlign w:val="center"/>
          </w:tcPr>
          <w:p w14:paraId="2E03C68F" w14:textId="77777777" w:rsidR="00692E71" w:rsidRPr="001E3185" w:rsidRDefault="00692E71" w:rsidP="008E0250">
            <w:pPr>
              <w:jc w:val="center"/>
              <w:rPr>
                <w:rFonts w:cs="Arial"/>
                <w:lang w:eastAsia="da-DK"/>
              </w:rPr>
            </w:pPr>
            <w:r w:rsidRPr="001E3185">
              <w:rPr>
                <w:rFonts w:cs="Arial"/>
              </w:rPr>
              <w:t>3.9*10</w:t>
            </w:r>
            <w:r w:rsidRPr="001E3185">
              <w:rPr>
                <w:rFonts w:cs="Arial"/>
                <w:vertAlign w:val="superscript"/>
              </w:rPr>
              <w:t>-3</w:t>
            </w:r>
          </w:p>
        </w:tc>
      </w:tr>
      <w:tr w:rsidR="00692E71" w:rsidRPr="001E3185" w14:paraId="41843121" w14:textId="77777777" w:rsidTr="008E0250">
        <w:trPr>
          <w:trHeight w:val="20"/>
        </w:trPr>
        <w:tc>
          <w:tcPr>
            <w:tcW w:w="3681" w:type="dxa"/>
            <w:shd w:val="clear" w:color="auto" w:fill="FFFFFF" w:themeFill="background1"/>
            <w:noWrap/>
            <w:vAlign w:val="bottom"/>
          </w:tcPr>
          <w:p w14:paraId="2C681071"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2F4B9226" w14:textId="77777777" w:rsidR="00692E71" w:rsidRPr="001E3185" w:rsidRDefault="00692E71" w:rsidP="008E0250">
            <w:pPr>
              <w:jc w:val="center"/>
              <w:rPr>
                <w:rFonts w:cs="Arial"/>
              </w:rPr>
            </w:pPr>
            <w:r w:rsidRPr="001E3185">
              <w:rPr>
                <w:rFonts w:cs="Arial"/>
              </w:rPr>
              <w:t>46</w:t>
            </w:r>
          </w:p>
        </w:tc>
        <w:tc>
          <w:tcPr>
            <w:tcW w:w="1559" w:type="dxa"/>
            <w:shd w:val="clear" w:color="auto" w:fill="FFFFFF" w:themeFill="background1"/>
            <w:noWrap/>
            <w:vAlign w:val="center"/>
          </w:tcPr>
          <w:p w14:paraId="01328025" w14:textId="77777777" w:rsidR="00692E71" w:rsidRPr="001E3185" w:rsidRDefault="00692E71" w:rsidP="008E0250">
            <w:pPr>
              <w:jc w:val="center"/>
              <w:rPr>
                <w:rFonts w:cs="Arial"/>
              </w:rPr>
            </w:pPr>
            <w:r w:rsidRPr="001E3185">
              <w:rPr>
                <w:rFonts w:cs="Arial"/>
              </w:rPr>
              <w:t>30</w:t>
            </w:r>
          </w:p>
        </w:tc>
        <w:tc>
          <w:tcPr>
            <w:tcW w:w="1560" w:type="dxa"/>
            <w:shd w:val="clear" w:color="auto" w:fill="FFFFFF" w:themeFill="background1"/>
            <w:noWrap/>
            <w:vAlign w:val="center"/>
          </w:tcPr>
          <w:p w14:paraId="096AB1BC" w14:textId="77777777" w:rsidR="00692E71" w:rsidRPr="001E3185" w:rsidRDefault="00692E71" w:rsidP="008E0250">
            <w:pPr>
              <w:jc w:val="center"/>
              <w:rPr>
                <w:rFonts w:cs="Arial"/>
              </w:rPr>
            </w:pPr>
            <w:r w:rsidRPr="001E3185">
              <w:rPr>
                <w:rFonts w:cs="Arial"/>
              </w:rPr>
              <w:t>10.75</w:t>
            </w:r>
          </w:p>
        </w:tc>
        <w:tc>
          <w:tcPr>
            <w:tcW w:w="1559" w:type="dxa"/>
            <w:shd w:val="clear" w:color="auto" w:fill="FFFFFF" w:themeFill="background1"/>
            <w:vAlign w:val="center"/>
          </w:tcPr>
          <w:p w14:paraId="5D3125CE" w14:textId="77777777" w:rsidR="00692E71" w:rsidRPr="001E3185" w:rsidRDefault="00692E71" w:rsidP="008E0250">
            <w:pPr>
              <w:jc w:val="center"/>
              <w:rPr>
                <w:rFonts w:cs="Arial"/>
              </w:rPr>
            </w:pPr>
            <w:r w:rsidRPr="001E3185">
              <w:rPr>
                <w:rFonts w:cs="Arial"/>
              </w:rPr>
              <w:t>5.0*10</w:t>
            </w:r>
            <w:r w:rsidRPr="001E3185">
              <w:rPr>
                <w:rFonts w:cs="Arial"/>
                <w:vertAlign w:val="superscript"/>
              </w:rPr>
              <w:t>-3</w:t>
            </w:r>
          </w:p>
        </w:tc>
      </w:tr>
      <w:tr w:rsidR="00692E71" w:rsidRPr="001E3185" w14:paraId="713C7AF6" w14:textId="77777777" w:rsidTr="008E0250">
        <w:trPr>
          <w:trHeight w:val="20"/>
        </w:trPr>
        <w:tc>
          <w:tcPr>
            <w:tcW w:w="3681" w:type="dxa"/>
            <w:shd w:val="clear" w:color="auto" w:fill="FFFFFF" w:themeFill="background1"/>
            <w:noWrap/>
            <w:vAlign w:val="bottom"/>
          </w:tcPr>
          <w:p w14:paraId="075DA6B1"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2ED096C3"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1334951A" w14:textId="77777777" w:rsidR="00692E71" w:rsidRPr="001E3185" w:rsidRDefault="00692E71" w:rsidP="008E0250">
            <w:pPr>
              <w:jc w:val="center"/>
              <w:rPr>
                <w:rFonts w:cs="Arial"/>
                <w:lang w:eastAsia="da-DK"/>
              </w:rPr>
            </w:pPr>
            <w:r w:rsidRPr="001E3185">
              <w:rPr>
                <w:rFonts w:cs="Arial"/>
              </w:rPr>
              <w:t>11</w:t>
            </w:r>
          </w:p>
        </w:tc>
        <w:tc>
          <w:tcPr>
            <w:tcW w:w="1560" w:type="dxa"/>
            <w:shd w:val="clear" w:color="auto" w:fill="FFFFFF" w:themeFill="background1"/>
            <w:noWrap/>
            <w:vAlign w:val="center"/>
          </w:tcPr>
          <w:p w14:paraId="6348CD40" w14:textId="77777777" w:rsidR="00692E71" w:rsidRPr="001E3185" w:rsidRDefault="00692E71" w:rsidP="008E0250">
            <w:pPr>
              <w:jc w:val="center"/>
              <w:rPr>
                <w:rFonts w:cs="Arial"/>
                <w:lang w:eastAsia="da-DK"/>
              </w:rPr>
            </w:pPr>
            <w:r w:rsidRPr="001E3185">
              <w:rPr>
                <w:rFonts w:cs="Arial"/>
              </w:rPr>
              <w:t>3.72</w:t>
            </w:r>
          </w:p>
        </w:tc>
        <w:tc>
          <w:tcPr>
            <w:tcW w:w="1559" w:type="dxa"/>
            <w:shd w:val="clear" w:color="auto" w:fill="FFFFFF" w:themeFill="background1"/>
            <w:vAlign w:val="center"/>
          </w:tcPr>
          <w:p w14:paraId="7AF70309" w14:textId="77777777" w:rsidR="00692E71" w:rsidRPr="001E3185" w:rsidRDefault="00692E71" w:rsidP="008E0250">
            <w:pPr>
              <w:jc w:val="center"/>
              <w:rPr>
                <w:rFonts w:cs="Arial"/>
                <w:lang w:eastAsia="da-DK"/>
              </w:rPr>
            </w:pPr>
            <w:r w:rsidRPr="001E3185">
              <w:rPr>
                <w:rFonts w:cs="Arial"/>
              </w:rPr>
              <w:t>1.1*10</w:t>
            </w:r>
            <w:r w:rsidRPr="001E3185">
              <w:rPr>
                <w:rFonts w:cs="Arial"/>
                <w:vertAlign w:val="superscript"/>
              </w:rPr>
              <w:t>-3</w:t>
            </w:r>
          </w:p>
        </w:tc>
      </w:tr>
      <w:tr w:rsidR="00692E71" w:rsidRPr="001E3185" w14:paraId="2BE657BF" w14:textId="77777777" w:rsidTr="008E0250">
        <w:trPr>
          <w:trHeight w:val="20"/>
        </w:trPr>
        <w:tc>
          <w:tcPr>
            <w:tcW w:w="3681" w:type="dxa"/>
            <w:shd w:val="clear" w:color="auto" w:fill="FFFFFF" w:themeFill="background1"/>
            <w:noWrap/>
            <w:vAlign w:val="bottom"/>
          </w:tcPr>
          <w:p w14:paraId="38461199"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731DF983" w14:textId="77777777" w:rsidR="00692E71" w:rsidRPr="001E3185" w:rsidRDefault="00692E71" w:rsidP="008E0250">
            <w:pPr>
              <w:jc w:val="center"/>
              <w:rPr>
                <w:rFonts w:cs="Arial"/>
                <w:lang w:eastAsia="da-DK"/>
              </w:rPr>
            </w:pPr>
            <w:r w:rsidRPr="001E3185">
              <w:rPr>
                <w:rFonts w:cs="Arial"/>
              </w:rPr>
              <w:t>3.7*10</w:t>
            </w:r>
            <w:r w:rsidRPr="001E3185">
              <w:rPr>
                <w:rFonts w:cs="Arial"/>
                <w:vertAlign w:val="superscript"/>
              </w:rPr>
              <w:t>-4</w:t>
            </w:r>
          </w:p>
        </w:tc>
        <w:tc>
          <w:tcPr>
            <w:tcW w:w="1559" w:type="dxa"/>
            <w:shd w:val="clear" w:color="auto" w:fill="FFFFFF" w:themeFill="background1"/>
            <w:noWrap/>
            <w:vAlign w:val="center"/>
          </w:tcPr>
          <w:p w14:paraId="5FFA1C1C" w14:textId="77777777" w:rsidR="00692E71" w:rsidRPr="001E3185" w:rsidRDefault="00692E71" w:rsidP="008E0250">
            <w:pPr>
              <w:jc w:val="center"/>
              <w:rPr>
                <w:rFonts w:cs="Arial"/>
                <w:lang w:eastAsia="da-DK"/>
              </w:rPr>
            </w:pPr>
            <w:r w:rsidRPr="001E3185">
              <w:rPr>
                <w:rFonts w:cs="Arial"/>
              </w:rPr>
              <w:t>1.87</w:t>
            </w:r>
          </w:p>
        </w:tc>
        <w:tc>
          <w:tcPr>
            <w:tcW w:w="1560" w:type="dxa"/>
            <w:shd w:val="clear" w:color="auto" w:fill="FFFFFF" w:themeFill="background1"/>
            <w:noWrap/>
            <w:vAlign w:val="center"/>
          </w:tcPr>
          <w:p w14:paraId="19155263" w14:textId="77777777" w:rsidR="00692E71" w:rsidRPr="001E3185" w:rsidRDefault="00692E71" w:rsidP="008E0250">
            <w:pPr>
              <w:jc w:val="center"/>
              <w:rPr>
                <w:rFonts w:cs="Arial"/>
                <w:lang w:eastAsia="da-DK"/>
              </w:rPr>
            </w:pPr>
            <w:r w:rsidRPr="001E3185">
              <w:rPr>
                <w:rFonts w:cs="Arial"/>
              </w:rPr>
              <w:t>0.39</w:t>
            </w:r>
          </w:p>
        </w:tc>
        <w:tc>
          <w:tcPr>
            <w:tcW w:w="1559" w:type="dxa"/>
            <w:shd w:val="clear" w:color="auto" w:fill="FFFFFF" w:themeFill="background1"/>
            <w:vAlign w:val="center"/>
          </w:tcPr>
          <w:p w14:paraId="62066F3D" w14:textId="77777777" w:rsidR="00692E71" w:rsidRPr="001E3185" w:rsidRDefault="00692E71" w:rsidP="008E0250">
            <w:pPr>
              <w:jc w:val="center"/>
              <w:rPr>
                <w:rFonts w:cs="Arial"/>
                <w:lang w:eastAsia="da-DK"/>
              </w:rPr>
            </w:pPr>
            <w:r w:rsidRPr="001E3185">
              <w:rPr>
                <w:rFonts w:cs="Arial"/>
              </w:rPr>
              <w:t>1.4*10</w:t>
            </w:r>
            <w:r w:rsidRPr="001E3185">
              <w:rPr>
                <w:rFonts w:cs="Arial"/>
                <w:vertAlign w:val="superscript"/>
              </w:rPr>
              <w:t>-5</w:t>
            </w:r>
          </w:p>
        </w:tc>
      </w:tr>
      <w:tr w:rsidR="00692E71" w:rsidRPr="001E3185" w14:paraId="0B386009" w14:textId="77777777" w:rsidTr="008E0250">
        <w:trPr>
          <w:trHeight w:val="20"/>
        </w:trPr>
        <w:tc>
          <w:tcPr>
            <w:tcW w:w="9351" w:type="dxa"/>
            <w:gridSpan w:val="5"/>
            <w:shd w:val="clear" w:color="auto" w:fill="FFFFFF" w:themeFill="background1"/>
            <w:noWrap/>
            <w:vAlign w:val="bottom"/>
          </w:tcPr>
          <w:p w14:paraId="3EC0F308" w14:textId="77777777" w:rsidR="00692E71" w:rsidRPr="001E3185" w:rsidRDefault="00692E71" w:rsidP="008E0250">
            <w:pPr>
              <w:jc w:val="center"/>
              <w:rPr>
                <w:rFonts w:cs="Arial"/>
              </w:rPr>
            </w:pPr>
          </w:p>
        </w:tc>
      </w:tr>
      <w:tr w:rsidR="00692E71" w:rsidRPr="001E3185" w14:paraId="167F26E9" w14:textId="77777777" w:rsidTr="008E0250">
        <w:trPr>
          <w:trHeight w:val="20"/>
        </w:trPr>
        <w:tc>
          <w:tcPr>
            <w:tcW w:w="9351" w:type="dxa"/>
            <w:gridSpan w:val="5"/>
            <w:shd w:val="clear" w:color="auto" w:fill="FFFFFF" w:themeFill="background1"/>
            <w:noWrap/>
            <w:vAlign w:val="center"/>
          </w:tcPr>
          <w:p w14:paraId="0CC902DA" w14:textId="77777777" w:rsidR="00692E71" w:rsidRPr="001E3185" w:rsidRDefault="00692E71" w:rsidP="008E0250">
            <w:pPr>
              <w:rPr>
                <w:rFonts w:cs="Arial"/>
              </w:rPr>
            </w:pPr>
            <w:r w:rsidRPr="001E3185">
              <w:rPr>
                <w:rFonts w:cs="Arial"/>
                <w:b/>
                <w:lang w:eastAsia="da-DK"/>
              </w:rPr>
              <w:t>Fence (brushing, pore water)</w:t>
            </w:r>
          </w:p>
        </w:tc>
      </w:tr>
      <w:tr w:rsidR="00692E71" w:rsidRPr="001E3185" w14:paraId="3997A22C" w14:textId="77777777" w:rsidTr="008E0250">
        <w:trPr>
          <w:trHeight w:val="20"/>
        </w:trPr>
        <w:tc>
          <w:tcPr>
            <w:tcW w:w="3681" w:type="dxa"/>
            <w:shd w:val="clear" w:color="auto" w:fill="FFFFFF" w:themeFill="background1"/>
            <w:noWrap/>
            <w:vAlign w:val="bottom"/>
          </w:tcPr>
          <w:p w14:paraId="27047796"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1</w:t>
            </w:r>
          </w:p>
        </w:tc>
        <w:tc>
          <w:tcPr>
            <w:tcW w:w="992" w:type="dxa"/>
            <w:shd w:val="clear" w:color="auto" w:fill="FFFFFF" w:themeFill="background1"/>
            <w:noWrap/>
            <w:vAlign w:val="center"/>
          </w:tcPr>
          <w:p w14:paraId="716C7F25" w14:textId="77777777" w:rsidR="00692E71" w:rsidRPr="001E3185" w:rsidRDefault="00692E71" w:rsidP="008E0250">
            <w:pPr>
              <w:jc w:val="center"/>
              <w:rPr>
                <w:rFonts w:cs="Arial"/>
                <w:lang w:eastAsia="da-DK"/>
              </w:rPr>
            </w:pPr>
            <w:r w:rsidRPr="001E3185">
              <w:rPr>
                <w:rFonts w:cs="Arial"/>
              </w:rPr>
              <w:t>20</w:t>
            </w:r>
          </w:p>
        </w:tc>
        <w:tc>
          <w:tcPr>
            <w:tcW w:w="1559" w:type="dxa"/>
            <w:shd w:val="clear" w:color="auto" w:fill="FFFFFF" w:themeFill="background1"/>
            <w:noWrap/>
            <w:vAlign w:val="center"/>
          </w:tcPr>
          <w:p w14:paraId="6A569D7C" w14:textId="77777777" w:rsidR="00692E71" w:rsidRPr="001E3185" w:rsidRDefault="00692E71" w:rsidP="008E0250">
            <w:pPr>
              <w:jc w:val="center"/>
              <w:rPr>
                <w:rFonts w:cs="Arial"/>
              </w:rPr>
            </w:pPr>
            <w:r w:rsidRPr="001E3185">
              <w:rPr>
                <w:rFonts w:cs="Arial"/>
              </w:rPr>
              <w:t>10</w:t>
            </w:r>
          </w:p>
        </w:tc>
        <w:tc>
          <w:tcPr>
            <w:tcW w:w="1560" w:type="dxa"/>
            <w:shd w:val="clear" w:color="auto" w:fill="FFFFFF" w:themeFill="background1"/>
            <w:noWrap/>
            <w:vAlign w:val="center"/>
          </w:tcPr>
          <w:p w14:paraId="17E47F62" w14:textId="77777777" w:rsidR="00692E71" w:rsidRPr="001E3185" w:rsidRDefault="00692E71" w:rsidP="008E0250">
            <w:pPr>
              <w:jc w:val="center"/>
              <w:rPr>
                <w:rFonts w:cs="Arial"/>
              </w:rPr>
            </w:pPr>
            <w:r w:rsidRPr="001E3185">
              <w:rPr>
                <w:rFonts w:cs="Arial"/>
              </w:rPr>
              <w:t>3.73</w:t>
            </w:r>
          </w:p>
        </w:tc>
        <w:tc>
          <w:tcPr>
            <w:tcW w:w="1559" w:type="dxa"/>
            <w:shd w:val="clear" w:color="auto" w:fill="FFFFFF" w:themeFill="background1"/>
            <w:vAlign w:val="center"/>
          </w:tcPr>
          <w:p w14:paraId="33F78435" w14:textId="77777777" w:rsidR="00692E71" w:rsidRPr="001E3185" w:rsidRDefault="00692E71" w:rsidP="008E0250">
            <w:pPr>
              <w:jc w:val="center"/>
              <w:rPr>
                <w:rFonts w:cs="Arial"/>
              </w:rPr>
            </w:pPr>
            <w:r w:rsidRPr="001E3185">
              <w:rPr>
                <w:rFonts w:cs="Arial"/>
              </w:rPr>
              <w:t>3.3*10</w:t>
            </w:r>
            <w:r w:rsidRPr="001E3185">
              <w:rPr>
                <w:rFonts w:cs="Arial"/>
                <w:vertAlign w:val="superscript"/>
              </w:rPr>
              <w:t>-3</w:t>
            </w:r>
          </w:p>
        </w:tc>
      </w:tr>
      <w:tr w:rsidR="00692E71" w:rsidRPr="001E3185" w14:paraId="691675F7" w14:textId="77777777" w:rsidTr="008E0250">
        <w:trPr>
          <w:trHeight w:val="20"/>
        </w:trPr>
        <w:tc>
          <w:tcPr>
            <w:tcW w:w="3681" w:type="dxa"/>
            <w:shd w:val="clear" w:color="auto" w:fill="FFFFFF" w:themeFill="background1"/>
            <w:noWrap/>
            <w:vAlign w:val="bottom"/>
          </w:tcPr>
          <w:p w14:paraId="09353F50"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5ACAA4EC" w14:textId="77777777" w:rsidR="00692E71" w:rsidRPr="001E3185" w:rsidRDefault="00692E71" w:rsidP="008E0250">
            <w:pPr>
              <w:jc w:val="center"/>
              <w:rPr>
                <w:rFonts w:cs="Arial"/>
                <w:lang w:eastAsia="da-DK"/>
              </w:rPr>
            </w:pPr>
            <w:r w:rsidRPr="001E3185">
              <w:rPr>
                <w:rFonts w:cs="Arial"/>
              </w:rPr>
              <w:t>39</w:t>
            </w:r>
          </w:p>
        </w:tc>
        <w:tc>
          <w:tcPr>
            <w:tcW w:w="1559" w:type="dxa"/>
            <w:shd w:val="clear" w:color="auto" w:fill="FFFFFF" w:themeFill="background1"/>
            <w:noWrap/>
            <w:vAlign w:val="center"/>
          </w:tcPr>
          <w:p w14:paraId="2B25C8CD" w14:textId="77777777" w:rsidR="00692E71" w:rsidRPr="001E3185" w:rsidRDefault="00692E71" w:rsidP="008E0250">
            <w:pPr>
              <w:jc w:val="center"/>
              <w:rPr>
                <w:rFonts w:cs="Arial"/>
              </w:rPr>
            </w:pPr>
            <w:r w:rsidRPr="001E3185">
              <w:rPr>
                <w:rFonts w:cs="Arial"/>
              </w:rPr>
              <w:t>25</w:t>
            </w:r>
          </w:p>
        </w:tc>
        <w:tc>
          <w:tcPr>
            <w:tcW w:w="1560" w:type="dxa"/>
            <w:shd w:val="clear" w:color="auto" w:fill="FFFFFF" w:themeFill="background1"/>
            <w:noWrap/>
            <w:vAlign w:val="center"/>
          </w:tcPr>
          <w:p w14:paraId="63953CDB" w14:textId="77777777" w:rsidR="00692E71" w:rsidRPr="001E3185" w:rsidRDefault="00692E71" w:rsidP="008E0250">
            <w:pPr>
              <w:jc w:val="center"/>
              <w:rPr>
                <w:rFonts w:cs="Arial"/>
              </w:rPr>
            </w:pPr>
            <w:r w:rsidRPr="001E3185">
              <w:rPr>
                <w:rFonts w:cs="Arial"/>
              </w:rPr>
              <w:t>8.94</w:t>
            </w:r>
          </w:p>
        </w:tc>
        <w:tc>
          <w:tcPr>
            <w:tcW w:w="1559" w:type="dxa"/>
            <w:shd w:val="clear" w:color="auto" w:fill="FFFFFF" w:themeFill="background1"/>
            <w:vAlign w:val="center"/>
          </w:tcPr>
          <w:p w14:paraId="6F4C9C56" w14:textId="77777777" w:rsidR="00692E71" w:rsidRPr="001E3185" w:rsidRDefault="00692E71" w:rsidP="008E0250">
            <w:pPr>
              <w:jc w:val="center"/>
              <w:rPr>
                <w:rFonts w:cs="Arial"/>
              </w:rPr>
            </w:pPr>
            <w:r w:rsidRPr="001E3185">
              <w:rPr>
                <w:rFonts w:cs="Arial"/>
              </w:rPr>
              <w:t>4.2*10</w:t>
            </w:r>
            <w:r w:rsidRPr="001E3185">
              <w:rPr>
                <w:rFonts w:cs="Arial"/>
                <w:vertAlign w:val="superscript"/>
              </w:rPr>
              <w:t>-3</w:t>
            </w:r>
          </w:p>
        </w:tc>
      </w:tr>
      <w:tr w:rsidR="00692E71" w:rsidRPr="001E3185" w14:paraId="72A4B8C4" w14:textId="77777777" w:rsidTr="008E0250">
        <w:trPr>
          <w:trHeight w:val="20"/>
        </w:trPr>
        <w:tc>
          <w:tcPr>
            <w:tcW w:w="3681" w:type="dxa"/>
            <w:shd w:val="clear" w:color="auto" w:fill="FFFFFF" w:themeFill="background1"/>
            <w:noWrap/>
            <w:vAlign w:val="bottom"/>
          </w:tcPr>
          <w:p w14:paraId="1DB8862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4AFE946D"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2390FDC7" w14:textId="77777777" w:rsidR="00692E71" w:rsidRPr="001E3185" w:rsidRDefault="00692E71" w:rsidP="008E0250">
            <w:pPr>
              <w:jc w:val="center"/>
              <w:rPr>
                <w:rFonts w:cs="Arial"/>
              </w:rPr>
            </w:pPr>
            <w:r w:rsidRPr="001E3185">
              <w:rPr>
                <w:rFonts w:cs="Arial"/>
              </w:rPr>
              <w:t>8.84</w:t>
            </w:r>
          </w:p>
        </w:tc>
        <w:tc>
          <w:tcPr>
            <w:tcW w:w="1560" w:type="dxa"/>
            <w:shd w:val="clear" w:color="auto" w:fill="FFFFFF" w:themeFill="background1"/>
            <w:noWrap/>
            <w:vAlign w:val="center"/>
          </w:tcPr>
          <w:p w14:paraId="0C648F84" w14:textId="77777777" w:rsidR="00692E71" w:rsidRPr="001E3185" w:rsidRDefault="00692E71" w:rsidP="008E0250">
            <w:pPr>
              <w:jc w:val="center"/>
              <w:rPr>
                <w:rFonts w:cs="Arial"/>
              </w:rPr>
            </w:pPr>
            <w:r w:rsidRPr="001E3185">
              <w:rPr>
                <w:rFonts w:cs="Arial"/>
              </w:rPr>
              <w:t>3.10</w:t>
            </w:r>
          </w:p>
        </w:tc>
        <w:tc>
          <w:tcPr>
            <w:tcW w:w="1559" w:type="dxa"/>
            <w:shd w:val="clear" w:color="auto" w:fill="FFFFFF" w:themeFill="background1"/>
            <w:vAlign w:val="center"/>
          </w:tcPr>
          <w:p w14:paraId="08E274BA" w14:textId="77777777" w:rsidR="00692E71" w:rsidRPr="001E3185" w:rsidRDefault="00692E71" w:rsidP="008E0250">
            <w:pPr>
              <w:jc w:val="center"/>
              <w:rPr>
                <w:rFonts w:cs="Arial"/>
              </w:rPr>
            </w:pPr>
            <w:r w:rsidRPr="001E3185">
              <w:rPr>
                <w:rFonts w:cs="Arial"/>
              </w:rPr>
              <w:t>9.5*10</w:t>
            </w:r>
            <w:r w:rsidRPr="001E3185">
              <w:rPr>
                <w:rFonts w:cs="Arial"/>
                <w:vertAlign w:val="superscript"/>
              </w:rPr>
              <w:t>-4</w:t>
            </w:r>
          </w:p>
        </w:tc>
      </w:tr>
      <w:tr w:rsidR="00692E71" w:rsidRPr="001E3185" w14:paraId="715FA335" w14:textId="77777777" w:rsidTr="008E0250">
        <w:trPr>
          <w:trHeight w:val="20"/>
        </w:trPr>
        <w:tc>
          <w:tcPr>
            <w:tcW w:w="3681" w:type="dxa"/>
            <w:shd w:val="clear" w:color="auto" w:fill="FFFFFF" w:themeFill="background1"/>
            <w:noWrap/>
            <w:vAlign w:val="bottom"/>
          </w:tcPr>
          <w:p w14:paraId="3451360F"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2A93A4DC" w14:textId="77777777" w:rsidR="00692E71" w:rsidRPr="001E3185" w:rsidRDefault="00692E71" w:rsidP="008E0250">
            <w:pPr>
              <w:jc w:val="center"/>
              <w:rPr>
                <w:rFonts w:cs="Arial"/>
                <w:lang w:eastAsia="da-DK"/>
              </w:rPr>
            </w:pPr>
            <w:r w:rsidRPr="001E3185">
              <w:rPr>
                <w:rFonts w:cs="Arial"/>
              </w:rPr>
              <w:t>3.1*10</w:t>
            </w:r>
            <w:r w:rsidRPr="001E3185">
              <w:rPr>
                <w:rFonts w:cs="Arial"/>
                <w:vertAlign w:val="superscript"/>
              </w:rPr>
              <w:t>-4</w:t>
            </w:r>
          </w:p>
        </w:tc>
        <w:tc>
          <w:tcPr>
            <w:tcW w:w="1559" w:type="dxa"/>
            <w:shd w:val="clear" w:color="auto" w:fill="FFFFFF" w:themeFill="background1"/>
            <w:noWrap/>
            <w:vAlign w:val="center"/>
          </w:tcPr>
          <w:p w14:paraId="7D28435E" w14:textId="77777777" w:rsidR="00692E71" w:rsidRPr="001E3185" w:rsidRDefault="00692E71" w:rsidP="008E0250">
            <w:pPr>
              <w:jc w:val="center"/>
              <w:rPr>
                <w:rFonts w:cs="Arial"/>
              </w:rPr>
            </w:pPr>
            <w:r w:rsidRPr="001E3185">
              <w:rPr>
                <w:rFonts w:cs="Arial"/>
              </w:rPr>
              <w:t>1.56</w:t>
            </w:r>
          </w:p>
        </w:tc>
        <w:tc>
          <w:tcPr>
            <w:tcW w:w="1560" w:type="dxa"/>
            <w:shd w:val="clear" w:color="auto" w:fill="FFFFFF" w:themeFill="background1"/>
            <w:noWrap/>
            <w:vAlign w:val="center"/>
          </w:tcPr>
          <w:p w14:paraId="0CAD56E0" w14:textId="77777777" w:rsidR="00692E71" w:rsidRPr="001E3185" w:rsidRDefault="00692E71" w:rsidP="008E0250">
            <w:pPr>
              <w:jc w:val="center"/>
              <w:rPr>
                <w:rFonts w:cs="Arial"/>
              </w:rPr>
            </w:pPr>
            <w:r w:rsidRPr="001E3185">
              <w:rPr>
                <w:rFonts w:cs="Arial"/>
              </w:rPr>
              <w:t>0.32</w:t>
            </w:r>
          </w:p>
        </w:tc>
        <w:tc>
          <w:tcPr>
            <w:tcW w:w="1559" w:type="dxa"/>
            <w:shd w:val="clear" w:color="auto" w:fill="FFFFFF" w:themeFill="background1"/>
            <w:vAlign w:val="center"/>
          </w:tcPr>
          <w:p w14:paraId="70EA8E3D" w14:textId="77777777" w:rsidR="00692E71" w:rsidRPr="001E3185" w:rsidRDefault="00692E71" w:rsidP="008E0250">
            <w:pPr>
              <w:jc w:val="center"/>
              <w:rPr>
                <w:rFonts w:cs="Arial"/>
              </w:rPr>
            </w:pPr>
            <w:r w:rsidRPr="001E3185">
              <w:rPr>
                <w:rFonts w:cs="Arial"/>
              </w:rPr>
              <w:t>1.2*10</w:t>
            </w:r>
            <w:r w:rsidRPr="001E3185">
              <w:rPr>
                <w:rFonts w:cs="Arial"/>
                <w:vertAlign w:val="superscript"/>
              </w:rPr>
              <w:t>-5</w:t>
            </w:r>
          </w:p>
        </w:tc>
      </w:tr>
    </w:tbl>
    <w:p w14:paraId="7D051B91" w14:textId="77777777" w:rsidR="00692E71" w:rsidRPr="001E3185" w:rsidRDefault="00692E71" w:rsidP="00692E71">
      <w:pPr>
        <w:rPr>
          <w:rFonts w:cs="Arial"/>
        </w:rPr>
      </w:pPr>
    </w:p>
    <w:p w14:paraId="47FF787F"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44</w:t>
      </w:r>
      <w:r w:rsidRPr="001E3185">
        <w:rPr>
          <w:rFonts w:ascii="Verdana" w:hAnsi="Verdana"/>
        </w:rPr>
        <w:fldChar w:fldCharType="end"/>
      </w:r>
      <w:r w:rsidRPr="001E3185">
        <w:rPr>
          <w:rFonts w:ascii="Verdana" w:hAnsi="Verdana"/>
        </w:rPr>
        <w:t>: PEC in pore water, spraying.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559"/>
        <w:gridCol w:w="1560"/>
        <w:gridCol w:w="1559"/>
      </w:tblGrid>
      <w:tr w:rsidR="00692E71" w:rsidRPr="001E3185" w14:paraId="7F4B6E5D" w14:textId="77777777" w:rsidTr="008E0250">
        <w:trPr>
          <w:trHeight w:val="20"/>
          <w:tblHeader/>
        </w:trPr>
        <w:tc>
          <w:tcPr>
            <w:tcW w:w="3681" w:type="dxa"/>
            <w:shd w:val="clear" w:color="auto" w:fill="FFFFFF" w:themeFill="background1"/>
            <w:noWrap/>
            <w:vAlign w:val="bottom"/>
          </w:tcPr>
          <w:p w14:paraId="2EBE6C7D"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5A54D4C5"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03736FD9"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560" w:type="dxa"/>
            <w:shd w:val="clear" w:color="auto" w:fill="FFFFFF" w:themeFill="background1"/>
            <w:noWrap/>
            <w:vAlign w:val="center"/>
          </w:tcPr>
          <w:p w14:paraId="7E9688FB"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70120B61"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25780898" w14:textId="77777777" w:rsidTr="008E0250">
        <w:trPr>
          <w:trHeight w:val="20"/>
        </w:trPr>
        <w:tc>
          <w:tcPr>
            <w:tcW w:w="9351" w:type="dxa"/>
            <w:gridSpan w:val="5"/>
            <w:shd w:val="clear" w:color="auto" w:fill="FFFFFF" w:themeFill="background1"/>
            <w:noWrap/>
            <w:vAlign w:val="center"/>
          </w:tcPr>
          <w:p w14:paraId="0BD5D5CE" w14:textId="77777777" w:rsidR="00692E71" w:rsidRPr="001E3185" w:rsidRDefault="00692E71" w:rsidP="008E0250">
            <w:pPr>
              <w:rPr>
                <w:rFonts w:cs="Arial"/>
              </w:rPr>
            </w:pPr>
            <w:r w:rsidRPr="001E3185">
              <w:rPr>
                <w:rFonts w:cs="Arial"/>
                <w:b/>
                <w:lang w:eastAsia="da-DK"/>
              </w:rPr>
              <w:t>House (spraying, Tier 1, pore water)</w:t>
            </w:r>
          </w:p>
        </w:tc>
      </w:tr>
      <w:tr w:rsidR="00692E71" w:rsidRPr="001E3185" w14:paraId="7DCFF6EC" w14:textId="77777777" w:rsidTr="008E0250">
        <w:trPr>
          <w:trHeight w:val="20"/>
        </w:trPr>
        <w:tc>
          <w:tcPr>
            <w:tcW w:w="3681" w:type="dxa"/>
            <w:shd w:val="clear" w:color="auto" w:fill="FFFFFF" w:themeFill="background1"/>
            <w:noWrap/>
            <w:vAlign w:val="bottom"/>
          </w:tcPr>
          <w:p w14:paraId="08EE710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3E721FA3"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3B3475C0" w14:textId="77777777" w:rsidR="00692E71" w:rsidRPr="001E3185" w:rsidRDefault="00692E71" w:rsidP="008E0250">
            <w:pPr>
              <w:jc w:val="center"/>
              <w:rPr>
                <w:rFonts w:cs="Arial"/>
              </w:rPr>
            </w:pPr>
            <w:r w:rsidRPr="001E3185">
              <w:rPr>
                <w:rFonts w:cs="Arial"/>
              </w:rPr>
              <w:t>32</w:t>
            </w:r>
          </w:p>
        </w:tc>
        <w:tc>
          <w:tcPr>
            <w:tcW w:w="1560" w:type="dxa"/>
            <w:shd w:val="clear" w:color="auto" w:fill="FFFFFF" w:themeFill="background1"/>
            <w:noWrap/>
            <w:vAlign w:val="center"/>
          </w:tcPr>
          <w:p w14:paraId="66960FCE" w14:textId="77777777" w:rsidR="00692E71" w:rsidRPr="001E3185" w:rsidRDefault="00692E71" w:rsidP="008E0250">
            <w:pPr>
              <w:jc w:val="center"/>
              <w:rPr>
                <w:rFonts w:cs="Arial"/>
              </w:rPr>
            </w:pPr>
            <w:r w:rsidRPr="001E3185">
              <w:rPr>
                <w:rFonts w:cs="Arial"/>
              </w:rPr>
              <w:t>9.79</w:t>
            </w:r>
          </w:p>
        </w:tc>
        <w:tc>
          <w:tcPr>
            <w:tcW w:w="1559" w:type="dxa"/>
            <w:shd w:val="clear" w:color="auto" w:fill="FFFFFF" w:themeFill="background1"/>
            <w:vAlign w:val="center"/>
          </w:tcPr>
          <w:p w14:paraId="25E92F80" w14:textId="77777777" w:rsidR="00692E71" w:rsidRPr="001E3185" w:rsidRDefault="00692E71" w:rsidP="008E0250">
            <w:pPr>
              <w:jc w:val="center"/>
              <w:rPr>
                <w:rFonts w:cs="Arial"/>
              </w:rPr>
            </w:pPr>
            <w:r w:rsidRPr="001E3185">
              <w:rPr>
                <w:rFonts w:cs="Arial"/>
              </w:rPr>
              <w:t>6.7*10</w:t>
            </w:r>
            <w:r w:rsidRPr="001E3185">
              <w:rPr>
                <w:rFonts w:cs="Arial"/>
                <w:vertAlign w:val="superscript"/>
              </w:rPr>
              <w:t>-3</w:t>
            </w:r>
          </w:p>
        </w:tc>
      </w:tr>
      <w:tr w:rsidR="00692E71" w:rsidRPr="001E3185" w14:paraId="6BE264E3" w14:textId="77777777" w:rsidTr="008E0250">
        <w:trPr>
          <w:trHeight w:val="20"/>
        </w:trPr>
        <w:tc>
          <w:tcPr>
            <w:tcW w:w="3681" w:type="dxa"/>
            <w:shd w:val="clear" w:color="auto" w:fill="FFFFFF" w:themeFill="background1"/>
            <w:noWrap/>
            <w:vAlign w:val="bottom"/>
          </w:tcPr>
          <w:p w14:paraId="2E40A92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01A53853" w14:textId="77777777" w:rsidR="00692E71" w:rsidRPr="001E3185" w:rsidRDefault="00692E71" w:rsidP="008E0250">
            <w:pPr>
              <w:jc w:val="center"/>
              <w:rPr>
                <w:rFonts w:cs="Arial"/>
                <w:lang w:eastAsia="da-DK"/>
              </w:rPr>
            </w:pPr>
            <w:r w:rsidRPr="001E3185">
              <w:rPr>
                <w:rFonts w:cs="Arial"/>
              </w:rPr>
              <w:t>3.7*10</w:t>
            </w:r>
            <w:r w:rsidRPr="001E3185">
              <w:rPr>
                <w:rFonts w:cs="Arial"/>
                <w:vertAlign w:val="superscript"/>
              </w:rPr>
              <w:t>-4</w:t>
            </w:r>
          </w:p>
        </w:tc>
        <w:tc>
          <w:tcPr>
            <w:tcW w:w="1559" w:type="dxa"/>
            <w:shd w:val="clear" w:color="auto" w:fill="FFFFFF" w:themeFill="background1"/>
            <w:noWrap/>
            <w:vAlign w:val="center"/>
          </w:tcPr>
          <w:p w14:paraId="3A6E79C1" w14:textId="77777777" w:rsidR="00692E71" w:rsidRPr="001E3185" w:rsidRDefault="00692E71" w:rsidP="008E0250">
            <w:pPr>
              <w:jc w:val="center"/>
              <w:rPr>
                <w:rFonts w:cs="Arial"/>
              </w:rPr>
            </w:pPr>
            <w:r w:rsidRPr="001E3185">
              <w:rPr>
                <w:rFonts w:cs="Arial"/>
              </w:rPr>
              <w:t>1.87</w:t>
            </w:r>
          </w:p>
        </w:tc>
        <w:tc>
          <w:tcPr>
            <w:tcW w:w="1560" w:type="dxa"/>
            <w:shd w:val="clear" w:color="auto" w:fill="FFFFFF" w:themeFill="background1"/>
            <w:noWrap/>
            <w:vAlign w:val="center"/>
          </w:tcPr>
          <w:p w14:paraId="3B41C465" w14:textId="77777777" w:rsidR="00692E71" w:rsidRPr="001E3185" w:rsidRDefault="00692E71" w:rsidP="008E0250">
            <w:pPr>
              <w:jc w:val="center"/>
              <w:rPr>
                <w:rFonts w:cs="Arial"/>
              </w:rPr>
            </w:pPr>
            <w:r w:rsidRPr="001E3185">
              <w:rPr>
                <w:rFonts w:cs="Arial"/>
              </w:rPr>
              <w:t>0.39</w:t>
            </w:r>
          </w:p>
        </w:tc>
        <w:tc>
          <w:tcPr>
            <w:tcW w:w="1559" w:type="dxa"/>
            <w:shd w:val="clear" w:color="auto" w:fill="FFFFFF" w:themeFill="background1"/>
            <w:vAlign w:val="center"/>
          </w:tcPr>
          <w:p w14:paraId="65182F7B" w14:textId="77777777" w:rsidR="00692E71" w:rsidRPr="001E3185" w:rsidRDefault="00692E71" w:rsidP="008E0250">
            <w:pPr>
              <w:jc w:val="center"/>
              <w:rPr>
                <w:rFonts w:cs="Arial"/>
              </w:rPr>
            </w:pPr>
            <w:r w:rsidRPr="001E3185">
              <w:rPr>
                <w:rFonts w:cs="Arial"/>
              </w:rPr>
              <w:t>1.4*10</w:t>
            </w:r>
            <w:r w:rsidRPr="001E3185">
              <w:rPr>
                <w:rFonts w:cs="Arial"/>
                <w:vertAlign w:val="superscript"/>
              </w:rPr>
              <w:t>-5</w:t>
            </w:r>
          </w:p>
        </w:tc>
      </w:tr>
      <w:tr w:rsidR="00692E71" w:rsidRPr="001E3185" w14:paraId="677C0B7E" w14:textId="77777777" w:rsidTr="008E0250">
        <w:trPr>
          <w:trHeight w:val="20"/>
        </w:trPr>
        <w:tc>
          <w:tcPr>
            <w:tcW w:w="9351" w:type="dxa"/>
            <w:gridSpan w:val="5"/>
            <w:shd w:val="clear" w:color="auto" w:fill="FFFFFF" w:themeFill="background1"/>
            <w:noWrap/>
            <w:vAlign w:val="center"/>
          </w:tcPr>
          <w:p w14:paraId="6745452F" w14:textId="77777777" w:rsidR="00692E71" w:rsidRPr="001E3185" w:rsidRDefault="00692E71" w:rsidP="008E0250">
            <w:pPr>
              <w:rPr>
                <w:rFonts w:cs="Arial"/>
              </w:rPr>
            </w:pPr>
          </w:p>
        </w:tc>
      </w:tr>
      <w:tr w:rsidR="00692E71" w:rsidRPr="001E3185" w14:paraId="3583841D" w14:textId="77777777" w:rsidTr="008E0250">
        <w:trPr>
          <w:trHeight w:val="20"/>
        </w:trPr>
        <w:tc>
          <w:tcPr>
            <w:tcW w:w="9351" w:type="dxa"/>
            <w:gridSpan w:val="5"/>
            <w:shd w:val="clear" w:color="auto" w:fill="FFFFFF" w:themeFill="background1"/>
            <w:noWrap/>
            <w:vAlign w:val="center"/>
          </w:tcPr>
          <w:p w14:paraId="1CD1BE70" w14:textId="77777777" w:rsidR="00692E71" w:rsidRPr="001E3185" w:rsidRDefault="00692E71" w:rsidP="008E0250">
            <w:pPr>
              <w:rPr>
                <w:rFonts w:cs="Arial"/>
              </w:rPr>
            </w:pPr>
            <w:r w:rsidRPr="001E3185">
              <w:rPr>
                <w:rFonts w:cs="Arial"/>
                <w:b/>
                <w:lang w:eastAsia="da-DK"/>
              </w:rPr>
              <w:t>House (spraying, Tier 2, pore water)</w:t>
            </w:r>
          </w:p>
        </w:tc>
      </w:tr>
      <w:tr w:rsidR="00692E71" w:rsidRPr="001E3185" w14:paraId="575A625D" w14:textId="77777777" w:rsidTr="008E0250">
        <w:trPr>
          <w:trHeight w:val="20"/>
        </w:trPr>
        <w:tc>
          <w:tcPr>
            <w:tcW w:w="3681" w:type="dxa"/>
            <w:shd w:val="clear" w:color="auto" w:fill="FFFFFF" w:themeFill="background1"/>
            <w:noWrap/>
            <w:vAlign w:val="bottom"/>
          </w:tcPr>
          <w:p w14:paraId="1170139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13AB8303"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35CDBBB1" w14:textId="77777777" w:rsidR="00692E71" w:rsidRPr="001E3185" w:rsidRDefault="00692E71" w:rsidP="008E0250">
            <w:pPr>
              <w:jc w:val="center"/>
              <w:rPr>
                <w:rFonts w:cs="Arial"/>
              </w:rPr>
            </w:pPr>
            <w:r w:rsidRPr="001E3185">
              <w:rPr>
                <w:rFonts w:cs="Arial"/>
              </w:rPr>
              <w:t>9</w:t>
            </w:r>
          </w:p>
        </w:tc>
        <w:tc>
          <w:tcPr>
            <w:tcW w:w="1560" w:type="dxa"/>
            <w:shd w:val="clear" w:color="auto" w:fill="FFFFFF" w:themeFill="background1"/>
            <w:noWrap/>
            <w:vAlign w:val="center"/>
          </w:tcPr>
          <w:p w14:paraId="30A65895" w14:textId="77777777" w:rsidR="00692E71" w:rsidRPr="001E3185" w:rsidRDefault="00692E71" w:rsidP="008E0250">
            <w:pPr>
              <w:jc w:val="center"/>
              <w:rPr>
                <w:rFonts w:cs="Arial"/>
              </w:rPr>
            </w:pPr>
            <w:r w:rsidRPr="001E3185">
              <w:rPr>
                <w:rFonts w:cs="Arial"/>
              </w:rPr>
              <w:t>3.20</w:t>
            </w:r>
          </w:p>
        </w:tc>
        <w:tc>
          <w:tcPr>
            <w:tcW w:w="1559" w:type="dxa"/>
            <w:shd w:val="clear" w:color="auto" w:fill="FFFFFF" w:themeFill="background1"/>
            <w:vAlign w:val="center"/>
          </w:tcPr>
          <w:p w14:paraId="78A11974" w14:textId="77777777" w:rsidR="00692E71" w:rsidRPr="001E3185" w:rsidRDefault="00692E71" w:rsidP="008E0250">
            <w:pPr>
              <w:jc w:val="center"/>
              <w:rPr>
                <w:rFonts w:cs="Arial"/>
              </w:rPr>
            </w:pPr>
            <w:r w:rsidRPr="001E3185">
              <w:rPr>
                <w:rFonts w:cs="Arial"/>
              </w:rPr>
              <w:t>6.6*10</w:t>
            </w:r>
            <w:r w:rsidRPr="001E3185">
              <w:rPr>
                <w:rFonts w:cs="Arial"/>
                <w:vertAlign w:val="superscript"/>
              </w:rPr>
              <w:t>-4</w:t>
            </w:r>
          </w:p>
        </w:tc>
      </w:tr>
      <w:tr w:rsidR="00692E71" w:rsidRPr="001E3185" w14:paraId="7F0C4792" w14:textId="77777777" w:rsidTr="008E0250">
        <w:trPr>
          <w:trHeight w:val="20"/>
        </w:trPr>
        <w:tc>
          <w:tcPr>
            <w:tcW w:w="3681" w:type="dxa"/>
            <w:shd w:val="clear" w:color="auto" w:fill="FFFFFF" w:themeFill="background1"/>
            <w:noWrap/>
            <w:vAlign w:val="bottom"/>
          </w:tcPr>
          <w:p w14:paraId="417C60ED"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5B9F4774" w14:textId="77777777" w:rsidR="00692E71" w:rsidRPr="001E3185" w:rsidRDefault="00692E71" w:rsidP="008E0250">
            <w:pPr>
              <w:jc w:val="center"/>
              <w:rPr>
                <w:rFonts w:cs="Arial"/>
                <w:lang w:eastAsia="da-DK"/>
              </w:rPr>
            </w:pPr>
            <w:r w:rsidRPr="001E3185">
              <w:rPr>
                <w:rFonts w:cs="Arial"/>
              </w:rPr>
              <w:t>3.7*10</w:t>
            </w:r>
            <w:r w:rsidRPr="001E3185">
              <w:rPr>
                <w:rFonts w:cs="Arial"/>
                <w:vertAlign w:val="superscript"/>
              </w:rPr>
              <w:t>-4</w:t>
            </w:r>
          </w:p>
        </w:tc>
        <w:tc>
          <w:tcPr>
            <w:tcW w:w="1559" w:type="dxa"/>
            <w:shd w:val="clear" w:color="auto" w:fill="FFFFFF" w:themeFill="background1"/>
            <w:noWrap/>
            <w:vAlign w:val="center"/>
          </w:tcPr>
          <w:p w14:paraId="08850170" w14:textId="77777777" w:rsidR="00692E71" w:rsidRPr="001E3185" w:rsidRDefault="00692E71" w:rsidP="008E0250">
            <w:pPr>
              <w:jc w:val="center"/>
              <w:rPr>
                <w:rFonts w:cs="Arial"/>
              </w:rPr>
            </w:pPr>
            <w:r w:rsidRPr="001E3185">
              <w:rPr>
                <w:rFonts w:cs="Arial"/>
              </w:rPr>
              <w:t>3.02</w:t>
            </w:r>
          </w:p>
        </w:tc>
        <w:tc>
          <w:tcPr>
            <w:tcW w:w="1560" w:type="dxa"/>
            <w:shd w:val="clear" w:color="auto" w:fill="FFFFFF" w:themeFill="background1"/>
            <w:noWrap/>
            <w:vAlign w:val="center"/>
          </w:tcPr>
          <w:p w14:paraId="7194E66C" w14:textId="77777777" w:rsidR="00692E71" w:rsidRPr="001E3185" w:rsidRDefault="00692E71" w:rsidP="008E0250">
            <w:pPr>
              <w:jc w:val="center"/>
              <w:rPr>
                <w:rFonts w:cs="Arial"/>
              </w:rPr>
            </w:pPr>
            <w:r w:rsidRPr="001E3185">
              <w:rPr>
                <w:rFonts w:cs="Arial"/>
              </w:rPr>
              <w:t>0.52</w:t>
            </w:r>
          </w:p>
        </w:tc>
        <w:tc>
          <w:tcPr>
            <w:tcW w:w="1559" w:type="dxa"/>
            <w:shd w:val="clear" w:color="auto" w:fill="FFFFFF" w:themeFill="background1"/>
            <w:vAlign w:val="center"/>
          </w:tcPr>
          <w:p w14:paraId="7858BB09" w14:textId="77777777" w:rsidR="00692E71" w:rsidRPr="001E3185" w:rsidRDefault="00692E71" w:rsidP="008E0250">
            <w:pPr>
              <w:jc w:val="center"/>
              <w:rPr>
                <w:rFonts w:cs="Arial"/>
              </w:rPr>
            </w:pPr>
            <w:r w:rsidRPr="001E3185">
              <w:rPr>
                <w:rFonts w:cs="Arial"/>
              </w:rPr>
              <w:t>1.4*10</w:t>
            </w:r>
            <w:r w:rsidRPr="001E3185">
              <w:rPr>
                <w:rFonts w:cs="Arial"/>
                <w:vertAlign w:val="superscript"/>
              </w:rPr>
              <w:t>-5</w:t>
            </w:r>
          </w:p>
        </w:tc>
      </w:tr>
    </w:tbl>
    <w:p w14:paraId="15229D42" w14:textId="77777777" w:rsidR="00692E71" w:rsidRPr="00750AC3" w:rsidRDefault="00692E71" w:rsidP="00692E71">
      <w:pPr>
        <w:rPr>
          <w:rFonts w:ascii="Arial" w:hAnsi="Arial" w:cs="Arial"/>
        </w:rPr>
      </w:pPr>
      <w:r w:rsidRPr="00750AC3">
        <w:rPr>
          <w:rFonts w:ascii="Arial" w:hAnsi="Arial" w:cs="Arial"/>
        </w:rPr>
        <w:br w:type="page"/>
      </w:r>
    </w:p>
    <w:p w14:paraId="6BF7B222" w14:textId="77777777" w:rsidR="00692E71" w:rsidRPr="003356DA" w:rsidRDefault="00692E71" w:rsidP="003356DA">
      <w:pPr>
        <w:pStyle w:val="Titre4"/>
      </w:pPr>
      <w:bookmarkStart w:id="144" w:name="_Toc536627323"/>
      <w:r w:rsidRPr="003356DA">
        <w:lastRenderedPageBreak/>
        <w:t>Assessment for groundwater</w:t>
      </w:r>
      <w:bookmarkEnd w:id="144"/>
    </w:p>
    <w:p w14:paraId="1879B54B" w14:textId="77777777" w:rsidR="00692E71" w:rsidRPr="001E3185" w:rsidRDefault="00692E71" w:rsidP="00692E71">
      <w:pPr>
        <w:spacing w:before="120"/>
        <w:rPr>
          <w:rStyle w:val="Marquedecommentaire"/>
          <w:rFonts w:cs="Arial"/>
          <w:lang w:eastAsia="en-US"/>
        </w:rPr>
      </w:pPr>
      <w:r w:rsidRPr="001E3185">
        <w:rPr>
          <w:rFonts w:cs="Arial"/>
        </w:rPr>
        <w:t>For IPBC and cypermethrin, PEC</w:t>
      </w:r>
      <w:r w:rsidRPr="001E3185">
        <w:rPr>
          <w:rFonts w:cs="Arial"/>
          <w:vertAlign w:val="subscript"/>
        </w:rPr>
        <w:t>porewater</w:t>
      </w:r>
      <w:r w:rsidRPr="001E3185">
        <w:rPr>
          <w:rFonts w:cs="Arial"/>
        </w:rPr>
        <w:t xml:space="preserve"> values are below </w:t>
      </w:r>
      <w:r w:rsidRPr="001E3185">
        <w:rPr>
          <w:rStyle w:val="Marquedecommentaire"/>
          <w:rFonts w:cs="Arial"/>
          <w:lang w:eastAsia="en-US"/>
        </w:rPr>
        <w:t>the limit for drinking water (0.1 µg/L) for all scenarios when taking removal processes into account. Therefore, a higher tier for groundwater assessment is not relevant for these two substances.</w:t>
      </w:r>
    </w:p>
    <w:p w14:paraId="102CCA4D" w14:textId="77777777" w:rsidR="00692E71" w:rsidRPr="001E3185" w:rsidRDefault="00692E71" w:rsidP="00692E71">
      <w:pPr>
        <w:rPr>
          <w:rStyle w:val="Marquedecommentaire"/>
          <w:rFonts w:cs="Arial"/>
          <w:lang w:eastAsia="en-US"/>
        </w:rPr>
      </w:pPr>
      <w:r w:rsidRPr="001E3185">
        <w:rPr>
          <w:rFonts w:cs="Arial"/>
        </w:rPr>
        <w:t>For propiconazole and tebuconazole, PECs in pore water are above the threshold value of 0.1 µg/L, even when removal is taken into account. Moreover, according to the document "</w:t>
      </w:r>
      <w:r w:rsidRPr="001E3185">
        <w:rPr>
          <w:rFonts w:cs="Arial"/>
          <w:i/>
        </w:rPr>
        <w:t>Groundwater exposure assessment for wood preservatives"</w:t>
      </w:r>
      <w:r w:rsidRPr="001E3185">
        <w:rPr>
          <w:rFonts w:cs="Arial"/>
        </w:rPr>
        <w:t xml:space="preserve"> (endorsed at the 24</w:t>
      </w:r>
      <w:r w:rsidRPr="001E3185">
        <w:rPr>
          <w:rFonts w:cs="Arial"/>
          <w:vertAlign w:val="superscript"/>
        </w:rPr>
        <w:t>th</w:t>
      </w:r>
      <w:r w:rsidRPr="001E3185">
        <w:rPr>
          <w:rFonts w:cs="Arial"/>
        </w:rPr>
        <w:t xml:space="preserve"> CA meeting) leaching to groundwater must be evaluated if K</w:t>
      </w:r>
      <w:r w:rsidRPr="001E3185">
        <w:rPr>
          <w:rFonts w:cs="Arial"/>
          <w:vertAlign w:val="subscript"/>
        </w:rPr>
        <w:t>oc</w:t>
      </w:r>
      <w:r w:rsidRPr="001E3185">
        <w:rPr>
          <w:rFonts w:cs="Arial"/>
        </w:rPr>
        <w:t xml:space="preserve"> &lt; 500 L/kg or DT</w:t>
      </w:r>
      <w:r w:rsidRPr="001E3185">
        <w:rPr>
          <w:rFonts w:cs="Arial"/>
          <w:vertAlign w:val="subscript"/>
        </w:rPr>
        <w:t>50</w:t>
      </w:r>
      <w:r w:rsidRPr="001E3185">
        <w:rPr>
          <w:rFonts w:cs="Arial"/>
        </w:rPr>
        <w:t xml:space="preserve"> &gt; 21 days and both propiconazole and tebuconazole meet these criteria. Therefore, a groundwater risk assessment was performed according to FOCUS PEARL 4.4.4</w:t>
      </w:r>
      <w:r w:rsidRPr="001E3185">
        <w:rPr>
          <w:rStyle w:val="Marquedecommentaire"/>
          <w:rFonts w:cs="Arial"/>
          <w:lang w:eastAsia="en-US"/>
        </w:rPr>
        <w:t xml:space="preserve"> for propiconazole and tebuconazole. </w:t>
      </w:r>
    </w:p>
    <w:p w14:paraId="2159AD76" w14:textId="77777777" w:rsidR="00692E71" w:rsidRPr="001E3185" w:rsidRDefault="00692E71" w:rsidP="00692E71">
      <w:pPr>
        <w:spacing w:before="120"/>
        <w:rPr>
          <w:rStyle w:val="Marquedecommentaire"/>
          <w:rFonts w:cs="Arial"/>
          <w:lang w:eastAsia="en-US"/>
        </w:rPr>
      </w:pPr>
      <w:r w:rsidRPr="001E3185">
        <w:rPr>
          <w:rStyle w:val="Marquedecommentaire"/>
          <w:rFonts w:cs="Arial"/>
          <w:lang w:eastAsia="en-US"/>
        </w:rPr>
        <w:t>A groundwater risk assessment of PBC and 1</w:t>
      </w:r>
      <w:proofErr w:type="gramStart"/>
      <w:r w:rsidRPr="001E3185">
        <w:rPr>
          <w:rStyle w:val="Marquedecommentaire"/>
          <w:rFonts w:cs="Arial"/>
          <w:lang w:eastAsia="en-US"/>
        </w:rPr>
        <w:t>,2,4</w:t>
      </w:r>
      <w:proofErr w:type="gramEnd"/>
      <w:r w:rsidRPr="001E3185">
        <w:rPr>
          <w:rStyle w:val="Marquedecommentaire"/>
          <w:rFonts w:cs="Arial"/>
          <w:lang w:eastAsia="en-US"/>
        </w:rPr>
        <w:t>-triazole was also performed since these metabolites may be present in amounts close to or above 10% of the mother molecule.</w:t>
      </w:r>
    </w:p>
    <w:p w14:paraId="08605845" w14:textId="77777777" w:rsidR="00692E71" w:rsidRPr="001E3185" w:rsidRDefault="00692E71" w:rsidP="00692E71">
      <w:pPr>
        <w:rPr>
          <w:rStyle w:val="Marquedecommentaire"/>
          <w:rFonts w:cs="Arial"/>
          <w:lang w:eastAsia="en-US"/>
        </w:rPr>
      </w:pPr>
      <w:r w:rsidRPr="001E3185">
        <w:rPr>
          <w:rStyle w:val="Marquedecommentaire"/>
          <w:rFonts w:cs="Arial"/>
          <w:lang w:eastAsia="en-US"/>
        </w:rPr>
        <w:t>For 1</w:t>
      </w:r>
      <w:proofErr w:type="gramStart"/>
      <w:r w:rsidRPr="001E3185">
        <w:rPr>
          <w:rStyle w:val="Marquedecommentaire"/>
          <w:rFonts w:cs="Arial"/>
          <w:lang w:eastAsia="en-US"/>
        </w:rPr>
        <w:t>,2,4</w:t>
      </w:r>
      <w:proofErr w:type="gramEnd"/>
      <w:r w:rsidRPr="001E3185">
        <w:rPr>
          <w:rStyle w:val="Marquedecommentaire"/>
          <w:rFonts w:cs="Arial"/>
          <w:lang w:eastAsia="en-US"/>
        </w:rPr>
        <w:t xml:space="preserve">-triazole the combined contribution from propiconazole (32.2%) and tebuconazole (9%) was used as input for the model calculation. </w:t>
      </w:r>
    </w:p>
    <w:p w14:paraId="7326FEB8" w14:textId="77777777" w:rsidR="00692E71" w:rsidRPr="001E3185" w:rsidRDefault="00692E71" w:rsidP="00692E71">
      <w:pPr>
        <w:spacing w:before="120"/>
        <w:rPr>
          <w:rStyle w:val="Marquedecommentaire"/>
          <w:rFonts w:cs="Arial"/>
          <w:lang w:eastAsia="en-US"/>
        </w:rPr>
      </w:pPr>
      <w:r w:rsidRPr="001E3185">
        <w:rPr>
          <w:rStyle w:val="Marquedecommentaire"/>
          <w:rFonts w:cs="Arial"/>
          <w:lang w:eastAsia="en-US"/>
        </w:rPr>
        <w:t>The following data were used as input to the FOCUS PEARL model calculations:</w:t>
      </w:r>
    </w:p>
    <w:p w14:paraId="3A06C6C4" w14:textId="77777777" w:rsidR="00692E71" w:rsidRPr="001E3185" w:rsidRDefault="00692E71" w:rsidP="00692E71">
      <w:pPr>
        <w:rPr>
          <w:rStyle w:val="Marquedecommentaire"/>
          <w:rFonts w:cs="Arial"/>
          <w:lang w:eastAsia="en-US"/>
        </w:rPr>
      </w:pPr>
      <w:r w:rsidRPr="001E3185">
        <w:rPr>
          <w:rStyle w:val="Marquedecommentaire"/>
          <w:rFonts w:cs="Arial"/>
          <w:lang w:eastAsia="en-US"/>
        </w:rPr>
        <w:t>According to the ESD Appendix 4, a density of 16 houses per hectare is assumed and F</w:t>
      </w:r>
      <w:r w:rsidRPr="001E3185">
        <w:rPr>
          <w:rStyle w:val="Marquedecommentaire"/>
          <w:rFonts w:cs="Arial"/>
          <w:vertAlign w:val="subscript"/>
          <w:lang w:eastAsia="en-US"/>
        </w:rPr>
        <w:t>weatherside</w:t>
      </w:r>
      <w:r w:rsidRPr="001E3185">
        <w:rPr>
          <w:rStyle w:val="Marquedecommentaire"/>
          <w:rFonts w:cs="Arial"/>
          <w:lang w:eastAsia="en-US"/>
        </w:rPr>
        <w:t xml:space="preserve"> = 0.5 for </w:t>
      </w:r>
      <w:r w:rsidRPr="001E3185">
        <w:rPr>
          <w:rStyle w:val="Marquedecommentaire"/>
          <w:rFonts w:cs="Arial"/>
          <w:i/>
          <w:lang w:eastAsia="en-US"/>
        </w:rPr>
        <w:t>in-service</w:t>
      </w:r>
      <w:r w:rsidRPr="001E3185">
        <w:rPr>
          <w:rStyle w:val="Marquedecommentaire"/>
          <w:rFonts w:cs="Arial"/>
          <w:lang w:eastAsia="en-US"/>
        </w:rPr>
        <w:t xml:space="preserve"> since the leaching rates are derived from semi-field testing. The grassland scenario and spraying was used in all cases. The applications occurred at the following dates: 10.01, 15.02, 24.03, 29.04, 05.06, 11.07, 17.08, 22.09, 29.10 and 04.12.</w:t>
      </w:r>
    </w:p>
    <w:p w14:paraId="310412AA" w14:textId="77777777" w:rsidR="00692E71" w:rsidRPr="001E3185" w:rsidRDefault="00692E71" w:rsidP="00692E71">
      <w:pPr>
        <w:rPr>
          <w:rStyle w:val="Marquedecommentaire"/>
          <w:rFonts w:cs="Arial"/>
          <w:lang w:eastAsia="en-US"/>
        </w:rPr>
      </w:pPr>
      <w:r w:rsidRPr="001E3185">
        <w:rPr>
          <w:rStyle w:val="Marquedecommentaire"/>
          <w:rFonts w:cs="Arial"/>
          <w:lang w:eastAsia="en-US"/>
        </w:rPr>
        <w:t>Additional assumptions: no interception, fallow soil, no plant uptake, assessment of standard 26 years (6 years warm-up period plus 20 years simulation period).</w:t>
      </w:r>
    </w:p>
    <w:p w14:paraId="044CC5D9" w14:textId="77777777" w:rsidR="00692E71" w:rsidRPr="001E3185" w:rsidRDefault="00692E71" w:rsidP="00692E71">
      <w:pPr>
        <w:spacing w:before="120"/>
        <w:rPr>
          <w:rFonts w:cs="Arial"/>
        </w:rPr>
      </w:pPr>
      <w:r w:rsidRPr="001E3185">
        <w:rPr>
          <w:rFonts w:cs="Arial"/>
        </w:rPr>
        <w:t xml:space="preserve">As input to the model, a worst-case approximation was used based on the sum of the following two contributions: </w:t>
      </w:r>
    </w:p>
    <w:p w14:paraId="104ED141" w14:textId="77777777" w:rsidR="00692E71" w:rsidRPr="001E3185" w:rsidRDefault="00692E71" w:rsidP="00692E71">
      <w:pPr>
        <w:spacing w:after="120"/>
        <w:rPr>
          <w:rFonts w:cs="Arial"/>
        </w:rPr>
      </w:pPr>
      <w:r w:rsidRPr="001E3185">
        <w:rPr>
          <w:rFonts w:cs="Arial"/>
        </w:rPr>
        <w:t xml:space="preserve">For the </w:t>
      </w:r>
      <w:r w:rsidRPr="001E3185">
        <w:rPr>
          <w:rFonts w:cs="Arial"/>
          <w:i/>
        </w:rPr>
        <w:t>in-situ</w:t>
      </w:r>
      <w:r w:rsidRPr="001E3185">
        <w:rPr>
          <w:rFonts w:cs="Arial"/>
        </w:rPr>
        <w:t xml:space="preserve"> estimation, the leaching value from the spraying scenario (tier 1) was used, combined run off and drift:</w:t>
      </w:r>
    </w:p>
    <w:p w14:paraId="3ABE5FAA" w14:textId="77777777" w:rsidR="00692E71" w:rsidRPr="001E3185" w:rsidRDefault="00692E71" w:rsidP="00692E71">
      <w:pPr>
        <w:ind w:left="708"/>
        <w:rPr>
          <w:rFonts w:cs="Arial"/>
        </w:rPr>
      </w:pPr>
      <w:r w:rsidRPr="001E3185">
        <w:rPr>
          <w:rStyle w:val="Marquedecommentaire"/>
          <w:rFonts w:cs="Arial"/>
          <w:lang w:eastAsia="en-US"/>
        </w:rPr>
        <w:t>Q* time 2</w:t>
      </w:r>
      <w:r w:rsidRPr="001E3185">
        <w:rPr>
          <w:rStyle w:val="Marquedecommentaire"/>
          <w:rFonts w:cs="Arial"/>
          <w:vertAlign w:val="subscript"/>
          <w:lang w:eastAsia="en-US"/>
        </w:rPr>
        <w:t>in situ</w:t>
      </w:r>
      <w:r w:rsidRPr="001E3185">
        <w:rPr>
          <w:rFonts w:cs="Arial"/>
        </w:rPr>
        <w:t xml:space="preserve"> = (E</w:t>
      </w:r>
      <w:r w:rsidRPr="001E3185">
        <w:rPr>
          <w:rFonts w:cs="Arial"/>
          <w:vertAlign w:val="subscript"/>
        </w:rPr>
        <w:t xml:space="preserve">soil run off tier 1 </w:t>
      </w:r>
      <w:r w:rsidRPr="001E3185">
        <w:rPr>
          <w:rFonts w:cs="Arial"/>
        </w:rPr>
        <w:t>+ E</w:t>
      </w:r>
      <w:r w:rsidRPr="001E3185">
        <w:rPr>
          <w:rFonts w:cs="Arial"/>
          <w:vertAlign w:val="subscript"/>
        </w:rPr>
        <w:t>soil spray drift tier 1</w:t>
      </w:r>
      <w:r w:rsidRPr="001E3185">
        <w:rPr>
          <w:rFonts w:cs="Arial"/>
        </w:rPr>
        <w:t>)</w:t>
      </w:r>
      <w:r w:rsidRPr="001E3185">
        <w:rPr>
          <w:rFonts w:cs="Arial"/>
          <w:vertAlign w:val="subscript"/>
        </w:rPr>
        <w:t xml:space="preserve"> </w:t>
      </w:r>
      <w:r w:rsidRPr="001E3185">
        <w:rPr>
          <w:rFonts w:cs="Arial"/>
        </w:rPr>
        <w:t>/ Area</w:t>
      </w:r>
      <w:r w:rsidRPr="001E3185">
        <w:rPr>
          <w:rFonts w:cs="Arial"/>
          <w:vertAlign w:val="subscript"/>
        </w:rPr>
        <w:t>house</w:t>
      </w:r>
      <w:r w:rsidRPr="001E3185">
        <w:rPr>
          <w:rFonts w:cs="Arial"/>
        </w:rPr>
        <w:t>, [kg/m</w:t>
      </w:r>
      <w:r w:rsidRPr="001E3185">
        <w:rPr>
          <w:rFonts w:cs="Arial"/>
          <w:vertAlign w:val="superscript"/>
        </w:rPr>
        <w:t>2</w:t>
      </w:r>
      <w:r w:rsidRPr="001E3185">
        <w:rPr>
          <w:rFonts w:cs="Arial"/>
        </w:rPr>
        <w:t>]</w:t>
      </w:r>
    </w:p>
    <w:p w14:paraId="3468C750" w14:textId="77777777" w:rsidR="00692E71" w:rsidRPr="001E3185" w:rsidRDefault="00692E71" w:rsidP="00692E71">
      <w:pPr>
        <w:spacing w:before="120"/>
        <w:rPr>
          <w:rFonts w:cs="Arial"/>
        </w:rPr>
      </w:pPr>
      <w:r w:rsidRPr="001E3185">
        <w:rPr>
          <w:rFonts w:cs="Arial"/>
        </w:rPr>
        <w:t xml:space="preserve">For the </w:t>
      </w:r>
      <w:r w:rsidRPr="001E3185">
        <w:rPr>
          <w:rFonts w:cs="Arial"/>
          <w:i/>
        </w:rPr>
        <w:t>in-service</w:t>
      </w:r>
      <w:r w:rsidRPr="001E3185">
        <w:rPr>
          <w:rFonts w:cs="Arial"/>
        </w:rPr>
        <w:t xml:space="preserve"> leaching, the total loss during 5 years of service-life estimated (based on the semi-field leaching study) was used.</w:t>
      </w:r>
    </w:p>
    <w:p w14:paraId="32B317A3" w14:textId="77777777" w:rsidR="00692E71" w:rsidRPr="001E3185" w:rsidRDefault="00692E71" w:rsidP="00692E71">
      <w:pPr>
        <w:spacing w:before="120" w:after="120"/>
        <w:rPr>
          <w:rStyle w:val="Marquedecommentaire"/>
          <w:rFonts w:cs="Arial"/>
          <w:lang w:eastAsia="en-US"/>
        </w:rPr>
      </w:pPr>
      <w:r w:rsidRPr="001E3185">
        <w:rPr>
          <w:rStyle w:val="Marquedecommentaire"/>
          <w:rFonts w:cs="Arial"/>
          <w:lang w:eastAsia="en-US"/>
        </w:rPr>
        <w:t xml:space="preserve">When converting total leaching in </w:t>
      </w:r>
      <w:r w:rsidRPr="001E3185">
        <w:rPr>
          <w:rFonts w:cs="Arial"/>
        </w:rPr>
        <w:t>[kg/m</w:t>
      </w:r>
      <w:r w:rsidRPr="001E3185">
        <w:rPr>
          <w:rFonts w:cs="Arial"/>
          <w:vertAlign w:val="superscript"/>
        </w:rPr>
        <w:t>2</w:t>
      </w:r>
      <w:r w:rsidRPr="001E3185">
        <w:rPr>
          <w:rFonts w:cs="Arial"/>
        </w:rPr>
        <w:t>] to [kg/ha]</w:t>
      </w:r>
      <w:r w:rsidRPr="001E3185">
        <w:rPr>
          <w:rStyle w:val="Marquedecommentaire"/>
          <w:rFonts w:cs="Arial"/>
          <w:lang w:eastAsia="en-US"/>
        </w:rPr>
        <w:t xml:space="preserve"> the following equation was used for </w:t>
      </w:r>
      <w:r w:rsidRPr="001E3185">
        <w:rPr>
          <w:rStyle w:val="Marquedecommentaire"/>
          <w:rFonts w:cs="Arial"/>
          <w:i/>
          <w:lang w:eastAsia="en-US"/>
        </w:rPr>
        <w:t>in-situ</w:t>
      </w:r>
      <w:r w:rsidRPr="001E3185">
        <w:rPr>
          <w:rStyle w:val="Marquedecommentaire"/>
          <w:rFonts w:cs="Arial"/>
          <w:lang w:eastAsia="en-US"/>
        </w:rPr>
        <w:t xml:space="preserve"> treatment:</w:t>
      </w:r>
    </w:p>
    <w:p w14:paraId="1B9E9E4F" w14:textId="77777777" w:rsidR="00692E71" w:rsidRPr="001E3185" w:rsidRDefault="00692E71" w:rsidP="00692E71">
      <w:pPr>
        <w:ind w:left="708"/>
        <w:rPr>
          <w:rFonts w:cs="Arial"/>
        </w:rPr>
      </w:pPr>
      <w:r w:rsidRPr="001E3185">
        <w:rPr>
          <w:rStyle w:val="Marquedecommentaire"/>
          <w:rFonts w:cs="Arial"/>
          <w:lang w:eastAsia="en-US"/>
        </w:rPr>
        <w:t>Q* time 2 [kg/ha</w:t>
      </w:r>
      <w:proofErr w:type="gramStart"/>
      <w:r w:rsidRPr="001E3185">
        <w:rPr>
          <w:rStyle w:val="Marquedecommentaire"/>
          <w:rFonts w:cs="Arial"/>
          <w:lang w:eastAsia="en-US"/>
        </w:rPr>
        <w:t>]</w:t>
      </w:r>
      <w:r w:rsidRPr="001E3185">
        <w:rPr>
          <w:rStyle w:val="Marquedecommentaire"/>
          <w:rFonts w:cs="Arial"/>
          <w:vertAlign w:val="subscript"/>
          <w:lang w:eastAsia="en-US"/>
        </w:rPr>
        <w:t>in</w:t>
      </w:r>
      <w:proofErr w:type="gramEnd"/>
      <w:r w:rsidRPr="001E3185">
        <w:rPr>
          <w:rStyle w:val="Marquedecommentaire"/>
          <w:rFonts w:cs="Arial"/>
          <w:vertAlign w:val="subscript"/>
          <w:lang w:eastAsia="en-US"/>
        </w:rPr>
        <w:t>-situ</w:t>
      </w:r>
      <w:r w:rsidRPr="001E3185">
        <w:rPr>
          <w:rStyle w:val="Marquedecommentaire"/>
          <w:rFonts w:cs="Arial"/>
          <w:lang w:eastAsia="en-US"/>
        </w:rPr>
        <w:t xml:space="preserve"> = (Q* time 2</w:t>
      </w:r>
      <w:r w:rsidRPr="001E3185">
        <w:rPr>
          <w:rStyle w:val="Marquedecommentaire"/>
          <w:rFonts w:cs="Arial"/>
          <w:vertAlign w:val="subscript"/>
          <w:lang w:eastAsia="en-US"/>
        </w:rPr>
        <w:t xml:space="preserve">in situ </w:t>
      </w:r>
      <w:r w:rsidRPr="001E3185">
        <w:rPr>
          <w:rStyle w:val="Marquedecommentaire"/>
          <w:rFonts w:cs="Arial"/>
          <w:lang w:eastAsia="en-US"/>
        </w:rPr>
        <w:t xml:space="preserve">* </w:t>
      </w:r>
      <w:r w:rsidRPr="001E3185">
        <w:rPr>
          <w:rFonts w:cs="Arial"/>
        </w:rPr>
        <w:t xml:space="preserve">Area </w:t>
      </w:r>
      <w:r w:rsidRPr="001E3185">
        <w:rPr>
          <w:rFonts w:cs="Arial"/>
          <w:vertAlign w:val="subscript"/>
        </w:rPr>
        <w:t>house</w:t>
      </w:r>
      <w:r w:rsidRPr="001E3185">
        <w:rPr>
          <w:rFonts w:cs="Arial"/>
        </w:rPr>
        <w:t xml:space="preserve"> per hectare) / (Time 2 * Annual deposits)</w:t>
      </w:r>
    </w:p>
    <w:p w14:paraId="2F2C0B3A" w14:textId="77777777" w:rsidR="00692E71" w:rsidRPr="001E3185" w:rsidRDefault="00692E71" w:rsidP="00692E71">
      <w:pPr>
        <w:spacing w:before="120"/>
        <w:ind w:left="708"/>
        <w:rPr>
          <w:rFonts w:cs="Arial"/>
        </w:rPr>
      </w:pPr>
      <w:r w:rsidRPr="001E3185">
        <w:rPr>
          <w:rFonts w:cs="Arial"/>
        </w:rPr>
        <w:t>Where the following default values are used:</w:t>
      </w:r>
    </w:p>
    <w:p w14:paraId="47B77155" w14:textId="77777777" w:rsidR="00692E71" w:rsidRPr="001E3185" w:rsidRDefault="00692E71" w:rsidP="00692E71">
      <w:pPr>
        <w:ind w:left="1416"/>
        <w:rPr>
          <w:rFonts w:cs="Arial"/>
          <w:lang w:val="it-IT"/>
        </w:rPr>
      </w:pPr>
      <w:r w:rsidRPr="001E3185">
        <w:rPr>
          <w:rFonts w:cs="Arial"/>
          <w:lang w:val="it-IT"/>
        </w:rPr>
        <w:t>Area</w:t>
      </w:r>
      <w:r w:rsidRPr="001E3185">
        <w:rPr>
          <w:rFonts w:cs="Arial"/>
          <w:vertAlign w:val="subscript"/>
          <w:lang w:val="it-IT"/>
        </w:rPr>
        <w:t>house</w:t>
      </w:r>
      <w:r w:rsidRPr="001E3185">
        <w:rPr>
          <w:rFonts w:cs="Arial"/>
          <w:lang w:val="it-IT"/>
        </w:rPr>
        <w:t xml:space="preserve"> per hectare = 2000 [m</w:t>
      </w:r>
      <w:r w:rsidRPr="001E3185">
        <w:rPr>
          <w:rFonts w:cs="Arial"/>
          <w:vertAlign w:val="superscript"/>
          <w:lang w:val="it-IT"/>
        </w:rPr>
        <w:t>2</w:t>
      </w:r>
      <w:r w:rsidRPr="001E3185">
        <w:rPr>
          <w:rFonts w:cs="Arial"/>
          <w:lang w:val="it-IT"/>
        </w:rPr>
        <w:t xml:space="preserve"> /ha]</w:t>
      </w:r>
    </w:p>
    <w:p w14:paraId="6383ABBC" w14:textId="77777777" w:rsidR="00692E71" w:rsidRPr="001E3185" w:rsidRDefault="00692E71" w:rsidP="00692E71">
      <w:pPr>
        <w:ind w:left="1416"/>
        <w:rPr>
          <w:rFonts w:cs="Arial"/>
        </w:rPr>
      </w:pPr>
      <w:r w:rsidRPr="001E3185">
        <w:rPr>
          <w:rFonts w:cs="Arial"/>
        </w:rPr>
        <w:t>Time 2 [years] = 5 years</w:t>
      </w:r>
    </w:p>
    <w:p w14:paraId="4D602DAD" w14:textId="77777777" w:rsidR="00692E71" w:rsidRPr="001E3185" w:rsidRDefault="00692E71" w:rsidP="00692E71">
      <w:pPr>
        <w:ind w:left="1416"/>
        <w:rPr>
          <w:rFonts w:cs="Arial"/>
        </w:rPr>
      </w:pPr>
      <w:r w:rsidRPr="001E3185">
        <w:rPr>
          <w:rFonts w:cs="Arial"/>
        </w:rPr>
        <w:t>Annual deposits [-] = 10</w:t>
      </w:r>
    </w:p>
    <w:p w14:paraId="7DC532A4" w14:textId="77777777" w:rsidR="00692E71" w:rsidRPr="001E3185" w:rsidRDefault="00692E71" w:rsidP="00692E71">
      <w:pPr>
        <w:spacing w:before="240"/>
        <w:rPr>
          <w:rStyle w:val="Marquedecommentaire"/>
          <w:rFonts w:cs="Arial"/>
          <w:lang w:eastAsia="en-US"/>
        </w:rPr>
      </w:pPr>
      <w:r w:rsidRPr="001E3185">
        <w:rPr>
          <w:rStyle w:val="Marquedecommentaire"/>
          <w:rFonts w:cs="Arial"/>
          <w:lang w:eastAsia="en-US"/>
        </w:rPr>
        <w:t>Using propiconazole as an example:</w:t>
      </w:r>
    </w:p>
    <w:p w14:paraId="1134B3E5" w14:textId="77777777" w:rsidR="00692E71" w:rsidRPr="001E3185" w:rsidRDefault="00692E71" w:rsidP="00692E71">
      <w:pPr>
        <w:ind w:left="708"/>
        <w:rPr>
          <w:rStyle w:val="Marquedecommentaire"/>
          <w:rFonts w:cs="Arial"/>
          <w:lang w:val="it-IT" w:eastAsia="en-US"/>
        </w:rPr>
      </w:pPr>
      <w:r w:rsidRPr="001E3185">
        <w:rPr>
          <w:rStyle w:val="Marquedecommentaire"/>
          <w:rFonts w:cs="Arial"/>
          <w:lang w:val="it-IT" w:eastAsia="en-US"/>
        </w:rPr>
        <w:t>Q* time 2 [kg/ha]</w:t>
      </w:r>
      <w:r w:rsidRPr="001E3185">
        <w:rPr>
          <w:rStyle w:val="Marquedecommentaire"/>
          <w:rFonts w:cs="Arial"/>
          <w:vertAlign w:val="subscript"/>
          <w:lang w:val="it-IT" w:eastAsia="en-US"/>
        </w:rPr>
        <w:t>in-situ</w:t>
      </w:r>
      <w:r w:rsidRPr="001E3185">
        <w:rPr>
          <w:rStyle w:val="Marquedecommentaire"/>
          <w:rFonts w:cs="Arial"/>
          <w:lang w:val="it-IT" w:eastAsia="en-US"/>
        </w:rPr>
        <w:t xml:space="preserve"> = (5.0*10</w:t>
      </w:r>
      <w:r w:rsidRPr="001E3185">
        <w:rPr>
          <w:rStyle w:val="Marquedecommentaire"/>
          <w:rFonts w:cs="Arial"/>
          <w:vertAlign w:val="superscript"/>
          <w:lang w:val="it-IT" w:eastAsia="en-US"/>
        </w:rPr>
        <w:t>-3</w:t>
      </w:r>
      <w:r w:rsidRPr="001E3185">
        <w:rPr>
          <w:rStyle w:val="Marquedecommentaire"/>
          <w:rFonts w:cs="Arial"/>
          <w:lang w:val="it-IT" w:eastAsia="en-US"/>
        </w:rPr>
        <w:t xml:space="preserve"> + 3.8*10</w:t>
      </w:r>
      <w:r w:rsidRPr="001E3185">
        <w:rPr>
          <w:rStyle w:val="Marquedecommentaire"/>
          <w:rFonts w:cs="Arial"/>
          <w:vertAlign w:val="superscript"/>
          <w:lang w:val="it-IT" w:eastAsia="en-US"/>
        </w:rPr>
        <w:t>-3</w:t>
      </w:r>
      <w:r w:rsidRPr="001E3185">
        <w:rPr>
          <w:rStyle w:val="Marquedecommentaire"/>
          <w:rFonts w:cs="Arial"/>
          <w:lang w:val="it-IT" w:eastAsia="en-US"/>
        </w:rPr>
        <w:t>/125) * 2000) / (5 * 10)</w:t>
      </w:r>
    </w:p>
    <w:p w14:paraId="2DE6047A" w14:textId="77777777" w:rsidR="00692E71" w:rsidRPr="001E3185" w:rsidRDefault="00692E71" w:rsidP="00692E71">
      <w:pPr>
        <w:ind w:left="708"/>
        <w:rPr>
          <w:rStyle w:val="Marquedecommentaire"/>
          <w:rFonts w:cs="Arial"/>
          <w:lang w:val="it-IT" w:eastAsia="en-US"/>
        </w:rPr>
      </w:pPr>
      <w:r w:rsidRPr="001E3185">
        <w:rPr>
          <w:rStyle w:val="Marquedecommentaire"/>
          <w:rFonts w:cs="Arial"/>
          <w:lang w:val="it-IT" w:eastAsia="en-US"/>
        </w:rPr>
        <w:t>Q* time 2 [kg/ha]</w:t>
      </w:r>
      <w:r w:rsidRPr="001E3185">
        <w:rPr>
          <w:rStyle w:val="Marquedecommentaire"/>
          <w:rFonts w:cs="Arial"/>
          <w:vertAlign w:val="subscript"/>
          <w:lang w:val="it-IT" w:eastAsia="en-US"/>
        </w:rPr>
        <w:t xml:space="preserve">in-situ </w:t>
      </w:r>
      <w:r w:rsidRPr="001E3185">
        <w:rPr>
          <w:rStyle w:val="Marquedecommentaire"/>
          <w:rFonts w:cs="Arial"/>
          <w:lang w:val="it-IT" w:eastAsia="en-US"/>
        </w:rPr>
        <w:t>= 3.6*10</w:t>
      </w:r>
      <w:r w:rsidRPr="001E3185">
        <w:rPr>
          <w:rStyle w:val="Marquedecommentaire"/>
          <w:rFonts w:cs="Arial"/>
          <w:vertAlign w:val="superscript"/>
          <w:lang w:val="it-IT" w:eastAsia="en-US"/>
        </w:rPr>
        <w:t>-3</w:t>
      </w:r>
    </w:p>
    <w:p w14:paraId="6C467D35" w14:textId="77777777" w:rsidR="00692E71" w:rsidRPr="001E3185" w:rsidRDefault="00692E71" w:rsidP="00692E71">
      <w:pPr>
        <w:spacing w:before="120"/>
        <w:rPr>
          <w:rStyle w:val="Marquedecommentaire"/>
          <w:rFonts w:cs="Arial"/>
          <w:lang w:eastAsia="en-US"/>
        </w:rPr>
      </w:pPr>
      <w:r w:rsidRPr="001E3185">
        <w:rPr>
          <w:rStyle w:val="Marquedecommentaire"/>
          <w:rFonts w:cs="Arial"/>
          <w:lang w:eastAsia="en-US"/>
        </w:rPr>
        <w:t xml:space="preserve">When converting total leaching (Q* time 2) in </w:t>
      </w:r>
      <w:r w:rsidRPr="001E3185">
        <w:rPr>
          <w:rFonts w:cs="Arial"/>
        </w:rPr>
        <w:t>[kg/m</w:t>
      </w:r>
      <w:r w:rsidRPr="001E3185">
        <w:rPr>
          <w:rFonts w:cs="Arial"/>
          <w:vertAlign w:val="superscript"/>
        </w:rPr>
        <w:t>2</w:t>
      </w:r>
      <w:r w:rsidRPr="001E3185">
        <w:rPr>
          <w:rFonts w:cs="Arial"/>
        </w:rPr>
        <w:t>] to [kg/ha]</w:t>
      </w:r>
      <w:r w:rsidRPr="001E3185">
        <w:rPr>
          <w:rStyle w:val="Marquedecommentaire"/>
          <w:rFonts w:cs="Arial"/>
          <w:lang w:eastAsia="en-US"/>
        </w:rPr>
        <w:t xml:space="preserve"> the following equation was used for </w:t>
      </w:r>
      <w:r w:rsidRPr="001E3185">
        <w:rPr>
          <w:rStyle w:val="Marquedecommentaire"/>
          <w:rFonts w:cs="Arial"/>
          <w:i/>
          <w:lang w:eastAsia="en-US"/>
        </w:rPr>
        <w:t>in-service</w:t>
      </w:r>
      <w:r w:rsidRPr="001E3185">
        <w:rPr>
          <w:rStyle w:val="Marquedecommentaire"/>
          <w:rFonts w:cs="Arial"/>
          <w:lang w:eastAsia="en-US"/>
        </w:rPr>
        <w:t>:</w:t>
      </w:r>
    </w:p>
    <w:p w14:paraId="673E3FA1" w14:textId="77777777" w:rsidR="00692E71" w:rsidRPr="001E3185" w:rsidRDefault="00692E71" w:rsidP="00692E71">
      <w:pPr>
        <w:spacing w:before="120"/>
        <w:ind w:left="708"/>
        <w:rPr>
          <w:rFonts w:cs="Arial"/>
        </w:rPr>
      </w:pPr>
      <w:r w:rsidRPr="001E3185">
        <w:rPr>
          <w:rStyle w:val="Marquedecommentaire"/>
          <w:rFonts w:cs="Arial"/>
          <w:lang w:eastAsia="en-US"/>
        </w:rPr>
        <w:t>Q* time 2 [kg/ha</w:t>
      </w:r>
      <w:proofErr w:type="gramStart"/>
      <w:r w:rsidRPr="001E3185">
        <w:rPr>
          <w:rStyle w:val="Marquedecommentaire"/>
          <w:rFonts w:cs="Arial"/>
          <w:lang w:eastAsia="en-US"/>
        </w:rPr>
        <w:t>]</w:t>
      </w:r>
      <w:r w:rsidRPr="001E3185">
        <w:rPr>
          <w:rStyle w:val="Marquedecommentaire"/>
          <w:rFonts w:cs="Arial"/>
          <w:vertAlign w:val="subscript"/>
          <w:lang w:eastAsia="en-US"/>
        </w:rPr>
        <w:t>in</w:t>
      </w:r>
      <w:proofErr w:type="gramEnd"/>
      <w:r w:rsidRPr="001E3185">
        <w:rPr>
          <w:rStyle w:val="Marquedecommentaire"/>
          <w:rFonts w:cs="Arial"/>
          <w:vertAlign w:val="subscript"/>
          <w:lang w:eastAsia="en-US"/>
        </w:rPr>
        <w:t xml:space="preserve"> service</w:t>
      </w:r>
      <w:r w:rsidRPr="001E3185">
        <w:rPr>
          <w:rStyle w:val="Marquedecommentaire"/>
          <w:rFonts w:cs="Arial"/>
          <w:lang w:eastAsia="en-US"/>
        </w:rPr>
        <w:t xml:space="preserve"> = (Q*</w:t>
      </w:r>
      <w:r w:rsidRPr="001E3185">
        <w:rPr>
          <w:rStyle w:val="Marquedecommentaire"/>
          <w:rFonts w:cs="Arial"/>
          <w:vertAlign w:val="subscript"/>
          <w:lang w:eastAsia="en-US"/>
        </w:rPr>
        <w:t>leach time2</w:t>
      </w:r>
      <w:r w:rsidRPr="001E3185">
        <w:rPr>
          <w:rStyle w:val="Marquedecommentaire"/>
          <w:rFonts w:cs="Arial"/>
          <w:lang w:eastAsia="en-US"/>
        </w:rPr>
        <w:t xml:space="preserve"> </w:t>
      </w:r>
      <w:r w:rsidRPr="001E3185">
        <w:rPr>
          <w:rStyle w:val="Marquedecommentaire"/>
          <w:rFonts w:cs="Arial"/>
          <w:vertAlign w:val="subscript"/>
          <w:lang w:eastAsia="en-US"/>
        </w:rPr>
        <w:t xml:space="preserve"> </w:t>
      </w:r>
      <w:r w:rsidRPr="001E3185">
        <w:rPr>
          <w:rStyle w:val="Marquedecommentaire"/>
          <w:rFonts w:cs="Arial"/>
          <w:lang w:eastAsia="en-US"/>
        </w:rPr>
        <w:t xml:space="preserve">* </w:t>
      </w:r>
      <w:r w:rsidRPr="001E3185">
        <w:rPr>
          <w:rFonts w:cs="Arial"/>
        </w:rPr>
        <w:t xml:space="preserve">Area </w:t>
      </w:r>
      <w:r w:rsidRPr="001E3185">
        <w:rPr>
          <w:rFonts w:cs="Arial"/>
          <w:vertAlign w:val="subscript"/>
        </w:rPr>
        <w:t>house</w:t>
      </w:r>
      <w:r w:rsidRPr="001E3185">
        <w:rPr>
          <w:rFonts w:cs="Arial"/>
        </w:rPr>
        <w:t xml:space="preserve"> per hectare) / (Time 2 * Annual deposits) * </w:t>
      </w:r>
      <w:r w:rsidRPr="001E3185">
        <w:rPr>
          <w:rStyle w:val="Marquedecommentaire"/>
          <w:rFonts w:cs="Arial"/>
          <w:lang w:eastAsia="en-US"/>
        </w:rPr>
        <w:t>F</w:t>
      </w:r>
      <w:r w:rsidRPr="001E3185">
        <w:rPr>
          <w:rStyle w:val="Marquedecommentaire"/>
          <w:rFonts w:cs="Arial"/>
          <w:vertAlign w:val="subscript"/>
          <w:lang w:eastAsia="en-US"/>
        </w:rPr>
        <w:t>weatherside</w:t>
      </w:r>
      <w:r w:rsidRPr="001E3185">
        <w:rPr>
          <w:rFonts w:cs="Arial"/>
        </w:rPr>
        <w:t>)</w:t>
      </w:r>
    </w:p>
    <w:p w14:paraId="5A1BFA8C" w14:textId="77777777" w:rsidR="00692E71" w:rsidRPr="001E3185" w:rsidRDefault="00692E71" w:rsidP="00692E71">
      <w:pPr>
        <w:ind w:left="708"/>
        <w:rPr>
          <w:rStyle w:val="Marquedecommentaire"/>
          <w:rFonts w:cs="Arial"/>
          <w:lang w:eastAsia="en-US"/>
        </w:rPr>
      </w:pPr>
      <w:r w:rsidRPr="001E3185">
        <w:rPr>
          <w:rStyle w:val="Marquedecommentaire"/>
          <w:rFonts w:cs="Arial"/>
          <w:lang w:eastAsia="en-US"/>
        </w:rPr>
        <w:t>Q* time 2 [kg/ha</w:t>
      </w:r>
      <w:proofErr w:type="gramStart"/>
      <w:r w:rsidRPr="001E3185">
        <w:rPr>
          <w:rStyle w:val="Marquedecommentaire"/>
          <w:rFonts w:cs="Arial"/>
          <w:lang w:eastAsia="en-US"/>
        </w:rPr>
        <w:t>]</w:t>
      </w:r>
      <w:r w:rsidRPr="001E3185">
        <w:rPr>
          <w:rStyle w:val="Marquedecommentaire"/>
          <w:rFonts w:cs="Arial"/>
          <w:vertAlign w:val="subscript"/>
          <w:lang w:eastAsia="en-US"/>
        </w:rPr>
        <w:t>in</w:t>
      </w:r>
      <w:proofErr w:type="gramEnd"/>
      <w:r w:rsidRPr="001E3185">
        <w:rPr>
          <w:rStyle w:val="Marquedecommentaire"/>
          <w:rFonts w:cs="Arial"/>
          <w:vertAlign w:val="subscript"/>
          <w:lang w:eastAsia="en-US"/>
        </w:rPr>
        <w:t xml:space="preserve"> service </w:t>
      </w:r>
      <w:r w:rsidRPr="001E3185">
        <w:rPr>
          <w:rStyle w:val="Marquedecommentaire"/>
          <w:rFonts w:cs="Arial"/>
          <w:lang w:eastAsia="en-US"/>
        </w:rPr>
        <w:t>= ((74.14*10</w:t>
      </w:r>
      <w:r w:rsidRPr="001E3185">
        <w:rPr>
          <w:rStyle w:val="Marquedecommentaire"/>
          <w:rFonts w:cs="Arial"/>
          <w:vertAlign w:val="superscript"/>
          <w:lang w:eastAsia="en-US"/>
        </w:rPr>
        <w:t>-6</w:t>
      </w:r>
      <w:r w:rsidRPr="001E3185">
        <w:rPr>
          <w:rStyle w:val="Marquedecommentaire"/>
          <w:rFonts w:cs="Arial"/>
          <w:lang w:eastAsia="en-US"/>
        </w:rPr>
        <w:t xml:space="preserve"> * 2000) / (5 * 10)) * 0.5</w:t>
      </w:r>
    </w:p>
    <w:p w14:paraId="7E67BEBF" w14:textId="77777777" w:rsidR="00692E71" w:rsidRPr="001E3185" w:rsidRDefault="00692E71" w:rsidP="00692E71">
      <w:pPr>
        <w:ind w:left="708"/>
        <w:rPr>
          <w:rFonts w:cs="Arial"/>
        </w:rPr>
      </w:pPr>
      <w:r w:rsidRPr="001E3185">
        <w:rPr>
          <w:rStyle w:val="Marquedecommentaire"/>
          <w:rFonts w:cs="Arial"/>
          <w:lang w:eastAsia="en-US"/>
        </w:rPr>
        <w:t>Q* time 2 [kg/ha</w:t>
      </w:r>
      <w:proofErr w:type="gramStart"/>
      <w:r w:rsidRPr="001E3185">
        <w:rPr>
          <w:rStyle w:val="Marquedecommentaire"/>
          <w:rFonts w:cs="Arial"/>
          <w:lang w:eastAsia="en-US"/>
        </w:rPr>
        <w:t>]</w:t>
      </w:r>
      <w:r w:rsidRPr="001E3185">
        <w:rPr>
          <w:rStyle w:val="Marquedecommentaire"/>
          <w:rFonts w:cs="Arial"/>
          <w:vertAlign w:val="subscript"/>
          <w:lang w:eastAsia="en-US"/>
        </w:rPr>
        <w:t>in</w:t>
      </w:r>
      <w:proofErr w:type="gramEnd"/>
      <w:r w:rsidRPr="001E3185">
        <w:rPr>
          <w:rStyle w:val="Marquedecommentaire"/>
          <w:rFonts w:cs="Arial"/>
          <w:vertAlign w:val="subscript"/>
          <w:lang w:eastAsia="en-US"/>
        </w:rPr>
        <w:t xml:space="preserve"> service </w:t>
      </w:r>
      <w:r w:rsidRPr="001E3185">
        <w:rPr>
          <w:rStyle w:val="Marquedecommentaire"/>
          <w:rFonts w:cs="Arial"/>
          <w:lang w:eastAsia="en-US"/>
        </w:rPr>
        <w:t>= 1.5*10</w:t>
      </w:r>
      <w:r w:rsidRPr="001E3185">
        <w:rPr>
          <w:rStyle w:val="Marquedecommentaire"/>
          <w:rFonts w:cs="Arial"/>
          <w:vertAlign w:val="superscript"/>
          <w:lang w:eastAsia="en-US"/>
        </w:rPr>
        <w:t>-3</w:t>
      </w:r>
    </w:p>
    <w:p w14:paraId="6D0DA92F" w14:textId="77777777" w:rsidR="00692E71" w:rsidRPr="001E3185" w:rsidRDefault="00692E71" w:rsidP="00692E71">
      <w:pPr>
        <w:spacing w:before="240"/>
        <w:rPr>
          <w:rFonts w:cs="Arial"/>
        </w:rPr>
      </w:pPr>
      <w:r w:rsidRPr="001E3185">
        <w:rPr>
          <w:rFonts w:cs="Arial"/>
        </w:rPr>
        <w:t>Total input to the model:</w:t>
      </w:r>
    </w:p>
    <w:p w14:paraId="40205D65" w14:textId="77777777" w:rsidR="00692E71" w:rsidRPr="0021636F" w:rsidRDefault="00692E71" w:rsidP="00692E71">
      <w:pPr>
        <w:ind w:left="708"/>
        <w:rPr>
          <w:rFonts w:cs="Arial"/>
          <w:lang w:val="en-US"/>
        </w:rPr>
      </w:pPr>
      <w:r w:rsidRPr="0021636F">
        <w:rPr>
          <w:rStyle w:val="Marquedecommentaire"/>
          <w:rFonts w:cs="Arial"/>
          <w:lang w:val="en-US" w:eastAsia="en-US"/>
        </w:rPr>
        <w:t>Q* time 2 [kg/ha</w:t>
      </w:r>
      <w:proofErr w:type="gramStart"/>
      <w:r w:rsidRPr="0021636F">
        <w:rPr>
          <w:rStyle w:val="Marquedecommentaire"/>
          <w:rFonts w:cs="Arial"/>
          <w:lang w:val="en-US" w:eastAsia="en-US"/>
        </w:rPr>
        <w:t>]</w:t>
      </w:r>
      <w:r w:rsidRPr="0021636F">
        <w:rPr>
          <w:rStyle w:val="Marquedecommentaire"/>
          <w:rFonts w:cs="Arial"/>
          <w:vertAlign w:val="subscript"/>
          <w:lang w:val="en-US" w:eastAsia="en-US"/>
        </w:rPr>
        <w:t>in</w:t>
      </w:r>
      <w:proofErr w:type="gramEnd"/>
      <w:r w:rsidRPr="0021636F">
        <w:rPr>
          <w:rStyle w:val="Marquedecommentaire"/>
          <w:rFonts w:cs="Arial"/>
          <w:vertAlign w:val="subscript"/>
          <w:lang w:val="en-US" w:eastAsia="en-US"/>
        </w:rPr>
        <w:t>-situ</w:t>
      </w:r>
      <w:r w:rsidRPr="0021636F">
        <w:rPr>
          <w:rStyle w:val="Marquedecommentaire"/>
          <w:rFonts w:cs="Arial"/>
          <w:lang w:val="en-US" w:eastAsia="en-US"/>
        </w:rPr>
        <w:t xml:space="preserve"> + Q* time 2 [kg/ha]</w:t>
      </w:r>
      <w:r w:rsidRPr="0021636F">
        <w:rPr>
          <w:rStyle w:val="Marquedecommentaire"/>
          <w:rFonts w:cs="Arial"/>
          <w:vertAlign w:val="subscript"/>
          <w:lang w:val="en-US" w:eastAsia="en-US"/>
        </w:rPr>
        <w:t>in service</w:t>
      </w:r>
    </w:p>
    <w:p w14:paraId="34ABC622" w14:textId="77777777" w:rsidR="00692E71" w:rsidRPr="001E3185" w:rsidRDefault="00692E71" w:rsidP="00692E71">
      <w:pPr>
        <w:spacing w:before="240"/>
        <w:rPr>
          <w:rFonts w:cs="Arial"/>
        </w:rPr>
      </w:pPr>
      <w:r w:rsidRPr="001E3185">
        <w:rPr>
          <w:rStyle w:val="Marquedecommentaire"/>
          <w:rFonts w:cs="Arial"/>
          <w:lang w:eastAsia="en-US"/>
        </w:rPr>
        <w:t>The input parameters and results of the model calculations are presented below.</w:t>
      </w:r>
      <w:r w:rsidRPr="001E3185" w:rsidDel="00D01E55">
        <w:rPr>
          <w:rFonts w:cs="Arial"/>
        </w:rPr>
        <w:t xml:space="preserve"> </w:t>
      </w:r>
    </w:p>
    <w:p w14:paraId="3CDCC30B" w14:textId="77777777" w:rsidR="00692E71" w:rsidRPr="001E3185" w:rsidRDefault="00692E71" w:rsidP="00692E71">
      <w:pPr>
        <w:rPr>
          <w:rFonts w:cs="Arial"/>
          <w:b/>
        </w:rPr>
      </w:pPr>
    </w:p>
    <w:p w14:paraId="7C335BC7"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45</w:t>
      </w:r>
      <w:r w:rsidRPr="001E3185">
        <w:rPr>
          <w:rFonts w:ascii="Verdana" w:hAnsi="Verdana"/>
        </w:rPr>
        <w:fldChar w:fldCharType="end"/>
      </w:r>
      <w:r w:rsidRPr="001E3185">
        <w:rPr>
          <w:rFonts w:ascii="Verdana" w:hAnsi="Verdana"/>
        </w:rPr>
        <w:t xml:space="preserve">: PEC estimation to groundwater using the PEARL FOCUS model </w:t>
      </w: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5"/>
        <w:gridCol w:w="1417"/>
        <w:gridCol w:w="1587"/>
        <w:gridCol w:w="1587"/>
        <w:gridCol w:w="1588"/>
      </w:tblGrid>
      <w:tr w:rsidR="00692E71" w:rsidRPr="001E3185" w14:paraId="63EBED56" w14:textId="77777777" w:rsidTr="008E0250">
        <w:trPr>
          <w:trHeight w:val="283"/>
        </w:trPr>
        <w:tc>
          <w:tcPr>
            <w:tcW w:w="3175" w:type="dxa"/>
            <w:shd w:val="clear" w:color="auto" w:fill="D9D9D9" w:themeFill="background1" w:themeFillShade="D9"/>
            <w:vAlign w:val="center"/>
          </w:tcPr>
          <w:p w14:paraId="5954D8E1" w14:textId="77777777" w:rsidR="00692E71" w:rsidRPr="001E3185" w:rsidRDefault="00692E71" w:rsidP="008E0250">
            <w:pPr>
              <w:jc w:val="center"/>
              <w:rPr>
                <w:rFonts w:cs="Arial"/>
                <w:b/>
              </w:rPr>
            </w:pPr>
            <w:r w:rsidRPr="001E3185">
              <w:rPr>
                <w:rFonts w:cs="Arial"/>
                <w:b/>
              </w:rPr>
              <w:t>Parameter/variable</w:t>
            </w:r>
          </w:p>
        </w:tc>
        <w:tc>
          <w:tcPr>
            <w:tcW w:w="1417" w:type="dxa"/>
            <w:shd w:val="clear" w:color="auto" w:fill="D9D9D9" w:themeFill="background1" w:themeFillShade="D9"/>
            <w:vAlign w:val="center"/>
          </w:tcPr>
          <w:p w14:paraId="271105AF" w14:textId="77777777" w:rsidR="00692E71" w:rsidRPr="001E3185" w:rsidRDefault="00692E71" w:rsidP="008E0250">
            <w:pPr>
              <w:jc w:val="center"/>
              <w:rPr>
                <w:rFonts w:cs="Arial"/>
                <w:b/>
              </w:rPr>
            </w:pPr>
            <w:r w:rsidRPr="001E3185">
              <w:rPr>
                <w:rFonts w:cs="Arial"/>
                <w:b/>
              </w:rPr>
              <w:t>PBC</w:t>
            </w:r>
          </w:p>
        </w:tc>
        <w:tc>
          <w:tcPr>
            <w:tcW w:w="1587" w:type="dxa"/>
            <w:shd w:val="clear" w:color="auto" w:fill="D9D9D9" w:themeFill="background1" w:themeFillShade="D9"/>
            <w:vAlign w:val="center"/>
          </w:tcPr>
          <w:p w14:paraId="5313CB29" w14:textId="77777777" w:rsidR="00692E71" w:rsidRPr="001E3185" w:rsidRDefault="00692E71" w:rsidP="008E0250">
            <w:pPr>
              <w:jc w:val="center"/>
              <w:rPr>
                <w:rFonts w:cs="Arial"/>
                <w:b/>
              </w:rPr>
            </w:pPr>
            <w:r w:rsidRPr="001E3185">
              <w:rPr>
                <w:rFonts w:cs="Arial"/>
                <w:b/>
              </w:rPr>
              <w:t>Propiconazole</w:t>
            </w:r>
          </w:p>
        </w:tc>
        <w:tc>
          <w:tcPr>
            <w:tcW w:w="1587" w:type="dxa"/>
            <w:shd w:val="clear" w:color="auto" w:fill="D9D9D9" w:themeFill="background1" w:themeFillShade="D9"/>
            <w:vAlign w:val="center"/>
          </w:tcPr>
          <w:p w14:paraId="3965D3C3" w14:textId="77777777" w:rsidR="00692E71" w:rsidRPr="001E3185" w:rsidRDefault="00692E71" w:rsidP="008E0250">
            <w:pPr>
              <w:jc w:val="center"/>
              <w:rPr>
                <w:rFonts w:cs="Arial"/>
                <w:b/>
              </w:rPr>
            </w:pPr>
            <w:r w:rsidRPr="001E3185">
              <w:rPr>
                <w:rFonts w:cs="Arial"/>
                <w:b/>
              </w:rPr>
              <w:t>Tebuconazole</w:t>
            </w:r>
          </w:p>
        </w:tc>
        <w:tc>
          <w:tcPr>
            <w:tcW w:w="1588" w:type="dxa"/>
            <w:shd w:val="clear" w:color="auto" w:fill="D9D9D9" w:themeFill="background1" w:themeFillShade="D9"/>
            <w:vAlign w:val="center"/>
          </w:tcPr>
          <w:p w14:paraId="1279C0F3" w14:textId="77777777" w:rsidR="00692E71" w:rsidRPr="001E3185" w:rsidRDefault="00692E71" w:rsidP="008E0250">
            <w:pPr>
              <w:jc w:val="center"/>
              <w:rPr>
                <w:rFonts w:cs="Arial"/>
                <w:b/>
              </w:rPr>
            </w:pPr>
            <w:r w:rsidRPr="001E3185">
              <w:rPr>
                <w:rStyle w:val="Marquedecommentaire"/>
                <w:rFonts w:cs="Arial"/>
                <w:b/>
                <w:lang w:eastAsia="en-US"/>
              </w:rPr>
              <w:t>1,2,4-triazole</w:t>
            </w:r>
          </w:p>
        </w:tc>
      </w:tr>
      <w:tr w:rsidR="00692E71" w:rsidRPr="001E3185" w14:paraId="3DF22FAB" w14:textId="77777777" w:rsidTr="008E0250">
        <w:trPr>
          <w:trHeight w:val="283"/>
        </w:trPr>
        <w:tc>
          <w:tcPr>
            <w:tcW w:w="9354" w:type="dxa"/>
            <w:gridSpan w:val="5"/>
            <w:vAlign w:val="center"/>
          </w:tcPr>
          <w:p w14:paraId="6CFCEBE2" w14:textId="77777777" w:rsidR="00692E71" w:rsidRPr="001E3185" w:rsidRDefault="00692E71" w:rsidP="008E0250">
            <w:pPr>
              <w:rPr>
                <w:rFonts w:cs="Arial"/>
                <w:b/>
              </w:rPr>
            </w:pPr>
            <w:r w:rsidRPr="001E3185">
              <w:rPr>
                <w:rFonts w:cs="Arial"/>
                <w:b/>
              </w:rPr>
              <w:t>INPUTS</w:t>
            </w:r>
          </w:p>
        </w:tc>
      </w:tr>
      <w:tr w:rsidR="00692E71" w:rsidRPr="001E3185" w14:paraId="53760BA8" w14:textId="77777777" w:rsidTr="008E0250">
        <w:tc>
          <w:tcPr>
            <w:tcW w:w="3175" w:type="dxa"/>
            <w:vAlign w:val="center"/>
          </w:tcPr>
          <w:p w14:paraId="0F1B82A0" w14:textId="77777777" w:rsidR="00692E71" w:rsidRPr="001E3185" w:rsidRDefault="00692E71" w:rsidP="008E0250">
            <w:pPr>
              <w:rPr>
                <w:rFonts w:cs="Arial"/>
              </w:rPr>
            </w:pPr>
            <w:r w:rsidRPr="001E3185">
              <w:rPr>
                <w:rFonts w:cs="Arial"/>
              </w:rPr>
              <w:t>Reference</w:t>
            </w:r>
          </w:p>
        </w:tc>
        <w:tc>
          <w:tcPr>
            <w:tcW w:w="1417" w:type="dxa"/>
            <w:vAlign w:val="center"/>
          </w:tcPr>
          <w:p w14:paraId="2D6EDCE3" w14:textId="77777777" w:rsidR="00692E71" w:rsidRPr="001E3185" w:rsidRDefault="00692E71" w:rsidP="008E0250">
            <w:pPr>
              <w:jc w:val="center"/>
              <w:rPr>
                <w:rFonts w:cs="Arial"/>
              </w:rPr>
            </w:pPr>
            <w:r w:rsidRPr="001E3185">
              <w:rPr>
                <w:rFonts w:cs="Arial"/>
              </w:rPr>
              <w:t>AR for PT08</w:t>
            </w:r>
          </w:p>
        </w:tc>
        <w:tc>
          <w:tcPr>
            <w:tcW w:w="1587" w:type="dxa"/>
            <w:vAlign w:val="center"/>
          </w:tcPr>
          <w:p w14:paraId="111CC31D" w14:textId="77777777" w:rsidR="00692E71" w:rsidRPr="001E3185" w:rsidRDefault="00692E71" w:rsidP="008E0250">
            <w:pPr>
              <w:jc w:val="center"/>
              <w:rPr>
                <w:rFonts w:cs="Arial"/>
              </w:rPr>
            </w:pPr>
            <w:r w:rsidRPr="001E3185">
              <w:rPr>
                <w:rFonts w:cs="Arial"/>
              </w:rPr>
              <w:t>AR for PT08</w:t>
            </w:r>
          </w:p>
        </w:tc>
        <w:tc>
          <w:tcPr>
            <w:tcW w:w="1587" w:type="dxa"/>
            <w:vAlign w:val="center"/>
          </w:tcPr>
          <w:p w14:paraId="1775F06D" w14:textId="77777777" w:rsidR="00692E71" w:rsidRPr="001E3185" w:rsidRDefault="00692E71" w:rsidP="008E0250">
            <w:pPr>
              <w:jc w:val="center"/>
              <w:rPr>
                <w:rFonts w:cs="Arial"/>
              </w:rPr>
            </w:pPr>
            <w:r w:rsidRPr="001E3185">
              <w:rPr>
                <w:rFonts w:cs="Arial"/>
              </w:rPr>
              <w:t>AR for PT08</w:t>
            </w:r>
          </w:p>
        </w:tc>
        <w:tc>
          <w:tcPr>
            <w:tcW w:w="1588" w:type="dxa"/>
            <w:vAlign w:val="center"/>
          </w:tcPr>
          <w:p w14:paraId="2295449D" w14:textId="77777777" w:rsidR="00692E71" w:rsidRPr="001E3185" w:rsidRDefault="00692E71" w:rsidP="008E0250">
            <w:pPr>
              <w:jc w:val="center"/>
              <w:rPr>
                <w:rFonts w:cs="Arial"/>
              </w:rPr>
            </w:pPr>
            <w:r w:rsidRPr="001E3185">
              <w:rPr>
                <w:rFonts w:cs="Arial"/>
              </w:rPr>
              <w:t>AR for PT08</w:t>
            </w:r>
          </w:p>
        </w:tc>
      </w:tr>
      <w:tr w:rsidR="00692E71" w:rsidRPr="001E3185" w14:paraId="02C3D7D4" w14:textId="77777777" w:rsidTr="008E0250">
        <w:tc>
          <w:tcPr>
            <w:tcW w:w="3175" w:type="dxa"/>
            <w:vAlign w:val="center"/>
          </w:tcPr>
          <w:p w14:paraId="72AA16F3" w14:textId="77777777" w:rsidR="00692E71" w:rsidRPr="001E3185" w:rsidRDefault="00692E71" w:rsidP="008E0250">
            <w:pPr>
              <w:rPr>
                <w:rFonts w:cs="Arial"/>
              </w:rPr>
            </w:pPr>
            <w:r w:rsidRPr="001E3185">
              <w:rPr>
                <w:rFonts w:cs="Arial"/>
              </w:rPr>
              <w:t xml:space="preserve">Application rate: Estimated from the leaching rate converted to 10 equal </w:t>
            </w:r>
            <w:r w:rsidRPr="001E3185">
              <w:rPr>
                <w:rFonts w:cs="Arial"/>
              </w:rPr>
              <w:lastRenderedPageBreak/>
              <w:t xml:space="preserve">applications per annum </w:t>
            </w:r>
            <w:r w:rsidRPr="001E3185">
              <w:rPr>
                <w:rFonts w:cs="Arial"/>
              </w:rPr>
              <w:br/>
              <w:t>(kg ha</w:t>
            </w:r>
            <w:r w:rsidRPr="001E3185">
              <w:rPr>
                <w:rFonts w:cs="Arial"/>
                <w:vertAlign w:val="superscript"/>
              </w:rPr>
              <w:t>-1</w:t>
            </w:r>
            <w:r w:rsidRPr="001E3185">
              <w:rPr>
                <w:rFonts w:cs="Arial"/>
              </w:rPr>
              <w:t>)</w:t>
            </w:r>
          </w:p>
        </w:tc>
        <w:tc>
          <w:tcPr>
            <w:tcW w:w="1417" w:type="dxa"/>
            <w:vAlign w:val="center"/>
          </w:tcPr>
          <w:p w14:paraId="023F7034" w14:textId="77777777" w:rsidR="00692E71" w:rsidRPr="001E3185" w:rsidRDefault="00692E71" w:rsidP="008E0250">
            <w:pPr>
              <w:jc w:val="center"/>
              <w:rPr>
                <w:rFonts w:cs="Arial"/>
              </w:rPr>
            </w:pPr>
            <w:r w:rsidRPr="001E3185">
              <w:rPr>
                <w:rFonts w:cs="Arial"/>
              </w:rPr>
              <w:lastRenderedPageBreak/>
              <w:t>0.0010</w:t>
            </w:r>
          </w:p>
        </w:tc>
        <w:tc>
          <w:tcPr>
            <w:tcW w:w="1587" w:type="dxa"/>
            <w:vAlign w:val="center"/>
          </w:tcPr>
          <w:p w14:paraId="56C01B2F" w14:textId="77777777" w:rsidR="00692E71" w:rsidRPr="001E3185" w:rsidRDefault="00692E71" w:rsidP="008E0250">
            <w:pPr>
              <w:jc w:val="center"/>
              <w:rPr>
                <w:rFonts w:cs="Arial"/>
              </w:rPr>
            </w:pPr>
            <w:r w:rsidRPr="001E3185">
              <w:rPr>
                <w:rFonts w:cs="Arial"/>
              </w:rPr>
              <w:t>0.0063</w:t>
            </w:r>
          </w:p>
        </w:tc>
        <w:tc>
          <w:tcPr>
            <w:tcW w:w="1587" w:type="dxa"/>
            <w:vAlign w:val="center"/>
          </w:tcPr>
          <w:p w14:paraId="22DFBEEF" w14:textId="77777777" w:rsidR="00692E71" w:rsidRPr="001E3185" w:rsidRDefault="00692E71" w:rsidP="008E0250">
            <w:pPr>
              <w:jc w:val="center"/>
              <w:rPr>
                <w:rFonts w:cs="Arial"/>
              </w:rPr>
            </w:pPr>
            <w:r w:rsidRPr="001E3185">
              <w:rPr>
                <w:rFonts w:cs="Arial"/>
              </w:rPr>
              <w:t>0.0021</w:t>
            </w:r>
          </w:p>
        </w:tc>
        <w:tc>
          <w:tcPr>
            <w:tcW w:w="1588" w:type="dxa"/>
            <w:vAlign w:val="center"/>
          </w:tcPr>
          <w:p w14:paraId="7CAC8DAB" w14:textId="77777777" w:rsidR="00692E71" w:rsidRPr="001E3185" w:rsidRDefault="00692E71" w:rsidP="008E0250">
            <w:pPr>
              <w:jc w:val="center"/>
              <w:rPr>
                <w:rFonts w:cs="Arial"/>
              </w:rPr>
            </w:pPr>
            <w:r w:rsidRPr="001E3185">
              <w:rPr>
                <w:rFonts w:cs="Arial"/>
              </w:rPr>
              <w:t>-</w:t>
            </w:r>
          </w:p>
        </w:tc>
      </w:tr>
      <w:tr w:rsidR="00692E71" w:rsidRPr="001E3185" w14:paraId="3CF11F6B" w14:textId="77777777" w:rsidTr="008E0250">
        <w:tc>
          <w:tcPr>
            <w:tcW w:w="3175" w:type="dxa"/>
            <w:vAlign w:val="center"/>
          </w:tcPr>
          <w:p w14:paraId="2E3B997D" w14:textId="77777777" w:rsidR="00692E71" w:rsidRPr="001E3185" w:rsidRDefault="00692E71" w:rsidP="008E0250">
            <w:pPr>
              <w:rPr>
                <w:rFonts w:cs="Arial"/>
              </w:rPr>
            </w:pPr>
            <w:r w:rsidRPr="001E3185">
              <w:rPr>
                <w:rFonts w:cs="Arial"/>
              </w:rPr>
              <w:t>Kom or Koc (L. kg</w:t>
            </w:r>
            <w:r w:rsidRPr="001E3185">
              <w:rPr>
                <w:rFonts w:cs="Arial"/>
                <w:vertAlign w:val="superscript"/>
              </w:rPr>
              <w:t>-1</w:t>
            </w:r>
            <w:r w:rsidRPr="001E3185">
              <w:rPr>
                <w:rFonts w:cs="Arial"/>
              </w:rPr>
              <w:t>)</w:t>
            </w:r>
          </w:p>
        </w:tc>
        <w:tc>
          <w:tcPr>
            <w:tcW w:w="1417" w:type="dxa"/>
            <w:vAlign w:val="center"/>
          </w:tcPr>
          <w:p w14:paraId="3F7C101A" w14:textId="77777777" w:rsidR="00692E71" w:rsidRPr="001E3185" w:rsidRDefault="00692E71" w:rsidP="008E0250">
            <w:pPr>
              <w:jc w:val="center"/>
              <w:rPr>
                <w:rFonts w:cs="Arial"/>
              </w:rPr>
            </w:pPr>
            <w:r w:rsidRPr="001E3185">
              <w:rPr>
                <w:rFonts w:cs="Arial"/>
              </w:rPr>
              <w:t>198.1 (Koc)</w:t>
            </w:r>
          </w:p>
        </w:tc>
        <w:tc>
          <w:tcPr>
            <w:tcW w:w="1587" w:type="dxa"/>
            <w:vAlign w:val="center"/>
          </w:tcPr>
          <w:p w14:paraId="15828F10" w14:textId="77777777" w:rsidR="00692E71" w:rsidRPr="001E3185" w:rsidRDefault="00692E71" w:rsidP="008E0250">
            <w:pPr>
              <w:jc w:val="center"/>
              <w:rPr>
                <w:rFonts w:cs="Arial"/>
              </w:rPr>
            </w:pPr>
            <w:r w:rsidRPr="001E3185">
              <w:rPr>
                <w:rFonts w:cs="Arial"/>
              </w:rPr>
              <w:t>397 (Kom)</w:t>
            </w:r>
          </w:p>
        </w:tc>
        <w:tc>
          <w:tcPr>
            <w:tcW w:w="1587" w:type="dxa"/>
            <w:vAlign w:val="center"/>
          </w:tcPr>
          <w:p w14:paraId="4CB71594" w14:textId="77777777" w:rsidR="00692E71" w:rsidRPr="001E3185" w:rsidRDefault="00692E71" w:rsidP="008E0250">
            <w:pPr>
              <w:jc w:val="center"/>
              <w:rPr>
                <w:rFonts w:cs="Arial"/>
              </w:rPr>
            </w:pPr>
            <w:r w:rsidRPr="001E3185">
              <w:rPr>
                <w:rFonts w:cs="Arial"/>
              </w:rPr>
              <w:t>992 (Koc)</w:t>
            </w:r>
          </w:p>
        </w:tc>
        <w:tc>
          <w:tcPr>
            <w:tcW w:w="1588" w:type="dxa"/>
            <w:vAlign w:val="center"/>
          </w:tcPr>
          <w:p w14:paraId="26C3B485" w14:textId="77777777" w:rsidR="00692E71" w:rsidRPr="001E3185" w:rsidRDefault="00692E71" w:rsidP="008E0250">
            <w:pPr>
              <w:jc w:val="center"/>
              <w:rPr>
                <w:rFonts w:cs="Arial"/>
              </w:rPr>
            </w:pPr>
            <w:r w:rsidRPr="001E3185">
              <w:rPr>
                <w:rFonts w:cs="Arial"/>
              </w:rPr>
              <w:t>51.6 (Kom)</w:t>
            </w:r>
          </w:p>
        </w:tc>
      </w:tr>
      <w:tr w:rsidR="00692E71" w:rsidRPr="001E3185" w14:paraId="28413DE5" w14:textId="77777777" w:rsidTr="008E0250">
        <w:tc>
          <w:tcPr>
            <w:tcW w:w="3175" w:type="dxa"/>
            <w:vAlign w:val="center"/>
          </w:tcPr>
          <w:p w14:paraId="094F2231" w14:textId="77777777" w:rsidR="00692E71" w:rsidRPr="001E3185" w:rsidRDefault="00692E71" w:rsidP="008E0250">
            <w:pPr>
              <w:rPr>
                <w:rFonts w:cs="Arial"/>
              </w:rPr>
            </w:pPr>
            <w:r w:rsidRPr="001E3185">
              <w:rPr>
                <w:rFonts w:cs="Arial"/>
              </w:rPr>
              <w:t>Freundlich exponent assumed as 0.9 (unless laboratory data known) mean values</w:t>
            </w:r>
          </w:p>
        </w:tc>
        <w:tc>
          <w:tcPr>
            <w:tcW w:w="1417" w:type="dxa"/>
            <w:vAlign w:val="center"/>
          </w:tcPr>
          <w:p w14:paraId="3BDF6EDE" w14:textId="77777777" w:rsidR="00692E71" w:rsidRPr="001E3185" w:rsidRDefault="00692E71" w:rsidP="008E0250">
            <w:pPr>
              <w:jc w:val="center"/>
              <w:rPr>
                <w:rFonts w:cs="Arial"/>
              </w:rPr>
            </w:pPr>
            <w:r w:rsidRPr="001E3185">
              <w:rPr>
                <w:rFonts w:cs="Arial"/>
              </w:rPr>
              <w:t>0.9</w:t>
            </w:r>
          </w:p>
        </w:tc>
        <w:tc>
          <w:tcPr>
            <w:tcW w:w="1587" w:type="dxa"/>
            <w:vAlign w:val="center"/>
          </w:tcPr>
          <w:p w14:paraId="05AD15EA" w14:textId="77777777" w:rsidR="00692E71" w:rsidRPr="001E3185" w:rsidRDefault="00692E71" w:rsidP="008E0250">
            <w:pPr>
              <w:jc w:val="center"/>
              <w:rPr>
                <w:rFonts w:cs="Arial"/>
              </w:rPr>
            </w:pPr>
            <w:r w:rsidRPr="001E3185">
              <w:rPr>
                <w:rFonts w:cs="Arial"/>
              </w:rPr>
              <w:t>0.88</w:t>
            </w:r>
            <w:r w:rsidRPr="001E3185">
              <w:rPr>
                <w:rFonts w:cs="Arial"/>
                <w:vertAlign w:val="superscript"/>
              </w:rPr>
              <w:t>(1)</w:t>
            </w:r>
          </w:p>
        </w:tc>
        <w:tc>
          <w:tcPr>
            <w:tcW w:w="1587" w:type="dxa"/>
            <w:vAlign w:val="center"/>
          </w:tcPr>
          <w:p w14:paraId="5C2E6EA0" w14:textId="77777777" w:rsidR="00692E71" w:rsidRPr="001E3185" w:rsidRDefault="00692E71" w:rsidP="008E0250">
            <w:pPr>
              <w:jc w:val="center"/>
              <w:rPr>
                <w:rFonts w:cs="Arial"/>
              </w:rPr>
            </w:pPr>
            <w:r w:rsidRPr="001E3185">
              <w:rPr>
                <w:rFonts w:cs="Arial"/>
              </w:rPr>
              <w:t>0.9</w:t>
            </w:r>
          </w:p>
        </w:tc>
        <w:tc>
          <w:tcPr>
            <w:tcW w:w="1588" w:type="dxa"/>
            <w:vAlign w:val="center"/>
          </w:tcPr>
          <w:p w14:paraId="7C56C7F0" w14:textId="77777777" w:rsidR="00692E71" w:rsidRPr="001E3185" w:rsidRDefault="00692E71" w:rsidP="008E0250">
            <w:pPr>
              <w:jc w:val="center"/>
              <w:rPr>
                <w:rFonts w:cs="Arial"/>
              </w:rPr>
            </w:pPr>
            <w:r w:rsidRPr="001E3185">
              <w:rPr>
                <w:rFonts w:cs="Arial"/>
              </w:rPr>
              <w:t>0.92</w:t>
            </w:r>
            <w:r w:rsidRPr="001E3185">
              <w:rPr>
                <w:rFonts w:cs="Arial"/>
                <w:vertAlign w:val="superscript"/>
              </w:rPr>
              <w:t>(1)</w:t>
            </w:r>
          </w:p>
        </w:tc>
      </w:tr>
      <w:tr w:rsidR="00692E71" w:rsidRPr="001E3185" w14:paraId="642FB460" w14:textId="77777777" w:rsidTr="008E0250">
        <w:tc>
          <w:tcPr>
            <w:tcW w:w="3175" w:type="dxa"/>
            <w:vAlign w:val="center"/>
          </w:tcPr>
          <w:p w14:paraId="69F04FD5" w14:textId="77777777" w:rsidR="00692E71" w:rsidRPr="001E3185" w:rsidRDefault="00692E71" w:rsidP="008E0250">
            <w:pPr>
              <w:rPr>
                <w:rFonts w:cs="Arial"/>
              </w:rPr>
            </w:pPr>
            <w:r w:rsidRPr="001E3185">
              <w:rPr>
                <w:rFonts w:cs="Arial"/>
              </w:rPr>
              <w:t>DT</w:t>
            </w:r>
            <w:r w:rsidRPr="001E3185">
              <w:rPr>
                <w:rFonts w:cs="Arial"/>
                <w:vertAlign w:val="subscript"/>
              </w:rPr>
              <w:t>50</w:t>
            </w:r>
            <w:r w:rsidRPr="001E3185">
              <w:rPr>
                <w:rFonts w:cs="Arial"/>
              </w:rPr>
              <w:t xml:space="preserve"> (days, note °C)</w:t>
            </w:r>
          </w:p>
        </w:tc>
        <w:tc>
          <w:tcPr>
            <w:tcW w:w="1417" w:type="dxa"/>
            <w:vAlign w:val="center"/>
          </w:tcPr>
          <w:p w14:paraId="43338FD2" w14:textId="77777777" w:rsidR="00692E71" w:rsidRPr="001E3185" w:rsidRDefault="00692E71" w:rsidP="008E0250">
            <w:pPr>
              <w:jc w:val="center"/>
              <w:rPr>
                <w:rFonts w:cs="Arial"/>
              </w:rPr>
            </w:pPr>
            <w:r w:rsidRPr="001E3185">
              <w:rPr>
                <w:rFonts w:cs="Arial"/>
              </w:rPr>
              <w:t>10 (12°C)</w:t>
            </w:r>
          </w:p>
        </w:tc>
        <w:tc>
          <w:tcPr>
            <w:tcW w:w="1587" w:type="dxa"/>
            <w:vAlign w:val="center"/>
          </w:tcPr>
          <w:p w14:paraId="2C214548" w14:textId="77777777" w:rsidR="00692E71" w:rsidRPr="001E3185" w:rsidRDefault="00692E71" w:rsidP="008E0250">
            <w:pPr>
              <w:jc w:val="center"/>
              <w:rPr>
                <w:rFonts w:cs="Arial"/>
                <w:highlight w:val="yellow"/>
              </w:rPr>
            </w:pPr>
            <w:r w:rsidRPr="001E3185">
              <w:rPr>
                <w:rFonts w:cs="Arial"/>
              </w:rPr>
              <w:t>43</w:t>
            </w:r>
            <w:r w:rsidRPr="001E3185">
              <w:rPr>
                <w:rFonts w:cs="Arial"/>
                <w:vertAlign w:val="superscript"/>
              </w:rPr>
              <w:t>(1)</w:t>
            </w:r>
            <w:r w:rsidRPr="001E3185">
              <w:rPr>
                <w:rFonts w:cs="Arial"/>
              </w:rPr>
              <w:t xml:space="preserve"> (20°C).</w:t>
            </w:r>
          </w:p>
        </w:tc>
        <w:tc>
          <w:tcPr>
            <w:tcW w:w="1587" w:type="dxa"/>
            <w:vAlign w:val="center"/>
          </w:tcPr>
          <w:p w14:paraId="136B9468" w14:textId="77777777" w:rsidR="00692E71" w:rsidRPr="001E3185" w:rsidRDefault="00692E71" w:rsidP="008E0250">
            <w:pPr>
              <w:jc w:val="center"/>
              <w:rPr>
                <w:rFonts w:cs="Arial"/>
              </w:rPr>
            </w:pPr>
            <w:r w:rsidRPr="001E3185">
              <w:rPr>
                <w:rFonts w:cs="Arial"/>
              </w:rPr>
              <w:t>56.9 (12°C)</w:t>
            </w:r>
          </w:p>
          <w:p w14:paraId="21290491" w14:textId="77777777" w:rsidR="00692E71" w:rsidRPr="001E3185" w:rsidRDefault="00692E71" w:rsidP="008E0250">
            <w:pPr>
              <w:jc w:val="center"/>
              <w:rPr>
                <w:rFonts w:cs="Arial"/>
              </w:rPr>
            </w:pPr>
            <w:r w:rsidRPr="001E3185">
              <w:rPr>
                <w:rFonts w:cs="Arial"/>
              </w:rPr>
              <w:t xml:space="preserve">Mean of 4 experiments in Northern Europe </w:t>
            </w:r>
          </w:p>
        </w:tc>
        <w:tc>
          <w:tcPr>
            <w:tcW w:w="1588" w:type="dxa"/>
            <w:vAlign w:val="center"/>
          </w:tcPr>
          <w:p w14:paraId="3DA0FDA7" w14:textId="77777777" w:rsidR="00692E71" w:rsidRPr="001E3185" w:rsidRDefault="00692E71" w:rsidP="008E0250">
            <w:pPr>
              <w:jc w:val="center"/>
              <w:rPr>
                <w:rFonts w:cs="Arial"/>
              </w:rPr>
            </w:pPr>
            <w:r w:rsidRPr="001E3185">
              <w:rPr>
                <w:rFonts w:cs="Arial"/>
              </w:rPr>
              <w:t>6.4</w:t>
            </w:r>
            <w:r w:rsidRPr="001E3185">
              <w:rPr>
                <w:rFonts w:cs="Arial"/>
                <w:vertAlign w:val="superscript"/>
              </w:rPr>
              <w:t>(1)</w:t>
            </w:r>
          </w:p>
        </w:tc>
      </w:tr>
      <w:tr w:rsidR="00692E71" w:rsidRPr="001E3185" w14:paraId="7BE5AA61" w14:textId="77777777" w:rsidTr="008E0250">
        <w:tc>
          <w:tcPr>
            <w:tcW w:w="3175" w:type="dxa"/>
            <w:vAlign w:val="center"/>
          </w:tcPr>
          <w:p w14:paraId="1527B65F" w14:textId="77777777" w:rsidR="00692E71" w:rsidRPr="001E3185" w:rsidRDefault="00692E71" w:rsidP="008E0250">
            <w:pPr>
              <w:rPr>
                <w:rFonts w:cs="Arial"/>
              </w:rPr>
            </w:pPr>
            <w:r w:rsidRPr="001E3185">
              <w:rPr>
                <w:rFonts w:cs="Arial"/>
              </w:rPr>
              <w:t>Molecular Mass (g mol</w:t>
            </w:r>
            <w:r w:rsidRPr="001E3185">
              <w:rPr>
                <w:rFonts w:cs="Arial"/>
                <w:vertAlign w:val="superscript"/>
              </w:rPr>
              <w:t>-1</w:t>
            </w:r>
            <w:r w:rsidRPr="001E3185">
              <w:rPr>
                <w:rFonts w:cs="Arial"/>
              </w:rPr>
              <w:t>)</w:t>
            </w:r>
          </w:p>
        </w:tc>
        <w:tc>
          <w:tcPr>
            <w:tcW w:w="1417" w:type="dxa"/>
            <w:vAlign w:val="center"/>
          </w:tcPr>
          <w:p w14:paraId="2F8C18C7" w14:textId="77777777" w:rsidR="00692E71" w:rsidRPr="001E3185" w:rsidRDefault="00692E71" w:rsidP="008E0250">
            <w:pPr>
              <w:jc w:val="center"/>
              <w:rPr>
                <w:rFonts w:cs="Arial"/>
              </w:rPr>
            </w:pPr>
            <w:r w:rsidRPr="001E3185">
              <w:rPr>
                <w:rFonts w:cs="Arial"/>
              </w:rPr>
              <w:t>155.2</w:t>
            </w:r>
          </w:p>
        </w:tc>
        <w:tc>
          <w:tcPr>
            <w:tcW w:w="1587" w:type="dxa"/>
            <w:vAlign w:val="center"/>
          </w:tcPr>
          <w:p w14:paraId="2C9F61F6" w14:textId="77777777" w:rsidR="00692E71" w:rsidRPr="001E3185" w:rsidRDefault="00692E71" w:rsidP="008E0250">
            <w:pPr>
              <w:jc w:val="center"/>
              <w:rPr>
                <w:rFonts w:cs="Arial"/>
              </w:rPr>
            </w:pPr>
            <w:r w:rsidRPr="001E3185">
              <w:rPr>
                <w:rFonts w:cs="Arial"/>
              </w:rPr>
              <w:t>342.2</w:t>
            </w:r>
          </w:p>
        </w:tc>
        <w:tc>
          <w:tcPr>
            <w:tcW w:w="1587" w:type="dxa"/>
            <w:vAlign w:val="center"/>
          </w:tcPr>
          <w:p w14:paraId="797DE1C5" w14:textId="77777777" w:rsidR="00692E71" w:rsidRPr="001E3185" w:rsidRDefault="00692E71" w:rsidP="008E0250">
            <w:pPr>
              <w:jc w:val="center"/>
              <w:rPr>
                <w:rFonts w:cs="Arial"/>
              </w:rPr>
            </w:pPr>
            <w:r w:rsidRPr="001E3185">
              <w:rPr>
                <w:rFonts w:cs="Arial"/>
              </w:rPr>
              <w:t>307.8</w:t>
            </w:r>
          </w:p>
        </w:tc>
        <w:tc>
          <w:tcPr>
            <w:tcW w:w="1588" w:type="dxa"/>
            <w:vAlign w:val="center"/>
          </w:tcPr>
          <w:p w14:paraId="6D4B46BD" w14:textId="77777777" w:rsidR="00692E71" w:rsidRPr="001E3185" w:rsidRDefault="00692E71" w:rsidP="008E0250">
            <w:pPr>
              <w:jc w:val="center"/>
              <w:rPr>
                <w:rFonts w:cs="Arial"/>
              </w:rPr>
            </w:pPr>
            <w:r w:rsidRPr="001E3185">
              <w:rPr>
                <w:rFonts w:cs="Arial"/>
              </w:rPr>
              <w:t>69.1</w:t>
            </w:r>
          </w:p>
        </w:tc>
      </w:tr>
      <w:tr w:rsidR="00692E71" w:rsidRPr="001E3185" w14:paraId="537D59C4" w14:textId="77777777" w:rsidTr="008E0250">
        <w:tc>
          <w:tcPr>
            <w:tcW w:w="3175" w:type="dxa"/>
            <w:vAlign w:val="center"/>
          </w:tcPr>
          <w:p w14:paraId="34C656D5" w14:textId="77777777" w:rsidR="00692E71" w:rsidRPr="001E3185" w:rsidRDefault="00692E71" w:rsidP="008E0250">
            <w:pPr>
              <w:rPr>
                <w:rFonts w:cs="Arial"/>
              </w:rPr>
            </w:pPr>
            <w:r w:rsidRPr="001E3185">
              <w:rPr>
                <w:rFonts w:cs="Arial"/>
              </w:rPr>
              <w:t>Water solubility (mg L</w:t>
            </w:r>
            <w:r w:rsidRPr="001E3185">
              <w:rPr>
                <w:rFonts w:cs="Arial"/>
                <w:vertAlign w:val="superscript"/>
              </w:rPr>
              <w:t>-1</w:t>
            </w:r>
            <w:r w:rsidRPr="001E3185">
              <w:rPr>
                <w:rFonts w:cs="Arial"/>
              </w:rPr>
              <w:t>, note °C)</w:t>
            </w:r>
          </w:p>
        </w:tc>
        <w:tc>
          <w:tcPr>
            <w:tcW w:w="1417" w:type="dxa"/>
            <w:vAlign w:val="center"/>
          </w:tcPr>
          <w:p w14:paraId="37FDEC24" w14:textId="77777777" w:rsidR="00692E71" w:rsidRPr="001E3185" w:rsidRDefault="00692E71" w:rsidP="008E0250">
            <w:pPr>
              <w:jc w:val="center"/>
              <w:rPr>
                <w:rFonts w:cs="Arial"/>
              </w:rPr>
            </w:pPr>
            <w:r w:rsidRPr="001E3185">
              <w:rPr>
                <w:rFonts w:cs="Arial"/>
              </w:rPr>
              <w:t>0.49*10</w:t>
            </w:r>
            <w:r w:rsidRPr="001E3185">
              <w:rPr>
                <w:rFonts w:cs="Arial"/>
                <w:vertAlign w:val="superscript"/>
              </w:rPr>
              <w:t>4</w:t>
            </w:r>
            <w:r w:rsidRPr="001E3185">
              <w:rPr>
                <w:rFonts w:cs="Arial"/>
              </w:rPr>
              <w:t xml:space="preserve"> (20°C)</w:t>
            </w:r>
          </w:p>
        </w:tc>
        <w:tc>
          <w:tcPr>
            <w:tcW w:w="1587" w:type="dxa"/>
            <w:vAlign w:val="center"/>
          </w:tcPr>
          <w:p w14:paraId="2358F4DA" w14:textId="77777777" w:rsidR="00692E71" w:rsidRPr="001E3185" w:rsidRDefault="00692E71" w:rsidP="008E0250">
            <w:pPr>
              <w:jc w:val="center"/>
              <w:rPr>
                <w:rFonts w:cs="Arial"/>
              </w:rPr>
            </w:pPr>
            <w:r w:rsidRPr="001E3185">
              <w:rPr>
                <w:rFonts w:cs="Arial"/>
              </w:rPr>
              <w:t>100 (20°C)</w:t>
            </w:r>
          </w:p>
        </w:tc>
        <w:tc>
          <w:tcPr>
            <w:tcW w:w="1587" w:type="dxa"/>
            <w:vAlign w:val="center"/>
          </w:tcPr>
          <w:p w14:paraId="26B60585" w14:textId="77777777" w:rsidR="00692E71" w:rsidRPr="001E3185" w:rsidRDefault="00692E71" w:rsidP="008E0250">
            <w:pPr>
              <w:jc w:val="center"/>
              <w:rPr>
                <w:rFonts w:cs="Arial"/>
              </w:rPr>
            </w:pPr>
            <w:r w:rsidRPr="001E3185">
              <w:rPr>
                <w:rFonts w:cs="Arial"/>
              </w:rPr>
              <w:t>29 (20°C)</w:t>
            </w:r>
          </w:p>
        </w:tc>
        <w:tc>
          <w:tcPr>
            <w:tcW w:w="1588" w:type="dxa"/>
            <w:vAlign w:val="center"/>
          </w:tcPr>
          <w:p w14:paraId="2FFE8D3E" w14:textId="77777777" w:rsidR="00692E71" w:rsidRPr="001E3185" w:rsidRDefault="00692E71" w:rsidP="008E0250">
            <w:pPr>
              <w:jc w:val="center"/>
              <w:rPr>
                <w:rFonts w:cs="Arial"/>
              </w:rPr>
            </w:pPr>
            <w:r w:rsidRPr="001E3185">
              <w:rPr>
                <w:rFonts w:cs="Arial"/>
              </w:rPr>
              <w:t>700000 (20°C)</w:t>
            </w:r>
          </w:p>
        </w:tc>
      </w:tr>
      <w:tr w:rsidR="00692E71" w:rsidRPr="001E3185" w14:paraId="3859AEEA" w14:textId="77777777" w:rsidTr="008E0250">
        <w:tc>
          <w:tcPr>
            <w:tcW w:w="3175" w:type="dxa"/>
            <w:vAlign w:val="center"/>
          </w:tcPr>
          <w:p w14:paraId="0AE990AB" w14:textId="77777777" w:rsidR="00692E71" w:rsidRPr="001E3185" w:rsidRDefault="00692E71" w:rsidP="008E0250">
            <w:pPr>
              <w:rPr>
                <w:rFonts w:cs="Arial"/>
                <w:lang w:val="fr-FR"/>
              </w:rPr>
            </w:pPr>
            <w:r w:rsidRPr="001E3185">
              <w:rPr>
                <w:rFonts w:cs="Arial"/>
                <w:lang w:val="fr-FR"/>
              </w:rPr>
              <w:t>Vapour pressure (Pa, note °C)</w:t>
            </w:r>
          </w:p>
        </w:tc>
        <w:tc>
          <w:tcPr>
            <w:tcW w:w="1417" w:type="dxa"/>
            <w:vAlign w:val="center"/>
          </w:tcPr>
          <w:p w14:paraId="3D5FA924" w14:textId="77777777" w:rsidR="00692E71" w:rsidRPr="001E3185" w:rsidRDefault="00692E71" w:rsidP="008E0250">
            <w:pPr>
              <w:jc w:val="center"/>
              <w:rPr>
                <w:rFonts w:cs="Arial"/>
              </w:rPr>
            </w:pPr>
            <w:r w:rsidRPr="001E3185">
              <w:rPr>
                <w:rFonts w:cs="Arial"/>
              </w:rPr>
              <w:t>47 (20°C)</w:t>
            </w:r>
          </w:p>
        </w:tc>
        <w:tc>
          <w:tcPr>
            <w:tcW w:w="1587" w:type="dxa"/>
            <w:vAlign w:val="center"/>
          </w:tcPr>
          <w:p w14:paraId="19E8ACB0" w14:textId="77777777" w:rsidR="00692E71" w:rsidRPr="001E3185" w:rsidRDefault="00692E71" w:rsidP="008E0250">
            <w:pPr>
              <w:jc w:val="center"/>
              <w:rPr>
                <w:rFonts w:cs="Arial"/>
              </w:rPr>
            </w:pPr>
            <w:r w:rsidRPr="001E3185">
              <w:rPr>
                <w:rFonts w:cs="Arial"/>
              </w:rPr>
              <w:t>0.56*10</w:t>
            </w:r>
            <w:r w:rsidRPr="001E3185">
              <w:rPr>
                <w:rFonts w:cs="Arial"/>
                <w:vertAlign w:val="superscript"/>
              </w:rPr>
              <w:t>-4</w:t>
            </w:r>
            <w:r w:rsidRPr="001E3185">
              <w:rPr>
                <w:rFonts w:cs="Arial"/>
              </w:rPr>
              <w:t xml:space="preserve"> (25°C)</w:t>
            </w:r>
          </w:p>
        </w:tc>
        <w:tc>
          <w:tcPr>
            <w:tcW w:w="1587" w:type="dxa"/>
            <w:vAlign w:val="center"/>
          </w:tcPr>
          <w:p w14:paraId="0E3590EA" w14:textId="77777777" w:rsidR="00692E71" w:rsidRPr="001E3185" w:rsidRDefault="00692E71" w:rsidP="008E0250">
            <w:pPr>
              <w:jc w:val="center"/>
              <w:rPr>
                <w:rFonts w:cs="Arial"/>
              </w:rPr>
            </w:pPr>
            <w:r w:rsidRPr="001E3185">
              <w:rPr>
                <w:rFonts w:cs="Arial"/>
              </w:rPr>
              <w:t>1.70*10</w:t>
            </w:r>
            <w:r w:rsidRPr="001E3185">
              <w:rPr>
                <w:rFonts w:cs="Arial"/>
                <w:vertAlign w:val="superscript"/>
              </w:rPr>
              <w:t>-6</w:t>
            </w:r>
            <w:r w:rsidRPr="001E3185">
              <w:rPr>
                <w:rFonts w:cs="Arial"/>
              </w:rPr>
              <w:t xml:space="preserve"> (20°C)</w:t>
            </w:r>
          </w:p>
        </w:tc>
        <w:tc>
          <w:tcPr>
            <w:tcW w:w="1588" w:type="dxa"/>
            <w:vAlign w:val="center"/>
          </w:tcPr>
          <w:p w14:paraId="38052498" w14:textId="77777777" w:rsidR="00692E71" w:rsidRPr="001E3185" w:rsidRDefault="00692E71" w:rsidP="008E0250">
            <w:pPr>
              <w:jc w:val="center"/>
              <w:rPr>
                <w:rFonts w:cs="Arial"/>
              </w:rPr>
            </w:pPr>
            <w:r w:rsidRPr="001E3185">
              <w:rPr>
                <w:rFonts w:cs="Arial"/>
              </w:rPr>
              <w:t>0.22 (25°C)</w:t>
            </w:r>
          </w:p>
        </w:tc>
      </w:tr>
      <w:tr w:rsidR="00692E71" w:rsidRPr="001E3185" w14:paraId="27D75A0C" w14:textId="77777777" w:rsidTr="008E0250">
        <w:tc>
          <w:tcPr>
            <w:tcW w:w="3175" w:type="dxa"/>
            <w:vAlign w:val="center"/>
          </w:tcPr>
          <w:p w14:paraId="63981CB9" w14:textId="77777777" w:rsidR="00692E71" w:rsidRPr="001E3185" w:rsidRDefault="00692E71" w:rsidP="008E0250">
            <w:pPr>
              <w:rPr>
                <w:rFonts w:cs="Arial"/>
              </w:rPr>
            </w:pPr>
            <w:r w:rsidRPr="001E3185">
              <w:rPr>
                <w:rFonts w:cs="Arial"/>
              </w:rPr>
              <w:t>Proportion (% applied) of parent compound that is metabolised</w:t>
            </w:r>
          </w:p>
        </w:tc>
        <w:tc>
          <w:tcPr>
            <w:tcW w:w="1417" w:type="dxa"/>
            <w:vAlign w:val="center"/>
          </w:tcPr>
          <w:p w14:paraId="5D92DD9E" w14:textId="77777777" w:rsidR="00692E71" w:rsidRPr="001E3185" w:rsidRDefault="00692E71" w:rsidP="008E0250">
            <w:pPr>
              <w:jc w:val="center"/>
              <w:rPr>
                <w:rFonts w:cs="Arial"/>
              </w:rPr>
            </w:pPr>
            <w:r w:rsidRPr="001E3185">
              <w:rPr>
                <w:rFonts w:cs="Arial"/>
              </w:rPr>
              <w:t>100% of IPBC is metabolised (from leaching studies</w:t>
            </w:r>
          </w:p>
        </w:tc>
        <w:tc>
          <w:tcPr>
            <w:tcW w:w="1587" w:type="dxa"/>
            <w:vAlign w:val="center"/>
          </w:tcPr>
          <w:p w14:paraId="664CCC44" w14:textId="77777777" w:rsidR="00692E71" w:rsidRPr="001E3185" w:rsidRDefault="00692E71" w:rsidP="008E0250">
            <w:pPr>
              <w:jc w:val="center"/>
              <w:rPr>
                <w:rFonts w:cs="Arial"/>
              </w:rPr>
            </w:pPr>
            <w:r w:rsidRPr="001E3185">
              <w:rPr>
                <w:rFonts w:cs="Arial"/>
              </w:rPr>
              <w:t xml:space="preserve">Worst case for soil 32.2% of propiconazole is metabolised to </w:t>
            </w:r>
            <w:r w:rsidRPr="001E3185">
              <w:rPr>
                <w:rStyle w:val="Marquedecommentaire"/>
                <w:rFonts w:cs="Arial"/>
                <w:lang w:eastAsia="en-US"/>
              </w:rPr>
              <w:t>1,2,4-triazole in soil compartment</w:t>
            </w:r>
          </w:p>
        </w:tc>
        <w:tc>
          <w:tcPr>
            <w:tcW w:w="1587" w:type="dxa"/>
            <w:vAlign w:val="center"/>
          </w:tcPr>
          <w:p w14:paraId="2B452CB0" w14:textId="77777777" w:rsidR="00692E71" w:rsidRPr="001E3185" w:rsidRDefault="00692E71" w:rsidP="008E0250">
            <w:pPr>
              <w:jc w:val="center"/>
              <w:rPr>
                <w:rFonts w:cs="Arial"/>
              </w:rPr>
            </w:pPr>
            <w:r w:rsidRPr="001E3185">
              <w:rPr>
                <w:rFonts w:cs="Arial"/>
              </w:rPr>
              <w:t xml:space="preserve">9% of tebuconazole is metabolised to </w:t>
            </w:r>
            <w:r w:rsidRPr="001E3185">
              <w:rPr>
                <w:rStyle w:val="Marquedecommentaire"/>
                <w:rFonts w:cs="Arial"/>
                <w:lang w:eastAsia="en-US"/>
              </w:rPr>
              <w:t>1,2,4-triazole</w:t>
            </w:r>
          </w:p>
        </w:tc>
        <w:tc>
          <w:tcPr>
            <w:tcW w:w="1588" w:type="dxa"/>
            <w:vAlign w:val="center"/>
          </w:tcPr>
          <w:p w14:paraId="17D02991" w14:textId="77777777" w:rsidR="00692E71" w:rsidRPr="001E3185" w:rsidRDefault="00692E71" w:rsidP="008E0250">
            <w:pPr>
              <w:jc w:val="center"/>
              <w:rPr>
                <w:rFonts w:cs="Arial"/>
              </w:rPr>
            </w:pPr>
            <w:r w:rsidRPr="001E3185">
              <w:rPr>
                <w:rFonts w:cs="Arial"/>
              </w:rPr>
              <w:t>-</w:t>
            </w:r>
          </w:p>
        </w:tc>
      </w:tr>
      <w:tr w:rsidR="00692E71" w:rsidRPr="001E3185" w14:paraId="0621E545" w14:textId="77777777" w:rsidTr="008E0250">
        <w:tc>
          <w:tcPr>
            <w:tcW w:w="3175" w:type="dxa"/>
            <w:vAlign w:val="center"/>
          </w:tcPr>
          <w:p w14:paraId="0BA644F2" w14:textId="77777777" w:rsidR="00692E71" w:rsidRPr="001E3185" w:rsidRDefault="00692E71" w:rsidP="008E0250">
            <w:pPr>
              <w:rPr>
                <w:rFonts w:cs="Arial"/>
              </w:rPr>
            </w:pPr>
            <w:r w:rsidRPr="001E3185">
              <w:rPr>
                <w:rFonts w:cs="Arial"/>
              </w:rPr>
              <w:t>The ratio in molecular weight between the mother molecule and the metabolite [metabolite/mother molecule]</w:t>
            </w:r>
          </w:p>
        </w:tc>
        <w:tc>
          <w:tcPr>
            <w:tcW w:w="1417" w:type="dxa"/>
            <w:vAlign w:val="center"/>
          </w:tcPr>
          <w:p w14:paraId="04AFAF71" w14:textId="77777777" w:rsidR="00692E71" w:rsidRPr="001E3185" w:rsidRDefault="00692E71" w:rsidP="008E0250">
            <w:pPr>
              <w:jc w:val="center"/>
              <w:rPr>
                <w:rFonts w:cs="Arial"/>
              </w:rPr>
            </w:pPr>
            <w:r w:rsidRPr="001E3185">
              <w:rPr>
                <w:rFonts w:cs="Arial"/>
              </w:rPr>
              <w:t>0.552117</w:t>
            </w:r>
          </w:p>
        </w:tc>
        <w:tc>
          <w:tcPr>
            <w:tcW w:w="1587" w:type="dxa"/>
            <w:vAlign w:val="center"/>
          </w:tcPr>
          <w:p w14:paraId="62EA2604" w14:textId="77777777" w:rsidR="00692E71" w:rsidRPr="001E3185" w:rsidRDefault="00692E71" w:rsidP="008E0250">
            <w:pPr>
              <w:jc w:val="center"/>
              <w:rPr>
                <w:rFonts w:cs="Arial"/>
              </w:rPr>
            </w:pPr>
            <w:r w:rsidRPr="001E3185">
              <w:rPr>
                <w:rFonts w:cs="Arial"/>
              </w:rPr>
              <w:t>0.2019</w:t>
            </w:r>
          </w:p>
        </w:tc>
        <w:tc>
          <w:tcPr>
            <w:tcW w:w="1587" w:type="dxa"/>
            <w:vAlign w:val="center"/>
          </w:tcPr>
          <w:p w14:paraId="4BC1487C" w14:textId="77777777" w:rsidR="00692E71" w:rsidRPr="001E3185" w:rsidRDefault="00692E71" w:rsidP="008E0250">
            <w:pPr>
              <w:jc w:val="center"/>
              <w:rPr>
                <w:rFonts w:cs="Arial"/>
              </w:rPr>
            </w:pPr>
            <w:r w:rsidRPr="001E3185">
              <w:rPr>
                <w:rFonts w:cs="Arial"/>
              </w:rPr>
              <w:t>0.224496</w:t>
            </w:r>
          </w:p>
        </w:tc>
        <w:tc>
          <w:tcPr>
            <w:tcW w:w="1588" w:type="dxa"/>
            <w:vAlign w:val="center"/>
          </w:tcPr>
          <w:p w14:paraId="51069F80" w14:textId="77777777" w:rsidR="00692E71" w:rsidRPr="001E3185" w:rsidRDefault="00692E71" w:rsidP="008E0250">
            <w:pPr>
              <w:jc w:val="center"/>
              <w:rPr>
                <w:rFonts w:cs="Arial"/>
              </w:rPr>
            </w:pPr>
            <w:r w:rsidRPr="001E3185">
              <w:rPr>
                <w:rFonts w:cs="Arial"/>
              </w:rPr>
              <w:t>-</w:t>
            </w:r>
          </w:p>
        </w:tc>
      </w:tr>
      <w:tr w:rsidR="00692E71" w:rsidRPr="001E3185" w14:paraId="0D908D5B" w14:textId="77777777" w:rsidTr="008E0250">
        <w:tc>
          <w:tcPr>
            <w:tcW w:w="9354" w:type="dxa"/>
            <w:gridSpan w:val="5"/>
            <w:vAlign w:val="center"/>
          </w:tcPr>
          <w:p w14:paraId="5D652D87" w14:textId="77777777" w:rsidR="00692E71" w:rsidRPr="001E3185" w:rsidRDefault="00692E71" w:rsidP="008E0250">
            <w:pPr>
              <w:rPr>
                <w:rFonts w:cs="Arial"/>
                <w:b/>
              </w:rPr>
            </w:pPr>
            <w:r w:rsidRPr="001E3185">
              <w:rPr>
                <w:rFonts w:cs="Arial"/>
                <w:b/>
              </w:rPr>
              <w:t>OUTPUT EMISSIONS at target depth</w:t>
            </w:r>
          </w:p>
        </w:tc>
      </w:tr>
      <w:tr w:rsidR="00692E71" w:rsidRPr="001E3185" w14:paraId="663D7546" w14:textId="77777777" w:rsidTr="008E0250">
        <w:tc>
          <w:tcPr>
            <w:tcW w:w="3175" w:type="dxa"/>
            <w:vAlign w:val="center"/>
          </w:tcPr>
          <w:p w14:paraId="7D8B9274" w14:textId="77777777" w:rsidR="00692E71" w:rsidRPr="001E3185" w:rsidRDefault="00692E71" w:rsidP="008E0250">
            <w:pPr>
              <w:rPr>
                <w:rFonts w:cs="Arial"/>
              </w:rPr>
            </w:pPr>
            <w:r w:rsidRPr="001E3185">
              <w:rPr>
                <w:rFonts w:cs="Arial"/>
              </w:rPr>
              <w:t>Châteaudun (µg.L</w:t>
            </w:r>
            <w:r w:rsidRPr="001E3185">
              <w:rPr>
                <w:rFonts w:cs="Arial"/>
                <w:vertAlign w:val="superscript"/>
              </w:rPr>
              <w:t>-1</w:t>
            </w:r>
            <w:r w:rsidRPr="001E3185">
              <w:rPr>
                <w:rFonts w:cs="Arial"/>
              </w:rPr>
              <w:t>)</w:t>
            </w:r>
          </w:p>
        </w:tc>
        <w:tc>
          <w:tcPr>
            <w:tcW w:w="1417" w:type="dxa"/>
            <w:vAlign w:val="center"/>
          </w:tcPr>
          <w:p w14:paraId="6E7E6765" w14:textId="77777777" w:rsidR="00692E71" w:rsidRPr="001E3185" w:rsidRDefault="00692E71" w:rsidP="008E0250">
            <w:pPr>
              <w:jc w:val="center"/>
              <w:rPr>
                <w:rFonts w:cs="Arial"/>
              </w:rPr>
            </w:pPr>
            <w:r w:rsidRPr="001E3185">
              <w:rPr>
                <w:rFonts w:cs="Arial"/>
              </w:rPr>
              <w:t>0.000</w:t>
            </w:r>
          </w:p>
        </w:tc>
        <w:tc>
          <w:tcPr>
            <w:tcW w:w="1587" w:type="dxa"/>
            <w:vAlign w:val="center"/>
          </w:tcPr>
          <w:p w14:paraId="02518641" w14:textId="77777777" w:rsidR="00692E71" w:rsidRPr="001E3185" w:rsidRDefault="00692E71" w:rsidP="008E0250">
            <w:pPr>
              <w:jc w:val="center"/>
              <w:rPr>
                <w:rFonts w:cs="Arial"/>
              </w:rPr>
            </w:pPr>
            <w:r w:rsidRPr="001E3185">
              <w:rPr>
                <w:rFonts w:cs="Arial"/>
              </w:rPr>
              <w:t>0.000</w:t>
            </w:r>
          </w:p>
        </w:tc>
        <w:tc>
          <w:tcPr>
            <w:tcW w:w="1587" w:type="dxa"/>
            <w:vAlign w:val="center"/>
          </w:tcPr>
          <w:p w14:paraId="0C982922" w14:textId="77777777" w:rsidR="00692E71" w:rsidRPr="001E3185" w:rsidRDefault="00692E71" w:rsidP="008E0250">
            <w:pPr>
              <w:jc w:val="center"/>
              <w:rPr>
                <w:rFonts w:cs="Arial"/>
              </w:rPr>
            </w:pPr>
            <w:r w:rsidRPr="001E3185">
              <w:rPr>
                <w:rFonts w:cs="Arial"/>
              </w:rPr>
              <w:t>0.000</w:t>
            </w:r>
          </w:p>
        </w:tc>
        <w:tc>
          <w:tcPr>
            <w:tcW w:w="1588" w:type="dxa"/>
            <w:vAlign w:val="center"/>
          </w:tcPr>
          <w:p w14:paraId="446EB5B3" w14:textId="77777777" w:rsidR="00692E71" w:rsidRPr="001E3185" w:rsidRDefault="00692E71" w:rsidP="008E0250">
            <w:pPr>
              <w:jc w:val="center"/>
              <w:rPr>
                <w:rFonts w:cs="Arial"/>
              </w:rPr>
            </w:pPr>
            <w:r w:rsidRPr="001E3185">
              <w:rPr>
                <w:rFonts w:cs="Arial"/>
              </w:rPr>
              <w:t>0.000</w:t>
            </w:r>
          </w:p>
        </w:tc>
      </w:tr>
      <w:tr w:rsidR="00692E71" w:rsidRPr="001E3185" w14:paraId="5BEA811B" w14:textId="77777777" w:rsidTr="008E0250">
        <w:tc>
          <w:tcPr>
            <w:tcW w:w="3175" w:type="dxa"/>
            <w:vAlign w:val="center"/>
          </w:tcPr>
          <w:p w14:paraId="5EC8E681" w14:textId="77777777" w:rsidR="00692E71" w:rsidRPr="001E3185" w:rsidRDefault="00692E71" w:rsidP="008E0250">
            <w:pPr>
              <w:rPr>
                <w:rFonts w:cs="Arial"/>
              </w:rPr>
            </w:pPr>
            <w:r w:rsidRPr="001E3185">
              <w:rPr>
                <w:rFonts w:cs="Arial"/>
              </w:rPr>
              <w:t>Hamburg (µg.L</w:t>
            </w:r>
            <w:r w:rsidRPr="001E3185">
              <w:rPr>
                <w:rFonts w:cs="Arial"/>
                <w:vertAlign w:val="superscript"/>
              </w:rPr>
              <w:t>-1</w:t>
            </w:r>
            <w:r w:rsidRPr="001E3185">
              <w:rPr>
                <w:rFonts w:cs="Arial"/>
              </w:rPr>
              <w:t>)</w:t>
            </w:r>
          </w:p>
        </w:tc>
        <w:tc>
          <w:tcPr>
            <w:tcW w:w="1417" w:type="dxa"/>
            <w:vAlign w:val="center"/>
          </w:tcPr>
          <w:p w14:paraId="5C3FC82A" w14:textId="77777777" w:rsidR="00692E71" w:rsidRPr="001E3185" w:rsidRDefault="00692E71" w:rsidP="008E0250">
            <w:pPr>
              <w:jc w:val="center"/>
              <w:rPr>
                <w:rFonts w:cs="Arial"/>
              </w:rPr>
            </w:pPr>
            <w:r w:rsidRPr="001E3185">
              <w:rPr>
                <w:rFonts w:cs="Arial"/>
              </w:rPr>
              <w:t>0.000</w:t>
            </w:r>
          </w:p>
        </w:tc>
        <w:tc>
          <w:tcPr>
            <w:tcW w:w="1587" w:type="dxa"/>
            <w:vAlign w:val="center"/>
          </w:tcPr>
          <w:p w14:paraId="15EEE347" w14:textId="77777777" w:rsidR="00692E71" w:rsidRPr="001E3185" w:rsidRDefault="00692E71" w:rsidP="008E0250">
            <w:pPr>
              <w:jc w:val="center"/>
              <w:rPr>
                <w:rFonts w:cs="Arial"/>
              </w:rPr>
            </w:pPr>
            <w:r w:rsidRPr="001E3185">
              <w:rPr>
                <w:rFonts w:cs="Arial"/>
              </w:rPr>
              <w:t>0.000</w:t>
            </w:r>
          </w:p>
        </w:tc>
        <w:tc>
          <w:tcPr>
            <w:tcW w:w="1587" w:type="dxa"/>
            <w:vAlign w:val="center"/>
          </w:tcPr>
          <w:p w14:paraId="0891E37A" w14:textId="77777777" w:rsidR="00692E71" w:rsidRPr="001E3185" w:rsidRDefault="00692E71" w:rsidP="008E0250">
            <w:pPr>
              <w:jc w:val="center"/>
              <w:rPr>
                <w:rFonts w:cs="Arial"/>
              </w:rPr>
            </w:pPr>
            <w:r w:rsidRPr="001E3185">
              <w:rPr>
                <w:rFonts w:cs="Arial"/>
              </w:rPr>
              <w:t>0.000</w:t>
            </w:r>
          </w:p>
        </w:tc>
        <w:tc>
          <w:tcPr>
            <w:tcW w:w="1588" w:type="dxa"/>
            <w:vAlign w:val="center"/>
          </w:tcPr>
          <w:p w14:paraId="5FD07A23" w14:textId="77777777" w:rsidR="00692E71" w:rsidRPr="001E3185" w:rsidRDefault="00692E71" w:rsidP="008E0250">
            <w:pPr>
              <w:jc w:val="center"/>
              <w:rPr>
                <w:rFonts w:cs="Arial"/>
              </w:rPr>
            </w:pPr>
            <w:r w:rsidRPr="001E3185">
              <w:rPr>
                <w:rFonts w:cs="Arial"/>
              </w:rPr>
              <w:t>0.000</w:t>
            </w:r>
          </w:p>
        </w:tc>
      </w:tr>
      <w:tr w:rsidR="00692E71" w:rsidRPr="001E3185" w14:paraId="599EA5C6" w14:textId="77777777" w:rsidTr="008E0250">
        <w:tc>
          <w:tcPr>
            <w:tcW w:w="3175" w:type="dxa"/>
            <w:vAlign w:val="center"/>
          </w:tcPr>
          <w:p w14:paraId="4E67D455" w14:textId="77777777" w:rsidR="00692E71" w:rsidRPr="001E3185" w:rsidRDefault="00692E71" w:rsidP="008E0250">
            <w:pPr>
              <w:rPr>
                <w:rFonts w:cs="Arial"/>
              </w:rPr>
            </w:pPr>
            <w:r w:rsidRPr="001E3185">
              <w:rPr>
                <w:rFonts w:cs="Arial"/>
              </w:rPr>
              <w:t>Jokioinen (µg.L</w:t>
            </w:r>
            <w:r w:rsidRPr="001E3185">
              <w:rPr>
                <w:rFonts w:cs="Arial"/>
                <w:vertAlign w:val="superscript"/>
              </w:rPr>
              <w:t>-1</w:t>
            </w:r>
            <w:r w:rsidRPr="001E3185">
              <w:rPr>
                <w:rFonts w:cs="Arial"/>
              </w:rPr>
              <w:t>)</w:t>
            </w:r>
          </w:p>
        </w:tc>
        <w:tc>
          <w:tcPr>
            <w:tcW w:w="1417" w:type="dxa"/>
            <w:vAlign w:val="center"/>
          </w:tcPr>
          <w:p w14:paraId="00498D76" w14:textId="77777777" w:rsidR="00692E71" w:rsidRPr="001E3185" w:rsidRDefault="00692E71" w:rsidP="008E0250">
            <w:pPr>
              <w:jc w:val="center"/>
              <w:rPr>
                <w:rFonts w:cs="Arial"/>
              </w:rPr>
            </w:pPr>
            <w:r w:rsidRPr="001E3185">
              <w:rPr>
                <w:rFonts w:cs="Arial"/>
              </w:rPr>
              <w:t>0.000</w:t>
            </w:r>
          </w:p>
        </w:tc>
        <w:tc>
          <w:tcPr>
            <w:tcW w:w="1587" w:type="dxa"/>
            <w:vAlign w:val="center"/>
          </w:tcPr>
          <w:p w14:paraId="20C48D69" w14:textId="77777777" w:rsidR="00692E71" w:rsidRPr="001E3185" w:rsidRDefault="00692E71" w:rsidP="008E0250">
            <w:pPr>
              <w:jc w:val="center"/>
              <w:rPr>
                <w:rFonts w:cs="Arial"/>
              </w:rPr>
            </w:pPr>
            <w:r w:rsidRPr="001E3185">
              <w:rPr>
                <w:rFonts w:cs="Arial"/>
              </w:rPr>
              <w:t>0.000</w:t>
            </w:r>
          </w:p>
        </w:tc>
        <w:tc>
          <w:tcPr>
            <w:tcW w:w="1587" w:type="dxa"/>
            <w:vAlign w:val="center"/>
          </w:tcPr>
          <w:p w14:paraId="2F71A8B3" w14:textId="77777777" w:rsidR="00692E71" w:rsidRPr="001E3185" w:rsidRDefault="00692E71" w:rsidP="008E0250">
            <w:pPr>
              <w:jc w:val="center"/>
              <w:rPr>
                <w:rFonts w:cs="Arial"/>
              </w:rPr>
            </w:pPr>
            <w:r w:rsidRPr="001E3185">
              <w:rPr>
                <w:rFonts w:cs="Arial"/>
              </w:rPr>
              <w:t>0.000</w:t>
            </w:r>
          </w:p>
        </w:tc>
        <w:tc>
          <w:tcPr>
            <w:tcW w:w="1588" w:type="dxa"/>
            <w:vAlign w:val="center"/>
          </w:tcPr>
          <w:p w14:paraId="36619BB1" w14:textId="77777777" w:rsidR="00692E71" w:rsidRPr="001E3185" w:rsidRDefault="00692E71" w:rsidP="008E0250">
            <w:pPr>
              <w:jc w:val="center"/>
              <w:rPr>
                <w:rFonts w:cs="Arial"/>
              </w:rPr>
            </w:pPr>
            <w:r w:rsidRPr="001E3185">
              <w:rPr>
                <w:rFonts w:cs="Arial"/>
              </w:rPr>
              <w:t>0.000</w:t>
            </w:r>
          </w:p>
        </w:tc>
      </w:tr>
      <w:tr w:rsidR="00692E71" w:rsidRPr="001E3185" w14:paraId="6F374F31" w14:textId="77777777" w:rsidTr="008E0250">
        <w:tc>
          <w:tcPr>
            <w:tcW w:w="3175" w:type="dxa"/>
            <w:vAlign w:val="center"/>
          </w:tcPr>
          <w:p w14:paraId="364A79EB" w14:textId="77777777" w:rsidR="00692E71" w:rsidRPr="001E3185" w:rsidRDefault="00692E71" w:rsidP="008E0250">
            <w:pPr>
              <w:rPr>
                <w:rFonts w:cs="Arial"/>
              </w:rPr>
            </w:pPr>
            <w:r w:rsidRPr="001E3185">
              <w:rPr>
                <w:rFonts w:cs="Arial"/>
              </w:rPr>
              <w:t>Kremsmünster (µg.L</w:t>
            </w:r>
            <w:r w:rsidRPr="001E3185">
              <w:rPr>
                <w:rFonts w:cs="Arial"/>
                <w:vertAlign w:val="superscript"/>
              </w:rPr>
              <w:t>-1</w:t>
            </w:r>
            <w:r w:rsidRPr="001E3185">
              <w:rPr>
                <w:rFonts w:cs="Arial"/>
              </w:rPr>
              <w:t>)</w:t>
            </w:r>
          </w:p>
        </w:tc>
        <w:tc>
          <w:tcPr>
            <w:tcW w:w="1417" w:type="dxa"/>
            <w:vAlign w:val="center"/>
          </w:tcPr>
          <w:p w14:paraId="6233EFCE" w14:textId="77777777" w:rsidR="00692E71" w:rsidRPr="001E3185" w:rsidRDefault="00692E71" w:rsidP="008E0250">
            <w:pPr>
              <w:jc w:val="center"/>
              <w:rPr>
                <w:rFonts w:cs="Arial"/>
              </w:rPr>
            </w:pPr>
            <w:r w:rsidRPr="001E3185">
              <w:rPr>
                <w:rFonts w:cs="Arial"/>
              </w:rPr>
              <w:t>0.000</w:t>
            </w:r>
          </w:p>
        </w:tc>
        <w:tc>
          <w:tcPr>
            <w:tcW w:w="1587" w:type="dxa"/>
            <w:vAlign w:val="center"/>
          </w:tcPr>
          <w:p w14:paraId="7D839DF4" w14:textId="77777777" w:rsidR="00692E71" w:rsidRPr="001E3185" w:rsidRDefault="00692E71" w:rsidP="008E0250">
            <w:pPr>
              <w:jc w:val="center"/>
              <w:rPr>
                <w:rFonts w:cs="Arial"/>
              </w:rPr>
            </w:pPr>
            <w:r w:rsidRPr="001E3185">
              <w:rPr>
                <w:rFonts w:cs="Arial"/>
              </w:rPr>
              <w:t>0.000</w:t>
            </w:r>
          </w:p>
        </w:tc>
        <w:tc>
          <w:tcPr>
            <w:tcW w:w="1587" w:type="dxa"/>
            <w:vAlign w:val="center"/>
          </w:tcPr>
          <w:p w14:paraId="3D4F9DF7" w14:textId="77777777" w:rsidR="00692E71" w:rsidRPr="001E3185" w:rsidRDefault="00692E71" w:rsidP="008E0250">
            <w:pPr>
              <w:jc w:val="center"/>
              <w:rPr>
                <w:rFonts w:cs="Arial"/>
              </w:rPr>
            </w:pPr>
            <w:r w:rsidRPr="001E3185">
              <w:rPr>
                <w:rFonts w:cs="Arial"/>
              </w:rPr>
              <w:t>0.000</w:t>
            </w:r>
          </w:p>
        </w:tc>
        <w:tc>
          <w:tcPr>
            <w:tcW w:w="1588" w:type="dxa"/>
            <w:vAlign w:val="center"/>
          </w:tcPr>
          <w:p w14:paraId="326BDE2E" w14:textId="77777777" w:rsidR="00692E71" w:rsidRPr="001E3185" w:rsidRDefault="00692E71" w:rsidP="008E0250">
            <w:pPr>
              <w:jc w:val="center"/>
              <w:rPr>
                <w:rFonts w:cs="Arial"/>
              </w:rPr>
            </w:pPr>
            <w:r w:rsidRPr="001E3185">
              <w:rPr>
                <w:rFonts w:cs="Arial"/>
              </w:rPr>
              <w:t>0.000</w:t>
            </w:r>
          </w:p>
        </w:tc>
      </w:tr>
      <w:tr w:rsidR="00692E71" w:rsidRPr="001E3185" w14:paraId="23B6555E" w14:textId="77777777" w:rsidTr="008E0250">
        <w:tc>
          <w:tcPr>
            <w:tcW w:w="3175" w:type="dxa"/>
            <w:vAlign w:val="center"/>
          </w:tcPr>
          <w:p w14:paraId="37E60BC1" w14:textId="77777777" w:rsidR="00692E71" w:rsidRPr="001E3185" w:rsidRDefault="00692E71" w:rsidP="008E0250">
            <w:pPr>
              <w:rPr>
                <w:rFonts w:cs="Arial"/>
              </w:rPr>
            </w:pPr>
            <w:r w:rsidRPr="001E3185">
              <w:rPr>
                <w:rFonts w:cs="Arial"/>
              </w:rPr>
              <w:t>Okehampton (µg.L</w:t>
            </w:r>
            <w:r w:rsidRPr="001E3185">
              <w:rPr>
                <w:rFonts w:cs="Arial"/>
                <w:vertAlign w:val="superscript"/>
              </w:rPr>
              <w:t>-1</w:t>
            </w:r>
            <w:r w:rsidRPr="001E3185">
              <w:rPr>
                <w:rFonts w:cs="Arial"/>
              </w:rPr>
              <w:t>)</w:t>
            </w:r>
          </w:p>
        </w:tc>
        <w:tc>
          <w:tcPr>
            <w:tcW w:w="1417" w:type="dxa"/>
            <w:vAlign w:val="center"/>
          </w:tcPr>
          <w:p w14:paraId="0F5DB5D2" w14:textId="77777777" w:rsidR="00692E71" w:rsidRPr="001E3185" w:rsidRDefault="00692E71" w:rsidP="008E0250">
            <w:pPr>
              <w:jc w:val="center"/>
              <w:rPr>
                <w:rFonts w:cs="Arial"/>
              </w:rPr>
            </w:pPr>
            <w:r w:rsidRPr="001E3185">
              <w:rPr>
                <w:rFonts w:cs="Arial"/>
              </w:rPr>
              <w:t>0.000</w:t>
            </w:r>
          </w:p>
        </w:tc>
        <w:tc>
          <w:tcPr>
            <w:tcW w:w="1587" w:type="dxa"/>
            <w:vAlign w:val="center"/>
          </w:tcPr>
          <w:p w14:paraId="1914F070" w14:textId="77777777" w:rsidR="00692E71" w:rsidRPr="001E3185" w:rsidRDefault="00692E71" w:rsidP="008E0250">
            <w:pPr>
              <w:jc w:val="center"/>
              <w:rPr>
                <w:rFonts w:cs="Arial"/>
              </w:rPr>
            </w:pPr>
            <w:r w:rsidRPr="001E3185">
              <w:rPr>
                <w:rFonts w:cs="Arial"/>
              </w:rPr>
              <w:t>0.000</w:t>
            </w:r>
          </w:p>
        </w:tc>
        <w:tc>
          <w:tcPr>
            <w:tcW w:w="1587" w:type="dxa"/>
            <w:vAlign w:val="center"/>
          </w:tcPr>
          <w:p w14:paraId="5358C68A" w14:textId="77777777" w:rsidR="00692E71" w:rsidRPr="001E3185" w:rsidRDefault="00692E71" w:rsidP="008E0250">
            <w:pPr>
              <w:jc w:val="center"/>
              <w:rPr>
                <w:rFonts w:cs="Arial"/>
              </w:rPr>
            </w:pPr>
            <w:r w:rsidRPr="001E3185">
              <w:rPr>
                <w:rFonts w:cs="Arial"/>
              </w:rPr>
              <w:t>0.000</w:t>
            </w:r>
          </w:p>
        </w:tc>
        <w:tc>
          <w:tcPr>
            <w:tcW w:w="1588" w:type="dxa"/>
            <w:vAlign w:val="center"/>
          </w:tcPr>
          <w:p w14:paraId="0FC56B69" w14:textId="77777777" w:rsidR="00692E71" w:rsidRPr="001E3185" w:rsidRDefault="00692E71" w:rsidP="008E0250">
            <w:pPr>
              <w:jc w:val="center"/>
              <w:rPr>
                <w:rFonts w:cs="Arial"/>
              </w:rPr>
            </w:pPr>
            <w:r w:rsidRPr="001E3185">
              <w:rPr>
                <w:rFonts w:cs="Arial"/>
              </w:rPr>
              <w:t>0.000</w:t>
            </w:r>
          </w:p>
        </w:tc>
      </w:tr>
      <w:tr w:rsidR="00692E71" w:rsidRPr="001E3185" w14:paraId="1C905AD9" w14:textId="77777777" w:rsidTr="008E0250">
        <w:tc>
          <w:tcPr>
            <w:tcW w:w="3175" w:type="dxa"/>
            <w:vAlign w:val="center"/>
          </w:tcPr>
          <w:p w14:paraId="24F5AFCC" w14:textId="77777777" w:rsidR="00692E71" w:rsidRPr="001E3185" w:rsidRDefault="00692E71" w:rsidP="008E0250">
            <w:pPr>
              <w:rPr>
                <w:rFonts w:cs="Arial"/>
              </w:rPr>
            </w:pPr>
            <w:r w:rsidRPr="001E3185">
              <w:rPr>
                <w:rFonts w:cs="Arial"/>
              </w:rPr>
              <w:t>Piacenza (µg.L</w:t>
            </w:r>
            <w:r w:rsidRPr="001E3185">
              <w:rPr>
                <w:rFonts w:cs="Arial"/>
                <w:vertAlign w:val="superscript"/>
              </w:rPr>
              <w:t>-1</w:t>
            </w:r>
            <w:r w:rsidRPr="001E3185">
              <w:rPr>
                <w:rFonts w:cs="Arial"/>
              </w:rPr>
              <w:t>)</w:t>
            </w:r>
          </w:p>
        </w:tc>
        <w:tc>
          <w:tcPr>
            <w:tcW w:w="1417" w:type="dxa"/>
            <w:vAlign w:val="center"/>
          </w:tcPr>
          <w:p w14:paraId="0065E4E1" w14:textId="77777777" w:rsidR="00692E71" w:rsidRPr="001E3185" w:rsidRDefault="00692E71" w:rsidP="008E0250">
            <w:pPr>
              <w:jc w:val="center"/>
              <w:rPr>
                <w:rFonts w:cs="Arial"/>
              </w:rPr>
            </w:pPr>
            <w:r w:rsidRPr="001E3185">
              <w:rPr>
                <w:rFonts w:cs="Arial"/>
              </w:rPr>
              <w:t>0.000</w:t>
            </w:r>
          </w:p>
        </w:tc>
        <w:tc>
          <w:tcPr>
            <w:tcW w:w="1587" w:type="dxa"/>
            <w:vAlign w:val="center"/>
          </w:tcPr>
          <w:p w14:paraId="600A2EF4" w14:textId="77777777" w:rsidR="00692E71" w:rsidRPr="001E3185" w:rsidRDefault="00692E71" w:rsidP="008E0250">
            <w:pPr>
              <w:jc w:val="center"/>
              <w:rPr>
                <w:rFonts w:cs="Arial"/>
              </w:rPr>
            </w:pPr>
            <w:r w:rsidRPr="001E3185">
              <w:rPr>
                <w:rFonts w:cs="Arial"/>
              </w:rPr>
              <w:t>0.000</w:t>
            </w:r>
          </w:p>
        </w:tc>
        <w:tc>
          <w:tcPr>
            <w:tcW w:w="1587" w:type="dxa"/>
            <w:vAlign w:val="center"/>
          </w:tcPr>
          <w:p w14:paraId="01B82EB9" w14:textId="77777777" w:rsidR="00692E71" w:rsidRPr="001E3185" w:rsidRDefault="00692E71" w:rsidP="008E0250">
            <w:pPr>
              <w:jc w:val="center"/>
              <w:rPr>
                <w:rFonts w:cs="Arial"/>
              </w:rPr>
            </w:pPr>
            <w:r w:rsidRPr="001E3185">
              <w:rPr>
                <w:rFonts w:cs="Arial"/>
              </w:rPr>
              <w:t>0.000</w:t>
            </w:r>
          </w:p>
        </w:tc>
        <w:tc>
          <w:tcPr>
            <w:tcW w:w="1588" w:type="dxa"/>
            <w:vAlign w:val="center"/>
          </w:tcPr>
          <w:p w14:paraId="11E5162C" w14:textId="77777777" w:rsidR="00692E71" w:rsidRPr="001E3185" w:rsidRDefault="00692E71" w:rsidP="008E0250">
            <w:pPr>
              <w:jc w:val="center"/>
              <w:rPr>
                <w:rFonts w:cs="Arial"/>
              </w:rPr>
            </w:pPr>
            <w:r w:rsidRPr="001E3185">
              <w:rPr>
                <w:rFonts w:cs="Arial"/>
              </w:rPr>
              <w:t>0.000</w:t>
            </w:r>
          </w:p>
        </w:tc>
      </w:tr>
      <w:tr w:rsidR="00692E71" w:rsidRPr="001E3185" w14:paraId="415E34B2" w14:textId="77777777" w:rsidTr="008E0250">
        <w:tc>
          <w:tcPr>
            <w:tcW w:w="3175" w:type="dxa"/>
            <w:vAlign w:val="center"/>
          </w:tcPr>
          <w:p w14:paraId="68F9FE89" w14:textId="77777777" w:rsidR="00692E71" w:rsidRPr="001E3185" w:rsidRDefault="00692E71" w:rsidP="008E0250">
            <w:pPr>
              <w:rPr>
                <w:rFonts w:cs="Arial"/>
              </w:rPr>
            </w:pPr>
            <w:r w:rsidRPr="001E3185">
              <w:rPr>
                <w:rFonts w:cs="Arial"/>
              </w:rPr>
              <w:t>Porto (µg.L</w:t>
            </w:r>
            <w:r w:rsidRPr="001E3185">
              <w:rPr>
                <w:rFonts w:cs="Arial"/>
                <w:vertAlign w:val="superscript"/>
              </w:rPr>
              <w:t>-1</w:t>
            </w:r>
            <w:r w:rsidRPr="001E3185">
              <w:rPr>
                <w:rFonts w:cs="Arial"/>
              </w:rPr>
              <w:t>)</w:t>
            </w:r>
          </w:p>
        </w:tc>
        <w:tc>
          <w:tcPr>
            <w:tcW w:w="1417" w:type="dxa"/>
            <w:vAlign w:val="center"/>
          </w:tcPr>
          <w:p w14:paraId="59A6C774" w14:textId="77777777" w:rsidR="00692E71" w:rsidRPr="001E3185" w:rsidRDefault="00692E71" w:rsidP="008E0250">
            <w:pPr>
              <w:jc w:val="center"/>
              <w:rPr>
                <w:rFonts w:cs="Arial"/>
              </w:rPr>
            </w:pPr>
            <w:r w:rsidRPr="001E3185">
              <w:rPr>
                <w:rFonts w:cs="Arial"/>
              </w:rPr>
              <w:t>0.000</w:t>
            </w:r>
          </w:p>
        </w:tc>
        <w:tc>
          <w:tcPr>
            <w:tcW w:w="1587" w:type="dxa"/>
            <w:vAlign w:val="center"/>
          </w:tcPr>
          <w:p w14:paraId="6E3E8661" w14:textId="77777777" w:rsidR="00692E71" w:rsidRPr="001E3185" w:rsidRDefault="00692E71" w:rsidP="008E0250">
            <w:pPr>
              <w:jc w:val="center"/>
              <w:rPr>
                <w:rFonts w:cs="Arial"/>
              </w:rPr>
            </w:pPr>
            <w:r w:rsidRPr="001E3185">
              <w:rPr>
                <w:rFonts w:cs="Arial"/>
              </w:rPr>
              <w:t>0.000</w:t>
            </w:r>
          </w:p>
        </w:tc>
        <w:tc>
          <w:tcPr>
            <w:tcW w:w="1587" w:type="dxa"/>
            <w:vAlign w:val="center"/>
          </w:tcPr>
          <w:p w14:paraId="6FB61DE3" w14:textId="77777777" w:rsidR="00692E71" w:rsidRPr="001E3185" w:rsidRDefault="00692E71" w:rsidP="008E0250">
            <w:pPr>
              <w:jc w:val="center"/>
              <w:rPr>
                <w:rFonts w:cs="Arial"/>
              </w:rPr>
            </w:pPr>
            <w:r w:rsidRPr="001E3185">
              <w:rPr>
                <w:rFonts w:cs="Arial"/>
              </w:rPr>
              <w:t>0.000</w:t>
            </w:r>
          </w:p>
        </w:tc>
        <w:tc>
          <w:tcPr>
            <w:tcW w:w="1588" w:type="dxa"/>
            <w:vAlign w:val="center"/>
          </w:tcPr>
          <w:p w14:paraId="38A587F9" w14:textId="77777777" w:rsidR="00692E71" w:rsidRPr="001E3185" w:rsidRDefault="00692E71" w:rsidP="008E0250">
            <w:pPr>
              <w:jc w:val="center"/>
              <w:rPr>
                <w:rFonts w:cs="Arial"/>
              </w:rPr>
            </w:pPr>
            <w:r w:rsidRPr="001E3185">
              <w:rPr>
                <w:rFonts w:cs="Arial"/>
              </w:rPr>
              <w:t>0.000</w:t>
            </w:r>
          </w:p>
        </w:tc>
      </w:tr>
      <w:tr w:rsidR="00692E71" w:rsidRPr="001E3185" w14:paraId="0129FB70" w14:textId="77777777" w:rsidTr="008E0250">
        <w:tc>
          <w:tcPr>
            <w:tcW w:w="3175" w:type="dxa"/>
            <w:vAlign w:val="center"/>
          </w:tcPr>
          <w:p w14:paraId="56187751" w14:textId="77777777" w:rsidR="00692E71" w:rsidRPr="001E3185" w:rsidRDefault="00692E71" w:rsidP="008E0250">
            <w:pPr>
              <w:rPr>
                <w:rFonts w:cs="Arial"/>
              </w:rPr>
            </w:pPr>
            <w:r w:rsidRPr="001E3185">
              <w:rPr>
                <w:rFonts w:cs="Arial"/>
              </w:rPr>
              <w:t>Seville (µg.L</w:t>
            </w:r>
            <w:r w:rsidRPr="001E3185">
              <w:rPr>
                <w:rFonts w:cs="Arial"/>
                <w:vertAlign w:val="superscript"/>
              </w:rPr>
              <w:t>-1</w:t>
            </w:r>
            <w:r w:rsidRPr="001E3185">
              <w:rPr>
                <w:rFonts w:cs="Arial"/>
              </w:rPr>
              <w:t>)</w:t>
            </w:r>
          </w:p>
        </w:tc>
        <w:tc>
          <w:tcPr>
            <w:tcW w:w="1417" w:type="dxa"/>
            <w:vAlign w:val="center"/>
          </w:tcPr>
          <w:p w14:paraId="03A6326D" w14:textId="77777777" w:rsidR="00692E71" w:rsidRPr="001E3185" w:rsidRDefault="00692E71" w:rsidP="008E0250">
            <w:pPr>
              <w:jc w:val="center"/>
              <w:rPr>
                <w:rFonts w:cs="Arial"/>
              </w:rPr>
            </w:pPr>
            <w:r w:rsidRPr="001E3185">
              <w:rPr>
                <w:rFonts w:cs="Arial"/>
              </w:rPr>
              <w:t>0.000</w:t>
            </w:r>
          </w:p>
        </w:tc>
        <w:tc>
          <w:tcPr>
            <w:tcW w:w="1587" w:type="dxa"/>
            <w:vAlign w:val="center"/>
          </w:tcPr>
          <w:p w14:paraId="19E92477" w14:textId="77777777" w:rsidR="00692E71" w:rsidRPr="001E3185" w:rsidRDefault="00692E71" w:rsidP="008E0250">
            <w:pPr>
              <w:jc w:val="center"/>
              <w:rPr>
                <w:rFonts w:cs="Arial"/>
              </w:rPr>
            </w:pPr>
            <w:r w:rsidRPr="001E3185">
              <w:rPr>
                <w:rFonts w:cs="Arial"/>
              </w:rPr>
              <w:t>0.000</w:t>
            </w:r>
          </w:p>
        </w:tc>
        <w:tc>
          <w:tcPr>
            <w:tcW w:w="1587" w:type="dxa"/>
            <w:vAlign w:val="center"/>
          </w:tcPr>
          <w:p w14:paraId="2028AACC" w14:textId="77777777" w:rsidR="00692E71" w:rsidRPr="001E3185" w:rsidRDefault="00692E71" w:rsidP="008E0250">
            <w:pPr>
              <w:jc w:val="center"/>
              <w:rPr>
                <w:rFonts w:cs="Arial"/>
              </w:rPr>
            </w:pPr>
            <w:r w:rsidRPr="001E3185">
              <w:rPr>
                <w:rFonts w:cs="Arial"/>
              </w:rPr>
              <w:t>0.000</w:t>
            </w:r>
          </w:p>
        </w:tc>
        <w:tc>
          <w:tcPr>
            <w:tcW w:w="1588" w:type="dxa"/>
            <w:vAlign w:val="center"/>
          </w:tcPr>
          <w:p w14:paraId="532D051D" w14:textId="77777777" w:rsidR="00692E71" w:rsidRPr="001E3185" w:rsidRDefault="00692E71" w:rsidP="008E0250">
            <w:pPr>
              <w:jc w:val="center"/>
              <w:rPr>
                <w:rFonts w:cs="Arial"/>
              </w:rPr>
            </w:pPr>
            <w:r w:rsidRPr="001E3185">
              <w:rPr>
                <w:rFonts w:cs="Arial"/>
              </w:rPr>
              <w:t>0.000</w:t>
            </w:r>
          </w:p>
        </w:tc>
      </w:tr>
      <w:tr w:rsidR="00692E71" w:rsidRPr="001E3185" w14:paraId="1CD6252A" w14:textId="77777777" w:rsidTr="008E0250">
        <w:tc>
          <w:tcPr>
            <w:tcW w:w="3175" w:type="dxa"/>
            <w:vAlign w:val="center"/>
          </w:tcPr>
          <w:p w14:paraId="429F9941" w14:textId="77777777" w:rsidR="00692E71" w:rsidRPr="001E3185" w:rsidRDefault="00692E71" w:rsidP="008E0250">
            <w:pPr>
              <w:rPr>
                <w:rFonts w:cs="Arial"/>
              </w:rPr>
            </w:pPr>
            <w:r w:rsidRPr="001E3185">
              <w:rPr>
                <w:rFonts w:cs="Arial"/>
              </w:rPr>
              <w:t>Thiva (µg.L</w:t>
            </w:r>
            <w:r w:rsidRPr="001E3185">
              <w:rPr>
                <w:rFonts w:cs="Arial"/>
                <w:vertAlign w:val="superscript"/>
              </w:rPr>
              <w:t>-1</w:t>
            </w:r>
            <w:r w:rsidRPr="001E3185">
              <w:rPr>
                <w:rFonts w:cs="Arial"/>
              </w:rPr>
              <w:t>)</w:t>
            </w:r>
          </w:p>
        </w:tc>
        <w:tc>
          <w:tcPr>
            <w:tcW w:w="1417" w:type="dxa"/>
            <w:vAlign w:val="center"/>
          </w:tcPr>
          <w:p w14:paraId="7FC73AD6" w14:textId="77777777" w:rsidR="00692E71" w:rsidRPr="001E3185" w:rsidRDefault="00692E71" w:rsidP="008E0250">
            <w:pPr>
              <w:jc w:val="center"/>
              <w:rPr>
                <w:rFonts w:cs="Arial"/>
              </w:rPr>
            </w:pPr>
            <w:r w:rsidRPr="001E3185">
              <w:rPr>
                <w:rFonts w:cs="Arial"/>
              </w:rPr>
              <w:t>0.000</w:t>
            </w:r>
          </w:p>
        </w:tc>
        <w:tc>
          <w:tcPr>
            <w:tcW w:w="1587" w:type="dxa"/>
            <w:vAlign w:val="center"/>
          </w:tcPr>
          <w:p w14:paraId="19292273" w14:textId="77777777" w:rsidR="00692E71" w:rsidRPr="001E3185" w:rsidRDefault="00692E71" w:rsidP="008E0250">
            <w:pPr>
              <w:jc w:val="center"/>
              <w:rPr>
                <w:rFonts w:cs="Arial"/>
              </w:rPr>
            </w:pPr>
            <w:r w:rsidRPr="001E3185">
              <w:rPr>
                <w:rFonts w:cs="Arial"/>
              </w:rPr>
              <w:t>0.000</w:t>
            </w:r>
          </w:p>
        </w:tc>
        <w:tc>
          <w:tcPr>
            <w:tcW w:w="1587" w:type="dxa"/>
            <w:vAlign w:val="center"/>
          </w:tcPr>
          <w:p w14:paraId="5A1B4F3F" w14:textId="77777777" w:rsidR="00692E71" w:rsidRPr="001E3185" w:rsidRDefault="00692E71" w:rsidP="008E0250">
            <w:pPr>
              <w:jc w:val="center"/>
              <w:rPr>
                <w:rFonts w:cs="Arial"/>
              </w:rPr>
            </w:pPr>
            <w:r w:rsidRPr="001E3185">
              <w:rPr>
                <w:rFonts w:cs="Arial"/>
              </w:rPr>
              <w:t>0.000</w:t>
            </w:r>
          </w:p>
        </w:tc>
        <w:tc>
          <w:tcPr>
            <w:tcW w:w="1588" w:type="dxa"/>
            <w:vAlign w:val="center"/>
          </w:tcPr>
          <w:p w14:paraId="64BC09F0" w14:textId="77777777" w:rsidR="00692E71" w:rsidRPr="001E3185" w:rsidRDefault="00692E71" w:rsidP="008E0250">
            <w:pPr>
              <w:jc w:val="center"/>
              <w:rPr>
                <w:rFonts w:cs="Arial"/>
              </w:rPr>
            </w:pPr>
            <w:r w:rsidRPr="001E3185">
              <w:rPr>
                <w:rFonts w:cs="Arial"/>
              </w:rPr>
              <w:t>0.000</w:t>
            </w:r>
          </w:p>
        </w:tc>
      </w:tr>
    </w:tbl>
    <w:p w14:paraId="5E5C8217" w14:textId="77777777" w:rsidR="00692E71" w:rsidRPr="001E3185" w:rsidRDefault="00692E71" w:rsidP="00692E71">
      <w:pPr>
        <w:rPr>
          <w:rFonts w:cs="Arial"/>
        </w:rPr>
      </w:pPr>
      <w:r w:rsidRPr="001E3185">
        <w:rPr>
          <w:rFonts w:cs="Arial"/>
          <w:vertAlign w:val="superscript"/>
        </w:rPr>
        <w:t>(1)</w:t>
      </w:r>
      <w:r w:rsidRPr="001E3185">
        <w:rPr>
          <w:rFonts w:cs="Arial"/>
        </w:rPr>
        <w:t xml:space="preserve"> Communication from Janssen, e-mail dated 19.03.2015.</w:t>
      </w:r>
    </w:p>
    <w:p w14:paraId="1DF79149" w14:textId="77777777" w:rsidR="00692E71" w:rsidRPr="001E3185" w:rsidRDefault="00692E71" w:rsidP="00692E71">
      <w:pPr>
        <w:spacing w:after="200" w:line="276" w:lineRule="auto"/>
        <w:rPr>
          <w:rFonts w:cs="Arial"/>
          <w:b/>
          <w:bCs/>
        </w:rPr>
      </w:pPr>
      <w:r w:rsidRPr="001E3185">
        <w:rPr>
          <w:rFonts w:cs="Arial"/>
          <w:b/>
          <w:bCs/>
        </w:rPr>
        <w:br w:type="page"/>
      </w:r>
    </w:p>
    <w:p w14:paraId="3D8D6AB2" w14:textId="77777777" w:rsidR="00692E71" w:rsidRPr="00B66713" w:rsidRDefault="00692E71" w:rsidP="00692E71">
      <w:pPr>
        <w:rPr>
          <w:rFonts w:ascii="Arial" w:hAnsi="Arial" w:cs="Arial"/>
          <w:b/>
          <w:bCs/>
        </w:rPr>
      </w:pPr>
    </w:p>
    <w:p w14:paraId="75430BF2" w14:textId="77777777" w:rsidR="00692E71" w:rsidRPr="00FE333D" w:rsidRDefault="00692E71" w:rsidP="003356DA">
      <w:pPr>
        <w:pStyle w:val="Titre5"/>
        <w:rPr>
          <w:lang w:val="en-US"/>
        </w:rPr>
      </w:pPr>
      <w:r w:rsidRPr="00FE333D">
        <w:rPr>
          <w:lang w:val="en-US"/>
        </w:rPr>
        <w:t>Non-compartmental-specific exposure relevant to the food chain (secondary poisoning)</w:t>
      </w:r>
    </w:p>
    <w:p w14:paraId="282E4897" w14:textId="77777777" w:rsidR="00692E71" w:rsidRPr="001E3185" w:rsidRDefault="00692E71" w:rsidP="00692E71">
      <w:pPr>
        <w:pStyle w:val="Titre3"/>
        <w:numPr>
          <w:ilvl w:val="0"/>
          <w:numId w:val="0"/>
        </w:numPr>
        <w:rPr>
          <w:sz w:val="20"/>
          <w:lang w:val="en-GB"/>
        </w:rPr>
      </w:pPr>
    </w:p>
    <w:p w14:paraId="12A37E22" w14:textId="77777777" w:rsidR="00692E71" w:rsidRPr="001E3185" w:rsidRDefault="00692E71" w:rsidP="00692E71">
      <w:pPr>
        <w:rPr>
          <w:rFonts w:eastAsiaTheme="minorHAnsi" w:cs="Arial"/>
          <w:lang w:eastAsia="en-US"/>
        </w:rPr>
      </w:pPr>
      <w:r w:rsidRPr="001E3185">
        <w:rPr>
          <w:rFonts w:eastAsiaTheme="minorHAnsi" w:cs="Arial"/>
          <w:lang w:eastAsia="en-US"/>
        </w:rPr>
        <w:t xml:space="preserve">- Cypermethrin </w:t>
      </w:r>
    </w:p>
    <w:p w14:paraId="252A9773" w14:textId="77777777" w:rsidR="00692E71" w:rsidRPr="001E3185" w:rsidRDefault="00692E71" w:rsidP="00692E71">
      <w:pPr>
        <w:rPr>
          <w:rFonts w:eastAsiaTheme="minorHAnsi" w:cs="Arial"/>
          <w:lang w:eastAsia="en-US"/>
        </w:rPr>
      </w:pPr>
      <w:r w:rsidRPr="001E3185">
        <w:rPr>
          <w:rFonts w:eastAsiaTheme="minorHAnsi" w:cs="Arial"/>
          <w:lang w:eastAsia="en-US"/>
        </w:rPr>
        <w:t xml:space="preserve">As cypermethrin has a log Kow &gt; 3 (log Kow = 5.45) and a BCF &gt; 100 (BCF in fish = 417 L/kg and BCF in earthworm estimated in EUSES as 3380 L/kg), secondary poisoning may occur </w:t>
      </w:r>
      <w:r w:rsidRPr="001E3185">
        <w:rPr>
          <w:rFonts w:eastAsiaTheme="minorHAnsi" w:cs="Arial"/>
          <w:i/>
          <w:lang w:eastAsia="en-US"/>
        </w:rPr>
        <w:t>via</w:t>
      </w:r>
      <w:r w:rsidRPr="001E3185">
        <w:rPr>
          <w:rFonts w:eastAsiaTheme="minorHAnsi" w:cs="Arial"/>
          <w:lang w:eastAsia="en-US"/>
        </w:rPr>
        <w:t xml:space="preserve"> the aquatic food chain and </w:t>
      </w:r>
      <w:r w:rsidRPr="001E3185">
        <w:rPr>
          <w:rFonts w:eastAsiaTheme="minorHAnsi" w:cs="Arial"/>
          <w:i/>
          <w:lang w:eastAsia="en-US"/>
        </w:rPr>
        <w:t>via</w:t>
      </w:r>
      <w:r w:rsidRPr="001E3185">
        <w:rPr>
          <w:rFonts w:eastAsiaTheme="minorHAnsi" w:cs="Arial"/>
          <w:lang w:eastAsia="en-US"/>
        </w:rPr>
        <w:t xml:space="preserve"> the terrestrial food chain. </w:t>
      </w:r>
    </w:p>
    <w:p w14:paraId="6E00D9FC" w14:textId="77777777" w:rsidR="00692E71" w:rsidRPr="001E3185" w:rsidRDefault="00692E71" w:rsidP="00692E71">
      <w:pPr>
        <w:rPr>
          <w:rFonts w:eastAsiaTheme="minorHAnsi" w:cs="Arial"/>
          <w:lang w:eastAsia="en-US"/>
        </w:rPr>
      </w:pPr>
      <w:r w:rsidRPr="001E3185">
        <w:rPr>
          <w:rFonts w:eastAsiaTheme="minorHAnsi" w:cs="Arial"/>
          <w:lang w:eastAsia="en-US"/>
        </w:rPr>
        <w:t>The concentration of cypermethrin in food (</w:t>
      </w:r>
      <w:r w:rsidRPr="001E3185">
        <w:rPr>
          <w:rFonts w:eastAsiaTheme="minorHAnsi" w:cs="Arial"/>
          <w:i/>
          <w:lang w:eastAsia="en-US"/>
        </w:rPr>
        <w:t>i.e.</w:t>
      </w:r>
      <w:r w:rsidRPr="001E3185">
        <w:rPr>
          <w:rFonts w:eastAsiaTheme="minorHAnsi" w:cs="Arial"/>
          <w:lang w:eastAsia="en-US"/>
        </w:rPr>
        <w:t xml:space="preserve"> in fish and in earthworm) of fish-eating and worm-eating predators (birds or mammals) is calculated in EUSES v2.1.2. </w:t>
      </w:r>
    </w:p>
    <w:p w14:paraId="31B79621" w14:textId="77777777" w:rsidR="00692E71" w:rsidRPr="001E3185" w:rsidRDefault="00692E71" w:rsidP="00692E71">
      <w:pPr>
        <w:rPr>
          <w:rFonts w:eastAsiaTheme="minorHAnsi" w:cs="Arial"/>
          <w:lang w:eastAsia="en-US"/>
        </w:rPr>
      </w:pPr>
    </w:p>
    <w:p w14:paraId="6B0733F2" w14:textId="77777777" w:rsidR="00692E71" w:rsidRPr="001E3185" w:rsidRDefault="00692E71" w:rsidP="00692E71">
      <w:pPr>
        <w:rPr>
          <w:rFonts w:eastAsiaTheme="minorHAnsi" w:cs="Arial"/>
          <w:lang w:eastAsia="en-US"/>
        </w:rPr>
      </w:pPr>
      <w:r w:rsidRPr="001E3185">
        <w:rPr>
          <w:rFonts w:eastAsiaTheme="minorHAnsi" w:cs="Arial"/>
          <w:lang w:eastAsia="en-US"/>
        </w:rPr>
        <w:t xml:space="preserve">The concentration in fish is calculated using the worst case concentration in surface water </w:t>
      </w:r>
      <w:r w:rsidRPr="001E3185">
        <w:rPr>
          <w:rFonts w:eastAsiaTheme="minorHAnsi" w:cs="Arial"/>
          <w:i/>
          <w:lang w:eastAsia="en-US"/>
        </w:rPr>
        <w:t>i.e.</w:t>
      </w:r>
      <w:r w:rsidRPr="001E3185">
        <w:rPr>
          <w:rFonts w:eastAsiaTheme="minorHAnsi" w:cs="Arial"/>
          <w:lang w:eastAsia="en-US"/>
        </w:rPr>
        <w:t xml:space="preserve"> the concentration of 0.09 µg/L. This concentration is obtained in the bridge over pond scenario following </w:t>
      </w:r>
      <w:r w:rsidRPr="001E3185">
        <w:rPr>
          <w:rFonts w:eastAsiaTheme="minorHAnsi" w:cs="Arial"/>
          <w:i/>
          <w:lang w:eastAsia="en-US"/>
        </w:rPr>
        <w:t>in situ</w:t>
      </w:r>
      <w:r w:rsidRPr="001E3185">
        <w:rPr>
          <w:rFonts w:eastAsiaTheme="minorHAnsi" w:cs="Arial"/>
          <w:lang w:eastAsia="en-US"/>
        </w:rPr>
        <w:t xml:space="preserve"> application by non-professional and leaching during the whole assessment period of 1825 days (see Table 3.3.2.5.3-1). The calculated concentration in fishes has to be considered as a worst case. Indeed, it is stated on the label to restrict the use of the product close to water-ways. Therefore no emission into the surface water can occur during the </w:t>
      </w:r>
      <w:r w:rsidRPr="001E3185">
        <w:rPr>
          <w:rFonts w:eastAsiaTheme="minorHAnsi" w:cs="Arial"/>
          <w:i/>
          <w:lang w:eastAsia="en-US"/>
        </w:rPr>
        <w:t>in situ</w:t>
      </w:r>
      <w:r w:rsidRPr="001E3185">
        <w:rPr>
          <w:rFonts w:eastAsiaTheme="minorHAnsi" w:cs="Arial"/>
          <w:lang w:eastAsia="en-US"/>
        </w:rPr>
        <w:t xml:space="preserve"> application. Moreover, the concentration in surface water of 0.09 µg/L is calculated without taking into account removal processes. </w:t>
      </w:r>
    </w:p>
    <w:p w14:paraId="0E60C174" w14:textId="77777777" w:rsidR="00692E71" w:rsidRPr="001E3185" w:rsidRDefault="00692E71" w:rsidP="00692E71">
      <w:pPr>
        <w:rPr>
          <w:rFonts w:eastAsiaTheme="minorHAnsi" w:cs="Arial"/>
          <w:lang w:eastAsia="en-US"/>
        </w:rPr>
      </w:pPr>
    </w:p>
    <w:p w14:paraId="30EA4068" w14:textId="77777777" w:rsidR="00692E71" w:rsidRPr="001E3185" w:rsidRDefault="00692E71" w:rsidP="00692E71">
      <w:pPr>
        <w:rPr>
          <w:rFonts w:eastAsiaTheme="minorHAnsi" w:cs="Arial"/>
          <w:lang w:eastAsia="en-US"/>
        </w:rPr>
      </w:pPr>
      <w:r w:rsidRPr="001E3185">
        <w:rPr>
          <w:rFonts w:eastAsiaTheme="minorHAnsi" w:cs="Arial"/>
          <w:lang w:eastAsia="en-US"/>
        </w:rPr>
        <w:t>The concentration in earthworm is calculated using the worst case concentration in soil (</w:t>
      </w:r>
      <w:r w:rsidRPr="001E3185">
        <w:rPr>
          <w:rFonts w:eastAsiaTheme="minorHAnsi" w:cs="Arial"/>
          <w:i/>
          <w:lang w:eastAsia="en-US"/>
        </w:rPr>
        <w:t>i.e</w:t>
      </w:r>
      <w:r w:rsidRPr="001E3185">
        <w:rPr>
          <w:rFonts w:eastAsiaTheme="minorHAnsi" w:cs="Arial"/>
          <w:lang w:eastAsia="en-US"/>
        </w:rPr>
        <w:t>. the concentration of 0.25 mg/kg</w:t>
      </w:r>
      <w:r w:rsidRPr="001E3185">
        <w:rPr>
          <w:rFonts w:eastAsiaTheme="minorHAnsi" w:cs="Arial"/>
          <w:vertAlign w:val="subscript"/>
          <w:lang w:eastAsia="en-US"/>
        </w:rPr>
        <w:t>wwt</w:t>
      </w:r>
      <w:r w:rsidRPr="001E3185">
        <w:rPr>
          <w:rFonts w:eastAsiaTheme="minorHAnsi" w:cs="Arial"/>
          <w:lang w:eastAsia="en-US"/>
        </w:rPr>
        <w:t xml:space="preserve">. This concentration is obtained in the tier 1 of the spraying scenario following </w:t>
      </w:r>
      <w:r w:rsidRPr="001E3185">
        <w:rPr>
          <w:rFonts w:eastAsiaTheme="minorHAnsi" w:cs="Arial"/>
          <w:i/>
          <w:lang w:eastAsia="en-US"/>
        </w:rPr>
        <w:t>in situ</w:t>
      </w:r>
      <w:r w:rsidRPr="001E3185">
        <w:rPr>
          <w:rFonts w:eastAsiaTheme="minorHAnsi" w:cs="Arial"/>
          <w:lang w:eastAsia="en-US"/>
        </w:rPr>
        <w:t xml:space="preserve"> application by spraying and leaching during the whole assessment period of 1825 days (see Table 3.3.2.5.4-1). The calculated concentration in earthworm has to be considered as a worst case. Indeed, it is stated on the label to cover the soil during the application, therefore no emission occur during </w:t>
      </w:r>
      <w:r w:rsidRPr="001E3185">
        <w:rPr>
          <w:rFonts w:eastAsiaTheme="minorHAnsi" w:cs="Arial"/>
          <w:i/>
          <w:lang w:eastAsia="en-US"/>
        </w:rPr>
        <w:t>in situ</w:t>
      </w:r>
      <w:r w:rsidRPr="001E3185">
        <w:rPr>
          <w:rFonts w:eastAsiaTheme="minorHAnsi" w:cs="Arial"/>
          <w:lang w:eastAsia="en-US"/>
        </w:rPr>
        <w:t xml:space="preserve"> application by spraying. Moreover, the concentration in soil of 0.25 mg/kg</w:t>
      </w:r>
      <w:r w:rsidRPr="001E3185">
        <w:rPr>
          <w:rFonts w:eastAsiaTheme="minorHAnsi" w:cs="Arial"/>
          <w:vertAlign w:val="subscript"/>
          <w:lang w:eastAsia="en-US"/>
        </w:rPr>
        <w:t>wwt</w:t>
      </w:r>
      <w:r w:rsidRPr="001E3185">
        <w:rPr>
          <w:rFonts w:eastAsiaTheme="minorHAnsi" w:cs="Arial"/>
          <w:lang w:eastAsia="en-US"/>
        </w:rPr>
        <w:t xml:space="preserve"> is calculated without taking into account removal processes.</w:t>
      </w:r>
    </w:p>
    <w:p w14:paraId="25B59147" w14:textId="77777777" w:rsidR="00692E71" w:rsidRPr="001E3185" w:rsidRDefault="00692E71" w:rsidP="00692E71">
      <w:pPr>
        <w:rPr>
          <w:rFonts w:eastAsiaTheme="minorHAnsi" w:cs="Arial"/>
          <w:lang w:eastAsia="en-US"/>
        </w:rPr>
      </w:pPr>
    </w:p>
    <w:p w14:paraId="41930CD0" w14:textId="77777777" w:rsidR="00692E71" w:rsidRPr="001E3185" w:rsidRDefault="00692E71" w:rsidP="00692E71">
      <w:pPr>
        <w:pStyle w:val="Lgende"/>
        <w:rPr>
          <w:rFonts w:ascii="Verdana" w:eastAsiaTheme="minorHAnsi" w:hAnsi="Verdana"/>
          <w:lang w:eastAsia="en-U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46</w:t>
      </w:r>
      <w:r w:rsidRPr="001E3185">
        <w:rPr>
          <w:rFonts w:ascii="Verdana" w:hAnsi="Verdana"/>
        </w:rPr>
        <w:fldChar w:fldCharType="end"/>
      </w:r>
      <w:r w:rsidRPr="001E3185">
        <w:rPr>
          <w:rFonts w:ascii="Verdana" w:hAnsi="Verdana"/>
        </w:rPr>
        <w:t xml:space="preserve">: </w:t>
      </w:r>
      <w:r w:rsidRPr="001E3185">
        <w:rPr>
          <w:rFonts w:ascii="Verdana" w:eastAsiaTheme="minorHAnsi" w:hAnsi="Verdana"/>
          <w:lang w:eastAsia="en-US"/>
        </w:rPr>
        <w:t>PEC of cypermethrin in fish and earthworm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3024"/>
        <w:gridCol w:w="3024"/>
      </w:tblGrid>
      <w:tr w:rsidR="00692E71" w:rsidRPr="001E3185" w14:paraId="66D27618" w14:textId="77777777" w:rsidTr="008E0250">
        <w:trPr>
          <w:trHeight w:val="249"/>
        </w:trPr>
        <w:tc>
          <w:tcPr>
            <w:tcW w:w="3024" w:type="dxa"/>
            <w:shd w:val="clear" w:color="auto" w:fill="D9D9D9" w:themeFill="background1" w:themeFillShade="D9"/>
          </w:tcPr>
          <w:p w14:paraId="415F4DFF" w14:textId="77777777" w:rsidR="00692E71" w:rsidRPr="001E3185" w:rsidRDefault="00692E71" w:rsidP="008E0250">
            <w:pPr>
              <w:jc w:val="center"/>
              <w:rPr>
                <w:rFonts w:eastAsiaTheme="minorHAnsi" w:cs="Arial"/>
                <w:lang w:eastAsia="en-US"/>
              </w:rPr>
            </w:pPr>
          </w:p>
        </w:tc>
        <w:tc>
          <w:tcPr>
            <w:tcW w:w="3024" w:type="dxa"/>
            <w:shd w:val="clear" w:color="auto" w:fill="D9D9D9" w:themeFill="background1" w:themeFillShade="D9"/>
            <w:vAlign w:val="center"/>
          </w:tcPr>
          <w:p w14:paraId="003FFF97" w14:textId="77777777" w:rsidR="00692E71" w:rsidRPr="001E3185" w:rsidRDefault="00692E71" w:rsidP="008E0250">
            <w:pPr>
              <w:jc w:val="center"/>
              <w:rPr>
                <w:rFonts w:eastAsiaTheme="minorHAnsi" w:cs="Arial"/>
                <w:lang w:eastAsia="en-US"/>
              </w:rPr>
            </w:pPr>
            <w:r w:rsidRPr="001E3185">
              <w:rPr>
                <w:rFonts w:eastAsiaTheme="minorHAnsi" w:cs="Arial"/>
                <w:lang w:eastAsia="en-US"/>
              </w:rPr>
              <w:t>Concentration in fish</w:t>
            </w:r>
          </w:p>
        </w:tc>
        <w:tc>
          <w:tcPr>
            <w:tcW w:w="3024" w:type="dxa"/>
            <w:shd w:val="clear" w:color="auto" w:fill="D9D9D9" w:themeFill="background1" w:themeFillShade="D9"/>
            <w:vAlign w:val="center"/>
          </w:tcPr>
          <w:p w14:paraId="323CF010" w14:textId="77777777" w:rsidR="00692E71" w:rsidRPr="001E3185" w:rsidRDefault="00692E71" w:rsidP="008E0250">
            <w:pPr>
              <w:jc w:val="center"/>
              <w:rPr>
                <w:rFonts w:eastAsiaTheme="minorHAnsi" w:cs="Arial"/>
                <w:lang w:eastAsia="en-US"/>
              </w:rPr>
            </w:pPr>
            <w:r w:rsidRPr="001E3185">
              <w:rPr>
                <w:rFonts w:eastAsiaTheme="minorHAnsi" w:cs="Arial"/>
                <w:lang w:eastAsia="en-US"/>
              </w:rPr>
              <w:t xml:space="preserve">Concentration in earthworm </w:t>
            </w:r>
          </w:p>
        </w:tc>
      </w:tr>
      <w:tr w:rsidR="00692E71" w:rsidRPr="001E3185" w14:paraId="60B227B3" w14:textId="77777777" w:rsidTr="008E0250">
        <w:trPr>
          <w:trHeight w:val="75"/>
        </w:trPr>
        <w:tc>
          <w:tcPr>
            <w:tcW w:w="3024" w:type="dxa"/>
            <w:shd w:val="clear" w:color="auto" w:fill="FFFFFF"/>
          </w:tcPr>
          <w:p w14:paraId="33096E9B" w14:textId="77777777" w:rsidR="00692E71" w:rsidRPr="001E3185" w:rsidRDefault="00692E71" w:rsidP="008E0250">
            <w:pPr>
              <w:jc w:val="center"/>
              <w:rPr>
                <w:rFonts w:eastAsiaTheme="minorHAnsi" w:cs="Arial"/>
                <w:lang w:eastAsia="en-US"/>
              </w:rPr>
            </w:pPr>
            <w:r w:rsidRPr="001E3185">
              <w:rPr>
                <w:rFonts w:eastAsiaTheme="minorHAnsi" w:cs="Arial"/>
                <w:lang w:eastAsia="en-US"/>
              </w:rPr>
              <w:t>Cypermethrin</w:t>
            </w:r>
          </w:p>
        </w:tc>
        <w:tc>
          <w:tcPr>
            <w:tcW w:w="3024" w:type="dxa"/>
            <w:shd w:val="clear" w:color="auto" w:fill="FFFFFF"/>
          </w:tcPr>
          <w:p w14:paraId="0BE4FBC4" w14:textId="77777777" w:rsidR="00692E71" w:rsidRPr="001E3185" w:rsidRDefault="00692E71" w:rsidP="008E0250">
            <w:pPr>
              <w:jc w:val="center"/>
              <w:rPr>
                <w:rFonts w:eastAsiaTheme="minorHAnsi" w:cs="Arial"/>
                <w:lang w:eastAsia="en-US"/>
              </w:rPr>
            </w:pPr>
            <w:r w:rsidRPr="001E3185">
              <w:rPr>
                <w:rFonts w:eastAsiaTheme="minorHAnsi" w:cs="Arial"/>
                <w:lang w:eastAsia="en-US"/>
              </w:rPr>
              <w:t>0.0187 mg/kg</w:t>
            </w:r>
            <w:r w:rsidRPr="001E3185">
              <w:rPr>
                <w:rFonts w:eastAsiaTheme="minorHAnsi" w:cs="Arial"/>
                <w:vertAlign w:val="subscript"/>
                <w:lang w:eastAsia="en-US"/>
              </w:rPr>
              <w:t>wet</w:t>
            </w:r>
            <w:r w:rsidRPr="001E3185">
              <w:rPr>
                <w:rFonts w:eastAsiaTheme="minorHAnsi" w:cs="Arial"/>
                <w:lang w:eastAsia="en-US"/>
              </w:rPr>
              <w:t xml:space="preserve"> fish</w:t>
            </w:r>
          </w:p>
        </w:tc>
        <w:tc>
          <w:tcPr>
            <w:tcW w:w="3024" w:type="dxa"/>
            <w:shd w:val="clear" w:color="auto" w:fill="FFFFFF"/>
          </w:tcPr>
          <w:p w14:paraId="6A9B3E4E" w14:textId="77777777" w:rsidR="00692E71" w:rsidRPr="001E3185" w:rsidRDefault="00692E71" w:rsidP="008E0250">
            <w:pPr>
              <w:jc w:val="center"/>
              <w:rPr>
                <w:rFonts w:eastAsiaTheme="minorHAnsi" w:cs="Arial"/>
                <w:lang w:eastAsia="en-US"/>
              </w:rPr>
            </w:pPr>
            <w:r w:rsidRPr="001E3185">
              <w:rPr>
                <w:rFonts w:eastAsiaTheme="minorHAnsi" w:cs="Arial"/>
                <w:lang w:eastAsia="en-US"/>
              </w:rPr>
              <w:t>0.0502 mg/kg</w:t>
            </w:r>
            <w:r w:rsidRPr="001E3185">
              <w:rPr>
                <w:rFonts w:eastAsiaTheme="minorHAnsi" w:cs="Arial"/>
                <w:vertAlign w:val="subscript"/>
                <w:lang w:eastAsia="en-US"/>
              </w:rPr>
              <w:t>wet</w:t>
            </w:r>
            <w:r w:rsidRPr="001E3185">
              <w:rPr>
                <w:rFonts w:eastAsiaTheme="minorHAnsi" w:cs="Arial"/>
                <w:lang w:eastAsia="en-US"/>
              </w:rPr>
              <w:t xml:space="preserve"> earthworm</w:t>
            </w:r>
          </w:p>
        </w:tc>
      </w:tr>
    </w:tbl>
    <w:p w14:paraId="2DA9F76A" w14:textId="77777777" w:rsidR="00692E71" w:rsidRPr="001E3185" w:rsidRDefault="00692E71" w:rsidP="00692E71">
      <w:pPr>
        <w:pStyle w:val="Titre3"/>
        <w:numPr>
          <w:ilvl w:val="0"/>
          <w:numId w:val="0"/>
        </w:numPr>
        <w:spacing w:after="0"/>
        <w:rPr>
          <w:sz w:val="20"/>
          <w:lang w:val="en-GB"/>
        </w:rPr>
      </w:pPr>
    </w:p>
    <w:p w14:paraId="6C855ADF" w14:textId="46C54E27" w:rsidR="00692E71" w:rsidRPr="001E3185" w:rsidRDefault="00692E71" w:rsidP="00692E71">
      <w:pPr>
        <w:rPr>
          <w:rFonts w:eastAsiaTheme="minorHAnsi" w:cs="Arial"/>
          <w:b/>
          <w:bCs/>
          <w:lang w:eastAsia="en-US"/>
        </w:rPr>
      </w:pPr>
      <w:r w:rsidRPr="001E3185">
        <w:rPr>
          <w:rFonts w:eastAsiaTheme="minorHAnsi" w:cs="Arial"/>
          <w:lang w:eastAsia="en-US"/>
        </w:rPr>
        <w:t xml:space="preserve">- As stated in section </w:t>
      </w:r>
      <w:r w:rsidRPr="001E3185">
        <w:rPr>
          <w:rFonts w:eastAsiaTheme="minorHAnsi" w:cs="Arial"/>
          <w:highlight w:val="yellow"/>
          <w:lang w:eastAsia="en-US"/>
        </w:rPr>
        <w:fldChar w:fldCharType="begin"/>
      </w:r>
      <w:r w:rsidRPr="001E3185">
        <w:rPr>
          <w:rFonts w:eastAsiaTheme="minorHAnsi" w:cs="Arial"/>
          <w:lang w:eastAsia="en-US"/>
        </w:rPr>
        <w:instrText xml:space="preserve"> REF _Ref467072575 \r \h </w:instrText>
      </w:r>
      <w:r w:rsidR="001E3185">
        <w:rPr>
          <w:rFonts w:eastAsiaTheme="minorHAnsi" w:cs="Arial"/>
          <w:highlight w:val="yellow"/>
          <w:lang w:eastAsia="en-US"/>
        </w:rPr>
        <w:instrText xml:space="preserve"> \* MERGEFORMAT </w:instrText>
      </w:r>
      <w:r w:rsidRPr="001E3185">
        <w:rPr>
          <w:rFonts w:eastAsiaTheme="minorHAnsi" w:cs="Arial"/>
          <w:highlight w:val="yellow"/>
          <w:lang w:eastAsia="en-US"/>
        </w:rPr>
      </w:r>
      <w:r w:rsidRPr="001E3185">
        <w:rPr>
          <w:rFonts w:eastAsiaTheme="minorHAnsi" w:cs="Arial"/>
          <w:highlight w:val="yellow"/>
          <w:lang w:eastAsia="en-US"/>
        </w:rPr>
        <w:fldChar w:fldCharType="separate"/>
      </w:r>
      <w:r w:rsidR="00666966">
        <w:rPr>
          <w:rFonts w:eastAsiaTheme="minorHAnsi" w:cs="Arial"/>
          <w:lang w:eastAsia="en-US"/>
        </w:rPr>
        <w:t>2.2.6.2</w:t>
      </w:r>
      <w:r w:rsidRPr="001E3185">
        <w:rPr>
          <w:rFonts w:eastAsiaTheme="minorHAnsi" w:cs="Arial"/>
          <w:highlight w:val="yellow"/>
          <w:lang w:eastAsia="en-US"/>
        </w:rPr>
        <w:fldChar w:fldCharType="end"/>
      </w:r>
      <w:r w:rsidRPr="001E3185">
        <w:rPr>
          <w:rFonts w:eastAsiaTheme="minorHAnsi" w:cs="Arial"/>
          <w:lang w:eastAsia="en-US"/>
        </w:rPr>
        <w:t xml:space="preserve"> there is no need to perform an assessment of secondary poisoning for propiconazole, tebuconazole and IPBC.</w:t>
      </w:r>
    </w:p>
    <w:p w14:paraId="52FC1426" w14:textId="77777777" w:rsidR="00692E71" w:rsidRPr="005F7D65" w:rsidRDefault="00692E71" w:rsidP="00692E71">
      <w:pPr>
        <w:rPr>
          <w:rFonts w:ascii="Arial" w:hAnsi="Arial" w:cs="Arial"/>
        </w:rPr>
      </w:pPr>
    </w:p>
    <w:p w14:paraId="2B9DC874" w14:textId="77777777" w:rsidR="00692E71" w:rsidRPr="003356DA" w:rsidRDefault="00692E71" w:rsidP="003356DA">
      <w:pPr>
        <w:pStyle w:val="Titre5"/>
      </w:pPr>
      <w:bookmarkStart w:id="145" w:name="_Toc452669011"/>
      <w:r w:rsidRPr="003356DA">
        <w:t>Relevant metabolites</w:t>
      </w:r>
      <w:bookmarkEnd w:id="145"/>
    </w:p>
    <w:p w14:paraId="5F1FCB07" w14:textId="77777777" w:rsidR="00692E71" w:rsidRPr="001E3185" w:rsidRDefault="00692E71" w:rsidP="00692E71">
      <w:pPr>
        <w:rPr>
          <w:rFonts w:cs="Arial"/>
        </w:rPr>
      </w:pPr>
    </w:p>
    <w:p w14:paraId="61BCB0EB" w14:textId="77777777" w:rsidR="00692E71" w:rsidRPr="001E3185" w:rsidRDefault="00692E71" w:rsidP="00692E71">
      <w:pPr>
        <w:rPr>
          <w:rFonts w:cs="Arial"/>
        </w:rPr>
      </w:pPr>
      <w:r w:rsidRPr="001E3185">
        <w:rPr>
          <w:rFonts w:cs="Arial"/>
          <w:u w:val="single"/>
        </w:rPr>
        <w:t>IPBC</w:t>
      </w:r>
      <w:r w:rsidRPr="001E3185">
        <w:rPr>
          <w:rFonts w:cs="Arial"/>
        </w:rPr>
        <w:t>:</w:t>
      </w:r>
    </w:p>
    <w:p w14:paraId="1EDC1E5C" w14:textId="77777777" w:rsidR="00692E71" w:rsidRPr="001E3185" w:rsidRDefault="00692E71" w:rsidP="00692E71">
      <w:pPr>
        <w:rPr>
          <w:rFonts w:cs="Arial"/>
        </w:rPr>
      </w:pPr>
      <w:r w:rsidRPr="001E3185">
        <w:rPr>
          <w:rFonts w:cs="Arial"/>
        </w:rPr>
        <w:t>According to the AR for IPBC, PBC was identified as a relevant metabolite of IPBC in water, sediment and soil, because it was found in degradation studies at above the limit value of 10%. Due to a relative short half-life of PBC (T½ of 31.2; 31.4 and 9.5 days at 12</w:t>
      </w:r>
      <w:r w:rsidRPr="001E3185">
        <w:rPr>
          <w:rFonts w:cs="Arial"/>
          <w:vertAlign w:val="superscript"/>
        </w:rPr>
        <w:t>o</w:t>
      </w:r>
      <w:r w:rsidRPr="001E3185">
        <w:rPr>
          <w:rFonts w:cs="Arial"/>
        </w:rPr>
        <w:t>C in water, sediment and soil, respectively) PBC can be regarded as a transient metabolite. In addition, the ecotoxicity of PBC is a factor of 300 – 1000 lower for fish, invertebrates and algae compared to IPBC.</w:t>
      </w:r>
    </w:p>
    <w:p w14:paraId="7D8573FA" w14:textId="77777777" w:rsidR="00692E71" w:rsidRPr="001E3185" w:rsidRDefault="00692E71" w:rsidP="00692E71">
      <w:pPr>
        <w:rPr>
          <w:rFonts w:cs="Arial"/>
        </w:rPr>
      </w:pPr>
      <w:r w:rsidRPr="001E3185">
        <w:rPr>
          <w:rFonts w:cs="Arial"/>
        </w:rPr>
        <w:t>In this report PBC was included in the calculation, by transforming the measured amount of PBC to the corresponding amount of IPBC and use the total as input parameter. This must be considered a worst-case approach.</w:t>
      </w:r>
    </w:p>
    <w:p w14:paraId="03BF45BF" w14:textId="77777777" w:rsidR="00692E71" w:rsidRPr="001E3185" w:rsidRDefault="00692E71" w:rsidP="00692E71">
      <w:pPr>
        <w:rPr>
          <w:rFonts w:cs="Arial"/>
        </w:rPr>
      </w:pPr>
    </w:p>
    <w:p w14:paraId="5BE350AE" w14:textId="77777777" w:rsidR="00692E71" w:rsidRPr="001E3185" w:rsidRDefault="00692E71" w:rsidP="00692E71">
      <w:pPr>
        <w:snapToGrid w:val="0"/>
        <w:rPr>
          <w:rFonts w:cs="Arial"/>
          <w:u w:val="single"/>
        </w:rPr>
      </w:pPr>
      <w:r w:rsidRPr="001E3185">
        <w:rPr>
          <w:rFonts w:cs="Arial"/>
          <w:u w:val="single"/>
        </w:rPr>
        <w:t>Propiconazole:</w:t>
      </w:r>
    </w:p>
    <w:p w14:paraId="3A9B0811" w14:textId="77777777" w:rsidR="00692E71" w:rsidRPr="001E3185" w:rsidRDefault="00692E71" w:rsidP="00692E71">
      <w:pPr>
        <w:snapToGrid w:val="0"/>
        <w:rPr>
          <w:rFonts w:cs="Arial"/>
        </w:rPr>
      </w:pPr>
      <w:r w:rsidRPr="001E3185">
        <w:rPr>
          <w:rFonts w:cs="Arial"/>
        </w:rPr>
        <w:t>In the soil laboratory studies there were two degradation products of propiconazole accounting for more than 10% of the active substance: CGA 118 245 and 1</w:t>
      </w:r>
      <w:proofErr w:type="gramStart"/>
      <w:r w:rsidRPr="001E3185">
        <w:rPr>
          <w:rFonts w:cs="Arial"/>
        </w:rPr>
        <w:t>,2,4</w:t>
      </w:r>
      <w:proofErr w:type="gramEnd"/>
      <w:r w:rsidRPr="001E3185">
        <w:rPr>
          <w:rFonts w:cs="Arial"/>
        </w:rPr>
        <w:t>-triazole. Both are degraded in soil faster than the parent substance CGA 118 245 having DT</w:t>
      </w:r>
      <w:r w:rsidRPr="001E3185">
        <w:rPr>
          <w:rFonts w:cs="Arial"/>
          <w:vertAlign w:val="subscript"/>
        </w:rPr>
        <w:t>50</w:t>
      </w:r>
      <w:r w:rsidRPr="001E3185">
        <w:rPr>
          <w:rFonts w:cs="Arial"/>
        </w:rPr>
        <w:t xml:space="preserve"> of around 1 day and 1</w:t>
      </w:r>
      <w:proofErr w:type="gramStart"/>
      <w:r w:rsidRPr="001E3185">
        <w:rPr>
          <w:rFonts w:cs="Arial"/>
        </w:rPr>
        <w:t>,2,4</w:t>
      </w:r>
      <w:proofErr w:type="gramEnd"/>
      <w:r w:rsidRPr="001E3185">
        <w:rPr>
          <w:rFonts w:cs="Arial"/>
        </w:rPr>
        <w:t>-triazole having DT</w:t>
      </w:r>
      <w:r w:rsidRPr="001E3185">
        <w:rPr>
          <w:rFonts w:cs="Arial"/>
          <w:vertAlign w:val="subscript"/>
        </w:rPr>
        <w:t>50</w:t>
      </w:r>
      <w:r w:rsidRPr="001E3185">
        <w:rPr>
          <w:rFonts w:cs="Arial"/>
        </w:rPr>
        <w:t xml:space="preserve"> of around 9.3 days at 20 °C. Both degradation products are also more mobile </w:t>
      </w:r>
      <w:r w:rsidRPr="001E3185">
        <w:rPr>
          <w:rFonts w:cs="Arial"/>
        </w:rPr>
        <w:lastRenderedPageBreak/>
        <w:t>in soil than propiconazole CGA 118 245 having the arithmetic mean K</w:t>
      </w:r>
      <w:r w:rsidRPr="001E3185">
        <w:rPr>
          <w:rFonts w:cs="Arial"/>
          <w:vertAlign w:val="subscript"/>
        </w:rPr>
        <w:t>oc</w:t>
      </w:r>
      <w:r w:rsidRPr="001E3185">
        <w:rPr>
          <w:rFonts w:cs="Arial"/>
        </w:rPr>
        <w:t xml:space="preserve"> of 129 from 3 soils and 1,2,4-triazole having the arithmetic mean K</w:t>
      </w:r>
      <w:r w:rsidRPr="001E3185">
        <w:rPr>
          <w:rFonts w:cs="Arial"/>
          <w:vertAlign w:val="subscript"/>
        </w:rPr>
        <w:t>oc</w:t>
      </w:r>
      <w:r w:rsidRPr="001E3185">
        <w:rPr>
          <w:rFonts w:cs="Arial"/>
        </w:rPr>
        <w:t xml:space="preserve"> of 69 from 10 soils.</w:t>
      </w:r>
    </w:p>
    <w:p w14:paraId="68913A62" w14:textId="77777777" w:rsidR="00692E71" w:rsidRPr="001E3185" w:rsidRDefault="00692E71" w:rsidP="00692E71">
      <w:pPr>
        <w:rPr>
          <w:rFonts w:cs="Arial"/>
          <w:u w:val="single"/>
        </w:rPr>
      </w:pPr>
    </w:p>
    <w:p w14:paraId="2679A303" w14:textId="77777777" w:rsidR="00692E71" w:rsidRPr="001E3185" w:rsidRDefault="00692E71" w:rsidP="00692E71">
      <w:pPr>
        <w:keepNext/>
        <w:rPr>
          <w:rFonts w:cs="Arial"/>
        </w:rPr>
      </w:pPr>
      <w:r w:rsidRPr="001E3185">
        <w:rPr>
          <w:rFonts w:cs="Arial"/>
          <w:u w:val="single"/>
        </w:rPr>
        <w:t>Tebuconazole</w:t>
      </w:r>
      <w:r w:rsidRPr="001E3185">
        <w:rPr>
          <w:rFonts w:cs="Arial"/>
        </w:rPr>
        <w:t>:</w:t>
      </w:r>
    </w:p>
    <w:p w14:paraId="236F62AA" w14:textId="77777777" w:rsidR="00692E71" w:rsidRPr="001E3185" w:rsidRDefault="00692E71" w:rsidP="00692E71">
      <w:pPr>
        <w:keepNext/>
        <w:rPr>
          <w:rFonts w:cs="Arial"/>
        </w:rPr>
      </w:pPr>
      <w:r w:rsidRPr="001E3185">
        <w:rPr>
          <w:rFonts w:cs="Arial"/>
        </w:rPr>
        <w:t>The major metabolite formed in soil from tebuconazole is 1</w:t>
      </w:r>
      <w:proofErr w:type="gramStart"/>
      <w:r w:rsidRPr="001E3185">
        <w:rPr>
          <w:rFonts w:cs="Arial"/>
        </w:rPr>
        <w:t>,2,4</w:t>
      </w:r>
      <w:proofErr w:type="gramEnd"/>
      <w:r w:rsidRPr="001E3185">
        <w:rPr>
          <w:rFonts w:cs="Arial"/>
        </w:rPr>
        <w:t>-triazole.</w:t>
      </w:r>
    </w:p>
    <w:p w14:paraId="0328CC8F" w14:textId="77777777" w:rsidR="00692E71" w:rsidRPr="001E3185" w:rsidRDefault="00692E71" w:rsidP="00692E71">
      <w:pPr>
        <w:keepNext/>
        <w:rPr>
          <w:rFonts w:cs="Arial"/>
        </w:rPr>
      </w:pPr>
      <w:r w:rsidRPr="001E3185">
        <w:rPr>
          <w:rFonts w:cs="Arial"/>
        </w:rPr>
        <w:t>According to the AR for tebuconazole (PT08), 1</w:t>
      </w:r>
      <w:proofErr w:type="gramStart"/>
      <w:r w:rsidRPr="001E3185">
        <w:rPr>
          <w:rFonts w:cs="Arial"/>
        </w:rPr>
        <w:t>,2,4</w:t>
      </w:r>
      <w:proofErr w:type="gramEnd"/>
      <w:r w:rsidRPr="001E3185">
        <w:rPr>
          <w:rFonts w:cs="Arial"/>
        </w:rPr>
        <w:t>-triazole was identified as a relevant metabolite of tebuconazole in soil, because it was found in soil degradation studies at concentrations up to 9%, which is close to the limit value of 10%. Due to the considerably shorter half-life of 1</w:t>
      </w:r>
      <w:proofErr w:type="gramStart"/>
      <w:r w:rsidRPr="001E3185">
        <w:rPr>
          <w:rFonts w:cs="Arial"/>
        </w:rPr>
        <w:t>,2,4</w:t>
      </w:r>
      <w:proofErr w:type="gramEnd"/>
      <w:r w:rsidRPr="001E3185">
        <w:rPr>
          <w:rFonts w:cs="Arial"/>
        </w:rPr>
        <w:t>-triazole in soil compared to that of tebuconazole, 1,2,4-triazole can be regarded as a transient metabolite. The ecotoxicity of the metabolite is significantly lower than found for tebuconazole for both the aquatic and terrestrial environment and therefore the metabolite will not be considered further.</w:t>
      </w:r>
    </w:p>
    <w:p w14:paraId="4F3C3149" w14:textId="77777777" w:rsidR="00692E71" w:rsidRPr="001E3185" w:rsidRDefault="00692E71" w:rsidP="00692E71">
      <w:pPr>
        <w:rPr>
          <w:rFonts w:cs="Arial"/>
        </w:rPr>
      </w:pPr>
    </w:p>
    <w:p w14:paraId="533BA539" w14:textId="77777777" w:rsidR="00692E71" w:rsidRPr="001E3185" w:rsidRDefault="00692E71" w:rsidP="00692E71">
      <w:pPr>
        <w:rPr>
          <w:rFonts w:cs="Arial"/>
        </w:rPr>
      </w:pPr>
      <w:r w:rsidRPr="001E3185">
        <w:rPr>
          <w:rFonts w:cs="Arial"/>
          <w:u w:val="single"/>
        </w:rPr>
        <w:t>Cypermethrin</w:t>
      </w:r>
      <w:r w:rsidRPr="001E3185">
        <w:rPr>
          <w:rFonts w:cs="Arial"/>
        </w:rPr>
        <w:t>:</w:t>
      </w:r>
    </w:p>
    <w:p w14:paraId="323E552C" w14:textId="77777777" w:rsidR="00692E71" w:rsidRPr="001E3185" w:rsidRDefault="00692E71" w:rsidP="00692E71">
      <w:pPr>
        <w:rPr>
          <w:rFonts w:cs="Arial"/>
        </w:rPr>
      </w:pPr>
      <w:r w:rsidRPr="001E3185">
        <w:rPr>
          <w:rFonts w:cs="Arial"/>
        </w:rPr>
        <w:t>In the AR three major metabolites were identified in water and soil: 3-phenoxybenzoic acid, TDCVC and CDCVC. However, no data is available for these metabolites and none of these were considered further.</w:t>
      </w:r>
    </w:p>
    <w:p w14:paraId="1C564E2E" w14:textId="77777777" w:rsidR="00692E71" w:rsidRPr="001E3185" w:rsidRDefault="00692E71" w:rsidP="00692E71">
      <w:pPr>
        <w:spacing w:after="200" w:line="276" w:lineRule="auto"/>
        <w:rPr>
          <w:rFonts w:cs="Arial"/>
        </w:rPr>
      </w:pPr>
    </w:p>
    <w:tbl>
      <w:tblPr>
        <w:tblW w:w="4893" w:type="pct"/>
        <w:tblInd w:w="108"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ayout w:type="fixed"/>
        <w:tblLook w:val="04A0" w:firstRow="1" w:lastRow="0" w:firstColumn="1" w:lastColumn="0" w:noHBand="0" w:noVBand="1"/>
      </w:tblPr>
      <w:tblGrid>
        <w:gridCol w:w="9560"/>
      </w:tblGrid>
      <w:tr w:rsidR="00692E71" w:rsidRPr="001E3185" w14:paraId="454145DD" w14:textId="77777777" w:rsidTr="008E0250">
        <w:tc>
          <w:tcPr>
            <w:tcW w:w="5000" w:type="pct"/>
            <w:shd w:val="clear" w:color="auto" w:fill="D6E3BC"/>
          </w:tcPr>
          <w:p w14:paraId="36020258"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7</w:t>
            </w:r>
            <w:r w:rsidRPr="001E3185">
              <w:rPr>
                <w:rFonts w:ascii="Verdana" w:hAnsi="Verdana"/>
                <w:noProof/>
              </w:rPr>
              <w:fldChar w:fldCharType="end"/>
            </w:r>
          </w:p>
          <w:p w14:paraId="0620B653" w14:textId="77777777" w:rsidR="00692E71" w:rsidRPr="001E3185" w:rsidRDefault="00692E71" w:rsidP="008E0250">
            <w:pPr>
              <w:autoSpaceDE w:val="0"/>
              <w:autoSpaceDN w:val="0"/>
              <w:spacing w:line="276" w:lineRule="auto"/>
              <w:rPr>
                <w:rFonts w:cs="Arial"/>
              </w:rPr>
            </w:pPr>
          </w:p>
          <w:p w14:paraId="2FFF4527" w14:textId="77777777" w:rsidR="00692E71" w:rsidRPr="001E3185" w:rsidRDefault="00692E71" w:rsidP="00F32B7F">
            <w:pPr>
              <w:pStyle w:val="Lgende"/>
              <w:numPr>
                <w:ilvl w:val="0"/>
                <w:numId w:val="19"/>
              </w:numPr>
              <w:suppressAutoHyphens w:val="0"/>
              <w:spacing w:after="200"/>
              <w:rPr>
                <w:rFonts w:ascii="Verdana" w:hAnsi="Verdana"/>
              </w:rPr>
            </w:pPr>
            <w:r w:rsidRPr="001E3185">
              <w:rPr>
                <w:rFonts w:ascii="Verdana" w:hAnsi="Verdana"/>
              </w:rPr>
              <w:t>PEC in the aquatic compartment (including sediment)</w:t>
            </w:r>
          </w:p>
          <w:p w14:paraId="6F0CA914" w14:textId="77777777" w:rsidR="00692E71" w:rsidRPr="001E3185" w:rsidRDefault="00692E71" w:rsidP="00F32B7F">
            <w:pPr>
              <w:pStyle w:val="Lgende"/>
              <w:numPr>
                <w:ilvl w:val="1"/>
                <w:numId w:val="19"/>
              </w:numPr>
              <w:suppressAutoHyphens w:val="0"/>
              <w:spacing w:after="200"/>
              <w:rPr>
                <w:rFonts w:ascii="Verdana" w:hAnsi="Verdana"/>
              </w:rPr>
            </w:pPr>
            <w:r w:rsidRPr="001E3185">
              <w:rPr>
                <w:rFonts w:ascii="Verdana" w:hAnsi="Verdana"/>
              </w:rPr>
              <w:t>Direct emission to the aquatic compartment – industrial application, storage</w:t>
            </w:r>
          </w:p>
          <w:p w14:paraId="53BF6225" w14:textId="77777777" w:rsidR="00692E71" w:rsidRPr="001E3185" w:rsidRDefault="00692E71" w:rsidP="008E0250">
            <w:pPr>
              <w:pStyle w:val="Lgende"/>
              <w:rPr>
                <w:rFonts w:ascii="Verdana" w:hAnsi="Verdana"/>
                <w:b/>
              </w:rPr>
            </w:pPr>
            <w:r w:rsidRPr="001E3185">
              <w:rPr>
                <w:rFonts w:ascii="Verdana" w:hAnsi="Verdana"/>
              </w:rPr>
              <w:t>Local concentrations in surface water over the initial assessment period and after adsorption on suspended matter have been estimated according to the ESD for PT08.</w:t>
            </w:r>
          </w:p>
          <w:tbl>
            <w:tblPr>
              <w:tblW w:w="6833" w:type="dxa"/>
              <w:jc w:val="center"/>
              <w:tblLayout w:type="fixed"/>
              <w:tblLook w:val="04A0" w:firstRow="1" w:lastRow="0" w:firstColumn="1" w:lastColumn="0" w:noHBand="0" w:noVBand="1"/>
            </w:tblPr>
            <w:tblGrid>
              <w:gridCol w:w="2722"/>
              <w:gridCol w:w="4111"/>
            </w:tblGrid>
            <w:tr w:rsidR="00692E71" w:rsidRPr="001E3185" w14:paraId="5748347B" w14:textId="77777777" w:rsidTr="008E0250">
              <w:trPr>
                <w:trHeight w:val="397"/>
                <w:jc w:val="center"/>
              </w:trPr>
              <w:tc>
                <w:tcPr>
                  <w:tcW w:w="6833" w:type="dxa"/>
                  <w:gridSpan w:val="2"/>
                  <w:vAlign w:val="center"/>
                </w:tcPr>
                <w:p w14:paraId="70250546" w14:textId="77777777" w:rsidR="00692E71" w:rsidRPr="001E3185" w:rsidRDefault="00692E71" w:rsidP="008E0250">
                  <w:pPr>
                    <w:autoSpaceDE w:val="0"/>
                    <w:autoSpaceDN w:val="0"/>
                    <w:jc w:val="center"/>
                    <w:rPr>
                      <w:rFonts w:cs="Arial"/>
                    </w:rPr>
                  </w:pPr>
                  <w:r w:rsidRPr="001E3185">
                    <w:rPr>
                      <w:rFonts w:cs="Arial"/>
                    </w:rPr>
                    <w:t>Storage – Treatment by industrial dipping</w:t>
                  </w:r>
                </w:p>
              </w:tc>
            </w:tr>
            <w:tr w:rsidR="00692E71" w:rsidRPr="001E3185" w14:paraId="3E8D47F8" w14:textId="77777777" w:rsidTr="008E0250">
              <w:trPr>
                <w:trHeight w:val="397"/>
                <w:jc w:val="center"/>
              </w:trPr>
              <w:tc>
                <w:tcPr>
                  <w:tcW w:w="6833" w:type="dxa"/>
                  <w:gridSpan w:val="2"/>
                  <w:vAlign w:val="center"/>
                </w:tcPr>
                <w:p w14:paraId="08123BD0" w14:textId="77777777" w:rsidR="00692E71" w:rsidRPr="001E3185" w:rsidRDefault="00692E71" w:rsidP="008E0250">
                  <w:pPr>
                    <w:autoSpaceDE w:val="0"/>
                    <w:autoSpaceDN w:val="0"/>
                    <w:rPr>
                      <w:rFonts w:cs="Arial"/>
                    </w:rPr>
                  </w:pPr>
                  <w:r w:rsidRPr="001E3185">
                    <w:rPr>
                      <w:rFonts w:cs="Arial"/>
                      <w:iCs/>
                    </w:rPr>
                    <w:t xml:space="preserve">PEC local </w:t>
                  </w:r>
                  <w:r w:rsidRPr="001E3185">
                    <w:rPr>
                      <w:rFonts w:cs="Arial"/>
                      <w:iCs/>
                      <w:vertAlign w:val="subscript"/>
                    </w:rPr>
                    <w:t xml:space="preserve">surface water,time1 (after adsorption on suspended matter) </w:t>
                  </w:r>
                  <w:r w:rsidRPr="001E3185">
                    <w:rPr>
                      <w:rFonts w:cs="Arial"/>
                    </w:rPr>
                    <w:t>[µg.L</w:t>
                  </w:r>
                  <w:r w:rsidRPr="001E3185">
                    <w:rPr>
                      <w:rFonts w:cs="Arial"/>
                      <w:vertAlign w:val="superscript"/>
                    </w:rPr>
                    <w:t>-1</w:t>
                  </w:r>
                  <w:r w:rsidRPr="001E3185">
                    <w:rPr>
                      <w:rFonts w:cs="Arial"/>
                    </w:rPr>
                    <w:t>]</w:t>
                  </w:r>
                </w:p>
              </w:tc>
            </w:tr>
            <w:tr w:rsidR="00692E71" w:rsidRPr="001E3185" w14:paraId="3300315F" w14:textId="77777777" w:rsidTr="008E0250">
              <w:trPr>
                <w:trHeight w:val="397"/>
                <w:jc w:val="center"/>
              </w:trPr>
              <w:tc>
                <w:tcPr>
                  <w:tcW w:w="2722" w:type="dxa"/>
                  <w:vAlign w:val="center"/>
                </w:tcPr>
                <w:p w14:paraId="4D0ED1C8" w14:textId="77777777" w:rsidR="00692E71" w:rsidRPr="001E3185" w:rsidRDefault="00692E71" w:rsidP="008E0250">
                  <w:pPr>
                    <w:autoSpaceDE w:val="0"/>
                    <w:autoSpaceDN w:val="0"/>
                    <w:ind w:left="596"/>
                    <w:rPr>
                      <w:rFonts w:cs="Arial"/>
                    </w:rPr>
                  </w:pPr>
                  <w:r w:rsidRPr="001E3185">
                    <w:rPr>
                      <w:rFonts w:cs="Arial"/>
                    </w:rPr>
                    <w:t>Tebuconazole</w:t>
                  </w:r>
                </w:p>
              </w:tc>
              <w:tc>
                <w:tcPr>
                  <w:tcW w:w="4111" w:type="dxa"/>
                  <w:vAlign w:val="center"/>
                </w:tcPr>
                <w:p w14:paraId="4C92B395" w14:textId="77777777" w:rsidR="00692E71" w:rsidRPr="001E3185" w:rsidRDefault="00692E71" w:rsidP="008E0250">
                  <w:pPr>
                    <w:autoSpaceDE w:val="0"/>
                    <w:autoSpaceDN w:val="0"/>
                    <w:jc w:val="center"/>
                    <w:rPr>
                      <w:rFonts w:cs="Arial"/>
                    </w:rPr>
                  </w:pPr>
                  <w:r w:rsidRPr="001E3185">
                    <w:rPr>
                      <w:rFonts w:cs="Arial"/>
                    </w:rPr>
                    <w:t>4.34E-02</w:t>
                  </w:r>
                </w:p>
              </w:tc>
            </w:tr>
            <w:tr w:rsidR="00692E71" w:rsidRPr="001E3185" w14:paraId="28A8FAB6" w14:textId="77777777" w:rsidTr="008E0250">
              <w:trPr>
                <w:trHeight w:val="397"/>
                <w:jc w:val="center"/>
              </w:trPr>
              <w:tc>
                <w:tcPr>
                  <w:tcW w:w="2722" w:type="dxa"/>
                  <w:vAlign w:val="center"/>
                </w:tcPr>
                <w:p w14:paraId="2972E5FA" w14:textId="77777777" w:rsidR="00692E71" w:rsidRPr="001E3185" w:rsidRDefault="00692E71" w:rsidP="008E0250">
                  <w:pPr>
                    <w:autoSpaceDE w:val="0"/>
                    <w:autoSpaceDN w:val="0"/>
                    <w:ind w:left="596"/>
                    <w:rPr>
                      <w:rFonts w:cs="Arial"/>
                    </w:rPr>
                  </w:pPr>
                  <w:r w:rsidRPr="001E3185">
                    <w:rPr>
                      <w:rFonts w:cs="Arial"/>
                    </w:rPr>
                    <w:t>Propiconazole</w:t>
                  </w:r>
                </w:p>
              </w:tc>
              <w:tc>
                <w:tcPr>
                  <w:tcW w:w="4111" w:type="dxa"/>
                  <w:vAlign w:val="center"/>
                </w:tcPr>
                <w:p w14:paraId="37ED60D7" w14:textId="77777777" w:rsidR="00692E71" w:rsidRPr="001E3185" w:rsidRDefault="00692E71" w:rsidP="008E0250">
                  <w:pPr>
                    <w:autoSpaceDE w:val="0"/>
                    <w:autoSpaceDN w:val="0"/>
                    <w:jc w:val="center"/>
                    <w:rPr>
                      <w:rFonts w:cs="Arial"/>
                    </w:rPr>
                  </w:pPr>
                  <w:r w:rsidRPr="001E3185">
                    <w:rPr>
                      <w:rFonts w:cs="Arial"/>
                    </w:rPr>
                    <w:t>9.87E-02</w:t>
                  </w:r>
                </w:p>
              </w:tc>
            </w:tr>
            <w:tr w:rsidR="00692E71" w:rsidRPr="001E3185" w14:paraId="62D5AD33" w14:textId="77777777" w:rsidTr="008E0250">
              <w:trPr>
                <w:trHeight w:val="397"/>
                <w:jc w:val="center"/>
              </w:trPr>
              <w:tc>
                <w:tcPr>
                  <w:tcW w:w="2722" w:type="dxa"/>
                  <w:vAlign w:val="center"/>
                </w:tcPr>
                <w:p w14:paraId="75A6F374" w14:textId="77777777" w:rsidR="00692E71" w:rsidRPr="001E3185" w:rsidRDefault="00692E71" w:rsidP="008E0250">
                  <w:pPr>
                    <w:autoSpaceDE w:val="0"/>
                    <w:autoSpaceDN w:val="0"/>
                    <w:ind w:left="596"/>
                    <w:rPr>
                      <w:rFonts w:cs="Arial"/>
                    </w:rPr>
                  </w:pPr>
                  <w:r w:rsidRPr="001E3185">
                    <w:rPr>
                      <w:rFonts w:cs="Arial"/>
                    </w:rPr>
                    <w:t>Cypermethrin</w:t>
                  </w:r>
                </w:p>
              </w:tc>
              <w:tc>
                <w:tcPr>
                  <w:tcW w:w="4111" w:type="dxa"/>
                  <w:vAlign w:val="center"/>
                </w:tcPr>
                <w:p w14:paraId="20D69317" w14:textId="77777777" w:rsidR="00692E71" w:rsidRPr="001E3185" w:rsidRDefault="00692E71" w:rsidP="008E0250">
                  <w:pPr>
                    <w:autoSpaceDE w:val="0"/>
                    <w:autoSpaceDN w:val="0"/>
                    <w:jc w:val="center"/>
                    <w:rPr>
                      <w:rFonts w:cs="Arial"/>
                    </w:rPr>
                  </w:pPr>
                  <w:r w:rsidRPr="001E3185">
                    <w:rPr>
                      <w:rFonts w:cs="Arial"/>
                    </w:rPr>
                    <w:t>2.24E-04</w:t>
                  </w:r>
                </w:p>
              </w:tc>
            </w:tr>
            <w:tr w:rsidR="00692E71" w:rsidRPr="001E3185" w14:paraId="3AB5BB5B" w14:textId="77777777" w:rsidTr="008E0250">
              <w:trPr>
                <w:trHeight w:val="397"/>
                <w:jc w:val="center"/>
              </w:trPr>
              <w:tc>
                <w:tcPr>
                  <w:tcW w:w="2722" w:type="dxa"/>
                  <w:vAlign w:val="center"/>
                </w:tcPr>
                <w:p w14:paraId="3A62612F" w14:textId="77777777" w:rsidR="00692E71" w:rsidRPr="001E3185" w:rsidRDefault="00692E71" w:rsidP="008E0250">
                  <w:pPr>
                    <w:autoSpaceDE w:val="0"/>
                    <w:autoSpaceDN w:val="0"/>
                    <w:ind w:left="596"/>
                    <w:rPr>
                      <w:rFonts w:cs="Arial"/>
                    </w:rPr>
                  </w:pPr>
                  <w:r w:rsidRPr="001E3185">
                    <w:rPr>
                      <w:rFonts w:cs="Arial"/>
                    </w:rPr>
                    <w:t>IPBC</w:t>
                  </w:r>
                </w:p>
              </w:tc>
              <w:tc>
                <w:tcPr>
                  <w:tcW w:w="4111" w:type="dxa"/>
                  <w:vAlign w:val="center"/>
                </w:tcPr>
                <w:p w14:paraId="6B3711E0" w14:textId="77777777" w:rsidR="00692E71" w:rsidRPr="001E3185" w:rsidRDefault="00692E71" w:rsidP="008E0250">
                  <w:pPr>
                    <w:autoSpaceDE w:val="0"/>
                    <w:autoSpaceDN w:val="0"/>
                    <w:jc w:val="center"/>
                    <w:rPr>
                      <w:rFonts w:cs="Arial"/>
                    </w:rPr>
                  </w:pPr>
                  <w:r w:rsidRPr="001E3185">
                    <w:rPr>
                      <w:rFonts w:cs="Arial"/>
                    </w:rPr>
                    <w:t>2.49E-02</w:t>
                  </w:r>
                </w:p>
              </w:tc>
            </w:tr>
            <w:tr w:rsidR="00692E71" w:rsidRPr="001E3185" w14:paraId="6EC81BC5" w14:textId="77777777" w:rsidTr="008E0250">
              <w:trPr>
                <w:trHeight w:val="397"/>
                <w:jc w:val="center"/>
              </w:trPr>
              <w:tc>
                <w:tcPr>
                  <w:tcW w:w="2722" w:type="dxa"/>
                  <w:vAlign w:val="center"/>
                </w:tcPr>
                <w:p w14:paraId="68E16AFF" w14:textId="77777777" w:rsidR="00692E71" w:rsidRPr="001E3185" w:rsidRDefault="00692E71" w:rsidP="008E0250">
                  <w:pPr>
                    <w:autoSpaceDE w:val="0"/>
                    <w:autoSpaceDN w:val="0"/>
                    <w:ind w:left="596"/>
                    <w:rPr>
                      <w:rFonts w:cs="Arial"/>
                    </w:rPr>
                  </w:pPr>
                  <w:r w:rsidRPr="001E3185">
                    <w:rPr>
                      <w:rFonts w:cs="Arial"/>
                    </w:rPr>
                    <w:t>PBC</w:t>
                  </w:r>
                </w:p>
              </w:tc>
              <w:tc>
                <w:tcPr>
                  <w:tcW w:w="4111" w:type="dxa"/>
                  <w:vAlign w:val="center"/>
                </w:tcPr>
                <w:p w14:paraId="2AD2A9C8" w14:textId="77777777" w:rsidR="00692E71" w:rsidRPr="001E3185" w:rsidRDefault="00692E71" w:rsidP="008E0250">
                  <w:pPr>
                    <w:autoSpaceDE w:val="0"/>
                    <w:autoSpaceDN w:val="0"/>
                    <w:jc w:val="center"/>
                    <w:rPr>
                      <w:rFonts w:cs="Arial"/>
                    </w:rPr>
                  </w:pPr>
                  <w:r w:rsidRPr="001E3185">
                    <w:rPr>
                      <w:rFonts w:cs="Arial"/>
                    </w:rPr>
                    <w:t>1.38E-02</w:t>
                  </w:r>
                </w:p>
              </w:tc>
            </w:tr>
            <w:tr w:rsidR="00692E71" w:rsidRPr="001E3185" w14:paraId="22FCD70C" w14:textId="77777777" w:rsidTr="008E0250">
              <w:trPr>
                <w:trHeight w:val="397"/>
                <w:jc w:val="center"/>
              </w:trPr>
              <w:tc>
                <w:tcPr>
                  <w:tcW w:w="6833" w:type="dxa"/>
                  <w:gridSpan w:val="2"/>
                  <w:vAlign w:val="center"/>
                </w:tcPr>
                <w:p w14:paraId="0DDE44AA" w14:textId="77777777" w:rsidR="00692E71" w:rsidRPr="001E3185" w:rsidRDefault="00692E71" w:rsidP="008E0250">
                  <w:pPr>
                    <w:autoSpaceDE w:val="0"/>
                    <w:autoSpaceDN w:val="0"/>
                    <w:rPr>
                      <w:rFonts w:cs="Arial"/>
                    </w:rPr>
                  </w:pPr>
                  <w:r w:rsidRPr="001E3185">
                    <w:rPr>
                      <w:rFonts w:cs="Arial"/>
                      <w:iCs/>
                    </w:rPr>
                    <w:t xml:space="preserve">PEC local </w:t>
                  </w:r>
                  <w:r w:rsidRPr="001E3185">
                    <w:rPr>
                      <w:rFonts w:cs="Arial"/>
                      <w:iCs/>
                      <w:vertAlign w:val="subscript"/>
                    </w:rPr>
                    <w:t xml:space="preserve">sediment,time1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p>
              </w:tc>
            </w:tr>
            <w:tr w:rsidR="00692E71" w:rsidRPr="001E3185" w14:paraId="48FDE632" w14:textId="77777777" w:rsidTr="008E0250">
              <w:trPr>
                <w:trHeight w:val="397"/>
                <w:jc w:val="center"/>
              </w:trPr>
              <w:tc>
                <w:tcPr>
                  <w:tcW w:w="2722" w:type="dxa"/>
                  <w:vAlign w:val="center"/>
                </w:tcPr>
                <w:p w14:paraId="58D29E0E" w14:textId="77777777" w:rsidR="00692E71" w:rsidRPr="001E3185" w:rsidRDefault="00692E71" w:rsidP="008E0250">
                  <w:pPr>
                    <w:autoSpaceDE w:val="0"/>
                    <w:autoSpaceDN w:val="0"/>
                    <w:ind w:left="596"/>
                    <w:rPr>
                      <w:rFonts w:cs="Arial"/>
                    </w:rPr>
                  </w:pPr>
                  <w:r w:rsidRPr="001E3185">
                    <w:rPr>
                      <w:rFonts w:cs="Arial"/>
                    </w:rPr>
                    <w:t>Tebuconazole</w:t>
                  </w:r>
                </w:p>
              </w:tc>
              <w:tc>
                <w:tcPr>
                  <w:tcW w:w="4111" w:type="dxa"/>
                  <w:vAlign w:val="center"/>
                </w:tcPr>
                <w:p w14:paraId="23066FDB" w14:textId="77777777" w:rsidR="00692E71" w:rsidRPr="001E3185" w:rsidRDefault="00692E71" w:rsidP="008E0250">
                  <w:pPr>
                    <w:autoSpaceDE w:val="0"/>
                    <w:autoSpaceDN w:val="0"/>
                    <w:jc w:val="center"/>
                    <w:rPr>
                      <w:rFonts w:cs="Arial"/>
                    </w:rPr>
                  </w:pPr>
                  <w:r w:rsidRPr="001E3185">
                    <w:rPr>
                      <w:rFonts w:cs="Arial"/>
                    </w:rPr>
                    <w:t>9.71E-04</w:t>
                  </w:r>
                </w:p>
              </w:tc>
            </w:tr>
            <w:tr w:rsidR="00692E71" w:rsidRPr="001E3185" w14:paraId="7EABB218" w14:textId="77777777" w:rsidTr="008E0250">
              <w:trPr>
                <w:trHeight w:val="397"/>
                <w:jc w:val="center"/>
              </w:trPr>
              <w:tc>
                <w:tcPr>
                  <w:tcW w:w="2722" w:type="dxa"/>
                  <w:vAlign w:val="center"/>
                </w:tcPr>
                <w:p w14:paraId="4F74EA80" w14:textId="77777777" w:rsidR="00692E71" w:rsidRPr="001E3185" w:rsidRDefault="00692E71" w:rsidP="008E0250">
                  <w:pPr>
                    <w:autoSpaceDE w:val="0"/>
                    <w:autoSpaceDN w:val="0"/>
                    <w:ind w:left="596"/>
                    <w:rPr>
                      <w:rFonts w:cs="Arial"/>
                    </w:rPr>
                  </w:pPr>
                  <w:r w:rsidRPr="001E3185">
                    <w:rPr>
                      <w:rFonts w:cs="Arial"/>
                    </w:rPr>
                    <w:t>Propiconazole</w:t>
                  </w:r>
                </w:p>
              </w:tc>
              <w:tc>
                <w:tcPr>
                  <w:tcW w:w="4111" w:type="dxa"/>
                  <w:vAlign w:val="center"/>
                </w:tcPr>
                <w:p w14:paraId="5354FE46" w14:textId="77777777" w:rsidR="00692E71" w:rsidRPr="001E3185" w:rsidRDefault="00692E71" w:rsidP="008E0250">
                  <w:pPr>
                    <w:autoSpaceDE w:val="0"/>
                    <w:autoSpaceDN w:val="0"/>
                    <w:jc w:val="center"/>
                    <w:rPr>
                      <w:rFonts w:cs="Arial"/>
                    </w:rPr>
                  </w:pPr>
                  <w:r w:rsidRPr="001E3185">
                    <w:rPr>
                      <w:rFonts w:cs="Arial"/>
                    </w:rPr>
                    <w:t>2.10E-03</w:t>
                  </w:r>
                </w:p>
              </w:tc>
            </w:tr>
            <w:tr w:rsidR="00692E71" w:rsidRPr="001E3185" w14:paraId="53234E51" w14:textId="77777777" w:rsidTr="008E0250">
              <w:trPr>
                <w:trHeight w:val="397"/>
                <w:jc w:val="center"/>
              </w:trPr>
              <w:tc>
                <w:tcPr>
                  <w:tcW w:w="2722" w:type="dxa"/>
                  <w:vAlign w:val="center"/>
                </w:tcPr>
                <w:p w14:paraId="1BDC4DCA" w14:textId="77777777" w:rsidR="00692E71" w:rsidRPr="001E3185" w:rsidRDefault="00692E71" w:rsidP="008E0250">
                  <w:pPr>
                    <w:autoSpaceDE w:val="0"/>
                    <w:autoSpaceDN w:val="0"/>
                    <w:ind w:left="596"/>
                    <w:rPr>
                      <w:rFonts w:cs="Arial"/>
                    </w:rPr>
                  </w:pPr>
                  <w:r w:rsidRPr="001E3185">
                    <w:rPr>
                      <w:rFonts w:cs="Arial"/>
                    </w:rPr>
                    <w:t>Cypermethrin</w:t>
                  </w:r>
                </w:p>
              </w:tc>
              <w:tc>
                <w:tcPr>
                  <w:tcW w:w="4111" w:type="dxa"/>
                  <w:vAlign w:val="center"/>
                </w:tcPr>
                <w:p w14:paraId="6DA0F6A7" w14:textId="77777777" w:rsidR="00692E71" w:rsidRPr="001E3185" w:rsidRDefault="00692E71" w:rsidP="008E0250">
                  <w:pPr>
                    <w:autoSpaceDE w:val="0"/>
                    <w:autoSpaceDN w:val="0"/>
                    <w:jc w:val="center"/>
                    <w:rPr>
                      <w:rFonts w:cs="Arial"/>
                    </w:rPr>
                  </w:pPr>
                  <w:r w:rsidRPr="001E3185">
                    <w:rPr>
                      <w:rFonts w:cs="Arial"/>
                    </w:rPr>
                    <w:t>2.80E-03</w:t>
                  </w:r>
                </w:p>
              </w:tc>
            </w:tr>
            <w:tr w:rsidR="00692E71" w:rsidRPr="001E3185" w14:paraId="304BF2B5" w14:textId="77777777" w:rsidTr="008E0250">
              <w:trPr>
                <w:trHeight w:val="397"/>
                <w:jc w:val="center"/>
              </w:trPr>
              <w:tc>
                <w:tcPr>
                  <w:tcW w:w="2722" w:type="dxa"/>
                  <w:vAlign w:val="center"/>
                </w:tcPr>
                <w:p w14:paraId="0C8057C4" w14:textId="77777777" w:rsidR="00692E71" w:rsidRPr="001E3185" w:rsidRDefault="00692E71" w:rsidP="008E0250">
                  <w:pPr>
                    <w:autoSpaceDE w:val="0"/>
                    <w:autoSpaceDN w:val="0"/>
                    <w:ind w:left="596"/>
                    <w:rPr>
                      <w:rFonts w:cs="Arial"/>
                    </w:rPr>
                  </w:pPr>
                  <w:r w:rsidRPr="001E3185">
                    <w:rPr>
                      <w:rFonts w:cs="Arial"/>
                    </w:rPr>
                    <w:t>IPBC</w:t>
                  </w:r>
                </w:p>
              </w:tc>
              <w:tc>
                <w:tcPr>
                  <w:tcW w:w="4111" w:type="dxa"/>
                  <w:vAlign w:val="center"/>
                </w:tcPr>
                <w:p w14:paraId="32B3A19E" w14:textId="77777777" w:rsidR="00692E71" w:rsidRPr="001E3185" w:rsidRDefault="00692E71" w:rsidP="008E0250">
                  <w:pPr>
                    <w:autoSpaceDE w:val="0"/>
                    <w:autoSpaceDN w:val="0"/>
                    <w:jc w:val="center"/>
                    <w:rPr>
                      <w:rFonts w:cs="Arial"/>
                    </w:rPr>
                  </w:pPr>
                  <w:r w:rsidRPr="001E3185">
                    <w:rPr>
                      <w:rFonts w:cs="Arial"/>
                    </w:rPr>
                    <w:t>9.24E-05</w:t>
                  </w:r>
                </w:p>
              </w:tc>
            </w:tr>
            <w:tr w:rsidR="00692E71" w:rsidRPr="001E3185" w14:paraId="017EA96C" w14:textId="77777777" w:rsidTr="008E0250">
              <w:trPr>
                <w:trHeight w:val="397"/>
                <w:jc w:val="center"/>
              </w:trPr>
              <w:tc>
                <w:tcPr>
                  <w:tcW w:w="2722" w:type="dxa"/>
                  <w:vAlign w:val="center"/>
                </w:tcPr>
                <w:p w14:paraId="6CAAC818" w14:textId="77777777" w:rsidR="00692E71" w:rsidRPr="001E3185" w:rsidRDefault="00692E71" w:rsidP="008E0250">
                  <w:pPr>
                    <w:autoSpaceDE w:val="0"/>
                    <w:autoSpaceDN w:val="0"/>
                    <w:ind w:left="596"/>
                    <w:rPr>
                      <w:rFonts w:cs="Arial"/>
                    </w:rPr>
                  </w:pPr>
                  <w:r w:rsidRPr="001E3185">
                    <w:rPr>
                      <w:rFonts w:cs="Arial"/>
                    </w:rPr>
                    <w:t>PBC</w:t>
                  </w:r>
                </w:p>
              </w:tc>
              <w:tc>
                <w:tcPr>
                  <w:tcW w:w="4111" w:type="dxa"/>
                  <w:vAlign w:val="center"/>
                </w:tcPr>
                <w:p w14:paraId="6ECB1F5A" w14:textId="77777777" w:rsidR="00692E71" w:rsidRPr="001E3185" w:rsidRDefault="00692E71" w:rsidP="008E0250">
                  <w:pPr>
                    <w:autoSpaceDE w:val="0"/>
                    <w:autoSpaceDN w:val="0"/>
                    <w:jc w:val="center"/>
                    <w:rPr>
                      <w:rFonts w:cs="Arial"/>
                    </w:rPr>
                  </w:pPr>
                  <w:r w:rsidRPr="001E3185">
                    <w:rPr>
                      <w:rFonts w:cs="Arial"/>
                    </w:rPr>
                    <w:t>7.01E-05</w:t>
                  </w:r>
                </w:p>
              </w:tc>
            </w:tr>
          </w:tbl>
          <w:p w14:paraId="73365319" w14:textId="77777777" w:rsidR="00692E71" w:rsidRPr="001E3185" w:rsidRDefault="00692E71" w:rsidP="008E0250">
            <w:pPr>
              <w:autoSpaceDE w:val="0"/>
              <w:autoSpaceDN w:val="0"/>
              <w:ind w:right="142"/>
              <w:rPr>
                <w:rFonts w:cs="Arial"/>
                <w:b/>
              </w:rPr>
            </w:pPr>
          </w:p>
          <w:p w14:paraId="061ECF23" w14:textId="77777777" w:rsidR="00692E71" w:rsidRPr="001E3185" w:rsidRDefault="00692E71" w:rsidP="00F32B7F">
            <w:pPr>
              <w:pStyle w:val="Lgende"/>
              <w:numPr>
                <w:ilvl w:val="1"/>
                <w:numId w:val="19"/>
              </w:numPr>
              <w:suppressAutoHyphens w:val="0"/>
              <w:spacing w:after="200"/>
              <w:rPr>
                <w:rFonts w:ascii="Verdana" w:hAnsi="Verdana"/>
              </w:rPr>
            </w:pPr>
            <w:r w:rsidRPr="001E3185">
              <w:rPr>
                <w:rFonts w:ascii="Verdana" w:hAnsi="Verdana"/>
              </w:rPr>
              <w:t>Direct emission to the aquatic compartment - Bridge over the pond scenario</w:t>
            </w:r>
          </w:p>
          <w:p w14:paraId="66FD23B1" w14:textId="77777777" w:rsidR="00692E71" w:rsidRPr="001E3185" w:rsidRDefault="00692E71" w:rsidP="008E0250">
            <w:pPr>
              <w:autoSpaceDE w:val="0"/>
              <w:autoSpaceDN w:val="0"/>
              <w:spacing w:after="60"/>
              <w:ind w:right="142"/>
              <w:rPr>
                <w:rFonts w:cs="Arial"/>
              </w:rPr>
            </w:pPr>
            <w:r w:rsidRPr="001E3185">
              <w:rPr>
                <w:rFonts w:cs="Arial"/>
              </w:rPr>
              <w:t>The emissions in local water were calculated for the outdoor application phase, and in for the service life of treated wood phase.</w:t>
            </w:r>
          </w:p>
          <w:p w14:paraId="184F1D10" w14:textId="1A54198B" w:rsidR="00692E71" w:rsidRPr="001E3185" w:rsidRDefault="00692E71" w:rsidP="008E0250">
            <w:pPr>
              <w:autoSpaceDE w:val="0"/>
              <w:autoSpaceDN w:val="0"/>
              <w:spacing w:after="60"/>
              <w:ind w:right="142"/>
              <w:rPr>
                <w:rFonts w:cs="Arial"/>
              </w:rPr>
            </w:pPr>
            <w:r w:rsidRPr="001E3185">
              <w:rPr>
                <w:rFonts w:cs="Arial"/>
              </w:rPr>
              <w:t>The initial concentrations in water were defined on the day of application for the application phase (PT08-ESD eq. 4.42). For service-life, concentrations were calculated over the assessment periods (</w:t>
            </w:r>
            <w:r w:rsidRPr="001E3185">
              <w:rPr>
                <w:rFonts w:cs="Arial"/>
                <w:i/>
              </w:rPr>
              <w:t>i.e.</w:t>
            </w:r>
            <w:r w:rsidRPr="001E3185">
              <w:rPr>
                <w:rFonts w:cs="Arial"/>
              </w:rPr>
              <w:t xml:space="preserve"> 30 days for TIME1 and 1825 days for the TIME2), with the dissipation half-life from water (DT50</w:t>
            </w:r>
            <w:r w:rsidRPr="001E3185">
              <w:rPr>
                <w:rFonts w:cs="Arial"/>
                <w:vertAlign w:val="subscript"/>
              </w:rPr>
              <w:t>water</w:t>
            </w:r>
            <w:r w:rsidRPr="001E3185">
              <w:rPr>
                <w:rFonts w:cs="Arial"/>
              </w:rPr>
              <w:t xml:space="preserve">) of each active substance in order to take into </w:t>
            </w:r>
            <w:r w:rsidRPr="001E3185">
              <w:rPr>
                <w:rFonts w:cs="Arial"/>
              </w:rPr>
              <w:lastRenderedPageBreak/>
              <w:t xml:space="preserve">account degradation and adsorption processes (c.f. </w:t>
            </w:r>
            <w:r w:rsidRPr="001E3185">
              <w:rPr>
                <w:rFonts w:cs="Arial"/>
              </w:rPr>
              <w:fldChar w:fldCharType="begin"/>
            </w:r>
            <w:r w:rsidRPr="001E3185">
              <w:rPr>
                <w:rFonts w:cs="Arial"/>
              </w:rPr>
              <w:instrText xml:space="preserve"> REF _Ref466556694 \h  \* MERGEFORMAT </w:instrText>
            </w:r>
            <w:r w:rsidRPr="001E3185">
              <w:rPr>
                <w:rFonts w:cs="Arial"/>
              </w:rPr>
            </w:r>
            <w:r w:rsidRPr="001E3185">
              <w:rPr>
                <w:rFonts w:cs="Arial"/>
              </w:rPr>
              <w:fldChar w:fldCharType="separate"/>
            </w:r>
            <w:r w:rsidR="00666966" w:rsidRPr="00666966">
              <w:rPr>
                <w:rFonts w:cs="Arial"/>
              </w:rPr>
              <w:t xml:space="preserve">FR-CA box </w:t>
            </w:r>
            <w:r w:rsidR="00666966" w:rsidRPr="0039605F">
              <w:rPr>
                <w:rFonts w:cs="Arial"/>
              </w:rPr>
              <w:t>2</w:t>
            </w:r>
            <w:r w:rsidRPr="001E3185">
              <w:rPr>
                <w:rFonts w:cs="Arial"/>
              </w:rPr>
              <w:fldChar w:fldCharType="end"/>
            </w:r>
            <w:r w:rsidRPr="001E3185">
              <w:rPr>
                <w:rFonts w:cs="Arial"/>
              </w:rPr>
              <w:t>) using equations 3.16 and 3.17 for static water bodies. Application and service-life were calculated separately.</w:t>
            </w:r>
          </w:p>
          <w:p w14:paraId="2E1AA789" w14:textId="77777777" w:rsidR="00692E71" w:rsidRPr="001E3185" w:rsidRDefault="00692E71" w:rsidP="008E0250">
            <w:pPr>
              <w:autoSpaceDE w:val="0"/>
              <w:autoSpaceDN w:val="0"/>
              <w:ind w:right="142"/>
              <w:rPr>
                <w:rFonts w:cs="Arial"/>
              </w:rPr>
            </w:pPr>
            <w:r w:rsidRPr="001E3185">
              <w:rPr>
                <w:rFonts w:cs="Arial"/>
              </w:rPr>
              <w:t>The concentrations in sediment were calculated using the equation 50 of the ECHA GUIDANCE vol.IV</w:t>
            </w:r>
            <w:proofErr w:type="gramStart"/>
            <w:r w:rsidRPr="001E3185">
              <w:rPr>
                <w:rFonts w:cs="Arial"/>
              </w:rPr>
              <w:t>,Part</w:t>
            </w:r>
            <w:proofErr w:type="gramEnd"/>
            <w:r w:rsidRPr="001E3185">
              <w:rPr>
                <w:rFonts w:cs="Arial"/>
              </w:rPr>
              <w:t xml:space="preserve"> B (2015). For service-life, concentrations in local water were calculated using the degradation half-life of each active substances (eq. 3.16 and 3.17) </w:t>
            </w:r>
            <w:r w:rsidRPr="001E3185">
              <w:rPr>
                <w:rFonts w:cs="Arial"/>
                <w:u w:val="single"/>
              </w:rPr>
              <w:t>in the whole water-sediment system (DT50</w:t>
            </w:r>
            <w:r w:rsidRPr="001E3185">
              <w:rPr>
                <w:rFonts w:cs="Arial"/>
                <w:u w:val="single"/>
                <w:vertAlign w:val="subscript"/>
              </w:rPr>
              <w:t>whole system</w:t>
            </w:r>
            <w:r w:rsidRPr="001E3185">
              <w:rPr>
                <w:rFonts w:cs="Arial"/>
                <w:u w:val="single"/>
              </w:rPr>
              <w:t>)</w:t>
            </w:r>
            <w:r w:rsidRPr="001E3185">
              <w:rPr>
                <w:rFonts w:cs="Arial"/>
              </w:rPr>
              <w:t>, and the partition coefficient organic carbon-water (K</w:t>
            </w:r>
            <w:r w:rsidRPr="001E3185">
              <w:rPr>
                <w:rFonts w:cs="Arial"/>
                <w:vertAlign w:val="subscript"/>
              </w:rPr>
              <w:t>oc</w:t>
            </w:r>
            <w:r w:rsidRPr="001E3185">
              <w:rPr>
                <w:rFonts w:cs="Arial"/>
              </w:rPr>
              <w:t>).</w:t>
            </w:r>
          </w:p>
          <w:p w14:paraId="4F99F980" w14:textId="77777777" w:rsidR="00692E71" w:rsidRPr="001E3185" w:rsidRDefault="00692E71" w:rsidP="008E0250">
            <w:pPr>
              <w:autoSpaceDE w:val="0"/>
              <w:autoSpaceDN w:val="0"/>
              <w:ind w:right="142"/>
              <w:rPr>
                <w:rFonts w:cs="Arial"/>
              </w:rPr>
            </w:pPr>
          </w:p>
          <w:p w14:paraId="61058F52"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rPr>
              <w:t>Direct emissions during outdoor – Application Phase</w:t>
            </w:r>
          </w:p>
          <w:tbl>
            <w:tblPr>
              <w:tblW w:w="4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534"/>
              <w:gridCol w:w="3110"/>
            </w:tblGrid>
            <w:tr w:rsidR="00692E71" w:rsidRPr="001E3185" w14:paraId="299976F1" w14:textId="77777777" w:rsidTr="008E0250">
              <w:trPr>
                <w:trHeight w:val="340"/>
                <w:jc w:val="center"/>
              </w:trPr>
              <w:tc>
                <w:tcPr>
                  <w:tcW w:w="5000" w:type="pct"/>
                  <w:gridSpan w:val="3"/>
                  <w:shd w:val="clear" w:color="auto" w:fill="auto"/>
                  <w:vAlign w:val="center"/>
                </w:tcPr>
                <w:p w14:paraId="2D58253E" w14:textId="77777777" w:rsidR="00692E71" w:rsidRPr="001E3185" w:rsidRDefault="00692E71" w:rsidP="008E0250">
                  <w:pPr>
                    <w:autoSpaceDE w:val="0"/>
                    <w:autoSpaceDN w:val="0"/>
                    <w:ind w:right="142"/>
                    <w:jc w:val="center"/>
                    <w:rPr>
                      <w:rFonts w:cs="Arial"/>
                      <w:b/>
                    </w:rPr>
                  </w:pPr>
                  <w:r w:rsidRPr="001E3185">
                    <w:rPr>
                      <w:rFonts w:cs="Arial"/>
                      <w:b/>
                    </w:rPr>
                    <w:t>Application - Bridge over the pond - Treatment by brushing</w:t>
                  </w:r>
                </w:p>
              </w:tc>
            </w:tr>
            <w:tr w:rsidR="00692E71" w:rsidRPr="001E3185" w14:paraId="70DCFAAE" w14:textId="77777777" w:rsidTr="008E0250">
              <w:trPr>
                <w:trHeight w:val="340"/>
                <w:jc w:val="center"/>
              </w:trPr>
              <w:tc>
                <w:tcPr>
                  <w:tcW w:w="1238" w:type="pct"/>
                  <w:shd w:val="clear" w:color="auto" w:fill="auto"/>
                </w:tcPr>
                <w:p w14:paraId="7F74D6F6" w14:textId="77777777" w:rsidR="00692E71" w:rsidRPr="001E3185" w:rsidRDefault="00692E71" w:rsidP="008E0250">
                  <w:pPr>
                    <w:autoSpaceDE w:val="0"/>
                    <w:autoSpaceDN w:val="0"/>
                    <w:ind w:right="142"/>
                    <w:rPr>
                      <w:rFonts w:cs="Arial"/>
                    </w:rPr>
                  </w:pPr>
                </w:p>
              </w:tc>
              <w:tc>
                <w:tcPr>
                  <w:tcW w:w="1689" w:type="pct"/>
                  <w:shd w:val="clear" w:color="auto" w:fill="auto"/>
                  <w:vAlign w:val="center"/>
                </w:tcPr>
                <w:p w14:paraId="40678C49" w14:textId="77777777" w:rsidR="00692E71" w:rsidRPr="001E3185" w:rsidRDefault="00692E71" w:rsidP="008E0250">
                  <w:pPr>
                    <w:autoSpaceDE w:val="0"/>
                    <w:autoSpaceDN w:val="0"/>
                    <w:ind w:right="142"/>
                    <w:jc w:val="center"/>
                    <w:rPr>
                      <w:rFonts w:cs="Arial"/>
                    </w:rPr>
                  </w:pPr>
                  <w:r w:rsidRPr="001E3185">
                    <w:rPr>
                      <w:rFonts w:cs="Arial"/>
                    </w:rPr>
                    <w:t>Professional</w:t>
                  </w:r>
                </w:p>
              </w:tc>
              <w:tc>
                <w:tcPr>
                  <w:tcW w:w="2073" w:type="pct"/>
                  <w:shd w:val="clear" w:color="auto" w:fill="auto"/>
                  <w:vAlign w:val="center"/>
                </w:tcPr>
                <w:p w14:paraId="5F7D9C2B" w14:textId="77777777" w:rsidR="00692E71" w:rsidRPr="001E3185" w:rsidRDefault="00692E71" w:rsidP="008E0250">
                  <w:pPr>
                    <w:autoSpaceDE w:val="0"/>
                    <w:autoSpaceDN w:val="0"/>
                    <w:ind w:right="142"/>
                    <w:jc w:val="center"/>
                    <w:rPr>
                      <w:rFonts w:cs="Arial"/>
                    </w:rPr>
                  </w:pPr>
                  <w:r w:rsidRPr="001E3185">
                    <w:rPr>
                      <w:rFonts w:cs="Arial"/>
                    </w:rPr>
                    <w:t>Non-professional</w:t>
                  </w:r>
                </w:p>
              </w:tc>
            </w:tr>
            <w:tr w:rsidR="00692E71" w:rsidRPr="001E3185" w14:paraId="0AE2BFE6" w14:textId="77777777" w:rsidTr="008E0250">
              <w:trPr>
                <w:trHeight w:val="340"/>
                <w:jc w:val="center"/>
              </w:trPr>
              <w:tc>
                <w:tcPr>
                  <w:tcW w:w="5000" w:type="pct"/>
                  <w:gridSpan w:val="3"/>
                  <w:shd w:val="clear" w:color="auto" w:fill="auto"/>
                  <w:vAlign w:val="center"/>
                </w:tcPr>
                <w:p w14:paraId="6889D5FA" w14:textId="77777777" w:rsidR="00692E71" w:rsidRPr="001E3185" w:rsidRDefault="00692E71" w:rsidP="008E0250">
                  <w:pPr>
                    <w:autoSpaceDE w:val="0"/>
                    <w:autoSpaceDN w:val="0"/>
                    <w:ind w:right="142"/>
                    <w:rPr>
                      <w:rFonts w:cs="Arial"/>
                    </w:rPr>
                  </w:pPr>
                  <w:r w:rsidRPr="001E3185">
                    <w:rPr>
                      <w:rFonts w:cs="Arial"/>
                      <w:b/>
                      <w:iCs/>
                    </w:rPr>
                    <w:t>PEC local surface water</w:t>
                  </w:r>
                  <w:r w:rsidRPr="001E3185">
                    <w:rPr>
                      <w:rFonts w:cs="Arial"/>
                      <w:b/>
                    </w:rPr>
                    <w:t>, initial concentration after application</w:t>
                  </w:r>
                  <w:r w:rsidRPr="001E3185">
                    <w:rPr>
                      <w:rFonts w:cs="Arial"/>
                    </w:rPr>
                    <w:t xml:space="preserve"> [µg.L</w:t>
                  </w:r>
                  <w:r w:rsidRPr="001E3185">
                    <w:rPr>
                      <w:rFonts w:cs="Arial"/>
                      <w:vertAlign w:val="superscript"/>
                    </w:rPr>
                    <w:t>-1</w:t>
                  </w:r>
                  <w:r w:rsidRPr="001E3185">
                    <w:rPr>
                      <w:rFonts w:cs="Arial"/>
                    </w:rPr>
                    <w:t>]</w:t>
                  </w:r>
                </w:p>
              </w:tc>
            </w:tr>
            <w:tr w:rsidR="00692E71" w:rsidRPr="001E3185" w14:paraId="05E230EF" w14:textId="77777777" w:rsidTr="008E0250">
              <w:trPr>
                <w:trHeight w:val="340"/>
                <w:jc w:val="center"/>
              </w:trPr>
              <w:tc>
                <w:tcPr>
                  <w:tcW w:w="1238" w:type="pct"/>
                  <w:shd w:val="clear" w:color="auto" w:fill="auto"/>
                </w:tcPr>
                <w:p w14:paraId="37E8997F" w14:textId="77777777" w:rsidR="00692E71" w:rsidRPr="001E3185" w:rsidRDefault="00692E71" w:rsidP="008E0250">
                  <w:pPr>
                    <w:autoSpaceDE w:val="0"/>
                    <w:autoSpaceDN w:val="0"/>
                    <w:ind w:right="142"/>
                    <w:rPr>
                      <w:rFonts w:cs="Arial"/>
                    </w:rPr>
                  </w:pPr>
                  <w:r w:rsidRPr="001E3185">
                    <w:rPr>
                      <w:rFonts w:cs="Arial"/>
                    </w:rPr>
                    <w:t>Tebuconazole</w:t>
                  </w:r>
                </w:p>
              </w:tc>
              <w:tc>
                <w:tcPr>
                  <w:tcW w:w="1689" w:type="pct"/>
                  <w:shd w:val="clear" w:color="auto" w:fill="auto"/>
                  <w:vAlign w:val="center"/>
                </w:tcPr>
                <w:p w14:paraId="715566CA"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3.00E-02</w:t>
                  </w:r>
                </w:p>
              </w:tc>
              <w:tc>
                <w:tcPr>
                  <w:tcW w:w="2073" w:type="pct"/>
                  <w:shd w:val="clear" w:color="auto" w:fill="auto"/>
                  <w:vAlign w:val="center"/>
                </w:tcPr>
                <w:p w14:paraId="7455426C"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5.00E-02</w:t>
                  </w:r>
                </w:p>
              </w:tc>
            </w:tr>
            <w:tr w:rsidR="00692E71" w:rsidRPr="001E3185" w14:paraId="6CC4A43C" w14:textId="77777777" w:rsidTr="008E0250">
              <w:trPr>
                <w:trHeight w:val="340"/>
                <w:jc w:val="center"/>
              </w:trPr>
              <w:tc>
                <w:tcPr>
                  <w:tcW w:w="1238" w:type="pct"/>
                  <w:shd w:val="clear" w:color="auto" w:fill="auto"/>
                </w:tcPr>
                <w:p w14:paraId="517BF280" w14:textId="77777777" w:rsidR="00692E71" w:rsidRPr="001E3185" w:rsidRDefault="00692E71" w:rsidP="008E0250">
                  <w:pPr>
                    <w:autoSpaceDE w:val="0"/>
                    <w:autoSpaceDN w:val="0"/>
                    <w:ind w:right="142"/>
                    <w:rPr>
                      <w:rFonts w:cs="Arial"/>
                    </w:rPr>
                  </w:pPr>
                  <w:r w:rsidRPr="001E3185">
                    <w:rPr>
                      <w:rFonts w:cs="Arial"/>
                    </w:rPr>
                    <w:t>Propiconazole</w:t>
                  </w:r>
                </w:p>
              </w:tc>
              <w:tc>
                <w:tcPr>
                  <w:tcW w:w="1689" w:type="pct"/>
                  <w:shd w:val="clear" w:color="auto" w:fill="auto"/>
                  <w:vAlign w:val="center"/>
                </w:tcPr>
                <w:p w14:paraId="1B1302C0"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9.60E-02</w:t>
                  </w:r>
                </w:p>
              </w:tc>
              <w:tc>
                <w:tcPr>
                  <w:tcW w:w="2073" w:type="pct"/>
                  <w:shd w:val="clear" w:color="auto" w:fill="auto"/>
                  <w:vAlign w:val="center"/>
                </w:tcPr>
                <w:p w14:paraId="435D48F4"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1.60E-01</w:t>
                  </w:r>
                </w:p>
              </w:tc>
            </w:tr>
            <w:tr w:rsidR="00692E71" w:rsidRPr="001E3185" w14:paraId="29CD2E76" w14:textId="77777777" w:rsidTr="008E0250">
              <w:trPr>
                <w:trHeight w:val="340"/>
                <w:jc w:val="center"/>
              </w:trPr>
              <w:tc>
                <w:tcPr>
                  <w:tcW w:w="1238" w:type="pct"/>
                  <w:shd w:val="clear" w:color="auto" w:fill="auto"/>
                </w:tcPr>
                <w:p w14:paraId="4EDD8BB4" w14:textId="77777777" w:rsidR="00692E71" w:rsidRPr="001E3185" w:rsidRDefault="00692E71" w:rsidP="008E0250">
                  <w:pPr>
                    <w:autoSpaceDE w:val="0"/>
                    <w:autoSpaceDN w:val="0"/>
                    <w:ind w:right="142"/>
                    <w:rPr>
                      <w:rFonts w:cs="Arial"/>
                    </w:rPr>
                  </w:pPr>
                  <w:r w:rsidRPr="001E3185">
                    <w:rPr>
                      <w:rFonts w:cs="Arial"/>
                    </w:rPr>
                    <w:t>Cypermethrin</w:t>
                  </w:r>
                </w:p>
              </w:tc>
              <w:tc>
                <w:tcPr>
                  <w:tcW w:w="1689" w:type="pct"/>
                  <w:shd w:val="clear" w:color="auto" w:fill="auto"/>
                  <w:vAlign w:val="center"/>
                </w:tcPr>
                <w:p w14:paraId="2445669D"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4.80E-02</w:t>
                  </w:r>
                </w:p>
              </w:tc>
              <w:tc>
                <w:tcPr>
                  <w:tcW w:w="2073" w:type="pct"/>
                  <w:shd w:val="clear" w:color="auto" w:fill="auto"/>
                  <w:vAlign w:val="center"/>
                </w:tcPr>
                <w:p w14:paraId="157E4FEF"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8.00E-02</w:t>
                  </w:r>
                </w:p>
              </w:tc>
            </w:tr>
            <w:tr w:rsidR="00692E71" w:rsidRPr="001E3185" w14:paraId="0C1B2A06" w14:textId="77777777" w:rsidTr="008E0250">
              <w:trPr>
                <w:trHeight w:val="340"/>
                <w:jc w:val="center"/>
              </w:trPr>
              <w:tc>
                <w:tcPr>
                  <w:tcW w:w="1238" w:type="pct"/>
                  <w:shd w:val="clear" w:color="auto" w:fill="auto"/>
                </w:tcPr>
                <w:p w14:paraId="3F7C25E8" w14:textId="77777777" w:rsidR="00692E71" w:rsidRPr="001E3185" w:rsidRDefault="00692E71" w:rsidP="008E0250">
                  <w:pPr>
                    <w:autoSpaceDE w:val="0"/>
                    <w:autoSpaceDN w:val="0"/>
                    <w:ind w:right="142"/>
                    <w:rPr>
                      <w:rFonts w:cs="Arial"/>
                    </w:rPr>
                  </w:pPr>
                  <w:r w:rsidRPr="001E3185">
                    <w:rPr>
                      <w:rFonts w:cs="Arial"/>
                      <w:sz w:val="18"/>
                      <w:szCs w:val="18"/>
                    </w:rPr>
                    <w:t>IPBC</w:t>
                  </w:r>
                </w:p>
              </w:tc>
              <w:tc>
                <w:tcPr>
                  <w:tcW w:w="1689" w:type="pct"/>
                  <w:shd w:val="clear" w:color="auto" w:fill="auto"/>
                  <w:vAlign w:val="center"/>
                </w:tcPr>
                <w:p w14:paraId="18C7023C"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3.00E-02</w:t>
                  </w:r>
                </w:p>
              </w:tc>
              <w:tc>
                <w:tcPr>
                  <w:tcW w:w="2073" w:type="pct"/>
                  <w:shd w:val="clear" w:color="auto" w:fill="auto"/>
                  <w:vAlign w:val="center"/>
                </w:tcPr>
                <w:p w14:paraId="25AD802E"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5.00E-02</w:t>
                  </w:r>
                </w:p>
              </w:tc>
            </w:tr>
            <w:tr w:rsidR="00692E71" w:rsidRPr="001E3185" w14:paraId="30B697B5" w14:textId="77777777" w:rsidTr="008E0250">
              <w:trPr>
                <w:trHeight w:val="340"/>
                <w:jc w:val="center"/>
              </w:trPr>
              <w:tc>
                <w:tcPr>
                  <w:tcW w:w="1238" w:type="pct"/>
                  <w:shd w:val="clear" w:color="auto" w:fill="auto"/>
                </w:tcPr>
                <w:p w14:paraId="0927DC55" w14:textId="77777777" w:rsidR="00692E71" w:rsidRPr="001E3185" w:rsidRDefault="00692E71" w:rsidP="008E0250">
                  <w:pPr>
                    <w:autoSpaceDE w:val="0"/>
                    <w:autoSpaceDN w:val="0"/>
                    <w:ind w:right="142"/>
                    <w:rPr>
                      <w:rFonts w:cs="Arial"/>
                    </w:rPr>
                  </w:pPr>
                  <w:r w:rsidRPr="001E3185">
                    <w:rPr>
                      <w:rFonts w:cs="Arial"/>
                      <w:sz w:val="18"/>
                      <w:szCs w:val="18"/>
                    </w:rPr>
                    <w:t>PBC</w:t>
                  </w:r>
                </w:p>
              </w:tc>
              <w:tc>
                <w:tcPr>
                  <w:tcW w:w="1689" w:type="pct"/>
                  <w:shd w:val="clear" w:color="auto" w:fill="auto"/>
                  <w:vAlign w:val="center"/>
                </w:tcPr>
                <w:p w14:paraId="593C6C8A"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1.66E-02</w:t>
                  </w:r>
                </w:p>
              </w:tc>
              <w:tc>
                <w:tcPr>
                  <w:tcW w:w="2073" w:type="pct"/>
                  <w:shd w:val="clear" w:color="auto" w:fill="auto"/>
                  <w:vAlign w:val="center"/>
                </w:tcPr>
                <w:p w14:paraId="7E1CC4CB"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2.76E-02</w:t>
                  </w:r>
                </w:p>
              </w:tc>
            </w:tr>
            <w:tr w:rsidR="00692E71" w:rsidRPr="001E3185" w14:paraId="1C5CE991" w14:textId="77777777" w:rsidTr="008E0250">
              <w:trPr>
                <w:trHeight w:val="340"/>
                <w:jc w:val="center"/>
              </w:trPr>
              <w:tc>
                <w:tcPr>
                  <w:tcW w:w="5000" w:type="pct"/>
                  <w:gridSpan w:val="3"/>
                  <w:shd w:val="clear" w:color="auto" w:fill="auto"/>
                </w:tcPr>
                <w:p w14:paraId="67E6CD3F" w14:textId="77777777" w:rsidR="00692E71" w:rsidRPr="001E3185" w:rsidRDefault="00692E71" w:rsidP="008E0250">
                  <w:pPr>
                    <w:autoSpaceDE w:val="0"/>
                    <w:autoSpaceDN w:val="0"/>
                    <w:ind w:right="142"/>
                    <w:rPr>
                      <w:rFonts w:cs="Arial"/>
                    </w:rPr>
                  </w:pPr>
                  <w:r w:rsidRPr="001E3185">
                    <w:rPr>
                      <w:rFonts w:cs="Arial"/>
                      <w:b/>
                      <w:iCs/>
                    </w:rPr>
                    <w:t>PEC local sediment</w:t>
                  </w:r>
                  <w:r w:rsidRPr="001E3185">
                    <w:rPr>
                      <w:rFonts w:cs="Arial"/>
                      <w:b/>
                    </w:rPr>
                    <w:t xml:space="preserve"> after application</w:t>
                  </w:r>
                  <w:r w:rsidRPr="001E3185">
                    <w:rPr>
                      <w:rFonts w:cs="Arial"/>
                    </w:rPr>
                    <w:t xml:space="preserve"> [mg.kg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7258C8E4" w14:textId="77777777" w:rsidTr="008E0250">
              <w:trPr>
                <w:trHeight w:val="340"/>
                <w:jc w:val="center"/>
              </w:trPr>
              <w:tc>
                <w:tcPr>
                  <w:tcW w:w="1238" w:type="pct"/>
                  <w:shd w:val="clear" w:color="auto" w:fill="auto"/>
                </w:tcPr>
                <w:p w14:paraId="337926EF" w14:textId="77777777" w:rsidR="00692E71" w:rsidRPr="001E3185" w:rsidRDefault="00692E71" w:rsidP="008E0250">
                  <w:pPr>
                    <w:autoSpaceDE w:val="0"/>
                    <w:autoSpaceDN w:val="0"/>
                    <w:ind w:right="142"/>
                    <w:rPr>
                      <w:rFonts w:cs="Arial"/>
                    </w:rPr>
                  </w:pPr>
                  <w:r w:rsidRPr="001E3185">
                    <w:rPr>
                      <w:rFonts w:cs="Arial"/>
                    </w:rPr>
                    <w:t>Tebuconazole</w:t>
                  </w:r>
                </w:p>
              </w:tc>
              <w:tc>
                <w:tcPr>
                  <w:tcW w:w="1689" w:type="pct"/>
                  <w:shd w:val="clear" w:color="auto" w:fill="auto"/>
                  <w:vAlign w:val="center"/>
                </w:tcPr>
                <w:p w14:paraId="49D76EB3"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6.70E-04</w:t>
                  </w:r>
                </w:p>
              </w:tc>
              <w:tc>
                <w:tcPr>
                  <w:tcW w:w="2073" w:type="pct"/>
                  <w:shd w:val="clear" w:color="auto" w:fill="auto"/>
                  <w:vAlign w:val="center"/>
                </w:tcPr>
                <w:p w14:paraId="68BE94A1"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1.12E-03</w:t>
                  </w:r>
                </w:p>
              </w:tc>
            </w:tr>
            <w:tr w:rsidR="00692E71" w:rsidRPr="001E3185" w14:paraId="18B88633" w14:textId="77777777" w:rsidTr="008E0250">
              <w:trPr>
                <w:trHeight w:val="340"/>
                <w:jc w:val="center"/>
              </w:trPr>
              <w:tc>
                <w:tcPr>
                  <w:tcW w:w="1238" w:type="pct"/>
                  <w:shd w:val="clear" w:color="auto" w:fill="auto"/>
                </w:tcPr>
                <w:p w14:paraId="531FBBF4" w14:textId="77777777" w:rsidR="00692E71" w:rsidRPr="001E3185" w:rsidRDefault="00692E71" w:rsidP="008E0250">
                  <w:pPr>
                    <w:autoSpaceDE w:val="0"/>
                    <w:autoSpaceDN w:val="0"/>
                    <w:ind w:right="142"/>
                    <w:rPr>
                      <w:rFonts w:cs="Arial"/>
                    </w:rPr>
                  </w:pPr>
                  <w:r w:rsidRPr="001E3185">
                    <w:rPr>
                      <w:rFonts w:cs="Arial"/>
                    </w:rPr>
                    <w:t>Propiconazole</w:t>
                  </w:r>
                </w:p>
              </w:tc>
              <w:tc>
                <w:tcPr>
                  <w:tcW w:w="1689" w:type="pct"/>
                  <w:shd w:val="clear" w:color="auto" w:fill="auto"/>
                  <w:vAlign w:val="center"/>
                </w:tcPr>
                <w:p w14:paraId="037A537D"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2.05E-03</w:t>
                  </w:r>
                </w:p>
              </w:tc>
              <w:tc>
                <w:tcPr>
                  <w:tcW w:w="2073" w:type="pct"/>
                  <w:shd w:val="clear" w:color="auto" w:fill="auto"/>
                  <w:vAlign w:val="center"/>
                </w:tcPr>
                <w:p w14:paraId="06E19FB5"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3.41E-03</w:t>
                  </w:r>
                </w:p>
              </w:tc>
            </w:tr>
            <w:tr w:rsidR="00692E71" w:rsidRPr="001E3185" w14:paraId="75E788C5" w14:textId="77777777" w:rsidTr="008E0250">
              <w:trPr>
                <w:trHeight w:val="340"/>
                <w:jc w:val="center"/>
              </w:trPr>
              <w:tc>
                <w:tcPr>
                  <w:tcW w:w="1238" w:type="pct"/>
                  <w:shd w:val="clear" w:color="auto" w:fill="auto"/>
                </w:tcPr>
                <w:p w14:paraId="7A0102C7" w14:textId="77777777" w:rsidR="00692E71" w:rsidRPr="001E3185" w:rsidRDefault="00692E71" w:rsidP="008E0250">
                  <w:pPr>
                    <w:autoSpaceDE w:val="0"/>
                    <w:autoSpaceDN w:val="0"/>
                    <w:ind w:right="142"/>
                    <w:rPr>
                      <w:rFonts w:cs="Arial"/>
                    </w:rPr>
                  </w:pPr>
                  <w:r w:rsidRPr="001E3185">
                    <w:rPr>
                      <w:rFonts w:cs="Arial"/>
                    </w:rPr>
                    <w:t>Cypermethrin</w:t>
                  </w:r>
                </w:p>
              </w:tc>
              <w:tc>
                <w:tcPr>
                  <w:tcW w:w="1689" w:type="pct"/>
                  <w:shd w:val="clear" w:color="auto" w:fill="auto"/>
                  <w:vAlign w:val="center"/>
                </w:tcPr>
                <w:p w14:paraId="13D48B99"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6.00E-01</w:t>
                  </w:r>
                </w:p>
              </w:tc>
              <w:tc>
                <w:tcPr>
                  <w:tcW w:w="2073" w:type="pct"/>
                  <w:shd w:val="clear" w:color="auto" w:fill="auto"/>
                  <w:vAlign w:val="center"/>
                </w:tcPr>
                <w:p w14:paraId="5BFC376F"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1.00E+00</w:t>
                  </w:r>
                </w:p>
              </w:tc>
            </w:tr>
            <w:tr w:rsidR="00692E71" w:rsidRPr="001E3185" w14:paraId="716A9B97" w14:textId="77777777" w:rsidTr="008E0250">
              <w:trPr>
                <w:trHeight w:val="340"/>
                <w:jc w:val="center"/>
              </w:trPr>
              <w:tc>
                <w:tcPr>
                  <w:tcW w:w="1238" w:type="pct"/>
                  <w:shd w:val="clear" w:color="auto" w:fill="auto"/>
                </w:tcPr>
                <w:p w14:paraId="4E76D98A" w14:textId="77777777" w:rsidR="00692E71" w:rsidRPr="001E3185" w:rsidRDefault="00692E71" w:rsidP="008E0250">
                  <w:pPr>
                    <w:autoSpaceDE w:val="0"/>
                    <w:autoSpaceDN w:val="0"/>
                    <w:ind w:right="142"/>
                    <w:rPr>
                      <w:rFonts w:cs="Arial"/>
                    </w:rPr>
                  </w:pPr>
                  <w:r w:rsidRPr="001E3185">
                    <w:rPr>
                      <w:rFonts w:cs="Arial"/>
                      <w:sz w:val="18"/>
                      <w:szCs w:val="18"/>
                    </w:rPr>
                    <w:t>PBC</w:t>
                  </w:r>
                </w:p>
              </w:tc>
              <w:tc>
                <w:tcPr>
                  <w:tcW w:w="1689" w:type="pct"/>
                  <w:shd w:val="clear" w:color="auto" w:fill="auto"/>
                  <w:vAlign w:val="center"/>
                </w:tcPr>
                <w:p w14:paraId="4084533B"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8.43E-05</w:t>
                  </w:r>
                </w:p>
              </w:tc>
              <w:tc>
                <w:tcPr>
                  <w:tcW w:w="2073" w:type="pct"/>
                  <w:shd w:val="clear" w:color="auto" w:fill="auto"/>
                  <w:vAlign w:val="center"/>
                </w:tcPr>
                <w:p w14:paraId="2F79DEF1"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1.40E-04</w:t>
                  </w:r>
                </w:p>
              </w:tc>
            </w:tr>
          </w:tbl>
          <w:p w14:paraId="21DFDA1B" w14:textId="77777777" w:rsidR="00692E71" w:rsidRPr="001E3185" w:rsidRDefault="00692E71" w:rsidP="008E0250"/>
          <w:tbl>
            <w:tblPr>
              <w:tblW w:w="4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5620"/>
            </w:tblGrid>
            <w:tr w:rsidR="00692E71" w:rsidRPr="001E3185" w14:paraId="7282A96D" w14:textId="77777777" w:rsidTr="008E0250">
              <w:trPr>
                <w:trHeight w:val="340"/>
                <w:jc w:val="center"/>
              </w:trPr>
              <w:tc>
                <w:tcPr>
                  <w:tcW w:w="5000" w:type="pct"/>
                  <w:gridSpan w:val="2"/>
                  <w:shd w:val="clear" w:color="auto" w:fill="auto"/>
                  <w:vAlign w:val="center"/>
                </w:tcPr>
                <w:p w14:paraId="23BF072A" w14:textId="77777777" w:rsidR="00692E71" w:rsidRPr="001E3185" w:rsidRDefault="00692E71" w:rsidP="008E0250">
                  <w:pPr>
                    <w:autoSpaceDE w:val="0"/>
                    <w:autoSpaceDN w:val="0"/>
                    <w:ind w:right="142"/>
                    <w:jc w:val="center"/>
                    <w:rPr>
                      <w:rFonts w:cs="Arial"/>
                      <w:b/>
                    </w:rPr>
                  </w:pPr>
                  <w:r w:rsidRPr="001E3185">
                    <w:rPr>
                      <w:rFonts w:cs="Arial"/>
                      <w:b/>
                    </w:rPr>
                    <w:t>Application - Bridge over the pond - Treatment by spraying</w:t>
                  </w:r>
                </w:p>
              </w:tc>
            </w:tr>
            <w:tr w:rsidR="00692E71" w:rsidRPr="001E3185" w14:paraId="439F754F" w14:textId="77777777" w:rsidTr="008E0250">
              <w:trPr>
                <w:trHeight w:val="340"/>
                <w:jc w:val="center"/>
              </w:trPr>
              <w:tc>
                <w:tcPr>
                  <w:tcW w:w="5000" w:type="pct"/>
                  <w:gridSpan w:val="2"/>
                  <w:shd w:val="clear" w:color="auto" w:fill="auto"/>
                  <w:vAlign w:val="center"/>
                </w:tcPr>
                <w:p w14:paraId="19AAAC44" w14:textId="77777777" w:rsidR="00692E71" w:rsidRPr="001E3185" w:rsidRDefault="00692E71" w:rsidP="008E0250">
                  <w:pPr>
                    <w:autoSpaceDE w:val="0"/>
                    <w:autoSpaceDN w:val="0"/>
                    <w:ind w:right="142"/>
                    <w:rPr>
                      <w:rFonts w:cs="Arial"/>
                    </w:rPr>
                  </w:pPr>
                  <w:r w:rsidRPr="001E3185">
                    <w:rPr>
                      <w:rFonts w:cs="Arial"/>
                      <w:b/>
                      <w:iCs/>
                    </w:rPr>
                    <w:t>PEC local surface water</w:t>
                  </w:r>
                  <w:r w:rsidRPr="001E3185">
                    <w:rPr>
                      <w:rFonts w:cs="Arial"/>
                      <w:b/>
                    </w:rPr>
                    <w:t>, initial concentration after application</w:t>
                  </w:r>
                  <w:r w:rsidRPr="001E3185">
                    <w:rPr>
                      <w:rFonts w:cs="Arial"/>
                    </w:rPr>
                    <w:t xml:space="preserve"> [µg.L</w:t>
                  </w:r>
                  <w:r w:rsidRPr="001E3185">
                    <w:rPr>
                      <w:rFonts w:cs="Arial"/>
                      <w:vertAlign w:val="superscript"/>
                    </w:rPr>
                    <w:t>-1</w:t>
                  </w:r>
                  <w:r w:rsidRPr="001E3185">
                    <w:rPr>
                      <w:rFonts w:cs="Arial"/>
                    </w:rPr>
                    <w:t>]</w:t>
                  </w:r>
                </w:p>
              </w:tc>
            </w:tr>
            <w:tr w:rsidR="00692E71" w:rsidRPr="001E3185" w14:paraId="3B6865AE" w14:textId="77777777" w:rsidTr="008E0250">
              <w:trPr>
                <w:trHeight w:val="340"/>
                <w:jc w:val="center"/>
              </w:trPr>
              <w:tc>
                <w:tcPr>
                  <w:tcW w:w="1242" w:type="pct"/>
                  <w:shd w:val="clear" w:color="auto" w:fill="auto"/>
                </w:tcPr>
                <w:p w14:paraId="576431E9" w14:textId="77777777" w:rsidR="00692E71" w:rsidRPr="001E3185" w:rsidRDefault="00692E71" w:rsidP="008E0250">
                  <w:pPr>
                    <w:autoSpaceDE w:val="0"/>
                    <w:autoSpaceDN w:val="0"/>
                    <w:ind w:right="142"/>
                    <w:rPr>
                      <w:rFonts w:cs="Arial"/>
                    </w:rPr>
                  </w:pPr>
                  <w:r w:rsidRPr="001E3185">
                    <w:rPr>
                      <w:rFonts w:cs="Arial"/>
                    </w:rPr>
                    <w:t>Tebuconazole</w:t>
                  </w:r>
                </w:p>
              </w:tc>
              <w:tc>
                <w:tcPr>
                  <w:tcW w:w="3758" w:type="pct"/>
                  <w:shd w:val="clear" w:color="auto" w:fill="auto"/>
                  <w:vAlign w:val="center"/>
                </w:tcPr>
                <w:p w14:paraId="39DBAC29" w14:textId="251DA29A"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3.00E-</w:t>
                  </w:r>
                  <w:r w:rsidR="000B2EE2" w:rsidRPr="001E3185">
                    <w:rPr>
                      <w:rFonts w:cs="Arial"/>
                      <w:sz w:val="18"/>
                      <w:szCs w:val="18"/>
                    </w:rPr>
                    <w:t>0</w:t>
                  </w:r>
                  <w:r w:rsidR="000B2EE2">
                    <w:rPr>
                      <w:rFonts w:cs="Arial"/>
                      <w:sz w:val="18"/>
                      <w:szCs w:val="18"/>
                    </w:rPr>
                    <w:t>2</w:t>
                  </w:r>
                </w:p>
              </w:tc>
            </w:tr>
            <w:tr w:rsidR="00692E71" w:rsidRPr="001E3185" w14:paraId="794A784B" w14:textId="77777777" w:rsidTr="008E0250">
              <w:trPr>
                <w:trHeight w:val="340"/>
                <w:jc w:val="center"/>
              </w:trPr>
              <w:tc>
                <w:tcPr>
                  <w:tcW w:w="1242" w:type="pct"/>
                  <w:shd w:val="clear" w:color="auto" w:fill="auto"/>
                </w:tcPr>
                <w:p w14:paraId="2F119450" w14:textId="77777777" w:rsidR="00692E71" w:rsidRPr="001E3185" w:rsidRDefault="00692E71" w:rsidP="008E0250">
                  <w:pPr>
                    <w:autoSpaceDE w:val="0"/>
                    <w:autoSpaceDN w:val="0"/>
                    <w:ind w:right="142"/>
                    <w:rPr>
                      <w:rFonts w:cs="Arial"/>
                    </w:rPr>
                  </w:pPr>
                  <w:r w:rsidRPr="001E3185">
                    <w:rPr>
                      <w:rFonts w:cs="Arial"/>
                    </w:rPr>
                    <w:t>Propiconazole</w:t>
                  </w:r>
                </w:p>
              </w:tc>
              <w:tc>
                <w:tcPr>
                  <w:tcW w:w="3758" w:type="pct"/>
                  <w:shd w:val="clear" w:color="auto" w:fill="auto"/>
                  <w:vAlign w:val="center"/>
                </w:tcPr>
                <w:p w14:paraId="50737B35" w14:textId="7CF3A28B"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9.60E-</w:t>
                  </w:r>
                  <w:r w:rsidR="000B2EE2" w:rsidRPr="001E3185">
                    <w:rPr>
                      <w:rFonts w:cs="Arial"/>
                      <w:sz w:val="18"/>
                      <w:szCs w:val="18"/>
                    </w:rPr>
                    <w:t>0</w:t>
                  </w:r>
                  <w:r w:rsidR="000B2EE2">
                    <w:rPr>
                      <w:rFonts w:cs="Arial"/>
                      <w:sz w:val="18"/>
                      <w:szCs w:val="18"/>
                    </w:rPr>
                    <w:t>2</w:t>
                  </w:r>
                </w:p>
              </w:tc>
            </w:tr>
            <w:tr w:rsidR="00692E71" w:rsidRPr="001E3185" w14:paraId="56AA98F1" w14:textId="77777777" w:rsidTr="008E0250">
              <w:trPr>
                <w:trHeight w:val="340"/>
                <w:jc w:val="center"/>
              </w:trPr>
              <w:tc>
                <w:tcPr>
                  <w:tcW w:w="1242" w:type="pct"/>
                  <w:shd w:val="clear" w:color="auto" w:fill="auto"/>
                </w:tcPr>
                <w:p w14:paraId="38F5BF7F" w14:textId="77777777" w:rsidR="00692E71" w:rsidRPr="001E3185" w:rsidRDefault="00692E71" w:rsidP="008E0250">
                  <w:pPr>
                    <w:autoSpaceDE w:val="0"/>
                    <w:autoSpaceDN w:val="0"/>
                    <w:ind w:right="142"/>
                    <w:rPr>
                      <w:rFonts w:cs="Arial"/>
                    </w:rPr>
                  </w:pPr>
                  <w:r w:rsidRPr="001E3185">
                    <w:rPr>
                      <w:rFonts w:cs="Arial"/>
                    </w:rPr>
                    <w:t>Cypermethrin</w:t>
                  </w:r>
                </w:p>
              </w:tc>
              <w:tc>
                <w:tcPr>
                  <w:tcW w:w="3758" w:type="pct"/>
                  <w:shd w:val="clear" w:color="auto" w:fill="auto"/>
                  <w:vAlign w:val="center"/>
                </w:tcPr>
                <w:p w14:paraId="46C0347E" w14:textId="29AFAA5B"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4.80E-</w:t>
                  </w:r>
                  <w:r w:rsidR="000B2EE2" w:rsidRPr="001E3185">
                    <w:rPr>
                      <w:rFonts w:cs="Arial"/>
                      <w:sz w:val="18"/>
                      <w:szCs w:val="18"/>
                    </w:rPr>
                    <w:t>0</w:t>
                  </w:r>
                  <w:r w:rsidR="000B2EE2">
                    <w:rPr>
                      <w:rFonts w:cs="Arial"/>
                      <w:sz w:val="18"/>
                      <w:szCs w:val="18"/>
                    </w:rPr>
                    <w:t>2</w:t>
                  </w:r>
                </w:p>
              </w:tc>
            </w:tr>
            <w:tr w:rsidR="00692E71" w:rsidRPr="001E3185" w14:paraId="19141F9F" w14:textId="77777777" w:rsidTr="008E0250">
              <w:trPr>
                <w:trHeight w:val="340"/>
                <w:jc w:val="center"/>
              </w:trPr>
              <w:tc>
                <w:tcPr>
                  <w:tcW w:w="1242" w:type="pct"/>
                  <w:shd w:val="clear" w:color="auto" w:fill="auto"/>
                </w:tcPr>
                <w:p w14:paraId="69BA4737" w14:textId="77777777" w:rsidR="00692E71" w:rsidRPr="001E3185" w:rsidRDefault="00692E71" w:rsidP="008E0250">
                  <w:pPr>
                    <w:autoSpaceDE w:val="0"/>
                    <w:autoSpaceDN w:val="0"/>
                    <w:ind w:right="142"/>
                    <w:rPr>
                      <w:rFonts w:cs="Arial"/>
                    </w:rPr>
                  </w:pPr>
                  <w:r w:rsidRPr="001E3185">
                    <w:rPr>
                      <w:rFonts w:cs="Arial"/>
                      <w:sz w:val="18"/>
                      <w:szCs w:val="18"/>
                    </w:rPr>
                    <w:t>IPBC</w:t>
                  </w:r>
                </w:p>
              </w:tc>
              <w:tc>
                <w:tcPr>
                  <w:tcW w:w="3758" w:type="pct"/>
                  <w:shd w:val="clear" w:color="auto" w:fill="auto"/>
                  <w:vAlign w:val="center"/>
                </w:tcPr>
                <w:p w14:paraId="2A4AF7E0" w14:textId="53272246"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3.00E-</w:t>
                  </w:r>
                  <w:r w:rsidR="000B2EE2" w:rsidRPr="001E3185">
                    <w:rPr>
                      <w:rFonts w:cs="Arial"/>
                      <w:sz w:val="18"/>
                      <w:szCs w:val="18"/>
                    </w:rPr>
                    <w:t>0</w:t>
                  </w:r>
                  <w:r w:rsidR="000B2EE2">
                    <w:rPr>
                      <w:rFonts w:cs="Arial"/>
                      <w:sz w:val="18"/>
                      <w:szCs w:val="18"/>
                    </w:rPr>
                    <w:t>2</w:t>
                  </w:r>
                </w:p>
              </w:tc>
            </w:tr>
            <w:tr w:rsidR="00692E71" w:rsidRPr="001E3185" w14:paraId="028660D6" w14:textId="77777777" w:rsidTr="008E0250">
              <w:trPr>
                <w:trHeight w:val="340"/>
                <w:jc w:val="center"/>
              </w:trPr>
              <w:tc>
                <w:tcPr>
                  <w:tcW w:w="1242" w:type="pct"/>
                  <w:shd w:val="clear" w:color="auto" w:fill="auto"/>
                </w:tcPr>
                <w:p w14:paraId="340DE909" w14:textId="77777777" w:rsidR="00692E71" w:rsidRPr="001E3185" w:rsidRDefault="00692E71" w:rsidP="008E0250">
                  <w:pPr>
                    <w:autoSpaceDE w:val="0"/>
                    <w:autoSpaceDN w:val="0"/>
                    <w:ind w:right="142"/>
                    <w:rPr>
                      <w:rFonts w:cs="Arial"/>
                    </w:rPr>
                  </w:pPr>
                  <w:r w:rsidRPr="001E3185">
                    <w:rPr>
                      <w:rFonts w:cs="Arial"/>
                      <w:sz w:val="18"/>
                      <w:szCs w:val="18"/>
                    </w:rPr>
                    <w:t>PBC</w:t>
                  </w:r>
                </w:p>
              </w:tc>
              <w:tc>
                <w:tcPr>
                  <w:tcW w:w="3758" w:type="pct"/>
                  <w:shd w:val="clear" w:color="auto" w:fill="auto"/>
                  <w:vAlign w:val="center"/>
                </w:tcPr>
                <w:p w14:paraId="14B1C2AF" w14:textId="1F5AC0A2"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1.66E-</w:t>
                  </w:r>
                  <w:r w:rsidR="000B2EE2" w:rsidRPr="001E3185">
                    <w:rPr>
                      <w:rFonts w:cs="Arial"/>
                      <w:sz w:val="18"/>
                      <w:szCs w:val="18"/>
                    </w:rPr>
                    <w:t>0</w:t>
                  </w:r>
                  <w:r w:rsidR="000B2EE2">
                    <w:rPr>
                      <w:rFonts w:cs="Arial"/>
                      <w:sz w:val="18"/>
                      <w:szCs w:val="18"/>
                    </w:rPr>
                    <w:t>2</w:t>
                  </w:r>
                </w:p>
              </w:tc>
            </w:tr>
            <w:tr w:rsidR="00692E71" w:rsidRPr="001E3185" w14:paraId="6E4EBA28" w14:textId="77777777" w:rsidTr="008E0250">
              <w:trPr>
                <w:trHeight w:val="340"/>
                <w:jc w:val="center"/>
              </w:trPr>
              <w:tc>
                <w:tcPr>
                  <w:tcW w:w="5000" w:type="pct"/>
                  <w:gridSpan w:val="2"/>
                  <w:shd w:val="clear" w:color="auto" w:fill="auto"/>
                  <w:vAlign w:val="center"/>
                </w:tcPr>
                <w:p w14:paraId="783D9A20" w14:textId="77777777" w:rsidR="00692E71" w:rsidRPr="001E3185" w:rsidRDefault="00692E71" w:rsidP="008E0250">
                  <w:pPr>
                    <w:autoSpaceDE w:val="0"/>
                    <w:autoSpaceDN w:val="0"/>
                    <w:ind w:right="142"/>
                    <w:rPr>
                      <w:rFonts w:cs="Arial"/>
                    </w:rPr>
                  </w:pPr>
                  <w:r w:rsidRPr="001E3185">
                    <w:rPr>
                      <w:rFonts w:cs="Arial"/>
                      <w:b/>
                      <w:iCs/>
                    </w:rPr>
                    <w:t>PEC local sediment</w:t>
                  </w:r>
                  <w:r w:rsidRPr="001E3185">
                    <w:rPr>
                      <w:rFonts w:cs="Arial"/>
                      <w:b/>
                    </w:rPr>
                    <w:t xml:space="preserve"> after application</w:t>
                  </w:r>
                  <w:r w:rsidRPr="001E3185">
                    <w:rPr>
                      <w:rFonts w:cs="Arial"/>
                    </w:rPr>
                    <w:t xml:space="preserve"> [mg.kg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72DF7CFF" w14:textId="77777777" w:rsidTr="008E0250">
              <w:trPr>
                <w:trHeight w:val="340"/>
                <w:jc w:val="center"/>
              </w:trPr>
              <w:tc>
                <w:tcPr>
                  <w:tcW w:w="1242" w:type="pct"/>
                  <w:shd w:val="clear" w:color="auto" w:fill="auto"/>
                </w:tcPr>
                <w:p w14:paraId="5D487D1A" w14:textId="77777777" w:rsidR="00692E71" w:rsidRPr="001E3185" w:rsidRDefault="00692E71" w:rsidP="008E0250">
                  <w:pPr>
                    <w:autoSpaceDE w:val="0"/>
                    <w:autoSpaceDN w:val="0"/>
                    <w:ind w:right="142"/>
                    <w:rPr>
                      <w:rFonts w:cs="Arial"/>
                    </w:rPr>
                  </w:pPr>
                  <w:r w:rsidRPr="001E3185">
                    <w:rPr>
                      <w:rFonts w:cs="Arial"/>
                    </w:rPr>
                    <w:t>Tebuconazole</w:t>
                  </w:r>
                </w:p>
              </w:tc>
              <w:tc>
                <w:tcPr>
                  <w:tcW w:w="3758" w:type="pct"/>
                  <w:shd w:val="clear" w:color="auto" w:fill="auto"/>
                  <w:vAlign w:val="center"/>
                </w:tcPr>
                <w:p w14:paraId="40F42FED" w14:textId="779CBB39"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6.70E-</w:t>
                  </w:r>
                  <w:r w:rsidR="000B2EE2" w:rsidRPr="001E3185">
                    <w:rPr>
                      <w:rFonts w:cs="Arial"/>
                      <w:sz w:val="18"/>
                      <w:szCs w:val="18"/>
                    </w:rPr>
                    <w:t>0</w:t>
                  </w:r>
                  <w:r w:rsidR="000B2EE2">
                    <w:rPr>
                      <w:rFonts w:cs="Arial"/>
                      <w:sz w:val="18"/>
                      <w:szCs w:val="18"/>
                    </w:rPr>
                    <w:t>4</w:t>
                  </w:r>
                </w:p>
              </w:tc>
            </w:tr>
            <w:tr w:rsidR="00692E71" w:rsidRPr="001E3185" w14:paraId="0D9740CF" w14:textId="77777777" w:rsidTr="008E0250">
              <w:trPr>
                <w:trHeight w:val="340"/>
                <w:jc w:val="center"/>
              </w:trPr>
              <w:tc>
                <w:tcPr>
                  <w:tcW w:w="1242" w:type="pct"/>
                  <w:shd w:val="clear" w:color="auto" w:fill="auto"/>
                </w:tcPr>
                <w:p w14:paraId="02CB440B" w14:textId="77777777" w:rsidR="00692E71" w:rsidRPr="001E3185" w:rsidRDefault="00692E71" w:rsidP="008E0250">
                  <w:pPr>
                    <w:autoSpaceDE w:val="0"/>
                    <w:autoSpaceDN w:val="0"/>
                    <w:ind w:right="142"/>
                    <w:rPr>
                      <w:rFonts w:cs="Arial"/>
                    </w:rPr>
                  </w:pPr>
                  <w:r w:rsidRPr="001E3185">
                    <w:rPr>
                      <w:rFonts w:cs="Arial"/>
                    </w:rPr>
                    <w:t>Propiconazole</w:t>
                  </w:r>
                </w:p>
              </w:tc>
              <w:tc>
                <w:tcPr>
                  <w:tcW w:w="3758" w:type="pct"/>
                  <w:shd w:val="clear" w:color="auto" w:fill="auto"/>
                  <w:vAlign w:val="center"/>
                </w:tcPr>
                <w:p w14:paraId="4AFE01C8" w14:textId="52C778A2"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2.05E-</w:t>
                  </w:r>
                  <w:r w:rsidR="000B2EE2" w:rsidRPr="001E3185">
                    <w:rPr>
                      <w:rFonts w:cs="Arial"/>
                      <w:sz w:val="18"/>
                      <w:szCs w:val="18"/>
                    </w:rPr>
                    <w:t>0</w:t>
                  </w:r>
                  <w:r w:rsidR="000B2EE2">
                    <w:rPr>
                      <w:rFonts w:cs="Arial"/>
                      <w:sz w:val="18"/>
                      <w:szCs w:val="18"/>
                    </w:rPr>
                    <w:t>3</w:t>
                  </w:r>
                </w:p>
              </w:tc>
            </w:tr>
            <w:tr w:rsidR="00692E71" w:rsidRPr="001E3185" w14:paraId="0936BC6F" w14:textId="77777777" w:rsidTr="008E0250">
              <w:trPr>
                <w:trHeight w:val="340"/>
                <w:jc w:val="center"/>
              </w:trPr>
              <w:tc>
                <w:tcPr>
                  <w:tcW w:w="1242" w:type="pct"/>
                  <w:shd w:val="clear" w:color="auto" w:fill="auto"/>
                </w:tcPr>
                <w:p w14:paraId="7E9E05EF" w14:textId="77777777" w:rsidR="00692E71" w:rsidRPr="001E3185" w:rsidRDefault="00692E71" w:rsidP="008E0250">
                  <w:pPr>
                    <w:autoSpaceDE w:val="0"/>
                    <w:autoSpaceDN w:val="0"/>
                    <w:ind w:right="142"/>
                    <w:rPr>
                      <w:rFonts w:cs="Arial"/>
                    </w:rPr>
                  </w:pPr>
                  <w:r w:rsidRPr="001E3185">
                    <w:rPr>
                      <w:rFonts w:cs="Arial"/>
                    </w:rPr>
                    <w:t>Cypermethrin</w:t>
                  </w:r>
                </w:p>
              </w:tc>
              <w:tc>
                <w:tcPr>
                  <w:tcW w:w="3758" w:type="pct"/>
                  <w:shd w:val="clear" w:color="auto" w:fill="auto"/>
                  <w:vAlign w:val="center"/>
                </w:tcPr>
                <w:p w14:paraId="0F569FA2" w14:textId="496BD3AA"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6.00E</w:t>
                  </w:r>
                  <w:r w:rsidR="000B2EE2">
                    <w:rPr>
                      <w:rFonts w:cs="Arial"/>
                      <w:sz w:val="18"/>
                      <w:szCs w:val="18"/>
                    </w:rPr>
                    <w:t>-01</w:t>
                  </w:r>
                </w:p>
              </w:tc>
            </w:tr>
            <w:tr w:rsidR="00692E71" w:rsidRPr="001E3185" w14:paraId="1CD0CBCF" w14:textId="77777777" w:rsidTr="008E0250">
              <w:trPr>
                <w:trHeight w:val="340"/>
                <w:jc w:val="center"/>
              </w:trPr>
              <w:tc>
                <w:tcPr>
                  <w:tcW w:w="1242" w:type="pct"/>
                  <w:shd w:val="clear" w:color="auto" w:fill="auto"/>
                </w:tcPr>
                <w:p w14:paraId="13E792BE" w14:textId="77777777" w:rsidR="00692E71" w:rsidRPr="001E3185" w:rsidRDefault="00692E71" w:rsidP="008E0250">
                  <w:pPr>
                    <w:autoSpaceDE w:val="0"/>
                    <w:autoSpaceDN w:val="0"/>
                    <w:ind w:right="142"/>
                    <w:rPr>
                      <w:rFonts w:cs="Arial"/>
                    </w:rPr>
                  </w:pPr>
                  <w:r w:rsidRPr="001E3185">
                    <w:rPr>
                      <w:rFonts w:cs="Arial"/>
                      <w:sz w:val="18"/>
                      <w:szCs w:val="18"/>
                    </w:rPr>
                    <w:t>PBC</w:t>
                  </w:r>
                </w:p>
              </w:tc>
              <w:tc>
                <w:tcPr>
                  <w:tcW w:w="3758" w:type="pct"/>
                  <w:shd w:val="clear" w:color="auto" w:fill="auto"/>
                  <w:vAlign w:val="center"/>
                </w:tcPr>
                <w:p w14:paraId="35F54124" w14:textId="48A4016A"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8.43E-</w:t>
                  </w:r>
                  <w:r w:rsidR="000B2EE2" w:rsidRPr="001E3185">
                    <w:rPr>
                      <w:rFonts w:cs="Arial"/>
                      <w:sz w:val="18"/>
                      <w:szCs w:val="18"/>
                    </w:rPr>
                    <w:t>0</w:t>
                  </w:r>
                  <w:r w:rsidR="000B2EE2">
                    <w:rPr>
                      <w:rFonts w:cs="Arial"/>
                      <w:sz w:val="18"/>
                      <w:szCs w:val="18"/>
                    </w:rPr>
                    <w:t>5</w:t>
                  </w:r>
                </w:p>
              </w:tc>
            </w:tr>
          </w:tbl>
          <w:p w14:paraId="112793DA" w14:textId="77777777" w:rsidR="00692E71" w:rsidRPr="001E3185" w:rsidRDefault="00692E71" w:rsidP="008E0250">
            <w:pPr>
              <w:rPr>
                <w:rFonts w:cs="Arial"/>
              </w:rPr>
            </w:pPr>
          </w:p>
          <w:p w14:paraId="365FC8E5"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rPr>
              <w:t>Direct emissions during service life - Bridge over the pond</w:t>
            </w:r>
          </w:p>
          <w:p w14:paraId="13AAC399" w14:textId="77777777" w:rsidR="00692E71" w:rsidRPr="001E3185" w:rsidRDefault="00692E71" w:rsidP="008E0250"/>
          <w:p w14:paraId="191E8639" w14:textId="77777777" w:rsidR="00692E71" w:rsidRPr="001E3185" w:rsidRDefault="00692E71" w:rsidP="00F32B7F">
            <w:pPr>
              <w:pStyle w:val="Lgende"/>
              <w:numPr>
                <w:ilvl w:val="3"/>
                <w:numId w:val="19"/>
              </w:numPr>
              <w:suppressAutoHyphens w:val="0"/>
              <w:spacing w:after="200"/>
              <w:rPr>
                <w:rFonts w:ascii="Verdana" w:hAnsi="Verdana"/>
              </w:rPr>
            </w:pPr>
            <w:r w:rsidRPr="001E3185">
              <w:rPr>
                <w:rFonts w:ascii="Verdana" w:hAnsi="Verdana"/>
              </w:rPr>
              <w:t xml:space="preserve">TIME 1 assessment period (30 days) - After industrial / </w:t>
            </w:r>
            <w:r w:rsidRPr="001E3185">
              <w:rPr>
                <w:rFonts w:ascii="Verdana" w:hAnsi="Verdana"/>
                <w:i/>
              </w:rPr>
              <w:t>in situ</w:t>
            </w:r>
            <w:r w:rsidRPr="001E3185">
              <w:rPr>
                <w:rFonts w:ascii="Verdana" w:hAnsi="Verdana"/>
              </w:rPr>
              <w:t xml:space="preserve"> application</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2559"/>
              <w:gridCol w:w="2353"/>
              <w:gridCol w:w="2408"/>
            </w:tblGrid>
            <w:tr w:rsidR="00692E71" w:rsidRPr="001E3185" w14:paraId="559110FC" w14:textId="77777777" w:rsidTr="008E0250">
              <w:trPr>
                <w:trHeight w:val="397"/>
                <w:jc w:val="center"/>
              </w:trPr>
              <w:tc>
                <w:tcPr>
                  <w:tcW w:w="5000" w:type="pct"/>
                  <w:gridSpan w:val="4"/>
                  <w:vAlign w:val="center"/>
                </w:tcPr>
                <w:p w14:paraId="430FF0AE" w14:textId="77777777" w:rsidR="00692E71" w:rsidRPr="001E3185" w:rsidRDefault="00692E71" w:rsidP="008E0250">
                  <w:pPr>
                    <w:jc w:val="center"/>
                    <w:rPr>
                      <w:rFonts w:cs="Arial"/>
                      <w:b/>
                    </w:rPr>
                  </w:pPr>
                  <w:r w:rsidRPr="001E3185">
                    <w:rPr>
                      <w:rFonts w:cs="Arial"/>
                      <w:b/>
                      <w:iCs/>
                    </w:rPr>
                    <w:t>PEC local surface water</w:t>
                  </w:r>
                </w:p>
              </w:tc>
            </w:tr>
            <w:tr w:rsidR="00692E71" w:rsidRPr="001E3185" w14:paraId="004F835B" w14:textId="77777777" w:rsidTr="008E0250">
              <w:trPr>
                <w:trHeight w:val="1300"/>
                <w:jc w:val="center"/>
              </w:trPr>
              <w:tc>
                <w:tcPr>
                  <w:tcW w:w="869" w:type="pct"/>
                  <w:vAlign w:val="center"/>
                </w:tcPr>
                <w:p w14:paraId="39458237" w14:textId="77777777" w:rsidR="00692E71" w:rsidRPr="001E3185" w:rsidRDefault="00692E71" w:rsidP="008E0250">
                  <w:pPr>
                    <w:rPr>
                      <w:rFonts w:cs="Arial"/>
                      <w:b/>
                      <w:i/>
                    </w:rPr>
                  </w:pPr>
                </w:p>
              </w:tc>
              <w:tc>
                <w:tcPr>
                  <w:tcW w:w="1444" w:type="pct"/>
                  <w:vAlign w:val="center"/>
                </w:tcPr>
                <w:p w14:paraId="3AA15CAF"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5B6D8435" w14:textId="77777777" w:rsidR="00692E71" w:rsidRPr="001E3185" w:rsidRDefault="00692E71" w:rsidP="008E0250">
                  <w:pPr>
                    <w:jc w:val="center"/>
                    <w:rPr>
                      <w:rFonts w:cs="Arial"/>
                    </w:rPr>
                  </w:pPr>
                  <w:r w:rsidRPr="001E3185">
                    <w:rPr>
                      <w:rFonts w:cs="Arial"/>
                    </w:rPr>
                    <w:t>TWA over the TIME 1 assessment period (30 days)</w:t>
                  </w:r>
                </w:p>
                <w:p w14:paraId="1375CEE8" w14:textId="77777777" w:rsidR="00692E71" w:rsidRPr="001E3185" w:rsidRDefault="00692E71" w:rsidP="008E0250">
                  <w:pPr>
                    <w:jc w:val="center"/>
                    <w:rPr>
                      <w:rFonts w:cs="Arial"/>
                      <w:b/>
                      <w:i/>
                    </w:rPr>
                  </w:pPr>
                  <w:r w:rsidRPr="001E3185">
                    <w:rPr>
                      <w:rFonts w:cs="Arial"/>
                    </w:rPr>
                    <w:t>[µg.L</w:t>
                  </w:r>
                  <w:r w:rsidRPr="001E3185">
                    <w:rPr>
                      <w:rFonts w:cs="Arial"/>
                      <w:vertAlign w:val="superscript"/>
                    </w:rPr>
                    <w:t>-1</w:t>
                  </w:r>
                  <w:r w:rsidRPr="001E3185">
                    <w:rPr>
                      <w:rFonts w:cs="Arial"/>
                    </w:rPr>
                    <w:t>]</w:t>
                  </w:r>
                </w:p>
              </w:tc>
              <w:tc>
                <w:tcPr>
                  <w:tcW w:w="1328" w:type="pct"/>
                  <w:vAlign w:val="center"/>
                </w:tcPr>
                <w:p w14:paraId="298F521B" w14:textId="77777777" w:rsidR="00692E71" w:rsidRPr="001E3185" w:rsidRDefault="00692E71" w:rsidP="008E0250">
                  <w:pPr>
                    <w:jc w:val="center"/>
                    <w:rPr>
                      <w:rFonts w:cs="Arial"/>
                      <w:b/>
                    </w:rPr>
                  </w:pPr>
                  <w:r w:rsidRPr="001E3185">
                    <w:rPr>
                      <w:rFonts w:cs="Arial"/>
                      <w:b/>
                      <w:i/>
                    </w:rPr>
                    <w:t>In situ</w:t>
                  </w:r>
                  <w:r w:rsidRPr="001E3185">
                    <w:rPr>
                      <w:rFonts w:cs="Arial"/>
                      <w:b/>
                    </w:rPr>
                    <w:t xml:space="preserve"> application</w:t>
                  </w:r>
                </w:p>
                <w:p w14:paraId="7A4D95A5" w14:textId="77777777" w:rsidR="00692E71" w:rsidRPr="001E3185" w:rsidRDefault="00692E71" w:rsidP="008E0250">
                  <w:pPr>
                    <w:jc w:val="center"/>
                    <w:rPr>
                      <w:rFonts w:cs="Arial"/>
                    </w:rPr>
                  </w:pPr>
                  <w:r w:rsidRPr="001E3185">
                    <w:rPr>
                      <w:rFonts w:cs="Arial"/>
                    </w:rPr>
                    <w:t>TWA over the TIME 2 assessment period [µg.L</w:t>
                  </w:r>
                  <w:r w:rsidRPr="001E3185">
                    <w:rPr>
                      <w:rFonts w:cs="Arial"/>
                      <w:vertAlign w:val="superscript"/>
                    </w:rPr>
                    <w:t>-1</w:t>
                  </w:r>
                  <w:r w:rsidRPr="001E3185">
                    <w:rPr>
                      <w:rFonts w:cs="Arial"/>
                    </w:rPr>
                    <w:t>]</w:t>
                  </w:r>
                </w:p>
              </w:tc>
              <w:tc>
                <w:tcPr>
                  <w:tcW w:w="1359" w:type="pct"/>
                  <w:vAlign w:val="center"/>
                </w:tcPr>
                <w:p w14:paraId="0D72D1DB" w14:textId="77777777" w:rsidR="00692E71" w:rsidRPr="001E3185" w:rsidRDefault="00692E71" w:rsidP="008E0250">
                  <w:pPr>
                    <w:jc w:val="center"/>
                    <w:rPr>
                      <w:rFonts w:cs="Arial"/>
                      <w:b/>
                    </w:rPr>
                  </w:pPr>
                  <w:r w:rsidRPr="001E3185">
                    <w:rPr>
                      <w:rFonts w:cs="Arial"/>
                      <w:b/>
                    </w:rPr>
                    <w:t>Industrial application</w:t>
                  </w:r>
                </w:p>
                <w:p w14:paraId="08E97C3A" w14:textId="77777777" w:rsidR="00692E71" w:rsidRPr="001E3185" w:rsidRDefault="00692E71" w:rsidP="008E0250">
                  <w:pPr>
                    <w:jc w:val="center"/>
                    <w:rPr>
                      <w:rFonts w:cs="Arial"/>
                    </w:rPr>
                  </w:pPr>
                  <w:r w:rsidRPr="001E3185">
                    <w:rPr>
                      <w:rFonts w:cs="Arial"/>
                    </w:rPr>
                    <w:t>TWA over the TIME 2 assessment period [µg.L</w:t>
                  </w:r>
                  <w:r w:rsidRPr="001E3185">
                    <w:rPr>
                      <w:rFonts w:cs="Arial"/>
                      <w:vertAlign w:val="superscript"/>
                    </w:rPr>
                    <w:t>-1</w:t>
                  </w:r>
                  <w:r w:rsidRPr="001E3185">
                    <w:rPr>
                      <w:rFonts w:cs="Arial"/>
                    </w:rPr>
                    <w:t>]</w:t>
                  </w:r>
                </w:p>
              </w:tc>
            </w:tr>
            <w:tr w:rsidR="00692E71" w:rsidRPr="001E3185" w14:paraId="251B9968" w14:textId="77777777" w:rsidTr="008E0250">
              <w:trPr>
                <w:trHeight w:val="340"/>
                <w:jc w:val="center"/>
              </w:trPr>
              <w:tc>
                <w:tcPr>
                  <w:tcW w:w="869" w:type="pct"/>
                  <w:vAlign w:val="center"/>
                </w:tcPr>
                <w:p w14:paraId="056EFC13" w14:textId="77777777" w:rsidR="00692E71" w:rsidRPr="001E3185" w:rsidRDefault="00692E71" w:rsidP="008E0250">
                  <w:pPr>
                    <w:rPr>
                      <w:rFonts w:cs="Arial"/>
                    </w:rPr>
                  </w:pPr>
                  <w:r w:rsidRPr="001E3185">
                    <w:rPr>
                      <w:rFonts w:cs="Arial"/>
                    </w:rPr>
                    <w:t>Tebuconazole</w:t>
                  </w:r>
                </w:p>
              </w:tc>
              <w:tc>
                <w:tcPr>
                  <w:tcW w:w="1444" w:type="pct"/>
                  <w:vAlign w:val="center"/>
                </w:tcPr>
                <w:p w14:paraId="0DC9195B" w14:textId="77777777" w:rsidR="00692E71" w:rsidRPr="001E3185" w:rsidRDefault="00692E71" w:rsidP="008E0250">
                  <w:pPr>
                    <w:jc w:val="center"/>
                    <w:rPr>
                      <w:rFonts w:cs="Arial"/>
                    </w:rPr>
                  </w:pPr>
                  <w:r w:rsidRPr="001E3185">
                    <w:rPr>
                      <w:rFonts w:cs="Arial"/>
                    </w:rPr>
                    <w:t>3.76E-02</w:t>
                  </w:r>
                </w:p>
              </w:tc>
              <w:tc>
                <w:tcPr>
                  <w:tcW w:w="1328" w:type="pct"/>
                  <w:vAlign w:val="center"/>
                </w:tcPr>
                <w:p w14:paraId="76DE7F99" w14:textId="77777777" w:rsidR="00692E71" w:rsidRPr="001E3185" w:rsidRDefault="00692E71" w:rsidP="008E0250">
                  <w:pPr>
                    <w:jc w:val="center"/>
                    <w:rPr>
                      <w:rFonts w:cs="Arial"/>
                    </w:rPr>
                  </w:pPr>
                  <w:r w:rsidRPr="001E3185">
                    <w:rPr>
                      <w:rFonts w:cs="Arial"/>
                    </w:rPr>
                    <w:t>9.64E-03</w:t>
                  </w:r>
                </w:p>
              </w:tc>
              <w:tc>
                <w:tcPr>
                  <w:tcW w:w="1359" w:type="pct"/>
                  <w:vAlign w:val="center"/>
                </w:tcPr>
                <w:p w14:paraId="50D20BCD" w14:textId="77777777" w:rsidR="00692E71" w:rsidRPr="001E3185" w:rsidRDefault="00692E71" w:rsidP="008E0250">
                  <w:pPr>
                    <w:jc w:val="center"/>
                    <w:rPr>
                      <w:rFonts w:cs="Arial"/>
                    </w:rPr>
                  </w:pPr>
                  <w:r w:rsidRPr="001E3185">
                    <w:rPr>
                      <w:rFonts w:cs="Arial"/>
                    </w:rPr>
                    <w:t>7.97E-03</w:t>
                  </w:r>
                </w:p>
              </w:tc>
            </w:tr>
            <w:tr w:rsidR="00692E71" w:rsidRPr="001E3185" w14:paraId="161C75F8" w14:textId="77777777" w:rsidTr="008E0250">
              <w:trPr>
                <w:trHeight w:val="340"/>
                <w:jc w:val="center"/>
              </w:trPr>
              <w:tc>
                <w:tcPr>
                  <w:tcW w:w="869" w:type="pct"/>
                  <w:vAlign w:val="center"/>
                </w:tcPr>
                <w:p w14:paraId="2ED8EDC5" w14:textId="77777777" w:rsidR="00692E71" w:rsidRPr="001E3185" w:rsidRDefault="00692E71" w:rsidP="008E0250">
                  <w:pPr>
                    <w:rPr>
                      <w:rFonts w:cs="Arial"/>
                    </w:rPr>
                  </w:pPr>
                  <w:r w:rsidRPr="001E3185">
                    <w:rPr>
                      <w:rFonts w:cs="Arial"/>
                    </w:rPr>
                    <w:t>Propiconazole</w:t>
                  </w:r>
                </w:p>
              </w:tc>
              <w:tc>
                <w:tcPr>
                  <w:tcW w:w="1444" w:type="pct"/>
                  <w:vAlign w:val="center"/>
                </w:tcPr>
                <w:p w14:paraId="532660E1" w14:textId="77777777" w:rsidR="00692E71" w:rsidRPr="001E3185" w:rsidRDefault="00692E71" w:rsidP="008E0250">
                  <w:pPr>
                    <w:jc w:val="center"/>
                    <w:rPr>
                      <w:rFonts w:cs="Arial"/>
                    </w:rPr>
                  </w:pPr>
                  <w:r w:rsidRPr="001E3185">
                    <w:rPr>
                      <w:rFonts w:cs="Arial"/>
                    </w:rPr>
                    <w:t>6.05E-02</w:t>
                  </w:r>
                </w:p>
              </w:tc>
              <w:tc>
                <w:tcPr>
                  <w:tcW w:w="1328" w:type="pct"/>
                  <w:vAlign w:val="center"/>
                </w:tcPr>
                <w:p w14:paraId="025F6811" w14:textId="77777777" w:rsidR="00692E71" w:rsidRPr="001E3185" w:rsidRDefault="00692E71" w:rsidP="008E0250">
                  <w:pPr>
                    <w:jc w:val="center"/>
                    <w:rPr>
                      <w:rFonts w:cs="Arial"/>
                    </w:rPr>
                  </w:pPr>
                  <w:r w:rsidRPr="001E3185">
                    <w:rPr>
                      <w:rFonts w:cs="Arial"/>
                    </w:rPr>
                    <w:t>7.21E-03</w:t>
                  </w:r>
                </w:p>
              </w:tc>
              <w:tc>
                <w:tcPr>
                  <w:tcW w:w="1359" w:type="pct"/>
                  <w:vAlign w:val="center"/>
                </w:tcPr>
                <w:p w14:paraId="2127FCDD" w14:textId="77777777" w:rsidR="00692E71" w:rsidRPr="001E3185" w:rsidRDefault="00692E71" w:rsidP="008E0250">
                  <w:pPr>
                    <w:jc w:val="center"/>
                    <w:rPr>
                      <w:rFonts w:cs="Arial"/>
                    </w:rPr>
                  </w:pPr>
                  <w:r w:rsidRPr="001E3185">
                    <w:rPr>
                      <w:rFonts w:cs="Arial"/>
                    </w:rPr>
                    <w:t>6.06E-03</w:t>
                  </w:r>
                </w:p>
              </w:tc>
            </w:tr>
            <w:tr w:rsidR="00692E71" w:rsidRPr="001E3185" w14:paraId="33ECA798" w14:textId="77777777" w:rsidTr="008E0250">
              <w:trPr>
                <w:trHeight w:val="340"/>
                <w:jc w:val="center"/>
              </w:trPr>
              <w:tc>
                <w:tcPr>
                  <w:tcW w:w="869" w:type="pct"/>
                  <w:vAlign w:val="center"/>
                </w:tcPr>
                <w:p w14:paraId="5CE660BE" w14:textId="77777777" w:rsidR="00692E71" w:rsidRPr="001E3185" w:rsidRDefault="00692E71" w:rsidP="008E0250">
                  <w:pPr>
                    <w:rPr>
                      <w:rFonts w:cs="Arial"/>
                    </w:rPr>
                  </w:pPr>
                  <w:r w:rsidRPr="001E3185">
                    <w:rPr>
                      <w:rFonts w:cs="Arial"/>
                    </w:rPr>
                    <w:t>Cypermethrin</w:t>
                  </w:r>
                </w:p>
              </w:tc>
              <w:tc>
                <w:tcPr>
                  <w:tcW w:w="1444" w:type="pct"/>
                  <w:vAlign w:val="center"/>
                </w:tcPr>
                <w:p w14:paraId="0D1A34F7" w14:textId="77777777" w:rsidR="00692E71" w:rsidRPr="001E3185" w:rsidRDefault="00692E71" w:rsidP="008E0250">
                  <w:pPr>
                    <w:jc w:val="center"/>
                    <w:rPr>
                      <w:rFonts w:cs="Arial"/>
                    </w:rPr>
                  </w:pPr>
                  <w:r w:rsidRPr="001E3185">
                    <w:rPr>
                      <w:rFonts w:cs="Arial"/>
                    </w:rPr>
                    <w:t>3.67E-05</w:t>
                  </w:r>
                </w:p>
              </w:tc>
              <w:tc>
                <w:tcPr>
                  <w:tcW w:w="1328" w:type="pct"/>
                  <w:vAlign w:val="center"/>
                </w:tcPr>
                <w:p w14:paraId="416E9656" w14:textId="77777777" w:rsidR="00692E71" w:rsidRPr="001E3185" w:rsidRDefault="00692E71" w:rsidP="008E0250">
                  <w:pPr>
                    <w:jc w:val="center"/>
                    <w:rPr>
                      <w:rFonts w:cs="Arial"/>
                    </w:rPr>
                  </w:pPr>
                  <w:r w:rsidRPr="001E3185">
                    <w:rPr>
                      <w:rFonts w:cs="Arial"/>
                    </w:rPr>
                    <w:t>3.09E-05</w:t>
                  </w:r>
                </w:p>
              </w:tc>
              <w:tc>
                <w:tcPr>
                  <w:tcW w:w="1359" w:type="pct"/>
                  <w:vAlign w:val="center"/>
                </w:tcPr>
                <w:p w14:paraId="4A8A3A55" w14:textId="77777777" w:rsidR="00692E71" w:rsidRPr="001E3185" w:rsidRDefault="00692E71" w:rsidP="008E0250">
                  <w:pPr>
                    <w:jc w:val="center"/>
                    <w:rPr>
                      <w:rFonts w:cs="Arial"/>
                    </w:rPr>
                  </w:pPr>
                  <w:r w:rsidRPr="001E3185">
                    <w:rPr>
                      <w:rFonts w:cs="Arial"/>
                    </w:rPr>
                    <w:t>3.09E-05</w:t>
                  </w:r>
                </w:p>
              </w:tc>
            </w:tr>
            <w:tr w:rsidR="00692E71" w:rsidRPr="001E3185" w14:paraId="626D5BC0" w14:textId="77777777" w:rsidTr="008E0250">
              <w:trPr>
                <w:trHeight w:val="340"/>
                <w:jc w:val="center"/>
              </w:trPr>
              <w:tc>
                <w:tcPr>
                  <w:tcW w:w="869" w:type="pct"/>
                  <w:vAlign w:val="center"/>
                </w:tcPr>
                <w:p w14:paraId="18E64E75" w14:textId="77777777" w:rsidR="00692E71" w:rsidRPr="001E3185" w:rsidRDefault="00692E71" w:rsidP="008E0250">
                  <w:pPr>
                    <w:rPr>
                      <w:rFonts w:cs="Arial"/>
                    </w:rPr>
                  </w:pPr>
                  <w:r w:rsidRPr="001E3185">
                    <w:rPr>
                      <w:rFonts w:cs="Arial"/>
                    </w:rPr>
                    <w:t>IPBC</w:t>
                  </w:r>
                </w:p>
              </w:tc>
              <w:tc>
                <w:tcPr>
                  <w:tcW w:w="1444" w:type="pct"/>
                  <w:vAlign w:val="center"/>
                </w:tcPr>
                <w:p w14:paraId="565CA8FB" w14:textId="77777777" w:rsidR="00692E71" w:rsidRPr="001E3185" w:rsidRDefault="00692E71" w:rsidP="008E0250">
                  <w:pPr>
                    <w:jc w:val="center"/>
                    <w:rPr>
                      <w:rFonts w:cs="Arial"/>
                    </w:rPr>
                  </w:pPr>
                  <w:r w:rsidRPr="001E3185">
                    <w:rPr>
                      <w:rFonts w:cs="Arial"/>
                    </w:rPr>
                    <w:t>3.11E-04</w:t>
                  </w:r>
                </w:p>
              </w:tc>
              <w:tc>
                <w:tcPr>
                  <w:tcW w:w="1328" w:type="pct"/>
                  <w:vAlign w:val="center"/>
                </w:tcPr>
                <w:p w14:paraId="3BCB9427" w14:textId="77777777" w:rsidR="00692E71" w:rsidRPr="001E3185" w:rsidRDefault="00692E71" w:rsidP="008E0250">
                  <w:pPr>
                    <w:jc w:val="center"/>
                    <w:rPr>
                      <w:rFonts w:cs="Arial"/>
                    </w:rPr>
                  </w:pPr>
                  <w:r w:rsidRPr="001E3185">
                    <w:rPr>
                      <w:rFonts w:cs="Arial"/>
                    </w:rPr>
                    <w:t>1.92E-05</w:t>
                  </w:r>
                </w:p>
              </w:tc>
              <w:tc>
                <w:tcPr>
                  <w:tcW w:w="1359" w:type="pct"/>
                  <w:vAlign w:val="center"/>
                </w:tcPr>
                <w:p w14:paraId="0BFF7663" w14:textId="77777777" w:rsidR="00692E71" w:rsidRPr="001E3185" w:rsidRDefault="00692E71" w:rsidP="008E0250">
                  <w:pPr>
                    <w:jc w:val="center"/>
                    <w:rPr>
                      <w:rFonts w:cs="Arial"/>
                    </w:rPr>
                  </w:pPr>
                  <w:r w:rsidRPr="001E3185">
                    <w:rPr>
                      <w:rFonts w:cs="Arial"/>
                    </w:rPr>
                    <w:t>1.59E-05</w:t>
                  </w:r>
                </w:p>
              </w:tc>
            </w:tr>
            <w:tr w:rsidR="00692E71" w:rsidRPr="001E3185" w14:paraId="3618EF37" w14:textId="77777777" w:rsidTr="008E0250">
              <w:trPr>
                <w:trHeight w:val="340"/>
                <w:jc w:val="center"/>
              </w:trPr>
              <w:tc>
                <w:tcPr>
                  <w:tcW w:w="869" w:type="pct"/>
                  <w:vAlign w:val="center"/>
                </w:tcPr>
                <w:p w14:paraId="1865BFE6" w14:textId="77777777" w:rsidR="00692E71" w:rsidRPr="001E3185" w:rsidRDefault="00692E71" w:rsidP="008E0250">
                  <w:pPr>
                    <w:rPr>
                      <w:rFonts w:cs="Arial"/>
                    </w:rPr>
                  </w:pPr>
                  <w:r w:rsidRPr="001E3185">
                    <w:rPr>
                      <w:rFonts w:cs="Arial"/>
                    </w:rPr>
                    <w:t>PBC</w:t>
                  </w:r>
                </w:p>
              </w:tc>
              <w:tc>
                <w:tcPr>
                  <w:tcW w:w="1444" w:type="pct"/>
                  <w:vAlign w:val="center"/>
                </w:tcPr>
                <w:p w14:paraId="127FAAA8" w14:textId="77777777" w:rsidR="00692E71" w:rsidRPr="001E3185" w:rsidRDefault="00692E71" w:rsidP="008E0250">
                  <w:pPr>
                    <w:jc w:val="center"/>
                    <w:rPr>
                      <w:rFonts w:cs="Arial"/>
                    </w:rPr>
                  </w:pPr>
                  <w:r w:rsidRPr="001E3185">
                    <w:rPr>
                      <w:rFonts w:cs="Arial"/>
                    </w:rPr>
                    <w:t>1.13E-02</w:t>
                  </w:r>
                </w:p>
              </w:tc>
              <w:tc>
                <w:tcPr>
                  <w:tcW w:w="1328" w:type="pct"/>
                  <w:vAlign w:val="center"/>
                </w:tcPr>
                <w:p w14:paraId="46C2A92D" w14:textId="77777777" w:rsidR="00692E71" w:rsidRPr="001E3185" w:rsidRDefault="00692E71" w:rsidP="008E0250">
                  <w:pPr>
                    <w:jc w:val="center"/>
                    <w:rPr>
                      <w:rFonts w:cs="Arial"/>
                    </w:rPr>
                  </w:pPr>
                  <w:r w:rsidRPr="001E3185">
                    <w:rPr>
                      <w:rFonts w:cs="Arial"/>
                    </w:rPr>
                    <w:t>2.50E-03</w:t>
                  </w:r>
                </w:p>
              </w:tc>
              <w:tc>
                <w:tcPr>
                  <w:tcW w:w="1359" w:type="pct"/>
                  <w:vAlign w:val="center"/>
                </w:tcPr>
                <w:p w14:paraId="34E0FB64" w14:textId="77777777" w:rsidR="00692E71" w:rsidRPr="001E3185" w:rsidRDefault="00692E71" w:rsidP="008E0250">
                  <w:pPr>
                    <w:jc w:val="center"/>
                    <w:rPr>
                      <w:rFonts w:cs="Arial"/>
                    </w:rPr>
                  </w:pPr>
                  <w:r w:rsidRPr="001E3185">
                    <w:rPr>
                      <w:rFonts w:cs="Arial"/>
                    </w:rPr>
                    <w:t>2.11E-03</w:t>
                  </w:r>
                </w:p>
              </w:tc>
            </w:tr>
            <w:tr w:rsidR="00692E71" w:rsidRPr="001E3185" w14:paraId="43C828AC" w14:textId="77777777" w:rsidTr="008E0250">
              <w:trPr>
                <w:trHeight w:val="397"/>
                <w:jc w:val="center"/>
              </w:trPr>
              <w:tc>
                <w:tcPr>
                  <w:tcW w:w="5000" w:type="pct"/>
                  <w:gridSpan w:val="4"/>
                  <w:vAlign w:val="center"/>
                </w:tcPr>
                <w:p w14:paraId="759DDA2F" w14:textId="77777777" w:rsidR="00692E71" w:rsidRPr="001E3185" w:rsidRDefault="00692E71" w:rsidP="008E0250">
                  <w:pPr>
                    <w:jc w:val="center"/>
                    <w:rPr>
                      <w:rFonts w:cs="Arial"/>
                      <w:b/>
                      <w:i/>
                    </w:rPr>
                  </w:pPr>
                  <w:r w:rsidRPr="001E3185">
                    <w:rPr>
                      <w:rFonts w:cs="Arial"/>
                      <w:b/>
                      <w:iCs/>
                    </w:rPr>
                    <w:t>PEC local sediment</w:t>
                  </w:r>
                </w:p>
              </w:tc>
            </w:tr>
            <w:tr w:rsidR="00692E71" w:rsidRPr="001E3185" w14:paraId="02A041EB" w14:textId="77777777" w:rsidTr="008E0250">
              <w:trPr>
                <w:trHeight w:val="340"/>
                <w:jc w:val="center"/>
              </w:trPr>
              <w:tc>
                <w:tcPr>
                  <w:tcW w:w="869" w:type="pct"/>
                  <w:vAlign w:val="center"/>
                </w:tcPr>
                <w:p w14:paraId="70CD2207" w14:textId="77777777" w:rsidR="00692E71" w:rsidRPr="001E3185" w:rsidRDefault="00692E71" w:rsidP="008E0250">
                  <w:pPr>
                    <w:rPr>
                      <w:rFonts w:cs="Arial"/>
                      <w:b/>
                    </w:rPr>
                  </w:pPr>
                </w:p>
              </w:tc>
              <w:tc>
                <w:tcPr>
                  <w:tcW w:w="1444" w:type="pct"/>
                  <w:vAlign w:val="center"/>
                </w:tcPr>
                <w:p w14:paraId="089F54B1"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6380BE60" w14:textId="77777777" w:rsidR="00692E71" w:rsidRPr="001E3185" w:rsidRDefault="00692E71" w:rsidP="008E0250">
                  <w:pPr>
                    <w:jc w:val="center"/>
                    <w:rPr>
                      <w:rFonts w:cs="Arial"/>
                    </w:rPr>
                  </w:pPr>
                  <w:r w:rsidRPr="001E3185">
                    <w:rPr>
                      <w:rFonts w:cs="Arial"/>
                    </w:rPr>
                    <w:t>TIME 1 assessment period (30 days)</w:t>
                  </w:r>
                </w:p>
                <w:p w14:paraId="5D144BEE" w14:textId="77777777" w:rsidR="00692E71" w:rsidRPr="001E3185" w:rsidRDefault="00692E71" w:rsidP="008E0250">
                  <w:pPr>
                    <w:jc w:val="center"/>
                    <w:rPr>
                      <w:rFonts w:cs="Arial"/>
                    </w:rPr>
                  </w:pP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c>
                <w:tcPr>
                  <w:tcW w:w="1328" w:type="pct"/>
                  <w:vAlign w:val="center"/>
                </w:tcPr>
                <w:p w14:paraId="6EB1C83E" w14:textId="77777777" w:rsidR="00692E71" w:rsidRPr="001E3185" w:rsidRDefault="00692E71" w:rsidP="008E0250">
                  <w:pPr>
                    <w:jc w:val="center"/>
                    <w:rPr>
                      <w:rFonts w:cs="Arial"/>
                      <w:b/>
                    </w:rPr>
                  </w:pPr>
                  <w:r w:rsidRPr="001E3185">
                    <w:rPr>
                      <w:rFonts w:cs="Arial"/>
                      <w:b/>
                      <w:i/>
                    </w:rPr>
                    <w:t>In situ</w:t>
                  </w:r>
                  <w:r w:rsidRPr="001E3185">
                    <w:rPr>
                      <w:rFonts w:cs="Arial"/>
                      <w:b/>
                    </w:rPr>
                    <w:t xml:space="preserve"> application</w:t>
                  </w:r>
                </w:p>
                <w:p w14:paraId="355BEA1C" w14:textId="77777777" w:rsidR="00692E71" w:rsidRPr="001E3185" w:rsidRDefault="00692E71" w:rsidP="008E0250">
                  <w:pPr>
                    <w:jc w:val="center"/>
                    <w:rPr>
                      <w:rFonts w:cs="Arial"/>
                      <w:b/>
                    </w:rPr>
                  </w:pPr>
                  <w:r w:rsidRPr="001E3185">
                    <w:rPr>
                      <w:rFonts w:cs="Arial"/>
                    </w:rPr>
                    <w:t>over the TIME 2 assessment period [mg.kg</w:t>
                  </w:r>
                  <w:r w:rsidRPr="001E3185">
                    <w:rPr>
                      <w:rFonts w:cs="Arial"/>
                      <w:vertAlign w:val="superscript"/>
                    </w:rPr>
                    <w:t>-1</w:t>
                  </w:r>
                  <w:r w:rsidRPr="001E3185">
                    <w:rPr>
                      <w:rFonts w:cs="Arial"/>
                      <w:vertAlign w:val="subscript"/>
                    </w:rPr>
                    <w:t>wwt</w:t>
                  </w:r>
                  <w:r w:rsidRPr="001E3185">
                    <w:rPr>
                      <w:rFonts w:cs="Arial"/>
                    </w:rPr>
                    <w:t>]</w:t>
                  </w:r>
                </w:p>
              </w:tc>
              <w:tc>
                <w:tcPr>
                  <w:tcW w:w="1359" w:type="pct"/>
                  <w:vAlign w:val="center"/>
                </w:tcPr>
                <w:p w14:paraId="22310A1E" w14:textId="77777777" w:rsidR="00692E71" w:rsidRPr="001E3185" w:rsidRDefault="00692E71" w:rsidP="008E0250">
                  <w:pPr>
                    <w:jc w:val="center"/>
                    <w:rPr>
                      <w:rFonts w:cs="Arial"/>
                      <w:b/>
                    </w:rPr>
                  </w:pPr>
                  <w:r w:rsidRPr="001E3185">
                    <w:rPr>
                      <w:rFonts w:cs="Arial"/>
                      <w:b/>
                    </w:rPr>
                    <w:t>Industrial application</w:t>
                  </w:r>
                </w:p>
                <w:p w14:paraId="4E5DE17C" w14:textId="77777777" w:rsidR="00692E71" w:rsidRPr="001E3185" w:rsidRDefault="00692E71" w:rsidP="008E0250">
                  <w:pPr>
                    <w:jc w:val="center"/>
                    <w:rPr>
                      <w:rFonts w:cs="Arial"/>
                    </w:rPr>
                  </w:pPr>
                  <w:r w:rsidRPr="001E3185">
                    <w:rPr>
                      <w:rFonts w:cs="Arial"/>
                    </w:rPr>
                    <w:t>over the TIME 2 assessment period [mg.kg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470DFCF4" w14:textId="77777777" w:rsidTr="008E0250">
              <w:trPr>
                <w:trHeight w:val="340"/>
                <w:jc w:val="center"/>
              </w:trPr>
              <w:tc>
                <w:tcPr>
                  <w:tcW w:w="869" w:type="pct"/>
                  <w:vAlign w:val="center"/>
                </w:tcPr>
                <w:p w14:paraId="590D8F1D" w14:textId="77777777" w:rsidR="00692E71" w:rsidRPr="001E3185" w:rsidRDefault="00692E71" w:rsidP="008E0250">
                  <w:pPr>
                    <w:rPr>
                      <w:rFonts w:cs="Arial"/>
                    </w:rPr>
                  </w:pPr>
                  <w:r w:rsidRPr="001E3185">
                    <w:rPr>
                      <w:rFonts w:cs="Arial"/>
                    </w:rPr>
                    <w:t>Tebuconazole</w:t>
                  </w:r>
                </w:p>
              </w:tc>
              <w:tc>
                <w:tcPr>
                  <w:tcW w:w="1444" w:type="pct"/>
                  <w:vAlign w:val="center"/>
                </w:tcPr>
                <w:p w14:paraId="783834F5" w14:textId="77777777" w:rsidR="00692E71" w:rsidRPr="001E3185" w:rsidRDefault="00692E71" w:rsidP="00D660B7">
                  <w:pPr>
                    <w:jc w:val="center"/>
                    <w:rPr>
                      <w:rFonts w:cs="Arial"/>
                    </w:rPr>
                  </w:pPr>
                  <w:r w:rsidRPr="001E3185">
                    <w:rPr>
                      <w:rFonts w:cs="Arial"/>
                    </w:rPr>
                    <w:t>9.</w:t>
                  </w:r>
                  <w:r w:rsidR="00D660B7" w:rsidRPr="001E3185">
                    <w:rPr>
                      <w:rFonts w:cs="Arial"/>
                    </w:rPr>
                    <w:t>49</w:t>
                  </w:r>
                  <w:r w:rsidRPr="001E3185">
                    <w:rPr>
                      <w:rFonts w:cs="Arial"/>
                    </w:rPr>
                    <w:t>E-04</w:t>
                  </w:r>
                </w:p>
              </w:tc>
              <w:tc>
                <w:tcPr>
                  <w:tcW w:w="1328" w:type="pct"/>
                  <w:vAlign w:val="center"/>
                </w:tcPr>
                <w:p w14:paraId="1F54A1A7" w14:textId="77777777" w:rsidR="00692E71" w:rsidRPr="001E3185" w:rsidRDefault="00524C53" w:rsidP="00524C53">
                  <w:pPr>
                    <w:jc w:val="center"/>
                    <w:rPr>
                      <w:rFonts w:cs="Arial"/>
                    </w:rPr>
                  </w:pPr>
                  <w:r w:rsidRPr="001E3185">
                    <w:rPr>
                      <w:rFonts w:cs="Arial"/>
                    </w:rPr>
                    <w:t>8.66</w:t>
                  </w:r>
                  <w:r w:rsidR="00692E71" w:rsidRPr="001E3185">
                    <w:rPr>
                      <w:rFonts w:cs="Arial"/>
                    </w:rPr>
                    <w:t>E-0</w:t>
                  </w:r>
                  <w:r w:rsidRPr="001E3185">
                    <w:rPr>
                      <w:rFonts w:cs="Arial"/>
                    </w:rPr>
                    <w:t>4</w:t>
                  </w:r>
                </w:p>
              </w:tc>
              <w:tc>
                <w:tcPr>
                  <w:tcW w:w="1359" w:type="pct"/>
                  <w:vAlign w:val="center"/>
                </w:tcPr>
                <w:p w14:paraId="0CCA46E2" w14:textId="77777777" w:rsidR="00692E71" w:rsidRPr="001E3185" w:rsidRDefault="00524C53" w:rsidP="00524C53">
                  <w:pPr>
                    <w:jc w:val="center"/>
                    <w:rPr>
                      <w:rFonts w:cs="Arial"/>
                    </w:rPr>
                  </w:pPr>
                  <w:r w:rsidRPr="001E3185">
                    <w:rPr>
                      <w:rFonts w:cs="Arial"/>
                    </w:rPr>
                    <w:t>7.86</w:t>
                  </w:r>
                  <w:r w:rsidR="00692E71" w:rsidRPr="001E3185">
                    <w:rPr>
                      <w:rFonts w:cs="Arial"/>
                    </w:rPr>
                    <w:t>E-0</w:t>
                  </w:r>
                  <w:r w:rsidRPr="001E3185">
                    <w:rPr>
                      <w:rFonts w:cs="Arial"/>
                    </w:rPr>
                    <w:t>4</w:t>
                  </w:r>
                </w:p>
              </w:tc>
            </w:tr>
            <w:tr w:rsidR="00692E71" w:rsidRPr="001E3185" w14:paraId="2E2ECEF3" w14:textId="77777777" w:rsidTr="008E0250">
              <w:trPr>
                <w:trHeight w:val="340"/>
                <w:jc w:val="center"/>
              </w:trPr>
              <w:tc>
                <w:tcPr>
                  <w:tcW w:w="869" w:type="pct"/>
                  <w:vAlign w:val="center"/>
                </w:tcPr>
                <w:p w14:paraId="7EAE06F6" w14:textId="77777777" w:rsidR="00692E71" w:rsidRPr="001E3185" w:rsidRDefault="00692E71" w:rsidP="008E0250">
                  <w:pPr>
                    <w:rPr>
                      <w:rFonts w:cs="Arial"/>
                    </w:rPr>
                  </w:pPr>
                  <w:r w:rsidRPr="001E3185">
                    <w:rPr>
                      <w:rFonts w:cs="Arial"/>
                    </w:rPr>
                    <w:t>Propiconazole</w:t>
                  </w:r>
                </w:p>
              </w:tc>
              <w:tc>
                <w:tcPr>
                  <w:tcW w:w="1444" w:type="pct"/>
                  <w:vAlign w:val="center"/>
                </w:tcPr>
                <w:p w14:paraId="754E01E7" w14:textId="77777777" w:rsidR="00692E71" w:rsidRPr="001E3185" w:rsidRDefault="00692E71" w:rsidP="008E0250">
                  <w:pPr>
                    <w:jc w:val="center"/>
                    <w:rPr>
                      <w:rFonts w:cs="Arial"/>
                    </w:rPr>
                  </w:pPr>
                  <w:r w:rsidRPr="001E3185">
                    <w:rPr>
                      <w:rFonts w:cs="Arial"/>
                    </w:rPr>
                    <w:t>2.11E-03</w:t>
                  </w:r>
                </w:p>
              </w:tc>
              <w:tc>
                <w:tcPr>
                  <w:tcW w:w="1328" w:type="pct"/>
                  <w:vAlign w:val="center"/>
                </w:tcPr>
                <w:p w14:paraId="4CABE28B" w14:textId="77777777" w:rsidR="00692E71" w:rsidRPr="001E3185" w:rsidRDefault="00692E71" w:rsidP="008E0250">
                  <w:pPr>
                    <w:jc w:val="center"/>
                    <w:rPr>
                      <w:rFonts w:cs="Arial"/>
                    </w:rPr>
                  </w:pPr>
                  <w:r w:rsidRPr="001E3185">
                    <w:rPr>
                      <w:rFonts w:cs="Arial"/>
                    </w:rPr>
                    <w:t>5.94-03</w:t>
                  </w:r>
                </w:p>
              </w:tc>
              <w:tc>
                <w:tcPr>
                  <w:tcW w:w="1359" w:type="pct"/>
                  <w:vAlign w:val="center"/>
                </w:tcPr>
                <w:p w14:paraId="791ED06D" w14:textId="77777777" w:rsidR="00692E71" w:rsidRPr="001E3185" w:rsidRDefault="00692E71" w:rsidP="008E0250">
                  <w:pPr>
                    <w:jc w:val="center"/>
                    <w:rPr>
                      <w:rFonts w:cs="Arial"/>
                    </w:rPr>
                  </w:pPr>
                  <w:r w:rsidRPr="001E3185">
                    <w:rPr>
                      <w:rFonts w:cs="Arial"/>
                    </w:rPr>
                    <w:t>9.06E-03</w:t>
                  </w:r>
                </w:p>
              </w:tc>
            </w:tr>
            <w:tr w:rsidR="00692E71" w:rsidRPr="001E3185" w14:paraId="194B3811" w14:textId="77777777" w:rsidTr="008E0250">
              <w:trPr>
                <w:trHeight w:val="340"/>
                <w:jc w:val="center"/>
              </w:trPr>
              <w:tc>
                <w:tcPr>
                  <w:tcW w:w="869" w:type="pct"/>
                  <w:vAlign w:val="center"/>
                </w:tcPr>
                <w:p w14:paraId="54C602BD" w14:textId="77777777" w:rsidR="00692E71" w:rsidRPr="001E3185" w:rsidRDefault="00692E71" w:rsidP="008E0250">
                  <w:pPr>
                    <w:rPr>
                      <w:rFonts w:cs="Arial"/>
                    </w:rPr>
                  </w:pPr>
                  <w:r w:rsidRPr="001E3185">
                    <w:rPr>
                      <w:rFonts w:cs="Arial"/>
                    </w:rPr>
                    <w:t>Cypermethrin</w:t>
                  </w:r>
                </w:p>
              </w:tc>
              <w:tc>
                <w:tcPr>
                  <w:tcW w:w="1444" w:type="pct"/>
                  <w:vAlign w:val="center"/>
                </w:tcPr>
                <w:p w14:paraId="4B63EAEB" w14:textId="77777777" w:rsidR="00692E71" w:rsidRPr="001E3185" w:rsidRDefault="00A30A2D" w:rsidP="008E0250">
                  <w:pPr>
                    <w:jc w:val="center"/>
                    <w:rPr>
                      <w:rFonts w:cs="Arial"/>
                    </w:rPr>
                  </w:pPr>
                  <w:r w:rsidRPr="001E3185">
                    <w:rPr>
                      <w:rFonts w:cs="Arial"/>
                    </w:rPr>
                    <w:t>3.74</w:t>
                  </w:r>
                  <w:r w:rsidR="00692E71" w:rsidRPr="001E3185">
                    <w:rPr>
                      <w:rFonts w:cs="Arial"/>
                    </w:rPr>
                    <w:t>E-03</w:t>
                  </w:r>
                </w:p>
              </w:tc>
              <w:tc>
                <w:tcPr>
                  <w:tcW w:w="1328" w:type="pct"/>
                  <w:vAlign w:val="center"/>
                </w:tcPr>
                <w:p w14:paraId="5338268A" w14:textId="77777777" w:rsidR="00692E71" w:rsidRPr="001E3185" w:rsidRDefault="00F02328" w:rsidP="008E0250">
                  <w:pPr>
                    <w:jc w:val="center"/>
                    <w:rPr>
                      <w:rFonts w:cs="Arial"/>
                    </w:rPr>
                  </w:pPr>
                  <w:r w:rsidRPr="001E3185">
                    <w:rPr>
                      <w:rFonts w:cs="Arial"/>
                    </w:rPr>
                    <w:t>7.42</w:t>
                  </w:r>
                  <w:r w:rsidR="00692E71" w:rsidRPr="001E3185">
                    <w:rPr>
                      <w:rFonts w:cs="Arial"/>
                    </w:rPr>
                    <w:t>E-03</w:t>
                  </w:r>
                </w:p>
              </w:tc>
              <w:tc>
                <w:tcPr>
                  <w:tcW w:w="1359" w:type="pct"/>
                  <w:vAlign w:val="center"/>
                </w:tcPr>
                <w:p w14:paraId="2C2B6EED" w14:textId="77777777" w:rsidR="00692E71" w:rsidRPr="001E3185" w:rsidRDefault="00524C53" w:rsidP="008E0250">
                  <w:pPr>
                    <w:jc w:val="center"/>
                    <w:rPr>
                      <w:rFonts w:cs="Arial"/>
                    </w:rPr>
                  </w:pPr>
                  <w:r w:rsidRPr="001E3185">
                    <w:rPr>
                      <w:rFonts w:cs="Arial"/>
                    </w:rPr>
                    <w:t>7.48</w:t>
                  </w:r>
                  <w:r w:rsidR="00692E71" w:rsidRPr="001E3185">
                    <w:rPr>
                      <w:rFonts w:cs="Arial"/>
                    </w:rPr>
                    <w:t>E-03</w:t>
                  </w:r>
                </w:p>
              </w:tc>
            </w:tr>
            <w:tr w:rsidR="00692E71" w:rsidRPr="001E3185" w14:paraId="508A1AE3" w14:textId="77777777" w:rsidTr="008E0250">
              <w:trPr>
                <w:trHeight w:val="340"/>
                <w:jc w:val="center"/>
              </w:trPr>
              <w:tc>
                <w:tcPr>
                  <w:tcW w:w="869" w:type="pct"/>
                  <w:vAlign w:val="center"/>
                </w:tcPr>
                <w:p w14:paraId="75B29FF7" w14:textId="77777777" w:rsidR="00692E71" w:rsidRPr="001E3185" w:rsidRDefault="00692E71" w:rsidP="008E0250">
                  <w:pPr>
                    <w:rPr>
                      <w:rFonts w:cs="Arial"/>
                    </w:rPr>
                  </w:pPr>
                  <w:r w:rsidRPr="001E3185">
                    <w:rPr>
                      <w:rFonts w:cs="Arial"/>
                    </w:rPr>
                    <w:t>PBC</w:t>
                  </w:r>
                </w:p>
              </w:tc>
              <w:tc>
                <w:tcPr>
                  <w:tcW w:w="1444" w:type="pct"/>
                  <w:vAlign w:val="center"/>
                </w:tcPr>
                <w:p w14:paraId="60AFC4FC" w14:textId="77777777" w:rsidR="00692E71" w:rsidRPr="001E3185" w:rsidRDefault="00692E71" w:rsidP="008E0250">
                  <w:pPr>
                    <w:jc w:val="center"/>
                    <w:rPr>
                      <w:rFonts w:cs="Arial"/>
                    </w:rPr>
                  </w:pPr>
                  <w:r w:rsidRPr="001E3185">
                    <w:rPr>
                      <w:rFonts w:cs="Arial"/>
                    </w:rPr>
                    <w:t>5.75E-05</w:t>
                  </w:r>
                </w:p>
              </w:tc>
              <w:tc>
                <w:tcPr>
                  <w:tcW w:w="1328" w:type="pct"/>
                  <w:vAlign w:val="center"/>
                </w:tcPr>
                <w:p w14:paraId="5224D3EF" w14:textId="77777777" w:rsidR="00692E71" w:rsidRPr="001E3185" w:rsidRDefault="00692E71" w:rsidP="008E0250">
                  <w:pPr>
                    <w:jc w:val="center"/>
                    <w:rPr>
                      <w:rFonts w:cs="Arial"/>
                    </w:rPr>
                  </w:pPr>
                  <w:r w:rsidRPr="001E3185">
                    <w:rPr>
                      <w:rFonts w:cs="Arial"/>
                    </w:rPr>
                    <w:t>1.28E-05</w:t>
                  </w:r>
                </w:p>
              </w:tc>
              <w:tc>
                <w:tcPr>
                  <w:tcW w:w="1359" w:type="pct"/>
                  <w:vAlign w:val="center"/>
                </w:tcPr>
                <w:p w14:paraId="69E3503D" w14:textId="77777777" w:rsidR="00692E71" w:rsidRPr="001E3185" w:rsidRDefault="00692E71" w:rsidP="008E0250">
                  <w:pPr>
                    <w:jc w:val="center"/>
                    <w:rPr>
                      <w:rFonts w:cs="Arial"/>
                    </w:rPr>
                  </w:pPr>
                  <w:r w:rsidRPr="001E3185">
                    <w:rPr>
                      <w:rFonts w:cs="Arial"/>
                    </w:rPr>
                    <w:t>1.08E-05</w:t>
                  </w:r>
                </w:p>
              </w:tc>
            </w:tr>
          </w:tbl>
          <w:p w14:paraId="5D36516D" w14:textId="77777777" w:rsidR="00692E71" w:rsidRPr="001E3185" w:rsidRDefault="00692E71" w:rsidP="008E0250"/>
          <w:p w14:paraId="07DEB012" w14:textId="77777777" w:rsidR="00692E71" w:rsidRPr="001E3185" w:rsidRDefault="00692E71" w:rsidP="008E0250">
            <w:pPr>
              <w:autoSpaceDE w:val="0"/>
              <w:autoSpaceDN w:val="0"/>
              <w:ind w:right="142"/>
              <w:rPr>
                <w:rFonts w:cs="Arial"/>
              </w:rPr>
            </w:pPr>
          </w:p>
          <w:p w14:paraId="0515647B" w14:textId="77777777" w:rsidR="00692E71" w:rsidRPr="001E3185" w:rsidRDefault="00692E71" w:rsidP="00F32B7F">
            <w:pPr>
              <w:pStyle w:val="Lgende"/>
              <w:numPr>
                <w:ilvl w:val="1"/>
                <w:numId w:val="19"/>
              </w:numPr>
              <w:suppressAutoHyphens w:val="0"/>
              <w:spacing w:after="200"/>
              <w:rPr>
                <w:rFonts w:ascii="Verdana" w:hAnsi="Verdana"/>
              </w:rPr>
            </w:pPr>
            <w:r w:rsidRPr="001E3185">
              <w:rPr>
                <w:rFonts w:ascii="Verdana" w:hAnsi="Verdana"/>
              </w:rPr>
              <w:t>Indirect emissions via the STP - Noise barrier scenario</w:t>
            </w:r>
          </w:p>
          <w:p w14:paraId="20BC702B" w14:textId="77777777" w:rsidR="00692E71" w:rsidRPr="001E3185" w:rsidRDefault="00692E71" w:rsidP="008E0250">
            <w:pPr>
              <w:autoSpaceDE w:val="0"/>
              <w:autoSpaceDN w:val="0"/>
              <w:spacing w:after="60"/>
              <w:ind w:right="142"/>
              <w:rPr>
                <w:rFonts w:cs="Arial"/>
              </w:rPr>
            </w:pPr>
          </w:p>
          <w:p w14:paraId="7827DEE9" w14:textId="77777777" w:rsidR="00692E71" w:rsidRPr="001E3185" w:rsidRDefault="00692E71" w:rsidP="008E0250">
            <w:pPr>
              <w:spacing w:line="276" w:lineRule="auto"/>
              <w:rPr>
                <w:rFonts w:cs="Arial"/>
              </w:rPr>
            </w:pPr>
            <w:r w:rsidRPr="001E3185">
              <w:rPr>
                <w:rFonts w:cs="Arial"/>
              </w:rPr>
              <w:t>The PEC</w:t>
            </w:r>
            <w:r w:rsidRPr="001E3185">
              <w:rPr>
                <w:rFonts w:cs="Arial"/>
                <w:vertAlign w:val="subscript"/>
              </w:rPr>
              <w:t>STP</w:t>
            </w:r>
            <w:r w:rsidRPr="001E3185">
              <w:rPr>
                <w:rFonts w:cs="Arial"/>
              </w:rPr>
              <w:t xml:space="preserve"> was recalculated by FR-CA, considering the noise barrier scenario and the local daily emission rates to the STP following leaching from treated wood calculated according to the equations 32, 33, and 38 of the ECHA guidance, vol.IV, part B (2015).</w:t>
            </w:r>
          </w:p>
          <w:p w14:paraId="2C9F80D0" w14:textId="77777777" w:rsidR="00692E71" w:rsidRPr="001E3185" w:rsidRDefault="00692E71" w:rsidP="008E0250"/>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3526"/>
              <w:gridCol w:w="3517"/>
            </w:tblGrid>
            <w:tr w:rsidR="00692E71" w:rsidRPr="001E3185" w14:paraId="4D1AD785" w14:textId="77777777" w:rsidTr="008E0250">
              <w:trPr>
                <w:trHeight w:val="340"/>
                <w:jc w:val="center"/>
              </w:trPr>
              <w:tc>
                <w:tcPr>
                  <w:tcW w:w="5000" w:type="pct"/>
                  <w:gridSpan w:val="3"/>
                  <w:shd w:val="clear" w:color="auto" w:fill="auto"/>
                  <w:vAlign w:val="center"/>
                </w:tcPr>
                <w:p w14:paraId="7E1D8240" w14:textId="77777777" w:rsidR="00692E71" w:rsidRPr="001E3185" w:rsidRDefault="00692E71" w:rsidP="008E0250">
                  <w:pPr>
                    <w:rPr>
                      <w:rFonts w:cs="Arial"/>
                      <w:b/>
                      <w:bCs/>
                    </w:rPr>
                  </w:pPr>
                  <w:r w:rsidRPr="001E3185">
                    <w:rPr>
                      <w:rFonts w:cs="Arial"/>
                      <w:b/>
                      <w:bCs/>
                    </w:rPr>
                    <w:t>Fraction of emission directed to water by STP – F</w:t>
                  </w:r>
                  <w:r w:rsidRPr="001E3185">
                    <w:rPr>
                      <w:rFonts w:cs="Arial"/>
                      <w:b/>
                      <w:bCs/>
                      <w:vertAlign w:val="subscript"/>
                    </w:rPr>
                    <w:t xml:space="preserve">STP,water </w:t>
                  </w:r>
                  <w:r w:rsidRPr="001E3185">
                    <w:rPr>
                      <w:rFonts w:cs="Arial"/>
                      <w:bCs/>
                    </w:rPr>
                    <w:t>[-]</w:t>
                  </w:r>
                </w:p>
              </w:tc>
            </w:tr>
            <w:tr w:rsidR="00692E71" w:rsidRPr="001E3185" w14:paraId="6917534A" w14:textId="77777777" w:rsidTr="008E0250">
              <w:trPr>
                <w:trHeight w:val="340"/>
                <w:jc w:val="center"/>
              </w:trPr>
              <w:tc>
                <w:tcPr>
                  <w:tcW w:w="939" w:type="pct"/>
                  <w:shd w:val="clear" w:color="auto" w:fill="auto"/>
                  <w:vAlign w:val="center"/>
                </w:tcPr>
                <w:p w14:paraId="19CAF657" w14:textId="77777777" w:rsidR="00692E71" w:rsidRPr="001E3185" w:rsidRDefault="00692E71" w:rsidP="008E0250">
                  <w:pPr>
                    <w:rPr>
                      <w:rFonts w:cs="Arial"/>
                      <w:bCs/>
                    </w:rPr>
                  </w:pPr>
                  <w:r w:rsidRPr="001E3185">
                    <w:rPr>
                      <w:rFonts w:cs="Arial"/>
                      <w:bCs/>
                    </w:rPr>
                    <w:t>Tebuconazole</w:t>
                  </w:r>
                </w:p>
              </w:tc>
              <w:tc>
                <w:tcPr>
                  <w:tcW w:w="4061" w:type="pct"/>
                  <w:gridSpan w:val="2"/>
                  <w:shd w:val="clear" w:color="auto" w:fill="auto"/>
                  <w:vAlign w:val="center"/>
                </w:tcPr>
                <w:p w14:paraId="1A592619" w14:textId="77777777" w:rsidR="00692E71" w:rsidRPr="001E3185" w:rsidRDefault="00692E71" w:rsidP="008E0250">
                  <w:pPr>
                    <w:jc w:val="center"/>
                    <w:rPr>
                      <w:rFonts w:cs="Arial"/>
                      <w:bCs/>
                      <w:i/>
                    </w:rPr>
                  </w:pPr>
                  <w:r w:rsidRPr="001E3185">
                    <w:rPr>
                      <w:rFonts w:cs="Arial"/>
                    </w:rPr>
                    <w:t>0.89</w:t>
                  </w:r>
                </w:p>
              </w:tc>
            </w:tr>
            <w:tr w:rsidR="00692E71" w:rsidRPr="001E3185" w14:paraId="30748916" w14:textId="77777777" w:rsidTr="008E0250">
              <w:trPr>
                <w:trHeight w:val="340"/>
                <w:jc w:val="center"/>
              </w:trPr>
              <w:tc>
                <w:tcPr>
                  <w:tcW w:w="939" w:type="pct"/>
                  <w:shd w:val="clear" w:color="auto" w:fill="auto"/>
                  <w:vAlign w:val="center"/>
                </w:tcPr>
                <w:p w14:paraId="3EE31F4A" w14:textId="77777777" w:rsidR="00692E71" w:rsidRPr="001E3185" w:rsidRDefault="00692E71" w:rsidP="008E0250">
                  <w:pPr>
                    <w:rPr>
                      <w:rFonts w:cs="Arial"/>
                      <w:bCs/>
                    </w:rPr>
                  </w:pPr>
                  <w:r w:rsidRPr="001E3185">
                    <w:rPr>
                      <w:rFonts w:cs="Arial"/>
                      <w:bCs/>
                    </w:rPr>
                    <w:t>Propiconazole</w:t>
                  </w:r>
                </w:p>
              </w:tc>
              <w:tc>
                <w:tcPr>
                  <w:tcW w:w="4061" w:type="pct"/>
                  <w:gridSpan w:val="2"/>
                  <w:shd w:val="clear" w:color="auto" w:fill="auto"/>
                  <w:vAlign w:val="center"/>
                </w:tcPr>
                <w:p w14:paraId="2A3438D2" w14:textId="77777777" w:rsidR="00692E71" w:rsidRPr="001E3185" w:rsidRDefault="00692E71" w:rsidP="008E0250">
                  <w:pPr>
                    <w:jc w:val="center"/>
                    <w:rPr>
                      <w:rFonts w:cs="Arial"/>
                      <w:b/>
                      <w:bCs/>
                      <w:i/>
                    </w:rPr>
                  </w:pPr>
                  <w:r w:rsidRPr="001E3185">
                    <w:rPr>
                      <w:rFonts w:cs="Arial"/>
                    </w:rPr>
                    <w:t>0.9</w:t>
                  </w:r>
                </w:p>
              </w:tc>
            </w:tr>
            <w:tr w:rsidR="00692E71" w:rsidRPr="001E3185" w14:paraId="041B2CD5" w14:textId="77777777" w:rsidTr="008E0250">
              <w:trPr>
                <w:trHeight w:val="340"/>
                <w:jc w:val="center"/>
              </w:trPr>
              <w:tc>
                <w:tcPr>
                  <w:tcW w:w="939" w:type="pct"/>
                  <w:shd w:val="clear" w:color="auto" w:fill="auto"/>
                  <w:vAlign w:val="center"/>
                </w:tcPr>
                <w:p w14:paraId="01BBDEB2" w14:textId="77777777" w:rsidR="00692E71" w:rsidRPr="001E3185" w:rsidRDefault="00692E71" w:rsidP="008E0250">
                  <w:pPr>
                    <w:rPr>
                      <w:rFonts w:cs="Arial"/>
                      <w:bCs/>
                    </w:rPr>
                  </w:pPr>
                  <w:r w:rsidRPr="001E3185">
                    <w:rPr>
                      <w:rFonts w:cs="Arial"/>
                      <w:bCs/>
                    </w:rPr>
                    <w:t>Cypermethrin</w:t>
                  </w:r>
                </w:p>
              </w:tc>
              <w:tc>
                <w:tcPr>
                  <w:tcW w:w="4061" w:type="pct"/>
                  <w:gridSpan w:val="2"/>
                  <w:shd w:val="clear" w:color="auto" w:fill="auto"/>
                  <w:vAlign w:val="center"/>
                </w:tcPr>
                <w:p w14:paraId="1F5B1401" w14:textId="77777777" w:rsidR="00692E71" w:rsidRPr="001E3185" w:rsidRDefault="00692E71" w:rsidP="008E0250">
                  <w:pPr>
                    <w:jc w:val="center"/>
                    <w:rPr>
                      <w:rFonts w:cs="Arial"/>
                      <w:b/>
                      <w:bCs/>
                      <w:i/>
                    </w:rPr>
                  </w:pPr>
                  <w:r w:rsidRPr="001E3185">
                    <w:rPr>
                      <w:rFonts w:cs="Arial"/>
                    </w:rPr>
                    <w:t>0.091</w:t>
                  </w:r>
                </w:p>
              </w:tc>
            </w:tr>
            <w:tr w:rsidR="00692E71" w:rsidRPr="001E3185" w14:paraId="18496DCA" w14:textId="77777777" w:rsidTr="008E0250">
              <w:trPr>
                <w:trHeight w:val="340"/>
                <w:jc w:val="center"/>
              </w:trPr>
              <w:tc>
                <w:tcPr>
                  <w:tcW w:w="939" w:type="pct"/>
                  <w:shd w:val="clear" w:color="auto" w:fill="auto"/>
                  <w:vAlign w:val="center"/>
                </w:tcPr>
                <w:p w14:paraId="21938FEB" w14:textId="77777777" w:rsidR="00692E71" w:rsidRPr="001E3185" w:rsidRDefault="00692E71" w:rsidP="008E0250">
                  <w:pPr>
                    <w:rPr>
                      <w:rFonts w:cs="Arial"/>
                      <w:bCs/>
                    </w:rPr>
                  </w:pPr>
                  <w:r w:rsidRPr="001E3185">
                    <w:rPr>
                      <w:rFonts w:cs="Arial"/>
                      <w:bCs/>
                    </w:rPr>
                    <w:t>IPBC</w:t>
                  </w:r>
                </w:p>
              </w:tc>
              <w:tc>
                <w:tcPr>
                  <w:tcW w:w="4061" w:type="pct"/>
                  <w:gridSpan w:val="2"/>
                  <w:shd w:val="clear" w:color="auto" w:fill="auto"/>
                  <w:vAlign w:val="center"/>
                </w:tcPr>
                <w:p w14:paraId="3504E81D" w14:textId="77777777" w:rsidR="00692E71" w:rsidRPr="001E3185" w:rsidRDefault="00692E71" w:rsidP="008E0250">
                  <w:pPr>
                    <w:jc w:val="center"/>
                    <w:rPr>
                      <w:rFonts w:cs="Arial"/>
                      <w:b/>
                      <w:bCs/>
                      <w:i/>
                    </w:rPr>
                  </w:pPr>
                  <w:r w:rsidRPr="001E3185">
                    <w:rPr>
                      <w:rFonts w:cs="Arial"/>
                    </w:rPr>
                    <w:t>0.963</w:t>
                  </w:r>
                </w:p>
              </w:tc>
            </w:tr>
            <w:tr w:rsidR="00692E71" w:rsidRPr="001E3185" w14:paraId="6A42FD68" w14:textId="77777777" w:rsidTr="008E0250">
              <w:trPr>
                <w:trHeight w:val="340"/>
                <w:jc w:val="center"/>
              </w:trPr>
              <w:tc>
                <w:tcPr>
                  <w:tcW w:w="939" w:type="pct"/>
                  <w:shd w:val="clear" w:color="auto" w:fill="auto"/>
                  <w:vAlign w:val="center"/>
                </w:tcPr>
                <w:p w14:paraId="54059C46" w14:textId="77777777" w:rsidR="00692E71" w:rsidRPr="001E3185" w:rsidRDefault="00692E71" w:rsidP="008E0250">
                  <w:pPr>
                    <w:rPr>
                      <w:rFonts w:cs="Arial"/>
                      <w:bCs/>
                    </w:rPr>
                  </w:pPr>
                  <w:r w:rsidRPr="001E3185">
                    <w:rPr>
                      <w:rFonts w:cs="Arial"/>
                      <w:bCs/>
                    </w:rPr>
                    <w:t>PBC</w:t>
                  </w:r>
                </w:p>
              </w:tc>
              <w:tc>
                <w:tcPr>
                  <w:tcW w:w="4061" w:type="pct"/>
                  <w:gridSpan w:val="2"/>
                  <w:shd w:val="clear" w:color="auto" w:fill="auto"/>
                  <w:vAlign w:val="center"/>
                </w:tcPr>
                <w:p w14:paraId="7649049D" w14:textId="77777777" w:rsidR="00692E71" w:rsidRPr="001E3185" w:rsidRDefault="00692E71" w:rsidP="008E0250">
                  <w:pPr>
                    <w:jc w:val="center"/>
                    <w:rPr>
                      <w:rFonts w:cs="Arial"/>
                      <w:b/>
                      <w:bCs/>
                      <w:i/>
                    </w:rPr>
                  </w:pPr>
                  <w:r w:rsidRPr="001E3185">
                    <w:rPr>
                      <w:rFonts w:cs="Arial"/>
                    </w:rPr>
                    <w:t>0.967</w:t>
                  </w:r>
                </w:p>
              </w:tc>
            </w:tr>
            <w:tr w:rsidR="00692E71" w:rsidRPr="001E3185" w14:paraId="5964D799" w14:textId="77777777" w:rsidTr="008E0250">
              <w:trPr>
                <w:trHeight w:val="359"/>
                <w:jc w:val="center"/>
              </w:trPr>
              <w:tc>
                <w:tcPr>
                  <w:tcW w:w="5000" w:type="pct"/>
                  <w:gridSpan w:val="3"/>
                  <w:shd w:val="clear" w:color="auto" w:fill="auto"/>
                  <w:vAlign w:val="center"/>
                </w:tcPr>
                <w:p w14:paraId="27008115" w14:textId="77777777" w:rsidR="00692E71" w:rsidRPr="001E3185" w:rsidRDefault="00692E71" w:rsidP="008E0250">
                  <w:pPr>
                    <w:rPr>
                      <w:rFonts w:cs="Arial"/>
                      <w:bCs/>
                      <w:i/>
                    </w:rPr>
                  </w:pPr>
                  <w:r w:rsidRPr="001E3185">
                    <w:rPr>
                      <w:rFonts w:cs="Arial"/>
                      <w:bCs/>
                      <w:u w:val="single"/>
                    </w:rPr>
                    <w:t>Outputs:</w:t>
                  </w:r>
                </w:p>
              </w:tc>
            </w:tr>
            <w:tr w:rsidR="00692E71" w:rsidRPr="001E3185" w14:paraId="52715C33" w14:textId="77777777" w:rsidTr="008E0250">
              <w:trPr>
                <w:trHeight w:val="340"/>
                <w:jc w:val="center"/>
              </w:trPr>
              <w:tc>
                <w:tcPr>
                  <w:tcW w:w="5000" w:type="pct"/>
                  <w:gridSpan w:val="3"/>
                  <w:shd w:val="clear" w:color="auto" w:fill="auto"/>
                  <w:vAlign w:val="center"/>
                </w:tcPr>
                <w:p w14:paraId="0CAFE1AD" w14:textId="77777777" w:rsidR="00692E71" w:rsidRPr="001E3185" w:rsidRDefault="00692E71" w:rsidP="008E0250">
                  <w:pPr>
                    <w:jc w:val="center"/>
                    <w:rPr>
                      <w:rFonts w:cs="Arial"/>
                      <w:b/>
                      <w:bCs/>
                    </w:rPr>
                  </w:pPr>
                  <w:r w:rsidRPr="001E3185">
                    <w:rPr>
                      <w:rFonts w:cs="Arial"/>
                      <w:b/>
                      <w:bCs/>
                    </w:rPr>
                    <w:t>PEC</w:t>
                  </w:r>
                  <w:r w:rsidRPr="001E3185">
                    <w:rPr>
                      <w:rFonts w:cs="Arial"/>
                      <w:b/>
                      <w:bCs/>
                      <w:vertAlign w:val="subscript"/>
                    </w:rPr>
                    <w:t>STP</w:t>
                  </w:r>
                </w:p>
              </w:tc>
            </w:tr>
            <w:tr w:rsidR="00692E71" w:rsidRPr="001E3185" w14:paraId="7F7E06A7" w14:textId="77777777" w:rsidTr="008E0250">
              <w:trPr>
                <w:jc w:val="center"/>
              </w:trPr>
              <w:tc>
                <w:tcPr>
                  <w:tcW w:w="939" w:type="pct"/>
                  <w:shd w:val="clear" w:color="auto" w:fill="auto"/>
                  <w:vAlign w:val="center"/>
                </w:tcPr>
                <w:p w14:paraId="61EAECC3" w14:textId="77777777" w:rsidR="00692E71" w:rsidRPr="001E3185" w:rsidRDefault="00692E71" w:rsidP="008E0250">
                  <w:pPr>
                    <w:rPr>
                      <w:rFonts w:cs="Arial"/>
                      <w:bCs/>
                    </w:rPr>
                  </w:pPr>
                </w:p>
              </w:tc>
              <w:tc>
                <w:tcPr>
                  <w:tcW w:w="2033" w:type="pct"/>
                  <w:shd w:val="clear" w:color="auto" w:fill="auto"/>
                  <w:vAlign w:val="center"/>
                </w:tcPr>
                <w:p w14:paraId="0C89E5AF"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213D332F" w14:textId="77777777" w:rsidR="00692E71" w:rsidRPr="001E3185" w:rsidRDefault="00692E71" w:rsidP="008E0250">
                  <w:pPr>
                    <w:jc w:val="center"/>
                    <w:rPr>
                      <w:rFonts w:cs="Arial"/>
                      <w:b/>
                      <w:bCs/>
                      <w:vertAlign w:val="subscript"/>
                    </w:rPr>
                  </w:pPr>
                  <w:r w:rsidRPr="001E3185">
                    <w:rPr>
                      <w:rFonts w:cs="Arial"/>
                      <w:b/>
                      <w:bCs/>
                      <w:vertAlign w:val="subscript"/>
                    </w:rPr>
                    <w:t>TIME1</w:t>
                  </w:r>
                </w:p>
                <w:p w14:paraId="43E145ED" w14:textId="77777777" w:rsidR="00692E71" w:rsidRPr="001E3185" w:rsidRDefault="00692E71" w:rsidP="008E0250">
                  <w:pPr>
                    <w:jc w:val="center"/>
                    <w:rPr>
                      <w:rFonts w:cs="Arial"/>
                      <w:b/>
                    </w:rPr>
                  </w:pPr>
                  <w:r w:rsidRPr="001E3185">
                    <w:rPr>
                      <w:rFonts w:cs="Arial"/>
                      <w:bCs/>
                    </w:rPr>
                    <w:t>[mg.L</w:t>
                  </w:r>
                  <w:r w:rsidRPr="001E3185">
                    <w:rPr>
                      <w:rFonts w:cs="Arial"/>
                      <w:bCs/>
                      <w:vertAlign w:val="superscript"/>
                    </w:rPr>
                    <w:t>-1</w:t>
                  </w:r>
                  <w:r w:rsidRPr="001E3185">
                    <w:rPr>
                      <w:rFonts w:cs="Arial"/>
                      <w:bCs/>
                    </w:rPr>
                    <w:t>]</w:t>
                  </w:r>
                </w:p>
              </w:tc>
              <w:tc>
                <w:tcPr>
                  <w:tcW w:w="2029" w:type="pct"/>
                  <w:shd w:val="clear" w:color="auto" w:fill="auto"/>
                  <w:vAlign w:val="center"/>
                </w:tcPr>
                <w:p w14:paraId="34446340" w14:textId="77777777" w:rsidR="00692E71" w:rsidRPr="001E3185" w:rsidRDefault="00692E71" w:rsidP="008E0250">
                  <w:pPr>
                    <w:jc w:val="center"/>
                    <w:rPr>
                      <w:rFonts w:cs="Arial"/>
                      <w:b/>
                    </w:rPr>
                  </w:pPr>
                  <w:r w:rsidRPr="001E3185">
                    <w:rPr>
                      <w:rFonts w:cs="Arial"/>
                      <w:b/>
                    </w:rPr>
                    <w:t>Industrial application</w:t>
                  </w:r>
                </w:p>
                <w:p w14:paraId="3EA05309"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279E505F" w14:textId="77777777" w:rsidR="00692E71" w:rsidRPr="001E3185" w:rsidRDefault="00692E71" w:rsidP="008E0250">
                  <w:pPr>
                    <w:jc w:val="center"/>
                    <w:rPr>
                      <w:rFonts w:cs="Arial"/>
                      <w:b/>
                    </w:rPr>
                  </w:pPr>
                  <w:r w:rsidRPr="001E3185">
                    <w:rPr>
                      <w:rFonts w:cs="Arial"/>
                      <w:bCs/>
                    </w:rPr>
                    <w:t>[mg.L</w:t>
                  </w:r>
                  <w:r w:rsidRPr="001E3185">
                    <w:rPr>
                      <w:rFonts w:cs="Arial"/>
                      <w:bCs/>
                      <w:vertAlign w:val="superscript"/>
                    </w:rPr>
                    <w:t>-1</w:t>
                  </w:r>
                  <w:r w:rsidRPr="001E3185">
                    <w:rPr>
                      <w:rFonts w:cs="Arial"/>
                      <w:bCs/>
                    </w:rPr>
                    <w:t>]</w:t>
                  </w:r>
                </w:p>
              </w:tc>
            </w:tr>
            <w:tr w:rsidR="00692E71" w:rsidRPr="001E3185" w14:paraId="5A8260FB" w14:textId="77777777" w:rsidTr="008E0250">
              <w:trPr>
                <w:trHeight w:val="340"/>
                <w:jc w:val="center"/>
              </w:trPr>
              <w:tc>
                <w:tcPr>
                  <w:tcW w:w="939" w:type="pct"/>
                  <w:shd w:val="clear" w:color="auto" w:fill="auto"/>
                  <w:vAlign w:val="center"/>
                </w:tcPr>
                <w:p w14:paraId="20D23313" w14:textId="77777777" w:rsidR="00692E71" w:rsidRPr="001E3185" w:rsidRDefault="00692E71" w:rsidP="008E0250">
                  <w:pPr>
                    <w:rPr>
                      <w:rFonts w:cs="Arial"/>
                      <w:bCs/>
                    </w:rPr>
                  </w:pPr>
                  <w:r w:rsidRPr="001E3185">
                    <w:rPr>
                      <w:rFonts w:cs="Arial"/>
                      <w:bCs/>
                    </w:rPr>
                    <w:t>Tebuconazole</w:t>
                  </w:r>
                </w:p>
              </w:tc>
              <w:tc>
                <w:tcPr>
                  <w:tcW w:w="2033" w:type="pct"/>
                  <w:shd w:val="clear" w:color="auto" w:fill="auto"/>
                  <w:vAlign w:val="center"/>
                </w:tcPr>
                <w:p w14:paraId="3AFE23DD" w14:textId="77777777" w:rsidR="00692E71" w:rsidRPr="001E3185" w:rsidRDefault="00692E71" w:rsidP="008E0250">
                  <w:pPr>
                    <w:jc w:val="center"/>
                    <w:rPr>
                      <w:rFonts w:cs="Arial"/>
                      <w:bCs/>
                    </w:rPr>
                  </w:pPr>
                  <w:r w:rsidRPr="001E3185">
                    <w:rPr>
                      <w:rFonts w:cs="Arial"/>
                    </w:rPr>
                    <w:t>2.74E-04</w:t>
                  </w:r>
                </w:p>
              </w:tc>
              <w:tc>
                <w:tcPr>
                  <w:tcW w:w="2029" w:type="pct"/>
                  <w:shd w:val="clear" w:color="auto" w:fill="auto"/>
                  <w:vAlign w:val="center"/>
                </w:tcPr>
                <w:p w14:paraId="42B2A575" w14:textId="77777777" w:rsidR="00692E71" w:rsidRPr="001E3185" w:rsidRDefault="00692E71" w:rsidP="008E0250">
                  <w:pPr>
                    <w:jc w:val="center"/>
                    <w:rPr>
                      <w:rFonts w:cs="Arial"/>
                    </w:rPr>
                  </w:pPr>
                  <w:r w:rsidRPr="001E3185">
                    <w:rPr>
                      <w:rFonts w:cs="Arial"/>
                    </w:rPr>
                    <w:t>1.21E-05</w:t>
                  </w:r>
                </w:p>
              </w:tc>
            </w:tr>
            <w:tr w:rsidR="00692E71" w:rsidRPr="001E3185" w14:paraId="019BDEB4" w14:textId="77777777" w:rsidTr="008E0250">
              <w:trPr>
                <w:trHeight w:val="340"/>
                <w:jc w:val="center"/>
              </w:trPr>
              <w:tc>
                <w:tcPr>
                  <w:tcW w:w="939" w:type="pct"/>
                  <w:shd w:val="clear" w:color="auto" w:fill="auto"/>
                  <w:vAlign w:val="center"/>
                </w:tcPr>
                <w:p w14:paraId="56CF511A" w14:textId="77777777" w:rsidR="00692E71" w:rsidRPr="001E3185" w:rsidRDefault="00692E71" w:rsidP="008E0250">
                  <w:pPr>
                    <w:rPr>
                      <w:rFonts w:cs="Arial"/>
                      <w:bCs/>
                    </w:rPr>
                  </w:pPr>
                  <w:r w:rsidRPr="001E3185">
                    <w:rPr>
                      <w:rFonts w:cs="Arial"/>
                      <w:bCs/>
                    </w:rPr>
                    <w:t>Propiconazole</w:t>
                  </w:r>
                </w:p>
              </w:tc>
              <w:tc>
                <w:tcPr>
                  <w:tcW w:w="2033" w:type="pct"/>
                  <w:shd w:val="clear" w:color="auto" w:fill="auto"/>
                  <w:vAlign w:val="center"/>
                </w:tcPr>
                <w:p w14:paraId="6A673D11" w14:textId="77777777" w:rsidR="00692E71" w:rsidRPr="001E3185" w:rsidRDefault="00692E71" w:rsidP="008E0250">
                  <w:pPr>
                    <w:jc w:val="center"/>
                    <w:rPr>
                      <w:rFonts w:cs="Arial"/>
                      <w:bCs/>
                    </w:rPr>
                  </w:pPr>
                  <w:r w:rsidRPr="001E3185">
                    <w:rPr>
                      <w:rFonts w:cs="Arial"/>
                    </w:rPr>
                    <w:t>6.29E-04</w:t>
                  </w:r>
                </w:p>
              </w:tc>
              <w:tc>
                <w:tcPr>
                  <w:tcW w:w="2029" w:type="pct"/>
                  <w:shd w:val="clear" w:color="auto" w:fill="auto"/>
                  <w:vAlign w:val="center"/>
                </w:tcPr>
                <w:p w14:paraId="159EA13A" w14:textId="77777777" w:rsidR="00692E71" w:rsidRPr="001E3185" w:rsidRDefault="00692E71" w:rsidP="008E0250">
                  <w:pPr>
                    <w:jc w:val="center"/>
                    <w:rPr>
                      <w:rFonts w:cs="Arial"/>
                    </w:rPr>
                  </w:pPr>
                  <w:r w:rsidRPr="001E3185">
                    <w:rPr>
                      <w:rFonts w:cs="Arial"/>
                    </w:rPr>
                    <w:t>3.32E-05</w:t>
                  </w:r>
                </w:p>
              </w:tc>
            </w:tr>
            <w:tr w:rsidR="00692E71" w:rsidRPr="001E3185" w14:paraId="45AE9A30" w14:textId="77777777" w:rsidTr="008E0250">
              <w:trPr>
                <w:trHeight w:val="340"/>
                <w:jc w:val="center"/>
              </w:trPr>
              <w:tc>
                <w:tcPr>
                  <w:tcW w:w="939" w:type="pct"/>
                  <w:shd w:val="clear" w:color="auto" w:fill="auto"/>
                  <w:vAlign w:val="center"/>
                </w:tcPr>
                <w:p w14:paraId="53BB4E72" w14:textId="77777777" w:rsidR="00692E71" w:rsidRPr="001E3185" w:rsidRDefault="00692E71" w:rsidP="008E0250">
                  <w:pPr>
                    <w:rPr>
                      <w:rFonts w:cs="Arial"/>
                      <w:bCs/>
                    </w:rPr>
                  </w:pPr>
                  <w:r w:rsidRPr="001E3185">
                    <w:rPr>
                      <w:rFonts w:cs="Arial"/>
                      <w:bCs/>
                    </w:rPr>
                    <w:t>Cypermethrin</w:t>
                  </w:r>
                </w:p>
              </w:tc>
              <w:tc>
                <w:tcPr>
                  <w:tcW w:w="2033" w:type="pct"/>
                  <w:shd w:val="clear" w:color="auto" w:fill="auto"/>
                  <w:vAlign w:val="center"/>
                </w:tcPr>
                <w:p w14:paraId="53BD47F3" w14:textId="77777777" w:rsidR="00692E71" w:rsidRPr="001E3185" w:rsidRDefault="00692E71" w:rsidP="008E0250">
                  <w:pPr>
                    <w:jc w:val="center"/>
                    <w:rPr>
                      <w:rFonts w:cs="Arial"/>
                      <w:bCs/>
                    </w:rPr>
                  </w:pPr>
                  <w:r w:rsidRPr="001E3185">
                    <w:rPr>
                      <w:rFonts w:cs="Arial"/>
                    </w:rPr>
                    <w:t>2.70E-07</w:t>
                  </w:r>
                </w:p>
              </w:tc>
              <w:tc>
                <w:tcPr>
                  <w:tcW w:w="2029" w:type="pct"/>
                  <w:shd w:val="clear" w:color="auto" w:fill="auto"/>
                  <w:vAlign w:val="center"/>
                </w:tcPr>
                <w:p w14:paraId="1F7E2719" w14:textId="77777777" w:rsidR="00692E71" w:rsidRPr="001E3185" w:rsidRDefault="00692E71" w:rsidP="008E0250">
                  <w:pPr>
                    <w:jc w:val="center"/>
                    <w:rPr>
                      <w:rFonts w:cs="Arial"/>
                    </w:rPr>
                  </w:pPr>
                  <w:r w:rsidRPr="001E3185">
                    <w:rPr>
                      <w:rFonts w:cs="Arial"/>
                    </w:rPr>
                    <w:t>2.16E-07</w:t>
                  </w:r>
                </w:p>
              </w:tc>
            </w:tr>
            <w:tr w:rsidR="00692E71" w:rsidRPr="001E3185" w14:paraId="7C619DE9" w14:textId="77777777" w:rsidTr="008E0250">
              <w:trPr>
                <w:trHeight w:val="340"/>
                <w:jc w:val="center"/>
              </w:trPr>
              <w:tc>
                <w:tcPr>
                  <w:tcW w:w="939" w:type="pct"/>
                  <w:shd w:val="clear" w:color="auto" w:fill="auto"/>
                  <w:vAlign w:val="center"/>
                </w:tcPr>
                <w:p w14:paraId="565DEE71" w14:textId="77777777" w:rsidR="00692E71" w:rsidRPr="001E3185" w:rsidRDefault="00692E71" w:rsidP="008E0250">
                  <w:pPr>
                    <w:rPr>
                      <w:rFonts w:cs="Arial"/>
                      <w:bCs/>
                    </w:rPr>
                  </w:pPr>
                  <w:r w:rsidRPr="001E3185">
                    <w:rPr>
                      <w:rFonts w:cs="Arial"/>
                      <w:bCs/>
                    </w:rPr>
                    <w:lastRenderedPageBreak/>
                    <w:t>IPBC</w:t>
                  </w:r>
                </w:p>
              </w:tc>
              <w:tc>
                <w:tcPr>
                  <w:tcW w:w="2033" w:type="pct"/>
                  <w:shd w:val="clear" w:color="auto" w:fill="auto"/>
                  <w:vAlign w:val="center"/>
                </w:tcPr>
                <w:p w14:paraId="6C913812" w14:textId="77777777" w:rsidR="00692E71" w:rsidRPr="001E3185" w:rsidRDefault="00692E71" w:rsidP="008E0250">
                  <w:pPr>
                    <w:jc w:val="center"/>
                    <w:rPr>
                      <w:rFonts w:cs="Arial"/>
                      <w:bCs/>
                    </w:rPr>
                  </w:pPr>
                  <w:r w:rsidRPr="001E3185">
                    <w:rPr>
                      <w:rFonts w:cs="Arial"/>
                    </w:rPr>
                    <w:t>1.70E-04</w:t>
                  </w:r>
                </w:p>
              </w:tc>
              <w:tc>
                <w:tcPr>
                  <w:tcW w:w="2029" w:type="pct"/>
                  <w:shd w:val="clear" w:color="auto" w:fill="auto"/>
                  <w:vAlign w:val="center"/>
                </w:tcPr>
                <w:p w14:paraId="1A20EE45" w14:textId="77777777" w:rsidR="00692E71" w:rsidRPr="001E3185" w:rsidRDefault="00692E71" w:rsidP="008E0250">
                  <w:pPr>
                    <w:jc w:val="center"/>
                    <w:rPr>
                      <w:rFonts w:cs="Arial"/>
                    </w:rPr>
                  </w:pPr>
                  <w:r w:rsidRPr="001E3185">
                    <w:rPr>
                      <w:rFonts w:cs="Arial"/>
                    </w:rPr>
                    <w:t>8.65E-06</w:t>
                  </w:r>
                </w:p>
              </w:tc>
            </w:tr>
            <w:tr w:rsidR="00692E71" w:rsidRPr="001E3185" w14:paraId="485CC9C1" w14:textId="77777777" w:rsidTr="008E0250">
              <w:trPr>
                <w:trHeight w:val="340"/>
                <w:jc w:val="center"/>
              </w:trPr>
              <w:tc>
                <w:tcPr>
                  <w:tcW w:w="939" w:type="pct"/>
                  <w:shd w:val="clear" w:color="auto" w:fill="auto"/>
                  <w:vAlign w:val="center"/>
                </w:tcPr>
                <w:p w14:paraId="47F3F379" w14:textId="77777777" w:rsidR="00692E71" w:rsidRPr="001E3185" w:rsidRDefault="00692E71" w:rsidP="008E0250">
                  <w:pPr>
                    <w:rPr>
                      <w:rFonts w:cs="Arial"/>
                      <w:bCs/>
                    </w:rPr>
                  </w:pPr>
                  <w:r w:rsidRPr="001E3185">
                    <w:rPr>
                      <w:rFonts w:cs="Arial"/>
                      <w:bCs/>
                    </w:rPr>
                    <w:t>PBC</w:t>
                  </w:r>
                </w:p>
              </w:tc>
              <w:tc>
                <w:tcPr>
                  <w:tcW w:w="2033" w:type="pct"/>
                  <w:shd w:val="clear" w:color="auto" w:fill="auto"/>
                  <w:vAlign w:val="center"/>
                </w:tcPr>
                <w:p w14:paraId="74D03E4C" w14:textId="77777777" w:rsidR="00692E71" w:rsidRPr="001E3185" w:rsidRDefault="00692E71" w:rsidP="008E0250">
                  <w:pPr>
                    <w:jc w:val="center"/>
                    <w:rPr>
                      <w:rFonts w:cs="Arial"/>
                      <w:bCs/>
                    </w:rPr>
                  </w:pPr>
                  <w:r w:rsidRPr="001E3185">
                    <w:rPr>
                      <w:rFonts w:cs="Arial"/>
                    </w:rPr>
                    <w:t>9.42E-05</w:t>
                  </w:r>
                </w:p>
              </w:tc>
              <w:tc>
                <w:tcPr>
                  <w:tcW w:w="2029" w:type="pct"/>
                  <w:shd w:val="clear" w:color="auto" w:fill="auto"/>
                  <w:vAlign w:val="center"/>
                </w:tcPr>
                <w:p w14:paraId="73F2E58A" w14:textId="77777777" w:rsidR="00692E71" w:rsidRPr="001E3185" w:rsidRDefault="00692E71" w:rsidP="008E0250">
                  <w:pPr>
                    <w:jc w:val="center"/>
                    <w:rPr>
                      <w:rFonts w:cs="Arial"/>
                    </w:rPr>
                  </w:pPr>
                  <w:r w:rsidRPr="001E3185">
                    <w:rPr>
                      <w:rFonts w:cs="Arial"/>
                    </w:rPr>
                    <w:t>4.79E-06</w:t>
                  </w:r>
                </w:p>
              </w:tc>
            </w:tr>
          </w:tbl>
          <w:p w14:paraId="2AB4DD3D" w14:textId="77777777" w:rsidR="00692E71" w:rsidRPr="001E3185" w:rsidRDefault="00692E71" w:rsidP="008E0250">
            <w:pPr>
              <w:autoSpaceDE w:val="0"/>
              <w:autoSpaceDN w:val="0"/>
              <w:spacing w:after="60"/>
              <w:ind w:right="142"/>
              <w:rPr>
                <w:rFonts w:cs="Arial"/>
              </w:rPr>
            </w:pPr>
          </w:p>
          <w:p w14:paraId="779824C1" w14:textId="77777777" w:rsidR="00692E71" w:rsidRPr="001E3185" w:rsidRDefault="00692E71" w:rsidP="008E0250">
            <w:pPr>
              <w:autoSpaceDE w:val="0"/>
              <w:autoSpaceDN w:val="0"/>
              <w:spacing w:after="60"/>
              <w:ind w:right="142"/>
              <w:rPr>
                <w:rFonts w:cs="Arial"/>
              </w:rPr>
            </w:pPr>
            <w:r w:rsidRPr="001E3185">
              <w:rPr>
                <w:rFonts w:cs="Arial"/>
              </w:rPr>
              <w:t xml:space="preserve">Indirect emissions to surface water and sediment via the STP were calculated according to the equations 45 and 50 of the ECHA Guidance Vol.IV, par B (2015). </w:t>
            </w:r>
          </w:p>
          <w:p w14:paraId="22C6F7C7" w14:textId="77777777" w:rsidR="00692E71" w:rsidRPr="001E3185" w:rsidRDefault="00692E71" w:rsidP="008E0250">
            <w:pPr>
              <w:autoSpaceDE w:val="0"/>
              <w:autoSpaceDN w:val="0"/>
              <w:spacing w:after="60"/>
              <w:ind w:right="142"/>
              <w:rPr>
                <w:rFonts w:cs="Arial"/>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692E71" w:rsidRPr="001E3185" w14:paraId="456651CE" w14:textId="77777777" w:rsidTr="008E0250">
              <w:trPr>
                <w:jc w:val="center"/>
              </w:trPr>
              <w:tc>
                <w:tcPr>
                  <w:tcW w:w="5000" w:type="pct"/>
                  <w:shd w:val="clear" w:color="auto" w:fill="auto"/>
                </w:tcPr>
                <w:p w14:paraId="461C43EA" w14:textId="77777777" w:rsidR="00692E71" w:rsidRPr="001E3185" w:rsidRDefault="00692E71" w:rsidP="008E0250">
                  <w:pPr>
                    <w:autoSpaceDE w:val="0"/>
                    <w:autoSpaceDN w:val="0"/>
                    <w:ind w:right="142"/>
                    <w:jc w:val="center"/>
                    <w:rPr>
                      <w:rFonts w:cs="Arial"/>
                      <w:b/>
                    </w:rPr>
                  </w:pPr>
                  <w:r w:rsidRPr="001E3185">
                    <w:rPr>
                      <w:rFonts w:cs="Arial"/>
                      <w:b/>
                      <w:bCs/>
                      <w:iCs/>
                    </w:rPr>
                    <w:t>Wood-in-service – Noise barrier - Treated wood in service only</w:t>
                  </w:r>
                </w:p>
              </w:tc>
            </w:tr>
          </w:tbl>
          <w:p w14:paraId="015D37F6" w14:textId="77777777" w:rsidR="00692E71" w:rsidRPr="001E3185" w:rsidRDefault="00692E71" w:rsidP="008E0250">
            <w:pPr>
              <w:rPr>
                <w:rFonts w:cs="Arial"/>
                <w:vanish/>
              </w:rPr>
            </w:pP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3760"/>
              <w:gridCol w:w="3402"/>
            </w:tblGrid>
            <w:tr w:rsidR="00692E71" w:rsidRPr="001E3185" w14:paraId="44F7C807" w14:textId="77777777" w:rsidTr="008E0250">
              <w:trPr>
                <w:trHeight w:val="340"/>
                <w:jc w:val="center"/>
              </w:trPr>
              <w:tc>
                <w:tcPr>
                  <w:tcW w:w="5000" w:type="pct"/>
                  <w:gridSpan w:val="3"/>
                  <w:shd w:val="clear" w:color="auto" w:fill="auto"/>
                  <w:vAlign w:val="center"/>
                </w:tcPr>
                <w:p w14:paraId="70388FF6" w14:textId="77777777" w:rsidR="00692E71" w:rsidRPr="001E3185" w:rsidRDefault="00692E71" w:rsidP="008E0250">
                  <w:pPr>
                    <w:jc w:val="center"/>
                    <w:rPr>
                      <w:rFonts w:cs="Arial"/>
                      <w:b/>
                      <w:bCs/>
                    </w:rPr>
                  </w:pPr>
                  <w:r w:rsidRPr="001E3185">
                    <w:rPr>
                      <w:rFonts w:cs="Arial"/>
                      <w:b/>
                    </w:rPr>
                    <w:t>PEC</w:t>
                  </w:r>
                  <w:r w:rsidRPr="001E3185">
                    <w:rPr>
                      <w:rFonts w:cs="Arial"/>
                      <w:b/>
                      <w:vertAlign w:val="subscript"/>
                    </w:rPr>
                    <w:t>water_via_STP</w:t>
                  </w:r>
                </w:p>
              </w:tc>
            </w:tr>
            <w:tr w:rsidR="00692E71" w:rsidRPr="001E3185" w14:paraId="408E0430" w14:textId="77777777" w:rsidTr="008E0250">
              <w:trPr>
                <w:jc w:val="center"/>
              </w:trPr>
              <w:tc>
                <w:tcPr>
                  <w:tcW w:w="1021" w:type="pct"/>
                  <w:shd w:val="clear" w:color="auto" w:fill="auto"/>
                  <w:vAlign w:val="center"/>
                </w:tcPr>
                <w:p w14:paraId="70C19D11" w14:textId="77777777" w:rsidR="00692E71" w:rsidRPr="001E3185" w:rsidRDefault="00692E71" w:rsidP="008E0250">
                  <w:pPr>
                    <w:rPr>
                      <w:rFonts w:cs="Arial"/>
                      <w:bCs/>
                    </w:rPr>
                  </w:pPr>
                </w:p>
              </w:tc>
              <w:tc>
                <w:tcPr>
                  <w:tcW w:w="2089" w:type="pct"/>
                  <w:shd w:val="clear" w:color="auto" w:fill="auto"/>
                  <w:vAlign w:val="center"/>
                </w:tcPr>
                <w:p w14:paraId="4EB37DED"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56F2C48A" w14:textId="77777777" w:rsidR="00692E71" w:rsidRPr="001E3185" w:rsidRDefault="00692E71" w:rsidP="008E0250">
                  <w:pPr>
                    <w:jc w:val="center"/>
                    <w:rPr>
                      <w:rFonts w:cs="Arial"/>
                      <w:b/>
                      <w:bCs/>
                      <w:vertAlign w:val="subscript"/>
                    </w:rPr>
                  </w:pPr>
                  <w:r w:rsidRPr="001E3185">
                    <w:rPr>
                      <w:rFonts w:cs="Arial"/>
                      <w:b/>
                      <w:bCs/>
                      <w:vertAlign w:val="subscript"/>
                    </w:rPr>
                    <w:t>TIME1</w:t>
                  </w:r>
                </w:p>
                <w:p w14:paraId="3A6ABB00" w14:textId="77777777" w:rsidR="00692E71" w:rsidRPr="001E3185" w:rsidRDefault="00692E71" w:rsidP="008E0250">
                  <w:pPr>
                    <w:jc w:val="center"/>
                    <w:rPr>
                      <w:rFonts w:cs="Arial"/>
                      <w:b/>
                    </w:rPr>
                  </w:pPr>
                  <w:r w:rsidRPr="001E3185">
                    <w:rPr>
                      <w:rFonts w:cs="Arial"/>
                      <w:bCs/>
                    </w:rPr>
                    <w:t>[µg.L</w:t>
                  </w:r>
                  <w:r w:rsidRPr="001E3185">
                    <w:rPr>
                      <w:rFonts w:cs="Arial"/>
                      <w:bCs/>
                      <w:vertAlign w:val="superscript"/>
                    </w:rPr>
                    <w:t>-1</w:t>
                  </w:r>
                  <w:r w:rsidRPr="001E3185">
                    <w:rPr>
                      <w:rFonts w:cs="Arial"/>
                      <w:bCs/>
                    </w:rPr>
                    <w:t>]</w:t>
                  </w:r>
                </w:p>
              </w:tc>
              <w:tc>
                <w:tcPr>
                  <w:tcW w:w="1890" w:type="pct"/>
                  <w:shd w:val="clear" w:color="auto" w:fill="auto"/>
                  <w:vAlign w:val="center"/>
                </w:tcPr>
                <w:p w14:paraId="2B94B2D0" w14:textId="77777777" w:rsidR="00692E71" w:rsidRPr="001E3185" w:rsidRDefault="00692E71" w:rsidP="008E0250">
                  <w:pPr>
                    <w:jc w:val="center"/>
                    <w:rPr>
                      <w:rFonts w:cs="Arial"/>
                      <w:b/>
                    </w:rPr>
                  </w:pPr>
                  <w:r w:rsidRPr="001E3185">
                    <w:rPr>
                      <w:rFonts w:cs="Arial"/>
                      <w:b/>
                    </w:rPr>
                    <w:t>Industrial application</w:t>
                  </w:r>
                </w:p>
                <w:p w14:paraId="029C97CE"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4C785CD4" w14:textId="77777777" w:rsidR="00692E71" w:rsidRPr="001E3185" w:rsidRDefault="00692E71" w:rsidP="008E0250">
                  <w:pPr>
                    <w:jc w:val="center"/>
                    <w:rPr>
                      <w:rFonts w:cs="Arial"/>
                      <w:b/>
                    </w:rPr>
                  </w:pPr>
                  <w:r w:rsidRPr="001E3185">
                    <w:rPr>
                      <w:rFonts w:cs="Arial"/>
                      <w:bCs/>
                    </w:rPr>
                    <w:t>[µg.L</w:t>
                  </w:r>
                  <w:r w:rsidRPr="001E3185">
                    <w:rPr>
                      <w:rFonts w:cs="Arial"/>
                      <w:bCs/>
                      <w:vertAlign w:val="superscript"/>
                    </w:rPr>
                    <w:t>-1</w:t>
                  </w:r>
                  <w:r w:rsidRPr="001E3185">
                    <w:rPr>
                      <w:rFonts w:cs="Arial"/>
                      <w:bCs/>
                    </w:rPr>
                    <w:t>]</w:t>
                  </w:r>
                </w:p>
              </w:tc>
            </w:tr>
            <w:tr w:rsidR="00692E71" w:rsidRPr="001E3185" w14:paraId="7222970C" w14:textId="77777777" w:rsidTr="008E0250">
              <w:trPr>
                <w:trHeight w:val="340"/>
                <w:jc w:val="center"/>
              </w:trPr>
              <w:tc>
                <w:tcPr>
                  <w:tcW w:w="1021" w:type="pct"/>
                  <w:shd w:val="clear" w:color="auto" w:fill="auto"/>
                  <w:vAlign w:val="center"/>
                </w:tcPr>
                <w:p w14:paraId="234387BF" w14:textId="77777777" w:rsidR="00692E71" w:rsidRPr="001E3185" w:rsidRDefault="00692E71" w:rsidP="008E0250">
                  <w:pPr>
                    <w:rPr>
                      <w:rFonts w:cs="Arial"/>
                      <w:bCs/>
                    </w:rPr>
                  </w:pPr>
                  <w:r w:rsidRPr="001E3185">
                    <w:rPr>
                      <w:rFonts w:cs="Arial"/>
                      <w:bCs/>
                    </w:rPr>
                    <w:t>Tebuconazole</w:t>
                  </w:r>
                </w:p>
              </w:tc>
              <w:tc>
                <w:tcPr>
                  <w:tcW w:w="2089" w:type="pct"/>
                  <w:shd w:val="clear" w:color="auto" w:fill="auto"/>
                  <w:vAlign w:val="center"/>
                </w:tcPr>
                <w:p w14:paraId="70BB69D9" w14:textId="77777777" w:rsidR="00692E71" w:rsidRPr="001E3185" w:rsidRDefault="00692E71" w:rsidP="008E0250">
                  <w:pPr>
                    <w:jc w:val="center"/>
                    <w:rPr>
                      <w:rFonts w:cs="Arial"/>
                    </w:rPr>
                  </w:pPr>
                  <w:r w:rsidRPr="001E3185">
                    <w:rPr>
                      <w:rFonts w:cs="Arial"/>
                    </w:rPr>
                    <w:t>2.73E-02</w:t>
                  </w:r>
                </w:p>
              </w:tc>
              <w:tc>
                <w:tcPr>
                  <w:tcW w:w="1890" w:type="pct"/>
                  <w:shd w:val="clear" w:color="auto" w:fill="auto"/>
                  <w:vAlign w:val="center"/>
                </w:tcPr>
                <w:p w14:paraId="60D8A443" w14:textId="77777777" w:rsidR="00692E71" w:rsidRPr="001E3185" w:rsidRDefault="00692E71" w:rsidP="008E0250">
                  <w:pPr>
                    <w:jc w:val="center"/>
                    <w:rPr>
                      <w:rFonts w:cs="Arial"/>
                    </w:rPr>
                  </w:pPr>
                  <w:r w:rsidRPr="001E3185">
                    <w:rPr>
                      <w:rFonts w:cs="Arial"/>
                    </w:rPr>
                    <w:t>1.21E-03</w:t>
                  </w:r>
                </w:p>
              </w:tc>
            </w:tr>
            <w:tr w:rsidR="00692E71" w:rsidRPr="001E3185" w14:paraId="20FA5E36" w14:textId="77777777" w:rsidTr="008E0250">
              <w:trPr>
                <w:trHeight w:val="340"/>
                <w:jc w:val="center"/>
              </w:trPr>
              <w:tc>
                <w:tcPr>
                  <w:tcW w:w="1021" w:type="pct"/>
                  <w:shd w:val="clear" w:color="auto" w:fill="auto"/>
                  <w:vAlign w:val="center"/>
                </w:tcPr>
                <w:p w14:paraId="3409991A" w14:textId="77777777" w:rsidR="00692E71" w:rsidRPr="001E3185" w:rsidRDefault="00692E71" w:rsidP="008E0250">
                  <w:pPr>
                    <w:rPr>
                      <w:rFonts w:cs="Arial"/>
                      <w:bCs/>
                    </w:rPr>
                  </w:pPr>
                  <w:r w:rsidRPr="001E3185">
                    <w:rPr>
                      <w:rFonts w:cs="Arial"/>
                      <w:bCs/>
                    </w:rPr>
                    <w:t>Propiconazole</w:t>
                  </w:r>
                </w:p>
              </w:tc>
              <w:tc>
                <w:tcPr>
                  <w:tcW w:w="2089" w:type="pct"/>
                  <w:shd w:val="clear" w:color="auto" w:fill="auto"/>
                  <w:vAlign w:val="center"/>
                </w:tcPr>
                <w:p w14:paraId="6F434A17" w14:textId="77777777" w:rsidR="00692E71" w:rsidRPr="001E3185" w:rsidRDefault="00692E71" w:rsidP="008E0250">
                  <w:pPr>
                    <w:jc w:val="center"/>
                    <w:rPr>
                      <w:rFonts w:cs="Arial"/>
                    </w:rPr>
                  </w:pPr>
                  <w:r w:rsidRPr="001E3185">
                    <w:rPr>
                      <w:rFonts w:cs="Arial"/>
                    </w:rPr>
                    <w:t>6.28E-02</w:t>
                  </w:r>
                </w:p>
              </w:tc>
              <w:tc>
                <w:tcPr>
                  <w:tcW w:w="1890" w:type="pct"/>
                  <w:shd w:val="clear" w:color="auto" w:fill="auto"/>
                  <w:vAlign w:val="center"/>
                </w:tcPr>
                <w:p w14:paraId="037E57C9" w14:textId="77777777" w:rsidR="00692E71" w:rsidRPr="001E3185" w:rsidRDefault="00692E71" w:rsidP="008E0250">
                  <w:pPr>
                    <w:jc w:val="center"/>
                    <w:rPr>
                      <w:rFonts w:cs="Arial"/>
                    </w:rPr>
                  </w:pPr>
                  <w:r w:rsidRPr="001E3185">
                    <w:rPr>
                      <w:rFonts w:cs="Arial"/>
                    </w:rPr>
                    <w:t>3.31E-03</w:t>
                  </w:r>
                </w:p>
              </w:tc>
            </w:tr>
            <w:tr w:rsidR="00692E71" w:rsidRPr="001E3185" w14:paraId="5E0A2D1B" w14:textId="77777777" w:rsidTr="008E0250">
              <w:trPr>
                <w:trHeight w:val="340"/>
                <w:jc w:val="center"/>
              </w:trPr>
              <w:tc>
                <w:tcPr>
                  <w:tcW w:w="1021" w:type="pct"/>
                  <w:shd w:val="clear" w:color="auto" w:fill="auto"/>
                  <w:vAlign w:val="center"/>
                </w:tcPr>
                <w:p w14:paraId="3FFD0D31" w14:textId="77777777" w:rsidR="00692E71" w:rsidRPr="001E3185" w:rsidRDefault="00692E71" w:rsidP="008E0250">
                  <w:pPr>
                    <w:rPr>
                      <w:rFonts w:cs="Arial"/>
                      <w:bCs/>
                    </w:rPr>
                  </w:pPr>
                  <w:r w:rsidRPr="001E3185">
                    <w:rPr>
                      <w:rFonts w:cs="Arial"/>
                      <w:bCs/>
                    </w:rPr>
                    <w:t>Cypermethrin</w:t>
                  </w:r>
                </w:p>
              </w:tc>
              <w:tc>
                <w:tcPr>
                  <w:tcW w:w="2089" w:type="pct"/>
                  <w:shd w:val="clear" w:color="auto" w:fill="auto"/>
                  <w:vAlign w:val="center"/>
                </w:tcPr>
                <w:p w14:paraId="69EFE6E4" w14:textId="77777777" w:rsidR="00692E71" w:rsidRPr="001E3185" w:rsidRDefault="00692E71" w:rsidP="008E0250">
                  <w:pPr>
                    <w:jc w:val="center"/>
                    <w:rPr>
                      <w:rFonts w:cs="Arial"/>
                    </w:rPr>
                  </w:pPr>
                  <w:r w:rsidRPr="001E3185">
                    <w:rPr>
                      <w:rFonts w:cs="Arial"/>
                    </w:rPr>
                    <w:t>1.45E-05</w:t>
                  </w:r>
                </w:p>
              </w:tc>
              <w:tc>
                <w:tcPr>
                  <w:tcW w:w="1890" w:type="pct"/>
                  <w:shd w:val="clear" w:color="auto" w:fill="auto"/>
                  <w:vAlign w:val="center"/>
                </w:tcPr>
                <w:p w14:paraId="3379ADB8" w14:textId="77777777" w:rsidR="00692E71" w:rsidRPr="001E3185" w:rsidRDefault="00692E71" w:rsidP="008E0250">
                  <w:pPr>
                    <w:jc w:val="center"/>
                    <w:rPr>
                      <w:rFonts w:cs="Arial"/>
                    </w:rPr>
                  </w:pPr>
                  <w:r w:rsidRPr="001E3185">
                    <w:rPr>
                      <w:rFonts w:cs="Arial"/>
                    </w:rPr>
                    <w:t>1.16E-05</w:t>
                  </w:r>
                </w:p>
              </w:tc>
            </w:tr>
            <w:tr w:rsidR="00692E71" w:rsidRPr="001E3185" w14:paraId="000CAA8B" w14:textId="77777777" w:rsidTr="008E0250">
              <w:trPr>
                <w:trHeight w:val="340"/>
                <w:jc w:val="center"/>
              </w:trPr>
              <w:tc>
                <w:tcPr>
                  <w:tcW w:w="1021" w:type="pct"/>
                  <w:shd w:val="clear" w:color="auto" w:fill="auto"/>
                  <w:vAlign w:val="center"/>
                </w:tcPr>
                <w:p w14:paraId="477146AA" w14:textId="77777777" w:rsidR="00692E71" w:rsidRPr="001E3185" w:rsidRDefault="00692E71" w:rsidP="008E0250">
                  <w:pPr>
                    <w:rPr>
                      <w:rFonts w:cs="Arial"/>
                      <w:bCs/>
                    </w:rPr>
                  </w:pPr>
                  <w:r w:rsidRPr="001E3185">
                    <w:rPr>
                      <w:rFonts w:cs="Arial"/>
                      <w:bCs/>
                    </w:rPr>
                    <w:t>IPBC</w:t>
                  </w:r>
                </w:p>
              </w:tc>
              <w:tc>
                <w:tcPr>
                  <w:tcW w:w="2089" w:type="pct"/>
                  <w:shd w:val="clear" w:color="auto" w:fill="auto"/>
                  <w:vAlign w:val="center"/>
                </w:tcPr>
                <w:p w14:paraId="5FB0CA23" w14:textId="77777777" w:rsidR="00692E71" w:rsidRPr="001E3185" w:rsidRDefault="00692E71" w:rsidP="008E0250">
                  <w:pPr>
                    <w:jc w:val="center"/>
                    <w:rPr>
                      <w:rFonts w:cs="Arial"/>
                    </w:rPr>
                  </w:pPr>
                  <w:r w:rsidRPr="001E3185">
                    <w:rPr>
                      <w:rFonts w:cs="Arial"/>
                    </w:rPr>
                    <w:t>1.70E-02</w:t>
                  </w:r>
                </w:p>
              </w:tc>
              <w:tc>
                <w:tcPr>
                  <w:tcW w:w="1890" w:type="pct"/>
                  <w:shd w:val="clear" w:color="auto" w:fill="auto"/>
                  <w:vAlign w:val="center"/>
                </w:tcPr>
                <w:p w14:paraId="1C478D83" w14:textId="77777777" w:rsidR="00692E71" w:rsidRPr="001E3185" w:rsidRDefault="00692E71" w:rsidP="008E0250">
                  <w:pPr>
                    <w:jc w:val="center"/>
                    <w:rPr>
                      <w:rFonts w:cs="Arial"/>
                    </w:rPr>
                  </w:pPr>
                  <w:r w:rsidRPr="001E3185">
                    <w:rPr>
                      <w:rFonts w:cs="Arial"/>
                    </w:rPr>
                    <w:t>8.65E-04</w:t>
                  </w:r>
                </w:p>
              </w:tc>
            </w:tr>
            <w:tr w:rsidR="00692E71" w:rsidRPr="001E3185" w14:paraId="7328A6BD" w14:textId="77777777" w:rsidTr="008E0250">
              <w:trPr>
                <w:trHeight w:val="340"/>
                <w:jc w:val="center"/>
              </w:trPr>
              <w:tc>
                <w:tcPr>
                  <w:tcW w:w="1021" w:type="pct"/>
                  <w:shd w:val="clear" w:color="auto" w:fill="auto"/>
                  <w:vAlign w:val="center"/>
                </w:tcPr>
                <w:p w14:paraId="00F742B5" w14:textId="77777777" w:rsidR="00692E71" w:rsidRPr="001E3185" w:rsidRDefault="00692E71" w:rsidP="008E0250">
                  <w:pPr>
                    <w:rPr>
                      <w:rFonts w:cs="Arial"/>
                      <w:bCs/>
                    </w:rPr>
                  </w:pPr>
                  <w:r w:rsidRPr="001E3185">
                    <w:rPr>
                      <w:rFonts w:cs="Arial"/>
                      <w:bCs/>
                    </w:rPr>
                    <w:t>PBC</w:t>
                  </w:r>
                </w:p>
              </w:tc>
              <w:tc>
                <w:tcPr>
                  <w:tcW w:w="2089" w:type="pct"/>
                  <w:shd w:val="clear" w:color="auto" w:fill="auto"/>
                  <w:vAlign w:val="center"/>
                </w:tcPr>
                <w:p w14:paraId="28C6D3AD" w14:textId="77777777" w:rsidR="00692E71" w:rsidRPr="001E3185" w:rsidRDefault="00692E71" w:rsidP="008E0250">
                  <w:pPr>
                    <w:jc w:val="center"/>
                    <w:rPr>
                      <w:rFonts w:cs="Arial"/>
                    </w:rPr>
                  </w:pPr>
                  <w:r w:rsidRPr="001E3185">
                    <w:rPr>
                      <w:rFonts w:cs="Arial"/>
                    </w:rPr>
                    <w:t>9.42E-03</w:t>
                  </w:r>
                </w:p>
              </w:tc>
              <w:tc>
                <w:tcPr>
                  <w:tcW w:w="1890" w:type="pct"/>
                  <w:shd w:val="clear" w:color="auto" w:fill="auto"/>
                  <w:vAlign w:val="center"/>
                </w:tcPr>
                <w:p w14:paraId="6EB364A3" w14:textId="77777777" w:rsidR="00692E71" w:rsidRPr="001E3185" w:rsidRDefault="00692E71" w:rsidP="008E0250">
                  <w:pPr>
                    <w:jc w:val="center"/>
                    <w:rPr>
                      <w:rFonts w:cs="Arial"/>
                    </w:rPr>
                  </w:pPr>
                  <w:r w:rsidRPr="001E3185">
                    <w:rPr>
                      <w:rFonts w:cs="Arial"/>
                    </w:rPr>
                    <w:t>4.79E-04</w:t>
                  </w:r>
                </w:p>
              </w:tc>
            </w:tr>
            <w:tr w:rsidR="00692E71" w:rsidRPr="001E3185" w14:paraId="638D07C1" w14:textId="77777777" w:rsidTr="008E0250">
              <w:trPr>
                <w:trHeight w:val="340"/>
                <w:jc w:val="center"/>
              </w:trPr>
              <w:tc>
                <w:tcPr>
                  <w:tcW w:w="5000" w:type="pct"/>
                  <w:gridSpan w:val="3"/>
                  <w:shd w:val="clear" w:color="auto" w:fill="auto"/>
                  <w:vAlign w:val="center"/>
                </w:tcPr>
                <w:p w14:paraId="7991A5A8" w14:textId="77777777" w:rsidR="00692E71" w:rsidRPr="001E3185" w:rsidRDefault="00692E71" w:rsidP="008E0250">
                  <w:pPr>
                    <w:jc w:val="center"/>
                    <w:rPr>
                      <w:rFonts w:cs="Arial"/>
                      <w:b/>
                      <w:bCs/>
                    </w:rPr>
                  </w:pPr>
                  <w:r w:rsidRPr="001E3185">
                    <w:rPr>
                      <w:rFonts w:cs="Arial"/>
                      <w:b/>
                    </w:rPr>
                    <w:t>PEC</w:t>
                  </w:r>
                  <w:r w:rsidRPr="001E3185">
                    <w:rPr>
                      <w:rFonts w:cs="Arial"/>
                      <w:b/>
                      <w:vertAlign w:val="subscript"/>
                    </w:rPr>
                    <w:t>sediment_via_STP</w:t>
                  </w:r>
                </w:p>
              </w:tc>
            </w:tr>
            <w:tr w:rsidR="00692E71" w:rsidRPr="001E3185" w14:paraId="0EA233A1" w14:textId="77777777" w:rsidTr="008E0250">
              <w:trPr>
                <w:jc w:val="center"/>
              </w:trPr>
              <w:tc>
                <w:tcPr>
                  <w:tcW w:w="1021" w:type="pct"/>
                  <w:shd w:val="clear" w:color="auto" w:fill="auto"/>
                  <w:vAlign w:val="center"/>
                </w:tcPr>
                <w:p w14:paraId="346F5C58" w14:textId="77777777" w:rsidR="00692E71" w:rsidRPr="001E3185" w:rsidRDefault="00692E71" w:rsidP="008E0250">
                  <w:pPr>
                    <w:rPr>
                      <w:rFonts w:cs="Arial"/>
                      <w:bCs/>
                    </w:rPr>
                  </w:pPr>
                </w:p>
              </w:tc>
              <w:tc>
                <w:tcPr>
                  <w:tcW w:w="2089" w:type="pct"/>
                  <w:shd w:val="clear" w:color="auto" w:fill="auto"/>
                  <w:vAlign w:val="center"/>
                </w:tcPr>
                <w:p w14:paraId="2F365EA8"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53DA1FD5" w14:textId="77777777" w:rsidR="00692E71" w:rsidRPr="001E3185" w:rsidRDefault="00692E71" w:rsidP="008E0250">
                  <w:pPr>
                    <w:jc w:val="center"/>
                    <w:rPr>
                      <w:rFonts w:cs="Arial"/>
                      <w:b/>
                      <w:bCs/>
                      <w:vertAlign w:val="subscript"/>
                    </w:rPr>
                  </w:pPr>
                  <w:r w:rsidRPr="001E3185">
                    <w:rPr>
                      <w:rFonts w:cs="Arial"/>
                      <w:b/>
                      <w:bCs/>
                      <w:vertAlign w:val="subscript"/>
                    </w:rPr>
                    <w:t>TIME1</w:t>
                  </w:r>
                </w:p>
                <w:p w14:paraId="72040F2F"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c>
                <w:tcPr>
                  <w:tcW w:w="1890" w:type="pct"/>
                  <w:shd w:val="clear" w:color="auto" w:fill="auto"/>
                  <w:vAlign w:val="center"/>
                </w:tcPr>
                <w:p w14:paraId="20C771FE" w14:textId="77777777" w:rsidR="00692E71" w:rsidRPr="001E3185" w:rsidRDefault="00692E71" w:rsidP="008E0250">
                  <w:pPr>
                    <w:jc w:val="center"/>
                    <w:rPr>
                      <w:rFonts w:cs="Arial"/>
                      <w:b/>
                    </w:rPr>
                  </w:pPr>
                  <w:r w:rsidRPr="001E3185">
                    <w:rPr>
                      <w:rFonts w:cs="Arial"/>
                      <w:b/>
                    </w:rPr>
                    <w:t>Industrial application</w:t>
                  </w:r>
                </w:p>
                <w:p w14:paraId="1E6CD0C0"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4F91276C"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r>
            <w:tr w:rsidR="00692E71" w:rsidRPr="001E3185" w14:paraId="01D24ADF" w14:textId="77777777" w:rsidTr="008E0250">
              <w:trPr>
                <w:trHeight w:val="340"/>
                <w:jc w:val="center"/>
              </w:trPr>
              <w:tc>
                <w:tcPr>
                  <w:tcW w:w="1021" w:type="pct"/>
                  <w:shd w:val="clear" w:color="auto" w:fill="auto"/>
                  <w:vAlign w:val="center"/>
                </w:tcPr>
                <w:p w14:paraId="7FA34F59" w14:textId="77777777" w:rsidR="00692E71" w:rsidRPr="001E3185" w:rsidRDefault="00692E71" w:rsidP="008E0250">
                  <w:pPr>
                    <w:rPr>
                      <w:rFonts w:cs="Arial"/>
                      <w:bCs/>
                    </w:rPr>
                  </w:pPr>
                  <w:r w:rsidRPr="001E3185">
                    <w:rPr>
                      <w:rFonts w:cs="Arial"/>
                      <w:bCs/>
                    </w:rPr>
                    <w:t>Tebuconazole</w:t>
                  </w:r>
                </w:p>
              </w:tc>
              <w:tc>
                <w:tcPr>
                  <w:tcW w:w="2089" w:type="pct"/>
                  <w:shd w:val="clear" w:color="auto" w:fill="auto"/>
                  <w:vAlign w:val="center"/>
                </w:tcPr>
                <w:p w14:paraId="3727FB73" w14:textId="77777777" w:rsidR="00692E71" w:rsidRPr="001E3185" w:rsidRDefault="00692E71" w:rsidP="008E0250">
                  <w:pPr>
                    <w:jc w:val="center"/>
                    <w:rPr>
                      <w:rFonts w:cs="Arial"/>
                    </w:rPr>
                  </w:pPr>
                  <w:r w:rsidRPr="001E3185">
                    <w:rPr>
                      <w:rFonts w:cs="Arial"/>
                    </w:rPr>
                    <w:t>6.11E-04</w:t>
                  </w:r>
                </w:p>
              </w:tc>
              <w:tc>
                <w:tcPr>
                  <w:tcW w:w="1890" w:type="pct"/>
                  <w:shd w:val="clear" w:color="auto" w:fill="auto"/>
                  <w:vAlign w:val="center"/>
                </w:tcPr>
                <w:p w14:paraId="13E636D5" w14:textId="77777777" w:rsidR="00692E71" w:rsidRPr="001E3185" w:rsidRDefault="00692E71" w:rsidP="008E0250">
                  <w:pPr>
                    <w:jc w:val="center"/>
                    <w:rPr>
                      <w:rFonts w:cs="Arial"/>
                    </w:rPr>
                  </w:pPr>
                  <w:r w:rsidRPr="001E3185">
                    <w:rPr>
                      <w:rFonts w:cs="Arial"/>
                    </w:rPr>
                    <w:t>2.71E-05</w:t>
                  </w:r>
                </w:p>
              </w:tc>
            </w:tr>
            <w:tr w:rsidR="00692E71" w:rsidRPr="001E3185" w14:paraId="1F46C4AA" w14:textId="77777777" w:rsidTr="008E0250">
              <w:trPr>
                <w:trHeight w:val="340"/>
                <w:jc w:val="center"/>
              </w:trPr>
              <w:tc>
                <w:tcPr>
                  <w:tcW w:w="1021" w:type="pct"/>
                  <w:shd w:val="clear" w:color="auto" w:fill="auto"/>
                  <w:vAlign w:val="center"/>
                </w:tcPr>
                <w:p w14:paraId="7B8EF70B" w14:textId="77777777" w:rsidR="00692E71" w:rsidRPr="001E3185" w:rsidRDefault="00692E71" w:rsidP="008E0250">
                  <w:pPr>
                    <w:rPr>
                      <w:rFonts w:cs="Arial"/>
                      <w:bCs/>
                    </w:rPr>
                  </w:pPr>
                  <w:r w:rsidRPr="001E3185">
                    <w:rPr>
                      <w:rFonts w:cs="Arial"/>
                      <w:bCs/>
                    </w:rPr>
                    <w:t>Propiconazole</w:t>
                  </w:r>
                </w:p>
              </w:tc>
              <w:tc>
                <w:tcPr>
                  <w:tcW w:w="2089" w:type="pct"/>
                  <w:shd w:val="clear" w:color="auto" w:fill="auto"/>
                  <w:vAlign w:val="center"/>
                </w:tcPr>
                <w:p w14:paraId="36A85D61" w14:textId="77777777" w:rsidR="00692E71" w:rsidRPr="001E3185" w:rsidRDefault="00692E71" w:rsidP="008E0250">
                  <w:pPr>
                    <w:jc w:val="center"/>
                    <w:rPr>
                      <w:rFonts w:cs="Arial"/>
                    </w:rPr>
                  </w:pPr>
                  <w:r w:rsidRPr="001E3185">
                    <w:rPr>
                      <w:rFonts w:cs="Arial"/>
                    </w:rPr>
                    <w:t>1.34E-03</w:t>
                  </w:r>
                </w:p>
              </w:tc>
              <w:tc>
                <w:tcPr>
                  <w:tcW w:w="1890" w:type="pct"/>
                  <w:shd w:val="clear" w:color="auto" w:fill="auto"/>
                  <w:vAlign w:val="center"/>
                </w:tcPr>
                <w:p w14:paraId="741330DF" w14:textId="77777777" w:rsidR="00692E71" w:rsidRPr="001E3185" w:rsidRDefault="00692E71" w:rsidP="008E0250">
                  <w:pPr>
                    <w:jc w:val="center"/>
                    <w:rPr>
                      <w:rFonts w:cs="Arial"/>
                    </w:rPr>
                  </w:pPr>
                  <w:r w:rsidRPr="001E3185">
                    <w:rPr>
                      <w:rFonts w:cs="Arial"/>
                    </w:rPr>
                    <w:t>7.06E-05</w:t>
                  </w:r>
                </w:p>
              </w:tc>
            </w:tr>
            <w:tr w:rsidR="00692E71" w:rsidRPr="001E3185" w14:paraId="11418DAF" w14:textId="77777777" w:rsidTr="008E0250">
              <w:trPr>
                <w:trHeight w:val="340"/>
                <w:jc w:val="center"/>
              </w:trPr>
              <w:tc>
                <w:tcPr>
                  <w:tcW w:w="1021" w:type="pct"/>
                  <w:shd w:val="clear" w:color="auto" w:fill="auto"/>
                  <w:vAlign w:val="center"/>
                </w:tcPr>
                <w:p w14:paraId="78F365BA" w14:textId="77777777" w:rsidR="00692E71" w:rsidRPr="001E3185" w:rsidRDefault="00692E71" w:rsidP="008E0250">
                  <w:pPr>
                    <w:rPr>
                      <w:rFonts w:cs="Arial"/>
                      <w:bCs/>
                    </w:rPr>
                  </w:pPr>
                  <w:r w:rsidRPr="001E3185">
                    <w:rPr>
                      <w:rFonts w:cs="Arial"/>
                      <w:bCs/>
                    </w:rPr>
                    <w:t>Cypermethrin</w:t>
                  </w:r>
                </w:p>
              </w:tc>
              <w:tc>
                <w:tcPr>
                  <w:tcW w:w="2089" w:type="pct"/>
                  <w:shd w:val="clear" w:color="auto" w:fill="auto"/>
                  <w:vAlign w:val="center"/>
                </w:tcPr>
                <w:p w14:paraId="2C9284B6" w14:textId="77777777" w:rsidR="00692E71" w:rsidRPr="001E3185" w:rsidRDefault="00692E71" w:rsidP="008E0250">
                  <w:pPr>
                    <w:jc w:val="center"/>
                    <w:rPr>
                      <w:rFonts w:cs="Arial"/>
                    </w:rPr>
                  </w:pPr>
                  <w:r w:rsidRPr="001E3185">
                    <w:rPr>
                      <w:rFonts w:cs="Arial"/>
                    </w:rPr>
                    <w:t>1.81E-04</w:t>
                  </w:r>
                </w:p>
              </w:tc>
              <w:tc>
                <w:tcPr>
                  <w:tcW w:w="1890" w:type="pct"/>
                  <w:shd w:val="clear" w:color="auto" w:fill="auto"/>
                  <w:vAlign w:val="center"/>
                </w:tcPr>
                <w:p w14:paraId="0BFA0294" w14:textId="77777777" w:rsidR="00692E71" w:rsidRPr="001E3185" w:rsidRDefault="00692E71" w:rsidP="008E0250">
                  <w:pPr>
                    <w:jc w:val="center"/>
                    <w:rPr>
                      <w:rFonts w:cs="Arial"/>
                    </w:rPr>
                  </w:pPr>
                  <w:r w:rsidRPr="001E3185">
                    <w:rPr>
                      <w:rFonts w:cs="Arial"/>
                    </w:rPr>
                    <w:t>1.45E-04</w:t>
                  </w:r>
                </w:p>
              </w:tc>
            </w:tr>
            <w:tr w:rsidR="00692E71" w:rsidRPr="001E3185" w14:paraId="4361B887" w14:textId="77777777" w:rsidTr="008E0250">
              <w:trPr>
                <w:trHeight w:val="340"/>
                <w:jc w:val="center"/>
              </w:trPr>
              <w:tc>
                <w:tcPr>
                  <w:tcW w:w="1021" w:type="pct"/>
                  <w:shd w:val="clear" w:color="auto" w:fill="auto"/>
                  <w:vAlign w:val="center"/>
                </w:tcPr>
                <w:p w14:paraId="1AE5229B" w14:textId="77777777" w:rsidR="00692E71" w:rsidRPr="001E3185" w:rsidRDefault="00692E71" w:rsidP="008E0250">
                  <w:pPr>
                    <w:rPr>
                      <w:rFonts w:cs="Arial"/>
                      <w:bCs/>
                    </w:rPr>
                  </w:pPr>
                  <w:r w:rsidRPr="001E3185">
                    <w:rPr>
                      <w:rFonts w:cs="Arial"/>
                      <w:bCs/>
                    </w:rPr>
                    <w:t>PBC</w:t>
                  </w:r>
                </w:p>
              </w:tc>
              <w:tc>
                <w:tcPr>
                  <w:tcW w:w="2089" w:type="pct"/>
                  <w:shd w:val="clear" w:color="auto" w:fill="auto"/>
                  <w:vAlign w:val="center"/>
                </w:tcPr>
                <w:p w14:paraId="636D5857" w14:textId="77777777" w:rsidR="00692E71" w:rsidRPr="001E3185" w:rsidRDefault="00692E71" w:rsidP="008E0250">
                  <w:pPr>
                    <w:jc w:val="center"/>
                    <w:rPr>
                      <w:rFonts w:cs="Arial"/>
                    </w:rPr>
                  </w:pPr>
                  <w:r w:rsidRPr="001E3185">
                    <w:rPr>
                      <w:rFonts w:cs="Arial"/>
                    </w:rPr>
                    <w:t>4.79E-05</w:t>
                  </w:r>
                </w:p>
              </w:tc>
              <w:tc>
                <w:tcPr>
                  <w:tcW w:w="1890" w:type="pct"/>
                  <w:shd w:val="clear" w:color="auto" w:fill="auto"/>
                  <w:vAlign w:val="center"/>
                </w:tcPr>
                <w:p w14:paraId="74E2FF1C" w14:textId="77777777" w:rsidR="00692E71" w:rsidRPr="001E3185" w:rsidRDefault="00692E71" w:rsidP="008E0250">
                  <w:pPr>
                    <w:jc w:val="center"/>
                    <w:rPr>
                      <w:rFonts w:cs="Arial"/>
                    </w:rPr>
                  </w:pPr>
                  <w:r w:rsidRPr="001E3185">
                    <w:rPr>
                      <w:rFonts w:cs="Arial"/>
                    </w:rPr>
                    <w:t>2.44E-06</w:t>
                  </w:r>
                </w:p>
              </w:tc>
            </w:tr>
          </w:tbl>
          <w:p w14:paraId="16F0E77D" w14:textId="77777777" w:rsidR="00692E71" w:rsidRPr="001E3185" w:rsidRDefault="00692E71" w:rsidP="008E0250">
            <w:pPr>
              <w:rPr>
                <w:rFonts w:cs="Arial"/>
                <w:vanish/>
              </w:rPr>
            </w:pPr>
          </w:p>
          <w:p w14:paraId="32ED7516" w14:textId="77777777" w:rsidR="00692E71" w:rsidRPr="001E3185" w:rsidRDefault="00692E71" w:rsidP="008E0250">
            <w:pPr>
              <w:rPr>
                <w:rFonts w:cs="Arial"/>
                <w:vanish/>
              </w:rPr>
            </w:pPr>
          </w:p>
          <w:p w14:paraId="5AB19C31" w14:textId="77777777" w:rsidR="00692E71" w:rsidRPr="001E3185" w:rsidRDefault="00692E71" w:rsidP="00F32B7F">
            <w:pPr>
              <w:pStyle w:val="Lgende"/>
              <w:numPr>
                <w:ilvl w:val="0"/>
                <w:numId w:val="19"/>
              </w:numPr>
              <w:suppressAutoHyphens w:val="0"/>
              <w:spacing w:after="200"/>
              <w:rPr>
                <w:rFonts w:ascii="Verdana" w:hAnsi="Verdana"/>
              </w:rPr>
            </w:pPr>
            <w:r w:rsidRPr="001E3185">
              <w:rPr>
                <w:rFonts w:ascii="Verdana" w:hAnsi="Verdana"/>
              </w:rPr>
              <w:t>PEC in the soil compartment</w:t>
            </w:r>
          </w:p>
          <w:p w14:paraId="6AC1DD6A" w14:textId="77777777" w:rsidR="00692E71" w:rsidRPr="001E3185" w:rsidRDefault="00692E71" w:rsidP="008E0250">
            <w:pPr>
              <w:rPr>
                <w:rFonts w:cs="Arial"/>
              </w:rPr>
            </w:pPr>
          </w:p>
          <w:p w14:paraId="2A580EA4" w14:textId="77777777" w:rsidR="00692E71" w:rsidRPr="001E3185" w:rsidRDefault="00692E71" w:rsidP="00F32B7F">
            <w:pPr>
              <w:pStyle w:val="Lgende"/>
              <w:numPr>
                <w:ilvl w:val="1"/>
                <w:numId w:val="19"/>
              </w:numPr>
              <w:suppressAutoHyphens w:val="0"/>
              <w:spacing w:after="200"/>
              <w:rPr>
                <w:rFonts w:ascii="Verdana" w:hAnsi="Verdana"/>
              </w:rPr>
            </w:pPr>
            <w:r w:rsidRPr="001E3185">
              <w:rPr>
                <w:rFonts w:ascii="Verdana" w:hAnsi="Verdana"/>
              </w:rPr>
              <w:t>Direct emissions to soil</w:t>
            </w:r>
          </w:p>
          <w:p w14:paraId="0F3668F9" w14:textId="77777777" w:rsidR="00692E71" w:rsidRPr="001E3185" w:rsidRDefault="00692E71" w:rsidP="008E0250">
            <w:pPr>
              <w:autoSpaceDE w:val="0"/>
              <w:autoSpaceDN w:val="0"/>
              <w:ind w:right="142"/>
              <w:rPr>
                <w:rFonts w:cs="Arial"/>
              </w:rPr>
            </w:pPr>
          </w:p>
          <w:p w14:paraId="3565BF32"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rPr>
              <w:t>Industrial dipping, storage</w:t>
            </w:r>
          </w:p>
          <w:p w14:paraId="1B64B77C" w14:textId="77777777" w:rsidR="00692E71" w:rsidRPr="001E3185" w:rsidRDefault="00692E71" w:rsidP="008E0250">
            <w:pPr>
              <w:rPr>
                <w:rFonts w:cs="Arial"/>
              </w:rPr>
            </w:pPr>
            <w:r w:rsidRPr="001E3185">
              <w:rPr>
                <w:rFonts w:cs="Arial"/>
              </w:rPr>
              <w:t>According to the ESD and considering a continuous release rate in the storage area, an average daily release rate into soil due to leaching over the storage duration is estimated (eq.3.2 for soil of the PT08 ESD).</w:t>
            </w:r>
          </w:p>
          <w:p w14:paraId="01DFCD1E" w14:textId="77777777" w:rsidR="00692E71" w:rsidRPr="001E3185" w:rsidRDefault="00692E71" w:rsidP="008E0250">
            <w:pPr>
              <w:rPr>
                <w:rFonts w:cs="Arial"/>
              </w:rPr>
            </w:pPr>
          </w:p>
          <w:tbl>
            <w:tblPr>
              <w:tblW w:w="0" w:type="auto"/>
              <w:jc w:val="center"/>
              <w:tblLayout w:type="fixed"/>
              <w:tblLook w:val="04A0" w:firstRow="1" w:lastRow="0" w:firstColumn="1" w:lastColumn="0" w:noHBand="0" w:noVBand="1"/>
            </w:tblPr>
            <w:tblGrid>
              <w:gridCol w:w="1701"/>
              <w:gridCol w:w="2693"/>
            </w:tblGrid>
            <w:tr w:rsidR="00692E71" w:rsidRPr="001E3185" w14:paraId="240DF118" w14:textId="77777777" w:rsidTr="008E0250">
              <w:trPr>
                <w:trHeight w:val="283"/>
                <w:jc w:val="center"/>
              </w:trPr>
              <w:tc>
                <w:tcPr>
                  <w:tcW w:w="4394" w:type="dxa"/>
                  <w:gridSpan w:val="2"/>
                  <w:vAlign w:val="center"/>
                </w:tcPr>
                <w:p w14:paraId="01CCACCD" w14:textId="77777777" w:rsidR="00692E71" w:rsidRPr="001E3185" w:rsidRDefault="00692E71" w:rsidP="008E0250">
                  <w:pPr>
                    <w:autoSpaceDE w:val="0"/>
                    <w:autoSpaceDN w:val="0"/>
                    <w:spacing w:before="120"/>
                    <w:jc w:val="center"/>
                    <w:rPr>
                      <w:rFonts w:cs="Arial"/>
                    </w:rPr>
                  </w:pPr>
                  <w:r w:rsidRPr="001E3185">
                    <w:rPr>
                      <w:rFonts w:cs="Arial"/>
                    </w:rPr>
                    <w:t>Storage – Treatment by industrial dipping</w:t>
                  </w:r>
                </w:p>
              </w:tc>
            </w:tr>
            <w:tr w:rsidR="00692E71" w:rsidRPr="001E3185" w14:paraId="474BD29E" w14:textId="77777777" w:rsidTr="008E0250">
              <w:trPr>
                <w:trHeight w:val="340"/>
                <w:jc w:val="center"/>
              </w:trPr>
              <w:tc>
                <w:tcPr>
                  <w:tcW w:w="4394" w:type="dxa"/>
                  <w:gridSpan w:val="2"/>
                  <w:vAlign w:val="center"/>
                </w:tcPr>
                <w:p w14:paraId="45E6EE2B" w14:textId="77777777" w:rsidR="00692E71" w:rsidRPr="001E3185" w:rsidRDefault="00692E71" w:rsidP="008E0250">
                  <w:pPr>
                    <w:autoSpaceDE w:val="0"/>
                    <w:autoSpaceDN w:val="0"/>
                    <w:rPr>
                      <w:rFonts w:cs="Arial"/>
                    </w:rPr>
                  </w:pPr>
                  <w:r w:rsidRPr="001E3185">
                    <w:rPr>
                      <w:rFonts w:cs="Arial"/>
                      <w:iCs/>
                    </w:rPr>
                    <w:t xml:space="preserve">PEC local soil, </w:t>
                  </w:r>
                  <w:r w:rsidRPr="001E3185">
                    <w:rPr>
                      <w:rFonts w:cs="Arial"/>
                    </w:rPr>
                    <w:t>steady-state [mg.kg</w:t>
                  </w:r>
                  <w:r w:rsidRPr="001E3185">
                    <w:rPr>
                      <w:rFonts w:cs="Arial"/>
                      <w:vertAlign w:val="subscript"/>
                    </w:rPr>
                    <w:t>wwt</w:t>
                  </w:r>
                  <w:r w:rsidRPr="001E3185">
                    <w:rPr>
                      <w:rFonts w:cs="Arial"/>
                      <w:vertAlign w:val="superscript"/>
                    </w:rPr>
                    <w:t>-1</w:t>
                  </w:r>
                  <w:r w:rsidRPr="001E3185">
                    <w:rPr>
                      <w:rFonts w:cs="Arial"/>
                    </w:rPr>
                    <w:t>]</w:t>
                  </w:r>
                </w:p>
              </w:tc>
            </w:tr>
            <w:tr w:rsidR="00692E71" w:rsidRPr="001E3185" w14:paraId="5951F156" w14:textId="77777777" w:rsidTr="008E0250">
              <w:trPr>
                <w:trHeight w:val="340"/>
                <w:jc w:val="center"/>
              </w:trPr>
              <w:tc>
                <w:tcPr>
                  <w:tcW w:w="1701" w:type="dxa"/>
                  <w:vAlign w:val="center"/>
                </w:tcPr>
                <w:p w14:paraId="42DBDFEC" w14:textId="77777777" w:rsidR="00692E71" w:rsidRPr="001E3185" w:rsidRDefault="00692E71" w:rsidP="008E0250">
                  <w:pPr>
                    <w:autoSpaceDE w:val="0"/>
                    <w:autoSpaceDN w:val="0"/>
                    <w:rPr>
                      <w:rFonts w:cs="Arial"/>
                    </w:rPr>
                  </w:pPr>
                  <w:r w:rsidRPr="001E3185">
                    <w:rPr>
                      <w:rFonts w:cs="Arial"/>
                    </w:rPr>
                    <w:t>Tebuconazole</w:t>
                  </w:r>
                </w:p>
              </w:tc>
              <w:tc>
                <w:tcPr>
                  <w:tcW w:w="2693" w:type="dxa"/>
                  <w:vAlign w:val="center"/>
                </w:tcPr>
                <w:p w14:paraId="082A497D" w14:textId="77777777" w:rsidR="00692E71" w:rsidRPr="001E3185" w:rsidRDefault="00692E71" w:rsidP="008E0250">
                  <w:pPr>
                    <w:jc w:val="center"/>
                    <w:rPr>
                      <w:rFonts w:cs="Arial"/>
                    </w:rPr>
                  </w:pPr>
                  <w:r w:rsidRPr="001E3185">
                    <w:rPr>
                      <w:rFonts w:cs="Arial"/>
                    </w:rPr>
                    <w:t>2.11E-01</w:t>
                  </w:r>
                </w:p>
              </w:tc>
            </w:tr>
            <w:tr w:rsidR="00692E71" w:rsidRPr="001E3185" w14:paraId="5346B024" w14:textId="77777777" w:rsidTr="008E0250">
              <w:trPr>
                <w:trHeight w:val="340"/>
                <w:jc w:val="center"/>
              </w:trPr>
              <w:tc>
                <w:tcPr>
                  <w:tcW w:w="1701" w:type="dxa"/>
                  <w:vAlign w:val="center"/>
                </w:tcPr>
                <w:p w14:paraId="37A46189" w14:textId="77777777" w:rsidR="00692E71" w:rsidRPr="001E3185" w:rsidRDefault="00692E71" w:rsidP="008E0250">
                  <w:pPr>
                    <w:autoSpaceDE w:val="0"/>
                    <w:autoSpaceDN w:val="0"/>
                    <w:rPr>
                      <w:rFonts w:cs="Arial"/>
                    </w:rPr>
                  </w:pPr>
                  <w:r w:rsidRPr="001E3185">
                    <w:rPr>
                      <w:rFonts w:cs="Arial"/>
                    </w:rPr>
                    <w:t>Propiconazole</w:t>
                  </w:r>
                </w:p>
              </w:tc>
              <w:tc>
                <w:tcPr>
                  <w:tcW w:w="2693" w:type="dxa"/>
                  <w:vAlign w:val="center"/>
                </w:tcPr>
                <w:p w14:paraId="383E90D3" w14:textId="77777777" w:rsidR="00692E71" w:rsidRPr="001E3185" w:rsidRDefault="00692E71" w:rsidP="008E0250">
                  <w:pPr>
                    <w:jc w:val="center"/>
                    <w:rPr>
                      <w:rFonts w:cs="Arial"/>
                    </w:rPr>
                  </w:pPr>
                  <w:r w:rsidRPr="001E3185">
                    <w:rPr>
                      <w:rFonts w:cs="Arial"/>
                    </w:rPr>
                    <w:t>5.09E-01</w:t>
                  </w:r>
                </w:p>
              </w:tc>
            </w:tr>
            <w:tr w:rsidR="00692E71" w:rsidRPr="001E3185" w14:paraId="3B29C42A" w14:textId="77777777" w:rsidTr="008E0250">
              <w:trPr>
                <w:trHeight w:val="340"/>
                <w:jc w:val="center"/>
              </w:trPr>
              <w:tc>
                <w:tcPr>
                  <w:tcW w:w="1701" w:type="dxa"/>
                  <w:vAlign w:val="center"/>
                </w:tcPr>
                <w:p w14:paraId="59E0257A" w14:textId="77777777" w:rsidR="00692E71" w:rsidRPr="001E3185" w:rsidRDefault="00692E71" w:rsidP="008E0250">
                  <w:pPr>
                    <w:autoSpaceDE w:val="0"/>
                    <w:autoSpaceDN w:val="0"/>
                    <w:rPr>
                      <w:rFonts w:cs="Arial"/>
                    </w:rPr>
                  </w:pPr>
                  <w:r w:rsidRPr="001E3185">
                    <w:rPr>
                      <w:rFonts w:cs="Arial"/>
                    </w:rPr>
                    <w:t>Cypermethrin</w:t>
                  </w:r>
                </w:p>
              </w:tc>
              <w:tc>
                <w:tcPr>
                  <w:tcW w:w="2693" w:type="dxa"/>
                  <w:vAlign w:val="center"/>
                </w:tcPr>
                <w:p w14:paraId="070A8F57" w14:textId="77777777" w:rsidR="00692E71" w:rsidRPr="001E3185" w:rsidRDefault="00692E71" w:rsidP="008E0250">
                  <w:pPr>
                    <w:jc w:val="center"/>
                    <w:rPr>
                      <w:rFonts w:cs="Arial"/>
                    </w:rPr>
                  </w:pPr>
                  <w:r w:rsidRPr="001E3185">
                    <w:rPr>
                      <w:rFonts w:cs="Arial"/>
                    </w:rPr>
                    <w:t>4.51E-04</w:t>
                  </w:r>
                </w:p>
              </w:tc>
            </w:tr>
            <w:tr w:rsidR="00692E71" w:rsidRPr="001E3185" w14:paraId="20C10A5B" w14:textId="77777777" w:rsidTr="008E0250">
              <w:trPr>
                <w:trHeight w:val="340"/>
                <w:jc w:val="center"/>
              </w:trPr>
              <w:tc>
                <w:tcPr>
                  <w:tcW w:w="1701" w:type="dxa"/>
                  <w:vAlign w:val="center"/>
                </w:tcPr>
                <w:p w14:paraId="4C5744A4" w14:textId="77777777" w:rsidR="00692E71" w:rsidRPr="001E3185" w:rsidRDefault="00692E71" w:rsidP="008E0250">
                  <w:pPr>
                    <w:autoSpaceDE w:val="0"/>
                    <w:autoSpaceDN w:val="0"/>
                    <w:rPr>
                      <w:rFonts w:cs="Arial"/>
                    </w:rPr>
                  </w:pPr>
                  <w:r w:rsidRPr="001E3185">
                    <w:rPr>
                      <w:rFonts w:cs="Arial"/>
                    </w:rPr>
                    <w:t>IPBC</w:t>
                  </w:r>
                </w:p>
              </w:tc>
              <w:tc>
                <w:tcPr>
                  <w:tcW w:w="2693" w:type="dxa"/>
                  <w:vAlign w:val="center"/>
                </w:tcPr>
                <w:p w14:paraId="4AF1290F" w14:textId="77777777" w:rsidR="00692E71" w:rsidRPr="001E3185" w:rsidRDefault="00692E71" w:rsidP="008E0250">
                  <w:pPr>
                    <w:jc w:val="center"/>
                    <w:rPr>
                      <w:rFonts w:cs="Arial"/>
                    </w:rPr>
                  </w:pPr>
                  <w:r w:rsidRPr="001E3185">
                    <w:rPr>
                      <w:rFonts w:cs="Arial"/>
                    </w:rPr>
                    <w:t>3.07E-04</w:t>
                  </w:r>
                </w:p>
              </w:tc>
            </w:tr>
            <w:tr w:rsidR="00692E71" w:rsidRPr="001E3185" w14:paraId="629873B0" w14:textId="77777777" w:rsidTr="008E0250">
              <w:trPr>
                <w:trHeight w:val="340"/>
                <w:jc w:val="center"/>
              </w:trPr>
              <w:tc>
                <w:tcPr>
                  <w:tcW w:w="1701" w:type="dxa"/>
                  <w:vAlign w:val="center"/>
                </w:tcPr>
                <w:p w14:paraId="28B6F9BC" w14:textId="77777777" w:rsidR="00692E71" w:rsidRPr="001E3185" w:rsidRDefault="00692E71" w:rsidP="008E0250">
                  <w:pPr>
                    <w:autoSpaceDE w:val="0"/>
                    <w:autoSpaceDN w:val="0"/>
                    <w:rPr>
                      <w:rFonts w:cs="Arial"/>
                    </w:rPr>
                  </w:pPr>
                  <w:r w:rsidRPr="001E3185">
                    <w:rPr>
                      <w:rFonts w:cs="Arial"/>
                    </w:rPr>
                    <w:t>PBC</w:t>
                  </w:r>
                </w:p>
              </w:tc>
              <w:tc>
                <w:tcPr>
                  <w:tcW w:w="2693" w:type="dxa"/>
                  <w:vAlign w:val="center"/>
                </w:tcPr>
                <w:p w14:paraId="0E976F60" w14:textId="77777777" w:rsidR="00692E71" w:rsidRPr="001E3185" w:rsidRDefault="00692E71" w:rsidP="008E0250">
                  <w:pPr>
                    <w:jc w:val="center"/>
                    <w:rPr>
                      <w:rFonts w:cs="Arial"/>
                    </w:rPr>
                  </w:pPr>
                  <w:r w:rsidRPr="001E3185">
                    <w:rPr>
                      <w:rFonts w:cs="Arial"/>
                    </w:rPr>
                    <w:t>8.23E-03</w:t>
                  </w:r>
                </w:p>
              </w:tc>
            </w:tr>
            <w:tr w:rsidR="00692E71" w:rsidRPr="001E3185" w14:paraId="29C6D657" w14:textId="77777777" w:rsidTr="008E0250">
              <w:trPr>
                <w:trHeight w:val="340"/>
                <w:jc w:val="center"/>
              </w:trPr>
              <w:tc>
                <w:tcPr>
                  <w:tcW w:w="1701" w:type="dxa"/>
                  <w:vAlign w:val="center"/>
                </w:tcPr>
                <w:p w14:paraId="0D9B2186" w14:textId="77777777" w:rsidR="00692E71" w:rsidRPr="001E3185" w:rsidRDefault="00692E71" w:rsidP="008E0250">
                  <w:pPr>
                    <w:autoSpaceDE w:val="0"/>
                    <w:autoSpaceDN w:val="0"/>
                    <w:rPr>
                      <w:rFonts w:cs="Arial"/>
                    </w:rPr>
                  </w:pPr>
                  <w:r w:rsidRPr="001E3185">
                    <w:rPr>
                      <w:rFonts w:cs="Arial"/>
                    </w:rPr>
                    <w:t>1,2,4-triazole</w:t>
                  </w:r>
                </w:p>
              </w:tc>
              <w:tc>
                <w:tcPr>
                  <w:tcW w:w="2693" w:type="dxa"/>
                  <w:vAlign w:val="center"/>
                </w:tcPr>
                <w:p w14:paraId="1361CB74" w14:textId="77777777" w:rsidR="00692E71" w:rsidRPr="001E3185" w:rsidRDefault="00692E71" w:rsidP="008E0250">
                  <w:pPr>
                    <w:jc w:val="center"/>
                    <w:rPr>
                      <w:rFonts w:cs="Arial"/>
                    </w:rPr>
                  </w:pPr>
                  <w:r w:rsidRPr="001E3185">
                    <w:rPr>
                      <w:rFonts w:cs="Arial"/>
                    </w:rPr>
                    <w:t>6.85E-02</w:t>
                  </w:r>
                </w:p>
              </w:tc>
            </w:tr>
          </w:tbl>
          <w:p w14:paraId="4C19A018" w14:textId="77777777" w:rsidR="00692E71" w:rsidRPr="001E3185" w:rsidRDefault="00692E71" w:rsidP="008E0250">
            <w:pPr>
              <w:autoSpaceDE w:val="0"/>
              <w:autoSpaceDN w:val="0"/>
              <w:ind w:right="142"/>
              <w:rPr>
                <w:rFonts w:cs="Arial"/>
              </w:rPr>
            </w:pPr>
          </w:p>
          <w:p w14:paraId="0E1FA66B"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i/>
              </w:rPr>
              <w:t>In situ</w:t>
            </w:r>
            <w:r w:rsidRPr="001E3185">
              <w:rPr>
                <w:rFonts w:ascii="Verdana" w:hAnsi="Verdana"/>
              </w:rPr>
              <w:t xml:space="preserve"> application</w:t>
            </w:r>
          </w:p>
          <w:p w14:paraId="6F400759" w14:textId="77777777" w:rsidR="00692E71" w:rsidRPr="001E3185" w:rsidRDefault="00692E71" w:rsidP="008E0250">
            <w:pPr>
              <w:autoSpaceDE w:val="0"/>
              <w:autoSpaceDN w:val="0"/>
              <w:ind w:right="142"/>
              <w:rPr>
                <w:rFonts w:cs="Arial"/>
              </w:rPr>
            </w:pPr>
            <w:r w:rsidRPr="001E3185">
              <w:rPr>
                <w:rFonts w:cs="Arial"/>
              </w:rPr>
              <w:t>Initial concentrations are presented (eq. 4.38 for brush, 4.120 for spray Tier 1 and 4.121 for spray Tier 2 of the PT08 ESD).</w:t>
            </w:r>
          </w:p>
          <w:p w14:paraId="0666CF2E" w14:textId="77777777" w:rsidR="00692E71" w:rsidRPr="001E3185" w:rsidRDefault="00692E71" w:rsidP="008E0250">
            <w:pPr>
              <w:autoSpaceDE w:val="0"/>
              <w:autoSpaceDN w:val="0"/>
              <w:ind w:right="142"/>
              <w:rPr>
                <w:rFonts w:cs="Arial"/>
              </w:rPr>
            </w:pPr>
          </w:p>
          <w:tbl>
            <w:tblPr>
              <w:tblW w:w="43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3112"/>
              <w:gridCol w:w="3111"/>
            </w:tblGrid>
            <w:tr w:rsidR="00692E71" w:rsidRPr="001E3185" w14:paraId="39F72EF8" w14:textId="77777777" w:rsidTr="008E0250">
              <w:trPr>
                <w:trHeight w:val="340"/>
                <w:jc w:val="center"/>
              </w:trPr>
              <w:tc>
                <w:tcPr>
                  <w:tcW w:w="5000" w:type="pct"/>
                  <w:gridSpan w:val="3"/>
                  <w:shd w:val="clear" w:color="auto" w:fill="auto"/>
                  <w:vAlign w:val="center"/>
                </w:tcPr>
                <w:p w14:paraId="3126D647" w14:textId="77777777" w:rsidR="00692E71" w:rsidRPr="001E3185" w:rsidRDefault="00692E71" w:rsidP="008E0250">
                  <w:pPr>
                    <w:autoSpaceDE w:val="0"/>
                    <w:autoSpaceDN w:val="0"/>
                    <w:ind w:right="142"/>
                    <w:jc w:val="center"/>
                    <w:rPr>
                      <w:rFonts w:cs="Arial"/>
                      <w:b/>
                    </w:rPr>
                  </w:pPr>
                  <w:r w:rsidRPr="001E3185">
                    <w:rPr>
                      <w:rFonts w:cs="Arial"/>
                      <w:b/>
                    </w:rPr>
                    <w:t>Application – House -Treatment by brushing</w:t>
                  </w:r>
                </w:p>
              </w:tc>
            </w:tr>
            <w:tr w:rsidR="00692E71" w:rsidRPr="001E3185" w14:paraId="013BFE99" w14:textId="77777777" w:rsidTr="008E0250">
              <w:trPr>
                <w:trHeight w:val="340"/>
                <w:jc w:val="center"/>
              </w:trPr>
              <w:tc>
                <w:tcPr>
                  <w:tcW w:w="1201" w:type="pct"/>
                  <w:shd w:val="clear" w:color="auto" w:fill="auto"/>
                </w:tcPr>
                <w:p w14:paraId="5AD1BD61" w14:textId="77777777" w:rsidR="00692E71" w:rsidRPr="001E3185" w:rsidRDefault="00692E71" w:rsidP="008E0250">
                  <w:pPr>
                    <w:autoSpaceDE w:val="0"/>
                    <w:autoSpaceDN w:val="0"/>
                    <w:ind w:right="142"/>
                    <w:rPr>
                      <w:rFonts w:cs="Arial"/>
                    </w:rPr>
                  </w:pPr>
                </w:p>
              </w:tc>
              <w:tc>
                <w:tcPr>
                  <w:tcW w:w="1900" w:type="pct"/>
                  <w:shd w:val="clear" w:color="auto" w:fill="auto"/>
                  <w:vAlign w:val="center"/>
                </w:tcPr>
                <w:p w14:paraId="3B5B118C" w14:textId="77777777" w:rsidR="00692E71" w:rsidRPr="001E3185" w:rsidRDefault="00692E71" w:rsidP="008E0250">
                  <w:pPr>
                    <w:autoSpaceDE w:val="0"/>
                    <w:autoSpaceDN w:val="0"/>
                    <w:ind w:right="142"/>
                    <w:jc w:val="center"/>
                    <w:rPr>
                      <w:rFonts w:cs="Arial"/>
                    </w:rPr>
                  </w:pPr>
                  <w:r w:rsidRPr="001E3185">
                    <w:rPr>
                      <w:rFonts w:cs="Arial"/>
                    </w:rPr>
                    <w:t>Professional</w:t>
                  </w:r>
                </w:p>
              </w:tc>
              <w:tc>
                <w:tcPr>
                  <w:tcW w:w="1899" w:type="pct"/>
                  <w:shd w:val="clear" w:color="auto" w:fill="auto"/>
                  <w:vAlign w:val="center"/>
                </w:tcPr>
                <w:p w14:paraId="2FBD037F" w14:textId="77777777" w:rsidR="00692E71" w:rsidRPr="001E3185" w:rsidRDefault="00692E71" w:rsidP="008E0250">
                  <w:pPr>
                    <w:autoSpaceDE w:val="0"/>
                    <w:autoSpaceDN w:val="0"/>
                    <w:ind w:right="142"/>
                    <w:jc w:val="center"/>
                    <w:rPr>
                      <w:rFonts w:cs="Arial"/>
                    </w:rPr>
                  </w:pPr>
                  <w:r w:rsidRPr="001E3185">
                    <w:rPr>
                      <w:rFonts w:cs="Arial"/>
                    </w:rPr>
                    <w:t>Non-professional</w:t>
                  </w:r>
                </w:p>
              </w:tc>
            </w:tr>
            <w:tr w:rsidR="00692E71" w:rsidRPr="001E3185" w14:paraId="07E2A0F8" w14:textId="77777777" w:rsidTr="008E0250">
              <w:trPr>
                <w:trHeight w:val="340"/>
                <w:jc w:val="center"/>
              </w:trPr>
              <w:tc>
                <w:tcPr>
                  <w:tcW w:w="5000" w:type="pct"/>
                  <w:gridSpan w:val="3"/>
                  <w:shd w:val="clear" w:color="auto" w:fill="auto"/>
                  <w:vAlign w:val="center"/>
                </w:tcPr>
                <w:p w14:paraId="75A2F6CA" w14:textId="77777777" w:rsidR="00692E71" w:rsidRPr="001E3185" w:rsidRDefault="00692E71" w:rsidP="008E0250">
                  <w:pPr>
                    <w:autoSpaceDE w:val="0"/>
                    <w:autoSpaceDN w:val="0"/>
                    <w:ind w:right="142"/>
                    <w:rPr>
                      <w:rFonts w:cs="Arial"/>
                    </w:rPr>
                  </w:pPr>
                  <w:r w:rsidRPr="001E3185">
                    <w:rPr>
                      <w:rFonts w:cs="Arial"/>
                      <w:b/>
                      <w:iCs/>
                    </w:rPr>
                    <w:t>PEC local soil</w:t>
                  </w:r>
                  <w:r w:rsidRPr="001E3185">
                    <w:rPr>
                      <w:rFonts w:cs="Arial"/>
                    </w:rPr>
                    <w:t>,</w:t>
                  </w:r>
                  <w:r w:rsidRPr="001E3185">
                    <w:rPr>
                      <w:rFonts w:cs="Arial"/>
                      <w:b/>
                    </w:rPr>
                    <w:t xml:space="preserve"> initial concentrations in local soil</w:t>
                  </w:r>
                  <w:r w:rsidRPr="001E3185">
                    <w:rPr>
                      <w:rFonts w:cs="Arial"/>
                    </w:rPr>
                    <w:t xml:space="preserve"> [mg.kg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21D80379" w14:textId="77777777" w:rsidTr="008E0250">
              <w:trPr>
                <w:trHeight w:val="340"/>
                <w:jc w:val="center"/>
              </w:trPr>
              <w:tc>
                <w:tcPr>
                  <w:tcW w:w="1201" w:type="pct"/>
                  <w:shd w:val="clear" w:color="auto" w:fill="auto"/>
                  <w:vAlign w:val="center"/>
                </w:tcPr>
                <w:p w14:paraId="1C45F33B" w14:textId="77777777" w:rsidR="00692E71" w:rsidRPr="001E3185" w:rsidRDefault="00692E71" w:rsidP="008E0250">
                  <w:pPr>
                    <w:autoSpaceDE w:val="0"/>
                    <w:autoSpaceDN w:val="0"/>
                    <w:rPr>
                      <w:rFonts w:cs="Arial"/>
                    </w:rPr>
                  </w:pPr>
                  <w:r w:rsidRPr="001E3185">
                    <w:rPr>
                      <w:rFonts w:cs="Arial"/>
                    </w:rPr>
                    <w:t>Tebuconazole</w:t>
                  </w:r>
                </w:p>
              </w:tc>
              <w:tc>
                <w:tcPr>
                  <w:tcW w:w="1900" w:type="pct"/>
                  <w:shd w:val="clear" w:color="auto" w:fill="auto"/>
                  <w:vAlign w:val="center"/>
                </w:tcPr>
                <w:p w14:paraId="4290ED8F" w14:textId="77777777" w:rsidR="00692E71" w:rsidRPr="001E3185" w:rsidRDefault="00692E71" w:rsidP="008E0250">
                  <w:pPr>
                    <w:autoSpaceDE w:val="0"/>
                    <w:autoSpaceDN w:val="0"/>
                    <w:jc w:val="center"/>
                    <w:rPr>
                      <w:rFonts w:cs="Arial"/>
                    </w:rPr>
                  </w:pPr>
                  <w:r w:rsidRPr="001E3185">
                    <w:rPr>
                      <w:rFonts w:cs="Arial"/>
                    </w:rPr>
                    <w:t>1.70E-02</w:t>
                  </w:r>
                </w:p>
              </w:tc>
              <w:tc>
                <w:tcPr>
                  <w:tcW w:w="1899" w:type="pct"/>
                  <w:shd w:val="clear" w:color="auto" w:fill="auto"/>
                  <w:vAlign w:val="center"/>
                </w:tcPr>
                <w:p w14:paraId="4CF65998" w14:textId="77777777" w:rsidR="00692E71" w:rsidRPr="001E3185" w:rsidRDefault="00692E71" w:rsidP="008E0250">
                  <w:pPr>
                    <w:autoSpaceDE w:val="0"/>
                    <w:autoSpaceDN w:val="0"/>
                    <w:jc w:val="center"/>
                    <w:rPr>
                      <w:rFonts w:cs="Arial"/>
                    </w:rPr>
                  </w:pPr>
                  <w:r w:rsidRPr="001E3185">
                    <w:rPr>
                      <w:rFonts w:cs="Arial"/>
                    </w:rPr>
                    <w:t>2.83E-02</w:t>
                  </w:r>
                </w:p>
              </w:tc>
            </w:tr>
            <w:tr w:rsidR="00692E71" w:rsidRPr="001E3185" w14:paraId="797AD0FE" w14:textId="77777777" w:rsidTr="008E0250">
              <w:trPr>
                <w:trHeight w:val="340"/>
                <w:jc w:val="center"/>
              </w:trPr>
              <w:tc>
                <w:tcPr>
                  <w:tcW w:w="1201" w:type="pct"/>
                  <w:shd w:val="clear" w:color="auto" w:fill="auto"/>
                  <w:vAlign w:val="center"/>
                </w:tcPr>
                <w:p w14:paraId="7709F7F8" w14:textId="77777777" w:rsidR="00692E71" w:rsidRPr="001E3185" w:rsidRDefault="00692E71" w:rsidP="008E0250">
                  <w:pPr>
                    <w:autoSpaceDE w:val="0"/>
                    <w:autoSpaceDN w:val="0"/>
                    <w:rPr>
                      <w:rFonts w:cs="Arial"/>
                    </w:rPr>
                  </w:pPr>
                  <w:r w:rsidRPr="001E3185">
                    <w:rPr>
                      <w:rFonts w:cs="Arial"/>
                    </w:rPr>
                    <w:t>Propiconazole</w:t>
                  </w:r>
                </w:p>
              </w:tc>
              <w:tc>
                <w:tcPr>
                  <w:tcW w:w="1900" w:type="pct"/>
                  <w:shd w:val="clear" w:color="auto" w:fill="auto"/>
                  <w:vAlign w:val="center"/>
                </w:tcPr>
                <w:p w14:paraId="547ADC14" w14:textId="77777777" w:rsidR="00692E71" w:rsidRPr="001E3185" w:rsidRDefault="00692E71" w:rsidP="008E0250">
                  <w:pPr>
                    <w:autoSpaceDE w:val="0"/>
                    <w:autoSpaceDN w:val="0"/>
                    <w:jc w:val="center"/>
                    <w:rPr>
                      <w:rFonts w:cs="Arial"/>
                    </w:rPr>
                  </w:pPr>
                  <w:r w:rsidRPr="001E3185">
                    <w:rPr>
                      <w:rFonts w:cs="Arial"/>
                    </w:rPr>
                    <w:t>5.43E-02</w:t>
                  </w:r>
                </w:p>
              </w:tc>
              <w:tc>
                <w:tcPr>
                  <w:tcW w:w="1899" w:type="pct"/>
                  <w:shd w:val="clear" w:color="auto" w:fill="auto"/>
                  <w:vAlign w:val="center"/>
                </w:tcPr>
                <w:p w14:paraId="0859D631" w14:textId="77777777" w:rsidR="00692E71" w:rsidRPr="001E3185" w:rsidRDefault="00692E71" w:rsidP="008E0250">
                  <w:pPr>
                    <w:autoSpaceDE w:val="0"/>
                    <w:autoSpaceDN w:val="0"/>
                    <w:jc w:val="center"/>
                    <w:rPr>
                      <w:rFonts w:cs="Arial"/>
                    </w:rPr>
                  </w:pPr>
                  <w:r w:rsidRPr="001E3185">
                    <w:rPr>
                      <w:rFonts w:cs="Arial"/>
                    </w:rPr>
                    <w:t>9.05E-02</w:t>
                  </w:r>
                </w:p>
              </w:tc>
            </w:tr>
            <w:tr w:rsidR="00692E71" w:rsidRPr="001E3185" w14:paraId="41EE236E" w14:textId="77777777" w:rsidTr="008E0250">
              <w:trPr>
                <w:trHeight w:val="340"/>
                <w:jc w:val="center"/>
              </w:trPr>
              <w:tc>
                <w:tcPr>
                  <w:tcW w:w="1201" w:type="pct"/>
                  <w:shd w:val="clear" w:color="auto" w:fill="auto"/>
                  <w:vAlign w:val="center"/>
                </w:tcPr>
                <w:p w14:paraId="77B08D24" w14:textId="77777777" w:rsidR="00692E71" w:rsidRPr="001E3185" w:rsidRDefault="00692E71" w:rsidP="008E0250">
                  <w:pPr>
                    <w:autoSpaceDE w:val="0"/>
                    <w:autoSpaceDN w:val="0"/>
                    <w:rPr>
                      <w:rFonts w:cs="Arial"/>
                    </w:rPr>
                  </w:pPr>
                  <w:r w:rsidRPr="001E3185">
                    <w:rPr>
                      <w:rFonts w:cs="Arial"/>
                    </w:rPr>
                    <w:t>Cypermethrin</w:t>
                  </w:r>
                </w:p>
              </w:tc>
              <w:tc>
                <w:tcPr>
                  <w:tcW w:w="1900" w:type="pct"/>
                  <w:shd w:val="clear" w:color="auto" w:fill="auto"/>
                  <w:vAlign w:val="center"/>
                </w:tcPr>
                <w:p w14:paraId="4B239B6F" w14:textId="77777777" w:rsidR="00692E71" w:rsidRPr="001E3185" w:rsidRDefault="00692E71" w:rsidP="008E0250">
                  <w:pPr>
                    <w:autoSpaceDE w:val="0"/>
                    <w:autoSpaceDN w:val="0"/>
                    <w:jc w:val="center"/>
                    <w:rPr>
                      <w:rFonts w:cs="Arial"/>
                    </w:rPr>
                  </w:pPr>
                  <w:r w:rsidRPr="001E3185">
                    <w:rPr>
                      <w:rFonts w:cs="Arial"/>
                    </w:rPr>
                    <w:t>2.71E-02</w:t>
                  </w:r>
                </w:p>
              </w:tc>
              <w:tc>
                <w:tcPr>
                  <w:tcW w:w="1899" w:type="pct"/>
                  <w:shd w:val="clear" w:color="auto" w:fill="auto"/>
                  <w:vAlign w:val="center"/>
                </w:tcPr>
                <w:p w14:paraId="300EC6D2" w14:textId="77777777" w:rsidR="00692E71" w:rsidRPr="001E3185" w:rsidRDefault="00692E71" w:rsidP="008E0250">
                  <w:pPr>
                    <w:autoSpaceDE w:val="0"/>
                    <w:autoSpaceDN w:val="0"/>
                    <w:jc w:val="center"/>
                    <w:rPr>
                      <w:rFonts w:cs="Arial"/>
                    </w:rPr>
                  </w:pPr>
                  <w:r w:rsidRPr="001E3185">
                    <w:rPr>
                      <w:rFonts w:cs="Arial"/>
                    </w:rPr>
                    <w:t>4.52E-02</w:t>
                  </w:r>
                </w:p>
              </w:tc>
            </w:tr>
            <w:tr w:rsidR="00692E71" w:rsidRPr="001E3185" w14:paraId="11A1BA51" w14:textId="77777777" w:rsidTr="008E0250">
              <w:trPr>
                <w:trHeight w:val="340"/>
                <w:jc w:val="center"/>
              </w:trPr>
              <w:tc>
                <w:tcPr>
                  <w:tcW w:w="1201" w:type="pct"/>
                  <w:shd w:val="clear" w:color="auto" w:fill="auto"/>
                  <w:vAlign w:val="center"/>
                </w:tcPr>
                <w:p w14:paraId="67D21531" w14:textId="77777777" w:rsidR="00692E71" w:rsidRPr="001E3185" w:rsidRDefault="00692E71" w:rsidP="008E0250">
                  <w:pPr>
                    <w:autoSpaceDE w:val="0"/>
                    <w:autoSpaceDN w:val="0"/>
                    <w:rPr>
                      <w:rFonts w:cs="Arial"/>
                    </w:rPr>
                  </w:pPr>
                  <w:r w:rsidRPr="001E3185">
                    <w:rPr>
                      <w:rFonts w:cs="Arial"/>
                    </w:rPr>
                    <w:t>IPBC</w:t>
                  </w:r>
                </w:p>
              </w:tc>
              <w:tc>
                <w:tcPr>
                  <w:tcW w:w="1900" w:type="pct"/>
                  <w:shd w:val="clear" w:color="auto" w:fill="auto"/>
                  <w:vAlign w:val="center"/>
                </w:tcPr>
                <w:p w14:paraId="0183D7AA" w14:textId="77777777" w:rsidR="00692E71" w:rsidRPr="001E3185" w:rsidRDefault="00692E71" w:rsidP="008E0250">
                  <w:pPr>
                    <w:autoSpaceDE w:val="0"/>
                    <w:autoSpaceDN w:val="0"/>
                    <w:jc w:val="center"/>
                    <w:rPr>
                      <w:rFonts w:cs="Arial"/>
                    </w:rPr>
                  </w:pPr>
                  <w:r w:rsidRPr="001E3185">
                    <w:rPr>
                      <w:rFonts w:cs="Arial"/>
                    </w:rPr>
                    <w:t>1.70E-02</w:t>
                  </w:r>
                </w:p>
              </w:tc>
              <w:tc>
                <w:tcPr>
                  <w:tcW w:w="1899" w:type="pct"/>
                  <w:shd w:val="clear" w:color="auto" w:fill="auto"/>
                  <w:vAlign w:val="center"/>
                </w:tcPr>
                <w:p w14:paraId="39F54696" w14:textId="77777777" w:rsidR="00692E71" w:rsidRPr="001E3185" w:rsidRDefault="00692E71" w:rsidP="008E0250">
                  <w:pPr>
                    <w:autoSpaceDE w:val="0"/>
                    <w:autoSpaceDN w:val="0"/>
                    <w:jc w:val="center"/>
                    <w:rPr>
                      <w:rFonts w:cs="Arial"/>
                    </w:rPr>
                  </w:pPr>
                  <w:r w:rsidRPr="001E3185">
                    <w:rPr>
                      <w:rFonts w:cs="Arial"/>
                    </w:rPr>
                    <w:t>2.83E-02</w:t>
                  </w:r>
                </w:p>
              </w:tc>
            </w:tr>
            <w:tr w:rsidR="00692E71" w:rsidRPr="001E3185" w14:paraId="3B1613A2" w14:textId="77777777" w:rsidTr="008E0250">
              <w:trPr>
                <w:trHeight w:val="340"/>
                <w:jc w:val="center"/>
              </w:trPr>
              <w:tc>
                <w:tcPr>
                  <w:tcW w:w="1201" w:type="pct"/>
                  <w:shd w:val="clear" w:color="auto" w:fill="auto"/>
                  <w:vAlign w:val="center"/>
                </w:tcPr>
                <w:p w14:paraId="047581DB" w14:textId="77777777" w:rsidR="00692E71" w:rsidRPr="001E3185" w:rsidRDefault="00692E71" w:rsidP="008E0250">
                  <w:pPr>
                    <w:autoSpaceDE w:val="0"/>
                    <w:autoSpaceDN w:val="0"/>
                    <w:rPr>
                      <w:rFonts w:cs="Arial"/>
                    </w:rPr>
                  </w:pPr>
                  <w:r w:rsidRPr="001E3185">
                    <w:rPr>
                      <w:rFonts w:cs="Arial"/>
                    </w:rPr>
                    <w:t>PBC</w:t>
                  </w:r>
                </w:p>
              </w:tc>
              <w:tc>
                <w:tcPr>
                  <w:tcW w:w="1900" w:type="pct"/>
                  <w:shd w:val="clear" w:color="auto" w:fill="auto"/>
                  <w:vAlign w:val="center"/>
                </w:tcPr>
                <w:p w14:paraId="2B036C87" w14:textId="77777777" w:rsidR="00692E71" w:rsidRPr="001E3185" w:rsidRDefault="00692E71" w:rsidP="008E0250">
                  <w:pPr>
                    <w:autoSpaceDE w:val="0"/>
                    <w:autoSpaceDN w:val="0"/>
                    <w:jc w:val="center"/>
                    <w:rPr>
                      <w:rFonts w:cs="Arial"/>
                    </w:rPr>
                  </w:pPr>
                  <w:r w:rsidRPr="001E3185">
                    <w:rPr>
                      <w:rFonts w:cs="Arial"/>
                    </w:rPr>
                    <w:t>9.37E-02</w:t>
                  </w:r>
                </w:p>
              </w:tc>
              <w:tc>
                <w:tcPr>
                  <w:tcW w:w="1899" w:type="pct"/>
                  <w:shd w:val="clear" w:color="auto" w:fill="auto"/>
                  <w:vAlign w:val="center"/>
                </w:tcPr>
                <w:p w14:paraId="3D6732D6" w14:textId="77777777" w:rsidR="00692E71" w:rsidRPr="001E3185" w:rsidRDefault="00692E71" w:rsidP="008E0250">
                  <w:pPr>
                    <w:autoSpaceDE w:val="0"/>
                    <w:autoSpaceDN w:val="0"/>
                    <w:jc w:val="center"/>
                    <w:rPr>
                      <w:rFonts w:cs="Arial"/>
                    </w:rPr>
                  </w:pPr>
                  <w:r w:rsidRPr="001E3185">
                    <w:rPr>
                      <w:rFonts w:cs="Arial"/>
                    </w:rPr>
                    <w:t>1.56E-02</w:t>
                  </w:r>
                </w:p>
              </w:tc>
            </w:tr>
            <w:tr w:rsidR="00692E71" w:rsidRPr="001E3185" w14:paraId="08D500C1" w14:textId="77777777" w:rsidTr="008E0250">
              <w:trPr>
                <w:trHeight w:val="340"/>
                <w:jc w:val="center"/>
              </w:trPr>
              <w:tc>
                <w:tcPr>
                  <w:tcW w:w="1201" w:type="pct"/>
                  <w:shd w:val="clear" w:color="auto" w:fill="auto"/>
                  <w:vAlign w:val="center"/>
                </w:tcPr>
                <w:p w14:paraId="58FC0A29" w14:textId="77777777" w:rsidR="00692E71" w:rsidRPr="001E3185" w:rsidRDefault="00692E71" w:rsidP="008E0250">
                  <w:pPr>
                    <w:autoSpaceDE w:val="0"/>
                    <w:autoSpaceDN w:val="0"/>
                    <w:rPr>
                      <w:rFonts w:cs="Arial"/>
                    </w:rPr>
                  </w:pPr>
                  <w:r w:rsidRPr="001E3185">
                    <w:rPr>
                      <w:rFonts w:cs="Arial"/>
                    </w:rPr>
                    <w:t>1,2,4-triazole</w:t>
                  </w:r>
                </w:p>
              </w:tc>
              <w:tc>
                <w:tcPr>
                  <w:tcW w:w="1900" w:type="pct"/>
                  <w:shd w:val="clear" w:color="auto" w:fill="auto"/>
                  <w:vAlign w:val="center"/>
                </w:tcPr>
                <w:p w14:paraId="581EBEB4" w14:textId="77777777" w:rsidR="00692E71" w:rsidRPr="001E3185" w:rsidRDefault="00692E71" w:rsidP="008E0250">
                  <w:pPr>
                    <w:autoSpaceDE w:val="0"/>
                    <w:autoSpaceDN w:val="0"/>
                    <w:jc w:val="center"/>
                    <w:rPr>
                      <w:rFonts w:cs="Arial"/>
                    </w:rPr>
                  </w:pPr>
                  <w:r w:rsidRPr="001E3185">
                    <w:rPr>
                      <w:rFonts w:cs="Arial"/>
                    </w:rPr>
                    <w:t>5.08E-03</w:t>
                  </w:r>
                </w:p>
              </w:tc>
              <w:tc>
                <w:tcPr>
                  <w:tcW w:w="1899" w:type="pct"/>
                  <w:shd w:val="clear" w:color="auto" w:fill="auto"/>
                  <w:vAlign w:val="center"/>
                </w:tcPr>
                <w:p w14:paraId="2E86EA3D" w14:textId="77777777" w:rsidR="00692E71" w:rsidRPr="001E3185" w:rsidRDefault="00692E71" w:rsidP="008E0250">
                  <w:pPr>
                    <w:autoSpaceDE w:val="0"/>
                    <w:autoSpaceDN w:val="0"/>
                    <w:jc w:val="center"/>
                    <w:rPr>
                      <w:rFonts w:cs="Arial"/>
                    </w:rPr>
                  </w:pPr>
                  <w:r w:rsidRPr="001E3185">
                    <w:rPr>
                      <w:rFonts w:cs="Arial"/>
                    </w:rPr>
                    <w:t>8.47E-03</w:t>
                  </w:r>
                </w:p>
              </w:tc>
            </w:tr>
          </w:tbl>
          <w:p w14:paraId="6E8A9060" w14:textId="77777777" w:rsidR="00692E71" w:rsidRPr="001E3185" w:rsidRDefault="00692E71" w:rsidP="008E0250">
            <w:pPr>
              <w:autoSpaceDE w:val="0"/>
              <w:autoSpaceDN w:val="0"/>
              <w:ind w:right="142"/>
              <w:rPr>
                <w:rFonts w:cs="Arial"/>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3042"/>
              <w:gridCol w:w="3238"/>
            </w:tblGrid>
            <w:tr w:rsidR="00692E71" w:rsidRPr="001E3185" w14:paraId="0B515DB5" w14:textId="77777777" w:rsidTr="008E0250">
              <w:trPr>
                <w:trHeight w:val="397"/>
                <w:jc w:val="center"/>
              </w:trPr>
              <w:tc>
                <w:tcPr>
                  <w:tcW w:w="5000" w:type="pct"/>
                  <w:gridSpan w:val="3"/>
                  <w:shd w:val="clear" w:color="auto" w:fill="auto"/>
                  <w:vAlign w:val="center"/>
                </w:tcPr>
                <w:p w14:paraId="54D1AFC8" w14:textId="77777777" w:rsidR="00692E71" w:rsidRPr="001E3185" w:rsidRDefault="00692E71" w:rsidP="008E0250">
                  <w:pPr>
                    <w:autoSpaceDE w:val="0"/>
                    <w:autoSpaceDN w:val="0"/>
                    <w:ind w:right="142"/>
                    <w:jc w:val="center"/>
                    <w:rPr>
                      <w:rFonts w:cs="Arial"/>
                      <w:b/>
                    </w:rPr>
                  </w:pPr>
                  <w:r w:rsidRPr="001E3185">
                    <w:rPr>
                      <w:rFonts w:cs="Arial"/>
                      <w:b/>
                    </w:rPr>
                    <w:t>Application – House - Treatment by spraying</w:t>
                  </w:r>
                </w:p>
              </w:tc>
            </w:tr>
            <w:tr w:rsidR="00692E71" w:rsidRPr="001E3185" w14:paraId="38D1FBF6" w14:textId="77777777" w:rsidTr="008E0250">
              <w:trPr>
                <w:trHeight w:val="340"/>
                <w:jc w:val="center"/>
              </w:trPr>
              <w:tc>
                <w:tcPr>
                  <w:tcW w:w="5000" w:type="pct"/>
                  <w:gridSpan w:val="3"/>
                  <w:shd w:val="clear" w:color="auto" w:fill="auto"/>
                  <w:vAlign w:val="center"/>
                </w:tcPr>
                <w:p w14:paraId="4B849842" w14:textId="77777777" w:rsidR="00692E71" w:rsidRPr="001E3185" w:rsidRDefault="00692E71" w:rsidP="008E0250">
                  <w:pPr>
                    <w:autoSpaceDE w:val="0"/>
                    <w:autoSpaceDN w:val="0"/>
                    <w:ind w:right="142"/>
                    <w:rPr>
                      <w:rFonts w:cs="Arial"/>
                    </w:rPr>
                  </w:pPr>
                  <w:r w:rsidRPr="001E3185">
                    <w:rPr>
                      <w:rFonts w:cs="Arial"/>
                      <w:b/>
                      <w:iCs/>
                    </w:rPr>
                    <w:t>PEC local soil</w:t>
                  </w:r>
                  <w:r w:rsidRPr="001E3185">
                    <w:rPr>
                      <w:rFonts w:cs="Arial"/>
                    </w:rPr>
                    <w:t xml:space="preserve">, </w:t>
                  </w:r>
                  <w:r w:rsidRPr="001E3185">
                    <w:rPr>
                      <w:rFonts w:cs="Arial"/>
                      <w:b/>
                    </w:rPr>
                    <w:t>initial concentrations in local soil</w:t>
                  </w:r>
                  <w:r w:rsidRPr="001E3185">
                    <w:rPr>
                      <w:rFonts w:cs="Arial"/>
                    </w:rPr>
                    <w:t xml:space="preserve"> [mg.kg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57CA1195" w14:textId="77777777" w:rsidTr="008E0250">
              <w:trPr>
                <w:trHeight w:val="340"/>
                <w:jc w:val="center"/>
              </w:trPr>
              <w:tc>
                <w:tcPr>
                  <w:tcW w:w="1226" w:type="pct"/>
                  <w:shd w:val="clear" w:color="auto" w:fill="auto"/>
                </w:tcPr>
                <w:p w14:paraId="6ABBD9FE" w14:textId="77777777" w:rsidR="00692E71" w:rsidRPr="001E3185" w:rsidRDefault="00692E71" w:rsidP="008E0250">
                  <w:pPr>
                    <w:autoSpaceDE w:val="0"/>
                    <w:autoSpaceDN w:val="0"/>
                    <w:ind w:right="142"/>
                    <w:rPr>
                      <w:rFonts w:cs="Arial"/>
                    </w:rPr>
                  </w:pPr>
                </w:p>
              </w:tc>
              <w:tc>
                <w:tcPr>
                  <w:tcW w:w="1828" w:type="pct"/>
                  <w:shd w:val="clear" w:color="auto" w:fill="auto"/>
                  <w:vAlign w:val="center"/>
                </w:tcPr>
                <w:p w14:paraId="43A6C602" w14:textId="77777777" w:rsidR="00692E71" w:rsidRPr="001E3185" w:rsidRDefault="00692E71" w:rsidP="008E0250">
                  <w:pPr>
                    <w:tabs>
                      <w:tab w:val="center" w:pos="1387"/>
                      <w:tab w:val="right" w:pos="2775"/>
                    </w:tabs>
                    <w:autoSpaceDE w:val="0"/>
                    <w:autoSpaceDN w:val="0"/>
                    <w:ind w:right="142"/>
                    <w:jc w:val="center"/>
                    <w:rPr>
                      <w:rFonts w:cs="Arial"/>
                    </w:rPr>
                  </w:pPr>
                  <w:r w:rsidRPr="001E3185">
                    <w:rPr>
                      <w:rFonts w:cs="Arial"/>
                    </w:rPr>
                    <w:t>Tier1 (Runoff + Drift)</w:t>
                  </w:r>
                </w:p>
              </w:tc>
              <w:tc>
                <w:tcPr>
                  <w:tcW w:w="1946" w:type="pct"/>
                  <w:shd w:val="clear" w:color="auto" w:fill="auto"/>
                  <w:vAlign w:val="center"/>
                </w:tcPr>
                <w:p w14:paraId="7007014E" w14:textId="77777777" w:rsidR="00692E71" w:rsidRPr="001E3185" w:rsidRDefault="00692E71" w:rsidP="008E0250">
                  <w:pPr>
                    <w:autoSpaceDE w:val="0"/>
                    <w:autoSpaceDN w:val="0"/>
                    <w:ind w:right="142"/>
                    <w:jc w:val="center"/>
                    <w:rPr>
                      <w:rFonts w:cs="Arial"/>
                    </w:rPr>
                  </w:pPr>
                  <w:r w:rsidRPr="001E3185">
                    <w:rPr>
                      <w:rFonts w:cs="Arial"/>
                    </w:rPr>
                    <w:t>Tier 2 (Drift)</w:t>
                  </w:r>
                </w:p>
              </w:tc>
            </w:tr>
            <w:tr w:rsidR="00692E71" w:rsidRPr="001E3185" w14:paraId="6735A090" w14:textId="77777777" w:rsidTr="008E0250">
              <w:trPr>
                <w:trHeight w:val="340"/>
                <w:jc w:val="center"/>
              </w:trPr>
              <w:tc>
                <w:tcPr>
                  <w:tcW w:w="1226" w:type="pct"/>
                  <w:shd w:val="clear" w:color="auto" w:fill="auto"/>
                </w:tcPr>
                <w:p w14:paraId="7E1171E4" w14:textId="77777777" w:rsidR="00692E71" w:rsidRPr="001E3185" w:rsidRDefault="00692E71" w:rsidP="008E0250">
                  <w:pPr>
                    <w:autoSpaceDE w:val="0"/>
                    <w:autoSpaceDN w:val="0"/>
                    <w:ind w:right="142"/>
                    <w:rPr>
                      <w:rFonts w:cs="Arial"/>
                    </w:rPr>
                  </w:pPr>
                  <w:r w:rsidRPr="001E3185">
                    <w:rPr>
                      <w:rFonts w:cs="Arial"/>
                    </w:rPr>
                    <w:t>Tebuconazole</w:t>
                  </w:r>
                </w:p>
              </w:tc>
              <w:tc>
                <w:tcPr>
                  <w:tcW w:w="1828" w:type="pct"/>
                  <w:shd w:val="clear" w:color="auto" w:fill="auto"/>
                  <w:vAlign w:val="center"/>
                </w:tcPr>
                <w:p w14:paraId="7E4B4630" w14:textId="77777777" w:rsidR="00692E71" w:rsidRPr="001E3185" w:rsidRDefault="00692E71" w:rsidP="008E0250">
                  <w:pPr>
                    <w:autoSpaceDE w:val="0"/>
                    <w:autoSpaceDN w:val="0"/>
                    <w:jc w:val="center"/>
                    <w:rPr>
                      <w:rFonts w:cs="Arial"/>
                    </w:rPr>
                  </w:pPr>
                  <w:r w:rsidRPr="001E3185">
                    <w:rPr>
                      <w:rFonts w:cs="Arial"/>
                    </w:rPr>
                    <w:t>1.70E-01</w:t>
                  </w:r>
                </w:p>
              </w:tc>
              <w:tc>
                <w:tcPr>
                  <w:tcW w:w="1946" w:type="pct"/>
                  <w:shd w:val="clear" w:color="auto" w:fill="auto"/>
                  <w:vAlign w:val="center"/>
                </w:tcPr>
                <w:p w14:paraId="28D0A423" w14:textId="77777777" w:rsidR="00692E71" w:rsidRPr="001E3185" w:rsidRDefault="00692E71" w:rsidP="008E0250">
                  <w:pPr>
                    <w:autoSpaceDE w:val="0"/>
                    <w:autoSpaceDN w:val="0"/>
                    <w:jc w:val="center"/>
                    <w:rPr>
                      <w:rFonts w:cs="Arial"/>
                    </w:rPr>
                  </w:pPr>
                  <w:r w:rsidRPr="001E3185">
                    <w:rPr>
                      <w:rFonts w:cs="Arial"/>
                    </w:rPr>
                    <w:t>1.62E-02</w:t>
                  </w:r>
                </w:p>
              </w:tc>
            </w:tr>
            <w:tr w:rsidR="00692E71" w:rsidRPr="001E3185" w14:paraId="7FCCB596" w14:textId="77777777" w:rsidTr="008E0250">
              <w:trPr>
                <w:trHeight w:val="340"/>
                <w:jc w:val="center"/>
              </w:trPr>
              <w:tc>
                <w:tcPr>
                  <w:tcW w:w="1226" w:type="pct"/>
                  <w:shd w:val="clear" w:color="auto" w:fill="auto"/>
                </w:tcPr>
                <w:p w14:paraId="0F5DA9F4" w14:textId="77777777" w:rsidR="00692E71" w:rsidRPr="001E3185" w:rsidRDefault="00692E71" w:rsidP="008E0250">
                  <w:pPr>
                    <w:autoSpaceDE w:val="0"/>
                    <w:autoSpaceDN w:val="0"/>
                    <w:ind w:right="142"/>
                    <w:rPr>
                      <w:rFonts w:cs="Arial"/>
                    </w:rPr>
                  </w:pPr>
                  <w:r w:rsidRPr="001E3185">
                    <w:rPr>
                      <w:rFonts w:cs="Arial"/>
                    </w:rPr>
                    <w:t>Propiconazole</w:t>
                  </w:r>
                </w:p>
              </w:tc>
              <w:tc>
                <w:tcPr>
                  <w:tcW w:w="1828" w:type="pct"/>
                  <w:shd w:val="clear" w:color="auto" w:fill="auto"/>
                  <w:vAlign w:val="center"/>
                </w:tcPr>
                <w:p w14:paraId="174DAFDD" w14:textId="77777777" w:rsidR="00692E71" w:rsidRPr="001E3185" w:rsidRDefault="00692E71" w:rsidP="008E0250">
                  <w:pPr>
                    <w:autoSpaceDE w:val="0"/>
                    <w:autoSpaceDN w:val="0"/>
                    <w:jc w:val="center"/>
                    <w:rPr>
                      <w:rFonts w:cs="Arial"/>
                    </w:rPr>
                  </w:pPr>
                  <w:r w:rsidRPr="001E3185">
                    <w:rPr>
                      <w:rFonts w:cs="Arial"/>
                    </w:rPr>
                    <w:t>5.43E-01</w:t>
                  </w:r>
                </w:p>
              </w:tc>
              <w:tc>
                <w:tcPr>
                  <w:tcW w:w="1946" w:type="pct"/>
                  <w:shd w:val="clear" w:color="auto" w:fill="auto"/>
                  <w:vAlign w:val="center"/>
                </w:tcPr>
                <w:p w14:paraId="1A6069EF" w14:textId="77777777" w:rsidR="00692E71" w:rsidRPr="001E3185" w:rsidRDefault="00692E71" w:rsidP="008E0250">
                  <w:pPr>
                    <w:autoSpaceDE w:val="0"/>
                    <w:autoSpaceDN w:val="0"/>
                    <w:jc w:val="center"/>
                    <w:rPr>
                      <w:rFonts w:cs="Arial"/>
                    </w:rPr>
                  </w:pPr>
                  <w:r w:rsidRPr="001E3185">
                    <w:rPr>
                      <w:rFonts w:cs="Arial"/>
                    </w:rPr>
                    <w:t>5.18E-02</w:t>
                  </w:r>
                </w:p>
              </w:tc>
            </w:tr>
            <w:tr w:rsidR="00692E71" w:rsidRPr="001E3185" w14:paraId="72422DBA" w14:textId="77777777" w:rsidTr="008E0250">
              <w:trPr>
                <w:trHeight w:val="340"/>
                <w:jc w:val="center"/>
              </w:trPr>
              <w:tc>
                <w:tcPr>
                  <w:tcW w:w="1226" w:type="pct"/>
                  <w:shd w:val="clear" w:color="auto" w:fill="auto"/>
                </w:tcPr>
                <w:p w14:paraId="6B5F2B6F" w14:textId="77777777" w:rsidR="00692E71" w:rsidRPr="001E3185" w:rsidRDefault="00692E71" w:rsidP="008E0250">
                  <w:pPr>
                    <w:autoSpaceDE w:val="0"/>
                    <w:autoSpaceDN w:val="0"/>
                    <w:ind w:right="142"/>
                    <w:rPr>
                      <w:rFonts w:cs="Arial"/>
                    </w:rPr>
                  </w:pPr>
                  <w:r w:rsidRPr="001E3185">
                    <w:rPr>
                      <w:rFonts w:cs="Arial"/>
                    </w:rPr>
                    <w:t>Cypermethrin</w:t>
                  </w:r>
                </w:p>
              </w:tc>
              <w:tc>
                <w:tcPr>
                  <w:tcW w:w="1828" w:type="pct"/>
                  <w:shd w:val="clear" w:color="auto" w:fill="auto"/>
                  <w:vAlign w:val="center"/>
                </w:tcPr>
                <w:p w14:paraId="3D12298D" w14:textId="77777777" w:rsidR="00692E71" w:rsidRPr="001E3185" w:rsidRDefault="00692E71" w:rsidP="008E0250">
                  <w:pPr>
                    <w:autoSpaceDE w:val="0"/>
                    <w:autoSpaceDN w:val="0"/>
                    <w:jc w:val="center"/>
                    <w:rPr>
                      <w:rFonts w:cs="Arial"/>
                    </w:rPr>
                  </w:pPr>
                  <w:r w:rsidRPr="001E3185">
                    <w:rPr>
                      <w:rFonts w:cs="Arial"/>
                    </w:rPr>
                    <w:t>2.71E-01</w:t>
                  </w:r>
                </w:p>
              </w:tc>
              <w:tc>
                <w:tcPr>
                  <w:tcW w:w="1946" w:type="pct"/>
                  <w:shd w:val="clear" w:color="auto" w:fill="auto"/>
                  <w:vAlign w:val="center"/>
                </w:tcPr>
                <w:p w14:paraId="7CD0D32C" w14:textId="77777777" w:rsidR="00692E71" w:rsidRPr="001E3185" w:rsidRDefault="00692E71" w:rsidP="008E0250">
                  <w:pPr>
                    <w:autoSpaceDE w:val="0"/>
                    <w:autoSpaceDN w:val="0"/>
                    <w:jc w:val="center"/>
                    <w:rPr>
                      <w:rFonts w:cs="Arial"/>
                    </w:rPr>
                  </w:pPr>
                  <w:r w:rsidRPr="001E3185">
                    <w:rPr>
                      <w:rFonts w:cs="Arial"/>
                    </w:rPr>
                    <w:t>2.59E-02</w:t>
                  </w:r>
                </w:p>
              </w:tc>
            </w:tr>
            <w:tr w:rsidR="00692E71" w:rsidRPr="001E3185" w14:paraId="7A541A13" w14:textId="77777777" w:rsidTr="008E0250">
              <w:trPr>
                <w:trHeight w:val="340"/>
                <w:jc w:val="center"/>
              </w:trPr>
              <w:tc>
                <w:tcPr>
                  <w:tcW w:w="1226" w:type="pct"/>
                  <w:shd w:val="clear" w:color="auto" w:fill="auto"/>
                  <w:vAlign w:val="center"/>
                </w:tcPr>
                <w:p w14:paraId="6FE12464" w14:textId="77777777" w:rsidR="00692E71" w:rsidRPr="001E3185" w:rsidRDefault="00692E71" w:rsidP="008E0250">
                  <w:pPr>
                    <w:autoSpaceDE w:val="0"/>
                    <w:autoSpaceDN w:val="0"/>
                    <w:rPr>
                      <w:rFonts w:cs="Arial"/>
                    </w:rPr>
                  </w:pPr>
                  <w:r w:rsidRPr="001E3185">
                    <w:rPr>
                      <w:rFonts w:cs="Arial"/>
                    </w:rPr>
                    <w:t>IPBC</w:t>
                  </w:r>
                </w:p>
              </w:tc>
              <w:tc>
                <w:tcPr>
                  <w:tcW w:w="1828" w:type="pct"/>
                  <w:shd w:val="clear" w:color="auto" w:fill="auto"/>
                  <w:vAlign w:val="center"/>
                </w:tcPr>
                <w:p w14:paraId="2B3DF8DB" w14:textId="77777777" w:rsidR="00692E71" w:rsidRPr="001E3185" w:rsidRDefault="00692E71" w:rsidP="008E0250">
                  <w:pPr>
                    <w:autoSpaceDE w:val="0"/>
                    <w:autoSpaceDN w:val="0"/>
                    <w:jc w:val="center"/>
                    <w:rPr>
                      <w:rFonts w:cs="Arial"/>
                    </w:rPr>
                  </w:pPr>
                  <w:r w:rsidRPr="001E3185">
                    <w:rPr>
                      <w:rFonts w:cs="Arial"/>
                    </w:rPr>
                    <w:t>1.70E-01</w:t>
                  </w:r>
                </w:p>
              </w:tc>
              <w:tc>
                <w:tcPr>
                  <w:tcW w:w="1946" w:type="pct"/>
                  <w:shd w:val="clear" w:color="auto" w:fill="auto"/>
                  <w:vAlign w:val="center"/>
                </w:tcPr>
                <w:p w14:paraId="0380AC06" w14:textId="77777777" w:rsidR="00692E71" w:rsidRPr="001E3185" w:rsidRDefault="00692E71" w:rsidP="008E0250">
                  <w:pPr>
                    <w:autoSpaceDE w:val="0"/>
                    <w:autoSpaceDN w:val="0"/>
                    <w:jc w:val="center"/>
                    <w:rPr>
                      <w:rFonts w:cs="Arial"/>
                    </w:rPr>
                  </w:pPr>
                  <w:r w:rsidRPr="001E3185">
                    <w:rPr>
                      <w:rFonts w:cs="Arial"/>
                    </w:rPr>
                    <w:t>1.62E-02</w:t>
                  </w:r>
                </w:p>
              </w:tc>
            </w:tr>
            <w:tr w:rsidR="00692E71" w:rsidRPr="001E3185" w14:paraId="1208A185" w14:textId="77777777" w:rsidTr="008E0250">
              <w:trPr>
                <w:trHeight w:val="340"/>
                <w:jc w:val="center"/>
              </w:trPr>
              <w:tc>
                <w:tcPr>
                  <w:tcW w:w="1226" w:type="pct"/>
                  <w:shd w:val="clear" w:color="auto" w:fill="auto"/>
                  <w:vAlign w:val="center"/>
                </w:tcPr>
                <w:p w14:paraId="07793814" w14:textId="77777777" w:rsidR="00692E71" w:rsidRPr="001E3185" w:rsidRDefault="00692E71" w:rsidP="008E0250">
                  <w:pPr>
                    <w:autoSpaceDE w:val="0"/>
                    <w:autoSpaceDN w:val="0"/>
                    <w:rPr>
                      <w:rFonts w:cs="Arial"/>
                    </w:rPr>
                  </w:pPr>
                  <w:r w:rsidRPr="001E3185">
                    <w:rPr>
                      <w:rFonts w:cs="Arial"/>
                    </w:rPr>
                    <w:t>PBC</w:t>
                  </w:r>
                </w:p>
              </w:tc>
              <w:tc>
                <w:tcPr>
                  <w:tcW w:w="1828" w:type="pct"/>
                  <w:shd w:val="clear" w:color="auto" w:fill="auto"/>
                  <w:vAlign w:val="center"/>
                </w:tcPr>
                <w:p w14:paraId="5068FD67" w14:textId="77777777" w:rsidR="00692E71" w:rsidRPr="001E3185" w:rsidRDefault="00692E71" w:rsidP="008E0250">
                  <w:pPr>
                    <w:autoSpaceDE w:val="0"/>
                    <w:autoSpaceDN w:val="0"/>
                    <w:jc w:val="center"/>
                    <w:rPr>
                      <w:rFonts w:cs="Arial"/>
                    </w:rPr>
                  </w:pPr>
                  <w:r w:rsidRPr="001E3185">
                    <w:rPr>
                      <w:rFonts w:cs="Arial"/>
                    </w:rPr>
                    <w:t>9.37E-02</w:t>
                  </w:r>
                </w:p>
              </w:tc>
              <w:tc>
                <w:tcPr>
                  <w:tcW w:w="1946" w:type="pct"/>
                  <w:shd w:val="clear" w:color="auto" w:fill="auto"/>
                  <w:vAlign w:val="center"/>
                </w:tcPr>
                <w:p w14:paraId="66CE43B7" w14:textId="77777777" w:rsidR="00692E71" w:rsidRPr="001E3185" w:rsidRDefault="00692E71" w:rsidP="008E0250">
                  <w:pPr>
                    <w:autoSpaceDE w:val="0"/>
                    <w:autoSpaceDN w:val="0"/>
                    <w:jc w:val="center"/>
                    <w:rPr>
                      <w:rFonts w:cs="Arial"/>
                    </w:rPr>
                  </w:pPr>
                  <w:r w:rsidRPr="001E3185">
                    <w:rPr>
                      <w:rFonts w:cs="Arial"/>
                    </w:rPr>
                    <w:t>8.93E-03</w:t>
                  </w:r>
                </w:p>
              </w:tc>
            </w:tr>
            <w:tr w:rsidR="00692E71" w:rsidRPr="001E3185" w14:paraId="471AB941" w14:textId="77777777" w:rsidTr="008E0250">
              <w:trPr>
                <w:trHeight w:val="340"/>
                <w:jc w:val="center"/>
              </w:trPr>
              <w:tc>
                <w:tcPr>
                  <w:tcW w:w="1226" w:type="pct"/>
                  <w:shd w:val="clear" w:color="auto" w:fill="auto"/>
                  <w:vAlign w:val="center"/>
                </w:tcPr>
                <w:p w14:paraId="70291D37" w14:textId="77777777" w:rsidR="00692E71" w:rsidRPr="001E3185" w:rsidRDefault="00692E71" w:rsidP="008E0250">
                  <w:pPr>
                    <w:autoSpaceDE w:val="0"/>
                    <w:autoSpaceDN w:val="0"/>
                    <w:rPr>
                      <w:rFonts w:cs="Arial"/>
                    </w:rPr>
                  </w:pPr>
                  <w:r w:rsidRPr="001E3185">
                    <w:rPr>
                      <w:rFonts w:cs="Arial"/>
                    </w:rPr>
                    <w:t>1,2,4-triazole</w:t>
                  </w:r>
                </w:p>
              </w:tc>
              <w:tc>
                <w:tcPr>
                  <w:tcW w:w="1828" w:type="pct"/>
                  <w:shd w:val="clear" w:color="auto" w:fill="auto"/>
                  <w:vAlign w:val="center"/>
                </w:tcPr>
                <w:p w14:paraId="7452C622" w14:textId="77777777" w:rsidR="00692E71" w:rsidRPr="001E3185" w:rsidRDefault="00692E71" w:rsidP="008E0250">
                  <w:pPr>
                    <w:autoSpaceDE w:val="0"/>
                    <w:autoSpaceDN w:val="0"/>
                    <w:jc w:val="center"/>
                    <w:rPr>
                      <w:rFonts w:cs="Arial"/>
                    </w:rPr>
                  </w:pPr>
                  <w:r w:rsidRPr="001E3185">
                    <w:rPr>
                      <w:rFonts w:cs="Arial"/>
                    </w:rPr>
                    <w:t>5.08E-02</w:t>
                  </w:r>
                </w:p>
              </w:tc>
              <w:tc>
                <w:tcPr>
                  <w:tcW w:w="1946" w:type="pct"/>
                  <w:shd w:val="clear" w:color="auto" w:fill="auto"/>
                  <w:vAlign w:val="center"/>
                </w:tcPr>
                <w:p w14:paraId="2687E9A2" w14:textId="77777777" w:rsidR="00692E71" w:rsidRPr="001E3185" w:rsidRDefault="00692E71" w:rsidP="008E0250">
                  <w:pPr>
                    <w:autoSpaceDE w:val="0"/>
                    <w:autoSpaceDN w:val="0"/>
                    <w:jc w:val="center"/>
                    <w:rPr>
                      <w:rFonts w:cs="Arial"/>
                    </w:rPr>
                  </w:pPr>
                  <w:r w:rsidRPr="001E3185">
                    <w:rPr>
                      <w:rFonts w:cs="Arial"/>
                    </w:rPr>
                    <w:t>4.85E-03</w:t>
                  </w:r>
                </w:p>
              </w:tc>
            </w:tr>
          </w:tbl>
          <w:p w14:paraId="6741BE70" w14:textId="77777777" w:rsidR="00692E71" w:rsidRPr="001E3185" w:rsidRDefault="00692E71" w:rsidP="008E0250">
            <w:pPr>
              <w:autoSpaceDE w:val="0"/>
              <w:autoSpaceDN w:val="0"/>
              <w:ind w:right="142"/>
              <w:rPr>
                <w:rFonts w:cs="Arial"/>
              </w:rPr>
            </w:pPr>
          </w:p>
          <w:p w14:paraId="6033C7FF" w14:textId="77777777" w:rsidR="00692E71" w:rsidRPr="001E3185" w:rsidRDefault="00692E71" w:rsidP="008E0250">
            <w:pPr>
              <w:autoSpaceDE w:val="0"/>
              <w:autoSpaceDN w:val="0"/>
              <w:ind w:right="142"/>
              <w:rPr>
                <w:rFonts w:cs="Arial"/>
              </w:rPr>
            </w:pPr>
          </w:p>
          <w:p w14:paraId="3D8C5E66"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rPr>
              <w:t>Service life of treated wood (without considering application phase)</w:t>
            </w:r>
          </w:p>
          <w:p w14:paraId="4D0E43F3" w14:textId="77777777" w:rsidR="00692E71" w:rsidRPr="001E3185" w:rsidRDefault="00692E71" w:rsidP="008E0250">
            <w:pPr>
              <w:pStyle w:val="Lgende"/>
              <w:spacing w:after="120"/>
              <w:rPr>
                <w:rFonts w:ascii="Verdana" w:hAnsi="Verdana"/>
                <w:b/>
              </w:rPr>
            </w:pPr>
            <w:r w:rsidRPr="001E3185">
              <w:rPr>
                <w:rFonts w:ascii="Verdana" w:hAnsi="Verdana"/>
              </w:rPr>
              <w:t>Twa concentrations are calculated (with eq. 3.7 and 3.8 of the PT08 ESD) taking into account the degradation process with the half-life in soil (DT50soil).</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693"/>
              <w:gridCol w:w="2413"/>
              <w:gridCol w:w="2407"/>
            </w:tblGrid>
            <w:tr w:rsidR="00692E71" w:rsidRPr="001E3185" w14:paraId="4F908CE4" w14:textId="77777777" w:rsidTr="008E0250">
              <w:trPr>
                <w:trHeight w:val="340"/>
              </w:trPr>
              <w:tc>
                <w:tcPr>
                  <w:tcW w:w="5000" w:type="pct"/>
                  <w:gridSpan w:val="4"/>
                  <w:shd w:val="clear" w:color="auto" w:fill="auto"/>
                  <w:vAlign w:val="center"/>
                </w:tcPr>
                <w:p w14:paraId="37519366" w14:textId="77777777" w:rsidR="00692E71" w:rsidRPr="001E3185" w:rsidRDefault="00692E71" w:rsidP="008E0250">
                  <w:pPr>
                    <w:jc w:val="center"/>
                    <w:rPr>
                      <w:rFonts w:cs="Arial"/>
                      <w:b/>
                      <w:bCs/>
                    </w:rPr>
                  </w:pPr>
                  <w:r w:rsidRPr="001E3185">
                    <w:rPr>
                      <w:rFonts w:cs="Arial"/>
                      <w:b/>
                    </w:rPr>
                    <w:t xml:space="preserve">PEC </w:t>
                  </w:r>
                  <w:r w:rsidRPr="001E3185">
                    <w:rPr>
                      <w:rFonts w:cs="Arial"/>
                      <w:b/>
                      <w:vertAlign w:val="subscript"/>
                    </w:rPr>
                    <w:t>LOCAL</w:t>
                  </w:r>
                  <w:r w:rsidRPr="001E3185">
                    <w:rPr>
                      <w:rFonts w:cs="Arial"/>
                      <w:b/>
                    </w:rPr>
                    <w:t xml:space="preserve"> </w:t>
                  </w:r>
                  <w:r w:rsidRPr="001E3185">
                    <w:rPr>
                      <w:rFonts w:cs="Arial"/>
                      <w:b/>
                      <w:vertAlign w:val="subscript"/>
                    </w:rPr>
                    <w:t>SOIL</w:t>
                  </w:r>
                  <w:r w:rsidRPr="001E3185">
                    <w:rPr>
                      <w:rFonts w:cs="Arial"/>
                      <w:b/>
                    </w:rPr>
                    <w:t xml:space="preserve"> – House scenario</w:t>
                  </w:r>
                </w:p>
              </w:tc>
            </w:tr>
            <w:tr w:rsidR="00692E71" w:rsidRPr="001E3185" w14:paraId="4F2040CE" w14:textId="77777777" w:rsidTr="008E0250">
              <w:tc>
                <w:tcPr>
                  <w:tcW w:w="983" w:type="pct"/>
                  <w:shd w:val="clear" w:color="auto" w:fill="auto"/>
                  <w:vAlign w:val="center"/>
                </w:tcPr>
                <w:p w14:paraId="7779E2B0" w14:textId="77777777" w:rsidR="00692E71" w:rsidRPr="001E3185" w:rsidRDefault="00692E71" w:rsidP="008E0250">
                  <w:pPr>
                    <w:rPr>
                      <w:rFonts w:cs="Arial"/>
                      <w:bCs/>
                    </w:rPr>
                  </w:pPr>
                </w:p>
              </w:tc>
              <w:tc>
                <w:tcPr>
                  <w:tcW w:w="1440" w:type="pct"/>
                  <w:shd w:val="clear" w:color="auto" w:fill="auto"/>
                  <w:vAlign w:val="center"/>
                </w:tcPr>
                <w:p w14:paraId="19FA6E4E"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37665D42"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6D148C48" w14:textId="77777777" w:rsidR="00692E71" w:rsidRPr="001E3185" w:rsidRDefault="00692E71" w:rsidP="008E0250">
                  <w:pPr>
                    <w:jc w:val="center"/>
                    <w:rPr>
                      <w:rFonts w:cs="Arial"/>
                      <w:b/>
                      <w:bCs/>
                      <w:vertAlign w:val="subscript"/>
                    </w:rPr>
                  </w:pPr>
                  <w:r w:rsidRPr="001E3185">
                    <w:rPr>
                      <w:rFonts w:cs="Arial"/>
                      <w:b/>
                      <w:bCs/>
                      <w:vertAlign w:val="subscript"/>
                    </w:rPr>
                    <w:t>TIME1</w:t>
                  </w:r>
                </w:p>
                <w:p w14:paraId="4856A828"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c>
                <w:tcPr>
                  <w:tcW w:w="1290" w:type="pct"/>
                  <w:shd w:val="clear" w:color="auto" w:fill="auto"/>
                  <w:vAlign w:val="center"/>
                </w:tcPr>
                <w:p w14:paraId="3F7DE611" w14:textId="77777777" w:rsidR="00692E71" w:rsidRPr="001E3185" w:rsidRDefault="00692E71" w:rsidP="008E0250">
                  <w:pPr>
                    <w:jc w:val="center"/>
                    <w:rPr>
                      <w:rFonts w:cs="Arial"/>
                      <w:b/>
                    </w:rPr>
                  </w:pPr>
                  <w:r w:rsidRPr="001E3185">
                    <w:rPr>
                      <w:rFonts w:cs="Arial"/>
                      <w:b/>
                      <w:i/>
                    </w:rPr>
                    <w:t>In situ</w:t>
                  </w:r>
                  <w:r w:rsidRPr="001E3185">
                    <w:rPr>
                      <w:rFonts w:cs="Arial"/>
                      <w:b/>
                    </w:rPr>
                    <w:t xml:space="preserve"> application</w:t>
                  </w:r>
                </w:p>
                <w:p w14:paraId="5BEFE45A"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1D184A28"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47E1A4DE"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c>
                <w:tcPr>
                  <w:tcW w:w="1287" w:type="pct"/>
                  <w:shd w:val="clear" w:color="auto" w:fill="auto"/>
                  <w:vAlign w:val="center"/>
                </w:tcPr>
                <w:p w14:paraId="367EA54D" w14:textId="77777777" w:rsidR="00692E71" w:rsidRPr="001E3185" w:rsidRDefault="00692E71" w:rsidP="008E0250">
                  <w:pPr>
                    <w:jc w:val="center"/>
                    <w:rPr>
                      <w:rFonts w:cs="Arial"/>
                      <w:b/>
                    </w:rPr>
                  </w:pPr>
                  <w:r w:rsidRPr="001E3185">
                    <w:rPr>
                      <w:rFonts w:cs="Arial"/>
                      <w:b/>
                    </w:rPr>
                    <w:t>Industrial application</w:t>
                  </w:r>
                </w:p>
                <w:p w14:paraId="33984DD8"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74EF2D42"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16A83C5C"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r>
            <w:tr w:rsidR="00692E71" w:rsidRPr="001E3185" w14:paraId="3AF8200A" w14:textId="77777777" w:rsidTr="008E0250">
              <w:trPr>
                <w:trHeight w:val="340"/>
              </w:trPr>
              <w:tc>
                <w:tcPr>
                  <w:tcW w:w="983" w:type="pct"/>
                  <w:shd w:val="clear" w:color="auto" w:fill="auto"/>
                  <w:vAlign w:val="center"/>
                </w:tcPr>
                <w:p w14:paraId="2362FF32" w14:textId="77777777" w:rsidR="00692E71" w:rsidRPr="001E3185" w:rsidRDefault="00692E71" w:rsidP="008E0250">
                  <w:pPr>
                    <w:rPr>
                      <w:rFonts w:cs="Arial"/>
                      <w:bCs/>
                    </w:rPr>
                  </w:pPr>
                  <w:r w:rsidRPr="001E3185">
                    <w:rPr>
                      <w:rFonts w:cs="Arial"/>
                      <w:bCs/>
                    </w:rPr>
                    <w:t>Tebuconazole</w:t>
                  </w:r>
                </w:p>
              </w:tc>
              <w:tc>
                <w:tcPr>
                  <w:tcW w:w="1440" w:type="pct"/>
                  <w:shd w:val="clear" w:color="auto" w:fill="auto"/>
                  <w:vAlign w:val="center"/>
                </w:tcPr>
                <w:p w14:paraId="27E4EB45" w14:textId="77777777" w:rsidR="00692E71" w:rsidRPr="001E3185" w:rsidRDefault="00692E71" w:rsidP="008E0250">
                  <w:pPr>
                    <w:jc w:val="center"/>
                    <w:rPr>
                      <w:rFonts w:cs="Arial"/>
                    </w:rPr>
                  </w:pPr>
                  <w:r w:rsidRPr="001E3185">
                    <w:rPr>
                      <w:rFonts w:cs="Arial"/>
                    </w:rPr>
                    <w:t>2.28E-02</w:t>
                  </w:r>
                </w:p>
              </w:tc>
              <w:tc>
                <w:tcPr>
                  <w:tcW w:w="1290" w:type="pct"/>
                  <w:shd w:val="clear" w:color="auto" w:fill="auto"/>
                  <w:vAlign w:val="center"/>
                </w:tcPr>
                <w:p w14:paraId="14228232" w14:textId="77777777" w:rsidR="00692E71" w:rsidRPr="001E3185" w:rsidRDefault="00692E71" w:rsidP="008E0250">
                  <w:pPr>
                    <w:jc w:val="center"/>
                    <w:rPr>
                      <w:rFonts w:cs="Arial"/>
                    </w:rPr>
                  </w:pPr>
                  <w:r w:rsidRPr="001E3185">
                    <w:rPr>
                      <w:rFonts w:cs="Arial"/>
                    </w:rPr>
                    <w:t>1.21E-02</w:t>
                  </w:r>
                </w:p>
              </w:tc>
              <w:tc>
                <w:tcPr>
                  <w:tcW w:w="1287" w:type="pct"/>
                  <w:shd w:val="clear" w:color="auto" w:fill="auto"/>
                  <w:vAlign w:val="center"/>
                </w:tcPr>
                <w:p w14:paraId="0AE980A0" w14:textId="77777777" w:rsidR="00692E71" w:rsidRPr="001E3185" w:rsidRDefault="00692E71" w:rsidP="008E0250">
                  <w:pPr>
                    <w:jc w:val="center"/>
                    <w:rPr>
                      <w:rFonts w:cs="Arial"/>
                    </w:rPr>
                  </w:pPr>
                  <w:r w:rsidRPr="001E3185">
                    <w:rPr>
                      <w:rFonts w:cs="Arial"/>
                    </w:rPr>
                    <w:t>8.88E-03</w:t>
                  </w:r>
                </w:p>
              </w:tc>
            </w:tr>
            <w:tr w:rsidR="00692E71" w:rsidRPr="001E3185" w14:paraId="1EFCD662" w14:textId="77777777" w:rsidTr="008E0250">
              <w:trPr>
                <w:trHeight w:val="340"/>
              </w:trPr>
              <w:tc>
                <w:tcPr>
                  <w:tcW w:w="983" w:type="pct"/>
                  <w:shd w:val="clear" w:color="auto" w:fill="auto"/>
                  <w:vAlign w:val="center"/>
                </w:tcPr>
                <w:p w14:paraId="5BF1F606" w14:textId="77777777" w:rsidR="00692E71" w:rsidRPr="001E3185" w:rsidRDefault="00692E71" w:rsidP="008E0250">
                  <w:pPr>
                    <w:rPr>
                      <w:rFonts w:cs="Arial"/>
                      <w:bCs/>
                    </w:rPr>
                  </w:pPr>
                  <w:r w:rsidRPr="001E3185">
                    <w:rPr>
                      <w:rFonts w:cs="Arial"/>
                      <w:bCs/>
                    </w:rPr>
                    <w:t>Propiconazole</w:t>
                  </w:r>
                </w:p>
              </w:tc>
              <w:tc>
                <w:tcPr>
                  <w:tcW w:w="1440" w:type="pct"/>
                  <w:shd w:val="clear" w:color="auto" w:fill="auto"/>
                  <w:vAlign w:val="center"/>
                </w:tcPr>
                <w:p w14:paraId="6C782E93" w14:textId="77777777" w:rsidR="00692E71" w:rsidRPr="001E3185" w:rsidRDefault="00692E71" w:rsidP="008E0250">
                  <w:pPr>
                    <w:jc w:val="center"/>
                    <w:rPr>
                      <w:rFonts w:cs="Arial"/>
                    </w:rPr>
                  </w:pPr>
                  <w:r w:rsidRPr="001E3185">
                    <w:rPr>
                      <w:rFonts w:cs="Arial"/>
                    </w:rPr>
                    <w:t>5.20E-02</w:t>
                  </w:r>
                </w:p>
              </w:tc>
              <w:tc>
                <w:tcPr>
                  <w:tcW w:w="1290" w:type="pct"/>
                  <w:shd w:val="clear" w:color="auto" w:fill="auto"/>
                  <w:vAlign w:val="center"/>
                </w:tcPr>
                <w:p w14:paraId="599FBAE8" w14:textId="77777777" w:rsidR="00692E71" w:rsidRPr="001E3185" w:rsidRDefault="00692E71" w:rsidP="008E0250">
                  <w:pPr>
                    <w:jc w:val="center"/>
                    <w:rPr>
                      <w:rFonts w:cs="Arial"/>
                    </w:rPr>
                  </w:pPr>
                  <w:r w:rsidRPr="001E3185">
                    <w:rPr>
                      <w:rFonts w:cs="Arial"/>
                    </w:rPr>
                    <w:t>3.28E-02</w:t>
                  </w:r>
                </w:p>
              </w:tc>
              <w:tc>
                <w:tcPr>
                  <w:tcW w:w="1287" w:type="pct"/>
                  <w:shd w:val="clear" w:color="auto" w:fill="auto"/>
                  <w:vAlign w:val="center"/>
                </w:tcPr>
                <w:p w14:paraId="5FD239B6" w14:textId="77777777" w:rsidR="00692E71" w:rsidRPr="001E3185" w:rsidRDefault="00692E71" w:rsidP="008E0250">
                  <w:pPr>
                    <w:jc w:val="center"/>
                    <w:rPr>
                      <w:rFonts w:cs="Arial"/>
                    </w:rPr>
                  </w:pPr>
                  <w:r w:rsidRPr="001E3185">
                    <w:rPr>
                      <w:rFonts w:cs="Arial"/>
                    </w:rPr>
                    <w:t>2.52E-02</w:t>
                  </w:r>
                </w:p>
              </w:tc>
            </w:tr>
            <w:tr w:rsidR="00692E71" w:rsidRPr="001E3185" w14:paraId="0CEDFF0C" w14:textId="77777777" w:rsidTr="008E0250">
              <w:trPr>
                <w:trHeight w:val="340"/>
              </w:trPr>
              <w:tc>
                <w:tcPr>
                  <w:tcW w:w="983" w:type="pct"/>
                  <w:shd w:val="clear" w:color="auto" w:fill="auto"/>
                  <w:vAlign w:val="center"/>
                </w:tcPr>
                <w:p w14:paraId="64B92A37" w14:textId="77777777" w:rsidR="00692E71" w:rsidRPr="001E3185" w:rsidRDefault="00692E71" w:rsidP="008E0250">
                  <w:pPr>
                    <w:rPr>
                      <w:rFonts w:cs="Arial"/>
                      <w:bCs/>
                    </w:rPr>
                  </w:pPr>
                  <w:r w:rsidRPr="001E3185">
                    <w:rPr>
                      <w:rFonts w:cs="Arial"/>
                      <w:bCs/>
                    </w:rPr>
                    <w:t>Cypermethrin</w:t>
                  </w:r>
                </w:p>
              </w:tc>
              <w:tc>
                <w:tcPr>
                  <w:tcW w:w="1440" w:type="pct"/>
                  <w:shd w:val="clear" w:color="auto" w:fill="auto"/>
                  <w:vAlign w:val="center"/>
                </w:tcPr>
                <w:p w14:paraId="2E957E29" w14:textId="77777777" w:rsidR="00692E71" w:rsidRPr="001E3185" w:rsidRDefault="00692E71" w:rsidP="008E0250">
                  <w:pPr>
                    <w:jc w:val="center"/>
                    <w:rPr>
                      <w:rFonts w:cs="Arial"/>
                    </w:rPr>
                  </w:pPr>
                  <w:r w:rsidRPr="001E3185">
                    <w:rPr>
                      <w:rFonts w:cs="Arial"/>
                    </w:rPr>
                    <w:t>1.65E-04</w:t>
                  </w:r>
                </w:p>
              </w:tc>
              <w:tc>
                <w:tcPr>
                  <w:tcW w:w="1290" w:type="pct"/>
                  <w:shd w:val="clear" w:color="auto" w:fill="auto"/>
                  <w:vAlign w:val="center"/>
                </w:tcPr>
                <w:p w14:paraId="3815C03D" w14:textId="77777777" w:rsidR="00692E71" w:rsidRPr="001E3185" w:rsidRDefault="00692E71" w:rsidP="008E0250">
                  <w:pPr>
                    <w:jc w:val="center"/>
                    <w:rPr>
                      <w:rFonts w:cs="Arial"/>
                    </w:rPr>
                  </w:pPr>
                  <w:r w:rsidRPr="001E3185">
                    <w:rPr>
                      <w:rFonts w:cs="Arial"/>
                    </w:rPr>
                    <w:t>3.16E-04</w:t>
                  </w:r>
                </w:p>
              </w:tc>
              <w:tc>
                <w:tcPr>
                  <w:tcW w:w="1287" w:type="pct"/>
                  <w:shd w:val="clear" w:color="auto" w:fill="auto"/>
                  <w:vAlign w:val="center"/>
                </w:tcPr>
                <w:p w14:paraId="357CB9BB" w14:textId="77777777" w:rsidR="00692E71" w:rsidRPr="001E3185" w:rsidRDefault="00692E71" w:rsidP="008E0250">
                  <w:pPr>
                    <w:jc w:val="center"/>
                    <w:rPr>
                      <w:rFonts w:cs="Arial"/>
                    </w:rPr>
                  </w:pPr>
                  <w:r w:rsidRPr="001E3185">
                    <w:rPr>
                      <w:rFonts w:cs="Arial"/>
                    </w:rPr>
                    <w:t>3.16E-04</w:t>
                  </w:r>
                </w:p>
              </w:tc>
            </w:tr>
            <w:tr w:rsidR="00692E71" w:rsidRPr="001E3185" w14:paraId="0DC2CD72" w14:textId="77777777" w:rsidTr="008E0250">
              <w:trPr>
                <w:trHeight w:val="340"/>
              </w:trPr>
              <w:tc>
                <w:tcPr>
                  <w:tcW w:w="983" w:type="pct"/>
                  <w:shd w:val="clear" w:color="auto" w:fill="auto"/>
                  <w:vAlign w:val="center"/>
                </w:tcPr>
                <w:p w14:paraId="215E271C" w14:textId="77777777" w:rsidR="00692E71" w:rsidRPr="001E3185" w:rsidRDefault="00692E71" w:rsidP="008E0250">
                  <w:pPr>
                    <w:rPr>
                      <w:rFonts w:cs="Arial"/>
                      <w:bCs/>
                    </w:rPr>
                  </w:pPr>
                  <w:r w:rsidRPr="001E3185">
                    <w:rPr>
                      <w:rFonts w:cs="Arial"/>
                      <w:bCs/>
                    </w:rPr>
                    <w:t>IPBC</w:t>
                  </w:r>
                </w:p>
              </w:tc>
              <w:tc>
                <w:tcPr>
                  <w:tcW w:w="1440" w:type="pct"/>
                  <w:shd w:val="clear" w:color="auto" w:fill="auto"/>
                  <w:vAlign w:val="center"/>
                </w:tcPr>
                <w:p w14:paraId="340F160B" w14:textId="77777777" w:rsidR="00692E71" w:rsidRPr="001E3185" w:rsidRDefault="00692E71" w:rsidP="008E0250">
                  <w:pPr>
                    <w:jc w:val="center"/>
                    <w:rPr>
                      <w:rFonts w:cs="Arial"/>
                    </w:rPr>
                  </w:pPr>
                  <w:r w:rsidRPr="001E3185">
                    <w:rPr>
                      <w:rFonts w:cs="Arial"/>
                    </w:rPr>
                    <w:t>2.66E-04</w:t>
                  </w:r>
                </w:p>
              </w:tc>
              <w:tc>
                <w:tcPr>
                  <w:tcW w:w="1290" w:type="pct"/>
                  <w:shd w:val="clear" w:color="auto" w:fill="auto"/>
                  <w:vAlign w:val="center"/>
                </w:tcPr>
                <w:p w14:paraId="41CD78AA" w14:textId="77777777" w:rsidR="00692E71" w:rsidRPr="001E3185" w:rsidRDefault="00692E71" w:rsidP="008E0250">
                  <w:pPr>
                    <w:jc w:val="center"/>
                    <w:rPr>
                      <w:rFonts w:cs="Arial"/>
                    </w:rPr>
                  </w:pPr>
                  <w:r w:rsidRPr="001E3185">
                    <w:rPr>
                      <w:rFonts w:cs="Arial"/>
                    </w:rPr>
                    <w:t>1.65E-05</w:t>
                  </w:r>
                </w:p>
              </w:tc>
              <w:tc>
                <w:tcPr>
                  <w:tcW w:w="1287" w:type="pct"/>
                  <w:shd w:val="clear" w:color="auto" w:fill="auto"/>
                  <w:vAlign w:val="center"/>
                </w:tcPr>
                <w:p w14:paraId="029AF557" w14:textId="77777777" w:rsidR="00692E71" w:rsidRPr="001E3185" w:rsidRDefault="00692E71" w:rsidP="008E0250">
                  <w:pPr>
                    <w:jc w:val="center"/>
                    <w:rPr>
                      <w:rFonts w:cs="Arial"/>
                    </w:rPr>
                  </w:pPr>
                  <w:r w:rsidRPr="001E3185">
                    <w:rPr>
                      <w:rFonts w:cs="Arial"/>
                    </w:rPr>
                    <w:t>1.37E-05</w:t>
                  </w:r>
                </w:p>
              </w:tc>
            </w:tr>
            <w:tr w:rsidR="00692E71" w:rsidRPr="001E3185" w14:paraId="13EB1C85" w14:textId="77777777" w:rsidTr="008E0250">
              <w:trPr>
                <w:trHeight w:val="340"/>
              </w:trPr>
              <w:tc>
                <w:tcPr>
                  <w:tcW w:w="983" w:type="pct"/>
                  <w:shd w:val="clear" w:color="auto" w:fill="auto"/>
                  <w:vAlign w:val="center"/>
                </w:tcPr>
                <w:p w14:paraId="055042CC" w14:textId="77777777" w:rsidR="00692E71" w:rsidRPr="001E3185" w:rsidRDefault="00692E71" w:rsidP="008E0250">
                  <w:pPr>
                    <w:rPr>
                      <w:rFonts w:cs="Arial"/>
                      <w:bCs/>
                    </w:rPr>
                  </w:pPr>
                  <w:r w:rsidRPr="001E3185">
                    <w:rPr>
                      <w:rFonts w:cs="Arial"/>
                      <w:bCs/>
                    </w:rPr>
                    <w:t>PBC</w:t>
                  </w:r>
                </w:p>
              </w:tc>
              <w:tc>
                <w:tcPr>
                  <w:tcW w:w="1440" w:type="pct"/>
                  <w:shd w:val="clear" w:color="auto" w:fill="auto"/>
                  <w:vAlign w:val="center"/>
                </w:tcPr>
                <w:p w14:paraId="731F2EF3" w14:textId="77777777" w:rsidR="00692E71" w:rsidRPr="001E3185" w:rsidRDefault="00692E71" w:rsidP="008E0250">
                  <w:pPr>
                    <w:jc w:val="center"/>
                    <w:rPr>
                      <w:rFonts w:cs="Arial"/>
                    </w:rPr>
                  </w:pPr>
                  <w:r w:rsidRPr="001E3185">
                    <w:rPr>
                      <w:rFonts w:cs="Arial"/>
                    </w:rPr>
                    <w:t>4.27E-03</w:t>
                  </w:r>
                </w:p>
              </w:tc>
              <w:tc>
                <w:tcPr>
                  <w:tcW w:w="1290" w:type="pct"/>
                  <w:shd w:val="clear" w:color="auto" w:fill="auto"/>
                  <w:vAlign w:val="center"/>
                </w:tcPr>
                <w:p w14:paraId="0E590BE1" w14:textId="77777777" w:rsidR="00692E71" w:rsidRPr="001E3185" w:rsidRDefault="00692E71" w:rsidP="008E0250">
                  <w:pPr>
                    <w:jc w:val="center"/>
                    <w:rPr>
                      <w:rFonts w:cs="Arial"/>
                    </w:rPr>
                  </w:pPr>
                  <w:r w:rsidRPr="001E3185">
                    <w:rPr>
                      <w:rFonts w:cs="Arial"/>
                    </w:rPr>
                    <w:t>4.86E-04</w:t>
                  </w:r>
                </w:p>
              </w:tc>
              <w:tc>
                <w:tcPr>
                  <w:tcW w:w="1287" w:type="pct"/>
                  <w:shd w:val="clear" w:color="auto" w:fill="auto"/>
                  <w:vAlign w:val="center"/>
                </w:tcPr>
                <w:p w14:paraId="092963EC" w14:textId="77777777" w:rsidR="00692E71" w:rsidRPr="001E3185" w:rsidRDefault="00692E71" w:rsidP="008E0250">
                  <w:pPr>
                    <w:jc w:val="center"/>
                    <w:rPr>
                      <w:rFonts w:cs="Arial"/>
                    </w:rPr>
                  </w:pPr>
                  <w:r w:rsidRPr="001E3185">
                    <w:rPr>
                      <w:rFonts w:cs="Arial"/>
                    </w:rPr>
                    <w:t>3.81E-04</w:t>
                  </w:r>
                </w:p>
              </w:tc>
            </w:tr>
            <w:tr w:rsidR="00692E71" w:rsidRPr="001E3185" w14:paraId="56EF0AA4" w14:textId="77777777" w:rsidTr="008E0250">
              <w:trPr>
                <w:trHeight w:val="340"/>
              </w:trPr>
              <w:tc>
                <w:tcPr>
                  <w:tcW w:w="983" w:type="pct"/>
                  <w:shd w:val="clear" w:color="auto" w:fill="auto"/>
                  <w:vAlign w:val="center"/>
                </w:tcPr>
                <w:p w14:paraId="3DB1CE3E" w14:textId="77777777" w:rsidR="00692E71" w:rsidRPr="001E3185" w:rsidRDefault="00692E71" w:rsidP="008E0250">
                  <w:pPr>
                    <w:rPr>
                      <w:rFonts w:cs="Arial"/>
                      <w:bCs/>
                    </w:rPr>
                  </w:pPr>
                  <w:r w:rsidRPr="001E3185">
                    <w:rPr>
                      <w:rFonts w:cs="Arial"/>
                    </w:rPr>
                    <w:t>1,2,4-triazole</w:t>
                  </w:r>
                </w:p>
              </w:tc>
              <w:tc>
                <w:tcPr>
                  <w:tcW w:w="1440" w:type="pct"/>
                  <w:shd w:val="clear" w:color="auto" w:fill="auto"/>
                  <w:vAlign w:val="center"/>
                </w:tcPr>
                <w:p w14:paraId="6941F5A4" w14:textId="77777777" w:rsidR="00692E71" w:rsidRPr="001E3185" w:rsidRDefault="00692E71" w:rsidP="008E0250">
                  <w:pPr>
                    <w:jc w:val="center"/>
                    <w:rPr>
                      <w:rFonts w:cs="Arial"/>
                    </w:rPr>
                  </w:pPr>
                  <w:r w:rsidRPr="001E3185">
                    <w:rPr>
                      <w:rFonts w:cs="Arial"/>
                    </w:rPr>
                    <w:t>5.12E-03</w:t>
                  </w:r>
                </w:p>
              </w:tc>
              <w:tc>
                <w:tcPr>
                  <w:tcW w:w="1290" w:type="pct"/>
                  <w:shd w:val="clear" w:color="auto" w:fill="auto"/>
                  <w:vAlign w:val="center"/>
                </w:tcPr>
                <w:p w14:paraId="22797B9B" w14:textId="77777777" w:rsidR="00692E71" w:rsidRPr="001E3185" w:rsidRDefault="00692E71" w:rsidP="008E0250">
                  <w:pPr>
                    <w:jc w:val="center"/>
                    <w:rPr>
                      <w:rFonts w:cs="Arial"/>
                    </w:rPr>
                  </w:pPr>
                  <w:r w:rsidRPr="001E3185">
                    <w:rPr>
                      <w:rFonts w:cs="Arial"/>
                    </w:rPr>
                    <w:t>4.30E-03</w:t>
                  </w:r>
                </w:p>
              </w:tc>
              <w:tc>
                <w:tcPr>
                  <w:tcW w:w="1287" w:type="pct"/>
                  <w:shd w:val="clear" w:color="auto" w:fill="auto"/>
                  <w:vAlign w:val="center"/>
                </w:tcPr>
                <w:p w14:paraId="2987B9C9" w14:textId="77777777" w:rsidR="00692E71" w:rsidRPr="001E3185" w:rsidRDefault="00692E71" w:rsidP="008E0250">
                  <w:pPr>
                    <w:jc w:val="center"/>
                    <w:rPr>
                      <w:rFonts w:cs="Arial"/>
                    </w:rPr>
                  </w:pPr>
                  <w:r w:rsidRPr="001E3185">
                    <w:rPr>
                      <w:rFonts w:cs="Arial"/>
                    </w:rPr>
                    <w:t>3.32E-03</w:t>
                  </w:r>
                </w:p>
              </w:tc>
            </w:tr>
            <w:tr w:rsidR="00692E71" w:rsidRPr="00112DD6" w14:paraId="3A5891FF" w14:textId="77777777" w:rsidTr="008E0250">
              <w:trPr>
                <w:trHeight w:val="340"/>
              </w:trPr>
              <w:tc>
                <w:tcPr>
                  <w:tcW w:w="5000" w:type="pct"/>
                  <w:gridSpan w:val="4"/>
                  <w:shd w:val="clear" w:color="auto" w:fill="auto"/>
                  <w:vAlign w:val="center"/>
                </w:tcPr>
                <w:p w14:paraId="2B781F61" w14:textId="77777777" w:rsidR="00692E71" w:rsidRPr="001E3185" w:rsidRDefault="00692E71" w:rsidP="008E0250">
                  <w:pPr>
                    <w:jc w:val="center"/>
                    <w:rPr>
                      <w:rFonts w:cs="Arial"/>
                      <w:b/>
                      <w:bCs/>
                      <w:lang w:val="fr-FR"/>
                    </w:rPr>
                  </w:pPr>
                  <w:r w:rsidRPr="001E3185">
                    <w:rPr>
                      <w:rFonts w:cs="Arial"/>
                      <w:b/>
                      <w:lang w:val="fr-FR"/>
                    </w:rPr>
                    <w:t xml:space="preserve">PEC </w:t>
                  </w:r>
                  <w:r w:rsidRPr="001E3185">
                    <w:rPr>
                      <w:rFonts w:cs="Arial"/>
                      <w:b/>
                      <w:vertAlign w:val="subscript"/>
                      <w:lang w:val="fr-FR"/>
                    </w:rPr>
                    <w:t>LOCAL</w:t>
                  </w:r>
                  <w:r w:rsidRPr="001E3185">
                    <w:rPr>
                      <w:rFonts w:cs="Arial"/>
                      <w:b/>
                      <w:lang w:val="fr-FR"/>
                    </w:rPr>
                    <w:t xml:space="preserve"> </w:t>
                  </w:r>
                  <w:r w:rsidRPr="001E3185">
                    <w:rPr>
                      <w:rFonts w:cs="Arial"/>
                      <w:b/>
                      <w:vertAlign w:val="subscript"/>
                      <w:lang w:val="fr-FR"/>
                    </w:rPr>
                    <w:t>SOIL</w:t>
                  </w:r>
                  <w:r w:rsidRPr="001E3185">
                    <w:rPr>
                      <w:rFonts w:cs="Arial"/>
                      <w:b/>
                      <w:lang w:val="fr-FR"/>
                    </w:rPr>
                    <w:t xml:space="preserve"> – Noise barrier</w:t>
                  </w:r>
                </w:p>
              </w:tc>
            </w:tr>
            <w:tr w:rsidR="00692E71" w:rsidRPr="001E3185" w14:paraId="0D967513" w14:textId="77777777" w:rsidTr="008E0250">
              <w:trPr>
                <w:trHeight w:val="1356"/>
              </w:trPr>
              <w:tc>
                <w:tcPr>
                  <w:tcW w:w="983" w:type="pct"/>
                  <w:shd w:val="clear" w:color="auto" w:fill="auto"/>
                  <w:vAlign w:val="center"/>
                </w:tcPr>
                <w:p w14:paraId="72E5C198" w14:textId="77777777" w:rsidR="00692E71" w:rsidRPr="001E3185" w:rsidRDefault="00692E71" w:rsidP="008E0250">
                  <w:pPr>
                    <w:rPr>
                      <w:rFonts w:cs="Arial"/>
                      <w:bCs/>
                      <w:lang w:val="fr-FR"/>
                    </w:rPr>
                  </w:pPr>
                </w:p>
              </w:tc>
              <w:tc>
                <w:tcPr>
                  <w:tcW w:w="1440" w:type="pct"/>
                  <w:shd w:val="clear" w:color="auto" w:fill="auto"/>
                  <w:vAlign w:val="center"/>
                </w:tcPr>
                <w:p w14:paraId="7340DBE0"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1A4023BA"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29A75A15" w14:textId="77777777" w:rsidR="00692E71" w:rsidRPr="001E3185" w:rsidRDefault="00692E71" w:rsidP="008E0250">
                  <w:pPr>
                    <w:jc w:val="center"/>
                    <w:rPr>
                      <w:rFonts w:cs="Arial"/>
                      <w:b/>
                      <w:bCs/>
                      <w:vertAlign w:val="subscript"/>
                    </w:rPr>
                  </w:pPr>
                  <w:r w:rsidRPr="001E3185">
                    <w:rPr>
                      <w:rFonts w:cs="Arial"/>
                      <w:b/>
                      <w:bCs/>
                      <w:vertAlign w:val="subscript"/>
                    </w:rPr>
                    <w:t>TIME1</w:t>
                  </w:r>
                </w:p>
                <w:p w14:paraId="1437A45C"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c>
                <w:tcPr>
                  <w:tcW w:w="1290" w:type="pct"/>
                  <w:shd w:val="clear" w:color="auto" w:fill="auto"/>
                  <w:vAlign w:val="center"/>
                </w:tcPr>
                <w:p w14:paraId="35A910E6" w14:textId="77777777" w:rsidR="00692E71" w:rsidRPr="001E3185" w:rsidRDefault="00692E71" w:rsidP="008E0250">
                  <w:pPr>
                    <w:jc w:val="center"/>
                    <w:rPr>
                      <w:rFonts w:cs="Arial"/>
                      <w:b/>
                    </w:rPr>
                  </w:pPr>
                  <w:r w:rsidRPr="001E3185">
                    <w:rPr>
                      <w:rFonts w:cs="Arial"/>
                      <w:b/>
                      <w:i/>
                    </w:rPr>
                    <w:t>In situ</w:t>
                  </w:r>
                  <w:r w:rsidRPr="001E3185">
                    <w:rPr>
                      <w:rFonts w:cs="Arial"/>
                      <w:b/>
                    </w:rPr>
                    <w:t xml:space="preserve"> application</w:t>
                  </w:r>
                </w:p>
                <w:p w14:paraId="31FA193A"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62A69F75"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2D404018"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c>
                <w:tcPr>
                  <w:tcW w:w="1287" w:type="pct"/>
                  <w:shd w:val="clear" w:color="auto" w:fill="auto"/>
                  <w:vAlign w:val="center"/>
                </w:tcPr>
                <w:p w14:paraId="14E7A479" w14:textId="77777777" w:rsidR="00692E71" w:rsidRPr="001E3185" w:rsidRDefault="00692E71" w:rsidP="008E0250">
                  <w:pPr>
                    <w:jc w:val="center"/>
                    <w:rPr>
                      <w:rFonts w:cs="Arial"/>
                      <w:b/>
                    </w:rPr>
                  </w:pPr>
                  <w:r w:rsidRPr="001E3185">
                    <w:rPr>
                      <w:rFonts w:cs="Arial"/>
                      <w:b/>
                    </w:rPr>
                    <w:t>Industrial application</w:t>
                  </w:r>
                </w:p>
                <w:p w14:paraId="159D81F0"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568E8EB5"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36058A46"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r>
            <w:tr w:rsidR="00692E71" w:rsidRPr="001E3185" w14:paraId="0E404320" w14:textId="77777777" w:rsidTr="008E0250">
              <w:trPr>
                <w:trHeight w:val="340"/>
              </w:trPr>
              <w:tc>
                <w:tcPr>
                  <w:tcW w:w="983" w:type="pct"/>
                  <w:shd w:val="clear" w:color="auto" w:fill="auto"/>
                  <w:vAlign w:val="center"/>
                </w:tcPr>
                <w:p w14:paraId="601624FB" w14:textId="77777777" w:rsidR="00692E71" w:rsidRPr="001E3185" w:rsidRDefault="00692E71" w:rsidP="008E0250">
                  <w:pPr>
                    <w:rPr>
                      <w:rFonts w:cs="Arial"/>
                      <w:bCs/>
                    </w:rPr>
                  </w:pPr>
                  <w:r w:rsidRPr="001E3185">
                    <w:rPr>
                      <w:rFonts w:cs="Arial"/>
                      <w:bCs/>
                    </w:rPr>
                    <w:t>Tebuconazole</w:t>
                  </w:r>
                </w:p>
              </w:tc>
              <w:tc>
                <w:tcPr>
                  <w:tcW w:w="1440" w:type="pct"/>
                  <w:shd w:val="clear" w:color="auto" w:fill="auto"/>
                  <w:vAlign w:val="bottom"/>
                </w:tcPr>
                <w:p w14:paraId="4C958B2C" w14:textId="77777777" w:rsidR="00692E71" w:rsidRPr="001E3185" w:rsidRDefault="00692E71" w:rsidP="008E0250">
                  <w:pPr>
                    <w:jc w:val="center"/>
                    <w:rPr>
                      <w:rFonts w:cs="Arial"/>
                    </w:rPr>
                  </w:pPr>
                  <w:r w:rsidRPr="001E3185">
                    <w:rPr>
                      <w:rFonts w:cs="Arial"/>
                    </w:rPr>
                    <w:t>8.52E-03</w:t>
                  </w:r>
                </w:p>
              </w:tc>
              <w:tc>
                <w:tcPr>
                  <w:tcW w:w="1290" w:type="pct"/>
                  <w:shd w:val="clear" w:color="auto" w:fill="auto"/>
                  <w:vAlign w:val="bottom"/>
                </w:tcPr>
                <w:p w14:paraId="2008F698" w14:textId="77777777" w:rsidR="00692E71" w:rsidRPr="001E3185" w:rsidRDefault="00692E71" w:rsidP="008E0250">
                  <w:pPr>
                    <w:jc w:val="center"/>
                    <w:rPr>
                      <w:rFonts w:cs="Arial"/>
                    </w:rPr>
                  </w:pPr>
                  <w:r w:rsidRPr="001E3185">
                    <w:rPr>
                      <w:rFonts w:cs="Arial"/>
                    </w:rPr>
                    <w:t>4.55E-03</w:t>
                  </w:r>
                </w:p>
              </w:tc>
              <w:tc>
                <w:tcPr>
                  <w:tcW w:w="1287" w:type="pct"/>
                  <w:shd w:val="clear" w:color="auto" w:fill="auto"/>
                  <w:vAlign w:val="bottom"/>
                </w:tcPr>
                <w:p w14:paraId="12E8F65F" w14:textId="77777777" w:rsidR="00692E71" w:rsidRPr="001E3185" w:rsidRDefault="00692E71" w:rsidP="008E0250">
                  <w:pPr>
                    <w:jc w:val="center"/>
                    <w:rPr>
                      <w:rFonts w:cs="Arial"/>
                    </w:rPr>
                  </w:pPr>
                  <w:r w:rsidRPr="001E3185">
                    <w:rPr>
                      <w:rFonts w:cs="Arial"/>
                    </w:rPr>
                    <w:t>3.33E-03</w:t>
                  </w:r>
                </w:p>
              </w:tc>
            </w:tr>
            <w:tr w:rsidR="00692E71" w:rsidRPr="001E3185" w14:paraId="05340ECC" w14:textId="77777777" w:rsidTr="008E0250">
              <w:trPr>
                <w:trHeight w:val="340"/>
              </w:trPr>
              <w:tc>
                <w:tcPr>
                  <w:tcW w:w="983" w:type="pct"/>
                  <w:shd w:val="clear" w:color="auto" w:fill="auto"/>
                  <w:vAlign w:val="center"/>
                </w:tcPr>
                <w:p w14:paraId="525BE755" w14:textId="77777777" w:rsidR="00692E71" w:rsidRPr="001E3185" w:rsidRDefault="00692E71" w:rsidP="008E0250">
                  <w:pPr>
                    <w:rPr>
                      <w:rFonts w:cs="Arial"/>
                      <w:bCs/>
                    </w:rPr>
                  </w:pPr>
                  <w:r w:rsidRPr="001E3185">
                    <w:rPr>
                      <w:rFonts w:cs="Arial"/>
                      <w:bCs/>
                    </w:rPr>
                    <w:t>Propiconazole</w:t>
                  </w:r>
                </w:p>
              </w:tc>
              <w:tc>
                <w:tcPr>
                  <w:tcW w:w="1440" w:type="pct"/>
                  <w:shd w:val="clear" w:color="auto" w:fill="auto"/>
                  <w:vAlign w:val="bottom"/>
                </w:tcPr>
                <w:p w14:paraId="2AC69760" w14:textId="77777777" w:rsidR="00692E71" w:rsidRPr="001E3185" w:rsidRDefault="00692E71" w:rsidP="008E0250">
                  <w:pPr>
                    <w:jc w:val="center"/>
                    <w:rPr>
                      <w:rFonts w:cs="Arial"/>
                    </w:rPr>
                  </w:pPr>
                  <w:r w:rsidRPr="001E3185">
                    <w:rPr>
                      <w:rFonts w:cs="Arial"/>
                    </w:rPr>
                    <w:t>1.95E-02</w:t>
                  </w:r>
                </w:p>
              </w:tc>
              <w:tc>
                <w:tcPr>
                  <w:tcW w:w="1290" w:type="pct"/>
                  <w:shd w:val="clear" w:color="auto" w:fill="auto"/>
                  <w:vAlign w:val="bottom"/>
                </w:tcPr>
                <w:p w14:paraId="1FA9FC25" w14:textId="77777777" w:rsidR="00692E71" w:rsidRPr="001E3185" w:rsidRDefault="00692E71" w:rsidP="008E0250">
                  <w:pPr>
                    <w:jc w:val="center"/>
                    <w:rPr>
                      <w:rFonts w:cs="Arial"/>
                    </w:rPr>
                  </w:pPr>
                  <w:r w:rsidRPr="001E3185">
                    <w:rPr>
                      <w:rFonts w:cs="Arial"/>
                    </w:rPr>
                    <w:t>1.23E-02</w:t>
                  </w:r>
                </w:p>
              </w:tc>
              <w:tc>
                <w:tcPr>
                  <w:tcW w:w="1287" w:type="pct"/>
                  <w:shd w:val="clear" w:color="auto" w:fill="auto"/>
                  <w:vAlign w:val="bottom"/>
                </w:tcPr>
                <w:p w14:paraId="573AC8BE" w14:textId="77777777" w:rsidR="00692E71" w:rsidRPr="001E3185" w:rsidRDefault="00692E71" w:rsidP="008E0250">
                  <w:pPr>
                    <w:jc w:val="center"/>
                    <w:rPr>
                      <w:rFonts w:cs="Arial"/>
                    </w:rPr>
                  </w:pPr>
                  <w:r w:rsidRPr="001E3185">
                    <w:rPr>
                      <w:rFonts w:cs="Arial"/>
                    </w:rPr>
                    <w:t>9.42E-03</w:t>
                  </w:r>
                </w:p>
              </w:tc>
            </w:tr>
            <w:tr w:rsidR="00692E71" w:rsidRPr="001E3185" w14:paraId="342D04B7" w14:textId="77777777" w:rsidTr="008E0250">
              <w:trPr>
                <w:trHeight w:val="340"/>
              </w:trPr>
              <w:tc>
                <w:tcPr>
                  <w:tcW w:w="983" w:type="pct"/>
                  <w:shd w:val="clear" w:color="auto" w:fill="auto"/>
                  <w:vAlign w:val="center"/>
                </w:tcPr>
                <w:p w14:paraId="39285F8F" w14:textId="77777777" w:rsidR="00692E71" w:rsidRPr="001E3185" w:rsidRDefault="00692E71" w:rsidP="008E0250">
                  <w:pPr>
                    <w:rPr>
                      <w:rFonts w:cs="Arial"/>
                      <w:bCs/>
                    </w:rPr>
                  </w:pPr>
                  <w:r w:rsidRPr="001E3185">
                    <w:rPr>
                      <w:rFonts w:cs="Arial"/>
                      <w:bCs/>
                    </w:rPr>
                    <w:lastRenderedPageBreak/>
                    <w:t>Cypermethrin</w:t>
                  </w:r>
                </w:p>
              </w:tc>
              <w:tc>
                <w:tcPr>
                  <w:tcW w:w="1440" w:type="pct"/>
                  <w:shd w:val="clear" w:color="auto" w:fill="auto"/>
                  <w:vAlign w:val="bottom"/>
                </w:tcPr>
                <w:p w14:paraId="5CE6B44F" w14:textId="77777777" w:rsidR="00692E71" w:rsidRPr="001E3185" w:rsidRDefault="00692E71" w:rsidP="008E0250">
                  <w:pPr>
                    <w:jc w:val="center"/>
                    <w:rPr>
                      <w:rFonts w:cs="Arial"/>
                    </w:rPr>
                  </w:pPr>
                  <w:r w:rsidRPr="001E3185">
                    <w:rPr>
                      <w:rFonts w:cs="Arial"/>
                    </w:rPr>
                    <w:t>6.19E-05</w:t>
                  </w:r>
                </w:p>
              </w:tc>
              <w:tc>
                <w:tcPr>
                  <w:tcW w:w="1290" w:type="pct"/>
                  <w:shd w:val="clear" w:color="auto" w:fill="auto"/>
                  <w:vAlign w:val="bottom"/>
                </w:tcPr>
                <w:p w14:paraId="19A01FDB" w14:textId="77777777" w:rsidR="00692E71" w:rsidRPr="001E3185" w:rsidRDefault="00692E71" w:rsidP="008E0250">
                  <w:pPr>
                    <w:jc w:val="center"/>
                    <w:rPr>
                      <w:rFonts w:cs="Arial"/>
                    </w:rPr>
                  </w:pPr>
                  <w:r w:rsidRPr="001E3185">
                    <w:rPr>
                      <w:rFonts w:cs="Arial"/>
                    </w:rPr>
                    <w:t>1.18E-04</w:t>
                  </w:r>
                </w:p>
              </w:tc>
              <w:tc>
                <w:tcPr>
                  <w:tcW w:w="1287" w:type="pct"/>
                  <w:shd w:val="clear" w:color="auto" w:fill="auto"/>
                  <w:vAlign w:val="bottom"/>
                </w:tcPr>
                <w:p w14:paraId="2EF2D047" w14:textId="77777777" w:rsidR="00692E71" w:rsidRPr="001E3185" w:rsidRDefault="00692E71" w:rsidP="008E0250">
                  <w:pPr>
                    <w:jc w:val="center"/>
                    <w:rPr>
                      <w:rFonts w:cs="Arial"/>
                    </w:rPr>
                  </w:pPr>
                  <w:r w:rsidRPr="001E3185">
                    <w:rPr>
                      <w:rFonts w:cs="Arial"/>
                    </w:rPr>
                    <w:t>1.18E-04</w:t>
                  </w:r>
                </w:p>
              </w:tc>
            </w:tr>
            <w:tr w:rsidR="00692E71" w:rsidRPr="001E3185" w14:paraId="7FA7721C" w14:textId="77777777" w:rsidTr="008E0250">
              <w:trPr>
                <w:trHeight w:val="340"/>
              </w:trPr>
              <w:tc>
                <w:tcPr>
                  <w:tcW w:w="983" w:type="pct"/>
                  <w:shd w:val="clear" w:color="auto" w:fill="auto"/>
                  <w:vAlign w:val="center"/>
                </w:tcPr>
                <w:p w14:paraId="3E1AC0EA" w14:textId="77777777" w:rsidR="00692E71" w:rsidRPr="001E3185" w:rsidRDefault="00692E71" w:rsidP="008E0250">
                  <w:pPr>
                    <w:rPr>
                      <w:rFonts w:cs="Arial"/>
                      <w:bCs/>
                    </w:rPr>
                  </w:pPr>
                  <w:r w:rsidRPr="001E3185">
                    <w:rPr>
                      <w:rFonts w:cs="Arial"/>
                      <w:bCs/>
                    </w:rPr>
                    <w:t>IPBC</w:t>
                  </w:r>
                </w:p>
              </w:tc>
              <w:tc>
                <w:tcPr>
                  <w:tcW w:w="1440" w:type="pct"/>
                  <w:shd w:val="clear" w:color="auto" w:fill="auto"/>
                  <w:vAlign w:val="bottom"/>
                </w:tcPr>
                <w:p w14:paraId="2367A215" w14:textId="77777777" w:rsidR="00692E71" w:rsidRPr="001E3185" w:rsidRDefault="00692E71" w:rsidP="008E0250">
                  <w:pPr>
                    <w:jc w:val="center"/>
                    <w:rPr>
                      <w:rFonts w:cs="Arial"/>
                    </w:rPr>
                  </w:pPr>
                  <w:r w:rsidRPr="001E3185">
                    <w:rPr>
                      <w:rFonts w:cs="Arial"/>
                    </w:rPr>
                    <w:t>9.97E-05</w:t>
                  </w:r>
                </w:p>
              </w:tc>
              <w:tc>
                <w:tcPr>
                  <w:tcW w:w="1290" w:type="pct"/>
                  <w:shd w:val="clear" w:color="auto" w:fill="auto"/>
                  <w:vAlign w:val="bottom"/>
                </w:tcPr>
                <w:p w14:paraId="59C1C7A2" w14:textId="77777777" w:rsidR="00692E71" w:rsidRPr="001E3185" w:rsidRDefault="00692E71" w:rsidP="008E0250">
                  <w:pPr>
                    <w:jc w:val="center"/>
                    <w:rPr>
                      <w:rFonts w:cs="Arial"/>
                    </w:rPr>
                  </w:pPr>
                  <w:r w:rsidRPr="001E3185">
                    <w:rPr>
                      <w:rFonts w:cs="Arial"/>
                    </w:rPr>
                    <w:t>6.19E-06</w:t>
                  </w:r>
                </w:p>
              </w:tc>
              <w:tc>
                <w:tcPr>
                  <w:tcW w:w="1287" w:type="pct"/>
                  <w:shd w:val="clear" w:color="auto" w:fill="auto"/>
                  <w:vAlign w:val="bottom"/>
                </w:tcPr>
                <w:p w14:paraId="7A14810B" w14:textId="77777777" w:rsidR="00692E71" w:rsidRPr="001E3185" w:rsidRDefault="00692E71" w:rsidP="008E0250">
                  <w:pPr>
                    <w:jc w:val="center"/>
                    <w:rPr>
                      <w:rFonts w:cs="Arial"/>
                    </w:rPr>
                  </w:pPr>
                  <w:r w:rsidRPr="001E3185">
                    <w:rPr>
                      <w:rFonts w:cs="Arial"/>
                    </w:rPr>
                    <w:t>5.13E-06</w:t>
                  </w:r>
                </w:p>
              </w:tc>
            </w:tr>
            <w:tr w:rsidR="00692E71" w:rsidRPr="001E3185" w14:paraId="3E4D7020" w14:textId="77777777" w:rsidTr="008E0250">
              <w:trPr>
                <w:trHeight w:val="340"/>
              </w:trPr>
              <w:tc>
                <w:tcPr>
                  <w:tcW w:w="983" w:type="pct"/>
                  <w:shd w:val="clear" w:color="auto" w:fill="auto"/>
                  <w:vAlign w:val="center"/>
                </w:tcPr>
                <w:p w14:paraId="55D1AAC2" w14:textId="77777777" w:rsidR="00692E71" w:rsidRPr="001E3185" w:rsidRDefault="00692E71" w:rsidP="008E0250">
                  <w:pPr>
                    <w:rPr>
                      <w:rFonts w:cs="Arial"/>
                      <w:bCs/>
                    </w:rPr>
                  </w:pPr>
                  <w:r w:rsidRPr="001E3185">
                    <w:rPr>
                      <w:rFonts w:cs="Arial"/>
                      <w:bCs/>
                    </w:rPr>
                    <w:t>PBC</w:t>
                  </w:r>
                </w:p>
              </w:tc>
              <w:tc>
                <w:tcPr>
                  <w:tcW w:w="1440" w:type="pct"/>
                  <w:shd w:val="clear" w:color="auto" w:fill="auto"/>
                  <w:vAlign w:val="bottom"/>
                </w:tcPr>
                <w:p w14:paraId="6790C7CA" w14:textId="77777777" w:rsidR="00692E71" w:rsidRPr="001E3185" w:rsidRDefault="00692E71" w:rsidP="008E0250">
                  <w:pPr>
                    <w:jc w:val="center"/>
                    <w:rPr>
                      <w:rFonts w:cs="Arial"/>
                    </w:rPr>
                  </w:pPr>
                  <w:r w:rsidRPr="001E3185">
                    <w:rPr>
                      <w:rFonts w:cs="Arial"/>
                    </w:rPr>
                    <w:t>1.60E-03</w:t>
                  </w:r>
                </w:p>
              </w:tc>
              <w:tc>
                <w:tcPr>
                  <w:tcW w:w="1290" w:type="pct"/>
                  <w:shd w:val="clear" w:color="auto" w:fill="auto"/>
                  <w:vAlign w:val="bottom"/>
                </w:tcPr>
                <w:p w14:paraId="384D7F21" w14:textId="77777777" w:rsidR="00692E71" w:rsidRPr="001E3185" w:rsidRDefault="00692E71" w:rsidP="008E0250">
                  <w:pPr>
                    <w:jc w:val="center"/>
                    <w:rPr>
                      <w:rFonts w:cs="Arial"/>
                    </w:rPr>
                  </w:pPr>
                  <w:r w:rsidRPr="001E3185">
                    <w:rPr>
                      <w:rFonts w:cs="Arial"/>
                    </w:rPr>
                    <w:t>1.82E-04</w:t>
                  </w:r>
                </w:p>
              </w:tc>
              <w:tc>
                <w:tcPr>
                  <w:tcW w:w="1287" w:type="pct"/>
                  <w:shd w:val="clear" w:color="auto" w:fill="auto"/>
                  <w:vAlign w:val="bottom"/>
                </w:tcPr>
                <w:p w14:paraId="1012DA4D" w14:textId="77777777" w:rsidR="00692E71" w:rsidRPr="001E3185" w:rsidRDefault="00692E71" w:rsidP="008E0250">
                  <w:pPr>
                    <w:jc w:val="center"/>
                    <w:rPr>
                      <w:rFonts w:cs="Arial"/>
                    </w:rPr>
                  </w:pPr>
                  <w:r w:rsidRPr="001E3185">
                    <w:rPr>
                      <w:rFonts w:cs="Arial"/>
                    </w:rPr>
                    <w:t>1.43E-04</w:t>
                  </w:r>
                </w:p>
              </w:tc>
            </w:tr>
            <w:tr w:rsidR="00692E71" w:rsidRPr="001E3185" w14:paraId="67A6F0A0" w14:textId="77777777" w:rsidTr="008E0250">
              <w:trPr>
                <w:trHeight w:val="340"/>
              </w:trPr>
              <w:tc>
                <w:tcPr>
                  <w:tcW w:w="983" w:type="pct"/>
                  <w:shd w:val="clear" w:color="auto" w:fill="auto"/>
                  <w:vAlign w:val="center"/>
                </w:tcPr>
                <w:p w14:paraId="3BD33F49" w14:textId="77777777" w:rsidR="00692E71" w:rsidRPr="001E3185" w:rsidRDefault="00692E71" w:rsidP="008E0250">
                  <w:pPr>
                    <w:rPr>
                      <w:rFonts w:cs="Arial"/>
                      <w:bCs/>
                    </w:rPr>
                  </w:pPr>
                  <w:r w:rsidRPr="001E3185">
                    <w:rPr>
                      <w:rFonts w:cs="Arial"/>
                    </w:rPr>
                    <w:t>1,2,4-triazole</w:t>
                  </w:r>
                </w:p>
              </w:tc>
              <w:tc>
                <w:tcPr>
                  <w:tcW w:w="1440" w:type="pct"/>
                  <w:shd w:val="clear" w:color="auto" w:fill="auto"/>
                  <w:vAlign w:val="bottom"/>
                </w:tcPr>
                <w:p w14:paraId="322FAE2F" w14:textId="77777777" w:rsidR="00692E71" w:rsidRPr="001E3185" w:rsidRDefault="00692E71" w:rsidP="008E0250">
                  <w:pPr>
                    <w:jc w:val="center"/>
                    <w:rPr>
                      <w:rFonts w:cs="Arial"/>
                    </w:rPr>
                  </w:pPr>
                  <w:r w:rsidRPr="001E3185">
                    <w:rPr>
                      <w:rFonts w:cs="Arial"/>
                    </w:rPr>
                    <w:t>1.92E-03</w:t>
                  </w:r>
                </w:p>
              </w:tc>
              <w:tc>
                <w:tcPr>
                  <w:tcW w:w="1290" w:type="pct"/>
                  <w:shd w:val="clear" w:color="auto" w:fill="auto"/>
                  <w:vAlign w:val="bottom"/>
                </w:tcPr>
                <w:p w14:paraId="6A3A12AB" w14:textId="77777777" w:rsidR="00692E71" w:rsidRPr="001E3185" w:rsidRDefault="00692E71" w:rsidP="008E0250">
                  <w:pPr>
                    <w:jc w:val="center"/>
                    <w:rPr>
                      <w:rFonts w:cs="Arial"/>
                    </w:rPr>
                  </w:pPr>
                  <w:r w:rsidRPr="001E3185">
                    <w:rPr>
                      <w:rFonts w:cs="Arial"/>
                    </w:rPr>
                    <w:t>1.61E-03</w:t>
                  </w:r>
                </w:p>
              </w:tc>
              <w:tc>
                <w:tcPr>
                  <w:tcW w:w="1287" w:type="pct"/>
                  <w:shd w:val="clear" w:color="auto" w:fill="auto"/>
                  <w:vAlign w:val="bottom"/>
                </w:tcPr>
                <w:p w14:paraId="50EB22E8" w14:textId="77777777" w:rsidR="00692E71" w:rsidRPr="001E3185" w:rsidRDefault="00692E71" w:rsidP="008E0250">
                  <w:pPr>
                    <w:jc w:val="center"/>
                    <w:rPr>
                      <w:rFonts w:cs="Arial"/>
                    </w:rPr>
                  </w:pPr>
                  <w:r w:rsidRPr="001E3185">
                    <w:rPr>
                      <w:rFonts w:cs="Arial"/>
                    </w:rPr>
                    <w:t>1.24E-03</w:t>
                  </w:r>
                </w:p>
              </w:tc>
            </w:tr>
          </w:tbl>
          <w:p w14:paraId="0A6A1BDF" w14:textId="77777777" w:rsidR="00692E71" w:rsidRPr="001E3185" w:rsidRDefault="00692E71" w:rsidP="008E0250"/>
          <w:p w14:paraId="23BBE326" w14:textId="77777777" w:rsidR="00692E71" w:rsidRPr="001E3185" w:rsidRDefault="00692E71" w:rsidP="008E0250"/>
          <w:p w14:paraId="7A05F7ED"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i/>
              </w:rPr>
              <w:t>In situ</w:t>
            </w:r>
            <w:r w:rsidRPr="001E3185">
              <w:rPr>
                <w:rFonts w:ascii="Verdana" w:hAnsi="Verdana"/>
              </w:rPr>
              <w:t xml:space="preserve"> Application + Service life of treated wood - House</w:t>
            </w:r>
          </w:p>
          <w:p w14:paraId="5205381B" w14:textId="77777777" w:rsidR="00692E71" w:rsidRPr="001E3185" w:rsidRDefault="00692E71" w:rsidP="008E0250"/>
          <w:tbl>
            <w:tblPr>
              <w:tblW w:w="4468"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1824"/>
              <w:gridCol w:w="3045"/>
              <w:gridCol w:w="3463"/>
            </w:tblGrid>
            <w:tr w:rsidR="00692E71" w:rsidRPr="001E3185" w14:paraId="7CBD43B2" w14:textId="77777777" w:rsidTr="008E0250">
              <w:trPr>
                <w:trHeight w:val="397"/>
                <w:jc w:val="center"/>
              </w:trPr>
              <w:tc>
                <w:tcPr>
                  <w:tcW w:w="5000" w:type="pct"/>
                  <w:gridSpan w:val="3"/>
                  <w:shd w:val="clear" w:color="auto" w:fill="auto"/>
                  <w:noWrap/>
                  <w:vAlign w:val="center"/>
                  <w:hideMark/>
                </w:tcPr>
                <w:p w14:paraId="2D464B23" w14:textId="77777777" w:rsidR="00692E71" w:rsidRPr="001E3185" w:rsidRDefault="00692E71" w:rsidP="008E0250">
                  <w:pPr>
                    <w:jc w:val="center"/>
                    <w:rPr>
                      <w:rFonts w:cs="Arial"/>
                      <w:b/>
                      <w:bCs/>
                    </w:rPr>
                  </w:pPr>
                  <w:r w:rsidRPr="001E3185">
                    <w:rPr>
                      <w:rFonts w:cs="Arial"/>
                      <w:b/>
                      <w:bCs/>
                      <w:iCs/>
                    </w:rPr>
                    <w:t>Brush application + Treated wood in service</w:t>
                  </w:r>
                </w:p>
              </w:tc>
            </w:tr>
            <w:tr w:rsidR="00692E71" w:rsidRPr="001E3185" w14:paraId="0230846B" w14:textId="77777777" w:rsidTr="008E0250">
              <w:trPr>
                <w:trHeight w:val="340"/>
                <w:jc w:val="center"/>
              </w:trPr>
              <w:tc>
                <w:tcPr>
                  <w:tcW w:w="5000" w:type="pct"/>
                  <w:gridSpan w:val="3"/>
                  <w:shd w:val="clear" w:color="auto" w:fill="auto"/>
                  <w:noWrap/>
                  <w:vAlign w:val="center"/>
                </w:tcPr>
                <w:p w14:paraId="03DAF688" w14:textId="77777777" w:rsidR="00692E71" w:rsidRPr="001E3185" w:rsidRDefault="00692E71" w:rsidP="008E0250">
                  <w:pPr>
                    <w:rPr>
                      <w:rFonts w:cs="Arial"/>
                    </w:rPr>
                  </w:pPr>
                  <w:r w:rsidRPr="001E3185">
                    <w:rPr>
                      <w:rFonts w:cs="Arial"/>
                      <w:b/>
                    </w:rPr>
                    <w:t xml:space="preserve">PEC </w:t>
                  </w:r>
                  <w:r w:rsidRPr="001E3185">
                    <w:rPr>
                      <w:rFonts w:cs="Arial"/>
                      <w:b/>
                      <w:vertAlign w:val="subscript"/>
                    </w:rPr>
                    <w:t>LOCAL</w:t>
                  </w:r>
                  <w:r w:rsidRPr="001E3185">
                    <w:rPr>
                      <w:rFonts w:cs="Arial"/>
                      <w:b/>
                    </w:rPr>
                    <w:t xml:space="preserve"> </w:t>
                  </w:r>
                  <w:r w:rsidRPr="001E3185">
                    <w:rPr>
                      <w:rFonts w:cs="Arial"/>
                      <w:b/>
                      <w:vertAlign w:val="subscript"/>
                    </w:rPr>
                    <w:t>SOIL</w:t>
                  </w:r>
                  <w:r w:rsidRPr="001E3185">
                    <w:rPr>
                      <w:rFonts w:cs="Arial"/>
                      <w:b/>
                    </w:rPr>
                    <w:t>,</w:t>
                  </w:r>
                  <w:r w:rsidRPr="001E3185">
                    <w:rPr>
                      <w:rFonts w:cs="Arial"/>
                    </w:rPr>
                    <w:t xml:space="preserve"> </w:t>
                  </w:r>
                  <w:r w:rsidRPr="001E3185">
                    <w:rPr>
                      <w:rFonts w:cs="Arial"/>
                      <w:b/>
                    </w:rPr>
                    <w:t xml:space="preserve">TWA concentration, TIME 1 </w:t>
                  </w: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77D25BD8" w14:textId="77777777" w:rsidTr="008E0250">
              <w:trPr>
                <w:trHeight w:val="340"/>
                <w:jc w:val="center"/>
              </w:trPr>
              <w:tc>
                <w:tcPr>
                  <w:tcW w:w="1095" w:type="pct"/>
                  <w:shd w:val="clear" w:color="auto" w:fill="auto"/>
                  <w:noWrap/>
                  <w:vAlign w:val="bottom"/>
                </w:tcPr>
                <w:p w14:paraId="1A54BB84" w14:textId="77777777" w:rsidR="00692E71" w:rsidRPr="001E3185" w:rsidRDefault="00692E71" w:rsidP="008E0250">
                  <w:pPr>
                    <w:rPr>
                      <w:rFonts w:cs="Arial"/>
                    </w:rPr>
                  </w:pPr>
                </w:p>
              </w:tc>
              <w:tc>
                <w:tcPr>
                  <w:tcW w:w="1827" w:type="pct"/>
                  <w:shd w:val="clear" w:color="auto" w:fill="auto"/>
                  <w:noWrap/>
                  <w:vAlign w:val="center"/>
                </w:tcPr>
                <w:p w14:paraId="3FAA64BD" w14:textId="77777777" w:rsidR="00692E71" w:rsidRPr="001E3185" w:rsidRDefault="00692E71" w:rsidP="008E0250">
                  <w:pPr>
                    <w:jc w:val="center"/>
                    <w:rPr>
                      <w:rFonts w:cs="Arial"/>
                      <w:b/>
                      <w:i/>
                    </w:rPr>
                  </w:pPr>
                  <w:r w:rsidRPr="001E3185">
                    <w:rPr>
                      <w:rFonts w:cs="Arial"/>
                      <w:b/>
                      <w:i/>
                    </w:rPr>
                    <w:t>Professional</w:t>
                  </w:r>
                </w:p>
              </w:tc>
              <w:tc>
                <w:tcPr>
                  <w:tcW w:w="2078" w:type="pct"/>
                  <w:shd w:val="clear" w:color="auto" w:fill="auto"/>
                  <w:vAlign w:val="center"/>
                </w:tcPr>
                <w:p w14:paraId="06E77078" w14:textId="77777777" w:rsidR="00692E71" w:rsidRPr="001E3185" w:rsidRDefault="00692E71" w:rsidP="008E0250">
                  <w:pPr>
                    <w:jc w:val="center"/>
                    <w:rPr>
                      <w:rFonts w:cs="Arial"/>
                      <w:b/>
                      <w:i/>
                    </w:rPr>
                  </w:pPr>
                  <w:r w:rsidRPr="001E3185">
                    <w:rPr>
                      <w:rFonts w:cs="Arial"/>
                      <w:b/>
                      <w:i/>
                    </w:rPr>
                    <w:t>Non professional</w:t>
                  </w:r>
                </w:p>
              </w:tc>
            </w:tr>
            <w:tr w:rsidR="00692E71" w:rsidRPr="001E3185" w14:paraId="03D66792" w14:textId="77777777" w:rsidTr="008E0250">
              <w:trPr>
                <w:trHeight w:val="340"/>
                <w:jc w:val="center"/>
              </w:trPr>
              <w:tc>
                <w:tcPr>
                  <w:tcW w:w="1095" w:type="pct"/>
                  <w:shd w:val="clear" w:color="auto" w:fill="auto"/>
                  <w:noWrap/>
                  <w:vAlign w:val="center"/>
                </w:tcPr>
                <w:p w14:paraId="5C1A6CC5" w14:textId="77777777" w:rsidR="00692E71" w:rsidRPr="001E3185" w:rsidRDefault="00692E71" w:rsidP="008E0250">
                  <w:pPr>
                    <w:rPr>
                      <w:rFonts w:cs="Arial"/>
                    </w:rPr>
                  </w:pPr>
                  <w:r w:rsidRPr="001E3185">
                    <w:rPr>
                      <w:rFonts w:cs="Arial"/>
                    </w:rPr>
                    <w:t>Tebuconazole</w:t>
                  </w:r>
                </w:p>
              </w:tc>
              <w:tc>
                <w:tcPr>
                  <w:tcW w:w="1827" w:type="pct"/>
                  <w:shd w:val="clear" w:color="auto" w:fill="auto"/>
                  <w:noWrap/>
                  <w:vAlign w:val="center"/>
                </w:tcPr>
                <w:p w14:paraId="7CCBB2C8" w14:textId="77777777" w:rsidR="00692E71" w:rsidRPr="001E3185" w:rsidRDefault="00692E71" w:rsidP="008E0250">
                  <w:pPr>
                    <w:jc w:val="center"/>
                    <w:rPr>
                      <w:rFonts w:cs="Arial"/>
                    </w:rPr>
                  </w:pPr>
                  <w:r w:rsidRPr="001E3185">
                    <w:rPr>
                      <w:rFonts w:cs="Arial"/>
                    </w:rPr>
                    <w:t>3.76E-02</w:t>
                  </w:r>
                </w:p>
              </w:tc>
              <w:tc>
                <w:tcPr>
                  <w:tcW w:w="2078" w:type="pct"/>
                  <w:shd w:val="clear" w:color="auto" w:fill="auto"/>
                  <w:vAlign w:val="center"/>
                </w:tcPr>
                <w:p w14:paraId="2D968E1B" w14:textId="77777777" w:rsidR="00692E71" w:rsidRPr="001E3185" w:rsidRDefault="00692E71" w:rsidP="008E0250">
                  <w:pPr>
                    <w:jc w:val="center"/>
                    <w:rPr>
                      <w:rFonts w:cs="Arial"/>
                    </w:rPr>
                  </w:pPr>
                  <w:r w:rsidRPr="001E3185">
                    <w:rPr>
                      <w:rFonts w:cs="Arial"/>
                    </w:rPr>
                    <w:t>4.75E-02</w:t>
                  </w:r>
                </w:p>
              </w:tc>
            </w:tr>
            <w:tr w:rsidR="00692E71" w:rsidRPr="001E3185" w14:paraId="758D9454" w14:textId="77777777" w:rsidTr="008E0250">
              <w:trPr>
                <w:trHeight w:val="340"/>
                <w:jc w:val="center"/>
              </w:trPr>
              <w:tc>
                <w:tcPr>
                  <w:tcW w:w="1095" w:type="pct"/>
                  <w:shd w:val="clear" w:color="auto" w:fill="auto"/>
                  <w:noWrap/>
                  <w:vAlign w:val="center"/>
                </w:tcPr>
                <w:p w14:paraId="535003A3" w14:textId="77777777" w:rsidR="00692E71" w:rsidRPr="001E3185" w:rsidRDefault="00692E71" w:rsidP="008E0250">
                  <w:pPr>
                    <w:rPr>
                      <w:rFonts w:cs="Arial"/>
                    </w:rPr>
                  </w:pPr>
                  <w:r w:rsidRPr="001E3185">
                    <w:rPr>
                      <w:rFonts w:cs="Arial"/>
                    </w:rPr>
                    <w:t>Propiconazole</w:t>
                  </w:r>
                </w:p>
              </w:tc>
              <w:tc>
                <w:tcPr>
                  <w:tcW w:w="1827" w:type="pct"/>
                  <w:shd w:val="clear" w:color="auto" w:fill="auto"/>
                  <w:noWrap/>
                  <w:vAlign w:val="center"/>
                </w:tcPr>
                <w:p w14:paraId="3FA85583" w14:textId="77777777" w:rsidR="00692E71" w:rsidRPr="001E3185" w:rsidRDefault="00692E71" w:rsidP="008E0250">
                  <w:pPr>
                    <w:jc w:val="center"/>
                    <w:rPr>
                      <w:rFonts w:cs="Arial"/>
                    </w:rPr>
                  </w:pPr>
                  <w:r w:rsidRPr="001E3185">
                    <w:rPr>
                      <w:rFonts w:cs="Arial"/>
                    </w:rPr>
                    <w:t>9.99E-02</w:t>
                  </w:r>
                </w:p>
              </w:tc>
              <w:tc>
                <w:tcPr>
                  <w:tcW w:w="2078" w:type="pct"/>
                  <w:shd w:val="clear" w:color="auto" w:fill="auto"/>
                  <w:vAlign w:val="center"/>
                </w:tcPr>
                <w:p w14:paraId="37E55F80" w14:textId="77777777" w:rsidR="00692E71" w:rsidRPr="001E3185" w:rsidRDefault="00692E71" w:rsidP="008E0250">
                  <w:pPr>
                    <w:jc w:val="center"/>
                    <w:rPr>
                      <w:rFonts w:cs="Arial"/>
                    </w:rPr>
                  </w:pPr>
                  <w:r w:rsidRPr="001E3185">
                    <w:rPr>
                      <w:rFonts w:cs="Arial"/>
                    </w:rPr>
                    <w:t>1.32E-01</w:t>
                  </w:r>
                </w:p>
              </w:tc>
            </w:tr>
            <w:tr w:rsidR="00692E71" w:rsidRPr="001E3185" w14:paraId="4244D9F0" w14:textId="77777777" w:rsidTr="008E0250">
              <w:trPr>
                <w:trHeight w:val="340"/>
                <w:jc w:val="center"/>
              </w:trPr>
              <w:tc>
                <w:tcPr>
                  <w:tcW w:w="1095" w:type="pct"/>
                  <w:shd w:val="clear" w:color="auto" w:fill="auto"/>
                  <w:noWrap/>
                  <w:vAlign w:val="center"/>
                </w:tcPr>
                <w:p w14:paraId="53804AC2" w14:textId="77777777" w:rsidR="00692E71" w:rsidRPr="001E3185" w:rsidRDefault="00692E71" w:rsidP="008E0250">
                  <w:pPr>
                    <w:rPr>
                      <w:rFonts w:cs="Arial"/>
                    </w:rPr>
                  </w:pPr>
                  <w:r w:rsidRPr="001E3185">
                    <w:rPr>
                      <w:rFonts w:cs="Arial"/>
                    </w:rPr>
                    <w:t>Cypermethrin</w:t>
                  </w:r>
                </w:p>
              </w:tc>
              <w:tc>
                <w:tcPr>
                  <w:tcW w:w="1827" w:type="pct"/>
                  <w:shd w:val="clear" w:color="auto" w:fill="auto"/>
                  <w:noWrap/>
                  <w:vAlign w:val="center"/>
                </w:tcPr>
                <w:p w14:paraId="7BC0D235" w14:textId="77777777" w:rsidR="00692E71" w:rsidRPr="001E3185" w:rsidRDefault="00692E71" w:rsidP="008E0250">
                  <w:pPr>
                    <w:jc w:val="center"/>
                    <w:rPr>
                      <w:rFonts w:cs="Arial"/>
                    </w:rPr>
                  </w:pPr>
                  <w:r w:rsidRPr="001E3185">
                    <w:rPr>
                      <w:rFonts w:cs="Arial"/>
                    </w:rPr>
                    <w:t>1.59E-02</w:t>
                  </w:r>
                </w:p>
              </w:tc>
              <w:tc>
                <w:tcPr>
                  <w:tcW w:w="2078" w:type="pct"/>
                  <w:shd w:val="clear" w:color="auto" w:fill="auto"/>
                  <w:vAlign w:val="center"/>
                </w:tcPr>
                <w:p w14:paraId="2F4D4460" w14:textId="77777777" w:rsidR="00692E71" w:rsidRPr="001E3185" w:rsidRDefault="00692E71" w:rsidP="008E0250">
                  <w:pPr>
                    <w:jc w:val="center"/>
                    <w:rPr>
                      <w:rFonts w:cs="Arial"/>
                    </w:rPr>
                  </w:pPr>
                  <w:r w:rsidRPr="001E3185">
                    <w:rPr>
                      <w:rFonts w:cs="Arial"/>
                    </w:rPr>
                    <w:t>2.64E-02</w:t>
                  </w:r>
                </w:p>
              </w:tc>
            </w:tr>
            <w:tr w:rsidR="00692E71" w:rsidRPr="001E3185" w14:paraId="32D6B4ED" w14:textId="77777777" w:rsidTr="008E0250">
              <w:trPr>
                <w:trHeight w:val="340"/>
                <w:jc w:val="center"/>
              </w:trPr>
              <w:tc>
                <w:tcPr>
                  <w:tcW w:w="1095" w:type="pct"/>
                  <w:shd w:val="clear" w:color="auto" w:fill="auto"/>
                  <w:noWrap/>
                  <w:vAlign w:val="center"/>
                </w:tcPr>
                <w:p w14:paraId="66699577" w14:textId="77777777" w:rsidR="00692E71" w:rsidRPr="001E3185" w:rsidRDefault="00692E71" w:rsidP="008E0250">
                  <w:pPr>
                    <w:autoSpaceDE w:val="0"/>
                    <w:autoSpaceDN w:val="0"/>
                    <w:rPr>
                      <w:rFonts w:cs="Arial"/>
                    </w:rPr>
                  </w:pPr>
                  <w:r w:rsidRPr="001E3185">
                    <w:rPr>
                      <w:rFonts w:cs="Arial"/>
                    </w:rPr>
                    <w:t>IPBC</w:t>
                  </w:r>
                </w:p>
              </w:tc>
              <w:tc>
                <w:tcPr>
                  <w:tcW w:w="1827" w:type="pct"/>
                  <w:shd w:val="clear" w:color="auto" w:fill="auto"/>
                  <w:noWrap/>
                  <w:vAlign w:val="center"/>
                </w:tcPr>
                <w:p w14:paraId="7B97E8CB" w14:textId="77777777" w:rsidR="00692E71" w:rsidRPr="001E3185" w:rsidRDefault="00692E71" w:rsidP="008E0250">
                  <w:pPr>
                    <w:jc w:val="center"/>
                    <w:rPr>
                      <w:rFonts w:cs="Arial"/>
                    </w:rPr>
                  </w:pPr>
                  <w:r w:rsidRPr="001E3185">
                    <w:rPr>
                      <w:rFonts w:cs="Arial"/>
                    </w:rPr>
                    <w:t>4.26E-04</w:t>
                  </w:r>
                </w:p>
              </w:tc>
              <w:tc>
                <w:tcPr>
                  <w:tcW w:w="2078" w:type="pct"/>
                  <w:shd w:val="clear" w:color="auto" w:fill="auto"/>
                  <w:vAlign w:val="center"/>
                </w:tcPr>
                <w:p w14:paraId="0DCAA989" w14:textId="77777777" w:rsidR="00692E71" w:rsidRPr="001E3185" w:rsidRDefault="00692E71" w:rsidP="008E0250">
                  <w:pPr>
                    <w:jc w:val="center"/>
                    <w:rPr>
                      <w:rFonts w:cs="Arial"/>
                    </w:rPr>
                  </w:pPr>
                  <w:r w:rsidRPr="001E3185">
                    <w:rPr>
                      <w:rFonts w:cs="Arial"/>
                    </w:rPr>
                    <w:t>5.33E-04</w:t>
                  </w:r>
                </w:p>
              </w:tc>
            </w:tr>
            <w:tr w:rsidR="00692E71" w:rsidRPr="001E3185" w14:paraId="30D18CD9" w14:textId="77777777" w:rsidTr="008E0250">
              <w:trPr>
                <w:trHeight w:val="340"/>
                <w:jc w:val="center"/>
              </w:trPr>
              <w:tc>
                <w:tcPr>
                  <w:tcW w:w="1095" w:type="pct"/>
                  <w:shd w:val="clear" w:color="auto" w:fill="auto"/>
                  <w:noWrap/>
                  <w:vAlign w:val="center"/>
                </w:tcPr>
                <w:p w14:paraId="71E7BEDD" w14:textId="77777777" w:rsidR="00692E71" w:rsidRPr="001E3185" w:rsidRDefault="00692E71" w:rsidP="008E0250">
                  <w:pPr>
                    <w:autoSpaceDE w:val="0"/>
                    <w:autoSpaceDN w:val="0"/>
                    <w:rPr>
                      <w:rFonts w:cs="Arial"/>
                    </w:rPr>
                  </w:pPr>
                  <w:r w:rsidRPr="001E3185">
                    <w:rPr>
                      <w:rFonts w:cs="Arial"/>
                    </w:rPr>
                    <w:t>PBC</w:t>
                  </w:r>
                </w:p>
              </w:tc>
              <w:tc>
                <w:tcPr>
                  <w:tcW w:w="1827" w:type="pct"/>
                  <w:shd w:val="clear" w:color="auto" w:fill="auto"/>
                  <w:noWrap/>
                  <w:vAlign w:val="center"/>
                </w:tcPr>
                <w:p w14:paraId="62920B29" w14:textId="77777777" w:rsidR="00692E71" w:rsidRPr="001E3185" w:rsidRDefault="00692E71" w:rsidP="008E0250">
                  <w:pPr>
                    <w:jc w:val="center"/>
                    <w:rPr>
                      <w:rFonts w:cs="Arial"/>
                    </w:rPr>
                  </w:pPr>
                  <w:r w:rsidRPr="001E3185">
                    <w:rPr>
                      <w:rFonts w:cs="Arial"/>
                    </w:rPr>
                    <w:t>8.07E-03</w:t>
                  </w:r>
                </w:p>
              </w:tc>
              <w:tc>
                <w:tcPr>
                  <w:tcW w:w="2078" w:type="pct"/>
                  <w:shd w:val="clear" w:color="auto" w:fill="auto"/>
                  <w:vAlign w:val="center"/>
                </w:tcPr>
                <w:p w14:paraId="17C30CDF" w14:textId="77777777" w:rsidR="00692E71" w:rsidRPr="001E3185" w:rsidRDefault="00692E71" w:rsidP="008E0250">
                  <w:pPr>
                    <w:jc w:val="center"/>
                    <w:rPr>
                      <w:rFonts w:cs="Arial"/>
                    </w:rPr>
                  </w:pPr>
                  <w:r w:rsidRPr="001E3185">
                    <w:rPr>
                      <w:rFonts w:cs="Arial"/>
                    </w:rPr>
                    <w:t>1.06E-02</w:t>
                  </w:r>
                </w:p>
              </w:tc>
            </w:tr>
            <w:tr w:rsidR="00692E71" w:rsidRPr="001E3185" w14:paraId="61B576E4" w14:textId="77777777" w:rsidTr="008E0250">
              <w:trPr>
                <w:trHeight w:val="340"/>
                <w:jc w:val="center"/>
              </w:trPr>
              <w:tc>
                <w:tcPr>
                  <w:tcW w:w="1095" w:type="pct"/>
                  <w:shd w:val="clear" w:color="auto" w:fill="auto"/>
                  <w:noWrap/>
                  <w:vAlign w:val="center"/>
                </w:tcPr>
                <w:p w14:paraId="72151F65" w14:textId="77777777" w:rsidR="00692E71" w:rsidRPr="001E3185" w:rsidRDefault="00692E71" w:rsidP="008E0250">
                  <w:pPr>
                    <w:autoSpaceDE w:val="0"/>
                    <w:autoSpaceDN w:val="0"/>
                    <w:rPr>
                      <w:rFonts w:cs="Arial"/>
                    </w:rPr>
                  </w:pPr>
                  <w:r w:rsidRPr="001E3185">
                    <w:rPr>
                      <w:rFonts w:cs="Arial"/>
                    </w:rPr>
                    <w:t>1,2,4-triazole</w:t>
                  </w:r>
                </w:p>
              </w:tc>
              <w:tc>
                <w:tcPr>
                  <w:tcW w:w="1827" w:type="pct"/>
                  <w:shd w:val="clear" w:color="auto" w:fill="auto"/>
                  <w:noWrap/>
                  <w:vAlign w:val="center"/>
                </w:tcPr>
                <w:p w14:paraId="2F62593B" w14:textId="77777777" w:rsidR="00692E71" w:rsidRPr="001E3185" w:rsidRDefault="00692E71" w:rsidP="008E0250">
                  <w:pPr>
                    <w:jc w:val="center"/>
                    <w:rPr>
                      <w:rFonts w:cs="Arial"/>
                    </w:rPr>
                  </w:pPr>
                  <w:r w:rsidRPr="001E3185">
                    <w:rPr>
                      <w:rFonts w:cs="Arial"/>
                    </w:rPr>
                    <w:t>9.74E-03</w:t>
                  </w:r>
                </w:p>
              </w:tc>
              <w:tc>
                <w:tcPr>
                  <w:tcW w:w="2078" w:type="pct"/>
                  <w:shd w:val="clear" w:color="auto" w:fill="auto"/>
                  <w:vAlign w:val="center"/>
                </w:tcPr>
                <w:p w14:paraId="6B0609DE" w14:textId="77777777" w:rsidR="00692E71" w:rsidRPr="001E3185" w:rsidRDefault="00692E71" w:rsidP="008E0250">
                  <w:pPr>
                    <w:jc w:val="center"/>
                    <w:rPr>
                      <w:rFonts w:cs="Arial"/>
                    </w:rPr>
                  </w:pPr>
                  <w:r w:rsidRPr="001E3185">
                    <w:rPr>
                      <w:rFonts w:cs="Arial"/>
                    </w:rPr>
                    <w:t>1.28E-02</w:t>
                  </w:r>
                </w:p>
              </w:tc>
            </w:tr>
            <w:tr w:rsidR="00692E71" w:rsidRPr="001E3185" w14:paraId="3438D471" w14:textId="77777777" w:rsidTr="008E0250">
              <w:trPr>
                <w:trHeight w:val="340"/>
                <w:jc w:val="center"/>
              </w:trPr>
              <w:tc>
                <w:tcPr>
                  <w:tcW w:w="5000" w:type="pct"/>
                  <w:gridSpan w:val="3"/>
                  <w:shd w:val="clear" w:color="auto" w:fill="auto"/>
                  <w:noWrap/>
                  <w:vAlign w:val="center"/>
                </w:tcPr>
                <w:p w14:paraId="099F02BD" w14:textId="77777777" w:rsidR="00692E71" w:rsidRPr="001E3185" w:rsidRDefault="00692E71" w:rsidP="008E0250">
                  <w:pPr>
                    <w:rPr>
                      <w:rFonts w:cs="Arial"/>
                    </w:rPr>
                  </w:pPr>
                  <w:r w:rsidRPr="001E3185">
                    <w:rPr>
                      <w:rFonts w:cs="Arial"/>
                      <w:b/>
                    </w:rPr>
                    <w:t xml:space="preserve">PEC </w:t>
                  </w:r>
                  <w:r w:rsidRPr="001E3185">
                    <w:rPr>
                      <w:rFonts w:cs="Arial"/>
                      <w:b/>
                      <w:vertAlign w:val="subscript"/>
                    </w:rPr>
                    <w:t>LOCAL</w:t>
                  </w:r>
                  <w:r w:rsidRPr="001E3185">
                    <w:rPr>
                      <w:rFonts w:cs="Arial"/>
                      <w:b/>
                    </w:rPr>
                    <w:t xml:space="preserve"> </w:t>
                  </w:r>
                  <w:r w:rsidRPr="001E3185">
                    <w:rPr>
                      <w:rFonts w:cs="Arial"/>
                      <w:b/>
                      <w:vertAlign w:val="subscript"/>
                    </w:rPr>
                    <w:t>SOIL</w:t>
                  </w:r>
                  <w:r w:rsidRPr="001E3185">
                    <w:rPr>
                      <w:rFonts w:cs="Arial"/>
                      <w:b/>
                    </w:rPr>
                    <w:t>,</w:t>
                  </w:r>
                  <w:r w:rsidRPr="001E3185">
                    <w:rPr>
                      <w:rFonts w:cs="Arial"/>
                    </w:rPr>
                    <w:t xml:space="preserve"> </w:t>
                  </w:r>
                  <w:r w:rsidRPr="001E3185">
                    <w:rPr>
                      <w:rFonts w:cs="Arial"/>
                      <w:b/>
                    </w:rPr>
                    <w:t xml:space="preserve">TWA concentration, TIME 2 </w:t>
                  </w: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7A1B5444" w14:textId="77777777" w:rsidTr="008E0250">
              <w:trPr>
                <w:trHeight w:val="340"/>
                <w:jc w:val="center"/>
              </w:trPr>
              <w:tc>
                <w:tcPr>
                  <w:tcW w:w="1095" w:type="pct"/>
                  <w:shd w:val="clear" w:color="auto" w:fill="auto"/>
                  <w:noWrap/>
                  <w:vAlign w:val="center"/>
                </w:tcPr>
                <w:p w14:paraId="033ACD58" w14:textId="77777777" w:rsidR="00692E71" w:rsidRPr="001E3185" w:rsidRDefault="00692E71" w:rsidP="008E0250">
                  <w:pPr>
                    <w:rPr>
                      <w:rFonts w:cs="Arial"/>
                    </w:rPr>
                  </w:pPr>
                  <w:r w:rsidRPr="001E3185">
                    <w:rPr>
                      <w:rFonts w:cs="Arial"/>
                    </w:rPr>
                    <w:t>Tebuconazole</w:t>
                  </w:r>
                </w:p>
              </w:tc>
              <w:tc>
                <w:tcPr>
                  <w:tcW w:w="1827" w:type="pct"/>
                  <w:shd w:val="clear" w:color="auto" w:fill="auto"/>
                  <w:noWrap/>
                  <w:vAlign w:val="center"/>
                </w:tcPr>
                <w:p w14:paraId="01E457BA" w14:textId="77777777" w:rsidR="00692E71" w:rsidRPr="001E3185" w:rsidRDefault="00692E71" w:rsidP="008E0250">
                  <w:pPr>
                    <w:jc w:val="center"/>
                    <w:rPr>
                      <w:rFonts w:cs="Arial"/>
                    </w:rPr>
                  </w:pPr>
                  <w:r w:rsidRPr="001E3185">
                    <w:rPr>
                      <w:rFonts w:cs="Arial"/>
                    </w:rPr>
                    <w:t>1.29E-02</w:t>
                  </w:r>
                </w:p>
              </w:tc>
              <w:tc>
                <w:tcPr>
                  <w:tcW w:w="2078" w:type="pct"/>
                  <w:shd w:val="clear" w:color="auto" w:fill="auto"/>
                  <w:vAlign w:val="center"/>
                </w:tcPr>
                <w:p w14:paraId="30063B3D" w14:textId="77777777" w:rsidR="00692E71" w:rsidRPr="001E3185" w:rsidRDefault="00692E71" w:rsidP="008E0250">
                  <w:pPr>
                    <w:jc w:val="center"/>
                    <w:rPr>
                      <w:rFonts w:cs="Arial"/>
                    </w:rPr>
                  </w:pPr>
                  <w:r w:rsidRPr="001E3185">
                    <w:rPr>
                      <w:rFonts w:cs="Arial"/>
                    </w:rPr>
                    <w:t>1.35E-02</w:t>
                  </w:r>
                </w:p>
              </w:tc>
            </w:tr>
            <w:tr w:rsidR="00692E71" w:rsidRPr="001E3185" w14:paraId="61C22336" w14:textId="77777777" w:rsidTr="008E0250">
              <w:trPr>
                <w:trHeight w:val="340"/>
                <w:jc w:val="center"/>
              </w:trPr>
              <w:tc>
                <w:tcPr>
                  <w:tcW w:w="1095" w:type="pct"/>
                  <w:shd w:val="clear" w:color="auto" w:fill="auto"/>
                  <w:noWrap/>
                  <w:vAlign w:val="center"/>
                </w:tcPr>
                <w:p w14:paraId="057CA759" w14:textId="77777777" w:rsidR="00692E71" w:rsidRPr="001E3185" w:rsidRDefault="00692E71" w:rsidP="008E0250">
                  <w:pPr>
                    <w:rPr>
                      <w:rFonts w:cs="Arial"/>
                    </w:rPr>
                  </w:pPr>
                  <w:r w:rsidRPr="001E3185">
                    <w:rPr>
                      <w:rFonts w:cs="Arial"/>
                    </w:rPr>
                    <w:t>Propiconazole</w:t>
                  </w:r>
                </w:p>
              </w:tc>
              <w:tc>
                <w:tcPr>
                  <w:tcW w:w="1827" w:type="pct"/>
                  <w:shd w:val="clear" w:color="auto" w:fill="auto"/>
                  <w:noWrap/>
                  <w:vAlign w:val="center"/>
                </w:tcPr>
                <w:p w14:paraId="1A2CB183" w14:textId="77777777" w:rsidR="00692E71" w:rsidRPr="001E3185" w:rsidRDefault="00692E71" w:rsidP="008E0250">
                  <w:pPr>
                    <w:jc w:val="center"/>
                    <w:rPr>
                      <w:rFonts w:cs="Arial"/>
                    </w:rPr>
                  </w:pPr>
                  <w:r w:rsidRPr="001E3185">
                    <w:rPr>
                      <w:rFonts w:cs="Arial"/>
                    </w:rPr>
                    <w:t>3.55E-02</w:t>
                  </w:r>
                </w:p>
              </w:tc>
              <w:tc>
                <w:tcPr>
                  <w:tcW w:w="2078" w:type="pct"/>
                  <w:shd w:val="clear" w:color="auto" w:fill="auto"/>
                  <w:vAlign w:val="center"/>
                </w:tcPr>
                <w:p w14:paraId="3FA2C090" w14:textId="77777777" w:rsidR="00692E71" w:rsidRPr="001E3185" w:rsidRDefault="00692E71" w:rsidP="008E0250">
                  <w:pPr>
                    <w:jc w:val="center"/>
                    <w:rPr>
                      <w:rFonts w:cs="Arial"/>
                    </w:rPr>
                  </w:pPr>
                  <w:r w:rsidRPr="001E3185">
                    <w:rPr>
                      <w:rFonts w:cs="Arial"/>
                    </w:rPr>
                    <w:t>3.73E-02</w:t>
                  </w:r>
                </w:p>
              </w:tc>
            </w:tr>
            <w:tr w:rsidR="00692E71" w:rsidRPr="001E3185" w14:paraId="4915B989" w14:textId="77777777" w:rsidTr="008E0250">
              <w:trPr>
                <w:trHeight w:val="340"/>
                <w:jc w:val="center"/>
              </w:trPr>
              <w:tc>
                <w:tcPr>
                  <w:tcW w:w="1095" w:type="pct"/>
                  <w:shd w:val="clear" w:color="auto" w:fill="auto"/>
                  <w:noWrap/>
                  <w:vAlign w:val="center"/>
                </w:tcPr>
                <w:p w14:paraId="6FCDB2B8" w14:textId="77777777" w:rsidR="00692E71" w:rsidRPr="001E3185" w:rsidRDefault="00692E71" w:rsidP="008E0250">
                  <w:pPr>
                    <w:rPr>
                      <w:rFonts w:cs="Arial"/>
                    </w:rPr>
                  </w:pPr>
                  <w:r w:rsidRPr="001E3185">
                    <w:rPr>
                      <w:rFonts w:cs="Arial"/>
                    </w:rPr>
                    <w:t>Cypermethrin</w:t>
                  </w:r>
                </w:p>
              </w:tc>
              <w:tc>
                <w:tcPr>
                  <w:tcW w:w="1827" w:type="pct"/>
                  <w:shd w:val="clear" w:color="auto" w:fill="auto"/>
                  <w:noWrap/>
                  <w:vAlign w:val="center"/>
                </w:tcPr>
                <w:p w14:paraId="414E3075" w14:textId="77777777" w:rsidR="00692E71" w:rsidRPr="001E3185" w:rsidRDefault="00692E71" w:rsidP="008E0250">
                  <w:pPr>
                    <w:jc w:val="center"/>
                    <w:rPr>
                      <w:rFonts w:cs="Arial"/>
                    </w:rPr>
                  </w:pPr>
                  <w:r w:rsidRPr="001E3185">
                    <w:rPr>
                      <w:rFonts w:cs="Arial"/>
                    </w:rPr>
                    <w:t>4.26E-04</w:t>
                  </w:r>
                </w:p>
              </w:tc>
              <w:tc>
                <w:tcPr>
                  <w:tcW w:w="2078" w:type="pct"/>
                  <w:shd w:val="clear" w:color="auto" w:fill="auto"/>
                  <w:vAlign w:val="center"/>
                </w:tcPr>
                <w:p w14:paraId="6FA5DCD5" w14:textId="77777777" w:rsidR="00692E71" w:rsidRPr="001E3185" w:rsidRDefault="00692E71" w:rsidP="008E0250">
                  <w:pPr>
                    <w:jc w:val="center"/>
                    <w:rPr>
                      <w:rFonts w:cs="Arial"/>
                    </w:rPr>
                  </w:pPr>
                  <w:r w:rsidRPr="001E3185">
                    <w:rPr>
                      <w:rFonts w:cs="Arial"/>
                    </w:rPr>
                    <w:t>5.00E-04</w:t>
                  </w:r>
                </w:p>
              </w:tc>
            </w:tr>
            <w:tr w:rsidR="00692E71" w:rsidRPr="001E3185" w14:paraId="6EAD87C7" w14:textId="77777777" w:rsidTr="008E0250">
              <w:trPr>
                <w:trHeight w:val="340"/>
                <w:jc w:val="center"/>
              </w:trPr>
              <w:tc>
                <w:tcPr>
                  <w:tcW w:w="1095" w:type="pct"/>
                  <w:shd w:val="clear" w:color="auto" w:fill="auto"/>
                  <w:noWrap/>
                  <w:vAlign w:val="center"/>
                </w:tcPr>
                <w:p w14:paraId="617B94CF" w14:textId="77777777" w:rsidR="00692E71" w:rsidRPr="001E3185" w:rsidRDefault="00692E71" w:rsidP="008E0250">
                  <w:pPr>
                    <w:autoSpaceDE w:val="0"/>
                    <w:autoSpaceDN w:val="0"/>
                    <w:rPr>
                      <w:rFonts w:cs="Arial"/>
                    </w:rPr>
                  </w:pPr>
                  <w:r w:rsidRPr="001E3185">
                    <w:rPr>
                      <w:rFonts w:cs="Arial"/>
                    </w:rPr>
                    <w:t>IPBC</w:t>
                  </w:r>
                </w:p>
              </w:tc>
              <w:tc>
                <w:tcPr>
                  <w:tcW w:w="1827" w:type="pct"/>
                  <w:shd w:val="clear" w:color="auto" w:fill="auto"/>
                  <w:noWrap/>
                  <w:vAlign w:val="center"/>
                </w:tcPr>
                <w:p w14:paraId="5D08B372" w14:textId="77777777" w:rsidR="00692E71" w:rsidRPr="001E3185" w:rsidRDefault="00692E71" w:rsidP="008E0250">
                  <w:pPr>
                    <w:jc w:val="center"/>
                    <w:rPr>
                      <w:rFonts w:cs="Arial"/>
                    </w:rPr>
                  </w:pPr>
                  <w:r w:rsidRPr="001E3185">
                    <w:rPr>
                      <w:rFonts w:cs="Arial"/>
                    </w:rPr>
                    <w:t>1.65E-05</w:t>
                  </w:r>
                </w:p>
              </w:tc>
              <w:tc>
                <w:tcPr>
                  <w:tcW w:w="2078" w:type="pct"/>
                  <w:shd w:val="clear" w:color="auto" w:fill="auto"/>
                  <w:vAlign w:val="center"/>
                </w:tcPr>
                <w:p w14:paraId="31D90BFC" w14:textId="77777777" w:rsidR="00692E71" w:rsidRPr="001E3185" w:rsidRDefault="00692E71" w:rsidP="008E0250">
                  <w:pPr>
                    <w:jc w:val="center"/>
                    <w:rPr>
                      <w:rFonts w:cs="Arial"/>
                    </w:rPr>
                  </w:pPr>
                  <w:r w:rsidRPr="001E3185">
                    <w:rPr>
                      <w:rFonts w:cs="Arial"/>
                    </w:rPr>
                    <w:t>1.65E-05</w:t>
                  </w:r>
                </w:p>
              </w:tc>
            </w:tr>
            <w:tr w:rsidR="00692E71" w:rsidRPr="001E3185" w14:paraId="2B5BDFF1" w14:textId="77777777" w:rsidTr="008E0250">
              <w:trPr>
                <w:trHeight w:val="340"/>
                <w:jc w:val="center"/>
              </w:trPr>
              <w:tc>
                <w:tcPr>
                  <w:tcW w:w="1095" w:type="pct"/>
                  <w:shd w:val="clear" w:color="auto" w:fill="auto"/>
                  <w:noWrap/>
                  <w:vAlign w:val="center"/>
                </w:tcPr>
                <w:p w14:paraId="123ED734" w14:textId="77777777" w:rsidR="00692E71" w:rsidRPr="001E3185" w:rsidRDefault="00692E71" w:rsidP="008E0250">
                  <w:pPr>
                    <w:autoSpaceDE w:val="0"/>
                    <w:autoSpaceDN w:val="0"/>
                    <w:rPr>
                      <w:rFonts w:cs="Arial"/>
                    </w:rPr>
                  </w:pPr>
                  <w:r w:rsidRPr="001E3185">
                    <w:rPr>
                      <w:rFonts w:cs="Arial"/>
                    </w:rPr>
                    <w:t>PBC</w:t>
                  </w:r>
                </w:p>
              </w:tc>
              <w:tc>
                <w:tcPr>
                  <w:tcW w:w="1827" w:type="pct"/>
                  <w:shd w:val="clear" w:color="auto" w:fill="auto"/>
                  <w:noWrap/>
                  <w:vAlign w:val="center"/>
                </w:tcPr>
                <w:p w14:paraId="0FD2ADC0" w14:textId="77777777" w:rsidR="00692E71" w:rsidRPr="001E3185" w:rsidRDefault="00692E71" w:rsidP="008E0250">
                  <w:pPr>
                    <w:jc w:val="center"/>
                    <w:rPr>
                      <w:rFonts w:cs="Arial"/>
                    </w:rPr>
                  </w:pPr>
                  <w:r w:rsidRPr="001E3185">
                    <w:rPr>
                      <w:rFonts w:cs="Arial"/>
                    </w:rPr>
                    <w:t>4.94E-04</w:t>
                  </w:r>
                </w:p>
              </w:tc>
              <w:tc>
                <w:tcPr>
                  <w:tcW w:w="2078" w:type="pct"/>
                  <w:shd w:val="clear" w:color="auto" w:fill="auto"/>
                  <w:vAlign w:val="center"/>
                </w:tcPr>
                <w:p w14:paraId="206059A5" w14:textId="77777777" w:rsidR="00692E71" w:rsidRPr="001E3185" w:rsidRDefault="00692E71" w:rsidP="008E0250">
                  <w:pPr>
                    <w:jc w:val="center"/>
                    <w:rPr>
                      <w:rFonts w:cs="Arial"/>
                    </w:rPr>
                  </w:pPr>
                  <w:r w:rsidRPr="001E3185">
                    <w:rPr>
                      <w:rFonts w:cs="Arial"/>
                    </w:rPr>
                    <w:t>4.99E-04</w:t>
                  </w:r>
                </w:p>
              </w:tc>
            </w:tr>
            <w:tr w:rsidR="00692E71" w:rsidRPr="001E3185" w14:paraId="2FE56C62" w14:textId="77777777" w:rsidTr="008E0250">
              <w:trPr>
                <w:trHeight w:val="340"/>
                <w:jc w:val="center"/>
              </w:trPr>
              <w:tc>
                <w:tcPr>
                  <w:tcW w:w="1095" w:type="pct"/>
                  <w:shd w:val="clear" w:color="auto" w:fill="auto"/>
                  <w:noWrap/>
                  <w:vAlign w:val="center"/>
                </w:tcPr>
                <w:p w14:paraId="7EAAE196" w14:textId="77777777" w:rsidR="00692E71" w:rsidRPr="001E3185" w:rsidRDefault="00692E71" w:rsidP="008E0250">
                  <w:pPr>
                    <w:autoSpaceDE w:val="0"/>
                    <w:autoSpaceDN w:val="0"/>
                    <w:rPr>
                      <w:rFonts w:cs="Arial"/>
                    </w:rPr>
                  </w:pPr>
                  <w:r w:rsidRPr="001E3185">
                    <w:rPr>
                      <w:rFonts w:cs="Arial"/>
                    </w:rPr>
                    <w:t>1,2,4-triazole</w:t>
                  </w:r>
                </w:p>
              </w:tc>
              <w:tc>
                <w:tcPr>
                  <w:tcW w:w="1827" w:type="pct"/>
                  <w:shd w:val="clear" w:color="auto" w:fill="auto"/>
                  <w:noWrap/>
                  <w:vAlign w:val="center"/>
                </w:tcPr>
                <w:p w14:paraId="7C9D2ACE" w14:textId="77777777" w:rsidR="00692E71" w:rsidRPr="001E3185" w:rsidRDefault="00692E71" w:rsidP="008E0250">
                  <w:pPr>
                    <w:jc w:val="center"/>
                    <w:rPr>
                      <w:rFonts w:cs="Arial"/>
                    </w:rPr>
                  </w:pPr>
                  <w:r w:rsidRPr="001E3185">
                    <w:rPr>
                      <w:rFonts w:cs="Arial"/>
                    </w:rPr>
                    <w:t>4.68E-03</w:t>
                  </w:r>
                </w:p>
              </w:tc>
              <w:tc>
                <w:tcPr>
                  <w:tcW w:w="2078" w:type="pct"/>
                  <w:shd w:val="clear" w:color="auto" w:fill="auto"/>
                  <w:vAlign w:val="center"/>
                </w:tcPr>
                <w:p w14:paraId="34800FA8" w14:textId="77777777" w:rsidR="00692E71" w:rsidRPr="001E3185" w:rsidRDefault="00692E71" w:rsidP="008E0250">
                  <w:pPr>
                    <w:jc w:val="center"/>
                    <w:rPr>
                      <w:rFonts w:cs="Arial"/>
                    </w:rPr>
                  </w:pPr>
                  <w:r w:rsidRPr="001E3185">
                    <w:rPr>
                      <w:rFonts w:cs="Arial"/>
                    </w:rPr>
                    <w:t>4.94E-03</w:t>
                  </w:r>
                </w:p>
              </w:tc>
            </w:tr>
            <w:tr w:rsidR="00692E71" w:rsidRPr="001E3185" w14:paraId="1AD96BA6" w14:textId="77777777" w:rsidTr="008E0250">
              <w:trPr>
                <w:trHeight w:val="397"/>
                <w:jc w:val="center"/>
              </w:trPr>
              <w:tc>
                <w:tcPr>
                  <w:tcW w:w="5000" w:type="pct"/>
                  <w:gridSpan w:val="3"/>
                  <w:shd w:val="clear" w:color="auto" w:fill="auto"/>
                  <w:noWrap/>
                  <w:vAlign w:val="center"/>
                  <w:hideMark/>
                </w:tcPr>
                <w:p w14:paraId="0F7BC8F7" w14:textId="77777777" w:rsidR="00692E71" w:rsidRPr="001E3185" w:rsidRDefault="00692E71" w:rsidP="008E0250">
                  <w:pPr>
                    <w:jc w:val="center"/>
                    <w:rPr>
                      <w:rFonts w:cs="Arial"/>
                      <w:b/>
                      <w:bCs/>
                    </w:rPr>
                  </w:pPr>
                  <w:r w:rsidRPr="001E3185">
                    <w:rPr>
                      <w:rFonts w:cs="Arial"/>
                      <w:b/>
                      <w:bCs/>
                      <w:iCs/>
                    </w:rPr>
                    <w:t>Spray application + Treated wood in service</w:t>
                  </w:r>
                </w:p>
              </w:tc>
            </w:tr>
            <w:tr w:rsidR="00692E71" w:rsidRPr="001E3185" w14:paraId="78FE1856" w14:textId="77777777" w:rsidTr="008E0250">
              <w:trPr>
                <w:trHeight w:val="340"/>
                <w:jc w:val="center"/>
              </w:trPr>
              <w:tc>
                <w:tcPr>
                  <w:tcW w:w="5000" w:type="pct"/>
                  <w:gridSpan w:val="3"/>
                  <w:shd w:val="clear" w:color="auto" w:fill="auto"/>
                  <w:noWrap/>
                  <w:vAlign w:val="center"/>
                </w:tcPr>
                <w:p w14:paraId="22037076" w14:textId="77777777" w:rsidR="00692E71" w:rsidRPr="001E3185" w:rsidRDefault="00692E71" w:rsidP="008E0250">
                  <w:pPr>
                    <w:rPr>
                      <w:rFonts w:cs="Arial"/>
                    </w:rPr>
                  </w:pPr>
                  <w:r w:rsidRPr="001E3185">
                    <w:rPr>
                      <w:rFonts w:cs="Arial"/>
                      <w:b/>
                    </w:rPr>
                    <w:t xml:space="preserve">PEC </w:t>
                  </w:r>
                  <w:r w:rsidRPr="001E3185">
                    <w:rPr>
                      <w:rFonts w:cs="Arial"/>
                      <w:b/>
                      <w:vertAlign w:val="subscript"/>
                    </w:rPr>
                    <w:t>LOCAL</w:t>
                  </w:r>
                  <w:r w:rsidRPr="001E3185">
                    <w:rPr>
                      <w:rFonts w:cs="Arial"/>
                      <w:b/>
                    </w:rPr>
                    <w:t xml:space="preserve"> </w:t>
                  </w:r>
                  <w:r w:rsidRPr="001E3185">
                    <w:rPr>
                      <w:rFonts w:cs="Arial"/>
                      <w:b/>
                      <w:vertAlign w:val="subscript"/>
                    </w:rPr>
                    <w:t>SOIL</w:t>
                  </w:r>
                  <w:r w:rsidRPr="001E3185">
                    <w:rPr>
                      <w:rFonts w:cs="Arial"/>
                      <w:b/>
                    </w:rPr>
                    <w:t>,</w:t>
                  </w:r>
                  <w:r w:rsidRPr="001E3185">
                    <w:rPr>
                      <w:rFonts w:cs="Arial"/>
                    </w:rPr>
                    <w:t xml:space="preserve"> </w:t>
                  </w:r>
                  <w:r w:rsidRPr="001E3185">
                    <w:rPr>
                      <w:rFonts w:cs="Arial"/>
                      <w:b/>
                    </w:rPr>
                    <w:t xml:space="preserve">TWA concentration, TIME 1 - Tier 1 </w:t>
                  </w: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77DF2747" w14:textId="77777777" w:rsidTr="008E0250">
              <w:trPr>
                <w:trHeight w:val="340"/>
                <w:jc w:val="center"/>
              </w:trPr>
              <w:tc>
                <w:tcPr>
                  <w:tcW w:w="1095" w:type="pct"/>
                  <w:shd w:val="clear" w:color="auto" w:fill="auto"/>
                  <w:noWrap/>
                  <w:vAlign w:val="center"/>
                </w:tcPr>
                <w:p w14:paraId="46F8814B" w14:textId="77777777" w:rsidR="00692E71" w:rsidRPr="001E3185" w:rsidRDefault="00692E71" w:rsidP="008E0250">
                  <w:pPr>
                    <w:rPr>
                      <w:rFonts w:cs="Arial"/>
                    </w:rPr>
                  </w:pPr>
                  <w:r w:rsidRPr="001E3185">
                    <w:rPr>
                      <w:rFonts w:cs="Arial"/>
                    </w:rPr>
                    <w:t>Tebuconazole</w:t>
                  </w:r>
                </w:p>
              </w:tc>
              <w:tc>
                <w:tcPr>
                  <w:tcW w:w="3905" w:type="pct"/>
                  <w:gridSpan w:val="2"/>
                  <w:shd w:val="clear" w:color="auto" w:fill="auto"/>
                  <w:noWrap/>
                  <w:vAlign w:val="center"/>
                </w:tcPr>
                <w:p w14:paraId="4685035F" w14:textId="77777777" w:rsidR="00692E71" w:rsidRPr="001E3185" w:rsidRDefault="00692E71" w:rsidP="008E0250">
                  <w:pPr>
                    <w:jc w:val="center"/>
                    <w:rPr>
                      <w:rFonts w:cs="Arial"/>
                    </w:rPr>
                  </w:pPr>
                  <w:r w:rsidRPr="001E3185">
                    <w:rPr>
                      <w:rFonts w:cs="Arial"/>
                    </w:rPr>
                    <w:t>1.71E-01</w:t>
                  </w:r>
                </w:p>
              </w:tc>
            </w:tr>
            <w:tr w:rsidR="00692E71" w:rsidRPr="001E3185" w14:paraId="1702EDCF" w14:textId="77777777" w:rsidTr="008E0250">
              <w:trPr>
                <w:trHeight w:val="340"/>
                <w:jc w:val="center"/>
              </w:trPr>
              <w:tc>
                <w:tcPr>
                  <w:tcW w:w="1095" w:type="pct"/>
                  <w:shd w:val="clear" w:color="auto" w:fill="auto"/>
                  <w:noWrap/>
                  <w:vAlign w:val="center"/>
                </w:tcPr>
                <w:p w14:paraId="46F2D1D8" w14:textId="77777777" w:rsidR="00692E71" w:rsidRPr="001E3185" w:rsidRDefault="00692E71" w:rsidP="008E0250">
                  <w:pPr>
                    <w:rPr>
                      <w:rFonts w:cs="Arial"/>
                    </w:rPr>
                  </w:pPr>
                  <w:r w:rsidRPr="001E3185">
                    <w:rPr>
                      <w:rFonts w:cs="Arial"/>
                    </w:rPr>
                    <w:t>Propiconazole</w:t>
                  </w:r>
                </w:p>
              </w:tc>
              <w:tc>
                <w:tcPr>
                  <w:tcW w:w="3905" w:type="pct"/>
                  <w:gridSpan w:val="2"/>
                  <w:shd w:val="clear" w:color="auto" w:fill="auto"/>
                  <w:noWrap/>
                  <w:vAlign w:val="center"/>
                </w:tcPr>
                <w:p w14:paraId="6C691977" w14:textId="77777777" w:rsidR="00692E71" w:rsidRPr="001E3185" w:rsidRDefault="00692E71" w:rsidP="008E0250">
                  <w:pPr>
                    <w:jc w:val="center"/>
                    <w:rPr>
                      <w:rFonts w:cs="Arial"/>
                    </w:rPr>
                  </w:pPr>
                  <w:r w:rsidRPr="001E3185">
                    <w:rPr>
                      <w:rFonts w:cs="Arial"/>
                    </w:rPr>
                    <w:t>5.32E-01</w:t>
                  </w:r>
                </w:p>
              </w:tc>
            </w:tr>
            <w:tr w:rsidR="00692E71" w:rsidRPr="001E3185" w14:paraId="1249A0E5" w14:textId="77777777" w:rsidTr="008E0250">
              <w:trPr>
                <w:trHeight w:val="340"/>
                <w:jc w:val="center"/>
              </w:trPr>
              <w:tc>
                <w:tcPr>
                  <w:tcW w:w="1095" w:type="pct"/>
                  <w:shd w:val="clear" w:color="auto" w:fill="auto"/>
                  <w:noWrap/>
                  <w:vAlign w:val="center"/>
                </w:tcPr>
                <w:p w14:paraId="6669D02D" w14:textId="77777777" w:rsidR="00692E71" w:rsidRPr="001E3185" w:rsidRDefault="00692E71" w:rsidP="008E0250">
                  <w:pPr>
                    <w:rPr>
                      <w:rFonts w:cs="Arial"/>
                    </w:rPr>
                  </w:pPr>
                  <w:r w:rsidRPr="001E3185">
                    <w:rPr>
                      <w:rFonts w:cs="Arial"/>
                    </w:rPr>
                    <w:t>Cypermethrin</w:t>
                  </w:r>
                </w:p>
              </w:tc>
              <w:tc>
                <w:tcPr>
                  <w:tcW w:w="3905" w:type="pct"/>
                  <w:gridSpan w:val="2"/>
                  <w:shd w:val="clear" w:color="auto" w:fill="auto"/>
                  <w:noWrap/>
                  <w:vAlign w:val="center"/>
                </w:tcPr>
                <w:p w14:paraId="04642E1C" w14:textId="77777777" w:rsidR="00692E71" w:rsidRPr="001E3185" w:rsidRDefault="00692E71" w:rsidP="008E0250">
                  <w:pPr>
                    <w:jc w:val="center"/>
                    <w:rPr>
                      <w:rFonts w:cs="Arial"/>
                    </w:rPr>
                  </w:pPr>
                  <w:r w:rsidRPr="001E3185">
                    <w:rPr>
                      <w:rFonts w:cs="Arial"/>
                    </w:rPr>
                    <w:t>1.58E-01</w:t>
                  </w:r>
                </w:p>
              </w:tc>
            </w:tr>
            <w:tr w:rsidR="00692E71" w:rsidRPr="001E3185" w14:paraId="2BE6E40A" w14:textId="77777777" w:rsidTr="008E0250">
              <w:trPr>
                <w:trHeight w:val="340"/>
                <w:jc w:val="center"/>
              </w:trPr>
              <w:tc>
                <w:tcPr>
                  <w:tcW w:w="1095" w:type="pct"/>
                  <w:shd w:val="clear" w:color="auto" w:fill="auto"/>
                  <w:noWrap/>
                  <w:vAlign w:val="center"/>
                </w:tcPr>
                <w:p w14:paraId="2DAE37ED" w14:textId="77777777" w:rsidR="00692E71" w:rsidRPr="001E3185" w:rsidRDefault="00692E71" w:rsidP="008E0250">
                  <w:pPr>
                    <w:autoSpaceDE w:val="0"/>
                    <w:autoSpaceDN w:val="0"/>
                    <w:rPr>
                      <w:rFonts w:cs="Arial"/>
                    </w:rPr>
                  </w:pPr>
                  <w:r w:rsidRPr="001E3185">
                    <w:rPr>
                      <w:rFonts w:cs="Arial"/>
                    </w:rPr>
                    <w:t>IPBC</w:t>
                  </w:r>
                </w:p>
              </w:tc>
              <w:tc>
                <w:tcPr>
                  <w:tcW w:w="3905" w:type="pct"/>
                  <w:gridSpan w:val="2"/>
                  <w:shd w:val="clear" w:color="auto" w:fill="auto"/>
                  <w:noWrap/>
                  <w:vAlign w:val="center"/>
                </w:tcPr>
                <w:p w14:paraId="0FA4448F" w14:textId="77777777" w:rsidR="00692E71" w:rsidRPr="001E3185" w:rsidRDefault="00692E71" w:rsidP="008E0250">
                  <w:pPr>
                    <w:jc w:val="center"/>
                    <w:rPr>
                      <w:rFonts w:cs="Arial"/>
                    </w:rPr>
                  </w:pPr>
                  <w:r w:rsidRPr="001E3185">
                    <w:rPr>
                      <w:rFonts w:cs="Arial"/>
                    </w:rPr>
                    <w:t>1.87E-03</w:t>
                  </w:r>
                </w:p>
              </w:tc>
            </w:tr>
            <w:tr w:rsidR="00692E71" w:rsidRPr="001E3185" w14:paraId="1064A646" w14:textId="77777777" w:rsidTr="008E0250">
              <w:trPr>
                <w:trHeight w:val="340"/>
                <w:jc w:val="center"/>
              </w:trPr>
              <w:tc>
                <w:tcPr>
                  <w:tcW w:w="1095" w:type="pct"/>
                  <w:shd w:val="clear" w:color="auto" w:fill="auto"/>
                  <w:noWrap/>
                  <w:vAlign w:val="center"/>
                </w:tcPr>
                <w:p w14:paraId="53C70F0D" w14:textId="77777777" w:rsidR="00692E71" w:rsidRPr="001E3185" w:rsidRDefault="00692E71" w:rsidP="008E0250">
                  <w:pPr>
                    <w:autoSpaceDE w:val="0"/>
                    <w:autoSpaceDN w:val="0"/>
                    <w:rPr>
                      <w:rFonts w:cs="Arial"/>
                    </w:rPr>
                  </w:pPr>
                  <w:r w:rsidRPr="001E3185">
                    <w:rPr>
                      <w:rFonts w:cs="Arial"/>
                    </w:rPr>
                    <w:t>PBC</w:t>
                  </w:r>
                </w:p>
              </w:tc>
              <w:tc>
                <w:tcPr>
                  <w:tcW w:w="3905" w:type="pct"/>
                  <w:gridSpan w:val="2"/>
                  <w:shd w:val="clear" w:color="auto" w:fill="auto"/>
                  <w:noWrap/>
                  <w:vAlign w:val="center"/>
                </w:tcPr>
                <w:p w14:paraId="16994123" w14:textId="77777777" w:rsidR="00692E71" w:rsidRPr="001E3185" w:rsidRDefault="00692E71" w:rsidP="008E0250">
                  <w:pPr>
                    <w:jc w:val="center"/>
                    <w:rPr>
                      <w:rFonts w:cs="Arial"/>
                    </w:rPr>
                  </w:pPr>
                  <w:r w:rsidRPr="001E3185">
                    <w:rPr>
                      <w:rFonts w:cs="Arial"/>
                    </w:rPr>
                    <w:t>4.23E-02</w:t>
                  </w:r>
                </w:p>
              </w:tc>
            </w:tr>
            <w:tr w:rsidR="00692E71" w:rsidRPr="001E3185" w14:paraId="0135CE04" w14:textId="77777777" w:rsidTr="008E0250">
              <w:trPr>
                <w:trHeight w:val="340"/>
                <w:jc w:val="center"/>
              </w:trPr>
              <w:tc>
                <w:tcPr>
                  <w:tcW w:w="1095" w:type="pct"/>
                  <w:shd w:val="clear" w:color="auto" w:fill="auto"/>
                  <w:noWrap/>
                  <w:vAlign w:val="center"/>
                </w:tcPr>
                <w:p w14:paraId="004B74A5" w14:textId="77777777" w:rsidR="00692E71" w:rsidRPr="001E3185" w:rsidRDefault="00692E71" w:rsidP="008E0250">
                  <w:pPr>
                    <w:autoSpaceDE w:val="0"/>
                    <w:autoSpaceDN w:val="0"/>
                    <w:rPr>
                      <w:rFonts w:cs="Arial"/>
                    </w:rPr>
                  </w:pPr>
                  <w:r w:rsidRPr="001E3185">
                    <w:rPr>
                      <w:rFonts w:cs="Arial"/>
                    </w:rPr>
                    <w:t>1,2,4-triazole</w:t>
                  </w:r>
                </w:p>
              </w:tc>
              <w:tc>
                <w:tcPr>
                  <w:tcW w:w="3905" w:type="pct"/>
                  <w:gridSpan w:val="2"/>
                  <w:shd w:val="clear" w:color="auto" w:fill="auto"/>
                  <w:noWrap/>
                  <w:vAlign w:val="center"/>
                </w:tcPr>
                <w:p w14:paraId="69C68DAB" w14:textId="77777777" w:rsidR="00692E71" w:rsidRPr="001E3185" w:rsidRDefault="00692E71" w:rsidP="008E0250">
                  <w:pPr>
                    <w:jc w:val="center"/>
                    <w:rPr>
                      <w:rFonts w:cs="Arial"/>
                    </w:rPr>
                  </w:pPr>
                  <w:r w:rsidRPr="001E3185">
                    <w:rPr>
                      <w:rFonts w:cs="Arial"/>
                    </w:rPr>
                    <w:t>5.16E-02</w:t>
                  </w:r>
                </w:p>
              </w:tc>
            </w:tr>
            <w:tr w:rsidR="00692E71" w:rsidRPr="001E3185" w14:paraId="451AE7B9" w14:textId="77777777" w:rsidTr="008E0250">
              <w:trPr>
                <w:trHeight w:val="340"/>
                <w:jc w:val="center"/>
              </w:trPr>
              <w:tc>
                <w:tcPr>
                  <w:tcW w:w="5000" w:type="pct"/>
                  <w:gridSpan w:val="3"/>
                  <w:shd w:val="clear" w:color="auto" w:fill="auto"/>
                  <w:noWrap/>
                  <w:vAlign w:val="center"/>
                </w:tcPr>
                <w:p w14:paraId="082D18BE" w14:textId="77777777" w:rsidR="00692E71" w:rsidRPr="001E3185" w:rsidRDefault="00692E71" w:rsidP="008E0250">
                  <w:pPr>
                    <w:rPr>
                      <w:rFonts w:cs="Arial"/>
                    </w:rPr>
                  </w:pPr>
                  <w:r w:rsidRPr="001E3185">
                    <w:rPr>
                      <w:rFonts w:cs="Arial"/>
                      <w:b/>
                    </w:rPr>
                    <w:t xml:space="preserve">PEC </w:t>
                  </w:r>
                  <w:r w:rsidRPr="001E3185">
                    <w:rPr>
                      <w:rFonts w:cs="Arial"/>
                      <w:b/>
                      <w:vertAlign w:val="subscript"/>
                    </w:rPr>
                    <w:t>LOCAL</w:t>
                  </w:r>
                  <w:r w:rsidRPr="001E3185">
                    <w:rPr>
                      <w:rFonts w:cs="Arial"/>
                      <w:b/>
                    </w:rPr>
                    <w:t xml:space="preserve"> </w:t>
                  </w:r>
                  <w:r w:rsidRPr="001E3185">
                    <w:rPr>
                      <w:rFonts w:cs="Arial"/>
                      <w:b/>
                      <w:vertAlign w:val="subscript"/>
                    </w:rPr>
                    <w:t>SOIL</w:t>
                  </w:r>
                  <w:r w:rsidRPr="001E3185">
                    <w:rPr>
                      <w:rFonts w:cs="Arial"/>
                      <w:b/>
                    </w:rPr>
                    <w:t>,</w:t>
                  </w:r>
                  <w:r w:rsidRPr="001E3185">
                    <w:rPr>
                      <w:rFonts w:cs="Arial"/>
                    </w:rPr>
                    <w:t xml:space="preserve"> </w:t>
                  </w:r>
                  <w:r w:rsidRPr="001E3185">
                    <w:rPr>
                      <w:rFonts w:cs="Arial"/>
                      <w:b/>
                    </w:rPr>
                    <w:t xml:space="preserve">TWA concentration, TIME 2 - Tier 1 </w:t>
                  </w: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34C318F9" w14:textId="77777777" w:rsidTr="008E0250">
              <w:trPr>
                <w:trHeight w:val="340"/>
                <w:jc w:val="center"/>
              </w:trPr>
              <w:tc>
                <w:tcPr>
                  <w:tcW w:w="1095" w:type="pct"/>
                  <w:shd w:val="clear" w:color="auto" w:fill="auto"/>
                  <w:noWrap/>
                  <w:vAlign w:val="center"/>
                </w:tcPr>
                <w:p w14:paraId="34387A1D" w14:textId="77777777" w:rsidR="00692E71" w:rsidRPr="001E3185" w:rsidRDefault="00692E71" w:rsidP="008E0250">
                  <w:pPr>
                    <w:rPr>
                      <w:rFonts w:cs="Arial"/>
                    </w:rPr>
                  </w:pPr>
                  <w:r w:rsidRPr="001E3185">
                    <w:rPr>
                      <w:rFonts w:cs="Arial"/>
                    </w:rPr>
                    <w:t>Tebuconazole</w:t>
                  </w:r>
                </w:p>
              </w:tc>
              <w:tc>
                <w:tcPr>
                  <w:tcW w:w="3905" w:type="pct"/>
                  <w:gridSpan w:val="2"/>
                  <w:shd w:val="clear" w:color="auto" w:fill="auto"/>
                  <w:noWrap/>
                  <w:vAlign w:val="center"/>
                </w:tcPr>
                <w:p w14:paraId="75B17ADB" w14:textId="77777777" w:rsidR="00692E71" w:rsidRPr="001E3185" w:rsidRDefault="00692E71" w:rsidP="008E0250">
                  <w:pPr>
                    <w:jc w:val="center"/>
                    <w:rPr>
                      <w:rFonts w:cs="Arial"/>
                    </w:rPr>
                  </w:pPr>
                  <w:r w:rsidRPr="001E3185">
                    <w:rPr>
                      <w:rFonts w:cs="Arial"/>
                    </w:rPr>
                    <w:t>2.00E-02</w:t>
                  </w:r>
                </w:p>
              </w:tc>
            </w:tr>
            <w:tr w:rsidR="00692E71" w:rsidRPr="001E3185" w14:paraId="02FF931B" w14:textId="77777777" w:rsidTr="008E0250">
              <w:trPr>
                <w:trHeight w:val="340"/>
                <w:jc w:val="center"/>
              </w:trPr>
              <w:tc>
                <w:tcPr>
                  <w:tcW w:w="1095" w:type="pct"/>
                  <w:shd w:val="clear" w:color="auto" w:fill="auto"/>
                  <w:noWrap/>
                  <w:vAlign w:val="center"/>
                </w:tcPr>
                <w:p w14:paraId="3BA1D436" w14:textId="77777777" w:rsidR="00692E71" w:rsidRPr="001E3185" w:rsidRDefault="00692E71" w:rsidP="008E0250">
                  <w:pPr>
                    <w:rPr>
                      <w:rFonts w:cs="Arial"/>
                    </w:rPr>
                  </w:pPr>
                  <w:r w:rsidRPr="001E3185">
                    <w:rPr>
                      <w:rFonts w:cs="Arial"/>
                    </w:rPr>
                    <w:t>Propiconazole</w:t>
                  </w:r>
                </w:p>
              </w:tc>
              <w:tc>
                <w:tcPr>
                  <w:tcW w:w="3905" w:type="pct"/>
                  <w:gridSpan w:val="2"/>
                  <w:shd w:val="clear" w:color="auto" w:fill="auto"/>
                  <w:noWrap/>
                  <w:vAlign w:val="center"/>
                </w:tcPr>
                <w:p w14:paraId="4A56E798" w14:textId="77777777" w:rsidR="00692E71" w:rsidRPr="001E3185" w:rsidRDefault="00692E71" w:rsidP="008E0250">
                  <w:pPr>
                    <w:jc w:val="center"/>
                    <w:rPr>
                      <w:rFonts w:cs="Arial"/>
                    </w:rPr>
                  </w:pPr>
                  <w:r w:rsidRPr="001E3185">
                    <w:rPr>
                      <w:rFonts w:cs="Arial"/>
                    </w:rPr>
                    <w:t>6.01E-02</w:t>
                  </w:r>
                </w:p>
              </w:tc>
            </w:tr>
            <w:tr w:rsidR="00692E71" w:rsidRPr="001E3185" w14:paraId="64F939F4" w14:textId="77777777" w:rsidTr="008E0250">
              <w:trPr>
                <w:trHeight w:val="340"/>
                <w:jc w:val="center"/>
              </w:trPr>
              <w:tc>
                <w:tcPr>
                  <w:tcW w:w="1095" w:type="pct"/>
                  <w:shd w:val="clear" w:color="auto" w:fill="auto"/>
                  <w:noWrap/>
                  <w:vAlign w:val="center"/>
                </w:tcPr>
                <w:p w14:paraId="21BB20F7" w14:textId="77777777" w:rsidR="00692E71" w:rsidRPr="001E3185" w:rsidRDefault="00692E71" w:rsidP="008E0250">
                  <w:pPr>
                    <w:rPr>
                      <w:rFonts w:cs="Arial"/>
                    </w:rPr>
                  </w:pPr>
                  <w:r w:rsidRPr="001E3185">
                    <w:rPr>
                      <w:rFonts w:cs="Arial"/>
                    </w:rPr>
                    <w:t>Cypermethrin</w:t>
                  </w:r>
                </w:p>
              </w:tc>
              <w:tc>
                <w:tcPr>
                  <w:tcW w:w="3905" w:type="pct"/>
                  <w:gridSpan w:val="2"/>
                  <w:shd w:val="clear" w:color="auto" w:fill="auto"/>
                  <w:noWrap/>
                  <w:vAlign w:val="center"/>
                </w:tcPr>
                <w:p w14:paraId="22EC7961" w14:textId="77777777" w:rsidR="00692E71" w:rsidRPr="001E3185" w:rsidRDefault="00692E71" w:rsidP="008E0250">
                  <w:pPr>
                    <w:jc w:val="center"/>
                    <w:rPr>
                      <w:rFonts w:cs="Arial"/>
                    </w:rPr>
                  </w:pPr>
                  <w:r w:rsidRPr="001E3185">
                    <w:rPr>
                      <w:rFonts w:cs="Arial"/>
                    </w:rPr>
                    <w:t>1.42E-03</w:t>
                  </w:r>
                </w:p>
              </w:tc>
            </w:tr>
            <w:tr w:rsidR="00692E71" w:rsidRPr="001E3185" w14:paraId="7681A27A" w14:textId="77777777" w:rsidTr="008E0250">
              <w:trPr>
                <w:trHeight w:val="340"/>
                <w:jc w:val="center"/>
              </w:trPr>
              <w:tc>
                <w:tcPr>
                  <w:tcW w:w="1095" w:type="pct"/>
                  <w:shd w:val="clear" w:color="auto" w:fill="auto"/>
                  <w:noWrap/>
                  <w:vAlign w:val="center"/>
                </w:tcPr>
                <w:p w14:paraId="48313CED" w14:textId="77777777" w:rsidR="00692E71" w:rsidRPr="001E3185" w:rsidRDefault="00692E71" w:rsidP="008E0250">
                  <w:pPr>
                    <w:autoSpaceDE w:val="0"/>
                    <w:autoSpaceDN w:val="0"/>
                    <w:rPr>
                      <w:rFonts w:cs="Arial"/>
                    </w:rPr>
                  </w:pPr>
                  <w:r w:rsidRPr="001E3185">
                    <w:rPr>
                      <w:rFonts w:cs="Arial"/>
                    </w:rPr>
                    <w:t>IPBC</w:t>
                  </w:r>
                </w:p>
              </w:tc>
              <w:tc>
                <w:tcPr>
                  <w:tcW w:w="3905" w:type="pct"/>
                  <w:gridSpan w:val="2"/>
                  <w:shd w:val="clear" w:color="auto" w:fill="auto"/>
                  <w:noWrap/>
                  <w:vAlign w:val="center"/>
                </w:tcPr>
                <w:p w14:paraId="23FB3088" w14:textId="77777777" w:rsidR="00692E71" w:rsidRPr="001E3185" w:rsidRDefault="00692E71" w:rsidP="008E0250">
                  <w:pPr>
                    <w:jc w:val="center"/>
                    <w:rPr>
                      <w:rFonts w:cs="Arial"/>
                    </w:rPr>
                  </w:pPr>
                  <w:r w:rsidRPr="001E3185">
                    <w:rPr>
                      <w:rFonts w:cs="Arial"/>
                    </w:rPr>
                    <w:t>1.65E-05</w:t>
                  </w:r>
                </w:p>
              </w:tc>
            </w:tr>
            <w:tr w:rsidR="00692E71" w:rsidRPr="001E3185" w14:paraId="0B8E03FB" w14:textId="77777777" w:rsidTr="008E0250">
              <w:trPr>
                <w:trHeight w:val="340"/>
                <w:jc w:val="center"/>
              </w:trPr>
              <w:tc>
                <w:tcPr>
                  <w:tcW w:w="1095" w:type="pct"/>
                  <w:shd w:val="clear" w:color="auto" w:fill="auto"/>
                  <w:noWrap/>
                  <w:vAlign w:val="center"/>
                </w:tcPr>
                <w:p w14:paraId="664310B0" w14:textId="77777777" w:rsidR="00692E71" w:rsidRPr="001E3185" w:rsidRDefault="00692E71" w:rsidP="008E0250">
                  <w:pPr>
                    <w:autoSpaceDE w:val="0"/>
                    <w:autoSpaceDN w:val="0"/>
                    <w:rPr>
                      <w:rFonts w:cs="Arial"/>
                    </w:rPr>
                  </w:pPr>
                  <w:r w:rsidRPr="001E3185">
                    <w:rPr>
                      <w:rFonts w:cs="Arial"/>
                    </w:rPr>
                    <w:t>PBC</w:t>
                  </w:r>
                </w:p>
              </w:tc>
              <w:tc>
                <w:tcPr>
                  <w:tcW w:w="3905" w:type="pct"/>
                  <w:gridSpan w:val="2"/>
                  <w:shd w:val="clear" w:color="auto" w:fill="auto"/>
                  <w:noWrap/>
                  <w:vAlign w:val="center"/>
                </w:tcPr>
                <w:p w14:paraId="35E41F35" w14:textId="77777777" w:rsidR="00692E71" w:rsidRPr="001E3185" w:rsidRDefault="00692E71" w:rsidP="008E0250">
                  <w:pPr>
                    <w:jc w:val="center"/>
                    <w:rPr>
                      <w:rFonts w:cs="Arial"/>
                    </w:rPr>
                  </w:pPr>
                  <w:r w:rsidRPr="001E3185">
                    <w:rPr>
                      <w:rFonts w:cs="Arial"/>
                    </w:rPr>
                    <w:t>5.65E-04</w:t>
                  </w:r>
                </w:p>
              </w:tc>
            </w:tr>
            <w:tr w:rsidR="00692E71" w:rsidRPr="001E3185" w14:paraId="0B7FF6B3" w14:textId="77777777" w:rsidTr="008E0250">
              <w:trPr>
                <w:trHeight w:val="340"/>
                <w:jc w:val="center"/>
              </w:trPr>
              <w:tc>
                <w:tcPr>
                  <w:tcW w:w="1095" w:type="pct"/>
                  <w:shd w:val="clear" w:color="auto" w:fill="auto"/>
                  <w:noWrap/>
                  <w:vAlign w:val="center"/>
                </w:tcPr>
                <w:p w14:paraId="623B71D9" w14:textId="77777777" w:rsidR="00692E71" w:rsidRPr="001E3185" w:rsidRDefault="00692E71" w:rsidP="008E0250">
                  <w:pPr>
                    <w:autoSpaceDE w:val="0"/>
                    <w:autoSpaceDN w:val="0"/>
                    <w:rPr>
                      <w:rFonts w:cs="Arial"/>
                    </w:rPr>
                  </w:pPr>
                  <w:r w:rsidRPr="001E3185">
                    <w:rPr>
                      <w:rFonts w:cs="Arial"/>
                    </w:rPr>
                    <w:t>1,2,4-triazole</w:t>
                  </w:r>
                </w:p>
              </w:tc>
              <w:tc>
                <w:tcPr>
                  <w:tcW w:w="3905" w:type="pct"/>
                  <w:gridSpan w:val="2"/>
                  <w:shd w:val="clear" w:color="auto" w:fill="auto"/>
                  <w:noWrap/>
                  <w:vAlign w:val="center"/>
                </w:tcPr>
                <w:p w14:paraId="1D8B7E7B" w14:textId="77777777" w:rsidR="00692E71" w:rsidRPr="001E3185" w:rsidRDefault="00692E71" w:rsidP="008E0250">
                  <w:pPr>
                    <w:jc w:val="center"/>
                    <w:rPr>
                      <w:rFonts w:cs="Arial"/>
                    </w:rPr>
                  </w:pPr>
                  <w:r w:rsidRPr="001E3185">
                    <w:rPr>
                      <w:rFonts w:cs="Arial"/>
                    </w:rPr>
                    <w:t>8.15E-03</w:t>
                  </w:r>
                </w:p>
              </w:tc>
            </w:tr>
          </w:tbl>
          <w:p w14:paraId="4727E57A" w14:textId="77777777" w:rsidR="00692E71" w:rsidRPr="001E3185" w:rsidRDefault="00692E71" w:rsidP="008E0250">
            <w:pPr>
              <w:autoSpaceDE w:val="0"/>
              <w:autoSpaceDN w:val="0"/>
              <w:ind w:right="142"/>
              <w:rPr>
                <w:rFonts w:cs="Arial"/>
              </w:rPr>
            </w:pPr>
          </w:p>
          <w:p w14:paraId="609B58DA" w14:textId="77777777" w:rsidR="00692E71" w:rsidRPr="001E3185" w:rsidRDefault="00692E71" w:rsidP="008E0250">
            <w:pPr>
              <w:autoSpaceDE w:val="0"/>
              <w:autoSpaceDN w:val="0"/>
              <w:ind w:right="142"/>
              <w:rPr>
                <w:rFonts w:cs="Arial"/>
              </w:rPr>
            </w:pPr>
          </w:p>
          <w:p w14:paraId="42AC93BD" w14:textId="77777777" w:rsidR="00692E71" w:rsidRPr="001E3185" w:rsidRDefault="00692E71" w:rsidP="008E0250">
            <w:pPr>
              <w:autoSpaceDE w:val="0"/>
              <w:autoSpaceDN w:val="0"/>
              <w:ind w:right="142"/>
              <w:rPr>
                <w:rFonts w:cs="Arial"/>
              </w:rPr>
            </w:pPr>
          </w:p>
          <w:p w14:paraId="71AC8CC1" w14:textId="77777777" w:rsidR="00692E71" w:rsidRPr="001E3185" w:rsidRDefault="00692E71" w:rsidP="00F32B7F">
            <w:pPr>
              <w:pStyle w:val="Lgende"/>
              <w:numPr>
                <w:ilvl w:val="1"/>
                <w:numId w:val="19"/>
              </w:numPr>
              <w:suppressAutoHyphens w:val="0"/>
              <w:spacing w:after="200"/>
              <w:rPr>
                <w:rFonts w:ascii="Verdana" w:hAnsi="Verdana"/>
              </w:rPr>
            </w:pPr>
            <w:r w:rsidRPr="001E3185">
              <w:rPr>
                <w:rFonts w:ascii="Verdana" w:hAnsi="Verdana"/>
              </w:rPr>
              <w:lastRenderedPageBreak/>
              <w:t>Indirect emissions to soil (via the STP) - Noise barrier scenario:</w:t>
            </w:r>
          </w:p>
          <w:p w14:paraId="03A0B2D1" w14:textId="77777777" w:rsidR="00692E71" w:rsidRPr="001E3185" w:rsidRDefault="00692E71" w:rsidP="008E0250">
            <w:pPr>
              <w:autoSpaceDE w:val="0"/>
              <w:autoSpaceDN w:val="0"/>
              <w:spacing w:before="240" w:after="60"/>
              <w:ind w:right="142"/>
              <w:rPr>
                <w:rFonts w:cs="Arial"/>
              </w:rPr>
            </w:pPr>
            <w:r w:rsidRPr="001E3185">
              <w:rPr>
                <w:rFonts w:cs="Arial"/>
              </w:rPr>
              <w:t xml:space="preserve">Indirect emissions to soil via spreading of STP sludge onto soil were used to calculate concentrations in soil according to the equations of the ECHA Guidance Vol.IV, par B (2015), with the following inputs. </w:t>
            </w:r>
          </w:p>
          <w:p w14:paraId="46F8A237" w14:textId="77777777" w:rsidR="00692E71" w:rsidRPr="001E3185" w:rsidRDefault="00692E71" w:rsidP="008E0250">
            <w:pPr>
              <w:autoSpaceDE w:val="0"/>
              <w:autoSpaceDN w:val="0"/>
              <w:spacing w:before="240" w:after="60"/>
              <w:ind w:right="142"/>
              <w:rPr>
                <w:rFonts w:cs="Arial"/>
              </w:rPr>
            </w:pPr>
          </w:p>
          <w:tbl>
            <w:tblPr>
              <w:tblW w:w="44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2866"/>
              <w:gridCol w:w="3112"/>
            </w:tblGrid>
            <w:tr w:rsidR="00692E71" w:rsidRPr="001E3185" w14:paraId="390582FD" w14:textId="77777777" w:rsidTr="008E0250">
              <w:trPr>
                <w:trHeight w:val="340"/>
                <w:jc w:val="center"/>
              </w:trPr>
              <w:tc>
                <w:tcPr>
                  <w:tcW w:w="5000" w:type="pct"/>
                  <w:gridSpan w:val="3"/>
                  <w:shd w:val="clear" w:color="auto" w:fill="auto"/>
                  <w:vAlign w:val="center"/>
                </w:tcPr>
                <w:p w14:paraId="4B73EADA" w14:textId="77777777" w:rsidR="00692E71" w:rsidRPr="001E3185" w:rsidRDefault="00692E71" w:rsidP="008E0250">
                  <w:pPr>
                    <w:autoSpaceDE w:val="0"/>
                    <w:autoSpaceDN w:val="0"/>
                    <w:ind w:right="142"/>
                    <w:jc w:val="center"/>
                    <w:rPr>
                      <w:rFonts w:cs="Arial"/>
                      <w:b/>
                    </w:rPr>
                  </w:pPr>
                  <w:r w:rsidRPr="001E3185">
                    <w:rPr>
                      <w:rFonts w:cs="Arial"/>
                      <w:b/>
                      <w:bCs/>
                      <w:iCs/>
                    </w:rPr>
                    <w:t>Wood-in-service – Noise barrier- Treated wood in service only</w:t>
                  </w:r>
                </w:p>
              </w:tc>
            </w:tr>
            <w:tr w:rsidR="00692E71" w:rsidRPr="001E3185" w14:paraId="3EDEBE1F" w14:textId="77777777" w:rsidTr="008E0250">
              <w:trPr>
                <w:trHeight w:val="340"/>
                <w:jc w:val="center"/>
              </w:trPr>
              <w:tc>
                <w:tcPr>
                  <w:tcW w:w="1425" w:type="pct"/>
                  <w:shd w:val="clear" w:color="auto" w:fill="auto"/>
                  <w:vAlign w:val="center"/>
                </w:tcPr>
                <w:p w14:paraId="237EFCED" w14:textId="77777777" w:rsidR="00692E71" w:rsidRPr="0021636F" w:rsidRDefault="00692E71" w:rsidP="008E0250">
                  <w:pPr>
                    <w:autoSpaceDE w:val="0"/>
                    <w:autoSpaceDN w:val="0"/>
                    <w:ind w:right="142"/>
                    <w:rPr>
                      <w:rFonts w:cs="Arial"/>
                      <w:b/>
                      <w:lang w:val="it-IT"/>
                    </w:rPr>
                  </w:pPr>
                  <w:r w:rsidRPr="0021636F">
                    <w:rPr>
                      <w:rFonts w:cs="Arial"/>
                      <w:b/>
                      <w:lang w:val="it-IT"/>
                    </w:rPr>
                    <w:t>PEC</w:t>
                  </w:r>
                  <w:r w:rsidRPr="0021636F">
                    <w:rPr>
                      <w:rFonts w:cs="Arial"/>
                      <w:b/>
                      <w:vertAlign w:val="subscript"/>
                      <w:lang w:val="it-IT"/>
                    </w:rPr>
                    <w:t xml:space="preserve">soil_via_STP </w:t>
                  </w:r>
                  <w:r w:rsidRPr="0021636F">
                    <w:rPr>
                      <w:rFonts w:cs="Arial"/>
                      <w:b/>
                      <w:lang w:val="it-IT"/>
                    </w:rPr>
                    <w:t>[mg.kg</w:t>
                  </w:r>
                  <w:r w:rsidRPr="0021636F">
                    <w:rPr>
                      <w:rFonts w:cs="Arial"/>
                      <w:b/>
                      <w:vertAlign w:val="superscript"/>
                      <w:lang w:val="it-IT"/>
                    </w:rPr>
                    <w:t>-1</w:t>
                  </w:r>
                  <w:r w:rsidRPr="0021636F">
                    <w:rPr>
                      <w:rFonts w:cs="Arial"/>
                      <w:b/>
                      <w:vertAlign w:val="subscript"/>
                      <w:lang w:val="it-IT"/>
                    </w:rPr>
                    <w:t>wwt</w:t>
                  </w:r>
                  <w:r w:rsidRPr="0021636F">
                    <w:rPr>
                      <w:rFonts w:cs="Arial"/>
                      <w:b/>
                      <w:lang w:val="it-IT"/>
                    </w:rPr>
                    <w:t>]</w:t>
                  </w:r>
                </w:p>
              </w:tc>
              <w:tc>
                <w:tcPr>
                  <w:tcW w:w="1714" w:type="pct"/>
                  <w:shd w:val="clear" w:color="auto" w:fill="auto"/>
                  <w:vAlign w:val="center"/>
                </w:tcPr>
                <w:p w14:paraId="59B9E1D8" w14:textId="77777777" w:rsidR="00692E71" w:rsidRPr="001E3185" w:rsidRDefault="00692E71" w:rsidP="008E0250">
                  <w:pPr>
                    <w:autoSpaceDE w:val="0"/>
                    <w:autoSpaceDN w:val="0"/>
                    <w:ind w:right="142"/>
                    <w:jc w:val="center"/>
                    <w:rPr>
                      <w:rFonts w:cs="Arial"/>
                    </w:rPr>
                  </w:pPr>
                  <w:r w:rsidRPr="001E3185">
                    <w:rPr>
                      <w:rFonts w:cs="Arial"/>
                      <w:b/>
                    </w:rPr>
                    <w:t>TIME1</w:t>
                  </w:r>
                </w:p>
              </w:tc>
              <w:tc>
                <w:tcPr>
                  <w:tcW w:w="1861" w:type="pct"/>
                  <w:shd w:val="clear" w:color="auto" w:fill="auto"/>
                  <w:vAlign w:val="center"/>
                </w:tcPr>
                <w:p w14:paraId="4B19FBD4" w14:textId="77777777" w:rsidR="00692E71" w:rsidRPr="001E3185" w:rsidRDefault="00692E71" w:rsidP="008E0250">
                  <w:pPr>
                    <w:autoSpaceDE w:val="0"/>
                    <w:autoSpaceDN w:val="0"/>
                    <w:ind w:right="142"/>
                    <w:jc w:val="center"/>
                    <w:rPr>
                      <w:rFonts w:cs="Arial"/>
                    </w:rPr>
                  </w:pPr>
                  <w:r w:rsidRPr="001E3185">
                    <w:rPr>
                      <w:rFonts w:cs="Arial"/>
                      <w:b/>
                    </w:rPr>
                    <w:t>TIME 2</w:t>
                  </w:r>
                </w:p>
              </w:tc>
            </w:tr>
            <w:tr w:rsidR="00692E71" w:rsidRPr="001E3185" w14:paraId="59FCE701" w14:textId="77777777" w:rsidTr="008E0250">
              <w:trPr>
                <w:trHeight w:val="340"/>
                <w:jc w:val="center"/>
              </w:trPr>
              <w:tc>
                <w:tcPr>
                  <w:tcW w:w="1425" w:type="pct"/>
                  <w:shd w:val="clear" w:color="auto" w:fill="auto"/>
                  <w:vAlign w:val="center"/>
                </w:tcPr>
                <w:p w14:paraId="02307765" w14:textId="77777777" w:rsidR="00692E71" w:rsidRPr="001E3185" w:rsidRDefault="00692E71" w:rsidP="008E0250">
                  <w:pPr>
                    <w:autoSpaceDE w:val="0"/>
                    <w:autoSpaceDN w:val="0"/>
                    <w:ind w:right="142"/>
                    <w:rPr>
                      <w:rFonts w:cs="Arial"/>
                      <w:b/>
                    </w:rPr>
                  </w:pPr>
                  <w:r w:rsidRPr="001E3185">
                    <w:rPr>
                      <w:rFonts w:cs="Arial"/>
                    </w:rPr>
                    <w:t>Tebuconazole</w:t>
                  </w:r>
                </w:p>
              </w:tc>
              <w:tc>
                <w:tcPr>
                  <w:tcW w:w="1714" w:type="pct"/>
                  <w:shd w:val="clear" w:color="auto" w:fill="auto"/>
                  <w:vAlign w:val="center"/>
                </w:tcPr>
                <w:p w14:paraId="1860FFC9" w14:textId="77777777" w:rsidR="00692E71" w:rsidRPr="001E3185" w:rsidRDefault="00692E71" w:rsidP="008E0250">
                  <w:pPr>
                    <w:jc w:val="center"/>
                    <w:rPr>
                      <w:rFonts w:cs="Arial"/>
                    </w:rPr>
                  </w:pPr>
                  <w:r w:rsidRPr="001E3185">
                    <w:rPr>
                      <w:rFonts w:cs="Arial"/>
                    </w:rPr>
                    <w:t>1.13E-04</w:t>
                  </w:r>
                </w:p>
              </w:tc>
              <w:tc>
                <w:tcPr>
                  <w:tcW w:w="1861" w:type="pct"/>
                  <w:shd w:val="clear" w:color="auto" w:fill="auto"/>
                  <w:vAlign w:val="center"/>
                </w:tcPr>
                <w:p w14:paraId="5C418E4C" w14:textId="77777777" w:rsidR="00692E71" w:rsidRPr="001E3185" w:rsidRDefault="00692E71" w:rsidP="008E0250">
                  <w:pPr>
                    <w:jc w:val="center"/>
                    <w:rPr>
                      <w:rFonts w:cs="Arial"/>
                    </w:rPr>
                  </w:pPr>
                  <w:r w:rsidRPr="001E3185">
                    <w:rPr>
                      <w:rFonts w:cs="Arial"/>
                    </w:rPr>
                    <w:t>5.03E-06</w:t>
                  </w:r>
                </w:p>
              </w:tc>
            </w:tr>
            <w:tr w:rsidR="00692E71" w:rsidRPr="001E3185" w14:paraId="02ABC7E5" w14:textId="77777777" w:rsidTr="008E0250">
              <w:trPr>
                <w:trHeight w:val="340"/>
                <w:jc w:val="center"/>
              </w:trPr>
              <w:tc>
                <w:tcPr>
                  <w:tcW w:w="1425" w:type="pct"/>
                  <w:shd w:val="clear" w:color="auto" w:fill="auto"/>
                  <w:vAlign w:val="center"/>
                </w:tcPr>
                <w:p w14:paraId="5636F2B2" w14:textId="77777777" w:rsidR="00692E71" w:rsidRPr="001E3185" w:rsidRDefault="00692E71" w:rsidP="008E0250">
                  <w:pPr>
                    <w:autoSpaceDE w:val="0"/>
                    <w:autoSpaceDN w:val="0"/>
                    <w:ind w:right="142"/>
                    <w:rPr>
                      <w:rFonts w:cs="Arial"/>
                      <w:b/>
                    </w:rPr>
                  </w:pPr>
                  <w:r w:rsidRPr="001E3185">
                    <w:rPr>
                      <w:rFonts w:cs="Arial"/>
                    </w:rPr>
                    <w:t>Propiconazole</w:t>
                  </w:r>
                </w:p>
              </w:tc>
              <w:tc>
                <w:tcPr>
                  <w:tcW w:w="1714" w:type="pct"/>
                  <w:shd w:val="clear" w:color="auto" w:fill="auto"/>
                  <w:vAlign w:val="center"/>
                </w:tcPr>
                <w:p w14:paraId="15096EA2" w14:textId="77777777" w:rsidR="00692E71" w:rsidRPr="001E3185" w:rsidRDefault="00692E71" w:rsidP="008E0250">
                  <w:pPr>
                    <w:jc w:val="center"/>
                    <w:rPr>
                      <w:rFonts w:cs="Arial"/>
                    </w:rPr>
                  </w:pPr>
                  <w:r w:rsidRPr="001E3185">
                    <w:rPr>
                      <w:rFonts w:cs="Arial"/>
                    </w:rPr>
                    <w:t>2.40E-04</w:t>
                  </w:r>
                </w:p>
              </w:tc>
              <w:tc>
                <w:tcPr>
                  <w:tcW w:w="1861" w:type="pct"/>
                  <w:shd w:val="clear" w:color="auto" w:fill="auto"/>
                  <w:vAlign w:val="center"/>
                </w:tcPr>
                <w:p w14:paraId="25E5F9C5" w14:textId="77777777" w:rsidR="00692E71" w:rsidRPr="001E3185" w:rsidRDefault="00692E71" w:rsidP="008E0250">
                  <w:pPr>
                    <w:jc w:val="center"/>
                    <w:rPr>
                      <w:rFonts w:cs="Arial"/>
                    </w:rPr>
                  </w:pPr>
                  <w:r w:rsidRPr="001E3185">
                    <w:rPr>
                      <w:rFonts w:cs="Arial"/>
                    </w:rPr>
                    <w:t>1.27E-05</w:t>
                  </w:r>
                </w:p>
              </w:tc>
            </w:tr>
            <w:tr w:rsidR="00692E71" w:rsidRPr="001E3185" w14:paraId="22988948" w14:textId="77777777" w:rsidTr="008E0250">
              <w:trPr>
                <w:trHeight w:val="340"/>
                <w:jc w:val="center"/>
              </w:trPr>
              <w:tc>
                <w:tcPr>
                  <w:tcW w:w="1425" w:type="pct"/>
                  <w:shd w:val="clear" w:color="auto" w:fill="auto"/>
                  <w:vAlign w:val="center"/>
                </w:tcPr>
                <w:p w14:paraId="1320610E" w14:textId="77777777" w:rsidR="00692E71" w:rsidRPr="001E3185" w:rsidRDefault="00692E71" w:rsidP="008E0250">
                  <w:pPr>
                    <w:autoSpaceDE w:val="0"/>
                    <w:autoSpaceDN w:val="0"/>
                    <w:ind w:right="142"/>
                    <w:rPr>
                      <w:rFonts w:cs="Arial"/>
                      <w:b/>
                    </w:rPr>
                  </w:pPr>
                  <w:r w:rsidRPr="001E3185">
                    <w:rPr>
                      <w:rFonts w:cs="Arial"/>
                    </w:rPr>
                    <w:t>Cypermethrine</w:t>
                  </w:r>
                </w:p>
              </w:tc>
              <w:tc>
                <w:tcPr>
                  <w:tcW w:w="1714" w:type="pct"/>
                  <w:shd w:val="clear" w:color="auto" w:fill="auto"/>
                  <w:vAlign w:val="center"/>
                </w:tcPr>
                <w:p w14:paraId="5C3806CA" w14:textId="77777777" w:rsidR="00692E71" w:rsidRPr="001E3185" w:rsidRDefault="00692E71" w:rsidP="008E0250">
                  <w:pPr>
                    <w:jc w:val="center"/>
                    <w:rPr>
                      <w:rFonts w:cs="Arial"/>
                    </w:rPr>
                  </w:pPr>
                  <w:r w:rsidRPr="001E3185">
                    <w:rPr>
                      <w:rFonts w:cs="Arial"/>
                    </w:rPr>
                    <w:t>5.79E-06</w:t>
                  </w:r>
                </w:p>
              </w:tc>
              <w:tc>
                <w:tcPr>
                  <w:tcW w:w="1861" w:type="pct"/>
                  <w:shd w:val="clear" w:color="auto" w:fill="auto"/>
                  <w:vAlign w:val="center"/>
                </w:tcPr>
                <w:p w14:paraId="6C6966C5" w14:textId="77777777" w:rsidR="00692E71" w:rsidRPr="001E3185" w:rsidRDefault="00692E71" w:rsidP="008E0250">
                  <w:pPr>
                    <w:jc w:val="center"/>
                    <w:rPr>
                      <w:rFonts w:cs="Arial"/>
                    </w:rPr>
                  </w:pPr>
                  <w:r w:rsidRPr="001E3185">
                    <w:rPr>
                      <w:rFonts w:cs="Arial"/>
                    </w:rPr>
                    <w:t>4.64E-06</w:t>
                  </w:r>
                </w:p>
              </w:tc>
            </w:tr>
            <w:tr w:rsidR="00692E71" w:rsidRPr="001E3185" w14:paraId="78CFBE25" w14:textId="77777777" w:rsidTr="008E0250">
              <w:trPr>
                <w:trHeight w:val="340"/>
                <w:jc w:val="center"/>
              </w:trPr>
              <w:tc>
                <w:tcPr>
                  <w:tcW w:w="1425" w:type="pct"/>
                  <w:shd w:val="clear" w:color="auto" w:fill="auto"/>
                  <w:vAlign w:val="center"/>
                </w:tcPr>
                <w:p w14:paraId="50D7506B" w14:textId="77777777" w:rsidR="00692E71" w:rsidRPr="001E3185" w:rsidRDefault="00692E71" w:rsidP="008E0250">
                  <w:pPr>
                    <w:autoSpaceDE w:val="0"/>
                    <w:autoSpaceDN w:val="0"/>
                    <w:rPr>
                      <w:rFonts w:cs="Arial"/>
                    </w:rPr>
                  </w:pPr>
                  <w:r w:rsidRPr="001E3185">
                    <w:rPr>
                      <w:rFonts w:cs="Arial"/>
                    </w:rPr>
                    <w:t>PBC</w:t>
                  </w:r>
                </w:p>
              </w:tc>
              <w:tc>
                <w:tcPr>
                  <w:tcW w:w="1714" w:type="pct"/>
                  <w:shd w:val="clear" w:color="auto" w:fill="auto"/>
                  <w:vAlign w:val="center"/>
                </w:tcPr>
                <w:p w14:paraId="6F34FABA" w14:textId="77777777" w:rsidR="00692E71" w:rsidRPr="001E3185" w:rsidRDefault="00692E71" w:rsidP="008E0250">
                  <w:pPr>
                    <w:jc w:val="center"/>
                    <w:rPr>
                      <w:rFonts w:cs="Arial"/>
                    </w:rPr>
                  </w:pPr>
                  <w:r w:rsidRPr="001E3185">
                    <w:rPr>
                      <w:rFonts w:cs="Arial"/>
                    </w:rPr>
                    <w:t>3.53E-06</w:t>
                  </w:r>
                </w:p>
              </w:tc>
              <w:tc>
                <w:tcPr>
                  <w:tcW w:w="1861" w:type="pct"/>
                  <w:shd w:val="clear" w:color="auto" w:fill="auto"/>
                  <w:vAlign w:val="center"/>
                </w:tcPr>
                <w:p w14:paraId="5E8393F3" w14:textId="77777777" w:rsidR="00692E71" w:rsidRPr="001E3185" w:rsidRDefault="00692E71" w:rsidP="008E0250">
                  <w:pPr>
                    <w:jc w:val="center"/>
                    <w:rPr>
                      <w:rFonts w:cs="Arial"/>
                    </w:rPr>
                  </w:pPr>
                  <w:r w:rsidRPr="001E3185">
                    <w:rPr>
                      <w:rFonts w:cs="Arial"/>
                    </w:rPr>
                    <w:t>1.80E-07</w:t>
                  </w:r>
                </w:p>
              </w:tc>
            </w:tr>
          </w:tbl>
          <w:p w14:paraId="54BE8EB8" w14:textId="77777777" w:rsidR="00692E71" w:rsidRPr="001E3185" w:rsidRDefault="00692E71" w:rsidP="008E0250">
            <w:pPr>
              <w:rPr>
                <w:rFonts w:cs="Arial"/>
                <w:vanish/>
              </w:rPr>
            </w:pPr>
          </w:p>
          <w:p w14:paraId="2D761DA9" w14:textId="77777777" w:rsidR="00692E71" w:rsidRPr="001E3185" w:rsidRDefault="00692E71" w:rsidP="008E0250">
            <w:pPr>
              <w:autoSpaceDE w:val="0"/>
              <w:autoSpaceDN w:val="0"/>
              <w:spacing w:line="276" w:lineRule="auto"/>
              <w:rPr>
                <w:rFonts w:cs="Arial"/>
              </w:rPr>
            </w:pPr>
          </w:p>
          <w:p w14:paraId="275C96B1" w14:textId="77777777" w:rsidR="00692E71" w:rsidRPr="001E3185" w:rsidRDefault="00692E71" w:rsidP="008E0250">
            <w:pPr>
              <w:autoSpaceDE w:val="0"/>
              <w:autoSpaceDN w:val="0"/>
              <w:spacing w:line="276" w:lineRule="auto"/>
              <w:rPr>
                <w:rFonts w:cs="Arial"/>
              </w:rPr>
            </w:pPr>
          </w:p>
          <w:p w14:paraId="260DC3EB" w14:textId="77777777" w:rsidR="00692E71" w:rsidRPr="001E3185" w:rsidRDefault="00692E71" w:rsidP="008E0250">
            <w:pPr>
              <w:autoSpaceDE w:val="0"/>
              <w:autoSpaceDN w:val="0"/>
              <w:spacing w:line="276" w:lineRule="auto"/>
              <w:rPr>
                <w:rFonts w:cs="Arial"/>
              </w:rPr>
            </w:pPr>
          </w:p>
          <w:p w14:paraId="7921CA03" w14:textId="77777777" w:rsidR="00692E71" w:rsidRPr="001E3185" w:rsidRDefault="00692E71" w:rsidP="00F32B7F">
            <w:pPr>
              <w:pStyle w:val="Lgende"/>
              <w:numPr>
                <w:ilvl w:val="0"/>
                <w:numId w:val="19"/>
              </w:numPr>
              <w:suppressAutoHyphens w:val="0"/>
              <w:spacing w:after="200"/>
              <w:rPr>
                <w:rFonts w:ascii="Verdana" w:hAnsi="Verdana"/>
              </w:rPr>
            </w:pPr>
            <w:r w:rsidRPr="001E3185">
              <w:rPr>
                <w:rFonts w:ascii="Verdana" w:hAnsi="Verdana"/>
              </w:rPr>
              <w:t>PECs for the groundwater compartment</w:t>
            </w:r>
          </w:p>
          <w:p w14:paraId="204FC569" w14:textId="77777777" w:rsidR="00692E71" w:rsidRPr="001E3185" w:rsidRDefault="00692E71" w:rsidP="008E0250">
            <w:pPr>
              <w:autoSpaceDE w:val="0"/>
              <w:autoSpaceDN w:val="0"/>
              <w:rPr>
                <w:rFonts w:cs="Arial"/>
              </w:rPr>
            </w:pPr>
            <w:r w:rsidRPr="001E3185">
              <w:rPr>
                <w:rFonts w:cs="Arial"/>
              </w:rPr>
              <w:t>The estimations of releases of active substances, and their relevant degradation products for the groundwater compartment, were calculated with the FOCUS PEARL v.4.4.4 software.</w:t>
            </w:r>
          </w:p>
          <w:p w14:paraId="2F550B69" w14:textId="77777777" w:rsidR="00692E71" w:rsidRPr="001E3185" w:rsidRDefault="00692E71" w:rsidP="008E0250">
            <w:pPr>
              <w:autoSpaceDE w:val="0"/>
              <w:autoSpaceDN w:val="0"/>
              <w:rPr>
                <w:rFonts w:cs="Arial"/>
                <w:shd w:val="clear" w:color="auto" w:fill="D6E3BC" w:themeFill="accent3" w:themeFillTint="66"/>
              </w:rPr>
            </w:pPr>
          </w:p>
          <w:p w14:paraId="6CA392CF" w14:textId="77777777" w:rsidR="00692E71" w:rsidRPr="001E3185" w:rsidRDefault="00692E71" w:rsidP="008E0250">
            <w:pPr>
              <w:shd w:val="clear" w:color="auto" w:fill="D6E3BC"/>
              <w:autoSpaceDE w:val="0"/>
              <w:autoSpaceDN w:val="0"/>
              <w:rPr>
                <w:rFonts w:cs="Arial"/>
              </w:rPr>
            </w:pPr>
            <w:r w:rsidRPr="001E3185">
              <w:rPr>
                <w:rFonts w:cs="Arial"/>
                <w:shd w:val="clear" w:color="auto" w:fill="D6E3BC" w:themeFill="accent3" w:themeFillTint="66"/>
              </w:rPr>
              <w:t>According to the paragraph 578 of</w:t>
            </w:r>
            <w:r w:rsidRPr="001E3185">
              <w:rPr>
                <w:rFonts w:cs="Arial"/>
              </w:rPr>
              <w:t xml:space="preserve"> the PT08-ESD (2013), the estimation of releases to groundwater is relevant for susbstance with:</w:t>
            </w:r>
          </w:p>
          <w:p w14:paraId="5A43FCF8" w14:textId="77777777" w:rsidR="00692E71" w:rsidRPr="001E3185" w:rsidRDefault="00692E71" w:rsidP="00F32B7F">
            <w:pPr>
              <w:pStyle w:val="Paragraphedeliste"/>
              <w:numPr>
                <w:ilvl w:val="0"/>
                <w:numId w:val="14"/>
              </w:numPr>
              <w:suppressAutoHyphens w:val="0"/>
              <w:autoSpaceDE w:val="0"/>
              <w:autoSpaceDN w:val="0"/>
              <w:contextualSpacing/>
              <w:rPr>
                <w:rFonts w:cs="Arial"/>
              </w:rPr>
            </w:pPr>
            <w:r w:rsidRPr="001E3185">
              <w:rPr>
                <w:rFonts w:cs="Arial"/>
              </w:rPr>
              <w:t>K</w:t>
            </w:r>
            <w:r w:rsidRPr="001E3185">
              <w:rPr>
                <w:rFonts w:cs="Arial"/>
                <w:vertAlign w:val="subscript"/>
              </w:rPr>
              <w:t>oc</w:t>
            </w:r>
            <w:r w:rsidRPr="001E3185">
              <w:rPr>
                <w:rFonts w:cs="Arial"/>
              </w:rPr>
              <w:t xml:space="preserve"> &lt; 500 L.kg</w:t>
            </w:r>
            <w:r w:rsidRPr="001E3185">
              <w:rPr>
                <w:rFonts w:cs="Arial"/>
                <w:vertAlign w:val="superscript"/>
              </w:rPr>
              <w:t>-1</w:t>
            </w:r>
            <w:r w:rsidRPr="001E3185">
              <w:rPr>
                <w:rFonts w:cs="Arial"/>
              </w:rPr>
              <w:t xml:space="preserve"> and</w:t>
            </w:r>
          </w:p>
          <w:p w14:paraId="7D4C93FA" w14:textId="77777777" w:rsidR="00692E71" w:rsidRPr="001E3185" w:rsidRDefault="00692E71" w:rsidP="00F32B7F">
            <w:pPr>
              <w:pStyle w:val="Paragraphedeliste"/>
              <w:numPr>
                <w:ilvl w:val="0"/>
                <w:numId w:val="14"/>
              </w:numPr>
              <w:suppressAutoHyphens w:val="0"/>
              <w:autoSpaceDE w:val="0"/>
              <w:autoSpaceDN w:val="0"/>
              <w:contextualSpacing/>
              <w:rPr>
                <w:rFonts w:cs="Arial"/>
              </w:rPr>
            </w:pPr>
            <w:r w:rsidRPr="001E3185">
              <w:rPr>
                <w:rFonts w:cs="Arial"/>
              </w:rPr>
              <w:t>DT50</w:t>
            </w:r>
            <w:r w:rsidRPr="001E3185">
              <w:rPr>
                <w:rFonts w:cs="Arial"/>
                <w:vertAlign w:val="subscript"/>
              </w:rPr>
              <w:t>soil</w:t>
            </w:r>
            <w:r w:rsidRPr="001E3185">
              <w:rPr>
                <w:rFonts w:cs="Arial"/>
              </w:rPr>
              <w:t xml:space="preserve"> &gt; 21 d</w:t>
            </w:r>
            <w:r w:rsidRPr="001E3185">
              <w:rPr>
                <w:rFonts w:cs="Arial"/>
                <w:b/>
              </w:rPr>
              <w:t>.</w:t>
            </w:r>
          </w:p>
          <w:p w14:paraId="7DD5CE82" w14:textId="77777777" w:rsidR="00692E71" w:rsidRPr="001E3185" w:rsidRDefault="00692E71" w:rsidP="008E0250">
            <w:pPr>
              <w:autoSpaceDE w:val="0"/>
              <w:autoSpaceDN w:val="0"/>
              <w:spacing w:before="120"/>
              <w:rPr>
                <w:rFonts w:cs="Arial"/>
              </w:rPr>
            </w:pPr>
            <w:r w:rsidRPr="001E3185">
              <w:rPr>
                <w:rFonts w:cs="Arial"/>
              </w:rPr>
              <w:t>Considering that:</w:t>
            </w:r>
          </w:p>
          <w:p w14:paraId="0E6058A0" w14:textId="77777777" w:rsidR="00692E71" w:rsidRPr="001E3185" w:rsidRDefault="00692E71" w:rsidP="008E0250">
            <w:pPr>
              <w:autoSpaceDE w:val="0"/>
              <w:autoSpaceDN w:val="0"/>
              <w:rPr>
                <w:rFonts w:cs="Arial"/>
              </w:rPr>
            </w:pPr>
          </w:p>
          <w:tbl>
            <w:tblPr>
              <w:tblW w:w="7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2203"/>
              <w:gridCol w:w="2220"/>
              <w:gridCol w:w="237"/>
            </w:tblGrid>
            <w:tr w:rsidR="00692E71" w:rsidRPr="001E3185" w14:paraId="52171F34" w14:textId="77777777" w:rsidTr="008E0250">
              <w:trPr>
                <w:trHeight w:val="340"/>
                <w:jc w:val="center"/>
              </w:trPr>
              <w:tc>
                <w:tcPr>
                  <w:tcW w:w="1872" w:type="pct"/>
                  <w:vAlign w:val="center"/>
                </w:tcPr>
                <w:p w14:paraId="2134AE4B" w14:textId="77777777" w:rsidR="00692E71" w:rsidRPr="001E3185" w:rsidRDefault="00692E71" w:rsidP="008E0250">
                  <w:pPr>
                    <w:rPr>
                      <w:rFonts w:cs="Arial"/>
                      <w:b/>
                    </w:rPr>
                  </w:pPr>
                  <w:r w:rsidRPr="001E3185">
                    <w:rPr>
                      <w:rFonts w:cs="Arial"/>
                      <w:b/>
                    </w:rPr>
                    <w:t>Substance</w:t>
                  </w:r>
                </w:p>
              </w:tc>
              <w:tc>
                <w:tcPr>
                  <w:tcW w:w="1479" w:type="pct"/>
                  <w:vAlign w:val="center"/>
                </w:tcPr>
                <w:p w14:paraId="7D0F479D" w14:textId="77777777" w:rsidR="00692E71" w:rsidRPr="001E3185" w:rsidRDefault="00692E71" w:rsidP="008E0250">
                  <w:pPr>
                    <w:rPr>
                      <w:rFonts w:cs="Arial"/>
                      <w:b/>
                    </w:rPr>
                  </w:pPr>
                  <w:r w:rsidRPr="001E3185">
                    <w:rPr>
                      <w:rFonts w:cs="Arial"/>
                      <w:b/>
                    </w:rPr>
                    <w:t>K</w:t>
                  </w:r>
                  <w:r w:rsidRPr="001E3185">
                    <w:rPr>
                      <w:rFonts w:cs="Arial"/>
                      <w:b/>
                      <w:vertAlign w:val="subscript"/>
                    </w:rPr>
                    <w:t>oc</w:t>
                  </w:r>
                  <w:r w:rsidRPr="001E3185">
                    <w:rPr>
                      <w:rFonts w:cs="Arial"/>
                      <w:b/>
                    </w:rPr>
                    <w:t xml:space="preserve"> [L.kg</w:t>
                  </w:r>
                  <w:r w:rsidRPr="001E3185">
                    <w:rPr>
                      <w:rFonts w:cs="Arial"/>
                      <w:b/>
                      <w:vertAlign w:val="superscript"/>
                    </w:rPr>
                    <w:t>-1</w:t>
                  </w:r>
                  <w:r w:rsidRPr="001E3185">
                    <w:rPr>
                      <w:rFonts w:cs="Arial"/>
                      <w:b/>
                    </w:rPr>
                    <w:t>]</w:t>
                  </w:r>
                </w:p>
              </w:tc>
              <w:tc>
                <w:tcPr>
                  <w:tcW w:w="1649" w:type="pct"/>
                  <w:gridSpan w:val="2"/>
                  <w:vAlign w:val="center"/>
                </w:tcPr>
                <w:p w14:paraId="4E3B401B" w14:textId="77777777" w:rsidR="00692E71" w:rsidRPr="001E3185" w:rsidRDefault="00692E71" w:rsidP="008E0250">
                  <w:pPr>
                    <w:rPr>
                      <w:rFonts w:cs="Arial"/>
                      <w:b/>
                    </w:rPr>
                  </w:pPr>
                  <w:r w:rsidRPr="001E3185">
                    <w:rPr>
                      <w:rFonts w:cs="Arial"/>
                      <w:b/>
                    </w:rPr>
                    <w:t>DT50</w:t>
                  </w:r>
                  <w:r w:rsidRPr="001E3185">
                    <w:rPr>
                      <w:rFonts w:cs="Arial"/>
                      <w:b/>
                      <w:vertAlign w:val="subscript"/>
                    </w:rPr>
                    <w:t>soil,12°C</w:t>
                  </w:r>
                  <w:r w:rsidRPr="001E3185">
                    <w:rPr>
                      <w:rFonts w:cs="Arial"/>
                      <w:b/>
                    </w:rPr>
                    <w:t xml:space="preserve"> [d]</w:t>
                  </w:r>
                </w:p>
              </w:tc>
            </w:tr>
            <w:tr w:rsidR="00692E71" w:rsidRPr="001E3185" w14:paraId="53177B7D" w14:textId="77777777" w:rsidTr="008E0250">
              <w:trPr>
                <w:trHeight w:val="340"/>
                <w:jc w:val="center"/>
              </w:trPr>
              <w:tc>
                <w:tcPr>
                  <w:tcW w:w="1872" w:type="pct"/>
                  <w:vAlign w:val="center"/>
                </w:tcPr>
                <w:p w14:paraId="5C14EE19" w14:textId="77777777" w:rsidR="00692E71" w:rsidRPr="001E3185" w:rsidRDefault="00692E71" w:rsidP="008E0250">
                  <w:pPr>
                    <w:rPr>
                      <w:rFonts w:cs="Arial"/>
                    </w:rPr>
                  </w:pPr>
                  <w:r w:rsidRPr="001E3185">
                    <w:rPr>
                      <w:rFonts w:cs="Arial"/>
                    </w:rPr>
                    <w:t>Tebuconazole</w:t>
                  </w:r>
                </w:p>
              </w:tc>
              <w:tc>
                <w:tcPr>
                  <w:tcW w:w="1479" w:type="pct"/>
                  <w:vAlign w:val="center"/>
                </w:tcPr>
                <w:p w14:paraId="29FF179D" w14:textId="77777777" w:rsidR="00692E71" w:rsidRPr="001E3185" w:rsidRDefault="00692E71" w:rsidP="008E0250">
                  <w:pPr>
                    <w:rPr>
                      <w:rFonts w:cs="Arial"/>
                    </w:rPr>
                  </w:pPr>
                  <w:r w:rsidRPr="001E3185">
                    <w:rPr>
                      <w:rFonts w:cs="Arial"/>
                    </w:rPr>
                    <w:t>992</w:t>
                  </w:r>
                </w:p>
              </w:tc>
              <w:tc>
                <w:tcPr>
                  <w:tcW w:w="1649" w:type="pct"/>
                  <w:gridSpan w:val="2"/>
                  <w:vAlign w:val="center"/>
                </w:tcPr>
                <w:p w14:paraId="3A39B668" w14:textId="77777777" w:rsidR="00692E71" w:rsidRPr="001E3185" w:rsidRDefault="00692E71" w:rsidP="008E0250">
                  <w:pPr>
                    <w:rPr>
                      <w:rFonts w:cs="Arial"/>
                    </w:rPr>
                  </w:pPr>
                  <w:r w:rsidRPr="001E3185">
                    <w:rPr>
                      <w:rFonts w:cs="Arial"/>
                    </w:rPr>
                    <w:t>77</w:t>
                  </w:r>
                </w:p>
              </w:tc>
            </w:tr>
            <w:tr w:rsidR="00692E71" w:rsidRPr="001E3185" w14:paraId="17DE4F5D" w14:textId="77777777" w:rsidTr="008E0250">
              <w:trPr>
                <w:trHeight w:val="340"/>
                <w:jc w:val="center"/>
              </w:trPr>
              <w:tc>
                <w:tcPr>
                  <w:tcW w:w="1872" w:type="pct"/>
                  <w:vAlign w:val="center"/>
                </w:tcPr>
                <w:p w14:paraId="46E93DBB" w14:textId="77777777" w:rsidR="00692E71" w:rsidRPr="001E3185" w:rsidRDefault="00692E71" w:rsidP="008E0250">
                  <w:pPr>
                    <w:rPr>
                      <w:rFonts w:cs="Arial"/>
                    </w:rPr>
                  </w:pPr>
                  <w:r w:rsidRPr="001E3185">
                    <w:rPr>
                      <w:rFonts w:cs="Arial"/>
                    </w:rPr>
                    <w:t>Propiconazole</w:t>
                  </w:r>
                </w:p>
              </w:tc>
              <w:tc>
                <w:tcPr>
                  <w:tcW w:w="1479" w:type="pct"/>
                  <w:vAlign w:val="center"/>
                </w:tcPr>
                <w:p w14:paraId="7CF2082B" w14:textId="77777777" w:rsidR="00692E71" w:rsidRPr="001E3185" w:rsidRDefault="00692E71" w:rsidP="008E0250">
                  <w:pPr>
                    <w:rPr>
                      <w:rFonts w:cs="Arial"/>
                    </w:rPr>
                  </w:pPr>
                  <w:r w:rsidRPr="001E3185">
                    <w:rPr>
                      <w:rFonts w:cs="Arial"/>
                    </w:rPr>
                    <w:t>944</w:t>
                  </w:r>
                </w:p>
              </w:tc>
              <w:tc>
                <w:tcPr>
                  <w:tcW w:w="1649" w:type="pct"/>
                  <w:gridSpan w:val="2"/>
                  <w:vAlign w:val="center"/>
                </w:tcPr>
                <w:p w14:paraId="6C3066A2" w14:textId="77777777" w:rsidR="00692E71" w:rsidRPr="001E3185" w:rsidRDefault="00692E71" w:rsidP="008E0250">
                  <w:pPr>
                    <w:rPr>
                      <w:rFonts w:cs="Arial"/>
                    </w:rPr>
                  </w:pPr>
                  <w:r w:rsidRPr="001E3185">
                    <w:rPr>
                      <w:rFonts w:cs="Arial"/>
                    </w:rPr>
                    <w:t>82</w:t>
                  </w:r>
                </w:p>
              </w:tc>
            </w:tr>
            <w:tr w:rsidR="00692E71" w:rsidRPr="001E3185" w14:paraId="155CC14A" w14:textId="77777777" w:rsidTr="008E0250">
              <w:trPr>
                <w:trHeight w:val="340"/>
                <w:jc w:val="center"/>
              </w:trPr>
              <w:tc>
                <w:tcPr>
                  <w:tcW w:w="1872" w:type="pct"/>
                  <w:vAlign w:val="center"/>
                </w:tcPr>
                <w:p w14:paraId="469755A9" w14:textId="77777777" w:rsidR="00692E71" w:rsidRPr="001E3185" w:rsidRDefault="00692E71" w:rsidP="008E0250">
                  <w:pPr>
                    <w:rPr>
                      <w:rFonts w:cs="Arial"/>
                    </w:rPr>
                  </w:pPr>
                  <w:r w:rsidRPr="001E3185">
                    <w:rPr>
                      <w:rFonts w:cs="Arial"/>
                    </w:rPr>
                    <w:t xml:space="preserve">1,2,4-triazole </w:t>
                  </w:r>
                  <w:r w:rsidRPr="001E3185">
                    <w:rPr>
                      <w:rFonts w:cs="Arial"/>
                      <w:vertAlign w:val="superscript"/>
                    </w:rPr>
                    <w:t>(</w:t>
                  </w:r>
                  <w:r w:rsidRPr="001E3185">
                    <w:rPr>
                      <w:rFonts w:cs="Arial"/>
                    </w:rPr>
                    <w:t>*</w:t>
                  </w:r>
                  <w:r w:rsidRPr="001E3185">
                    <w:rPr>
                      <w:rFonts w:cs="Arial"/>
                      <w:vertAlign w:val="superscript"/>
                    </w:rPr>
                    <w:t>)</w:t>
                  </w:r>
                </w:p>
              </w:tc>
              <w:tc>
                <w:tcPr>
                  <w:tcW w:w="1479" w:type="pct"/>
                  <w:vAlign w:val="center"/>
                </w:tcPr>
                <w:p w14:paraId="36BE1B0C" w14:textId="77777777" w:rsidR="00692E71" w:rsidRPr="001E3185" w:rsidRDefault="00692E71" w:rsidP="008E0250">
                  <w:pPr>
                    <w:rPr>
                      <w:rFonts w:cs="Arial"/>
                    </w:rPr>
                  </w:pPr>
                  <w:r w:rsidRPr="001E3185">
                    <w:rPr>
                      <w:rFonts w:cs="Arial"/>
                    </w:rPr>
                    <w:t>89</w:t>
                  </w:r>
                </w:p>
              </w:tc>
              <w:tc>
                <w:tcPr>
                  <w:tcW w:w="1649" w:type="pct"/>
                  <w:gridSpan w:val="2"/>
                  <w:vAlign w:val="center"/>
                </w:tcPr>
                <w:p w14:paraId="36206F5B" w14:textId="77777777" w:rsidR="00692E71" w:rsidRPr="001E3185" w:rsidRDefault="00692E71" w:rsidP="008E0250">
                  <w:pPr>
                    <w:rPr>
                      <w:rFonts w:cs="Arial"/>
                    </w:rPr>
                  </w:pPr>
                  <w:r w:rsidRPr="001E3185">
                    <w:rPr>
                      <w:rFonts w:cs="Arial"/>
                    </w:rPr>
                    <w:t xml:space="preserve">114.7 </w:t>
                  </w:r>
                  <w:r w:rsidRPr="001E3185">
                    <w:rPr>
                      <w:rFonts w:cs="Arial"/>
                      <w:vertAlign w:val="superscript"/>
                    </w:rPr>
                    <w:t>(</w:t>
                  </w:r>
                  <w:r w:rsidRPr="001E3185">
                    <w:rPr>
                      <w:rFonts w:cs="Arial"/>
                    </w:rPr>
                    <w:t>**</w:t>
                  </w:r>
                  <w:r w:rsidRPr="001E3185">
                    <w:rPr>
                      <w:rFonts w:cs="Arial"/>
                      <w:vertAlign w:val="superscript"/>
                    </w:rPr>
                    <w:t>)</w:t>
                  </w:r>
                </w:p>
              </w:tc>
            </w:tr>
            <w:tr w:rsidR="00692E71" w:rsidRPr="001E3185" w14:paraId="5BFB8684" w14:textId="77777777" w:rsidTr="008E0250">
              <w:trPr>
                <w:trHeight w:val="340"/>
                <w:jc w:val="center"/>
              </w:trPr>
              <w:tc>
                <w:tcPr>
                  <w:tcW w:w="1872" w:type="pct"/>
                  <w:vAlign w:val="center"/>
                </w:tcPr>
                <w:p w14:paraId="226FF572" w14:textId="77777777" w:rsidR="00692E71" w:rsidRPr="001E3185" w:rsidRDefault="00692E71" w:rsidP="008E0250">
                  <w:pPr>
                    <w:rPr>
                      <w:rFonts w:cs="Arial"/>
                    </w:rPr>
                  </w:pPr>
                  <w:r w:rsidRPr="001E3185">
                    <w:rPr>
                      <w:rFonts w:cs="Arial"/>
                    </w:rPr>
                    <w:t>Cypermethrin</w:t>
                  </w:r>
                </w:p>
              </w:tc>
              <w:tc>
                <w:tcPr>
                  <w:tcW w:w="1479" w:type="pct"/>
                  <w:vAlign w:val="center"/>
                </w:tcPr>
                <w:p w14:paraId="3C27EDC8" w14:textId="77777777" w:rsidR="00692E71" w:rsidRPr="001E3185" w:rsidRDefault="00692E71" w:rsidP="008E0250">
                  <w:pPr>
                    <w:rPr>
                      <w:rFonts w:cs="Arial"/>
                    </w:rPr>
                  </w:pPr>
                  <w:r w:rsidRPr="001E3185">
                    <w:rPr>
                      <w:rFonts w:cs="Arial"/>
                    </w:rPr>
                    <w:t>575000</w:t>
                  </w:r>
                </w:p>
              </w:tc>
              <w:tc>
                <w:tcPr>
                  <w:tcW w:w="1649" w:type="pct"/>
                  <w:gridSpan w:val="2"/>
                  <w:vAlign w:val="center"/>
                </w:tcPr>
                <w:p w14:paraId="62D9E38D" w14:textId="77777777" w:rsidR="00692E71" w:rsidRPr="001E3185" w:rsidRDefault="00692E71" w:rsidP="008E0250">
                  <w:pPr>
                    <w:rPr>
                      <w:rFonts w:cs="Arial"/>
                    </w:rPr>
                  </w:pPr>
                  <w:r w:rsidRPr="001E3185">
                    <w:rPr>
                      <w:rFonts w:cs="Arial"/>
                    </w:rPr>
                    <w:t>17.2</w:t>
                  </w:r>
                </w:p>
              </w:tc>
            </w:tr>
            <w:tr w:rsidR="00692E71" w:rsidRPr="001E3185" w14:paraId="3F06897F" w14:textId="77777777" w:rsidTr="008E0250">
              <w:trPr>
                <w:trHeight w:val="340"/>
                <w:jc w:val="center"/>
              </w:trPr>
              <w:tc>
                <w:tcPr>
                  <w:tcW w:w="1872" w:type="pct"/>
                  <w:vAlign w:val="center"/>
                </w:tcPr>
                <w:p w14:paraId="5B645E2D" w14:textId="77777777" w:rsidR="00692E71" w:rsidRPr="001E3185" w:rsidRDefault="00692E71" w:rsidP="008E0250">
                  <w:pPr>
                    <w:rPr>
                      <w:rFonts w:cs="Arial"/>
                    </w:rPr>
                  </w:pPr>
                  <w:r w:rsidRPr="001E3185">
                    <w:rPr>
                      <w:rFonts w:cs="Arial"/>
                    </w:rPr>
                    <w:t>IPBC</w:t>
                  </w:r>
                </w:p>
              </w:tc>
              <w:tc>
                <w:tcPr>
                  <w:tcW w:w="1479" w:type="pct"/>
                  <w:vAlign w:val="center"/>
                </w:tcPr>
                <w:p w14:paraId="347DD797" w14:textId="77777777" w:rsidR="00692E71" w:rsidRPr="001E3185" w:rsidRDefault="00692E71" w:rsidP="008E0250">
                  <w:pPr>
                    <w:rPr>
                      <w:rFonts w:cs="Arial"/>
                    </w:rPr>
                  </w:pPr>
                  <w:r w:rsidRPr="001E3185">
                    <w:rPr>
                      <w:rFonts w:cs="Arial"/>
                    </w:rPr>
                    <w:t>134.5</w:t>
                  </w:r>
                </w:p>
              </w:tc>
              <w:tc>
                <w:tcPr>
                  <w:tcW w:w="1649" w:type="pct"/>
                  <w:gridSpan w:val="2"/>
                  <w:vAlign w:val="center"/>
                </w:tcPr>
                <w:p w14:paraId="5AC47D44" w14:textId="77777777" w:rsidR="00692E71" w:rsidRPr="001E3185" w:rsidRDefault="00692E71" w:rsidP="008E0250">
                  <w:pPr>
                    <w:rPr>
                      <w:rFonts w:cs="Arial"/>
                    </w:rPr>
                  </w:pPr>
                  <w:r w:rsidRPr="001E3185">
                    <w:rPr>
                      <w:rFonts w:cs="Arial"/>
                    </w:rPr>
                    <w:t>1.96E-01</w:t>
                  </w:r>
                </w:p>
              </w:tc>
            </w:tr>
            <w:tr w:rsidR="00692E71" w:rsidRPr="001E3185" w14:paraId="0211CF0A" w14:textId="77777777" w:rsidTr="008E0250">
              <w:trPr>
                <w:trHeight w:val="340"/>
                <w:jc w:val="center"/>
              </w:trPr>
              <w:tc>
                <w:tcPr>
                  <w:tcW w:w="1872" w:type="pct"/>
                  <w:vAlign w:val="center"/>
                </w:tcPr>
                <w:p w14:paraId="78D5A746" w14:textId="77777777" w:rsidR="00692E71" w:rsidRPr="001E3185" w:rsidRDefault="00692E71" w:rsidP="008E0250">
                  <w:pPr>
                    <w:rPr>
                      <w:rFonts w:cs="Arial"/>
                    </w:rPr>
                  </w:pPr>
                  <w:r w:rsidRPr="001E3185">
                    <w:rPr>
                      <w:rFonts w:cs="Arial"/>
                    </w:rPr>
                    <w:t>PBC(***)</w:t>
                  </w:r>
                </w:p>
              </w:tc>
              <w:tc>
                <w:tcPr>
                  <w:tcW w:w="1479" w:type="pct"/>
                  <w:vAlign w:val="center"/>
                </w:tcPr>
                <w:p w14:paraId="377F15FA" w14:textId="77777777" w:rsidR="00692E71" w:rsidRPr="001E3185" w:rsidRDefault="00692E71" w:rsidP="008E0250">
                  <w:pPr>
                    <w:rPr>
                      <w:rFonts w:cs="Arial"/>
                    </w:rPr>
                  </w:pPr>
                  <w:r w:rsidRPr="001E3185">
                    <w:rPr>
                      <w:rFonts w:cs="Arial"/>
                    </w:rPr>
                    <w:t>198.1</w:t>
                  </w:r>
                </w:p>
              </w:tc>
              <w:tc>
                <w:tcPr>
                  <w:tcW w:w="1649" w:type="pct"/>
                  <w:gridSpan w:val="2"/>
                  <w:vAlign w:val="center"/>
                </w:tcPr>
                <w:p w14:paraId="217AE0E1" w14:textId="77777777" w:rsidR="00692E71" w:rsidRPr="001E3185" w:rsidRDefault="00692E71" w:rsidP="008E0250">
                  <w:pPr>
                    <w:rPr>
                      <w:rFonts w:cs="Arial"/>
                    </w:rPr>
                  </w:pPr>
                  <w:r w:rsidRPr="001E3185">
                    <w:rPr>
                      <w:rFonts w:cs="Arial"/>
                    </w:rPr>
                    <w:t>9.50</w:t>
                  </w:r>
                </w:p>
              </w:tc>
            </w:tr>
            <w:tr w:rsidR="00692E71" w:rsidRPr="001E3185" w14:paraId="797B8117" w14:textId="77777777" w:rsidTr="008E0250">
              <w:trPr>
                <w:gridAfter w:val="1"/>
                <w:wAfter w:w="159" w:type="pct"/>
                <w:jc w:val="center"/>
              </w:trPr>
              <w:tc>
                <w:tcPr>
                  <w:tcW w:w="4841" w:type="pct"/>
                  <w:gridSpan w:val="3"/>
                  <w:tcBorders>
                    <w:top w:val="nil"/>
                    <w:left w:val="nil"/>
                    <w:bottom w:val="nil"/>
                    <w:right w:val="nil"/>
                  </w:tcBorders>
                  <w:shd w:val="clear" w:color="auto" w:fill="auto"/>
                  <w:vAlign w:val="center"/>
                </w:tcPr>
                <w:p w14:paraId="00406810" w14:textId="77777777" w:rsidR="00692E71" w:rsidRPr="001E3185" w:rsidRDefault="00692E71" w:rsidP="008E0250">
                  <w:pPr>
                    <w:autoSpaceDE w:val="0"/>
                    <w:autoSpaceDN w:val="0"/>
                    <w:rPr>
                      <w:rFonts w:cs="Arial"/>
                      <w:sz w:val="18"/>
                      <w:szCs w:val="18"/>
                    </w:rPr>
                  </w:pPr>
                  <w:r w:rsidRPr="001E3185">
                    <w:rPr>
                      <w:rFonts w:cs="Arial"/>
                      <w:sz w:val="18"/>
                      <w:szCs w:val="18"/>
                      <w:vertAlign w:val="superscript"/>
                    </w:rPr>
                    <w:t>(</w:t>
                  </w:r>
                  <w:r w:rsidRPr="001E3185">
                    <w:rPr>
                      <w:rFonts w:cs="Arial"/>
                      <w:sz w:val="18"/>
                      <w:szCs w:val="18"/>
                    </w:rPr>
                    <w:t>*</w:t>
                  </w:r>
                  <w:r w:rsidRPr="001E3185">
                    <w:rPr>
                      <w:rFonts w:cs="Arial"/>
                      <w:sz w:val="18"/>
                      <w:szCs w:val="18"/>
                      <w:vertAlign w:val="superscript"/>
                    </w:rPr>
                    <w:t>)</w:t>
                  </w:r>
                  <w:r w:rsidRPr="001E3185">
                    <w:rPr>
                      <w:rFonts w:cs="Arial"/>
                      <w:sz w:val="18"/>
                      <w:szCs w:val="18"/>
                    </w:rPr>
                    <w:t xml:space="preserve"> – Relevant degradation product of tebuconazole and propiconazole in soil, with a maximum of 9% and 43.23% of applied radioactivity, respectively.</w:t>
                  </w:r>
                </w:p>
                <w:p w14:paraId="41E4CE7C" w14:textId="77777777" w:rsidR="00692E71" w:rsidRPr="001E3185" w:rsidRDefault="00692E71" w:rsidP="008E0250">
                  <w:pPr>
                    <w:autoSpaceDE w:val="0"/>
                    <w:autoSpaceDN w:val="0"/>
                    <w:rPr>
                      <w:rFonts w:cs="Arial"/>
                      <w:sz w:val="18"/>
                      <w:szCs w:val="18"/>
                    </w:rPr>
                  </w:pPr>
                  <w:r w:rsidRPr="001E3185">
                    <w:rPr>
                      <w:rFonts w:cs="Arial"/>
                      <w:sz w:val="18"/>
                      <w:szCs w:val="18"/>
                      <w:vertAlign w:val="superscript"/>
                    </w:rPr>
                    <w:t>(</w:t>
                  </w:r>
                  <w:r w:rsidRPr="001E3185">
                    <w:rPr>
                      <w:rFonts w:cs="Arial"/>
                      <w:sz w:val="18"/>
                      <w:szCs w:val="18"/>
                    </w:rPr>
                    <w:t>**</w:t>
                  </w:r>
                  <w:r w:rsidRPr="001E3185">
                    <w:rPr>
                      <w:rFonts w:cs="Arial"/>
                      <w:sz w:val="18"/>
                      <w:szCs w:val="18"/>
                      <w:vertAlign w:val="superscript"/>
                    </w:rPr>
                    <w:t>)</w:t>
                  </w:r>
                  <w:r w:rsidRPr="001E3185">
                    <w:rPr>
                      <w:rFonts w:cs="Arial"/>
                      <w:sz w:val="18"/>
                      <w:szCs w:val="18"/>
                    </w:rPr>
                    <w:t xml:space="preserve"> – Calculated according to the arrhenius equation with a DT</w:t>
                  </w:r>
                  <w:r w:rsidRPr="001E3185">
                    <w:rPr>
                      <w:rFonts w:cs="Arial"/>
                      <w:sz w:val="18"/>
                      <w:szCs w:val="18"/>
                      <w:vertAlign w:val="subscript"/>
                    </w:rPr>
                    <w:t>50</w:t>
                  </w:r>
                  <w:r w:rsidRPr="001E3185">
                    <w:rPr>
                      <w:rFonts w:cs="Arial"/>
                      <w:sz w:val="18"/>
                      <w:szCs w:val="18"/>
                    </w:rPr>
                    <w:t xml:space="preserve"> at 20°C of 60.5 days.</w:t>
                  </w:r>
                </w:p>
                <w:p w14:paraId="01D23D04" w14:textId="77777777" w:rsidR="00692E71" w:rsidRPr="001E3185" w:rsidRDefault="00692E71" w:rsidP="008E0250">
                  <w:pPr>
                    <w:autoSpaceDE w:val="0"/>
                    <w:autoSpaceDN w:val="0"/>
                    <w:rPr>
                      <w:rFonts w:cs="Arial"/>
                      <w:sz w:val="18"/>
                      <w:szCs w:val="18"/>
                    </w:rPr>
                  </w:pPr>
                  <w:r w:rsidRPr="001E3185">
                    <w:rPr>
                      <w:rFonts w:cs="Arial"/>
                      <w:sz w:val="18"/>
                      <w:szCs w:val="18"/>
                    </w:rPr>
                    <w:t>(***) – Relevant metabolite of IPBC in all environmental compartments assuming 100% of applied radioactivity.</w:t>
                  </w:r>
                </w:p>
              </w:tc>
            </w:tr>
          </w:tbl>
          <w:p w14:paraId="121449DE" w14:textId="77777777" w:rsidR="00692E71" w:rsidRPr="001E3185" w:rsidRDefault="00692E71" w:rsidP="008E0250">
            <w:pPr>
              <w:autoSpaceDE w:val="0"/>
              <w:autoSpaceDN w:val="0"/>
              <w:spacing w:before="120"/>
              <w:rPr>
                <w:rFonts w:cs="Arial"/>
              </w:rPr>
            </w:pPr>
            <w:r w:rsidRPr="001E3185">
              <w:rPr>
                <w:rFonts w:cs="Arial"/>
              </w:rPr>
              <w:t>Estimations of releases to groundwater is considered relevant by FR-CA for the following substances:</w:t>
            </w:r>
          </w:p>
          <w:p w14:paraId="2F629374" w14:textId="77777777" w:rsidR="00692E71" w:rsidRPr="001E3185" w:rsidRDefault="00692E71" w:rsidP="00F32B7F">
            <w:pPr>
              <w:pStyle w:val="Paragraphedeliste"/>
              <w:numPr>
                <w:ilvl w:val="0"/>
                <w:numId w:val="16"/>
              </w:numPr>
              <w:suppressAutoHyphens w:val="0"/>
              <w:autoSpaceDE w:val="0"/>
              <w:autoSpaceDN w:val="0"/>
              <w:spacing w:line="260" w:lineRule="atLeast"/>
              <w:contextualSpacing/>
              <w:rPr>
                <w:rFonts w:cs="Arial"/>
              </w:rPr>
            </w:pPr>
            <w:r w:rsidRPr="001E3185">
              <w:rPr>
                <w:rFonts w:cs="Arial"/>
              </w:rPr>
              <w:t>Tebuconazole;</w:t>
            </w:r>
          </w:p>
          <w:p w14:paraId="73BF9FC1" w14:textId="77777777" w:rsidR="00692E71" w:rsidRPr="001E3185" w:rsidRDefault="00692E71" w:rsidP="00F32B7F">
            <w:pPr>
              <w:pStyle w:val="Paragraphedeliste"/>
              <w:numPr>
                <w:ilvl w:val="0"/>
                <w:numId w:val="16"/>
              </w:numPr>
              <w:suppressAutoHyphens w:val="0"/>
              <w:autoSpaceDE w:val="0"/>
              <w:autoSpaceDN w:val="0"/>
              <w:spacing w:line="260" w:lineRule="atLeast"/>
              <w:contextualSpacing/>
              <w:rPr>
                <w:rFonts w:cs="Arial"/>
              </w:rPr>
            </w:pPr>
            <w:r w:rsidRPr="001E3185">
              <w:rPr>
                <w:rFonts w:cs="Arial"/>
              </w:rPr>
              <w:t>Propiconazole;</w:t>
            </w:r>
          </w:p>
          <w:p w14:paraId="1960AE6B" w14:textId="77777777" w:rsidR="00692E71" w:rsidRPr="001E3185" w:rsidRDefault="00692E71" w:rsidP="00F32B7F">
            <w:pPr>
              <w:pStyle w:val="Paragraphedeliste"/>
              <w:numPr>
                <w:ilvl w:val="0"/>
                <w:numId w:val="16"/>
              </w:numPr>
              <w:suppressAutoHyphens w:val="0"/>
              <w:autoSpaceDE w:val="0"/>
              <w:autoSpaceDN w:val="0"/>
              <w:spacing w:line="260" w:lineRule="atLeast"/>
              <w:contextualSpacing/>
              <w:rPr>
                <w:rFonts w:cs="Arial"/>
              </w:rPr>
            </w:pPr>
            <w:r w:rsidRPr="001E3185">
              <w:rPr>
                <w:rFonts w:cs="Arial"/>
              </w:rPr>
              <w:t>IPBC;</w:t>
            </w:r>
          </w:p>
          <w:p w14:paraId="2D1009BA" w14:textId="77777777" w:rsidR="00692E71" w:rsidRPr="001E3185" w:rsidRDefault="00692E71" w:rsidP="00F32B7F">
            <w:pPr>
              <w:pStyle w:val="Paragraphedeliste"/>
              <w:numPr>
                <w:ilvl w:val="0"/>
                <w:numId w:val="16"/>
              </w:numPr>
              <w:suppressAutoHyphens w:val="0"/>
              <w:autoSpaceDE w:val="0"/>
              <w:autoSpaceDN w:val="0"/>
              <w:spacing w:line="260" w:lineRule="atLeast"/>
              <w:contextualSpacing/>
              <w:rPr>
                <w:rFonts w:cs="Arial"/>
              </w:rPr>
            </w:pPr>
            <w:r w:rsidRPr="001E3185">
              <w:rPr>
                <w:rFonts w:cs="Arial"/>
              </w:rPr>
              <w:t>PBC;</w:t>
            </w:r>
          </w:p>
          <w:p w14:paraId="5B51E9A7" w14:textId="77777777" w:rsidR="00692E71" w:rsidRPr="001E3185" w:rsidRDefault="00692E71" w:rsidP="00F32B7F">
            <w:pPr>
              <w:pStyle w:val="Paragraphedeliste"/>
              <w:numPr>
                <w:ilvl w:val="0"/>
                <w:numId w:val="16"/>
              </w:numPr>
              <w:suppressAutoHyphens w:val="0"/>
              <w:autoSpaceDE w:val="0"/>
              <w:autoSpaceDN w:val="0"/>
              <w:spacing w:line="260" w:lineRule="atLeast"/>
              <w:contextualSpacing/>
              <w:rPr>
                <w:rFonts w:cs="Arial"/>
              </w:rPr>
            </w:pPr>
            <w:r w:rsidRPr="001E3185">
              <w:rPr>
                <w:rFonts w:cs="Arial"/>
              </w:rPr>
              <w:t>1</w:t>
            </w:r>
            <w:proofErr w:type="gramStart"/>
            <w:r w:rsidRPr="001E3185">
              <w:rPr>
                <w:rFonts w:cs="Arial"/>
              </w:rPr>
              <w:t>,2,4</w:t>
            </w:r>
            <w:proofErr w:type="gramEnd"/>
            <w:r w:rsidRPr="001E3185">
              <w:rPr>
                <w:rFonts w:cs="Arial"/>
              </w:rPr>
              <w:t>-triazole.</w:t>
            </w:r>
          </w:p>
          <w:p w14:paraId="707D97A3" w14:textId="77777777" w:rsidR="00692E71" w:rsidRPr="001E3185" w:rsidRDefault="00692E71" w:rsidP="008E0250">
            <w:pPr>
              <w:spacing w:line="276" w:lineRule="auto"/>
              <w:rPr>
                <w:rFonts w:cs="Arial"/>
              </w:rPr>
            </w:pPr>
          </w:p>
          <w:p w14:paraId="1D2F3E9B" w14:textId="77777777" w:rsidR="00692E71" w:rsidRPr="001E3185" w:rsidRDefault="00692E71" w:rsidP="008E0250">
            <w:pPr>
              <w:spacing w:line="276" w:lineRule="auto"/>
              <w:rPr>
                <w:rFonts w:cs="Arial"/>
              </w:rPr>
            </w:pPr>
            <w:r w:rsidRPr="00627390">
              <w:rPr>
                <w:rFonts w:cs="Arial"/>
              </w:rPr>
              <w:t>According to the paragraph 580</w:t>
            </w:r>
            <w:r w:rsidRPr="001E3185">
              <w:rPr>
                <w:rFonts w:cs="Arial"/>
              </w:rPr>
              <w:t xml:space="preserve"> of the PT08-ESD (2013), a groundwater assessment is only necessary for the house scenario, which can be considered to be the worst case for soil exposure, thus covering all other scenarios. </w:t>
            </w:r>
          </w:p>
          <w:p w14:paraId="3881737C" w14:textId="77777777" w:rsidR="00692E71" w:rsidRPr="001E3185" w:rsidRDefault="00692E71" w:rsidP="008E0250">
            <w:pPr>
              <w:spacing w:line="276" w:lineRule="auto"/>
              <w:rPr>
                <w:rFonts w:cs="Arial"/>
              </w:rPr>
            </w:pPr>
            <w:r w:rsidRPr="001E3185">
              <w:rPr>
                <w:rFonts w:cs="Arial"/>
              </w:rPr>
              <w:lastRenderedPageBreak/>
              <w:t>Consequently to the environmental risk assessment performed for the application phase, it is recommended on the label to cover the soil during the application by brushing or spraying. Then, no emission into the soil occurs during the application. Therefore, only emissions into the soil during the service-life of the treated wood due to leaching are taken into account to estimate the contamination of the groundwater.</w:t>
            </w:r>
          </w:p>
          <w:p w14:paraId="59383835" w14:textId="77777777" w:rsidR="00692E71" w:rsidRPr="001E3185" w:rsidRDefault="00692E71" w:rsidP="008E0250">
            <w:pPr>
              <w:autoSpaceDE w:val="0"/>
              <w:autoSpaceDN w:val="0"/>
              <w:spacing w:before="120" w:after="120"/>
              <w:rPr>
                <w:rFonts w:cs="Arial"/>
              </w:rPr>
            </w:pPr>
            <w:r w:rsidRPr="001E3185">
              <w:rPr>
                <w:rFonts w:cs="Arial"/>
              </w:rPr>
              <w:t>The scenario for the groundwater exposure assessment for wood preservatives described in the supplement of the appendix 4 of the PT08-ESD, based on leaching values.</w:t>
            </w:r>
          </w:p>
          <w:p w14:paraId="5CD13320" w14:textId="77777777" w:rsidR="00692E71" w:rsidRPr="001E3185" w:rsidRDefault="00692E71" w:rsidP="008E0250">
            <w:pPr>
              <w:autoSpaceDE w:val="0"/>
              <w:autoSpaceDN w:val="0"/>
              <w:rPr>
                <w:rFonts w:cs="Arial"/>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4"/>
              <w:gridCol w:w="954"/>
              <w:gridCol w:w="1272"/>
              <w:gridCol w:w="1202"/>
              <w:gridCol w:w="1150"/>
              <w:gridCol w:w="1134"/>
              <w:gridCol w:w="1559"/>
            </w:tblGrid>
            <w:tr w:rsidR="00692E71" w:rsidRPr="001E3185" w14:paraId="45A4A668" w14:textId="77777777" w:rsidTr="008E0250">
              <w:trPr>
                <w:trHeight w:val="283"/>
                <w:tblHeader/>
                <w:jc w:val="center"/>
              </w:trPr>
              <w:tc>
                <w:tcPr>
                  <w:tcW w:w="2034" w:type="dxa"/>
                  <w:shd w:val="clear" w:color="auto" w:fill="BFBFBF"/>
                  <w:vAlign w:val="center"/>
                  <w:hideMark/>
                </w:tcPr>
                <w:p w14:paraId="60A345B7" w14:textId="77777777" w:rsidR="00692E71" w:rsidRPr="001E3185" w:rsidRDefault="00692E71" w:rsidP="008E0250">
                  <w:pPr>
                    <w:rPr>
                      <w:rFonts w:cs="Arial"/>
                      <w:b/>
                      <w:bCs/>
                      <w:color w:val="000000"/>
                      <w:lang w:eastAsia="fr-FR"/>
                    </w:rPr>
                  </w:pPr>
                  <w:r w:rsidRPr="001E3185">
                    <w:rPr>
                      <w:rFonts w:cs="Arial"/>
                      <w:b/>
                      <w:bCs/>
                      <w:color w:val="000000"/>
                      <w:lang w:eastAsia="fr-FR"/>
                    </w:rPr>
                    <w:t>Input parameter</w:t>
                  </w:r>
                </w:p>
              </w:tc>
              <w:tc>
                <w:tcPr>
                  <w:tcW w:w="954" w:type="dxa"/>
                  <w:shd w:val="clear" w:color="auto" w:fill="BFBFBF"/>
                  <w:vAlign w:val="center"/>
                  <w:hideMark/>
                </w:tcPr>
                <w:p w14:paraId="72B65751" w14:textId="77777777" w:rsidR="00692E71" w:rsidRPr="001E3185" w:rsidRDefault="00692E71" w:rsidP="008E0250">
                  <w:pPr>
                    <w:jc w:val="center"/>
                    <w:rPr>
                      <w:rFonts w:cs="Arial"/>
                      <w:b/>
                      <w:bCs/>
                      <w:color w:val="000000"/>
                      <w:lang w:eastAsia="fr-FR"/>
                    </w:rPr>
                  </w:pPr>
                  <w:r w:rsidRPr="001E3185">
                    <w:rPr>
                      <w:rFonts w:cs="Arial"/>
                      <w:b/>
                      <w:bCs/>
                      <w:color w:val="000000"/>
                      <w:lang w:eastAsia="fr-FR"/>
                    </w:rPr>
                    <w:t>Unit</w:t>
                  </w:r>
                </w:p>
              </w:tc>
              <w:tc>
                <w:tcPr>
                  <w:tcW w:w="6317" w:type="dxa"/>
                  <w:gridSpan w:val="5"/>
                  <w:shd w:val="clear" w:color="auto" w:fill="BFBFBF"/>
                  <w:vAlign w:val="center"/>
                  <w:hideMark/>
                </w:tcPr>
                <w:p w14:paraId="5840B676" w14:textId="77777777" w:rsidR="00692E71" w:rsidRPr="001E3185" w:rsidRDefault="00692E71" w:rsidP="008E0250">
                  <w:pPr>
                    <w:jc w:val="center"/>
                    <w:rPr>
                      <w:rFonts w:cs="Arial"/>
                      <w:b/>
                      <w:bCs/>
                      <w:color w:val="000000"/>
                      <w:lang w:eastAsia="fr-FR"/>
                    </w:rPr>
                  </w:pPr>
                  <w:r w:rsidRPr="001E3185">
                    <w:rPr>
                      <w:rFonts w:cs="Arial"/>
                      <w:b/>
                      <w:bCs/>
                      <w:color w:val="000000"/>
                      <w:lang w:eastAsia="fr-FR"/>
                    </w:rPr>
                    <w:t>Value</w:t>
                  </w:r>
                </w:p>
              </w:tc>
            </w:tr>
            <w:tr w:rsidR="00692E71" w:rsidRPr="001E3185" w14:paraId="0B250191" w14:textId="77777777" w:rsidTr="008E0250">
              <w:trPr>
                <w:trHeight w:val="283"/>
                <w:jc w:val="center"/>
              </w:trPr>
              <w:tc>
                <w:tcPr>
                  <w:tcW w:w="2988" w:type="dxa"/>
                  <w:gridSpan w:val="2"/>
                  <w:shd w:val="clear" w:color="auto" w:fill="DBE5F1"/>
                  <w:vAlign w:val="center"/>
                </w:tcPr>
                <w:p w14:paraId="5890BFF1" w14:textId="77777777" w:rsidR="00692E71" w:rsidRPr="001E3185" w:rsidRDefault="00692E71" w:rsidP="008E0250">
                  <w:pPr>
                    <w:rPr>
                      <w:rFonts w:cs="Arial"/>
                      <w:b/>
                      <w:bCs/>
                      <w:color w:val="4F6228"/>
                      <w:lang w:eastAsia="fr-FR"/>
                    </w:rPr>
                  </w:pPr>
                </w:p>
              </w:tc>
              <w:tc>
                <w:tcPr>
                  <w:tcW w:w="1272" w:type="dxa"/>
                  <w:shd w:val="clear" w:color="auto" w:fill="DBE5F1"/>
                  <w:vAlign w:val="center"/>
                  <w:hideMark/>
                </w:tcPr>
                <w:p w14:paraId="44206A6D" w14:textId="77777777" w:rsidR="00692E71" w:rsidRPr="001E3185" w:rsidRDefault="00692E71" w:rsidP="008E0250">
                  <w:pPr>
                    <w:jc w:val="center"/>
                    <w:rPr>
                      <w:rFonts w:cs="Arial"/>
                      <w:b/>
                      <w:bCs/>
                      <w:color w:val="4F6228"/>
                      <w:lang w:eastAsia="fr-FR"/>
                    </w:rPr>
                  </w:pPr>
                  <w:r w:rsidRPr="001E3185">
                    <w:rPr>
                      <w:rFonts w:cs="Arial"/>
                      <w:b/>
                      <w:bCs/>
                      <w:color w:val="4F6228"/>
                      <w:lang w:eastAsia="fr-FR"/>
                    </w:rPr>
                    <w:t>Tebuco-nazole</w:t>
                  </w:r>
                </w:p>
              </w:tc>
              <w:tc>
                <w:tcPr>
                  <w:tcW w:w="1202" w:type="dxa"/>
                  <w:shd w:val="clear" w:color="auto" w:fill="DBE5F1"/>
                  <w:vAlign w:val="center"/>
                  <w:hideMark/>
                </w:tcPr>
                <w:p w14:paraId="2A9FA453" w14:textId="77777777" w:rsidR="00692E71" w:rsidRPr="001E3185" w:rsidRDefault="00692E71" w:rsidP="008E0250">
                  <w:pPr>
                    <w:jc w:val="center"/>
                    <w:rPr>
                      <w:rFonts w:cs="Arial"/>
                      <w:b/>
                      <w:bCs/>
                      <w:color w:val="4F6228"/>
                      <w:lang w:eastAsia="fr-FR"/>
                    </w:rPr>
                  </w:pPr>
                  <w:r w:rsidRPr="001E3185">
                    <w:rPr>
                      <w:rFonts w:cs="Arial"/>
                      <w:b/>
                      <w:bCs/>
                      <w:color w:val="4F6228"/>
                      <w:lang w:eastAsia="fr-FR"/>
                    </w:rPr>
                    <w:t>Propico-nazole</w:t>
                  </w:r>
                </w:p>
              </w:tc>
              <w:tc>
                <w:tcPr>
                  <w:tcW w:w="1150" w:type="dxa"/>
                  <w:shd w:val="clear" w:color="auto" w:fill="DBE5F1"/>
                  <w:vAlign w:val="center"/>
                </w:tcPr>
                <w:p w14:paraId="496FDDFE" w14:textId="77777777" w:rsidR="00692E71" w:rsidRPr="001E3185" w:rsidRDefault="00692E71" w:rsidP="008E0250">
                  <w:pPr>
                    <w:jc w:val="center"/>
                    <w:rPr>
                      <w:rFonts w:cs="Arial"/>
                      <w:b/>
                      <w:bCs/>
                      <w:color w:val="4F6228"/>
                      <w:lang w:eastAsia="fr-FR"/>
                    </w:rPr>
                  </w:pPr>
                  <w:r w:rsidRPr="001E3185">
                    <w:rPr>
                      <w:rFonts w:cs="Arial"/>
                      <w:b/>
                      <w:bCs/>
                      <w:color w:val="4F6228"/>
                      <w:lang w:eastAsia="fr-FR"/>
                    </w:rPr>
                    <w:t>IPBC</w:t>
                  </w:r>
                </w:p>
              </w:tc>
              <w:tc>
                <w:tcPr>
                  <w:tcW w:w="1134" w:type="dxa"/>
                  <w:shd w:val="clear" w:color="auto" w:fill="DBE5F1"/>
                  <w:vAlign w:val="center"/>
                </w:tcPr>
                <w:p w14:paraId="63A42AF2" w14:textId="77777777" w:rsidR="00692E71" w:rsidRPr="001E3185" w:rsidRDefault="00692E71" w:rsidP="008E0250">
                  <w:pPr>
                    <w:jc w:val="center"/>
                    <w:rPr>
                      <w:rFonts w:cs="Arial"/>
                      <w:b/>
                      <w:bCs/>
                      <w:color w:val="4F6228"/>
                      <w:lang w:eastAsia="fr-FR"/>
                    </w:rPr>
                  </w:pPr>
                  <w:r w:rsidRPr="001E3185">
                    <w:rPr>
                      <w:rFonts w:cs="Arial"/>
                      <w:b/>
                      <w:bCs/>
                      <w:color w:val="4F6228"/>
                      <w:lang w:eastAsia="fr-FR"/>
                    </w:rPr>
                    <w:t>PBC</w:t>
                  </w:r>
                </w:p>
              </w:tc>
              <w:tc>
                <w:tcPr>
                  <w:tcW w:w="1559" w:type="dxa"/>
                  <w:shd w:val="clear" w:color="auto" w:fill="DBE5F1"/>
                  <w:vAlign w:val="center"/>
                </w:tcPr>
                <w:p w14:paraId="2C105F4E" w14:textId="77777777" w:rsidR="00692E71" w:rsidRPr="001E3185" w:rsidRDefault="00692E71" w:rsidP="008E0250">
                  <w:pPr>
                    <w:jc w:val="center"/>
                    <w:rPr>
                      <w:rFonts w:cs="Arial"/>
                      <w:b/>
                      <w:bCs/>
                      <w:color w:val="4F6228"/>
                      <w:lang w:eastAsia="fr-FR"/>
                    </w:rPr>
                  </w:pPr>
                  <w:r w:rsidRPr="001E3185">
                    <w:rPr>
                      <w:rFonts w:cs="Arial"/>
                      <w:b/>
                      <w:bCs/>
                      <w:color w:val="4F6228"/>
                      <w:lang w:eastAsia="fr-FR"/>
                    </w:rPr>
                    <w:t>1,2,4-triazole</w:t>
                  </w:r>
                </w:p>
              </w:tc>
            </w:tr>
            <w:tr w:rsidR="00692E71" w:rsidRPr="001E3185" w14:paraId="61970127" w14:textId="77777777" w:rsidTr="008E0250">
              <w:trPr>
                <w:trHeight w:val="283"/>
                <w:jc w:val="center"/>
              </w:trPr>
              <w:tc>
                <w:tcPr>
                  <w:tcW w:w="9305" w:type="dxa"/>
                  <w:gridSpan w:val="7"/>
                  <w:shd w:val="clear" w:color="auto" w:fill="DBE5F1"/>
                  <w:vAlign w:val="center"/>
                </w:tcPr>
                <w:p w14:paraId="25B9BD11" w14:textId="77777777" w:rsidR="00692E71" w:rsidRPr="001E3185" w:rsidRDefault="00692E71" w:rsidP="008E0250">
                  <w:pPr>
                    <w:rPr>
                      <w:rFonts w:cs="Arial"/>
                      <w:b/>
                      <w:bCs/>
                      <w:color w:val="4F6228"/>
                      <w:lang w:eastAsia="fr-FR"/>
                    </w:rPr>
                  </w:pPr>
                  <w:r w:rsidRPr="001E3185">
                    <w:rPr>
                      <w:rFonts w:cs="Arial"/>
                      <w:b/>
                      <w:bCs/>
                      <w:color w:val="4F6228"/>
                      <w:lang w:eastAsia="fr-FR"/>
                    </w:rPr>
                    <w:t>Physicochemical parameters</w:t>
                  </w:r>
                </w:p>
              </w:tc>
            </w:tr>
            <w:tr w:rsidR="00692E71" w:rsidRPr="001E3185" w14:paraId="629125D2" w14:textId="77777777" w:rsidTr="008E0250">
              <w:trPr>
                <w:trHeight w:val="283"/>
                <w:jc w:val="center"/>
              </w:trPr>
              <w:tc>
                <w:tcPr>
                  <w:tcW w:w="2034" w:type="dxa"/>
                  <w:vAlign w:val="center"/>
                  <w:hideMark/>
                </w:tcPr>
                <w:p w14:paraId="7914160C" w14:textId="77777777" w:rsidR="00692E71" w:rsidRPr="001E3185" w:rsidRDefault="00692E71" w:rsidP="008E0250">
                  <w:pPr>
                    <w:rPr>
                      <w:rFonts w:cs="Arial"/>
                      <w:color w:val="000000"/>
                      <w:lang w:eastAsia="fr-FR"/>
                    </w:rPr>
                  </w:pPr>
                  <w:r w:rsidRPr="001E3185">
                    <w:rPr>
                      <w:rFonts w:cs="Arial"/>
                      <w:color w:val="000000"/>
                      <w:lang w:eastAsia="fr-FR"/>
                    </w:rPr>
                    <w:t>Molar mass</w:t>
                  </w:r>
                </w:p>
              </w:tc>
              <w:tc>
                <w:tcPr>
                  <w:tcW w:w="954" w:type="dxa"/>
                  <w:vAlign w:val="center"/>
                  <w:hideMark/>
                </w:tcPr>
                <w:p w14:paraId="129EC53F" w14:textId="77777777" w:rsidR="00692E71" w:rsidRPr="001E3185" w:rsidRDefault="00692E71" w:rsidP="008E0250">
                  <w:pPr>
                    <w:jc w:val="center"/>
                    <w:rPr>
                      <w:rFonts w:cs="Arial"/>
                      <w:color w:val="000000"/>
                      <w:lang w:eastAsia="fr-FR"/>
                    </w:rPr>
                  </w:pPr>
                  <w:r w:rsidRPr="001E3185">
                    <w:rPr>
                      <w:rFonts w:cs="Arial"/>
                      <w:color w:val="000000"/>
                      <w:lang w:eastAsia="fr-FR"/>
                    </w:rPr>
                    <w:t>g.mol</w:t>
                  </w:r>
                  <w:r w:rsidRPr="001E3185">
                    <w:rPr>
                      <w:rFonts w:cs="Arial"/>
                      <w:color w:val="000000"/>
                      <w:vertAlign w:val="superscript"/>
                      <w:lang w:eastAsia="fr-FR"/>
                    </w:rPr>
                    <w:t>-1</w:t>
                  </w:r>
                </w:p>
              </w:tc>
              <w:tc>
                <w:tcPr>
                  <w:tcW w:w="1272" w:type="dxa"/>
                  <w:vAlign w:val="center"/>
                </w:tcPr>
                <w:p w14:paraId="7001B12A" w14:textId="77777777" w:rsidR="00692E71" w:rsidRPr="001E3185" w:rsidRDefault="00692E71" w:rsidP="008E0250">
                  <w:pPr>
                    <w:jc w:val="center"/>
                    <w:rPr>
                      <w:rFonts w:cs="Arial"/>
                      <w:color w:val="000000"/>
                      <w:lang w:eastAsia="fr-FR"/>
                    </w:rPr>
                  </w:pPr>
                  <w:r w:rsidRPr="001E3185">
                    <w:rPr>
                      <w:rFonts w:cs="Arial"/>
                      <w:color w:val="000000"/>
                      <w:lang w:eastAsia="fr-FR"/>
                    </w:rPr>
                    <w:t>307.8</w:t>
                  </w:r>
                </w:p>
              </w:tc>
              <w:tc>
                <w:tcPr>
                  <w:tcW w:w="1202" w:type="dxa"/>
                  <w:vAlign w:val="center"/>
                </w:tcPr>
                <w:p w14:paraId="0BF689B4" w14:textId="77777777" w:rsidR="00692E71" w:rsidRPr="001E3185" w:rsidRDefault="00692E71" w:rsidP="008E0250">
                  <w:pPr>
                    <w:jc w:val="center"/>
                    <w:rPr>
                      <w:rFonts w:cs="Arial"/>
                      <w:lang w:eastAsia="fr-FR"/>
                    </w:rPr>
                  </w:pPr>
                  <w:r w:rsidRPr="001E3185">
                    <w:rPr>
                      <w:rFonts w:cs="Arial"/>
                      <w:lang w:eastAsia="fr-FR"/>
                    </w:rPr>
                    <w:t>342.2</w:t>
                  </w:r>
                </w:p>
              </w:tc>
              <w:tc>
                <w:tcPr>
                  <w:tcW w:w="1150" w:type="dxa"/>
                  <w:vAlign w:val="center"/>
                </w:tcPr>
                <w:p w14:paraId="0C0D722B" w14:textId="77777777" w:rsidR="00692E71" w:rsidRPr="001E3185" w:rsidRDefault="00692E71" w:rsidP="008E0250">
                  <w:pPr>
                    <w:jc w:val="center"/>
                    <w:rPr>
                      <w:rFonts w:cs="Arial"/>
                      <w:color w:val="000000"/>
                      <w:lang w:eastAsia="fr-FR"/>
                    </w:rPr>
                  </w:pPr>
                  <w:r w:rsidRPr="001E3185">
                    <w:rPr>
                      <w:rFonts w:cs="Arial"/>
                      <w:color w:val="000000"/>
                      <w:lang w:eastAsia="fr-FR"/>
                    </w:rPr>
                    <w:t>281.1</w:t>
                  </w:r>
                </w:p>
              </w:tc>
              <w:tc>
                <w:tcPr>
                  <w:tcW w:w="1134" w:type="dxa"/>
                  <w:vAlign w:val="center"/>
                </w:tcPr>
                <w:p w14:paraId="7AE1A2CD" w14:textId="77777777" w:rsidR="00692E71" w:rsidRPr="001E3185" w:rsidRDefault="00692E71" w:rsidP="008E0250">
                  <w:pPr>
                    <w:jc w:val="center"/>
                    <w:rPr>
                      <w:rFonts w:cs="Arial"/>
                      <w:color w:val="000000"/>
                      <w:lang w:eastAsia="fr-FR"/>
                    </w:rPr>
                  </w:pPr>
                  <w:r w:rsidRPr="001E3185">
                    <w:rPr>
                      <w:rFonts w:cs="Arial"/>
                      <w:color w:val="000000"/>
                      <w:lang w:eastAsia="fr-FR"/>
                    </w:rPr>
                    <w:t>155.2</w:t>
                  </w:r>
                </w:p>
              </w:tc>
              <w:tc>
                <w:tcPr>
                  <w:tcW w:w="1559" w:type="dxa"/>
                  <w:vAlign w:val="center"/>
                </w:tcPr>
                <w:p w14:paraId="3D2F81BE" w14:textId="77777777" w:rsidR="00692E71" w:rsidRPr="001E3185" w:rsidRDefault="00692E71" w:rsidP="008E0250">
                  <w:pPr>
                    <w:jc w:val="center"/>
                    <w:rPr>
                      <w:rFonts w:cs="Arial"/>
                      <w:color w:val="000000"/>
                      <w:lang w:eastAsia="fr-FR"/>
                    </w:rPr>
                  </w:pPr>
                  <w:r w:rsidRPr="001E3185">
                    <w:rPr>
                      <w:rFonts w:cs="Arial"/>
                      <w:color w:val="000000"/>
                      <w:lang w:eastAsia="fr-FR"/>
                    </w:rPr>
                    <w:t>69.1</w:t>
                  </w:r>
                </w:p>
              </w:tc>
            </w:tr>
            <w:tr w:rsidR="00692E71" w:rsidRPr="001E3185" w14:paraId="5A575069" w14:textId="77777777" w:rsidTr="008E0250">
              <w:trPr>
                <w:trHeight w:val="283"/>
                <w:jc w:val="center"/>
              </w:trPr>
              <w:tc>
                <w:tcPr>
                  <w:tcW w:w="2034" w:type="dxa"/>
                  <w:vAlign w:val="center"/>
                  <w:hideMark/>
                </w:tcPr>
                <w:p w14:paraId="7564D449" w14:textId="77777777" w:rsidR="00692E71" w:rsidRPr="001E3185" w:rsidRDefault="00692E71" w:rsidP="008E0250">
                  <w:pPr>
                    <w:rPr>
                      <w:rFonts w:cs="Arial"/>
                      <w:color w:val="000000"/>
                      <w:lang w:eastAsia="fr-FR"/>
                    </w:rPr>
                  </w:pPr>
                  <w:r w:rsidRPr="001E3185">
                    <w:rPr>
                      <w:rFonts w:cs="Arial"/>
                      <w:color w:val="000000"/>
                      <w:lang w:eastAsia="fr-FR"/>
                    </w:rPr>
                    <w:t>Water solubility (25 °C)</w:t>
                  </w:r>
                </w:p>
              </w:tc>
              <w:tc>
                <w:tcPr>
                  <w:tcW w:w="954" w:type="dxa"/>
                  <w:vAlign w:val="center"/>
                  <w:hideMark/>
                </w:tcPr>
                <w:p w14:paraId="3830DD0C" w14:textId="77777777" w:rsidR="00692E71" w:rsidRPr="001E3185" w:rsidRDefault="00692E71" w:rsidP="008E0250">
                  <w:pPr>
                    <w:jc w:val="center"/>
                    <w:rPr>
                      <w:rFonts w:cs="Arial"/>
                      <w:color w:val="000000"/>
                      <w:lang w:eastAsia="fr-FR"/>
                    </w:rPr>
                  </w:pPr>
                  <w:r w:rsidRPr="001E3185">
                    <w:rPr>
                      <w:rFonts w:cs="Arial"/>
                      <w:color w:val="000000"/>
                      <w:lang w:eastAsia="fr-FR"/>
                    </w:rPr>
                    <w:t>mg.L</w:t>
                  </w:r>
                  <w:r w:rsidRPr="001E3185">
                    <w:rPr>
                      <w:rFonts w:cs="Arial"/>
                      <w:color w:val="000000"/>
                      <w:vertAlign w:val="superscript"/>
                      <w:lang w:eastAsia="fr-FR"/>
                    </w:rPr>
                    <w:t>-1</w:t>
                  </w:r>
                </w:p>
              </w:tc>
              <w:tc>
                <w:tcPr>
                  <w:tcW w:w="1272" w:type="dxa"/>
                  <w:vAlign w:val="center"/>
                </w:tcPr>
                <w:p w14:paraId="459CD7D2" w14:textId="77777777" w:rsidR="00692E71" w:rsidRPr="001E3185" w:rsidRDefault="00692E71" w:rsidP="008E0250">
                  <w:pPr>
                    <w:jc w:val="center"/>
                    <w:rPr>
                      <w:rFonts w:cs="Arial"/>
                      <w:color w:val="000000"/>
                      <w:lang w:eastAsia="fr-FR"/>
                    </w:rPr>
                  </w:pPr>
                  <w:r w:rsidRPr="001E3185">
                    <w:rPr>
                      <w:rFonts w:cs="Arial"/>
                      <w:color w:val="000000"/>
                      <w:lang w:eastAsia="fr-FR"/>
                    </w:rPr>
                    <w:t>29</w:t>
                  </w:r>
                </w:p>
              </w:tc>
              <w:tc>
                <w:tcPr>
                  <w:tcW w:w="1202" w:type="dxa"/>
                  <w:vAlign w:val="center"/>
                </w:tcPr>
                <w:p w14:paraId="2D10718D" w14:textId="77777777" w:rsidR="00692E71" w:rsidRPr="001E3185" w:rsidRDefault="00692E71" w:rsidP="008E0250">
                  <w:pPr>
                    <w:jc w:val="center"/>
                    <w:rPr>
                      <w:rFonts w:cs="Arial"/>
                      <w:lang w:eastAsia="fr-FR"/>
                    </w:rPr>
                  </w:pPr>
                  <w:r w:rsidRPr="001E3185">
                    <w:rPr>
                      <w:rFonts w:cs="Arial"/>
                      <w:lang w:eastAsia="fr-FR"/>
                    </w:rPr>
                    <w:t>100</w:t>
                  </w:r>
                </w:p>
              </w:tc>
              <w:tc>
                <w:tcPr>
                  <w:tcW w:w="1150" w:type="dxa"/>
                  <w:vAlign w:val="center"/>
                </w:tcPr>
                <w:p w14:paraId="6AE0F507" w14:textId="77777777" w:rsidR="00692E71" w:rsidRPr="001E3185" w:rsidRDefault="00692E71" w:rsidP="008E0250">
                  <w:pPr>
                    <w:jc w:val="center"/>
                    <w:rPr>
                      <w:rFonts w:cs="Arial"/>
                      <w:color w:val="000000"/>
                      <w:lang w:eastAsia="fr-FR"/>
                    </w:rPr>
                  </w:pPr>
                  <w:r w:rsidRPr="001E3185">
                    <w:rPr>
                      <w:rFonts w:cs="Arial"/>
                      <w:color w:val="000000"/>
                      <w:lang w:eastAsia="fr-FR"/>
                    </w:rPr>
                    <w:t>168</w:t>
                  </w:r>
                </w:p>
              </w:tc>
              <w:tc>
                <w:tcPr>
                  <w:tcW w:w="1134" w:type="dxa"/>
                  <w:vAlign w:val="center"/>
                </w:tcPr>
                <w:p w14:paraId="53250055" w14:textId="77777777" w:rsidR="00692E71" w:rsidRPr="001E3185" w:rsidRDefault="00692E71" w:rsidP="008E0250">
                  <w:pPr>
                    <w:jc w:val="center"/>
                    <w:rPr>
                      <w:rFonts w:cs="Arial"/>
                      <w:color w:val="000000"/>
                      <w:lang w:eastAsia="fr-FR"/>
                    </w:rPr>
                  </w:pPr>
                  <w:r w:rsidRPr="001E3185">
                    <w:rPr>
                      <w:rFonts w:cs="Arial"/>
                      <w:color w:val="000000"/>
                      <w:lang w:eastAsia="fr-FR"/>
                    </w:rPr>
                    <w:t>2860</w:t>
                  </w:r>
                </w:p>
              </w:tc>
              <w:tc>
                <w:tcPr>
                  <w:tcW w:w="1559" w:type="dxa"/>
                  <w:vAlign w:val="center"/>
                </w:tcPr>
                <w:p w14:paraId="4D8AA135" w14:textId="77777777" w:rsidR="00692E71" w:rsidRPr="001E3185" w:rsidRDefault="00692E71" w:rsidP="008E0250">
                  <w:pPr>
                    <w:jc w:val="center"/>
                    <w:rPr>
                      <w:rFonts w:cs="Arial"/>
                      <w:color w:val="000000"/>
                      <w:lang w:eastAsia="fr-FR"/>
                    </w:rPr>
                  </w:pPr>
                  <w:r w:rsidRPr="001E3185">
                    <w:rPr>
                      <w:rFonts w:cs="Arial"/>
                      <w:color w:val="000000"/>
                      <w:lang w:eastAsia="fr-FR"/>
                    </w:rPr>
                    <w:t>700 000</w:t>
                  </w:r>
                </w:p>
              </w:tc>
            </w:tr>
            <w:tr w:rsidR="00692E71" w:rsidRPr="001E3185" w14:paraId="2E553440" w14:textId="77777777" w:rsidTr="008E0250">
              <w:trPr>
                <w:trHeight w:val="283"/>
                <w:jc w:val="center"/>
              </w:trPr>
              <w:tc>
                <w:tcPr>
                  <w:tcW w:w="2034" w:type="dxa"/>
                  <w:vAlign w:val="center"/>
                  <w:hideMark/>
                </w:tcPr>
                <w:p w14:paraId="62B4A409" w14:textId="77777777" w:rsidR="00692E71" w:rsidRPr="001E3185" w:rsidRDefault="00692E71" w:rsidP="008E0250">
                  <w:pPr>
                    <w:rPr>
                      <w:rFonts w:cs="Arial"/>
                      <w:color w:val="000000"/>
                      <w:lang w:eastAsia="fr-FR"/>
                    </w:rPr>
                  </w:pPr>
                  <w:r w:rsidRPr="001E3185">
                    <w:rPr>
                      <w:rFonts w:cs="Arial"/>
                      <w:color w:val="000000"/>
                      <w:lang w:eastAsia="fr-FR"/>
                    </w:rPr>
                    <w:t>Molar enthalpy of dissolution</w:t>
                  </w:r>
                </w:p>
              </w:tc>
              <w:tc>
                <w:tcPr>
                  <w:tcW w:w="954" w:type="dxa"/>
                  <w:vAlign w:val="center"/>
                  <w:hideMark/>
                </w:tcPr>
                <w:p w14:paraId="4705C995" w14:textId="77777777" w:rsidR="00692E71" w:rsidRPr="001E3185" w:rsidRDefault="00692E71" w:rsidP="008E0250">
                  <w:pPr>
                    <w:jc w:val="center"/>
                    <w:rPr>
                      <w:rFonts w:cs="Arial"/>
                      <w:color w:val="000000"/>
                      <w:lang w:eastAsia="fr-FR"/>
                    </w:rPr>
                  </w:pPr>
                  <w:r w:rsidRPr="001E3185">
                    <w:rPr>
                      <w:rFonts w:cs="Arial"/>
                      <w:color w:val="000000"/>
                      <w:lang w:eastAsia="fr-FR"/>
                    </w:rPr>
                    <w:t>kJ.mol</w:t>
                  </w:r>
                  <w:r w:rsidRPr="001E3185">
                    <w:rPr>
                      <w:rFonts w:cs="Arial"/>
                      <w:color w:val="000000"/>
                      <w:vertAlign w:val="superscript"/>
                      <w:lang w:eastAsia="fr-FR"/>
                    </w:rPr>
                    <w:t>-1</w:t>
                  </w:r>
                </w:p>
              </w:tc>
              <w:tc>
                <w:tcPr>
                  <w:tcW w:w="6317" w:type="dxa"/>
                  <w:gridSpan w:val="5"/>
                  <w:vAlign w:val="center"/>
                  <w:hideMark/>
                </w:tcPr>
                <w:p w14:paraId="44132A93" w14:textId="77777777" w:rsidR="00692E71" w:rsidRPr="001E3185" w:rsidRDefault="00692E71" w:rsidP="008E0250">
                  <w:pPr>
                    <w:jc w:val="center"/>
                    <w:rPr>
                      <w:rFonts w:cs="Arial"/>
                      <w:color w:val="000000"/>
                      <w:lang w:eastAsia="fr-FR"/>
                    </w:rPr>
                  </w:pPr>
                  <w:r w:rsidRPr="001E3185">
                    <w:rPr>
                      <w:rFonts w:cs="Arial"/>
                      <w:color w:val="000000"/>
                      <w:lang w:eastAsia="fr-FR"/>
                    </w:rPr>
                    <w:t>27</w:t>
                  </w:r>
                </w:p>
              </w:tc>
            </w:tr>
            <w:tr w:rsidR="00692E71" w:rsidRPr="001E3185" w14:paraId="5B4AD200" w14:textId="77777777" w:rsidTr="008E0250">
              <w:trPr>
                <w:trHeight w:val="283"/>
                <w:jc w:val="center"/>
              </w:trPr>
              <w:tc>
                <w:tcPr>
                  <w:tcW w:w="2034" w:type="dxa"/>
                  <w:vAlign w:val="center"/>
                  <w:hideMark/>
                </w:tcPr>
                <w:p w14:paraId="15C255D7" w14:textId="77777777" w:rsidR="00692E71" w:rsidRPr="001E3185" w:rsidRDefault="00692E71" w:rsidP="008E0250">
                  <w:pPr>
                    <w:rPr>
                      <w:rFonts w:cs="Arial"/>
                      <w:color w:val="000000"/>
                      <w:lang w:eastAsia="fr-FR"/>
                    </w:rPr>
                  </w:pPr>
                  <w:r w:rsidRPr="001E3185">
                    <w:rPr>
                      <w:rFonts w:cs="Arial"/>
                      <w:color w:val="000000"/>
                      <w:lang w:eastAsia="fr-FR"/>
                    </w:rPr>
                    <w:t>Saturated vapour pressure</w:t>
                  </w:r>
                </w:p>
              </w:tc>
              <w:tc>
                <w:tcPr>
                  <w:tcW w:w="954" w:type="dxa"/>
                  <w:vAlign w:val="center"/>
                  <w:hideMark/>
                </w:tcPr>
                <w:p w14:paraId="5B63E3BC" w14:textId="77777777" w:rsidR="00692E71" w:rsidRPr="001E3185" w:rsidRDefault="00692E71" w:rsidP="008E0250">
                  <w:pPr>
                    <w:jc w:val="center"/>
                    <w:rPr>
                      <w:rFonts w:cs="Arial"/>
                      <w:color w:val="000000"/>
                      <w:lang w:eastAsia="fr-FR"/>
                    </w:rPr>
                  </w:pPr>
                  <w:r w:rsidRPr="001E3185">
                    <w:rPr>
                      <w:rFonts w:cs="Arial"/>
                      <w:color w:val="000000"/>
                      <w:lang w:eastAsia="fr-FR"/>
                    </w:rPr>
                    <w:t>Pa</w:t>
                  </w:r>
                </w:p>
              </w:tc>
              <w:tc>
                <w:tcPr>
                  <w:tcW w:w="1272" w:type="dxa"/>
                  <w:vAlign w:val="center"/>
                </w:tcPr>
                <w:p w14:paraId="222479D7" w14:textId="77777777" w:rsidR="00692E71" w:rsidRPr="001E3185" w:rsidRDefault="00692E71" w:rsidP="008E0250">
                  <w:pPr>
                    <w:jc w:val="center"/>
                    <w:rPr>
                      <w:rFonts w:cs="Arial"/>
                      <w:color w:val="000000"/>
                      <w:lang w:eastAsia="fr-FR"/>
                    </w:rPr>
                  </w:pPr>
                  <w:r w:rsidRPr="001E3185">
                    <w:rPr>
                      <w:rFonts w:cs="Arial"/>
                      <w:color w:val="000000"/>
                      <w:lang w:eastAsia="fr-FR"/>
                    </w:rPr>
                    <w:t>1.70E-06 (20°C)</w:t>
                  </w:r>
                </w:p>
              </w:tc>
              <w:tc>
                <w:tcPr>
                  <w:tcW w:w="1202" w:type="dxa"/>
                  <w:vAlign w:val="center"/>
                </w:tcPr>
                <w:p w14:paraId="6C62FF13" w14:textId="77777777" w:rsidR="00692E71" w:rsidRPr="001E3185" w:rsidRDefault="00692E71" w:rsidP="008E0250">
                  <w:pPr>
                    <w:jc w:val="center"/>
                    <w:rPr>
                      <w:rFonts w:cs="Arial"/>
                      <w:lang w:eastAsia="fr-FR"/>
                    </w:rPr>
                  </w:pPr>
                  <w:r w:rsidRPr="001E3185">
                    <w:rPr>
                      <w:rFonts w:cs="Arial"/>
                      <w:lang w:eastAsia="fr-FR"/>
                    </w:rPr>
                    <w:t>5.60E-05</w:t>
                  </w:r>
                </w:p>
                <w:p w14:paraId="2CE0712B" w14:textId="77777777" w:rsidR="00692E71" w:rsidRPr="001E3185" w:rsidRDefault="00692E71" w:rsidP="008E0250">
                  <w:pPr>
                    <w:jc w:val="center"/>
                    <w:rPr>
                      <w:rFonts w:cs="Arial"/>
                      <w:lang w:eastAsia="fr-FR"/>
                    </w:rPr>
                  </w:pPr>
                  <w:r w:rsidRPr="001E3185">
                    <w:rPr>
                      <w:rFonts w:cs="Arial"/>
                      <w:lang w:eastAsia="fr-FR"/>
                    </w:rPr>
                    <w:t>(</w:t>
                  </w:r>
                  <w:r w:rsidRPr="001E3185">
                    <w:rPr>
                      <w:rFonts w:cs="Arial"/>
                      <w:color w:val="000000"/>
                      <w:lang w:eastAsia="fr-FR"/>
                    </w:rPr>
                    <w:t>25°C)</w:t>
                  </w:r>
                </w:p>
              </w:tc>
              <w:tc>
                <w:tcPr>
                  <w:tcW w:w="1150" w:type="dxa"/>
                  <w:vAlign w:val="center"/>
                </w:tcPr>
                <w:p w14:paraId="39623C70" w14:textId="77777777" w:rsidR="00692E71" w:rsidRPr="001E3185" w:rsidRDefault="00692E71" w:rsidP="008E0250">
                  <w:pPr>
                    <w:jc w:val="center"/>
                    <w:rPr>
                      <w:rFonts w:cs="Arial"/>
                      <w:color w:val="000000"/>
                      <w:lang w:eastAsia="fr-FR"/>
                    </w:rPr>
                  </w:pPr>
                  <w:r w:rsidRPr="001E3185">
                    <w:rPr>
                      <w:rFonts w:cs="Arial"/>
                      <w:color w:val="000000"/>
                      <w:lang w:eastAsia="fr-FR"/>
                    </w:rPr>
                    <w:t>2.36E-03</w:t>
                  </w:r>
                </w:p>
                <w:p w14:paraId="08B568E9" w14:textId="77777777" w:rsidR="00692E71" w:rsidRPr="001E3185" w:rsidRDefault="00692E71" w:rsidP="008E0250">
                  <w:pPr>
                    <w:jc w:val="center"/>
                    <w:rPr>
                      <w:rFonts w:cs="Arial"/>
                      <w:color w:val="000000"/>
                      <w:lang w:eastAsia="fr-FR"/>
                    </w:rPr>
                  </w:pPr>
                  <w:r w:rsidRPr="001E3185">
                    <w:rPr>
                      <w:rFonts w:cs="Arial"/>
                      <w:lang w:eastAsia="fr-FR"/>
                    </w:rPr>
                    <w:t>(25°C)</w:t>
                  </w:r>
                </w:p>
              </w:tc>
              <w:tc>
                <w:tcPr>
                  <w:tcW w:w="1134" w:type="dxa"/>
                  <w:vAlign w:val="center"/>
                </w:tcPr>
                <w:p w14:paraId="32866C6A" w14:textId="77777777" w:rsidR="00692E71" w:rsidRPr="001E3185" w:rsidRDefault="00692E71" w:rsidP="008E0250">
                  <w:pPr>
                    <w:jc w:val="center"/>
                    <w:rPr>
                      <w:rFonts w:cs="Arial"/>
                      <w:color w:val="000000"/>
                      <w:lang w:eastAsia="fr-FR"/>
                    </w:rPr>
                  </w:pPr>
                  <w:r w:rsidRPr="001E3185">
                    <w:rPr>
                      <w:rFonts w:cs="Arial"/>
                      <w:color w:val="000000"/>
                      <w:lang w:eastAsia="fr-FR"/>
                    </w:rPr>
                    <w:t>1.88E+01</w:t>
                  </w:r>
                </w:p>
                <w:p w14:paraId="69F9FA11" w14:textId="77777777" w:rsidR="00692E71" w:rsidRPr="001E3185" w:rsidRDefault="00692E71" w:rsidP="008E0250">
                  <w:pPr>
                    <w:jc w:val="center"/>
                    <w:rPr>
                      <w:rFonts w:cs="Arial"/>
                      <w:color w:val="000000"/>
                      <w:lang w:eastAsia="fr-FR"/>
                    </w:rPr>
                  </w:pPr>
                  <w:r w:rsidRPr="001E3185">
                    <w:rPr>
                      <w:rFonts w:cs="Arial"/>
                      <w:lang w:eastAsia="fr-FR"/>
                    </w:rPr>
                    <w:t>(25°C)</w:t>
                  </w:r>
                </w:p>
              </w:tc>
              <w:tc>
                <w:tcPr>
                  <w:tcW w:w="1559" w:type="dxa"/>
                  <w:vAlign w:val="center"/>
                </w:tcPr>
                <w:p w14:paraId="35FB5D08" w14:textId="77777777" w:rsidR="00692E71" w:rsidRPr="001E3185" w:rsidRDefault="00692E71" w:rsidP="008E0250">
                  <w:pPr>
                    <w:jc w:val="center"/>
                    <w:rPr>
                      <w:rFonts w:cs="Arial"/>
                      <w:color w:val="000000"/>
                      <w:lang w:eastAsia="fr-FR"/>
                    </w:rPr>
                  </w:pPr>
                  <w:r w:rsidRPr="001E3185">
                    <w:rPr>
                      <w:rFonts w:cs="Arial"/>
                      <w:color w:val="000000"/>
                      <w:lang w:eastAsia="fr-FR"/>
                    </w:rPr>
                    <w:t>2.20E-01</w:t>
                  </w:r>
                </w:p>
                <w:p w14:paraId="072CC33E" w14:textId="77777777" w:rsidR="00692E71" w:rsidRPr="001E3185" w:rsidRDefault="00692E71" w:rsidP="008E0250">
                  <w:pPr>
                    <w:jc w:val="center"/>
                    <w:rPr>
                      <w:rFonts w:cs="Arial"/>
                      <w:color w:val="000000"/>
                      <w:lang w:eastAsia="fr-FR"/>
                    </w:rPr>
                  </w:pPr>
                  <w:r w:rsidRPr="001E3185">
                    <w:rPr>
                      <w:rFonts w:cs="Arial"/>
                      <w:color w:val="000000"/>
                      <w:lang w:eastAsia="fr-FR"/>
                    </w:rPr>
                    <w:t>(20°C)</w:t>
                  </w:r>
                </w:p>
              </w:tc>
            </w:tr>
            <w:tr w:rsidR="00692E71" w:rsidRPr="001E3185" w14:paraId="5AFD8CF0" w14:textId="77777777" w:rsidTr="008E0250">
              <w:trPr>
                <w:trHeight w:val="283"/>
                <w:jc w:val="center"/>
              </w:trPr>
              <w:tc>
                <w:tcPr>
                  <w:tcW w:w="2034" w:type="dxa"/>
                  <w:vAlign w:val="center"/>
                  <w:hideMark/>
                </w:tcPr>
                <w:p w14:paraId="606737D8" w14:textId="77777777" w:rsidR="00692E71" w:rsidRPr="001E3185" w:rsidRDefault="00692E71" w:rsidP="008E0250">
                  <w:pPr>
                    <w:rPr>
                      <w:rFonts w:cs="Arial"/>
                      <w:color w:val="000000"/>
                      <w:lang w:eastAsia="fr-FR"/>
                    </w:rPr>
                  </w:pPr>
                  <w:r w:rsidRPr="001E3185">
                    <w:rPr>
                      <w:rFonts w:cs="Arial"/>
                      <w:color w:val="000000"/>
                      <w:lang w:eastAsia="fr-FR"/>
                    </w:rPr>
                    <w:t>Molar enthalpy of vaporisation</w:t>
                  </w:r>
                </w:p>
              </w:tc>
              <w:tc>
                <w:tcPr>
                  <w:tcW w:w="954" w:type="dxa"/>
                  <w:vAlign w:val="center"/>
                  <w:hideMark/>
                </w:tcPr>
                <w:p w14:paraId="72D63E3F" w14:textId="77777777" w:rsidR="00692E71" w:rsidRPr="001E3185" w:rsidRDefault="00692E71" w:rsidP="008E0250">
                  <w:pPr>
                    <w:jc w:val="center"/>
                    <w:rPr>
                      <w:rFonts w:cs="Arial"/>
                      <w:color w:val="000000"/>
                      <w:lang w:eastAsia="fr-FR"/>
                    </w:rPr>
                  </w:pPr>
                  <w:r w:rsidRPr="001E3185">
                    <w:rPr>
                      <w:rFonts w:cs="Arial"/>
                      <w:color w:val="000000"/>
                      <w:lang w:eastAsia="fr-FR"/>
                    </w:rPr>
                    <w:t>kJ.mol</w:t>
                  </w:r>
                  <w:r w:rsidRPr="001E3185">
                    <w:rPr>
                      <w:rFonts w:cs="Arial"/>
                      <w:color w:val="000000"/>
                      <w:vertAlign w:val="superscript"/>
                      <w:lang w:eastAsia="fr-FR"/>
                    </w:rPr>
                    <w:t>-1</w:t>
                  </w:r>
                </w:p>
              </w:tc>
              <w:tc>
                <w:tcPr>
                  <w:tcW w:w="6317" w:type="dxa"/>
                  <w:gridSpan w:val="5"/>
                  <w:vAlign w:val="center"/>
                  <w:hideMark/>
                </w:tcPr>
                <w:p w14:paraId="201EDC7E" w14:textId="77777777" w:rsidR="00692E71" w:rsidRPr="001E3185" w:rsidRDefault="00692E71" w:rsidP="008E0250">
                  <w:pPr>
                    <w:jc w:val="center"/>
                    <w:rPr>
                      <w:rFonts w:cs="Arial"/>
                      <w:color w:val="000000"/>
                      <w:lang w:eastAsia="fr-FR"/>
                    </w:rPr>
                  </w:pPr>
                  <w:r w:rsidRPr="001E3185">
                    <w:rPr>
                      <w:rFonts w:cs="Arial"/>
                      <w:color w:val="000000"/>
                      <w:lang w:eastAsia="fr-FR"/>
                    </w:rPr>
                    <w:t>95</w:t>
                  </w:r>
                </w:p>
              </w:tc>
            </w:tr>
            <w:tr w:rsidR="00692E71" w:rsidRPr="001E3185" w14:paraId="3A4ED183" w14:textId="77777777" w:rsidTr="008E0250">
              <w:trPr>
                <w:trHeight w:val="283"/>
                <w:jc w:val="center"/>
              </w:trPr>
              <w:tc>
                <w:tcPr>
                  <w:tcW w:w="2034" w:type="dxa"/>
                  <w:vAlign w:val="center"/>
                  <w:hideMark/>
                </w:tcPr>
                <w:p w14:paraId="4C14B1BF" w14:textId="77777777" w:rsidR="00692E71" w:rsidRPr="001E3185" w:rsidRDefault="00692E71" w:rsidP="008E0250">
                  <w:pPr>
                    <w:rPr>
                      <w:rFonts w:cs="Arial"/>
                      <w:color w:val="000000"/>
                      <w:lang w:eastAsia="fr-FR"/>
                    </w:rPr>
                  </w:pPr>
                  <w:r w:rsidRPr="001E3185">
                    <w:rPr>
                      <w:rFonts w:cs="Arial"/>
                      <w:color w:val="000000"/>
                      <w:lang w:eastAsia="fr-FR"/>
                    </w:rPr>
                    <w:t>Diffusion coefficient in water (20 °C)</w:t>
                  </w:r>
                </w:p>
              </w:tc>
              <w:tc>
                <w:tcPr>
                  <w:tcW w:w="954" w:type="dxa"/>
                  <w:vAlign w:val="center"/>
                  <w:hideMark/>
                </w:tcPr>
                <w:p w14:paraId="50F3CF11" w14:textId="77777777" w:rsidR="00692E71" w:rsidRPr="001E3185" w:rsidRDefault="00692E71" w:rsidP="008E0250">
                  <w:pPr>
                    <w:jc w:val="center"/>
                    <w:rPr>
                      <w:rFonts w:cs="Arial"/>
                      <w:color w:val="000000"/>
                      <w:lang w:eastAsia="fr-FR"/>
                    </w:rPr>
                  </w:pPr>
                  <w:r w:rsidRPr="001E3185">
                    <w:rPr>
                      <w:rFonts w:cs="Arial"/>
                      <w:color w:val="000000"/>
                      <w:lang w:eastAsia="fr-FR"/>
                    </w:rPr>
                    <w:t>m².d</w:t>
                  </w:r>
                  <w:r w:rsidRPr="001E3185">
                    <w:rPr>
                      <w:rFonts w:cs="Arial"/>
                      <w:color w:val="000000"/>
                      <w:vertAlign w:val="superscript"/>
                      <w:lang w:eastAsia="fr-FR"/>
                    </w:rPr>
                    <w:t>-1</w:t>
                  </w:r>
                </w:p>
              </w:tc>
              <w:tc>
                <w:tcPr>
                  <w:tcW w:w="6317" w:type="dxa"/>
                  <w:gridSpan w:val="5"/>
                  <w:vAlign w:val="center"/>
                  <w:hideMark/>
                </w:tcPr>
                <w:p w14:paraId="345BA17C" w14:textId="77777777" w:rsidR="00692E71" w:rsidRPr="001E3185" w:rsidRDefault="00692E71" w:rsidP="008E0250">
                  <w:pPr>
                    <w:jc w:val="center"/>
                    <w:rPr>
                      <w:rFonts w:cs="Arial"/>
                      <w:color w:val="000000"/>
                      <w:lang w:eastAsia="fr-FR"/>
                    </w:rPr>
                  </w:pPr>
                  <w:r w:rsidRPr="001E3185">
                    <w:rPr>
                      <w:rFonts w:cs="Arial"/>
                      <w:color w:val="000000"/>
                      <w:lang w:eastAsia="fr-FR"/>
                    </w:rPr>
                    <w:t>4.3E-05</w:t>
                  </w:r>
                </w:p>
              </w:tc>
            </w:tr>
            <w:tr w:rsidR="00692E71" w:rsidRPr="001E3185" w14:paraId="1465F602" w14:textId="77777777" w:rsidTr="008E0250">
              <w:trPr>
                <w:trHeight w:val="283"/>
                <w:jc w:val="center"/>
              </w:trPr>
              <w:tc>
                <w:tcPr>
                  <w:tcW w:w="2034" w:type="dxa"/>
                  <w:vAlign w:val="center"/>
                  <w:hideMark/>
                </w:tcPr>
                <w:p w14:paraId="7CC862A8" w14:textId="77777777" w:rsidR="00692E71" w:rsidRPr="001E3185" w:rsidRDefault="00692E71" w:rsidP="008E0250">
                  <w:pPr>
                    <w:rPr>
                      <w:rFonts w:cs="Arial"/>
                      <w:color w:val="000000"/>
                      <w:lang w:val="fr-FR" w:eastAsia="fr-FR"/>
                    </w:rPr>
                  </w:pPr>
                  <w:r w:rsidRPr="001E3185">
                    <w:rPr>
                      <w:rFonts w:cs="Arial"/>
                      <w:color w:val="000000"/>
                      <w:lang w:val="fr-FR" w:eastAsia="fr-FR"/>
                    </w:rPr>
                    <w:t>Diffusion coefficient in air (20 °C)</w:t>
                  </w:r>
                </w:p>
              </w:tc>
              <w:tc>
                <w:tcPr>
                  <w:tcW w:w="954" w:type="dxa"/>
                  <w:vAlign w:val="center"/>
                  <w:hideMark/>
                </w:tcPr>
                <w:p w14:paraId="2E7DBF98" w14:textId="77777777" w:rsidR="00692E71" w:rsidRPr="001E3185" w:rsidRDefault="00692E71" w:rsidP="008E0250">
                  <w:pPr>
                    <w:jc w:val="center"/>
                    <w:rPr>
                      <w:rFonts w:cs="Arial"/>
                      <w:color w:val="000000"/>
                      <w:lang w:eastAsia="fr-FR"/>
                    </w:rPr>
                  </w:pPr>
                  <w:r w:rsidRPr="001E3185">
                    <w:rPr>
                      <w:rFonts w:cs="Arial"/>
                      <w:color w:val="000000"/>
                      <w:lang w:eastAsia="fr-FR"/>
                    </w:rPr>
                    <w:t>m².d</w:t>
                  </w:r>
                  <w:r w:rsidRPr="001E3185">
                    <w:rPr>
                      <w:rFonts w:cs="Arial"/>
                      <w:color w:val="000000"/>
                      <w:vertAlign w:val="superscript"/>
                      <w:lang w:eastAsia="fr-FR"/>
                    </w:rPr>
                    <w:t>-1</w:t>
                  </w:r>
                </w:p>
              </w:tc>
              <w:tc>
                <w:tcPr>
                  <w:tcW w:w="6317" w:type="dxa"/>
                  <w:gridSpan w:val="5"/>
                  <w:vAlign w:val="center"/>
                  <w:hideMark/>
                </w:tcPr>
                <w:p w14:paraId="292BE7BD" w14:textId="77777777" w:rsidR="00692E71" w:rsidRPr="001E3185" w:rsidRDefault="00692E71" w:rsidP="008E0250">
                  <w:pPr>
                    <w:jc w:val="center"/>
                    <w:rPr>
                      <w:rFonts w:cs="Arial"/>
                      <w:color w:val="000000"/>
                      <w:lang w:eastAsia="fr-FR"/>
                    </w:rPr>
                  </w:pPr>
                  <w:r w:rsidRPr="001E3185">
                    <w:rPr>
                      <w:rFonts w:cs="Arial"/>
                      <w:color w:val="000000"/>
                      <w:lang w:eastAsia="fr-FR"/>
                    </w:rPr>
                    <w:t>0.43</w:t>
                  </w:r>
                </w:p>
              </w:tc>
            </w:tr>
            <w:tr w:rsidR="00692E71" w:rsidRPr="001E3185" w14:paraId="34E39B40" w14:textId="77777777" w:rsidTr="008E0250">
              <w:trPr>
                <w:trHeight w:val="283"/>
                <w:jc w:val="center"/>
              </w:trPr>
              <w:tc>
                <w:tcPr>
                  <w:tcW w:w="9305" w:type="dxa"/>
                  <w:gridSpan w:val="7"/>
                  <w:shd w:val="clear" w:color="auto" w:fill="DBE5F1" w:themeFill="accent1" w:themeFillTint="33"/>
                  <w:vAlign w:val="center"/>
                </w:tcPr>
                <w:p w14:paraId="269B74FB" w14:textId="77777777" w:rsidR="00692E71" w:rsidRPr="001E3185" w:rsidRDefault="00692E71" w:rsidP="008E0250">
                  <w:pPr>
                    <w:rPr>
                      <w:rFonts w:cs="Arial"/>
                      <w:b/>
                      <w:bCs/>
                      <w:color w:val="4F6228"/>
                      <w:lang w:eastAsia="fr-FR"/>
                    </w:rPr>
                  </w:pPr>
                  <w:r w:rsidRPr="001E3185">
                    <w:rPr>
                      <w:rFonts w:cs="Arial"/>
                      <w:b/>
                      <w:bCs/>
                      <w:color w:val="4F6228"/>
                      <w:lang w:eastAsia="fr-FR"/>
                    </w:rPr>
                    <w:t>Degradation parameters</w:t>
                  </w:r>
                </w:p>
              </w:tc>
            </w:tr>
            <w:tr w:rsidR="00692E71" w:rsidRPr="001E3185" w14:paraId="2AC9DBF6" w14:textId="77777777" w:rsidTr="008E0250">
              <w:trPr>
                <w:trHeight w:val="283"/>
                <w:jc w:val="center"/>
              </w:trPr>
              <w:tc>
                <w:tcPr>
                  <w:tcW w:w="2034" w:type="dxa"/>
                  <w:vAlign w:val="center"/>
                  <w:hideMark/>
                </w:tcPr>
                <w:p w14:paraId="1AC7A677" w14:textId="77777777" w:rsidR="00692E71" w:rsidRPr="001E3185" w:rsidRDefault="00692E71" w:rsidP="008E0250">
                  <w:pPr>
                    <w:rPr>
                      <w:rFonts w:cs="Arial"/>
                      <w:color w:val="000000"/>
                      <w:lang w:eastAsia="fr-FR"/>
                    </w:rPr>
                  </w:pPr>
                  <w:r w:rsidRPr="001E3185">
                    <w:rPr>
                      <w:rFonts w:cs="Arial"/>
                      <w:color w:val="000000"/>
                      <w:lang w:eastAsia="fr-FR"/>
                    </w:rPr>
                    <w:t>Half-life (12°C, pF2)</w:t>
                  </w:r>
                </w:p>
              </w:tc>
              <w:tc>
                <w:tcPr>
                  <w:tcW w:w="954" w:type="dxa"/>
                  <w:vAlign w:val="center"/>
                  <w:hideMark/>
                </w:tcPr>
                <w:p w14:paraId="7849F041" w14:textId="77777777" w:rsidR="00692E71" w:rsidRPr="001E3185" w:rsidRDefault="00692E71" w:rsidP="008E0250">
                  <w:pPr>
                    <w:jc w:val="center"/>
                    <w:rPr>
                      <w:rFonts w:cs="Arial"/>
                      <w:color w:val="000000"/>
                      <w:lang w:eastAsia="fr-FR"/>
                    </w:rPr>
                  </w:pPr>
                  <w:r w:rsidRPr="001E3185">
                    <w:rPr>
                      <w:rFonts w:cs="Arial"/>
                      <w:color w:val="000000"/>
                      <w:lang w:eastAsia="fr-FR"/>
                    </w:rPr>
                    <w:t>d</w:t>
                  </w:r>
                </w:p>
              </w:tc>
              <w:tc>
                <w:tcPr>
                  <w:tcW w:w="1272" w:type="dxa"/>
                  <w:vAlign w:val="center"/>
                </w:tcPr>
                <w:p w14:paraId="4792E353" w14:textId="77777777" w:rsidR="00692E71" w:rsidRPr="001E3185" w:rsidRDefault="00692E71" w:rsidP="008E0250">
                  <w:pPr>
                    <w:jc w:val="center"/>
                    <w:rPr>
                      <w:rFonts w:cs="Arial"/>
                      <w:color w:val="000000"/>
                      <w:lang w:eastAsia="fr-FR"/>
                    </w:rPr>
                  </w:pPr>
                  <w:r w:rsidRPr="001E3185">
                    <w:rPr>
                      <w:rFonts w:cs="Arial"/>
                      <w:color w:val="000000"/>
                      <w:lang w:eastAsia="fr-FR"/>
                    </w:rPr>
                    <w:t>77</w:t>
                  </w:r>
                </w:p>
              </w:tc>
              <w:tc>
                <w:tcPr>
                  <w:tcW w:w="1202" w:type="dxa"/>
                  <w:vAlign w:val="center"/>
                </w:tcPr>
                <w:p w14:paraId="6927CEC7" w14:textId="77777777" w:rsidR="00692E71" w:rsidRPr="001E3185" w:rsidRDefault="00692E71" w:rsidP="008E0250">
                  <w:pPr>
                    <w:jc w:val="center"/>
                    <w:rPr>
                      <w:rFonts w:cs="Arial"/>
                      <w:lang w:eastAsia="fr-FR"/>
                    </w:rPr>
                  </w:pPr>
                  <w:r w:rsidRPr="001E3185">
                    <w:rPr>
                      <w:rFonts w:cs="Arial"/>
                      <w:lang w:eastAsia="fr-FR"/>
                    </w:rPr>
                    <w:t>82</w:t>
                  </w:r>
                </w:p>
              </w:tc>
              <w:tc>
                <w:tcPr>
                  <w:tcW w:w="1150" w:type="dxa"/>
                  <w:vAlign w:val="center"/>
                </w:tcPr>
                <w:p w14:paraId="37348A26" w14:textId="77777777" w:rsidR="00692E71" w:rsidRPr="001E3185" w:rsidRDefault="00692E71" w:rsidP="008E0250">
                  <w:pPr>
                    <w:jc w:val="center"/>
                    <w:rPr>
                      <w:rFonts w:cs="Arial"/>
                      <w:color w:val="000000"/>
                      <w:lang w:eastAsia="fr-FR"/>
                    </w:rPr>
                  </w:pPr>
                  <w:r w:rsidRPr="001E3185">
                    <w:rPr>
                      <w:rFonts w:cs="Arial"/>
                      <w:color w:val="000000"/>
                      <w:lang w:eastAsia="fr-FR"/>
                    </w:rPr>
                    <w:t>1.96E-01</w:t>
                  </w:r>
                </w:p>
              </w:tc>
              <w:tc>
                <w:tcPr>
                  <w:tcW w:w="1134" w:type="dxa"/>
                  <w:vAlign w:val="center"/>
                </w:tcPr>
                <w:p w14:paraId="75A4B62F" w14:textId="77777777" w:rsidR="00692E71" w:rsidRPr="001E3185" w:rsidRDefault="00692E71" w:rsidP="008E0250">
                  <w:pPr>
                    <w:jc w:val="center"/>
                    <w:rPr>
                      <w:rFonts w:cs="Arial"/>
                      <w:color w:val="000000"/>
                      <w:lang w:eastAsia="fr-FR"/>
                    </w:rPr>
                  </w:pPr>
                  <w:r w:rsidRPr="001E3185">
                    <w:rPr>
                      <w:rFonts w:cs="Arial"/>
                      <w:color w:val="000000"/>
                      <w:lang w:eastAsia="fr-FR"/>
                    </w:rPr>
                    <w:t>9.50</w:t>
                  </w:r>
                </w:p>
              </w:tc>
              <w:tc>
                <w:tcPr>
                  <w:tcW w:w="1559" w:type="dxa"/>
                  <w:vAlign w:val="center"/>
                </w:tcPr>
                <w:p w14:paraId="4AEE15DF" w14:textId="77777777" w:rsidR="00692E71" w:rsidRPr="001E3185" w:rsidRDefault="00692E71" w:rsidP="008E0250">
                  <w:pPr>
                    <w:jc w:val="center"/>
                    <w:rPr>
                      <w:rFonts w:cs="Arial"/>
                      <w:color w:val="000000"/>
                      <w:lang w:eastAsia="fr-FR"/>
                    </w:rPr>
                  </w:pPr>
                  <w:r w:rsidRPr="001E3185">
                    <w:rPr>
                      <w:rFonts w:cs="Arial"/>
                      <w:color w:val="000000"/>
                      <w:lang w:eastAsia="fr-FR"/>
                    </w:rPr>
                    <w:t>114.7</w:t>
                  </w:r>
                </w:p>
              </w:tc>
            </w:tr>
            <w:tr w:rsidR="00692E71" w:rsidRPr="001E3185" w14:paraId="77F49EF7" w14:textId="77777777" w:rsidTr="008E0250">
              <w:trPr>
                <w:trHeight w:val="283"/>
                <w:jc w:val="center"/>
              </w:trPr>
              <w:tc>
                <w:tcPr>
                  <w:tcW w:w="2034" w:type="dxa"/>
                  <w:vAlign w:val="center"/>
                  <w:hideMark/>
                </w:tcPr>
                <w:p w14:paraId="1D083EF1" w14:textId="77777777" w:rsidR="00692E71" w:rsidRPr="001E3185" w:rsidRDefault="00692E71" w:rsidP="008E0250">
                  <w:pPr>
                    <w:rPr>
                      <w:rFonts w:cs="Arial"/>
                      <w:color w:val="000000"/>
                      <w:lang w:eastAsia="fr-FR"/>
                    </w:rPr>
                  </w:pPr>
                  <w:r w:rsidRPr="001E3185">
                    <w:rPr>
                      <w:rFonts w:cs="Arial"/>
                      <w:color w:val="000000"/>
                      <w:lang w:eastAsia="fr-FR"/>
                    </w:rPr>
                    <w:t>Arrhenius activation energy</w:t>
                  </w:r>
                </w:p>
              </w:tc>
              <w:tc>
                <w:tcPr>
                  <w:tcW w:w="954" w:type="dxa"/>
                  <w:vAlign w:val="center"/>
                  <w:hideMark/>
                </w:tcPr>
                <w:p w14:paraId="60635D78" w14:textId="77777777" w:rsidR="00692E71" w:rsidRPr="001E3185" w:rsidRDefault="00692E71" w:rsidP="008E0250">
                  <w:pPr>
                    <w:jc w:val="center"/>
                    <w:rPr>
                      <w:rFonts w:cs="Arial"/>
                      <w:color w:val="000000"/>
                      <w:lang w:eastAsia="fr-FR"/>
                    </w:rPr>
                  </w:pPr>
                  <w:r w:rsidRPr="001E3185">
                    <w:rPr>
                      <w:rFonts w:cs="Arial"/>
                      <w:color w:val="000000"/>
                      <w:lang w:eastAsia="fr-FR"/>
                    </w:rPr>
                    <w:t>kJ.mol</w:t>
                  </w:r>
                  <w:r w:rsidRPr="001E3185">
                    <w:rPr>
                      <w:rFonts w:cs="Arial"/>
                      <w:color w:val="000000"/>
                      <w:vertAlign w:val="superscript"/>
                      <w:lang w:eastAsia="fr-FR"/>
                    </w:rPr>
                    <w:t>-1</w:t>
                  </w:r>
                </w:p>
              </w:tc>
              <w:tc>
                <w:tcPr>
                  <w:tcW w:w="6317" w:type="dxa"/>
                  <w:gridSpan w:val="5"/>
                  <w:vAlign w:val="center"/>
                  <w:hideMark/>
                </w:tcPr>
                <w:p w14:paraId="5F05AE17" w14:textId="77777777" w:rsidR="00692E71" w:rsidRPr="001E3185" w:rsidRDefault="00692E71" w:rsidP="008E0250">
                  <w:pPr>
                    <w:jc w:val="center"/>
                    <w:rPr>
                      <w:rFonts w:cs="Arial"/>
                      <w:color w:val="000000"/>
                      <w:lang w:eastAsia="fr-FR"/>
                    </w:rPr>
                  </w:pPr>
                  <w:r w:rsidRPr="001E3185">
                    <w:rPr>
                      <w:rFonts w:cs="Arial"/>
                      <w:color w:val="000000"/>
                      <w:lang w:eastAsia="fr-FR"/>
                    </w:rPr>
                    <w:t>65.4</w:t>
                  </w:r>
                </w:p>
              </w:tc>
            </w:tr>
            <w:tr w:rsidR="00692E71" w:rsidRPr="001E3185" w14:paraId="4C6778DD" w14:textId="77777777" w:rsidTr="008E0250">
              <w:trPr>
                <w:trHeight w:val="283"/>
                <w:jc w:val="center"/>
              </w:trPr>
              <w:tc>
                <w:tcPr>
                  <w:tcW w:w="2034" w:type="dxa"/>
                  <w:vAlign w:val="center"/>
                  <w:hideMark/>
                </w:tcPr>
                <w:p w14:paraId="7E83582C" w14:textId="77777777" w:rsidR="00692E71" w:rsidRPr="001E3185" w:rsidRDefault="00692E71" w:rsidP="008E0250">
                  <w:pPr>
                    <w:rPr>
                      <w:rFonts w:cs="Arial"/>
                      <w:color w:val="000000"/>
                      <w:lang w:eastAsia="fr-FR"/>
                    </w:rPr>
                  </w:pPr>
                  <w:r w:rsidRPr="001E3185">
                    <w:rPr>
                      <w:rFonts w:cs="Arial"/>
                      <w:color w:val="000000"/>
                      <w:lang w:eastAsia="fr-FR"/>
                    </w:rPr>
                    <w:t>Exponent of moisture correction function</w:t>
                  </w:r>
                </w:p>
              </w:tc>
              <w:tc>
                <w:tcPr>
                  <w:tcW w:w="954" w:type="dxa"/>
                  <w:vAlign w:val="center"/>
                  <w:hideMark/>
                </w:tcPr>
                <w:p w14:paraId="0FDA864D"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4D5EE441" w14:textId="77777777" w:rsidR="00692E71" w:rsidRPr="001E3185" w:rsidRDefault="00692E71" w:rsidP="008E0250">
                  <w:pPr>
                    <w:jc w:val="center"/>
                    <w:rPr>
                      <w:rFonts w:cs="Arial"/>
                      <w:color w:val="000000"/>
                      <w:lang w:eastAsia="fr-FR"/>
                    </w:rPr>
                  </w:pPr>
                  <w:r w:rsidRPr="001E3185">
                    <w:rPr>
                      <w:rFonts w:cs="Arial"/>
                      <w:color w:val="000000"/>
                      <w:lang w:eastAsia="fr-FR"/>
                    </w:rPr>
                    <w:t>0.7</w:t>
                  </w:r>
                </w:p>
              </w:tc>
            </w:tr>
            <w:tr w:rsidR="00692E71" w:rsidRPr="001E3185" w14:paraId="38249962" w14:textId="77777777" w:rsidTr="008E0250">
              <w:trPr>
                <w:trHeight w:val="283"/>
                <w:jc w:val="center"/>
              </w:trPr>
              <w:tc>
                <w:tcPr>
                  <w:tcW w:w="9305" w:type="dxa"/>
                  <w:gridSpan w:val="7"/>
                  <w:shd w:val="clear" w:color="auto" w:fill="DBE5F1"/>
                  <w:vAlign w:val="center"/>
                </w:tcPr>
                <w:p w14:paraId="38949BAA" w14:textId="77777777" w:rsidR="00692E71" w:rsidRPr="001E3185" w:rsidRDefault="00692E71" w:rsidP="008E0250">
                  <w:pPr>
                    <w:rPr>
                      <w:rFonts w:cs="Arial"/>
                      <w:b/>
                      <w:bCs/>
                      <w:color w:val="4F6228"/>
                      <w:lang w:eastAsia="fr-FR"/>
                    </w:rPr>
                  </w:pPr>
                  <w:r w:rsidRPr="001E3185">
                    <w:rPr>
                      <w:rFonts w:cs="Arial"/>
                      <w:b/>
                      <w:bCs/>
                      <w:color w:val="4F6228"/>
                      <w:lang w:eastAsia="fr-FR"/>
                    </w:rPr>
                    <w:t>Sorption parameters</w:t>
                  </w:r>
                </w:p>
              </w:tc>
            </w:tr>
            <w:tr w:rsidR="00692E71" w:rsidRPr="001E3185" w14:paraId="7EE7A537" w14:textId="77777777" w:rsidTr="008E0250">
              <w:trPr>
                <w:trHeight w:val="283"/>
                <w:jc w:val="center"/>
              </w:trPr>
              <w:tc>
                <w:tcPr>
                  <w:tcW w:w="2034" w:type="dxa"/>
                  <w:vAlign w:val="center"/>
                  <w:hideMark/>
                </w:tcPr>
                <w:p w14:paraId="6F1D0929" w14:textId="77777777" w:rsidR="00692E71" w:rsidRPr="001E3185" w:rsidRDefault="00692E71" w:rsidP="008E0250">
                  <w:pPr>
                    <w:rPr>
                      <w:rFonts w:cs="Arial"/>
                      <w:color w:val="000000"/>
                      <w:lang w:eastAsia="fr-FR"/>
                    </w:rPr>
                  </w:pPr>
                  <w:r w:rsidRPr="001E3185">
                    <w:rPr>
                      <w:rFonts w:cs="Arial"/>
                      <w:color w:val="000000"/>
                      <w:lang w:eastAsia="fr-FR"/>
                    </w:rPr>
                    <w:t>K</w:t>
                  </w:r>
                  <w:r w:rsidRPr="001E3185">
                    <w:rPr>
                      <w:rFonts w:cs="Arial"/>
                      <w:color w:val="000000"/>
                      <w:vertAlign w:val="subscript"/>
                      <w:lang w:eastAsia="fr-FR"/>
                    </w:rPr>
                    <w:t xml:space="preserve">oc </w:t>
                  </w:r>
                  <w:r w:rsidRPr="001E3185">
                    <w:rPr>
                      <w:rFonts w:cs="Arial"/>
                      <w:color w:val="000000"/>
                      <w:lang w:eastAsia="fr-FR"/>
                    </w:rPr>
                    <w:t>value</w:t>
                  </w:r>
                </w:p>
              </w:tc>
              <w:tc>
                <w:tcPr>
                  <w:tcW w:w="954" w:type="dxa"/>
                  <w:vAlign w:val="center"/>
                  <w:hideMark/>
                </w:tcPr>
                <w:p w14:paraId="47F54B73" w14:textId="77777777" w:rsidR="00692E71" w:rsidRPr="001E3185" w:rsidRDefault="00692E71" w:rsidP="008E0250">
                  <w:pPr>
                    <w:jc w:val="center"/>
                    <w:rPr>
                      <w:rFonts w:cs="Arial"/>
                      <w:color w:val="000000"/>
                      <w:lang w:eastAsia="fr-FR"/>
                    </w:rPr>
                  </w:pPr>
                  <w:r w:rsidRPr="001E3185">
                    <w:rPr>
                      <w:rFonts w:cs="Arial"/>
                      <w:color w:val="000000"/>
                      <w:lang w:eastAsia="fr-FR"/>
                    </w:rPr>
                    <w:t>L.kg</w:t>
                  </w:r>
                  <w:r w:rsidRPr="001E3185">
                    <w:rPr>
                      <w:rFonts w:cs="Arial"/>
                      <w:color w:val="000000"/>
                      <w:vertAlign w:val="superscript"/>
                      <w:lang w:eastAsia="fr-FR"/>
                    </w:rPr>
                    <w:t>-1</w:t>
                  </w:r>
                </w:p>
              </w:tc>
              <w:tc>
                <w:tcPr>
                  <w:tcW w:w="1272" w:type="dxa"/>
                  <w:vAlign w:val="center"/>
                </w:tcPr>
                <w:p w14:paraId="285C67CD" w14:textId="77777777" w:rsidR="00692E71" w:rsidRPr="001E3185" w:rsidRDefault="00692E71" w:rsidP="008E0250">
                  <w:pPr>
                    <w:jc w:val="center"/>
                    <w:rPr>
                      <w:rFonts w:cs="Arial"/>
                      <w:color w:val="000000"/>
                      <w:lang w:eastAsia="fr-FR"/>
                    </w:rPr>
                  </w:pPr>
                  <w:r w:rsidRPr="001E3185">
                    <w:rPr>
                      <w:rFonts w:cs="Arial"/>
                      <w:color w:val="000000"/>
                      <w:lang w:eastAsia="fr-FR"/>
                    </w:rPr>
                    <w:t>992</w:t>
                  </w:r>
                </w:p>
              </w:tc>
              <w:tc>
                <w:tcPr>
                  <w:tcW w:w="1202" w:type="dxa"/>
                  <w:vAlign w:val="center"/>
                </w:tcPr>
                <w:p w14:paraId="7C06E1F6" w14:textId="77777777" w:rsidR="00692E71" w:rsidRPr="001E3185" w:rsidRDefault="00692E71" w:rsidP="008E0250">
                  <w:pPr>
                    <w:jc w:val="center"/>
                    <w:rPr>
                      <w:rFonts w:cs="Arial"/>
                      <w:lang w:eastAsia="fr-FR"/>
                    </w:rPr>
                  </w:pPr>
                  <w:r w:rsidRPr="001E3185">
                    <w:rPr>
                      <w:rFonts w:cs="Arial"/>
                    </w:rPr>
                    <w:t>944</w:t>
                  </w:r>
                </w:p>
              </w:tc>
              <w:tc>
                <w:tcPr>
                  <w:tcW w:w="1150" w:type="dxa"/>
                  <w:vAlign w:val="center"/>
                </w:tcPr>
                <w:p w14:paraId="2F1786F1" w14:textId="77777777" w:rsidR="00692E71" w:rsidRPr="001E3185" w:rsidRDefault="00692E71" w:rsidP="008E0250">
                  <w:pPr>
                    <w:jc w:val="center"/>
                    <w:rPr>
                      <w:rFonts w:cs="Arial"/>
                      <w:color w:val="000000"/>
                      <w:lang w:eastAsia="fr-FR"/>
                    </w:rPr>
                  </w:pPr>
                  <w:r w:rsidRPr="001E3185">
                    <w:rPr>
                      <w:rFonts w:cs="Arial"/>
                    </w:rPr>
                    <w:t>134.5</w:t>
                  </w:r>
                </w:p>
              </w:tc>
              <w:tc>
                <w:tcPr>
                  <w:tcW w:w="1134" w:type="dxa"/>
                  <w:vAlign w:val="center"/>
                </w:tcPr>
                <w:p w14:paraId="34A086AC" w14:textId="77777777" w:rsidR="00692E71" w:rsidRPr="001E3185" w:rsidRDefault="00692E71" w:rsidP="008E0250">
                  <w:pPr>
                    <w:jc w:val="center"/>
                    <w:rPr>
                      <w:rFonts w:cs="Arial"/>
                      <w:color w:val="000000"/>
                      <w:lang w:eastAsia="fr-FR"/>
                    </w:rPr>
                  </w:pPr>
                  <w:r w:rsidRPr="001E3185">
                    <w:rPr>
                      <w:rFonts w:cs="Arial"/>
                    </w:rPr>
                    <w:t>198.1</w:t>
                  </w:r>
                </w:p>
              </w:tc>
              <w:tc>
                <w:tcPr>
                  <w:tcW w:w="1559" w:type="dxa"/>
                  <w:vAlign w:val="center"/>
                </w:tcPr>
                <w:p w14:paraId="0D5B3407" w14:textId="77777777" w:rsidR="00692E71" w:rsidRPr="001E3185" w:rsidRDefault="00692E71" w:rsidP="008E0250">
                  <w:pPr>
                    <w:jc w:val="center"/>
                    <w:rPr>
                      <w:rFonts w:cs="Arial"/>
                      <w:color w:val="000000"/>
                      <w:lang w:eastAsia="fr-FR"/>
                    </w:rPr>
                  </w:pPr>
                  <w:r w:rsidRPr="001E3185">
                    <w:rPr>
                      <w:rFonts w:cs="Arial"/>
                    </w:rPr>
                    <w:t>89</w:t>
                  </w:r>
                </w:p>
              </w:tc>
            </w:tr>
            <w:tr w:rsidR="00692E71" w:rsidRPr="001E3185" w14:paraId="4CD200A4" w14:textId="77777777" w:rsidTr="008E0250">
              <w:trPr>
                <w:trHeight w:val="283"/>
                <w:jc w:val="center"/>
              </w:trPr>
              <w:tc>
                <w:tcPr>
                  <w:tcW w:w="2034" w:type="dxa"/>
                  <w:vAlign w:val="center"/>
                  <w:hideMark/>
                </w:tcPr>
                <w:p w14:paraId="17BA236C" w14:textId="77777777" w:rsidR="00692E71" w:rsidRPr="001E3185" w:rsidRDefault="00692E71" w:rsidP="008E0250">
                  <w:pPr>
                    <w:rPr>
                      <w:rFonts w:cs="Arial"/>
                      <w:color w:val="000000"/>
                      <w:lang w:eastAsia="fr-FR"/>
                    </w:rPr>
                  </w:pPr>
                  <w:r w:rsidRPr="001E3185">
                    <w:rPr>
                      <w:rFonts w:cs="Arial"/>
                      <w:color w:val="000000"/>
                      <w:lang w:eastAsia="fr-FR"/>
                    </w:rPr>
                    <w:t>K</w:t>
                  </w:r>
                  <w:r w:rsidRPr="001E3185">
                    <w:rPr>
                      <w:rFonts w:cs="Arial"/>
                      <w:color w:val="000000"/>
                      <w:vertAlign w:val="subscript"/>
                      <w:lang w:eastAsia="fr-FR"/>
                    </w:rPr>
                    <w:t>om</w:t>
                  </w:r>
                  <w:r w:rsidRPr="001E3185">
                    <w:rPr>
                      <w:rFonts w:cs="Arial"/>
                      <w:color w:val="000000"/>
                      <w:lang w:eastAsia="fr-FR"/>
                    </w:rPr>
                    <w:t>value  (20°C)</w:t>
                  </w:r>
                </w:p>
              </w:tc>
              <w:tc>
                <w:tcPr>
                  <w:tcW w:w="954" w:type="dxa"/>
                  <w:vAlign w:val="center"/>
                  <w:hideMark/>
                </w:tcPr>
                <w:p w14:paraId="5AEDA433" w14:textId="77777777" w:rsidR="00692E71" w:rsidRPr="001E3185" w:rsidRDefault="00692E71" w:rsidP="008E0250">
                  <w:pPr>
                    <w:jc w:val="center"/>
                    <w:rPr>
                      <w:rFonts w:cs="Arial"/>
                      <w:color w:val="000000"/>
                      <w:lang w:eastAsia="fr-FR"/>
                    </w:rPr>
                  </w:pPr>
                  <w:r w:rsidRPr="001E3185">
                    <w:rPr>
                      <w:rFonts w:cs="Arial"/>
                      <w:color w:val="000000"/>
                      <w:lang w:eastAsia="fr-FR"/>
                    </w:rPr>
                    <w:t>mL.g</w:t>
                  </w:r>
                  <w:r w:rsidRPr="001E3185">
                    <w:rPr>
                      <w:rFonts w:cs="Arial"/>
                      <w:color w:val="000000"/>
                      <w:vertAlign w:val="superscript"/>
                      <w:lang w:eastAsia="fr-FR"/>
                    </w:rPr>
                    <w:t>-1</w:t>
                  </w:r>
                </w:p>
              </w:tc>
              <w:tc>
                <w:tcPr>
                  <w:tcW w:w="1272" w:type="dxa"/>
                  <w:vAlign w:val="center"/>
                </w:tcPr>
                <w:p w14:paraId="69C11AAE" w14:textId="77777777" w:rsidR="00692E71" w:rsidRPr="001E3185" w:rsidRDefault="00692E71" w:rsidP="008E0250">
                  <w:pPr>
                    <w:jc w:val="center"/>
                    <w:rPr>
                      <w:rFonts w:cs="Arial"/>
                      <w:color w:val="000000"/>
                      <w:lang w:eastAsia="fr-FR"/>
                    </w:rPr>
                  </w:pPr>
                  <w:r w:rsidRPr="001E3185">
                    <w:rPr>
                      <w:rFonts w:cs="Arial"/>
                      <w:color w:val="000000"/>
                      <w:lang w:eastAsia="fr-FR"/>
                    </w:rPr>
                    <w:t>575.41</w:t>
                  </w:r>
                </w:p>
              </w:tc>
              <w:tc>
                <w:tcPr>
                  <w:tcW w:w="1202" w:type="dxa"/>
                  <w:vAlign w:val="center"/>
                </w:tcPr>
                <w:p w14:paraId="30298377" w14:textId="77777777" w:rsidR="00692E71" w:rsidRPr="001E3185" w:rsidRDefault="00692E71" w:rsidP="008E0250">
                  <w:pPr>
                    <w:jc w:val="center"/>
                    <w:rPr>
                      <w:rFonts w:cs="Arial"/>
                      <w:color w:val="000000"/>
                      <w:lang w:eastAsia="fr-FR"/>
                    </w:rPr>
                  </w:pPr>
                  <w:r w:rsidRPr="001E3185">
                    <w:rPr>
                      <w:rFonts w:cs="Arial"/>
                      <w:color w:val="000000"/>
                      <w:lang w:eastAsia="fr-FR"/>
                    </w:rPr>
                    <w:t>547.56</w:t>
                  </w:r>
                </w:p>
              </w:tc>
              <w:tc>
                <w:tcPr>
                  <w:tcW w:w="1150" w:type="dxa"/>
                  <w:vAlign w:val="center"/>
                </w:tcPr>
                <w:p w14:paraId="43A5488B" w14:textId="77777777" w:rsidR="00692E71" w:rsidRPr="001E3185" w:rsidRDefault="00692E71" w:rsidP="008E0250">
                  <w:pPr>
                    <w:jc w:val="center"/>
                    <w:rPr>
                      <w:rFonts w:cs="Arial"/>
                      <w:color w:val="000000"/>
                      <w:lang w:eastAsia="fr-FR"/>
                    </w:rPr>
                  </w:pPr>
                  <w:r w:rsidRPr="001E3185">
                    <w:rPr>
                      <w:rFonts w:cs="Arial"/>
                      <w:color w:val="000000"/>
                      <w:lang w:eastAsia="fr-FR"/>
                    </w:rPr>
                    <w:t>78.02</w:t>
                  </w:r>
                </w:p>
              </w:tc>
              <w:tc>
                <w:tcPr>
                  <w:tcW w:w="1134" w:type="dxa"/>
                  <w:vAlign w:val="center"/>
                </w:tcPr>
                <w:p w14:paraId="36DCCDF2" w14:textId="77777777" w:rsidR="00692E71" w:rsidRPr="001E3185" w:rsidRDefault="00692E71" w:rsidP="008E0250">
                  <w:pPr>
                    <w:jc w:val="center"/>
                    <w:rPr>
                      <w:rFonts w:cs="Arial"/>
                      <w:color w:val="000000"/>
                      <w:lang w:eastAsia="fr-FR"/>
                    </w:rPr>
                  </w:pPr>
                  <w:r w:rsidRPr="001E3185">
                    <w:rPr>
                      <w:rFonts w:cs="Arial"/>
                      <w:color w:val="000000"/>
                      <w:lang w:eastAsia="fr-FR"/>
                    </w:rPr>
                    <w:t>114.91</w:t>
                  </w:r>
                </w:p>
              </w:tc>
              <w:tc>
                <w:tcPr>
                  <w:tcW w:w="1559" w:type="dxa"/>
                  <w:vAlign w:val="center"/>
                </w:tcPr>
                <w:p w14:paraId="4FD58166" w14:textId="77777777" w:rsidR="00692E71" w:rsidRPr="001E3185" w:rsidRDefault="00692E71" w:rsidP="008E0250">
                  <w:pPr>
                    <w:jc w:val="center"/>
                    <w:rPr>
                      <w:rFonts w:cs="Arial"/>
                      <w:color w:val="000000"/>
                      <w:lang w:eastAsia="fr-FR"/>
                    </w:rPr>
                  </w:pPr>
                  <w:r w:rsidRPr="001E3185">
                    <w:rPr>
                      <w:rFonts w:cs="Arial"/>
                      <w:color w:val="000000"/>
                      <w:lang w:eastAsia="fr-FR"/>
                    </w:rPr>
                    <w:t>51.62</w:t>
                  </w:r>
                </w:p>
              </w:tc>
            </w:tr>
            <w:tr w:rsidR="00692E71" w:rsidRPr="001E3185" w14:paraId="7F23C557" w14:textId="77777777" w:rsidTr="008E0250">
              <w:trPr>
                <w:trHeight w:val="283"/>
                <w:jc w:val="center"/>
              </w:trPr>
              <w:tc>
                <w:tcPr>
                  <w:tcW w:w="2034" w:type="dxa"/>
                  <w:vAlign w:val="center"/>
                  <w:hideMark/>
                </w:tcPr>
                <w:p w14:paraId="2F6F8492" w14:textId="77777777" w:rsidR="00692E71" w:rsidRPr="001E3185" w:rsidRDefault="00692E71" w:rsidP="008E0250">
                  <w:pPr>
                    <w:rPr>
                      <w:rFonts w:cs="Arial"/>
                      <w:color w:val="000000"/>
                      <w:lang w:eastAsia="fr-FR"/>
                    </w:rPr>
                  </w:pPr>
                  <w:r w:rsidRPr="001E3185">
                    <w:rPr>
                      <w:rFonts w:cs="Arial"/>
                      <w:color w:val="000000"/>
                      <w:lang w:eastAsia="fr-FR"/>
                    </w:rPr>
                    <w:t>Freundlich exponent 1/n</w:t>
                  </w:r>
                </w:p>
              </w:tc>
              <w:tc>
                <w:tcPr>
                  <w:tcW w:w="954" w:type="dxa"/>
                  <w:vAlign w:val="center"/>
                  <w:hideMark/>
                </w:tcPr>
                <w:p w14:paraId="643DAB94"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2CEC451A" w14:textId="77777777" w:rsidR="00692E71" w:rsidRPr="001E3185" w:rsidRDefault="00692E71" w:rsidP="008E0250">
                  <w:pPr>
                    <w:jc w:val="center"/>
                    <w:rPr>
                      <w:rFonts w:cs="Arial"/>
                      <w:color w:val="000000"/>
                      <w:lang w:eastAsia="fr-FR"/>
                    </w:rPr>
                  </w:pPr>
                  <w:r w:rsidRPr="001E3185">
                    <w:rPr>
                      <w:rFonts w:cs="Arial"/>
                      <w:color w:val="000000"/>
                      <w:lang w:eastAsia="fr-FR"/>
                    </w:rPr>
                    <w:t>1</w:t>
                  </w:r>
                </w:p>
              </w:tc>
            </w:tr>
            <w:tr w:rsidR="00692E71" w:rsidRPr="001E3185" w14:paraId="1343E56D" w14:textId="77777777" w:rsidTr="008E0250">
              <w:trPr>
                <w:trHeight w:val="283"/>
                <w:jc w:val="center"/>
              </w:trPr>
              <w:tc>
                <w:tcPr>
                  <w:tcW w:w="2034" w:type="dxa"/>
                  <w:vAlign w:val="center"/>
                  <w:hideMark/>
                </w:tcPr>
                <w:p w14:paraId="1A56A513" w14:textId="77777777" w:rsidR="00692E71" w:rsidRPr="001E3185" w:rsidRDefault="00692E71" w:rsidP="008E0250">
                  <w:pPr>
                    <w:rPr>
                      <w:rFonts w:cs="Arial"/>
                      <w:color w:val="000000"/>
                      <w:lang w:eastAsia="fr-FR"/>
                    </w:rPr>
                  </w:pPr>
                  <w:r w:rsidRPr="001E3185">
                    <w:rPr>
                      <w:rFonts w:cs="Arial"/>
                      <w:color w:val="000000"/>
                      <w:lang w:eastAsia="fr-FR"/>
                    </w:rPr>
                    <w:t>Method of subroutine description</w:t>
                  </w:r>
                </w:p>
              </w:tc>
              <w:tc>
                <w:tcPr>
                  <w:tcW w:w="954" w:type="dxa"/>
                  <w:vAlign w:val="center"/>
                  <w:hideMark/>
                </w:tcPr>
                <w:p w14:paraId="09079728"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033E976D" w14:textId="77777777" w:rsidR="00692E71" w:rsidRPr="001E3185" w:rsidRDefault="00692E71" w:rsidP="008E0250">
                  <w:pPr>
                    <w:jc w:val="center"/>
                    <w:rPr>
                      <w:rFonts w:cs="Arial"/>
                      <w:color w:val="000000"/>
                      <w:lang w:eastAsia="fr-FR"/>
                    </w:rPr>
                  </w:pPr>
                  <w:r w:rsidRPr="001E3185">
                    <w:rPr>
                      <w:rFonts w:cs="Arial"/>
                      <w:color w:val="000000"/>
                      <w:lang w:eastAsia="fr-FR"/>
                    </w:rPr>
                    <w:t>pH independent</w:t>
                  </w:r>
                </w:p>
              </w:tc>
            </w:tr>
            <w:tr w:rsidR="00692E71" w:rsidRPr="001E3185" w14:paraId="5FA52FD3" w14:textId="77777777" w:rsidTr="008E0250">
              <w:trPr>
                <w:trHeight w:val="283"/>
                <w:jc w:val="center"/>
              </w:trPr>
              <w:tc>
                <w:tcPr>
                  <w:tcW w:w="9305" w:type="dxa"/>
                  <w:gridSpan w:val="7"/>
                  <w:shd w:val="clear" w:color="auto" w:fill="DBE5F1" w:themeFill="accent1" w:themeFillTint="33"/>
                  <w:vAlign w:val="center"/>
                </w:tcPr>
                <w:p w14:paraId="2EC53C40" w14:textId="77777777" w:rsidR="00692E71" w:rsidRPr="001E3185" w:rsidRDefault="00692E71" w:rsidP="008E0250">
                  <w:pPr>
                    <w:rPr>
                      <w:rFonts w:cs="Arial"/>
                      <w:b/>
                      <w:bCs/>
                      <w:color w:val="4F6228"/>
                      <w:lang w:eastAsia="fr-FR"/>
                    </w:rPr>
                  </w:pPr>
                  <w:r w:rsidRPr="001E3185">
                    <w:rPr>
                      <w:rFonts w:cs="Arial"/>
                      <w:b/>
                      <w:bCs/>
                      <w:color w:val="4F6228"/>
                      <w:lang w:eastAsia="fr-FR"/>
                    </w:rPr>
                    <w:t>Crop related parameters</w:t>
                  </w:r>
                </w:p>
              </w:tc>
            </w:tr>
            <w:tr w:rsidR="00692E71" w:rsidRPr="001E3185" w14:paraId="72FA8729" w14:textId="77777777" w:rsidTr="008E0250">
              <w:trPr>
                <w:trHeight w:val="283"/>
                <w:jc w:val="center"/>
              </w:trPr>
              <w:tc>
                <w:tcPr>
                  <w:tcW w:w="2034" w:type="dxa"/>
                  <w:vAlign w:val="center"/>
                  <w:hideMark/>
                </w:tcPr>
                <w:p w14:paraId="5F28A3EB" w14:textId="77777777" w:rsidR="00692E71" w:rsidRPr="001E3185" w:rsidRDefault="00692E71" w:rsidP="008E0250">
                  <w:pPr>
                    <w:rPr>
                      <w:rFonts w:cs="Arial"/>
                      <w:color w:val="000000"/>
                      <w:lang w:eastAsia="fr-FR"/>
                    </w:rPr>
                  </w:pPr>
                  <w:r w:rsidRPr="001E3185">
                    <w:rPr>
                      <w:rFonts w:cs="Arial"/>
                      <w:color w:val="000000"/>
                      <w:lang w:eastAsia="fr-FR"/>
                    </w:rPr>
                    <w:t>Crop uptake factor</w:t>
                  </w:r>
                </w:p>
              </w:tc>
              <w:tc>
                <w:tcPr>
                  <w:tcW w:w="954" w:type="dxa"/>
                  <w:vAlign w:val="center"/>
                  <w:hideMark/>
                </w:tcPr>
                <w:p w14:paraId="35254849"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7252F128" w14:textId="77777777" w:rsidR="00692E71" w:rsidRPr="001E3185" w:rsidRDefault="00692E71" w:rsidP="008E0250">
                  <w:pPr>
                    <w:jc w:val="center"/>
                    <w:rPr>
                      <w:rFonts w:cs="Arial"/>
                      <w:color w:val="000000"/>
                      <w:lang w:eastAsia="fr-FR"/>
                    </w:rPr>
                  </w:pPr>
                  <w:r w:rsidRPr="001E3185">
                    <w:rPr>
                      <w:rFonts w:cs="Arial"/>
                      <w:color w:val="000000"/>
                      <w:lang w:eastAsia="fr-FR"/>
                    </w:rPr>
                    <w:t>0</w:t>
                  </w:r>
                </w:p>
              </w:tc>
            </w:tr>
            <w:tr w:rsidR="00692E71" w:rsidRPr="001E3185" w14:paraId="3C3893F8" w14:textId="77777777" w:rsidTr="008E0250">
              <w:trPr>
                <w:trHeight w:val="283"/>
                <w:jc w:val="center"/>
              </w:trPr>
              <w:tc>
                <w:tcPr>
                  <w:tcW w:w="9305" w:type="dxa"/>
                  <w:gridSpan w:val="7"/>
                  <w:shd w:val="clear" w:color="auto" w:fill="DBE5F1" w:themeFill="accent1" w:themeFillTint="33"/>
                  <w:vAlign w:val="center"/>
                </w:tcPr>
                <w:p w14:paraId="10202503" w14:textId="77777777" w:rsidR="00692E71" w:rsidRPr="001E3185" w:rsidRDefault="00692E71" w:rsidP="008E0250">
                  <w:pPr>
                    <w:rPr>
                      <w:rFonts w:cs="Arial"/>
                      <w:b/>
                      <w:bCs/>
                      <w:color w:val="4F6228"/>
                      <w:lang w:eastAsia="fr-FR"/>
                    </w:rPr>
                  </w:pPr>
                  <w:r w:rsidRPr="001E3185">
                    <w:rPr>
                      <w:rFonts w:cs="Arial"/>
                      <w:b/>
                      <w:bCs/>
                      <w:color w:val="4F6228"/>
                      <w:lang w:eastAsia="fr-FR"/>
                    </w:rPr>
                    <w:t>Application Schemes</w:t>
                  </w:r>
                </w:p>
              </w:tc>
            </w:tr>
            <w:tr w:rsidR="00692E71" w:rsidRPr="001E3185" w14:paraId="3C853831" w14:textId="77777777" w:rsidTr="008E0250">
              <w:trPr>
                <w:trHeight w:val="283"/>
                <w:jc w:val="center"/>
              </w:trPr>
              <w:tc>
                <w:tcPr>
                  <w:tcW w:w="2034" w:type="dxa"/>
                  <w:vAlign w:val="center"/>
                </w:tcPr>
                <w:p w14:paraId="61916D8E" w14:textId="77777777" w:rsidR="00692E71" w:rsidRPr="001E3185" w:rsidRDefault="00692E71" w:rsidP="008E0250">
                  <w:pPr>
                    <w:rPr>
                      <w:rFonts w:cs="Arial"/>
                      <w:color w:val="000000"/>
                      <w:lang w:eastAsia="fr-FR"/>
                    </w:rPr>
                  </w:pPr>
                  <w:r w:rsidRPr="001E3185">
                    <w:rPr>
                      <w:rFonts w:cs="Arial"/>
                    </w:rPr>
                    <w:t>Q*leach, TIME2 (5 years)</w:t>
                  </w:r>
                </w:p>
              </w:tc>
              <w:tc>
                <w:tcPr>
                  <w:tcW w:w="954" w:type="dxa"/>
                  <w:vAlign w:val="center"/>
                </w:tcPr>
                <w:p w14:paraId="2324BFF9" w14:textId="77777777" w:rsidR="00692E71" w:rsidRPr="001E3185" w:rsidRDefault="00692E71" w:rsidP="008E0250">
                  <w:pPr>
                    <w:jc w:val="center"/>
                    <w:rPr>
                      <w:rFonts w:cs="Arial"/>
                      <w:color w:val="000000"/>
                      <w:lang w:eastAsia="fr-FR"/>
                    </w:rPr>
                  </w:pPr>
                  <w:r w:rsidRPr="001E3185">
                    <w:rPr>
                      <w:rFonts w:cs="Arial"/>
                      <w:color w:val="000000"/>
                      <w:lang w:eastAsia="fr-FR"/>
                    </w:rPr>
                    <w:t>kg.m</w:t>
                  </w:r>
                  <w:r w:rsidRPr="001E3185">
                    <w:rPr>
                      <w:rFonts w:cs="Arial"/>
                      <w:color w:val="000000"/>
                      <w:vertAlign w:val="superscript"/>
                      <w:lang w:eastAsia="fr-FR"/>
                    </w:rPr>
                    <w:t>-2</w:t>
                  </w:r>
                </w:p>
              </w:tc>
              <w:tc>
                <w:tcPr>
                  <w:tcW w:w="1272" w:type="dxa"/>
                  <w:vAlign w:val="center"/>
                </w:tcPr>
                <w:p w14:paraId="53E56FB3" w14:textId="77777777" w:rsidR="00692E71" w:rsidRPr="001E3185" w:rsidRDefault="00692E71" w:rsidP="008E0250">
                  <w:pPr>
                    <w:jc w:val="center"/>
                    <w:rPr>
                      <w:rFonts w:cs="Arial"/>
                      <w:color w:val="000000"/>
                      <w:lang w:eastAsia="fr-FR"/>
                    </w:rPr>
                  </w:pPr>
                  <w:r w:rsidRPr="001E3185">
                    <w:rPr>
                      <w:rFonts w:cs="Arial"/>
                      <w:color w:val="000000"/>
                      <w:lang w:eastAsia="fr-FR"/>
                    </w:rPr>
                    <w:t>2.94E-05</w:t>
                  </w:r>
                </w:p>
              </w:tc>
              <w:tc>
                <w:tcPr>
                  <w:tcW w:w="1202" w:type="dxa"/>
                  <w:vAlign w:val="center"/>
                </w:tcPr>
                <w:p w14:paraId="23FB015E" w14:textId="77777777" w:rsidR="00692E71" w:rsidRPr="001E3185" w:rsidRDefault="00692E71" w:rsidP="008E0250">
                  <w:pPr>
                    <w:jc w:val="center"/>
                    <w:rPr>
                      <w:rFonts w:cs="Arial"/>
                      <w:color w:val="000000"/>
                      <w:lang w:eastAsia="fr-FR"/>
                    </w:rPr>
                  </w:pPr>
                  <w:r w:rsidRPr="001E3185">
                    <w:rPr>
                      <w:rFonts w:cs="Arial"/>
                      <w:color w:val="000000"/>
                      <w:lang w:eastAsia="fr-FR"/>
                    </w:rPr>
                    <w:t>7.68E-05</w:t>
                  </w:r>
                </w:p>
              </w:tc>
              <w:tc>
                <w:tcPr>
                  <w:tcW w:w="1150" w:type="dxa"/>
                  <w:vAlign w:val="center"/>
                </w:tcPr>
                <w:p w14:paraId="6F7036BB" w14:textId="77777777" w:rsidR="00692E71" w:rsidRPr="001E3185" w:rsidRDefault="00692E71" w:rsidP="008E0250">
                  <w:pPr>
                    <w:jc w:val="center"/>
                    <w:rPr>
                      <w:rFonts w:cs="Arial"/>
                      <w:color w:val="000000"/>
                      <w:lang w:eastAsia="fr-FR"/>
                    </w:rPr>
                  </w:pPr>
                  <w:r w:rsidRPr="001E3185">
                    <w:rPr>
                      <w:rFonts w:cs="Arial"/>
                      <w:color w:val="000000"/>
                      <w:lang w:eastAsia="fr-FR"/>
                    </w:rPr>
                    <w:t>1.88E-05</w:t>
                  </w:r>
                </w:p>
              </w:tc>
              <w:tc>
                <w:tcPr>
                  <w:tcW w:w="1134" w:type="dxa"/>
                  <w:vAlign w:val="center"/>
                </w:tcPr>
                <w:p w14:paraId="3EF09DFE"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c>
                <w:tcPr>
                  <w:tcW w:w="1559" w:type="dxa"/>
                  <w:vAlign w:val="center"/>
                </w:tcPr>
                <w:p w14:paraId="2FE9EF11"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r>
            <w:tr w:rsidR="00692E71" w:rsidRPr="001E3185" w14:paraId="5C9F35E7" w14:textId="77777777" w:rsidTr="008E0250">
              <w:trPr>
                <w:trHeight w:val="283"/>
                <w:jc w:val="center"/>
              </w:trPr>
              <w:tc>
                <w:tcPr>
                  <w:tcW w:w="2034" w:type="dxa"/>
                  <w:vAlign w:val="center"/>
                </w:tcPr>
                <w:p w14:paraId="5DC9818C" w14:textId="77777777" w:rsidR="00692E71" w:rsidRPr="001E3185" w:rsidRDefault="00692E71" w:rsidP="008E0250">
                  <w:pPr>
                    <w:rPr>
                      <w:rFonts w:cs="Arial"/>
                      <w:color w:val="000000"/>
                      <w:lang w:eastAsia="fr-FR"/>
                    </w:rPr>
                  </w:pPr>
                  <w:r w:rsidRPr="001E3185">
                    <w:rPr>
                      <w:rFonts w:cs="Arial"/>
                    </w:rPr>
                    <w:t>Total leachable area</w:t>
                  </w:r>
                </w:p>
              </w:tc>
              <w:tc>
                <w:tcPr>
                  <w:tcW w:w="954" w:type="dxa"/>
                  <w:vAlign w:val="center"/>
                </w:tcPr>
                <w:p w14:paraId="167BB838" w14:textId="77777777" w:rsidR="00692E71" w:rsidRPr="001E3185" w:rsidRDefault="00692E71" w:rsidP="008E0250">
                  <w:pPr>
                    <w:jc w:val="center"/>
                    <w:rPr>
                      <w:rFonts w:cs="Arial"/>
                      <w:color w:val="000000"/>
                      <w:lang w:eastAsia="fr-FR"/>
                    </w:rPr>
                  </w:pPr>
                  <w:r w:rsidRPr="001E3185">
                    <w:rPr>
                      <w:rFonts w:cs="Arial"/>
                    </w:rPr>
                    <w:t>m².ha</w:t>
                  </w:r>
                  <w:r w:rsidRPr="001E3185">
                    <w:rPr>
                      <w:rFonts w:cs="Arial"/>
                      <w:vertAlign w:val="superscript"/>
                    </w:rPr>
                    <w:t>-1</w:t>
                  </w:r>
                </w:p>
              </w:tc>
              <w:tc>
                <w:tcPr>
                  <w:tcW w:w="6317" w:type="dxa"/>
                  <w:gridSpan w:val="5"/>
                  <w:vAlign w:val="center"/>
                </w:tcPr>
                <w:p w14:paraId="23570673" w14:textId="77777777" w:rsidR="00692E71" w:rsidRPr="001E3185" w:rsidRDefault="00692E71" w:rsidP="008E0250">
                  <w:pPr>
                    <w:jc w:val="center"/>
                    <w:rPr>
                      <w:rFonts w:cs="Arial"/>
                      <w:color w:val="000000"/>
                      <w:lang w:eastAsia="fr-FR"/>
                    </w:rPr>
                  </w:pPr>
                  <w:r w:rsidRPr="001E3185">
                    <w:rPr>
                      <w:rFonts w:cs="Arial"/>
                      <w:color w:val="000000"/>
                      <w:lang w:eastAsia="fr-FR"/>
                    </w:rPr>
                    <w:t>2 000</w:t>
                  </w:r>
                </w:p>
              </w:tc>
            </w:tr>
            <w:tr w:rsidR="00692E71" w:rsidRPr="001E3185" w14:paraId="2855202A" w14:textId="77777777" w:rsidTr="008E0250">
              <w:trPr>
                <w:trHeight w:val="283"/>
                <w:jc w:val="center"/>
              </w:trPr>
              <w:tc>
                <w:tcPr>
                  <w:tcW w:w="2034" w:type="dxa"/>
                  <w:vAlign w:val="center"/>
                </w:tcPr>
                <w:p w14:paraId="62E3CDBC" w14:textId="77777777" w:rsidR="00692E71" w:rsidRPr="001E3185" w:rsidRDefault="00692E71" w:rsidP="008E0250">
                  <w:pPr>
                    <w:rPr>
                      <w:rFonts w:cs="Arial"/>
                      <w:color w:val="000000"/>
                      <w:lang w:eastAsia="fr-FR"/>
                    </w:rPr>
                  </w:pPr>
                  <w:r w:rsidRPr="001E3185">
                    <w:rPr>
                      <w:rFonts w:cs="Arial"/>
                    </w:rPr>
                    <w:t>Fraction of house surface exposed to weather</w:t>
                  </w:r>
                </w:p>
              </w:tc>
              <w:tc>
                <w:tcPr>
                  <w:tcW w:w="954" w:type="dxa"/>
                  <w:vAlign w:val="center"/>
                </w:tcPr>
                <w:p w14:paraId="585897F0" w14:textId="77777777" w:rsidR="00692E71" w:rsidRPr="001E3185" w:rsidRDefault="00692E71" w:rsidP="008E0250">
                  <w:pPr>
                    <w:jc w:val="center"/>
                    <w:rPr>
                      <w:rFonts w:cs="Arial"/>
                      <w:color w:val="000000"/>
                      <w:lang w:eastAsia="fr-FR"/>
                    </w:rPr>
                  </w:pPr>
                  <w:r w:rsidRPr="001E3185">
                    <w:rPr>
                      <w:rFonts w:cs="Arial"/>
                    </w:rPr>
                    <w:t>-</w:t>
                  </w:r>
                </w:p>
              </w:tc>
              <w:tc>
                <w:tcPr>
                  <w:tcW w:w="6317" w:type="dxa"/>
                  <w:gridSpan w:val="5"/>
                  <w:vAlign w:val="center"/>
                </w:tcPr>
                <w:p w14:paraId="59C9A894" w14:textId="77777777" w:rsidR="00692E71" w:rsidRPr="001E3185" w:rsidRDefault="00692E71" w:rsidP="008E0250">
                  <w:pPr>
                    <w:jc w:val="center"/>
                    <w:rPr>
                      <w:rFonts w:cs="Arial"/>
                      <w:color w:val="000000"/>
                      <w:lang w:eastAsia="fr-FR"/>
                    </w:rPr>
                  </w:pPr>
                  <w:r w:rsidRPr="001E3185">
                    <w:rPr>
                      <w:rFonts w:cs="Arial"/>
                      <w:color w:val="000000"/>
                      <w:lang w:eastAsia="fr-FR"/>
                    </w:rPr>
                    <w:t>0.5</w:t>
                  </w:r>
                </w:p>
              </w:tc>
            </w:tr>
            <w:tr w:rsidR="00692E71" w:rsidRPr="001E3185" w14:paraId="48C755CA" w14:textId="77777777" w:rsidTr="008E0250">
              <w:trPr>
                <w:trHeight w:val="283"/>
                <w:jc w:val="center"/>
              </w:trPr>
              <w:tc>
                <w:tcPr>
                  <w:tcW w:w="2034" w:type="dxa"/>
                  <w:vAlign w:val="center"/>
                </w:tcPr>
                <w:p w14:paraId="64BFC266" w14:textId="77777777" w:rsidR="00692E71" w:rsidRPr="001E3185" w:rsidRDefault="00692E71" w:rsidP="008E0250">
                  <w:pPr>
                    <w:rPr>
                      <w:rFonts w:cs="Arial"/>
                    </w:rPr>
                  </w:pPr>
                  <w:r w:rsidRPr="001E3185">
                    <w:rPr>
                      <w:rFonts w:cs="Arial"/>
                    </w:rPr>
                    <w:t>Service life</w:t>
                  </w:r>
                </w:p>
              </w:tc>
              <w:tc>
                <w:tcPr>
                  <w:tcW w:w="954" w:type="dxa"/>
                  <w:vAlign w:val="center"/>
                </w:tcPr>
                <w:p w14:paraId="2B91A669" w14:textId="77777777" w:rsidR="00692E71" w:rsidRPr="001E3185" w:rsidRDefault="00692E71" w:rsidP="008E0250">
                  <w:pPr>
                    <w:jc w:val="center"/>
                    <w:rPr>
                      <w:rFonts w:cs="Arial"/>
                    </w:rPr>
                  </w:pPr>
                  <w:r w:rsidRPr="001E3185">
                    <w:rPr>
                      <w:rFonts w:cs="Arial"/>
                    </w:rPr>
                    <w:t>year</w:t>
                  </w:r>
                </w:p>
              </w:tc>
              <w:tc>
                <w:tcPr>
                  <w:tcW w:w="6317" w:type="dxa"/>
                  <w:gridSpan w:val="5"/>
                  <w:vAlign w:val="center"/>
                </w:tcPr>
                <w:p w14:paraId="0DA9DE71" w14:textId="77777777" w:rsidR="00692E71" w:rsidRPr="001E3185" w:rsidRDefault="00692E71" w:rsidP="008E0250">
                  <w:pPr>
                    <w:jc w:val="center"/>
                    <w:rPr>
                      <w:rFonts w:cs="Arial"/>
                      <w:color w:val="000000"/>
                      <w:lang w:eastAsia="fr-FR"/>
                    </w:rPr>
                  </w:pPr>
                  <w:r w:rsidRPr="001E3185">
                    <w:rPr>
                      <w:rFonts w:cs="Arial"/>
                      <w:color w:val="000000"/>
                      <w:lang w:eastAsia="fr-FR"/>
                    </w:rPr>
                    <w:t>5</w:t>
                  </w:r>
                </w:p>
              </w:tc>
            </w:tr>
            <w:tr w:rsidR="00692E71" w:rsidRPr="001E3185" w14:paraId="4AC9BE39" w14:textId="77777777" w:rsidTr="008E0250">
              <w:trPr>
                <w:trHeight w:val="283"/>
                <w:jc w:val="center"/>
              </w:trPr>
              <w:tc>
                <w:tcPr>
                  <w:tcW w:w="2034" w:type="dxa"/>
                  <w:vAlign w:val="center"/>
                </w:tcPr>
                <w:p w14:paraId="2232FDD4" w14:textId="77777777" w:rsidR="00692E71" w:rsidRPr="001E3185" w:rsidRDefault="00692E71" w:rsidP="008E0250">
                  <w:pPr>
                    <w:rPr>
                      <w:rFonts w:cs="Arial"/>
                    </w:rPr>
                  </w:pPr>
                  <w:r w:rsidRPr="001E3185">
                    <w:rPr>
                      <w:rFonts w:cs="Arial"/>
                    </w:rPr>
                    <w:lastRenderedPageBreak/>
                    <w:t>Number of application per year</w:t>
                  </w:r>
                </w:p>
              </w:tc>
              <w:tc>
                <w:tcPr>
                  <w:tcW w:w="954" w:type="dxa"/>
                  <w:vAlign w:val="center"/>
                </w:tcPr>
                <w:p w14:paraId="19406085" w14:textId="77777777" w:rsidR="00692E71" w:rsidRPr="001E3185" w:rsidRDefault="00692E71" w:rsidP="008E0250">
                  <w:pPr>
                    <w:jc w:val="center"/>
                    <w:rPr>
                      <w:rFonts w:cs="Arial"/>
                    </w:rPr>
                  </w:pPr>
                  <w:r w:rsidRPr="001E3185">
                    <w:rPr>
                      <w:rFonts w:cs="Arial"/>
                      <w:color w:val="000000"/>
                      <w:lang w:eastAsia="fr-FR"/>
                    </w:rPr>
                    <w:t>-</w:t>
                  </w:r>
                </w:p>
              </w:tc>
              <w:tc>
                <w:tcPr>
                  <w:tcW w:w="6317" w:type="dxa"/>
                  <w:gridSpan w:val="5"/>
                  <w:vAlign w:val="center"/>
                </w:tcPr>
                <w:p w14:paraId="55C39220" w14:textId="77777777" w:rsidR="00692E71" w:rsidRPr="001E3185" w:rsidRDefault="00692E71" w:rsidP="008E0250">
                  <w:pPr>
                    <w:jc w:val="center"/>
                    <w:rPr>
                      <w:rFonts w:cs="Arial"/>
                      <w:color w:val="000000"/>
                      <w:lang w:eastAsia="fr-FR"/>
                    </w:rPr>
                  </w:pPr>
                  <w:r w:rsidRPr="001E3185">
                    <w:rPr>
                      <w:rFonts w:cs="Arial"/>
                      <w:color w:val="000000"/>
                      <w:lang w:eastAsia="fr-FR"/>
                    </w:rPr>
                    <w:t>10</w:t>
                  </w:r>
                </w:p>
              </w:tc>
            </w:tr>
            <w:tr w:rsidR="00692E71" w:rsidRPr="001E3185" w14:paraId="4BCA5C70" w14:textId="77777777" w:rsidTr="008E0250">
              <w:trPr>
                <w:trHeight w:val="283"/>
                <w:jc w:val="center"/>
              </w:trPr>
              <w:tc>
                <w:tcPr>
                  <w:tcW w:w="2034" w:type="dxa"/>
                  <w:vAlign w:val="center"/>
                  <w:hideMark/>
                </w:tcPr>
                <w:p w14:paraId="3893806D" w14:textId="77777777" w:rsidR="00692E71" w:rsidRPr="001E3185" w:rsidRDefault="00692E71" w:rsidP="008E0250">
                  <w:pPr>
                    <w:rPr>
                      <w:rFonts w:cs="Arial"/>
                      <w:color w:val="000000"/>
                      <w:lang w:eastAsia="fr-FR"/>
                    </w:rPr>
                  </w:pPr>
                  <w:r w:rsidRPr="001E3185">
                    <w:rPr>
                      <w:rFonts w:cs="Arial"/>
                      <w:color w:val="000000"/>
                      <w:lang w:eastAsia="fr-FR"/>
                    </w:rPr>
                    <w:t>Dosage service-life</w:t>
                  </w:r>
                </w:p>
              </w:tc>
              <w:tc>
                <w:tcPr>
                  <w:tcW w:w="954" w:type="dxa"/>
                  <w:vAlign w:val="center"/>
                  <w:hideMark/>
                </w:tcPr>
                <w:p w14:paraId="0DB2A8C5" w14:textId="77777777" w:rsidR="00692E71" w:rsidRPr="001E3185" w:rsidRDefault="00692E71" w:rsidP="008E0250">
                  <w:pPr>
                    <w:jc w:val="center"/>
                    <w:rPr>
                      <w:rFonts w:cs="Arial"/>
                      <w:color w:val="000000"/>
                      <w:lang w:eastAsia="fr-FR"/>
                    </w:rPr>
                  </w:pPr>
                  <w:r w:rsidRPr="001E3185">
                    <w:rPr>
                      <w:rFonts w:cs="Arial"/>
                      <w:color w:val="000000"/>
                      <w:lang w:eastAsia="fr-FR"/>
                    </w:rPr>
                    <w:t>kg.ha</w:t>
                  </w:r>
                  <w:r w:rsidRPr="001E3185">
                    <w:rPr>
                      <w:rFonts w:cs="Arial"/>
                      <w:color w:val="000000"/>
                      <w:vertAlign w:val="superscript"/>
                      <w:lang w:eastAsia="fr-FR"/>
                    </w:rPr>
                    <w:t>-1</w:t>
                  </w:r>
                </w:p>
              </w:tc>
              <w:tc>
                <w:tcPr>
                  <w:tcW w:w="1272" w:type="dxa"/>
                  <w:vAlign w:val="center"/>
                  <w:hideMark/>
                </w:tcPr>
                <w:p w14:paraId="1A0158DF" w14:textId="77777777" w:rsidR="00692E71" w:rsidRPr="001E3185" w:rsidRDefault="00692E71" w:rsidP="008E0250">
                  <w:pPr>
                    <w:jc w:val="center"/>
                    <w:rPr>
                      <w:rFonts w:cs="Arial"/>
                      <w:color w:val="000000"/>
                      <w:lang w:eastAsia="fr-FR"/>
                    </w:rPr>
                  </w:pPr>
                  <w:r w:rsidRPr="001E3185">
                    <w:rPr>
                      <w:rFonts w:cs="Arial"/>
                      <w:color w:val="000000"/>
                      <w:lang w:eastAsia="fr-FR"/>
                    </w:rPr>
                    <w:t>5.88E-04</w:t>
                  </w:r>
                </w:p>
              </w:tc>
              <w:tc>
                <w:tcPr>
                  <w:tcW w:w="1202" w:type="dxa"/>
                  <w:vAlign w:val="center"/>
                </w:tcPr>
                <w:p w14:paraId="40BB2B8B" w14:textId="77777777" w:rsidR="00692E71" w:rsidRPr="001E3185" w:rsidRDefault="00692E71" w:rsidP="008E0250">
                  <w:pPr>
                    <w:jc w:val="center"/>
                    <w:rPr>
                      <w:rFonts w:cs="Arial"/>
                      <w:color w:val="000000"/>
                      <w:lang w:eastAsia="fr-FR"/>
                    </w:rPr>
                  </w:pPr>
                  <w:r w:rsidRPr="001E3185">
                    <w:rPr>
                      <w:rFonts w:cs="Arial"/>
                      <w:color w:val="000000"/>
                      <w:lang w:eastAsia="fr-FR"/>
                    </w:rPr>
                    <w:t>1.54E-03</w:t>
                  </w:r>
                </w:p>
              </w:tc>
              <w:tc>
                <w:tcPr>
                  <w:tcW w:w="1150" w:type="dxa"/>
                  <w:vAlign w:val="center"/>
                </w:tcPr>
                <w:p w14:paraId="678246BD" w14:textId="77777777" w:rsidR="00692E71" w:rsidRPr="001E3185" w:rsidRDefault="00692E71" w:rsidP="008E0250">
                  <w:pPr>
                    <w:jc w:val="center"/>
                    <w:rPr>
                      <w:rFonts w:cs="Arial"/>
                      <w:color w:val="000000"/>
                      <w:lang w:eastAsia="fr-FR"/>
                    </w:rPr>
                  </w:pPr>
                  <w:r w:rsidRPr="001E3185">
                    <w:rPr>
                      <w:rFonts w:cs="Arial"/>
                      <w:color w:val="000000"/>
                      <w:lang w:eastAsia="fr-FR"/>
                    </w:rPr>
                    <w:t>3.76E-04</w:t>
                  </w:r>
                </w:p>
              </w:tc>
              <w:tc>
                <w:tcPr>
                  <w:tcW w:w="1134" w:type="dxa"/>
                  <w:vAlign w:val="center"/>
                </w:tcPr>
                <w:p w14:paraId="0BE0B94C"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c>
                <w:tcPr>
                  <w:tcW w:w="1559" w:type="dxa"/>
                  <w:vAlign w:val="center"/>
                </w:tcPr>
                <w:p w14:paraId="47315D05"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r>
            <w:tr w:rsidR="00692E71" w:rsidRPr="001E3185" w14:paraId="04655E3D" w14:textId="77777777" w:rsidTr="008E0250">
              <w:trPr>
                <w:trHeight w:val="283"/>
                <w:jc w:val="center"/>
              </w:trPr>
              <w:tc>
                <w:tcPr>
                  <w:tcW w:w="2034" w:type="dxa"/>
                  <w:vAlign w:val="center"/>
                </w:tcPr>
                <w:p w14:paraId="2D490370" w14:textId="77777777" w:rsidR="00692E71" w:rsidRPr="001E3185" w:rsidRDefault="00692E71" w:rsidP="008E0250">
                  <w:pPr>
                    <w:rPr>
                      <w:rFonts w:cs="Arial"/>
                      <w:color w:val="000000"/>
                      <w:lang w:eastAsia="fr-FR"/>
                    </w:rPr>
                  </w:pPr>
                  <w:r w:rsidRPr="001E3185">
                    <w:rPr>
                      <w:rFonts w:cs="Arial"/>
                      <w:color w:val="000000"/>
                      <w:lang w:eastAsia="fr-FR"/>
                    </w:rPr>
                    <w:t>Fraction transformed</w:t>
                  </w:r>
                </w:p>
              </w:tc>
              <w:tc>
                <w:tcPr>
                  <w:tcW w:w="954" w:type="dxa"/>
                  <w:vAlign w:val="center"/>
                </w:tcPr>
                <w:p w14:paraId="6515B5DA"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1272" w:type="dxa"/>
                  <w:vAlign w:val="center"/>
                </w:tcPr>
                <w:p w14:paraId="0CEE680E"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c>
                <w:tcPr>
                  <w:tcW w:w="1202" w:type="dxa"/>
                  <w:vAlign w:val="center"/>
                </w:tcPr>
                <w:p w14:paraId="311A9E3B"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c>
                <w:tcPr>
                  <w:tcW w:w="1150" w:type="dxa"/>
                  <w:vAlign w:val="center"/>
                </w:tcPr>
                <w:p w14:paraId="6534F94D"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c>
                <w:tcPr>
                  <w:tcW w:w="1134" w:type="dxa"/>
                  <w:vAlign w:val="center"/>
                </w:tcPr>
                <w:p w14:paraId="3C4CDDD5" w14:textId="77777777" w:rsidR="00692E71" w:rsidRPr="001E3185" w:rsidRDefault="00692E71" w:rsidP="008E0250">
                  <w:pPr>
                    <w:jc w:val="center"/>
                    <w:rPr>
                      <w:rFonts w:cs="Arial"/>
                      <w:color w:val="000000"/>
                      <w:lang w:eastAsia="fr-FR"/>
                    </w:rPr>
                  </w:pPr>
                  <w:r w:rsidRPr="001E3185">
                    <w:rPr>
                      <w:rFonts w:cs="Arial"/>
                      <w:color w:val="000000"/>
                      <w:lang w:eastAsia="fr-FR"/>
                    </w:rPr>
                    <w:t>1</w:t>
                  </w:r>
                </w:p>
                <w:p w14:paraId="6BE70C91" w14:textId="77777777" w:rsidR="00692E71" w:rsidRPr="001E3185" w:rsidRDefault="00692E71" w:rsidP="008E0250">
                  <w:pPr>
                    <w:jc w:val="center"/>
                    <w:rPr>
                      <w:rFonts w:cs="Arial"/>
                      <w:color w:val="000000"/>
                      <w:lang w:eastAsia="fr-FR"/>
                    </w:rPr>
                  </w:pPr>
                  <w:r w:rsidRPr="001E3185">
                    <w:rPr>
                      <w:rFonts w:cs="Arial"/>
                      <w:color w:val="000000"/>
                      <w:lang w:eastAsia="fr-FR"/>
                    </w:rPr>
                    <w:t>(IPBC)</w:t>
                  </w:r>
                </w:p>
              </w:tc>
              <w:tc>
                <w:tcPr>
                  <w:tcW w:w="1559" w:type="dxa"/>
                  <w:vAlign w:val="center"/>
                </w:tcPr>
                <w:p w14:paraId="19DA0EDD" w14:textId="77777777" w:rsidR="00692E71" w:rsidRPr="001E3185" w:rsidRDefault="00692E71" w:rsidP="008E0250">
                  <w:pPr>
                    <w:jc w:val="center"/>
                    <w:rPr>
                      <w:rFonts w:cs="Arial"/>
                    </w:rPr>
                  </w:pPr>
                  <w:r w:rsidRPr="001E3185">
                    <w:rPr>
                      <w:rFonts w:cs="Arial"/>
                    </w:rPr>
                    <w:t>0.09 (Tebuconazole) 0.43</w:t>
                  </w:r>
                </w:p>
                <w:p w14:paraId="5D78F53F" w14:textId="77777777" w:rsidR="00692E71" w:rsidRPr="001E3185" w:rsidRDefault="00692E71" w:rsidP="008E0250">
                  <w:pPr>
                    <w:jc w:val="center"/>
                    <w:rPr>
                      <w:rFonts w:cs="Arial"/>
                    </w:rPr>
                  </w:pPr>
                  <w:r w:rsidRPr="001E3185">
                    <w:rPr>
                      <w:rFonts w:cs="Arial"/>
                    </w:rPr>
                    <w:t>(Propiconazole)</w:t>
                  </w:r>
                </w:p>
              </w:tc>
            </w:tr>
            <w:tr w:rsidR="00692E71" w:rsidRPr="001E3185" w14:paraId="21EEC3B2" w14:textId="77777777" w:rsidTr="008E0250">
              <w:trPr>
                <w:trHeight w:val="283"/>
                <w:jc w:val="center"/>
              </w:trPr>
              <w:tc>
                <w:tcPr>
                  <w:tcW w:w="2034" w:type="dxa"/>
                  <w:vAlign w:val="center"/>
                  <w:hideMark/>
                </w:tcPr>
                <w:p w14:paraId="3FDCF04D" w14:textId="77777777" w:rsidR="00692E71" w:rsidRPr="001E3185" w:rsidRDefault="00692E71" w:rsidP="008E0250">
                  <w:pPr>
                    <w:rPr>
                      <w:rFonts w:cs="Arial"/>
                      <w:color w:val="000000"/>
                      <w:lang w:eastAsia="fr-FR"/>
                    </w:rPr>
                  </w:pPr>
                  <w:r w:rsidRPr="001E3185">
                    <w:rPr>
                      <w:rFonts w:cs="Arial"/>
                      <w:color w:val="000000"/>
                      <w:lang w:eastAsia="fr-FR"/>
                    </w:rPr>
                    <w:t xml:space="preserve">Application type </w:t>
                  </w:r>
                </w:p>
              </w:tc>
              <w:tc>
                <w:tcPr>
                  <w:tcW w:w="954" w:type="dxa"/>
                  <w:vAlign w:val="center"/>
                  <w:hideMark/>
                </w:tcPr>
                <w:p w14:paraId="19FB7EE9"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60406851" w14:textId="77777777" w:rsidR="00692E71" w:rsidRPr="001E3185" w:rsidRDefault="00692E71" w:rsidP="008E0250">
                  <w:pPr>
                    <w:jc w:val="center"/>
                    <w:rPr>
                      <w:rFonts w:cs="Arial"/>
                      <w:color w:val="000000"/>
                      <w:lang w:eastAsia="fr-FR"/>
                    </w:rPr>
                  </w:pPr>
                  <w:r w:rsidRPr="001E3185">
                    <w:rPr>
                      <w:rFonts w:cs="Arial"/>
                      <w:color w:val="000000"/>
                      <w:lang w:eastAsia="fr-FR"/>
                    </w:rPr>
                    <w:t>To the soil surface</w:t>
                  </w:r>
                </w:p>
              </w:tc>
            </w:tr>
            <w:tr w:rsidR="00692E71" w:rsidRPr="001E3185" w14:paraId="04F00C78" w14:textId="77777777" w:rsidTr="008E0250">
              <w:trPr>
                <w:trHeight w:val="283"/>
                <w:jc w:val="center"/>
              </w:trPr>
              <w:tc>
                <w:tcPr>
                  <w:tcW w:w="2034" w:type="dxa"/>
                  <w:vAlign w:val="center"/>
                  <w:hideMark/>
                </w:tcPr>
                <w:p w14:paraId="5FD63617" w14:textId="77777777" w:rsidR="00692E71" w:rsidRPr="001E3185" w:rsidRDefault="00692E71" w:rsidP="008E0250">
                  <w:pPr>
                    <w:rPr>
                      <w:rFonts w:cs="Arial"/>
                      <w:color w:val="000000"/>
                      <w:lang w:eastAsia="fr-FR"/>
                    </w:rPr>
                  </w:pPr>
                  <w:r w:rsidRPr="001E3185">
                    <w:rPr>
                      <w:rFonts w:cs="Arial"/>
                      <w:color w:val="000000"/>
                      <w:lang w:eastAsia="fr-FR"/>
                    </w:rPr>
                    <w:t>Repeat interval for years</w:t>
                  </w:r>
                </w:p>
              </w:tc>
              <w:tc>
                <w:tcPr>
                  <w:tcW w:w="954" w:type="dxa"/>
                  <w:vAlign w:val="center"/>
                  <w:hideMark/>
                </w:tcPr>
                <w:p w14:paraId="37E5F390"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0BBDA1AC" w14:textId="77777777" w:rsidR="00692E71" w:rsidRPr="001E3185" w:rsidRDefault="00692E71" w:rsidP="008E0250">
                  <w:pPr>
                    <w:jc w:val="center"/>
                    <w:rPr>
                      <w:rFonts w:cs="Arial"/>
                      <w:color w:val="000000"/>
                      <w:lang w:eastAsia="fr-FR"/>
                    </w:rPr>
                  </w:pPr>
                  <w:r w:rsidRPr="001E3185">
                    <w:rPr>
                      <w:rFonts w:cs="Arial"/>
                      <w:color w:val="000000"/>
                      <w:lang w:eastAsia="fr-FR"/>
                    </w:rPr>
                    <w:t>1</w:t>
                  </w:r>
                </w:p>
              </w:tc>
            </w:tr>
            <w:tr w:rsidR="00692E71" w:rsidRPr="001E3185" w14:paraId="0CAB5A70" w14:textId="77777777" w:rsidTr="008E0250">
              <w:trPr>
                <w:trHeight w:val="330"/>
                <w:jc w:val="center"/>
              </w:trPr>
              <w:tc>
                <w:tcPr>
                  <w:tcW w:w="2034" w:type="dxa"/>
                  <w:vMerge w:val="restart"/>
                  <w:vAlign w:val="center"/>
                  <w:hideMark/>
                </w:tcPr>
                <w:p w14:paraId="081B07ED" w14:textId="77777777" w:rsidR="00692E71" w:rsidRPr="001E3185" w:rsidRDefault="00692E71" w:rsidP="008E0250">
                  <w:pPr>
                    <w:rPr>
                      <w:rFonts w:cs="Arial"/>
                      <w:color w:val="000000"/>
                      <w:lang w:eastAsia="fr-FR"/>
                    </w:rPr>
                  </w:pPr>
                  <w:r w:rsidRPr="001E3185">
                    <w:rPr>
                      <w:rFonts w:cs="Arial"/>
                      <w:color w:val="000000"/>
                      <w:lang w:eastAsia="fr-FR"/>
                    </w:rPr>
                    <w:t>Date</w:t>
                  </w:r>
                </w:p>
              </w:tc>
              <w:tc>
                <w:tcPr>
                  <w:tcW w:w="954" w:type="dxa"/>
                  <w:vMerge w:val="restart"/>
                  <w:vAlign w:val="center"/>
                  <w:hideMark/>
                </w:tcPr>
                <w:p w14:paraId="100BC8A5"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2F1D289A" w14:textId="77777777" w:rsidR="00692E71" w:rsidRPr="001E3185" w:rsidRDefault="00692E71" w:rsidP="008E0250">
                  <w:pPr>
                    <w:jc w:val="center"/>
                    <w:rPr>
                      <w:rFonts w:cs="Arial"/>
                      <w:color w:val="000000"/>
                      <w:lang w:eastAsia="fr-FR"/>
                    </w:rPr>
                  </w:pPr>
                  <w:r w:rsidRPr="001E3185">
                    <w:rPr>
                      <w:rFonts w:cs="Arial"/>
                    </w:rPr>
                    <w:t>10/01/1901</w:t>
                  </w:r>
                </w:p>
              </w:tc>
            </w:tr>
            <w:tr w:rsidR="00692E71" w:rsidRPr="001E3185" w14:paraId="7700452F" w14:textId="77777777" w:rsidTr="008E0250">
              <w:trPr>
                <w:trHeight w:val="330"/>
                <w:jc w:val="center"/>
              </w:trPr>
              <w:tc>
                <w:tcPr>
                  <w:tcW w:w="2034" w:type="dxa"/>
                  <w:vMerge/>
                  <w:vAlign w:val="center"/>
                  <w:hideMark/>
                </w:tcPr>
                <w:p w14:paraId="24B940E6" w14:textId="77777777" w:rsidR="00692E71" w:rsidRPr="001E3185" w:rsidRDefault="00692E71" w:rsidP="008E0250">
                  <w:pPr>
                    <w:rPr>
                      <w:rFonts w:cs="Arial"/>
                      <w:color w:val="000000"/>
                      <w:lang w:eastAsia="fr-FR"/>
                    </w:rPr>
                  </w:pPr>
                </w:p>
              </w:tc>
              <w:tc>
                <w:tcPr>
                  <w:tcW w:w="954" w:type="dxa"/>
                  <w:vMerge/>
                  <w:vAlign w:val="center"/>
                  <w:hideMark/>
                </w:tcPr>
                <w:p w14:paraId="71FB7298" w14:textId="77777777" w:rsidR="00692E71" w:rsidRPr="001E3185" w:rsidRDefault="00692E71" w:rsidP="008E0250">
                  <w:pPr>
                    <w:rPr>
                      <w:rFonts w:cs="Arial"/>
                      <w:color w:val="000000"/>
                      <w:lang w:eastAsia="fr-FR"/>
                    </w:rPr>
                  </w:pPr>
                </w:p>
              </w:tc>
              <w:tc>
                <w:tcPr>
                  <w:tcW w:w="6317" w:type="dxa"/>
                  <w:gridSpan w:val="5"/>
                  <w:vAlign w:val="center"/>
                  <w:hideMark/>
                </w:tcPr>
                <w:p w14:paraId="56683684" w14:textId="77777777" w:rsidR="00692E71" w:rsidRPr="001E3185" w:rsidRDefault="00692E71" w:rsidP="008E0250">
                  <w:pPr>
                    <w:jc w:val="center"/>
                    <w:rPr>
                      <w:rFonts w:cs="Arial"/>
                      <w:color w:val="000000"/>
                      <w:lang w:eastAsia="fr-FR"/>
                    </w:rPr>
                  </w:pPr>
                  <w:r w:rsidRPr="001E3185">
                    <w:rPr>
                      <w:rFonts w:cs="Arial"/>
                    </w:rPr>
                    <w:t>15/02/1901</w:t>
                  </w:r>
                </w:p>
              </w:tc>
            </w:tr>
            <w:tr w:rsidR="00692E71" w:rsidRPr="001E3185" w14:paraId="01DC76C8" w14:textId="77777777" w:rsidTr="008E0250">
              <w:trPr>
                <w:trHeight w:val="330"/>
                <w:jc w:val="center"/>
              </w:trPr>
              <w:tc>
                <w:tcPr>
                  <w:tcW w:w="2034" w:type="dxa"/>
                  <w:vMerge/>
                  <w:vAlign w:val="center"/>
                  <w:hideMark/>
                </w:tcPr>
                <w:p w14:paraId="606B171B" w14:textId="77777777" w:rsidR="00692E71" w:rsidRPr="001E3185" w:rsidRDefault="00692E71" w:rsidP="008E0250">
                  <w:pPr>
                    <w:rPr>
                      <w:rFonts w:cs="Arial"/>
                      <w:color w:val="000000"/>
                      <w:lang w:eastAsia="fr-FR"/>
                    </w:rPr>
                  </w:pPr>
                </w:p>
              </w:tc>
              <w:tc>
                <w:tcPr>
                  <w:tcW w:w="954" w:type="dxa"/>
                  <w:vMerge/>
                  <w:vAlign w:val="center"/>
                  <w:hideMark/>
                </w:tcPr>
                <w:p w14:paraId="07624A8B" w14:textId="77777777" w:rsidR="00692E71" w:rsidRPr="001E3185" w:rsidRDefault="00692E71" w:rsidP="008E0250">
                  <w:pPr>
                    <w:rPr>
                      <w:rFonts w:cs="Arial"/>
                      <w:color w:val="000000"/>
                      <w:lang w:eastAsia="fr-FR"/>
                    </w:rPr>
                  </w:pPr>
                </w:p>
              </w:tc>
              <w:tc>
                <w:tcPr>
                  <w:tcW w:w="6317" w:type="dxa"/>
                  <w:gridSpan w:val="5"/>
                  <w:vAlign w:val="center"/>
                  <w:hideMark/>
                </w:tcPr>
                <w:p w14:paraId="60D260E7" w14:textId="77777777" w:rsidR="00692E71" w:rsidRPr="001E3185" w:rsidRDefault="00692E71" w:rsidP="008E0250">
                  <w:pPr>
                    <w:jc w:val="center"/>
                    <w:rPr>
                      <w:rFonts w:cs="Arial"/>
                      <w:color w:val="000000"/>
                      <w:lang w:eastAsia="fr-FR"/>
                    </w:rPr>
                  </w:pPr>
                  <w:r w:rsidRPr="001E3185">
                    <w:rPr>
                      <w:rFonts w:cs="Arial"/>
                    </w:rPr>
                    <w:t>24/03/1901</w:t>
                  </w:r>
                </w:p>
              </w:tc>
            </w:tr>
            <w:tr w:rsidR="00692E71" w:rsidRPr="001E3185" w14:paraId="11559728" w14:textId="77777777" w:rsidTr="008E0250">
              <w:trPr>
                <w:trHeight w:val="330"/>
                <w:jc w:val="center"/>
              </w:trPr>
              <w:tc>
                <w:tcPr>
                  <w:tcW w:w="2034" w:type="dxa"/>
                  <w:vMerge/>
                  <w:vAlign w:val="center"/>
                  <w:hideMark/>
                </w:tcPr>
                <w:p w14:paraId="01C5899D" w14:textId="77777777" w:rsidR="00692E71" w:rsidRPr="001E3185" w:rsidRDefault="00692E71" w:rsidP="008E0250">
                  <w:pPr>
                    <w:rPr>
                      <w:rFonts w:cs="Arial"/>
                      <w:color w:val="000000"/>
                      <w:lang w:eastAsia="fr-FR"/>
                    </w:rPr>
                  </w:pPr>
                </w:p>
              </w:tc>
              <w:tc>
                <w:tcPr>
                  <w:tcW w:w="954" w:type="dxa"/>
                  <w:vMerge/>
                  <w:vAlign w:val="center"/>
                  <w:hideMark/>
                </w:tcPr>
                <w:p w14:paraId="123CECEF" w14:textId="77777777" w:rsidR="00692E71" w:rsidRPr="001E3185" w:rsidRDefault="00692E71" w:rsidP="008E0250">
                  <w:pPr>
                    <w:rPr>
                      <w:rFonts w:cs="Arial"/>
                      <w:color w:val="000000"/>
                      <w:lang w:eastAsia="fr-FR"/>
                    </w:rPr>
                  </w:pPr>
                </w:p>
              </w:tc>
              <w:tc>
                <w:tcPr>
                  <w:tcW w:w="6317" w:type="dxa"/>
                  <w:gridSpan w:val="5"/>
                  <w:vAlign w:val="center"/>
                  <w:hideMark/>
                </w:tcPr>
                <w:p w14:paraId="465A4D55" w14:textId="77777777" w:rsidR="00692E71" w:rsidRPr="001E3185" w:rsidRDefault="00692E71" w:rsidP="008E0250">
                  <w:pPr>
                    <w:jc w:val="center"/>
                    <w:rPr>
                      <w:rFonts w:cs="Arial"/>
                      <w:color w:val="000000"/>
                      <w:lang w:eastAsia="fr-FR"/>
                    </w:rPr>
                  </w:pPr>
                  <w:r w:rsidRPr="001E3185">
                    <w:rPr>
                      <w:rFonts w:cs="Arial"/>
                    </w:rPr>
                    <w:t>29/04/1901</w:t>
                  </w:r>
                </w:p>
              </w:tc>
            </w:tr>
            <w:tr w:rsidR="00692E71" w:rsidRPr="001E3185" w14:paraId="780A173C" w14:textId="77777777" w:rsidTr="008E0250">
              <w:trPr>
                <w:trHeight w:val="330"/>
                <w:jc w:val="center"/>
              </w:trPr>
              <w:tc>
                <w:tcPr>
                  <w:tcW w:w="2034" w:type="dxa"/>
                  <w:vMerge/>
                  <w:vAlign w:val="center"/>
                  <w:hideMark/>
                </w:tcPr>
                <w:p w14:paraId="1B94A2AA" w14:textId="77777777" w:rsidR="00692E71" w:rsidRPr="001E3185" w:rsidRDefault="00692E71" w:rsidP="008E0250">
                  <w:pPr>
                    <w:rPr>
                      <w:rFonts w:cs="Arial"/>
                      <w:color w:val="000000"/>
                      <w:lang w:eastAsia="fr-FR"/>
                    </w:rPr>
                  </w:pPr>
                </w:p>
              </w:tc>
              <w:tc>
                <w:tcPr>
                  <w:tcW w:w="954" w:type="dxa"/>
                  <w:vMerge/>
                  <w:vAlign w:val="center"/>
                  <w:hideMark/>
                </w:tcPr>
                <w:p w14:paraId="30311206" w14:textId="77777777" w:rsidR="00692E71" w:rsidRPr="001E3185" w:rsidRDefault="00692E71" w:rsidP="008E0250">
                  <w:pPr>
                    <w:rPr>
                      <w:rFonts w:cs="Arial"/>
                      <w:color w:val="000000"/>
                      <w:lang w:eastAsia="fr-FR"/>
                    </w:rPr>
                  </w:pPr>
                </w:p>
              </w:tc>
              <w:tc>
                <w:tcPr>
                  <w:tcW w:w="6317" w:type="dxa"/>
                  <w:gridSpan w:val="5"/>
                  <w:vAlign w:val="center"/>
                  <w:hideMark/>
                </w:tcPr>
                <w:p w14:paraId="658D47D8" w14:textId="77777777" w:rsidR="00692E71" w:rsidRPr="001E3185" w:rsidRDefault="00692E71" w:rsidP="008E0250">
                  <w:pPr>
                    <w:jc w:val="center"/>
                    <w:rPr>
                      <w:rFonts w:cs="Arial"/>
                      <w:color w:val="000000"/>
                      <w:lang w:eastAsia="fr-FR"/>
                    </w:rPr>
                  </w:pPr>
                  <w:r w:rsidRPr="001E3185">
                    <w:rPr>
                      <w:rFonts w:cs="Arial"/>
                    </w:rPr>
                    <w:t>05/06/1901</w:t>
                  </w:r>
                </w:p>
              </w:tc>
            </w:tr>
            <w:tr w:rsidR="00692E71" w:rsidRPr="001E3185" w14:paraId="0455935A" w14:textId="77777777" w:rsidTr="008E0250">
              <w:trPr>
                <w:trHeight w:val="330"/>
                <w:jc w:val="center"/>
              </w:trPr>
              <w:tc>
                <w:tcPr>
                  <w:tcW w:w="2034" w:type="dxa"/>
                  <w:vMerge/>
                  <w:vAlign w:val="center"/>
                  <w:hideMark/>
                </w:tcPr>
                <w:p w14:paraId="362A5CF9" w14:textId="77777777" w:rsidR="00692E71" w:rsidRPr="001E3185" w:rsidRDefault="00692E71" w:rsidP="008E0250">
                  <w:pPr>
                    <w:rPr>
                      <w:rFonts w:cs="Arial"/>
                      <w:color w:val="000000"/>
                      <w:lang w:eastAsia="fr-FR"/>
                    </w:rPr>
                  </w:pPr>
                </w:p>
              </w:tc>
              <w:tc>
                <w:tcPr>
                  <w:tcW w:w="954" w:type="dxa"/>
                  <w:vMerge/>
                  <w:vAlign w:val="center"/>
                  <w:hideMark/>
                </w:tcPr>
                <w:p w14:paraId="123D7FD2" w14:textId="77777777" w:rsidR="00692E71" w:rsidRPr="001E3185" w:rsidRDefault="00692E71" w:rsidP="008E0250">
                  <w:pPr>
                    <w:rPr>
                      <w:rFonts w:cs="Arial"/>
                      <w:color w:val="000000"/>
                      <w:lang w:eastAsia="fr-FR"/>
                    </w:rPr>
                  </w:pPr>
                </w:p>
              </w:tc>
              <w:tc>
                <w:tcPr>
                  <w:tcW w:w="6317" w:type="dxa"/>
                  <w:gridSpan w:val="5"/>
                  <w:vAlign w:val="center"/>
                  <w:hideMark/>
                </w:tcPr>
                <w:p w14:paraId="5C5D5A14" w14:textId="77777777" w:rsidR="00692E71" w:rsidRPr="001E3185" w:rsidRDefault="00692E71" w:rsidP="008E0250">
                  <w:pPr>
                    <w:jc w:val="center"/>
                    <w:rPr>
                      <w:rFonts w:cs="Arial"/>
                      <w:color w:val="000000"/>
                      <w:lang w:eastAsia="fr-FR"/>
                    </w:rPr>
                  </w:pPr>
                  <w:r w:rsidRPr="001E3185">
                    <w:rPr>
                      <w:rFonts w:cs="Arial"/>
                    </w:rPr>
                    <w:t>11/07/1901</w:t>
                  </w:r>
                </w:p>
              </w:tc>
            </w:tr>
            <w:tr w:rsidR="00692E71" w:rsidRPr="001E3185" w14:paraId="671F4754" w14:textId="77777777" w:rsidTr="008E0250">
              <w:trPr>
                <w:trHeight w:val="330"/>
                <w:jc w:val="center"/>
              </w:trPr>
              <w:tc>
                <w:tcPr>
                  <w:tcW w:w="2034" w:type="dxa"/>
                  <w:vMerge/>
                  <w:vAlign w:val="center"/>
                </w:tcPr>
                <w:p w14:paraId="62028E41" w14:textId="77777777" w:rsidR="00692E71" w:rsidRPr="001E3185" w:rsidRDefault="00692E71" w:rsidP="008E0250">
                  <w:pPr>
                    <w:rPr>
                      <w:rFonts w:cs="Arial"/>
                      <w:color w:val="000000"/>
                      <w:lang w:eastAsia="fr-FR"/>
                    </w:rPr>
                  </w:pPr>
                </w:p>
              </w:tc>
              <w:tc>
                <w:tcPr>
                  <w:tcW w:w="954" w:type="dxa"/>
                  <w:vMerge/>
                  <w:vAlign w:val="center"/>
                </w:tcPr>
                <w:p w14:paraId="1718340C" w14:textId="77777777" w:rsidR="00692E71" w:rsidRPr="001E3185" w:rsidRDefault="00692E71" w:rsidP="008E0250">
                  <w:pPr>
                    <w:rPr>
                      <w:rFonts w:cs="Arial"/>
                      <w:color w:val="000000"/>
                      <w:lang w:eastAsia="fr-FR"/>
                    </w:rPr>
                  </w:pPr>
                </w:p>
              </w:tc>
              <w:tc>
                <w:tcPr>
                  <w:tcW w:w="6317" w:type="dxa"/>
                  <w:gridSpan w:val="5"/>
                  <w:vAlign w:val="center"/>
                </w:tcPr>
                <w:p w14:paraId="1691816F" w14:textId="77777777" w:rsidR="00692E71" w:rsidRPr="001E3185" w:rsidRDefault="00692E71" w:rsidP="008E0250">
                  <w:pPr>
                    <w:jc w:val="center"/>
                    <w:rPr>
                      <w:rFonts w:cs="Arial"/>
                      <w:color w:val="000000"/>
                      <w:lang w:eastAsia="fr-FR"/>
                    </w:rPr>
                  </w:pPr>
                  <w:r w:rsidRPr="001E3185">
                    <w:rPr>
                      <w:rFonts w:cs="Arial"/>
                    </w:rPr>
                    <w:t>17/08/1901</w:t>
                  </w:r>
                </w:p>
              </w:tc>
            </w:tr>
            <w:tr w:rsidR="00692E71" w:rsidRPr="001E3185" w14:paraId="6E83C62A" w14:textId="77777777" w:rsidTr="008E0250">
              <w:trPr>
                <w:trHeight w:val="330"/>
                <w:jc w:val="center"/>
              </w:trPr>
              <w:tc>
                <w:tcPr>
                  <w:tcW w:w="2034" w:type="dxa"/>
                  <w:vMerge/>
                  <w:vAlign w:val="center"/>
                </w:tcPr>
                <w:p w14:paraId="360050B6" w14:textId="77777777" w:rsidR="00692E71" w:rsidRPr="001E3185" w:rsidRDefault="00692E71" w:rsidP="008E0250">
                  <w:pPr>
                    <w:rPr>
                      <w:rFonts w:cs="Arial"/>
                      <w:color w:val="000000"/>
                      <w:lang w:eastAsia="fr-FR"/>
                    </w:rPr>
                  </w:pPr>
                </w:p>
              </w:tc>
              <w:tc>
                <w:tcPr>
                  <w:tcW w:w="954" w:type="dxa"/>
                  <w:vMerge/>
                  <w:vAlign w:val="center"/>
                </w:tcPr>
                <w:p w14:paraId="45251EDF" w14:textId="77777777" w:rsidR="00692E71" w:rsidRPr="001E3185" w:rsidRDefault="00692E71" w:rsidP="008E0250">
                  <w:pPr>
                    <w:rPr>
                      <w:rFonts w:cs="Arial"/>
                      <w:color w:val="000000"/>
                      <w:lang w:eastAsia="fr-FR"/>
                    </w:rPr>
                  </w:pPr>
                </w:p>
              </w:tc>
              <w:tc>
                <w:tcPr>
                  <w:tcW w:w="6317" w:type="dxa"/>
                  <w:gridSpan w:val="5"/>
                  <w:vAlign w:val="center"/>
                </w:tcPr>
                <w:p w14:paraId="3C1E392A" w14:textId="77777777" w:rsidR="00692E71" w:rsidRPr="001E3185" w:rsidRDefault="00692E71" w:rsidP="008E0250">
                  <w:pPr>
                    <w:jc w:val="center"/>
                    <w:rPr>
                      <w:rFonts w:cs="Arial"/>
                      <w:color w:val="000000"/>
                      <w:lang w:eastAsia="fr-FR"/>
                    </w:rPr>
                  </w:pPr>
                  <w:r w:rsidRPr="001E3185">
                    <w:rPr>
                      <w:rFonts w:cs="Arial"/>
                    </w:rPr>
                    <w:t>22/09/1901</w:t>
                  </w:r>
                </w:p>
              </w:tc>
            </w:tr>
            <w:tr w:rsidR="00692E71" w:rsidRPr="001E3185" w14:paraId="2B39A3F5" w14:textId="77777777" w:rsidTr="008E0250">
              <w:trPr>
                <w:trHeight w:val="330"/>
                <w:jc w:val="center"/>
              </w:trPr>
              <w:tc>
                <w:tcPr>
                  <w:tcW w:w="2034" w:type="dxa"/>
                  <w:vMerge/>
                  <w:vAlign w:val="center"/>
                </w:tcPr>
                <w:p w14:paraId="50562527" w14:textId="77777777" w:rsidR="00692E71" w:rsidRPr="001E3185" w:rsidRDefault="00692E71" w:rsidP="008E0250">
                  <w:pPr>
                    <w:rPr>
                      <w:rFonts w:cs="Arial"/>
                      <w:color w:val="000000"/>
                      <w:lang w:eastAsia="fr-FR"/>
                    </w:rPr>
                  </w:pPr>
                </w:p>
              </w:tc>
              <w:tc>
                <w:tcPr>
                  <w:tcW w:w="954" w:type="dxa"/>
                  <w:vMerge/>
                  <w:vAlign w:val="center"/>
                </w:tcPr>
                <w:p w14:paraId="13DC3897" w14:textId="77777777" w:rsidR="00692E71" w:rsidRPr="001E3185" w:rsidRDefault="00692E71" w:rsidP="008E0250">
                  <w:pPr>
                    <w:rPr>
                      <w:rFonts w:cs="Arial"/>
                      <w:color w:val="000000"/>
                      <w:lang w:eastAsia="fr-FR"/>
                    </w:rPr>
                  </w:pPr>
                </w:p>
              </w:tc>
              <w:tc>
                <w:tcPr>
                  <w:tcW w:w="6317" w:type="dxa"/>
                  <w:gridSpan w:val="5"/>
                  <w:vAlign w:val="center"/>
                </w:tcPr>
                <w:p w14:paraId="0273B028" w14:textId="77777777" w:rsidR="00692E71" w:rsidRPr="001E3185" w:rsidRDefault="00692E71" w:rsidP="008E0250">
                  <w:pPr>
                    <w:jc w:val="center"/>
                    <w:rPr>
                      <w:rFonts w:cs="Arial"/>
                      <w:color w:val="000000"/>
                      <w:lang w:eastAsia="fr-FR"/>
                    </w:rPr>
                  </w:pPr>
                  <w:r w:rsidRPr="001E3185">
                    <w:rPr>
                      <w:rFonts w:cs="Arial"/>
                    </w:rPr>
                    <w:t>29/10/1901</w:t>
                  </w:r>
                </w:p>
              </w:tc>
            </w:tr>
            <w:tr w:rsidR="00692E71" w:rsidRPr="001E3185" w14:paraId="76973C6E" w14:textId="77777777" w:rsidTr="008E0250">
              <w:trPr>
                <w:trHeight w:val="330"/>
                <w:jc w:val="center"/>
              </w:trPr>
              <w:tc>
                <w:tcPr>
                  <w:tcW w:w="2034" w:type="dxa"/>
                  <w:vMerge/>
                  <w:vAlign w:val="center"/>
                </w:tcPr>
                <w:p w14:paraId="5D53B509" w14:textId="77777777" w:rsidR="00692E71" w:rsidRPr="001E3185" w:rsidRDefault="00692E71" w:rsidP="008E0250">
                  <w:pPr>
                    <w:rPr>
                      <w:rFonts w:cs="Arial"/>
                      <w:color w:val="000000"/>
                      <w:lang w:eastAsia="fr-FR"/>
                    </w:rPr>
                  </w:pPr>
                </w:p>
              </w:tc>
              <w:tc>
                <w:tcPr>
                  <w:tcW w:w="954" w:type="dxa"/>
                  <w:vMerge/>
                  <w:vAlign w:val="center"/>
                </w:tcPr>
                <w:p w14:paraId="6F55129A" w14:textId="77777777" w:rsidR="00692E71" w:rsidRPr="001E3185" w:rsidRDefault="00692E71" w:rsidP="008E0250">
                  <w:pPr>
                    <w:rPr>
                      <w:rFonts w:cs="Arial"/>
                      <w:color w:val="000000"/>
                      <w:lang w:eastAsia="fr-FR"/>
                    </w:rPr>
                  </w:pPr>
                </w:p>
              </w:tc>
              <w:tc>
                <w:tcPr>
                  <w:tcW w:w="6317" w:type="dxa"/>
                  <w:gridSpan w:val="5"/>
                  <w:vAlign w:val="center"/>
                </w:tcPr>
                <w:p w14:paraId="2DB79336" w14:textId="77777777" w:rsidR="00692E71" w:rsidRPr="001E3185" w:rsidRDefault="00692E71" w:rsidP="008E0250">
                  <w:pPr>
                    <w:jc w:val="center"/>
                    <w:rPr>
                      <w:rFonts w:cs="Arial"/>
                    </w:rPr>
                  </w:pPr>
                  <w:r w:rsidRPr="001E3185">
                    <w:rPr>
                      <w:rFonts w:cs="Arial"/>
                    </w:rPr>
                    <w:t>04/12/1901</w:t>
                  </w:r>
                </w:p>
              </w:tc>
            </w:tr>
            <w:tr w:rsidR="00692E71" w:rsidRPr="001E3185" w14:paraId="5C63AEA1" w14:textId="77777777" w:rsidTr="008E0250">
              <w:trPr>
                <w:trHeight w:val="330"/>
                <w:jc w:val="center"/>
              </w:trPr>
              <w:tc>
                <w:tcPr>
                  <w:tcW w:w="9305" w:type="dxa"/>
                  <w:gridSpan w:val="7"/>
                  <w:shd w:val="clear" w:color="auto" w:fill="DBE5F1" w:themeFill="accent1" w:themeFillTint="33"/>
                  <w:vAlign w:val="center"/>
                </w:tcPr>
                <w:p w14:paraId="22F6428C" w14:textId="77777777" w:rsidR="00692E71" w:rsidRPr="001E3185" w:rsidRDefault="00692E71" w:rsidP="008E0250">
                  <w:pPr>
                    <w:rPr>
                      <w:rFonts w:cs="Arial"/>
                      <w:b/>
                      <w:bCs/>
                      <w:color w:val="4F6228"/>
                      <w:lang w:eastAsia="fr-FR"/>
                    </w:rPr>
                  </w:pPr>
                  <w:r w:rsidRPr="001E3185">
                    <w:rPr>
                      <w:rFonts w:cs="Arial"/>
                      <w:b/>
                      <w:bCs/>
                      <w:color w:val="4F6228"/>
                      <w:lang w:eastAsia="fr-FR"/>
                    </w:rPr>
                    <w:t>Crops Application</w:t>
                  </w:r>
                </w:p>
              </w:tc>
            </w:tr>
            <w:tr w:rsidR="00692E71" w:rsidRPr="001E3185" w14:paraId="18F4E1C7" w14:textId="77777777" w:rsidTr="008E0250">
              <w:trPr>
                <w:trHeight w:val="330"/>
                <w:jc w:val="center"/>
              </w:trPr>
              <w:tc>
                <w:tcPr>
                  <w:tcW w:w="2034" w:type="dxa"/>
                  <w:vAlign w:val="center"/>
                  <w:hideMark/>
                </w:tcPr>
                <w:p w14:paraId="772F320C" w14:textId="77777777" w:rsidR="00692E71" w:rsidRPr="001E3185" w:rsidRDefault="00692E71" w:rsidP="008E0250">
                  <w:pPr>
                    <w:rPr>
                      <w:rFonts w:cs="Arial"/>
                      <w:color w:val="000000"/>
                      <w:lang w:eastAsia="fr-FR"/>
                    </w:rPr>
                  </w:pPr>
                  <w:r w:rsidRPr="001E3185">
                    <w:rPr>
                      <w:rFonts w:cs="Arial"/>
                      <w:color w:val="000000"/>
                      <w:lang w:eastAsia="fr-FR"/>
                    </w:rPr>
                    <w:t>Crop(s)</w:t>
                  </w:r>
                </w:p>
              </w:tc>
              <w:tc>
                <w:tcPr>
                  <w:tcW w:w="954" w:type="dxa"/>
                  <w:vAlign w:val="center"/>
                  <w:hideMark/>
                </w:tcPr>
                <w:p w14:paraId="689FF536"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tcPr>
                <w:p w14:paraId="5B8F0663" w14:textId="77777777" w:rsidR="00692E71" w:rsidRPr="001E3185" w:rsidRDefault="00692E71" w:rsidP="008E0250">
                  <w:pPr>
                    <w:jc w:val="center"/>
                    <w:rPr>
                      <w:rFonts w:cs="Arial"/>
                      <w:color w:val="000000"/>
                      <w:lang w:eastAsia="fr-FR"/>
                    </w:rPr>
                  </w:pPr>
                  <w:r w:rsidRPr="001E3185">
                    <w:rPr>
                      <w:rFonts w:cs="Arial"/>
                      <w:color w:val="000000"/>
                      <w:lang w:eastAsia="fr-FR"/>
                    </w:rPr>
                    <w:t>Grassland</w:t>
                  </w:r>
                </w:p>
              </w:tc>
            </w:tr>
            <w:tr w:rsidR="00692E71" w:rsidRPr="001E3185" w14:paraId="47D51B5F" w14:textId="77777777" w:rsidTr="008E0250">
              <w:trPr>
                <w:trHeight w:val="283"/>
                <w:jc w:val="center"/>
              </w:trPr>
              <w:tc>
                <w:tcPr>
                  <w:tcW w:w="2988" w:type="dxa"/>
                  <w:gridSpan w:val="2"/>
                  <w:vMerge w:val="restart"/>
                  <w:vAlign w:val="center"/>
                  <w:hideMark/>
                </w:tcPr>
                <w:p w14:paraId="058652A8" w14:textId="77777777" w:rsidR="00692E71" w:rsidRPr="001E3185" w:rsidRDefault="00692E71" w:rsidP="008E0250">
                  <w:pPr>
                    <w:rPr>
                      <w:rFonts w:cs="Arial"/>
                      <w:color w:val="000000"/>
                      <w:lang w:eastAsia="fr-FR"/>
                    </w:rPr>
                  </w:pPr>
                  <w:r w:rsidRPr="001E3185">
                    <w:rPr>
                      <w:rFonts w:cs="Arial"/>
                      <w:color w:val="000000"/>
                      <w:lang w:eastAsia="fr-FR"/>
                    </w:rPr>
                    <w:t>Selected Locations</w:t>
                  </w:r>
                </w:p>
              </w:tc>
              <w:tc>
                <w:tcPr>
                  <w:tcW w:w="6317" w:type="dxa"/>
                  <w:gridSpan w:val="5"/>
                  <w:vAlign w:val="center"/>
                </w:tcPr>
                <w:p w14:paraId="0D1DB5D3" w14:textId="77777777" w:rsidR="00692E71" w:rsidRPr="001E3185" w:rsidRDefault="00692E71" w:rsidP="008E0250">
                  <w:pPr>
                    <w:jc w:val="center"/>
                    <w:rPr>
                      <w:rFonts w:cs="Arial"/>
                      <w:color w:val="000000"/>
                      <w:lang w:eastAsia="fr-FR"/>
                    </w:rPr>
                  </w:pPr>
                  <w:r w:rsidRPr="001E3185">
                    <w:rPr>
                      <w:rFonts w:cs="Arial"/>
                      <w:color w:val="000000"/>
                      <w:lang w:eastAsia="fr-FR"/>
                    </w:rPr>
                    <w:t>CHATEAUDUN</w:t>
                  </w:r>
                </w:p>
              </w:tc>
            </w:tr>
            <w:tr w:rsidR="00692E71" w:rsidRPr="001E3185" w14:paraId="6F45D98C" w14:textId="77777777" w:rsidTr="008E0250">
              <w:trPr>
                <w:trHeight w:val="283"/>
                <w:jc w:val="center"/>
              </w:trPr>
              <w:tc>
                <w:tcPr>
                  <w:tcW w:w="2988" w:type="dxa"/>
                  <w:gridSpan w:val="2"/>
                  <w:vMerge/>
                  <w:vAlign w:val="center"/>
                  <w:hideMark/>
                </w:tcPr>
                <w:p w14:paraId="5587DC6F" w14:textId="77777777" w:rsidR="00692E71" w:rsidRPr="001E3185" w:rsidRDefault="00692E71" w:rsidP="008E0250">
                  <w:pPr>
                    <w:rPr>
                      <w:rFonts w:cs="Arial"/>
                      <w:color w:val="000000"/>
                      <w:lang w:eastAsia="fr-FR"/>
                    </w:rPr>
                  </w:pPr>
                </w:p>
              </w:tc>
              <w:tc>
                <w:tcPr>
                  <w:tcW w:w="6317" w:type="dxa"/>
                  <w:gridSpan w:val="5"/>
                  <w:vAlign w:val="center"/>
                </w:tcPr>
                <w:p w14:paraId="58206EC1" w14:textId="77777777" w:rsidR="00692E71" w:rsidRPr="001E3185" w:rsidRDefault="00692E71" w:rsidP="008E0250">
                  <w:pPr>
                    <w:jc w:val="center"/>
                    <w:rPr>
                      <w:rFonts w:cs="Arial"/>
                      <w:color w:val="000000"/>
                      <w:lang w:eastAsia="fr-FR"/>
                    </w:rPr>
                  </w:pPr>
                  <w:r w:rsidRPr="001E3185">
                    <w:rPr>
                      <w:rFonts w:cs="Arial"/>
                      <w:color w:val="000000"/>
                      <w:lang w:eastAsia="fr-FR"/>
                    </w:rPr>
                    <w:t>HAMBURG</w:t>
                  </w:r>
                </w:p>
              </w:tc>
            </w:tr>
            <w:tr w:rsidR="00692E71" w:rsidRPr="001E3185" w14:paraId="6E3F2754" w14:textId="77777777" w:rsidTr="008E0250">
              <w:trPr>
                <w:trHeight w:val="283"/>
                <w:jc w:val="center"/>
              </w:trPr>
              <w:tc>
                <w:tcPr>
                  <w:tcW w:w="2988" w:type="dxa"/>
                  <w:gridSpan w:val="2"/>
                  <w:vMerge/>
                  <w:vAlign w:val="center"/>
                  <w:hideMark/>
                </w:tcPr>
                <w:p w14:paraId="65B7BE3A" w14:textId="77777777" w:rsidR="00692E71" w:rsidRPr="001E3185" w:rsidRDefault="00692E71" w:rsidP="008E0250">
                  <w:pPr>
                    <w:rPr>
                      <w:rFonts w:cs="Arial"/>
                      <w:color w:val="000000"/>
                      <w:lang w:eastAsia="fr-FR"/>
                    </w:rPr>
                  </w:pPr>
                </w:p>
              </w:tc>
              <w:tc>
                <w:tcPr>
                  <w:tcW w:w="6317" w:type="dxa"/>
                  <w:gridSpan w:val="5"/>
                  <w:vAlign w:val="center"/>
                </w:tcPr>
                <w:p w14:paraId="5509A656" w14:textId="77777777" w:rsidR="00692E71" w:rsidRPr="001E3185" w:rsidRDefault="00692E71" w:rsidP="008E0250">
                  <w:pPr>
                    <w:jc w:val="center"/>
                    <w:rPr>
                      <w:rFonts w:cs="Arial"/>
                      <w:color w:val="000000"/>
                      <w:lang w:eastAsia="fr-FR"/>
                    </w:rPr>
                  </w:pPr>
                  <w:r w:rsidRPr="001E3185">
                    <w:rPr>
                      <w:rFonts w:cs="Arial"/>
                      <w:color w:val="000000"/>
                      <w:lang w:eastAsia="fr-FR"/>
                    </w:rPr>
                    <w:t>JOIKIONEN</w:t>
                  </w:r>
                </w:p>
              </w:tc>
            </w:tr>
            <w:tr w:rsidR="00692E71" w:rsidRPr="001E3185" w14:paraId="37C4D753" w14:textId="77777777" w:rsidTr="008E0250">
              <w:trPr>
                <w:trHeight w:val="283"/>
                <w:jc w:val="center"/>
              </w:trPr>
              <w:tc>
                <w:tcPr>
                  <w:tcW w:w="2988" w:type="dxa"/>
                  <w:gridSpan w:val="2"/>
                  <w:vMerge/>
                  <w:vAlign w:val="center"/>
                  <w:hideMark/>
                </w:tcPr>
                <w:p w14:paraId="07D4A58C" w14:textId="77777777" w:rsidR="00692E71" w:rsidRPr="001E3185" w:rsidRDefault="00692E71" w:rsidP="008E0250">
                  <w:pPr>
                    <w:rPr>
                      <w:rFonts w:cs="Arial"/>
                      <w:color w:val="000000"/>
                      <w:lang w:eastAsia="fr-FR"/>
                    </w:rPr>
                  </w:pPr>
                </w:p>
              </w:tc>
              <w:tc>
                <w:tcPr>
                  <w:tcW w:w="6317" w:type="dxa"/>
                  <w:gridSpan w:val="5"/>
                  <w:vAlign w:val="center"/>
                </w:tcPr>
                <w:p w14:paraId="03DFB239" w14:textId="77777777" w:rsidR="00692E71" w:rsidRPr="001E3185" w:rsidRDefault="00692E71" w:rsidP="008E0250">
                  <w:pPr>
                    <w:jc w:val="center"/>
                    <w:rPr>
                      <w:rFonts w:cs="Arial"/>
                      <w:color w:val="000000"/>
                      <w:lang w:eastAsia="fr-FR"/>
                    </w:rPr>
                  </w:pPr>
                  <w:r w:rsidRPr="001E3185">
                    <w:rPr>
                      <w:rFonts w:cs="Arial"/>
                      <w:color w:val="000000"/>
                      <w:lang w:eastAsia="fr-FR"/>
                    </w:rPr>
                    <w:t>KREMSMUENSTER</w:t>
                  </w:r>
                </w:p>
              </w:tc>
            </w:tr>
            <w:tr w:rsidR="00692E71" w:rsidRPr="001E3185" w14:paraId="6F14FEE5" w14:textId="77777777" w:rsidTr="008E0250">
              <w:trPr>
                <w:trHeight w:val="283"/>
                <w:jc w:val="center"/>
              </w:trPr>
              <w:tc>
                <w:tcPr>
                  <w:tcW w:w="2988" w:type="dxa"/>
                  <w:gridSpan w:val="2"/>
                  <w:vMerge/>
                  <w:vAlign w:val="center"/>
                  <w:hideMark/>
                </w:tcPr>
                <w:p w14:paraId="158561D9" w14:textId="77777777" w:rsidR="00692E71" w:rsidRPr="001E3185" w:rsidRDefault="00692E71" w:rsidP="008E0250">
                  <w:pPr>
                    <w:rPr>
                      <w:rFonts w:cs="Arial"/>
                      <w:color w:val="000000"/>
                      <w:lang w:eastAsia="fr-FR"/>
                    </w:rPr>
                  </w:pPr>
                </w:p>
              </w:tc>
              <w:tc>
                <w:tcPr>
                  <w:tcW w:w="6317" w:type="dxa"/>
                  <w:gridSpan w:val="5"/>
                  <w:vAlign w:val="center"/>
                </w:tcPr>
                <w:p w14:paraId="39077B61" w14:textId="77777777" w:rsidR="00692E71" w:rsidRPr="001E3185" w:rsidRDefault="00692E71" w:rsidP="008E0250">
                  <w:pPr>
                    <w:jc w:val="center"/>
                    <w:rPr>
                      <w:rFonts w:cs="Arial"/>
                      <w:color w:val="000000"/>
                      <w:lang w:eastAsia="fr-FR"/>
                    </w:rPr>
                  </w:pPr>
                  <w:r w:rsidRPr="001E3185">
                    <w:rPr>
                      <w:rFonts w:cs="Arial"/>
                      <w:color w:val="000000"/>
                      <w:lang w:eastAsia="fr-FR"/>
                    </w:rPr>
                    <w:t>OKEHAMPTON</w:t>
                  </w:r>
                </w:p>
              </w:tc>
            </w:tr>
            <w:tr w:rsidR="00692E71" w:rsidRPr="001E3185" w14:paraId="01E7C1D4" w14:textId="77777777" w:rsidTr="008E0250">
              <w:trPr>
                <w:trHeight w:val="283"/>
                <w:jc w:val="center"/>
              </w:trPr>
              <w:tc>
                <w:tcPr>
                  <w:tcW w:w="2988" w:type="dxa"/>
                  <w:gridSpan w:val="2"/>
                  <w:vMerge/>
                  <w:vAlign w:val="center"/>
                  <w:hideMark/>
                </w:tcPr>
                <w:p w14:paraId="13837C0C" w14:textId="77777777" w:rsidR="00692E71" w:rsidRPr="001E3185" w:rsidRDefault="00692E71" w:rsidP="008E0250">
                  <w:pPr>
                    <w:rPr>
                      <w:rFonts w:cs="Arial"/>
                      <w:color w:val="000000"/>
                      <w:lang w:eastAsia="fr-FR"/>
                    </w:rPr>
                  </w:pPr>
                </w:p>
              </w:tc>
              <w:tc>
                <w:tcPr>
                  <w:tcW w:w="6317" w:type="dxa"/>
                  <w:gridSpan w:val="5"/>
                  <w:vAlign w:val="center"/>
                </w:tcPr>
                <w:p w14:paraId="363A9EB8" w14:textId="77777777" w:rsidR="00692E71" w:rsidRPr="001E3185" w:rsidRDefault="00692E71" w:rsidP="008E0250">
                  <w:pPr>
                    <w:jc w:val="center"/>
                    <w:rPr>
                      <w:rFonts w:cs="Arial"/>
                      <w:color w:val="000000"/>
                      <w:lang w:eastAsia="fr-FR"/>
                    </w:rPr>
                  </w:pPr>
                  <w:r w:rsidRPr="001E3185">
                    <w:rPr>
                      <w:rFonts w:cs="Arial"/>
                      <w:color w:val="000000"/>
                      <w:lang w:eastAsia="fr-FR"/>
                    </w:rPr>
                    <w:t>PIACENZA</w:t>
                  </w:r>
                </w:p>
              </w:tc>
            </w:tr>
            <w:tr w:rsidR="00692E71" w:rsidRPr="001E3185" w14:paraId="7077AA65" w14:textId="77777777" w:rsidTr="008E0250">
              <w:trPr>
                <w:trHeight w:val="283"/>
                <w:jc w:val="center"/>
              </w:trPr>
              <w:tc>
                <w:tcPr>
                  <w:tcW w:w="2988" w:type="dxa"/>
                  <w:gridSpan w:val="2"/>
                  <w:vMerge/>
                  <w:vAlign w:val="center"/>
                  <w:hideMark/>
                </w:tcPr>
                <w:p w14:paraId="33039258" w14:textId="77777777" w:rsidR="00692E71" w:rsidRPr="001E3185" w:rsidRDefault="00692E71" w:rsidP="008E0250">
                  <w:pPr>
                    <w:rPr>
                      <w:rFonts w:cs="Arial"/>
                      <w:color w:val="000000"/>
                      <w:lang w:eastAsia="fr-FR"/>
                    </w:rPr>
                  </w:pPr>
                </w:p>
              </w:tc>
              <w:tc>
                <w:tcPr>
                  <w:tcW w:w="6317" w:type="dxa"/>
                  <w:gridSpan w:val="5"/>
                  <w:vAlign w:val="center"/>
                </w:tcPr>
                <w:p w14:paraId="2B1219E2" w14:textId="77777777" w:rsidR="00692E71" w:rsidRPr="001E3185" w:rsidRDefault="00692E71" w:rsidP="008E0250">
                  <w:pPr>
                    <w:jc w:val="center"/>
                    <w:rPr>
                      <w:rFonts w:cs="Arial"/>
                      <w:color w:val="000000"/>
                      <w:lang w:eastAsia="fr-FR"/>
                    </w:rPr>
                  </w:pPr>
                  <w:r w:rsidRPr="001E3185">
                    <w:rPr>
                      <w:rFonts w:cs="Arial"/>
                      <w:color w:val="000000"/>
                      <w:lang w:eastAsia="fr-FR"/>
                    </w:rPr>
                    <w:t>PORTO</w:t>
                  </w:r>
                </w:p>
              </w:tc>
            </w:tr>
            <w:tr w:rsidR="00692E71" w:rsidRPr="001E3185" w14:paraId="66D9F6B3" w14:textId="77777777" w:rsidTr="008E0250">
              <w:trPr>
                <w:trHeight w:val="283"/>
                <w:jc w:val="center"/>
              </w:trPr>
              <w:tc>
                <w:tcPr>
                  <w:tcW w:w="2988" w:type="dxa"/>
                  <w:gridSpan w:val="2"/>
                  <w:vMerge/>
                  <w:vAlign w:val="center"/>
                  <w:hideMark/>
                </w:tcPr>
                <w:p w14:paraId="39D0E6D8" w14:textId="77777777" w:rsidR="00692E71" w:rsidRPr="001E3185" w:rsidRDefault="00692E71" w:rsidP="008E0250">
                  <w:pPr>
                    <w:rPr>
                      <w:rFonts w:cs="Arial"/>
                      <w:color w:val="000000"/>
                      <w:lang w:eastAsia="fr-FR"/>
                    </w:rPr>
                  </w:pPr>
                </w:p>
              </w:tc>
              <w:tc>
                <w:tcPr>
                  <w:tcW w:w="6317" w:type="dxa"/>
                  <w:gridSpan w:val="5"/>
                  <w:vAlign w:val="center"/>
                </w:tcPr>
                <w:p w14:paraId="1E34B394" w14:textId="77777777" w:rsidR="00692E71" w:rsidRPr="001E3185" w:rsidRDefault="00692E71" w:rsidP="008E0250">
                  <w:pPr>
                    <w:jc w:val="center"/>
                    <w:rPr>
                      <w:rFonts w:cs="Arial"/>
                      <w:color w:val="000000"/>
                      <w:lang w:eastAsia="fr-FR"/>
                    </w:rPr>
                  </w:pPr>
                  <w:r w:rsidRPr="001E3185">
                    <w:rPr>
                      <w:rFonts w:cs="Arial"/>
                      <w:color w:val="000000"/>
                      <w:lang w:eastAsia="fr-FR"/>
                    </w:rPr>
                    <w:t>SEVILLA</w:t>
                  </w:r>
                </w:p>
              </w:tc>
            </w:tr>
            <w:tr w:rsidR="00692E71" w:rsidRPr="001E3185" w14:paraId="6581ABF1" w14:textId="77777777" w:rsidTr="008E0250">
              <w:trPr>
                <w:trHeight w:val="283"/>
                <w:jc w:val="center"/>
              </w:trPr>
              <w:tc>
                <w:tcPr>
                  <w:tcW w:w="2988" w:type="dxa"/>
                  <w:gridSpan w:val="2"/>
                  <w:vMerge/>
                  <w:vAlign w:val="center"/>
                  <w:hideMark/>
                </w:tcPr>
                <w:p w14:paraId="52DA2B3C" w14:textId="77777777" w:rsidR="00692E71" w:rsidRPr="001E3185" w:rsidRDefault="00692E71" w:rsidP="008E0250">
                  <w:pPr>
                    <w:rPr>
                      <w:rFonts w:cs="Arial"/>
                      <w:color w:val="000000"/>
                      <w:lang w:eastAsia="fr-FR"/>
                    </w:rPr>
                  </w:pPr>
                </w:p>
              </w:tc>
              <w:tc>
                <w:tcPr>
                  <w:tcW w:w="6317" w:type="dxa"/>
                  <w:gridSpan w:val="5"/>
                  <w:vAlign w:val="center"/>
                </w:tcPr>
                <w:p w14:paraId="16B98074" w14:textId="77777777" w:rsidR="00692E71" w:rsidRPr="001E3185" w:rsidRDefault="00692E71" w:rsidP="008E0250">
                  <w:pPr>
                    <w:jc w:val="center"/>
                    <w:rPr>
                      <w:rFonts w:cs="Arial"/>
                      <w:color w:val="000000"/>
                      <w:lang w:eastAsia="fr-FR"/>
                    </w:rPr>
                  </w:pPr>
                  <w:r w:rsidRPr="001E3185">
                    <w:rPr>
                      <w:rFonts w:cs="Arial"/>
                      <w:color w:val="000000"/>
                      <w:lang w:eastAsia="fr-FR"/>
                    </w:rPr>
                    <w:t>THIVA</w:t>
                  </w:r>
                </w:p>
              </w:tc>
            </w:tr>
          </w:tbl>
          <w:p w14:paraId="3AAE3988" w14:textId="77777777" w:rsidR="00692E71" w:rsidRPr="001E3185" w:rsidRDefault="00692E71" w:rsidP="008E0250">
            <w:pPr>
              <w:autoSpaceDE w:val="0"/>
              <w:autoSpaceDN w:val="0"/>
              <w:ind w:left="459"/>
              <w:rPr>
                <w:rFonts w:cs="Arial"/>
              </w:rPr>
            </w:pPr>
            <w:r w:rsidRPr="001E3185">
              <w:rPr>
                <w:rFonts w:cs="Arial"/>
              </w:rPr>
              <w:t>n.r.: not relevant</w:t>
            </w:r>
          </w:p>
          <w:p w14:paraId="48E1EF59" w14:textId="77777777" w:rsidR="00692E71" w:rsidRPr="001E3185" w:rsidRDefault="00692E71" w:rsidP="008E0250">
            <w:pPr>
              <w:autoSpaceDE w:val="0"/>
              <w:autoSpaceDN w:val="0"/>
              <w:rPr>
                <w:rFonts w:cs="Arial"/>
              </w:rPr>
            </w:pPr>
          </w:p>
          <w:p w14:paraId="1EA7F41D" w14:textId="77777777" w:rsidR="00692E71" w:rsidRPr="001E3185" w:rsidRDefault="00692E71" w:rsidP="008E0250">
            <w:pPr>
              <w:autoSpaceDE w:val="0"/>
              <w:autoSpaceDN w:val="0"/>
              <w:rPr>
                <w:rFonts w:cs="Arial"/>
              </w:rPr>
            </w:pPr>
            <w:r w:rsidRPr="001E3185">
              <w:rPr>
                <w:rFonts w:cs="Arial"/>
              </w:rPr>
              <w:t>The results are listed in the table below.</w:t>
            </w:r>
          </w:p>
          <w:p w14:paraId="2C4CBAA7" w14:textId="77777777" w:rsidR="00692E71" w:rsidRPr="001E3185" w:rsidRDefault="00692E71" w:rsidP="008E0250">
            <w:pPr>
              <w:autoSpaceDE w:val="0"/>
              <w:autoSpaceDN w:val="0"/>
              <w:rPr>
                <w:rFonts w:cs="Arial"/>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6"/>
              <w:gridCol w:w="1591"/>
              <w:gridCol w:w="1591"/>
              <w:gridCol w:w="1532"/>
              <w:gridCol w:w="1537"/>
              <w:gridCol w:w="1508"/>
            </w:tblGrid>
            <w:tr w:rsidR="00692E71" w:rsidRPr="001E3185" w14:paraId="795E79A5" w14:textId="77777777" w:rsidTr="008E0250">
              <w:tc>
                <w:tcPr>
                  <w:tcW w:w="977" w:type="pct"/>
                  <w:shd w:val="clear" w:color="auto" w:fill="auto"/>
                  <w:vAlign w:val="center"/>
                </w:tcPr>
                <w:p w14:paraId="16A16266" w14:textId="77777777" w:rsidR="00692E71" w:rsidRPr="001E3185" w:rsidRDefault="00692E71" w:rsidP="008E0250">
                  <w:pPr>
                    <w:autoSpaceDE w:val="0"/>
                    <w:autoSpaceDN w:val="0"/>
                    <w:jc w:val="center"/>
                    <w:rPr>
                      <w:rFonts w:cs="Arial"/>
                      <w:b/>
                    </w:rPr>
                  </w:pPr>
                  <w:r w:rsidRPr="001E3185">
                    <w:rPr>
                      <w:rFonts w:cs="Arial"/>
                      <w:b/>
                    </w:rPr>
                    <w:t>Scenario</w:t>
                  </w:r>
                </w:p>
              </w:tc>
              <w:tc>
                <w:tcPr>
                  <w:tcW w:w="825" w:type="pct"/>
                  <w:shd w:val="clear" w:color="auto" w:fill="auto"/>
                  <w:vAlign w:val="center"/>
                </w:tcPr>
                <w:p w14:paraId="4848B2B4" w14:textId="77777777" w:rsidR="00692E71" w:rsidRPr="001E3185" w:rsidRDefault="00692E71" w:rsidP="008E0250">
                  <w:pPr>
                    <w:autoSpaceDE w:val="0"/>
                    <w:autoSpaceDN w:val="0"/>
                    <w:jc w:val="center"/>
                    <w:rPr>
                      <w:rFonts w:cs="Arial"/>
                      <w:b/>
                    </w:rPr>
                  </w:pPr>
                  <w:r w:rsidRPr="001E3185">
                    <w:rPr>
                      <w:rFonts w:cs="Arial"/>
                      <w:b/>
                    </w:rPr>
                    <w:t>Tebuconazole [µg.L</w:t>
                  </w:r>
                  <w:r w:rsidRPr="001E3185">
                    <w:rPr>
                      <w:rFonts w:cs="Arial"/>
                      <w:b/>
                      <w:vertAlign w:val="superscript"/>
                    </w:rPr>
                    <w:t>-1</w:t>
                  </w:r>
                  <w:r w:rsidRPr="001E3185">
                    <w:rPr>
                      <w:rFonts w:cs="Arial"/>
                      <w:b/>
                    </w:rPr>
                    <w:t>]</w:t>
                  </w:r>
                </w:p>
              </w:tc>
              <w:tc>
                <w:tcPr>
                  <w:tcW w:w="825" w:type="pct"/>
                  <w:shd w:val="clear" w:color="auto" w:fill="auto"/>
                  <w:vAlign w:val="center"/>
                </w:tcPr>
                <w:p w14:paraId="27FC8074" w14:textId="77777777" w:rsidR="00692E71" w:rsidRPr="001E3185" w:rsidRDefault="00692E71" w:rsidP="008E0250">
                  <w:pPr>
                    <w:autoSpaceDE w:val="0"/>
                    <w:autoSpaceDN w:val="0"/>
                    <w:jc w:val="center"/>
                    <w:rPr>
                      <w:rFonts w:cs="Arial"/>
                      <w:b/>
                    </w:rPr>
                  </w:pPr>
                  <w:r w:rsidRPr="001E3185">
                    <w:rPr>
                      <w:rFonts w:cs="Arial"/>
                      <w:b/>
                    </w:rPr>
                    <w:t>Propiconazole [µg.L</w:t>
                  </w:r>
                  <w:r w:rsidRPr="001E3185">
                    <w:rPr>
                      <w:rFonts w:cs="Arial"/>
                      <w:b/>
                      <w:vertAlign w:val="superscript"/>
                    </w:rPr>
                    <w:t>-1</w:t>
                  </w:r>
                  <w:r w:rsidRPr="001E3185">
                    <w:rPr>
                      <w:rFonts w:cs="Arial"/>
                      <w:b/>
                    </w:rPr>
                    <w:t>]</w:t>
                  </w:r>
                </w:p>
              </w:tc>
              <w:tc>
                <w:tcPr>
                  <w:tcW w:w="794" w:type="pct"/>
                  <w:shd w:val="clear" w:color="auto" w:fill="auto"/>
                  <w:vAlign w:val="center"/>
                </w:tcPr>
                <w:p w14:paraId="1CD8AC8C" w14:textId="77777777" w:rsidR="00692E71" w:rsidRPr="001E3185" w:rsidRDefault="00692E71" w:rsidP="008E0250">
                  <w:pPr>
                    <w:autoSpaceDE w:val="0"/>
                    <w:autoSpaceDN w:val="0"/>
                    <w:jc w:val="center"/>
                    <w:rPr>
                      <w:rFonts w:cs="Arial"/>
                      <w:b/>
                    </w:rPr>
                  </w:pPr>
                  <w:r w:rsidRPr="001E3185">
                    <w:rPr>
                      <w:rFonts w:cs="Arial"/>
                      <w:b/>
                    </w:rPr>
                    <w:t xml:space="preserve">1,2,4-triazole </w:t>
                  </w:r>
                  <w:r w:rsidRPr="001E3185">
                    <w:rPr>
                      <w:rFonts w:cs="Arial"/>
                      <w:b/>
                      <w:vertAlign w:val="superscript"/>
                    </w:rPr>
                    <w:t>(</w:t>
                  </w:r>
                  <w:r w:rsidRPr="001E3185">
                    <w:rPr>
                      <w:rFonts w:cs="Arial"/>
                      <w:b/>
                    </w:rPr>
                    <w:t>*</w:t>
                  </w:r>
                  <w:r w:rsidRPr="001E3185">
                    <w:rPr>
                      <w:rFonts w:cs="Arial"/>
                      <w:b/>
                      <w:vertAlign w:val="superscript"/>
                    </w:rPr>
                    <w:t>)</w:t>
                  </w:r>
                  <w:r w:rsidRPr="001E3185">
                    <w:rPr>
                      <w:rFonts w:cs="Arial"/>
                      <w:b/>
                    </w:rPr>
                    <w:t xml:space="preserve"> [µg.L</w:t>
                  </w:r>
                  <w:r w:rsidRPr="001E3185">
                    <w:rPr>
                      <w:rFonts w:cs="Arial"/>
                      <w:b/>
                      <w:vertAlign w:val="superscript"/>
                    </w:rPr>
                    <w:t>-1</w:t>
                  </w:r>
                  <w:r w:rsidRPr="001E3185">
                    <w:rPr>
                      <w:rFonts w:cs="Arial"/>
                      <w:b/>
                    </w:rPr>
                    <w:t>]</w:t>
                  </w:r>
                </w:p>
              </w:tc>
              <w:tc>
                <w:tcPr>
                  <w:tcW w:w="797" w:type="pct"/>
                  <w:vAlign w:val="center"/>
                </w:tcPr>
                <w:p w14:paraId="3F60387F" w14:textId="77777777" w:rsidR="00692E71" w:rsidRPr="001E3185" w:rsidRDefault="00692E71" w:rsidP="008E0250">
                  <w:pPr>
                    <w:autoSpaceDE w:val="0"/>
                    <w:autoSpaceDN w:val="0"/>
                    <w:jc w:val="center"/>
                    <w:rPr>
                      <w:rFonts w:cs="Arial"/>
                      <w:b/>
                    </w:rPr>
                  </w:pPr>
                  <w:r w:rsidRPr="001E3185">
                    <w:rPr>
                      <w:rFonts w:cs="Arial"/>
                      <w:b/>
                    </w:rPr>
                    <w:t>IPBC</w:t>
                  </w:r>
                </w:p>
                <w:p w14:paraId="69643E78" w14:textId="77777777" w:rsidR="00692E71" w:rsidRPr="001E3185" w:rsidRDefault="00692E71" w:rsidP="008E0250">
                  <w:pPr>
                    <w:autoSpaceDE w:val="0"/>
                    <w:autoSpaceDN w:val="0"/>
                    <w:jc w:val="center"/>
                    <w:rPr>
                      <w:rFonts w:cs="Arial"/>
                      <w:b/>
                    </w:rPr>
                  </w:pPr>
                  <w:r w:rsidRPr="001E3185">
                    <w:rPr>
                      <w:rFonts w:cs="Arial"/>
                      <w:b/>
                    </w:rPr>
                    <w:t>[µg.L</w:t>
                  </w:r>
                  <w:r w:rsidRPr="001E3185">
                    <w:rPr>
                      <w:rFonts w:cs="Arial"/>
                      <w:b/>
                      <w:vertAlign w:val="superscript"/>
                    </w:rPr>
                    <w:t>-1</w:t>
                  </w:r>
                  <w:r w:rsidRPr="001E3185">
                    <w:rPr>
                      <w:rFonts w:cs="Arial"/>
                      <w:b/>
                    </w:rPr>
                    <w:t>]</w:t>
                  </w:r>
                </w:p>
              </w:tc>
              <w:tc>
                <w:tcPr>
                  <w:tcW w:w="783" w:type="pct"/>
                  <w:vAlign w:val="center"/>
                </w:tcPr>
                <w:p w14:paraId="45BD75BC" w14:textId="77777777" w:rsidR="00692E71" w:rsidRPr="001E3185" w:rsidRDefault="00692E71" w:rsidP="008E0250">
                  <w:pPr>
                    <w:autoSpaceDE w:val="0"/>
                    <w:autoSpaceDN w:val="0"/>
                    <w:jc w:val="center"/>
                    <w:rPr>
                      <w:rFonts w:cs="Arial"/>
                      <w:b/>
                    </w:rPr>
                  </w:pPr>
                  <w:r w:rsidRPr="001E3185">
                    <w:rPr>
                      <w:rFonts w:cs="Arial"/>
                      <w:b/>
                    </w:rPr>
                    <w:t>PBC</w:t>
                  </w:r>
                </w:p>
                <w:p w14:paraId="105A759B" w14:textId="77777777" w:rsidR="00692E71" w:rsidRPr="001E3185" w:rsidRDefault="00692E71" w:rsidP="008E0250">
                  <w:pPr>
                    <w:autoSpaceDE w:val="0"/>
                    <w:autoSpaceDN w:val="0"/>
                    <w:jc w:val="center"/>
                    <w:rPr>
                      <w:rFonts w:cs="Arial"/>
                      <w:b/>
                    </w:rPr>
                  </w:pPr>
                  <w:r w:rsidRPr="001E3185">
                    <w:rPr>
                      <w:rFonts w:cs="Arial"/>
                      <w:b/>
                    </w:rPr>
                    <w:t>[µg.L</w:t>
                  </w:r>
                  <w:r w:rsidRPr="001E3185">
                    <w:rPr>
                      <w:rFonts w:cs="Arial"/>
                      <w:b/>
                      <w:vertAlign w:val="superscript"/>
                    </w:rPr>
                    <w:t>-1</w:t>
                  </w:r>
                  <w:r w:rsidRPr="001E3185">
                    <w:rPr>
                      <w:rFonts w:cs="Arial"/>
                      <w:b/>
                    </w:rPr>
                    <w:t>]</w:t>
                  </w:r>
                </w:p>
              </w:tc>
            </w:tr>
            <w:tr w:rsidR="00692E71" w:rsidRPr="001E3185" w14:paraId="54A67FB9" w14:textId="77777777" w:rsidTr="008E0250">
              <w:tc>
                <w:tcPr>
                  <w:tcW w:w="977" w:type="pct"/>
                </w:tcPr>
                <w:p w14:paraId="386DB3F1" w14:textId="77777777" w:rsidR="00692E71" w:rsidRPr="001E3185" w:rsidRDefault="00692E71" w:rsidP="008E0250">
                  <w:pPr>
                    <w:rPr>
                      <w:rFonts w:cs="Arial"/>
                    </w:rPr>
                  </w:pPr>
                  <w:r w:rsidRPr="001E3185">
                    <w:rPr>
                      <w:rFonts w:cs="Arial"/>
                    </w:rPr>
                    <w:t>CHATEAUDUN</w:t>
                  </w:r>
                </w:p>
              </w:tc>
              <w:tc>
                <w:tcPr>
                  <w:tcW w:w="825" w:type="pct"/>
                  <w:vAlign w:val="center"/>
                </w:tcPr>
                <w:p w14:paraId="639CE7E9" w14:textId="77777777" w:rsidR="00692E71" w:rsidRPr="001E3185" w:rsidRDefault="00692E71" w:rsidP="008E0250">
                  <w:pPr>
                    <w:jc w:val="center"/>
                    <w:rPr>
                      <w:rFonts w:cs="Arial"/>
                    </w:rPr>
                  </w:pPr>
                  <w:r w:rsidRPr="001E3185">
                    <w:rPr>
                      <w:rFonts w:cs="Arial"/>
                    </w:rPr>
                    <w:t>&lt; 0.001</w:t>
                  </w:r>
                </w:p>
              </w:tc>
              <w:tc>
                <w:tcPr>
                  <w:tcW w:w="825" w:type="pct"/>
                  <w:vAlign w:val="center"/>
                </w:tcPr>
                <w:p w14:paraId="1579BACD" w14:textId="77777777" w:rsidR="00692E71" w:rsidRPr="001E3185" w:rsidRDefault="00692E71" w:rsidP="008E0250">
                  <w:pPr>
                    <w:jc w:val="center"/>
                    <w:rPr>
                      <w:rFonts w:cs="Arial"/>
                    </w:rPr>
                  </w:pPr>
                  <w:r w:rsidRPr="001E3185">
                    <w:rPr>
                      <w:rFonts w:cs="Arial"/>
                    </w:rPr>
                    <w:t>&lt; 0.001</w:t>
                  </w:r>
                </w:p>
              </w:tc>
              <w:tc>
                <w:tcPr>
                  <w:tcW w:w="794" w:type="pct"/>
                </w:tcPr>
                <w:p w14:paraId="7A000630" w14:textId="77777777" w:rsidR="00692E71" w:rsidRPr="001E3185" w:rsidRDefault="00692E71" w:rsidP="008E0250">
                  <w:pPr>
                    <w:jc w:val="center"/>
                    <w:rPr>
                      <w:rFonts w:cs="Arial"/>
                    </w:rPr>
                  </w:pPr>
                  <w:r w:rsidRPr="001E3185">
                    <w:rPr>
                      <w:rFonts w:cs="Arial"/>
                    </w:rPr>
                    <w:t>0.02</w:t>
                  </w:r>
                </w:p>
              </w:tc>
              <w:tc>
                <w:tcPr>
                  <w:tcW w:w="797" w:type="pct"/>
                  <w:vAlign w:val="center"/>
                </w:tcPr>
                <w:p w14:paraId="6DFA56B9" w14:textId="77777777" w:rsidR="00692E71" w:rsidRPr="001E3185" w:rsidRDefault="00692E71" w:rsidP="008E0250">
                  <w:pPr>
                    <w:jc w:val="center"/>
                    <w:rPr>
                      <w:rFonts w:cs="Arial"/>
                    </w:rPr>
                  </w:pPr>
                  <w:r w:rsidRPr="001E3185">
                    <w:rPr>
                      <w:rFonts w:cs="Arial"/>
                    </w:rPr>
                    <w:t>&lt; 0.001</w:t>
                  </w:r>
                </w:p>
              </w:tc>
              <w:tc>
                <w:tcPr>
                  <w:tcW w:w="783" w:type="pct"/>
                  <w:vAlign w:val="center"/>
                </w:tcPr>
                <w:p w14:paraId="37DDD7A4" w14:textId="77777777" w:rsidR="00692E71" w:rsidRPr="001E3185" w:rsidRDefault="00692E71" w:rsidP="008E0250">
                  <w:pPr>
                    <w:jc w:val="center"/>
                    <w:rPr>
                      <w:rFonts w:cs="Arial"/>
                    </w:rPr>
                  </w:pPr>
                  <w:r w:rsidRPr="001E3185">
                    <w:rPr>
                      <w:rFonts w:cs="Arial"/>
                    </w:rPr>
                    <w:t>&lt; 0.001</w:t>
                  </w:r>
                </w:p>
              </w:tc>
            </w:tr>
            <w:tr w:rsidR="00692E71" w:rsidRPr="001E3185" w14:paraId="0518081B" w14:textId="77777777" w:rsidTr="008E0250">
              <w:tc>
                <w:tcPr>
                  <w:tcW w:w="977" w:type="pct"/>
                </w:tcPr>
                <w:p w14:paraId="127ED18C" w14:textId="77777777" w:rsidR="00692E71" w:rsidRPr="001E3185" w:rsidRDefault="00692E71" w:rsidP="008E0250">
                  <w:pPr>
                    <w:autoSpaceDE w:val="0"/>
                    <w:autoSpaceDN w:val="0"/>
                    <w:rPr>
                      <w:rFonts w:cs="Arial"/>
                    </w:rPr>
                  </w:pPr>
                  <w:r w:rsidRPr="001E3185">
                    <w:rPr>
                      <w:rFonts w:cs="Arial"/>
                    </w:rPr>
                    <w:t>HAMBURG</w:t>
                  </w:r>
                </w:p>
              </w:tc>
              <w:tc>
                <w:tcPr>
                  <w:tcW w:w="825" w:type="pct"/>
                  <w:vAlign w:val="center"/>
                </w:tcPr>
                <w:p w14:paraId="2639AC92"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0D9E262C"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072B2441" w14:textId="77777777" w:rsidR="00692E71" w:rsidRPr="001E3185" w:rsidRDefault="00692E71" w:rsidP="008E0250">
                  <w:pPr>
                    <w:jc w:val="center"/>
                    <w:rPr>
                      <w:rFonts w:cs="Arial"/>
                    </w:rPr>
                  </w:pPr>
                  <w:r w:rsidRPr="001E3185">
                    <w:rPr>
                      <w:rFonts w:cs="Arial"/>
                    </w:rPr>
                    <w:t>0.04</w:t>
                  </w:r>
                </w:p>
              </w:tc>
              <w:tc>
                <w:tcPr>
                  <w:tcW w:w="797" w:type="pct"/>
                  <w:vAlign w:val="center"/>
                </w:tcPr>
                <w:p w14:paraId="1D1A82EB"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1D1D38C8"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3B6DCF1F" w14:textId="77777777" w:rsidTr="008E0250">
              <w:tc>
                <w:tcPr>
                  <w:tcW w:w="977" w:type="pct"/>
                </w:tcPr>
                <w:p w14:paraId="05FBB72C" w14:textId="77777777" w:rsidR="00692E71" w:rsidRPr="001E3185" w:rsidRDefault="00692E71" w:rsidP="008E0250">
                  <w:pPr>
                    <w:autoSpaceDE w:val="0"/>
                    <w:autoSpaceDN w:val="0"/>
                    <w:rPr>
                      <w:rFonts w:cs="Arial"/>
                    </w:rPr>
                  </w:pPr>
                  <w:r w:rsidRPr="001E3185">
                    <w:rPr>
                      <w:rFonts w:cs="Arial"/>
                    </w:rPr>
                    <w:t>JOIKIONEN</w:t>
                  </w:r>
                </w:p>
              </w:tc>
              <w:tc>
                <w:tcPr>
                  <w:tcW w:w="825" w:type="pct"/>
                  <w:vAlign w:val="center"/>
                </w:tcPr>
                <w:p w14:paraId="24AED1C7"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61B27B02"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1725F304" w14:textId="77777777" w:rsidR="00692E71" w:rsidRPr="001E3185" w:rsidRDefault="00692E71" w:rsidP="008E0250">
                  <w:pPr>
                    <w:jc w:val="center"/>
                    <w:rPr>
                      <w:rFonts w:cs="Arial"/>
                    </w:rPr>
                  </w:pPr>
                  <w:r w:rsidRPr="001E3185">
                    <w:rPr>
                      <w:rFonts w:cs="Arial"/>
                    </w:rPr>
                    <w:t>0.03</w:t>
                  </w:r>
                </w:p>
              </w:tc>
              <w:tc>
                <w:tcPr>
                  <w:tcW w:w="797" w:type="pct"/>
                  <w:vAlign w:val="center"/>
                </w:tcPr>
                <w:p w14:paraId="25E89A86"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677CD7C0"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6E6D0117" w14:textId="77777777" w:rsidTr="008E0250">
              <w:tc>
                <w:tcPr>
                  <w:tcW w:w="977" w:type="pct"/>
                </w:tcPr>
                <w:p w14:paraId="7EAFA117" w14:textId="77777777" w:rsidR="00692E71" w:rsidRPr="001E3185" w:rsidRDefault="00692E71" w:rsidP="008E0250">
                  <w:pPr>
                    <w:autoSpaceDE w:val="0"/>
                    <w:autoSpaceDN w:val="0"/>
                    <w:rPr>
                      <w:rFonts w:cs="Arial"/>
                    </w:rPr>
                  </w:pPr>
                  <w:r w:rsidRPr="001E3185">
                    <w:rPr>
                      <w:rFonts w:cs="Arial"/>
                    </w:rPr>
                    <w:t>KREMSMUENSTER</w:t>
                  </w:r>
                </w:p>
              </w:tc>
              <w:tc>
                <w:tcPr>
                  <w:tcW w:w="825" w:type="pct"/>
                  <w:vAlign w:val="center"/>
                </w:tcPr>
                <w:p w14:paraId="32C3DE7A"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1F3AB02F"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2985C7F4" w14:textId="77777777" w:rsidR="00692E71" w:rsidRPr="001E3185" w:rsidRDefault="00692E71" w:rsidP="008E0250">
                  <w:pPr>
                    <w:jc w:val="center"/>
                    <w:rPr>
                      <w:rFonts w:cs="Arial"/>
                    </w:rPr>
                  </w:pPr>
                  <w:r w:rsidRPr="001E3185">
                    <w:rPr>
                      <w:rFonts w:cs="Arial"/>
                    </w:rPr>
                    <w:t>0.03</w:t>
                  </w:r>
                </w:p>
              </w:tc>
              <w:tc>
                <w:tcPr>
                  <w:tcW w:w="797" w:type="pct"/>
                  <w:vAlign w:val="center"/>
                </w:tcPr>
                <w:p w14:paraId="0C549D0E"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2519EB85"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31AB1C91" w14:textId="77777777" w:rsidTr="008E0250">
              <w:tc>
                <w:tcPr>
                  <w:tcW w:w="977" w:type="pct"/>
                </w:tcPr>
                <w:p w14:paraId="66CFBCE6" w14:textId="77777777" w:rsidR="00692E71" w:rsidRPr="001E3185" w:rsidRDefault="00692E71" w:rsidP="008E0250">
                  <w:pPr>
                    <w:autoSpaceDE w:val="0"/>
                    <w:autoSpaceDN w:val="0"/>
                    <w:rPr>
                      <w:rFonts w:cs="Arial"/>
                    </w:rPr>
                  </w:pPr>
                  <w:r w:rsidRPr="001E3185">
                    <w:rPr>
                      <w:rFonts w:cs="Arial"/>
                    </w:rPr>
                    <w:t>OKEHAMPTON</w:t>
                  </w:r>
                </w:p>
              </w:tc>
              <w:tc>
                <w:tcPr>
                  <w:tcW w:w="825" w:type="pct"/>
                  <w:vAlign w:val="center"/>
                </w:tcPr>
                <w:p w14:paraId="4A8EB2F9"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5F74D81E"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2093D2B0" w14:textId="77777777" w:rsidR="00692E71" w:rsidRPr="001E3185" w:rsidRDefault="00692E71" w:rsidP="008E0250">
                  <w:pPr>
                    <w:jc w:val="center"/>
                    <w:rPr>
                      <w:rFonts w:cs="Arial"/>
                    </w:rPr>
                  </w:pPr>
                  <w:r w:rsidRPr="001E3185">
                    <w:rPr>
                      <w:rFonts w:cs="Arial"/>
                    </w:rPr>
                    <w:t>0.03</w:t>
                  </w:r>
                </w:p>
              </w:tc>
              <w:tc>
                <w:tcPr>
                  <w:tcW w:w="797" w:type="pct"/>
                  <w:vAlign w:val="center"/>
                </w:tcPr>
                <w:p w14:paraId="620670F8"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2C28BB6D"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1248D1D1" w14:textId="77777777" w:rsidTr="008E0250">
              <w:tc>
                <w:tcPr>
                  <w:tcW w:w="977" w:type="pct"/>
                </w:tcPr>
                <w:p w14:paraId="0C73A399" w14:textId="77777777" w:rsidR="00692E71" w:rsidRPr="001E3185" w:rsidRDefault="00692E71" w:rsidP="008E0250">
                  <w:pPr>
                    <w:autoSpaceDE w:val="0"/>
                    <w:autoSpaceDN w:val="0"/>
                    <w:rPr>
                      <w:rFonts w:cs="Arial"/>
                    </w:rPr>
                  </w:pPr>
                  <w:r w:rsidRPr="001E3185">
                    <w:rPr>
                      <w:rFonts w:cs="Arial"/>
                    </w:rPr>
                    <w:t>PIACENZA</w:t>
                  </w:r>
                </w:p>
              </w:tc>
              <w:tc>
                <w:tcPr>
                  <w:tcW w:w="825" w:type="pct"/>
                  <w:vAlign w:val="center"/>
                </w:tcPr>
                <w:p w14:paraId="4B57CB8B"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02287EB9"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66922FE9" w14:textId="77777777" w:rsidR="00692E71" w:rsidRPr="001E3185" w:rsidRDefault="00692E71" w:rsidP="008E0250">
                  <w:pPr>
                    <w:jc w:val="center"/>
                    <w:rPr>
                      <w:rFonts w:cs="Arial"/>
                    </w:rPr>
                  </w:pPr>
                  <w:r w:rsidRPr="001E3185">
                    <w:rPr>
                      <w:rFonts w:cs="Arial"/>
                    </w:rPr>
                    <w:t>0.02</w:t>
                  </w:r>
                </w:p>
              </w:tc>
              <w:tc>
                <w:tcPr>
                  <w:tcW w:w="797" w:type="pct"/>
                  <w:vAlign w:val="center"/>
                </w:tcPr>
                <w:p w14:paraId="1144DA09"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196D5454"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4F26BC1A" w14:textId="77777777" w:rsidTr="008E0250">
              <w:tc>
                <w:tcPr>
                  <w:tcW w:w="977" w:type="pct"/>
                </w:tcPr>
                <w:p w14:paraId="0EA5F45A" w14:textId="77777777" w:rsidR="00692E71" w:rsidRPr="001E3185" w:rsidRDefault="00692E71" w:rsidP="008E0250">
                  <w:pPr>
                    <w:autoSpaceDE w:val="0"/>
                    <w:autoSpaceDN w:val="0"/>
                    <w:rPr>
                      <w:rFonts w:cs="Arial"/>
                    </w:rPr>
                  </w:pPr>
                  <w:r w:rsidRPr="001E3185">
                    <w:rPr>
                      <w:rFonts w:cs="Arial"/>
                    </w:rPr>
                    <w:t>PORTO</w:t>
                  </w:r>
                </w:p>
              </w:tc>
              <w:tc>
                <w:tcPr>
                  <w:tcW w:w="825" w:type="pct"/>
                  <w:vAlign w:val="center"/>
                </w:tcPr>
                <w:p w14:paraId="0F9BE7BB"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6B15ABE6"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397094E2" w14:textId="77777777" w:rsidR="00692E71" w:rsidRPr="001E3185" w:rsidRDefault="00692E71" w:rsidP="008E0250">
                  <w:pPr>
                    <w:jc w:val="center"/>
                    <w:rPr>
                      <w:rFonts w:cs="Arial"/>
                    </w:rPr>
                  </w:pPr>
                  <w:r w:rsidRPr="001E3185">
                    <w:rPr>
                      <w:rFonts w:cs="Arial"/>
                    </w:rPr>
                    <w:t>0.02</w:t>
                  </w:r>
                </w:p>
              </w:tc>
              <w:tc>
                <w:tcPr>
                  <w:tcW w:w="797" w:type="pct"/>
                  <w:vAlign w:val="center"/>
                </w:tcPr>
                <w:p w14:paraId="2F0C8588"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0E6B8DAC"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7667CE9B" w14:textId="77777777" w:rsidTr="008E0250">
              <w:tc>
                <w:tcPr>
                  <w:tcW w:w="977" w:type="pct"/>
                </w:tcPr>
                <w:p w14:paraId="1C0B0944" w14:textId="77777777" w:rsidR="00692E71" w:rsidRPr="001E3185" w:rsidRDefault="00692E71" w:rsidP="008E0250">
                  <w:pPr>
                    <w:autoSpaceDE w:val="0"/>
                    <w:autoSpaceDN w:val="0"/>
                    <w:rPr>
                      <w:rFonts w:cs="Arial"/>
                    </w:rPr>
                  </w:pPr>
                  <w:r w:rsidRPr="001E3185">
                    <w:rPr>
                      <w:rFonts w:cs="Arial"/>
                    </w:rPr>
                    <w:t>SEVILLA</w:t>
                  </w:r>
                </w:p>
              </w:tc>
              <w:tc>
                <w:tcPr>
                  <w:tcW w:w="825" w:type="pct"/>
                  <w:vAlign w:val="center"/>
                </w:tcPr>
                <w:p w14:paraId="6E6F24AE"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38DF2325"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635406B3" w14:textId="77777777" w:rsidR="00692E71" w:rsidRPr="001E3185" w:rsidRDefault="00692E71" w:rsidP="008E0250">
                  <w:pPr>
                    <w:jc w:val="center"/>
                    <w:rPr>
                      <w:rFonts w:cs="Arial"/>
                    </w:rPr>
                  </w:pPr>
                  <w:r w:rsidRPr="001E3185">
                    <w:rPr>
                      <w:rFonts w:cs="Arial"/>
                    </w:rPr>
                    <w:t>0.01</w:t>
                  </w:r>
                </w:p>
              </w:tc>
              <w:tc>
                <w:tcPr>
                  <w:tcW w:w="797" w:type="pct"/>
                  <w:vAlign w:val="center"/>
                </w:tcPr>
                <w:p w14:paraId="2991ED13"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5E40C8E4"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625D5D81" w14:textId="77777777" w:rsidTr="008E0250">
              <w:tc>
                <w:tcPr>
                  <w:tcW w:w="977" w:type="pct"/>
                </w:tcPr>
                <w:p w14:paraId="076E1336" w14:textId="77777777" w:rsidR="00692E71" w:rsidRPr="001E3185" w:rsidRDefault="00692E71" w:rsidP="008E0250">
                  <w:pPr>
                    <w:autoSpaceDE w:val="0"/>
                    <w:autoSpaceDN w:val="0"/>
                    <w:rPr>
                      <w:rFonts w:cs="Arial"/>
                    </w:rPr>
                  </w:pPr>
                  <w:r w:rsidRPr="001E3185">
                    <w:rPr>
                      <w:rFonts w:cs="Arial"/>
                    </w:rPr>
                    <w:t>THIVA</w:t>
                  </w:r>
                </w:p>
              </w:tc>
              <w:tc>
                <w:tcPr>
                  <w:tcW w:w="825" w:type="pct"/>
                  <w:vAlign w:val="center"/>
                </w:tcPr>
                <w:p w14:paraId="24E3BEAF"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5016FEAA"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1D34975A" w14:textId="77777777" w:rsidR="00692E71" w:rsidRPr="001E3185" w:rsidRDefault="00692E71" w:rsidP="008E0250">
                  <w:pPr>
                    <w:jc w:val="center"/>
                    <w:rPr>
                      <w:rFonts w:cs="Arial"/>
                    </w:rPr>
                  </w:pPr>
                  <w:r w:rsidRPr="001E3185">
                    <w:rPr>
                      <w:rFonts w:cs="Arial"/>
                    </w:rPr>
                    <w:t>0.01</w:t>
                  </w:r>
                </w:p>
              </w:tc>
              <w:tc>
                <w:tcPr>
                  <w:tcW w:w="797" w:type="pct"/>
                  <w:vAlign w:val="center"/>
                </w:tcPr>
                <w:p w14:paraId="059F1823"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436DB248" w14:textId="77777777" w:rsidR="00692E71" w:rsidRPr="001E3185" w:rsidRDefault="00692E71" w:rsidP="008E0250">
                  <w:pPr>
                    <w:autoSpaceDE w:val="0"/>
                    <w:autoSpaceDN w:val="0"/>
                    <w:jc w:val="center"/>
                    <w:rPr>
                      <w:rFonts w:cs="Arial"/>
                    </w:rPr>
                  </w:pPr>
                  <w:r w:rsidRPr="001E3185">
                    <w:rPr>
                      <w:rFonts w:cs="Arial"/>
                    </w:rPr>
                    <w:t>&lt; 0.001</w:t>
                  </w:r>
                </w:p>
              </w:tc>
            </w:tr>
          </w:tbl>
          <w:p w14:paraId="32D9068A" w14:textId="77777777" w:rsidR="00692E71" w:rsidRPr="001E3185" w:rsidRDefault="00692E71" w:rsidP="008E0250">
            <w:pPr>
              <w:rPr>
                <w:vanish/>
              </w:rPr>
            </w:pPr>
          </w:p>
          <w:p w14:paraId="4ADCAC75" w14:textId="77777777" w:rsidR="00692E71" w:rsidRPr="001E3185" w:rsidRDefault="00692E71" w:rsidP="008E0250">
            <w:pPr>
              <w:autoSpaceDE w:val="0"/>
              <w:autoSpaceDN w:val="0"/>
              <w:spacing w:line="276" w:lineRule="auto"/>
              <w:rPr>
                <w:rFonts w:cs="Arial"/>
              </w:rPr>
            </w:pPr>
          </w:p>
          <w:p w14:paraId="0ED0D38E" w14:textId="77777777" w:rsidR="00692E71" w:rsidRPr="001E3185" w:rsidRDefault="00692E71" w:rsidP="00F32B7F">
            <w:pPr>
              <w:pStyle w:val="Lgende"/>
              <w:numPr>
                <w:ilvl w:val="0"/>
                <w:numId w:val="19"/>
              </w:numPr>
              <w:suppressAutoHyphens w:val="0"/>
              <w:spacing w:after="200"/>
              <w:rPr>
                <w:rFonts w:ascii="Verdana" w:hAnsi="Verdana"/>
              </w:rPr>
            </w:pPr>
            <w:r w:rsidRPr="001E3185">
              <w:rPr>
                <w:rFonts w:ascii="Verdana" w:hAnsi="Verdana"/>
              </w:rPr>
              <w:lastRenderedPageBreak/>
              <w:t>Secondary poisoning</w:t>
            </w:r>
          </w:p>
          <w:p w14:paraId="7C50BA43" w14:textId="77777777" w:rsidR="00692E71" w:rsidRPr="001E3185" w:rsidRDefault="00692E71" w:rsidP="008E0250">
            <w:pPr>
              <w:autoSpaceDE w:val="0"/>
              <w:autoSpaceDN w:val="0"/>
              <w:rPr>
                <w:rFonts w:cs="Arial"/>
              </w:rPr>
            </w:pPr>
            <w:r w:rsidRPr="001E3185">
              <w:rPr>
                <w:rFonts w:cs="Arial"/>
              </w:rPr>
              <w:t>FR-CA agreed with the applicant for considering that secondary poisoning is relevant only for the active substance cypermethrin. As a consequence, the secondary poisoning was assessed for the TIME2 assessment period of service life considering as a worst case:</w:t>
            </w:r>
          </w:p>
          <w:p w14:paraId="400687B6" w14:textId="77777777" w:rsidR="00692E71" w:rsidRPr="001E3185" w:rsidRDefault="00692E71" w:rsidP="00F32B7F">
            <w:pPr>
              <w:pStyle w:val="Paragraphedeliste"/>
              <w:numPr>
                <w:ilvl w:val="0"/>
                <w:numId w:val="14"/>
              </w:numPr>
              <w:suppressAutoHyphens w:val="0"/>
              <w:autoSpaceDE w:val="0"/>
              <w:autoSpaceDN w:val="0"/>
              <w:contextualSpacing/>
              <w:rPr>
                <w:rFonts w:cs="Arial"/>
              </w:rPr>
            </w:pPr>
            <w:r w:rsidRPr="001E3185">
              <w:rPr>
                <w:rFonts w:cs="Arial"/>
              </w:rPr>
              <w:t>for the aquatic food chain</w:t>
            </w:r>
            <w:r w:rsidRPr="001E3185">
              <w:rPr>
                <w:rFonts w:cs="Arial"/>
                <w:b/>
              </w:rPr>
              <w:t>,</w:t>
            </w:r>
            <w:r w:rsidRPr="001E3185">
              <w:rPr>
                <w:rFonts w:cs="Arial"/>
              </w:rPr>
              <w:t xml:space="preserve"> the scenario Bridge “surface treatment (eq. to 200 g.m</w:t>
            </w:r>
            <w:r w:rsidRPr="001E3185">
              <w:rPr>
                <w:rFonts w:cs="Arial"/>
                <w:vertAlign w:val="superscript"/>
              </w:rPr>
              <w:t>-2</w:t>
            </w:r>
            <w:r w:rsidRPr="001E3185">
              <w:rPr>
                <w:rFonts w:cs="Arial"/>
              </w:rPr>
              <w:t>) – treated wood in service only” with a Clocal</w:t>
            </w:r>
            <w:r w:rsidRPr="001E3185">
              <w:rPr>
                <w:rFonts w:cs="Arial"/>
                <w:vertAlign w:val="subscript"/>
              </w:rPr>
              <w:t>water,TWA_TIME2</w:t>
            </w:r>
            <w:r w:rsidRPr="001E3185">
              <w:rPr>
                <w:rFonts w:cs="Arial"/>
              </w:rPr>
              <w:t xml:space="preserve"> of 3.09E-05 µg.L</w:t>
            </w:r>
            <w:r w:rsidRPr="001E3185">
              <w:rPr>
                <w:rFonts w:cs="Arial"/>
                <w:vertAlign w:val="superscript"/>
              </w:rPr>
              <w:t>-1</w:t>
            </w:r>
            <w:r w:rsidRPr="001E3185">
              <w:rPr>
                <w:rFonts w:cs="Arial"/>
              </w:rPr>
              <w:t>;</w:t>
            </w:r>
          </w:p>
          <w:p w14:paraId="55913632" w14:textId="77777777" w:rsidR="00692E71" w:rsidRPr="001E3185" w:rsidRDefault="00692E71" w:rsidP="00F32B7F">
            <w:pPr>
              <w:pStyle w:val="Paragraphedeliste"/>
              <w:numPr>
                <w:ilvl w:val="0"/>
                <w:numId w:val="14"/>
              </w:numPr>
              <w:suppressAutoHyphens w:val="0"/>
              <w:autoSpaceDE w:val="0"/>
              <w:autoSpaceDN w:val="0"/>
              <w:contextualSpacing/>
              <w:rPr>
                <w:rFonts w:cs="Arial"/>
              </w:rPr>
            </w:pPr>
            <w:proofErr w:type="gramStart"/>
            <w:r w:rsidRPr="001E3185">
              <w:rPr>
                <w:rFonts w:cs="Arial"/>
              </w:rPr>
              <w:t>for</w:t>
            </w:r>
            <w:proofErr w:type="gramEnd"/>
            <w:r w:rsidRPr="001E3185">
              <w:rPr>
                <w:rFonts w:cs="Arial"/>
              </w:rPr>
              <w:t xml:space="preserve"> the terrestrial food chain, the scenario “spray application (Tier1 – runoff + drift) + treated wood in service” with a Clocal</w:t>
            </w:r>
            <w:r w:rsidRPr="001E3185">
              <w:rPr>
                <w:rFonts w:cs="Arial"/>
                <w:vertAlign w:val="subscript"/>
              </w:rPr>
              <w:t>soil,TWA_TIME2</w:t>
            </w:r>
            <w:r w:rsidRPr="001E3185">
              <w:rPr>
                <w:rFonts w:cs="Arial"/>
              </w:rPr>
              <w:t xml:space="preserve"> of 1.42E-03 mg.kg</w:t>
            </w:r>
            <w:r w:rsidRPr="001E3185">
              <w:rPr>
                <w:rFonts w:cs="Arial"/>
                <w:vertAlign w:val="superscript"/>
              </w:rPr>
              <w:t>-1</w:t>
            </w:r>
            <w:r w:rsidRPr="001E3185">
              <w:rPr>
                <w:rFonts w:cs="Arial"/>
                <w:vertAlign w:val="subscript"/>
              </w:rPr>
              <w:t>wwt</w:t>
            </w:r>
            <w:r w:rsidRPr="001E3185">
              <w:rPr>
                <w:rFonts w:cs="Arial"/>
              </w:rPr>
              <w:t>.</w:t>
            </w:r>
          </w:p>
          <w:p w14:paraId="3ED8F747" w14:textId="77777777" w:rsidR="00692E71" w:rsidRPr="001E3185" w:rsidRDefault="00692E71" w:rsidP="008E0250">
            <w:pPr>
              <w:autoSpaceDE w:val="0"/>
              <w:autoSpaceDN w:val="0"/>
              <w:rPr>
                <w:rFonts w:cs="Arial"/>
              </w:rPr>
            </w:pPr>
          </w:p>
          <w:p w14:paraId="249333D7" w14:textId="77777777" w:rsidR="00692E71" w:rsidRPr="001E3185" w:rsidRDefault="00692E71" w:rsidP="008E0250">
            <w:pPr>
              <w:autoSpaceDE w:val="0"/>
              <w:autoSpaceDN w:val="0"/>
              <w:rPr>
                <w:rFonts w:cs="Arial"/>
              </w:rPr>
            </w:pPr>
            <w:r w:rsidRPr="001E3185">
              <w:rPr>
                <w:rFonts w:cs="Arial"/>
              </w:rPr>
              <w:t>In accordance with the equations of the ECHA guidance vol.IV, part B (2015), PEC</w:t>
            </w:r>
            <w:r w:rsidRPr="001E3185">
              <w:rPr>
                <w:rFonts w:cs="Arial"/>
                <w:vertAlign w:val="subscript"/>
              </w:rPr>
              <w:t>oral,predator</w:t>
            </w:r>
            <w:r w:rsidRPr="001E3185">
              <w:rPr>
                <w:rFonts w:cs="Arial"/>
              </w:rPr>
              <w:t xml:space="preserve"> for both food chain were calculated as followed:</w:t>
            </w:r>
          </w:p>
          <w:p w14:paraId="3E3878CD" w14:textId="77777777" w:rsidR="00692E71" w:rsidRPr="001E3185" w:rsidRDefault="00692E71" w:rsidP="008E0250">
            <w:pPr>
              <w:autoSpaceDE w:val="0"/>
              <w:autoSpaceDN w:val="0"/>
              <w:rPr>
                <w:rFonts w:cs="Arial"/>
              </w:rPr>
            </w:pPr>
          </w:p>
          <w:tbl>
            <w:tblPr>
              <w:tblW w:w="4095" w:type="pct"/>
              <w:jc w:val="center"/>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CellMar>
                <w:left w:w="70" w:type="dxa"/>
                <w:right w:w="70" w:type="dxa"/>
              </w:tblCellMar>
              <w:tblLook w:val="0000" w:firstRow="0" w:lastRow="0" w:firstColumn="0" w:lastColumn="0" w:noHBand="0" w:noVBand="0"/>
            </w:tblPr>
            <w:tblGrid>
              <w:gridCol w:w="3087"/>
              <w:gridCol w:w="1405"/>
              <w:gridCol w:w="1457"/>
              <w:gridCol w:w="1696"/>
            </w:tblGrid>
            <w:tr w:rsidR="00692E71" w:rsidRPr="001E3185" w14:paraId="1B31262F" w14:textId="77777777" w:rsidTr="008E0250">
              <w:trPr>
                <w:trHeight w:val="290"/>
                <w:jc w:val="center"/>
              </w:trPr>
              <w:tc>
                <w:tcPr>
                  <w:tcW w:w="2019" w:type="pct"/>
                  <w:shd w:val="clear" w:color="auto" w:fill="auto"/>
                </w:tcPr>
                <w:p w14:paraId="177F2512" w14:textId="77777777" w:rsidR="00692E71" w:rsidRPr="001E3185" w:rsidRDefault="00692E71" w:rsidP="008E0250">
                  <w:pPr>
                    <w:autoSpaceDE w:val="0"/>
                    <w:autoSpaceDN w:val="0"/>
                    <w:adjustRightInd w:val="0"/>
                    <w:rPr>
                      <w:rFonts w:cs="Arial"/>
                      <w:b/>
                    </w:rPr>
                  </w:pPr>
                  <w:r w:rsidRPr="001E3185">
                    <w:rPr>
                      <w:rFonts w:cs="Arial"/>
                      <w:b/>
                    </w:rPr>
                    <w:t>Parameter / variable</w:t>
                  </w:r>
                </w:p>
              </w:tc>
              <w:tc>
                <w:tcPr>
                  <w:tcW w:w="919" w:type="pct"/>
                  <w:shd w:val="clear" w:color="auto" w:fill="auto"/>
                </w:tcPr>
                <w:p w14:paraId="03BDD9CB" w14:textId="77777777" w:rsidR="00692E71" w:rsidRPr="001E3185" w:rsidRDefault="00692E71" w:rsidP="008E0250">
                  <w:pPr>
                    <w:autoSpaceDE w:val="0"/>
                    <w:autoSpaceDN w:val="0"/>
                    <w:adjustRightInd w:val="0"/>
                    <w:rPr>
                      <w:rFonts w:cs="Arial"/>
                      <w:b/>
                    </w:rPr>
                  </w:pPr>
                  <w:r w:rsidRPr="001E3185">
                    <w:rPr>
                      <w:rFonts w:cs="Arial"/>
                      <w:b/>
                    </w:rPr>
                    <w:t>Symbol</w:t>
                  </w:r>
                </w:p>
              </w:tc>
              <w:tc>
                <w:tcPr>
                  <w:tcW w:w="953" w:type="pct"/>
                  <w:shd w:val="clear" w:color="auto" w:fill="auto"/>
                </w:tcPr>
                <w:p w14:paraId="2558E158" w14:textId="77777777" w:rsidR="00692E71" w:rsidRPr="001E3185" w:rsidRDefault="00692E71" w:rsidP="008E0250">
                  <w:pPr>
                    <w:autoSpaceDE w:val="0"/>
                    <w:autoSpaceDN w:val="0"/>
                    <w:adjustRightInd w:val="0"/>
                    <w:rPr>
                      <w:rFonts w:cs="Arial"/>
                      <w:b/>
                    </w:rPr>
                  </w:pPr>
                  <w:r w:rsidRPr="001E3185">
                    <w:rPr>
                      <w:rFonts w:cs="Arial"/>
                      <w:b/>
                    </w:rPr>
                    <w:t>Unit</w:t>
                  </w:r>
                </w:p>
              </w:tc>
              <w:tc>
                <w:tcPr>
                  <w:tcW w:w="1109" w:type="pct"/>
                  <w:shd w:val="clear" w:color="auto" w:fill="auto"/>
                </w:tcPr>
                <w:p w14:paraId="5DC9A0F8" w14:textId="77777777" w:rsidR="00692E71" w:rsidRPr="001E3185" w:rsidRDefault="00692E71" w:rsidP="008E0250">
                  <w:pPr>
                    <w:autoSpaceDE w:val="0"/>
                    <w:autoSpaceDN w:val="0"/>
                    <w:adjustRightInd w:val="0"/>
                    <w:rPr>
                      <w:rFonts w:cs="Arial"/>
                      <w:b/>
                    </w:rPr>
                  </w:pPr>
                  <w:r w:rsidRPr="001E3185">
                    <w:rPr>
                      <w:rFonts w:cs="Arial"/>
                      <w:b/>
                    </w:rPr>
                    <w:t>Value</w:t>
                  </w:r>
                </w:p>
              </w:tc>
            </w:tr>
            <w:tr w:rsidR="00692E71" w:rsidRPr="001E3185" w14:paraId="5D829F3F" w14:textId="77777777" w:rsidTr="008E0250">
              <w:trPr>
                <w:trHeight w:val="290"/>
                <w:jc w:val="center"/>
              </w:trPr>
              <w:tc>
                <w:tcPr>
                  <w:tcW w:w="4999" w:type="pct"/>
                  <w:gridSpan w:val="4"/>
                  <w:shd w:val="clear" w:color="auto" w:fill="auto"/>
                </w:tcPr>
                <w:p w14:paraId="4792959E" w14:textId="77777777" w:rsidR="00692E71" w:rsidRPr="001E3185" w:rsidRDefault="00692E71" w:rsidP="008E0250">
                  <w:pPr>
                    <w:autoSpaceDE w:val="0"/>
                    <w:autoSpaceDN w:val="0"/>
                    <w:adjustRightInd w:val="0"/>
                    <w:rPr>
                      <w:rFonts w:cs="Arial"/>
                    </w:rPr>
                  </w:pPr>
                  <w:r w:rsidRPr="001E3185">
                    <w:rPr>
                      <w:rFonts w:cs="Arial"/>
                      <w:b/>
                      <w:i/>
                      <w:u w:val="single"/>
                    </w:rPr>
                    <w:t>Aquatic food chain:</w:t>
                  </w:r>
                </w:p>
              </w:tc>
            </w:tr>
            <w:tr w:rsidR="00692E71" w:rsidRPr="001E3185" w14:paraId="37AB8E99" w14:textId="77777777" w:rsidTr="008E0250">
              <w:trPr>
                <w:trHeight w:val="290"/>
                <w:jc w:val="center"/>
              </w:trPr>
              <w:tc>
                <w:tcPr>
                  <w:tcW w:w="2019" w:type="pct"/>
                  <w:shd w:val="clear" w:color="auto" w:fill="auto"/>
                </w:tcPr>
                <w:p w14:paraId="77240D59" w14:textId="77777777" w:rsidR="00692E71" w:rsidRPr="001E3185" w:rsidRDefault="00692E71" w:rsidP="008E0250">
                  <w:pPr>
                    <w:autoSpaceDE w:val="0"/>
                    <w:autoSpaceDN w:val="0"/>
                    <w:adjustRightInd w:val="0"/>
                    <w:rPr>
                      <w:rFonts w:cs="Arial"/>
                    </w:rPr>
                  </w:pPr>
                  <w:r w:rsidRPr="001E3185">
                    <w:rPr>
                      <w:rFonts w:cs="Arial"/>
                    </w:rPr>
                    <w:t>Predicted environmental concentration during episode</w:t>
                  </w:r>
                </w:p>
              </w:tc>
              <w:tc>
                <w:tcPr>
                  <w:tcW w:w="919" w:type="pct"/>
                  <w:shd w:val="clear" w:color="auto" w:fill="auto"/>
                </w:tcPr>
                <w:p w14:paraId="3D210AE4" w14:textId="77777777" w:rsidR="00692E71" w:rsidRPr="001E3185" w:rsidRDefault="00692E71" w:rsidP="008E0250">
                  <w:pPr>
                    <w:autoSpaceDE w:val="0"/>
                    <w:autoSpaceDN w:val="0"/>
                    <w:adjustRightInd w:val="0"/>
                    <w:rPr>
                      <w:rFonts w:cs="Arial"/>
                      <w:vertAlign w:val="subscript"/>
                    </w:rPr>
                  </w:pPr>
                  <w:r w:rsidRPr="001E3185">
                    <w:rPr>
                      <w:rFonts w:cs="Arial"/>
                    </w:rPr>
                    <w:t>PEC</w:t>
                  </w:r>
                  <w:r w:rsidRPr="001E3185">
                    <w:rPr>
                      <w:rFonts w:cs="Arial"/>
                      <w:vertAlign w:val="subscript"/>
                    </w:rPr>
                    <w:t>local,water</w:t>
                  </w:r>
                </w:p>
              </w:tc>
              <w:tc>
                <w:tcPr>
                  <w:tcW w:w="953" w:type="pct"/>
                  <w:shd w:val="clear" w:color="auto" w:fill="auto"/>
                </w:tcPr>
                <w:p w14:paraId="37AB9489" w14:textId="77777777" w:rsidR="00692E71" w:rsidRPr="001E3185" w:rsidRDefault="00692E71" w:rsidP="008E0250">
                  <w:pPr>
                    <w:autoSpaceDE w:val="0"/>
                    <w:autoSpaceDN w:val="0"/>
                    <w:adjustRightInd w:val="0"/>
                    <w:rPr>
                      <w:rFonts w:cs="Arial"/>
                    </w:rPr>
                  </w:pPr>
                  <w:r w:rsidRPr="001E3185">
                    <w:rPr>
                      <w:rFonts w:cs="Arial"/>
                    </w:rPr>
                    <w:t>[mg.L</w:t>
                  </w:r>
                  <w:r w:rsidRPr="001E3185">
                    <w:rPr>
                      <w:rFonts w:cs="Arial"/>
                      <w:vertAlign w:val="superscript"/>
                    </w:rPr>
                    <w:t>-1</w:t>
                  </w:r>
                  <w:r w:rsidRPr="001E3185">
                    <w:rPr>
                      <w:rFonts w:cs="Arial"/>
                    </w:rPr>
                    <w:t>]</w:t>
                  </w:r>
                </w:p>
              </w:tc>
              <w:tc>
                <w:tcPr>
                  <w:tcW w:w="1109" w:type="pct"/>
                  <w:shd w:val="clear" w:color="auto" w:fill="auto"/>
                </w:tcPr>
                <w:p w14:paraId="4C6E1F17" w14:textId="77777777" w:rsidR="00692E71" w:rsidRPr="001E3185" w:rsidRDefault="00692E71" w:rsidP="008E0250">
                  <w:pPr>
                    <w:autoSpaceDE w:val="0"/>
                    <w:autoSpaceDN w:val="0"/>
                    <w:adjustRightInd w:val="0"/>
                    <w:jc w:val="right"/>
                    <w:rPr>
                      <w:rFonts w:cs="Arial"/>
                    </w:rPr>
                  </w:pPr>
                  <w:r w:rsidRPr="001E3185">
                    <w:rPr>
                      <w:rFonts w:cs="Arial"/>
                    </w:rPr>
                    <w:t>3.09E-08</w:t>
                  </w:r>
                </w:p>
              </w:tc>
            </w:tr>
            <w:tr w:rsidR="00692E71" w:rsidRPr="001E3185" w14:paraId="2722270B" w14:textId="77777777" w:rsidTr="008E0250">
              <w:trPr>
                <w:trHeight w:val="290"/>
                <w:jc w:val="center"/>
              </w:trPr>
              <w:tc>
                <w:tcPr>
                  <w:tcW w:w="2019" w:type="pct"/>
                  <w:shd w:val="clear" w:color="auto" w:fill="auto"/>
                </w:tcPr>
                <w:p w14:paraId="4B8A43DF" w14:textId="77777777" w:rsidR="00692E71" w:rsidRPr="001E3185" w:rsidRDefault="00692E71" w:rsidP="008E0250">
                  <w:pPr>
                    <w:autoSpaceDE w:val="0"/>
                    <w:autoSpaceDN w:val="0"/>
                    <w:adjustRightInd w:val="0"/>
                    <w:rPr>
                      <w:rFonts w:cs="Arial"/>
                    </w:rPr>
                  </w:pPr>
                  <w:r w:rsidRPr="001E3185">
                    <w:rPr>
                      <w:rFonts w:cs="Arial"/>
                    </w:rPr>
                    <w:t>Bioconcentration factor for fish on wet weight basis</w:t>
                  </w:r>
                </w:p>
              </w:tc>
              <w:tc>
                <w:tcPr>
                  <w:tcW w:w="919" w:type="pct"/>
                  <w:shd w:val="clear" w:color="auto" w:fill="auto"/>
                </w:tcPr>
                <w:p w14:paraId="125A9602" w14:textId="77777777" w:rsidR="00692E71" w:rsidRPr="001E3185" w:rsidRDefault="00692E71" w:rsidP="008E0250">
                  <w:pPr>
                    <w:autoSpaceDE w:val="0"/>
                    <w:autoSpaceDN w:val="0"/>
                    <w:adjustRightInd w:val="0"/>
                    <w:rPr>
                      <w:rFonts w:cs="Arial"/>
                      <w:vertAlign w:val="subscript"/>
                    </w:rPr>
                  </w:pPr>
                  <w:r w:rsidRPr="001E3185">
                    <w:rPr>
                      <w:rFonts w:cs="Arial"/>
                    </w:rPr>
                    <w:t>BCF</w:t>
                  </w:r>
                  <w:r w:rsidRPr="001E3185">
                    <w:rPr>
                      <w:rFonts w:cs="Arial"/>
                      <w:vertAlign w:val="subscript"/>
                    </w:rPr>
                    <w:t>fish</w:t>
                  </w:r>
                </w:p>
              </w:tc>
              <w:tc>
                <w:tcPr>
                  <w:tcW w:w="953" w:type="pct"/>
                  <w:shd w:val="clear" w:color="auto" w:fill="auto"/>
                </w:tcPr>
                <w:p w14:paraId="383995F5" w14:textId="77777777" w:rsidR="00692E71" w:rsidRPr="001E3185" w:rsidRDefault="00692E71" w:rsidP="008E0250">
                  <w:pPr>
                    <w:autoSpaceDE w:val="0"/>
                    <w:autoSpaceDN w:val="0"/>
                    <w:adjustRightInd w:val="0"/>
                    <w:rPr>
                      <w:rFonts w:cs="Arial"/>
                    </w:rPr>
                  </w:pPr>
                  <w:r w:rsidRPr="001E3185">
                    <w:rPr>
                      <w:rFonts w:cs="Arial"/>
                    </w:rPr>
                    <w:t>[L.kg</w:t>
                  </w:r>
                  <w:r w:rsidRPr="001E3185">
                    <w:rPr>
                      <w:rFonts w:cs="Arial"/>
                      <w:vertAlign w:val="superscript"/>
                    </w:rPr>
                    <w:t>-1</w:t>
                  </w:r>
                  <w:r w:rsidRPr="001E3185">
                    <w:rPr>
                      <w:rFonts w:cs="Arial"/>
                      <w:vertAlign w:val="subscript"/>
                    </w:rPr>
                    <w:t>wet fish</w:t>
                  </w:r>
                  <w:r w:rsidRPr="001E3185">
                    <w:rPr>
                      <w:rFonts w:cs="Arial"/>
                    </w:rPr>
                    <w:t>]</w:t>
                  </w:r>
                </w:p>
              </w:tc>
              <w:tc>
                <w:tcPr>
                  <w:tcW w:w="1109" w:type="pct"/>
                  <w:shd w:val="clear" w:color="auto" w:fill="auto"/>
                </w:tcPr>
                <w:p w14:paraId="143A9992" w14:textId="77777777" w:rsidR="00692E71" w:rsidRPr="001E3185" w:rsidRDefault="00692E71" w:rsidP="008E0250">
                  <w:pPr>
                    <w:autoSpaceDE w:val="0"/>
                    <w:autoSpaceDN w:val="0"/>
                    <w:adjustRightInd w:val="0"/>
                    <w:jc w:val="right"/>
                    <w:rPr>
                      <w:rFonts w:cs="Arial"/>
                    </w:rPr>
                  </w:pPr>
                  <w:r w:rsidRPr="001E3185">
                    <w:rPr>
                      <w:rFonts w:cs="Arial"/>
                    </w:rPr>
                    <w:t>417</w:t>
                  </w:r>
                </w:p>
              </w:tc>
            </w:tr>
            <w:tr w:rsidR="00692E71" w:rsidRPr="001E3185" w14:paraId="1502B44C" w14:textId="77777777" w:rsidTr="008E0250">
              <w:trPr>
                <w:trHeight w:val="247"/>
                <w:jc w:val="center"/>
              </w:trPr>
              <w:tc>
                <w:tcPr>
                  <w:tcW w:w="2019" w:type="pct"/>
                  <w:shd w:val="clear" w:color="auto" w:fill="auto"/>
                </w:tcPr>
                <w:p w14:paraId="6440A2E4" w14:textId="77777777" w:rsidR="00692E71" w:rsidRPr="001E3185" w:rsidRDefault="00692E71" w:rsidP="008E0250">
                  <w:pPr>
                    <w:autoSpaceDE w:val="0"/>
                    <w:autoSpaceDN w:val="0"/>
                    <w:adjustRightInd w:val="0"/>
                    <w:rPr>
                      <w:rFonts w:cs="Arial"/>
                    </w:rPr>
                  </w:pPr>
                  <w:r w:rsidRPr="001E3185">
                    <w:rPr>
                      <w:rFonts w:cs="Arial"/>
                    </w:rPr>
                    <w:t>Biomagnification factor in fish</w:t>
                  </w:r>
                </w:p>
              </w:tc>
              <w:tc>
                <w:tcPr>
                  <w:tcW w:w="919" w:type="pct"/>
                  <w:shd w:val="clear" w:color="auto" w:fill="auto"/>
                </w:tcPr>
                <w:p w14:paraId="1EB5F320" w14:textId="77777777" w:rsidR="00692E71" w:rsidRPr="001E3185" w:rsidRDefault="00692E71" w:rsidP="008E0250">
                  <w:pPr>
                    <w:autoSpaceDE w:val="0"/>
                    <w:autoSpaceDN w:val="0"/>
                    <w:adjustRightInd w:val="0"/>
                    <w:rPr>
                      <w:rFonts w:cs="Arial"/>
                    </w:rPr>
                  </w:pPr>
                  <w:r w:rsidRPr="001E3185">
                    <w:rPr>
                      <w:rFonts w:cs="Arial"/>
                    </w:rPr>
                    <w:t>BMF</w:t>
                  </w:r>
                </w:p>
              </w:tc>
              <w:tc>
                <w:tcPr>
                  <w:tcW w:w="953" w:type="pct"/>
                  <w:shd w:val="clear" w:color="auto" w:fill="auto"/>
                </w:tcPr>
                <w:p w14:paraId="453CD47D" w14:textId="77777777" w:rsidR="00692E71" w:rsidRPr="001E3185" w:rsidRDefault="00692E71" w:rsidP="008E0250">
                  <w:pPr>
                    <w:autoSpaceDE w:val="0"/>
                    <w:autoSpaceDN w:val="0"/>
                    <w:adjustRightInd w:val="0"/>
                    <w:rPr>
                      <w:rFonts w:cs="Arial"/>
                    </w:rPr>
                  </w:pPr>
                  <w:r w:rsidRPr="001E3185">
                    <w:rPr>
                      <w:rFonts w:cs="Arial"/>
                    </w:rPr>
                    <w:t>[-]</w:t>
                  </w:r>
                </w:p>
              </w:tc>
              <w:tc>
                <w:tcPr>
                  <w:tcW w:w="1109" w:type="pct"/>
                  <w:shd w:val="clear" w:color="auto" w:fill="auto"/>
                </w:tcPr>
                <w:p w14:paraId="49B08C49" w14:textId="77777777" w:rsidR="00692E71" w:rsidRPr="001E3185" w:rsidRDefault="00692E71" w:rsidP="008E0250">
                  <w:pPr>
                    <w:autoSpaceDE w:val="0"/>
                    <w:autoSpaceDN w:val="0"/>
                    <w:adjustRightInd w:val="0"/>
                    <w:jc w:val="right"/>
                    <w:rPr>
                      <w:rFonts w:cs="Arial"/>
                    </w:rPr>
                  </w:pPr>
                  <w:r w:rsidRPr="001E3185">
                    <w:rPr>
                      <w:rFonts w:cs="Arial"/>
                    </w:rPr>
                    <w:t>2</w:t>
                  </w:r>
                </w:p>
              </w:tc>
            </w:tr>
            <w:tr w:rsidR="00692E71" w:rsidRPr="001E3185" w14:paraId="4BD024C6" w14:textId="77777777" w:rsidTr="008E0250">
              <w:trPr>
                <w:trHeight w:val="290"/>
                <w:jc w:val="center"/>
              </w:trPr>
              <w:tc>
                <w:tcPr>
                  <w:tcW w:w="2019" w:type="pct"/>
                  <w:shd w:val="clear" w:color="auto" w:fill="auto"/>
                </w:tcPr>
                <w:p w14:paraId="23CB910B" w14:textId="77777777" w:rsidR="00692E71" w:rsidRPr="001E3185" w:rsidRDefault="00692E71" w:rsidP="008E0250">
                  <w:pPr>
                    <w:autoSpaceDE w:val="0"/>
                    <w:autoSpaceDN w:val="0"/>
                    <w:adjustRightInd w:val="0"/>
                    <w:rPr>
                      <w:rFonts w:cs="Arial"/>
                      <w:b/>
                    </w:rPr>
                  </w:pPr>
                  <w:r w:rsidRPr="001E3185">
                    <w:rPr>
                      <w:rFonts w:cs="Arial"/>
                      <w:b/>
                    </w:rPr>
                    <w:t>Predicted environmental concentration in food (considering that predators feed at 50% on local level)</w:t>
                  </w:r>
                </w:p>
              </w:tc>
              <w:tc>
                <w:tcPr>
                  <w:tcW w:w="919" w:type="pct"/>
                  <w:shd w:val="clear" w:color="auto" w:fill="auto"/>
                </w:tcPr>
                <w:p w14:paraId="538806C5" w14:textId="77777777" w:rsidR="00692E71" w:rsidRPr="001E3185" w:rsidRDefault="00692E71" w:rsidP="008E0250">
                  <w:pPr>
                    <w:autoSpaceDE w:val="0"/>
                    <w:autoSpaceDN w:val="0"/>
                    <w:adjustRightInd w:val="0"/>
                    <w:rPr>
                      <w:rFonts w:cs="Arial"/>
                      <w:b/>
                      <w:vertAlign w:val="subscript"/>
                    </w:rPr>
                  </w:pPr>
                  <w:r w:rsidRPr="001E3185">
                    <w:rPr>
                      <w:rFonts w:cs="Arial"/>
                      <w:b/>
                    </w:rPr>
                    <w:t>PEC</w:t>
                  </w:r>
                  <w:r w:rsidRPr="001E3185">
                    <w:rPr>
                      <w:rFonts w:cs="Arial"/>
                      <w:b/>
                      <w:vertAlign w:val="subscript"/>
                    </w:rPr>
                    <w:t>oral,predator</w:t>
                  </w:r>
                </w:p>
              </w:tc>
              <w:tc>
                <w:tcPr>
                  <w:tcW w:w="953" w:type="pct"/>
                  <w:shd w:val="clear" w:color="auto" w:fill="auto"/>
                </w:tcPr>
                <w:p w14:paraId="2478A11D" w14:textId="77777777" w:rsidR="00692E71" w:rsidRPr="001E3185" w:rsidRDefault="00692E71" w:rsidP="008E0250">
                  <w:pPr>
                    <w:autoSpaceDE w:val="0"/>
                    <w:autoSpaceDN w:val="0"/>
                    <w:adjustRightInd w:val="0"/>
                    <w:rPr>
                      <w:rFonts w:cs="Arial"/>
                      <w:b/>
                    </w:rPr>
                  </w:pPr>
                  <w:r w:rsidRPr="001E3185">
                    <w:rPr>
                      <w:rFonts w:cs="Arial"/>
                      <w:b/>
                    </w:rPr>
                    <w:t>[mg.kg</w:t>
                  </w:r>
                  <w:r w:rsidRPr="001E3185">
                    <w:rPr>
                      <w:rFonts w:cs="Arial"/>
                      <w:b/>
                      <w:vertAlign w:val="superscript"/>
                    </w:rPr>
                    <w:t>-1</w:t>
                  </w:r>
                  <w:r w:rsidRPr="001E3185">
                    <w:rPr>
                      <w:rFonts w:cs="Arial"/>
                      <w:b/>
                      <w:vertAlign w:val="subscript"/>
                    </w:rPr>
                    <w:t>wet fish</w:t>
                  </w:r>
                  <w:r w:rsidRPr="001E3185">
                    <w:rPr>
                      <w:rFonts w:cs="Arial"/>
                      <w:b/>
                    </w:rPr>
                    <w:t>]</w:t>
                  </w:r>
                </w:p>
              </w:tc>
              <w:tc>
                <w:tcPr>
                  <w:tcW w:w="1109" w:type="pct"/>
                  <w:shd w:val="clear" w:color="auto" w:fill="auto"/>
                </w:tcPr>
                <w:p w14:paraId="42C99E71" w14:textId="77777777" w:rsidR="00692E71" w:rsidRPr="001E3185" w:rsidRDefault="00692E71" w:rsidP="008E0250">
                  <w:pPr>
                    <w:autoSpaceDE w:val="0"/>
                    <w:autoSpaceDN w:val="0"/>
                    <w:adjustRightInd w:val="0"/>
                    <w:jc w:val="right"/>
                    <w:rPr>
                      <w:rFonts w:cs="Arial"/>
                      <w:b/>
                    </w:rPr>
                  </w:pPr>
                  <w:r w:rsidRPr="001E3185">
                    <w:rPr>
                      <w:rFonts w:cs="Arial"/>
                      <w:b/>
                    </w:rPr>
                    <w:t>1.29E-05</w:t>
                  </w:r>
                </w:p>
              </w:tc>
            </w:tr>
            <w:tr w:rsidR="00692E71" w:rsidRPr="001E3185" w14:paraId="049185B8" w14:textId="77777777" w:rsidTr="008E0250">
              <w:trPr>
                <w:trHeight w:val="247"/>
                <w:jc w:val="center"/>
              </w:trPr>
              <w:tc>
                <w:tcPr>
                  <w:tcW w:w="2019" w:type="pct"/>
                  <w:shd w:val="clear" w:color="auto" w:fill="auto"/>
                </w:tcPr>
                <w:p w14:paraId="0B1FA3F6" w14:textId="77777777" w:rsidR="00692E71" w:rsidRPr="001E3185" w:rsidRDefault="00692E71" w:rsidP="008E0250">
                  <w:pPr>
                    <w:autoSpaceDE w:val="0"/>
                    <w:autoSpaceDN w:val="0"/>
                    <w:adjustRightInd w:val="0"/>
                    <w:rPr>
                      <w:rFonts w:cs="Arial"/>
                      <w:b/>
                      <w:i/>
                      <w:u w:val="single"/>
                    </w:rPr>
                  </w:pPr>
                  <w:r w:rsidRPr="001E3185">
                    <w:rPr>
                      <w:rFonts w:cs="Arial"/>
                      <w:b/>
                      <w:i/>
                      <w:u w:val="single"/>
                    </w:rPr>
                    <w:t>Terrestrial food chain :</w:t>
                  </w:r>
                </w:p>
              </w:tc>
              <w:tc>
                <w:tcPr>
                  <w:tcW w:w="919" w:type="pct"/>
                  <w:shd w:val="clear" w:color="auto" w:fill="auto"/>
                </w:tcPr>
                <w:p w14:paraId="57E1DAA6" w14:textId="77777777" w:rsidR="00692E71" w:rsidRPr="001E3185" w:rsidRDefault="00692E71" w:rsidP="008E0250">
                  <w:pPr>
                    <w:autoSpaceDE w:val="0"/>
                    <w:autoSpaceDN w:val="0"/>
                    <w:adjustRightInd w:val="0"/>
                    <w:jc w:val="right"/>
                    <w:rPr>
                      <w:rFonts w:cs="Arial"/>
                    </w:rPr>
                  </w:pPr>
                </w:p>
              </w:tc>
              <w:tc>
                <w:tcPr>
                  <w:tcW w:w="953" w:type="pct"/>
                  <w:shd w:val="clear" w:color="auto" w:fill="auto"/>
                </w:tcPr>
                <w:p w14:paraId="0E8DFAAF" w14:textId="77777777" w:rsidR="00692E71" w:rsidRPr="001E3185" w:rsidRDefault="00692E71" w:rsidP="008E0250">
                  <w:pPr>
                    <w:autoSpaceDE w:val="0"/>
                    <w:autoSpaceDN w:val="0"/>
                    <w:adjustRightInd w:val="0"/>
                    <w:jc w:val="right"/>
                    <w:rPr>
                      <w:rFonts w:cs="Arial"/>
                    </w:rPr>
                  </w:pPr>
                </w:p>
              </w:tc>
              <w:tc>
                <w:tcPr>
                  <w:tcW w:w="1109" w:type="pct"/>
                  <w:shd w:val="clear" w:color="auto" w:fill="auto"/>
                </w:tcPr>
                <w:p w14:paraId="77D6C005" w14:textId="77777777" w:rsidR="00692E71" w:rsidRPr="001E3185" w:rsidRDefault="00692E71" w:rsidP="008E0250">
                  <w:pPr>
                    <w:autoSpaceDE w:val="0"/>
                    <w:autoSpaceDN w:val="0"/>
                    <w:adjustRightInd w:val="0"/>
                    <w:jc w:val="right"/>
                    <w:rPr>
                      <w:rFonts w:cs="Arial"/>
                    </w:rPr>
                  </w:pPr>
                </w:p>
              </w:tc>
            </w:tr>
            <w:tr w:rsidR="00692E71" w:rsidRPr="001E3185" w14:paraId="3F75D9E4" w14:textId="77777777" w:rsidTr="008E0250">
              <w:trPr>
                <w:trHeight w:val="262"/>
                <w:jc w:val="center"/>
              </w:trPr>
              <w:tc>
                <w:tcPr>
                  <w:tcW w:w="2019" w:type="pct"/>
                  <w:shd w:val="clear" w:color="auto" w:fill="auto"/>
                </w:tcPr>
                <w:p w14:paraId="5DC387BC" w14:textId="77777777" w:rsidR="00692E71" w:rsidRPr="001E3185" w:rsidRDefault="00692E71" w:rsidP="008E0250">
                  <w:pPr>
                    <w:autoSpaceDE w:val="0"/>
                    <w:autoSpaceDN w:val="0"/>
                    <w:adjustRightInd w:val="0"/>
                    <w:rPr>
                      <w:rFonts w:cs="Arial"/>
                    </w:rPr>
                  </w:pPr>
                  <w:r w:rsidRPr="001E3185">
                    <w:rPr>
                      <w:rFonts w:cs="Arial"/>
                    </w:rPr>
                    <w:t>log of partition coefficient n-octanol-water</w:t>
                  </w:r>
                </w:p>
              </w:tc>
              <w:tc>
                <w:tcPr>
                  <w:tcW w:w="919" w:type="pct"/>
                  <w:shd w:val="clear" w:color="auto" w:fill="auto"/>
                </w:tcPr>
                <w:p w14:paraId="313B115D" w14:textId="77777777" w:rsidR="00692E71" w:rsidRPr="001E3185" w:rsidRDefault="00692E71" w:rsidP="008E0250">
                  <w:pPr>
                    <w:autoSpaceDE w:val="0"/>
                    <w:autoSpaceDN w:val="0"/>
                    <w:adjustRightInd w:val="0"/>
                    <w:rPr>
                      <w:rFonts w:cs="Arial"/>
                      <w:vertAlign w:val="subscript"/>
                    </w:rPr>
                  </w:pPr>
                  <w:r w:rsidRPr="001E3185">
                    <w:rPr>
                      <w:rFonts w:cs="Arial"/>
                    </w:rPr>
                    <w:t>Log K</w:t>
                  </w:r>
                  <w:r w:rsidRPr="001E3185">
                    <w:rPr>
                      <w:rFonts w:cs="Arial"/>
                      <w:vertAlign w:val="subscript"/>
                    </w:rPr>
                    <w:t>ow</w:t>
                  </w:r>
                </w:p>
              </w:tc>
              <w:tc>
                <w:tcPr>
                  <w:tcW w:w="953" w:type="pct"/>
                  <w:shd w:val="clear" w:color="auto" w:fill="auto"/>
                </w:tcPr>
                <w:p w14:paraId="4215DD00" w14:textId="77777777" w:rsidR="00692E71" w:rsidRPr="001E3185" w:rsidRDefault="00692E71" w:rsidP="008E0250">
                  <w:pPr>
                    <w:autoSpaceDE w:val="0"/>
                    <w:autoSpaceDN w:val="0"/>
                    <w:adjustRightInd w:val="0"/>
                    <w:rPr>
                      <w:rFonts w:cs="Arial"/>
                    </w:rPr>
                  </w:pPr>
                  <w:r w:rsidRPr="001E3185">
                    <w:rPr>
                      <w:rFonts w:cs="Arial"/>
                    </w:rPr>
                    <w:t>[-]</w:t>
                  </w:r>
                </w:p>
              </w:tc>
              <w:tc>
                <w:tcPr>
                  <w:tcW w:w="1109" w:type="pct"/>
                  <w:shd w:val="clear" w:color="auto" w:fill="auto"/>
                </w:tcPr>
                <w:p w14:paraId="5BCC1606" w14:textId="77777777" w:rsidR="00692E71" w:rsidRPr="001E3185" w:rsidRDefault="00692E71" w:rsidP="008E0250">
                  <w:pPr>
                    <w:autoSpaceDE w:val="0"/>
                    <w:autoSpaceDN w:val="0"/>
                    <w:adjustRightInd w:val="0"/>
                    <w:jc w:val="right"/>
                    <w:rPr>
                      <w:rFonts w:cs="Arial"/>
                    </w:rPr>
                  </w:pPr>
                  <w:r w:rsidRPr="001E3185">
                    <w:rPr>
                      <w:rFonts w:cs="Arial"/>
                    </w:rPr>
                    <w:t>5.45</w:t>
                  </w:r>
                </w:p>
              </w:tc>
            </w:tr>
            <w:tr w:rsidR="00692E71" w:rsidRPr="001E3185" w14:paraId="35E7C4D5" w14:textId="77777777" w:rsidTr="008E0250">
              <w:trPr>
                <w:trHeight w:val="290"/>
                <w:jc w:val="center"/>
              </w:trPr>
              <w:tc>
                <w:tcPr>
                  <w:tcW w:w="2019" w:type="pct"/>
                  <w:shd w:val="clear" w:color="auto" w:fill="auto"/>
                </w:tcPr>
                <w:p w14:paraId="2734E762" w14:textId="77777777" w:rsidR="00692E71" w:rsidRPr="001E3185" w:rsidRDefault="00692E71" w:rsidP="008E0250">
                  <w:pPr>
                    <w:autoSpaceDE w:val="0"/>
                    <w:autoSpaceDN w:val="0"/>
                    <w:adjustRightInd w:val="0"/>
                    <w:rPr>
                      <w:rFonts w:cs="Arial"/>
                    </w:rPr>
                  </w:pPr>
                  <w:r w:rsidRPr="001E3185">
                    <w:rPr>
                      <w:rFonts w:cs="Arial"/>
                    </w:rPr>
                    <w:t>Bioconcentration factor for earthworm on wet weight basis</w:t>
                  </w:r>
                </w:p>
              </w:tc>
              <w:tc>
                <w:tcPr>
                  <w:tcW w:w="919" w:type="pct"/>
                  <w:shd w:val="clear" w:color="auto" w:fill="auto"/>
                </w:tcPr>
                <w:p w14:paraId="339D4F21" w14:textId="77777777" w:rsidR="00692E71" w:rsidRPr="001E3185" w:rsidRDefault="00692E71" w:rsidP="008E0250">
                  <w:pPr>
                    <w:autoSpaceDE w:val="0"/>
                    <w:autoSpaceDN w:val="0"/>
                    <w:adjustRightInd w:val="0"/>
                    <w:rPr>
                      <w:rFonts w:cs="Arial"/>
                      <w:vertAlign w:val="subscript"/>
                    </w:rPr>
                  </w:pPr>
                  <w:r w:rsidRPr="001E3185">
                    <w:rPr>
                      <w:rFonts w:cs="Arial"/>
                    </w:rPr>
                    <w:t>BCF</w:t>
                  </w:r>
                  <w:r w:rsidRPr="001E3185">
                    <w:rPr>
                      <w:rFonts w:cs="Arial"/>
                      <w:vertAlign w:val="subscript"/>
                    </w:rPr>
                    <w:t>earthworm</w:t>
                  </w:r>
                </w:p>
              </w:tc>
              <w:tc>
                <w:tcPr>
                  <w:tcW w:w="953" w:type="pct"/>
                  <w:shd w:val="clear" w:color="auto" w:fill="auto"/>
                </w:tcPr>
                <w:p w14:paraId="34F16521" w14:textId="77777777" w:rsidR="00692E71" w:rsidRPr="001E3185" w:rsidRDefault="00692E71" w:rsidP="008E0250">
                  <w:pPr>
                    <w:autoSpaceDE w:val="0"/>
                    <w:autoSpaceDN w:val="0"/>
                    <w:adjustRightInd w:val="0"/>
                    <w:rPr>
                      <w:rFonts w:cs="Arial"/>
                    </w:rPr>
                  </w:pPr>
                  <w:r w:rsidRPr="001E3185">
                    <w:rPr>
                      <w:rFonts w:cs="Arial"/>
                    </w:rPr>
                    <w:t>[L.kg</w:t>
                  </w:r>
                  <w:r w:rsidRPr="001E3185">
                    <w:rPr>
                      <w:rFonts w:cs="Arial"/>
                      <w:vertAlign w:val="superscript"/>
                    </w:rPr>
                    <w:t>-1</w:t>
                  </w:r>
                  <w:r w:rsidRPr="001E3185">
                    <w:rPr>
                      <w:rFonts w:cs="Arial"/>
                      <w:vertAlign w:val="subscript"/>
                    </w:rPr>
                    <w:t>wet earthworm</w:t>
                  </w:r>
                  <w:r w:rsidRPr="001E3185">
                    <w:rPr>
                      <w:rFonts w:cs="Arial"/>
                    </w:rPr>
                    <w:t>]</w:t>
                  </w:r>
                </w:p>
              </w:tc>
              <w:tc>
                <w:tcPr>
                  <w:tcW w:w="1109" w:type="pct"/>
                  <w:shd w:val="clear" w:color="auto" w:fill="auto"/>
                </w:tcPr>
                <w:p w14:paraId="2BC1690C" w14:textId="77777777" w:rsidR="00692E71" w:rsidRPr="001E3185" w:rsidRDefault="00692E71" w:rsidP="008E0250">
                  <w:pPr>
                    <w:autoSpaceDE w:val="0"/>
                    <w:autoSpaceDN w:val="0"/>
                    <w:adjustRightInd w:val="0"/>
                    <w:jc w:val="right"/>
                    <w:rPr>
                      <w:rFonts w:cs="Arial"/>
                    </w:rPr>
                  </w:pPr>
                  <w:r w:rsidRPr="001E3185">
                    <w:rPr>
                      <w:rFonts w:cs="Arial"/>
                    </w:rPr>
                    <w:t>3.38E+03</w:t>
                  </w:r>
                </w:p>
              </w:tc>
            </w:tr>
            <w:tr w:rsidR="00692E71" w:rsidRPr="001E3185" w14:paraId="03E2502D" w14:textId="77777777" w:rsidTr="008E0250">
              <w:trPr>
                <w:trHeight w:val="290"/>
                <w:jc w:val="center"/>
              </w:trPr>
              <w:tc>
                <w:tcPr>
                  <w:tcW w:w="2019" w:type="pct"/>
                  <w:shd w:val="clear" w:color="auto" w:fill="auto"/>
                </w:tcPr>
                <w:p w14:paraId="1776E032" w14:textId="77777777" w:rsidR="00692E71" w:rsidRPr="001E3185" w:rsidRDefault="00692E71" w:rsidP="008E0250">
                  <w:pPr>
                    <w:autoSpaceDE w:val="0"/>
                    <w:autoSpaceDN w:val="0"/>
                    <w:adjustRightInd w:val="0"/>
                    <w:rPr>
                      <w:rFonts w:cs="Arial"/>
                    </w:rPr>
                  </w:pPr>
                  <w:r w:rsidRPr="001E3185">
                    <w:rPr>
                      <w:rFonts w:cs="Arial"/>
                    </w:rPr>
                    <w:t>Concentration in porewater</w:t>
                  </w:r>
                </w:p>
              </w:tc>
              <w:tc>
                <w:tcPr>
                  <w:tcW w:w="919" w:type="pct"/>
                  <w:shd w:val="clear" w:color="auto" w:fill="auto"/>
                </w:tcPr>
                <w:p w14:paraId="46839636" w14:textId="77777777" w:rsidR="00692E71" w:rsidRPr="001E3185" w:rsidRDefault="00692E71" w:rsidP="008E0250">
                  <w:pPr>
                    <w:autoSpaceDE w:val="0"/>
                    <w:autoSpaceDN w:val="0"/>
                    <w:adjustRightInd w:val="0"/>
                    <w:rPr>
                      <w:rFonts w:cs="Arial"/>
                      <w:vertAlign w:val="subscript"/>
                    </w:rPr>
                  </w:pPr>
                  <w:r w:rsidRPr="001E3185">
                    <w:rPr>
                      <w:rFonts w:cs="Arial"/>
                    </w:rPr>
                    <w:t>C</w:t>
                  </w:r>
                  <w:r w:rsidRPr="001E3185">
                    <w:rPr>
                      <w:rFonts w:cs="Arial"/>
                      <w:vertAlign w:val="subscript"/>
                    </w:rPr>
                    <w:t>porewater</w:t>
                  </w:r>
                </w:p>
              </w:tc>
              <w:tc>
                <w:tcPr>
                  <w:tcW w:w="953" w:type="pct"/>
                  <w:shd w:val="clear" w:color="auto" w:fill="auto"/>
                </w:tcPr>
                <w:p w14:paraId="41266A5D" w14:textId="77777777" w:rsidR="00692E71" w:rsidRPr="001E3185" w:rsidRDefault="00692E71" w:rsidP="008E0250">
                  <w:pPr>
                    <w:autoSpaceDE w:val="0"/>
                    <w:autoSpaceDN w:val="0"/>
                    <w:adjustRightInd w:val="0"/>
                    <w:rPr>
                      <w:rFonts w:cs="Arial"/>
                    </w:rPr>
                  </w:pPr>
                  <w:r w:rsidRPr="001E3185">
                    <w:rPr>
                      <w:rFonts w:cs="Arial"/>
                    </w:rPr>
                    <w:t>[mg.L</w:t>
                  </w:r>
                  <w:r w:rsidRPr="001E3185">
                    <w:rPr>
                      <w:rFonts w:cs="Arial"/>
                      <w:vertAlign w:val="superscript"/>
                    </w:rPr>
                    <w:t>-1</w:t>
                  </w:r>
                  <w:r w:rsidRPr="001E3185">
                    <w:rPr>
                      <w:rFonts w:cs="Arial"/>
                    </w:rPr>
                    <w:t>]</w:t>
                  </w:r>
                </w:p>
              </w:tc>
              <w:tc>
                <w:tcPr>
                  <w:tcW w:w="1109" w:type="pct"/>
                  <w:shd w:val="clear" w:color="auto" w:fill="auto"/>
                </w:tcPr>
                <w:p w14:paraId="79CB35F7" w14:textId="77777777" w:rsidR="00692E71" w:rsidRPr="001E3185" w:rsidRDefault="00692E71" w:rsidP="008E0250">
                  <w:pPr>
                    <w:autoSpaceDE w:val="0"/>
                    <w:autoSpaceDN w:val="0"/>
                    <w:adjustRightInd w:val="0"/>
                    <w:jc w:val="right"/>
                    <w:rPr>
                      <w:rFonts w:cs="Arial"/>
                    </w:rPr>
                  </w:pPr>
                  <w:r w:rsidRPr="001E3185">
                    <w:rPr>
                      <w:rFonts w:cs="Arial"/>
                    </w:rPr>
                    <w:t>1.40E-07</w:t>
                  </w:r>
                </w:p>
              </w:tc>
            </w:tr>
            <w:tr w:rsidR="00692E71" w:rsidRPr="001E3185" w14:paraId="1C73559B" w14:textId="77777777" w:rsidTr="008E0250">
              <w:trPr>
                <w:trHeight w:val="290"/>
                <w:jc w:val="center"/>
              </w:trPr>
              <w:tc>
                <w:tcPr>
                  <w:tcW w:w="2019" w:type="pct"/>
                  <w:shd w:val="clear" w:color="auto" w:fill="auto"/>
                </w:tcPr>
                <w:p w14:paraId="1C2A832D" w14:textId="77777777" w:rsidR="00692E71" w:rsidRPr="001E3185" w:rsidRDefault="00692E71" w:rsidP="008E0250">
                  <w:pPr>
                    <w:autoSpaceDE w:val="0"/>
                    <w:autoSpaceDN w:val="0"/>
                    <w:adjustRightInd w:val="0"/>
                    <w:rPr>
                      <w:rFonts w:cs="Arial"/>
                    </w:rPr>
                  </w:pPr>
                  <w:r w:rsidRPr="001E3185">
                    <w:rPr>
                      <w:rFonts w:cs="Arial"/>
                    </w:rPr>
                    <w:t>Concentration in soil</w:t>
                  </w:r>
                </w:p>
              </w:tc>
              <w:tc>
                <w:tcPr>
                  <w:tcW w:w="919" w:type="pct"/>
                  <w:shd w:val="clear" w:color="auto" w:fill="auto"/>
                </w:tcPr>
                <w:p w14:paraId="25F70B00" w14:textId="77777777" w:rsidR="00692E71" w:rsidRPr="001E3185" w:rsidRDefault="00692E71" w:rsidP="008E0250">
                  <w:pPr>
                    <w:autoSpaceDE w:val="0"/>
                    <w:autoSpaceDN w:val="0"/>
                    <w:adjustRightInd w:val="0"/>
                    <w:rPr>
                      <w:rFonts w:cs="Arial"/>
                      <w:vertAlign w:val="subscript"/>
                    </w:rPr>
                  </w:pPr>
                  <w:r w:rsidRPr="001E3185">
                    <w:rPr>
                      <w:rFonts w:cs="Arial"/>
                    </w:rPr>
                    <w:t>C</w:t>
                  </w:r>
                  <w:r w:rsidRPr="001E3185">
                    <w:rPr>
                      <w:rFonts w:cs="Arial"/>
                      <w:vertAlign w:val="subscript"/>
                    </w:rPr>
                    <w:t>soil</w:t>
                  </w:r>
                </w:p>
              </w:tc>
              <w:tc>
                <w:tcPr>
                  <w:tcW w:w="953" w:type="pct"/>
                  <w:shd w:val="clear" w:color="auto" w:fill="auto"/>
                </w:tcPr>
                <w:p w14:paraId="116DB494" w14:textId="77777777" w:rsidR="00692E71" w:rsidRPr="001E3185" w:rsidRDefault="00692E71" w:rsidP="008E0250">
                  <w:pPr>
                    <w:autoSpaceDE w:val="0"/>
                    <w:autoSpaceDN w:val="0"/>
                    <w:adjustRightInd w:val="0"/>
                    <w:rPr>
                      <w:rFonts w:cs="Arial"/>
                    </w:rPr>
                  </w:pP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c>
                <w:tcPr>
                  <w:tcW w:w="1109" w:type="pct"/>
                  <w:shd w:val="clear" w:color="auto" w:fill="auto"/>
                </w:tcPr>
                <w:p w14:paraId="38B5405F" w14:textId="77777777" w:rsidR="00692E71" w:rsidRPr="001E3185" w:rsidRDefault="00692E71" w:rsidP="008E0250">
                  <w:pPr>
                    <w:autoSpaceDE w:val="0"/>
                    <w:autoSpaceDN w:val="0"/>
                    <w:adjustRightInd w:val="0"/>
                    <w:jc w:val="right"/>
                    <w:rPr>
                      <w:rFonts w:cs="Arial"/>
                    </w:rPr>
                  </w:pPr>
                  <w:r w:rsidRPr="001E3185">
                    <w:rPr>
                      <w:rFonts w:cs="Arial"/>
                    </w:rPr>
                    <w:t>1.42E-03</w:t>
                  </w:r>
                </w:p>
              </w:tc>
            </w:tr>
            <w:tr w:rsidR="00692E71" w:rsidRPr="001E3185" w14:paraId="1EBA6143" w14:textId="77777777" w:rsidTr="008E0250">
              <w:trPr>
                <w:trHeight w:val="290"/>
                <w:jc w:val="center"/>
              </w:trPr>
              <w:tc>
                <w:tcPr>
                  <w:tcW w:w="2019" w:type="pct"/>
                  <w:shd w:val="clear" w:color="auto" w:fill="auto"/>
                </w:tcPr>
                <w:p w14:paraId="0FA7CDAA" w14:textId="77777777" w:rsidR="00692E71" w:rsidRPr="001E3185" w:rsidRDefault="00692E71" w:rsidP="008E0250">
                  <w:pPr>
                    <w:autoSpaceDE w:val="0"/>
                    <w:autoSpaceDN w:val="0"/>
                    <w:adjustRightInd w:val="0"/>
                    <w:rPr>
                      <w:rFonts w:cs="Arial"/>
                    </w:rPr>
                  </w:pPr>
                  <w:r w:rsidRPr="001E3185">
                    <w:rPr>
                      <w:rFonts w:cs="Arial"/>
                    </w:rPr>
                    <w:t>Fraction of gut loading in worm</w:t>
                  </w:r>
                </w:p>
              </w:tc>
              <w:tc>
                <w:tcPr>
                  <w:tcW w:w="919" w:type="pct"/>
                  <w:shd w:val="clear" w:color="auto" w:fill="auto"/>
                </w:tcPr>
                <w:p w14:paraId="3389A8A2" w14:textId="77777777" w:rsidR="00692E71" w:rsidRPr="001E3185" w:rsidRDefault="00692E71" w:rsidP="008E0250">
                  <w:pPr>
                    <w:autoSpaceDE w:val="0"/>
                    <w:autoSpaceDN w:val="0"/>
                    <w:adjustRightInd w:val="0"/>
                    <w:rPr>
                      <w:rFonts w:cs="Arial"/>
                      <w:vertAlign w:val="subscript"/>
                    </w:rPr>
                  </w:pPr>
                  <w:r w:rsidRPr="001E3185">
                    <w:rPr>
                      <w:rFonts w:cs="Arial"/>
                    </w:rPr>
                    <w:t>F</w:t>
                  </w:r>
                  <w:r w:rsidRPr="001E3185">
                    <w:rPr>
                      <w:rFonts w:cs="Arial"/>
                      <w:vertAlign w:val="subscript"/>
                    </w:rPr>
                    <w:t>gut</w:t>
                  </w:r>
                </w:p>
              </w:tc>
              <w:tc>
                <w:tcPr>
                  <w:tcW w:w="953" w:type="pct"/>
                  <w:shd w:val="clear" w:color="auto" w:fill="auto"/>
                </w:tcPr>
                <w:p w14:paraId="43171955" w14:textId="77777777" w:rsidR="00692E71" w:rsidRPr="001E3185" w:rsidRDefault="00692E71" w:rsidP="008E0250">
                  <w:pPr>
                    <w:autoSpaceDE w:val="0"/>
                    <w:autoSpaceDN w:val="0"/>
                    <w:adjustRightInd w:val="0"/>
                    <w:rPr>
                      <w:rFonts w:cs="Arial"/>
                    </w:rPr>
                  </w:pPr>
                  <w:r w:rsidRPr="001E3185">
                    <w:rPr>
                      <w:rFonts w:cs="Arial"/>
                    </w:rPr>
                    <w:t>[kg</w:t>
                  </w:r>
                  <w:r w:rsidRPr="001E3185">
                    <w:rPr>
                      <w:rFonts w:cs="Arial"/>
                      <w:vertAlign w:val="subscript"/>
                    </w:rPr>
                    <w:t>dwt</w:t>
                  </w:r>
                  <w:r w:rsidRPr="001E3185">
                    <w:rPr>
                      <w:rFonts w:cs="Arial"/>
                    </w:rPr>
                    <w:t>.kg</w:t>
                  </w:r>
                  <w:r w:rsidRPr="001E3185">
                    <w:rPr>
                      <w:rFonts w:cs="Arial"/>
                      <w:vertAlign w:val="superscript"/>
                    </w:rPr>
                    <w:t>-1</w:t>
                  </w:r>
                  <w:r w:rsidRPr="001E3185">
                    <w:rPr>
                      <w:rFonts w:cs="Arial"/>
                      <w:vertAlign w:val="subscript"/>
                    </w:rPr>
                    <w:t>wwt</w:t>
                  </w:r>
                  <w:r w:rsidRPr="001E3185">
                    <w:rPr>
                      <w:rFonts w:cs="Arial"/>
                    </w:rPr>
                    <w:t>]</w:t>
                  </w:r>
                </w:p>
              </w:tc>
              <w:tc>
                <w:tcPr>
                  <w:tcW w:w="1109" w:type="pct"/>
                  <w:shd w:val="clear" w:color="auto" w:fill="auto"/>
                </w:tcPr>
                <w:p w14:paraId="68339A7B" w14:textId="77777777" w:rsidR="00692E71" w:rsidRPr="001E3185" w:rsidRDefault="00692E71" w:rsidP="008E0250">
                  <w:pPr>
                    <w:autoSpaceDE w:val="0"/>
                    <w:autoSpaceDN w:val="0"/>
                    <w:adjustRightInd w:val="0"/>
                    <w:jc w:val="right"/>
                    <w:rPr>
                      <w:rFonts w:cs="Arial"/>
                    </w:rPr>
                  </w:pPr>
                  <w:r w:rsidRPr="001E3185">
                    <w:rPr>
                      <w:rFonts w:cs="Arial"/>
                    </w:rPr>
                    <w:t>0.1</w:t>
                  </w:r>
                </w:p>
              </w:tc>
            </w:tr>
            <w:tr w:rsidR="00692E71" w:rsidRPr="001E3185" w14:paraId="72E75D57" w14:textId="77777777" w:rsidTr="008E0250">
              <w:trPr>
                <w:trHeight w:val="290"/>
                <w:jc w:val="center"/>
              </w:trPr>
              <w:tc>
                <w:tcPr>
                  <w:tcW w:w="2019" w:type="pct"/>
                  <w:shd w:val="clear" w:color="auto" w:fill="auto"/>
                </w:tcPr>
                <w:p w14:paraId="6F32157D" w14:textId="77777777" w:rsidR="00692E71" w:rsidRPr="001E3185" w:rsidRDefault="00692E71" w:rsidP="008E0250">
                  <w:pPr>
                    <w:autoSpaceDE w:val="0"/>
                    <w:autoSpaceDN w:val="0"/>
                    <w:adjustRightInd w:val="0"/>
                    <w:rPr>
                      <w:rFonts w:cs="Arial"/>
                    </w:rPr>
                  </w:pPr>
                  <w:r w:rsidRPr="001E3185">
                    <w:rPr>
                      <w:rFonts w:cs="Arial"/>
                    </w:rPr>
                    <w:t>Conversion factor for soil concentration wet-dry weight soil</w:t>
                  </w:r>
                </w:p>
              </w:tc>
              <w:tc>
                <w:tcPr>
                  <w:tcW w:w="919" w:type="pct"/>
                  <w:shd w:val="clear" w:color="auto" w:fill="auto"/>
                </w:tcPr>
                <w:p w14:paraId="6F6F478E" w14:textId="77777777" w:rsidR="00692E71" w:rsidRPr="001E3185" w:rsidRDefault="00692E71" w:rsidP="008E0250">
                  <w:pPr>
                    <w:autoSpaceDE w:val="0"/>
                    <w:autoSpaceDN w:val="0"/>
                    <w:adjustRightInd w:val="0"/>
                    <w:rPr>
                      <w:rFonts w:cs="Arial"/>
                      <w:vertAlign w:val="subscript"/>
                    </w:rPr>
                  </w:pPr>
                  <w:r w:rsidRPr="001E3185">
                    <w:rPr>
                      <w:rFonts w:cs="Arial"/>
                    </w:rPr>
                    <w:t>CONV</w:t>
                  </w:r>
                  <w:r w:rsidRPr="001E3185">
                    <w:rPr>
                      <w:rFonts w:cs="Arial"/>
                      <w:vertAlign w:val="subscript"/>
                    </w:rPr>
                    <w:t>soil</w:t>
                  </w:r>
                </w:p>
              </w:tc>
              <w:tc>
                <w:tcPr>
                  <w:tcW w:w="953" w:type="pct"/>
                  <w:shd w:val="clear" w:color="auto" w:fill="auto"/>
                </w:tcPr>
                <w:p w14:paraId="1B190933" w14:textId="77777777" w:rsidR="00692E71" w:rsidRPr="001E3185" w:rsidRDefault="00692E71" w:rsidP="008E0250">
                  <w:pPr>
                    <w:autoSpaceDE w:val="0"/>
                    <w:autoSpaceDN w:val="0"/>
                    <w:adjustRightInd w:val="0"/>
                    <w:rPr>
                      <w:rFonts w:cs="Arial"/>
                    </w:rPr>
                  </w:pPr>
                  <w:r w:rsidRPr="001E3185">
                    <w:rPr>
                      <w:rFonts w:cs="Arial"/>
                    </w:rPr>
                    <w:t>[kg</w:t>
                  </w:r>
                  <w:r w:rsidRPr="001E3185">
                    <w:rPr>
                      <w:rFonts w:cs="Arial"/>
                      <w:vertAlign w:val="subscript"/>
                    </w:rPr>
                    <w:t>wwt</w:t>
                  </w:r>
                  <w:r w:rsidRPr="001E3185">
                    <w:rPr>
                      <w:rFonts w:cs="Arial"/>
                    </w:rPr>
                    <w:t>.kg</w:t>
                  </w:r>
                  <w:r w:rsidRPr="001E3185">
                    <w:rPr>
                      <w:rFonts w:cs="Arial"/>
                      <w:vertAlign w:val="superscript"/>
                    </w:rPr>
                    <w:t>-1</w:t>
                  </w:r>
                  <w:r w:rsidRPr="001E3185">
                    <w:rPr>
                      <w:rFonts w:cs="Arial"/>
                      <w:vertAlign w:val="subscript"/>
                    </w:rPr>
                    <w:t>dwt</w:t>
                  </w:r>
                  <w:r w:rsidRPr="001E3185">
                    <w:rPr>
                      <w:rFonts w:cs="Arial"/>
                    </w:rPr>
                    <w:t>]</w:t>
                  </w:r>
                </w:p>
              </w:tc>
              <w:tc>
                <w:tcPr>
                  <w:tcW w:w="1109" w:type="pct"/>
                  <w:shd w:val="clear" w:color="auto" w:fill="auto"/>
                </w:tcPr>
                <w:p w14:paraId="2A82B1AF" w14:textId="77777777" w:rsidR="00692E71" w:rsidRPr="001E3185" w:rsidRDefault="00692E71" w:rsidP="008E0250">
                  <w:pPr>
                    <w:autoSpaceDE w:val="0"/>
                    <w:autoSpaceDN w:val="0"/>
                    <w:adjustRightInd w:val="0"/>
                    <w:jc w:val="right"/>
                    <w:rPr>
                      <w:rFonts w:cs="Arial"/>
                    </w:rPr>
                  </w:pPr>
                  <w:r w:rsidRPr="001E3185">
                    <w:rPr>
                      <w:rFonts w:cs="Arial"/>
                    </w:rPr>
                    <w:t>1.13</w:t>
                  </w:r>
                </w:p>
              </w:tc>
            </w:tr>
            <w:tr w:rsidR="00692E71" w:rsidRPr="001E3185" w14:paraId="0555A82E" w14:textId="77777777" w:rsidTr="008E0250">
              <w:trPr>
                <w:trHeight w:val="290"/>
                <w:jc w:val="center"/>
              </w:trPr>
              <w:tc>
                <w:tcPr>
                  <w:tcW w:w="2019" w:type="pct"/>
                  <w:shd w:val="clear" w:color="auto" w:fill="auto"/>
                </w:tcPr>
                <w:p w14:paraId="30F4B97C" w14:textId="77777777" w:rsidR="00692E71" w:rsidRPr="001E3185" w:rsidRDefault="00692E71" w:rsidP="008E0250">
                  <w:pPr>
                    <w:autoSpaceDE w:val="0"/>
                    <w:autoSpaceDN w:val="0"/>
                    <w:adjustRightInd w:val="0"/>
                    <w:rPr>
                      <w:rFonts w:cs="Arial"/>
                      <w:b/>
                    </w:rPr>
                  </w:pPr>
                  <w:r w:rsidRPr="001E3185">
                    <w:rPr>
                      <w:rFonts w:cs="Arial"/>
                      <w:b/>
                    </w:rPr>
                    <w:t>Predicted environmental concentration in food (considering that predators feed at 50% on local level)</w:t>
                  </w:r>
                </w:p>
              </w:tc>
              <w:tc>
                <w:tcPr>
                  <w:tcW w:w="919" w:type="pct"/>
                  <w:shd w:val="clear" w:color="auto" w:fill="auto"/>
                </w:tcPr>
                <w:p w14:paraId="377C8CA9" w14:textId="77777777" w:rsidR="00692E71" w:rsidRPr="001E3185" w:rsidRDefault="00692E71" w:rsidP="008E0250">
                  <w:pPr>
                    <w:autoSpaceDE w:val="0"/>
                    <w:autoSpaceDN w:val="0"/>
                    <w:adjustRightInd w:val="0"/>
                    <w:rPr>
                      <w:rFonts w:cs="Arial"/>
                      <w:b/>
                      <w:vertAlign w:val="subscript"/>
                    </w:rPr>
                  </w:pPr>
                  <w:r w:rsidRPr="001E3185">
                    <w:rPr>
                      <w:rFonts w:cs="Arial"/>
                      <w:b/>
                    </w:rPr>
                    <w:t>PEC</w:t>
                  </w:r>
                  <w:r w:rsidRPr="001E3185">
                    <w:rPr>
                      <w:rFonts w:cs="Arial"/>
                      <w:b/>
                      <w:vertAlign w:val="subscript"/>
                    </w:rPr>
                    <w:t>oral,predator</w:t>
                  </w:r>
                </w:p>
              </w:tc>
              <w:tc>
                <w:tcPr>
                  <w:tcW w:w="953" w:type="pct"/>
                  <w:shd w:val="clear" w:color="auto" w:fill="auto"/>
                </w:tcPr>
                <w:p w14:paraId="402CF53A" w14:textId="77777777" w:rsidR="00692E71" w:rsidRPr="001E3185" w:rsidRDefault="00692E71" w:rsidP="008E0250">
                  <w:pPr>
                    <w:autoSpaceDE w:val="0"/>
                    <w:autoSpaceDN w:val="0"/>
                    <w:adjustRightInd w:val="0"/>
                    <w:rPr>
                      <w:rFonts w:cs="Arial"/>
                      <w:b/>
                    </w:rPr>
                  </w:pPr>
                  <w:r w:rsidRPr="001E3185">
                    <w:rPr>
                      <w:rFonts w:cs="Arial"/>
                      <w:b/>
                    </w:rPr>
                    <w:t>[mg.kg</w:t>
                  </w:r>
                  <w:r w:rsidRPr="001E3185">
                    <w:rPr>
                      <w:rFonts w:cs="Arial"/>
                      <w:b/>
                      <w:vertAlign w:val="superscript"/>
                    </w:rPr>
                    <w:t>-1</w:t>
                  </w:r>
                  <w:r w:rsidRPr="001E3185">
                    <w:rPr>
                      <w:rFonts w:cs="Arial"/>
                      <w:b/>
                      <w:vertAlign w:val="subscript"/>
                    </w:rPr>
                    <w:t>wet earthworm</w:t>
                  </w:r>
                  <w:r w:rsidRPr="001E3185">
                    <w:rPr>
                      <w:rFonts w:cs="Arial"/>
                      <w:b/>
                    </w:rPr>
                    <w:t>]</w:t>
                  </w:r>
                </w:p>
              </w:tc>
              <w:tc>
                <w:tcPr>
                  <w:tcW w:w="1109" w:type="pct"/>
                  <w:shd w:val="clear" w:color="auto" w:fill="auto"/>
                </w:tcPr>
                <w:p w14:paraId="17C89700" w14:textId="77777777" w:rsidR="00692E71" w:rsidRPr="001E3185" w:rsidRDefault="00692E71" w:rsidP="008E0250">
                  <w:pPr>
                    <w:autoSpaceDE w:val="0"/>
                    <w:autoSpaceDN w:val="0"/>
                    <w:adjustRightInd w:val="0"/>
                    <w:jc w:val="right"/>
                    <w:rPr>
                      <w:rFonts w:cs="Arial"/>
                      <w:b/>
                    </w:rPr>
                  </w:pPr>
                  <w:r w:rsidRPr="001E3185">
                    <w:rPr>
                      <w:rFonts w:cs="Arial"/>
                      <w:b/>
                    </w:rPr>
                    <w:t>2.84E-04</w:t>
                  </w:r>
                </w:p>
              </w:tc>
            </w:tr>
          </w:tbl>
          <w:p w14:paraId="4221A3A2" w14:textId="77777777" w:rsidR="00692E71" w:rsidRPr="001E3185" w:rsidRDefault="00692E71" w:rsidP="008E0250">
            <w:pPr>
              <w:autoSpaceDE w:val="0"/>
              <w:autoSpaceDN w:val="0"/>
              <w:rPr>
                <w:rFonts w:cs="Arial"/>
              </w:rPr>
            </w:pPr>
          </w:p>
          <w:p w14:paraId="1F8F5D2A" w14:textId="77777777" w:rsidR="00692E71" w:rsidRPr="001E3185" w:rsidRDefault="00692E71" w:rsidP="008E0250">
            <w:pPr>
              <w:autoSpaceDE w:val="0"/>
              <w:autoSpaceDN w:val="0"/>
              <w:spacing w:line="276" w:lineRule="auto"/>
              <w:rPr>
                <w:rFonts w:cs="Arial"/>
              </w:rPr>
            </w:pPr>
          </w:p>
          <w:p w14:paraId="59F5C988" w14:textId="77777777" w:rsidR="00692E71" w:rsidRPr="001E3185" w:rsidRDefault="00692E71" w:rsidP="008E0250">
            <w:pPr>
              <w:autoSpaceDE w:val="0"/>
              <w:autoSpaceDN w:val="0"/>
              <w:spacing w:line="276" w:lineRule="auto"/>
              <w:rPr>
                <w:rFonts w:cs="Arial"/>
              </w:rPr>
            </w:pPr>
          </w:p>
        </w:tc>
      </w:tr>
    </w:tbl>
    <w:p w14:paraId="742218DB" w14:textId="77777777" w:rsidR="00692E71" w:rsidRPr="001E3185" w:rsidRDefault="00692E71" w:rsidP="00692E71">
      <w:pPr>
        <w:spacing w:after="200" w:line="276" w:lineRule="auto"/>
        <w:rPr>
          <w:rFonts w:cs="Arial"/>
        </w:rPr>
      </w:pPr>
    </w:p>
    <w:p w14:paraId="5B208723" w14:textId="77777777" w:rsidR="00692E71" w:rsidRPr="00B66713" w:rsidRDefault="00692E71" w:rsidP="00692E71">
      <w:pPr>
        <w:spacing w:after="200" w:line="276" w:lineRule="auto"/>
        <w:rPr>
          <w:rFonts w:ascii="Arial" w:hAnsi="Arial" w:cs="Arial"/>
        </w:rPr>
      </w:pPr>
    </w:p>
    <w:p w14:paraId="09ED340B" w14:textId="77777777" w:rsidR="00692E71" w:rsidRPr="003356DA" w:rsidRDefault="00692E71" w:rsidP="003356DA">
      <w:pPr>
        <w:pStyle w:val="Titre4"/>
      </w:pPr>
      <w:bookmarkStart w:id="146" w:name="_Toc536627324"/>
      <w:r w:rsidRPr="003356DA">
        <w:t>Risk characterisation for the environment</w:t>
      </w:r>
      <w:bookmarkEnd w:id="146"/>
    </w:p>
    <w:p w14:paraId="6BF233CE" w14:textId="77777777" w:rsidR="00692E71" w:rsidRPr="001E3185" w:rsidRDefault="00692E71" w:rsidP="00692E71">
      <w:pPr>
        <w:rPr>
          <w:rFonts w:cs="Arial"/>
          <w:highlight w:val="yellow"/>
        </w:rPr>
      </w:pPr>
    </w:p>
    <w:p w14:paraId="45BA4D50" w14:textId="77777777" w:rsidR="00692E71" w:rsidRPr="001E3185" w:rsidRDefault="00692E71" w:rsidP="00692E71">
      <w:pPr>
        <w:rPr>
          <w:rFonts w:cs="Arial"/>
        </w:rPr>
      </w:pPr>
      <w:r w:rsidRPr="001E3185">
        <w:rPr>
          <w:rFonts w:cs="Arial"/>
        </w:rPr>
        <w:t>For the assessment of the environmental fate and behaviour of the active substances contained in biocidal product, refer to the chapter on Fate and Behaviour in the environment Doc. II-A (see Letters of Access from Troy, Janssen, Lanxess and Agriphar).</w:t>
      </w:r>
    </w:p>
    <w:p w14:paraId="1734CA0F" w14:textId="77777777" w:rsidR="00692E71" w:rsidRPr="001E3185" w:rsidRDefault="00692E71" w:rsidP="00692E71">
      <w:pPr>
        <w:ind w:firstLine="708"/>
        <w:rPr>
          <w:rFonts w:cs="Arial"/>
          <w:highlight w:val="yellow"/>
        </w:rPr>
      </w:pPr>
    </w:p>
    <w:p w14:paraId="5F386CAD" w14:textId="77777777" w:rsidR="00692E71" w:rsidRPr="001E3185" w:rsidRDefault="00692E71" w:rsidP="00692E71">
      <w:pPr>
        <w:autoSpaceDE w:val="0"/>
        <w:autoSpaceDN w:val="0"/>
        <w:adjustRightInd w:val="0"/>
        <w:rPr>
          <w:rFonts w:cs="Arial"/>
        </w:rPr>
      </w:pPr>
      <w:r w:rsidRPr="001E3185">
        <w:rPr>
          <w:rFonts w:cs="Arial"/>
        </w:rPr>
        <w:lastRenderedPageBreak/>
        <w:t>The environmental risk assessment is performed only for preventive treatments by industrial dipping and for preventive treatments by professional and non-professional by brushing and spraying.</w:t>
      </w:r>
    </w:p>
    <w:p w14:paraId="12AE10C7" w14:textId="77777777" w:rsidR="00692E71" w:rsidRPr="001E3185" w:rsidRDefault="00692E71" w:rsidP="00692E71">
      <w:pPr>
        <w:autoSpaceDE w:val="0"/>
        <w:autoSpaceDN w:val="0"/>
        <w:adjustRightInd w:val="0"/>
        <w:rPr>
          <w:rFonts w:cs="Arial"/>
        </w:rPr>
      </w:pPr>
      <w:r w:rsidRPr="001E3185">
        <w:rPr>
          <w:rFonts w:cs="Arial"/>
        </w:rPr>
        <w:t>Indeed, as curative treatments are intended for the treatment of wood used in risk class 2 (wood not exposed to weathering and leaching), no emission into the environment is foreseen during the application or during the service-life of the wood.</w:t>
      </w:r>
    </w:p>
    <w:p w14:paraId="3AC6534C" w14:textId="77777777" w:rsidR="00692E71" w:rsidRPr="001E3185" w:rsidRDefault="00692E71" w:rsidP="00692E71">
      <w:pPr>
        <w:rPr>
          <w:rFonts w:cs="Arial"/>
        </w:rPr>
      </w:pPr>
    </w:p>
    <w:p w14:paraId="65765C81" w14:textId="77777777" w:rsidR="00692E71" w:rsidRPr="001E3185" w:rsidRDefault="00692E71" w:rsidP="00692E71">
      <w:pPr>
        <w:rPr>
          <w:rFonts w:cs="Arial"/>
        </w:rPr>
      </w:pPr>
      <w:r w:rsidRPr="001E3185">
        <w:rPr>
          <w:rFonts w:cs="Arial"/>
        </w:rPr>
        <w:t>Modelling based on the revised ESD was used to estimate local PECs for the product X6122B1. In the models, default values (according to the TGD) were used, unless submitted data were available in the dossier. Calculations based on both professionals and non-professionals for brushing, spraying and industrial applications are shown.</w:t>
      </w:r>
    </w:p>
    <w:p w14:paraId="08C7AF29" w14:textId="77777777" w:rsidR="00692E71" w:rsidRPr="001E3185" w:rsidRDefault="00692E71" w:rsidP="00692E71">
      <w:pPr>
        <w:rPr>
          <w:rFonts w:cs="Arial"/>
        </w:rPr>
      </w:pPr>
    </w:p>
    <w:p w14:paraId="6F9779C1" w14:textId="77777777" w:rsidR="00692E71" w:rsidRPr="001E3185" w:rsidRDefault="00692E71" w:rsidP="00692E71">
      <w:pPr>
        <w:autoSpaceDE w:val="0"/>
        <w:autoSpaceDN w:val="0"/>
        <w:adjustRightInd w:val="0"/>
        <w:rPr>
          <w:rFonts w:cs="Arial"/>
        </w:rPr>
      </w:pPr>
      <w:r w:rsidRPr="001E3185">
        <w:rPr>
          <w:rFonts w:cs="Arial"/>
        </w:rPr>
        <w:t>The following PNECs are presented in the Assessment Reports of the active substances (see Document II-B point 5, in Section 13 of the IUCLID file):</w:t>
      </w:r>
    </w:p>
    <w:p w14:paraId="2126D45B" w14:textId="77777777" w:rsidR="00692E71" w:rsidRPr="001E3185" w:rsidRDefault="00692E71" w:rsidP="00692E71">
      <w:pPr>
        <w:rPr>
          <w:rFonts w:cs="Arial"/>
        </w:rPr>
      </w:pPr>
    </w:p>
    <w:tbl>
      <w:tblPr>
        <w:tblW w:w="9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1182"/>
        <w:gridCol w:w="1797"/>
        <w:gridCol w:w="1757"/>
        <w:gridCol w:w="1752"/>
      </w:tblGrid>
      <w:tr w:rsidR="00692E71" w:rsidRPr="001E3185" w14:paraId="7E8C843E" w14:textId="77777777" w:rsidTr="008E0250">
        <w:trPr>
          <w:jc w:val="center"/>
        </w:trPr>
        <w:tc>
          <w:tcPr>
            <w:tcW w:w="3397" w:type="dxa"/>
          </w:tcPr>
          <w:p w14:paraId="69AD689E" w14:textId="77777777" w:rsidR="00692E71" w:rsidRPr="001E3185" w:rsidRDefault="00692E71" w:rsidP="008E0250">
            <w:pPr>
              <w:rPr>
                <w:rFonts w:cs="Arial"/>
              </w:rPr>
            </w:pPr>
          </w:p>
        </w:tc>
        <w:tc>
          <w:tcPr>
            <w:tcW w:w="1241" w:type="dxa"/>
            <w:vAlign w:val="center"/>
          </w:tcPr>
          <w:p w14:paraId="3C937321" w14:textId="77777777" w:rsidR="00692E71" w:rsidRPr="001E3185" w:rsidRDefault="00692E71" w:rsidP="008E0250">
            <w:pPr>
              <w:jc w:val="center"/>
              <w:rPr>
                <w:rFonts w:cs="Arial"/>
                <w:b/>
              </w:rPr>
            </w:pPr>
            <w:r w:rsidRPr="001E3185">
              <w:rPr>
                <w:rFonts w:cs="Arial"/>
                <w:b/>
              </w:rPr>
              <w:t>IPBC</w:t>
            </w:r>
          </w:p>
        </w:tc>
        <w:tc>
          <w:tcPr>
            <w:tcW w:w="1594" w:type="dxa"/>
            <w:vAlign w:val="center"/>
          </w:tcPr>
          <w:p w14:paraId="7FB48AE2" w14:textId="77777777" w:rsidR="00692E71" w:rsidRPr="001E3185" w:rsidRDefault="00692E71" w:rsidP="008E0250">
            <w:pPr>
              <w:jc w:val="center"/>
              <w:rPr>
                <w:rFonts w:cs="Arial"/>
                <w:b/>
              </w:rPr>
            </w:pPr>
            <w:r w:rsidRPr="001E3185">
              <w:rPr>
                <w:rFonts w:cs="Arial"/>
                <w:b/>
              </w:rPr>
              <w:t>Propiconazole</w:t>
            </w:r>
          </w:p>
        </w:tc>
        <w:tc>
          <w:tcPr>
            <w:tcW w:w="1477" w:type="dxa"/>
            <w:vAlign w:val="center"/>
          </w:tcPr>
          <w:p w14:paraId="4C40EE65" w14:textId="77777777" w:rsidR="00692E71" w:rsidRPr="001E3185" w:rsidRDefault="00692E71" w:rsidP="008E0250">
            <w:pPr>
              <w:jc w:val="center"/>
              <w:rPr>
                <w:rFonts w:cs="Arial"/>
                <w:b/>
              </w:rPr>
            </w:pPr>
            <w:r w:rsidRPr="001E3185">
              <w:rPr>
                <w:rFonts w:cs="Arial"/>
                <w:b/>
              </w:rPr>
              <w:t>Tebuconazole</w:t>
            </w:r>
          </w:p>
        </w:tc>
        <w:tc>
          <w:tcPr>
            <w:tcW w:w="1589" w:type="dxa"/>
            <w:vAlign w:val="center"/>
          </w:tcPr>
          <w:p w14:paraId="720680EA" w14:textId="77777777" w:rsidR="00692E71" w:rsidRPr="001E3185" w:rsidRDefault="00692E71" w:rsidP="008E0250">
            <w:pPr>
              <w:jc w:val="center"/>
              <w:rPr>
                <w:rFonts w:cs="Arial"/>
                <w:b/>
              </w:rPr>
            </w:pPr>
            <w:r w:rsidRPr="001E3185">
              <w:rPr>
                <w:rFonts w:cs="Arial"/>
                <w:b/>
              </w:rPr>
              <w:t>Cypermethrin</w:t>
            </w:r>
          </w:p>
        </w:tc>
      </w:tr>
      <w:tr w:rsidR="00692E71" w:rsidRPr="001E3185" w14:paraId="2450A8ED" w14:textId="77777777" w:rsidTr="008E0250">
        <w:trPr>
          <w:jc w:val="center"/>
        </w:trPr>
        <w:tc>
          <w:tcPr>
            <w:tcW w:w="3397" w:type="dxa"/>
            <w:vAlign w:val="center"/>
          </w:tcPr>
          <w:p w14:paraId="6FBA4CCF" w14:textId="77777777" w:rsidR="00692E71" w:rsidRPr="001E3185" w:rsidRDefault="00692E71" w:rsidP="008E0250">
            <w:pPr>
              <w:rPr>
                <w:rFonts w:cs="Arial"/>
              </w:rPr>
            </w:pPr>
            <w:r w:rsidRPr="001E3185">
              <w:rPr>
                <w:rFonts w:cs="Arial"/>
              </w:rPr>
              <w:t>PNEC</w:t>
            </w:r>
            <w:r w:rsidRPr="001E3185">
              <w:rPr>
                <w:rFonts w:cs="Arial"/>
                <w:vertAlign w:val="subscript"/>
              </w:rPr>
              <w:t xml:space="preserve">water </w:t>
            </w:r>
            <w:r w:rsidRPr="001E3185">
              <w:rPr>
                <w:rFonts w:cs="Arial"/>
              </w:rPr>
              <w:t>[µg/L]</w:t>
            </w:r>
          </w:p>
        </w:tc>
        <w:tc>
          <w:tcPr>
            <w:tcW w:w="1241" w:type="dxa"/>
            <w:vAlign w:val="center"/>
          </w:tcPr>
          <w:p w14:paraId="59219F01" w14:textId="77777777" w:rsidR="00692E71" w:rsidRPr="001E3185" w:rsidRDefault="00692E71" w:rsidP="008E0250">
            <w:pPr>
              <w:jc w:val="center"/>
              <w:rPr>
                <w:rFonts w:cs="Arial"/>
              </w:rPr>
            </w:pPr>
            <w:r w:rsidRPr="001E3185">
              <w:rPr>
                <w:rFonts w:cs="Arial"/>
              </w:rPr>
              <w:t>0.5</w:t>
            </w:r>
          </w:p>
        </w:tc>
        <w:tc>
          <w:tcPr>
            <w:tcW w:w="1594" w:type="dxa"/>
            <w:vAlign w:val="center"/>
          </w:tcPr>
          <w:p w14:paraId="79DDC24D" w14:textId="77777777" w:rsidR="00692E71" w:rsidRPr="001E3185" w:rsidRDefault="00692E71" w:rsidP="008E0250">
            <w:pPr>
              <w:jc w:val="center"/>
              <w:rPr>
                <w:rFonts w:cs="Arial"/>
              </w:rPr>
            </w:pPr>
            <w:r w:rsidRPr="001E3185">
              <w:rPr>
                <w:rFonts w:cs="Arial"/>
              </w:rPr>
              <w:t>6.8</w:t>
            </w:r>
          </w:p>
        </w:tc>
        <w:tc>
          <w:tcPr>
            <w:tcW w:w="1477" w:type="dxa"/>
            <w:vAlign w:val="center"/>
          </w:tcPr>
          <w:p w14:paraId="4B73F51D" w14:textId="77777777" w:rsidR="00692E71" w:rsidRPr="001E3185" w:rsidRDefault="00692E71" w:rsidP="008E0250">
            <w:pPr>
              <w:jc w:val="center"/>
              <w:rPr>
                <w:rFonts w:cs="Arial"/>
              </w:rPr>
            </w:pPr>
            <w:r w:rsidRPr="001E3185">
              <w:rPr>
                <w:rFonts w:cs="Arial"/>
              </w:rPr>
              <w:t>1</w:t>
            </w:r>
          </w:p>
        </w:tc>
        <w:tc>
          <w:tcPr>
            <w:tcW w:w="1589" w:type="dxa"/>
            <w:vAlign w:val="center"/>
          </w:tcPr>
          <w:p w14:paraId="3A8F3E2A" w14:textId="77777777" w:rsidR="00692E71" w:rsidRPr="001E3185" w:rsidRDefault="00692E71" w:rsidP="008E0250">
            <w:pPr>
              <w:jc w:val="center"/>
              <w:rPr>
                <w:rFonts w:cs="Arial"/>
              </w:rPr>
            </w:pPr>
            <w:r w:rsidRPr="001E3185">
              <w:rPr>
                <w:rFonts w:cs="Arial"/>
              </w:rPr>
              <w:t>0.001</w:t>
            </w:r>
          </w:p>
        </w:tc>
      </w:tr>
      <w:tr w:rsidR="00692E71" w:rsidRPr="001E3185" w14:paraId="215B4936" w14:textId="77777777" w:rsidTr="008E0250">
        <w:trPr>
          <w:jc w:val="center"/>
        </w:trPr>
        <w:tc>
          <w:tcPr>
            <w:tcW w:w="3397" w:type="dxa"/>
            <w:vAlign w:val="center"/>
          </w:tcPr>
          <w:p w14:paraId="456D5381" w14:textId="77777777" w:rsidR="00692E71" w:rsidRPr="001E3185" w:rsidRDefault="00692E71" w:rsidP="008E0250">
            <w:pPr>
              <w:rPr>
                <w:rFonts w:cs="Arial"/>
              </w:rPr>
            </w:pPr>
            <w:r w:rsidRPr="001E3185">
              <w:rPr>
                <w:rFonts w:cs="Arial"/>
              </w:rPr>
              <w:t>PNEC</w:t>
            </w:r>
            <w:r w:rsidRPr="001E3185">
              <w:rPr>
                <w:rFonts w:cs="Arial"/>
                <w:vertAlign w:val="subscript"/>
              </w:rPr>
              <w:t>sediment</w:t>
            </w:r>
            <w:r w:rsidRPr="001E3185">
              <w:rPr>
                <w:rFonts w:cs="Arial"/>
              </w:rPr>
              <w:t xml:space="preserve"> [mg/kg</w:t>
            </w:r>
            <w:r w:rsidRPr="001E3185">
              <w:rPr>
                <w:rFonts w:cs="Arial"/>
                <w:vertAlign w:val="subscript"/>
              </w:rPr>
              <w:t>wwt</w:t>
            </w:r>
            <w:r w:rsidRPr="001E3185">
              <w:rPr>
                <w:rFonts w:cs="Arial"/>
              </w:rPr>
              <w:t>]</w:t>
            </w:r>
          </w:p>
        </w:tc>
        <w:tc>
          <w:tcPr>
            <w:tcW w:w="1241" w:type="dxa"/>
            <w:vAlign w:val="center"/>
          </w:tcPr>
          <w:p w14:paraId="0E2959AD" w14:textId="77777777" w:rsidR="00692E71" w:rsidRPr="001E3185" w:rsidRDefault="00692E71" w:rsidP="008E0250">
            <w:pPr>
              <w:jc w:val="center"/>
              <w:rPr>
                <w:rFonts w:cs="Arial"/>
              </w:rPr>
            </w:pPr>
            <w:r w:rsidRPr="001E3185">
              <w:rPr>
                <w:rFonts w:cs="Arial"/>
              </w:rPr>
              <w:t>0.00176</w:t>
            </w:r>
          </w:p>
        </w:tc>
        <w:tc>
          <w:tcPr>
            <w:tcW w:w="1594" w:type="dxa"/>
            <w:vAlign w:val="center"/>
          </w:tcPr>
          <w:p w14:paraId="63620535" w14:textId="77777777" w:rsidR="00692E71" w:rsidRPr="001E3185" w:rsidRDefault="00692E71" w:rsidP="008E0250">
            <w:pPr>
              <w:jc w:val="center"/>
              <w:rPr>
                <w:rFonts w:cs="Arial"/>
              </w:rPr>
            </w:pPr>
            <w:r w:rsidRPr="001E3185">
              <w:rPr>
                <w:rFonts w:cs="Arial"/>
              </w:rPr>
              <w:t>0.054</w:t>
            </w:r>
          </w:p>
        </w:tc>
        <w:tc>
          <w:tcPr>
            <w:tcW w:w="1477" w:type="dxa"/>
            <w:vAlign w:val="center"/>
          </w:tcPr>
          <w:p w14:paraId="426EA768" w14:textId="77777777" w:rsidR="00692E71" w:rsidRPr="001E3185" w:rsidRDefault="00692E71" w:rsidP="008E0250">
            <w:pPr>
              <w:jc w:val="center"/>
              <w:rPr>
                <w:rFonts w:cs="Arial"/>
              </w:rPr>
            </w:pPr>
            <w:r w:rsidRPr="001E3185">
              <w:rPr>
                <w:rFonts w:cs="Arial"/>
              </w:rPr>
              <w:t>0.55</w:t>
            </w:r>
          </w:p>
        </w:tc>
        <w:tc>
          <w:tcPr>
            <w:tcW w:w="1589" w:type="dxa"/>
            <w:vAlign w:val="center"/>
          </w:tcPr>
          <w:p w14:paraId="2A1922DD" w14:textId="77777777" w:rsidR="00692E71" w:rsidRPr="001E3185" w:rsidRDefault="00692E71" w:rsidP="008E0250">
            <w:pPr>
              <w:jc w:val="center"/>
              <w:rPr>
                <w:rFonts w:cs="Arial"/>
              </w:rPr>
            </w:pPr>
            <w:r w:rsidRPr="001E3185">
              <w:rPr>
                <w:rFonts w:cs="Arial"/>
              </w:rPr>
              <w:t>0.125</w:t>
            </w:r>
          </w:p>
        </w:tc>
      </w:tr>
      <w:tr w:rsidR="00692E71" w:rsidRPr="001E3185" w14:paraId="1472BAFE" w14:textId="77777777" w:rsidTr="008E0250">
        <w:trPr>
          <w:jc w:val="center"/>
        </w:trPr>
        <w:tc>
          <w:tcPr>
            <w:tcW w:w="3397" w:type="dxa"/>
          </w:tcPr>
          <w:p w14:paraId="461456B0" w14:textId="77777777" w:rsidR="00692E71" w:rsidRPr="001E3185" w:rsidRDefault="00692E71" w:rsidP="008E0250">
            <w:pPr>
              <w:rPr>
                <w:rFonts w:cs="Arial"/>
              </w:rPr>
            </w:pPr>
            <w:r w:rsidRPr="001E3185">
              <w:rPr>
                <w:rFonts w:cs="Arial"/>
              </w:rPr>
              <w:t>PNEC</w:t>
            </w:r>
            <w:r w:rsidRPr="001E3185">
              <w:rPr>
                <w:rFonts w:cs="Arial"/>
                <w:vertAlign w:val="subscript"/>
              </w:rPr>
              <w:t xml:space="preserve">STP </w:t>
            </w:r>
            <w:r w:rsidRPr="001E3185">
              <w:rPr>
                <w:rFonts w:cs="Arial"/>
              </w:rPr>
              <w:t>[mg/L]</w:t>
            </w:r>
          </w:p>
        </w:tc>
        <w:tc>
          <w:tcPr>
            <w:tcW w:w="1241" w:type="dxa"/>
            <w:vAlign w:val="center"/>
          </w:tcPr>
          <w:p w14:paraId="154E6F03" w14:textId="77777777" w:rsidR="00692E71" w:rsidRPr="001E3185" w:rsidRDefault="00692E71" w:rsidP="008E0250">
            <w:pPr>
              <w:jc w:val="center"/>
              <w:rPr>
                <w:rFonts w:cs="Arial"/>
              </w:rPr>
            </w:pPr>
            <w:r w:rsidRPr="001E3185">
              <w:rPr>
                <w:rFonts w:cs="Arial"/>
              </w:rPr>
              <w:t>0.44</w:t>
            </w:r>
          </w:p>
        </w:tc>
        <w:tc>
          <w:tcPr>
            <w:tcW w:w="1594" w:type="dxa"/>
            <w:vAlign w:val="center"/>
          </w:tcPr>
          <w:p w14:paraId="7D058E18" w14:textId="77777777" w:rsidR="00692E71" w:rsidRPr="001E3185" w:rsidRDefault="00692E71" w:rsidP="008E0250">
            <w:pPr>
              <w:jc w:val="center"/>
              <w:rPr>
                <w:rFonts w:cs="Arial"/>
              </w:rPr>
            </w:pPr>
            <w:r w:rsidRPr="001E3185">
              <w:rPr>
                <w:rFonts w:cs="Arial"/>
              </w:rPr>
              <w:t>100</w:t>
            </w:r>
          </w:p>
        </w:tc>
        <w:tc>
          <w:tcPr>
            <w:tcW w:w="1477" w:type="dxa"/>
            <w:vAlign w:val="center"/>
          </w:tcPr>
          <w:p w14:paraId="59291DE9" w14:textId="77777777" w:rsidR="00692E71" w:rsidRPr="001E3185" w:rsidRDefault="00692E71" w:rsidP="008E0250">
            <w:pPr>
              <w:jc w:val="center"/>
              <w:rPr>
                <w:rFonts w:cs="Arial"/>
              </w:rPr>
            </w:pPr>
            <w:r w:rsidRPr="001E3185">
              <w:rPr>
                <w:rFonts w:cs="Arial"/>
              </w:rPr>
              <w:t>0.32</w:t>
            </w:r>
          </w:p>
        </w:tc>
        <w:tc>
          <w:tcPr>
            <w:tcW w:w="1589" w:type="dxa"/>
            <w:vAlign w:val="center"/>
          </w:tcPr>
          <w:p w14:paraId="196D62C4" w14:textId="77777777" w:rsidR="00692E71" w:rsidRPr="001E3185" w:rsidRDefault="00692E71" w:rsidP="008E0250">
            <w:pPr>
              <w:jc w:val="center"/>
              <w:rPr>
                <w:rFonts w:cs="Arial"/>
              </w:rPr>
            </w:pPr>
            <w:r w:rsidRPr="001E3185">
              <w:rPr>
                <w:rFonts w:cs="Arial"/>
              </w:rPr>
              <w:t>1.63</w:t>
            </w:r>
          </w:p>
        </w:tc>
      </w:tr>
      <w:tr w:rsidR="00692E71" w:rsidRPr="001E3185" w14:paraId="0A34A2BE" w14:textId="77777777" w:rsidTr="008E0250">
        <w:trPr>
          <w:jc w:val="center"/>
        </w:trPr>
        <w:tc>
          <w:tcPr>
            <w:tcW w:w="3397" w:type="dxa"/>
            <w:vAlign w:val="center"/>
          </w:tcPr>
          <w:p w14:paraId="107C682F" w14:textId="77777777" w:rsidR="00692E71" w:rsidRPr="001E3185" w:rsidRDefault="00692E71" w:rsidP="008E0250">
            <w:pPr>
              <w:rPr>
                <w:rFonts w:cs="Arial"/>
              </w:rPr>
            </w:pPr>
            <w:r w:rsidRPr="001E3185">
              <w:rPr>
                <w:rFonts w:cs="Arial"/>
              </w:rPr>
              <w:t>PNEC</w:t>
            </w:r>
            <w:r w:rsidRPr="001E3185">
              <w:rPr>
                <w:rFonts w:cs="Arial"/>
                <w:vertAlign w:val="subscript"/>
              </w:rPr>
              <w:t>soil</w:t>
            </w:r>
            <w:r w:rsidRPr="001E3185">
              <w:rPr>
                <w:rFonts w:cs="Arial"/>
              </w:rPr>
              <w:t xml:space="preserve"> [mg/kg</w:t>
            </w:r>
            <w:r w:rsidRPr="001E3185">
              <w:rPr>
                <w:rFonts w:cs="Arial"/>
                <w:vertAlign w:val="subscript"/>
              </w:rPr>
              <w:t>wwt</w:t>
            </w:r>
            <w:r w:rsidRPr="001E3185">
              <w:rPr>
                <w:rFonts w:cs="Arial"/>
              </w:rPr>
              <w:t>]</w:t>
            </w:r>
          </w:p>
        </w:tc>
        <w:tc>
          <w:tcPr>
            <w:tcW w:w="1241" w:type="dxa"/>
            <w:vAlign w:val="center"/>
          </w:tcPr>
          <w:p w14:paraId="0FB5989C" w14:textId="77777777" w:rsidR="00692E71" w:rsidRPr="001E3185" w:rsidRDefault="00692E71" w:rsidP="008E0250">
            <w:pPr>
              <w:jc w:val="center"/>
              <w:rPr>
                <w:rFonts w:cs="Arial"/>
              </w:rPr>
            </w:pPr>
            <w:r w:rsidRPr="001E3185">
              <w:rPr>
                <w:rFonts w:cs="Arial"/>
              </w:rPr>
              <w:t>0.0044</w:t>
            </w:r>
          </w:p>
        </w:tc>
        <w:tc>
          <w:tcPr>
            <w:tcW w:w="1594" w:type="dxa"/>
            <w:vAlign w:val="center"/>
          </w:tcPr>
          <w:p w14:paraId="44AC61BA" w14:textId="77777777" w:rsidR="00692E71" w:rsidRPr="001E3185" w:rsidRDefault="00692E71" w:rsidP="008E0250">
            <w:pPr>
              <w:jc w:val="center"/>
              <w:rPr>
                <w:rFonts w:cs="Arial"/>
              </w:rPr>
            </w:pPr>
            <w:r w:rsidRPr="001E3185">
              <w:rPr>
                <w:rFonts w:cs="Arial"/>
              </w:rPr>
              <w:t>0.1</w:t>
            </w:r>
          </w:p>
        </w:tc>
        <w:tc>
          <w:tcPr>
            <w:tcW w:w="1477" w:type="dxa"/>
            <w:vAlign w:val="center"/>
          </w:tcPr>
          <w:p w14:paraId="242DFA3C" w14:textId="77777777" w:rsidR="00692E71" w:rsidRPr="001E3185" w:rsidRDefault="00692E71" w:rsidP="008E0250">
            <w:pPr>
              <w:jc w:val="center"/>
              <w:rPr>
                <w:rFonts w:cs="Arial"/>
              </w:rPr>
            </w:pPr>
            <w:r w:rsidRPr="001E3185">
              <w:rPr>
                <w:rFonts w:cs="Arial"/>
              </w:rPr>
              <w:t>0.1</w:t>
            </w:r>
          </w:p>
        </w:tc>
        <w:tc>
          <w:tcPr>
            <w:tcW w:w="1589" w:type="dxa"/>
            <w:vAlign w:val="center"/>
          </w:tcPr>
          <w:p w14:paraId="12E58539" w14:textId="77777777" w:rsidR="00692E71" w:rsidRPr="001E3185" w:rsidRDefault="00692E71" w:rsidP="008E0250">
            <w:pPr>
              <w:jc w:val="center"/>
              <w:rPr>
                <w:rFonts w:cs="Arial"/>
              </w:rPr>
            </w:pPr>
            <w:r w:rsidRPr="001E3185">
              <w:rPr>
                <w:rFonts w:cs="Arial"/>
              </w:rPr>
              <w:t>0.088</w:t>
            </w:r>
          </w:p>
        </w:tc>
      </w:tr>
      <w:tr w:rsidR="00692E71" w:rsidRPr="001E3185" w14:paraId="2D9B8471" w14:textId="77777777" w:rsidTr="008E0250">
        <w:trPr>
          <w:jc w:val="center"/>
        </w:trPr>
        <w:tc>
          <w:tcPr>
            <w:tcW w:w="3397" w:type="dxa"/>
            <w:vAlign w:val="center"/>
          </w:tcPr>
          <w:p w14:paraId="20540DFF" w14:textId="77777777" w:rsidR="00692E71" w:rsidRPr="001E3185" w:rsidRDefault="00692E71" w:rsidP="008E0250">
            <w:pPr>
              <w:rPr>
                <w:rFonts w:cs="Arial"/>
              </w:rPr>
            </w:pPr>
            <w:r w:rsidRPr="001E3185">
              <w:rPr>
                <w:rFonts w:cs="Arial"/>
              </w:rPr>
              <w:t>Groundwater threshold value</w:t>
            </w:r>
            <w:r w:rsidRPr="001E3185">
              <w:rPr>
                <w:rFonts w:cs="Arial"/>
                <w:vertAlign w:val="subscript"/>
              </w:rPr>
              <w:t xml:space="preserve"> </w:t>
            </w:r>
            <w:r w:rsidRPr="001E3185">
              <w:rPr>
                <w:rFonts w:cs="Arial"/>
              </w:rPr>
              <w:t>[µg/L]</w:t>
            </w:r>
          </w:p>
        </w:tc>
        <w:tc>
          <w:tcPr>
            <w:tcW w:w="5901" w:type="dxa"/>
            <w:gridSpan w:val="4"/>
            <w:vAlign w:val="center"/>
          </w:tcPr>
          <w:p w14:paraId="53A9A13D" w14:textId="77777777" w:rsidR="00692E71" w:rsidRPr="001E3185" w:rsidRDefault="00692E71" w:rsidP="008E0250">
            <w:pPr>
              <w:jc w:val="center"/>
              <w:rPr>
                <w:rFonts w:cs="Arial"/>
              </w:rPr>
            </w:pPr>
            <w:r w:rsidRPr="001E3185">
              <w:rPr>
                <w:rFonts w:cs="Arial"/>
              </w:rPr>
              <w:t>0.1</w:t>
            </w:r>
          </w:p>
        </w:tc>
      </w:tr>
    </w:tbl>
    <w:p w14:paraId="4234B061" w14:textId="77777777" w:rsidR="00692E71" w:rsidRPr="001E3185" w:rsidRDefault="00692E71" w:rsidP="00692E71">
      <w:pPr>
        <w:rPr>
          <w:rFonts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9"/>
      </w:tblGrid>
      <w:tr w:rsidR="00692E71" w:rsidRPr="001E3185" w14:paraId="2D847425" w14:textId="77777777" w:rsidTr="008E0250">
        <w:tc>
          <w:tcPr>
            <w:tcW w:w="5000" w:type="pct"/>
            <w:shd w:val="clear" w:color="auto" w:fill="D6E3BC"/>
          </w:tcPr>
          <w:p w14:paraId="7A5F3E18"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8</w:t>
            </w:r>
            <w:r w:rsidRPr="001E3185">
              <w:rPr>
                <w:rFonts w:ascii="Verdana" w:hAnsi="Verdana"/>
                <w:noProof/>
              </w:rPr>
              <w:fldChar w:fldCharType="end"/>
            </w:r>
          </w:p>
          <w:p w14:paraId="32DE1C26" w14:textId="77777777" w:rsidR="00692E71" w:rsidRPr="001E3185" w:rsidRDefault="00692E71" w:rsidP="008E0250">
            <w:pPr>
              <w:pStyle w:val="Lgende"/>
              <w:rPr>
                <w:rFonts w:ascii="Verdana" w:hAnsi="Verdana"/>
              </w:rPr>
            </w:pPr>
            <w:r w:rsidRPr="001E3185">
              <w:rPr>
                <w:rFonts w:ascii="Verdana" w:hAnsi="Verdana"/>
              </w:rPr>
              <w:t>Summary of the PNEC values for each active substance and their relevant metabolites used by FR-CA for the product-environmental risk assessment according to the list of endpoints validated at EU level</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82"/>
              <w:gridCol w:w="1134"/>
              <w:gridCol w:w="1134"/>
              <w:gridCol w:w="1134"/>
              <w:gridCol w:w="1134"/>
              <w:gridCol w:w="1134"/>
              <w:gridCol w:w="1134"/>
            </w:tblGrid>
            <w:tr w:rsidR="00692E71" w:rsidRPr="00E27E98" w14:paraId="1CD1F5BA" w14:textId="77777777" w:rsidTr="0039605F">
              <w:tc>
                <w:tcPr>
                  <w:tcW w:w="1413" w:type="dxa"/>
                  <w:shd w:val="clear" w:color="auto" w:fill="auto"/>
                  <w:vAlign w:val="center"/>
                </w:tcPr>
                <w:p w14:paraId="0DEABA58" w14:textId="77777777" w:rsidR="00692E71" w:rsidRPr="0039605F" w:rsidRDefault="00692E71" w:rsidP="008E0250">
                  <w:pPr>
                    <w:autoSpaceDE w:val="0"/>
                    <w:autoSpaceDN w:val="0"/>
                    <w:rPr>
                      <w:rFonts w:cs="Arial"/>
                      <w:b/>
                      <w:sz w:val="18"/>
                    </w:rPr>
                  </w:pPr>
                  <w:r w:rsidRPr="0039605F">
                    <w:rPr>
                      <w:rFonts w:cs="Arial"/>
                      <w:b/>
                      <w:sz w:val="18"/>
                    </w:rPr>
                    <w:t>PNEC</w:t>
                  </w:r>
                </w:p>
              </w:tc>
              <w:tc>
                <w:tcPr>
                  <w:tcW w:w="1182" w:type="dxa"/>
                  <w:shd w:val="clear" w:color="auto" w:fill="auto"/>
                  <w:vAlign w:val="center"/>
                </w:tcPr>
                <w:p w14:paraId="00FB81F6" w14:textId="77777777" w:rsidR="00692E71" w:rsidRPr="0039605F" w:rsidRDefault="00692E71" w:rsidP="008E0250">
                  <w:pPr>
                    <w:autoSpaceDE w:val="0"/>
                    <w:autoSpaceDN w:val="0"/>
                    <w:jc w:val="center"/>
                    <w:rPr>
                      <w:rFonts w:cs="Arial"/>
                      <w:b/>
                      <w:sz w:val="18"/>
                    </w:rPr>
                  </w:pPr>
                  <w:r w:rsidRPr="0039605F">
                    <w:rPr>
                      <w:rFonts w:cs="Arial"/>
                      <w:b/>
                      <w:sz w:val="18"/>
                    </w:rPr>
                    <w:t>Unit</w:t>
                  </w:r>
                </w:p>
              </w:tc>
              <w:tc>
                <w:tcPr>
                  <w:tcW w:w="1134" w:type="dxa"/>
                  <w:shd w:val="clear" w:color="auto" w:fill="auto"/>
                  <w:vAlign w:val="center"/>
                </w:tcPr>
                <w:p w14:paraId="4BB5727D" w14:textId="77777777" w:rsidR="00692E71" w:rsidRPr="0039605F" w:rsidRDefault="00692E71" w:rsidP="008E0250">
                  <w:pPr>
                    <w:autoSpaceDE w:val="0"/>
                    <w:autoSpaceDN w:val="0"/>
                    <w:jc w:val="center"/>
                    <w:rPr>
                      <w:rFonts w:cs="Arial"/>
                      <w:b/>
                      <w:sz w:val="18"/>
                    </w:rPr>
                  </w:pPr>
                  <w:r w:rsidRPr="0039605F">
                    <w:rPr>
                      <w:rFonts w:cs="Arial"/>
                      <w:b/>
                      <w:sz w:val="18"/>
                    </w:rPr>
                    <w:t>Cyper-</w:t>
                  </w:r>
                </w:p>
                <w:p w14:paraId="0AF60121" w14:textId="77777777" w:rsidR="00692E71" w:rsidRPr="0039605F" w:rsidRDefault="00692E71" w:rsidP="008E0250">
                  <w:pPr>
                    <w:autoSpaceDE w:val="0"/>
                    <w:autoSpaceDN w:val="0"/>
                    <w:jc w:val="center"/>
                    <w:rPr>
                      <w:rFonts w:cs="Arial"/>
                      <w:b/>
                      <w:sz w:val="18"/>
                    </w:rPr>
                  </w:pPr>
                  <w:r w:rsidRPr="0039605F">
                    <w:rPr>
                      <w:rFonts w:cs="Arial"/>
                      <w:b/>
                      <w:sz w:val="18"/>
                    </w:rPr>
                    <w:t>methrin</w:t>
                  </w:r>
                </w:p>
              </w:tc>
              <w:tc>
                <w:tcPr>
                  <w:tcW w:w="1134" w:type="dxa"/>
                  <w:shd w:val="clear" w:color="auto" w:fill="auto"/>
                  <w:vAlign w:val="center"/>
                </w:tcPr>
                <w:p w14:paraId="1A95F428" w14:textId="77777777" w:rsidR="00692E71" w:rsidRPr="0039605F" w:rsidRDefault="00692E71" w:rsidP="008E0250">
                  <w:pPr>
                    <w:autoSpaceDE w:val="0"/>
                    <w:autoSpaceDN w:val="0"/>
                    <w:jc w:val="center"/>
                    <w:rPr>
                      <w:rFonts w:cs="Arial"/>
                      <w:b/>
                      <w:sz w:val="18"/>
                    </w:rPr>
                  </w:pPr>
                  <w:r w:rsidRPr="0039605F">
                    <w:rPr>
                      <w:rFonts w:cs="Arial"/>
                      <w:b/>
                      <w:sz w:val="18"/>
                    </w:rPr>
                    <w:t>Tebuco-</w:t>
                  </w:r>
                </w:p>
                <w:p w14:paraId="05C4599C" w14:textId="77777777" w:rsidR="00692E71" w:rsidRPr="0039605F" w:rsidRDefault="00692E71" w:rsidP="008E0250">
                  <w:pPr>
                    <w:autoSpaceDE w:val="0"/>
                    <w:autoSpaceDN w:val="0"/>
                    <w:jc w:val="center"/>
                    <w:rPr>
                      <w:rFonts w:cs="Arial"/>
                      <w:b/>
                      <w:sz w:val="18"/>
                    </w:rPr>
                  </w:pPr>
                  <w:r w:rsidRPr="0039605F">
                    <w:rPr>
                      <w:rFonts w:cs="Arial"/>
                      <w:b/>
                      <w:sz w:val="18"/>
                    </w:rPr>
                    <w:t>nazole</w:t>
                  </w:r>
                </w:p>
              </w:tc>
              <w:tc>
                <w:tcPr>
                  <w:tcW w:w="1134" w:type="dxa"/>
                  <w:shd w:val="clear" w:color="auto" w:fill="auto"/>
                  <w:vAlign w:val="center"/>
                </w:tcPr>
                <w:p w14:paraId="58AE5631" w14:textId="77777777" w:rsidR="00692E71" w:rsidRPr="0039605F" w:rsidRDefault="00692E71" w:rsidP="008E0250">
                  <w:pPr>
                    <w:autoSpaceDE w:val="0"/>
                    <w:autoSpaceDN w:val="0"/>
                    <w:jc w:val="center"/>
                    <w:rPr>
                      <w:rFonts w:cs="Arial"/>
                      <w:b/>
                      <w:sz w:val="18"/>
                    </w:rPr>
                  </w:pPr>
                  <w:r w:rsidRPr="0039605F">
                    <w:rPr>
                      <w:rFonts w:cs="Arial"/>
                      <w:b/>
                      <w:sz w:val="18"/>
                    </w:rPr>
                    <w:t>Propico-</w:t>
                  </w:r>
                </w:p>
                <w:p w14:paraId="332D6932" w14:textId="77777777" w:rsidR="00692E71" w:rsidRPr="0039605F" w:rsidRDefault="00692E71" w:rsidP="008E0250">
                  <w:pPr>
                    <w:autoSpaceDE w:val="0"/>
                    <w:autoSpaceDN w:val="0"/>
                    <w:jc w:val="center"/>
                    <w:rPr>
                      <w:rFonts w:cs="Arial"/>
                      <w:b/>
                      <w:sz w:val="18"/>
                    </w:rPr>
                  </w:pPr>
                  <w:r w:rsidRPr="0039605F">
                    <w:rPr>
                      <w:rFonts w:cs="Arial"/>
                      <w:b/>
                      <w:sz w:val="18"/>
                    </w:rPr>
                    <w:t>nazole</w:t>
                  </w:r>
                </w:p>
              </w:tc>
              <w:tc>
                <w:tcPr>
                  <w:tcW w:w="1134" w:type="dxa"/>
                  <w:shd w:val="clear" w:color="auto" w:fill="auto"/>
                  <w:vAlign w:val="center"/>
                </w:tcPr>
                <w:p w14:paraId="7029835F" w14:textId="77777777" w:rsidR="00692E71" w:rsidRPr="0039605F" w:rsidRDefault="00692E71" w:rsidP="008E0250">
                  <w:pPr>
                    <w:autoSpaceDE w:val="0"/>
                    <w:autoSpaceDN w:val="0"/>
                    <w:jc w:val="center"/>
                    <w:rPr>
                      <w:rFonts w:cs="Arial"/>
                      <w:b/>
                      <w:sz w:val="18"/>
                    </w:rPr>
                  </w:pPr>
                  <w:r w:rsidRPr="0039605F">
                    <w:rPr>
                      <w:rFonts w:cs="Arial"/>
                      <w:b/>
                      <w:sz w:val="18"/>
                    </w:rPr>
                    <w:t>1,2,4-triazole</w:t>
                  </w:r>
                </w:p>
              </w:tc>
              <w:tc>
                <w:tcPr>
                  <w:tcW w:w="1134" w:type="dxa"/>
                  <w:vAlign w:val="center"/>
                </w:tcPr>
                <w:p w14:paraId="03A1B60C" w14:textId="77777777" w:rsidR="00692E71" w:rsidRPr="0039605F" w:rsidRDefault="00692E71" w:rsidP="008E0250">
                  <w:pPr>
                    <w:autoSpaceDE w:val="0"/>
                    <w:autoSpaceDN w:val="0"/>
                    <w:jc w:val="center"/>
                    <w:rPr>
                      <w:rFonts w:cs="Arial"/>
                      <w:b/>
                      <w:sz w:val="18"/>
                    </w:rPr>
                  </w:pPr>
                  <w:r w:rsidRPr="0039605F">
                    <w:rPr>
                      <w:rFonts w:cs="Arial"/>
                      <w:b/>
                      <w:sz w:val="18"/>
                    </w:rPr>
                    <w:t>IPBC</w:t>
                  </w:r>
                </w:p>
              </w:tc>
              <w:tc>
                <w:tcPr>
                  <w:tcW w:w="1134" w:type="dxa"/>
                  <w:vAlign w:val="center"/>
                </w:tcPr>
                <w:p w14:paraId="6DD19870" w14:textId="77777777" w:rsidR="00692E71" w:rsidRPr="0039605F" w:rsidRDefault="00692E71" w:rsidP="008E0250">
                  <w:pPr>
                    <w:autoSpaceDE w:val="0"/>
                    <w:autoSpaceDN w:val="0"/>
                    <w:jc w:val="center"/>
                    <w:rPr>
                      <w:rFonts w:cs="Arial"/>
                      <w:b/>
                      <w:sz w:val="18"/>
                    </w:rPr>
                  </w:pPr>
                  <w:r w:rsidRPr="0039605F">
                    <w:rPr>
                      <w:rFonts w:cs="Arial"/>
                      <w:b/>
                      <w:sz w:val="18"/>
                    </w:rPr>
                    <w:t>PBC</w:t>
                  </w:r>
                </w:p>
              </w:tc>
            </w:tr>
            <w:tr w:rsidR="00692E71" w:rsidRPr="00E27E98" w14:paraId="042E2FAD" w14:textId="77777777" w:rsidTr="0039605F">
              <w:trPr>
                <w:trHeight w:val="397"/>
              </w:trPr>
              <w:tc>
                <w:tcPr>
                  <w:tcW w:w="1413" w:type="dxa"/>
                  <w:shd w:val="clear" w:color="auto" w:fill="auto"/>
                  <w:vAlign w:val="center"/>
                </w:tcPr>
                <w:p w14:paraId="3DCCAFEB"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STP</w:t>
                  </w:r>
                </w:p>
              </w:tc>
              <w:tc>
                <w:tcPr>
                  <w:tcW w:w="1182" w:type="dxa"/>
                  <w:shd w:val="clear" w:color="auto" w:fill="auto"/>
                  <w:vAlign w:val="center"/>
                </w:tcPr>
                <w:p w14:paraId="7085B1EB" w14:textId="77777777" w:rsidR="00692E71" w:rsidRPr="0039605F" w:rsidRDefault="00692E71" w:rsidP="008E0250">
                  <w:pPr>
                    <w:autoSpaceDE w:val="0"/>
                    <w:autoSpaceDN w:val="0"/>
                    <w:rPr>
                      <w:rFonts w:cs="Arial"/>
                      <w:sz w:val="18"/>
                    </w:rPr>
                  </w:pPr>
                  <w:r w:rsidRPr="0039605F">
                    <w:rPr>
                      <w:rFonts w:cs="Arial"/>
                      <w:sz w:val="18"/>
                    </w:rPr>
                    <w:t>[mg/L]</w:t>
                  </w:r>
                </w:p>
              </w:tc>
              <w:tc>
                <w:tcPr>
                  <w:tcW w:w="1134" w:type="dxa"/>
                  <w:shd w:val="clear" w:color="auto" w:fill="auto"/>
                  <w:vAlign w:val="center"/>
                </w:tcPr>
                <w:p w14:paraId="5407859F" w14:textId="77777777" w:rsidR="00692E71" w:rsidRPr="0039605F" w:rsidRDefault="00692E71" w:rsidP="008E0250">
                  <w:pPr>
                    <w:autoSpaceDE w:val="0"/>
                    <w:autoSpaceDN w:val="0"/>
                    <w:jc w:val="center"/>
                    <w:rPr>
                      <w:rFonts w:cs="Arial"/>
                      <w:sz w:val="18"/>
                    </w:rPr>
                  </w:pPr>
                  <w:r w:rsidRPr="0039605F">
                    <w:rPr>
                      <w:rFonts w:cs="Arial"/>
                      <w:sz w:val="18"/>
                    </w:rPr>
                    <w:t>1.63E+00</w:t>
                  </w:r>
                </w:p>
              </w:tc>
              <w:tc>
                <w:tcPr>
                  <w:tcW w:w="1134" w:type="dxa"/>
                  <w:shd w:val="clear" w:color="auto" w:fill="auto"/>
                  <w:vAlign w:val="center"/>
                </w:tcPr>
                <w:p w14:paraId="3F9E0B57" w14:textId="77777777" w:rsidR="00692E71" w:rsidRPr="0039605F" w:rsidRDefault="00692E71" w:rsidP="008E0250">
                  <w:pPr>
                    <w:autoSpaceDE w:val="0"/>
                    <w:autoSpaceDN w:val="0"/>
                    <w:jc w:val="center"/>
                    <w:rPr>
                      <w:rFonts w:cs="Arial"/>
                      <w:sz w:val="18"/>
                    </w:rPr>
                  </w:pPr>
                  <w:r w:rsidRPr="0039605F">
                    <w:rPr>
                      <w:rFonts w:cs="Arial"/>
                      <w:sz w:val="18"/>
                    </w:rPr>
                    <w:t>3.20E-01</w:t>
                  </w:r>
                </w:p>
              </w:tc>
              <w:tc>
                <w:tcPr>
                  <w:tcW w:w="1134" w:type="dxa"/>
                  <w:shd w:val="clear" w:color="auto" w:fill="auto"/>
                  <w:vAlign w:val="center"/>
                </w:tcPr>
                <w:p w14:paraId="2D25D5A2" w14:textId="77777777" w:rsidR="00692E71" w:rsidRPr="0039605F" w:rsidRDefault="00692E71" w:rsidP="008E0250">
                  <w:pPr>
                    <w:autoSpaceDE w:val="0"/>
                    <w:autoSpaceDN w:val="0"/>
                    <w:jc w:val="center"/>
                    <w:rPr>
                      <w:rFonts w:cs="Arial"/>
                      <w:sz w:val="18"/>
                    </w:rPr>
                  </w:pPr>
                  <w:r w:rsidRPr="0039605F">
                    <w:rPr>
                      <w:rFonts w:cs="Arial"/>
                      <w:sz w:val="18"/>
                    </w:rPr>
                    <w:t>1.00E+02</w:t>
                  </w:r>
                </w:p>
              </w:tc>
              <w:tc>
                <w:tcPr>
                  <w:tcW w:w="1134" w:type="dxa"/>
                  <w:shd w:val="clear" w:color="auto" w:fill="auto"/>
                  <w:vAlign w:val="center"/>
                </w:tcPr>
                <w:p w14:paraId="1F817734"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44C6C714" w14:textId="77777777" w:rsidR="00692E71" w:rsidRPr="0039605F" w:rsidRDefault="00692E71" w:rsidP="008E0250">
                  <w:pPr>
                    <w:autoSpaceDE w:val="0"/>
                    <w:autoSpaceDN w:val="0"/>
                    <w:jc w:val="center"/>
                    <w:rPr>
                      <w:rFonts w:cs="Arial"/>
                      <w:sz w:val="18"/>
                    </w:rPr>
                  </w:pPr>
                  <w:r w:rsidRPr="0039605F">
                    <w:rPr>
                      <w:rFonts w:cs="Arial"/>
                      <w:sz w:val="18"/>
                    </w:rPr>
                    <w:t>0.44</w:t>
                  </w:r>
                </w:p>
              </w:tc>
              <w:tc>
                <w:tcPr>
                  <w:tcW w:w="1134" w:type="dxa"/>
                  <w:vAlign w:val="center"/>
                </w:tcPr>
                <w:p w14:paraId="18D02528" w14:textId="77777777" w:rsidR="00692E71" w:rsidRPr="0039605F" w:rsidRDefault="00692E71" w:rsidP="008E0250">
                  <w:pPr>
                    <w:autoSpaceDE w:val="0"/>
                    <w:autoSpaceDN w:val="0"/>
                    <w:jc w:val="center"/>
                    <w:rPr>
                      <w:rFonts w:cs="Arial"/>
                      <w:sz w:val="18"/>
                    </w:rPr>
                  </w:pPr>
                  <w:r w:rsidRPr="0039605F">
                    <w:rPr>
                      <w:rFonts w:cs="Arial"/>
                      <w:sz w:val="18"/>
                    </w:rPr>
                    <w:t>0.44</w:t>
                  </w:r>
                </w:p>
              </w:tc>
            </w:tr>
            <w:tr w:rsidR="00692E71" w:rsidRPr="00E27E98" w14:paraId="7448194E" w14:textId="77777777" w:rsidTr="0039605F">
              <w:trPr>
                <w:trHeight w:val="397"/>
              </w:trPr>
              <w:tc>
                <w:tcPr>
                  <w:tcW w:w="1413" w:type="dxa"/>
                  <w:shd w:val="clear" w:color="auto" w:fill="auto"/>
                  <w:vAlign w:val="center"/>
                </w:tcPr>
                <w:p w14:paraId="7AE79F8A"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water</w:t>
                  </w:r>
                </w:p>
              </w:tc>
              <w:tc>
                <w:tcPr>
                  <w:tcW w:w="1182" w:type="dxa"/>
                  <w:shd w:val="clear" w:color="auto" w:fill="auto"/>
                  <w:vAlign w:val="center"/>
                </w:tcPr>
                <w:p w14:paraId="22E06AF8" w14:textId="77777777" w:rsidR="00692E71" w:rsidRPr="0039605F" w:rsidRDefault="00692E71" w:rsidP="008E0250">
                  <w:pPr>
                    <w:autoSpaceDE w:val="0"/>
                    <w:autoSpaceDN w:val="0"/>
                    <w:rPr>
                      <w:rFonts w:cs="Arial"/>
                      <w:sz w:val="18"/>
                    </w:rPr>
                  </w:pPr>
                  <w:r w:rsidRPr="0039605F">
                    <w:rPr>
                      <w:rFonts w:cs="Arial"/>
                      <w:sz w:val="18"/>
                    </w:rPr>
                    <w:t>[µg/L]</w:t>
                  </w:r>
                </w:p>
              </w:tc>
              <w:tc>
                <w:tcPr>
                  <w:tcW w:w="1134" w:type="dxa"/>
                  <w:shd w:val="clear" w:color="auto" w:fill="auto"/>
                  <w:vAlign w:val="center"/>
                </w:tcPr>
                <w:p w14:paraId="16746D0F" w14:textId="77777777" w:rsidR="00692E71" w:rsidRPr="0039605F" w:rsidRDefault="00692E71" w:rsidP="008E0250">
                  <w:pPr>
                    <w:autoSpaceDE w:val="0"/>
                    <w:autoSpaceDN w:val="0"/>
                    <w:jc w:val="center"/>
                    <w:rPr>
                      <w:rFonts w:cs="Arial"/>
                      <w:sz w:val="18"/>
                    </w:rPr>
                  </w:pPr>
                  <w:r w:rsidRPr="0039605F">
                    <w:rPr>
                      <w:rFonts w:cs="Arial"/>
                      <w:sz w:val="18"/>
                    </w:rPr>
                    <w:t>4.00E-03</w:t>
                  </w:r>
                  <w:r w:rsidRPr="0039605F">
                    <w:rPr>
                      <w:rFonts w:cs="Arial"/>
                      <w:sz w:val="18"/>
                      <w:vertAlign w:val="superscript"/>
                    </w:rPr>
                    <w:t>(1)</w:t>
                  </w:r>
                </w:p>
              </w:tc>
              <w:tc>
                <w:tcPr>
                  <w:tcW w:w="1134" w:type="dxa"/>
                  <w:shd w:val="clear" w:color="auto" w:fill="auto"/>
                  <w:vAlign w:val="center"/>
                </w:tcPr>
                <w:p w14:paraId="0B889E70" w14:textId="77777777" w:rsidR="00692E71" w:rsidRPr="0039605F" w:rsidRDefault="00692E71" w:rsidP="008E0250">
                  <w:pPr>
                    <w:autoSpaceDE w:val="0"/>
                    <w:autoSpaceDN w:val="0"/>
                    <w:jc w:val="center"/>
                    <w:rPr>
                      <w:rFonts w:cs="Arial"/>
                      <w:sz w:val="18"/>
                    </w:rPr>
                  </w:pPr>
                  <w:r w:rsidRPr="0039605F">
                    <w:rPr>
                      <w:rFonts w:cs="Arial"/>
                      <w:sz w:val="18"/>
                    </w:rPr>
                    <w:t>1.00E+00</w:t>
                  </w:r>
                </w:p>
              </w:tc>
              <w:tc>
                <w:tcPr>
                  <w:tcW w:w="1134" w:type="dxa"/>
                  <w:shd w:val="clear" w:color="auto" w:fill="auto"/>
                  <w:vAlign w:val="center"/>
                </w:tcPr>
                <w:p w14:paraId="1332D4D4" w14:textId="77777777" w:rsidR="00692E71" w:rsidRPr="0039605F" w:rsidRDefault="00692E71" w:rsidP="008E0250">
                  <w:pPr>
                    <w:autoSpaceDE w:val="0"/>
                    <w:autoSpaceDN w:val="0"/>
                    <w:jc w:val="center"/>
                    <w:rPr>
                      <w:rFonts w:cs="Arial"/>
                      <w:sz w:val="18"/>
                    </w:rPr>
                  </w:pPr>
                  <w:r w:rsidRPr="0039605F">
                    <w:rPr>
                      <w:rFonts w:cs="Arial"/>
                      <w:sz w:val="18"/>
                    </w:rPr>
                    <w:t>6.80E+00</w:t>
                  </w:r>
                </w:p>
              </w:tc>
              <w:tc>
                <w:tcPr>
                  <w:tcW w:w="1134" w:type="dxa"/>
                  <w:shd w:val="clear" w:color="auto" w:fill="auto"/>
                  <w:vAlign w:val="center"/>
                </w:tcPr>
                <w:p w14:paraId="201B8DF4"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5C218150" w14:textId="77777777" w:rsidR="00692E71" w:rsidRPr="0039605F" w:rsidRDefault="00692E71" w:rsidP="008E0250">
                  <w:pPr>
                    <w:autoSpaceDE w:val="0"/>
                    <w:autoSpaceDN w:val="0"/>
                    <w:jc w:val="center"/>
                    <w:rPr>
                      <w:rFonts w:cs="Arial"/>
                      <w:sz w:val="18"/>
                    </w:rPr>
                  </w:pPr>
                  <w:r w:rsidRPr="0039605F">
                    <w:rPr>
                      <w:rFonts w:cs="Arial"/>
                      <w:sz w:val="18"/>
                    </w:rPr>
                    <w:t>5.00E-01</w:t>
                  </w:r>
                </w:p>
              </w:tc>
              <w:tc>
                <w:tcPr>
                  <w:tcW w:w="1134" w:type="dxa"/>
                  <w:vAlign w:val="center"/>
                </w:tcPr>
                <w:p w14:paraId="0C6AB255" w14:textId="77777777" w:rsidR="00692E71" w:rsidRPr="0039605F" w:rsidRDefault="00692E71" w:rsidP="008E0250">
                  <w:pPr>
                    <w:autoSpaceDE w:val="0"/>
                    <w:autoSpaceDN w:val="0"/>
                    <w:jc w:val="center"/>
                    <w:rPr>
                      <w:rFonts w:cs="Arial"/>
                      <w:sz w:val="18"/>
                    </w:rPr>
                  </w:pPr>
                  <w:r w:rsidRPr="0039605F">
                    <w:rPr>
                      <w:rFonts w:cs="Arial"/>
                      <w:sz w:val="18"/>
                    </w:rPr>
                    <w:t>4.13E+01</w:t>
                  </w:r>
                </w:p>
              </w:tc>
            </w:tr>
            <w:tr w:rsidR="00692E71" w:rsidRPr="00E27E98" w14:paraId="781D0C73" w14:textId="77777777" w:rsidTr="0039605F">
              <w:trPr>
                <w:trHeight w:val="397"/>
              </w:trPr>
              <w:tc>
                <w:tcPr>
                  <w:tcW w:w="1413" w:type="dxa"/>
                  <w:shd w:val="clear" w:color="auto" w:fill="auto"/>
                  <w:vAlign w:val="center"/>
                </w:tcPr>
                <w:p w14:paraId="0CFFA88B"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sediment</w:t>
                  </w:r>
                </w:p>
              </w:tc>
              <w:tc>
                <w:tcPr>
                  <w:tcW w:w="1182" w:type="dxa"/>
                  <w:shd w:val="clear" w:color="auto" w:fill="auto"/>
                  <w:vAlign w:val="center"/>
                </w:tcPr>
                <w:p w14:paraId="46F1A2DB" w14:textId="77777777" w:rsidR="00692E71" w:rsidRPr="0039605F" w:rsidRDefault="00692E71" w:rsidP="008E0250">
                  <w:pPr>
                    <w:autoSpaceDE w:val="0"/>
                    <w:autoSpaceDN w:val="0"/>
                    <w:rPr>
                      <w:rFonts w:cs="Arial"/>
                      <w:sz w:val="18"/>
                    </w:rPr>
                  </w:pPr>
                  <w:r w:rsidRPr="0039605F">
                    <w:rPr>
                      <w:rFonts w:cs="Arial"/>
                      <w:sz w:val="18"/>
                    </w:rPr>
                    <w:t>[mg/kg</w:t>
                  </w:r>
                  <w:r w:rsidRPr="0039605F">
                    <w:rPr>
                      <w:rFonts w:cs="Arial"/>
                      <w:sz w:val="18"/>
                      <w:vertAlign w:val="subscript"/>
                    </w:rPr>
                    <w:t>wwt</w:t>
                  </w:r>
                  <w:r w:rsidRPr="0039605F">
                    <w:rPr>
                      <w:rFonts w:cs="Arial"/>
                      <w:sz w:val="18"/>
                    </w:rPr>
                    <w:t>]</w:t>
                  </w:r>
                </w:p>
              </w:tc>
              <w:tc>
                <w:tcPr>
                  <w:tcW w:w="1134" w:type="dxa"/>
                  <w:shd w:val="clear" w:color="auto" w:fill="auto"/>
                  <w:vAlign w:val="center"/>
                </w:tcPr>
                <w:p w14:paraId="3F01748A" w14:textId="77777777" w:rsidR="00692E71" w:rsidRPr="0039605F" w:rsidRDefault="00692E71" w:rsidP="008E0250">
                  <w:pPr>
                    <w:autoSpaceDE w:val="0"/>
                    <w:autoSpaceDN w:val="0"/>
                    <w:jc w:val="center"/>
                    <w:rPr>
                      <w:rFonts w:cs="Arial"/>
                      <w:sz w:val="18"/>
                    </w:rPr>
                  </w:pPr>
                  <w:r w:rsidRPr="0039605F">
                    <w:rPr>
                      <w:rFonts w:cs="Arial"/>
                      <w:sz w:val="18"/>
                    </w:rPr>
                    <w:t>5.00E-02</w:t>
                  </w:r>
                </w:p>
              </w:tc>
              <w:tc>
                <w:tcPr>
                  <w:tcW w:w="1134" w:type="dxa"/>
                  <w:shd w:val="clear" w:color="auto" w:fill="auto"/>
                  <w:vAlign w:val="center"/>
                </w:tcPr>
                <w:p w14:paraId="35E0A8D3" w14:textId="77777777" w:rsidR="00692E71" w:rsidRPr="0039605F" w:rsidRDefault="00692E71" w:rsidP="008E0250">
                  <w:pPr>
                    <w:autoSpaceDE w:val="0"/>
                    <w:autoSpaceDN w:val="0"/>
                    <w:jc w:val="center"/>
                    <w:rPr>
                      <w:rFonts w:cs="Arial"/>
                      <w:sz w:val="18"/>
                    </w:rPr>
                  </w:pPr>
                  <w:r w:rsidRPr="0039605F">
                    <w:rPr>
                      <w:rFonts w:cs="Arial"/>
                      <w:sz w:val="18"/>
                    </w:rPr>
                    <w:t>5.50E-01</w:t>
                  </w:r>
                </w:p>
              </w:tc>
              <w:tc>
                <w:tcPr>
                  <w:tcW w:w="1134" w:type="dxa"/>
                  <w:shd w:val="clear" w:color="auto" w:fill="auto"/>
                  <w:vAlign w:val="center"/>
                </w:tcPr>
                <w:p w14:paraId="06B98690" w14:textId="77777777" w:rsidR="00692E71" w:rsidRPr="0039605F" w:rsidRDefault="00692E71" w:rsidP="008E0250">
                  <w:pPr>
                    <w:autoSpaceDE w:val="0"/>
                    <w:autoSpaceDN w:val="0"/>
                    <w:jc w:val="center"/>
                    <w:rPr>
                      <w:rFonts w:cs="Arial"/>
                      <w:sz w:val="18"/>
                    </w:rPr>
                  </w:pPr>
                  <w:r w:rsidRPr="0039605F">
                    <w:rPr>
                      <w:rFonts w:cs="Arial"/>
                      <w:sz w:val="18"/>
                    </w:rPr>
                    <w:t>5.40E-02</w:t>
                  </w:r>
                </w:p>
              </w:tc>
              <w:tc>
                <w:tcPr>
                  <w:tcW w:w="1134" w:type="dxa"/>
                  <w:shd w:val="clear" w:color="auto" w:fill="auto"/>
                  <w:vAlign w:val="center"/>
                </w:tcPr>
                <w:p w14:paraId="166C08F9"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49A0F6F2" w14:textId="77777777" w:rsidR="00692E71" w:rsidRPr="0039605F" w:rsidRDefault="00692E71" w:rsidP="008E0250">
                  <w:pPr>
                    <w:autoSpaceDE w:val="0"/>
                    <w:autoSpaceDN w:val="0"/>
                    <w:jc w:val="center"/>
                    <w:rPr>
                      <w:rFonts w:cs="Arial"/>
                      <w:sz w:val="18"/>
                    </w:rPr>
                  </w:pPr>
                  <w:r w:rsidRPr="0039605F">
                    <w:rPr>
                      <w:rFonts w:cs="Arial"/>
                      <w:sz w:val="18"/>
                    </w:rPr>
                    <w:t>1.85E-03</w:t>
                  </w:r>
                </w:p>
              </w:tc>
              <w:tc>
                <w:tcPr>
                  <w:tcW w:w="1134" w:type="dxa"/>
                  <w:vAlign w:val="center"/>
                </w:tcPr>
                <w:p w14:paraId="3F2E8E7C" w14:textId="77777777" w:rsidR="00692E71" w:rsidRPr="0039605F" w:rsidRDefault="00692E71" w:rsidP="008E0250">
                  <w:pPr>
                    <w:autoSpaceDE w:val="0"/>
                    <w:autoSpaceDN w:val="0"/>
                    <w:jc w:val="center"/>
                    <w:rPr>
                      <w:rFonts w:cs="Arial"/>
                      <w:sz w:val="18"/>
                    </w:rPr>
                  </w:pPr>
                  <w:r w:rsidRPr="0039605F">
                    <w:rPr>
                      <w:rFonts w:cs="Arial"/>
                      <w:sz w:val="18"/>
                    </w:rPr>
                    <w:t>2.10E-01</w:t>
                  </w:r>
                </w:p>
              </w:tc>
            </w:tr>
            <w:tr w:rsidR="00692E71" w:rsidRPr="00E27E98" w14:paraId="6AFE9832" w14:textId="77777777" w:rsidTr="0039605F">
              <w:trPr>
                <w:trHeight w:val="397"/>
              </w:trPr>
              <w:tc>
                <w:tcPr>
                  <w:tcW w:w="1413" w:type="dxa"/>
                  <w:shd w:val="clear" w:color="auto" w:fill="auto"/>
                  <w:vAlign w:val="center"/>
                </w:tcPr>
                <w:p w14:paraId="0D739D14"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soil</w:t>
                  </w:r>
                </w:p>
              </w:tc>
              <w:tc>
                <w:tcPr>
                  <w:tcW w:w="1182" w:type="dxa"/>
                  <w:shd w:val="clear" w:color="auto" w:fill="auto"/>
                  <w:vAlign w:val="center"/>
                </w:tcPr>
                <w:p w14:paraId="275DC123" w14:textId="77777777" w:rsidR="00692E71" w:rsidRPr="0039605F" w:rsidRDefault="00692E71" w:rsidP="008E0250">
                  <w:pPr>
                    <w:autoSpaceDE w:val="0"/>
                    <w:autoSpaceDN w:val="0"/>
                    <w:rPr>
                      <w:rFonts w:cs="Arial"/>
                      <w:sz w:val="18"/>
                    </w:rPr>
                  </w:pPr>
                  <w:r w:rsidRPr="0039605F">
                    <w:rPr>
                      <w:rFonts w:cs="Arial"/>
                      <w:sz w:val="18"/>
                    </w:rPr>
                    <w:t>[mg/kg</w:t>
                  </w:r>
                  <w:r w:rsidRPr="0039605F">
                    <w:rPr>
                      <w:rFonts w:cs="Arial"/>
                      <w:sz w:val="18"/>
                      <w:vertAlign w:val="subscript"/>
                    </w:rPr>
                    <w:t>wwt</w:t>
                  </w:r>
                  <w:r w:rsidRPr="0039605F">
                    <w:rPr>
                      <w:rFonts w:cs="Arial"/>
                      <w:sz w:val="18"/>
                    </w:rPr>
                    <w:t>]</w:t>
                  </w:r>
                </w:p>
              </w:tc>
              <w:tc>
                <w:tcPr>
                  <w:tcW w:w="1134" w:type="dxa"/>
                  <w:shd w:val="clear" w:color="auto" w:fill="auto"/>
                  <w:vAlign w:val="center"/>
                </w:tcPr>
                <w:p w14:paraId="52C73062" w14:textId="77777777" w:rsidR="00692E71" w:rsidRPr="0039605F" w:rsidRDefault="00692E71" w:rsidP="008E0250">
                  <w:pPr>
                    <w:autoSpaceDE w:val="0"/>
                    <w:autoSpaceDN w:val="0"/>
                    <w:jc w:val="center"/>
                    <w:rPr>
                      <w:rFonts w:cs="Arial"/>
                      <w:sz w:val="18"/>
                    </w:rPr>
                  </w:pPr>
                  <w:r w:rsidRPr="0039605F">
                    <w:rPr>
                      <w:rFonts w:cs="Arial"/>
                      <w:sz w:val="18"/>
                    </w:rPr>
                    <w:t>9.18E-02</w:t>
                  </w:r>
                </w:p>
              </w:tc>
              <w:tc>
                <w:tcPr>
                  <w:tcW w:w="1134" w:type="dxa"/>
                  <w:shd w:val="clear" w:color="auto" w:fill="auto"/>
                  <w:vAlign w:val="center"/>
                </w:tcPr>
                <w:p w14:paraId="3E98032F" w14:textId="77777777" w:rsidR="00692E71" w:rsidRPr="0039605F" w:rsidRDefault="00692E71" w:rsidP="008E0250">
                  <w:pPr>
                    <w:autoSpaceDE w:val="0"/>
                    <w:autoSpaceDN w:val="0"/>
                    <w:jc w:val="center"/>
                    <w:rPr>
                      <w:rFonts w:cs="Arial"/>
                      <w:sz w:val="18"/>
                    </w:rPr>
                  </w:pPr>
                  <w:r w:rsidRPr="0039605F">
                    <w:rPr>
                      <w:rFonts w:cs="Arial"/>
                      <w:sz w:val="18"/>
                    </w:rPr>
                    <w:t>1.00E-01</w:t>
                  </w:r>
                </w:p>
              </w:tc>
              <w:tc>
                <w:tcPr>
                  <w:tcW w:w="1134" w:type="dxa"/>
                  <w:shd w:val="clear" w:color="auto" w:fill="auto"/>
                  <w:vAlign w:val="center"/>
                </w:tcPr>
                <w:p w14:paraId="68BEE4E8" w14:textId="77777777" w:rsidR="00692E71" w:rsidRPr="0039605F" w:rsidRDefault="00692E71" w:rsidP="008E0250">
                  <w:pPr>
                    <w:autoSpaceDE w:val="0"/>
                    <w:autoSpaceDN w:val="0"/>
                    <w:jc w:val="center"/>
                    <w:rPr>
                      <w:rFonts w:cs="Arial"/>
                      <w:sz w:val="18"/>
                    </w:rPr>
                  </w:pPr>
                  <w:r w:rsidRPr="0039605F">
                    <w:rPr>
                      <w:rFonts w:cs="Arial"/>
                      <w:sz w:val="18"/>
                    </w:rPr>
                    <w:t>1.00E-01</w:t>
                  </w:r>
                </w:p>
              </w:tc>
              <w:tc>
                <w:tcPr>
                  <w:tcW w:w="1134" w:type="dxa"/>
                  <w:shd w:val="clear" w:color="auto" w:fill="auto"/>
                  <w:vAlign w:val="center"/>
                </w:tcPr>
                <w:p w14:paraId="7E609961" w14:textId="77777777" w:rsidR="00692E71" w:rsidRPr="0039605F" w:rsidRDefault="00692E71" w:rsidP="008E0250">
                  <w:pPr>
                    <w:autoSpaceDE w:val="0"/>
                    <w:autoSpaceDN w:val="0"/>
                    <w:jc w:val="center"/>
                    <w:rPr>
                      <w:rFonts w:cs="Arial"/>
                      <w:sz w:val="18"/>
                    </w:rPr>
                  </w:pPr>
                  <w:r w:rsidRPr="0039605F">
                    <w:rPr>
                      <w:rFonts w:cs="Arial"/>
                      <w:sz w:val="18"/>
                    </w:rPr>
                    <w:t>8.20E-03</w:t>
                  </w:r>
                </w:p>
              </w:tc>
              <w:tc>
                <w:tcPr>
                  <w:tcW w:w="1134" w:type="dxa"/>
                  <w:vAlign w:val="center"/>
                </w:tcPr>
                <w:p w14:paraId="5AE91D2A" w14:textId="77777777" w:rsidR="00692E71" w:rsidRPr="0039605F" w:rsidRDefault="00692E71" w:rsidP="008E0250">
                  <w:pPr>
                    <w:autoSpaceDE w:val="0"/>
                    <w:autoSpaceDN w:val="0"/>
                    <w:jc w:val="center"/>
                    <w:rPr>
                      <w:rFonts w:cs="Arial"/>
                      <w:sz w:val="18"/>
                    </w:rPr>
                  </w:pPr>
                  <w:r w:rsidRPr="0039605F">
                    <w:rPr>
                      <w:rFonts w:cs="Arial"/>
                      <w:sz w:val="18"/>
                    </w:rPr>
                    <w:t>4.40E-03</w:t>
                  </w:r>
                </w:p>
              </w:tc>
              <w:tc>
                <w:tcPr>
                  <w:tcW w:w="1134" w:type="dxa"/>
                  <w:vAlign w:val="center"/>
                </w:tcPr>
                <w:p w14:paraId="3C10C912" w14:textId="77777777" w:rsidR="00692E71" w:rsidRPr="0039605F" w:rsidRDefault="00692E71" w:rsidP="008E0250">
                  <w:pPr>
                    <w:autoSpaceDE w:val="0"/>
                    <w:autoSpaceDN w:val="0"/>
                    <w:jc w:val="center"/>
                    <w:rPr>
                      <w:rFonts w:cs="Arial"/>
                      <w:sz w:val="18"/>
                    </w:rPr>
                  </w:pPr>
                  <w:r w:rsidRPr="0039605F">
                    <w:rPr>
                      <w:rFonts w:cs="Arial"/>
                      <w:sz w:val="18"/>
                    </w:rPr>
                    <w:t>1.49E-01</w:t>
                  </w:r>
                </w:p>
              </w:tc>
            </w:tr>
            <w:tr w:rsidR="00692E71" w:rsidRPr="00E27E98" w14:paraId="7DD94539" w14:textId="77777777" w:rsidTr="0039605F">
              <w:trPr>
                <w:trHeight w:val="397"/>
              </w:trPr>
              <w:tc>
                <w:tcPr>
                  <w:tcW w:w="1413" w:type="dxa"/>
                  <w:shd w:val="clear" w:color="auto" w:fill="auto"/>
                  <w:vAlign w:val="center"/>
                </w:tcPr>
                <w:p w14:paraId="44219C24"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oral,bird</w:t>
                  </w:r>
                </w:p>
              </w:tc>
              <w:tc>
                <w:tcPr>
                  <w:tcW w:w="1182" w:type="dxa"/>
                  <w:shd w:val="clear" w:color="auto" w:fill="auto"/>
                  <w:vAlign w:val="center"/>
                </w:tcPr>
                <w:p w14:paraId="586FF328" w14:textId="77777777" w:rsidR="00692E71" w:rsidRPr="0039605F" w:rsidRDefault="00692E71" w:rsidP="008E0250">
                  <w:pPr>
                    <w:autoSpaceDE w:val="0"/>
                    <w:autoSpaceDN w:val="0"/>
                    <w:rPr>
                      <w:rFonts w:cs="Arial"/>
                      <w:sz w:val="18"/>
                    </w:rPr>
                  </w:pPr>
                  <w:r w:rsidRPr="0039605F">
                    <w:rPr>
                      <w:rFonts w:cs="Arial"/>
                      <w:sz w:val="18"/>
                    </w:rPr>
                    <w:t>[mg/kg</w:t>
                  </w:r>
                  <w:r w:rsidRPr="0039605F">
                    <w:rPr>
                      <w:rFonts w:cs="Arial"/>
                      <w:sz w:val="18"/>
                      <w:vertAlign w:val="subscript"/>
                    </w:rPr>
                    <w:t>food</w:t>
                  </w:r>
                  <w:r w:rsidRPr="0039605F">
                    <w:rPr>
                      <w:rFonts w:cs="Arial"/>
                      <w:sz w:val="18"/>
                    </w:rPr>
                    <w:t>]</w:t>
                  </w:r>
                </w:p>
              </w:tc>
              <w:tc>
                <w:tcPr>
                  <w:tcW w:w="1134" w:type="dxa"/>
                  <w:shd w:val="clear" w:color="auto" w:fill="auto"/>
                  <w:vAlign w:val="center"/>
                </w:tcPr>
                <w:p w14:paraId="59D03CD1" w14:textId="77777777" w:rsidR="00692E71" w:rsidRPr="0039605F" w:rsidRDefault="00692E71" w:rsidP="008E0250">
                  <w:pPr>
                    <w:autoSpaceDE w:val="0"/>
                    <w:autoSpaceDN w:val="0"/>
                    <w:jc w:val="center"/>
                    <w:rPr>
                      <w:rFonts w:cs="Arial"/>
                      <w:sz w:val="18"/>
                    </w:rPr>
                  </w:pPr>
                  <w:r w:rsidRPr="0039605F">
                    <w:rPr>
                      <w:rFonts w:cs="Arial"/>
                      <w:sz w:val="18"/>
                    </w:rPr>
                    <w:t>3.33E+01</w:t>
                  </w:r>
                </w:p>
              </w:tc>
              <w:tc>
                <w:tcPr>
                  <w:tcW w:w="1134" w:type="dxa"/>
                  <w:shd w:val="clear" w:color="auto" w:fill="auto"/>
                  <w:vAlign w:val="center"/>
                </w:tcPr>
                <w:p w14:paraId="24B9FE5C"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shd w:val="clear" w:color="auto" w:fill="auto"/>
                  <w:vAlign w:val="center"/>
                </w:tcPr>
                <w:p w14:paraId="0E5FE07F"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shd w:val="clear" w:color="auto" w:fill="auto"/>
                  <w:vAlign w:val="center"/>
                </w:tcPr>
                <w:p w14:paraId="0F343025"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6027C445"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70A17A2F" w14:textId="77777777" w:rsidR="00692E71" w:rsidRPr="0039605F" w:rsidRDefault="00692E71" w:rsidP="008E0250">
                  <w:pPr>
                    <w:autoSpaceDE w:val="0"/>
                    <w:autoSpaceDN w:val="0"/>
                    <w:jc w:val="center"/>
                    <w:rPr>
                      <w:rFonts w:cs="Arial"/>
                      <w:sz w:val="18"/>
                    </w:rPr>
                  </w:pPr>
                  <w:r w:rsidRPr="0039605F">
                    <w:rPr>
                      <w:rFonts w:cs="Arial"/>
                      <w:sz w:val="18"/>
                    </w:rPr>
                    <w:t>n.r.</w:t>
                  </w:r>
                </w:p>
              </w:tc>
            </w:tr>
            <w:tr w:rsidR="00692E71" w:rsidRPr="00E27E98" w14:paraId="7C1E1C41" w14:textId="77777777" w:rsidTr="0039605F">
              <w:trPr>
                <w:trHeight w:val="397"/>
              </w:trPr>
              <w:tc>
                <w:tcPr>
                  <w:tcW w:w="1413" w:type="dxa"/>
                  <w:shd w:val="clear" w:color="auto" w:fill="auto"/>
                  <w:vAlign w:val="center"/>
                </w:tcPr>
                <w:p w14:paraId="13418822"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oral,mammals</w:t>
                  </w:r>
                </w:p>
              </w:tc>
              <w:tc>
                <w:tcPr>
                  <w:tcW w:w="1182" w:type="dxa"/>
                  <w:shd w:val="clear" w:color="auto" w:fill="auto"/>
                  <w:vAlign w:val="center"/>
                </w:tcPr>
                <w:p w14:paraId="54102D88" w14:textId="77777777" w:rsidR="00692E71" w:rsidRPr="0039605F" w:rsidRDefault="00692E71" w:rsidP="008E0250">
                  <w:pPr>
                    <w:autoSpaceDE w:val="0"/>
                    <w:autoSpaceDN w:val="0"/>
                    <w:rPr>
                      <w:rFonts w:cs="Arial"/>
                      <w:sz w:val="18"/>
                    </w:rPr>
                  </w:pPr>
                  <w:r w:rsidRPr="0039605F">
                    <w:rPr>
                      <w:rFonts w:cs="Arial"/>
                      <w:sz w:val="18"/>
                    </w:rPr>
                    <w:t>[mg/kg</w:t>
                  </w:r>
                  <w:r w:rsidRPr="0039605F">
                    <w:rPr>
                      <w:rFonts w:cs="Arial"/>
                      <w:sz w:val="18"/>
                      <w:vertAlign w:val="subscript"/>
                    </w:rPr>
                    <w:t>food</w:t>
                  </w:r>
                  <w:r w:rsidRPr="0039605F">
                    <w:rPr>
                      <w:rFonts w:cs="Arial"/>
                      <w:sz w:val="18"/>
                    </w:rPr>
                    <w:t>]</w:t>
                  </w:r>
                </w:p>
              </w:tc>
              <w:tc>
                <w:tcPr>
                  <w:tcW w:w="1134" w:type="dxa"/>
                  <w:shd w:val="clear" w:color="auto" w:fill="auto"/>
                  <w:vAlign w:val="center"/>
                </w:tcPr>
                <w:p w14:paraId="0BAFA88E" w14:textId="77777777" w:rsidR="00692E71" w:rsidRPr="0039605F" w:rsidRDefault="00692E71" w:rsidP="008E0250">
                  <w:pPr>
                    <w:autoSpaceDE w:val="0"/>
                    <w:autoSpaceDN w:val="0"/>
                    <w:jc w:val="center"/>
                    <w:rPr>
                      <w:rFonts w:cs="Arial"/>
                      <w:sz w:val="18"/>
                    </w:rPr>
                  </w:pPr>
                  <w:r w:rsidRPr="0039605F">
                    <w:rPr>
                      <w:rFonts w:cs="Arial"/>
                      <w:sz w:val="18"/>
                    </w:rPr>
                    <w:t>3.33E+00</w:t>
                  </w:r>
                </w:p>
              </w:tc>
              <w:tc>
                <w:tcPr>
                  <w:tcW w:w="1134" w:type="dxa"/>
                  <w:shd w:val="clear" w:color="auto" w:fill="auto"/>
                  <w:vAlign w:val="center"/>
                </w:tcPr>
                <w:p w14:paraId="6CE20382"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shd w:val="clear" w:color="auto" w:fill="auto"/>
                  <w:vAlign w:val="center"/>
                </w:tcPr>
                <w:p w14:paraId="35AD8DB6"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shd w:val="clear" w:color="auto" w:fill="auto"/>
                  <w:vAlign w:val="center"/>
                </w:tcPr>
                <w:p w14:paraId="5E223FC7"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62F5AC21"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05D94AFA" w14:textId="77777777" w:rsidR="00692E71" w:rsidRPr="0039605F" w:rsidRDefault="00692E71" w:rsidP="008E0250">
                  <w:pPr>
                    <w:autoSpaceDE w:val="0"/>
                    <w:autoSpaceDN w:val="0"/>
                    <w:jc w:val="center"/>
                    <w:rPr>
                      <w:rFonts w:cs="Arial"/>
                      <w:sz w:val="18"/>
                    </w:rPr>
                  </w:pPr>
                  <w:r w:rsidRPr="0039605F">
                    <w:rPr>
                      <w:rFonts w:cs="Arial"/>
                      <w:sz w:val="18"/>
                    </w:rPr>
                    <w:t>n.r.</w:t>
                  </w:r>
                </w:p>
              </w:tc>
            </w:tr>
          </w:tbl>
          <w:p w14:paraId="2A2ED5BD" w14:textId="77777777" w:rsidR="00692E71" w:rsidRPr="0039605F" w:rsidRDefault="00692E71" w:rsidP="008E0250">
            <w:pPr>
              <w:autoSpaceDE w:val="0"/>
              <w:autoSpaceDN w:val="0"/>
              <w:rPr>
                <w:rFonts w:cs="Arial"/>
                <w:sz w:val="18"/>
              </w:rPr>
            </w:pPr>
            <w:r w:rsidRPr="0039605F">
              <w:rPr>
                <w:rFonts w:cs="Arial"/>
                <w:sz w:val="18"/>
              </w:rPr>
              <w:t>n.r: not relevant</w:t>
            </w:r>
          </w:p>
          <w:p w14:paraId="61CA6B55" w14:textId="77777777" w:rsidR="00692E71" w:rsidRPr="001E3185" w:rsidRDefault="00692E71" w:rsidP="008E0250">
            <w:pPr>
              <w:rPr>
                <w:rFonts w:cs="Arial"/>
              </w:rPr>
            </w:pPr>
            <w:proofErr w:type="gramStart"/>
            <w:r w:rsidRPr="0039605F">
              <w:rPr>
                <w:rFonts w:cs="Arial"/>
                <w:sz w:val="18"/>
              </w:rPr>
              <w:t>’(</w:t>
            </w:r>
            <w:proofErr w:type="gramEnd"/>
            <w:r w:rsidRPr="0039605F">
              <w:rPr>
                <w:rFonts w:cs="Arial"/>
                <w:sz w:val="18"/>
              </w:rPr>
              <w:t>1) According to the WGIV2016, a robust NOEC fish of 0.4 µg.L-1 is considered to derive the PNEC</w:t>
            </w:r>
            <w:r w:rsidRPr="0039605F">
              <w:rPr>
                <w:rFonts w:cs="Arial"/>
                <w:sz w:val="18"/>
                <w:vertAlign w:val="subscript"/>
              </w:rPr>
              <w:t>water</w:t>
            </w:r>
            <w:r w:rsidRPr="0039605F">
              <w:rPr>
                <w:rFonts w:cs="Arial"/>
                <w:sz w:val="18"/>
              </w:rPr>
              <w:t xml:space="preserve"> for Cypermethrin with an assessment factor of 100.</w:t>
            </w:r>
          </w:p>
        </w:tc>
      </w:tr>
    </w:tbl>
    <w:p w14:paraId="4D68883B" w14:textId="77777777" w:rsidR="00692E71" w:rsidRPr="00575E63" w:rsidRDefault="00692E71" w:rsidP="00692E71">
      <w:pPr>
        <w:rPr>
          <w:rFonts w:ascii="Arial" w:hAnsi="Arial" w:cs="Arial"/>
          <w:highlight w:val="yellow"/>
        </w:rPr>
      </w:pPr>
    </w:p>
    <w:p w14:paraId="3E3F22A4" w14:textId="77777777" w:rsidR="00692E71" w:rsidRPr="003356DA" w:rsidRDefault="00692E71" w:rsidP="003356DA">
      <w:pPr>
        <w:pStyle w:val="Titre5"/>
      </w:pPr>
      <w:bookmarkStart w:id="147" w:name="_Toc238543519"/>
      <w:bookmarkStart w:id="148" w:name="_Toc420432119"/>
      <w:r w:rsidRPr="003356DA">
        <w:t>A</w:t>
      </w:r>
      <w:bookmarkEnd w:id="147"/>
      <w:r w:rsidRPr="003356DA">
        <w:t>quatic compartment (Including sediments)</w:t>
      </w:r>
      <w:bookmarkEnd w:id="148"/>
    </w:p>
    <w:p w14:paraId="1720B3F0" w14:textId="77777777" w:rsidR="00692E71" w:rsidRPr="001E3185" w:rsidRDefault="00692E71" w:rsidP="00692E71">
      <w:pPr>
        <w:pStyle w:val="Titre4"/>
        <w:numPr>
          <w:ilvl w:val="0"/>
          <w:numId w:val="0"/>
        </w:numPr>
        <w:rPr>
          <w:lang w:val="en-GB"/>
        </w:rPr>
      </w:pPr>
    </w:p>
    <w:p w14:paraId="5CA3C72B" w14:textId="77777777" w:rsidR="00692E71" w:rsidRPr="001E3185" w:rsidRDefault="00692E71" w:rsidP="00692E71">
      <w:pPr>
        <w:rPr>
          <w:rFonts w:cs="Arial"/>
          <w:b/>
          <w:u w:val="single"/>
        </w:rPr>
      </w:pPr>
      <w:r w:rsidRPr="001E3185">
        <w:rPr>
          <w:rFonts w:cs="Arial"/>
          <w:b/>
          <w:u w:val="single"/>
        </w:rPr>
        <w:t>- Substances</w:t>
      </w:r>
    </w:p>
    <w:p w14:paraId="121C9351" w14:textId="77777777" w:rsidR="00692E71" w:rsidRPr="001E3185" w:rsidRDefault="00692E71" w:rsidP="00692E71">
      <w:pPr>
        <w:rPr>
          <w:rFonts w:cs="Arial"/>
        </w:rPr>
      </w:pPr>
    </w:p>
    <w:p w14:paraId="6D4C43F8" w14:textId="77777777" w:rsidR="00692E71" w:rsidRPr="001E3185" w:rsidRDefault="00692E71" w:rsidP="00692E71">
      <w:pPr>
        <w:pStyle w:val="Lgende"/>
        <w:rPr>
          <w:rFonts w:ascii="Verdana" w:hAnsi="Verdana"/>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47</w:t>
      </w:r>
      <w:r w:rsidRPr="001E3185">
        <w:rPr>
          <w:rFonts w:ascii="Verdana" w:hAnsi="Verdana"/>
        </w:rPr>
        <w:fldChar w:fldCharType="end"/>
      </w:r>
      <w:r w:rsidRPr="001E3185">
        <w:rPr>
          <w:rFonts w:ascii="Verdana" w:hAnsi="Verdana"/>
        </w:rPr>
        <w:t>: PEC/PNEC ratios for the aquatic compartment, industrial application, storage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92"/>
        <w:gridCol w:w="1180"/>
        <w:gridCol w:w="1088"/>
        <w:gridCol w:w="1218"/>
      </w:tblGrid>
      <w:tr w:rsidR="00692E71" w:rsidRPr="001E3185" w14:paraId="416DEDEC" w14:textId="77777777" w:rsidTr="008E0250">
        <w:trPr>
          <w:trHeight w:val="20"/>
          <w:tblHeader/>
        </w:trPr>
        <w:tc>
          <w:tcPr>
            <w:tcW w:w="3614" w:type="dxa"/>
            <w:shd w:val="clear" w:color="auto" w:fill="FFFFFF"/>
            <w:noWrap/>
            <w:vAlign w:val="bottom"/>
          </w:tcPr>
          <w:p w14:paraId="21D86E1E" w14:textId="77777777" w:rsidR="00692E71" w:rsidRPr="001E3185" w:rsidRDefault="00692E71" w:rsidP="008E0250">
            <w:pPr>
              <w:rPr>
                <w:rFonts w:cs="Arial"/>
                <w:lang w:eastAsia="da-DK"/>
              </w:rPr>
            </w:pPr>
          </w:p>
        </w:tc>
        <w:tc>
          <w:tcPr>
            <w:tcW w:w="992" w:type="dxa"/>
            <w:shd w:val="clear" w:color="auto" w:fill="FFFFFF"/>
            <w:noWrap/>
            <w:vAlign w:val="center"/>
          </w:tcPr>
          <w:p w14:paraId="07053378" w14:textId="77777777" w:rsidR="00692E71" w:rsidRPr="001E3185" w:rsidRDefault="00692E71" w:rsidP="008E0250">
            <w:pPr>
              <w:jc w:val="center"/>
              <w:rPr>
                <w:rFonts w:cs="Arial"/>
                <w:b/>
                <w:lang w:eastAsia="da-DK"/>
              </w:rPr>
            </w:pPr>
            <w:r w:rsidRPr="001E3185">
              <w:rPr>
                <w:rFonts w:cs="Arial"/>
                <w:b/>
                <w:lang w:eastAsia="da-DK"/>
              </w:rPr>
              <w:t>IPBC</w:t>
            </w:r>
          </w:p>
        </w:tc>
        <w:tc>
          <w:tcPr>
            <w:tcW w:w="1192" w:type="dxa"/>
            <w:shd w:val="clear" w:color="auto" w:fill="FFFFFF"/>
            <w:noWrap/>
            <w:vAlign w:val="center"/>
          </w:tcPr>
          <w:p w14:paraId="6D942967" w14:textId="77777777" w:rsidR="00692E71" w:rsidRPr="001E3185" w:rsidRDefault="00692E71" w:rsidP="008E0250">
            <w:pPr>
              <w:jc w:val="center"/>
              <w:rPr>
                <w:rFonts w:cs="Arial"/>
                <w:b/>
                <w:lang w:eastAsia="da-DK"/>
              </w:rPr>
            </w:pPr>
            <w:r w:rsidRPr="001E3185">
              <w:rPr>
                <w:rFonts w:cs="Arial"/>
                <w:b/>
                <w:lang w:eastAsia="da-DK"/>
              </w:rPr>
              <w:t>Propicona</w:t>
            </w:r>
            <w:r w:rsidRPr="001E3185">
              <w:rPr>
                <w:rFonts w:cs="Arial"/>
                <w:b/>
                <w:lang w:eastAsia="da-DK"/>
              </w:rPr>
              <w:softHyphen/>
              <w:t>zole</w:t>
            </w:r>
          </w:p>
        </w:tc>
        <w:tc>
          <w:tcPr>
            <w:tcW w:w="1180" w:type="dxa"/>
            <w:shd w:val="clear" w:color="auto" w:fill="FFFFFF"/>
            <w:noWrap/>
            <w:vAlign w:val="center"/>
          </w:tcPr>
          <w:p w14:paraId="68055811" w14:textId="77777777" w:rsidR="00692E71" w:rsidRPr="001E3185" w:rsidRDefault="00692E71" w:rsidP="008E0250">
            <w:pPr>
              <w:jc w:val="center"/>
              <w:rPr>
                <w:rFonts w:cs="Arial"/>
                <w:b/>
                <w:lang w:eastAsia="da-DK"/>
              </w:rPr>
            </w:pPr>
            <w:r w:rsidRPr="001E3185">
              <w:rPr>
                <w:rFonts w:cs="Arial"/>
                <w:b/>
                <w:lang w:eastAsia="da-DK"/>
              </w:rPr>
              <w:t>Tebucona</w:t>
            </w:r>
            <w:r w:rsidRPr="001E3185">
              <w:rPr>
                <w:rFonts w:cs="Arial"/>
                <w:b/>
                <w:lang w:eastAsia="da-DK"/>
              </w:rPr>
              <w:softHyphen/>
              <w:t>zole</w:t>
            </w:r>
          </w:p>
        </w:tc>
        <w:tc>
          <w:tcPr>
            <w:tcW w:w="1088" w:type="dxa"/>
            <w:shd w:val="clear" w:color="auto" w:fill="FFFFFF"/>
            <w:vAlign w:val="center"/>
          </w:tcPr>
          <w:p w14:paraId="30106390"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18" w:type="dxa"/>
            <w:shd w:val="clear" w:color="auto" w:fill="FFFFFF"/>
            <w:vAlign w:val="center"/>
          </w:tcPr>
          <w:p w14:paraId="7FC8478D" w14:textId="77777777" w:rsidR="00692E71" w:rsidRPr="001E3185" w:rsidRDefault="00692E71" w:rsidP="008E0250">
            <w:pPr>
              <w:jc w:val="center"/>
              <w:rPr>
                <w:rFonts w:cs="Arial"/>
                <w:b/>
                <w:lang w:eastAsia="da-DK"/>
              </w:rPr>
            </w:pPr>
            <w:r w:rsidRPr="001E3185">
              <w:rPr>
                <w:rFonts w:cs="Arial"/>
                <w:b/>
                <w:lang w:eastAsia="da-DK"/>
              </w:rPr>
              <w:t>Total PEC/PNEC</w:t>
            </w:r>
          </w:p>
        </w:tc>
      </w:tr>
      <w:tr w:rsidR="00692E71" w:rsidRPr="001E3185" w14:paraId="46F2661E" w14:textId="77777777" w:rsidTr="008E0250">
        <w:trPr>
          <w:trHeight w:val="20"/>
        </w:trPr>
        <w:tc>
          <w:tcPr>
            <w:tcW w:w="3614" w:type="dxa"/>
            <w:shd w:val="clear" w:color="auto" w:fill="FFFFFF"/>
            <w:noWrap/>
            <w:vAlign w:val="bottom"/>
          </w:tcPr>
          <w:p w14:paraId="314D60C2" w14:textId="77777777" w:rsidR="00692E71" w:rsidRPr="001E3185" w:rsidRDefault="00692E71" w:rsidP="008E0250">
            <w:pPr>
              <w:rPr>
                <w:rFonts w:cs="Arial"/>
                <w:b/>
                <w:lang w:eastAsia="da-DK"/>
              </w:rPr>
            </w:pPr>
            <w:r w:rsidRPr="001E3185">
              <w:rPr>
                <w:rFonts w:cs="Arial"/>
                <w:b/>
                <w:lang w:eastAsia="da-DK"/>
              </w:rPr>
              <w:t>Dipping (surface water)</w:t>
            </w:r>
          </w:p>
        </w:tc>
        <w:tc>
          <w:tcPr>
            <w:tcW w:w="992" w:type="dxa"/>
            <w:shd w:val="clear" w:color="auto" w:fill="FFFFFF"/>
            <w:noWrap/>
            <w:vAlign w:val="center"/>
          </w:tcPr>
          <w:p w14:paraId="0085CD25" w14:textId="77777777" w:rsidR="00692E71" w:rsidRPr="001E3185" w:rsidRDefault="00692E71" w:rsidP="008E0250">
            <w:pPr>
              <w:jc w:val="center"/>
              <w:rPr>
                <w:rFonts w:cs="Arial"/>
                <w:lang w:eastAsia="da-DK"/>
              </w:rPr>
            </w:pPr>
          </w:p>
        </w:tc>
        <w:tc>
          <w:tcPr>
            <w:tcW w:w="1192" w:type="dxa"/>
            <w:shd w:val="clear" w:color="auto" w:fill="FFFFFF"/>
            <w:noWrap/>
            <w:vAlign w:val="center"/>
          </w:tcPr>
          <w:p w14:paraId="281BAFAD" w14:textId="77777777" w:rsidR="00692E71" w:rsidRPr="001E3185" w:rsidRDefault="00692E71" w:rsidP="008E0250">
            <w:pPr>
              <w:jc w:val="center"/>
              <w:rPr>
                <w:rFonts w:cs="Arial"/>
                <w:lang w:eastAsia="da-DK"/>
              </w:rPr>
            </w:pPr>
          </w:p>
        </w:tc>
        <w:tc>
          <w:tcPr>
            <w:tcW w:w="1180" w:type="dxa"/>
            <w:shd w:val="clear" w:color="auto" w:fill="FFFFFF"/>
            <w:noWrap/>
            <w:vAlign w:val="center"/>
          </w:tcPr>
          <w:p w14:paraId="492F5245" w14:textId="77777777" w:rsidR="00692E71" w:rsidRPr="001E3185" w:rsidRDefault="00692E71" w:rsidP="008E0250">
            <w:pPr>
              <w:jc w:val="center"/>
              <w:rPr>
                <w:rFonts w:cs="Arial"/>
                <w:lang w:eastAsia="da-DK"/>
              </w:rPr>
            </w:pPr>
          </w:p>
        </w:tc>
        <w:tc>
          <w:tcPr>
            <w:tcW w:w="1088" w:type="dxa"/>
            <w:shd w:val="clear" w:color="auto" w:fill="FFFFFF"/>
            <w:vAlign w:val="center"/>
          </w:tcPr>
          <w:p w14:paraId="3773FEEA" w14:textId="77777777" w:rsidR="00692E71" w:rsidRPr="001E3185" w:rsidRDefault="00692E71" w:rsidP="008E0250">
            <w:pPr>
              <w:jc w:val="center"/>
              <w:rPr>
                <w:rFonts w:cs="Arial"/>
                <w:lang w:eastAsia="da-DK"/>
              </w:rPr>
            </w:pPr>
          </w:p>
        </w:tc>
        <w:tc>
          <w:tcPr>
            <w:tcW w:w="1218" w:type="dxa"/>
            <w:shd w:val="clear" w:color="auto" w:fill="FFFFFF"/>
            <w:vAlign w:val="center"/>
          </w:tcPr>
          <w:p w14:paraId="78073112" w14:textId="77777777" w:rsidR="00692E71" w:rsidRPr="001E3185" w:rsidRDefault="00692E71" w:rsidP="008E0250">
            <w:pPr>
              <w:jc w:val="center"/>
              <w:rPr>
                <w:rFonts w:cs="Arial"/>
                <w:lang w:eastAsia="da-DK"/>
              </w:rPr>
            </w:pPr>
          </w:p>
        </w:tc>
      </w:tr>
      <w:tr w:rsidR="00692E71" w:rsidRPr="001E3185" w14:paraId="0266E652" w14:textId="77777777" w:rsidTr="008E0250">
        <w:trPr>
          <w:trHeight w:val="20"/>
        </w:trPr>
        <w:tc>
          <w:tcPr>
            <w:tcW w:w="3614" w:type="dxa"/>
            <w:shd w:val="clear" w:color="auto" w:fill="FFFFFF"/>
            <w:noWrap/>
            <w:vAlign w:val="center"/>
          </w:tcPr>
          <w:p w14:paraId="5C445A00" w14:textId="77777777" w:rsidR="00692E71" w:rsidRPr="001E3185" w:rsidRDefault="00692E71" w:rsidP="008E0250">
            <w:pPr>
              <w:rPr>
                <w:rFonts w:cs="Arial"/>
                <w:lang w:eastAsia="da-DK"/>
              </w:rPr>
            </w:pPr>
            <w:r w:rsidRPr="001E3185">
              <w:rPr>
                <w:rFonts w:cs="Arial"/>
              </w:rPr>
              <w:lastRenderedPageBreak/>
              <w:t>PEC/PNEC in surface water over the initial assessment period [µg.L</w:t>
            </w:r>
            <w:r w:rsidRPr="001E3185">
              <w:rPr>
                <w:rFonts w:cs="Arial"/>
                <w:vertAlign w:val="superscript"/>
              </w:rPr>
              <w:t>-1</w:t>
            </w:r>
            <w:r w:rsidRPr="001E3185">
              <w:rPr>
                <w:rFonts w:cs="Arial"/>
              </w:rPr>
              <w:t>]</w:t>
            </w:r>
          </w:p>
        </w:tc>
        <w:tc>
          <w:tcPr>
            <w:tcW w:w="992" w:type="dxa"/>
            <w:shd w:val="clear" w:color="auto" w:fill="FFFFFF"/>
            <w:noWrap/>
            <w:vAlign w:val="center"/>
          </w:tcPr>
          <w:p w14:paraId="453D8851" w14:textId="77777777" w:rsidR="00692E71" w:rsidRPr="001E3185" w:rsidRDefault="00692E71" w:rsidP="008E0250">
            <w:pPr>
              <w:jc w:val="center"/>
              <w:rPr>
                <w:rFonts w:cs="Arial"/>
                <w:color w:val="000000"/>
                <w:lang w:eastAsia="da-DK"/>
              </w:rPr>
            </w:pPr>
            <w:r w:rsidRPr="001E3185">
              <w:rPr>
                <w:rFonts w:cs="Arial"/>
                <w:color w:val="000000"/>
              </w:rPr>
              <w:t>0.05</w:t>
            </w:r>
          </w:p>
        </w:tc>
        <w:tc>
          <w:tcPr>
            <w:tcW w:w="1192" w:type="dxa"/>
            <w:shd w:val="clear" w:color="auto" w:fill="FFFFFF"/>
            <w:noWrap/>
            <w:vAlign w:val="center"/>
          </w:tcPr>
          <w:p w14:paraId="64A36EDB" w14:textId="77777777" w:rsidR="00692E71" w:rsidRPr="001E3185" w:rsidRDefault="00692E71" w:rsidP="008E0250">
            <w:pPr>
              <w:jc w:val="center"/>
              <w:rPr>
                <w:rFonts w:cs="Arial"/>
                <w:color w:val="000000"/>
                <w:lang w:eastAsia="da-DK"/>
              </w:rPr>
            </w:pPr>
            <w:r w:rsidRPr="001E3185">
              <w:rPr>
                <w:rFonts w:cs="Arial"/>
                <w:color w:val="000000"/>
              </w:rPr>
              <w:t>0.01</w:t>
            </w:r>
          </w:p>
        </w:tc>
        <w:tc>
          <w:tcPr>
            <w:tcW w:w="1180" w:type="dxa"/>
            <w:shd w:val="clear" w:color="auto" w:fill="FFFFFF"/>
            <w:noWrap/>
            <w:vAlign w:val="center"/>
          </w:tcPr>
          <w:p w14:paraId="6CE0A2D2" w14:textId="77777777" w:rsidR="00692E71" w:rsidRPr="001E3185" w:rsidRDefault="00692E71" w:rsidP="008E0250">
            <w:pPr>
              <w:jc w:val="center"/>
              <w:rPr>
                <w:rFonts w:cs="Arial"/>
                <w:color w:val="000000"/>
                <w:lang w:eastAsia="da-DK"/>
              </w:rPr>
            </w:pPr>
            <w:r w:rsidRPr="001E3185">
              <w:rPr>
                <w:rFonts w:cs="Arial"/>
                <w:color w:val="000000"/>
              </w:rPr>
              <w:t>0.04</w:t>
            </w:r>
          </w:p>
        </w:tc>
        <w:tc>
          <w:tcPr>
            <w:tcW w:w="1088" w:type="dxa"/>
            <w:shd w:val="clear" w:color="auto" w:fill="FFFFFF"/>
            <w:vAlign w:val="center"/>
          </w:tcPr>
          <w:p w14:paraId="00D33546" w14:textId="77777777" w:rsidR="00692E71" w:rsidRPr="001E3185" w:rsidRDefault="00692E71" w:rsidP="008E0250">
            <w:pPr>
              <w:jc w:val="center"/>
              <w:rPr>
                <w:rFonts w:cs="Arial"/>
                <w:color w:val="000000"/>
                <w:lang w:eastAsia="da-DK"/>
              </w:rPr>
            </w:pPr>
            <w:r w:rsidRPr="001E3185">
              <w:rPr>
                <w:rFonts w:cs="Arial"/>
                <w:color w:val="000000"/>
              </w:rPr>
              <w:t>0.28</w:t>
            </w:r>
          </w:p>
        </w:tc>
        <w:tc>
          <w:tcPr>
            <w:tcW w:w="1218" w:type="dxa"/>
            <w:shd w:val="clear" w:color="auto" w:fill="FFFFFF"/>
            <w:vAlign w:val="center"/>
          </w:tcPr>
          <w:p w14:paraId="41AF6FF5" w14:textId="77777777" w:rsidR="00692E71" w:rsidRPr="001E3185" w:rsidRDefault="00692E71" w:rsidP="008E0250">
            <w:pPr>
              <w:jc w:val="center"/>
              <w:rPr>
                <w:rFonts w:cs="Arial"/>
                <w:color w:val="000000"/>
                <w:lang w:eastAsia="da-DK"/>
              </w:rPr>
            </w:pPr>
            <w:r w:rsidRPr="001E3185">
              <w:rPr>
                <w:rFonts w:cs="Arial"/>
                <w:color w:val="000000"/>
              </w:rPr>
              <w:t>0.39</w:t>
            </w:r>
          </w:p>
        </w:tc>
      </w:tr>
      <w:tr w:rsidR="00692E71" w:rsidRPr="001E3185" w14:paraId="0001CE60" w14:textId="77777777" w:rsidTr="008E0250">
        <w:trPr>
          <w:trHeight w:val="20"/>
        </w:trPr>
        <w:tc>
          <w:tcPr>
            <w:tcW w:w="3614" w:type="dxa"/>
            <w:shd w:val="clear" w:color="auto" w:fill="FFFFFF"/>
            <w:noWrap/>
            <w:vAlign w:val="center"/>
          </w:tcPr>
          <w:p w14:paraId="409E8E56" w14:textId="77777777" w:rsidR="00692E71" w:rsidRPr="001E3185" w:rsidRDefault="00692E71" w:rsidP="008E0250">
            <w:pPr>
              <w:rPr>
                <w:rFonts w:cs="Arial"/>
                <w:lang w:eastAsia="da-DK"/>
              </w:rPr>
            </w:pPr>
            <w:r w:rsidRPr="001E3185">
              <w:rPr>
                <w:rFonts w:cs="Arial"/>
              </w:rPr>
              <w:t>PEC/PNEC in surface water over a longer assessment period [µg.L</w:t>
            </w:r>
            <w:r w:rsidRPr="001E3185">
              <w:rPr>
                <w:rFonts w:cs="Arial"/>
                <w:vertAlign w:val="superscript"/>
              </w:rPr>
              <w:t>-1</w:t>
            </w:r>
            <w:r w:rsidRPr="001E3185">
              <w:rPr>
                <w:rFonts w:cs="Arial"/>
              </w:rPr>
              <w:t>]</w:t>
            </w:r>
          </w:p>
        </w:tc>
        <w:tc>
          <w:tcPr>
            <w:tcW w:w="992" w:type="dxa"/>
            <w:shd w:val="clear" w:color="auto" w:fill="FFFFFF"/>
            <w:noWrap/>
            <w:vAlign w:val="center"/>
          </w:tcPr>
          <w:p w14:paraId="1DC75C14" w14:textId="77777777" w:rsidR="00692E71" w:rsidRPr="001E3185" w:rsidRDefault="00692E71" w:rsidP="008E0250">
            <w:pPr>
              <w:jc w:val="center"/>
              <w:rPr>
                <w:rFonts w:cs="Arial"/>
                <w:color w:val="000000"/>
                <w:lang w:eastAsia="da-DK"/>
              </w:rPr>
            </w:pPr>
            <w:r w:rsidRPr="001E3185">
              <w:rPr>
                <w:rFonts w:cs="Arial"/>
                <w:color w:val="000000"/>
              </w:rPr>
              <w:t>0.05</w:t>
            </w:r>
          </w:p>
        </w:tc>
        <w:tc>
          <w:tcPr>
            <w:tcW w:w="1192" w:type="dxa"/>
            <w:shd w:val="clear" w:color="auto" w:fill="FFFFFF"/>
            <w:noWrap/>
            <w:vAlign w:val="center"/>
          </w:tcPr>
          <w:p w14:paraId="042425CA" w14:textId="77777777" w:rsidR="00692E71" w:rsidRPr="001E3185" w:rsidRDefault="00692E71" w:rsidP="008E0250">
            <w:pPr>
              <w:jc w:val="center"/>
              <w:rPr>
                <w:rFonts w:cs="Arial"/>
                <w:color w:val="000000"/>
                <w:lang w:eastAsia="da-DK"/>
              </w:rPr>
            </w:pPr>
            <w:r w:rsidRPr="001E3185">
              <w:rPr>
                <w:rFonts w:cs="Arial"/>
                <w:color w:val="000000"/>
              </w:rPr>
              <w:t>0.01</w:t>
            </w:r>
          </w:p>
        </w:tc>
        <w:tc>
          <w:tcPr>
            <w:tcW w:w="1180" w:type="dxa"/>
            <w:shd w:val="clear" w:color="auto" w:fill="FFFFFF"/>
            <w:noWrap/>
            <w:vAlign w:val="center"/>
          </w:tcPr>
          <w:p w14:paraId="79CA6489" w14:textId="77777777" w:rsidR="00692E71" w:rsidRPr="001E3185" w:rsidRDefault="00692E71" w:rsidP="008E0250">
            <w:pPr>
              <w:jc w:val="center"/>
              <w:rPr>
                <w:rFonts w:cs="Arial"/>
                <w:color w:val="000000"/>
                <w:lang w:eastAsia="da-DK"/>
              </w:rPr>
            </w:pPr>
            <w:r w:rsidRPr="001E3185">
              <w:rPr>
                <w:rFonts w:cs="Arial"/>
                <w:color w:val="000000"/>
              </w:rPr>
              <w:t>0.04</w:t>
            </w:r>
          </w:p>
        </w:tc>
        <w:tc>
          <w:tcPr>
            <w:tcW w:w="1088" w:type="dxa"/>
            <w:shd w:val="clear" w:color="auto" w:fill="FFFFFF"/>
            <w:vAlign w:val="center"/>
          </w:tcPr>
          <w:p w14:paraId="647FD7C6" w14:textId="77777777" w:rsidR="00692E71" w:rsidRPr="001E3185" w:rsidRDefault="00692E71" w:rsidP="008E0250">
            <w:pPr>
              <w:jc w:val="center"/>
              <w:rPr>
                <w:rFonts w:cs="Arial"/>
                <w:color w:val="000000"/>
                <w:lang w:eastAsia="da-DK"/>
              </w:rPr>
            </w:pPr>
            <w:r w:rsidRPr="001E3185">
              <w:rPr>
                <w:rFonts w:cs="Arial"/>
                <w:color w:val="000000"/>
              </w:rPr>
              <w:t>0.28</w:t>
            </w:r>
          </w:p>
        </w:tc>
        <w:tc>
          <w:tcPr>
            <w:tcW w:w="1218" w:type="dxa"/>
            <w:shd w:val="clear" w:color="auto" w:fill="FFFFFF"/>
            <w:vAlign w:val="center"/>
          </w:tcPr>
          <w:p w14:paraId="1785B873" w14:textId="77777777" w:rsidR="00692E71" w:rsidRPr="001E3185" w:rsidRDefault="00692E71" w:rsidP="008E0250">
            <w:pPr>
              <w:jc w:val="center"/>
              <w:rPr>
                <w:rFonts w:cs="Arial"/>
                <w:color w:val="000000"/>
                <w:lang w:eastAsia="da-DK"/>
              </w:rPr>
            </w:pPr>
            <w:r w:rsidRPr="001E3185">
              <w:rPr>
                <w:rFonts w:cs="Arial"/>
                <w:color w:val="000000"/>
              </w:rPr>
              <w:t>0.39</w:t>
            </w:r>
          </w:p>
        </w:tc>
      </w:tr>
    </w:tbl>
    <w:p w14:paraId="6056EDFF" w14:textId="77777777" w:rsidR="00692E71" w:rsidRPr="001E3185" w:rsidRDefault="00692E71" w:rsidP="00692E71">
      <w:pPr>
        <w:rPr>
          <w:rFonts w:cs="Arial"/>
        </w:rPr>
      </w:pPr>
    </w:p>
    <w:p w14:paraId="01F54787" w14:textId="77777777" w:rsidR="00692E71" w:rsidRPr="001E3185" w:rsidRDefault="00692E71" w:rsidP="00692E71">
      <w:pPr>
        <w:rPr>
          <w:rFonts w:cs="Arial"/>
        </w:rPr>
      </w:pPr>
    </w:p>
    <w:p w14:paraId="39C5B8FF" w14:textId="77777777" w:rsidR="00692E71" w:rsidRPr="001E3185" w:rsidRDefault="00692E71" w:rsidP="00692E71">
      <w:pPr>
        <w:pStyle w:val="Lgende"/>
        <w:rPr>
          <w:rFonts w:ascii="Verdana" w:hAnsi="Verdana"/>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48</w:t>
      </w:r>
      <w:r w:rsidRPr="001E3185">
        <w:rPr>
          <w:rFonts w:ascii="Verdana" w:hAnsi="Verdana"/>
        </w:rPr>
        <w:fldChar w:fldCharType="end"/>
      </w:r>
      <w:r w:rsidRPr="001E3185">
        <w:rPr>
          <w:rFonts w:ascii="Verdana" w:hAnsi="Verdana"/>
        </w:rPr>
        <w:t xml:space="preserve">: PEC/PNEC ratios for the aquatic compartment, </w:t>
      </w:r>
      <w:r w:rsidRPr="001E3185">
        <w:rPr>
          <w:rFonts w:ascii="Verdana" w:hAnsi="Verdana"/>
          <w:i/>
        </w:rPr>
        <w:t>in-situ</w:t>
      </w:r>
      <w:r w:rsidRPr="001E3185">
        <w:rPr>
          <w:rFonts w:ascii="Verdana" w:hAnsi="Verdana"/>
        </w:rPr>
        <w:t xml:space="preserve"> application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92"/>
        <w:gridCol w:w="1180"/>
        <w:gridCol w:w="1088"/>
        <w:gridCol w:w="1218"/>
      </w:tblGrid>
      <w:tr w:rsidR="00692E71" w:rsidRPr="001E3185" w14:paraId="787595B6" w14:textId="77777777" w:rsidTr="008E0250">
        <w:trPr>
          <w:trHeight w:val="20"/>
          <w:tblHeader/>
        </w:trPr>
        <w:tc>
          <w:tcPr>
            <w:tcW w:w="3614" w:type="dxa"/>
            <w:shd w:val="clear" w:color="auto" w:fill="FFFFFF"/>
            <w:noWrap/>
            <w:vAlign w:val="bottom"/>
          </w:tcPr>
          <w:p w14:paraId="7156D5E5" w14:textId="77777777" w:rsidR="00692E71" w:rsidRPr="001E3185" w:rsidRDefault="00692E71" w:rsidP="008E0250">
            <w:pPr>
              <w:rPr>
                <w:rFonts w:cs="Arial"/>
                <w:lang w:eastAsia="da-DK"/>
              </w:rPr>
            </w:pPr>
          </w:p>
        </w:tc>
        <w:tc>
          <w:tcPr>
            <w:tcW w:w="992" w:type="dxa"/>
            <w:shd w:val="clear" w:color="auto" w:fill="FFFFFF"/>
            <w:noWrap/>
            <w:vAlign w:val="center"/>
          </w:tcPr>
          <w:p w14:paraId="2B589912" w14:textId="77777777" w:rsidR="00692E71" w:rsidRPr="001E3185" w:rsidRDefault="00692E71" w:rsidP="008E0250">
            <w:pPr>
              <w:jc w:val="center"/>
              <w:rPr>
                <w:rFonts w:cs="Arial"/>
                <w:b/>
                <w:lang w:eastAsia="da-DK"/>
              </w:rPr>
            </w:pPr>
            <w:r w:rsidRPr="001E3185">
              <w:rPr>
                <w:rFonts w:cs="Arial"/>
                <w:b/>
                <w:lang w:eastAsia="da-DK"/>
              </w:rPr>
              <w:t>IPBC</w:t>
            </w:r>
          </w:p>
        </w:tc>
        <w:tc>
          <w:tcPr>
            <w:tcW w:w="1192" w:type="dxa"/>
            <w:shd w:val="clear" w:color="auto" w:fill="FFFFFF"/>
            <w:noWrap/>
            <w:vAlign w:val="center"/>
          </w:tcPr>
          <w:p w14:paraId="00F50A28" w14:textId="77777777" w:rsidR="00692E71" w:rsidRPr="001E3185" w:rsidRDefault="00692E71" w:rsidP="008E0250">
            <w:pPr>
              <w:jc w:val="center"/>
              <w:rPr>
                <w:rFonts w:cs="Arial"/>
                <w:b/>
                <w:lang w:eastAsia="da-DK"/>
              </w:rPr>
            </w:pPr>
            <w:r w:rsidRPr="001E3185">
              <w:rPr>
                <w:rFonts w:cs="Arial"/>
                <w:b/>
                <w:lang w:eastAsia="da-DK"/>
              </w:rPr>
              <w:t>Propicona</w:t>
            </w:r>
            <w:r w:rsidRPr="001E3185">
              <w:rPr>
                <w:rFonts w:cs="Arial"/>
                <w:b/>
                <w:lang w:eastAsia="da-DK"/>
              </w:rPr>
              <w:softHyphen/>
              <w:t>zole</w:t>
            </w:r>
          </w:p>
        </w:tc>
        <w:tc>
          <w:tcPr>
            <w:tcW w:w="1180" w:type="dxa"/>
            <w:shd w:val="clear" w:color="auto" w:fill="FFFFFF"/>
            <w:noWrap/>
            <w:vAlign w:val="center"/>
          </w:tcPr>
          <w:p w14:paraId="53934000" w14:textId="77777777" w:rsidR="00692E71" w:rsidRPr="001E3185" w:rsidRDefault="00692E71" w:rsidP="008E0250">
            <w:pPr>
              <w:jc w:val="center"/>
              <w:rPr>
                <w:rFonts w:cs="Arial"/>
                <w:b/>
                <w:lang w:eastAsia="da-DK"/>
              </w:rPr>
            </w:pPr>
            <w:r w:rsidRPr="001E3185">
              <w:rPr>
                <w:rFonts w:cs="Arial"/>
                <w:b/>
                <w:lang w:eastAsia="da-DK"/>
              </w:rPr>
              <w:t>Tebucona</w:t>
            </w:r>
            <w:r w:rsidRPr="001E3185">
              <w:rPr>
                <w:rFonts w:cs="Arial"/>
                <w:b/>
                <w:lang w:eastAsia="da-DK"/>
              </w:rPr>
              <w:softHyphen/>
              <w:t>zole</w:t>
            </w:r>
          </w:p>
        </w:tc>
        <w:tc>
          <w:tcPr>
            <w:tcW w:w="1088" w:type="dxa"/>
            <w:shd w:val="clear" w:color="auto" w:fill="FFFFFF"/>
            <w:vAlign w:val="center"/>
          </w:tcPr>
          <w:p w14:paraId="530B24EE"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18" w:type="dxa"/>
            <w:shd w:val="clear" w:color="auto" w:fill="FFFFFF"/>
            <w:vAlign w:val="center"/>
          </w:tcPr>
          <w:p w14:paraId="6D949719" w14:textId="77777777" w:rsidR="00692E71" w:rsidRPr="001E3185" w:rsidRDefault="00692E71" w:rsidP="008E0250">
            <w:pPr>
              <w:jc w:val="center"/>
              <w:rPr>
                <w:rFonts w:cs="Arial"/>
                <w:b/>
                <w:lang w:eastAsia="da-DK"/>
              </w:rPr>
            </w:pPr>
            <w:r w:rsidRPr="001E3185">
              <w:rPr>
                <w:rFonts w:cs="Arial"/>
                <w:b/>
                <w:lang w:eastAsia="da-DK"/>
              </w:rPr>
              <w:t>Total PEC/PNEC</w:t>
            </w:r>
          </w:p>
        </w:tc>
      </w:tr>
      <w:tr w:rsidR="00692E71" w:rsidRPr="001E3185" w14:paraId="3E244B86" w14:textId="77777777" w:rsidTr="008E0250">
        <w:trPr>
          <w:trHeight w:val="20"/>
        </w:trPr>
        <w:tc>
          <w:tcPr>
            <w:tcW w:w="3614" w:type="dxa"/>
            <w:shd w:val="clear" w:color="auto" w:fill="FFFFFF"/>
            <w:noWrap/>
            <w:vAlign w:val="bottom"/>
          </w:tcPr>
          <w:p w14:paraId="51FD5C3B" w14:textId="77777777" w:rsidR="00692E71" w:rsidRPr="001E3185" w:rsidRDefault="00692E71" w:rsidP="008E0250">
            <w:pPr>
              <w:rPr>
                <w:rFonts w:cs="Arial"/>
                <w:b/>
                <w:lang w:eastAsia="da-DK"/>
              </w:rPr>
            </w:pPr>
            <w:r w:rsidRPr="001E3185">
              <w:rPr>
                <w:rFonts w:cs="Arial"/>
                <w:b/>
                <w:lang w:eastAsia="da-DK"/>
              </w:rPr>
              <w:t>Bridge over Pond (surface water)</w:t>
            </w:r>
          </w:p>
        </w:tc>
        <w:tc>
          <w:tcPr>
            <w:tcW w:w="992" w:type="dxa"/>
            <w:shd w:val="clear" w:color="auto" w:fill="FFFFFF"/>
            <w:noWrap/>
            <w:vAlign w:val="center"/>
          </w:tcPr>
          <w:p w14:paraId="7FC819AC" w14:textId="77777777" w:rsidR="00692E71" w:rsidRPr="001E3185" w:rsidRDefault="00692E71" w:rsidP="008E0250">
            <w:pPr>
              <w:jc w:val="center"/>
              <w:rPr>
                <w:rFonts w:cs="Arial"/>
                <w:lang w:eastAsia="da-DK"/>
              </w:rPr>
            </w:pPr>
          </w:p>
        </w:tc>
        <w:tc>
          <w:tcPr>
            <w:tcW w:w="1192" w:type="dxa"/>
            <w:shd w:val="clear" w:color="auto" w:fill="FFFFFF"/>
            <w:noWrap/>
            <w:vAlign w:val="center"/>
          </w:tcPr>
          <w:p w14:paraId="3A8DDE4F" w14:textId="77777777" w:rsidR="00692E71" w:rsidRPr="001E3185" w:rsidRDefault="00692E71" w:rsidP="008E0250">
            <w:pPr>
              <w:jc w:val="center"/>
              <w:rPr>
                <w:rFonts w:cs="Arial"/>
                <w:lang w:eastAsia="da-DK"/>
              </w:rPr>
            </w:pPr>
          </w:p>
        </w:tc>
        <w:tc>
          <w:tcPr>
            <w:tcW w:w="1180" w:type="dxa"/>
            <w:shd w:val="clear" w:color="auto" w:fill="FFFFFF"/>
            <w:noWrap/>
            <w:vAlign w:val="center"/>
          </w:tcPr>
          <w:p w14:paraId="6F965C3B" w14:textId="77777777" w:rsidR="00692E71" w:rsidRPr="001E3185" w:rsidRDefault="00692E71" w:rsidP="008E0250">
            <w:pPr>
              <w:jc w:val="center"/>
              <w:rPr>
                <w:rFonts w:cs="Arial"/>
                <w:lang w:eastAsia="da-DK"/>
              </w:rPr>
            </w:pPr>
          </w:p>
        </w:tc>
        <w:tc>
          <w:tcPr>
            <w:tcW w:w="1088" w:type="dxa"/>
            <w:shd w:val="clear" w:color="auto" w:fill="FFFFFF"/>
            <w:vAlign w:val="center"/>
          </w:tcPr>
          <w:p w14:paraId="765D33F9" w14:textId="77777777" w:rsidR="00692E71" w:rsidRPr="001E3185" w:rsidRDefault="00692E71" w:rsidP="008E0250">
            <w:pPr>
              <w:jc w:val="center"/>
              <w:rPr>
                <w:rFonts w:cs="Arial"/>
                <w:lang w:eastAsia="da-DK"/>
              </w:rPr>
            </w:pPr>
          </w:p>
        </w:tc>
        <w:tc>
          <w:tcPr>
            <w:tcW w:w="1218" w:type="dxa"/>
            <w:shd w:val="clear" w:color="auto" w:fill="FFFFFF"/>
            <w:vAlign w:val="center"/>
          </w:tcPr>
          <w:p w14:paraId="709FD110" w14:textId="77777777" w:rsidR="00692E71" w:rsidRPr="001E3185" w:rsidRDefault="00692E71" w:rsidP="008E0250">
            <w:pPr>
              <w:jc w:val="center"/>
              <w:rPr>
                <w:rFonts w:cs="Arial"/>
                <w:lang w:eastAsia="da-DK"/>
              </w:rPr>
            </w:pPr>
          </w:p>
        </w:tc>
      </w:tr>
      <w:tr w:rsidR="00692E71" w:rsidRPr="001E3185" w14:paraId="777E6C93" w14:textId="77777777" w:rsidTr="008E0250">
        <w:trPr>
          <w:trHeight w:val="20"/>
        </w:trPr>
        <w:tc>
          <w:tcPr>
            <w:tcW w:w="3614" w:type="dxa"/>
            <w:shd w:val="clear" w:color="auto" w:fill="FFFFFF"/>
            <w:noWrap/>
            <w:vAlign w:val="bottom"/>
          </w:tcPr>
          <w:p w14:paraId="11721F23" w14:textId="77777777" w:rsidR="00692E71" w:rsidRPr="001E3185" w:rsidRDefault="00692E71" w:rsidP="008E0250">
            <w:pPr>
              <w:rPr>
                <w:rFonts w:cs="Arial"/>
                <w:lang w:eastAsia="da-DK"/>
              </w:rPr>
            </w:pPr>
            <w:r w:rsidRPr="001E3185">
              <w:rPr>
                <w:rFonts w:cs="Arial"/>
                <w:lang w:eastAsia="da-DK"/>
              </w:rPr>
              <w:t>PEC/PNEC local in</w:t>
            </w:r>
            <w:r w:rsidRPr="001E3185">
              <w:rPr>
                <w:rFonts w:cs="Arial"/>
              </w:rPr>
              <w:t xml:space="preserve"> water at the end of the day of application (bridge, professional application)</w:t>
            </w:r>
          </w:p>
        </w:tc>
        <w:tc>
          <w:tcPr>
            <w:tcW w:w="992" w:type="dxa"/>
            <w:shd w:val="clear" w:color="auto" w:fill="FFFFFF"/>
            <w:noWrap/>
            <w:vAlign w:val="center"/>
          </w:tcPr>
          <w:p w14:paraId="622131D1" w14:textId="77777777" w:rsidR="00692E71" w:rsidRPr="001E3185" w:rsidRDefault="00692E71" w:rsidP="008E0250">
            <w:pPr>
              <w:jc w:val="center"/>
              <w:rPr>
                <w:rFonts w:cs="Arial"/>
                <w:color w:val="000000"/>
                <w:lang w:eastAsia="da-DK"/>
              </w:rPr>
            </w:pPr>
            <w:r w:rsidRPr="001E3185">
              <w:rPr>
                <w:rFonts w:cs="Arial"/>
                <w:color w:val="000000"/>
                <w:lang w:eastAsia="da-DK"/>
              </w:rPr>
              <w:t>0.06</w:t>
            </w:r>
          </w:p>
        </w:tc>
        <w:tc>
          <w:tcPr>
            <w:tcW w:w="1192" w:type="dxa"/>
            <w:shd w:val="clear" w:color="auto" w:fill="FFFFFF"/>
            <w:noWrap/>
            <w:vAlign w:val="center"/>
          </w:tcPr>
          <w:p w14:paraId="2E81104B" w14:textId="77777777" w:rsidR="00692E71" w:rsidRPr="001E3185" w:rsidRDefault="00692E71" w:rsidP="008E0250">
            <w:pPr>
              <w:jc w:val="center"/>
              <w:rPr>
                <w:rFonts w:cs="Arial"/>
                <w:color w:val="000000"/>
                <w:lang w:eastAsia="da-DK"/>
              </w:rPr>
            </w:pPr>
            <w:r w:rsidRPr="001E3185">
              <w:rPr>
                <w:rFonts w:cs="Arial"/>
                <w:color w:val="000000"/>
                <w:lang w:eastAsia="da-DK"/>
              </w:rPr>
              <w:t>0.01</w:t>
            </w:r>
          </w:p>
        </w:tc>
        <w:tc>
          <w:tcPr>
            <w:tcW w:w="1180" w:type="dxa"/>
            <w:shd w:val="clear" w:color="auto" w:fill="FFFFFF"/>
            <w:noWrap/>
            <w:vAlign w:val="center"/>
          </w:tcPr>
          <w:p w14:paraId="285AE045" w14:textId="77777777" w:rsidR="00692E71" w:rsidRPr="001E3185" w:rsidRDefault="00692E71" w:rsidP="008E0250">
            <w:pPr>
              <w:jc w:val="center"/>
              <w:rPr>
                <w:rFonts w:cs="Arial"/>
                <w:color w:val="000000"/>
                <w:lang w:eastAsia="da-DK"/>
              </w:rPr>
            </w:pPr>
            <w:r w:rsidRPr="001E3185">
              <w:rPr>
                <w:rFonts w:cs="Arial"/>
                <w:color w:val="000000"/>
                <w:lang w:eastAsia="da-DK"/>
              </w:rPr>
              <w:t>0.03</w:t>
            </w:r>
          </w:p>
        </w:tc>
        <w:tc>
          <w:tcPr>
            <w:tcW w:w="1088" w:type="dxa"/>
            <w:shd w:val="clear" w:color="auto" w:fill="FFFFFF"/>
            <w:vAlign w:val="center"/>
          </w:tcPr>
          <w:p w14:paraId="415A746F" w14:textId="77777777" w:rsidR="00692E71" w:rsidRPr="001E3185" w:rsidRDefault="00692E71" w:rsidP="008E0250">
            <w:pPr>
              <w:jc w:val="center"/>
              <w:rPr>
                <w:rFonts w:cs="Arial"/>
                <w:color w:val="000000"/>
                <w:lang w:eastAsia="da-DK"/>
              </w:rPr>
            </w:pPr>
            <w:r w:rsidRPr="001E3185">
              <w:rPr>
                <w:rFonts w:cs="Arial"/>
                <w:color w:val="000000"/>
                <w:lang w:eastAsia="da-DK"/>
              </w:rPr>
              <w:t>42</w:t>
            </w:r>
          </w:p>
        </w:tc>
        <w:tc>
          <w:tcPr>
            <w:tcW w:w="1218" w:type="dxa"/>
            <w:shd w:val="clear" w:color="auto" w:fill="FFFFFF"/>
            <w:vAlign w:val="center"/>
          </w:tcPr>
          <w:p w14:paraId="46319719" w14:textId="77777777" w:rsidR="00692E71" w:rsidRPr="001E3185" w:rsidRDefault="00692E71" w:rsidP="008E0250">
            <w:pPr>
              <w:jc w:val="center"/>
              <w:rPr>
                <w:rFonts w:cs="Arial"/>
                <w:color w:val="000000"/>
                <w:lang w:eastAsia="da-DK"/>
              </w:rPr>
            </w:pPr>
            <w:r w:rsidRPr="001E3185">
              <w:rPr>
                <w:rFonts w:cs="Arial"/>
                <w:color w:val="000000"/>
                <w:lang w:eastAsia="da-DK"/>
              </w:rPr>
              <w:t>42</w:t>
            </w:r>
          </w:p>
        </w:tc>
      </w:tr>
      <w:tr w:rsidR="00692E71" w:rsidRPr="001E3185" w14:paraId="3315514D" w14:textId="77777777" w:rsidTr="008E0250">
        <w:trPr>
          <w:trHeight w:val="20"/>
        </w:trPr>
        <w:tc>
          <w:tcPr>
            <w:tcW w:w="3614" w:type="dxa"/>
            <w:shd w:val="clear" w:color="auto" w:fill="FFFFFF"/>
            <w:noWrap/>
            <w:vAlign w:val="bottom"/>
          </w:tcPr>
          <w:p w14:paraId="48184314" w14:textId="77777777" w:rsidR="00692E71" w:rsidRPr="001E3185" w:rsidRDefault="00692E71" w:rsidP="008E0250">
            <w:pPr>
              <w:rPr>
                <w:rFonts w:cs="Arial"/>
                <w:lang w:eastAsia="da-DK"/>
              </w:rPr>
            </w:pPr>
            <w:r w:rsidRPr="001E3185">
              <w:rPr>
                <w:rFonts w:cs="Arial"/>
                <w:lang w:eastAsia="da-DK"/>
              </w:rPr>
              <w:t xml:space="preserve">PEC/PNEC local </w:t>
            </w:r>
            <w:r w:rsidRPr="001E3185">
              <w:rPr>
                <w:rFonts w:cs="Arial"/>
              </w:rPr>
              <w:t>in water at the end of the day of application (bridge, non-professional application)</w:t>
            </w:r>
          </w:p>
        </w:tc>
        <w:tc>
          <w:tcPr>
            <w:tcW w:w="992" w:type="dxa"/>
            <w:shd w:val="clear" w:color="auto" w:fill="FFFFFF"/>
            <w:noWrap/>
            <w:vAlign w:val="center"/>
          </w:tcPr>
          <w:p w14:paraId="65D243E2" w14:textId="77777777" w:rsidR="00692E71" w:rsidRPr="001E3185" w:rsidRDefault="00692E71" w:rsidP="008E0250">
            <w:pPr>
              <w:jc w:val="center"/>
              <w:rPr>
                <w:rFonts w:cs="Arial"/>
                <w:color w:val="000000"/>
                <w:lang w:eastAsia="da-DK"/>
              </w:rPr>
            </w:pPr>
            <w:r w:rsidRPr="001E3185">
              <w:rPr>
                <w:rFonts w:cs="Arial"/>
                <w:color w:val="000000"/>
                <w:lang w:eastAsia="da-DK"/>
              </w:rPr>
              <w:t>0.1</w:t>
            </w:r>
          </w:p>
        </w:tc>
        <w:tc>
          <w:tcPr>
            <w:tcW w:w="1192" w:type="dxa"/>
            <w:shd w:val="clear" w:color="auto" w:fill="FFFFFF"/>
            <w:noWrap/>
            <w:vAlign w:val="center"/>
          </w:tcPr>
          <w:p w14:paraId="4E832B56" w14:textId="77777777" w:rsidR="00692E71" w:rsidRPr="001E3185" w:rsidRDefault="00692E71" w:rsidP="008E0250">
            <w:pPr>
              <w:jc w:val="center"/>
              <w:rPr>
                <w:rFonts w:cs="Arial"/>
                <w:color w:val="000000"/>
                <w:lang w:eastAsia="da-DK"/>
              </w:rPr>
            </w:pPr>
            <w:r w:rsidRPr="001E3185">
              <w:rPr>
                <w:rFonts w:cs="Arial"/>
                <w:color w:val="000000"/>
                <w:lang w:eastAsia="da-DK"/>
              </w:rPr>
              <w:t>0.02</w:t>
            </w:r>
          </w:p>
        </w:tc>
        <w:tc>
          <w:tcPr>
            <w:tcW w:w="1180" w:type="dxa"/>
            <w:shd w:val="clear" w:color="auto" w:fill="FFFFFF"/>
            <w:noWrap/>
            <w:vAlign w:val="center"/>
          </w:tcPr>
          <w:p w14:paraId="19227436" w14:textId="77777777" w:rsidR="00692E71" w:rsidRPr="001E3185" w:rsidRDefault="00692E71" w:rsidP="008E0250">
            <w:pPr>
              <w:jc w:val="center"/>
              <w:rPr>
                <w:rFonts w:cs="Arial"/>
                <w:color w:val="000000"/>
                <w:lang w:eastAsia="da-DK"/>
              </w:rPr>
            </w:pPr>
            <w:r w:rsidRPr="001E3185">
              <w:rPr>
                <w:rFonts w:cs="Arial"/>
                <w:color w:val="000000"/>
                <w:lang w:eastAsia="da-DK"/>
              </w:rPr>
              <w:t>0.05</w:t>
            </w:r>
          </w:p>
        </w:tc>
        <w:tc>
          <w:tcPr>
            <w:tcW w:w="1088" w:type="dxa"/>
            <w:shd w:val="clear" w:color="auto" w:fill="FFFFFF"/>
            <w:vAlign w:val="center"/>
          </w:tcPr>
          <w:p w14:paraId="59D0F9A8" w14:textId="77777777" w:rsidR="00692E71" w:rsidRPr="001E3185" w:rsidRDefault="00692E71" w:rsidP="008E0250">
            <w:pPr>
              <w:jc w:val="center"/>
              <w:rPr>
                <w:rFonts w:cs="Arial"/>
                <w:color w:val="000000"/>
                <w:lang w:eastAsia="da-DK"/>
              </w:rPr>
            </w:pPr>
            <w:r w:rsidRPr="001E3185">
              <w:rPr>
                <w:rFonts w:cs="Arial"/>
                <w:color w:val="000000"/>
                <w:lang w:eastAsia="da-DK"/>
              </w:rPr>
              <w:t>70</w:t>
            </w:r>
          </w:p>
        </w:tc>
        <w:tc>
          <w:tcPr>
            <w:tcW w:w="1218" w:type="dxa"/>
            <w:shd w:val="clear" w:color="auto" w:fill="FFFFFF"/>
            <w:vAlign w:val="center"/>
          </w:tcPr>
          <w:p w14:paraId="41068B28" w14:textId="77777777" w:rsidR="00692E71" w:rsidRPr="001E3185" w:rsidRDefault="00692E71" w:rsidP="008E0250">
            <w:pPr>
              <w:jc w:val="center"/>
              <w:rPr>
                <w:rFonts w:cs="Arial"/>
                <w:color w:val="000000"/>
                <w:lang w:eastAsia="da-DK"/>
              </w:rPr>
            </w:pPr>
            <w:r w:rsidRPr="001E3185">
              <w:rPr>
                <w:rFonts w:cs="Arial"/>
                <w:color w:val="000000"/>
                <w:lang w:eastAsia="da-DK"/>
              </w:rPr>
              <w:t>70</w:t>
            </w:r>
          </w:p>
        </w:tc>
      </w:tr>
    </w:tbl>
    <w:p w14:paraId="53DCD3A8" w14:textId="77777777" w:rsidR="00692E71" w:rsidRPr="001E3185" w:rsidRDefault="00692E71" w:rsidP="00692E71">
      <w:pPr>
        <w:rPr>
          <w:rFonts w:cs="Arial"/>
        </w:rPr>
      </w:pPr>
    </w:p>
    <w:p w14:paraId="59B0C852" w14:textId="77777777" w:rsidR="00692E71" w:rsidRPr="001E3185" w:rsidRDefault="00692E71" w:rsidP="00692E71">
      <w:pPr>
        <w:rPr>
          <w:rFonts w:cs="Arial"/>
          <w:b/>
        </w:rPr>
      </w:pPr>
    </w:p>
    <w:p w14:paraId="6E01C807"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49</w:t>
      </w:r>
      <w:r w:rsidRPr="001E3185">
        <w:rPr>
          <w:rFonts w:ascii="Verdana" w:hAnsi="Verdana"/>
        </w:rPr>
        <w:fldChar w:fldCharType="end"/>
      </w:r>
      <w:r w:rsidRPr="001E3185">
        <w:rPr>
          <w:rFonts w:ascii="Verdana" w:hAnsi="Verdana"/>
        </w:rPr>
        <w:t>: PEC/PNEC ratios for the aquatic compartment, industrial dipping, in-service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134"/>
        <w:gridCol w:w="1134"/>
        <w:gridCol w:w="1134"/>
        <w:gridCol w:w="1276"/>
      </w:tblGrid>
      <w:tr w:rsidR="00692E71" w:rsidRPr="001E3185" w14:paraId="0BE14A87" w14:textId="77777777" w:rsidTr="008E0250">
        <w:trPr>
          <w:trHeight w:val="20"/>
          <w:tblHeader/>
        </w:trPr>
        <w:tc>
          <w:tcPr>
            <w:tcW w:w="3681" w:type="dxa"/>
            <w:shd w:val="clear" w:color="auto" w:fill="FFFFFF" w:themeFill="background1"/>
            <w:noWrap/>
            <w:vAlign w:val="bottom"/>
          </w:tcPr>
          <w:p w14:paraId="5563B75E"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6D7E70AE" w14:textId="77777777" w:rsidR="00692E71" w:rsidRPr="001E3185" w:rsidRDefault="00692E71" w:rsidP="008E0250">
            <w:pPr>
              <w:jc w:val="center"/>
              <w:rPr>
                <w:rFonts w:cs="Arial"/>
                <w:b/>
                <w:lang w:eastAsia="da-DK"/>
              </w:rPr>
            </w:pPr>
            <w:r w:rsidRPr="001E3185">
              <w:rPr>
                <w:rFonts w:cs="Arial"/>
                <w:b/>
                <w:lang w:eastAsia="da-DK"/>
              </w:rPr>
              <w:t>IPBC</w:t>
            </w:r>
          </w:p>
        </w:tc>
        <w:tc>
          <w:tcPr>
            <w:tcW w:w="1134" w:type="dxa"/>
            <w:shd w:val="clear" w:color="auto" w:fill="FFFFFF" w:themeFill="background1"/>
            <w:noWrap/>
            <w:vAlign w:val="center"/>
          </w:tcPr>
          <w:p w14:paraId="26B5B3C1" w14:textId="77777777" w:rsidR="00692E71" w:rsidRPr="001E3185" w:rsidRDefault="00692E71" w:rsidP="008E0250">
            <w:pPr>
              <w:jc w:val="center"/>
              <w:rPr>
                <w:rFonts w:cs="Arial"/>
                <w:b/>
                <w:lang w:eastAsia="da-DK"/>
              </w:rPr>
            </w:pPr>
            <w:r w:rsidRPr="001E3185">
              <w:rPr>
                <w:rFonts w:cs="Arial"/>
                <w:b/>
                <w:lang w:eastAsia="da-DK"/>
              </w:rPr>
              <w:t>Propicon</w:t>
            </w:r>
            <w:r w:rsidRPr="001E3185">
              <w:rPr>
                <w:rFonts w:cs="Arial"/>
                <w:b/>
                <w:lang w:eastAsia="da-DK"/>
              </w:rPr>
              <w:softHyphen/>
              <w:t>azole</w:t>
            </w:r>
          </w:p>
        </w:tc>
        <w:tc>
          <w:tcPr>
            <w:tcW w:w="1134" w:type="dxa"/>
            <w:shd w:val="clear" w:color="auto" w:fill="FFFFFF" w:themeFill="background1"/>
            <w:noWrap/>
            <w:vAlign w:val="center"/>
          </w:tcPr>
          <w:p w14:paraId="23BDC65C" w14:textId="77777777" w:rsidR="00692E71" w:rsidRPr="001E3185" w:rsidRDefault="00692E71" w:rsidP="008E0250">
            <w:pPr>
              <w:jc w:val="center"/>
              <w:rPr>
                <w:rFonts w:cs="Arial"/>
                <w:b/>
                <w:lang w:eastAsia="da-DK"/>
              </w:rPr>
            </w:pPr>
            <w:r w:rsidRPr="001E3185">
              <w:rPr>
                <w:rFonts w:cs="Arial"/>
                <w:b/>
                <w:lang w:eastAsia="da-DK"/>
              </w:rPr>
              <w:t>Tebucon</w:t>
            </w:r>
            <w:r w:rsidRPr="001E3185">
              <w:rPr>
                <w:rFonts w:cs="Arial"/>
                <w:b/>
                <w:lang w:eastAsia="da-DK"/>
              </w:rPr>
              <w:softHyphen/>
              <w:t>azole</w:t>
            </w:r>
          </w:p>
        </w:tc>
        <w:tc>
          <w:tcPr>
            <w:tcW w:w="1134" w:type="dxa"/>
            <w:shd w:val="clear" w:color="auto" w:fill="FFFFFF" w:themeFill="background1"/>
            <w:vAlign w:val="center"/>
          </w:tcPr>
          <w:p w14:paraId="426F89B1"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themeFill="background1"/>
            <w:vAlign w:val="center"/>
          </w:tcPr>
          <w:p w14:paraId="4C023613" w14:textId="77777777" w:rsidR="00692E71" w:rsidRPr="001E3185" w:rsidRDefault="00692E71" w:rsidP="008E0250">
            <w:pPr>
              <w:jc w:val="center"/>
              <w:rPr>
                <w:rFonts w:cs="Arial"/>
                <w:b/>
                <w:lang w:eastAsia="da-DK"/>
              </w:rPr>
            </w:pPr>
            <w:r w:rsidRPr="001E3185">
              <w:rPr>
                <w:rFonts w:cs="Arial"/>
                <w:b/>
                <w:lang w:eastAsia="da-DK"/>
              </w:rPr>
              <w:t>Total PEC/PNEC</w:t>
            </w:r>
          </w:p>
        </w:tc>
      </w:tr>
      <w:tr w:rsidR="00692E71" w:rsidRPr="001E3185" w14:paraId="52415E86" w14:textId="77777777" w:rsidTr="008E0250">
        <w:trPr>
          <w:trHeight w:val="20"/>
        </w:trPr>
        <w:tc>
          <w:tcPr>
            <w:tcW w:w="3681" w:type="dxa"/>
            <w:shd w:val="clear" w:color="auto" w:fill="FFFFFF" w:themeFill="background1"/>
            <w:noWrap/>
            <w:vAlign w:val="bottom"/>
          </w:tcPr>
          <w:p w14:paraId="5CF4C56E" w14:textId="77777777" w:rsidR="00692E71" w:rsidRPr="001E3185" w:rsidRDefault="00692E71" w:rsidP="008E0250">
            <w:pPr>
              <w:rPr>
                <w:rFonts w:cs="Arial"/>
                <w:b/>
                <w:lang w:eastAsia="da-DK"/>
              </w:rPr>
            </w:pPr>
            <w:r w:rsidRPr="001E3185">
              <w:rPr>
                <w:rFonts w:cs="Arial"/>
                <w:b/>
                <w:lang w:eastAsia="da-DK"/>
              </w:rPr>
              <w:t>Noise Barrier (STP influent)</w:t>
            </w:r>
          </w:p>
        </w:tc>
        <w:tc>
          <w:tcPr>
            <w:tcW w:w="992" w:type="dxa"/>
            <w:shd w:val="clear" w:color="auto" w:fill="FFFFFF" w:themeFill="background1"/>
            <w:noWrap/>
            <w:vAlign w:val="center"/>
          </w:tcPr>
          <w:p w14:paraId="3546E321"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7B843E7A"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1B5DD831" w14:textId="77777777" w:rsidR="00692E71" w:rsidRPr="001E3185" w:rsidRDefault="00692E71" w:rsidP="008E0250">
            <w:pPr>
              <w:jc w:val="center"/>
              <w:rPr>
                <w:rFonts w:cs="Arial"/>
                <w:lang w:eastAsia="da-DK"/>
              </w:rPr>
            </w:pPr>
          </w:p>
        </w:tc>
        <w:tc>
          <w:tcPr>
            <w:tcW w:w="1134" w:type="dxa"/>
            <w:shd w:val="clear" w:color="auto" w:fill="FFFFFF" w:themeFill="background1"/>
            <w:vAlign w:val="center"/>
          </w:tcPr>
          <w:p w14:paraId="7A3B8BAA" w14:textId="77777777" w:rsidR="00692E71" w:rsidRPr="001E3185" w:rsidRDefault="00692E71" w:rsidP="008E0250">
            <w:pPr>
              <w:jc w:val="center"/>
              <w:rPr>
                <w:rFonts w:cs="Arial"/>
                <w:lang w:eastAsia="da-DK"/>
              </w:rPr>
            </w:pPr>
          </w:p>
        </w:tc>
        <w:tc>
          <w:tcPr>
            <w:tcW w:w="1276" w:type="dxa"/>
            <w:shd w:val="clear" w:color="auto" w:fill="FFFFFF" w:themeFill="background1"/>
            <w:vAlign w:val="center"/>
          </w:tcPr>
          <w:p w14:paraId="5969FDFB" w14:textId="77777777" w:rsidR="00692E71" w:rsidRPr="001E3185" w:rsidRDefault="00692E71" w:rsidP="008E0250">
            <w:pPr>
              <w:jc w:val="center"/>
              <w:rPr>
                <w:rFonts w:cs="Arial"/>
                <w:lang w:eastAsia="da-DK"/>
              </w:rPr>
            </w:pPr>
          </w:p>
        </w:tc>
      </w:tr>
      <w:tr w:rsidR="00692E71" w:rsidRPr="001E3185" w14:paraId="61B5656F" w14:textId="77777777" w:rsidTr="008E0250">
        <w:trPr>
          <w:trHeight w:val="20"/>
        </w:trPr>
        <w:tc>
          <w:tcPr>
            <w:tcW w:w="3681" w:type="dxa"/>
            <w:shd w:val="clear" w:color="auto" w:fill="FFFFFF" w:themeFill="background1"/>
            <w:noWrap/>
            <w:vAlign w:val="bottom"/>
          </w:tcPr>
          <w:p w14:paraId="30D41A70" w14:textId="77777777" w:rsidR="00692E71" w:rsidRPr="001E3185" w:rsidRDefault="00692E71" w:rsidP="008E0250">
            <w:pPr>
              <w:rPr>
                <w:rFonts w:cs="Arial"/>
                <w:b/>
                <w:lang w:eastAsia="da-DK"/>
              </w:rPr>
            </w:pPr>
            <w:r w:rsidRPr="001E3185">
              <w:rPr>
                <w:rFonts w:cs="Arial"/>
                <w:lang w:eastAsia="da-DK"/>
              </w:rPr>
              <w:t>PEC/PNEC local without removal [µg/L] Time 1</w:t>
            </w:r>
          </w:p>
        </w:tc>
        <w:tc>
          <w:tcPr>
            <w:tcW w:w="992" w:type="dxa"/>
            <w:shd w:val="clear" w:color="auto" w:fill="FFFFFF" w:themeFill="background1"/>
            <w:noWrap/>
            <w:vAlign w:val="center"/>
          </w:tcPr>
          <w:p w14:paraId="540719C5" w14:textId="77777777" w:rsidR="00692E71" w:rsidRPr="001E3185" w:rsidRDefault="00692E71" w:rsidP="008E0250">
            <w:pPr>
              <w:jc w:val="center"/>
              <w:rPr>
                <w:rFonts w:cs="Arial"/>
                <w:lang w:eastAsia="da-DK"/>
              </w:rPr>
            </w:pPr>
            <w:r w:rsidRPr="001E3185">
              <w:rPr>
                <w:rFonts w:cs="Arial"/>
                <w:color w:val="000000"/>
              </w:rPr>
              <w:t>4.0*10</w:t>
            </w:r>
            <w:r w:rsidRPr="001E3185">
              <w:rPr>
                <w:rFonts w:cs="Arial"/>
                <w:color w:val="000000"/>
                <w:vertAlign w:val="superscript"/>
              </w:rPr>
              <w:t>-4</w:t>
            </w:r>
          </w:p>
        </w:tc>
        <w:tc>
          <w:tcPr>
            <w:tcW w:w="1134" w:type="dxa"/>
            <w:shd w:val="clear" w:color="auto" w:fill="FFFFFF" w:themeFill="background1"/>
            <w:noWrap/>
            <w:vAlign w:val="center"/>
          </w:tcPr>
          <w:p w14:paraId="2F7487AA" w14:textId="77777777" w:rsidR="00692E71" w:rsidRPr="001E3185" w:rsidRDefault="00692E71" w:rsidP="008E0250">
            <w:pPr>
              <w:jc w:val="center"/>
              <w:rPr>
                <w:rFonts w:cs="Arial"/>
                <w:lang w:eastAsia="da-DK"/>
              </w:rPr>
            </w:pPr>
            <w:r w:rsidRPr="001E3185">
              <w:rPr>
                <w:rFonts w:cs="Arial"/>
                <w:color w:val="000000"/>
              </w:rPr>
              <w:t>7.2*10</w:t>
            </w:r>
            <w:r w:rsidRPr="001E3185">
              <w:rPr>
                <w:rFonts w:cs="Arial"/>
                <w:color w:val="000000"/>
                <w:vertAlign w:val="superscript"/>
              </w:rPr>
              <w:t>-6</w:t>
            </w:r>
          </w:p>
        </w:tc>
        <w:tc>
          <w:tcPr>
            <w:tcW w:w="1134" w:type="dxa"/>
            <w:shd w:val="clear" w:color="auto" w:fill="FFFFFF" w:themeFill="background1"/>
            <w:noWrap/>
            <w:vAlign w:val="center"/>
          </w:tcPr>
          <w:p w14:paraId="24854A38" w14:textId="77777777" w:rsidR="00692E71" w:rsidRPr="001E3185" w:rsidRDefault="00692E71" w:rsidP="008E0250">
            <w:pPr>
              <w:jc w:val="center"/>
              <w:rPr>
                <w:rFonts w:cs="Arial"/>
                <w:lang w:eastAsia="da-DK"/>
              </w:rPr>
            </w:pPr>
            <w:r w:rsidRPr="001E3185">
              <w:rPr>
                <w:rFonts w:cs="Arial"/>
                <w:color w:val="000000"/>
              </w:rPr>
              <w:t>9.8*10</w:t>
            </w:r>
            <w:r w:rsidRPr="001E3185">
              <w:rPr>
                <w:rFonts w:cs="Arial"/>
                <w:color w:val="000000"/>
                <w:vertAlign w:val="superscript"/>
              </w:rPr>
              <w:t>-4</w:t>
            </w:r>
          </w:p>
        </w:tc>
        <w:tc>
          <w:tcPr>
            <w:tcW w:w="1134" w:type="dxa"/>
            <w:shd w:val="clear" w:color="auto" w:fill="FFFFFF" w:themeFill="background1"/>
            <w:vAlign w:val="center"/>
          </w:tcPr>
          <w:p w14:paraId="287D086F" w14:textId="77777777" w:rsidR="00692E71" w:rsidRPr="001E3185" w:rsidRDefault="00692E71" w:rsidP="008E0250">
            <w:pPr>
              <w:jc w:val="center"/>
              <w:rPr>
                <w:rFonts w:cs="Arial"/>
                <w:lang w:eastAsia="da-DK"/>
              </w:rPr>
            </w:pPr>
            <w:r w:rsidRPr="001E3185">
              <w:rPr>
                <w:rFonts w:cs="Arial"/>
                <w:color w:val="000000"/>
              </w:rPr>
              <w:t>1.2*10</w:t>
            </w:r>
            <w:r w:rsidRPr="001E3185">
              <w:rPr>
                <w:rFonts w:cs="Arial"/>
                <w:color w:val="000000"/>
                <w:vertAlign w:val="superscript"/>
              </w:rPr>
              <w:t>-6</w:t>
            </w:r>
          </w:p>
        </w:tc>
        <w:tc>
          <w:tcPr>
            <w:tcW w:w="1276" w:type="dxa"/>
            <w:shd w:val="clear" w:color="auto" w:fill="FFFFFF" w:themeFill="background1"/>
            <w:vAlign w:val="center"/>
          </w:tcPr>
          <w:p w14:paraId="5FB945BE" w14:textId="77777777" w:rsidR="00692E71" w:rsidRPr="001E3185" w:rsidRDefault="00692E71" w:rsidP="008E0250">
            <w:pPr>
              <w:jc w:val="center"/>
              <w:rPr>
                <w:rFonts w:cs="Arial"/>
                <w:lang w:eastAsia="da-DK"/>
              </w:rPr>
            </w:pPr>
            <w:r w:rsidRPr="001E3185">
              <w:rPr>
                <w:rFonts w:cs="Arial"/>
                <w:color w:val="000000"/>
              </w:rPr>
              <w:t>1.4*10</w:t>
            </w:r>
            <w:r w:rsidRPr="001E3185">
              <w:rPr>
                <w:rFonts w:cs="Arial"/>
                <w:color w:val="000000"/>
                <w:vertAlign w:val="superscript"/>
              </w:rPr>
              <w:t>-3</w:t>
            </w:r>
          </w:p>
        </w:tc>
      </w:tr>
      <w:tr w:rsidR="00692E71" w:rsidRPr="001E3185" w14:paraId="536BC112" w14:textId="77777777" w:rsidTr="008E0250">
        <w:trPr>
          <w:trHeight w:val="20"/>
        </w:trPr>
        <w:tc>
          <w:tcPr>
            <w:tcW w:w="3681" w:type="dxa"/>
            <w:shd w:val="clear" w:color="auto" w:fill="FFFFFF" w:themeFill="background1"/>
            <w:noWrap/>
            <w:vAlign w:val="bottom"/>
          </w:tcPr>
          <w:p w14:paraId="0701443F" w14:textId="77777777" w:rsidR="00692E71" w:rsidRPr="001E3185" w:rsidRDefault="00692E71" w:rsidP="008E0250">
            <w:pPr>
              <w:rPr>
                <w:rFonts w:cs="Arial"/>
                <w:b/>
                <w:lang w:eastAsia="da-DK"/>
              </w:rPr>
            </w:pPr>
            <w:r w:rsidRPr="001E3185">
              <w:rPr>
                <w:rFonts w:cs="Arial"/>
                <w:lang w:eastAsia="da-DK"/>
              </w:rPr>
              <w:t>PEC/PNEC local without removal [µg/L] Time 2 (5475 days)</w:t>
            </w:r>
          </w:p>
        </w:tc>
        <w:tc>
          <w:tcPr>
            <w:tcW w:w="992" w:type="dxa"/>
            <w:shd w:val="clear" w:color="auto" w:fill="FFFFFF" w:themeFill="background1"/>
            <w:noWrap/>
            <w:vAlign w:val="center"/>
          </w:tcPr>
          <w:p w14:paraId="56A3CE19" w14:textId="77777777" w:rsidR="00692E71" w:rsidRPr="001E3185" w:rsidRDefault="00692E71" w:rsidP="008E0250">
            <w:pPr>
              <w:jc w:val="center"/>
              <w:rPr>
                <w:rFonts w:cs="Arial"/>
                <w:lang w:eastAsia="da-DK"/>
              </w:rPr>
            </w:pPr>
            <w:r w:rsidRPr="001E3185">
              <w:rPr>
                <w:rFonts w:cs="Arial"/>
                <w:color w:val="000000"/>
              </w:rPr>
              <w:t>1.2*10</w:t>
            </w:r>
            <w:r w:rsidRPr="001E3185">
              <w:rPr>
                <w:rFonts w:cs="Arial"/>
                <w:color w:val="000000"/>
                <w:vertAlign w:val="superscript"/>
              </w:rPr>
              <w:t>-5</w:t>
            </w:r>
          </w:p>
        </w:tc>
        <w:tc>
          <w:tcPr>
            <w:tcW w:w="1134" w:type="dxa"/>
            <w:shd w:val="clear" w:color="auto" w:fill="FFFFFF" w:themeFill="background1"/>
            <w:noWrap/>
            <w:vAlign w:val="center"/>
          </w:tcPr>
          <w:p w14:paraId="65266B2C" w14:textId="77777777" w:rsidR="00692E71" w:rsidRPr="001E3185" w:rsidRDefault="00692E71" w:rsidP="008E0250">
            <w:pPr>
              <w:jc w:val="center"/>
              <w:rPr>
                <w:rFonts w:cs="Arial"/>
                <w:lang w:eastAsia="da-DK"/>
              </w:rPr>
            </w:pPr>
            <w:r w:rsidRPr="001E3185">
              <w:rPr>
                <w:rFonts w:cs="Arial"/>
                <w:color w:val="000000"/>
              </w:rPr>
              <w:t>3.1*10</w:t>
            </w:r>
            <w:r w:rsidRPr="001E3185">
              <w:rPr>
                <w:rFonts w:cs="Arial"/>
                <w:color w:val="000000"/>
                <w:vertAlign w:val="superscript"/>
              </w:rPr>
              <w:t>-7</w:t>
            </w:r>
          </w:p>
        </w:tc>
        <w:tc>
          <w:tcPr>
            <w:tcW w:w="1134" w:type="dxa"/>
            <w:shd w:val="clear" w:color="auto" w:fill="FFFFFF" w:themeFill="background1"/>
            <w:noWrap/>
            <w:vAlign w:val="center"/>
          </w:tcPr>
          <w:p w14:paraId="0DEA6BE0" w14:textId="77777777" w:rsidR="00692E71" w:rsidRPr="001E3185" w:rsidRDefault="00692E71" w:rsidP="008E0250">
            <w:pPr>
              <w:jc w:val="center"/>
              <w:rPr>
                <w:rFonts w:cs="Arial"/>
                <w:lang w:eastAsia="da-DK"/>
              </w:rPr>
            </w:pPr>
            <w:r w:rsidRPr="001E3185">
              <w:rPr>
                <w:rFonts w:cs="Arial"/>
                <w:color w:val="000000"/>
              </w:rPr>
              <w:t>3.6*10</w:t>
            </w:r>
            <w:r w:rsidRPr="001E3185">
              <w:rPr>
                <w:rFonts w:cs="Arial"/>
                <w:color w:val="000000"/>
                <w:vertAlign w:val="superscript"/>
              </w:rPr>
              <w:t>-5</w:t>
            </w:r>
          </w:p>
        </w:tc>
        <w:tc>
          <w:tcPr>
            <w:tcW w:w="1134" w:type="dxa"/>
            <w:shd w:val="clear" w:color="auto" w:fill="FFFFFF" w:themeFill="background1"/>
            <w:vAlign w:val="center"/>
          </w:tcPr>
          <w:p w14:paraId="753931A2" w14:textId="77777777" w:rsidR="00692E71" w:rsidRPr="001E3185" w:rsidRDefault="00692E71" w:rsidP="008E0250">
            <w:pPr>
              <w:jc w:val="center"/>
              <w:rPr>
                <w:rFonts w:cs="Arial"/>
                <w:lang w:eastAsia="da-DK"/>
              </w:rPr>
            </w:pPr>
            <w:r w:rsidRPr="001E3185">
              <w:rPr>
                <w:rFonts w:cs="Arial"/>
                <w:color w:val="000000"/>
              </w:rPr>
              <w:t>6.8*10</w:t>
            </w:r>
            <w:r w:rsidRPr="001E3185">
              <w:rPr>
                <w:rFonts w:cs="Arial"/>
                <w:color w:val="000000"/>
                <w:vertAlign w:val="superscript"/>
              </w:rPr>
              <w:t>-7</w:t>
            </w:r>
          </w:p>
        </w:tc>
        <w:tc>
          <w:tcPr>
            <w:tcW w:w="1276" w:type="dxa"/>
            <w:shd w:val="clear" w:color="auto" w:fill="FFFFFF" w:themeFill="background1"/>
            <w:vAlign w:val="center"/>
          </w:tcPr>
          <w:p w14:paraId="2E321C13" w14:textId="77777777" w:rsidR="00692E71" w:rsidRPr="001E3185" w:rsidRDefault="00692E71" w:rsidP="008E0250">
            <w:pPr>
              <w:jc w:val="center"/>
              <w:rPr>
                <w:rFonts w:cs="Arial"/>
                <w:lang w:eastAsia="da-DK"/>
              </w:rPr>
            </w:pPr>
            <w:r w:rsidRPr="001E3185">
              <w:rPr>
                <w:rFonts w:cs="Arial"/>
                <w:color w:val="000000"/>
              </w:rPr>
              <w:t>4.9*10</w:t>
            </w:r>
            <w:r w:rsidRPr="001E3185">
              <w:rPr>
                <w:rFonts w:cs="Arial"/>
                <w:color w:val="000000"/>
                <w:vertAlign w:val="superscript"/>
              </w:rPr>
              <w:t>-5</w:t>
            </w:r>
          </w:p>
        </w:tc>
      </w:tr>
      <w:tr w:rsidR="00692E71" w:rsidRPr="001E3185" w14:paraId="2C469785" w14:textId="77777777" w:rsidTr="008E0250">
        <w:trPr>
          <w:trHeight w:val="20"/>
        </w:trPr>
        <w:tc>
          <w:tcPr>
            <w:tcW w:w="3681" w:type="dxa"/>
            <w:shd w:val="clear" w:color="auto" w:fill="FFFFFF" w:themeFill="background1"/>
            <w:noWrap/>
            <w:vAlign w:val="bottom"/>
          </w:tcPr>
          <w:p w14:paraId="67DAA3E8" w14:textId="77777777" w:rsidR="00692E71" w:rsidRPr="001E3185" w:rsidRDefault="00692E71" w:rsidP="008E0250">
            <w:pPr>
              <w:rPr>
                <w:rFonts w:cs="Arial"/>
                <w:b/>
                <w:lang w:eastAsia="da-DK"/>
              </w:rPr>
            </w:pPr>
            <w:r w:rsidRPr="001E3185">
              <w:rPr>
                <w:rFonts w:cs="Arial"/>
                <w:b/>
                <w:lang w:eastAsia="da-DK"/>
              </w:rPr>
              <w:t>Bridge over Pond (surface water)</w:t>
            </w:r>
          </w:p>
        </w:tc>
        <w:tc>
          <w:tcPr>
            <w:tcW w:w="992" w:type="dxa"/>
            <w:shd w:val="clear" w:color="auto" w:fill="FFFFFF" w:themeFill="background1"/>
            <w:noWrap/>
            <w:vAlign w:val="center"/>
          </w:tcPr>
          <w:p w14:paraId="49CEE95A"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21DAF505"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67F673B1" w14:textId="77777777" w:rsidR="00692E71" w:rsidRPr="001E3185" w:rsidRDefault="00692E71" w:rsidP="008E0250">
            <w:pPr>
              <w:jc w:val="center"/>
              <w:rPr>
                <w:rFonts w:cs="Arial"/>
                <w:lang w:eastAsia="da-DK"/>
              </w:rPr>
            </w:pPr>
          </w:p>
        </w:tc>
        <w:tc>
          <w:tcPr>
            <w:tcW w:w="1134" w:type="dxa"/>
            <w:shd w:val="clear" w:color="auto" w:fill="FFFFFF" w:themeFill="background1"/>
            <w:vAlign w:val="center"/>
          </w:tcPr>
          <w:p w14:paraId="74C133F3" w14:textId="77777777" w:rsidR="00692E71" w:rsidRPr="001E3185" w:rsidRDefault="00692E71" w:rsidP="008E0250">
            <w:pPr>
              <w:jc w:val="center"/>
              <w:rPr>
                <w:rFonts w:cs="Arial"/>
                <w:lang w:eastAsia="da-DK"/>
              </w:rPr>
            </w:pPr>
          </w:p>
        </w:tc>
        <w:tc>
          <w:tcPr>
            <w:tcW w:w="1276" w:type="dxa"/>
            <w:shd w:val="clear" w:color="auto" w:fill="FFFFFF" w:themeFill="background1"/>
            <w:vAlign w:val="center"/>
          </w:tcPr>
          <w:p w14:paraId="32F2EBA3" w14:textId="77777777" w:rsidR="00692E71" w:rsidRPr="001E3185" w:rsidRDefault="00692E71" w:rsidP="008E0250">
            <w:pPr>
              <w:jc w:val="center"/>
              <w:rPr>
                <w:rFonts w:cs="Arial"/>
                <w:lang w:eastAsia="da-DK"/>
              </w:rPr>
            </w:pPr>
          </w:p>
        </w:tc>
      </w:tr>
      <w:tr w:rsidR="00692E71" w:rsidRPr="001E3185" w14:paraId="1A5F7D5E" w14:textId="77777777" w:rsidTr="008E0250">
        <w:trPr>
          <w:trHeight w:val="20"/>
        </w:trPr>
        <w:tc>
          <w:tcPr>
            <w:tcW w:w="3681" w:type="dxa"/>
            <w:shd w:val="clear" w:color="auto" w:fill="FFFFFF" w:themeFill="background1"/>
            <w:noWrap/>
            <w:vAlign w:val="bottom"/>
          </w:tcPr>
          <w:p w14:paraId="2B2F91D9" w14:textId="77777777" w:rsidR="00692E71" w:rsidRPr="001E3185" w:rsidRDefault="00692E71" w:rsidP="008E0250">
            <w:pPr>
              <w:rPr>
                <w:rFonts w:cs="Arial"/>
                <w:b/>
                <w:lang w:eastAsia="da-DK"/>
              </w:rPr>
            </w:pPr>
            <w:r w:rsidRPr="001E3185">
              <w:rPr>
                <w:rFonts w:cs="Arial"/>
                <w:lang w:eastAsia="da-DK"/>
              </w:rPr>
              <w:t>PEC/PNEC local without removal [µg/L] Time 1</w:t>
            </w:r>
          </w:p>
        </w:tc>
        <w:tc>
          <w:tcPr>
            <w:tcW w:w="992" w:type="dxa"/>
            <w:shd w:val="clear" w:color="auto" w:fill="FFFFFF" w:themeFill="background1"/>
            <w:noWrap/>
            <w:vAlign w:val="center"/>
          </w:tcPr>
          <w:p w14:paraId="5AFB0513" w14:textId="77777777" w:rsidR="00692E71" w:rsidRPr="001E3185" w:rsidRDefault="00692E71" w:rsidP="008E0250">
            <w:pPr>
              <w:jc w:val="center"/>
              <w:rPr>
                <w:rFonts w:cs="Arial"/>
                <w:lang w:eastAsia="da-DK"/>
              </w:rPr>
            </w:pPr>
            <w:r w:rsidRPr="001E3185">
              <w:rPr>
                <w:rFonts w:cs="Arial"/>
                <w:color w:val="000000"/>
              </w:rPr>
              <w:t>0.10</w:t>
            </w:r>
          </w:p>
        </w:tc>
        <w:tc>
          <w:tcPr>
            <w:tcW w:w="1134" w:type="dxa"/>
            <w:shd w:val="clear" w:color="auto" w:fill="FFFFFF" w:themeFill="background1"/>
            <w:noWrap/>
            <w:vAlign w:val="center"/>
          </w:tcPr>
          <w:p w14:paraId="6AFEA289" w14:textId="77777777" w:rsidR="00692E71" w:rsidRPr="001E3185" w:rsidRDefault="00692E71" w:rsidP="008E0250">
            <w:pPr>
              <w:jc w:val="center"/>
              <w:rPr>
                <w:rFonts w:cs="Arial"/>
                <w:lang w:eastAsia="da-DK"/>
              </w:rPr>
            </w:pPr>
            <w:r w:rsidRPr="001E3185">
              <w:rPr>
                <w:rFonts w:cs="Arial"/>
                <w:color w:val="000000"/>
              </w:rPr>
              <w:t>0.03</w:t>
            </w:r>
          </w:p>
        </w:tc>
        <w:tc>
          <w:tcPr>
            <w:tcW w:w="1134" w:type="dxa"/>
            <w:shd w:val="clear" w:color="auto" w:fill="FFFFFF" w:themeFill="background1"/>
            <w:noWrap/>
            <w:vAlign w:val="center"/>
          </w:tcPr>
          <w:p w14:paraId="45AE4C8B" w14:textId="77777777" w:rsidR="00692E71" w:rsidRPr="001E3185" w:rsidRDefault="00692E71" w:rsidP="008E0250">
            <w:pPr>
              <w:jc w:val="center"/>
              <w:rPr>
                <w:rFonts w:cs="Arial"/>
                <w:lang w:eastAsia="da-DK"/>
              </w:rPr>
            </w:pPr>
            <w:r w:rsidRPr="001E3185">
              <w:rPr>
                <w:rFonts w:cs="Arial"/>
                <w:color w:val="000000"/>
              </w:rPr>
              <w:t>0.09</w:t>
            </w:r>
          </w:p>
        </w:tc>
        <w:tc>
          <w:tcPr>
            <w:tcW w:w="1134" w:type="dxa"/>
            <w:shd w:val="clear" w:color="auto" w:fill="FFFFFF" w:themeFill="background1"/>
            <w:vAlign w:val="center"/>
          </w:tcPr>
          <w:p w14:paraId="4ABB4431" w14:textId="77777777" w:rsidR="00692E71" w:rsidRPr="001E3185" w:rsidRDefault="00692E71" w:rsidP="008E0250">
            <w:pPr>
              <w:jc w:val="center"/>
              <w:rPr>
                <w:rFonts w:cs="Arial"/>
                <w:lang w:eastAsia="da-DK"/>
              </w:rPr>
            </w:pPr>
            <w:r w:rsidRPr="001E3185">
              <w:rPr>
                <w:rFonts w:cs="Arial"/>
                <w:color w:val="000000"/>
              </w:rPr>
              <w:t>0.57</w:t>
            </w:r>
          </w:p>
        </w:tc>
        <w:tc>
          <w:tcPr>
            <w:tcW w:w="1276" w:type="dxa"/>
            <w:shd w:val="clear" w:color="auto" w:fill="FFFFFF" w:themeFill="background1"/>
            <w:vAlign w:val="center"/>
          </w:tcPr>
          <w:p w14:paraId="0D33E186" w14:textId="77777777" w:rsidR="00692E71" w:rsidRPr="001E3185" w:rsidRDefault="00692E71" w:rsidP="008E0250">
            <w:pPr>
              <w:jc w:val="center"/>
              <w:rPr>
                <w:rFonts w:cs="Arial"/>
                <w:color w:val="000000"/>
              </w:rPr>
            </w:pPr>
            <w:r w:rsidRPr="001E3185">
              <w:rPr>
                <w:rFonts w:cs="Arial"/>
                <w:color w:val="000000"/>
              </w:rPr>
              <w:t>0.79</w:t>
            </w:r>
          </w:p>
        </w:tc>
      </w:tr>
      <w:tr w:rsidR="00692E71" w:rsidRPr="001E3185" w14:paraId="7B7F31AE" w14:textId="77777777" w:rsidTr="008E0250">
        <w:trPr>
          <w:trHeight w:val="20"/>
        </w:trPr>
        <w:tc>
          <w:tcPr>
            <w:tcW w:w="3681" w:type="dxa"/>
            <w:shd w:val="clear" w:color="auto" w:fill="FFFFFF" w:themeFill="background1"/>
            <w:noWrap/>
            <w:vAlign w:val="bottom"/>
          </w:tcPr>
          <w:p w14:paraId="5C592EA7" w14:textId="77777777" w:rsidR="00692E71" w:rsidRPr="001E3185" w:rsidRDefault="00692E71" w:rsidP="008E0250">
            <w:pPr>
              <w:rPr>
                <w:rFonts w:cs="Arial"/>
                <w:b/>
                <w:lang w:eastAsia="da-DK"/>
              </w:rPr>
            </w:pPr>
            <w:r w:rsidRPr="001E3185">
              <w:rPr>
                <w:rFonts w:cs="Arial"/>
                <w:lang w:eastAsia="da-DK"/>
              </w:rPr>
              <w:t>PEC/PNEC local without removal [µg/L] Time 2 (5475 days)</w:t>
            </w:r>
          </w:p>
        </w:tc>
        <w:tc>
          <w:tcPr>
            <w:tcW w:w="992" w:type="dxa"/>
            <w:shd w:val="clear" w:color="auto" w:fill="FFFFFF" w:themeFill="background1"/>
            <w:noWrap/>
            <w:vAlign w:val="center"/>
          </w:tcPr>
          <w:p w14:paraId="645F9CA6" w14:textId="77777777" w:rsidR="00692E71" w:rsidRPr="001E3185" w:rsidRDefault="00692E71" w:rsidP="008E0250">
            <w:pPr>
              <w:jc w:val="center"/>
              <w:rPr>
                <w:rFonts w:cs="Arial"/>
                <w:lang w:eastAsia="da-DK"/>
              </w:rPr>
            </w:pPr>
            <w:r w:rsidRPr="001E3185">
              <w:rPr>
                <w:rFonts w:cs="Arial"/>
                <w:color w:val="000000"/>
              </w:rPr>
              <w:t>0.66</w:t>
            </w:r>
          </w:p>
        </w:tc>
        <w:tc>
          <w:tcPr>
            <w:tcW w:w="1134" w:type="dxa"/>
            <w:shd w:val="clear" w:color="auto" w:fill="FFFFFF" w:themeFill="background1"/>
            <w:noWrap/>
            <w:vAlign w:val="center"/>
          </w:tcPr>
          <w:p w14:paraId="4309804B" w14:textId="77777777" w:rsidR="00692E71" w:rsidRPr="001E3185" w:rsidRDefault="00692E71" w:rsidP="008E0250">
            <w:pPr>
              <w:jc w:val="center"/>
              <w:rPr>
                <w:rFonts w:cs="Arial"/>
                <w:lang w:eastAsia="da-DK"/>
              </w:rPr>
            </w:pPr>
            <w:r w:rsidRPr="001E3185">
              <w:rPr>
                <w:rFonts w:cs="Arial"/>
                <w:color w:val="000000"/>
              </w:rPr>
              <w:t>0.27</w:t>
            </w:r>
          </w:p>
        </w:tc>
        <w:tc>
          <w:tcPr>
            <w:tcW w:w="1134" w:type="dxa"/>
            <w:shd w:val="clear" w:color="auto" w:fill="FFFFFF" w:themeFill="background1"/>
            <w:noWrap/>
            <w:vAlign w:val="center"/>
          </w:tcPr>
          <w:p w14:paraId="5E8B9DFA" w14:textId="77777777" w:rsidR="00692E71" w:rsidRPr="001E3185" w:rsidRDefault="00692E71" w:rsidP="008E0250">
            <w:pPr>
              <w:jc w:val="center"/>
              <w:rPr>
                <w:rFonts w:cs="Arial"/>
                <w:lang w:eastAsia="da-DK"/>
              </w:rPr>
            </w:pPr>
            <w:r w:rsidRPr="001E3185">
              <w:rPr>
                <w:rFonts w:cs="Arial"/>
                <w:color w:val="000000"/>
              </w:rPr>
              <w:t>0.68</w:t>
            </w:r>
          </w:p>
        </w:tc>
        <w:tc>
          <w:tcPr>
            <w:tcW w:w="1134" w:type="dxa"/>
            <w:shd w:val="clear" w:color="auto" w:fill="FFFFFF" w:themeFill="background1"/>
            <w:vAlign w:val="center"/>
          </w:tcPr>
          <w:p w14:paraId="2D386CC4" w14:textId="77777777" w:rsidR="00692E71" w:rsidRPr="001E3185" w:rsidRDefault="00692E71" w:rsidP="008E0250">
            <w:pPr>
              <w:jc w:val="center"/>
              <w:rPr>
                <w:rFonts w:cs="Arial"/>
                <w:lang w:eastAsia="da-DK"/>
              </w:rPr>
            </w:pPr>
            <w:r w:rsidRPr="001E3185">
              <w:rPr>
                <w:rFonts w:cs="Arial"/>
                <w:color w:val="000000"/>
              </w:rPr>
              <w:t>58</w:t>
            </w:r>
          </w:p>
        </w:tc>
        <w:tc>
          <w:tcPr>
            <w:tcW w:w="1276" w:type="dxa"/>
            <w:shd w:val="clear" w:color="auto" w:fill="FFFFFF" w:themeFill="background1"/>
            <w:vAlign w:val="center"/>
          </w:tcPr>
          <w:p w14:paraId="68B17916" w14:textId="77777777" w:rsidR="00692E71" w:rsidRPr="001E3185" w:rsidRDefault="00692E71" w:rsidP="008E0250">
            <w:pPr>
              <w:jc w:val="center"/>
              <w:rPr>
                <w:rFonts w:cs="Arial"/>
                <w:color w:val="000000"/>
              </w:rPr>
            </w:pPr>
            <w:r w:rsidRPr="001E3185">
              <w:rPr>
                <w:rFonts w:cs="Arial"/>
                <w:color w:val="000000"/>
              </w:rPr>
              <w:t>60</w:t>
            </w:r>
          </w:p>
        </w:tc>
      </w:tr>
      <w:tr w:rsidR="00692E71" w:rsidRPr="001E3185" w14:paraId="72386454" w14:textId="77777777" w:rsidTr="008E0250">
        <w:trPr>
          <w:trHeight w:val="20"/>
        </w:trPr>
        <w:tc>
          <w:tcPr>
            <w:tcW w:w="3681" w:type="dxa"/>
            <w:shd w:val="clear" w:color="auto" w:fill="FFFFFF" w:themeFill="background1"/>
            <w:noWrap/>
            <w:vAlign w:val="bottom"/>
          </w:tcPr>
          <w:p w14:paraId="59A1E79B" w14:textId="77777777" w:rsidR="00692E71" w:rsidRPr="001E3185" w:rsidRDefault="00692E71" w:rsidP="008E0250">
            <w:pPr>
              <w:rPr>
                <w:rFonts w:cs="Arial"/>
                <w:b/>
                <w:lang w:eastAsia="da-DK"/>
              </w:rPr>
            </w:pPr>
          </w:p>
        </w:tc>
        <w:tc>
          <w:tcPr>
            <w:tcW w:w="992" w:type="dxa"/>
            <w:shd w:val="clear" w:color="auto" w:fill="FFFFFF" w:themeFill="background1"/>
            <w:noWrap/>
            <w:vAlign w:val="center"/>
          </w:tcPr>
          <w:p w14:paraId="333F07D7"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141C977A"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27EBEB07" w14:textId="77777777" w:rsidR="00692E71" w:rsidRPr="001E3185" w:rsidRDefault="00692E71" w:rsidP="008E0250">
            <w:pPr>
              <w:jc w:val="center"/>
              <w:rPr>
                <w:rFonts w:cs="Arial"/>
                <w:lang w:eastAsia="da-DK"/>
              </w:rPr>
            </w:pPr>
          </w:p>
        </w:tc>
        <w:tc>
          <w:tcPr>
            <w:tcW w:w="1134" w:type="dxa"/>
            <w:shd w:val="clear" w:color="auto" w:fill="FFFFFF" w:themeFill="background1"/>
            <w:vAlign w:val="center"/>
          </w:tcPr>
          <w:p w14:paraId="20A43EDE" w14:textId="77777777" w:rsidR="00692E71" w:rsidRPr="001E3185" w:rsidRDefault="00692E71" w:rsidP="008E0250">
            <w:pPr>
              <w:jc w:val="center"/>
              <w:rPr>
                <w:rFonts w:cs="Arial"/>
                <w:lang w:eastAsia="da-DK"/>
              </w:rPr>
            </w:pPr>
          </w:p>
        </w:tc>
        <w:tc>
          <w:tcPr>
            <w:tcW w:w="1276" w:type="dxa"/>
            <w:shd w:val="clear" w:color="auto" w:fill="FFFFFF" w:themeFill="background1"/>
            <w:vAlign w:val="center"/>
          </w:tcPr>
          <w:p w14:paraId="580C7D86" w14:textId="77777777" w:rsidR="00692E71" w:rsidRPr="001E3185" w:rsidRDefault="00692E71" w:rsidP="008E0250">
            <w:pPr>
              <w:jc w:val="center"/>
              <w:rPr>
                <w:rFonts w:cs="Arial"/>
                <w:lang w:eastAsia="da-DK"/>
              </w:rPr>
            </w:pPr>
          </w:p>
        </w:tc>
      </w:tr>
      <w:tr w:rsidR="00692E71" w:rsidRPr="001E3185" w14:paraId="1D910272" w14:textId="77777777" w:rsidTr="008E0250">
        <w:trPr>
          <w:trHeight w:val="20"/>
        </w:trPr>
        <w:tc>
          <w:tcPr>
            <w:tcW w:w="3681" w:type="dxa"/>
            <w:shd w:val="clear" w:color="auto" w:fill="FFFFFF" w:themeFill="background1"/>
            <w:noWrap/>
            <w:vAlign w:val="bottom"/>
          </w:tcPr>
          <w:p w14:paraId="786DE4DF" w14:textId="77777777" w:rsidR="00692E71" w:rsidRPr="001E3185" w:rsidRDefault="00692E71" w:rsidP="008E0250">
            <w:pPr>
              <w:rPr>
                <w:rFonts w:cs="Arial"/>
                <w:b/>
                <w:lang w:eastAsia="da-DK"/>
              </w:rPr>
            </w:pPr>
            <w:r w:rsidRPr="001E3185">
              <w:rPr>
                <w:rFonts w:cs="Arial"/>
                <w:lang w:eastAsia="da-DK"/>
              </w:rPr>
              <w:t>PEC/PNEC local with removal, [µg/L] Time 1 (30 days)</w:t>
            </w:r>
          </w:p>
        </w:tc>
        <w:tc>
          <w:tcPr>
            <w:tcW w:w="992" w:type="dxa"/>
            <w:shd w:val="clear" w:color="auto" w:fill="FFFFFF" w:themeFill="background1"/>
            <w:noWrap/>
            <w:vAlign w:val="center"/>
          </w:tcPr>
          <w:p w14:paraId="2AF230AE" w14:textId="77777777" w:rsidR="00692E71" w:rsidRPr="001E3185" w:rsidRDefault="00692E71" w:rsidP="008E0250">
            <w:pPr>
              <w:jc w:val="center"/>
              <w:rPr>
                <w:rFonts w:cs="Arial"/>
                <w:lang w:eastAsia="da-DK"/>
              </w:rPr>
            </w:pPr>
            <w:r w:rsidRPr="001E3185">
              <w:rPr>
                <w:rFonts w:cs="Arial"/>
                <w:color w:val="000000"/>
              </w:rPr>
              <w:t>6.2*10</w:t>
            </w:r>
            <w:r w:rsidRPr="001E3185">
              <w:rPr>
                <w:rFonts w:cs="Arial"/>
                <w:color w:val="000000"/>
                <w:vertAlign w:val="superscript"/>
              </w:rPr>
              <w:t>-4</w:t>
            </w:r>
          </w:p>
        </w:tc>
        <w:tc>
          <w:tcPr>
            <w:tcW w:w="1134" w:type="dxa"/>
            <w:shd w:val="clear" w:color="auto" w:fill="FFFFFF" w:themeFill="background1"/>
            <w:noWrap/>
            <w:vAlign w:val="center"/>
          </w:tcPr>
          <w:p w14:paraId="28424BD1" w14:textId="77777777" w:rsidR="00692E71" w:rsidRPr="001E3185" w:rsidRDefault="00692E71" w:rsidP="008E0250">
            <w:pPr>
              <w:jc w:val="center"/>
              <w:rPr>
                <w:rFonts w:cs="Arial"/>
                <w:lang w:eastAsia="da-DK"/>
              </w:rPr>
            </w:pPr>
            <w:r w:rsidRPr="001E3185">
              <w:rPr>
                <w:rFonts w:cs="Arial"/>
                <w:color w:val="000000"/>
              </w:rPr>
              <w:t>0.01</w:t>
            </w:r>
          </w:p>
        </w:tc>
        <w:tc>
          <w:tcPr>
            <w:tcW w:w="1134" w:type="dxa"/>
            <w:shd w:val="clear" w:color="auto" w:fill="FFFFFF" w:themeFill="background1"/>
            <w:noWrap/>
            <w:vAlign w:val="center"/>
          </w:tcPr>
          <w:p w14:paraId="12636B24" w14:textId="77777777" w:rsidR="00692E71" w:rsidRPr="001E3185" w:rsidRDefault="00692E71" w:rsidP="008E0250">
            <w:pPr>
              <w:jc w:val="center"/>
              <w:rPr>
                <w:rFonts w:cs="Arial"/>
                <w:lang w:eastAsia="da-DK"/>
              </w:rPr>
            </w:pPr>
            <w:r w:rsidRPr="001E3185">
              <w:rPr>
                <w:rFonts w:cs="Arial"/>
                <w:color w:val="000000"/>
              </w:rPr>
              <w:t>0.04</w:t>
            </w:r>
          </w:p>
        </w:tc>
        <w:tc>
          <w:tcPr>
            <w:tcW w:w="1134" w:type="dxa"/>
            <w:shd w:val="clear" w:color="auto" w:fill="FFFFFF" w:themeFill="background1"/>
            <w:vAlign w:val="center"/>
          </w:tcPr>
          <w:p w14:paraId="0B12123B" w14:textId="77777777" w:rsidR="00692E71" w:rsidRPr="001E3185" w:rsidRDefault="00692E71" w:rsidP="008E0250">
            <w:pPr>
              <w:jc w:val="center"/>
              <w:rPr>
                <w:rFonts w:cs="Arial"/>
                <w:lang w:eastAsia="da-DK"/>
              </w:rPr>
            </w:pPr>
            <w:r w:rsidRPr="001E3185">
              <w:rPr>
                <w:rFonts w:cs="Arial"/>
                <w:color w:val="000000"/>
              </w:rPr>
              <w:t>4.8*10</w:t>
            </w:r>
            <w:r w:rsidRPr="001E3185">
              <w:rPr>
                <w:rFonts w:cs="Arial"/>
                <w:color w:val="000000"/>
                <w:vertAlign w:val="superscript"/>
              </w:rPr>
              <w:t>-3</w:t>
            </w:r>
          </w:p>
        </w:tc>
        <w:tc>
          <w:tcPr>
            <w:tcW w:w="1276" w:type="dxa"/>
            <w:shd w:val="clear" w:color="auto" w:fill="FFFFFF" w:themeFill="background1"/>
            <w:vAlign w:val="center"/>
          </w:tcPr>
          <w:p w14:paraId="4F522638" w14:textId="77777777" w:rsidR="00692E71" w:rsidRPr="001E3185" w:rsidRDefault="00692E71" w:rsidP="008E0250">
            <w:pPr>
              <w:jc w:val="center"/>
              <w:rPr>
                <w:rFonts w:cs="Arial"/>
                <w:lang w:eastAsia="da-DK"/>
              </w:rPr>
            </w:pPr>
            <w:r w:rsidRPr="001E3185">
              <w:rPr>
                <w:rFonts w:cs="Arial"/>
                <w:lang w:eastAsia="da-DK"/>
              </w:rPr>
              <w:t>0.06</w:t>
            </w:r>
          </w:p>
        </w:tc>
      </w:tr>
      <w:tr w:rsidR="00692E71" w:rsidRPr="001E3185" w14:paraId="0A22DE43" w14:textId="77777777" w:rsidTr="008E0250">
        <w:trPr>
          <w:trHeight w:val="20"/>
        </w:trPr>
        <w:tc>
          <w:tcPr>
            <w:tcW w:w="3681" w:type="dxa"/>
            <w:shd w:val="clear" w:color="auto" w:fill="FFFFFF" w:themeFill="background1"/>
            <w:noWrap/>
            <w:vAlign w:val="bottom"/>
          </w:tcPr>
          <w:p w14:paraId="5F17898F" w14:textId="77777777" w:rsidR="00692E71" w:rsidRPr="001E3185" w:rsidRDefault="00692E71" w:rsidP="008E0250">
            <w:pPr>
              <w:rPr>
                <w:rFonts w:cs="Arial"/>
                <w:b/>
                <w:lang w:eastAsia="da-DK"/>
              </w:rPr>
            </w:pPr>
            <w:r w:rsidRPr="001E3185">
              <w:rPr>
                <w:rFonts w:cs="Arial"/>
                <w:lang w:eastAsia="da-DK"/>
              </w:rPr>
              <w:t>PEC/PNEC local with removal, [µg/L] Time 2 (5475 days)</w:t>
            </w:r>
          </w:p>
        </w:tc>
        <w:tc>
          <w:tcPr>
            <w:tcW w:w="992" w:type="dxa"/>
            <w:shd w:val="clear" w:color="auto" w:fill="FFFFFF" w:themeFill="background1"/>
            <w:noWrap/>
            <w:vAlign w:val="center"/>
          </w:tcPr>
          <w:p w14:paraId="25050AFE" w14:textId="77777777" w:rsidR="00692E71" w:rsidRPr="001E3185" w:rsidRDefault="00692E71" w:rsidP="008E0250">
            <w:pPr>
              <w:jc w:val="center"/>
              <w:rPr>
                <w:rFonts w:cs="Arial"/>
                <w:lang w:eastAsia="da-DK"/>
              </w:rPr>
            </w:pPr>
            <w:r w:rsidRPr="001E3185">
              <w:rPr>
                <w:rFonts w:cs="Arial"/>
                <w:color w:val="000000"/>
              </w:rPr>
              <w:t>2.2*10</w:t>
            </w:r>
            <w:r w:rsidRPr="001E3185">
              <w:rPr>
                <w:rFonts w:cs="Arial"/>
                <w:color w:val="000000"/>
                <w:vertAlign w:val="superscript"/>
              </w:rPr>
              <w:t>-5</w:t>
            </w:r>
          </w:p>
        </w:tc>
        <w:tc>
          <w:tcPr>
            <w:tcW w:w="1134" w:type="dxa"/>
            <w:shd w:val="clear" w:color="auto" w:fill="FFFFFF" w:themeFill="background1"/>
            <w:noWrap/>
            <w:vAlign w:val="center"/>
          </w:tcPr>
          <w:p w14:paraId="4D837628" w14:textId="77777777" w:rsidR="00692E71" w:rsidRPr="001E3185" w:rsidRDefault="00692E71" w:rsidP="008E0250">
            <w:pPr>
              <w:jc w:val="center"/>
              <w:rPr>
                <w:rFonts w:cs="Arial"/>
                <w:lang w:eastAsia="da-DK"/>
              </w:rPr>
            </w:pPr>
            <w:r w:rsidRPr="001E3185">
              <w:rPr>
                <w:rFonts w:cs="Arial"/>
                <w:color w:val="000000"/>
              </w:rPr>
              <w:t>0.06</w:t>
            </w:r>
          </w:p>
        </w:tc>
        <w:tc>
          <w:tcPr>
            <w:tcW w:w="1134" w:type="dxa"/>
            <w:shd w:val="clear" w:color="auto" w:fill="FFFFFF" w:themeFill="background1"/>
            <w:noWrap/>
            <w:vAlign w:val="center"/>
          </w:tcPr>
          <w:p w14:paraId="4758CC19" w14:textId="77777777" w:rsidR="00692E71" w:rsidRPr="001E3185" w:rsidRDefault="00692E71" w:rsidP="008E0250">
            <w:pPr>
              <w:jc w:val="center"/>
              <w:rPr>
                <w:rFonts w:cs="Arial"/>
                <w:lang w:eastAsia="da-DK"/>
              </w:rPr>
            </w:pPr>
            <w:r w:rsidRPr="001E3185">
              <w:rPr>
                <w:rFonts w:cs="Arial"/>
                <w:color w:val="000000"/>
              </w:rPr>
              <w:t>0.03</w:t>
            </w:r>
          </w:p>
        </w:tc>
        <w:tc>
          <w:tcPr>
            <w:tcW w:w="1134" w:type="dxa"/>
            <w:shd w:val="clear" w:color="auto" w:fill="FFFFFF" w:themeFill="background1"/>
            <w:vAlign w:val="center"/>
          </w:tcPr>
          <w:p w14:paraId="349AC6AE" w14:textId="77777777" w:rsidR="00692E71" w:rsidRPr="001E3185" w:rsidRDefault="00692E71" w:rsidP="008E0250">
            <w:pPr>
              <w:jc w:val="center"/>
              <w:rPr>
                <w:rFonts w:cs="Arial"/>
                <w:lang w:eastAsia="da-DK"/>
              </w:rPr>
            </w:pPr>
            <w:r w:rsidRPr="001E3185">
              <w:rPr>
                <w:rFonts w:cs="Arial"/>
                <w:color w:val="000000"/>
              </w:rPr>
              <w:t>0.01</w:t>
            </w:r>
          </w:p>
        </w:tc>
        <w:tc>
          <w:tcPr>
            <w:tcW w:w="1276" w:type="dxa"/>
            <w:shd w:val="clear" w:color="auto" w:fill="FFFFFF" w:themeFill="background1"/>
            <w:vAlign w:val="center"/>
          </w:tcPr>
          <w:p w14:paraId="30C4D4C2" w14:textId="77777777" w:rsidR="00692E71" w:rsidRPr="001E3185" w:rsidRDefault="00692E71" w:rsidP="008E0250">
            <w:pPr>
              <w:jc w:val="center"/>
              <w:rPr>
                <w:rFonts w:cs="Arial"/>
                <w:lang w:eastAsia="da-DK"/>
              </w:rPr>
            </w:pPr>
            <w:r w:rsidRPr="001E3185">
              <w:rPr>
                <w:rFonts w:cs="Arial"/>
                <w:lang w:eastAsia="da-DK"/>
              </w:rPr>
              <w:t>0.10</w:t>
            </w:r>
          </w:p>
        </w:tc>
      </w:tr>
      <w:tr w:rsidR="00692E71" w:rsidRPr="001E3185" w14:paraId="6EB52F95" w14:textId="77777777" w:rsidTr="008E0250">
        <w:trPr>
          <w:trHeight w:val="20"/>
        </w:trPr>
        <w:tc>
          <w:tcPr>
            <w:tcW w:w="3681" w:type="dxa"/>
            <w:shd w:val="clear" w:color="auto" w:fill="FFFFFF" w:themeFill="background1"/>
            <w:noWrap/>
            <w:vAlign w:val="bottom"/>
          </w:tcPr>
          <w:p w14:paraId="76B56443" w14:textId="77777777" w:rsidR="00692E71" w:rsidRPr="001E3185" w:rsidRDefault="00692E71" w:rsidP="008E0250">
            <w:pPr>
              <w:rPr>
                <w:rFonts w:cs="Arial"/>
                <w:b/>
                <w:lang w:eastAsia="da-DK"/>
              </w:rPr>
            </w:pPr>
            <w:r w:rsidRPr="001E3185">
              <w:rPr>
                <w:rFonts w:cs="Arial"/>
                <w:b/>
                <w:lang w:eastAsia="da-DK"/>
              </w:rPr>
              <w:t>Bridge over Pond (sediment)</w:t>
            </w:r>
          </w:p>
        </w:tc>
        <w:tc>
          <w:tcPr>
            <w:tcW w:w="992" w:type="dxa"/>
            <w:shd w:val="clear" w:color="auto" w:fill="FFFFFF" w:themeFill="background1"/>
            <w:noWrap/>
            <w:vAlign w:val="center"/>
          </w:tcPr>
          <w:p w14:paraId="27D459D3"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1886B451"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02C057E7" w14:textId="77777777" w:rsidR="00692E71" w:rsidRPr="001E3185" w:rsidRDefault="00692E71" w:rsidP="008E0250">
            <w:pPr>
              <w:jc w:val="center"/>
              <w:rPr>
                <w:rFonts w:cs="Arial"/>
                <w:lang w:eastAsia="da-DK"/>
              </w:rPr>
            </w:pPr>
          </w:p>
        </w:tc>
        <w:tc>
          <w:tcPr>
            <w:tcW w:w="1134" w:type="dxa"/>
            <w:shd w:val="clear" w:color="auto" w:fill="FFFFFF" w:themeFill="background1"/>
            <w:vAlign w:val="center"/>
          </w:tcPr>
          <w:p w14:paraId="27F8EF8B" w14:textId="77777777" w:rsidR="00692E71" w:rsidRPr="001E3185" w:rsidRDefault="00692E71" w:rsidP="008E0250">
            <w:pPr>
              <w:jc w:val="center"/>
              <w:rPr>
                <w:rFonts w:cs="Arial"/>
                <w:lang w:eastAsia="da-DK"/>
              </w:rPr>
            </w:pPr>
          </w:p>
        </w:tc>
        <w:tc>
          <w:tcPr>
            <w:tcW w:w="1276" w:type="dxa"/>
            <w:shd w:val="clear" w:color="auto" w:fill="FFFFFF" w:themeFill="background1"/>
            <w:vAlign w:val="center"/>
          </w:tcPr>
          <w:p w14:paraId="140A6AF0" w14:textId="77777777" w:rsidR="00692E71" w:rsidRPr="001E3185" w:rsidRDefault="00692E71" w:rsidP="008E0250">
            <w:pPr>
              <w:jc w:val="center"/>
              <w:rPr>
                <w:rFonts w:cs="Arial"/>
                <w:lang w:eastAsia="da-DK"/>
              </w:rPr>
            </w:pPr>
          </w:p>
        </w:tc>
      </w:tr>
      <w:tr w:rsidR="00692E71" w:rsidRPr="001E3185" w14:paraId="1E5EE856" w14:textId="77777777" w:rsidTr="008E0250">
        <w:trPr>
          <w:trHeight w:val="20"/>
        </w:trPr>
        <w:tc>
          <w:tcPr>
            <w:tcW w:w="3681" w:type="dxa"/>
            <w:shd w:val="clear" w:color="auto" w:fill="FFFFFF" w:themeFill="background1"/>
            <w:noWrap/>
            <w:vAlign w:val="bottom"/>
          </w:tcPr>
          <w:p w14:paraId="37EF6263" w14:textId="77777777" w:rsidR="00692E71" w:rsidRPr="001E3185" w:rsidRDefault="00692E71" w:rsidP="008E0250">
            <w:pPr>
              <w:rPr>
                <w:rFonts w:cs="Arial"/>
                <w:b/>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w:t>
            </w:r>
          </w:p>
        </w:tc>
        <w:tc>
          <w:tcPr>
            <w:tcW w:w="992" w:type="dxa"/>
            <w:shd w:val="clear" w:color="auto" w:fill="FFFFFF" w:themeFill="background1"/>
            <w:noWrap/>
            <w:vAlign w:val="center"/>
          </w:tcPr>
          <w:p w14:paraId="759E4229" w14:textId="77777777" w:rsidR="00692E71" w:rsidRPr="001E3185" w:rsidRDefault="00692E71" w:rsidP="008E0250">
            <w:pPr>
              <w:jc w:val="center"/>
              <w:rPr>
                <w:rFonts w:cs="Arial"/>
                <w:lang w:eastAsia="da-DK"/>
              </w:rPr>
            </w:pPr>
            <w:r w:rsidRPr="001E3185">
              <w:rPr>
                <w:rFonts w:cs="Arial"/>
                <w:color w:val="000000"/>
              </w:rPr>
              <w:t>0.1</w:t>
            </w:r>
          </w:p>
        </w:tc>
        <w:tc>
          <w:tcPr>
            <w:tcW w:w="1134" w:type="dxa"/>
            <w:shd w:val="clear" w:color="auto" w:fill="FFFFFF" w:themeFill="background1"/>
            <w:noWrap/>
            <w:vAlign w:val="center"/>
          </w:tcPr>
          <w:p w14:paraId="535D02B3" w14:textId="77777777" w:rsidR="00692E71" w:rsidRPr="001E3185" w:rsidRDefault="00692E71" w:rsidP="008E0250">
            <w:pPr>
              <w:jc w:val="center"/>
              <w:rPr>
                <w:rFonts w:cs="Arial"/>
                <w:lang w:eastAsia="da-DK"/>
              </w:rPr>
            </w:pPr>
            <w:r w:rsidRPr="001E3185">
              <w:rPr>
                <w:rFonts w:cs="Arial"/>
                <w:color w:val="000000"/>
              </w:rPr>
              <w:t>0.1</w:t>
            </w:r>
          </w:p>
        </w:tc>
        <w:tc>
          <w:tcPr>
            <w:tcW w:w="1134" w:type="dxa"/>
            <w:shd w:val="clear" w:color="auto" w:fill="FFFFFF" w:themeFill="background1"/>
            <w:noWrap/>
            <w:vAlign w:val="center"/>
          </w:tcPr>
          <w:p w14:paraId="323D64C5" w14:textId="77777777" w:rsidR="00692E71" w:rsidRPr="001E3185" w:rsidRDefault="00692E71" w:rsidP="008E0250">
            <w:pPr>
              <w:jc w:val="center"/>
              <w:rPr>
                <w:rFonts w:cs="Arial"/>
                <w:lang w:eastAsia="da-DK"/>
              </w:rPr>
            </w:pPr>
            <w:r w:rsidRPr="001E3185">
              <w:rPr>
                <w:rFonts w:cs="Arial"/>
                <w:color w:val="000000"/>
              </w:rPr>
              <w:t>3.6*10</w:t>
            </w:r>
            <w:r w:rsidRPr="001E3185">
              <w:rPr>
                <w:rFonts w:cs="Arial"/>
                <w:color w:val="000000"/>
                <w:vertAlign w:val="superscript"/>
              </w:rPr>
              <w:t>-3</w:t>
            </w:r>
          </w:p>
        </w:tc>
        <w:tc>
          <w:tcPr>
            <w:tcW w:w="1134" w:type="dxa"/>
            <w:shd w:val="clear" w:color="auto" w:fill="FFFFFF" w:themeFill="background1"/>
            <w:vAlign w:val="center"/>
          </w:tcPr>
          <w:p w14:paraId="784FA7F0" w14:textId="77777777" w:rsidR="00692E71" w:rsidRPr="001E3185" w:rsidRDefault="00692E71" w:rsidP="008E0250">
            <w:pPr>
              <w:jc w:val="center"/>
              <w:rPr>
                <w:rFonts w:cs="Arial"/>
                <w:lang w:eastAsia="da-DK"/>
              </w:rPr>
            </w:pPr>
            <w:r w:rsidRPr="001E3185">
              <w:rPr>
                <w:rFonts w:cs="Arial"/>
                <w:color w:val="000000"/>
              </w:rPr>
              <w:t>0.1</w:t>
            </w:r>
          </w:p>
        </w:tc>
        <w:tc>
          <w:tcPr>
            <w:tcW w:w="1276" w:type="dxa"/>
            <w:shd w:val="clear" w:color="auto" w:fill="FFFFFF" w:themeFill="background1"/>
            <w:vAlign w:val="center"/>
          </w:tcPr>
          <w:p w14:paraId="22EAA23E" w14:textId="77777777" w:rsidR="00692E71" w:rsidRPr="001E3185" w:rsidRDefault="00692E71" w:rsidP="008E0250">
            <w:pPr>
              <w:jc w:val="center"/>
              <w:rPr>
                <w:rFonts w:cs="Arial"/>
                <w:lang w:eastAsia="da-DK"/>
              </w:rPr>
            </w:pPr>
            <w:r w:rsidRPr="001E3185">
              <w:rPr>
                <w:rFonts w:cs="Arial"/>
                <w:color w:val="000000"/>
              </w:rPr>
              <w:t>0.24</w:t>
            </w:r>
          </w:p>
        </w:tc>
      </w:tr>
      <w:tr w:rsidR="00692E71" w:rsidRPr="001E3185" w14:paraId="07B926A5" w14:textId="77777777" w:rsidTr="008E0250">
        <w:trPr>
          <w:trHeight w:val="20"/>
        </w:trPr>
        <w:tc>
          <w:tcPr>
            <w:tcW w:w="3681" w:type="dxa"/>
            <w:shd w:val="clear" w:color="auto" w:fill="FFFFFF" w:themeFill="background1"/>
            <w:noWrap/>
            <w:vAlign w:val="bottom"/>
          </w:tcPr>
          <w:p w14:paraId="3A03ED7B" w14:textId="77777777" w:rsidR="00692E71" w:rsidRPr="001E3185" w:rsidRDefault="00692E71" w:rsidP="008E0250">
            <w:pPr>
              <w:rPr>
                <w:rFonts w:cs="Arial"/>
                <w:b/>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992" w:type="dxa"/>
            <w:shd w:val="clear" w:color="auto" w:fill="FFFFFF" w:themeFill="background1"/>
            <w:noWrap/>
            <w:vAlign w:val="center"/>
          </w:tcPr>
          <w:p w14:paraId="43BA510A" w14:textId="77777777" w:rsidR="00692E71" w:rsidRPr="001E3185" w:rsidRDefault="00692E71" w:rsidP="008E0250">
            <w:pPr>
              <w:jc w:val="center"/>
              <w:rPr>
                <w:rFonts w:cs="Arial"/>
                <w:lang w:eastAsia="da-DK"/>
              </w:rPr>
            </w:pPr>
            <w:r w:rsidRPr="001E3185">
              <w:rPr>
                <w:rFonts w:cs="Arial"/>
                <w:color w:val="000000"/>
              </w:rPr>
              <w:t>0.7</w:t>
            </w:r>
          </w:p>
        </w:tc>
        <w:tc>
          <w:tcPr>
            <w:tcW w:w="1134" w:type="dxa"/>
            <w:shd w:val="clear" w:color="auto" w:fill="FFFFFF" w:themeFill="background1"/>
            <w:noWrap/>
            <w:vAlign w:val="center"/>
          </w:tcPr>
          <w:p w14:paraId="5DC3BFCD" w14:textId="77777777" w:rsidR="00692E71" w:rsidRPr="001E3185" w:rsidRDefault="00692E71" w:rsidP="008E0250">
            <w:pPr>
              <w:jc w:val="center"/>
              <w:rPr>
                <w:rFonts w:cs="Arial"/>
                <w:lang w:eastAsia="da-DK"/>
              </w:rPr>
            </w:pPr>
            <w:r w:rsidRPr="001E3185">
              <w:rPr>
                <w:rFonts w:cs="Arial"/>
                <w:color w:val="000000"/>
              </w:rPr>
              <w:t>0.7</w:t>
            </w:r>
          </w:p>
        </w:tc>
        <w:tc>
          <w:tcPr>
            <w:tcW w:w="1134" w:type="dxa"/>
            <w:shd w:val="clear" w:color="auto" w:fill="FFFFFF" w:themeFill="background1"/>
            <w:noWrap/>
            <w:vAlign w:val="center"/>
          </w:tcPr>
          <w:p w14:paraId="39A20D24" w14:textId="77777777" w:rsidR="00692E71" w:rsidRPr="001E3185" w:rsidRDefault="00692E71" w:rsidP="008E0250">
            <w:pPr>
              <w:jc w:val="center"/>
              <w:rPr>
                <w:rFonts w:cs="Arial"/>
                <w:lang w:eastAsia="da-DK"/>
              </w:rPr>
            </w:pPr>
            <w:r w:rsidRPr="001E3185">
              <w:rPr>
                <w:rFonts w:cs="Arial"/>
                <w:color w:val="000000"/>
              </w:rPr>
              <w:t>2.8*10</w:t>
            </w:r>
            <w:r w:rsidRPr="001E3185">
              <w:rPr>
                <w:rFonts w:cs="Arial"/>
                <w:color w:val="000000"/>
                <w:vertAlign w:val="superscript"/>
              </w:rPr>
              <w:t>-2</w:t>
            </w:r>
          </w:p>
        </w:tc>
        <w:tc>
          <w:tcPr>
            <w:tcW w:w="1134" w:type="dxa"/>
            <w:shd w:val="clear" w:color="auto" w:fill="FFFFFF" w:themeFill="background1"/>
            <w:vAlign w:val="center"/>
          </w:tcPr>
          <w:p w14:paraId="18DEE69D" w14:textId="77777777" w:rsidR="00692E71" w:rsidRPr="001E3185" w:rsidRDefault="00692E71" w:rsidP="008E0250">
            <w:pPr>
              <w:jc w:val="center"/>
              <w:rPr>
                <w:rFonts w:cs="Arial"/>
                <w:lang w:eastAsia="da-DK"/>
              </w:rPr>
            </w:pPr>
            <w:r w:rsidRPr="001E3185">
              <w:rPr>
                <w:rFonts w:cs="Arial"/>
                <w:color w:val="000000"/>
              </w:rPr>
              <w:t>5.8</w:t>
            </w:r>
          </w:p>
        </w:tc>
        <w:tc>
          <w:tcPr>
            <w:tcW w:w="1276" w:type="dxa"/>
            <w:shd w:val="clear" w:color="auto" w:fill="FFFFFF" w:themeFill="background1"/>
            <w:vAlign w:val="center"/>
          </w:tcPr>
          <w:p w14:paraId="3A41C1EB" w14:textId="77777777" w:rsidR="00692E71" w:rsidRPr="001E3185" w:rsidRDefault="00692E71" w:rsidP="008E0250">
            <w:pPr>
              <w:jc w:val="center"/>
              <w:rPr>
                <w:rFonts w:cs="Arial"/>
                <w:lang w:eastAsia="da-DK"/>
              </w:rPr>
            </w:pPr>
            <w:r w:rsidRPr="001E3185">
              <w:rPr>
                <w:rFonts w:cs="Arial"/>
                <w:color w:val="000000"/>
              </w:rPr>
              <w:t>7.24</w:t>
            </w:r>
          </w:p>
        </w:tc>
      </w:tr>
      <w:tr w:rsidR="00692E71" w:rsidRPr="001E3185" w14:paraId="21C13C63" w14:textId="77777777" w:rsidTr="008E0250">
        <w:trPr>
          <w:trHeight w:val="20"/>
        </w:trPr>
        <w:tc>
          <w:tcPr>
            <w:tcW w:w="3681" w:type="dxa"/>
            <w:shd w:val="clear" w:color="auto" w:fill="FFFFFF" w:themeFill="background1"/>
            <w:noWrap/>
            <w:vAlign w:val="bottom"/>
          </w:tcPr>
          <w:p w14:paraId="650C4C59" w14:textId="77777777" w:rsidR="00692E71" w:rsidRPr="001E3185" w:rsidRDefault="00692E71" w:rsidP="008E0250">
            <w:pPr>
              <w:rPr>
                <w:rFonts w:cs="Arial"/>
                <w:b/>
                <w:lang w:eastAsia="da-DK"/>
              </w:rPr>
            </w:pPr>
          </w:p>
        </w:tc>
        <w:tc>
          <w:tcPr>
            <w:tcW w:w="992" w:type="dxa"/>
            <w:shd w:val="clear" w:color="auto" w:fill="FFFFFF" w:themeFill="background1"/>
            <w:noWrap/>
            <w:vAlign w:val="center"/>
          </w:tcPr>
          <w:p w14:paraId="23D9EC51"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7A4BAE2C"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4465CA84" w14:textId="77777777" w:rsidR="00692E71" w:rsidRPr="001E3185" w:rsidRDefault="00692E71" w:rsidP="008E0250">
            <w:pPr>
              <w:jc w:val="center"/>
              <w:rPr>
                <w:rFonts w:cs="Arial"/>
                <w:lang w:eastAsia="da-DK"/>
              </w:rPr>
            </w:pPr>
          </w:p>
        </w:tc>
        <w:tc>
          <w:tcPr>
            <w:tcW w:w="1134" w:type="dxa"/>
            <w:shd w:val="clear" w:color="auto" w:fill="FFFFFF" w:themeFill="background1"/>
            <w:vAlign w:val="center"/>
          </w:tcPr>
          <w:p w14:paraId="1016FF99" w14:textId="77777777" w:rsidR="00692E71" w:rsidRPr="001E3185" w:rsidRDefault="00692E71" w:rsidP="008E0250">
            <w:pPr>
              <w:jc w:val="center"/>
              <w:rPr>
                <w:rFonts w:cs="Arial"/>
                <w:lang w:eastAsia="da-DK"/>
              </w:rPr>
            </w:pPr>
          </w:p>
        </w:tc>
        <w:tc>
          <w:tcPr>
            <w:tcW w:w="1276" w:type="dxa"/>
            <w:shd w:val="clear" w:color="auto" w:fill="FFFFFF" w:themeFill="background1"/>
            <w:vAlign w:val="center"/>
          </w:tcPr>
          <w:p w14:paraId="5D585BA9" w14:textId="77777777" w:rsidR="00692E71" w:rsidRPr="001E3185" w:rsidRDefault="00692E71" w:rsidP="008E0250">
            <w:pPr>
              <w:jc w:val="center"/>
              <w:rPr>
                <w:rFonts w:cs="Arial"/>
                <w:lang w:eastAsia="da-DK"/>
              </w:rPr>
            </w:pPr>
          </w:p>
        </w:tc>
      </w:tr>
      <w:tr w:rsidR="00692E71" w:rsidRPr="001E3185" w14:paraId="055F0679" w14:textId="77777777" w:rsidTr="008E0250">
        <w:trPr>
          <w:trHeight w:val="20"/>
        </w:trPr>
        <w:tc>
          <w:tcPr>
            <w:tcW w:w="3681" w:type="dxa"/>
            <w:shd w:val="clear" w:color="auto" w:fill="FFFFFF" w:themeFill="background1"/>
            <w:noWrap/>
            <w:vAlign w:val="bottom"/>
          </w:tcPr>
          <w:p w14:paraId="0D365B37" w14:textId="77777777" w:rsidR="00692E71" w:rsidRPr="001E3185" w:rsidRDefault="00692E71" w:rsidP="008E0250">
            <w:pPr>
              <w:rPr>
                <w:rFonts w:cs="Arial"/>
                <w:b/>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 (30 days)</w:t>
            </w:r>
          </w:p>
        </w:tc>
        <w:tc>
          <w:tcPr>
            <w:tcW w:w="992" w:type="dxa"/>
            <w:shd w:val="clear" w:color="auto" w:fill="FFFFFF" w:themeFill="background1"/>
            <w:noWrap/>
            <w:vAlign w:val="center"/>
          </w:tcPr>
          <w:p w14:paraId="7955F7C3" w14:textId="77777777" w:rsidR="00692E71" w:rsidRPr="001E3185" w:rsidRDefault="00692E71" w:rsidP="008E0250">
            <w:pPr>
              <w:jc w:val="center"/>
              <w:rPr>
                <w:rFonts w:cs="Arial"/>
                <w:lang w:eastAsia="da-DK"/>
              </w:rPr>
            </w:pPr>
            <w:r w:rsidRPr="001E3185">
              <w:rPr>
                <w:rFonts w:cs="Arial"/>
                <w:color w:val="000000"/>
              </w:rPr>
              <w:t>6.2*10</w:t>
            </w:r>
            <w:r w:rsidRPr="001E3185">
              <w:rPr>
                <w:rFonts w:cs="Arial"/>
                <w:color w:val="000000"/>
                <w:vertAlign w:val="superscript"/>
              </w:rPr>
              <w:t>-4</w:t>
            </w:r>
          </w:p>
        </w:tc>
        <w:tc>
          <w:tcPr>
            <w:tcW w:w="1134" w:type="dxa"/>
            <w:shd w:val="clear" w:color="auto" w:fill="FFFFFF" w:themeFill="background1"/>
            <w:noWrap/>
            <w:vAlign w:val="center"/>
          </w:tcPr>
          <w:p w14:paraId="720EE92D" w14:textId="77777777" w:rsidR="00692E71" w:rsidRPr="001E3185" w:rsidRDefault="00692E71" w:rsidP="008E0250">
            <w:pPr>
              <w:jc w:val="center"/>
              <w:rPr>
                <w:rFonts w:cs="Arial"/>
                <w:lang w:eastAsia="da-DK"/>
              </w:rPr>
            </w:pPr>
            <w:r w:rsidRPr="001E3185">
              <w:rPr>
                <w:rFonts w:cs="Arial"/>
                <w:color w:val="000000"/>
              </w:rPr>
              <w:t>3.9*10</w:t>
            </w:r>
            <w:r w:rsidRPr="001E3185">
              <w:rPr>
                <w:rFonts w:cs="Arial"/>
                <w:color w:val="000000"/>
                <w:vertAlign w:val="superscript"/>
              </w:rPr>
              <w:t>-2</w:t>
            </w:r>
          </w:p>
        </w:tc>
        <w:tc>
          <w:tcPr>
            <w:tcW w:w="1134" w:type="dxa"/>
            <w:shd w:val="clear" w:color="auto" w:fill="FFFFFF" w:themeFill="background1"/>
            <w:noWrap/>
            <w:vAlign w:val="center"/>
          </w:tcPr>
          <w:p w14:paraId="41144E92" w14:textId="77777777" w:rsidR="00692E71" w:rsidRPr="001E3185" w:rsidRDefault="00692E71" w:rsidP="008E0250">
            <w:pPr>
              <w:jc w:val="center"/>
              <w:rPr>
                <w:rFonts w:cs="Arial"/>
                <w:lang w:eastAsia="da-DK"/>
              </w:rPr>
            </w:pPr>
            <w:r w:rsidRPr="001E3185">
              <w:rPr>
                <w:rFonts w:cs="Arial"/>
                <w:color w:val="000000"/>
              </w:rPr>
              <w:t>1.7*10</w:t>
            </w:r>
            <w:r w:rsidRPr="001E3185">
              <w:rPr>
                <w:rFonts w:cs="Arial"/>
                <w:color w:val="000000"/>
                <w:vertAlign w:val="superscript"/>
              </w:rPr>
              <w:t>-3</w:t>
            </w:r>
          </w:p>
        </w:tc>
        <w:tc>
          <w:tcPr>
            <w:tcW w:w="1134" w:type="dxa"/>
            <w:shd w:val="clear" w:color="auto" w:fill="FFFFFF" w:themeFill="background1"/>
            <w:vAlign w:val="center"/>
          </w:tcPr>
          <w:p w14:paraId="43170E2E" w14:textId="77777777" w:rsidR="00692E71" w:rsidRPr="001E3185" w:rsidRDefault="00692E71" w:rsidP="008E0250">
            <w:pPr>
              <w:jc w:val="center"/>
              <w:rPr>
                <w:rFonts w:cs="Arial"/>
                <w:lang w:eastAsia="da-DK"/>
              </w:rPr>
            </w:pPr>
            <w:r w:rsidRPr="001E3185">
              <w:rPr>
                <w:rFonts w:cs="Arial"/>
                <w:color w:val="000000"/>
              </w:rPr>
              <w:t>4.8*10</w:t>
            </w:r>
            <w:r w:rsidRPr="001E3185">
              <w:rPr>
                <w:rFonts w:cs="Arial"/>
                <w:color w:val="000000"/>
                <w:vertAlign w:val="superscript"/>
              </w:rPr>
              <w:t>-4</w:t>
            </w:r>
          </w:p>
        </w:tc>
        <w:tc>
          <w:tcPr>
            <w:tcW w:w="1276" w:type="dxa"/>
            <w:shd w:val="clear" w:color="auto" w:fill="FFFFFF" w:themeFill="background1"/>
            <w:vAlign w:val="center"/>
          </w:tcPr>
          <w:p w14:paraId="6687DE10" w14:textId="77777777" w:rsidR="00692E71" w:rsidRPr="001E3185" w:rsidRDefault="00692E71" w:rsidP="008E0250">
            <w:pPr>
              <w:jc w:val="center"/>
              <w:rPr>
                <w:rFonts w:cs="Arial"/>
                <w:lang w:eastAsia="da-DK"/>
              </w:rPr>
            </w:pPr>
            <w:r w:rsidRPr="001E3185">
              <w:rPr>
                <w:rFonts w:cs="Arial"/>
                <w:color w:val="000000"/>
              </w:rPr>
              <w:t>0.04</w:t>
            </w:r>
          </w:p>
        </w:tc>
      </w:tr>
      <w:tr w:rsidR="00692E71" w:rsidRPr="001E3185" w14:paraId="12E9696D" w14:textId="77777777" w:rsidTr="008E0250">
        <w:trPr>
          <w:trHeight w:val="20"/>
        </w:trPr>
        <w:tc>
          <w:tcPr>
            <w:tcW w:w="3681" w:type="dxa"/>
            <w:shd w:val="clear" w:color="auto" w:fill="FFFFFF" w:themeFill="background1"/>
            <w:noWrap/>
            <w:vAlign w:val="bottom"/>
          </w:tcPr>
          <w:p w14:paraId="298810B2" w14:textId="77777777" w:rsidR="00692E71" w:rsidRPr="001E3185" w:rsidRDefault="00692E71" w:rsidP="008E0250">
            <w:pPr>
              <w:rPr>
                <w:rFonts w:cs="Arial"/>
                <w:b/>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992" w:type="dxa"/>
            <w:shd w:val="clear" w:color="auto" w:fill="FFFFFF" w:themeFill="background1"/>
            <w:noWrap/>
            <w:vAlign w:val="center"/>
          </w:tcPr>
          <w:p w14:paraId="63F5541A" w14:textId="77777777" w:rsidR="00692E71" w:rsidRPr="001E3185" w:rsidRDefault="00692E71" w:rsidP="008E0250">
            <w:pPr>
              <w:jc w:val="center"/>
              <w:rPr>
                <w:rFonts w:cs="Arial"/>
                <w:lang w:eastAsia="da-DK"/>
              </w:rPr>
            </w:pPr>
            <w:r w:rsidRPr="001E3185">
              <w:rPr>
                <w:rFonts w:cs="Arial"/>
                <w:color w:val="000000"/>
              </w:rPr>
              <w:t>2.2*10</w:t>
            </w:r>
            <w:r w:rsidRPr="001E3185">
              <w:rPr>
                <w:rFonts w:cs="Arial"/>
                <w:color w:val="000000"/>
                <w:vertAlign w:val="superscript"/>
              </w:rPr>
              <w:t>-5</w:t>
            </w:r>
          </w:p>
        </w:tc>
        <w:tc>
          <w:tcPr>
            <w:tcW w:w="1134" w:type="dxa"/>
            <w:shd w:val="clear" w:color="auto" w:fill="FFFFFF" w:themeFill="background1"/>
            <w:noWrap/>
            <w:vAlign w:val="center"/>
          </w:tcPr>
          <w:p w14:paraId="55A868AC" w14:textId="77777777" w:rsidR="00692E71" w:rsidRPr="001E3185" w:rsidRDefault="00692E71" w:rsidP="008E0250">
            <w:pPr>
              <w:jc w:val="center"/>
              <w:rPr>
                <w:rFonts w:cs="Arial"/>
                <w:lang w:eastAsia="da-DK"/>
              </w:rPr>
            </w:pPr>
            <w:r w:rsidRPr="001E3185">
              <w:rPr>
                <w:rFonts w:cs="Arial"/>
                <w:color w:val="000000"/>
              </w:rPr>
              <w:t>0.15</w:t>
            </w:r>
          </w:p>
        </w:tc>
        <w:tc>
          <w:tcPr>
            <w:tcW w:w="1134" w:type="dxa"/>
            <w:shd w:val="clear" w:color="auto" w:fill="FFFFFF" w:themeFill="background1"/>
            <w:noWrap/>
            <w:vAlign w:val="center"/>
          </w:tcPr>
          <w:p w14:paraId="38C478A9" w14:textId="77777777" w:rsidR="00692E71" w:rsidRPr="001E3185" w:rsidRDefault="00692E71" w:rsidP="008E0250">
            <w:pPr>
              <w:jc w:val="center"/>
              <w:rPr>
                <w:rFonts w:cs="Arial"/>
                <w:lang w:eastAsia="da-DK"/>
              </w:rPr>
            </w:pPr>
            <w:r w:rsidRPr="001E3185">
              <w:rPr>
                <w:rFonts w:cs="Arial"/>
                <w:color w:val="000000"/>
              </w:rPr>
              <w:t>1.3*10</w:t>
            </w:r>
            <w:r w:rsidRPr="001E3185">
              <w:rPr>
                <w:rFonts w:cs="Arial"/>
                <w:color w:val="000000"/>
                <w:vertAlign w:val="superscript"/>
              </w:rPr>
              <w:t>-3</w:t>
            </w:r>
          </w:p>
        </w:tc>
        <w:tc>
          <w:tcPr>
            <w:tcW w:w="1134" w:type="dxa"/>
            <w:shd w:val="clear" w:color="auto" w:fill="FFFFFF" w:themeFill="background1"/>
            <w:vAlign w:val="center"/>
          </w:tcPr>
          <w:p w14:paraId="6455ADA1" w14:textId="77777777" w:rsidR="00692E71" w:rsidRPr="001E3185" w:rsidRDefault="00692E71" w:rsidP="008E0250">
            <w:pPr>
              <w:jc w:val="center"/>
              <w:rPr>
                <w:rFonts w:cs="Arial"/>
                <w:lang w:eastAsia="da-DK"/>
              </w:rPr>
            </w:pPr>
            <w:r w:rsidRPr="001E3185">
              <w:rPr>
                <w:rFonts w:cs="Arial"/>
                <w:color w:val="000000"/>
              </w:rPr>
              <w:t>6.7*10</w:t>
            </w:r>
            <w:r w:rsidRPr="001E3185">
              <w:rPr>
                <w:rFonts w:cs="Arial"/>
                <w:color w:val="000000"/>
                <w:vertAlign w:val="superscript"/>
              </w:rPr>
              <w:t>-4</w:t>
            </w:r>
          </w:p>
        </w:tc>
        <w:tc>
          <w:tcPr>
            <w:tcW w:w="1276" w:type="dxa"/>
            <w:shd w:val="clear" w:color="auto" w:fill="FFFFFF" w:themeFill="background1"/>
            <w:vAlign w:val="center"/>
          </w:tcPr>
          <w:p w14:paraId="45F2E935" w14:textId="77777777" w:rsidR="00692E71" w:rsidRPr="001E3185" w:rsidRDefault="00692E71" w:rsidP="008E0250">
            <w:pPr>
              <w:jc w:val="center"/>
              <w:rPr>
                <w:rFonts w:cs="Arial"/>
                <w:lang w:eastAsia="da-DK"/>
              </w:rPr>
            </w:pPr>
            <w:r w:rsidRPr="001E3185">
              <w:rPr>
                <w:rFonts w:cs="Arial"/>
                <w:color w:val="000000"/>
              </w:rPr>
              <w:t>0.16</w:t>
            </w:r>
          </w:p>
        </w:tc>
      </w:tr>
    </w:tbl>
    <w:p w14:paraId="1F7E45E7" w14:textId="77777777" w:rsidR="00692E71" w:rsidRPr="001E3185" w:rsidRDefault="00692E71" w:rsidP="00692E71">
      <w:pPr>
        <w:rPr>
          <w:rFonts w:cs="Arial"/>
          <w:b/>
          <w:bCs/>
        </w:rPr>
      </w:pPr>
    </w:p>
    <w:p w14:paraId="4A4C7773" w14:textId="77777777" w:rsidR="00692E71" w:rsidRPr="001E3185" w:rsidRDefault="00692E71" w:rsidP="00692E71">
      <w:pPr>
        <w:rPr>
          <w:rFonts w:cs="Arial"/>
          <w:b/>
          <w:bCs/>
        </w:rPr>
      </w:pPr>
    </w:p>
    <w:p w14:paraId="728F4A05" w14:textId="77777777" w:rsidR="00692E71" w:rsidRPr="001E3185" w:rsidRDefault="00692E71" w:rsidP="00692E71">
      <w:pPr>
        <w:pStyle w:val="Lgende"/>
        <w:rPr>
          <w:rFonts w:ascii="Verdana" w:hAnsi="Verdana"/>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50</w:t>
      </w:r>
      <w:r w:rsidRPr="001E3185">
        <w:rPr>
          <w:rFonts w:ascii="Verdana" w:hAnsi="Verdana"/>
        </w:rPr>
        <w:fldChar w:fldCharType="end"/>
      </w:r>
      <w:r w:rsidRPr="001E3185">
        <w:rPr>
          <w:rFonts w:ascii="Verdana" w:hAnsi="Verdana"/>
        </w:rPr>
        <w:t>: Combined PEC/PNEC ratios for surface water and sediment, professional application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34"/>
        <w:gridCol w:w="1134"/>
        <w:gridCol w:w="1134"/>
        <w:gridCol w:w="1276"/>
      </w:tblGrid>
      <w:tr w:rsidR="00692E71" w:rsidRPr="001E3185" w14:paraId="609C7850" w14:textId="77777777" w:rsidTr="008E0250">
        <w:trPr>
          <w:trHeight w:val="20"/>
          <w:tblHeader/>
        </w:trPr>
        <w:tc>
          <w:tcPr>
            <w:tcW w:w="3614" w:type="dxa"/>
            <w:shd w:val="clear" w:color="auto" w:fill="FFFFFF"/>
            <w:noWrap/>
            <w:vAlign w:val="bottom"/>
          </w:tcPr>
          <w:p w14:paraId="7E179A73" w14:textId="77777777" w:rsidR="00692E71" w:rsidRPr="001E3185" w:rsidRDefault="00692E71" w:rsidP="008E0250">
            <w:pPr>
              <w:rPr>
                <w:rFonts w:cs="Arial"/>
                <w:lang w:eastAsia="da-DK"/>
              </w:rPr>
            </w:pPr>
          </w:p>
        </w:tc>
        <w:tc>
          <w:tcPr>
            <w:tcW w:w="992" w:type="dxa"/>
            <w:shd w:val="clear" w:color="auto" w:fill="FFFFFF"/>
            <w:noWrap/>
            <w:vAlign w:val="center"/>
          </w:tcPr>
          <w:p w14:paraId="6A8D18B3" w14:textId="77777777" w:rsidR="00692E71" w:rsidRPr="001E3185" w:rsidRDefault="00692E71" w:rsidP="008E0250">
            <w:pPr>
              <w:jc w:val="center"/>
              <w:rPr>
                <w:rFonts w:cs="Arial"/>
                <w:b/>
                <w:lang w:eastAsia="da-DK"/>
              </w:rPr>
            </w:pPr>
            <w:r w:rsidRPr="001E3185">
              <w:rPr>
                <w:rFonts w:cs="Arial"/>
                <w:b/>
                <w:lang w:eastAsia="da-DK"/>
              </w:rPr>
              <w:t>IPBC</w:t>
            </w:r>
          </w:p>
        </w:tc>
        <w:tc>
          <w:tcPr>
            <w:tcW w:w="1134" w:type="dxa"/>
            <w:shd w:val="clear" w:color="auto" w:fill="FFFFFF"/>
            <w:noWrap/>
            <w:vAlign w:val="center"/>
          </w:tcPr>
          <w:p w14:paraId="41F96CA9" w14:textId="77777777" w:rsidR="00692E71" w:rsidRPr="001E3185" w:rsidRDefault="00692E71" w:rsidP="008E0250">
            <w:pPr>
              <w:jc w:val="center"/>
              <w:rPr>
                <w:rFonts w:cs="Arial"/>
                <w:b/>
                <w:lang w:eastAsia="da-DK"/>
              </w:rPr>
            </w:pPr>
            <w:r w:rsidRPr="001E3185">
              <w:rPr>
                <w:rFonts w:cs="Arial"/>
                <w:b/>
                <w:lang w:eastAsia="da-DK"/>
              </w:rPr>
              <w:t>Propiconazole</w:t>
            </w:r>
          </w:p>
        </w:tc>
        <w:tc>
          <w:tcPr>
            <w:tcW w:w="1134" w:type="dxa"/>
            <w:shd w:val="clear" w:color="auto" w:fill="FFFFFF"/>
            <w:noWrap/>
            <w:vAlign w:val="center"/>
          </w:tcPr>
          <w:p w14:paraId="18CA5CE0" w14:textId="77777777" w:rsidR="00692E71" w:rsidRPr="001E3185" w:rsidRDefault="00692E71" w:rsidP="008E0250">
            <w:pPr>
              <w:jc w:val="center"/>
              <w:rPr>
                <w:rFonts w:cs="Arial"/>
                <w:b/>
                <w:lang w:eastAsia="da-DK"/>
              </w:rPr>
            </w:pPr>
            <w:r w:rsidRPr="001E3185">
              <w:rPr>
                <w:rFonts w:cs="Arial"/>
                <w:b/>
                <w:lang w:eastAsia="da-DK"/>
              </w:rPr>
              <w:t>Tebuconazole</w:t>
            </w:r>
          </w:p>
        </w:tc>
        <w:tc>
          <w:tcPr>
            <w:tcW w:w="1134" w:type="dxa"/>
            <w:shd w:val="clear" w:color="auto" w:fill="FFFFFF"/>
            <w:vAlign w:val="center"/>
          </w:tcPr>
          <w:p w14:paraId="2659A9CF"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vAlign w:val="center"/>
          </w:tcPr>
          <w:p w14:paraId="58D43906" w14:textId="77777777" w:rsidR="00692E71" w:rsidRPr="001E3185" w:rsidRDefault="00692E71" w:rsidP="008E0250">
            <w:pPr>
              <w:jc w:val="center"/>
              <w:rPr>
                <w:rFonts w:cs="Arial"/>
                <w:b/>
                <w:lang w:eastAsia="da-DK"/>
              </w:rPr>
            </w:pPr>
            <w:r w:rsidRPr="001E3185">
              <w:rPr>
                <w:rFonts w:cs="Arial"/>
                <w:b/>
                <w:lang w:eastAsia="da-DK"/>
              </w:rPr>
              <w:t>Total PEC/PNEC</w:t>
            </w:r>
          </w:p>
        </w:tc>
      </w:tr>
      <w:tr w:rsidR="00692E71" w:rsidRPr="001E3185" w14:paraId="4BB4E1CD" w14:textId="77777777" w:rsidTr="008E0250">
        <w:trPr>
          <w:trHeight w:val="20"/>
        </w:trPr>
        <w:tc>
          <w:tcPr>
            <w:tcW w:w="3614" w:type="dxa"/>
            <w:shd w:val="clear" w:color="auto" w:fill="FFFFFF"/>
            <w:noWrap/>
            <w:vAlign w:val="bottom"/>
          </w:tcPr>
          <w:p w14:paraId="6DC08CCC" w14:textId="77777777" w:rsidR="00692E71" w:rsidRPr="001E3185" w:rsidRDefault="00692E71" w:rsidP="008E0250">
            <w:pPr>
              <w:rPr>
                <w:rFonts w:cs="Arial"/>
                <w:b/>
                <w:lang w:eastAsia="da-DK"/>
              </w:rPr>
            </w:pPr>
            <w:r w:rsidRPr="001E3185">
              <w:rPr>
                <w:rFonts w:cs="Arial"/>
                <w:b/>
                <w:lang w:eastAsia="da-DK"/>
              </w:rPr>
              <w:t>Bridge over Pond (surface water)</w:t>
            </w:r>
          </w:p>
        </w:tc>
        <w:tc>
          <w:tcPr>
            <w:tcW w:w="992" w:type="dxa"/>
            <w:shd w:val="clear" w:color="auto" w:fill="FFFFFF"/>
            <w:noWrap/>
            <w:vAlign w:val="center"/>
          </w:tcPr>
          <w:p w14:paraId="0EE651FE"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4E435B2"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1ECBEE3" w14:textId="77777777" w:rsidR="00692E71" w:rsidRPr="001E3185" w:rsidRDefault="00692E71" w:rsidP="008E0250">
            <w:pPr>
              <w:jc w:val="center"/>
              <w:rPr>
                <w:rFonts w:cs="Arial"/>
                <w:lang w:eastAsia="da-DK"/>
              </w:rPr>
            </w:pPr>
          </w:p>
        </w:tc>
        <w:tc>
          <w:tcPr>
            <w:tcW w:w="1134" w:type="dxa"/>
            <w:shd w:val="clear" w:color="auto" w:fill="FFFFFF"/>
            <w:vAlign w:val="center"/>
          </w:tcPr>
          <w:p w14:paraId="6263E068" w14:textId="77777777" w:rsidR="00692E71" w:rsidRPr="001E3185" w:rsidRDefault="00692E71" w:rsidP="008E0250">
            <w:pPr>
              <w:jc w:val="center"/>
              <w:rPr>
                <w:rFonts w:cs="Arial"/>
                <w:lang w:eastAsia="da-DK"/>
              </w:rPr>
            </w:pPr>
          </w:p>
        </w:tc>
        <w:tc>
          <w:tcPr>
            <w:tcW w:w="1276" w:type="dxa"/>
            <w:shd w:val="clear" w:color="auto" w:fill="FFFFFF"/>
            <w:vAlign w:val="center"/>
          </w:tcPr>
          <w:p w14:paraId="2CA4DCBC" w14:textId="77777777" w:rsidR="00692E71" w:rsidRPr="001E3185" w:rsidRDefault="00692E71" w:rsidP="008E0250">
            <w:pPr>
              <w:jc w:val="center"/>
              <w:rPr>
                <w:rFonts w:cs="Arial"/>
                <w:lang w:eastAsia="da-DK"/>
              </w:rPr>
            </w:pPr>
          </w:p>
        </w:tc>
      </w:tr>
      <w:tr w:rsidR="00692E71" w:rsidRPr="001E3185" w14:paraId="2E486D69" w14:textId="77777777" w:rsidTr="008E0250">
        <w:trPr>
          <w:trHeight w:val="20"/>
        </w:trPr>
        <w:tc>
          <w:tcPr>
            <w:tcW w:w="3614" w:type="dxa"/>
            <w:shd w:val="clear" w:color="auto" w:fill="FFFFFF"/>
            <w:noWrap/>
            <w:vAlign w:val="bottom"/>
          </w:tcPr>
          <w:p w14:paraId="75475694" w14:textId="77777777" w:rsidR="00692E71" w:rsidRPr="001E3185" w:rsidRDefault="00692E71" w:rsidP="008E0250">
            <w:pPr>
              <w:rPr>
                <w:rFonts w:cs="Arial"/>
                <w:lang w:eastAsia="da-DK"/>
              </w:rPr>
            </w:pPr>
            <w:r w:rsidRPr="001E3185">
              <w:rPr>
                <w:rFonts w:cs="Arial"/>
                <w:lang w:eastAsia="da-DK"/>
              </w:rPr>
              <w:t>PEC/PNEC local without removal Time 1 (30 days)</w:t>
            </w:r>
          </w:p>
        </w:tc>
        <w:tc>
          <w:tcPr>
            <w:tcW w:w="992" w:type="dxa"/>
            <w:shd w:val="clear" w:color="auto" w:fill="FFFFFF"/>
            <w:noWrap/>
            <w:vAlign w:val="center"/>
          </w:tcPr>
          <w:p w14:paraId="4CD15530" w14:textId="77777777" w:rsidR="00692E71" w:rsidRPr="001E3185" w:rsidRDefault="00692E71" w:rsidP="008E0250">
            <w:pPr>
              <w:jc w:val="center"/>
              <w:rPr>
                <w:rFonts w:cs="Arial"/>
                <w:color w:val="000000"/>
                <w:lang w:eastAsia="da-DK"/>
              </w:rPr>
            </w:pPr>
            <w:r w:rsidRPr="001E3185">
              <w:rPr>
                <w:rFonts w:cs="Arial"/>
                <w:color w:val="000000"/>
              </w:rPr>
              <w:t>0.16</w:t>
            </w:r>
          </w:p>
        </w:tc>
        <w:tc>
          <w:tcPr>
            <w:tcW w:w="1134" w:type="dxa"/>
            <w:shd w:val="clear" w:color="auto" w:fill="FFFFFF"/>
            <w:noWrap/>
            <w:vAlign w:val="center"/>
          </w:tcPr>
          <w:p w14:paraId="15BE0229" w14:textId="77777777" w:rsidR="00692E71" w:rsidRPr="001E3185" w:rsidRDefault="00692E71" w:rsidP="008E0250">
            <w:pPr>
              <w:jc w:val="center"/>
              <w:rPr>
                <w:rFonts w:cs="Arial"/>
                <w:color w:val="000000"/>
              </w:rPr>
            </w:pPr>
            <w:r w:rsidRPr="001E3185">
              <w:rPr>
                <w:rFonts w:cs="Arial"/>
                <w:color w:val="000000"/>
              </w:rPr>
              <w:t>0.04</w:t>
            </w:r>
          </w:p>
        </w:tc>
        <w:tc>
          <w:tcPr>
            <w:tcW w:w="1134" w:type="dxa"/>
            <w:shd w:val="clear" w:color="auto" w:fill="FFFFFF"/>
            <w:noWrap/>
            <w:vAlign w:val="center"/>
          </w:tcPr>
          <w:p w14:paraId="35658BB4" w14:textId="77777777" w:rsidR="00692E71" w:rsidRPr="001E3185" w:rsidRDefault="00692E71" w:rsidP="008E0250">
            <w:pPr>
              <w:jc w:val="center"/>
              <w:rPr>
                <w:rFonts w:cs="Arial"/>
                <w:color w:val="000000"/>
              </w:rPr>
            </w:pPr>
            <w:r w:rsidRPr="001E3185">
              <w:rPr>
                <w:rFonts w:cs="Arial"/>
                <w:color w:val="000000"/>
              </w:rPr>
              <w:t>0.12</w:t>
            </w:r>
          </w:p>
        </w:tc>
        <w:tc>
          <w:tcPr>
            <w:tcW w:w="1134" w:type="dxa"/>
            <w:shd w:val="clear" w:color="auto" w:fill="FFFFFF"/>
            <w:vAlign w:val="center"/>
          </w:tcPr>
          <w:p w14:paraId="13AD43B2" w14:textId="77777777" w:rsidR="00692E71" w:rsidRPr="001E3185" w:rsidRDefault="00692E71" w:rsidP="008E0250">
            <w:pPr>
              <w:jc w:val="center"/>
              <w:rPr>
                <w:rFonts w:cs="Arial"/>
                <w:color w:val="000000"/>
              </w:rPr>
            </w:pPr>
            <w:r w:rsidRPr="001E3185">
              <w:rPr>
                <w:rFonts w:cs="Arial"/>
                <w:color w:val="000000"/>
              </w:rPr>
              <w:t>43</w:t>
            </w:r>
          </w:p>
        </w:tc>
        <w:tc>
          <w:tcPr>
            <w:tcW w:w="1276" w:type="dxa"/>
            <w:shd w:val="clear" w:color="auto" w:fill="FFFFFF"/>
            <w:vAlign w:val="center"/>
          </w:tcPr>
          <w:p w14:paraId="790ACC31" w14:textId="77777777" w:rsidR="00692E71" w:rsidRPr="001E3185" w:rsidRDefault="00692E71" w:rsidP="008E0250">
            <w:pPr>
              <w:jc w:val="center"/>
              <w:rPr>
                <w:rFonts w:cs="Arial"/>
              </w:rPr>
            </w:pPr>
            <w:r w:rsidRPr="001E3185">
              <w:rPr>
                <w:rFonts w:cs="Arial"/>
                <w:color w:val="000000"/>
              </w:rPr>
              <w:t>43</w:t>
            </w:r>
          </w:p>
        </w:tc>
      </w:tr>
      <w:tr w:rsidR="00692E71" w:rsidRPr="001E3185" w14:paraId="58DF4F68" w14:textId="77777777" w:rsidTr="008E0250">
        <w:trPr>
          <w:trHeight w:val="20"/>
        </w:trPr>
        <w:tc>
          <w:tcPr>
            <w:tcW w:w="3614" w:type="dxa"/>
            <w:shd w:val="clear" w:color="auto" w:fill="FFFFFF"/>
            <w:noWrap/>
            <w:vAlign w:val="bottom"/>
          </w:tcPr>
          <w:p w14:paraId="2B9A277E"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53E9D827" w14:textId="77777777" w:rsidR="00692E71" w:rsidRPr="001E3185" w:rsidRDefault="00692E71" w:rsidP="008E0250">
            <w:pPr>
              <w:jc w:val="center"/>
              <w:rPr>
                <w:rFonts w:cs="Arial"/>
                <w:color w:val="000000"/>
                <w:lang w:eastAsia="da-DK"/>
              </w:rPr>
            </w:pPr>
            <w:r w:rsidRPr="001E3185">
              <w:rPr>
                <w:rFonts w:cs="Arial"/>
                <w:color w:val="000000"/>
              </w:rPr>
              <w:t>0.34</w:t>
            </w:r>
          </w:p>
        </w:tc>
        <w:tc>
          <w:tcPr>
            <w:tcW w:w="1134" w:type="dxa"/>
            <w:shd w:val="clear" w:color="auto" w:fill="FFFFFF"/>
            <w:noWrap/>
            <w:vAlign w:val="center"/>
          </w:tcPr>
          <w:p w14:paraId="4D161FAB" w14:textId="77777777" w:rsidR="00692E71" w:rsidRPr="001E3185" w:rsidRDefault="00692E71" w:rsidP="008E0250">
            <w:pPr>
              <w:jc w:val="center"/>
              <w:rPr>
                <w:rFonts w:cs="Arial"/>
                <w:color w:val="000000"/>
              </w:rPr>
            </w:pPr>
            <w:r w:rsidRPr="001E3185">
              <w:rPr>
                <w:rFonts w:cs="Arial"/>
                <w:color w:val="000000"/>
              </w:rPr>
              <w:t>0.12</w:t>
            </w:r>
          </w:p>
        </w:tc>
        <w:tc>
          <w:tcPr>
            <w:tcW w:w="1134" w:type="dxa"/>
            <w:shd w:val="clear" w:color="auto" w:fill="FFFFFF"/>
            <w:noWrap/>
            <w:vAlign w:val="center"/>
          </w:tcPr>
          <w:p w14:paraId="64C9B23E" w14:textId="77777777" w:rsidR="00692E71" w:rsidRPr="001E3185" w:rsidRDefault="00692E71" w:rsidP="008E0250">
            <w:pPr>
              <w:jc w:val="center"/>
              <w:rPr>
                <w:rFonts w:cs="Arial"/>
                <w:color w:val="000000"/>
              </w:rPr>
            </w:pPr>
            <w:r w:rsidRPr="001E3185">
              <w:rPr>
                <w:rFonts w:cs="Arial"/>
                <w:color w:val="000000"/>
              </w:rPr>
              <w:t>0.31</w:t>
            </w:r>
          </w:p>
        </w:tc>
        <w:tc>
          <w:tcPr>
            <w:tcW w:w="1134" w:type="dxa"/>
            <w:shd w:val="clear" w:color="auto" w:fill="FFFFFF"/>
            <w:vAlign w:val="center"/>
          </w:tcPr>
          <w:p w14:paraId="28C7ED89" w14:textId="77777777" w:rsidR="00692E71" w:rsidRPr="001E3185" w:rsidRDefault="00692E71" w:rsidP="008E0250">
            <w:pPr>
              <w:jc w:val="center"/>
              <w:rPr>
                <w:rFonts w:cs="Arial"/>
                <w:color w:val="000000"/>
              </w:rPr>
            </w:pPr>
            <w:r w:rsidRPr="001E3185">
              <w:rPr>
                <w:rFonts w:cs="Arial"/>
                <w:color w:val="000000"/>
              </w:rPr>
              <w:t>62</w:t>
            </w:r>
          </w:p>
        </w:tc>
        <w:tc>
          <w:tcPr>
            <w:tcW w:w="1276" w:type="dxa"/>
            <w:shd w:val="clear" w:color="auto" w:fill="FFFFFF"/>
            <w:vAlign w:val="center"/>
          </w:tcPr>
          <w:p w14:paraId="18F061A9" w14:textId="77777777" w:rsidR="00692E71" w:rsidRPr="001E3185" w:rsidRDefault="00692E71" w:rsidP="008E0250">
            <w:pPr>
              <w:jc w:val="center"/>
              <w:rPr>
                <w:rFonts w:cs="Arial"/>
              </w:rPr>
            </w:pPr>
            <w:r w:rsidRPr="001E3185">
              <w:rPr>
                <w:rFonts w:cs="Arial"/>
                <w:color w:val="000000"/>
              </w:rPr>
              <w:t>62</w:t>
            </w:r>
          </w:p>
        </w:tc>
      </w:tr>
      <w:tr w:rsidR="00692E71" w:rsidRPr="001E3185" w14:paraId="582095DB" w14:textId="77777777" w:rsidTr="008E0250">
        <w:trPr>
          <w:trHeight w:val="20"/>
        </w:trPr>
        <w:tc>
          <w:tcPr>
            <w:tcW w:w="3614" w:type="dxa"/>
            <w:shd w:val="clear" w:color="auto" w:fill="FFFFFF"/>
            <w:noWrap/>
            <w:vAlign w:val="bottom"/>
          </w:tcPr>
          <w:p w14:paraId="09F63FC5" w14:textId="77777777" w:rsidR="00692E71" w:rsidRPr="001E3185" w:rsidRDefault="00692E71" w:rsidP="008E0250">
            <w:pPr>
              <w:rPr>
                <w:rFonts w:cs="Arial"/>
                <w:lang w:eastAsia="da-DK"/>
              </w:rPr>
            </w:pPr>
          </w:p>
        </w:tc>
        <w:tc>
          <w:tcPr>
            <w:tcW w:w="992" w:type="dxa"/>
            <w:shd w:val="clear" w:color="auto" w:fill="FFFFFF"/>
            <w:noWrap/>
            <w:vAlign w:val="center"/>
          </w:tcPr>
          <w:p w14:paraId="46F92D20"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6045062E" w14:textId="77777777" w:rsidR="00692E71" w:rsidRPr="001E3185" w:rsidRDefault="00692E71" w:rsidP="008E0250">
            <w:pPr>
              <w:jc w:val="center"/>
              <w:rPr>
                <w:rFonts w:cs="Arial"/>
              </w:rPr>
            </w:pPr>
          </w:p>
        </w:tc>
        <w:tc>
          <w:tcPr>
            <w:tcW w:w="1134" w:type="dxa"/>
            <w:shd w:val="clear" w:color="auto" w:fill="FFFFFF"/>
            <w:noWrap/>
            <w:vAlign w:val="center"/>
          </w:tcPr>
          <w:p w14:paraId="530AFF95" w14:textId="77777777" w:rsidR="00692E71" w:rsidRPr="001E3185" w:rsidRDefault="00692E71" w:rsidP="008E0250">
            <w:pPr>
              <w:jc w:val="center"/>
              <w:rPr>
                <w:rFonts w:cs="Arial"/>
              </w:rPr>
            </w:pPr>
          </w:p>
        </w:tc>
        <w:tc>
          <w:tcPr>
            <w:tcW w:w="1134" w:type="dxa"/>
            <w:shd w:val="clear" w:color="auto" w:fill="FFFFFF"/>
            <w:vAlign w:val="center"/>
          </w:tcPr>
          <w:p w14:paraId="67FBCE0B" w14:textId="77777777" w:rsidR="00692E71" w:rsidRPr="001E3185" w:rsidRDefault="00692E71" w:rsidP="008E0250">
            <w:pPr>
              <w:jc w:val="center"/>
              <w:rPr>
                <w:rFonts w:cs="Arial"/>
              </w:rPr>
            </w:pPr>
          </w:p>
        </w:tc>
        <w:tc>
          <w:tcPr>
            <w:tcW w:w="1276" w:type="dxa"/>
            <w:shd w:val="clear" w:color="auto" w:fill="FFFFFF"/>
            <w:vAlign w:val="center"/>
          </w:tcPr>
          <w:p w14:paraId="421C70CF" w14:textId="77777777" w:rsidR="00692E71" w:rsidRPr="001E3185" w:rsidRDefault="00692E71" w:rsidP="008E0250">
            <w:pPr>
              <w:jc w:val="center"/>
              <w:rPr>
                <w:rFonts w:cs="Arial"/>
              </w:rPr>
            </w:pPr>
          </w:p>
        </w:tc>
      </w:tr>
      <w:tr w:rsidR="00692E71" w:rsidRPr="001E3185" w14:paraId="6E52773A" w14:textId="77777777" w:rsidTr="008E0250">
        <w:trPr>
          <w:trHeight w:val="20"/>
        </w:trPr>
        <w:tc>
          <w:tcPr>
            <w:tcW w:w="3614" w:type="dxa"/>
            <w:shd w:val="clear" w:color="auto" w:fill="FFFFFF"/>
            <w:noWrap/>
            <w:vAlign w:val="bottom"/>
          </w:tcPr>
          <w:p w14:paraId="7521D888" w14:textId="77777777" w:rsidR="00692E71" w:rsidRPr="001E3185" w:rsidRDefault="00692E71" w:rsidP="008E0250">
            <w:pPr>
              <w:rPr>
                <w:rFonts w:cs="Arial"/>
                <w:lang w:eastAsia="da-DK"/>
              </w:rPr>
            </w:pPr>
            <w:r w:rsidRPr="001E3185">
              <w:rPr>
                <w:rFonts w:cs="Arial"/>
                <w:lang w:eastAsia="da-DK"/>
              </w:rPr>
              <w:t>PEC/PNEC local with removal Time 1 (30 days)</w:t>
            </w:r>
            <w:r w:rsidRPr="001E3185" w:rsidDel="00167688">
              <w:rPr>
                <w:rFonts w:cs="Arial"/>
                <w:lang w:eastAsia="da-DK"/>
              </w:rPr>
              <w:t xml:space="preserve"> </w:t>
            </w:r>
          </w:p>
        </w:tc>
        <w:tc>
          <w:tcPr>
            <w:tcW w:w="992" w:type="dxa"/>
            <w:shd w:val="clear" w:color="auto" w:fill="FFFFFF"/>
            <w:noWrap/>
            <w:vAlign w:val="center"/>
          </w:tcPr>
          <w:p w14:paraId="2E7CE1C7" w14:textId="77777777" w:rsidR="00692E71" w:rsidRPr="001E3185" w:rsidRDefault="00692E71" w:rsidP="008E0250">
            <w:pPr>
              <w:jc w:val="center"/>
              <w:rPr>
                <w:rFonts w:cs="Arial"/>
                <w:color w:val="000000"/>
                <w:lang w:eastAsia="da-DK"/>
              </w:rPr>
            </w:pPr>
            <w:r w:rsidRPr="001E3185">
              <w:rPr>
                <w:rFonts w:cs="Arial"/>
                <w:color w:val="000000"/>
              </w:rPr>
              <w:t>9.9*10</w:t>
            </w:r>
            <w:r w:rsidRPr="001E3185">
              <w:rPr>
                <w:rFonts w:cs="Arial"/>
                <w:color w:val="000000"/>
                <w:vertAlign w:val="superscript"/>
              </w:rPr>
              <w:t>-4</w:t>
            </w:r>
          </w:p>
        </w:tc>
        <w:tc>
          <w:tcPr>
            <w:tcW w:w="1134" w:type="dxa"/>
            <w:shd w:val="clear" w:color="auto" w:fill="FFFFFF"/>
            <w:noWrap/>
            <w:vAlign w:val="center"/>
          </w:tcPr>
          <w:p w14:paraId="07EE5940" w14:textId="77777777" w:rsidR="00692E71" w:rsidRPr="001E3185" w:rsidRDefault="00692E71" w:rsidP="008E0250">
            <w:pPr>
              <w:jc w:val="center"/>
              <w:rPr>
                <w:rFonts w:cs="Arial"/>
                <w:color w:val="000000"/>
              </w:rPr>
            </w:pPr>
            <w:r w:rsidRPr="001E3185">
              <w:rPr>
                <w:rFonts w:cs="Arial"/>
                <w:color w:val="000000"/>
              </w:rPr>
              <w:t>0.02</w:t>
            </w:r>
          </w:p>
        </w:tc>
        <w:tc>
          <w:tcPr>
            <w:tcW w:w="1134" w:type="dxa"/>
            <w:shd w:val="clear" w:color="auto" w:fill="FFFFFF"/>
            <w:noWrap/>
            <w:vAlign w:val="center"/>
          </w:tcPr>
          <w:p w14:paraId="5DE2AA70" w14:textId="77777777" w:rsidR="00692E71" w:rsidRPr="001E3185" w:rsidRDefault="00692E71" w:rsidP="008E0250">
            <w:pPr>
              <w:jc w:val="center"/>
              <w:rPr>
                <w:rFonts w:cs="Arial"/>
                <w:color w:val="000000"/>
              </w:rPr>
            </w:pPr>
            <w:r w:rsidRPr="001E3185">
              <w:rPr>
                <w:rFonts w:cs="Arial"/>
                <w:color w:val="000000"/>
              </w:rPr>
              <w:t>0.06</w:t>
            </w:r>
          </w:p>
        </w:tc>
        <w:tc>
          <w:tcPr>
            <w:tcW w:w="1134" w:type="dxa"/>
            <w:shd w:val="clear" w:color="auto" w:fill="FFFFFF"/>
            <w:vAlign w:val="center"/>
          </w:tcPr>
          <w:p w14:paraId="5BB181BF" w14:textId="77777777" w:rsidR="00692E71" w:rsidRPr="001E3185" w:rsidRDefault="00692E71" w:rsidP="008E0250">
            <w:pPr>
              <w:jc w:val="center"/>
              <w:rPr>
                <w:rFonts w:cs="Arial"/>
                <w:color w:val="000000"/>
              </w:rPr>
            </w:pPr>
            <w:r w:rsidRPr="001E3185">
              <w:rPr>
                <w:rFonts w:cs="Arial"/>
                <w:color w:val="000000"/>
              </w:rPr>
              <w:t>3.6*10</w:t>
            </w:r>
            <w:r w:rsidRPr="001E3185">
              <w:rPr>
                <w:rFonts w:cs="Arial"/>
                <w:color w:val="000000"/>
                <w:vertAlign w:val="superscript"/>
              </w:rPr>
              <w:t>-1</w:t>
            </w:r>
          </w:p>
        </w:tc>
        <w:tc>
          <w:tcPr>
            <w:tcW w:w="1276" w:type="dxa"/>
            <w:shd w:val="clear" w:color="auto" w:fill="FFFFFF"/>
            <w:vAlign w:val="center"/>
          </w:tcPr>
          <w:p w14:paraId="43CB6E47" w14:textId="77777777" w:rsidR="00692E71" w:rsidRPr="001E3185" w:rsidRDefault="00692E71" w:rsidP="008E0250">
            <w:pPr>
              <w:jc w:val="center"/>
              <w:rPr>
                <w:rFonts w:cs="Arial"/>
                <w:color w:val="000000"/>
              </w:rPr>
            </w:pPr>
            <w:r w:rsidRPr="001E3185">
              <w:rPr>
                <w:rFonts w:cs="Arial"/>
                <w:color w:val="000000"/>
              </w:rPr>
              <w:t>0.44</w:t>
            </w:r>
          </w:p>
        </w:tc>
      </w:tr>
      <w:tr w:rsidR="00692E71" w:rsidRPr="001E3185" w14:paraId="37560B27" w14:textId="77777777" w:rsidTr="008E0250">
        <w:trPr>
          <w:trHeight w:val="20"/>
        </w:trPr>
        <w:tc>
          <w:tcPr>
            <w:tcW w:w="3614" w:type="dxa"/>
            <w:shd w:val="clear" w:color="auto" w:fill="FFFFFF"/>
            <w:noWrap/>
            <w:vAlign w:val="bottom"/>
          </w:tcPr>
          <w:p w14:paraId="6CB4D950" w14:textId="77777777" w:rsidR="00692E71" w:rsidRPr="001E3185" w:rsidRDefault="00692E71" w:rsidP="008E0250">
            <w:pPr>
              <w:rPr>
                <w:rFonts w:cs="Arial"/>
                <w:lang w:eastAsia="da-DK"/>
              </w:rPr>
            </w:pPr>
            <w:r w:rsidRPr="001E3185">
              <w:rPr>
                <w:rFonts w:cs="Arial"/>
                <w:lang w:eastAsia="da-DK"/>
              </w:rPr>
              <w:t>PEC/PNEC local with removal Time 2 (1825 days)</w:t>
            </w:r>
          </w:p>
        </w:tc>
        <w:tc>
          <w:tcPr>
            <w:tcW w:w="992" w:type="dxa"/>
            <w:shd w:val="clear" w:color="auto" w:fill="FFFFFF"/>
            <w:noWrap/>
            <w:vAlign w:val="center"/>
          </w:tcPr>
          <w:p w14:paraId="7101CBF8" w14:textId="77777777" w:rsidR="00692E71" w:rsidRPr="001E3185" w:rsidRDefault="00692E71" w:rsidP="008E0250">
            <w:pPr>
              <w:jc w:val="center"/>
              <w:rPr>
                <w:rFonts w:cs="Arial"/>
                <w:color w:val="000000"/>
                <w:lang w:eastAsia="da-DK"/>
              </w:rPr>
            </w:pPr>
            <w:r w:rsidRPr="001E3185">
              <w:rPr>
                <w:rFonts w:cs="Arial"/>
                <w:color w:val="000000"/>
              </w:rPr>
              <w:t>3.5*10</w:t>
            </w:r>
            <w:r w:rsidRPr="001E3185">
              <w:rPr>
                <w:rFonts w:cs="Arial"/>
                <w:color w:val="000000"/>
                <w:vertAlign w:val="superscript"/>
              </w:rPr>
              <w:t>-5</w:t>
            </w:r>
          </w:p>
        </w:tc>
        <w:tc>
          <w:tcPr>
            <w:tcW w:w="1134" w:type="dxa"/>
            <w:shd w:val="clear" w:color="auto" w:fill="FFFFFF"/>
            <w:noWrap/>
            <w:vAlign w:val="center"/>
          </w:tcPr>
          <w:p w14:paraId="6CFAD750" w14:textId="77777777" w:rsidR="00692E71" w:rsidRPr="001E3185" w:rsidRDefault="00692E71" w:rsidP="008E0250">
            <w:pPr>
              <w:jc w:val="center"/>
              <w:rPr>
                <w:rFonts w:cs="Arial"/>
                <w:color w:val="000000"/>
              </w:rPr>
            </w:pPr>
            <w:r w:rsidRPr="001E3185">
              <w:rPr>
                <w:rFonts w:cs="Arial"/>
                <w:color w:val="000000"/>
              </w:rPr>
              <w:t>0.04</w:t>
            </w:r>
          </w:p>
        </w:tc>
        <w:tc>
          <w:tcPr>
            <w:tcW w:w="1134" w:type="dxa"/>
            <w:shd w:val="clear" w:color="auto" w:fill="FFFFFF"/>
            <w:noWrap/>
            <w:vAlign w:val="center"/>
          </w:tcPr>
          <w:p w14:paraId="6E22F964" w14:textId="77777777" w:rsidR="00692E71" w:rsidRPr="001E3185" w:rsidRDefault="00692E71" w:rsidP="008E0250">
            <w:pPr>
              <w:jc w:val="center"/>
              <w:rPr>
                <w:rFonts w:cs="Arial"/>
                <w:color w:val="000000"/>
              </w:rPr>
            </w:pPr>
            <w:r w:rsidRPr="001E3185">
              <w:rPr>
                <w:rFonts w:cs="Arial"/>
                <w:color w:val="000000"/>
              </w:rPr>
              <w:t>0.04</w:t>
            </w:r>
          </w:p>
        </w:tc>
        <w:tc>
          <w:tcPr>
            <w:tcW w:w="1134" w:type="dxa"/>
            <w:shd w:val="clear" w:color="auto" w:fill="FFFFFF"/>
            <w:vAlign w:val="center"/>
          </w:tcPr>
          <w:p w14:paraId="4EC66FBB" w14:textId="77777777" w:rsidR="00692E71" w:rsidRPr="001E3185" w:rsidRDefault="00692E71" w:rsidP="008E0250">
            <w:pPr>
              <w:jc w:val="center"/>
              <w:rPr>
                <w:rFonts w:cs="Arial"/>
                <w:color w:val="000000"/>
              </w:rPr>
            </w:pPr>
            <w:r w:rsidRPr="001E3185">
              <w:rPr>
                <w:rFonts w:cs="Arial"/>
                <w:color w:val="000000"/>
              </w:rPr>
              <w:t>2.1*10</w:t>
            </w:r>
            <w:r w:rsidRPr="001E3185">
              <w:rPr>
                <w:rFonts w:cs="Arial"/>
                <w:color w:val="000000"/>
                <w:vertAlign w:val="superscript"/>
              </w:rPr>
              <w:t>-2</w:t>
            </w:r>
          </w:p>
        </w:tc>
        <w:tc>
          <w:tcPr>
            <w:tcW w:w="1276" w:type="dxa"/>
            <w:shd w:val="clear" w:color="auto" w:fill="FFFFFF"/>
            <w:vAlign w:val="center"/>
          </w:tcPr>
          <w:p w14:paraId="2DB94342" w14:textId="77777777" w:rsidR="00692E71" w:rsidRPr="001E3185" w:rsidRDefault="00692E71" w:rsidP="008E0250">
            <w:pPr>
              <w:jc w:val="center"/>
              <w:rPr>
                <w:rFonts w:cs="Arial"/>
                <w:color w:val="000000"/>
              </w:rPr>
            </w:pPr>
            <w:r w:rsidRPr="001E3185">
              <w:rPr>
                <w:rFonts w:cs="Arial"/>
                <w:color w:val="000000"/>
              </w:rPr>
              <w:t>0.10</w:t>
            </w:r>
          </w:p>
        </w:tc>
      </w:tr>
      <w:tr w:rsidR="00692E71" w:rsidRPr="001E3185" w14:paraId="5F931240" w14:textId="77777777" w:rsidTr="008E0250">
        <w:trPr>
          <w:trHeight w:val="20"/>
        </w:trPr>
        <w:tc>
          <w:tcPr>
            <w:tcW w:w="3614" w:type="dxa"/>
            <w:shd w:val="clear" w:color="auto" w:fill="FFFFFF"/>
            <w:noWrap/>
            <w:vAlign w:val="bottom"/>
          </w:tcPr>
          <w:p w14:paraId="7AF69847" w14:textId="77777777" w:rsidR="00692E71" w:rsidRPr="001E3185" w:rsidRDefault="00692E71" w:rsidP="008E0250">
            <w:pPr>
              <w:keepNext/>
              <w:rPr>
                <w:rFonts w:cs="Arial"/>
                <w:lang w:eastAsia="da-DK"/>
              </w:rPr>
            </w:pPr>
            <w:r w:rsidRPr="001E3185">
              <w:rPr>
                <w:rFonts w:cs="Arial"/>
                <w:b/>
                <w:lang w:eastAsia="da-DK"/>
              </w:rPr>
              <w:t>Bridge over Pond (sediment)</w:t>
            </w:r>
          </w:p>
        </w:tc>
        <w:tc>
          <w:tcPr>
            <w:tcW w:w="992" w:type="dxa"/>
            <w:shd w:val="clear" w:color="auto" w:fill="FFFFFF"/>
            <w:noWrap/>
            <w:vAlign w:val="center"/>
          </w:tcPr>
          <w:p w14:paraId="613CD613" w14:textId="77777777" w:rsidR="00692E71" w:rsidRPr="001E3185" w:rsidRDefault="00692E71" w:rsidP="008E0250">
            <w:pPr>
              <w:keepNext/>
              <w:jc w:val="center"/>
              <w:rPr>
                <w:rFonts w:cs="Arial"/>
                <w:lang w:eastAsia="da-DK"/>
              </w:rPr>
            </w:pPr>
          </w:p>
        </w:tc>
        <w:tc>
          <w:tcPr>
            <w:tcW w:w="1134" w:type="dxa"/>
            <w:shd w:val="clear" w:color="auto" w:fill="FFFFFF"/>
            <w:noWrap/>
            <w:vAlign w:val="center"/>
          </w:tcPr>
          <w:p w14:paraId="75ED8186" w14:textId="77777777" w:rsidR="00692E71" w:rsidRPr="001E3185" w:rsidRDefault="00692E71" w:rsidP="008E0250">
            <w:pPr>
              <w:keepNext/>
              <w:jc w:val="center"/>
              <w:rPr>
                <w:rFonts w:cs="Arial"/>
              </w:rPr>
            </w:pPr>
          </w:p>
        </w:tc>
        <w:tc>
          <w:tcPr>
            <w:tcW w:w="1134" w:type="dxa"/>
            <w:shd w:val="clear" w:color="auto" w:fill="FFFFFF"/>
            <w:noWrap/>
            <w:vAlign w:val="center"/>
          </w:tcPr>
          <w:p w14:paraId="338EDDBA" w14:textId="77777777" w:rsidR="00692E71" w:rsidRPr="001E3185" w:rsidRDefault="00692E71" w:rsidP="008E0250">
            <w:pPr>
              <w:keepNext/>
              <w:jc w:val="center"/>
              <w:rPr>
                <w:rFonts w:cs="Arial"/>
              </w:rPr>
            </w:pPr>
          </w:p>
        </w:tc>
        <w:tc>
          <w:tcPr>
            <w:tcW w:w="1134" w:type="dxa"/>
            <w:shd w:val="clear" w:color="auto" w:fill="FFFFFF"/>
            <w:vAlign w:val="center"/>
          </w:tcPr>
          <w:p w14:paraId="0ADCFFB7" w14:textId="77777777" w:rsidR="00692E71" w:rsidRPr="001E3185" w:rsidRDefault="00692E71" w:rsidP="008E0250">
            <w:pPr>
              <w:keepNext/>
              <w:jc w:val="center"/>
              <w:rPr>
                <w:rFonts w:cs="Arial"/>
              </w:rPr>
            </w:pPr>
          </w:p>
        </w:tc>
        <w:tc>
          <w:tcPr>
            <w:tcW w:w="1276" w:type="dxa"/>
            <w:shd w:val="clear" w:color="auto" w:fill="FFFFFF"/>
            <w:vAlign w:val="center"/>
          </w:tcPr>
          <w:p w14:paraId="5B4ACC79" w14:textId="77777777" w:rsidR="00692E71" w:rsidRPr="001E3185" w:rsidRDefault="00692E71" w:rsidP="008E0250">
            <w:pPr>
              <w:keepNext/>
              <w:jc w:val="center"/>
              <w:rPr>
                <w:rFonts w:cs="Arial"/>
              </w:rPr>
            </w:pPr>
          </w:p>
        </w:tc>
      </w:tr>
      <w:tr w:rsidR="00692E71" w:rsidRPr="001E3185" w14:paraId="74D118D4" w14:textId="77777777" w:rsidTr="008E0250">
        <w:trPr>
          <w:trHeight w:val="20"/>
        </w:trPr>
        <w:tc>
          <w:tcPr>
            <w:tcW w:w="3614" w:type="dxa"/>
            <w:shd w:val="clear" w:color="auto" w:fill="FFFFFF"/>
            <w:noWrap/>
            <w:vAlign w:val="bottom"/>
          </w:tcPr>
          <w:p w14:paraId="2830085A" w14:textId="77777777" w:rsidR="00692E71" w:rsidRPr="001E3185" w:rsidRDefault="00692E71" w:rsidP="008E0250">
            <w:pPr>
              <w:keepNext/>
              <w:rPr>
                <w:rFonts w:cs="Arial"/>
                <w:lang w:eastAsia="da-DK"/>
              </w:rPr>
            </w:pPr>
            <w:r w:rsidRPr="001E3185">
              <w:rPr>
                <w:rFonts w:cs="Arial"/>
                <w:lang w:eastAsia="da-DK"/>
              </w:rPr>
              <w:t>PEC/PNEC local without removal Time 1 (30 days)</w:t>
            </w:r>
          </w:p>
        </w:tc>
        <w:tc>
          <w:tcPr>
            <w:tcW w:w="992" w:type="dxa"/>
            <w:shd w:val="clear" w:color="auto" w:fill="FFFFFF"/>
            <w:noWrap/>
            <w:vAlign w:val="center"/>
          </w:tcPr>
          <w:p w14:paraId="55BD3C23" w14:textId="77777777" w:rsidR="00692E71" w:rsidRPr="001E3185" w:rsidRDefault="00692E71" w:rsidP="008E0250">
            <w:pPr>
              <w:keepNext/>
              <w:jc w:val="center"/>
              <w:rPr>
                <w:rFonts w:cs="Arial"/>
                <w:color w:val="000000"/>
                <w:lang w:eastAsia="da-DK"/>
              </w:rPr>
            </w:pPr>
            <w:r w:rsidRPr="001E3185">
              <w:rPr>
                <w:rFonts w:cs="Arial"/>
                <w:color w:val="000000"/>
              </w:rPr>
              <w:t>0.2</w:t>
            </w:r>
          </w:p>
        </w:tc>
        <w:tc>
          <w:tcPr>
            <w:tcW w:w="1134" w:type="dxa"/>
            <w:shd w:val="clear" w:color="auto" w:fill="FFFFFF"/>
            <w:noWrap/>
            <w:vAlign w:val="center"/>
          </w:tcPr>
          <w:p w14:paraId="57B8E394" w14:textId="77777777" w:rsidR="00692E71" w:rsidRPr="001E3185" w:rsidRDefault="00692E71" w:rsidP="008E0250">
            <w:pPr>
              <w:keepNext/>
              <w:jc w:val="center"/>
              <w:rPr>
                <w:rFonts w:cs="Arial"/>
                <w:color w:val="000000"/>
              </w:rPr>
            </w:pPr>
            <w:r w:rsidRPr="001E3185">
              <w:rPr>
                <w:rFonts w:cs="Arial"/>
                <w:color w:val="000000"/>
              </w:rPr>
              <w:t>0.1</w:t>
            </w:r>
          </w:p>
        </w:tc>
        <w:tc>
          <w:tcPr>
            <w:tcW w:w="1134" w:type="dxa"/>
            <w:shd w:val="clear" w:color="auto" w:fill="FFFFFF"/>
            <w:noWrap/>
            <w:vAlign w:val="center"/>
          </w:tcPr>
          <w:p w14:paraId="6AFF8EF0" w14:textId="77777777" w:rsidR="00692E71" w:rsidRPr="001E3185" w:rsidRDefault="00692E71" w:rsidP="008E0250">
            <w:pPr>
              <w:keepNext/>
              <w:jc w:val="center"/>
              <w:rPr>
                <w:rFonts w:cs="Arial"/>
                <w:color w:val="000000"/>
              </w:rPr>
            </w:pPr>
            <w:r w:rsidRPr="001E3185">
              <w:rPr>
                <w:rFonts w:cs="Arial"/>
                <w:color w:val="000000"/>
              </w:rPr>
              <w:t>4.9*10</w:t>
            </w:r>
            <w:r w:rsidRPr="001E3185">
              <w:rPr>
                <w:rFonts w:cs="Arial"/>
                <w:color w:val="000000"/>
                <w:vertAlign w:val="superscript"/>
              </w:rPr>
              <w:t>-3</w:t>
            </w:r>
          </w:p>
        </w:tc>
        <w:tc>
          <w:tcPr>
            <w:tcW w:w="1134" w:type="dxa"/>
            <w:shd w:val="clear" w:color="auto" w:fill="FFFFFF"/>
            <w:vAlign w:val="center"/>
          </w:tcPr>
          <w:p w14:paraId="691B75C9" w14:textId="77777777" w:rsidR="00692E71" w:rsidRPr="001E3185" w:rsidRDefault="00692E71" w:rsidP="008E0250">
            <w:pPr>
              <w:keepNext/>
              <w:jc w:val="center"/>
              <w:rPr>
                <w:rFonts w:cs="Arial"/>
                <w:color w:val="000000"/>
              </w:rPr>
            </w:pPr>
            <w:r w:rsidRPr="001E3185">
              <w:rPr>
                <w:rFonts w:cs="Arial"/>
                <w:color w:val="000000"/>
              </w:rPr>
              <w:t>4.3</w:t>
            </w:r>
          </w:p>
        </w:tc>
        <w:tc>
          <w:tcPr>
            <w:tcW w:w="1276" w:type="dxa"/>
            <w:shd w:val="clear" w:color="auto" w:fill="FFFFFF"/>
            <w:vAlign w:val="center"/>
          </w:tcPr>
          <w:p w14:paraId="5D828FBC" w14:textId="77777777" w:rsidR="00692E71" w:rsidRPr="001E3185" w:rsidRDefault="00692E71" w:rsidP="008E0250">
            <w:pPr>
              <w:keepNext/>
              <w:jc w:val="center"/>
              <w:rPr>
                <w:rFonts w:cs="Arial"/>
              </w:rPr>
            </w:pPr>
            <w:r w:rsidRPr="001E3185">
              <w:rPr>
                <w:rFonts w:cs="Arial"/>
              </w:rPr>
              <w:t>4.5</w:t>
            </w:r>
          </w:p>
        </w:tc>
      </w:tr>
      <w:tr w:rsidR="00692E71" w:rsidRPr="001E3185" w14:paraId="67C92765" w14:textId="77777777" w:rsidTr="008E0250">
        <w:trPr>
          <w:trHeight w:val="20"/>
        </w:trPr>
        <w:tc>
          <w:tcPr>
            <w:tcW w:w="3614" w:type="dxa"/>
            <w:shd w:val="clear" w:color="auto" w:fill="FFFFFF"/>
            <w:noWrap/>
            <w:vAlign w:val="bottom"/>
          </w:tcPr>
          <w:p w14:paraId="14B26EAF" w14:textId="77777777" w:rsidR="00692E71" w:rsidRPr="001E3185" w:rsidRDefault="00692E71" w:rsidP="008E0250">
            <w:pPr>
              <w:keepNext/>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1C4CF82F" w14:textId="77777777" w:rsidR="00692E71" w:rsidRPr="001E3185" w:rsidRDefault="00692E71" w:rsidP="008E0250">
            <w:pPr>
              <w:keepNext/>
              <w:jc w:val="center"/>
              <w:rPr>
                <w:rFonts w:cs="Arial"/>
                <w:color w:val="000000"/>
                <w:lang w:eastAsia="da-DK"/>
              </w:rPr>
            </w:pPr>
            <w:r w:rsidRPr="001E3185">
              <w:rPr>
                <w:rFonts w:cs="Arial"/>
                <w:color w:val="000000"/>
              </w:rPr>
              <w:t>3.4*10</w:t>
            </w:r>
            <w:r w:rsidRPr="001E3185">
              <w:rPr>
                <w:rFonts w:cs="Arial"/>
                <w:color w:val="000000"/>
                <w:vertAlign w:val="superscript"/>
              </w:rPr>
              <w:t>-1</w:t>
            </w:r>
          </w:p>
        </w:tc>
        <w:tc>
          <w:tcPr>
            <w:tcW w:w="1134" w:type="dxa"/>
            <w:shd w:val="clear" w:color="auto" w:fill="FFFFFF"/>
            <w:noWrap/>
            <w:vAlign w:val="center"/>
          </w:tcPr>
          <w:p w14:paraId="4FD9D6ED" w14:textId="77777777" w:rsidR="00692E71" w:rsidRPr="001E3185" w:rsidRDefault="00692E71" w:rsidP="008E0250">
            <w:pPr>
              <w:keepNext/>
              <w:jc w:val="center"/>
              <w:rPr>
                <w:rFonts w:cs="Arial"/>
                <w:color w:val="000000"/>
              </w:rPr>
            </w:pPr>
            <w:r w:rsidRPr="001E3185">
              <w:rPr>
                <w:rFonts w:cs="Arial"/>
                <w:color w:val="000000"/>
              </w:rPr>
              <w:t>0.3</w:t>
            </w:r>
          </w:p>
        </w:tc>
        <w:tc>
          <w:tcPr>
            <w:tcW w:w="1134" w:type="dxa"/>
            <w:shd w:val="clear" w:color="auto" w:fill="FFFFFF"/>
            <w:noWrap/>
            <w:vAlign w:val="center"/>
          </w:tcPr>
          <w:p w14:paraId="7317103F" w14:textId="77777777" w:rsidR="00692E71" w:rsidRPr="001E3185" w:rsidRDefault="00692E71" w:rsidP="008E0250">
            <w:pPr>
              <w:keepNext/>
              <w:jc w:val="center"/>
              <w:rPr>
                <w:rFonts w:cs="Arial"/>
                <w:color w:val="000000"/>
              </w:rPr>
            </w:pPr>
            <w:r w:rsidRPr="001E3185">
              <w:rPr>
                <w:rFonts w:cs="Arial"/>
                <w:color w:val="000000"/>
              </w:rPr>
              <w:t>1.3*10</w:t>
            </w:r>
            <w:r w:rsidRPr="001E3185">
              <w:rPr>
                <w:rFonts w:cs="Arial"/>
                <w:color w:val="000000"/>
                <w:vertAlign w:val="superscript"/>
              </w:rPr>
              <w:t>-2</w:t>
            </w:r>
          </w:p>
        </w:tc>
        <w:tc>
          <w:tcPr>
            <w:tcW w:w="1134" w:type="dxa"/>
            <w:shd w:val="clear" w:color="auto" w:fill="FFFFFF"/>
            <w:vAlign w:val="center"/>
          </w:tcPr>
          <w:p w14:paraId="56D72C08" w14:textId="77777777" w:rsidR="00692E71" w:rsidRPr="001E3185" w:rsidRDefault="00692E71" w:rsidP="008E0250">
            <w:pPr>
              <w:keepNext/>
              <w:jc w:val="center"/>
              <w:rPr>
                <w:rFonts w:cs="Arial"/>
                <w:color w:val="000000"/>
              </w:rPr>
            </w:pPr>
            <w:r w:rsidRPr="001E3185">
              <w:rPr>
                <w:rFonts w:cs="Arial"/>
                <w:color w:val="000000"/>
              </w:rPr>
              <w:t>6.2</w:t>
            </w:r>
          </w:p>
        </w:tc>
        <w:tc>
          <w:tcPr>
            <w:tcW w:w="1276" w:type="dxa"/>
            <w:shd w:val="clear" w:color="auto" w:fill="FFFFFF"/>
            <w:vAlign w:val="center"/>
          </w:tcPr>
          <w:p w14:paraId="17C12585" w14:textId="77777777" w:rsidR="00692E71" w:rsidRPr="001E3185" w:rsidRDefault="00692E71" w:rsidP="008E0250">
            <w:pPr>
              <w:keepNext/>
              <w:jc w:val="center"/>
              <w:rPr>
                <w:rFonts w:cs="Arial"/>
              </w:rPr>
            </w:pPr>
            <w:r w:rsidRPr="001E3185">
              <w:rPr>
                <w:rFonts w:cs="Arial"/>
                <w:color w:val="000000"/>
              </w:rPr>
              <w:t>6.8</w:t>
            </w:r>
          </w:p>
        </w:tc>
      </w:tr>
      <w:tr w:rsidR="00692E71" w:rsidRPr="001E3185" w14:paraId="769D475F" w14:textId="77777777" w:rsidTr="008E0250">
        <w:trPr>
          <w:trHeight w:val="20"/>
        </w:trPr>
        <w:tc>
          <w:tcPr>
            <w:tcW w:w="3614" w:type="dxa"/>
            <w:shd w:val="clear" w:color="auto" w:fill="FFFFFF"/>
            <w:noWrap/>
            <w:vAlign w:val="bottom"/>
          </w:tcPr>
          <w:p w14:paraId="2AF943DB" w14:textId="77777777" w:rsidR="00692E71" w:rsidRPr="001E3185" w:rsidRDefault="00692E71" w:rsidP="008E0250">
            <w:pPr>
              <w:rPr>
                <w:rFonts w:cs="Arial"/>
                <w:lang w:eastAsia="da-DK"/>
              </w:rPr>
            </w:pPr>
          </w:p>
        </w:tc>
        <w:tc>
          <w:tcPr>
            <w:tcW w:w="992" w:type="dxa"/>
            <w:shd w:val="clear" w:color="auto" w:fill="FFFFFF"/>
            <w:noWrap/>
            <w:vAlign w:val="center"/>
          </w:tcPr>
          <w:p w14:paraId="37ACED32" w14:textId="77777777" w:rsidR="00692E71" w:rsidRPr="001E3185" w:rsidRDefault="00692E71" w:rsidP="008E0250">
            <w:pPr>
              <w:jc w:val="center"/>
              <w:rPr>
                <w:rFonts w:cs="Arial"/>
                <w:color w:val="000000"/>
                <w:lang w:eastAsia="da-DK"/>
              </w:rPr>
            </w:pPr>
          </w:p>
        </w:tc>
        <w:tc>
          <w:tcPr>
            <w:tcW w:w="1134" w:type="dxa"/>
            <w:shd w:val="clear" w:color="auto" w:fill="FFFFFF"/>
            <w:noWrap/>
            <w:vAlign w:val="center"/>
          </w:tcPr>
          <w:p w14:paraId="00145954" w14:textId="77777777" w:rsidR="00692E71" w:rsidRPr="001E3185" w:rsidRDefault="00692E71" w:rsidP="008E0250">
            <w:pPr>
              <w:jc w:val="center"/>
              <w:rPr>
                <w:rFonts w:cs="Arial"/>
                <w:color w:val="000000"/>
              </w:rPr>
            </w:pPr>
          </w:p>
        </w:tc>
        <w:tc>
          <w:tcPr>
            <w:tcW w:w="1134" w:type="dxa"/>
            <w:shd w:val="clear" w:color="auto" w:fill="FFFFFF"/>
            <w:noWrap/>
            <w:vAlign w:val="center"/>
          </w:tcPr>
          <w:p w14:paraId="27B3ADE7" w14:textId="77777777" w:rsidR="00692E71" w:rsidRPr="001E3185" w:rsidRDefault="00692E71" w:rsidP="008E0250">
            <w:pPr>
              <w:jc w:val="center"/>
              <w:rPr>
                <w:rFonts w:cs="Arial"/>
                <w:color w:val="000000"/>
              </w:rPr>
            </w:pPr>
          </w:p>
        </w:tc>
        <w:tc>
          <w:tcPr>
            <w:tcW w:w="1134" w:type="dxa"/>
            <w:shd w:val="clear" w:color="auto" w:fill="FFFFFF"/>
            <w:vAlign w:val="center"/>
          </w:tcPr>
          <w:p w14:paraId="33234E36" w14:textId="77777777" w:rsidR="00692E71" w:rsidRPr="001E3185" w:rsidRDefault="00692E71" w:rsidP="008E0250">
            <w:pPr>
              <w:jc w:val="center"/>
              <w:rPr>
                <w:rFonts w:cs="Arial"/>
                <w:color w:val="000000"/>
              </w:rPr>
            </w:pPr>
          </w:p>
        </w:tc>
        <w:tc>
          <w:tcPr>
            <w:tcW w:w="1276" w:type="dxa"/>
            <w:shd w:val="clear" w:color="auto" w:fill="FFFFFF"/>
            <w:vAlign w:val="center"/>
          </w:tcPr>
          <w:p w14:paraId="6C7C462E" w14:textId="77777777" w:rsidR="00692E71" w:rsidRPr="001E3185" w:rsidRDefault="00692E71" w:rsidP="008E0250">
            <w:pPr>
              <w:jc w:val="center"/>
              <w:rPr>
                <w:rFonts w:cs="Arial"/>
              </w:rPr>
            </w:pPr>
          </w:p>
        </w:tc>
      </w:tr>
      <w:tr w:rsidR="00692E71" w:rsidRPr="001E3185" w14:paraId="2C80ED52" w14:textId="77777777" w:rsidTr="008E0250">
        <w:trPr>
          <w:trHeight w:val="20"/>
        </w:trPr>
        <w:tc>
          <w:tcPr>
            <w:tcW w:w="3614" w:type="dxa"/>
            <w:shd w:val="clear" w:color="auto" w:fill="FFFFFF"/>
            <w:noWrap/>
            <w:vAlign w:val="bottom"/>
          </w:tcPr>
          <w:p w14:paraId="0AC800AD" w14:textId="77777777" w:rsidR="00692E71" w:rsidRPr="001E3185" w:rsidRDefault="00692E71" w:rsidP="008E0250">
            <w:pPr>
              <w:rPr>
                <w:rFonts w:cs="Arial"/>
                <w:lang w:eastAsia="da-DK"/>
              </w:rPr>
            </w:pPr>
            <w:r w:rsidRPr="001E3185">
              <w:rPr>
                <w:rFonts w:cs="Arial"/>
                <w:lang w:eastAsia="da-DK"/>
              </w:rPr>
              <w:t>PEC/PNEC local with removal Time 1 (30 days)</w:t>
            </w:r>
          </w:p>
        </w:tc>
        <w:tc>
          <w:tcPr>
            <w:tcW w:w="992" w:type="dxa"/>
            <w:shd w:val="clear" w:color="auto" w:fill="FFFFFF"/>
            <w:noWrap/>
            <w:vAlign w:val="center"/>
          </w:tcPr>
          <w:p w14:paraId="35CE9563" w14:textId="77777777" w:rsidR="00692E71" w:rsidRPr="001E3185" w:rsidRDefault="00692E71" w:rsidP="008E0250">
            <w:pPr>
              <w:jc w:val="center"/>
              <w:rPr>
                <w:rFonts w:cs="Arial"/>
                <w:color w:val="000000"/>
                <w:lang w:eastAsia="da-DK"/>
              </w:rPr>
            </w:pPr>
            <w:r w:rsidRPr="001E3185">
              <w:rPr>
                <w:rFonts w:cs="Arial"/>
                <w:color w:val="000000"/>
              </w:rPr>
              <w:t>9.9*10</w:t>
            </w:r>
            <w:r w:rsidRPr="001E3185">
              <w:rPr>
                <w:rFonts w:cs="Arial"/>
                <w:color w:val="000000"/>
                <w:vertAlign w:val="superscript"/>
              </w:rPr>
              <w:t>-4</w:t>
            </w:r>
          </w:p>
        </w:tc>
        <w:tc>
          <w:tcPr>
            <w:tcW w:w="1134" w:type="dxa"/>
            <w:shd w:val="clear" w:color="auto" w:fill="FFFFFF"/>
            <w:noWrap/>
            <w:vAlign w:val="center"/>
          </w:tcPr>
          <w:p w14:paraId="5145B4B4" w14:textId="77777777" w:rsidR="00692E71" w:rsidRPr="001E3185" w:rsidRDefault="00692E71" w:rsidP="008E0250">
            <w:pPr>
              <w:jc w:val="center"/>
              <w:rPr>
                <w:rFonts w:cs="Arial"/>
                <w:color w:val="000000"/>
              </w:rPr>
            </w:pPr>
            <w:r w:rsidRPr="001E3185">
              <w:rPr>
                <w:rFonts w:cs="Arial"/>
                <w:color w:val="000000"/>
              </w:rPr>
              <w:t>5.6*10</w:t>
            </w:r>
            <w:r w:rsidRPr="001E3185">
              <w:rPr>
                <w:rFonts w:cs="Arial"/>
                <w:color w:val="000000"/>
                <w:vertAlign w:val="superscript"/>
              </w:rPr>
              <w:t>-2</w:t>
            </w:r>
          </w:p>
        </w:tc>
        <w:tc>
          <w:tcPr>
            <w:tcW w:w="1134" w:type="dxa"/>
            <w:shd w:val="clear" w:color="auto" w:fill="FFFFFF"/>
            <w:noWrap/>
            <w:vAlign w:val="center"/>
          </w:tcPr>
          <w:p w14:paraId="7A325100" w14:textId="77777777" w:rsidR="00692E71" w:rsidRPr="001E3185" w:rsidRDefault="00692E71" w:rsidP="008E0250">
            <w:pPr>
              <w:jc w:val="center"/>
              <w:rPr>
                <w:rFonts w:cs="Arial"/>
                <w:color w:val="000000"/>
              </w:rPr>
            </w:pPr>
            <w:r w:rsidRPr="001E3185">
              <w:rPr>
                <w:rFonts w:cs="Arial"/>
                <w:color w:val="000000"/>
              </w:rPr>
              <w:t>2.3*10</w:t>
            </w:r>
            <w:r w:rsidRPr="001E3185">
              <w:rPr>
                <w:rFonts w:cs="Arial"/>
                <w:color w:val="000000"/>
                <w:vertAlign w:val="superscript"/>
              </w:rPr>
              <w:t>-3</w:t>
            </w:r>
          </w:p>
        </w:tc>
        <w:tc>
          <w:tcPr>
            <w:tcW w:w="1134" w:type="dxa"/>
            <w:shd w:val="clear" w:color="auto" w:fill="FFFFFF"/>
            <w:vAlign w:val="center"/>
          </w:tcPr>
          <w:p w14:paraId="775A779D" w14:textId="77777777" w:rsidR="00692E71" w:rsidRPr="001E3185" w:rsidRDefault="00692E71" w:rsidP="008E0250">
            <w:pPr>
              <w:jc w:val="center"/>
              <w:rPr>
                <w:rFonts w:cs="Arial"/>
                <w:color w:val="000000"/>
              </w:rPr>
            </w:pPr>
            <w:r w:rsidRPr="001E3185">
              <w:rPr>
                <w:rFonts w:cs="Arial"/>
                <w:color w:val="000000"/>
              </w:rPr>
              <w:t>3.6*10</w:t>
            </w:r>
            <w:r w:rsidRPr="001E3185">
              <w:rPr>
                <w:rFonts w:cs="Arial"/>
                <w:color w:val="000000"/>
                <w:vertAlign w:val="superscript"/>
              </w:rPr>
              <w:t>-2</w:t>
            </w:r>
          </w:p>
        </w:tc>
        <w:tc>
          <w:tcPr>
            <w:tcW w:w="1276" w:type="dxa"/>
            <w:shd w:val="clear" w:color="auto" w:fill="FFFFFF"/>
            <w:vAlign w:val="center"/>
          </w:tcPr>
          <w:p w14:paraId="64ABC3BC" w14:textId="77777777" w:rsidR="00692E71" w:rsidRPr="001E3185" w:rsidRDefault="00692E71" w:rsidP="008E0250">
            <w:pPr>
              <w:jc w:val="center"/>
              <w:rPr>
                <w:rFonts w:cs="Arial"/>
              </w:rPr>
            </w:pPr>
            <w:r w:rsidRPr="001E3185">
              <w:rPr>
                <w:rFonts w:cs="Arial"/>
                <w:color w:val="000000"/>
              </w:rPr>
              <w:t>0.09</w:t>
            </w:r>
          </w:p>
        </w:tc>
      </w:tr>
      <w:tr w:rsidR="00692E71" w:rsidRPr="001E3185" w14:paraId="467A05BE" w14:textId="77777777" w:rsidTr="008E0250">
        <w:trPr>
          <w:trHeight w:val="20"/>
        </w:trPr>
        <w:tc>
          <w:tcPr>
            <w:tcW w:w="3614" w:type="dxa"/>
            <w:shd w:val="clear" w:color="auto" w:fill="FFFFFF"/>
            <w:noWrap/>
            <w:vAlign w:val="bottom"/>
          </w:tcPr>
          <w:p w14:paraId="691D3D73" w14:textId="77777777" w:rsidR="00692E71" w:rsidRPr="001E3185" w:rsidRDefault="00692E71" w:rsidP="008E0250">
            <w:pPr>
              <w:rPr>
                <w:rFonts w:cs="Arial"/>
                <w:lang w:eastAsia="da-DK"/>
              </w:rPr>
            </w:pPr>
            <w:r w:rsidRPr="001E3185">
              <w:rPr>
                <w:rFonts w:cs="Arial"/>
                <w:lang w:eastAsia="da-DK"/>
              </w:rPr>
              <w:t>PEC/PNEC local with removal Time 2 (1825 days)</w:t>
            </w:r>
          </w:p>
        </w:tc>
        <w:tc>
          <w:tcPr>
            <w:tcW w:w="992" w:type="dxa"/>
            <w:shd w:val="clear" w:color="auto" w:fill="FFFFFF"/>
            <w:noWrap/>
            <w:vAlign w:val="center"/>
          </w:tcPr>
          <w:p w14:paraId="21CB5CBD" w14:textId="77777777" w:rsidR="00692E71" w:rsidRPr="001E3185" w:rsidRDefault="00692E71" w:rsidP="008E0250">
            <w:pPr>
              <w:jc w:val="center"/>
              <w:rPr>
                <w:rFonts w:cs="Arial"/>
                <w:color w:val="000000"/>
                <w:lang w:eastAsia="da-DK"/>
              </w:rPr>
            </w:pPr>
            <w:r w:rsidRPr="001E3185">
              <w:rPr>
                <w:rFonts w:cs="Arial"/>
                <w:color w:val="000000"/>
              </w:rPr>
              <w:t>3.5*10</w:t>
            </w:r>
            <w:r w:rsidRPr="001E3185">
              <w:rPr>
                <w:rFonts w:cs="Arial"/>
                <w:color w:val="000000"/>
                <w:vertAlign w:val="superscript"/>
              </w:rPr>
              <w:t>-5</w:t>
            </w:r>
          </w:p>
        </w:tc>
        <w:tc>
          <w:tcPr>
            <w:tcW w:w="1134" w:type="dxa"/>
            <w:shd w:val="clear" w:color="auto" w:fill="FFFFFF"/>
            <w:noWrap/>
            <w:vAlign w:val="center"/>
          </w:tcPr>
          <w:p w14:paraId="11B19116" w14:textId="77777777" w:rsidR="00692E71" w:rsidRPr="001E3185" w:rsidRDefault="00692E71" w:rsidP="008E0250">
            <w:pPr>
              <w:jc w:val="center"/>
              <w:rPr>
                <w:rFonts w:cs="Arial"/>
                <w:color w:val="000000"/>
              </w:rPr>
            </w:pPr>
            <w:r w:rsidRPr="001E3185">
              <w:rPr>
                <w:rFonts w:cs="Arial"/>
                <w:color w:val="000000"/>
              </w:rPr>
              <w:t>1.1*10</w:t>
            </w:r>
            <w:r w:rsidRPr="001E3185">
              <w:rPr>
                <w:rFonts w:cs="Arial"/>
                <w:color w:val="000000"/>
                <w:vertAlign w:val="superscript"/>
              </w:rPr>
              <w:t>-1</w:t>
            </w:r>
          </w:p>
        </w:tc>
        <w:tc>
          <w:tcPr>
            <w:tcW w:w="1134" w:type="dxa"/>
            <w:shd w:val="clear" w:color="auto" w:fill="FFFFFF"/>
            <w:noWrap/>
            <w:vAlign w:val="center"/>
          </w:tcPr>
          <w:p w14:paraId="6417A4F9" w14:textId="77777777" w:rsidR="00692E71" w:rsidRPr="001E3185" w:rsidRDefault="00692E71" w:rsidP="008E0250">
            <w:pPr>
              <w:jc w:val="center"/>
              <w:rPr>
                <w:rFonts w:cs="Arial"/>
                <w:color w:val="000000"/>
              </w:rPr>
            </w:pPr>
            <w:r w:rsidRPr="001E3185">
              <w:rPr>
                <w:rFonts w:cs="Arial"/>
                <w:color w:val="000000"/>
              </w:rPr>
              <w:t>1.6*10</w:t>
            </w:r>
            <w:r w:rsidRPr="001E3185">
              <w:rPr>
                <w:rFonts w:cs="Arial"/>
                <w:color w:val="000000"/>
                <w:vertAlign w:val="superscript"/>
              </w:rPr>
              <w:t>-3</w:t>
            </w:r>
          </w:p>
        </w:tc>
        <w:tc>
          <w:tcPr>
            <w:tcW w:w="1134" w:type="dxa"/>
            <w:shd w:val="clear" w:color="auto" w:fill="FFFFFF"/>
            <w:vAlign w:val="center"/>
          </w:tcPr>
          <w:p w14:paraId="7A20D632" w14:textId="77777777" w:rsidR="00692E71" w:rsidRPr="001E3185" w:rsidRDefault="00692E71" w:rsidP="008E0250">
            <w:pPr>
              <w:jc w:val="center"/>
              <w:rPr>
                <w:rFonts w:cs="Arial"/>
                <w:color w:val="000000"/>
              </w:rPr>
            </w:pPr>
            <w:r w:rsidRPr="001E3185">
              <w:rPr>
                <w:rFonts w:cs="Arial"/>
                <w:color w:val="000000"/>
              </w:rPr>
              <w:t>2.1*10</w:t>
            </w:r>
            <w:r w:rsidRPr="001E3185">
              <w:rPr>
                <w:rFonts w:cs="Arial"/>
                <w:color w:val="000000"/>
                <w:vertAlign w:val="superscript"/>
              </w:rPr>
              <w:t>-3</w:t>
            </w:r>
          </w:p>
        </w:tc>
        <w:tc>
          <w:tcPr>
            <w:tcW w:w="1276" w:type="dxa"/>
            <w:shd w:val="clear" w:color="auto" w:fill="FFFFFF"/>
            <w:vAlign w:val="center"/>
          </w:tcPr>
          <w:p w14:paraId="58C63206" w14:textId="77777777" w:rsidR="00692E71" w:rsidRPr="001E3185" w:rsidRDefault="00692E71" w:rsidP="008E0250">
            <w:pPr>
              <w:jc w:val="center"/>
              <w:rPr>
                <w:rFonts w:cs="Arial"/>
              </w:rPr>
            </w:pPr>
            <w:r w:rsidRPr="001E3185">
              <w:rPr>
                <w:rFonts w:cs="Arial"/>
                <w:color w:val="000000"/>
              </w:rPr>
              <w:t>0.12</w:t>
            </w:r>
          </w:p>
        </w:tc>
      </w:tr>
    </w:tbl>
    <w:p w14:paraId="523B23A3" w14:textId="77777777" w:rsidR="00692E71" w:rsidRPr="001E3185" w:rsidRDefault="00692E71" w:rsidP="00692E71">
      <w:pPr>
        <w:pStyle w:val="En-tte"/>
        <w:tabs>
          <w:tab w:val="clear" w:pos="4536"/>
          <w:tab w:val="clear" w:pos="9072"/>
        </w:tabs>
        <w:rPr>
          <w:rFonts w:ascii="Verdana" w:hAnsi="Verdana" w:cs="Arial"/>
        </w:rPr>
      </w:pPr>
    </w:p>
    <w:p w14:paraId="41D30758" w14:textId="77777777" w:rsidR="00692E71" w:rsidRPr="001E3185" w:rsidRDefault="00692E71" w:rsidP="00692E71">
      <w:pPr>
        <w:rPr>
          <w:rFonts w:cs="Arial"/>
          <w:b/>
          <w:bCs/>
        </w:rPr>
      </w:pPr>
    </w:p>
    <w:p w14:paraId="57CDA0B8" w14:textId="77777777" w:rsidR="00692E71" w:rsidRPr="001E3185" w:rsidRDefault="00692E71" w:rsidP="00692E71">
      <w:pPr>
        <w:pStyle w:val="Lgende"/>
        <w:rPr>
          <w:rFonts w:ascii="Verdana" w:hAnsi="Verdana"/>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51</w:t>
      </w:r>
      <w:r w:rsidRPr="001E3185">
        <w:rPr>
          <w:rFonts w:ascii="Verdana" w:hAnsi="Verdana"/>
        </w:rPr>
        <w:fldChar w:fldCharType="end"/>
      </w:r>
      <w:r w:rsidRPr="001E3185">
        <w:rPr>
          <w:rFonts w:ascii="Verdana" w:hAnsi="Verdana"/>
        </w:rPr>
        <w:t>: PEC/PNEC ratios for surface water and sediment, non-professional application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34"/>
        <w:gridCol w:w="1134"/>
        <w:gridCol w:w="1134"/>
        <w:gridCol w:w="1276"/>
      </w:tblGrid>
      <w:tr w:rsidR="00692E71" w:rsidRPr="001E3185" w14:paraId="2BF5AA29" w14:textId="77777777" w:rsidTr="008E0250">
        <w:trPr>
          <w:trHeight w:val="20"/>
          <w:tblHeader/>
        </w:trPr>
        <w:tc>
          <w:tcPr>
            <w:tcW w:w="3614" w:type="dxa"/>
            <w:shd w:val="clear" w:color="auto" w:fill="FFFFFF"/>
            <w:noWrap/>
            <w:vAlign w:val="bottom"/>
          </w:tcPr>
          <w:p w14:paraId="069BA650" w14:textId="77777777" w:rsidR="00692E71" w:rsidRPr="001E3185" w:rsidRDefault="00692E71" w:rsidP="008E0250">
            <w:pPr>
              <w:keepNext/>
              <w:rPr>
                <w:rFonts w:cs="Arial"/>
                <w:lang w:eastAsia="da-DK"/>
              </w:rPr>
            </w:pPr>
          </w:p>
        </w:tc>
        <w:tc>
          <w:tcPr>
            <w:tcW w:w="992" w:type="dxa"/>
            <w:shd w:val="clear" w:color="auto" w:fill="FFFFFF"/>
            <w:noWrap/>
            <w:vAlign w:val="center"/>
          </w:tcPr>
          <w:p w14:paraId="1C47FB05" w14:textId="77777777" w:rsidR="00692E71" w:rsidRPr="001E3185" w:rsidRDefault="00692E71" w:rsidP="008E0250">
            <w:pPr>
              <w:keepNext/>
              <w:jc w:val="center"/>
              <w:rPr>
                <w:rFonts w:cs="Arial"/>
                <w:b/>
                <w:lang w:eastAsia="da-DK"/>
              </w:rPr>
            </w:pPr>
            <w:r w:rsidRPr="001E3185">
              <w:rPr>
                <w:rFonts w:cs="Arial"/>
                <w:b/>
                <w:lang w:eastAsia="da-DK"/>
              </w:rPr>
              <w:t>IPBC</w:t>
            </w:r>
          </w:p>
        </w:tc>
        <w:tc>
          <w:tcPr>
            <w:tcW w:w="1134" w:type="dxa"/>
            <w:shd w:val="clear" w:color="auto" w:fill="FFFFFF"/>
            <w:noWrap/>
            <w:vAlign w:val="center"/>
          </w:tcPr>
          <w:p w14:paraId="1075ABE3" w14:textId="77777777" w:rsidR="00692E71" w:rsidRPr="001E3185" w:rsidRDefault="00692E71" w:rsidP="008E0250">
            <w:pPr>
              <w:keepNext/>
              <w:jc w:val="center"/>
              <w:rPr>
                <w:rFonts w:cs="Arial"/>
                <w:b/>
                <w:lang w:eastAsia="da-DK"/>
              </w:rPr>
            </w:pPr>
            <w:r w:rsidRPr="001E3185">
              <w:rPr>
                <w:rFonts w:cs="Arial"/>
                <w:b/>
                <w:lang w:eastAsia="da-DK"/>
              </w:rPr>
              <w:t>Propiconazole</w:t>
            </w:r>
          </w:p>
        </w:tc>
        <w:tc>
          <w:tcPr>
            <w:tcW w:w="1134" w:type="dxa"/>
            <w:shd w:val="clear" w:color="auto" w:fill="FFFFFF"/>
            <w:noWrap/>
            <w:vAlign w:val="center"/>
          </w:tcPr>
          <w:p w14:paraId="0D4FD85E" w14:textId="77777777" w:rsidR="00692E71" w:rsidRPr="001E3185" w:rsidRDefault="00692E71" w:rsidP="008E0250">
            <w:pPr>
              <w:keepNext/>
              <w:jc w:val="center"/>
              <w:rPr>
                <w:rFonts w:cs="Arial"/>
                <w:b/>
                <w:lang w:eastAsia="da-DK"/>
              </w:rPr>
            </w:pPr>
            <w:r w:rsidRPr="001E3185">
              <w:rPr>
                <w:rFonts w:cs="Arial"/>
                <w:b/>
                <w:lang w:eastAsia="da-DK"/>
              </w:rPr>
              <w:t>Tebuconazole</w:t>
            </w:r>
          </w:p>
        </w:tc>
        <w:tc>
          <w:tcPr>
            <w:tcW w:w="1134" w:type="dxa"/>
            <w:shd w:val="clear" w:color="auto" w:fill="FFFFFF"/>
            <w:vAlign w:val="center"/>
          </w:tcPr>
          <w:p w14:paraId="4B2C4AC4" w14:textId="77777777" w:rsidR="00692E71" w:rsidRPr="001E3185" w:rsidRDefault="00692E71" w:rsidP="008E0250">
            <w:pPr>
              <w:keepNext/>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vAlign w:val="center"/>
          </w:tcPr>
          <w:p w14:paraId="7D3D1904" w14:textId="77777777" w:rsidR="00692E71" w:rsidRPr="001E3185" w:rsidRDefault="00692E71" w:rsidP="008E0250">
            <w:pPr>
              <w:keepNext/>
              <w:jc w:val="center"/>
              <w:rPr>
                <w:rFonts w:cs="Arial"/>
                <w:b/>
                <w:lang w:eastAsia="da-DK"/>
              </w:rPr>
            </w:pPr>
            <w:r w:rsidRPr="001E3185">
              <w:rPr>
                <w:rFonts w:cs="Arial"/>
                <w:b/>
                <w:lang w:eastAsia="da-DK"/>
              </w:rPr>
              <w:t>Total PEC/PNEC</w:t>
            </w:r>
          </w:p>
        </w:tc>
      </w:tr>
      <w:tr w:rsidR="00692E71" w:rsidRPr="001E3185" w14:paraId="68B1E228" w14:textId="77777777" w:rsidTr="008E0250">
        <w:trPr>
          <w:trHeight w:val="20"/>
        </w:trPr>
        <w:tc>
          <w:tcPr>
            <w:tcW w:w="3614" w:type="dxa"/>
            <w:shd w:val="clear" w:color="auto" w:fill="FFFFFF"/>
            <w:noWrap/>
            <w:vAlign w:val="bottom"/>
          </w:tcPr>
          <w:p w14:paraId="0A8DBC8B" w14:textId="77777777" w:rsidR="00692E71" w:rsidRPr="001E3185" w:rsidRDefault="00692E71" w:rsidP="008E0250">
            <w:pPr>
              <w:rPr>
                <w:rFonts w:cs="Arial"/>
                <w:b/>
                <w:lang w:eastAsia="da-DK"/>
              </w:rPr>
            </w:pPr>
            <w:r w:rsidRPr="001E3185">
              <w:rPr>
                <w:rFonts w:cs="Arial"/>
                <w:b/>
                <w:lang w:eastAsia="da-DK"/>
              </w:rPr>
              <w:t>Bridge over Pond (surface water)</w:t>
            </w:r>
          </w:p>
        </w:tc>
        <w:tc>
          <w:tcPr>
            <w:tcW w:w="992" w:type="dxa"/>
            <w:shd w:val="clear" w:color="auto" w:fill="FFFFFF"/>
            <w:noWrap/>
            <w:vAlign w:val="center"/>
          </w:tcPr>
          <w:p w14:paraId="7A86C535"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1F48829C"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BC753FE" w14:textId="77777777" w:rsidR="00692E71" w:rsidRPr="001E3185" w:rsidRDefault="00692E71" w:rsidP="008E0250">
            <w:pPr>
              <w:jc w:val="center"/>
              <w:rPr>
                <w:rFonts w:cs="Arial"/>
                <w:lang w:eastAsia="da-DK"/>
              </w:rPr>
            </w:pPr>
          </w:p>
        </w:tc>
        <w:tc>
          <w:tcPr>
            <w:tcW w:w="1134" w:type="dxa"/>
            <w:shd w:val="clear" w:color="auto" w:fill="FFFFFF"/>
            <w:vAlign w:val="center"/>
          </w:tcPr>
          <w:p w14:paraId="68EE0F63" w14:textId="77777777" w:rsidR="00692E71" w:rsidRPr="001E3185" w:rsidRDefault="00692E71" w:rsidP="008E0250">
            <w:pPr>
              <w:jc w:val="center"/>
              <w:rPr>
                <w:rFonts w:cs="Arial"/>
                <w:lang w:eastAsia="da-DK"/>
              </w:rPr>
            </w:pPr>
          </w:p>
        </w:tc>
        <w:tc>
          <w:tcPr>
            <w:tcW w:w="1276" w:type="dxa"/>
            <w:shd w:val="clear" w:color="auto" w:fill="FFFFFF"/>
            <w:vAlign w:val="center"/>
          </w:tcPr>
          <w:p w14:paraId="0FD13A2F" w14:textId="77777777" w:rsidR="00692E71" w:rsidRPr="001E3185" w:rsidRDefault="00692E71" w:rsidP="008E0250">
            <w:pPr>
              <w:jc w:val="center"/>
              <w:rPr>
                <w:rFonts w:cs="Arial"/>
                <w:lang w:eastAsia="da-DK"/>
              </w:rPr>
            </w:pPr>
          </w:p>
        </w:tc>
      </w:tr>
      <w:tr w:rsidR="00692E71" w:rsidRPr="001E3185" w14:paraId="12C588E8" w14:textId="77777777" w:rsidTr="008E0250">
        <w:trPr>
          <w:trHeight w:val="20"/>
        </w:trPr>
        <w:tc>
          <w:tcPr>
            <w:tcW w:w="3614" w:type="dxa"/>
            <w:shd w:val="clear" w:color="auto" w:fill="FFFFFF"/>
            <w:noWrap/>
            <w:vAlign w:val="bottom"/>
          </w:tcPr>
          <w:p w14:paraId="0B3E0482" w14:textId="77777777" w:rsidR="00692E71" w:rsidRPr="001E3185" w:rsidRDefault="00692E71" w:rsidP="008E0250">
            <w:pPr>
              <w:rPr>
                <w:rFonts w:cs="Arial"/>
                <w:lang w:eastAsia="da-DK"/>
              </w:rPr>
            </w:pPr>
            <w:r w:rsidRPr="001E3185">
              <w:rPr>
                <w:rFonts w:cs="Arial"/>
                <w:lang w:eastAsia="da-DK"/>
              </w:rPr>
              <w:t>PEC/PNEC local without removal Time 1 (30 days)</w:t>
            </w:r>
          </w:p>
        </w:tc>
        <w:tc>
          <w:tcPr>
            <w:tcW w:w="992" w:type="dxa"/>
            <w:shd w:val="clear" w:color="auto" w:fill="FFFFFF"/>
            <w:noWrap/>
            <w:vAlign w:val="center"/>
          </w:tcPr>
          <w:p w14:paraId="653F98E2" w14:textId="77777777" w:rsidR="00692E71" w:rsidRPr="001E3185" w:rsidRDefault="00692E71" w:rsidP="008E0250">
            <w:pPr>
              <w:jc w:val="center"/>
              <w:rPr>
                <w:rFonts w:cs="Arial"/>
                <w:color w:val="000000"/>
                <w:lang w:eastAsia="da-DK"/>
              </w:rPr>
            </w:pPr>
            <w:r w:rsidRPr="001E3185">
              <w:rPr>
                <w:rFonts w:cs="Arial"/>
                <w:color w:val="000000"/>
              </w:rPr>
              <w:t>0.20</w:t>
            </w:r>
          </w:p>
        </w:tc>
        <w:tc>
          <w:tcPr>
            <w:tcW w:w="1134" w:type="dxa"/>
            <w:shd w:val="clear" w:color="auto" w:fill="FFFFFF"/>
            <w:noWrap/>
            <w:vAlign w:val="center"/>
          </w:tcPr>
          <w:p w14:paraId="53D91601" w14:textId="77777777" w:rsidR="00692E71" w:rsidRPr="001E3185" w:rsidRDefault="00692E71" w:rsidP="008E0250">
            <w:pPr>
              <w:jc w:val="center"/>
              <w:rPr>
                <w:rFonts w:cs="Arial"/>
                <w:color w:val="000000"/>
              </w:rPr>
            </w:pPr>
            <w:r w:rsidRPr="001E3185">
              <w:rPr>
                <w:rFonts w:cs="Arial"/>
                <w:color w:val="000000"/>
              </w:rPr>
              <w:t>0.05</w:t>
            </w:r>
          </w:p>
        </w:tc>
        <w:tc>
          <w:tcPr>
            <w:tcW w:w="1134" w:type="dxa"/>
            <w:shd w:val="clear" w:color="auto" w:fill="FFFFFF"/>
            <w:noWrap/>
            <w:vAlign w:val="center"/>
          </w:tcPr>
          <w:p w14:paraId="4A2E0086" w14:textId="77777777" w:rsidR="00692E71" w:rsidRPr="001E3185" w:rsidRDefault="00692E71" w:rsidP="008E0250">
            <w:pPr>
              <w:jc w:val="center"/>
              <w:rPr>
                <w:rFonts w:cs="Arial"/>
                <w:color w:val="000000"/>
              </w:rPr>
            </w:pPr>
            <w:r w:rsidRPr="001E3185">
              <w:rPr>
                <w:rFonts w:cs="Arial"/>
                <w:color w:val="000000"/>
              </w:rPr>
              <w:t>0.14</w:t>
            </w:r>
          </w:p>
        </w:tc>
        <w:tc>
          <w:tcPr>
            <w:tcW w:w="1134" w:type="dxa"/>
            <w:shd w:val="clear" w:color="auto" w:fill="FFFFFF"/>
            <w:vAlign w:val="center"/>
          </w:tcPr>
          <w:p w14:paraId="61D6FE8D" w14:textId="77777777" w:rsidR="00692E71" w:rsidRPr="001E3185" w:rsidRDefault="00692E71" w:rsidP="008E0250">
            <w:pPr>
              <w:jc w:val="center"/>
              <w:rPr>
                <w:rFonts w:cs="Arial"/>
                <w:color w:val="000000"/>
              </w:rPr>
            </w:pPr>
            <w:r w:rsidRPr="001E3185">
              <w:rPr>
                <w:rFonts w:cs="Arial"/>
                <w:color w:val="000000"/>
              </w:rPr>
              <w:t>71</w:t>
            </w:r>
          </w:p>
        </w:tc>
        <w:tc>
          <w:tcPr>
            <w:tcW w:w="1276" w:type="dxa"/>
            <w:shd w:val="clear" w:color="auto" w:fill="FFFFFF"/>
            <w:vAlign w:val="center"/>
          </w:tcPr>
          <w:p w14:paraId="0FF05A51" w14:textId="77777777" w:rsidR="00692E71" w:rsidRPr="001E3185" w:rsidRDefault="00692E71" w:rsidP="008E0250">
            <w:pPr>
              <w:jc w:val="center"/>
              <w:rPr>
                <w:rFonts w:cs="Arial"/>
              </w:rPr>
            </w:pPr>
            <w:r w:rsidRPr="001E3185">
              <w:rPr>
                <w:rFonts w:cs="Arial"/>
                <w:color w:val="000000"/>
              </w:rPr>
              <w:t>71</w:t>
            </w:r>
          </w:p>
        </w:tc>
      </w:tr>
      <w:tr w:rsidR="00692E71" w:rsidRPr="001E3185" w14:paraId="4BE3B15B" w14:textId="77777777" w:rsidTr="008E0250">
        <w:trPr>
          <w:trHeight w:val="20"/>
        </w:trPr>
        <w:tc>
          <w:tcPr>
            <w:tcW w:w="3614" w:type="dxa"/>
            <w:shd w:val="clear" w:color="auto" w:fill="FFFFFF"/>
            <w:noWrap/>
            <w:vAlign w:val="bottom"/>
          </w:tcPr>
          <w:p w14:paraId="3F21D797"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10589540" w14:textId="77777777" w:rsidR="00692E71" w:rsidRPr="001E3185" w:rsidRDefault="00692E71" w:rsidP="008E0250">
            <w:pPr>
              <w:jc w:val="center"/>
              <w:rPr>
                <w:rFonts w:cs="Arial"/>
                <w:color w:val="000000"/>
                <w:lang w:eastAsia="da-DK"/>
              </w:rPr>
            </w:pPr>
            <w:r w:rsidRPr="001E3185">
              <w:rPr>
                <w:rFonts w:cs="Arial"/>
                <w:color w:val="000000"/>
              </w:rPr>
              <w:t>0.38</w:t>
            </w:r>
          </w:p>
        </w:tc>
        <w:tc>
          <w:tcPr>
            <w:tcW w:w="1134" w:type="dxa"/>
            <w:shd w:val="clear" w:color="auto" w:fill="FFFFFF"/>
            <w:noWrap/>
            <w:vAlign w:val="center"/>
          </w:tcPr>
          <w:p w14:paraId="3162601D" w14:textId="77777777" w:rsidR="00692E71" w:rsidRPr="001E3185" w:rsidRDefault="00692E71" w:rsidP="008E0250">
            <w:pPr>
              <w:jc w:val="center"/>
              <w:rPr>
                <w:rFonts w:cs="Arial"/>
                <w:color w:val="000000"/>
              </w:rPr>
            </w:pPr>
            <w:r w:rsidRPr="001E3185">
              <w:rPr>
                <w:rFonts w:cs="Arial"/>
                <w:color w:val="000000"/>
              </w:rPr>
              <w:t>0.13</w:t>
            </w:r>
          </w:p>
        </w:tc>
        <w:tc>
          <w:tcPr>
            <w:tcW w:w="1134" w:type="dxa"/>
            <w:shd w:val="clear" w:color="auto" w:fill="FFFFFF"/>
            <w:noWrap/>
            <w:vAlign w:val="center"/>
          </w:tcPr>
          <w:p w14:paraId="260E044A" w14:textId="77777777" w:rsidR="00692E71" w:rsidRPr="001E3185" w:rsidRDefault="00692E71" w:rsidP="008E0250">
            <w:pPr>
              <w:jc w:val="center"/>
              <w:rPr>
                <w:rFonts w:cs="Arial"/>
                <w:color w:val="000000"/>
              </w:rPr>
            </w:pPr>
            <w:r w:rsidRPr="001E3185">
              <w:rPr>
                <w:rFonts w:cs="Arial"/>
                <w:color w:val="000000"/>
              </w:rPr>
              <w:t>0.33</w:t>
            </w:r>
          </w:p>
        </w:tc>
        <w:tc>
          <w:tcPr>
            <w:tcW w:w="1134" w:type="dxa"/>
            <w:shd w:val="clear" w:color="auto" w:fill="FFFFFF"/>
            <w:vAlign w:val="center"/>
          </w:tcPr>
          <w:p w14:paraId="02C756DD" w14:textId="77777777" w:rsidR="00692E71" w:rsidRPr="001E3185" w:rsidRDefault="00692E71" w:rsidP="008E0250">
            <w:pPr>
              <w:jc w:val="center"/>
              <w:rPr>
                <w:rFonts w:cs="Arial"/>
                <w:color w:val="000000"/>
              </w:rPr>
            </w:pPr>
            <w:r w:rsidRPr="001E3185">
              <w:rPr>
                <w:rFonts w:cs="Arial"/>
                <w:color w:val="000000"/>
              </w:rPr>
              <w:t>90</w:t>
            </w:r>
          </w:p>
        </w:tc>
        <w:tc>
          <w:tcPr>
            <w:tcW w:w="1276" w:type="dxa"/>
            <w:shd w:val="clear" w:color="auto" w:fill="FFFFFF"/>
            <w:vAlign w:val="center"/>
          </w:tcPr>
          <w:p w14:paraId="345C16CE" w14:textId="77777777" w:rsidR="00692E71" w:rsidRPr="001E3185" w:rsidRDefault="00692E71" w:rsidP="008E0250">
            <w:pPr>
              <w:jc w:val="center"/>
              <w:rPr>
                <w:rFonts w:cs="Arial"/>
              </w:rPr>
            </w:pPr>
            <w:r w:rsidRPr="001E3185">
              <w:rPr>
                <w:rFonts w:cs="Arial"/>
                <w:color w:val="000000"/>
              </w:rPr>
              <w:t>90</w:t>
            </w:r>
          </w:p>
        </w:tc>
      </w:tr>
      <w:tr w:rsidR="00692E71" w:rsidRPr="001E3185" w14:paraId="33A7DDD8" w14:textId="77777777" w:rsidTr="008E0250">
        <w:trPr>
          <w:trHeight w:val="20"/>
        </w:trPr>
        <w:tc>
          <w:tcPr>
            <w:tcW w:w="3614" w:type="dxa"/>
            <w:shd w:val="clear" w:color="auto" w:fill="FFFFFF"/>
            <w:noWrap/>
            <w:vAlign w:val="bottom"/>
          </w:tcPr>
          <w:p w14:paraId="7917DCB4" w14:textId="77777777" w:rsidR="00692E71" w:rsidRPr="001E3185" w:rsidRDefault="00692E71" w:rsidP="008E0250">
            <w:pPr>
              <w:rPr>
                <w:rFonts w:cs="Arial"/>
                <w:lang w:eastAsia="da-DK"/>
              </w:rPr>
            </w:pPr>
          </w:p>
        </w:tc>
        <w:tc>
          <w:tcPr>
            <w:tcW w:w="992" w:type="dxa"/>
            <w:shd w:val="clear" w:color="auto" w:fill="FFFFFF"/>
            <w:noWrap/>
            <w:vAlign w:val="center"/>
          </w:tcPr>
          <w:p w14:paraId="237ACDC5"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934B318" w14:textId="77777777" w:rsidR="00692E71" w:rsidRPr="001E3185" w:rsidRDefault="00692E71" w:rsidP="008E0250">
            <w:pPr>
              <w:jc w:val="center"/>
              <w:rPr>
                <w:rFonts w:cs="Arial"/>
              </w:rPr>
            </w:pPr>
          </w:p>
        </w:tc>
        <w:tc>
          <w:tcPr>
            <w:tcW w:w="1134" w:type="dxa"/>
            <w:shd w:val="clear" w:color="auto" w:fill="FFFFFF"/>
            <w:noWrap/>
            <w:vAlign w:val="center"/>
          </w:tcPr>
          <w:p w14:paraId="35C75FDC" w14:textId="77777777" w:rsidR="00692E71" w:rsidRPr="001E3185" w:rsidRDefault="00692E71" w:rsidP="008E0250">
            <w:pPr>
              <w:jc w:val="center"/>
              <w:rPr>
                <w:rFonts w:cs="Arial"/>
              </w:rPr>
            </w:pPr>
          </w:p>
        </w:tc>
        <w:tc>
          <w:tcPr>
            <w:tcW w:w="1134" w:type="dxa"/>
            <w:shd w:val="clear" w:color="auto" w:fill="FFFFFF"/>
            <w:vAlign w:val="center"/>
          </w:tcPr>
          <w:p w14:paraId="3CB540FB" w14:textId="77777777" w:rsidR="00692E71" w:rsidRPr="001E3185" w:rsidRDefault="00692E71" w:rsidP="008E0250">
            <w:pPr>
              <w:jc w:val="center"/>
              <w:rPr>
                <w:rFonts w:cs="Arial"/>
              </w:rPr>
            </w:pPr>
          </w:p>
        </w:tc>
        <w:tc>
          <w:tcPr>
            <w:tcW w:w="1276" w:type="dxa"/>
            <w:shd w:val="clear" w:color="auto" w:fill="FFFFFF"/>
            <w:vAlign w:val="center"/>
          </w:tcPr>
          <w:p w14:paraId="108AB0A8" w14:textId="77777777" w:rsidR="00692E71" w:rsidRPr="001E3185" w:rsidRDefault="00692E71" w:rsidP="008E0250">
            <w:pPr>
              <w:jc w:val="center"/>
              <w:rPr>
                <w:rFonts w:cs="Arial"/>
              </w:rPr>
            </w:pPr>
          </w:p>
        </w:tc>
      </w:tr>
      <w:tr w:rsidR="00692E71" w:rsidRPr="001E3185" w14:paraId="23F2A276" w14:textId="77777777" w:rsidTr="008E0250">
        <w:trPr>
          <w:trHeight w:val="20"/>
        </w:trPr>
        <w:tc>
          <w:tcPr>
            <w:tcW w:w="3614" w:type="dxa"/>
            <w:shd w:val="clear" w:color="auto" w:fill="FFFFFF"/>
            <w:noWrap/>
            <w:vAlign w:val="bottom"/>
          </w:tcPr>
          <w:p w14:paraId="49F685E1" w14:textId="77777777" w:rsidR="00692E71" w:rsidRPr="001E3185" w:rsidRDefault="00692E71" w:rsidP="008E0250">
            <w:pPr>
              <w:rPr>
                <w:rFonts w:cs="Arial"/>
                <w:lang w:eastAsia="da-DK"/>
              </w:rPr>
            </w:pPr>
            <w:r w:rsidRPr="001E3185">
              <w:rPr>
                <w:rFonts w:cs="Arial"/>
                <w:lang w:eastAsia="da-DK"/>
              </w:rPr>
              <w:t>PEC/PNEC local with removal Time 1 (30 days)</w:t>
            </w:r>
          </w:p>
        </w:tc>
        <w:tc>
          <w:tcPr>
            <w:tcW w:w="992" w:type="dxa"/>
            <w:shd w:val="clear" w:color="auto" w:fill="FFFFFF"/>
            <w:noWrap/>
            <w:vAlign w:val="center"/>
          </w:tcPr>
          <w:p w14:paraId="117ADD7C" w14:textId="77777777" w:rsidR="00692E71" w:rsidRPr="001E3185" w:rsidRDefault="00692E71" w:rsidP="008E0250">
            <w:pPr>
              <w:jc w:val="center"/>
              <w:rPr>
                <w:rFonts w:cs="Arial"/>
                <w:color w:val="000000"/>
                <w:lang w:eastAsia="da-DK"/>
              </w:rPr>
            </w:pPr>
            <w:r w:rsidRPr="001E3185">
              <w:rPr>
                <w:rFonts w:cs="Arial"/>
                <w:color w:val="000000"/>
              </w:rPr>
              <w:t>1.2*10</w:t>
            </w:r>
            <w:r w:rsidRPr="001E3185">
              <w:rPr>
                <w:rFonts w:cs="Arial"/>
                <w:color w:val="000000"/>
                <w:vertAlign w:val="superscript"/>
              </w:rPr>
              <w:t>-3</w:t>
            </w:r>
          </w:p>
        </w:tc>
        <w:tc>
          <w:tcPr>
            <w:tcW w:w="1134" w:type="dxa"/>
            <w:shd w:val="clear" w:color="auto" w:fill="FFFFFF"/>
            <w:noWrap/>
            <w:vAlign w:val="center"/>
          </w:tcPr>
          <w:p w14:paraId="318FA23C" w14:textId="77777777" w:rsidR="00692E71" w:rsidRPr="001E3185" w:rsidRDefault="00692E71" w:rsidP="008E0250">
            <w:pPr>
              <w:jc w:val="center"/>
              <w:rPr>
                <w:rFonts w:cs="Arial"/>
                <w:color w:val="000000"/>
              </w:rPr>
            </w:pPr>
            <w:r w:rsidRPr="001E3185">
              <w:rPr>
                <w:rFonts w:cs="Arial"/>
                <w:color w:val="000000"/>
              </w:rPr>
              <w:t>0.02</w:t>
            </w:r>
          </w:p>
        </w:tc>
        <w:tc>
          <w:tcPr>
            <w:tcW w:w="1134" w:type="dxa"/>
            <w:shd w:val="clear" w:color="auto" w:fill="FFFFFF"/>
            <w:noWrap/>
            <w:vAlign w:val="center"/>
          </w:tcPr>
          <w:p w14:paraId="6E4F9682" w14:textId="77777777" w:rsidR="00692E71" w:rsidRPr="001E3185" w:rsidRDefault="00692E71" w:rsidP="008E0250">
            <w:pPr>
              <w:jc w:val="center"/>
              <w:rPr>
                <w:rFonts w:cs="Arial"/>
                <w:color w:val="000000"/>
              </w:rPr>
            </w:pPr>
            <w:r w:rsidRPr="001E3185">
              <w:rPr>
                <w:rFonts w:cs="Arial"/>
                <w:color w:val="000000"/>
              </w:rPr>
              <w:t>0.06</w:t>
            </w:r>
          </w:p>
        </w:tc>
        <w:tc>
          <w:tcPr>
            <w:tcW w:w="1134" w:type="dxa"/>
            <w:shd w:val="clear" w:color="auto" w:fill="FFFFFF"/>
            <w:vAlign w:val="center"/>
          </w:tcPr>
          <w:p w14:paraId="7E4DFAB3" w14:textId="77777777" w:rsidR="00692E71" w:rsidRPr="001E3185" w:rsidRDefault="00692E71" w:rsidP="008E0250">
            <w:pPr>
              <w:jc w:val="center"/>
              <w:rPr>
                <w:rFonts w:cs="Arial"/>
                <w:color w:val="000000"/>
              </w:rPr>
            </w:pPr>
            <w:r w:rsidRPr="001E3185">
              <w:rPr>
                <w:rFonts w:cs="Arial"/>
                <w:color w:val="000000"/>
              </w:rPr>
              <w:t>6.0*10</w:t>
            </w:r>
            <w:r w:rsidRPr="001E3185">
              <w:rPr>
                <w:rFonts w:cs="Arial"/>
                <w:color w:val="000000"/>
                <w:vertAlign w:val="superscript"/>
              </w:rPr>
              <w:t>-1</w:t>
            </w:r>
          </w:p>
        </w:tc>
        <w:tc>
          <w:tcPr>
            <w:tcW w:w="1276" w:type="dxa"/>
            <w:shd w:val="clear" w:color="auto" w:fill="FFFFFF"/>
            <w:vAlign w:val="center"/>
          </w:tcPr>
          <w:p w14:paraId="1097A070" w14:textId="77777777" w:rsidR="00692E71" w:rsidRPr="001E3185" w:rsidRDefault="00692E71" w:rsidP="008E0250">
            <w:pPr>
              <w:jc w:val="center"/>
              <w:rPr>
                <w:rFonts w:cs="Arial"/>
                <w:color w:val="000000"/>
              </w:rPr>
            </w:pPr>
            <w:r w:rsidRPr="001E3185">
              <w:rPr>
                <w:rFonts w:cs="Arial"/>
                <w:color w:val="000000"/>
              </w:rPr>
              <w:t>0.69</w:t>
            </w:r>
          </w:p>
        </w:tc>
      </w:tr>
      <w:tr w:rsidR="00692E71" w:rsidRPr="001E3185" w14:paraId="1B2CB065" w14:textId="77777777" w:rsidTr="008E0250">
        <w:trPr>
          <w:trHeight w:val="20"/>
        </w:trPr>
        <w:tc>
          <w:tcPr>
            <w:tcW w:w="3614" w:type="dxa"/>
            <w:shd w:val="clear" w:color="auto" w:fill="FFFFFF"/>
            <w:noWrap/>
            <w:vAlign w:val="bottom"/>
          </w:tcPr>
          <w:p w14:paraId="2E4F3E11" w14:textId="77777777" w:rsidR="00692E71" w:rsidRPr="001E3185" w:rsidRDefault="00692E71" w:rsidP="008E0250">
            <w:pPr>
              <w:rPr>
                <w:rFonts w:cs="Arial"/>
                <w:lang w:eastAsia="da-DK"/>
              </w:rPr>
            </w:pPr>
            <w:r w:rsidRPr="001E3185">
              <w:rPr>
                <w:rFonts w:cs="Arial"/>
                <w:lang w:eastAsia="da-DK"/>
              </w:rPr>
              <w:t>PEC/PNEC local with removal Time 2 (1825 days)</w:t>
            </w:r>
          </w:p>
        </w:tc>
        <w:tc>
          <w:tcPr>
            <w:tcW w:w="992" w:type="dxa"/>
            <w:shd w:val="clear" w:color="auto" w:fill="FFFFFF"/>
            <w:noWrap/>
            <w:vAlign w:val="center"/>
          </w:tcPr>
          <w:p w14:paraId="310CEAAB" w14:textId="77777777" w:rsidR="00692E71" w:rsidRPr="001E3185" w:rsidRDefault="00692E71" w:rsidP="008E0250">
            <w:pPr>
              <w:jc w:val="center"/>
              <w:rPr>
                <w:rFonts w:cs="Arial"/>
                <w:color w:val="000000"/>
                <w:lang w:eastAsia="da-DK"/>
              </w:rPr>
            </w:pPr>
            <w:r w:rsidRPr="001E3185">
              <w:rPr>
                <w:rFonts w:cs="Arial"/>
                <w:color w:val="000000"/>
              </w:rPr>
              <w:t>3.9*10</w:t>
            </w:r>
            <w:r w:rsidRPr="001E3185">
              <w:rPr>
                <w:rFonts w:cs="Arial"/>
                <w:color w:val="000000"/>
                <w:vertAlign w:val="superscript"/>
              </w:rPr>
              <w:t>-5</w:t>
            </w:r>
          </w:p>
        </w:tc>
        <w:tc>
          <w:tcPr>
            <w:tcW w:w="1134" w:type="dxa"/>
            <w:shd w:val="clear" w:color="auto" w:fill="FFFFFF"/>
            <w:noWrap/>
            <w:vAlign w:val="center"/>
          </w:tcPr>
          <w:p w14:paraId="57936974" w14:textId="77777777" w:rsidR="00692E71" w:rsidRPr="001E3185" w:rsidRDefault="00692E71" w:rsidP="008E0250">
            <w:pPr>
              <w:jc w:val="center"/>
              <w:rPr>
                <w:rFonts w:cs="Arial"/>
                <w:color w:val="000000"/>
              </w:rPr>
            </w:pPr>
            <w:r w:rsidRPr="001E3185">
              <w:rPr>
                <w:rFonts w:cs="Arial"/>
                <w:color w:val="000000"/>
              </w:rPr>
              <w:t>0.05</w:t>
            </w:r>
          </w:p>
        </w:tc>
        <w:tc>
          <w:tcPr>
            <w:tcW w:w="1134" w:type="dxa"/>
            <w:shd w:val="clear" w:color="auto" w:fill="FFFFFF"/>
            <w:noWrap/>
            <w:vAlign w:val="center"/>
          </w:tcPr>
          <w:p w14:paraId="4D415DFB" w14:textId="77777777" w:rsidR="00692E71" w:rsidRPr="001E3185" w:rsidRDefault="00692E71" w:rsidP="008E0250">
            <w:pPr>
              <w:jc w:val="center"/>
              <w:rPr>
                <w:rFonts w:cs="Arial"/>
                <w:color w:val="000000"/>
              </w:rPr>
            </w:pPr>
            <w:r w:rsidRPr="001E3185">
              <w:rPr>
                <w:rFonts w:cs="Arial"/>
                <w:color w:val="000000"/>
              </w:rPr>
              <w:t>0.04</w:t>
            </w:r>
          </w:p>
        </w:tc>
        <w:tc>
          <w:tcPr>
            <w:tcW w:w="1134" w:type="dxa"/>
            <w:shd w:val="clear" w:color="auto" w:fill="FFFFFF"/>
            <w:vAlign w:val="center"/>
          </w:tcPr>
          <w:p w14:paraId="5FBF5407" w14:textId="77777777" w:rsidR="00692E71" w:rsidRPr="001E3185" w:rsidRDefault="00692E71" w:rsidP="008E0250">
            <w:pPr>
              <w:jc w:val="center"/>
              <w:rPr>
                <w:rFonts w:cs="Arial"/>
                <w:color w:val="000000"/>
              </w:rPr>
            </w:pPr>
            <w:r w:rsidRPr="001E3185">
              <w:rPr>
                <w:rFonts w:cs="Arial"/>
                <w:color w:val="000000"/>
              </w:rPr>
              <w:t>3.1*10</w:t>
            </w:r>
            <w:r w:rsidRPr="001E3185">
              <w:rPr>
                <w:rFonts w:cs="Arial"/>
                <w:color w:val="000000"/>
                <w:vertAlign w:val="superscript"/>
              </w:rPr>
              <w:t>-2</w:t>
            </w:r>
          </w:p>
        </w:tc>
        <w:tc>
          <w:tcPr>
            <w:tcW w:w="1276" w:type="dxa"/>
            <w:shd w:val="clear" w:color="auto" w:fill="FFFFFF"/>
            <w:vAlign w:val="center"/>
          </w:tcPr>
          <w:p w14:paraId="4A077552" w14:textId="77777777" w:rsidR="00692E71" w:rsidRPr="001E3185" w:rsidRDefault="00692E71" w:rsidP="008E0250">
            <w:pPr>
              <w:jc w:val="center"/>
              <w:rPr>
                <w:rFonts w:cs="Arial"/>
              </w:rPr>
            </w:pPr>
            <w:r w:rsidRPr="001E3185">
              <w:rPr>
                <w:rFonts w:cs="Arial"/>
                <w:color w:val="000000"/>
              </w:rPr>
              <w:t>0.12</w:t>
            </w:r>
          </w:p>
        </w:tc>
      </w:tr>
      <w:tr w:rsidR="00692E71" w:rsidRPr="001E3185" w14:paraId="7F3C36D3" w14:textId="77777777" w:rsidTr="008E0250">
        <w:trPr>
          <w:trHeight w:val="20"/>
        </w:trPr>
        <w:tc>
          <w:tcPr>
            <w:tcW w:w="3614" w:type="dxa"/>
            <w:shd w:val="clear" w:color="auto" w:fill="FFFFFF"/>
            <w:noWrap/>
            <w:vAlign w:val="bottom"/>
          </w:tcPr>
          <w:p w14:paraId="1C77D1DC" w14:textId="77777777" w:rsidR="00692E71" w:rsidRPr="001E3185" w:rsidRDefault="00692E71" w:rsidP="008E0250">
            <w:pPr>
              <w:rPr>
                <w:rFonts w:cs="Arial"/>
                <w:lang w:eastAsia="da-DK"/>
              </w:rPr>
            </w:pPr>
            <w:r w:rsidRPr="001E3185">
              <w:rPr>
                <w:rFonts w:cs="Arial"/>
                <w:b/>
                <w:lang w:eastAsia="da-DK"/>
              </w:rPr>
              <w:t>Bridge over Pond (sediment)</w:t>
            </w:r>
          </w:p>
        </w:tc>
        <w:tc>
          <w:tcPr>
            <w:tcW w:w="992" w:type="dxa"/>
            <w:shd w:val="clear" w:color="auto" w:fill="FFFFFF"/>
            <w:noWrap/>
            <w:vAlign w:val="center"/>
          </w:tcPr>
          <w:p w14:paraId="3BBA9D1E"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012A6A95" w14:textId="77777777" w:rsidR="00692E71" w:rsidRPr="001E3185" w:rsidRDefault="00692E71" w:rsidP="008E0250">
            <w:pPr>
              <w:jc w:val="center"/>
              <w:rPr>
                <w:rFonts w:cs="Arial"/>
              </w:rPr>
            </w:pPr>
          </w:p>
        </w:tc>
        <w:tc>
          <w:tcPr>
            <w:tcW w:w="1134" w:type="dxa"/>
            <w:shd w:val="clear" w:color="auto" w:fill="FFFFFF"/>
            <w:noWrap/>
            <w:vAlign w:val="center"/>
          </w:tcPr>
          <w:p w14:paraId="53479212" w14:textId="77777777" w:rsidR="00692E71" w:rsidRPr="001E3185" w:rsidRDefault="00692E71" w:rsidP="008E0250">
            <w:pPr>
              <w:jc w:val="center"/>
              <w:rPr>
                <w:rFonts w:cs="Arial"/>
              </w:rPr>
            </w:pPr>
          </w:p>
        </w:tc>
        <w:tc>
          <w:tcPr>
            <w:tcW w:w="1134" w:type="dxa"/>
            <w:shd w:val="clear" w:color="auto" w:fill="FFFFFF"/>
            <w:vAlign w:val="center"/>
          </w:tcPr>
          <w:p w14:paraId="7BBBA25D" w14:textId="77777777" w:rsidR="00692E71" w:rsidRPr="001E3185" w:rsidRDefault="00692E71" w:rsidP="008E0250">
            <w:pPr>
              <w:jc w:val="center"/>
              <w:rPr>
                <w:rFonts w:cs="Arial"/>
              </w:rPr>
            </w:pPr>
          </w:p>
        </w:tc>
        <w:tc>
          <w:tcPr>
            <w:tcW w:w="1276" w:type="dxa"/>
            <w:shd w:val="clear" w:color="auto" w:fill="FFFFFF"/>
            <w:vAlign w:val="center"/>
          </w:tcPr>
          <w:p w14:paraId="6850CFAE" w14:textId="77777777" w:rsidR="00692E71" w:rsidRPr="001E3185" w:rsidRDefault="00692E71" w:rsidP="008E0250">
            <w:pPr>
              <w:jc w:val="center"/>
              <w:rPr>
                <w:rFonts w:cs="Arial"/>
              </w:rPr>
            </w:pPr>
          </w:p>
        </w:tc>
      </w:tr>
      <w:tr w:rsidR="00692E71" w:rsidRPr="001E3185" w14:paraId="26ACAFE9" w14:textId="77777777" w:rsidTr="008E0250">
        <w:trPr>
          <w:trHeight w:val="20"/>
        </w:trPr>
        <w:tc>
          <w:tcPr>
            <w:tcW w:w="3614" w:type="dxa"/>
            <w:shd w:val="clear" w:color="auto" w:fill="FFFFFF"/>
            <w:noWrap/>
            <w:vAlign w:val="bottom"/>
          </w:tcPr>
          <w:p w14:paraId="44103D14" w14:textId="77777777" w:rsidR="00692E71" w:rsidRPr="001E3185" w:rsidRDefault="00692E71" w:rsidP="008E0250">
            <w:pPr>
              <w:rPr>
                <w:rFonts w:cs="Arial"/>
                <w:lang w:eastAsia="da-DK"/>
              </w:rPr>
            </w:pPr>
            <w:r w:rsidRPr="001E3185">
              <w:rPr>
                <w:rFonts w:cs="Arial"/>
                <w:lang w:eastAsia="da-DK"/>
              </w:rPr>
              <w:t>PEC/PNEC local without removal Time 1 (30 days)</w:t>
            </w:r>
          </w:p>
        </w:tc>
        <w:tc>
          <w:tcPr>
            <w:tcW w:w="992" w:type="dxa"/>
            <w:shd w:val="clear" w:color="auto" w:fill="FFFFFF"/>
            <w:noWrap/>
            <w:vAlign w:val="center"/>
          </w:tcPr>
          <w:p w14:paraId="3E040EFE" w14:textId="77777777" w:rsidR="00692E71" w:rsidRPr="001E3185" w:rsidRDefault="00692E71" w:rsidP="008E0250">
            <w:pPr>
              <w:jc w:val="center"/>
              <w:rPr>
                <w:rFonts w:cs="Arial"/>
                <w:color w:val="000000"/>
                <w:lang w:eastAsia="da-DK"/>
              </w:rPr>
            </w:pPr>
            <w:r w:rsidRPr="001E3185">
              <w:rPr>
                <w:rFonts w:cs="Arial"/>
                <w:color w:val="000000"/>
              </w:rPr>
              <w:t>0.2</w:t>
            </w:r>
          </w:p>
        </w:tc>
        <w:tc>
          <w:tcPr>
            <w:tcW w:w="1134" w:type="dxa"/>
            <w:shd w:val="clear" w:color="auto" w:fill="FFFFFF"/>
            <w:noWrap/>
            <w:vAlign w:val="center"/>
          </w:tcPr>
          <w:p w14:paraId="3CC0013D" w14:textId="77777777" w:rsidR="00692E71" w:rsidRPr="001E3185" w:rsidRDefault="00692E71" w:rsidP="008E0250">
            <w:pPr>
              <w:jc w:val="center"/>
              <w:rPr>
                <w:rFonts w:cs="Arial"/>
                <w:color w:val="000000"/>
              </w:rPr>
            </w:pPr>
            <w:r w:rsidRPr="001E3185">
              <w:rPr>
                <w:rFonts w:cs="Arial"/>
                <w:color w:val="000000"/>
              </w:rPr>
              <w:t>0.1</w:t>
            </w:r>
          </w:p>
        </w:tc>
        <w:tc>
          <w:tcPr>
            <w:tcW w:w="1134" w:type="dxa"/>
            <w:shd w:val="clear" w:color="auto" w:fill="FFFFFF"/>
            <w:noWrap/>
            <w:vAlign w:val="center"/>
          </w:tcPr>
          <w:p w14:paraId="2CFC4845" w14:textId="77777777" w:rsidR="00692E71" w:rsidRPr="001E3185" w:rsidRDefault="00692E71" w:rsidP="008E0250">
            <w:pPr>
              <w:jc w:val="center"/>
              <w:rPr>
                <w:rFonts w:cs="Arial"/>
                <w:color w:val="000000"/>
              </w:rPr>
            </w:pPr>
            <w:r w:rsidRPr="001E3185">
              <w:rPr>
                <w:rFonts w:cs="Arial"/>
                <w:color w:val="000000"/>
              </w:rPr>
              <w:t>5.7*10</w:t>
            </w:r>
            <w:r w:rsidRPr="001E3185">
              <w:rPr>
                <w:rFonts w:cs="Arial"/>
                <w:color w:val="000000"/>
                <w:vertAlign w:val="superscript"/>
              </w:rPr>
              <w:t>-3</w:t>
            </w:r>
          </w:p>
        </w:tc>
        <w:tc>
          <w:tcPr>
            <w:tcW w:w="1134" w:type="dxa"/>
            <w:shd w:val="clear" w:color="auto" w:fill="FFFFFF"/>
            <w:vAlign w:val="center"/>
          </w:tcPr>
          <w:p w14:paraId="656D4100" w14:textId="77777777" w:rsidR="00692E71" w:rsidRPr="001E3185" w:rsidRDefault="00692E71" w:rsidP="008E0250">
            <w:pPr>
              <w:jc w:val="center"/>
              <w:rPr>
                <w:rFonts w:cs="Arial"/>
                <w:color w:val="000000"/>
              </w:rPr>
            </w:pPr>
            <w:r w:rsidRPr="001E3185">
              <w:rPr>
                <w:rFonts w:cs="Arial"/>
                <w:color w:val="000000"/>
              </w:rPr>
              <w:t>7.0</w:t>
            </w:r>
          </w:p>
        </w:tc>
        <w:tc>
          <w:tcPr>
            <w:tcW w:w="1276" w:type="dxa"/>
            <w:shd w:val="clear" w:color="auto" w:fill="FFFFFF"/>
            <w:vAlign w:val="center"/>
          </w:tcPr>
          <w:p w14:paraId="2B639736" w14:textId="77777777" w:rsidR="00692E71" w:rsidRPr="001E3185" w:rsidRDefault="00692E71" w:rsidP="008E0250">
            <w:pPr>
              <w:jc w:val="center"/>
              <w:rPr>
                <w:rFonts w:cs="Arial"/>
              </w:rPr>
            </w:pPr>
            <w:r w:rsidRPr="001E3185">
              <w:rPr>
                <w:rFonts w:cs="Arial"/>
                <w:color w:val="000000"/>
              </w:rPr>
              <w:t>7.40</w:t>
            </w:r>
          </w:p>
        </w:tc>
      </w:tr>
      <w:tr w:rsidR="00692E71" w:rsidRPr="001E3185" w14:paraId="1DAD0295" w14:textId="77777777" w:rsidTr="008E0250">
        <w:trPr>
          <w:trHeight w:val="20"/>
        </w:trPr>
        <w:tc>
          <w:tcPr>
            <w:tcW w:w="3614" w:type="dxa"/>
            <w:shd w:val="clear" w:color="auto" w:fill="FFFFFF"/>
            <w:noWrap/>
            <w:vAlign w:val="bottom"/>
          </w:tcPr>
          <w:p w14:paraId="49E54773"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7BF2DD64" w14:textId="77777777" w:rsidR="00692E71" w:rsidRPr="001E3185" w:rsidRDefault="00692E71" w:rsidP="008E0250">
            <w:pPr>
              <w:jc w:val="center"/>
              <w:rPr>
                <w:rFonts w:cs="Arial"/>
                <w:color w:val="000000"/>
                <w:lang w:eastAsia="da-DK"/>
              </w:rPr>
            </w:pPr>
            <w:r w:rsidRPr="001E3185">
              <w:rPr>
                <w:rFonts w:cs="Arial"/>
                <w:color w:val="000000"/>
              </w:rPr>
              <w:t>0.4</w:t>
            </w:r>
          </w:p>
        </w:tc>
        <w:tc>
          <w:tcPr>
            <w:tcW w:w="1134" w:type="dxa"/>
            <w:shd w:val="clear" w:color="auto" w:fill="FFFFFF"/>
            <w:noWrap/>
            <w:vAlign w:val="center"/>
          </w:tcPr>
          <w:p w14:paraId="2F2444A2" w14:textId="77777777" w:rsidR="00692E71" w:rsidRPr="001E3185" w:rsidRDefault="00692E71" w:rsidP="008E0250">
            <w:pPr>
              <w:jc w:val="center"/>
              <w:rPr>
                <w:rFonts w:cs="Arial"/>
                <w:color w:val="000000"/>
              </w:rPr>
            </w:pPr>
            <w:r w:rsidRPr="001E3185">
              <w:rPr>
                <w:rFonts w:cs="Arial"/>
                <w:color w:val="000000"/>
              </w:rPr>
              <w:t>0.4</w:t>
            </w:r>
          </w:p>
        </w:tc>
        <w:tc>
          <w:tcPr>
            <w:tcW w:w="1134" w:type="dxa"/>
            <w:shd w:val="clear" w:color="auto" w:fill="FFFFFF"/>
            <w:noWrap/>
            <w:vAlign w:val="center"/>
          </w:tcPr>
          <w:p w14:paraId="1D69C5B5" w14:textId="77777777" w:rsidR="00692E71" w:rsidRPr="001E3185" w:rsidRDefault="00692E71" w:rsidP="008E0250">
            <w:pPr>
              <w:jc w:val="center"/>
              <w:rPr>
                <w:rFonts w:cs="Arial"/>
                <w:color w:val="000000"/>
              </w:rPr>
            </w:pPr>
            <w:r w:rsidRPr="001E3185">
              <w:rPr>
                <w:rFonts w:cs="Arial"/>
                <w:color w:val="000000"/>
              </w:rPr>
              <w:t>1.4*10</w:t>
            </w:r>
            <w:r w:rsidRPr="001E3185">
              <w:rPr>
                <w:rFonts w:cs="Arial"/>
                <w:color w:val="000000"/>
                <w:vertAlign w:val="superscript"/>
              </w:rPr>
              <w:t>-2</w:t>
            </w:r>
          </w:p>
        </w:tc>
        <w:tc>
          <w:tcPr>
            <w:tcW w:w="1134" w:type="dxa"/>
            <w:shd w:val="clear" w:color="auto" w:fill="FFFFFF"/>
            <w:vAlign w:val="center"/>
          </w:tcPr>
          <w:p w14:paraId="7DD275D6" w14:textId="77777777" w:rsidR="00692E71" w:rsidRPr="001E3185" w:rsidRDefault="00692E71" w:rsidP="008E0250">
            <w:pPr>
              <w:jc w:val="center"/>
              <w:rPr>
                <w:rFonts w:cs="Arial"/>
                <w:color w:val="000000"/>
              </w:rPr>
            </w:pPr>
            <w:r w:rsidRPr="001E3185">
              <w:rPr>
                <w:rFonts w:cs="Arial"/>
                <w:color w:val="000000"/>
              </w:rPr>
              <w:t>9.0</w:t>
            </w:r>
          </w:p>
        </w:tc>
        <w:tc>
          <w:tcPr>
            <w:tcW w:w="1276" w:type="dxa"/>
            <w:shd w:val="clear" w:color="auto" w:fill="FFFFFF"/>
            <w:vAlign w:val="center"/>
          </w:tcPr>
          <w:p w14:paraId="0DFF7EB8" w14:textId="77777777" w:rsidR="00692E71" w:rsidRPr="001E3185" w:rsidRDefault="00692E71" w:rsidP="008E0250">
            <w:pPr>
              <w:jc w:val="center"/>
              <w:rPr>
                <w:rFonts w:cs="Arial"/>
              </w:rPr>
            </w:pPr>
            <w:r w:rsidRPr="001E3185">
              <w:rPr>
                <w:rFonts w:cs="Arial"/>
                <w:color w:val="000000"/>
              </w:rPr>
              <w:t>9.70</w:t>
            </w:r>
          </w:p>
        </w:tc>
      </w:tr>
      <w:tr w:rsidR="00692E71" w:rsidRPr="001E3185" w14:paraId="4B402668" w14:textId="77777777" w:rsidTr="008E0250">
        <w:trPr>
          <w:trHeight w:val="20"/>
        </w:trPr>
        <w:tc>
          <w:tcPr>
            <w:tcW w:w="3614" w:type="dxa"/>
            <w:shd w:val="clear" w:color="auto" w:fill="FFFFFF"/>
            <w:noWrap/>
            <w:vAlign w:val="bottom"/>
          </w:tcPr>
          <w:p w14:paraId="1148C847" w14:textId="77777777" w:rsidR="00692E71" w:rsidRPr="001E3185" w:rsidRDefault="00692E71" w:rsidP="008E0250">
            <w:pPr>
              <w:rPr>
                <w:rFonts w:cs="Arial"/>
                <w:lang w:eastAsia="da-DK"/>
              </w:rPr>
            </w:pPr>
          </w:p>
        </w:tc>
        <w:tc>
          <w:tcPr>
            <w:tcW w:w="992" w:type="dxa"/>
            <w:shd w:val="clear" w:color="auto" w:fill="FFFFFF"/>
            <w:noWrap/>
            <w:vAlign w:val="center"/>
          </w:tcPr>
          <w:p w14:paraId="3037FD79" w14:textId="77777777" w:rsidR="00692E71" w:rsidRPr="001E3185" w:rsidRDefault="00692E71" w:rsidP="008E0250">
            <w:pPr>
              <w:jc w:val="center"/>
              <w:rPr>
                <w:rFonts w:cs="Arial"/>
                <w:color w:val="000000"/>
                <w:lang w:eastAsia="da-DK"/>
              </w:rPr>
            </w:pPr>
          </w:p>
        </w:tc>
        <w:tc>
          <w:tcPr>
            <w:tcW w:w="1134" w:type="dxa"/>
            <w:shd w:val="clear" w:color="auto" w:fill="FFFFFF"/>
            <w:noWrap/>
            <w:vAlign w:val="center"/>
          </w:tcPr>
          <w:p w14:paraId="6F03CED7" w14:textId="77777777" w:rsidR="00692E71" w:rsidRPr="001E3185" w:rsidRDefault="00692E71" w:rsidP="008E0250">
            <w:pPr>
              <w:jc w:val="center"/>
              <w:rPr>
                <w:rFonts w:cs="Arial"/>
                <w:color w:val="000000"/>
              </w:rPr>
            </w:pPr>
          </w:p>
        </w:tc>
        <w:tc>
          <w:tcPr>
            <w:tcW w:w="1134" w:type="dxa"/>
            <w:shd w:val="clear" w:color="auto" w:fill="FFFFFF"/>
            <w:noWrap/>
            <w:vAlign w:val="center"/>
          </w:tcPr>
          <w:p w14:paraId="0022FDAE" w14:textId="77777777" w:rsidR="00692E71" w:rsidRPr="001E3185" w:rsidRDefault="00692E71" w:rsidP="008E0250">
            <w:pPr>
              <w:jc w:val="center"/>
              <w:rPr>
                <w:rFonts w:cs="Arial"/>
                <w:color w:val="000000"/>
              </w:rPr>
            </w:pPr>
          </w:p>
        </w:tc>
        <w:tc>
          <w:tcPr>
            <w:tcW w:w="1134" w:type="dxa"/>
            <w:shd w:val="clear" w:color="auto" w:fill="FFFFFF"/>
            <w:vAlign w:val="center"/>
          </w:tcPr>
          <w:p w14:paraId="596A9B28" w14:textId="77777777" w:rsidR="00692E71" w:rsidRPr="001E3185" w:rsidRDefault="00692E71" w:rsidP="008E0250">
            <w:pPr>
              <w:jc w:val="center"/>
              <w:rPr>
                <w:rFonts w:cs="Arial"/>
                <w:color w:val="000000"/>
              </w:rPr>
            </w:pPr>
          </w:p>
        </w:tc>
        <w:tc>
          <w:tcPr>
            <w:tcW w:w="1276" w:type="dxa"/>
            <w:shd w:val="clear" w:color="auto" w:fill="FFFFFF"/>
            <w:vAlign w:val="center"/>
          </w:tcPr>
          <w:p w14:paraId="69CF280B" w14:textId="77777777" w:rsidR="00692E71" w:rsidRPr="001E3185" w:rsidRDefault="00692E71" w:rsidP="008E0250">
            <w:pPr>
              <w:jc w:val="center"/>
              <w:rPr>
                <w:rFonts w:cs="Arial"/>
              </w:rPr>
            </w:pPr>
          </w:p>
        </w:tc>
      </w:tr>
      <w:tr w:rsidR="00692E71" w:rsidRPr="001E3185" w14:paraId="24849C29" w14:textId="77777777" w:rsidTr="008E0250">
        <w:trPr>
          <w:trHeight w:val="20"/>
        </w:trPr>
        <w:tc>
          <w:tcPr>
            <w:tcW w:w="3614" w:type="dxa"/>
            <w:shd w:val="clear" w:color="auto" w:fill="FFFFFF"/>
            <w:noWrap/>
            <w:vAlign w:val="bottom"/>
          </w:tcPr>
          <w:p w14:paraId="770E39A5" w14:textId="77777777" w:rsidR="00692E71" w:rsidRPr="001E3185" w:rsidRDefault="00692E71" w:rsidP="008E0250">
            <w:pPr>
              <w:rPr>
                <w:rFonts w:cs="Arial"/>
                <w:lang w:eastAsia="da-DK"/>
              </w:rPr>
            </w:pPr>
            <w:r w:rsidRPr="001E3185">
              <w:rPr>
                <w:rFonts w:cs="Arial"/>
                <w:lang w:eastAsia="da-DK"/>
              </w:rPr>
              <w:t>PEC/PNEC local with removal Time 1 (30 days)</w:t>
            </w:r>
          </w:p>
        </w:tc>
        <w:tc>
          <w:tcPr>
            <w:tcW w:w="992" w:type="dxa"/>
            <w:shd w:val="clear" w:color="auto" w:fill="FFFFFF"/>
            <w:noWrap/>
            <w:vAlign w:val="center"/>
          </w:tcPr>
          <w:p w14:paraId="77C67549" w14:textId="77777777" w:rsidR="00692E71" w:rsidRPr="001E3185" w:rsidRDefault="00692E71" w:rsidP="008E0250">
            <w:pPr>
              <w:jc w:val="center"/>
              <w:rPr>
                <w:rFonts w:cs="Arial"/>
                <w:color w:val="000000"/>
                <w:lang w:eastAsia="da-DK"/>
              </w:rPr>
            </w:pPr>
            <w:r w:rsidRPr="001E3185">
              <w:rPr>
                <w:rFonts w:cs="Arial"/>
                <w:color w:val="000000"/>
              </w:rPr>
              <w:t>1.2*10</w:t>
            </w:r>
            <w:r w:rsidRPr="001E3185">
              <w:rPr>
                <w:rFonts w:cs="Arial"/>
                <w:color w:val="000000"/>
                <w:vertAlign w:val="superscript"/>
              </w:rPr>
              <w:t>-3</w:t>
            </w:r>
          </w:p>
        </w:tc>
        <w:tc>
          <w:tcPr>
            <w:tcW w:w="1134" w:type="dxa"/>
            <w:shd w:val="clear" w:color="auto" w:fill="FFFFFF"/>
            <w:noWrap/>
            <w:vAlign w:val="center"/>
          </w:tcPr>
          <w:p w14:paraId="138E6596" w14:textId="77777777" w:rsidR="00692E71" w:rsidRPr="001E3185" w:rsidRDefault="00692E71" w:rsidP="008E0250">
            <w:pPr>
              <w:jc w:val="center"/>
              <w:rPr>
                <w:rFonts w:cs="Arial"/>
                <w:color w:val="000000"/>
              </w:rPr>
            </w:pPr>
            <w:r w:rsidRPr="001E3185">
              <w:rPr>
                <w:rFonts w:cs="Arial"/>
                <w:color w:val="000000"/>
              </w:rPr>
              <w:t>6.7*10</w:t>
            </w:r>
            <w:r w:rsidRPr="001E3185">
              <w:rPr>
                <w:rFonts w:cs="Arial"/>
                <w:color w:val="000000"/>
                <w:vertAlign w:val="superscript"/>
              </w:rPr>
              <w:t>-2</w:t>
            </w:r>
          </w:p>
        </w:tc>
        <w:tc>
          <w:tcPr>
            <w:tcW w:w="1134" w:type="dxa"/>
            <w:shd w:val="clear" w:color="auto" w:fill="FFFFFF"/>
            <w:noWrap/>
            <w:vAlign w:val="center"/>
          </w:tcPr>
          <w:p w14:paraId="58DBECE7" w14:textId="77777777" w:rsidR="00692E71" w:rsidRPr="001E3185" w:rsidRDefault="00692E71" w:rsidP="008E0250">
            <w:pPr>
              <w:jc w:val="center"/>
              <w:rPr>
                <w:rFonts w:cs="Arial"/>
                <w:color w:val="000000"/>
              </w:rPr>
            </w:pPr>
            <w:r w:rsidRPr="001E3185">
              <w:rPr>
                <w:rFonts w:cs="Arial"/>
                <w:color w:val="000000"/>
              </w:rPr>
              <w:t>2.6*10</w:t>
            </w:r>
            <w:r w:rsidRPr="001E3185">
              <w:rPr>
                <w:rFonts w:cs="Arial"/>
                <w:color w:val="000000"/>
                <w:vertAlign w:val="superscript"/>
              </w:rPr>
              <w:t>-3</w:t>
            </w:r>
          </w:p>
        </w:tc>
        <w:tc>
          <w:tcPr>
            <w:tcW w:w="1134" w:type="dxa"/>
            <w:shd w:val="clear" w:color="auto" w:fill="FFFFFF"/>
            <w:vAlign w:val="center"/>
          </w:tcPr>
          <w:p w14:paraId="081C49B7" w14:textId="77777777" w:rsidR="00692E71" w:rsidRPr="001E3185" w:rsidRDefault="00692E71" w:rsidP="008E0250">
            <w:pPr>
              <w:jc w:val="center"/>
              <w:rPr>
                <w:rFonts w:cs="Arial"/>
                <w:color w:val="000000"/>
              </w:rPr>
            </w:pPr>
            <w:r w:rsidRPr="001E3185">
              <w:rPr>
                <w:rFonts w:cs="Arial"/>
                <w:color w:val="000000"/>
              </w:rPr>
              <w:t>6.0*10</w:t>
            </w:r>
            <w:r w:rsidRPr="001E3185">
              <w:rPr>
                <w:rFonts w:cs="Arial"/>
                <w:color w:val="000000"/>
                <w:vertAlign w:val="superscript"/>
              </w:rPr>
              <w:t>-2</w:t>
            </w:r>
          </w:p>
        </w:tc>
        <w:tc>
          <w:tcPr>
            <w:tcW w:w="1276" w:type="dxa"/>
            <w:shd w:val="clear" w:color="auto" w:fill="FFFFFF"/>
            <w:vAlign w:val="center"/>
          </w:tcPr>
          <w:p w14:paraId="4044A542" w14:textId="77777777" w:rsidR="00692E71" w:rsidRPr="001E3185" w:rsidRDefault="00692E71" w:rsidP="008E0250">
            <w:pPr>
              <w:jc w:val="center"/>
              <w:rPr>
                <w:rFonts w:cs="Arial"/>
              </w:rPr>
            </w:pPr>
            <w:r w:rsidRPr="001E3185">
              <w:rPr>
                <w:rFonts w:cs="Arial"/>
                <w:color w:val="000000"/>
              </w:rPr>
              <w:t>0.13</w:t>
            </w:r>
          </w:p>
        </w:tc>
      </w:tr>
      <w:tr w:rsidR="00692E71" w:rsidRPr="001E3185" w14:paraId="2A05D1B3" w14:textId="77777777" w:rsidTr="008E0250">
        <w:trPr>
          <w:trHeight w:val="20"/>
        </w:trPr>
        <w:tc>
          <w:tcPr>
            <w:tcW w:w="3614" w:type="dxa"/>
            <w:shd w:val="clear" w:color="auto" w:fill="FFFFFF"/>
            <w:noWrap/>
            <w:vAlign w:val="bottom"/>
          </w:tcPr>
          <w:p w14:paraId="0E6799CE" w14:textId="77777777" w:rsidR="00692E71" w:rsidRPr="001E3185" w:rsidRDefault="00692E71" w:rsidP="008E0250">
            <w:pPr>
              <w:rPr>
                <w:rFonts w:cs="Arial"/>
                <w:lang w:eastAsia="da-DK"/>
              </w:rPr>
            </w:pPr>
            <w:r w:rsidRPr="001E3185">
              <w:rPr>
                <w:rFonts w:cs="Arial"/>
                <w:lang w:eastAsia="da-DK"/>
              </w:rPr>
              <w:t>PEC/PNEC local with removal Time 2 (1825 days)</w:t>
            </w:r>
          </w:p>
        </w:tc>
        <w:tc>
          <w:tcPr>
            <w:tcW w:w="992" w:type="dxa"/>
            <w:shd w:val="clear" w:color="auto" w:fill="FFFFFF"/>
            <w:noWrap/>
            <w:vAlign w:val="center"/>
          </w:tcPr>
          <w:p w14:paraId="37841D32" w14:textId="77777777" w:rsidR="00692E71" w:rsidRPr="001E3185" w:rsidRDefault="00692E71" w:rsidP="008E0250">
            <w:pPr>
              <w:jc w:val="center"/>
              <w:rPr>
                <w:rFonts w:cs="Arial"/>
                <w:color w:val="000000"/>
                <w:lang w:eastAsia="da-DK"/>
              </w:rPr>
            </w:pPr>
            <w:r w:rsidRPr="001E3185">
              <w:rPr>
                <w:rFonts w:cs="Arial"/>
                <w:color w:val="000000"/>
              </w:rPr>
              <w:t>3.9*10</w:t>
            </w:r>
            <w:r w:rsidRPr="001E3185">
              <w:rPr>
                <w:rFonts w:cs="Arial"/>
                <w:color w:val="000000"/>
                <w:vertAlign w:val="superscript"/>
              </w:rPr>
              <w:t>-5</w:t>
            </w:r>
          </w:p>
        </w:tc>
        <w:tc>
          <w:tcPr>
            <w:tcW w:w="1134" w:type="dxa"/>
            <w:shd w:val="clear" w:color="auto" w:fill="FFFFFF"/>
            <w:noWrap/>
            <w:vAlign w:val="center"/>
          </w:tcPr>
          <w:p w14:paraId="6260EB31" w14:textId="77777777" w:rsidR="00692E71" w:rsidRPr="001E3185" w:rsidRDefault="00692E71" w:rsidP="008E0250">
            <w:pPr>
              <w:jc w:val="center"/>
              <w:rPr>
                <w:rFonts w:cs="Arial"/>
                <w:color w:val="000000"/>
              </w:rPr>
            </w:pPr>
            <w:r w:rsidRPr="001E3185">
              <w:rPr>
                <w:rFonts w:cs="Arial"/>
                <w:color w:val="000000"/>
              </w:rPr>
              <w:t>1.2*10</w:t>
            </w:r>
            <w:r w:rsidRPr="001E3185">
              <w:rPr>
                <w:rFonts w:cs="Arial"/>
                <w:color w:val="000000"/>
                <w:vertAlign w:val="superscript"/>
              </w:rPr>
              <w:t>-1</w:t>
            </w:r>
          </w:p>
        </w:tc>
        <w:tc>
          <w:tcPr>
            <w:tcW w:w="1134" w:type="dxa"/>
            <w:shd w:val="clear" w:color="auto" w:fill="FFFFFF"/>
            <w:noWrap/>
            <w:vAlign w:val="center"/>
          </w:tcPr>
          <w:p w14:paraId="3B2BA373" w14:textId="77777777" w:rsidR="00692E71" w:rsidRPr="001E3185" w:rsidRDefault="00692E71" w:rsidP="008E0250">
            <w:pPr>
              <w:jc w:val="center"/>
              <w:rPr>
                <w:rFonts w:cs="Arial"/>
                <w:color w:val="000000"/>
              </w:rPr>
            </w:pPr>
            <w:r w:rsidRPr="001E3185">
              <w:rPr>
                <w:rFonts w:cs="Arial"/>
                <w:color w:val="000000"/>
              </w:rPr>
              <w:t>1.7*10</w:t>
            </w:r>
            <w:r w:rsidRPr="001E3185">
              <w:rPr>
                <w:rFonts w:cs="Arial"/>
                <w:color w:val="000000"/>
                <w:vertAlign w:val="superscript"/>
              </w:rPr>
              <w:t>-3</w:t>
            </w:r>
          </w:p>
        </w:tc>
        <w:tc>
          <w:tcPr>
            <w:tcW w:w="1134" w:type="dxa"/>
            <w:shd w:val="clear" w:color="auto" w:fill="FFFFFF"/>
            <w:vAlign w:val="center"/>
          </w:tcPr>
          <w:p w14:paraId="142A34CB" w14:textId="77777777" w:rsidR="00692E71" w:rsidRPr="001E3185" w:rsidRDefault="00692E71" w:rsidP="008E0250">
            <w:pPr>
              <w:jc w:val="center"/>
              <w:rPr>
                <w:rFonts w:cs="Arial"/>
                <w:color w:val="000000"/>
              </w:rPr>
            </w:pPr>
            <w:r w:rsidRPr="001E3185">
              <w:rPr>
                <w:rFonts w:cs="Arial"/>
                <w:color w:val="000000"/>
              </w:rPr>
              <w:t>3.1*10</w:t>
            </w:r>
            <w:r w:rsidRPr="001E3185">
              <w:rPr>
                <w:rFonts w:cs="Arial"/>
                <w:color w:val="000000"/>
                <w:vertAlign w:val="superscript"/>
              </w:rPr>
              <w:t>-3</w:t>
            </w:r>
          </w:p>
        </w:tc>
        <w:tc>
          <w:tcPr>
            <w:tcW w:w="1276" w:type="dxa"/>
            <w:shd w:val="clear" w:color="auto" w:fill="FFFFFF"/>
            <w:vAlign w:val="center"/>
          </w:tcPr>
          <w:p w14:paraId="32380432" w14:textId="77777777" w:rsidR="00692E71" w:rsidRPr="001E3185" w:rsidRDefault="00692E71" w:rsidP="008E0250">
            <w:pPr>
              <w:jc w:val="center"/>
              <w:rPr>
                <w:rFonts w:cs="Arial"/>
              </w:rPr>
            </w:pPr>
            <w:r w:rsidRPr="001E3185">
              <w:rPr>
                <w:rFonts w:cs="Arial"/>
                <w:color w:val="000000"/>
              </w:rPr>
              <w:t>0.13</w:t>
            </w:r>
          </w:p>
        </w:tc>
      </w:tr>
    </w:tbl>
    <w:p w14:paraId="3C4A8A35" w14:textId="77777777" w:rsidR="00692E71" w:rsidRPr="001E3185" w:rsidRDefault="00692E71" w:rsidP="00692E71">
      <w:pPr>
        <w:rPr>
          <w:rFonts w:cs="Arial"/>
          <w:bCs/>
        </w:rPr>
      </w:pPr>
    </w:p>
    <w:p w14:paraId="12A4E65A" w14:textId="77777777" w:rsidR="00692E71" w:rsidRPr="001E3185" w:rsidRDefault="00692E71" w:rsidP="00692E71">
      <w:pPr>
        <w:rPr>
          <w:rFonts w:cs="Arial"/>
          <w:bCs/>
        </w:rPr>
      </w:pPr>
      <w:r w:rsidRPr="001E3185">
        <w:rPr>
          <w:rFonts w:cs="Arial"/>
          <w:bCs/>
        </w:rPr>
        <w:t>In the storage scenario following industrial application no risk was identified in surface water for any of the active substances.</w:t>
      </w:r>
    </w:p>
    <w:p w14:paraId="5B25CF07" w14:textId="77777777" w:rsidR="00692E71" w:rsidRPr="001E3185" w:rsidRDefault="00692E71" w:rsidP="00692E71">
      <w:pPr>
        <w:rPr>
          <w:rFonts w:cs="Arial"/>
          <w:bCs/>
        </w:rPr>
      </w:pPr>
    </w:p>
    <w:p w14:paraId="5484328F" w14:textId="77777777" w:rsidR="00692E71" w:rsidRPr="001E3185" w:rsidRDefault="00692E71" w:rsidP="00692E71">
      <w:pPr>
        <w:rPr>
          <w:rFonts w:cs="Arial"/>
          <w:bCs/>
        </w:rPr>
      </w:pPr>
      <w:r w:rsidRPr="001E3185">
        <w:rPr>
          <w:rFonts w:cs="Arial"/>
          <w:bCs/>
        </w:rPr>
        <w:lastRenderedPageBreak/>
        <w:t xml:space="preserve">In the aquatic compartment, risk was acceptable in both surface water and sediment for IPBC, propiconazole and tebuconazole for industrial application, professional and non-professional use for all scenarios even without taking removal processes into account. </w:t>
      </w:r>
    </w:p>
    <w:p w14:paraId="6E946AD1" w14:textId="77777777" w:rsidR="00692E71" w:rsidRPr="001E3185" w:rsidRDefault="00692E71" w:rsidP="00692E71">
      <w:pPr>
        <w:rPr>
          <w:rFonts w:cs="Arial"/>
          <w:bCs/>
        </w:rPr>
      </w:pPr>
    </w:p>
    <w:p w14:paraId="4ED2D015" w14:textId="77777777" w:rsidR="00692E71" w:rsidRPr="001E3185" w:rsidRDefault="00692E71" w:rsidP="00692E71">
      <w:pPr>
        <w:rPr>
          <w:rFonts w:cs="Arial"/>
          <w:bCs/>
        </w:rPr>
      </w:pPr>
      <w:r w:rsidRPr="001E3185">
        <w:rPr>
          <w:rFonts w:cs="Arial"/>
          <w:bCs/>
        </w:rPr>
        <w:t>Risk was identified for cypermethrin in all scenarios for both surface water and sediment when removal processes were not taking into account for both professional and non-professional use. When removal processes were taking into account risk was identified at Time 1, while risk was acceptable at Time 2. However, the risk assessment for cypermethrin was based on the LOQ for the leaching study, since it was not detected at any sample occasion, so the above PEC/PNEC values must be considered a very conservative estimate.</w:t>
      </w:r>
    </w:p>
    <w:p w14:paraId="08858EB9" w14:textId="77777777" w:rsidR="00692E71" w:rsidRPr="001E3185" w:rsidRDefault="00692E71" w:rsidP="00692E71">
      <w:pPr>
        <w:rPr>
          <w:rFonts w:cs="Arial"/>
          <w:bCs/>
        </w:rPr>
      </w:pPr>
    </w:p>
    <w:p w14:paraId="06C10190" w14:textId="77777777" w:rsidR="00692E71" w:rsidRPr="001E3185" w:rsidRDefault="00692E71" w:rsidP="00692E71">
      <w:pPr>
        <w:rPr>
          <w:rFonts w:cs="Arial"/>
          <w:b/>
          <w:bCs/>
          <w:u w:val="single"/>
        </w:rPr>
      </w:pPr>
      <w:r w:rsidRPr="001E3185">
        <w:rPr>
          <w:rFonts w:cs="Arial"/>
          <w:b/>
          <w:bCs/>
          <w:u w:val="single"/>
        </w:rPr>
        <w:t>- Metabolites</w:t>
      </w:r>
    </w:p>
    <w:p w14:paraId="3565A730" w14:textId="77777777" w:rsidR="00692E71" w:rsidRPr="001E3185" w:rsidRDefault="00692E71" w:rsidP="00692E71">
      <w:pPr>
        <w:rPr>
          <w:rFonts w:cs="Arial"/>
        </w:rPr>
      </w:pPr>
    </w:p>
    <w:p w14:paraId="17CBA6EB" w14:textId="77777777" w:rsidR="00692E71" w:rsidRPr="001E3185" w:rsidRDefault="00692E71" w:rsidP="00692E71">
      <w:pPr>
        <w:rPr>
          <w:rFonts w:cs="Arial"/>
        </w:rPr>
      </w:pPr>
      <w:r w:rsidRPr="001E3185">
        <w:rPr>
          <w:rFonts w:cs="Arial"/>
        </w:rPr>
        <w:t>PBC was identified as a relevant metabolite of IPBC in water, sediment and soil. Due to a relative short half-life of PBC, it can be regarded as a transient metabolite. In addition, the ecotoxicity of PBC is a factor of 300 – 1000 lower for fish, invertebrates and algae compared to IPBC.</w:t>
      </w:r>
    </w:p>
    <w:p w14:paraId="7ACF4DF9" w14:textId="77777777" w:rsidR="00692E71" w:rsidRPr="001E3185" w:rsidRDefault="00692E71" w:rsidP="00692E71">
      <w:pPr>
        <w:autoSpaceDE w:val="0"/>
        <w:autoSpaceDN w:val="0"/>
        <w:adjustRightInd w:val="0"/>
        <w:snapToGrid w:val="0"/>
        <w:rPr>
          <w:rFonts w:cs="Arial"/>
          <w:color w:val="000000"/>
          <w:lang w:eastAsia="da-DK"/>
        </w:rPr>
      </w:pPr>
      <w:r w:rsidRPr="001E3185">
        <w:rPr>
          <w:rFonts w:cs="Arial"/>
        </w:rPr>
        <w:t>In this report PBC was included in the calculation, by transforming the measured amount of PBC to the corresponding amount of IPBC and use the total as input parameter. This must be considered a worst-case approach. So, no further assessment of this metabolite is needed</w:t>
      </w:r>
      <w:r w:rsidRPr="001E3185">
        <w:rPr>
          <w:rFonts w:cs="Arial"/>
          <w:color w:val="000000"/>
          <w:lang w:eastAsia="da-DK"/>
        </w:rPr>
        <w:t>.</w:t>
      </w:r>
    </w:p>
    <w:p w14:paraId="7DEF4A08" w14:textId="77777777" w:rsidR="00692E71" w:rsidRPr="001E3185" w:rsidRDefault="00692E71" w:rsidP="00692E71">
      <w:pPr>
        <w:rPr>
          <w:rFonts w:cs="Arial"/>
        </w:rPr>
      </w:pPr>
    </w:p>
    <w:p w14:paraId="5FF8096B" w14:textId="77777777" w:rsidR="00692E71" w:rsidRPr="001E3185" w:rsidRDefault="00692E71" w:rsidP="00692E71">
      <w:pPr>
        <w:autoSpaceDE w:val="0"/>
        <w:autoSpaceDN w:val="0"/>
        <w:adjustRightInd w:val="0"/>
        <w:snapToGrid w:val="0"/>
        <w:rPr>
          <w:rFonts w:cs="Arial"/>
          <w:color w:val="000000"/>
          <w:lang w:eastAsia="da-DK"/>
        </w:rPr>
      </w:pPr>
      <w:r w:rsidRPr="001E3185">
        <w:rPr>
          <w:rFonts w:cs="Arial"/>
        </w:rPr>
        <w:t xml:space="preserve">According to the AR for propiconazole, </w:t>
      </w:r>
      <w:r w:rsidRPr="001E3185">
        <w:rPr>
          <w:rFonts w:cs="Arial"/>
          <w:color w:val="000000"/>
          <w:lang w:eastAsia="da-DK"/>
        </w:rPr>
        <w:t>all metabolites amounted to less than 10% of the applied amount of propiconazole in the surface water and sediment systems, so, no further evaluation is needed.</w:t>
      </w:r>
    </w:p>
    <w:p w14:paraId="498E3918" w14:textId="77777777" w:rsidR="00692E71" w:rsidRPr="001E3185" w:rsidRDefault="00692E71" w:rsidP="00692E71">
      <w:pPr>
        <w:autoSpaceDE w:val="0"/>
        <w:autoSpaceDN w:val="0"/>
        <w:adjustRightInd w:val="0"/>
        <w:snapToGrid w:val="0"/>
        <w:rPr>
          <w:rFonts w:cs="Arial"/>
          <w:color w:val="000000"/>
          <w:lang w:eastAsia="da-DK"/>
        </w:rPr>
      </w:pPr>
    </w:p>
    <w:p w14:paraId="703124C8" w14:textId="77777777" w:rsidR="00692E71" w:rsidRPr="001E3185" w:rsidRDefault="00692E71" w:rsidP="00692E71">
      <w:pPr>
        <w:autoSpaceDE w:val="0"/>
        <w:autoSpaceDN w:val="0"/>
        <w:adjustRightInd w:val="0"/>
        <w:snapToGrid w:val="0"/>
        <w:rPr>
          <w:rFonts w:cs="Arial"/>
          <w:color w:val="000000"/>
          <w:lang w:eastAsia="da-DK"/>
        </w:rPr>
      </w:pPr>
      <w:r w:rsidRPr="001E3185">
        <w:rPr>
          <w:rFonts w:cs="Arial"/>
          <w:color w:val="000000"/>
          <w:lang w:eastAsia="da-DK"/>
        </w:rPr>
        <w:t>The ecotoxicity of the metabolite 1</w:t>
      </w:r>
      <w:proofErr w:type="gramStart"/>
      <w:r w:rsidRPr="001E3185">
        <w:rPr>
          <w:rFonts w:cs="Arial"/>
          <w:color w:val="000000"/>
          <w:lang w:eastAsia="da-DK"/>
        </w:rPr>
        <w:t>,2,4</w:t>
      </w:r>
      <w:proofErr w:type="gramEnd"/>
      <w:r w:rsidRPr="001E3185">
        <w:rPr>
          <w:rFonts w:cs="Arial"/>
          <w:color w:val="000000"/>
          <w:lang w:eastAsia="da-DK"/>
        </w:rPr>
        <w:t>-triazole is significantly lower than found for the tebuconazole for both the aquatic and terrestrial environment and therefore the metabolite will not be considered further as concluded for the tebuconazole evaluation in PT08.</w:t>
      </w:r>
    </w:p>
    <w:p w14:paraId="285D0F68" w14:textId="77777777" w:rsidR="00692E71" w:rsidRPr="001E3185" w:rsidRDefault="00692E71" w:rsidP="00692E71">
      <w:pPr>
        <w:autoSpaceDE w:val="0"/>
        <w:autoSpaceDN w:val="0"/>
        <w:adjustRightInd w:val="0"/>
        <w:snapToGrid w:val="0"/>
        <w:rPr>
          <w:rFonts w:cs="Arial"/>
          <w:color w:val="000000"/>
          <w:lang w:eastAsia="da-DK"/>
        </w:rPr>
      </w:pPr>
    </w:p>
    <w:p w14:paraId="1524E146" w14:textId="77777777" w:rsidR="00692E71" w:rsidRPr="001E3185" w:rsidRDefault="00692E71" w:rsidP="00692E71">
      <w:pPr>
        <w:autoSpaceDE w:val="0"/>
        <w:autoSpaceDN w:val="0"/>
        <w:adjustRightInd w:val="0"/>
        <w:snapToGrid w:val="0"/>
        <w:rPr>
          <w:rFonts w:cs="Arial"/>
        </w:rPr>
      </w:pPr>
      <w:r w:rsidRPr="001E3185">
        <w:rPr>
          <w:rFonts w:cs="Arial"/>
        </w:rPr>
        <w:t>In the AR for cypermethrin three major metabolites were identified in water and soil: 3-phenoxybenzoic acid, TDCVC and CDCVC. However, no data is available for these metabolites and none of these are considered further.</w:t>
      </w:r>
    </w:p>
    <w:p w14:paraId="42E301C3" w14:textId="77777777" w:rsidR="00692E71" w:rsidRPr="001E3185" w:rsidRDefault="00692E71" w:rsidP="00692E71">
      <w:pPr>
        <w:rPr>
          <w:rFonts w:cs="Arial"/>
        </w:rPr>
      </w:pPr>
      <w:r w:rsidRPr="001E3185">
        <w:rPr>
          <w:rFonts w:cs="Arial"/>
        </w:rPr>
        <w:t xml:space="preserve">For all the above mentioned metabolites, the assessment made for the </w:t>
      </w:r>
      <w:proofErr w:type="gramStart"/>
      <w:r w:rsidRPr="001E3185">
        <w:rPr>
          <w:rFonts w:cs="Arial"/>
        </w:rPr>
        <w:t>a.s</w:t>
      </w:r>
      <w:proofErr w:type="gramEnd"/>
      <w:r w:rsidRPr="001E3185">
        <w:rPr>
          <w:rFonts w:cs="Arial"/>
        </w:rPr>
        <w:t>. cover the risk of the metabolites.</w:t>
      </w:r>
      <w:bookmarkStart w:id="149" w:name="_Toc238543520"/>
    </w:p>
    <w:p w14:paraId="19C76CAF" w14:textId="77777777" w:rsidR="00692E71" w:rsidRPr="001E3185" w:rsidRDefault="00692E71" w:rsidP="00692E71">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92E71" w:rsidRPr="001E3185" w14:paraId="6BD543F1" w14:textId="77777777" w:rsidTr="008E0250">
        <w:tc>
          <w:tcPr>
            <w:tcW w:w="5000" w:type="pct"/>
            <w:shd w:val="clear" w:color="auto" w:fill="D6E3BC"/>
          </w:tcPr>
          <w:p w14:paraId="12A13D0F" w14:textId="77777777" w:rsidR="00692E71" w:rsidRPr="001E3185" w:rsidRDefault="00692E71" w:rsidP="008E0250">
            <w:pPr>
              <w:pStyle w:val="Lgende"/>
              <w:rPr>
                <w:rFonts w:ascii="Verdana" w:hAnsi="Verdana"/>
              </w:rPr>
            </w:pPr>
            <w:bookmarkStart w:id="150" w:name="_Ref467052981"/>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9</w:t>
            </w:r>
            <w:r w:rsidRPr="001E3185">
              <w:rPr>
                <w:rFonts w:ascii="Verdana" w:hAnsi="Verdana"/>
              </w:rPr>
              <w:fldChar w:fldCharType="end"/>
            </w:r>
            <w:bookmarkEnd w:id="150"/>
          </w:p>
          <w:p w14:paraId="4EB026DD" w14:textId="77777777" w:rsidR="00692E71" w:rsidRPr="001E3185" w:rsidRDefault="00692E71" w:rsidP="008E0250">
            <w:pPr>
              <w:pStyle w:val="Lgende"/>
              <w:rPr>
                <w:rFonts w:ascii="Verdana" w:hAnsi="Verdana"/>
              </w:rPr>
            </w:pPr>
            <w:r w:rsidRPr="001E3185">
              <w:rPr>
                <w:rFonts w:ascii="Verdana" w:hAnsi="Verdana"/>
              </w:rPr>
              <w:t>Risk characterisation for the aquatic compartment (including STEP and sediment)</w:t>
            </w:r>
          </w:p>
          <w:p w14:paraId="56CFD1E3" w14:textId="77777777" w:rsidR="00692E71" w:rsidRPr="001E3185" w:rsidRDefault="00692E71" w:rsidP="008E0250"/>
          <w:p w14:paraId="7DB3D6FD" w14:textId="77777777" w:rsidR="00692E71" w:rsidRPr="001E3185" w:rsidRDefault="00692E71" w:rsidP="00F32B7F">
            <w:pPr>
              <w:pStyle w:val="Paragraphedeliste"/>
              <w:numPr>
                <w:ilvl w:val="0"/>
                <w:numId w:val="17"/>
              </w:numPr>
              <w:suppressAutoHyphens w:val="0"/>
              <w:autoSpaceDE w:val="0"/>
              <w:autoSpaceDN w:val="0"/>
              <w:spacing w:line="260" w:lineRule="atLeast"/>
              <w:ind w:right="142"/>
              <w:contextualSpacing/>
              <w:rPr>
                <w:rFonts w:cs="Arial"/>
                <w:b/>
              </w:rPr>
            </w:pPr>
            <w:r w:rsidRPr="001E3185">
              <w:rPr>
                <w:rFonts w:cs="Arial"/>
                <w:b/>
              </w:rPr>
              <w:t>Direct emission to the aquatic compartment – industrial application, storage</w:t>
            </w:r>
          </w:p>
          <w:p w14:paraId="774BACD4" w14:textId="77777777" w:rsidR="00692E71" w:rsidRPr="001E3185" w:rsidRDefault="00692E71" w:rsidP="008E0250">
            <w:pPr>
              <w:autoSpaceDE w:val="0"/>
              <w:autoSpaceDN w:val="0"/>
              <w:spacing w:before="120" w:after="120"/>
              <w:rPr>
                <w:rFonts w:cs="Arial"/>
                <w:lang w:eastAsia="en-GB"/>
              </w:rPr>
            </w:pPr>
            <w:r w:rsidRPr="001E3185">
              <w:rPr>
                <w:rFonts w:cs="Arial"/>
                <w:lang w:eastAsia="en-GB"/>
              </w:rPr>
              <w:t>For the storage phase, the risk characterisation for the aquatic compartment including sediment has been performed considering PEC calculated for industrial application (storage) scenario of the PT08-ESD and compared to PNEC</w:t>
            </w:r>
            <w:r w:rsidRPr="001E3185">
              <w:rPr>
                <w:rFonts w:cs="Arial"/>
                <w:vertAlign w:val="subscript"/>
                <w:lang w:eastAsia="en-GB"/>
              </w:rPr>
              <w:t>water</w:t>
            </w:r>
            <w:r w:rsidRPr="001E3185">
              <w:rPr>
                <w:rFonts w:cs="Arial"/>
                <w:lang w:eastAsia="en-GB"/>
              </w:rPr>
              <w:t xml:space="preserve"> and PNEC</w:t>
            </w:r>
            <w:r w:rsidRPr="001E3185">
              <w:rPr>
                <w:rFonts w:cs="Arial"/>
                <w:vertAlign w:val="subscript"/>
                <w:lang w:eastAsia="en-GB"/>
              </w:rPr>
              <w:t>sediment</w:t>
            </w:r>
            <w:r w:rsidRPr="001E3185">
              <w:rPr>
                <w:rFonts w:cs="Arial"/>
                <w:lang w:eastAsia="en-GB"/>
              </w:rPr>
              <w:t xml:space="preserve"> of each active substance.</w:t>
            </w:r>
          </w:p>
          <w:tbl>
            <w:tblPr>
              <w:tblW w:w="9776" w:type="dxa"/>
              <w:tblLook w:val="04A0" w:firstRow="1" w:lastRow="0" w:firstColumn="1" w:lastColumn="0" w:noHBand="0" w:noVBand="1"/>
            </w:tblPr>
            <w:tblGrid>
              <w:gridCol w:w="2547"/>
              <w:gridCol w:w="3685"/>
              <w:gridCol w:w="3544"/>
            </w:tblGrid>
            <w:tr w:rsidR="00692E71" w:rsidRPr="001E3185" w14:paraId="7D55C391" w14:textId="77777777" w:rsidTr="008E0250">
              <w:trPr>
                <w:trHeight w:val="340"/>
              </w:trPr>
              <w:tc>
                <w:tcPr>
                  <w:tcW w:w="9776" w:type="dxa"/>
                  <w:gridSpan w:val="3"/>
                  <w:vAlign w:val="center"/>
                </w:tcPr>
                <w:p w14:paraId="2D324A36" w14:textId="77777777" w:rsidR="00692E71" w:rsidRPr="001E3185" w:rsidRDefault="00692E71" w:rsidP="008E0250">
                  <w:pPr>
                    <w:autoSpaceDE w:val="0"/>
                    <w:autoSpaceDN w:val="0"/>
                    <w:spacing w:before="120"/>
                    <w:jc w:val="center"/>
                    <w:rPr>
                      <w:rFonts w:cs="Arial"/>
                      <w:sz w:val="18"/>
                      <w:szCs w:val="18"/>
                    </w:rPr>
                  </w:pPr>
                  <w:r w:rsidRPr="001E3185">
                    <w:rPr>
                      <w:rFonts w:cs="Arial"/>
                    </w:rPr>
                    <w:t>Storage – Treatment by industrial dipping</w:t>
                  </w:r>
                </w:p>
              </w:tc>
            </w:tr>
            <w:tr w:rsidR="00692E71" w:rsidRPr="001E3185" w14:paraId="7BF47DC5" w14:textId="77777777" w:rsidTr="008E0250">
              <w:trPr>
                <w:trHeight w:val="340"/>
              </w:trPr>
              <w:tc>
                <w:tcPr>
                  <w:tcW w:w="2547" w:type="dxa"/>
                  <w:vAlign w:val="center"/>
                </w:tcPr>
                <w:p w14:paraId="5E3C9C97" w14:textId="77777777" w:rsidR="00692E71" w:rsidRPr="001E3185" w:rsidRDefault="00692E71" w:rsidP="008E0250">
                  <w:pPr>
                    <w:autoSpaceDE w:val="0"/>
                    <w:autoSpaceDN w:val="0"/>
                    <w:jc w:val="center"/>
                    <w:rPr>
                      <w:rFonts w:cs="Arial"/>
                      <w:sz w:val="18"/>
                      <w:szCs w:val="18"/>
                    </w:rPr>
                  </w:pPr>
                  <w:r w:rsidRPr="001E3185">
                    <w:rPr>
                      <w:rFonts w:cs="Arial"/>
                      <w:sz w:val="18"/>
                      <w:szCs w:val="18"/>
                      <w:lang w:eastAsia="en-GB"/>
                    </w:rPr>
                    <w:t>SURFACE WATER</w:t>
                  </w:r>
                </w:p>
              </w:tc>
              <w:tc>
                <w:tcPr>
                  <w:tcW w:w="3685" w:type="dxa"/>
                  <w:vAlign w:val="center"/>
                </w:tcPr>
                <w:p w14:paraId="56504411" w14:textId="77777777" w:rsidR="00692E71" w:rsidRPr="001E3185" w:rsidRDefault="00692E71" w:rsidP="008E0250">
                  <w:pPr>
                    <w:autoSpaceDE w:val="0"/>
                    <w:autoSpaceDN w:val="0"/>
                    <w:jc w:val="center"/>
                    <w:rPr>
                      <w:rFonts w:cs="Arial"/>
                      <w:sz w:val="18"/>
                      <w:szCs w:val="18"/>
                    </w:rPr>
                  </w:pPr>
                  <w:r w:rsidRPr="001E3185">
                    <w:rPr>
                      <w:rFonts w:cs="Arial"/>
                      <w:iCs/>
                      <w:sz w:val="18"/>
                      <w:szCs w:val="18"/>
                    </w:rPr>
                    <w:t>PEC</w:t>
                  </w:r>
                  <w:r w:rsidRPr="001E3185">
                    <w:rPr>
                      <w:rFonts w:cs="Arial"/>
                      <w:sz w:val="18"/>
                      <w:szCs w:val="18"/>
                    </w:rPr>
                    <w:t xml:space="preserve"> [µg.L</w:t>
                  </w:r>
                  <w:r w:rsidRPr="001E3185">
                    <w:rPr>
                      <w:rFonts w:cs="Arial"/>
                      <w:sz w:val="18"/>
                      <w:szCs w:val="18"/>
                      <w:vertAlign w:val="superscript"/>
                    </w:rPr>
                    <w:t>-1</w:t>
                  </w:r>
                  <w:r w:rsidRPr="001E3185">
                    <w:rPr>
                      <w:rFonts w:cs="Arial"/>
                      <w:sz w:val="18"/>
                      <w:szCs w:val="18"/>
                    </w:rPr>
                    <w:t>]</w:t>
                  </w:r>
                </w:p>
              </w:tc>
              <w:tc>
                <w:tcPr>
                  <w:tcW w:w="3544" w:type="dxa"/>
                  <w:vAlign w:val="center"/>
                </w:tcPr>
                <w:p w14:paraId="605019A3" w14:textId="77777777" w:rsidR="00692E71" w:rsidRPr="001E3185" w:rsidRDefault="00692E71" w:rsidP="008E0250">
                  <w:pPr>
                    <w:autoSpaceDE w:val="0"/>
                    <w:autoSpaceDN w:val="0"/>
                    <w:jc w:val="center"/>
                    <w:rPr>
                      <w:rFonts w:cs="Arial"/>
                      <w:sz w:val="18"/>
                      <w:szCs w:val="18"/>
                    </w:rPr>
                  </w:pPr>
                  <w:r w:rsidRPr="001E3185">
                    <w:rPr>
                      <w:rFonts w:cs="Arial"/>
                      <w:sz w:val="18"/>
                      <w:szCs w:val="18"/>
                    </w:rPr>
                    <w:t>PEC/PNEC</w:t>
                  </w:r>
                </w:p>
              </w:tc>
            </w:tr>
            <w:tr w:rsidR="00692E71" w:rsidRPr="001E3185" w14:paraId="235A8C0C" w14:textId="77777777" w:rsidTr="008E0250">
              <w:trPr>
                <w:trHeight w:val="283"/>
              </w:trPr>
              <w:tc>
                <w:tcPr>
                  <w:tcW w:w="2547" w:type="dxa"/>
                  <w:vAlign w:val="center"/>
                </w:tcPr>
                <w:p w14:paraId="6D89DC8F" w14:textId="77777777" w:rsidR="00692E71" w:rsidRPr="001E3185" w:rsidRDefault="00692E71" w:rsidP="008E0250">
                  <w:pPr>
                    <w:autoSpaceDE w:val="0"/>
                    <w:autoSpaceDN w:val="0"/>
                    <w:rPr>
                      <w:rFonts w:cs="Arial"/>
                      <w:sz w:val="18"/>
                      <w:szCs w:val="18"/>
                    </w:rPr>
                  </w:pPr>
                  <w:r w:rsidRPr="001E3185">
                    <w:rPr>
                      <w:rFonts w:cs="Arial"/>
                      <w:sz w:val="18"/>
                      <w:szCs w:val="18"/>
                    </w:rPr>
                    <w:t>Tebuconazole</w:t>
                  </w:r>
                </w:p>
              </w:tc>
              <w:tc>
                <w:tcPr>
                  <w:tcW w:w="3685" w:type="dxa"/>
                  <w:vAlign w:val="center"/>
                </w:tcPr>
                <w:p w14:paraId="5CDF4CAA" w14:textId="77777777" w:rsidR="00692E71" w:rsidRPr="001E3185" w:rsidRDefault="00692E71" w:rsidP="008E0250">
                  <w:pPr>
                    <w:autoSpaceDE w:val="0"/>
                    <w:autoSpaceDN w:val="0"/>
                    <w:jc w:val="center"/>
                    <w:rPr>
                      <w:rFonts w:cs="Arial"/>
                      <w:sz w:val="18"/>
                      <w:szCs w:val="18"/>
                    </w:rPr>
                  </w:pPr>
                  <w:r w:rsidRPr="001E3185">
                    <w:rPr>
                      <w:rFonts w:cs="Arial"/>
                    </w:rPr>
                    <w:t>4.34E-02</w:t>
                  </w:r>
                </w:p>
              </w:tc>
              <w:tc>
                <w:tcPr>
                  <w:tcW w:w="3544" w:type="dxa"/>
                  <w:vAlign w:val="center"/>
                </w:tcPr>
                <w:p w14:paraId="7D8CF331" w14:textId="77777777" w:rsidR="00692E71" w:rsidRPr="001E3185" w:rsidRDefault="00692E71" w:rsidP="008E0250">
                  <w:pPr>
                    <w:autoSpaceDE w:val="0"/>
                    <w:autoSpaceDN w:val="0"/>
                    <w:jc w:val="center"/>
                    <w:rPr>
                      <w:rFonts w:cs="Arial"/>
                    </w:rPr>
                  </w:pPr>
                  <w:r w:rsidRPr="001E3185">
                    <w:rPr>
                      <w:rFonts w:cs="Arial"/>
                    </w:rPr>
                    <w:t>0.04</w:t>
                  </w:r>
                </w:p>
              </w:tc>
            </w:tr>
            <w:tr w:rsidR="00692E71" w:rsidRPr="001E3185" w14:paraId="658D4D90" w14:textId="77777777" w:rsidTr="008E0250">
              <w:trPr>
                <w:trHeight w:val="283"/>
              </w:trPr>
              <w:tc>
                <w:tcPr>
                  <w:tcW w:w="2547" w:type="dxa"/>
                  <w:vAlign w:val="center"/>
                </w:tcPr>
                <w:p w14:paraId="63BB7BE7" w14:textId="77777777" w:rsidR="00692E71" w:rsidRPr="001E3185" w:rsidRDefault="00692E71" w:rsidP="008E0250">
                  <w:pPr>
                    <w:autoSpaceDE w:val="0"/>
                    <w:autoSpaceDN w:val="0"/>
                    <w:rPr>
                      <w:rFonts w:cs="Arial"/>
                      <w:sz w:val="18"/>
                      <w:szCs w:val="18"/>
                    </w:rPr>
                  </w:pPr>
                  <w:r w:rsidRPr="001E3185">
                    <w:rPr>
                      <w:rFonts w:cs="Arial"/>
                      <w:sz w:val="18"/>
                      <w:szCs w:val="18"/>
                    </w:rPr>
                    <w:t>Propiconazole</w:t>
                  </w:r>
                </w:p>
              </w:tc>
              <w:tc>
                <w:tcPr>
                  <w:tcW w:w="3685" w:type="dxa"/>
                  <w:vAlign w:val="center"/>
                </w:tcPr>
                <w:p w14:paraId="2A8D3B10" w14:textId="77777777" w:rsidR="00692E71" w:rsidRPr="001E3185" w:rsidRDefault="00692E71" w:rsidP="008E0250">
                  <w:pPr>
                    <w:autoSpaceDE w:val="0"/>
                    <w:autoSpaceDN w:val="0"/>
                    <w:jc w:val="center"/>
                    <w:rPr>
                      <w:rFonts w:cs="Arial"/>
                      <w:sz w:val="18"/>
                      <w:szCs w:val="18"/>
                    </w:rPr>
                  </w:pPr>
                  <w:r w:rsidRPr="001E3185">
                    <w:rPr>
                      <w:rFonts w:cs="Arial"/>
                    </w:rPr>
                    <w:t>9.87E-02</w:t>
                  </w:r>
                </w:p>
              </w:tc>
              <w:tc>
                <w:tcPr>
                  <w:tcW w:w="3544" w:type="dxa"/>
                  <w:vAlign w:val="center"/>
                </w:tcPr>
                <w:p w14:paraId="071FAF1B" w14:textId="77777777" w:rsidR="00692E71" w:rsidRPr="001E3185" w:rsidRDefault="00692E71" w:rsidP="008E0250">
                  <w:pPr>
                    <w:autoSpaceDE w:val="0"/>
                    <w:autoSpaceDN w:val="0"/>
                    <w:jc w:val="center"/>
                    <w:rPr>
                      <w:rFonts w:cs="Arial"/>
                    </w:rPr>
                  </w:pPr>
                  <w:r w:rsidRPr="001E3185">
                    <w:rPr>
                      <w:rFonts w:cs="Arial"/>
                    </w:rPr>
                    <w:t>0.01</w:t>
                  </w:r>
                </w:p>
              </w:tc>
            </w:tr>
            <w:tr w:rsidR="00692E71" w:rsidRPr="001E3185" w14:paraId="08E09ACB" w14:textId="77777777" w:rsidTr="008E0250">
              <w:trPr>
                <w:trHeight w:val="283"/>
              </w:trPr>
              <w:tc>
                <w:tcPr>
                  <w:tcW w:w="2547" w:type="dxa"/>
                  <w:vAlign w:val="center"/>
                </w:tcPr>
                <w:p w14:paraId="78E57456" w14:textId="77777777" w:rsidR="00692E71" w:rsidRPr="001E3185" w:rsidRDefault="00692E71" w:rsidP="008E0250">
                  <w:pPr>
                    <w:autoSpaceDE w:val="0"/>
                    <w:autoSpaceDN w:val="0"/>
                    <w:rPr>
                      <w:rFonts w:cs="Arial"/>
                      <w:sz w:val="18"/>
                      <w:szCs w:val="18"/>
                    </w:rPr>
                  </w:pPr>
                  <w:r w:rsidRPr="001E3185">
                    <w:rPr>
                      <w:rFonts w:cs="Arial"/>
                      <w:sz w:val="18"/>
                      <w:szCs w:val="18"/>
                    </w:rPr>
                    <w:t>Cypermethrin</w:t>
                  </w:r>
                </w:p>
              </w:tc>
              <w:tc>
                <w:tcPr>
                  <w:tcW w:w="3685" w:type="dxa"/>
                  <w:vAlign w:val="center"/>
                </w:tcPr>
                <w:p w14:paraId="15ACFE15" w14:textId="77777777" w:rsidR="00692E71" w:rsidRPr="001E3185" w:rsidRDefault="00692E71" w:rsidP="008E0250">
                  <w:pPr>
                    <w:autoSpaceDE w:val="0"/>
                    <w:autoSpaceDN w:val="0"/>
                    <w:jc w:val="center"/>
                    <w:rPr>
                      <w:rFonts w:cs="Arial"/>
                      <w:sz w:val="18"/>
                      <w:szCs w:val="18"/>
                    </w:rPr>
                  </w:pPr>
                  <w:r w:rsidRPr="001E3185">
                    <w:rPr>
                      <w:rFonts w:cs="Arial"/>
                    </w:rPr>
                    <w:t>2.24E-04</w:t>
                  </w:r>
                </w:p>
              </w:tc>
              <w:tc>
                <w:tcPr>
                  <w:tcW w:w="3544" w:type="dxa"/>
                  <w:vAlign w:val="center"/>
                </w:tcPr>
                <w:p w14:paraId="289C2267" w14:textId="77777777" w:rsidR="00692E71" w:rsidRPr="001E3185" w:rsidRDefault="00692E71" w:rsidP="008E0250">
                  <w:pPr>
                    <w:autoSpaceDE w:val="0"/>
                    <w:autoSpaceDN w:val="0"/>
                    <w:jc w:val="center"/>
                    <w:rPr>
                      <w:rFonts w:cs="Arial"/>
                    </w:rPr>
                  </w:pPr>
                  <w:r w:rsidRPr="001E3185">
                    <w:rPr>
                      <w:rFonts w:cs="Arial"/>
                    </w:rPr>
                    <w:t>0.06</w:t>
                  </w:r>
                </w:p>
              </w:tc>
            </w:tr>
            <w:tr w:rsidR="00692E71" w:rsidRPr="001E3185" w14:paraId="0DAA14E3" w14:textId="77777777" w:rsidTr="008E0250">
              <w:trPr>
                <w:trHeight w:val="283"/>
              </w:trPr>
              <w:tc>
                <w:tcPr>
                  <w:tcW w:w="2547" w:type="dxa"/>
                  <w:vAlign w:val="center"/>
                </w:tcPr>
                <w:p w14:paraId="2B9F1B44" w14:textId="77777777" w:rsidR="00692E71" w:rsidRPr="001E3185" w:rsidRDefault="00692E71" w:rsidP="008E0250">
                  <w:pPr>
                    <w:autoSpaceDE w:val="0"/>
                    <w:autoSpaceDN w:val="0"/>
                    <w:rPr>
                      <w:rFonts w:cs="Arial"/>
                      <w:sz w:val="18"/>
                      <w:szCs w:val="18"/>
                    </w:rPr>
                  </w:pPr>
                  <w:r w:rsidRPr="001E3185">
                    <w:rPr>
                      <w:rFonts w:cs="Arial"/>
                      <w:sz w:val="18"/>
                      <w:szCs w:val="18"/>
                    </w:rPr>
                    <w:t>IPBC</w:t>
                  </w:r>
                </w:p>
              </w:tc>
              <w:tc>
                <w:tcPr>
                  <w:tcW w:w="3685" w:type="dxa"/>
                  <w:vAlign w:val="center"/>
                </w:tcPr>
                <w:p w14:paraId="11E5B80D" w14:textId="77777777" w:rsidR="00692E71" w:rsidRPr="001E3185" w:rsidRDefault="00692E71" w:rsidP="008E0250">
                  <w:pPr>
                    <w:autoSpaceDE w:val="0"/>
                    <w:autoSpaceDN w:val="0"/>
                    <w:jc w:val="center"/>
                    <w:rPr>
                      <w:rFonts w:cs="Arial"/>
                      <w:sz w:val="18"/>
                      <w:szCs w:val="18"/>
                    </w:rPr>
                  </w:pPr>
                  <w:r w:rsidRPr="001E3185">
                    <w:rPr>
                      <w:rFonts w:cs="Arial"/>
                    </w:rPr>
                    <w:t>2.49E-02</w:t>
                  </w:r>
                </w:p>
              </w:tc>
              <w:tc>
                <w:tcPr>
                  <w:tcW w:w="3544" w:type="dxa"/>
                  <w:vAlign w:val="center"/>
                </w:tcPr>
                <w:p w14:paraId="34D294FA" w14:textId="77777777" w:rsidR="00692E71" w:rsidRPr="001E3185" w:rsidRDefault="00692E71" w:rsidP="008E0250">
                  <w:pPr>
                    <w:autoSpaceDE w:val="0"/>
                    <w:autoSpaceDN w:val="0"/>
                    <w:jc w:val="center"/>
                    <w:rPr>
                      <w:rFonts w:cs="Arial"/>
                    </w:rPr>
                  </w:pPr>
                  <w:r w:rsidRPr="001E3185">
                    <w:rPr>
                      <w:rFonts w:cs="Arial"/>
                    </w:rPr>
                    <w:t>0.05</w:t>
                  </w:r>
                </w:p>
              </w:tc>
            </w:tr>
            <w:tr w:rsidR="00692E71" w:rsidRPr="001E3185" w14:paraId="0C01B1C8" w14:textId="77777777" w:rsidTr="008E0250">
              <w:trPr>
                <w:trHeight w:val="283"/>
              </w:trPr>
              <w:tc>
                <w:tcPr>
                  <w:tcW w:w="2547" w:type="dxa"/>
                  <w:vAlign w:val="center"/>
                </w:tcPr>
                <w:p w14:paraId="50F008AD" w14:textId="77777777" w:rsidR="00692E71" w:rsidRPr="001E3185" w:rsidRDefault="00692E71" w:rsidP="008E0250">
                  <w:pPr>
                    <w:autoSpaceDE w:val="0"/>
                    <w:autoSpaceDN w:val="0"/>
                    <w:rPr>
                      <w:rFonts w:cs="Arial"/>
                      <w:sz w:val="18"/>
                      <w:szCs w:val="18"/>
                    </w:rPr>
                  </w:pPr>
                  <w:r w:rsidRPr="001E3185">
                    <w:rPr>
                      <w:rFonts w:cs="Arial"/>
                      <w:sz w:val="18"/>
                      <w:szCs w:val="18"/>
                    </w:rPr>
                    <w:t>PBC</w:t>
                  </w:r>
                </w:p>
              </w:tc>
              <w:tc>
                <w:tcPr>
                  <w:tcW w:w="3685" w:type="dxa"/>
                  <w:vAlign w:val="center"/>
                </w:tcPr>
                <w:p w14:paraId="2389C83D" w14:textId="77777777" w:rsidR="00692E71" w:rsidRPr="001E3185" w:rsidRDefault="00692E71" w:rsidP="008E0250">
                  <w:pPr>
                    <w:autoSpaceDE w:val="0"/>
                    <w:autoSpaceDN w:val="0"/>
                    <w:jc w:val="center"/>
                    <w:rPr>
                      <w:rFonts w:cs="Arial"/>
                      <w:sz w:val="18"/>
                      <w:szCs w:val="18"/>
                    </w:rPr>
                  </w:pPr>
                  <w:r w:rsidRPr="001E3185">
                    <w:rPr>
                      <w:rFonts w:cs="Arial"/>
                    </w:rPr>
                    <w:t>1.38E-02</w:t>
                  </w:r>
                </w:p>
              </w:tc>
              <w:tc>
                <w:tcPr>
                  <w:tcW w:w="3544" w:type="dxa"/>
                  <w:vAlign w:val="center"/>
                </w:tcPr>
                <w:p w14:paraId="77D39B82" w14:textId="77777777" w:rsidR="00692E71" w:rsidRPr="001E3185" w:rsidRDefault="00692E71" w:rsidP="008E0250">
                  <w:pPr>
                    <w:autoSpaceDE w:val="0"/>
                    <w:autoSpaceDN w:val="0"/>
                    <w:jc w:val="center"/>
                    <w:rPr>
                      <w:rFonts w:cs="Arial"/>
                    </w:rPr>
                  </w:pPr>
                  <w:r w:rsidRPr="001E3185">
                    <w:rPr>
                      <w:rFonts w:cs="Arial"/>
                    </w:rPr>
                    <w:t>3.33E-04</w:t>
                  </w:r>
                </w:p>
              </w:tc>
            </w:tr>
            <w:tr w:rsidR="00692E71" w:rsidRPr="001E3185" w14:paraId="7CE0AC81" w14:textId="77777777" w:rsidTr="008E0250">
              <w:trPr>
                <w:trHeight w:val="283"/>
              </w:trPr>
              <w:tc>
                <w:tcPr>
                  <w:tcW w:w="2547" w:type="dxa"/>
                  <w:vAlign w:val="center"/>
                </w:tcPr>
                <w:p w14:paraId="380DFA55" w14:textId="77777777" w:rsidR="00692E71" w:rsidRPr="001E3185" w:rsidRDefault="00692E71" w:rsidP="008E0250">
                  <w:pPr>
                    <w:autoSpaceDE w:val="0"/>
                    <w:autoSpaceDN w:val="0"/>
                    <w:rPr>
                      <w:rFonts w:cs="Arial"/>
                      <w:sz w:val="18"/>
                      <w:szCs w:val="18"/>
                    </w:rPr>
                  </w:pPr>
                  <w:r w:rsidRPr="001E3185">
                    <w:rPr>
                      <w:rFonts w:cs="Arial"/>
                      <w:sz w:val="18"/>
                      <w:szCs w:val="18"/>
                      <w:lang w:eastAsia="en-GB"/>
                    </w:rPr>
                    <w:t>PEC/PNEC</w:t>
                  </w:r>
                </w:p>
              </w:tc>
              <w:tc>
                <w:tcPr>
                  <w:tcW w:w="3685" w:type="dxa"/>
                  <w:vAlign w:val="center"/>
                </w:tcPr>
                <w:p w14:paraId="0B495CF5" w14:textId="77777777" w:rsidR="00692E71" w:rsidRPr="001E3185" w:rsidRDefault="00692E71" w:rsidP="008E0250">
                  <w:pPr>
                    <w:autoSpaceDE w:val="0"/>
                    <w:autoSpaceDN w:val="0"/>
                    <w:jc w:val="center"/>
                    <w:rPr>
                      <w:rFonts w:cs="Arial"/>
                      <w:sz w:val="18"/>
                      <w:szCs w:val="18"/>
                    </w:rPr>
                  </w:pPr>
                </w:p>
              </w:tc>
              <w:tc>
                <w:tcPr>
                  <w:tcW w:w="3544" w:type="dxa"/>
                  <w:vAlign w:val="center"/>
                </w:tcPr>
                <w:p w14:paraId="187FE0D3" w14:textId="77777777" w:rsidR="00692E71" w:rsidRPr="001E3185" w:rsidRDefault="00692E71" w:rsidP="008E0250">
                  <w:pPr>
                    <w:autoSpaceDE w:val="0"/>
                    <w:autoSpaceDN w:val="0"/>
                    <w:jc w:val="center"/>
                    <w:rPr>
                      <w:rFonts w:cs="Arial"/>
                    </w:rPr>
                  </w:pPr>
                  <w:r w:rsidRPr="001E3185">
                    <w:rPr>
                      <w:rFonts w:cs="Arial"/>
                    </w:rPr>
                    <w:t>0.16</w:t>
                  </w:r>
                </w:p>
              </w:tc>
            </w:tr>
            <w:tr w:rsidR="00692E71" w:rsidRPr="001E3185" w14:paraId="653853DB" w14:textId="77777777" w:rsidTr="008E0250">
              <w:trPr>
                <w:trHeight w:val="340"/>
              </w:trPr>
              <w:tc>
                <w:tcPr>
                  <w:tcW w:w="2547" w:type="dxa"/>
                  <w:vAlign w:val="center"/>
                </w:tcPr>
                <w:p w14:paraId="5246D75C" w14:textId="77777777" w:rsidR="00692E71" w:rsidRPr="001E3185" w:rsidRDefault="00692E71" w:rsidP="008E0250">
                  <w:pPr>
                    <w:autoSpaceDE w:val="0"/>
                    <w:autoSpaceDN w:val="0"/>
                    <w:jc w:val="center"/>
                    <w:rPr>
                      <w:rFonts w:cs="Arial"/>
                      <w:sz w:val="18"/>
                      <w:szCs w:val="18"/>
                    </w:rPr>
                  </w:pPr>
                  <w:r w:rsidRPr="001E3185">
                    <w:rPr>
                      <w:rFonts w:cs="Arial"/>
                      <w:iCs/>
                      <w:sz w:val="18"/>
                      <w:szCs w:val="18"/>
                    </w:rPr>
                    <w:t>SEDIMENT</w:t>
                  </w:r>
                </w:p>
              </w:tc>
              <w:tc>
                <w:tcPr>
                  <w:tcW w:w="3685" w:type="dxa"/>
                  <w:vAlign w:val="center"/>
                </w:tcPr>
                <w:p w14:paraId="02C0C010" w14:textId="77777777" w:rsidR="00692E71" w:rsidRPr="001E3185" w:rsidRDefault="00692E71" w:rsidP="008E0250">
                  <w:pPr>
                    <w:autoSpaceDE w:val="0"/>
                    <w:autoSpaceDN w:val="0"/>
                    <w:jc w:val="center"/>
                    <w:rPr>
                      <w:rFonts w:cs="Arial"/>
                      <w:sz w:val="18"/>
                      <w:szCs w:val="18"/>
                    </w:rPr>
                  </w:pPr>
                  <w:r w:rsidRPr="001E3185">
                    <w:rPr>
                      <w:rFonts w:cs="Arial"/>
                      <w:iCs/>
                      <w:sz w:val="18"/>
                      <w:szCs w:val="18"/>
                    </w:rPr>
                    <w:t>PEC</w:t>
                  </w:r>
                  <w:r w:rsidRPr="001E3185">
                    <w:rPr>
                      <w:rFonts w:cs="Arial"/>
                      <w:sz w:val="18"/>
                      <w:szCs w:val="18"/>
                    </w:rPr>
                    <w:t xml:space="preserve"> [mg.kg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3544" w:type="dxa"/>
                  <w:vAlign w:val="center"/>
                </w:tcPr>
                <w:p w14:paraId="3794DEE9" w14:textId="77777777" w:rsidR="00692E71" w:rsidRPr="001E3185" w:rsidRDefault="00692E71" w:rsidP="008E0250">
                  <w:pPr>
                    <w:autoSpaceDE w:val="0"/>
                    <w:autoSpaceDN w:val="0"/>
                    <w:jc w:val="center"/>
                    <w:rPr>
                      <w:rFonts w:cs="Arial"/>
                      <w:sz w:val="18"/>
                      <w:szCs w:val="18"/>
                    </w:rPr>
                  </w:pPr>
                  <w:r w:rsidRPr="001E3185">
                    <w:rPr>
                      <w:rFonts w:cs="Arial"/>
                      <w:sz w:val="18"/>
                      <w:szCs w:val="18"/>
                    </w:rPr>
                    <w:t>PEC/PNEC</w:t>
                  </w:r>
                </w:p>
              </w:tc>
            </w:tr>
            <w:tr w:rsidR="00692E71" w:rsidRPr="001E3185" w14:paraId="46813EBF" w14:textId="77777777" w:rsidTr="008E0250">
              <w:trPr>
                <w:trHeight w:val="283"/>
              </w:trPr>
              <w:tc>
                <w:tcPr>
                  <w:tcW w:w="2547" w:type="dxa"/>
                  <w:vAlign w:val="center"/>
                </w:tcPr>
                <w:p w14:paraId="3CF5E6C7" w14:textId="77777777" w:rsidR="00692E71" w:rsidRPr="001E3185" w:rsidRDefault="00692E71" w:rsidP="008E0250">
                  <w:pPr>
                    <w:autoSpaceDE w:val="0"/>
                    <w:autoSpaceDN w:val="0"/>
                    <w:rPr>
                      <w:rFonts w:cs="Arial"/>
                      <w:sz w:val="18"/>
                      <w:szCs w:val="18"/>
                    </w:rPr>
                  </w:pPr>
                  <w:r w:rsidRPr="001E3185">
                    <w:rPr>
                      <w:rFonts w:cs="Arial"/>
                      <w:sz w:val="18"/>
                      <w:szCs w:val="18"/>
                    </w:rPr>
                    <w:t>Tebuconazole</w:t>
                  </w:r>
                </w:p>
              </w:tc>
              <w:tc>
                <w:tcPr>
                  <w:tcW w:w="3685" w:type="dxa"/>
                  <w:vAlign w:val="center"/>
                </w:tcPr>
                <w:p w14:paraId="40A3418D" w14:textId="77777777" w:rsidR="00692E71" w:rsidRPr="001E3185" w:rsidRDefault="00692E71" w:rsidP="008E0250">
                  <w:pPr>
                    <w:autoSpaceDE w:val="0"/>
                    <w:autoSpaceDN w:val="0"/>
                    <w:jc w:val="center"/>
                    <w:rPr>
                      <w:rFonts w:cs="Arial"/>
                    </w:rPr>
                  </w:pPr>
                  <w:r w:rsidRPr="001E3185">
                    <w:rPr>
                      <w:rFonts w:cs="Arial"/>
                    </w:rPr>
                    <w:t>9.71E-04</w:t>
                  </w:r>
                </w:p>
              </w:tc>
              <w:tc>
                <w:tcPr>
                  <w:tcW w:w="3544" w:type="dxa"/>
                  <w:vAlign w:val="center"/>
                </w:tcPr>
                <w:p w14:paraId="52168F38" w14:textId="77777777" w:rsidR="00692E71" w:rsidRPr="001E3185" w:rsidRDefault="00692E71" w:rsidP="008E0250">
                  <w:pPr>
                    <w:autoSpaceDE w:val="0"/>
                    <w:autoSpaceDN w:val="0"/>
                    <w:jc w:val="center"/>
                    <w:rPr>
                      <w:rFonts w:cs="Arial"/>
                    </w:rPr>
                  </w:pPr>
                  <w:r w:rsidRPr="001E3185">
                    <w:rPr>
                      <w:rFonts w:cs="Arial"/>
                    </w:rPr>
                    <w:t>0.002</w:t>
                  </w:r>
                </w:p>
              </w:tc>
            </w:tr>
            <w:tr w:rsidR="00692E71" w:rsidRPr="001E3185" w14:paraId="7FAFA4DB" w14:textId="77777777" w:rsidTr="008E0250">
              <w:trPr>
                <w:trHeight w:val="283"/>
              </w:trPr>
              <w:tc>
                <w:tcPr>
                  <w:tcW w:w="2547" w:type="dxa"/>
                  <w:vAlign w:val="center"/>
                </w:tcPr>
                <w:p w14:paraId="6750F256" w14:textId="77777777" w:rsidR="00692E71" w:rsidRPr="001E3185" w:rsidRDefault="00692E71" w:rsidP="008E0250">
                  <w:pPr>
                    <w:autoSpaceDE w:val="0"/>
                    <w:autoSpaceDN w:val="0"/>
                    <w:rPr>
                      <w:rFonts w:cs="Arial"/>
                      <w:sz w:val="18"/>
                      <w:szCs w:val="18"/>
                    </w:rPr>
                  </w:pPr>
                  <w:r w:rsidRPr="001E3185">
                    <w:rPr>
                      <w:rFonts w:cs="Arial"/>
                      <w:sz w:val="18"/>
                      <w:szCs w:val="18"/>
                    </w:rPr>
                    <w:t>Propiconazole</w:t>
                  </w:r>
                </w:p>
              </w:tc>
              <w:tc>
                <w:tcPr>
                  <w:tcW w:w="3685" w:type="dxa"/>
                  <w:vAlign w:val="center"/>
                </w:tcPr>
                <w:p w14:paraId="276DBBFD" w14:textId="77777777" w:rsidR="00692E71" w:rsidRPr="001E3185" w:rsidRDefault="00692E71" w:rsidP="008E0250">
                  <w:pPr>
                    <w:autoSpaceDE w:val="0"/>
                    <w:autoSpaceDN w:val="0"/>
                    <w:jc w:val="center"/>
                    <w:rPr>
                      <w:rFonts w:cs="Arial"/>
                    </w:rPr>
                  </w:pPr>
                  <w:r w:rsidRPr="001E3185">
                    <w:rPr>
                      <w:rFonts w:cs="Arial"/>
                    </w:rPr>
                    <w:t>2.10E-03</w:t>
                  </w:r>
                </w:p>
              </w:tc>
              <w:tc>
                <w:tcPr>
                  <w:tcW w:w="3544" w:type="dxa"/>
                  <w:vAlign w:val="center"/>
                </w:tcPr>
                <w:p w14:paraId="37D19E38" w14:textId="77777777" w:rsidR="00692E71" w:rsidRPr="001E3185" w:rsidRDefault="00692E71" w:rsidP="008E0250">
                  <w:pPr>
                    <w:autoSpaceDE w:val="0"/>
                    <w:autoSpaceDN w:val="0"/>
                    <w:jc w:val="center"/>
                    <w:rPr>
                      <w:rFonts w:cs="Arial"/>
                    </w:rPr>
                  </w:pPr>
                  <w:r w:rsidRPr="001E3185">
                    <w:rPr>
                      <w:rFonts w:cs="Arial"/>
                    </w:rPr>
                    <w:t>0.04</w:t>
                  </w:r>
                </w:p>
              </w:tc>
            </w:tr>
            <w:tr w:rsidR="00692E71" w:rsidRPr="001E3185" w14:paraId="39163E48" w14:textId="77777777" w:rsidTr="008E0250">
              <w:trPr>
                <w:trHeight w:val="283"/>
              </w:trPr>
              <w:tc>
                <w:tcPr>
                  <w:tcW w:w="2547" w:type="dxa"/>
                  <w:vAlign w:val="center"/>
                </w:tcPr>
                <w:p w14:paraId="10544F96" w14:textId="77777777" w:rsidR="00692E71" w:rsidRPr="001E3185" w:rsidRDefault="00692E71" w:rsidP="008E0250">
                  <w:pPr>
                    <w:autoSpaceDE w:val="0"/>
                    <w:autoSpaceDN w:val="0"/>
                    <w:rPr>
                      <w:rFonts w:cs="Arial"/>
                      <w:sz w:val="18"/>
                      <w:szCs w:val="18"/>
                    </w:rPr>
                  </w:pPr>
                  <w:r w:rsidRPr="001E3185">
                    <w:rPr>
                      <w:rFonts w:cs="Arial"/>
                      <w:sz w:val="18"/>
                      <w:szCs w:val="18"/>
                    </w:rPr>
                    <w:t>Cypermethrin*</w:t>
                  </w:r>
                </w:p>
              </w:tc>
              <w:tc>
                <w:tcPr>
                  <w:tcW w:w="3685" w:type="dxa"/>
                  <w:vAlign w:val="center"/>
                </w:tcPr>
                <w:p w14:paraId="0D7DE1DF" w14:textId="77777777" w:rsidR="00692E71" w:rsidRPr="001E3185" w:rsidRDefault="00692E71" w:rsidP="008E0250">
                  <w:pPr>
                    <w:autoSpaceDE w:val="0"/>
                    <w:autoSpaceDN w:val="0"/>
                    <w:jc w:val="center"/>
                    <w:rPr>
                      <w:rFonts w:cs="Arial"/>
                    </w:rPr>
                  </w:pPr>
                  <w:r w:rsidRPr="001E3185">
                    <w:rPr>
                      <w:rFonts w:cs="Arial"/>
                    </w:rPr>
                    <w:t>2.80E-03</w:t>
                  </w:r>
                </w:p>
              </w:tc>
              <w:tc>
                <w:tcPr>
                  <w:tcW w:w="3544" w:type="dxa"/>
                  <w:vAlign w:val="center"/>
                </w:tcPr>
                <w:p w14:paraId="314EDA37" w14:textId="77777777" w:rsidR="00692E71" w:rsidRPr="001E3185" w:rsidRDefault="00692E71" w:rsidP="008E0250">
                  <w:pPr>
                    <w:autoSpaceDE w:val="0"/>
                    <w:autoSpaceDN w:val="0"/>
                    <w:jc w:val="center"/>
                    <w:rPr>
                      <w:rFonts w:cs="Arial"/>
                    </w:rPr>
                  </w:pPr>
                  <w:r w:rsidRPr="001E3185">
                    <w:rPr>
                      <w:rFonts w:cs="Arial"/>
                    </w:rPr>
                    <w:t>0.56</w:t>
                  </w:r>
                </w:p>
              </w:tc>
            </w:tr>
            <w:tr w:rsidR="00692E71" w:rsidRPr="001E3185" w14:paraId="09B88279" w14:textId="77777777" w:rsidTr="008E0250">
              <w:trPr>
                <w:trHeight w:val="283"/>
              </w:trPr>
              <w:tc>
                <w:tcPr>
                  <w:tcW w:w="2547" w:type="dxa"/>
                  <w:vAlign w:val="center"/>
                </w:tcPr>
                <w:p w14:paraId="256022E1" w14:textId="77777777" w:rsidR="00692E71" w:rsidRPr="001E3185" w:rsidRDefault="00692E71" w:rsidP="008E0250">
                  <w:pPr>
                    <w:autoSpaceDE w:val="0"/>
                    <w:autoSpaceDN w:val="0"/>
                    <w:rPr>
                      <w:rFonts w:cs="Arial"/>
                      <w:sz w:val="18"/>
                      <w:szCs w:val="18"/>
                    </w:rPr>
                  </w:pPr>
                  <w:r w:rsidRPr="001E3185">
                    <w:rPr>
                      <w:rFonts w:cs="Arial"/>
                      <w:sz w:val="18"/>
                      <w:szCs w:val="18"/>
                    </w:rPr>
                    <w:t>PBC</w:t>
                  </w:r>
                </w:p>
              </w:tc>
              <w:tc>
                <w:tcPr>
                  <w:tcW w:w="3685" w:type="dxa"/>
                  <w:vAlign w:val="center"/>
                </w:tcPr>
                <w:p w14:paraId="7426D997" w14:textId="77777777" w:rsidR="00692E71" w:rsidRPr="001E3185" w:rsidRDefault="00692E71" w:rsidP="008E0250">
                  <w:pPr>
                    <w:autoSpaceDE w:val="0"/>
                    <w:autoSpaceDN w:val="0"/>
                    <w:jc w:val="center"/>
                    <w:rPr>
                      <w:rFonts w:cs="Arial"/>
                    </w:rPr>
                  </w:pPr>
                  <w:r w:rsidRPr="001E3185">
                    <w:rPr>
                      <w:rFonts w:cs="Arial"/>
                    </w:rPr>
                    <w:t>7.01E-05</w:t>
                  </w:r>
                </w:p>
              </w:tc>
              <w:tc>
                <w:tcPr>
                  <w:tcW w:w="3544" w:type="dxa"/>
                  <w:vAlign w:val="center"/>
                </w:tcPr>
                <w:p w14:paraId="11767D7B" w14:textId="77777777" w:rsidR="00692E71" w:rsidRPr="001E3185" w:rsidRDefault="00692E71" w:rsidP="008E0250">
                  <w:pPr>
                    <w:autoSpaceDE w:val="0"/>
                    <w:autoSpaceDN w:val="0"/>
                    <w:jc w:val="center"/>
                    <w:rPr>
                      <w:rFonts w:cs="Arial"/>
                    </w:rPr>
                  </w:pPr>
                  <w:r w:rsidRPr="001E3185">
                    <w:rPr>
                      <w:rFonts w:cs="Arial"/>
                    </w:rPr>
                    <w:t>3.33E-04</w:t>
                  </w:r>
                </w:p>
              </w:tc>
            </w:tr>
            <w:tr w:rsidR="00692E71" w:rsidRPr="001E3185" w14:paraId="20B9D35F" w14:textId="77777777" w:rsidTr="008E0250">
              <w:trPr>
                <w:trHeight w:val="283"/>
              </w:trPr>
              <w:tc>
                <w:tcPr>
                  <w:tcW w:w="2547" w:type="dxa"/>
                  <w:vAlign w:val="center"/>
                </w:tcPr>
                <w:p w14:paraId="06720492" w14:textId="77777777" w:rsidR="00692E71" w:rsidRPr="001E3185" w:rsidRDefault="00692E71" w:rsidP="008E0250">
                  <w:pPr>
                    <w:autoSpaceDE w:val="0"/>
                    <w:autoSpaceDN w:val="0"/>
                    <w:rPr>
                      <w:rFonts w:cs="Arial"/>
                      <w:sz w:val="18"/>
                      <w:szCs w:val="18"/>
                    </w:rPr>
                  </w:pPr>
                  <w:r w:rsidRPr="001E3185">
                    <w:rPr>
                      <w:rFonts w:cs="Arial"/>
                      <w:sz w:val="18"/>
                      <w:szCs w:val="18"/>
                      <w:lang w:eastAsia="en-GB"/>
                    </w:rPr>
                    <w:lastRenderedPageBreak/>
                    <w:t>PEC/PNEC</w:t>
                  </w:r>
                </w:p>
              </w:tc>
              <w:tc>
                <w:tcPr>
                  <w:tcW w:w="3685" w:type="dxa"/>
                  <w:vAlign w:val="center"/>
                </w:tcPr>
                <w:p w14:paraId="5F2619BF" w14:textId="77777777" w:rsidR="00692E71" w:rsidRPr="001E3185" w:rsidRDefault="00692E71" w:rsidP="008E0250">
                  <w:pPr>
                    <w:autoSpaceDE w:val="0"/>
                    <w:autoSpaceDN w:val="0"/>
                    <w:jc w:val="center"/>
                    <w:rPr>
                      <w:rFonts w:cs="Arial"/>
                    </w:rPr>
                  </w:pPr>
                </w:p>
              </w:tc>
              <w:tc>
                <w:tcPr>
                  <w:tcW w:w="3544" w:type="dxa"/>
                  <w:vAlign w:val="center"/>
                </w:tcPr>
                <w:p w14:paraId="53B6A3E1" w14:textId="77777777" w:rsidR="00692E71" w:rsidRPr="001E3185" w:rsidRDefault="00692E71" w:rsidP="008E0250">
                  <w:pPr>
                    <w:autoSpaceDE w:val="0"/>
                    <w:autoSpaceDN w:val="0"/>
                    <w:jc w:val="center"/>
                    <w:rPr>
                      <w:rFonts w:cs="Arial"/>
                    </w:rPr>
                  </w:pPr>
                  <w:r w:rsidRPr="001E3185">
                    <w:rPr>
                      <w:rFonts w:cs="Arial"/>
                    </w:rPr>
                    <w:t>0.60</w:t>
                  </w:r>
                </w:p>
              </w:tc>
            </w:tr>
          </w:tbl>
          <w:p w14:paraId="13EE94D1" w14:textId="77777777" w:rsidR="00692E71" w:rsidRPr="001E3185" w:rsidRDefault="00692E71" w:rsidP="008E0250">
            <w:pPr>
              <w:autoSpaceDE w:val="0"/>
              <w:autoSpaceDN w:val="0"/>
              <w:rPr>
                <w:rFonts w:cs="Arial"/>
                <w:sz w:val="18"/>
                <w:szCs w:val="18"/>
                <w:lang w:eastAsia="en-GB"/>
              </w:rPr>
            </w:pPr>
            <w:r w:rsidRPr="001E3185">
              <w:rPr>
                <w:rFonts w:cs="Arial"/>
                <w:sz w:val="18"/>
                <w:szCs w:val="18"/>
                <w:lang w:eastAsia="en-GB"/>
              </w:rPr>
              <w:t>* An additional factor of 10 has been considered as PNECsed was defined using the EPM method</w:t>
            </w:r>
          </w:p>
          <w:p w14:paraId="42CFDD55" w14:textId="77777777" w:rsidR="00692E71" w:rsidRPr="001E3185" w:rsidRDefault="00692E71" w:rsidP="008E0250">
            <w:pPr>
              <w:autoSpaceDE w:val="0"/>
              <w:autoSpaceDN w:val="0"/>
              <w:ind w:right="142"/>
              <w:rPr>
                <w:rFonts w:cs="Arial"/>
              </w:rPr>
            </w:pPr>
          </w:p>
          <w:p w14:paraId="3B6AE3B1"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The calculated sum of PEC/PNEC ratios for sediment is below 1. </w:t>
            </w:r>
            <w:r w:rsidRPr="001E3185">
              <w:rPr>
                <w:rFonts w:cs="Arial"/>
              </w:rPr>
              <w:t>In the storage scenario following industrial application, no risk was identified in surface water and sediment</w:t>
            </w:r>
            <w:r w:rsidRPr="001E3185">
              <w:rPr>
                <w:rFonts w:cs="Arial"/>
                <w:lang w:eastAsia="en-GB"/>
              </w:rPr>
              <w:t>.</w:t>
            </w:r>
          </w:p>
          <w:p w14:paraId="0EADC0AA" w14:textId="77777777" w:rsidR="00692E71" w:rsidRPr="001E3185" w:rsidRDefault="00692E71" w:rsidP="008E0250">
            <w:pPr>
              <w:autoSpaceDE w:val="0"/>
              <w:autoSpaceDN w:val="0"/>
              <w:ind w:right="142"/>
              <w:rPr>
                <w:rFonts w:cs="Arial"/>
              </w:rPr>
            </w:pPr>
          </w:p>
          <w:p w14:paraId="3AC4F88C" w14:textId="77777777" w:rsidR="00692E71" w:rsidRPr="001E3185" w:rsidRDefault="00692E71" w:rsidP="008E0250">
            <w:pPr>
              <w:autoSpaceDE w:val="0"/>
              <w:autoSpaceDN w:val="0"/>
              <w:spacing w:before="120" w:after="240" w:line="276" w:lineRule="auto"/>
              <w:rPr>
                <w:rFonts w:cs="Arial"/>
              </w:rPr>
            </w:pPr>
            <w:r w:rsidRPr="001E3185">
              <w:rPr>
                <w:rFonts w:cs="Arial"/>
              </w:rPr>
              <w:t>For the industrial application phase, no emission estimations were provided by the applicant based on mandatory risk mitigation measures for wood treatment plants.</w:t>
            </w:r>
          </w:p>
          <w:p w14:paraId="317FF4F1" w14:textId="77777777" w:rsidR="00692E71" w:rsidRPr="001E3185" w:rsidRDefault="00692E71" w:rsidP="008E0250">
            <w:pPr>
              <w:autoSpaceDE w:val="0"/>
              <w:autoSpaceDN w:val="0"/>
              <w:ind w:right="142"/>
              <w:rPr>
                <w:rFonts w:cs="Arial"/>
              </w:rPr>
            </w:pPr>
          </w:p>
          <w:p w14:paraId="14E4927A" w14:textId="77777777" w:rsidR="00692E71" w:rsidRPr="001E3185" w:rsidRDefault="00692E71" w:rsidP="00F32B7F">
            <w:pPr>
              <w:pStyle w:val="Paragraphedeliste"/>
              <w:keepNext/>
              <w:numPr>
                <w:ilvl w:val="0"/>
                <w:numId w:val="17"/>
              </w:numPr>
              <w:suppressAutoHyphens w:val="0"/>
              <w:autoSpaceDE w:val="0"/>
              <w:autoSpaceDN w:val="0"/>
              <w:spacing w:line="260" w:lineRule="atLeast"/>
              <w:ind w:right="142"/>
              <w:contextualSpacing/>
              <w:rPr>
                <w:rFonts w:cs="Arial"/>
                <w:b/>
              </w:rPr>
            </w:pPr>
            <w:r w:rsidRPr="001E3185">
              <w:rPr>
                <w:rFonts w:cs="Arial"/>
                <w:b/>
              </w:rPr>
              <w:t>Direct emission to the aquatic compartment - Bridge over the pond scenario</w:t>
            </w:r>
          </w:p>
          <w:p w14:paraId="1FD40C64" w14:textId="77777777" w:rsidR="00692E71" w:rsidRPr="001E3185" w:rsidRDefault="00692E71" w:rsidP="008E0250">
            <w:pPr>
              <w:keepNext/>
              <w:autoSpaceDE w:val="0"/>
              <w:autoSpaceDN w:val="0"/>
              <w:ind w:right="142"/>
              <w:rPr>
                <w:rFonts w:cs="Arial"/>
              </w:rPr>
            </w:pPr>
          </w:p>
          <w:p w14:paraId="24EC2967" w14:textId="77777777" w:rsidR="00692E71" w:rsidRPr="001E3185" w:rsidRDefault="00692E71" w:rsidP="008E0250">
            <w:pPr>
              <w:keepNext/>
              <w:autoSpaceDE w:val="0"/>
              <w:autoSpaceDN w:val="0"/>
              <w:ind w:right="142"/>
              <w:rPr>
                <w:rFonts w:cs="Arial"/>
                <w:b/>
              </w:rPr>
            </w:pPr>
            <w:r w:rsidRPr="001E3185">
              <w:rPr>
                <w:rFonts w:cs="Arial"/>
                <w:b/>
                <w:u w:val="single"/>
              </w:rPr>
              <w:t>Direct emissions during outdoor application</w:t>
            </w:r>
            <w:r w:rsidRPr="001E3185">
              <w:rPr>
                <w:rFonts w:cs="Arial"/>
                <w:b/>
              </w:rPr>
              <w:t>:</w:t>
            </w:r>
          </w:p>
          <w:p w14:paraId="12FD1C6D" w14:textId="77777777" w:rsidR="00692E71" w:rsidRPr="001E3185" w:rsidRDefault="00692E71" w:rsidP="008E0250">
            <w:pPr>
              <w:keepNext/>
              <w:autoSpaceDE w:val="0"/>
              <w:autoSpaceDN w:val="0"/>
              <w:spacing w:before="120"/>
              <w:rPr>
                <w:rFonts w:cs="Arial"/>
                <w:lang w:eastAsia="en-GB"/>
              </w:rPr>
            </w:pPr>
            <w:r w:rsidRPr="001E3185">
              <w:rPr>
                <w:rFonts w:cs="Arial"/>
                <w:lang w:eastAsia="en-GB"/>
              </w:rPr>
              <w:t>For the application phase, the risk characterisation for the aquatic compartment including sediment has been performed considering PEC calculated for the bridge over pond scenario of the PT08-ESD, and compared to PNEC</w:t>
            </w:r>
            <w:r w:rsidRPr="001E3185">
              <w:rPr>
                <w:rFonts w:cs="Arial"/>
                <w:vertAlign w:val="subscript"/>
                <w:lang w:eastAsia="en-GB"/>
              </w:rPr>
              <w:t>water</w:t>
            </w:r>
            <w:r w:rsidRPr="001E3185">
              <w:rPr>
                <w:rFonts w:cs="Arial"/>
                <w:lang w:eastAsia="en-GB"/>
              </w:rPr>
              <w:t xml:space="preserve"> and PNEC</w:t>
            </w:r>
            <w:r w:rsidRPr="001E3185">
              <w:rPr>
                <w:rFonts w:cs="Arial"/>
                <w:vertAlign w:val="subscript"/>
                <w:lang w:eastAsia="en-GB"/>
              </w:rPr>
              <w:t>sediment</w:t>
            </w:r>
            <w:r w:rsidRPr="001E3185">
              <w:rPr>
                <w:rFonts w:cs="Arial"/>
                <w:lang w:eastAsia="en-GB"/>
              </w:rPr>
              <w:t xml:space="preserve"> of each active substance for the application phase.</w:t>
            </w:r>
          </w:p>
          <w:p w14:paraId="13384A6E" w14:textId="77777777" w:rsidR="00692E71" w:rsidRPr="001E3185" w:rsidRDefault="00692E71" w:rsidP="008E02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1937"/>
              <w:gridCol w:w="1662"/>
              <w:gridCol w:w="1865"/>
              <w:gridCol w:w="1590"/>
            </w:tblGrid>
            <w:tr w:rsidR="00692E71" w:rsidRPr="001E3185" w14:paraId="28B622A2" w14:textId="77777777" w:rsidTr="008E0250">
              <w:trPr>
                <w:trHeight w:val="340"/>
              </w:trPr>
              <w:tc>
                <w:tcPr>
                  <w:tcW w:w="5000" w:type="pct"/>
                  <w:gridSpan w:val="5"/>
                  <w:shd w:val="clear" w:color="auto" w:fill="auto"/>
                  <w:vAlign w:val="center"/>
                </w:tcPr>
                <w:p w14:paraId="718C26B7" w14:textId="77777777" w:rsidR="00692E71" w:rsidRPr="001E3185" w:rsidRDefault="00692E71" w:rsidP="008E0250">
                  <w:pPr>
                    <w:autoSpaceDE w:val="0"/>
                    <w:autoSpaceDN w:val="0"/>
                    <w:ind w:right="142"/>
                    <w:jc w:val="center"/>
                    <w:rPr>
                      <w:rFonts w:cs="Arial"/>
                      <w:b/>
                    </w:rPr>
                  </w:pPr>
                  <w:r w:rsidRPr="001E3185">
                    <w:rPr>
                      <w:rFonts w:cs="Arial"/>
                      <w:b/>
                    </w:rPr>
                    <w:t>Application - Bridge over the pond - Treatment by brushing</w:t>
                  </w:r>
                </w:p>
              </w:tc>
            </w:tr>
            <w:tr w:rsidR="00692E71" w:rsidRPr="001E3185" w14:paraId="7B06F344" w14:textId="77777777" w:rsidTr="008E0250">
              <w:trPr>
                <w:trHeight w:val="283"/>
              </w:trPr>
              <w:tc>
                <w:tcPr>
                  <w:tcW w:w="1304" w:type="pct"/>
                  <w:vMerge w:val="restart"/>
                  <w:shd w:val="clear" w:color="auto" w:fill="auto"/>
                  <w:vAlign w:val="center"/>
                </w:tcPr>
                <w:p w14:paraId="6E5B66E8" w14:textId="77777777" w:rsidR="00692E71" w:rsidRPr="001E3185" w:rsidRDefault="00692E71" w:rsidP="008E0250">
                  <w:pPr>
                    <w:autoSpaceDE w:val="0"/>
                    <w:autoSpaceDN w:val="0"/>
                    <w:ind w:right="142"/>
                    <w:jc w:val="center"/>
                    <w:rPr>
                      <w:rFonts w:cs="Arial"/>
                    </w:rPr>
                  </w:pPr>
                  <w:r w:rsidRPr="001E3185">
                    <w:rPr>
                      <w:rFonts w:cs="Arial"/>
                      <w:b/>
                      <w:lang w:eastAsia="en-GB"/>
                    </w:rPr>
                    <w:t>SURFACE WATER</w:t>
                  </w:r>
                </w:p>
              </w:tc>
              <w:tc>
                <w:tcPr>
                  <w:tcW w:w="1886" w:type="pct"/>
                  <w:gridSpan w:val="2"/>
                  <w:shd w:val="clear" w:color="auto" w:fill="auto"/>
                  <w:vAlign w:val="center"/>
                </w:tcPr>
                <w:p w14:paraId="4387CC1D" w14:textId="77777777" w:rsidR="00692E71" w:rsidRPr="001E3185" w:rsidRDefault="00692E71" w:rsidP="008E0250">
                  <w:pPr>
                    <w:autoSpaceDE w:val="0"/>
                    <w:autoSpaceDN w:val="0"/>
                    <w:ind w:right="142"/>
                    <w:jc w:val="center"/>
                    <w:rPr>
                      <w:rFonts w:cs="Arial"/>
                      <w:b/>
                    </w:rPr>
                  </w:pPr>
                  <w:r w:rsidRPr="001E3185">
                    <w:rPr>
                      <w:rFonts w:cs="Arial"/>
                      <w:b/>
                    </w:rPr>
                    <w:t>Professional</w:t>
                  </w:r>
                </w:p>
              </w:tc>
              <w:tc>
                <w:tcPr>
                  <w:tcW w:w="1810" w:type="pct"/>
                  <w:gridSpan w:val="2"/>
                  <w:shd w:val="clear" w:color="auto" w:fill="auto"/>
                  <w:vAlign w:val="center"/>
                </w:tcPr>
                <w:p w14:paraId="4BAE5BDC" w14:textId="77777777" w:rsidR="00692E71" w:rsidRPr="001E3185" w:rsidRDefault="00692E71" w:rsidP="008E0250">
                  <w:pPr>
                    <w:autoSpaceDE w:val="0"/>
                    <w:autoSpaceDN w:val="0"/>
                    <w:ind w:right="142"/>
                    <w:jc w:val="center"/>
                    <w:rPr>
                      <w:rFonts w:cs="Arial"/>
                      <w:b/>
                    </w:rPr>
                  </w:pPr>
                  <w:r w:rsidRPr="001E3185">
                    <w:rPr>
                      <w:rFonts w:cs="Arial"/>
                      <w:b/>
                    </w:rPr>
                    <w:t>Non-professional</w:t>
                  </w:r>
                </w:p>
              </w:tc>
            </w:tr>
            <w:tr w:rsidR="00692E71" w:rsidRPr="001E3185" w14:paraId="3712A8CF" w14:textId="77777777" w:rsidTr="008E0250">
              <w:trPr>
                <w:trHeight w:val="283"/>
              </w:trPr>
              <w:tc>
                <w:tcPr>
                  <w:tcW w:w="1304" w:type="pct"/>
                  <w:vMerge/>
                  <w:shd w:val="clear" w:color="auto" w:fill="auto"/>
                  <w:vAlign w:val="center"/>
                </w:tcPr>
                <w:p w14:paraId="54AF6A91" w14:textId="77777777" w:rsidR="00692E71" w:rsidRPr="001E3185" w:rsidRDefault="00692E71" w:rsidP="008E0250">
                  <w:pPr>
                    <w:autoSpaceDE w:val="0"/>
                    <w:autoSpaceDN w:val="0"/>
                    <w:ind w:right="142"/>
                    <w:jc w:val="center"/>
                    <w:rPr>
                      <w:rFonts w:cs="Arial"/>
                    </w:rPr>
                  </w:pPr>
                </w:p>
              </w:tc>
              <w:tc>
                <w:tcPr>
                  <w:tcW w:w="1015" w:type="pct"/>
                  <w:shd w:val="clear" w:color="auto" w:fill="auto"/>
                  <w:vAlign w:val="center"/>
                </w:tcPr>
                <w:p w14:paraId="6898280C" w14:textId="77777777" w:rsidR="00692E71" w:rsidRPr="001E3185" w:rsidRDefault="00692E71" w:rsidP="008E0250">
                  <w:pPr>
                    <w:autoSpaceDE w:val="0"/>
                    <w:autoSpaceDN w:val="0"/>
                    <w:jc w:val="center"/>
                    <w:rPr>
                      <w:rFonts w:cs="Arial"/>
                    </w:rPr>
                  </w:pPr>
                  <w:r w:rsidRPr="001E3185">
                    <w:rPr>
                      <w:rFonts w:cs="Arial"/>
                      <w:b/>
                      <w:iCs/>
                    </w:rPr>
                    <w:t>PEC</w:t>
                  </w:r>
                  <w:r w:rsidRPr="001E3185">
                    <w:rPr>
                      <w:rFonts w:cs="Arial"/>
                      <w:b/>
                    </w:rPr>
                    <w:t xml:space="preserve"> [µg.L</w:t>
                  </w:r>
                  <w:r w:rsidRPr="001E3185">
                    <w:rPr>
                      <w:rFonts w:cs="Arial"/>
                      <w:b/>
                      <w:vertAlign w:val="superscript"/>
                    </w:rPr>
                    <w:t>-1</w:t>
                  </w:r>
                  <w:r w:rsidRPr="001E3185">
                    <w:rPr>
                      <w:rFonts w:cs="Arial"/>
                      <w:b/>
                    </w:rPr>
                    <w:t>]</w:t>
                  </w:r>
                </w:p>
              </w:tc>
              <w:tc>
                <w:tcPr>
                  <w:tcW w:w="871" w:type="pct"/>
                  <w:shd w:val="clear" w:color="auto" w:fill="auto"/>
                  <w:vAlign w:val="center"/>
                </w:tcPr>
                <w:p w14:paraId="3045395D" w14:textId="77777777" w:rsidR="00692E71" w:rsidRPr="001E3185" w:rsidRDefault="00692E71" w:rsidP="008E0250">
                  <w:pPr>
                    <w:autoSpaceDE w:val="0"/>
                    <w:autoSpaceDN w:val="0"/>
                    <w:jc w:val="center"/>
                    <w:rPr>
                      <w:rFonts w:cs="Arial"/>
                    </w:rPr>
                  </w:pPr>
                  <w:r w:rsidRPr="001E3185">
                    <w:rPr>
                      <w:rFonts w:cs="Arial"/>
                      <w:b/>
                    </w:rPr>
                    <w:t>PEC/PNEC</w:t>
                  </w:r>
                </w:p>
              </w:tc>
              <w:tc>
                <w:tcPr>
                  <w:tcW w:w="977" w:type="pct"/>
                  <w:shd w:val="clear" w:color="auto" w:fill="auto"/>
                  <w:vAlign w:val="center"/>
                </w:tcPr>
                <w:p w14:paraId="6AB678ED" w14:textId="77777777" w:rsidR="00692E71" w:rsidRPr="001E3185" w:rsidRDefault="00692E71" w:rsidP="008E0250">
                  <w:pPr>
                    <w:autoSpaceDE w:val="0"/>
                    <w:autoSpaceDN w:val="0"/>
                    <w:jc w:val="center"/>
                    <w:rPr>
                      <w:rFonts w:cs="Arial"/>
                    </w:rPr>
                  </w:pPr>
                  <w:r w:rsidRPr="001E3185">
                    <w:rPr>
                      <w:rFonts w:cs="Arial"/>
                      <w:b/>
                      <w:iCs/>
                    </w:rPr>
                    <w:t>PEC</w:t>
                  </w:r>
                  <w:r w:rsidRPr="001E3185">
                    <w:rPr>
                      <w:rFonts w:cs="Arial"/>
                      <w:b/>
                    </w:rPr>
                    <w:t xml:space="preserve"> [µg.L</w:t>
                  </w:r>
                  <w:r w:rsidRPr="001E3185">
                    <w:rPr>
                      <w:rFonts w:cs="Arial"/>
                      <w:b/>
                      <w:vertAlign w:val="superscript"/>
                    </w:rPr>
                    <w:t>-1</w:t>
                  </w:r>
                  <w:r w:rsidRPr="001E3185">
                    <w:rPr>
                      <w:rFonts w:cs="Arial"/>
                      <w:b/>
                    </w:rPr>
                    <w:t>]</w:t>
                  </w:r>
                </w:p>
              </w:tc>
              <w:tc>
                <w:tcPr>
                  <w:tcW w:w="833" w:type="pct"/>
                  <w:shd w:val="clear" w:color="auto" w:fill="auto"/>
                  <w:vAlign w:val="center"/>
                </w:tcPr>
                <w:p w14:paraId="754A1B9F"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78197151" w14:textId="77777777" w:rsidTr="008E0250">
              <w:trPr>
                <w:trHeight w:val="283"/>
              </w:trPr>
              <w:tc>
                <w:tcPr>
                  <w:tcW w:w="1304" w:type="pct"/>
                  <w:shd w:val="clear" w:color="auto" w:fill="auto"/>
                  <w:vAlign w:val="center"/>
                </w:tcPr>
                <w:p w14:paraId="61E2E563" w14:textId="77777777" w:rsidR="00692E71" w:rsidRPr="001E3185" w:rsidRDefault="00692E71" w:rsidP="008E0250">
                  <w:pPr>
                    <w:autoSpaceDE w:val="0"/>
                    <w:autoSpaceDN w:val="0"/>
                    <w:ind w:right="142"/>
                    <w:rPr>
                      <w:rFonts w:cs="Arial"/>
                    </w:rPr>
                  </w:pPr>
                  <w:r w:rsidRPr="001E3185">
                    <w:rPr>
                      <w:rFonts w:cs="Arial"/>
                    </w:rPr>
                    <w:t>Tebuconazole</w:t>
                  </w:r>
                </w:p>
              </w:tc>
              <w:tc>
                <w:tcPr>
                  <w:tcW w:w="1015" w:type="pct"/>
                  <w:shd w:val="clear" w:color="auto" w:fill="auto"/>
                  <w:vAlign w:val="center"/>
                </w:tcPr>
                <w:p w14:paraId="5886FF26" w14:textId="77777777" w:rsidR="00692E71" w:rsidRPr="001E3185" w:rsidRDefault="00692E71" w:rsidP="008E0250">
                  <w:pPr>
                    <w:autoSpaceDE w:val="0"/>
                    <w:autoSpaceDN w:val="0"/>
                    <w:jc w:val="center"/>
                    <w:rPr>
                      <w:rFonts w:cs="Arial"/>
                    </w:rPr>
                  </w:pPr>
                  <w:r w:rsidRPr="001E3185">
                    <w:rPr>
                      <w:rFonts w:cs="Arial"/>
                    </w:rPr>
                    <w:t>3.00E-02</w:t>
                  </w:r>
                </w:p>
              </w:tc>
              <w:tc>
                <w:tcPr>
                  <w:tcW w:w="871" w:type="pct"/>
                  <w:shd w:val="clear" w:color="auto" w:fill="auto"/>
                  <w:vAlign w:val="center"/>
                </w:tcPr>
                <w:p w14:paraId="4DF73C21" w14:textId="77777777" w:rsidR="00692E71" w:rsidRPr="001E3185" w:rsidRDefault="00692E71" w:rsidP="008E0250">
                  <w:pPr>
                    <w:autoSpaceDE w:val="0"/>
                    <w:autoSpaceDN w:val="0"/>
                    <w:jc w:val="center"/>
                    <w:rPr>
                      <w:rFonts w:cs="Arial"/>
                    </w:rPr>
                  </w:pPr>
                  <w:r w:rsidRPr="001E3185">
                    <w:rPr>
                      <w:rFonts w:cs="Arial"/>
                    </w:rPr>
                    <w:t>3.00E-02</w:t>
                  </w:r>
                </w:p>
              </w:tc>
              <w:tc>
                <w:tcPr>
                  <w:tcW w:w="977" w:type="pct"/>
                  <w:shd w:val="clear" w:color="auto" w:fill="auto"/>
                  <w:vAlign w:val="center"/>
                </w:tcPr>
                <w:p w14:paraId="20CAAA56" w14:textId="77777777" w:rsidR="00692E71" w:rsidRPr="001E3185" w:rsidRDefault="00692E71" w:rsidP="008E0250">
                  <w:pPr>
                    <w:autoSpaceDE w:val="0"/>
                    <w:autoSpaceDN w:val="0"/>
                    <w:jc w:val="center"/>
                    <w:rPr>
                      <w:rFonts w:cs="Arial"/>
                    </w:rPr>
                  </w:pPr>
                  <w:r w:rsidRPr="001E3185">
                    <w:rPr>
                      <w:rFonts w:cs="Arial"/>
                    </w:rPr>
                    <w:t>5.00E-02</w:t>
                  </w:r>
                </w:p>
              </w:tc>
              <w:tc>
                <w:tcPr>
                  <w:tcW w:w="833" w:type="pct"/>
                  <w:shd w:val="clear" w:color="auto" w:fill="auto"/>
                  <w:vAlign w:val="center"/>
                </w:tcPr>
                <w:p w14:paraId="19F571BF" w14:textId="77777777" w:rsidR="00692E71" w:rsidRPr="001E3185" w:rsidRDefault="00692E71" w:rsidP="008E0250">
                  <w:pPr>
                    <w:autoSpaceDE w:val="0"/>
                    <w:autoSpaceDN w:val="0"/>
                    <w:jc w:val="center"/>
                    <w:rPr>
                      <w:rFonts w:cs="Arial"/>
                    </w:rPr>
                  </w:pPr>
                  <w:r w:rsidRPr="001E3185">
                    <w:rPr>
                      <w:rFonts w:cs="Arial"/>
                    </w:rPr>
                    <w:t>5.00E-02</w:t>
                  </w:r>
                </w:p>
              </w:tc>
            </w:tr>
            <w:tr w:rsidR="00692E71" w:rsidRPr="001E3185" w14:paraId="38F6ACB2" w14:textId="77777777" w:rsidTr="008E0250">
              <w:trPr>
                <w:trHeight w:val="283"/>
              </w:trPr>
              <w:tc>
                <w:tcPr>
                  <w:tcW w:w="1304" w:type="pct"/>
                  <w:shd w:val="clear" w:color="auto" w:fill="auto"/>
                  <w:vAlign w:val="center"/>
                </w:tcPr>
                <w:p w14:paraId="031D34D4" w14:textId="77777777" w:rsidR="00692E71" w:rsidRPr="001E3185" w:rsidRDefault="00692E71" w:rsidP="008E0250">
                  <w:pPr>
                    <w:autoSpaceDE w:val="0"/>
                    <w:autoSpaceDN w:val="0"/>
                    <w:ind w:right="142"/>
                    <w:rPr>
                      <w:rFonts w:cs="Arial"/>
                    </w:rPr>
                  </w:pPr>
                  <w:r w:rsidRPr="001E3185">
                    <w:rPr>
                      <w:rFonts w:cs="Arial"/>
                    </w:rPr>
                    <w:t>Propiconazole</w:t>
                  </w:r>
                </w:p>
              </w:tc>
              <w:tc>
                <w:tcPr>
                  <w:tcW w:w="1015" w:type="pct"/>
                  <w:shd w:val="clear" w:color="auto" w:fill="auto"/>
                  <w:vAlign w:val="center"/>
                </w:tcPr>
                <w:p w14:paraId="12805AFF" w14:textId="77777777" w:rsidR="00692E71" w:rsidRPr="001E3185" w:rsidRDefault="00692E71" w:rsidP="008E0250">
                  <w:pPr>
                    <w:autoSpaceDE w:val="0"/>
                    <w:autoSpaceDN w:val="0"/>
                    <w:jc w:val="center"/>
                    <w:rPr>
                      <w:rFonts w:cs="Arial"/>
                    </w:rPr>
                  </w:pPr>
                  <w:r w:rsidRPr="001E3185">
                    <w:rPr>
                      <w:rFonts w:cs="Arial"/>
                    </w:rPr>
                    <w:t>9.60E-02</w:t>
                  </w:r>
                </w:p>
              </w:tc>
              <w:tc>
                <w:tcPr>
                  <w:tcW w:w="871" w:type="pct"/>
                  <w:shd w:val="clear" w:color="auto" w:fill="auto"/>
                  <w:vAlign w:val="center"/>
                </w:tcPr>
                <w:p w14:paraId="612FA208" w14:textId="77777777" w:rsidR="00692E71" w:rsidRPr="001E3185" w:rsidRDefault="00692E71" w:rsidP="008E0250">
                  <w:pPr>
                    <w:autoSpaceDE w:val="0"/>
                    <w:autoSpaceDN w:val="0"/>
                    <w:jc w:val="center"/>
                    <w:rPr>
                      <w:rFonts w:cs="Arial"/>
                    </w:rPr>
                  </w:pPr>
                  <w:r w:rsidRPr="001E3185">
                    <w:rPr>
                      <w:rFonts w:cs="Arial"/>
                    </w:rPr>
                    <w:t>1.41E-02</w:t>
                  </w:r>
                </w:p>
              </w:tc>
              <w:tc>
                <w:tcPr>
                  <w:tcW w:w="977" w:type="pct"/>
                  <w:shd w:val="clear" w:color="auto" w:fill="auto"/>
                  <w:vAlign w:val="center"/>
                </w:tcPr>
                <w:p w14:paraId="7B6802FD" w14:textId="77777777" w:rsidR="00692E71" w:rsidRPr="001E3185" w:rsidRDefault="00692E71" w:rsidP="008E0250">
                  <w:pPr>
                    <w:autoSpaceDE w:val="0"/>
                    <w:autoSpaceDN w:val="0"/>
                    <w:jc w:val="center"/>
                    <w:rPr>
                      <w:rFonts w:cs="Arial"/>
                    </w:rPr>
                  </w:pPr>
                  <w:r w:rsidRPr="001E3185">
                    <w:rPr>
                      <w:rFonts w:cs="Arial"/>
                    </w:rPr>
                    <w:t>1.60E-01</w:t>
                  </w:r>
                </w:p>
              </w:tc>
              <w:tc>
                <w:tcPr>
                  <w:tcW w:w="833" w:type="pct"/>
                  <w:shd w:val="clear" w:color="auto" w:fill="auto"/>
                  <w:vAlign w:val="center"/>
                </w:tcPr>
                <w:p w14:paraId="6047AE4D" w14:textId="77777777" w:rsidR="00692E71" w:rsidRPr="001E3185" w:rsidRDefault="00692E71" w:rsidP="008E0250">
                  <w:pPr>
                    <w:autoSpaceDE w:val="0"/>
                    <w:autoSpaceDN w:val="0"/>
                    <w:jc w:val="center"/>
                    <w:rPr>
                      <w:rFonts w:cs="Arial"/>
                    </w:rPr>
                  </w:pPr>
                  <w:r w:rsidRPr="001E3185">
                    <w:rPr>
                      <w:rFonts w:cs="Arial"/>
                    </w:rPr>
                    <w:t>2.35E-02</w:t>
                  </w:r>
                </w:p>
              </w:tc>
            </w:tr>
            <w:tr w:rsidR="00692E71" w:rsidRPr="001E3185" w14:paraId="6A5E347B" w14:textId="77777777" w:rsidTr="008E0250">
              <w:trPr>
                <w:trHeight w:val="283"/>
              </w:trPr>
              <w:tc>
                <w:tcPr>
                  <w:tcW w:w="1304" w:type="pct"/>
                  <w:shd w:val="clear" w:color="auto" w:fill="auto"/>
                  <w:vAlign w:val="center"/>
                </w:tcPr>
                <w:p w14:paraId="6A4BF1A4" w14:textId="77777777" w:rsidR="00692E71" w:rsidRPr="001E3185" w:rsidRDefault="00692E71" w:rsidP="008E0250">
                  <w:pPr>
                    <w:autoSpaceDE w:val="0"/>
                    <w:autoSpaceDN w:val="0"/>
                    <w:ind w:right="142"/>
                    <w:rPr>
                      <w:rFonts w:cs="Arial"/>
                    </w:rPr>
                  </w:pPr>
                  <w:r w:rsidRPr="001E3185">
                    <w:rPr>
                      <w:rFonts w:cs="Arial"/>
                    </w:rPr>
                    <w:t>Cypermethrin</w:t>
                  </w:r>
                </w:p>
              </w:tc>
              <w:tc>
                <w:tcPr>
                  <w:tcW w:w="1015" w:type="pct"/>
                  <w:shd w:val="clear" w:color="auto" w:fill="auto"/>
                  <w:vAlign w:val="center"/>
                </w:tcPr>
                <w:p w14:paraId="7E821DA1" w14:textId="77777777" w:rsidR="00692E71" w:rsidRPr="001E3185" w:rsidRDefault="00692E71" w:rsidP="008E0250">
                  <w:pPr>
                    <w:autoSpaceDE w:val="0"/>
                    <w:autoSpaceDN w:val="0"/>
                    <w:jc w:val="center"/>
                    <w:rPr>
                      <w:rFonts w:cs="Arial"/>
                    </w:rPr>
                  </w:pPr>
                  <w:r w:rsidRPr="001E3185">
                    <w:rPr>
                      <w:rFonts w:cs="Arial"/>
                    </w:rPr>
                    <w:t>4.80E-02</w:t>
                  </w:r>
                </w:p>
              </w:tc>
              <w:tc>
                <w:tcPr>
                  <w:tcW w:w="871" w:type="pct"/>
                  <w:shd w:val="clear" w:color="auto" w:fill="auto"/>
                  <w:vAlign w:val="center"/>
                </w:tcPr>
                <w:p w14:paraId="60B7AFC2" w14:textId="77777777" w:rsidR="00692E71" w:rsidRPr="001E3185" w:rsidRDefault="00692E71" w:rsidP="008E0250">
                  <w:pPr>
                    <w:autoSpaceDE w:val="0"/>
                    <w:autoSpaceDN w:val="0"/>
                    <w:jc w:val="center"/>
                    <w:rPr>
                      <w:rFonts w:cs="Arial"/>
                      <w:b/>
                    </w:rPr>
                  </w:pPr>
                  <w:r w:rsidRPr="001E3185">
                    <w:rPr>
                      <w:rFonts w:cs="Arial"/>
                      <w:b/>
                    </w:rPr>
                    <w:t>1.20E+01</w:t>
                  </w:r>
                </w:p>
              </w:tc>
              <w:tc>
                <w:tcPr>
                  <w:tcW w:w="977" w:type="pct"/>
                  <w:shd w:val="clear" w:color="auto" w:fill="auto"/>
                  <w:vAlign w:val="center"/>
                </w:tcPr>
                <w:p w14:paraId="01DE9280" w14:textId="77777777" w:rsidR="00692E71" w:rsidRPr="001E3185" w:rsidRDefault="00692E71" w:rsidP="008E0250">
                  <w:pPr>
                    <w:autoSpaceDE w:val="0"/>
                    <w:autoSpaceDN w:val="0"/>
                    <w:jc w:val="center"/>
                    <w:rPr>
                      <w:rFonts w:cs="Arial"/>
                    </w:rPr>
                  </w:pPr>
                  <w:r w:rsidRPr="001E3185">
                    <w:rPr>
                      <w:rFonts w:cs="Arial"/>
                    </w:rPr>
                    <w:t>8.00E-02</w:t>
                  </w:r>
                </w:p>
              </w:tc>
              <w:tc>
                <w:tcPr>
                  <w:tcW w:w="833" w:type="pct"/>
                  <w:shd w:val="clear" w:color="auto" w:fill="auto"/>
                  <w:vAlign w:val="center"/>
                </w:tcPr>
                <w:p w14:paraId="52A6F6FD" w14:textId="77777777" w:rsidR="00692E71" w:rsidRPr="001E3185" w:rsidRDefault="00692E71" w:rsidP="008E0250">
                  <w:pPr>
                    <w:autoSpaceDE w:val="0"/>
                    <w:autoSpaceDN w:val="0"/>
                    <w:jc w:val="center"/>
                    <w:rPr>
                      <w:rFonts w:cs="Arial"/>
                      <w:b/>
                    </w:rPr>
                  </w:pPr>
                  <w:r w:rsidRPr="001E3185">
                    <w:rPr>
                      <w:rFonts w:cs="Arial"/>
                      <w:b/>
                    </w:rPr>
                    <w:t>2.00E+01</w:t>
                  </w:r>
                </w:p>
              </w:tc>
            </w:tr>
            <w:tr w:rsidR="00692E71" w:rsidRPr="001E3185" w14:paraId="065CA0C8" w14:textId="77777777" w:rsidTr="008E0250">
              <w:trPr>
                <w:trHeight w:val="283"/>
              </w:trPr>
              <w:tc>
                <w:tcPr>
                  <w:tcW w:w="1304" w:type="pct"/>
                  <w:shd w:val="clear" w:color="auto" w:fill="auto"/>
                  <w:vAlign w:val="center"/>
                </w:tcPr>
                <w:p w14:paraId="3B104B18" w14:textId="77777777" w:rsidR="00692E71" w:rsidRPr="001E3185" w:rsidRDefault="00692E71" w:rsidP="008E0250">
                  <w:pPr>
                    <w:autoSpaceDE w:val="0"/>
                    <w:autoSpaceDN w:val="0"/>
                    <w:ind w:right="142"/>
                    <w:rPr>
                      <w:rFonts w:cs="Arial"/>
                    </w:rPr>
                  </w:pPr>
                  <w:r w:rsidRPr="001E3185">
                    <w:rPr>
                      <w:rFonts w:cs="Arial"/>
                    </w:rPr>
                    <w:t>IPBC</w:t>
                  </w:r>
                </w:p>
              </w:tc>
              <w:tc>
                <w:tcPr>
                  <w:tcW w:w="1015" w:type="pct"/>
                  <w:shd w:val="clear" w:color="auto" w:fill="auto"/>
                  <w:vAlign w:val="center"/>
                </w:tcPr>
                <w:p w14:paraId="7B1DAD95" w14:textId="77777777" w:rsidR="00692E71" w:rsidRPr="001E3185" w:rsidRDefault="00692E71" w:rsidP="008E0250">
                  <w:pPr>
                    <w:autoSpaceDE w:val="0"/>
                    <w:autoSpaceDN w:val="0"/>
                    <w:jc w:val="center"/>
                    <w:rPr>
                      <w:rFonts w:cs="Arial"/>
                    </w:rPr>
                  </w:pPr>
                  <w:r w:rsidRPr="001E3185">
                    <w:rPr>
                      <w:rFonts w:cs="Arial"/>
                    </w:rPr>
                    <w:t>3.00E-02</w:t>
                  </w:r>
                </w:p>
              </w:tc>
              <w:tc>
                <w:tcPr>
                  <w:tcW w:w="871" w:type="pct"/>
                  <w:shd w:val="clear" w:color="auto" w:fill="auto"/>
                  <w:vAlign w:val="center"/>
                </w:tcPr>
                <w:p w14:paraId="3C99337A" w14:textId="77777777" w:rsidR="00692E71" w:rsidRPr="001E3185" w:rsidRDefault="00692E71" w:rsidP="008E0250">
                  <w:pPr>
                    <w:autoSpaceDE w:val="0"/>
                    <w:autoSpaceDN w:val="0"/>
                    <w:jc w:val="center"/>
                    <w:rPr>
                      <w:rFonts w:cs="Arial"/>
                    </w:rPr>
                  </w:pPr>
                  <w:r w:rsidRPr="001E3185">
                    <w:rPr>
                      <w:rFonts w:cs="Arial"/>
                    </w:rPr>
                    <w:t>6.00E-02</w:t>
                  </w:r>
                </w:p>
              </w:tc>
              <w:tc>
                <w:tcPr>
                  <w:tcW w:w="977" w:type="pct"/>
                  <w:shd w:val="clear" w:color="auto" w:fill="auto"/>
                  <w:vAlign w:val="center"/>
                </w:tcPr>
                <w:p w14:paraId="5C589D05" w14:textId="77777777" w:rsidR="00692E71" w:rsidRPr="001E3185" w:rsidRDefault="00692E71" w:rsidP="008E0250">
                  <w:pPr>
                    <w:autoSpaceDE w:val="0"/>
                    <w:autoSpaceDN w:val="0"/>
                    <w:jc w:val="center"/>
                    <w:rPr>
                      <w:rFonts w:cs="Arial"/>
                    </w:rPr>
                  </w:pPr>
                  <w:r w:rsidRPr="001E3185">
                    <w:rPr>
                      <w:rFonts w:cs="Arial"/>
                    </w:rPr>
                    <w:t>5.00E-02</w:t>
                  </w:r>
                </w:p>
              </w:tc>
              <w:tc>
                <w:tcPr>
                  <w:tcW w:w="833" w:type="pct"/>
                  <w:shd w:val="clear" w:color="auto" w:fill="auto"/>
                  <w:vAlign w:val="center"/>
                </w:tcPr>
                <w:p w14:paraId="4E8CB084" w14:textId="77777777" w:rsidR="00692E71" w:rsidRPr="001E3185" w:rsidRDefault="00692E71" w:rsidP="008E0250">
                  <w:pPr>
                    <w:autoSpaceDE w:val="0"/>
                    <w:autoSpaceDN w:val="0"/>
                    <w:jc w:val="center"/>
                    <w:rPr>
                      <w:rFonts w:cs="Arial"/>
                    </w:rPr>
                  </w:pPr>
                  <w:r w:rsidRPr="001E3185">
                    <w:rPr>
                      <w:rFonts w:cs="Arial"/>
                    </w:rPr>
                    <w:t>1.00E-01</w:t>
                  </w:r>
                </w:p>
              </w:tc>
            </w:tr>
            <w:tr w:rsidR="00692E71" w:rsidRPr="001E3185" w14:paraId="2BFF53F6" w14:textId="77777777" w:rsidTr="008E0250">
              <w:trPr>
                <w:trHeight w:val="283"/>
              </w:trPr>
              <w:tc>
                <w:tcPr>
                  <w:tcW w:w="1304" w:type="pct"/>
                  <w:shd w:val="clear" w:color="auto" w:fill="auto"/>
                  <w:vAlign w:val="center"/>
                </w:tcPr>
                <w:p w14:paraId="2A90D08E" w14:textId="77777777" w:rsidR="00692E71" w:rsidRPr="001E3185" w:rsidRDefault="00692E71" w:rsidP="008E0250">
                  <w:pPr>
                    <w:autoSpaceDE w:val="0"/>
                    <w:autoSpaceDN w:val="0"/>
                    <w:ind w:right="142"/>
                    <w:rPr>
                      <w:rFonts w:cs="Arial"/>
                    </w:rPr>
                  </w:pPr>
                  <w:r w:rsidRPr="001E3185">
                    <w:rPr>
                      <w:rFonts w:cs="Arial"/>
                    </w:rPr>
                    <w:t>PBC</w:t>
                  </w:r>
                </w:p>
              </w:tc>
              <w:tc>
                <w:tcPr>
                  <w:tcW w:w="1015" w:type="pct"/>
                  <w:shd w:val="clear" w:color="auto" w:fill="auto"/>
                  <w:vAlign w:val="center"/>
                </w:tcPr>
                <w:p w14:paraId="109D9E65" w14:textId="77777777" w:rsidR="00692E71" w:rsidRPr="001E3185" w:rsidRDefault="00692E71" w:rsidP="008E0250">
                  <w:pPr>
                    <w:autoSpaceDE w:val="0"/>
                    <w:autoSpaceDN w:val="0"/>
                    <w:jc w:val="center"/>
                    <w:rPr>
                      <w:rFonts w:cs="Arial"/>
                    </w:rPr>
                  </w:pPr>
                  <w:r w:rsidRPr="001E3185">
                    <w:rPr>
                      <w:rFonts w:cs="Arial"/>
                    </w:rPr>
                    <w:t>1.66E-02</w:t>
                  </w:r>
                </w:p>
              </w:tc>
              <w:tc>
                <w:tcPr>
                  <w:tcW w:w="871" w:type="pct"/>
                  <w:shd w:val="clear" w:color="auto" w:fill="auto"/>
                  <w:vAlign w:val="center"/>
                </w:tcPr>
                <w:p w14:paraId="09D2551F" w14:textId="77777777" w:rsidR="00692E71" w:rsidRPr="001E3185" w:rsidRDefault="00692E71" w:rsidP="008E0250">
                  <w:pPr>
                    <w:autoSpaceDE w:val="0"/>
                    <w:autoSpaceDN w:val="0"/>
                    <w:jc w:val="center"/>
                    <w:rPr>
                      <w:rFonts w:cs="Arial"/>
                    </w:rPr>
                  </w:pPr>
                  <w:r w:rsidRPr="001E3185">
                    <w:rPr>
                      <w:rFonts w:cs="Arial"/>
                    </w:rPr>
                    <w:t>4.01E-04</w:t>
                  </w:r>
                </w:p>
              </w:tc>
              <w:tc>
                <w:tcPr>
                  <w:tcW w:w="977" w:type="pct"/>
                  <w:shd w:val="clear" w:color="auto" w:fill="auto"/>
                  <w:vAlign w:val="center"/>
                </w:tcPr>
                <w:p w14:paraId="6518443A" w14:textId="77777777" w:rsidR="00692E71" w:rsidRPr="001E3185" w:rsidRDefault="00692E71" w:rsidP="008E0250">
                  <w:pPr>
                    <w:autoSpaceDE w:val="0"/>
                    <w:autoSpaceDN w:val="0"/>
                    <w:jc w:val="center"/>
                    <w:rPr>
                      <w:rFonts w:cs="Arial"/>
                    </w:rPr>
                  </w:pPr>
                  <w:r w:rsidRPr="001E3185">
                    <w:rPr>
                      <w:rFonts w:cs="Arial"/>
                    </w:rPr>
                    <w:t>2.76E-02</w:t>
                  </w:r>
                </w:p>
              </w:tc>
              <w:tc>
                <w:tcPr>
                  <w:tcW w:w="833" w:type="pct"/>
                  <w:shd w:val="clear" w:color="auto" w:fill="auto"/>
                  <w:vAlign w:val="center"/>
                </w:tcPr>
                <w:p w14:paraId="6EFE4739" w14:textId="77777777" w:rsidR="00692E71" w:rsidRPr="001E3185" w:rsidRDefault="00692E71" w:rsidP="008E0250">
                  <w:pPr>
                    <w:autoSpaceDE w:val="0"/>
                    <w:autoSpaceDN w:val="0"/>
                    <w:jc w:val="center"/>
                    <w:rPr>
                      <w:rFonts w:cs="Arial"/>
                    </w:rPr>
                  </w:pPr>
                  <w:r w:rsidRPr="001E3185">
                    <w:rPr>
                      <w:rFonts w:cs="Arial"/>
                    </w:rPr>
                    <w:t>6.68E-04</w:t>
                  </w:r>
                </w:p>
              </w:tc>
            </w:tr>
            <w:tr w:rsidR="00692E71" w:rsidRPr="001E3185" w14:paraId="03E78665" w14:textId="77777777" w:rsidTr="008E0250">
              <w:trPr>
                <w:trHeight w:val="283"/>
              </w:trPr>
              <w:tc>
                <w:tcPr>
                  <w:tcW w:w="1304" w:type="pct"/>
                  <w:shd w:val="clear" w:color="auto" w:fill="auto"/>
                  <w:vAlign w:val="center"/>
                </w:tcPr>
                <w:p w14:paraId="7D44E0C0" w14:textId="77777777" w:rsidR="00692E71" w:rsidRPr="001E3185" w:rsidRDefault="00692E71" w:rsidP="008E0250">
                  <w:pPr>
                    <w:autoSpaceDE w:val="0"/>
                    <w:autoSpaceDN w:val="0"/>
                    <w:ind w:right="142"/>
                    <w:rPr>
                      <w:rFonts w:cs="Arial"/>
                    </w:rPr>
                  </w:pPr>
                  <w:r w:rsidRPr="001E3185">
                    <w:rPr>
                      <w:rFonts w:cs="Arial"/>
                      <w:b/>
                      <w:lang w:eastAsia="en-GB"/>
                    </w:rPr>
                    <w:t>PEC/PNEC</w:t>
                  </w:r>
                </w:p>
              </w:tc>
              <w:tc>
                <w:tcPr>
                  <w:tcW w:w="1015" w:type="pct"/>
                  <w:shd w:val="clear" w:color="auto" w:fill="auto"/>
                  <w:vAlign w:val="center"/>
                </w:tcPr>
                <w:p w14:paraId="566F2487" w14:textId="77777777" w:rsidR="00692E71" w:rsidRPr="001E3185" w:rsidRDefault="00692E71" w:rsidP="008E0250">
                  <w:pPr>
                    <w:autoSpaceDE w:val="0"/>
                    <w:autoSpaceDN w:val="0"/>
                    <w:jc w:val="center"/>
                    <w:rPr>
                      <w:rFonts w:cs="Arial"/>
                    </w:rPr>
                  </w:pPr>
                </w:p>
              </w:tc>
              <w:tc>
                <w:tcPr>
                  <w:tcW w:w="871" w:type="pct"/>
                  <w:shd w:val="clear" w:color="auto" w:fill="auto"/>
                  <w:vAlign w:val="center"/>
                </w:tcPr>
                <w:p w14:paraId="00D935C6" w14:textId="77777777" w:rsidR="00692E71" w:rsidRPr="001E3185" w:rsidRDefault="00692E71" w:rsidP="008E0250">
                  <w:pPr>
                    <w:autoSpaceDE w:val="0"/>
                    <w:autoSpaceDN w:val="0"/>
                    <w:jc w:val="center"/>
                    <w:rPr>
                      <w:rFonts w:cs="Arial"/>
                      <w:b/>
                      <w:color w:val="FF0000"/>
                    </w:rPr>
                  </w:pPr>
                  <w:r w:rsidRPr="001E3185">
                    <w:rPr>
                      <w:rFonts w:cs="Arial"/>
                      <w:b/>
                      <w:color w:val="FF0000"/>
                    </w:rPr>
                    <w:t>12.10</w:t>
                  </w:r>
                </w:p>
              </w:tc>
              <w:tc>
                <w:tcPr>
                  <w:tcW w:w="977" w:type="pct"/>
                  <w:shd w:val="clear" w:color="auto" w:fill="auto"/>
                  <w:vAlign w:val="center"/>
                </w:tcPr>
                <w:p w14:paraId="27F0A188" w14:textId="77777777" w:rsidR="00692E71" w:rsidRPr="001E3185" w:rsidRDefault="00692E71" w:rsidP="008E0250">
                  <w:pPr>
                    <w:autoSpaceDE w:val="0"/>
                    <w:autoSpaceDN w:val="0"/>
                    <w:jc w:val="center"/>
                    <w:rPr>
                      <w:rFonts w:cs="Arial"/>
                    </w:rPr>
                  </w:pPr>
                </w:p>
              </w:tc>
              <w:tc>
                <w:tcPr>
                  <w:tcW w:w="833" w:type="pct"/>
                  <w:shd w:val="clear" w:color="auto" w:fill="auto"/>
                  <w:vAlign w:val="center"/>
                </w:tcPr>
                <w:p w14:paraId="5571A583" w14:textId="77777777" w:rsidR="00692E71" w:rsidRPr="001E3185" w:rsidRDefault="00692E71" w:rsidP="008E0250">
                  <w:pPr>
                    <w:autoSpaceDE w:val="0"/>
                    <w:autoSpaceDN w:val="0"/>
                    <w:jc w:val="center"/>
                    <w:rPr>
                      <w:rFonts w:cs="Arial"/>
                      <w:b/>
                      <w:color w:val="FF0000"/>
                    </w:rPr>
                  </w:pPr>
                  <w:r w:rsidRPr="001E3185">
                    <w:rPr>
                      <w:rFonts w:cs="Arial"/>
                      <w:b/>
                      <w:color w:val="FF0000"/>
                    </w:rPr>
                    <w:t>20.17</w:t>
                  </w:r>
                </w:p>
              </w:tc>
            </w:tr>
            <w:tr w:rsidR="00692E71" w:rsidRPr="001E3185" w14:paraId="38B16FC2" w14:textId="77777777" w:rsidTr="008E0250">
              <w:trPr>
                <w:trHeight w:val="283"/>
              </w:trPr>
              <w:tc>
                <w:tcPr>
                  <w:tcW w:w="1304" w:type="pct"/>
                  <w:vMerge w:val="restart"/>
                  <w:shd w:val="clear" w:color="auto" w:fill="auto"/>
                  <w:vAlign w:val="center"/>
                </w:tcPr>
                <w:p w14:paraId="641B8CC8" w14:textId="77777777" w:rsidR="00692E71" w:rsidRPr="001E3185" w:rsidRDefault="00692E71" w:rsidP="008E0250">
                  <w:pPr>
                    <w:autoSpaceDE w:val="0"/>
                    <w:autoSpaceDN w:val="0"/>
                    <w:ind w:right="142"/>
                    <w:jc w:val="center"/>
                    <w:rPr>
                      <w:rFonts w:cs="Arial"/>
                    </w:rPr>
                  </w:pPr>
                  <w:r w:rsidRPr="001E3185">
                    <w:rPr>
                      <w:rFonts w:cs="Arial"/>
                      <w:b/>
                      <w:iCs/>
                    </w:rPr>
                    <w:t>SEDIMENT</w:t>
                  </w:r>
                </w:p>
              </w:tc>
              <w:tc>
                <w:tcPr>
                  <w:tcW w:w="1886" w:type="pct"/>
                  <w:gridSpan w:val="2"/>
                  <w:shd w:val="clear" w:color="auto" w:fill="auto"/>
                  <w:vAlign w:val="center"/>
                </w:tcPr>
                <w:p w14:paraId="0FF4C86C" w14:textId="77777777" w:rsidR="00692E71" w:rsidRPr="001E3185" w:rsidRDefault="00692E71" w:rsidP="008E0250">
                  <w:pPr>
                    <w:autoSpaceDE w:val="0"/>
                    <w:autoSpaceDN w:val="0"/>
                    <w:ind w:right="142"/>
                    <w:jc w:val="center"/>
                    <w:rPr>
                      <w:rFonts w:cs="Arial"/>
                    </w:rPr>
                  </w:pPr>
                  <w:r w:rsidRPr="001E3185">
                    <w:rPr>
                      <w:rFonts w:cs="Arial"/>
                      <w:b/>
                    </w:rPr>
                    <w:t>Professional</w:t>
                  </w:r>
                </w:p>
              </w:tc>
              <w:tc>
                <w:tcPr>
                  <w:tcW w:w="1810" w:type="pct"/>
                  <w:gridSpan w:val="2"/>
                  <w:shd w:val="clear" w:color="auto" w:fill="auto"/>
                  <w:vAlign w:val="center"/>
                </w:tcPr>
                <w:p w14:paraId="3CB9A310" w14:textId="77777777" w:rsidR="00692E71" w:rsidRPr="001E3185" w:rsidRDefault="00692E71" w:rsidP="008E0250">
                  <w:pPr>
                    <w:autoSpaceDE w:val="0"/>
                    <w:autoSpaceDN w:val="0"/>
                    <w:ind w:right="142"/>
                    <w:jc w:val="center"/>
                    <w:rPr>
                      <w:rFonts w:cs="Arial"/>
                    </w:rPr>
                  </w:pPr>
                  <w:r w:rsidRPr="001E3185">
                    <w:rPr>
                      <w:rFonts w:cs="Arial"/>
                      <w:b/>
                    </w:rPr>
                    <w:t>Non-professional</w:t>
                  </w:r>
                </w:p>
              </w:tc>
            </w:tr>
            <w:tr w:rsidR="00692E71" w:rsidRPr="001E3185" w14:paraId="62DD4058" w14:textId="77777777" w:rsidTr="008E0250">
              <w:trPr>
                <w:trHeight w:val="283"/>
              </w:trPr>
              <w:tc>
                <w:tcPr>
                  <w:tcW w:w="1304" w:type="pct"/>
                  <w:vMerge/>
                  <w:shd w:val="clear" w:color="auto" w:fill="auto"/>
                  <w:vAlign w:val="center"/>
                </w:tcPr>
                <w:p w14:paraId="0A19423E" w14:textId="77777777" w:rsidR="00692E71" w:rsidRPr="001E3185" w:rsidRDefault="00692E71" w:rsidP="008E0250">
                  <w:pPr>
                    <w:autoSpaceDE w:val="0"/>
                    <w:autoSpaceDN w:val="0"/>
                    <w:ind w:right="142"/>
                    <w:rPr>
                      <w:rFonts w:cs="Arial"/>
                    </w:rPr>
                  </w:pPr>
                </w:p>
              </w:tc>
              <w:tc>
                <w:tcPr>
                  <w:tcW w:w="1015" w:type="pct"/>
                  <w:shd w:val="clear" w:color="auto" w:fill="auto"/>
                  <w:vAlign w:val="center"/>
                </w:tcPr>
                <w:p w14:paraId="060EF30F" w14:textId="77777777" w:rsidR="00692E71" w:rsidRPr="001E3185" w:rsidRDefault="00692E71" w:rsidP="008E0250">
                  <w:pPr>
                    <w:autoSpaceDE w:val="0"/>
                    <w:autoSpaceDN w:val="0"/>
                    <w:jc w:val="center"/>
                    <w:rPr>
                      <w:rFonts w:cs="Arial"/>
                      <w:b/>
                    </w:rPr>
                  </w:pPr>
                  <w:r w:rsidRPr="001E3185">
                    <w:rPr>
                      <w:rFonts w:cs="Arial"/>
                      <w:b/>
                      <w:iCs/>
                    </w:rPr>
                    <w:t>PEC</w:t>
                  </w:r>
                  <w:r w:rsidRPr="001E3185">
                    <w:rPr>
                      <w:rFonts w:cs="Arial"/>
                      <w:b/>
                    </w:rPr>
                    <w:t xml:space="preserve"> [mg.kg</w:t>
                  </w:r>
                  <w:r w:rsidRPr="001E3185">
                    <w:rPr>
                      <w:rFonts w:cs="Arial"/>
                      <w:b/>
                      <w:vertAlign w:val="subscript"/>
                    </w:rPr>
                    <w:t>wwt</w:t>
                  </w:r>
                  <w:r w:rsidRPr="001E3185">
                    <w:rPr>
                      <w:rFonts w:cs="Arial"/>
                      <w:b/>
                      <w:vertAlign w:val="superscript"/>
                    </w:rPr>
                    <w:t>-1</w:t>
                  </w:r>
                  <w:r w:rsidRPr="001E3185">
                    <w:rPr>
                      <w:rFonts w:cs="Arial"/>
                      <w:b/>
                    </w:rPr>
                    <w:t>]</w:t>
                  </w:r>
                </w:p>
              </w:tc>
              <w:tc>
                <w:tcPr>
                  <w:tcW w:w="871" w:type="pct"/>
                  <w:shd w:val="clear" w:color="auto" w:fill="auto"/>
                  <w:vAlign w:val="center"/>
                </w:tcPr>
                <w:p w14:paraId="068F3236" w14:textId="77777777" w:rsidR="00692E71" w:rsidRPr="001E3185" w:rsidRDefault="00692E71" w:rsidP="008E0250">
                  <w:pPr>
                    <w:autoSpaceDE w:val="0"/>
                    <w:autoSpaceDN w:val="0"/>
                    <w:jc w:val="center"/>
                    <w:rPr>
                      <w:rFonts w:cs="Arial"/>
                    </w:rPr>
                  </w:pPr>
                  <w:r w:rsidRPr="001E3185">
                    <w:rPr>
                      <w:rFonts w:cs="Arial"/>
                      <w:b/>
                    </w:rPr>
                    <w:t>PEC/PNEC</w:t>
                  </w:r>
                </w:p>
              </w:tc>
              <w:tc>
                <w:tcPr>
                  <w:tcW w:w="977" w:type="pct"/>
                  <w:shd w:val="clear" w:color="auto" w:fill="auto"/>
                  <w:vAlign w:val="center"/>
                </w:tcPr>
                <w:p w14:paraId="3E85F817" w14:textId="77777777" w:rsidR="00692E71" w:rsidRPr="001E3185" w:rsidRDefault="00692E71" w:rsidP="008E0250">
                  <w:pPr>
                    <w:autoSpaceDE w:val="0"/>
                    <w:autoSpaceDN w:val="0"/>
                    <w:jc w:val="center"/>
                    <w:rPr>
                      <w:rFonts w:cs="Arial"/>
                      <w:b/>
                    </w:rPr>
                  </w:pPr>
                  <w:r w:rsidRPr="001E3185">
                    <w:rPr>
                      <w:rFonts w:cs="Arial"/>
                      <w:b/>
                      <w:iCs/>
                    </w:rPr>
                    <w:t>PEC</w:t>
                  </w:r>
                  <w:r w:rsidRPr="001E3185">
                    <w:rPr>
                      <w:rFonts w:cs="Arial"/>
                      <w:b/>
                    </w:rPr>
                    <w:t xml:space="preserve"> [mg.kg</w:t>
                  </w:r>
                  <w:r w:rsidRPr="001E3185">
                    <w:rPr>
                      <w:rFonts w:cs="Arial"/>
                      <w:b/>
                      <w:vertAlign w:val="subscript"/>
                    </w:rPr>
                    <w:t>wwt</w:t>
                  </w:r>
                  <w:r w:rsidRPr="001E3185">
                    <w:rPr>
                      <w:rFonts w:cs="Arial"/>
                      <w:b/>
                      <w:vertAlign w:val="superscript"/>
                    </w:rPr>
                    <w:t>-1</w:t>
                  </w:r>
                  <w:r w:rsidRPr="001E3185">
                    <w:rPr>
                      <w:rFonts w:cs="Arial"/>
                      <w:b/>
                    </w:rPr>
                    <w:t>]</w:t>
                  </w:r>
                </w:p>
              </w:tc>
              <w:tc>
                <w:tcPr>
                  <w:tcW w:w="833" w:type="pct"/>
                  <w:shd w:val="clear" w:color="auto" w:fill="auto"/>
                  <w:vAlign w:val="center"/>
                </w:tcPr>
                <w:p w14:paraId="348B6638"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32F2106F" w14:textId="77777777" w:rsidTr="008E0250">
              <w:trPr>
                <w:trHeight w:val="283"/>
              </w:trPr>
              <w:tc>
                <w:tcPr>
                  <w:tcW w:w="1304" w:type="pct"/>
                  <w:shd w:val="clear" w:color="auto" w:fill="auto"/>
                  <w:vAlign w:val="center"/>
                </w:tcPr>
                <w:p w14:paraId="5CFA4D2E" w14:textId="77777777" w:rsidR="00692E71" w:rsidRPr="001E3185" w:rsidRDefault="00692E71" w:rsidP="008E0250">
                  <w:pPr>
                    <w:autoSpaceDE w:val="0"/>
                    <w:autoSpaceDN w:val="0"/>
                    <w:ind w:right="142"/>
                    <w:rPr>
                      <w:rFonts w:cs="Arial"/>
                    </w:rPr>
                  </w:pPr>
                  <w:r w:rsidRPr="001E3185">
                    <w:rPr>
                      <w:rFonts w:cs="Arial"/>
                    </w:rPr>
                    <w:t>Tebuconazole</w:t>
                  </w:r>
                </w:p>
              </w:tc>
              <w:tc>
                <w:tcPr>
                  <w:tcW w:w="1015" w:type="pct"/>
                  <w:shd w:val="clear" w:color="auto" w:fill="auto"/>
                  <w:vAlign w:val="center"/>
                </w:tcPr>
                <w:p w14:paraId="096FB60E" w14:textId="77777777" w:rsidR="00692E71" w:rsidRPr="001E3185" w:rsidRDefault="00692E71" w:rsidP="008E0250">
                  <w:pPr>
                    <w:autoSpaceDE w:val="0"/>
                    <w:autoSpaceDN w:val="0"/>
                    <w:jc w:val="center"/>
                    <w:rPr>
                      <w:rFonts w:cs="Arial"/>
                    </w:rPr>
                  </w:pPr>
                  <w:r w:rsidRPr="001E3185">
                    <w:rPr>
                      <w:rFonts w:cs="Arial"/>
                    </w:rPr>
                    <w:t>6.70E-04</w:t>
                  </w:r>
                </w:p>
              </w:tc>
              <w:tc>
                <w:tcPr>
                  <w:tcW w:w="871" w:type="pct"/>
                  <w:shd w:val="clear" w:color="auto" w:fill="auto"/>
                  <w:vAlign w:val="center"/>
                </w:tcPr>
                <w:p w14:paraId="1DA7F07C" w14:textId="77777777" w:rsidR="00692E71" w:rsidRPr="001E3185" w:rsidRDefault="00692E71" w:rsidP="008E0250">
                  <w:pPr>
                    <w:autoSpaceDE w:val="0"/>
                    <w:autoSpaceDN w:val="0"/>
                    <w:jc w:val="center"/>
                    <w:rPr>
                      <w:rFonts w:cs="Arial"/>
                    </w:rPr>
                  </w:pPr>
                  <w:r w:rsidRPr="001E3185">
                    <w:rPr>
                      <w:rFonts w:cs="Arial"/>
                    </w:rPr>
                    <w:t>1.22E-03</w:t>
                  </w:r>
                </w:p>
              </w:tc>
              <w:tc>
                <w:tcPr>
                  <w:tcW w:w="977" w:type="pct"/>
                  <w:shd w:val="clear" w:color="auto" w:fill="auto"/>
                  <w:vAlign w:val="center"/>
                </w:tcPr>
                <w:p w14:paraId="4EC17DC4" w14:textId="77777777" w:rsidR="00692E71" w:rsidRPr="001E3185" w:rsidRDefault="00692E71" w:rsidP="008E0250">
                  <w:pPr>
                    <w:autoSpaceDE w:val="0"/>
                    <w:autoSpaceDN w:val="0"/>
                    <w:jc w:val="center"/>
                    <w:rPr>
                      <w:rFonts w:cs="Arial"/>
                    </w:rPr>
                  </w:pPr>
                  <w:r w:rsidRPr="001E3185">
                    <w:rPr>
                      <w:rFonts w:cs="Arial"/>
                    </w:rPr>
                    <w:t>1.12E-03</w:t>
                  </w:r>
                </w:p>
              </w:tc>
              <w:tc>
                <w:tcPr>
                  <w:tcW w:w="833" w:type="pct"/>
                  <w:shd w:val="clear" w:color="auto" w:fill="auto"/>
                  <w:vAlign w:val="center"/>
                </w:tcPr>
                <w:p w14:paraId="7002B54C" w14:textId="77777777" w:rsidR="00692E71" w:rsidRPr="001E3185" w:rsidRDefault="00692E71" w:rsidP="008E0250">
                  <w:pPr>
                    <w:autoSpaceDE w:val="0"/>
                    <w:autoSpaceDN w:val="0"/>
                    <w:jc w:val="center"/>
                    <w:rPr>
                      <w:rFonts w:cs="Arial"/>
                    </w:rPr>
                  </w:pPr>
                  <w:r w:rsidRPr="001E3185">
                    <w:rPr>
                      <w:rFonts w:cs="Arial"/>
                    </w:rPr>
                    <w:t>2.03E-03</w:t>
                  </w:r>
                </w:p>
              </w:tc>
            </w:tr>
            <w:tr w:rsidR="00692E71" w:rsidRPr="001E3185" w14:paraId="34122358" w14:textId="77777777" w:rsidTr="008E0250">
              <w:trPr>
                <w:trHeight w:val="283"/>
              </w:trPr>
              <w:tc>
                <w:tcPr>
                  <w:tcW w:w="1304" w:type="pct"/>
                  <w:shd w:val="clear" w:color="auto" w:fill="auto"/>
                  <w:vAlign w:val="center"/>
                </w:tcPr>
                <w:p w14:paraId="0B6D347D" w14:textId="77777777" w:rsidR="00692E71" w:rsidRPr="001E3185" w:rsidRDefault="00692E71" w:rsidP="008E0250">
                  <w:pPr>
                    <w:autoSpaceDE w:val="0"/>
                    <w:autoSpaceDN w:val="0"/>
                    <w:ind w:right="142"/>
                    <w:rPr>
                      <w:rFonts w:cs="Arial"/>
                    </w:rPr>
                  </w:pPr>
                  <w:r w:rsidRPr="001E3185">
                    <w:rPr>
                      <w:rFonts w:cs="Arial"/>
                    </w:rPr>
                    <w:t>Propiconazole</w:t>
                  </w:r>
                </w:p>
              </w:tc>
              <w:tc>
                <w:tcPr>
                  <w:tcW w:w="1015" w:type="pct"/>
                  <w:shd w:val="clear" w:color="auto" w:fill="auto"/>
                  <w:vAlign w:val="center"/>
                </w:tcPr>
                <w:p w14:paraId="778361CB" w14:textId="77777777" w:rsidR="00692E71" w:rsidRPr="001E3185" w:rsidRDefault="00692E71" w:rsidP="008E0250">
                  <w:pPr>
                    <w:autoSpaceDE w:val="0"/>
                    <w:autoSpaceDN w:val="0"/>
                    <w:jc w:val="center"/>
                    <w:rPr>
                      <w:rFonts w:cs="Arial"/>
                    </w:rPr>
                  </w:pPr>
                  <w:r w:rsidRPr="001E3185">
                    <w:rPr>
                      <w:rFonts w:cs="Arial"/>
                    </w:rPr>
                    <w:t>2.05E-03</w:t>
                  </w:r>
                </w:p>
              </w:tc>
              <w:tc>
                <w:tcPr>
                  <w:tcW w:w="871" w:type="pct"/>
                  <w:shd w:val="clear" w:color="auto" w:fill="auto"/>
                  <w:vAlign w:val="center"/>
                </w:tcPr>
                <w:p w14:paraId="064BA668" w14:textId="77777777" w:rsidR="00692E71" w:rsidRPr="001E3185" w:rsidRDefault="00692E71" w:rsidP="008E0250">
                  <w:pPr>
                    <w:autoSpaceDE w:val="0"/>
                    <w:autoSpaceDN w:val="0"/>
                    <w:jc w:val="center"/>
                    <w:rPr>
                      <w:rFonts w:cs="Arial"/>
                    </w:rPr>
                  </w:pPr>
                  <w:r w:rsidRPr="001E3185">
                    <w:rPr>
                      <w:rFonts w:cs="Arial"/>
                    </w:rPr>
                    <w:t>3.79E-02</w:t>
                  </w:r>
                </w:p>
              </w:tc>
              <w:tc>
                <w:tcPr>
                  <w:tcW w:w="977" w:type="pct"/>
                  <w:shd w:val="clear" w:color="auto" w:fill="auto"/>
                  <w:vAlign w:val="center"/>
                </w:tcPr>
                <w:p w14:paraId="1F3B886C" w14:textId="77777777" w:rsidR="00692E71" w:rsidRPr="001E3185" w:rsidRDefault="00692E71" w:rsidP="008E0250">
                  <w:pPr>
                    <w:autoSpaceDE w:val="0"/>
                    <w:autoSpaceDN w:val="0"/>
                    <w:jc w:val="center"/>
                    <w:rPr>
                      <w:rFonts w:cs="Arial"/>
                    </w:rPr>
                  </w:pPr>
                  <w:r w:rsidRPr="001E3185">
                    <w:rPr>
                      <w:rFonts w:cs="Arial"/>
                    </w:rPr>
                    <w:t>3.41E-03</w:t>
                  </w:r>
                </w:p>
              </w:tc>
              <w:tc>
                <w:tcPr>
                  <w:tcW w:w="833" w:type="pct"/>
                  <w:shd w:val="clear" w:color="auto" w:fill="auto"/>
                  <w:vAlign w:val="center"/>
                </w:tcPr>
                <w:p w14:paraId="49ED6A41" w14:textId="77777777" w:rsidR="00692E71" w:rsidRPr="001E3185" w:rsidRDefault="00692E71" w:rsidP="008E0250">
                  <w:pPr>
                    <w:autoSpaceDE w:val="0"/>
                    <w:autoSpaceDN w:val="0"/>
                    <w:jc w:val="center"/>
                    <w:rPr>
                      <w:rFonts w:cs="Arial"/>
                    </w:rPr>
                  </w:pPr>
                  <w:r w:rsidRPr="001E3185">
                    <w:rPr>
                      <w:rFonts w:cs="Arial"/>
                    </w:rPr>
                    <w:t>6.31E-02</w:t>
                  </w:r>
                </w:p>
              </w:tc>
            </w:tr>
            <w:tr w:rsidR="00692E71" w:rsidRPr="001E3185" w14:paraId="163CD8F7" w14:textId="77777777" w:rsidTr="008E0250">
              <w:trPr>
                <w:trHeight w:val="283"/>
              </w:trPr>
              <w:tc>
                <w:tcPr>
                  <w:tcW w:w="1304" w:type="pct"/>
                  <w:shd w:val="clear" w:color="auto" w:fill="auto"/>
                  <w:vAlign w:val="center"/>
                </w:tcPr>
                <w:p w14:paraId="36E2B7BE" w14:textId="77777777" w:rsidR="00692E71" w:rsidRPr="001E3185" w:rsidRDefault="00692E71" w:rsidP="008E0250">
                  <w:pPr>
                    <w:autoSpaceDE w:val="0"/>
                    <w:autoSpaceDN w:val="0"/>
                    <w:ind w:right="142"/>
                    <w:rPr>
                      <w:rFonts w:cs="Arial"/>
                    </w:rPr>
                  </w:pPr>
                  <w:r w:rsidRPr="001E3185">
                    <w:rPr>
                      <w:rFonts w:cs="Arial"/>
                    </w:rPr>
                    <w:t>Cypermethrin*</w:t>
                  </w:r>
                </w:p>
              </w:tc>
              <w:tc>
                <w:tcPr>
                  <w:tcW w:w="1015" w:type="pct"/>
                  <w:shd w:val="clear" w:color="auto" w:fill="auto"/>
                  <w:vAlign w:val="center"/>
                </w:tcPr>
                <w:p w14:paraId="32AFC685" w14:textId="77777777" w:rsidR="00692E71" w:rsidRPr="001E3185" w:rsidRDefault="00692E71" w:rsidP="008E0250">
                  <w:pPr>
                    <w:autoSpaceDE w:val="0"/>
                    <w:autoSpaceDN w:val="0"/>
                    <w:jc w:val="center"/>
                    <w:rPr>
                      <w:rFonts w:cs="Arial"/>
                    </w:rPr>
                  </w:pPr>
                  <w:r w:rsidRPr="001E3185">
                    <w:rPr>
                      <w:rFonts w:cs="Arial"/>
                    </w:rPr>
                    <w:t>6.00E-01</w:t>
                  </w:r>
                </w:p>
              </w:tc>
              <w:tc>
                <w:tcPr>
                  <w:tcW w:w="871" w:type="pct"/>
                  <w:shd w:val="clear" w:color="auto" w:fill="auto"/>
                  <w:vAlign w:val="center"/>
                </w:tcPr>
                <w:p w14:paraId="1C5FB5A2" w14:textId="77777777" w:rsidR="00692E71" w:rsidRPr="001E3185" w:rsidRDefault="00692E71" w:rsidP="008E0250">
                  <w:pPr>
                    <w:autoSpaceDE w:val="0"/>
                    <w:autoSpaceDN w:val="0"/>
                    <w:jc w:val="center"/>
                    <w:rPr>
                      <w:rFonts w:cs="Arial"/>
                      <w:b/>
                    </w:rPr>
                  </w:pPr>
                  <w:r w:rsidRPr="001E3185">
                    <w:rPr>
                      <w:rFonts w:cs="Arial"/>
                      <w:b/>
                    </w:rPr>
                    <w:t>1.20E+02</w:t>
                  </w:r>
                </w:p>
              </w:tc>
              <w:tc>
                <w:tcPr>
                  <w:tcW w:w="977" w:type="pct"/>
                  <w:shd w:val="clear" w:color="auto" w:fill="auto"/>
                  <w:vAlign w:val="center"/>
                </w:tcPr>
                <w:p w14:paraId="1EC7CF1C" w14:textId="77777777" w:rsidR="00692E71" w:rsidRPr="001E3185" w:rsidRDefault="00692E71" w:rsidP="008E0250">
                  <w:pPr>
                    <w:autoSpaceDE w:val="0"/>
                    <w:autoSpaceDN w:val="0"/>
                    <w:jc w:val="center"/>
                    <w:rPr>
                      <w:rFonts w:cs="Arial"/>
                    </w:rPr>
                  </w:pPr>
                  <w:r w:rsidRPr="001E3185">
                    <w:rPr>
                      <w:rFonts w:cs="Arial"/>
                    </w:rPr>
                    <w:t>1.00E+00</w:t>
                  </w:r>
                </w:p>
              </w:tc>
              <w:tc>
                <w:tcPr>
                  <w:tcW w:w="833" w:type="pct"/>
                  <w:shd w:val="clear" w:color="auto" w:fill="auto"/>
                  <w:vAlign w:val="center"/>
                </w:tcPr>
                <w:p w14:paraId="7261350B" w14:textId="77777777" w:rsidR="00692E71" w:rsidRPr="001E3185" w:rsidRDefault="00692E71" w:rsidP="008E0250">
                  <w:pPr>
                    <w:autoSpaceDE w:val="0"/>
                    <w:autoSpaceDN w:val="0"/>
                    <w:jc w:val="center"/>
                    <w:rPr>
                      <w:rFonts w:cs="Arial"/>
                      <w:b/>
                    </w:rPr>
                  </w:pPr>
                  <w:r w:rsidRPr="001E3185">
                    <w:rPr>
                      <w:rFonts w:cs="Arial"/>
                      <w:b/>
                    </w:rPr>
                    <w:t>2.00E+02</w:t>
                  </w:r>
                </w:p>
              </w:tc>
            </w:tr>
            <w:tr w:rsidR="00692E71" w:rsidRPr="001E3185" w14:paraId="041DB1CA" w14:textId="77777777" w:rsidTr="008E0250">
              <w:trPr>
                <w:trHeight w:val="283"/>
              </w:trPr>
              <w:tc>
                <w:tcPr>
                  <w:tcW w:w="1304" w:type="pct"/>
                  <w:shd w:val="clear" w:color="auto" w:fill="auto"/>
                  <w:vAlign w:val="center"/>
                </w:tcPr>
                <w:p w14:paraId="375C39D9" w14:textId="77777777" w:rsidR="00692E71" w:rsidRPr="001E3185" w:rsidRDefault="00692E71" w:rsidP="008E0250">
                  <w:pPr>
                    <w:autoSpaceDE w:val="0"/>
                    <w:autoSpaceDN w:val="0"/>
                    <w:ind w:right="142"/>
                    <w:rPr>
                      <w:rFonts w:cs="Arial"/>
                    </w:rPr>
                  </w:pPr>
                  <w:r w:rsidRPr="001E3185">
                    <w:rPr>
                      <w:rFonts w:cs="Arial"/>
                    </w:rPr>
                    <w:t>PBC</w:t>
                  </w:r>
                </w:p>
              </w:tc>
              <w:tc>
                <w:tcPr>
                  <w:tcW w:w="1015" w:type="pct"/>
                  <w:shd w:val="clear" w:color="auto" w:fill="auto"/>
                  <w:vAlign w:val="center"/>
                </w:tcPr>
                <w:p w14:paraId="6824038F" w14:textId="77777777" w:rsidR="00692E71" w:rsidRPr="001E3185" w:rsidRDefault="00692E71" w:rsidP="008E0250">
                  <w:pPr>
                    <w:autoSpaceDE w:val="0"/>
                    <w:autoSpaceDN w:val="0"/>
                    <w:jc w:val="center"/>
                    <w:rPr>
                      <w:rFonts w:cs="Arial"/>
                    </w:rPr>
                  </w:pPr>
                  <w:r w:rsidRPr="001E3185">
                    <w:rPr>
                      <w:rFonts w:cs="Arial"/>
                    </w:rPr>
                    <w:t>8.43E-05</w:t>
                  </w:r>
                </w:p>
              </w:tc>
              <w:tc>
                <w:tcPr>
                  <w:tcW w:w="871" w:type="pct"/>
                  <w:shd w:val="clear" w:color="auto" w:fill="auto"/>
                  <w:vAlign w:val="center"/>
                </w:tcPr>
                <w:p w14:paraId="48A97AF6" w14:textId="77777777" w:rsidR="00692E71" w:rsidRPr="001E3185" w:rsidRDefault="00692E71" w:rsidP="008E0250">
                  <w:pPr>
                    <w:autoSpaceDE w:val="0"/>
                    <w:autoSpaceDN w:val="0"/>
                    <w:jc w:val="center"/>
                    <w:rPr>
                      <w:rFonts w:cs="Arial"/>
                    </w:rPr>
                  </w:pPr>
                  <w:r w:rsidRPr="001E3185">
                    <w:rPr>
                      <w:rFonts w:cs="Arial"/>
                    </w:rPr>
                    <w:t>4.01E-04</w:t>
                  </w:r>
                </w:p>
              </w:tc>
              <w:tc>
                <w:tcPr>
                  <w:tcW w:w="977" w:type="pct"/>
                  <w:shd w:val="clear" w:color="auto" w:fill="auto"/>
                  <w:vAlign w:val="center"/>
                </w:tcPr>
                <w:p w14:paraId="28DF0C6E" w14:textId="77777777" w:rsidR="00692E71" w:rsidRPr="001E3185" w:rsidRDefault="00692E71" w:rsidP="008E0250">
                  <w:pPr>
                    <w:autoSpaceDE w:val="0"/>
                    <w:autoSpaceDN w:val="0"/>
                    <w:jc w:val="center"/>
                    <w:rPr>
                      <w:rFonts w:cs="Arial"/>
                    </w:rPr>
                  </w:pPr>
                  <w:r w:rsidRPr="001E3185">
                    <w:rPr>
                      <w:rFonts w:cs="Arial"/>
                    </w:rPr>
                    <w:t>1.40E-04</w:t>
                  </w:r>
                </w:p>
              </w:tc>
              <w:tc>
                <w:tcPr>
                  <w:tcW w:w="833" w:type="pct"/>
                  <w:shd w:val="clear" w:color="auto" w:fill="auto"/>
                  <w:vAlign w:val="center"/>
                </w:tcPr>
                <w:p w14:paraId="0FECA25E" w14:textId="77777777" w:rsidR="00692E71" w:rsidRPr="001E3185" w:rsidRDefault="00692E71" w:rsidP="008E0250">
                  <w:pPr>
                    <w:autoSpaceDE w:val="0"/>
                    <w:autoSpaceDN w:val="0"/>
                    <w:jc w:val="center"/>
                    <w:rPr>
                      <w:rFonts w:cs="Arial"/>
                    </w:rPr>
                  </w:pPr>
                  <w:r w:rsidRPr="001E3185">
                    <w:rPr>
                      <w:rFonts w:cs="Arial"/>
                    </w:rPr>
                    <w:t>6.68E-04</w:t>
                  </w:r>
                </w:p>
              </w:tc>
            </w:tr>
            <w:tr w:rsidR="00692E71" w:rsidRPr="001E3185" w14:paraId="468CDC7F" w14:textId="77777777" w:rsidTr="008E0250">
              <w:trPr>
                <w:trHeight w:val="283"/>
              </w:trPr>
              <w:tc>
                <w:tcPr>
                  <w:tcW w:w="1304" w:type="pct"/>
                  <w:shd w:val="clear" w:color="auto" w:fill="auto"/>
                  <w:vAlign w:val="center"/>
                </w:tcPr>
                <w:p w14:paraId="023A4A5C" w14:textId="77777777" w:rsidR="00692E71" w:rsidRPr="001E3185" w:rsidRDefault="00692E71" w:rsidP="008E0250">
                  <w:pPr>
                    <w:autoSpaceDE w:val="0"/>
                    <w:autoSpaceDN w:val="0"/>
                    <w:ind w:right="142"/>
                    <w:rPr>
                      <w:rFonts w:cs="Arial"/>
                    </w:rPr>
                  </w:pPr>
                  <w:r w:rsidRPr="001E3185">
                    <w:rPr>
                      <w:rFonts w:cs="Arial"/>
                      <w:b/>
                      <w:lang w:eastAsia="en-GB"/>
                    </w:rPr>
                    <w:t>PEC/PNEC</w:t>
                  </w:r>
                </w:p>
              </w:tc>
              <w:tc>
                <w:tcPr>
                  <w:tcW w:w="1015" w:type="pct"/>
                  <w:shd w:val="clear" w:color="auto" w:fill="auto"/>
                  <w:vAlign w:val="center"/>
                </w:tcPr>
                <w:p w14:paraId="114352D6" w14:textId="77777777" w:rsidR="00692E71" w:rsidRPr="001E3185" w:rsidRDefault="00692E71" w:rsidP="008E0250">
                  <w:pPr>
                    <w:autoSpaceDE w:val="0"/>
                    <w:autoSpaceDN w:val="0"/>
                    <w:jc w:val="center"/>
                    <w:rPr>
                      <w:rFonts w:cs="Arial"/>
                    </w:rPr>
                  </w:pPr>
                </w:p>
              </w:tc>
              <w:tc>
                <w:tcPr>
                  <w:tcW w:w="871" w:type="pct"/>
                  <w:shd w:val="clear" w:color="auto" w:fill="auto"/>
                  <w:vAlign w:val="center"/>
                </w:tcPr>
                <w:p w14:paraId="5ECDA40C" w14:textId="77777777" w:rsidR="00692E71" w:rsidRPr="001E3185" w:rsidRDefault="00692E71" w:rsidP="008E0250">
                  <w:pPr>
                    <w:autoSpaceDE w:val="0"/>
                    <w:autoSpaceDN w:val="0"/>
                    <w:jc w:val="center"/>
                    <w:rPr>
                      <w:rFonts w:cs="Arial"/>
                      <w:b/>
                      <w:color w:val="FF0000"/>
                    </w:rPr>
                  </w:pPr>
                  <w:r w:rsidRPr="001E3185">
                    <w:rPr>
                      <w:rFonts w:cs="Arial"/>
                      <w:b/>
                      <w:color w:val="FF0000"/>
                    </w:rPr>
                    <w:t>120</w:t>
                  </w:r>
                </w:p>
              </w:tc>
              <w:tc>
                <w:tcPr>
                  <w:tcW w:w="977" w:type="pct"/>
                  <w:shd w:val="clear" w:color="auto" w:fill="auto"/>
                  <w:vAlign w:val="center"/>
                </w:tcPr>
                <w:p w14:paraId="121B5C12" w14:textId="77777777" w:rsidR="00692E71" w:rsidRPr="001E3185" w:rsidRDefault="00692E71" w:rsidP="008E0250">
                  <w:pPr>
                    <w:autoSpaceDE w:val="0"/>
                    <w:autoSpaceDN w:val="0"/>
                    <w:jc w:val="center"/>
                    <w:rPr>
                      <w:rFonts w:cs="Arial"/>
                    </w:rPr>
                  </w:pPr>
                </w:p>
              </w:tc>
              <w:tc>
                <w:tcPr>
                  <w:tcW w:w="833" w:type="pct"/>
                  <w:shd w:val="clear" w:color="auto" w:fill="auto"/>
                  <w:vAlign w:val="center"/>
                </w:tcPr>
                <w:p w14:paraId="3EA7CDBF" w14:textId="77777777" w:rsidR="00692E71" w:rsidRPr="001E3185" w:rsidRDefault="00692E71" w:rsidP="008E0250">
                  <w:pPr>
                    <w:autoSpaceDE w:val="0"/>
                    <w:autoSpaceDN w:val="0"/>
                    <w:jc w:val="center"/>
                    <w:rPr>
                      <w:rFonts w:cs="Arial"/>
                      <w:b/>
                      <w:color w:val="FF0000"/>
                    </w:rPr>
                  </w:pPr>
                  <w:r w:rsidRPr="001E3185">
                    <w:rPr>
                      <w:rFonts w:cs="Arial"/>
                      <w:b/>
                      <w:color w:val="FF0000"/>
                    </w:rPr>
                    <w:t>200</w:t>
                  </w:r>
                </w:p>
              </w:tc>
            </w:tr>
          </w:tbl>
          <w:p w14:paraId="24F3D240" w14:textId="77777777" w:rsidR="00692E71" w:rsidRPr="001E3185" w:rsidRDefault="00692E71" w:rsidP="008E0250">
            <w:pPr>
              <w:autoSpaceDE w:val="0"/>
              <w:autoSpaceDN w:val="0"/>
              <w:rPr>
                <w:rFonts w:cs="Arial"/>
                <w:sz w:val="18"/>
                <w:szCs w:val="18"/>
                <w:lang w:eastAsia="en-GB"/>
              </w:rPr>
            </w:pPr>
            <w:r w:rsidRPr="001E3185">
              <w:rPr>
                <w:rFonts w:cs="Arial"/>
                <w:sz w:val="18"/>
                <w:szCs w:val="18"/>
                <w:lang w:eastAsia="en-GB"/>
              </w:rPr>
              <w:t>* An additional factor of 10 has been considered as PNECsed was defined using the EPM method</w:t>
            </w:r>
          </w:p>
          <w:p w14:paraId="38D59A1F" w14:textId="77777777" w:rsidR="00692E71" w:rsidRPr="001E3185" w:rsidRDefault="00692E71" w:rsidP="008E02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600"/>
              <w:gridCol w:w="3455"/>
            </w:tblGrid>
            <w:tr w:rsidR="00692E71" w:rsidRPr="001E3185" w14:paraId="40E76D0A" w14:textId="77777777" w:rsidTr="008E0250">
              <w:trPr>
                <w:trHeight w:val="340"/>
              </w:trPr>
              <w:tc>
                <w:tcPr>
                  <w:tcW w:w="5000" w:type="pct"/>
                  <w:gridSpan w:val="3"/>
                  <w:shd w:val="clear" w:color="auto" w:fill="auto"/>
                  <w:vAlign w:val="center"/>
                </w:tcPr>
                <w:p w14:paraId="75866BEE" w14:textId="77777777" w:rsidR="00692E71" w:rsidRPr="001E3185" w:rsidRDefault="00692E71" w:rsidP="008E0250">
                  <w:pPr>
                    <w:autoSpaceDE w:val="0"/>
                    <w:autoSpaceDN w:val="0"/>
                    <w:ind w:right="142"/>
                    <w:jc w:val="center"/>
                    <w:rPr>
                      <w:rFonts w:cs="Arial"/>
                      <w:b/>
                    </w:rPr>
                  </w:pPr>
                  <w:r w:rsidRPr="001E3185">
                    <w:rPr>
                      <w:rFonts w:cs="Arial"/>
                      <w:b/>
                    </w:rPr>
                    <w:t>Application - Bridge over the pond - Treatment by spraying</w:t>
                  </w:r>
                </w:p>
              </w:tc>
            </w:tr>
            <w:tr w:rsidR="00692E71" w:rsidRPr="001E3185" w14:paraId="5F4A09BB" w14:textId="77777777" w:rsidTr="008E0250">
              <w:trPr>
                <w:trHeight w:val="283"/>
              </w:trPr>
              <w:tc>
                <w:tcPr>
                  <w:tcW w:w="1304" w:type="pct"/>
                  <w:shd w:val="clear" w:color="auto" w:fill="auto"/>
                  <w:vAlign w:val="center"/>
                </w:tcPr>
                <w:p w14:paraId="094F01E9" w14:textId="77777777" w:rsidR="00692E71" w:rsidRPr="001E3185" w:rsidRDefault="00692E71" w:rsidP="008E0250">
                  <w:pPr>
                    <w:autoSpaceDE w:val="0"/>
                    <w:autoSpaceDN w:val="0"/>
                    <w:ind w:right="142"/>
                    <w:jc w:val="center"/>
                    <w:rPr>
                      <w:rFonts w:cs="Arial"/>
                    </w:rPr>
                  </w:pPr>
                  <w:r w:rsidRPr="001E3185">
                    <w:rPr>
                      <w:rFonts w:cs="Arial"/>
                      <w:b/>
                      <w:lang w:eastAsia="en-GB"/>
                    </w:rPr>
                    <w:t>SURFACE WATER</w:t>
                  </w:r>
                </w:p>
              </w:tc>
              <w:tc>
                <w:tcPr>
                  <w:tcW w:w="1886" w:type="pct"/>
                  <w:shd w:val="clear" w:color="auto" w:fill="auto"/>
                  <w:vAlign w:val="center"/>
                </w:tcPr>
                <w:p w14:paraId="370902FD" w14:textId="77777777" w:rsidR="00692E71" w:rsidRPr="001E3185" w:rsidRDefault="00692E71" w:rsidP="008E0250">
                  <w:pPr>
                    <w:autoSpaceDE w:val="0"/>
                    <w:autoSpaceDN w:val="0"/>
                    <w:jc w:val="center"/>
                    <w:rPr>
                      <w:rFonts w:cs="Arial"/>
                    </w:rPr>
                  </w:pPr>
                  <w:r w:rsidRPr="001E3185">
                    <w:rPr>
                      <w:rFonts w:cs="Arial"/>
                      <w:b/>
                      <w:iCs/>
                    </w:rPr>
                    <w:t>PEC</w:t>
                  </w:r>
                  <w:r w:rsidRPr="001E3185">
                    <w:rPr>
                      <w:rFonts w:cs="Arial"/>
                      <w:b/>
                    </w:rPr>
                    <w:t xml:space="preserve"> [µg.L</w:t>
                  </w:r>
                  <w:r w:rsidRPr="001E3185">
                    <w:rPr>
                      <w:rFonts w:cs="Arial"/>
                      <w:b/>
                      <w:vertAlign w:val="superscript"/>
                    </w:rPr>
                    <w:t>-1</w:t>
                  </w:r>
                  <w:r w:rsidRPr="001E3185">
                    <w:rPr>
                      <w:rFonts w:cs="Arial"/>
                      <w:b/>
                    </w:rPr>
                    <w:t>]</w:t>
                  </w:r>
                </w:p>
              </w:tc>
              <w:tc>
                <w:tcPr>
                  <w:tcW w:w="1810" w:type="pct"/>
                  <w:shd w:val="clear" w:color="auto" w:fill="auto"/>
                  <w:vAlign w:val="center"/>
                </w:tcPr>
                <w:p w14:paraId="6FC4785A"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04F32EE6" w14:textId="77777777" w:rsidTr="008E0250">
              <w:trPr>
                <w:trHeight w:val="283"/>
              </w:trPr>
              <w:tc>
                <w:tcPr>
                  <w:tcW w:w="1304" w:type="pct"/>
                  <w:shd w:val="clear" w:color="auto" w:fill="auto"/>
                  <w:vAlign w:val="center"/>
                </w:tcPr>
                <w:p w14:paraId="366440A6" w14:textId="77777777" w:rsidR="00692E71" w:rsidRPr="001E3185" w:rsidRDefault="00692E71" w:rsidP="008E0250">
                  <w:pPr>
                    <w:autoSpaceDE w:val="0"/>
                    <w:autoSpaceDN w:val="0"/>
                    <w:ind w:right="142"/>
                    <w:rPr>
                      <w:rFonts w:cs="Arial"/>
                    </w:rPr>
                  </w:pPr>
                  <w:r w:rsidRPr="001E3185">
                    <w:rPr>
                      <w:rFonts w:cs="Arial"/>
                    </w:rPr>
                    <w:t>Tebuconazole</w:t>
                  </w:r>
                </w:p>
              </w:tc>
              <w:tc>
                <w:tcPr>
                  <w:tcW w:w="1886" w:type="pct"/>
                  <w:shd w:val="clear" w:color="auto" w:fill="auto"/>
                  <w:vAlign w:val="center"/>
                </w:tcPr>
                <w:p w14:paraId="3F10E17E" w14:textId="56D7257C" w:rsidR="00692E71" w:rsidRPr="001E3185" w:rsidRDefault="00692E71" w:rsidP="000B2EE2">
                  <w:pPr>
                    <w:autoSpaceDE w:val="0"/>
                    <w:autoSpaceDN w:val="0"/>
                    <w:spacing w:line="276" w:lineRule="auto"/>
                    <w:jc w:val="center"/>
                    <w:rPr>
                      <w:rFonts w:cs="Arial"/>
                    </w:rPr>
                  </w:pPr>
                  <w:r w:rsidRPr="001E3185">
                    <w:rPr>
                      <w:rFonts w:cs="Arial"/>
                    </w:rPr>
                    <w:t>3.00E-</w:t>
                  </w:r>
                  <w:r w:rsidR="000B2EE2" w:rsidRPr="001E3185">
                    <w:rPr>
                      <w:rFonts w:cs="Arial"/>
                    </w:rPr>
                    <w:t>0</w:t>
                  </w:r>
                  <w:r w:rsidR="000B2EE2">
                    <w:rPr>
                      <w:rFonts w:cs="Arial"/>
                    </w:rPr>
                    <w:t>2</w:t>
                  </w:r>
                </w:p>
              </w:tc>
              <w:tc>
                <w:tcPr>
                  <w:tcW w:w="1810" w:type="pct"/>
                  <w:shd w:val="clear" w:color="auto" w:fill="auto"/>
                  <w:vAlign w:val="center"/>
                </w:tcPr>
                <w:p w14:paraId="05A779AA" w14:textId="16C5E80E" w:rsidR="00692E71" w:rsidRPr="001E3185" w:rsidRDefault="00692E71" w:rsidP="000B2EE2">
                  <w:pPr>
                    <w:autoSpaceDE w:val="0"/>
                    <w:autoSpaceDN w:val="0"/>
                    <w:spacing w:line="276" w:lineRule="auto"/>
                    <w:jc w:val="center"/>
                    <w:rPr>
                      <w:rFonts w:cs="Arial"/>
                    </w:rPr>
                  </w:pPr>
                  <w:r w:rsidRPr="001E3185">
                    <w:rPr>
                      <w:rFonts w:cs="Arial"/>
                    </w:rPr>
                    <w:t>3.00E-</w:t>
                  </w:r>
                  <w:r w:rsidR="000B2EE2" w:rsidRPr="001E3185">
                    <w:rPr>
                      <w:rFonts w:cs="Arial"/>
                    </w:rPr>
                    <w:t>0</w:t>
                  </w:r>
                  <w:r w:rsidR="000B2EE2">
                    <w:rPr>
                      <w:rFonts w:cs="Arial"/>
                    </w:rPr>
                    <w:t>2</w:t>
                  </w:r>
                </w:p>
              </w:tc>
            </w:tr>
            <w:tr w:rsidR="00692E71" w:rsidRPr="001E3185" w14:paraId="6347A16D" w14:textId="77777777" w:rsidTr="008E0250">
              <w:trPr>
                <w:trHeight w:val="283"/>
              </w:trPr>
              <w:tc>
                <w:tcPr>
                  <w:tcW w:w="1304" w:type="pct"/>
                  <w:shd w:val="clear" w:color="auto" w:fill="auto"/>
                  <w:vAlign w:val="center"/>
                </w:tcPr>
                <w:p w14:paraId="005AF39E" w14:textId="77777777" w:rsidR="00692E71" w:rsidRPr="001E3185" w:rsidRDefault="00692E71" w:rsidP="008E0250">
                  <w:pPr>
                    <w:autoSpaceDE w:val="0"/>
                    <w:autoSpaceDN w:val="0"/>
                    <w:ind w:right="142"/>
                    <w:rPr>
                      <w:rFonts w:cs="Arial"/>
                    </w:rPr>
                  </w:pPr>
                  <w:r w:rsidRPr="001E3185">
                    <w:rPr>
                      <w:rFonts w:cs="Arial"/>
                    </w:rPr>
                    <w:t>Propiconazole</w:t>
                  </w:r>
                </w:p>
              </w:tc>
              <w:tc>
                <w:tcPr>
                  <w:tcW w:w="1886" w:type="pct"/>
                  <w:shd w:val="clear" w:color="auto" w:fill="auto"/>
                  <w:vAlign w:val="center"/>
                </w:tcPr>
                <w:p w14:paraId="3C40A181" w14:textId="41642B0A" w:rsidR="00692E71" w:rsidRPr="001E3185" w:rsidRDefault="00692E71" w:rsidP="000B2EE2">
                  <w:pPr>
                    <w:autoSpaceDE w:val="0"/>
                    <w:autoSpaceDN w:val="0"/>
                    <w:spacing w:line="276" w:lineRule="auto"/>
                    <w:jc w:val="center"/>
                    <w:rPr>
                      <w:rFonts w:cs="Arial"/>
                    </w:rPr>
                  </w:pPr>
                  <w:r w:rsidRPr="001E3185">
                    <w:rPr>
                      <w:rFonts w:cs="Arial"/>
                    </w:rPr>
                    <w:t>9.60E-</w:t>
                  </w:r>
                  <w:r w:rsidR="000B2EE2" w:rsidRPr="001E3185">
                    <w:rPr>
                      <w:rFonts w:cs="Arial"/>
                    </w:rPr>
                    <w:t>0</w:t>
                  </w:r>
                  <w:r w:rsidR="000B2EE2">
                    <w:rPr>
                      <w:rFonts w:cs="Arial"/>
                    </w:rPr>
                    <w:t>2</w:t>
                  </w:r>
                </w:p>
              </w:tc>
              <w:tc>
                <w:tcPr>
                  <w:tcW w:w="1810" w:type="pct"/>
                  <w:shd w:val="clear" w:color="auto" w:fill="auto"/>
                  <w:vAlign w:val="center"/>
                </w:tcPr>
                <w:p w14:paraId="1680B90B" w14:textId="3AD40330" w:rsidR="00692E71" w:rsidRPr="001E3185" w:rsidRDefault="00692E71" w:rsidP="000B2EE2">
                  <w:pPr>
                    <w:autoSpaceDE w:val="0"/>
                    <w:autoSpaceDN w:val="0"/>
                    <w:spacing w:line="276" w:lineRule="auto"/>
                    <w:jc w:val="center"/>
                    <w:rPr>
                      <w:rFonts w:cs="Arial"/>
                    </w:rPr>
                  </w:pPr>
                  <w:r w:rsidRPr="001E3185">
                    <w:rPr>
                      <w:rFonts w:cs="Arial"/>
                    </w:rPr>
                    <w:t>1.41E-</w:t>
                  </w:r>
                  <w:r w:rsidR="000B2EE2" w:rsidRPr="001E3185">
                    <w:rPr>
                      <w:rFonts w:cs="Arial"/>
                    </w:rPr>
                    <w:t>0</w:t>
                  </w:r>
                  <w:r w:rsidR="000B2EE2">
                    <w:rPr>
                      <w:rFonts w:cs="Arial"/>
                    </w:rPr>
                    <w:t>2</w:t>
                  </w:r>
                </w:p>
              </w:tc>
            </w:tr>
            <w:tr w:rsidR="00692E71" w:rsidRPr="001E3185" w14:paraId="68A726D6" w14:textId="77777777" w:rsidTr="008E0250">
              <w:trPr>
                <w:trHeight w:val="283"/>
              </w:trPr>
              <w:tc>
                <w:tcPr>
                  <w:tcW w:w="1304" w:type="pct"/>
                  <w:shd w:val="clear" w:color="auto" w:fill="auto"/>
                  <w:vAlign w:val="center"/>
                </w:tcPr>
                <w:p w14:paraId="4E08C8E9" w14:textId="77777777" w:rsidR="00692E71" w:rsidRPr="001E3185" w:rsidRDefault="00692E71" w:rsidP="008E0250">
                  <w:pPr>
                    <w:autoSpaceDE w:val="0"/>
                    <w:autoSpaceDN w:val="0"/>
                    <w:ind w:right="142"/>
                    <w:rPr>
                      <w:rFonts w:cs="Arial"/>
                    </w:rPr>
                  </w:pPr>
                  <w:r w:rsidRPr="001E3185">
                    <w:rPr>
                      <w:rFonts w:cs="Arial"/>
                    </w:rPr>
                    <w:t>Cypermethrin</w:t>
                  </w:r>
                </w:p>
              </w:tc>
              <w:tc>
                <w:tcPr>
                  <w:tcW w:w="1886" w:type="pct"/>
                  <w:shd w:val="clear" w:color="auto" w:fill="auto"/>
                  <w:vAlign w:val="center"/>
                </w:tcPr>
                <w:p w14:paraId="42106537" w14:textId="728B1922" w:rsidR="00692E71" w:rsidRPr="001E3185" w:rsidRDefault="00692E71" w:rsidP="000B2EE2">
                  <w:pPr>
                    <w:autoSpaceDE w:val="0"/>
                    <w:autoSpaceDN w:val="0"/>
                    <w:spacing w:line="276" w:lineRule="auto"/>
                    <w:jc w:val="center"/>
                    <w:rPr>
                      <w:rFonts w:cs="Arial"/>
                    </w:rPr>
                  </w:pPr>
                  <w:r w:rsidRPr="001E3185">
                    <w:rPr>
                      <w:rFonts w:cs="Arial"/>
                    </w:rPr>
                    <w:t>4.80E-</w:t>
                  </w:r>
                  <w:r w:rsidR="000B2EE2" w:rsidRPr="001E3185">
                    <w:rPr>
                      <w:rFonts w:cs="Arial"/>
                    </w:rPr>
                    <w:t>0</w:t>
                  </w:r>
                  <w:r w:rsidR="000B2EE2">
                    <w:rPr>
                      <w:rFonts w:cs="Arial"/>
                    </w:rPr>
                    <w:t>2</w:t>
                  </w:r>
                </w:p>
              </w:tc>
              <w:tc>
                <w:tcPr>
                  <w:tcW w:w="1810" w:type="pct"/>
                  <w:shd w:val="clear" w:color="auto" w:fill="auto"/>
                  <w:vAlign w:val="center"/>
                </w:tcPr>
                <w:p w14:paraId="0A07CF44" w14:textId="5D501F3E" w:rsidR="00692E71" w:rsidRPr="001E3185" w:rsidRDefault="00692E71" w:rsidP="006F0C7A">
                  <w:pPr>
                    <w:autoSpaceDE w:val="0"/>
                    <w:autoSpaceDN w:val="0"/>
                    <w:spacing w:line="276" w:lineRule="auto"/>
                    <w:jc w:val="center"/>
                    <w:rPr>
                      <w:rFonts w:cs="Arial"/>
                      <w:b/>
                    </w:rPr>
                  </w:pPr>
                  <w:r w:rsidRPr="001E3185">
                    <w:rPr>
                      <w:rFonts w:cs="Arial"/>
                      <w:b/>
                    </w:rPr>
                    <w:t>1.20E+</w:t>
                  </w:r>
                  <w:r w:rsidR="006F0C7A" w:rsidRPr="001E3185">
                    <w:rPr>
                      <w:rFonts w:cs="Arial"/>
                      <w:b/>
                    </w:rPr>
                    <w:t>0</w:t>
                  </w:r>
                  <w:r w:rsidR="006F0C7A">
                    <w:rPr>
                      <w:rFonts w:cs="Arial"/>
                      <w:b/>
                    </w:rPr>
                    <w:t>1</w:t>
                  </w:r>
                </w:p>
              </w:tc>
            </w:tr>
            <w:tr w:rsidR="00692E71" w:rsidRPr="001E3185" w14:paraId="0127511E" w14:textId="77777777" w:rsidTr="008E0250">
              <w:trPr>
                <w:trHeight w:val="283"/>
              </w:trPr>
              <w:tc>
                <w:tcPr>
                  <w:tcW w:w="1304" w:type="pct"/>
                  <w:shd w:val="clear" w:color="auto" w:fill="auto"/>
                  <w:vAlign w:val="center"/>
                </w:tcPr>
                <w:p w14:paraId="6F89D65A" w14:textId="77777777" w:rsidR="00692E71" w:rsidRPr="001E3185" w:rsidRDefault="00692E71" w:rsidP="008E0250">
                  <w:pPr>
                    <w:autoSpaceDE w:val="0"/>
                    <w:autoSpaceDN w:val="0"/>
                    <w:ind w:right="142"/>
                    <w:rPr>
                      <w:rFonts w:cs="Arial"/>
                    </w:rPr>
                  </w:pPr>
                  <w:r w:rsidRPr="001E3185">
                    <w:rPr>
                      <w:rFonts w:cs="Arial"/>
                    </w:rPr>
                    <w:t>IPBC</w:t>
                  </w:r>
                </w:p>
              </w:tc>
              <w:tc>
                <w:tcPr>
                  <w:tcW w:w="1886" w:type="pct"/>
                  <w:shd w:val="clear" w:color="auto" w:fill="auto"/>
                  <w:vAlign w:val="center"/>
                </w:tcPr>
                <w:p w14:paraId="15F12924" w14:textId="65CB6AF5" w:rsidR="00692E71" w:rsidRPr="001E3185" w:rsidRDefault="00692E71" w:rsidP="000B2EE2">
                  <w:pPr>
                    <w:autoSpaceDE w:val="0"/>
                    <w:autoSpaceDN w:val="0"/>
                    <w:spacing w:line="276" w:lineRule="auto"/>
                    <w:jc w:val="center"/>
                    <w:rPr>
                      <w:rFonts w:cs="Arial"/>
                    </w:rPr>
                  </w:pPr>
                  <w:r w:rsidRPr="001E3185">
                    <w:rPr>
                      <w:rFonts w:cs="Arial"/>
                    </w:rPr>
                    <w:t>3.00E-</w:t>
                  </w:r>
                  <w:r w:rsidR="000B2EE2" w:rsidRPr="001E3185">
                    <w:rPr>
                      <w:rFonts w:cs="Arial"/>
                    </w:rPr>
                    <w:t>0</w:t>
                  </w:r>
                  <w:r w:rsidR="000B2EE2">
                    <w:rPr>
                      <w:rFonts w:cs="Arial"/>
                    </w:rPr>
                    <w:t>2</w:t>
                  </w:r>
                </w:p>
              </w:tc>
              <w:tc>
                <w:tcPr>
                  <w:tcW w:w="1810" w:type="pct"/>
                  <w:shd w:val="clear" w:color="auto" w:fill="auto"/>
                  <w:vAlign w:val="center"/>
                </w:tcPr>
                <w:p w14:paraId="5FC41A06" w14:textId="47D32640" w:rsidR="00692E71" w:rsidRPr="001E3185" w:rsidRDefault="00692E71" w:rsidP="006F0C7A">
                  <w:pPr>
                    <w:autoSpaceDE w:val="0"/>
                    <w:autoSpaceDN w:val="0"/>
                    <w:spacing w:line="276" w:lineRule="auto"/>
                    <w:jc w:val="center"/>
                    <w:rPr>
                      <w:rFonts w:cs="Arial"/>
                    </w:rPr>
                  </w:pPr>
                  <w:r w:rsidRPr="001E3185">
                    <w:rPr>
                      <w:rFonts w:cs="Arial"/>
                    </w:rPr>
                    <w:t>6.00E-</w:t>
                  </w:r>
                  <w:r w:rsidR="006F0C7A" w:rsidRPr="001E3185">
                    <w:rPr>
                      <w:rFonts w:cs="Arial"/>
                    </w:rPr>
                    <w:t>0</w:t>
                  </w:r>
                  <w:r w:rsidR="006F0C7A">
                    <w:rPr>
                      <w:rFonts w:cs="Arial"/>
                    </w:rPr>
                    <w:t>2</w:t>
                  </w:r>
                </w:p>
              </w:tc>
            </w:tr>
            <w:tr w:rsidR="00692E71" w:rsidRPr="001E3185" w14:paraId="52091620" w14:textId="77777777" w:rsidTr="008E0250">
              <w:trPr>
                <w:trHeight w:val="283"/>
              </w:trPr>
              <w:tc>
                <w:tcPr>
                  <w:tcW w:w="1304" w:type="pct"/>
                  <w:shd w:val="clear" w:color="auto" w:fill="auto"/>
                  <w:vAlign w:val="center"/>
                </w:tcPr>
                <w:p w14:paraId="5C5FA5D1" w14:textId="77777777" w:rsidR="00692E71" w:rsidRPr="001E3185" w:rsidRDefault="00692E71" w:rsidP="008E0250">
                  <w:pPr>
                    <w:autoSpaceDE w:val="0"/>
                    <w:autoSpaceDN w:val="0"/>
                    <w:ind w:right="142"/>
                    <w:rPr>
                      <w:rFonts w:cs="Arial"/>
                    </w:rPr>
                  </w:pPr>
                  <w:r w:rsidRPr="001E3185">
                    <w:rPr>
                      <w:rFonts w:cs="Arial"/>
                    </w:rPr>
                    <w:t>PBC</w:t>
                  </w:r>
                </w:p>
              </w:tc>
              <w:tc>
                <w:tcPr>
                  <w:tcW w:w="1886" w:type="pct"/>
                  <w:shd w:val="clear" w:color="auto" w:fill="auto"/>
                  <w:vAlign w:val="center"/>
                </w:tcPr>
                <w:p w14:paraId="5C692C6D" w14:textId="0A6F38A6" w:rsidR="00692E71" w:rsidRPr="001E3185" w:rsidRDefault="00692E71" w:rsidP="000B2EE2">
                  <w:pPr>
                    <w:autoSpaceDE w:val="0"/>
                    <w:autoSpaceDN w:val="0"/>
                    <w:spacing w:line="276" w:lineRule="auto"/>
                    <w:jc w:val="center"/>
                    <w:rPr>
                      <w:rFonts w:cs="Arial"/>
                    </w:rPr>
                  </w:pPr>
                  <w:r w:rsidRPr="001E3185">
                    <w:rPr>
                      <w:rFonts w:cs="Arial"/>
                    </w:rPr>
                    <w:t>1.66E-</w:t>
                  </w:r>
                  <w:r w:rsidR="000B2EE2" w:rsidRPr="001E3185">
                    <w:rPr>
                      <w:rFonts w:cs="Arial"/>
                    </w:rPr>
                    <w:t>0</w:t>
                  </w:r>
                  <w:r w:rsidR="000B2EE2">
                    <w:rPr>
                      <w:rFonts w:cs="Arial"/>
                    </w:rPr>
                    <w:t>2</w:t>
                  </w:r>
                </w:p>
              </w:tc>
              <w:tc>
                <w:tcPr>
                  <w:tcW w:w="1810" w:type="pct"/>
                  <w:shd w:val="clear" w:color="auto" w:fill="auto"/>
                  <w:vAlign w:val="center"/>
                </w:tcPr>
                <w:p w14:paraId="49DA2D4F" w14:textId="67DCF226" w:rsidR="00692E71" w:rsidRPr="001E3185" w:rsidRDefault="00692E71" w:rsidP="006F0C7A">
                  <w:pPr>
                    <w:autoSpaceDE w:val="0"/>
                    <w:autoSpaceDN w:val="0"/>
                    <w:spacing w:line="276" w:lineRule="auto"/>
                    <w:jc w:val="center"/>
                    <w:rPr>
                      <w:rFonts w:cs="Arial"/>
                    </w:rPr>
                  </w:pPr>
                  <w:r w:rsidRPr="001E3185">
                    <w:rPr>
                      <w:rFonts w:cs="Arial"/>
                    </w:rPr>
                    <w:t>4.01E-</w:t>
                  </w:r>
                  <w:r w:rsidR="006F0C7A" w:rsidRPr="001E3185">
                    <w:rPr>
                      <w:rFonts w:cs="Arial"/>
                    </w:rPr>
                    <w:t>0</w:t>
                  </w:r>
                  <w:r w:rsidR="006F0C7A">
                    <w:rPr>
                      <w:rFonts w:cs="Arial"/>
                    </w:rPr>
                    <w:t>4</w:t>
                  </w:r>
                </w:p>
              </w:tc>
            </w:tr>
            <w:tr w:rsidR="00692E71" w:rsidRPr="001E3185" w14:paraId="7C58F45A" w14:textId="77777777" w:rsidTr="008E0250">
              <w:trPr>
                <w:trHeight w:val="283"/>
              </w:trPr>
              <w:tc>
                <w:tcPr>
                  <w:tcW w:w="1304" w:type="pct"/>
                  <w:shd w:val="clear" w:color="auto" w:fill="auto"/>
                  <w:vAlign w:val="center"/>
                </w:tcPr>
                <w:p w14:paraId="41A2AF14" w14:textId="77777777" w:rsidR="00692E71" w:rsidRPr="001E3185" w:rsidRDefault="00692E71" w:rsidP="008E0250">
                  <w:pPr>
                    <w:autoSpaceDE w:val="0"/>
                    <w:autoSpaceDN w:val="0"/>
                    <w:ind w:right="142"/>
                    <w:rPr>
                      <w:rFonts w:cs="Arial"/>
                    </w:rPr>
                  </w:pPr>
                  <w:r w:rsidRPr="001E3185">
                    <w:rPr>
                      <w:rFonts w:cs="Arial"/>
                      <w:b/>
                      <w:lang w:eastAsia="en-GB"/>
                    </w:rPr>
                    <w:t>PEC/PNEC</w:t>
                  </w:r>
                </w:p>
              </w:tc>
              <w:tc>
                <w:tcPr>
                  <w:tcW w:w="1886" w:type="pct"/>
                  <w:shd w:val="clear" w:color="auto" w:fill="auto"/>
                  <w:vAlign w:val="center"/>
                </w:tcPr>
                <w:p w14:paraId="192369DC" w14:textId="77777777" w:rsidR="00692E71" w:rsidRPr="001E3185" w:rsidRDefault="00692E71" w:rsidP="008E0250">
                  <w:pPr>
                    <w:autoSpaceDE w:val="0"/>
                    <w:autoSpaceDN w:val="0"/>
                    <w:spacing w:line="276" w:lineRule="auto"/>
                    <w:jc w:val="center"/>
                    <w:rPr>
                      <w:rFonts w:cs="Arial"/>
                    </w:rPr>
                  </w:pPr>
                </w:p>
              </w:tc>
              <w:tc>
                <w:tcPr>
                  <w:tcW w:w="1810" w:type="pct"/>
                  <w:shd w:val="clear" w:color="auto" w:fill="auto"/>
                  <w:vAlign w:val="center"/>
                </w:tcPr>
                <w:p w14:paraId="7EA0DD5B" w14:textId="75C720B8" w:rsidR="00692E71" w:rsidRPr="001E3185" w:rsidRDefault="00692E71" w:rsidP="008E0250">
                  <w:pPr>
                    <w:autoSpaceDE w:val="0"/>
                    <w:autoSpaceDN w:val="0"/>
                    <w:spacing w:line="276" w:lineRule="auto"/>
                    <w:jc w:val="center"/>
                    <w:rPr>
                      <w:rFonts w:cs="Arial"/>
                      <w:b/>
                      <w:color w:val="FF0000"/>
                    </w:rPr>
                  </w:pPr>
                  <w:r w:rsidRPr="001E3185">
                    <w:rPr>
                      <w:rFonts w:cs="Arial"/>
                      <w:b/>
                      <w:color w:val="FF0000"/>
                    </w:rPr>
                    <w:t>12</w:t>
                  </w:r>
                  <w:r w:rsidR="006F0C7A">
                    <w:rPr>
                      <w:rFonts w:cs="Arial"/>
                      <w:b/>
                      <w:color w:val="FF0000"/>
                    </w:rPr>
                    <w:t>.</w:t>
                  </w:r>
                  <w:r w:rsidRPr="001E3185">
                    <w:rPr>
                      <w:rFonts w:cs="Arial"/>
                      <w:b/>
                      <w:color w:val="FF0000"/>
                    </w:rPr>
                    <w:t>1</w:t>
                  </w:r>
                  <w:r w:rsidR="006F0C7A">
                    <w:rPr>
                      <w:rFonts w:cs="Arial"/>
                      <w:b/>
                      <w:color w:val="FF0000"/>
                    </w:rPr>
                    <w:t>0</w:t>
                  </w:r>
                </w:p>
              </w:tc>
            </w:tr>
            <w:tr w:rsidR="00692E71" w:rsidRPr="001E3185" w14:paraId="1B4C9C37" w14:textId="77777777" w:rsidTr="008E0250">
              <w:trPr>
                <w:trHeight w:val="283"/>
              </w:trPr>
              <w:tc>
                <w:tcPr>
                  <w:tcW w:w="1304" w:type="pct"/>
                  <w:shd w:val="clear" w:color="auto" w:fill="auto"/>
                  <w:vAlign w:val="center"/>
                </w:tcPr>
                <w:p w14:paraId="7BA30A1E" w14:textId="77777777" w:rsidR="00692E71" w:rsidRPr="001E3185" w:rsidRDefault="00692E71" w:rsidP="008E0250">
                  <w:pPr>
                    <w:autoSpaceDE w:val="0"/>
                    <w:autoSpaceDN w:val="0"/>
                    <w:ind w:right="142"/>
                    <w:jc w:val="center"/>
                    <w:rPr>
                      <w:rFonts w:cs="Arial"/>
                    </w:rPr>
                  </w:pPr>
                  <w:r w:rsidRPr="001E3185">
                    <w:rPr>
                      <w:rFonts w:cs="Arial"/>
                      <w:b/>
                      <w:iCs/>
                    </w:rPr>
                    <w:t>SEDIMENT</w:t>
                  </w:r>
                </w:p>
              </w:tc>
              <w:tc>
                <w:tcPr>
                  <w:tcW w:w="1886" w:type="pct"/>
                  <w:shd w:val="clear" w:color="auto" w:fill="auto"/>
                  <w:vAlign w:val="center"/>
                </w:tcPr>
                <w:p w14:paraId="38C8109E" w14:textId="77777777" w:rsidR="00692E71" w:rsidRPr="001E3185" w:rsidRDefault="00692E71" w:rsidP="008E0250">
                  <w:pPr>
                    <w:autoSpaceDE w:val="0"/>
                    <w:autoSpaceDN w:val="0"/>
                    <w:jc w:val="center"/>
                    <w:rPr>
                      <w:rFonts w:cs="Arial"/>
                      <w:b/>
                    </w:rPr>
                  </w:pPr>
                  <w:r w:rsidRPr="001E3185">
                    <w:rPr>
                      <w:rFonts w:cs="Arial"/>
                      <w:b/>
                      <w:iCs/>
                    </w:rPr>
                    <w:t>PEC</w:t>
                  </w:r>
                  <w:r w:rsidRPr="001E3185">
                    <w:rPr>
                      <w:rFonts w:cs="Arial"/>
                      <w:b/>
                    </w:rPr>
                    <w:t xml:space="preserve"> [mg.kg</w:t>
                  </w:r>
                  <w:r w:rsidRPr="001E3185">
                    <w:rPr>
                      <w:rFonts w:cs="Arial"/>
                      <w:b/>
                      <w:vertAlign w:val="subscript"/>
                    </w:rPr>
                    <w:t>wwt</w:t>
                  </w:r>
                  <w:r w:rsidRPr="001E3185">
                    <w:rPr>
                      <w:rFonts w:cs="Arial"/>
                      <w:b/>
                      <w:vertAlign w:val="superscript"/>
                    </w:rPr>
                    <w:t>-1</w:t>
                  </w:r>
                  <w:r w:rsidRPr="001E3185">
                    <w:rPr>
                      <w:rFonts w:cs="Arial"/>
                      <w:b/>
                    </w:rPr>
                    <w:t>]</w:t>
                  </w:r>
                </w:p>
              </w:tc>
              <w:tc>
                <w:tcPr>
                  <w:tcW w:w="1810" w:type="pct"/>
                  <w:shd w:val="clear" w:color="auto" w:fill="auto"/>
                  <w:vAlign w:val="center"/>
                </w:tcPr>
                <w:p w14:paraId="6E3250A4"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45EF2531" w14:textId="77777777" w:rsidTr="008E0250">
              <w:trPr>
                <w:trHeight w:val="283"/>
              </w:trPr>
              <w:tc>
                <w:tcPr>
                  <w:tcW w:w="1304" w:type="pct"/>
                  <w:shd w:val="clear" w:color="auto" w:fill="auto"/>
                  <w:vAlign w:val="center"/>
                </w:tcPr>
                <w:p w14:paraId="6511AE8A" w14:textId="77777777" w:rsidR="00692E71" w:rsidRPr="001E3185" w:rsidRDefault="00692E71" w:rsidP="008E0250">
                  <w:pPr>
                    <w:autoSpaceDE w:val="0"/>
                    <w:autoSpaceDN w:val="0"/>
                    <w:ind w:right="142"/>
                    <w:rPr>
                      <w:rFonts w:cs="Arial"/>
                    </w:rPr>
                  </w:pPr>
                  <w:r w:rsidRPr="001E3185">
                    <w:rPr>
                      <w:rFonts w:cs="Arial"/>
                    </w:rPr>
                    <w:t>Tebuconazole</w:t>
                  </w:r>
                </w:p>
              </w:tc>
              <w:tc>
                <w:tcPr>
                  <w:tcW w:w="1886" w:type="pct"/>
                  <w:shd w:val="clear" w:color="auto" w:fill="auto"/>
                  <w:vAlign w:val="center"/>
                </w:tcPr>
                <w:p w14:paraId="7261C5B0" w14:textId="22427E56" w:rsidR="00692E71" w:rsidRPr="001E3185" w:rsidRDefault="00692E71" w:rsidP="006F0C7A">
                  <w:pPr>
                    <w:autoSpaceDE w:val="0"/>
                    <w:autoSpaceDN w:val="0"/>
                    <w:spacing w:line="276" w:lineRule="auto"/>
                    <w:jc w:val="center"/>
                    <w:rPr>
                      <w:rFonts w:cs="Arial"/>
                    </w:rPr>
                  </w:pPr>
                  <w:r w:rsidRPr="001E3185">
                    <w:rPr>
                      <w:rFonts w:cs="Arial"/>
                    </w:rPr>
                    <w:t>6.70E-</w:t>
                  </w:r>
                  <w:r w:rsidR="006F0C7A" w:rsidRPr="001E3185">
                    <w:rPr>
                      <w:rFonts w:cs="Arial"/>
                    </w:rPr>
                    <w:t>0</w:t>
                  </w:r>
                  <w:r w:rsidR="006F0C7A">
                    <w:rPr>
                      <w:rFonts w:cs="Arial"/>
                    </w:rPr>
                    <w:t>4</w:t>
                  </w:r>
                </w:p>
              </w:tc>
              <w:tc>
                <w:tcPr>
                  <w:tcW w:w="1810" w:type="pct"/>
                  <w:shd w:val="clear" w:color="auto" w:fill="auto"/>
                  <w:vAlign w:val="center"/>
                </w:tcPr>
                <w:p w14:paraId="2BE9DDCF" w14:textId="6BF57D9C" w:rsidR="00692E71" w:rsidRPr="001E3185" w:rsidRDefault="00692E71" w:rsidP="006F0C7A">
                  <w:pPr>
                    <w:autoSpaceDE w:val="0"/>
                    <w:autoSpaceDN w:val="0"/>
                    <w:spacing w:line="276" w:lineRule="auto"/>
                    <w:jc w:val="center"/>
                    <w:rPr>
                      <w:rFonts w:cs="Arial"/>
                    </w:rPr>
                  </w:pPr>
                  <w:r w:rsidRPr="001E3185">
                    <w:rPr>
                      <w:rFonts w:cs="Arial"/>
                    </w:rPr>
                    <w:t>1.22E-</w:t>
                  </w:r>
                  <w:r w:rsidR="006F0C7A" w:rsidRPr="001E3185">
                    <w:rPr>
                      <w:rFonts w:cs="Arial"/>
                    </w:rPr>
                    <w:t>0</w:t>
                  </w:r>
                  <w:r w:rsidR="006F0C7A">
                    <w:rPr>
                      <w:rFonts w:cs="Arial"/>
                    </w:rPr>
                    <w:t>3</w:t>
                  </w:r>
                </w:p>
              </w:tc>
            </w:tr>
            <w:tr w:rsidR="00692E71" w:rsidRPr="001E3185" w14:paraId="6C1023D6" w14:textId="77777777" w:rsidTr="008E0250">
              <w:trPr>
                <w:trHeight w:val="283"/>
              </w:trPr>
              <w:tc>
                <w:tcPr>
                  <w:tcW w:w="1304" w:type="pct"/>
                  <w:shd w:val="clear" w:color="auto" w:fill="auto"/>
                  <w:vAlign w:val="center"/>
                </w:tcPr>
                <w:p w14:paraId="02729E39" w14:textId="77777777" w:rsidR="00692E71" w:rsidRPr="001E3185" w:rsidRDefault="00692E71" w:rsidP="008E0250">
                  <w:pPr>
                    <w:autoSpaceDE w:val="0"/>
                    <w:autoSpaceDN w:val="0"/>
                    <w:ind w:right="142"/>
                    <w:rPr>
                      <w:rFonts w:cs="Arial"/>
                    </w:rPr>
                  </w:pPr>
                  <w:r w:rsidRPr="001E3185">
                    <w:rPr>
                      <w:rFonts w:cs="Arial"/>
                    </w:rPr>
                    <w:t>Propiconazole</w:t>
                  </w:r>
                </w:p>
              </w:tc>
              <w:tc>
                <w:tcPr>
                  <w:tcW w:w="1886" w:type="pct"/>
                  <w:shd w:val="clear" w:color="auto" w:fill="auto"/>
                  <w:vAlign w:val="center"/>
                </w:tcPr>
                <w:p w14:paraId="022CA6E2" w14:textId="43E0B7BE" w:rsidR="00692E71" w:rsidRPr="001E3185" w:rsidRDefault="00692E71" w:rsidP="006F0C7A">
                  <w:pPr>
                    <w:autoSpaceDE w:val="0"/>
                    <w:autoSpaceDN w:val="0"/>
                    <w:spacing w:line="276" w:lineRule="auto"/>
                    <w:jc w:val="center"/>
                    <w:rPr>
                      <w:rFonts w:cs="Arial"/>
                    </w:rPr>
                  </w:pPr>
                  <w:r w:rsidRPr="001E3185">
                    <w:rPr>
                      <w:rFonts w:cs="Arial"/>
                    </w:rPr>
                    <w:t>2.05E-</w:t>
                  </w:r>
                  <w:r w:rsidR="006F0C7A" w:rsidRPr="001E3185">
                    <w:rPr>
                      <w:rFonts w:cs="Arial"/>
                    </w:rPr>
                    <w:t>0</w:t>
                  </w:r>
                  <w:r w:rsidR="006F0C7A">
                    <w:rPr>
                      <w:rFonts w:cs="Arial"/>
                    </w:rPr>
                    <w:t>3</w:t>
                  </w:r>
                </w:p>
              </w:tc>
              <w:tc>
                <w:tcPr>
                  <w:tcW w:w="1810" w:type="pct"/>
                  <w:shd w:val="clear" w:color="auto" w:fill="auto"/>
                  <w:vAlign w:val="center"/>
                </w:tcPr>
                <w:p w14:paraId="060AEC19" w14:textId="1EF5C76C" w:rsidR="00692E71" w:rsidRPr="001E3185" w:rsidRDefault="00692E71" w:rsidP="006F0C7A">
                  <w:pPr>
                    <w:autoSpaceDE w:val="0"/>
                    <w:autoSpaceDN w:val="0"/>
                    <w:spacing w:line="276" w:lineRule="auto"/>
                    <w:jc w:val="center"/>
                    <w:rPr>
                      <w:rFonts w:cs="Arial"/>
                    </w:rPr>
                  </w:pPr>
                  <w:r w:rsidRPr="001E3185">
                    <w:rPr>
                      <w:rFonts w:cs="Arial"/>
                    </w:rPr>
                    <w:t>3.79E-</w:t>
                  </w:r>
                  <w:r w:rsidR="006F0C7A" w:rsidRPr="001E3185">
                    <w:rPr>
                      <w:rFonts w:cs="Arial"/>
                    </w:rPr>
                    <w:t>0</w:t>
                  </w:r>
                  <w:r w:rsidR="006F0C7A">
                    <w:rPr>
                      <w:rFonts w:cs="Arial"/>
                    </w:rPr>
                    <w:t>2</w:t>
                  </w:r>
                </w:p>
              </w:tc>
            </w:tr>
            <w:tr w:rsidR="00692E71" w:rsidRPr="001E3185" w14:paraId="25B184AC" w14:textId="77777777" w:rsidTr="008E0250">
              <w:trPr>
                <w:trHeight w:val="283"/>
              </w:trPr>
              <w:tc>
                <w:tcPr>
                  <w:tcW w:w="1304" w:type="pct"/>
                  <w:shd w:val="clear" w:color="auto" w:fill="auto"/>
                  <w:vAlign w:val="center"/>
                </w:tcPr>
                <w:p w14:paraId="423BBA1F" w14:textId="77777777" w:rsidR="00692E71" w:rsidRPr="001E3185" w:rsidRDefault="00692E71" w:rsidP="008E0250">
                  <w:pPr>
                    <w:autoSpaceDE w:val="0"/>
                    <w:autoSpaceDN w:val="0"/>
                    <w:ind w:right="142"/>
                    <w:rPr>
                      <w:rFonts w:cs="Arial"/>
                    </w:rPr>
                  </w:pPr>
                  <w:r w:rsidRPr="001E3185">
                    <w:rPr>
                      <w:rFonts w:cs="Arial"/>
                    </w:rPr>
                    <w:t>Cypermethrin*</w:t>
                  </w:r>
                </w:p>
              </w:tc>
              <w:tc>
                <w:tcPr>
                  <w:tcW w:w="1886" w:type="pct"/>
                  <w:shd w:val="clear" w:color="auto" w:fill="auto"/>
                  <w:vAlign w:val="center"/>
                </w:tcPr>
                <w:p w14:paraId="0860214A" w14:textId="55F03414" w:rsidR="00692E71" w:rsidRPr="001E3185" w:rsidRDefault="00692E71" w:rsidP="006F0C7A">
                  <w:pPr>
                    <w:autoSpaceDE w:val="0"/>
                    <w:autoSpaceDN w:val="0"/>
                    <w:spacing w:line="276" w:lineRule="auto"/>
                    <w:jc w:val="center"/>
                    <w:rPr>
                      <w:rFonts w:cs="Arial"/>
                    </w:rPr>
                  </w:pPr>
                  <w:r w:rsidRPr="001E3185">
                    <w:rPr>
                      <w:rFonts w:cs="Arial"/>
                    </w:rPr>
                    <w:t>6.00E</w:t>
                  </w:r>
                  <w:r w:rsidR="006F0C7A">
                    <w:rPr>
                      <w:rFonts w:cs="Arial"/>
                    </w:rPr>
                    <w:t>-01</w:t>
                  </w:r>
                </w:p>
              </w:tc>
              <w:tc>
                <w:tcPr>
                  <w:tcW w:w="1810" w:type="pct"/>
                  <w:shd w:val="clear" w:color="auto" w:fill="auto"/>
                  <w:vAlign w:val="center"/>
                </w:tcPr>
                <w:p w14:paraId="6AE9C82E" w14:textId="7B0AC5CB" w:rsidR="00692E71" w:rsidRPr="001E3185" w:rsidRDefault="00692E71" w:rsidP="006F0C7A">
                  <w:pPr>
                    <w:autoSpaceDE w:val="0"/>
                    <w:autoSpaceDN w:val="0"/>
                    <w:spacing w:line="276" w:lineRule="auto"/>
                    <w:jc w:val="center"/>
                    <w:rPr>
                      <w:rFonts w:cs="Arial"/>
                      <w:b/>
                    </w:rPr>
                  </w:pPr>
                  <w:r w:rsidRPr="001E3185">
                    <w:rPr>
                      <w:rFonts w:cs="Arial"/>
                      <w:b/>
                    </w:rPr>
                    <w:t>1.20E+</w:t>
                  </w:r>
                  <w:r w:rsidR="006F0C7A" w:rsidRPr="001E3185">
                    <w:rPr>
                      <w:rFonts w:cs="Arial"/>
                      <w:b/>
                    </w:rPr>
                    <w:t>0</w:t>
                  </w:r>
                  <w:r w:rsidR="006F0C7A">
                    <w:rPr>
                      <w:rFonts w:cs="Arial"/>
                      <w:b/>
                    </w:rPr>
                    <w:t>2</w:t>
                  </w:r>
                </w:p>
              </w:tc>
            </w:tr>
            <w:tr w:rsidR="00692E71" w:rsidRPr="001E3185" w14:paraId="026A455B" w14:textId="77777777" w:rsidTr="008E0250">
              <w:trPr>
                <w:trHeight w:val="283"/>
              </w:trPr>
              <w:tc>
                <w:tcPr>
                  <w:tcW w:w="1304" w:type="pct"/>
                  <w:shd w:val="clear" w:color="auto" w:fill="auto"/>
                  <w:vAlign w:val="center"/>
                </w:tcPr>
                <w:p w14:paraId="263B8CFB" w14:textId="77777777" w:rsidR="00692E71" w:rsidRPr="001E3185" w:rsidRDefault="00692E71" w:rsidP="008E0250">
                  <w:pPr>
                    <w:autoSpaceDE w:val="0"/>
                    <w:autoSpaceDN w:val="0"/>
                    <w:ind w:right="142"/>
                    <w:rPr>
                      <w:rFonts w:cs="Arial"/>
                    </w:rPr>
                  </w:pPr>
                  <w:r w:rsidRPr="001E3185">
                    <w:rPr>
                      <w:rFonts w:cs="Arial"/>
                    </w:rPr>
                    <w:t>PBC</w:t>
                  </w:r>
                </w:p>
              </w:tc>
              <w:tc>
                <w:tcPr>
                  <w:tcW w:w="1886" w:type="pct"/>
                  <w:shd w:val="clear" w:color="auto" w:fill="auto"/>
                  <w:vAlign w:val="center"/>
                </w:tcPr>
                <w:p w14:paraId="559C527F" w14:textId="6752F77A" w:rsidR="00692E71" w:rsidRPr="001E3185" w:rsidRDefault="00692E71" w:rsidP="006F0C7A">
                  <w:pPr>
                    <w:autoSpaceDE w:val="0"/>
                    <w:autoSpaceDN w:val="0"/>
                    <w:spacing w:line="276" w:lineRule="auto"/>
                    <w:jc w:val="center"/>
                    <w:rPr>
                      <w:rFonts w:cs="Arial"/>
                    </w:rPr>
                  </w:pPr>
                  <w:r w:rsidRPr="001E3185">
                    <w:rPr>
                      <w:rFonts w:cs="Arial"/>
                    </w:rPr>
                    <w:t>8.43E-</w:t>
                  </w:r>
                  <w:r w:rsidR="006F0C7A" w:rsidRPr="001E3185">
                    <w:rPr>
                      <w:rFonts w:cs="Arial"/>
                    </w:rPr>
                    <w:t>0</w:t>
                  </w:r>
                  <w:r w:rsidR="006F0C7A">
                    <w:rPr>
                      <w:rFonts w:cs="Arial"/>
                    </w:rPr>
                    <w:t>5</w:t>
                  </w:r>
                </w:p>
              </w:tc>
              <w:tc>
                <w:tcPr>
                  <w:tcW w:w="1810" w:type="pct"/>
                  <w:shd w:val="clear" w:color="auto" w:fill="auto"/>
                  <w:vAlign w:val="center"/>
                </w:tcPr>
                <w:p w14:paraId="6915BFC1" w14:textId="74ECF189" w:rsidR="00692E71" w:rsidRPr="001E3185" w:rsidRDefault="00692E71" w:rsidP="006F0C7A">
                  <w:pPr>
                    <w:autoSpaceDE w:val="0"/>
                    <w:autoSpaceDN w:val="0"/>
                    <w:spacing w:line="276" w:lineRule="auto"/>
                    <w:jc w:val="center"/>
                    <w:rPr>
                      <w:rFonts w:cs="Arial"/>
                    </w:rPr>
                  </w:pPr>
                  <w:r w:rsidRPr="001E3185">
                    <w:rPr>
                      <w:rFonts w:cs="Arial"/>
                    </w:rPr>
                    <w:t>4.01E-</w:t>
                  </w:r>
                  <w:r w:rsidR="006F0C7A" w:rsidRPr="001E3185">
                    <w:rPr>
                      <w:rFonts w:cs="Arial"/>
                    </w:rPr>
                    <w:t>0</w:t>
                  </w:r>
                  <w:r w:rsidR="006F0C7A">
                    <w:rPr>
                      <w:rFonts w:cs="Arial"/>
                    </w:rPr>
                    <w:t>4</w:t>
                  </w:r>
                </w:p>
              </w:tc>
            </w:tr>
            <w:tr w:rsidR="00692E71" w:rsidRPr="001E3185" w14:paraId="1B8B3B0D" w14:textId="77777777" w:rsidTr="008E0250">
              <w:trPr>
                <w:trHeight w:val="283"/>
              </w:trPr>
              <w:tc>
                <w:tcPr>
                  <w:tcW w:w="1304" w:type="pct"/>
                  <w:shd w:val="clear" w:color="auto" w:fill="auto"/>
                  <w:vAlign w:val="center"/>
                </w:tcPr>
                <w:p w14:paraId="41F3594C" w14:textId="77777777" w:rsidR="00692E71" w:rsidRPr="001E3185" w:rsidRDefault="00692E71" w:rsidP="008E0250">
                  <w:pPr>
                    <w:autoSpaceDE w:val="0"/>
                    <w:autoSpaceDN w:val="0"/>
                    <w:ind w:right="142"/>
                    <w:rPr>
                      <w:rFonts w:cs="Arial"/>
                    </w:rPr>
                  </w:pPr>
                  <w:r w:rsidRPr="001E3185">
                    <w:rPr>
                      <w:rFonts w:cs="Arial"/>
                      <w:b/>
                      <w:lang w:eastAsia="en-GB"/>
                    </w:rPr>
                    <w:t>PEC/PNEC</w:t>
                  </w:r>
                </w:p>
              </w:tc>
              <w:tc>
                <w:tcPr>
                  <w:tcW w:w="1886" w:type="pct"/>
                  <w:shd w:val="clear" w:color="auto" w:fill="auto"/>
                  <w:vAlign w:val="center"/>
                </w:tcPr>
                <w:p w14:paraId="2FB59D04" w14:textId="77777777" w:rsidR="00692E71" w:rsidRPr="001E3185" w:rsidRDefault="00692E71" w:rsidP="008E0250">
                  <w:pPr>
                    <w:autoSpaceDE w:val="0"/>
                    <w:autoSpaceDN w:val="0"/>
                    <w:spacing w:line="276" w:lineRule="auto"/>
                    <w:jc w:val="center"/>
                    <w:rPr>
                      <w:rFonts w:cs="Arial"/>
                    </w:rPr>
                  </w:pPr>
                </w:p>
              </w:tc>
              <w:tc>
                <w:tcPr>
                  <w:tcW w:w="1810" w:type="pct"/>
                  <w:shd w:val="clear" w:color="auto" w:fill="auto"/>
                  <w:vAlign w:val="center"/>
                </w:tcPr>
                <w:p w14:paraId="65557C37" w14:textId="40FB1C64" w:rsidR="00692E71" w:rsidRPr="001E3185" w:rsidRDefault="00692E71" w:rsidP="008E0250">
                  <w:pPr>
                    <w:autoSpaceDE w:val="0"/>
                    <w:autoSpaceDN w:val="0"/>
                    <w:spacing w:line="276" w:lineRule="auto"/>
                    <w:jc w:val="center"/>
                    <w:rPr>
                      <w:rFonts w:cs="Arial"/>
                      <w:b/>
                      <w:color w:val="FF0000"/>
                    </w:rPr>
                  </w:pPr>
                  <w:r w:rsidRPr="001E3185">
                    <w:rPr>
                      <w:rFonts w:cs="Arial"/>
                      <w:b/>
                      <w:color w:val="FF0000"/>
                    </w:rPr>
                    <w:t>1 20</w:t>
                  </w:r>
                </w:p>
              </w:tc>
            </w:tr>
          </w:tbl>
          <w:p w14:paraId="476518DF" w14:textId="77777777" w:rsidR="00692E71" w:rsidRPr="001E3185" w:rsidRDefault="00692E71" w:rsidP="008E0250">
            <w:pPr>
              <w:autoSpaceDE w:val="0"/>
              <w:autoSpaceDN w:val="0"/>
              <w:rPr>
                <w:rFonts w:cs="Arial"/>
                <w:sz w:val="18"/>
                <w:szCs w:val="18"/>
                <w:lang w:eastAsia="en-GB"/>
              </w:rPr>
            </w:pPr>
            <w:r w:rsidRPr="001E3185">
              <w:rPr>
                <w:rFonts w:cs="Arial"/>
                <w:sz w:val="18"/>
                <w:szCs w:val="18"/>
                <w:lang w:eastAsia="en-GB"/>
              </w:rPr>
              <w:t>* An additional factor of 10 has been considered as PNECsed was defined using the EPM method</w:t>
            </w:r>
          </w:p>
          <w:p w14:paraId="0C77F0DE" w14:textId="77777777" w:rsidR="00692E71" w:rsidRPr="001E3185" w:rsidRDefault="00692E71" w:rsidP="008E0250">
            <w:pPr>
              <w:framePr w:hSpace="141" w:wrap="around" w:vAnchor="text" w:hAnchor="text" w:y="1"/>
              <w:autoSpaceDE w:val="0"/>
              <w:autoSpaceDN w:val="0"/>
              <w:suppressOverlap/>
              <w:rPr>
                <w:rFonts w:cs="Arial"/>
                <w:lang w:eastAsia="en-GB"/>
              </w:rPr>
            </w:pPr>
          </w:p>
          <w:p w14:paraId="70601D8F" w14:textId="77777777" w:rsidR="00692E71" w:rsidRPr="001E3185" w:rsidRDefault="00692E71" w:rsidP="008E0250">
            <w:pPr>
              <w:framePr w:hSpace="141" w:wrap="around" w:vAnchor="text" w:hAnchor="text" w:y="1"/>
              <w:autoSpaceDE w:val="0"/>
              <w:autoSpaceDN w:val="0"/>
              <w:suppressOverlap/>
              <w:rPr>
                <w:rFonts w:cs="Arial"/>
                <w:lang w:eastAsia="en-GB"/>
              </w:rPr>
            </w:pPr>
            <w:r w:rsidRPr="001E3185">
              <w:rPr>
                <w:rFonts w:cs="Arial"/>
                <w:lang w:eastAsia="en-GB"/>
              </w:rPr>
              <w:t xml:space="preserve">Whatever the application method (brushing and spraying) and the application rate, all the calculated sums of PEC/PNEC ratios are above 1 for surface water and sediment. </w:t>
            </w:r>
          </w:p>
          <w:p w14:paraId="325AD788" w14:textId="77777777" w:rsidR="00692E71" w:rsidRPr="001E3185" w:rsidRDefault="00692E71" w:rsidP="008E0250">
            <w:pPr>
              <w:framePr w:hSpace="141" w:wrap="around" w:vAnchor="text" w:hAnchor="text" w:y="1"/>
              <w:autoSpaceDE w:val="0"/>
              <w:autoSpaceDN w:val="0"/>
              <w:suppressOverlap/>
              <w:rPr>
                <w:rFonts w:cs="Arial"/>
                <w:lang w:eastAsia="en-GB"/>
              </w:rPr>
            </w:pPr>
          </w:p>
          <w:p w14:paraId="620B5B7D" w14:textId="18910757" w:rsidR="00692E71" w:rsidRPr="001E3185" w:rsidRDefault="00692E71" w:rsidP="008E0250">
            <w:pPr>
              <w:framePr w:hSpace="141" w:wrap="around" w:vAnchor="text" w:hAnchor="text" w:y="1"/>
              <w:autoSpaceDE w:val="0"/>
              <w:autoSpaceDN w:val="0"/>
              <w:suppressOverlap/>
              <w:rPr>
                <w:rFonts w:cs="Arial"/>
                <w:lang w:eastAsia="en-GB"/>
              </w:rPr>
            </w:pPr>
            <w:r w:rsidRPr="001E3185">
              <w:rPr>
                <w:rFonts w:cs="Arial"/>
                <w:lang w:eastAsia="en-GB"/>
              </w:rPr>
              <w:t xml:space="preserve">Therefore, the application phase by brushing or spraying near surface water </w:t>
            </w:r>
            <w:r w:rsidR="00E87A1D" w:rsidRPr="001E3185">
              <w:rPr>
                <w:rFonts w:cs="Arial"/>
                <w:lang w:eastAsia="en-GB"/>
              </w:rPr>
              <w:t>leads to unacceptable risk</w:t>
            </w:r>
            <w:r w:rsidRPr="001E3185">
              <w:rPr>
                <w:rFonts w:cs="Arial"/>
                <w:lang w:eastAsia="en-GB"/>
              </w:rPr>
              <w:t xml:space="preserve"> for the aquatic compartment (including sediment) and should be prevented.</w:t>
            </w:r>
          </w:p>
          <w:p w14:paraId="68C1B781" w14:textId="77777777" w:rsidR="00692E71" w:rsidRPr="001E3185" w:rsidRDefault="00692E71" w:rsidP="008E0250">
            <w:pPr>
              <w:rPr>
                <w:rFonts w:cs="Arial"/>
              </w:rPr>
            </w:pPr>
          </w:p>
          <w:p w14:paraId="6AA9BBAF" w14:textId="77777777" w:rsidR="00692E71" w:rsidRPr="001E3185" w:rsidRDefault="00692E71" w:rsidP="008E0250">
            <w:pPr>
              <w:rPr>
                <w:rFonts w:cs="Arial"/>
              </w:rPr>
            </w:pPr>
          </w:p>
          <w:p w14:paraId="0C921107" w14:textId="77777777" w:rsidR="00692E71" w:rsidRPr="001E3185" w:rsidRDefault="00692E71" w:rsidP="008E0250">
            <w:pPr>
              <w:autoSpaceDE w:val="0"/>
              <w:autoSpaceDN w:val="0"/>
              <w:ind w:right="142"/>
              <w:rPr>
                <w:rFonts w:cs="Arial"/>
                <w:b/>
              </w:rPr>
            </w:pPr>
            <w:r w:rsidRPr="001E3185">
              <w:rPr>
                <w:rFonts w:cs="Arial"/>
                <w:b/>
                <w:u w:val="single"/>
              </w:rPr>
              <w:t>Direct emissions during service life</w:t>
            </w:r>
            <w:r w:rsidRPr="001E3185">
              <w:rPr>
                <w:rFonts w:cs="Arial"/>
                <w:b/>
              </w:rPr>
              <w:t>:</w:t>
            </w:r>
          </w:p>
          <w:p w14:paraId="5AA3F4F6" w14:textId="77777777" w:rsidR="00692E71" w:rsidRPr="001E3185" w:rsidRDefault="00692E71" w:rsidP="008E0250">
            <w:pPr>
              <w:autoSpaceDE w:val="0"/>
              <w:autoSpaceDN w:val="0"/>
              <w:ind w:right="142"/>
              <w:rPr>
                <w:rFonts w:cs="Arial"/>
              </w:rPr>
            </w:pPr>
          </w:p>
          <w:p w14:paraId="5EF95CC7"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The risk characterisation for the aquatic compartment including sediment has been performed considering PEC calculated for the bridge scenario, and compared to PNEC</w:t>
            </w:r>
            <w:r w:rsidRPr="001E3185">
              <w:rPr>
                <w:rFonts w:cs="Arial"/>
                <w:vertAlign w:val="subscript"/>
                <w:lang w:eastAsia="en-GB"/>
              </w:rPr>
              <w:t>water</w:t>
            </w:r>
            <w:r w:rsidRPr="001E3185">
              <w:rPr>
                <w:rFonts w:cs="Arial"/>
                <w:lang w:eastAsia="en-GB"/>
              </w:rPr>
              <w:t xml:space="preserve"> and PNEC</w:t>
            </w:r>
            <w:r w:rsidRPr="001E3185">
              <w:rPr>
                <w:rFonts w:cs="Arial"/>
                <w:vertAlign w:val="subscript"/>
                <w:lang w:eastAsia="en-GB"/>
              </w:rPr>
              <w:t>sediment</w:t>
            </w:r>
            <w:r w:rsidRPr="001E3185">
              <w:rPr>
                <w:rFonts w:cs="Arial"/>
                <w:lang w:eastAsia="en-GB"/>
              </w:rPr>
              <w:t xml:space="preserve"> of each active substance for the service life of the treated wood.</w:t>
            </w:r>
          </w:p>
          <w:p w14:paraId="2144FA31" w14:textId="77777777" w:rsidR="00692E71" w:rsidRPr="001E3185" w:rsidRDefault="00692E71" w:rsidP="008E0250">
            <w:pPr>
              <w:autoSpaceDE w:val="0"/>
              <w:autoSpaceDN w:val="0"/>
              <w:ind w:right="142"/>
              <w:rPr>
                <w:rFonts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2483"/>
              <w:gridCol w:w="3602"/>
              <w:gridCol w:w="3448"/>
            </w:tblGrid>
            <w:tr w:rsidR="00692E71" w:rsidRPr="001E3185" w14:paraId="01EBC2B8" w14:textId="77777777" w:rsidTr="008E0250">
              <w:trPr>
                <w:trHeight w:val="340"/>
              </w:trPr>
              <w:tc>
                <w:tcPr>
                  <w:tcW w:w="5000" w:type="pct"/>
                  <w:gridSpan w:val="3"/>
                  <w:shd w:val="clear" w:color="auto" w:fill="auto"/>
                  <w:noWrap/>
                  <w:vAlign w:val="center"/>
                  <w:hideMark/>
                </w:tcPr>
                <w:p w14:paraId="6E3EFFE4" w14:textId="77777777" w:rsidR="00692E71" w:rsidRPr="001E3185" w:rsidRDefault="00692E71" w:rsidP="008E0250">
                  <w:pPr>
                    <w:jc w:val="center"/>
                    <w:rPr>
                      <w:rFonts w:cs="Arial"/>
                      <w:b/>
                      <w:bCs/>
                    </w:rPr>
                  </w:pPr>
                  <w:r w:rsidRPr="001E3185">
                    <w:rPr>
                      <w:rFonts w:cs="Arial"/>
                      <w:b/>
                    </w:rPr>
                    <w:t>Bridge over the pond -</w:t>
                  </w:r>
                  <w:r w:rsidRPr="001E3185">
                    <w:rPr>
                      <w:rFonts w:cs="Arial"/>
                      <w:b/>
                      <w:bCs/>
                      <w:iCs/>
                    </w:rPr>
                    <w:t xml:space="preserve"> Treated wood in service only – Industrial &amp; </w:t>
                  </w:r>
                  <w:r w:rsidRPr="001E3185">
                    <w:rPr>
                      <w:rFonts w:cs="Arial"/>
                      <w:b/>
                      <w:bCs/>
                      <w:i/>
                      <w:iCs/>
                    </w:rPr>
                    <w:t>In situ</w:t>
                  </w:r>
                  <w:r w:rsidRPr="001E3185">
                    <w:rPr>
                      <w:rFonts w:cs="Arial"/>
                      <w:b/>
                      <w:bCs/>
                      <w:iCs/>
                    </w:rPr>
                    <w:t xml:space="preserve"> application</w:t>
                  </w:r>
                </w:p>
              </w:tc>
            </w:tr>
            <w:tr w:rsidR="00692E71" w:rsidRPr="001E3185" w14:paraId="31502ACF" w14:textId="77777777" w:rsidTr="008E0250">
              <w:trPr>
                <w:trHeight w:val="283"/>
              </w:trPr>
              <w:tc>
                <w:tcPr>
                  <w:tcW w:w="1302" w:type="pct"/>
                  <w:shd w:val="clear" w:color="auto" w:fill="auto"/>
                  <w:noWrap/>
                  <w:vAlign w:val="center"/>
                </w:tcPr>
                <w:p w14:paraId="4C99CE1B" w14:textId="77777777" w:rsidR="00692E71" w:rsidRPr="001E3185" w:rsidRDefault="00692E71" w:rsidP="008E0250">
                  <w:pPr>
                    <w:jc w:val="center"/>
                    <w:rPr>
                      <w:rFonts w:cs="Arial"/>
                    </w:rPr>
                  </w:pPr>
                  <w:r w:rsidRPr="001E3185">
                    <w:rPr>
                      <w:rFonts w:cs="Arial"/>
                      <w:b/>
                      <w:lang w:eastAsia="en-GB"/>
                    </w:rPr>
                    <w:t>SURFACE WATER</w:t>
                  </w:r>
                </w:p>
              </w:tc>
              <w:tc>
                <w:tcPr>
                  <w:tcW w:w="1889" w:type="pct"/>
                  <w:shd w:val="clear" w:color="auto" w:fill="auto"/>
                  <w:vAlign w:val="center"/>
                </w:tcPr>
                <w:p w14:paraId="4384C3AB"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1) [µg.L</w:t>
                  </w:r>
                  <w:r w:rsidRPr="001E3185">
                    <w:rPr>
                      <w:rFonts w:cs="Arial"/>
                      <w:b/>
                      <w:vertAlign w:val="superscript"/>
                    </w:rPr>
                    <w:t>-1</w:t>
                  </w:r>
                  <w:r w:rsidRPr="001E3185">
                    <w:rPr>
                      <w:rFonts w:cs="Arial"/>
                      <w:b/>
                    </w:rPr>
                    <w:t>]</w:t>
                  </w:r>
                </w:p>
              </w:tc>
              <w:tc>
                <w:tcPr>
                  <w:tcW w:w="1809" w:type="pct"/>
                  <w:shd w:val="clear" w:color="auto" w:fill="auto"/>
                  <w:vAlign w:val="center"/>
                </w:tcPr>
                <w:p w14:paraId="57534A24" w14:textId="77777777" w:rsidR="00692E71" w:rsidRPr="001E3185" w:rsidRDefault="00692E71" w:rsidP="008E0250">
                  <w:pPr>
                    <w:jc w:val="center"/>
                    <w:rPr>
                      <w:rFonts w:cs="Arial"/>
                    </w:rPr>
                  </w:pPr>
                  <w:r w:rsidRPr="001E3185">
                    <w:rPr>
                      <w:rFonts w:cs="Arial"/>
                      <w:b/>
                    </w:rPr>
                    <w:t>PEC/PNEC</w:t>
                  </w:r>
                </w:p>
              </w:tc>
            </w:tr>
            <w:tr w:rsidR="00692E71" w:rsidRPr="001E3185" w14:paraId="25CFA822" w14:textId="77777777" w:rsidTr="008E0250">
              <w:trPr>
                <w:trHeight w:val="283"/>
              </w:trPr>
              <w:tc>
                <w:tcPr>
                  <w:tcW w:w="1302" w:type="pct"/>
                  <w:shd w:val="clear" w:color="auto" w:fill="auto"/>
                  <w:noWrap/>
                  <w:vAlign w:val="center"/>
                </w:tcPr>
                <w:p w14:paraId="6B8717F8"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38AF7DF4" w14:textId="77777777" w:rsidR="00692E71" w:rsidRPr="001E3185" w:rsidRDefault="00692E71" w:rsidP="008E0250">
                  <w:pPr>
                    <w:jc w:val="center"/>
                    <w:rPr>
                      <w:rFonts w:cs="Arial"/>
                    </w:rPr>
                  </w:pPr>
                  <w:r w:rsidRPr="001E3185">
                    <w:rPr>
                      <w:rFonts w:cs="Arial"/>
                    </w:rPr>
                    <w:t>3.76E-02</w:t>
                  </w:r>
                </w:p>
              </w:tc>
              <w:tc>
                <w:tcPr>
                  <w:tcW w:w="1809" w:type="pct"/>
                  <w:shd w:val="clear" w:color="auto" w:fill="auto"/>
                  <w:vAlign w:val="center"/>
                </w:tcPr>
                <w:p w14:paraId="3F7FD308" w14:textId="77777777" w:rsidR="00692E71" w:rsidRPr="001E3185" w:rsidRDefault="00692E71" w:rsidP="008E0250">
                  <w:pPr>
                    <w:jc w:val="center"/>
                    <w:rPr>
                      <w:rFonts w:cs="Arial"/>
                    </w:rPr>
                  </w:pPr>
                  <w:r w:rsidRPr="001E3185">
                    <w:rPr>
                      <w:rFonts w:cs="Arial"/>
                    </w:rPr>
                    <w:t>3.76E-02</w:t>
                  </w:r>
                </w:p>
              </w:tc>
            </w:tr>
            <w:tr w:rsidR="00692E71" w:rsidRPr="001E3185" w14:paraId="4C358083" w14:textId="77777777" w:rsidTr="008E0250">
              <w:trPr>
                <w:trHeight w:val="283"/>
              </w:trPr>
              <w:tc>
                <w:tcPr>
                  <w:tcW w:w="1302" w:type="pct"/>
                  <w:shd w:val="clear" w:color="auto" w:fill="auto"/>
                  <w:noWrap/>
                  <w:vAlign w:val="center"/>
                </w:tcPr>
                <w:p w14:paraId="2A71EC1B"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6F7B93C9" w14:textId="77777777" w:rsidR="00692E71" w:rsidRPr="001E3185" w:rsidRDefault="00692E71" w:rsidP="008E0250">
                  <w:pPr>
                    <w:jc w:val="center"/>
                    <w:rPr>
                      <w:rFonts w:cs="Arial"/>
                    </w:rPr>
                  </w:pPr>
                  <w:r w:rsidRPr="001E3185">
                    <w:rPr>
                      <w:rFonts w:cs="Arial"/>
                    </w:rPr>
                    <w:t>6.05E-02</w:t>
                  </w:r>
                </w:p>
              </w:tc>
              <w:tc>
                <w:tcPr>
                  <w:tcW w:w="1809" w:type="pct"/>
                  <w:shd w:val="clear" w:color="auto" w:fill="auto"/>
                  <w:vAlign w:val="center"/>
                </w:tcPr>
                <w:p w14:paraId="72E166E6" w14:textId="77777777" w:rsidR="00692E71" w:rsidRPr="001E3185" w:rsidRDefault="00692E71" w:rsidP="008E0250">
                  <w:pPr>
                    <w:jc w:val="center"/>
                    <w:rPr>
                      <w:rFonts w:cs="Arial"/>
                    </w:rPr>
                  </w:pPr>
                  <w:r w:rsidRPr="001E3185">
                    <w:rPr>
                      <w:rFonts w:cs="Arial"/>
                    </w:rPr>
                    <w:t>8.89E-03</w:t>
                  </w:r>
                </w:p>
              </w:tc>
            </w:tr>
            <w:tr w:rsidR="00692E71" w:rsidRPr="001E3185" w14:paraId="5D68FC74" w14:textId="77777777" w:rsidTr="008E0250">
              <w:trPr>
                <w:trHeight w:val="283"/>
              </w:trPr>
              <w:tc>
                <w:tcPr>
                  <w:tcW w:w="1302" w:type="pct"/>
                  <w:shd w:val="clear" w:color="auto" w:fill="auto"/>
                  <w:noWrap/>
                  <w:vAlign w:val="center"/>
                </w:tcPr>
                <w:p w14:paraId="3B8FFE47"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1E1AB7B9" w14:textId="77777777" w:rsidR="00692E71" w:rsidRPr="001E3185" w:rsidRDefault="00692E71" w:rsidP="008E0250">
                  <w:pPr>
                    <w:jc w:val="center"/>
                    <w:rPr>
                      <w:rFonts w:cs="Arial"/>
                    </w:rPr>
                  </w:pPr>
                  <w:r w:rsidRPr="001E3185">
                    <w:rPr>
                      <w:rFonts w:cs="Arial"/>
                    </w:rPr>
                    <w:t>3.67E-05</w:t>
                  </w:r>
                </w:p>
              </w:tc>
              <w:tc>
                <w:tcPr>
                  <w:tcW w:w="1809" w:type="pct"/>
                  <w:shd w:val="clear" w:color="auto" w:fill="auto"/>
                  <w:vAlign w:val="center"/>
                </w:tcPr>
                <w:p w14:paraId="0206E417" w14:textId="77777777" w:rsidR="00692E71" w:rsidRPr="001E3185" w:rsidRDefault="00692E71" w:rsidP="008E0250">
                  <w:pPr>
                    <w:jc w:val="center"/>
                    <w:rPr>
                      <w:rFonts w:cs="Arial"/>
                    </w:rPr>
                  </w:pPr>
                  <w:r w:rsidRPr="001E3185">
                    <w:rPr>
                      <w:rFonts w:cs="Arial"/>
                    </w:rPr>
                    <w:t>9.18E-03</w:t>
                  </w:r>
                </w:p>
              </w:tc>
            </w:tr>
            <w:tr w:rsidR="00692E71" w:rsidRPr="001E3185" w14:paraId="631B66F0" w14:textId="77777777" w:rsidTr="008E0250">
              <w:trPr>
                <w:trHeight w:val="283"/>
              </w:trPr>
              <w:tc>
                <w:tcPr>
                  <w:tcW w:w="1302" w:type="pct"/>
                  <w:shd w:val="clear" w:color="auto" w:fill="auto"/>
                  <w:noWrap/>
                  <w:vAlign w:val="center"/>
                </w:tcPr>
                <w:p w14:paraId="1FA9CD87" w14:textId="77777777" w:rsidR="00692E71" w:rsidRPr="001E3185" w:rsidRDefault="00692E71" w:rsidP="008E0250">
                  <w:pPr>
                    <w:rPr>
                      <w:rFonts w:cs="Arial"/>
                    </w:rPr>
                  </w:pPr>
                  <w:r w:rsidRPr="001E3185">
                    <w:rPr>
                      <w:rFonts w:cs="Arial"/>
                    </w:rPr>
                    <w:t>IPBC</w:t>
                  </w:r>
                </w:p>
              </w:tc>
              <w:tc>
                <w:tcPr>
                  <w:tcW w:w="1889" w:type="pct"/>
                  <w:shd w:val="clear" w:color="auto" w:fill="auto"/>
                  <w:noWrap/>
                  <w:vAlign w:val="center"/>
                </w:tcPr>
                <w:p w14:paraId="503E874A" w14:textId="77777777" w:rsidR="00692E71" w:rsidRPr="001E3185" w:rsidRDefault="00692E71" w:rsidP="008E0250">
                  <w:pPr>
                    <w:jc w:val="center"/>
                    <w:rPr>
                      <w:rFonts w:cs="Arial"/>
                    </w:rPr>
                  </w:pPr>
                  <w:r w:rsidRPr="001E3185">
                    <w:rPr>
                      <w:rFonts w:cs="Arial"/>
                    </w:rPr>
                    <w:t>3.11E-04</w:t>
                  </w:r>
                </w:p>
              </w:tc>
              <w:tc>
                <w:tcPr>
                  <w:tcW w:w="1809" w:type="pct"/>
                  <w:shd w:val="clear" w:color="auto" w:fill="auto"/>
                  <w:vAlign w:val="center"/>
                </w:tcPr>
                <w:p w14:paraId="09D8F428" w14:textId="77777777" w:rsidR="00692E71" w:rsidRPr="001E3185" w:rsidRDefault="00692E71" w:rsidP="008E0250">
                  <w:pPr>
                    <w:jc w:val="center"/>
                    <w:rPr>
                      <w:rFonts w:cs="Arial"/>
                    </w:rPr>
                  </w:pPr>
                  <w:r w:rsidRPr="001E3185">
                    <w:rPr>
                      <w:rFonts w:cs="Arial"/>
                    </w:rPr>
                    <w:t>6.21E-04</w:t>
                  </w:r>
                </w:p>
              </w:tc>
            </w:tr>
            <w:tr w:rsidR="00692E71" w:rsidRPr="001E3185" w14:paraId="547E75B9" w14:textId="77777777" w:rsidTr="008E0250">
              <w:trPr>
                <w:trHeight w:val="283"/>
              </w:trPr>
              <w:tc>
                <w:tcPr>
                  <w:tcW w:w="1302" w:type="pct"/>
                  <w:shd w:val="clear" w:color="auto" w:fill="auto"/>
                  <w:noWrap/>
                  <w:vAlign w:val="center"/>
                </w:tcPr>
                <w:p w14:paraId="2D48FF2C"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647209BB" w14:textId="77777777" w:rsidR="00692E71" w:rsidRPr="001E3185" w:rsidRDefault="00692E71" w:rsidP="008E0250">
                  <w:pPr>
                    <w:jc w:val="center"/>
                    <w:rPr>
                      <w:rFonts w:cs="Arial"/>
                    </w:rPr>
                  </w:pPr>
                  <w:r w:rsidRPr="001E3185">
                    <w:rPr>
                      <w:rFonts w:cs="Arial"/>
                    </w:rPr>
                    <w:t>1.13E-02</w:t>
                  </w:r>
                </w:p>
              </w:tc>
              <w:tc>
                <w:tcPr>
                  <w:tcW w:w="1809" w:type="pct"/>
                  <w:shd w:val="clear" w:color="auto" w:fill="auto"/>
                  <w:vAlign w:val="center"/>
                </w:tcPr>
                <w:p w14:paraId="05EC4778" w14:textId="77777777" w:rsidR="00692E71" w:rsidRPr="001E3185" w:rsidRDefault="00692E71" w:rsidP="008E0250">
                  <w:pPr>
                    <w:jc w:val="center"/>
                    <w:rPr>
                      <w:rFonts w:cs="Arial"/>
                    </w:rPr>
                  </w:pPr>
                  <w:r w:rsidRPr="001E3185">
                    <w:rPr>
                      <w:rFonts w:cs="Arial"/>
                    </w:rPr>
                    <w:t>2.73E-04</w:t>
                  </w:r>
                </w:p>
              </w:tc>
            </w:tr>
            <w:tr w:rsidR="00692E71" w:rsidRPr="001E3185" w14:paraId="79826A23" w14:textId="77777777" w:rsidTr="008E0250">
              <w:trPr>
                <w:trHeight w:val="283"/>
              </w:trPr>
              <w:tc>
                <w:tcPr>
                  <w:tcW w:w="1302" w:type="pct"/>
                  <w:shd w:val="clear" w:color="auto" w:fill="auto"/>
                  <w:noWrap/>
                  <w:vAlign w:val="center"/>
                </w:tcPr>
                <w:p w14:paraId="12771DB7"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center"/>
                </w:tcPr>
                <w:p w14:paraId="7EBBB158" w14:textId="77777777" w:rsidR="00692E71" w:rsidRPr="001E3185" w:rsidRDefault="00692E71" w:rsidP="008E0250">
                  <w:pPr>
                    <w:jc w:val="center"/>
                    <w:rPr>
                      <w:rFonts w:cs="Arial"/>
                    </w:rPr>
                  </w:pPr>
                </w:p>
              </w:tc>
              <w:tc>
                <w:tcPr>
                  <w:tcW w:w="1809" w:type="pct"/>
                  <w:shd w:val="clear" w:color="auto" w:fill="auto"/>
                  <w:vAlign w:val="center"/>
                </w:tcPr>
                <w:p w14:paraId="018F8232" w14:textId="77777777" w:rsidR="00692E71" w:rsidRPr="001E3185" w:rsidRDefault="00692E71" w:rsidP="008E0250">
                  <w:pPr>
                    <w:jc w:val="center"/>
                    <w:rPr>
                      <w:rFonts w:cs="Arial"/>
                    </w:rPr>
                  </w:pPr>
                  <w:r w:rsidRPr="001E3185">
                    <w:rPr>
                      <w:rFonts w:cs="Arial"/>
                    </w:rPr>
                    <w:t>5.66E-02</w:t>
                  </w:r>
                </w:p>
              </w:tc>
            </w:tr>
            <w:tr w:rsidR="00692E71" w:rsidRPr="001E3185" w14:paraId="45680B85" w14:textId="77777777" w:rsidTr="008E0250">
              <w:trPr>
                <w:trHeight w:val="283"/>
              </w:trPr>
              <w:tc>
                <w:tcPr>
                  <w:tcW w:w="1302" w:type="pct"/>
                  <w:shd w:val="clear" w:color="auto" w:fill="auto"/>
                  <w:noWrap/>
                  <w:vAlign w:val="center"/>
                </w:tcPr>
                <w:p w14:paraId="1B2EC6D7" w14:textId="77777777" w:rsidR="00692E71" w:rsidRPr="001E3185" w:rsidRDefault="00692E71" w:rsidP="008E0250">
                  <w:pPr>
                    <w:jc w:val="center"/>
                    <w:rPr>
                      <w:rFonts w:cs="Arial"/>
                    </w:rPr>
                  </w:pPr>
                  <w:r w:rsidRPr="001E3185">
                    <w:rPr>
                      <w:rFonts w:cs="Arial"/>
                      <w:b/>
                      <w:iCs/>
                    </w:rPr>
                    <w:t>SEDIMENT</w:t>
                  </w:r>
                </w:p>
              </w:tc>
              <w:tc>
                <w:tcPr>
                  <w:tcW w:w="1889" w:type="pct"/>
                  <w:shd w:val="clear" w:color="auto" w:fill="auto"/>
                  <w:vAlign w:val="center"/>
                </w:tcPr>
                <w:p w14:paraId="6C8EEA5D" w14:textId="77777777" w:rsidR="00692E71" w:rsidRPr="001E3185" w:rsidRDefault="00692E71" w:rsidP="008E0250">
                  <w:pPr>
                    <w:autoSpaceDE w:val="0"/>
                    <w:autoSpaceDN w:val="0"/>
                    <w:jc w:val="center"/>
                    <w:rPr>
                      <w:rFonts w:cs="Arial"/>
                      <w:b/>
                    </w:rPr>
                  </w:pPr>
                  <w:r w:rsidRPr="001E3185">
                    <w:rPr>
                      <w:rFonts w:cs="Arial"/>
                      <w:b/>
                      <w:iCs/>
                    </w:rPr>
                    <w:t xml:space="preserve">PEC </w:t>
                  </w:r>
                  <w:r w:rsidRPr="001E3185">
                    <w:rPr>
                      <w:rFonts w:cs="Arial"/>
                      <w:b/>
                    </w:rPr>
                    <w:t>(TIME 1) [mg.kg</w:t>
                  </w:r>
                  <w:r w:rsidRPr="001E3185">
                    <w:rPr>
                      <w:rFonts w:cs="Arial"/>
                      <w:b/>
                      <w:vertAlign w:val="subscript"/>
                    </w:rPr>
                    <w:t>wwt</w:t>
                  </w:r>
                  <w:r w:rsidRPr="001E3185">
                    <w:rPr>
                      <w:rFonts w:cs="Arial"/>
                      <w:b/>
                      <w:vertAlign w:val="superscript"/>
                    </w:rPr>
                    <w:t>-1</w:t>
                  </w:r>
                  <w:r w:rsidRPr="001E3185">
                    <w:rPr>
                      <w:rFonts w:cs="Arial"/>
                      <w:b/>
                    </w:rPr>
                    <w:t>]</w:t>
                  </w:r>
                </w:p>
              </w:tc>
              <w:tc>
                <w:tcPr>
                  <w:tcW w:w="1809" w:type="pct"/>
                  <w:shd w:val="clear" w:color="auto" w:fill="auto"/>
                  <w:vAlign w:val="center"/>
                </w:tcPr>
                <w:p w14:paraId="41C1DDD5"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5C622922" w14:textId="77777777" w:rsidTr="008E0250">
              <w:trPr>
                <w:trHeight w:val="283"/>
              </w:trPr>
              <w:tc>
                <w:tcPr>
                  <w:tcW w:w="1302" w:type="pct"/>
                  <w:shd w:val="clear" w:color="auto" w:fill="auto"/>
                  <w:noWrap/>
                  <w:vAlign w:val="bottom"/>
                </w:tcPr>
                <w:p w14:paraId="438ED0AC"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58E82AC7" w14:textId="77777777" w:rsidR="00692E71" w:rsidRPr="001E3185" w:rsidRDefault="00692E71" w:rsidP="00D03C7B">
                  <w:pPr>
                    <w:jc w:val="center"/>
                    <w:rPr>
                      <w:rFonts w:cs="Arial"/>
                    </w:rPr>
                  </w:pPr>
                  <w:r w:rsidRPr="001E3185">
                    <w:rPr>
                      <w:rFonts w:cs="Arial"/>
                    </w:rPr>
                    <w:t>9.</w:t>
                  </w:r>
                  <w:r w:rsidR="00D03C7B" w:rsidRPr="001E3185">
                    <w:rPr>
                      <w:rFonts w:cs="Arial"/>
                    </w:rPr>
                    <w:t>49</w:t>
                  </w:r>
                  <w:r w:rsidRPr="001E3185">
                    <w:rPr>
                      <w:rFonts w:cs="Arial"/>
                    </w:rPr>
                    <w:t>E-04</w:t>
                  </w:r>
                </w:p>
              </w:tc>
              <w:tc>
                <w:tcPr>
                  <w:tcW w:w="1809" w:type="pct"/>
                  <w:shd w:val="clear" w:color="auto" w:fill="auto"/>
                  <w:vAlign w:val="bottom"/>
                </w:tcPr>
                <w:p w14:paraId="5DBDFB65" w14:textId="77777777" w:rsidR="00692E71" w:rsidRPr="001E3185" w:rsidRDefault="00692E71" w:rsidP="00D03C7B">
                  <w:pPr>
                    <w:jc w:val="center"/>
                    <w:rPr>
                      <w:rFonts w:cs="Arial"/>
                    </w:rPr>
                  </w:pPr>
                  <w:r w:rsidRPr="001E3185">
                    <w:rPr>
                      <w:rFonts w:cs="Arial"/>
                    </w:rPr>
                    <w:t>1.7</w:t>
                  </w:r>
                  <w:r w:rsidR="00D03C7B" w:rsidRPr="001E3185">
                    <w:rPr>
                      <w:rFonts w:cs="Arial"/>
                    </w:rPr>
                    <w:t>2</w:t>
                  </w:r>
                  <w:r w:rsidRPr="001E3185">
                    <w:rPr>
                      <w:rFonts w:cs="Arial"/>
                    </w:rPr>
                    <w:t>E-03</w:t>
                  </w:r>
                </w:p>
              </w:tc>
            </w:tr>
            <w:tr w:rsidR="00692E71" w:rsidRPr="001E3185" w14:paraId="2CE2A4EC" w14:textId="77777777" w:rsidTr="008E0250">
              <w:trPr>
                <w:trHeight w:val="283"/>
              </w:trPr>
              <w:tc>
                <w:tcPr>
                  <w:tcW w:w="1302" w:type="pct"/>
                  <w:shd w:val="clear" w:color="auto" w:fill="auto"/>
                  <w:noWrap/>
                  <w:vAlign w:val="bottom"/>
                </w:tcPr>
                <w:p w14:paraId="3CD0D638"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32B6E628" w14:textId="77777777" w:rsidR="00692E71" w:rsidRPr="001E3185" w:rsidRDefault="00692E71" w:rsidP="008E0250">
                  <w:pPr>
                    <w:jc w:val="center"/>
                    <w:rPr>
                      <w:rFonts w:cs="Arial"/>
                    </w:rPr>
                  </w:pPr>
                  <w:r w:rsidRPr="001E3185">
                    <w:rPr>
                      <w:rFonts w:cs="Arial"/>
                    </w:rPr>
                    <w:t>2.11E-03</w:t>
                  </w:r>
                </w:p>
              </w:tc>
              <w:tc>
                <w:tcPr>
                  <w:tcW w:w="1809" w:type="pct"/>
                  <w:shd w:val="clear" w:color="auto" w:fill="auto"/>
                  <w:vAlign w:val="bottom"/>
                </w:tcPr>
                <w:p w14:paraId="2DA84EC5" w14:textId="77777777" w:rsidR="00692E71" w:rsidRPr="001E3185" w:rsidRDefault="00692E71" w:rsidP="008E0250">
                  <w:pPr>
                    <w:jc w:val="center"/>
                    <w:rPr>
                      <w:rFonts w:cs="Arial"/>
                    </w:rPr>
                  </w:pPr>
                  <w:r w:rsidRPr="001E3185">
                    <w:rPr>
                      <w:rFonts w:cs="Arial"/>
                    </w:rPr>
                    <w:t>3.91E-02</w:t>
                  </w:r>
                </w:p>
              </w:tc>
            </w:tr>
            <w:tr w:rsidR="00692E71" w:rsidRPr="001E3185" w14:paraId="6B2E2B6C" w14:textId="77777777" w:rsidTr="008E0250">
              <w:trPr>
                <w:trHeight w:val="283"/>
              </w:trPr>
              <w:tc>
                <w:tcPr>
                  <w:tcW w:w="1302" w:type="pct"/>
                  <w:shd w:val="clear" w:color="auto" w:fill="auto"/>
                  <w:noWrap/>
                  <w:vAlign w:val="bottom"/>
                </w:tcPr>
                <w:p w14:paraId="0DDDC4E8"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0FD7C396" w14:textId="77777777" w:rsidR="00692E71" w:rsidRPr="001E3185" w:rsidRDefault="00D03C7B" w:rsidP="008E0250">
                  <w:pPr>
                    <w:jc w:val="center"/>
                    <w:rPr>
                      <w:rFonts w:cs="Arial"/>
                    </w:rPr>
                  </w:pPr>
                  <w:r w:rsidRPr="001E3185">
                    <w:rPr>
                      <w:rFonts w:cs="Arial"/>
                    </w:rPr>
                    <w:t>3.74</w:t>
                  </w:r>
                  <w:r w:rsidR="00692E71" w:rsidRPr="001E3185">
                    <w:rPr>
                      <w:rFonts w:cs="Arial"/>
                    </w:rPr>
                    <w:t>E-03</w:t>
                  </w:r>
                </w:p>
              </w:tc>
              <w:tc>
                <w:tcPr>
                  <w:tcW w:w="1809" w:type="pct"/>
                  <w:shd w:val="clear" w:color="auto" w:fill="auto"/>
                  <w:vAlign w:val="bottom"/>
                </w:tcPr>
                <w:p w14:paraId="63771A05" w14:textId="77777777" w:rsidR="00692E71" w:rsidRPr="001E3185" w:rsidRDefault="00D03C7B" w:rsidP="008E0250">
                  <w:pPr>
                    <w:jc w:val="center"/>
                    <w:rPr>
                      <w:rFonts w:cs="Arial"/>
                    </w:rPr>
                  </w:pPr>
                  <w:r w:rsidRPr="001E3185">
                    <w:rPr>
                      <w:rFonts w:cs="Arial"/>
                    </w:rPr>
                    <w:t>7.48</w:t>
                  </w:r>
                  <w:r w:rsidR="00692E71" w:rsidRPr="001E3185">
                    <w:rPr>
                      <w:rFonts w:cs="Arial"/>
                    </w:rPr>
                    <w:t>E-01</w:t>
                  </w:r>
                </w:p>
              </w:tc>
            </w:tr>
            <w:tr w:rsidR="00692E71" w:rsidRPr="001E3185" w14:paraId="078DF318" w14:textId="77777777" w:rsidTr="008E0250">
              <w:trPr>
                <w:trHeight w:val="283"/>
              </w:trPr>
              <w:tc>
                <w:tcPr>
                  <w:tcW w:w="1302" w:type="pct"/>
                  <w:shd w:val="clear" w:color="auto" w:fill="auto"/>
                  <w:noWrap/>
                  <w:vAlign w:val="bottom"/>
                </w:tcPr>
                <w:p w14:paraId="6544C6DE"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1A8E1D93" w14:textId="77777777" w:rsidR="00692E71" w:rsidRPr="001E3185" w:rsidRDefault="00692E71" w:rsidP="008E0250">
                  <w:pPr>
                    <w:jc w:val="center"/>
                    <w:rPr>
                      <w:rFonts w:cs="Arial"/>
                    </w:rPr>
                  </w:pPr>
                  <w:r w:rsidRPr="001E3185">
                    <w:rPr>
                      <w:rFonts w:cs="Arial"/>
                    </w:rPr>
                    <w:t>5.75E-05</w:t>
                  </w:r>
                </w:p>
              </w:tc>
              <w:tc>
                <w:tcPr>
                  <w:tcW w:w="1809" w:type="pct"/>
                  <w:shd w:val="clear" w:color="auto" w:fill="auto"/>
                  <w:vAlign w:val="bottom"/>
                </w:tcPr>
                <w:p w14:paraId="59114B98" w14:textId="77777777" w:rsidR="00692E71" w:rsidRPr="001E3185" w:rsidRDefault="00692E71" w:rsidP="008E0250">
                  <w:pPr>
                    <w:jc w:val="center"/>
                    <w:rPr>
                      <w:rFonts w:cs="Arial"/>
                    </w:rPr>
                  </w:pPr>
                  <w:r w:rsidRPr="001E3185">
                    <w:rPr>
                      <w:rFonts w:cs="Arial"/>
                    </w:rPr>
                    <w:t>2.74E-04</w:t>
                  </w:r>
                </w:p>
              </w:tc>
            </w:tr>
            <w:tr w:rsidR="00692E71" w:rsidRPr="001E3185" w14:paraId="6546D38A" w14:textId="77777777" w:rsidTr="008E0250">
              <w:trPr>
                <w:trHeight w:val="283"/>
              </w:trPr>
              <w:tc>
                <w:tcPr>
                  <w:tcW w:w="1302" w:type="pct"/>
                  <w:shd w:val="clear" w:color="auto" w:fill="auto"/>
                  <w:noWrap/>
                  <w:vAlign w:val="bottom"/>
                </w:tcPr>
                <w:p w14:paraId="6BB39045"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bottom"/>
                </w:tcPr>
                <w:p w14:paraId="62B29BE1" w14:textId="77777777" w:rsidR="00692E71" w:rsidRPr="001E3185" w:rsidRDefault="00692E71" w:rsidP="008E0250">
                  <w:pPr>
                    <w:jc w:val="center"/>
                    <w:rPr>
                      <w:rFonts w:cs="Arial"/>
                    </w:rPr>
                  </w:pPr>
                </w:p>
              </w:tc>
              <w:tc>
                <w:tcPr>
                  <w:tcW w:w="1809" w:type="pct"/>
                  <w:shd w:val="clear" w:color="auto" w:fill="auto"/>
                  <w:vAlign w:val="bottom"/>
                </w:tcPr>
                <w:p w14:paraId="7912E778" w14:textId="77777777" w:rsidR="00692E71" w:rsidRPr="001E3185" w:rsidRDefault="00D03C7B" w:rsidP="008E0250">
                  <w:pPr>
                    <w:jc w:val="center"/>
                    <w:rPr>
                      <w:rFonts w:cs="Arial"/>
                    </w:rPr>
                  </w:pPr>
                  <w:r w:rsidRPr="001E3185">
                    <w:rPr>
                      <w:rFonts w:cs="Arial"/>
                    </w:rPr>
                    <w:t>7.90</w:t>
                  </w:r>
                  <w:r w:rsidR="00692E71" w:rsidRPr="001E3185">
                    <w:rPr>
                      <w:rFonts w:cs="Arial"/>
                    </w:rPr>
                    <w:t>E-01</w:t>
                  </w:r>
                </w:p>
              </w:tc>
            </w:tr>
            <w:tr w:rsidR="00692E71" w:rsidRPr="001E3185" w14:paraId="2C6DD0E3" w14:textId="77777777" w:rsidTr="008E0250">
              <w:trPr>
                <w:trHeight w:val="340"/>
              </w:trPr>
              <w:tc>
                <w:tcPr>
                  <w:tcW w:w="5000" w:type="pct"/>
                  <w:gridSpan w:val="3"/>
                  <w:shd w:val="clear" w:color="auto" w:fill="auto"/>
                  <w:noWrap/>
                  <w:vAlign w:val="center"/>
                  <w:hideMark/>
                </w:tcPr>
                <w:p w14:paraId="692E332A" w14:textId="77777777" w:rsidR="00692E71" w:rsidRPr="001E3185" w:rsidRDefault="00692E71" w:rsidP="008E0250">
                  <w:pPr>
                    <w:jc w:val="center"/>
                    <w:rPr>
                      <w:rFonts w:cs="Arial"/>
                      <w:b/>
                      <w:bCs/>
                    </w:rPr>
                  </w:pPr>
                  <w:r w:rsidRPr="001E3185">
                    <w:rPr>
                      <w:rFonts w:cs="Arial"/>
                      <w:b/>
                    </w:rPr>
                    <w:t>Bridge over the pond -</w:t>
                  </w:r>
                  <w:r w:rsidRPr="001E3185">
                    <w:rPr>
                      <w:rFonts w:cs="Arial"/>
                      <w:b/>
                      <w:bCs/>
                      <w:iCs/>
                    </w:rPr>
                    <w:t xml:space="preserve"> Treated wood in service only – Industrial application</w:t>
                  </w:r>
                </w:p>
              </w:tc>
            </w:tr>
            <w:tr w:rsidR="00692E71" w:rsidRPr="001E3185" w14:paraId="2438F049" w14:textId="77777777" w:rsidTr="008E0250">
              <w:trPr>
                <w:trHeight w:val="283"/>
              </w:trPr>
              <w:tc>
                <w:tcPr>
                  <w:tcW w:w="1302" w:type="pct"/>
                  <w:shd w:val="clear" w:color="auto" w:fill="auto"/>
                  <w:noWrap/>
                  <w:vAlign w:val="center"/>
                </w:tcPr>
                <w:p w14:paraId="0BF36D42" w14:textId="77777777" w:rsidR="00692E71" w:rsidRPr="001E3185" w:rsidRDefault="00692E71" w:rsidP="008E0250">
                  <w:pPr>
                    <w:jc w:val="center"/>
                    <w:rPr>
                      <w:rFonts w:cs="Arial"/>
                    </w:rPr>
                  </w:pPr>
                  <w:r w:rsidRPr="001E3185">
                    <w:rPr>
                      <w:rFonts w:cs="Arial"/>
                      <w:b/>
                      <w:lang w:eastAsia="en-GB"/>
                    </w:rPr>
                    <w:t>SURFACE WATER</w:t>
                  </w:r>
                </w:p>
              </w:tc>
              <w:tc>
                <w:tcPr>
                  <w:tcW w:w="1889" w:type="pct"/>
                  <w:shd w:val="clear" w:color="auto" w:fill="auto"/>
                  <w:vAlign w:val="center"/>
                </w:tcPr>
                <w:p w14:paraId="14B339D2"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[µg.L</w:t>
                  </w:r>
                  <w:r w:rsidRPr="001E3185">
                    <w:rPr>
                      <w:rFonts w:cs="Arial"/>
                      <w:b/>
                      <w:vertAlign w:val="superscript"/>
                    </w:rPr>
                    <w:t>-1</w:t>
                  </w:r>
                  <w:r w:rsidRPr="001E3185">
                    <w:rPr>
                      <w:rFonts w:cs="Arial"/>
                      <w:b/>
                    </w:rPr>
                    <w:t>]</w:t>
                  </w:r>
                </w:p>
              </w:tc>
              <w:tc>
                <w:tcPr>
                  <w:tcW w:w="1809" w:type="pct"/>
                  <w:shd w:val="clear" w:color="auto" w:fill="auto"/>
                  <w:vAlign w:val="center"/>
                </w:tcPr>
                <w:p w14:paraId="3ABDF3A6" w14:textId="77777777" w:rsidR="00692E71" w:rsidRPr="001E3185" w:rsidRDefault="00692E71" w:rsidP="008E0250">
                  <w:pPr>
                    <w:jc w:val="center"/>
                    <w:rPr>
                      <w:rFonts w:cs="Arial"/>
                    </w:rPr>
                  </w:pPr>
                  <w:r w:rsidRPr="001E3185">
                    <w:rPr>
                      <w:rFonts w:cs="Arial"/>
                      <w:b/>
                    </w:rPr>
                    <w:t>PEC/PNEC</w:t>
                  </w:r>
                </w:p>
              </w:tc>
            </w:tr>
            <w:tr w:rsidR="00692E71" w:rsidRPr="001E3185" w14:paraId="7E16D6E1" w14:textId="77777777" w:rsidTr="008E0250">
              <w:trPr>
                <w:trHeight w:val="283"/>
              </w:trPr>
              <w:tc>
                <w:tcPr>
                  <w:tcW w:w="1302" w:type="pct"/>
                  <w:shd w:val="clear" w:color="auto" w:fill="auto"/>
                  <w:noWrap/>
                  <w:vAlign w:val="center"/>
                </w:tcPr>
                <w:p w14:paraId="3766F736"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0426B288" w14:textId="77777777" w:rsidR="00692E71" w:rsidRPr="001E3185" w:rsidRDefault="00692E71" w:rsidP="008E0250">
                  <w:pPr>
                    <w:jc w:val="center"/>
                    <w:rPr>
                      <w:rFonts w:cs="Arial"/>
                    </w:rPr>
                  </w:pPr>
                  <w:r w:rsidRPr="001E3185">
                    <w:rPr>
                      <w:rFonts w:cs="Arial"/>
                    </w:rPr>
                    <w:t>7.97E-03</w:t>
                  </w:r>
                </w:p>
              </w:tc>
              <w:tc>
                <w:tcPr>
                  <w:tcW w:w="1809" w:type="pct"/>
                  <w:shd w:val="clear" w:color="auto" w:fill="auto"/>
                  <w:vAlign w:val="center"/>
                </w:tcPr>
                <w:p w14:paraId="5B9BABB3" w14:textId="77777777" w:rsidR="00692E71" w:rsidRPr="001E3185" w:rsidRDefault="00692E71" w:rsidP="008E0250">
                  <w:pPr>
                    <w:jc w:val="center"/>
                    <w:rPr>
                      <w:rFonts w:cs="Arial"/>
                    </w:rPr>
                  </w:pPr>
                  <w:r w:rsidRPr="001E3185">
                    <w:rPr>
                      <w:rFonts w:cs="Arial"/>
                    </w:rPr>
                    <w:t>7.97E-03</w:t>
                  </w:r>
                </w:p>
              </w:tc>
            </w:tr>
            <w:tr w:rsidR="00692E71" w:rsidRPr="001E3185" w14:paraId="34592613" w14:textId="77777777" w:rsidTr="008E0250">
              <w:trPr>
                <w:trHeight w:val="283"/>
              </w:trPr>
              <w:tc>
                <w:tcPr>
                  <w:tcW w:w="1302" w:type="pct"/>
                  <w:shd w:val="clear" w:color="auto" w:fill="auto"/>
                  <w:noWrap/>
                  <w:vAlign w:val="center"/>
                </w:tcPr>
                <w:p w14:paraId="4D3E624F"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6D4E522E" w14:textId="77777777" w:rsidR="00692E71" w:rsidRPr="001E3185" w:rsidRDefault="00692E71" w:rsidP="008E0250">
                  <w:pPr>
                    <w:jc w:val="center"/>
                    <w:rPr>
                      <w:rFonts w:cs="Arial"/>
                    </w:rPr>
                  </w:pPr>
                  <w:r w:rsidRPr="001E3185">
                    <w:rPr>
                      <w:rFonts w:cs="Arial"/>
                    </w:rPr>
                    <w:t>6.06E-03</w:t>
                  </w:r>
                </w:p>
              </w:tc>
              <w:tc>
                <w:tcPr>
                  <w:tcW w:w="1809" w:type="pct"/>
                  <w:shd w:val="clear" w:color="auto" w:fill="auto"/>
                  <w:vAlign w:val="center"/>
                </w:tcPr>
                <w:p w14:paraId="70B3949C" w14:textId="77777777" w:rsidR="00692E71" w:rsidRPr="001E3185" w:rsidRDefault="00692E71" w:rsidP="008E0250">
                  <w:pPr>
                    <w:jc w:val="center"/>
                    <w:rPr>
                      <w:rFonts w:cs="Arial"/>
                    </w:rPr>
                  </w:pPr>
                  <w:r w:rsidRPr="001E3185">
                    <w:rPr>
                      <w:rFonts w:cs="Arial"/>
                    </w:rPr>
                    <w:t>8.92E-04</w:t>
                  </w:r>
                </w:p>
              </w:tc>
            </w:tr>
            <w:tr w:rsidR="00692E71" w:rsidRPr="001E3185" w14:paraId="344B4FAE" w14:textId="77777777" w:rsidTr="008E0250">
              <w:trPr>
                <w:trHeight w:val="283"/>
              </w:trPr>
              <w:tc>
                <w:tcPr>
                  <w:tcW w:w="1302" w:type="pct"/>
                  <w:shd w:val="clear" w:color="auto" w:fill="auto"/>
                  <w:noWrap/>
                  <w:vAlign w:val="center"/>
                </w:tcPr>
                <w:p w14:paraId="5B16750D"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07955EE0" w14:textId="77777777" w:rsidR="00692E71" w:rsidRPr="001E3185" w:rsidRDefault="00692E71" w:rsidP="008E0250">
                  <w:pPr>
                    <w:jc w:val="center"/>
                    <w:rPr>
                      <w:rFonts w:cs="Arial"/>
                    </w:rPr>
                  </w:pPr>
                  <w:r w:rsidRPr="001E3185">
                    <w:rPr>
                      <w:rFonts w:cs="Arial"/>
                    </w:rPr>
                    <w:t>3.09E-05</w:t>
                  </w:r>
                </w:p>
              </w:tc>
              <w:tc>
                <w:tcPr>
                  <w:tcW w:w="1809" w:type="pct"/>
                  <w:shd w:val="clear" w:color="auto" w:fill="auto"/>
                  <w:vAlign w:val="center"/>
                </w:tcPr>
                <w:p w14:paraId="0865611D" w14:textId="77777777" w:rsidR="00692E71" w:rsidRPr="001E3185" w:rsidRDefault="00692E71" w:rsidP="008E0250">
                  <w:pPr>
                    <w:jc w:val="center"/>
                    <w:rPr>
                      <w:rFonts w:cs="Arial"/>
                    </w:rPr>
                  </w:pPr>
                  <w:r w:rsidRPr="001E3185">
                    <w:rPr>
                      <w:rFonts w:cs="Arial"/>
                    </w:rPr>
                    <w:t>7.71E-03</w:t>
                  </w:r>
                </w:p>
              </w:tc>
            </w:tr>
            <w:tr w:rsidR="00692E71" w:rsidRPr="001E3185" w14:paraId="53F5FEFD" w14:textId="77777777" w:rsidTr="008E0250">
              <w:trPr>
                <w:trHeight w:val="283"/>
              </w:trPr>
              <w:tc>
                <w:tcPr>
                  <w:tcW w:w="1302" w:type="pct"/>
                  <w:shd w:val="clear" w:color="auto" w:fill="auto"/>
                  <w:noWrap/>
                  <w:vAlign w:val="center"/>
                </w:tcPr>
                <w:p w14:paraId="483C9E40" w14:textId="77777777" w:rsidR="00692E71" w:rsidRPr="001E3185" w:rsidRDefault="00692E71" w:rsidP="008E0250">
                  <w:pPr>
                    <w:rPr>
                      <w:rFonts w:cs="Arial"/>
                    </w:rPr>
                  </w:pPr>
                  <w:r w:rsidRPr="001E3185">
                    <w:rPr>
                      <w:rFonts w:cs="Arial"/>
                    </w:rPr>
                    <w:t>IPBC</w:t>
                  </w:r>
                </w:p>
              </w:tc>
              <w:tc>
                <w:tcPr>
                  <w:tcW w:w="1889" w:type="pct"/>
                  <w:shd w:val="clear" w:color="auto" w:fill="auto"/>
                  <w:noWrap/>
                  <w:vAlign w:val="center"/>
                </w:tcPr>
                <w:p w14:paraId="588FE77F" w14:textId="77777777" w:rsidR="00692E71" w:rsidRPr="001E3185" w:rsidRDefault="00692E71" w:rsidP="008E0250">
                  <w:pPr>
                    <w:jc w:val="center"/>
                    <w:rPr>
                      <w:rFonts w:cs="Arial"/>
                    </w:rPr>
                  </w:pPr>
                  <w:r w:rsidRPr="001E3185">
                    <w:rPr>
                      <w:rFonts w:cs="Arial"/>
                    </w:rPr>
                    <w:t>1.59E-05</w:t>
                  </w:r>
                </w:p>
              </w:tc>
              <w:tc>
                <w:tcPr>
                  <w:tcW w:w="1809" w:type="pct"/>
                  <w:shd w:val="clear" w:color="auto" w:fill="auto"/>
                  <w:vAlign w:val="center"/>
                </w:tcPr>
                <w:p w14:paraId="23B0E2B5" w14:textId="77777777" w:rsidR="00692E71" w:rsidRPr="001E3185" w:rsidRDefault="00692E71" w:rsidP="008E0250">
                  <w:pPr>
                    <w:jc w:val="center"/>
                    <w:rPr>
                      <w:rFonts w:cs="Arial"/>
                    </w:rPr>
                  </w:pPr>
                  <w:r w:rsidRPr="001E3185">
                    <w:rPr>
                      <w:rFonts w:cs="Arial"/>
                    </w:rPr>
                    <w:t>3.18E-05</w:t>
                  </w:r>
                </w:p>
              </w:tc>
            </w:tr>
            <w:tr w:rsidR="00692E71" w:rsidRPr="001E3185" w14:paraId="0E551B52" w14:textId="77777777" w:rsidTr="008E0250">
              <w:trPr>
                <w:trHeight w:val="283"/>
              </w:trPr>
              <w:tc>
                <w:tcPr>
                  <w:tcW w:w="1302" w:type="pct"/>
                  <w:shd w:val="clear" w:color="auto" w:fill="auto"/>
                  <w:noWrap/>
                  <w:vAlign w:val="center"/>
                </w:tcPr>
                <w:p w14:paraId="1F440375"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0F45674A" w14:textId="77777777" w:rsidR="00692E71" w:rsidRPr="001E3185" w:rsidRDefault="00692E71" w:rsidP="008E0250">
                  <w:pPr>
                    <w:jc w:val="center"/>
                    <w:rPr>
                      <w:rFonts w:cs="Arial"/>
                    </w:rPr>
                  </w:pPr>
                  <w:r w:rsidRPr="001E3185">
                    <w:rPr>
                      <w:rFonts w:cs="Arial"/>
                    </w:rPr>
                    <w:t>2.11E-03</w:t>
                  </w:r>
                </w:p>
              </w:tc>
              <w:tc>
                <w:tcPr>
                  <w:tcW w:w="1809" w:type="pct"/>
                  <w:shd w:val="clear" w:color="auto" w:fill="auto"/>
                  <w:vAlign w:val="center"/>
                </w:tcPr>
                <w:p w14:paraId="749835CE" w14:textId="77777777" w:rsidR="00692E71" w:rsidRPr="001E3185" w:rsidRDefault="00692E71" w:rsidP="008E0250">
                  <w:pPr>
                    <w:jc w:val="center"/>
                    <w:rPr>
                      <w:rFonts w:cs="Arial"/>
                    </w:rPr>
                  </w:pPr>
                  <w:r w:rsidRPr="001E3185">
                    <w:rPr>
                      <w:rFonts w:cs="Arial"/>
                    </w:rPr>
                    <w:t>5.10E-05</w:t>
                  </w:r>
                </w:p>
              </w:tc>
            </w:tr>
            <w:tr w:rsidR="00692E71" w:rsidRPr="001E3185" w14:paraId="68683C5B" w14:textId="77777777" w:rsidTr="008E0250">
              <w:trPr>
                <w:trHeight w:val="283"/>
              </w:trPr>
              <w:tc>
                <w:tcPr>
                  <w:tcW w:w="1302" w:type="pct"/>
                  <w:shd w:val="clear" w:color="auto" w:fill="auto"/>
                  <w:noWrap/>
                  <w:vAlign w:val="center"/>
                </w:tcPr>
                <w:p w14:paraId="7205D973"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center"/>
                </w:tcPr>
                <w:p w14:paraId="6574079D" w14:textId="77777777" w:rsidR="00692E71" w:rsidRPr="001E3185" w:rsidRDefault="00692E71" w:rsidP="008E0250">
                  <w:pPr>
                    <w:jc w:val="center"/>
                    <w:rPr>
                      <w:rFonts w:cs="Arial"/>
                    </w:rPr>
                  </w:pPr>
                </w:p>
              </w:tc>
              <w:tc>
                <w:tcPr>
                  <w:tcW w:w="1809" w:type="pct"/>
                  <w:shd w:val="clear" w:color="auto" w:fill="auto"/>
                  <w:vAlign w:val="center"/>
                </w:tcPr>
                <w:p w14:paraId="2F54EF2C" w14:textId="77777777" w:rsidR="00692E71" w:rsidRPr="001E3185" w:rsidRDefault="00692E71" w:rsidP="008E0250">
                  <w:pPr>
                    <w:jc w:val="center"/>
                    <w:rPr>
                      <w:rFonts w:cs="Arial"/>
                    </w:rPr>
                  </w:pPr>
                  <w:r w:rsidRPr="001E3185">
                    <w:rPr>
                      <w:rFonts w:cs="Arial"/>
                    </w:rPr>
                    <w:t>1.67E-02</w:t>
                  </w:r>
                </w:p>
              </w:tc>
            </w:tr>
            <w:tr w:rsidR="00692E71" w:rsidRPr="001E3185" w14:paraId="30066A44" w14:textId="77777777" w:rsidTr="008E0250">
              <w:trPr>
                <w:trHeight w:val="283"/>
              </w:trPr>
              <w:tc>
                <w:tcPr>
                  <w:tcW w:w="1302" w:type="pct"/>
                  <w:shd w:val="clear" w:color="auto" w:fill="auto"/>
                  <w:noWrap/>
                  <w:vAlign w:val="center"/>
                </w:tcPr>
                <w:p w14:paraId="01E052F1" w14:textId="77777777" w:rsidR="00692E71" w:rsidRPr="001E3185" w:rsidRDefault="00692E71" w:rsidP="008E0250">
                  <w:pPr>
                    <w:jc w:val="center"/>
                    <w:rPr>
                      <w:rFonts w:cs="Arial"/>
                    </w:rPr>
                  </w:pPr>
                  <w:r w:rsidRPr="001E3185">
                    <w:rPr>
                      <w:rFonts w:cs="Arial"/>
                      <w:b/>
                      <w:iCs/>
                    </w:rPr>
                    <w:t>SEDIMENT</w:t>
                  </w:r>
                </w:p>
              </w:tc>
              <w:tc>
                <w:tcPr>
                  <w:tcW w:w="1889" w:type="pct"/>
                  <w:shd w:val="clear" w:color="auto" w:fill="auto"/>
                  <w:vAlign w:val="center"/>
                </w:tcPr>
                <w:p w14:paraId="15DA9FE6" w14:textId="77777777" w:rsidR="00692E71" w:rsidRPr="001E3185" w:rsidRDefault="00692E71" w:rsidP="008E0250">
                  <w:pPr>
                    <w:autoSpaceDE w:val="0"/>
                    <w:autoSpaceDN w:val="0"/>
                    <w:jc w:val="center"/>
                    <w:rPr>
                      <w:rFonts w:cs="Arial"/>
                      <w:b/>
                    </w:rPr>
                  </w:pPr>
                  <w:r w:rsidRPr="001E3185">
                    <w:rPr>
                      <w:rFonts w:cs="Arial"/>
                      <w:b/>
                      <w:iCs/>
                    </w:rPr>
                    <w:t xml:space="preserve">PEC </w:t>
                  </w:r>
                  <w:r w:rsidRPr="001E3185">
                    <w:rPr>
                      <w:rFonts w:cs="Arial"/>
                      <w:b/>
                    </w:rPr>
                    <w:t>(TIME 2) [mg.kg</w:t>
                  </w:r>
                  <w:r w:rsidRPr="001E3185">
                    <w:rPr>
                      <w:rFonts w:cs="Arial"/>
                      <w:b/>
                      <w:vertAlign w:val="subscript"/>
                    </w:rPr>
                    <w:t>wwt</w:t>
                  </w:r>
                  <w:r w:rsidRPr="001E3185">
                    <w:rPr>
                      <w:rFonts w:cs="Arial"/>
                      <w:b/>
                      <w:vertAlign w:val="superscript"/>
                    </w:rPr>
                    <w:t>-1</w:t>
                  </w:r>
                  <w:r w:rsidRPr="001E3185">
                    <w:rPr>
                      <w:rFonts w:cs="Arial"/>
                      <w:b/>
                    </w:rPr>
                    <w:t>]</w:t>
                  </w:r>
                </w:p>
              </w:tc>
              <w:tc>
                <w:tcPr>
                  <w:tcW w:w="1809" w:type="pct"/>
                  <w:shd w:val="clear" w:color="auto" w:fill="auto"/>
                  <w:vAlign w:val="center"/>
                </w:tcPr>
                <w:p w14:paraId="7F3504CF"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413847EB" w14:textId="77777777" w:rsidTr="008E0250">
              <w:trPr>
                <w:trHeight w:val="283"/>
              </w:trPr>
              <w:tc>
                <w:tcPr>
                  <w:tcW w:w="1302" w:type="pct"/>
                  <w:shd w:val="clear" w:color="auto" w:fill="auto"/>
                  <w:noWrap/>
                  <w:vAlign w:val="bottom"/>
                </w:tcPr>
                <w:p w14:paraId="0127904B"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65D73BB3" w14:textId="77777777" w:rsidR="00692E71" w:rsidRPr="001E3185" w:rsidRDefault="00D03C7B" w:rsidP="008E0250">
                  <w:pPr>
                    <w:jc w:val="center"/>
                    <w:rPr>
                      <w:rFonts w:cs="Arial"/>
                    </w:rPr>
                  </w:pPr>
                  <w:r w:rsidRPr="001E3185">
                    <w:rPr>
                      <w:rFonts w:cs="Arial"/>
                    </w:rPr>
                    <w:t>7.86E-04</w:t>
                  </w:r>
                </w:p>
              </w:tc>
              <w:tc>
                <w:tcPr>
                  <w:tcW w:w="1809" w:type="pct"/>
                  <w:shd w:val="clear" w:color="auto" w:fill="auto"/>
                  <w:vAlign w:val="bottom"/>
                </w:tcPr>
                <w:p w14:paraId="0D1A338C" w14:textId="77777777" w:rsidR="00692E71" w:rsidRPr="001E3185" w:rsidRDefault="00D03C7B" w:rsidP="008E0250">
                  <w:pPr>
                    <w:jc w:val="center"/>
                    <w:rPr>
                      <w:rFonts w:cs="Arial"/>
                    </w:rPr>
                  </w:pPr>
                  <w:r w:rsidRPr="001E3185">
                    <w:rPr>
                      <w:rFonts w:cs="Arial"/>
                    </w:rPr>
                    <w:t>1.43</w:t>
                  </w:r>
                  <w:r w:rsidR="00692E71" w:rsidRPr="001E3185">
                    <w:rPr>
                      <w:rFonts w:cs="Arial"/>
                    </w:rPr>
                    <w:t>E-03</w:t>
                  </w:r>
                </w:p>
              </w:tc>
            </w:tr>
            <w:tr w:rsidR="00692E71" w:rsidRPr="001E3185" w14:paraId="4E3E176B" w14:textId="77777777" w:rsidTr="008E0250">
              <w:trPr>
                <w:trHeight w:val="283"/>
              </w:trPr>
              <w:tc>
                <w:tcPr>
                  <w:tcW w:w="1302" w:type="pct"/>
                  <w:shd w:val="clear" w:color="auto" w:fill="auto"/>
                  <w:noWrap/>
                  <w:vAlign w:val="bottom"/>
                </w:tcPr>
                <w:p w14:paraId="272BD5D8"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57B78048" w14:textId="77777777" w:rsidR="00692E71" w:rsidRPr="001E3185" w:rsidRDefault="00692E71" w:rsidP="008E0250">
                  <w:pPr>
                    <w:jc w:val="center"/>
                    <w:rPr>
                      <w:rFonts w:cs="Arial"/>
                    </w:rPr>
                  </w:pPr>
                  <w:r w:rsidRPr="001E3185">
                    <w:rPr>
                      <w:rFonts w:cs="Arial"/>
                    </w:rPr>
                    <w:t>9.06E-03</w:t>
                  </w:r>
                </w:p>
              </w:tc>
              <w:tc>
                <w:tcPr>
                  <w:tcW w:w="1809" w:type="pct"/>
                  <w:shd w:val="clear" w:color="auto" w:fill="auto"/>
                  <w:vAlign w:val="bottom"/>
                </w:tcPr>
                <w:p w14:paraId="35C12891" w14:textId="77777777" w:rsidR="00692E71" w:rsidRPr="001E3185" w:rsidRDefault="00692E71" w:rsidP="008E0250">
                  <w:pPr>
                    <w:jc w:val="center"/>
                    <w:rPr>
                      <w:rFonts w:cs="Arial"/>
                    </w:rPr>
                  </w:pPr>
                  <w:r w:rsidRPr="001E3185">
                    <w:rPr>
                      <w:rFonts w:cs="Arial"/>
                    </w:rPr>
                    <w:t>1.68E-01</w:t>
                  </w:r>
                </w:p>
              </w:tc>
            </w:tr>
            <w:tr w:rsidR="00692E71" w:rsidRPr="001E3185" w14:paraId="6E497D5F" w14:textId="77777777" w:rsidTr="008E0250">
              <w:trPr>
                <w:trHeight w:val="283"/>
              </w:trPr>
              <w:tc>
                <w:tcPr>
                  <w:tcW w:w="1302" w:type="pct"/>
                  <w:shd w:val="clear" w:color="auto" w:fill="auto"/>
                  <w:noWrap/>
                  <w:vAlign w:val="bottom"/>
                </w:tcPr>
                <w:p w14:paraId="3F154E6B"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2F6E43F3" w14:textId="77777777" w:rsidR="00692E71" w:rsidRPr="001E3185" w:rsidRDefault="00D03C7B" w:rsidP="008E0250">
                  <w:pPr>
                    <w:jc w:val="center"/>
                    <w:rPr>
                      <w:rFonts w:cs="Arial"/>
                    </w:rPr>
                  </w:pPr>
                  <w:r w:rsidRPr="001E3185">
                    <w:rPr>
                      <w:rFonts w:cs="Arial"/>
                    </w:rPr>
                    <w:t>7.48</w:t>
                  </w:r>
                  <w:r w:rsidR="00692E71" w:rsidRPr="001E3185">
                    <w:rPr>
                      <w:rFonts w:cs="Arial"/>
                    </w:rPr>
                    <w:t>E-03</w:t>
                  </w:r>
                </w:p>
              </w:tc>
              <w:tc>
                <w:tcPr>
                  <w:tcW w:w="1809" w:type="pct"/>
                  <w:shd w:val="clear" w:color="auto" w:fill="auto"/>
                  <w:vAlign w:val="bottom"/>
                </w:tcPr>
                <w:p w14:paraId="34319C64" w14:textId="77777777" w:rsidR="00692E71" w:rsidRPr="001E3185" w:rsidRDefault="00692E71" w:rsidP="00D03C7B">
                  <w:pPr>
                    <w:jc w:val="center"/>
                    <w:rPr>
                      <w:rFonts w:cs="Arial"/>
                      <w:b/>
                    </w:rPr>
                  </w:pPr>
                  <w:r w:rsidRPr="001E3185">
                    <w:rPr>
                      <w:rFonts w:cs="Arial"/>
                      <w:b/>
                      <w:color w:val="FF0000"/>
                    </w:rPr>
                    <w:t>1.</w:t>
                  </w:r>
                  <w:r w:rsidR="00D03C7B" w:rsidRPr="001E3185">
                    <w:rPr>
                      <w:rFonts w:cs="Arial"/>
                      <w:b/>
                      <w:color w:val="FF0000"/>
                    </w:rPr>
                    <w:t>50</w:t>
                  </w:r>
                  <w:r w:rsidRPr="001E3185">
                    <w:rPr>
                      <w:rFonts w:cs="Arial"/>
                      <w:b/>
                      <w:color w:val="FF0000"/>
                    </w:rPr>
                    <w:t>E+00</w:t>
                  </w:r>
                </w:p>
              </w:tc>
            </w:tr>
            <w:tr w:rsidR="00692E71" w:rsidRPr="001E3185" w14:paraId="54EDDCF8" w14:textId="77777777" w:rsidTr="008E0250">
              <w:trPr>
                <w:trHeight w:val="283"/>
              </w:trPr>
              <w:tc>
                <w:tcPr>
                  <w:tcW w:w="1302" w:type="pct"/>
                  <w:shd w:val="clear" w:color="auto" w:fill="auto"/>
                  <w:noWrap/>
                  <w:vAlign w:val="bottom"/>
                </w:tcPr>
                <w:p w14:paraId="145B8593"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162006C9" w14:textId="77777777" w:rsidR="00692E71" w:rsidRPr="001E3185" w:rsidRDefault="00692E71" w:rsidP="008E0250">
                  <w:pPr>
                    <w:jc w:val="center"/>
                    <w:rPr>
                      <w:rFonts w:cs="Arial"/>
                    </w:rPr>
                  </w:pPr>
                  <w:r w:rsidRPr="001E3185">
                    <w:rPr>
                      <w:rFonts w:cs="Arial"/>
                    </w:rPr>
                    <w:t>1.08E-05</w:t>
                  </w:r>
                </w:p>
              </w:tc>
              <w:tc>
                <w:tcPr>
                  <w:tcW w:w="1809" w:type="pct"/>
                  <w:shd w:val="clear" w:color="auto" w:fill="auto"/>
                  <w:vAlign w:val="bottom"/>
                </w:tcPr>
                <w:p w14:paraId="65B11134" w14:textId="77777777" w:rsidR="00692E71" w:rsidRPr="001E3185" w:rsidRDefault="00692E71" w:rsidP="008E0250">
                  <w:pPr>
                    <w:jc w:val="center"/>
                    <w:rPr>
                      <w:rFonts w:cs="Arial"/>
                    </w:rPr>
                  </w:pPr>
                  <w:r w:rsidRPr="001E3185">
                    <w:rPr>
                      <w:rFonts w:cs="Arial"/>
                    </w:rPr>
                    <w:t>5.14E-05</w:t>
                  </w:r>
                </w:p>
              </w:tc>
            </w:tr>
            <w:tr w:rsidR="00692E71" w:rsidRPr="001E3185" w14:paraId="24FCF6B8" w14:textId="77777777" w:rsidTr="008E0250">
              <w:trPr>
                <w:trHeight w:val="283"/>
              </w:trPr>
              <w:tc>
                <w:tcPr>
                  <w:tcW w:w="1302" w:type="pct"/>
                  <w:shd w:val="clear" w:color="auto" w:fill="auto"/>
                  <w:noWrap/>
                  <w:vAlign w:val="bottom"/>
                </w:tcPr>
                <w:p w14:paraId="4442F135"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bottom"/>
                </w:tcPr>
                <w:p w14:paraId="572C534C" w14:textId="77777777" w:rsidR="00692E71" w:rsidRPr="001E3185" w:rsidRDefault="00692E71" w:rsidP="008E0250">
                  <w:pPr>
                    <w:jc w:val="center"/>
                    <w:rPr>
                      <w:rFonts w:cs="Arial"/>
                    </w:rPr>
                  </w:pPr>
                </w:p>
              </w:tc>
              <w:tc>
                <w:tcPr>
                  <w:tcW w:w="1809" w:type="pct"/>
                  <w:shd w:val="clear" w:color="auto" w:fill="auto"/>
                  <w:vAlign w:val="bottom"/>
                </w:tcPr>
                <w:p w14:paraId="5A846AAB" w14:textId="77777777" w:rsidR="00692E71" w:rsidRPr="001E3185" w:rsidRDefault="00D03C7B" w:rsidP="008E0250">
                  <w:pPr>
                    <w:jc w:val="center"/>
                    <w:rPr>
                      <w:rFonts w:cs="Arial"/>
                      <w:b/>
                    </w:rPr>
                  </w:pPr>
                  <w:r w:rsidRPr="001E3185">
                    <w:rPr>
                      <w:rFonts w:cs="Arial"/>
                      <w:b/>
                      <w:color w:val="FF0000"/>
                    </w:rPr>
                    <w:t>1.66</w:t>
                  </w:r>
                  <w:r w:rsidR="00692E71" w:rsidRPr="001E3185">
                    <w:rPr>
                      <w:rFonts w:cs="Arial"/>
                      <w:b/>
                      <w:color w:val="FF0000"/>
                    </w:rPr>
                    <w:t>E+00</w:t>
                  </w:r>
                </w:p>
              </w:tc>
            </w:tr>
            <w:tr w:rsidR="00692E71" w:rsidRPr="001E3185" w14:paraId="49C40AAD" w14:textId="77777777" w:rsidTr="008E0250">
              <w:trPr>
                <w:trHeight w:val="283"/>
              </w:trPr>
              <w:tc>
                <w:tcPr>
                  <w:tcW w:w="5000" w:type="pct"/>
                  <w:gridSpan w:val="3"/>
                  <w:shd w:val="clear" w:color="auto" w:fill="auto"/>
                  <w:noWrap/>
                  <w:vAlign w:val="center"/>
                </w:tcPr>
                <w:p w14:paraId="1791A718" w14:textId="77777777" w:rsidR="00692E71" w:rsidRPr="001E3185" w:rsidRDefault="00692E71" w:rsidP="008E0250">
                  <w:pPr>
                    <w:jc w:val="center"/>
                    <w:rPr>
                      <w:rFonts w:cs="Arial"/>
                    </w:rPr>
                  </w:pPr>
                  <w:r w:rsidRPr="001E3185">
                    <w:rPr>
                      <w:rFonts w:cs="Arial"/>
                      <w:b/>
                    </w:rPr>
                    <w:t>Bridge over the pond -</w:t>
                  </w:r>
                  <w:r w:rsidRPr="001E3185">
                    <w:rPr>
                      <w:rFonts w:cs="Arial"/>
                      <w:b/>
                      <w:bCs/>
                      <w:iCs/>
                    </w:rPr>
                    <w:t xml:space="preserve"> Treated wood in service only – </w:t>
                  </w:r>
                  <w:r w:rsidRPr="001E3185">
                    <w:rPr>
                      <w:rFonts w:cs="Arial"/>
                      <w:b/>
                      <w:bCs/>
                      <w:i/>
                      <w:iCs/>
                    </w:rPr>
                    <w:t>In situ</w:t>
                  </w:r>
                  <w:r w:rsidRPr="001E3185">
                    <w:rPr>
                      <w:rFonts w:cs="Arial"/>
                      <w:b/>
                      <w:bCs/>
                      <w:iCs/>
                    </w:rPr>
                    <w:t xml:space="preserve"> application</w:t>
                  </w:r>
                </w:p>
              </w:tc>
            </w:tr>
            <w:tr w:rsidR="00692E71" w:rsidRPr="001E3185" w14:paraId="1C6103EC" w14:textId="77777777" w:rsidTr="008E0250">
              <w:trPr>
                <w:trHeight w:val="283"/>
              </w:trPr>
              <w:tc>
                <w:tcPr>
                  <w:tcW w:w="1302" w:type="pct"/>
                  <w:shd w:val="clear" w:color="auto" w:fill="auto"/>
                  <w:noWrap/>
                  <w:vAlign w:val="center"/>
                </w:tcPr>
                <w:p w14:paraId="00DA6937" w14:textId="77777777" w:rsidR="00692E71" w:rsidRPr="001E3185" w:rsidRDefault="00692E71" w:rsidP="008E0250">
                  <w:pPr>
                    <w:jc w:val="center"/>
                    <w:rPr>
                      <w:rFonts w:cs="Arial"/>
                    </w:rPr>
                  </w:pPr>
                  <w:r w:rsidRPr="001E3185">
                    <w:rPr>
                      <w:rFonts w:cs="Arial"/>
                      <w:b/>
                      <w:lang w:eastAsia="en-GB"/>
                    </w:rPr>
                    <w:t>SURFACE WATER</w:t>
                  </w:r>
                </w:p>
              </w:tc>
              <w:tc>
                <w:tcPr>
                  <w:tcW w:w="1889" w:type="pct"/>
                  <w:shd w:val="clear" w:color="auto" w:fill="auto"/>
                  <w:vAlign w:val="center"/>
                </w:tcPr>
                <w:p w14:paraId="560318B4"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[µg.L</w:t>
                  </w:r>
                  <w:r w:rsidRPr="001E3185">
                    <w:rPr>
                      <w:rFonts w:cs="Arial"/>
                      <w:b/>
                      <w:vertAlign w:val="superscript"/>
                    </w:rPr>
                    <w:t>-1</w:t>
                  </w:r>
                  <w:r w:rsidRPr="001E3185">
                    <w:rPr>
                      <w:rFonts w:cs="Arial"/>
                      <w:b/>
                    </w:rPr>
                    <w:t>]</w:t>
                  </w:r>
                </w:p>
              </w:tc>
              <w:tc>
                <w:tcPr>
                  <w:tcW w:w="1809" w:type="pct"/>
                  <w:shd w:val="clear" w:color="auto" w:fill="auto"/>
                  <w:vAlign w:val="center"/>
                </w:tcPr>
                <w:p w14:paraId="4FD7944C" w14:textId="77777777" w:rsidR="00692E71" w:rsidRPr="001E3185" w:rsidRDefault="00692E71" w:rsidP="008E0250">
                  <w:pPr>
                    <w:jc w:val="center"/>
                    <w:rPr>
                      <w:rFonts w:cs="Arial"/>
                    </w:rPr>
                  </w:pPr>
                  <w:r w:rsidRPr="001E3185">
                    <w:rPr>
                      <w:rFonts w:cs="Arial"/>
                      <w:b/>
                    </w:rPr>
                    <w:t>PEC/PNEC</w:t>
                  </w:r>
                </w:p>
              </w:tc>
            </w:tr>
            <w:tr w:rsidR="00692E71" w:rsidRPr="001E3185" w14:paraId="5DB785C3" w14:textId="77777777" w:rsidTr="008E0250">
              <w:trPr>
                <w:trHeight w:val="283"/>
              </w:trPr>
              <w:tc>
                <w:tcPr>
                  <w:tcW w:w="1302" w:type="pct"/>
                  <w:shd w:val="clear" w:color="auto" w:fill="auto"/>
                  <w:noWrap/>
                  <w:vAlign w:val="center"/>
                </w:tcPr>
                <w:p w14:paraId="50E0462E"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46F13D8F" w14:textId="77777777" w:rsidR="00692E71" w:rsidRPr="001E3185" w:rsidRDefault="00692E71" w:rsidP="008E0250">
                  <w:pPr>
                    <w:jc w:val="center"/>
                    <w:rPr>
                      <w:rFonts w:cs="Arial"/>
                    </w:rPr>
                  </w:pPr>
                  <w:r w:rsidRPr="001E3185">
                    <w:rPr>
                      <w:rFonts w:cs="Arial"/>
                    </w:rPr>
                    <w:t>9.64E-03</w:t>
                  </w:r>
                </w:p>
              </w:tc>
              <w:tc>
                <w:tcPr>
                  <w:tcW w:w="1809" w:type="pct"/>
                  <w:shd w:val="clear" w:color="auto" w:fill="auto"/>
                  <w:vAlign w:val="center"/>
                </w:tcPr>
                <w:p w14:paraId="2FD3718A" w14:textId="77777777" w:rsidR="00692E71" w:rsidRPr="001E3185" w:rsidRDefault="00692E71" w:rsidP="008E0250">
                  <w:pPr>
                    <w:jc w:val="center"/>
                    <w:rPr>
                      <w:rFonts w:cs="Arial"/>
                    </w:rPr>
                  </w:pPr>
                  <w:r w:rsidRPr="001E3185">
                    <w:rPr>
                      <w:rFonts w:cs="Arial"/>
                    </w:rPr>
                    <w:t>9.64E-03</w:t>
                  </w:r>
                </w:p>
              </w:tc>
            </w:tr>
            <w:tr w:rsidR="00692E71" w:rsidRPr="001E3185" w14:paraId="323A5514" w14:textId="77777777" w:rsidTr="008E0250">
              <w:trPr>
                <w:trHeight w:val="283"/>
              </w:trPr>
              <w:tc>
                <w:tcPr>
                  <w:tcW w:w="1302" w:type="pct"/>
                  <w:shd w:val="clear" w:color="auto" w:fill="auto"/>
                  <w:noWrap/>
                  <w:vAlign w:val="center"/>
                </w:tcPr>
                <w:p w14:paraId="64936061"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04E56194" w14:textId="77777777" w:rsidR="00692E71" w:rsidRPr="001E3185" w:rsidRDefault="00692E71" w:rsidP="008E0250">
                  <w:pPr>
                    <w:jc w:val="center"/>
                    <w:rPr>
                      <w:rFonts w:cs="Arial"/>
                    </w:rPr>
                  </w:pPr>
                  <w:r w:rsidRPr="001E3185">
                    <w:rPr>
                      <w:rFonts w:cs="Arial"/>
                    </w:rPr>
                    <w:t>7.21E-03</w:t>
                  </w:r>
                </w:p>
              </w:tc>
              <w:tc>
                <w:tcPr>
                  <w:tcW w:w="1809" w:type="pct"/>
                  <w:shd w:val="clear" w:color="auto" w:fill="auto"/>
                  <w:vAlign w:val="center"/>
                </w:tcPr>
                <w:p w14:paraId="6EDD134D" w14:textId="77777777" w:rsidR="00692E71" w:rsidRPr="001E3185" w:rsidRDefault="00692E71" w:rsidP="008E0250">
                  <w:pPr>
                    <w:jc w:val="center"/>
                    <w:rPr>
                      <w:rFonts w:cs="Arial"/>
                    </w:rPr>
                  </w:pPr>
                  <w:r w:rsidRPr="001E3185">
                    <w:rPr>
                      <w:rFonts w:cs="Arial"/>
                    </w:rPr>
                    <w:t>1.06E-03</w:t>
                  </w:r>
                </w:p>
              </w:tc>
            </w:tr>
            <w:tr w:rsidR="00692E71" w:rsidRPr="001E3185" w14:paraId="64186B10" w14:textId="77777777" w:rsidTr="008E0250">
              <w:trPr>
                <w:trHeight w:val="283"/>
              </w:trPr>
              <w:tc>
                <w:tcPr>
                  <w:tcW w:w="1302" w:type="pct"/>
                  <w:shd w:val="clear" w:color="auto" w:fill="auto"/>
                  <w:noWrap/>
                  <w:vAlign w:val="center"/>
                </w:tcPr>
                <w:p w14:paraId="02DEAD85"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33B38535" w14:textId="77777777" w:rsidR="00692E71" w:rsidRPr="001E3185" w:rsidRDefault="00692E71" w:rsidP="008E0250">
                  <w:pPr>
                    <w:jc w:val="center"/>
                    <w:rPr>
                      <w:rFonts w:cs="Arial"/>
                    </w:rPr>
                  </w:pPr>
                  <w:r w:rsidRPr="001E3185">
                    <w:rPr>
                      <w:rFonts w:cs="Arial"/>
                    </w:rPr>
                    <w:t>3.09E-05</w:t>
                  </w:r>
                </w:p>
              </w:tc>
              <w:tc>
                <w:tcPr>
                  <w:tcW w:w="1809" w:type="pct"/>
                  <w:shd w:val="clear" w:color="auto" w:fill="auto"/>
                  <w:vAlign w:val="center"/>
                </w:tcPr>
                <w:p w14:paraId="090A1D73" w14:textId="77777777" w:rsidR="00692E71" w:rsidRPr="001E3185" w:rsidRDefault="00692E71" w:rsidP="008E0250">
                  <w:pPr>
                    <w:jc w:val="center"/>
                    <w:rPr>
                      <w:rFonts w:cs="Arial"/>
                    </w:rPr>
                  </w:pPr>
                  <w:r w:rsidRPr="001E3185">
                    <w:rPr>
                      <w:rFonts w:cs="Arial"/>
                    </w:rPr>
                    <w:t>7.73E-03</w:t>
                  </w:r>
                </w:p>
              </w:tc>
            </w:tr>
            <w:tr w:rsidR="00692E71" w:rsidRPr="001E3185" w14:paraId="62BC91D2" w14:textId="77777777" w:rsidTr="008E0250">
              <w:trPr>
                <w:trHeight w:val="283"/>
              </w:trPr>
              <w:tc>
                <w:tcPr>
                  <w:tcW w:w="1302" w:type="pct"/>
                  <w:shd w:val="clear" w:color="auto" w:fill="auto"/>
                  <w:noWrap/>
                  <w:vAlign w:val="center"/>
                </w:tcPr>
                <w:p w14:paraId="17D03E0D" w14:textId="77777777" w:rsidR="00692E71" w:rsidRPr="001E3185" w:rsidRDefault="00692E71" w:rsidP="008E0250">
                  <w:pPr>
                    <w:rPr>
                      <w:rFonts w:cs="Arial"/>
                    </w:rPr>
                  </w:pPr>
                  <w:r w:rsidRPr="001E3185">
                    <w:rPr>
                      <w:rFonts w:cs="Arial"/>
                    </w:rPr>
                    <w:t>IPBC</w:t>
                  </w:r>
                </w:p>
              </w:tc>
              <w:tc>
                <w:tcPr>
                  <w:tcW w:w="1889" w:type="pct"/>
                  <w:shd w:val="clear" w:color="auto" w:fill="auto"/>
                  <w:noWrap/>
                  <w:vAlign w:val="center"/>
                </w:tcPr>
                <w:p w14:paraId="2AE92827" w14:textId="77777777" w:rsidR="00692E71" w:rsidRPr="001E3185" w:rsidRDefault="00692E71" w:rsidP="008E0250">
                  <w:pPr>
                    <w:jc w:val="center"/>
                    <w:rPr>
                      <w:rFonts w:cs="Arial"/>
                    </w:rPr>
                  </w:pPr>
                  <w:r w:rsidRPr="001E3185">
                    <w:rPr>
                      <w:rFonts w:cs="Arial"/>
                    </w:rPr>
                    <w:t>1.92E-05</w:t>
                  </w:r>
                </w:p>
              </w:tc>
              <w:tc>
                <w:tcPr>
                  <w:tcW w:w="1809" w:type="pct"/>
                  <w:shd w:val="clear" w:color="auto" w:fill="auto"/>
                  <w:vAlign w:val="center"/>
                </w:tcPr>
                <w:p w14:paraId="4DB6392F" w14:textId="77777777" w:rsidR="00692E71" w:rsidRPr="001E3185" w:rsidRDefault="00692E71" w:rsidP="008E0250">
                  <w:pPr>
                    <w:jc w:val="center"/>
                    <w:rPr>
                      <w:rFonts w:cs="Arial"/>
                    </w:rPr>
                  </w:pPr>
                  <w:r w:rsidRPr="001E3185">
                    <w:rPr>
                      <w:rFonts w:cs="Arial"/>
                    </w:rPr>
                    <w:t>3.84E-05</w:t>
                  </w:r>
                </w:p>
              </w:tc>
            </w:tr>
            <w:tr w:rsidR="00692E71" w:rsidRPr="001E3185" w14:paraId="74A320D4" w14:textId="77777777" w:rsidTr="008E0250">
              <w:trPr>
                <w:trHeight w:val="283"/>
              </w:trPr>
              <w:tc>
                <w:tcPr>
                  <w:tcW w:w="1302" w:type="pct"/>
                  <w:shd w:val="clear" w:color="auto" w:fill="auto"/>
                  <w:noWrap/>
                  <w:vAlign w:val="center"/>
                </w:tcPr>
                <w:p w14:paraId="773305A5"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7B6C7B68" w14:textId="77777777" w:rsidR="00692E71" w:rsidRPr="001E3185" w:rsidRDefault="00692E71" w:rsidP="008E0250">
                  <w:pPr>
                    <w:jc w:val="center"/>
                    <w:rPr>
                      <w:rFonts w:cs="Arial"/>
                    </w:rPr>
                  </w:pPr>
                  <w:r w:rsidRPr="001E3185">
                    <w:rPr>
                      <w:rFonts w:cs="Arial"/>
                    </w:rPr>
                    <w:t>2.50E-03</w:t>
                  </w:r>
                </w:p>
              </w:tc>
              <w:tc>
                <w:tcPr>
                  <w:tcW w:w="1809" w:type="pct"/>
                  <w:shd w:val="clear" w:color="auto" w:fill="auto"/>
                  <w:vAlign w:val="center"/>
                </w:tcPr>
                <w:p w14:paraId="0BC7375A" w14:textId="77777777" w:rsidR="00692E71" w:rsidRPr="001E3185" w:rsidRDefault="00692E71" w:rsidP="008E0250">
                  <w:pPr>
                    <w:jc w:val="center"/>
                    <w:rPr>
                      <w:rFonts w:cs="Arial"/>
                    </w:rPr>
                  </w:pPr>
                  <w:r w:rsidRPr="001E3185">
                    <w:rPr>
                      <w:rFonts w:cs="Arial"/>
                    </w:rPr>
                    <w:t>6.05E-05</w:t>
                  </w:r>
                </w:p>
              </w:tc>
            </w:tr>
            <w:tr w:rsidR="00692E71" w:rsidRPr="001E3185" w14:paraId="08B528B4" w14:textId="77777777" w:rsidTr="008E0250">
              <w:trPr>
                <w:trHeight w:val="283"/>
              </w:trPr>
              <w:tc>
                <w:tcPr>
                  <w:tcW w:w="1302" w:type="pct"/>
                  <w:shd w:val="clear" w:color="auto" w:fill="auto"/>
                  <w:noWrap/>
                  <w:vAlign w:val="center"/>
                </w:tcPr>
                <w:p w14:paraId="312F5A81" w14:textId="77777777" w:rsidR="00692E71" w:rsidRPr="001E3185" w:rsidRDefault="00692E71" w:rsidP="008E0250">
                  <w:pPr>
                    <w:rPr>
                      <w:rFonts w:cs="Arial"/>
                    </w:rPr>
                  </w:pPr>
                  <w:r w:rsidRPr="001E3185">
                    <w:rPr>
                      <w:rFonts w:cs="Arial"/>
                      <w:b/>
                      <w:lang w:eastAsia="en-GB"/>
                    </w:rPr>
                    <w:lastRenderedPageBreak/>
                    <w:t>PEC/PNEC</w:t>
                  </w:r>
                </w:p>
              </w:tc>
              <w:tc>
                <w:tcPr>
                  <w:tcW w:w="1889" w:type="pct"/>
                  <w:shd w:val="clear" w:color="auto" w:fill="auto"/>
                  <w:noWrap/>
                  <w:vAlign w:val="center"/>
                </w:tcPr>
                <w:p w14:paraId="00AFD983" w14:textId="77777777" w:rsidR="00692E71" w:rsidRPr="001E3185" w:rsidRDefault="00692E71" w:rsidP="008E0250">
                  <w:pPr>
                    <w:jc w:val="center"/>
                    <w:rPr>
                      <w:rFonts w:cs="Arial"/>
                    </w:rPr>
                  </w:pPr>
                </w:p>
              </w:tc>
              <w:tc>
                <w:tcPr>
                  <w:tcW w:w="1809" w:type="pct"/>
                  <w:shd w:val="clear" w:color="auto" w:fill="auto"/>
                  <w:vAlign w:val="center"/>
                </w:tcPr>
                <w:p w14:paraId="7538377A" w14:textId="77777777" w:rsidR="00692E71" w:rsidRPr="001E3185" w:rsidRDefault="00692E71" w:rsidP="008E0250">
                  <w:pPr>
                    <w:jc w:val="center"/>
                    <w:rPr>
                      <w:rFonts w:cs="Arial"/>
                    </w:rPr>
                  </w:pPr>
                  <w:r w:rsidRPr="001E3185">
                    <w:rPr>
                      <w:rFonts w:cs="Arial"/>
                    </w:rPr>
                    <w:t>1.85E-02</w:t>
                  </w:r>
                </w:p>
              </w:tc>
            </w:tr>
            <w:tr w:rsidR="00692E71" w:rsidRPr="001E3185" w14:paraId="2882BA6D" w14:textId="77777777" w:rsidTr="008E0250">
              <w:trPr>
                <w:trHeight w:val="283"/>
              </w:trPr>
              <w:tc>
                <w:tcPr>
                  <w:tcW w:w="1302" w:type="pct"/>
                  <w:shd w:val="clear" w:color="auto" w:fill="auto"/>
                  <w:noWrap/>
                  <w:vAlign w:val="center"/>
                </w:tcPr>
                <w:p w14:paraId="28E73744" w14:textId="77777777" w:rsidR="00692E71" w:rsidRPr="001E3185" w:rsidRDefault="00692E71" w:rsidP="008E0250">
                  <w:pPr>
                    <w:jc w:val="center"/>
                    <w:rPr>
                      <w:rFonts w:cs="Arial"/>
                    </w:rPr>
                  </w:pPr>
                  <w:r w:rsidRPr="001E3185">
                    <w:rPr>
                      <w:rFonts w:cs="Arial"/>
                      <w:b/>
                      <w:iCs/>
                    </w:rPr>
                    <w:t>SEDIMENT</w:t>
                  </w:r>
                </w:p>
              </w:tc>
              <w:tc>
                <w:tcPr>
                  <w:tcW w:w="1889" w:type="pct"/>
                  <w:shd w:val="clear" w:color="auto" w:fill="auto"/>
                  <w:vAlign w:val="center"/>
                </w:tcPr>
                <w:p w14:paraId="493FF62E" w14:textId="77777777" w:rsidR="00692E71" w:rsidRPr="001E3185" w:rsidRDefault="00692E71" w:rsidP="008E0250">
                  <w:pPr>
                    <w:autoSpaceDE w:val="0"/>
                    <w:autoSpaceDN w:val="0"/>
                    <w:jc w:val="center"/>
                    <w:rPr>
                      <w:rFonts w:cs="Arial"/>
                      <w:b/>
                    </w:rPr>
                  </w:pPr>
                  <w:r w:rsidRPr="001E3185">
                    <w:rPr>
                      <w:rFonts w:cs="Arial"/>
                      <w:b/>
                      <w:iCs/>
                    </w:rPr>
                    <w:t xml:space="preserve">PEC </w:t>
                  </w:r>
                  <w:r w:rsidRPr="001E3185">
                    <w:rPr>
                      <w:rFonts w:cs="Arial"/>
                      <w:b/>
                    </w:rPr>
                    <w:t>(TIME 2) [mg.kg</w:t>
                  </w:r>
                  <w:r w:rsidRPr="001E3185">
                    <w:rPr>
                      <w:rFonts w:cs="Arial"/>
                      <w:b/>
                      <w:vertAlign w:val="subscript"/>
                    </w:rPr>
                    <w:t>wwt</w:t>
                  </w:r>
                  <w:r w:rsidRPr="001E3185">
                    <w:rPr>
                      <w:rFonts w:cs="Arial"/>
                      <w:b/>
                      <w:vertAlign w:val="superscript"/>
                    </w:rPr>
                    <w:t>-1</w:t>
                  </w:r>
                  <w:r w:rsidRPr="001E3185">
                    <w:rPr>
                      <w:rFonts w:cs="Arial"/>
                      <w:b/>
                    </w:rPr>
                    <w:t>]</w:t>
                  </w:r>
                </w:p>
              </w:tc>
              <w:tc>
                <w:tcPr>
                  <w:tcW w:w="1809" w:type="pct"/>
                  <w:shd w:val="clear" w:color="auto" w:fill="auto"/>
                  <w:vAlign w:val="center"/>
                </w:tcPr>
                <w:p w14:paraId="35D431AE"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6D2DA327" w14:textId="77777777" w:rsidTr="008E0250">
              <w:trPr>
                <w:trHeight w:val="283"/>
              </w:trPr>
              <w:tc>
                <w:tcPr>
                  <w:tcW w:w="1302" w:type="pct"/>
                  <w:shd w:val="clear" w:color="auto" w:fill="auto"/>
                  <w:noWrap/>
                  <w:vAlign w:val="center"/>
                </w:tcPr>
                <w:p w14:paraId="3A36B5C0"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5FE74B88" w14:textId="77777777" w:rsidR="00692E71" w:rsidRPr="001E3185" w:rsidRDefault="00D03C7B" w:rsidP="008E0250">
                  <w:pPr>
                    <w:jc w:val="center"/>
                    <w:rPr>
                      <w:rFonts w:cs="Arial"/>
                    </w:rPr>
                  </w:pPr>
                  <w:r w:rsidRPr="001E3185">
                    <w:rPr>
                      <w:rFonts w:cs="Arial"/>
                    </w:rPr>
                    <w:t>8.66E-04</w:t>
                  </w:r>
                </w:p>
              </w:tc>
              <w:tc>
                <w:tcPr>
                  <w:tcW w:w="1809" w:type="pct"/>
                  <w:shd w:val="clear" w:color="auto" w:fill="auto"/>
                  <w:vAlign w:val="center"/>
                </w:tcPr>
                <w:p w14:paraId="474996DE" w14:textId="77777777" w:rsidR="00692E71" w:rsidRPr="001E3185" w:rsidRDefault="00D03C7B" w:rsidP="008E0250">
                  <w:pPr>
                    <w:jc w:val="center"/>
                    <w:rPr>
                      <w:rFonts w:cs="Arial"/>
                    </w:rPr>
                  </w:pPr>
                  <w:r w:rsidRPr="001E3185">
                    <w:rPr>
                      <w:rFonts w:cs="Arial"/>
                    </w:rPr>
                    <w:t>1.57</w:t>
                  </w:r>
                  <w:r w:rsidR="00692E71" w:rsidRPr="001E3185">
                    <w:rPr>
                      <w:rFonts w:cs="Arial"/>
                    </w:rPr>
                    <w:t>E-03</w:t>
                  </w:r>
                </w:p>
              </w:tc>
            </w:tr>
            <w:tr w:rsidR="00692E71" w:rsidRPr="001E3185" w14:paraId="5ED8A57A" w14:textId="77777777" w:rsidTr="008E0250">
              <w:trPr>
                <w:trHeight w:val="283"/>
              </w:trPr>
              <w:tc>
                <w:tcPr>
                  <w:tcW w:w="1302" w:type="pct"/>
                  <w:shd w:val="clear" w:color="auto" w:fill="auto"/>
                  <w:noWrap/>
                  <w:vAlign w:val="center"/>
                </w:tcPr>
                <w:p w14:paraId="0AD90D93"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43EA845D" w14:textId="77777777" w:rsidR="00692E71" w:rsidRPr="001E3185" w:rsidRDefault="00692E71" w:rsidP="008E0250">
                  <w:pPr>
                    <w:jc w:val="center"/>
                    <w:rPr>
                      <w:rFonts w:cs="Arial"/>
                    </w:rPr>
                  </w:pPr>
                  <w:r w:rsidRPr="001E3185">
                    <w:rPr>
                      <w:rFonts w:cs="Arial"/>
                    </w:rPr>
                    <w:t>5.94</w:t>
                  </w:r>
                  <w:r w:rsidR="00D03C7B" w:rsidRPr="001E3185">
                    <w:rPr>
                      <w:rFonts w:cs="Arial"/>
                    </w:rPr>
                    <w:t>E</w:t>
                  </w:r>
                  <w:r w:rsidRPr="001E3185">
                    <w:rPr>
                      <w:rFonts w:cs="Arial"/>
                    </w:rPr>
                    <w:t>-03</w:t>
                  </w:r>
                </w:p>
              </w:tc>
              <w:tc>
                <w:tcPr>
                  <w:tcW w:w="1809" w:type="pct"/>
                  <w:shd w:val="clear" w:color="auto" w:fill="auto"/>
                  <w:vAlign w:val="center"/>
                </w:tcPr>
                <w:p w14:paraId="16E4B3F6" w14:textId="77777777" w:rsidR="00692E71" w:rsidRPr="001E3185" w:rsidRDefault="00692E71" w:rsidP="008E0250">
                  <w:pPr>
                    <w:jc w:val="center"/>
                    <w:rPr>
                      <w:rFonts w:cs="Arial"/>
                    </w:rPr>
                  </w:pPr>
                  <w:r w:rsidRPr="001E3185">
                    <w:rPr>
                      <w:rFonts w:cs="Arial"/>
                    </w:rPr>
                    <w:t>1.10E-01</w:t>
                  </w:r>
                </w:p>
              </w:tc>
            </w:tr>
            <w:tr w:rsidR="00692E71" w:rsidRPr="001E3185" w14:paraId="11994B34" w14:textId="77777777" w:rsidTr="008E0250">
              <w:trPr>
                <w:trHeight w:val="283"/>
              </w:trPr>
              <w:tc>
                <w:tcPr>
                  <w:tcW w:w="1302" w:type="pct"/>
                  <w:shd w:val="clear" w:color="auto" w:fill="auto"/>
                  <w:noWrap/>
                  <w:vAlign w:val="center"/>
                </w:tcPr>
                <w:p w14:paraId="3851339B"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1E358592" w14:textId="77777777" w:rsidR="00692E71" w:rsidRPr="001E3185" w:rsidRDefault="00D03C7B" w:rsidP="008E0250">
                  <w:pPr>
                    <w:jc w:val="center"/>
                    <w:rPr>
                      <w:rFonts w:cs="Arial"/>
                    </w:rPr>
                  </w:pPr>
                  <w:r w:rsidRPr="001E3185">
                    <w:rPr>
                      <w:rFonts w:cs="Arial"/>
                    </w:rPr>
                    <w:t>7.42</w:t>
                  </w:r>
                  <w:r w:rsidR="00692E71" w:rsidRPr="001E3185">
                    <w:rPr>
                      <w:rFonts w:cs="Arial"/>
                    </w:rPr>
                    <w:t>E-03</w:t>
                  </w:r>
                </w:p>
              </w:tc>
              <w:tc>
                <w:tcPr>
                  <w:tcW w:w="1809" w:type="pct"/>
                  <w:shd w:val="clear" w:color="auto" w:fill="auto"/>
                  <w:vAlign w:val="center"/>
                </w:tcPr>
                <w:p w14:paraId="0651F7BA" w14:textId="77777777" w:rsidR="00692E71" w:rsidRPr="001E3185" w:rsidRDefault="00692E71" w:rsidP="00D03C7B">
                  <w:pPr>
                    <w:jc w:val="center"/>
                    <w:rPr>
                      <w:rFonts w:cs="Arial"/>
                      <w:b/>
                    </w:rPr>
                  </w:pPr>
                  <w:r w:rsidRPr="001E3185">
                    <w:rPr>
                      <w:rFonts w:cs="Arial"/>
                      <w:b/>
                      <w:color w:val="FF0000"/>
                    </w:rPr>
                    <w:t>1.</w:t>
                  </w:r>
                  <w:r w:rsidR="00D03C7B" w:rsidRPr="001E3185">
                    <w:rPr>
                      <w:rFonts w:cs="Arial"/>
                      <w:b/>
                      <w:color w:val="FF0000"/>
                    </w:rPr>
                    <w:t>48</w:t>
                  </w:r>
                  <w:r w:rsidRPr="001E3185">
                    <w:rPr>
                      <w:rFonts w:cs="Arial"/>
                      <w:b/>
                      <w:color w:val="FF0000"/>
                    </w:rPr>
                    <w:t>E+00</w:t>
                  </w:r>
                </w:p>
              </w:tc>
            </w:tr>
            <w:tr w:rsidR="00692E71" w:rsidRPr="001E3185" w14:paraId="1883E2A0" w14:textId="77777777" w:rsidTr="008E0250">
              <w:trPr>
                <w:trHeight w:val="283"/>
              </w:trPr>
              <w:tc>
                <w:tcPr>
                  <w:tcW w:w="1302" w:type="pct"/>
                  <w:shd w:val="clear" w:color="auto" w:fill="auto"/>
                  <w:noWrap/>
                  <w:vAlign w:val="center"/>
                </w:tcPr>
                <w:p w14:paraId="40E6B8F2"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6E51F873" w14:textId="77777777" w:rsidR="00692E71" w:rsidRPr="001E3185" w:rsidRDefault="00692E71" w:rsidP="008E0250">
                  <w:pPr>
                    <w:jc w:val="center"/>
                    <w:rPr>
                      <w:rFonts w:cs="Arial"/>
                    </w:rPr>
                  </w:pPr>
                  <w:r w:rsidRPr="001E3185">
                    <w:rPr>
                      <w:rFonts w:cs="Arial"/>
                    </w:rPr>
                    <w:t>1.28E-05</w:t>
                  </w:r>
                </w:p>
              </w:tc>
              <w:tc>
                <w:tcPr>
                  <w:tcW w:w="1809" w:type="pct"/>
                  <w:shd w:val="clear" w:color="auto" w:fill="auto"/>
                  <w:vAlign w:val="center"/>
                </w:tcPr>
                <w:p w14:paraId="59B53A21" w14:textId="77777777" w:rsidR="00692E71" w:rsidRPr="001E3185" w:rsidRDefault="00692E71" w:rsidP="008E0250">
                  <w:pPr>
                    <w:jc w:val="center"/>
                    <w:rPr>
                      <w:rFonts w:cs="Arial"/>
                    </w:rPr>
                  </w:pPr>
                  <w:r w:rsidRPr="001E3185">
                    <w:rPr>
                      <w:rFonts w:cs="Arial"/>
                    </w:rPr>
                    <w:t>6.10E-05</w:t>
                  </w:r>
                </w:p>
              </w:tc>
            </w:tr>
            <w:tr w:rsidR="00692E71" w:rsidRPr="001E3185" w14:paraId="5EF28C64" w14:textId="77777777" w:rsidTr="008E0250">
              <w:trPr>
                <w:trHeight w:val="283"/>
              </w:trPr>
              <w:tc>
                <w:tcPr>
                  <w:tcW w:w="1302" w:type="pct"/>
                  <w:shd w:val="clear" w:color="auto" w:fill="auto"/>
                  <w:noWrap/>
                  <w:vAlign w:val="center"/>
                </w:tcPr>
                <w:p w14:paraId="1699D76A"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center"/>
                </w:tcPr>
                <w:p w14:paraId="26E9B555" w14:textId="77777777" w:rsidR="00692E71" w:rsidRPr="001E3185" w:rsidRDefault="00692E71" w:rsidP="008E0250">
                  <w:pPr>
                    <w:jc w:val="center"/>
                    <w:rPr>
                      <w:rFonts w:cs="Arial"/>
                    </w:rPr>
                  </w:pPr>
                </w:p>
              </w:tc>
              <w:tc>
                <w:tcPr>
                  <w:tcW w:w="1809" w:type="pct"/>
                  <w:shd w:val="clear" w:color="auto" w:fill="auto"/>
                  <w:vAlign w:val="center"/>
                </w:tcPr>
                <w:p w14:paraId="6EDE3DB7" w14:textId="77777777" w:rsidR="00692E71" w:rsidRPr="001E3185" w:rsidRDefault="00D03C7B" w:rsidP="00D03C7B">
                  <w:pPr>
                    <w:jc w:val="center"/>
                    <w:rPr>
                      <w:rFonts w:cs="Arial"/>
                      <w:b/>
                    </w:rPr>
                  </w:pPr>
                  <w:r w:rsidRPr="001E3185">
                    <w:rPr>
                      <w:rFonts w:cs="Arial"/>
                      <w:b/>
                      <w:color w:val="FF0000"/>
                    </w:rPr>
                    <w:t>1.60</w:t>
                  </w:r>
                  <w:r w:rsidR="00692E71" w:rsidRPr="001E3185">
                    <w:rPr>
                      <w:rFonts w:cs="Arial"/>
                      <w:b/>
                      <w:color w:val="FF0000"/>
                    </w:rPr>
                    <w:t>E+00</w:t>
                  </w:r>
                </w:p>
              </w:tc>
            </w:tr>
          </w:tbl>
          <w:p w14:paraId="1A00BC5C" w14:textId="77777777" w:rsidR="00692E71" w:rsidRPr="001E3185" w:rsidRDefault="00692E71" w:rsidP="008E0250">
            <w:pPr>
              <w:autoSpaceDE w:val="0"/>
              <w:autoSpaceDN w:val="0"/>
              <w:rPr>
                <w:rFonts w:cs="Arial"/>
                <w:sz w:val="18"/>
                <w:szCs w:val="18"/>
                <w:lang w:eastAsia="en-GB"/>
              </w:rPr>
            </w:pPr>
            <w:r w:rsidRPr="001E3185">
              <w:rPr>
                <w:rFonts w:cs="Arial"/>
                <w:sz w:val="18"/>
                <w:szCs w:val="18"/>
                <w:lang w:eastAsia="en-GB"/>
              </w:rPr>
              <w:t>* An additional factor of 10 has been considered as PNECsed was defined using the EPM method</w:t>
            </w:r>
          </w:p>
          <w:p w14:paraId="2946DBB5" w14:textId="77777777" w:rsidR="00692E71" w:rsidRPr="001E3185" w:rsidRDefault="00692E71" w:rsidP="008E0250">
            <w:pPr>
              <w:autoSpaceDE w:val="0"/>
              <w:autoSpaceDN w:val="0"/>
              <w:ind w:right="142"/>
              <w:rPr>
                <w:rFonts w:cs="Arial"/>
              </w:rPr>
            </w:pPr>
          </w:p>
          <w:p w14:paraId="1E6770C5" w14:textId="4D4FAD88"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Considering that all PEC/PNEC ratios for surface water and sediment are below 1 except for the cypermethrin in sediment </w:t>
            </w:r>
            <w:r w:rsidR="00E87A1D" w:rsidRPr="001E3185">
              <w:rPr>
                <w:rFonts w:cs="Arial"/>
                <w:lang w:eastAsia="en-GB"/>
              </w:rPr>
              <w:t xml:space="preserve">considering long term </w:t>
            </w:r>
            <w:r w:rsidR="00186A17">
              <w:rPr>
                <w:rFonts w:cs="Arial"/>
                <w:lang w:eastAsia="en-GB"/>
              </w:rPr>
              <w:t>assessment</w:t>
            </w:r>
            <w:r w:rsidR="00E87A1D" w:rsidRPr="001E3185">
              <w:rPr>
                <w:rFonts w:cs="Arial"/>
                <w:lang w:eastAsia="en-GB"/>
              </w:rPr>
              <w:t xml:space="preserve"> (</w:t>
            </w:r>
            <w:r w:rsidRPr="001E3185">
              <w:rPr>
                <w:rFonts w:cs="Arial"/>
              </w:rPr>
              <w:t>TIME2</w:t>
            </w:r>
            <w:r w:rsidR="00B80FDF">
              <w:rPr>
                <w:rFonts w:cs="Arial"/>
              </w:rPr>
              <w:t>*</w:t>
            </w:r>
            <w:r w:rsidR="00E87A1D" w:rsidRPr="001E3185">
              <w:rPr>
                <w:rFonts w:cs="Arial"/>
              </w:rPr>
              <w:t>)</w:t>
            </w:r>
            <w:r w:rsidRPr="001E3185">
              <w:rPr>
                <w:rFonts w:cs="Arial"/>
              </w:rPr>
              <w:t xml:space="preserve"> (industrial and in situ application). </w:t>
            </w:r>
            <w:r w:rsidRPr="001E3185">
              <w:rPr>
                <w:rFonts w:cs="Arial"/>
                <w:lang w:eastAsia="en-GB"/>
              </w:rPr>
              <w:t>All the calculated sums of PEC/PNEC ratios are above 1 for surface sediment (in TIME2). No use of treated wood near aquatic compartment should be allowed. Moreover the application phase of the product above or near water leads to unacceptable risk to the aquatic compartment; no treatment above or near water is allowed.</w:t>
            </w:r>
          </w:p>
          <w:p w14:paraId="015DEA05" w14:textId="77777777" w:rsidR="00692E71" w:rsidRPr="001E3185" w:rsidRDefault="00692E71" w:rsidP="008E0250">
            <w:pPr>
              <w:autoSpaceDE w:val="0"/>
              <w:autoSpaceDN w:val="0"/>
              <w:ind w:right="142"/>
              <w:rPr>
                <w:rFonts w:cs="Arial"/>
              </w:rPr>
            </w:pPr>
          </w:p>
          <w:p w14:paraId="0AE77AFE" w14:textId="77777777" w:rsidR="00692E71" w:rsidRPr="001E3185" w:rsidRDefault="00692E71" w:rsidP="00F32B7F">
            <w:pPr>
              <w:pStyle w:val="Paragraphedeliste"/>
              <w:numPr>
                <w:ilvl w:val="0"/>
                <w:numId w:val="17"/>
              </w:numPr>
              <w:suppressAutoHyphens w:val="0"/>
              <w:autoSpaceDE w:val="0"/>
              <w:autoSpaceDN w:val="0"/>
              <w:spacing w:after="60" w:line="260" w:lineRule="atLeast"/>
              <w:ind w:right="142"/>
              <w:contextualSpacing/>
              <w:rPr>
                <w:rFonts w:cs="Arial"/>
                <w:b/>
              </w:rPr>
            </w:pPr>
            <w:r w:rsidRPr="001E3185">
              <w:rPr>
                <w:rFonts w:cs="Arial"/>
                <w:b/>
              </w:rPr>
              <w:t>Indirect emissions via the STP - Noise barrier scenario</w:t>
            </w:r>
          </w:p>
          <w:p w14:paraId="6D660617" w14:textId="77777777" w:rsidR="00692E71" w:rsidRPr="001E3185" w:rsidRDefault="00692E71" w:rsidP="008E0250">
            <w:pPr>
              <w:autoSpaceDE w:val="0"/>
              <w:autoSpaceDN w:val="0"/>
              <w:spacing w:after="60"/>
              <w:ind w:right="142"/>
              <w:rPr>
                <w:rFonts w:cs="Arial"/>
              </w:rPr>
            </w:pPr>
          </w:p>
          <w:p w14:paraId="7E047EF3" w14:textId="77777777" w:rsidR="00692E71" w:rsidRPr="001E3185" w:rsidRDefault="00692E71" w:rsidP="008E0250">
            <w:pPr>
              <w:spacing w:line="276" w:lineRule="auto"/>
              <w:rPr>
                <w:rFonts w:cs="Arial"/>
              </w:rPr>
            </w:pPr>
            <w:r w:rsidRPr="001E3185">
              <w:rPr>
                <w:rFonts w:cs="Arial"/>
                <w:lang w:eastAsia="en-GB"/>
              </w:rPr>
              <w:t>The risk characterisation for the STP has been performed considering PEC calculated for the noise barrier scenario of the PT08-ESD, and compared to PNEC</w:t>
            </w:r>
            <w:r w:rsidRPr="001E3185">
              <w:rPr>
                <w:rFonts w:cs="Arial"/>
                <w:vertAlign w:val="subscript"/>
                <w:lang w:eastAsia="en-GB"/>
              </w:rPr>
              <w:t>STP</w:t>
            </w:r>
            <w:r w:rsidRPr="001E3185">
              <w:rPr>
                <w:rFonts w:cs="Arial"/>
                <w:lang w:eastAsia="en-GB"/>
              </w:rPr>
              <w:t xml:space="preserve"> of each active substance for the service life of treated wood.</w:t>
            </w:r>
          </w:p>
          <w:p w14:paraId="0D8729BD" w14:textId="77777777" w:rsidR="00692E71" w:rsidRPr="001E3185" w:rsidRDefault="00692E71" w:rsidP="008E0250"/>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131"/>
            </w:tblGrid>
            <w:tr w:rsidR="00692E71" w:rsidRPr="001E3185" w14:paraId="11CB122A" w14:textId="77777777" w:rsidTr="008E0250">
              <w:trPr>
                <w:trHeight w:val="283"/>
              </w:trPr>
              <w:tc>
                <w:tcPr>
                  <w:tcW w:w="5000" w:type="pct"/>
                  <w:gridSpan w:val="3"/>
                  <w:shd w:val="clear" w:color="auto" w:fill="auto"/>
                  <w:vAlign w:val="center"/>
                </w:tcPr>
                <w:p w14:paraId="1558FC13" w14:textId="77777777" w:rsidR="00692E71" w:rsidRPr="001E3185" w:rsidRDefault="00692E71" w:rsidP="008E0250">
                  <w:pPr>
                    <w:jc w:val="center"/>
                    <w:rPr>
                      <w:rFonts w:cs="Arial"/>
                      <w:b/>
                    </w:rPr>
                  </w:pPr>
                  <w:r w:rsidRPr="001E3185">
                    <w:rPr>
                      <w:rFonts w:cs="Arial"/>
                      <w:b/>
                    </w:rPr>
                    <w:t>Noise barrier -</w:t>
                  </w:r>
                  <w:r w:rsidRPr="001E3185">
                    <w:rPr>
                      <w:rFonts w:cs="Arial"/>
                      <w:b/>
                      <w:bCs/>
                      <w:iCs/>
                    </w:rPr>
                    <w:t xml:space="preserve"> Treated wood in service only – Industrial &amp; </w:t>
                  </w:r>
                  <w:r w:rsidRPr="001E3185">
                    <w:rPr>
                      <w:rFonts w:cs="Arial"/>
                      <w:b/>
                      <w:bCs/>
                      <w:i/>
                      <w:iCs/>
                    </w:rPr>
                    <w:t>In situ</w:t>
                  </w:r>
                  <w:r w:rsidRPr="001E3185">
                    <w:rPr>
                      <w:rFonts w:cs="Arial"/>
                      <w:b/>
                      <w:bCs/>
                      <w:iCs/>
                    </w:rPr>
                    <w:t xml:space="preserve"> application</w:t>
                  </w:r>
                </w:p>
              </w:tc>
            </w:tr>
            <w:tr w:rsidR="00692E71" w:rsidRPr="001E3185" w14:paraId="0C6C6944" w14:textId="77777777" w:rsidTr="008E0250">
              <w:trPr>
                <w:trHeight w:val="283"/>
              </w:trPr>
              <w:tc>
                <w:tcPr>
                  <w:tcW w:w="1360" w:type="pct"/>
                  <w:shd w:val="clear" w:color="auto" w:fill="auto"/>
                  <w:vAlign w:val="center"/>
                </w:tcPr>
                <w:p w14:paraId="36847DA5" w14:textId="77777777" w:rsidR="00692E71" w:rsidRPr="001E3185" w:rsidRDefault="00692E71" w:rsidP="008E0250">
                  <w:pPr>
                    <w:jc w:val="center"/>
                    <w:rPr>
                      <w:rFonts w:cs="Arial"/>
                    </w:rPr>
                  </w:pPr>
                  <w:r w:rsidRPr="001E3185">
                    <w:rPr>
                      <w:rFonts w:cs="Arial"/>
                      <w:b/>
                      <w:lang w:eastAsia="en-GB"/>
                    </w:rPr>
                    <w:t>STP</w:t>
                  </w:r>
                </w:p>
              </w:tc>
              <w:tc>
                <w:tcPr>
                  <w:tcW w:w="1968" w:type="pct"/>
                  <w:shd w:val="clear" w:color="auto" w:fill="auto"/>
                  <w:vAlign w:val="center"/>
                </w:tcPr>
                <w:p w14:paraId="13D4F91D"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1) [mg.L</w:t>
                  </w:r>
                  <w:r w:rsidRPr="001E3185">
                    <w:rPr>
                      <w:rFonts w:cs="Arial"/>
                      <w:b/>
                      <w:vertAlign w:val="superscript"/>
                    </w:rPr>
                    <w:t>-1</w:t>
                  </w:r>
                  <w:r w:rsidRPr="001E3185">
                    <w:rPr>
                      <w:rFonts w:cs="Arial"/>
                      <w:b/>
                    </w:rPr>
                    <w:t>]</w:t>
                  </w:r>
                </w:p>
              </w:tc>
              <w:tc>
                <w:tcPr>
                  <w:tcW w:w="1672" w:type="pct"/>
                  <w:shd w:val="clear" w:color="auto" w:fill="auto"/>
                  <w:vAlign w:val="center"/>
                </w:tcPr>
                <w:p w14:paraId="6C657CAA" w14:textId="77777777" w:rsidR="00692E71" w:rsidRPr="001E3185" w:rsidRDefault="00692E71" w:rsidP="008E0250">
                  <w:pPr>
                    <w:jc w:val="center"/>
                    <w:rPr>
                      <w:rFonts w:cs="Arial"/>
                    </w:rPr>
                  </w:pPr>
                  <w:r w:rsidRPr="001E3185">
                    <w:rPr>
                      <w:rFonts w:cs="Arial"/>
                      <w:b/>
                    </w:rPr>
                    <w:t>PEC/PNEC</w:t>
                  </w:r>
                </w:p>
              </w:tc>
            </w:tr>
            <w:tr w:rsidR="00692E71" w:rsidRPr="001E3185" w14:paraId="4DF17048" w14:textId="77777777" w:rsidTr="008E0250">
              <w:trPr>
                <w:trHeight w:val="283"/>
              </w:trPr>
              <w:tc>
                <w:tcPr>
                  <w:tcW w:w="1360" w:type="pct"/>
                  <w:shd w:val="clear" w:color="auto" w:fill="auto"/>
                  <w:vAlign w:val="center"/>
                </w:tcPr>
                <w:p w14:paraId="360F1192" w14:textId="77777777" w:rsidR="00692E71" w:rsidRPr="001E3185" w:rsidRDefault="00692E71" w:rsidP="008E0250">
                  <w:pPr>
                    <w:rPr>
                      <w:rFonts w:cs="Arial"/>
                      <w:bCs/>
                    </w:rPr>
                  </w:pPr>
                  <w:r w:rsidRPr="001E3185">
                    <w:rPr>
                      <w:rFonts w:cs="Arial"/>
                      <w:bCs/>
                    </w:rPr>
                    <w:t>Tebuconazole</w:t>
                  </w:r>
                </w:p>
              </w:tc>
              <w:tc>
                <w:tcPr>
                  <w:tcW w:w="1968" w:type="pct"/>
                  <w:shd w:val="clear" w:color="auto" w:fill="auto"/>
                  <w:vAlign w:val="center"/>
                </w:tcPr>
                <w:p w14:paraId="7B21ECE5" w14:textId="77777777" w:rsidR="00692E71" w:rsidRPr="001E3185" w:rsidRDefault="00692E71" w:rsidP="008E0250">
                  <w:pPr>
                    <w:jc w:val="center"/>
                    <w:rPr>
                      <w:rFonts w:cs="Arial"/>
                      <w:bCs/>
                    </w:rPr>
                  </w:pPr>
                  <w:r w:rsidRPr="001E3185">
                    <w:rPr>
                      <w:rFonts w:cs="Arial"/>
                    </w:rPr>
                    <w:t>2.74E-04</w:t>
                  </w:r>
                </w:p>
              </w:tc>
              <w:tc>
                <w:tcPr>
                  <w:tcW w:w="1672" w:type="pct"/>
                  <w:shd w:val="clear" w:color="auto" w:fill="auto"/>
                  <w:vAlign w:val="bottom"/>
                </w:tcPr>
                <w:p w14:paraId="5F8A0BBE" w14:textId="77777777" w:rsidR="00692E71" w:rsidRPr="001E3185" w:rsidRDefault="00692E71" w:rsidP="008E0250">
                  <w:pPr>
                    <w:jc w:val="center"/>
                    <w:rPr>
                      <w:rFonts w:cs="Arial"/>
                    </w:rPr>
                  </w:pPr>
                  <w:r w:rsidRPr="001E3185">
                    <w:rPr>
                      <w:rFonts w:cs="Arial"/>
                    </w:rPr>
                    <w:t>8.56E-04</w:t>
                  </w:r>
                </w:p>
              </w:tc>
            </w:tr>
            <w:tr w:rsidR="00692E71" w:rsidRPr="001E3185" w14:paraId="3F7D9F16" w14:textId="77777777" w:rsidTr="008E0250">
              <w:trPr>
                <w:trHeight w:val="283"/>
              </w:trPr>
              <w:tc>
                <w:tcPr>
                  <w:tcW w:w="1360" w:type="pct"/>
                  <w:shd w:val="clear" w:color="auto" w:fill="auto"/>
                  <w:vAlign w:val="center"/>
                </w:tcPr>
                <w:p w14:paraId="426D6873" w14:textId="77777777" w:rsidR="00692E71" w:rsidRPr="001E3185" w:rsidRDefault="00692E71" w:rsidP="008E0250">
                  <w:pPr>
                    <w:rPr>
                      <w:rFonts w:cs="Arial"/>
                      <w:bCs/>
                    </w:rPr>
                  </w:pPr>
                  <w:r w:rsidRPr="001E3185">
                    <w:rPr>
                      <w:rFonts w:cs="Arial"/>
                      <w:bCs/>
                    </w:rPr>
                    <w:t>Propiconazole</w:t>
                  </w:r>
                </w:p>
              </w:tc>
              <w:tc>
                <w:tcPr>
                  <w:tcW w:w="1968" w:type="pct"/>
                  <w:shd w:val="clear" w:color="auto" w:fill="auto"/>
                  <w:vAlign w:val="center"/>
                </w:tcPr>
                <w:p w14:paraId="7A4CEC00" w14:textId="77777777" w:rsidR="00692E71" w:rsidRPr="001E3185" w:rsidRDefault="00692E71" w:rsidP="008E0250">
                  <w:pPr>
                    <w:jc w:val="center"/>
                    <w:rPr>
                      <w:rFonts w:cs="Arial"/>
                      <w:bCs/>
                    </w:rPr>
                  </w:pPr>
                  <w:r w:rsidRPr="001E3185">
                    <w:rPr>
                      <w:rFonts w:cs="Arial"/>
                    </w:rPr>
                    <w:t>6.29E-04</w:t>
                  </w:r>
                </w:p>
              </w:tc>
              <w:tc>
                <w:tcPr>
                  <w:tcW w:w="1672" w:type="pct"/>
                  <w:shd w:val="clear" w:color="auto" w:fill="auto"/>
                  <w:vAlign w:val="bottom"/>
                </w:tcPr>
                <w:p w14:paraId="7406AF3D" w14:textId="77777777" w:rsidR="00692E71" w:rsidRPr="001E3185" w:rsidRDefault="00692E71" w:rsidP="008E0250">
                  <w:pPr>
                    <w:jc w:val="center"/>
                    <w:rPr>
                      <w:rFonts w:cs="Arial"/>
                    </w:rPr>
                  </w:pPr>
                  <w:r w:rsidRPr="001E3185">
                    <w:rPr>
                      <w:rFonts w:cs="Arial"/>
                    </w:rPr>
                    <w:t>6.29E-06</w:t>
                  </w:r>
                </w:p>
              </w:tc>
            </w:tr>
            <w:tr w:rsidR="00692E71" w:rsidRPr="001E3185" w14:paraId="7C992945" w14:textId="77777777" w:rsidTr="008E0250">
              <w:trPr>
                <w:trHeight w:val="283"/>
              </w:trPr>
              <w:tc>
                <w:tcPr>
                  <w:tcW w:w="1360" w:type="pct"/>
                  <w:shd w:val="clear" w:color="auto" w:fill="auto"/>
                  <w:vAlign w:val="center"/>
                </w:tcPr>
                <w:p w14:paraId="514CE66F" w14:textId="77777777" w:rsidR="00692E71" w:rsidRPr="001E3185" w:rsidRDefault="00692E71" w:rsidP="008E0250">
                  <w:pPr>
                    <w:rPr>
                      <w:rFonts w:cs="Arial"/>
                      <w:bCs/>
                    </w:rPr>
                  </w:pPr>
                  <w:r w:rsidRPr="001E3185">
                    <w:rPr>
                      <w:rFonts w:cs="Arial"/>
                      <w:bCs/>
                    </w:rPr>
                    <w:t>Cypermethrin</w:t>
                  </w:r>
                </w:p>
              </w:tc>
              <w:tc>
                <w:tcPr>
                  <w:tcW w:w="1968" w:type="pct"/>
                  <w:shd w:val="clear" w:color="auto" w:fill="auto"/>
                  <w:vAlign w:val="center"/>
                </w:tcPr>
                <w:p w14:paraId="0E310931" w14:textId="77777777" w:rsidR="00692E71" w:rsidRPr="001E3185" w:rsidRDefault="00692E71" w:rsidP="008E0250">
                  <w:pPr>
                    <w:jc w:val="center"/>
                    <w:rPr>
                      <w:rFonts w:cs="Arial"/>
                      <w:bCs/>
                    </w:rPr>
                  </w:pPr>
                  <w:r w:rsidRPr="001E3185">
                    <w:rPr>
                      <w:rFonts w:cs="Arial"/>
                    </w:rPr>
                    <w:t>2.70E-07</w:t>
                  </w:r>
                </w:p>
              </w:tc>
              <w:tc>
                <w:tcPr>
                  <w:tcW w:w="1672" w:type="pct"/>
                  <w:shd w:val="clear" w:color="auto" w:fill="auto"/>
                  <w:vAlign w:val="bottom"/>
                </w:tcPr>
                <w:p w14:paraId="0A3A609D" w14:textId="77777777" w:rsidR="00692E71" w:rsidRPr="001E3185" w:rsidRDefault="00692E71" w:rsidP="008E0250">
                  <w:pPr>
                    <w:jc w:val="center"/>
                    <w:rPr>
                      <w:rFonts w:cs="Arial"/>
                    </w:rPr>
                  </w:pPr>
                  <w:r w:rsidRPr="001E3185">
                    <w:rPr>
                      <w:rFonts w:cs="Arial"/>
                    </w:rPr>
                    <w:t>1.65E-07</w:t>
                  </w:r>
                </w:p>
              </w:tc>
            </w:tr>
            <w:tr w:rsidR="00692E71" w:rsidRPr="001E3185" w14:paraId="54E9CE3B" w14:textId="77777777" w:rsidTr="008E0250">
              <w:trPr>
                <w:trHeight w:val="283"/>
              </w:trPr>
              <w:tc>
                <w:tcPr>
                  <w:tcW w:w="1360" w:type="pct"/>
                  <w:shd w:val="clear" w:color="auto" w:fill="auto"/>
                  <w:vAlign w:val="center"/>
                </w:tcPr>
                <w:p w14:paraId="1AD12BC9" w14:textId="77777777" w:rsidR="00692E71" w:rsidRPr="001E3185" w:rsidRDefault="00692E71" w:rsidP="008E0250">
                  <w:pPr>
                    <w:rPr>
                      <w:rFonts w:cs="Arial"/>
                      <w:bCs/>
                    </w:rPr>
                  </w:pPr>
                  <w:r w:rsidRPr="001E3185">
                    <w:rPr>
                      <w:rFonts w:cs="Arial"/>
                      <w:bCs/>
                    </w:rPr>
                    <w:t>IPBC</w:t>
                  </w:r>
                </w:p>
              </w:tc>
              <w:tc>
                <w:tcPr>
                  <w:tcW w:w="1968" w:type="pct"/>
                  <w:shd w:val="clear" w:color="auto" w:fill="auto"/>
                  <w:vAlign w:val="center"/>
                </w:tcPr>
                <w:p w14:paraId="65899143" w14:textId="77777777" w:rsidR="00692E71" w:rsidRPr="001E3185" w:rsidRDefault="00692E71" w:rsidP="008E0250">
                  <w:pPr>
                    <w:jc w:val="center"/>
                    <w:rPr>
                      <w:rFonts w:cs="Arial"/>
                      <w:bCs/>
                    </w:rPr>
                  </w:pPr>
                  <w:r w:rsidRPr="001E3185">
                    <w:rPr>
                      <w:rFonts w:cs="Arial"/>
                    </w:rPr>
                    <w:t>1.70E-04</w:t>
                  </w:r>
                </w:p>
              </w:tc>
              <w:tc>
                <w:tcPr>
                  <w:tcW w:w="1672" w:type="pct"/>
                  <w:shd w:val="clear" w:color="auto" w:fill="auto"/>
                  <w:vAlign w:val="bottom"/>
                </w:tcPr>
                <w:p w14:paraId="6996AFF9" w14:textId="77777777" w:rsidR="00692E71" w:rsidRPr="001E3185" w:rsidRDefault="00692E71" w:rsidP="008E0250">
                  <w:pPr>
                    <w:jc w:val="center"/>
                    <w:rPr>
                      <w:rFonts w:cs="Arial"/>
                    </w:rPr>
                  </w:pPr>
                  <w:r w:rsidRPr="001E3185">
                    <w:rPr>
                      <w:rFonts w:cs="Arial"/>
                    </w:rPr>
                    <w:t>3.86E-04</w:t>
                  </w:r>
                </w:p>
              </w:tc>
            </w:tr>
            <w:tr w:rsidR="00692E71" w:rsidRPr="001E3185" w14:paraId="47CF8F23" w14:textId="77777777" w:rsidTr="008E0250">
              <w:trPr>
                <w:trHeight w:val="283"/>
              </w:trPr>
              <w:tc>
                <w:tcPr>
                  <w:tcW w:w="1360" w:type="pct"/>
                  <w:shd w:val="clear" w:color="auto" w:fill="auto"/>
                  <w:vAlign w:val="center"/>
                </w:tcPr>
                <w:p w14:paraId="2899810E" w14:textId="77777777" w:rsidR="00692E71" w:rsidRPr="001E3185" w:rsidRDefault="00692E71" w:rsidP="008E0250">
                  <w:pPr>
                    <w:rPr>
                      <w:rFonts w:cs="Arial"/>
                      <w:bCs/>
                    </w:rPr>
                  </w:pPr>
                  <w:r w:rsidRPr="001E3185">
                    <w:rPr>
                      <w:rFonts w:cs="Arial"/>
                      <w:bCs/>
                    </w:rPr>
                    <w:t>PBC</w:t>
                  </w:r>
                </w:p>
              </w:tc>
              <w:tc>
                <w:tcPr>
                  <w:tcW w:w="1968" w:type="pct"/>
                  <w:shd w:val="clear" w:color="auto" w:fill="auto"/>
                  <w:vAlign w:val="center"/>
                </w:tcPr>
                <w:p w14:paraId="23F8C4D6" w14:textId="77777777" w:rsidR="00692E71" w:rsidRPr="001E3185" w:rsidRDefault="00692E71" w:rsidP="008E0250">
                  <w:pPr>
                    <w:jc w:val="center"/>
                    <w:rPr>
                      <w:rFonts w:cs="Arial"/>
                      <w:bCs/>
                    </w:rPr>
                  </w:pPr>
                  <w:r w:rsidRPr="001E3185">
                    <w:rPr>
                      <w:rFonts w:cs="Arial"/>
                    </w:rPr>
                    <w:t>9.42E-05</w:t>
                  </w:r>
                </w:p>
              </w:tc>
              <w:tc>
                <w:tcPr>
                  <w:tcW w:w="1672" w:type="pct"/>
                  <w:shd w:val="clear" w:color="auto" w:fill="auto"/>
                  <w:vAlign w:val="bottom"/>
                </w:tcPr>
                <w:p w14:paraId="19A41BEA" w14:textId="77777777" w:rsidR="00692E71" w:rsidRPr="001E3185" w:rsidRDefault="00692E71" w:rsidP="008E0250">
                  <w:pPr>
                    <w:jc w:val="center"/>
                    <w:rPr>
                      <w:rFonts w:cs="Arial"/>
                    </w:rPr>
                  </w:pPr>
                  <w:r w:rsidRPr="001E3185">
                    <w:rPr>
                      <w:rFonts w:cs="Arial"/>
                    </w:rPr>
                    <w:t>2.14E-04</w:t>
                  </w:r>
                </w:p>
              </w:tc>
            </w:tr>
            <w:tr w:rsidR="00692E71" w:rsidRPr="001E3185" w14:paraId="1231DB13" w14:textId="77777777" w:rsidTr="008E0250">
              <w:trPr>
                <w:trHeight w:val="283"/>
              </w:trPr>
              <w:tc>
                <w:tcPr>
                  <w:tcW w:w="1360" w:type="pct"/>
                  <w:shd w:val="clear" w:color="auto" w:fill="auto"/>
                  <w:vAlign w:val="center"/>
                </w:tcPr>
                <w:p w14:paraId="00B31539" w14:textId="77777777" w:rsidR="00692E71" w:rsidRPr="001E3185" w:rsidRDefault="00692E71" w:rsidP="008E0250">
                  <w:pPr>
                    <w:rPr>
                      <w:rFonts w:cs="Arial"/>
                      <w:b/>
                      <w:bCs/>
                    </w:rPr>
                  </w:pPr>
                  <w:r w:rsidRPr="001E3185">
                    <w:rPr>
                      <w:rFonts w:cs="Arial"/>
                      <w:b/>
                      <w:lang w:eastAsia="en-GB"/>
                    </w:rPr>
                    <w:t>PEC/PNEC</w:t>
                  </w:r>
                </w:p>
              </w:tc>
              <w:tc>
                <w:tcPr>
                  <w:tcW w:w="1968" w:type="pct"/>
                  <w:shd w:val="clear" w:color="auto" w:fill="auto"/>
                  <w:vAlign w:val="center"/>
                </w:tcPr>
                <w:p w14:paraId="7141E792" w14:textId="77777777" w:rsidR="00692E71" w:rsidRPr="001E3185" w:rsidRDefault="00692E71" w:rsidP="008E0250">
                  <w:pPr>
                    <w:jc w:val="center"/>
                    <w:rPr>
                      <w:rFonts w:cs="Arial"/>
                      <w:bCs/>
                    </w:rPr>
                  </w:pPr>
                </w:p>
              </w:tc>
              <w:tc>
                <w:tcPr>
                  <w:tcW w:w="1672" w:type="pct"/>
                  <w:shd w:val="clear" w:color="auto" w:fill="auto"/>
                  <w:vAlign w:val="center"/>
                </w:tcPr>
                <w:p w14:paraId="085DD144" w14:textId="77777777" w:rsidR="00692E71" w:rsidRPr="001E3185" w:rsidRDefault="00692E71" w:rsidP="008E0250">
                  <w:pPr>
                    <w:jc w:val="center"/>
                    <w:rPr>
                      <w:rFonts w:cs="Arial"/>
                    </w:rPr>
                  </w:pPr>
                  <w:r w:rsidRPr="001E3185">
                    <w:rPr>
                      <w:rFonts w:cs="Arial"/>
                    </w:rPr>
                    <w:t>1.46E-03</w:t>
                  </w:r>
                </w:p>
              </w:tc>
            </w:tr>
            <w:tr w:rsidR="00692E71" w:rsidRPr="001E3185" w14:paraId="3A01598F" w14:textId="77777777" w:rsidTr="008E0250">
              <w:trPr>
                <w:trHeight w:val="283"/>
              </w:trPr>
              <w:tc>
                <w:tcPr>
                  <w:tcW w:w="5000" w:type="pct"/>
                  <w:gridSpan w:val="3"/>
                  <w:shd w:val="clear" w:color="auto" w:fill="auto"/>
                  <w:vAlign w:val="center"/>
                </w:tcPr>
                <w:p w14:paraId="1DAE1250" w14:textId="77777777" w:rsidR="00692E71" w:rsidRPr="001E3185" w:rsidRDefault="00692E71" w:rsidP="008E0250">
                  <w:pPr>
                    <w:jc w:val="center"/>
                    <w:rPr>
                      <w:rFonts w:cs="Arial"/>
                      <w:bCs/>
                    </w:rPr>
                  </w:pPr>
                  <w:r w:rsidRPr="001E3185">
                    <w:rPr>
                      <w:rFonts w:cs="Arial"/>
                      <w:b/>
                    </w:rPr>
                    <w:t>Noise barrier -</w:t>
                  </w:r>
                  <w:r w:rsidRPr="001E3185">
                    <w:rPr>
                      <w:rFonts w:cs="Arial"/>
                      <w:b/>
                      <w:bCs/>
                      <w:iCs/>
                    </w:rPr>
                    <w:t xml:space="preserve"> Treated wood in service only – Industrial application</w:t>
                  </w:r>
                </w:p>
              </w:tc>
            </w:tr>
            <w:tr w:rsidR="00692E71" w:rsidRPr="001E3185" w14:paraId="383EEA47" w14:textId="77777777" w:rsidTr="008E0250">
              <w:trPr>
                <w:trHeight w:val="293"/>
              </w:trPr>
              <w:tc>
                <w:tcPr>
                  <w:tcW w:w="1360" w:type="pct"/>
                  <w:shd w:val="clear" w:color="auto" w:fill="auto"/>
                  <w:vAlign w:val="center"/>
                </w:tcPr>
                <w:p w14:paraId="60D59C43" w14:textId="77777777" w:rsidR="00692E71" w:rsidRPr="001E3185" w:rsidRDefault="00692E71" w:rsidP="008E0250">
                  <w:pPr>
                    <w:jc w:val="center"/>
                    <w:rPr>
                      <w:rFonts w:cs="Arial"/>
                    </w:rPr>
                  </w:pPr>
                  <w:r w:rsidRPr="001E3185">
                    <w:rPr>
                      <w:rFonts w:cs="Arial"/>
                      <w:b/>
                      <w:lang w:eastAsia="en-GB"/>
                    </w:rPr>
                    <w:t>STP</w:t>
                  </w:r>
                </w:p>
              </w:tc>
              <w:tc>
                <w:tcPr>
                  <w:tcW w:w="1968" w:type="pct"/>
                  <w:shd w:val="clear" w:color="auto" w:fill="auto"/>
                  <w:vAlign w:val="center"/>
                </w:tcPr>
                <w:p w14:paraId="7DD8A3F5"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72" w:type="pct"/>
                  <w:shd w:val="clear" w:color="auto" w:fill="auto"/>
                  <w:vAlign w:val="center"/>
                </w:tcPr>
                <w:p w14:paraId="7B16E43D" w14:textId="77777777" w:rsidR="00692E71" w:rsidRPr="001E3185" w:rsidRDefault="00692E71" w:rsidP="008E0250">
                  <w:pPr>
                    <w:jc w:val="center"/>
                    <w:rPr>
                      <w:rFonts w:cs="Arial"/>
                    </w:rPr>
                  </w:pPr>
                  <w:r w:rsidRPr="001E3185">
                    <w:rPr>
                      <w:rFonts w:cs="Arial"/>
                      <w:b/>
                    </w:rPr>
                    <w:t>PEC/PNEC</w:t>
                  </w:r>
                </w:p>
              </w:tc>
            </w:tr>
            <w:tr w:rsidR="00692E71" w:rsidRPr="001E3185" w14:paraId="78F8A474" w14:textId="77777777" w:rsidTr="008E0250">
              <w:trPr>
                <w:trHeight w:val="283"/>
              </w:trPr>
              <w:tc>
                <w:tcPr>
                  <w:tcW w:w="1360" w:type="pct"/>
                  <w:shd w:val="clear" w:color="auto" w:fill="auto"/>
                  <w:vAlign w:val="center"/>
                </w:tcPr>
                <w:p w14:paraId="60AE71D8" w14:textId="77777777" w:rsidR="00692E71" w:rsidRPr="001E3185" w:rsidRDefault="00692E71" w:rsidP="008E0250">
                  <w:pPr>
                    <w:rPr>
                      <w:rFonts w:cs="Arial"/>
                      <w:bCs/>
                    </w:rPr>
                  </w:pPr>
                  <w:r w:rsidRPr="001E3185">
                    <w:rPr>
                      <w:rFonts w:cs="Arial"/>
                      <w:bCs/>
                    </w:rPr>
                    <w:t>Tebuconazole</w:t>
                  </w:r>
                </w:p>
              </w:tc>
              <w:tc>
                <w:tcPr>
                  <w:tcW w:w="1968" w:type="pct"/>
                  <w:shd w:val="clear" w:color="auto" w:fill="auto"/>
                  <w:vAlign w:val="center"/>
                </w:tcPr>
                <w:p w14:paraId="1F525352" w14:textId="77777777" w:rsidR="00692E71" w:rsidRPr="001E3185" w:rsidRDefault="00692E71" w:rsidP="008E0250">
                  <w:pPr>
                    <w:jc w:val="center"/>
                    <w:rPr>
                      <w:rFonts w:cs="Arial"/>
                      <w:bCs/>
                    </w:rPr>
                  </w:pPr>
                  <w:r w:rsidRPr="001E3185">
                    <w:rPr>
                      <w:rFonts w:cs="Arial"/>
                    </w:rPr>
                    <w:t>1.21E-05</w:t>
                  </w:r>
                </w:p>
              </w:tc>
              <w:tc>
                <w:tcPr>
                  <w:tcW w:w="1672" w:type="pct"/>
                  <w:shd w:val="clear" w:color="auto" w:fill="auto"/>
                  <w:vAlign w:val="bottom"/>
                </w:tcPr>
                <w:p w14:paraId="34534130" w14:textId="77777777" w:rsidR="00692E71" w:rsidRPr="001E3185" w:rsidRDefault="00692E71" w:rsidP="008E0250">
                  <w:pPr>
                    <w:jc w:val="center"/>
                    <w:rPr>
                      <w:rFonts w:cs="Arial"/>
                    </w:rPr>
                  </w:pPr>
                  <w:r w:rsidRPr="001E3185">
                    <w:rPr>
                      <w:rFonts w:cs="Arial"/>
                    </w:rPr>
                    <w:t>3.79E-05</w:t>
                  </w:r>
                </w:p>
              </w:tc>
            </w:tr>
            <w:tr w:rsidR="00692E71" w:rsidRPr="001E3185" w14:paraId="5FA8A39B" w14:textId="77777777" w:rsidTr="008E0250">
              <w:trPr>
                <w:trHeight w:val="283"/>
              </w:trPr>
              <w:tc>
                <w:tcPr>
                  <w:tcW w:w="1360" w:type="pct"/>
                  <w:shd w:val="clear" w:color="auto" w:fill="auto"/>
                  <w:vAlign w:val="center"/>
                </w:tcPr>
                <w:p w14:paraId="75C9E40F" w14:textId="77777777" w:rsidR="00692E71" w:rsidRPr="001E3185" w:rsidRDefault="00692E71" w:rsidP="008E0250">
                  <w:pPr>
                    <w:rPr>
                      <w:rFonts w:cs="Arial"/>
                      <w:bCs/>
                    </w:rPr>
                  </w:pPr>
                  <w:r w:rsidRPr="001E3185">
                    <w:rPr>
                      <w:rFonts w:cs="Arial"/>
                      <w:bCs/>
                    </w:rPr>
                    <w:t>Propiconazole</w:t>
                  </w:r>
                </w:p>
              </w:tc>
              <w:tc>
                <w:tcPr>
                  <w:tcW w:w="1968" w:type="pct"/>
                  <w:shd w:val="clear" w:color="auto" w:fill="auto"/>
                  <w:vAlign w:val="center"/>
                </w:tcPr>
                <w:p w14:paraId="5D3EFF45" w14:textId="77777777" w:rsidR="00692E71" w:rsidRPr="001E3185" w:rsidRDefault="00692E71" w:rsidP="008E0250">
                  <w:pPr>
                    <w:jc w:val="center"/>
                    <w:rPr>
                      <w:rFonts w:cs="Arial"/>
                      <w:bCs/>
                    </w:rPr>
                  </w:pPr>
                  <w:r w:rsidRPr="001E3185">
                    <w:rPr>
                      <w:rFonts w:cs="Arial"/>
                    </w:rPr>
                    <w:t>3.32E-05</w:t>
                  </w:r>
                </w:p>
              </w:tc>
              <w:tc>
                <w:tcPr>
                  <w:tcW w:w="1672" w:type="pct"/>
                  <w:shd w:val="clear" w:color="auto" w:fill="auto"/>
                  <w:vAlign w:val="bottom"/>
                </w:tcPr>
                <w:p w14:paraId="54D3E297" w14:textId="77777777" w:rsidR="00692E71" w:rsidRPr="001E3185" w:rsidRDefault="00692E71" w:rsidP="008E0250">
                  <w:pPr>
                    <w:jc w:val="center"/>
                    <w:rPr>
                      <w:rFonts w:cs="Arial"/>
                    </w:rPr>
                  </w:pPr>
                  <w:r w:rsidRPr="001E3185">
                    <w:rPr>
                      <w:rFonts w:cs="Arial"/>
                    </w:rPr>
                    <w:t>3.32E-07</w:t>
                  </w:r>
                </w:p>
              </w:tc>
            </w:tr>
            <w:tr w:rsidR="00692E71" w:rsidRPr="001E3185" w14:paraId="5310BC73" w14:textId="77777777" w:rsidTr="008E0250">
              <w:trPr>
                <w:trHeight w:val="283"/>
              </w:trPr>
              <w:tc>
                <w:tcPr>
                  <w:tcW w:w="1360" w:type="pct"/>
                  <w:shd w:val="clear" w:color="auto" w:fill="auto"/>
                  <w:vAlign w:val="center"/>
                </w:tcPr>
                <w:p w14:paraId="63994899" w14:textId="77777777" w:rsidR="00692E71" w:rsidRPr="001E3185" w:rsidRDefault="00692E71" w:rsidP="008E0250">
                  <w:pPr>
                    <w:rPr>
                      <w:rFonts w:cs="Arial"/>
                      <w:bCs/>
                    </w:rPr>
                  </w:pPr>
                  <w:r w:rsidRPr="001E3185">
                    <w:rPr>
                      <w:rFonts w:cs="Arial"/>
                      <w:bCs/>
                    </w:rPr>
                    <w:t>Cypermethrin</w:t>
                  </w:r>
                </w:p>
              </w:tc>
              <w:tc>
                <w:tcPr>
                  <w:tcW w:w="1968" w:type="pct"/>
                  <w:shd w:val="clear" w:color="auto" w:fill="auto"/>
                  <w:vAlign w:val="center"/>
                </w:tcPr>
                <w:p w14:paraId="0A8306E1" w14:textId="77777777" w:rsidR="00692E71" w:rsidRPr="001E3185" w:rsidRDefault="00692E71" w:rsidP="008E0250">
                  <w:pPr>
                    <w:jc w:val="center"/>
                    <w:rPr>
                      <w:rFonts w:cs="Arial"/>
                      <w:bCs/>
                    </w:rPr>
                  </w:pPr>
                  <w:r w:rsidRPr="001E3185">
                    <w:rPr>
                      <w:rFonts w:cs="Arial"/>
                    </w:rPr>
                    <w:t>2.16E-07</w:t>
                  </w:r>
                </w:p>
              </w:tc>
              <w:tc>
                <w:tcPr>
                  <w:tcW w:w="1672" w:type="pct"/>
                  <w:shd w:val="clear" w:color="auto" w:fill="auto"/>
                  <w:vAlign w:val="bottom"/>
                </w:tcPr>
                <w:p w14:paraId="5FAB8B6D" w14:textId="77777777" w:rsidR="00692E71" w:rsidRPr="001E3185" w:rsidRDefault="00692E71" w:rsidP="008E0250">
                  <w:pPr>
                    <w:jc w:val="center"/>
                    <w:rPr>
                      <w:rFonts w:cs="Arial"/>
                    </w:rPr>
                  </w:pPr>
                  <w:r w:rsidRPr="001E3185">
                    <w:rPr>
                      <w:rFonts w:cs="Arial"/>
                    </w:rPr>
                    <w:t>1.33E-07</w:t>
                  </w:r>
                </w:p>
              </w:tc>
            </w:tr>
            <w:tr w:rsidR="00692E71" w:rsidRPr="001E3185" w14:paraId="049F1A24" w14:textId="77777777" w:rsidTr="008E0250">
              <w:trPr>
                <w:trHeight w:val="283"/>
              </w:trPr>
              <w:tc>
                <w:tcPr>
                  <w:tcW w:w="1360" w:type="pct"/>
                  <w:shd w:val="clear" w:color="auto" w:fill="auto"/>
                  <w:vAlign w:val="center"/>
                </w:tcPr>
                <w:p w14:paraId="441A582D" w14:textId="77777777" w:rsidR="00692E71" w:rsidRPr="001E3185" w:rsidRDefault="00692E71" w:rsidP="008E0250">
                  <w:pPr>
                    <w:rPr>
                      <w:rFonts w:cs="Arial"/>
                      <w:bCs/>
                    </w:rPr>
                  </w:pPr>
                  <w:r w:rsidRPr="001E3185">
                    <w:rPr>
                      <w:rFonts w:cs="Arial"/>
                      <w:bCs/>
                    </w:rPr>
                    <w:t>IPBC</w:t>
                  </w:r>
                </w:p>
              </w:tc>
              <w:tc>
                <w:tcPr>
                  <w:tcW w:w="1968" w:type="pct"/>
                  <w:shd w:val="clear" w:color="auto" w:fill="auto"/>
                  <w:vAlign w:val="center"/>
                </w:tcPr>
                <w:p w14:paraId="41B58C5E" w14:textId="77777777" w:rsidR="00692E71" w:rsidRPr="001E3185" w:rsidRDefault="00692E71" w:rsidP="008E0250">
                  <w:pPr>
                    <w:jc w:val="center"/>
                    <w:rPr>
                      <w:rFonts w:cs="Arial"/>
                      <w:bCs/>
                    </w:rPr>
                  </w:pPr>
                  <w:r w:rsidRPr="001E3185">
                    <w:rPr>
                      <w:rFonts w:cs="Arial"/>
                    </w:rPr>
                    <w:t>8.65E-06</w:t>
                  </w:r>
                </w:p>
              </w:tc>
              <w:tc>
                <w:tcPr>
                  <w:tcW w:w="1672" w:type="pct"/>
                  <w:shd w:val="clear" w:color="auto" w:fill="auto"/>
                  <w:vAlign w:val="bottom"/>
                </w:tcPr>
                <w:p w14:paraId="6CD6B9B4" w14:textId="77777777" w:rsidR="00692E71" w:rsidRPr="001E3185" w:rsidRDefault="00692E71" w:rsidP="008E0250">
                  <w:pPr>
                    <w:jc w:val="center"/>
                    <w:rPr>
                      <w:rFonts w:cs="Arial"/>
                    </w:rPr>
                  </w:pPr>
                  <w:r w:rsidRPr="001E3185">
                    <w:rPr>
                      <w:rFonts w:cs="Arial"/>
                    </w:rPr>
                    <w:t>1.97E-05</w:t>
                  </w:r>
                </w:p>
              </w:tc>
            </w:tr>
            <w:tr w:rsidR="00692E71" w:rsidRPr="001E3185" w14:paraId="461B7576" w14:textId="77777777" w:rsidTr="008E0250">
              <w:trPr>
                <w:trHeight w:val="283"/>
              </w:trPr>
              <w:tc>
                <w:tcPr>
                  <w:tcW w:w="1360" w:type="pct"/>
                  <w:shd w:val="clear" w:color="auto" w:fill="auto"/>
                  <w:vAlign w:val="center"/>
                </w:tcPr>
                <w:p w14:paraId="66BA9258" w14:textId="77777777" w:rsidR="00692E71" w:rsidRPr="001E3185" w:rsidRDefault="00692E71" w:rsidP="008E0250">
                  <w:pPr>
                    <w:rPr>
                      <w:rFonts w:cs="Arial"/>
                      <w:bCs/>
                    </w:rPr>
                  </w:pPr>
                  <w:r w:rsidRPr="001E3185">
                    <w:rPr>
                      <w:rFonts w:cs="Arial"/>
                      <w:bCs/>
                    </w:rPr>
                    <w:t>PBC</w:t>
                  </w:r>
                </w:p>
              </w:tc>
              <w:tc>
                <w:tcPr>
                  <w:tcW w:w="1968" w:type="pct"/>
                  <w:shd w:val="clear" w:color="auto" w:fill="auto"/>
                  <w:vAlign w:val="center"/>
                </w:tcPr>
                <w:p w14:paraId="1E8D2DCF" w14:textId="77777777" w:rsidR="00692E71" w:rsidRPr="001E3185" w:rsidRDefault="00692E71" w:rsidP="008E0250">
                  <w:pPr>
                    <w:jc w:val="center"/>
                    <w:rPr>
                      <w:rFonts w:cs="Arial"/>
                      <w:bCs/>
                    </w:rPr>
                  </w:pPr>
                  <w:r w:rsidRPr="001E3185">
                    <w:rPr>
                      <w:rFonts w:cs="Arial"/>
                    </w:rPr>
                    <w:t>4.79E-06</w:t>
                  </w:r>
                </w:p>
              </w:tc>
              <w:tc>
                <w:tcPr>
                  <w:tcW w:w="1672" w:type="pct"/>
                  <w:shd w:val="clear" w:color="auto" w:fill="auto"/>
                  <w:vAlign w:val="bottom"/>
                </w:tcPr>
                <w:p w14:paraId="292330FF" w14:textId="77777777" w:rsidR="00692E71" w:rsidRPr="001E3185" w:rsidRDefault="00692E71" w:rsidP="008E0250">
                  <w:pPr>
                    <w:jc w:val="center"/>
                    <w:rPr>
                      <w:rFonts w:cs="Arial"/>
                    </w:rPr>
                  </w:pPr>
                  <w:r w:rsidRPr="001E3185">
                    <w:rPr>
                      <w:rFonts w:cs="Arial"/>
                    </w:rPr>
                    <w:t>1.09E-05</w:t>
                  </w:r>
                </w:p>
              </w:tc>
            </w:tr>
            <w:tr w:rsidR="00692E71" w:rsidRPr="001E3185" w14:paraId="5B5D9D0E" w14:textId="77777777" w:rsidTr="008E0250">
              <w:trPr>
                <w:trHeight w:val="283"/>
              </w:trPr>
              <w:tc>
                <w:tcPr>
                  <w:tcW w:w="1360" w:type="pct"/>
                  <w:shd w:val="clear" w:color="auto" w:fill="auto"/>
                  <w:vAlign w:val="center"/>
                </w:tcPr>
                <w:p w14:paraId="26760D01" w14:textId="77777777" w:rsidR="00692E71" w:rsidRPr="001E3185" w:rsidRDefault="00692E71" w:rsidP="008E0250">
                  <w:pPr>
                    <w:rPr>
                      <w:rFonts w:cs="Arial"/>
                      <w:b/>
                      <w:bCs/>
                    </w:rPr>
                  </w:pPr>
                  <w:r w:rsidRPr="001E3185">
                    <w:rPr>
                      <w:rFonts w:cs="Arial"/>
                      <w:b/>
                      <w:lang w:eastAsia="en-GB"/>
                    </w:rPr>
                    <w:t>PEC/PNEC</w:t>
                  </w:r>
                </w:p>
              </w:tc>
              <w:tc>
                <w:tcPr>
                  <w:tcW w:w="1968" w:type="pct"/>
                  <w:shd w:val="clear" w:color="auto" w:fill="auto"/>
                  <w:vAlign w:val="center"/>
                </w:tcPr>
                <w:p w14:paraId="19DDB0BD" w14:textId="77777777" w:rsidR="00692E71" w:rsidRPr="001E3185" w:rsidRDefault="00692E71" w:rsidP="008E0250">
                  <w:pPr>
                    <w:jc w:val="center"/>
                    <w:rPr>
                      <w:rFonts w:cs="Arial"/>
                      <w:bCs/>
                    </w:rPr>
                  </w:pPr>
                </w:p>
              </w:tc>
              <w:tc>
                <w:tcPr>
                  <w:tcW w:w="1672" w:type="pct"/>
                  <w:shd w:val="clear" w:color="auto" w:fill="auto"/>
                  <w:vAlign w:val="bottom"/>
                </w:tcPr>
                <w:p w14:paraId="68D2002D" w14:textId="77777777" w:rsidR="00692E71" w:rsidRPr="001E3185" w:rsidRDefault="00692E71" w:rsidP="008E0250">
                  <w:pPr>
                    <w:jc w:val="center"/>
                    <w:rPr>
                      <w:rFonts w:cs="Arial"/>
                    </w:rPr>
                  </w:pPr>
                  <w:r w:rsidRPr="001E3185">
                    <w:rPr>
                      <w:rFonts w:cs="Arial"/>
                    </w:rPr>
                    <w:t>6.90E-05</w:t>
                  </w:r>
                </w:p>
              </w:tc>
            </w:tr>
            <w:tr w:rsidR="00692E71" w:rsidRPr="001E3185" w14:paraId="275D5D75" w14:textId="77777777" w:rsidTr="008E0250">
              <w:trPr>
                <w:trHeight w:val="283"/>
              </w:trPr>
              <w:tc>
                <w:tcPr>
                  <w:tcW w:w="5000" w:type="pct"/>
                  <w:gridSpan w:val="3"/>
                  <w:shd w:val="clear" w:color="auto" w:fill="auto"/>
                  <w:vAlign w:val="center"/>
                </w:tcPr>
                <w:p w14:paraId="315F12B4" w14:textId="77777777" w:rsidR="00692E71" w:rsidRPr="001E3185" w:rsidRDefault="00692E71" w:rsidP="008E0250">
                  <w:pPr>
                    <w:jc w:val="center"/>
                    <w:rPr>
                      <w:rFonts w:cs="Arial"/>
                      <w:bCs/>
                    </w:rPr>
                  </w:pPr>
                  <w:r w:rsidRPr="001E3185">
                    <w:rPr>
                      <w:rFonts w:cs="Arial"/>
                      <w:b/>
                    </w:rPr>
                    <w:t>Noise barrier -</w:t>
                  </w:r>
                  <w:r w:rsidRPr="001E3185">
                    <w:rPr>
                      <w:rFonts w:cs="Arial"/>
                      <w:b/>
                      <w:bCs/>
                      <w:iCs/>
                    </w:rPr>
                    <w:t xml:space="preserve"> Treated wood in service only – </w:t>
                  </w:r>
                  <w:r w:rsidRPr="001E3185">
                    <w:rPr>
                      <w:rFonts w:cs="Arial"/>
                      <w:b/>
                      <w:bCs/>
                      <w:i/>
                      <w:iCs/>
                    </w:rPr>
                    <w:t>In situ</w:t>
                  </w:r>
                  <w:r w:rsidRPr="001E3185">
                    <w:rPr>
                      <w:rFonts w:cs="Arial"/>
                      <w:b/>
                      <w:bCs/>
                      <w:iCs/>
                    </w:rPr>
                    <w:t xml:space="preserve"> application</w:t>
                  </w:r>
                </w:p>
              </w:tc>
            </w:tr>
            <w:tr w:rsidR="00692E71" w:rsidRPr="001E3185" w14:paraId="34D2AEF9" w14:textId="77777777" w:rsidTr="008E0250">
              <w:trPr>
                <w:trHeight w:val="283"/>
              </w:trPr>
              <w:tc>
                <w:tcPr>
                  <w:tcW w:w="1360" w:type="pct"/>
                  <w:shd w:val="clear" w:color="auto" w:fill="auto"/>
                  <w:vAlign w:val="center"/>
                </w:tcPr>
                <w:p w14:paraId="43D711B8" w14:textId="77777777" w:rsidR="00692E71" w:rsidRPr="001E3185" w:rsidRDefault="00692E71" w:rsidP="008E0250">
                  <w:pPr>
                    <w:jc w:val="center"/>
                    <w:rPr>
                      <w:rFonts w:cs="Arial"/>
                      <w:b/>
                      <w:bCs/>
                    </w:rPr>
                  </w:pPr>
                  <w:r w:rsidRPr="001E3185">
                    <w:rPr>
                      <w:rFonts w:cs="Arial"/>
                      <w:b/>
                      <w:lang w:eastAsia="en-GB"/>
                    </w:rPr>
                    <w:t>STP</w:t>
                  </w:r>
                </w:p>
              </w:tc>
              <w:tc>
                <w:tcPr>
                  <w:tcW w:w="1968" w:type="pct"/>
                  <w:shd w:val="clear" w:color="auto" w:fill="auto"/>
                  <w:vAlign w:val="center"/>
                </w:tcPr>
                <w:p w14:paraId="2CCF8CDF"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72" w:type="pct"/>
                  <w:shd w:val="clear" w:color="auto" w:fill="auto"/>
                  <w:vAlign w:val="center"/>
                </w:tcPr>
                <w:p w14:paraId="315C165D" w14:textId="77777777" w:rsidR="00692E71" w:rsidRPr="001E3185" w:rsidRDefault="00692E71" w:rsidP="008E0250">
                  <w:pPr>
                    <w:jc w:val="center"/>
                    <w:rPr>
                      <w:rFonts w:cs="Arial"/>
                    </w:rPr>
                  </w:pPr>
                  <w:r w:rsidRPr="001E3185">
                    <w:rPr>
                      <w:rFonts w:cs="Arial"/>
                      <w:b/>
                    </w:rPr>
                    <w:t>PEC/PNEC</w:t>
                  </w:r>
                </w:p>
              </w:tc>
            </w:tr>
            <w:tr w:rsidR="00692E71" w:rsidRPr="001E3185" w14:paraId="4E05DFEC" w14:textId="77777777" w:rsidTr="008E0250">
              <w:trPr>
                <w:trHeight w:val="283"/>
              </w:trPr>
              <w:tc>
                <w:tcPr>
                  <w:tcW w:w="1360" w:type="pct"/>
                  <w:shd w:val="clear" w:color="auto" w:fill="auto"/>
                  <w:vAlign w:val="center"/>
                </w:tcPr>
                <w:p w14:paraId="118F6159" w14:textId="77777777" w:rsidR="00692E71" w:rsidRPr="001E3185" w:rsidRDefault="00692E71" w:rsidP="008E0250">
                  <w:pPr>
                    <w:rPr>
                      <w:rFonts w:cs="Arial"/>
                      <w:bCs/>
                    </w:rPr>
                  </w:pPr>
                  <w:r w:rsidRPr="001E3185">
                    <w:rPr>
                      <w:rFonts w:cs="Arial"/>
                      <w:bCs/>
                    </w:rPr>
                    <w:t>Tebuconazole</w:t>
                  </w:r>
                </w:p>
              </w:tc>
              <w:tc>
                <w:tcPr>
                  <w:tcW w:w="1968" w:type="pct"/>
                  <w:shd w:val="clear" w:color="auto" w:fill="auto"/>
                  <w:vAlign w:val="center"/>
                </w:tcPr>
                <w:p w14:paraId="44965378" w14:textId="77777777" w:rsidR="00692E71" w:rsidRPr="001E3185" w:rsidRDefault="00692E71" w:rsidP="008E0250">
                  <w:pPr>
                    <w:jc w:val="center"/>
                    <w:rPr>
                      <w:rFonts w:cs="Arial"/>
                      <w:bCs/>
                    </w:rPr>
                  </w:pPr>
                  <w:r w:rsidRPr="001E3185">
                    <w:rPr>
                      <w:rFonts w:cs="Arial"/>
                    </w:rPr>
                    <w:t>1.50E-05</w:t>
                  </w:r>
                </w:p>
              </w:tc>
              <w:tc>
                <w:tcPr>
                  <w:tcW w:w="1672" w:type="pct"/>
                  <w:shd w:val="clear" w:color="auto" w:fill="auto"/>
                  <w:vAlign w:val="bottom"/>
                </w:tcPr>
                <w:p w14:paraId="560D0F04" w14:textId="77777777" w:rsidR="00692E71" w:rsidRPr="001E3185" w:rsidRDefault="00692E71" w:rsidP="008E0250">
                  <w:pPr>
                    <w:jc w:val="center"/>
                    <w:rPr>
                      <w:rFonts w:cs="Arial"/>
                      <w:bCs/>
                    </w:rPr>
                  </w:pPr>
                  <w:r w:rsidRPr="001E3185">
                    <w:rPr>
                      <w:rFonts w:cs="Arial"/>
                    </w:rPr>
                    <w:t>4.70E-05</w:t>
                  </w:r>
                </w:p>
              </w:tc>
            </w:tr>
            <w:tr w:rsidR="00692E71" w:rsidRPr="001E3185" w14:paraId="7645FC90" w14:textId="77777777" w:rsidTr="008E0250">
              <w:trPr>
                <w:trHeight w:val="283"/>
              </w:trPr>
              <w:tc>
                <w:tcPr>
                  <w:tcW w:w="1360" w:type="pct"/>
                  <w:shd w:val="clear" w:color="auto" w:fill="auto"/>
                  <w:vAlign w:val="center"/>
                </w:tcPr>
                <w:p w14:paraId="526C47E9" w14:textId="77777777" w:rsidR="00692E71" w:rsidRPr="001E3185" w:rsidRDefault="00692E71" w:rsidP="008E0250">
                  <w:pPr>
                    <w:rPr>
                      <w:rFonts w:cs="Arial"/>
                      <w:bCs/>
                    </w:rPr>
                  </w:pPr>
                  <w:r w:rsidRPr="001E3185">
                    <w:rPr>
                      <w:rFonts w:cs="Arial"/>
                      <w:bCs/>
                    </w:rPr>
                    <w:t>Propiconazole</w:t>
                  </w:r>
                </w:p>
              </w:tc>
              <w:tc>
                <w:tcPr>
                  <w:tcW w:w="1968" w:type="pct"/>
                  <w:shd w:val="clear" w:color="auto" w:fill="auto"/>
                  <w:vAlign w:val="center"/>
                </w:tcPr>
                <w:p w14:paraId="1F0F940E" w14:textId="77777777" w:rsidR="00692E71" w:rsidRPr="001E3185" w:rsidRDefault="00692E71" w:rsidP="008E0250">
                  <w:pPr>
                    <w:jc w:val="center"/>
                    <w:rPr>
                      <w:rFonts w:cs="Arial"/>
                      <w:bCs/>
                    </w:rPr>
                  </w:pPr>
                  <w:r w:rsidRPr="001E3185">
                    <w:rPr>
                      <w:rFonts w:cs="Arial"/>
                    </w:rPr>
                    <w:t>3.98E-05</w:t>
                  </w:r>
                </w:p>
              </w:tc>
              <w:tc>
                <w:tcPr>
                  <w:tcW w:w="1672" w:type="pct"/>
                  <w:shd w:val="clear" w:color="auto" w:fill="auto"/>
                  <w:vAlign w:val="bottom"/>
                </w:tcPr>
                <w:p w14:paraId="33AFB1D5" w14:textId="77777777" w:rsidR="00692E71" w:rsidRPr="001E3185" w:rsidRDefault="00692E71" w:rsidP="008E0250">
                  <w:pPr>
                    <w:jc w:val="center"/>
                    <w:rPr>
                      <w:rFonts w:cs="Arial"/>
                      <w:bCs/>
                    </w:rPr>
                  </w:pPr>
                  <w:r w:rsidRPr="001E3185">
                    <w:rPr>
                      <w:rFonts w:cs="Arial"/>
                    </w:rPr>
                    <w:t>3.98E-07</w:t>
                  </w:r>
                </w:p>
              </w:tc>
            </w:tr>
            <w:tr w:rsidR="00692E71" w:rsidRPr="001E3185" w14:paraId="7693DE89" w14:textId="77777777" w:rsidTr="008E0250">
              <w:trPr>
                <w:trHeight w:val="283"/>
              </w:trPr>
              <w:tc>
                <w:tcPr>
                  <w:tcW w:w="1360" w:type="pct"/>
                  <w:shd w:val="clear" w:color="auto" w:fill="auto"/>
                  <w:vAlign w:val="center"/>
                </w:tcPr>
                <w:p w14:paraId="75F70563" w14:textId="77777777" w:rsidR="00692E71" w:rsidRPr="001E3185" w:rsidRDefault="00692E71" w:rsidP="008E0250">
                  <w:pPr>
                    <w:rPr>
                      <w:rFonts w:cs="Arial"/>
                      <w:bCs/>
                    </w:rPr>
                  </w:pPr>
                  <w:r w:rsidRPr="001E3185">
                    <w:rPr>
                      <w:rFonts w:cs="Arial"/>
                      <w:bCs/>
                    </w:rPr>
                    <w:t>Cypermethrin</w:t>
                  </w:r>
                </w:p>
              </w:tc>
              <w:tc>
                <w:tcPr>
                  <w:tcW w:w="1968" w:type="pct"/>
                  <w:shd w:val="clear" w:color="auto" w:fill="auto"/>
                  <w:vAlign w:val="center"/>
                </w:tcPr>
                <w:p w14:paraId="2096A885" w14:textId="77777777" w:rsidR="00692E71" w:rsidRPr="001E3185" w:rsidRDefault="00692E71" w:rsidP="008E0250">
                  <w:pPr>
                    <w:jc w:val="center"/>
                    <w:rPr>
                      <w:rFonts w:cs="Arial"/>
                      <w:bCs/>
                    </w:rPr>
                  </w:pPr>
                  <w:r w:rsidRPr="001E3185">
                    <w:rPr>
                      <w:rFonts w:cs="Arial"/>
                    </w:rPr>
                    <w:t>2.17E-07</w:t>
                  </w:r>
                </w:p>
              </w:tc>
              <w:tc>
                <w:tcPr>
                  <w:tcW w:w="1672" w:type="pct"/>
                  <w:shd w:val="clear" w:color="auto" w:fill="auto"/>
                  <w:vAlign w:val="bottom"/>
                </w:tcPr>
                <w:p w14:paraId="4ECBAC0A" w14:textId="77777777" w:rsidR="00692E71" w:rsidRPr="001E3185" w:rsidRDefault="00692E71" w:rsidP="008E0250">
                  <w:pPr>
                    <w:jc w:val="center"/>
                    <w:rPr>
                      <w:rFonts w:cs="Arial"/>
                      <w:bCs/>
                    </w:rPr>
                  </w:pPr>
                  <w:r w:rsidRPr="001E3185">
                    <w:rPr>
                      <w:rFonts w:cs="Arial"/>
                    </w:rPr>
                    <w:t>1.33E-07</w:t>
                  </w:r>
                </w:p>
              </w:tc>
            </w:tr>
            <w:tr w:rsidR="00692E71" w:rsidRPr="001E3185" w14:paraId="3DD57B06" w14:textId="77777777" w:rsidTr="008E0250">
              <w:trPr>
                <w:trHeight w:val="283"/>
              </w:trPr>
              <w:tc>
                <w:tcPr>
                  <w:tcW w:w="1360" w:type="pct"/>
                  <w:shd w:val="clear" w:color="auto" w:fill="auto"/>
                  <w:vAlign w:val="center"/>
                </w:tcPr>
                <w:p w14:paraId="21CD24FC" w14:textId="77777777" w:rsidR="00692E71" w:rsidRPr="001E3185" w:rsidRDefault="00692E71" w:rsidP="008E0250">
                  <w:pPr>
                    <w:rPr>
                      <w:rFonts w:cs="Arial"/>
                      <w:bCs/>
                    </w:rPr>
                  </w:pPr>
                  <w:r w:rsidRPr="001E3185">
                    <w:rPr>
                      <w:rFonts w:cs="Arial"/>
                      <w:bCs/>
                    </w:rPr>
                    <w:t>IPBC</w:t>
                  </w:r>
                </w:p>
              </w:tc>
              <w:tc>
                <w:tcPr>
                  <w:tcW w:w="1968" w:type="pct"/>
                  <w:shd w:val="clear" w:color="auto" w:fill="auto"/>
                  <w:vAlign w:val="center"/>
                </w:tcPr>
                <w:p w14:paraId="56108AB9" w14:textId="77777777" w:rsidR="00692E71" w:rsidRPr="001E3185" w:rsidRDefault="00692E71" w:rsidP="008E0250">
                  <w:pPr>
                    <w:jc w:val="center"/>
                    <w:rPr>
                      <w:rFonts w:cs="Arial"/>
                      <w:bCs/>
                    </w:rPr>
                  </w:pPr>
                  <w:r w:rsidRPr="001E3185">
                    <w:rPr>
                      <w:rFonts w:cs="Arial"/>
                    </w:rPr>
                    <w:t>1.04E-05</w:t>
                  </w:r>
                </w:p>
              </w:tc>
              <w:tc>
                <w:tcPr>
                  <w:tcW w:w="1672" w:type="pct"/>
                  <w:shd w:val="clear" w:color="auto" w:fill="auto"/>
                  <w:vAlign w:val="bottom"/>
                </w:tcPr>
                <w:p w14:paraId="53A6B75E" w14:textId="77777777" w:rsidR="00692E71" w:rsidRPr="001E3185" w:rsidRDefault="00692E71" w:rsidP="008E0250">
                  <w:pPr>
                    <w:jc w:val="center"/>
                    <w:rPr>
                      <w:rFonts w:cs="Arial"/>
                      <w:bCs/>
                    </w:rPr>
                  </w:pPr>
                  <w:r w:rsidRPr="001E3185">
                    <w:rPr>
                      <w:rFonts w:cs="Arial"/>
                    </w:rPr>
                    <w:t>2.37E-05</w:t>
                  </w:r>
                </w:p>
              </w:tc>
            </w:tr>
            <w:tr w:rsidR="00692E71" w:rsidRPr="001E3185" w14:paraId="1A307B37" w14:textId="77777777" w:rsidTr="008E0250">
              <w:trPr>
                <w:trHeight w:val="283"/>
              </w:trPr>
              <w:tc>
                <w:tcPr>
                  <w:tcW w:w="1360" w:type="pct"/>
                  <w:shd w:val="clear" w:color="auto" w:fill="auto"/>
                  <w:vAlign w:val="center"/>
                </w:tcPr>
                <w:p w14:paraId="41DD61E8" w14:textId="77777777" w:rsidR="00692E71" w:rsidRPr="001E3185" w:rsidRDefault="00692E71" w:rsidP="008E0250">
                  <w:pPr>
                    <w:rPr>
                      <w:rFonts w:cs="Arial"/>
                      <w:bCs/>
                    </w:rPr>
                  </w:pPr>
                  <w:r w:rsidRPr="001E3185">
                    <w:rPr>
                      <w:rFonts w:cs="Arial"/>
                      <w:bCs/>
                    </w:rPr>
                    <w:t>PBC</w:t>
                  </w:r>
                </w:p>
              </w:tc>
              <w:tc>
                <w:tcPr>
                  <w:tcW w:w="1968" w:type="pct"/>
                  <w:shd w:val="clear" w:color="auto" w:fill="auto"/>
                  <w:vAlign w:val="center"/>
                </w:tcPr>
                <w:p w14:paraId="6501DB1E" w14:textId="77777777" w:rsidR="00692E71" w:rsidRPr="001E3185" w:rsidRDefault="00692E71" w:rsidP="008E0250">
                  <w:pPr>
                    <w:jc w:val="center"/>
                    <w:rPr>
                      <w:rFonts w:cs="Arial"/>
                      <w:bCs/>
                    </w:rPr>
                  </w:pPr>
                  <w:r w:rsidRPr="001E3185">
                    <w:rPr>
                      <w:rFonts w:cs="Arial"/>
                    </w:rPr>
                    <w:t>5.78E-06</w:t>
                  </w:r>
                </w:p>
              </w:tc>
              <w:tc>
                <w:tcPr>
                  <w:tcW w:w="1672" w:type="pct"/>
                  <w:shd w:val="clear" w:color="auto" w:fill="auto"/>
                  <w:vAlign w:val="bottom"/>
                </w:tcPr>
                <w:p w14:paraId="134005F0" w14:textId="77777777" w:rsidR="00692E71" w:rsidRPr="001E3185" w:rsidRDefault="00692E71" w:rsidP="008E0250">
                  <w:pPr>
                    <w:jc w:val="center"/>
                    <w:rPr>
                      <w:rFonts w:cs="Arial"/>
                      <w:bCs/>
                    </w:rPr>
                  </w:pPr>
                  <w:r w:rsidRPr="001E3185">
                    <w:rPr>
                      <w:rFonts w:cs="Arial"/>
                    </w:rPr>
                    <w:t>1.31E-05</w:t>
                  </w:r>
                </w:p>
              </w:tc>
            </w:tr>
            <w:tr w:rsidR="00692E71" w:rsidRPr="001E3185" w14:paraId="16259E47" w14:textId="77777777" w:rsidTr="008E0250">
              <w:trPr>
                <w:trHeight w:val="283"/>
              </w:trPr>
              <w:tc>
                <w:tcPr>
                  <w:tcW w:w="1360" w:type="pct"/>
                  <w:shd w:val="clear" w:color="auto" w:fill="auto"/>
                  <w:vAlign w:val="center"/>
                </w:tcPr>
                <w:p w14:paraId="50F3BB34" w14:textId="77777777" w:rsidR="00692E71" w:rsidRPr="001E3185" w:rsidRDefault="00692E71" w:rsidP="008E0250">
                  <w:pPr>
                    <w:rPr>
                      <w:rFonts w:cs="Arial"/>
                      <w:b/>
                      <w:bCs/>
                    </w:rPr>
                  </w:pPr>
                  <w:r w:rsidRPr="001E3185">
                    <w:rPr>
                      <w:rFonts w:cs="Arial"/>
                      <w:b/>
                      <w:lang w:eastAsia="en-GB"/>
                    </w:rPr>
                    <w:t>PEC/PNEC</w:t>
                  </w:r>
                </w:p>
              </w:tc>
              <w:tc>
                <w:tcPr>
                  <w:tcW w:w="1968" w:type="pct"/>
                  <w:shd w:val="clear" w:color="auto" w:fill="auto"/>
                  <w:vAlign w:val="center"/>
                </w:tcPr>
                <w:p w14:paraId="3161AC02" w14:textId="77777777" w:rsidR="00692E71" w:rsidRPr="001E3185" w:rsidRDefault="00692E71" w:rsidP="008E0250">
                  <w:pPr>
                    <w:jc w:val="center"/>
                    <w:rPr>
                      <w:rFonts w:cs="Arial"/>
                      <w:bCs/>
                    </w:rPr>
                  </w:pPr>
                </w:p>
              </w:tc>
              <w:tc>
                <w:tcPr>
                  <w:tcW w:w="1672" w:type="pct"/>
                  <w:shd w:val="clear" w:color="auto" w:fill="auto"/>
                  <w:vAlign w:val="bottom"/>
                </w:tcPr>
                <w:p w14:paraId="0B1094B5" w14:textId="77777777" w:rsidR="00692E71" w:rsidRPr="001E3185" w:rsidRDefault="00692E71" w:rsidP="008E0250">
                  <w:pPr>
                    <w:jc w:val="center"/>
                    <w:rPr>
                      <w:rFonts w:cs="Arial"/>
                      <w:bCs/>
                    </w:rPr>
                  </w:pPr>
                  <w:r w:rsidRPr="001E3185">
                    <w:rPr>
                      <w:rFonts w:cs="Arial"/>
                    </w:rPr>
                    <w:t>8.43E-05</w:t>
                  </w:r>
                </w:p>
              </w:tc>
            </w:tr>
          </w:tbl>
          <w:p w14:paraId="3C35B7F3" w14:textId="77777777" w:rsidR="00692E71" w:rsidRPr="001E3185" w:rsidRDefault="00692E71" w:rsidP="008E0250">
            <w:pPr>
              <w:autoSpaceDE w:val="0"/>
              <w:autoSpaceDN w:val="0"/>
              <w:spacing w:after="60"/>
              <w:ind w:right="142"/>
              <w:rPr>
                <w:rFonts w:cs="Arial"/>
              </w:rPr>
            </w:pPr>
          </w:p>
          <w:p w14:paraId="73DEBAEB" w14:textId="77777777" w:rsidR="00692E71" w:rsidRPr="001E3185" w:rsidRDefault="00692E71" w:rsidP="008E0250">
            <w:pPr>
              <w:autoSpaceDE w:val="0"/>
              <w:autoSpaceDN w:val="0"/>
              <w:spacing w:after="60"/>
              <w:ind w:right="142"/>
              <w:rPr>
                <w:rFonts w:cs="Arial"/>
              </w:rPr>
            </w:pPr>
          </w:p>
          <w:p w14:paraId="42B5BAD0" w14:textId="77777777" w:rsidR="00692E71" w:rsidRPr="001E3185" w:rsidRDefault="00692E71" w:rsidP="008E0250">
            <w:pPr>
              <w:autoSpaceDE w:val="0"/>
              <w:autoSpaceDN w:val="0"/>
              <w:rPr>
                <w:rFonts w:cs="Arial"/>
                <w:lang w:eastAsia="en-GB"/>
              </w:rPr>
            </w:pPr>
            <w:r w:rsidRPr="001E3185">
              <w:rPr>
                <w:rFonts w:cs="Arial"/>
                <w:lang w:eastAsia="en-GB"/>
              </w:rPr>
              <w:t>Considering that all PEC/PNEC ratios and aggregated PEC/PNEC ratios for STP are below 1, the risk for the STP is considered acceptable.</w:t>
            </w:r>
          </w:p>
          <w:p w14:paraId="50CC97B3" w14:textId="77777777" w:rsidR="00692E71" w:rsidRPr="001E3185" w:rsidRDefault="00692E71" w:rsidP="008E0250">
            <w:pPr>
              <w:autoSpaceDE w:val="0"/>
              <w:autoSpaceDN w:val="0"/>
              <w:spacing w:after="60"/>
              <w:ind w:right="142"/>
              <w:rPr>
                <w:rFonts w:cs="Arial"/>
              </w:rPr>
            </w:pPr>
          </w:p>
          <w:p w14:paraId="53E49B92" w14:textId="77777777" w:rsidR="00692E71" w:rsidRPr="001E3185" w:rsidRDefault="00692E71" w:rsidP="008E0250">
            <w:pPr>
              <w:autoSpaceDE w:val="0"/>
              <w:autoSpaceDN w:val="0"/>
              <w:spacing w:after="60"/>
              <w:ind w:right="142"/>
              <w:rPr>
                <w:rFonts w:cs="Arial"/>
              </w:rPr>
            </w:pPr>
            <w:r w:rsidRPr="001E3185">
              <w:rPr>
                <w:rFonts w:cs="Arial"/>
                <w:lang w:eastAsia="en-GB"/>
              </w:rPr>
              <w:t>The risk characterisation for indirect releases via STP to the aquatic compartment including sediment has been performed considering PEC calculated for the noise barrier scenario, and compared to PNEC</w:t>
            </w:r>
            <w:r w:rsidRPr="001E3185">
              <w:rPr>
                <w:rFonts w:cs="Arial"/>
                <w:vertAlign w:val="subscript"/>
                <w:lang w:eastAsia="en-GB"/>
              </w:rPr>
              <w:t>water</w:t>
            </w:r>
            <w:r w:rsidRPr="001E3185">
              <w:rPr>
                <w:rFonts w:cs="Arial"/>
                <w:lang w:eastAsia="en-GB"/>
              </w:rPr>
              <w:t xml:space="preserve"> and PNEC</w:t>
            </w:r>
            <w:r w:rsidRPr="001E3185">
              <w:rPr>
                <w:rFonts w:cs="Arial"/>
                <w:vertAlign w:val="subscript"/>
                <w:lang w:eastAsia="en-GB"/>
              </w:rPr>
              <w:t>sediment</w:t>
            </w:r>
            <w:r w:rsidRPr="001E3185">
              <w:rPr>
                <w:rFonts w:cs="Arial"/>
                <w:lang w:eastAsia="en-GB"/>
              </w:rPr>
              <w:t xml:space="preserve"> of each active substance for the service life of the treated wood.</w:t>
            </w:r>
          </w:p>
          <w:p w14:paraId="04311F50" w14:textId="77777777" w:rsidR="00692E71" w:rsidRPr="001E3185" w:rsidRDefault="00692E71" w:rsidP="008E0250">
            <w:pPr>
              <w:autoSpaceDE w:val="0"/>
              <w:autoSpaceDN w:val="0"/>
              <w:spacing w:after="60"/>
              <w:ind w:right="142"/>
              <w:rPr>
                <w:rFonts w:cs="Arial"/>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tblGrid>
            <w:tr w:rsidR="00692E71" w:rsidRPr="001E3185" w14:paraId="4B29B843" w14:textId="77777777" w:rsidTr="008E0250">
              <w:tc>
                <w:tcPr>
                  <w:tcW w:w="5000" w:type="pct"/>
                  <w:shd w:val="clear" w:color="auto" w:fill="auto"/>
                </w:tcPr>
                <w:p w14:paraId="6B8AE96C" w14:textId="77777777" w:rsidR="00692E71" w:rsidRPr="001E3185" w:rsidRDefault="00692E71" w:rsidP="008E0250">
                  <w:pPr>
                    <w:autoSpaceDE w:val="0"/>
                    <w:autoSpaceDN w:val="0"/>
                    <w:ind w:right="142"/>
                    <w:jc w:val="center"/>
                    <w:rPr>
                      <w:rFonts w:cs="Arial"/>
                      <w:b/>
                    </w:rPr>
                  </w:pPr>
                  <w:r w:rsidRPr="001E3185">
                    <w:rPr>
                      <w:rFonts w:cs="Arial"/>
                      <w:b/>
                      <w:bCs/>
                      <w:iCs/>
                    </w:rPr>
                    <w:t>Wood-in-service – Noise barrier - Treated wood in service only</w:t>
                  </w:r>
                </w:p>
              </w:tc>
            </w:tr>
          </w:tbl>
          <w:p w14:paraId="1A8ECF10" w14:textId="77777777" w:rsidR="00692E71" w:rsidRPr="001E3185" w:rsidRDefault="00692E71" w:rsidP="008E0250">
            <w:pPr>
              <w:rPr>
                <w:rFonts w:cs="Arial"/>
                <w:vanish/>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685"/>
              <w:gridCol w:w="3131"/>
            </w:tblGrid>
            <w:tr w:rsidR="00692E71" w:rsidRPr="001E3185" w14:paraId="6A767F70" w14:textId="77777777" w:rsidTr="008E0250">
              <w:trPr>
                <w:trHeight w:val="283"/>
              </w:trPr>
              <w:tc>
                <w:tcPr>
                  <w:tcW w:w="5000" w:type="pct"/>
                  <w:gridSpan w:val="3"/>
                  <w:shd w:val="clear" w:color="auto" w:fill="auto"/>
                  <w:vAlign w:val="center"/>
                </w:tcPr>
                <w:p w14:paraId="73AA61CA" w14:textId="77777777" w:rsidR="00692E71" w:rsidRPr="001E3185" w:rsidRDefault="00692E71" w:rsidP="008E0250">
                  <w:pPr>
                    <w:jc w:val="center"/>
                    <w:rPr>
                      <w:rFonts w:cs="Arial"/>
                      <w:b/>
                    </w:rPr>
                  </w:pPr>
                  <w:r w:rsidRPr="001E3185">
                    <w:rPr>
                      <w:rFonts w:cs="Arial"/>
                      <w:b/>
                    </w:rPr>
                    <w:t>Noise barrier -</w:t>
                  </w:r>
                  <w:r w:rsidRPr="001E3185">
                    <w:rPr>
                      <w:rFonts w:cs="Arial"/>
                      <w:b/>
                      <w:bCs/>
                      <w:iCs/>
                    </w:rPr>
                    <w:t xml:space="preserve"> Treated wood in service only – Industrial &amp; </w:t>
                  </w:r>
                  <w:r w:rsidRPr="001E3185">
                    <w:rPr>
                      <w:rFonts w:cs="Arial"/>
                      <w:b/>
                      <w:bCs/>
                      <w:i/>
                      <w:iCs/>
                    </w:rPr>
                    <w:t>In situ</w:t>
                  </w:r>
                  <w:r w:rsidRPr="001E3185">
                    <w:rPr>
                      <w:rFonts w:cs="Arial"/>
                      <w:b/>
                      <w:bCs/>
                      <w:iCs/>
                    </w:rPr>
                    <w:t xml:space="preserve"> application</w:t>
                  </w:r>
                </w:p>
              </w:tc>
            </w:tr>
            <w:tr w:rsidR="00692E71" w:rsidRPr="001E3185" w14:paraId="72C6DF2B" w14:textId="77777777" w:rsidTr="008E0250">
              <w:trPr>
                <w:trHeight w:val="283"/>
              </w:trPr>
              <w:tc>
                <w:tcPr>
                  <w:tcW w:w="1467" w:type="pct"/>
                  <w:shd w:val="clear" w:color="auto" w:fill="auto"/>
                  <w:vAlign w:val="center"/>
                </w:tcPr>
                <w:p w14:paraId="5F03CBAB" w14:textId="77777777" w:rsidR="00692E71" w:rsidRPr="001E3185" w:rsidRDefault="00692E71" w:rsidP="008E0250">
                  <w:pPr>
                    <w:jc w:val="center"/>
                    <w:rPr>
                      <w:rFonts w:cs="Arial"/>
                      <w:b/>
                      <w:sz w:val="18"/>
                      <w:szCs w:val="18"/>
                      <w:lang w:eastAsia="en-GB"/>
                    </w:rPr>
                  </w:pPr>
                  <w:r w:rsidRPr="001E3185">
                    <w:rPr>
                      <w:rFonts w:cs="Arial"/>
                      <w:b/>
                      <w:sz w:val="18"/>
                      <w:szCs w:val="18"/>
                      <w:lang w:eastAsia="en-GB"/>
                    </w:rPr>
                    <w:t>SURFACE WATER</w:t>
                  </w:r>
                </w:p>
                <w:p w14:paraId="2FA9531D" w14:textId="77777777" w:rsidR="00692E71" w:rsidRPr="001E3185" w:rsidRDefault="00692E71" w:rsidP="008E0250">
                  <w:pPr>
                    <w:jc w:val="center"/>
                    <w:rPr>
                      <w:rFonts w:cs="Arial"/>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0DE639E8"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1) [mg.L</w:t>
                  </w:r>
                  <w:r w:rsidRPr="001E3185">
                    <w:rPr>
                      <w:rFonts w:cs="Arial"/>
                      <w:b/>
                      <w:vertAlign w:val="superscript"/>
                    </w:rPr>
                    <w:t>-1</w:t>
                  </w:r>
                  <w:r w:rsidRPr="001E3185">
                    <w:rPr>
                      <w:rFonts w:cs="Arial"/>
                      <w:b/>
                    </w:rPr>
                    <w:t>]</w:t>
                  </w:r>
                </w:p>
              </w:tc>
              <w:tc>
                <w:tcPr>
                  <w:tcW w:w="1623" w:type="pct"/>
                  <w:shd w:val="clear" w:color="auto" w:fill="auto"/>
                  <w:vAlign w:val="center"/>
                </w:tcPr>
                <w:p w14:paraId="54483FDD" w14:textId="77777777" w:rsidR="00692E71" w:rsidRPr="001E3185" w:rsidRDefault="00692E71" w:rsidP="008E0250">
                  <w:pPr>
                    <w:jc w:val="center"/>
                    <w:rPr>
                      <w:rFonts w:cs="Arial"/>
                    </w:rPr>
                  </w:pPr>
                  <w:r w:rsidRPr="001E3185">
                    <w:rPr>
                      <w:rFonts w:cs="Arial"/>
                      <w:b/>
                    </w:rPr>
                    <w:t>PEC/PNEC</w:t>
                  </w:r>
                </w:p>
              </w:tc>
            </w:tr>
            <w:tr w:rsidR="00692E71" w:rsidRPr="001E3185" w14:paraId="30C481C0" w14:textId="77777777" w:rsidTr="008E0250">
              <w:trPr>
                <w:trHeight w:val="283"/>
              </w:trPr>
              <w:tc>
                <w:tcPr>
                  <w:tcW w:w="1467" w:type="pct"/>
                  <w:shd w:val="clear" w:color="auto" w:fill="auto"/>
                  <w:vAlign w:val="center"/>
                </w:tcPr>
                <w:p w14:paraId="526C6550" w14:textId="77777777" w:rsidR="00692E71" w:rsidRPr="001E3185" w:rsidRDefault="00692E71" w:rsidP="008E0250">
                  <w:pPr>
                    <w:rPr>
                      <w:rFonts w:cs="Arial"/>
                      <w:bCs/>
                    </w:rPr>
                  </w:pPr>
                  <w:r w:rsidRPr="001E3185">
                    <w:rPr>
                      <w:rFonts w:cs="Arial"/>
                      <w:bCs/>
                    </w:rPr>
                    <w:t>Tebuconazole</w:t>
                  </w:r>
                </w:p>
              </w:tc>
              <w:tc>
                <w:tcPr>
                  <w:tcW w:w="1910" w:type="pct"/>
                  <w:shd w:val="clear" w:color="auto" w:fill="auto"/>
                  <w:vAlign w:val="bottom"/>
                </w:tcPr>
                <w:p w14:paraId="23778F19" w14:textId="77777777" w:rsidR="00692E71" w:rsidRPr="001E3185" w:rsidRDefault="00692E71" w:rsidP="008E0250">
                  <w:pPr>
                    <w:jc w:val="center"/>
                    <w:rPr>
                      <w:rFonts w:cs="Arial"/>
                    </w:rPr>
                  </w:pPr>
                  <w:r w:rsidRPr="001E3185">
                    <w:rPr>
                      <w:rFonts w:cs="Arial"/>
                    </w:rPr>
                    <w:t>2.73E-02</w:t>
                  </w:r>
                </w:p>
              </w:tc>
              <w:tc>
                <w:tcPr>
                  <w:tcW w:w="1623" w:type="pct"/>
                  <w:shd w:val="clear" w:color="auto" w:fill="auto"/>
                  <w:vAlign w:val="bottom"/>
                </w:tcPr>
                <w:p w14:paraId="3CB96E2D" w14:textId="77777777" w:rsidR="00692E71" w:rsidRPr="001E3185" w:rsidRDefault="00692E71" w:rsidP="008E0250">
                  <w:pPr>
                    <w:jc w:val="center"/>
                    <w:rPr>
                      <w:rFonts w:cs="Arial"/>
                    </w:rPr>
                  </w:pPr>
                  <w:r w:rsidRPr="001E3185">
                    <w:rPr>
                      <w:rFonts w:cs="Arial"/>
                    </w:rPr>
                    <w:t>2.73E-02</w:t>
                  </w:r>
                </w:p>
              </w:tc>
            </w:tr>
            <w:tr w:rsidR="00692E71" w:rsidRPr="001E3185" w14:paraId="17B8EC81" w14:textId="77777777" w:rsidTr="008E0250">
              <w:trPr>
                <w:trHeight w:val="283"/>
              </w:trPr>
              <w:tc>
                <w:tcPr>
                  <w:tcW w:w="1467" w:type="pct"/>
                  <w:shd w:val="clear" w:color="auto" w:fill="auto"/>
                  <w:vAlign w:val="center"/>
                </w:tcPr>
                <w:p w14:paraId="7DB26E93" w14:textId="77777777" w:rsidR="00692E71" w:rsidRPr="001E3185" w:rsidRDefault="00692E71" w:rsidP="008E0250">
                  <w:pPr>
                    <w:rPr>
                      <w:rFonts w:cs="Arial"/>
                      <w:bCs/>
                    </w:rPr>
                  </w:pPr>
                  <w:r w:rsidRPr="001E3185">
                    <w:rPr>
                      <w:rFonts w:cs="Arial"/>
                      <w:bCs/>
                    </w:rPr>
                    <w:t>Propiconazole</w:t>
                  </w:r>
                </w:p>
              </w:tc>
              <w:tc>
                <w:tcPr>
                  <w:tcW w:w="1910" w:type="pct"/>
                  <w:shd w:val="clear" w:color="auto" w:fill="auto"/>
                  <w:vAlign w:val="bottom"/>
                </w:tcPr>
                <w:p w14:paraId="4148F6B6" w14:textId="77777777" w:rsidR="00692E71" w:rsidRPr="001E3185" w:rsidRDefault="00692E71" w:rsidP="008E0250">
                  <w:pPr>
                    <w:jc w:val="center"/>
                    <w:rPr>
                      <w:rFonts w:cs="Arial"/>
                    </w:rPr>
                  </w:pPr>
                  <w:r w:rsidRPr="001E3185">
                    <w:rPr>
                      <w:rFonts w:cs="Arial"/>
                    </w:rPr>
                    <w:t>6.28E-02</w:t>
                  </w:r>
                </w:p>
              </w:tc>
              <w:tc>
                <w:tcPr>
                  <w:tcW w:w="1623" w:type="pct"/>
                  <w:shd w:val="clear" w:color="auto" w:fill="auto"/>
                  <w:vAlign w:val="bottom"/>
                </w:tcPr>
                <w:p w14:paraId="272D80F5" w14:textId="77777777" w:rsidR="00692E71" w:rsidRPr="001E3185" w:rsidRDefault="00692E71" w:rsidP="008E0250">
                  <w:pPr>
                    <w:jc w:val="center"/>
                    <w:rPr>
                      <w:rFonts w:cs="Arial"/>
                    </w:rPr>
                  </w:pPr>
                  <w:r w:rsidRPr="001E3185">
                    <w:rPr>
                      <w:rFonts w:cs="Arial"/>
                    </w:rPr>
                    <w:t>9.23E-03</w:t>
                  </w:r>
                </w:p>
              </w:tc>
            </w:tr>
            <w:tr w:rsidR="00692E71" w:rsidRPr="001E3185" w14:paraId="2C79F128" w14:textId="77777777" w:rsidTr="008E0250">
              <w:trPr>
                <w:trHeight w:val="283"/>
              </w:trPr>
              <w:tc>
                <w:tcPr>
                  <w:tcW w:w="1467" w:type="pct"/>
                  <w:shd w:val="clear" w:color="auto" w:fill="auto"/>
                  <w:vAlign w:val="center"/>
                </w:tcPr>
                <w:p w14:paraId="2C55DEDD" w14:textId="77777777" w:rsidR="00692E71" w:rsidRPr="001E3185" w:rsidRDefault="00692E71" w:rsidP="008E0250">
                  <w:pPr>
                    <w:rPr>
                      <w:rFonts w:cs="Arial"/>
                      <w:bCs/>
                    </w:rPr>
                  </w:pPr>
                  <w:r w:rsidRPr="001E3185">
                    <w:rPr>
                      <w:rFonts w:cs="Arial"/>
                      <w:bCs/>
                    </w:rPr>
                    <w:t>Cypermethrin</w:t>
                  </w:r>
                </w:p>
              </w:tc>
              <w:tc>
                <w:tcPr>
                  <w:tcW w:w="1910" w:type="pct"/>
                  <w:shd w:val="clear" w:color="auto" w:fill="auto"/>
                  <w:vAlign w:val="bottom"/>
                </w:tcPr>
                <w:p w14:paraId="7553A17E" w14:textId="77777777" w:rsidR="00692E71" w:rsidRPr="001E3185" w:rsidRDefault="00692E71" w:rsidP="008E0250">
                  <w:pPr>
                    <w:jc w:val="center"/>
                    <w:rPr>
                      <w:rFonts w:cs="Arial"/>
                    </w:rPr>
                  </w:pPr>
                  <w:r w:rsidRPr="001E3185">
                    <w:rPr>
                      <w:rFonts w:cs="Arial"/>
                    </w:rPr>
                    <w:t>1.45E-05</w:t>
                  </w:r>
                </w:p>
              </w:tc>
              <w:tc>
                <w:tcPr>
                  <w:tcW w:w="1623" w:type="pct"/>
                  <w:shd w:val="clear" w:color="auto" w:fill="auto"/>
                  <w:vAlign w:val="bottom"/>
                </w:tcPr>
                <w:p w14:paraId="24675D7B" w14:textId="77777777" w:rsidR="00692E71" w:rsidRPr="001E3185" w:rsidRDefault="00692E71" w:rsidP="008E0250">
                  <w:pPr>
                    <w:jc w:val="center"/>
                    <w:rPr>
                      <w:rFonts w:cs="Arial"/>
                    </w:rPr>
                  </w:pPr>
                  <w:r w:rsidRPr="001E3185">
                    <w:rPr>
                      <w:rFonts w:cs="Arial"/>
                    </w:rPr>
                    <w:t>3.62E-03</w:t>
                  </w:r>
                </w:p>
              </w:tc>
            </w:tr>
            <w:tr w:rsidR="00692E71" w:rsidRPr="001E3185" w14:paraId="615E17B0" w14:textId="77777777" w:rsidTr="008E0250">
              <w:trPr>
                <w:trHeight w:val="283"/>
              </w:trPr>
              <w:tc>
                <w:tcPr>
                  <w:tcW w:w="1467" w:type="pct"/>
                  <w:shd w:val="clear" w:color="auto" w:fill="auto"/>
                  <w:vAlign w:val="center"/>
                </w:tcPr>
                <w:p w14:paraId="5D254B38" w14:textId="77777777" w:rsidR="00692E71" w:rsidRPr="001E3185" w:rsidRDefault="00692E71" w:rsidP="008E0250">
                  <w:pPr>
                    <w:rPr>
                      <w:rFonts w:cs="Arial"/>
                      <w:bCs/>
                    </w:rPr>
                  </w:pPr>
                  <w:r w:rsidRPr="001E3185">
                    <w:rPr>
                      <w:rFonts w:cs="Arial"/>
                      <w:bCs/>
                    </w:rPr>
                    <w:t>PBC</w:t>
                  </w:r>
                </w:p>
              </w:tc>
              <w:tc>
                <w:tcPr>
                  <w:tcW w:w="1910" w:type="pct"/>
                  <w:shd w:val="clear" w:color="auto" w:fill="auto"/>
                  <w:vAlign w:val="bottom"/>
                </w:tcPr>
                <w:p w14:paraId="7AC38C51" w14:textId="77777777" w:rsidR="00692E71" w:rsidRPr="001E3185" w:rsidRDefault="00692E71" w:rsidP="008E0250">
                  <w:pPr>
                    <w:jc w:val="center"/>
                    <w:rPr>
                      <w:rFonts w:cs="Arial"/>
                    </w:rPr>
                  </w:pPr>
                  <w:r w:rsidRPr="001E3185">
                    <w:rPr>
                      <w:rFonts w:cs="Arial"/>
                    </w:rPr>
                    <w:t>9.42E-03</w:t>
                  </w:r>
                </w:p>
              </w:tc>
              <w:tc>
                <w:tcPr>
                  <w:tcW w:w="1623" w:type="pct"/>
                  <w:shd w:val="clear" w:color="auto" w:fill="auto"/>
                  <w:vAlign w:val="bottom"/>
                </w:tcPr>
                <w:p w14:paraId="3AEAEB9F" w14:textId="77777777" w:rsidR="00692E71" w:rsidRPr="001E3185" w:rsidRDefault="00692E71" w:rsidP="008E0250">
                  <w:pPr>
                    <w:jc w:val="center"/>
                    <w:rPr>
                      <w:rFonts w:cs="Arial"/>
                    </w:rPr>
                  </w:pPr>
                  <w:r w:rsidRPr="001E3185">
                    <w:rPr>
                      <w:rFonts w:cs="Arial"/>
                    </w:rPr>
                    <w:t>2.28E-04</w:t>
                  </w:r>
                </w:p>
              </w:tc>
            </w:tr>
            <w:tr w:rsidR="00692E71" w:rsidRPr="001E3185" w14:paraId="1A6DF0E9" w14:textId="77777777" w:rsidTr="008E0250">
              <w:trPr>
                <w:trHeight w:val="283"/>
              </w:trPr>
              <w:tc>
                <w:tcPr>
                  <w:tcW w:w="1467" w:type="pct"/>
                  <w:shd w:val="clear" w:color="auto" w:fill="auto"/>
                  <w:vAlign w:val="center"/>
                </w:tcPr>
                <w:p w14:paraId="71BFAE79"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bottom"/>
                </w:tcPr>
                <w:p w14:paraId="61955B9B" w14:textId="77777777" w:rsidR="00692E71" w:rsidRPr="001E3185" w:rsidRDefault="00692E71" w:rsidP="008E0250">
                  <w:pPr>
                    <w:jc w:val="center"/>
                    <w:rPr>
                      <w:rFonts w:cs="Arial"/>
                    </w:rPr>
                  </w:pPr>
                </w:p>
              </w:tc>
              <w:tc>
                <w:tcPr>
                  <w:tcW w:w="1623" w:type="pct"/>
                  <w:shd w:val="clear" w:color="auto" w:fill="auto"/>
                  <w:vAlign w:val="bottom"/>
                </w:tcPr>
                <w:p w14:paraId="39E828B1" w14:textId="77777777" w:rsidR="00692E71" w:rsidRPr="001E3185" w:rsidRDefault="00692E71" w:rsidP="008E0250">
                  <w:pPr>
                    <w:jc w:val="center"/>
                    <w:rPr>
                      <w:rFonts w:cs="Arial"/>
                    </w:rPr>
                  </w:pPr>
                  <w:r w:rsidRPr="001E3185">
                    <w:rPr>
                      <w:rFonts w:cs="Arial"/>
                    </w:rPr>
                    <w:t>4.04E-02</w:t>
                  </w:r>
                </w:p>
              </w:tc>
            </w:tr>
            <w:tr w:rsidR="00692E71" w:rsidRPr="001E3185" w14:paraId="0ECAE264" w14:textId="77777777" w:rsidTr="008E0250">
              <w:trPr>
                <w:trHeight w:val="283"/>
              </w:trPr>
              <w:tc>
                <w:tcPr>
                  <w:tcW w:w="1467" w:type="pct"/>
                  <w:shd w:val="clear" w:color="auto" w:fill="auto"/>
                  <w:vAlign w:val="center"/>
                </w:tcPr>
                <w:p w14:paraId="06BFCF9F" w14:textId="77777777" w:rsidR="00692E71" w:rsidRPr="001E3185" w:rsidRDefault="00692E71" w:rsidP="008E0250">
                  <w:pPr>
                    <w:jc w:val="center"/>
                    <w:rPr>
                      <w:rFonts w:cs="Arial"/>
                      <w:b/>
                      <w:iCs/>
                      <w:sz w:val="18"/>
                      <w:szCs w:val="18"/>
                    </w:rPr>
                  </w:pPr>
                  <w:r w:rsidRPr="001E3185">
                    <w:rPr>
                      <w:rFonts w:cs="Arial"/>
                      <w:b/>
                      <w:iCs/>
                      <w:sz w:val="18"/>
                      <w:szCs w:val="18"/>
                    </w:rPr>
                    <w:t>SEDIMENT</w:t>
                  </w:r>
                </w:p>
                <w:p w14:paraId="078CCA5A" w14:textId="77777777" w:rsidR="00692E71" w:rsidRPr="001E3185" w:rsidRDefault="00692E71" w:rsidP="008E0250">
                  <w:pPr>
                    <w:jc w:val="center"/>
                    <w:rPr>
                      <w:rFonts w:cs="Arial"/>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3F3B8C07"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1) [mg.L</w:t>
                  </w:r>
                  <w:r w:rsidRPr="001E3185">
                    <w:rPr>
                      <w:rFonts w:cs="Arial"/>
                      <w:b/>
                      <w:vertAlign w:val="superscript"/>
                    </w:rPr>
                    <w:t>-1</w:t>
                  </w:r>
                  <w:r w:rsidRPr="001E3185">
                    <w:rPr>
                      <w:rFonts w:cs="Arial"/>
                      <w:b/>
                    </w:rPr>
                    <w:t>]</w:t>
                  </w:r>
                </w:p>
              </w:tc>
              <w:tc>
                <w:tcPr>
                  <w:tcW w:w="1623" w:type="pct"/>
                  <w:shd w:val="clear" w:color="auto" w:fill="auto"/>
                  <w:vAlign w:val="center"/>
                </w:tcPr>
                <w:p w14:paraId="6A77BE42" w14:textId="77777777" w:rsidR="00692E71" w:rsidRPr="001E3185" w:rsidRDefault="00692E71" w:rsidP="008E0250">
                  <w:pPr>
                    <w:jc w:val="center"/>
                    <w:rPr>
                      <w:rFonts w:cs="Arial"/>
                    </w:rPr>
                  </w:pPr>
                  <w:r w:rsidRPr="001E3185">
                    <w:rPr>
                      <w:rFonts w:cs="Arial"/>
                      <w:b/>
                    </w:rPr>
                    <w:t>PEC/PNEC</w:t>
                  </w:r>
                </w:p>
              </w:tc>
            </w:tr>
            <w:tr w:rsidR="00692E71" w:rsidRPr="001E3185" w14:paraId="539E81E0" w14:textId="77777777" w:rsidTr="008E0250">
              <w:trPr>
                <w:trHeight w:val="283"/>
              </w:trPr>
              <w:tc>
                <w:tcPr>
                  <w:tcW w:w="1467" w:type="pct"/>
                  <w:shd w:val="clear" w:color="auto" w:fill="auto"/>
                  <w:vAlign w:val="center"/>
                </w:tcPr>
                <w:p w14:paraId="185BC5D6" w14:textId="77777777" w:rsidR="00692E71" w:rsidRPr="001E3185" w:rsidRDefault="00692E71" w:rsidP="008E0250">
                  <w:pPr>
                    <w:rPr>
                      <w:rFonts w:cs="Arial"/>
                      <w:bCs/>
                    </w:rPr>
                  </w:pPr>
                  <w:r w:rsidRPr="001E3185">
                    <w:rPr>
                      <w:rFonts w:cs="Arial"/>
                      <w:bCs/>
                    </w:rPr>
                    <w:t>Tebuconazole</w:t>
                  </w:r>
                </w:p>
              </w:tc>
              <w:tc>
                <w:tcPr>
                  <w:tcW w:w="1910" w:type="pct"/>
                  <w:shd w:val="clear" w:color="auto" w:fill="auto"/>
                  <w:vAlign w:val="bottom"/>
                </w:tcPr>
                <w:p w14:paraId="13C15C5D" w14:textId="77777777" w:rsidR="00692E71" w:rsidRPr="001E3185" w:rsidRDefault="00692E71" w:rsidP="008E0250">
                  <w:pPr>
                    <w:jc w:val="center"/>
                    <w:rPr>
                      <w:rFonts w:cs="Arial"/>
                    </w:rPr>
                  </w:pPr>
                  <w:r w:rsidRPr="001E3185">
                    <w:rPr>
                      <w:rFonts w:cs="Arial"/>
                    </w:rPr>
                    <w:t>6.11E-04</w:t>
                  </w:r>
                </w:p>
              </w:tc>
              <w:tc>
                <w:tcPr>
                  <w:tcW w:w="1623" w:type="pct"/>
                  <w:shd w:val="clear" w:color="auto" w:fill="auto"/>
                  <w:vAlign w:val="bottom"/>
                </w:tcPr>
                <w:p w14:paraId="7C012968" w14:textId="77777777" w:rsidR="00692E71" w:rsidRPr="001E3185" w:rsidRDefault="00692E71" w:rsidP="008E0250">
                  <w:pPr>
                    <w:jc w:val="center"/>
                    <w:rPr>
                      <w:rFonts w:cs="Arial"/>
                    </w:rPr>
                  </w:pPr>
                  <w:r w:rsidRPr="001E3185">
                    <w:rPr>
                      <w:rFonts w:cs="Arial"/>
                    </w:rPr>
                    <w:t>1.11E-03</w:t>
                  </w:r>
                </w:p>
              </w:tc>
            </w:tr>
            <w:tr w:rsidR="00692E71" w:rsidRPr="001E3185" w14:paraId="0ACBE797" w14:textId="77777777" w:rsidTr="008E0250">
              <w:trPr>
                <w:trHeight w:val="283"/>
              </w:trPr>
              <w:tc>
                <w:tcPr>
                  <w:tcW w:w="1467" w:type="pct"/>
                  <w:shd w:val="clear" w:color="auto" w:fill="auto"/>
                  <w:vAlign w:val="center"/>
                </w:tcPr>
                <w:p w14:paraId="02E95B66" w14:textId="77777777" w:rsidR="00692E71" w:rsidRPr="001E3185" w:rsidRDefault="00692E71" w:rsidP="008E0250">
                  <w:pPr>
                    <w:rPr>
                      <w:rFonts w:cs="Arial"/>
                      <w:bCs/>
                    </w:rPr>
                  </w:pPr>
                  <w:r w:rsidRPr="001E3185">
                    <w:rPr>
                      <w:rFonts w:cs="Arial"/>
                      <w:bCs/>
                    </w:rPr>
                    <w:t>Propiconazole</w:t>
                  </w:r>
                </w:p>
              </w:tc>
              <w:tc>
                <w:tcPr>
                  <w:tcW w:w="1910" w:type="pct"/>
                  <w:shd w:val="clear" w:color="auto" w:fill="auto"/>
                  <w:vAlign w:val="bottom"/>
                </w:tcPr>
                <w:p w14:paraId="4D64168B" w14:textId="77777777" w:rsidR="00692E71" w:rsidRPr="001E3185" w:rsidRDefault="00692E71" w:rsidP="008E0250">
                  <w:pPr>
                    <w:jc w:val="center"/>
                    <w:rPr>
                      <w:rFonts w:cs="Arial"/>
                    </w:rPr>
                  </w:pPr>
                  <w:r w:rsidRPr="001E3185">
                    <w:rPr>
                      <w:rFonts w:cs="Arial"/>
                    </w:rPr>
                    <w:t>1.34E-03</w:t>
                  </w:r>
                </w:p>
              </w:tc>
              <w:tc>
                <w:tcPr>
                  <w:tcW w:w="1623" w:type="pct"/>
                  <w:shd w:val="clear" w:color="auto" w:fill="auto"/>
                  <w:vAlign w:val="bottom"/>
                </w:tcPr>
                <w:p w14:paraId="13C1BF13" w14:textId="77777777" w:rsidR="00692E71" w:rsidRPr="001E3185" w:rsidRDefault="00692E71" w:rsidP="008E0250">
                  <w:pPr>
                    <w:jc w:val="center"/>
                    <w:rPr>
                      <w:rFonts w:cs="Arial"/>
                    </w:rPr>
                  </w:pPr>
                  <w:r w:rsidRPr="001E3185">
                    <w:rPr>
                      <w:rFonts w:cs="Arial"/>
                    </w:rPr>
                    <w:t>2.48E-02</w:t>
                  </w:r>
                </w:p>
              </w:tc>
            </w:tr>
            <w:tr w:rsidR="00692E71" w:rsidRPr="001E3185" w14:paraId="016B4585" w14:textId="77777777" w:rsidTr="008E0250">
              <w:trPr>
                <w:trHeight w:val="283"/>
              </w:trPr>
              <w:tc>
                <w:tcPr>
                  <w:tcW w:w="1467" w:type="pct"/>
                  <w:shd w:val="clear" w:color="auto" w:fill="auto"/>
                  <w:vAlign w:val="center"/>
                </w:tcPr>
                <w:p w14:paraId="4B803B5C" w14:textId="77777777" w:rsidR="00692E71" w:rsidRPr="001E3185" w:rsidRDefault="00692E71" w:rsidP="008E0250">
                  <w:pPr>
                    <w:rPr>
                      <w:rFonts w:cs="Arial"/>
                      <w:bCs/>
                    </w:rPr>
                  </w:pPr>
                  <w:r w:rsidRPr="001E3185">
                    <w:rPr>
                      <w:rFonts w:cs="Arial"/>
                      <w:bCs/>
                    </w:rPr>
                    <w:t>Cypermethrin</w:t>
                  </w:r>
                </w:p>
              </w:tc>
              <w:tc>
                <w:tcPr>
                  <w:tcW w:w="1910" w:type="pct"/>
                  <w:shd w:val="clear" w:color="auto" w:fill="auto"/>
                  <w:vAlign w:val="bottom"/>
                </w:tcPr>
                <w:p w14:paraId="11721868" w14:textId="77777777" w:rsidR="00692E71" w:rsidRPr="001E3185" w:rsidRDefault="00692E71" w:rsidP="008E0250">
                  <w:pPr>
                    <w:jc w:val="center"/>
                    <w:rPr>
                      <w:rFonts w:cs="Arial"/>
                    </w:rPr>
                  </w:pPr>
                  <w:r w:rsidRPr="001E3185">
                    <w:rPr>
                      <w:rFonts w:cs="Arial"/>
                    </w:rPr>
                    <w:t>1.81E-04</w:t>
                  </w:r>
                </w:p>
              </w:tc>
              <w:tc>
                <w:tcPr>
                  <w:tcW w:w="1623" w:type="pct"/>
                  <w:shd w:val="clear" w:color="auto" w:fill="auto"/>
                  <w:vAlign w:val="bottom"/>
                </w:tcPr>
                <w:p w14:paraId="611F1B68" w14:textId="77777777" w:rsidR="00692E71" w:rsidRPr="001E3185" w:rsidRDefault="00692E71" w:rsidP="008E0250">
                  <w:pPr>
                    <w:jc w:val="center"/>
                    <w:rPr>
                      <w:rFonts w:cs="Arial"/>
                    </w:rPr>
                  </w:pPr>
                  <w:r w:rsidRPr="001E3185">
                    <w:rPr>
                      <w:rFonts w:cs="Arial"/>
                    </w:rPr>
                    <w:t>3.62E-02</w:t>
                  </w:r>
                </w:p>
              </w:tc>
            </w:tr>
            <w:tr w:rsidR="00692E71" w:rsidRPr="001E3185" w14:paraId="5DFB099A" w14:textId="77777777" w:rsidTr="008E0250">
              <w:trPr>
                <w:trHeight w:val="283"/>
              </w:trPr>
              <w:tc>
                <w:tcPr>
                  <w:tcW w:w="1467" w:type="pct"/>
                  <w:shd w:val="clear" w:color="auto" w:fill="auto"/>
                  <w:vAlign w:val="center"/>
                </w:tcPr>
                <w:p w14:paraId="0B569F8A" w14:textId="77777777" w:rsidR="00692E71" w:rsidRPr="001E3185" w:rsidRDefault="00692E71" w:rsidP="008E0250">
                  <w:pPr>
                    <w:rPr>
                      <w:rFonts w:cs="Arial"/>
                      <w:bCs/>
                    </w:rPr>
                  </w:pPr>
                  <w:r w:rsidRPr="001E3185">
                    <w:rPr>
                      <w:rFonts w:cs="Arial"/>
                      <w:bCs/>
                    </w:rPr>
                    <w:t>PBC</w:t>
                  </w:r>
                </w:p>
              </w:tc>
              <w:tc>
                <w:tcPr>
                  <w:tcW w:w="1910" w:type="pct"/>
                  <w:shd w:val="clear" w:color="auto" w:fill="auto"/>
                  <w:vAlign w:val="bottom"/>
                </w:tcPr>
                <w:p w14:paraId="153328A9" w14:textId="77777777" w:rsidR="00692E71" w:rsidRPr="001E3185" w:rsidRDefault="00692E71" w:rsidP="008E0250">
                  <w:pPr>
                    <w:jc w:val="center"/>
                    <w:rPr>
                      <w:rFonts w:cs="Arial"/>
                    </w:rPr>
                  </w:pPr>
                  <w:r w:rsidRPr="001E3185">
                    <w:rPr>
                      <w:rFonts w:cs="Arial"/>
                    </w:rPr>
                    <w:t>4.79E-05</w:t>
                  </w:r>
                </w:p>
              </w:tc>
              <w:tc>
                <w:tcPr>
                  <w:tcW w:w="1623" w:type="pct"/>
                  <w:shd w:val="clear" w:color="auto" w:fill="auto"/>
                  <w:vAlign w:val="bottom"/>
                </w:tcPr>
                <w:p w14:paraId="66AB8ADC" w14:textId="77777777" w:rsidR="00692E71" w:rsidRPr="001E3185" w:rsidRDefault="00692E71" w:rsidP="008E0250">
                  <w:pPr>
                    <w:jc w:val="center"/>
                    <w:rPr>
                      <w:rFonts w:cs="Arial"/>
                    </w:rPr>
                  </w:pPr>
                  <w:r w:rsidRPr="001E3185">
                    <w:rPr>
                      <w:rFonts w:cs="Arial"/>
                    </w:rPr>
                    <w:t>2.28E-04</w:t>
                  </w:r>
                </w:p>
              </w:tc>
            </w:tr>
            <w:tr w:rsidR="00692E71" w:rsidRPr="001E3185" w14:paraId="41F44110" w14:textId="77777777" w:rsidTr="008E0250">
              <w:trPr>
                <w:trHeight w:val="283"/>
              </w:trPr>
              <w:tc>
                <w:tcPr>
                  <w:tcW w:w="1467" w:type="pct"/>
                  <w:shd w:val="clear" w:color="auto" w:fill="auto"/>
                  <w:vAlign w:val="center"/>
                </w:tcPr>
                <w:p w14:paraId="02AC3BDB"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center"/>
                </w:tcPr>
                <w:p w14:paraId="2480EB0C" w14:textId="77777777" w:rsidR="00692E71" w:rsidRPr="001E3185" w:rsidRDefault="00692E71" w:rsidP="008E0250">
                  <w:pPr>
                    <w:jc w:val="center"/>
                    <w:rPr>
                      <w:rFonts w:cs="Arial"/>
                    </w:rPr>
                  </w:pPr>
                </w:p>
              </w:tc>
              <w:tc>
                <w:tcPr>
                  <w:tcW w:w="1623" w:type="pct"/>
                  <w:shd w:val="clear" w:color="auto" w:fill="auto"/>
                  <w:vAlign w:val="bottom"/>
                </w:tcPr>
                <w:p w14:paraId="00C5DE78" w14:textId="77777777" w:rsidR="00692E71" w:rsidRPr="001E3185" w:rsidRDefault="00692E71" w:rsidP="008E0250">
                  <w:pPr>
                    <w:jc w:val="center"/>
                    <w:rPr>
                      <w:rFonts w:cs="Arial"/>
                    </w:rPr>
                  </w:pPr>
                  <w:r w:rsidRPr="001E3185">
                    <w:rPr>
                      <w:rFonts w:cs="Arial"/>
                    </w:rPr>
                    <w:t>6.23E-02</w:t>
                  </w:r>
                </w:p>
              </w:tc>
            </w:tr>
            <w:tr w:rsidR="00692E71" w:rsidRPr="001E3185" w14:paraId="50773CAA" w14:textId="77777777" w:rsidTr="008E0250">
              <w:trPr>
                <w:trHeight w:val="283"/>
              </w:trPr>
              <w:tc>
                <w:tcPr>
                  <w:tcW w:w="5000" w:type="pct"/>
                  <w:gridSpan w:val="3"/>
                  <w:shd w:val="clear" w:color="auto" w:fill="auto"/>
                  <w:vAlign w:val="center"/>
                </w:tcPr>
                <w:p w14:paraId="5270E7BE" w14:textId="77777777" w:rsidR="00692E71" w:rsidRPr="001E3185" w:rsidRDefault="00692E71" w:rsidP="008E0250">
                  <w:pPr>
                    <w:jc w:val="center"/>
                    <w:rPr>
                      <w:rFonts w:cs="Arial"/>
                      <w:bCs/>
                    </w:rPr>
                  </w:pPr>
                  <w:r w:rsidRPr="001E3185">
                    <w:rPr>
                      <w:rFonts w:cs="Arial"/>
                      <w:b/>
                    </w:rPr>
                    <w:t>Noise barrier -</w:t>
                  </w:r>
                  <w:r w:rsidRPr="001E3185">
                    <w:rPr>
                      <w:rFonts w:cs="Arial"/>
                      <w:b/>
                      <w:bCs/>
                      <w:iCs/>
                    </w:rPr>
                    <w:t xml:space="preserve"> Treated wood in service only – Industrial application</w:t>
                  </w:r>
                </w:p>
              </w:tc>
            </w:tr>
            <w:tr w:rsidR="00692E71" w:rsidRPr="001E3185" w14:paraId="1000581A" w14:textId="77777777" w:rsidTr="008E0250">
              <w:trPr>
                <w:trHeight w:val="293"/>
              </w:trPr>
              <w:tc>
                <w:tcPr>
                  <w:tcW w:w="1467" w:type="pct"/>
                  <w:shd w:val="clear" w:color="auto" w:fill="auto"/>
                  <w:vAlign w:val="center"/>
                </w:tcPr>
                <w:p w14:paraId="095F1B08" w14:textId="77777777" w:rsidR="00692E71" w:rsidRPr="001E3185" w:rsidRDefault="00692E71" w:rsidP="008E0250">
                  <w:pPr>
                    <w:jc w:val="center"/>
                    <w:rPr>
                      <w:rFonts w:cs="Arial"/>
                      <w:b/>
                      <w:sz w:val="18"/>
                      <w:szCs w:val="18"/>
                      <w:lang w:eastAsia="en-GB"/>
                    </w:rPr>
                  </w:pPr>
                  <w:r w:rsidRPr="001E3185">
                    <w:rPr>
                      <w:rFonts w:cs="Arial"/>
                      <w:b/>
                      <w:sz w:val="18"/>
                      <w:szCs w:val="18"/>
                      <w:lang w:eastAsia="en-GB"/>
                    </w:rPr>
                    <w:t>SURFACE WATER</w:t>
                  </w:r>
                </w:p>
                <w:p w14:paraId="209CAA25" w14:textId="77777777" w:rsidR="00692E71" w:rsidRPr="001E3185" w:rsidRDefault="00692E71" w:rsidP="008E0250">
                  <w:pPr>
                    <w:jc w:val="center"/>
                    <w:rPr>
                      <w:rFonts w:cs="Arial"/>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353815AC"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23" w:type="pct"/>
                  <w:shd w:val="clear" w:color="auto" w:fill="auto"/>
                  <w:vAlign w:val="center"/>
                </w:tcPr>
                <w:p w14:paraId="43A44538" w14:textId="77777777" w:rsidR="00692E71" w:rsidRPr="001E3185" w:rsidRDefault="00692E71" w:rsidP="008E0250">
                  <w:pPr>
                    <w:jc w:val="center"/>
                    <w:rPr>
                      <w:rFonts w:cs="Arial"/>
                    </w:rPr>
                  </w:pPr>
                  <w:r w:rsidRPr="001E3185">
                    <w:rPr>
                      <w:rFonts w:cs="Arial"/>
                      <w:b/>
                    </w:rPr>
                    <w:t>PEC/PNEC</w:t>
                  </w:r>
                </w:p>
              </w:tc>
            </w:tr>
            <w:tr w:rsidR="00692E71" w:rsidRPr="001E3185" w14:paraId="4A94F9FB" w14:textId="77777777" w:rsidTr="008E0250">
              <w:trPr>
                <w:trHeight w:val="283"/>
              </w:trPr>
              <w:tc>
                <w:tcPr>
                  <w:tcW w:w="1467" w:type="pct"/>
                  <w:shd w:val="clear" w:color="auto" w:fill="auto"/>
                  <w:vAlign w:val="center"/>
                </w:tcPr>
                <w:p w14:paraId="7840A05A" w14:textId="77777777" w:rsidR="00692E71" w:rsidRPr="001E3185" w:rsidRDefault="00692E71" w:rsidP="008E0250">
                  <w:pPr>
                    <w:rPr>
                      <w:rFonts w:cs="Arial"/>
                      <w:bCs/>
                    </w:rPr>
                  </w:pPr>
                  <w:r w:rsidRPr="001E3185">
                    <w:rPr>
                      <w:rFonts w:cs="Arial"/>
                      <w:bCs/>
                    </w:rPr>
                    <w:t>Tebuconazole</w:t>
                  </w:r>
                </w:p>
              </w:tc>
              <w:tc>
                <w:tcPr>
                  <w:tcW w:w="1910" w:type="pct"/>
                  <w:shd w:val="clear" w:color="auto" w:fill="auto"/>
                  <w:vAlign w:val="bottom"/>
                </w:tcPr>
                <w:p w14:paraId="6254A4C3" w14:textId="77777777" w:rsidR="00692E71" w:rsidRPr="001E3185" w:rsidRDefault="00692E71" w:rsidP="008E0250">
                  <w:pPr>
                    <w:jc w:val="center"/>
                    <w:rPr>
                      <w:rFonts w:cs="Arial"/>
                    </w:rPr>
                  </w:pPr>
                  <w:r w:rsidRPr="001E3185">
                    <w:rPr>
                      <w:rFonts w:cs="Arial"/>
                    </w:rPr>
                    <w:t>1.21E-03</w:t>
                  </w:r>
                </w:p>
              </w:tc>
              <w:tc>
                <w:tcPr>
                  <w:tcW w:w="1623" w:type="pct"/>
                  <w:shd w:val="clear" w:color="auto" w:fill="auto"/>
                  <w:vAlign w:val="bottom"/>
                </w:tcPr>
                <w:p w14:paraId="6441C7A5" w14:textId="77777777" w:rsidR="00692E71" w:rsidRPr="001E3185" w:rsidRDefault="00692E71" w:rsidP="008E0250">
                  <w:pPr>
                    <w:jc w:val="center"/>
                    <w:rPr>
                      <w:rFonts w:cs="Arial"/>
                    </w:rPr>
                  </w:pPr>
                  <w:r w:rsidRPr="001E3185">
                    <w:rPr>
                      <w:rFonts w:cs="Arial"/>
                    </w:rPr>
                    <w:t>1.21E-03</w:t>
                  </w:r>
                </w:p>
              </w:tc>
            </w:tr>
            <w:tr w:rsidR="00692E71" w:rsidRPr="001E3185" w14:paraId="4C920AED" w14:textId="77777777" w:rsidTr="008E0250">
              <w:trPr>
                <w:trHeight w:val="283"/>
              </w:trPr>
              <w:tc>
                <w:tcPr>
                  <w:tcW w:w="1467" w:type="pct"/>
                  <w:shd w:val="clear" w:color="auto" w:fill="auto"/>
                  <w:vAlign w:val="center"/>
                </w:tcPr>
                <w:p w14:paraId="5046E162" w14:textId="77777777" w:rsidR="00692E71" w:rsidRPr="001E3185" w:rsidRDefault="00692E71" w:rsidP="008E0250">
                  <w:pPr>
                    <w:rPr>
                      <w:rFonts w:cs="Arial"/>
                      <w:bCs/>
                    </w:rPr>
                  </w:pPr>
                  <w:r w:rsidRPr="001E3185">
                    <w:rPr>
                      <w:rFonts w:cs="Arial"/>
                      <w:bCs/>
                    </w:rPr>
                    <w:t>Propiconazole</w:t>
                  </w:r>
                </w:p>
              </w:tc>
              <w:tc>
                <w:tcPr>
                  <w:tcW w:w="1910" w:type="pct"/>
                  <w:shd w:val="clear" w:color="auto" w:fill="auto"/>
                  <w:vAlign w:val="bottom"/>
                </w:tcPr>
                <w:p w14:paraId="4A414637" w14:textId="77777777" w:rsidR="00692E71" w:rsidRPr="001E3185" w:rsidRDefault="00692E71" w:rsidP="008E0250">
                  <w:pPr>
                    <w:jc w:val="center"/>
                    <w:rPr>
                      <w:rFonts w:cs="Arial"/>
                    </w:rPr>
                  </w:pPr>
                  <w:r w:rsidRPr="001E3185">
                    <w:rPr>
                      <w:rFonts w:cs="Arial"/>
                    </w:rPr>
                    <w:t>3.31E-03</w:t>
                  </w:r>
                </w:p>
              </w:tc>
              <w:tc>
                <w:tcPr>
                  <w:tcW w:w="1623" w:type="pct"/>
                  <w:shd w:val="clear" w:color="auto" w:fill="auto"/>
                  <w:vAlign w:val="bottom"/>
                </w:tcPr>
                <w:p w14:paraId="452F8F1C" w14:textId="77777777" w:rsidR="00692E71" w:rsidRPr="001E3185" w:rsidRDefault="00692E71" w:rsidP="008E0250">
                  <w:pPr>
                    <w:jc w:val="center"/>
                    <w:rPr>
                      <w:rFonts w:cs="Arial"/>
                    </w:rPr>
                  </w:pPr>
                  <w:r w:rsidRPr="001E3185">
                    <w:rPr>
                      <w:rFonts w:cs="Arial"/>
                    </w:rPr>
                    <w:t>4.87E-04</w:t>
                  </w:r>
                </w:p>
              </w:tc>
            </w:tr>
            <w:tr w:rsidR="00692E71" w:rsidRPr="001E3185" w14:paraId="28E578D2" w14:textId="77777777" w:rsidTr="008E0250">
              <w:trPr>
                <w:trHeight w:val="283"/>
              </w:trPr>
              <w:tc>
                <w:tcPr>
                  <w:tcW w:w="1467" w:type="pct"/>
                  <w:shd w:val="clear" w:color="auto" w:fill="auto"/>
                  <w:vAlign w:val="center"/>
                </w:tcPr>
                <w:p w14:paraId="19B9F334" w14:textId="77777777" w:rsidR="00692E71" w:rsidRPr="001E3185" w:rsidRDefault="00692E71" w:rsidP="008E0250">
                  <w:pPr>
                    <w:rPr>
                      <w:rFonts w:cs="Arial"/>
                      <w:bCs/>
                    </w:rPr>
                  </w:pPr>
                  <w:r w:rsidRPr="001E3185">
                    <w:rPr>
                      <w:rFonts w:cs="Arial"/>
                      <w:bCs/>
                    </w:rPr>
                    <w:t>Cypermethrin</w:t>
                  </w:r>
                </w:p>
              </w:tc>
              <w:tc>
                <w:tcPr>
                  <w:tcW w:w="1910" w:type="pct"/>
                  <w:shd w:val="clear" w:color="auto" w:fill="auto"/>
                  <w:vAlign w:val="bottom"/>
                </w:tcPr>
                <w:p w14:paraId="0DB3C1D9" w14:textId="77777777" w:rsidR="00692E71" w:rsidRPr="001E3185" w:rsidRDefault="00692E71" w:rsidP="008E0250">
                  <w:pPr>
                    <w:jc w:val="center"/>
                    <w:rPr>
                      <w:rFonts w:cs="Arial"/>
                    </w:rPr>
                  </w:pPr>
                  <w:r w:rsidRPr="001E3185">
                    <w:rPr>
                      <w:rFonts w:cs="Arial"/>
                    </w:rPr>
                    <w:t>1.16E-05</w:t>
                  </w:r>
                </w:p>
              </w:tc>
              <w:tc>
                <w:tcPr>
                  <w:tcW w:w="1623" w:type="pct"/>
                  <w:shd w:val="clear" w:color="auto" w:fill="auto"/>
                  <w:vAlign w:val="bottom"/>
                </w:tcPr>
                <w:p w14:paraId="44205EE6" w14:textId="77777777" w:rsidR="00692E71" w:rsidRPr="001E3185" w:rsidRDefault="00692E71" w:rsidP="008E0250">
                  <w:pPr>
                    <w:jc w:val="center"/>
                    <w:rPr>
                      <w:rFonts w:cs="Arial"/>
                    </w:rPr>
                  </w:pPr>
                  <w:r w:rsidRPr="001E3185">
                    <w:rPr>
                      <w:rFonts w:cs="Arial"/>
                    </w:rPr>
                    <w:t>2.90E-03</w:t>
                  </w:r>
                </w:p>
              </w:tc>
            </w:tr>
            <w:tr w:rsidR="00692E71" w:rsidRPr="001E3185" w14:paraId="6BC4672A" w14:textId="77777777" w:rsidTr="008E0250">
              <w:trPr>
                <w:trHeight w:val="283"/>
              </w:trPr>
              <w:tc>
                <w:tcPr>
                  <w:tcW w:w="1467" w:type="pct"/>
                  <w:shd w:val="clear" w:color="auto" w:fill="auto"/>
                  <w:vAlign w:val="center"/>
                </w:tcPr>
                <w:p w14:paraId="0658CCE9" w14:textId="77777777" w:rsidR="00692E71" w:rsidRPr="001E3185" w:rsidRDefault="00692E71" w:rsidP="008E0250">
                  <w:pPr>
                    <w:rPr>
                      <w:rFonts w:cs="Arial"/>
                      <w:bCs/>
                    </w:rPr>
                  </w:pPr>
                  <w:r w:rsidRPr="001E3185">
                    <w:rPr>
                      <w:rFonts w:cs="Arial"/>
                      <w:bCs/>
                    </w:rPr>
                    <w:t>PBC</w:t>
                  </w:r>
                </w:p>
              </w:tc>
              <w:tc>
                <w:tcPr>
                  <w:tcW w:w="1910" w:type="pct"/>
                  <w:shd w:val="clear" w:color="auto" w:fill="auto"/>
                  <w:vAlign w:val="center"/>
                </w:tcPr>
                <w:p w14:paraId="17B9B81A" w14:textId="77777777" w:rsidR="00692E71" w:rsidRPr="001E3185" w:rsidRDefault="00692E71" w:rsidP="008E0250">
                  <w:pPr>
                    <w:jc w:val="center"/>
                    <w:rPr>
                      <w:rFonts w:cs="Arial"/>
                    </w:rPr>
                  </w:pPr>
                  <w:r w:rsidRPr="001E3185">
                    <w:rPr>
                      <w:rFonts w:cs="Arial"/>
                    </w:rPr>
                    <w:t>4.79E-04</w:t>
                  </w:r>
                </w:p>
              </w:tc>
              <w:tc>
                <w:tcPr>
                  <w:tcW w:w="1623" w:type="pct"/>
                  <w:shd w:val="clear" w:color="auto" w:fill="auto"/>
                  <w:vAlign w:val="bottom"/>
                </w:tcPr>
                <w:p w14:paraId="4AD86C6D" w14:textId="77777777" w:rsidR="00692E71" w:rsidRPr="001E3185" w:rsidRDefault="00692E71" w:rsidP="008E0250">
                  <w:pPr>
                    <w:jc w:val="center"/>
                    <w:rPr>
                      <w:rFonts w:cs="Arial"/>
                    </w:rPr>
                  </w:pPr>
                  <w:r w:rsidRPr="001E3185">
                    <w:rPr>
                      <w:rFonts w:cs="Arial"/>
                    </w:rPr>
                    <w:t>1.16E-05</w:t>
                  </w:r>
                </w:p>
              </w:tc>
            </w:tr>
            <w:tr w:rsidR="00692E71" w:rsidRPr="001E3185" w14:paraId="3D608AFE" w14:textId="77777777" w:rsidTr="008E0250">
              <w:trPr>
                <w:trHeight w:val="283"/>
              </w:trPr>
              <w:tc>
                <w:tcPr>
                  <w:tcW w:w="1467" w:type="pct"/>
                  <w:shd w:val="clear" w:color="auto" w:fill="auto"/>
                  <w:vAlign w:val="center"/>
                </w:tcPr>
                <w:p w14:paraId="68B6A0BB"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center"/>
                </w:tcPr>
                <w:p w14:paraId="4141041E" w14:textId="77777777" w:rsidR="00692E71" w:rsidRPr="001E3185" w:rsidRDefault="00692E71" w:rsidP="008E0250">
                  <w:pPr>
                    <w:jc w:val="center"/>
                    <w:rPr>
                      <w:rFonts w:cs="Arial"/>
                    </w:rPr>
                  </w:pPr>
                </w:p>
              </w:tc>
              <w:tc>
                <w:tcPr>
                  <w:tcW w:w="1623" w:type="pct"/>
                  <w:shd w:val="clear" w:color="auto" w:fill="auto"/>
                  <w:vAlign w:val="bottom"/>
                </w:tcPr>
                <w:p w14:paraId="7647D919" w14:textId="77777777" w:rsidR="00692E71" w:rsidRPr="001E3185" w:rsidRDefault="00692E71" w:rsidP="008E0250">
                  <w:pPr>
                    <w:jc w:val="center"/>
                    <w:rPr>
                      <w:rFonts w:cs="Arial"/>
                    </w:rPr>
                  </w:pPr>
                  <w:r w:rsidRPr="001E3185">
                    <w:rPr>
                      <w:rFonts w:cs="Arial"/>
                    </w:rPr>
                    <w:t>4.62E-03</w:t>
                  </w:r>
                </w:p>
              </w:tc>
            </w:tr>
            <w:tr w:rsidR="00692E71" w:rsidRPr="001E3185" w14:paraId="64642780" w14:textId="77777777" w:rsidTr="008E0250">
              <w:trPr>
                <w:trHeight w:val="283"/>
              </w:trPr>
              <w:tc>
                <w:tcPr>
                  <w:tcW w:w="1467" w:type="pct"/>
                  <w:shd w:val="clear" w:color="auto" w:fill="auto"/>
                  <w:vAlign w:val="center"/>
                </w:tcPr>
                <w:p w14:paraId="3BC1164E" w14:textId="77777777" w:rsidR="00692E71" w:rsidRPr="001E3185" w:rsidRDefault="00692E71" w:rsidP="008E0250">
                  <w:pPr>
                    <w:jc w:val="center"/>
                    <w:rPr>
                      <w:rFonts w:cs="Arial"/>
                      <w:b/>
                      <w:iCs/>
                      <w:sz w:val="18"/>
                      <w:szCs w:val="18"/>
                    </w:rPr>
                  </w:pPr>
                  <w:r w:rsidRPr="001E3185">
                    <w:rPr>
                      <w:rFonts w:cs="Arial"/>
                      <w:b/>
                      <w:iCs/>
                      <w:sz w:val="18"/>
                      <w:szCs w:val="18"/>
                    </w:rPr>
                    <w:t>SEDIMENT</w:t>
                  </w:r>
                </w:p>
                <w:p w14:paraId="7981749E" w14:textId="77777777" w:rsidR="00692E71" w:rsidRPr="001E3185" w:rsidRDefault="00692E71" w:rsidP="008E0250">
                  <w:pPr>
                    <w:jc w:val="center"/>
                    <w:rPr>
                      <w:rFonts w:cs="Arial"/>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7663B9C5"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23" w:type="pct"/>
                  <w:shd w:val="clear" w:color="auto" w:fill="auto"/>
                  <w:vAlign w:val="center"/>
                </w:tcPr>
                <w:p w14:paraId="6ADABBD1" w14:textId="77777777" w:rsidR="00692E71" w:rsidRPr="001E3185" w:rsidRDefault="00692E71" w:rsidP="008E0250">
                  <w:pPr>
                    <w:jc w:val="center"/>
                    <w:rPr>
                      <w:rFonts w:cs="Arial"/>
                    </w:rPr>
                  </w:pPr>
                  <w:r w:rsidRPr="001E3185">
                    <w:rPr>
                      <w:rFonts w:cs="Arial"/>
                      <w:b/>
                    </w:rPr>
                    <w:t>PEC/PNEC</w:t>
                  </w:r>
                </w:p>
              </w:tc>
            </w:tr>
            <w:tr w:rsidR="00692E71" w:rsidRPr="001E3185" w14:paraId="616E59A5" w14:textId="77777777" w:rsidTr="008E0250">
              <w:trPr>
                <w:trHeight w:val="283"/>
              </w:trPr>
              <w:tc>
                <w:tcPr>
                  <w:tcW w:w="1467" w:type="pct"/>
                  <w:shd w:val="clear" w:color="auto" w:fill="auto"/>
                  <w:vAlign w:val="center"/>
                </w:tcPr>
                <w:p w14:paraId="714C4CF6" w14:textId="77777777" w:rsidR="00692E71" w:rsidRPr="001E3185" w:rsidRDefault="00692E71" w:rsidP="008E0250">
                  <w:pPr>
                    <w:rPr>
                      <w:rFonts w:cs="Arial"/>
                      <w:bCs/>
                    </w:rPr>
                  </w:pPr>
                  <w:r w:rsidRPr="001E3185">
                    <w:rPr>
                      <w:rFonts w:cs="Arial"/>
                      <w:bCs/>
                    </w:rPr>
                    <w:t>Tebuconazole</w:t>
                  </w:r>
                </w:p>
              </w:tc>
              <w:tc>
                <w:tcPr>
                  <w:tcW w:w="1910" w:type="pct"/>
                  <w:shd w:val="clear" w:color="auto" w:fill="auto"/>
                  <w:vAlign w:val="bottom"/>
                </w:tcPr>
                <w:p w14:paraId="1731760D" w14:textId="77777777" w:rsidR="00692E71" w:rsidRPr="001E3185" w:rsidRDefault="00692E71" w:rsidP="008E0250">
                  <w:pPr>
                    <w:jc w:val="center"/>
                    <w:rPr>
                      <w:rFonts w:cs="Arial"/>
                    </w:rPr>
                  </w:pPr>
                  <w:r w:rsidRPr="001E3185">
                    <w:rPr>
                      <w:rFonts w:cs="Arial"/>
                    </w:rPr>
                    <w:t>2.71E-05</w:t>
                  </w:r>
                </w:p>
              </w:tc>
              <w:tc>
                <w:tcPr>
                  <w:tcW w:w="1623" w:type="pct"/>
                  <w:shd w:val="clear" w:color="auto" w:fill="auto"/>
                  <w:vAlign w:val="bottom"/>
                </w:tcPr>
                <w:p w14:paraId="5F8A8DCA" w14:textId="77777777" w:rsidR="00692E71" w:rsidRPr="001E3185" w:rsidRDefault="00692E71" w:rsidP="008E0250">
                  <w:pPr>
                    <w:jc w:val="center"/>
                    <w:rPr>
                      <w:rFonts w:cs="Arial"/>
                    </w:rPr>
                  </w:pPr>
                  <w:r w:rsidRPr="001E3185">
                    <w:rPr>
                      <w:rFonts w:cs="Arial"/>
                    </w:rPr>
                    <w:t>4.93E-05</w:t>
                  </w:r>
                </w:p>
              </w:tc>
            </w:tr>
            <w:tr w:rsidR="00692E71" w:rsidRPr="001E3185" w14:paraId="0A794053" w14:textId="77777777" w:rsidTr="008E0250">
              <w:trPr>
                <w:trHeight w:val="283"/>
              </w:trPr>
              <w:tc>
                <w:tcPr>
                  <w:tcW w:w="1467" w:type="pct"/>
                  <w:shd w:val="clear" w:color="auto" w:fill="auto"/>
                  <w:vAlign w:val="center"/>
                </w:tcPr>
                <w:p w14:paraId="6171F1EC" w14:textId="77777777" w:rsidR="00692E71" w:rsidRPr="001E3185" w:rsidRDefault="00692E71" w:rsidP="008E0250">
                  <w:pPr>
                    <w:rPr>
                      <w:rFonts w:cs="Arial"/>
                      <w:bCs/>
                    </w:rPr>
                  </w:pPr>
                  <w:r w:rsidRPr="001E3185">
                    <w:rPr>
                      <w:rFonts w:cs="Arial"/>
                      <w:bCs/>
                    </w:rPr>
                    <w:t>Propiconazole</w:t>
                  </w:r>
                </w:p>
              </w:tc>
              <w:tc>
                <w:tcPr>
                  <w:tcW w:w="1910" w:type="pct"/>
                  <w:shd w:val="clear" w:color="auto" w:fill="auto"/>
                  <w:vAlign w:val="bottom"/>
                </w:tcPr>
                <w:p w14:paraId="6B5AC28C" w14:textId="77777777" w:rsidR="00692E71" w:rsidRPr="001E3185" w:rsidRDefault="00692E71" w:rsidP="008E0250">
                  <w:pPr>
                    <w:jc w:val="center"/>
                    <w:rPr>
                      <w:rFonts w:cs="Arial"/>
                    </w:rPr>
                  </w:pPr>
                  <w:r w:rsidRPr="001E3185">
                    <w:rPr>
                      <w:rFonts w:cs="Arial"/>
                    </w:rPr>
                    <w:t>7.06E-05</w:t>
                  </w:r>
                </w:p>
              </w:tc>
              <w:tc>
                <w:tcPr>
                  <w:tcW w:w="1623" w:type="pct"/>
                  <w:shd w:val="clear" w:color="auto" w:fill="auto"/>
                  <w:vAlign w:val="bottom"/>
                </w:tcPr>
                <w:p w14:paraId="13E67092" w14:textId="77777777" w:rsidR="00692E71" w:rsidRPr="001E3185" w:rsidRDefault="00692E71" w:rsidP="008E0250">
                  <w:pPr>
                    <w:jc w:val="center"/>
                    <w:rPr>
                      <w:rFonts w:cs="Arial"/>
                    </w:rPr>
                  </w:pPr>
                  <w:r w:rsidRPr="001E3185">
                    <w:rPr>
                      <w:rFonts w:cs="Arial"/>
                    </w:rPr>
                    <w:t>1.31E-03</w:t>
                  </w:r>
                </w:p>
              </w:tc>
            </w:tr>
            <w:tr w:rsidR="00692E71" w:rsidRPr="001E3185" w14:paraId="37373DCD" w14:textId="77777777" w:rsidTr="008E0250">
              <w:trPr>
                <w:trHeight w:val="283"/>
              </w:trPr>
              <w:tc>
                <w:tcPr>
                  <w:tcW w:w="1467" w:type="pct"/>
                  <w:shd w:val="clear" w:color="auto" w:fill="auto"/>
                  <w:vAlign w:val="center"/>
                </w:tcPr>
                <w:p w14:paraId="68A554DD" w14:textId="77777777" w:rsidR="00692E71" w:rsidRPr="001E3185" w:rsidRDefault="00692E71" w:rsidP="008E0250">
                  <w:pPr>
                    <w:rPr>
                      <w:rFonts w:cs="Arial"/>
                      <w:bCs/>
                    </w:rPr>
                  </w:pPr>
                  <w:r w:rsidRPr="001E3185">
                    <w:rPr>
                      <w:rFonts w:cs="Arial"/>
                      <w:bCs/>
                    </w:rPr>
                    <w:t>Cypermethrin</w:t>
                  </w:r>
                </w:p>
              </w:tc>
              <w:tc>
                <w:tcPr>
                  <w:tcW w:w="1910" w:type="pct"/>
                  <w:shd w:val="clear" w:color="auto" w:fill="auto"/>
                  <w:vAlign w:val="bottom"/>
                </w:tcPr>
                <w:p w14:paraId="29B5A2A4" w14:textId="77777777" w:rsidR="00692E71" w:rsidRPr="001E3185" w:rsidRDefault="00692E71" w:rsidP="008E0250">
                  <w:pPr>
                    <w:jc w:val="center"/>
                    <w:rPr>
                      <w:rFonts w:cs="Arial"/>
                    </w:rPr>
                  </w:pPr>
                  <w:r w:rsidRPr="001E3185">
                    <w:rPr>
                      <w:rFonts w:cs="Arial"/>
                    </w:rPr>
                    <w:t>1.45E-04</w:t>
                  </w:r>
                </w:p>
              </w:tc>
              <w:tc>
                <w:tcPr>
                  <w:tcW w:w="1623" w:type="pct"/>
                  <w:shd w:val="clear" w:color="auto" w:fill="auto"/>
                  <w:vAlign w:val="bottom"/>
                </w:tcPr>
                <w:p w14:paraId="382D26D3" w14:textId="77777777" w:rsidR="00692E71" w:rsidRPr="001E3185" w:rsidRDefault="00692E71" w:rsidP="008E0250">
                  <w:pPr>
                    <w:jc w:val="center"/>
                    <w:rPr>
                      <w:rFonts w:cs="Arial"/>
                    </w:rPr>
                  </w:pPr>
                  <w:r w:rsidRPr="001E3185">
                    <w:rPr>
                      <w:rFonts w:cs="Arial"/>
                    </w:rPr>
                    <w:t>2.90E-02</w:t>
                  </w:r>
                </w:p>
              </w:tc>
            </w:tr>
            <w:tr w:rsidR="00692E71" w:rsidRPr="001E3185" w14:paraId="4FAFF6C3" w14:textId="77777777" w:rsidTr="008E0250">
              <w:trPr>
                <w:trHeight w:val="283"/>
              </w:trPr>
              <w:tc>
                <w:tcPr>
                  <w:tcW w:w="1467" w:type="pct"/>
                  <w:shd w:val="clear" w:color="auto" w:fill="auto"/>
                  <w:vAlign w:val="center"/>
                </w:tcPr>
                <w:p w14:paraId="5D4AB072" w14:textId="77777777" w:rsidR="00692E71" w:rsidRPr="001E3185" w:rsidRDefault="00692E71" w:rsidP="008E0250">
                  <w:pPr>
                    <w:rPr>
                      <w:rFonts w:cs="Arial"/>
                      <w:bCs/>
                    </w:rPr>
                  </w:pPr>
                  <w:r w:rsidRPr="001E3185">
                    <w:rPr>
                      <w:rFonts w:cs="Arial"/>
                      <w:bCs/>
                    </w:rPr>
                    <w:t>PBC</w:t>
                  </w:r>
                </w:p>
              </w:tc>
              <w:tc>
                <w:tcPr>
                  <w:tcW w:w="1910" w:type="pct"/>
                  <w:shd w:val="clear" w:color="auto" w:fill="auto"/>
                </w:tcPr>
                <w:p w14:paraId="155FF07D" w14:textId="77777777" w:rsidR="00692E71" w:rsidRPr="001E3185" w:rsidRDefault="00692E71" w:rsidP="008E0250">
                  <w:pPr>
                    <w:jc w:val="center"/>
                    <w:rPr>
                      <w:rFonts w:cs="Arial"/>
                    </w:rPr>
                  </w:pPr>
                  <w:r w:rsidRPr="001E3185">
                    <w:rPr>
                      <w:rFonts w:cs="Arial"/>
                    </w:rPr>
                    <w:t>2.44E-06</w:t>
                  </w:r>
                </w:p>
              </w:tc>
              <w:tc>
                <w:tcPr>
                  <w:tcW w:w="1623" w:type="pct"/>
                  <w:shd w:val="clear" w:color="auto" w:fill="auto"/>
                  <w:vAlign w:val="bottom"/>
                </w:tcPr>
                <w:p w14:paraId="1C99B48B" w14:textId="77777777" w:rsidR="00692E71" w:rsidRPr="001E3185" w:rsidRDefault="00692E71" w:rsidP="008E0250">
                  <w:pPr>
                    <w:jc w:val="center"/>
                    <w:rPr>
                      <w:rFonts w:cs="Arial"/>
                    </w:rPr>
                  </w:pPr>
                  <w:r w:rsidRPr="001E3185">
                    <w:rPr>
                      <w:rFonts w:cs="Arial"/>
                    </w:rPr>
                    <w:t>1.16E-05</w:t>
                  </w:r>
                </w:p>
              </w:tc>
            </w:tr>
            <w:tr w:rsidR="00692E71" w:rsidRPr="001E3185" w14:paraId="04FE491F" w14:textId="77777777" w:rsidTr="008E0250">
              <w:trPr>
                <w:trHeight w:val="283"/>
              </w:trPr>
              <w:tc>
                <w:tcPr>
                  <w:tcW w:w="1467" w:type="pct"/>
                  <w:shd w:val="clear" w:color="auto" w:fill="auto"/>
                  <w:vAlign w:val="center"/>
                </w:tcPr>
                <w:p w14:paraId="2C9A6E82"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center"/>
                </w:tcPr>
                <w:p w14:paraId="3B8E38A2" w14:textId="77777777" w:rsidR="00692E71" w:rsidRPr="001E3185" w:rsidRDefault="00692E71" w:rsidP="008E0250">
                  <w:pPr>
                    <w:jc w:val="center"/>
                    <w:rPr>
                      <w:rFonts w:cs="Arial"/>
                    </w:rPr>
                  </w:pPr>
                </w:p>
              </w:tc>
              <w:tc>
                <w:tcPr>
                  <w:tcW w:w="1623" w:type="pct"/>
                  <w:shd w:val="clear" w:color="auto" w:fill="auto"/>
                  <w:vAlign w:val="bottom"/>
                </w:tcPr>
                <w:p w14:paraId="5A1F7CA9" w14:textId="77777777" w:rsidR="00692E71" w:rsidRPr="001E3185" w:rsidRDefault="00692E71" w:rsidP="008E0250">
                  <w:pPr>
                    <w:jc w:val="center"/>
                    <w:rPr>
                      <w:rFonts w:cs="Arial"/>
                    </w:rPr>
                  </w:pPr>
                  <w:r w:rsidRPr="001E3185">
                    <w:rPr>
                      <w:rFonts w:cs="Arial"/>
                    </w:rPr>
                    <w:t>3.04E-02</w:t>
                  </w:r>
                </w:p>
              </w:tc>
            </w:tr>
            <w:tr w:rsidR="00692E71" w:rsidRPr="001E3185" w14:paraId="23C479CE" w14:textId="77777777" w:rsidTr="008E0250">
              <w:trPr>
                <w:trHeight w:val="283"/>
              </w:trPr>
              <w:tc>
                <w:tcPr>
                  <w:tcW w:w="5000" w:type="pct"/>
                  <w:gridSpan w:val="3"/>
                  <w:shd w:val="clear" w:color="auto" w:fill="auto"/>
                  <w:vAlign w:val="center"/>
                </w:tcPr>
                <w:p w14:paraId="2A47E90E" w14:textId="77777777" w:rsidR="00692E71" w:rsidRPr="001E3185" w:rsidRDefault="00692E71" w:rsidP="008E0250">
                  <w:pPr>
                    <w:jc w:val="center"/>
                    <w:rPr>
                      <w:rFonts w:cs="Arial"/>
                      <w:bCs/>
                    </w:rPr>
                  </w:pPr>
                  <w:r w:rsidRPr="001E3185">
                    <w:rPr>
                      <w:rFonts w:cs="Arial"/>
                      <w:b/>
                    </w:rPr>
                    <w:t>Noise barrier -</w:t>
                  </w:r>
                  <w:r w:rsidRPr="001E3185">
                    <w:rPr>
                      <w:rFonts w:cs="Arial"/>
                      <w:b/>
                      <w:bCs/>
                      <w:iCs/>
                    </w:rPr>
                    <w:t xml:space="preserve"> Treated wood in service only – </w:t>
                  </w:r>
                  <w:r w:rsidRPr="001E3185">
                    <w:rPr>
                      <w:rFonts w:cs="Arial"/>
                      <w:b/>
                      <w:bCs/>
                      <w:i/>
                      <w:iCs/>
                    </w:rPr>
                    <w:t>In situ</w:t>
                  </w:r>
                  <w:r w:rsidRPr="001E3185">
                    <w:rPr>
                      <w:rFonts w:cs="Arial"/>
                      <w:b/>
                      <w:bCs/>
                      <w:iCs/>
                    </w:rPr>
                    <w:t xml:space="preserve"> application</w:t>
                  </w:r>
                </w:p>
              </w:tc>
            </w:tr>
            <w:tr w:rsidR="00692E71" w:rsidRPr="001E3185" w14:paraId="196F9707" w14:textId="77777777" w:rsidTr="008E0250">
              <w:trPr>
                <w:trHeight w:val="283"/>
              </w:trPr>
              <w:tc>
                <w:tcPr>
                  <w:tcW w:w="1467" w:type="pct"/>
                  <w:shd w:val="clear" w:color="auto" w:fill="auto"/>
                  <w:vAlign w:val="center"/>
                </w:tcPr>
                <w:p w14:paraId="4381A4C2" w14:textId="77777777" w:rsidR="00692E71" w:rsidRPr="001E3185" w:rsidRDefault="00692E71" w:rsidP="008E0250">
                  <w:pPr>
                    <w:jc w:val="center"/>
                    <w:rPr>
                      <w:rFonts w:cs="Arial"/>
                      <w:b/>
                      <w:sz w:val="18"/>
                      <w:szCs w:val="18"/>
                      <w:lang w:eastAsia="en-GB"/>
                    </w:rPr>
                  </w:pPr>
                  <w:r w:rsidRPr="001E3185">
                    <w:rPr>
                      <w:rFonts w:cs="Arial"/>
                      <w:b/>
                      <w:sz w:val="18"/>
                      <w:szCs w:val="18"/>
                      <w:lang w:eastAsia="en-GB"/>
                    </w:rPr>
                    <w:t>SURFACE WATER</w:t>
                  </w:r>
                </w:p>
                <w:p w14:paraId="5F9A86E8" w14:textId="77777777" w:rsidR="00692E71" w:rsidRPr="001E3185" w:rsidRDefault="00692E71" w:rsidP="008E0250">
                  <w:pPr>
                    <w:jc w:val="center"/>
                    <w:rPr>
                      <w:rFonts w:cs="Arial"/>
                      <w:b/>
                      <w:bCs/>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463669B8"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23" w:type="pct"/>
                  <w:shd w:val="clear" w:color="auto" w:fill="auto"/>
                  <w:vAlign w:val="center"/>
                </w:tcPr>
                <w:p w14:paraId="30827FDA" w14:textId="77777777" w:rsidR="00692E71" w:rsidRPr="001E3185" w:rsidRDefault="00692E71" w:rsidP="008E0250">
                  <w:pPr>
                    <w:jc w:val="center"/>
                    <w:rPr>
                      <w:rFonts w:cs="Arial"/>
                    </w:rPr>
                  </w:pPr>
                  <w:r w:rsidRPr="001E3185">
                    <w:rPr>
                      <w:rFonts w:cs="Arial"/>
                      <w:b/>
                    </w:rPr>
                    <w:t>PEC/PNEC</w:t>
                  </w:r>
                </w:p>
              </w:tc>
            </w:tr>
            <w:tr w:rsidR="00692E71" w:rsidRPr="001E3185" w14:paraId="4E192449" w14:textId="77777777" w:rsidTr="008E0250">
              <w:trPr>
                <w:trHeight w:val="283"/>
              </w:trPr>
              <w:tc>
                <w:tcPr>
                  <w:tcW w:w="1467" w:type="pct"/>
                  <w:shd w:val="clear" w:color="auto" w:fill="auto"/>
                  <w:vAlign w:val="center"/>
                </w:tcPr>
                <w:p w14:paraId="6901B04C" w14:textId="77777777" w:rsidR="00692E71" w:rsidRPr="001E3185" w:rsidRDefault="00692E71" w:rsidP="008E0250">
                  <w:pPr>
                    <w:rPr>
                      <w:rFonts w:cs="Arial"/>
                      <w:bCs/>
                    </w:rPr>
                  </w:pPr>
                  <w:r w:rsidRPr="001E3185">
                    <w:rPr>
                      <w:rFonts w:cs="Arial"/>
                      <w:bCs/>
                    </w:rPr>
                    <w:t>Tebuconazole</w:t>
                  </w:r>
                </w:p>
              </w:tc>
              <w:tc>
                <w:tcPr>
                  <w:tcW w:w="1910" w:type="pct"/>
                  <w:shd w:val="clear" w:color="auto" w:fill="auto"/>
                  <w:vAlign w:val="bottom"/>
                </w:tcPr>
                <w:p w14:paraId="00D53BC4" w14:textId="77777777" w:rsidR="00692E71" w:rsidRPr="001E3185" w:rsidRDefault="00692E71" w:rsidP="008E0250">
                  <w:pPr>
                    <w:jc w:val="center"/>
                    <w:rPr>
                      <w:rFonts w:cs="Arial"/>
                    </w:rPr>
                  </w:pPr>
                  <w:r w:rsidRPr="001E3185">
                    <w:rPr>
                      <w:rFonts w:cs="Arial"/>
                    </w:rPr>
                    <w:t>1.50E-03</w:t>
                  </w:r>
                </w:p>
              </w:tc>
              <w:tc>
                <w:tcPr>
                  <w:tcW w:w="1623" w:type="pct"/>
                  <w:shd w:val="clear" w:color="auto" w:fill="auto"/>
                  <w:vAlign w:val="bottom"/>
                </w:tcPr>
                <w:p w14:paraId="0F626DC0" w14:textId="77777777" w:rsidR="00692E71" w:rsidRPr="001E3185" w:rsidRDefault="00692E71" w:rsidP="008E0250">
                  <w:pPr>
                    <w:jc w:val="center"/>
                    <w:rPr>
                      <w:rFonts w:cs="Arial"/>
                    </w:rPr>
                  </w:pPr>
                  <w:r w:rsidRPr="001E3185">
                    <w:rPr>
                      <w:rFonts w:cs="Arial"/>
                    </w:rPr>
                    <w:t>1.50E-03</w:t>
                  </w:r>
                </w:p>
              </w:tc>
            </w:tr>
            <w:tr w:rsidR="00692E71" w:rsidRPr="001E3185" w14:paraId="7C31920B" w14:textId="77777777" w:rsidTr="008E0250">
              <w:trPr>
                <w:trHeight w:val="283"/>
              </w:trPr>
              <w:tc>
                <w:tcPr>
                  <w:tcW w:w="1467" w:type="pct"/>
                  <w:shd w:val="clear" w:color="auto" w:fill="auto"/>
                  <w:vAlign w:val="center"/>
                </w:tcPr>
                <w:p w14:paraId="3591D914" w14:textId="77777777" w:rsidR="00692E71" w:rsidRPr="001E3185" w:rsidRDefault="00692E71" w:rsidP="008E0250">
                  <w:pPr>
                    <w:rPr>
                      <w:rFonts w:cs="Arial"/>
                      <w:bCs/>
                    </w:rPr>
                  </w:pPr>
                  <w:r w:rsidRPr="001E3185">
                    <w:rPr>
                      <w:rFonts w:cs="Arial"/>
                      <w:bCs/>
                    </w:rPr>
                    <w:t>Propiconazole</w:t>
                  </w:r>
                </w:p>
              </w:tc>
              <w:tc>
                <w:tcPr>
                  <w:tcW w:w="1910" w:type="pct"/>
                  <w:shd w:val="clear" w:color="auto" w:fill="auto"/>
                  <w:vAlign w:val="bottom"/>
                </w:tcPr>
                <w:p w14:paraId="37419A40" w14:textId="77777777" w:rsidR="00692E71" w:rsidRPr="001E3185" w:rsidRDefault="00692E71" w:rsidP="008E0250">
                  <w:pPr>
                    <w:jc w:val="center"/>
                    <w:rPr>
                      <w:rFonts w:cs="Arial"/>
                    </w:rPr>
                  </w:pPr>
                  <w:r w:rsidRPr="001E3185">
                    <w:rPr>
                      <w:rFonts w:cs="Arial"/>
                    </w:rPr>
                    <w:t>3.97E-03</w:t>
                  </w:r>
                </w:p>
              </w:tc>
              <w:tc>
                <w:tcPr>
                  <w:tcW w:w="1623" w:type="pct"/>
                  <w:shd w:val="clear" w:color="auto" w:fill="auto"/>
                  <w:vAlign w:val="bottom"/>
                </w:tcPr>
                <w:p w14:paraId="6AC755C0" w14:textId="77777777" w:rsidR="00692E71" w:rsidRPr="001E3185" w:rsidRDefault="00692E71" w:rsidP="008E0250">
                  <w:pPr>
                    <w:jc w:val="center"/>
                    <w:rPr>
                      <w:rFonts w:cs="Arial"/>
                    </w:rPr>
                  </w:pPr>
                  <w:r w:rsidRPr="001E3185">
                    <w:rPr>
                      <w:rFonts w:cs="Arial"/>
                    </w:rPr>
                    <w:t>5.84E-04</w:t>
                  </w:r>
                </w:p>
              </w:tc>
            </w:tr>
            <w:tr w:rsidR="00692E71" w:rsidRPr="001E3185" w14:paraId="6C8579D7" w14:textId="77777777" w:rsidTr="008E0250">
              <w:trPr>
                <w:trHeight w:val="283"/>
              </w:trPr>
              <w:tc>
                <w:tcPr>
                  <w:tcW w:w="1467" w:type="pct"/>
                  <w:shd w:val="clear" w:color="auto" w:fill="auto"/>
                  <w:vAlign w:val="center"/>
                </w:tcPr>
                <w:p w14:paraId="14BCB466" w14:textId="77777777" w:rsidR="00692E71" w:rsidRPr="001E3185" w:rsidRDefault="00692E71" w:rsidP="008E0250">
                  <w:pPr>
                    <w:rPr>
                      <w:rFonts w:cs="Arial"/>
                      <w:bCs/>
                    </w:rPr>
                  </w:pPr>
                  <w:r w:rsidRPr="001E3185">
                    <w:rPr>
                      <w:rFonts w:cs="Arial"/>
                      <w:bCs/>
                    </w:rPr>
                    <w:t>Cypermethrin</w:t>
                  </w:r>
                </w:p>
              </w:tc>
              <w:tc>
                <w:tcPr>
                  <w:tcW w:w="1910" w:type="pct"/>
                  <w:shd w:val="clear" w:color="auto" w:fill="auto"/>
                  <w:vAlign w:val="bottom"/>
                </w:tcPr>
                <w:p w14:paraId="26615F09" w14:textId="77777777" w:rsidR="00692E71" w:rsidRPr="001E3185" w:rsidRDefault="00692E71" w:rsidP="008E0250">
                  <w:pPr>
                    <w:jc w:val="center"/>
                    <w:rPr>
                      <w:rFonts w:cs="Arial"/>
                    </w:rPr>
                  </w:pPr>
                  <w:r w:rsidRPr="001E3185">
                    <w:rPr>
                      <w:rFonts w:cs="Arial"/>
                    </w:rPr>
                    <w:t>1.16E-05</w:t>
                  </w:r>
                </w:p>
              </w:tc>
              <w:tc>
                <w:tcPr>
                  <w:tcW w:w="1623" w:type="pct"/>
                  <w:shd w:val="clear" w:color="auto" w:fill="auto"/>
                  <w:vAlign w:val="bottom"/>
                </w:tcPr>
                <w:p w14:paraId="008795AB" w14:textId="77777777" w:rsidR="00692E71" w:rsidRPr="001E3185" w:rsidRDefault="00692E71" w:rsidP="008E0250">
                  <w:pPr>
                    <w:jc w:val="center"/>
                    <w:rPr>
                      <w:rFonts w:cs="Arial"/>
                    </w:rPr>
                  </w:pPr>
                  <w:r w:rsidRPr="001E3185">
                    <w:rPr>
                      <w:rFonts w:cs="Arial"/>
                    </w:rPr>
                    <w:t>2.91E-03</w:t>
                  </w:r>
                </w:p>
              </w:tc>
            </w:tr>
            <w:tr w:rsidR="00692E71" w:rsidRPr="001E3185" w14:paraId="4928A599" w14:textId="77777777" w:rsidTr="008E0250">
              <w:trPr>
                <w:trHeight w:val="283"/>
              </w:trPr>
              <w:tc>
                <w:tcPr>
                  <w:tcW w:w="1467" w:type="pct"/>
                  <w:shd w:val="clear" w:color="auto" w:fill="auto"/>
                  <w:vAlign w:val="center"/>
                </w:tcPr>
                <w:p w14:paraId="57A01A33" w14:textId="77777777" w:rsidR="00692E71" w:rsidRPr="001E3185" w:rsidRDefault="00692E71" w:rsidP="008E0250">
                  <w:pPr>
                    <w:rPr>
                      <w:rFonts w:cs="Arial"/>
                      <w:bCs/>
                    </w:rPr>
                  </w:pPr>
                  <w:r w:rsidRPr="001E3185">
                    <w:rPr>
                      <w:rFonts w:cs="Arial"/>
                      <w:bCs/>
                    </w:rPr>
                    <w:t>PBC</w:t>
                  </w:r>
                </w:p>
              </w:tc>
              <w:tc>
                <w:tcPr>
                  <w:tcW w:w="1910" w:type="pct"/>
                  <w:shd w:val="clear" w:color="auto" w:fill="auto"/>
                  <w:vAlign w:val="bottom"/>
                </w:tcPr>
                <w:p w14:paraId="341A0DE4" w14:textId="77777777" w:rsidR="00692E71" w:rsidRPr="001E3185" w:rsidRDefault="00692E71" w:rsidP="008E0250">
                  <w:pPr>
                    <w:jc w:val="center"/>
                    <w:rPr>
                      <w:rFonts w:cs="Arial"/>
                    </w:rPr>
                  </w:pPr>
                  <w:r w:rsidRPr="001E3185">
                    <w:rPr>
                      <w:rFonts w:cs="Arial"/>
                    </w:rPr>
                    <w:t>5.78E-04</w:t>
                  </w:r>
                </w:p>
              </w:tc>
              <w:tc>
                <w:tcPr>
                  <w:tcW w:w="1623" w:type="pct"/>
                  <w:shd w:val="clear" w:color="auto" w:fill="auto"/>
                  <w:vAlign w:val="bottom"/>
                </w:tcPr>
                <w:p w14:paraId="6693A4DD" w14:textId="77777777" w:rsidR="00692E71" w:rsidRPr="001E3185" w:rsidRDefault="00692E71" w:rsidP="008E0250">
                  <w:pPr>
                    <w:jc w:val="center"/>
                    <w:rPr>
                      <w:rFonts w:cs="Arial"/>
                    </w:rPr>
                  </w:pPr>
                  <w:r w:rsidRPr="001E3185">
                    <w:rPr>
                      <w:rFonts w:cs="Arial"/>
                    </w:rPr>
                    <w:t>1.40E-05</w:t>
                  </w:r>
                </w:p>
              </w:tc>
            </w:tr>
            <w:tr w:rsidR="00692E71" w:rsidRPr="001E3185" w14:paraId="0C6D9E49" w14:textId="77777777" w:rsidTr="008E0250">
              <w:trPr>
                <w:trHeight w:val="283"/>
              </w:trPr>
              <w:tc>
                <w:tcPr>
                  <w:tcW w:w="1467" w:type="pct"/>
                  <w:shd w:val="clear" w:color="auto" w:fill="auto"/>
                  <w:vAlign w:val="center"/>
                </w:tcPr>
                <w:p w14:paraId="3765CD54"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bottom"/>
                </w:tcPr>
                <w:p w14:paraId="5782D4D3" w14:textId="77777777" w:rsidR="00692E71" w:rsidRPr="001E3185" w:rsidRDefault="00692E71" w:rsidP="008E0250">
                  <w:pPr>
                    <w:jc w:val="center"/>
                    <w:rPr>
                      <w:rFonts w:cs="Arial"/>
                    </w:rPr>
                  </w:pPr>
                </w:p>
              </w:tc>
              <w:tc>
                <w:tcPr>
                  <w:tcW w:w="1623" w:type="pct"/>
                  <w:shd w:val="clear" w:color="auto" w:fill="auto"/>
                  <w:vAlign w:val="bottom"/>
                </w:tcPr>
                <w:p w14:paraId="512B7D2A" w14:textId="77777777" w:rsidR="00692E71" w:rsidRPr="001E3185" w:rsidRDefault="00692E71" w:rsidP="008E0250">
                  <w:pPr>
                    <w:jc w:val="center"/>
                    <w:rPr>
                      <w:rFonts w:cs="Arial"/>
                    </w:rPr>
                  </w:pPr>
                  <w:r w:rsidRPr="001E3185">
                    <w:rPr>
                      <w:rFonts w:cs="Arial"/>
                    </w:rPr>
                    <w:t>5.01E-03</w:t>
                  </w:r>
                </w:p>
              </w:tc>
            </w:tr>
            <w:tr w:rsidR="00692E71" w:rsidRPr="001E3185" w14:paraId="576951F0" w14:textId="77777777" w:rsidTr="008E0250">
              <w:trPr>
                <w:trHeight w:val="283"/>
              </w:trPr>
              <w:tc>
                <w:tcPr>
                  <w:tcW w:w="1467" w:type="pct"/>
                  <w:shd w:val="clear" w:color="auto" w:fill="auto"/>
                  <w:vAlign w:val="center"/>
                </w:tcPr>
                <w:p w14:paraId="645E0AD1" w14:textId="77777777" w:rsidR="00692E71" w:rsidRPr="001E3185" w:rsidRDefault="00692E71" w:rsidP="008E0250">
                  <w:pPr>
                    <w:jc w:val="center"/>
                    <w:rPr>
                      <w:rFonts w:cs="Arial"/>
                      <w:b/>
                      <w:iCs/>
                      <w:sz w:val="18"/>
                      <w:szCs w:val="18"/>
                    </w:rPr>
                  </w:pPr>
                  <w:r w:rsidRPr="001E3185">
                    <w:rPr>
                      <w:rFonts w:cs="Arial"/>
                      <w:b/>
                      <w:iCs/>
                      <w:sz w:val="18"/>
                      <w:szCs w:val="18"/>
                    </w:rPr>
                    <w:t>SEDIMENT</w:t>
                  </w:r>
                </w:p>
                <w:p w14:paraId="06D1EBE4" w14:textId="77777777" w:rsidR="00692E71" w:rsidRPr="001E3185" w:rsidRDefault="00692E71" w:rsidP="008E0250">
                  <w:pPr>
                    <w:jc w:val="center"/>
                    <w:rPr>
                      <w:rFonts w:cs="Arial"/>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3E5335E3"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23" w:type="pct"/>
                  <w:shd w:val="clear" w:color="auto" w:fill="auto"/>
                  <w:vAlign w:val="center"/>
                </w:tcPr>
                <w:p w14:paraId="194717D0" w14:textId="77777777" w:rsidR="00692E71" w:rsidRPr="001E3185" w:rsidRDefault="00692E71" w:rsidP="008E0250">
                  <w:pPr>
                    <w:jc w:val="center"/>
                    <w:rPr>
                      <w:rFonts w:cs="Arial"/>
                    </w:rPr>
                  </w:pPr>
                  <w:r w:rsidRPr="001E3185">
                    <w:rPr>
                      <w:rFonts w:cs="Arial"/>
                      <w:b/>
                    </w:rPr>
                    <w:t>PEC/PNEC</w:t>
                  </w:r>
                </w:p>
              </w:tc>
            </w:tr>
            <w:tr w:rsidR="00692E71" w:rsidRPr="001E3185" w14:paraId="4C431592" w14:textId="77777777" w:rsidTr="008E0250">
              <w:trPr>
                <w:trHeight w:val="283"/>
              </w:trPr>
              <w:tc>
                <w:tcPr>
                  <w:tcW w:w="1467" w:type="pct"/>
                  <w:shd w:val="clear" w:color="auto" w:fill="auto"/>
                  <w:vAlign w:val="center"/>
                </w:tcPr>
                <w:p w14:paraId="7E795A0C" w14:textId="77777777" w:rsidR="00692E71" w:rsidRPr="001E3185" w:rsidRDefault="00692E71" w:rsidP="008E0250">
                  <w:pPr>
                    <w:rPr>
                      <w:rFonts w:cs="Arial"/>
                      <w:bCs/>
                    </w:rPr>
                  </w:pPr>
                  <w:r w:rsidRPr="001E3185">
                    <w:rPr>
                      <w:rFonts w:cs="Arial"/>
                      <w:bCs/>
                    </w:rPr>
                    <w:t>Tebuconazole</w:t>
                  </w:r>
                </w:p>
              </w:tc>
              <w:tc>
                <w:tcPr>
                  <w:tcW w:w="1910" w:type="pct"/>
                  <w:shd w:val="clear" w:color="auto" w:fill="auto"/>
                </w:tcPr>
                <w:p w14:paraId="108073DA" w14:textId="77777777" w:rsidR="00692E71" w:rsidRPr="001E3185" w:rsidRDefault="00692E71" w:rsidP="008E0250">
                  <w:pPr>
                    <w:jc w:val="center"/>
                    <w:rPr>
                      <w:rFonts w:cs="Arial"/>
                    </w:rPr>
                  </w:pPr>
                  <w:r w:rsidRPr="001E3185">
                    <w:rPr>
                      <w:rFonts w:cs="Arial"/>
                    </w:rPr>
                    <w:t>3.35E-05</w:t>
                  </w:r>
                </w:p>
              </w:tc>
              <w:tc>
                <w:tcPr>
                  <w:tcW w:w="1623" w:type="pct"/>
                  <w:shd w:val="clear" w:color="auto" w:fill="auto"/>
                  <w:vAlign w:val="bottom"/>
                </w:tcPr>
                <w:p w14:paraId="2AE91E7B" w14:textId="77777777" w:rsidR="00692E71" w:rsidRPr="001E3185" w:rsidRDefault="00692E71" w:rsidP="008E0250">
                  <w:pPr>
                    <w:jc w:val="center"/>
                    <w:rPr>
                      <w:rFonts w:cs="Arial"/>
                    </w:rPr>
                  </w:pPr>
                  <w:r w:rsidRPr="001E3185">
                    <w:rPr>
                      <w:rFonts w:cs="Arial"/>
                    </w:rPr>
                    <w:t>6.10E-05</w:t>
                  </w:r>
                </w:p>
              </w:tc>
            </w:tr>
            <w:tr w:rsidR="00692E71" w:rsidRPr="001E3185" w14:paraId="6F6D0E38" w14:textId="77777777" w:rsidTr="008E0250">
              <w:trPr>
                <w:trHeight w:val="283"/>
              </w:trPr>
              <w:tc>
                <w:tcPr>
                  <w:tcW w:w="1467" w:type="pct"/>
                  <w:shd w:val="clear" w:color="auto" w:fill="auto"/>
                  <w:vAlign w:val="center"/>
                </w:tcPr>
                <w:p w14:paraId="449F676B" w14:textId="77777777" w:rsidR="00692E71" w:rsidRPr="001E3185" w:rsidRDefault="00692E71" w:rsidP="008E0250">
                  <w:pPr>
                    <w:rPr>
                      <w:rFonts w:cs="Arial"/>
                      <w:bCs/>
                    </w:rPr>
                  </w:pPr>
                  <w:r w:rsidRPr="001E3185">
                    <w:rPr>
                      <w:rFonts w:cs="Arial"/>
                      <w:bCs/>
                    </w:rPr>
                    <w:t>Propiconazole</w:t>
                  </w:r>
                </w:p>
              </w:tc>
              <w:tc>
                <w:tcPr>
                  <w:tcW w:w="1910" w:type="pct"/>
                  <w:shd w:val="clear" w:color="auto" w:fill="auto"/>
                </w:tcPr>
                <w:p w14:paraId="324F447F" w14:textId="77777777" w:rsidR="00692E71" w:rsidRPr="001E3185" w:rsidRDefault="00692E71" w:rsidP="008E0250">
                  <w:pPr>
                    <w:jc w:val="center"/>
                    <w:rPr>
                      <w:rFonts w:cs="Arial"/>
                    </w:rPr>
                  </w:pPr>
                  <w:r w:rsidRPr="001E3185">
                    <w:rPr>
                      <w:rFonts w:cs="Arial"/>
                    </w:rPr>
                    <w:t>8.46E-05</w:t>
                  </w:r>
                </w:p>
              </w:tc>
              <w:tc>
                <w:tcPr>
                  <w:tcW w:w="1623" w:type="pct"/>
                  <w:shd w:val="clear" w:color="auto" w:fill="auto"/>
                  <w:vAlign w:val="bottom"/>
                </w:tcPr>
                <w:p w14:paraId="260380B3" w14:textId="77777777" w:rsidR="00692E71" w:rsidRPr="001E3185" w:rsidRDefault="00692E71" w:rsidP="008E0250">
                  <w:pPr>
                    <w:jc w:val="center"/>
                    <w:rPr>
                      <w:rFonts w:cs="Arial"/>
                    </w:rPr>
                  </w:pPr>
                  <w:r w:rsidRPr="001E3185">
                    <w:rPr>
                      <w:rFonts w:cs="Arial"/>
                    </w:rPr>
                    <w:t>1.57E-03</w:t>
                  </w:r>
                </w:p>
              </w:tc>
            </w:tr>
            <w:tr w:rsidR="00692E71" w:rsidRPr="001E3185" w14:paraId="379195EA" w14:textId="77777777" w:rsidTr="008E0250">
              <w:trPr>
                <w:trHeight w:val="283"/>
              </w:trPr>
              <w:tc>
                <w:tcPr>
                  <w:tcW w:w="1467" w:type="pct"/>
                  <w:shd w:val="clear" w:color="auto" w:fill="auto"/>
                  <w:vAlign w:val="center"/>
                </w:tcPr>
                <w:p w14:paraId="45C76737" w14:textId="77777777" w:rsidR="00692E71" w:rsidRPr="001E3185" w:rsidRDefault="00692E71" w:rsidP="008E0250">
                  <w:pPr>
                    <w:rPr>
                      <w:rFonts w:cs="Arial"/>
                      <w:bCs/>
                    </w:rPr>
                  </w:pPr>
                  <w:r w:rsidRPr="001E3185">
                    <w:rPr>
                      <w:rFonts w:cs="Arial"/>
                      <w:bCs/>
                    </w:rPr>
                    <w:t>Cypermethrin</w:t>
                  </w:r>
                </w:p>
              </w:tc>
              <w:tc>
                <w:tcPr>
                  <w:tcW w:w="1910" w:type="pct"/>
                  <w:shd w:val="clear" w:color="auto" w:fill="auto"/>
                </w:tcPr>
                <w:p w14:paraId="0DCF7FFA" w14:textId="77777777" w:rsidR="00692E71" w:rsidRPr="001E3185" w:rsidRDefault="00692E71" w:rsidP="008E0250">
                  <w:pPr>
                    <w:jc w:val="center"/>
                    <w:rPr>
                      <w:rFonts w:cs="Arial"/>
                    </w:rPr>
                  </w:pPr>
                  <w:r w:rsidRPr="001E3185">
                    <w:rPr>
                      <w:rFonts w:cs="Arial"/>
                    </w:rPr>
                    <w:t>1.46E-04</w:t>
                  </w:r>
                </w:p>
              </w:tc>
              <w:tc>
                <w:tcPr>
                  <w:tcW w:w="1623" w:type="pct"/>
                  <w:shd w:val="clear" w:color="auto" w:fill="auto"/>
                  <w:vAlign w:val="bottom"/>
                </w:tcPr>
                <w:p w14:paraId="6C6D48DF" w14:textId="77777777" w:rsidR="00692E71" w:rsidRPr="001E3185" w:rsidRDefault="00692E71" w:rsidP="008E0250">
                  <w:pPr>
                    <w:jc w:val="center"/>
                    <w:rPr>
                      <w:rFonts w:cs="Arial"/>
                    </w:rPr>
                  </w:pPr>
                  <w:r w:rsidRPr="001E3185">
                    <w:rPr>
                      <w:rFonts w:cs="Arial"/>
                    </w:rPr>
                    <w:t>2.91E-02</w:t>
                  </w:r>
                </w:p>
              </w:tc>
            </w:tr>
            <w:tr w:rsidR="00692E71" w:rsidRPr="001E3185" w14:paraId="2CB33917" w14:textId="77777777" w:rsidTr="008E0250">
              <w:trPr>
                <w:trHeight w:val="283"/>
              </w:trPr>
              <w:tc>
                <w:tcPr>
                  <w:tcW w:w="1467" w:type="pct"/>
                  <w:shd w:val="clear" w:color="auto" w:fill="auto"/>
                  <w:vAlign w:val="center"/>
                </w:tcPr>
                <w:p w14:paraId="6730F212" w14:textId="77777777" w:rsidR="00692E71" w:rsidRPr="001E3185" w:rsidRDefault="00692E71" w:rsidP="008E0250">
                  <w:pPr>
                    <w:rPr>
                      <w:rFonts w:cs="Arial"/>
                      <w:bCs/>
                    </w:rPr>
                  </w:pPr>
                  <w:r w:rsidRPr="001E3185">
                    <w:rPr>
                      <w:rFonts w:cs="Arial"/>
                      <w:bCs/>
                    </w:rPr>
                    <w:t>PBC</w:t>
                  </w:r>
                </w:p>
              </w:tc>
              <w:tc>
                <w:tcPr>
                  <w:tcW w:w="1910" w:type="pct"/>
                  <w:shd w:val="clear" w:color="auto" w:fill="auto"/>
                </w:tcPr>
                <w:p w14:paraId="5BC381FE" w14:textId="77777777" w:rsidR="00692E71" w:rsidRPr="001E3185" w:rsidRDefault="00692E71" w:rsidP="008E0250">
                  <w:pPr>
                    <w:jc w:val="center"/>
                    <w:rPr>
                      <w:rFonts w:cs="Arial"/>
                    </w:rPr>
                  </w:pPr>
                  <w:r w:rsidRPr="001E3185">
                    <w:rPr>
                      <w:rFonts w:cs="Arial"/>
                    </w:rPr>
                    <w:t>2.94E-06</w:t>
                  </w:r>
                </w:p>
              </w:tc>
              <w:tc>
                <w:tcPr>
                  <w:tcW w:w="1623" w:type="pct"/>
                  <w:shd w:val="clear" w:color="auto" w:fill="auto"/>
                  <w:vAlign w:val="bottom"/>
                </w:tcPr>
                <w:p w14:paraId="765EC4DD" w14:textId="77777777" w:rsidR="00692E71" w:rsidRPr="001E3185" w:rsidRDefault="00692E71" w:rsidP="008E0250">
                  <w:pPr>
                    <w:jc w:val="center"/>
                    <w:rPr>
                      <w:rFonts w:cs="Arial"/>
                    </w:rPr>
                  </w:pPr>
                  <w:r w:rsidRPr="001E3185">
                    <w:rPr>
                      <w:rFonts w:cs="Arial"/>
                    </w:rPr>
                    <w:t>1.40E-05</w:t>
                  </w:r>
                </w:p>
              </w:tc>
            </w:tr>
            <w:tr w:rsidR="00692E71" w:rsidRPr="001E3185" w14:paraId="44137F67" w14:textId="77777777" w:rsidTr="008E0250">
              <w:trPr>
                <w:trHeight w:val="283"/>
              </w:trPr>
              <w:tc>
                <w:tcPr>
                  <w:tcW w:w="1467" w:type="pct"/>
                  <w:shd w:val="clear" w:color="auto" w:fill="auto"/>
                  <w:vAlign w:val="center"/>
                </w:tcPr>
                <w:p w14:paraId="72A1E2EC"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center"/>
                </w:tcPr>
                <w:p w14:paraId="478B6115" w14:textId="77777777" w:rsidR="00692E71" w:rsidRPr="001E3185" w:rsidRDefault="00692E71" w:rsidP="008E0250">
                  <w:pPr>
                    <w:jc w:val="center"/>
                    <w:rPr>
                      <w:rFonts w:cs="Arial"/>
                    </w:rPr>
                  </w:pPr>
                </w:p>
              </w:tc>
              <w:tc>
                <w:tcPr>
                  <w:tcW w:w="1623" w:type="pct"/>
                  <w:shd w:val="clear" w:color="auto" w:fill="auto"/>
                  <w:vAlign w:val="bottom"/>
                </w:tcPr>
                <w:p w14:paraId="49184B74" w14:textId="77777777" w:rsidR="00692E71" w:rsidRPr="001E3185" w:rsidRDefault="00692E71" w:rsidP="008E0250">
                  <w:pPr>
                    <w:jc w:val="center"/>
                    <w:rPr>
                      <w:rFonts w:cs="Arial"/>
                    </w:rPr>
                  </w:pPr>
                  <w:r w:rsidRPr="001E3185">
                    <w:rPr>
                      <w:rFonts w:cs="Arial"/>
                    </w:rPr>
                    <w:t>3.08E-02</w:t>
                  </w:r>
                </w:p>
              </w:tc>
            </w:tr>
          </w:tbl>
          <w:p w14:paraId="3B0B593A" w14:textId="77777777" w:rsidR="00692E71" w:rsidRPr="001E3185" w:rsidRDefault="00692E71" w:rsidP="008E0250">
            <w:pPr>
              <w:autoSpaceDE w:val="0"/>
              <w:autoSpaceDN w:val="0"/>
              <w:rPr>
                <w:rFonts w:cs="Arial"/>
                <w:sz w:val="18"/>
                <w:szCs w:val="18"/>
                <w:lang w:eastAsia="en-GB"/>
              </w:rPr>
            </w:pPr>
            <w:r w:rsidRPr="001E3185">
              <w:rPr>
                <w:rFonts w:cs="Arial"/>
                <w:sz w:val="18"/>
                <w:szCs w:val="18"/>
                <w:lang w:eastAsia="en-GB"/>
              </w:rPr>
              <w:t>* An additional factor of 10 has been considered as PNECsed was defined using the EPM method</w:t>
            </w:r>
          </w:p>
          <w:p w14:paraId="3D6AD27F" w14:textId="77777777" w:rsidR="00692E71" w:rsidRPr="001E3185" w:rsidRDefault="00692E71" w:rsidP="008E0250">
            <w:pPr>
              <w:rPr>
                <w:rFonts w:cs="Arial"/>
                <w:vanish/>
              </w:rPr>
            </w:pPr>
          </w:p>
          <w:p w14:paraId="461A3677" w14:textId="77777777" w:rsidR="00692E71" w:rsidRPr="001E3185" w:rsidRDefault="00692E71" w:rsidP="008E0250">
            <w:pPr>
              <w:autoSpaceDE w:val="0"/>
              <w:autoSpaceDN w:val="0"/>
              <w:spacing w:line="276" w:lineRule="auto"/>
              <w:rPr>
                <w:rFonts w:cs="Arial"/>
                <w:lang w:eastAsia="en-GB"/>
              </w:rPr>
            </w:pPr>
          </w:p>
          <w:p w14:paraId="76A85562"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Considering that all PEC/PNEC ratios for surface water and sediment are below 1, as well as the aggregated values, the risk for the aquatic compartment (including sediment) exposed to indirect releases via the STP is considered acceptable during the service life of treated wood with the product.</w:t>
            </w:r>
          </w:p>
          <w:p w14:paraId="1F6753EE" w14:textId="77777777" w:rsidR="00692E71" w:rsidRDefault="00692E71" w:rsidP="008E0250">
            <w:pPr>
              <w:autoSpaceDE w:val="0"/>
              <w:autoSpaceDN w:val="0"/>
              <w:spacing w:line="276" w:lineRule="auto"/>
              <w:rPr>
                <w:rFonts w:cs="Arial"/>
              </w:rPr>
            </w:pPr>
          </w:p>
          <w:p w14:paraId="32E08EDB" w14:textId="4EFCE2AD" w:rsidR="00B80FDF" w:rsidRPr="00B80FDF" w:rsidRDefault="00B80FDF" w:rsidP="00B80FDF">
            <w:pPr>
              <w:autoSpaceDE w:val="0"/>
              <w:autoSpaceDN w:val="0"/>
              <w:spacing w:line="276" w:lineRule="auto"/>
              <w:rPr>
                <w:rFonts w:cs="Arial"/>
              </w:rPr>
            </w:pPr>
            <w:r>
              <w:rPr>
                <w:rFonts w:cs="Arial"/>
              </w:rPr>
              <w:t>‘* A default value of 5 years for an in situ application and 15 years for an industrial application is used as average life span.</w:t>
            </w:r>
          </w:p>
        </w:tc>
      </w:tr>
    </w:tbl>
    <w:p w14:paraId="6F9C7354" w14:textId="77777777" w:rsidR="00692E71" w:rsidRPr="001E3185" w:rsidRDefault="00692E71" w:rsidP="00692E71">
      <w:pPr>
        <w:rPr>
          <w:rFonts w:cs="Arial"/>
        </w:rPr>
      </w:pPr>
    </w:p>
    <w:p w14:paraId="6001443E" w14:textId="77777777" w:rsidR="00692E71" w:rsidRPr="00FE0AC8" w:rsidRDefault="00692E71" w:rsidP="00FE0AC8">
      <w:pPr>
        <w:pStyle w:val="Titre5"/>
      </w:pPr>
      <w:bookmarkStart w:id="151" w:name="_Toc420432120"/>
      <w:r w:rsidRPr="00FE0AC8">
        <w:t>T</w:t>
      </w:r>
      <w:bookmarkEnd w:id="149"/>
      <w:r w:rsidRPr="00FE0AC8">
        <w:t>errestrial compartment</w:t>
      </w:r>
      <w:bookmarkEnd w:id="151"/>
    </w:p>
    <w:p w14:paraId="2BA3D990" w14:textId="77777777" w:rsidR="00692E71" w:rsidRPr="001E3185" w:rsidRDefault="00692E71" w:rsidP="00692E71">
      <w:pPr>
        <w:pStyle w:val="En-tte"/>
        <w:tabs>
          <w:tab w:val="clear" w:pos="4536"/>
          <w:tab w:val="clear" w:pos="9072"/>
        </w:tabs>
        <w:rPr>
          <w:rFonts w:ascii="Verdana" w:hAnsi="Verdana" w:cs="Arial"/>
          <w:b/>
          <w:bCs/>
        </w:rPr>
      </w:pPr>
    </w:p>
    <w:p w14:paraId="47DE3763" w14:textId="77777777" w:rsidR="00692E71" w:rsidRPr="001E3185" w:rsidRDefault="00692E71" w:rsidP="00692E71">
      <w:pPr>
        <w:rPr>
          <w:rFonts w:cs="Arial"/>
          <w:b/>
          <w:u w:val="single"/>
        </w:rPr>
      </w:pPr>
      <w:r w:rsidRPr="001E3185">
        <w:rPr>
          <w:rFonts w:cs="Arial"/>
          <w:b/>
          <w:u w:val="single"/>
        </w:rPr>
        <w:t>- Substances</w:t>
      </w:r>
    </w:p>
    <w:p w14:paraId="32FFB525" w14:textId="77777777" w:rsidR="00692E71" w:rsidRPr="001E3185" w:rsidRDefault="00692E71" w:rsidP="00692E71">
      <w:pPr>
        <w:pStyle w:val="En-tte"/>
        <w:tabs>
          <w:tab w:val="clear" w:pos="4536"/>
          <w:tab w:val="clear" w:pos="9072"/>
        </w:tabs>
        <w:rPr>
          <w:rFonts w:ascii="Verdana" w:hAnsi="Verdana" w:cs="Arial"/>
          <w:bCs/>
        </w:rPr>
      </w:pPr>
    </w:p>
    <w:p w14:paraId="16D520AA" w14:textId="77777777" w:rsidR="00692E71" w:rsidRPr="001E3185" w:rsidRDefault="00692E71" w:rsidP="00692E71">
      <w:pPr>
        <w:pStyle w:val="Lgende"/>
        <w:keepNext/>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52</w:t>
      </w:r>
      <w:r w:rsidRPr="001E3185">
        <w:rPr>
          <w:rFonts w:ascii="Verdana" w:hAnsi="Verdana"/>
        </w:rPr>
        <w:fldChar w:fldCharType="end"/>
      </w:r>
      <w:r w:rsidRPr="001E3185">
        <w:rPr>
          <w:rFonts w:ascii="Verdana" w:hAnsi="Verdana"/>
        </w:rPr>
        <w:t>: PEC/PNEC ratios for the soil compartment, industrial application, storage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6"/>
        <w:gridCol w:w="850"/>
        <w:gridCol w:w="1134"/>
        <w:gridCol w:w="1134"/>
        <w:gridCol w:w="1134"/>
        <w:gridCol w:w="1271"/>
      </w:tblGrid>
      <w:tr w:rsidR="00692E71" w:rsidRPr="001E3185" w14:paraId="2EA4E015" w14:textId="77777777" w:rsidTr="008E0250">
        <w:trPr>
          <w:trHeight w:val="20"/>
          <w:tblHeader/>
          <w:jc w:val="center"/>
        </w:trPr>
        <w:tc>
          <w:tcPr>
            <w:tcW w:w="3686" w:type="dxa"/>
            <w:shd w:val="clear" w:color="auto" w:fill="FFFFFF" w:themeFill="background1"/>
            <w:noWrap/>
            <w:vAlign w:val="bottom"/>
          </w:tcPr>
          <w:p w14:paraId="0952D388" w14:textId="77777777" w:rsidR="00692E71" w:rsidRPr="001E3185" w:rsidRDefault="00692E71" w:rsidP="008E0250">
            <w:pPr>
              <w:keepNext/>
              <w:rPr>
                <w:rFonts w:cs="Arial"/>
                <w:lang w:eastAsia="da-DK"/>
              </w:rPr>
            </w:pPr>
          </w:p>
        </w:tc>
        <w:tc>
          <w:tcPr>
            <w:tcW w:w="850" w:type="dxa"/>
            <w:shd w:val="clear" w:color="auto" w:fill="FFFFFF" w:themeFill="background1"/>
            <w:noWrap/>
            <w:vAlign w:val="bottom"/>
          </w:tcPr>
          <w:p w14:paraId="4989BD9B" w14:textId="77777777" w:rsidR="00692E71" w:rsidRPr="001E3185" w:rsidRDefault="00692E71" w:rsidP="008E0250">
            <w:pPr>
              <w:keepNext/>
              <w:jc w:val="center"/>
              <w:rPr>
                <w:rFonts w:cs="Arial"/>
                <w:b/>
                <w:lang w:eastAsia="da-DK"/>
              </w:rPr>
            </w:pPr>
            <w:r w:rsidRPr="001E3185">
              <w:rPr>
                <w:rFonts w:cs="Arial"/>
                <w:b/>
                <w:lang w:eastAsia="da-DK"/>
              </w:rPr>
              <w:t>IPBC</w:t>
            </w:r>
          </w:p>
        </w:tc>
        <w:tc>
          <w:tcPr>
            <w:tcW w:w="1134" w:type="dxa"/>
            <w:shd w:val="clear" w:color="auto" w:fill="FFFFFF" w:themeFill="background1"/>
            <w:noWrap/>
            <w:vAlign w:val="bottom"/>
          </w:tcPr>
          <w:p w14:paraId="443BBBCD" w14:textId="77777777" w:rsidR="00692E71" w:rsidRPr="001E3185" w:rsidRDefault="00692E71" w:rsidP="008E0250">
            <w:pPr>
              <w:keepNext/>
              <w:jc w:val="center"/>
              <w:rPr>
                <w:rFonts w:cs="Arial"/>
                <w:b/>
                <w:lang w:eastAsia="da-DK"/>
              </w:rPr>
            </w:pPr>
            <w:r w:rsidRPr="001E3185">
              <w:rPr>
                <w:rFonts w:cs="Arial"/>
                <w:b/>
                <w:lang w:eastAsia="da-DK"/>
              </w:rPr>
              <w:t>Propiconazole</w:t>
            </w:r>
          </w:p>
        </w:tc>
        <w:tc>
          <w:tcPr>
            <w:tcW w:w="1134" w:type="dxa"/>
            <w:shd w:val="clear" w:color="auto" w:fill="FFFFFF" w:themeFill="background1"/>
            <w:noWrap/>
            <w:vAlign w:val="bottom"/>
          </w:tcPr>
          <w:p w14:paraId="42A06ECE" w14:textId="77777777" w:rsidR="00692E71" w:rsidRPr="001E3185" w:rsidRDefault="00692E71" w:rsidP="008E0250">
            <w:pPr>
              <w:keepNext/>
              <w:jc w:val="center"/>
              <w:rPr>
                <w:rFonts w:cs="Arial"/>
                <w:b/>
                <w:lang w:eastAsia="da-DK"/>
              </w:rPr>
            </w:pPr>
            <w:r w:rsidRPr="001E3185">
              <w:rPr>
                <w:rFonts w:cs="Arial"/>
                <w:b/>
                <w:lang w:eastAsia="da-DK"/>
              </w:rPr>
              <w:t>Tebuconazole</w:t>
            </w:r>
          </w:p>
        </w:tc>
        <w:tc>
          <w:tcPr>
            <w:tcW w:w="1134" w:type="dxa"/>
            <w:shd w:val="clear" w:color="auto" w:fill="FFFFFF" w:themeFill="background1"/>
          </w:tcPr>
          <w:p w14:paraId="1FC7ABAE" w14:textId="77777777" w:rsidR="00692E71" w:rsidRPr="001E3185" w:rsidRDefault="00692E71" w:rsidP="008E0250">
            <w:pPr>
              <w:keepNext/>
              <w:jc w:val="center"/>
              <w:rPr>
                <w:rFonts w:cs="Arial"/>
                <w:b/>
                <w:lang w:eastAsia="da-DK"/>
              </w:rPr>
            </w:pPr>
            <w:r w:rsidRPr="001E3185">
              <w:rPr>
                <w:rFonts w:cs="Arial"/>
                <w:b/>
                <w:lang w:eastAsia="da-DK"/>
              </w:rPr>
              <w:t>Cyperme</w:t>
            </w:r>
            <w:r w:rsidRPr="001E3185">
              <w:rPr>
                <w:rFonts w:cs="Arial"/>
                <w:b/>
                <w:lang w:eastAsia="da-DK"/>
              </w:rPr>
              <w:softHyphen/>
              <w:t>thrin</w:t>
            </w:r>
          </w:p>
        </w:tc>
        <w:tc>
          <w:tcPr>
            <w:tcW w:w="1271" w:type="dxa"/>
            <w:shd w:val="clear" w:color="auto" w:fill="FFFFFF" w:themeFill="background1"/>
          </w:tcPr>
          <w:p w14:paraId="4A11F9B1" w14:textId="77777777" w:rsidR="00692E71" w:rsidRPr="001E3185" w:rsidRDefault="00692E71" w:rsidP="008E0250">
            <w:pPr>
              <w:keepNext/>
              <w:jc w:val="center"/>
              <w:rPr>
                <w:rFonts w:cs="Arial"/>
                <w:b/>
                <w:lang w:eastAsia="da-DK"/>
              </w:rPr>
            </w:pPr>
            <w:r w:rsidRPr="001E3185">
              <w:rPr>
                <w:rFonts w:cs="Arial"/>
                <w:b/>
                <w:bCs/>
              </w:rPr>
              <w:t>Total PEC/PNEC</w:t>
            </w:r>
          </w:p>
        </w:tc>
      </w:tr>
      <w:tr w:rsidR="00692E71" w:rsidRPr="001E3185" w14:paraId="302C6422" w14:textId="77777777" w:rsidTr="008E0250">
        <w:trPr>
          <w:trHeight w:val="20"/>
          <w:jc w:val="center"/>
        </w:trPr>
        <w:tc>
          <w:tcPr>
            <w:tcW w:w="3686" w:type="dxa"/>
            <w:shd w:val="clear" w:color="auto" w:fill="FFFFFF" w:themeFill="background1"/>
            <w:noWrap/>
            <w:vAlign w:val="bottom"/>
          </w:tcPr>
          <w:p w14:paraId="063544DF" w14:textId="77777777" w:rsidR="00692E71" w:rsidRPr="001E3185" w:rsidRDefault="00692E71" w:rsidP="008E0250">
            <w:pPr>
              <w:rPr>
                <w:rFonts w:cs="Arial"/>
                <w:b/>
                <w:lang w:eastAsia="da-DK"/>
              </w:rPr>
            </w:pPr>
            <w:r w:rsidRPr="001E3185">
              <w:rPr>
                <w:rFonts w:cs="Arial"/>
                <w:b/>
                <w:lang w:eastAsia="da-DK"/>
              </w:rPr>
              <w:t>Dipping (soil)</w:t>
            </w:r>
          </w:p>
        </w:tc>
        <w:tc>
          <w:tcPr>
            <w:tcW w:w="850" w:type="dxa"/>
            <w:shd w:val="clear" w:color="auto" w:fill="FFFFFF" w:themeFill="background1"/>
            <w:noWrap/>
            <w:vAlign w:val="bottom"/>
          </w:tcPr>
          <w:p w14:paraId="449FDE2D" w14:textId="77777777" w:rsidR="00692E71" w:rsidRPr="001E3185" w:rsidRDefault="00692E71" w:rsidP="008E0250">
            <w:pPr>
              <w:jc w:val="center"/>
              <w:rPr>
                <w:rFonts w:cs="Arial"/>
                <w:lang w:eastAsia="da-DK"/>
              </w:rPr>
            </w:pPr>
          </w:p>
        </w:tc>
        <w:tc>
          <w:tcPr>
            <w:tcW w:w="1134" w:type="dxa"/>
            <w:shd w:val="clear" w:color="auto" w:fill="FFFFFF" w:themeFill="background1"/>
            <w:noWrap/>
            <w:vAlign w:val="bottom"/>
          </w:tcPr>
          <w:p w14:paraId="441B42E8" w14:textId="77777777" w:rsidR="00692E71" w:rsidRPr="001E3185" w:rsidRDefault="00692E71" w:rsidP="008E0250">
            <w:pPr>
              <w:jc w:val="center"/>
              <w:rPr>
                <w:rFonts w:cs="Arial"/>
                <w:lang w:eastAsia="da-DK"/>
              </w:rPr>
            </w:pPr>
          </w:p>
        </w:tc>
        <w:tc>
          <w:tcPr>
            <w:tcW w:w="1134" w:type="dxa"/>
            <w:shd w:val="clear" w:color="auto" w:fill="FFFFFF" w:themeFill="background1"/>
            <w:noWrap/>
            <w:vAlign w:val="bottom"/>
          </w:tcPr>
          <w:p w14:paraId="64E2A0F6" w14:textId="77777777" w:rsidR="00692E71" w:rsidRPr="001E3185" w:rsidRDefault="00692E71" w:rsidP="008E0250">
            <w:pPr>
              <w:jc w:val="center"/>
              <w:rPr>
                <w:rFonts w:cs="Arial"/>
                <w:lang w:eastAsia="da-DK"/>
              </w:rPr>
            </w:pPr>
          </w:p>
        </w:tc>
        <w:tc>
          <w:tcPr>
            <w:tcW w:w="1134" w:type="dxa"/>
            <w:shd w:val="clear" w:color="auto" w:fill="FFFFFF" w:themeFill="background1"/>
          </w:tcPr>
          <w:p w14:paraId="6545DFAC" w14:textId="77777777" w:rsidR="00692E71" w:rsidRPr="001E3185" w:rsidRDefault="00692E71" w:rsidP="008E0250">
            <w:pPr>
              <w:jc w:val="center"/>
              <w:rPr>
                <w:rFonts w:cs="Arial"/>
                <w:lang w:eastAsia="da-DK"/>
              </w:rPr>
            </w:pPr>
          </w:p>
        </w:tc>
        <w:tc>
          <w:tcPr>
            <w:tcW w:w="1271" w:type="dxa"/>
            <w:shd w:val="clear" w:color="auto" w:fill="FFFFFF" w:themeFill="background1"/>
          </w:tcPr>
          <w:p w14:paraId="44A2AF50" w14:textId="77777777" w:rsidR="00692E71" w:rsidRPr="001E3185" w:rsidRDefault="00692E71" w:rsidP="008E0250">
            <w:pPr>
              <w:jc w:val="center"/>
              <w:rPr>
                <w:rFonts w:cs="Arial"/>
                <w:lang w:eastAsia="da-DK"/>
              </w:rPr>
            </w:pPr>
          </w:p>
        </w:tc>
      </w:tr>
      <w:tr w:rsidR="00692E71" w:rsidRPr="001E3185" w14:paraId="610C2346" w14:textId="77777777" w:rsidTr="008E0250">
        <w:trPr>
          <w:trHeight w:val="20"/>
          <w:jc w:val="center"/>
        </w:trPr>
        <w:tc>
          <w:tcPr>
            <w:tcW w:w="3686" w:type="dxa"/>
            <w:shd w:val="clear" w:color="auto" w:fill="FFFFFF" w:themeFill="background1"/>
            <w:noWrap/>
            <w:vAlign w:val="center"/>
          </w:tcPr>
          <w:p w14:paraId="320A3E8D" w14:textId="77777777" w:rsidR="00692E71" w:rsidRPr="001E3185" w:rsidRDefault="00692E71" w:rsidP="008E0250">
            <w:pPr>
              <w:rPr>
                <w:rFonts w:cs="Arial"/>
                <w:lang w:eastAsia="da-DK"/>
              </w:rPr>
            </w:pPr>
            <w:r w:rsidRPr="001E3185">
              <w:rPr>
                <w:rFonts w:cs="Arial"/>
              </w:rPr>
              <w:t>PEC/PNEC in soil at storage place at the end of the initial assessment period [mg.kg</w:t>
            </w:r>
            <w:r w:rsidRPr="001E3185">
              <w:rPr>
                <w:rFonts w:cs="Arial"/>
                <w:vertAlign w:val="subscript"/>
              </w:rPr>
              <w:t>wwt</w:t>
            </w:r>
            <w:r w:rsidRPr="001E3185">
              <w:rPr>
                <w:rFonts w:cs="Arial"/>
                <w:vertAlign w:val="superscript"/>
              </w:rPr>
              <w:t>-1</w:t>
            </w:r>
            <w:r w:rsidRPr="001E3185">
              <w:rPr>
                <w:rFonts w:cs="Arial"/>
              </w:rPr>
              <w:t>]</w:t>
            </w:r>
          </w:p>
        </w:tc>
        <w:tc>
          <w:tcPr>
            <w:tcW w:w="850" w:type="dxa"/>
            <w:shd w:val="clear" w:color="auto" w:fill="FFFFFF" w:themeFill="background1"/>
            <w:noWrap/>
            <w:vAlign w:val="center"/>
          </w:tcPr>
          <w:p w14:paraId="4E0E64AA" w14:textId="77777777" w:rsidR="00692E71" w:rsidRPr="001E3185" w:rsidRDefault="00692E71" w:rsidP="008E0250">
            <w:pPr>
              <w:jc w:val="center"/>
              <w:rPr>
                <w:rFonts w:cs="Arial"/>
                <w:lang w:eastAsia="da-DK"/>
              </w:rPr>
            </w:pPr>
            <w:r w:rsidRPr="001E3185">
              <w:rPr>
                <w:rFonts w:cs="Arial"/>
                <w:color w:val="000000"/>
              </w:rPr>
              <w:t>7.41</w:t>
            </w:r>
          </w:p>
        </w:tc>
        <w:tc>
          <w:tcPr>
            <w:tcW w:w="1134" w:type="dxa"/>
            <w:shd w:val="clear" w:color="auto" w:fill="FFFFFF" w:themeFill="background1"/>
            <w:noWrap/>
            <w:vAlign w:val="center"/>
          </w:tcPr>
          <w:p w14:paraId="1938A580" w14:textId="77777777" w:rsidR="00692E71" w:rsidRPr="001E3185" w:rsidRDefault="00692E71" w:rsidP="008E0250">
            <w:pPr>
              <w:jc w:val="center"/>
              <w:rPr>
                <w:rFonts w:cs="Arial"/>
              </w:rPr>
            </w:pPr>
            <w:r w:rsidRPr="001E3185">
              <w:rPr>
                <w:rFonts w:cs="Arial"/>
                <w:color w:val="000000"/>
              </w:rPr>
              <w:t>1.32</w:t>
            </w:r>
          </w:p>
        </w:tc>
        <w:tc>
          <w:tcPr>
            <w:tcW w:w="1134" w:type="dxa"/>
            <w:shd w:val="clear" w:color="auto" w:fill="FFFFFF" w:themeFill="background1"/>
            <w:noWrap/>
            <w:vAlign w:val="center"/>
          </w:tcPr>
          <w:p w14:paraId="2D31EDE0" w14:textId="77777777" w:rsidR="00692E71" w:rsidRPr="001E3185" w:rsidRDefault="00692E71" w:rsidP="008E0250">
            <w:pPr>
              <w:jc w:val="center"/>
              <w:rPr>
                <w:rFonts w:cs="Arial"/>
              </w:rPr>
            </w:pPr>
            <w:r w:rsidRPr="001E3185">
              <w:rPr>
                <w:rFonts w:cs="Arial"/>
                <w:color w:val="000000"/>
              </w:rPr>
              <w:t>0.58</w:t>
            </w:r>
          </w:p>
        </w:tc>
        <w:tc>
          <w:tcPr>
            <w:tcW w:w="1134" w:type="dxa"/>
            <w:shd w:val="clear" w:color="auto" w:fill="FFFFFF" w:themeFill="background1"/>
            <w:vAlign w:val="center"/>
          </w:tcPr>
          <w:p w14:paraId="6F7F8410" w14:textId="77777777" w:rsidR="00692E71" w:rsidRPr="001E3185" w:rsidRDefault="00692E71" w:rsidP="008E0250">
            <w:pPr>
              <w:jc w:val="center"/>
              <w:rPr>
                <w:rFonts w:cs="Arial"/>
              </w:rPr>
            </w:pPr>
            <w:r w:rsidRPr="001E3185">
              <w:rPr>
                <w:rFonts w:cs="Arial"/>
                <w:color w:val="000000"/>
              </w:rPr>
              <w:t>4.2*10</w:t>
            </w:r>
            <w:r w:rsidRPr="001E3185">
              <w:rPr>
                <w:rFonts w:cs="Arial"/>
                <w:color w:val="000000"/>
                <w:vertAlign w:val="superscript"/>
              </w:rPr>
              <w:t>-3</w:t>
            </w:r>
          </w:p>
        </w:tc>
        <w:tc>
          <w:tcPr>
            <w:tcW w:w="1271" w:type="dxa"/>
            <w:shd w:val="clear" w:color="auto" w:fill="FFFFFF" w:themeFill="background1"/>
            <w:vAlign w:val="center"/>
          </w:tcPr>
          <w:p w14:paraId="09FA43EA" w14:textId="77777777" w:rsidR="00692E71" w:rsidRPr="001E3185" w:rsidRDefault="00692E71" w:rsidP="008E0250">
            <w:pPr>
              <w:jc w:val="center"/>
              <w:rPr>
                <w:rFonts w:cs="Arial"/>
              </w:rPr>
            </w:pPr>
            <w:r w:rsidRPr="001E3185">
              <w:rPr>
                <w:rFonts w:cs="Arial"/>
                <w:color w:val="000000"/>
              </w:rPr>
              <w:t>9</w:t>
            </w:r>
          </w:p>
        </w:tc>
      </w:tr>
      <w:tr w:rsidR="00692E71" w:rsidRPr="001E3185" w14:paraId="130E5C79" w14:textId="77777777" w:rsidTr="008E0250">
        <w:trPr>
          <w:trHeight w:val="20"/>
          <w:jc w:val="center"/>
        </w:trPr>
        <w:tc>
          <w:tcPr>
            <w:tcW w:w="3686" w:type="dxa"/>
            <w:shd w:val="clear" w:color="auto" w:fill="FFFFFF" w:themeFill="background1"/>
            <w:noWrap/>
            <w:vAlign w:val="center"/>
          </w:tcPr>
          <w:p w14:paraId="29B22845" w14:textId="77777777" w:rsidR="00692E71" w:rsidRPr="001E3185" w:rsidRDefault="00692E71" w:rsidP="008E0250">
            <w:pPr>
              <w:rPr>
                <w:rFonts w:cs="Arial"/>
                <w:lang w:eastAsia="da-DK"/>
              </w:rPr>
            </w:pPr>
            <w:r w:rsidRPr="001E3185">
              <w:rPr>
                <w:rFonts w:cs="Arial"/>
              </w:rPr>
              <w:t>PEC/PNEC in soil at storage place at the end of a longer assessment period [mg.kg</w:t>
            </w:r>
            <w:r w:rsidRPr="001E3185">
              <w:rPr>
                <w:rFonts w:cs="Arial"/>
                <w:vertAlign w:val="subscript"/>
              </w:rPr>
              <w:t>wwt</w:t>
            </w:r>
            <w:r w:rsidRPr="001E3185">
              <w:rPr>
                <w:rFonts w:cs="Arial"/>
                <w:vertAlign w:val="superscript"/>
              </w:rPr>
              <w:t>-1</w:t>
            </w:r>
            <w:r w:rsidRPr="001E3185">
              <w:rPr>
                <w:rFonts w:cs="Arial"/>
              </w:rPr>
              <w:t>]</w:t>
            </w:r>
          </w:p>
        </w:tc>
        <w:tc>
          <w:tcPr>
            <w:tcW w:w="850" w:type="dxa"/>
            <w:shd w:val="clear" w:color="auto" w:fill="FFFFFF" w:themeFill="background1"/>
            <w:noWrap/>
            <w:vAlign w:val="center"/>
          </w:tcPr>
          <w:p w14:paraId="32BFB1DD" w14:textId="77777777" w:rsidR="00692E71" w:rsidRPr="001E3185" w:rsidRDefault="00692E71" w:rsidP="008E0250">
            <w:pPr>
              <w:jc w:val="center"/>
              <w:rPr>
                <w:rFonts w:cs="Arial"/>
                <w:lang w:eastAsia="da-DK"/>
              </w:rPr>
            </w:pPr>
            <w:r w:rsidRPr="001E3185">
              <w:rPr>
                <w:rFonts w:cs="Arial"/>
                <w:color w:val="000000"/>
              </w:rPr>
              <w:t>1352</w:t>
            </w:r>
          </w:p>
        </w:tc>
        <w:tc>
          <w:tcPr>
            <w:tcW w:w="1134" w:type="dxa"/>
            <w:shd w:val="clear" w:color="auto" w:fill="FFFFFF" w:themeFill="background1"/>
            <w:noWrap/>
            <w:vAlign w:val="center"/>
          </w:tcPr>
          <w:p w14:paraId="7F173A1B" w14:textId="77777777" w:rsidR="00692E71" w:rsidRPr="001E3185" w:rsidRDefault="00692E71" w:rsidP="008E0250">
            <w:pPr>
              <w:jc w:val="center"/>
              <w:rPr>
                <w:rFonts w:cs="Arial"/>
              </w:rPr>
            </w:pPr>
            <w:r w:rsidRPr="001E3185">
              <w:rPr>
                <w:rFonts w:cs="Arial"/>
                <w:color w:val="000000"/>
              </w:rPr>
              <w:t>241</w:t>
            </w:r>
          </w:p>
        </w:tc>
        <w:tc>
          <w:tcPr>
            <w:tcW w:w="1134" w:type="dxa"/>
            <w:shd w:val="clear" w:color="auto" w:fill="FFFFFF" w:themeFill="background1"/>
            <w:noWrap/>
            <w:vAlign w:val="center"/>
          </w:tcPr>
          <w:p w14:paraId="391D214F" w14:textId="77777777" w:rsidR="00692E71" w:rsidRPr="001E3185" w:rsidRDefault="00692E71" w:rsidP="008E0250">
            <w:pPr>
              <w:jc w:val="center"/>
              <w:rPr>
                <w:rFonts w:cs="Arial"/>
              </w:rPr>
            </w:pPr>
            <w:r w:rsidRPr="001E3185">
              <w:rPr>
                <w:rFonts w:cs="Arial"/>
                <w:color w:val="000000"/>
              </w:rPr>
              <w:t>106</w:t>
            </w:r>
          </w:p>
        </w:tc>
        <w:tc>
          <w:tcPr>
            <w:tcW w:w="1134" w:type="dxa"/>
            <w:shd w:val="clear" w:color="auto" w:fill="FFFFFF" w:themeFill="background1"/>
            <w:vAlign w:val="center"/>
          </w:tcPr>
          <w:p w14:paraId="2D93A526" w14:textId="77777777" w:rsidR="00692E71" w:rsidRPr="001E3185" w:rsidRDefault="00692E71" w:rsidP="008E0250">
            <w:pPr>
              <w:jc w:val="center"/>
              <w:rPr>
                <w:rFonts w:cs="Arial"/>
              </w:rPr>
            </w:pPr>
            <w:r w:rsidRPr="001E3185">
              <w:rPr>
                <w:rFonts w:cs="Arial"/>
                <w:color w:val="000000"/>
              </w:rPr>
              <w:t>0.77</w:t>
            </w:r>
          </w:p>
        </w:tc>
        <w:tc>
          <w:tcPr>
            <w:tcW w:w="1271" w:type="dxa"/>
            <w:shd w:val="clear" w:color="auto" w:fill="FFFFFF" w:themeFill="background1"/>
            <w:vAlign w:val="center"/>
          </w:tcPr>
          <w:p w14:paraId="1433674B" w14:textId="77777777" w:rsidR="00692E71" w:rsidRPr="001E3185" w:rsidRDefault="00692E71" w:rsidP="008E0250">
            <w:pPr>
              <w:jc w:val="center"/>
              <w:rPr>
                <w:rFonts w:cs="Arial"/>
              </w:rPr>
            </w:pPr>
            <w:r w:rsidRPr="001E3185">
              <w:rPr>
                <w:rFonts w:cs="Arial"/>
                <w:color w:val="000000"/>
              </w:rPr>
              <w:t>1700</w:t>
            </w:r>
          </w:p>
        </w:tc>
      </w:tr>
      <w:tr w:rsidR="00692E71" w:rsidRPr="001E3185" w14:paraId="44888BD0" w14:textId="77777777" w:rsidTr="008E0250">
        <w:trPr>
          <w:trHeight w:val="20"/>
          <w:jc w:val="center"/>
        </w:trPr>
        <w:tc>
          <w:tcPr>
            <w:tcW w:w="3686" w:type="dxa"/>
            <w:shd w:val="clear" w:color="auto" w:fill="FFFFFF" w:themeFill="background1"/>
            <w:noWrap/>
            <w:vAlign w:val="bottom"/>
          </w:tcPr>
          <w:p w14:paraId="28FE5896" w14:textId="77777777" w:rsidR="00692E71" w:rsidRPr="001E3185" w:rsidRDefault="00692E71" w:rsidP="008E0250">
            <w:pPr>
              <w:rPr>
                <w:rFonts w:cs="Arial"/>
                <w:b/>
                <w:lang w:eastAsia="da-DK"/>
              </w:rPr>
            </w:pPr>
          </w:p>
        </w:tc>
        <w:tc>
          <w:tcPr>
            <w:tcW w:w="850" w:type="dxa"/>
            <w:shd w:val="clear" w:color="auto" w:fill="FFFFFF" w:themeFill="background1"/>
            <w:noWrap/>
            <w:vAlign w:val="center"/>
          </w:tcPr>
          <w:p w14:paraId="40994909"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5393B03D" w14:textId="77777777" w:rsidR="00692E71" w:rsidRPr="001E3185" w:rsidRDefault="00692E71" w:rsidP="008E0250">
            <w:pPr>
              <w:jc w:val="center"/>
              <w:rPr>
                <w:rFonts w:cs="Arial"/>
              </w:rPr>
            </w:pPr>
          </w:p>
        </w:tc>
        <w:tc>
          <w:tcPr>
            <w:tcW w:w="1134" w:type="dxa"/>
            <w:shd w:val="clear" w:color="auto" w:fill="FFFFFF" w:themeFill="background1"/>
            <w:noWrap/>
            <w:vAlign w:val="center"/>
          </w:tcPr>
          <w:p w14:paraId="63DD096C" w14:textId="77777777" w:rsidR="00692E71" w:rsidRPr="001E3185" w:rsidRDefault="00692E71" w:rsidP="008E0250">
            <w:pPr>
              <w:jc w:val="center"/>
              <w:rPr>
                <w:rFonts w:cs="Arial"/>
              </w:rPr>
            </w:pPr>
          </w:p>
        </w:tc>
        <w:tc>
          <w:tcPr>
            <w:tcW w:w="1134" w:type="dxa"/>
            <w:shd w:val="clear" w:color="auto" w:fill="FFFFFF" w:themeFill="background1"/>
            <w:vAlign w:val="center"/>
          </w:tcPr>
          <w:p w14:paraId="31BF5857" w14:textId="77777777" w:rsidR="00692E71" w:rsidRPr="001E3185" w:rsidRDefault="00692E71" w:rsidP="008E0250">
            <w:pPr>
              <w:jc w:val="center"/>
              <w:rPr>
                <w:rFonts w:cs="Arial"/>
              </w:rPr>
            </w:pPr>
          </w:p>
        </w:tc>
        <w:tc>
          <w:tcPr>
            <w:tcW w:w="1271" w:type="dxa"/>
            <w:shd w:val="clear" w:color="auto" w:fill="FFFFFF" w:themeFill="background1"/>
            <w:vAlign w:val="center"/>
          </w:tcPr>
          <w:p w14:paraId="14ACCEDC" w14:textId="77777777" w:rsidR="00692E71" w:rsidRPr="001E3185" w:rsidRDefault="00692E71" w:rsidP="008E0250">
            <w:pPr>
              <w:jc w:val="center"/>
              <w:rPr>
                <w:rFonts w:cs="Arial"/>
              </w:rPr>
            </w:pPr>
          </w:p>
        </w:tc>
      </w:tr>
      <w:tr w:rsidR="00692E71" w:rsidRPr="001E3185" w14:paraId="63942915" w14:textId="77777777" w:rsidTr="008E0250">
        <w:trPr>
          <w:trHeight w:val="20"/>
          <w:jc w:val="center"/>
        </w:trPr>
        <w:tc>
          <w:tcPr>
            <w:tcW w:w="3686" w:type="dxa"/>
            <w:shd w:val="clear" w:color="auto" w:fill="FFFFFF" w:themeFill="background1"/>
            <w:noWrap/>
            <w:vAlign w:val="center"/>
          </w:tcPr>
          <w:p w14:paraId="456885C0" w14:textId="77777777" w:rsidR="00692E71" w:rsidRPr="001E3185" w:rsidRDefault="00692E71" w:rsidP="008E0250">
            <w:pPr>
              <w:rPr>
                <w:rFonts w:cs="Arial"/>
                <w:b/>
                <w:lang w:eastAsia="da-DK"/>
              </w:rPr>
            </w:pPr>
            <w:r w:rsidRPr="001E3185">
              <w:rPr>
                <w:rFonts w:cs="Arial"/>
              </w:rPr>
              <w:t>PEC/PNEC in soil at storage place at the end of the initial assessment period with removal [mg.kg</w:t>
            </w:r>
            <w:r w:rsidRPr="001E3185">
              <w:rPr>
                <w:rFonts w:cs="Arial"/>
                <w:vertAlign w:val="subscript"/>
              </w:rPr>
              <w:t>wwt</w:t>
            </w:r>
            <w:r w:rsidRPr="001E3185">
              <w:rPr>
                <w:rFonts w:cs="Arial"/>
                <w:vertAlign w:val="superscript"/>
              </w:rPr>
              <w:t>-1</w:t>
            </w:r>
            <w:r w:rsidRPr="001E3185">
              <w:rPr>
                <w:rFonts w:cs="Arial"/>
              </w:rPr>
              <w:t>]</w:t>
            </w:r>
          </w:p>
        </w:tc>
        <w:tc>
          <w:tcPr>
            <w:tcW w:w="850" w:type="dxa"/>
            <w:shd w:val="clear" w:color="auto" w:fill="FFFFFF" w:themeFill="background1"/>
            <w:noWrap/>
            <w:vAlign w:val="center"/>
          </w:tcPr>
          <w:p w14:paraId="55DFF2C3" w14:textId="77777777" w:rsidR="00692E71" w:rsidRPr="001E3185" w:rsidRDefault="00692E71" w:rsidP="008E0250">
            <w:pPr>
              <w:jc w:val="center"/>
              <w:rPr>
                <w:rFonts w:cs="Arial"/>
                <w:lang w:eastAsia="da-DK"/>
              </w:rPr>
            </w:pPr>
            <w:r w:rsidRPr="001E3185">
              <w:rPr>
                <w:rFonts w:cs="Arial"/>
                <w:color w:val="000000"/>
              </w:rPr>
              <w:t>0.01</w:t>
            </w:r>
          </w:p>
        </w:tc>
        <w:tc>
          <w:tcPr>
            <w:tcW w:w="1134" w:type="dxa"/>
            <w:shd w:val="clear" w:color="auto" w:fill="FFFFFF" w:themeFill="background1"/>
            <w:noWrap/>
            <w:vAlign w:val="center"/>
          </w:tcPr>
          <w:p w14:paraId="0B70FEC8" w14:textId="77777777" w:rsidR="00692E71" w:rsidRPr="001E3185" w:rsidRDefault="00692E71" w:rsidP="008E0250">
            <w:pPr>
              <w:jc w:val="center"/>
              <w:rPr>
                <w:rFonts w:cs="Arial"/>
              </w:rPr>
            </w:pPr>
            <w:r w:rsidRPr="001E3185">
              <w:rPr>
                <w:rFonts w:cs="Arial"/>
                <w:color w:val="000000"/>
              </w:rPr>
              <w:t>1.22</w:t>
            </w:r>
          </w:p>
        </w:tc>
        <w:tc>
          <w:tcPr>
            <w:tcW w:w="1134" w:type="dxa"/>
            <w:shd w:val="clear" w:color="auto" w:fill="FFFFFF" w:themeFill="background1"/>
            <w:noWrap/>
            <w:vAlign w:val="center"/>
          </w:tcPr>
          <w:p w14:paraId="08EAED44" w14:textId="77777777" w:rsidR="00692E71" w:rsidRPr="001E3185" w:rsidRDefault="00692E71" w:rsidP="008E0250">
            <w:pPr>
              <w:jc w:val="center"/>
              <w:rPr>
                <w:rFonts w:cs="Arial"/>
              </w:rPr>
            </w:pPr>
            <w:r w:rsidRPr="001E3185">
              <w:rPr>
                <w:rFonts w:cs="Arial"/>
                <w:color w:val="000000"/>
              </w:rPr>
              <w:t>0.51</w:t>
            </w:r>
          </w:p>
        </w:tc>
        <w:tc>
          <w:tcPr>
            <w:tcW w:w="1134" w:type="dxa"/>
            <w:shd w:val="clear" w:color="auto" w:fill="FFFFFF" w:themeFill="background1"/>
            <w:vAlign w:val="center"/>
          </w:tcPr>
          <w:p w14:paraId="379CFC6E" w14:textId="77777777" w:rsidR="00692E71" w:rsidRPr="001E3185" w:rsidRDefault="00692E71" w:rsidP="008E0250">
            <w:pPr>
              <w:jc w:val="center"/>
              <w:rPr>
                <w:rFonts w:cs="Arial"/>
              </w:rPr>
            </w:pPr>
            <w:r w:rsidRPr="001E3185">
              <w:rPr>
                <w:rFonts w:cs="Arial"/>
                <w:color w:val="000000"/>
              </w:rPr>
              <w:t>2.4*10</w:t>
            </w:r>
            <w:r w:rsidRPr="001E3185">
              <w:rPr>
                <w:rFonts w:cs="Arial"/>
                <w:color w:val="000000"/>
                <w:vertAlign w:val="superscript"/>
              </w:rPr>
              <w:t>-3</w:t>
            </w:r>
          </w:p>
        </w:tc>
        <w:tc>
          <w:tcPr>
            <w:tcW w:w="1271" w:type="dxa"/>
            <w:shd w:val="clear" w:color="auto" w:fill="FFFFFF" w:themeFill="background1"/>
            <w:vAlign w:val="center"/>
          </w:tcPr>
          <w:p w14:paraId="1C8CE0AE" w14:textId="77777777" w:rsidR="00692E71" w:rsidRPr="001E3185" w:rsidRDefault="00692E71" w:rsidP="008E0250">
            <w:pPr>
              <w:jc w:val="center"/>
              <w:rPr>
                <w:rFonts w:cs="Arial"/>
              </w:rPr>
            </w:pPr>
            <w:r w:rsidRPr="001E3185">
              <w:rPr>
                <w:rFonts w:cs="Arial"/>
              </w:rPr>
              <w:t>1.73</w:t>
            </w:r>
          </w:p>
        </w:tc>
      </w:tr>
      <w:tr w:rsidR="00692E71" w:rsidRPr="001E3185" w14:paraId="26FD4762" w14:textId="77777777" w:rsidTr="008E0250">
        <w:trPr>
          <w:trHeight w:val="20"/>
          <w:jc w:val="center"/>
        </w:trPr>
        <w:tc>
          <w:tcPr>
            <w:tcW w:w="3686" w:type="dxa"/>
            <w:shd w:val="clear" w:color="auto" w:fill="FFFFFF" w:themeFill="background1"/>
            <w:noWrap/>
            <w:vAlign w:val="center"/>
          </w:tcPr>
          <w:p w14:paraId="45F8FB79" w14:textId="77777777" w:rsidR="00692E71" w:rsidRPr="001E3185" w:rsidRDefault="00692E71" w:rsidP="008E0250">
            <w:pPr>
              <w:rPr>
                <w:rFonts w:cs="Arial"/>
                <w:b/>
                <w:lang w:eastAsia="da-DK"/>
              </w:rPr>
            </w:pPr>
            <w:r w:rsidRPr="001E3185">
              <w:rPr>
                <w:rFonts w:cs="Arial"/>
              </w:rPr>
              <w:t>PEC/PNEC in soil at storage place at the end of a longer assessment period with removal [mg.kg</w:t>
            </w:r>
            <w:r w:rsidRPr="001E3185">
              <w:rPr>
                <w:rFonts w:cs="Arial"/>
                <w:vertAlign w:val="subscript"/>
              </w:rPr>
              <w:t>wwt</w:t>
            </w:r>
            <w:r w:rsidRPr="001E3185">
              <w:rPr>
                <w:rFonts w:cs="Arial"/>
                <w:vertAlign w:val="superscript"/>
              </w:rPr>
              <w:t>-1</w:t>
            </w:r>
            <w:r w:rsidRPr="001E3185">
              <w:rPr>
                <w:rFonts w:cs="Arial"/>
              </w:rPr>
              <w:t>]</w:t>
            </w:r>
          </w:p>
        </w:tc>
        <w:tc>
          <w:tcPr>
            <w:tcW w:w="850" w:type="dxa"/>
            <w:shd w:val="clear" w:color="auto" w:fill="FFFFFF" w:themeFill="background1"/>
            <w:noWrap/>
            <w:vAlign w:val="center"/>
          </w:tcPr>
          <w:p w14:paraId="7BD4198F" w14:textId="77777777" w:rsidR="00692E71" w:rsidRPr="001E3185" w:rsidRDefault="00692E71" w:rsidP="008E0250">
            <w:pPr>
              <w:jc w:val="center"/>
              <w:rPr>
                <w:rFonts w:cs="Arial"/>
                <w:lang w:eastAsia="da-DK"/>
              </w:rPr>
            </w:pPr>
            <w:r w:rsidRPr="001E3185">
              <w:rPr>
                <w:rFonts w:cs="Arial"/>
                <w:color w:val="000000"/>
              </w:rPr>
              <w:t>7.4*10</w:t>
            </w:r>
            <w:r w:rsidRPr="001E3185">
              <w:rPr>
                <w:rFonts w:cs="Arial"/>
                <w:color w:val="000000"/>
                <w:vertAlign w:val="superscript"/>
              </w:rPr>
              <w:t>-3</w:t>
            </w:r>
          </w:p>
        </w:tc>
        <w:tc>
          <w:tcPr>
            <w:tcW w:w="1134" w:type="dxa"/>
            <w:shd w:val="clear" w:color="auto" w:fill="FFFFFF" w:themeFill="background1"/>
            <w:noWrap/>
            <w:vAlign w:val="center"/>
          </w:tcPr>
          <w:p w14:paraId="12E58387" w14:textId="77777777" w:rsidR="00692E71" w:rsidRPr="001E3185" w:rsidRDefault="00692E71" w:rsidP="008E0250">
            <w:pPr>
              <w:jc w:val="center"/>
              <w:rPr>
                <w:rFonts w:cs="Arial"/>
              </w:rPr>
            </w:pPr>
            <w:r w:rsidRPr="001E3185">
              <w:rPr>
                <w:rFonts w:cs="Arial"/>
                <w:color w:val="000000"/>
              </w:rPr>
              <w:t>8.18</w:t>
            </w:r>
          </w:p>
        </w:tc>
        <w:tc>
          <w:tcPr>
            <w:tcW w:w="1134" w:type="dxa"/>
            <w:shd w:val="clear" w:color="auto" w:fill="FFFFFF" w:themeFill="background1"/>
            <w:noWrap/>
            <w:vAlign w:val="center"/>
          </w:tcPr>
          <w:p w14:paraId="09F3A032" w14:textId="77777777" w:rsidR="00692E71" w:rsidRPr="001E3185" w:rsidRDefault="00692E71" w:rsidP="008E0250">
            <w:pPr>
              <w:jc w:val="center"/>
              <w:rPr>
                <w:rFonts w:cs="Arial"/>
              </w:rPr>
            </w:pPr>
            <w:r w:rsidRPr="001E3185">
              <w:rPr>
                <w:rFonts w:cs="Arial"/>
                <w:color w:val="000000"/>
              </w:rPr>
              <w:t>2.14</w:t>
            </w:r>
          </w:p>
        </w:tc>
        <w:tc>
          <w:tcPr>
            <w:tcW w:w="1134" w:type="dxa"/>
            <w:shd w:val="clear" w:color="auto" w:fill="FFFFFF" w:themeFill="background1"/>
            <w:vAlign w:val="center"/>
          </w:tcPr>
          <w:p w14:paraId="625562F2" w14:textId="77777777" w:rsidR="00692E71" w:rsidRPr="001E3185" w:rsidRDefault="00692E71" w:rsidP="008E0250">
            <w:pPr>
              <w:jc w:val="center"/>
              <w:rPr>
                <w:rFonts w:cs="Arial"/>
              </w:rPr>
            </w:pPr>
            <w:r w:rsidRPr="001E3185">
              <w:rPr>
                <w:rFonts w:cs="Arial"/>
                <w:color w:val="000000"/>
              </w:rPr>
              <w:t>3.4*10</w:t>
            </w:r>
            <w:r w:rsidRPr="001E3185">
              <w:rPr>
                <w:rFonts w:cs="Arial"/>
                <w:color w:val="000000"/>
                <w:vertAlign w:val="superscript"/>
              </w:rPr>
              <w:t>-3</w:t>
            </w:r>
          </w:p>
        </w:tc>
        <w:tc>
          <w:tcPr>
            <w:tcW w:w="1271" w:type="dxa"/>
            <w:shd w:val="clear" w:color="auto" w:fill="FFFFFF" w:themeFill="background1"/>
            <w:vAlign w:val="center"/>
          </w:tcPr>
          <w:p w14:paraId="00C1D461" w14:textId="77777777" w:rsidR="00692E71" w:rsidRPr="001E3185" w:rsidRDefault="00692E71" w:rsidP="008E0250">
            <w:pPr>
              <w:jc w:val="center"/>
              <w:rPr>
                <w:rFonts w:cs="Arial"/>
              </w:rPr>
            </w:pPr>
            <w:r w:rsidRPr="001E3185">
              <w:rPr>
                <w:rFonts w:cs="Arial"/>
              </w:rPr>
              <w:t>10</w:t>
            </w:r>
          </w:p>
        </w:tc>
      </w:tr>
    </w:tbl>
    <w:p w14:paraId="5DA852A4" w14:textId="77777777" w:rsidR="00692E71" w:rsidRPr="001E3185" w:rsidRDefault="00692E71" w:rsidP="00692E71">
      <w:pPr>
        <w:pStyle w:val="En-tte"/>
        <w:tabs>
          <w:tab w:val="clear" w:pos="4536"/>
          <w:tab w:val="clear" w:pos="9072"/>
        </w:tabs>
        <w:rPr>
          <w:rFonts w:ascii="Verdana" w:hAnsi="Verdana" w:cs="Arial"/>
          <w:b/>
          <w:bCs/>
        </w:rPr>
      </w:pPr>
    </w:p>
    <w:p w14:paraId="1D775355" w14:textId="77777777" w:rsidR="00692E71" w:rsidRPr="001E3185" w:rsidRDefault="00692E71" w:rsidP="00692E71">
      <w:pPr>
        <w:pStyle w:val="En-tte"/>
        <w:tabs>
          <w:tab w:val="clear" w:pos="4536"/>
          <w:tab w:val="clear" w:pos="9072"/>
        </w:tabs>
        <w:rPr>
          <w:rFonts w:ascii="Verdana" w:hAnsi="Verdana" w:cs="Arial"/>
          <w:b/>
          <w:bCs/>
        </w:rPr>
      </w:pPr>
    </w:p>
    <w:p w14:paraId="05C49556"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53</w:t>
      </w:r>
      <w:r w:rsidRPr="001E3185">
        <w:rPr>
          <w:rFonts w:ascii="Verdana" w:hAnsi="Verdana"/>
        </w:rPr>
        <w:fldChar w:fldCharType="end"/>
      </w:r>
      <w:r w:rsidRPr="001E3185">
        <w:rPr>
          <w:rFonts w:ascii="Verdana" w:hAnsi="Verdana"/>
        </w:rPr>
        <w:t xml:space="preserve">: PEC/PNEC ratios for the soil compartment, </w:t>
      </w:r>
      <w:r w:rsidRPr="001E3185">
        <w:rPr>
          <w:rFonts w:ascii="Verdana" w:hAnsi="Verdana"/>
          <w:i/>
        </w:rPr>
        <w:t>in-situ</w:t>
      </w:r>
      <w:r w:rsidRPr="001E3185">
        <w:rPr>
          <w:rFonts w:ascii="Verdana" w:hAnsi="Verdana"/>
        </w:rPr>
        <w:t xml:space="preserve"> application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81"/>
        <w:gridCol w:w="855"/>
        <w:gridCol w:w="1129"/>
        <w:gridCol w:w="1134"/>
        <w:gridCol w:w="1134"/>
        <w:gridCol w:w="1276"/>
      </w:tblGrid>
      <w:tr w:rsidR="00692E71" w:rsidRPr="001E3185" w14:paraId="539E7019" w14:textId="77777777" w:rsidTr="008E0250">
        <w:trPr>
          <w:trHeight w:val="20"/>
          <w:tblHeader/>
          <w:jc w:val="center"/>
        </w:trPr>
        <w:tc>
          <w:tcPr>
            <w:tcW w:w="3681" w:type="dxa"/>
            <w:shd w:val="clear" w:color="auto" w:fill="FFFFFF"/>
            <w:noWrap/>
            <w:vAlign w:val="bottom"/>
          </w:tcPr>
          <w:p w14:paraId="61A1B338" w14:textId="77777777" w:rsidR="00692E71" w:rsidRPr="001E3185" w:rsidRDefault="00692E71" w:rsidP="008E0250">
            <w:pPr>
              <w:rPr>
                <w:rFonts w:cs="Arial"/>
                <w:lang w:eastAsia="da-DK"/>
              </w:rPr>
            </w:pPr>
          </w:p>
        </w:tc>
        <w:tc>
          <w:tcPr>
            <w:tcW w:w="855" w:type="dxa"/>
            <w:shd w:val="clear" w:color="auto" w:fill="FFFFFF"/>
            <w:noWrap/>
            <w:vAlign w:val="center"/>
          </w:tcPr>
          <w:p w14:paraId="13656747" w14:textId="77777777" w:rsidR="00692E71" w:rsidRPr="001E3185" w:rsidRDefault="00692E71" w:rsidP="008E0250">
            <w:pPr>
              <w:jc w:val="center"/>
              <w:rPr>
                <w:rFonts w:cs="Arial"/>
                <w:b/>
                <w:lang w:eastAsia="da-DK"/>
              </w:rPr>
            </w:pPr>
            <w:r w:rsidRPr="001E3185">
              <w:rPr>
                <w:rFonts w:cs="Arial"/>
                <w:b/>
                <w:lang w:eastAsia="da-DK"/>
              </w:rPr>
              <w:t>IPBC</w:t>
            </w:r>
          </w:p>
        </w:tc>
        <w:tc>
          <w:tcPr>
            <w:tcW w:w="1129" w:type="dxa"/>
            <w:shd w:val="clear" w:color="auto" w:fill="FFFFFF"/>
            <w:noWrap/>
            <w:vAlign w:val="center"/>
          </w:tcPr>
          <w:p w14:paraId="3437D2E7" w14:textId="77777777" w:rsidR="00692E71" w:rsidRPr="001E3185" w:rsidRDefault="00692E71" w:rsidP="008E0250">
            <w:pPr>
              <w:jc w:val="center"/>
              <w:rPr>
                <w:rFonts w:cs="Arial"/>
                <w:b/>
                <w:lang w:eastAsia="da-DK"/>
              </w:rPr>
            </w:pPr>
            <w:r w:rsidRPr="001E3185">
              <w:rPr>
                <w:rFonts w:cs="Arial"/>
                <w:b/>
                <w:lang w:eastAsia="da-DK"/>
              </w:rPr>
              <w:t>Propiconazole</w:t>
            </w:r>
          </w:p>
        </w:tc>
        <w:tc>
          <w:tcPr>
            <w:tcW w:w="1134" w:type="dxa"/>
            <w:shd w:val="clear" w:color="auto" w:fill="FFFFFF"/>
            <w:noWrap/>
            <w:vAlign w:val="center"/>
          </w:tcPr>
          <w:p w14:paraId="5CA2C607" w14:textId="77777777" w:rsidR="00692E71" w:rsidRPr="001E3185" w:rsidRDefault="00692E71" w:rsidP="008E0250">
            <w:pPr>
              <w:jc w:val="center"/>
              <w:rPr>
                <w:rFonts w:cs="Arial"/>
                <w:b/>
                <w:lang w:eastAsia="da-DK"/>
              </w:rPr>
            </w:pPr>
            <w:r w:rsidRPr="001E3185">
              <w:rPr>
                <w:rFonts w:cs="Arial"/>
                <w:b/>
                <w:lang w:eastAsia="da-DK"/>
              </w:rPr>
              <w:t>Tebuconazole</w:t>
            </w:r>
          </w:p>
        </w:tc>
        <w:tc>
          <w:tcPr>
            <w:tcW w:w="1134" w:type="dxa"/>
            <w:shd w:val="clear" w:color="auto" w:fill="FFFFFF"/>
            <w:vAlign w:val="center"/>
          </w:tcPr>
          <w:p w14:paraId="6B93D9C6"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vAlign w:val="center"/>
          </w:tcPr>
          <w:p w14:paraId="22167BF7" w14:textId="77777777" w:rsidR="00692E71" w:rsidRPr="001E3185" w:rsidRDefault="00692E71" w:rsidP="008E0250">
            <w:pPr>
              <w:jc w:val="center"/>
              <w:rPr>
                <w:rFonts w:cs="Arial"/>
                <w:b/>
                <w:lang w:eastAsia="da-DK"/>
              </w:rPr>
            </w:pPr>
            <w:r w:rsidRPr="001E3185">
              <w:rPr>
                <w:rFonts w:cs="Arial"/>
                <w:b/>
                <w:bCs/>
              </w:rPr>
              <w:t>Total PEC/PNEC</w:t>
            </w:r>
          </w:p>
        </w:tc>
      </w:tr>
      <w:tr w:rsidR="00692E71" w:rsidRPr="001E3185" w14:paraId="5708C1F5" w14:textId="77777777" w:rsidTr="008E0250">
        <w:trPr>
          <w:trHeight w:val="20"/>
          <w:jc w:val="center"/>
        </w:trPr>
        <w:tc>
          <w:tcPr>
            <w:tcW w:w="3681" w:type="dxa"/>
            <w:shd w:val="clear" w:color="auto" w:fill="FFFFFF"/>
            <w:noWrap/>
            <w:vAlign w:val="bottom"/>
          </w:tcPr>
          <w:p w14:paraId="003F3FDC" w14:textId="77777777" w:rsidR="00692E71" w:rsidRPr="001E3185" w:rsidRDefault="00692E71" w:rsidP="008E0250">
            <w:pPr>
              <w:rPr>
                <w:rFonts w:cs="Arial"/>
                <w:b/>
                <w:lang w:eastAsia="da-DK"/>
              </w:rPr>
            </w:pPr>
            <w:r w:rsidRPr="001E3185">
              <w:rPr>
                <w:rFonts w:cs="Arial"/>
                <w:b/>
                <w:lang w:eastAsia="da-DK"/>
              </w:rPr>
              <w:t>House (brushing, soil)</w:t>
            </w:r>
          </w:p>
        </w:tc>
        <w:tc>
          <w:tcPr>
            <w:tcW w:w="855" w:type="dxa"/>
            <w:shd w:val="clear" w:color="auto" w:fill="FFFFFF"/>
            <w:noWrap/>
            <w:vAlign w:val="bottom"/>
          </w:tcPr>
          <w:p w14:paraId="1581870F" w14:textId="77777777" w:rsidR="00692E71" w:rsidRPr="001E3185" w:rsidRDefault="00692E71" w:rsidP="008E0250">
            <w:pPr>
              <w:jc w:val="center"/>
              <w:rPr>
                <w:rFonts w:cs="Arial"/>
                <w:lang w:eastAsia="da-DK"/>
              </w:rPr>
            </w:pPr>
          </w:p>
        </w:tc>
        <w:tc>
          <w:tcPr>
            <w:tcW w:w="1129" w:type="dxa"/>
            <w:shd w:val="clear" w:color="auto" w:fill="FFFFFF"/>
            <w:noWrap/>
            <w:vAlign w:val="bottom"/>
          </w:tcPr>
          <w:p w14:paraId="2526FD67" w14:textId="77777777" w:rsidR="00692E71" w:rsidRPr="001E3185" w:rsidRDefault="00692E71" w:rsidP="008E0250">
            <w:pPr>
              <w:jc w:val="center"/>
              <w:rPr>
                <w:rFonts w:cs="Arial"/>
                <w:lang w:eastAsia="da-DK"/>
              </w:rPr>
            </w:pPr>
          </w:p>
        </w:tc>
        <w:tc>
          <w:tcPr>
            <w:tcW w:w="1134" w:type="dxa"/>
            <w:shd w:val="clear" w:color="auto" w:fill="FFFFFF"/>
            <w:noWrap/>
            <w:vAlign w:val="bottom"/>
          </w:tcPr>
          <w:p w14:paraId="63D42E0A" w14:textId="77777777" w:rsidR="00692E71" w:rsidRPr="001E3185" w:rsidRDefault="00692E71" w:rsidP="008E0250">
            <w:pPr>
              <w:jc w:val="center"/>
              <w:rPr>
                <w:rFonts w:cs="Arial"/>
                <w:lang w:eastAsia="da-DK"/>
              </w:rPr>
            </w:pPr>
          </w:p>
        </w:tc>
        <w:tc>
          <w:tcPr>
            <w:tcW w:w="1134" w:type="dxa"/>
            <w:shd w:val="clear" w:color="auto" w:fill="FFFFFF"/>
          </w:tcPr>
          <w:p w14:paraId="5DF72EF1" w14:textId="77777777" w:rsidR="00692E71" w:rsidRPr="001E3185" w:rsidRDefault="00692E71" w:rsidP="008E0250">
            <w:pPr>
              <w:jc w:val="center"/>
              <w:rPr>
                <w:rFonts w:cs="Arial"/>
                <w:lang w:eastAsia="da-DK"/>
              </w:rPr>
            </w:pPr>
          </w:p>
        </w:tc>
        <w:tc>
          <w:tcPr>
            <w:tcW w:w="1276" w:type="dxa"/>
            <w:shd w:val="clear" w:color="auto" w:fill="FFFFFF"/>
          </w:tcPr>
          <w:p w14:paraId="6ED0B04F" w14:textId="77777777" w:rsidR="00692E71" w:rsidRPr="001E3185" w:rsidRDefault="00692E71" w:rsidP="008E0250">
            <w:pPr>
              <w:jc w:val="center"/>
              <w:rPr>
                <w:rFonts w:cs="Arial"/>
                <w:lang w:eastAsia="da-DK"/>
              </w:rPr>
            </w:pPr>
          </w:p>
        </w:tc>
      </w:tr>
      <w:tr w:rsidR="00692E71" w:rsidRPr="001E3185" w14:paraId="4696D275" w14:textId="77777777" w:rsidTr="008E0250">
        <w:trPr>
          <w:trHeight w:val="20"/>
          <w:jc w:val="center"/>
        </w:trPr>
        <w:tc>
          <w:tcPr>
            <w:tcW w:w="3681" w:type="dxa"/>
            <w:shd w:val="clear" w:color="auto" w:fill="FFFFFF"/>
            <w:noWrap/>
            <w:vAlign w:val="bottom"/>
          </w:tcPr>
          <w:p w14:paraId="0605A634" w14:textId="77777777" w:rsidR="00692E71" w:rsidRPr="001E3185" w:rsidRDefault="00692E71" w:rsidP="008E0250">
            <w:pPr>
              <w:rPr>
                <w:rFonts w:cs="Arial"/>
                <w:b/>
                <w:lang w:eastAsia="da-DK"/>
              </w:rPr>
            </w:pPr>
            <w:r w:rsidRPr="001E3185">
              <w:rPr>
                <w:rFonts w:cs="Arial"/>
                <w:lang w:eastAsia="da-DK"/>
              </w:rPr>
              <w:t xml:space="preserve">PEC/PNEC local in </w:t>
            </w:r>
            <w:r w:rsidRPr="001E3185">
              <w:rPr>
                <w:rFonts w:cs="Arial"/>
              </w:rPr>
              <w:t>soil at the end of the day of application (house, professional application)</w:t>
            </w:r>
          </w:p>
        </w:tc>
        <w:tc>
          <w:tcPr>
            <w:tcW w:w="855" w:type="dxa"/>
            <w:shd w:val="clear" w:color="auto" w:fill="FFFFFF"/>
            <w:noWrap/>
            <w:vAlign w:val="center"/>
          </w:tcPr>
          <w:p w14:paraId="21C5D656" w14:textId="77777777" w:rsidR="00692E71" w:rsidRPr="001E3185" w:rsidRDefault="00692E71" w:rsidP="008E0250">
            <w:pPr>
              <w:jc w:val="center"/>
              <w:rPr>
                <w:rFonts w:cs="Arial"/>
                <w:color w:val="000000"/>
                <w:lang w:eastAsia="da-DK"/>
              </w:rPr>
            </w:pPr>
            <w:r w:rsidRPr="001E3185">
              <w:rPr>
                <w:rFonts w:cs="Arial"/>
                <w:color w:val="000000"/>
                <w:lang w:eastAsia="da-DK"/>
              </w:rPr>
              <w:t>3.9</w:t>
            </w:r>
          </w:p>
        </w:tc>
        <w:tc>
          <w:tcPr>
            <w:tcW w:w="1129" w:type="dxa"/>
            <w:shd w:val="clear" w:color="auto" w:fill="FFFFFF"/>
            <w:noWrap/>
            <w:vAlign w:val="center"/>
          </w:tcPr>
          <w:p w14:paraId="3DBC529F" w14:textId="77777777" w:rsidR="00692E71" w:rsidRPr="001E3185" w:rsidRDefault="00692E71" w:rsidP="008E0250">
            <w:pPr>
              <w:jc w:val="center"/>
              <w:rPr>
                <w:rFonts w:cs="Arial"/>
                <w:color w:val="000000"/>
              </w:rPr>
            </w:pPr>
            <w:r w:rsidRPr="001E3185">
              <w:rPr>
                <w:rFonts w:cs="Arial"/>
                <w:color w:val="000000"/>
              </w:rPr>
              <w:t>0.5</w:t>
            </w:r>
          </w:p>
        </w:tc>
        <w:tc>
          <w:tcPr>
            <w:tcW w:w="1134" w:type="dxa"/>
            <w:shd w:val="clear" w:color="auto" w:fill="FFFFFF"/>
            <w:noWrap/>
            <w:vAlign w:val="center"/>
          </w:tcPr>
          <w:p w14:paraId="7CBA6C22" w14:textId="77777777" w:rsidR="00692E71" w:rsidRPr="001E3185" w:rsidRDefault="00692E71" w:rsidP="008E0250">
            <w:pPr>
              <w:jc w:val="center"/>
              <w:rPr>
                <w:rFonts w:cs="Arial"/>
                <w:color w:val="000000"/>
              </w:rPr>
            </w:pPr>
            <w:r w:rsidRPr="001E3185">
              <w:rPr>
                <w:rFonts w:cs="Arial"/>
                <w:color w:val="000000"/>
              </w:rPr>
              <w:t>0.2</w:t>
            </w:r>
          </w:p>
        </w:tc>
        <w:tc>
          <w:tcPr>
            <w:tcW w:w="1134" w:type="dxa"/>
            <w:shd w:val="clear" w:color="auto" w:fill="FFFFFF"/>
            <w:vAlign w:val="center"/>
          </w:tcPr>
          <w:p w14:paraId="16D35468" w14:textId="77777777" w:rsidR="00692E71" w:rsidRPr="001E3185" w:rsidRDefault="00692E71" w:rsidP="008E0250">
            <w:pPr>
              <w:jc w:val="center"/>
              <w:rPr>
                <w:rFonts w:cs="Arial"/>
                <w:color w:val="000000"/>
              </w:rPr>
            </w:pPr>
            <w:r w:rsidRPr="001E3185">
              <w:rPr>
                <w:rFonts w:cs="Arial"/>
                <w:color w:val="000000"/>
              </w:rPr>
              <w:t>0.3</w:t>
            </w:r>
          </w:p>
        </w:tc>
        <w:tc>
          <w:tcPr>
            <w:tcW w:w="1276" w:type="dxa"/>
            <w:shd w:val="clear" w:color="auto" w:fill="FFFFFF"/>
            <w:vAlign w:val="center"/>
          </w:tcPr>
          <w:p w14:paraId="4459DD97" w14:textId="77777777" w:rsidR="00692E71" w:rsidRPr="001E3185" w:rsidRDefault="00692E71" w:rsidP="008E0250">
            <w:pPr>
              <w:jc w:val="center"/>
              <w:rPr>
                <w:rFonts w:cs="Arial"/>
                <w:color w:val="000000"/>
              </w:rPr>
            </w:pPr>
            <w:r w:rsidRPr="001E3185">
              <w:rPr>
                <w:rFonts w:cs="Arial"/>
                <w:color w:val="000000"/>
              </w:rPr>
              <w:t>4.8</w:t>
            </w:r>
          </w:p>
        </w:tc>
      </w:tr>
      <w:tr w:rsidR="00692E71" w:rsidRPr="001E3185" w14:paraId="48C251DD" w14:textId="77777777" w:rsidTr="008E0250">
        <w:trPr>
          <w:trHeight w:val="20"/>
          <w:jc w:val="center"/>
        </w:trPr>
        <w:tc>
          <w:tcPr>
            <w:tcW w:w="3681" w:type="dxa"/>
            <w:shd w:val="clear" w:color="auto" w:fill="FFFFFF"/>
            <w:noWrap/>
            <w:vAlign w:val="center"/>
          </w:tcPr>
          <w:p w14:paraId="23149BDC" w14:textId="77777777" w:rsidR="00692E71" w:rsidRPr="001E3185" w:rsidRDefault="00692E71" w:rsidP="008E0250">
            <w:pPr>
              <w:rPr>
                <w:rFonts w:cs="Arial"/>
                <w:lang w:eastAsia="da-DK"/>
              </w:rPr>
            </w:pPr>
            <w:r w:rsidRPr="001E3185">
              <w:rPr>
                <w:rFonts w:cs="Arial"/>
                <w:lang w:eastAsia="da-DK"/>
              </w:rPr>
              <w:t xml:space="preserve">PEC/PNEC local in </w:t>
            </w:r>
            <w:r w:rsidRPr="001E3185">
              <w:rPr>
                <w:rFonts w:cs="Arial"/>
              </w:rPr>
              <w:t>soil at the end of the day of application (house, non-professional application)</w:t>
            </w:r>
          </w:p>
        </w:tc>
        <w:tc>
          <w:tcPr>
            <w:tcW w:w="855" w:type="dxa"/>
            <w:shd w:val="clear" w:color="auto" w:fill="FFFFFF"/>
            <w:noWrap/>
            <w:vAlign w:val="center"/>
          </w:tcPr>
          <w:p w14:paraId="68AC1A17" w14:textId="77777777" w:rsidR="00692E71" w:rsidRPr="001E3185" w:rsidRDefault="00692E71" w:rsidP="008E0250">
            <w:pPr>
              <w:jc w:val="center"/>
              <w:rPr>
                <w:rFonts w:cs="Arial"/>
                <w:color w:val="000000"/>
                <w:lang w:eastAsia="da-DK"/>
              </w:rPr>
            </w:pPr>
            <w:r w:rsidRPr="001E3185">
              <w:rPr>
                <w:rFonts w:cs="Arial"/>
                <w:color w:val="000000"/>
                <w:lang w:eastAsia="da-DK"/>
              </w:rPr>
              <w:t>6.4</w:t>
            </w:r>
          </w:p>
        </w:tc>
        <w:tc>
          <w:tcPr>
            <w:tcW w:w="1129" w:type="dxa"/>
            <w:shd w:val="clear" w:color="auto" w:fill="FFFFFF"/>
            <w:noWrap/>
            <w:vAlign w:val="center"/>
          </w:tcPr>
          <w:p w14:paraId="2D71D606" w14:textId="77777777" w:rsidR="00692E71" w:rsidRPr="001E3185" w:rsidRDefault="00692E71" w:rsidP="008E0250">
            <w:pPr>
              <w:jc w:val="center"/>
              <w:rPr>
                <w:rFonts w:cs="Arial"/>
                <w:color w:val="000000"/>
              </w:rPr>
            </w:pPr>
            <w:r w:rsidRPr="001E3185">
              <w:rPr>
                <w:rFonts w:cs="Arial"/>
                <w:color w:val="000000"/>
              </w:rPr>
              <w:t>0.8</w:t>
            </w:r>
          </w:p>
        </w:tc>
        <w:tc>
          <w:tcPr>
            <w:tcW w:w="1134" w:type="dxa"/>
            <w:shd w:val="clear" w:color="auto" w:fill="FFFFFF"/>
            <w:noWrap/>
            <w:vAlign w:val="center"/>
          </w:tcPr>
          <w:p w14:paraId="032C6CB7" w14:textId="77777777" w:rsidR="00692E71" w:rsidRPr="001E3185" w:rsidRDefault="00692E71" w:rsidP="008E0250">
            <w:pPr>
              <w:jc w:val="center"/>
              <w:rPr>
                <w:rFonts w:cs="Arial"/>
                <w:color w:val="000000"/>
              </w:rPr>
            </w:pPr>
            <w:r w:rsidRPr="001E3185">
              <w:rPr>
                <w:rFonts w:cs="Arial"/>
                <w:color w:val="000000"/>
              </w:rPr>
              <w:t>0.3</w:t>
            </w:r>
          </w:p>
        </w:tc>
        <w:tc>
          <w:tcPr>
            <w:tcW w:w="1134" w:type="dxa"/>
            <w:shd w:val="clear" w:color="auto" w:fill="FFFFFF"/>
            <w:vAlign w:val="center"/>
          </w:tcPr>
          <w:p w14:paraId="5A53555C" w14:textId="77777777" w:rsidR="00692E71" w:rsidRPr="001E3185" w:rsidRDefault="00692E71" w:rsidP="008E0250">
            <w:pPr>
              <w:jc w:val="center"/>
              <w:rPr>
                <w:rFonts w:cs="Arial"/>
                <w:color w:val="000000"/>
              </w:rPr>
            </w:pPr>
            <w:r w:rsidRPr="001E3185">
              <w:rPr>
                <w:rFonts w:cs="Arial"/>
                <w:color w:val="000000"/>
              </w:rPr>
              <w:t>0.4</w:t>
            </w:r>
          </w:p>
        </w:tc>
        <w:tc>
          <w:tcPr>
            <w:tcW w:w="1276" w:type="dxa"/>
            <w:shd w:val="clear" w:color="auto" w:fill="FFFFFF"/>
            <w:vAlign w:val="center"/>
          </w:tcPr>
          <w:p w14:paraId="49FEA30F" w14:textId="77777777" w:rsidR="00692E71" w:rsidRPr="001E3185" w:rsidRDefault="00692E71" w:rsidP="008E0250">
            <w:pPr>
              <w:jc w:val="center"/>
              <w:rPr>
                <w:rFonts w:cs="Arial"/>
                <w:color w:val="000000"/>
              </w:rPr>
            </w:pPr>
            <w:r w:rsidRPr="001E3185">
              <w:rPr>
                <w:rFonts w:cs="Arial"/>
                <w:color w:val="000000"/>
              </w:rPr>
              <w:t>8</w:t>
            </w:r>
          </w:p>
        </w:tc>
      </w:tr>
      <w:tr w:rsidR="00692E71" w:rsidRPr="001E3185" w14:paraId="6FF0C8DC" w14:textId="77777777" w:rsidTr="008E0250">
        <w:trPr>
          <w:trHeight w:val="20"/>
          <w:jc w:val="center"/>
        </w:trPr>
        <w:tc>
          <w:tcPr>
            <w:tcW w:w="3681" w:type="dxa"/>
            <w:shd w:val="clear" w:color="auto" w:fill="FFFFFF"/>
            <w:noWrap/>
            <w:vAlign w:val="center"/>
          </w:tcPr>
          <w:p w14:paraId="61CB55D6" w14:textId="77777777" w:rsidR="00692E71" w:rsidRPr="001E3185" w:rsidRDefault="00692E71" w:rsidP="008E0250">
            <w:pPr>
              <w:rPr>
                <w:rFonts w:cs="Arial"/>
                <w:b/>
                <w:lang w:eastAsia="da-DK"/>
              </w:rPr>
            </w:pPr>
            <w:r w:rsidRPr="001E3185">
              <w:rPr>
                <w:rFonts w:cs="Arial"/>
                <w:b/>
                <w:lang w:eastAsia="da-DK"/>
              </w:rPr>
              <w:t>Fence (brushing, soil)</w:t>
            </w:r>
          </w:p>
        </w:tc>
        <w:tc>
          <w:tcPr>
            <w:tcW w:w="855" w:type="dxa"/>
            <w:shd w:val="clear" w:color="auto" w:fill="FFFFFF"/>
            <w:noWrap/>
            <w:vAlign w:val="center"/>
          </w:tcPr>
          <w:p w14:paraId="50A8E8AE" w14:textId="77777777" w:rsidR="00692E71" w:rsidRPr="001E3185" w:rsidRDefault="00692E71" w:rsidP="008E0250">
            <w:pPr>
              <w:jc w:val="center"/>
              <w:rPr>
                <w:rFonts w:cs="Arial"/>
                <w:color w:val="000000"/>
                <w:lang w:eastAsia="da-DK"/>
              </w:rPr>
            </w:pPr>
          </w:p>
        </w:tc>
        <w:tc>
          <w:tcPr>
            <w:tcW w:w="1129" w:type="dxa"/>
            <w:shd w:val="clear" w:color="auto" w:fill="FFFFFF"/>
            <w:noWrap/>
            <w:vAlign w:val="center"/>
          </w:tcPr>
          <w:p w14:paraId="7AF3314D" w14:textId="77777777" w:rsidR="00692E71" w:rsidRPr="001E3185" w:rsidRDefault="00692E71" w:rsidP="008E0250">
            <w:pPr>
              <w:jc w:val="center"/>
              <w:rPr>
                <w:rFonts w:cs="Arial"/>
                <w:color w:val="000000"/>
              </w:rPr>
            </w:pPr>
          </w:p>
        </w:tc>
        <w:tc>
          <w:tcPr>
            <w:tcW w:w="1134" w:type="dxa"/>
            <w:shd w:val="clear" w:color="auto" w:fill="FFFFFF"/>
            <w:noWrap/>
            <w:vAlign w:val="center"/>
          </w:tcPr>
          <w:p w14:paraId="5EB74BDC" w14:textId="77777777" w:rsidR="00692E71" w:rsidRPr="001E3185" w:rsidRDefault="00692E71" w:rsidP="008E0250">
            <w:pPr>
              <w:jc w:val="center"/>
              <w:rPr>
                <w:rFonts w:cs="Arial"/>
                <w:color w:val="000000"/>
              </w:rPr>
            </w:pPr>
          </w:p>
        </w:tc>
        <w:tc>
          <w:tcPr>
            <w:tcW w:w="1134" w:type="dxa"/>
            <w:shd w:val="clear" w:color="auto" w:fill="FFFFFF"/>
            <w:vAlign w:val="center"/>
          </w:tcPr>
          <w:p w14:paraId="38E61E8C" w14:textId="77777777" w:rsidR="00692E71" w:rsidRPr="001E3185" w:rsidRDefault="00692E71" w:rsidP="008E0250">
            <w:pPr>
              <w:jc w:val="center"/>
              <w:rPr>
                <w:rFonts w:cs="Arial"/>
                <w:color w:val="000000"/>
              </w:rPr>
            </w:pPr>
          </w:p>
        </w:tc>
        <w:tc>
          <w:tcPr>
            <w:tcW w:w="1276" w:type="dxa"/>
            <w:shd w:val="clear" w:color="auto" w:fill="FFFFFF"/>
            <w:vAlign w:val="center"/>
          </w:tcPr>
          <w:p w14:paraId="6F2EC2B7" w14:textId="77777777" w:rsidR="00692E71" w:rsidRPr="001E3185" w:rsidRDefault="00692E71" w:rsidP="008E0250">
            <w:pPr>
              <w:jc w:val="center"/>
              <w:rPr>
                <w:rFonts w:cs="Arial"/>
                <w:color w:val="000000"/>
              </w:rPr>
            </w:pPr>
          </w:p>
        </w:tc>
      </w:tr>
      <w:tr w:rsidR="00692E71" w:rsidRPr="001E3185" w14:paraId="4F7F466D" w14:textId="77777777" w:rsidTr="008E0250">
        <w:trPr>
          <w:trHeight w:val="20"/>
          <w:jc w:val="center"/>
        </w:trPr>
        <w:tc>
          <w:tcPr>
            <w:tcW w:w="3681" w:type="dxa"/>
            <w:shd w:val="clear" w:color="auto" w:fill="FFFFFF"/>
            <w:noWrap/>
            <w:vAlign w:val="center"/>
          </w:tcPr>
          <w:p w14:paraId="03568CCC" w14:textId="77777777" w:rsidR="00692E71" w:rsidRPr="001E3185" w:rsidRDefault="00692E71" w:rsidP="008E0250">
            <w:pPr>
              <w:rPr>
                <w:rFonts w:cs="Arial"/>
                <w:b/>
                <w:lang w:eastAsia="da-DK"/>
              </w:rPr>
            </w:pPr>
            <w:r w:rsidRPr="001E3185">
              <w:rPr>
                <w:rFonts w:cs="Arial"/>
                <w:lang w:eastAsia="da-DK"/>
              </w:rPr>
              <w:t xml:space="preserve">PEC/PNEC local in </w:t>
            </w:r>
            <w:r w:rsidRPr="001E3185">
              <w:rPr>
                <w:rFonts w:cs="Arial"/>
              </w:rPr>
              <w:t>soil at the end of the day of application (fence, professional application)</w:t>
            </w:r>
          </w:p>
        </w:tc>
        <w:tc>
          <w:tcPr>
            <w:tcW w:w="855" w:type="dxa"/>
            <w:shd w:val="clear" w:color="auto" w:fill="FFFFFF"/>
            <w:noWrap/>
            <w:vAlign w:val="center"/>
          </w:tcPr>
          <w:p w14:paraId="2A641EBD" w14:textId="77777777" w:rsidR="00692E71" w:rsidRPr="001E3185" w:rsidRDefault="00692E71" w:rsidP="008E0250">
            <w:pPr>
              <w:jc w:val="center"/>
              <w:rPr>
                <w:rFonts w:cs="Arial"/>
                <w:color w:val="000000"/>
                <w:lang w:eastAsia="da-DK"/>
              </w:rPr>
            </w:pPr>
            <w:r w:rsidRPr="001E3185">
              <w:rPr>
                <w:rFonts w:cs="Arial"/>
                <w:color w:val="000000"/>
                <w:lang w:eastAsia="da-DK"/>
              </w:rPr>
              <w:t>3.2</w:t>
            </w:r>
          </w:p>
        </w:tc>
        <w:tc>
          <w:tcPr>
            <w:tcW w:w="1129" w:type="dxa"/>
            <w:shd w:val="clear" w:color="auto" w:fill="FFFFFF"/>
            <w:noWrap/>
            <w:vAlign w:val="center"/>
          </w:tcPr>
          <w:p w14:paraId="5DFC0E14" w14:textId="77777777" w:rsidR="00692E71" w:rsidRPr="001E3185" w:rsidRDefault="00692E71" w:rsidP="008E0250">
            <w:pPr>
              <w:jc w:val="center"/>
              <w:rPr>
                <w:rFonts w:cs="Arial"/>
                <w:color w:val="000000"/>
              </w:rPr>
            </w:pPr>
            <w:r w:rsidRPr="001E3185">
              <w:rPr>
                <w:rFonts w:cs="Arial"/>
                <w:color w:val="000000"/>
              </w:rPr>
              <w:t>0.4</w:t>
            </w:r>
          </w:p>
        </w:tc>
        <w:tc>
          <w:tcPr>
            <w:tcW w:w="1134" w:type="dxa"/>
            <w:shd w:val="clear" w:color="auto" w:fill="FFFFFF"/>
            <w:noWrap/>
            <w:vAlign w:val="center"/>
          </w:tcPr>
          <w:p w14:paraId="29B4F1CE" w14:textId="77777777" w:rsidR="00692E71" w:rsidRPr="001E3185" w:rsidRDefault="00692E71" w:rsidP="008E0250">
            <w:pPr>
              <w:jc w:val="center"/>
              <w:rPr>
                <w:rFonts w:cs="Arial"/>
                <w:color w:val="000000"/>
              </w:rPr>
            </w:pPr>
            <w:r w:rsidRPr="001E3185">
              <w:rPr>
                <w:rFonts w:cs="Arial"/>
                <w:color w:val="000000"/>
              </w:rPr>
              <w:t>0.1</w:t>
            </w:r>
          </w:p>
        </w:tc>
        <w:tc>
          <w:tcPr>
            <w:tcW w:w="1134" w:type="dxa"/>
            <w:shd w:val="clear" w:color="auto" w:fill="FFFFFF"/>
            <w:vAlign w:val="center"/>
          </w:tcPr>
          <w:p w14:paraId="1DAD2BD4" w14:textId="77777777" w:rsidR="00692E71" w:rsidRPr="001E3185" w:rsidRDefault="00692E71" w:rsidP="008E0250">
            <w:pPr>
              <w:jc w:val="center"/>
              <w:rPr>
                <w:rFonts w:cs="Arial"/>
                <w:color w:val="000000"/>
              </w:rPr>
            </w:pPr>
            <w:r w:rsidRPr="001E3185">
              <w:rPr>
                <w:rFonts w:cs="Arial"/>
                <w:color w:val="000000"/>
              </w:rPr>
              <w:t>0.2</w:t>
            </w:r>
          </w:p>
        </w:tc>
        <w:tc>
          <w:tcPr>
            <w:tcW w:w="1276" w:type="dxa"/>
            <w:shd w:val="clear" w:color="auto" w:fill="FFFFFF"/>
            <w:vAlign w:val="center"/>
          </w:tcPr>
          <w:p w14:paraId="17771C24" w14:textId="77777777" w:rsidR="00692E71" w:rsidRPr="001E3185" w:rsidRDefault="00692E71" w:rsidP="008E0250">
            <w:pPr>
              <w:jc w:val="center"/>
              <w:rPr>
                <w:rFonts w:cs="Arial"/>
                <w:color w:val="000000"/>
              </w:rPr>
            </w:pPr>
            <w:r w:rsidRPr="001E3185">
              <w:rPr>
                <w:rFonts w:cs="Arial"/>
                <w:color w:val="000000"/>
              </w:rPr>
              <w:t>4</w:t>
            </w:r>
          </w:p>
        </w:tc>
      </w:tr>
      <w:tr w:rsidR="00692E71" w:rsidRPr="001E3185" w14:paraId="7F108221" w14:textId="77777777" w:rsidTr="008E0250">
        <w:trPr>
          <w:trHeight w:val="20"/>
          <w:jc w:val="center"/>
        </w:trPr>
        <w:tc>
          <w:tcPr>
            <w:tcW w:w="3681" w:type="dxa"/>
            <w:shd w:val="clear" w:color="auto" w:fill="FFFFFF"/>
            <w:noWrap/>
            <w:vAlign w:val="center"/>
          </w:tcPr>
          <w:p w14:paraId="60BDAA06" w14:textId="77777777" w:rsidR="00692E71" w:rsidRPr="001E3185" w:rsidRDefault="00692E71" w:rsidP="008E0250">
            <w:pPr>
              <w:rPr>
                <w:rFonts w:cs="Arial"/>
                <w:b/>
                <w:lang w:eastAsia="da-DK"/>
              </w:rPr>
            </w:pPr>
            <w:r w:rsidRPr="001E3185">
              <w:rPr>
                <w:rFonts w:cs="Arial"/>
                <w:lang w:eastAsia="da-DK"/>
              </w:rPr>
              <w:t xml:space="preserve">PEC/PNEC local in </w:t>
            </w:r>
            <w:r w:rsidRPr="001E3185">
              <w:rPr>
                <w:rFonts w:cs="Arial"/>
              </w:rPr>
              <w:t>soil at the end of the day of application (fence, non-professional application)</w:t>
            </w:r>
          </w:p>
        </w:tc>
        <w:tc>
          <w:tcPr>
            <w:tcW w:w="855" w:type="dxa"/>
            <w:shd w:val="clear" w:color="auto" w:fill="FFFFFF"/>
            <w:noWrap/>
            <w:vAlign w:val="center"/>
          </w:tcPr>
          <w:p w14:paraId="67308DA1" w14:textId="77777777" w:rsidR="00692E71" w:rsidRPr="001E3185" w:rsidRDefault="00692E71" w:rsidP="008E0250">
            <w:pPr>
              <w:jc w:val="center"/>
              <w:rPr>
                <w:rFonts w:cs="Arial"/>
                <w:color w:val="000000"/>
                <w:lang w:eastAsia="da-DK"/>
              </w:rPr>
            </w:pPr>
            <w:r w:rsidRPr="001E3185">
              <w:rPr>
                <w:rFonts w:cs="Arial"/>
                <w:color w:val="000000"/>
                <w:lang w:eastAsia="da-DK"/>
              </w:rPr>
              <w:t>5.3</w:t>
            </w:r>
          </w:p>
        </w:tc>
        <w:tc>
          <w:tcPr>
            <w:tcW w:w="1129" w:type="dxa"/>
            <w:shd w:val="clear" w:color="auto" w:fill="FFFFFF"/>
            <w:noWrap/>
            <w:vAlign w:val="center"/>
          </w:tcPr>
          <w:p w14:paraId="4CB65771" w14:textId="77777777" w:rsidR="00692E71" w:rsidRPr="001E3185" w:rsidRDefault="00692E71" w:rsidP="008E0250">
            <w:pPr>
              <w:jc w:val="center"/>
              <w:rPr>
                <w:rFonts w:cs="Arial"/>
                <w:color w:val="000000"/>
              </w:rPr>
            </w:pPr>
            <w:r w:rsidRPr="001E3185">
              <w:rPr>
                <w:rFonts w:cs="Arial"/>
                <w:color w:val="000000"/>
              </w:rPr>
              <w:t>0.7</w:t>
            </w:r>
          </w:p>
        </w:tc>
        <w:tc>
          <w:tcPr>
            <w:tcW w:w="1134" w:type="dxa"/>
            <w:shd w:val="clear" w:color="auto" w:fill="FFFFFF"/>
            <w:noWrap/>
            <w:vAlign w:val="center"/>
          </w:tcPr>
          <w:p w14:paraId="0A4570DB" w14:textId="77777777" w:rsidR="00692E71" w:rsidRPr="001E3185" w:rsidRDefault="00692E71" w:rsidP="008E0250">
            <w:pPr>
              <w:jc w:val="center"/>
              <w:rPr>
                <w:rFonts w:cs="Arial"/>
                <w:color w:val="000000"/>
              </w:rPr>
            </w:pPr>
            <w:r w:rsidRPr="001E3185">
              <w:rPr>
                <w:rFonts w:cs="Arial"/>
                <w:color w:val="000000"/>
              </w:rPr>
              <w:t>0.2</w:t>
            </w:r>
          </w:p>
        </w:tc>
        <w:tc>
          <w:tcPr>
            <w:tcW w:w="1134" w:type="dxa"/>
            <w:shd w:val="clear" w:color="auto" w:fill="FFFFFF"/>
            <w:vAlign w:val="center"/>
          </w:tcPr>
          <w:p w14:paraId="25073D21" w14:textId="77777777" w:rsidR="00692E71" w:rsidRPr="001E3185" w:rsidRDefault="00692E71" w:rsidP="008E0250">
            <w:pPr>
              <w:jc w:val="center"/>
              <w:rPr>
                <w:rFonts w:cs="Arial"/>
                <w:color w:val="000000"/>
              </w:rPr>
            </w:pPr>
            <w:r w:rsidRPr="001E3185">
              <w:rPr>
                <w:rFonts w:cs="Arial"/>
                <w:color w:val="000000"/>
              </w:rPr>
              <w:t>0.4</w:t>
            </w:r>
          </w:p>
        </w:tc>
        <w:tc>
          <w:tcPr>
            <w:tcW w:w="1276" w:type="dxa"/>
            <w:shd w:val="clear" w:color="auto" w:fill="FFFFFF"/>
            <w:vAlign w:val="center"/>
          </w:tcPr>
          <w:p w14:paraId="21C0DDFA" w14:textId="77777777" w:rsidR="00692E71" w:rsidRPr="001E3185" w:rsidRDefault="00692E71" w:rsidP="008E0250">
            <w:pPr>
              <w:jc w:val="center"/>
              <w:rPr>
                <w:rFonts w:cs="Arial"/>
                <w:color w:val="000000"/>
              </w:rPr>
            </w:pPr>
            <w:r w:rsidRPr="001E3185">
              <w:rPr>
                <w:rFonts w:cs="Arial"/>
                <w:color w:val="000000"/>
              </w:rPr>
              <w:t>6.7</w:t>
            </w:r>
          </w:p>
        </w:tc>
      </w:tr>
      <w:tr w:rsidR="00692E71" w:rsidRPr="001E3185" w14:paraId="39FDD56A" w14:textId="77777777" w:rsidTr="008E0250">
        <w:trPr>
          <w:trHeight w:val="20"/>
          <w:jc w:val="center"/>
        </w:trPr>
        <w:tc>
          <w:tcPr>
            <w:tcW w:w="3681" w:type="dxa"/>
            <w:shd w:val="clear" w:color="auto" w:fill="FFFFFF"/>
            <w:noWrap/>
            <w:vAlign w:val="bottom"/>
          </w:tcPr>
          <w:p w14:paraId="375D22AD" w14:textId="77777777" w:rsidR="00692E71" w:rsidRPr="001E3185" w:rsidRDefault="00692E71" w:rsidP="008E0250">
            <w:pPr>
              <w:rPr>
                <w:rFonts w:cs="Arial"/>
                <w:lang w:eastAsia="da-DK"/>
              </w:rPr>
            </w:pPr>
            <w:r w:rsidRPr="001E3185">
              <w:rPr>
                <w:rFonts w:cs="Arial"/>
                <w:b/>
                <w:lang w:eastAsia="da-DK"/>
              </w:rPr>
              <w:t>House (spraying, soil)</w:t>
            </w:r>
          </w:p>
        </w:tc>
        <w:tc>
          <w:tcPr>
            <w:tcW w:w="855" w:type="dxa"/>
            <w:shd w:val="clear" w:color="auto" w:fill="FFFFFF"/>
            <w:noWrap/>
            <w:vAlign w:val="center"/>
          </w:tcPr>
          <w:p w14:paraId="0B0815E7" w14:textId="77777777" w:rsidR="00692E71" w:rsidRPr="001E3185" w:rsidRDefault="00692E71" w:rsidP="008E0250">
            <w:pPr>
              <w:jc w:val="center"/>
              <w:rPr>
                <w:rFonts w:cs="Arial"/>
                <w:color w:val="000000"/>
                <w:lang w:eastAsia="da-DK"/>
              </w:rPr>
            </w:pPr>
          </w:p>
        </w:tc>
        <w:tc>
          <w:tcPr>
            <w:tcW w:w="1129" w:type="dxa"/>
            <w:shd w:val="clear" w:color="auto" w:fill="FFFFFF"/>
            <w:noWrap/>
            <w:vAlign w:val="center"/>
          </w:tcPr>
          <w:p w14:paraId="503CE43B" w14:textId="77777777" w:rsidR="00692E71" w:rsidRPr="001E3185" w:rsidRDefault="00692E71" w:rsidP="008E0250">
            <w:pPr>
              <w:jc w:val="center"/>
              <w:rPr>
                <w:rFonts w:cs="Arial"/>
                <w:color w:val="000000"/>
              </w:rPr>
            </w:pPr>
          </w:p>
        </w:tc>
        <w:tc>
          <w:tcPr>
            <w:tcW w:w="1134" w:type="dxa"/>
            <w:shd w:val="clear" w:color="auto" w:fill="FFFFFF"/>
            <w:noWrap/>
            <w:vAlign w:val="center"/>
          </w:tcPr>
          <w:p w14:paraId="4B0C96CE" w14:textId="77777777" w:rsidR="00692E71" w:rsidRPr="001E3185" w:rsidRDefault="00692E71" w:rsidP="008E0250">
            <w:pPr>
              <w:jc w:val="center"/>
              <w:rPr>
                <w:rFonts w:cs="Arial"/>
                <w:color w:val="000000"/>
              </w:rPr>
            </w:pPr>
          </w:p>
        </w:tc>
        <w:tc>
          <w:tcPr>
            <w:tcW w:w="1134" w:type="dxa"/>
            <w:shd w:val="clear" w:color="auto" w:fill="FFFFFF"/>
            <w:vAlign w:val="center"/>
          </w:tcPr>
          <w:p w14:paraId="3D0241D7" w14:textId="77777777" w:rsidR="00692E71" w:rsidRPr="001E3185" w:rsidRDefault="00692E71" w:rsidP="008E0250">
            <w:pPr>
              <w:jc w:val="center"/>
              <w:rPr>
                <w:rFonts w:cs="Arial"/>
                <w:color w:val="000000"/>
              </w:rPr>
            </w:pPr>
          </w:p>
        </w:tc>
        <w:tc>
          <w:tcPr>
            <w:tcW w:w="1276" w:type="dxa"/>
            <w:shd w:val="clear" w:color="auto" w:fill="FFFFFF"/>
            <w:vAlign w:val="center"/>
          </w:tcPr>
          <w:p w14:paraId="1AA4A941" w14:textId="77777777" w:rsidR="00692E71" w:rsidRPr="001E3185" w:rsidRDefault="00692E71" w:rsidP="008E0250">
            <w:pPr>
              <w:jc w:val="center"/>
              <w:rPr>
                <w:rFonts w:cs="Arial"/>
              </w:rPr>
            </w:pPr>
          </w:p>
        </w:tc>
      </w:tr>
      <w:tr w:rsidR="00692E71" w:rsidRPr="001E3185" w14:paraId="07C6C1FD" w14:textId="77777777" w:rsidTr="008E0250">
        <w:trPr>
          <w:trHeight w:val="20"/>
          <w:jc w:val="center"/>
        </w:trPr>
        <w:tc>
          <w:tcPr>
            <w:tcW w:w="3681" w:type="dxa"/>
            <w:shd w:val="clear" w:color="auto" w:fill="FFFFFF"/>
            <w:noWrap/>
            <w:vAlign w:val="center"/>
          </w:tcPr>
          <w:p w14:paraId="59F12331" w14:textId="77777777" w:rsidR="00692E71" w:rsidRPr="001E3185" w:rsidRDefault="00692E71" w:rsidP="008E0250">
            <w:pPr>
              <w:rPr>
                <w:rFonts w:cs="Arial"/>
                <w:lang w:eastAsia="da-DK"/>
              </w:rPr>
            </w:pPr>
            <w:r w:rsidRPr="001E3185">
              <w:rPr>
                <w:rFonts w:cs="Arial"/>
              </w:rPr>
              <w:lastRenderedPageBreak/>
              <w:t>PEC/PNEC local in soil at the end of the day of application due to spray drift (tier 1) and run-off</w:t>
            </w:r>
          </w:p>
        </w:tc>
        <w:tc>
          <w:tcPr>
            <w:tcW w:w="855" w:type="dxa"/>
            <w:shd w:val="clear" w:color="auto" w:fill="FFFFFF"/>
            <w:noWrap/>
            <w:vAlign w:val="center"/>
          </w:tcPr>
          <w:p w14:paraId="12DFE6EB" w14:textId="77777777" w:rsidR="00692E71" w:rsidRPr="001E3185" w:rsidRDefault="00692E71" w:rsidP="008E0250">
            <w:pPr>
              <w:jc w:val="center"/>
              <w:rPr>
                <w:rFonts w:cs="Arial"/>
                <w:color w:val="000000"/>
                <w:lang w:eastAsia="da-DK"/>
              </w:rPr>
            </w:pPr>
            <w:r w:rsidRPr="001E3185">
              <w:rPr>
                <w:rFonts w:cs="Arial"/>
                <w:color w:val="000000"/>
                <w:lang w:eastAsia="da-DK"/>
              </w:rPr>
              <w:t>39</w:t>
            </w:r>
          </w:p>
        </w:tc>
        <w:tc>
          <w:tcPr>
            <w:tcW w:w="1129" w:type="dxa"/>
            <w:shd w:val="clear" w:color="auto" w:fill="FFFFFF"/>
            <w:noWrap/>
            <w:vAlign w:val="center"/>
          </w:tcPr>
          <w:p w14:paraId="32AA903A" w14:textId="77777777" w:rsidR="00692E71" w:rsidRPr="001E3185" w:rsidRDefault="00692E71" w:rsidP="008E0250">
            <w:pPr>
              <w:jc w:val="center"/>
              <w:rPr>
                <w:rFonts w:cs="Arial"/>
                <w:color w:val="000000"/>
              </w:rPr>
            </w:pPr>
            <w:r w:rsidRPr="001E3185">
              <w:rPr>
                <w:rFonts w:cs="Arial"/>
                <w:color w:val="000000"/>
              </w:rPr>
              <w:t>5.1</w:t>
            </w:r>
          </w:p>
        </w:tc>
        <w:tc>
          <w:tcPr>
            <w:tcW w:w="1134" w:type="dxa"/>
            <w:shd w:val="clear" w:color="auto" w:fill="FFFFFF"/>
            <w:noWrap/>
            <w:vAlign w:val="center"/>
          </w:tcPr>
          <w:p w14:paraId="546BC627" w14:textId="77777777" w:rsidR="00692E71" w:rsidRPr="001E3185" w:rsidRDefault="00692E71" w:rsidP="008E0250">
            <w:pPr>
              <w:jc w:val="center"/>
              <w:rPr>
                <w:rFonts w:cs="Arial"/>
                <w:color w:val="000000"/>
              </w:rPr>
            </w:pPr>
            <w:r w:rsidRPr="001E3185">
              <w:rPr>
                <w:rFonts w:cs="Arial"/>
                <w:color w:val="000000"/>
              </w:rPr>
              <w:t>1.7</w:t>
            </w:r>
          </w:p>
        </w:tc>
        <w:tc>
          <w:tcPr>
            <w:tcW w:w="1134" w:type="dxa"/>
            <w:shd w:val="clear" w:color="auto" w:fill="FFFFFF"/>
            <w:vAlign w:val="center"/>
          </w:tcPr>
          <w:p w14:paraId="459DB224" w14:textId="77777777" w:rsidR="00692E71" w:rsidRPr="001E3185" w:rsidRDefault="00692E71" w:rsidP="008E0250">
            <w:pPr>
              <w:jc w:val="center"/>
              <w:rPr>
                <w:rFonts w:cs="Arial"/>
                <w:color w:val="000000"/>
              </w:rPr>
            </w:pPr>
            <w:r w:rsidRPr="001E3185">
              <w:rPr>
                <w:rFonts w:cs="Arial"/>
                <w:color w:val="000000"/>
              </w:rPr>
              <w:t>2.7</w:t>
            </w:r>
          </w:p>
        </w:tc>
        <w:tc>
          <w:tcPr>
            <w:tcW w:w="1276" w:type="dxa"/>
            <w:shd w:val="clear" w:color="auto" w:fill="FFFFFF"/>
            <w:vAlign w:val="center"/>
          </w:tcPr>
          <w:p w14:paraId="4DC7DF1A" w14:textId="77777777" w:rsidR="00692E71" w:rsidRPr="001E3185" w:rsidRDefault="00692E71" w:rsidP="008E0250">
            <w:pPr>
              <w:jc w:val="center"/>
              <w:rPr>
                <w:rFonts w:cs="Arial"/>
                <w:color w:val="000000"/>
              </w:rPr>
            </w:pPr>
            <w:r w:rsidRPr="001E3185">
              <w:rPr>
                <w:rFonts w:cs="Arial"/>
                <w:color w:val="000000"/>
              </w:rPr>
              <w:t>48</w:t>
            </w:r>
          </w:p>
        </w:tc>
      </w:tr>
      <w:tr w:rsidR="00692E71" w:rsidRPr="001E3185" w14:paraId="0314C813" w14:textId="77777777" w:rsidTr="008E0250">
        <w:trPr>
          <w:trHeight w:val="20"/>
          <w:jc w:val="center"/>
        </w:trPr>
        <w:tc>
          <w:tcPr>
            <w:tcW w:w="3681" w:type="dxa"/>
            <w:shd w:val="clear" w:color="auto" w:fill="FFFFFF"/>
            <w:noWrap/>
            <w:vAlign w:val="center"/>
          </w:tcPr>
          <w:p w14:paraId="6F0CBCB5" w14:textId="77777777" w:rsidR="00692E71" w:rsidRPr="001E3185" w:rsidRDefault="00692E71" w:rsidP="008E0250">
            <w:pPr>
              <w:rPr>
                <w:rFonts w:cs="Arial"/>
              </w:rPr>
            </w:pPr>
            <w:r w:rsidRPr="001E3185">
              <w:rPr>
                <w:rFonts w:cs="Arial"/>
              </w:rPr>
              <w:t>PEC/PNEC local in soil at the end of the day of application due to spray drift (tier 2) and run-off</w:t>
            </w:r>
          </w:p>
        </w:tc>
        <w:tc>
          <w:tcPr>
            <w:tcW w:w="855" w:type="dxa"/>
            <w:shd w:val="clear" w:color="auto" w:fill="FFFFFF"/>
            <w:noWrap/>
            <w:vAlign w:val="center"/>
          </w:tcPr>
          <w:p w14:paraId="56B055A0" w14:textId="77777777" w:rsidR="00692E71" w:rsidRPr="001E3185" w:rsidRDefault="00692E71" w:rsidP="008E0250">
            <w:pPr>
              <w:jc w:val="center"/>
              <w:rPr>
                <w:rFonts w:cs="Arial"/>
                <w:color w:val="000000"/>
                <w:lang w:eastAsia="da-DK"/>
              </w:rPr>
            </w:pPr>
            <w:r w:rsidRPr="001E3185">
              <w:rPr>
                <w:rFonts w:cs="Arial"/>
                <w:color w:val="000000"/>
                <w:lang w:eastAsia="da-DK"/>
              </w:rPr>
              <w:t>3.7</w:t>
            </w:r>
          </w:p>
        </w:tc>
        <w:tc>
          <w:tcPr>
            <w:tcW w:w="1129" w:type="dxa"/>
            <w:shd w:val="clear" w:color="auto" w:fill="FFFFFF"/>
            <w:noWrap/>
            <w:vAlign w:val="center"/>
          </w:tcPr>
          <w:p w14:paraId="45D1CE4A" w14:textId="77777777" w:rsidR="00692E71" w:rsidRPr="001E3185" w:rsidRDefault="00692E71" w:rsidP="008E0250">
            <w:pPr>
              <w:jc w:val="center"/>
              <w:rPr>
                <w:rFonts w:cs="Arial"/>
                <w:color w:val="000000"/>
              </w:rPr>
            </w:pPr>
            <w:r w:rsidRPr="001E3185">
              <w:rPr>
                <w:rFonts w:cs="Arial"/>
                <w:color w:val="000000"/>
              </w:rPr>
              <w:t>0.5</w:t>
            </w:r>
          </w:p>
        </w:tc>
        <w:tc>
          <w:tcPr>
            <w:tcW w:w="1134" w:type="dxa"/>
            <w:shd w:val="clear" w:color="auto" w:fill="FFFFFF"/>
            <w:noWrap/>
            <w:vAlign w:val="center"/>
          </w:tcPr>
          <w:p w14:paraId="1CE3CDB1" w14:textId="77777777" w:rsidR="00692E71" w:rsidRPr="001E3185" w:rsidRDefault="00692E71" w:rsidP="008E0250">
            <w:pPr>
              <w:jc w:val="center"/>
              <w:rPr>
                <w:rFonts w:cs="Arial"/>
                <w:color w:val="000000"/>
              </w:rPr>
            </w:pPr>
            <w:r w:rsidRPr="001E3185">
              <w:rPr>
                <w:rFonts w:cs="Arial"/>
                <w:color w:val="000000"/>
              </w:rPr>
              <w:t>0.2</w:t>
            </w:r>
          </w:p>
        </w:tc>
        <w:tc>
          <w:tcPr>
            <w:tcW w:w="1134" w:type="dxa"/>
            <w:shd w:val="clear" w:color="auto" w:fill="FFFFFF"/>
            <w:vAlign w:val="center"/>
          </w:tcPr>
          <w:p w14:paraId="6A56CCD9" w14:textId="77777777" w:rsidR="00692E71" w:rsidRPr="001E3185" w:rsidRDefault="00692E71" w:rsidP="008E0250">
            <w:pPr>
              <w:jc w:val="center"/>
              <w:rPr>
                <w:rFonts w:cs="Arial"/>
                <w:color w:val="000000"/>
              </w:rPr>
            </w:pPr>
            <w:r w:rsidRPr="001E3185">
              <w:rPr>
                <w:rFonts w:cs="Arial"/>
                <w:color w:val="000000"/>
              </w:rPr>
              <w:t>0.3</w:t>
            </w:r>
          </w:p>
        </w:tc>
        <w:tc>
          <w:tcPr>
            <w:tcW w:w="1276" w:type="dxa"/>
            <w:shd w:val="clear" w:color="auto" w:fill="FFFFFF"/>
            <w:vAlign w:val="center"/>
          </w:tcPr>
          <w:p w14:paraId="1EFDA0F6" w14:textId="77777777" w:rsidR="00692E71" w:rsidRPr="001E3185" w:rsidRDefault="00692E71" w:rsidP="008E0250">
            <w:pPr>
              <w:jc w:val="center"/>
              <w:rPr>
                <w:rFonts w:cs="Arial"/>
                <w:color w:val="000000"/>
              </w:rPr>
            </w:pPr>
            <w:r w:rsidRPr="001E3185">
              <w:rPr>
                <w:rFonts w:cs="Arial"/>
                <w:color w:val="000000"/>
              </w:rPr>
              <w:t>4.6</w:t>
            </w:r>
          </w:p>
        </w:tc>
      </w:tr>
    </w:tbl>
    <w:p w14:paraId="4F4C380D" w14:textId="77777777" w:rsidR="00692E71" w:rsidRPr="001E3185" w:rsidRDefault="00692E71" w:rsidP="00692E71">
      <w:pPr>
        <w:rPr>
          <w:rFonts w:cs="Arial"/>
        </w:rPr>
      </w:pPr>
    </w:p>
    <w:p w14:paraId="3A0F1894"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54</w:t>
      </w:r>
      <w:r w:rsidRPr="001E3185">
        <w:rPr>
          <w:rFonts w:ascii="Verdana" w:hAnsi="Verdana"/>
        </w:rPr>
        <w:fldChar w:fldCharType="end"/>
      </w:r>
      <w:r w:rsidRPr="001E3185">
        <w:rPr>
          <w:rFonts w:ascii="Verdana" w:hAnsi="Verdana"/>
        </w:rPr>
        <w:t>: PEC/PNEC ratios for the soil compartment, industrial dipping, in-service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850"/>
        <w:gridCol w:w="1134"/>
        <w:gridCol w:w="1134"/>
        <w:gridCol w:w="1134"/>
        <w:gridCol w:w="1276"/>
      </w:tblGrid>
      <w:tr w:rsidR="00692E71" w:rsidRPr="001E3185" w14:paraId="518CF8F0" w14:textId="77777777" w:rsidTr="008E0250">
        <w:trPr>
          <w:trHeight w:val="20"/>
          <w:tblHeader/>
          <w:jc w:val="center"/>
        </w:trPr>
        <w:tc>
          <w:tcPr>
            <w:tcW w:w="3681" w:type="dxa"/>
            <w:shd w:val="clear" w:color="auto" w:fill="FFFFFF" w:themeFill="background1"/>
            <w:noWrap/>
            <w:vAlign w:val="bottom"/>
          </w:tcPr>
          <w:p w14:paraId="702EA5AD" w14:textId="77777777" w:rsidR="00692E71" w:rsidRPr="001E3185" w:rsidRDefault="00692E71" w:rsidP="008E0250">
            <w:pPr>
              <w:rPr>
                <w:rFonts w:cs="Arial"/>
                <w:lang w:eastAsia="da-DK"/>
              </w:rPr>
            </w:pPr>
          </w:p>
        </w:tc>
        <w:tc>
          <w:tcPr>
            <w:tcW w:w="850" w:type="dxa"/>
            <w:shd w:val="clear" w:color="auto" w:fill="FFFFFF" w:themeFill="background1"/>
            <w:noWrap/>
            <w:vAlign w:val="center"/>
          </w:tcPr>
          <w:p w14:paraId="4896DBBA" w14:textId="77777777" w:rsidR="00692E71" w:rsidRPr="001E3185" w:rsidRDefault="00692E71" w:rsidP="008E0250">
            <w:pPr>
              <w:jc w:val="center"/>
              <w:rPr>
                <w:rFonts w:cs="Arial"/>
                <w:b/>
                <w:lang w:eastAsia="da-DK"/>
              </w:rPr>
            </w:pPr>
            <w:r w:rsidRPr="001E3185">
              <w:rPr>
                <w:rFonts w:cs="Arial"/>
                <w:b/>
                <w:lang w:eastAsia="da-DK"/>
              </w:rPr>
              <w:t>IPBC</w:t>
            </w:r>
          </w:p>
        </w:tc>
        <w:tc>
          <w:tcPr>
            <w:tcW w:w="1134" w:type="dxa"/>
            <w:shd w:val="clear" w:color="auto" w:fill="FFFFFF" w:themeFill="background1"/>
            <w:noWrap/>
            <w:vAlign w:val="center"/>
          </w:tcPr>
          <w:p w14:paraId="5E784E67"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134" w:type="dxa"/>
            <w:shd w:val="clear" w:color="auto" w:fill="FFFFFF" w:themeFill="background1"/>
            <w:noWrap/>
            <w:vAlign w:val="center"/>
          </w:tcPr>
          <w:p w14:paraId="4864AB78" w14:textId="77777777" w:rsidR="00692E71" w:rsidRPr="001E3185" w:rsidRDefault="00692E71" w:rsidP="008E0250">
            <w:pPr>
              <w:jc w:val="center"/>
              <w:rPr>
                <w:rFonts w:cs="Arial"/>
                <w:b/>
                <w:lang w:eastAsia="da-DK"/>
              </w:rPr>
            </w:pPr>
            <w:r w:rsidRPr="001E3185">
              <w:rPr>
                <w:rFonts w:cs="Arial"/>
                <w:b/>
                <w:lang w:eastAsia="da-DK"/>
              </w:rPr>
              <w:t>Tebuconazole</w:t>
            </w:r>
          </w:p>
        </w:tc>
        <w:tc>
          <w:tcPr>
            <w:tcW w:w="1134" w:type="dxa"/>
            <w:shd w:val="clear" w:color="auto" w:fill="FFFFFF" w:themeFill="background1"/>
            <w:vAlign w:val="center"/>
          </w:tcPr>
          <w:p w14:paraId="59130391"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themeFill="background1"/>
          </w:tcPr>
          <w:p w14:paraId="497CBDDF" w14:textId="77777777" w:rsidR="00692E71" w:rsidRPr="001E3185" w:rsidRDefault="00692E71" w:rsidP="008E0250">
            <w:pPr>
              <w:jc w:val="center"/>
              <w:rPr>
                <w:rFonts w:cs="Arial"/>
                <w:b/>
                <w:lang w:eastAsia="da-DK"/>
              </w:rPr>
            </w:pPr>
            <w:r w:rsidRPr="001E3185">
              <w:rPr>
                <w:rFonts w:cs="Arial"/>
                <w:b/>
                <w:bCs/>
              </w:rPr>
              <w:t>Total PEC/PNEC</w:t>
            </w:r>
          </w:p>
        </w:tc>
      </w:tr>
      <w:tr w:rsidR="00692E71" w:rsidRPr="001E3185" w14:paraId="43F5EEE8"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3702BB" w14:textId="77777777" w:rsidR="00692E71" w:rsidRPr="001E3185" w:rsidRDefault="00692E71" w:rsidP="008E0250">
            <w:pPr>
              <w:rPr>
                <w:rFonts w:cs="Arial"/>
                <w:b/>
                <w:lang w:eastAsia="da-DK"/>
              </w:rPr>
            </w:pPr>
            <w:r w:rsidRPr="001E3185">
              <w:rPr>
                <w:rFonts w:cs="Arial"/>
                <w:b/>
                <w:lang w:eastAsia="da-DK"/>
              </w:rPr>
              <w:t>House (soil)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7076DB" w14:textId="77777777" w:rsidR="00692E71" w:rsidRPr="001E3185" w:rsidRDefault="00692E71" w:rsidP="008E0250">
            <w:pPr>
              <w:jc w:val="center"/>
              <w:rPr>
                <w:rFonts w:cs="Arial"/>
                <w:highlight w:val="yellow"/>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8C8EDE" w14:textId="77777777" w:rsidR="00692E71" w:rsidRPr="001E3185" w:rsidRDefault="00692E71" w:rsidP="008E0250">
            <w:pPr>
              <w:jc w:val="center"/>
              <w:rPr>
                <w:rFonts w:cs="Arial"/>
                <w:highlight w:val="yellow"/>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51B649" w14:textId="77777777" w:rsidR="00692E71" w:rsidRPr="001E3185" w:rsidRDefault="00692E71" w:rsidP="008E0250">
            <w:pPr>
              <w:jc w:val="center"/>
              <w:rPr>
                <w:rFonts w:cs="Arial"/>
                <w:highlight w:val="yellow"/>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CAEDFB" w14:textId="77777777" w:rsidR="00692E71" w:rsidRPr="001E3185" w:rsidRDefault="00692E71" w:rsidP="008E0250">
            <w:pPr>
              <w:jc w:val="center"/>
              <w:rPr>
                <w:rFonts w:cs="Arial"/>
                <w:highlight w:val="yellow"/>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6187966" w14:textId="77777777" w:rsidR="00692E71" w:rsidRPr="001E3185" w:rsidRDefault="00692E71" w:rsidP="008E0250">
            <w:pPr>
              <w:jc w:val="center"/>
              <w:rPr>
                <w:rFonts w:cs="Arial"/>
                <w:highlight w:val="yellow"/>
                <w:lang w:eastAsia="da-DK"/>
              </w:rPr>
            </w:pPr>
          </w:p>
        </w:tc>
      </w:tr>
      <w:tr w:rsidR="00692E71" w:rsidRPr="001E3185" w14:paraId="1B815142"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B249B" w14:textId="77777777" w:rsidR="00692E71" w:rsidRPr="001E3185" w:rsidRDefault="00692E71" w:rsidP="008E0250">
            <w:pPr>
              <w:rPr>
                <w:rFonts w:cs="Arial"/>
                <w:lang w:eastAsia="da-DK"/>
              </w:rPr>
            </w:pPr>
            <w:r w:rsidRPr="001E3185">
              <w:rPr>
                <w:rFonts w:cs="Arial"/>
                <w:lang w:eastAsia="da-DK"/>
              </w:rPr>
              <w:t>PEC/PNEC local without removal [mg.kgwwt-1] Time 1 (30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181E7C" w14:textId="77777777" w:rsidR="00692E71" w:rsidRPr="001E3185" w:rsidRDefault="00692E71" w:rsidP="008E0250">
            <w:pPr>
              <w:jc w:val="center"/>
              <w:rPr>
                <w:rFonts w:cs="Arial"/>
                <w:lang w:eastAsia="da-DK"/>
              </w:rPr>
            </w:pPr>
            <w:r w:rsidRPr="001E3185">
              <w:rPr>
                <w:rFonts w:cs="Arial"/>
                <w:color w:val="000000"/>
              </w:rPr>
              <w:t>6.48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563C29" w14:textId="77777777" w:rsidR="00692E71" w:rsidRPr="001E3185" w:rsidRDefault="00692E71" w:rsidP="008E0250">
            <w:pPr>
              <w:jc w:val="center"/>
              <w:rPr>
                <w:rFonts w:cs="Arial"/>
                <w:lang w:eastAsia="da-DK"/>
              </w:rPr>
            </w:pPr>
            <w:r w:rsidRPr="001E3185">
              <w:rPr>
                <w:rFonts w:cs="Arial"/>
                <w:color w:val="000000"/>
              </w:rPr>
              <w:t>1.16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4EC4D0" w14:textId="77777777" w:rsidR="00692E71" w:rsidRPr="001E3185" w:rsidRDefault="00692E71" w:rsidP="008E0250">
            <w:pPr>
              <w:jc w:val="center"/>
              <w:rPr>
                <w:rFonts w:cs="Arial"/>
                <w:lang w:eastAsia="da-DK"/>
              </w:rPr>
            </w:pPr>
            <w:r w:rsidRPr="001E3185">
              <w:rPr>
                <w:rFonts w:cs="Arial"/>
                <w:color w:val="000000"/>
              </w:rPr>
              <w:t>0.51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14A30" w14:textId="77777777" w:rsidR="00692E71" w:rsidRPr="001E3185" w:rsidRDefault="00692E71" w:rsidP="008E0250">
            <w:pPr>
              <w:jc w:val="center"/>
              <w:rPr>
                <w:rFonts w:cs="Arial"/>
                <w:lang w:eastAsia="da-DK"/>
              </w:rPr>
            </w:pPr>
            <w:r w:rsidRPr="001E3185">
              <w:rPr>
                <w:rFonts w:cs="Arial"/>
                <w:color w:val="000000"/>
              </w:rPr>
              <w:t>3.7*10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7D91F" w14:textId="77777777" w:rsidR="00692E71" w:rsidRPr="001E3185" w:rsidRDefault="00692E71" w:rsidP="008E0250">
            <w:pPr>
              <w:jc w:val="center"/>
              <w:rPr>
                <w:rFonts w:cs="Arial"/>
                <w:lang w:eastAsia="da-DK"/>
              </w:rPr>
            </w:pPr>
            <w:r w:rsidRPr="001E3185">
              <w:rPr>
                <w:rFonts w:cs="Arial"/>
                <w:color w:val="000000"/>
              </w:rPr>
              <w:t>8.14</w:t>
            </w:r>
          </w:p>
        </w:tc>
      </w:tr>
      <w:tr w:rsidR="00692E71" w:rsidRPr="001E3185" w14:paraId="0572D85B"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170008" w14:textId="77777777" w:rsidR="00692E71" w:rsidRPr="001E3185" w:rsidRDefault="00692E71" w:rsidP="008E0250">
            <w:pPr>
              <w:rPr>
                <w:rFonts w:cs="Arial"/>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690F71" w14:textId="77777777" w:rsidR="00692E71" w:rsidRPr="001E3185" w:rsidRDefault="00692E71" w:rsidP="008E0250">
            <w:pPr>
              <w:jc w:val="center"/>
              <w:rPr>
                <w:rFonts w:cs="Arial"/>
                <w:lang w:eastAsia="da-DK"/>
              </w:rPr>
            </w:pPr>
            <w:r w:rsidRPr="001E3185">
              <w:rPr>
                <w:rFonts w:cs="Arial"/>
                <w:color w:val="000000"/>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824866" w14:textId="77777777" w:rsidR="00692E71" w:rsidRPr="001E3185" w:rsidRDefault="00692E71" w:rsidP="008E0250">
            <w:pPr>
              <w:jc w:val="center"/>
              <w:rPr>
                <w:rFonts w:cs="Arial"/>
                <w:lang w:eastAsia="da-DK"/>
              </w:rPr>
            </w:pPr>
            <w:r w:rsidRPr="001E3185">
              <w:rPr>
                <w:rFonts w:cs="Arial"/>
                <w:color w:val="000000"/>
              </w:rPr>
              <w:t>10.37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2075E8" w14:textId="77777777" w:rsidR="00692E71" w:rsidRPr="001E3185" w:rsidRDefault="00692E71" w:rsidP="008E0250">
            <w:pPr>
              <w:jc w:val="center"/>
              <w:rPr>
                <w:rFonts w:cs="Arial"/>
                <w:lang w:eastAsia="da-DK"/>
              </w:rPr>
            </w:pPr>
            <w:r w:rsidRPr="001E3185">
              <w:rPr>
                <w:rFonts w:cs="Arial"/>
                <w:color w:val="000000"/>
              </w:rPr>
              <w:t>3.86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7FAB4" w14:textId="77777777" w:rsidR="00692E71" w:rsidRPr="001E3185" w:rsidRDefault="00692E71" w:rsidP="008E0250">
            <w:pPr>
              <w:jc w:val="center"/>
              <w:rPr>
                <w:rFonts w:cs="Arial"/>
                <w:lang w:eastAsia="da-DK"/>
              </w:rPr>
            </w:pPr>
            <w:r w:rsidRPr="001E3185">
              <w:rPr>
                <w:rFonts w:cs="Arial"/>
                <w:color w:val="000000"/>
              </w:rPr>
              <w:t>0.38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9B8CA" w14:textId="77777777" w:rsidR="00692E71" w:rsidRPr="001E3185" w:rsidRDefault="00692E71" w:rsidP="008E0250">
            <w:pPr>
              <w:jc w:val="center"/>
              <w:rPr>
                <w:rFonts w:cs="Arial"/>
                <w:lang w:eastAsia="da-DK"/>
              </w:rPr>
            </w:pPr>
            <w:r w:rsidRPr="001E3185">
              <w:rPr>
                <w:rFonts w:cs="Arial"/>
                <w:color w:val="000000"/>
              </w:rPr>
              <w:t>57</w:t>
            </w:r>
          </w:p>
        </w:tc>
      </w:tr>
      <w:tr w:rsidR="00692E71" w:rsidRPr="001E3185" w14:paraId="36EEBFC4"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E2CCAA" w14:textId="77777777" w:rsidR="00692E71" w:rsidRPr="001E3185" w:rsidRDefault="00692E71" w:rsidP="008E0250">
            <w:pPr>
              <w:rPr>
                <w:rFonts w:cs="Arial"/>
                <w:lang w:eastAsia="da-DK"/>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D252AD"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BA842C"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6D7736"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0352" w14:textId="77777777" w:rsidR="00692E71" w:rsidRPr="001E3185" w:rsidRDefault="00692E71" w:rsidP="008E0250">
            <w:pPr>
              <w:jc w:val="center"/>
              <w:rPr>
                <w:rFonts w:cs="Arial"/>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33D2C" w14:textId="77777777" w:rsidR="00692E71" w:rsidRPr="001E3185" w:rsidRDefault="00692E71" w:rsidP="008E0250">
            <w:pPr>
              <w:jc w:val="center"/>
              <w:rPr>
                <w:rFonts w:cs="Arial"/>
                <w:lang w:eastAsia="da-DK"/>
              </w:rPr>
            </w:pPr>
          </w:p>
        </w:tc>
      </w:tr>
      <w:tr w:rsidR="00692E71" w:rsidRPr="001E3185" w14:paraId="383627BC"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3F8292"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 (30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80CFA4" w14:textId="77777777" w:rsidR="00692E71" w:rsidRPr="001E3185" w:rsidRDefault="00692E71" w:rsidP="008E0250">
            <w:pPr>
              <w:jc w:val="center"/>
              <w:rPr>
                <w:rFonts w:cs="Arial"/>
                <w:lang w:eastAsia="da-DK"/>
              </w:rPr>
            </w:pPr>
            <w:r w:rsidRPr="001E3185">
              <w:rPr>
                <w:rFonts w:cs="Arial"/>
                <w:color w:val="000000"/>
              </w:rPr>
              <w:t>0.01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AA8DB0" w14:textId="77777777" w:rsidR="00692E71" w:rsidRPr="001E3185" w:rsidRDefault="00692E71" w:rsidP="008E0250">
            <w:pPr>
              <w:jc w:val="center"/>
              <w:rPr>
                <w:rFonts w:cs="Arial"/>
                <w:lang w:eastAsia="da-DK"/>
              </w:rPr>
            </w:pPr>
            <w:r w:rsidRPr="001E3185">
              <w:rPr>
                <w:rFonts w:cs="Arial"/>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0A6943" w14:textId="77777777" w:rsidR="00692E71" w:rsidRPr="001E3185" w:rsidRDefault="00692E71" w:rsidP="008E0250">
            <w:pPr>
              <w:jc w:val="center"/>
              <w:rPr>
                <w:rFonts w:cs="Arial"/>
                <w:lang w:eastAsia="da-DK"/>
              </w:rPr>
            </w:pPr>
            <w:r w:rsidRPr="001E3185">
              <w:rPr>
                <w:rFonts w:cs="Arial"/>
                <w:color w:val="000000"/>
              </w:rPr>
              <w:t>0.44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4FE64" w14:textId="77777777" w:rsidR="00692E71" w:rsidRPr="001E3185" w:rsidRDefault="00692E71" w:rsidP="008E0250">
            <w:pPr>
              <w:jc w:val="center"/>
              <w:rPr>
                <w:rFonts w:cs="Arial"/>
                <w:lang w:eastAsia="da-DK"/>
              </w:rPr>
            </w:pPr>
            <w:r w:rsidRPr="001E3185">
              <w:rPr>
                <w:rFonts w:cs="Arial"/>
                <w:color w:val="000000"/>
              </w:rPr>
              <w:t>2.1*10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00E02" w14:textId="77777777" w:rsidR="00692E71" w:rsidRPr="001E3185" w:rsidRDefault="00692E71" w:rsidP="008E0250">
            <w:pPr>
              <w:jc w:val="center"/>
              <w:rPr>
                <w:rFonts w:cs="Arial"/>
                <w:lang w:eastAsia="da-DK"/>
              </w:rPr>
            </w:pPr>
            <w:r w:rsidRPr="001E3185">
              <w:rPr>
                <w:rFonts w:cs="Arial"/>
                <w:color w:val="000000"/>
              </w:rPr>
              <w:t>1.7</w:t>
            </w:r>
          </w:p>
        </w:tc>
      </w:tr>
      <w:tr w:rsidR="00692E71" w:rsidRPr="001E3185" w14:paraId="1FD48592"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9F3C4E"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D92A1E" w14:textId="77777777" w:rsidR="00692E71" w:rsidRPr="001E3185" w:rsidRDefault="00692E71" w:rsidP="008E0250">
            <w:pPr>
              <w:jc w:val="center"/>
              <w:rPr>
                <w:rFonts w:cs="Arial"/>
                <w:lang w:eastAsia="da-DK"/>
              </w:rPr>
            </w:pPr>
            <w:r w:rsidRPr="001E3185">
              <w:rPr>
                <w:rFonts w:cs="Arial"/>
                <w:color w:val="000000"/>
              </w:rPr>
              <w:t>2.0*10</w:t>
            </w:r>
            <w:r w:rsidRPr="001E3185">
              <w:rPr>
                <w:rFonts w:cs="Arial"/>
                <w:color w:val="000000"/>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319A0F" w14:textId="77777777" w:rsidR="00692E71" w:rsidRPr="001E3185" w:rsidRDefault="00692E71" w:rsidP="008E0250">
            <w:pPr>
              <w:jc w:val="center"/>
              <w:rPr>
                <w:rFonts w:cs="Arial"/>
                <w:lang w:eastAsia="da-DK"/>
              </w:rPr>
            </w:pPr>
            <w:r w:rsidRPr="001E3185">
              <w:rPr>
                <w:rFonts w:cs="Arial"/>
                <w:color w:val="000000"/>
              </w:rPr>
              <w:t>0.31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F03780" w14:textId="77777777" w:rsidR="00692E71" w:rsidRPr="001E3185" w:rsidRDefault="00692E71" w:rsidP="008E0250">
            <w:pPr>
              <w:jc w:val="center"/>
              <w:rPr>
                <w:rFonts w:cs="Arial"/>
                <w:lang w:eastAsia="da-DK"/>
              </w:rPr>
            </w:pPr>
            <w:r w:rsidRPr="001E3185">
              <w:rPr>
                <w:rFonts w:cs="Arial"/>
                <w:color w:val="000000"/>
              </w:rPr>
              <w:t>0.07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DDB54" w14:textId="77777777" w:rsidR="00692E71" w:rsidRPr="001E3185" w:rsidRDefault="00692E71" w:rsidP="008E0250">
            <w:pPr>
              <w:jc w:val="center"/>
              <w:rPr>
                <w:rFonts w:cs="Arial"/>
                <w:lang w:eastAsia="da-DK"/>
              </w:rPr>
            </w:pPr>
            <w:r w:rsidRPr="001E3185">
              <w:rPr>
                <w:rFonts w:cs="Arial"/>
                <w:color w:val="000000"/>
              </w:rPr>
              <w:t>1.7*10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3F757" w14:textId="77777777" w:rsidR="00692E71" w:rsidRPr="001E3185" w:rsidRDefault="00692E71" w:rsidP="008E0250">
            <w:pPr>
              <w:jc w:val="center"/>
              <w:rPr>
                <w:rFonts w:cs="Arial"/>
                <w:lang w:eastAsia="da-DK"/>
              </w:rPr>
            </w:pPr>
            <w:r w:rsidRPr="001E3185">
              <w:rPr>
                <w:rFonts w:cs="Arial"/>
                <w:color w:val="000000"/>
              </w:rPr>
              <w:t>0.38</w:t>
            </w:r>
          </w:p>
        </w:tc>
      </w:tr>
      <w:tr w:rsidR="00692E71" w:rsidRPr="001E3185" w14:paraId="35F2184A"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14F806" w14:textId="77777777" w:rsidR="00692E71" w:rsidRPr="001E3185" w:rsidRDefault="00692E71" w:rsidP="008E0250">
            <w:pPr>
              <w:rPr>
                <w:rFonts w:cs="Arial"/>
                <w:b/>
                <w:lang w:eastAsia="da-DK"/>
              </w:rPr>
            </w:pPr>
            <w:r w:rsidRPr="001E3185">
              <w:rPr>
                <w:rFonts w:cs="Arial"/>
                <w:b/>
                <w:lang w:eastAsia="da-DK"/>
              </w:rPr>
              <w:t>Fence (soil)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7BCAAF"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1B6082"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523943"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979B" w14:textId="77777777" w:rsidR="00692E71" w:rsidRPr="001E3185" w:rsidRDefault="00692E71" w:rsidP="008E0250">
            <w:pPr>
              <w:jc w:val="center"/>
              <w:rPr>
                <w:rFonts w:cs="Arial"/>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3EE1A" w14:textId="77777777" w:rsidR="00692E71" w:rsidRPr="001E3185" w:rsidRDefault="00692E71" w:rsidP="008E0250">
            <w:pPr>
              <w:jc w:val="center"/>
              <w:rPr>
                <w:rFonts w:cs="Arial"/>
                <w:lang w:eastAsia="da-DK"/>
              </w:rPr>
            </w:pPr>
          </w:p>
        </w:tc>
      </w:tr>
      <w:tr w:rsidR="00692E71" w:rsidRPr="001E3185" w14:paraId="53A0643F"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9A953E" w14:textId="77777777" w:rsidR="00692E71" w:rsidRPr="001E3185" w:rsidRDefault="00692E71" w:rsidP="008E0250">
            <w:pPr>
              <w:rPr>
                <w:rFonts w:cs="Arial"/>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5C3480" w14:textId="77777777" w:rsidR="00692E71" w:rsidRPr="001E3185" w:rsidRDefault="00692E71" w:rsidP="008E0250">
            <w:pPr>
              <w:jc w:val="center"/>
              <w:rPr>
                <w:rFonts w:cs="Arial"/>
                <w:lang w:eastAsia="da-DK"/>
              </w:rPr>
            </w:pPr>
            <w:r w:rsidRPr="001E3185">
              <w:rPr>
                <w:rFonts w:cs="Arial"/>
                <w:color w:val="000000"/>
              </w:rPr>
              <w:t>5.39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570F8D" w14:textId="77777777" w:rsidR="00692E71" w:rsidRPr="001E3185" w:rsidRDefault="00692E71" w:rsidP="008E0250">
            <w:pPr>
              <w:jc w:val="center"/>
              <w:rPr>
                <w:rFonts w:cs="Arial"/>
                <w:lang w:eastAsia="da-DK"/>
              </w:rPr>
            </w:pPr>
            <w:r w:rsidRPr="001E3185">
              <w:rPr>
                <w:rFonts w:cs="Arial"/>
                <w:color w:val="000000"/>
              </w:rPr>
              <w:t>0.96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FC9A92" w14:textId="77777777" w:rsidR="00692E71" w:rsidRPr="001E3185" w:rsidRDefault="00692E71" w:rsidP="008E0250">
            <w:pPr>
              <w:jc w:val="center"/>
              <w:rPr>
                <w:rFonts w:cs="Arial"/>
                <w:lang w:eastAsia="da-DK"/>
              </w:rPr>
            </w:pPr>
            <w:r w:rsidRPr="001E3185">
              <w:rPr>
                <w:rFonts w:cs="Arial"/>
                <w:color w:val="000000"/>
              </w:rPr>
              <w:t>0.42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2A0BD" w14:textId="77777777" w:rsidR="00692E71" w:rsidRPr="001E3185" w:rsidRDefault="00692E71" w:rsidP="008E0250">
            <w:pPr>
              <w:jc w:val="center"/>
              <w:rPr>
                <w:rFonts w:cs="Arial"/>
                <w:lang w:eastAsia="da-DK"/>
              </w:rPr>
            </w:pPr>
            <w:r w:rsidRPr="001E3185">
              <w:rPr>
                <w:rFonts w:cs="Arial"/>
                <w:color w:val="000000"/>
              </w:rPr>
              <w:t>3.1*10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D5A5C" w14:textId="77777777" w:rsidR="00692E71" w:rsidRPr="001E3185" w:rsidRDefault="00692E71" w:rsidP="008E0250">
            <w:pPr>
              <w:jc w:val="center"/>
              <w:rPr>
                <w:rFonts w:cs="Arial"/>
                <w:lang w:eastAsia="da-DK"/>
              </w:rPr>
            </w:pPr>
            <w:r w:rsidRPr="001E3185">
              <w:rPr>
                <w:rFonts w:cs="Arial"/>
                <w:lang w:eastAsia="da-DK"/>
              </w:rPr>
              <w:t>6.78</w:t>
            </w:r>
          </w:p>
        </w:tc>
      </w:tr>
      <w:tr w:rsidR="00692E71" w:rsidRPr="001E3185" w14:paraId="2F8701E2"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32A339" w14:textId="77777777" w:rsidR="00692E71" w:rsidRPr="001E3185" w:rsidRDefault="00692E71" w:rsidP="008E0250">
            <w:pPr>
              <w:rPr>
                <w:rFonts w:cs="Arial"/>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AC8F7B" w14:textId="77777777" w:rsidR="00692E71" w:rsidRPr="001E3185" w:rsidRDefault="00692E71" w:rsidP="008E0250">
            <w:pPr>
              <w:jc w:val="center"/>
              <w:rPr>
                <w:rFonts w:cs="Arial"/>
                <w:lang w:eastAsia="da-DK"/>
              </w:rPr>
            </w:pPr>
            <w:r w:rsidRPr="001E3185">
              <w:rPr>
                <w:rFonts w:cs="Arial"/>
                <w:color w:val="000000"/>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09505B" w14:textId="77777777" w:rsidR="00692E71" w:rsidRPr="001E3185" w:rsidRDefault="00692E71" w:rsidP="008E0250">
            <w:pPr>
              <w:jc w:val="center"/>
              <w:rPr>
                <w:rFonts w:cs="Arial"/>
                <w:lang w:eastAsia="da-DK"/>
              </w:rPr>
            </w:pPr>
            <w:r w:rsidRPr="001E3185">
              <w:rPr>
                <w:rFonts w:cs="Arial"/>
                <w:color w:val="000000"/>
              </w:rPr>
              <w:t>8.63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5C717A" w14:textId="77777777" w:rsidR="00692E71" w:rsidRPr="001E3185" w:rsidRDefault="00692E71" w:rsidP="008E0250">
            <w:pPr>
              <w:jc w:val="center"/>
              <w:rPr>
                <w:rFonts w:cs="Arial"/>
                <w:lang w:eastAsia="da-DK"/>
              </w:rPr>
            </w:pPr>
            <w:r w:rsidRPr="001E3185">
              <w:rPr>
                <w:rFonts w:cs="Arial"/>
                <w:color w:val="000000"/>
              </w:rPr>
              <w:t>3.21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A1490" w14:textId="77777777" w:rsidR="00692E71" w:rsidRPr="001E3185" w:rsidRDefault="00692E71" w:rsidP="008E0250">
            <w:pPr>
              <w:jc w:val="center"/>
              <w:rPr>
                <w:rFonts w:cs="Arial"/>
                <w:lang w:eastAsia="da-DK"/>
              </w:rPr>
            </w:pPr>
            <w:r w:rsidRPr="001E3185">
              <w:rPr>
                <w:rFonts w:cs="Arial"/>
                <w:color w:val="000000"/>
              </w:rPr>
              <w:t>3.1*10</w:t>
            </w:r>
            <w:r w:rsidRPr="001E3185">
              <w:rPr>
                <w:rFonts w:cs="Arial"/>
                <w:color w:val="000000"/>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3977B" w14:textId="77777777" w:rsidR="00692E71" w:rsidRPr="001E3185" w:rsidRDefault="00692E71" w:rsidP="008E0250">
            <w:pPr>
              <w:jc w:val="center"/>
              <w:rPr>
                <w:rFonts w:cs="Arial"/>
                <w:lang w:eastAsia="da-DK"/>
              </w:rPr>
            </w:pPr>
            <w:r w:rsidRPr="001E3185">
              <w:rPr>
                <w:rFonts w:cs="Arial"/>
                <w:lang w:eastAsia="da-DK"/>
              </w:rPr>
              <w:t>47</w:t>
            </w:r>
          </w:p>
        </w:tc>
      </w:tr>
      <w:tr w:rsidR="00692E71" w:rsidRPr="001E3185" w14:paraId="068106CD"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5FF76B" w14:textId="77777777" w:rsidR="00692E71" w:rsidRPr="001E3185" w:rsidRDefault="00692E71" w:rsidP="008E0250">
            <w:pPr>
              <w:rPr>
                <w:rFonts w:cs="Arial"/>
                <w:lang w:eastAsia="da-DK"/>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A3A62E"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2AF22D"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997C6A"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6E711" w14:textId="77777777" w:rsidR="00692E71" w:rsidRPr="001E3185" w:rsidRDefault="00692E71" w:rsidP="008E0250">
            <w:pPr>
              <w:jc w:val="center"/>
              <w:rPr>
                <w:rFonts w:cs="Arial"/>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B5B0D" w14:textId="77777777" w:rsidR="00692E71" w:rsidRPr="001E3185" w:rsidRDefault="00692E71" w:rsidP="008E0250">
            <w:pPr>
              <w:jc w:val="center"/>
              <w:rPr>
                <w:rFonts w:cs="Arial"/>
                <w:lang w:eastAsia="da-DK"/>
              </w:rPr>
            </w:pPr>
          </w:p>
        </w:tc>
      </w:tr>
      <w:tr w:rsidR="00692E71" w:rsidRPr="001E3185" w14:paraId="2C9B40CC"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EE8A5E"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 (30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3EEBD9" w14:textId="77777777" w:rsidR="00692E71" w:rsidRPr="001E3185" w:rsidRDefault="00692E71" w:rsidP="008E0250">
            <w:pPr>
              <w:jc w:val="center"/>
              <w:rPr>
                <w:rFonts w:cs="Arial"/>
                <w:lang w:eastAsia="da-DK"/>
              </w:rPr>
            </w:pPr>
            <w:r w:rsidRPr="001E3185">
              <w:rPr>
                <w:rFonts w:cs="Arial"/>
                <w:color w:val="000000"/>
              </w:rPr>
              <w:t>0.01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EACA69" w14:textId="77777777" w:rsidR="00692E71" w:rsidRPr="001E3185" w:rsidRDefault="00692E71" w:rsidP="008E0250">
            <w:pPr>
              <w:jc w:val="center"/>
              <w:rPr>
                <w:rFonts w:cs="Arial"/>
                <w:lang w:eastAsia="da-DK"/>
              </w:rPr>
            </w:pPr>
            <w:r w:rsidRPr="001E3185">
              <w:rPr>
                <w:rFonts w:cs="Arial"/>
                <w:color w:val="000000"/>
              </w:rPr>
              <w:t>0.89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63EB2B" w14:textId="77777777" w:rsidR="00692E71" w:rsidRPr="001E3185" w:rsidRDefault="00692E71" w:rsidP="008E0250">
            <w:pPr>
              <w:jc w:val="center"/>
              <w:rPr>
                <w:rFonts w:cs="Arial"/>
                <w:lang w:eastAsia="da-DK"/>
              </w:rPr>
            </w:pPr>
            <w:r w:rsidRPr="001E3185">
              <w:rPr>
                <w:rFonts w:cs="Arial"/>
                <w:color w:val="000000"/>
              </w:rPr>
              <w:t>0.37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1C654" w14:textId="77777777" w:rsidR="00692E71" w:rsidRPr="001E3185" w:rsidRDefault="00692E71" w:rsidP="008E0250">
            <w:pPr>
              <w:jc w:val="center"/>
              <w:rPr>
                <w:rFonts w:cs="Arial"/>
                <w:lang w:eastAsia="da-DK"/>
              </w:rPr>
            </w:pPr>
            <w:r w:rsidRPr="001E3185">
              <w:rPr>
                <w:rFonts w:cs="Arial"/>
                <w:color w:val="000000"/>
              </w:rPr>
              <w:t>1.7*10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29281" w14:textId="77777777" w:rsidR="00692E71" w:rsidRPr="001E3185" w:rsidRDefault="00692E71" w:rsidP="008E0250">
            <w:pPr>
              <w:jc w:val="center"/>
              <w:rPr>
                <w:rFonts w:cs="Arial"/>
                <w:lang w:eastAsia="da-DK"/>
              </w:rPr>
            </w:pPr>
            <w:r w:rsidRPr="001E3185">
              <w:rPr>
                <w:rFonts w:cs="Arial"/>
                <w:lang w:eastAsia="da-DK"/>
              </w:rPr>
              <w:t>1.26</w:t>
            </w:r>
          </w:p>
        </w:tc>
      </w:tr>
      <w:tr w:rsidR="00692E71" w:rsidRPr="001E3185" w14:paraId="41C853F1"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119518"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91A265" w14:textId="77777777" w:rsidR="00692E71" w:rsidRPr="001E3185" w:rsidRDefault="00692E71" w:rsidP="008E0250">
            <w:pPr>
              <w:jc w:val="center"/>
              <w:rPr>
                <w:rFonts w:cs="Arial"/>
                <w:lang w:eastAsia="da-DK"/>
              </w:rPr>
            </w:pPr>
            <w:r w:rsidRPr="001E3185">
              <w:rPr>
                <w:rFonts w:cs="Arial"/>
                <w:color w:val="000000"/>
              </w:rPr>
              <w:t>1.6*10</w:t>
            </w:r>
            <w:r w:rsidRPr="001E3185">
              <w:rPr>
                <w:rFonts w:cs="Arial"/>
                <w:color w:val="000000"/>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0FCD05" w14:textId="77777777" w:rsidR="00692E71" w:rsidRPr="001E3185" w:rsidRDefault="00692E71" w:rsidP="008E0250">
            <w:pPr>
              <w:jc w:val="center"/>
              <w:rPr>
                <w:rFonts w:cs="Arial"/>
                <w:lang w:eastAsia="da-DK"/>
              </w:rPr>
            </w:pPr>
            <w:r w:rsidRPr="001E3185">
              <w:rPr>
                <w:rFonts w:cs="Arial"/>
                <w:color w:val="000000"/>
              </w:rPr>
              <w:t>0.26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8E181" w14:textId="77777777" w:rsidR="00692E71" w:rsidRPr="001E3185" w:rsidRDefault="00692E71" w:rsidP="008E0250">
            <w:pPr>
              <w:jc w:val="center"/>
              <w:rPr>
                <w:rFonts w:cs="Arial"/>
                <w:lang w:eastAsia="da-DK"/>
              </w:rPr>
            </w:pPr>
            <w:r w:rsidRPr="001E3185">
              <w:rPr>
                <w:rFonts w:cs="Arial"/>
                <w:color w:val="000000"/>
              </w:rPr>
              <w:t>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FDD8A" w14:textId="77777777" w:rsidR="00692E71" w:rsidRPr="001E3185" w:rsidRDefault="00692E71" w:rsidP="008E0250">
            <w:pPr>
              <w:jc w:val="center"/>
              <w:rPr>
                <w:rFonts w:cs="Arial"/>
                <w:lang w:eastAsia="da-DK"/>
              </w:rPr>
            </w:pPr>
            <w:r w:rsidRPr="001E3185">
              <w:rPr>
                <w:rFonts w:cs="Arial"/>
                <w:color w:val="000000"/>
              </w:rPr>
              <w:t>1.4*10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2E281" w14:textId="77777777" w:rsidR="00692E71" w:rsidRPr="001E3185" w:rsidRDefault="00692E71" w:rsidP="008E0250">
            <w:pPr>
              <w:jc w:val="center"/>
              <w:rPr>
                <w:rFonts w:cs="Arial"/>
                <w:lang w:eastAsia="da-DK"/>
              </w:rPr>
            </w:pPr>
            <w:r w:rsidRPr="001E3185">
              <w:rPr>
                <w:rFonts w:cs="Arial"/>
                <w:lang w:eastAsia="da-DK"/>
              </w:rPr>
              <w:t>0.32</w:t>
            </w:r>
          </w:p>
        </w:tc>
      </w:tr>
      <w:tr w:rsidR="00692E71" w:rsidRPr="001E3185" w14:paraId="3211C2CB"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491FBD" w14:textId="77777777" w:rsidR="00692E71" w:rsidRPr="001E3185" w:rsidRDefault="00692E71" w:rsidP="008E0250">
            <w:pPr>
              <w:rPr>
                <w:rFonts w:cs="Arial"/>
                <w:lang w:eastAsia="da-DK"/>
              </w:rPr>
            </w:pPr>
            <w:r w:rsidRPr="001E3185">
              <w:rPr>
                <w:rFonts w:cs="Arial"/>
                <w:b/>
                <w:lang w:eastAsia="da-DK"/>
              </w:rPr>
              <w:t>Noise Barrier (soil)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5371AC"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3CAF6C"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29735"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F7EFA" w14:textId="77777777" w:rsidR="00692E71" w:rsidRPr="001E3185" w:rsidRDefault="00692E71" w:rsidP="008E0250">
            <w:pPr>
              <w:jc w:val="center"/>
              <w:rPr>
                <w:rFonts w:cs="Arial"/>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73BE5" w14:textId="77777777" w:rsidR="00692E71" w:rsidRPr="001E3185" w:rsidRDefault="00692E71" w:rsidP="008E0250">
            <w:pPr>
              <w:jc w:val="center"/>
              <w:rPr>
                <w:rFonts w:cs="Arial"/>
                <w:lang w:eastAsia="da-DK"/>
              </w:rPr>
            </w:pPr>
          </w:p>
        </w:tc>
      </w:tr>
      <w:tr w:rsidR="00692E71" w:rsidRPr="001E3185" w14:paraId="39902D20"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6AB04C" w14:textId="77777777" w:rsidR="00692E71" w:rsidRPr="001E3185" w:rsidRDefault="00692E71" w:rsidP="008E0250">
            <w:pPr>
              <w:rPr>
                <w:rFonts w:cs="Arial"/>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 xml:space="preserve">] </w:t>
            </w:r>
            <w:r w:rsidRPr="001E3185">
              <w:rPr>
                <w:rFonts w:cs="Arial"/>
                <w:lang w:eastAsia="da-DK"/>
              </w:rPr>
              <w:t>Time 1 (30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FA498D" w14:textId="77777777" w:rsidR="00692E71" w:rsidRPr="001E3185" w:rsidRDefault="00692E71" w:rsidP="008E0250">
            <w:pPr>
              <w:jc w:val="center"/>
              <w:rPr>
                <w:rFonts w:cs="Arial"/>
                <w:lang w:eastAsia="da-DK"/>
              </w:rPr>
            </w:pPr>
            <w:r w:rsidRPr="001E3185">
              <w:rPr>
                <w:rFonts w:cs="Arial"/>
                <w:color w:val="000000"/>
              </w:rPr>
              <w:t>2.43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E4561A" w14:textId="77777777" w:rsidR="00692E71" w:rsidRPr="001E3185" w:rsidRDefault="00692E71" w:rsidP="008E0250">
            <w:pPr>
              <w:jc w:val="center"/>
              <w:rPr>
                <w:rFonts w:cs="Arial"/>
                <w:lang w:eastAsia="da-DK"/>
              </w:rPr>
            </w:pPr>
            <w:r w:rsidRPr="001E3185">
              <w:rPr>
                <w:rFonts w:cs="Arial"/>
                <w:color w:val="000000"/>
              </w:rPr>
              <w:t>0.43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C7FFE8" w14:textId="77777777" w:rsidR="00692E71" w:rsidRPr="001E3185" w:rsidRDefault="00692E71" w:rsidP="008E0250">
            <w:pPr>
              <w:jc w:val="center"/>
              <w:rPr>
                <w:rFonts w:cs="Arial"/>
                <w:lang w:eastAsia="da-DK"/>
              </w:rPr>
            </w:pPr>
            <w:r w:rsidRPr="001E3185">
              <w:rPr>
                <w:rFonts w:cs="Arial"/>
                <w:color w:val="000000"/>
              </w:rPr>
              <w:t>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146AB" w14:textId="77777777" w:rsidR="00692E71" w:rsidRPr="001E3185" w:rsidRDefault="00692E71" w:rsidP="008E0250">
            <w:pPr>
              <w:jc w:val="center"/>
              <w:rPr>
                <w:rFonts w:cs="Arial"/>
                <w:lang w:eastAsia="da-DK"/>
              </w:rPr>
            </w:pPr>
            <w:r w:rsidRPr="001E3185">
              <w:rPr>
                <w:rFonts w:cs="Arial"/>
                <w:color w:val="000000"/>
              </w:rPr>
              <w:t>1.4*10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0CA5E" w14:textId="77777777" w:rsidR="00692E71" w:rsidRPr="001E3185" w:rsidRDefault="00692E71" w:rsidP="008E0250">
            <w:pPr>
              <w:jc w:val="center"/>
              <w:rPr>
                <w:rFonts w:cs="Arial"/>
                <w:lang w:eastAsia="da-DK"/>
              </w:rPr>
            </w:pPr>
            <w:r w:rsidRPr="001E3185">
              <w:rPr>
                <w:rFonts w:cs="Arial"/>
                <w:color w:val="000000"/>
              </w:rPr>
              <w:t>3.0</w:t>
            </w:r>
          </w:p>
        </w:tc>
      </w:tr>
      <w:tr w:rsidR="00692E71" w:rsidRPr="001E3185" w14:paraId="64147B5C"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1FE835" w14:textId="77777777" w:rsidR="00692E71" w:rsidRPr="001E3185" w:rsidRDefault="00692E71" w:rsidP="008E0250">
            <w:pPr>
              <w:rPr>
                <w:rFonts w:cs="Arial"/>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1C3350" w14:textId="77777777" w:rsidR="00692E71" w:rsidRPr="001E3185" w:rsidRDefault="00692E71" w:rsidP="008E0250">
            <w:pPr>
              <w:jc w:val="center"/>
              <w:rPr>
                <w:rFonts w:cs="Arial"/>
                <w:lang w:eastAsia="da-DK"/>
              </w:rPr>
            </w:pPr>
            <w:r w:rsidRPr="001E3185">
              <w:rPr>
                <w:rFonts w:cs="Arial"/>
                <w:color w:val="000000"/>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E959DB" w14:textId="77777777" w:rsidR="00692E71" w:rsidRPr="001E3185" w:rsidRDefault="00692E71" w:rsidP="008E0250">
            <w:pPr>
              <w:jc w:val="center"/>
              <w:rPr>
                <w:rFonts w:cs="Arial"/>
                <w:lang w:eastAsia="da-DK"/>
              </w:rPr>
            </w:pPr>
            <w:r w:rsidRPr="001E3185">
              <w:rPr>
                <w:rFonts w:cs="Arial"/>
                <w:color w:val="000000"/>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28FF92" w14:textId="77777777" w:rsidR="00692E71" w:rsidRPr="001E3185" w:rsidRDefault="00692E71" w:rsidP="008E0250">
            <w:pPr>
              <w:jc w:val="center"/>
              <w:rPr>
                <w:rFonts w:cs="Arial"/>
                <w:lang w:eastAsia="da-DK"/>
              </w:rPr>
            </w:pPr>
            <w:r w:rsidRPr="001E3185">
              <w:rPr>
                <w:rFonts w:cs="Arial"/>
                <w:color w:val="000000"/>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17C26" w14:textId="77777777" w:rsidR="00692E71" w:rsidRPr="001E3185" w:rsidRDefault="00692E71" w:rsidP="008E0250">
            <w:pPr>
              <w:jc w:val="center"/>
              <w:rPr>
                <w:rFonts w:cs="Arial"/>
                <w:lang w:eastAsia="da-DK"/>
              </w:rPr>
            </w:pPr>
            <w:r w:rsidRPr="001E3185">
              <w:rPr>
                <w:rFonts w:cs="Arial"/>
                <w:color w:val="000000"/>
              </w:rPr>
              <w:t>0.14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49E2A" w14:textId="77777777" w:rsidR="00692E71" w:rsidRPr="001E3185" w:rsidRDefault="00692E71" w:rsidP="008E0250">
            <w:pPr>
              <w:jc w:val="center"/>
              <w:rPr>
                <w:rFonts w:cs="Arial"/>
                <w:lang w:eastAsia="da-DK"/>
              </w:rPr>
            </w:pPr>
            <w:r w:rsidRPr="001E3185">
              <w:rPr>
                <w:rFonts w:cs="Arial"/>
                <w:color w:val="000000"/>
              </w:rPr>
              <w:t>21</w:t>
            </w:r>
          </w:p>
        </w:tc>
      </w:tr>
      <w:tr w:rsidR="00692E71" w:rsidRPr="001E3185" w14:paraId="365C1648"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CD6AEB" w14:textId="77777777" w:rsidR="00692E71" w:rsidRPr="001E3185" w:rsidRDefault="00692E71" w:rsidP="008E0250">
            <w:pPr>
              <w:rPr>
                <w:rFonts w:cs="Arial"/>
                <w:lang w:eastAsia="da-DK"/>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8B5B76"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40B081"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C04D15"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A012A" w14:textId="77777777" w:rsidR="00692E71" w:rsidRPr="001E3185" w:rsidRDefault="00692E71" w:rsidP="008E0250">
            <w:pPr>
              <w:jc w:val="center"/>
              <w:rPr>
                <w:rFonts w:cs="Arial"/>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B5657" w14:textId="77777777" w:rsidR="00692E71" w:rsidRPr="001E3185" w:rsidRDefault="00692E71" w:rsidP="008E0250">
            <w:pPr>
              <w:jc w:val="center"/>
              <w:rPr>
                <w:rFonts w:cs="Arial"/>
                <w:lang w:eastAsia="da-DK"/>
              </w:rPr>
            </w:pPr>
          </w:p>
        </w:tc>
      </w:tr>
      <w:tr w:rsidR="00692E71" w:rsidRPr="001E3185" w14:paraId="08B17438"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CF975C"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 (30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EE57AD" w14:textId="77777777" w:rsidR="00692E71" w:rsidRPr="001E3185" w:rsidRDefault="00692E71" w:rsidP="008E0250">
            <w:pPr>
              <w:jc w:val="center"/>
              <w:rPr>
                <w:rFonts w:cs="Arial"/>
                <w:lang w:eastAsia="da-DK"/>
              </w:rPr>
            </w:pPr>
            <w:r w:rsidRPr="001E3185">
              <w:rPr>
                <w:rFonts w:cs="Arial"/>
                <w:color w:val="000000"/>
              </w:rPr>
              <w:t>2.4*10</w:t>
            </w:r>
            <w:r w:rsidRPr="001E3185">
              <w:rPr>
                <w:rFonts w:cs="Arial"/>
                <w:color w:val="00000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A6449D" w14:textId="77777777" w:rsidR="00692E71" w:rsidRPr="001E3185" w:rsidRDefault="00692E71" w:rsidP="008E0250">
            <w:pPr>
              <w:jc w:val="center"/>
              <w:rPr>
                <w:rFonts w:cs="Arial"/>
                <w:lang w:eastAsia="da-DK"/>
              </w:rPr>
            </w:pPr>
            <w:r w:rsidRPr="001E3185">
              <w:rPr>
                <w:rFonts w:cs="Arial"/>
                <w:color w:val="000000"/>
              </w:rPr>
              <w:t>0.40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A320CA" w14:textId="77777777" w:rsidR="00692E71" w:rsidRPr="001E3185" w:rsidRDefault="00692E71" w:rsidP="008E0250">
            <w:pPr>
              <w:jc w:val="center"/>
              <w:rPr>
                <w:rFonts w:cs="Arial"/>
                <w:lang w:eastAsia="da-DK"/>
              </w:rPr>
            </w:pPr>
            <w:r w:rsidRPr="001E3185">
              <w:rPr>
                <w:rFonts w:cs="Arial"/>
                <w:color w:val="000000"/>
              </w:rPr>
              <w:t>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DB27B" w14:textId="77777777" w:rsidR="00692E71" w:rsidRPr="001E3185" w:rsidRDefault="00692E71" w:rsidP="008E0250">
            <w:pPr>
              <w:jc w:val="center"/>
              <w:rPr>
                <w:rFonts w:cs="Arial"/>
                <w:lang w:eastAsia="da-DK"/>
              </w:rPr>
            </w:pPr>
            <w:r w:rsidRPr="001E3185">
              <w:rPr>
                <w:rFonts w:cs="Arial"/>
                <w:color w:val="000000"/>
              </w:rPr>
              <w:t>7.8*10</w:t>
            </w:r>
            <w:r w:rsidRPr="001E3185">
              <w:rPr>
                <w:rFonts w:cs="Arial"/>
                <w:color w:val="000000"/>
                <w:vertAlign w:val="superscript"/>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5155D" w14:textId="77777777" w:rsidR="00692E71" w:rsidRPr="001E3185" w:rsidRDefault="00692E71" w:rsidP="008E0250">
            <w:pPr>
              <w:jc w:val="center"/>
              <w:rPr>
                <w:rFonts w:cs="Arial"/>
                <w:lang w:eastAsia="da-DK"/>
              </w:rPr>
            </w:pPr>
            <w:r w:rsidRPr="001E3185">
              <w:rPr>
                <w:rFonts w:cs="Arial"/>
                <w:color w:val="000000"/>
              </w:rPr>
              <w:t>0.57</w:t>
            </w:r>
          </w:p>
        </w:tc>
      </w:tr>
      <w:tr w:rsidR="00692E71" w:rsidRPr="001E3185" w14:paraId="469CD30C"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C43D52"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71365F" w14:textId="77777777" w:rsidR="00692E71" w:rsidRPr="001E3185" w:rsidRDefault="00692E71" w:rsidP="008E0250">
            <w:pPr>
              <w:jc w:val="center"/>
              <w:rPr>
                <w:rFonts w:cs="Arial"/>
                <w:lang w:eastAsia="da-DK"/>
              </w:rPr>
            </w:pPr>
            <w:r w:rsidRPr="001E3185">
              <w:rPr>
                <w:rFonts w:cs="Arial"/>
                <w:color w:val="000000"/>
              </w:rPr>
              <w:t>7.4*10</w:t>
            </w:r>
            <w:r w:rsidRPr="001E3185">
              <w:rPr>
                <w:rFonts w:cs="Arial"/>
                <w:color w:val="000000"/>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3FD493" w14:textId="77777777" w:rsidR="00692E71" w:rsidRPr="001E3185" w:rsidRDefault="00692E71" w:rsidP="008E0250">
            <w:pPr>
              <w:jc w:val="center"/>
              <w:rPr>
                <w:rFonts w:cs="Arial"/>
                <w:lang w:eastAsia="da-DK"/>
              </w:rPr>
            </w:pPr>
            <w:r w:rsidRPr="001E3185">
              <w:rPr>
                <w:rFonts w:cs="Arial"/>
                <w:color w:val="000000"/>
              </w:rPr>
              <w:t>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CABAD6" w14:textId="77777777" w:rsidR="00692E71" w:rsidRPr="001E3185" w:rsidRDefault="00692E71" w:rsidP="008E0250">
            <w:pPr>
              <w:jc w:val="center"/>
              <w:rPr>
                <w:rFonts w:cs="Arial"/>
                <w:lang w:eastAsia="da-DK"/>
              </w:rPr>
            </w:pPr>
            <w:r w:rsidRPr="001E3185">
              <w:rPr>
                <w:rFonts w:cs="Arial"/>
                <w:color w:val="000000"/>
              </w:rPr>
              <w:t>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E5666" w14:textId="77777777" w:rsidR="00692E71" w:rsidRPr="001E3185" w:rsidRDefault="00692E71" w:rsidP="008E0250">
            <w:pPr>
              <w:jc w:val="center"/>
              <w:rPr>
                <w:rFonts w:cs="Arial"/>
                <w:lang w:eastAsia="da-DK"/>
              </w:rPr>
            </w:pPr>
            <w:r w:rsidRPr="001E3185">
              <w:rPr>
                <w:rFonts w:cs="Arial"/>
                <w:color w:val="000000"/>
              </w:rPr>
              <w:t>6.2*10</w:t>
            </w:r>
            <w:r w:rsidRPr="001E3185">
              <w:rPr>
                <w:rFonts w:cs="Arial"/>
                <w:color w:val="000000"/>
                <w:vertAlign w:val="superscript"/>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53270" w14:textId="77777777" w:rsidR="00692E71" w:rsidRPr="001E3185" w:rsidRDefault="00692E71" w:rsidP="008E0250">
            <w:pPr>
              <w:jc w:val="center"/>
              <w:rPr>
                <w:rFonts w:cs="Arial"/>
                <w:lang w:eastAsia="da-DK"/>
              </w:rPr>
            </w:pPr>
            <w:r w:rsidRPr="001E3185">
              <w:rPr>
                <w:rFonts w:cs="Arial"/>
                <w:color w:val="000000"/>
              </w:rPr>
              <w:t>0.14</w:t>
            </w:r>
          </w:p>
        </w:tc>
      </w:tr>
    </w:tbl>
    <w:p w14:paraId="09593D78" w14:textId="77777777" w:rsidR="00692E71" w:rsidRPr="001E3185" w:rsidRDefault="00692E71" w:rsidP="00692E71">
      <w:pPr>
        <w:pStyle w:val="En-tte"/>
        <w:tabs>
          <w:tab w:val="clear" w:pos="4536"/>
          <w:tab w:val="clear" w:pos="9072"/>
        </w:tabs>
        <w:rPr>
          <w:rFonts w:ascii="Verdana" w:hAnsi="Verdana" w:cs="Arial"/>
          <w:b/>
          <w:bCs/>
        </w:rPr>
      </w:pPr>
    </w:p>
    <w:p w14:paraId="3F97CA5C"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55</w:t>
      </w:r>
      <w:r w:rsidRPr="001E3185">
        <w:rPr>
          <w:rFonts w:ascii="Verdana" w:hAnsi="Verdana"/>
        </w:rPr>
        <w:fldChar w:fldCharType="end"/>
      </w:r>
      <w:r w:rsidRPr="001E3185">
        <w:rPr>
          <w:rFonts w:ascii="Verdana" w:hAnsi="Verdana"/>
        </w:rPr>
        <w:t xml:space="preserve">: PEC/PNEC ratios for the soil compartment, brushing, </w:t>
      </w:r>
      <w:proofErr w:type="gramStart"/>
      <w:r w:rsidRPr="001E3185">
        <w:rPr>
          <w:rFonts w:ascii="Verdana" w:hAnsi="Verdana"/>
        </w:rPr>
        <w:t>professional</w:t>
      </w:r>
      <w:proofErr w:type="gramEnd"/>
      <w:r w:rsidRPr="001E3185">
        <w:rPr>
          <w:rFonts w:ascii="Verdana" w:hAnsi="Verdana"/>
        </w:rPr>
        <w:t xml:space="preserve"> application</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17"/>
        <w:gridCol w:w="1209"/>
        <w:gridCol w:w="1201"/>
        <w:gridCol w:w="1134"/>
        <w:gridCol w:w="1209"/>
      </w:tblGrid>
      <w:tr w:rsidR="00692E71" w:rsidRPr="001E3185" w14:paraId="2FDDD81B" w14:textId="77777777" w:rsidTr="008E0250">
        <w:trPr>
          <w:trHeight w:val="20"/>
          <w:tblHeader/>
          <w:jc w:val="center"/>
        </w:trPr>
        <w:tc>
          <w:tcPr>
            <w:tcW w:w="3614" w:type="dxa"/>
            <w:shd w:val="clear" w:color="auto" w:fill="FFFFFF"/>
            <w:noWrap/>
            <w:vAlign w:val="bottom"/>
          </w:tcPr>
          <w:p w14:paraId="3D3AF3E1" w14:textId="77777777" w:rsidR="00692E71" w:rsidRPr="001E3185" w:rsidRDefault="00692E71" w:rsidP="008E0250">
            <w:pPr>
              <w:rPr>
                <w:rFonts w:cs="Arial"/>
                <w:lang w:eastAsia="da-DK"/>
              </w:rPr>
            </w:pPr>
          </w:p>
        </w:tc>
        <w:tc>
          <w:tcPr>
            <w:tcW w:w="917" w:type="dxa"/>
            <w:shd w:val="clear" w:color="auto" w:fill="FFFFFF"/>
            <w:noWrap/>
            <w:vAlign w:val="center"/>
          </w:tcPr>
          <w:p w14:paraId="19AACB05" w14:textId="77777777" w:rsidR="00692E71" w:rsidRPr="001E3185" w:rsidRDefault="00692E71" w:rsidP="008E0250">
            <w:pPr>
              <w:jc w:val="center"/>
              <w:rPr>
                <w:rFonts w:cs="Arial"/>
                <w:b/>
                <w:lang w:eastAsia="da-DK"/>
              </w:rPr>
            </w:pPr>
            <w:r w:rsidRPr="001E3185">
              <w:rPr>
                <w:rFonts w:cs="Arial"/>
                <w:b/>
                <w:lang w:eastAsia="da-DK"/>
              </w:rPr>
              <w:t>IPBC</w:t>
            </w:r>
          </w:p>
        </w:tc>
        <w:tc>
          <w:tcPr>
            <w:tcW w:w="1209" w:type="dxa"/>
            <w:shd w:val="clear" w:color="auto" w:fill="FFFFFF"/>
            <w:noWrap/>
            <w:vAlign w:val="bottom"/>
          </w:tcPr>
          <w:p w14:paraId="483B2ED8"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201" w:type="dxa"/>
            <w:shd w:val="clear" w:color="auto" w:fill="FFFFFF"/>
            <w:noWrap/>
            <w:vAlign w:val="bottom"/>
          </w:tcPr>
          <w:p w14:paraId="2180FEDE" w14:textId="77777777" w:rsidR="00692E71" w:rsidRPr="001E3185" w:rsidRDefault="00692E71" w:rsidP="008E0250">
            <w:pPr>
              <w:jc w:val="center"/>
              <w:rPr>
                <w:rFonts w:cs="Arial"/>
                <w:b/>
                <w:lang w:eastAsia="da-DK"/>
              </w:rPr>
            </w:pPr>
            <w:r w:rsidRPr="001E3185">
              <w:rPr>
                <w:rFonts w:cs="Arial"/>
                <w:b/>
                <w:lang w:eastAsia="da-DK"/>
              </w:rPr>
              <w:t>Tebucona</w:t>
            </w:r>
            <w:r w:rsidRPr="001E3185">
              <w:rPr>
                <w:rFonts w:cs="Arial"/>
                <w:b/>
                <w:lang w:eastAsia="da-DK"/>
              </w:rPr>
              <w:softHyphen/>
              <w:t>zole</w:t>
            </w:r>
          </w:p>
        </w:tc>
        <w:tc>
          <w:tcPr>
            <w:tcW w:w="1134" w:type="dxa"/>
            <w:shd w:val="clear" w:color="auto" w:fill="FFFFFF"/>
          </w:tcPr>
          <w:p w14:paraId="6CBE61CA"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09" w:type="dxa"/>
            <w:shd w:val="clear" w:color="auto" w:fill="FFFFFF"/>
          </w:tcPr>
          <w:p w14:paraId="5EBA65BC" w14:textId="77777777" w:rsidR="00692E71" w:rsidRPr="001E3185" w:rsidRDefault="00692E71" w:rsidP="008E0250">
            <w:pPr>
              <w:jc w:val="center"/>
              <w:rPr>
                <w:rFonts w:cs="Arial"/>
                <w:b/>
                <w:lang w:eastAsia="da-DK"/>
              </w:rPr>
            </w:pPr>
            <w:r w:rsidRPr="001E3185">
              <w:rPr>
                <w:rFonts w:cs="Arial"/>
                <w:b/>
                <w:bCs/>
              </w:rPr>
              <w:t>Total PEC/PNEC</w:t>
            </w:r>
          </w:p>
        </w:tc>
      </w:tr>
      <w:tr w:rsidR="00692E71" w:rsidRPr="001E3185" w14:paraId="6C025E03" w14:textId="77777777" w:rsidTr="008E0250">
        <w:trPr>
          <w:trHeight w:val="20"/>
          <w:jc w:val="center"/>
        </w:trPr>
        <w:tc>
          <w:tcPr>
            <w:tcW w:w="3614" w:type="dxa"/>
            <w:shd w:val="clear" w:color="auto" w:fill="FFFFFF"/>
            <w:noWrap/>
            <w:vAlign w:val="bottom"/>
          </w:tcPr>
          <w:p w14:paraId="6CB8527B" w14:textId="77777777" w:rsidR="00692E71" w:rsidRPr="001E3185" w:rsidRDefault="00692E71" w:rsidP="008E0250">
            <w:pPr>
              <w:rPr>
                <w:rFonts w:cs="Arial"/>
                <w:b/>
                <w:lang w:eastAsia="da-DK"/>
              </w:rPr>
            </w:pPr>
            <w:r w:rsidRPr="001E3185">
              <w:rPr>
                <w:rFonts w:cs="Arial"/>
                <w:b/>
                <w:lang w:eastAsia="da-DK"/>
              </w:rPr>
              <w:t>House (brushing, soil)</w:t>
            </w:r>
          </w:p>
        </w:tc>
        <w:tc>
          <w:tcPr>
            <w:tcW w:w="917" w:type="dxa"/>
            <w:shd w:val="clear" w:color="auto" w:fill="FFFFFF"/>
            <w:noWrap/>
            <w:vAlign w:val="bottom"/>
          </w:tcPr>
          <w:p w14:paraId="76412E3E" w14:textId="77777777" w:rsidR="00692E71" w:rsidRPr="001E3185" w:rsidRDefault="00692E71" w:rsidP="008E0250">
            <w:pPr>
              <w:jc w:val="center"/>
              <w:rPr>
                <w:rFonts w:cs="Arial"/>
                <w:lang w:eastAsia="da-DK"/>
              </w:rPr>
            </w:pPr>
          </w:p>
        </w:tc>
        <w:tc>
          <w:tcPr>
            <w:tcW w:w="1209" w:type="dxa"/>
            <w:shd w:val="clear" w:color="auto" w:fill="FFFFFF"/>
            <w:noWrap/>
            <w:vAlign w:val="bottom"/>
          </w:tcPr>
          <w:p w14:paraId="3D980094" w14:textId="77777777" w:rsidR="00692E71" w:rsidRPr="001E3185" w:rsidRDefault="00692E71" w:rsidP="008E0250">
            <w:pPr>
              <w:jc w:val="center"/>
              <w:rPr>
                <w:rFonts w:cs="Arial"/>
                <w:lang w:eastAsia="da-DK"/>
              </w:rPr>
            </w:pPr>
          </w:p>
        </w:tc>
        <w:tc>
          <w:tcPr>
            <w:tcW w:w="1201" w:type="dxa"/>
            <w:shd w:val="clear" w:color="auto" w:fill="FFFFFF"/>
            <w:noWrap/>
            <w:vAlign w:val="bottom"/>
          </w:tcPr>
          <w:p w14:paraId="0B5AF194" w14:textId="77777777" w:rsidR="00692E71" w:rsidRPr="001E3185" w:rsidRDefault="00692E71" w:rsidP="008E0250">
            <w:pPr>
              <w:jc w:val="center"/>
              <w:rPr>
                <w:rFonts w:cs="Arial"/>
                <w:lang w:eastAsia="da-DK"/>
              </w:rPr>
            </w:pPr>
          </w:p>
        </w:tc>
        <w:tc>
          <w:tcPr>
            <w:tcW w:w="1134" w:type="dxa"/>
            <w:shd w:val="clear" w:color="auto" w:fill="FFFFFF"/>
          </w:tcPr>
          <w:p w14:paraId="3AF27D01" w14:textId="77777777" w:rsidR="00692E71" w:rsidRPr="001E3185" w:rsidRDefault="00692E71" w:rsidP="008E0250">
            <w:pPr>
              <w:jc w:val="center"/>
              <w:rPr>
                <w:rFonts w:cs="Arial"/>
                <w:lang w:eastAsia="da-DK"/>
              </w:rPr>
            </w:pPr>
          </w:p>
        </w:tc>
        <w:tc>
          <w:tcPr>
            <w:tcW w:w="1209" w:type="dxa"/>
            <w:shd w:val="clear" w:color="auto" w:fill="FFFFFF"/>
          </w:tcPr>
          <w:p w14:paraId="03B258B9" w14:textId="77777777" w:rsidR="00692E71" w:rsidRPr="001E3185" w:rsidRDefault="00692E71" w:rsidP="008E0250">
            <w:pPr>
              <w:jc w:val="center"/>
              <w:rPr>
                <w:rFonts w:cs="Arial"/>
                <w:lang w:eastAsia="da-DK"/>
              </w:rPr>
            </w:pPr>
          </w:p>
        </w:tc>
      </w:tr>
      <w:tr w:rsidR="00692E71" w:rsidRPr="001E3185" w14:paraId="01A79584" w14:textId="77777777" w:rsidTr="008E0250">
        <w:trPr>
          <w:trHeight w:val="20"/>
          <w:jc w:val="center"/>
        </w:trPr>
        <w:tc>
          <w:tcPr>
            <w:tcW w:w="3614" w:type="dxa"/>
            <w:shd w:val="clear" w:color="auto" w:fill="FFFFFF"/>
            <w:noWrap/>
            <w:vAlign w:val="bottom"/>
          </w:tcPr>
          <w:p w14:paraId="31DD8AC2" w14:textId="77777777" w:rsidR="00692E71" w:rsidRPr="001E3185" w:rsidRDefault="00692E71" w:rsidP="008E0250">
            <w:pPr>
              <w:rPr>
                <w:rFonts w:cs="Arial"/>
                <w:b/>
                <w:lang w:eastAsia="da-DK"/>
              </w:rPr>
            </w:pPr>
            <w:r w:rsidRPr="001E3185">
              <w:rPr>
                <w:rFonts w:cs="Arial"/>
                <w:lang w:eastAsia="da-DK"/>
              </w:rPr>
              <w:t>PEC/PNEC local without removal Time 1 (30 days)</w:t>
            </w:r>
          </w:p>
        </w:tc>
        <w:tc>
          <w:tcPr>
            <w:tcW w:w="917" w:type="dxa"/>
            <w:shd w:val="clear" w:color="auto" w:fill="FFFFFF"/>
            <w:noWrap/>
            <w:vAlign w:val="center"/>
          </w:tcPr>
          <w:p w14:paraId="1B20FD16" w14:textId="77777777" w:rsidR="00692E71" w:rsidRPr="001E3185" w:rsidRDefault="00692E71" w:rsidP="008E0250">
            <w:pPr>
              <w:jc w:val="center"/>
              <w:rPr>
                <w:rFonts w:cs="Arial"/>
                <w:color w:val="000000"/>
                <w:lang w:eastAsia="da-DK"/>
              </w:rPr>
            </w:pPr>
            <w:r w:rsidRPr="001E3185">
              <w:rPr>
                <w:rFonts w:cs="Arial"/>
                <w:color w:val="000000"/>
              </w:rPr>
              <w:t>10</w:t>
            </w:r>
          </w:p>
        </w:tc>
        <w:tc>
          <w:tcPr>
            <w:tcW w:w="1209" w:type="dxa"/>
            <w:shd w:val="clear" w:color="auto" w:fill="FFFFFF"/>
            <w:noWrap/>
            <w:vAlign w:val="center"/>
          </w:tcPr>
          <w:p w14:paraId="5B99E8D7" w14:textId="77777777" w:rsidR="00692E71" w:rsidRPr="001E3185" w:rsidRDefault="00692E71" w:rsidP="008E0250">
            <w:pPr>
              <w:jc w:val="center"/>
              <w:rPr>
                <w:rFonts w:cs="Arial"/>
                <w:color w:val="000000"/>
              </w:rPr>
            </w:pPr>
            <w:r w:rsidRPr="001E3185">
              <w:rPr>
                <w:rFonts w:cs="Arial"/>
                <w:color w:val="000000"/>
              </w:rPr>
              <w:t>1.66</w:t>
            </w:r>
          </w:p>
        </w:tc>
        <w:tc>
          <w:tcPr>
            <w:tcW w:w="1201" w:type="dxa"/>
            <w:shd w:val="clear" w:color="auto" w:fill="FFFFFF"/>
            <w:noWrap/>
            <w:vAlign w:val="center"/>
          </w:tcPr>
          <w:p w14:paraId="3A86749F" w14:textId="77777777" w:rsidR="00692E71" w:rsidRPr="001E3185" w:rsidRDefault="00692E71" w:rsidP="008E0250">
            <w:pPr>
              <w:jc w:val="center"/>
              <w:rPr>
                <w:rFonts w:cs="Arial"/>
                <w:color w:val="000000"/>
              </w:rPr>
            </w:pPr>
            <w:r w:rsidRPr="001E3185">
              <w:rPr>
                <w:rFonts w:cs="Arial"/>
                <w:color w:val="000000"/>
              </w:rPr>
              <w:t>0.68</w:t>
            </w:r>
          </w:p>
        </w:tc>
        <w:tc>
          <w:tcPr>
            <w:tcW w:w="1134" w:type="dxa"/>
            <w:shd w:val="clear" w:color="auto" w:fill="FFFFFF"/>
            <w:vAlign w:val="center"/>
          </w:tcPr>
          <w:p w14:paraId="5334BC8C" w14:textId="77777777" w:rsidR="00692E71" w:rsidRPr="001E3185" w:rsidRDefault="00692E71" w:rsidP="008E0250">
            <w:pPr>
              <w:jc w:val="center"/>
              <w:rPr>
                <w:rFonts w:cs="Arial"/>
                <w:color w:val="000000"/>
              </w:rPr>
            </w:pPr>
            <w:r w:rsidRPr="001E3185">
              <w:rPr>
                <w:rFonts w:cs="Arial"/>
                <w:color w:val="000000"/>
              </w:rPr>
              <w:t>0.27</w:t>
            </w:r>
          </w:p>
        </w:tc>
        <w:tc>
          <w:tcPr>
            <w:tcW w:w="1209" w:type="dxa"/>
            <w:shd w:val="clear" w:color="auto" w:fill="FFFFFF"/>
            <w:vAlign w:val="center"/>
          </w:tcPr>
          <w:p w14:paraId="293216F6" w14:textId="77777777" w:rsidR="00692E71" w:rsidRPr="001E3185" w:rsidRDefault="00692E71" w:rsidP="008E0250">
            <w:pPr>
              <w:jc w:val="center"/>
              <w:rPr>
                <w:rFonts w:cs="Arial"/>
              </w:rPr>
            </w:pPr>
            <w:r w:rsidRPr="001E3185">
              <w:rPr>
                <w:rFonts w:cs="Arial"/>
              </w:rPr>
              <w:t>13</w:t>
            </w:r>
          </w:p>
        </w:tc>
      </w:tr>
      <w:tr w:rsidR="00692E71" w:rsidRPr="001E3185" w14:paraId="0C9A46BB" w14:textId="77777777" w:rsidTr="008E0250">
        <w:trPr>
          <w:trHeight w:val="20"/>
          <w:jc w:val="center"/>
        </w:trPr>
        <w:tc>
          <w:tcPr>
            <w:tcW w:w="3614" w:type="dxa"/>
            <w:shd w:val="clear" w:color="auto" w:fill="FFFFFF"/>
            <w:noWrap/>
            <w:vAlign w:val="bottom"/>
          </w:tcPr>
          <w:p w14:paraId="151F9AA2"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17" w:type="dxa"/>
            <w:shd w:val="clear" w:color="auto" w:fill="FFFFFF"/>
            <w:noWrap/>
            <w:vAlign w:val="center"/>
          </w:tcPr>
          <w:p w14:paraId="787BFCBC" w14:textId="77777777" w:rsidR="00692E71" w:rsidRPr="001E3185" w:rsidRDefault="00692E71" w:rsidP="008E0250">
            <w:pPr>
              <w:jc w:val="center"/>
              <w:rPr>
                <w:rFonts w:cs="Arial"/>
                <w:color w:val="000000"/>
                <w:lang w:eastAsia="da-DK"/>
              </w:rPr>
            </w:pPr>
            <w:r w:rsidRPr="001E3185">
              <w:rPr>
                <w:rFonts w:cs="Arial"/>
                <w:color w:val="000000"/>
              </w:rPr>
              <w:t>22</w:t>
            </w:r>
          </w:p>
        </w:tc>
        <w:tc>
          <w:tcPr>
            <w:tcW w:w="1209" w:type="dxa"/>
            <w:shd w:val="clear" w:color="auto" w:fill="FFFFFF"/>
            <w:noWrap/>
            <w:vAlign w:val="center"/>
          </w:tcPr>
          <w:p w14:paraId="479BB35E" w14:textId="77777777" w:rsidR="00692E71" w:rsidRPr="001E3185" w:rsidRDefault="00692E71" w:rsidP="008E0250">
            <w:pPr>
              <w:jc w:val="center"/>
              <w:rPr>
                <w:rFonts w:cs="Arial"/>
                <w:color w:val="000000"/>
              </w:rPr>
            </w:pPr>
            <w:r w:rsidRPr="001E3185">
              <w:rPr>
                <w:rFonts w:cs="Arial"/>
                <w:color w:val="000000"/>
              </w:rPr>
              <w:t>4.70</w:t>
            </w:r>
          </w:p>
        </w:tc>
        <w:tc>
          <w:tcPr>
            <w:tcW w:w="1201" w:type="dxa"/>
            <w:shd w:val="clear" w:color="auto" w:fill="FFFFFF"/>
            <w:noWrap/>
            <w:vAlign w:val="center"/>
          </w:tcPr>
          <w:p w14:paraId="3B3CF125" w14:textId="77777777" w:rsidR="00692E71" w:rsidRPr="001E3185" w:rsidRDefault="00692E71" w:rsidP="008E0250">
            <w:pPr>
              <w:jc w:val="center"/>
              <w:rPr>
                <w:rFonts w:cs="Arial"/>
                <w:color w:val="000000"/>
              </w:rPr>
            </w:pPr>
            <w:r w:rsidRPr="001E3185">
              <w:rPr>
                <w:rFonts w:cs="Arial"/>
                <w:color w:val="000000"/>
              </w:rPr>
              <w:t>1.78</w:t>
            </w:r>
          </w:p>
        </w:tc>
        <w:tc>
          <w:tcPr>
            <w:tcW w:w="1134" w:type="dxa"/>
            <w:shd w:val="clear" w:color="auto" w:fill="FFFFFF"/>
            <w:vAlign w:val="center"/>
          </w:tcPr>
          <w:p w14:paraId="2BFBE3AC" w14:textId="77777777" w:rsidR="00692E71" w:rsidRPr="001E3185" w:rsidRDefault="00692E71" w:rsidP="008E0250">
            <w:pPr>
              <w:jc w:val="center"/>
              <w:rPr>
                <w:rFonts w:cs="Arial"/>
                <w:color w:val="000000"/>
              </w:rPr>
            </w:pPr>
            <w:r w:rsidRPr="001E3185">
              <w:rPr>
                <w:rFonts w:cs="Arial"/>
                <w:color w:val="000000"/>
              </w:rPr>
              <w:t>0.40</w:t>
            </w:r>
          </w:p>
        </w:tc>
        <w:tc>
          <w:tcPr>
            <w:tcW w:w="1209" w:type="dxa"/>
            <w:shd w:val="clear" w:color="auto" w:fill="FFFFFF"/>
            <w:vAlign w:val="center"/>
          </w:tcPr>
          <w:p w14:paraId="7959FF0B" w14:textId="77777777" w:rsidR="00692E71" w:rsidRPr="001E3185" w:rsidRDefault="00692E71" w:rsidP="008E0250">
            <w:pPr>
              <w:jc w:val="center"/>
              <w:rPr>
                <w:rFonts w:cs="Arial"/>
              </w:rPr>
            </w:pPr>
            <w:r w:rsidRPr="001E3185">
              <w:rPr>
                <w:rFonts w:cs="Arial"/>
              </w:rPr>
              <w:t>29</w:t>
            </w:r>
          </w:p>
        </w:tc>
      </w:tr>
      <w:tr w:rsidR="00692E71" w:rsidRPr="001E3185" w14:paraId="0CD32170" w14:textId="77777777" w:rsidTr="008E0250">
        <w:trPr>
          <w:trHeight w:val="20"/>
          <w:jc w:val="center"/>
        </w:trPr>
        <w:tc>
          <w:tcPr>
            <w:tcW w:w="3614" w:type="dxa"/>
            <w:shd w:val="clear" w:color="auto" w:fill="FFFFFF"/>
            <w:noWrap/>
            <w:vAlign w:val="bottom"/>
          </w:tcPr>
          <w:p w14:paraId="15981F9F" w14:textId="77777777" w:rsidR="00692E71" w:rsidRPr="001E3185" w:rsidRDefault="00692E71" w:rsidP="008E0250">
            <w:pPr>
              <w:rPr>
                <w:rFonts w:cs="Arial"/>
                <w:b/>
                <w:lang w:eastAsia="da-DK"/>
              </w:rPr>
            </w:pPr>
          </w:p>
        </w:tc>
        <w:tc>
          <w:tcPr>
            <w:tcW w:w="917" w:type="dxa"/>
            <w:shd w:val="clear" w:color="auto" w:fill="FFFFFF"/>
            <w:noWrap/>
            <w:vAlign w:val="center"/>
          </w:tcPr>
          <w:p w14:paraId="0801C645" w14:textId="77777777" w:rsidR="00692E71" w:rsidRPr="001E3185" w:rsidRDefault="00692E71" w:rsidP="008E0250">
            <w:pPr>
              <w:jc w:val="center"/>
              <w:rPr>
                <w:rFonts w:cs="Arial"/>
                <w:lang w:eastAsia="da-DK"/>
              </w:rPr>
            </w:pPr>
          </w:p>
        </w:tc>
        <w:tc>
          <w:tcPr>
            <w:tcW w:w="1209" w:type="dxa"/>
            <w:shd w:val="clear" w:color="auto" w:fill="FFFFFF"/>
            <w:noWrap/>
            <w:vAlign w:val="center"/>
          </w:tcPr>
          <w:p w14:paraId="471FFEB0" w14:textId="77777777" w:rsidR="00692E71" w:rsidRPr="001E3185" w:rsidRDefault="00692E71" w:rsidP="008E0250">
            <w:pPr>
              <w:jc w:val="center"/>
              <w:rPr>
                <w:rFonts w:cs="Arial"/>
                <w:lang w:eastAsia="da-DK"/>
              </w:rPr>
            </w:pPr>
          </w:p>
        </w:tc>
        <w:tc>
          <w:tcPr>
            <w:tcW w:w="1201" w:type="dxa"/>
            <w:shd w:val="clear" w:color="auto" w:fill="FFFFFF"/>
            <w:noWrap/>
            <w:vAlign w:val="center"/>
          </w:tcPr>
          <w:p w14:paraId="317A7390" w14:textId="77777777" w:rsidR="00692E71" w:rsidRPr="001E3185" w:rsidRDefault="00692E71" w:rsidP="008E0250">
            <w:pPr>
              <w:jc w:val="center"/>
              <w:rPr>
                <w:rFonts w:cs="Arial"/>
                <w:lang w:eastAsia="da-DK"/>
              </w:rPr>
            </w:pPr>
          </w:p>
        </w:tc>
        <w:tc>
          <w:tcPr>
            <w:tcW w:w="1134" w:type="dxa"/>
            <w:shd w:val="clear" w:color="auto" w:fill="FFFFFF"/>
            <w:vAlign w:val="center"/>
          </w:tcPr>
          <w:p w14:paraId="41B03C0C" w14:textId="77777777" w:rsidR="00692E71" w:rsidRPr="001E3185" w:rsidRDefault="00692E71" w:rsidP="008E0250">
            <w:pPr>
              <w:jc w:val="center"/>
              <w:rPr>
                <w:rFonts w:cs="Arial"/>
                <w:lang w:eastAsia="da-DK"/>
              </w:rPr>
            </w:pPr>
          </w:p>
        </w:tc>
        <w:tc>
          <w:tcPr>
            <w:tcW w:w="1209" w:type="dxa"/>
            <w:shd w:val="clear" w:color="auto" w:fill="FFFFFF"/>
            <w:vAlign w:val="center"/>
          </w:tcPr>
          <w:p w14:paraId="20FC5EF2" w14:textId="77777777" w:rsidR="00692E71" w:rsidRPr="001E3185" w:rsidRDefault="00692E71" w:rsidP="008E0250">
            <w:pPr>
              <w:jc w:val="center"/>
              <w:rPr>
                <w:rFonts w:cs="Arial"/>
              </w:rPr>
            </w:pPr>
          </w:p>
        </w:tc>
      </w:tr>
      <w:tr w:rsidR="00692E71" w:rsidRPr="001E3185" w14:paraId="18A1EC76" w14:textId="77777777" w:rsidTr="008E0250">
        <w:trPr>
          <w:trHeight w:val="20"/>
          <w:jc w:val="center"/>
        </w:trPr>
        <w:tc>
          <w:tcPr>
            <w:tcW w:w="3614" w:type="dxa"/>
            <w:shd w:val="clear" w:color="auto" w:fill="FFFFFF"/>
            <w:noWrap/>
            <w:vAlign w:val="bottom"/>
          </w:tcPr>
          <w:p w14:paraId="1AB69005" w14:textId="77777777" w:rsidR="00692E71" w:rsidRPr="001E3185" w:rsidRDefault="00692E71" w:rsidP="008E0250">
            <w:pPr>
              <w:rPr>
                <w:rFonts w:cs="Arial"/>
                <w:b/>
                <w:lang w:eastAsia="da-DK"/>
              </w:rPr>
            </w:pPr>
            <w:r w:rsidRPr="001E3185">
              <w:rPr>
                <w:rFonts w:cs="Arial"/>
                <w:lang w:eastAsia="da-DK"/>
              </w:rPr>
              <w:lastRenderedPageBreak/>
              <w:t>PEC/PNEC local with removal Time 1 (30 days)</w:t>
            </w:r>
          </w:p>
        </w:tc>
        <w:tc>
          <w:tcPr>
            <w:tcW w:w="917" w:type="dxa"/>
            <w:shd w:val="clear" w:color="auto" w:fill="FFFFFF"/>
            <w:noWrap/>
            <w:vAlign w:val="center"/>
          </w:tcPr>
          <w:p w14:paraId="68BFCA7C" w14:textId="77777777" w:rsidR="00692E71" w:rsidRPr="001E3185" w:rsidRDefault="00692E71" w:rsidP="008E0250">
            <w:pPr>
              <w:jc w:val="center"/>
              <w:rPr>
                <w:rFonts w:cs="Arial"/>
                <w:color w:val="000000"/>
                <w:lang w:eastAsia="da-DK"/>
              </w:rPr>
            </w:pPr>
            <w:r w:rsidRPr="001E3185">
              <w:rPr>
                <w:rFonts w:cs="Arial"/>
                <w:color w:val="000000"/>
              </w:rPr>
              <w:t>0.01</w:t>
            </w:r>
          </w:p>
        </w:tc>
        <w:tc>
          <w:tcPr>
            <w:tcW w:w="1209" w:type="dxa"/>
            <w:shd w:val="clear" w:color="auto" w:fill="FFFFFF"/>
            <w:noWrap/>
            <w:vAlign w:val="center"/>
          </w:tcPr>
          <w:p w14:paraId="20C7D981" w14:textId="77777777" w:rsidR="00692E71" w:rsidRPr="001E3185" w:rsidRDefault="00692E71" w:rsidP="008E0250">
            <w:pPr>
              <w:jc w:val="center"/>
              <w:rPr>
                <w:rFonts w:cs="Arial"/>
                <w:color w:val="000000"/>
              </w:rPr>
            </w:pPr>
            <w:r w:rsidRPr="001E3185">
              <w:rPr>
                <w:rFonts w:cs="Arial"/>
                <w:color w:val="000000"/>
              </w:rPr>
              <w:t>1.50</w:t>
            </w:r>
          </w:p>
        </w:tc>
        <w:tc>
          <w:tcPr>
            <w:tcW w:w="1201" w:type="dxa"/>
            <w:shd w:val="clear" w:color="auto" w:fill="FFFFFF"/>
            <w:noWrap/>
            <w:vAlign w:val="center"/>
          </w:tcPr>
          <w:p w14:paraId="2DEFF744" w14:textId="77777777" w:rsidR="00692E71" w:rsidRPr="001E3185" w:rsidRDefault="00692E71" w:rsidP="008E0250">
            <w:pPr>
              <w:jc w:val="center"/>
              <w:rPr>
                <w:rFonts w:cs="Arial"/>
                <w:color w:val="000000"/>
              </w:rPr>
            </w:pPr>
            <w:r w:rsidRPr="001E3185">
              <w:rPr>
                <w:rFonts w:cs="Arial"/>
                <w:color w:val="000000"/>
              </w:rPr>
              <w:t>0.57</w:t>
            </w:r>
          </w:p>
        </w:tc>
        <w:tc>
          <w:tcPr>
            <w:tcW w:w="1134" w:type="dxa"/>
            <w:shd w:val="clear" w:color="auto" w:fill="FFFFFF"/>
            <w:vAlign w:val="center"/>
          </w:tcPr>
          <w:p w14:paraId="69EDB787" w14:textId="77777777" w:rsidR="00692E71" w:rsidRPr="001E3185" w:rsidRDefault="00692E71" w:rsidP="008E0250">
            <w:pPr>
              <w:jc w:val="center"/>
              <w:rPr>
                <w:rFonts w:cs="Arial"/>
                <w:color w:val="000000"/>
              </w:rPr>
            </w:pPr>
            <w:r w:rsidRPr="001E3185">
              <w:rPr>
                <w:rFonts w:cs="Arial"/>
                <w:color w:val="000000"/>
              </w:rPr>
              <w:t>0.08</w:t>
            </w:r>
          </w:p>
        </w:tc>
        <w:tc>
          <w:tcPr>
            <w:tcW w:w="1209" w:type="dxa"/>
            <w:shd w:val="clear" w:color="auto" w:fill="FFFFFF"/>
            <w:vAlign w:val="center"/>
          </w:tcPr>
          <w:p w14:paraId="5FA6AF5A" w14:textId="77777777" w:rsidR="00692E71" w:rsidRPr="001E3185" w:rsidRDefault="00692E71" w:rsidP="008E0250">
            <w:pPr>
              <w:jc w:val="center"/>
              <w:rPr>
                <w:rFonts w:cs="Arial"/>
              </w:rPr>
            </w:pPr>
            <w:r w:rsidRPr="001E3185">
              <w:rPr>
                <w:rFonts w:cs="Arial"/>
              </w:rPr>
              <w:t>2.15</w:t>
            </w:r>
          </w:p>
        </w:tc>
      </w:tr>
      <w:tr w:rsidR="00692E71" w:rsidRPr="001E3185" w14:paraId="7E7944D8" w14:textId="77777777" w:rsidTr="008E0250">
        <w:trPr>
          <w:trHeight w:val="20"/>
          <w:jc w:val="center"/>
        </w:trPr>
        <w:tc>
          <w:tcPr>
            <w:tcW w:w="3614" w:type="dxa"/>
            <w:shd w:val="clear" w:color="auto" w:fill="FFFFFF"/>
            <w:noWrap/>
            <w:vAlign w:val="bottom"/>
          </w:tcPr>
          <w:p w14:paraId="16F91967" w14:textId="77777777" w:rsidR="00692E71" w:rsidRPr="001E3185" w:rsidRDefault="00692E71" w:rsidP="008E0250">
            <w:pPr>
              <w:rPr>
                <w:rFonts w:cs="Arial"/>
                <w:b/>
                <w:lang w:eastAsia="da-DK"/>
              </w:rPr>
            </w:pPr>
            <w:r w:rsidRPr="001E3185">
              <w:rPr>
                <w:rFonts w:cs="Arial"/>
                <w:lang w:eastAsia="da-DK"/>
              </w:rPr>
              <w:t>PEC/PNEC local with removal Time 2 (1825 days)</w:t>
            </w:r>
          </w:p>
        </w:tc>
        <w:tc>
          <w:tcPr>
            <w:tcW w:w="917" w:type="dxa"/>
            <w:shd w:val="clear" w:color="auto" w:fill="FFFFFF"/>
            <w:noWrap/>
            <w:vAlign w:val="center"/>
          </w:tcPr>
          <w:p w14:paraId="6D50302C" w14:textId="77777777" w:rsidR="00692E71" w:rsidRPr="001E3185" w:rsidRDefault="00692E71" w:rsidP="008E0250">
            <w:pPr>
              <w:jc w:val="center"/>
              <w:rPr>
                <w:rFonts w:cs="Arial"/>
                <w:color w:val="000000"/>
                <w:lang w:eastAsia="da-DK"/>
              </w:rPr>
            </w:pPr>
            <w:r w:rsidRPr="001E3185">
              <w:rPr>
                <w:rFonts w:cs="Arial"/>
                <w:color w:val="000000"/>
              </w:rPr>
              <w:t>2.0*10</w:t>
            </w:r>
            <w:r w:rsidRPr="001E3185">
              <w:rPr>
                <w:rFonts w:cs="Arial"/>
                <w:color w:val="000000"/>
                <w:vertAlign w:val="superscript"/>
              </w:rPr>
              <w:t>-4</w:t>
            </w:r>
          </w:p>
        </w:tc>
        <w:tc>
          <w:tcPr>
            <w:tcW w:w="1209" w:type="dxa"/>
            <w:shd w:val="clear" w:color="auto" w:fill="FFFFFF"/>
            <w:noWrap/>
            <w:vAlign w:val="center"/>
          </w:tcPr>
          <w:p w14:paraId="38550B2F" w14:textId="77777777" w:rsidR="00692E71" w:rsidRPr="001E3185" w:rsidRDefault="00692E71" w:rsidP="008E0250">
            <w:pPr>
              <w:jc w:val="center"/>
              <w:rPr>
                <w:rFonts w:cs="Arial"/>
                <w:color w:val="000000"/>
              </w:rPr>
            </w:pPr>
            <w:r w:rsidRPr="001E3185">
              <w:rPr>
                <w:rFonts w:cs="Arial"/>
                <w:color w:val="000000"/>
              </w:rPr>
              <w:t>0.31</w:t>
            </w:r>
          </w:p>
        </w:tc>
        <w:tc>
          <w:tcPr>
            <w:tcW w:w="1201" w:type="dxa"/>
            <w:shd w:val="clear" w:color="auto" w:fill="FFFFFF"/>
            <w:noWrap/>
            <w:vAlign w:val="center"/>
          </w:tcPr>
          <w:p w14:paraId="319AE603" w14:textId="77777777" w:rsidR="00692E71" w:rsidRPr="001E3185" w:rsidRDefault="00692E71" w:rsidP="008E0250">
            <w:pPr>
              <w:jc w:val="center"/>
              <w:rPr>
                <w:rFonts w:cs="Arial"/>
                <w:color w:val="000000"/>
              </w:rPr>
            </w:pPr>
            <w:r w:rsidRPr="001E3185">
              <w:rPr>
                <w:rFonts w:cs="Arial"/>
                <w:color w:val="000000"/>
              </w:rPr>
              <w:t>0.07</w:t>
            </w:r>
          </w:p>
        </w:tc>
        <w:tc>
          <w:tcPr>
            <w:tcW w:w="1134" w:type="dxa"/>
            <w:shd w:val="clear" w:color="auto" w:fill="FFFFFF"/>
            <w:vAlign w:val="center"/>
          </w:tcPr>
          <w:p w14:paraId="1E76D610" w14:textId="77777777" w:rsidR="00692E71" w:rsidRPr="001E3185" w:rsidRDefault="00692E71" w:rsidP="008E0250">
            <w:pPr>
              <w:jc w:val="center"/>
              <w:rPr>
                <w:rFonts w:cs="Arial"/>
                <w:color w:val="000000"/>
              </w:rPr>
            </w:pPr>
            <w:r w:rsidRPr="001E3185">
              <w:rPr>
                <w:rFonts w:cs="Arial"/>
                <w:color w:val="000000"/>
              </w:rPr>
              <w:t>1.7*10</w:t>
            </w:r>
            <w:r w:rsidRPr="001E3185">
              <w:rPr>
                <w:rFonts w:cs="Arial"/>
                <w:color w:val="000000"/>
                <w:vertAlign w:val="superscript"/>
              </w:rPr>
              <w:t>-3</w:t>
            </w:r>
          </w:p>
        </w:tc>
        <w:tc>
          <w:tcPr>
            <w:tcW w:w="1209" w:type="dxa"/>
            <w:shd w:val="clear" w:color="auto" w:fill="FFFFFF"/>
            <w:vAlign w:val="center"/>
          </w:tcPr>
          <w:p w14:paraId="4FFED68A" w14:textId="77777777" w:rsidR="00692E71" w:rsidRPr="001E3185" w:rsidRDefault="00692E71" w:rsidP="008E0250">
            <w:pPr>
              <w:jc w:val="center"/>
              <w:rPr>
                <w:rFonts w:cs="Arial"/>
              </w:rPr>
            </w:pPr>
            <w:r w:rsidRPr="001E3185">
              <w:rPr>
                <w:rFonts w:cs="Arial"/>
              </w:rPr>
              <w:t>0.38</w:t>
            </w:r>
          </w:p>
        </w:tc>
      </w:tr>
      <w:tr w:rsidR="00692E71" w:rsidRPr="001E3185" w14:paraId="6675E2E4" w14:textId="77777777" w:rsidTr="008E0250">
        <w:trPr>
          <w:trHeight w:val="20"/>
          <w:jc w:val="center"/>
        </w:trPr>
        <w:tc>
          <w:tcPr>
            <w:tcW w:w="3614" w:type="dxa"/>
            <w:shd w:val="clear" w:color="auto" w:fill="FFFFFF"/>
            <w:noWrap/>
            <w:vAlign w:val="bottom"/>
          </w:tcPr>
          <w:p w14:paraId="0D531512" w14:textId="77777777" w:rsidR="00692E71" w:rsidRPr="001E3185" w:rsidRDefault="00692E71" w:rsidP="008E0250">
            <w:pPr>
              <w:rPr>
                <w:rFonts w:cs="Arial"/>
                <w:b/>
                <w:lang w:eastAsia="da-DK"/>
              </w:rPr>
            </w:pPr>
            <w:r w:rsidRPr="001E3185">
              <w:rPr>
                <w:rFonts w:cs="Arial"/>
                <w:b/>
                <w:lang w:eastAsia="da-DK"/>
              </w:rPr>
              <w:t>Fence (brushing, soil)</w:t>
            </w:r>
          </w:p>
        </w:tc>
        <w:tc>
          <w:tcPr>
            <w:tcW w:w="917" w:type="dxa"/>
            <w:shd w:val="clear" w:color="auto" w:fill="FFFFFF"/>
            <w:noWrap/>
            <w:vAlign w:val="center"/>
          </w:tcPr>
          <w:p w14:paraId="475C1E18" w14:textId="77777777" w:rsidR="00692E71" w:rsidRPr="001E3185" w:rsidRDefault="00692E71" w:rsidP="008E0250">
            <w:pPr>
              <w:jc w:val="center"/>
              <w:rPr>
                <w:rFonts w:cs="Arial"/>
                <w:lang w:eastAsia="da-DK"/>
              </w:rPr>
            </w:pPr>
          </w:p>
        </w:tc>
        <w:tc>
          <w:tcPr>
            <w:tcW w:w="1209" w:type="dxa"/>
            <w:shd w:val="clear" w:color="auto" w:fill="FFFFFF"/>
            <w:noWrap/>
            <w:vAlign w:val="center"/>
          </w:tcPr>
          <w:p w14:paraId="33FB4E4B" w14:textId="77777777" w:rsidR="00692E71" w:rsidRPr="001E3185" w:rsidRDefault="00692E71" w:rsidP="008E0250">
            <w:pPr>
              <w:jc w:val="center"/>
              <w:rPr>
                <w:rFonts w:cs="Arial"/>
              </w:rPr>
            </w:pPr>
          </w:p>
        </w:tc>
        <w:tc>
          <w:tcPr>
            <w:tcW w:w="1201" w:type="dxa"/>
            <w:shd w:val="clear" w:color="auto" w:fill="FFFFFF"/>
            <w:noWrap/>
            <w:vAlign w:val="center"/>
          </w:tcPr>
          <w:p w14:paraId="4AF76957" w14:textId="77777777" w:rsidR="00692E71" w:rsidRPr="001E3185" w:rsidRDefault="00692E71" w:rsidP="008E0250">
            <w:pPr>
              <w:jc w:val="center"/>
              <w:rPr>
                <w:rFonts w:cs="Arial"/>
              </w:rPr>
            </w:pPr>
          </w:p>
        </w:tc>
        <w:tc>
          <w:tcPr>
            <w:tcW w:w="1134" w:type="dxa"/>
            <w:shd w:val="clear" w:color="auto" w:fill="FFFFFF"/>
            <w:vAlign w:val="center"/>
          </w:tcPr>
          <w:p w14:paraId="1090FD22" w14:textId="77777777" w:rsidR="00692E71" w:rsidRPr="001E3185" w:rsidRDefault="00692E71" w:rsidP="008E0250">
            <w:pPr>
              <w:jc w:val="center"/>
              <w:rPr>
                <w:rFonts w:cs="Arial"/>
              </w:rPr>
            </w:pPr>
          </w:p>
        </w:tc>
        <w:tc>
          <w:tcPr>
            <w:tcW w:w="1209" w:type="dxa"/>
            <w:shd w:val="clear" w:color="auto" w:fill="FFFFFF"/>
            <w:vAlign w:val="center"/>
          </w:tcPr>
          <w:p w14:paraId="254BC29E" w14:textId="77777777" w:rsidR="00692E71" w:rsidRPr="001E3185" w:rsidRDefault="00692E71" w:rsidP="008E0250">
            <w:pPr>
              <w:jc w:val="center"/>
              <w:rPr>
                <w:rFonts w:cs="Arial"/>
              </w:rPr>
            </w:pPr>
          </w:p>
        </w:tc>
      </w:tr>
      <w:tr w:rsidR="00692E71" w:rsidRPr="001E3185" w14:paraId="4FB3888D" w14:textId="77777777" w:rsidTr="008E0250">
        <w:trPr>
          <w:trHeight w:val="20"/>
          <w:jc w:val="center"/>
        </w:trPr>
        <w:tc>
          <w:tcPr>
            <w:tcW w:w="3614" w:type="dxa"/>
            <w:shd w:val="clear" w:color="auto" w:fill="FFFFFF"/>
            <w:noWrap/>
            <w:vAlign w:val="bottom"/>
          </w:tcPr>
          <w:p w14:paraId="538E2735" w14:textId="77777777" w:rsidR="00692E71" w:rsidRPr="001E3185" w:rsidRDefault="00692E71" w:rsidP="008E0250">
            <w:pPr>
              <w:rPr>
                <w:rFonts w:cs="Arial"/>
                <w:b/>
                <w:lang w:eastAsia="da-DK"/>
              </w:rPr>
            </w:pPr>
            <w:r w:rsidRPr="001E3185">
              <w:rPr>
                <w:rFonts w:cs="Arial"/>
                <w:lang w:eastAsia="da-DK"/>
              </w:rPr>
              <w:t>PEC/PNEC local without removal Time 1 (30 days)</w:t>
            </w:r>
          </w:p>
        </w:tc>
        <w:tc>
          <w:tcPr>
            <w:tcW w:w="917" w:type="dxa"/>
            <w:shd w:val="clear" w:color="auto" w:fill="FFFFFF"/>
            <w:noWrap/>
            <w:vAlign w:val="center"/>
          </w:tcPr>
          <w:p w14:paraId="0F83090E" w14:textId="77777777" w:rsidR="00692E71" w:rsidRPr="001E3185" w:rsidRDefault="00692E71" w:rsidP="008E0250">
            <w:pPr>
              <w:jc w:val="center"/>
              <w:rPr>
                <w:rFonts w:cs="Arial"/>
                <w:lang w:eastAsia="da-DK"/>
              </w:rPr>
            </w:pPr>
            <w:r w:rsidRPr="001E3185">
              <w:rPr>
                <w:rFonts w:cs="Arial"/>
                <w:color w:val="000000"/>
              </w:rPr>
              <w:t>8.60</w:t>
            </w:r>
          </w:p>
        </w:tc>
        <w:tc>
          <w:tcPr>
            <w:tcW w:w="1209" w:type="dxa"/>
            <w:shd w:val="clear" w:color="auto" w:fill="FFFFFF"/>
            <w:noWrap/>
            <w:vAlign w:val="center"/>
          </w:tcPr>
          <w:p w14:paraId="30FF07AC" w14:textId="77777777" w:rsidR="00692E71" w:rsidRPr="001E3185" w:rsidRDefault="00692E71" w:rsidP="008E0250">
            <w:pPr>
              <w:jc w:val="center"/>
              <w:rPr>
                <w:rFonts w:cs="Arial"/>
              </w:rPr>
            </w:pPr>
            <w:r w:rsidRPr="001E3185">
              <w:rPr>
                <w:rFonts w:cs="Arial"/>
                <w:color w:val="000000"/>
              </w:rPr>
              <w:t>1.39</w:t>
            </w:r>
          </w:p>
        </w:tc>
        <w:tc>
          <w:tcPr>
            <w:tcW w:w="1201" w:type="dxa"/>
            <w:shd w:val="clear" w:color="auto" w:fill="FFFFFF"/>
            <w:noWrap/>
            <w:vAlign w:val="center"/>
          </w:tcPr>
          <w:p w14:paraId="42D6240E" w14:textId="77777777" w:rsidR="00692E71" w:rsidRPr="001E3185" w:rsidRDefault="00692E71" w:rsidP="008E0250">
            <w:pPr>
              <w:jc w:val="center"/>
              <w:rPr>
                <w:rFonts w:cs="Arial"/>
              </w:rPr>
            </w:pPr>
            <w:r w:rsidRPr="001E3185">
              <w:rPr>
                <w:rFonts w:cs="Arial"/>
                <w:color w:val="000000"/>
              </w:rPr>
              <w:t>0.56</w:t>
            </w:r>
          </w:p>
        </w:tc>
        <w:tc>
          <w:tcPr>
            <w:tcW w:w="1134" w:type="dxa"/>
            <w:shd w:val="clear" w:color="auto" w:fill="FFFFFF"/>
            <w:vAlign w:val="center"/>
          </w:tcPr>
          <w:p w14:paraId="2C320D5F" w14:textId="77777777" w:rsidR="00692E71" w:rsidRPr="001E3185" w:rsidRDefault="00692E71" w:rsidP="008E0250">
            <w:pPr>
              <w:jc w:val="center"/>
              <w:rPr>
                <w:rFonts w:cs="Arial"/>
              </w:rPr>
            </w:pPr>
            <w:r w:rsidRPr="001E3185">
              <w:rPr>
                <w:rFonts w:cs="Arial"/>
                <w:color w:val="000000"/>
              </w:rPr>
              <w:t>0.23</w:t>
            </w:r>
          </w:p>
        </w:tc>
        <w:tc>
          <w:tcPr>
            <w:tcW w:w="1209" w:type="dxa"/>
            <w:shd w:val="clear" w:color="auto" w:fill="FFFFFF"/>
            <w:vAlign w:val="center"/>
          </w:tcPr>
          <w:p w14:paraId="1737B8A6" w14:textId="77777777" w:rsidR="00692E71" w:rsidRPr="001E3185" w:rsidRDefault="00692E71" w:rsidP="008E0250">
            <w:pPr>
              <w:jc w:val="center"/>
              <w:rPr>
                <w:rFonts w:cs="Arial"/>
              </w:rPr>
            </w:pPr>
            <w:r w:rsidRPr="001E3185">
              <w:rPr>
                <w:rFonts w:cs="Arial"/>
              </w:rPr>
              <w:t>11</w:t>
            </w:r>
          </w:p>
        </w:tc>
      </w:tr>
      <w:tr w:rsidR="00692E71" w:rsidRPr="001E3185" w14:paraId="4573DF06" w14:textId="77777777" w:rsidTr="008E0250">
        <w:trPr>
          <w:trHeight w:val="20"/>
          <w:jc w:val="center"/>
        </w:trPr>
        <w:tc>
          <w:tcPr>
            <w:tcW w:w="3614" w:type="dxa"/>
            <w:shd w:val="clear" w:color="auto" w:fill="FFFFFF"/>
            <w:noWrap/>
            <w:vAlign w:val="bottom"/>
          </w:tcPr>
          <w:p w14:paraId="358A77AB"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17" w:type="dxa"/>
            <w:shd w:val="clear" w:color="auto" w:fill="FFFFFF"/>
            <w:noWrap/>
            <w:vAlign w:val="center"/>
          </w:tcPr>
          <w:p w14:paraId="1C1DAAEC" w14:textId="77777777" w:rsidR="00692E71" w:rsidRPr="001E3185" w:rsidRDefault="00692E71" w:rsidP="008E0250">
            <w:pPr>
              <w:jc w:val="center"/>
              <w:rPr>
                <w:rFonts w:cs="Arial"/>
                <w:lang w:eastAsia="da-DK"/>
              </w:rPr>
            </w:pPr>
            <w:r w:rsidRPr="001E3185">
              <w:rPr>
                <w:rFonts w:cs="Arial"/>
                <w:color w:val="000000"/>
              </w:rPr>
              <w:t>18</w:t>
            </w:r>
          </w:p>
        </w:tc>
        <w:tc>
          <w:tcPr>
            <w:tcW w:w="1209" w:type="dxa"/>
            <w:shd w:val="clear" w:color="auto" w:fill="FFFFFF"/>
            <w:noWrap/>
            <w:vAlign w:val="center"/>
          </w:tcPr>
          <w:p w14:paraId="3932E45F" w14:textId="77777777" w:rsidR="00692E71" w:rsidRPr="001E3185" w:rsidRDefault="00692E71" w:rsidP="008E0250">
            <w:pPr>
              <w:jc w:val="center"/>
              <w:rPr>
                <w:rFonts w:cs="Arial"/>
              </w:rPr>
            </w:pPr>
            <w:r w:rsidRPr="001E3185">
              <w:rPr>
                <w:rFonts w:cs="Arial"/>
                <w:color w:val="000000"/>
              </w:rPr>
              <w:t>3.91</w:t>
            </w:r>
          </w:p>
        </w:tc>
        <w:tc>
          <w:tcPr>
            <w:tcW w:w="1201" w:type="dxa"/>
            <w:shd w:val="clear" w:color="auto" w:fill="FFFFFF"/>
            <w:noWrap/>
            <w:vAlign w:val="center"/>
          </w:tcPr>
          <w:p w14:paraId="706FD2AC" w14:textId="77777777" w:rsidR="00692E71" w:rsidRPr="001E3185" w:rsidRDefault="00692E71" w:rsidP="008E0250">
            <w:pPr>
              <w:jc w:val="center"/>
              <w:rPr>
                <w:rFonts w:cs="Arial"/>
              </w:rPr>
            </w:pPr>
            <w:r w:rsidRPr="001E3185">
              <w:rPr>
                <w:rFonts w:cs="Arial"/>
                <w:color w:val="000000"/>
              </w:rPr>
              <w:t>1.48</w:t>
            </w:r>
          </w:p>
        </w:tc>
        <w:tc>
          <w:tcPr>
            <w:tcW w:w="1134" w:type="dxa"/>
            <w:shd w:val="clear" w:color="auto" w:fill="FFFFFF"/>
            <w:vAlign w:val="center"/>
          </w:tcPr>
          <w:p w14:paraId="0CF1F93D" w14:textId="77777777" w:rsidR="00692E71" w:rsidRPr="001E3185" w:rsidRDefault="00692E71" w:rsidP="008E0250">
            <w:pPr>
              <w:jc w:val="center"/>
              <w:rPr>
                <w:rFonts w:cs="Arial"/>
              </w:rPr>
            </w:pPr>
            <w:r w:rsidRPr="001E3185">
              <w:rPr>
                <w:rFonts w:cs="Arial"/>
                <w:color w:val="000000"/>
              </w:rPr>
              <w:t>0.33</w:t>
            </w:r>
          </w:p>
        </w:tc>
        <w:tc>
          <w:tcPr>
            <w:tcW w:w="1209" w:type="dxa"/>
            <w:shd w:val="clear" w:color="auto" w:fill="FFFFFF"/>
            <w:vAlign w:val="center"/>
          </w:tcPr>
          <w:p w14:paraId="39F34A3D" w14:textId="77777777" w:rsidR="00692E71" w:rsidRPr="001E3185" w:rsidRDefault="00692E71" w:rsidP="008E0250">
            <w:pPr>
              <w:jc w:val="center"/>
              <w:rPr>
                <w:rFonts w:cs="Arial"/>
              </w:rPr>
            </w:pPr>
            <w:r w:rsidRPr="001E3185">
              <w:rPr>
                <w:rFonts w:cs="Arial"/>
              </w:rPr>
              <w:t>24</w:t>
            </w:r>
          </w:p>
        </w:tc>
      </w:tr>
      <w:tr w:rsidR="00692E71" w:rsidRPr="001E3185" w14:paraId="0212159D" w14:textId="77777777" w:rsidTr="008E0250">
        <w:trPr>
          <w:trHeight w:val="20"/>
          <w:jc w:val="center"/>
        </w:trPr>
        <w:tc>
          <w:tcPr>
            <w:tcW w:w="3614" w:type="dxa"/>
            <w:shd w:val="clear" w:color="auto" w:fill="FFFFFF"/>
            <w:noWrap/>
            <w:vAlign w:val="bottom"/>
          </w:tcPr>
          <w:p w14:paraId="093FD35B" w14:textId="77777777" w:rsidR="00692E71" w:rsidRPr="001E3185" w:rsidRDefault="00692E71" w:rsidP="008E0250">
            <w:pPr>
              <w:rPr>
                <w:rFonts w:cs="Arial"/>
                <w:b/>
                <w:lang w:eastAsia="da-DK"/>
              </w:rPr>
            </w:pPr>
          </w:p>
        </w:tc>
        <w:tc>
          <w:tcPr>
            <w:tcW w:w="917" w:type="dxa"/>
            <w:shd w:val="clear" w:color="auto" w:fill="FFFFFF"/>
            <w:noWrap/>
            <w:vAlign w:val="center"/>
          </w:tcPr>
          <w:p w14:paraId="709C0C4B" w14:textId="77777777" w:rsidR="00692E71" w:rsidRPr="001E3185" w:rsidRDefault="00692E71" w:rsidP="008E0250">
            <w:pPr>
              <w:jc w:val="center"/>
              <w:rPr>
                <w:rFonts w:cs="Arial"/>
                <w:lang w:eastAsia="da-DK"/>
              </w:rPr>
            </w:pPr>
          </w:p>
        </w:tc>
        <w:tc>
          <w:tcPr>
            <w:tcW w:w="1209" w:type="dxa"/>
            <w:shd w:val="clear" w:color="auto" w:fill="FFFFFF"/>
            <w:noWrap/>
            <w:vAlign w:val="center"/>
          </w:tcPr>
          <w:p w14:paraId="2D9088F7" w14:textId="77777777" w:rsidR="00692E71" w:rsidRPr="001E3185" w:rsidRDefault="00692E71" w:rsidP="008E0250">
            <w:pPr>
              <w:jc w:val="center"/>
              <w:rPr>
                <w:rFonts w:cs="Arial"/>
              </w:rPr>
            </w:pPr>
          </w:p>
        </w:tc>
        <w:tc>
          <w:tcPr>
            <w:tcW w:w="1201" w:type="dxa"/>
            <w:shd w:val="clear" w:color="auto" w:fill="FFFFFF"/>
            <w:noWrap/>
            <w:vAlign w:val="center"/>
          </w:tcPr>
          <w:p w14:paraId="1CE33EFA" w14:textId="77777777" w:rsidR="00692E71" w:rsidRPr="001E3185" w:rsidRDefault="00692E71" w:rsidP="008E0250">
            <w:pPr>
              <w:jc w:val="center"/>
              <w:rPr>
                <w:rFonts w:cs="Arial"/>
              </w:rPr>
            </w:pPr>
          </w:p>
        </w:tc>
        <w:tc>
          <w:tcPr>
            <w:tcW w:w="1134" w:type="dxa"/>
            <w:shd w:val="clear" w:color="auto" w:fill="FFFFFF"/>
            <w:vAlign w:val="center"/>
          </w:tcPr>
          <w:p w14:paraId="54F3CF17" w14:textId="77777777" w:rsidR="00692E71" w:rsidRPr="001E3185" w:rsidRDefault="00692E71" w:rsidP="008E0250">
            <w:pPr>
              <w:jc w:val="center"/>
              <w:rPr>
                <w:rFonts w:cs="Arial"/>
              </w:rPr>
            </w:pPr>
          </w:p>
        </w:tc>
        <w:tc>
          <w:tcPr>
            <w:tcW w:w="1209" w:type="dxa"/>
            <w:shd w:val="clear" w:color="auto" w:fill="FFFFFF"/>
            <w:vAlign w:val="center"/>
          </w:tcPr>
          <w:p w14:paraId="285C9021" w14:textId="77777777" w:rsidR="00692E71" w:rsidRPr="001E3185" w:rsidRDefault="00692E71" w:rsidP="008E0250">
            <w:pPr>
              <w:jc w:val="center"/>
              <w:rPr>
                <w:rFonts w:cs="Arial"/>
              </w:rPr>
            </w:pPr>
          </w:p>
        </w:tc>
      </w:tr>
      <w:tr w:rsidR="00692E71" w:rsidRPr="001E3185" w14:paraId="4B57FEDE" w14:textId="77777777" w:rsidTr="008E0250">
        <w:trPr>
          <w:trHeight w:val="20"/>
          <w:jc w:val="center"/>
        </w:trPr>
        <w:tc>
          <w:tcPr>
            <w:tcW w:w="3614" w:type="dxa"/>
            <w:shd w:val="clear" w:color="auto" w:fill="FFFFFF"/>
            <w:noWrap/>
            <w:vAlign w:val="bottom"/>
          </w:tcPr>
          <w:p w14:paraId="0AD3D06D" w14:textId="77777777" w:rsidR="00692E71" w:rsidRPr="001E3185" w:rsidRDefault="00692E71" w:rsidP="008E0250">
            <w:pPr>
              <w:rPr>
                <w:rFonts w:cs="Arial"/>
                <w:b/>
                <w:lang w:eastAsia="da-DK"/>
              </w:rPr>
            </w:pPr>
            <w:r w:rsidRPr="001E3185">
              <w:rPr>
                <w:rFonts w:cs="Arial"/>
                <w:lang w:eastAsia="da-DK"/>
              </w:rPr>
              <w:t>PEC/PNEC local with removal Time 1 (30 days)</w:t>
            </w:r>
          </w:p>
        </w:tc>
        <w:tc>
          <w:tcPr>
            <w:tcW w:w="917" w:type="dxa"/>
            <w:shd w:val="clear" w:color="auto" w:fill="FFFFFF"/>
            <w:noWrap/>
            <w:vAlign w:val="center"/>
          </w:tcPr>
          <w:p w14:paraId="7AEF9567" w14:textId="77777777" w:rsidR="00692E71" w:rsidRPr="001E3185" w:rsidRDefault="00692E71" w:rsidP="008E0250">
            <w:pPr>
              <w:jc w:val="center"/>
              <w:rPr>
                <w:rFonts w:cs="Arial"/>
                <w:lang w:eastAsia="da-DK"/>
              </w:rPr>
            </w:pPr>
            <w:r w:rsidRPr="001E3185">
              <w:rPr>
                <w:rFonts w:cs="Arial"/>
                <w:color w:val="000000"/>
              </w:rPr>
              <w:t>0.01</w:t>
            </w:r>
          </w:p>
        </w:tc>
        <w:tc>
          <w:tcPr>
            <w:tcW w:w="1209" w:type="dxa"/>
            <w:shd w:val="clear" w:color="auto" w:fill="FFFFFF"/>
            <w:noWrap/>
            <w:vAlign w:val="center"/>
          </w:tcPr>
          <w:p w14:paraId="54437CE7" w14:textId="77777777" w:rsidR="00692E71" w:rsidRPr="001E3185" w:rsidRDefault="00692E71" w:rsidP="008E0250">
            <w:pPr>
              <w:jc w:val="center"/>
              <w:rPr>
                <w:rFonts w:cs="Arial"/>
              </w:rPr>
            </w:pPr>
            <w:r w:rsidRPr="001E3185">
              <w:rPr>
                <w:rFonts w:cs="Arial"/>
                <w:color w:val="000000"/>
              </w:rPr>
              <w:t>1.24</w:t>
            </w:r>
          </w:p>
        </w:tc>
        <w:tc>
          <w:tcPr>
            <w:tcW w:w="1201" w:type="dxa"/>
            <w:shd w:val="clear" w:color="auto" w:fill="FFFFFF"/>
            <w:noWrap/>
            <w:vAlign w:val="center"/>
          </w:tcPr>
          <w:p w14:paraId="3C1B9B96" w14:textId="77777777" w:rsidR="00692E71" w:rsidRPr="001E3185" w:rsidRDefault="00692E71" w:rsidP="008E0250">
            <w:pPr>
              <w:jc w:val="center"/>
              <w:rPr>
                <w:rFonts w:cs="Arial"/>
              </w:rPr>
            </w:pPr>
            <w:r w:rsidRPr="001E3185">
              <w:rPr>
                <w:rFonts w:cs="Arial"/>
                <w:color w:val="000000"/>
              </w:rPr>
              <w:t>0.47</w:t>
            </w:r>
          </w:p>
        </w:tc>
        <w:tc>
          <w:tcPr>
            <w:tcW w:w="1134" w:type="dxa"/>
            <w:shd w:val="clear" w:color="auto" w:fill="FFFFFF"/>
            <w:vAlign w:val="center"/>
          </w:tcPr>
          <w:p w14:paraId="0A2C9207" w14:textId="77777777" w:rsidR="00692E71" w:rsidRPr="001E3185" w:rsidRDefault="00692E71" w:rsidP="008E0250">
            <w:pPr>
              <w:jc w:val="center"/>
              <w:rPr>
                <w:rFonts w:cs="Arial"/>
              </w:rPr>
            </w:pPr>
            <w:r w:rsidRPr="001E3185">
              <w:rPr>
                <w:rFonts w:cs="Arial"/>
                <w:color w:val="000000"/>
              </w:rPr>
              <w:t>0.07</w:t>
            </w:r>
          </w:p>
        </w:tc>
        <w:tc>
          <w:tcPr>
            <w:tcW w:w="1209" w:type="dxa"/>
            <w:shd w:val="clear" w:color="auto" w:fill="FFFFFF"/>
            <w:vAlign w:val="center"/>
          </w:tcPr>
          <w:p w14:paraId="6AEAC36C" w14:textId="77777777" w:rsidR="00692E71" w:rsidRPr="001E3185" w:rsidRDefault="00692E71" w:rsidP="008E0250">
            <w:pPr>
              <w:jc w:val="center"/>
              <w:rPr>
                <w:rFonts w:cs="Arial"/>
              </w:rPr>
            </w:pPr>
            <w:r w:rsidRPr="001E3185">
              <w:rPr>
                <w:rFonts w:cs="Arial"/>
              </w:rPr>
              <w:t>1.79</w:t>
            </w:r>
          </w:p>
        </w:tc>
      </w:tr>
      <w:tr w:rsidR="00692E71" w:rsidRPr="001E3185" w14:paraId="366BDBDF" w14:textId="77777777" w:rsidTr="008E0250">
        <w:trPr>
          <w:trHeight w:val="20"/>
          <w:jc w:val="center"/>
        </w:trPr>
        <w:tc>
          <w:tcPr>
            <w:tcW w:w="3614" w:type="dxa"/>
            <w:shd w:val="clear" w:color="auto" w:fill="FFFFFF"/>
            <w:noWrap/>
            <w:vAlign w:val="bottom"/>
          </w:tcPr>
          <w:p w14:paraId="09D97593" w14:textId="77777777" w:rsidR="00692E71" w:rsidRPr="001E3185" w:rsidRDefault="00692E71" w:rsidP="008E0250">
            <w:pPr>
              <w:rPr>
                <w:rFonts w:cs="Arial"/>
                <w:b/>
                <w:lang w:eastAsia="da-DK"/>
              </w:rPr>
            </w:pPr>
            <w:r w:rsidRPr="001E3185">
              <w:rPr>
                <w:rFonts w:cs="Arial"/>
                <w:lang w:eastAsia="da-DK"/>
              </w:rPr>
              <w:t>PEC/PNEC local with removal Time 2 (1825 days)</w:t>
            </w:r>
          </w:p>
        </w:tc>
        <w:tc>
          <w:tcPr>
            <w:tcW w:w="917" w:type="dxa"/>
            <w:shd w:val="clear" w:color="auto" w:fill="FFFFFF"/>
            <w:noWrap/>
            <w:vAlign w:val="center"/>
          </w:tcPr>
          <w:p w14:paraId="76804398" w14:textId="77777777" w:rsidR="00692E71" w:rsidRPr="001E3185" w:rsidRDefault="00692E71" w:rsidP="008E0250">
            <w:pPr>
              <w:jc w:val="center"/>
              <w:rPr>
                <w:rFonts w:cs="Arial"/>
                <w:color w:val="000000"/>
                <w:lang w:eastAsia="da-DK"/>
              </w:rPr>
            </w:pPr>
            <w:r w:rsidRPr="001E3185">
              <w:rPr>
                <w:rFonts w:cs="Arial"/>
                <w:color w:val="000000"/>
              </w:rPr>
              <w:t>1.6*10</w:t>
            </w:r>
            <w:r w:rsidRPr="001E3185">
              <w:rPr>
                <w:rFonts w:cs="Arial"/>
                <w:color w:val="000000"/>
                <w:vertAlign w:val="superscript"/>
              </w:rPr>
              <w:t>-4</w:t>
            </w:r>
          </w:p>
        </w:tc>
        <w:tc>
          <w:tcPr>
            <w:tcW w:w="1209" w:type="dxa"/>
            <w:shd w:val="clear" w:color="auto" w:fill="FFFFFF"/>
            <w:noWrap/>
            <w:vAlign w:val="center"/>
          </w:tcPr>
          <w:p w14:paraId="31AE0B17" w14:textId="77777777" w:rsidR="00692E71" w:rsidRPr="001E3185" w:rsidRDefault="00692E71" w:rsidP="008E0250">
            <w:pPr>
              <w:jc w:val="center"/>
              <w:rPr>
                <w:rFonts w:cs="Arial"/>
                <w:color w:val="000000"/>
              </w:rPr>
            </w:pPr>
            <w:r w:rsidRPr="001E3185">
              <w:rPr>
                <w:rFonts w:cs="Arial"/>
                <w:color w:val="000000"/>
              </w:rPr>
              <w:t>0.26</w:t>
            </w:r>
          </w:p>
        </w:tc>
        <w:tc>
          <w:tcPr>
            <w:tcW w:w="1201" w:type="dxa"/>
            <w:shd w:val="clear" w:color="auto" w:fill="FFFFFF"/>
            <w:noWrap/>
            <w:vAlign w:val="center"/>
          </w:tcPr>
          <w:p w14:paraId="7CEC4858" w14:textId="77777777" w:rsidR="00692E71" w:rsidRPr="001E3185" w:rsidRDefault="00692E71" w:rsidP="008E0250">
            <w:pPr>
              <w:jc w:val="center"/>
              <w:rPr>
                <w:rFonts w:cs="Arial"/>
                <w:color w:val="000000"/>
              </w:rPr>
            </w:pPr>
            <w:r w:rsidRPr="001E3185">
              <w:rPr>
                <w:rFonts w:cs="Arial"/>
                <w:color w:val="000000"/>
              </w:rPr>
              <w:t>0.06</w:t>
            </w:r>
          </w:p>
        </w:tc>
        <w:tc>
          <w:tcPr>
            <w:tcW w:w="1134" w:type="dxa"/>
            <w:shd w:val="clear" w:color="auto" w:fill="FFFFFF"/>
            <w:vAlign w:val="center"/>
          </w:tcPr>
          <w:p w14:paraId="0FA053C1" w14:textId="77777777" w:rsidR="00692E71" w:rsidRPr="001E3185" w:rsidRDefault="00692E71" w:rsidP="008E0250">
            <w:pPr>
              <w:jc w:val="center"/>
              <w:rPr>
                <w:rFonts w:cs="Arial"/>
                <w:color w:val="000000"/>
              </w:rPr>
            </w:pPr>
            <w:r w:rsidRPr="001E3185">
              <w:rPr>
                <w:rFonts w:cs="Arial"/>
                <w:color w:val="000000"/>
              </w:rPr>
              <w:t>1.4*10</w:t>
            </w:r>
            <w:r w:rsidRPr="001E3185">
              <w:rPr>
                <w:rFonts w:cs="Arial"/>
                <w:color w:val="000000"/>
                <w:vertAlign w:val="superscript"/>
              </w:rPr>
              <w:t>-3</w:t>
            </w:r>
          </w:p>
        </w:tc>
        <w:tc>
          <w:tcPr>
            <w:tcW w:w="1209" w:type="dxa"/>
            <w:shd w:val="clear" w:color="auto" w:fill="FFFFFF"/>
            <w:vAlign w:val="center"/>
          </w:tcPr>
          <w:p w14:paraId="14B9C94A" w14:textId="77777777" w:rsidR="00692E71" w:rsidRPr="001E3185" w:rsidRDefault="00692E71" w:rsidP="008E0250">
            <w:pPr>
              <w:jc w:val="center"/>
              <w:rPr>
                <w:rFonts w:cs="Arial"/>
              </w:rPr>
            </w:pPr>
            <w:r w:rsidRPr="001E3185">
              <w:rPr>
                <w:rFonts w:cs="Arial"/>
              </w:rPr>
              <w:t>0.32</w:t>
            </w:r>
          </w:p>
        </w:tc>
      </w:tr>
    </w:tbl>
    <w:p w14:paraId="62DED87F" w14:textId="77777777" w:rsidR="00692E71" w:rsidRPr="001E3185" w:rsidRDefault="00692E71" w:rsidP="00692E71">
      <w:pPr>
        <w:rPr>
          <w:rFonts w:cs="Arial"/>
          <w:b/>
          <w:bCs/>
        </w:rPr>
      </w:pPr>
    </w:p>
    <w:p w14:paraId="1A245BDA" w14:textId="77777777" w:rsidR="00692E71" w:rsidRPr="001E3185" w:rsidRDefault="00692E71" w:rsidP="00692E71">
      <w:pPr>
        <w:pStyle w:val="Lgende"/>
        <w:rPr>
          <w:rFonts w:ascii="Verdana" w:hAnsi="Verdana"/>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56</w:t>
      </w:r>
      <w:r w:rsidRPr="001E3185">
        <w:rPr>
          <w:rFonts w:ascii="Verdana" w:hAnsi="Verdana"/>
        </w:rPr>
        <w:fldChar w:fldCharType="end"/>
      </w:r>
      <w:r w:rsidRPr="001E3185">
        <w:rPr>
          <w:rFonts w:ascii="Verdana" w:hAnsi="Verdana"/>
        </w:rPr>
        <w:t xml:space="preserve">: PEC/PNEC ratios for the soil compartment, brushing, </w:t>
      </w:r>
      <w:proofErr w:type="gramStart"/>
      <w:r w:rsidRPr="001E3185">
        <w:rPr>
          <w:rFonts w:ascii="Verdana" w:hAnsi="Verdana"/>
        </w:rPr>
        <w:t>non</w:t>
      </w:r>
      <w:proofErr w:type="gramEnd"/>
      <w:r w:rsidRPr="001E3185">
        <w:rPr>
          <w:rFonts w:ascii="Verdana" w:hAnsi="Verdana"/>
        </w:rPr>
        <w:t>-professional application</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34"/>
        <w:gridCol w:w="1134"/>
        <w:gridCol w:w="1134"/>
        <w:gridCol w:w="1276"/>
      </w:tblGrid>
      <w:tr w:rsidR="00692E71" w:rsidRPr="001E3185" w14:paraId="110C00D3" w14:textId="77777777" w:rsidTr="008E0250">
        <w:trPr>
          <w:trHeight w:val="20"/>
          <w:tblHeader/>
          <w:jc w:val="center"/>
        </w:trPr>
        <w:tc>
          <w:tcPr>
            <w:tcW w:w="3614" w:type="dxa"/>
            <w:shd w:val="clear" w:color="auto" w:fill="FFFFFF"/>
            <w:noWrap/>
            <w:vAlign w:val="bottom"/>
          </w:tcPr>
          <w:p w14:paraId="7FE47A41" w14:textId="77777777" w:rsidR="00692E71" w:rsidRPr="001E3185" w:rsidRDefault="00692E71" w:rsidP="008E0250">
            <w:pPr>
              <w:rPr>
                <w:rFonts w:cs="Arial"/>
                <w:lang w:eastAsia="da-DK"/>
              </w:rPr>
            </w:pPr>
          </w:p>
        </w:tc>
        <w:tc>
          <w:tcPr>
            <w:tcW w:w="992" w:type="dxa"/>
            <w:shd w:val="clear" w:color="auto" w:fill="FFFFFF"/>
            <w:noWrap/>
            <w:vAlign w:val="bottom"/>
          </w:tcPr>
          <w:p w14:paraId="7B331B6D" w14:textId="77777777" w:rsidR="00692E71" w:rsidRPr="001E3185" w:rsidRDefault="00692E71" w:rsidP="008E0250">
            <w:pPr>
              <w:jc w:val="center"/>
              <w:rPr>
                <w:rFonts w:cs="Arial"/>
                <w:b/>
                <w:lang w:eastAsia="da-DK"/>
              </w:rPr>
            </w:pPr>
            <w:r w:rsidRPr="001E3185">
              <w:rPr>
                <w:rFonts w:cs="Arial"/>
                <w:b/>
                <w:lang w:eastAsia="da-DK"/>
              </w:rPr>
              <w:t>IPBC</w:t>
            </w:r>
          </w:p>
        </w:tc>
        <w:tc>
          <w:tcPr>
            <w:tcW w:w="1134" w:type="dxa"/>
            <w:shd w:val="clear" w:color="auto" w:fill="FFFFFF"/>
            <w:noWrap/>
            <w:vAlign w:val="bottom"/>
          </w:tcPr>
          <w:p w14:paraId="72B022B3"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134" w:type="dxa"/>
            <w:shd w:val="clear" w:color="auto" w:fill="FFFFFF"/>
            <w:noWrap/>
            <w:vAlign w:val="bottom"/>
          </w:tcPr>
          <w:p w14:paraId="6A3021D7" w14:textId="77777777" w:rsidR="00692E71" w:rsidRPr="001E3185" w:rsidRDefault="00692E71" w:rsidP="008E0250">
            <w:pPr>
              <w:jc w:val="center"/>
              <w:rPr>
                <w:rFonts w:cs="Arial"/>
                <w:b/>
                <w:lang w:eastAsia="da-DK"/>
              </w:rPr>
            </w:pPr>
            <w:r w:rsidRPr="001E3185">
              <w:rPr>
                <w:rFonts w:cs="Arial"/>
                <w:b/>
                <w:lang w:eastAsia="da-DK"/>
              </w:rPr>
              <w:t>Tebucon</w:t>
            </w:r>
            <w:r w:rsidRPr="001E3185">
              <w:rPr>
                <w:rFonts w:cs="Arial"/>
                <w:b/>
                <w:lang w:eastAsia="da-DK"/>
              </w:rPr>
              <w:softHyphen/>
              <w:t>azole</w:t>
            </w:r>
          </w:p>
        </w:tc>
        <w:tc>
          <w:tcPr>
            <w:tcW w:w="1134" w:type="dxa"/>
            <w:shd w:val="clear" w:color="auto" w:fill="FFFFFF"/>
          </w:tcPr>
          <w:p w14:paraId="538F15D6"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tcPr>
          <w:p w14:paraId="33459FB0" w14:textId="77777777" w:rsidR="00692E71" w:rsidRPr="001E3185" w:rsidRDefault="00692E71" w:rsidP="008E0250">
            <w:pPr>
              <w:jc w:val="center"/>
              <w:rPr>
                <w:rFonts w:cs="Arial"/>
                <w:b/>
                <w:lang w:eastAsia="da-DK"/>
              </w:rPr>
            </w:pPr>
            <w:r w:rsidRPr="001E3185">
              <w:rPr>
                <w:rFonts w:cs="Arial"/>
                <w:b/>
                <w:bCs/>
              </w:rPr>
              <w:t>Total PEC/PNEC</w:t>
            </w:r>
          </w:p>
        </w:tc>
      </w:tr>
      <w:tr w:rsidR="00692E71" w:rsidRPr="001E3185" w14:paraId="0ABBCC95" w14:textId="77777777" w:rsidTr="008E0250">
        <w:trPr>
          <w:trHeight w:val="20"/>
          <w:jc w:val="center"/>
        </w:trPr>
        <w:tc>
          <w:tcPr>
            <w:tcW w:w="3614" w:type="dxa"/>
            <w:shd w:val="clear" w:color="auto" w:fill="FFFFFF"/>
            <w:noWrap/>
            <w:vAlign w:val="bottom"/>
          </w:tcPr>
          <w:p w14:paraId="148868FC" w14:textId="77777777" w:rsidR="00692E71" w:rsidRPr="001E3185" w:rsidRDefault="00692E71" w:rsidP="008E0250">
            <w:pPr>
              <w:rPr>
                <w:rFonts w:cs="Arial"/>
                <w:b/>
                <w:lang w:eastAsia="da-DK"/>
              </w:rPr>
            </w:pPr>
            <w:r w:rsidRPr="001E3185">
              <w:rPr>
                <w:rFonts w:cs="Arial"/>
                <w:b/>
                <w:lang w:eastAsia="da-DK"/>
              </w:rPr>
              <w:t>House (brushing, soil)</w:t>
            </w:r>
          </w:p>
        </w:tc>
        <w:tc>
          <w:tcPr>
            <w:tcW w:w="992" w:type="dxa"/>
            <w:shd w:val="clear" w:color="auto" w:fill="FFFFFF"/>
            <w:noWrap/>
            <w:vAlign w:val="bottom"/>
          </w:tcPr>
          <w:p w14:paraId="50304637" w14:textId="77777777" w:rsidR="00692E71" w:rsidRPr="001E3185" w:rsidRDefault="00692E71" w:rsidP="008E0250">
            <w:pPr>
              <w:jc w:val="center"/>
              <w:rPr>
                <w:rFonts w:cs="Arial"/>
                <w:lang w:eastAsia="da-DK"/>
              </w:rPr>
            </w:pPr>
          </w:p>
        </w:tc>
        <w:tc>
          <w:tcPr>
            <w:tcW w:w="1134" w:type="dxa"/>
            <w:shd w:val="clear" w:color="auto" w:fill="FFFFFF"/>
            <w:noWrap/>
            <w:vAlign w:val="bottom"/>
          </w:tcPr>
          <w:p w14:paraId="67028E6F" w14:textId="77777777" w:rsidR="00692E71" w:rsidRPr="001E3185" w:rsidRDefault="00692E71" w:rsidP="008E0250">
            <w:pPr>
              <w:jc w:val="center"/>
              <w:rPr>
                <w:rFonts w:cs="Arial"/>
                <w:lang w:eastAsia="da-DK"/>
              </w:rPr>
            </w:pPr>
          </w:p>
        </w:tc>
        <w:tc>
          <w:tcPr>
            <w:tcW w:w="1134" w:type="dxa"/>
            <w:shd w:val="clear" w:color="auto" w:fill="FFFFFF"/>
            <w:noWrap/>
            <w:vAlign w:val="bottom"/>
          </w:tcPr>
          <w:p w14:paraId="681F2C16" w14:textId="77777777" w:rsidR="00692E71" w:rsidRPr="001E3185" w:rsidRDefault="00692E71" w:rsidP="008E0250">
            <w:pPr>
              <w:jc w:val="center"/>
              <w:rPr>
                <w:rFonts w:cs="Arial"/>
                <w:lang w:eastAsia="da-DK"/>
              </w:rPr>
            </w:pPr>
          </w:p>
        </w:tc>
        <w:tc>
          <w:tcPr>
            <w:tcW w:w="1134" w:type="dxa"/>
            <w:shd w:val="clear" w:color="auto" w:fill="FFFFFF"/>
          </w:tcPr>
          <w:p w14:paraId="0EEB3A30" w14:textId="77777777" w:rsidR="00692E71" w:rsidRPr="001E3185" w:rsidRDefault="00692E71" w:rsidP="008E0250">
            <w:pPr>
              <w:jc w:val="center"/>
              <w:rPr>
                <w:rFonts w:cs="Arial"/>
                <w:lang w:eastAsia="da-DK"/>
              </w:rPr>
            </w:pPr>
          </w:p>
        </w:tc>
        <w:tc>
          <w:tcPr>
            <w:tcW w:w="1276" w:type="dxa"/>
            <w:shd w:val="clear" w:color="auto" w:fill="FFFFFF"/>
          </w:tcPr>
          <w:p w14:paraId="7123F004" w14:textId="77777777" w:rsidR="00692E71" w:rsidRPr="001E3185" w:rsidRDefault="00692E71" w:rsidP="008E0250">
            <w:pPr>
              <w:jc w:val="center"/>
              <w:rPr>
                <w:rFonts w:cs="Arial"/>
                <w:lang w:eastAsia="da-DK"/>
              </w:rPr>
            </w:pPr>
          </w:p>
        </w:tc>
      </w:tr>
      <w:tr w:rsidR="00692E71" w:rsidRPr="001E3185" w14:paraId="536BB8B4" w14:textId="77777777" w:rsidTr="008E0250">
        <w:trPr>
          <w:trHeight w:val="20"/>
          <w:jc w:val="center"/>
        </w:trPr>
        <w:tc>
          <w:tcPr>
            <w:tcW w:w="3614" w:type="dxa"/>
            <w:shd w:val="clear" w:color="auto" w:fill="FFFFFF"/>
            <w:noWrap/>
            <w:vAlign w:val="bottom"/>
          </w:tcPr>
          <w:p w14:paraId="61A41ECF" w14:textId="77777777" w:rsidR="00692E71" w:rsidRPr="001E3185" w:rsidRDefault="00692E71" w:rsidP="008E0250">
            <w:pPr>
              <w:rPr>
                <w:rFonts w:cs="Arial"/>
                <w:b/>
                <w:lang w:eastAsia="da-DK"/>
              </w:rPr>
            </w:pPr>
            <w:r w:rsidRPr="001E3185">
              <w:rPr>
                <w:rFonts w:cs="Arial"/>
                <w:lang w:eastAsia="da-DK"/>
              </w:rPr>
              <w:t>PEC/PNEC local without removal Time 1 (30 days)</w:t>
            </w:r>
          </w:p>
        </w:tc>
        <w:tc>
          <w:tcPr>
            <w:tcW w:w="992" w:type="dxa"/>
            <w:shd w:val="clear" w:color="auto" w:fill="FFFFFF"/>
            <w:noWrap/>
            <w:vAlign w:val="center"/>
          </w:tcPr>
          <w:p w14:paraId="703ECB41" w14:textId="77777777" w:rsidR="00692E71" w:rsidRPr="001E3185" w:rsidRDefault="00692E71" w:rsidP="008E0250">
            <w:pPr>
              <w:jc w:val="center"/>
              <w:rPr>
                <w:rFonts w:cs="Arial"/>
                <w:color w:val="000000"/>
                <w:lang w:eastAsia="da-DK"/>
              </w:rPr>
            </w:pPr>
            <w:r w:rsidRPr="001E3185">
              <w:rPr>
                <w:rFonts w:cs="Arial"/>
                <w:color w:val="000000"/>
              </w:rPr>
              <w:t>13</w:t>
            </w:r>
          </w:p>
        </w:tc>
        <w:tc>
          <w:tcPr>
            <w:tcW w:w="1134" w:type="dxa"/>
            <w:shd w:val="clear" w:color="auto" w:fill="FFFFFF"/>
            <w:noWrap/>
            <w:vAlign w:val="center"/>
          </w:tcPr>
          <w:p w14:paraId="34087792" w14:textId="77777777" w:rsidR="00692E71" w:rsidRPr="001E3185" w:rsidRDefault="00692E71" w:rsidP="008E0250">
            <w:pPr>
              <w:jc w:val="center"/>
              <w:rPr>
                <w:rFonts w:cs="Arial"/>
                <w:color w:val="000000"/>
              </w:rPr>
            </w:pPr>
            <w:r w:rsidRPr="001E3185">
              <w:rPr>
                <w:rFonts w:cs="Arial"/>
                <w:color w:val="000000"/>
              </w:rPr>
              <w:t>2.00</w:t>
            </w:r>
          </w:p>
        </w:tc>
        <w:tc>
          <w:tcPr>
            <w:tcW w:w="1134" w:type="dxa"/>
            <w:shd w:val="clear" w:color="auto" w:fill="FFFFFF"/>
            <w:noWrap/>
            <w:vAlign w:val="center"/>
          </w:tcPr>
          <w:p w14:paraId="43DFF8BA" w14:textId="77777777" w:rsidR="00692E71" w:rsidRPr="001E3185" w:rsidRDefault="00692E71" w:rsidP="008E0250">
            <w:pPr>
              <w:jc w:val="center"/>
              <w:rPr>
                <w:rFonts w:cs="Arial"/>
                <w:color w:val="000000"/>
              </w:rPr>
            </w:pPr>
            <w:r w:rsidRPr="001E3185">
              <w:rPr>
                <w:rFonts w:cs="Arial"/>
                <w:color w:val="000000"/>
              </w:rPr>
              <w:t>0.79</w:t>
            </w:r>
          </w:p>
        </w:tc>
        <w:tc>
          <w:tcPr>
            <w:tcW w:w="1134" w:type="dxa"/>
            <w:shd w:val="clear" w:color="auto" w:fill="FFFFFF"/>
            <w:vAlign w:val="center"/>
          </w:tcPr>
          <w:p w14:paraId="0255C580" w14:textId="77777777" w:rsidR="00692E71" w:rsidRPr="001E3185" w:rsidRDefault="00692E71" w:rsidP="008E0250">
            <w:pPr>
              <w:jc w:val="center"/>
              <w:rPr>
                <w:rFonts w:cs="Arial"/>
                <w:color w:val="000000"/>
              </w:rPr>
            </w:pPr>
            <w:r w:rsidRPr="001E3185">
              <w:rPr>
                <w:rFonts w:cs="Arial"/>
                <w:color w:val="000000"/>
              </w:rPr>
              <w:t>0.45</w:t>
            </w:r>
          </w:p>
        </w:tc>
        <w:tc>
          <w:tcPr>
            <w:tcW w:w="1276" w:type="dxa"/>
            <w:shd w:val="clear" w:color="auto" w:fill="FFFFFF"/>
            <w:vAlign w:val="center"/>
          </w:tcPr>
          <w:p w14:paraId="2F866F61" w14:textId="77777777" w:rsidR="00692E71" w:rsidRPr="001E3185" w:rsidRDefault="00692E71" w:rsidP="008E0250">
            <w:pPr>
              <w:jc w:val="center"/>
              <w:rPr>
                <w:rFonts w:cs="Arial"/>
              </w:rPr>
            </w:pPr>
            <w:r w:rsidRPr="001E3185">
              <w:rPr>
                <w:rFonts w:cs="Arial"/>
              </w:rPr>
              <w:t>16</w:t>
            </w:r>
          </w:p>
        </w:tc>
      </w:tr>
      <w:tr w:rsidR="00692E71" w:rsidRPr="001E3185" w14:paraId="09FD5CC7" w14:textId="77777777" w:rsidTr="008E0250">
        <w:trPr>
          <w:trHeight w:val="20"/>
          <w:jc w:val="center"/>
        </w:trPr>
        <w:tc>
          <w:tcPr>
            <w:tcW w:w="3614" w:type="dxa"/>
            <w:shd w:val="clear" w:color="auto" w:fill="FFFFFF"/>
            <w:noWrap/>
            <w:vAlign w:val="bottom"/>
          </w:tcPr>
          <w:p w14:paraId="6699A169"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2ED2390C" w14:textId="77777777" w:rsidR="00692E71" w:rsidRPr="001E3185" w:rsidRDefault="00692E71" w:rsidP="008E0250">
            <w:pPr>
              <w:jc w:val="center"/>
              <w:rPr>
                <w:rFonts w:cs="Arial"/>
                <w:color w:val="000000"/>
                <w:lang w:eastAsia="da-DK"/>
              </w:rPr>
            </w:pPr>
            <w:r w:rsidRPr="001E3185">
              <w:rPr>
                <w:rFonts w:cs="Arial"/>
                <w:color w:val="000000"/>
              </w:rPr>
              <w:t>25</w:t>
            </w:r>
          </w:p>
        </w:tc>
        <w:tc>
          <w:tcPr>
            <w:tcW w:w="1134" w:type="dxa"/>
            <w:shd w:val="clear" w:color="auto" w:fill="FFFFFF"/>
            <w:noWrap/>
            <w:vAlign w:val="center"/>
          </w:tcPr>
          <w:p w14:paraId="51E35D85" w14:textId="77777777" w:rsidR="00692E71" w:rsidRPr="001E3185" w:rsidRDefault="00692E71" w:rsidP="008E0250">
            <w:pPr>
              <w:jc w:val="center"/>
              <w:rPr>
                <w:rFonts w:cs="Arial"/>
                <w:color w:val="000000"/>
              </w:rPr>
            </w:pPr>
            <w:r w:rsidRPr="001E3185">
              <w:rPr>
                <w:rFonts w:cs="Arial"/>
                <w:color w:val="000000"/>
              </w:rPr>
              <w:t>5.04</w:t>
            </w:r>
          </w:p>
        </w:tc>
        <w:tc>
          <w:tcPr>
            <w:tcW w:w="1134" w:type="dxa"/>
            <w:shd w:val="clear" w:color="auto" w:fill="FFFFFF"/>
            <w:noWrap/>
            <w:vAlign w:val="center"/>
          </w:tcPr>
          <w:p w14:paraId="1A87A131" w14:textId="77777777" w:rsidR="00692E71" w:rsidRPr="001E3185" w:rsidRDefault="00692E71" w:rsidP="008E0250">
            <w:pPr>
              <w:jc w:val="center"/>
              <w:rPr>
                <w:rFonts w:cs="Arial"/>
                <w:color w:val="000000"/>
              </w:rPr>
            </w:pPr>
            <w:r w:rsidRPr="001E3185">
              <w:rPr>
                <w:rFonts w:cs="Arial"/>
                <w:color w:val="000000"/>
              </w:rPr>
              <w:t>1.89</w:t>
            </w:r>
          </w:p>
        </w:tc>
        <w:tc>
          <w:tcPr>
            <w:tcW w:w="1134" w:type="dxa"/>
            <w:shd w:val="clear" w:color="auto" w:fill="FFFFFF"/>
            <w:vAlign w:val="center"/>
          </w:tcPr>
          <w:p w14:paraId="603FA187" w14:textId="77777777" w:rsidR="00692E71" w:rsidRPr="001E3185" w:rsidRDefault="00692E71" w:rsidP="008E0250">
            <w:pPr>
              <w:jc w:val="center"/>
              <w:rPr>
                <w:rFonts w:cs="Arial"/>
                <w:color w:val="000000"/>
              </w:rPr>
            </w:pPr>
            <w:r w:rsidRPr="001E3185">
              <w:rPr>
                <w:rFonts w:cs="Arial"/>
                <w:color w:val="000000"/>
              </w:rPr>
              <w:t>0.58</w:t>
            </w:r>
          </w:p>
        </w:tc>
        <w:tc>
          <w:tcPr>
            <w:tcW w:w="1276" w:type="dxa"/>
            <w:shd w:val="clear" w:color="auto" w:fill="FFFFFF"/>
            <w:vAlign w:val="center"/>
          </w:tcPr>
          <w:p w14:paraId="042491E3" w14:textId="77777777" w:rsidR="00692E71" w:rsidRPr="001E3185" w:rsidRDefault="00692E71" w:rsidP="008E0250">
            <w:pPr>
              <w:jc w:val="center"/>
              <w:rPr>
                <w:rFonts w:cs="Arial"/>
              </w:rPr>
            </w:pPr>
            <w:r w:rsidRPr="001E3185">
              <w:rPr>
                <w:rFonts w:cs="Arial"/>
              </w:rPr>
              <w:t>32</w:t>
            </w:r>
          </w:p>
        </w:tc>
      </w:tr>
      <w:tr w:rsidR="00692E71" w:rsidRPr="001E3185" w14:paraId="79B3338E" w14:textId="77777777" w:rsidTr="008E0250">
        <w:trPr>
          <w:trHeight w:val="20"/>
          <w:jc w:val="center"/>
        </w:trPr>
        <w:tc>
          <w:tcPr>
            <w:tcW w:w="3614" w:type="dxa"/>
            <w:shd w:val="clear" w:color="auto" w:fill="FFFFFF"/>
            <w:noWrap/>
            <w:vAlign w:val="bottom"/>
          </w:tcPr>
          <w:p w14:paraId="57DCF151" w14:textId="77777777" w:rsidR="00692E71" w:rsidRPr="001E3185" w:rsidRDefault="00692E71" w:rsidP="008E0250">
            <w:pPr>
              <w:rPr>
                <w:rFonts w:cs="Arial"/>
                <w:b/>
                <w:lang w:eastAsia="da-DK"/>
              </w:rPr>
            </w:pPr>
          </w:p>
        </w:tc>
        <w:tc>
          <w:tcPr>
            <w:tcW w:w="992" w:type="dxa"/>
            <w:shd w:val="clear" w:color="auto" w:fill="FFFFFF"/>
            <w:noWrap/>
            <w:vAlign w:val="center"/>
          </w:tcPr>
          <w:p w14:paraId="5222A503"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16215635"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17F4FB3C" w14:textId="77777777" w:rsidR="00692E71" w:rsidRPr="001E3185" w:rsidRDefault="00692E71" w:rsidP="008E0250">
            <w:pPr>
              <w:jc w:val="center"/>
              <w:rPr>
                <w:rFonts w:cs="Arial"/>
                <w:lang w:eastAsia="da-DK"/>
              </w:rPr>
            </w:pPr>
          </w:p>
        </w:tc>
        <w:tc>
          <w:tcPr>
            <w:tcW w:w="1134" w:type="dxa"/>
            <w:shd w:val="clear" w:color="auto" w:fill="FFFFFF"/>
            <w:vAlign w:val="center"/>
          </w:tcPr>
          <w:p w14:paraId="2C56E751" w14:textId="77777777" w:rsidR="00692E71" w:rsidRPr="001E3185" w:rsidRDefault="00692E71" w:rsidP="008E0250">
            <w:pPr>
              <w:jc w:val="center"/>
              <w:rPr>
                <w:rFonts w:cs="Arial"/>
                <w:lang w:eastAsia="da-DK"/>
              </w:rPr>
            </w:pPr>
          </w:p>
        </w:tc>
        <w:tc>
          <w:tcPr>
            <w:tcW w:w="1276" w:type="dxa"/>
            <w:shd w:val="clear" w:color="auto" w:fill="FFFFFF"/>
            <w:vAlign w:val="center"/>
          </w:tcPr>
          <w:p w14:paraId="1CF4E2F3" w14:textId="77777777" w:rsidR="00692E71" w:rsidRPr="001E3185" w:rsidRDefault="00692E71" w:rsidP="008E0250">
            <w:pPr>
              <w:jc w:val="center"/>
              <w:rPr>
                <w:rFonts w:cs="Arial"/>
              </w:rPr>
            </w:pPr>
          </w:p>
        </w:tc>
      </w:tr>
      <w:tr w:rsidR="00692E71" w:rsidRPr="001E3185" w14:paraId="1E5ED504" w14:textId="77777777" w:rsidTr="008E0250">
        <w:trPr>
          <w:trHeight w:val="20"/>
          <w:jc w:val="center"/>
        </w:trPr>
        <w:tc>
          <w:tcPr>
            <w:tcW w:w="3614" w:type="dxa"/>
            <w:shd w:val="clear" w:color="auto" w:fill="FFFFFF"/>
            <w:noWrap/>
            <w:vAlign w:val="bottom"/>
          </w:tcPr>
          <w:p w14:paraId="6ACDC006" w14:textId="77777777" w:rsidR="00692E71" w:rsidRPr="001E3185" w:rsidRDefault="00692E71" w:rsidP="008E0250">
            <w:pPr>
              <w:rPr>
                <w:rFonts w:cs="Arial"/>
                <w:b/>
                <w:lang w:eastAsia="da-DK"/>
              </w:rPr>
            </w:pPr>
            <w:r w:rsidRPr="001E3185">
              <w:rPr>
                <w:rFonts w:cs="Arial"/>
                <w:lang w:eastAsia="da-DK"/>
              </w:rPr>
              <w:t>PEC/PNEC local with removal Time 1 (30 days)</w:t>
            </w:r>
          </w:p>
        </w:tc>
        <w:tc>
          <w:tcPr>
            <w:tcW w:w="992" w:type="dxa"/>
            <w:shd w:val="clear" w:color="auto" w:fill="FFFFFF"/>
            <w:noWrap/>
            <w:vAlign w:val="center"/>
          </w:tcPr>
          <w:p w14:paraId="724CA6AE" w14:textId="77777777" w:rsidR="00692E71" w:rsidRPr="001E3185" w:rsidRDefault="00692E71" w:rsidP="008E0250">
            <w:pPr>
              <w:jc w:val="center"/>
              <w:rPr>
                <w:rFonts w:cs="Arial"/>
                <w:color w:val="000000"/>
                <w:lang w:eastAsia="da-DK"/>
              </w:rPr>
            </w:pPr>
            <w:r w:rsidRPr="001E3185">
              <w:rPr>
                <w:rFonts w:cs="Arial"/>
                <w:color w:val="000000"/>
              </w:rPr>
              <w:t>0.01</w:t>
            </w:r>
          </w:p>
        </w:tc>
        <w:tc>
          <w:tcPr>
            <w:tcW w:w="1134" w:type="dxa"/>
            <w:shd w:val="clear" w:color="auto" w:fill="FFFFFF"/>
            <w:noWrap/>
            <w:vAlign w:val="center"/>
          </w:tcPr>
          <w:p w14:paraId="01A34ED6" w14:textId="77777777" w:rsidR="00692E71" w:rsidRPr="001E3185" w:rsidRDefault="00692E71" w:rsidP="008E0250">
            <w:pPr>
              <w:jc w:val="center"/>
              <w:rPr>
                <w:rFonts w:cs="Arial"/>
                <w:color w:val="000000"/>
              </w:rPr>
            </w:pPr>
            <w:r w:rsidRPr="001E3185">
              <w:rPr>
                <w:rFonts w:cs="Arial"/>
                <w:color w:val="000000"/>
              </w:rPr>
              <w:t>1.78</w:t>
            </w:r>
          </w:p>
        </w:tc>
        <w:tc>
          <w:tcPr>
            <w:tcW w:w="1134" w:type="dxa"/>
            <w:shd w:val="clear" w:color="auto" w:fill="FFFFFF"/>
            <w:noWrap/>
            <w:vAlign w:val="center"/>
          </w:tcPr>
          <w:p w14:paraId="71141153" w14:textId="77777777" w:rsidR="00692E71" w:rsidRPr="001E3185" w:rsidRDefault="00692E71" w:rsidP="008E0250">
            <w:pPr>
              <w:jc w:val="center"/>
              <w:rPr>
                <w:rFonts w:cs="Arial"/>
                <w:color w:val="000000"/>
              </w:rPr>
            </w:pPr>
            <w:r w:rsidRPr="001E3185">
              <w:rPr>
                <w:rFonts w:cs="Arial"/>
                <w:color w:val="000000"/>
              </w:rPr>
              <w:t>0.66</w:t>
            </w:r>
          </w:p>
        </w:tc>
        <w:tc>
          <w:tcPr>
            <w:tcW w:w="1134" w:type="dxa"/>
            <w:shd w:val="clear" w:color="auto" w:fill="FFFFFF"/>
            <w:vAlign w:val="center"/>
          </w:tcPr>
          <w:p w14:paraId="29E99617" w14:textId="77777777" w:rsidR="00692E71" w:rsidRPr="001E3185" w:rsidRDefault="00692E71" w:rsidP="008E0250">
            <w:pPr>
              <w:jc w:val="center"/>
              <w:rPr>
                <w:rFonts w:cs="Arial"/>
                <w:color w:val="000000"/>
              </w:rPr>
            </w:pPr>
            <w:r w:rsidRPr="001E3185">
              <w:rPr>
                <w:rFonts w:cs="Arial"/>
                <w:color w:val="000000"/>
              </w:rPr>
              <w:t>0.13</w:t>
            </w:r>
          </w:p>
        </w:tc>
        <w:tc>
          <w:tcPr>
            <w:tcW w:w="1276" w:type="dxa"/>
            <w:shd w:val="clear" w:color="auto" w:fill="FFFFFF"/>
            <w:vAlign w:val="center"/>
          </w:tcPr>
          <w:p w14:paraId="012FB5D1" w14:textId="77777777" w:rsidR="00692E71" w:rsidRPr="001E3185" w:rsidRDefault="00692E71" w:rsidP="008E0250">
            <w:pPr>
              <w:jc w:val="center"/>
              <w:rPr>
                <w:rFonts w:cs="Arial"/>
              </w:rPr>
            </w:pPr>
            <w:r w:rsidRPr="001E3185">
              <w:rPr>
                <w:rFonts w:cs="Arial"/>
              </w:rPr>
              <w:t>2.58</w:t>
            </w:r>
          </w:p>
        </w:tc>
      </w:tr>
      <w:tr w:rsidR="00692E71" w:rsidRPr="001E3185" w14:paraId="5C61A750" w14:textId="77777777" w:rsidTr="008E0250">
        <w:trPr>
          <w:trHeight w:val="20"/>
          <w:jc w:val="center"/>
        </w:trPr>
        <w:tc>
          <w:tcPr>
            <w:tcW w:w="3614" w:type="dxa"/>
            <w:shd w:val="clear" w:color="auto" w:fill="FFFFFF"/>
            <w:noWrap/>
            <w:vAlign w:val="bottom"/>
          </w:tcPr>
          <w:p w14:paraId="371EB5E0" w14:textId="77777777" w:rsidR="00692E71" w:rsidRPr="001E3185" w:rsidRDefault="00692E71" w:rsidP="008E0250">
            <w:pPr>
              <w:rPr>
                <w:rFonts w:cs="Arial"/>
                <w:b/>
                <w:lang w:eastAsia="da-DK"/>
              </w:rPr>
            </w:pPr>
            <w:r w:rsidRPr="001E3185">
              <w:rPr>
                <w:rFonts w:cs="Arial"/>
                <w:lang w:eastAsia="da-DK"/>
              </w:rPr>
              <w:t>PEC/PNEC local with removal Time 2 (1825 days)</w:t>
            </w:r>
          </w:p>
        </w:tc>
        <w:tc>
          <w:tcPr>
            <w:tcW w:w="992" w:type="dxa"/>
            <w:shd w:val="clear" w:color="auto" w:fill="FFFFFF"/>
            <w:noWrap/>
            <w:vAlign w:val="center"/>
          </w:tcPr>
          <w:p w14:paraId="303412ED" w14:textId="77777777" w:rsidR="00692E71" w:rsidRPr="001E3185" w:rsidRDefault="00692E71" w:rsidP="008E0250">
            <w:pPr>
              <w:jc w:val="center"/>
              <w:rPr>
                <w:rFonts w:cs="Arial"/>
                <w:color w:val="000000"/>
                <w:lang w:eastAsia="da-DK"/>
              </w:rPr>
            </w:pPr>
            <w:r w:rsidRPr="001E3185">
              <w:rPr>
                <w:rFonts w:cs="Arial"/>
                <w:color w:val="000000"/>
              </w:rPr>
              <w:t>2.0*10</w:t>
            </w:r>
            <w:r w:rsidRPr="001E3185">
              <w:rPr>
                <w:rFonts w:cs="Arial"/>
                <w:color w:val="000000"/>
                <w:vertAlign w:val="superscript"/>
              </w:rPr>
              <w:t>-4</w:t>
            </w:r>
          </w:p>
        </w:tc>
        <w:tc>
          <w:tcPr>
            <w:tcW w:w="1134" w:type="dxa"/>
            <w:shd w:val="clear" w:color="auto" w:fill="FFFFFF"/>
            <w:noWrap/>
            <w:vAlign w:val="center"/>
          </w:tcPr>
          <w:p w14:paraId="58C6E743" w14:textId="77777777" w:rsidR="00692E71" w:rsidRPr="001E3185" w:rsidRDefault="00692E71" w:rsidP="008E0250">
            <w:pPr>
              <w:jc w:val="center"/>
              <w:rPr>
                <w:rFonts w:cs="Arial"/>
                <w:color w:val="000000"/>
              </w:rPr>
            </w:pPr>
            <w:r w:rsidRPr="001E3185">
              <w:rPr>
                <w:rFonts w:cs="Arial"/>
                <w:color w:val="000000"/>
              </w:rPr>
              <w:t>0.31</w:t>
            </w:r>
          </w:p>
        </w:tc>
        <w:tc>
          <w:tcPr>
            <w:tcW w:w="1134" w:type="dxa"/>
            <w:shd w:val="clear" w:color="auto" w:fill="FFFFFF"/>
            <w:noWrap/>
            <w:vAlign w:val="center"/>
          </w:tcPr>
          <w:p w14:paraId="61A2D506" w14:textId="77777777" w:rsidR="00692E71" w:rsidRPr="001E3185" w:rsidRDefault="00692E71" w:rsidP="008E0250">
            <w:pPr>
              <w:jc w:val="center"/>
              <w:rPr>
                <w:rFonts w:cs="Arial"/>
                <w:color w:val="000000"/>
              </w:rPr>
            </w:pPr>
            <w:r w:rsidRPr="001E3185">
              <w:rPr>
                <w:rFonts w:cs="Arial"/>
                <w:color w:val="000000"/>
              </w:rPr>
              <w:t>0.07</w:t>
            </w:r>
          </w:p>
        </w:tc>
        <w:tc>
          <w:tcPr>
            <w:tcW w:w="1134" w:type="dxa"/>
            <w:shd w:val="clear" w:color="auto" w:fill="FFFFFF"/>
            <w:vAlign w:val="center"/>
          </w:tcPr>
          <w:p w14:paraId="3ED31F4C" w14:textId="77777777" w:rsidR="00692E71" w:rsidRPr="001E3185" w:rsidRDefault="00692E71" w:rsidP="008E0250">
            <w:pPr>
              <w:jc w:val="center"/>
              <w:rPr>
                <w:rFonts w:cs="Arial"/>
                <w:color w:val="000000"/>
              </w:rPr>
            </w:pPr>
            <w:r w:rsidRPr="001E3185">
              <w:rPr>
                <w:rFonts w:cs="Arial"/>
                <w:color w:val="000000"/>
              </w:rPr>
              <w:t>1.7*10</w:t>
            </w:r>
            <w:r w:rsidRPr="001E3185">
              <w:rPr>
                <w:rFonts w:cs="Arial"/>
                <w:color w:val="000000"/>
                <w:vertAlign w:val="superscript"/>
              </w:rPr>
              <w:t>-3</w:t>
            </w:r>
          </w:p>
        </w:tc>
        <w:tc>
          <w:tcPr>
            <w:tcW w:w="1276" w:type="dxa"/>
            <w:shd w:val="clear" w:color="auto" w:fill="FFFFFF"/>
            <w:vAlign w:val="center"/>
          </w:tcPr>
          <w:p w14:paraId="44647176" w14:textId="77777777" w:rsidR="00692E71" w:rsidRPr="001E3185" w:rsidRDefault="00692E71" w:rsidP="008E0250">
            <w:pPr>
              <w:jc w:val="center"/>
              <w:rPr>
                <w:rFonts w:cs="Arial"/>
              </w:rPr>
            </w:pPr>
            <w:r w:rsidRPr="001E3185">
              <w:rPr>
                <w:rFonts w:cs="Arial"/>
              </w:rPr>
              <w:t>0.38</w:t>
            </w:r>
          </w:p>
        </w:tc>
      </w:tr>
      <w:tr w:rsidR="00692E71" w:rsidRPr="001E3185" w14:paraId="4A0AED0E" w14:textId="77777777" w:rsidTr="008E0250">
        <w:trPr>
          <w:trHeight w:val="20"/>
          <w:jc w:val="center"/>
        </w:trPr>
        <w:tc>
          <w:tcPr>
            <w:tcW w:w="3614" w:type="dxa"/>
            <w:shd w:val="clear" w:color="auto" w:fill="FFFFFF"/>
            <w:noWrap/>
            <w:vAlign w:val="bottom"/>
          </w:tcPr>
          <w:p w14:paraId="295C9409" w14:textId="77777777" w:rsidR="00692E71" w:rsidRPr="001E3185" w:rsidRDefault="00692E71" w:rsidP="008E0250">
            <w:pPr>
              <w:rPr>
                <w:rFonts w:cs="Arial"/>
                <w:b/>
                <w:lang w:eastAsia="da-DK"/>
              </w:rPr>
            </w:pPr>
            <w:r w:rsidRPr="001E3185">
              <w:rPr>
                <w:rFonts w:cs="Arial"/>
                <w:b/>
                <w:lang w:eastAsia="da-DK"/>
              </w:rPr>
              <w:t>Fence (brushing, soil)</w:t>
            </w:r>
          </w:p>
        </w:tc>
        <w:tc>
          <w:tcPr>
            <w:tcW w:w="992" w:type="dxa"/>
            <w:shd w:val="clear" w:color="auto" w:fill="FFFFFF"/>
            <w:noWrap/>
            <w:vAlign w:val="center"/>
          </w:tcPr>
          <w:p w14:paraId="5FA7ED4B"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48472FC9" w14:textId="77777777" w:rsidR="00692E71" w:rsidRPr="001E3185" w:rsidRDefault="00692E71" w:rsidP="008E0250">
            <w:pPr>
              <w:jc w:val="center"/>
              <w:rPr>
                <w:rFonts w:cs="Arial"/>
              </w:rPr>
            </w:pPr>
          </w:p>
        </w:tc>
        <w:tc>
          <w:tcPr>
            <w:tcW w:w="1134" w:type="dxa"/>
            <w:shd w:val="clear" w:color="auto" w:fill="FFFFFF"/>
            <w:noWrap/>
            <w:vAlign w:val="center"/>
          </w:tcPr>
          <w:p w14:paraId="6E010E2E" w14:textId="77777777" w:rsidR="00692E71" w:rsidRPr="001E3185" w:rsidRDefault="00692E71" w:rsidP="008E0250">
            <w:pPr>
              <w:jc w:val="center"/>
              <w:rPr>
                <w:rFonts w:cs="Arial"/>
              </w:rPr>
            </w:pPr>
          </w:p>
        </w:tc>
        <w:tc>
          <w:tcPr>
            <w:tcW w:w="1134" w:type="dxa"/>
            <w:shd w:val="clear" w:color="auto" w:fill="FFFFFF"/>
            <w:vAlign w:val="center"/>
          </w:tcPr>
          <w:p w14:paraId="3989E496" w14:textId="77777777" w:rsidR="00692E71" w:rsidRPr="001E3185" w:rsidRDefault="00692E71" w:rsidP="008E0250">
            <w:pPr>
              <w:jc w:val="center"/>
              <w:rPr>
                <w:rFonts w:cs="Arial"/>
              </w:rPr>
            </w:pPr>
          </w:p>
        </w:tc>
        <w:tc>
          <w:tcPr>
            <w:tcW w:w="1276" w:type="dxa"/>
            <w:shd w:val="clear" w:color="auto" w:fill="FFFFFF"/>
            <w:vAlign w:val="center"/>
          </w:tcPr>
          <w:p w14:paraId="7A131B4A" w14:textId="77777777" w:rsidR="00692E71" w:rsidRPr="001E3185" w:rsidRDefault="00692E71" w:rsidP="008E0250">
            <w:pPr>
              <w:jc w:val="center"/>
              <w:rPr>
                <w:rFonts w:cs="Arial"/>
              </w:rPr>
            </w:pPr>
          </w:p>
        </w:tc>
      </w:tr>
      <w:tr w:rsidR="00692E71" w:rsidRPr="001E3185" w14:paraId="1F87A910" w14:textId="77777777" w:rsidTr="008E0250">
        <w:trPr>
          <w:trHeight w:val="20"/>
          <w:jc w:val="center"/>
        </w:trPr>
        <w:tc>
          <w:tcPr>
            <w:tcW w:w="3614" w:type="dxa"/>
            <w:shd w:val="clear" w:color="auto" w:fill="FFFFFF"/>
            <w:noWrap/>
            <w:vAlign w:val="bottom"/>
          </w:tcPr>
          <w:p w14:paraId="2034FFA4" w14:textId="77777777" w:rsidR="00692E71" w:rsidRPr="001E3185" w:rsidRDefault="00692E71" w:rsidP="008E0250">
            <w:pPr>
              <w:rPr>
                <w:rFonts w:cs="Arial"/>
                <w:b/>
                <w:lang w:eastAsia="da-DK"/>
              </w:rPr>
            </w:pPr>
            <w:r w:rsidRPr="001E3185">
              <w:rPr>
                <w:rFonts w:cs="Arial"/>
                <w:lang w:eastAsia="da-DK"/>
              </w:rPr>
              <w:t>PEC/PNEC local without removal Time 1</w:t>
            </w:r>
          </w:p>
        </w:tc>
        <w:tc>
          <w:tcPr>
            <w:tcW w:w="992" w:type="dxa"/>
            <w:shd w:val="clear" w:color="auto" w:fill="FFFFFF"/>
            <w:noWrap/>
            <w:vAlign w:val="center"/>
          </w:tcPr>
          <w:p w14:paraId="2C3FE9FB" w14:textId="77777777" w:rsidR="00692E71" w:rsidRPr="001E3185" w:rsidRDefault="00692E71" w:rsidP="008E0250">
            <w:pPr>
              <w:jc w:val="center"/>
              <w:rPr>
                <w:rFonts w:cs="Arial"/>
                <w:color w:val="000000"/>
                <w:lang w:eastAsia="da-DK"/>
              </w:rPr>
            </w:pPr>
            <w:r w:rsidRPr="001E3185">
              <w:rPr>
                <w:rFonts w:cs="Arial"/>
                <w:color w:val="000000"/>
              </w:rPr>
              <w:t>11</w:t>
            </w:r>
          </w:p>
        </w:tc>
        <w:tc>
          <w:tcPr>
            <w:tcW w:w="1134" w:type="dxa"/>
            <w:shd w:val="clear" w:color="auto" w:fill="FFFFFF"/>
            <w:noWrap/>
            <w:vAlign w:val="center"/>
          </w:tcPr>
          <w:p w14:paraId="2B000CE4" w14:textId="77777777" w:rsidR="00692E71" w:rsidRPr="001E3185" w:rsidRDefault="00692E71" w:rsidP="008E0250">
            <w:pPr>
              <w:jc w:val="center"/>
              <w:rPr>
                <w:rFonts w:cs="Arial"/>
                <w:color w:val="000000"/>
              </w:rPr>
            </w:pPr>
            <w:r w:rsidRPr="001E3185">
              <w:rPr>
                <w:rFonts w:cs="Arial"/>
                <w:color w:val="000000"/>
              </w:rPr>
              <w:t>1.67</w:t>
            </w:r>
          </w:p>
        </w:tc>
        <w:tc>
          <w:tcPr>
            <w:tcW w:w="1134" w:type="dxa"/>
            <w:shd w:val="clear" w:color="auto" w:fill="FFFFFF"/>
            <w:noWrap/>
            <w:vAlign w:val="center"/>
          </w:tcPr>
          <w:p w14:paraId="3BFB3DFA" w14:textId="77777777" w:rsidR="00692E71" w:rsidRPr="001E3185" w:rsidRDefault="00692E71" w:rsidP="008E0250">
            <w:pPr>
              <w:jc w:val="center"/>
              <w:rPr>
                <w:rFonts w:cs="Arial"/>
                <w:color w:val="000000"/>
              </w:rPr>
            </w:pPr>
            <w:r w:rsidRPr="001E3185">
              <w:rPr>
                <w:rFonts w:cs="Arial"/>
                <w:color w:val="000000"/>
              </w:rPr>
              <w:t>0.66</w:t>
            </w:r>
          </w:p>
        </w:tc>
        <w:tc>
          <w:tcPr>
            <w:tcW w:w="1134" w:type="dxa"/>
            <w:shd w:val="clear" w:color="auto" w:fill="FFFFFF"/>
            <w:vAlign w:val="center"/>
          </w:tcPr>
          <w:p w14:paraId="30856DAC" w14:textId="77777777" w:rsidR="00692E71" w:rsidRPr="001E3185" w:rsidRDefault="00692E71" w:rsidP="008E0250">
            <w:pPr>
              <w:jc w:val="center"/>
              <w:rPr>
                <w:rFonts w:cs="Arial"/>
                <w:color w:val="000000"/>
              </w:rPr>
            </w:pPr>
            <w:r w:rsidRPr="001E3185">
              <w:rPr>
                <w:rFonts w:cs="Arial"/>
                <w:color w:val="000000"/>
              </w:rPr>
              <w:t>0.38</w:t>
            </w:r>
          </w:p>
        </w:tc>
        <w:tc>
          <w:tcPr>
            <w:tcW w:w="1276" w:type="dxa"/>
            <w:shd w:val="clear" w:color="auto" w:fill="FFFFFF"/>
            <w:vAlign w:val="center"/>
          </w:tcPr>
          <w:p w14:paraId="09CD2EC3" w14:textId="77777777" w:rsidR="00692E71" w:rsidRPr="001E3185" w:rsidRDefault="00692E71" w:rsidP="008E0250">
            <w:pPr>
              <w:jc w:val="center"/>
              <w:rPr>
                <w:rFonts w:cs="Arial"/>
              </w:rPr>
            </w:pPr>
            <w:r w:rsidRPr="001E3185">
              <w:rPr>
                <w:rFonts w:cs="Arial"/>
              </w:rPr>
              <w:t>13</w:t>
            </w:r>
          </w:p>
        </w:tc>
      </w:tr>
      <w:tr w:rsidR="00692E71" w:rsidRPr="001E3185" w14:paraId="502A4821" w14:textId="77777777" w:rsidTr="008E0250">
        <w:trPr>
          <w:trHeight w:val="20"/>
          <w:jc w:val="center"/>
        </w:trPr>
        <w:tc>
          <w:tcPr>
            <w:tcW w:w="3614" w:type="dxa"/>
            <w:shd w:val="clear" w:color="auto" w:fill="FFFFFF"/>
            <w:noWrap/>
            <w:vAlign w:val="bottom"/>
          </w:tcPr>
          <w:p w14:paraId="326D8376"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2E5905A2" w14:textId="77777777" w:rsidR="00692E71" w:rsidRPr="001E3185" w:rsidRDefault="00692E71" w:rsidP="008E0250">
            <w:pPr>
              <w:jc w:val="center"/>
              <w:rPr>
                <w:rFonts w:cs="Arial"/>
                <w:color w:val="000000"/>
                <w:lang w:eastAsia="da-DK"/>
              </w:rPr>
            </w:pPr>
            <w:r w:rsidRPr="001E3185">
              <w:rPr>
                <w:rFonts w:cs="Arial"/>
                <w:color w:val="000000"/>
              </w:rPr>
              <w:t>21</w:t>
            </w:r>
          </w:p>
        </w:tc>
        <w:tc>
          <w:tcPr>
            <w:tcW w:w="1134" w:type="dxa"/>
            <w:shd w:val="clear" w:color="auto" w:fill="FFFFFF"/>
            <w:noWrap/>
            <w:vAlign w:val="center"/>
          </w:tcPr>
          <w:p w14:paraId="2839E16F" w14:textId="77777777" w:rsidR="00692E71" w:rsidRPr="001E3185" w:rsidRDefault="00692E71" w:rsidP="008E0250">
            <w:pPr>
              <w:jc w:val="center"/>
              <w:rPr>
                <w:rFonts w:cs="Arial"/>
                <w:color w:val="000000"/>
              </w:rPr>
            </w:pPr>
            <w:r w:rsidRPr="001E3185">
              <w:rPr>
                <w:rFonts w:cs="Arial"/>
                <w:color w:val="000000"/>
              </w:rPr>
              <w:t>4.19</w:t>
            </w:r>
          </w:p>
        </w:tc>
        <w:tc>
          <w:tcPr>
            <w:tcW w:w="1134" w:type="dxa"/>
            <w:shd w:val="clear" w:color="auto" w:fill="FFFFFF"/>
            <w:noWrap/>
            <w:vAlign w:val="center"/>
          </w:tcPr>
          <w:p w14:paraId="4F8A2109" w14:textId="77777777" w:rsidR="00692E71" w:rsidRPr="001E3185" w:rsidRDefault="00692E71" w:rsidP="008E0250">
            <w:pPr>
              <w:jc w:val="center"/>
              <w:rPr>
                <w:rFonts w:cs="Arial"/>
                <w:color w:val="000000"/>
              </w:rPr>
            </w:pPr>
            <w:r w:rsidRPr="001E3185">
              <w:rPr>
                <w:rFonts w:cs="Arial"/>
                <w:color w:val="000000"/>
              </w:rPr>
              <w:t>1.58</w:t>
            </w:r>
          </w:p>
        </w:tc>
        <w:tc>
          <w:tcPr>
            <w:tcW w:w="1134" w:type="dxa"/>
            <w:shd w:val="clear" w:color="auto" w:fill="FFFFFF"/>
            <w:vAlign w:val="center"/>
          </w:tcPr>
          <w:p w14:paraId="01223B94" w14:textId="77777777" w:rsidR="00692E71" w:rsidRPr="001E3185" w:rsidRDefault="00692E71" w:rsidP="008E0250">
            <w:pPr>
              <w:jc w:val="center"/>
              <w:rPr>
                <w:rFonts w:cs="Arial"/>
                <w:color w:val="000000"/>
              </w:rPr>
            </w:pPr>
            <w:r w:rsidRPr="001E3185">
              <w:rPr>
                <w:rFonts w:cs="Arial"/>
                <w:color w:val="000000"/>
              </w:rPr>
              <w:t>0.48</w:t>
            </w:r>
          </w:p>
        </w:tc>
        <w:tc>
          <w:tcPr>
            <w:tcW w:w="1276" w:type="dxa"/>
            <w:shd w:val="clear" w:color="auto" w:fill="FFFFFF"/>
            <w:vAlign w:val="center"/>
          </w:tcPr>
          <w:p w14:paraId="1954400F" w14:textId="77777777" w:rsidR="00692E71" w:rsidRPr="001E3185" w:rsidRDefault="00692E71" w:rsidP="008E0250">
            <w:pPr>
              <w:jc w:val="center"/>
              <w:rPr>
                <w:rFonts w:cs="Arial"/>
              </w:rPr>
            </w:pPr>
            <w:r w:rsidRPr="001E3185">
              <w:rPr>
                <w:rFonts w:cs="Arial"/>
              </w:rPr>
              <w:t>27</w:t>
            </w:r>
          </w:p>
        </w:tc>
      </w:tr>
      <w:tr w:rsidR="00692E71" w:rsidRPr="001E3185" w14:paraId="494A8FAD" w14:textId="77777777" w:rsidTr="008E0250">
        <w:trPr>
          <w:trHeight w:val="20"/>
          <w:jc w:val="center"/>
        </w:trPr>
        <w:tc>
          <w:tcPr>
            <w:tcW w:w="3614" w:type="dxa"/>
            <w:shd w:val="clear" w:color="auto" w:fill="FFFFFF"/>
            <w:noWrap/>
            <w:vAlign w:val="bottom"/>
          </w:tcPr>
          <w:p w14:paraId="011E06AD" w14:textId="77777777" w:rsidR="00692E71" w:rsidRPr="001E3185" w:rsidRDefault="00692E71" w:rsidP="008E0250">
            <w:pPr>
              <w:rPr>
                <w:rFonts w:cs="Arial"/>
                <w:b/>
                <w:lang w:eastAsia="da-DK"/>
              </w:rPr>
            </w:pPr>
          </w:p>
        </w:tc>
        <w:tc>
          <w:tcPr>
            <w:tcW w:w="992" w:type="dxa"/>
            <w:shd w:val="clear" w:color="auto" w:fill="FFFFFF"/>
            <w:noWrap/>
            <w:vAlign w:val="center"/>
          </w:tcPr>
          <w:p w14:paraId="77F2CD32"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8B6F9C4" w14:textId="77777777" w:rsidR="00692E71" w:rsidRPr="001E3185" w:rsidRDefault="00692E71" w:rsidP="008E0250">
            <w:pPr>
              <w:jc w:val="center"/>
              <w:rPr>
                <w:rFonts w:cs="Arial"/>
              </w:rPr>
            </w:pPr>
          </w:p>
        </w:tc>
        <w:tc>
          <w:tcPr>
            <w:tcW w:w="1134" w:type="dxa"/>
            <w:shd w:val="clear" w:color="auto" w:fill="FFFFFF"/>
            <w:noWrap/>
            <w:vAlign w:val="center"/>
          </w:tcPr>
          <w:p w14:paraId="5E98AA4B" w14:textId="77777777" w:rsidR="00692E71" w:rsidRPr="001E3185" w:rsidRDefault="00692E71" w:rsidP="008E0250">
            <w:pPr>
              <w:jc w:val="center"/>
              <w:rPr>
                <w:rFonts w:cs="Arial"/>
              </w:rPr>
            </w:pPr>
          </w:p>
        </w:tc>
        <w:tc>
          <w:tcPr>
            <w:tcW w:w="1134" w:type="dxa"/>
            <w:shd w:val="clear" w:color="auto" w:fill="FFFFFF"/>
            <w:vAlign w:val="center"/>
          </w:tcPr>
          <w:p w14:paraId="21C9F423" w14:textId="77777777" w:rsidR="00692E71" w:rsidRPr="001E3185" w:rsidRDefault="00692E71" w:rsidP="008E0250">
            <w:pPr>
              <w:jc w:val="center"/>
              <w:rPr>
                <w:rFonts w:cs="Arial"/>
              </w:rPr>
            </w:pPr>
          </w:p>
        </w:tc>
        <w:tc>
          <w:tcPr>
            <w:tcW w:w="1276" w:type="dxa"/>
            <w:shd w:val="clear" w:color="auto" w:fill="FFFFFF"/>
            <w:vAlign w:val="center"/>
          </w:tcPr>
          <w:p w14:paraId="5BA7A3FA" w14:textId="77777777" w:rsidR="00692E71" w:rsidRPr="001E3185" w:rsidRDefault="00692E71" w:rsidP="008E0250">
            <w:pPr>
              <w:jc w:val="center"/>
              <w:rPr>
                <w:rFonts w:cs="Arial"/>
              </w:rPr>
            </w:pPr>
          </w:p>
        </w:tc>
      </w:tr>
      <w:tr w:rsidR="00692E71" w:rsidRPr="001E3185" w14:paraId="6068B879" w14:textId="77777777" w:rsidTr="008E0250">
        <w:trPr>
          <w:trHeight w:val="20"/>
          <w:jc w:val="center"/>
        </w:trPr>
        <w:tc>
          <w:tcPr>
            <w:tcW w:w="3614" w:type="dxa"/>
            <w:shd w:val="clear" w:color="auto" w:fill="FFFFFF"/>
            <w:noWrap/>
            <w:vAlign w:val="bottom"/>
          </w:tcPr>
          <w:p w14:paraId="4C76C23A" w14:textId="77777777" w:rsidR="00692E71" w:rsidRPr="001E3185" w:rsidRDefault="00692E71" w:rsidP="008E0250">
            <w:pPr>
              <w:rPr>
                <w:rFonts w:cs="Arial"/>
                <w:b/>
                <w:lang w:eastAsia="da-DK"/>
              </w:rPr>
            </w:pPr>
            <w:r w:rsidRPr="001E3185">
              <w:rPr>
                <w:rFonts w:cs="Arial"/>
                <w:lang w:eastAsia="da-DK"/>
              </w:rPr>
              <w:t>PEC/PNEC local with removal Time 1 (30 days)</w:t>
            </w:r>
          </w:p>
        </w:tc>
        <w:tc>
          <w:tcPr>
            <w:tcW w:w="992" w:type="dxa"/>
            <w:shd w:val="clear" w:color="auto" w:fill="FFFFFF"/>
            <w:noWrap/>
            <w:vAlign w:val="center"/>
          </w:tcPr>
          <w:p w14:paraId="030617DF" w14:textId="77777777" w:rsidR="00692E71" w:rsidRPr="001E3185" w:rsidRDefault="00692E71" w:rsidP="008E0250">
            <w:pPr>
              <w:jc w:val="center"/>
              <w:rPr>
                <w:rFonts w:cs="Arial"/>
                <w:color w:val="000000"/>
                <w:lang w:eastAsia="da-DK"/>
              </w:rPr>
            </w:pPr>
            <w:r w:rsidRPr="001E3185">
              <w:rPr>
                <w:rFonts w:cs="Arial"/>
                <w:color w:val="000000"/>
              </w:rPr>
              <w:t>0.01</w:t>
            </w:r>
          </w:p>
        </w:tc>
        <w:tc>
          <w:tcPr>
            <w:tcW w:w="1134" w:type="dxa"/>
            <w:shd w:val="clear" w:color="auto" w:fill="FFFFFF"/>
            <w:noWrap/>
            <w:vAlign w:val="center"/>
          </w:tcPr>
          <w:p w14:paraId="1BCE6F99" w14:textId="77777777" w:rsidR="00692E71" w:rsidRPr="001E3185" w:rsidRDefault="00692E71" w:rsidP="008E0250">
            <w:pPr>
              <w:jc w:val="center"/>
              <w:rPr>
                <w:rFonts w:cs="Arial"/>
                <w:color w:val="000000"/>
              </w:rPr>
            </w:pPr>
            <w:r w:rsidRPr="001E3185">
              <w:rPr>
                <w:rFonts w:cs="Arial"/>
                <w:color w:val="000000"/>
              </w:rPr>
              <w:t>1.48</w:t>
            </w:r>
          </w:p>
        </w:tc>
        <w:tc>
          <w:tcPr>
            <w:tcW w:w="1134" w:type="dxa"/>
            <w:shd w:val="clear" w:color="auto" w:fill="FFFFFF"/>
            <w:noWrap/>
            <w:vAlign w:val="center"/>
          </w:tcPr>
          <w:p w14:paraId="599C1327" w14:textId="77777777" w:rsidR="00692E71" w:rsidRPr="001E3185" w:rsidRDefault="00692E71" w:rsidP="008E0250">
            <w:pPr>
              <w:jc w:val="center"/>
              <w:rPr>
                <w:rFonts w:cs="Arial"/>
                <w:color w:val="000000"/>
              </w:rPr>
            </w:pPr>
            <w:r w:rsidRPr="001E3185">
              <w:rPr>
                <w:rFonts w:cs="Arial"/>
                <w:color w:val="000000"/>
              </w:rPr>
              <w:t>0.55</w:t>
            </w:r>
          </w:p>
        </w:tc>
        <w:tc>
          <w:tcPr>
            <w:tcW w:w="1134" w:type="dxa"/>
            <w:shd w:val="clear" w:color="auto" w:fill="FFFFFF"/>
            <w:vAlign w:val="center"/>
          </w:tcPr>
          <w:p w14:paraId="5397B674" w14:textId="77777777" w:rsidR="00692E71" w:rsidRPr="001E3185" w:rsidRDefault="00692E71" w:rsidP="008E0250">
            <w:pPr>
              <w:jc w:val="center"/>
              <w:rPr>
                <w:rFonts w:cs="Arial"/>
                <w:color w:val="000000"/>
              </w:rPr>
            </w:pPr>
            <w:r w:rsidRPr="001E3185">
              <w:rPr>
                <w:rFonts w:cs="Arial"/>
                <w:color w:val="000000"/>
              </w:rPr>
              <w:t>0.11</w:t>
            </w:r>
          </w:p>
        </w:tc>
        <w:tc>
          <w:tcPr>
            <w:tcW w:w="1276" w:type="dxa"/>
            <w:shd w:val="clear" w:color="auto" w:fill="FFFFFF"/>
            <w:vAlign w:val="center"/>
          </w:tcPr>
          <w:p w14:paraId="7E3F6092" w14:textId="77777777" w:rsidR="00692E71" w:rsidRPr="001E3185" w:rsidRDefault="00692E71" w:rsidP="008E0250">
            <w:pPr>
              <w:jc w:val="center"/>
              <w:rPr>
                <w:rFonts w:cs="Arial"/>
              </w:rPr>
            </w:pPr>
            <w:r w:rsidRPr="001E3185">
              <w:rPr>
                <w:rFonts w:cs="Arial"/>
              </w:rPr>
              <w:t>2.14</w:t>
            </w:r>
          </w:p>
        </w:tc>
      </w:tr>
      <w:tr w:rsidR="00692E71" w:rsidRPr="001E3185" w14:paraId="4B29A1CC" w14:textId="77777777" w:rsidTr="008E0250">
        <w:trPr>
          <w:trHeight w:val="20"/>
          <w:jc w:val="center"/>
        </w:trPr>
        <w:tc>
          <w:tcPr>
            <w:tcW w:w="3614" w:type="dxa"/>
            <w:shd w:val="clear" w:color="auto" w:fill="FFFFFF"/>
            <w:noWrap/>
            <w:vAlign w:val="bottom"/>
          </w:tcPr>
          <w:p w14:paraId="2C79E87A" w14:textId="77777777" w:rsidR="00692E71" w:rsidRPr="001E3185" w:rsidRDefault="00692E71" w:rsidP="008E0250">
            <w:pPr>
              <w:rPr>
                <w:rFonts w:cs="Arial"/>
                <w:b/>
                <w:lang w:eastAsia="da-DK"/>
              </w:rPr>
            </w:pPr>
            <w:r w:rsidRPr="001E3185">
              <w:rPr>
                <w:rFonts w:cs="Arial"/>
                <w:lang w:eastAsia="da-DK"/>
              </w:rPr>
              <w:t>PEC/PNEC local with removal Time 2 (1825 days)</w:t>
            </w:r>
          </w:p>
        </w:tc>
        <w:tc>
          <w:tcPr>
            <w:tcW w:w="992" w:type="dxa"/>
            <w:shd w:val="clear" w:color="auto" w:fill="FFFFFF"/>
            <w:noWrap/>
            <w:vAlign w:val="center"/>
          </w:tcPr>
          <w:p w14:paraId="5BD86716" w14:textId="77777777" w:rsidR="00692E71" w:rsidRPr="001E3185" w:rsidRDefault="00692E71" w:rsidP="008E0250">
            <w:pPr>
              <w:jc w:val="center"/>
              <w:rPr>
                <w:rFonts w:cs="Arial"/>
                <w:color w:val="000000"/>
                <w:lang w:eastAsia="da-DK"/>
              </w:rPr>
            </w:pPr>
            <w:r w:rsidRPr="001E3185">
              <w:rPr>
                <w:rFonts w:cs="Arial"/>
                <w:color w:val="000000"/>
              </w:rPr>
              <w:t>1.6*10</w:t>
            </w:r>
            <w:r w:rsidRPr="001E3185">
              <w:rPr>
                <w:rFonts w:cs="Arial"/>
                <w:color w:val="000000"/>
                <w:vertAlign w:val="superscript"/>
              </w:rPr>
              <w:t>-4</w:t>
            </w:r>
          </w:p>
        </w:tc>
        <w:tc>
          <w:tcPr>
            <w:tcW w:w="1134" w:type="dxa"/>
            <w:shd w:val="clear" w:color="auto" w:fill="FFFFFF"/>
            <w:noWrap/>
            <w:vAlign w:val="center"/>
          </w:tcPr>
          <w:p w14:paraId="17F79DDF" w14:textId="77777777" w:rsidR="00692E71" w:rsidRPr="001E3185" w:rsidRDefault="00692E71" w:rsidP="008E0250">
            <w:pPr>
              <w:jc w:val="center"/>
              <w:rPr>
                <w:rFonts w:cs="Arial"/>
                <w:color w:val="000000"/>
              </w:rPr>
            </w:pPr>
            <w:r w:rsidRPr="001E3185">
              <w:rPr>
                <w:rFonts w:cs="Arial"/>
                <w:color w:val="000000"/>
              </w:rPr>
              <w:t>0.26</w:t>
            </w:r>
          </w:p>
        </w:tc>
        <w:tc>
          <w:tcPr>
            <w:tcW w:w="1134" w:type="dxa"/>
            <w:shd w:val="clear" w:color="auto" w:fill="FFFFFF"/>
            <w:noWrap/>
            <w:vAlign w:val="center"/>
          </w:tcPr>
          <w:p w14:paraId="1170368D" w14:textId="77777777" w:rsidR="00692E71" w:rsidRPr="001E3185" w:rsidRDefault="00692E71" w:rsidP="008E0250">
            <w:pPr>
              <w:jc w:val="center"/>
              <w:rPr>
                <w:rFonts w:cs="Arial"/>
                <w:color w:val="000000"/>
              </w:rPr>
            </w:pPr>
            <w:r w:rsidRPr="001E3185">
              <w:rPr>
                <w:rFonts w:cs="Arial"/>
                <w:color w:val="000000"/>
              </w:rPr>
              <w:t>0.06</w:t>
            </w:r>
          </w:p>
        </w:tc>
        <w:tc>
          <w:tcPr>
            <w:tcW w:w="1134" w:type="dxa"/>
            <w:shd w:val="clear" w:color="auto" w:fill="FFFFFF"/>
            <w:vAlign w:val="center"/>
          </w:tcPr>
          <w:p w14:paraId="18E97E17" w14:textId="77777777" w:rsidR="00692E71" w:rsidRPr="001E3185" w:rsidRDefault="00692E71" w:rsidP="008E0250">
            <w:pPr>
              <w:jc w:val="center"/>
              <w:rPr>
                <w:rFonts w:cs="Arial"/>
                <w:color w:val="000000"/>
              </w:rPr>
            </w:pPr>
            <w:r w:rsidRPr="001E3185">
              <w:rPr>
                <w:rFonts w:cs="Arial"/>
                <w:color w:val="000000"/>
              </w:rPr>
              <w:t>1.4*10</w:t>
            </w:r>
            <w:r w:rsidRPr="001E3185">
              <w:rPr>
                <w:rFonts w:cs="Arial"/>
                <w:color w:val="000000"/>
                <w:vertAlign w:val="superscript"/>
              </w:rPr>
              <w:t>-3</w:t>
            </w:r>
          </w:p>
        </w:tc>
        <w:tc>
          <w:tcPr>
            <w:tcW w:w="1276" w:type="dxa"/>
            <w:shd w:val="clear" w:color="auto" w:fill="FFFFFF"/>
            <w:vAlign w:val="center"/>
          </w:tcPr>
          <w:p w14:paraId="5096FB0A" w14:textId="77777777" w:rsidR="00692E71" w:rsidRPr="001E3185" w:rsidRDefault="00692E71" w:rsidP="008E0250">
            <w:pPr>
              <w:jc w:val="center"/>
              <w:rPr>
                <w:rFonts w:cs="Arial"/>
              </w:rPr>
            </w:pPr>
            <w:r w:rsidRPr="001E3185">
              <w:rPr>
                <w:rFonts w:cs="Arial"/>
              </w:rPr>
              <w:t>0.32</w:t>
            </w:r>
          </w:p>
        </w:tc>
      </w:tr>
    </w:tbl>
    <w:p w14:paraId="1730EFEB" w14:textId="77777777" w:rsidR="00692E71" w:rsidRPr="001E3185" w:rsidRDefault="00692E71" w:rsidP="00692E71">
      <w:pPr>
        <w:rPr>
          <w:rFonts w:cs="Arial"/>
          <w:b/>
          <w:bCs/>
        </w:rPr>
      </w:pPr>
    </w:p>
    <w:p w14:paraId="4B70D7EC" w14:textId="77777777" w:rsidR="00692E71" w:rsidRPr="001E3185" w:rsidRDefault="00692E71" w:rsidP="00692E71">
      <w:pPr>
        <w:rPr>
          <w:rFonts w:cs="Arial"/>
          <w:b/>
          <w:bCs/>
        </w:rPr>
      </w:pPr>
    </w:p>
    <w:p w14:paraId="43185280" w14:textId="77777777" w:rsidR="00692E71" w:rsidRPr="001E3185" w:rsidRDefault="00692E71" w:rsidP="00692E71">
      <w:pPr>
        <w:pStyle w:val="Lgende"/>
        <w:rPr>
          <w:rFonts w:ascii="Verdana" w:hAnsi="Verdana"/>
          <w:b/>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57</w:t>
      </w:r>
      <w:r w:rsidRPr="001E3185">
        <w:rPr>
          <w:rFonts w:ascii="Verdana" w:hAnsi="Verdana"/>
        </w:rPr>
        <w:fldChar w:fldCharType="end"/>
      </w:r>
      <w:r w:rsidRPr="001E3185">
        <w:rPr>
          <w:rFonts w:ascii="Verdana" w:hAnsi="Verdana"/>
        </w:rPr>
        <w:t>: PEC/PNEC ratios for the soil compartment, spraying</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34"/>
        <w:gridCol w:w="1134"/>
        <w:gridCol w:w="1134"/>
        <w:gridCol w:w="1276"/>
      </w:tblGrid>
      <w:tr w:rsidR="00692E71" w:rsidRPr="001E3185" w14:paraId="65DAA38B" w14:textId="77777777" w:rsidTr="008E0250">
        <w:trPr>
          <w:trHeight w:val="20"/>
          <w:tblHeader/>
          <w:jc w:val="center"/>
        </w:trPr>
        <w:tc>
          <w:tcPr>
            <w:tcW w:w="3614" w:type="dxa"/>
            <w:shd w:val="clear" w:color="auto" w:fill="FFFFFF"/>
            <w:noWrap/>
            <w:vAlign w:val="bottom"/>
          </w:tcPr>
          <w:p w14:paraId="1721C335" w14:textId="77777777" w:rsidR="00692E71" w:rsidRPr="001E3185" w:rsidRDefault="00692E71" w:rsidP="008E0250">
            <w:pPr>
              <w:rPr>
                <w:rFonts w:cs="Arial"/>
                <w:lang w:eastAsia="da-DK"/>
              </w:rPr>
            </w:pPr>
          </w:p>
        </w:tc>
        <w:tc>
          <w:tcPr>
            <w:tcW w:w="992" w:type="dxa"/>
            <w:shd w:val="clear" w:color="auto" w:fill="FFFFFF"/>
            <w:noWrap/>
            <w:vAlign w:val="bottom"/>
          </w:tcPr>
          <w:p w14:paraId="054A7F68" w14:textId="77777777" w:rsidR="00692E71" w:rsidRPr="001E3185" w:rsidRDefault="00692E71" w:rsidP="008E0250">
            <w:pPr>
              <w:jc w:val="center"/>
              <w:rPr>
                <w:rFonts w:cs="Arial"/>
                <w:b/>
                <w:lang w:eastAsia="da-DK"/>
              </w:rPr>
            </w:pPr>
            <w:r w:rsidRPr="001E3185">
              <w:rPr>
                <w:rFonts w:cs="Arial"/>
                <w:b/>
                <w:lang w:eastAsia="da-DK"/>
              </w:rPr>
              <w:t>IPBC</w:t>
            </w:r>
          </w:p>
        </w:tc>
        <w:tc>
          <w:tcPr>
            <w:tcW w:w="1134" w:type="dxa"/>
            <w:shd w:val="clear" w:color="auto" w:fill="FFFFFF"/>
            <w:noWrap/>
            <w:vAlign w:val="bottom"/>
          </w:tcPr>
          <w:p w14:paraId="16066045"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134" w:type="dxa"/>
            <w:shd w:val="clear" w:color="auto" w:fill="FFFFFF"/>
            <w:noWrap/>
            <w:vAlign w:val="bottom"/>
          </w:tcPr>
          <w:p w14:paraId="0DA80658" w14:textId="77777777" w:rsidR="00692E71" w:rsidRPr="001E3185" w:rsidRDefault="00692E71" w:rsidP="008E0250">
            <w:pPr>
              <w:jc w:val="center"/>
              <w:rPr>
                <w:rFonts w:cs="Arial"/>
                <w:b/>
                <w:lang w:eastAsia="da-DK"/>
              </w:rPr>
            </w:pPr>
            <w:r w:rsidRPr="001E3185">
              <w:rPr>
                <w:rFonts w:cs="Arial"/>
                <w:b/>
                <w:lang w:eastAsia="da-DK"/>
              </w:rPr>
              <w:t>Tebucon</w:t>
            </w:r>
            <w:r w:rsidRPr="001E3185">
              <w:rPr>
                <w:rFonts w:cs="Arial"/>
                <w:b/>
                <w:lang w:eastAsia="da-DK"/>
              </w:rPr>
              <w:softHyphen/>
              <w:t>azole</w:t>
            </w:r>
          </w:p>
        </w:tc>
        <w:tc>
          <w:tcPr>
            <w:tcW w:w="1134" w:type="dxa"/>
            <w:shd w:val="clear" w:color="auto" w:fill="FFFFFF"/>
          </w:tcPr>
          <w:p w14:paraId="02081831"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tcPr>
          <w:p w14:paraId="0B94C873" w14:textId="77777777" w:rsidR="00692E71" w:rsidRPr="001E3185" w:rsidRDefault="00692E71" w:rsidP="008E0250">
            <w:pPr>
              <w:jc w:val="center"/>
              <w:rPr>
                <w:rFonts w:cs="Arial"/>
                <w:b/>
                <w:lang w:eastAsia="da-DK"/>
              </w:rPr>
            </w:pPr>
            <w:r w:rsidRPr="001E3185">
              <w:rPr>
                <w:rFonts w:cs="Arial"/>
                <w:b/>
                <w:bCs/>
              </w:rPr>
              <w:t>Total PEC/PNEC</w:t>
            </w:r>
          </w:p>
        </w:tc>
      </w:tr>
      <w:tr w:rsidR="00692E71" w:rsidRPr="001E3185" w14:paraId="1BBC3AA4" w14:textId="77777777" w:rsidTr="008E0250">
        <w:trPr>
          <w:trHeight w:val="20"/>
          <w:jc w:val="center"/>
        </w:trPr>
        <w:tc>
          <w:tcPr>
            <w:tcW w:w="3614" w:type="dxa"/>
            <w:shd w:val="clear" w:color="auto" w:fill="FFFFFF"/>
            <w:noWrap/>
            <w:vAlign w:val="bottom"/>
          </w:tcPr>
          <w:p w14:paraId="0FC0EC13" w14:textId="77777777" w:rsidR="00692E71" w:rsidRPr="001E3185" w:rsidRDefault="00692E71" w:rsidP="008E0250">
            <w:pPr>
              <w:rPr>
                <w:rFonts w:cs="Arial"/>
                <w:b/>
                <w:lang w:eastAsia="da-DK"/>
              </w:rPr>
            </w:pPr>
            <w:r w:rsidRPr="001E3185">
              <w:rPr>
                <w:rFonts w:cs="Arial"/>
                <w:b/>
                <w:lang w:eastAsia="da-DK"/>
              </w:rPr>
              <w:t>House (spraying, Tier 1, soil)</w:t>
            </w:r>
          </w:p>
        </w:tc>
        <w:tc>
          <w:tcPr>
            <w:tcW w:w="992" w:type="dxa"/>
            <w:shd w:val="clear" w:color="auto" w:fill="FFFFFF"/>
            <w:noWrap/>
            <w:vAlign w:val="center"/>
          </w:tcPr>
          <w:p w14:paraId="772D3E42"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1DBA745F" w14:textId="77777777" w:rsidR="00692E71" w:rsidRPr="001E3185" w:rsidRDefault="00692E71" w:rsidP="008E0250">
            <w:pPr>
              <w:jc w:val="center"/>
              <w:rPr>
                <w:rFonts w:cs="Arial"/>
              </w:rPr>
            </w:pPr>
          </w:p>
        </w:tc>
        <w:tc>
          <w:tcPr>
            <w:tcW w:w="1134" w:type="dxa"/>
            <w:shd w:val="clear" w:color="auto" w:fill="FFFFFF"/>
            <w:noWrap/>
            <w:vAlign w:val="center"/>
          </w:tcPr>
          <w:p w14:paraId="150F26DF" w14:textId="77777777" w:rsidR="00692E71" w:rsidRPr="001E3185" w:rsidRDefault="00692E71" w:rsidP="008E0250">
            <w:pPr>
              <w:jc w:val="center"/>
              <w:rPr>
                <w:rFonts w:cs="Arial"/>
              </w:rPr>
            </w:pPr>
          </w:p>
        </w:tc>
        <w:tc>
          <w:tcPr>
            <w:tcW w:w="1134" w:type="dxa"/>
            <w:shd w:val="clear" w:color="auto" w:fill="FFFFFF"/>
            <w:vAlign w:val="center"/>
          </w:tcPr>
          <w:p w14:paraId="015301FF" w14:textId="77777777" w:rsidR="00692E71" w:rsidRPr="001E3185" w:rsidRDefault="00692E71" w:rsidP="008E0250">
            <w:pPr>
              <w:jc w:val="center"/>
              <w:rPr>
                <w:rFonts w:cs="Arial"/>
              </w:rPr>
            </w:pPr>
          </w:p>
        </w:tc>
        <w:tc>
          <w:tcPr>
            <w:tcW w:w="1276" w:type="dxa"/>
            <w:shd w:val="clear" w:color="auto" w:fill="FFFFFF"/>
            <w:vAlign w:val="center"/>
          </w:tcPr>
          <w:p w14:paraId="688043F7" w14:textId="77777777" w:rsidR="00692E71" w:rsidRPr="001E3185" w:rsidRDefault="00692E71" w:rsidP="008E0250">
            <w:pPr>
              <w:jc w:val="center"/>
              <w:rPr>
                <w:rFonts w:cs="Arial"/>
              </w:rPr>
            </w:pPr>
          </w:p>
        </w:tc>
      </w:tr>
      <w:tr w:rsidR="00692E71" w:rsidRPr="001E3185" w14:paraId="2EF619DD" w14:textId="77777777" w:rsidTr="008E0250">
        <w:trPr>
          <w:trHeight w:val="20"/>
          <w:jc w:val="center"/>
        </w:trPr>
        <w:tc>
          <w:tcPr>
            <w:tcW w:w="3614" w:type="dxa"/>
            <w:shd w:val="clear" w:color="auto" w:fill="FFFFFF"/>
            <w:noWrap/>
            <w:vAlign w:val="bottom"/>
          </w:tcPr>
          <w:p w14:paraId="1F2277B4" w14:textId="77777777" w:rsidR="00692E71" w:rsidRPr="001E3185" w:rsidRDefault="00692E71" w:rsidP="008E0250">
            <w:pPr>
              <w:rPr>
                <w:rFonts w:cs="Arial"/>
                <w:b/>
                <w:lang w:eastAsia="da-DK"/>
              </w:rPr>
            </w:pPr>
            <w:r w:rsidRPr="001E3185">
              <w:rPr>
                <w:rFonts w:cs="Arial"/>
                <w:lang w:eastAsia="da-DK"/>
              </w:rPr>
              <w:t>PEC/PNEC local without removal Time 1 (30 days)</w:t>
            </w:r>
          </w:p>
        </w:tc>
        <w:tc>
          <w:tcPr>
            <w:tcW w:w="992" w:type="dxa"/>
            <w:shd w:val="clear" w:color="auto" w:fill="FFFFFF"/>
            <w:noWrap/>
            <w:vAlign w:val="center"/>
          </w:tcPr>
          <w:p w14:paraId="0856EADE" w14:textId="77777777" w:rsidR="00692E71" w:rsidRPr="001E3185" w:rsidRDefault="00692E71" w:rsidP="008E0250">
            <w:pPr>
              <w:jc w:val="center"/>
              <w:rPr>
                <w:rFonts w:cs="Arial"/>
                <w:color w:val="000000"/>
                <w:lang w:eastAsia="da-DK"/>
              </w:rPr>
            </w:pPr>
            <w:r w:rsidRPr="001E3185">
              <w:rPr>
                <w:rFonts w:cs="Arial"/>
                <w:color w:val="000000"/>
              </w:rPr>
              <w:t>45</w:t>
            </w:r>
          </w:p>
        </w:tc>
        <w:tc>
          <w:tcPr>
            <w:tcW w:w="1134" w:type="dxa"/>
            <w:shd w:val="clear" w:color="auto" w:fill="FFFFFF"/>
            <w:noWrap/>
            <w:vAlign w:val="center"/>
          </w:tcPr>
          <w:p w14:paraId="097CFC27" w14:textId="77777777" w:rsidR="00692E71" w:rsidRPr="001E3185" w:rsidRDefault="00692E71" w:rsidP="008E0250">
            <w:pPr>
              <w:jc w:val="center"/>
              <w:rPr>
                <w:rFonts w:cs="Arial"/>
                <w:color w:val="000000"/>
              </w:rPr>
            </w:pPr>
            <w:r w:rsidRPr="001E3185">
              <w:rPr>
                <w:rFonts w:cs="Arial"/>
                <w:color w:val="000000"/>
              </w:rPr>
              <w:t>6.25</w:t>
            </w:r>
          </w:p>
        </w:tc>
        <w:tc>
          <w:tcPr>
            <w:tcW w:w="1134" w:type="dxa"/>
            <w:shd w:val="clear" w:color="auto" w:fill="FFFFFF"/>
            <w:noWrap/>
            <w:vAlign w:val="center"/>
          </w:tcPr>
          <w:p w14:paraId="1AE20BCF" w14:textId="77777777" w:rsidR="00692E71" w:rsidRPr="001E3185" w:rsidRDefault="00692E71" w:rsidP="008E0250">
            <w:pPr>
              <w:jc w:val="center"/>
              <w:rPr>
                <w:rFonts w:cs="Arial"/>
                <w:color w:val="000000"/>
              </w:rPr>
            </w:pPr>
            <w:r w:rsidRPr="001E3185">
              <w:rPr>
                <w:rFonts w:cs="Arial"/>
                <w:color w:val="000000"/>
              </w:rPr>
              <w:t>2.20</w:t>
            </w:r>
          </w:p>
        </w:tc>
        <w:tc>
          <w:tcPr>
            <w:tcW w:w="1134" w:type="dxa"/>
            <w:shd w:val="clear" w:color="auto" w:fill="FFFFFF"/>
            <w:vAlign w:val="center"/>
          </w:tcPr>
          <w:p w14:paraId="6CEBBB0B" w14:textId="77777777" w:rsidR="00692E71" w:rsidRPr="001E3185" w:rsidRDefault="00692E71" w:rsidP="008E0250">
            <w:pPr>
              <w:jc w:val="center"/>
              <w:rPr>
                <w:rFonts w:cs="Arial"/>
                <w:color w:val="000000"/>
              </w:rPr>
            </w:pPr>
            <w:r w:rsidRPr="001E3185">
              <w:rPr>
                <w:rFonts w:cs="Arial"/>
                <w:color w:val="000000"/>
              </w:rPr>
              <w:t>2.70</w:t>
            </w:r>
          </w:p>
        </w:tc>
        <w:tc>
          <w:tcPr>
            <w:tcW w:w="1276" w:type="dxa"/>
            <w:shd w:val="clear" w:color="auto" w:fill="FFFFFF"/>
            <w:vAlign w:val="center"/>
          </w:tcPr>
          <w:p w14:paraId="2A7393B4" w14:textId="77777777" w:rsidR="00692E71" w:rsidRPr="001E3185" w:rsidRDefault="00692E71" w:rsidP="008E0250">
            <w:pPr>
              <w:jc w:val="center"/>
              <w:rPr>
                <w:rFonts w:cs="Arial"/>
              </w:rPr>
            </w:pPr>
            <w:r w:rsidRPr="001E3185">
              <w:rPr>
                <w:rFonts w:cs="Arial"/>
              </w:rPr>
              <w:t>56</w:t>
            </w:r>
          </w:p>
        </w:tc>
      </w:tr>
      <w:tr w:rsidR="00692E71" w:rsidRPr="001E3185" w14:paraId="4AF6C579" w14:textId="77777777" w:rsidTr="008E0250">
        <w:trPr>
          <w:trHeight w:val="20"/>
          <w:jc w:val="center"/>
        </w:trPr>
        <w:tc>
          <w:tcPr>
            <w:tcW w:w="3614" w:type="dxa"/>
            <w:shd w:val="clear" w:color="auto" w:fill="FFFFFF"/>
            <w:noWrap/>
            <w:vAlign w:val="bottom"/>
          </w:tcPr>
          <w:p w14:paraId="324AF2FA"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00582370" w14:textId="77777777" w:rsidR="00692E71" w:rsidRPr="001E3185" w:rsidRDefault="00692E71" w:rsidP="008E0250">
            <w:pPr>
              <w:jc w:val="center"/>
              <w:rPr>
                <w:rFonts w:cs="Arial"/>
                <w:color w:val="000000"/>
                <w:lang w:eastAsia="da-DK"/>
              </w:rPr>
            </w:pPr>
            <w:r w:rsidRPr="001E3185">
              <w:rPr>
                <w:rFonts w:cs="Arial"/>
                <w:color w:val="000000"/>
              </w:rPr>
              <w:t>57</w:t>
            </w:r>
          </w:p>
        </w:tc>
        <w:tc>
          <w:tcPr>
            <w:tcW w:w="1134" w:type="dxa"/>
            <w:shd w:val="clear" w:color="auto" w:fill="FFFFFF"/>
            <w:noWrap/>
            <w:vAlign w:val="center"/>
          </w:tcPr>
          <w:p w14:paraId="50541F28" w14:textId="77777777" w:rsidR="00692E71" w:rsidRPr="001E3185" w:rsidRDefault="00692E71" w:rsidP="008E0250">
            <w:pPr>
              <w:jc w:val="center"/>
              <w:rPr>
                <w:rFonts w:cs="Arial"/>
                <w:color w:val="000000"/>
              </w:rPr>
            </w:pPr>
            <w:r w:rsidRPr="001E3185">
              <w:rPr>
                <w:rFonts w:cs="Arial"/>
                <w:color w:val="000000"/>
              </w:rPr>
              <w:t>9.28</w:t>
            </w:r>
          </w:p>
        </w:tc>
        <w:tc>
          <w:tcPr>
            <w:tcW w:w="1134" w:type="dxa"/>
            <w:shd w:val="clear" w:color="auto" w:fill="FFFFFF"/>
            <w:noWrap/>
            <w:vAlign w:val="center"/>
          </w:tcPr>
          <w:p w14:paraId="463C2676" w14:textId="77777777" w:rsidR="00692E71" w:rsidRPr="001E3185" w:rsidRDefault="00692E71" w:rsidP="008E0250">
            <w:pPr>
              <w:jc w:val="center"/>
              <w:rPr>
                <w:rFonts w:cs="Arial"/>
                <w:color w:val="000000"/>
              </w:rPr>
            </w:pPr>
            <w:r w:rsidRPr="001E3185">
              <w:rPr>
                <w:rFonts w:cs="Arial"/>
                <w:color w:val="000000"/>
              </w:rPr>
              <w:t>3.31</w:t>
            </w:r>
          </w:p>
        </w:tc>
        <w:tc>
          <w:tcPr>
            <w:tcW w:w="1134" w:type="dxa"/>
            <w:shd w:val="clear" w:color="auto" w:fill="FFFFFF"/>
            <w:vAlign w:val="center"/>
          </w:tcPr>
          <w:p w14:paraId="0C9C586F" w14:textId="77777777" w:rsidR="00692E71" w:rsidRPr="001E3185" w:rsidRDefault="00692E71" w:rsidP="008E0250">
            <w:pPr>
              <w:jc w:val="center"/>
              <w:rPr>
                <w:rFonts w:cs="Arial"/>
                <w:color w:val="000000"/>
              </w:rPr>
            </w:pPr>
            <w:r w:rsidRPr="001E3185">
              <w:rPr>
                <w:rFonts w:cs="Arial"/>
                <w:color w:val="000000"/>
              </w:rPr>
              <w:t>2.83</w:t>
            </w:r>
          </w:p>
        </w:tc>
        <w:tc>
          <w:tcPr>
            <w:tcW w:w="1276" w:type="dxa"/>
            <w:shd w:val="clear" w:color="auto" w:fill="FFFFFF"/>
            <w:vAlign w:val="center"/>
          </w:tcPr>
          <w:p w14:paraId="64F94C73" w14:textId="77777777" w:rsidR="00692E71" w:rsidRPr="001E3185" w:rsidRDefault="00692E71" w:rsidP="008E0250">
            <w:pPr>
              <w:jc w:val="center"/>
              <w:rPr>
                <w:rFonts w:cs="Arial"/>
              </w:rPr>
            </w:pPr>
            <w:r w:rsidRPr="001E3185">
              <w:rPr>
                <w:rFonts w:cs="Arial"/>
              </w:rPr>
              <w:t>72</w:t>
            </w:r>
          </w:p>
        </w:tc>
      </w:tr>
      <w:tr w:rsidR="00692E71" w:rsidRPr="001E3185" w14:paraId="7E7830B9" w14:textId="77777777" w:rsidTr="008E0250">
        <w:trPr>
          <w:trHeight w:val="20"/>
          <w:jc w:val="center"/>
        </w:trPr>
        <w:tc>
          <w:tcPr>
            <w:tcW w:w="3614" w:type="dxa"/>
            <w:shd w:val="clear" w:color="auto" w:fill="FFFFFF"/>
            <w:noWrap/>
            <w:vAlign w:val="bottom"/>
          </w:tcPr>
          <w:p w14:paraId="780289CC" w14:textId="77777777" w:rsidR="00692E71" w:rsidRPr="001E3185" w:rsidRDefault="00692E71" w:rsidP="008E0250">
            <w:pPr>
              <w:rPr>
                <w:rFonts w:cs="Arial"/>
                <w:b/>
                <w:lang w:eastAsia="da-DK"/>
              </w:rPr>
            </w:pPr>
          </w:p>
        </w:tc>
        <w:tc>
          <w:tcPr>
            <w:tcW w:w="992" w:type="dxa"/>
            <w:shd w:val="clear" w:color="auto" w:fill="FFFFFF"/>
            <w:noWrap/>
            <w:vAlign w:val="center"/>
          </w:tcPr>
          <w:p w14:paraId="146D44F5"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EFB2992" w14:textId="77777777" w:rsidR="00692E71" w:rsidRPr="001E3185" w:rsidRDefault="00692E71" w:rsidP="008E0250">
            <w:pPr>
              <w:jc w:val="center"/>
              <w:rPr>
                <w:rFonts w:cs="Arial"/>
              </w:rPr>
            </w:pPr>
          </w:p>
        </w:tc>
        <w:tc>
          <w:tcPr>
            <w:tcW w:w="1134" w:type="dxa"/>
            <w:shd w:val="clear" w:color="auto" w:fill="FFFFFF"/>
            <w:noWrap/>
            <w:vAlign w:val="center"/>
          </w:tcPr>
          <w:p w14:paraId="44769337" w14:textId="77777777" w:rsidR="00692E71" w:rsidRPr="001E3185" w:rsidRDefault="00692E71" w:rsidP="008E0250">
            <w:pPr>
              <w:jc w:val="center"/>
              <w:rPr>
                <w:rFonts w:cs="Arial"/>
              </w:rPr>
            </w:pPr>
          </w:p>
        </w:tc>
        <w:tc>
          <w:tcPr>
            <w:tcW w:w="1134" w:type="dxa"/>
            <w:shd w:val="clear" w:color="auto" w:fill="FFFFFF"/>
            <w:vAlign w:val="center"/>
          </w:tcPr>
          <w:p w14:paraId="13FA8245" w14:textId="77777777" w:rsidR="00692E71" w:rsidRPr="001E3185" w:rsidRDefault="00692E71" w:rsidP="008E0250">
            <w:pPr>
              <w:jc w:val="center"/>
              <w:rPr>
                <w:rFonts w:cs="Arial"/>
              </w:rPr>
            </w:pPr>
          </w:p>
        </w:tc>
        <w:tc>
          <w:tcPr>
            <w:tcW w:w="1276" w:type="dxa"/>
            <w:shd w:val="clear" w:color="auto" w:fill="FFFFFF"/>
            <w:vAlign w:val="center"/>
          </w:tcPr>
          <w:p w14:paraId="0C644A04" w14:textId="77777777" w:rsidR="00692E71" w:rsidRPr="001E3185" w:rsidRDefault="00692E71" w:rsidP="008E0250">
            <w:pPr>
              <w:jc w:val="center"/>
              <w:rPr>
                <w:rFonts w:cs="Arial"/>
              </w:rPr>
            </w:pPr>
          </w:p>
        </w:tc>
      </w:tr>
      <w:tr w:rsidR="00692E71" w:rsidRPr="001E3185" w14:paraId="7F8C34E5" w14:textId="77777777" w:rsidTr="008E0250">
        <w:trPr>
          <w:trHeight w:val="20"/>
          <w:jc w:val="center"/>
        </w:trPr>
        <w:tc>
          <w:tcPr>
            <w:tcW w:w="3614" w:type="dxa"/>
            <w:shd w:val="clear" w:color="auto" w:fill="FFFFFF"/>
            <w:noWrap/>
            <w:vAlign w:val="bottom"/>
          </w:tcPr>
          <w:p w14:paraId="63F22F07" w14:textId="77777777" w:rsidR="00692E71" w:rsidRPr="001E3185" w:rsidRDefault="00692E71" w:rsidP="008E0250">
            <w:pPr>
              <w:keepNext/>
              <w:rPr>
                <w:rFonts w:cs="Arial"/>
                <w:b/>
                <w:lang w:eastAsia="da-DK"/>
              </w:rPr>
            </w:pPr>
            <w:r w:rsidRPr="001E3185">
              <w:rPr>
                <w:rFonts w:cs="Arial"/>
                <w:lang w:eastAsia="da-DK"/>
              </w:rPr>
              <w:lastRenderedPageBreak/>
              <w:t>PEC/PNEC local with removal Time 1 (30 days)</w:t>
            </w:r>
          </w:p>
        </w:tc>
        <w:tc>
          <w:tcPr>
            <w:tcW w:w="992" w:type="dxa"/>
            <w:shd w:val="clear" w:color="auto" w:fill="FFFFFF"/>
            <w:noWrap/>
            <w:vAlign w:val="center"/>
          </w:tcPr>
          <w:p w14:paraId="5D030944" w14:textId="77777777" w:rsidR="00692E71" w:rsidRPr="001E3185" w:rsidRDefault="00692E71" w:rsidP="008E0250">
            <w:pPr>
              <w:keepNext/>
              <w:jc w:val="center"/>
              <w:rPr>
                <w:rFonts w:cs="Arial"/>
                <w:color w:val="000000"/>
                <w:lang w:eastAsia="da-DK"/>
              </w:rPr>
            </w:pPr>
            <w:r w:rsidRPr="001E3185">
              <w:rPr>
                <w:rFonts w:cs="Arial"/>
                <w:color w:val="000000"/>
              </w:rPr>
              <w:t>0.01</w:t>
            </w:r>
          </w:p>
        </w:tc>
        <w:tc>
          <w:tcPr>
            <w:tcW w:w="1134" w:type="dxa"/>
            <w:shd w:val="clear" w:color="auto" w:fill="FFFFFF"/>
            <w:noWrap/>
            <w:vAlign w:val="center"/>
          </w:tcPr>
          <w:p w14:paraId="58875ADB" w14:textId="77777777" w:rsidR="00692E71" w:rsidRPr="001E3185" w:rsidRDefault="00692E71" w:rsidP="008E0250">
            <w:pPr>
              <w:keepNext/>
              <w:jc w:val="center"/>
              <w:rPr>
                <w:rFonts w:cs="Arial"/>
                <w:color w:val="000000"/>
              </w:rPr>
            </w:pPr>
            <w:r w:rsidRPr="001E3185">
              <w:rPr>
                <w:rFonts w:cs="Arial"/>
                <w:color w:val="000000"/>
              </w:rPr>
              <w:t>5.37</w:t>
            </w:r>
          </w:p>
        </w:tc>
        <w:tc>
          <w:tcPr>
            <w:tcW w:w="1134" w:type="dxa"/>
            <w:shd w:val="clear" w:color="auto" w:fill="FFFFFF"/>
            <w:noWrap/>
            <w:vAlign w:val="center"/>
          </w:tcPr>
          <w:p w14:paraId="5BB565A3" w14:textId="77777777" w:rsidR="00692E71" w:rsidRPr="001E3185" w:rsidRDefault="00692E71" w:rsidP="008E0250">
            <w:pPr>
              <w:keepNext/>
              <w:jc w:val="center"/>
              <w:rPr>
                <w:rFonts w:cs="Arial"/>
                <w:color w:val="000000"/>
              </w:rPr>
            </w:pPr>
            <w:r w:rsidRPr="001E3185">
              <w:rPr>
                <w:rFonts w:cs="Arial"/>
                <w:color w:val="000000"/>
              </w:rPr>
              <w:t>1.73</w:t>
            </w:r>
          </w:p>
        </w:tc>
        <w:tc>
          <w:tcPr>
            <w:tcW w:w="1134" w:type="dxa"/>
            <w:shd w:val="clear" w:color="auto" w:fill="FFFFFF"/>
            <w:vAlign w:val="center"/>
          </w:tcPr>
          <w:p w14:paraId="59091580" w14:textId="77777777" w:rsidR="00692E71" w:rsidRPr="001E3185" w:rsidRDefault="00692E71" w:rsidP="008E0250">
            <w:pPr>
              <w:keepNext/>
              <w:jc w:val="center"/>
              <w:rPr>
                <w:rFonts w:cs="Arial"/>
                <w:color w:val="000000"/>
              </w:rPr>
            </w:pPr>
            <w:r w:rsidRPr="001E3185">
              <w:rPr>
                <w:rFonts w:cs="Arial"/>
                <w:color w:val="000000"/>
              </w:rPr>
              <w:t>0.78</w:t>
            </w:r>
          </w:p>
        </w:tc>
        <w:tc>
          <w:tcPr>
            <w:tcW w:w="1276" w:type="dxa"/>
            <w:shd w:val="clear" w:color="auto" w:fill="FFFFFF"/>
            <w:vAlign w:val="center"/>
          </w:tcPr>
          <w:p w14:paraId="4C8AAFEF" w14:textId="77777777" w:rsidR="00692E71" w:rsidRPr="001E3185" w:rsidRDefault="00692E71" w:rsidP="008E0250">
            <w:pPr>
              <w:keepNext/>
              <w:jc w:val="center"/>
              <w:rPr>
                <w:rFonts w:cs="Arial"/>
              </w:rPr>
            </w:pPr>
            <w:r w:rsidRPr="001E3185">
              <w:rPr>
                <w:rFonts w:cs="Arial"/>
              </w:rPr>
              <w:t>7.9</w:t>
            </w:r>
          </w:p>
        </w:tc>
      </w:tr>
      <w:tr w:rsidR="00692E71" w:rsidRPr="001E3185" w14:paraId="20B4ED55" w14:textId="77777777" w:rsidTr="008E0250">
        <w:trPr>
          <w:trHeight w:val="20"/>
          <w:jc w:val="center"/>
        </w:trPr>
        <w:tc>
          <w:tcPr>
            <w:tcW w:w="3614" w:type="dxa"/>
            <w:shd w:val="clear" w:color="auto" w:fill="FFFFFF"/>
            <w:noWrap/>
            <w:vAlign w:val="bottom"/>
          </w:tcPr>
          <w:p w14:paraId="40D62390" w14:textId="77777777" w:rsidR="00692E71" w:rsidRPr="001E3185" w:rsidRDefault="00692E71" w:rsidP="008E0250">
            <w:pPr>
              <w:keepNext/>
              <w:rPr>
                <w:rFonts w:cs="Arial"/>
                <w:b/>
                <w:lang w:eastAsia="da-DK"/>
              </w:rPr>
            </w:pPr>
            <w:r w:rsidRPr="001E3185">
              <w:rPr>
                <w:rFonts w:cs="Arial"/>
                <w:lang w:eastAsia="da-DK"/>
              </w:rPr>
              <w:t>PEC/PNEC local with removal Time 2 (1825 days)</w:t>
            </w:r>
          </w:p>
        </w:tc>
        <w:tc>
          <w:tcPr>
            <w:tcW w:w="992" w:type="dxa"/>
            <w:shd w:val="clear" w:color="auto" w:fill="FFFFFF"/>
            <w:noWrap/>
            <w:vAlign w:val="center"/>
          </w:tcPr>
          <w:p w14:paraId="721F1437" w14:textId="77777777" w:rsidR="00692E71" w:rsidRPr="001E3185" w:rsidRDefault="00692E71" w:rsidP="008E0250">
            <w:pPr>
              <w:keepNext/>
              <w:jc w:val="center"/>
              <w:rPr>
                <w:rFonts w:cs="Arial"/>
                <w:color w:val="000000"/>
                <w:lang w:eastAsia="da-DK"/>
              </w:rPr>
            </w:pPr>
            <w:r w:rsidRPr="001E3185">
              <w:rPr>
                <w:rFonts w:cs="Arial"/>
                <w:color w:val="000000"/>
              </w:rPr>
              <w:t>2.0*10</w:t>
            </w:r>
            <w:r w:rsidRPr="001E3185">
              <w:rPr>
                <w:rFonts w:cs="Arial"/>
                <w:color w:val="000000"/>
                <w:vertAlign w:val="superscript"/>
              </w:rPr>
              <w:t>-4</w:t>
            </w:r>
          </w:p>
        </w:tc>
        <w:tc>
          <w:tcPr>
            <w:tcW w:w="1134" w:type="dxa"/>
            <w:shd w:val="clear" w:color="auto" w:fill="FFFFFF"/>
            <w:noWrap/>
            <w:vAlign w:val="center"/>
          </w:tcPr>
          <w:p w14:paraId="2D577812" w14:textId="77777777" w:rsidR="00692E71" w:rsidRPr="001E3185" w:rsidRDefault="00692E71" w:rsidP="008E0250">
            <w:pPr>
              <w:keepNext/>
              <w:jc w:val="center"/>
              <w:rPr>
                <w:rFonts w:cs="Arial"/>
                <w:color w:val="000000"/>
              </w:rPr>
            </w:pPr>
            <w:r w:rsidRPr="001E3185">
              <w:rPr>
                <w:rFonts w:cs="Arial"/>
                <w:color w:val="000000"/>
              </w:rPr>
              <w:t>0.31</w:t>
            </w:r>
          </w:p>
        </w:tc>
        <w:tc>
          <w:tcPr>
            <w:tcW w:w="1134" w:type="dxa"/>
            <w:shd w:val="clear" w:color="auto" w:fill="FFFFFF"/>
            <w:noWrap/>
            <w:vAlign w:val="center"/>
          </w:tcPr>
          <w:p w14:paraId="0FA60835" w14:textId="77777777" w:rsidR="00692E71" w:rsidRPr="001E3185" w:rsidRDefault="00692E71" w:rsidP="008E0250">
            <w:pPr>
              <w:keepNext/>
              <w:jc w:val="center"/>
              <w:rPr>
                <w:rFonts w:cs="Arial"/>
                <w:color w:val="000000"/>
              </w:rPr>
            </w:pPr>
            <w:r w:rsidRPr="001E3185">
              <w:rPr>
                <w:rFonts w:cs="Arial"/>
                <w:color w:val="000000"/>
              </w:rPr>
              <w:t>0.07</w:t>
            </w:r>
          </w:p>
        </w:tc>
        <w:tc>
          <w:tcPr>
            <w:tcW w:w="1134" w:type="dxa"/>
            <w:shd w:val="clear" w:color="auto" w:fill="FFFFFF"/>
            <w:vAlign w:val="center"/>
          </w:tcPr>
          <w:p w14:paraId="6F959F89" w14:textId="77777777" w:rsidR="00692E71" w:rsidRPr="001E3185" w:rsidRDefault="00692E71" w:rsidP="008E0250">
            <w:pPr>
              <w:keepNext/>
              <w:jc w:val="center"/>
              <w:rPr>
                <w:rFonts w:cs="Arial"/>
                <w:color w:val="000000"/>
              </w:rPr>
            </w:pPr>
            <w:r w:rsidRPr="001E3185">
              <w:rPr>
                <w:rFonts w:cs="Arial"/>
                <w:color w:val="000000"/>
              </w:rPr>
              <w:t>1.7*10</w:t>
            </w:r>
            <w:r w:rsidRPr="001E3185">
              <w:rPr>
                <w:rFonts w:cs="Arial"/>
                <w:color w:val="000000"/>
                <w:vertAlign w:val="superscript"/>
              </w:rPr>
              <w:t>-3</w:t>
            </w:r>
          </w:p>
        </w:tc>
        <w:tc>
          <w:tcPr>
            <w:tcW w:w="1276" w:type="dxa"/>
            <w:shd w:val="clear" w:color="auto" w:fill="FFFFFF"/>
            <w:vAlign w:val="center"/>
          </w:tcPr>
          <w:p w14:paraId="5A163325" w14:textId="77777777" w:rsidR="00692E71" w:rsidRPr="001E3185" w:rsidRDefault="00692E71" w:rsidP="008E0250">
            <w:pPr>
              <w:keepNext/>
              <w:jc w:val="center"/>
              <w:rPr>
                <w:rFonts w:cs="Arial"/>
              </w:rPr>
            </w:pPr>
            <w:r w:rsidRPr="001E3185">
              <w:rPr>
                <w:rFonts w:cs="Arial"/>
              </w:rPr>
              <w:t>0.38</w:t>
            </w:r>
          </w:p>
        </w:tc>
      </w:tr>
      <w:tr w:rsidR="00692E71" w:rsidRPr="001E3185" w14:paraId="248D3C3D" w14:textId="77777777" w:rsidTr="008E0250">
        <w:trPr>
          <w:trHeight w:val="20"/>
          <w:jc w:val="center"/>
        </w:trPr>
        <w:tc>
          <w:tcPr>
            <w:tcW w:w="3614" w:type="dxa"/>
            <w:shd w:val="clear" w:color="auto" w:fill="FFFFFF"/>
            <w:noWrap/>
            <w:vAlign w:val="bottom"/>
          </w:tcPr>
          <w:p w14:paraId="58019604" w14:textId="77777777" w:rsidR="00692E71" w:rsidRPr="001E3185" w:rsidRDefault="00692E71" w:rsidP="008E0250">
            <w:pPr>
              <w:rPr>
                <w:rFonts w:cs="Arial"/>
                <w:b/>
                <w:lang w:eastAsia="da-DK"/>
              </w:rPr>
            </w:pPr>
            <w:r w:rsidRPr="001E3185">
              <w:rPr>
                <w:rFonts w:cs="Arial"/>
                <w:b/>
                <w:lang w:eastAsia="da-DK"/>
              </w:rPr>
              <w:t>House (spraying, Tier 2, soil)</w:t>
            </w:r>
          </w:p>
        </w:tc>
        <w:tc>
          <w:tcPr>
            <w:tcW w:w="992" w:type="dxa"/>
            <w:shd w:val="clear" w:color="auto" w:fill="FFFFFF"/>
            <w:noWrap/>
            <w:vAlign w:val="center"/>
          </w:tcPr>
          <w:p w14:paraId="4FE503E0"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1FD27BD9" w14:textId="77777777" w:rsidR="00692E71" w:rsidRPr="001E3185" w:rsidRDefault="00692E71" w:rsidP="008E0250">
            <w:pPr>
              <w:jc w:val="center"/>
              <w:rPr>
                <w:rFonts w:cs="Arial"/>
              </w:rPr>
            </w:pPr>
          </w:p>
        </w:tc>
        <w:tc>
          <w:tcPr>
            <w:tcW w:w="1134" w:type="dxa"/>
            <w:shd w:val="clear" w:color="auto" w:fill="FFFFFF"/>
            <w:noWrap/>
            <w:vAlign w:val="center"/>
          </w:tcPr>
          <w:p w14:paraId="68E5F4A5" w14:textId="77777777" w:rsidR="00692E71" w:rsidRPr="001E3185" w:rsidRDefault="00692E71" w:rsidP="008E0250">
            <w:pPr>
              <w:jc w:val="center"/>
              <w:rPr>
                <w:rFonts w:cs="Arial"/>
              </w:rPr>
            </w:pPr>
          </w:p>
        </w:tc>
        <w:tc>
          <w:tcPr>
            <w:tcW w:w="1134" w:type="dxa"/>
            <w:shd w:val="clear" w:color="auto" w:fill="FFFFFF"/>
            <w:vAlign w:val="center"/>
          </w:tcPr>
          <w:p w14:paraId="58E73C5A" w14:textId="77777777" w:rsidR="00692E71" w:rsidRPr="001E3185" w:rsidRDefault="00692E71" w:rsidP="008E0250">
            <w:pPr>
              <w:jc w:val="center"/>
              <w:rPr>
                <w:rFonts w:cs="Arial"/>
              </w:rPr>
            </w:pPr>
          </w:p>
        </w:tc>
        <w:tc>
          <w:tcPr>
            <w:tcW w:w="1276" w:type="dxa"/>
            <w:shd w:val="clear" w:color="auto" w:fill="FFFFFF"/>
            <w:vAlign w:val="center"/>
          </w:tcPr>
          <w:p w14:paraId="3A031D71" w14:textId="77777777" w:rsidR="00692E71" w:rsidRPr="001E3185" w:rsidRDefault="00692E71" w:rsidP="008E0250">
            <w:pPr>
              <w:jc w:val="center"/>
              <w:rPr>
                <w:rFonts w:cs="Arial"/>
              </w:rPr>
            </w:pPr>
          </w:p>
        </w:tc>
      </w:tr>
      <w:tr w:rsidR="00692E71" w:rsidRPr="001E3185" w14:paraId="32675A89" w14:textId="77777777" w:rsidTr="008E0250">
        <w:trPr>
          <w:trHeight w:val="20"/>
          <w:jc w:val="center"/>
        </w:trPr>
        <w:tc>
          <w:tcPr>
            <w:tcW w:w="3614" w:type="dxa"/>
            <w:shd w:val="clear" w:color="auto" w:fill="FFFFFF"/>
            <w:noWrap/>
            <w:vAlign w:val="bottom"/>
          </w:tcPr>
          <w:p w14:paraId="594CAEE0" w14:textId="77777777" w:rsidR="00692E71" w:rsidRPr="001E3185" w:rsidRDefault="00692E71" w:rsidP="008E0250">
            <w:pPr>
              <w:rPr>
                <w:rFonts w:cs="Arial"/>
                <w:b/>
                <w:lang w:eastAsia="da-DK"/>
              </w:rPr>
            </w:pPr>
            <w:r w:rsidRPr="001E3185">
              <w:rPr>
                <w:rFonts w:cs="Arial"/>
                <w:lang w:eastAsia="da-DK"/>
              </w:rPr>
              <w:t>PEC/PNEC local without removal Time 1 (30 days)</w:t>
            </w:r>
          </w:p>
        </w:tc>
        <w:tc>
          <w:tcPr>
            <w:tcW w:w="992" w:type="dxa"/>
            <w:shd w:val="clear" w:color="auto" w:fill="FFFFFF"/>
            <w:noWrap/>
            <w:vAlign w:val="center"/>
          </w:tcPr>
          <w:p w14:paraId="6DDDA27C" w14:textId="77777777" w:rsidR="00692E71" w:rsidRPr="001E3185" w:rsidRDefault="00692E71" w:rsidP="008E0250">
            <w:pPr>
              <w:jc w:val="center"/>
              <w:rPr>
                <w:rFonts w:cs="Arial"/>
                <w:color w:val="000000"/>
                <w:lang w:eastAsia="da-DK"/>
              </w:rPr>
            </w:pPr>
            <w:r w:rsidRPr="001E3185">
              <w:rPr>
                <w:rFonts w:cs="Arial"/>
                <w:color w:val="000000"/>
              </w:rPr>
              <w:t>10.15</w:t>
            </w:r>
          </w:p>
        </w:tc>
        <w:tc>
          <w:tcPr>
            <w:tcW w:w="1134" w:type="dxa"/>
            <w:shd w:val="clear" w:color="auto" w:fill="FFFFFF"/>
            <w:noWrap/>
            <w:vAlign w:val="center"/>
          </w:tcPr>
          <w:p w14:paraId="6AAF6A74" w14:textId="77777777" w:rsidR="00692E71" w:rsidRPr="001E3185" w:rsidRDefault="00692E71" w:rsidP="008E0250">
            <w:pPr>
              <w:jc w:val="center"/>
              <w:rPr>
                <w:rFonts w:cs="Arial"/>
                <w:color w:val="000000"/>
              </w:rPr>
            </w:pPr>
            <w:r w:rsidRPr="001E3185">
              <w:rPr>
                <w:rFonts w:cs="Arial"/>
                <w:color w:val="000000"/>
              </w:rPr>
              <w:t>1.64</w:t>
            </w:r>
          </w:p>
        </w:tc>
        <w:tc>
          <w:tcPr>
            <w:tcW w:w="1134" w:type="dxa"/>
            <w:shd w:val="clear" w:color="auto" w:fill="FFFFFF"/>
            <w:noWrap/>
            <w:vAlign w:val="center"/>
          </w:tcPr>
          <w:p w14:paraId="6693C446" w14:textId="77777777" w:rsidR="00692E71" w:rsidRPr="001E3185" w:rsidRDefault="00692E71" w:rsidP="008E0250">
            <w:pPr>
              <w:jc w:val="center"/>
              <w:rPr>
                <w:rFonts w:cs="Arial"/>
                <w:color w:val="000000"/>
              </w:rPr>
            </w:pPr>
            <w:r w:rsidRPr="001E3185">
              <w:rPr>
                <w:rFonts w:cs="Arial"/>
                <w:color w:val="000000"/>
              </w:rPr>
              <w:t>0.67</w:t>
            </w:r>
          </w:p>
        </w:tc>
        <w:tc>
          <w:tcPr>
            <w:tcW w:w="1134" w:type="dxa"/>
            <w:shd w:val="clear" w:color="auto" w:fill="FFFFFF"/>
            <w:vAlign w:val="center"/>
          </w:tcPr>
          <w:p w14:paraId="4DDD8CFE" w14:textId="77777777" w:rsidR="00692E71" w:rsidRPr="001E3185" w:rsidRDefault="00692E71" w:rsidP="008E0250">
            <w:pPr>
              <w:jc w:val="center"/>
              <w:rPr>
                <w:rFonts w:cs="Arial"/>
                <w:color w:val="000000"/>
              </w:rPr>
            </w:pPr>
            <w:r w:rsidRPr="001E3185">
              <w:rPr>
                <w:rFonts w:cs="Arial"/>
                <w:color w:val="000000"/>
              </w:rPr>
              <w:t>0.26</w:t>
            </w:r>
          </w:p>
        </w:tc>
        <w:tc>
          <w:tcPr>
            <w:tcW w:w="1276" w:type="dxa"/>
            <w:shd w:val="clear" w:color="auto" w:fill="FFFFFF"/>
            <w:vAlign w:val="center"/>
          </w:tcPr>
          <w:p w14:paraId="4776C4C3" w14:textId="77777777" w:rsidR="00692E71" w:rsidRPr="001E3185" w:rsidRDefault="00692E71" w:rsidP="008E0250">
            <w:pPr>
              <w:jc w:val="center"/>
              <w:rPr>
                <w:rFonts w:cs="Arial"/>
              </w:rPr>
            </w:pPr>
            <w:r w:rsidRPr="001E3185">
              <w:rPr>
                <w:rFonts w:cs="Arial"/>
              </w:rPr>
              <w:t>13</w:t>
            </w:r>
          </w:p>
        </w:tc>
      </w:tr>
      <w:tr w:rsidR="00692E71" w:rsidRPr="001E3185" w14:paraId="46BEFC81" w14:textId="77777777" w:rsidTr="008E0250">
        <w:trPr>
          <w:trHeight w:val="20"/>
          <w:jc w:val="center"/>
        </w:trPr>
        <w:tc>
          <w:tcPr>
            <w:tcW w:w="3614" w:type="dxa"/>
            <w:shd w:val="clear" w:color="auto" w:fill="FFFFFF"/>
            <w:noWrap/>
            <w:vAlign w:val="bottom"/>
          </w:tcPr>
          <w:p w14:paraId="4209109D"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70CF1E84" w14:textId="77777777" w:rsidR="00692E71" w:rsidRPr="001E3185" w:rsidRDefault="00692E71" w:rsidP="008E0250">
            <w:pPr>
              <w:jc w:val="center"/>
              <w:rPr>
                <w:rFonts w:cs="Arial"/>
                <w:color w:val="000000"/>
                <w:lang w:eastAsia="da-DK"/>
              </w:rPr>
            </w:pPr>
            <w:r w:rsidRPr="001E3185">
              <w:rPr>
                <w:rFonts w:cs="Arial"/>
                <w:color w:val="000000"/>
              </w:rPr>
              <w:t>22</w:t>
            </w:r>
          </w:p>
        </w:tc>
        <w:tc>
          <w:tcPr>
            <w:tcW w:w="1134" w:type="dxa"/>
            <w:shd w:val="clear" w:color="auto" w:fill="FFFFFF"/>
            <w:noWrap/>
            <w:vAlign w:val="center"/>
          </w:tcPr>
          <w:p w14:paraId="54D292BB" w14:textId="77777777" w:rsidR="00692E71" w:rsidRPr="001E3185" w:rsidRDefault="00692E71" w:rsidP="008E0250">
            <w:pPr>
              <w:jc w:val="center"/>
              <w:rPr>
                <w:rFonts w:cs="Arial"/>
                <w:color w:val="000000"/>
              </w:rPr>
            </w:pPr>
            <w:r w:rsidRPr="001E3185">
              <w:rPr>
                <w:rFonts w:cs="Arial"/>
                <w:color w:val="000000"/>
              </w:rPr>
              <w:t>4.68</w:t>
            </w:r>
          </w:p>
        </w:tc>
        <w:tc>
          <w:tcPr>
            <w:tcW w:w="1134" w:type="dxa"/>
            <w:shd w:val="clear" w:color="auto" w:fill="FFFFFF"/>
            <w:noWrap/>
            <w:vAlign w:val="center"/>
          </w:tcPr>
          <w:p w14:paraId="2D53F59D" w14:textId="77777777" w:rsidR="00692E71" w:rsidRPr="001E3185" w:rsidRDefault="00692E71" w:rsidP="008E0250">
            <w:pPr>
              <w:jc w:val="center"/>
              <w:rPr>
                <w:rFonts w:cs="Arial"/>
                <w:color w:val="000000"/>
              </w:rPr>
            </w:pPr>
            <w:r w:rsidRPr="001E3185">
              <w:rPr>
                <w:rFonts w:cs="Arial"/>
                <w:color w:val="000000"/>
              </w:rPr>
              <w:t>1.77</w:t>
            </w:r>
          </w:p>
        </w:tc>
        <w:tc>
          <w:tcPr>
            <w:tcW w:w="1134" w:type="dxa"/>
            <w:shd w:val="clear" w:color="auto" w:fill="FFFFFF"/>
            <w:vAlign w:val="center"/>
          </w:tcPr>
          <w:p w14:paraId="09024E2C" w14:textId="77777777" w:rsidR="00692E71" w:rsidRPr="001E3185" w:rsidRDefault="00692E71" w:rsidP="008E0250">
            <w:pPr>
              <w:jc w:val="center"/>
              <w:rPr>
                <w:rFonts w:cs="Arial"/>
                <w:color w:val="000000"/>
              </w:rPr>
            </w:pPr>
            <w:r w:rsidRPr="001E3185">
              <w:rPr>
                <w:rFonts w:cs="Arial"/>
                <w:color w:val="000000"/>
              </w:rPr>
              <w:t>0.38</w:t>
            </w:r>
          </w:p>
        </w:tc>
        <w:tc>
          <w:tcPr>
            <w:tcW w:w="1276" w:type="dxa"/>
            <w:shd w:val="clear" w:color="auto" w:fill="FFFFFF"/>
            <w:vAlign w:val="center"/>
          </w:tcPr>
          <w:p w14:paraId="387DA20F" w14:textId="77777777" w:rsidR="00692E71" w:rsidRPr="001E3185" w:rsidRDefault="00692E71" w:rsidP="008E0250">
            <w:pPr>
              <w:jc w:val="center"/>
              <w:rPr>
                <w:rFonts w:cs="Arial"/>
              </w:rPr>
            </w:pPr>
            <w:r w:rsidRPr="001E3185">
              <w:rPr>
                <w:rFonts w:cs="Arial"/>
              </w:rPr>
              <w:t>29</w:t>
            </w:r>
          </w:p>
        </w:tc>
      </w:tr>
      <w:tr w:rsidR="00692E71" w:rsidRPr="001E3185" w14:paraId="00C2E1CE" w14:textId="77777777" w:rsidTr="008E0250">
        <w:trPr>
          <w:trHeight w:val="20"/>
          <w:jc w:val="center"/>
        </w:trPr>
        <w:tc>
          <w:tcPr>
            <w:tcW w:w="3614" w:type="dxa"/>
            <w:shd w:val="clear" w:color="auto" w:fill="FFFFFF"/>
            <w:noWrap/>
            <w:vAlign w:val="bottom"/>
          </w:tcPr>
          <w:p w14:paraId="27E9BFA6" w14:textId="77777777" w:rsidR="00692E71" w:rsidRPr="001E3185" w:rsidRDefault="00692E71" w:rsidP="008E0250">
            <w:pPr>
              <w:rPr>
                <w:rFonts w:cs="Arial"/>
                <w:b/>
                <w:lang w:eastAsia="da-DK"/>
              </w:rPr>
            </w:pPr>
          </w:p>
        </w:tc>
        <w:tc>
          <w:tcPr>
            <w:tcW w:w="992" w:type="dxa"/>
            <w:shd w:val="clear" w:color="auto" w:fill="FFFFFF"/>
            <w:noWrap/>
            <w:vAlign w:val="center"/>
          </w:tcPr>
          <w:p w14:paraId="4D6A1487"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79A254FC" w14:textId="77777777" w:rsidR="00692E71" w:rsidRPr="001E3185" w:rsidRDefault="00692E71" w:rsidP="008E0250">
            <w:pPr>
              <w:jc w:val="center"/>
              <w:rPr>
                <w:rFonts w:cs="Arial"/>
              </w:rPr>
            </w:pPr>
          </w:p>
        </w:tc>
        <w:tc>
          <w:tcPr>
            <w:tcW w:w="1134" w:type="dxa"/>
            <w:shd w:val="clear" w:color="auto" w:fill="FFFFFF"/>
            <w:noWrap/>
            <w:vAlign w:val="center"/>
          </w:tcPr>
          <w:p w14:paraId="63A32E7F" w14:textId="77777777" w:rsidR="00692E71" w:rsidRPr="001E3185" w:rsidRDefault="00692E71" w:rsidP="008E0250">
            <w:pPr>
              <w:jc w:val="center"/>
              <w:rPr>
                <w:rFonts w:cs="Arial"/>
              </w:rPr>
            </w:pPr>
          </w:p>
        </w:tc>
        <w:tc>
          <w:tcPr>
            <w:tcW w:w="1134" w:type="dxa"/>
            <w:shd w:val="clear" w:color="auto" w:fill="FFFFFF"/>
            <w:vAlign w:val="center"/>
          </w:tcPr>
          <w:p w14:paraId="063BAE29" w14:textId="77777777" w:rsidR="00692E71" w:rsidRPr="001E3185" w:rsidRDefault="00692E71" w:rsidP="008E0250">
            <w:pPr>
              <w:jc w:val="center"/>
              <w:rPr>
                <w:rFonts w:cs="Arial"/>
              </w:rPr>
            </w:pPr>
          </w:p>
        </w:tc>
        <w:tc>
          <w:tcPr>
            <w:tcW w:w="1276" w:type="dxa"/>
            <w:shd w:val="clear" w:color="auto" w:fill="FFFFFF"/>
            <w:vAlign w:val="center"/>
          </w:tcPr>
          <w:p w14:paraId="3A94FD36" w14:textId="77777777" w:rsidR="00692E71" w:rsidRPr="001E3185" w:rsidRDefault="00692E71" w:rsidP="008E0250">
            <w:pPr>
              <w:jc w:val="center"/>
              <w:rPr>
                <w:rFonts w:cs="Arial"/>
              </w:rPr>
            </w:pPr>
          </w:p>
        </w:tc>
      </w:tr>
      <w:tr w:rsidR="00692E71" w:rsidRPr="001E3185" w14:paraId="34F71DED" w14:textId="77777777" w:rsidTr="008E0250">
        <w:trPr>
          <w:trHeight w:val="20"/>
          <w:jc w:val="center"/>
        </w:trPr>
        <w:tc>
          <w:tcPr>
            <w:tcW w:w="3614" w:type="dxa"/>
            <w:shd w:val="clear" w:color="auto" w:fill="FFFFFF"/>
            <w:noWrap/>
            <w:vAlign w:val="bottom"/>
          </w:tcPr>
          <w:p w14:paraId="4F5D3F80" w14:textId="77777777" w:rsidR="00692E71" w:rsidRPr="001E3185" w:rsidRDefault="00692E71" w:rsidP="008E0250">
            <w:pPr>
              <w:rPr>
                <w:rFonts w:cs="Arial"/>
                <w:b/>
                <w:lang w:eastAsia="da-DK"/>
              </w:rPr>
            </w:pPr>
            <w:r w:rsidRPr="001E3185">
              <w:rPr>
                <w:rFonts w:cs="Arial"/>
                <w:lang w:eastAsia="da-DK"/>
              </w:rPr>
              <w:t>PEC/PNEC local with removal Time 1 (30 days)</w:t>
            </w:r>
          </w:p>
        </w:tc>
        <w:tc>
          <w:tcPr>
            <w:tcW w:w="992" w:type="dxa"/>
            <w:shd w:val="clear" w:color="auto" w:fill="FFFFFF"/>
            <w:noWrap/>
            <w:vAlign w:val="center"/>
          </w:tcPr>
          <w:p w14:paraId="4759FD06" w14:textId="77777777" w:rsidR="00692E71" w:rsidRPr="001E3185" w:rsidRDefault="00692E71" w:rsidP="008E0250">
            <w:pPr>
              <w:jc w:val="center"/>
              <w:rPr>
                <w:rFonts w:cs="Arial"/>
                <w:color w:val="000000"/>
                <w:lang w:eastAsia="da-DK"/>
              </w:rPr>
            </w:pPr>
            <w:r w:rsidRPr="001E3185">
              <w:rPr>
                <w:rFonts w:cs="Arial"/>
                <w:color w:val="000000"/>
              </w:rPr>
              <w:t>0.01</w:t>
            </w:r>
          </w:p>
        </w:tc>
        <w:tc>
          <w:tcPr>
            <w:tcW w:w="1134" w:type="dxa"/>
            <w:shd w:val="clear" w:color="auto" w:fill="FFFFFF"/>
            <w:noWrap/>
            <w:vAlign w:val="center"/>
          </w:tcPr>
          <w:p w14:paraId="624CA738" w14:textId="77777777" w:rsidR="00692E71" w:rsidRPr="001E3185" w:rsidRDefault="00692E71" w:rsidP="008E0250">
            <w:pPr>
              <w:jc w:val="center"/>
              <w:rPr>
                <w:rFonts w:cs="Arial"/>
                <w:color w:val="000000"/>
              </w:rPr>
            </w:pPr>
            <w:r w:rsidRPr="001E3185">
              <w:rPr>
                <w:rFonts w:cs="Arial"/>
                <w:color w:val="000000"/>
              </w:rPr>
              <w:t>1.48</w:t>
            </w:r>
          </w:p>
        </w:tc>
        <w:tc>
          <w:tcPr>
            <w:tcW w:w="1134" w:type="dxa"/>
            <w:shd w:val="clear" w:color="auto" w:fill="FFFFFF"/>
            <w:noWrap/>
            <w:vAlign w:val="center"/>
          </w:tcPr>
          <w:p w14:paraId="31B7F998" w14:textId="77777777" w:rsidR="00692E71" w:rsidRPr="001E3185" w:rsidRDefault="00692E71" w:rsidP="008E0250">
            <w:pPr>
              <w:jc w:val="center"/>
              <w:rPr>
                <w:rFonts w:cs="Arial"/>
                <w:color w:val="000000"/>
              </w:rPr>
            </w:pPr>
            <w:r w:rsidRPr="001E3185">
              <w:rPr>
                <w:rFonts w:cs="Arial"/>
                <w:color w:val="000000"/>
              </w:rPr>
              <w:t>0.56</w:t>
            </w:r>
          </w:p>
        </w:tc>
        <w:tc>
          <w:tcPr>
            <w:tcW w:w="1134" w:type="dxa"/>
            <w:shd w:val="clear" w:color="auto" w:fill="FFFFFF"/>
            <w:vAlign w:val="center"/>
          </w:tcPr>
          <w:p w14:paraId="79EF056C" w14:textId="77777777" w:rsidR="00692E71" w:rsidRPr="001E3185" w:rsidRDefault="00692E71" w:rsidP="008E0250">
            <w:pPr>
              <w:jc w:val="center"/>
              <w:rPr>
                <w:rFonts w:cs="Arial"/>
                <w:color w:val="000000"/>
              </w:rPr>
            </w:pPr>
            <w:r w:rsidRPr="001E3185">
              <w:rPr>
                <w:rFonts w:cs="Arial"/>
                <w:color w:val="000000"/>
              </w:rPr>
              <w:t>0.08</w:t>
            </w:r>
          </w:p>
        </w:tc>
        <w:tc>
          <w:tcPr>
            <w:tcW w:w="1276" w:type="dxa"/>
            <w:shd w:val="clear" w:color="auto" w:fill="FFFFFF"/>
            <w:vAlign w:val="center"/>
          </w:tcPr>
          <w:p w14:paraId="61AFEBD4" w14:textId="77777777" w:rsidR="00692E71" w:rsidRPr="001E3185" w:rsidRDefault="00692E71" w:rsidP="008E0250">
            <w:pPr>
              <w:jc w:val="center"/>
              <w:rPr>
                <w:rFonts w:cs="Arial"/>
              </w:rPr>
            </w:pPr>
            <w:r w:rsidRPr="001E3185">
              <w:rPr>
                <w:rFonts w:cs="Arial"/>
              </w:rPr>
              <w:t>2.12</w:t>
            </w:r>
          </w:p>
        </w:tc>
      </w:tr>
      <w:tr w:rsidR="00692E71" w:rsidRPr="001E3185" w14:paraId="693EB088" w14:textId="77777777" w:rsidTr="008E0250">
        <w:trPr>
          <w:trHeight w:val="20"/>
          <w:jc w:val="center"/>
        </w:trPr>
        <w:tc>
          <w:tcPr>
            <w:tcW w:w="3614" w:type="dxa"/>
            <w:shd w:val="clear" w:color="auto" w:fill="FFFFFF"/>
            <w:noWrap/>
            <w:vAlign w:val="bottom"/>
          </w:tcPr>
          <w:p w14:paraId="0743D4E2" w14:textId="77777777" w:rsidR="00692E71" w:rsidRPr="001E3185" w:rsidRDefault="00692E71" w:rsidP="008E0250">
            <w:pPr>
              <w:rPr>
                <w:rFonts w:cs="Arial"/>
                <w:b/>
                <w:lang w:eastAsia="da-DK"/>
              </w:rPr>
            </w:pPr>
            <w:r w:rsidRPr="001E3185">
              <w:rPr>
                <w:rFonts w:cs="Arial"/>
                <w:lang w:eastAsia="da-DK"/>
              </w:rPr>
              <w:t>PEC/PNEC local with removal Time 2 (1825 days)</w:t>
            </w:r>
          </w:p>
        </w:tc>
        <w:tc>
          <w:tcPr>
            <w:tcW w:w="992" w:type="dxa"/>
            <w:shd w:val="clear" w:color="auto" w:fill="FFFFFF"/>
            <w:noWrap/>
            <w:vAlign w:val="center"/>
          </w:tcPr>
          <w:p w14:paraId="504A9607" w14:textId="77777777" w:rsidR="00692E71" w:rsidRPr="001E3185" w:rsidRDefault="00692E71" w:rsidP="008E0250">
            <w:pPr>
              <w:jc w:val="center"/>
              <w:rPr>
                <w:rFonts w:cs="Arial"/>
                <w:color w:val="000000"/>
                <w:lang w:eastAsia="da-DK"/>
              </w:rPr>
            </w:pPr>
            <w:r w:rsidRPr="001E3185">
              <w:rPr>
                <w:rFonts w:cs="Arial"/>
                <w:color w:val="000000"/>
              </w:rPr>
              <w:t>2.0*10</w:t>
            </w:r>
            <w:r w:rsidRPr="001E3185">
              <w:rPr>
                <w:rFonts w:cs="Arial"/>
                <w:color w:val="000000"/>
                <w:vertAlign w:val="superscript"/>
              </w:rPr>
              <w:t>-4</w:t>
            </w:r>
          </w:p>
        </w:tc>
        <w:tc>
          <w:tcPr>
            <w:tcW w:w="1134" w:type="dxa"/>
            <w:shd w:val="clear" w:color="auto" w:fill="FFFFFF"/>
            <w:noWrap/>
            <w:vAlign w:val="center"/>
          </w:tcPr>
          <w:p w14:paraId="586A5FA9" w14:textId="77777777" w:rsidR="00692E71" w:rsidRPr="001E3185" w:rsidRDefault="00692E71" w:rsidP="008E0250">
            <w:pPr>
              <w:jc w:val="center"/>
              <w:rPr>
                <w:rFonts w:cs="Arial"/>
                <w:color w:val="000000"/>
              </w:rPr>
            </w:pPr>
            <w:r w:rsidRPr="001E3185">
              <w:rPr>
                <w:rFonts w:cs="Arial"/>
                <w:color w:val="000000"/>
              </w:rPr>
              <w:t>0.31</w:t>
            </w:r>
          </w:p>
        </w:tc>
        <w:tc>
          <w:tcPr>
            <w:tcW w:w="1134" w:type="dxa"/>
            <w:shd w:val="clear" w:color="auto" w:fill="FFFFFF"/>
            <w:noWrap/>
            <w:vAlign w:val="center"/>
          </w:tcPr>
          <w:p w14:paraId="03E4BD6D" w14:textId="77777777" w:rsidR="00692E71" w:rsidRPr="001E3185" w:rsidRDefault="00692E71" w:rsidP="008E0250">
            <w:pPr>
              <w:jc w:val="center"/>
              <w:rPr>
                <w:rFonts w:cs="Arial"/>
                <w:color w:val="000000"/>
              </w:rPr>
            </w:pPr>
            <w:r w:rsidRPr="001E3185">
              <w:rPr>
                <w:rFonts w:cs="Arial"/>
                <w:color w:val="000000"/>
              </w:rPr>
              <w:t>0.07</w:t>
            </w:r>
          </w:p>
        </w:tc>
        <w:tc>
          <w:tcPr>
            <w:tcW w:w="1134" w:type="dxa"/>
            <w:shd w:val="clear" w:color="auto" w:fill="FFFFFF"/>
            <w:vAlign w:val="center"/>
          </w:tcPr>
          <w:p w14:paraId="7943A8B4" w14:textId="77777777" w:rsidR="00692E71" w:rsidRPr="001E3185" w:rsidRDefault="00692E71" w:rsidP="008E0250">
            <w:pPr>
              <w:jc w:val="center"/>
              <w:rPr>
                <w:rFonts w:cs="Arial"/>
                <w:color w:val="000000"/>
              </w:rPr>
            </w:pPr>
            <w:r w:rsidRPr="001E3185">
              <w:rPr>
                <w:rFonts w:cs="Arial"/>
                <w:color w:val="000000"/>
              </w:rPr>
              <w:t>1.7*10</w:t>
            </w:r>
            <w:r w:rsidRPr="001E3185">
              <w:rPr>
                <w:rFonts w:cs="Arial"/>
                <w:color w:val="000000"/>
                <w:vertAlign w:val="superscript"/>
              </w:rPr>
              <w:t>-3</w:t>
            </w:r>
          </w:p>
        </w:tc>
        <w:tc>
          <w:tcPr>
            <w:tcW w:w="1276" w:type="dxa"/>
            <w:shd w:val="clear" w:color="auto" w:fill="FFFFFF"/>
            <w:vAlign w:val="center"/>
          </w:tcPr>
          <w:p w14:paraId="33AC04BE" w14:textId="77777777" w:rsidR="00692E71" w:rsidRPr="001E3185" w:rsidRDefault="00692E71" w:rsidP="008E0250">
            <w:pPr>
              <w:jc w:val="center"/>
              <w:rPr>
                <w:rFonts w:cs="Arial"/>
              </w:rPr>
            </w:pPr>
            <w:r w:rsidRPr="001E3185">
              <w:rPr>
                <w:rFonts w:cs="Arial"/>
              </w:rPr>
              <w:t>0.38</w:t>
            </w:r>
          </w:p>
        </w:tc>
      </w:tr>
    </w:tbl>
    <w:p w14:paraId="25074480" w14:textId="77777777" w:rsidR="00692E71" w:rsidRPr="001E3185" w:rsidRDefault="00692E71" w:rsidP="00692E71">
      <w:pPr>
        <w:rPr>
          <w:rFonts w:cs="Arial"/>
          <w:b/>
          <w:bCs/>
        </w:rPr>
      </w:pPr>
    </w:p>
    <w:p w14:paraId="22DB95FA" w14:textId="77777777" w:rsidR="00692E71" w:rsidRPr="001E3185" w:rsidRDefault="00692E71" w:rsidP="00692E71">
      <w:pPr>
        <w:rPr>
          <w:rFonts w:cs="Arial"/>
          <w:bCs/>
        </w:rPr>
      </w:pPr>
      <w:r w:rsidRPr="001E3185">
        <w:rPr>
          <w:rFonts w:cs="Arial"/>
          <w:bCs/>
        </w:rPr>
        <w:t>In the storage scenario following industrial application risk was identified in soil for propiconazole and tebuconazole, when removal processes were taking into account.</w:t>
      </w:r>
    </w:p>
    <w:p w14:paraId="5D15697E" w14:textId="77777777" w:rsidR="00692E71" w:rsidRPr="001E3185" w:rsidRDefault="00692E71" w:rsidP="00692E71">
      <w:pPr>
        <w:rPr>
          <w:rFonts w:cs="Arial"/>
          <w:b/>
          <w:bCs/>
          <w:highlight w:val="yellow"/>
        </w:rPr>
      </w:pPr>
    </w:p>
    <w:p w14:paraId="197CE02A" w14:textId="77777777" w:rsidR="00692E71" w:rsidRPr="001E3185" w:rsidRDefault="00692E71" w:rsidP="00692E71">
      <w:pPr>
        <w:rPr>
          <w:rFonts w:cs="Arial"/>
          <w:bCs/>
        </w:rPr>
      </w:pPr>
      <w:r w:rsidRPr="001E3185">
        <w:rPr>
          <w:rFonts w:cs="Arial"/>
          <w:bCs/>
        </w:rPr>
        <w:t>In the soil compartment using the brush application, risk was identified at Time 1 and 2 for IPBC for both the house and fence scenarios and for both professional and non-professional use.</w:t>
      </w:r>
    </w:p>
    <w:p w14:paraId="66B0797B" w14:textId="77777777" w:rsidR="00692E71" w:rsidRPr="001E3185" w:rsidRDefault="00692E71" w:rsidP="00692E71">
      <w:pPr>
        <w:rPr>
          <w:rFonts w:cs="Arial"/>
          <w:bCs/>
        </w:rPr>
      </w:pPr>
      <w:r w:rsidRPr="001E3185">
        <w:rPr>
          <w:rFonts w:cs="Arial"/>
          <w:bCs/>
        </w:rPr>
        <w:t xml:space="preserve">For spray application risk was identified for all </w:t>
      </w:r>
      <w:proofErr w:type="gramStart"/>
      <w:r w:rsidRPr="001E3185">
        <w:rPr>
          <w:rFonts w:cs="Arial"/>
          <w:bCs/>
        </w:rPr>
        <w:t>a.s</w:t>
      </w:r>
      <w:proofErr w:type="gramEnd"/>
      <w:r w:rsidRPr="001E3185">
        <w:rPr>
          <w:rFonts w:cs="Arial"/>
          <w:bCs/>
        </w:rPr>
        <w:t>. at Time 1 and for IPBC at Time 2.</w:t>
      </w:r>
    </w:p>
    <w:p w14:paraId="1B3155CD" w14:textId="77777777" w:rsidR="00692E71" w:rsidRPr="001E3185" w:rsidRDefault="00692E71" w:rsidP="00692E71">
      <w:pPr>
        <w:rPr>
          <w:rFonts w:cs="Arial"/>
          <w:bCs/>
        </w:rPr>
      </w:pPr>
    </w:p>
    <w:p w14:paraId="4EB56573" w14:textId="77777777" w:rsidR="00692E71" w:rsidRPr="001E3185" w:rsidRDefault="00692E71" w:rsidP="00692E71">
      <w:pPr>
        <w:rPr>
          <w:rFonts w:cs="Arial"/>
          <w:bCs/>
        </w:rPr>
      </w:pPr>
      <w:r w:rsidRPr="001E3185">
        <w:rPr>
          <w:rFonts w:cs="Arial"/>
          <w:bCs/>
        </w:rPr>
        <w:t xml:space="preserve">For the industrial treated wood in service risk was identified for IPBC and propiconazole at Time 1 and for IPBC, propiconazole and tebuconazole at Time 2 when removal was not taking into account for all scenarios. Taking removal into account risk was only identified for propiconazole at Time 1. </w:t>
      </w:r>
    </w:p>
    <w:p w14:paraId="2001CDA9" w14:textId="77777777" w:rsidR="00692E71" w:rsidRPr="001E3185" w:rsidRDefault="00692E71" w:rsidP="00692E71">
      <w:pPr>
        <w:rPr>
          <w:rFonts w:cs="Arial"/>
          <w:bCs/>
        </w:rPr>
      </w:pPr>
      <w:r w:rsidRPr="001E3185">
        <w:rPr>
          <w:rFonts w:cs="Arial"/>
          <w:bCs/>
        </w:rPr>
        <w:t xml:space="preserve"> </w:t>
      </w:r>
    </w:p>
    <w:p w14:paraId="003BA0EB" w14:textId="77777777" w:rsidR="00692E71" w:rsidRPr="001E3185" w:rsidRDefault="00692E71" w:rsidP="00692E71">
      <w:pPr>
        <w:rPr>
          <w:rFonts w:cs="Arial"/>
          <w:bCs/>
        </w:rPr>
      </w:pPr>
      <w:r w:rsidRPr="001E3185">
        <w:rPr>
          <w:rFonts w:cs="Arial"/>
          <w:bCs/>
        </w:rPr>
        <w:t xml:space="preserve">For the </w:t>
      </w:r>
      <w:r w:rsidRPr="001E3185">
        <w:rPr>
          <w:rFonts w:cs="Arial"/>
          <w:bCs/>
          <w:i/>
        </w:rPr>
        <w:t>in-situ</w:t>
      </w:r>
      <w:r w:rsidRPr="001E3185">
        <w:rPr>
          <w:rFonts w:cs="Arial"/>
          <w:bCs/>
        </w:rPr>
        <w:t xml:space="preserve"> brushing application risk was identified for the house and the fence scenarios for IPBC, propiconazole and tebuconazole at both Time 1 and 2. Taking removal process into account risk was only identified for propiconazole at Time 1.</w:t>
      </w:r>
    </w:p>
    <w:p w14:paraId="0A9906A8" w14:textId="77777777" w:rsidR="00692E71" w:rsidRPr="001E3185" w:rsidRDefault="00692E71" w:rsidP="00692E71">
      <w:pPr>
        <w:rPr>
          <w:rFonts w:cs="Arial"/>
          <w:bCs/>
        </w:rPr>
      </w:pPr>
      <w:r w:rsidRPr="001E3185">
        <w:rPr>
          <w:rFonts w:cs="Arial"/>
          <w:bCs/>
        </w:rPr>
        <w:t>Risk was acceptable when taking removal processes into account at Time 2 for both scenarios.</w:t>
      </w:r>
    </w:p>
    <w:p w14:paraId="2BA0FFC0" w14:textId="77777777" w:rsidR="00692E71" w:rsidRPr="001E3185" w:rsidRDefault="00692E71" w:rsidP="00692E71">
      <w:pPr>
        <w:rPr>
          <w:rFonts w:cs="Arial"/>
          <w:bCs/>
        </w:rPr>
      </w:pPr>
    </w:p>
    <w:p w14:paraId="5A802AC0" w14:textId="77777777" w:rsidR="00692E71" w:rsidRPr="001E3185" w:rsidRDefault="00692E71" w:rsidP="00692E71">
      <w:pPr>
        <w:rPr>
          <w:rFonts w:cs="Arial"/>
          <w:bCs/>
        </w:rPr>
      </w:pPr>
      <w:r w:rsidRPr="001E3185">
        <w:rPr>
          <w:rFonts w:cs="Arial"/>
          <w:bCs/>
        </w:rPr>
        <w:t xml:space="preserve">Using the spray application risk was identified at Time 1 and 2 for all 4 </w:t>
      </w:r>
      <w:proofErr w:type="gramStart"/>
      <w:r w:rsidRPr="001E3185">
        <w:rPr>
          <w:rFonts w:cs="Arial"/>
          <w:bCs/>
        </w:rPr>
        <w:t>a.s</w:t>
      </w:r>
      <w:proofErr w:type="gramEnd"/>
      <w:r w:rsidRPr="001E3185">
        <w:rPr>
          <w:rFonts w:cs="Arial"/>
          <w:bCs/>
        </w:rPr>
        <w:t xml:space="preserve">. for the house scenario for Tier 1 without taking removal processes into account. Also with removal processes taking into account a risk at Time 1 was identified for propiconazole and tebuconazole. </w:t>
      </w:r>
    </w:p>
    <w:p w14:paraId="01F4F9AF" w14:textId="77777777" w:rsidR="00692E71" w:rsidRPr="001E3185" w:rsidRDefault="00692E71" w:rsidP="00692E71">
      <w:pPr>
        <w:rPr>
          <w:rFonts w:cs="Arial"/>
          <w:bCs/>
        </w:rPr>
      </w:pPr>
      <w:r w:rsidRPr="001E3185">
        <w:rPr>
          <w:rFonts w:cs="Arial"/>
          <w:bCs/>
        </w:rPr>
        <w:t>For Tier 2 risk was identified for IPBC and propiconazole at Time 1 and for IPBC, propiconazole and tebuconazole at Time 2 without removal. When removal processes were taking into account risk was only identified at Time 1 for propiconazole.</w:t>
      </w:r>
    </w:p>
    <w:p w14:paraId="2E1B55FD" w14:textId="77777777" w:rsidR="00692E71" w:rsidRPr="001E3185" w:rsidRDefault="00692E71" w:rsidP="00692E71">
      <w:pPr>
        <w:rPr>
          <w:rFonts w:cs="Arial"/>
          <w:bCs/>
        </w:rPr>
      </w:pPr>
      <w:r w:rsidRPr="001E3185">
        <w:rPr>
          <w:rFonts w:cs="Arial"/>
          <w:bCs/>
        </w:rPr>
        <w:t>Risk was acceptable when taking removal processes into account at Time 2 for both Tier 1 and 2.</w:t>
      </w:r>
    </w:p>
    <w:p w14:paraId="69BE9337" w14:textId="77777777" w:rsidR="00692E71" w:rsidRPr="001E3185" w:rsidRDefault="00692E71" w:rsidP="00692E71">
      <w:pPr>
        <w:rPr>
          <w:rFonts w:cs="Arial"/>
          <w:bCs/>
          <w:highlight w:val="yellow"/>
        </w:rPr>
      </w:pPr>
    </w:p>
    <w:p w14:paraId="4F22A0B0" w14:textId="77777777" w:rsidR="00692E71" w:rsidRPr="001E3185" w:rsidRDefault="00692E71" w:rsidP="00692E71">
      <w:pPr>
        <w:rPr>
          <w:rFonts w:cs="Arial"/>
          <w:b/>
          <w:bCs/>
          <w:u w:val="single"/>
        </w:rPr>
      </w:pPr>
      <w:r w:rsidRPr="001E3185">
        <w:rPr>
          <w:rFonts w:cs="Arial"/>
          <w:b/>
          <w:bCs/>
          <w:u w:val="single"/>
        </w:rPr>
        <w:t>- Metabolites</w:t>
      </w:r>
    </w:p>
    <w:p w14:paraId="7E7B5581" w14:textId="77777777" w:rsidR="00692E71" w:rsidRPr="00FE333D" w:rsidRDefault="00692E71" w:rsidP="00692E71">
      <w:pPr>
        <w:pStyle w:val="En-tte"/>
        <w:rPr>
          <w:rFonts w:ascii="Verdana" w:hAnsi="Verdana" w:cs="Arial"/>
          <w:lang w:val="en-US"/>
        </w:rPr>
      </w:pPr>
    </w:p>
    <w:p w14:paraId="5C8C2056" w14:textId="77777777" w:rsidR="00692E71" w:rsidRPr="001E3185" w:rsidRDefault="00692E71" w:rsidP="00692E71">
      <w:pPr>
        <w:rPr>
          <w:rFonts w:cs="Arial"/>
        </w:rPr>
      </w:pPr>
      <w:r w:rsidRPr="001E3185">
        <w:rPr>
          <w:rFonts w:cs="Arial"/>
        </w:rPr>
        <w:t>PBC was identified as a relevant metabolite of IPBC in water, sediment and soil. Due to a relative short half-life of PBC, it can be regarded as a transient metabolite. In addition, the ecotoxicity of PBC is a factor of 300 – 1000 lower for fish, invertebrates and algae compared to IPBC.</w:t>
      </w:r>
    </w:p>
    <w:p w14:paraId="06C1616E" w14:textId="77777777" w:rsidR="00692E71" w:rsidRPr="001E3185" w:rsidRDefault="00692E71" w:rsidP="00692E71">
      <w:pPr>
        <w:autoSpaceDE w:val="0"/>
        <w:autoSpaceDN w:val="0"/>
        <w:adjustRightInd w:val="0"/>
        <w:snapToGrid w:val="0"/>
        <w:rPr>
          <w:rFonts w:cs="Arial"/>
          <w:color w:val="000000"/>
          <w:lang w:eastAsia="da-DK"/>
        </w:rPr>
      </w:pPr>
      <w:r w:rsidRPr="001E3185">
        <w:rPr>
          <w:rFonts w:cs="Arial"/>
        </w:rPr>
        <w:t xml:space="preserve">In this report PBC was included in the calculation, by transforming the measured amount of PBC to the corresponding amount of IPBC and use the total as input parameter. This must be considered a worst case approach. Furthermore a groundwater assessment was performed where no risk was identified. So, no further assessment of this metabolite is needed. </w:t>
      </w:r>
    </w:p>
    <w:p w14:paraId="43C378CD" w14:textId="77777777" w:rsidR="00692E71" w:rsidRPr="001E3185" w:rsidRDefault="00692E71" w:rsidP="00692E71">
      <w:pPr>
        <w:autoSpaceDE w:val="0"/>
        <w:autoSpaceDN w:val="0"/>
        <w:adjustRightInd w:val="0"/>
        <w:snapToGrid w:val="0"/>
        <w:rPr>
          <w:rFonts w:cs="Arial"/>
          <w:color w:val="000000"/>
          <w:lang w:eastAsia="da-DK"/>
        </w:rPr>
      </w:pPr>
    </w:p>
    <w:p w14:paraId="3CFE2105" w14:textId="77777777" w:rsidR="00692E71" w:rsidRPr="001E3185" w:rsidRDefault="00692E71" w:rsidP="00692E71">
      <w:pPr>
        <w:autoSpaceDE w:val="0"/>
        <w:autoSpaceDN w:val="0"/>
        <w:adjustRightInd w:val="0"/>
        <w:snapToGrid w:val="0"/>
        <w:rPr>
          <w:rFonts w:cs="Arial"/>
          <w:color w:val="000000"/>
          <w:lang w:eastAsia="da-DK"/>
        </w:rPr>
      </w:pPr>
      <w:r w:rsidRPr="001E3185">
        <w:rPr>
          <w:rFonts w:cs="Arial"/>
          <w:color w:val="000000"/>
          <w:lang w:eastAsia="da-DK"/>
        </w:rPr>
        <w:t>In soil two metabolites of propiconazole were above the limit of 10%: 1</w:t>
      </w:r>
      <w:proofErr w:type="gramStart"/>
      <w:r w:rsidRPr="001E3185">
        <w:rPr>
          <w:rFonts w:cs="Arial"/>
          <w:color w:val="000000"/>
          <w:lang w:eastAsia="da-DK"/>
        </w:rPr>
        <w:t>,2,4</w:t>
      </w:r>
      <w:proofErr w:type="gramEnd"/>
      <w:r w:rsidRPr="001E3185">
        <w:rPr>
          <w:rFonts w:cs="Arial"/>
          <w:color w:val="000000"/>
          <w:lang w:eastAsia="da-DK"/>
        </w:rPr>
        <w:t>-triazole and CGA 118 245, and for tebuconazole 1,2,4-triazole was close to the 10% limit. A groundwater assessment was performed for 1</w:t>
      </w:r>
      <w:proofErr w:type="gramStart"/>
      <w:r w:rsidRPr="001E3185">
        <w:rPr>
          <w:rFonts w:cs="Arial"/>
          <w:color w:val="000000"/>
          <w:lang w:eastAsia="da-DK"/>
        </w:rPr>
        <w:t>,2,4</w:t>
      </w:r>
      <w:proofErr w:type="gramEnd"/>
      <w:r w:rsidRPr="001E3185">
        <w:rPr>
          <w:rFonts w:cs="Arial"/>
          <w:color w:val="000000"/>
          <w:lang w:eastAsia="da-DK"/>
        </w:rPr>
        <w:t>-triazole without identifying any risk to groundwater. Due to the much lower half-life and lower ecotoxicity these metabolites were not considered further.</w:t>
      </w:r>
    </w:p>
    <w:p w14:paraId="7C45A0C4" w14:textId="77777777" w:rsidR="00692E71" w:rsidRPr="001E3185" w:rsidRDefault="00692E71" w:rsidP="00692E71">
      <w:pPr>
        <w:autoSpaceDE w:val="0"/>
        <w:autoSpaceDN w:val="0"/>
        <w:adjustRightInd w:val="0"/>
        <w:snapToGrid w:val="0"/>
        <w:rPr>
          <w:rFonts w:cs="Arial"/>
          <w:color w:val="000000"/>
          <w:lang w:eastAsia="da-DK"/>
        </w:rPr>
      </w:pPr>
    </w:p>
    <w:p w14:paraId="16358B3F" w14:textId="77777777" w:rsidR="00692E71" w:rsidRPr="001E3185" w:rsidRDefault="00692E71" w:rsidP="00692E71">
      <w:pPr>
        <w:autoSpaceDE w:val="0"/>
        <w:autoSpaceDN w:val="0"/>
        <w:adjustRightInd w:val="0"/>
        <w:snapToGrid w:val="0"/>
        <w:rPr>
          <w:rFonts w:cs="Arial"/>
        </w:rPr>
      </w:pPr>
      <w:r w:rsidRPr="001E3185">
        <w:rPr>
          <w:rFonts w:cs="Arial"/>
        </w:rPr>
        <w:lastRenderedPageBreak/>
        <w:t>In the AR for cypermethrin three major metabolites were identified in soil: 3-phenoxybenzoic acid, TDCVC and CDCVC. However, no data is available for these metabolites and none of these were considered further.</w:t>
      </w:r>
    </w:p>
    <w:tbl>
      <w:tblPr>
        <w:tblpPr w:leftFromText="141" w:rightFromText="141"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804"/>
      </w:tblGrid>
      <w:tr w:rsidR="00692E71" w:rsidRPr="001E3185" w14:paraId="08E9FF0E" w14:textId="77777777" w:rsidTr="008E0250">
        <w:tc>
          <w:tcPr>
            <w:tcW w:w="5000" w:type="pct"/>
            <w:shd w:val="clear" w:color="auto" w:fill="D6E3BC"/>
          </w:tcPr>
          <w:p w14:paraId="1F2BB619" w14:textId="77777777" w:rsidR="00692E71" w:rsidRPr="001E3185" w:rsidRDefault="00692E71" w:rsidP="008E0250">
            <w:pPr>
              <w:pStyle w:val="Lgende"/>
              <w:rPr>
                <w:rStyle w:val="Marquedecommentaire"/>
                <w:rFonts w:ascii="Verdana" w:hAnsi="Verdana"/>
                <w:b/>
                <w:bCs/>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10</w:t>
            </w:r>
            <w:r w:rsidRPr="001E3185">
              <w:rPr>
                <w:rFonts w:ascii="Verdana" w:hAnsi="Verdana"/>
              </w:rPr>
              <w:fldChar w:fldCharType="end"/>
            </w:r>
          </w:p>
          <w:p w14:paraId="6AF59820" w14:textId="77777777" w:rsidR="00692E71" w:rsidRPr="001E3185" w:rsidRDefault="00692E71" w:rsidP="008E0250">
            <w:pPr>
              <w:pStyle w:val="Lgende"/>
              <w:rPr>
                <w:rFonts w:ascii="Verdana" w:hAnsi="Verdana"/>
              </w:rPr>
            </w:pPr>
            <w:r w:rsidRPr="001E3185">
              <w:rPr>
                <w:rFonts w:ascii="Verdana" w:hAnsi="Verdana"/>
                <w:lang w:eastAsia="en-GB"/>
              </w:rPr>
              <w:t>Risk characterisation for the terrestrial compartment</w:t>
            </w:r>
          </w:p>
          <w:p w14:paraId="6AD9E28F" w14:textId="77777777" w:rsidR="00692E71" w:rsidRPr="001E3185" w:rsidRDefault="00692E71" w:rsidP="008E0250">
            <w:pPr>
              <w:rPr>
                <w:rFonts w:cs="Arial"/>
              </w:rPr>
            </w:pPr>
          </w:p>
          <w:p w14:paraId="43D5672F" w14:textId="77777777" w:rsidR="00692E71" w:rsidRPr="001E3185" w:rsidRDefault="00692E71" w:rsidP="00F32B7F">
            <w:pPr>
              <w:pStyle w:val="Paragraphedeliste"/>
              <w:numPr>
                <w:ilvl w:val="0"/>
                <w:numId w:val="15"/>
              </w:numPr>
              <w:suppressAutoHyphens w:val="0"/>
              <w:autoSpaceDE w:val="0"/>
              <w:autoSpaceDN w:val="0"/>
              <w:spacing w:line="260" w:lineRule="atLeast"/>
              <w:ind w:right="142"/>
              <w:contextualSpacing/>
              <w:rPr>
                <w:rFonts w:cs="Arial"/>
                <w:b/>
              </w:rPr>
            </w:pPr>
            <w:r w:rsidRPr="001E3185">
              <w:rPr>
                <w:rFonts w:cs="Arial"/>
                <w:b/>
              </w:rPr>
              <w:t xml:space="preserve">Direct emissions to soil </w:t>
            </w:r>
          </w:p>
          <w:p w14:paraId="6CE44AD1" w14:textId="77777777" w:rsidR="00692E71" w:rsidRPr="001E3185" w:rsidRDefault="00692E71" w:rsidP="008E0250">
            <w:pPr>
              <w:autoSpaceDE w:val="0"/>
              <w:autoSpaceDN w:val="0"/>
              <w:ind w:right="142"/>
              <w:rPr>
                <w:rFonts w:cs="Arial"/>
              </w:rPr>
            </w:pPr>
          </w:p>
          <w:p w14:paraId="0D171E7A" w14:textId="77777777" w:rsidR="00692E71" w:rsidRPr="001E3185" w:rsidRDefault="00692E71" w:rsidP="008E0250">
            <w:pPr>
              <w:autoSpaceDE w:val="0"/>
              <w:autoSpaceDN w:val="0"/>
              <w:ind w:right="142"/>
              <w:rPr>
                <w:rFonts w:cs="Arial"/>
                <w:b/>
                <w:u w:val="single"/>
              </w:rPr>
            </w:pPr>
            <w:r w:rsidRPr="001E3185">
              <w:rPr>
                <w:rFonts w:cs="Arial"/>
                <w:b/>
                <w:u w:val="single"/>
              </w:rPr>
              <w:t>Industrial dipping, storage</w:t>
            </w:r>
          </w:p>
          <w:p w14:paraId="4AF8ED2F" w14:textId="77777777" w:rsidR="00692E71" w:rsidRPr="001E3185" w:rsidRDefault="00692E71" w:rsidP="008E0250">
            <w:pPr>
              <w:rPr>
                <w:rFonts w:cs="Arial"/>
              </w:rPr>
            </w:pPr>
          </w:p>
          <w:p w14:paraId="4AB00D20"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The risk characterisation for the terrestrial compartment has been performed considering PEC calculated for the industrial dipping (storage) of the PT08-ESD, and compared to PNEC</w:t>
            </w:r>
            <w:r w:rsidRPr="001E3185">
              <w:rPr>
                <w:rFonts w:cs="Arial"/>
                <w:vertAlign w:val="subscript"/>
                <w:lang w:eastAsia="en-GB"/>
              </w:rPr>
              <w:t>soil</w:t>
            </w:r>
            <w:r w:rsidRPr="001E3185">
              <w:rPr>
                <w:rFonts w:cs="Arial"/>
                <w:lang w:eastAsia="en-GB"/>
              </w:rPr>
              <w:t xml:space="preserve"> of each active substance.</w:t>
            </w:r>
          </w:p>
          <w:p w14:paraId="5EF4516D" w14:textId="77777777" w:rsidR="00692E71" w:rsidRPr="001E3185" w:rsidRDefault="00692E71" w:rsidP="008E0250">
            <w:pPr>
              <w:rPr>
                <w:rFonts w:cs="Arial"/>
              </w:rPr>
            </w:pPr>
          </w:p>
          <w:tbl>
            <w:tblPr>
              <w:tblW w:w="0" w:type="auto"/>
              <w:tblLayout w:type="fixed"/>
              <w:tblLook w:val="04A0" w:firstRow="1" w:lastRow="0" w:firstColumn="1" w:lastColumn="0" w:noHBand="0" w:noVBand="1"/>
            </w:tblPr>
            <w:tblGrid>
              <w:gridCol w:w="2547"/>
              <w:gridCol w:w="3827"/>
              <w:gridCol w:w="2977"/>
            </w:tblGrid>
            <w:tr w:rsidR="00692E71" w:rsidRPr="001E3185" w14:paraId="275D9A55" w14:textId="77777777" w:rsidTr="008E0250">
              <w:trPr>
                <w:trHeight w:val="283"/>
              </w:trPr>
              <w:tc>
                <w:tcPr>
                  <w:tcW w:w="9351" w:type="dxa"/>
                  <w:gridSpan w:val="3"/>
                  <w:vAlign w:val="center"/>
                </w:tcPr>
                <w:p w14:paraId="5DE4A367" w14:textId="77777777" w:rsidR="00692E71" w:rsidRPr="001E3185" w:rsidRDefault="00692E71" w:rsidP="00112DD6">
                  <w:pPr>
                    <w:framePr w:hSpace="141" w:wrap="around" w:vAnchor="text" w:hAnchor="text" w:y="1"/>
                    <w:autoSpaceDE w:val="0"/>
                    <w:autoSpaceDN w:val="0"/>
                    <w:suppressOverlap/>
                    <w:jc w:val="center"/>
                    <w:rPr>
                      <w:rFonts w:cs="Arial"/>
                    </w:rPr>
                  </w:pPr>
                  <w:r w:rsidRPr="001E3185">
                    <w:rPr>
                      <w:rFonts w:cs="Arial"/>
                    </w:rPr>
                    <w:t>Storage – Treatment by industrial dipping</w:t>
                  </w:r>
                </w:p>
              </w:tc>
            </w:tr>
            <w:tr w:rsidR="00692E71" w:rsidRPr="001E3185" w14:paraId="3E2956FE" w14:textId="77777777" w:rsidTr="008E0250">
              <w:trPr>
                <w:trHeight w:val="283"/>
              </w:trPr>
              <w:tc>
                <w:tcPr>
                  <w:tcW w:w="2547" w:type="dxa"/>
                  <w:vAlign w:val="center"/>
                </w:tcPr>
                <w:p w14:paraId="4CF688A4" w14:textId="77777777" w:rsidR="00692E71" w:rsidRPr="001E3185" w:rsidRDefault="00692E71" w:rsidP="00112DD6">
                  <w:pPr>
                    <w:framePr w:hSpace="141" w:wrap="around" w:vAnchor="text" w:hAnchor="text" w:y="1"/>
                    <w:autoSpaceDE w:val="0"/>
                    <w:autoSpaceDN w:val="0"/>
                    <w:suppressOverlap/>
                    <w:jc w:val="center"/>
                    <w:rPr>
                      <w:rFonts w:cs="Arial"/>
                    </w:rPr>
                  </w:pPr>
                  <w:r w:rsidRPr="001E3185">
                    <w:rPr>
                      <w:rFonts w:cs="Arial"/>
                      <w:iCs/>
                    </w:rPr>
                    <w:t>SOIL</w:t>
                  </w:r>
                </w:p>
              </w:tc>
              <w:tc>
                <w:tcPr>
                  <w:tcW w:w="3827" w:type="dxa"/>
                  <w:vAlign w:val="center"/>
                </w:tcPr>
                <w:p w14:paraId="28E4ECA6" w14:textId="77777777" w:rsidR="00692E71" w:rsidRPr="001E3185" w:rsidRDefault="00692E71" w:rsidP="00112DD6">
                  <w:pPr>
                    <w:framePr w:hSpace="141" w:wrap="around" w:vAnchor="text" w:hAnchor="text" w:y="1"/>
                    <w:autoSpaceDE w:val="0"/>
                    <w:autoSpaceDN w:val="0"/>
                    <w:suppressOverlap/>
                    <w:jc w:val="center"/>
                    <w:rPr>
                      <w:rFonts w:cs="Arial"/>
                    </w:rPr>
                  </w:pPr>
                  <w:r w:rsidRPr="001E3185">
                    <w:rPr>
                      <w:rFonts w:cs="Arial"/>
                    </w:rPr>
                    <w:t>PEC [mg.kg</w:t>
                  </w:r>
                  <w:r w:rsidRPr="001E3185">
                    <w:rPr>
                      <w:rFonts w:cs="Arial"/>
                      <w:vertAlign w:val="subscript"/>
                    </w:rPr>
                    <w:t>wwt</w:t>
                  </w:r>
                  <w:r w:rsidRPr="001E3185">
                    <w:rPr>
                      <w:rFonts w:cs="Arial"/>
                      <w:vertAlign w:val="superscript"/>
                    </w:rPr>
                    <w:t>-1</w:t>
                  </w:r>
                  <w:r w:rsidRPr="001E3185">
                    <w:rPr>
                      <w:rFonts w:cs="Arial"/>
                    </w:rPr>
                    <w:t>]</w:t>
                  </w:r>
                </w:p>
              </w:tc>
              <w:tc>
                <w:tcPr>
                  <w:tcW w:w="2977" w:type="dxa"/>
                  <w:vAlign w:val="center"/>
                </w:tcPr>
                <w:p w14:paraId="71575373" w14:textId="77777777" w:rsidR="00692E71" w:rsidRPr="001E3185" w:rsidRDefault="00692E71" w:rsidP="00112DD6">
                  <w:pPr>
                    <w:framePr w:hSpace="141" w:wrap="around" w:vAnchor="text" w:hAnchor="text" w:y="1"/>
                    <w:autoSpaceDE w:val="0"/>
                    <w:autoSpaceDN w:val="0"/>
                    <w:suppressOverlap/>
                    <w:jc w:val="center"/>
                    <w:rPr>
                      <w:rFonts w:cs="Arial"/>
                    </w:rPr>
                  </w:pPr>
                  <w:r w:rsidRPr="001E3185">
                    <w:rPr>
                      <w:rFonts w:cs="Arial"/>
                    </w:rPr>
                    <w:t>PEC/PNEC</w:t>
                  </w:r>
                </w:p>
              </w:tc>
            </w:tr>
            <w:tr w:rsidR="00692E71" w:rsidRPr="001E3185" w14:paraId="4A96CFC7" w14:textId="77777777" w:rsidTr="008E0250">
              <w:trPr>
                <w:trHeight w:val="283"/>
              </w:trPr>
              <w:tc>
                <w:tcPr>
                  <w:tcW w:w="2547" w:type="dxa"/>
                  <w:vAlign w:val="center"/>
                </w:tcPr>
                <w:p w14:paraId="52FB1D9F" w14:textId="77777777" w:rsidR="00692E71" w:rsidRPr="001E3185" w:rsidRDefault="00692E71" w:rsidP="00112DD6">
                  <w:pPr>
                    <w:framePr w:hSpace="141" w:wrap="around" w:vAnchor="text" w:hAnchor="text" w:y="1"/>
                    <w:autoSpaceDE w:val="0"/>
                    <w:autoSpaceDN w:val="0"/>
                    <w:suppressOverlap/>
                    <w:rPr>
                      <w:rFonts w:cs="Arial"/>
                    </w:rPr>
                  </w:pPr>
                  <w:r w:rsidRPr="001E3185">
                    <w:rPr>
                      <w:rFonts w:cs="Arial"/>
                    </w:rPr>
                    <w:t>Tebuconazole</w:t>
                  </w:r>
                </w:p>
              </w:tc>
              <w:tc>
                <w:tcPr>
                  <w:tcW w:w="3827" w:type="dxa"/>
                  <w:vAlign w:val="bottom"/>
                </w:tcPr>
                <w:p w14:paraId="06AC4451" w14:textId="77777777" w:rsidR="00692E71" w:rsidRPr="001E3185" w:rsidRDefault="00692E71" w:rsidP="00112DD6">
                  <w:pPr>
                    <w:framePr w:hSpace="141" w:wrap="around" w:vAnchor="text" w:hAnchor="text" w:y="1"/>
                    <w:autoSpaceDE w:val="0"/>
                    <w:autoSpaceDN w:val="0"/>
                    <w:suppressOverlap/>
                    <w:jc w:val="center"/>
                    <w:rPr>
                      <w:rFonts w:cs="Arial"/>
                    </w:rPr>
                  </w:pPr>
                  <w:r w:rsidRPr="001E3185">
                    <w:rPr>
                      <w:rFonts w:cs="Arial"/>
                    </w:rPr>
                    <w:t>2.11E-01</w:t>
                  </w:r>
                </w:p>
              </w:tc>
              <w:tc>
                <w:tcPr>
                  <w:tcW w:w="2977" w:type="dxa"/>
                  <w:vAlign w:val="bottom"/>
                </w:tcPr>
                <w:p w14:paraId="19C58BF4" w14:textId="77777777" w:rsidR="00692E71" w:rsidRPr="001E3185" w:rsidRDefault="00692E71" w:rsidP="00112DD6">
                  <w:pPr>
                    <w:framePr w:hSpace="141" w:wrap="around" w:vAnchor="text" w:hAnchor="text" w:y="1"/>
                    <w:autoSpaceDE w:val="0"/>
                    <w:autoSpaceDN w:val="0"/>
                    <w:suppressOverlap/>
                    <w:jc w:val="center"/>
                    <w:rPr>
                      <w:rFonts w:cs="Arial"/>
                      <w:color w:val="FF0000"/>
                    </w:rPr>
                  </w:pPr>
                  <w:r w:rsidRPr="001E3185">
                    <w:rPr>
                      <w:rFonts w:cs="Arial"/>
                      <w:color w:val="FF0000"/>
                    </w:rPr>
                    <w:t>2.11E+00</w:t>
                  </w:r>
                </w:p>
              </w:tc>
            </w:tr>
            <w:tr w:rsidR="00692E71" w:rsidRPr="001E3185" w14:paraId="50D8D98D" w14:textId="77777777" w:rsidTr="008E0250">
              <w:trPr>
                <w:trHeight w:val="283"/>
              </w:trPr>
              <w:tc>
                <w:tcPr>
                  <w:tcW w:w="2547" w:type="dxa"/>
                  <w:vAlign w:val="center"/>
                </w:tcPr>
                <w:p w14:paraId="16ADF1B8" w14:textId="77777777" w:rsidR="00692E71" w:rsidRPr="001E3185" w:rsidRDefault="00692E71" w:rsidP="00112DD6">
                  <w:pPr>
                    <w:framePr w:hSpace="141" w:wrap="around" w:vAnchor="text" w:hAnchor="text" w:y="1"/>
                    <w:autoSpaceDE w:val="0"/>
                    <w:autoSpaceDN w:val="0"/>
                    <w:suppressOverlap/>
                    <w:rPr>
                      <w:rFonts w:cs="Arial"/>
                    </w:rPr>
                  </w:pPr>
                  <w:r w:rsidRPr="001E3185">
                    <w:rPr>
                      <w:rFonts w:cs="Arial"/>
                    </w:rPr>
                    <w:t>Propiconazole</w:t>
                  </w:r>
                </w:p>
              </w:tc>
              <w:tc>
                <w:tcPr>
                  <w:tcW w:w="3827" w:type="dxa"/>
                  <w:vAlign w:val="bottom"/>
                </w:tcPr>
                <w:p w14:paraId="2A1ECCF4" w14:textId="77777777" w:rsidR="00692E71" w:rsidRPr="001E3185" w:rsidRDefault="00692E71" w:rsidP="00112DD6">
                  <w:pPr>
                    <w:framePr w:hSpace="141" w:wrap="around" w:vAnchor="text" w:hAnchor="text" w:y="1"/>
                    <w:autoSpaceDE w:val="0"/>
                    <w:autoSpaceDN w:val="0"/>
                    <w:suppressOverlap/>
                    <w:jc w:val="center"/>
                    <w:rPr>
                      <w:rFonts w:cs="Arial"/>
                    </w:rPr>
                  </w:pPr>
                  <w:r w:rsidRPr="001E3185">
                    <w:rPr>
                      <w:rFonts w:cs="Arial"/>
                    </w:rPr>
                    <w:t>5.09E-01</w:t>
                  </w:r>
                </w:p>
              </w:tc>
              <w:tc>
                <w:tcPr>
                  <w:tcW w:w="2977" w:type="dxa"/>
                  <w:vAlign w:val="bottom"/>
                </w:tcPr>
                <w:p w14:paraId="7AA96D73" w14:textId="77777777" w:rsidR="00692E71" w:rsidRPr="001E3185" w:rsidRDefault="00692E71" w:rsidP="00112DD6">
                  <w:pPr>
                    <w:framePr w:hSpace="141" w:wrap="around" w:vAnchor="text" w:hAnchor="text" w:y="1"/>
                    <w:autoSpaceDE w:val="0"/>
                    <w:autoSpaceDN w:val="0"/>
                    <w:suppressOverlap/>
                    <w:jc w:val="center"/>
                    <w:rPr>
                      <w:rFonts w:cs="Arial"/>
                      <w:color w:val="FF0000"/>
                    </w:rPr>
                  </w:pPr>
                  <w:r w:rsidRPr="001E3185">
                    <w:rPr>
                      <w:rFonts w:cs="Arial"/>
                      <w:color w:val="FF0000"/>
                    </w:rPr>
                    <w:t>5.09E+00</w:t>
                  </w:r>
                </w:p>
              </w:tc>
            </w:tr>
            <w:tr w:rsidR="00692E71" w:rsidRPr="001E3185" w14:paraId="183E7E34" w14:textId="77777777" w:rsidTr="008E0250">
              <w:trPr>
                <w:trHeight w:val="283"/>
              </w:trPr>
              <w:tc>
                <w:tcPr>
                  <w:tcW w:w="2547" w:type="dxa"/>
                  <w:vAlign w:val="center"/>
                </w:tcPr>
                <w:p w14:paraId="2A1ECAF8" w14:textId="77777777" w:rsidR="00692E71" w:rsidRPr="001E3185" w:rsidRDefault="00692E71" w:rsidP="00112DD6">
                  <w:pPr>
                    <w:framePr w:hSpace="141" w:wrap="around" w:vAnchor="text" w:hAnchor="text" w:y="1"/>
                    <w:autoSpaceDE w:val="0"/>
                    <w:autoSpaceDN w:val="0"/>
                    <w:suppressOverlap/>
                    <w:rPr>
                      <w:rFonts w:cs="Arial"/>
                    </w:rPr>
                  </w:pPr>
                  <w:r w:rsidRPr="001E3185">
                    <w:rPr>
                      <w:rFonts w:cs="Arial"/>
                    </w:rPr>
                    <w:t>Cypermethrin</w:t>
                  </w:r>
                </w:p>
              </w:tc>
              <w:tc>
                <w:tcPr>
                  <w:tcW w:w="3827" w:type="dxa"/>
                  <w:vAlign w:val="bottom"/>
                </w:tcPr>
                <w:p w14:paraId="7A5D5046" w14:textId="77777777" w:rsidR="00692E71" w:rsidRPr="001E3185" w:rsidRDefault="00692E71" w:rsidP="00112DD6">
                  <w:pPr>
                    <w:framePr w:hSpace="141" w:wrap="around" w:vAnchor="text" w:hAnchor="text" w:y="1"/>
                    <w:autoSpaceDE w:val="0"/>
                    <w:autoSpaceDN w:val="0"/>
                    <w:suppressOverlap/>
                    <w:jc w:val="center"/>
                    <w:rPr>
                      <w:rFonts w:cs="Arial"/>
                    </w:rPr>
                  </w:pPr>
                  <w:r w:rsidRPr="001E3185">
                    <w:rPr>
                      <w:rFonts w:cs="Arial"/>
                    </w:rPr>
                    <w:t>4.51E-04</w:t>
                  </w:r>
                </w:p>
              </w:tc>
              <w:tc>
                <w:tcPr>
                  <w:tcW w:w="2977" w:type="dxa"/>
                  <w:vAlign w:val="bottom"/>
                </w:tcPr>
                <w:p w14:paraId="68DD98DE" w14:textId="77777777" w:rsidR="00692E71" w:rsidRPr="001E3185" w:rsidRDefault="00692E71" w:rsidP="00112DD6">
                  <w:pPr>
                    <w:framePr w:hSpace="141" w:wrap="around" w:vAnchor="text" w:hAnchor="text" w:y="1"/>
                    <w:autoSpaceDE w:val="0"/>
                    <w:autoSpaceDN w:val="0"/>
                    <w:suppressOverlap/>
                    <w:jc w:val="center"/>
                    <w:rPr>
                      <w:rFonts w:cs="Arial"/>
                    </w:rPr>
                  </w:pPr>
                  <w:r w:rsidRPr="001E3185">
                    <w:rPr>
                      <w:rFonts w:cs="Arial"/>
                    </w:rPr>
                    <w:t>4.91E-03</w:t>
                  </w:r>
                </w:p>
              </w:tc>
            </w:tr>
            <w:tr w:rsidR="00692E71" w:rsidRPr="001E3185" w14:paraId="7F231750" w14:textId="77777777" w:rsidTr="008E0250">
              <w:trPr>
                <w:trHeight w:val="283"/>
              </w:trPr>
              <w:tc>
                <w:tcPr>
                  <w:tcW w:w="2547" w:type="dxa"/>
                  <w:vAlign w:val="center"/>
                </w:tcPr>
                <w:p w14:paraId="307C468A" w14:textId="77777777" w:rsidR="00692E71" w:rsidRPr="001E3185" w:rsidRDefault="00692E71" w:rsidP="00112DD6">
                  <w:pPr>
                    <w:framePr w:hSpace="141" w:wrap="around" w:vAnchor="text" w:hAnchor="text" w:y="1"/>
                    <w:autoSpaceDE w:val="0"/>
                    <w:autoSpaceDN w:val="0"/>
                    <w:suppressOverlap/>
                    <w:rPr>
                      <w:rFonts w:cs="Arial"/>
                    </w:rPr>
                  </w:pPr>
                  <w:r w:rsidRPr="001E3185">
                    <w:rPr>
                      <w:rFonts w:cs="Arial"/>
                    </w:rPr>
                    <w:t>IPBC</w:t>
                  </w:r>
                </w:p>
              </w:tc>
              <w:tc>
                <w:tcPr>
                  <w:tcW w:w="3827" w:type="dxa"/>
                  <w:vAlign w:val="bottom"/>
                </w:tcPr>
                <w:p w14:paraId="2AAAF812" w14:textId="77777777" w:rsidR="00692E71" w:rsidRPr="001E3185" w:rsidRDefault="00692E71" w:rsidP="00112DD6">
                  <w:pPr>
                    <w:framePr w:hSpace="141" w:wrap="around" w:vAnchor="text" w:hAnchor="text" w:y="1"/>
                    <w:autoSpaceDE w:val="0"/>
                    <w:autoSpaceDN w:val="0"/>
                    <w:suppressOverlap/>
                    <w:jc w:val="center"/>
                    <w:rPr>
                      <w:rFonts w:cs="Arial"/>
                    </w:rPr>
                  </w:pPr>
                  <w:r w:rsidRPr="001E3185">
                    <w:rPr>
                      <w:rFonts w:cs="Arial"/>
                    </w:rPr>
                    <w:t>3.07E-04</w:t>
                  </w:r>
                </w:p>
              </w:tc>
              <w:tc>
                <w:tcPr>
                  <w:tcW w:w="2977" w:type="dxa"/>
                  <w:vAlign w:val="bottom"/>
                </w:tcPr>
                <w:p w14:paraId="7BFB9F81" w14:textId="77777777" w:rsidR="00692E71" w:rsidRPr="001E3185" w:rsidRDefault="00692E71" w:rsidP="00112DD6">
                  <w:pPr>
                    <w:framePr w:hSpace="141" w:wrap="around" w:vAnchor="text" w:hAnchor="text" w:y="1"/>
                    <w:autoSpaceDE w:val="0"/>
                    <w:autoSpaceDN w:val="0"/>
                    <w:suppressOverlap/>
                    <w:jc w:val="center"/>
                    <w:rPr>
                      <w:rFonts w:cs="Arial"/>
                    </w:rPr>
                  </w:pPr>
                  <w:r w:rsidRPr="001E3185">
                    <w:rPr>
                      <w:rFonts w:cs="Arial"/>
                    </w:rPr>
                    <w:t>6.99E-02</w:t>
                  </w:r>
                </w:p>
              </w:tc>
            </w:tr>
            <w:tr w:rsidR="00692E71" w:rsidRPr="001E3185" w14:paraId="5C942A5B" w14:textId="77777777" w:rsidTr="008E0250">
              <w:trPr>
                <w:trHeight w:val="283"/>
              </w:trPr>
              <w:tc>
                <w:tcPr>
                  <w:tcW w:w="2547" w:type="dxa"/>
                  <w:vAlign w:val="center"/>
                </w:tcPr>
                <w:p w14:paraId="00425738" w14:textId="77777777" w:rsidR="00692E71" w:rsidRPr="001E3185" w:rsidRDefault="00692E71" w:rsidP="00112DD6">
                  <w:pPr>
                    <w:framePr w:hSpace="141" w:wrap="around" w:vAnchor="text" w:hAnchor="text" w:y="1"/>
                    <w:autoSpaceDE w:val="0"/>
                    <w:autoSpaceDN w:val="0"/>
                    <w:suppressOverlap/>
                    <w:rPr>
                      <w:rFonts w:cs="Arial"/>
                    </w:rPr>
                  </w:pPr>
                  <w:r w:rsidRPr="001E3185">
                    <w:rPr>
                      <w:rFonts w:cs="Arial"/>
                    </w:rPr>
                    <w:t>PBC</w:t>
                  </w:r>
                </w:p>
              </w:tc>
              <w:tc>
                <w:tcPr>
                  <w:tcW w:w="3827" w:type="dxa"/>
                  <w:vAlign w:val="bottom"/>
                </w:tcPr>
                <w:p w14:paraId="0C18BC44" w14:textId="77777777" w:rsidR="00692E71" w:rsidRPr="001E3185" w:rsidRDefault="00692E71" w:rsidP="00112DD6">
                  <w:pPr>
                    <w:framePr w:hSpace="141" w:wrap="around" w:vAnchor="text" w:hAnchor="text" w:y="1"/>
                    <w:autoSpaceDE w:val="0"/>
                    <w:autoSpaceDN w:val="0"/>
                    <w:suppressOverlap/>
                    <w:jc w:val="center"/>
                    <w:rPr>
                      <w:rFonts w:cs="Arial"/>
                    </w:rPr>
                  </w:pPr>
                  <w:r w:rsidRPr="001E3185">
                    <w:rPr>
                      <w:rFonts w:cs="Arial"/>
                    </w:rPr>
                    <w:t>8.23E-03</w:t>
                  </w:r>
                </w:p>
              </w:tc>
              <w:tc>
                <w:tcPr>
                  <w:tcW w:w="2977" w:type="dxa"/>
                  <w:vAlign w:val="bottom"/>
                </w:tcPr>
                <w:p w14:paraId="2BFB23AB" w14:textId="77777777" w:rsidR="00692E71" w:rsidRPr="001E3185" w:rsidRDefault="00692E71" w:rsidP="00112DD6">
                  <w:pPr>
                    <w:framePr w:hSpace="141" w:wrap="around" w:vAnchor="text" w:hAnchor="text" w:y="1"/>
                    <w:autoSpaceDE w:val="0"/>
                    <w:autoSpaceDN w:val="0"/>
                    <w:suppressOverlap/>
                    <w:jc w:val="center"/>
                    <w:rPr>
                      <w:rFonts w:cs="Arial"/>
                    </w:rPr>
                  </w:pPr>
                  <w:r w:rsidRPr="001E3185">
                    <w:rPr>
                      <w:rFonts w:cs="Arial"/>
                    </w:rPr>
                    <w:t>5.52E-02</w:t>
                  </w:r>
                </w:p>
              </w:tc>
            </w:tr>
            <w:tr w:rsidR="00692E71" w:rsidRPr="001E3185" w14:paraId="5E31DD1C" w14:textId="77777777" w:rsidTr="008E0250">
              <w:trPr>
                <w:trHeight w:val="283"/>
              </w:trPr>
              <w:tc>
                <w:tcPr>
                  <w:tcW w:w="2547" w:type="dxa"/>
                  <w:vAlign w:val="center"/>
                </w:tcPr>
                <w:p w14:paraId="3B29CE72" w14:textId="77777777" w:rsidR="00692E71" w:rsidRPr="001E3185" w:rsidRDefault="00692E71" w:rsidP="00112DD6">
                  <w:pPr>
                    <w:framePr w:hSpace="141" w:wrap="around" w:vAnchor="text" w:hAnchor="text" w:y="1"/>
                    <w:autoSpaceDE w:val="0"/>
                    <w:autoSpaceDN w:val="0"/>
                    <w:suppressOverlap/>
                    <w:rPr>
                      <w:rFonts w:cs="Arial"/>
                    </w:rPr>
                  </w:pPr>
                  <w:r w:rsidRPr="001E3185">
                    <w:rPr>
                      <w:rFonts w:cs="Arial"/>
                    </w:rPr>
                    <w:t>1,2,4-triazole</w:t>
                  </w:r>
                </w:p>
              </w:tc>
              <w:tc>
                <w:tcPr>
                  <w:tcW w:w="3827" w:type="dxa"/>
                  <w:vAlign w:val="bottom"/>
                </w:tcPr>
                <w:p w14:paraId="4DE1C46E" w14:textId="77777777" w:rsidR="00692E71" w:rsidRPr="001E3185" w:rsidRDefault="00692E71" w:rsidP="00112DD6">
                  <w:pPr>
                    <w:framePr w:hSpace="141" w:wrap="around" w:vAnchor="text" w:hAnchor="text" w:y="1"/>
                    <w:autoSpaceDE w:val="0"/>
                    <w:autoSpaceDN w:val="0"/>
                    <w:suppressOverlap/>
                    <w:jc w:val="center"/>
                    <w:rPr>
                      <w:rFonts w:cs="Arial"/>
                    </w:rPr>
                  </w:pPr>
                  <w:r w:rsidRPr="001E3185">
                    <w:rPr>
                      <w:rFonts w:cs="Arial"/>
                    </w:rPr>
                    <w:t>6.85E-02</w:t>
                  </w:r>
                </w:p>
              </w:tc>
              <w:tc>
                <w:tcPr>
                  <w:tcW w:w="2977" w:type="dxa"/>
                  <w:vAlign w:val="bottom"/>
                </w:tcPr>
                <w:p w14:paraId="693981B5" w14:textId="77777777" w:rsidR="00692E71" w:rsidRPr="001E3185" w:rsidRDefault="00692E71" w:rsidP="00112DD6">
                  <w:pPr>
                    <w:framePr w:hSpace="141" w:wrap="around" w:vAnchor="text" w:hAnchor="text" w:y="1"/>
                    <w:autoSpaceDE w:val="0"/>
                    <w:autoSpaceDN w:val="0"/>
                    <w:suppressOverlap/>
                    <w:jc w:val="center"/>
                    <w:rPr>
                      <w:rFonts w:cs="Arial"/>
                    </w:rPr>
                  </w:pPr>
                  <w:r w:rsidRPr="001E3185">
                    <w:rPr>
                      <w:rFonts w:cs="Arial"/>
                      <w:color w:val="FF0000"/>
                    </w:rPr>
                    <w:t>8.36E+00</w:t>
                  </w:r>
                </w:p>
              </w:tc>
            </w:tr>
            <w:tr w:rsidR="00692E71" w:rsidRPr="001E3185" w14:paraId="3404D9E5" w14:textId="77777777" w:rsidTr="008E0250">
              <w:trPr>
                <w:trHeight w:val="283"/>
              </w:trPr>
              <w:tc>
                <w:tcPr>
                  <w:tcW w:w="2547" w:type="dxa"/>
                  <w:vAlign w:val="center"/>
                </w:tcPr>
                <w:p w14:paraId="39FC6BA4" w14:textId="77777777" w:rsidR="00692E71" w:rsidRPr="001E3185" w:rsidRDefault="00692E71" w:rsidP="00112DD6">
                  <w:pPr>
                    <w:framePr w:hSpace="141" w:wrap="around" w:vAnchor="text" w:hAnchor="text" w:y="1"/>
                    <w:autoSpaceDE w:val="0"/>
                    <w:autoSpaceDN w:val="0"/>
                    <w:suppressOverlap/>
                    <w:rPr>
                      <w:rFonts w:cs="Arial"/>
                    </w:rPr>
                  </w:pPr>
                  <w:r w:rsidRPr="001E3185">
                    <w:rPr>
                      <w:rFonts w:cs="Arial"/>
                      <w:lang w:eastAsia="en-GB"/>
                    </w:rPr>
                    <w:t>PEC/ PNEC</w:t>
                  </w:r>
                </w:p>
              </w:tc>
              <w:tc>
                <w:tcPr>
                  <w:tcW w:w="3827" w:type="dxa"/>
                  <w:vAlign w:val="center"/>
                </w:tcPr>
                <w:p w14:paraId="23BA3EB5" w14:textId="77777777" w:rsidR="00692E71" w:rsidRPr="001E3185" w:rsidRDefault="00692E71" w:rsidP="00112DD6">
                  <w:pPr>
                    <w:framePr w:hSpace="141" w:wrap="around" w:vAnchor="text" w:hAnchor="text" w:y="1"/>
                    <w:autoSpaceDE w:val="0"/>
                    <w:autoSpaceDN w:val="0"/>
                    <w:suppressOverlap/>
                    <w:jc w:val="center"/>
                    <w:rPr>
                      <w:rFonts w:cs="Arial"/>
                    </w:rPr>
                  </w:pPr>
                </w:p>
              </w:tc>
              <w:tc>
                <w:tcPr>
                  <w:tcW w:w="2977" w:type="dxa"/>
                  <w:vAlign w:val="bottom"/>
                </w:tcPr>
                <w:p w14:paraId="3B046E36" w14:textId="77777777" w:rsidR="00692E71" w:rsidRPr="001E3185" w:rsidRDefault="00692E71" w:rsidP="00112DD6">
                  <w:pPr>
                    <w:framePr w:hSpace="141" w:wrap="around" w:vAnchor="text" w:hAnchor="text" w:y="1"/>
                    <w:autoSpaceDE w:val="0"/>
                    <w:autoSpaceDN w:val="0"/>
                    <w:suppressOverlap/>
                    <w:jc w:val="center"/>
                    <w:rPr>
                      <w:rFonts w:cs="Arial"/>
                      <w:color w:val="FF0000"/>
                    </w:rPr>
                  </w:pPr>
                  <w:r w:rsidRPr="001E3185">
                    <w:rPr>
                      <w:rFonts w:cs="Arial"/>
                      <w:color w:val="FF0000"/>
                    </w:rPr>
                    <w:t>1.57E+01</w:t>
                  </w:r>
                </w:p>
              </w:tc>
            </w:tr>
          </w:tbl>
          <w:p w14:paraId="3927FC96" w14:textId="77777777" w:rsidR="00692E71" w:rsidRPr="001E3185" w:rsidRDefault="00692E71" w:rsidP="008E0250">
            <w:pPr>
              <w:autoSpaceDE w:val="0"/>
              <w:autoSpaceDN w:val="0"/>
              <w:ind w:right="142"/>
              <w:rPr>
                <w:rFonts w:cs="Arial"/>
              </w:rPr>
            </w:pPr>
          </w:p>
          <w:p w14:paraId="4E11CA87"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Considering that calculated </w:t>
            </w:r>
            <w:r w:rsidRPr="001E3185">
              <w:rPr>
                <w:rFonts w:cs="Arial"/>
                <w:lang w:eastAsia="en-GB"/>
              </w:rPr>
              <w:t>PEC/PNEC ratio are above 1 for soil, storage of treated wood by industrial dipping phase leads to unacceptable risks to the terrestrial compartment, unless direct releases to soil is prevented by a storage</w:t>
            </w:r>
            <w:r w:rsidRPr="001E3185">
              <w:rPr>
                <w:rFonts w:cs="Arial"/>
              </w:rPr>
              <w:t xml:space="preserve"> under shelter and on impermeable hard standing</w:t>
            </w:r>
            <w:r w:rsidRPr="001E3185">
              <w:rPr>
                <w:rFonts w:cs="Arial"/>
                <w:lang w:eastAsia="en-GB"/>
              </w:rPr>
              <w:t>.</w:t>
            </w:r>
          </w:p>
          <w:p w14:paraId="1B937430" w14:textId="77777777" w:rsidR="00692E71" w:rsidRPr="001E3185" w:rsidRDefault="00692E71" w:rsidP="008E0250">
            <w:pPr>
              <w:autoSpaceDE w:val="0"/>
              <w:autoSpaceDN w:val="0"/>
              <w:spacing w:line="276" w:lineRule="auto"/>
              <w:rPr>
                <w:rFonts w:cs="Arial"/>
                <w:lang w:eastAsia="en-GB"/>
              </w:rPr>
            </w:pPr>
          </w:p>
          <w:p w14:paraId="02DD126F" w14:textId="2075B2FC"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Therefore, the freshly treated timber </w:t>
            </w:r>
            <w:r w:rsidR="00E87A1D" w:rsidRPr="001E3185">
              <w:rPr>
                <w:rFonts w:cs="Arial"/>
                <w:lang w:eastAsia="en-GB"/>
              </w:rPr>
              <w:t>must</w:t>
            </w:r>
            <w:r w:rsidRPr="001E3185">
              <w:rPr>
                <w:rFonts w:cs="Arial"/>
                <w:lang w:eastAsia="en-GB"/>
              </w:rPr>
              <w:t xml:space="preserve"> </w:t>
            </w:r>
            <w:r w:rsidRPr="001E3185">
              <w:rPr>
                <w:rFonts w:cs="Arial"/>
              </w:rPr>
              <w:t>stored after treatment under shelter and on impermeable hard standing</w:t>
            </w:r>
            <w:r w:rsidR="00E87A1D" w:rsidRPr="001E3185">
              <w:rPr>
                <w:rFonts w:cs="Arial"/>
                <w:lang w:eastAsia="en-GB"/>
              </w:rPr>
              <w:t xml:space="preserve"> </w:t>
            </w:r>
            <w:r w:rsidRPr="001E3185">
              <w:rPr>
                <w:rFonts w:cs="Arial"/>
                <w:lang w:eastAsia="en-GB"/>
              </w:rPr>
              <w:t>to prevent releases to soil.</w:t>
            </w:r>
          </w:p>
          <w:p w14:paraId="7618DA41" w14:textId="77777777" w:rsidR="00692E71" w:rsidRPr="001E3185" w:rsidRDefault="00692E71" w:rsidP="008E0250">
            <w:pPr>
              <w:autoSpaceDE w:val="0"/>
              <w:autoSpaceDN w:val="0"/>
              <w:ind w:right="142"/>
              <w:rPr>
                <w:rFonts w:cs="Arial"/>
              </w:rPr>
            </w:pPr>
          </w:p>
          <w:p w14:paraId="3279D6B8" w14:textId="77777777" w:rsidR="00692E71" w:rsidRPr="001E3185" w:rsidRDefault="00692E71" w:rsidP="008E0250">
            <w:pPr>
              <w:autoSpaceDE w:val="0"/>
              <w:autoSpaceDN w:val="0"/>
              <w:spacing w:before="120" w:line="276" w:lineRule="auto"/>
              <w:rPr>
                <w:rFonts w:cs="Arial"/>
              </w:rPr>
            </w:pPr>
            <w:r w:rsidRPr="001E3185">
              <w:rPr>
                <w:rFonts w:cs="Arial"/>
              </w:rPr>
              <w:t>For the industrial application phase, no emission estimations were provided by the applicant based on mandatory risk mitigation measures for wood treatment plants:</w:t>
            </w:r>
          </w:p>
          <w:p w14:paraId="072F1901" w14:textId="77777777" w:rsidR="00692E71" w:rsidRPr="001E3185" w:rsidRDefault="00692E71" w:rsidP="00F32B7F">
            <w:pPr>
              <w:pStyle w:val="Paragraphedeliste"/>
              <w:numPr>
                <w:ilvl w:val="0"/>
                <w:numId w:val="20"/>
              </w:numPr>
              <w:suppressAutoHyphens w:val="0"/>
              <w:autoSpaceDE w:val="0"/>
              <w:autoSpaceDN w:val="0"/>
              <w:spacing w:before="120" w:after="60" w:line="276" w:lineRule="auto"/>
              <w:contextualSpacing/>
              <w:rPr>
                <w:rFonts w:cs="Arial"/>
              </w:rPr>
            </w:pPr>
            <w:r w:rsidRPr="001E3185">
              <w:rPr>
                <w:rFonts w:cs="Arial"/>
              </w:rPr>
              <w:t>Prevent any release to the environment during the product application phase as well as during the storage and the transport of treated timber;</w:t>
            </w:r>
          </w:p>
          <w:p w14:paraId="34DEEBC5" w14:textId="77777777" w:rsidR="00692E71" w:rsidRPr="001E3185" w:rsidRDefault="00692E71" w:rsidP="00F32B7F">
            <w:pPr>
              <w:pStyle w:val="Paragraphedeliste"/>
              <w:numPr>
                <w:ilvl w:val="0"/>
                <w:numId w:val="20"/>
              </w:numPr>
              <w:suppressAutoHyphens w:val="0"/>
              <w:autoSpaceDE w:val="0"/>
              <w:autoSpaceDN w:val="0"/>
              <w:spacing w:before="120" w:after="60" w:line="276" w:lineRule="auto"/>
              <w:contextualSpacing/>
              <w:rPr>
                <w:rFonts w:cs="Arial"/>
              </w:rPr>
            </w:pPr>
            <w:r w:rsidRPr="001E3185">
              <w:rPr>
                <w:rFonts w:cs="Arial"/>
              </w:rPr>
              <w:t>During the application phase, prevent any release of cleaning water (after cleaning of floors, tanks, containers) to the environment (sewer, soil, water);</w:t>
            </w:r>
          </w:p>
          <w:p w14:paraId="6707A514" w14:textId="77777777" w:rsidR="00692E71" w:rsidRPr="001E3185" w:rsidRDefault="00692E71" w:rsidP="00F32B7F">
            <w:pPr>
              <w:pStyle w:val="Paragraphedeliste"/>
              <w:numPr>
                <w:ilvl w:val="0"/>
                <w:numId w:val="20"/>
              </w:numPr>
              <w:suppressAutoHyphens w:val="0"/>
              <w:autoSpaceDE w:val="0"/>
              <w:autoSpaceDN w:val="0"/>
              <w:spacing w:before="120" w:after="60" w:line="276" w:lineRule="auto"/>
              <w:contextualSpacing/>
              <w:rPr>
                <w:rFonts w:cs="Arial"/>
              </w:rPr>
            </w:pPr>
            <w:r w:rsidRPr="001E3185">
              <w:rPr>
                <w:rFonts w:cs="Arial"/>
              </w:rPr>
              <w:t>Freshly treated timber shall be stored after treatment under shelter and on impermeable hard standing to prevent losses to soil, sewer, or water, and any losses from the application of the product shall be collected for reuse or disposal. Before use, store the timber in an area sheltered from the weather;</w:t>
            </w:r>
          </w:p>
          <w:p w14:paraId="2B54D92B" w14:textId="77777777" w:rsidR="00692E71" w:rsidRPr="001E3185" w:rsidRDefault="00692E71" w:rsidP="00F32B7F">
            <w:pPr>
              <w:pStyle w:val="Paragraphedeliste"/>
              <w:numPr>
                <w:ilvl w:val="0"/>
                <w:numId w:val="20"/>
              </w:numPr>
              <w:suppressAutoHyphens w:val="0"/>
              <w:autoSpaceDE w:val="0"/>
              <w:autoSpaceDN w:val="0"/>
              <w:spacing w:before="120" w:after="60" w:line="276" w:lineRule="auto"/>
              <w:contextualSpacing/>
              <w:rPr>
                <w:rFonts w:cs="Arial"/>
              </w:rPr>
            </w:pPr>
            <w:r w:rsidRPr="001E3185">
              <w:rPr>
                <w:rFonts w:cs="Arial"/>
              </w:rPr>
              <w:t>Any contaminated water/soil shall be collected, contained and treated as hazardous waste.</w:t>
            </w:r>
          </w:p>
          <w:p w14:paraId="5B0B4F18" w14:textId="77777777" w:rsidR="00692E71" w:rsidRPr="001E3185" w:rsidRDefault="00692E71" w:rsidP="008E0250">
            <w:pPr>
              <w:autoSpaceDE w:val="0"/>
              <w:autoSpaceDN w:val="0"/>
              <w:ind w:right="142"/>
              <w:rPr>
                <w:rFonts w:cs="Arial"/>
              </w:rPr>
            </w:pPr>
          </w:p>
          <w:p w14:paraId="5BE63F08" w14:textId="77777777" w:rsidR="00692E71" w:rsidRPr="001E3185" w:rsidRDefault="00692E71" w:rsidP="008E0250">
            <w:pPr>
              <w:autoSpaceDE w:val="0"/>
              <w:autoSpaceDN w:val="0"/>
              <w:ind w:right="142"/>
              <w:rPr>
                <w:rFonts w:cs="Arial"/>
                <w:b/>
                <w:u w:val="single"/>
              </w:rPr>
            </w:pPr>
            <w:r w:rsidRPr="001E3185">
              <w:rPr>
                <w:rFonts w:cs="Arial"/>
                <w:b/>
                <w:i/>
                <w:u w:val="single"/>
              </w:rPr>
              <w:t>In situ</w:t>
            </w:r>
            <w:r w:rsidRPr="001E3185">
              <w:rPr>
                <w:rFonts w:cs="Arial"/>
                <w:b/>
                <w:u w:val="single"/>
              </w:rPr>
              <w:t xml:space="preserve"> application</w:t>
            </w:r>
          </w:p>
          <w:p w14:paraId="2B0D04A7" w14:textId="77777777" w:rsidR="00692E71" w:rsidRPr="001E3185" w:rsidRDefault="00692E71" w:rsidP="008E0250">
            <w:pPr>
              <w:autoSpaceDE w:val="0"/>
              <w:autoSpaceDN w:val="0"/>
              <w:ind w:right="142"/>
              <w:rPr>
                <w:rFonts w:cs="Arial"/>
              </w:rPr>
            </w:pPr>
          </w:p>
          <w:p w14:paraId="2D783FFA"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The risk characterisation for the terrestrial compartment has been performed considering PEC calculated for the house scenario of the PT08-ESD, and compared to PNEC</w:t>
            </w:r>
            <w:r w:rsidRPr="001E3185">
              <w:rPr>
                <w:rFonts w:cs="Arial"/>
                <w:vertAlign w:val="subscript"/>
                <w:lang w:eastAsia="en-GB"/>
              </w:rPr>
              <w:t>soil</w:t>
            </w:r>
            <w:r w:rsidRPr="001E3185">
              <w:rPr>
                <w:rFonts w:cs="Arial"/>
                <w:lang w:eastAsia="en-GB"/>
              </w:rPr>
              <w:t xml:space="preserve"> of each active substance for the application phase of preventive and curative treatment.</w:t>
            </w:r>
          </w:p>
          <w:p w14:paraId="793B3455" w14:textId="77777777" w:rsidR="00692E71" w:rsidRPr="001E3185" w:rsidRDefault="00692E71" w:rsidP="008E0250">
            <w:pPr>
              <w:autoSpaceDE w:val="0"/>
              <w:autoSpaceDN w:val="0"/>
              <w:ind w:right="142"/>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986"/>
              <w:gridCol w:w="1705"/>
              <w:gridCol w:w="1983"/>
              <w:gridCol w:w="1556"/>
            </w:tblGrid>
            <w:tr w:rsidR="00692E71" w:rsidRPr="001E3185" w14:paraId="73049AA7" w14:textId="77777777" w:rsidTr="008E0250">
              <w:trPr>
                <w:trHeight w:val="340"/>
              </w:trPr>
              <w:tc>
                <w:tcPr>
                  <w:tcW w:w="5000" w:type="pct"/>
                  <w:gridSpan w:val="5"/>
                  <w:shd w:val="clear" w:color="auto" w:fill="auto"/>
                  <w:vAlign w:val="center"/>
                </w:tcPr>
                <w:p w14:paraId="6F538AE6"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Application – House -Treatment by brushing</w:t>
                  </w:r>
                </w:p>
              </w:tc>
            </w:tr>
            <w:tr w:rsidR="00692E71" w:rsidRPr="001E3185" w14:paraId="6B4FB69A" w14:textId="77777777" w:rsidTr="008E0250">
              <w:trPr>
                <w:trHeight w:val="283"/>
              </w:trPr>
              <w:tc>
                <w:tcPr>
                  <w:tcW w:w="1302" w:type="pct"/>
                  <w:vMerge w:val="restart"/>
                  <w:shd w:val="clear" w:color="auto" w:fill="auto"/>
                  <w:vAlign w:val="center"/>
                </w:tcPr>
                <w:p w14:paraId="12ADF7AD"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lastRenderedPageBreak/>
                    <w:t>SOIL</w:t>
                  </w:r>
                </w:p>
              </w:tc>
              <w:tc>
                <w:tcPr>
                  <w:tcW w:w="1888" w:type="pct"/>
                  <w:gridSpan w:val="2"/>
                  <w:shd w:val="clear" w:color="auto" w:fill="auto"/>
                  <w:vAlign w:val="center"/>
                </w:tcPr>
                <w:p w14:paraId="370356D4"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Professional</w:t>
                  </w:r>
                </w:p>
              </w:tc>
              <w:tc>
                <w:tcPr>
                  <w:tcW w:w="1810" w:type="pct"/>
                  <w:gridSpan w:val="2"/>
                  <w:shd w:val="clear" w:color="auto" w:fill="auto"/>
                  <w:vAlign w:val="center"/>
                </w:tcPr>
                <w:p w14:paraId="1626D896"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Non-professional</w:t>
                  </w:r>
                </w:p>
              </w:tc>
            </w:tr>
            <w:tr w:rsidR="00692E71" w:rsidRPr="001E3185" w14:paraId="769C6FB2" w14:textId="77777777" w:rsidTr="008E0250">
              <w:trPr>
                <w:trHeight w:val="283"/>
              </w:trPr>
              <w:tc>
                <w:tcPr>
                  <w:tcW w:w="1302" w:type="pct"/>
                  <w:vMerge/>
                  <w:shd w:val="clear" w:color="auto" w:fill="auto"/>
                  <w:vAlign w:val="center"/>
                </w:tcPr>
                <w:p w14:paraId="6C1D100E" w14:textId="77777777" w:rsidR="00692E71" w:rsidRPr="001E3185" w:rsidRDefault="00692E71" w:rsidP="00112DD6">
                  <w:pPr>
                    <w:framePr w:hSpace="141" w:wrap="around" w:vAnchor="text" w:hAnchor="text" w:y="1"/>
                    <w:autoSpaceDE w:val="0"/>
                    <w:autoSpaceDN w:val="0"/>
                    <w:ind w:right="142"/>
                    <w:suppressOverlap/>
                    <w:rPr>
                      <w:rFonts w:cs="Arial"/>
                      <w:sz w:val="18"/>
                      <w:szCs w:val="18"/>
                    </w:rPr>
                  </w:pPr>
                </w:p>
              </w:tc>
              <w:tc>
                <w:tcPr>
                  <w:tcW w:w="1016" w:type="pct"/>
                  <w:shd w:val="clear" w:color="auto" w:fill="auto"/>
                  <w:vAlign w:val="center"/>
                </w:tcPr>
                <w:p w14:paraId="31FDC852" w14:textId="77777777" w:rsidR="00692E71" w:rsidRPr="001E3185" w:rsidRDefault="00692E71" w:rsidP="00112DD6">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872" w:type="pct"/>
                  <w:shd w:val="clear" w:color="auto" w:fill="auto"/>
                  <w:vAlign w:val="center"/>
                </w:tcPr>
                <w:p w14:paraId="6FFAC688" w14:textId="77777777" w:rsidR="00692E71" w:rsidRPr="001E3185" w:rsidRDefault="00692E71" w:rsidP="00112DD6">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1014" w:type="pct"/>
                  <w:shd w:val="clear" w:color="auto" w:fill="auto"/>
                  <w:vAlign w:val="center"/>
                </w:tcPr>
                <w:p w14:paraId="029F39F5" w14:textId="77777777" w:rsidR="00692E71" w:rsidRPr="001E3185" w:rsidRDefault="00692E71" w:rsidP="00112DD6">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796" w:type="pct"/>
                  <w:shd w:val="clear" w:color="auto" w:fill="auto"/>
                  <w:vAlign w:val="center"/>
                </w:tcPr>
                <w:p w14:paraId="317F2ADF" w14:textId="77777777" w:rsidR="00692E71" w:rsidRPr="001E3185" w:rsidRDefault="00692E71" w:rsidP="00112DD6">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r>
            <w:tr w:rsidR="00692E71" w:rsidRPr="001E3185" w14:paraId="7885A015" w14:textId="77777777" w:rsidTr="008E0250">
              <w:trPr>
                <w:trHeight w:val="283"/>
              </w:trPr>
              <w:tc>
                <w:tcPr>
                  <w:tcW w:w="1302" w:type="pct"/>
                  <w:shd w:val="clear" w:color="auto" w:fill="auto"/>
                  <w:vAlign w:val="center"/>
                </w:tcPr>
                <w:p w14:paraId="6A7609D4"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sz w:val="18"/>
                      <w:szCs w:val="18"/>
                    </w:rPr>
                    <w:t>Tebuconazole</w:t>
                  </w:r>
                </w:p>
              </w:tc>
              <w:tc>
                <w:tcPr>
                  <w:tcW w:w="1016" w:type="pct"/>
                  <w:shd w:val="clear" w:color="auto" w:fill="auto"/>
                  <w:vAlign w:val="center"/>
                </w:tcPr>
                <w:p w14:paraId="4D64081F"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1.70E-02</w:t>
                  </w:r>
                </w:p>
              </w:tc>
              <w:tc>
                <w:tcPr>
                  <w:tcW w:w="872" w:type="pct"/>
                  <w:shd w:val="clear" w:color="auto" w:fill="auto"/>
                  <w:vAlign w:val="center"/>
                </w:tcPr>
                <w:p w14:paraId="11985BA4"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1.70E-01</w:t>
                  </w:r>
                </w:p>
              </w:tc>
              <w:tc>
                <w:tcPr>
                  <w:tcW w:w="1014" w:type="pct"/>
                  <w:shd w:val="clear" w:color="auto" w:fill="auto"/>
                  <w:vAlign w:val="center"/>
                </w:tcPr>
                <w:p w14:paraId="1D0055E8"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2.83E-02</w:t>
                  </w:r>
                </w:p>
              </w:tc>
              <w:tc>
                <w:tcPr>
                  <w:tcW w:w="796" w:type="pct"/>
                  <w:shd w:val="clear" w:color="auto" w:fill="auto"/>
                  <w:vAlign w:val="center"/>
                </w:tcPr>
                <w:p w14:paraId="30EC6905"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2.83E-01</w:t>
                  </w:r>
                </w:p>
              </w:tc>
            </w:tr>
            <w:tr w:rsidR="00692E71" w:rsidRPr="001E3185" w14:paraId="49D24A06" w14:textId="77777777" w:rsidTr="008E0250">
              <w:trPr>
                <w:trHeight w:val="283"/>
              </w:trPr>
              <w:tc>
                <w:tcPr>
                  <w:tcW w:w="1302" w:type="pct"/>
                  <w:shd w:val="clear" w:color="auto" w:fill="auto"/>
                  <w:vAlign w:val="center"/>
                </w:tcPr>
                <w:p w14:paraId="395B3978"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sz w:val="18"/>
                      <w:szCs w:val="18"/>
                    </w:rPr>
                    <w:t>Propiconazole</w:t>
                  </w:r>
                </w:p>
              </w:tc>
              <w:tc>
                <w:tcPr>
                  <w:tcW w:w="1016" w:type="pct"/>
                  <w:shd w:val="clear" w:color="auto" w:fill="auto"/>
                  <w:vAlign w:val="center"/>
                </w:tcPr>
                <w:p w14:paraId="7BB88389"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5.43E-02</w:t>
                  </w:r>
                </w:p>
              </w:tc>
              <w:tc>
                <w:tcPr>
                  <w:tcW w:w="872" w:type="pct"/>
                  <w:shd w:val="clear" w:color="auto" w:fill="auto"/>
                  <w:vAlign w:val="center"/>
                </w:tcPr>
                <w:p w14:paraId="709B21E4"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5.43E-01</w:t>
                  </w:r>
                </w:p>
              </w:tc>
              <w:tc>
                <w:tcPr>
                  <w:tcW w:w="1014" w:type="pct"/>
                  <w:shd w:val="clear" w:color="auto" w:fill="auto"/>
                  <w:vAlign w:val="center"/>
                </w:tcPr>
                <w:p w14:paraId="0A70233D"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9.05E-02</w:t>
                  </w:r>
                </w:p>
              </w:tc>
              <w:tc>
                <w:tcPr>
                  <w:tcW w:w="796" w:type="pct"/>
                  <w:shd w:val="clear" w:color="auto" w:fill="auto"/>
                  <w:vAlign w:val="center"/>
                </w:tcPr>
                <w:p w14:paraId="0B0494EF"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9.05E-01</w:t>
                  </w:r>
                </w:p>
              </w:tc>
            </w:tr>
            <w:tr w:rsidR="00692E71" w:rsidRPr="001E3185" w14:paraId="36F8EB52" w14:textId="77777777" w:rsidTr="008E0250">
              <w:trPr>
                <w:trHeight w:val="283"/>
              </w:trPr>
              <w:tc>
                <w:tcPr>
                  <w:tcW w:w="1302" w:type="pct"/>
                  <w:shd w:val="clear" w:color="auto" w:fill="auto"/>
                  <w:vAlign w:val="center"/>
                </w:tcPr>
                <w:p w14:paraId="236EA0AC"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sz w:val="18"/>
                      <w:szCs w:val="18"/>
                    </w:rPr>
                    <w:t>Cypermethrin</w:t>
                  </w:r>
                </w:p>
              </w:tc>
              <w:tc>
                <w:tcPr>
                  <w:tcW w:w="1016" w:type="pct"/>
                  <w:shd w:val="clear" w:color="auto" w:fill="auto"/>
                  <w:vAlign w:val="center"/>
                </w:tcPr>
                <w:p w14:paraId="6616ADD0"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2.71E-02</w:t>
                  </w:r>
                </w:p>
              </w:tc>
              <w:tc>
                <w:tcPr>
                  <w:tcW w:w="872" w:type="pct"/>
                  <w:shd w:val="clear" w:color="auto" w:fill="auto"/>
                  <w:vAlign w:val="center"/>
                </w:tcPr>
                <w:p w14:paraId="0F1701C5"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2.96E-01</w:t>
                  </w:r>
                </w:p>
              </w:tc>
              <w:tc>
                <w:tcPr>
                  <w:tcW w:w="1014" w:type="pct"/>
                  <w:shd w:val="clear" w:color="auto" w:fill="auto"/>
                  <w:vAlign w:val="center"/>
                </w:tcPr>
                <w:p w14:paraId="00ABAA0D"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4.52E-02</w:t>
                  </w:r>
                </w:p>
              </w:tc>
              <w:tc>
                <w:tcPr>
                  <w:tcW w:w="796" w:type="pct"/>
                  <w:shd w:val="clear" w:color="auto" w:fill="auto"/>
                  <w:vAlign w:val="center"/>
                </w:tcPr>
                <w:p w14:paraId="54A77323"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4.93E-01</w:t>
                  </w:r>
                </w:p>
              </w:tc>
            </w:tr>
            <w:tr w:rsidR="00692E71" w:rsidRPr="001E3185" w14:paraId="29EEE5D5" w14:textId="77777777" w:rsidTr="008E0250">
              <w:trPr>
                <w:trHeight w:val="283"/>
              </w:trPr>
              <w:tc>
                <w:tcPr>
                  <w:tcW w:w="1302" w:type="pct"/>
                  <w:shd w:val="clear" w:color="auto" w:fill="auto"/>
                  <w:vAlign w:val="center"/>
                </w:tcPr>
                <w:p w14:paraId="0668736C"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sz w:val="18"/>
                      <w:szCs w:val="18"/>
                    </w:rPr>
                    <w:t>IPBC</w:t>
                  </w:r>
                </w:p>
              </w:tc>
              <w:tc>
                <w:tcPr>
                  <w:tcW w:w="1016" w:type="pct"/>
                  <w:shd w:val="clear" w:color="auto" w:fill="auto"/>
                  <w:vAlign w:val="center"/>
                </w:tcPr>
                <w:p w14:paraId="7020A669"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1.70E-02</w:t>
                  </w:r>
                </w:p>
              </w:tc>
              <w:tc>
                <w:tcPr>
                  <w:tcW w:w="872" w:type="pct"/>
                  <w:shd w:val="clear" w:color="auto" w:fill="auto"/>
                  <w:vAlign w:val="center"/>
                </w:tcPr>
                <w:p w14:paraId="2F9D027B" w14:textId="77777777" w:rsidR="00692E71" w:rsidRPr="001E3185" w:rsidRDefault="00692E71" w:rsidP="00112DD6">
                  <w:pPr>
                    <w:framePr w:hSpace="141" w:wrap="around" w:vAnchor="text" w:hAnchor="text" w:y="1"/>
                    <w:autoSpaceDE w:val="0"/>
                    <w:autoSpaceDN w:val="0"/>
                    <w:suppressOverlap/>
                    <w:jc w:val="center"/>
                    <w:rPr>
                      <w:rFonts w:cs="Arial"/>
                      <w:b/>
                      <w:sz w:val="18"/>
                      <w:szCs w:val="18"/>
                    </w:rPr>
                  </w:pPr>
                  <w:r w:rsidRPr="001E3185">
                    <w:rPr>
                      <w:rFonts w:cs="Arial"/>
                      <w:b/>
                      <w:sz w:val="18"/>
                      <w:szCs w:val="18"/>
                    </w:rPr>
                    <w:t>3.86E+00</w:t>
                  </w:r>
                </w:p>
              </w:tc>
              <w:tc>
                <w:tcPr>
                  <w:tcW w:w="1014" w:type="pct"/>
                  <w:shd w:val="clear" w:color="auto" w:fill="auto"/>
                  <w:vAlign w:val="center"/>
                </w:tcPr>
                <w:p w14:paraId="3574F7BC"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2.83E-02</w:t>
                  </w:r>
                </w:p>
              </w:tc>
              <w:tc>
                <w:tcPr>
                  <w:tcW w:w="796" w:type="pct"/>
                  <w:shd w:val="clear" w:color="auto" w:fill="auto"/>
                  <w:vAlign w:val="center"/>
                </w:tcPr>
                <w:p w14:paraId="6350B2F9" w14:textId="77777777" w:rsidR="00692E71" w:rsidRPr="001E3185" w:rsidRDefault="00692E71" w:rsidP="00112DD6">
                  <w:pPr>
                    <w:framePr w:hSpace="141" w:wrap="around" w:vAnchor="text" w:hAnchor="text" w:y="1"/>
                    <w:autoSpaceDE w:val="0"/>
                    <w:autoSpaceDN w:val="0"/>
                    <w:suppressOverlap/>
                    <w:jc w:val="center"/>
                    <w:rPr>
                      <w:rFonts w:cs="Arial"/>
                      <w:b/>
                      <w:sz w:val="18"/>
                      <w:szCs w:val="18"/>
                    </w:rPr>
                  </w:pPr>
                  <w:r w:rsidRPr="001E3185">
                    <w:rPr>
                      <w:rFonts w:cs="Arial"/>
                      <w:b/>
                      <w:sz w:val="18"/>
                      <w:szCs w:val="18"/>
                    </w:rPr>
                    <w:t>6.43E+00</w:t>
                  </w:r>
                </w:p>
              </w:tc>
            </w:tr>
            <w:tr w:rsidR="00692E71" w:rsidRPr="001E3185" w14:paraId="2D1727D0" w14:textId="77777777" w:rsidTr="008E0250">
              <w:trPr>
                <w:trHeight w:val="283"/>
              </w:trPr>
              <w:tc>
                <w:tcPr>
                  <w:tcW w:w="1302" w:type="pct"/>
                  <w:shd w:val="clear" w:color="auto" w:fill="auto"/>
                  <w:vAlign w:val="center"/>
                </w:tcPr>
                <w:p w14:paraId="4CF3DB05"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sz w:val="18"/>
                      <w:szCs w:val="18"/>
                    </w:rPr>
                    <w:t>PBC</w:t>
                  </w:r>
                </w:p>
              </w:tc>
              <w:tc>
                <w:tcPr>
                  <w:tcW w:w="1016" w:type="pct"/>
                  <w:shd w:val="clear" w:color="auto" w:fill="auto"/>
                  <w:vAlign w:val="center"/>
                </w:tcPr>
                <w:p w14:paraId="422622F6"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9.37E-02</w:t>
                  </w:r>
                </w:p>
              </w:tc>
              <w:tc>
                <w:tcPr>
                  <w:tcW w:w="872" w:type="pct"/>
                  <w:shd w:val="clear" w:color="auto" w:fill="auto"/>
                  <w:vAlign w:val="center"/>
                </w:tcPr>
                <w:p w14:paraId="4C181088"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6.29E-02</w:t>
                  </w:r>
                </w:p>
              </w:tc>
              <w:tc>
                <w:tcPr>
                  <w:tcW w:w="1014" w:type="pct"/>
                  <w:shd w:val="clear" w:color="auto" w:fill="auto"/>
                  <w:vAlign w:val="center"/>
                </w:tcPr>
                <w:p w14:paraId="523F1117"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1.56E-02</w:t>
                  </w:r>
                </w:p>
              </w:tc>
              <w:tc>
                <w:tcPr>
                  <w:tcW w:w="796" w:type="pct"/>
                  <w:shd w:val="clear" w:color="auto" w:fill="auto"/>
                  <w:vAlign w:val="center"/>
                </w:tcPr>
                <w:p w14:paraId="587F7778"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1.05E-01</w:t>
                  </w:r>
                </w:p>
              </w:tc>
            </w:tr>
            <w:tr w:rsidR="00692E71" w:rsidRPr="001E3185" w14:paraId="52AF5F18" w14:textId="77777777" w:rsidTr="008E0250">
              <w:trPr>
                <w:trHeight w:val="283"/>
              </w:trPr>
              <w:tc>
                <w:tcPr>
                  <w:tcW w:w="1302" w:type="pct"/>
                  <w:shd w:val="clear" w:color="auto" w:fill="auto"/>
                  <w:vAlign w:val="center"/>
                </w:tcPr>
                <w:p w14:paraId="6C5F1BA5"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sz w:val="18"/>
                      <w:szCs w:val="18"/>
                    </w:rPr>
                    <w:t>1,2,4-triazole</w:t>
                  </w:r>
                </w:p>
              </w:tc>
              <w:tc>
                <w:tcPr>
                  <w:tcW w:w="1016" w:type="pct"/>
                  <w:shd w:val="clear" w:color="auto" w:fill="auto"/>
                  <w:vAlign w:val="center"/>
                </w:tcPr>
                <w:p w14:paraId="17B474EA"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5.08E-03</w:t>
                  </w:r>
                </w:p>
              </w:tc>
              <w:tc>
                <w:tcPr>
                  <w:tcW w:w="872" w:type="pct"/>
                  <w:shd w:val="clear" w:color="auto" w:fill="auto"/>
                  <w:vAlign w:val="center"/>
                </w:tcPr>
                <w:p w14:paraId="00F6051C"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6.20E-01</w:t>
                  </w:r>
                </w:p>
              </w:tc>
              <w:tc>
                <w:tcPr>
                  <w:tcW w:w="1014" w:type="pct"/>
                  <w:shd w:val="clear" w:color="auto" w:fill="auto"/>
                  <w:vAlign w:val="center"/>
                </w:tcPr>
                <w:p w14:paraId="792EBD50"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8.47E-03</w:t>
                  </w:r>
                </w:p>
              </w:tc>
              <w:tc>
                <w:tcPr>
                  <w:tcW w:w="796" w:type="pct"/>
                  <w:shd w:val="clear" w:color="auto" w:fill="auto"/>
                  <w:vAlign w:val="center"/>
                </w:tcPr>
                <w:p w14:paraId="1121A479" w14:textId="77777777" w:rsidR="00692E71" w:rsidRPr="001E3185" w:rsidRDefault="00692E71" w:rsidP="00112DD6">
                  <w:pPr>
                    <w:framePr w:hSpace="141" w:wrap="around" w:vAnchor="text" w:hAnchor="text" w:y="1"/>
                    <w:autoSpaceDE w:val="0"/>
                    <w:autoSpaceDN w:val="0"/>
                    <w:suppressOverlap/>
                    <w:jc w:val="center"/>
                    <w:rPr>
                      <w:rFonts w:cs="Arial"/>
                      <w:b/>
                      <w:sz w:val="18"/>
                      <w:szCs w:val="18"/>
                    </w:rPr>
                  </w:pPr>
                  <w:r w:rsidRPr="001E3185">
                    <w:rPr>
                      <w:rFonts w:cs="Arial"/>
                      <w:b/>
                      <w:sz w:val="18"/>
                      <w:szCs w:val="18"/>
                    </w:rPr>
                    <w:t>1.03E+00</w:t>
                  </w:r>
                </w:p>
              </w:tc>
            </w:tr>
            <w:tr w:rsidR="00692E71" w:rsidRPr="001E3185" w14:paraId="2619EEC6" w14:textId="77777777" w:rsidTr="008E0250">
              <w:trPr>
                <w:trHeight w:val="283"/>
              </w:trPr>
              <w:tc>
                <w:tcPr>
                  <w:tcW w:w="1302" w:type="pct"/>
                  <w:shd w:val="clear" w:color="auto" w:fill="auto"/>
                  <w:vAlign w:val="center"/>
                </w:tcPr>
                <w:p w14:paraId="2CDFEAD8"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b/>
                      <w:sz w:val="18"/>
                      <w:szCs w:val="18"/>
                      <w:lang w:eastAsia="en-GB"/>
                    </w:rPr>
                    <w:t>PEC/ PNEC</w:t>
                  </w:r>
                </w:p>
              </w:tc>
              <w:tc>
                <w:tcPr>
                  <w:tcW w:w="1016" w:type="pct"/>
                  <w:shd w:val="clear" w:color="auto" w:fill="auto"/>
                  <w:vAlign w:val="center"/>
                </w:tcPr>
                <w:p w14:paraId="2541331E"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p>
              </w:tc>
              <w:tc>
                <w:tcPr>
                  <w:tcW w:w="872" w:type="pct"/>
                  <w:shd w:val="clear" w:color="auto" w:fill="auto"/>
                  <w:vAlign w:val="center"/>
                </w:tcPr>
                <w:p w14:paraId="5152C6C9" w14:textId="77777777" w:rsidR="00692E71" w:rsidRPr="001E3185" w:rsidRDefault="00692E71" w:rsidP="00112DD6">
                  <w:pPr>
                    <w:framePr w:hSpace="141" w:wrap="around" w:vAnchor="text" w:hAnchor="text" w:y="1"/>
                    <w:autoSpaceDE w:val="0"/>
                    <w:autoSpaceDN w:val="0"/>
                    <w:suppressOverlap/>
                    <w:jc w:val="center"/>
                  </w:pPr>
                  <w:r w:rsidRPr="001E3185">
                    <w:rPr>
                      <w:rFonts w:cs="Arial"/>
                      <w:b/>
                      <w:color w:val="FF0000"/>
                      <w:sz w:val="18"/>
                      <w:szCs w:val="18"/>
                    </w:rPr>
                    <w:t>5.55</w:t>
                  </w:r>
                </w:p>
              </w:tc>
              <w:tc>
                <w:tcPr>
                  <w:tcW w:w="1014" w:type="pct"/>
                  <w:shd w:val="clear" w:color="auto" w:fill="auto"/>
                  <w:vAlign w:val="center"/>
                </w:tcPr>
                <w:p w14:paraId="6FA0F265"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p>
              </w:tc>
              <w:tc>
                <w:tcPr>
                  <w:tcW w:w="796" w:type="pct"/>
                  <w:shd w:val="clear" w:color="auto" w:fill="auto"/>
                  <w:vAlign w:val="center"/>
                </w:tcPr>
                <w:p w14:paraId="0C8003AE" w14:textId="77777777" w:rsidR="00692E71" w:rsidRPr="001E3185" w:rsidRDefault="00692E71" w:rsidP="00112DD6">
                  <w:pPr>
                    <w:framePr w:hSpace="141" w:wrap="around" w:vAnchor="text" w:hAnchor="text" w:y="1"/>
                    <w:autoSpaceDE w:val="0"/>
                    <w:autoSpaceDN w:val="0"/>
                    <w:suppressOverlap/>
                    <w:jc w:val="center"/>
                    <w:rPr>
                      <w:rFonts w:cs="Arial"/>
                      <w:b/>
                      <w:color w:val="FF0000"/>
                      <w:sz w:val="18"/>
                      <w:szCs w:val="18"/>
                    </w:rPr>
                  </w:pPr>
                  <w:r w:rsidRPr="001E3185">
                    <w:rPr>
                      <w:rFonts w:cs="Arial"/>
                      <w:b/>
                      <w:color w:val="FF0000"/>
                      <w:sz w:val="18"/>
                      <w:szCs w:val="18"/>
                    </w:rPr>
                    <w:t>9.25</w:t>
                  </w:r>
                </w:p>
              </w:tc>
            </w:tr>
          </w:tbl>
          <w:p w14:paraId="4BE9DD1F" w14:textId="77777777" w:rsidR="00692E71" w:rsidRPr="001E3185" w:rsidRDefault="00692E71" w:rsidP="008E0250">
            <w:pPr>
              <w:autoSpaceDE w:val="0"/>
              <w:autoSpaceDN w:val="0"/>
              <w:ind w:right="142"/>
              <w:rPr>
                <w:rFonts w:cs="Arial"/>
              </w:rPr>
            </w:pPr>
          </w:p>
          <w:p w14:paraId="65D4DB21"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Considering that calculated </w:t>
            </w:r>
            <w:r w:rsidRPr="001E3185">
              <w:rPr>
                <w:rFonts w:cs="Arial"/>
                <w:lang w:eastAsia="en-GB"/>
              </w:rPr>
              <w:t>PEC/PNEC ratios are above 1 for soil, brushing application phase is cause of concern for the terrestrial compartment, unless direct releases to soil is prevented by covering the soil during application.</w:t>
            </w:r>
          </w:p>
          <w:p w14:paraId="31E77E45" w14:textId="77777777" w:rsidR="00692E71" w:rsidRPr="001E3185" w:rsidRDefault="00692E71" w:rsidP="008E0250">
            <w:pPr>
              <w:autoSpaceDE w:val="0"/>
              <w:autoSpaceDN w:val="0"/>
              <w:ind w:right="142"/>
              <w:rPr>
                <w:rFonts w:cs="Arial"/>
              </w:rPr>
            </w:pPr>
          </w:p>
          <w:p w14:paraId="18E3EB85" w14:textId="77777777" w:rsidR="00692E71" w:rsidRPr="001E3185" w:rsidRDefault="00692E71" w:rsidP="008E0250">
            <w:pPr>
              <w:autoSpaceDE w:val="0"/>
              <w:autoSpaceDN w:val="0"/>
              <w:ind w:right="142"/>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985"/>
              <w:gridCol w:w="1701"/>
              <w:gridCol w:w="1986"/>
              <w:gridCol w:w="1558"/>
            </w:tblGrid>
            <w:tr w:rsidR="00692E71" w:rsidRPr="001E3185" w14:paraId="7363D1A5" w14:textId="77777777" w:rsidTr="008E0250">
              <w:trPr>
                <w:trHeight w:val="340"/>
              </w:trPr>
              <w:tc>
                <w:tcPr>
                  <w:tcW w:w="5000" w:type="pct"/>
                  <w:gridSpan w:val="5"/>
                  <w:shd w:val="clear" w:color="auto" w:fill="auto"/>
                  <w:vAlign w:val="center"/>
                </w:tcPr>
                <w:p w14:paraId="7ACF079B"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Application – House - Treatment by spraying</w:t>
                  </w:r>
                </w:p>
              </w:tc>
            </w:tr>
            <w:tr w:rsidR="00692E71" w:rsidRPr="001E3185" w14:paraId="567B4784" w14:textId="77777777" w:rsidTr="008E0250">
              <w:trPr>
                <w:trHeight w:val="283"/>
              </w:trPr>
              <w:tc>
                <w:tcPr>
                  <w:tcW w:w="1302" w:type="pct"/>
                  <w:vMerge w:val="restart"/>
                  <w:shd w:val="clear" w:color="auto" w:fill="auto"/>
                  <w:vAlign w:val="center"/>
                </w:tcPr>
                <w:p w14:paraId="576EAF62" w14:textId="77777777" w:rsidR="00692E71" w:rsidRPr="001E3185" w:rsidRDefault="00692E71" w:rsidP="00112DD6">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SOIL</w:t>
                  </w:r>
                </w:p>
              </w:tc>
              <w:tc>
                <w:tcPr>
                  <w:tcW w:w="1885" w:type="pct"/>
                  <w:gridSpan w:val="2"/>
                  <w:shd w:val="clear" w:color="auto" w:fill="auto"/>
                  <w:vAlign w:val="center"/>
                </w:tcPr>
                <w:p w14:paraId="4C4B39F6"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Tier 1 (Runoff + Drift)</w:t>
                  </w:r>
                </w:p>
              </w:tc>
              <w:tc>
                <w:tcPr>
                  <w:tcW w:w="1813" w:type="pct"/>
                  <w:gridSpan w:val="2"/>
                  <w:shd w:val="clear" w:color="auto" w:fill="auto"/>
                  <w:vAlign w:val="center"/>
                </w:tcPr>
                <w:p w14:paraId="7CFB79C4"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Tier 2 (Drift)</w:t>
                  </w:r>
                </w:p>
              </w:tc>
            </w:tr>
            <w:tr w:rsidR="00692E71" w:rsidRPr="001E3185" w14:paraId="22EFEEBE" w14:textId="77777777" w:rsidTr="008E0250">
              <w:trPr>
                <w:trHeight w:val="283"/>
              </w:trPr>
              <w:tc>
                <w:tcPr>
                  <w:tcW w:w="1302" w:type="pct"/>
                  <w:vMerge/>
                  <w:shd w:val="clear" w:color="auto" w:fill="auto"/>
                </w:tcPr>
                <w:p w14:paraId="527381C5" w14:textId="77777777" w:rsidR="00692E71" w:rsidRPr="001E3185" w:rsidRDefault="00692E71" w:rsidP="00112DD6">
                  <w:pPr>
                    <w:framePr w:hSpace="141" w:wrap="around" w:vAnchor="text" w:hAnchor="text" w:y="1"/>
                    <w:autoSpaceDE w:val="0"/>
                    <w:autoSpaceDN w:val="0"/>
                    <w:ind w:right="142"/>
                    <w:suppressOverlap/>
                    <w:rPr>
                      <w:rFonts w:cs="Arial"/>
                      <w:sz w:val="18"/>
                      <w:szCs w:val="18"/>
                    </w:rPr>
                  </w:pPr>
                </w:p>
              </w:tc>
              <w:tc>
                <w:tcPr>
                  <w:tcW w:w="1015" w:type="pct"/>
                  <w:shd w:val="clear" w:color="auto" w:fill="auto"/>
                  <w:vAlign w:val="center"/>
                </w:tcPr>
                <w:p w14:paraId="34465535" w14:textId="77777777" w:rsidR="00692E71" w:rsidRPr="001E3185" w:rsidRDefault="00692E71" w:rsidP="00112DD6">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870" w:type="pct"/>
                  <w:shd w:val="clear" w:color="auto" w:fill="auto"/>
                  <w:vAlign w:val="center"/>
                </w:tcPr>
                <w:p w14:paraId="093FA8A6" w14:textId="77777777" w:rsidR="00692E71" w:rsidRPr="001E3185" w:rsidRDefault="00692E71" w:rsidP="00112DD6">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1016" w:type="pct"/>
                  <w:shd w:val="clear" w:color="auto" w:fill="auto"/>
                  <w:vAlign w:val="center"/>
                </w:tcPr>
                <w:p w14:paraId="6A35AC56" w14:textId="77777777" w:rsidR="00692E71" w:rsidRPr="001E3185" w:rsidRDefault="00692E71" w:rsidP="00112DD6">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797" w:type="pct"/>
                  <w:shd w:val="clear" w:color="auto" w:fill="auto"/>
                  <w:vAlign w:val="center"/>
                </w:tcPr>
                <w:p w14:paraId="28215CC0" w14:textId="77777777" w:rsidR="00692E71" w:rsidRPr="001E3185" w:rsidRDefault="00692E71" w:rsidP="00112DD6">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r>
            <w:tr w:rsidR="00692E71" w:rsidRPr="001E3185" w14:paraId="5DECDE86" w14:textId="77777777" w:rsidTr="008E0250">
              <w:trPr>
                <w:trHeight w:val="283"/>
              </w:trPr>
              <w:tc>
                <w:tcPr>
                  <w:tcW w:w="1302" w:type="pct"/>
                  <w:shd w:val="clear" w:color="auto" w:fill="auto"/>
                </w:tcPr>
                <w:p w14:paraId="69A6C351" w14:textId="77777777" w:rsidR="00692E71" w:rsidRPr="001E3185" w:rsidRDefault="00692E71" w:rsidP="00112DD6">
                  <w:pPr>
                    <w:framePr w:hSpace="141" w:wrap="around" w:vAnchor="text" w:hAnchor="text" w:y="1"/>
                    <w:autoSpaceDE w:val="0"/>
                    <w:autoSpaceDN w:val="0"/>
                    <w:ind w:right="142"/>
                    <w:suppressOverlap/>
                    <w:rPr>
                      <w:rFonts w:cs="Arial"/>
                      <w:sz w:val="18"/>
                      <w:szCs w:val="18"/>
                    </w:rPr>
                  </w:pPr>
                  <w:r w:rsidRPr="001E3185">
                    <w:rPr>
                      <w:rFonts w:cs="Arial"/>
                      <w:sz w:val="18"/>
                      <w:szCs w:val="18"/>
                    </w:rPr>
                    <w:t>Tebuconazole</w:t>
                  </w:r>
                </w:p>
              </w:tc>
              <w:tc>
                <w:tcPr>
                  <w:tcW w:w="1015" w:type="pct"/>
                  <w:shd w:val="clear" w:color="auto" w:fill="auto"/>
                  <w:vAlign w:val="center"/>
                </w:tcPr>
                <w:p w14:paraId="3D9FE187"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1.70E-01</w:t>
                  </w:r>
                </w:p>
              </w:tc>
              <w:tc>
                <w:tcPr>
                  <w:tcW w:w="870" w:type="pct"/>
                  <w:shd w:val="clear" w:color="auto" w:fill="auto"/>
                  <w:vAlign w:val="center"/>
                </w:tcPr>
                <w:p w14:paraId="399BCF7C" w14:textId="77777777" w:rsidR="00692E71" w:rsidRPr="001E3185" w:rsidRDefault="00692E71" w:rsidP="00112DD6">
                  <w:pPr>
                    <w:framePr w:hSpace="141" w:wrap="around" w:vAnchor="text" w:hAnchor="text" w:y="1"/>
                    <w:autoSpaceDE w:val="0"/>
                    <w:autoSpaceDN w:val="0"/>
                    <w:suppressOverlap/>
                    <w:jc w:val="center"/>
                    <w:rPr>
                      <w:rFonts w:cs="Arial"/>
                      <w:b/>
                      <w:sz w:val="18"/>
                      <w:szCs w:val="18"/>
                    </w:rPr>
                  </w:pPr>
                  <w:r w:rsidRPr="001E3185">
                    <w:rPr>
                      <w:rFonts w:cs="Arial"/>
                      <w:b/>
                      <w:sz w:val="18"/>
                      <w:szCs w:val="18"/>
                    </w:rPr>
                    <w:t>1.70E+00</w:t>
                  </w:r>
                </w:p>
              </w:tc>
              <w:tc>
                <w:tcPr>
                  <w:tcW w:w="1016" w:type="pct"/>
                  <w:shd w:val="clear" w:color="auto" w:fill="auto"/>
                  <w:vAlign w:val="center"/>
                </w:tcPr>
                <w:p w14:paraId="2973A0EA"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1.62E-02</w:t>
                  </w:r>
                </w:p>
              </w:tc>
              <w:tc>
                <w:tcPr>
                  <w:tcW w:w="797" w:type="pct"/>
                  <w:shd w:val="clear" w:color="auto" w:fill="auto"/>
                  <w:vAlign w:val="center"/>
                </w:tcPr>
                <w:p w14:paraId="53F0F4D1"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1.62E-01</w:t>
                  </w:r>
                </w:p>
              </w:tc>
            </w:tr>
            <w:tr w:rsidR="00692E71" w:rsidRPr="001E3185" w14:paraId="188E70D1" w14:textId="77777777" w:rsidTr="008E0250">
              <w:trPr>
                <w:trHeight w:val="283"/>
              </w:trPr>
              <w:tc>
                <w:tcPr>
                  <w:tcW w:w="1302" w:type="pct"/>
                  <w:shd w:val="clear" w:color="auto" w:fill="auto"/>
                </w:tcPr>
                <w:p w14:paraId="6321AA65" w14:textId="77777777" w:rsidR="00692E71" w:rsidRPr="001E3185" w:rsidRDefault="00692E71" w:rsidP="00112DD6">
                  <w:pPr>
                    <w:framePr w:hSpace="141" w:wrap="around" w:vAnchor="text" w:hAnchor="text" w:y="1"/>
                    <w:autoSpaceDE w:val="0"/>
                    <w:autoSpaceDN w:val="0"/>
                    <w:ind w:right="142"/>
                    <w:suppressOverlap/>
                    <w:rPr>
                      <w:rFonts w:cs="Arial"/>
                      <w:sz w:val="18"/>
                      <w:szCs w:val="18"/>
                    </w:rPr>
                  </w:pPr>
                  <w:r w:rsidRPr="001E3185">
                    <w:rPr>
                      <w:rFonts w:cs="Arial"/>
                      <w:sz w:val="18"/>
                      <w:szCs w:val="18"/>
                    </w:rPr>
                    <w:t>Propiconazole</w:t>
                  </w:r>
                </w:p>
              </w:tc>
              <w:tc>
                <w:tcPr>
                  <w:tcW w:w="1015" w:type="pct"/>
                  <w:shd w:val="clear" w:color="auto" w:fill="auto"/>
                  <w:vAlign w:val="center"/>
                </w:tcPr>
                <w:p w14:paraId="1D92DE3A"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5.43E-01</w:t>
                  </w:r>
                </w:p>
              </w:tc>
              <w:tc>
                <w:tcPr>
                  <w:tcW w:w="870" w:type="pct"/>
                  <w:shd w:val="clear" w:color="auto" w:fill="auto"/>
                  <w:vAlign w:val="center"/>
                </w:tcPr>
                <w:p w14:paraId="26642260" w14:textId="77777777" w:rsidR="00692E71" w:rsidRPr="001E3185" w:rsidRDefault="00692E71" w:rsidP="00112DD6">
                  <w:pPr>
                    <w:framePr w:hSpace="141" w:wrap="around" w:vAnchor="text" w:hAnchor="text" w:y="1"/>
                    <w:autoSpaceDE w:val="0"/>
                    <w:autoSpaceDN w:val="0"/>
                    <w:suppressOverlap/>
                    <w:jc w:val="center"/>
                    <w:rPr>
                      <w:rFonts w:cs="Arial"/>
                      <w:b/>
                      <w:sz w:val="18"/>
                      <w:szCs w:val="18"/>
                    </w:rPr>
                  </w:pPr>
                  <w:r w:rsidRPr="001E3185">
                    <w:rPr>
                      <w:rFonts w:cs="Arial"/>
                      <w:b/>
                      <w:sz w:val="18"/>
                      <w:szCs w:val="18"/>
                    </w:rPr>
                    <w:t>5.43E+00</w:t>
                  </w:r>
                </w:p>
              </w:tc>
              <w:tc>
                <w:tcPr>
                  <w:tcW w:w="1016" w:type="pct"/>
                  <w:shd w:val="clear" w:color="auto" w:fill="auto"/>
                  <w:vAlign w:val="center"/>
                </w:tcPr>
                <w:p w14:paraId="6A878567"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5.18E-02</w:t>
                  </w:r>
                </w:p>
              </w:tc>
              <w:tc>
                <w:tcPr>
                  <w:tcW w:w="797" w:type="pct"/>
                  <w:shd w:val="clear" w:color="auto" w:fill="auto"/>
                  <w:vAlign w:val="center"/>
                </w:tcPr>
                <w:p w14:paraId="6C15BA06"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5.18E-01</w:t>
                  </w:r>
                </w:p>
              </w:tc>
            </w:tr>
            <w:tr w:rsidR="00692E71" w:rsidRPr="001E3185" w14:paraId="78132007" w14:textId="77777777" w:rsidTr="008E0250">
              <w:trPr>
                <w:trHeight w:val="283"/>
              </w:trPr>
              <w:tc>
                <w:tcPr>
                  <w:tcW w:w="1302" w:type="pct"/>
                  <w:shd w:val="clear" w:color="auto" w:fill="auto"/>
                </w:tcPr>
                <w:p w14:paraId="2B8AC67D" w14:textId="77777777" w:rsidR="00692E71" w:rsidRPr="001E3185" w:rsidRDefault="00692E71" w:rsidP="00112DD6">
                  <w:pPr>
                    <w:framePr w:hSpace="141" w:wrap="around" w:vAnchor="text" w:hAnchor="text" w:y="1"/>
                    <w:autoSpaceDE w:val="0"/>
                    <w:autoSpaceDN w:val="0"/>
                    <w:ind w:right="142"/>
                    <w:suppressOverlap/>
                    <w:rPr>
                      <w:rFonts w:cs="Arial"/>
                      <w:sz w:val="18"/>
                      <w:szCs w:val="18"/>
                    </w:rPr>
                  </w:pPr>
                  <w:r w:rsidRPr="001E3185">
                    <w:rPr>
                      <w:rFonts w:cs="Arial"/>
                      <w:sz w:val="18"/>
                      <w:szCs w:val="18"/>
                    </w:rPr>
                    <w:t>Cypermethrin</w:t>
                  </w:r>
                </w:p>
              </w:tc>
              <w:tc>
                <w:tcPr>
                  <w:tcW w:w="1015" w:type="pct"/>
                  <w:shd w:val="clear" w:color="auto" w:fill="auto"/>
                  <w:vAlign w:val="center"/>
                </w:tcPr>
                <w:p w14:paraId="05ED649B"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2.71E-01</w:t>
                  </w:r>
                </w:p>
              </w:tc>
              <w:tc>
                <w:tcPr>
                  <w:tcW w:w="870" w:type="pct"/>
                  <w:shd w:val="clear" w:color="auto" w:fill="auto"/>
                  <w:vAlign w:val="center"/>
                </w:tcPr>
                <w:p w14:paraId="7F3954D0" w14:textId="77777777" w:rsidR="00692E71" w:rsidRPr="001E3185" w:rsidRDefault="00692E71" w:rsidP="00112DD6">
                  <w:pPr>
                    <w:framePr w:hSpace="141" w:wrap="around" w:vAnchor="text" w:hAnchor="text" w:y="1"/>
                    <w:autoSpaceDE w:val="0"/>
                    <w:autoSpaceDN w:val="0"/>
                    <w:suppressOverlap/>
                    <w:jc w:val="center"/>
                    <w:rPr>
                      <w:rFonts w:cs="Arial"/>
                      <w:b/>
                      <w:sz w:val="18"/>
                      <w:szCs w:val="18"/>
                    </w:rPr>
                  </w:pPr>
                  <w:r w:rsidRPr="001E3185">
                    <w:rPr>
                      <w:rFonts w:cs="Arial"/>
                      <w:b/>
                      <w:sz w:val="18"/>
                      <w:szCs w:val="18"/>
                    </w:rPr>
                    <w:t>2.96E+00</w:t>
                  </w:r>
                </w:p>
              </w:tc>
              <w:tc>
                <w:tcPr>
                  <w:tcW w:w="1016" w:type="pct"/>
                  <w:shd w:val="clear" w:color="auto" w:fill="auto"/>
                  <w:vAlign w:val="center"/>
                </w:tcPr>
                <w:p w14:paraId="5577ACD7"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2.59E-02</w:t>
                  </w:r>
                </w:p>
              </w:tc>
              <w:tc>
                <w:tcPr>
                  <w:tcW w:w="797" w:type="pct"/>
                  <w:shd w:val="clear" w:color="auto" w:fill="auto"/>
                  <w:vAlign w:val="center"/>
                </w:tcPr>
                <w:p w14:paraId="6B2EA8EB"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2.82E-01</w:t>
                  </w:r>
                </w:p>
              </w:tc>
            </w:tr>
            <w:tr w:rsidR="00692E71" w:rsidRPr="001E3185" w14:paraId="630AE9B3" w14:textId="77777777" w:rsidTr="008E0250">
              <w:trPr>
                <w:trHeight w:val="283"/>
              </w:trPr>
              <w:tc>
                <w:tcPr>
                  <w:tcW w:w="1302" w:type="pct"/>
                  <w:shd w:val="clear" w:color="auto" w:fill="auto"/>
                  <w:vAlign w:val="center"/>
                </w:tcPr>
                <w:p w14:paraId="10C092AC"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sz w:val="18"/>
                      <w:szCs w:val="18"/>
                    </w:rPr>
                    <w:t>IPBC</w:t>
                  </w:r>
                </w:p>
              </w:tc>
              <w:tc>
                <w:tcPr>
                  <w:tcW w:w="1015" w:type="pct"/>
                  <w:shd w:val="clear" w:color="auto" w:fill="auto"/>
                  <w:vAlign w:val="center"/>
                </w:tcPr>
                <w:p w14:paraId="46C79A24"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1.70E-01</w:t>
                  </w:r>
                </w:p>
              </w:tc>
              <w:tc>
                <w:tcPr>
                  <w:tcW w:w="870" w:type="pct"/>
                  <w:shd w:val="clear" w:color="auto" w:fill="auto"/>
                  <w:vAlign w:val="center"/>
                </w:tcPr>
                <w:p w14:paraId="72711FC1" w14:textId="77777777" w:rsidR="00692E71" w:rsidRPr="001E3185" w:rsidRDefault="00692E71" w:rsidP="00112DD6">
                  <w:pPr>
                    <w:framePr w:hSpace="141" w:wrap="around" w:vAnchor="text" w:hAnchor="text" w:y="1"/>
                    <w:autoSpaceDE w:val="0"/>
                    <w:autoSpaceDN w:val="0"/>
                    <w:suppressOverlap/>
                    <w:jc w:val="center"/>
                    <w:rPr>
                      <w:rFonts w:cs="Arial"/>
                      <w:b/>
                      <w:sz w:val="18"/>
                      <w:szCs w:val="18"/>
                    </w:rPr>
                  </w:pPr>
                  <w:r w:rsidRPr="001E3185">
                    <w:rPr>
                      <w:rFonts w:cs="Arial"/>
                      <w:b/>
                      <w:sz w:val="18"/>
                      <w:szCs w:val="18"/>
                    </w:rPr>
                    <w:t>3.86E+01</w:t>
                  </w:r>
                </w:p>
              </w:tc>
              <w:tc>
                <w:tcPr>
                  <w:tcW w:w="1016" w:type="pct"/>
                  <w:shd w:val="clear" w:color="auto" w:fill="auto"/>
                  <w:vAlign w:val="center"/>
                </w:tcPr>
                <w:p w14:paraId="78DC36A8"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1.62E-02</w:t>
                  </w:r>
                </w:p>
              </w:tc>
              <w:tc>
                <w:tcPr>
                  <w:tcW w:w="797" w:type="pct"/>
                  <w:shd w:val="clear" w:color="auto" w:fill="auto"/>
                  <w:vAlign w:val="center"/>
                </w:tcPr>
                <w:p w14:paraId="3329BB80" w14:textId="77777777" w:rsidR="00692E71" w:rsidRPr="001E3185" w:rsidRDefault="00692E71" w:rsidP="00112DD6">
                  <w:pPr>
                    <w:framePr w:hSpace="141" w:wrap="around" w:vAnchor="text" w:hAnchor="text" w:y="1"/>
                    <w:autoSpaceDE w:val="0"/>
                    <w:autoSpaceDN w:val="0"/>
                    <w:suppressOverlap/>
                    <w:jc w:val="center"/>
                    <w:rPr>
                      <w:rFonts w:cs="Arial"/>
                      <w:b/>
                      <w:sz w:val="18"/>
                      <w:szCs w:val="18"/>
                    </w:rPr>
                  </w:pPr>
                  <w:r w:rsidRPr="001E3185">
                    <w:rPr>
                      <w:rFonts w:cs="Arial"/>
                      <w:b/>
                      <w:sz w:val="18"/>
                      <w:szCs w:val="18"/>
                    </w:rPr>
                    <w:t>3.68E+00</w:t>
                  </w:r>
                </w:p>
              </w:tc>
            </w:tr>
            <w:tr w:rsidR="00692E71" w:rsidRPr="001E3185" w14:paraId="14512394" w14:textId="77777777" w:rsidTr="008E0250">
              <w:trPr>
                <w:trHeight w:val="283"/>
              </w:trPr>
              <w:tc>
                <w:tcPr>
                  <w:tcW w:w="1302" w:type="pct"/>
                  <w:shd w:val="clear" w:color="auto" w:fill="auto"/>
                  <w:vAlign w:val="center"/>
                </w:tcPr>
                <w:p w14:paraId="34B46DD1"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sz w:val="18"/>
                      <w:szCs w:val="18"/>
                    </w:rPr>
                    <w:t>PBC</w:t>
                  </w:r>
                </w:p>
              </w:tc>
              <w:tc>
                <w:tcPr>
                  <w:tcW w:w="1015" w:type="pct"/>
                  <w:shd w:val="clear" w:color="auto" w:fill="auto"/>
                  <w:vAlign w:val="center"/>
                </w:tcPr>
                <w:p w14:paraId="08E5B316"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9.37E-02</w:t>
                  </w:r>
                </w:p>
              </w:tc>
              <w:tc>
                <w:tcPr>
                  <w:tcW w:w="870" w:type="pct"/>
                  <w:shd w:val="clear" w:color="auto" w:fill="auto"/>
                  <w:vAlign w:val="center"/>
                </w:tcPr>
                <w:p w14:paraId="6F140365"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6.29E-01</w:t>
                  </w:r>
                </w:p>
              </w:tc>
              <w:tc>
                <w:tcPr>
                  <w:tcW w:w="1016" w:type="pct"/>
                  <w:shd w:val="clear" w:color="auto" w:fill="auto"/>
                  <w:vAlign w:val="center"/>
                </w:tcPr>
                <w:p w14:paraId="6DD32091"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8.93E-03</w:t>
                  </w:r>
                </w:p>
              </w:tc>
              <w:tc>
                <w:tcPr>
                  <w:tcW w:w="797" w:type="pct"/>
                  <w:shd w:val="clear" w:color="auto" w:fill="auto"/>
                  <w:vAlign w:val="center"/>
                </w:tcPr>
                <w:p w14:paraId="579543A6"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5.99E-02</w:t>
                  </w:r>
                </w:p>
              </w:tc>
            </w:tr>
            <w:tr w:rsidR="00692E71" w:rsidRPr="001E3185" w14:paraId="2FD56ADB" w14:textId="77777777" w:rsidTr="008E0250">
              <w:trPr>
                <w:trHeight w:val="283"/>
              </w:trPr>
              <w:tc>
                <w:tcPr>
                  <w:tcW w:w="1302" w:type="pct"/>
                  <w:shd w:val="clear" w:color="auto" w:fill="auto"/>
                  <w:vAlign w:val="center"/>
                </w:tcPr>
                <w:p w14:paraId="07CEAA4E"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sz w:val="18"/>
                      <w:szCs w:val="18"/>
                    </w:rPr>
                    <w:t>1,2,4-triazole</w:t>
                  </w:r>
                </w:p>
              </w:tc>
              <w:tc>
                <w:tcPr>
                  <w:tcW w:w="1015" w:type="pct"/>
                  <w:shd w:val="clear" w:color="auto" w:fill="auto"/>
                  <w:vAlign w:val="center"/>
                </w:tcPr>
                <w:p w14:paraId="1E681508"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5.08E-02</w:t>
                  </w:r>
                </w:p>
              </w:tc>
              <w:tc>
                <w:tcPr>
                  <w:tcW w:w="870" w:type="pct"/>
                  <w:shd w:val="clear" w:color="auto" w:fill="auto"/>
                  <w:vAlign w:val="center"/>
                </w:tcPr>
                <w:p w14:paraId="19FB8B35" w14:textId="77777777" w:rsidR="00692E71" w:rsidRPr="001E3185" w:rsidRDefault="00692E71" w:rsidP="00112DD6">
                  <w:pPr>
                    <w:framePr w:hSpace="141" w:wrap="around" w:vAnchor="text" w:hAnchor="text" w:y="1"/>
                    <w:autoSpaceDE w:val="0"/>
                    <w:autoSpaceDN w:val="0"/>
                    <w:suppressOverlap/>
                    <w:jc w:val="center"/>
                    <w:rPr>
                      <w:rFonts w:cs="Arial"/>
                      <w:b/>
                      <w:sz w:val="18"/>
                      <w:szCs w:val="18"/>
                    </w:rPr>
                  </w:pPr>
                  <w:r w:rsidRPr="001E3185">
                    <w:rPr>
                      <w:rFonts w:cs="Arial"/>
                      <w:b/>
                      <w:sz w:val="18"/>
                      <w:szCs w:val="18"/>
                    </w:rPr>
                    <w:t>6.20E+00</w:t>
                  </w:r>
                </w:p>
              </w:tc>
              <w:tc>
                <w:tcPr>
                  <w:tcW w:w="1016" w:type="pct"/>
                  <w:shd w:val="clear" w:color="auto" w:fill="auto"/>
                  <w:vAlign w:val="center"/>
                </w:tcPr>
                <w:p w14:paraId="621825AD"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4.85E-03</w:t>
                  </w:r>
                </w:p>
              </w:tc>
              <w:tc>
                <w:tcPr>
                  <w:tcW w:w="797" w:type="pct"/>
                  <w:shd w:val="clear" w:color="auto" w:fill="auto"/>
                  <w:vAlign w:val="center"/>
                </w:tcPr>
                <w:p w14:paraId="536A4B3E"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r w:rsidRPr="001E3185">
                    <w:rPr>
                      <w:rFonts w:cs="Arial"/>
                      <w:sz w:val="18"/>
                      <w:szCs w:val="18"/>
                    </w:rPr>
                    <w:t>5.91E-01</w:t>
                  </w:r>
                </w:p>
              </w:tc>
            </w:tr>
            <w:tr w:rsidR="00692E71" w:rsidRPr="001E3185" w14:paraId="07D15BED" w14:textId="77777777" w:rsidTr="008E0250">
              <w:trPr>
                <w:trHeight w:val="283"/>
              </w:trPr>
              <w:tc>
                <w:tcPr>
                  <w:tcW w:w="1302" w:type="pct"/>
                  <w:shd w:val="clear" w:color="auto" w:fill="auto"/>
                  <w:vAlign w:val="center"/>
                </w:tcPr>
                <w:p w14:paraId="29712B87"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b/>
                      <w:sz w:val="18"/>
                      <w:szCs w:val="18"/>
                      <w:lang w:eastAsia="en-GB"/>
                    </w:rPr>
                    <w:t>PEC/ PNEC</w:t>
                  </w:r>
                </w:p>
              </w:tc>
              <w:tc>
                <w:tcPr>
                  <w:tcW w:w="1015" w:type="pct"/>
                  <w:shd w:val="clear" w:color="auto" w:fill="auto"/>
                  <w:vAlign w:val="center"/>
                </w:tcPr>
                <w:p w14:paraId="759F96F5"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p>
              </w:tc>
              <w:tc>
                <w:tcPr>
                  <w:tcW w:w="870" w:type="pct"/>
                  <w:shd w:val="clear" w:color="auto" w:fill="auto"/>
                  <w:vAlign w:val="center"/>
                </w:tcPr>
                <w:p w14:paraId="066F28B2" w14:textId="77777777" w:rsidR="00692E71" w:rsidRPr="001E3185" w:rsidRDefault="00692E71" w:rsidP="00112DD6">
                  <w:pPr>
                    <w:framePr w:hSpace="141" w:wrap="around" w:vAnchor="text" w:hAnchor="text" w:y="1"/>
                    <w:autoSpaceDE w:val="0"/>
                    <w:autoSpaceDN w:val="0"/>
                    <w:suppressOverlap/>
                    <w:jc w:val="center"/>
                    <w:rPr>
                      <w:rFonts w:cs="Arial"/>
                      <w:b/>
                      <w:color w:val="FF0000"/>
                      <w:sz w:val="18"/>
                      <w:szCs w:val="18"/>
                    </w:rPr>
                  </w:pPr>
                  <w:r w:rsidRPr="001E3185">
                    <w:rPr>
                      <w:rFonts w:cs="Arial"/>
                      <w:b/>
                      <w:color w:val="FF0000"/>
                      <w:sz w:val="18"/>
                      <w:szCs w:val="18"/>
                    </w:rPr>
                    <w:t>55</w:t>
                  </w:r>
                </w:p>
              </w:tc>
              <w:tc>
                <w:tcPr>
                  <w:tcW w:w="1016" w:type="pct"/>
                  <w:shd w:val="clear" w:color="auto" w:fill="auto"/>
                  <w:vAlign w:val="center"/>
                </w:tcPr>
                <w:p w14:paraId="7178F985" w14:textId="77777777" w:rsidR="00692E71" w:rsidRPr="001E3185" w:rsidRDefault="00692E71" w:rsidP="00112DD6">
                  <w:pPr>
                    <w:framePr w:hSpace="141" w:wrap="around" w:vAnchor="text" w:hAnchor="text" w:y="1"/>
                    <w:autoSpaceDE w:val="0"/>
                    <w:autoSpaceDN w:val="0"/>
                    <w:suppressOverlap/>
                    <w:jc w:val="center"/>
                    <w:rPr>
                      <w:rFonts w:cs="Arial"/>
                      <w:sz w:val="18"/>
                      <w:szCs w:val="18"/>
                    </w:rPr>
                  </w:pPr>
                </w:p>
              </w:tc>
              <w:tc>
                <w:tcPr>
                  <w:tcW w:w="797" w:type="pct"/>
                  <w:shd w:val="clear" w:color="auto" w:fill="auto"/>
                  <w:vAlign w:val="center"/>
                </w:tcPr>
                <w:p w14:paraId="490960BF" w14:textId="77777777" w:rsidR="00692E71" w:rsidRPr="001E3185" w:rsidRDefault="00692E71" w:rsidP="00112DD6">
                  <w:pPr>
                    <w:framePr w:hSpace="141" w:wrap="around" w:vAnchor="text" w:hAnchor="text" w:y="1"/>
                    <w:autoSpaceDE w:val="0"/>
                    <w:autoSpaceDN w:val="0"/>
                    <w:suppressOverlap/>
                    <w:jc w:val="center"/>
                    <w:rPr>
                      <w:rFonts w:cs="Arial"/>
                      <w:b/>
                      <w:color w:val="FF0000"/>
                      <w:sz w:val="18"/>
                      <w:szCs w:val="18"/>
                    </w:rPr>
                  </w:pPr>
                  <w:r w:rsidRPr="001E3185">
                    <w:rPr>
                      <w:rFonts w:cs="Arial"/>
                      <w:b/>
                      <w:color w:val="FF0000"/>
                      <w:sz w:val="18"/>
                      <w:szCs w:val="18"/>
                    </w:rPr>
                    <w:t>5.29</w:t>
                  </w:r>
                </w:p>
              </w:tc>
            </w:tr>
          </w:tbl>
          <w:p w14:paraId="05C05317" w14:textId="77777777" w:rsidR="00692E71" w:rsidRPr="001E3185" w:rsidRDefault="00692E71" w:rsidP="008E0250">
            <w:pPr>
              <w:autoSpaceDE w:val="0"/>
              <w:autoSpaceDN w:val="0"/>
              <w:ind w:right="142"/>
              <w:rPr>
                <w:rFonts w:cs="Arial"/>
              </w:rPr>
            </w:pPr>
          </w:p>
          <w:p w14:paraId="3E40517A"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For the terrestrial compartment and considering releases due to run off and drift (TIER1) on soil adjacent to the treated surface (0 to 1 m), PEC/PNEC ratios for tebuconazole, propiconazole, cypermethrin, IPBC and 1,2,4-triazole are above 1 for treatment by spraying.</w:t>
            </w:r>
          </w:p>
          <w:p w14:paraId="44829108"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For the terrestrial compartment and considering releases due to drift only (TIER 2) on soil distant form the treated surface (1 to 1.5 m), </w:t>
            </w:r>
            <w:r w:rsidRPr="001E3185">
              <w:rPr>
                <w:rFonts w:cs="Arial"/>
                <w:lang w:eastAsia="en-GB"/>
              </w:rPr>
              <w:t>PEC/PNEC ratios is also above 1 for treatment by spraying.</w:t>
            </w:r>
          </w:p>
          <w:p w14:paraId="6002C655" w14:textId="77777777" w:rsidR="00692E71" w:rsidRPr="001E3185" w:rsidRDefault="00692E71" w:rsidP="008E0250">
            <w:pPr>
              <w:autoSpaceDE w:val="0"/>
              <w:autoSpaceDN w:val="0"/>
              <w:spacing w:line="276" w:lineRule="auto"/>
              <w:rPr>
                <w:rFonts w:cs="Arial"/>
                <w:lang w:eastAsia="en-GB"/>
              </w:rPr>
            </w:pPr>
          </w:p>
          <w:p w14:paraId="657F9054"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The risk for the terrestrial compartment after application by spraying is considered acceptable only if the soil is covered during the application, in order to prevent all direct releases to soil </w:t>
            </w:r>
            <w:r w:rsidRPr="001E3185">
              <w:rPr>
                <w:rFonts w:cs="Arial"/>
                <w:i/>
                <w:lang w:eastAsia="en-GB"/>
              </w:rPr>
              <w:t>via</w:t>
            </w:r>
            <w:r w:rsidRPr="001E3185">
              <w:rPr>
                <w:rFonts w:cs="Arial"/>
                <w:lang w:eastAsia="en-GB"/>
              </w:rPr>
              <w:t xml:space="preserve"> run-off and drift.</w:t>
            </w:r>
          </w:p>
          <w:p w14:paraId="69D0E478" w14:textId="77777777" w:rsidR="00692E71" w:rsidRPr="001E3185" w:rsidRDefault="00692E71" w:rsidP="008E0250">
            <w:pPr>
              <w:autoSpaceDE w:val="0"/>
              <w:autoSpaceDN w:val="0"/>
              <w:spacing w:line="276" w:lineRule="auto"/>
              <w:rPr>
                <w:rFonts w:cs="Arial"/>
                <w:lang w:eastAsia="en-GB"/>
              </w:rPr>
            </w:pPr>
          </w:p>
          <w:p w14:paraId="0DD9B666" w14:textId="77777777" w:rsidR="00692E71" w:rsidRPr="001E3185" w:rsidRDefault="00692E71" w:rsidP="008E0250">
            <w:pPr>
              <w:autoSpaceDE w:val="0"/>
              <w:autoSpaceDN w:val="0"/>
              <w:ind w:right="142"/>
              <w:rPr>
                <w:rFonts w:cs="Arial"/>
                <w:b/>
                <w:u w:val="single"/>
              </w:rPr>
            </w:pPr>
            <w:r w:rsidRPr="001E3185">
              <w:rPr>
                <w:rFonts w:cs="Arial"/>
                <w:b/>
                <w:u w:val="single"/>
              </w:rPr>
              <w:t>Service life of treated wood</w:t>
            </w:r>
          </w:p>
          <w:p w14:paraId="7437229F" w14:textId="77777777" w:rsidR="00692E71" w:rsidRPr="001E3185" w:rsidRDefault="00692E71" w:rsidP="008E0250">
            <w:pPr>
              <w:autoSpaceDE w:val="0"/>
              <w:autoSpaceDN w:val="0"/>
              <w:ind w:right="142"/>
              <w:rPr>
                <w:rFonts w:cs="Arial"/>
              </w:rPr>
            </w:pPr>
          </w:p>
          <w:p w14:paraId="0238171D"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Concerning the service-life phase of treated wood, the risk characterisation for the terrestrial compartment has been performed considering PEC calculated for the house scenario of the PT08-ESD, and compared to PNECsoil of each active substance for the service life of the treated wood.</w:t>
            </w:r>
          </w:p>
          <w:p w14:paraId="3CDB75FF" w14:textId="77777777" w:rsidR="00692E71" w:rsidRPr="001E3185" w:rsidRDefault="00692E71" w:rsidP="008E0250">
            <w:pPr>
              <w:autoSpaceDE w:val="0"/>
              <w:autoSpaceDN w:val="0"/>
              <w:rPr>
                <w:rFonts w:cs="Arial"/>
                <w:lang w:eastAsia="en-GB"/>
              </w:rPr>
            </w:pPr>
          </w:p>
          <w:p w14:paraId="4A4A95E6"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Considering the unacceptable risk for the terrestrial compartment calculated for all intended type of application, the risk characterisation for the terrestrial compartment during the service life of treated wood taking into account also the application phase was not calculated.</w:t>
            </w:r>
          </w:p>
          <w:p w14:paraId="2A65765E" w14:textId="77777777" w:rsidR="00692E71" w:rsidRPr="001E3185" w:rsidRDefault="00692E71" w:rsidP="008E0250">
            <w:pPr>
              <w:autoSpaceDE w:val="0"/>
              <w:autoSpaceDN w:val="0"/>
              <w:ind w:right="142"/>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43"/>
              <w:gridCol w:w="1275"/>
              <w:gridCol w:w="710"/>
              <w:gridCol w:w="590"/>
              <w:gridCol w:w="1511"/>
              <w:gridCol w:w="25"/>
              <w:gridCol w:w="1333"/>
              <w:gridCol w:w="651"/>
              <w:gridCol w:w="763"/>
              <w:gridCol w:w="1363"/>
            </w:tblGrid>
            <w:tr w:rsidR="00692E71" w:rsidRPr="001E3185" w14:paraId="2BDEDB62" w14:textId="77777777" w:rsidTr="008E0250">
              <w:trPr>
                <w:trHeight w:val="510"/>
              </w:trPr>
              <w:tc>
                <w:tcPr>
                  <w:tcW w:w="5000" w:type="pct"/>
                  <w:gridSpan w:val="11"/>
                  <w:shd w:val="clear" w:color="auto" w:fill="auto"/>
                  <w:vAlign w:val="center"/>
                </w:tcPr>
                <w:p w14:paraId="117AB783" w14:textId="77777777" w:rsidR="00692E71" w:rsidRPr="001E3185" w:rsidRDefault="00692E71" w:rsidP="00112DD6">
                  <w:pPr>
                    <w:framePr w:hSpace="141" w:wrap="around" w:vAnchor="text" w:hAnchor="text" w:y="1"/>
                    <w:autoSpaceDE w:val="0"/>
                    <w:autoSpaceDN w:val="0"/>
                    <w:ind w:right="142"/>
                    <w:suppressOverlap/>
                    <w:jc w:val="center"/>
                    <w:rPr>
                      <w:rFonts w:cs="Arial"/>
                      <w:b/>
                      <w:bCs/>
                      <w:iCs/>
                      <w:sz w:val="18"/>
                      <w:szCs w:val="18"/>
                    </w:rPr>
                  </w:pPr>
                  <w:r w:rsidRPr="001E3185">
                    <w:rPr>
                      <w:rFonts w:cs="Arial"/>
                      <w:b/>
                      <w:bCs/>
                      <w:iCs/>
                      <w:sz w:val="18"/>
                      <w:szCs w:val="18"/>
                    </w:rPr>
                    <w:t>Wood-in service – House – Treated wood in service only</w:t>
                  </w:r>
                </w:p>
              </w:tc>
            </w:tr>
            <w:tr w:rsidR="00692E71" w:rsidRPr="001E3185" w14:paraId="3F53645C" w14:textId="77777777" w:rsidTr="008E0250">
              <w:trPr>
                <w:trHeight w:val="283"/>
              </w:trPr>
              <w:tc>
                <w:tcPr>
                  <w:tcW w:w="722" w:type="pct"/>
                  <w:vMerge w:val="restart"/>
                  <w:shd w:val="clear" w:color="auto" w:fill="auto"/>
                  <w:vAlign w:val="center"/>
                </w:tcPr>
                <w:p w14:paraId="1F92FA52"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lastRenderedPageBreak/>
                    <w:t>SOIL</w:t>
                  </w:r>
                </w:p>
              </w:tc>
              <w:tc>
                <w:tcPr>
                  <w:tcW w:w="1390" w:type="pct"/>
                  <w:gridSpan w:val="4"/>
                  <w:shd w:val="clear" w:color="auto" w:fill="auto"/>
                  <w:vAlign w:val="center"/>
                </w:tcPr>
                <w:p w14:paraId="6499ECB6"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rPr>
                    <w:t xml:space="preserve">Industrial &amp; </w:t>
                  </w:r>
                  <w:r w:rsidRPr="001E3185">
                    <w:rPr>
                      <w:rFonts w:cs="Arial"/>
                      <w:b/>
                      <w:i/>
                    </w:rPr>
                    <w:t>In situ</w:t>
                  </w:r>
                  <w:r w:rsidRPr="001E3185">
                    <w:rPr>
                      <w:rFonts w:cs="Arial"/>
                      <w:b/>
                    </w:rPr>
                    <w:t xml:space="preserve"> application</w:t>
                  </w:r>
                </w:p>
                <w:p w14:paraId="001AE28E"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TIME 1</w:t>
                  </w:r>
                </w:p>
              </w:tc>
              <w:tc>
                <w:tcPr>
                  <w:tcW w:w="1467" w:type="pct"/>
                  <w:gridSpan w:val="3"/>
                  <w:shd w:val="clear" w:color="auto" w:fill="auto"/>
                  <w:vAlign w:val="center"/>
                </w:tcPr>
                <w:p w14:paraId="22720C4C"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i/>
                    </w:rPr>
                    <w:t>In situ</w:t>
                  </w:r>
                  <w:r w:rsidRPr="001E3185">
                    <w:rPr>
                      <w:rFonts w:cs="Arial"/>
                      <w:b/>
                    </w:rPr>
                    <w:t xml:space="preserve"> application</w:t>
                  </w:r>
                </w:p>
                <w:p w14:paraId="0C4E879F"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TIME 2</w:t>
                  </w:r>
                </w:p>
              </w:tc>
              <w:tc>
                <w:tcPr>
                  <w:tcW w:w="1420" w:type="pct"/>
                  <w:gridSpan w:val="3"/>
                  <w:vAlign w:val="center"/>
                </w:tcPr>
                <w:p w14:paraId="3BB58F9E"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rPr>
                    <w:t>Industrial application</w:t>
                  </w:r>
                  <w:r w:rsidRPr="001E3185">
                    <w:rPr>
                      <w:rFonts w:cs="Arial"/>
                      <w:b/>
                      <w:sz w:val="18"/>
                      <w:szCs w:val="18"/>
                    </w:rPr>
                    <w:t xml:space="preserve"> TIME 2</w:t>
                  </w:r>
                </w:p>
              </w:tc>
            </w:tr>
            <w:tr w:rsidR="00692E71" w:rsidRPr="001E3185" w14:paraId="680BFD60" w14:textId="77777777" w:rsidTr="008E0250">
              <w:trPr>
                <w:trHeight w:val="283"/>
              </w:trPr>
              <w:tc>
                <w:tcPr>
                  <w:tcW w:w="722" w:type="pct"/>
                  <w:vMerge/>
                  <w:shd w:val="clear" w:color="auto" w:fill="auto"/>
                  <w:vAlign w:val="center"/>
                </w:tcPr>
                <w:p w14:paraId="7D3DED97" w14:textId="77777777" w:rsidR="00692E71" w:rsidRPr="001E3185" w:rsidRDefault="00692E71" w:rsidP="00112DD6">
                  <w:pPr>
                    <w:framePr w:hSpace="141" w:wrap="around" w:vAnchor="text" w:hAnchor="text" w:y="1"/>
                    <w:autoSpaceDE w:val="0"/>
                    <w:autoSpaceDN w:val="0"/>
                    <w:ind w:right="142"/>
                    <w:suppressOverlap/>
                    <w:rPr>
                      <w:rFonts w:cs="Arial"/>
                      <w:sz w:val="18"/>
                      <w:szCs w:val="18"/>
                    </w:rPr>
                  </w:pPr>
                </w:p>
              </w:tc>
              <w:tc>
                <w:tcPr>
                  <w:tcW w:w="725" w:type="pct"/>
                  <w:gridSpan w:val="2"/>
                  <w:shd w:val="clear" w:color="auto" w:fill="auto"/>
                  <w:vAlign w:val="center"/>
                </w:tcPr>
                <w:p w14:paraId="4BD0C7B2"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w:t>
                  </w:r>
                </w:p>
                <w:p w14:paraId="2389CBA9" w14:textId="77777777" w:rsidR="00692E71" w:rsidRPr="001E3185" w:rsidRDefault="00692E71" w:rsidP="00112DD6">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665" w:type="pct"/>
                  <w:gridSpan w:val="2"/>
                  <w:shd w:val="clear" w:color="auto" w:fill="auto"/>
                  <w:vAlign w:val="center"/>
                </w:tcPr>
                <w:p w14:paraId="7856DD9F" w14:textId="77777777" w:rsidR="00692E71" w:rsidRPr="001E3185" w:rsidRDefault="00692E71" w:rsidP="00112DD6">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773" w:type="pct"/>
                  <w:shd w:val="clear" w:color="auto" w:fill="auto"/>
                  <w:vAlign w:val="center"/>
                </w:tcPr>
                <w:p w14:paraId="378104B0"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w:t>
                  </w:r>
                </w:p>
                <w:p w14:paraId="6B9DAB60" w14:textId="77777777" w:rsidR="00692E71" w:rsidRPr="001E3185" w:rsidRDefault="00692E71" w:rsidP="00112DD6">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695" w:type="pct"/>
                  <w:gridSpan w:val="2"/>
                  <w:shd w:val="clear" w:color="auto" w:fill="auto"/>
                  <w:vAlign w:val="center"/>
                </w:tcPr>
                <w:p w14:paraId="1AC4811B" w14:textId="77777777" w:rsidR="00692E71" w:rsidRPr="001E3185" w:rsidRDefault="00692E71" w:rsidP="00112DD6">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723" w:type="pct"/>
                  <w:gridSpan w:val="2"/>
                  <w:vAlign w:val="center"/>
                </w:tcPr>
                <w:p w14:paraId="7F99ACC4"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w:t>
                  </w:r>
                </w:p>
                <w:p w14:paraId="4585D1BD"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697" w:type="pct"/>
                  <w:vAlign w:val="center"/>
                </w:tcPr>
                <w:p w14:paraId="39CC2749"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PEC/PNEC</w:t>
                  </w:r>
                </w:p>
              </w:tc>
            </w:tr>
            <w:tr w:rsidR="00692E71" w:rsidRPr="001E3185" w14:paraId="1465BFA8" w14:textId="77777777" w:rsidTr="008E0250">
              <w:trPr>
                <w:trHeight w:val="283"/>
              </w:trPr>
              <w:tc>
                <w:tcPr>
                  <w:tcW w:w="722" w:type="pct"/>
                  <w:shd w:val="clear" w:color="auto" w:fill="auto"/>
                  <w:vAlign w:val="center"/>
                </w:tcPr>
                <w:p w14:paraId="2F042E42"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sz w:val="18"/>
                      <w:szCs w:val="18"/>
                    </w:rPr>
                    <w:t>Tebuconazole</w:t>
                  </w:r>
                </w:p>
              </w:tc>
              <w:tc>
                <w:tcPr>
                  <w:tcW w:w="725" w:type="pct"/>
                  <w:gridSpan w:val="2"/>
                  <w:shd w:val="clear" w:color="auto" w:fill="auto"/>
                  <w:vAlign w:val="bottom"/>
                </w:tcPr>
                <w:p w14:paraId="4E6F6069" w14:textId="77777777" w:rsidR="00692E71" w:rsidRPr="001E3185" w:rsidRDefault="00692E71" w:rsidP="00112DD6">
                  <w:pPr>
                    <w:framePr w:hSpace="141" w:wrap="around" w:vAnchor="text" w:hAnchor="text" w:y="1"/>
                    <w:suppressOverlap/>
                    <w:jc w:val="center"/>
                    <w:rPr>
                      <w:rFonts w:cs="Arial"/>
                    </w:rPr>
                  </w:pPr>
                  <w:r w:rsidRPr="001E3185">
                    <w:rPr>
                      <w:rFonts w:cs="Arial"/>
                    </w:rPr>
                    <w:t>2.28E-02</w:t>
                  </w:r>
                </w:p>
              </w:tc>
              <w:tc>
                <w:tcPr>
                  <w:tcW w:w="665" w:type="pct"/>
                  <w:gridSpan w:val="2"/>
                  <w:shd w:val="clear" w:color="auto" w:fill="auto"/>
                  <w:vAlign w:val="bottom"/>
                </w:tcPr>
                <w:p w14:paraId="21D26C18" w14:textId="77777777" w:rsidR="00692E71" w:rsidRPr="001E3185" w:rsidRDefault="00692E71" w:rsidP="00112DD6">
                  <w:pPr>
                    <w:framePr w:hSpace="141" w:wrap="around" w:vAnchor="text" w:hAnchor="text" w:y="1"/>
                    <w:suppressOverlap/>
                    <w:jc w:val="center"/>
                    <w:rPr>
                      <w:rFonts w:cs="Arial"/>
                    </w:rPr>
                  </w:pPr>
                  <w:r w:rsidRPr="001E3185">
                    <w:rPr>
                      <w:rFonts w:cs="Arial"/>
                    </w:rPr>
                    <w:t>2.28E-01</w:t>
                  </w:r>
                </w:p>
              </w:tc>
              <w:tc>
                <w:tcPr>
                  <w:tcW w:w="773" w:type="pct"/>
                  <w:shd w:val="clear" w:color="auto" w:fill="auto"/>
                  <w:vAlign w:val="bottom"/>
                </w:tcPr>
                <w:p w14:paraId="2089A74B" w14:textId="77777777" w:rsidR="00692E71" w:rsidRPr="001E3185" w:rsidRDefault="00692E71" w:rsidP="00112DD6">
                  <w:pPr>
                    <w:framePr w:hSpace="141" w:wrap="around" w:vAnchor="text" w:hAnchor="text" w:y="1"/>
                    <w:suppressOverlap/>
                    <w:jc w:val="center"/>
                    <w:rPr>
                      <w:rFonts w:cs="Arial"/>
                    </w:rPr>
                  </w:pPr>
                  <w:r w:rsidRPr="001E3185">
                    <w:rPr>
                      <w:rFonts w:cs="Arial"/>
                    </w:rPr>
                    <w:t>1.21E-02</w:t>
                  </w:r>
                </w:p>
              </w:tc>
              <w:tc>
                <w:tcPr>
                  <w:tcW w:w="695" w:type="pct"/>
                  <w:gridSpan w:val="2"/>
                  <w:shd w:val="clear" w:color="auto" w:fill="auto"/>
                  <w:vAlign w:val="bottom"/>
                </w:tcPr>
                <w:p w14:paraId="5BE3A22A" w14:textId="77777777" w:rsidR="00692E71" w:rsidRPr="001E3185" w:rsidRDefault="00692E71" w:rsidP="00112DD6">
                  <w:pPr>
                    <w:framePr w:hSpace="141" w:wrap="around" w:vAnchor="text" w:hAnchor="text" w:y="1"/>
                    <w:suppressOverlap/>
                    <w:jc w:val="center"/>
                    <w:rPr>
                      <w:rFonts w:cs="Arial"/>
                    </w:rPr>
                  </w:pPr>
                  <w:r w:rsidRPr="001E3185">
                    <w:rPr>
                      <w:rFonts w:cs="Arial"/>
                    </w:rPr>
                    <w:t>1.21E-01</w:t>
                  </w:r>
                </w:p>
              </w:tc>
              <w:tc>
                <w:tcPr>
                  <w:tcW w:w="723" w:type="pct"/>
                  <w:gridSpan w:val="2"/>
                  <w:vAlign w:val="bottom"/>
                </w:tcPr>
                <w:p w14:paraId="46D10EC2" w14:textId="77777777" w:rsidR="00692E71" w:rsidRPr="001E3185" w:rsidRDefault="00692E71" w:rsidP="00112DD6">
                  <w:pPr>
                    <w:framePr w:hSpace="141" w:wrap="around" w:vAnchor="text" w:hAnchor="text" w:y="1"/>
                    <w:suppressOverlap/>
                    <w:jc w:val="center"/>
                    <w:rPr>
                      <w:rFonts w:cs="Arial"/>
                    </w:rPr>
                  </w:pPr>
                  <w:r w:rsidRPr="001E3185">
                    <w:rPr>
                      <w:rFonts w:cs="Arial"/>
                    </w:rPr>
                    <w:t>8.88E-03</w:t>
                  </w:r>
                </w:p>
              </w:tc>
              <w:tc>
                <w:tcPr>
                  <w:tcW w:w="697" w:type="pct"/>
                  <w:vAlign w:val="bottom"/>
                </w:tcPr>
                <w:p w14:paraId="5D2FF8B9" w14:textId="77777777" w:rsidR="00692E71" w:rsidRPr="001E3185" w:rsidRDefault="00692E71" w:rsidP="00112DD6">
                  <w:pPr>
                    <w:framePr w:hSpace="141" w:wrap="around" w:vAnchor="text" w:hAnchor="text" w:y="1"/>
                    <w:suppressOverlap/>
                    <w:jc w:val="center"/>
                    <w:rPr>
                      <w:rFonts w:cs="Arial"/>
                    </w:rPr>
                  </w:pPr>
                  <w:r w:rsidRPr="001E3185">
                    <w:rPr>
                      <w:rFonts w:cs="Arial"/>
                    </w:rPr>
                    <w:t>8.88E-02</w:t>
                  </w:r>
                </w:p>
              </w:tc>
            </w:tr>
            <w:tr w:rsidR="00692E71" w:rsidRPr="001E3185" w14:paraId="21445160" w14:textId="77777777" w:rsidTr="008E0250">
              <w:trPr>
                <w:trHeight w:val="283"/>
              </w:trPr>
              <w:tc>
                <w:tcPr>
                  <w:tcW w:w="722" w:type="pct"/>
                  <w:shd w:val="clear" w:color="auto" w:fill="auto"/>
                  <w:vAlign w:val="center"/>
                </w:tcPr>
                <w:p w14:paraId="1E763978"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sz w:val="18"/>
                      <w:szCs w:val="18"/>
                    </w:rPr>
                    <w:t>Propiconazole</w:t>
                  </w:r>
                </w:p>
              </w:tc>
              <w:tc>
                <w:tcPr>
                  <w:tcW w:w="725" w:type="pct"/>
                  <w:gridSpan w:val="2"/>
                  <w:shd w:val="clear" w:color="auto" w:fill="auto"/>
                  <w:vAlign w:val="bottom"/>
                </w:tcPr>
                <w:p w14:paraId="3887753B" w14:textId="77777777" w:rsidR="00692E71" w:rsidRPr="001E3185" w:rsidRDefault="00692E71" w:rsidP="00112DD6">
                  <w:pPr>
                    <w:framePr w:hSpace="141" w:wrap="around" w:vAnchor="text" w:hAnchor="text" w:y="1"/>
                    <w:suppressOverlap/>
                    <w:jc w:val="center"/>
                    <w:rPr>
                      <w:rFonts w:cs="Arial"/>
                    </w:rPr>
                  </w:pPr>
                  <w:r w:rsidRPr="001E3185">
                    <w:rPr>
                      <w:rFonts w:cs="Arial"/>
                    </w:rPr>
                    <w:t>5.20E-02</w:t>
                  </w:r>
                </w:p>
              </w:tc>
              <w:tc>
                <w:tcPr>
                  <w:tcW w:w="665" w:type="pct"/>
                  <w:gridSpan w:val="2"/>
                  <w:shd w:val="clear" w:color="auto" w:fill="auto"/>
                  <w:vAlign w:val="bottom"/>
                </w:tcPr>
                <w:p w14:paraId="3FA91A98" w14:textId="77777777" w:rsidR="00692E71" w:rsidRPr="001E3185" w:rsidRDefault="00692E71" w:rsidP="00112DD6">
                  <w:pPr>
                    <w:framePr w:hSpace="141" w:wrap="around" w:vAnchor="text" w:hAnchor="text" w:y="1"/>
                    <w:suppressOverlap/>
                    <w:jc w:val="center"/>
                    <w:rPr>
                      <w:rFonts w:cs="Arial"/>
                    </w:rPr>
                  </w:pPr>
                  <w:r w:rsidRPr="001E3185">
                    <w:rPr>
                      <w:rFonts w:cs="Arial"/>
                    </w:rPr>
                    <w:t>5.20E-01</w:t>
                  </w:r>
                </w:p>
              </w:tc>
              <w:tc>
                <w:tcPr>
                  <w:tcW w:w="773" w:type="pct"/>
                  <w:shd w:val="clear" w:color="auto" w:fill="auto"/>
                  <w:vAlign w:val="bottom"/>
                </w:tcPr>
                <w:p w14:paraId="556E21F8" w14:textId="77777777" w:rsidR="00692E71" w:rsidRPr="001E3185" w:rsidRDefault="00692E71" w:rsidP="00112DD6">
                  <w:pPr>
                    <w:framePr w:hSpace="141" w:wrap="around" w:vAnchor="text" w:hAnchor="text" w:y="1"/>
                    <w:suppressOverlap/>
                    <w:jc w:val="center"/>
                    <w:rPr>
                      <w:rFonts w:cs="Arial"/>
                    </w:rPr>
                  </w:pPr>
                  <w:r w:rsidRPr="001E3185">
                    <w:rPr>
                      <w:rFonts w:cs="Arial"/>
                    </w:rPr>
                    <w:t>3.28E-02</w:t>
                  </w:r>
                </w:p>
              </w:tc>
              <w:tc>
                <w:tcPr>
                  <w:tcW w:w="695" w:type="pct"/>
                  <w:gridSpan w:val="2"/>
                  <w:shd w:val="clear" w:color="auto" w:fill="auto"/>
                  <w:vAlign w:val="bottom"/>
                </w:tcPr>
                <w:p w14:paraId="7D19FE62" w14:textId="77777777" w:rsidR="00692E71" w:rsidRPr="001E3185" w:rsidRDefault="00692E71" w:rsidP="00112DD6">
                  <w:pPr>
                    <w:framePr w:hSpace="141" w:wrap="around" w:vAnchor="text" w:hAnchor="text" w:y="1"/>
                    <w:suppressOverlap/>
                    <w:jc w:val="center"/>
                    <w:rPr>
                      <w:rFonts w:cs="Arial"/>
                    </w:rPr>
                  </w:pPr>
                  <w:r w:rsidRPr="001E3185">
                    <w:rPr>
                      <w:rFonts w:cs="Arial"/>
                    </w:rPr>
                    <w:t>3.28E-01</w:t>
                  </w:r>
                </w:p>
              </w:tc>
              <w:tc>
                <w:tcPr>
                  <w:tcW w:w="723" w:type="pct"/>
                  <w:gridSpan w:val="2"/>
                  <w:vAlign w:val="bottom"/>
                </w:tcPr>
                <w:p w14:paraId="6940E6E4" w14:textId="77777777" w:rsidR="00692E71" w:rsidRPr="001E3185" w:rsidRDefault="00692E71" w:rsidP="00112DD6">
                  <w:pPr>
                    <w:framePr w:hSpace="141" w:wrap="around" w:vAnchor="text" w:hAnchor="text" w:y="1"/>
                    <w:suppressOverlap/>
                    <w:jc w:val="center"/>
                    <w:rPr>
                      <w:rFonts w:cs="Arial"/>
                    </w:rPr>
                  </w:pPr>
                  <w:r w:rsidRPr="001E3185">
                    <w:rPr>
                      <w:rFonts w:cs="Arial"/>
                    </w:rPr>
                    <w:t>2.52E-02</w:t>
                  </w:r>
                </w:p>
              </w:tc>
              <w:tc>
                <w:tcPr>
                  <w:tcW w:w="697" w:type="pct"/>
                  <w:vAlign w:val="bottom"/>
                </w:tcPr>
                <w:p w14:paraId="79E6AB3E" w14:textId="77777777" w:rsidR="00692E71" w:rsidRPr="001E3185" w:rsidRDefault="00692E71" w:rsidP="00112DD6">
                  <w:pPr>
                    <w:framePr w:hSpace="141" w:wrap="around" w:vAnchor="text" w:hAnchor="text" w:y="1"/>
                    <w:suppressOverlap/>
                    <w:jc w:val="center"/>
                    <w:rPr>
                      <w:rFonts w:cs="Arial"/>
                    </w:rPr>
                  </w:pPr>
                  <w:r w:rsidRPr="001E3185">
                    <w:rPr>
                      <w:rFonts w:cs="Arial"/>
                    </w:rPr>
                    <w:t>2.52E-01</w:t>
                  </w:r>
                </w:p>
              </w:tc>
            </w:tr>
            <w:tr w:rsidR="00692E71" w:rsidRPr="001E3185" w14:paraId="7B536169" w14:textId="77777777" w:rsidTr="008E0250">
              <w:trPr>
                <w:trHeight w:val="283"/>
              </w:trPr>
              <w:tc>
                <w:tcPr>
                  <w:tcW w:w="722" w:type="pct"/>
                  <w:shd w:val="clear" w:color="auto" w:fill="auto"/>
                  <w:vAlign w:val="center"/>
                </w:tcPr>
                <w:p w14:paraId="54F2A06C"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sz w:val="18"/>
                      <w:szCs w:val="18"/>
                    </w:rPr>
                    <w:t>Cypermethrin</w:t>
                  </w:r>
                </w:p>
              </w:tc>
              <w:tc>
                <w:tcPr>
                  <w:tcW w:w="725" w:type="pct"/>
                  <w:gridSpan w:val="2"/>
                  <w:shd w:val="clear" w:color="auto" w:fill="auto"/>
                  <w:vAlign w:val="bottom"/>
                </w:tcPr>
                <w:p w14:paraId="7B01332F" w14:textId="77777777" w:rsidR="00692E71" w:rsidRPr="001E3185" w:rsidRDefault="00692E71" w:rsidP="00112DD6">
                  <w:pPr>
                    <w:framePr w:hSpace="141" w:wrap="around" w:vAnchor="text" w:hAnchor="text" w:y="1"/>
                    <w:suppressOverlap/>
                    <w:jc w:val="center"/>
                    <w:rPr>
                      <w:rFonts w:cs="Arial"/>
                    </w:rPr>
                  </w:pPr>
                  <w:r w:rsidRPr="001E3185">
                    <w:rPr>
                      <w:rFonts w:cs="Arial"/>
                    </w:rPr>
                    <w:t>1.65E-04</w:t>
                  </w:r>
                </w:p>
              </w:tc>
              <w:tc>
                <w:tcPr>
                  <w:tcW w:w="665" w:type="pct"/>
                  <w:gridSpan w:val="2"/>
                  <w:shd w:val="clear" w:color="auto" w:fill="auto"/>
                  <w:vAlign w:val="bottom"/>
                </w:tcPr>
                <w:p w14:paraId="78159E1D" w14:textId="77777777" w:rsidR="00692E71" w:rsidRPr="001E3185" w:rsidRDefault="00692E71" w:rsidP="00112DD6">
                  <w:pPr>
                    <w:framePr w:hSpace="141" w:wrap="around" w:vAnchor="text" w:hAnchor="text" w:y="1"/>
                    <w:suppressOverlap/>
                    <w:jc w:val="center"/>
                    <w:rPr>
                      <w:rFonts w:cs="Arial"/>
                    </w:rPr>
                  </w:pPr>
                  <w:r w:rsidRPr="001E3185">
                    <w:rPr>
                      <w:rFonts w:cs="Arial"/>
                    </w:rPr>
                    <w:t>1.80E-03</w:t>
                  </w:r>
                </w:p>
              </w:tc>
              <w:tc>
                <w:tcPr>
                  <w:tcW w:w="773" w:type="pct"/>
                  <w:shd w:val="clear" w:color="auto" w:fill="auto"/>
                  <w:vAlign w:val="bottom"/>
                </w:tcPr>
                <w:p w14:paraId="705FAB1B" w14:textId="77777777" w:rsidR="00692E71" w:rsidRPr="001E3185" w:rsidRDefault="00692E71" w:rsidP="00112DD6">
                  <w:pPr>
                    <w:framePr w:hSpace="141" w:wrap="around" w:vAnchor="text" w:hAnchor="text" w:y="1"/>
                    <w:suppressOverlap/>
                    <w:jc w:val="center"/>
                    <w:rPr>
                      <w:rFonts w:cs="Arial"/>
                    </w:rPr>
                  </w:pPr>
                  <w:r w:rsidRPr="001E3185">
                    <w:rPr>
                      <w:rFonts w:cs="Arial"/>
                    </w:rPr>
                    <w:t>3.16E-04</w:t>
                  </w:r>
                </w:p>
              </w:tc>
              <w:tc>
                <w:tcPr>
                  <w:tcW w:w="695" w:type="pct"/>
                  <w:gridSpan w:val="2"/>
                  <w:shd w:val="clear" w:color="auto" w:fill="auto"/>
                  <w:vAlign w:val="bottom"/>
                </w:tcPr>
                <w:p w14:paraId="21340C4B" w14:textId="77777777" w:rsidR="00692E71" w:rsidRPr="001E3185" w:rsidRDefault="00692E71" w:rsidP="00112DD6">
                  <w:pPr>
                    <w:framePr w:hSpace="141" w:wrap="around" w:vAnchor="text" w:hAnchor="text" w:y="1"/>
                    <w:suppressOverlap/>
                    <w:jc w:val="center"/>
                    <w:rPr>
                      <w:rFonts w:cs="Arial"/>
                    </w:rPr>
                  </w:pPr>
                  <w:r w:rsidRPr="001E3185">
                    <w:rPr>
                      <w:rFonts w:cs="Arial"/>
                    </w:rPr>
                    <w:t>3.45E-03</w:t>
                  </w:r>
                </w:p>
              </w:tc>
              <w:tc>
                <w:tcPr>
                  <w:tcW w:w="723" w:type="pct"/>
                  <w:gridSpan w:val="2"/>
                  <w:vAlign w:val="bottom"/>
                </w:tcPr>
                <w:p w14:paraId="64C858DC" w14:textId="77777777" w:rsidR="00692E71" w:rsidRPr="001E3185" w:rsidRDefault="00692E71" w:rsidP="00112DD6">
                  <w:pPr>
                    <w:framePr w:hSpace="141" w:wrap="around" w:vAnchor="text" w:hAnchor="text" w:y="1"/>
                    <w:suppressOverlap/>
                    <w:jc w:val="center"/>
                    <w:rPr>
                      <w:rFonts w:cs="Arial"/>
                    </w:rPr>
                  </w:pPr>
                  <w:r w:rsidRPr="001E3185">
                    <w:rPr>
                      <w:rFonts w:cs="Arial"/>
                    </w:rPr>
                    <w:t>3.16E-04</w:t>
                  </w:r>
                </w:p>
              </w:tc>
              <w:tc>
                <w:tcPr>
                  <w:tcW w:w="697" w:type="pct"/>
                  <w:vAlign w:val="bottom"/>
                </w:tcPr>
                <w:p w14:paraId="7505D1ED" w14:textId="77777777" w:rsidR="00692E71" w:rsidRPr="001E3185" w:rsidRDefault="00692E71" w:rsidP="00112DD6">
                  <w:pPr>
                    <w:framePr w:hSpace="141" w:wrap="around" w:vAnchor="text" w:hAnchor="text" w:y="1"/>
                    <w:suppressOverlap/>
                    <w:jc w:val="center"/>
                    <w:rPr>
                      <w:rFonts w:cs="Arial"/>
                    </w:rPr>
                  </w:pPr>
                  <w:r w:rsidRPr="001E3185">
                    <w:rPr>
                      <w:rFonts w:cs="Arial"/>
                    </w:rPr>
                    <w:t>3.44E-03</w:t>
                  </w:r>
                </w:p>
              </w:tc>
            </w:tr>
            <w:tr w:rsidR="00692E71" w:rsidRPr="001E3185" w14:paraId="425DAC79" w14:textId="77777777" w:rsidTr="008E0250">
              <w:trPr>
                <w:trHeight w:val="283"/>
              </w:trPr>
              <w:tc>
                <w:tcPr>
                  <w:tcW w:w="722" w:type="pct"/>
                  <w:shd w:val="clear" w:color="auto" w:fill="auto"/>
                  <w:vAlign w:val="center"/>
                </w:tcPr>
                <w:p w14:paraId="48CD0423"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sz w:val="18"/>
                      <w:szCs w:val="18"/>
                    </w:rPr>
                    <w:t>IPBC</w:t>
                  </w:r>
                </w:p>
              </w:tc>
              <w:tc>
                <w:tcPr>
                  <w:tcW w:w="725" w:type="pct"/>
                  <w:gridSpan w:val="2"/>
                  <w:shd w:val="clear" w:color="auto" w:fill="auto"/>
                  <w:vAlign w:val="bottom"/>
                </w:tcPr>
                <w:p w14:paraId="7C248A74" w14:textId="77777777" w:rsidR="00692E71" w:rsidRPr="001E3185" w:rsidRDefault="00692E71" w:rsidP="00112DD6">
                  <w:pPr>
                    <w:framePr w:hSpace="141" w:wrap="around" w:vAnchor="text" w:hAnchor="text" w:y="1"/>
                    <w:suppressOverlap/>
                    <w:jc w:val="center"/>
                    <w:rPr>
                      <w:rFonts w:cs="Arial"/>
                    </w:rPr>
                  </w:pPr>
                  <w:r w:rsidRPr="001E3185">
                    <w:rPr>
                      <w:rFonts w:cs="Arial"/>
                    </w:rPr>
                    <w:t>2.66E-04</w:t>
                  </w:r>
                </w:p>
              </w:tc>
              <w:tc>
                <w:tcPr>
                  <w:tcW w:w="665" w:type="pct"/>
                  <w:gridSpan w:val="2"/>
                  <w:shd w:val="clear" w:color="auto" w:fill="auto"/>
                  <w:vAlign w:val="bottom"/>
                </w:tcPr>
                <w:p w14:paraId="20E078E2" w14:textId="77777777" w:rsidR="00692E71" w:rsidRPr="001E3185" w:rsidRDefault="00692E71" w:rsidP="00112DD6">
                  <w:pPr>
                    <w:framePr w:hSpace="141" w:wrap="around" w:vAnchor="text" w:hAnchor="text" w:y="1"/>
                    <w:suppressOverlap/>
                    <w:jc w:val="center"/>
                    <w:rPr>
                      <w:rFonts w:cs="Arial"/>
                    </w:rPr>
                  </w:pPr>
                  <w:r w:rsidRPr="001E3185">
                    <w:rPr>
                      <w:rFonts w:cs="Arial"/>
                    </w:rPr>
                    <w:t>6.05E-02</w:t>
                  </w:r>
                </w:p>
              </w:tc>
              <w:tc>
                <w:tcPr>
                  <w:tcW w:w="773" w:type="pct"/>
                  <w:shd w:val="clear" w:color="auto" w:fill="auto"/>
                  <w:vAlign w:val="bottom"/>
                </w:tcPr>
                <w:p w14:paraId="5E8A2993" w14:textId="77777777" w:rsidR="00692E71" w:rsidRPr="001E3185" w:rsidRDefault="00692E71" w:rsidP="00112DD6">
                  <w:pPr>
                    <w:framePr w:hSpace="141" w:wrap="around" w:vAnchor="text" w:hAnchor="text" w:y="1"/>
                    <w:suppressOverlap/>
                    <w:jc w:val="center"/>
                    <w:rPr>
                      <w:rFonts w:cs="Arial"/>
                    </w:rPr>
                  </w:pPr>
                  <w:r w:rsidRPr="001E3185">
                    <w:rPr>
                      <w:rFonts w:cs="Arial"/>
                    </w:rPr>
                    <w:t>1.65E-05</w:t>
                  </w:r>
                </w:p>
              </w:tc>
              <w:tc>
                <w:tcPr>
                  <w:tcW w:w="695" w:type="pct"/>
                  <w:gridSpan w:val="2"/>
                  <w:shd w:val="clear" w:color="auto" w:fill="auto"/>
                  <w:vAlign w:val="bottom"/>
                </w:tcPr>
                <w:p w14:paraId="7569E46F" w14:textId="77777777" w:rsidR="00692E71" w:rsidRPr="001E3185" w:rsidRDefault="00692E71" w:rsidP="00112DD6">
                  <w:pPr>
                    <w:framePr w:hSpace="141" w:wrap="around" w:vAnchor="text" w:hAnchor="text" w:y="1"/>
                    <w:suppressOverlap/>
                    <w:jc w:val="center"/>
                    <w:rPr>
                      <w:rFonts w:cs="Arial"/>
                    </w:rPr>
                  </w:pPr>
                  <w:r w:rsidRPr="001E3185">
                    <w:rPr>
                      <w:rFonts w:cs="Arial"/>
                    </w:rPr>
                    <w:t>3.76E-03</w:t>
                  </w:r>
                </w:p>
              </w:tc>
              <w:tc>
                <w:tcPr>
                  <w:tcW w:w="723" w:type="pct"/>
                  <w:gridSpan w:val="2"/>
                  <w:vAlign w:val="bottom"/>
                </w:tcPr>
                <w:p w14:paraId="7A6D7613" w14:textId="77777777" w:rsidR="00692E71" w:rsidRPr="001E3185" w:rsidRDefault="00692E71" w:rsidP="00112DD6">
                  <w:pPr>
                    <w:framePr w:hSpace="141" w:wrap="around" w:vAnchor="text" w:hAnchor="text" w:y="1"/>
                    <w:suppressOverlap/>
                    <w:jc w:val="center"/>
                    <w:rPr>
                      <w:rFonts w:cs="Arial"/>
                    </w:rPr>
                  </w:pPr>
                  <w:r w:rsidRPr="001E3185">
                    <w:rPr>
                      <w:rFonts w:cs="Arial"/>
                    </w:rPr>
                    <w:t>1.37E-05</w:t>
                  </w:r>
                </w:p>
              </w:tc>
              <w:tc>
                <w:tcPr>
                  <w:tcW w:w="697" w:type="pct"/>
                  <w:vAlign w:val="bottom"/>
                </w:tcPr>
                <w:p w14:paraId="5457AB91" w14:textId="77777777" w:rsidR="00692E71" w:rsidRPr="001E3185" w:rsidRDefault="00692E71" w:rsidP="00112DD6">
                  <w:pPr>
                    <w:framePr w:hSpace="141" w:wrap="around" w:vAnchor="text" w:hAnchor="text" w:y="1"/>
                    <w:suppressOverlap/>
                    <w:jc w:val="center"/>
                    <w:rPr>
                      <w:rFonts w:cs="Arial"/>
                    </w:rPr>
                  </w:pPr>
                  <w:r w:rsidRPr="001E3185">
                    <w:rPr>
                      <w:rFonts w:cs="Arial"/>
                    </w:rPr>
                    <w:t>3.11E-03</w:t>
                  </w:r>
                </w:p>
              </w:tc>
            </w:tr>
            <w:tr w:rsidR="00692E71" w:rsidRPr="001E3185" w14:paraId="2D37A972" w14:textId="77777777" w:rsidTr="008E0250">
              <w:trPr>
                <w:trHeight w:val="283"/>
              </w:trPr>
              <w:tc>
                <w:tcPr>
                  <w:tcW w:w="722" w:type="pct"/>
                  <w:shd w:val="clear" w:color="auto" w:fill="auto"/>
                  <w:vAlign w:val="center"/>
                </w:tcPr>
                <w:p w14:paraId="1EAE6CC9"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sz w:val="18"/>
                      <w:szCs w:val="18"/>
                    </w:rPr>
                    <w:t>PBC</w:t>
                  </w:r>
                </w:p>
              </w:tc>
              <w:tc>
                <w:tcPr>
                  <w:tcW w:w="725" w:type="pct"/>
                  <w:gridSpan w:val="2"/>
                  <w:shd w:val="clear" w:color="auto" w:fill="auto"/>
                  <w:vAlign w:val="bottom"/>
                </w:tcPr>
                <w:p w14:paraId="249011CB" w14:textId="77777777" w:rsidR="00692E71" w:rsidRPr="001E3185" w:rsidRDefault="00692E71" w:rsidP="00112DD6">
                  <w:pPr>
                    <w:framePr w:hSpace="141" w:wrap="around" w:vAnchor="text" w:hAnchor="text" w:y="1"/>
                    <w:suppressOverlap/>
                    <w:jc w:val="center"/>
                    <w:rPr>
                      <w:rFonts w:cs="Arial"/>
                    </w:rPr>
                  </w:pPr>
                  <w:r w:rsidRPr="001E3185">
                    <w:rPr>
                      <w:rFonts w:cs="Arial"/>
                    </w:rPr>
                    <w:t>4.27E-03</w:t>
                  </w:r>
                </w:p>
              </w:tc>
              <w:tc>
                <w:tcPr>
                  <w:tcW w:w="665" w:type="pct"/>
                  <w:gridSpan w:val="2"/>
                  <w:shd w:val="clear" w:color="auto" w:fill="auto"/>
                  <w:vAlign w:val="bottom"/>
                </w:tcPr>
                <w:p w14:paraId="46076A1E" w14:textId="77777777" w:rsidR="00692E71" w:rsidRPr="001E3185" w:rsidRDefault="00692E71" w:rsidP="00112DD6">
                  <w:pPr>
                    <w:framePr w:hSpace="141" w:wrap="around" w:vAnchor="text" w:hAnchor="text" w:y="1"/>
                    <w:suppressOverlap/>
                    <w:jc w:val="center"/>
                    <w:rPr>
                      <w:rFonts w:cs="Arial"/>
                    </w:rPr>
                  </w:pPr>
                  <w:r w:rsidRPr="001E3185">
                    <w:rPr>
                      <w:rFonts w:cs="Arial"/>
                    </w:rPr>
                    <w:t>2.87E-02</w:t>
                  </w:r>
                </w:p>
              </w:tc>
              <w:tc>
                <w:tcPr>
                  <w:tcW w:w="773" w:type="pct"/>
                  <w:shd w:val="clear" w:color="auto" w:fill="auto"/>
                  <w:vAlign w:val="bottom"/>
                </w:tcPr>
                <w:p w14:paraId="257EE4C8" w14:textId="77777777" w:rsidR="00692E71" w:rsidRPr="001E3185" w:rsidRDefault="00692E71" w:rsidP="00112DD6">
                  <w:pPr>
                    <w:framePr w:hSpace="141" w:wrap="around" w:vAnchor="text" w:hAnchor="text" w:y="1"/>
                    <w:suppressOverlap/>
                    <w:jc w:val="center"/>
                    <w:rPr>
                      <w:rFonts w:cs="Arial"/>
                    </w:rPr>
                  </w:pPr>
                  <w:r w:rsidRPr="001E3185">
                    <w:rPr>
                      <w:rFonts w:cs="Arial"/>
                    </w:rPr>
                    <w:t>4.86E-04</w:t>
                  </w:r>
                </w:p>
              </w:tc>
              <w:tc>
                <w:tcPr>
                  <w:tcW w:w="695" w:type="pct"/>
                  <w:gridSpan w:val="2"/>
                  <w:shd w:val="clear" w:color="auto" w:fill="auto"/>
                  <w:vAlign w:val="bottom"/>
                </w:tcPr>
                <w:p w14:paraId="101B8501" w14:textId="77777777" w:rsidR="00692E71" w:rsidRPr="001E3185" w:rsidRDefault="00692E71" w:rsidP="00112DD6">
                  <w:pPr>
                    <w:framePr w:hSpace="141" w:wrap="around" w:vAnchor="text" w:hAnchor="text" w:y="1"/>
                    <w:suppressOverlap/>
                    <w:jc w:val="center"/>
                    <w:rPr>
                      <w:rFonts w:cs="Arial"/>
                    </w:rPr>
                  </w:pPr>
                  <w:r w:rsidRPr="001E3185">
                    <w:rPr>
                      <w:rFonts w:cs="Arial"/>
                    </w:rPr>
                    <w:t>3.26E-03</w:t>
                  </w:r>
                </w:p>
              </w:tc>
              <w:tc>
                <w:tcPr>
                  <w:tcW w:w="723" w:type="pct"/>
                  <w:gridSpan w:val="2"/>
                  <w:vAlign w:val="bottom"/>
                </w:tcPr>
                <w:p w14:paraId="0ACA419F" w14:textId="77777777" w:rsidR="00692E71" w:rsidRPr="001E3185" w:rsidRDefault="00692E71" w:rsidP="00112DD6">
                  <w:pPr>
                    <w:framePr w:hSpace="141" w:wrap="around" w:vAnchor="text" w:hAnchor="text" w:y="1"/>
                    <w:suppressOverlap/>
                    <w:jc w:val="center"/>
                    <w:rPr>
                      <w:rFonts w:cs="Arial"/>
                    </w:rPr>
                  </w:pPr>
                  <w:r w:rsidRPr="001E3185">
                    <w:rPr>
                      <w:rFonts w:cs="Arial"/>
                    </w:rPr>
                    <w:t>3.81E-04</w:t>
                  </w:r>
                </w:p>
              </w:tc>
              <w:tc>
                <w:tcPr>
                  <w:tcW w:w="697" w:type="pct"/>
                  <w:vAlign w:val="bottom"/>
                </w:tcPr>
                <w:p w14:paraId="0C442477" w14:textId="77777777" w:rsidR="00692E71" w:rsidRPr="001E3185" w:rsidRDefault="00692E71" w:rsidP="00112DD6">
                  <w:pPr>
                    <w:framePr w:hSpace="141" w:wrap="around" w:vAnchor="text" w:hAnchor="text" w:y="1"/>
                    <w:suppressOverlap/>
                    <w:jc w:val="center"/>
                    <w:rPr>
                      <w:rFonts w:cs="Arial"/>
                    </w:rPr>
                  </w:pPr>
                  <w:r w:rsidRPr="001E3185">
                    <w:rPr>
                      <w:rFonts w:cs="Arial"/>
                    </w:rPr>
                    <w:t>2.56E-03</w:t>
                  </w:r>
                </w:p>
              </w:tc>
            </w:tr>
            <w:tr w:rsidR="00692E71" w:rsidRPr="001E3185" w14:paraId="45EFED29" w14:textId="77777777" w:rsidTr="008E0250">
              <w:trPr>
                <w:trHeight w:val="283"/>
              </w:trPr>
              <w:tc>
                <w:tcPr>
                  <w:tcW w:w="722" w:type="pct"/>
                  <w:shd w:val="clear" w:color="auto" w:fill="auto"/>
                  <w:vAlign w:val="center"/>
                </w:tcPr>
                <w:p w14:paraId="4B6C4771"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sz w:val="18"/>
                      <w:szCs w:val="18"/>
                    </w:rPr>
                    <w:t>1,2,4-triazole</w:t>
                  </w:r>
                </w:p>
              </w:tc>
              <w:tc>
                <w:tcPr>
                  <w:tcW w:w="725" w:type="pct"/>
                  <w:gridSpan w:val="2"/>
                  <w:shd w:val="clear" w:color="auto" w:fill="auto"/>
                  <w:vAlign w:val="bottom"/>
                </w:tcPr>
                <w:p w14:paraId="13FD8967" w14:textId="77777777" w:rsidR="00692E71" w:rsidRPr="001E3185" w:rsidRDefault="00692E71" w:rsidP="00112DD6">
                  <w:pPr>
                    <w:framePr w:hSpace="141" w:wrap="around" w:vAnchor="text" w:hAnchor="text" w:y="1"/>
                    <w:suppressOverlap/>
                    <w:jc w:val="center"/>
                    <w:rPr>
                      <w:rFonts w:cs="Arial"/>
                    </w:rPr>
                  </w:pPr>
                  <w:r w:rsidRPr="001E3185">
                    <w:rPr>
                      <w:rFonts w:cs="Arial"/>
                    </w:rPr>
                    <w:t>5.12E-03</w:t>
                  </w:r>
                </w:p>
              </w:tc>
              <w:tc>
                <w:tcPr>
                  <w:tcW w:w="665" w:type="pct"/>
                  <w:gridSpan w:val="2"/>
                  <w:shd w:val="clear" w:color="auto" w:fill="auto"/>
                  <w:vAlign w:val="bottom"/>
                </w:tcPr>
                <w:p w14:paraId="008CF59C" w14:textId="77777777" w:rsidR="00692E71" w:rsidRPr="001E3185" w:rsidRDefault="00692E71" w:rsidP="00112DD6">
                  <w:pPr>
                    <w:framePr w:hSpace="141" w:wrap="around" w:vAnchor="text" w:hAnchor="text" w:y="1"/>
                    <w:suppressOverlap/>
                    <w:jc w:val="center"/>
                    <w:rPr>
                      <w:rFonts w:cs="Arial"/>
                    </w:rPr>
                  </w:pPr>
                  <w:r w:rsidRPr="001E3185">
                    <w:rPr>
                      <w:rFonts w:cs="Arial"/>
                    </w:rPr>
                    <w:t>6.24E-01</w:t>
                  </w:r>
                </w:p>
              </w:tc>
              <w:tc>
                <w:tcPr>
                  <w:tcW w:w="773" w:type="pct"/>
                  <w:shd w:val="clear" w:color="auto" w:fill="auto"/>
                  <w:vAlign w:val="bottom"/>
                </w:tcPr>
                <w:p w14:paraId="3AB71632" w14:textId="77777777" w:rsidR="00692E71" w:rsidRPr="001E3185" w:rsidRDefault="00692E71" w:rsidP="00112DD6">
                  <w:pPr>
                    <w:framePr w:hSpace="141" w:wrap="around" w:vAnchor="text" w:hAnchor="text" w:y="1"/>
                    <w:suppressOverlap/>
                    <w:jc w:val="center"/>
                    <w:rPr>
                      <w:rFonts w:cs="Arial"/>
                    </w:rPr>
                  </w:pPr>
                  <w:r w:rsidRPr="001E3185">
                    <w:rPr>
                      <w:rFonts w:cs="Arial"/>
                    </w:rPr>
                    <w:t>4.30E-03</w:t>
                  </w:r>
                </w:p>
              </w:tc>
              <w:tc>
                <w:tcPr>
                  <w:tcW w:w="695" w:type="pct"/>
                  <w:gridSpan w:val="2"/>
                  <w:shd w:val="clear" w:color="auto" w:fill="auto"/>
                  <w:vAlign w:val="bottom"/>
                </w:tcPr>
                <w:p w14:paraId="1CDB62AB" w14:textId="77777777" w:rsidR="00692E71" w:rsidRPr="001E3185" w:rsidRDefault="00692E71" w:rsidP="00112DD6">
                  <w:pPr>
                    <w:framePr w:hSpace="141" w:wrap="around" w:vAnchor="text" w:hAnchor="text" w:y="1"/>
                    <w:suppressOverlap/>
                    <w:jc w:val="center"/>
                    <w:rPr>
                      <w:rFonts w:cs="Arial"/>
                    </w:rPr>
                  </w:pPr>
                  <w:r w:rsidRPr="001E3185">
                    <w:rPr>
                      <w:rFonts w:cs="Arial"/>
                    </w:rPr>
                    <w:t>5.25E-01</w:t>
                  </w:r>
                </w:p>
              </w:tc>
              <w:tc>
                <w:tcPr>
                  <w:tcW w:w="723" w:type="pct"/>
                  <w:gridSpan w:val="2"/>
                  <w:vAlign w:val="bottom"/>
                </w:tcPr>
                <w:p w14:paraId="27650BA5" w14:textId="77777777" w:rsidR="00692E71" w:rsidRPr="001E3185" w:rsidRDefault="00692E71" w:rsidP="00112DD6">
                  <w:pPr>
                    <w:framePr w:hSpace="141" w:wrap="around" w:vAnchor="text" w:hAnchor="text" w:y="1"/>
                    <w:suppressOverlap/>
                    <w:jc w:val="center"/>
                    <w:rPr>
                      <w:rFonts w:cs="Arial"/>
                    </w:rPr>
                  </w:pPr>
                  <w:r w:rsidRPr="001E3185">
                    <w:rPr>
                      <w:rFonts w:cs="Arial"/>
                    </w:rPr>
                    <w:t>3.32E-03</w:t>
                  </w:r>
                </w:p>
              </w:tc>
              <w:tc>
                <w:tcPr>
                  <w:tcW w:w="697" w:type="pct"/>
                  <w:vAlign w:val="bottom"/>
                </w:tcPr>
                <w:p w14:paraId="6A7C8464" w14:textId="77777777" w:rsidR="00692E71" w:rsidRPr="001E3185" w:rsidRDefault="00692E71" w:rsidP="00112DD6">
                  <w:pPr>
                    <w:framePr w:hSpace="141" w:wrap="around" w:vAnchor="text" w:hAnchor="text" w:y="1"/>
                    <w:suppressOverlap/>
                    <w:jc w:val="center"/>
                    <w:rPr>
                      <w:rFonts w:cs="Arial"/>
                    </w:rPr>
                  </w:pPr>
                  <w:r w:rsidRPr="001E3185">
                    <w:rPr>
                      <w:rFonts w:cs="Arial"/>
                    </w:rPr>
                    <w:t>4.05E-01</w:t>
                  </w:r>
                </w:p>
              </w:tc>
            </w:tr>
            <w:tr w:rsidR="00692E71" w:rsidRPr="001E3185" w14:paraId="2BD7650E" w14:textId="77777777" w:rsidTr="008E0250">
              <w:trPr>
                <w:trHeight w:val="283"/>
              </w:trPr>
              <w:tc>
                <w:tcPr>
                  <w:tcW w:w="722" w:type="pct"/>
                  <w:shd w:val="clear" w:color="auto" w:fill="auto"/>
                  <w:vAlign w:val="center"/>
                </w:tcPr>
                <w:p w14:paraId="206A08E6"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b/>
                      <w:sz w:val="18"/>
                      <w:szCs w:val="18"/>
                      <w:lang w:eastAsia="en-GB"/>
                    </w:rPr>
                    <w:t>PEC/ PNEC</w:t>
                  </w:r>
                </w:p>
              </w:tc>
              <w:tc>
                <w:tcPr>
                  <w:tcW w:w="725" w:type="pct"/>
                  <w:gridSpan w:val="2"/>
                  <w:shd w:val="clear" w:color="auto" w:fill="auto"/>
                  <w:vAlign w:val="center"/>
                </w:tcPr>
                <w:p w14:paraId="1EE43294" w14:textId="77777777" w:rsidR="00692E71" w:rsidRPr="001E3185" w:rsidRDefault="00692E71" w:rsidP="00112DD6">
                  <w:pPr>
                    <w:framePr w:hSpace="141" w:wrap="around" w:vAnchor="text" w:hAnchor="text" w:y="1"/>
                    <w:autoSpaceDE w:val="0"/>
                    <w:autoSpaceDN w:val="0"/>
                    <w:suppressOverlap/>
                    <w:jc w:val="center"/>
                    <w:rPr>
                      <w:rFonts w:cs="Arial"/>
                    </w:rPr>
                  </w:pPr>
                </w:p>
              </w:tc>
              <w:tc>
                <w:tcPr>
                  <w:tcW w:w="665" w:type="pct"/>
                  <w:gridSpan w:val="2"/>
                  <w:shd w:val="clear" w:color="auto" w:fill="auto"/>
                  <w:vAlign w:val="bottom"/>
                </w:tcPr>
                <w:p w14:paraId="33751522" w14:textId="77777777" w:rsidR="00692E71" w:rsidRPr="001E3185" w:rsidRDefault="00692E71" w:rsidP="00112DD6">
                  <w:pPr>
                    <w:framePr w:hSpace="141" w:wrap="around" w:vAnchor="text" w:hAnchor="text" w:y="1"/>
                    <w:suppressOverlap/>
                    <w:jc w:val="center"/>
                    <w:rPr>
                      <w:rFonts w:cs="Arial"/>
                      <w:b/>
                    </w:rPr>
                  </w:pPr>
                  <w:r w:rsidRPr="001E3185">
                    <w:rPr>
                      <w:rFonts w:cs="Arial"/>
                      <w:b/>
                      <w:color w:val="FF0000"/>
                    </w:rPr>
                    <w:t>1.46E+00</w:t>
                  </w:r>
                </w:p>
              </w:tc>
              <w:tc>
                <w:tcPr>
                  <w:tcW w:w="773" w:type="pct"/>
                  <w:shd w:val="clear" w:color="auto" w:fill="auto"/>
                  <w:vAlign w:val="center"/>
                </w:tcPr>
                <w:p w14:paraId="2DB88A20" w14:textId="77777777" w:rsidR="00692E71" w:rsidRPr="001E3185" w:rsidRDefault="00692E71" w:rsidP="00112DD6">
                  <w:pPr>
                    <w:framePr w:hSpace="141" w:wrap="around" w:vAnchor="text" w:hAnchor="text" w:y="1"/>
                    <w:autoSpaceDE w:val="0"/>
                    <w:autoSpaceDN w:val="0"/>
                    <w:suppressOverlap/>
                    <w:jc w:val="center"/>
                    <w:rPr>
                      <w:rFonts w:cs="Arial"/>
                    </w:rPr>
                  </w:pPr>
                </w:p>
              </w:tc>
              <w:tc>
                <w:tcPr>
                  <w:tcW w:w="695" w:type="pct"/>
                  <w:gridSpan w:val="2"/>
                  <w:shd w:val="clear" w:color="auto" w:fill="auto"/>
                  <w:vAlign w:val="bottom"/>
                </w:tcPr>
                <w:p w14:paraId="1B97C020" w14:textId="77777777" w:rsidR="00692E71" w:rsidRPr="001E3185" w:rsidRDefault="00692E71" w:rsidP="00112DD6">
                  <w:pPr>
                    <w:framePr w:hSpace="141" w:wrap="around" w:vAnchor="text" w:hAnchor="text" w:y="1"/>
                    <w:suppressOverlap/>
                    <w:jc w:val="center"/>
                    <w:rPr>
                      <w:rFonts w:cs="Arial"/>
                    </w:rPr>
                  </w:pPr>
                  <w:r w:rsidRPr="001E3185">
                    <w:rPr>
                      <w:rFonts w:cs="Arial"/>
                    </w:rPr>
                    <w:t>9.85E-01</w:t>
                  </w:r>
                </w:p>
              </w:tc>
              <w:tc>
                <w:tcPr>
                  <w:tcW w:w="723" w:type="pct"/>
                  <w:gridSpan w:val="2"/>
                </w:tcPr>
                <w:p w14:paraId="27B23E94" w14:textId="77777777" w:rsidR="00692E71" w:rsidRPr="001E3185" w:rsidRDefault="00692E71" w:rsidP="00112DD6">
                  <w:pPr>
                    <w:framePr w:hSpace="141" w:wrap="around" w:vAnchor="text" w:hAnchor="text" w:y="1"/>
                    <w:suppressOverlap/>
                    <w:jc w:val="center"/>
                    <w:rPr>
                      <w:rFonts w:cs="Arial"/>
                    </w:rPr>
                  </w:pPr>
                </w:p>
              </w:tc>
              <w:tc>
                <w:tcPr>
                  <w:tcW w:w="697" w:type="pct"/>
                  <w:vAlign w:val="bottom"/>
                </w:tcPr>
                <w:p w14:paraId="7C177B05" w14:textId="77777777" w:rsidR="00692E71" w:rsidRPr="001E3185" w:rsidRDefault="00692E71" w:rsidP="00112DD6">
                  <w:pPr>
                    <w:framePr w:hSpace="141" w:wrap="around" w:vAnchor="text" w:hAnchor="text" w:y="1"/>
                    <w:suppressOverlap/>
                    <w:jc w:val="center"/>
                    <w:rPr>
                      <w:rFonts w:cs="Arial"/>
                    </w:rPr>
                  </w:pPr>
                  <w:r w:rsidRPr="001E3185">
                    <w:rPr>
                      <w:rFonts w:cs="Arial"/>
                    </w:rPr>
                    <w:t>7.55E-01</w:t>
                  </w:r>
                </w:p>
              </w:tc>
            </w:tr>
            <w:tr w:rsidR="00692E71" w:rsidRPr="001E3185" w14:paraId="721D2514" w14:textId="77777777" w:rsidTr="008E0250">
              <w:trPr>
                <w:trHeight w:val="510"/>
              </w:trPr>
              <w:tc>
                <w:tcPr>
                  <w:tcW w:w="5000" w:type="pct"/>
                  <w:gridSpan w:val="11"/>
                  <w:shd w:val="clear" w:color="auto" w:fill="auto"/>
                  <w:vAlign w:val="center"/>
                </w:tcPr>
                <w:p w14:paraId="014C95D8" w14:textId="77777777" w:rsidR="00692E71" w:rsidRPr="001E3185" w:rsidRDefault="00692E71" w:rsidP="00112DD6">
                  <w:pPr>
                    <w:framePr w:hSpace="141" w:wrap="around" w:vAnchor="text" w:hAnchor="text" w:y="1"/>
                    <w:autoSpaceDE w:val="0"/>
                    <w:autoSpaceDN w:val="0"/>
                    <w:ind w:right="142"/>
                    <w:suppressOverlap/>
                    <w:jc w:val="center"/>
                    <w:rPr>
                      <w:rFonts w:cs="Arial"/>
                      <w:b/>
                      <w:bCs/>
                      <w:iCs/>
                      <w:sz w:val="18"/>
                      <w:szCs w:val="18"/>
                    </w:rPr>
                  </w:pPr>
                  <w:r w:rsidRPr="001E3185">
                    <w:rPr>
                      <w:rFonts w:cs="Arial"/>
                      <w:b/>
                      <w:bCs/>
                      <w:iCs/>
                      <w:sz w:val="18"/>
                      <w:szCs w:val="18"/>
                    </w:rPr>
                    <w:t>Wood-in service – Noise barrier – Treated wood in service only</w:t>
                  </w:r>
                </w:p>
              </w:tc>
            </w:tr>
            <w:tr w:rsidR="00692E71" w:rsidRPr="001E3185" w14:paraId="33980CC8" w14:textId="77777777" w:rsidTr="0039605F">
              <w:trPr>
                <w:trHeight w:val="283"/>
              </w:trPr>
              <w:tc>
                <w:tcPr>
                  <w:tcW w:w="795" w:type="pct"/>
                  <w:gridSpan w:val="2"/>
                  <w:vMerge w:val="restart"/>
                  <w:shd w:val="clear" w:color="auto" w:fill="auto"/>
                  <w:vAlign w:val="center"/>
                </w:tcPr>
                <w:p w14:paraId="63247783"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SOIL</w:t>
                  </w:r>
                </w:p>
              </w:tc>
              <w:tc>
                <w:tcPr>
                  <w:tcW w:w="2103" w:type="pct"/>
                  <w:gridSpan w:val="5"/>
                  <w:shd w:val="clear" w:color="auto" w:fill="auto"/>
                  <w:vAlign w:val="center"/>
                </w:tcPr>
                <w:p w14:paraId="0909BCBA"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rPr>
                    <w:t xml:space="preserve">Industrial &amp; </w:t>
                  </w:r>
                  <w:r w:rsidRPr="001E3185">
                    <w:rPr>
                      <w:rFonts w:cs="Arial"/>
                      <w:b/>
                      <w:i/>
                    </w:rPr>
                    <w:t>In situ</w:t>
                  </w:r>
                  <w:r w:rsidRPr="001E3185">
                    <w:rPr>
                      <w:rFonts w:cs="Arial"/>
                      <w:b/>
                    </w:rPr>
                    <w:t xml:space="preserve"> application</w:t>
                  </w:r>
                </w:p>
                <w:p w14:paraId="5599E0C5"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TIME 1</w:t>
                  </w:r>
                </w:p>
              </w:tc>
              <w:tc>
                <w:tcPr>
                  <w:tcW w:w="2102" w:type="pct"/>
                  <w:gridSpan w:val="4"/>
                  <w:vAlign w:val="center"/>
                </w:tcPr>
                <w:p w14:paraId="0B50BE0F"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rPr>
                    <w:t>Industrial application</w:t>
                  </w:r>
                  <w:r w:rsidRPr="001E3185">
                    <w:rPr>
                      <w:rFonts w:cs="Arial"/>
                      <w:b/>
                      <w:sz w:val="18"/>
                      <w:szCs w:val="18"/>
                    </w:rPr>
                    <w:t xml:space="preserve"> TIME 2</w:t>
                  </w:r>
                </w:p>
              </w:tc>
            </w:tr>
            <w:tr w:rsidR="00692E71" w:rsidRPr="001E3185" w14:paraId="2101AFB7" w14:textId="77777777" w:rsidTr="0039605F">
              <w:trPr>
                <w:trHeight w:val="283"/>
              </w:trPr>
              <w:tc>
                <w:tcPr>
                  <w:tcW w:w="795" w:type="pct"/>
                  <w:gridSpan w:val="2"/>
                  <w:vMerge/>
                  <w:shd w:val="clear" w:color="auto" w:fill="auto"/>
                  <w:vAlign w:val="center"/>
                </w:tcPr>
                <w:p w14:paraId="6B2F2B7F" w14:textId="77777777" w:rsidR="00692E71" w:rsidRPr="001E3185" w:rsidRDefault="00692E71" w:rsidP="00112DD6">
                  <w:pPr>
                    <w:framePr w:hSpace="141" w:wrap="around" w:vAnchor="text" w:hAnchor="text" w:y="1"/>
                    <w:autoSpaceDE w:val="0"/>
                    <w:autoSpaceDN w:val="0"/>
                    <w:ind w:right="142"/>
                    <w:suppressOverlap/>
                    <w:rPr>
                      <w:rFonts w:cs="Arial"/>
                      <w:sz w:val="18"/>
                      <w:szCs w:val="18"/>
                    </w:rPr>
                  </w:pPr>
                </w:p>
              </w:tc>
              <w:tc>
                <w:tcPr>
                  <w:tcW w:w="1015" w:type="pct"/>
                  <w:gridSpan w:val="2"/>
                  <w:shd w:val="clear" w:color="auto" w:fill="auto"/>
                  <w:vAlign w:val="center"/>
                </w:tcPr>
                <w:p w14:paraId="0BA494FC"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w:t>
                  </w:r>
                </w:p>
                <w:p w14:paraId="43F4461D" w14:textId="77777777" w:rsidR="00692E71" w:rsidRPr="001E3185" w:rsidRDefault="00692E71" w:rsidP="00112DD6">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1087" w:type="pct"/>
                  <w:gridSpan w:val="3"/>
                  <w:shd w:val="clear" w:color="auto" w:fill="auto"/>
                  <w:vAlign w:val="center"/>
                </w:tcPr>
                <w:p w14:paraId="0D3293B7" w14:textId="77777777" w:rsidR="00692E71" w:rsidRPr="001E3185" w:rsidRDefault="00692E71" w:rsidP="00112DD6">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1015" w:type="pct"/>
                  <w:gridSpan w:val="2"/>
                  <w:vAlign w:val="center"/>
                </w:tcPr>
                <w:p w14:paraId="68598A67"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w:t>
                  </w:r>
                </w:p>
                <w:p w14:paraId="4E1F70BA"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1087" w:type="pct"/>
                  <w:gridSpan w:val="2"/>
                  <w:vAlign w:val="center"/>
                </w:tcPr>
                <w:p w14:paraId="27346B36"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PEC/PNEC</w:t>
                  </w:r>
                </w:p>
              </w:tc>
            </w:tr>
            <w:tr w:rsidR="00692E71" w:rsidRPr="001E3185" w14:paraId="4CBC702C" w14:textId="77777777" w:rsidTr="0039605F">
              <w:trPr>
                <w:trHeight w:val="283"/>
              </w:trPr>
              <w:tc>
                <w:tcPr>
                  <w:tcW w:w="795" w:type="pct"/>
                  <w:gridSpan w:val="2"/>
                  <w:shd w:val="clear" w:color="auto" w:fill="auto"/>
                  <w:vAlign w:val="center"/>
                </w:tcPr>
                <w:p w14:paraId="58BEC2B1"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sz w:val="18"/>
                      <w:szCs w:val="18"/>
                    </w:rPr>
                    <w:t>Tebuconazole</w:t>
                  </w:r>
                </w:p>
              </w:tc>
              <w:tc>
                <w:tcPr>
                  <w:tcW w:w="1015" w:type="pct"/>
                  <w:gridSpan w:val="2"/>
                  <w:shd w:val="clear" w:color="auto" w:fill="auto"/>
                  <w:vAlign w:val="bottom"/>
                </w:tcPr>
                <w:p w14:paraId="293FD785" w14:textId="77777777" w:rsidR="00692E71" w:rsidRPr="001E3185" w:rsidRDefault="00692E71" w:rsidP="00112DD6">
                  <w:pPr>
                    <w:framePr w:hSpace="141" w:wrap="around" w:vAnchor="text" w:hAnchor="text" w:y="1"/>
                    <w:suppressOverlap/>
                    <w:jc w:val="center"/>
                    <w:rPr>
                      <w:rFonts w:cs="Arial"/>
                    </w:rPr>
                  </w:pPr>
                  <w:r w:rsidRPr="001E3185">
                    <w:rPr>
                      <w:rFonts w:cs="Arial"/>
                    </w:rPr>
                    <w:t>8.52E-03</w:t>
                  </w:r>
                </w:p>
              </w:tc>
              <w:tc>
                <w:tcPr>
                  <w:tcW w:w="1087" w:type="pct"/>
                  <w:gridSpan w:val="3"/>
                  <w:shd w:val="clear" w:color="auto" w:fill="auto"/>
                  <w:vAlign w:val="bottom"/>
                </w:tcPr>
                <w:p w14:paraId="113BCD48" w14:textId="77777777" w:rsidR="00692E71" w:rsidRPr="001E3185" w:rsidRDefault="00692E71" w:rsidP="00112DD6">
                  <w:pPr>
                    <w:framePr w:hSpace="141" w:wrap="around" w:vAnchor="text" w:hAnchor="text" w:y="1"/>
                    <w:suppressOverlap/>
                    <w:jc w:val="center"/>
                    <w:rPr>
                      <w:rFonts w:cs="Arial"/>
                    </w:rPr>
                  </w:pPr>
                  <w:r w:rsidRPr="001E3185">
                    <w:rPr>
                      <w:rFonts w:cs="Arial"/>
                    </w:rPr>
                    <w:t>8.52E-02</w:t>
                  </w:r>
                </w:p>
              </w:tc>
              <w:tc>
                <w:tcPr>
                  <w:tcW w:w="1015" w:type="pct"/>
                  <w:gridSpan w:val="2"/>
                  <w:vAlign w:val="bottom"/>
                </w:tcPr>
                <w:p w14:paraId="3E3EECF7" w14:textId="77777777" w:rsidR="00692E71" w:rsidRPr="001E3185" w:rsidRDefault="00692E71" w:rsidP="00112DD6">
                  <w:pPr>
                    <w:framePr w:hSpace="141" w:wrap="around" w:vAnchor="text" w:hAnchor="text" w:y="1"/>
                    <w:suppressOverlap/>
                    <w:jc w:val="center"/>
                    <w:rPr>
                      <w:rFonts w:cs="Arial"/>
                    </w:rPr>
                  </w:pPr>
                  <w:r w:rsidRPr="001E3185">
                    <w:rPr>
                      <w:rFonts w:cs="Arial"/>
                    </w:rPr>
                    <w:t>3.33E-03</w:t>
                  </w:r>
                </w:p>
              </w:tc>
              <w:tc>
                <w:tcPr>
                  <w:tcW w:w="1087" w:type="pct"/>
                  <w:gridSpan w:val="2"/>
                  <w:vAlign w:val="bottom"/>
                </w:tcPr>
                <w:p w14:paraId="0F15A736" w14:textId="77777777" w:rsidR="00692E71" w:rsidRPr="001E3185" w:rsidRDefault="00692E71" w:rsidP="00112DD6">
                  <w:pPr>
                    <w:framePr w:hSpace="141" w:wrap="around" w:vAnchor="text" w:hAnchor="text" w:y="1"/>
                    <w:suppressOverlap/>
                    <w:jc w:val="center"/>
                    <w:rPr>
                      <w:rFonts w:cs="Arial"/>
                    </w:rPr>
                  </w:pPr>
                  <w:r w:rsidRPr="001E3185">
                    <w:rPr>
                      <w:rFonts w:cs="Arial"/>
                    </w:rPr>
                    <w:t>3.33E-02</w:t>
                  </w:r>
                </w:p>
              </w:tc>
            </w:tr>
            <w:tr w:rsidR="00692E71" w:rsidRPr="001E3185" w14:paraId="4FD764CB" w14:textId="77777777" w:rsidTr="0039605F">
              <w:trPr>
                <w:trHeight w:val="283"/>
              </w:trPr>
              <w:tc>
                <w:tcPr>
                  <w:tcW w:w="795" w:type="pct"/>
                  <w:gridSpan w:val="2"/>
                  <w:shd w:val="clear" w:color="auto" w:fill="auto"/>
                  <w:vAlign w:val="center"/>
                </w:tcPr>
                <w:p w14:paraId="7428329B"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sz w:val="18"/>
                      <w:szCs w:val="18"/>
                    </w:rPr>
                    <w:t>Propiconazole</w:t>
                  </w:r>
                </w:p>
              </w:tc>
              <w:tc>
                <w:tcPr>
                  <w:tcW w:w="1015" w:type="pct"/>
                  <w:gridSpan w:val="2"/>
                  <w:shd w:val="clear" w:color="auto" w:fill="auto"/>
                  <w:vAlign w:val="bottom"/>
                </w:tcPr>
                <w:p w14:paraId="452A505B" w14:textId="77777777" w:rsidR="00692E71" w:rsidRPr="001E3185" w:rsidRDefault="00692E71" w:rsidP="00112DD6">
                  <w:pPr>
                    <w:framePr w:hSpace="141" w:wrap="around" w:vAnchor="text" w:hAnchor="text" w:y="1"/>
                    <w:suppressOverlap/>
                    <w:jc w:val="center"/>
                    <w:rPr>
                      <w:rFonts w:cs="Arial"/>
                    </w:rPr>
                  </w:pPr>
                  <w:r w:rsidRPr="001E3185">
                    <w:rPr>
                      <w:rFonts w:cs="Arial"/>
                    </w:rPr>
                    <w:t>1.95E-02</w:t>
                  </w:r>
                </w:p>
              </w:tc>
              <w:tc>
                <w:tcPr>
                  <w:tcW w:w="1087" w:type="pct"/>
                  <w:gridSpan w:val="3"/>
                  <w:shd w:val="clear" w:color="auto" w:fill="auto"/>
                  <w:vAlign w:val="bottom"/>
                </w:tcPr>
                <w:p w14:paraId="03598A34" w14:textId="77777777" w:rsidR="00692E71" w:rsidRPr="001E3185" w:rsidRDefault="00692E71" w:rsidP="00112DD6">
                  <w:pPr>
                    <w:framePr w:hSpace="141" w:wrap="around" w:vAnchor="text" w:hAnchor="text" w:y="1"/>
                    <w:suppressOverlap/>
                    <w:jc w:val="center"/>
                    <w:rPr>
                      <w:rFonts w:cs="Arial"/>
                    </w:rPr>
                  </w:pPr>
                  <w:r w:rsidRPr="001E3185">
                    <w:rPr>
                      <w:rFonts w:cs="Arial"/>
                    </w:rPr>
                    <w:t>1.95E-01</w:t>
                  </w:r>
                </w:p>
              </w:tc>
              <w:tc>
                <w:tcPr>
                  <w:tcW w:w="1015" w:type="pct"/>
                  <w:gridSpan w:val="2"/>
                  <w:vAlign w:val="bottom"/>
                </w:tcPr>
                <w:p w14:paraId="1D17A9E2" w14:textId="77777777" w:rsidR="00692E71" w:rsidRPr="001E3185" w:rsidRDefault="00692E71" w:rsidP="00112DD6">
                  <w:pPr>
                    <w:framePr w:hSpace="141" w:wrap="around" w:vAnchor="text" w:hAnchor="text" w:y="1"/>
                    <w:suppressOverlap/>
                    <w:jc w:val="center"/>
                    <w:rPr>
                      <w:rFonts w:cs="Arial"/>
                    </w:rPr>
                  </w:pPr>
                  <w:r w:rsidRPr="001E3185">
                    <w:rPr>
                      <w:rFonts w:cs="Arial"/>
                    </w:rPr>
                    <w:t>9.42E-03</w:t>
                  </w:r>
                </w:p>
              </w:tc>
              <w:tc>
                <w:tcPr>
                  <w:tcW w:w="1087" w:type="pct"/>
                  <w:gridSpan w:val="2"/>
                  <w:vAlign w:val="bottom"/>
                </w:tcPr>
                <w:p w14:paraId="2FDD1766" w14:textId="77777777" w:rsidR="00692E71" w:rsidRPr="001E3185" w:rsidRDefault="00692E71" w:rsidP="00112DD6">
                  <w:pPr>
                    <w:framePr w:hSpace="141" w:wrap="around" w:vAnchor="text" w:hAnchor="text" w:y="1"/>
                    <w:suppressOverlap/>
                    <w:jc w:val="center"/>
                    <w:rPr>
                      <w:rFonts w:cs="Arial"/>
                    </w:rPr>
                  </w:pPr>
                  <w:r w:rsidRPr="001E3185">
                    <w:rPr>
                      <w:rFonts w:cs="Arial"/>
                    </w:rPr>
                    <w:t>9.42E-02</w:t>
                  </w:r>
                </w:p>
              </w:tc>
            </w:tr>
            <w:tr w:rsidR="00692E71" w:rsidRPr="001E3185" w14:paraId="61F9EFF0" w14:textId="77777777" w:rsidTr="0039605F">
              <w:trPr>
                <w:trHeight w:val="283"/>
              </w:trPr>
              <w:tc>
                <w:tcPr>
                  <w:tcW w:w="795" w:type="pct"/>
                  <w:gridSpan w:val="2"/>
                  <w:shd w:val="clear" w:color="auto" w:fill="auto"/>
                  <w:vAlign w:val="center"/>
                </w:tcPr>
                <w:p w14:paraId="15429731"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sz w:val="18"/>
                      <w:szCs w:val="18"/>
                    </w:rPr>
                    <w:t>Cypermethrin</w:t>
                  </w:r>
                </w:p>
              </w:tc>
              <w:tc>
                <w:tcPr>
                  <w:tcW w:w="1015" w:type="pct"/>
                  <w:gridSpan w:val="2"/>
                  <w:shd w:val="clear" w:color="auto" w:fill="auto"/>
                  <w:vAlign w:val="bottom"/>
                </w:tcPr>
                <w:p w14:paraId="36AEE54E" w14:textId="77777777" w:rsidR="00692E71" w:rsidRPr="001E3185" w:rsidRDefault="00692E71" w:rsidP="00112DD6">
                  <w:pPr>
                    <w:framePr w:hSpace="141" w:wrap="around" w:vAnchor="text" w:hAnchor="text" w:y="1"/>
                    <w:suppressOverlap/>
                    <w:jc w:val="center"/>
                    <w:rPr>
                      <w:rFonts w:cs="Arial"/>
                    </w:rPr>
                  </w:pPr>
                  <w:r w:rsidRPr="001E3185">
                    <w:rPr>
                      <w:rFonts w:cs="Arial"/>
                    </w:rPr>
                    <w:t>6.19E-05</w:t>
                  </w:r>
                </w:p>
              </w:tc>
              <w:tc>
                <w:tcPr>
                  <w:tcW w:w="1087" w:type="pct"/>
                  <w:gridSpan w:val="3"/>
                  <w:shd w:val="clear" w:color="auto" w:fill="auto"/>
                  <w:vAlign w:val="bottom"/>
                </w:tcPr>
                <w:p w14:paraId="6E9FA525" w14:textId="77777777" w:rsidR="00692E71" w:rsidRPr="001E3185" w:rsidRDefault="00692E71" w:rsidP="00112DD6">
                  <w:pPr>
                    <w:framePr w:hSpace="141" w:wrap="around" w:vAnchor="text" w:hAnchor="text" w:y="1"/>
                    <w:suppressOverlap/>
                    <w:jc w:val="center"/>
                    <w:rPr>
                      <w:rFonts w:cs="Arial"/>
                    </w:rPr>
                  </w:pPr>
                  <w:r w:rsidRPr="001E3185">
                    <w:rPr>
                      <w:rFonts w:cs="Arial"/>
                    </w:rPr>
                    <w:t>6.74E-04</w:t>
                  </w:r>
                </w:p>
              </w:tc>
              <w:tc>
                <w:tcPr>
                  <w:tcW w:w="1015" w:type="pct"/>
                  <w:gridSpan w:val="2"/>
                  <w:vAlign w:val="bottom"/>
                </w:tcPr>
                <w:p w14:paraId="7D8F650A" w14:textId="77777777" w:rsidR="00692E71" w:rsidRPr="001E3185" w:rsidRDefault="00692E71" w:rsidP="00112DD6">
                  <w:pPr>
                    <w:framePr w:hSpace="141" w:wrap="around" w:vAnchor="text" w:hAnchor="text" w:y="1"/>
                    <w:suppressOverlap/>
                    <w:jc w:val="center"/>
                    <w:rPr>
                      <w:rFonts w:cs="Arial"/>
                    </w:rPr>
                  </w:pPr>
                  <w:r w:rsidRPr="001E3185">
                    <w:rPr>
                      <w:rFonts w:cs="Arial"/>
                    </w:rPr>
                    <w:t>1.18E-04</w:t>
                  </w:r>
                </w:p>
              </w:tc>
              <w:tc>
                <w:tcPr>
                  <w:tcW w:w="1087" w:type="pct"/>
                  <w:gridSpan w:val="2"/>
                  <w:vAlign w:val="bottom"/>
                </w:tcPr>
                <w:p w14:paraId="0124205B" w14:textId="77777777" w:rsidR="00692E71" w:rsidRPr="001E3185" w:rsidRDefault="00692E71" w:rsidP="00112DD6">
                  <w:pPr>
                    <w:framePr w:hSpace="141" w:wrap="around" w:vAnchor="text" w:hAnchor="text" w:y="1"/>
                    <w:suppressOverlap/>
                    <w:jc w:val="center"/>
                    <w:rPr>
                      <w:rFonts w:cs="Arial"/>
                    </w:rPr>
                  </w:pPr>
                  <w:r w:rsidRPr="001E3185">
                    <w:rPr>
                      <w:rFonts w:cs="Arial"/>
                    </w:rPr>
                    <w:t>1.29E-03</w:t>
                  </w:r>
                </w:p>
              </w:tc>
            </w:tr>
            <w:tr w:rsidR="00692E71" w:rsidRPr="001E3185" w14:paraId="412931C6" w14:textId="77777777" w:rsidTr="0039605F">
              <w:trPr>
                <w:trHeight w:val="283"/>
              </w:trPr>
              <w:tc>
                <w:tcPr>
                  <w:tcW w:w="795" w:type="pct"/>
                  <w:gridSpan w:val="2"/>
                  <w:shd w:val="clear" w:color="auto" w:fill="auto"/>
                  <w:vAlign w:val="center"/>
                </w:tcPr>
                <w:p w14:paraId="4C76C2D3"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sz w:val="18"/>
                      <w:szCs w:val="18"/>
                    </w:rPr>
                    <w:t>IPBC</w:t>
                  </w:r>
                </w:p>
              </w:tc>
              <w:tc>
                <w:tcPr>
                  <w:tcW w:w="1015" w:type="pct"/>
                  <w:gridSpan w:val="2"/>
                  <w:shd w:val="clear" w:color="auto" w:fill="auto"/>
                  <w:vAlign w:val="bottom"/>
                </w:tcPr>
                <w:p w14:paraId="031CE888" w14:textId="77777777" w:rsidR="00692E71" w:rsidRPr="001E3185" w:rsidRDefault="00692E71" w:rsidP="00112DD6">
                  <w:pPr>
                    <w:framePr w:hSpace="141" w:wrap="around" w:vAnchor="text" w:hAnchor="text" w:y="1"/>
                    <w:suppressOverlap/>
                    <w:jc w:val="center"/>
                    <w:rPr>
                      <w:rFonts w:cs="Arial"/>
                    </w:rPr>
                  </w:pPr>
                  <w:r w:rsidRPr="001E3185">
                    <w:rPr>
                      <w:rFonts w:cs="Arial"/>
                    </w:rPr>
                    <w:t>9.97E-05</w:t>
                  </w:r>
                </w:p>
              </w:tc>
              <w:tc>
                <w:tcPr>
                  <w:tcW w:w="1087" w:type="pct"/>
                  <w:gridSpan w:val="3"/>
                  <w:shd w:val="clear" w:color="auto" w:fill="auto"/>
                  <w:vAlign w:val="bottom"/>
                </w:tcPr>
                <w:p w14:paraId="07114EA6" w14:textId="77777777" w:rsidR="00692E71" w:rsidRPr="001E3185" w:rsidRDefault="00692E71" w:rsidP="00112DD6">
                  <w:pPr>
                    <w:framePr w:hSpace="141" w:wrap="around" w:vAnchor="text" w:hAnchor="text" w:y="1"/>
                    <w:suppressOverlap/>
                    <w:jc w:val="center"/>
                    <w:rPr>
                      <w:rFonts w:cs="Arial"/>
                    </w:rPr>
                  </w:pPr>
                  <w:r w:rsidRPr="001E3185">
                    <w:rPr>
                      <w:rFonts w:cs="Arial"/>
                    </w:rPr>
                    <w:t>2.26E-02</w:t>
                  </w:r>
                </w:p>
              </w:tc>
              <w:tc>
                <w:tcPr>
                  <w:tcW w:w="1015" w:type="pct"/>
                  <w:gridSpan w:val="2"/>
                  <w:vAlign w:val="bottom"/>
                </w:tcPr>
                <w:p w14:paraId="3E02F459" w14:textId="77777777" w:rsidR="00692E71" w:rsidRPr="001E3185" w:rsidRDefault="00692E71" w:rsidP="00112DD6">
                  <w:pPr>
                    <w:framePr w:hSpace="141" w:wrap="around" w:vAnchor="text" w:hAnchor="text" w:y="1"/>
                    <w:suppressOverlap/>
                    <w:jc w:val="center"/>
                    <w:rPr>
                      <w:rFonts w:cs="Arial"/>
                    </w:rPr>
                  </w:pPr>
                  <w:r w:rsidRPr="001E3185">
                    <w:rPr>
                      <w:rFonts w:cs="Arial"/>
                    </w:rPr>
                    <w:t>5.13E-06</w:t>
                  </w:r>
                </w:p>
              </w:tc>
              <w:tc>
                <w:tcPr>
                  <w:tcW w:w="1087" w:type="pct"/>
                  <w:gridSpan w:val="2"/>
                  <w:vAlign w:val="bottom"/>
                </w:tcPr>
                <w:p w14:paraId="1264D417" w14:textId="77777777" w:rsidR="00692E71" w:rsidRPr="001E3185" w:rsidRDefault="00692E71" w:rsidP="00112DD6">
                  <w:pPr>
                    <w:framePr w:hSpace="141" w:wrap="around" w:vAnchor="text" w:hAnchor="text" w:y="1"/>
                    <w:suppressOverlap/>
                    <w:jc w:val="center"/>
                    <w:rPr>
                      <w:rFonts w:cs="Arial"/>
                    </w:rPr>
                  </w:pPr>
                  <w:r w:rsidRPr="001E3185">
                    <w:rPr>
                      <w:rFonts w:cs="Arial"/>
                    </w:rPr>
                    <w:t>1.17E-03</w:t>
                  </w:r>
                </w:p>
              </w:tc>
            </w:tr>
            <w:tr w:rsidR="00692E71" w:rsidRPr="001E3185" w14:paraId="45A29233" w14:textId="77777777" w:rsidTr="0039605F">
              <w:trPr>
                <w:trHeight w:val="283"/>
              </w:trPr>
              <w:tc>
                <w:tcPr>
                  <w:tcW w:w="795" w:type="pct"/>
                  <w:gridSpan w:val="2"/>
                  <w:shd w:val="clear" w:color="auto" w:fill="auto"/>
                  <w:vAlign w:val="center"/>
                </w:tcPr>
                <w:p w14:paraId="64675457"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sz w:val="18"/>
                      <w:szCs w:val="18"/>
                    </w:rPr>
                    <w:t>PBC</w:t>
                  </w:r>
                </w:p>
              </w:tc>
              <w:tc>
                <w:tcPr>
                  <w:tcW w:w="1015" w:type="pct"/>
                  <w:gridSpan w:val="2"/>
                  <w:shd w:val="clear" w:color="auto" w:fill="auto"/>
                  <w:vAlign w:val="bottom"/>
                </w:tcPr>
                <w:p w14:paraId="6B1B7E85" w14:textId="77777777" w:rsidR="00692E71" w:rsidRPr="001E3185" w:rsidRDefault="00692E71" w:rsidP="00112DD6">
                  <w:pPr>
                    <w:framePr w:hSpace="141" w:wrap="around" w:vAnchor="text" w:hAnchor="text" w:y="1"/>
                    <w:suppressOverlap/>
                    <w:jc w:val="center"/>
                    <w:rPr>
                      <w:rFonts w:cs="Arial"/>
                    </w:rPr>
                  </w:pPr>
                  <w:r w:rsidRPr="001E3185">
                    <w:rPr>
                      <w:rFonts w:cs="Arial"/>
                    </w:rPr>
                    <w:t>1.60E-03</w:t>
                  </w:r>
                </w:p>
              </w:tc>
              <w:tc>
                <w:tcPr>
                  <w:tcW w:w="1087" w:type="pct"/>
                  <w:gridSpan w:val="3"/>
                  <w:shd w:val="clear" w:color="auto" w:fill="auto"/>
                  <w:vAlign w:val="bottom"/>
                </w:tcPr>
                <w:p w14:paraId="18D1AA42" w14:textId="77777777" w:rsidR="00692E71" w:rsidRPr="001E3185" w:rsidRDefault="00692E71" w:rsidP="00112DD6">
                  <w:pPr>
                    <w:framePr w:hSpace="141" w:wrap="around" w:vAnchor="text" w:hAnchor="text" w:y="1"/>
                    <w:suppressOverlap/>
                    <w:jc w:val="center"/>
                    <w:rPr>
                      <w:rFonts w:cs="Arial"/>
                    </w:rPr>
                  </w:pPr>
                  <w:r w:rsidRPr="001E3185">
                    <w:rPr>
                      <w:rFonts w:cs="Arial"/>
                    </w:rPr>
                    <w:t>1.07E-02</w:t>
                  </w:r>
                </w:p>
              </w:tc>
              <w:tc>
                <w:tcPr>
                  <w:tcW w:w="1015" w:type="pct"/>
                  <w:gridSpan w:val="2"/>
                  <w:vAlign w:val="bottom"/>
                </w:tcPr>
                <w:p w14:paraId="3E7D55DB" w14:textId="77777777" w:rsidR="00692E71" w:rsidRPr="001E3185" w:rsidRDefault="00692E71" w:rsidP="00112DD6">
                  <w:pPr>
                    <w:framePr w:hSpace="141" w:wrap="around" w:vAnchor="text" w:hAnchor="text" w:y="1"/>
                    <w:suppressOverlap/>
                    <w:jc w:val="center"/>
                    <w:rPr>
                      <w:rFonts w:cs="Arial"/>
                    </w:rPr>
                  </w:pPr>
                  <w:r w:rsidRPr="001E3185">
                    <w:rPr>
                      <w:rFonts w:cs="Arial"/>
                    </w:rPr>
                    <w:t>1.43E-04</w:t>
                  </w:r>
                </w:p>
              </w:tc>
              <w:tc>
                <w:tcPr>
                  <w:tcW w:w="1087" w:type="pct"/>
                  <w:gridSpan w:val="2"/>
                  <w:vAlign w:val="bottom"/>
                </w:tcPr>
                <w:p w14:paraId="69538F05" w14:textId="77777777" w:rsidR="00692E71" w:rsidRPr="001E3185" w:rsidRDefault="00692E71" w:rsidP="00112DD6">
                  <w:pPr>
                    <w:framePr w:hSpace="141" w:wrap="around" w:vAnchor="text" w:hAnchor="text" w:y="1"/>
                    <w:suppressOverlap/>
                    <w:jc w:val="center"/>
                    <w:rPr>
                      <w:rFonts w:cs="Arial"/>
                    </w:rPr>
                  </w:pPr>
                  <w:r w:rsidRPr="001E3185">
                    <w:rPr>
                      <w:rFonts w:cs="Arial"/>
                    </w:rPr>
                    <w:t>9.58E-04</w:t>
                  </w:r>
                </w:p>
              </w:tc>
            </w:tr>
            <w:tr w:rsidR="00692E71" w:rsidRPr="001E3185" w14:paraId="1245B008" w14:textId="77777777" w:rsidTr="0039605F">
              <w:trPr>
                <w:trHeight w:val="283"/>
              </w:trPr>
              <w:tc>
                <w:tcPr>
                  <w:tcW w:w="795" w:type="pct"/>
                  <w:gridSpan w:val="2"/>
                  <w:shd w:val="clear" w:color="auto" w:fill="auto"/>
                  <w:vAlign w:val="center"/>
                </w:tcPr>
                <w:p w14:paraId="08CF9123"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sz w:val="18"/>
                      <w:szCs w:val="18"/>
                    </w:rPr>
                    <w:t>1,2,4-triazole</w:t>
                  </w:r>
                </w:p>
              </w:tc>
              <w:tc>
                <w:tcPr>
                  <w:tcW w:w="1015" w:type="pct"/>
                  <w:gridSpan w:val="2"/>
                  <w:shd w:val="clear" w:color="auto" w:fill="auto"/>
                  <w:vAlign w:val="bottom"/>
                </w:tcPr>
                <w:p w14:paraId="1DFFA0B1" w14:textId="77777777" w:rsidR="00692E71" w:rsidRPr="001E3185" w:rsidRDefault="00692E71" w:rsidP="00112DD6">
                  <w:pPr>
                    <w:framePr w:hSpace="141" w:wrap="around" w:vAnchor="text" w:hAnchor="text" w:y="1"/>
                    <w:suppressOverlap/>
                    <w:jc w:val="center"/>
                    <w:rPr>
                      <w:rFonts w:cs="Arial"/>
                    </w:rPr>
                  </w:pPr>
                  <w:r w:rsidRPr="001E3185">
                    <w:rPr>
                      <w:rFonts w:cs="Arial"/>
                    </w:rPr>
                    <w:t>1.92E-03</w:t>
                  </w:r>
                </w:p>
              </w:tc>
              <w:tc>
                <w:tcPr>
                  <w:tcW w:w="1087" w:type="pct"/>
                  <w:gridSpan w:val="3"/>
                  <w:shd w:val="clear" w:color="auto" w:fill="auto"/>
                  <w:vAlign w:val="bottom"/>
                </w:tcPr>
                <w:p w14:paraId="72C469E2" w14:textId="77777777" w:rsidR="00692E71" w:rsidRPr="001E3185" w:rsidRDefault="00692E71" w:rsidP="00112DD6">
                  <w:pPr>
                    <w:framePr w:hSpace="141" w:wrap="around" w:vAnchor="text" w:hAnchor="text" w:y="1"/>
                    <w:suppressOverlap/>
                    <w:jc w:val="center"/>
                    <w:rPr>
                      <w:rFonts w:cs="Arial"/>
                    </w:rPr>
                  </w:pPr>
                  <w:r w:rsidRPr="001E3185">
                    <w:rPr>
                      <w:rFonts w:cs="Arial"/>
                    </w:rPr>
                    <w:t>2.34E-01</w:t>
                  </w:r>
                </w:p>
              </w:tc>
              <w:tc>
                <w:tcPr>
                  <w:tcW w:w="1015" w:type="pct"/>
                  <w:gridSpan w:val="2"/>
                  <w:vAlign w:val="bottom"/>
                </w:tcPr>
                <w:p w14:paraId="741EFD28" w14:textId="77777777" w:rsidR="00692E71" w:rsidRPr="001E3185" w:rsidRDefault="00692E71" w:rsidP="00112DD6">
                  <w:pPr>
                    <w:framePr w:hSpace="141" w:wrap="around" w:vAnchor="text" w:hAnchor="text" w:y="1"/>
                    <w:suppressOverlap/>
                    <w:jc w:val="center"/>
                    <w:rPr>
                      <w:rFonts w:cs="Arial"/>
                    </w:rPr>
                  </w:pPr>
                  <w:r w:rsidRPr="001E3185">
                    <w:rPr>
                      <w:rFonts w:cs="Arial"/>
                    </w:rPr>
                    <w:t>1.24E-03</w:t>
                  </w:r>
                </w:p>
              </w:tc>
              <w:tc>
                <w:tcPr>
                  <w:tcW w:w="1087" w:type="pct"/>
                  <w:gridSpan w:val="2"/>
                  <w:vAlign w:val="bottom"/>
                </w:tcPr>
                <w:p w14:paraId="63E2E3B0" w14:textId="77777777" w:rsidR="00692E71" w:rsidRPr="001E3185" w:rsidRDefault="00692E71" w:rsidP="00112DD6">
                  <w:pPr>
                    <w:framePr w:hSpace="141" w:wrap="around" w:vAnchor="text" w:hAnchor="text" w:y="1"/>
                    <w:suppressOverlap/>
                    <w:jc w:val="center"/>
                    <w:rPr>
                      <w:rFonts w:cs="Arial"/>
                    </w:rPr>
                  </w:pPr>
                  <w:r w:rsidRPr="001E3185">
                    <w:rPr>
                      <w:rFonts w:cs="Arial"/>
                    </w:rPr>
                    <w:t>1.52E-01</w:t>
                  </w:r>
                </w:p>
              </w:tc>
            </w:tr>
            <w:tr w:rsidR="00692E71" w:rsidRPr="001E3185" w14:paraId="30D67A23" w14:textId="77777777" w:rsidTr="0039605F">
              <w:trPr>
                <w:trHeight w:val="283"/>
              </w:trPr>
              <w:tc>
                <w:tcPr>
                  <w:tcW w:w="795" w:type="pct"/>
                  <w:gridSpan w:val="2"/>
                  <w:shd w:val="clear" w:color="auto" w:fill="auto"/>
                  <w:vAlign w:val="center"/>
                </w:tcPr>
                <w:p w14:paraId="167ED543" w14:textId="77777777" w:rsidR="00692E71" w:rsidRPr="001E3185" w:rsidRDefault="00692E71" w:rsidP="00112DD6">
                  <w:pPr>
                    <w:framePr w:hSpace="141" w:wrap="around" w:vAnchor="text" w:hAnchor="text" w:y="1"/>
                    <w:autoSpaceDE w:val="0"/>
                    <w:autoSpaceDN w:val="0"/>
                    <w:suppressOverlap/>
                    <w:rPr>
                      <w:rFonts w:cs="Arial"/>
                      <w:sz w:val="18"/>
                      <w:szCs w:val="18"/>
                    </w:rPr>
                  </w:pPr>
                  <w:r w:rsidRPr="001E3185">
                    <w:rPr>
                      <w:rFonts w:cs="Arial"/>
                      <w:b/>
                      <w:sz w:val="18"/>
                      <w:szCs w:val="18"/>
                      <w:lang w:eastAsia="en-GB"/>
                    </w:rPr>
                    <w:t>PEC/ PNEC</w:t>
                  </w:r>
                </w:p>
              </w:tc>
              <w:tc>
                <w:tcPr>
                  <w:tcW w:w="1015" w:type="pct"/>
                  <w:gridSpan w:val="2"/>
                  <w:shd w:val="clear" w:color="auto" w:fill="auto"/>
                  <w:vAlign w:val="center"/>
                </w:tcPr>
                <w:p w14:paraId="1AC82137" w14:textId="77777777" w:rsidR="00692E71" w:rsidRPr="001E3185" w:rsidRDefault="00692E71" w:rsidP="00112DD6">
                  <w:pPr>
                    <w:framePr w:hSpace="141" w:wrap="around" w:vAnchor="text" w:hAnchor="text" w:y="1"/>
                    <w:autoSpaceDE w:val="0"/>
                    <w:autoSpaceDN w:val="0"/>
                    <w:suppressOverlap/>
                    <w:jc w:val="center"/>
                    <w:rPr>
                      <w:rFonts w:cs="Arial"/>
                    </w:rPr>
                  </w:pPr>
                </w:p>
              </w:tc>
              <w:tc>
                <w:tcPr>
                  <w:tcW w:w="1087" w:type="pct"/>
                  <w:gridSpan w:val="3"/>
                  <w:shd w:val="clear" w:color="auto" w:fill="auto"/>
                  <w:vAlign w:val="bottom"/>
                </w:tcPr>
                <w:p w14:paraId="0AAF0576" w14:textId="77777777" w:rsidR="00692E71" w:rsidRPr="001E3185" w:rsidRDefault="00692E71" w:rsidP="00112DD6">
                  <w:pPr>
                    <w:framePr w:hSpace="141" w:wrap="around" w:vAnchor="text" w:hAnchor="text" w:y="1"/>
                    <w:suppressOverlap/>
                    <w:jc w:val="center"/>
                    <w:rPr>
                      <w:rFonts w:cs="Arial"/>
                    </w:rPr>
                  </w:pPr>
                  <w:r w:rsidRPr="001E3185">
                    <w:rPr>
                      <w:rFonts w:cs="Arial"/>
                    </w:rPr>
                    <w:t>5.47E-01</w:t>
                  </w:r>
                </w:p>
              </w:tc>
              <w:tc>
                <w:tcPr>
                  <w:tcW w:w="1015" w:type="pct"/>
                  <w:gridSpan w:val="2"/>
                </w:tcPr>
                <w:p w14:paraId="77714878" w14:textId="77777777" w:rsidR="00692E71" w:rsidRPr="001E3185" w:rsidRDefault="00692E71" w:rsidP="00112DD6">
                  <w:pPr>
                    <w:framePr w:hSpace="141" w:wrap="around" w:vAnchor="text" w:hAnchor="text" w:y="1"/>
                    <w:suppressOverlap/>
                    <w:jc w:val="center"/>
                    <w:rPr>
                      <w:rFonts w:cs="Arial"/>
                    </w:rPr>
                  </w:pPr>
                </w:p>
              </w:tc>
              <w:tc>
                <w:tcPr>
                  <w:tcW w:w="1087" w:type="pct"/>
                  <w:gridSpan w:val="2"/>
                  <w:vAlign w:val="bottom"/>
                </w:tcPr>
                <w:p w14:paraId="4FF6242C" w14:textId="77777777" w:rsidR="00692E71" w:rsidRPr="001E3185" w:rsidRDefault="00692E71" w:rsidP="00112DD6">
                  <w:pPr>
                    <w:framePr w:hSpace="141" w:wrap="around" w:vAnchor="text" w:hAnchor="text" w:y="1"/>
                    <w:suppressOverlap/>
                    <w:jc w:val="center"/>
                    <w:rPr>
                      <w:rFonts w:cs="Arial"/>
                    </w:rPr>
                  </w:pPr>
                  <w:r w:rsidRPr="001E3185">
                    <w:rPr>
                      <w:rFonts w:cs="Arial"/>
                    </w:rPr>
                    <w:t>2.83E-01</w:t>
                  </w:r>
                </w:p>
              </w:tc>
            </w:tr>
          </w:tbl>
          <w:p w14:paraId="2F185580" w14:textId="77777777" w:rsidR="00692E71" w:rsidRPr="001E3185" w:rsidRDefault="00692E71" w:rsidP="008E0250">
            <w:pPr>
              <w:autoSpaceDE w:val="0"/>
              <w:autoSpaceDN w:val="0"/>
              <w:ind w:right="142"/>
              <w:rPr>
                <w:rFonts w:cs="Arial"/>
              </w:rPr>
            </w:pPr>
          </w:p>
          <w:p w14:paraId="5394DF99" w14:textId="77777777" w:rsidR="00692E71" w:rsidRPr="001E3185" w:rsidRDefault="00692E71" w:rsidP="008E0250">
            <w:pPr>
              <w:autoSpaceDE w:val="0"/>
              <w:autoSpaceDN w:val="0"/>
              <w:ind w:right="142"/>
              <w:rPr>
                <w:rFonts w:cs="Arial"/>
              </w:rPr>
            </w:pPr>
          </w:p>
          <w:p w14:paraId="1152D118" w14:textId="77777777" w:rsidR="00692E71" w:rsidRPr="001E3185" w:rsidRDefault="00692E71" w:rsidP="008E0250">
            <w:pPr>
              <w:autoSpaceDE w:val="0"/>
              <w:autoSpaceDN w:val="0"/>
              <w:ind w:right="142"/>
              <w:rPr>
                <w:rFonts w:cs="Arial"/>
              </w:rPr>
            </w:pPr>
          </w:p>
          <w:p w14:paraId="312C3766"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Considering that calculated </w:t>
            </w:r>
            <w:r w:rsidRPr="001E3185">
              <w:rPr>
                <w:rFonts w:cs="Arial"/>
                <w:lang w:eastAsia="en-GB"/>
              </w:rPr>
              <w:t>PEC/PNEC ratio for terrestrial compartment is above 1 only in TIME 1 for the house scenario, the risks are considered acceptable during the service life of treated wood (also considering that application phases lead to no release to the terrestrial compartment with the application of appropriate risk mitigation measure).</w:t>
            </w:r>
          </w:p>
          <w:p w14:paraId="085607F2" w14:textId="77777777" w:rsidR="00692E71" w:rsidRPr="001E3185" w:rsidRDefault="00692E71" w:rsidP="008E0250">
            <w:pPr>
              <w:autoSpaceDE w:val="0"/>
              <w:autoSpaceDN w:val="0"/>
              <w:spacing w:line="276" w:lineRule="auto"/>
              <w:rPr>
                <w:rFonts w:cs="Arial"/>
                <w:lang w:eastAsia="en-GB"/>
              </w:rPr>
            </w:pPr>
          </w:p>
          <w:p w14:paraId="677B71C1" w14:textId="77777777" w:rsidR="00692E71" w:rsidRPr="001E3185" w:rsidRDefault="00692E71" w:rsidP="008E0250">
            <w:pPr>
              <w:autoSpaceDE w:val="0"/>
              <w:autoSpaceDN w:val="0"/>
              <w:ind w:right="142"/>
              <w:rPr>
                <w:rFonts w:cs="Arial"/>
              </w:rPr>
            </w:pPr>
          </w:p>
          <w:p w14:paraId="05C7E4B7" w14:textId="7C7CF979" w:rsidR="00692E71" w:rsidRPr="001E3185" w:rsidRDefault="00692E71" w:rsidP="008E0250">
            <w:pPr>
              <w:autoSpaceDE w:val="0"/>
              <w:autoSpaceDN w:val="0"/>
              <w:ind w:right="142"/>
              <w:rPr>
                <w:rFonts w:cs="Arial"/>
                <w:b/>
                <w:u w:val="single"/>
              </w:rPr>
            </w:pPr>
            <w:r w:rsidRPr="001E3185">
              <w:rPr>
                <w:rFonts w:cs="Arial"/>
                <w:b/>
                <w:u w:val="single"/>
              </w:rPr>
              <w:t xml:space="preserve">Indirect emissions via the STP during </w:t>
            </w:r>
            <w:r w:rsidR="006B34A7" w:rsidRPr="001E3185">
              <w:rPr>
                <w:rFonts w:cs="Arial"/>
                <w:b/>
                <w:u w:val="single"/>
              </w:rPr>
              <w:t>ser</w:t>
            </w:r>
            <w:r w:rsidR="006B34A7">
              <w:rPr>
                <w:rFonts w:cs="Arial"/>
                <w:b/>
                <w:u w:val="single"/>
              </w:rPr>
              <w:t>v</w:t>
            </w:r>
            <w:r w:rsidR="006B34A7" w:rsidRPr="001E3185">
              <w:rPr>
                <w:rFonts w:cs="Arial"/>
                <w:b/>
                <w:u w:val="single"/>
              </w:rPr>
              <w:t xml:space="preserve">ice </w:t>
            </w:r>
            <w:r w:rsidRPr="001E3185">
              <w:rPr>
                <w:rFonts w:cs="Arial"/>
                <w:b/>
                <w:u w:val="single"/>
              </w:rPr>
              <w:t>lif of treated wood - Noise barrier scenario</w:t>
            </w:r>
          </w:p>
          <w:p w14:paraId="609DEDA9" w14:textId="77777777" w:rsidR="00692E71" w:rsidRPr="001E3185" w:rsidRDefault="00692E71" w:rsidP="008E0250">
            <w:pPr>
              <w:autoSpaceDE w:val="0"/>
              <w:autoSpaceDN w:val="0"/>
              <w:spacing w:before="120" w:after="240" w:line="276" w:lineRule="auto"/>
              <w:rPr>
                <w:rFonts w:cs="Arial"/>
                <w:lang w:eastAsia="en-GB"/>
              </w:rPr>
            </w:pPr>
            <w:r w:rsidRPr="001E3185">
              <w:rPr>
                <w:rFonts w:cs="Arial"/>
                <w:lang w:eastAsia="en-GB"/>
              </w:rPr>
              <w:t>Concerning the service-life of treated wood, the risk characterisation for indirect releases via STP (</w:t>
            </w:r>
            <w:r w:rsidRPr="001E3185">
              <w:rPr>
                <w:rFonts w:cs="Arial"/>
                <w:i/>
                <w:lang w:eastAsia="en-GB"/>
              </w:rPr>
              <w:t>i.e.</w:t>
            </w:r>
            <w:r w:rsidRPr="001E3185">
              <w:rPr>
                <w:rFonts w:cs="Arial"/>
                <w:lang w:eastAsia="en-GB"/>
              </w:rPr>
              <w:t xml:space="preserve"> spreading of STP sludge on soil) to the terrestrial compartment has been performed considering PEC calculated for the noise barrier scenario of the PT08-ESD, and compared to PNEC</w:t>
            </w:r>
            <w:r w:rsidRPr="001E3185">
              <w:rPr>
                <w:rFonts w:cs="Arial"/>
                <w:vertAlign w:val="subscript"/>
                <w:lang w:eastAsia="en-GB"/>
              </w:rPr>
              <w:t>soil</w:t>
            </w:r>
            <w:r w:rsidRPr="001E3185">
              <w:rPr>
                <w:rFonts w:cs="Arial"/>
                <w:lang w:eastAsia="en-GB"/>
              </w:rPr>
              <w:t xml:space="preserve"> of each active substance for the service life of the treated wood.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986"/>
              <w:gridCol w:w="1705"/>
              <w:gridCol w:w="1983"/>
              <w:gridCol w:w="1556"/>
            </w:tblGrid>
            <w:tr w:rsidR="00692E71" w:rsidRPr="001E3185" w14:paraId="6CA53A6B" w14:textId="77777777" w:rsidTr="008E0250">
              <w:trPr>
                <w:trHeight w:val="340"/>
              </w:trPr>
              <w:tc>
                <w:tcPr>
                  <w:tcW w:w="5000" w:type="pct"/>
                  <w:gridSpan w:val="5"/>
                  <w:shd w:val="clear" w:color="auto" w:fill="auto"/>
                  <w:vAlign w:val="center"/>
                </w:tcPr>
                <w:p w14:paraId="25B35A8B"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bCs/>
                      <w:iCs/>
                      <w:sz w:val="18"/>
                      <w:szCs w:val="18"/>
                    </w:rPr>
                    <w:t>Wood-in-service – Noise barrier- Treated wood in service only</w:t>
                  </w:r>
                </w:p>
              </w:tc>
            </w:tr>
            <w:tr w:rsidR="00692E71" w:rsidRPr="001E3185" w14:paraId="08F0DE33" w14:textId="77777777" w:rsidTr="008E0250">
              <w:trPr>
                <w:trHeight w:val="283"/>
              </w:trPr>
              <w:tc>
                <w:tcPr>
                  <w:tcW w:w="1302" w:type="pct"/>
                  <w:vMerge w:val="restart"/>
                  <w:shd w:val="clear" w:color="auto" w:fill="auto"/>
                  <w:vAlign w:val="center"/>
                </w:tcPr>
                <w:p w14:paraId="19BF165B"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SOIL (via STP</w:t>
                  </w:r>
                </w:p>
              </w:tc>
              <w:tc>
                <w:tcPr>
                  <w:tcW w:w="1888" w:type="pct"/>
                  <w:gridSpan w:val="2"/>
                  <w:shd w:val="clear" w:color="auto" w:fill="auto"/>
                  <w:vAlign w:val="center"/>
                </w:tcPr>
                <w:p w14:paraId="52C961B9"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TIME 1</w:t>
                  </w:r>
                </w:p>
              </w:tc>
              <w:tc>
                <w:tcPr>
                  <w:tcW w:w="1810" w:type="pct"/>
                  <w:gridSpan w:val="2"/>
                  <w:shd w:val="clear" w:color="auto" w:fill="auto"/>
                  <w:vAlign w:val="center"/>
                </w:tcPr>
                <w:p w14:paraId="12B6C6AF" w14:textId="77777777" w:rsidR="00692E71" w:rsidRPr="001E3185" w:rsidRDefault="00692E71" w:rsidP="00112DD6">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TIME 2</w:t>
                  </w:r>
                </w:p>
              </w:tc>
            </w:tr>
            <w:tr w:rsidR="00692E71" w:rsidRPr="001E3185" w14:paraId="750856C8" w14:textId="77777777" w:rsidTr="008E0250">
              <w:trPr>
                <w:trHeight w:val="283"/>
              </w:trPr>
              <w:tc>
                <w:tcPr>
                  <w:tcW w:w="1302" w:type="pct"/>
                  <w:vMerge/>
                  <w:shd w:val="clear" w:color="auto" w:fill="auto"/>
                  <w:vAlign w:val="center"/>
                </w:tcPr>
                <w:p w14:paraId="1B890DF7" w14:textId="77777777" w:rsidR="00692E71" w:rsidRPr="001E3185" w:rsidRDefault="00692E71" w:rsidP="00112DD6">
                  <w:pPr>
                    <w:framePr w:hSpace="141" w:wrap="around" w:vAnchor="text" w:hAnchor="text" w:y="1"/>
                    <w:autoSpaceDE w:val="0"/>
                    <w:autoSpaceDN w:val="0"/>
                    <w:ind w:right="142"/>
                    <w:suppressOverlap/>
                    <w:rPr>
                      <w:rFonts w:cs="Arial"/>
                      <w:sz w:val="18"/>
                      <w:szCs w:val="18"/>
                    </w:rPr>
                  </w:pPr>
                </w:p>
              </w:tc>
              <w:tc>
                <w:tcPr>
                  <w:tcW w:w="1016" w:type="pct"/>
                  <w:shd w:val="clear" w:color="auto" w:fill="auto"/>
                  <w:vAlign w:val="center"/>
                </w:tcPr>
                <w:p w14:paraId="73E9827C" w14:textId="77777777" w:rsidR="00692E71" w:rsidRPr="001E3185" w:rsidRDefault="00692E71" w:rsidP="00112DD6">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872" w:type="pct"/>
                  <w:shd w:val="clear" w:color="auto" w:fill="auto"/>
                  <w:vAlign w:val="center"/>
                </w:tcPr>
                <w:p w14:paraId="603FD35E" w14:textId="77777777" w:rsidR="00692E71" w:rsidRPr="001E3185" w:rsidRDefault="00692E71" w:rsidP="00112DD6">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1014" w:type="pct"/>
                  <w:shd w:val="clear" w:color="auto" w:fill="auto"/>
                  <w:vAlign w:val="center"/>
                </w:tcPr>
                <w:p w14:paraId="0B9CB4F6" w14:textId="77777777" w:rsidR="00692E71" w:rsidRPr="001E3185" w:rsidRDefault="00692E71" w:rsidP="00112DD6">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796" w:type="pct"/>
                  <w:shd w:val="clear" w:color="auto" w:fill="auto"/>
                  <w:vAlign w:val="center"/>
                </w:tcPr>
                <w:p w14:paraId="15D705DB" w14:textId="77777777" w:rsidR="00692E71" w:rsidRPr="001E3185" w:rsidRDefault="00692E71" w:rsidP="00112DD6">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r>
            <w:tr w:rsidR="00692E71" w:rsidRPr="001E3185" w14:paraId="0D0740AC" w14:textId="77777777" w:rsidTr="008E0250">
              <w:trPr>
                <w:trHeight w:val="283"/>
              </w:trPr>
              <w:tc>
                <w:tcPr>
                  <w:tcW w:w="1302" w:type="pct"/>
                  <w:shd w:val="clear" w:color="auto" w:fill="auto"/>
                  <w:vAlign w:val="center"/>
                </w:tcPr>
                <w:p w14:paraId="5BF627A6" w14:textId="77777777" w:rsidR="00692E71" w:rsidRPr="001E3185" w:rsidRDefault="00692E71" w:rsidP="00112DD6">
                  <w:pPr>
                    <w:framePr w:hSpace="141" w:wrap="around" w:vAnchor="text" w:hAnchor="text" w:y="1"/>
                    <w:suppressOverlap/>
                    <w:jc w:val="center"/>
                    <w:rPr>
                      <w:rFonts w:cs="Arial"/>
                    </w:rPr>
                  </w:pPr>
                  <w:r w:rsidRPr="001E3185">
                    <w:rPr>
                      <w:rFonts w:cs="Arial"/>
                    </w:rPr>
                    <w:t>Tebuconazole</w:t>
                  </w:r>
                </w:p>
              </w:tc>
              <w:tc>
                <w:tcPr>
                  <w:tcW w:w="1016" w:type="pct"/>
                  <w:shd w:val="clear" w:color="auto" w:fill="auto"/>
                  <w:vAlign w:val="bottom"/>
                </w:tcPr>
                <w:p w14:paraId="0D5BE1DA" w14:textId="77777777" w:rsidR="00692E71" w:rsidRPr="001E3185" w:rsidRDefault="00692E71" w:rsidP="00112DD6">
                  <w:pPr>
                    <w:framePr w:hSpace="141" w:wrap="around" w:vAnchor="text" w:hAnchor="text" w:y="1"/>
                    <w:suppressOverlap/>
                    <w:jc w:val="center"/>
                    <w:rPr>
                      <w:rFonts w:cs="Arial"/>
                    </w:rPr>
                  </w:pPr>
                  <w:r w:rsidRPr="001E3185">
                    <w:rPr>
                      <w:rFonts w:cs="Arial"/>
                    </w:rPr>
                    <w:t>1.13E-04</w:t>
                  </w:r>
                </w:p>
              </w:tc>
              <w:tc>
                <w:tcPr>
                  <w:tcW w:w="872" w:type="pct"/>
                  <w:shd w:val="clear" w:color="auto" w:fill="auto"/>
                  <w:vAlign w:val="bottom"/>
                </w:tcPr>
                <w:p w14:paraId="18F413CE" w14:textId="77777777" w:rsidR="00692E71" w:rsidRPr="001E3185" w:rsidRDefault="00692E71" w:rsidP="00112DD6">
                  <w:pPr>
                    <w:framePr w:hSpace="141" w:wrap="around" w:vAnchor="text" w:hAnchor="text" w:y="1"/>
                    <w:suppressOverlap/>
                    <w:jc w:val="center"/>
                    <w:rPr>
                      <w:rFonts w:cs="Arial"/>
                    </w:rPr>
                  </w:pPr>
                  <w:r w:rsidRPr="001E3185">
                    <w:rPr>
                      <w:rFonts w:cs="Arial"/>
                    </w:rPr>
                    <w:t>1.13E-03</w:t>
                  </w:r>
                </w:p>
              </w:tc>
              <w:tc>
                <w:tcPr>
                  <w:tcW w:w="1014" w:type="pct"/>
                  <w:shd w:val="clear" w:color="auto" w:fill="auto"/>
                  <w:vAlign w:val="bottom"/>
                </w:tcPr>
                <w:p w14:paraId="66A894BC" w14:textId="77777777" w:rsidR="00692E71" w:rsidRPr="001E3185" w:rsidRDefault="00692E71" w:rsidP="00112DD6">
                  <w:pPr>
                    <w:framePr w:hSpace="141" w:wrap="around" w:vAnchor="text" w:hAnchor="text" w:y="1"/>
                    <w:suppressOverlap/>
                    <w:jc w:val="center"/>
                    <w:rPr>
                      <w:rFonts w:cs="Arial"/>
                    </w:rPr>
                  </w:pPr>
                  <w:r w:rsidRPr="001E3185">
                    <w:rPr>
                      <w:rFonts w:cs="Arial"/>
                    </w:rPr>
                    <w:t>5.03E-06</w:t>
                  </w:r>
                </w:p>
              </w:tc>
              <w:tc>
                <w:tcPr>
                  <w:tcW w:w="796" w:type="pct"/>
                  <w:shd w:val="clear" w:color="auto" w:fill="auto"/>
                  <w:vAlign w:val="bottom"/>
                </w:tcPr>
                <w:p w14:paraId="6C5ED466" w14:textId="77777777" w:rsidR="00692E71" w:rsidRPr="001E3185" w:rsidRDefault="00692E71" w:rsidP="00112DD6">
                  <w:pPr>
                    <w:framePr w:hSpace="141" w:wrap="around" w:vAnchor="text" w:hAnchor="text" w:y="1"/>
                    <w:suppressOverlap/>
                    <w:jc w:val="center"/>
                    <w:rPr>
                      <w:rFonts w:cs="Arial"/>
                    </w:rPr>
                  </w:pPr>
                  <w:r w:rsidRPr="001E3185">
                    <w:rPr>
                      <w:rFonts w:cs="Arial"/>
                    </w:rPr>
                    <w:t>5.03E-05</w:t>
                  </w:r>
                </w:p>
              </w:tc>
            </w:tr>
            <w:tr w:rsidR="00692E71" w:rsidRPr="001E3185" w14:paraId="1E615CA7" w14:textId="77777777" w:rsidTr="008E0250">
              <w:trPr>
                <w:trHeight w:val="283"/>
              </w:trPr>
              <w:tc>
                <w:tcPr>
                  <w:tcW w:w="1302" w:type="pct"/>
                  <w:shd w:val="clear" w:color="auto" w:fill="auto"/>
                  <w:vAlign w:val="center"/>
                </w:tcPr>
                <w:p w14:paraId="6A48C473" w14:textId="77777777" w:rsidR="00692E71" w:rsidRPr="001E3185" w:rsidRDefault="00692E71" w:rsidP="00112DD6">
                  <w:pPr>
                    <w:framePr w:hSpace="141" w:wrap="around" w:vAnchor="text" w:hAnchor="text" w:y="1"/>
                    <w:suppressOverlap/>
                    <w:jc w:val="center"/>
                    <w:rPr>
                      <w:rFonts w:cs="Arial"/>
                    </w:rPr>
                  </w:pPr>
                  <w:r w:rsidRPr="001E3185">
                    <w:rPr>
                      <w:rFonts w:cs="Arial"/>
                    </w:rPr>
                    <w:t>Propiconazole</w:t>
                  </w:r>
                </w:p>
              </w:tc>
              <w:tc>
                <w:tcPr>
                  <w:tcW w:w="1016" w:type="pct"/>
                  <w:shd w:val="clear" w:color="auto" w:fill="auto"/>
                  <w:vAlign w:val="bottom"/>
                </w:tcPr>
                <w:p w14:paraId="04A551F0" w14:textId="77777777" w:rsidR="00692E71" w:rsidRPr="001E3185" w:rsidRDefault="00692E71" w:rsidP="00112DD6">
                  <w:pPr>
                    <w:framePr w:hSpace="141" w:wrap="around" w:vAnchor="text" w:hAnchor="text" w:y="1"/>
                    <w:suppressOverlap/>
                    <w:jc w:val="center"/>
                    <w:rPr>
                      <w:rFonts w:cs="Arial"/>
                    </w:rPr>
                  </w:pPr>
                  <w:r w:rsidRPr="001E3185">
                    <w:rPr>
                      <w:rFonts w:cs="Arial"/>
                    </w:rPr>
                    <w:t>2.40E-04</w:t>
                  </w:r>
                </w:p>
              </w:tc>
              <w:tc>
                <w:tcPr>
                  <w:tcW w:w="872" w:type="pct"/>
                  <w:shd w:val="clear" w:color="auto" w:fill="auto"/>
                  <w:vAlign w:val="bottom"/>
                </w:tcPr>
                <w:p w14:paraId="554515B7" w14:textId="77777777" w:rsidR="00692E71" w:rsidRPr="001E3185" w:rsidRDefault="00692E71" w:rsidP="00112DD6">
                  <w:pPr>
                    <w:framePr w:hSpace="141" w:wrap="around" w:vAnchor="text" w:hAnchor="text" w:y="1"/>
                    <w:suppressOverlap/>
                    <w:jc w:val="center"/>
                    <w:rPr>
                      <w:rFonts w:cs="Arial"/>
                    </w:rPr>
                  </w:pPr>
                  <w:r w:rsidRPr="001E3185">
                    <w:rPr>
                      <w:rFonts w:cs="Arial"/>
                    </w:rPr>
                    <w:t>2.40E-03</w:t>
                  </w:r>
                </w:p>
              </w:tc>
              <w:tc>
                <w:tcPr>
                  <w:tcW w:w="1014" w:type="pct"/>
                  <w:shd w:val="clear" w:color="auto" w:fill="auto"/>
                  <w:vAlign w:val="bottom"/>
                </w:tcPr>
                <w:p w14:paraId="565EE9CB" w14:textId="77777777" w:rsidR="00692E71" w:rsidRPr="001E3185" w:rsidRDefault="00692E71" w:rsidP="00112DD6">
                  <w:pPr>
                    <w:framePr w:hSpace="141" w:wrap="around" w:vAnchor="text" w:hAnchor="text" w:y="1"/>
                    <w:suppressOverlap/>
                    <w:jc w:val="center"/>
                    <w:rPr>
                      <w:rFonts w:cs="Arial"/>
                    </w:rPr>
                  </w:pPr>
                  <w:r w:rsidRPr="001E3185">
                    <w:rPr>
                      <w:rFonts w:cs="Arial"/>
                    </w:rPr>
                    <w:t>1.27E-05</w:t>
                  </w:r>
                </w:p>
              </w:tc>
              <w:tc>
                <w:tcPr>
                  <w:tcW w:w="796" w:type="pct"/>
                  <w:shd w:val="clear" w:color="auto" w:fill="auto"/>
                  <w:vAlign w:val="bottom"/>
                </w:tcPr>
                <w:p w14:paraId="123BE232" w14:textId="77777777" w:rsidR="00692E71" w:rsidRPr="001E3185" w:rsidRDefault="00692E71" w:rsidP="00112DD6">
                  <w:pPr>
                    <w:framePr w:hSpace="141" w:wrap="around" w:vAnchor="text" w:hAnchor="text" w:y="1"/>
                    <w:suppressOverlap/>
                    <w:jc w:val="center"/>
                    <w:rPr>
                      <w:rFonts w:cs="Arial"/>
                    </w:rPr>
                  </w:pPr>
                  <w:r w:rsidRPr="001E3185">
                    <w:rPr>
                      <w:rFonts w:cs="Arial"/>
                    </w:rPr>
                    <w:t>1.27E-04</w:t>
                  </w:r>
                </w:p>
              </w:tc>
            </w:tr>
            <w:tr w:rsidR="00692E71" w:rsidRPr="001E3185" w14:paraId="3EA97837" w14:textId="77777777" w:rsidTr="008E0250">
              <w:trPr>
                <w:trHeight w:val="283"/>
              </w:trPr>
              <w:tc>
                <w:tcPr>
                  <w:tcW w:w="1302" w:type="pct"/>
                  <w:shd w:val="clear" w:color="auto" w:fill="auto"/>
                  <w:vAlign w:val="center"/>
                </w:tcPr>
                <w:p w14:paraId="182C26E5" w14:textId="77777777" w:rsidR="00692E71" w:rsidRPr="001E3185" w:rsidRDefault="00692E71" w:rsidP="00112DD6">
                  <w:pPr>
                    <w:framePr w:hSpace="141" w:wrap="around" w:vAnchor="text" w:hAnchor="text" w:y="1"/>
                    <w:suppressOverlap/>
                    <w:jc w:val="center"/>
                    <w:rPr>
                      <w:rFonts w:cs="Arial"/>
                    </w:rPr>
                  </w:pPr>
                  <w:r w:rsidRPr="001E3185">
                    <w:rPr>
                      <w:rFonts w:cs="Arial"/>
                    </w:rPr>
                    <w:t>Cypermethrin</w:t>
                  </w:r>
                </w:p>
              </w:tc>
              <w:tc>
                <w:tcPr>
                  <w:tcW w:w="1016" w:type="pct"/>
                  <w:shd w:val="clear" w:color="auto" w:fill="auto"/>
                  <w:vAlign w:val="bottom"/>
                </w:tcPr>
                <w:p w14:paraId="70DCE9D1" w14:textId="77777777" w:rsidR="00692E71" w:rsidRPr="001E3185" w:rsidRDefault="00692E71" w:rsidP="00112DD6">
                  <w:pPr>
                    <w:framePr w:hSpace="141" w:wrap="around" w:vAnchor="text" w:hAnchor="text" w:y="1"/>
                    <w:suppressOverlap/>
                    <w:jc w:val="center"/>
                    <w:rPr>
                      <w:rFonts w:cs="Arial"/>
                    </w:rPr>
                  </w:pPr>
                  <w:r w:rsidRPr="001E3185">
                    <w:rPr>
                      <w:rFonts w:cs="Arial"/>
                    </w:rPr>
                    <w:t>5.79E-06</w:t>
                  </w:r>
                </w:p>
              </w:tc>
              <w:tc>
                <w:tcPr>
                  <w:tcW w:w="872" w:type="pct"/>
                  <w:shd w:val="clear" w:color="auto" w:fill="auto"/>
                  <w:vAlign w:val="bottom"/>
                </w:tcPr>
                <w:p w14:paraId="6602F3D4" w14:textId="77777777" w:rsidR="00692E71" w:rsidRPr="001E3185" w:rsidRDefault="00692E71" w:rsidP="00112DD6">
                  <w:pPr>
                    <w:framePr w:hSpace="141" w:wrap="around" w:vAnchor="text" w:hAnchor="text" w:y="1"/>
                    <w:suppressOverlap/>
                    <w:jc w:val="center"/>
                    <w:rPr>
                      <w:rFonts w:cs="Arial"/>
                    </w:rPr>
                  </w:pPr>
                  <w:r w:rsidRPr="001E3185">
                    <w:rPr>
                      <w:rFonts w:cs="Arial"/>
                    </w:rPr>
                    <w:t>6.30E-05</w:t>
                  </w:r>
                </w:p>
              </w:tc>
              <w:tc>
                <w:tcPr>
                  <w:tcW w:w="1014" w:type="pct"/>
                  <w:shd w:val="clear" w:color="auto" w:fill="auto"/>
                  <w:vAlign w:val="bottom"/>
                </w:tcPr>
                <w:p w14:paraId="1A51046E" w14:textId="77777777" w:rsidR="00692E71" w:rsidRPr="001E3185" w:rsidRDefault="00692E71" w:rsidP="00112DD6">
                  <w:pPr>
                    <w:framePr w:hSpace="141" w:wrap="around" w:vAnchor="text" w:hAnchor="text" w:y="1"/>
                    <w:suppressOverlap/>
                    <w:jc w:val="center"/>
                    <w:rPr>
                      <w:rFonts w:cs="Arial"/>
                    </w:rPr>
                  </w:pPr>
                  <w:r w:rsidRPr="001E3185">
                    <w:rPr>
                      <w:rFonts w:cs="Arial"/>
                    </w:rPr>
                    <w:t>4.65E-06</w:t>
                  </w:r>
                </w:p>
              </w:tc>
              <w:tc>
                <w:tcPr>
                  <w:tcW w:w="796" w:type="pct"/>
                  <w:shd w:val="clear" w:color="auto" w:fill="auto"/>
                  <w:vAlign w:val="bottom"/>
                </w:tcPr>
                <w:p w14:paraId="31239F77" w14:textId="77777777" w:rsidR="00692E71" w:rsidRPr="001E3185" w:rsidRDefault="00692E71" w:rsidP="00112DD6">
                  <w:pPr>
                    <w:framePr w:hSpace="141" w:wrap="around" w:vAnchor="text" w:hAnchor="text" w:y="1"/>
                    <w:suppressOverlap/>
                    <w:jc w:val="center"/>
                    <w:rPr>
                      <w:rFonts w:cs="Arial"/>
                    </w:rPr>
                  </w:pPr>
                  <w:r w:rsidRPr="001E3185">
                    <w:rPr>
                      <w:rFonts w:cs="Arial"/>
                    </w:rPr>
                    <w:t>5.07E-05</w:t>
                  </w:r>
                </w:p>
              </w:tc>
            </w:tr>
            <w:tr w:rsidR="00692E71" w:rsidRPr="001E3185" w14:paraId="7F0D58AA" w14:textId="77777777" w:rsidTr="008E0250">
              <w:trPr>
                <w:trHeight w:val="283"/>
              </w:trPr>
              <w:tc>
                <w:tcPr>
                  <w:tcW w:w="1302" w:type="pct"/>
                  <w:shd w:val="clear" w:color="auto" w:fill="auto"/>
                  <w:vAlign w:val="center"/>
                </w:tcPr>
                <w:p w14:paraId="0675A39C" w14:textId="77777777" w:rsidR="00692E71" w:rsidRPr="001E3185" w:rsidRDefault="00692E71" w:rsidP="00112DD6">
                  <w:pPr>
                    <w:framePr w:hSpace="141" w:wrap="around" w:vAnchor="text" w:hAnchor="text" w:y="1"/>
                    <w:suppressOverlap/>
                    <w:jc w:val="center"/>
                    <w:rPr>
                      <w:rFonts w:cs="Arial"/>
                    </w:rPr>
                  </w:pPr>
                  <w:r w:rsidRPr="001E3185">
                    <w:rPr>
                      <w:rFonts w:cs="Arial"/>
                    </w:rPr>
                    <w:t>PBC</w:t>
                  </w:r>
                </w:p>
              </w:tc>
              <w:tc>
                <w:tcPr>
                  <w:tcW w:w="1016" w:type="pct"/>
                  <w:shd w:val="clear" w:color="auto" w:fill="auto"/>
                  <w:vAlign w:val="bottom"/>
                </w:tcPr>
                <w:p w14:paraId="6A12520A" w14:textId="77777777" w:rsidR="00692E71" w:rsidRPr="001E3185" w:rsidRDefault="00692E71" w:rsidP="00112DD6">
                  <w:pPr>
                    <w:framePr w:hSpace="141" w:wrap="around" w:vAnchor="text" w:hAnchor="text" w:y="1"/>
                    <w:suppressOverlap/>
                    <w:jc w:val="center"/>
                    <w:rPr>
                      <w:rFonts w:cs="Arial"/>
                    </w:rPr>
                  </w:pPr>
                  <w:r w:rsidRPr="001E3185">
                    <w:rPr>
                      <w:rFonts w:cs="Arial"/>
                    </w:rPr>
                    <w:t>3.53E-06</w:t>
                  </w:r>
                </w:p>
              </w:tc>
              <w:tc>
                <w:tcPr>
                  <w:tcW w:w="872" w:type="pct"/>
                  <w:shd w:val="clear" w:color="auto" w:fill="auto"/>
                  <w:vAlign w:val="bottom"/>
                </w:tcPr>
                <w:p w14:paraId="5BE23694" w14:textId="77777777" w:rsidR="00692E71" w:rsidRPr="001E3185" w:rsidRDefault="00692E71" w:rsidP="00112DD6">
                  <w:pPr>
                    <w:framePr w:hSpace="141" w:wrap="around" w:vAnchor="text" w:hAnchor="text" w:y="1"/>
                    <w:suppressOverlap/>
                    <w:jc w:val="center"/>
                    <w:rPr>
                      <w:rFonts w:cs="Arial"/>
                    </w:rPr>
                  </w:pPr>
                  <w:r w:rsidRPr="001E3185">
                    <w:rPr>
                      <w:rFonts w:cs="Arial"/>
                    </w:rPr>
                    <w:t>2.37E-05</w:t>
                  </w:r>
                </w:p>
              </w:tc>
              <w:tc>
                <w:tcPr>
                  <w:tcW w:w="1014" w:type="pct"/>
                  <w:shd w:val="clear" w:color="auto" w:fill="auto"/>
                  <w:vAlign w:val="bottom"/>
                </w:tcPr>
                <w:p w14:paraId="1054A9A7" w14:textId="77777777" w:rsidR="00692E71" w:rsidRPr="001E3185" w:rsidRDefault="00692E71" w:rsidP="00112DD6">
                  <w:pPr>
                    <w:framePr w:hSpace="141" w:wrap="around" w:vAnchor="text" w:hAnchor="text" w:y="1"/>
                    <w:suppressOverlap/>
                    <w:jc w:val="center"/>
                    <w:rPr>
                      <w:rFonts w:cs="Arial"/>
                    </w:rPr>
                  </w:pPr>
                  <w:r w:rsidRPr="001E3185">
                    <w:rPr>
                      <w:rFonts w:cs="Arial"/>
                    </w:rPr>
                    <w:t>1.80E-07</w:t>
                  </w:r>
                </w:p>
              </w:tc>
              <w:tc>
                <w:tcPr>
                  <w:tcW w:w="796" w:type="pct"/>
                  <w:shd w:val="clear" w:color="auto" w:fill="auto"/>
                  <w:vAlign w:val="bottom"/>
                </w:tcPr>
                <w:p w14:paraId="1AFD3600" w14:textId="77777777" w:rsidR="00692E71" w:rsidRPr="001E3185" w:rsidRDefault="00692E71" w:rsidP="00112DD6">
                  <w:pPr>
                    <w:framePr w:hSpace="141" w:wrap="around" w:vAnchor="text" w:hAnchor="text" w:y="1"/>
                    <w:suppressOverlap/>
                    <w:jc w:val="center"/>
                    <w:rPr>
                      <w:rFonts w:cs="Arial"/>
                    </w:rPr>
                  </w:pPr>
                  <w:r w:rsidRPr="001E3185">
                    <w:rPr>
                      <w:rFonts w:cs="Arial"/>
                    </w:rPr>
                    <w:t>1.21E-06</w:t>
                  </w:r>
                </w:p>
              </w:tc>
            </w:tr>
            <w:tr w:rsidR="00692E71" w:rsidRPr="001E3185" w14:paraId="044BAEA9" w14:textId="77777777" w:rsidTr="008E0250">
              <w:trPr>
                <w:trHeight w:val="283"/>
              </w:trPr>
              <w:tc>
                <w:tcPr>
                  <w:tcW w:w="1302" w:type="pct"/>
                  <w:shd w:val="clear" w:color="auto" w:fill="auto"/>
                  <w:vAlign w:val="center"/>
                </w:tcPr>
                <w:p w14:paraId="3E0F7A94" w14:textId="77777777" w:rsidR="00692E71" w:rsidRPr="001E3185" w:rsidRDefault="00692E71" w:rsidP="00112DD6">
                  <w:pPr>
                    <w:framePr w:hSpace="141" w:wrap="around" w:vAnchor="text" w:hAnchor="text" w:y="1"/>
                    <w:suppressOverlap/>
                    <w:jc w:val="center"/>
                    <w:rPr>
                      <w:rFonts w:cs="Arial"/>
                    </w:rPr>
                  </w:pPr>
                  <w:r w:rsidRPr="001E3185">
                    <w:rPr>
                      <w:rFonts w:cs="Arial"/>
                      <w:b/>
                      <w:sz w:val="18"/>
                      <w:szCs w:val="18"/>
                      <w:lang w:eastAsia="en-GB"/>
                    </w:rPr>
                    <w:lastRenderedPageBreak/>
                    <w:t></w:t>
                  </w:r>
                  <w:r w:rsidRPr="001E3185">
                    <w:rPr>
                      <w:rFonts w:cs="Arial"/>
                    </w:rPr>
                    <w:t>PEC/ PNEC</w:t>
                  </w:r>
                </w:p>
              </w:tc>
              <w:tc>
                <w:tcPr>
                  <w:tcW w:w="1016" w:type="pct"/>
                  <w:shd w:val="clear" w:color="auto" w:fill="auto"/>
                  <w:vAlign w:val="center"/>
                </w:tcPr>
                <w:p w14:paraId="72DE4D50" w14:textId="77777777" w:rsidR="00692E71" w:rsidRPr="001E3185" w:rsidRDefault="00692E71" w:rsidP="00112DD6">
                  <w:pPr>
                    <w:framePr w:hSpace="141" w:wrap="around" w:vAnchor="text" w:hAnchor="text" w:y="1"/>
                    <w:suppressOverlap/>
                    <w:jc w:val="center"/>
                    <w:rPr>
                      <w:rFonts w:cs="Arial"/>
                    </w:rPr>
                  </w:pPr>
                </w:p>
              </w:tc>
              <w:tc>
                <w:tcPr>
                  <w:tcW w:w="872" w:type="pct"/>
                  <w:shd w:val="clear" w:color="auto" w:fill="auto"/>
                  <w:vAlign w:val="bottom"/>
                </w:tcPr>
                <w:p w14:paraId="5548F630" w14:textId="77777777" w:rsidR="00692E71" w:rsidRPr="001E3185" w:rsidRDefault="00692E71" w:rsidP="00112DD6">
                  <w:pPr>
                    <w:framePr w:hSpace="141" w:wrap="around" w:vAnchor="text" w:hAnchor="text" w:y="1"/>
                    <w:suppressOverlap/>
                    <w:jc w:val="center"/>
                    <w:rPr>
                      <w:rFonts w:cs="Arial"/>
                    </w:rPr>
                  </w:pPr>
                  <w:r w:rsidRPr="001E3185">
                    <w:rPr>
                      <w:rFonts w:cs="Arial"/>
                    </w:rPr>
                    <w:t>3.62E-03</w:t>
                  </w:r>
                </w:p>
              </w:tc>
              <w:tc>
                <w:tcPr>
                  <w:tcW w:w="1014" w:type="pct"/>
                  <w:shd w:val="clear" w:color="auto" w:fill="auto"/>
                  <w:vAlign w:val="center"/>
                </w:tcPr>
                <w:p w14:paraId="6B1980A7" w14:textId="77777777" w:rsidR="00692E71" w:rsidRPr="001E3185" w:rsidRDefault="00692E71" w:rsidP="00112DD6">
                  <w:pPr>
                    <w:framePr w:hSpace="141" w:wrap="around" w:vAnchor="text" w:hAnchor="text" w:y="1"/>
                    <w:suppressOverlap/>
                    <w:jc w:val="center"/>
                    <w:rPr>
                      <w:rFonts w:cs="Arial"/>
                    </w:rPr>
                  </w:pPr>
                </w:p>
              </w:tc>
              <w:tc>
                <w:tcPr>
                  <w:tcW w:w="796" w:type="pct"/>
                  <w:shd w:val="clear" w:color="auto" w:fill="auto"/>
                  <w:vAlign w:val="bottom"/>
                </w:tcPr>
                <w:p w14:paraId="4C69721D" w14:textId="77777777" w:rsidR="00692E71" w:rsidRPr="001E3185" w:rsidRDefault="00692E71" w:rsidP="00112DD6">
                  <w:pPr>
                    <w:framePr w:hSpace="141" w:wrap="around" w:vAnchor="text" w:hAnchor="text" w:y="1"/>
                    <w:suppressOverlap/>
                    <w:jc w:val="center"/>
                    <w:rPr>
                      <w:rFonts w:cs="Arial"/>
                    </w:rPr>
                  </w:pPr>
                  <w:r w:rsidRPr="001E3185">
                    <w:rPr>
                      <w:rFonts w:cs="Arial"/>
                    </w:rPr>
                    <w:t>2.29E-06</w:t>
                  </w:r>
                </w:p>
              </w:tc>
            </w:tr>
          </w:tbl>
          <w:p w14:paraId="667840FD" w14:textId="77777777" w:rsidR="00692E71" w:rsidRPr="001E3185" w:rsidRDefault="00692E71" w:rsidP="008E0250">
            <w:pPr>
              <w:autoSpaceDE w:val="0"/>
              <w:autoSpaceDN w:val="0"/>
              <w:spacing w:line="276" w:lineRule="auto"/>
              <w:rPr>
                <w:rFonts w:cs="Arial"/>
                <w:lang w:eastAsia="en-GB"/>
              </w:rPr>
            </w:pPr>
          </w:p>
          <w:p w14:paraId="2E622192"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Considering that all PEC/PNEC ratios for terrestrial compartment are below 1, the risk for the terrestrial compartment is considered acceptable during the service life of treated wood following indirect emissions </w:t>
            </w:r>
            <w:r w:rsidRPr="001E3185">
              <w:rPr>
                <w:rFonts w:cs="Arial"/>
                <w:i/>
                <w:lang w:eastAsia="en-GB"/>
              </w:rPr>
              <w:t>via</w:t>
            </w:r>
            <w:r w:rsidRPr="001E3185">
              <w:rPr>
                <w:rFonts w:cs="Arial"/>
                <w:lang w:eastAsia="en-GB"/>
              </w:rPr>
              <w:t xml:space="preserve"> the STP.</w:t>
            </w:r>
          </w:p>
          <w:p w14:paraId="05AEBAF4" w14:textId="77777777" w:rsidR="00692E71" w:rsidRPr="001E3185" w:rsidRDefault="00692E71" w:rsidP="008E0250">
            <w:pPr>
              <w:autoSpaceDE w:val="0"/>
              <w:autoSpaceDN w:val="0"/>
              <w:spacing w:line="276" w:lineRule="auto"/>
              <w:rPr>
                <w:rFonts w:cs="Arial"/>
              </w:rPr>
            </w:pPr>
          </w:p>
          <w:p w14:paraId="1B46DF1C" w14:textId="77777777" w:rsidR="00692E71" w:rsidRPr="001E3185" w:rsidRDefault="00692E71" w:rsidP="008E0250">
            <w:pPr>
              <w:autoSpaceDE w:val="0"/>
              <w:autoSpaceDN w:val="0"/>
              <w:spacing w:line="276" w:lineRule="auto"/>
              <w:rPr>
                <w:rFonts w:cs="Arial"/>
                <w:lang w:eastAsia="en-GB"/>
              </w:rPr>
            </w:pPr>
            <w:r w:rsidRPr="001E3185">
              <w:rPr>
                <w:rFonts w:cs="Arial"/>
              </w:rPr>
              <w:t>For the metabolite 1</w:t>
            </w:r>
            <w:proofErr w:type="gramStart"/>
            <w:r w:rsidRPr="001E3185">
              <w:rPr>
                <w:rFonts w:cs="Arial"/>
              </w:rPr>
              <w:t>,2,4</w:t>
            </w:r>
            <w:proofErr w:type="gramEnd"/>
            <w:r w:rsidRPr="001E3185">
              <w:rPr>
                <w:rFonts w:cs="Arial"/>
              </w:rPr>
              <w:t xml:space="preserve">-triazole, the risk assessment conducted for the house scenario covers the noise barrier emissions. Therefore the risks considering this metabolite are also acceptable for indirect releases </w:t>
            </w:r>
            <w:r w:rsidRPr="001E3185">
              <w:rPr>
                <w:rFonts w:cs="Arial"/>
                <w:i/>
              </w:rPr>
              <w:t xml:space="preserve">via </w:t>
            </w:r>
            <w:r w:rsidRPr="001E3185">
              <w:rPr>
                <w:rFonts w:cs="Arial"/>
              </w:rPr>
              <w:t>the STP.</w:t>
            </w:r>
          </w:p>
        </w:tc>
      </w:tr>
    </w:tbl>
    <w:p w14:paraId="13EA7350" w14:textId="77777777" w:rsidR="00692E71" w:rsidRPr="00EC0D24" w:rsidRDefault="00692E71" w:rsidP="00692E71">
      <w:pPr>
        <w:pStyle w:val="En-tte"/>
        <w:rPr>
          <w:rFonts w:ascii="Verdana" w:hAnsi="Verdana" w:cs="Arial"/>
        </w:rPr>
      </w:pPr>
    </w:p>
    <w:p w14:paraId="24567285" w14:textId="77777777" w:rsidR="00692E71" w:rsidRPr="00EC0D24" w:rsidRDefault="00692E71" w:rsidP="00692E71">
      <w:pPr>
        <w:pStyle w:val="En-tte"/>
        <w:rPr>
          <w:rFonts w:cs="Arial"/>
        </w:rPr>
      </w:pPr>
    </w:p>
    <w:p w14:paraId="23742379" w14:textId="77777777" w:rsidR="00692E71" w:rsidRPr="00FE0AC8" w:rsidRDefault="00692E71" w:rsidP="00FE0AC8">
      <w:pPr>
        <w:pStyle w:val="Titre5"/>
      </w:pPr>
      <w:bookmarkStart w:id="152" w:name="_Toc420432121"/>
      <w:r w:rsidRPr="00FE0AC8">
        <w:t>Groundwater compartment</w:t>
      </w:r>
      <w:bookmarkEnd w:id="152"/>
    </w:p>
    <w:p w14:paraId="3981938D" w14:textId="77777777" w:rsidR="00692E71" w:rsidRPr="001E3185" w:rsidRDefault="00692E71" w:rsidP="00692E71">
      <w:pPr>
        <w:pStyle w:val="En-tte"/>
        <w:rPr>
          <w:rFonts w:ascii="Verdana" w:hAnsi="Verdana" w:cs="Arial"/>
        </w:rPr>
      </w:pPr>
    </w:p>
    <w:p w14:paraId="3B0663B6" w14:textId="77777777" w:rsidR="00692E71" w:rsidRPr="001E3185" w:rsidRDefault="00692E71" w:rsidP="00692E71">
      <w:pPr>
        <w:rPr>
          <w:rFonts w:cs="Arial"/>
        </w:rPr>
      </w:pPr>
      <w:r w:rsidRPr="001E3185">
        <w:rPr>
          <w:rFonts w:cs="Arial"/>
        </w:rPr>
        <w:t xml:space="preserve">As an indication for potential groundwater concentrations, the concentrations in pore water have been calculated. </w:t>
      </w:r>
    </w:p>
    <w:p w14:paraId="7F2C0EA3" w14:textId="77777777" w:rsidR="00692E71" w:rsidRPr="001E3185" w:rsidRDefault="00692E71" w:rsidP="00692E71">
      <w:pPr>
        <w:rPr>
          <w:rStyle w:val="Marquedecommentaire"/>
          <w:rFonts w:cs="Arial"/>
        </w:rPr>
      </w:pPr>
      <w:r w:rsidRPr="001E3185">
        <w:rPr>
          <w:rFonts w:cs="Arial"/>
        </w:rPr>
        <w:t>For IPBC and cypermethrin, PEC</w:t>
      </w:r>
      <w:r w:rsidRPr="001E3185">
        <w:rPr>
          <w:rFonts w:cs="Arial"/>
          <w:vertAlign w:val="subscript"/>
        </w:rPr>
        <w:t>porewater</w:t>
      </w:r>
      <w:r w:rsidRPr="001E3185">
        <w:rPr>
          <w:rFonts w:cs="Arial"/>
        </w:rPr>
        <w:t xml:space="preserve"> values are below </w:t>
      </w:r>
      <w:r w:rsidRPr="001E3185">
        <w:rPr>
          <w:rStyle w:val="Marquedecommentaire"/>
          <w:rFonts w:cs="Arial"/>
        </w:rPr>
        <w:t>the limit for drinking water (0.1 µg/L) for all scenarios when taking removal processes into account.</w:t>
      </w:r>
    </w:p>
    <w:p w14:paraId="583A7508" w14:textId="77777777" w:rsidR="00692E71" w:rsidRPr="001E3185" w:rsidRDefault="00692E71" w:rsidP="00692E71">
      <w:pPr>
        <w:rPr>
          <w:rStyle w:val="Marquedecommentaire"/>
          <w:rFonts w:cs="Arial"/>
        </w:rPr>
      </w:pPr>
    </w:p>
    <w:p w14:paraId="55A88A73" w14:textId="77777777" w:rsidR="00692E71" w:rsidRPr="001E3185" w:rsidRDefault="00692E71" w:rsidP="00692E71">
      <w:pPr>
        <w:rPr>
          <w:rStyle w:val="Marquedecommentaire"/>
          <w:rFonts w:cs="Arial"/>
        </w:rPr>
      </w:pPr>
      <w:r w:rsidRPr="001E3185">
        <w:rPr>
          <w:rFonts w:cs="Arial"/>
        </w:rPr>
        <w:t>For propiconazole and tebuconazole, PECs in pore water are above the threshold value of 0.1 µg/L, even when removal is taken into account. Therefore, a groundwater risk assessment was performed according to FOCUS PEARL 4.4.4</w:t>
      </w:r>
      <w:r w:rsidRPr="001E3185">
        <w:rPr>
          <w:rStyle w:val="Marquedecommentaire"/>
          <w:rFonts w:cs="Arial"/>
        </w:rPr>
        <w:t xml:space="preserve"> for propiconazole and tebuconazole. </w:t>
      </w:r>
    </w:p>
    <w:p w14:paraId="3DD42FC0" w14:textId="77777777" w:rsidR="00692E71" w:rsidRPr="0039605F" w:rsidRDefault="00692E71" w:rsidP="00692E71">
      <w:pPr>
        <w:rPr>
          <w:rStyle w:val="Marquedecommentaire"/>
          <w:rFonts w:cs="Arial"/>
          <w:sz w:val="20"/>
          <w:szCs w:val="20"/>
        </w:rPr>
      </w:pPr>
    </w:p>
    <w:p w14:paraId="1038A7A7" w14:textId="77777777" w:rsidR="00692E71" w:rsidRPr="0039605F" w:rsidRDefault="00692E71" w:rsidP="00692E71">
      <w:pPr>
        <w:rPr>
          <w:rStyle w:val="Marquedecommentaire"/>
          <w:rFonts w:cs="Arial"/>
          <w:sz w:val="20"/>
          <w:szCs w:val="20"/>
        </w:rPr>
      </w:pPr>
      <w:r w:rsidRPr="0039605F">
        <w:rPr>
          <w:rStyle w:val="Marquedecommentaire"/>
          <w:rFonts w:cs="Arial"/>
          <w:sz w:val="20"/>
          <w:szCs w:val="20"/>
        </w:rPr>
        <w:t>A groundwater risk assessment of PBC and 1</w:t>
      </w:r>
      <w:proofErr w:type="gramStart"/>
      <w:r w:rsidRPr="0039605F">
        <w:rPr>
          <w:rStyle w:val="Marquedecommentaire"/>
          <w:rFonts w:cs="Arial"/>
          <w:sz w:val="20"/>
          <w:szCs w:val="20"/>
        </w:rPr>
        <w:t>,2,4</w:t>
      </w:r>
      <w:proofErr w:type="gramEnd"/>
      <w:r w:rsidRPr="0039605F">
        <w:rPr>
          <w:rStyle w:val="Marquedecommentaire"/>
          <w:rFonts w:cs="Arial"/>
          <w:sz w:val="20"/>
          <w:szCs w:val="20"/>
        </w:rPr>
        <w:t>-triazole was also performed since these metabolites may be present in amounts close to or above 10% of the mother molecule.</w:t>
      </w:r>
    </w:p>
    <w:p w14:paraId="68846F68" w14:textId="77777777" w:rsidR="00692E71" w:rsidRPr="0039605F" w:rsidRDefault="00692E71" w:rsidP="00692E71">
      <w:pPr>
        <w:rPr>
          <w:rStyle w:val="Marquedecommentaire"/>
          <w:rFonts w:cs="Arial"/>
          <w:sz w:val="20"/>
          <w:szCs w:val="20"/>
        </w:rPr>
      </w:pPr>
    </w:p>
    <w:p w14:paraId="3BB2DC65" w14:textId="77777777" w:rsidR="00692E71" w:rsidRPr="0039605F" w:rsidRDefault="00692E71" w:rsidP="00692E71">
      <w:pPr>
        <w:rPr>
          <w:rStyle w:val="Marquedecommentaire"/>
          <w:rFonts w:cs="Arial"/>
          <w:sz w:val="20"/>
          <w:szCs w:val="20"/>
        </w:rPr>
      </w:pPr>
      <w:r w:rsidRPr="0039605F">
        <w:rPr>
          <w:rStyle w:val="Marquedecommentaire"/>
          <w:rFonts w:cs="Arial"/>
          <w:sz w:val="20"/>
          <w:szCs w:val="20"/>
        </w:rPr>
        <w:t xml:space="preserve">The results of the FOCUS PEARL 4.4.4 calculations showed that tebuconazole, propiconazole and their relevant metabolites are not expected to reach groundwater. </w:t>
      </w:r>
    </w:p>
    <w:p w14:paraId="57BDF2F2" w14:textId="77777777" w:rsidR="00692E71" w:rsidRPr="0039605F" w:rsidRDefault="00692E71" w:rsidP="00692E71">
      <w:pPr>
        <w:rPr>
          <w:rStyle w:val="Marquedecommentaire"/>
          <w:rFonts w:cs="Arial"/>
          <w:sz w:val="20"/>
          <w:szCs w:val="20"/>
        </w:rPr>
      </w:pPr>
    </w:p>
    <w:p w14:paraId="2D1E091A" w14:textId="77777777" w:rsidR="00692E71" w:rsidRPr="0039605F" w:rsidRDefault="00692E71" w:rsidP="00692E71">
      <w:pPr>
        <w:rPr>
          <w:rStyle w:val="Marquedecommentaire"/>
          <w:rFonts w:cs="Arial"/>
          <w:sz w:val="20"/>
          <w:szCs w:val="20"/>
        </w:rPr>
      </w:pPr>
      <w:r w:rsidRPr="0039605F">
        <w:rPr>
          <w:rStyle w:val="Marquedecommentaire"/>
          <w:rFonts w:cs="Arial"/>
          <w:sz w:val="20"/>
          <w:szCs w:val="20"/>
        </w:rPr>
        <w:t>Therefore, no risk for groundwater is expected when using the product according to the label recommendations.</w:t>
      </w:r>
    </w:p>
    <w:p w14:paraId="74500674" w14:textId="77777777" w:rsidR="00692E71" w:rsidRPr="00FE333D" w:rsidRDefault="00692E71" w:rsidP="00692E71">
      <w:pPr>
        <w:pStyle w:val="En-tte"/>
        <w:rPr>
          <w:rFonts w:ascii="Verdana" w:hAnsi="Verdana"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92E71" w:rsidRPr="001E3185" w14:paraId="1B5FBD3C" w14:textId="77777777" w:rsidTr="008E0250">
        <w:tc>
          <w:tcPr>
            <w:tcW w:w="9919" w:type="dxa"/>
            <w:shd w:val="clear" w:color="auto" w:fill="D6E3BC"/>
          </w:tcPr>
          <w:p w14:paraId="3D149271"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11</w:t>
            </w:r>
            <w:r w:rsidRPr="001E3185">
              <w:rPr>
                <w:rFonts w:ascii="Verdana" w:hAnsi="Verdana"/>
              </w:rPr>
              <w:fldChar w:fldCharType="end"/>
            </w:r>
          </w:p>
          <w:p w14:paraId="5942CE18" w14:textId="77777777" w:rsidR="00692E71" w:rsidRPr="001E3185" w:rsidRDefault="00692E71" w:rsidP="008E0250">
            <w:pPr>
              <w:autoSpaceDE w:val="0"/>
              <w:autoSpaceDN w:val="0"/>
              <w:rPr>
                <w:rFonts w:cs="Arial"/>
                <w:b/>
                <w:u w:val="single"/>
              </w:rPr>
            </w:pPr>
            <w:r w:rsidRPr="001E3185">
              <w:rPr>
                <w:rFonts w:cs="Arial"/>
                <w:b/>
                <w:u w:val="single"/>
              </w:rPr>
              <w:t>Groundwater compartment</w:t>
            </w:r>
          </w:p>
          <w:p w14:paraId="72E94EC6" w14:textId="77777777" w:rsidR="00692E71" w:rsidRPr="001E3185" w:rsidRDefault="00692E71" w:rsidP="008E0250">
            <w:pPr>
              <w:autoSpaceDE w:val="0"/>
              <w:autoSpaceDN w:val="0"/>
              <w:rPr>
                <w:rFonts w:cs="Arial"/>
              </w:rPr>
            </w:pPr>
          </w:p>
          <w:p w14:paraId="7B7FFCE2" w14:textId="77777777" w:rsidR="00692E71" w:rsidRPr="001E3185" w:rsidRDefault="00692E71" w:rsidP="008E0250">
            <w:pPr>
              <w:autoSpaceDE w:val="0"/>
              <w:autoSpaceDN w:val="0"/>
              <w:rPr>
                <w:rFonts w:cs="Arial"/>
              </w:rPr>
            </w:pPr>
            <w:r w:rsidRPr="001E3185">
              <w:rPr>
                <w:rFonts w:cs="Arial"/>
              </w:rPr>
              <w:t>The estimated concentrations of active substances, and their relevant degradation products, in the groundwater compartment, were calculated with the FOCUS PEARL v.4.4.4 software.</w:t>
            </w:r>
          </w:p>
          <w:p w14:paraId="78156D26" w14:textId="77777777" w:rsidR="00692E71" w:rsidRPr="001E3185" w:rsidRDefault="00692E71" w:rsidP="008E0250">
            <w:pPr>
              <w:autoSpaceDE w:val="0"/>
              <w:autoSpaceDN w:val="0"/>
              <w:rPr>
                <w:rFonts w:cs="Arial"/>
              </w:rPr>
            </w:pPr>
          </w:p>
          <w:p w14:paraId="69093F2B" w14:textId="77777777" w:rsidR="00692E71" w:rsidRPr="001E3185" w:rsidRDefault="00692E71" w:rsidP="008E0250">
            <w:pPr>
              <w:autoSpaceDE w:val="0"/>
              <w:autoSpaceDN w:val="0"/>
              <w:rPr>
                <w:rFonts w:cs="Arial"/>
              </w:rPr>
            </w:pPr>
            <w:r w:rsidRPr="001E3185">
              <w:rPr>
                <w:rFonts w:cs="Arial"/>
              </w:rPr>
              <w:t>The calculated PEC</w:t>
            </w:r>
            <w:r w:rsidRPr="001E3185">
              <w:rPr>
                <w:rFonts w:cs="Arial"/>
                <w:vertAlign w:val="subscript"/>
              </w:rPr>
              <w:t>groudwater</w:t>
            </w:r>
            <w:r w:rsidRPr="001E3185">
              <w:rPr>
                <w:rFonts w:cs="Arial"/>
              </w:rPr>
              <w:t xml:space="preserve"> have been compared to the drinking water standard for pesticides (set at 0.1 μg/L) for each relevant substance. For all 9 EU scenarios, PECgroundwater are all below 0.1 µg/L.</w:t>
            </w:r>
          </w:p>
          <w:p w14:paraId="22C931E9" w14:textId="77777777" w:rsidR="00692E71" w:rsidRPr="001E3185" w:rsidRDefault="00692E71" w:rsidP="008E0250">
            <w:pPr>
              <w:autoSpaceDE w:val="0"/>
              <w:autoSpaceDN w:val="0"/>
              <w:rPr>
                <w:rFonts w:cs="Arial"/>
              </w:rPr>
            </w:pPr>
          </w:p>
          <w:p w14:paraId="1B8C7098" w14:textId="77777777" w:rsidR="00692E71" w:rsidRPr="001E3185" w:rsidRDefault="00692E71" w:rsidP="008E0250">
            <w:pPr>
              <w:autoSpaceDE w:val="0"/>
              <w:autoSpaceDN w:val="0"/>
              <w:rPr>
                <w:rFonts w:cs="Arial"/>
              </w:rPr>
            </w:pPr>
            <w:r w:rsidRPr="001E3185">
              <w:rPr>
                <w:rFonts w:cs="Arial"/>
              </w:rPr>
              <w:t>Based on these results, it can be concluded that the use of the product will not pose a significant risk of groundwater contamination.</w:t>
            </w:r>
          </w:p>
          <w:p w14:paraId="75C82C7D" w14:textId="77777777" w:rsidR="00692E71" w:rsidRPr="001E3185" w:rsidRDefault="00692E71" w:rsidP="008E0250">
            <w:pPr>
              <w:autoSpaceDE w:val="0"/>
              <w:autoSpaceDN w:val="0"/>
              <w:rPr>
                <w:rFonts w:cs="Arial"/>
              </w:rPr>
            </w:pPr>
          </w:p>
        </w:tc>
      </w:tr>
    </w:tbl>
    <w:p w14:paraId="42EB6A28" w14:textId="77777777" w:rsidR="00692E71" w:rsidRPr="00FE333D" w:rsidRDefault="00692E71" w:rsidP="00692E71">
      <w:pPr>
        <w:pStyle w:val="En-tte"/>
        <w:rPr>
          <w:rFonts w:ascii="Verdana" w:hAnsi="Verdana" w:cs="Arial"/>
          <w:lang w:val="en-US"/>
        </w:rPr>
      </w:pPr>
    </w:p>
    <w:p w14:paraId="5C5465AF" w14:textId="77777777" w:rsidR="00692E71" w:rsidRPr="00FE333D" w:rsidRDefault="00692E71" w:rsidP="00692E71">
      <w:pPr>
        <w:pStyle w:val="En-tte"/>
        <w:rPr>
          <w:rFonts w:ascii="Verdana" w:hAnsi="Verdana" w:cs="Arial"/>
          <w:lang w:val="en-US"/>
        </w:rPr>
      </w:pPr>
    </w:p>
    <w:p w14:paraId="2CCDCCA8" w14:textId="77777777" w:rsidR="00692E71" w:rsidRPr="00FE333D" w:rsidRDefault="00692E71" w:rsidP="00692E71">
      <w:pPr>
        <w:pStyle w:val="En-tte"/>
        <w:rPr>
          <w:rFonts w:cs="Arial"/>
          <w:b/>
          <w:lang w:val="en-US"/>
        </w:rPr>
      </w:pPr>
    </w:p>
    <w:p w14:paraId="6E3119F4" w14:textId="77777777" w:rsidR="00692E71" w:rsidRPr="00FE0AC8" w:rsidRDefault="00692E71" w:rsidP="00FE0AC8">
      <w:pPr>
        <w:pStyle w:val="Titre5"/>
      </w:pPr>
      <w:bookmarkStart w:id="153" w:name="_Toc420432122"/>
      <w:bookmarkStart w:id="154" w:name="_Toc238543521"/>
      <w:r w:rsidRPr="00FE0AC8">
        <w:t>Atmospheric compartment</w:t>
      </w:r>
      <w:bookmarkEnd w:id="153"/>
    </w:p>
    <w:p w14:paraId="6CBD8612" w14:textId="77777777" w:rsidR="00692E71" w:rsidRPr="001E3185" w:rsidRDefault="00692E71" w:rsidP="00692E71">
      <w:pPr>
        <w:rPr>
          <w:rFonts w:cs="Arial"/>
        </w:rPr>
      </w:pPr>
    </w:p>
    <w:p w14:paraId="3DCD580D" w14:textId="77777777" w:rsidR="00692E71" w:rsidRPr="001E3185" w:rsidRDefault="00692E71" w:rsidP="00692E71">
      <w:pPr>
        <w:rPr>
          <w:rFonts w:cs="Arial"/>
          <w:u w:val="single"/>
        </w:rPr>
      </w:pPr>
      <w:r w:rsidRPr="001E3185">
        <w:rPr>
          <w:rFonts w:cs="Arial"/>
          <w:u w:val="single"/>
        </w:rPr>
        <w:t>IPBC:</w:t>
      </w:r>
    </w:p>
    <w:p w14:paraId="09B7B9C7" w14:textId="77777777" w:rsidR="00692E71" w:rsidRPr="001E3185" w:rsidRDefault="00692E71" w:rsidP="00692E71">
      <w:pPr>
        <w:rPr>
          <w:rFonts w:cs="Arial"/>
        </w:rPr>
      </w:pPr>
      <w:r w:rsidRPr="001E3185">
        <w:rPr>
          <w:rFonts w:cs="Arial"/>
        </w:rPr>
        <w:t>Air will not be an environmental compartment of concern for IPBC used in wood preservatives because of the low vapour pressure of this compound. It should also be noted that the calculated DT</w:t>
      </w:r>
      <w:r w:rsidRPr="001E3185">
        <w:rPr>
          <w:rFonts w:cs="Arial"/>
          <w:vertAlign w:val="subscript"/>
        </w:rPr>
        <w:t>50</w:t>
      </w:r>
      <w:r w:rsidRPr="001E3185">
        <w:rPr>
          <w:rFonts w:cs="Arial"/>
        </w:rPr>
        <w:t xml:space="preserve"> of IPBC in air is only about 15 hours and is therefore not considered persistent in air.</w:t>
      </w:r>
    </w:p>
    <w:p w14:paraId="685EAC9B" w14:textId="77777777" w:rsidR="00692E71" w:rsidRPr="001E3185" w:rsidRDefault="00692E71" w:rsidP="00692E71">
      <w:pPr>
        <w:rPr>
          <w:rFonts w:cs="Arial"/>
        </w:rPr>
      </w:pPr>
    </w:p>
    <w:p w14:paraId="1310A1AF" w14:textId="77777777" w:rsidR="00692E71" w:rsidRPr="001E3185" w:rsidRDefault="00692E71" w:rsidP="00692E71">
      <w:pPr>
        <w:rPr>
          <w:rFonts w:cs="Arial"/>
        </w:rPr>
      </w:pPr>
      <w:r w:rsidRPr="001E3185">
        <w:rPr>
          <w:rFonts w:cs="Arial"/>
          <w:u w:val="single"/>
        </w:rPr>
        <w:t>Propiconazole and tebuconazole</w:t>
      </w:r>
      <w:r w:rsidRPr="001E3185">
        <w:rPr>
          <w:rFonts w:cs="Arial"/>
        </w:rPr>
        <w:t>:</w:t>
      </w:r>
    </w:p>
    <w:p w14:paraId="00177538" w14:textId="77777777" w:rsidR="00692E71" w:rsidRPr="001E3185" w:rsidRDefault="00692E71" w:rsidP="00692E71">
      <w:pPr>
        <w:rPr>
          <w:rFonts w:cs="Arial"/>
        </w:rPr>
      </w:pPr>
      <w:r w:rsidRPr="001E3185">
        <w:rPr>
          <w:rFonts w:cs="Arial"/>
        </w:rPr>
        <w:lastRenderedPageBreak/>
        <w:t>According to the vapour pressure and the Henry’s law constant of propiconazole and tebuconazole the atmosphere is not a compartment of concern for these compounds.</w:t>
      </w:r>
    </w:p>
    <w:p w14:paraId="1EF89321" w14:textId="77777777" w:rsidR="00692E71" w:rsidRPr="001E3185" w:rsidRDefault="00692E71" w:rsidP="00692E71">
      <w:pPr>
        <w:rPr>
          <w:rFonts w:cs="Arial"/>
        </w:rPr>
      </w:pPr>
    </w:p>
    <w:p w14:paraId="41310BCB" w14:textId="77777777" w:rsidR="00692E71" w:rsidRPr="001E3185" w:rsidRDefault="00692E71" w:rsidP="00692E71">
      <w:pPr>
        <w:rPr>
          <w:rFonts w:cs="Arial"/>
        </w:rPr>
      </w:pPr>
      <w:r w:rsidRPr="001E3185">
        <w:rPr>
          <w:rFonts w:cs="Arial"/>
          <w:u w:val="single"/>
        </w:rPr>
        <w:t>Cypermethrin</w:t>
      </w:r>
      <w:r w:rsidRPr="001E3185">
        <w:rPr>
          <w:rFonts w:cs="Arial"/>
        </w:rPr>
        <w:t>:</w:t>
      </w:r>
    </w:p>
    <w:p w14:paraId="119E31B5" w14:textId="77777777" w:rsidR="00692E71" w:rsidRPr="001E3185" w:rsidRDefault="00692E71" w:rsidP="00692E71">
      <w:pPr>
        <w:rPr>
          <w:rFonts w:cs="Arial"/>
        </w:rPr>
      </w:pPr>
      <w:r w:rsidRPr="001E3185">
        <w:rPr>
          <w:rFonts w:cs="Arial"/>
        </w:rPr>
        <w:t>Cypermethrin has a low volatility and emissions to the air compartment are expected to be low.</w:t>
      </w:r>
    </w:p>
    <w:p w14:paraId="7CE5A0C0" w14:textId="77777777" w:rsidR="00692E71" w:rsidRPr="001E3185" w:rsidRDefault="00692E71" w:rsidP="00692E71">
      <w:pPr>
        <w:rPr>
          <w:rFonts w:cs="Arial"/>
        </w:rPr>
      </w:pPr>
    </w:p>
    <w:p w14:paraId="1054E834" w14:textId="77777777" w:rsidR="00692E71" w:rsidRPr="001E3185" w:rsidRDefault="00692E71" w:rsidP="00692E71">
      <w:pPr>
        <w:rPr>
          <w:rFonts w:cs="Arial"/>
        </w:rPr>
      </w:pPr>
      <w:r w:rsidRPr="001E3185">
        <w:rPr>
          <w:rFonts w:cs="Arial"/>
        </w:rPr>
        <w:t>Therefore, no risk is foreseen for the atmospheric compartment when using the product according to the label recommendations.</w:t>
      </w:r>
    </w:p>
    <w:p w14:paraId="245CCF82" w14:textId="77777777" w:rsidR="00692E71" w:rsidRPr="001E3185" w:rsidRDefault="00692E71" w:rsidP="00692E71">
      <w:pPr>
        <w:rPr>
          <w:rFonts w:cs="Arial"/>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769"/>
      </w:tblGrid>
      <w:tr w:rsidR="00692E71" w:rsidRPr="001E3185" w14:paraId="1748B676" w14:textId="77777777" w:rsidTr="008E0250">
        <w:tc>
          <w:tcPr>
            <w:tcW w:w="5000" w:type="pct"/>
            <w:shd w:val="clear" w:color="auto" w:fill="D6E3BC"/>
          </w:tcPr>
          <w:p w14:paraId="1791860C"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12</w:t>
            </w:r>
            <w:r w:rsidRPr="001E3185">
              <w:rPr>
                <w:rFonts w:ascii="Verdana" w:hAnsi="Verdana"/>
              </w:rPr>
              <w:fldChar w:fldCharType="end"/>
            </w:r>
          </w:p>
          <w:p w14:paraId="44D02957" w14:textId="77777777" w:rsidR="00692E71" w:rsidRPr="001E3185" w:rsidRDefault="00692E71" w:rsidP="008E0250">
            <w:pPr>
              <w:pStyle w:val="Lgende"/>
              <w:rPr>
                <w:rFonts w:ascii="Verdana" w:hAnsi="Verdana"/>
              </w:rPr>
            </w:pPr>
            <w:r w:rsidRPr="001E3185">
              <w:rPr>
                <w:rFonts w:ascii="Verdana" w:hAnsi="Verdana"/>
              </w:rPr>
              <w:t>Atmospheric compartment</w:t>
            </w:r>
          </w:p>
          <w:p w14:paraId="00CEC42E" w14:textId="77777777" w:rsidR="00692E71" w:rsidRPr="001E3185" w:rsidRDefault="00692E71" w:rsidP="008E0250">
            <w:pPr>
              <w:rPr>
                <w:rFonts w:cs="Arial"/>
              </w:rPr>
            </w:pPr>
            <w:r w:rsidRPr="001E3185">
              <w:rPr>
                <w:rFonts w:cs="Arial"/>
              </w:rPr>
              <w:t>FR agrees with the registrant’s conclusions.</w:t>
            </w:r>
          </w:p>
        </w:tc>
      </w:tr>
    </w:tbl>
    <w:p w14:paraId="5B8C849D" w14:textId="77777777" w:rsidR="00692E71" w:rsidRPr="001E3185" w:rsidRDefault="00692E71" w:rsidP="00692E71">
      <w:pPr>
        <w:rPr>
          <w:rFonts w:cs="Arial"/>
        </w:rPr>
      </w:pPr>
    </w:p>
    <w:p w14:paraId="38C865C5" w14:textId="77777777" w:rsidR="00692E71" w:rsidRPr="00EC0D24" w:rsidRDefault="00692E71" w:rsidP="00FE0AC8">
      <w:pPr>
        <w:pStyle w:val="Titre5"/>
      </w:pPr>
      <w:bookmarkStart w:id="155" w:name="_Toc420432123"/>
      <w:r w:rsidRPr="00EC0D24">
        <w:t>Non-compartmental specific effects relevant to the food chain (secondary poisoning)</w:t>
      </w:r>
      <w:bookmarkEnd w:id="155"/>
      <w:r w:rsidRPr="00EC0D24">
        <w:t xml:space="preserve"> </w:t>
      </w:r>
      <w:bookmarkEnd w:id="154"/>
    </w:p>
    <w:p w14:paraId="7AF519EB" w14:textId="77777777" w:rsidR="00692E71" w:rsidRPr="001E3185" w:rsidRDefault="00692E71" w:rsidP="00692E71">
      <w:pPr>
        <w:rPr>
          <w:rFonts w:cs="Arial"/>
        </w:rPr>
      </w:pPr>
    </w:p>
    <w:p w14:paraId="27F04708" w14:textId="77777777" w:rsidR="00692E71" w:rsidRPr="001E3185" w:rsidRDefault="00692E71" w:rsidP="00692E71">
      <w:pPr>
        <w:rPr>
          <w:rFonts w:cs="Arial"/>
        </w:rPr>
      </w:pPr>
      <w:r w:rsidRPr="001E3185">
        <w:rPr>
          <w:rFonts w:cs="Arial"/>
        </w:rPr>
        <w:t>* According to the AR for IPBC, secondary poisoning can be excluded due to the log K</w:t>
      </w:r>
      <w:r w:rsidRPr="001E3185">
        <w:rPr>
          <w:rFonts w:cs="Arial"/>
          <w:vertAlign w:val="subscript"/>
        </w:rPr>
        <w:t>ow</w:t>
      </w:r>
      <w:r w:rsidRPr="001E3185">
        <w:rPr>
          <w:rFonts w:cs="Arial"/>
        </w:rPr>
        <w:t xml:space="preserve"> (&lt; 3).</w:t>
      </w:r>
    </w:p>
    <w:p w14:paraId="47E1BEB8" w14:textId="77777777" w:rsidR="00692E71" w:rsidRPr="001E3185" w:rsidRDefault="00692E71" w:rsidP="00692E71">
      <w:pPr>
        <w:rPr>
          <w:rFonts w:cs="Arial"/>
        </w:rPr>
      </w:pPr>
    </w:p>
    <w:p w14:paraId="3A5E7741" w14:textId="77777777" w:rsidR="00692E71" w:rsidRPr="001E3185" w:rsidRDefault="00692E71" w:rsidP="00692E71">
      <w:pPr>
        <w:rPr>
          <w:rFonts w:cs="Arial"/>
        </w:rPr>
      </w:pPr>
      <w:r w:rsidRPr="001E3185">
        <w:rPr>
          <w:rFonts w:cs="Arial"/>
        </w:rPr>
        <w:t>* In the AR for PT08 it was stated that although propiconazole shows a slight potential for bioaccumulation there is no need to perform an assessment of secondary poisoning.</w:t>
      </w:r>
    </w:p>
    <w:p w14:paraId="5511CD5B" w14:textId="77777777" w:rsidR="00692E71" w:rsidRPr="001E3185" w:rsidRDefault="00692E71" w:rsidP="00692E71">
      <w:pPr>
        <w:rPr>
          <w:rFonts w:cs="Arial"/>
        </w:rPr>
      </w:pPr>
    </w:p>
    <w:p w14:paraId="2700069C" w14:textId="77777777" w:rsidR="00692E71" w:rsidRPr="001E3185" w:rsidRDefault="00692E71" w:rsidP="00692E71">
      <w:pPr>
        <w:snapToGrid w:val="0"/>
        <w:rPr>
          <w:rFonts w:cs="Arial"/>
        </w:rPr>
      </w:pPr>
      <w:r w:rsidRPr="001E3185">
        <w:rPr>
          <w:rFonts w:cs="Arial"/>
        </w:rPr>
        <w:t>* In the AR for PT07 it was stated that tebuconazole showed a low bioconcentration potential in aquatic and terrestrial. So, it is not considered necessary to calculate a PEC for food chain risk assessment.</w:t>
      </w:r>
    </w:p>
    <w:p w14:paraId="470A4D63" w14:textId="77777777" w:rsidR="00692E71" w:rsidRPr="001E3185" w:rsidRDefault="00692E71" w:rsidP="00692E71">
      <w:pPr>
        <w:rPr>
          <w:rFonts w:cs="Arial"/>
          <w:color w:val="1F497D" w:themeColor="text2"/>
        </w:rPr>
      </w:pPr>
    </w:p>
    <w:p w14:paraId="7147AA13" w14:textId="77777777" w:rsidR="00692E71" w:rsidRPr="001E3185" w:rsidRDefault="00692E71" w:rsidP="00692E71">
      <w:pPr>
        <w:rPr>
          <w:rFonts w:cs="Arial"/>
        </w:rPr>
      </w:pPr>
      <w:r w:rsidRPr="001E3185">
        <w:rPr>
          <w:rFonts w:cs="Arial"/>
        </w:rPr>
        <w:t xml:space="preserve">* As cypermethrin has a log Kow &gt; 3 (log Kow = 5.45) and a BCF &gt; 100 (BCF in fish = 417 L/kg and BCF in earthworm estimated in EUSES as 3380 L/kg), secondary poisoning may occur via the aquatic food chain and via the terrestrial food chain. </w:t>
      </w:r>
    </w:p>
    <w:p w14:paraId="6554964F" w14:textId="77777777" w:rsidR="00692E71" w:rsidRPr="001E3185" w:rsidRDefault="00692E71" w:rsidP="00692E71">
      <w:pPr>
        <w:pStyle w:val="Standard-italics"/>
        <w:keepNext w:val="0"/>
        <w:tabs>
          <w:tab w:val="left" w:pos="709"/>
        </w:tabs>
        <w:spacing w:before="0" w:after="0"/>
        <w:rPr>
          <w:rFonts w:cs="Arial"/>
          <w:i w:val="0"/>
          <w:lang w:eastAsia="en-US"/>
        </w:rPr>
      </w:pPr>
      <w:r w:rsidRPr="001E3185">
        <w:rPr>
          <w:rFonts w:cs="Arial"/>
          <w:i w:val="0"/>
          <w:lang w:eastAsia="en-US"/>
        </w:rPr>
        <w:t>The concentration of cypermethrin in food (i.e. in fish and in earthworm) of fish-eating and worm-eating predators (birds or mammals) is calculated in Document "S13_IIB_PPG_X6122B1_update20160606", point 3.3.5, taking into account the worst case concentrations found in surface water and soil. PECs and risk ratios for the risk of secondary poisoning for birds and mammals are summarised in the following table.</w:t>
      </w:r>
    </w:p>
    <w:p w14:paraId="791734D4" w14:textId="77777777" w:rsidR="00692E71" w:rsidRPr="001E3185" w:rsidRDefault="00692E71" w:rsidP="00692E71">
      <w:pPr>
        <w:rPr>
          <w:rFonts w:eastAsiaTheme="minorHAnsi" w:cs="Arial"/>
        </w:rPr>
      </w:pPr>
    </w:p>
    <w:p w14:paraId="0A52AAF2" w14:textId="77777777" w:rsidR="00692E71" w:rsidRPr="001E3185" w:rsidRDefault="00692E71" w:rsidP="00692E71">
      <w:pPr>
        <w:rPr>
          <w:rFonts w:cs="Arial"/>
          <w:b/>
        </w:rPr>
      </w:pPr>
      <w:r w:rsidRPr="001E3185">
        <w:rPr>
          <w:rFonts w:cs="Arial"/>
          <w:b/>
        </w:rPr>
        <w:t>Table 2.2.6-1: PECs and risk ratios for secondary poisoning</w:t>
      </w: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4"/>
        <w:gridCol w:w="2324"/>
        <w:gridCol w:w="1984"/>
        <w:gridCol w:w="2268"/>
      </w:tblGrid>
      <w:tr w:rsidR="00692E71" w:rsidRPr="001E3185" w14:paraId="6121BB5D" w14:textId="77777777" w:rsidTr="008E0250">
        <w:trPr>
          <w:trHeight w:val="249"/>
        </w:trPr>
        <w:tc>
          <w:tcPr>
            <w:tcW w:w="2494" w:type="dxa"/>
            <w:shd w:val="clear" w:color="auto" w:fill="D9D9D9" w:themeFill="background1" w:themeFillShade="D9"/>
            <w:vAlign w:val="center"/>
          </w:tcPr>
          <w:p w14:paraId="2074B831" w14:textId="77777777" w:rsidR="00692E71" w:rsidRPr="001E3185" w:rsidRDefault="00692E71" w:rsidP="008E0250">
            <w:pPr>
              <w:autoSpaceDE w:val="0"/>
              <w:autoSpaceDN w:val="0"/>
              <w:adjustRightInd w:val="0"/>
              <w:jc w:val="center"/>
              <w:rPr>
                <w:rFonts w:cs="Arial"/>
              </w:rPr>
            </w:pPr>
            <w:r w:rsidRPr="001E3185">
              <w:rPr>
                <w:rFonts w:cs="Arial"/>
              </w:rPr>
              <w:t>Concentration in freshwater or soil</w:t>
            </w:r>
          </w:p>
        </w:tc>
        <w:tc>
          <w:tcPr>
            <w:tcW w:w="2324" w:type="dxa"/>
            <w:shd w:val="clear" w:color="auto" w:fill="D9D9D9" w:themeFill="background1" w:themeFillShade="D9"/>
            <w:vAlign w:val="center"/>
          </w:tcPr>
          <w:p w14:paraId="38CB0512" w14:textId="77777777" w:rsidR="00692E71" w:rsidRPr="001E3185" w:rsidRDefault="00692E71" w:rsidP="008E0250">
            <w:pPr>
              <w:autoSpaceDE w:val="0"/>
              <w:autoSpaceDN w:val="0"/>
              <w:adjustRightInd w:val="0"/>
              <w:jc w:val="center"/>
              <w:rPr>
                <w:rFonts w:cs="Arial"/>
              </w:rPr>
            </w:pPr>
            <w:r w:rsidRPr="001E3185">
              <w:rPr>
                <w:rFonts w:cs="Arial"/>
              </w:rPr>
              <w:t>PEC</w:t>
            </w:r>
            <w:r w:rsidRPr="001E3185">
              <w:rPr>
                <w:rFonts w:cs="Arial"/>
                <w:vertAlign w:val="subscript"/>
              </w:rPr>
              <w:t>oral predator</w:t>
            </w:r>
          </w:p>
        </w:tc>
        <w:tc>
          <w:tcPr>
            <w:tcW w:w="1984" w:type="dxa"/>
            <w:shd w:val="clear" w:color="auto" w:fill="D9D9D9" w:themeFill="background1" w:themeFillShade="D9"/>
            <w:vAlign w:val="center"/>
          </w:tcPr>
          <w:p w14:paraId="5F8E5223" w14:textId="77777777" w:rsidR="00692E71" w:rsidRPr="001E3185" w:rsidRDefault="00692E71" w:rsidP="008E0250">
            <w:pPr>
              <w:autoSpaceDE w:val="0"/>
              <w:autoSpaceDN w:val="0"/>
              <w:adjustRightInd w:val="0"/>
              <w:jc w:val="center"/>
              <w:rPr>
                <w:rFonts w:cs="Arial"/>
              </w:rPr>
            </w:pPr>
            <w:r w:rsidRPr="001E3185">
              <w:rPr>
                <w:rFonts w:cs="Arial"/>
              </w:rPr>
              <w:t>PEC/PNEC</w:t>
            </w:r>
            <w:r w:rsidRPr="001E3185">
              <w:rPr>
                <w:rFonts w:cs="Arial"/>
                <w:vertAlign w:val="subscript"/>
              </w:rPr>
              <w:t>birds</w:t>
            </w:r>
          </w:p>
          <w:p w14:paraId="71F1F74E" w14:textId="77777777" w:rsidR="00692E71" w:rsidRPr="001E3185" w:rsidRDefault="00692E71" w:rsidP="008E0250">
            <w:pPr>
              <w:autoSpaceDE w:val="0"/>
              <w:autoSpaceDN w:val="0"/>
              <w:adjustRightInd w:val="0"/>
              <w:jc w:val="center"/>
              <w:rPr>
                <w:rFonts w:cs="Arial"/>
              </w:rPr>
            </w:pPr>
            <w:r w:rsidRPr="001E3185">
              <w:rPr>
                <w:rFonts w:cs="Arial"/>
              </w:rPr>
              <w:t>(PNEC</w:t>
            </w:r>
            <w:r w:rsidRPr="001E3185">
              <w:rPr>
                <w:rFonts w:cs="Arial"/>
                <w:vertAlign w:val="subscript"/>
              </w:rPr>
              <w:t>oral,bird</w:t>
            </w:r>
            <w:r w:rsidRPr="001E3185">
              <w:rPr>
                <w:rFonts w:cs="Arial"/>
              </w:rPr>
              <w:t xml:space="preserve"> </w:t>
            </w:r>
          </w:p>
          <w:p w14:paraId="6AA96F6F" w14:textId="77777777" w:rsidR="00692E71" w:rsidRPr="001E3185" w:rsidRDefault="00692E71" w:rsidP="008E0250">
            <w:pPr>
              <w:autoSpaceDE w:val="0"/>
              <w:autoSpaceDN w:val="0"/>
              <w:adjustRightInd w:val="0"/>
              <w:jc w:val="center"/>
              <w:rPr>
                <w:rFonts w:cs="Arial"/>
              </w:rPr>
            </w:pPr>
            <w:r w:rsidRPr="001E3185">
              <w:rPr>
                <w:rFonts w:cs="Arial"/>
              </w:rPr>
              <w:t>=33.3 mg/kg food)</w:t>
            </w:r>
          </w:p>
        </w:tc>
        <w:tc>
          <w:tcPr>
            <w:tcW w:w="2268" w:type="dxa"/>
            <w:shd w:val="clear" w:color="auto" w:fill="D9D9D9" w:themeFill="background1" w:themeFillShade="D9"/>
            <w:vAlign w:val="center"/>
          </w:tcPr>
          <w:p w14:paraId="0124D829" w14:textId="77777777" w:rsidR="00692E71" w:rsidRPr="001E3185" w:rsidRDefault="00692E71" w:rsidP="008E0250">
            <w:pPr>
              <w:autoSpaceDE w:val="0"/>
              <w:autoSpaceDN w:val="0"/>
              <w:adjustRightInd w:val="0"/>
              <w:jc w:val="center"/>
              <w:rPr>
                <w:rFonts w:cs="Arial"/>
              </w:rPr>
            </w:pPr>
            <w:r w:rsidRPr="001E3185">
              <w:rPr>
                <w:rFonts w:cs="Arial"/>
              </w:rPr>
              <w:t>PEC/PNEC</w:t>
            </w:r>
            <w:r w:rsidRPr="001E3185">
              <w:rPr>
                <w:rFonts w:cs="Arial"/>
                <w:vertAlign w:val="subscript"/>
              </w:rPr>
              <w:t>mammals</w:t>
            </w:r>
          </w:p>
          <w:p w14:paraId="7D854068" w14:textId="77777777" w:rsidR="00692E71" w:rsidRPr="001E3185" w:rsidRDefault="00692E71" w:rsidP="008E0250">
            <w:pPr>
              <w:autoSpaceDE w:val="0"/>
              <w:autoSpaceDN w:val="0"/>
              <w:adjustRightInd w:val="0"/>
              <w:jc w:val="center"/>
              <w:rPr>
                <w:rFonts w:cs="Arial"/>
              </w:rPr>
            </w:pPr>
            <w:r w:rsidRPr="001E3185">
              <w:rPr>
                <w:rFonts w:cs="Arial"/>
              </w:rPr>
              <w:t>(PNEC</w:t>
            </w:r>
            <w:r w:rsidRPr="001E3185">
              <w:rPr>
                <w:rFonts w:cs="Arial"/>
                <w:vertAlign w:val="subscript"/>
              </w:rPr>
              <w:t xml:space="preserve">oral,small mammal </w:t>
            </w:r>
          </w:p>
          <w:p w14:paraId="7C04D9BA" w14:textId="77777777" w:rsidR="00692E71" w:rsidRPr="001E3185" w:rsidRDefault="00692E71" w:rsidP="008E0250">
            <w:pPr>
              <w:autoSpaceDE w:val="0"/>
              <w:autoSpaceDN w:val="0"/>
              <w:adjustRightInd w:val="0"/>
              <w:jc w:val="center"/>
              <w:rPr>
                <w:rFonts w:cs="Arial"/>
              </w:rPr>
            </w:pPr>
            <w:r w:rsidRPr="001E3185">
              <w:rPr>
                <w:rFonts w:cs="Arial"/>
              </w:rPr>
              <w:t>= 3.33 mg/kg food)</w:t>
            </w:r>
          </w:p>
        </w:tc>
      </w:tr>
      <w:tr w:rsidR="00692E71" w:rsidRPr="001E3185" w14:paraId="5564E014" w14:textId="77777777" w:rsidTr="008E0250">
        <w:trPr>
          <w:trHeight w:val="249"/>
        </w:trPr>
        <w:tc>
          <w:tcPr>
            <w:tcW w:w="2494" w:type="dxa"/>
            <w:shd w:val="clear" w:color="auto" w:fill="FFFFFF"/>
            <w:vAlign w:val="center"/>
          </w:tcPr>
          <w:p w14:paraId="661DD64B" w14:textId="77777777" w:rsidR="00692E71" w:rsidRPr="001E3185" w:rsidRDefault="00692E71" w:rsidP="008E0250">
            <w:pPr>
              <w:autoSpaceDE w:val="0"/>
              <w:autoSpaceDN w:val="0"/>
              <w:adjustRightInd w:val="0"/>
              <w:rPr>
                <w:rFonts w:cs="Arial"/>
              </w:rPr>
            </w:pPr>
            <w:r w:rsidRPr="001E3185">
              <w:rPr>
                <w:rFonts w:cs="Arial"/>
              </w:rPr>
              <w:t>Worst case PEC</w:t>
            </w:r>
            <w:r w:rsidRPr="001E3185">
              <w:rPr>
                <w:rFonts w:cs="Arial"/>
                <w:vertAlign w:val="subscript"/>
              </w:rPr>
              <w:t>freshwater</w:t>
            </w:r>
            <w:r w:rsidRPr="001E3185">
              <w:rPr>
                <w:rFonts w:cs="Arial"/>
              </w:rPr>
              <w:t xml:space="preserve"> = </w:t>
            </w:r>
          </w:p>
          <w:p w14:paraId="21B2F096" w14:textId="77777777" w:rsidR="00692E71" w:rsidRPr="001E3185" w:rsidRDefault="00692E71" w:rsidP="008E0250">
            <w:pPr>
              <w:autoSpaceDE w:val="0"/>
              <w:autoSpaceDN w:val="0"/>
              <w:adjustRightInd w:val="0"/>
              <w:rPr>
                <w:rFonts w:cs="Arial"/>
              </w:rPr>
            </w:pPr>
            <w:r w:rsidRPr="001E3185">
              <w:rPr>
                <w:rFonts w:cs="Arial"/>
              </w:rPr>
              <w:t>0.09 µg/L</w:t>
            </w:r>
          </w:p>
        </w:tc>
        <w:tc>
          <w:tcPr>
            <w:tcW w:w="2324" w:type="dxa"/>
            <w:shd w:val="clear" w:color="auto" w:fill="FFFFFF"/>
            <w:vAlign w:val="center"/>
          </w:tcPr>
          <w:p w14:paraId="68C46F33" w14:textId="77777777" w:rsidR="00692E71" w:rsidRPr="001E3185" w:rsidRDefault="00692E71" w:rsidP="008E0250">
            <w:pPr>
              <w:autoSpaceDE w:val="0"/>
              <w:autoSpaceDN w:val="0"/>
              <w:adjustRightInd w:val="0"/>
              <w:jc w:val="center"/>
              <w:rPr>
                <w:rFonts w:cs="Arial"/>
              </w:rPr>
            </w:pPr>
            <w:r w:rsidRPr="001E3185">
              <w:rPr>
                <w:rFonts w:cs="Arial"/>
              </w:rPr>
              <w:t>0.0187 mg/kg</w:t>
            </w:r>
            <w:r w:rsidRPr="001E3185">
              <w:rPr>
                <w:rFonts w:cs="Arial"/>
                <w:vertAlign w:val="subscript"/>
              </w:rPr>
              <w:t>wet fish</w:t>
            </w:r>
          </w:p>
        </w:tc>
        <w:tc>
          <w:tcPr>
            <w:tcW w:w="1984" w:type="dxa"/>
            <w:shd w:val="clear" w:color="auto" w:fill="FFFFFF"/>
            <w:vAlign w:val="center"/>
          </w:tcPr>
          <w:p w14:paraId="52EAE705" w14:textId="77777777" w:rsidR="00692E71" w:rsidRPr="001E3185" w:rsidRDefault="00692E71" w:rsidP="008E0250">
            <w:pPr>
              <w:autoSpaceDE w:val="0"/>
              <w:autoSpaceDN w:val="0"/>
              <w:adjustRightInd w:val="0"/>
              <w:jc w:val="center"/>
              <w:rPr>
                <w:rFonts w:cs="Arial"/>
              </w:rPr>
            </w:pPr>
            <w:r w:rsidRPr="001E3185">
              <w:rPr>
                <w:rFonts w:cs="Arial"/>
              </w:rPr>
              <w:t>5.62*10</w:t>
            </w:r>
            <w:r w:rsidRPr="001E3185">
              <w:rPr>
                <w:rFonts w:cs="Arial"/>
                <w:vertAlign w:val="superscript"/>
              </w:rPr>
              <w:t>-4</w:t>
            </w:r>
          </w:p>
        </w:tc>
        <w:tc>
          <w:tcPr>
            <w:tcW w:w="2268" w:type="dxa"/>
            <w:shd w:val="clear" w:color="auto" w:fill="FFFFFF"/>
            <w:vAlign w:val="center"/>
          </w:tcPr>
          <w:p w14:paraId="18AD8F73" w14:textId="77777777" w:rsidR="00692E71" w:rsidRPr="001E3185" w:rsidRDefault="00692E71" w:rsidP="008E0250">
            <w:pPr>
              <w:autoSpaceDE w:val="0"/>
              <w:autoSpaceDN w:val="0"/>
              <w:adjustRightInd w:val="0"/>
              <w:jc w:val="center"/>
              <w:rPr>
                <w:rFonts w:cs="Arial"/>
              </w:rPr>
            </w:pPr>
            <w:r w:rsidRPr="001E3185">
              <w:rPr>
                <w:rFonts w:cs="Arial"/>
              </w:rPr>
              <w:t>5.62*10</w:t>
            </w:r>
            <w:r w:rsidRPr="001E3185">
              <w:rPr>
                <w:rFonts w:cs="Arial"/>
                <w:vertAlign w:val="superscript"/>
              </w:rPr>
              <w:t>-3</w:t>
            </w:r>
          </w:p>
        </w:tc>
      </w:tr>
      <w:tr w:rsidR="00692E71" w:rsidRPr="001E3185" w14:paraId="4F3675E0" w14:textId="77777777" w:rsidTr="008E0250">
        <w:trPr>
          <w:trHeight w:val="249"/>
        </w:trPr>
        <w:tc>
          <w:tcPr>
            <w:tcW w:w="2494" w:type="dxa"/>
            <w:shd w:val="clear" w:color="auto" w:fill="FFFFFF"/>
            <w:vAlign w:val="center"/>
          </w:tcPr>
          <w:p w14:paraId="19F54D0A" w14:textId="77777777" w:rsidR="00692E71" w:rsidRPr="001E3185" w:rsidRDefault="00692E71" w:rsidP="008E0250">
            <w:pPr>
              <w:autoSpaceDE w:val="0"/>
              <w:autoSpaceDN w:val="0"/>
              <w:adjustRightInd w:val="0"/>
              <w:rPr>
                <w:rFonts w:cs="Arial"/>
              </w:rPr>
            </w:pPr>
            <w:r w:rsidRPr="001E3185">
              <w:rPr>
                <w:rFonts w:cs="Arial"/>
              </w:rPr>
              <w:t>Worst case PEC</w:t>
            </w:r>
            <w:r w:rsidRPr="001E3185">
              <w:rPr>
                <w:rFonts w:cs="Arial"/>
                <w:vertAlign w:val="subscript"/>
              </w:rPr>
              <w:t>soil</w:t>
            </w:r>
            <w:r w:rsidRPr="001E3185">
              <w:rPr>
                <w:rFonts w:cs="Arial"/>
              </w:rPr>
              <w:t xml:space="preserve"> = </w:t>
            </w:r>
          </w:p>
          <w:p w14:paraId="72993014" w14:textId="77777777" w:rsidR="00692E71" w:rsidRPr="001E3185" w:rsidRDefault="00692E71" w:rsidP="008E0250">
            <w:pPr>
              <w:autoSpaceDE w:val="0"/>
              <w:autoSpaceDN w:val="0"/>
              <w:adjustRightInd w:val="0"/>
              <w:rPr>
                <w:rFonts w:cs="Arial"/>
              </w:rPr>
            </w:pPr>
            <w:r w:rsidRPr="001E3185">
              <w:rPr>
                <w:rFonts w:cs="Arial"/>
              </w:rPr>
              <w:t>0.25 mg/kg</w:t>
            </w:r>
            <w:r w:rsidRPr="001E3185">
              <w:rPr>
                <w:rFonts w:cs="Arial"/>
                <w:vertAlign w:val="subscript"/>
              </w:rPr>
              <w:t>wwt</w:t>
            </w:r>
          </w:p>
        </w:tc>
        <w:tc>
          <w:tcPr>
            <w:tcW w:w="2324" w:type="dxa"/>
            <w:shd w:val="clear" w:color="auto" w:fill="FFFFFF"/>
            <w:vAlign w:val="center"/>
          </w:tcPr>
          <w:p w14:paraId="79D658FC" w14:textId="77777777" w:rsidR="00692E71" w:rsidRPr="001E3185" w:rsidRDefault="00692E71" w:rsidP="008E0250">
            <w:pPr>
              <w:autoSpaceDE w:val="0"/>
              <w:autoSpaceDN w:val="0"/>
              <w:adjustRightInd w:val="0"/>
              <w:jc w:val="center"/>
              <w:rPr>
                <w:rFonts w:cs="Arial"/>
              </w:rPr>
            </w:pPr>
            <w:r w:rsidRPr="001E3185">
              <w:rPr>
                <w:rFonts w:cs="Arial"/>
              </w:rPr>
              <w:t>0.0502 mg/kg</w:t>
            </w:r>
            <w:r w:rsidRPr="001E3185">
              <w:rPr>
                <w:rFonts w:cs="Arial"/>
                <w:vertAlign w:val="subscript"/>
              </w:rPr>
              <w:t>wet earthworm</w:t>
            </w:r>
          </w:p>
        </w:tc>
        <w:tc>
          <w:tcPr>
            <w:tcW w:w="1984" w:type="dxa"/>
            <w:shd w:val="clear" w:color="auto" w:fill="FFFFFF"/>
            <w:vAlign w:val="center"/>
          </w:tcPr>
          <w:p w14:paraId="2F20C724" w14:textId="77777777" w:rsidR="00692E71" w:rsidRPr="001E3185" w:rsidRDefault="00692E71" w:rsidP="008E0250">
            <w:pPr>
              <w:autoSpaceDE w:val="0"/>
              <w:autoSpaceDN w:val="0"/>
              <w:adjustRightInd w:val="0"/>
              <w:jc w:val="center"/>
              <w:rPr>
                <w:rFonts w:cs="Arial"/>
              </w:rPr>
            </w:pPr>
            <w:r w:rsidRPr="001E3185">
              <w:rPr>
                <w:rFonts w:cs="Arial"/>
              </w:rPr>
              <w:t>1.51*10</w:t>
            </w:r>
            <w:r w:rsidRPr="001E3185">
              <w:rPr>
                <w:rFonts w:cs="Arial"/>
                <w:vertAlign w:val="superscript"/>
              </w:rPr>
              <w:t>-3</w:t>
            </w:r>
          </w:p>
        </w:tc>
        <w:tc>
          <w:tcPr>
            <w:tcW w:w="2268" w:type="dxa"/>
            <w:shd w:val="clear" w:color="auto" w:fill="FFFFFF"/>
            <w:vAlign w:val="center"/>
          </w:tcPr>
          <w:p w14:paraId="178472D8" w14:textId="77777777" w:rsidR="00692E71" w:rsidRPr="001E3185" w:rsidRDefault="00692E71" w:rsidP="008E0250">
            <w:pPr>
              <w:autoSpaceDE w:val="0"/>
              <w:autoSpaceDN w:val="0"/>
              <w:adjustRightInd w:val="0"/>
              <w:jc w:val="center"/>
              <w:rPr>
                <w:rFonts w:cs="Arial"/>
              </w:rPr>
            </w:pPr>
            <w:r w:rsidRPr="001E3185">
              <w:rPr>
                <w:rFonts w:cs="Arial"/>
              </w:rPr>
              <w:t>0.0151</w:t>
            </w:r>
          </w:p>
        </w:tc>
      </w:tr>
    </w:tbl>
    <w:p w14:paraId="7754EF0F" w14:textId="77777777" w:rsidR="00692E71" w:rsidRPr="001E3185" w:rsidRDefault="00692E71" w:rsidP="00692E71">
      <w:pPr>
        <w:rPr>
          <w:rFonts w:eastAsiaTheme="minorHAnsi" w:cs="Arial"/>
        </w:rPr>
      </w:pPr>
    </w:p>
    <w:p w14:paraId="106406BE" w14:textId="77777777" w:rsidR="00692E71" w:rsidRPr="001E3185" w:rsidRDefault="00692E71" w:rsidP="00692E71">
      <w:pPr>
        <w:pStyle w:val="Standard-italics"/>
        <w:keepNext w:val="0"/>
        <w:tabs>
          <w:tab w:val="left" w:pos="709"/>
        </w:tabs>
        <w:spacing w:before="0" w:after="0"/>
        <w:rPr>
          <w:rFonts w:cs="Arial"/>
          <w:i w:val="0"/>
          <w:lang w:eastAsia="en-US"/>
        </w:rPr>
      </w:pPr>
      <w:r w:rsidRPr="001E3185">
        <w:rPr>
          <w:rFonts w:cs="Arial"/>
          <w:i w:val="0"/>
          <w:lang w:eastAsia="en-US"/>
        </w:rPr>
        <w:t>The RCRs are below 1 for the birds and for mammals.</w:t>
      </w:r>
    </w:p>
    <w:p w14:paraId="686356E7" w14:textId="77777777" w:rsidR="00692E71" w:rsidRPr="001E3185" w:rsidRDefault="00692E71" w:rsidP="00692E71">
      <w:pPr>
        <w:rPr>
          <w:rFonts w:cs="Arial"/>
        </w:rPr>
      </w:pPr>
    </w:p>
    <w:p w14:paraId="4609B861" w14:textId="77777777" w:rsidR="00692E71" w:rsidRPr="001E3185" w:rsidRDefault="00692E71" w:rsidP="00692E71">
      <w:pPr>
        <w:rPr>
          <w:rFonts w:cs="Arial"/>
        </w:rPr>
      </w:pPr>
      <w:r w:rsidRPr="001E3185">
        <w:rPr>
          <w:rFonts w:cs="Arial"/>
        </w:rPr>
        <w:t>Therefore, based on the above information, no risk of secondary poisoning is foreseen when using the product as recommended on the label.</w:t>
      </w:r>
    </w:p>
    <w:p w14:paraId="7DF3409E" w14:textId="77777777" w:rsidR="00692E71" w:rsidRPr="001E3185" w:rsidRDefault="00692E71" w:rsidP="00692E7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769"/>
      </w:tblGrid>
      <w:tr w:rsidR="00692E71" w:rsidRPr="001E3185" w14:paraId="65EFEB91" w14:textId="77777777" w:rsidTr="008E0250">
        <w:tc>
          <w:tcPr>
            <w:tcW w:w="9919" w:type="dxa"/>
            <w:shd w:val="clear" w:color="auto" w:fill="D6E3BC"/>
          </w:tcPr>
          <w:p w14:paraId="7802F65D"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13</w:t>
            </w:r>
            <w:r w:rsidRPr="001E3185">
              <w:rPr>
                <w:rFonts w:ascii="Verdana" w:hAnsi="Verdana"/>
              </w:rPr>
              <w:fldChar w:fldCharType="end"/>
            </w:r>
          </w:p>
          <w:p w14:paraId="24B24F7D" w14:textId="77777777" w:rsidR="00692E71" w:rsidRPr="001E3185" w:rsidRDefault="00692E71" w:rsidP="008E0250">
            <w:pPr>
              <w:pStyle w:val="Lgende"/>
              <w:rPr>
                <w:rFonts w:ascii="Verdana" w:hAnsi="Verdana"/>
              </w:rPr>
            </w:pPr>
            <w:r w:rsidRPr="001E3185">
              <w:rPr>
                <w:rFonts w:ascii="Verdana" w:hAnsi="Verdana"/>
              </w:rPr>
              <w:t>Risk characterisation for secondary poisonning.</w:t>
            </w:r>
          </w:p>
          <w:p w14:paraId="67A03211" w14:textId="77777777" w:rsidR="00692E71" w:rsidRPr="001E3185" w:rsidRDefault="00692E71" w:rsidP="008E0250">
            <w:pPr>
              <w:autoSpaceDE w:val="0"/>
              <w:autoSpaceDN w:val="0"/>
              <w:rPr>
                <w:rFonts w:cs="Arial"/>
              </w:rPr>
            </w:pPr>
            <w:r w:rsidRPr="001E3185">
              <w:rPr>
                <w:rFonts w:cs="Arial"/>
              </w:rPr>
              <w:t xml:space="preserve">FR-CA agreed with the applicant for considering that secondary poisoning is relevant only for the active substance cypermethrin. Therefore, the secondary poisoning was assessed for the </w:t>
            </w:r>
            <w:r w:rsidRPr="001E3185">
              <w:rPr>
                <w:rFonts w:cs="Arial"/>
              </w:rPr>
              <w:lastRenderedPageBreak/>
              <w:t>TIME2 assessment period of the service life for wood treated by surface treatment, considered as a worst case. PEC and risk ratios for the risk of secondary poisoning for birds and mammals are summarised in the following table.</w:t>
            </w:r>
          </w:p>
          <w:p w14:paraId="07ADB735" w14:textId="77777777" w:rsidR="00692E71" w:rsidRPr="001E3185" w:rsidRDefault="00692E71" w:rsidP="008E0250">
            <w:pPr>
              <w:autoSpaceDE w:val="0"/>
              <w:autoSpaceDN w:val="0"/>
              <w:rPr>
                <w:rFonts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8"/>
              <w:gridCol w:w="2481"/>
              <w:gridCol w:w="3054"/>
            </w:tblGrid>
            <w:tr w:rsidR="00692E71" w:rsidRPr="001E3185" w14:paraId="6641E96A" w14:textId="77777777" w:rsidTr="008E0250">
              <w:trPr>
                <w:trHeight w:val="249"/>
              </w:trPr>
              <w:tc>
                <w:tcPr>
                  <w:tcW w:w="2100" w:type="pct"/>
                  <w:shd w:val="clear" w:color="auto" w:fill="auto"/>
                  <w:vAlign w:val="center"/>
                </w:tcPr>
                <w:p w14:paraId="2E5A177D" w14:textId="77777777" w:rsidR="00692E71" w:rsidRPr="001E3185" w:rsidRDefault="00692E71" w:rsidP="008E0250">
                  <w:pPr>
                    <w:autoSpaceDE w:val="0"/>
                    <w:autoSpaceDN w:val="0"/>
                    <w:adjustRightInd w:val="0"/>
                    <w:jc w:val="center"/>
                    <w:rPr>
                      <w:rFonts w:cs="Arial"/>
                      <w:b/>
                      <w:lang w:eastAsia="en-GB"/>
                    </w:rPr>
                  </w:pPr>
                  <w:r w:rsidRPr="001E3185">
                    <w:rPr>
                      <w:rFonts w:cs="Arial"/>
                      <w:b/>
                      <w:bCs/>
                      <w:lang w:eastAsia="en-GB"/>
                    </w:rPr>
                    <w:t>PEC</w:t>
                  </w:r>
                  <w:r w:rsidRPr="001E3185">
                    <w:rPr>
                      <w:rFonts w:cs="Arial"/>
                      <w:b/>
                      <w:bCs/>
                      <w:vertAlign w:val="subscript"/>
                      <w:lang w:eastAsia="en-GB"/>
                    </w:rPr>
                    <w:t>oral predator</w:t>
                  </w:r>
                </w:p>
              </w:tc>
              <w:tc>
                <w:tcPr>
                  <w:tcW w:w="1300" w:type="pct"/>
                  <w:shd w:val="clear" w:color="auto" w:fill="auto"/>
                  <w:vAlign w:val="center"/>
                </w:tcPr>
                <w:p w14:paraId="5143E8D5" w14:textId="77777777" w:rsidR="00692E71" w:rsidRPr="001E3185" w:rsidRDefault="00692E71" w:rsidP="008E0250">
                  <w:pPr>
                    <w:autoSpaceDE w:val="0"/>
                    <w:autoSpaceDN w:val="0"/>
                    <w:adjustRightInd w:val="0"/>
                    <w:jc w:val="center"/>
                    <w:rPr>
                      <w:rFonts w:cs="Arial"/>
                      <w:b/>
                      <w:lang w:eastAsia="en-GB"/>
                    </w:rPr>
                  </w:pPr>
                  <w:r w:rsidRPr="001E3185">
                    <w:rPr>
                      <w:rFonts w:cs="Arial"/>
                      <w:b/>
                      <w:lang w:eastAsia="en-GB"/>
                    </w:rPr>
                    <w:t>PEC/PNEC</w:t>
                  </w:r>
                  <w:r w:rsidRPr="001E3185">
                    <w:rPr>
                      <w:rFonts w:cs="Arial"/>
                      <w:b/>
                      <w:vertAlign w:val="subscript"/>
                      <w:lang w:eastAsia="en-GB"/>
                    </w:rPr>
                    <w:t>birds</w:t>
                  </w:r>
                </w:p>
                <w:p w14:paraId="354805BA" w14:textId="77777777" w:rsidR="00692E71" w:rsidRPr="001E3185" w:rsidRDefault="00692E71" w:rsidP="008E0250">
                  <w:pPr>
                    <w:autoSpaceDE w:val="0"/>
                    <w:autoSpaceDN w:val="0"/>
                    <w:adjustRightInd w:val="0"/>
                    <w:jc w:val="center"/>
                    <w:rPr>
                      <w:rFonts w:cs="Arial"/>
                      <w:lang w:eastAsia="en-GB"/>
                    </w:rPr>
                  </w:pPr>
                  <w:r w:rsidRPr="001E3185">
                    <w:rPr>
                      <w:rFonts w:cs="Arial"/>
                      <w:lang w:eastAsia="en-GB"/>
                    </w:rPr>
                    <w:t>(PNEC</w:t>
                  </w:r>
                  <w:r w:rsidRPr="001E3185">
                    <w:rPr>
                      <w:rFonts w:cs="Arial"/>
                      <w:vertAlign w:val="subscript"/>
                      <w:lang w:eastAsia="en-GB"/>
                    </w:rPr>
                    <w:t xml:space="preserve">oral,bird </w:t>
                  </w:r>
                  <w:r w:rsidRPr="001E3185">
                    <w:rPr>
                      <w:rFonts w:cs="Arial"/>
                      <w:lang w:eastAsia="en-GB"/>
                    </w:rPr>
                    <w:t>= 33.3 mg/kg food)</w:t>
                  </w:r>
                </w:p>
              </w:tc>
              <w:tc>
                <w:tcPr>
                  <w:tcW w:w="1600" w:type="pct"/>
                  <w:shd w:val="clear" w:color="auto" w:fill="auto"/>
                  <w:vAlign w:val="center"/>
                </w:tcPr>
                <w:p w14:paraId="27107BF3" w14:textId="77777777" w:rsidR="00692E71" w:rsidRPr="001E3185" w:rsidRDefault="00692E71" w:rsidP="008E0250">
                  <w:pPr>
                    <w:autoSpaceDE w:val="0"/>
                    <w:autoSpaceDN w:val="0"/>
                    <w:adjustRightInd w:val="0"/>
                    <w:jc w:val="center"/>
                    <w:rPr>
                      <w:rFonts w:cs="Arial"/>
                      <w:b/>
                      <w:bCs/>
                      <w:vertAlign w:val="subscript"/>
                      <w:lang w:eastAsia="en-GB"/>
                    </w:rPr>
                  </w:pPr>
                  <w:r w:rsidRPr="001E3185">
                    <w:rPr>
                      <w:rFonts w:cs="Arial"/>
                      <w:b/>
                      <w:bCs/>
                      <w:lang w:eastAsia="en-GB"/>
                    </w:rPr>
                    <w:t>PEC/PNEC</w:t>
                  </w:r>
                  <w:r w:rsidRPr="001E3185">
                    <w:rPr>
                      <w:rFonts w:cs="Arial"/>
                      <w:b/>
                      <w:bCs/>
                      <w:vertAlign w:val="subscript"/>
                      <w:lang w:eastAsia="en-GB"/>
                    </w:rPr>
                    <w:t>mammals</w:t>
                  </w:r>
                </w:p>
                <w:p w14:paraId="3E6FE8C7" w14:textId="77777777" w:rsidR="00692E71" w:rsidRPr="001E3185" w:rsidRDefault="00692E71" w:rsidP="008E0250">
                  <w:pPr>
                    <w:autoSpaceDE w:val="0"/>
                    <w:autoSpaceDN w:val="0"/>
                    <w:adjustRightInd w:val="0"/>
                    <w:jc w:val="center"/>
                    <w:rPr>
                      <w:rFonts w:cs="Arial"/>
                      <w:lang w:eastAsia="en-GB"/>
                    </w:rPr>
                  </w:pPr>
                  <w:r w:rsidRPr="001E3185">
                    <w:rPr>
                      <w:rFonts w:cs="Arial"/>
                      <w:lang w:eastAsia="en-GB"/>
                    </w:rPr>
                    <w:t>(PNEC</w:t>
                  </w:r>
                  <w:r w:rsidRPr="001E3185">
                    <w:rPr>
                      <w:rFonts w:cs="Arial"/>
                      <w:vertAlign w:val="subscript"/>
                      <w:lang w:eastAsia="en-GB"/>
                    </w:rPr>
                    <w:t xml:space="preserve">oral,small mammal </w:t>
                  </w:r>
                  <w:r w:rsidRPr="001E3185">
                    <w:rPr>
                      <w:rFonts w:cs="Arial"/>
                      <w:lang w:eastAsia="en-GB"/>
                    </w:rPr>
                    <w:t>= 3.33 mg/kg food)</w:t>
                  </w:r>
                </w:p>
              </w:tc>
            </w:tr>
            <w:tr w:rsidR="00692E71" w:rsidRPr="001E3185" w14:paraId="36CDFEB1" w14:textId="77777777" w:rsidTr="008E0250">
              <w:trPr>
                <w:trHeight w:val="249"/>
              </w:trPr>
              <w:tc>
                <w:tcPr>
                  <w:tcW w:w="2100" w:type="pct"/>
                  <w:shd w:val="clear" w:color="auto" w:fill="auto"/>
                  <w:vAlign w:val="center"/>
                </w:tcPr>
                <w:p w14:paraId="09A48085" w14:textId="77777777" w:rsidR="00692E71" w:rsidRPr="001E3185" w:rsidRDefault="00692E71" w:rsidP="008E0250">
                  <w:pPr>
                    <w:autoSpaceDE w:val="0"/>
                    <w:autoSpaceDN w:val="0"/>
                    <w:adjustRightInd w:val="0"/>
                    <w:spacing w:before="60"/>
                    <w:jc w:val="center"/>
                    <w:rPr>
                      <w:rFonts w:cs="Arial"/>
                      <w:bCs/>
                      <w:lang w:eastAsia="en-GB"/>
                    </w:rPr>
                  </w:pPr>
                  <w:r w:rsidRPr="001E3185">
                    <w:rPr>
                      <w:rFonts w:cs="Arial"/>
                      <w:lang w:eastAsia="en-GB"/>
                    </w:rPr>
                    <w:t>1.29E-05 mg/kg</w:t>
                  </w:r>
                  <w:r w:rsidRPr="001E3185">
                    <w:rPr>
                      <w:rFonts w:cs="Arial"/>
                      <w:vertAlign w:val="subscript"/>
                      <w:lang w:eastAsia="en-GB"/>
                    </w:rPr>
                    <w:t>wet fish</w:t>
                  </w:r>
                </w:p>
              </w:tc>
              <w:tc>
                <w:tcPr>
                  <w:tcW w:w="1300" w:type="pct"/>
                  <w:shd w:val="clear" w:color="auto" w:fill="auto"/>
                  <w:vAlign w:val="center"/>
                </w:tcPr>
                <w:p w14:paraId="06E32F35" w14:textId="77777777" w:rsidR="00692E71" w:rsidRPr="001E3185" w:rsidRDefault="00692E71" w:rsidP="008E0250">
                  <w:pPr>
                    <w:tabs>
                      <w:tab w:val="decimal" w:pos="-108"/>
                    </w:tabs>
                    <w:autoSpaceDE w:val="0"/>
                    <w:autoSpaceDN w:val="0"/>
                    <w:adjustRightInd w:val="0"/>
                    <w:spacing w:before="60"/>
                    <w:jc w:val="center"/>
                    <w:rPr>
                      <w:rFonts w:cs="Arial"/>
                      <w:lang w:eastAsia="en-GB"/>
                    </w:rPr>
                  </w:pPr>
                  <w:r w:rsidRPr="001E3185">
                    <w:rPr>
                      <w:rFonts w:cs="Arial"/>
                      <w:lang w:eastAsia="en-GB"/>
                    </w:rPr>
                    <w:t>3.87E-07</w:t>
                  </w:r>
                </w:p>
              </w:tc>
              <w:tc>
                <w:tcPr>
                  <w:tcW w:w="1600" w:type="pct"/>
                  <w:shd w:val="clear" w:color="auto" w:fill="auto"/>
                  <w:vAlign w:val="center"/>
                </w:tcPr>
                <w:p w14:paraId="5496C345" w14:textId="77777777" w:rsidR="00692E71" w:rsidRPr="001E3185" w:rsidRDefault="00692E71" w:rsidP="008E0250">
                  <w:pPr>
                    <w:tabs>
                      <w:tab w:val="decimal" w:pos="-108"/>
                    </w:tabs>
                    <w:autoSpaceDE w:val="0"/>
                    <w:autoSpaceDN w:val="0"/>
                    <w:adjustRightInd w:val="0"/>
                    <w:spacing w:before="60"/>
                    <w:jc w:val="center"/>
                    <w:rPr>
                      <w:rFonts w:cs="Arial"/>
                      <w:b/>
                      <w:lang w:eastAsia="en-GB"/>
                    </w:rPr>
                  </w:pPr>
                  <w:r w:rsidRPr="001E3185">
                    <w:rPr>
                      <w:rFonts w:cs="Arial"/>
                      <w:lang w:eastAsia="en-GB"/>
                    </w:rPr>
                    <w:t>3.87E-06</w:t>
                  </w:r>
                </w:p>
              </w:tc>
            </w:tr>
            <w:tr w:rsidR="00692E71" w:rsidRPr="001E3185" w14:paraId="456FA0CB" w14:textId="77777777" w:rsidTr="008E0250">
              <w:trPr>
                <w:trHeight w:val="79"/>
              </w:trPr>
              <w:tc>
                <w:tcPr>
                  <w:tcW w:w="2100" w:type="pct"/>
                  <w:shd w:val="clear" w:color="auto" w:fill="auto"/>
                  <w:vAlign w:val="center"/>
                </w:tcPr>
                <w:p w14:paraId="17B090DD" w14:textId="77777777" w:rsidR="00692E71" w:rsidRPr="001E3185" w:rsidRDefault="00692E71" w:rsidP="008E0250">
                  <w:pPr>
                    <w:autoSpaceDE w:val="0"/>
                    <w:autoSpaceDN w:val="0"/>
                    <w:adjustRightInd w:val="0"/>
                    <w:spacing w:before="60"/>
                    <w:jc w:val="center"/>
                    <w:rPr>
                      <w:rFonts w:cs="Arial"/>
                      <w:b/>
                      <w:bCs/>
                      <w:lang w:eastAsia="en-GB"/>
                    </w:rPr>
                  </w:pPr>
                  <w:r w:rsidRPr="001E3185">
                    <w:rPr>
                      <w:rFonts w:cs="Arial"/>
                      <w:bCs/>
                      <w:lang w:eastAsia="en-GB"/>
                    </w:rPr>
                    <w:t>2.84E-04 mg/kg</w:t>
                  </w:r>
                  <w:r w:rsidRPr="001E3185">
                    <w:rPr>
                      <w:rFonts w:cs="Arial"/>
                      <w:bCs/>
                      <w:vertAlign w:val="subscript"/>
                      <w:lang w:eastAsia="en-GB"/>
                    </w:rPr>
                    <w:t>wet earthworm</w:t>
                  </w:r>
                </w:p>
              </w:tc>
              <w:tc>
                <w:tcPr>
                  <w:tcW w:w="1300" w:type="pct"/>
                  <w:shd w:val="clear" w:color="auto" w:fill="auto"/>
                  <w:vAlign w:val="center"/>
                </w:tcPr>
                <w:p w14:paraId="6BB2297A" w14:textId="77777777" w:rsidR="00692E71" w:rsidRPr="001E3185" w:rsidRDefault="00692E71" w:rsidP="008E0250">
                  <w:pPr>
                    <w:tabs>
                      <w:tab w:val="decimal" w:pos="-108"/>
                    </w:tabs>
                    <w:autoSpaceDE w:val="0"/>
                    <w:autoSpaceDN w:val="0"/>
                    <w:adjustRightInd w:val="0"/>
                    <w:spacing w:before="60"/>
                    <w:jc w:val="center"/>
                    <w:rPr>
                      <w:rFonts w:cs="Arial"/>
                      <w:lang w:eastAsia="en-GB"/>
                    </w:rPr>
                  </w:pPr>
                  <w:r w:rsidRPr="001E3185">
                    <w:rPr>
                      <w:rFonts w:cs="Arial"/>
                      <w:lang w:eastAsia="en-GB"/>
                    </w:rPr>
                    <w:t>8.54E-06</w:t>
                  </w:r>
                </w:p>
              </w:tc>
              <w:tc>
                <w:tcPr>
                  <w:tcW w:w="1600" w:type="pct"/>
                  <w:shd w:val="clear" w:color="auto" w:fill="auto"/>
                  <w:vAlign w:val="center"/>
                </w:tcPr>
                <w:p w14:paraId="2CEE1A31" w14:textId="77777777" w:rsidR="00692E71" w:rsidRPr="001E3185" w:rsidRDefault="00692E71" w:rsidP="008E0250">
                  <w:pPr>
                    <w:tabs>
                      <w:tab w:val="decimal" w:pos="-108"/>
                    </w:tabs>
                    <w:autoSpaceDE w:val="0"/>
                    <w:autoSpaceDN w:val="0"/>
                    <w:adjustRightInd w:val="0"/>
                    <w:spacing w:before="60"/>
                    <w:jc w:val="center"/>
                    <w:rPr>
                      <w:rFonts w:cs="Arial"/>
                      <w:lang w:eastAsia="en-GB"/>
                    </w:rPr>
                  </w:pPr>
                  <w:r w:rsidRPr="001E3185">
                    <w:rPr>
                      <w:rFonts w:cs="Arial"/>
                      <w:lang w:eastAsia="en-GB"/>
                    </w:rPr>
                    <w:t>8.54E-05</w:t>
                  </w:r>
                </w:p>
              </w:tc>
            </w:tr>
          </w:tbl>
          <w:p w14:paraId="6678612A" w14:textId="77777777" w:rsidR="00692E71" w:rsidRPr="001E3185" w:rsidRDefault="00692E71" w:rsidP="008E0250">
            <w:pPr>
              <w:autoSpaceDE w:val="0"/>
              <w:autoSpaceDN w:val="0"/>
              <w:rPr>
                <w:rFonts w:cs="Arial"/>
              </w:rPr>
            </w:pPr>
          </w:p>
          <w:p w14:paraId="333464CC" w14:textId="77777777" w:rsidR="00692E71" w:rsidRPr="001E3185" w:rsidRDefault="00692E71" w:rsidP="008E0250">
            <w:pPr>
              <w:autoSpaceDE w:val="0"/>
              <w:autoSpaceDN w:val="0"/>
              <w:rPr>
                <w:rFonts w:cs="Arial"/>
              </w:rPr>
            </w:pPr>
            <w:r w:rsidRPr="001E3185">
              <w:rPr>
                <w:rFonts w:cs="Arial"/>
              </w:rPr>
              <w:t>Based on these PEC/PNEC ratios, it can be concluded that the use of the product will not pose a significant risk to the top predators.</w:t>
            </w:r>
          </w:p>
          <w:p w14:paraId="7C0BA618" w14:textId="77777777" w:rsidR="00692E71" w:rsidRPr="001E3185" w:rsidRDefault="00692E71" w:rsidP="008E0250">
            <w:pPr>
              <w:autoSpaceDE w:val="0"/>
              <w:autoSpaceDN w:val="0"/>
              <w:rPr>
                <w:rFonts w:cs="Arial"/>
              </w:rPr>
            </w:pPr>
          </w:p>
        </w:tc>
      </w:tr>
    </w:tbl>
    <w:p w14:paraId="402CF577" w14:textId="77777777" w:rsidR="00692E71" w:rsidRPr="001E3185" w:rsidRDefault="00692E71" w:rsidP="00692E71">
      <w:pPr>
        <w:pStyle w:val="Corpsdetexte"/>
        <w:rPr>
          <w:rFonts w:cs="Arial"/>
        </w:rPr>
      </w:pPr>
    </w:p>
    <w:p w14:paraId="17D19D44" w14:textId="77777777" w:rsidR="00692E71" w:rsidRPr="00750AC3" w:rsidRDefault="00692E71" w:rsidP="00692E71">
      <w:pPr>
        <w:rPr>
          <w:rFonts w:ascii="Arial" w:hAnsi="Arial" w:cs="Arial"/>
        </w:rPr>
      </w:pPr>
    </w:p>
    <w:p w14:paraId="5F8AF4AC" w14:textId="77777777" w:rsidR="00692E71" w:rsidRPr="00FE0AC8" w:rsidRDefault="00692E71" w:rsidP="00FE0AC8">
      <w:pPr>
        <w:pStyle w:val="Titre4"/>
      </w:pPr>
      <w:bookmarkStart w:id="156" w:name="_Toc238543523"/>
      <w:bookmarkStart w:id="157" w:name="_Toc420432124"/>
      <w:bookmarkStart w:id="158" w:name="_Toc536627325"/>
      <w:r w:rsidRPr="00FE0AC8">
        <w:t>C</w:t>
      </w:r>
      <w:bookmarkEnd w:id="156"/>
      <w:r w:rsidRPr="00FE0AC8">
        <w:t>onclusion - Remarks</w:t>
      </w:r>
      <w:bookmarkEnd w:id="157"/>
      <w:bookmarkEnd w:id="158"/>
    </w:p>
    <w:p w14:paraId="70D94273" w14:textId="77777777" w:rsidR="00692E71" w:rsidRPr="001E3185" w:rsidRDefault="00692E71" w:rsidP="00692E71">
      <w:pPr>
        <w:rPr>
          <w:rFonts w:cs="Arial"/>
        </w:rPr>
      </w:pPr>
    </w:p>
    <w:p w14:paraId="59D7190E" w14:textId="77777777" w:rsidR="00692E71" w:rsidRPr="001E3185" w:rsidRDefault="00692E71" w:rsidP="00692E71">
      <w:pPr>
        <w:rPr>
          <w:rFonts w:cs="Arial"/>
        </w:rPr>
      </w:pPr>
      <w:r w:rsidRPr="001E3185">
        <w:rPr>
          <w:rFonts w:cs="Arial"/>
        </w:rPr>
        <w:t>For the industrial application, risk was identified for the terrestrial compartment for propiconazole and tebuconazole. Storage must only take place on sealed places or under cover to prevent direct release to soil. This will be stated on the label.</w:t>
      </w:r>
    </w:p>
    <w:p w14:paraId="2BE921DA" w14:textId="77777777" w:rsidR="00692E71" w:rsidRPr="001E3185" w:rsidRDefault="00692E71" w:rsidP="00692E71">
      <w:pPr>
        <w:rPr>
          <w:rFonts w:cs="Arial"/>
        </w:rPr>
      </w:pPr>
    </w:p>
    <w:p w14:paraId="29C47406" w14:textId="77777777" w:rsidR="00692E71" w:rsidRPr="001E3185" w:rsidRDefault="00692E71" w:rsidP="00692E71">
      <w:pPr>
        <w:rPr>
          <w:rFonts w:cs="Arial"/>
        </w:rPr>
      </w:pPr>
      <w:r w:rsidRPr="001E3185">
        <w:rPr>
          <w:rFonts w:cs="Arial"/>
        </w:rPr>
        <w:t xml:space="preserve">For the </w:t>
      </w:r>
      <w:r w:rsidRPr="001E3185">
        <w:rPr>
          <w:rFonts w:cs="Arial"/>
          <w:i/>
        </w:rPr>
        <w:t>in-situ</w:t>
      </w:r>
      <w:r w:rsidRPr="001E3185">
        <w:rPr>
          <w:rFonts w:cs="Arial"/>
        </w:rPr>
        <w:t xml:space="preserve"> application, risk was identified for the aquatic compartment for cypermethrin. For the terrestrial compartment risk was identified for all active substances at spraying (Tier 1) and for IPBC at brushing and spraying. According to CA-Sept14-Doc.5.8 an acceptable risk mitigation measure will be to cover the soil during application and restrict the use of the product close to water-ways. This will be stated on the label. </w:t>
      </w:r>
    </w:p>
    <w:p w14:paraId="70A3DD1F" w14:textId="77777777" w:rsidR="00692E71" w:rsidRPr="001E3185" w:rsidRDefault="00692E71" w:rsidP="00692E71">
      <w:pPr>
        <w:rPr>
          <w:rFonts w:cs="Arial"/>
        </w:rPr>
      </w:pPr>
    </w:p>
    <w:p w14:paraId="5966F163" w14:textId="77777777" w:rsidR="00692E71" w:rsidRPr="001E3185" w:rsidRDefault="00692E71" w:rsidP="00692E71">
      <w:pPr>
        <w:rPr>
          <w:rFonts w:cs="Arial"/>
        </w:rPr>
      </w:pPr>
      <w:r w:rsidRPr="001E3185">
        <w:rPr>
          <w:rFonts w:cs="Arial"/>
        </w:rPr>
        <w:t>During service-life, risk was identified for Time 1 and 2 for the aquatic compartment due to cypermethrin. However, taking removal processes into account the risk was acceptable for all scenarios also when looking at the sum of the PEC/PNEC ratios for all 4 substances.</w:t>
      </w:r>
    </w:p>
    <w:p w14:paraId="5D473802" w14:textId="77777777" w:rsidR="00692E71" w:rsidRPr="001E3185" w:rsidRDefault="00692E71" w:rsidP="00692E71">
      <w:pPr>
        <w:rPr>
          <w:rFonts w:cs="Arial"/>
        </w:rPr>
      </w:pPr>
    </w:p>
    <w:p w14:paraId="103C84CA" w14:textId="77777777" w:rsidR="00692E71" w:rsidRPr="001E3185" w:rsidRDefault="00692E71" w:rsidP="00692E71">
      <w:pPr>
        <w:rPr>
          <w:rFonts w:cs="Arial"/>
        </w:rPr>
      </w:pPr>
      <w:r w:rsidRPr="001E3185">
        <w:rPr>
          <w:rFonts w:cs="Arial"/>
        </w:rPr>
        <w:t>In the terrestrial compartment, risk was identified at Time 1, but at Time 2 risk was acceptable when taking removal processes into account, also when looking at the sum of the PEC/PNEC ratios for all 4 substances.</w:t>
      </w:r>
    </w:p>
    <w:p w14:paraId="7CBEE79C" w14:textId="77777777" w:rsidR="00692E71" w:rsidRPr="001E3185" w:rsidRDefault="00692E71" w:rsidP="00692E71">
      <w:pPr>
        <w:rPr>
          <w:rFonts w:cs="Arial"/>
        </w:rPr>
      </w:pPr>
    </w:p>
    <w:p w14:paraId="42C84EA6" w14:textId="77777777" w:rsidR="00692E71" w:rsidRPr="001E3185" w:rsidRDefault="00692E71" w:rsidP="00692E71">
      <w:pPr>
        <w:rPr>
          <w:rFonts w:cs="Arial"/>
        </w:rPr>
      </w:pPr>
      <w:r w:rsidRPr="001E3185">
        <w:rPr>
          <w:rFonts w:cs="Arial"/>
        </w:rPr>
        <w:t>At the Arona leaching workshop (2005) risk identified at Time 1 was accepted for active substances. The practise was extended to include later product authorisations because a large number of products could not pass the risk assessment at Time 1. This issue was discussed at the second leaching workshop in Varese (2013) and at several following CA meetings (CA-Sept14-Doc.5.8).</w:t>
      </w:r>
    </w:p>
    <w:p w14:paraId="197DFD44" w14:textId="77777777" w:rsidR="00692E71" w:rsidRPr="001E3185" w:rsidRDefault="00692E71" w:rsidP="00692E71">
      <w:pPr>
        <w:rPr>
          <w:rFonts w:cs="Arial"/>
        </w:rPr>
      </w:pPr>
      <w:r w:rsidRPr="001E3185">
        <w:rPr>
          <w:rFonts w:cs="Arial"/>
        </w:rPr>
        <w:t>A number of new options were suggested at the second leaching workshop, but at this point in time, no decision has been made on how to deal with risk identified at Time 1.</w:t>
      </w:r>
    </w:p>
    <w:p w14:paraId="1169CDB5" w14:textId="77777777" w:rsidR="00692E71" w:rsidRPr="001E3185" w:rsidRDefault="00692E71" w:rsidP="00692E71">
      <w:pPr>
        <w:rPr>
          <w:rFonts w:cs="Arial"/>
        </w:rPr>
      </w:pPr>
    </w:p>
    <w:p w14:paraId="23054E7B" w14:textId="77777777" w:rsidR="00692E71" w:rsidRPr="001E3185" w:rsidRDefault="00692E71" w:rsidP="00692E71">
      <w:pPr>
        <w:rPr>
          <w:rFonts w:cs="Arial"/>
        </w:rPr>
      </w:pPr>
      <w:r w:rsidRPr="001E3185">
        <w:rPr>
          <w:rFonts w:cs="Arial"/>
        </w:rPr>
        <w:t>Based on this and the fact that the calculations in this risk assessment was based on worst-case assumptions: the leaching estimation was based on a linear extrapolation and for cypermethrin the LOQ was used in the risk assessment, this product should be treated in the same way as has been the practice with already authorized products: ignoring the risk identified at Time 1.</w:t>
      </w:r>
    </w:p>
    <w:p w14:paraId="1DA0813A" w14:textId="77777777" w:rsidR="00692E71" w:rsidRPr="00321EF6" w:rsidRDefault="00692E71" w:rsidP="00692E71">
      <w:pPr>
        <w:rPr>
          <w:rFonts w:cs="Arial"/>
        </w:rPr>
      </w:pPr>
    </w:p>
    <w:p w14:paraId="318A5EEB" w14:textId="77777777" w:rsidR="00692E71" w:rsidRPr="0039605F" w:rsidRDefault="00692E71" w:rsidP="00692E71">
      <w:pPr>
        <w:rPr>
          <w:rStyle w:val="Marquedecommentaire"/>
          <w:rFonts w:cs="Arial"/>
          <w:sz w:val="20"/>
          <w:szCs w:val="20"/>
        </w:rPr>
      </w:pPr>
      <w:r w:rsidRPr="0039605F">
        <w:rPr>
          <w:rFonts w:cs="Arial"/>
        </w:rPr>
        <w:t xml:space="preserve">The 4 active substances in this product meet the criteria for a groundwater risk assessment. </w:t>
      </w:r>
      <w:r w:rsidRPr="0039605F">
        <w:rPr>
          <w:rStyle w:val="Marquedecommentaire"/>
          <w:rFonts w:cs="Arial"/>
          <w:sz w:val="20"/>
          <w:szCs w:val="20"/>
        </w:rPr>
        <w:t>However, concentrations of cypermethrin and IPBC in the pore water are below the threshold limit for drinking water (0.1 µg/L), for the calculations for the 'House scenario' when taking removal processes into account. Therefore, a groundwater assessment is not relevant for these two substances.</w:t>
      </w:r>
    </w:p>
    <w:p w14:paraId="246836D6" w14:textId="77777777" w:rsidR="00692E71" w:rsidRPr="00321EF6" w:rsidRDefault="00692E71" w:rsidP="00692E71">
      <w:pPr>
        <w:rPr>
          <w:rFonts w:cs="Arial"/>
        </w:rPr>
      </w:pPr>
      <w:r w:rsidRPr="00321EF6">
        <w:rPr>
          <w:rFonts w:cs="Arial"/>
        </w:rPr>
        <w:t>Groundwater assessment was performed with the FOCUS PEARL model for propiconazole and tebuconazole and the two metabolites, PBC and 1</w:t>
      </w:r>
      <w:proofErr w:type="gramStart"/>
      <w:r w:rsidRPr="00321EF6">
        <w:rPr>
          <w:rFonts w:cs="Arial"/>
        </w:rPr>
        <w:t>,2,4</w:t>
      </w:r>
      <w:proofErr w:type="gramEnd"/>
      <w:r w:rsidRPr="00321EF6">
        <w:rPr>
          <w:rFonts w:cs="Arial"/>
        </w:rPr>
        <w:t xml:space="preserve">-triazole. For all these compounds, no risk for groundwater was identified, although a worst-case assumption for release to the environment was used. </w:t>
      </w:r>
    </w:p>
    <w:p w14:paraId="4D0C84EF" w14:textId="77777777" w:rsidR="00692E71" w:rsidRPr="001E3185" w:rsidRDefault="00692E71" w:rsidP="00692E71">
      <w:pPr>
        <w:rPr>
          <w:rFonts w:cs="Arial"/>
        </w:rPr>
      </w:pPr>
    </w:p>
    <w:p w14:paraId="7454B2D1" w14:textId="77777777" w:rsidR="00692E71" w:rsidRPr="001E3185" w:rsidRDefault="00692E71" w:rsidP="00692E71">
      <w:pPr>
        <w:rPr>
          <w:rFonts w:cs="Arial"/>
        </w:rPr>
      </w:pPr>
      <w:r w:rsidRPr="001E3185">
        <w:rPr>
          <w:rFonts w:cs="Arial"/>
        </w:rPr>
        <w:t>Based on the above calculations and arguments, this product, used as indicated, does not lead to unnecessary risk to the environment during application and service-life.</w:t>
      </w:r>
    </w:p>
    <w:p w14:paraId="705CEEA3" w14:textId="77777777" w:rsidR="00692E71" w:rsidRPr="001E3185" w:rsidRDefault="00692E71" w:rsidP="00692E71">
      <w:pPr>
        <w:spacing w:after="200" w:line="276" w:lineRule="auto"/>
        <w:rPr>
          <w:rFonts w:cs="Arial"/>
        </w:rPr>
      </w:pPr>
      <w:r w:rsidRPr="001E3185">
        <w:rPr>
          <w:rFonts w:cs="Arial"/>
        </w:rPr>
        <w:br w:type="page"/>
      </w:r>
    </w:p>
    <w:p w14:paraId="383BE704" w14:textId="77777777" w:rsidR="00692E71" w:rsidRPr="001E3185" w:rsidRDefault="00692E71" w:rsidP="00692E71">
      <w:pPr>
        <w:rPr>
          <w:rFonts w:cs="Arial"/>
        </w:rPr>
        <w:sectPr w:rsidR="00692E71" w:rsidRPr="001E3185" w:rsidSect="008E0250">
          <w:pgSz w:w="11906" w:h="16838"/>
          <w:pgMar w:top="1021" w:right="709" w:bottom="1021"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14992"/>
      </w:tblGrid>
      <w:tr w:rsidR="00692E71" w:rsidRPr="001E3185" w14:paraId="4C0E6B4E" w14:textId="77777777" w:rsidTr="00666966">
        <w:tc>
          <w:tcPr>
            <w:tcW w:w="14992" w:type="dxa"/>
            <w:shd w:val="clear" w:color="auto" w:fill="D6E3BC"/>
          </w:tcPr>
          <w:p w14:paraId="6D1A4B68" w14:textId="38C5F08E" w:rsidR="00692E71" w:rsidRPr="00B7552D" w:rsidRDefault="00692E71" w:rsidP="008E0250">
            <w:pPr>
              <w:pStyle w:val="Lgende"/>
              <w:rPr>
                <w:rFonts w:ascii="Verdana" w:hAnsi="Verdana"/>
                <w:lang w:val="it-IT"/>
              </w:rPr>
            </w:pPr>
            <w:r w:rsidRPr="00B7552D">
              <w:rPr>
                <w:rFonts w:ascii="Verdana" w:hAnsi="Verdana"/>
                <w:lang w:val="it-IT"/>
              </w:rPr>
              <w:lastRenderedPageBreak/>
              <w:t xml:space="preserve">FR-CA box </w:t>
            </w:r>
            <w:r w:rsidRPr="001E3185">
              <w:rPr>
                <w:rFonts w:ascii="Verdana" w:hAnsi="Verdana"/>
              </w:rPr>
              <w:fldChar w:fldCharType="begin"/>
            </w:r>
            <w:r w:rsidRPr="00B7552D">
              <w:rPr>
                <w:rFonts w:ascii="Verdana" w:hAnsi="Verdana"/>
                <w:lang w:val="it-IT"/>
              </w:rPr>
              <w:instrText xml:space="preserve"> SEQ FR-CA_box_ \* ARABIC </w:instrText>
            </w:r>
            <w:r w:rsidRPr="001E3185">
              <w:rPr>
                <w:rFonts w:ascii="Verdana" w:hAnsi="Verdana"/>
              </w:rPr>
              <w:fldChar w:fldCharType="separate"/>
            </w:r>
            <w:r w:rsidR="00666966" w:rsidRPr="00B7552D">
              <w:rPr>
                <w:rFonts w:ascii="Verdana" w:hAnsi="Verdana"/>
                <w:noProof/>
                <w:lang w:val="it-IT"/>
              </w:rPr>
              <w:t>14</w:t>
            </w:r>
            <w:r w:rsidRPr="001E3185">
              <w:rPr>
                <w:rFonts w:ascii="Verdana" w:hAnsi="Verdana"/>
              </w:rPr>
              <w:fldChar w:fldCharType="end"/>
            </w:r>
          </w:p>
          <w:p w14:paraId="3ACAB877" w14:textId="3D3246A9" w:rsidR="00692E71" w:rsidRPr="001E3185" w:rsidRDefault="00692E71" w:rsidP="008E0250">
            <w:pPr>
              <w:autoSpaceDE w:val="0"/>
              <w:autoSpaceDN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276"/>
              <w:gridCol w:w="889"/>
              <w:gridCol w:w="1503"/>
              <w:gridCol w:w="154"/>
              <w:gridCol w:w="986"/>
              <w:gridCol w:w="1503"/>
              <w:gridCol w:w="210"/>
              <w:gridCol w:w="930"/>
              <w:gridCol w:w="1314"/>
              <w:gridCol w:w="165"/>
              <w:gridCol w:w="975"/>
              <w:gridCol w:w="1140"/>
              <w:gridCol w:w="154"/>
              <w:gridCol w:w="851"/>
              <w:gridCol w:w="1447"/>
            </w:tblGrid>
            <w:tr w:rsidR="00692E71" w:rsidRPr="001E3185" w14:paraId="6327E230" w14:textId="77777777" w:rsidTr="0039605F">
              <w:trPr>
                <w:trHeight w:val="567"/>
              </w:trPr>
              <w:tc>
                <w:tcPr>
                  <w:tcW w:w="430" w:type="pct"/>
                  <w:vMerge w:val="restart"/>
                  <w:shd w:val="clear" w:color="auto" w:fill="B8CCE4" w:themeFill="accent1" w:themeFillTint="66"/>
                  <w:vAlign w:val="center"/>
                </w:tcPr>
                <w:p w14:paraId="0E1377B6"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Phase</w:t>
                  </w:r>
                </w:p>
              </w:tc>
              <w:tc>
                <w:tcPr>
                  <w:tcW w:w="432" w:type="pct"/>
                  <w:vMerge w:val="restart"/>
                  <w:shd w:val="clear" w:color="auto" w:fill="B8CCE4" w:themeFill="accent1" w:themeFillTint="66"/>
                  <w:vAlign w:val="center"/>
                </w:tcPr>
                <w:p w14:paraId="1BE449BA"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Type of application / Uses</w:t>
                  </w:r>
                </w:p>
              </w:tc>
              <w:tc>
                <w:tcPr>
                  <w:tcW w:w="301" w:type="pct"/>
                  <w:vMerge w:val="restart"/>
                  <w:shd w:val="clear" w:color="auto" w:fill="B8CCE4" w:themeFill="accent1" w:themeFillTint="66"/>
                  <w:vAlign w:val="center"/>
                </w:tcPr>
                <w:p w14:paraId="1FED186C"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STP</w:t>
                  </w:r>
                </w:p>
              </w:tc>
              <w:tc>
                <w:tcPr>
                  <w:tcW w:w="895" w:type="pct"/>
                  <w:gridSpan w:val="3"/>
                  <w:shd w:val="clear" w:color="auto" w:fill="B8CCE4" w:themeFill="accent1" w:themeFillTint="66"/>
                  <w:vAlign w:val="center"/>
                </w:tcPr>
                <w:p w14:paraId="65CEB562"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Surface water</w:t>
                  </w:r>
                </w:p>
              </w:tc>
              <w:tc>
                <w:tcPr>
                  <w:tcW w:w="895" w:type="pct"/>
                  <w:gridSpan w:val="3"/>
                  <w:shd w:val="clear" w:color="auto" w:fill="B8CCE4" w:themeFill="accent1" w:themeFillTint="66"/>
                  <w:vAlign w:val="center"/>
                </w:tcPr>
                <w:p w14:paraId="46115BC0"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Sediment</w:t>
                  </w:r>
                </w:p>
              </w:tc>
              <w:tc>
                <w:tcPr>
                  <w:tcW w:w="831" w:type="pct"/>
                  <w:gridSpan w:val="3"/>
                  <w:shd w:val="clear" w:color="auto" w:fill="B8CCE4" w:themeFill="accent1" w:themeFillTint="66"/>
                  <w:vAlign w:val="center"/>
                </w:tcPr>
                <w:p w14:paraId="22F9A4DA"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Soil</w:t>
                  </w:r>
                </w:p>
              </w:tc>
              <w:tc>
                <w:tcPr>
                  <w:tcW w:w="726" w:type="pct"/>
                  <w:gridSpan w:val="3"/>
                  <w:shd w:val="clear" w:color="auto" w:fill="B8CCE4" w:themeFill="accent1" w:themeFillTint="66"/>
                  <w:vAlign w:val="center"/>
                </w:tcPr>
                <w:p w14:paraId="5E35F957"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Groundwater</w:t>
                  </w:r>
                </w:p>
              </w:tc>
              <w:tc>
                <w:tcPr>
                  <w:tcW w:w="490" w:type="pct"/>
                  <w:vMerge w:val="restart"/>
                  <w:shd w:val="clear" w:color="auto" w:fill="B8CCE4" w:themeFill="accent1" w:themeFillTint="66"/>
                  <w:vAlign w:val="center"/>
                </w:tcPr>
                <w:p w14:paraId="57AB56A5"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Secondary Poisoning</w:t>
                  </w:r>
                </w:p>
              </w:tc>
            </w:tr>
            <w:tr w:rsidR="00E27E98" w:rsidRPr="001E3185" w14:paraId="439DB586" w14:textId="77777777" w:rsidTr="0039605F">
              <w:trPr>
                <w:trHeight w:val="567"/>
              </w:trPr>
              <w:tc>
                <w:tcPr>
                  <w:tcW w:w="430" w:type="pct"/>
                  <w:vMerge/>
                </w:tcPr>
                <w:p w14:paraId="0C1D3B02"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432" w:type="pct"/>
                  <w:vMerge/>
                </w:tcPr>
                <w:p w14:paraId="586D80F6"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301" w:type="pct"/>
                  <w:vMerge/>
                </w:tcPr>
                <w:p w14:paraId="7BF930E9"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561" w:type="pct"/>
                  <w:gridSpan w:val="2"/>
                  <w:shd w:val="clear" w:color="auto" w:fill="DBE5F1" w:themeFill="accent1" w:themeFillTint="33"/>
                  <w:vAlign w:val="center"/>
                </w:tcPr>
                <w:p w14:paraId="21D648CB"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334" w:type="pct"/>
                  <w:shd w:val="clear" w:color="auto" w:fill="DBE5F1" w:themeFill="accent1" w:themeFillTint="33"/>
                  <w:vAlign w:val="center"/>
                </w:tcPr>
                <w:p w14:paraId="34B347D3"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580" w:type="pct"/>
                  <w:gridSpan w:val="2"/>
                  <w:shd w:val="clear" w:color="auto" w:fill="DBE5F1" w:themeFill="accent1" w:themeFillTint="33"/>
                  <w:vAlign w:val="center"/>
                </w:tcPr>
                <w:p w14:paraId="5CD72658"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315" w:type="pct"/>
                  <w:shd w:val="clear" w:color="auto" w:fill="DBE5F1" w:themeFill="accent1" w:themeFillTint="33"/>
                  <w:vAlign w:val="center"/>
                </w:tcPr>
                <w:p w14:paraId="44E6DCC1"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501" w:type="pct"/>
                  <w:gridSpan w:val="2"/>
                  <w:shd w:val="clear" w:color="auto" w:fill="DBE5F1" w:themeFill="accent1" w:themeFillTint="33"/>
                  <w:vAlign w:val="center"/>
                </w:tcPr>
                <w:p w14:paraId="67AFA955"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330" w:type="pct"/>
                  <w:shd w:val="clear" w:color="auto" w:fill="DBE5F1" w:themeFill="accent1" w:themeFillTint="33"/>
                  <w:vAlign w:val="center"/>
                </w:tcPr>
                <w:p w14:paraId="59001E2F"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438" w:type="pct"/>
                  <w:gridSpan w:val="2"/>
                  <w:shd w:val="clear" w:color="auto" w:fill="DBE5F1" w:themeFill="accent1" w:themeFillTint="33"/>
                  <w:vAlign w:val="center"/>
                </w:tcPr>
                <w:p w14:paraId="7492D806"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288" w:type="pct"/>
                  <w:shd w:val="clear" w:color="auto" w:fill="DBE5F1" w:themeFill="accent1" w:themeFillTint="33"/>
                  <w:vAlign w:val="center"/>
                </w:tcPr>
                <w:p w14:paraId="40764E0C"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490" w:type="pct"/>
                  <w:vMerge/>
                </w:tcPr>
                <w:p w14:paraId="159D038B" w14:textId="77777777" w:rsidR="00692E71" w:rsidRPr="001E3185" w:rsidRDefault="00692E71" w:rsidP="008E0250">
                  <w:pPr>
                    <w:tabs>
                      <w:tab w:val="decimal" w:pos="-108"/>
                    </w:tabs>
                    <w:autoSpaceDE w:val="0"/>
                    <w:autoSpaceDN w:val="0"/>
                    <w:adjustRightInd w:val="0"/>
                    <w:spacing w:before="60"/>
                    <w:jc w:val="center"/>
                    <w:rPr>
                      <w:rFonts w:cs="Arial"/>
                      <w:i/>
                      <w:sz w:val="18"/>
                      <w:szCs w:val="18"/>
                      <w:lang w:eastAsia="en-GB"/>
                    </w:rPr>
                  </w:pPr>
                </w:p>
              </w:tc>
            </w:tr>
            <w:tr w:rsidR="00E27E98" w:rsidRPr="001E3185" w14:paraId="1559AFDC" w14:textId="77777777" w:rsidTr="0039605F">
              <w:trPr>
                <w:trHeight w:val="850"/>
              </w:trPr>
              <w:tc>
                <w:tcPr>
                  <w:tcW w:w="430" w:type="pct"/>
                  <w:vMerge w:val="restart"/>
                  <w:vAlign w:val="center"/>
                </w:tcPr>
                <w:p w14:paraId="1449C134"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Application</w:t>
                  </w:r>
                </w:p>
              </w:tc>
              <w:tc>
                <w:tcPr>
                  <w:tcW w:w="432" w:type="pct"/>
                  <w:vAlign w:val="center"/>
                </w:tcPr>
                <w:p w14:paraId="6C85B477"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Industrial Dipping</w:t>
                  </w:r>
                </w:p>
              </w:tc>
              <w:tc>
                <w:tcPr>
                  <w:tcW w:w="301" w:type="pct"/>
                  <w:vAlign w:val="center"/>
                </w:tcPr>
                <w:p w14:paraId="60692B7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61" w:type="pct"/>
                  <w:gridSpan w:val="2"/>
                  <w:vAlign w:val="center"/>
                </w:tcPr>
                <w:p w14:paraId="3DB68120"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b/>
                      <w:sz w:val="18"/>
                      <w:szCs w:val="18"/>
                      <w:lang w:eastAsia="en-GB"/>
                    </w:rPr>
                    <w:t>Unacceptable</w:t>
                  </w:r>
                </w:p>
              </w:tc>
              <w:tc>
                <w:tcPr>
                  <w:tcW w:w="334" w:type="pct"/>
                  <w:vAlign w:val="center"/>
                </w:tcPr>
                <w:p w14:paraId="1D84883C"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80" w:type="pct"/>
                  <w:gridSpan w:val="2"/>
                  <w:vAlign w:val="center"/>
                </w:tcPr>
                <w:p w14:paraId="006B36F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b/>
                      <w:sz w:val="18"/>
                      <w:szCs w:val="18"/>
                      <w:lang w:eastAsia="en-GB"/>
                    </w:rPr>
                    <w:t>Unacceptable</w:t>
                  </w:r>
                </w:p>
              </w:tc>
              <w:tc>
                <w:tcPr>
                  <w:tcW w:w="315" w:type="pct"/>
                  <w:vAlign w:val="center"/>
                </w:tcPr>
                <w:p w14:paraId="2C27B0E4"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01" w:type="pct"/>
                  <w:gridSpan w:val="2"/>
                  <w:vAlign w:val="center"/>
                </w:tcPr>
                <w:p w14:paraId="09B9DF8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r w:rsidRPr="001E3185">
                    <w:rPr>
                      <w:rFonts w:cs="Arial"/>
                      <w:sz w:val="18"/>
                      <w:szCs w:val="18"/>
                      <w:vertAlign w:val="superscript"/>
                    </w:rPr>
                    <w:t>(1)</w:t>
                  </w:r>
                </w:p>
              </w:tc>
              <w:tc>
                <w:tcPr>
                  <w:tcW w:w="330" w:type="pct"/>
                  <w:vAlign w:val="center"/>
                </w:tcPr>
                <w:p w14:paraId="3AC185C4"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38" w:type="pct"/>
                  <w:gridSpan w:val="2"/>
                  <w:shd w:val="clear" w:color="auto" w:fill="auto"/>
                  <w:vAlign w:val="center"/>
                </w:tcPr>
                <w:p w14:paraId="2D357D1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288" w:type="pct"/>
                  <w:shd w:val="clear" w:color="auto" w:fill="auto"/>
                  <w:vAlign w:val="center"/>
                </w:tcPr>
                <w:p w14:paraId="780DC00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90" w:type="pct"/>
                  <w:vAlign w:val="center"/>
                </w:tcPr>
                <w:p w14:paraId="428C244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r>
            <w:tr w:rsidR="00E27E98" w:rsidRPr="001E3185" w14:paraId="44E7DEEA" w14:textId="77777777" w:rsidTr="0039605F">
              <w:trPr>
                <w:trHeight w:val="850"/>
              </w:trPr>
              <w:tc>
                <w:tcPr>
                  <w:tcW w:w="430" w:type="pct"/>
                  <w:vMerge/>
                  <w:vAlign w:val="center"/>
                </w:tcPr>
                <w:p w14:paraId="2CBC5780"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432" w:type="pct"/>
                  <w:vAlign w:val="center"/>
                </w:tcPr>
                <w:p w14:paraId="50759567"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Brush</w:t>
                  </w:r>
                </w:p>
              </w:tc>
              <w:tc>
                <w:tcPr>
                  <w:tcW w:w="301" w:type="pct"/>
                  <w:vAlign w:val="center"/>
                </w:tcPr>
                <w:p w14:paraId="49F16A55"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61" w:type="pct"/>
                  <w:gridSpan w:val="2"/>
                  <w:vAlign w:val="center"/>
                </w:tcPr>
                <w:p w14:paraId="4D891785" w14:textId="77777777" w:rsidR="00692E71" w:rsidRPr="001E3185" w:rsidRDefault="00692E71" w:rsidP="008E0250">
                  <w:pPr>
                    <w:tabs>
                      <w:tab w:val="decimal" w:pos="-108"/>
                    </w:tabs>
                    <w:autoSpaceDE w:val="0"/>
                    <w:autoSpaceDN w:val="0"/>
                    <w:adjustRightInd w:val="0"/>
                    <w:jc w:val="center"/>
                    <w:rPr>
                      <w:rFonts w:cs="Arial"/>
                      <w:b/>
                      <w:sz w:val="18"/>
                      <w:szCs w:val="18"/>
                      <w:lang w:eastAsia="en-GB"/>
                    </w:rPr>
                  </w:pPr>
                  <w:r w:rsidRPr="001E3185">
                    <w:rPr>
                      <w:rFonts w:cs="Arial"/>
                      <w:b/>
                      <w:sz w:val="18"/>
                      <w:szCs w:val="18"/>
                      <w:lang w:eastAsia="en-GB"/>
                    </w:rPr>
                    <w:t>Unacceptable</w:t>
                  </w:r>
                </w:p>
              </w:tc>
              <w:tc>
                <w:tcPr>
                  <w:tcW w:w="334" w:type="pct"/>
                  <w:vAlign w:val="center"/>
                </w:tcPr>
                <w:p w14:paraId="1F581E96"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80" w:type="pct"/>
                  <w:gridSpan w:val="2"/>
                  <w:vAlign w:val="center"/>
                </w:tcPr>
                <w:p w14:paraId="129A2F18" w14:textId="77777777" w:rsidR="00692E71" w:rsidRPr="001E3185" w:rsidRDefault="00692E71" w:rsidP="008E0250">
                  <w:pPr>
                    <w:tabs>
                      <w:tab w:val="decimal" w:pos="-108"/>
                    </w:tabs>
                    <w:autoSpaceDE w:val="0"/>
                    <w:autoSpaceDN w:val="0"/>
                    <w:adjustRightInd w:val="0"/>
                    <w:jc w:val="center"/>
                    <w:rPr>
                      <w:rFonts w:cs="Arial"/>
                      <w:b/>
                      <w:sz w:val="18"/>
                      <w:szCs w:val="18"/>
                      <w:lang w:eastAsia="en-GB"/>
                    </w:rPr>
                  </w:pPr>
                  <w:r w:rsidRPr="001E3185">
                    <w:rPr>
                      <w:rFonts w:cs="Arial"/>
                      <w:b/>
                      <w:sz w:val="18"/>
                      <w:szCs w:val="18"/>
                      <w:lang w:eastAsia="en-GB"/>
                    </w:rPr>
                    <w:t>Unacceptable</w:t>
                  </w:r>
                </w:p>
              </w:tc>
              <w:tc>
                <w:tcPr>
                  <w:tcW w:w="315" w:type="pct"/>
                  <w:vAlign w:val="center"/>
                </w:tcPr>
                <w:p w14:paraId="400D73F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01" w:type="pct"/>
                  <w:gridSpan w:val="2"/>
                  <w:vAlign w:val="center"/>
                </w:tcPr>
                <w:p w14:paraId="5F260F0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r w:rsidRPr="001E3185">
                    <w:rPr>
                      <w:rFonts w:cs="Arial"/>
                      <w:sz w:val="18"/>
                      <w:szCs w:val="18"/>
                      <w:vertAlign w:val="superscript"/>
                    </w:rPr>
                    <w:t>(1)</w:t>
                  </w:r>
                </w:p>
              </w:tc>
              <w:tc>
                <w:tcPr>
                  <w:tcW w:w="330" w:type="pct"/>
                  <w:vAlign w:val="center"/>
                </w:tcPr>
                <w:p w14:paraId="521AC8D8"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38" w:type="pct"/>
                  <w:gridSpan w:val="2"/>
                  <w:shd w:val="clear" w:color="auto" w:fill="auto"/>
                  <w:vAlign w:val="center"/>
                </w:tcPr>
                <w:p w14:paraId="6897EFB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288" w:type="pct"/>
                  <w:shd w:val="clear" w:color="auto" w:fill="auto"/>
                  <w:vAlign w:val="center"/>
                </w:tcPr>
                <w:p w14:paraId="27D52DB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90" w:type="pct"/>
                  <w:vAlign w:val="center"/>
                </w:tcPr>
                <w:p w14:paraId="38483361"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r>
            <w:tr w:rsidR="00E27E98" w:rsidRPr="001E3185" w14:paraId="1AF072D1" w14:textId="77777777" w:rsidTr="0039605F">
              <w:trPr>
                <w:trHeight w:val="850"/>
              </w:trPr>
              <w:tc>
                <w:tcPr>
                  <w:tcW w:w="430" w:type="pct"/>
                  <w:vMerge/>
                  <w:vAlign w:val="center"/>
                </w:tcPr>
                <w:p w14:paraId="0E5F8636"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432" w:type="pct"/>
                  <w:vAlign w:val="center"/>
                </w:tcPr>
                <w:p w14:paraId="01AC78DF"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Spray</w:t>
                  </w:r>
                </w:p>
              </w:tc>
              <w:tc>
                <w:tcPr>
                  <w:tcW w:w="301" w:type="pct"/>
                  <w:vAlign w:val="center"/>
                </w:tcPr>
                <w:p w14:paraId="50A5BFC7"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61" w:type="pct"/>
                  <w:gridSpan w:val="2"/>
                  <w:vAlign w:val="center"/>
                </w:tcPr>
                <w:p w14:paraId="01BB1B0D" w14:textId="77777777" w:rsidR="00692E71" w:rsidRPr="001E3185" w:rsidRDefault="00692E71" w:rsidP="008E0250">
                  <w:pPr>
                    <w:tabs>
                      <w:tab w:val="decimal" w:pos="-108"/>
                    </w:tabs>
                    <w:autoSpaceDE w:val="0"/>
                    <w:autoSpaceDN w:val="0"/>
                    <w:adjustRightInd w:val="0"/>
                    <w:jc w:val="center"/>
                    <w:rPr>
                      <w:rFonts w:cs="Arial"/>
                      <w:b/>
                      <w:sz w:val="18"/>
                      <w:szCs w:val="18"/>
                      <w:lang w:eastAsia="en-GB"/>
                    </w:rPr>
                  </w:pPr>
                  <w:r w:rsidRPr="001E3185">
                    <w:rPr>
                      <w:rFonts w:cs="Arial"/>
                      <w:b/>
                      <w:sz w:val="18"/>
                      <w:szCs w:val="18"/>
                      <w:lang w:eastAsia="en-GB"/>
                    </w:rPr>
                    <w:t>Unacceptable</w:t>
                  </w:r>
                </w:p>
              </w:tc>
              <w:tc>
                <w:tcPr>
                  <w:tcW w:w="334" w:type="pct"/>
                  <w:vAlign w:val="center"/>
                </w:tcPr>
                <w:p w14:paraId="02097F78"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80" w:type="pct"/>
                  <w:gridSpan w:val="2"/>
                  <w:vAlign w:val="center"/>
                </w:tcPr>
                <w:p w14:paraId="416BC57C" w14:textId="77777777" w:rsidR="00692E71" w:rsidRPr="001E3185" w:rsidRDefault="00692E71" w:rsidP="008E0250">
                  <w:pPr>
                    <w:tabs>
                      <w:tab w:val="decimal" w:pos="-108"/>
                    </w:tabs>
                    <w:autoSpaceDE w:val="0"/>
                    <w:autoSpaceDN w:val="0"/>
                    <w:adjustRightInd w:val="0"/>
                    <w:jc w:val="center"/>
                    <w:rPr>
                      <w:rFonts w:cs="Arial"/>
                      <w:b/>
                      <w:sz w:val="18"/>
                      <w:szCs w:val="18"/>
                      <w:lang w:eastAsia="en-GB"/>
                    </w:rPr>
                  </w:pPr>
                  <w:r w:rsidRPr="001E3185">
                    <w:rPr>
                      <w:rFonts w:cs="Arial"/>
                      <w:b/>
                      <w:sz w:val="18"/>
                      <w:szCs w:val="18"/>
                      <w:lang w:eastAsia="en-GB"/>
                    </w:rPr>
                    <w:t>Unacceptable</w:t>
                  </w:r>
                </w:p>
              </w:tc>
              <w:tc>
                <w:tcPr>
                  <w:tcW w:w="315" w:type="pct"/>
                  <w:vAlign w:val="center"/>
                </w:tcPr>
                <w:p w14:paraId="5E83FAE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01" w:type="pct"/>
                  <w:gridSpan w:val="2"/>
                  <w:vAlign w:val="center"/>
                </w:tcPr>
                <w:p w14:paraId="083E93AC"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r w:rsidRPr="001E3185">
                    <w:rPr>
                      <w:rFonts w:cs="Arial"/>
                      <w:sz w:val="18"/>
                      <w:szCs w:val="18"/>
                      <w:vertAlign w:val="superscript"/>
                    </w:rPr>
                    <w:t>(1)</w:t>
                  </w:r>
                </w:p>
              </w:tc>
              <w:tc>
                <w:tcPr>
                  <w:tcW w:w="330" w:type="pct"/>
                  <w:vAlign w:val="center"/>
                </w:tcPr>
                <w:p w14:paraId="63B3CFBA"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38" w:type="pct"/>
                  <w:gridSpan w:val="2"/>
                  <w:shd w:val="clear" w:color="auto" w:fill="auto"/>
                  <w:vAlign w:val="center"/>
                </w:tcPr>
                <w:p w14:paraId="0434ECCA"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288" w:type="pct"/>
                  <w:shd w:val="clear" w:color="auto" w:fill="auto"/>
                  <w:vAlign w:val="center"/>
                </w:tcPr>
                <w:p w14:paraId="7D6CA92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90" w:type="pct"/>
                  <w:vAlign w:val="center"/>
                </w:tcPr>
                <w:p w14:paraId="4CA2C1C5"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r>
            <w:tr w:rsidR="00692E71" w:rsidRPr="001E3185" w14:paraId="114C0860" w14:textId="77777777" w:rsidTr="0039605F">
              <w:trPr>
                <w:trHeight w:val="850"/>
              </w:trPr>
              <w:tc>
                <w:tcPr>
                  <w:tcW w:w="430" w:type="pct"/>
                  <w:vMerge w:val="restart"/>
                  <w:vAlign w:val="center"/>
                </w:tcPr>
                <w:p w14:paraId="15718402"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rPr>
                    <w:t>Wood in service</w:t>
                  </w:r>
                </w:p>
              </w:tc>
              <w:tc>
                <w:tcPr>
                  <w:tcW w:w="432" w:type="pct"/>
                  <w:vAlign w:val="center"/>
                </w:tcPr>
                <w:p w14:paraId="3EE21087"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rPr>
                    <w:t>Use Class 1 and 2</w:t>
                  </w:r>
                </w:p>
              </w:tc>
              <w:tc>
                <w:tcPr>
                  <w:tcW w:w="4138" w:type="pct"/>
                  <w:gridSpan w:val="14"/>
                  <w:vAlign w:val="center"/>
                </w:tcPr>
                <w:p w14:paraId="5E00A1B5" w14:textId="77777777" w:rsidR="00FF4AC6" w:rsidRDefault="00692E71" w:rsidP="008E0250">
                  <w:pPr>
                    <w:tabs>
                      <w:tab w:val="decimal" w:pos="-108"/>
                    </w:tabs>
                    <w:autoSpaceDE w:val="0"/>
                    <w:autoSpaceDN w:val="0"/>
                    <w:adjustRightInd w:val="0"/>
                    <w:jc w:val="center"/>
                    <w:rPr>
                      <w:rFonts w:cs="Arial"/>
                      <w:sz w:val="18"/>
                      <w:szCs w:val="18"/>
                    </w:rPr>
                  </w:pPr>
                  <w:r w:rsidRPr="001E3185">
                    <w:rPr>
                      <w:rFonts w:cs="Arial"/>
                      <w:sz w:val="18"/>
                      <w:szCs w:val="18"/>
                    </w:rPr>
                    <w:t>Not relevant (releases to the</w:t>
                  </w:r>
                </w:p>
                <w:p w14:paraId="01A0CFAE" w14:textId="59489696"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rPr>
                    <w:t xml:space="preserve"> environment not expected)</w:t>
                  </w:r>
                </w:p>
              </w:tc>
            </w:tr>
            <w:tr w:rsidR="00692E71" w:rsidRPr="001E3185" w14:paraId="318C6AF9" w14:textId="77777777" w:rsidTr="0039605F">
              <w:trPr>
                <w:trHeight w:val="850"/>
              </w:trPr>
              <w:tc>
                <w:tcPr>
                  <w:tcW w:w="430" w:type="pct"/>
                  <w:vMerge/>
                </w:tcPr>
                <w:p w14:paraId="2CEA0D44" w14:textId="2500B9A5"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432" w:type="pct"/>
                  <w:vAlign w:val="center"/>
                </w:tcPr>
                <w:p w14:paraId="2A0BA622" w14:textId="285397A2"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rPr>
                    <w:t>Use Class 3</w:t>
                  </w:r>
                  <w:r w:rsidR="00E47CBC" w:rsidRPr="00495DAF">
                    <w:rPr>
                      <w:rFonts w:cs="Arial"/>
                      <w:sz w:val="18"/>
                      <w:szCs w:val="18"/>
                      <w:vertAlign w:val="superscript"/>
                    </w:rPr>
                    <w:t>(4)</w:t>
                  </w:r>
                </w:p>
              </w:tc>
              <w:tc>
                <w:tcPr>
                  <w:tcW w:w="301" w:type="pct"/>
                  <w:vAlign w:val="center"/>
                </w:tcPr>
                <w:p w14:paraId="1BF13FE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509" w:type="pct"/>
                  <w:vAlign w:val="center"/>
                </w:tcPr>
                <w:p w14:paraId="112E59E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386" w:type="pct"/>
                  <w:gridSpan w:val="2"/>
                  <w:vAlign w:val="center"/>
                </w:tcPr>
                <w:p w14:paraId="3A3CADB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509" w:type="pct"/>
                  <w:vAlign w:val="center"/>
                </w:tcPr>
                <w:p w14:paraId="44E1ABD9" w14:textId="2764A823" w:rsidR="00692E71" w:rsidRPr="001E3185" w:rsidRDefault="00AC7292"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r w:rsidR="009D15C7">
                    <w:rPr>
                      <w:rFonts w:cs="Arial"/>
                      <w:sz w:val="18"/>
                      <w:szCs w:val="18"/>
                      <w:vertAlign w:val="superscript"/>
                    </w:rPr>
                    <w:t>(3</w:t>
                  </w:r>
                  <w:r w:rsidRPr="001E3185">
                    <w:rPr>
                      <w:rFonts w:cs="Arial"/>
                      <w:sz w:val="18"/>
                      <w:szCs w:val="18"/>
                      <w:vertAlign w:val="superscript"/>
                    </w:rPr>
                    <w:t>)</w:t>
                  </w:r>
                </w:p>
              </w:tc>
              <w:tc>
                <w:tcPr>
                  <w:tcW w:w="386" w:type="pct"/>
                  <w:gridSpan w:val="2"/>
                  <w:vAlign w:val="center"/>
                </w:tcPr>
                <w:p w14:paraId="208A7BF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445" w:type="pct"/>
                  <w:vAlign w:val="center"/>
                </w:tcPr>
                <w:p w14:paraId="7BC1E421"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386" w:type="pct"/>
                  <w:gridSpan w:val="2"/>
                  <w:vAlign w:val="center"/>
                </w:tcPr>
                <w:p w14:paraId="5859B16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386" w:type="pct"/>
                  <w:vAlign w:val="center"/>
                </w:tcPr>
                <w:p w14:paraId="03F8DB7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340" w:type="pct"/>
                  <w:gridSpan w:val="2"/>
                  <w:vAlign w:val="center"/>
                </w:tcPr>
                <w:p w14:paraId="7D07825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490" w:type="pct"/>
                  <w:vAlign w:val="center"/>
                </w:tcPr>
                <w:p w14:paraId="24216E2D"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r w:rsidRPr="001E3185">
                    <w:rPr>
                      <w:rFonts w:cs="Arial"/>
                      <w:sz w:val="18"/>
                      <w:szCs w:val="18"/>
                      <w:vertAlign w:val="superscript"/>
                    </w:rPr>
                    <w:t>(2)</w:t>
                  </w:r>
                </w:p>
              </w:tc>
            </w:tr>
          </w:tbl>
          <w:p w14:paraId="72F095E4" w14:textId="77777777" w:rsidR="00692E71" w:rsidRPr="001E3185" w:rsidRDefault="00692E71" w:rsidP="008E0250">
            <w:pPr>
              <w:autoSpaceDE w:val="0"/>
              <w:autoSpaceDN w:val="0"/>
              <w:rPr>
                <w:rFonts w:cs="Arial"/>
                <w:sz w:val="16"/>
                <w:szCs w:val="16"/>
              </w:rPr>
            </w:pPr>
            <w:r w:rsidRPr="001E3185">
              <w:rPr>
                <w:rFonts w:cs="Arial"/>
                <w:sz w:val="16"/>
                <w:szCs w:val="16"/>
              </w:rPr>
              <w:t>‘(1) Only if soil is covered during the product application, in order to prevent direct releases to soil.</w:t>
            </w:r>
          </w:p>
          <w:p w14:paraId="12B337F4" w14:textId="77777777" w:rsidR="00692E71" w:rsidRDefault="00692E71" w:rsidP="008E0250">
            <w:pPr>
              <w:autoSpaceDE w:val="0"/>
              <w:autoSpaceDN w:val="0"/>
              <w:rPr>
                <w:rFonts w:cs="Arial"/>
                <w:sz w:val="16"/>
                <w:szCs w:val="16"/>
              </w:rPr>
            </w:pPr>
            <w:r w:rsidRPr="001E3185">
              <w:rPr>
                <w:rFonts w:cs="Arial"/>
                <w:sz w:val="16"/>
                <w:szCs w:val="16"/>
              </w:rPr>
              <w:t>‘(2) For aquatic and terrestrial food chain.</w:t>
            </w:r>
          </w:p>
          <w:p w14:paraId="020DD16D" w14:textId="11FCCB45" w:rsidR="00AC7292" w:rsidRDefault="00AC7292" w:rsidP="009D15C7">
            <w:pPr>
              <w:autoSpaceDE w:val="0"/>
              <w:autoSpaceDN w:val="0"/>
              <w:rPr>
                <w:rFonts w:cs="Arial"/>
                <w:i/>
                <w:sz w:val="16"/>
                <w:szCs w:val="16"/>
              </w:rPr>
            </w:pPr>
            <w:r>
              <w:rPr>
                <w:rFonts w:cs="Arial"/>
                <w:sz w:val="16"/>
                <w:szCs w:val="16"/>
              </w:rPr>
              <w:t>‘(3</w:t>
            </w:r>
            <w:r w:rsidRPr="001E3185">
              <w:rPr>
                <w:rFonts w:cs="Arial"/>
                <w:sz w:val="16"/>
                <w:szCs w:val="16"/>
              </w:rPr>
              <w:t xml:space="preserve">) </w:t>
            </w:r>
            <w:r>
              <w:rPr>
                <w:rFonts w:cs="Arial"/>
                <w:sz w:val="16"/>
                <w:szCs w:val="16"/>
              </w:rPr>
              <w:t xml:space="preserve">Considering the following RMM: </w:t>
            </w:r>
            <w:r w:rsidRPr="005108D5">
              <w:rPr>
                <w:rFonts w:cs="Arial"/>
                <w:i/>
                <w:sz w:val="16"/>
                <w:szCs w:val="16"/>
              </w:rPr>
              <w:t>Do not apply where the product can reach surface water during outdoor application</w:t>
            </w:r>
            <w:r>
              <w:rPr>
                <w:rFonts w:cs="Arial"/>
                <w:sz w:val="16"/>
                <w:szCs w:val="16"/>
              </w:rPr>
              <w:t xml:space="preserve"> </w:t>
            </w:r>
          </w:p>
          <w:p w14:paraId="04F94DEC" w14:textId="24811110" w:rsidR="00096974" w:rsidRPr="001B6933" w:rsidRDefault="00E47CBC" w:rsidP="00096974">
            <w:pPr>
              <w:rPr>
                <w:sz w:val="18"/>
                <w:szCs w:val="18"/>
                <w:lang w:val="en-US" w:eastAsia="en-GB"/>
              </w:rPr>
            </w:pPr>
            <w:r w:rsidRPr="00860D42">
              <w:rPr>
                <w:rFonts w:cs="Arial"/>
                <w:sz w:val="16"/>
                <w:szCs w:val="16"/>
              </w:rPr>
              <w:t>‘(4</w:t>
            </w:r>
            <w:r w:rsidR="00096974">
              <w:rPr>
                <w:rFonts w:cs="Arial"/>
                <w:sz w:val="16"/>
                <w:szCs w:val="16"/>
              </w:rPr>
              <w:t>) T</w:t>
            </w:r>
            <w:r w:rsidR="00096974" w:rsidRPr="00203058">
              <w:rPr>
                <w:sz w:val="18"/>
                <w:szCs w:val="18"/>
                <w:lang w:val="en-US" w:eastAsia="en-GB"/>
              </w:rPr>
              <w:t>he risk assessment</w:t>
            </w:r>
            <w:r w:rsidR="00096974">
              <w:rPr>
                <w:sz w:val="18"/>
                <w:szCs w:val="18"/>
                <w:lang w:val="en-US" w:eastAsia="en-GB"/>
              </w:rPr>
              <w:t xml:space="preserve"> has been </w:t>
            </w:r>
            <w:r w:rsidR="00096974" w:rsidRPr="00203058">
              <w:rPr>
                <w:sz w:val="18"/>
                <w:szCs w:val="18"/>
                <w:lang w:val="en-US" w:eastAsia="en-GB"/>
              </w:rPr>
              <w:t>conducted with an application rate of 200 g.m</w:t>
            </w:r>
            <w:r w:rsidR="00096974" w:rsidRPr="001B6933">
              <w:rPr>
                <w:sz w:val="18"/>
                <w:szCs w:val="18"/>
                <w:vertAlign w:val="superscript"/>
                <w:lang w:val="en-US" w:eastAsia="en-GB"/>
              </w:rPr>
              <w:t>-2</w:t>
            </w:r>
            <w:r w:rsidR="001B6933">
              <w:rPr>
                <w:sz w:val="18"/>
                <w:szCs w:val="18"/>
                <w:lang w:val="en-US" w:eastAsia="en-GB"/>
              </w:rPr>
              <w:t>. It has been considered that the curative treatment (300 g.m</w:t>
            </w:r>
            <w:r w:rsidR="001B6933" w:rsidRPr="001B6933">
              <w:rPr>
                <w:sz w:val="18"/>
                <w:szCs w:val="18"/>
                <w:vertAlign w:val="superscript"/>
                <w:lang w:val="en-US" w:eastAsia="en-GB"/>
              </w:rPr>
              <w:t>-2</w:t>
            </w:r>
            <w:r w:rsidR="001B6933">
              <w:rPr>
                <w:sz w:val="18"/>
                <w:szCs w:val="18"/>
                <w:lang w:val="en-US" w:eastAsia="en-GB"/>
              </w:rPr>
              <w:t>) is covered by this assessment with the RMMs phrases proposed. Moreover for the outdoor treatment</w:t>
            </w:r>
            <w:r w:rsidR="00096974">
              <w:rPr>
                <w:sz w:val="18"/>
                <w:szCs w:val="18"/>
                <w:lang w:eastAsia="en-GB"/>
              </w:rPr>
              <w:t>, wood has not to be exposed to weathering and leaching</w:t>
            </w:r>
            <w:r w:rsidR="001B6933">
              <w:rPr>
                <w:sz w:val="18"/>
                <w:szCs w:val="18"/>
                <w:lang w:eastAsia="en-GB"/>
              </w:rPr>
              <w:t>.</w:t>
            </w:r>
          </w:p>
          <w:p w14:paraId="00764351" w14:textId="77777777" w:rsidR="00692E71" w:rsidRPr="001E3185" w:rsidRDefault="00692E71" w:rsidP="008E0250">
            <w:pPr>
              <w:autoSpaceDE w:val="0"/>
              <w:autoSpaceDN w:val="0"/>
              <w:rPr>
                <w:rFonts w:cs="Arial"/>
                <w:sz w:val="16"/>
                <w:szCs w:val="16"/>
              </w:rPr>
            </w:pPr>
            <w:r w:rsidRPr="001E3185">
              <w:rPr>
                <w:rFonts w:cs="Arial"/>
                <w:sz w:val="16"/>
                <w:szCs w:val="16"/>
              </w:rPr>
              <w:t>n.r. – not relevant.</w:t>
            </w:r>
          </w:p>
          <w:p w14:paraId="54012C54" w14:textId="77777777" w:rsidR="00692E71" w:rsidRPr="001E3185" w:rsidRDefault="00692E71" w:rsidP="008E0250">
            <w:pPr>
              <w:autoSpaceDE w:val="0"/>
              <w:autoSpaceDN w:val="0"/>
              <w:rPr>
                <w:rFonts w:cs="Arial"/>
              </w:rPr>
            </w:pPr>
          </w:p>
        </w:tc>
      </w:tr>
    </w:tbl>
    <w:p w14:paraId="60377E01" w14:textId="77777777" w:rsidR="00692E71" w:rsidRPr="001E3185" w:rsidRDefault="00692E71" w:rsidP="00692E71">
      <w:pPr>
        <w:rPr>
          <w:rFonts w:cs="Arial"/>
        </w:rPr>
      </w:pPr>
    </w:p>
    <w:p w14:paraId="4BE9D111" w14:textId="77777777" w:rsidR="00692E71" w:rsidRPr="001E3185" w:rsidRDefault="00692E71" w:rsidP="00692E71">
      <w:pPr>
        <w:spacing w:after="200" w:line="276" w:lineRule="auto"/>
        <w:rPr>
          <w:rFonts w:cs="Arial"/>
        </w:rPr>
      </w:pPr>
      <w:r w:rsidRPr="001E3185">
        <w:rPr>
          <w:rFonts w:cs="Arial"/>
        </w:rPr>
        <w:br w:type="page"/>
      </w:r>
    </w:p>
    <w:p w14:paraId="640657CF" w14:textId="77777777" w:rsidR="00692E71" w:rsidRPr="001E3185" w:rsidRDefault="00692E71" w:rsidP="00692E71">
      <w:pPr>
        <w:rPr>
          <w:rFonts w:cs="Arial"/>
        </w:rPr>
        <w:sectPr w:rsidR="00692E71" w:rsidRPr="001E3185" w:rsidSect="008E0250">
          <w:pgSz w:w="16838" w:h="11906" w:orient="landscape"/>
          <w:pgMar w:top="1418" w:right="1021" w:bottom="709" w:left="102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203"/>
      </w:tblGrid>
      <w:tr w:rsidR="00692E71" w:rsidRPr="001E3185" w14:paraId="4A4EE0E7" w14:textId="77777777" w:rsidTr="008E0250">
        <w:tc>
          <w:tcPr>
            <w:tcW w:w="9919" w:type="dxa"/>
            <w:shd w:val="clear" w:color="auto" w:fill="D6E3BC"/>
          </w:tcPr>
          <w:p w14:paraId="626389D9" w14:textId="699A7638" w:rsidR="00692E71" w:rsidRPr="001E3185" w:rsidRDefault="00692E71" w:rsidP="008E0250">
            <w:pPr>
              <w:shd w:val="clear" w:color="auto" w:fill="D6E3BC"/>
              <w:autoSpaceDE w:val="0"/>
              <w:autoSpaceDN w:val="0"/>
              <w:spacing w:line="276" w:lineRule="auto"/>
              <w:rPr>
                <w:rFonts w:cs="Arial"/>
              </w:rPr>
            </w:pPr>
          </w:p>
          <w:p w14:paraId="1FAC2805" w14:textId="2A0ECAAB" w:rsidR="00692E71" w:rsidRPr="001E3185" w:rsidRDefault="00692E71" w:rsidP="008E0250">
            <w:pPr>
              <w:shd w:val="clear" w:color="auto" w:fill="D6E3BC"/>
              <w:autoSpaceDE w:val="0"/>
              <w:autoSpaceDN w:val="0"/>
              <w:spacing w:line="276" w:lineRule="auto"/>
              <w:rPr>
                <w:rFonts w:cs="Arial"/>
              </w:rPr>
            </w:pPr>
            <w:r w:rsidRPr="001E3185">
              <w:rPr>
                <w:rFonts w:cs="Arial"/>
              </w:rPr>
              <w:t xml:space="preserve">For </w:t>
            </w:r>
            <w:r w:rsidR="00495DAF">
              <w:rPr>
                <w:rFonts w:cs="Arial"/>
                <w:lang w:val="sv-SE"/>
              </w:rPr>
              <w:t>preventive treatment of wood</w:t>
            </w:r>
            <w:r w:rsidR="00495DAF" w:rsidRPr="001E3185" w:rsidDel="00495DAF">
              <w:rPr>
                <w:rFonts w:cs="Arial"/>
              </w:rPr>
              <w:t xml:space="preserve"> </w:t>
            </w:r>
            <w:r w:rsidRPr="001E3185">
              <w:rPr>
                <w:rFonts w:cs="Arial"/>
              </w:rPr>
              <w:t>classes 1 and 2, emissions are considered negligible according to PT08 ESD. The risks for the application phase and service life are therefore considered acceptable for treatment of wood in classes 1 and 2.</w:t>
            </w:r>
          </w:p>
          <w:p w14:paraId="2A8807A8" w14:textId="38D957F3" w:rsidR="00692E71" w:rsidRPr="001E3185" w:rsidRDefault="00692E71" w:rsidP="008E0250">
            <w:pPr>
              <w:shd w:val="clear" w:color="auto" w:fill="D6E3BC"/>
              <w:autoSpaceDE w:val="0"/>
              <w:autoSpaceDN w:val="0"/>
              <w:spacing w:line="276" w:lineRule="auto"/>
              <w:rPr>
                <w:rFonts w:cs="Arial"/>
              </w:rPr>
            </w:pPr>
          </w:p>
          <w:p w14:paraId="3F9A8894" w14:textId="67D386D4" w:rsidR="00692E71" w:rsidRPr="00B7552D" w:rsidRDefault="00692E71" w:rsidP="008E0250">
            <w:pPr>
              <w:shd w:val="clear" w:color="auto" w:fill="D6E3BC"/>
              <w:autoSpaceDE w:val="0"/>
              <w:autoSpaceDN w:val="0"/>
              <w:spacing w:line="276" w:lineRule="auto"/>
              <w:rPr>
                <w:rFonts w:cs="Arial"/>
                <w:lang w:val="de-DE"/>
              </w:rPr>
            </w:pPr>
            <w:r w:rsidRPr="001E3185">
              <w:rPr>
                <w:rFonts w:cs="Arial"/>
              </w:rPr>
              <w:t xml:space="preserve">For </w:t>
            </w:r>
            <w:r w:rsidR="00495DAF">
              <w:rPr>
                <w:rFonts w:cs="Arial"/>
              </w:rPr>
              <w:t>an outdoor</w:t>
            </w:r>
            <w:r w:rsidR="00495DAF" w:rsidRPr="001E3185">
              <w:rPr>
                <w:rFonts w:cs="Arial"/>
              </w:rPr>
              <w:t xml:space="preserve"> </w:t>
            </w:r>
            <w:r w:rsidRPr="001E3185">
              <w:rPr>
                <w:rFonts w:cs="Arial"/>
              </w:rPr>
              <w:t xml:space="preserve">application </w:t>
            </w:r>
            <w:r w:rsidR="00495DAF">
              <w:rPr>
                <w:rFonts w:cs="Arial"/>
              </w:rPr>
              <w:t>in curative treatment</w:t>
            </w:r>
            <w:r w:rsidRPr="001E3185">
              <w:rPr>
                <w:rFonts w:cs="Arial"/>
              </w:rPr>
              <w:t>, risks are only acceptable if emissions to aquatic and terrestrial compartments are prevented whatever the type of treatment. Therefore, no application above or near surface water is allowed to protect the aquatic compartment and the ground has to be covered with an appropriate plastic sheet to prevent any emission to the terrestrial compartment during in situ brushing</w:t>
            </w:r>
            <w:r w:rsidR="007C3AEE">
              <w:rPr>
                <w:rFonts w:cs="Arial"/>
              </w:rPr>
              <w:t>. For spraying application, the risk mitigation measure for the soil compartment is considered as unappropriate</w:t>
            </w:r>
          </w:p>
          <w:p w14:paraId="267679B9" w14:textId="77777777" w:rsidR="00692E71" w:rsidRPr="001E3185" w:rsidRDefault="00692E71" w:rsidP="008E0250">
            <w:pPr>
              <w:shd w:val="clear" w:color="auto" w:fill="D6E3BC"/>
              <w:autoSpaceDE w:val="0"/>
              <w:autoSpaceDN w:val="0"/>
              <w:spacing w:line="276" w:lineRule="auto"/>
              <w:rPr>
                <w:rFonts w:cs="Arial"/>
              </w:rPr>
            </w:pPr>
          </w:p>
          <w:p w14:paraId="2A286D86" w14:textId="65B635E2" w:rsidR="00692E71" w:rsidRDefault="00692E71" w:rsidP="008E0250">
            <w:pPr>
              <w:shd w:val="clear" w:color="auto" w:fill="D6E3BC"/>
              <w:autoSpaceDE w:val="0"/>
              <w:autoSpaceDN w:val="0"/>
              <w:spacing w:line="276" w:lineRule="auto"/>
              <w:rPr>
                <w:rFonts w:cs="Arial"/>
                <w:bCs/>
                <w:lang w:eastAsia="x-none"/>
              </w:rPr>
            </w:pPr>
            <w:r w:rsidRPr="001E3185">
              <w:rPr>
                <w:rFonts w:cs="Arial"/>
                <w:bCs/>
                <w:lang w:eastAsia="x-none"/>
              </w:rPr>
              <w:t>For the service-life phase of treated wood, considering that no emissions occurs during application with the use of appropriate risk mitigation measures, risks can be considered acceptable for all the compartments whatever the type of treatment.</w:t>
            </w:r>
          </w:p>
          <w:p w14:paraId="63D75AB8" w14:textId="77777777" w:rsidR="00D74662" w:rsidRDefault="00D74662" w:rsidP="008E0250">
            <w:pPr>
              <w:shd w:val="clear" w:color="auto" w:fill="D6E3BC"/>
              <w:autoSpaceDE w:val="0"/>
              <w:autoSpaceDN w:val="0"/>
              <w:spacing w:line="276" w:lineRule="auto"/>
              <w:rPr>
                <w:rFonts w:cs="Arial"/>
                <w:bCs/>
                <w:lang w:eastAsia="x-none"/>
              </w:rPr>
            </w:pPr>
          </w:p>
          <w:p w14:paraId="17A7BB45" w14:textId="77777777" w:rsidR="00D74662" w:rsidRDefault="00D74662" w:rsidP="00D74662">
            <w:pPr>
              <w:autoSpaceDE w:val="0"/>
              <w:autoSpaceDN w:val="0"/>
              <w:spacing w:line="276" w:lineRule="auto"/>
              <w:rPr>
                <w:rFonts w:cs="Arial"/>
                <w:bCs/>
                <w:lang w:eastAsia="x-none"/>
              </w:rPr>
            </w:pPr>
            <w:r>
              <w:rPr>
                <w:rFonts w:cs="Arial"/>
                <w:bCs/>
                <w:lang w:eastAsia="x-none"/>
              </w:rPr>
              <w:t xml:space="preserve">Finally, for the curative treatment, wood must not be exposed </w:t>
            </w:r>
            <w:r>
              <w:rPr>
                <w:rFonts w:cs="Arial"/>
              </w:rPr>
              <w:t>to weathering and leaching.</w:t>
            </w:r>
          </w:p>
          <w:p w14:paraId="6BFE73CF" w14:textId="77777777" w:rsidR="00692E71" w:rsidRPr="001E3185" w:rsidRDefault="00692E71" w:rsidP="008E0250">
            <w:pPr>
              <w:shd w:val="clear" w:color="auto" w:fill="D6E3BC"/>
              <w:autoSpaceDE w:val="0"/>
              <w:autoSpaceDN w:val="0"/>
              <w:spacing w:line="276" w:lineRule="auto"/>
              <w:rPr>
                <w:rFonts w:cs="Arial"/>
              </w:rPr>
            </w:pPr>
          </w:p>
          <w:p w14:paraId="5ABF96E9" w14:textId="77777777" w:rsidR="00692E71" w:rsidRDefault="00692E71" w:rsidP="008E0250">
            <w:pPr>
              <w:shd w:val="clear" w:color="auto" w:fill="D6E3BC"/>
              <w:autoSpaceDE w:val="0"/>
              <w:autoSpaceDN w:val="0"/>
              <w:rPr>
                <w:rFonts w:cs="Arial"/>
                <w:bCs/>
                <w:lang w:eastAsia="x-none"/>
              </w:rPr>
            </w:pPr>
            <w:r w:rsidRPr="001E3185">
              <w:rPr>
                <w:rFonts w:cs="Arial"/>
                <w:bCs/>
                <w:lang w:eastAsia="x-none"/>
              </w:rPr>
              <w:t>Proposed risk mitigation measures are detailed in the table below.</w:t>
            </w:r>
          </w:p>
          <w:p w14:paraId="2BAEAB99" w14:textId="77777777" w:rsidR="00495DAF" w:rsidRPr="001E3185" w:rsidRDefault="00495DAF" w:rsidP="008E0250">
            <w:pPr>
              <w:shd w:val="clear" w:color="auto" w:fill="D6E3BC"/>
              <w:autoSpaceDE w:val="0"/>
              <w:autoSpaceDN w:val="0"/>
              <w:rPr>
                <w:rFonts w:cs="Arial"/>
                <w:bCs/>
                <w:lang w:eastAsia="x-none"/>
              </w:rPr>
            </w:pPr>
          </w:p>
          <w:p w14:paraId="030D5299" w14:textId="77777777" w:rsidR="00692E71" w:rsidRPr="001E3185" w:rsidRDefault="00692E71" w:rsidP="008E0250">
            <w:pPr>
              <w:shd w:val="clear" w:color="auto" w:fill="D6E3BC"/>
              <w:autoSpaceDE w:val="0"/>
              <w:autoSpaceDN w:val="0"/>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3589"/>
            </w:tblGrid>
            <w:tr w:rsidR="00692E71" w:rsidRPr="001E3185" w14:paraId="22ABDA9F" w14:textId="77777777" w:rsidTr="0091021B">
              <w:trPr>
                <w:trHeight w:val="256"/>
                <w:jc w:val="center"/>
              </w:trPr>
              <w:tc>
                <w:tcPr>
                  <w:tcW w:w="3001" w:type="pct"/>
                  <w:tcMar>
                    <w:top w:w="57" w:type="dxa"/>
                    <w:left w:w="85" w:type="dxa"/>
                    <w:bottom w:w="57" w:type="dxa"/>
                    <w:right w:w="85" w:type="dxa"/>
                  </w:tcMar>
                  <w:vAlign w:val="center"/>
                </w:tcPr>
                <w:p w14:paraId="312664EA" w14:textId="77777777" w:rsidR="00692E71" w:rsidRPr="001E3185" w:rsidRDefault="00692E71" w:rsidP="008E0250">
                  <w:pPr>
                    <w:shd w:val="clear" w:color="auto" w:fill="D6E3BC"/>
                    <w:rPr>
                      <w:rFonts w:cs="Arial"/>
                      <w:b/>
                      <w:szCs w:val="18"/>
                      <w:lang w:eastAsia="en-US"/>
                    </w:rPr>
                  </w:pPr>
                  <w:r w:rsidRPr="001E3185">
                    <w:rPr>
                      <w:rFonts w:cs="Arial"/>
                      <w:b/>
                      <w:szCs w:val="18"/>
                      <w:lang w:eastAsia="en-US"/>
                    </w:rPr>
                    <w:t>Specific instructions for use and risk mitigation measures</w:t>
                  </w:r>
                </w:p>
              </w:tc>
              <w:tc>
                <w:tcPr>
                  <w:tcW w:w="1999" w:type="pct"/>
                  <w:tcMar>
                    <w:top w:w="57" w:type="dxa"/>
                    <w:left w:w="85" w:type="dxa"/>
                    <w:bottom w:w="57" w:type="dxa"/>
                    <w:right w:w="85" w:type="dxa"/>
                  </w:tcMar>
                  <w:vAlign w:val="center"/>
                </w:tcPr>
                <w:p w14:paraId="28FA3ABB" w14:textId="77777777" w:rsidR="00692E71" w:rsidRPr="001E3185" w:rsidRDefault="00692E71" w:rsidP="008E0250">
                  <w:pPr>
                    <w:shd w:val="clear" w:color="auto" w:fill="D6E3BC"/>
                    <w:rPr>
                      <w:rFonts w:cs="Arial"/>
                      <w:b/>
                      <w:szCs w:val="18"/>
                      <w:lang w:eastAsia="en-US"/>
                    </w:rPr>
                  </w:pPr>
                  <w:r w:rsidRPr="001E3185">
                    <w:rPr>
                      <w:rFonts w:cs="Arial"/>
                      <w:b/>
                      <w:szCs w:val="18"/>
                      <w:lang w:eastAsia="en-US"/>
                    </w:rPr>
                    <w:t>Context / Remark</w:t>
                  </w:r>
                </w:p>
              </w:tc>
            </w:tr>
            <w:tr w:rsidR="00692E71" w:rsidRPr="001E3185" w14:paraId="6B80D5CF" w14:textId="77777777" w:rsidTr="0091021B">
              <w:trPr>
                <w:trHeight w:val="577"/>
                <w:jc w:val="center"/>
              </w:trPr>
              <w:tc>
                <w:tcPr>
                  <w:tcW w:w="3001" w:type="pct"/>
                  <w:tcMar>
                    <w:top w:w="57" w:type="dxa"/>
                    <w:left w:w="85" w:type="dxa"/>
                    <w:bottom w:w="57" w:type="dxa"/>
                    <w:right w:w="85" w:type="dxa"/>
                  </w:tcMar>
                  <w:vAlign w:val="center"/>
                </w:tcPr>
                <w:p w14:paraId="35EED290" w14:textId="77777777" w:rsidR="00692E71" w:rsidRPr="001E3185" w:rsidRDefault="00692E71" w:rsidP="008E0250">
                  <w:pPr>
                    <w:shd w:val="clear" w:color="auto" w:fill="D6E3BC"/>
                    <w:rPr>
                      <w:rFonts w:cs="Arial"/>
                      <w:b/>
                      <w:szCs w:val="18"/>
                      <w:lang w:eastAsia="en-US"/>
                    </w:rPr>
                  </w:pPr>
                  <w:r w:rsidRPr="001E3185">
                    <w:rPr>
                      <w:rFonts w:cs="Arial"/>
                      <w:b/>
                      <w:szCs w:val="18"/>
                      <w:lang w:eastAsia="en-US"/>
                    </w:rPr>
                    <w:t>Use classes 1 and 2</w:t>
                  </w:r>
                </w:p>
              </w:tc>
              <w:tc>
                <w:tcPr>
                  <w:tcW w:w="1999" w:type="pct"/>
                  <w:tcMar>
                    <w:top w:w="57" w:type="dxa"/>
                    <w:left w:w="85" w:type="dxa"/>
                    <w:bottom w:w="57" w:type="dxa"/>
                    <w:right w:w="85" w:type="dxa"/>
                  </w:tcMar>
                  <w:vAlign w:val="center"/>
                </w:tcPr>
                <w:p w14:paraId="2610BF1F" w14:textId="77777777" w:rsidR="00692E71" w:rsidRPr="001E3185" w:rsidRDefault="00692E71" w:rsidP="008E0250">
                  <w:pPr>
                    <w:shd w:val="clear" w:color="auto" w:fill="D6E3BC"/>
                    <w:rPr>
                      <w:rFonts w:cs="Arial"/>
                      <w:szCs w:val="18"/>
                      <w:lang w:eastAsia="en-US"/>
                    </w:rPr>
                  </w:pPr>
                </w:p>
              </w:tc>
            </w:tr>
            <w:tr w:rsidR="00692E71" w:rsidRPr="001E3185" w14:paraId="16E65499" w14:textId="77777777" w:rsidTr="0091021B">
              <w:trPr>
                <w:trHeight w:val="577"/>
                <w:jc w:val="center"/>
              </w:trPr>
              <w:tc>
                <w:tcPr>
                  <w:tcW w:w="3001" w:type="pct"/>
                  <w:tcMar>
                    <w:top w:w="57" w:type="dxa"/>
                    <w:left w:w="85" w:type="dxa"/>
                    <w:bottom w:w="57" w:type="dxa"/>
                    <w:right w:w="85" w:type="dxa"/>
                  </w:tcMar>
                  <w:vAlign w:val="center"/>
                </w:tcPr>
                <w:p w14:paraId="48976654" w14:textId="77777777" w:rsidR="00692E71" w:rsidRPr="001E3185" w:rsidRDefault="00692E71" w:rsidP="008E0250">
                  <w:pPr>
                    <w:shd w:val="clear" w:color="auto" w:fill="D6E3BC"/>
                    <w:rPr>
                      <w:rFonts w:cs="Arial"/>
                      <w:szCs w:val="18"/>
                      <w:lang w:eastAsia="en-US"/>
                    </w:rPr>
                  </w:pPr>
                  <w:r w:rsidRPr="001E3185">
                    <w:rPr>
                      <w:rFonts w:cs="Arial"/>
                      <w:szCs w:val="18"/>
                      <w:lang w:eastAsia="en-US"/>
                    </w:rPr>
                    <w:t>None</w:t>
                  </w:r>
                </w:p>
              </w:tc>
              <w:tc>
                <w:tcPr>
                  <w:tcW w:w="1999" w:type="pct"/>
                  <w:tcMar>
                    <w:top w:w="57" w:type="dxa"/>
                    <w:left w:w="85" w:type="dxa"/>
                    <w:bottom w:w="57" w:type="dxa"/>
                    <w:right w:w="85" w:type="dxa"/>
                  </w:tcMar>
                  <w:vAlign w:val="center"/>
                </w:tcPr>
                <w:p w14:paraId="733D6F5E" w14:textId="77777777" w:rsidR="00692E71" w:rsidRPr="001E3185" w:rsidRDefault="00692E71" w:rsidP="008E0250">
                  <w:pPr>
                    <w:shd w:val="clear" w:color="auto" w:fill="D6E3BC"/>
                    <w:rPr>
                      <w:rFonts w:cs="Arial"/>
                      <w:szCs w:val="18"/>
                      <w:lang w:eastAsia="en-US"/>
                    </w:rPr>
                  </w:pPr>
                </w:p>
              </w:tc>
            </w:tr>
            <w:tr w:rsidR="00692E71" w:rsidRPr="001E3185" w14:paraId="2323A5FA" w14:textId="77777777" w:rsidTr="0091021B">
              <w:trPr>
                <w:trHeight w:val="577"/>
                <w:jc w:val="center"/>
              </w:trPr>
              <w:tc>
                <w:tcPr>
                  <w:tcW w:w="3001" w:type="pct"/>
                  <w:tcMar>
                    <w:top w:w="57" w:type="dxa"/>
                    <w:left w:w="85" w:type="dxa"/>
                    <w:bottom w:w="57" w:type="dxa"/>
                    <w:right w:w="85" w:type="dxa"/>
                  </w:tcMar>
                  <w:vAlign w:val="center"/>
                </w:tcPr>
                <w:p w14:paraId="1D483758" w14:textId="77777777" w:rsidR="00692E71" w:rsidRPr="001E3185" w:rsidRDefault="00692E71" w:rsidP="008E0250">
                  <w:pPr>
                    <w:shd w:val="clear" w:color="auto" w:fill="D6E3BC"/>
                    <w:rPr>
                      <w:rFonts w:cs="Arial"/>
                      <w:b/>
                      <w:szCs w:val="18"/>
                      <w:lang w:eastAsia="en-US"/>
                    </w:rPr>
                  </w:pPr>
                  <w:r w:rsidRPr="001E3185">
                    <w:rPr>
                      <w:rFonts w:cs="Arial"/>
                      <w:b/>
                      <w:szCs w:val="18"/>
                      <w:lang w:eastAsia="en-US"/>
                    </w:rPr>
                    <w:t>Use class 3</w:t>
                  </w:r>
                </w:p>
              </w:tc>
              <w:tc>
                <w:tcPr>
                  <w:tcW w:w="1999" w:type="pct"/>
                  <w:tcMar>
                    <w:top w:w="57" w:type="dxa"/>
                    <w:left w:w="85" w:type="dxa"/>
                    <w:bottom w:w="57" w:type="dxa"/>
                    <w:right w:w="85" w:type="dxa"/>
                  </w:tcMar>
                  <w:vAlign w:val="center"/>
                </w:tcPr>
                <w:p w14:paraId="767FE290" w14:textId="77777777" w:rsidR="00692E71" w:rsidRPr="001E3185" w:rsidRDefault="00692E71" w:rsidP="008E0250">
                  <w:pPr>
                    <w:shd w:val="clear" w:color="auto" w:fill="D6E3BC"/>
                    <w:rPr>
                      <w:rFonts w:cs="Arial"/>
                      <w:szCs w:val="18"/>
                      <w:lang w:eastAsia="en-US"/>
                    </w:rPr>
                  </w:pPr>
                </w:p>
              </w:tc>
            </w:tr>
            <w:tr w:rsidR="00692E71" w:rsidRPr="001E3185" w14:paraId="5A1D6E53"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2DD94CAD" w14:textId="68245F0F" w:rsidR="00692E71" w:rsidRPr="001E3185" w:rsidRDefault="00692E71" w:rsidP="008E0250">
                  <w:pPr>
                    <w:shd w:val="clear" w:color="auto" w:fill="D6E3BC"/>
                    <w:rPr>
                      <w:rFonts w:cs="Arial"/>
                      <w:szCs w:val="18"/>
                      <w:lang w:eastAsia="en-US"/>
                    </w:rPr>
                  </w:pPr>
                  <w:r w:rsidRPr="001E3185">
                    <w:rPr>
                      <w:rFonts w:cs="Arial"/>
                      <w:szCs w:val="18"/>
                      <w:lang w:eastAsia="en-US"/>
                    </w:rPr>
                    <w:t>Prevent any release to the environment during the product application phase as well as during the storage and the transport of treated timber;</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45F611E" w14:textId="04DFB17C" w:rsidR="00692E71" w:rsidRPr="001E3185" w:rsidRDefault="00692E71" w:rsidP="008E0250">
                  <w:pPr>
                    <w:shd w:val="clear" w:color="auto" w:fill="D6E3BC"/>
                    <w:rPr>
                      <w:rFonts w:cs="Arial"/>
                      <w:szCs w:val="18"/>
                      <w:lang w:eastAsia="en-US"/>
                    </w:rPr>
                  </w:pPr>
                  <w:r w:rsidRPr="001E3185">
                    <w:rPr>
                      <w:rFonts w:cs="Arial"/>
                      <w:b/>
                      <w:szCs w:val="18"/>
                      <w:lang w:eastAsia="en-US"/>
                    </w:rPr>
                    <w:t xml:space="preserve">Risk mitigation measure mandatory to </w:t>
                  </w:r>
                  <w:r w:rsidR="00D445CF" w:rsidRPr="001E3185">
                    <w:rPr>
                      <w:rFonts w:cs="Arial"/>
                      <w:b/>
                      <w:szCs w:val="18"/>
                      <w:lang w:eastAsia="en-US"/>
                    </w:rPr>
                    <w:t>e</w:t>
                  </w:r>
                  <w:r w:rsidRPr="001E3185">
                    <w:rPr>
                      <w:rFonts w:cs="Arial"/>
                      <w:b/>
                      <w:szCs w:val="18"/>
                      <w:lang w:eastAsia="en-US"/>
                    </w:rPr>
                    <w:t>nsure acceptable  risks during industrial application and storage</w:t>
                  </w:r>
                </w:p>
              </w:tc>
            </w:tr>
            <w:tr w:rsidR="00692E71" w:rsidRPr="001E3185" w14:paraId="35B705A3"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361E495C" w14:textId="4DB11B91" w:rsidR="00692E71" w:rsidRPr="001E3185" w:rsidRDefault="00692E71" w:rsidP="008E0250">
                  <w:pPr>
                    <w:shd w:val="clear" w:color="auto" w:fill="D6E3BC"/>
                    <w:rPr>
                      <w:rFonts w:cs="Arial"/>
                      <w:szCs w:val="18"/>
                      <w:lang w:eastAsia="en-US"/>
                    </w:rPr>
                  </w:pPr>
                  <w:r w:rsidRPr="001E3185">
                    <w:rPr>
                      <w:rFonts w:cs="Arial"/>
                    </w:rPr>
                    <w:t>During the application phase, prevent any release of cleaning water (after cleaning of floors, tanks, containers) to the environment (sewer, soil, water)</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2F114C8" w14:textId="565FBA09" w:rsidR="00692E71" w:rsidRPr="001E3185" w:rsidRDefault="00692E71" w:rsidP="008E0250">
                  <w:pPr>
                    <w:shd w:val="clear" w:color="auto" w:fill="D6E3BC"/>
                    <w:rPr>
                      <w:rFonts w:cs="Arial"/>
                      <w:b/>
                      <w:szCs w:val="18"/>
                      <w:lang w:eastAsia="en-US"/>
                    </w:rPr>
                  </w:pPr>
                  <w:r w:rsidRPr="001E3185">
                    <w:rPr>
                      <w:rFonts w:cs="Arial"/>
                      <w:b/>
                      <w:szCs w:val="18"/>
                      <w:lang w:eastAsia="en-US"/>
                    </w:rPr>
                    <w:t>Risk mitigation measure mandatory to insure acceptable  risks during industrial application phase</w:t>
                  </w:r>
                </w:p>
              </w:tc>
            </w:tr>
            <w:tr w:rsidR="00385B9B" w:rsidRPr="001E3185" w14:paraId="324052A5"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F53856E" w14:textId="71292DF3" w:rsidR="00385B9B" w:rsidRPr="001E3185" w:rsidRDefault="00385B9B" w:rsidP="008E0250">
                  <w:pPr>
                    <w:shd w:val="clear" w:color="auto" w:fill="D6E3BC"/>
                    <w:rPr>
                      <w:rFonts w:cs="Arial"/>
                    </w:rPr>
                  </w:pPr>
                  <w:r w:rsidRPr="009B3804">
                    <w:rPr>
                      <w:rFonts w:cs="Arial"/>
                    </w:rPr>
                    <w:t xml:space="preserve">Industrial application shall be conducted within a contained area on impermeable hard standing with bunding </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232CF1D" w14:textId="53D4B3F8" w:rsidR="00385B9B" w:rsidRPr="001E3185" w:rsidRDefault="00385B9B" w:rsidP="008E0250">
                  <w:pPr>
                    <w:shd w:val="clear" w:color="auto" w:fill="D6E3BC"/>
                    <w:rPr>
                      <w:rFonts w:cs="Arial"/>
                      <w:b/>
                      <w:szCs w:val="18"/>
                      <w:lang w:eastAsia="en-US"/>
                    </w:rPr>
                  </w:pPr>
                  <w:r w:rsidRPr="001E3185">
                    <w:rPr>
                      <w:rFonts w:cs="Arial"/>
                      <w:b/>
                      <w:szCs w:val="18"/>
                      <w:lang w:eastAsia="en-US"/>
                    </w:rPr>
                    <w:t>Risk mitigation measure mandatory to insure acceptable  risks during industrial application phase</w:t>
                  </w:r>
                </w:p>
              </w:tc>
            </w:tr>
            <w:tr w:rsidR="00385B9B" w:rsidRPr="001E3185" w14:paraId="04EE6676"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96014E8" w14:textId="53C568CB" w:rsidR="00385B9B" w:rsidRPr="001E3185" w:rsidRDefault="00385B9B" w:rsidP="008E0250">
                  <w:pPr>
                    <w:shd w:val="clear" w:color="auto" w:fill="D6E3BC"/>
                    <w:rPr>
                      <w:rFonts w:cs="Arial"/>
                    </w:rPr>
                  </w:pPr>
                  <w:r w:rsidRPr="001E3185">
                    <w:rPr>
                      <w:rFonts w:cs="Arial"/>
                    </w:rPr>
                    <w:t xml:space="preserve">Freshly treated timber shall be stored after treatment under shelter and on impermeable hard standing to prevent losses to soil, sewer, or water, </w:t>
                  </w:r>
                  <w:r w:rsidRPr="001E3185">
                    <w:rPr>
                      <w:rFonts w:cs="Arial"/>
                    </w:rPr>
                    <w:lastRenderedPageBreak/>
                    <w:t>and any losses from the application of the product shall be collected for reuse or disposal. Before use, store the timber in an area sheltered from the weather;</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60EE831" w14:textId="01F2AA9B" w:rsidR="00385B9B" w:rsidRPr="001E3185" w:rsidRDefault="00385B9B" w:rsidP="008E0250">
                  <w:pPr>
                    <w:shd w:val="clear" w:color="auto" w:fill="D6E3BC"/>
                    <w:rPr>
                      <w:rFonts w:cs="Arial"/>
                      <w:b/>
                      <w:szCs w:val="18"/>
                      <w:lang w:eastAsia="en-US"/>
                    </w:rPr>
                  </w:pPr>
                  <w:r w:rsidRPr="001E3185">
                    <w:rPr>
                      <w:rFonts w:cs="Arial"/>
                      <w:b/>
                      <w:szCs w:val="18"/>
                      <w:lang w:eastAsia="en-US"/>
                    </w:rPr>
                    <w:lastRenderedPageBreak/>
                    <w:t xml:space="preserve">Risk mitigation measure mandatory to insure acceptable  risks during </w:t>
                  </w:r>
                  <w:r w:rsidRPr="001E3185">
                    <w:rPr>
                      <w:rFonts w:cs="Arial"/>
                      <w:b/>
                      <w:szCs w:val="18"/>
                      <w:lang w:eastAsia="en-US"/>
                    </w:rPr>
                    <w:lastRenderedPageBreak/>
                    <w:t>industrial application and storage</w:t>
                  </w:r>
                </w:p>
              </w:tc>
            </w:tr>
            <w:tr w:rsidR="00385B9B" w:rsidRPr="001E3185" w14:paraId="63B987E5" w14:textId="4EA09305"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8DD7B5B" w14:textId="6754AAAE" w:rsidR="00385B9B" w:rsidRPr="001E3185" w:rsidRDefault="00385B9B" w:rsidP="008E0250">
                  <w:pPr>
                    <w:shd w:val="clear" w:color="auto" w:fill="D6E3BC"/>
                    <w:rPr>
                      <w:rFonts w:cs="Arial"/>
                    </w:rPr>
                  </w:pPr>
                  <w:r w:rsidRPr="001E3185">
                    <w:rPr>
                      <w:rFonts w:cs="Arial"/>
                    </w:rPr>
                    <w:lastRenderedPageBreak/>
                    <w:t>Any contaminated water/soil shall be collected, contained and treated as hazardous waste.</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3D23EA0" w14:textId="1571ED12" w:rsidR="00385B9B" w:rsidRPr="001E3185" w:rsidRDefault="00385B9B" w:rsidP="008E0250">
                  <w:pPr>
                    <w:shd w:val="clear" w:color="auto" w:fill="D6E3BC"/>
                    <w:rPr>
                      <w:rFonts w:cs="Arial"/>
                      <w:b/>
                      <w:szCs w:val="18"/>
                      <w:lang w:eastAsia="en-US"/>
                    </w:rPr>
                  </w:pPr>
                  <w:r w:rsidRPr="001E3185">
                    <w:rPr>
                      <w:rFonts w:cs="Arial"/>
                      <w:szCs w:val="18"/>
                      <w:lang w:eastAsia="en-US"/>
                    </w:rPr>
                    <w:t>General risk mitigation</w:t>
                  </w:r>
                </w:p>
              </w:tc>
            </w:tr>
            <w:tr w:rsidR="00385B9B" w:rsidRPr="001E3185" w14:paraId="376601B9"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5F9F3B20" w14:textId="57DD7FF8" w:rsidR="00385B9B" w:rsidRPr="001E3185" w:rsidRDefault="00385B9B" w:rsidP="008E0250">
                  <w:pPr>
                    <w:shd w:val="clear" w:color="auto" w:fill="D6E3BC"/>
                    <w:rPr>
                      <w:rFonts w:cs="Arial"/>
                      <w:szCs w:val="18"/>
                      <w:lang w:eastAsia="en-US"/>
                    </w:rPr>
                  </w:pPr>
                  <w:r w:rsidRPr="001E3185">
                    <w:rPr>
                      <w:rFonts w:cs="Arial"/>
                      <w:szCs w:val="18"/>
                      <w:lang w:eastAsia="en-US"/>
                    </w:rPr>
                    <w:t xml:space="preserve">For outdoor treatment, cover the ground with an appropriate plastic sheet to prevent any emission to the terrestrial compartment </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AAC19C8" w14:textId="69DAD9BE" w:rsidR="00385B9B" w:rsidRPr="001E3185" w:rsidRDefault="00385B9B" w:rsidP="008E0250">
                  <w:pPr>
                    <w:shd w:val="clear" w:color="auto" w:fill="D6E3BC"/>
                    <w:rPr>
                      <w:rFonts w:cs="Arial"/>
                      <w:b/>
                      <w:szCs w:val="18"/>
                      <w:lang w:eastAsia="en-US"/>
                    </w:rPr>
                  </w:pPr>
                  <w:r w:rsidRPr="001E3185">
                    <w:rPr>
                      <w:rFonts w:cs="Arial"/>
                      <w:b/>
                      <w:szCs w:val="18"/>
                      <w:lang w:eastAsia="en-US"/>
                    </w:rPr>
                    <w:t>Risk mitigation measure mandatory to insure acceptable  risks to the terrestrial compartment during outdoor application</w:t>
                  </w:r>
                </w:p>
              </w:tc>
            </w:tr>
            <w:tr w:rsidR="00385B9B" w:rsidRPr="001E3185" w14:paraId="3A4F09F1"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5F5CD79E" w14:textId="695A904D" w:rsidR="00385B9B" w:rsidRPr="001E3185" w:rsidRDefault="00385B9B" w:rsidP="008E0250">
                  <w:pPr>
                    <w:shd w:val="clear" w:color="auto" w:fill="D6E3BC"/>
                    <w:rPr>
                      <w:rFonts w:cs="Arial"/>
                      <w:szCs w:val="18"/>
                      <w:lang w:eastAsia="en-US"/>
                    </w:rPr>
                  </w:pPr>
                  <w:r w:rsidRPr="001E3185">
                    <w:rPr>
                      <w:rFonts w:cs="Arial"/>
                      <w:szCs w:val="18"/>
                      <w:lang w:eastAsia="en-US"/>
                    </w:rPr>
                    <w:t>Do not apply where the product can reach surface water during outdoor application</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7C8B832" w14:textId="3045304C" w:rsidR="00385B9B" w:rsidRPr="001E3185" w:rsidRDefault="00385B9B" w:rsidP="008E0250">
                  <w:pPr>
                    <w:shd w:val="clear" w:color="auto" w:fill="D6E3BC"/>
                    <w:rPr>
                      <w:rFonts w:cs="Arial"/>
                      <w:b/>
                      <w:szCs w:val="18"/>
                      <w:lang w:eastAsia="en-US"/>
                    </w:rPr>
                  </w:pPr>
                  <w:r w:rsidRPr="001E3185">
                    <w:rPr>
                      <w:rFonts w:cs="Arial"/>
                      <w:b/>
                      <w:szCs w:val="18"/>
                      <w:lang w:eastAsia="en-US"/>
                    </w:rPr>
                    <w:t>Risk mitigation measure mandatory to insure acceptable  risks to the aquatic compartment during outdoor application</w:t>
                  </w:r>
                </w:p>
              </w:tc>
            </w:tr>
            <w:tr w:rsidR="00385B9B" w:rsidRPr="001E3185" w14:paraId="689DCC9D"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689E0E4" w14:textId="47206DF5" w:rsidR="00385B9B" w:rsidRDefault="00385B9B" w:rsidP="008E0250">
                  <w:pPr>
                    <w:shd w:val="clear" w:color="auto" w:fill="D6E3BC"/>
                    <w:rPr>
                      <w:rFonts w:cs="Arial"/>
                      <w:szCs w:val="18"/>
                      <w:lang w:eastAsia="en-US"/>
                    </w:rPr>
                  </w:pPr>
                </w:p>
                <w:p w14:paraId="053D29BD" w14:textId="72852C65" w:rsidR="00903D36" w:rsidRPr="001E3185" w:rsidRDefault="00903D36" w:rsidP="008E0250">
                  <w:pPr>
                    <w:shd w:val="clear" w:color="auto" w:fill="D6E3BC"/>
                    <w:rPr>
                      <w:rFonts w:cs="Arial"/>
                      <w:szCs w:val="18"/>
                      <w:lang w:eastAsia="en-US"/>
                    </w:rPr>
                  </w:pPr>
                  <w:r>
                    <w:rPr>
                      <w:sz w:val="18"/>
                      <w:szCs w:val="18"/>
                      <w:lang w:eastAsia="en-GB"/>
                    </w:rPr>
                    <w:t>For outdoor treatment, wood has not to be exposed to weathering and leaching</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1676DA34" w14:textId="0F035CB6" w:rsidR="00385B9B" w:rsidRPr="001E3185" w:rsidRDefault="00385B9B" w:rsidP="008E0250">
                  <w:pPr>
                    <w:shd w:val="clear" w:color="auto" w:fill="D6E3BC"/>
                    <w:rPr>
                      <w:rFonts w:cs="Arial"/>
                      <w:b/>
                      <w:szCs w:val="18"/>
                      <w:lang w:eastAsia="en-US"/>
                    </w:rPr>
                  </w:pPr>
                  <w:r w:rsidRPr="001E3185">
                    <w:rPr>
                      <w:rFonts w:cs="Arial"/>
                      <w:b/>
                      <w:szCs w:val="18"/>
                      <w:lang w:eastAsia="en-US"/>
                    </w:rPr>
                    <w:t xml:space="preserve">Risk mitigation measure mandatory to insure acceptable  risks to the aquatic compartment during outdoor service-life of treated wood </w:t>
                  </w:r>
                </w:p>
              </w:tc>
            </w:tr>
          </w:tbl>
          <w:p w14:paraId="08BF8711" w14:textId="77777777" w:rsidR="00692E71" w:rsidRPr="001E3185" w:rsidRDefault="00692E71" w:rsidP="008E0250">
            <w:pPr>
              <w:shd w:val="clear" w:color="auto" w:fill="D6E3BC"/>
              <w:autoSpaceDE w:val="0"/>
              <w:autoSpaceDN w:val="0"/>
              <w:rPr>
                <w:rFonts w:cs="Arial"/>
                <w:lang w:eastAsia="en-US"/>
              </w:rPr>
            </w:pPr>
          </w:p>
          <w:p w14:paraId="36AD5D76" w14:textId="77777777" w:rsidR="00692E71" w:rsidRPr="001E3185" w:rsidRDefault="00692E71" w:rsidP="008E0250">
            <w:pPr>
              <w:shd w:val="clear" w:color="auto" w:fill="D6E3BC"/>
              <w:autoSpaceDE w:val="0"/>
              <w:autoSpaceDN w:val="0"/>
              <w:rPr>
                <w:rFonts w:cs="Arial"/>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3589"/>
            </w:tblGrid>
            <w:tr w:rsidR="00692E71" w:rsidRPr="001E3185" w14:paraId="6159CBC1" w14:textId="77777777" w:rsidTr="0091021B">
              <w:trPr>
                <w:trHeight w:val="256"/>
                <w:jc w:val="center"/>
              </w:trPr>
              <w:tc>
                <w:tcPr>
                  <w:tcW w:w="3001" w:type="pct"/>
                  <w:tcMar>
                    <w:top w:w="57" w:type="dxa"/>
                    <w:left w:w="85" w:type="dxa"/>
                    <w:bottom w:w="57" w:type="dxa"/>
                    <w:right w:w="85" w:type="dxa"/>
                  </w:tcMar>
                  <w:vAlign w:val="center"/>
                </w:tcPr>
                <w:p w14:paraId="33E739E1" w14:textId="77777777" w:rsidR="00692E71" w:rsidRPr="001E3185" w:rsidRDefault="00692E71" w:rsidP="008E0250">
                  <w:pPr>
                    <w:shd w:val="clear" w:color="auto" w:fill="D6E3BC"/>
                    <w:rPr>
                      <w:rFonts w:cs="Arial"/>
                      <w:b/>
                      <w:lang w:eastAsia="en-US"/>
                    </w:rPr>
                  </w:pPr>
                  <w:r w:rsidRPr="001E3185">
                    <w:rPr>
                      <w:rFonts w:cs="Arial"/>
                      <w:b/>
                      <w:lang w:eastAsia="en-US"/>
                    </w:rPr>
                    <w:t>Instructions for safe disposal of the product and its packaging</w:t>
                  </w:r>
                </w:p>
              </w:tc>
              <w:tc>
                <w:tcPr>
                  <w:tcW w:w="1999" w:type="pct"/>
                  <w:tcMar>
                    <w:top w:w="57" w:type="dxa"/>
                    <w:left w:w="85" w:type="dxa"/>
                    <w:bottom w:w="57" w:type="dxa"/>
                    <w:right w:w="85" w:type="dxa"/>
                  </w:tcMar>
                  <w:vAlign w:val="center"/>
                </w:tcPr>
                <w:p w14:paraId="48A4478D" w14:textId="77777777" w:rsidR="00692E71" w:rsidRPr="001E3185" w:rsidRDefault="00692E71" w:rsidP="008E0250">
                  <w:pPr>
                    <w:shd w:val="clear" w:color="auto" w:fill="D6E3BC"/>
                    <w:rPr>
                      <w:rFonts w:cs="Arial"/>
                      <w:b/>
                      <w:lang w:eastAsia="en-US"/>
                    </w:rPr>
                  </w:pPr>
                  <w:r w:rsidRPr="001E3185">
                    <w:rPr>
                      <w:rFonts w:cs="Arial"/>
                      <w:b/>
                      <w:lang w:eastAsia="en-US"/>
                    </w:rPr>
                    <w:t>Context / Remark</w:t>
                  </w:r>
                </w:p>
              </w:tc>
            </w:tr>
            <w:tr w:rsidR="00692E71" w:rsidRPr="001E3185" w14:paraId="59826952"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CEA9BA8" w14:textId="77777777" w:rsidR="00692E71" w:rsidRPr="001E3185" w:rsidRDefault="00692E71" w:rsidP="008E0250">
                  <w:pPr>
                    <w:shd w:val="clear" w:color="auto" w:fill="D6E3BC"/>
                    <w:rPr>
                      <w:rFonts w:cs="Arial"/>
                      <w:lang w:eastAsia="en-US"/>
                    </w:rPr>
                  </w:pPr>
                  <w:r w:rsidRPr="001E3185">
                    <w:rPr>
                      <w:rFonts w:cs="Arial"/>
                      <w:lang w:eastAsia="en-US"/>
                    </w:rPr>
                    <w:t>Dispose of unused product, its packaging and all other waste (i.e. plastic sheet) in accordance with local regulations.</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5F624F20" w14:textId="77777777" w:rsidR="00692E71" w:rsidRPr="001E3185" w:rsidRDefault="00692E71" w:rsidP="008E0250">
                  <w:pPr>
                    <w:shd w:val="clear" w:color="auto" w:fill="D6E3BC"/>
                    <w:rPr>
                      <w:rFonts w:cs="Arial"/>
                      <w:lang w:eastAsia="en-US"/>
                    </w:rPr>
                  </w:pPr>
                  <w:r w:rsidRPr="001E3185">
                    <w:rPr>
                      <w:rFonts w:cs="Arial"/>
                      <w:lang w:eastAsia="en-US"/>
                    </w:rPr>
                    <w:t>General risk mitigation</w:t>
                  </w:r>
                </w:p>
              </w:tc>
            </w:tr>
            <w:tr w:rsidR="00692E71" w:rsidRPr="001E3185" w14:paraId="4EFD6BB2"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B0F61CD" w14:textId="77777777" w:rsidR="00692E71" w:rsidRPr="001E3185" w:rsidRDefault="00692E71" w:rsidP="008E0250">
                  <w:pPr>
                    <w:shd w:val="clear" w:color="auto" w:fill="D6E3BC"/>
                    <w:rPr>
                      <w:rFonts w:cs="Arial"/>
                      <w:lang w:eastAsia="en-US"/>
                    </w:rPr>
                  </w:pPr>
                  <w:r w:rsidRPr="001E3185">
                    <w:rPr>
                      <w:rFonts w:cs="Arial"/>
                      <w:lang w:eastAsia="en-US"/>
                    </w:rPr>
                    <w:t>Do not discharge unused product on the ground, into water courses, into pipes (sink, toilets…) nor down the drains.</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1827EEB6" w14:textId="77777777" w:rsidR="00692E71" w:rsidRPr="001E3185" w:rsidRDefault="00692E71" w:rsidP="008E0250">
                  <w:pPr>
                    <w:shd w:val="clear" w:color="auto" w:fill="D6E3BC"/>
                    <w:rPr>
                      <w:rFonts w:cs="Arial"/>
                      <w:lang w:eastAsia="en-US"/>
                    </w:rPr>
                  </w:pPr>
                  <w:r w:rsidRPr="001E3185">
                    <w:rPr>
                      <w:rFonts w:cs="Arial"/>
                      <w:lang w:eastAsia="en-US"/>
                    </w:rPr>
                    <w:t>General risk mitigation</w:t>
                  </w:r>
                </w:p>
              </w:tc>
            </w:tr>
          </w:tbl>
          <w:p w14:paraId="6B19729D" w14:textId="77777777" w:rsidR="00692E71" w:rsidRPr="001E3185" w:rsidRDefault="00692E71" w:rsidP="008E0250">
            <w:pPr>
              <w:shd w:val="clear" w:color="auto" w:fill="D6E3BC"/>
              <w:autoSpaceDE w:val="0"/>
              <w:autoSpaceDN w:val="0"/>
              <w:rPr>
                <w:rFonts w:cs="Arial"/>
              </w:rPr>
            </w:pPr>
          </w:p>
        </w:tc>
      </w:tr>
    </w:tbl>
    <w:p w14:paraId="4F16DF19" w14:textId="77777777" w:rsidR="00692E71" w:rsidRPr="001E3185" w:rsidRDefault="00692E71" w:rsidP="00692E71">
      <w:pPr>
        <w:rPr>
          <w:rFonts w:cs="Arial"/>
        </w:rPr>
      </w:pPr>
    </w:p>
    <w:p w14:paraId="3B79B27A" w14:textId="77777777" w:rsidR="00692E71" w:rsidRPr="001E3185" w:rsidRDefault="00692E71" w:rsidP="00692E71">
      <w:pPr>
        <w:rPr>
          <w:rFonts w:cs="Arial"/>
        </w:rPr>
      </w:pPr>
    </w:p>
    <w:bookmarkEnd w:id="121"/>
    <w:p w14:paraId="46C0B77B" w14:textId="77777777" w:rsidR="00250278" w:rsidRPr="001E3185" w:rsidRDefault="00250278">
      <w:pPr>
        <w:spacing w:line="260" w:lineRule="atLeast"/>
        <w:rPr>
          <w:rFonts w:eastAsia="Calibri"/>
          <w:lang w:eastAsia="en-US"/>
        </w:rPr>
      </w:pPr>
    </w:p>
    <w:p w14:paraId="6A4BB642" w14:textId="77777777" w:rsidR="00250278" w:rsidRPr="001E3185" w:rsidRDefault="00250278">
      <w:pPr>
        <w:spacing w:line="260" w:lineRule="atLeast"/>
        <w:rPr>
          <w:rFonts w:eastAsia="Calibri"/>
          <w:lang w:eastAsia="en-US"/>
        </w:rPr>
      </w:pPr>
    </w:p>
    <w:p w14:paraId="759BF43D" w14:textId="77777777" w:rsidR="00250278" w:rsidRPr="001E3185" w:rsidRDefault="00250278">
      <w:pPr>
        <w:suppressAutoHyphens w:val="0"/>
        <w:rPr>
          <w:rFonts w:eastAsia="Calibri"/>
          <w:lang w:eastAsia="en-US"/>
        </w:rPr>
      </w:pPr>
      <w:r w:rsidRPr="001E3185">
        <w:rPr>
          <w:rFonts w:eastAsia="Calibri"/>
          <w:lang w:eastAsia="en-US"/>
        </w:rPr>
        <w:br w:type="page"/>
      </w:r>
    </w:p>
    <w:p w14:paraId="7AF5C86F" w14:textId="77777777" w:rsidR="00250278" w:rsidRPr="001E3185" w:rsidRDefault="00250278">
      <w:pPr>
        <w:spacing w:line="260" w:lineRule="atLeast"/>
        <w:rPr>
          <w:rFonts w:eastAsia="Calibri"/>
          <w:lang w:eastAsia="en-US"/>
        </w:rPr>
      </w:pPr>
    </w:p>
    <w:p w14:paraId="42174954" w14:textId="77777777" w:rsidR="009D0C0B" w:rsidRDefault="009D0C0B">
      <w:pPr>
        <w:spacing w:line="260" w:lineRule="atLeast"/>
        <w:rPr>
          <w:rFonts w:ascii="Times New Roman" w:eastAsia="Calibri" w:hAnsi="Times New Roman" w:cs="Times New Roman"/>
          <w:i/>
          <w:iCs/>
          <w:lang w:eastAsia="en-US"/>
        </w:rPr>
      </w:pPr>
    </w:p>
    <w:p w14:paraId="1264F0DD" w14:textId="77777777" w:rsidR="009D0C0B" w:rsidRPr="00B60CAC" w:rsidRDefault="00FA480B" w:rsidP="00B60CAC">
      <w:pPr>
        <w:pStyle w:val="Titre3"/>
        <w:rPr>
          <w:rFonts w:eastAsia="Calibri"/>
        </w:rPr>
      </w:pPr>
      <w:bookmarkStart w:id="159" w:name="_Toc536627326"/>
      <w:r w:rsidRPr="00B60CAC">
        <w:t>Comparative assessment</w:t>
      </w:r>
      <w:bookmarkEnd w:id="159"/>
    </w:p>
    <w:p w14:paraId="43D77C6B" w14:textId="77777777" w:rsidR="00B60CAC" w:rsidRPr="00230F09" w:rsidRDefault="00B60CAC" w:rsidP="00B60CAC">
      <w:pPr>
        <w:spacing w:line="260" w:lineRule="atLeast"/>
        <w:rPr>
          <w:rFonts w:eastAsia="Calibri" w:cs="Times New Roman"/>
          <w:i/>
          <w:iCs/>
          <w:sz w:val="22"/>
          <w:szCs w:val="22"/>
          <w:lang w:eastAsia="en-US"/>
        </w:rPr>
      </w:pPr>
      <w:r w:rsidRPr="00230F09">
        <w:rPr>
          <w:rFonts w:eastAsia="Calibri" w:cs="Times New Roman"/>
          <w:i/>
          <w:iCs/>
          <w:sz w:val="22"/>
          <w:szCs w:val="22"/>
          <w:lang w:eastAsia="en-US"/>
        </w:rPr>
        <w:t>See detail of the comparative assessment in a separate document</w:t>
      </w:r>
    </w:p>
    <w:p w14:paraId="3CCCFD52" w14:textId="77777777" w:rsidR="00B60CAC" w:rsidRDefault="00B60CAC" w:rsidP="00B60CAC">
      <w:pPr>
        <w:spacing w:line="260" w:lineRule="atLeast"/>
        <w:rPr>
          <w:rFonts w:ascii="Times New Roman" w:eastAsia="Calibri" w:hAnsi="Times New Roman" w:cs="Times New Roman"/>
          <w:i/>
          <w:iCs/>
          <w:lang w:eastAsia="en-US"/>
        </w:rPr>
      </w:pPr>
    </w:p>
    <w:p w14:paraId="3E8BA6FC" w14:textId="348D88F3" w:rsidR="00AE4F3C" w:rsidRPr="00AE4F3C" w:rsidRDefault="00AE4F3C" w:rsidP="00B7552D">
      <w:pPr>
        <w:pStyle w:val="Titre1"/>
        <w:numPr>
          <w:ilvl w:val="0"/>
          <w:numId w:val="0"/>
        </w:numPr>
        <w:suppressAutoHyphens w:val="0"/>
        <w:spacing w:before="240" w:after="0" w:line="276" w:lineRule="auto"/>
        <w:ind w:left="432"/>
        <w:rPr>
          <w:rFonts w:ascii="Calibri" w:hAnsi="Calibri"/>
          <w:i/>
          <w:color w:val="000000"/>
          <w:sz w:val="20"/>
          <w:lang w:val="sv-SE" w:eastAsia="sv-SE"/>
        </w:rPr>
      </w:pPr>
      <w:bookmarkStart w:id="160" w:name="_Toc536627327"/>
      <w:bookmarkStart w:id="161" w:name="_Toc513479881"/>
      <w:r w:rsidRPr="00B7552D">
        <w:rPr>
          <w:sz w:val="20"/>
        </w:rPr>
        <w:t>2.2.8.1</w:t>
      </w:r>
      <w:r>
        <w:rPr>
          <w:sz w:val="20"/>
        </w:rPr>
        <w:t xml:space="preserve"> </w:t>
      </w:r>
      <w:r w:rsidRPr="00B7552D">
        <w:rPr>
          <w:b w:val="0"/>
          <w:sz w:val="20"/>
        </w:rPr>
        <w:t>Application administrative details</w:t>
      </w:r>
      <w:bookmarkEnd w:id="160"/>
    </w:p>
    <w:p w14:paraId="0E91F0C9" w14:textId="77777777" w:rsidR="00AE4F3C" w:rsidRPr="000F0B12" w:rsidRDefault="00AE4F3C" w:rsidP="00AE4F3C">
      <w:pPr>
        <w:ind w:left="360"/>
        <w:rPr>
          <w:i/>
          <w:color w:val="000000"/>
          <w:lang w:val="sv-SE" w:eastAsia="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685"/>
        <w:gridCol w:w="5216"/>
      </w:tblGrid>
      <w:tr w:rsidR="00AE4F3C" w:rsidRPr="00A53077" w14:paraId="32FBBB22" w14:textId="77777777" w:rsidTr="000B2EE2">
        <w:trPr>
          <w:jc w:val="center"/>
        </w:trPr>
        <w:tc>
          <w:tcPr>
            <w:tcW w:w="3685" w:type="dxa"/>
            <w:vAlign w:val="center"/>
          </w:tcPr>
          <w:p w14:paraId="0FCEFD54" w14:textId="77777777" w:rsidR="00AE4F3C" w:rsidRPr="00A53077" w:rsidRDefault="00AE4F3C" w:rsidP="000B2EE2">
            <w:pPr>
              <w:rPr>
                <w:rFonts w:ascii="Arial" w:hAnsi="Arial" w:cs="Arial"/>
              </w:rPr>
            </w:pPr>
            <w:r w:rsidRPr="00A53077">
              <w:rPr>
                <w:rFonts w:ascii="Arial" w:hAnsi="Arial" w:cs="Arial"/>
              </w:rPr>
              <w:t>Procedure</w:t>
            </w:r>
          </w:p>
        </w:tc>
        <w:tc>
          <w:tcPr>
            <w:tcW w:w="5216" w:type="dxa"/>
            <w:vAlign w:val="center"/>
          </w:tcPr>
          <w:p w14:paraId="12D93CBC" w14:textId="77777777" w:rsidR="00AE4F3C" w:rsidRPr="00A53077" w:rsidRDefault="00AE4F3C" w:rsidP="000B2EE2">
            <w:pPr>
              <w:rPr>
                <w:rFonts w:ascii="Arial" w:hAnsi="Arial" w:cs="Arial"/>
              </w:rPr>
            </w:pPr>
            <w:r w:rsidRPr="00A53077">
              <w:rPr>
                <w:rFonts w:ascii="Arial" w:hAnsi="Arial" w:cs="Arial"/>
              </w:rPr>
              <w:t>NA</w:t>
            </w:r>
            <w:r>
              <w:rPr>
                <w:rFonts w:ascii="Arial" w:hAnsi="Arial" w:cs="Arial"/>
              </w:rPr>
              <w:t>-APP</w:t>
            </w:r>
          </w:p>
        </w:tc>
      </w:tr>
      <w:tr w:rsidR="00AE4F3C" w:rsidRPr="00A53077" w14:paraId="7398802E" w14:textId="77777777" w:rsidTr="000B2EE2">
        <w:trPr>
          <w:jc w:val="center"/>
        </w:trPr>
        <w:tc>
          <w:tcPr>
            <w:tcW w:w="3685" w:type="dxa"/>
            <w:vAlign w:val="center"/>
          </w:tcPr>
          <w:p w14:paraId="7E46E216" w14:textId="77777777" w:rsidR="00AE4F3C" w:rsidRPr="00A53077" w:rsidRDefault="00AE4F3C" w:rsidP="000B2EE2">
            <w:pPr>
              <w:rPr>
                <w:rFonts w:ascii="Arial" w:hAnsi="Arial" w:cs="Arial"/>
              </w:rPr>
            </w:pPr>
            <w:r w:rsidRPr="00A53077">
              <w:rPr>
                <w:rFonts w:ascii="Arial" w:hAnsi="Arial" w:cs="Arial"/>
              </w:rPr>
              <w:t>Purpose</w:t>
            </w:r>
          </w:p>
        </w:tc>
        <w:tc>
          <w:tcPr>
            <w:tcW w:w="5216" w:type="dxa"/>
            <w:vAlign w:val="center"/>
          </w:tcPr>
          <w:p w14:paraId="005C64ED" w14:textId="77777777" w:rsidR="00AE4F3C" w:rsidRPr="00A53077" w:rsidRDefault="00AE4F3C" w:rsidP="000B2EE2">
            <w:pPr>
              <w:rPr>
                <w:rFonts w:ascii="Arial" w:hAnsi="Arial" w:cs="Arial"/>
              </w:rPr>
            </w:pPr>
            <w:r w:rsidRPr="00A53077">
              <w:rPr>
                <w:rFonts w:ascii="Arial" w:hAnsi="Arial" w:cs="Arial"/>
              </w:rPr>
              <w:t>Aut</w:t>
            </w:r>
            <w:r>
              <w:rPr>
                <w:rFonts w:ascii="Arial" w:hAnsi="Arial" w:cs="Arial"/>
              </w:rPr>
              <w:t>h</w:t>
            </w:r>
            <w:r w:rsidRPr="00A53077">
              <w:rPr>
                <w:rFonts w:ascii="Arial" w:hAnsi="Arial" w:cs="Arial"/>
              </w:rPr>
              <w:t>orisation</w:t>
            </w:r>
          </w:p>
        </w:tc>
      </w:tr>
      <w:tr w:rsidR="00AE4F3C" w:rsidRPr="00A53077" w14:paraId="403415D2" w14:textId="77777777" w:rsidTr="000B2EE2">
        <w:trPr>
          <w:jc w:val="center"/>
        </w:trPr>
        <w:tc>
          <w:tcPr>
            <w:tcW w:w="3685" w:type="dxa"/>
            <w:vAlign w:val="center"/>
          </w:tcPr>
          <w:p w14:paraId="3C7A6BBC" w14:textId="77777777" w:rsidR="00AE4F3C" w:rsidRPr="00A53077" w:rsidRDefault="00AE4F3C" w:rsidP="000B2EE2">
            <w:pPr>
              <w:rPr>
                <w:rFonts w:ascii="Arial" w:hAnsi="Arial" w:cs="Arial"/>
              </w:rPr>
            </w:pPr>
            <w:r w:rsidRPr="00A53077">
              <w:rPr>
                <w:rFonts w:ascii="Arial" w:hAnsi="Arial" w:cs="Arial"/>
              </w:rPr>
              <w:t xml:space="preserve">Case number in R4BP </w:t>
            </w:r>
          </w:p>
        </w:tc>
        <w:tc>
          <w:tcPr>
            <w:tcW w:w="5216" w:type="dxa"/>
            <w:vAlign w:val="center"/>
          </w:tcPr>
          <w:p w14:paraId="3F83D94C" w14:textId="77777777" w:rsidR="00AE4F3C" w:rsidRPr="00561D55" w:rsidRDefault="00AE4F3C" w:rsidP="000B2EE2">
            <w:pPr>
              <w:rPr>
                <w:rFonts w:ascii="Arial" w:hAnsi="Arial" w:cs="Arial"/>
              </w:rPr>
            </w:pPr>
            <w:r w:rsidRPr="00561D55">
              <w:rPr>
                <w:rFonts w:ascii="Arial" w:hAnsi="Arial" w:cs="Arial"/>
              </w:rPr>
              <w:t>BC-JL017423-44</w:t>
            </w:r>
          </w:p>
        </w:tc>
      </w:tr>
      <w:tr w:rsidR="00AE4F3C" w:rsidRPr="00A53077" w14:paraId="72CE88F8" w14:textId="77777777" w:rsidTr="000B2EE2">
        <w:trPr>
          <w:jc w:val="center"/>
        </w:trPr>
        <w:tc>
          <w:tcPr>
            <w:tcW w:w="3685" w:type="dxa"/>
            <w:vAlign w:val="center"/>
          </w:tcPr>
          <w:p w14:paraId="2935F1A2" w14:textId="77777777" w:rsidR="00AE4F3C" w:rsidRPr="00A53077" w:rsidRDefault="00AE4F3C" w:rsidP="000B2EE2">
            <w:pPr>
              <w:rPr>
                <w:rFonts w:ascii="Arial" w:hAnsi="Arial" w:cs="Arial"/>
              </w:rPr>
            </w:pPr>
            <w:r w:rsidRPr="00A53077">
              <w:rPr>
                <w:rFonts w:ascii="Arial" w:hAnsi="Arial" w:cs="Arial"/>
              </w:rPr>
              <w:t>Evaluating Competent Authority</w:t>
            </w:r>
          </w:p>
        </w:tc>
        <w:tc>
          <w:tcPr>
            <w:tcW w:w="5216" w:type="dxa"/>
            <w:vAlign w:val="center"/>
          </w:tcPr>
          <w:p w14:paraId="15838D40" w14:textId="77777777" w:rsidR="00AE4F3C" w:rsidRPr="00A53077" w:rsidRDefault="00AE4F3C" w:rsidP="000B2EE2">
            <w:pPr>
              <w:rPr>
                <w:rFonts w:ascii="Arial" w:hAnsi="Arial" w:cs="Arial"/>
              </w:rPr>
            </w:pPr>
            <w:r w:rsidRPr="00A53077">
              <w:rPr>
                <w:rFonts w:ascii="Arial" w:hAnsi="Arial" w:cs="Arial"/>
              </w:rPr>
              <w:t>France</w:t>
            </w:r>
          </w:p>
        </w:tc>
      </w:tr>
      <w:tr w:rsidR="00AE4F3C" w:rsidRPr="00A53077" w14:paraId="1C4B0C81" w14:textId="77777777" w:rsidTr="000B2EE2">
        <w:trPr>
          <w:jc w:val="center"/>
        </w:trPr>
        <w:tc>
          <w:tcPr>
            <w:tcW w:w="3685" w:type="dxa"/>
            <w:vAlign w:val="center"/>
          </w:tcPr>
          <w:p w14:paraId="78697F30" w14:textId="77777777" w:rsidR="00AE4F3C" w:rsidRPr="00A53077" w:rsidRDefault="00AE4F3C" w:rsidP="000B2EE2">
            <w:pPr>
              <w:rPr>
                <w:rFonts w:ascii="Arial" w:hAnsi="Arial" w:cs="Arial"/>
              </w:rPr>
            </w:pPr>
            <w:r w:rsidRPr="00A53077">
              <w:rPr>
                <w:rFonts w:ascii="Arial" w:hAnsi="Arial" w:cs="Arial"/>
              </w:rPr>
              <w:t>Applicant</w:t>
            </w:r>
          </w:p>
        </w:tc>
        <w:tc>
          <w:tcPr>
            <w:tcW w:w="5216" w:type="dxa"/>
            <w:vAlign w:val="center"/>
          </w:tcPr>
          <w:p w14:paraId="02414043" w14:textId="77777777" w:rsidR="00AE4F3C" w:rsidRPr="00A53077" w:rsidRDefault="00AE4F3C" w:rsidP="000B2EE2">
            <w:pPr>
              <w:rPr>
                <w:rFonts w:ascii="Arial" w:hAnsi="Arial" w:cs="Arial"/>
              </w:rPr>
            </w:pPr>
            <w:r w:rsidRPr="00422CC3">
              <w:rPr>
                <w:rFonts w:ascii="Arial" w:hAnsi="Arial" w:cs="Arial"/>
              </w:rPr>
              <w:t>PPG AC - France SA</w:t>
            </w:r>
          </w:p>
        </w:tc>
      </w:tr>
      <w:tr w:rsidR="00AE4F3C" w:rsidRPr="00A53077" w14:paraId="031258BA" w14:textId="77777777" w:rsidTr="000B2EE2">
        <w:trPr>
          <w:jc w:val="center"/>
        </w:trPr>
        <w:tc>
          <w:tcPr>
            <w:tcW w:w="3685" w:type="dxa"/>
            <w:vAlign w:val="center"/>
          </w:tcPr>
          <w:p w14:paraId="062B7342" w14:textId="77777777" w:rsidR="00AE4F3C" w:rsidRPr="00A53077" w:rsidRDefault="00AE4F3C" w:rsidP="000B2EE2">
            <w:pPr>
              <w:rPr>
                <w:rFonts w:ascii="Arial" w:hAnsi="Arial" w:cs="Arial"/>
              </w:rPr>
            </w:pPr>
            <w:r w:rsidRPr="00A53077">
              <w:rPr>
                <w:rFonts w:ascii="Arial" w:hAnsi="Arial" w:cs="Arial"/>
              </w:rPr>
              <w:t>Authorisation holder</w:t>
            </w:r>
          </w:p>
        </w:tc>
        <w:tc>
          <w:tcPr>
            <w:tcW w:w="5216" w:type="dxa"/>
            <w:vAlign w:val="center"/>
          </w:tcPr>
          <w:p w14:paraId="4BF14C8B" w14:textId="77777777" w:rsidR="00AE4F3C" w:rsidRPr="00A53077" w:rsidRDefault="00AE4F3C" w:rsidP="000B2EE2">
            <w:pPr>
              <w:rPr>
                <w:rFonts w:ascii="Arial" w:hAnsi="Arial"/>
                <w:b/>
                <w:lang w:eastAsia="fr-FR"/>
              </w:rPr>
            </w:pPr>
            <w:r w:rsidRPr="00422CC3">
              <w:rPr>
                <w:rFonts w:ascii="Arial" w:hAnsi="Arial" w:cs="Arial"/>
              </w:rPr>
              <w:t>PPG AC - France SA</w:t>
            </w:r>
          </w:p>
        </w:tc>
      </w:tr>
    </w:tbl>
    <w:p w14:paraId="71E27E15" w14:textId="77777777" w:rsidR="00AE4F3C" w:rsidRDefault="00AE4F3C" w:rsidP="00AE4F3C">
      <w:pPr>
        <w:rPr>
          <w:rFonts w:ascii="Arial" w:hAnsi="Arial" w:cs="Arial"/>
          <w:b/>
          <w:bCs/>
          <w:lang w:val="en-US" w:eastAsia="fr-FR"/>
        </w:rPr>
      </w:pPr>
    </w:p>
    <w:p w14:paraId="190BD369" w14:textId="6D89B88F" w:rsidR="00AE4F3C" w:rsidRPr="00E522F0" w:rsidRDefault="00AE4F3C" w:rsidP="00B7552D">
      <w:pPr>
        <w:pStyle w:val="Titre4"/>
        <w:numPr>
          <w:ilvl w:val="3"/>
          <w:numId w:val="45"/>
        </w:numPr>
        <w:suppressAutoHyphens w:val="0"/>
        <w:spacing w:after="0" w:line="276" w:lineRule="auto"/>
        <w:rPr>
          <w:rFonts w:ascii="Calibri" w:hAnsi="Calibri"/>
          <w:i/>
          <w:color w:val="000000"/>
          <w:sz w:val="20"/>
          <w:lang w:val="sv-SE" w:eastAsia="sv-SE"/>
        </w:rPr>
      </w:pPr>
      <w:bookmarkStart w:id="162" w:name="_Toc536627328"/>
      <w:r>
        <w:t>A</w:t>
      </w:r>
      <w:r w:rsidRPr="000F0B12">
        <w:t xml:space="preserve">dministrative </w:t>
      </w:r>
      <w:r>
        <w:t>information of the Biocidal Product</w:t>
      </w:r>
      <w:bookmarkEnd w:id="162"/>
    </w:p>
    <w:p w14:paraId="75BA1D36" w14:textId="77777777" w:rsidR="00AE4F3C" w:rsidRPr="002E5407" w:rsidRDefault="00AE4F3C" w:rsidP="00AE4F3C">
      <w:pPr>
        <w:ind w:right="28"/>
        <w:rPr>
          <w:rFonts w:ascii="Arial" w:hAnsi="Arial" w:cs="Arial"/>
          <w:b/>
          <w:color w:val="000000"/>
          <w:lang w:val="sv-SE" w:eastAsia="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685"/>
        <w:gridCol w:w="5216"/>
      </w:tblGrid>
      <w:tr w:rsidR="00AE4F3C" w:rsidRPr="00A53077" w14:paraId="3FCA365E" w14:textId="77777777" w:rsidTr="000B2EE2">
        <w:trPr>
          <w:jc w:val="center"/>
        </w:trPr>
        <w:tc>
          <w:tcPr>
            <w:tcW w:w="3685" w:type="dxa"/>
            <w:vAlign w:val="center"/>
          </w:tcPr>
          <w:p w14:paraId="7FFF980D" w14:textId="77777777" w:rsidR="00AE4F3C" w:rsidRPr="00A53077" w:rsidRDefault="00AE4F3C" w:rsidP="000B2EE2">
            <w:pPr>
              <w:rPr>
                <w:rFonts w:ascii="Arial" w:hAnsi="Arial" w:cs="Arial"/>
              </w:rPr>
            </w:pPr>
            <w:r w:rsidRPr="00A53077">
              <w:rPr>
                <w:rFonts w:ascii="Arial" w:hAnsi="Arial" w:cs="Arial"/>
              </w:rPr>
              <w:t>Trade name(s)</w:t>
            </w:r>
          </w:p>
        </w:tc>
        <w:tc>
          <w:tcPr>
            <w:tcW w:w="5216" w:type="dxa"/>
            <w:vAlign w:val="center"/>
          </w:tcPr>
          <w:p w14:paraId="0B79193F" w14:textId="77777777" w:rsidR="00AE4F3C" w:rsidRPr="00A53077" w:rsidRDefault="00AE4F3C" w:rsidP="000B2EE2">
            <w:pPr>
              <w:rPr>
                <w:rFonts w:ascii="Arial" w:hAnsi="Arial" w:cs="Arial"/>
              </w:rPr>
            </w:pPr>
            <w:r>
              <w:rPr>
                <w:rFonts w:ascii="Arial" w:hAnsi="Arial" w:cs="Arial"/>
              </w:rPr>
              <w:t>X6122B1</w:t>
            </w:r>
          </w:p>
        </w:tc>
      </w:tr>
      <w:tr w:rsidR="00AE4F3C" w:rsidRPr="00A53077" w14:paraId="31AB7A4F" w14:textId="77777777" w:rsidTr="000B2EE2">
        <w:trPr>
          <w:jc w:val="center"/>
        </w:trPr>
        <w:tc>
          <w:tcPr>
            <w:tcW w:w="3685" w:type="dxa"/>
            <w:vAlign w:val="center"/>
          </w:tcPr>
          <w:p w14:paraId="4B947BA1" w14:textId="77777777" w:rsidR="00AE4F3C" w:rsidRPr="00A53077" w:rsidRDefault="00AE4F3C" w:rsidP="000B2EE2">
            <w:pPr>
              <w:rPr>
                <w:rFonts w:ascii="Arial" w:hAnsi="Arial" w:cs="Arial"/>
              </w:rPr>
            </w:pPr>
            <w:r w:rsidRPr="00A53077">
              <w:rPr>
                <w:rFonts w:ascii="Arial" w:hAnsi="Arial" w:cs="Arial"/>
              </w:rPr>
              <w:t>Product type(s)</w:t>
            </w:r>
          </w:p>
        </w:tc>
        <w:tc>
          <w:tcPr>
            <w:tcW w:w="5216" w:type="dxa"/>
            <w:vAlign w:val="center"/>
          </w:tcPr>
          <w:p w14:paraId="1A57B445" w14:textId="77777777" w:rsidR="00AE4F3C" w:rsidRPr="00A53077" w:rsidRDefault="00AE4F3C" w:rsidP="000B2EE2">
            <w:pPr>
              <w:rPr>
                <w:rFonts w:ascii="Arial" w:hAnsi="Arial" w:cs="Arial"/>
              </w:rPr>
            </w:pPr>
            <w:r w:rsidRPr="00A53077">
              <w:rPr>
                <w:rFonts w:ascii="Arial" w:hAnsi="Arial" w:cs="Arial"/>
              </w:rPr>
              <w:t>8 – Wood preservative</w:t>
            </w:r>
          </w:p>
        </w:tc>
      </w:tr>
      <w:tr w:rsidR="00AE4F3C" w:rsidRPr="00A53077" w14:paraId="7D529C11" w14:textId="77777777" w:rsidTr="000B2EE2">
        <w:trPr>
          <w:jc w:val="center"/>
        </w:trPr>
        <w:tc>
          <w:tcPr>
            <w:tcW w:w="3685" w:type="dxa"/>
            <w:vAlign w:val="center"/>
          </w:tcPr>
          <w:p w14:paraId="1A7FE7DE" w14:textId="77777777" w:rsidR="00AE4F3C" w:rsidRPr="00A53077" w:rsidRDefault="00AE4F3C" w:rsidP="000B2EE2">
            <w:pPr>
              <w:rPr>
                <w:rFonts w:ascii="Arial" w:hAnsi="Arial" w:cs="Arial"/>
              </w:rPr>
            </w:pPr>
            <w:r w:rsidRPr="00A53077">
              <w:rPr>
                <w:rFonts w:ascii="Arial" w:hAnsi="Arial" w:cs="Arial"/>
              </w:rPr>
              <w:t>Active substance(s)</w:t>
            </w:r>
          </w:p>
        </w:tc>
        <w:tc>
          <w:tcPr>
            <w:tcW w:w="5216" w:type="dxa"/>
            <w:vAlign w:val="center"/>
          </w:tcPr>
          <w:p w14:paraId="37EEE7D8" w14:textId="77777777" w:rsidR="00AE4F3C" w:rsidRPr="00B7552D" w:rsidRDefault="00AE4F3C" w:rsidP="000B2EE2">
            <w:pPr>
              <w:rPr>
                <w:rFonts w:ascii="Arial" w:hAnsi="Arial" w:cs="Arial"/>
                <w:lang w:val="fr-FR"/>
              </w:rPr>
            </w:pPr>
            <w:r w:rsidRPr="00B7552D">
              <w:rPr>
                <w:rFonts w:ascii="Arial" w:hAnsi="Arial" w:cs="Arial"/>
                <w:lang w:val="fr-FR"/>
              </w:rPr>
              <w:t>Cypermethrin (CAS: 52315-07-8)</w:t>
            </w:r>
          </w:p>
          <w:p w14:paraId="63412C26" w14:textId="77777777" w:rsidR="00AE4F3C" w:rsidRPr="00B7552D" w:rsidRDefault="00AE4F3C" w:rsidP="000B2EE2">
            <w:pPr>
              <w:rPr>
                <w:rFonts w:ascii="Arial" w:hAnsi="Arial" w:cs="Arial"/>
                <w:lang w:val="fr-FR"/>
              </w:rPr>
            </w:pPr>
            <w:r w:rsidRPr="00B7552D">
              <w:rPr>
                <w:rFonts w:ascii="Arial" w:hAnsi="Arial" w:cs="Arial"/>
                <w:lang w:val="fr-FR"/>
              </w:rPr>
              <w:t>Propiconazole (CAS: 60207-90-1)</w:t>
            </w:r>
          </w:p>
          <w:p w14:paraId="5647901C" w14:textId="77777777" w:rsidR="00AE4F3C" w:rsidRPr="00B7552D" w:rsidRDefault="00AE4F3C" w:rsidP="000B2EE2">
            <w:pPr>
              <w:rPr>
                <w:rFonts w:ascii="Arial" w:hAnsi="Arial" w:cs="Arial"/>
                <w:lang w:val="fr-FR"/>
              </w:rPr>
            </w:pPr>
            <w:r w:rsidRPr="00B7552D">
              <w:rPr>
                <w:rFonts w:ascii="Arial" w:hAnsi="Arial" w:cs="Arial"/>
                <w:lang w:val="fr-FR"/>
              </w:rPr>
              <w:t>Tebuconazole (CAS: 107534-96-3)</w:t>
            </w:r>
          </w:p>
          <w:p w14:paraId="12706801" w14:textId="77777777" w:rsidR="00AE4F3C" w:rsidRPr="00A53077" w:rsidRDefault="00AE4F3C" w:rsidP="000B2EE2">
            <w:pPr>
              <w:rPr>
                <w:rFonts w:ascii="Arial" w:hAnsi="Arial" w:cs="Arial"/>
              </w:rPr>
            </w:pPr>
            <w:r>
              <w:rPr>
                <w:rFonts w:ascii="Arial" w:hAnsi="Arial" w:cs="Arial"/>
              </w:rPr>
              <w:t>IPBC (</w:t>
            </w:r>
            <w:r w:rsidRPr="00A53077">
              <w:rPr>
                <w:rFonts w:ascii="Arial" w:hAnsi="Arial" w:cs="Arial"/>
              </w:rPr>
              <w:t>CAS:</w:t>
            </w:r>
            <w:r>
              <w:rPr>
                <w:rFonts w:ascii="Arial" w:hAnsi="Arial" w:cs="Arial"/>
              </w:rPr>
              <w:t xml:space="preserve"> </w:t>
            </w:r>
            <w:r w:rsidRPr="00A53077">
              <w:rPr>
                <w:rFonts w:ascii="Arial" w:hAnsi="Arial" w:cs="Arial"/>
              </w:rPr>
              <w:t>CAS:</w:t>
            </w:r>
            <w:r>
              <w:rPr>
                <w:rFonts w:ascii="Arial" w:hAnsi="Arial" w:cs="Arial"/>
              </w:rPr>
              <w:t xml:space="preserve"> </w:t>
            </w:r>
            <w:r w:rsidRPr="002D5BAE">
              <w:rPr>
                <w:rFonts w:ascii="Arial" w:hAnsi="Arial" w:cs="Arial"/>
              </w:rPr>
              <w:t>55406-53-6)</w:t>
            </w:r>
          </w:p>
        </w:tc>
      </w:tr>
    </w:tbl>
    <w:p w14:paraId="653A30BC" w14:textId="77777777" w:rsidR="00AE4F3C" w:rsidRDefault="00AE4F3C" w:rsidP="00AE4F3C">
      <w:pPr>
        <w:ind w:left="720"/>
        <w:rPr>
          <w:rFonts w:ascii="Arial" w:hAnsi="Arial" w:cs="Arial"/>
          <w:b/>
          <w:bCs/>
          <w:lang w:val="en-US" w:eastAsia="fr-FR"/>
        </w:rPr>
      </w:pPr>
    </w:p>
    <w:p w14:paraId="046C802E" w14:textId="646103D4" w:rsidR="00AE4F3C" w:rsidRDefault="00AE4F3C" w:rsidP="00B7552D">
      <w:pPr>
        <w:pStyle w:val="Titre4"/>
        <w:numPr>
          <w:ilvl w:val="3"/>
          <w:numId w:val="45"/>
        </w:numPr>
        <w:suppressAutoHyphens w:val="0"/>
        <w:spacing w:after="0" w:line="276" w:lineRule="auto"/>
        <w:jc w:val="left"/>
      </w:pPr>
      <w:bookmarkStart w:id="163" w:name="_Toc536627329"/>
      <w:r w:rsidRPr="008C2256">
        <w:t>Active substance as candidate for substitution in the biocidal product</w:t>
      </w:r>
      <w:bookmarkEnd w:id="163"/>
    </w:p>
    <w:p w14:paraId="517E1D0E" w14:textId="77777777" w:rsidR="00AE4F3C" w:rsidRPr="00B1426A" w:rsidRDefault="00AE4F3C" w:rsidP="00AE4F3C">
      <w:pPr>
        <w:numPr>
          <w:ilvl w:val="0"/>
          <w:numId w:val="44"/>
        </w:numPr>
        <w:suppressAutoHyphens w:val="0"/>
        <w:spacing w:before="240" w:after="200" w:line="276" w:lineRule="auto"/>
        <w:jc w:val="left"/>
      </w:pPr>
      <w:r w:rsidRPr="00B1426A">
        <w:rPr>
          <w:rFonts w:ascii="Arial" w:hAnsi="Arial" w:cs="Arial"/>
          <w:b/>
          <w:lang w:val="en-US" w:eastAsia="fr-FR"/>
        </w:rPr>
        <w:t xml:space="preserve">Regulation </w:t>
      </w:r>
      <w:r>
        <w:rPr>
          <w:rFonts w:ascii="Arial" w:hAnsi="Arial" w:cs="Arial"/>
          <w:b/>
          <w:lang w:val="en-US" w:eastAsia="fr-FR"/>
        </w:rPr>
        <w:t>(UE) 528/2012 regarding substitution criteria</w:t>
      </w:r>
    </w:p>
    <w:p w14:paraId="6E2D92B3" w14:textId="77777777" w:rsidR="00AE4F3C" w:rsidRPr="002D5BAE" w:rsidRDefault="00AE4F3C" w:rsidP="00AE4F3C">
      <w:pPr>
        <w:rPr>
          <w:rFonts w:ascii="Arial" w:hAnsi="Arial" w:cs="Arial"/>
          <w:lang w:val="sv-SE" w:eastAsia="sv-SE"/>
        </w:rPr>
      </w:pPr>
      <w:r w:rsidRPr="002D5BAE">
        <w:rPr>
          <w:rFonts w:ascii="Arial" w:hAnsi="Arial" w:cs="Arial"/>
          <w:lang w:val="sv-SE" w:eastAsia="sv-SE"/>
        </w:rPr>
        <w:t>According to the most recent scientific information available on the active substance in the biocidal product, the wood preservative (PT8) tebuconazole shall be considered as candidate for substitution using the criteria in the regulation (UE) 528/2012, Article 10(1). As this active substance was approved under the Biocidal Products Directive, this information was not mentionned in the Assessment Report. However, as tebuconazole is considered to be toxic (T) and very persistent (vP), it can be considered to meet the criteria listed in Article 10(1)d. It meets two of the criteria for being PBT in accordance with Annex XIII to the regulation (EC) No 1907/2006.</w:t>
      </w:r>
    </w:p>
    <w:p w14:paraId="6561DD74" w14:textId="77777777" w:rsidR="00AE4F3C" w:rsidRPr="002D5BAE" w:rsidRDefault="00AE4F3C" w:rsidP="00AE4F3C">
      <w:pPr>
        <w:rPr>
          <w:rFonts w:ascii="Arial" w:hAnsi="Arial" w:cs="Arial"/>
          <w:lang w:val="sv-SE" w:eastAsia="sv-SE"/>
        </w:rPr>
      </w:pPr>
    </w:p>
    <w:p w14:paraId="767991DD" w14:textId="77777777" w:rsidR="00AE4F3C" w:rsidRDefault="00AE4F3C" w:rsidP="00AE4F3C">
      <w:pPr>
        <w:rPr>
          <w:rFonts w:ascii="Arial" w:hAnsi="Arial" w:cs="Arial"/>
          <w:lang w:val="sv-SE" w:eastAsia="sv-SE"/>
        </w:rPr>
      </w:pPr>
      <w:r w:rsidRPr="002D5BAE">
        <w:rPr>
          <w:rFonts w:ascii="Arial" w:hAnsi="Arial" w:cs="Arial"/>
          <w:lang w:val="sv-SE" w:eastAsia="sv-SE"/>
        </w:rPr>
        <w:t>Under Article 23(1) of Regulation 528/2012, Member States evaluating biocidal product containing at least, one active substance that is a candidate for substitution in accordance with Article 10(1) are required to</w:t>
      </w:r>
      <w:r w:rsidRPr="00756491">
        <w:rPr>
          <w:rFonts w:ascii="Arial" w:hAnsi="Arial" w:cs="Arial"/>
          <w:lang w:val="sv-SE" w:eastAsia="sv-SE"/>
        </w:rPr>
        <w:t xml:space="preserve"> perform a comparative assessment. </w:t>
      </w:r>
      <w:r>
        <w:rPr>
          <w:rFonts w:ascii="Arial" w:hAnsi="Arial" w:cs="Arial"/>
          <w:lang w:val="sv-SE" w:eastAsia="sv-SE"/>
        </w:rPr>
        <w:t xml:space="preserve">FR CA </w:t>
      </w:r>
      <w:r w:rsidRPr="00756491">
        <w:rPr>
          <w:rFonts w:ascii="Arial" w:hAnsi="Arial" w:cs="Arial"/>
          <w:lang w:val="sv-SE" w:eastAsia="sv-SE"/>
        </w:rPr>
        <w:t>has</w:t>
      </w:r>
      <w:r w:rsidRPr="006033C2">
        <w:rPr>
          <w:rFonts w:ascii="Arial" w:hAnsi="Arial" w:cs="Arial"/>
          <w:lang w:val="sv-SE" w:eastAsia="sv-SE"/>
        </w:rPr>
        <w:t xml:space="preserve"> </w:t>
      </w:r>
      <w:r>
        <w:rPr>
          <w:rFonts w:ascii="Arial" w:hAnsi="Arial" w:cs="Arial"/>
          <w:lang w:val="sv-SE" w:eastAsia="sv-SE"/>
        </w:rPr>
        <w:t xml:space="preserve">performed it for the biocidal product </w:t>
      </w:r>
      <w:r>
        <w:rPr>
          <w:rFonts w:ascii="Arial" w:hAnsi="Arial" w:cs="Arial"/>
        </w:rPr>
        <w:t>X6122B1</w:t>
      </w:r>
      <w:r>
        <w:rPr>
          <w:rFonts w:ascii="Arial" w:hAnsi="Arial" w:cs="Arial"/>
          <w:lang w:val="sv-SE" w:eastAsia="sv-SE"/>
        </w:rPr>
        <w:t xml:space="preserve"> following</w:t>
      </w:r>
      <w:r w:rsidRPr="00756491">
        <w:rPr>
          <w:rFonts w:ascii="Arial" w:hAnsi="Arial" w:cs="Arial"/>
          <w:lang w:val="sv-SE" w:eastAsia="sv-SE"/>
        </w:rPr>
        <w:t xml:space="preserve"> the EU guidance</w:t>
      </w:r>
      <w:r w:rsidRPr="00756491">
        <w:rPr>
          <w:rFonts w:ascii="Arial" w:hAnsi="Arial" w:cs="Arial"/>
          <w:vertAlign w:val="superscript"/>
          <w:lang w:val="sv-SE" w:eastAsia="sv-SE"/>
        </w:rPr>
        <w:footnoteReference w:id="27"/>
      </w:r>
      <w:r>
        <w:rPr>
          <w:rFonts w:ascii="Arial" w:hAnsi="Arial" w:cs="Arial"/>
          <w:lang w:val="sv-SE" w:eastAsia="sv-SE"/>
        </w:rPr>
        <w:t xml:space="preserve"> regarding</w:t>
      </w:r>
      <w:r w:rsidRPr="00756491">
        <w:rPr>
          <w:rFonts w:ascii="Arial" w:hAnsi="Arial" w:cs="Arial"/>
          <w:lang w:val="sv-SE" w:eastAsia="sv-SE"/>
        </w:rPr>
        <w:t xml:space="preserve"> the comparative assessment of the biocidal product. </w:t>
      </w:r>
    </w:p>
    <w:p w14:paraId="30DDCC9D" w14:textId="77777777" w:rsidR="00AE4F3C" w:rsidRDefault="00AE4F3C" w:rsidP="00AE4F3C">
      <w:pPr>
        <w:rPr>
          <w:rFonts w:ascii="Arial" w:hAnsi="Arial" w:cs="Arial"/>
          <w:lang w:val="sv-SE" w:eastAsia="sv-SE"/>
        </w:rPr>
      </w:pPr>
    </w:p>
    <w:p w14:paraId="47FF6A4B" w14:textId="77777777" w:rsidR="00AE4F3C" w:rsidRDefault="00AE4F3C" w:rsidP="00AE4F3C">
      <w:pPr>
        <w:rPr>
          <w:rFonts w:ascii="Arial" w:hAnsi="Arial" w:cs="Arial"/>
          <w:lang w:val="sv-SE" w:eastAsia="sv-SE"/>
        </w:rPr>
      </w:pPr>
      <w:r w:rsidRPr="00E42954">
        <w:rPr>
          <w:rFonts w:ascii="Arial" w:hAnsi="Arial" w:cs="Arial"/>
          <w:color w:val="000000"/>
          <w:lang w:val="sv-SE" w:eastAsia="sv-SE"/>
        </w:rPr>
        <w:t xml:space="preserve">The biocidal product </w:t>
      </w:r>
      <w:r>
        <w:rPr>
          <w:rFonts w:ascii="Arial" w:hAnsi="Arial" w:cs="Arial"/>
        </w:rPr>
        <w:t>X6122B1</w:t>
      </w:r>
      <w:r w:rsidRPr="00E42954">
        <w:rPr>
          <w:rFonts w:ascii="Arial" w:hAnsi="Arial" w:cs="Arial"/>
          <w:color w:val="000000"/>
          <w:lang w:val="sv-SE" w:eastAsia="sv-SE"/>
        </w:rPr>
        <w:t xml:space="preserve"> is </w:t>
      </w:r>
      <w:r>
        <w:rPr>
          <w:rFonts w:ascii="Arial" w:hAnsi="Arial" w:cs="Arial"/>
          <w:color w:val="000000"/>
          <w:lang w:val="sv-SE" w:eastAsia="sv-SE"/>
        </w:rPr>
        <w:t xml:space="preserve">a wood-preservative product containing four active </w:t>
      </w:r>
      <w:r w:rsidRPr="00FF1BD2">
        <w:rPr>
          <w:rFonts w:ascii="Arial" w:hAnsi="Arial" w:cs="Arial"/>
          <w:lang w:val="sv-SE" w:eastAsia="sv-SE"/>
        </w:rPr>
        <w:t>substances</w:t>
      </w:r>
      <w:r>
        <w:rPr>
          <w:rFonts w:ascii="Arial" w:hAnsi="Arial" w:cs="Arial"/>
          <w:lang w:val="sv-SE" w:eastAsia="sv-SE"/>
        </w:rPr>
        <w:t xml:space="preserve"> as listed above, among which tebuconazole, </w:t>
      </w:r>
      <w:r w:rsidRPr="00FF1BD2">
        <w:rPr>
          <w:rFonts w:ascii="Arial" w:hAnsi="Arial" w:cs="Arial"/>
          <w:lang w:val="sv-SE" w:eastAsia="sv-SE"/>
        </w:rPr>
        <w:t>meets the criteria for subs</w:t>
      </w:r>
      <w:r>
        <w:rPr>
          <w:rFonts w:ascii="Arial" w:hAnsi="Arial" w:cs="Arial"/>
          <w:lang w:val="sv-SE" w:eastAsia="sv-SE"/>
        </w:rPr>
        <w:t>t</w:t>
      </w:r>
      <w:r w:rsidRPr="00FF1BD2">
        <w:rPr>
          <w:rFonts w:ascii="Arial" w:hAnsi="Arial" w:cs="Arial"/>
          <w:lang w:val="sv-SE" w:eastAsia="sv-SE"/>
        </w:rPr>
        <w:t>itution</w:t>
      </w:r>
      <w:r w:rsidRPr="002A6A93">
        <w:rPr>
          <w:rFonts w:ascii="Arial" w:hAnsi="Arial" w:cs="Arial"/>
          <w:color w:val="000000"/>
          <w:lang w:val="sv-SE" w:eastAsia="sv-SE"/>
        </w:rPr>
        <w:t xml:space="preserve"> </w:t>
      </w:r>
      <w:r w:rsidRPr="00E42954">
        <w:rPr>
          <w:rFonts w:ascii="Arial" w:hAnsi="Arial" w:cs="Arial"/>
          <w:color w:val="000000"/>
          <w:lang w:val="sv-SE" w:eastAsia="sv-SE"/>
        </w:rPr>
        <w:t xml:space="preserve">under Article 10 of the Biocidal Products Regulation (528/2012). </w:t>
      </w:r>
      <w:r w:rsidRPr="00756491">
        <w:rPr>
          <w:rFonts w:ascii="Arial" w:hAnsi="Arial" w:cs="Arial"/>
          <w:lang w:val="sv-SE" w:eastAsia="sv-SE"/>
        </w:rPr>
        <w:t xml:space="preserve">In line with this Note for Guidance, </w:t>
      </w:r>
      <w:r>
        <w:rPr>
          <w:rFonts w:ascii="Arial" w:hAnsi="Arial" w:cs="Arial"/>
          <w:lang w:val="sv-SE" w:eastAsia="sv-SE"/>
        </w:rPr>
        <w:t>FR CA</w:t>
      </w:r>
      <w:r w:rsidRPr="00756491">
        <w:rPr>
          <w:rFonts w:ascii="Arial" w:hAnsi="Arial" w:cs="Arial"/>
          <w:lang w:val="sv-SE" w:eastAsia="sv-SE"/>
        </w:rPr>
        <w:t xml:space="preserve"> began the comparative assessment with the screening phase (Annex 1.1 of guidance document) to identify whether the diversity of the active substances - mode of action combination in authorised</w:t>
      </w:r>
      <w:r>
        <w:rPr>
          <w:rFonts w:ascii="Arial" w:hAnsi="Arial" w:cs="Arial"/>
          <w:lang w:val="sv-SE" w:eastAsia="sv-SE"/>
        </w:rPr>
        <w:t xml:space="preserve"> biocidal products is adequate.</w:t>
      </w:r>
    </w:p>
    <w:p w14:paraId="2C9D8F1F" w14:textId="77777777" w:rsidR="00AE4F3C" w:rsidRDefault="00AE4F3C" w:rsidP="00AE4F3C">
      <w:pPr>
        <w:rPr>
          <w:rFonts w:ascii="Arial" w:hAnsi="Arial" w:cs="Arial"/>
          <w:lang w:val="sv-SE" w:eastAsia="sv-SE"/>
        </w:rPr>
      </w:pPr>
    </w:p>
    <w:p w14:paraId="338863DE" w14:textId="68D5777E" w:rsidR="00AE4F3C" w:rsidRDefault="00AE4F3C" w:rsidP="00B7552D">
      <w:pPr>
        <w:pStyle w:val="Titre4"/>
        <w:numPr>
          <w:ilvl w:val="3"/>
          <w:numId w:val="45"/>
        </w:numPr>
        <w:suppressAutoHyphens w:val="0"/>
        <w:spacing w:after="0" w:line="276" w:lineRule="auto"/>
      </w:pPr>
      <w:bookmarkStart w:id="164" w:name="_Toc536627330"/>
      <w:r>
        <w:t>Information of</w:t>
      </w:r>
      <w:r w:rsidRPr="00B7552D">
        <w:rPr>
          <w:rStyle w:val="Titre1Car"/>
          <w:bCs/>
        </w:rPr>
        <w:t xml:space="preserve"> </w:t>
      </w:r>
      <w:r w:rsidRPr="00713F11">
        <w:t xml:space="preserve">the </w:t>
      </w:r>
      <w:r>
        <w:t xml:space="preserve">active substance and the biocidal product </w:t>
      </w:r>
      <w:r w:rsidRPr="00713F11">
        <w:t>in the application</w:t>
      </w:r>
      <w:bookmarkEnd w:id="164"/>
    </w:p>
    <w:p w14:paraId="126BF9B1" w14:textId="33F8081C" w:rsidR="00AE4F3C" w:rsidRPr="00B1426A" w:rsidRDefault="00AE4F3C" w:rsidP="00B7552D">
      <w:pPr>
        <w:pStyle w:val="Titre5"/>
      </w:pPr>
      <w:r>
        <w:rPr>
          <w:lang w:eastAsia="fr-FR"/>
        </w:rPr>
        <w:t xml:space="preserve">Mode of action of the active substance </w:t>
      </w:r>
    </w:p>
    <w:p w14:paraId="5356BE10" w14:textId="7E59DBF7" w:rsidR="00AE4F3C" w:rsidRDefault="00AE4F3C" w:rsidP="00AE4F3C">
      <w:pPr>
        <w:rPr>
          <w:rFonts w:ascii="Arial" w:hAnsi="Arial" w:cs="Arial"/>
          <w:iCs/>
        </w:rPr>
      </w:pPr>
      <w:r w:rsidRPr="00B1426A">
        <w:rPr>
          <w:rFonts w:ascii="Arial" w:hAnsi="Arial" w:cs="Arial"/>
          <w:color w:val="000000"/>
          <w:lang w:val="sv-SE" w:eastAsia="sv-SE"/>
        </w:rPr>
        <w:t>The active substance tebuconazole is a fongicide acting on target</w:t>
      </w:r>
      <w:r w:rsidRPr="00B1426A">
        <w:rPr>
          <w:rFonts w:ascii="Arial" w:hAnsi="Arial" w:cs="Arial"/>
          <w:iCs/>
        </w:rPr>
        <w:t xml:space="preserve"> organisms by interfering with basic metabolism of the fungal cell wall and contents.</w:t>
      </w:r>
    </w:p>
    <w:p w14:paraId="58589D1F" w14:textId="77777777" w:rsidR="00AE4F3C" w:rsidRDefault="00AE4F3C" w:rsidP="00AE4F3C">
      <w:pPr>
        <w:rPr>
          <w:rFonts w:ascii="Arial" w:hAnsi="Arial" w:cs="Arial"/>
          <w:iCs/>
        </w:rPr>
      </w:pPr>
    </w:p>
    <w:p w14:paraId="41C63F95" w14:textId="6A267528" w:rsidR="00AE4F3C" w:rsidRPr="00D126B7" w:rsidRDefault="00AE4F3C" w:rsidP="00B7552D">
      <w:pPr>
        <w:pStyle w:val="Titre5"/>
      </w:pPr>
      <w:r w:rsidRPr="00D126B7">
        <w:t>Intended uses for</w:t>
      </w:r>
      <w:r w:rsidRPr="00713F11">
        <w:rPr>
          <w:rStyle w:val="Titre1Car"/>
          <w:b w:val="0"/>
          <w:bCs/>
        </w:rPr>
        <w:t xml:space="preserve"> </w:t>
      </w:r>
      <w:r w:rsidRPr="00D126B7">
        <w:t>the relevant Biocidal Product in the application</w:t>
      </w:r>
    </w:p>
    <w:p w14:paraId="6D8213D0" w14:textId="77777777" w:rsidR="00AE4F3C" w:rsidRDefault="00AE4F3C" w:rsidP="00AE4F3C">
      <w:pPr>
        <w:rPr>
          <w:rFonts w:ascii="Arial" w:hAnsi="Arial" w:cs="Arial"/>
          <w:lang w:val="sv-SE" w:eastAsia="sv-SE"/>
        </w:rPr>
      </w:pPr>
      <w:r w:rsidRPr="00FF1BD2">
        <w:rPr>
          <w:rFonts w:ascii="Arial" w:hAnsi="Arial" w:cs="Arial"/>
          <w:lang w:val="sv-SE" w:eastAsia="sv-SE"/>
        </w:rPr>
        <w:t xml:space="preserve">The product is to be used by </w:t>
      </w:r>
      <w:r>
        <w:rPr>
          <w:rFonts w:ascii="Arial" w:hAnsi="Arial" w:cs="Arial"/>
          <w:lang w:val="sv-SE" w:eastAsia="sv-SE"/>
        </w:rPr>
        <w:t xml:space="preserve">industrial, </w:t>
      </w:r>
      <w:r w:rsidRPr="00FF1BD2">
        <w:rPr>
          <w:rFonts w:ascii="Arial" w:hAnsi="Arial" w:cs="Arial"/>
          <w:lang w:val="sv-SE" w:eastAsia="sv-SE"/>
        </w:rPr>
        <w:t>professional and non-professional users</w:t>
      </w:r>
      <w:r>
        <w:rPr>
          <w:rFonts w:ascii="Arial" w:hAnsi="Arial" w:cs="Arial"/>
          <w:lang w:val="sv-SE" w:eastAsia="sv-SE"/>
        </w:rPr>
        <w:t xml:space="preserve"> as a preventive and curative treatement for wood, indoor and outdoor. Preventive and curative treatments are performed by superficial application. Curative treatment can also be completed by injection. </w:t>
      </w:r>
    </w:p>
    <w:p w14:paraId="323F06DA" w14:textId="77777777" w:rsidR="00AE4F3C" w:rsidRDefault="00AE4F3C" w:rsidP="00AE4F3C">
      <w:pPr>
        <w:rPr>
          <w:rFonts w:ascii="Arial" w:hAnsi="Arial" w:cs="Arial"/>
          <w:lang w:val="sv-SE" w:eastAsia="sv-SE"/>
        </w:rPr>
      </w:pPr>
    </w:p>
    <w:p w14:paraId="36F6AF70" w14:textId="77777777" w:rsidR="00AE4F3C" w:rsidRDefault="00AE4F3C" w:rsidP="00AE4F3C">
      <w:pPr>
        <w:rPr>
          <w:rFonts w:ascii="Arial" w:hAnsi="Arial" w:cs="Arial"/>
          <w:lang w:val="sv-SE" w:eastAsia="sv-SE"/>
        </w:rPr>
      </w:pPr>
      <w:r>
        <w:rPr>
          <w:rFonts w:ascii="Arial" w:hAnsi="Arial" w:cs="Arial"/>
          <w:lang w:val="sv-SE" w:eastAsia="sv-SE"/>
        </w:rPr>
        <w:t>The product was intented to be used also against fungi for preventive treatment of wood class 2 and 3.1. Nevertheless, this claim was not validated by eCA. Hence, this claim is not part of the comparative assessment</w:t>
      </w:r>
    </w:p>
    <w:p w14:paraId="30B53826" w14:textId="77777777" w:rsidR="00AE4F3C" w:rsidRDefault="00AE4F3C" w:rsidP="00AE4F3C">
      <w:pPr>
        <w:rPr>
          <w:rFonts w:ascii="Arial" w:hAnsi="Arial" w:cs="Arial"/>
          <w:lang w:val="sv-SE" w:eastAsia="sv-SE"/>
        </w:rPr>
      </w:pPr>
    </w:p>
    <w:p w14:paraId="3337E931" w14:textId="77777777" w:rsidR="00AE4F3C" w:rsidRPr="00844336" w:rsidRDefault="00AE4F3C" w:rsidP="00AE4F3C">
      <w:pPr>
        <w:pStyle w:val="Lgende"/>
        <w:rPr>
          <w:rFonts w:ascii="Arial" w:hAnsi="Arial" w:cs="Arial"/>
          <w:color w:val="000000"/>
          <w:u w:val="single"/>
          <w:lang w:val="en-US" w:eastAsia="sv-SE"/>
        </w:rPr>
      </w:pPr>
      <w:r w:rsidRPr="00844336">
        <w:rPr>
          <w:rFonts w:ascii="Arial" w:hAnsi="Arial" w:cs="Arial"/>
          <w:color w:val="000000"/>
          <w:u w:val="single"/>
          <w:lang w:val="sv-SE" w:eastAsia="sv-SE"/>
        </w:rPr>
        <w:t xml:space="preserve">Table </w:t>
      </w:r>
      <w:r>
        <w:rPr>
          <w:rFonts w:ascii="Arial" w:hAnsi="Arial" w:cs="Arial"/>
          <w:color w:val="000000"/>
          <w:u w:val="single"/>
          <w:lang w:val="sv-SE" w:eastAsia="sv-SE"/>
        </w:rPr>
        <w:t>3.</w:t>
      </w:r>
      <w:r w:rsidRPr="00844336">
        <w:rPr>
          <w:rFonts w:ascii="Arial" w:hAnsi="Arial" w:cs="Arial"/>
          <w:color w:val="000000"/>
          <w:u w:val="single"/>
          <w:lang w:val="sv-SE" w:eastAsia="sv-SE"/>
        </w:rPr>
        <w:t>1</w:t>
      </w:r>
      <w:r w:rsidRPr="00844336">
        <w:rPr>
          <w:rFonts w:ascii="Arial" w:hAnsi="Arial" w:cs="Arial"/>
          <w:b/>
          <w:bCs/>
          <w:u w:val="single"/>
          <w:lang w:val="en-US" w:eastAsia="fr-FR"/>
        </w:rPr>
        <w:t xml:space="preserve">: </w:t>
      </w:r>
      <w:r w:rsidRPr="00844336">
        <w:rPr>
          <w:rFonts w:ascii="Arial" w:hAnsi="Arial" w:cs="Arial"/>
          <w:bCs/>
          <w:u w:val="single"/>
          <w:lang w:val="en-US" w:eastAsia="fr-FR"/>
        </w:rPr>
        <w:t>Intended uses of the biocidal product</w:t>
      </w:r>
      <w:r>
        <w:rPr>
          <w:rFonts w:ascii="Arial" w:hAnsi="Arial" w:cs="Arial"/>
          <w:bCs/>
          <w:u w:val="single"/>
          <w:lang w:val="en-US" w:eastAsia="fr-FR"/>
        </w:rPr>
        <w:t xml:space="preserve"> </w:t>
      </w:r>
      <w:r w:rsidRPr="00844336">
        <w:rPr>
          <w:rFonts w:ascii="Arial" w:hAnsi="Arial" w:cs="Arial"/>
          <w:bCs/>
          <w:u w:val="single"/>
          <w:lang w:val="en-US" w:eastAsia="fr-FR"/>
        </w:rPr>
        <w:t>– preventive treatment</w:t>
      </w:r>
    </w:p>
    <w:tbl>
      <w:tblPr>
        <w:tblW w:w="0" w:type="auto"/>
        <w:jc w:val="center"/>
        <w:tblLayout w:type="fixed"/>
        <w:tblCellMar>
          <w:left w:w="0" w:type="dxa"/>
          <w:right w:w="0" w:type="dxa"/>
        </w:tblCellMar>
        <w:tblLook w:val="0000" w:firstRow="0" w:lastRow="0" w:firstColumn="0" w:lastColumn="0" w:noHBand="0" w:noVBand="0"/>
      </w:tblPr>
      <w:tblGrid>
        <w:gridCol w:w="3034"/>
        <w:gridCol w:w="5867"/>
      </w:tblGrid>
      <w:tr w:rsidR="00AE4F3C" w:rsidRPr="00A73159" w14:paraId="512BC4D4" w14:textId="77777777" w:rsidTr="000B2EE2">
        <w:trPr>
          <w:trHeight w:val="452"/>
          <w:jc w:val="center"/>
        </w:trPr>
        <w:tc>
          <w:tcPr>
            <w:tcW w:w="3034" w:type="dxa"/>
            <w:tcBorders>
              <w:top w:val="single" w:sz="4" w:space="0" w:color="000000"/>
              <w:left w:val="single" w:sz="4" w:space="0" w:color="000000"/>
              <w:bottom w:val="single" w:sz="4" w:space="0" w:color="000000"/>
            </w:tcBorders>
            <w:shd w:val="clear" w:color="auto" w:fill="auto"/>
            <w:vAlign w:val="center"/>
          </w:tcPr>
          <w:p w14:paraId="02F9B90C" w14:textId="77777777" w:rsidR="00AE4F3C" w:rsidRPr="00A73159" w:rsidRDefault="00AE4F3C" w:rsidP="000B2EE2">
            <w:pPr>
              <w:ind w:left="199" w:right="225"/>
              <w:rPr>
                <w:rFonts w:ascii="Arial" w:hAnsi="Arial" w:cs="Arial"/>
                <w:bCs/>
                <w:lang w:val="de-DE"/>
              </w:rPr>
            </w:pPr>
            <w:r w:rsidRPr="00A73159">
              <w:rPr>
                <w:rFonts w:ascii="Arial" w:hAnsi="Arial" w:cs="Arial"/>
                <w:bCs/>
              </w:rPr>
              <w:t>Product Type(s)</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CB655" w14:textId="77777777" w:rsidR="00AE4F3C" w:rsidRPr="009F23ED" w:rsidRDefault="00AE4F3C" w:rsidP="000B2EE2">
            <w:pPr>
              <w:snapToGrid w:val="0"/>
              <w:ind w:left="49"/>
              <w:rPr>
                <w:rFonts w:ascii="Arial" w:hAnsi="Arial" w:cs="Arial"/>
              </w:rPr>
            </w:pPr>
            <w:r>
              <w:rPr>
                <w:rFonts w:ascii="Arial" w:hAnsi="Arial" w:cs="Arial"/>
              </w:rPr>
              <w:t>8 – Wood preservative</w:t>
            </w:r>
          </w:p>
        </w:tc>
      </w:tr>
      <w:tr w:rsidR="00AE4F3C" w:rsidRPr="00756491" w14:paraId="2867DB39" w14:textId="77777777" w:rsidTr="000B2EE2">
        <w:trPr>
          <w:trHeight w:val="709"/>
          <w:jc w:val="center"/>
        </w:trPr>
        <w:tc>
          <w:tcPr>
            <w:tcW w:w="3034" w:type="dxa"/>
            <w:tcBorders>
              <w:left w:val="single" w:sz="4" w:space="0" w:color="000000"/>
              <w:bottom w:val="single" w:sz="4" w:space="0" w:color="000000"/>
            </w:tcBorders>
            <w:shd w:val="clear" w:color="auto" w:fill="auto"/>
            <w:vAlign w:val="center"/>
          </w:tcPr>
          <w:p w14:paraId="172AE3B7" w14:textId="77777777" w:rsidR="00AE4F3C" w:rsidRPr="00A73159" w:rsidRDefault="00AE4F3C" w:rsidP="000B2EE2">
            <w:pPr>
              <w:ind w:left="199" w:right="225"/>
              <w:rPr>
                <w:rFonts w:ascii="Arial" w:hAnsi="Arial" w:cs="Arial"/>
                <w:bCs/>
                <w:lang w:val="en-US"/>
              </w:rPr>
            </w:pPr>
            <w:r w:rsidRPr="00756491">
              <w:rPr>
                <w:rFonts w:ascii="Arial" w:hAnsi="Arial" w:cs="Arial"/>
                <w:bCs/>
                <w:lang w:val="en-US"/>
              </w:rPr>
              <w:t>Where relevant, an exact description of the authorized use</w:t>
            </w:r>
          </w:p>
        </w:tc>
        <w:tc>
          <w:tcPr>
            <w:tcW w:w="5867" w:type="dxa"/>
            <w:tcBorders>
              <w:left w:val="single" w:sz="4" w:space="0" w:color="000000"/>
              <w:bottom w:val="single" w:sz="4" w:space="0" w:color="000000"/>
              <w:right w:val="single" w:sz="4" w:space="0" w:color="000000"/>
            </w:tcBorders>
            <w:shd w:val="clear" w:color="auto" w:fill="auto"/>
            <w:vAlign w:val="center"/>
          </w:tcPr>
          <w:p w14:paraId="636EB021" w14:textId="77777777" w:rsidR="00AE4F3C" w:rsidRPr="00756491" w:rsidRDefault="00AE4F3C" w:rsidP="000B2EE2">
            <w:pPr>
              <w:snapToGrid w:val="0"/>
              <w:ind w:left="49"/>
              <w:rPr>
                <w:rFonts w:ascii="Arial" w:hAnsi="Arial" w:cs="Arial"/>
                <w:lang w:val="en-US"/>
              </w:rPr>
            </w:pPr>
            <w:r w:rsidRPr="00756491">
              <w:rPr>
                <w:rFonts w:ascii="Arial" w:hAnsi="Arial" w:cs="Arial"/>
                <w:lang w:val="en-US"/>
              </w:rPr>
              <w:t>Preventive treat</w:t>
            </w:r>
            <w:r>
              <w:rPr>
                <w:rFonts w:ascii="Arial" w:hAnsi="Arial" w:cs="Arial"/>
                <w:lang w:val="en-US"/>
              </w:rPr>
              <w:t>ment for wood on use classes 1</w:t>
            </w:r>
          </w:p>
        </w:tc>
      </w:tr>
      <w:tr w:rsidR="00AE4F3C" w:rsidRPr="00A73159" w14:paraId="24CC2BCE" w14:textId="77777777" w:rsidTr="000B2EE2">
        <w:trPr>
          <w:trHeight w:val="2182"/>
          <w:jc w:val="center"/>
        </w:trPr>
        <w:tc>
          <w:tcPr>
            <w:tcW w:w="3034" w:type="dxa"/>
            <w:tcBorders>
              <w:left w:val="single" w:sz="4" w:space="0" w:color="000000"/>
              <w:bottom w:val="single" w:sz="4" w:space="0" w:color="000000"/>
            </w:tcBorders>
            <w:shd w:val="clear" w:color="auto" w:fill="auto"/>
            <w:vAlign w:val="center"/>
          </w:tcPr>
          <w:p w14:paraId="3351EF80" w14:textId="77777777" w:rsidR="00AE4F3C" w:rsidRPr="00A73159" w:rsidRDefault="00AE4F3C" w:rsidP="000B2EE2">
            <w:pPr>
              <w:ind w:left="199" w:right="225"/>
              <w:rPr>
                <w:rFonts w:ascii="Arial" w:hAnsi="Arial" w:cs="Arial"/>
                <w:bCs/>
                <w:lang w:val="en-US"/>
              </w:rPr>
            </w:pPr>
            <w:r w:rsidRPr="00756491">
              <w:rPr>
                <w:rFonts w:ascii="Arial" w:hAnsi="Arial" w:cs="Arial"/>
                <w:bCs/>
                <w:lang w:val="en-US"/>
              </w:rPr>
              <w:t>Target organism (including development stage)</w:t>
            </w:r>
          </w:p>
        </w:tc>
        <w:tc>
          <w:tcPr>
            <w:tcW w:w="5867" w:type="dxa"/>
            <w:tcBorders>
              <w:left w:val="single" w:sz="4" w:space="0" w:color="000000"/>
              <w:bottom w:val="single" w:sz="4" w:space="0" w:color="000000"/>
              <w:right w:val="single" w:sz="4" w:space="0" w:color="000000"/>
            </w:tcBorders>
            <w:shd w:val="clear" w:color="auto" w:fill="auto"/>
            <w:vAlign w:val="center"/>
          </w:tcPr>
          <w:p w14:paraId="695DDA83" w14:textId="77777777" w:rsidR="00AE4F3C" w:rsidRDefault="00AE4F3C" w:rsidP="000B2EE2">
            <w:pPr>
              <w:autoSpaceDE w:val="0"/>
              <w:autoSpaceDN w:val="0"/>
              <w:adjustRightInd w:val="0"/>
              <w:ind w:left="49"/>
              <w:rPr>
                <w:rFonts w:ascii="Arial" w:hAnsi="Arial" w:cs="Arial"/>
                <w:lang w:val="en-US" w:eastAsia="fr-FR"/>
              </w:rPr>
            </w:pPr>
            <w:r>
              <w:rPr>
                <w:rFonts w:ascii="Arial" w:hAnsi="Arial" w:cs="Arial"/>
                <w:lang w:val="en-US" w:eastAsia="fr-FR"/>
              </w:rPr>
              <w:t>Wood boring beetles:</w:t>
            </w:r>
          </w:p>
          <w:p w14:paraId="5094CBB3"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H</w:t>
            </w:r>
            <w:r w:rsidRPr="00A73159">
              <w:rPr>
                <w:rFonts w:ascii="Arial" w:hAnsi="Arial" w:cs="Arial"/>
                <w:lang w:val="en-US" w:eastAsia="fr-FR"/>
              </w:rPr>
              <w:t>ouse longhorn beetle</w:t>
            </w:r>
            <w:r w:rsidRPr="00C03B16">
              <w:rPr>
                <w:rFonts w:ascii="Arial" w:hAnsi="Arial" w:cs="Arial"/>
              </w:rPr>
              <w:t xml:space="preserve"> (</w:t>
            </w:r>
            <w:r w:rsidRPr="00C03B16">
              <w:rPr>
                <w:rFonts w:ascii="Arial" w:hAnsi="Arial" w:cs="Arial"/>
                <w:i/>
              </w:rPr>
              <w:t>Hylotrupes bajulus</w:t>
            </w:r>
            <w:r w:rsidRPr="00C03B16">
              <w:rPr>
                <w:rFonts w:ascii="Arial" w:hAnsi="Arial" w:cs="Arial"/>
              </w:rPr>
              <w:t>)</w:t>
            </w:r>
          </w:p>
          <w:p w14:paraId="77577262"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C</w:t>
            </w:r>
            <w:r w:rsidRPr="00A73159">
              <w:rPr>
                <w:rFonts w:ascii="Arial" w:hAnsi="Arial" w:cs="Arial"/>
                <w:lang w:val="en-US" w:eastAsia="fr-FR"/>
              </w:rPr>
              <w:t xml:space="preserve">ommon furniture beetle </w:t>
            </w:r>
            <w:r w:rsidRPr="00C03B16">
              <w:rPr>
                <w:rFonts w:ascii="Arial" w:hAnsi="Arial" w:cs="Arial"/>
              </w:rPr>
              <w:t>(</w:t>
            </w:r>
            <w:r w:rsidRPr="00C03B16">
              <w:rPr>
                <w:rFonts w:ascii="Arial" w:hAnsi="Arial" w:cs="Arial"/>
                <w:i/>
              </w:rPr>
              <w:t>Anobium punctatum</w:t>
            </w:r>
            <w:r w:rsidRPr="00C03B16">
              <w:rPr>
                <w:rFonts w:ascii="Arial" w:hAnsi="Arial" w:cs="Arial"/>
              </w:rPr>
              <w:t xml:space="preserve">) </w:t>
            </w:r>
          </w:p>
          <w:p w14:paraId="70CC0A11"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P</w:t>
            </w:r>
            <w:r w:rsidRPr="00A73159">
              <w:rPr>
                <w:rFonts w:ascii="Arial" w:hAnsi="Arial" w:cs="Arial"/>
                <w:lang w:val="en-US" w:eastAsia="fr-FR"/>
              </w:rPr>
              <w:t>owder post beetles</w:t>
            </w:r>
            <w:r w:rsidRPr="00C03B16">
              <w:rPr>
                <w:rFonts w:ascii="Arial" w:hAnsi="Arial" w:cs="Arial"/>
              </w:rPr>
              <w:t xml:space="preserve"> (</w:t>
            </w:r>
            <w:r w:rsidRPr="00C03B16">
              <w:rPr>
                <w:rFonts w:ascii="Arial" w:hAnsi="Arial" w:cs="Arial"/>
                <w:i/>
              </w:rPr>
              <w:t>Lyctus brunneus</w:t>
            </w:r>
            <w:r w:rsidRPr="00C03B16">
              <w:rPr>
                <w:rFonts w:ascii="Arial" w:hAnsi="Arial" w:cs="Arial"/>
              </w:rPr>
              <w:t>)</w:t>
            </w:r>
          </w:p>
          <w:p w14:paraId="5EAB20BD" w14:textId="77777777" w:rsidR="00AE4F3C" w:rsidRPr="00364DDA" w:rsidRDefault="00AE4F3C" w:rsidP="000B2EE2">
            <w:pPr>
              <w:autoSpaceDE w:val="0"/>
              <w:autoSpaceDN w:val="0"/>
              <w:adjustRightInd w:val="0"/>
              <w:ind w:left="49"/>
              <w:rPr>
                <w:rFonts w:ascii="Arial" w:hAnsi="Arial" w:cs="Arial"/>
                <w:lang w:val="sv-SE" w:eastAsia="fr-FR"/>
              </w:rPr>
            </w:pPr>
          </w:p>
          <w:p w14:paraId="6613E885" w14:textId="77777777" w:rsidR="00AE4F3C" w:rsidRPr="00364DDA" w:rsidRDefault="00AE4F3C" w:rsidP="000B2EE2">
            <w:pPr>
              <w:autoSpaceDE w:val="0"/>
              <w:autoSpaceDN w:val="0"/>
              <w:adjustRightInd w:val="0"/>
              <w:ind w:left="49"/>
              <w:rPr>
                <w:rFonts w:ascii="Arial" w:hAnsi="Arial" w:cs="Arial"/>
                <w:lang w:val="en-US" w:eastAsia="fr-FR"/>
              </w:rPr>
            </w:pPr>
            <w:r w:rsidRPr="006515F2">
              <w:rPr>
                <w:rFonts w:ascii="Arial" w:hAnsi="Arial" w:cs="Arial"/>
              </w:rPr>
              <w:t>Termites (</w:t>
            </w:r>
            <w:r w:rsidRPr="006515F2">
              <w:rPr>
                <w:rFonts w:ascii="Arial" w:hAnsi="Arial" w:cs="Arial"/>
                <w:i/>
              </w:rPr>
              <w:t>Reticulitermes spp</w:t>
            </w:r>
            <w:r>
              <w:rPr>
                <w:rFonts w:ascii="Arial" w:hAnsi="Arial" w:cs="Arial"/>
                <w:i/>
              </w:rPr>
              <w:t>)</w:t>
            </w:r>
          </w:p>
        </w:tc>
      </w:tr>
      <w:tr w:rsidR="00AE4F3C" w:rsidRPr="00756491" w14:paraId="6CC06733" w14:textId="77777777" w:rsidTr="000B2EE2">
        <w:trPr>
          <w:trHeight w:val="555"/>
          <w:jc w:val="center"/>
        </w:trPr>
        <w:tc>
          <w:tcPr>
            <w:tcW w:w="3034" w:type="dxa"/>
            <w:tcBorders>
              <w:left w:val="single" w:sz="4" w:space="0" w:color="000000"/>
              <w:bottom w:val="single" w:sz="4" w:space="0" w:color="000000"/>
            </w:tcBorders>
            <w:shd w:val="clear" w:color="auto" w:fill="auto"/>
            <w:vAlign w:val="center"/>
          </w:tcPr>
          <w:p w14:paraId="47B9507B" w14:textId="77777777" w:rsidR="00AE4F3C" w:rsidRPr="00A73159" w:rsidRDefault="00AE4F3C" w:rsidP="000B2EE2">
            <w:pPr>
              <w:ind w:left="199" w:right="225"/>
              <w:rPr>
                <w:rFonts w:ascii="Arial" w:hAnsi="Arial" w:cs="Arial"/>
                <w:bCs/>
                <w:lang w:val="de-DE"/>
              </w:rPr>
            </w:pPr>
            <w:r w:rsidRPr="00A73159">
              <w:rPr>
                <w:rFonts w:ascii="Arial" w:hAnsi="Arial" w:cs="Arial"/>
                <w:bCs/>
              </w:rPr>
              <w:t>Field of use</w:t>
            </w:r>
          </w:p>
        </w:tc>
        <w:tc>
          <w:tcPr>
            <w:tcW w:w="5867" w:type="dxa"/>
            <w:tcBorders>
              <w:left w:val="single" w:sz="4" w:space="0" w:color="000000"/>
              <w:bottom w:val="single" w:sz="4" w:space="0" w:color="000000"/>
              <w:right w:val="single" w:sz="4" w:space="0" w:color="000000"/>
            </w:tcBorders>
            <w:shd w:val="clear" w:color="auto" w:fill="auto"/>
            <w:vAlign w:val="center"/>
          </w:tcPr>
          <w:p w14:paraId="2B5165F0" w14:textId="77777777" w:rsidR="00AE4F3C" w:rsidRPr="00756491" w:rsidRDefault="00AE4F3C" w:rsidP="000B2EE2">
            <w:pPr>
              <w:snapToGrid w:val="0"/>
              <w:ind w:left="49"/>
              <w:rPr>
                <w:rFonts w:ascii="Arial" w:hAnsi="Arial" w:cs="Arial"/>
                <w:b/>
                <w:lang w:val="en-US"/>
              </w:rPr>
            </w:pPr>
            <w:r w:rsidRPr="00756491">
              <w:rPr>
                <w:rFonts w:ascii="Arial" w:hAnsi="Arial" w:cs="Arial"/>
                <w:lang w:val="en-US"/>
              </w:rPr>
              <w:t>Preventive treatment for wood on use classes 1</w:t>
            </w:r>
          </w:p>
        </w:tc>
      </w:tr>
      <w:tr w:rsidR="00AE4F3C" w:rsidRPr="00DF47CD" w14:paraId="53D1E8FA" w14:textId="77777777" w:rsidTr="000B2EE2">
        <w:trPr>
          <w:trHeight w:val="726"/>
          <w:jc w:val="center"/>
        </w:trPr>
        <w:tc>
          <w:tcPr>
            <w:tcW w:w="3034" w:type="dxa"/>
            <w:tcBorders>
              <w:left w:val="single" w:sz="4" w:space="0" w:color="000000"/>
              <w:bottom w:val="single" w:sz="4" w:space="0" w:color="000000"/>
            </w:tcBorders>
            <w:shd w:val="clear" w:color="auto" w:fill="auto"/>
            <w:vAlign w:val="center"/>
          </w:tcPr>
          <w:p w14:paraId="2C440684" w14:textId="77777777" w:rsidR="00AE4F3C" w:rsidRPr="00DF47CD" w:rsidRDefault="00AE4F3C" w:rsidP="000B2EE2">
            <w:pPr>
              <w:ind w:left="199" w:right="225"/>
              <w:rPr>
                <w:rFonts w:ascii="Arial" w:hAnsi="Arial" w:cs="Arial"/>
                <w:bCs/>
                <w:lang w:val="de-DE"/>
              </w:rPr>
            </w:pPr>
            <w:r w:rsidRPr="00DF47CD">
              <w:rPr>
                <w:rFonts w:ascii="Arial" w:hAnsi="Arial" w:cs="Arial"/>
                <w:bCs/>
              </w:rPr>
              <w:t>Application method(s)</w:t>
            </w:r>
          </w:p>
        </w:tc>
        <w:tc>
          <w:tcPr>
            <w:tcW w:w="5867" w:type="dxa"/>
            <w:tcBorders>
              <w:left w:val="single" w:sz="4" w:space="0" w:color="000000"/>
              <w:bottom w:val="single" w:sz="4" w:space="0" w:color="000000"/>
              <w:right w:val="single" w:sz="4" w:space="0" w:color="000000"/>
            </w:tcBorders>
            <w:shd w:val="clear" w:color="auto" w:fill="auto"/>
            <w:vAlign w:val="center"/>
          </w:tcPr>
          <w:p w14:paraId="48BABA83" w14:textId="77777777" w:rsidR="00AE4F3C" w:rsidRPr="00DF47CD" w:rsidRDefault="00AE4F3C" w:rsidP="000B2EE2">
            <w:pPr>
              <w:snapToGrid w:val="0"/>
              <w:ind w:left="49"/>
              <w:rPr>
                <w:rFonts w:ascii="Arial" w:hAnsi="Arial" w:cs="Arial"/>
              </w:rPr>
            </w:pPr>
            <w:r w:rsidRPr="00DF47CD">
              <w:rPr>
                <w:rFonts w:ascii="Arial" w:hAnsi="Arial" w:cs="Arial"/>
              </w:rPr>
              <w:t>Superficial application / short dipping treatment</w:t>
            </w:r>
          </w:p>
          <w:p w14:paraId="3E921526" w14:textId="77777777" w:rsidR="00AE4F3C" w:rsidRPr="00DF47CD" w:rsidRDefault="00AE4F3C" w:rsidP="000B2EE2">
            <w:pPr>
              <w:snapToGrid w:val="0"/>
              <w:ind w:left="49"/>
              <w:rPr>
                <w:rFonts w:ascii="Arial" w:hAnsi="Arial" w:cs="Arial"/>
              </w:rPr>
            </w:pPr>
            <w:r w:rsidRPr="00DF47CD">
              <w:rPr>
                <w:rFonts w:ascii="Arial" w:hAnsi="Arial" w:cs="Arial"/>
              </w:rPr>
              <w:t>Superficial application / spray treatment</w:t>
            </w:r>
          </w:p>
          <w:p w14:paraId="05421951" w14:textId="77777777" w:rsidR="00AE4F3C" w:rsidRPr="00DF47CD" w:rsidRDefault="00AE4F3C" w:rsidP="000B2EE2">
            <w:pPr>
              <w:snapToGrid w:val="0"/>
              <w:ind w:left="49"/>
              <w:rPr>
                <w:rFonts w:ascii="Arial" w:hAnsi="Arial" w:cs="Arial"/>
                <w:lang w:val="en-US"/>
              </w:rPr>
            </w:pPr>
            <w:r w:rsidRPr="00DF47CD">
              <w:rPr>
                <w:rFonts w:ascii="Arial" w:hAnsi="Arial" w:cs="Arial"/>
                <w:lang w:val="en-US"/>
              </w:rPr>
              <w:t>Superficial application / brush / roller / pad treatment</w:t>
            </w:r>
          </w:p>
        </w:tc>
      </w:tr>
      <w:tr w:rsidR="00AE4F3C" w:rsidRPr="008E5D2B" w14:paraId="165ECC83" w14:textId="77777777" w:rsidTr="000B2EE2">
        <w:trPr>
          <w:trHeight w:val="452"/>
          <w:jc w:val="center"/>
        </w:trPr>
        <w:tc>
          <w:tcPr>
            <w:tcW w:w="3034" w:type="dxa"/>
            <w:tcBorders>
              <w:left w:val="single" w:sz="4" w:space="0" w:color="000000"/>
              <w:bottom w:val="single" w:sz="4" w:space="0" w:color="000000"/>
            </w:tcBorders>
            <w:shd w:val="clear" w:color="auto" w:fill="auto"/>
            <w:vAlign w:val="center"/>
          </w:tcPr>
          <w:p w14:paraId="36E3B3A2" w14:textId="77777777" w:rsidR="00AE4F3C" w:rsidRPr="008E5D2B" w:rsidRDefault="00AE4F3C" w:rsidP="000B2EE2">
            <w:pPr>
              <w:ind w:left="199" w:right="225"/>
              <w:rPr>
                <w:rFonts w:ascii="Arial" w:hAnsi="Arial" w:cs="Arial"/>
                <w:bCs/>
                <w:lang w:val="en-US"/>
              </w:rPr>
            </w:pPr>
            <w:r w:rsidRPr="008E5D2B">
              <w:rPr>
                <w:rFonts w:ascii="Arial" w:hAnsi="Arial" w:cs="Arial"/>
                <w:bCs/>
                <w:lang w:val="en-US"/>
              </w:rPr>
              <w:t>Category(ies) of user(s)</w:t>
            </w:r>
          </w:p>
        </w:tc>
        <w:tc>
          <w:tcPr>
            <w:tcW w:w="5867" w:type="dxa"/>
            <w:tcBorders>
              <w:left w:val="single" w:sz="4" w:space="0" w:color="000000"/>
              <w:bottom w:val="single" w:sz="4" w:space="0" w:color="000000"/>
              <w:right w:val="single" w:sz="4" w:space="0" w:color="000000"/>
            </w:tcBorders>
            <w:shd w:val="clear" w:color="auto" w:fill="auto"/>
            <w:vAlign w:val="center"/>
          </w:tcPr>
          <w:p w14:paraId="586F2E82" w14:textId="77777777" w:rsidR="00AE4F3C" w:rsidRPr="008E5D2B" w:rsidRDefault="00AE4F3C" w:rsidP="000B2EE2">
            <w:pPr>
              <w:snapToGrid w:val="0"/>
              <w:ind w:left="49"/>
              <w:rPr>
                <w:rFonts w:ascii="Arial" w:hAnsi="Arial" w:cs="Arial"/>
                <w:lang w:val="en-US" w:eastAsia="fr-FR"/>
              </w:rPr>
            </w:pPr>
            <w:r w:rsidRPr="008E5D2B">
              <w:rPr>
                <w:rFonts w:ascii="Arial" w:hAnsi="Arial" w:cs="Arial"/>
                <w:lang w:val="en-US" w:eastAsia="fr-FR"/>
              </w:rPr>
              <w:t>Industrial users</w:t>
            </w:r>
          </w:p>
          <w:p w14:paraId="3C581734" w14:textId="77777777" w:rsidR="00AE4F3C" w:rsidRPr="008E5D2B" w:rsidRDefault="00AE4F3C" w:rsidP="000B2EE2">
            <w:pPr>
              <w:snapToGrid w:val="0"/>
              <w:ind w:left="49"/>
              <w:rPr>
                <w:rFonts w:ascii="Arial" w:hAnsi="Arial" w:cs="Arial"/>
                <w:lang w:val="en-US" w:eastAsia="fr-FR"/>
              </w:rPr>
            </w:pPr>
            <w:r w:rsidRPr="008E5D2B">
              <w:rPr>
                <w:rFonts w:ascii="Arial" w:hAnsi="Arial" w:cs="Arial"/>
                <w:lang w:val="en-US" w:eastAsia="fr-FR"/>
              </w:rPr>
              <w:t>Professional users</w:t>
            </w:r>
          </w:p>
          <w:p w14:paraId="1A7F07E6" w14:textId="77777777" w:rsidR="00AE4F3C" w:rsidRPr="008E5D2B" w:rsidRDefault="00AE4F3C" w:rsidP="000B2EE2">
            <w:pPr>
              <w:snapToGrid w:val="0"/>
              <w:ind w:left="49"/>
              <w:rPr>
                <w:rFonts w:ascii="Arial" w:hAnsi="Arial" w:cs="Arial"/>
                <w:bCs/>
                <w:lang w:val="en-US"/>
              </w:rPr>
            </w:pPr>
            <w:r w:rsidRPr="008E5D2B">
              <w:rPr>
                <w:rFonts w:ascii="Arial" w:hAnsi="Arial" w:cs="Arial"/>
                <w:lang w:val="en-US" w:eastAsia="fr-FR"/>
              </w:rPr>
              <w:t>Non-professional users</w:t>
            </w:r>
          </w:p>
        </w:tc>
      </w:tr>
    </w:tbl>
    <w:p w14:paraId="4DD87BC8" w14:textId="77777777" w:rsidR="00AE4F3C" w:rsidRDefault="00AE4F3C" w:rsidP="00AE4F3C">
      <w:pPr>
        <w:rPr>
          <w:rFonts w:ascii="Arial" w:hAnsi="Arial" w:cs="Arial"/>
          <w:color w:val="000000"/>
          <w:highlight w:val="yellow"/>
          <w:lang w:val="en-US" w:eastAsia="sv-SE"/>
        </w:rPr>
      </w:pPr>
    </w:p>
    <w:p w14:paraId="0511785C" w14:textId="77777777" w:rsidR="00AE4F3C" w:rsidRPr="00844336" w:rsidRDefault="00AE4F3C" w:rsidP="00AE4F3C">
      <w:pPr>
        <w:rPr>
          <w:rFonts w:ascii="Arial" w:hAnsi="Arial" w:cs="Arial"/>
          <w:b/>
          <w:u w:val="single"/>
          <w:lang w:val="en-US" w:eastAsia="fr-FR"/>
        </w:rPr>
      </w:pPr>
      <w:r w:rsidRPr="00844336">
        <w:rPr>
          <w:rFonts w:ascii="Arial" w:hAnsi="Arial" w:cs="Arial"/>
          <w:b/>
          <w:u w:val="single"/>
          <w:lang w:val="en-US" w:eastAsia="fr-FR"/>
        </w:rPr>
        <w:t xml:space="preserve">Table </w:t>
      </w:r>
      <w:r>
        <w:rPr>
          <w:rFonts w:ascii="Arial" w:hAnsi="Arial" w:cs="Arial"/>
          <w:b/>
          <w:u w:val="single"/>
          <w:lang w:val="en-US" w:eastAsia="fr-FR"/>
        </w:rPr>
        <w:t>3.</w:t>
      </w:r>
      <w:r w:rsidRPr="00844336">
        <w:rPr>
          <w:rFonts w:ascii="Arial" w:hAnsi="Arial" w:cs="Arial"/>
          <w:b/>
          <w:u w:val="single"/>
          <w:lang w:val="en-US" w:eastAsia="fr-FR"/>
        </w:rPr>
        <w:t>2: Intended uses of the biocidal product</w:t>
      </w:r>
      <w:r>
        <w:rPr>
          <w:rFonts w:ascii="Arial" w:hAnsi="Arial" w:cs="Arial"/>
          <w:b/>
          <w:u w:val="single"/>
          <w:lang w:val="en-US" w:eastAsia="fr-FR"/>
        </w:rPr>
        <w:t xml:space="preserve"> </w:t>
      </w:r>
      <w:r w:rsidRPr="00844336">
        <w:rPr>
          <w:rFonts w:ascii="Arial" w:hAnsi="Arial" w:cs="Arial"/>
          <w:b/>
          <w:u w:val="single"/>
          <w:lang w:val="en-US" w:eastAsia="fr-FR"/>
        </w:rPr>
        <w:t>– curative treatment</w:t>
      </w:r>
    </w:p>
    <w:p w14:paraId="0A430697" w14:textId="77777777" w:rsidR="00AE4F3C" w:rsidRDefault="00AE4F3C" w:rsidP="00AE4F3C">
      <w:pPr>
        <w:rPr>
          <w:rFonts w:ascii="Arial" w:hAnsi="Arial" w:cs="Arial"/>
          <w:color w:val="000000"/>
          <w:highlight w:val="yellow"/>
          <w:lang w:val="en-US" w:eastAsia="sv-SE"/>
        </w:rPr>
      </w:pPr>
    </w:p>
    <w:tbl>
      <w:tblPr>
        <w:tblpPr w:leftFromText="141" w:rightFromText="141" w:vertAnchor="text" w:tblpXSpec="center" w:tblpY="1"/>
        <w:tblOverlap w:val="never"/>
        <w:tblW w:w="4613" w:type="pct"/>
        <w:tblCellMar>
          <w:left w:w="0" w:type="dxa"/>
          <w:right w:w="0" w:type="dxa"/>
        </w:tblCellMar>
        <w:tblLook w:val="0000" w:firstRow="0" w:lastRow="0" w:firstColumn="0" w:lastColumn="0" w:noHBand="0" w:noVBand="0"/>
      </w:tblPr>
      <w:tblGrid>
        <w:gridCol w:w="2894"/>
        <w:gridCol w:w="5597"/>
      </w:tblGrid>
      <w:tr w:rsidR="00AE4F3C" w:rsidRPr="00A73159" w14:paraId="7D727D5C" w14:textId="77777777" w:rsidTr="000B2EE2">
        <w:trPr>
          <w:trHeight w:val="449"/>
        </w:trPr>
        <w:tc>
          <w:tcPr>
            <w:tcW w:w="1704" w:type="pct"/>
            <w:tcBorders>
              <w:top w:val="single" w:sz="4" w:space="0" w:color="000000"/>
              <w:left w:val="single" w:sz="4" w:space="0" w:color="000000"/>
              <w:bottom w:val="single" w:sz="4" w:space="0" w:color="000000"/>
            </w:tcBorders>
            <w:shd w:val="clear" w:color="auto" w:fill="auto"/>
            <w:vAlign w:val="center"/>
          </w:tcPr>
          <w:p w14:paraId="486085ED" w14:textId="77777777" w:rsidR="00AE4F3C" w:rsidRPr="00A73159" w:rsidRDefault="00AE4F3C" w:rsidP="000B2EE2">
            <w:pPr>
              <w:ind w:left="147"/>
              <w:rPr>
                <w:rFonts w:ascii="Arial" w:hAnsi="Arial" w:cs="Arial"/>
                <w:bCs/>
                <w:lang w:val="de-DE"/>
              </w:rPr>
            </w:pPr>
            <w:r w:rsidRPr="00A73159">
              <w:rPr>
                <w:rFonts w:ascii="Arial" w:hAnsi="Arial" w:cs="Arial"/>
                <w:bCs/>
              </w:rPr>
              <w:t>Product Type(s)</w:t>
            </w:r>
          </w:p>
        </w:tc>
        <w:tc>
          <w:tcPr>
            <w:tcW w:w="3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EC258" w14:textId="77777777" w:rsidR="00AE4F3C" w:rsidRPr="009F23ED" w:rsidRDefault="00AE4F3C" w:rsidP="000B2EE2">
            <w:pPr>
              <w:snapToGrid w:val="0"/>
              <w:ind w:left="49"/>
              <w:rPr>
                <w:rFonts w:ascii="Arial" w:hAnsi="Arial" w:cs="Arial"/>
              </w:rPr>
            </w:pPr>
            <w:r>
              <w:rPr>
                <w:rFonts w:ascii="Arial" w:hAnsi="Arial" w:cs="Arial"/>
              </w:rPr>
              <w:t>8 – Wood preservative</w:t>
            </w:r>
          </w:p>
        </w:tc>
      </w:tr>
      <w:tr w:rsidR="00AE4F3C" w:rsidRPr="00756491" w14:paraId="7C5D9534" w14:textId="77777777" w:rsidTr="000B2EE2">
        <w:trPr>
          <w:trHeight w:val="714"/>
        </w:trPr>
        <w:tc>
          <w:tcPr>
            <w:tcW w:w="1704" w:type="pct"/>
            <w:tcBorders>
              <w:left w:val="single" w:sz="4" w:space="0" w:color="000000"/>
              <w:bottom w:val="single" w:sz="4" w:space="0" w:color="000000"/>
            </w:tcBorders>
            <w:shd w:val="clear" w:color="auto" w:fill="auto"/>
            <w:vAlign w:val="center"/>
          </w:tcPr>
          <w:p w14:paraId="2C4038FF" w14:textId="77777777" w:rsidR="00AE4F3C" w:rsidRPr="00A73159" w:rsidRDefault="00AE4F3C" w:rsidP="000B2EE2">
            <w:pPr>
              <w:ind w:left="147" w:right="136"/>
              <w:rPr>
                <w:rFonts w:ascii="Arial" w:hAnsi="Arial" w:cs="Arial"/>
                <w:bCs/>
                <w:lang w:val="en-US"/>
              </w:rPr>
            </w:pPr>
            <w:r w:rsidRPr="00756491">
              <w:rPr>
                <w:rFonts w:ascii="Arial" w:hAnsi="Arial" w:cs="Arial"/>
                <w:bCs/>
                <w:lang w:val="en-US"/>
              </w:rPr>
              <w:t>Where relevant, an exact description of the authorized use</w:t>
            </w:r>
          </w:p>
        </w:tc>
        <w:tc>
          <w:tcPr>
            <w:tcW w:w="3296" w:type="pct"/>
            <w:tcBorders>
              <w:left w:val="single" w:sz="4" w:space="0" w:color="000000"/>
              <w:bottom w:val="single" w:sz="4" w:space="0" w:color="000000"/>
              <w:right w:val="single" w:sz="4" w:space="0" w:color="000000"/>
            </w:tcBorders>
            <w:shd w:val="clear" w:color="auto" w:fill="auto"/>
            <w:vAlign w:val="center"/>
          </w:tcPr>
          <w:p w14:paraId="36D74ACE" w14:textId="77777777" w:rsidR="00AE4F3C" w:rsidRPr="00756491" w:rsidRDefault="00AE4F3C" w:rsidP="000B2EE2">
            <w:pPr>
              <w:snapToGrid w:val="0"/>
              <w:ind w:left="49"/>
              <w:rPr>
                <w:rFonts w:ascii="Arial" w:hAnsi="Arial" w:cs="Arial"/>
                <w:lang w:val="en-US"/>
              </w:rPr>
            </w:pPr>
            <w:r w:rsidRPr="00756491">
              <w:rPr>
                <w:rFonts w:ascii="Arial" w:hAnsi="Arial" w:cs="Arial"/>
                <w:lang w:val="en-US"/>
              </w:rPr>
              <w:t>Curative treatment for wood in service (indoor)</w:t>
            </w:r>
          </w:p>
        </w:tc>
      </w:tr>
      <w:tr w:rsidR="00AE4F3C" w:rsidRPr="00112DD6" w14:paraId="5CC7341E" w14:textId="77777777" w:rsidTr="000B2EE2">
        <w:trPr>
          <w:trHeight w:val="1758"/>
        </w:trPr>
        <w:tc>
          <w:tcPr>
            <w:tcW w:w="1704" w:type="pct"/>
            <w:tcBorders>
              <w:left w:val="single" w:sz="4" w:space="0" w:color="000000"/>
              <w:bottom w:val="single" w:sz="4" w:space="0" w:color="000000"/>
            </w:tcBorders>
            <w:shd w:val="clear" w:color="auto" w:fill="auto"/>
            <w:vAlign w:val="center"/>
          </w:tcPr>
          <w:p w14:paraId="2D31D9F6" w14:textId="77777777" w:rsidR="00AE4F3C" w:rsidRPr="00A73159" w:rsidRDefault="00AE4F3C" w:rsidP="000B2EE2">
            <w:pPr>
              <w:ind w:left="147"/>
              <w:rPr>
                <w:rFonts w:ascii="Arial" w:hAnsi="Arial" w:cs="Arial"/>
                <w:bCs/>
                <w:lang w:val="en-US"/>
              </w:rPr>
            </w:pPr>
            <w:r w:rsidRPr="00756491">
              <w:rPr>
                <w:rFonts w:ascii="Arial" w:hAnsi="Arial" w:cs="Arial"/>
                <w:bCs/>
                <w:lang w:val="en-US"/>
              </w:rPr>
              <w:lastRenderedPageBreak/>
              <w:t>Target organism (including development stage)</w:t>
            </w:r>
          </w:p>
        </w:tc>
        <w:tc>
          <w:tcPr>
            <w:tcW w:w="3296" w:type="pct"/>
            <w:tcBorders>
              <w:left w:val="single" w:sz="4" w:space="0" w:color="000000"/>
              <w:bottom w:val="single" w:sz="4" w:space="0" w:color="000000"/>
              <w:right w:val="single" w:sz="4" w:space="0" w:color="000000"/>
            </w:tcBorders>
            <w:shd w:val="clear" w:color="auto" w:fill="auto"/>
            <w:vAlign w:val="center"/>
          </w:tcPr>
          <w:p w14:paraId="6C8385C3" w14:textId="77777777" w:rsidR="00AE4F3C" w:rsidRPr="006515F2" w:rsidRDefault="00AE4F3C" w:rsidP="000B2EE2">
            <w:pPr>
              <w:ind w:left="49"/>
              <w:rPr>
                <w:rFonts w:ascii="Arial" w:hAnsi="Arial" w:cs="Arial"/>
              </w:rPr>
            </w:pPr>
            <w:r w:rsidRPr="00A73159">
              <w:rPr>
                <w:rFonts w:ascii="Arial" w:hAnsi="Arial" w:cs="Arial"/>
                <w:lang w:val="en-US" w:eastAsia="fr-FR"/>
              </w:rPr>
              <w:t>Wood boring insects</w:t>
            </w:r>
          </w:p>
          <w:p w14:paraId="0CAF6A0D"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H</w:t>
            </w:r>
            <w:r w:rsidRPr="00A73159">
              <w:rPr>
                <w:rFonts w:ascii="Arial" w:hAnsi="Arial" w:cs="Arial"/>
                <w:lang w:val="en-US" w:eastAsia="fr-FR"/>
              </w:rPr>
              <w:t>ouse longhorn beetle</w:t>
            </w:r>
            <w:r w:rsidRPr="00C03B16">
              <w:rPr>
                <w:rFonts w:ascii="Arial" w:hAnsi="Arial" w:cs="Arial"/>
              </w:rPr>
              <w:t xml:space="preserve"> (</w:t>
            </w:r>
            <w:r w:rsidRPr="00C03B16">
              <w:rPr>
                <w:rFonts w:ascii="Arial" w:hAnsi="Arial" w:cs="Arial"/>
                <w:i/>
              </w:rPr>
              <w:t>Hylotrupes bajulus</w:t>
            </w:r>
            <w:r w:rsidRPr="00C03B16">
              <w:rPr>
                <w:rFonts w:ascii="Arial" w:hAnsi="Arial" w:cs="Arial"/>
              </w:rPr>
              <w:t>)</w:t>
            </w:r>
          </w:p>
          <w:p w14:paraId="408430E4"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C</w:t>
            </w:r>
            <w:r w:rsidRPr="00A73159">
              <w:rPr>
                <w:rFonts w:ascii="Arial" w:hAnsi="Arial" w:cs="Arial"/>
                <w:lang w:val="en-US" w:eastAsia="fr-FR"/>
              </w:rPr>
              <w:t xml:space="preserve">ommon furniture beetle </w:t>
            </w:r>
            <w:r w:rsidRPr="00C03B16">
              <w:rPr>
                <w:rFonts w:ascii="Arial" w:hAnsi="Arial" w:cs="Arial"/>
              </w:rPr>
              <w:t>(</w:t>
            </w:r>
            <w:r w:rsidRPr="00C03B16">
              <w:rPr>
                <w:rFonts w:ascii="Arial" w:hAnsi="Arial" w:cs="Arial"/>
                <w:i/>
              </w:rPr>
              <w:t>Anobium punctatum</w:t>
            </w:r>
            <w:r w:rsidRPr="00C03B16">
              <w:rPr>
                <w:rFonts w:ascii="Arial" w:hAnsi="Arial" w:cs="Arial"/>
              </w:rPr>
              <w:t xml:space="preserve">) </w:t>
            </w:r>
          </w:p>
          <w:p w14:paraId="2A546F33"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P</w:t>
            </w:r>
            <w:r w:rsidRPr="00A73159">
              <w:rPr>
                <w:rFonts w:ascii="Arial" w:hAnsi="Arial" w:cs="Arial"/>
                <w:lang w:val="en-US" w:eastAsia="fr-FR"/>
              </w:rPr>
              <w:t>owder post beetles</w:t>
            </w:r>
            <w:r w:rsidRPr="00C03B16">
              <w:rPr>
                <w:rFonts w:ascii="Arial" w:hAnsi="Arial" w:cs="Arial"/>
              </w:rPr>
              <w:t xml:space="preserve"> (</w:t>
            </w:r>
            <w:r w:rsidRPr="00C03B16">
              <w:rPr>
                <w:rFonts w:ascii="Arial" w:hAnsi="Arial" w:cs="Arial"/>
                <w:i/>
              </w:rPr>
              <w:t>Lyctus brunneus</w:t>
            </w:r>
            <w:r w:rsidRPr="00C03B16">
              <w:rPr>
                <w:rFonts w:ascii="Arial" w:hAnsi="Arial" w:cs="Arial"/>
              </w:rPr>
              <w:t>)</w:t>
            </w:r>
          </w:p>
          <w:p w14:paraId="043ABF3D" w14:textId="77777777" w:rsidR="00AE4F3C" w:rsidRPr="00B7552D" w:rsidRDefault="00AE4F3C" w:rsidP="000B2EE2">
            <w:pPr>
              <w:snapToGrid w:val="0"/>
              <w:spacing w:before="200"/>
              <w:ind w:left="49"/>
              <w:rPr>
                <w:rFonts w:ascii="Arial" w:hAnsi="Arial" w:cs="Arial"/>
                <w:b/>
                <w:lang w:val="fr-FR"/>
              </w:rPr>
            </w:pPr>
            <w:r w:rsidRPr="00B7552D">
              <w:rPr>
                <w:rFonts w:ascii="Arial" w:hAnsi="Arial" w:cs="Arial"/>
                <w:lang w:val="fr-FR"/>
              </w:rPr>
              <w:t>Termites (</w:t>
            </w:r>
            <w:r w:rsidRPr="00B7552D">
              <w:rPr>
                <w:rFonts w:ascii="Arial" w:hAnsi="Arial" w:cs="Arial"/>
                <w:i/>
                <w:lang w:val="fr-FR"/>
              </w:rPr>
              <w:t>Reticulitermes spp.</w:t>
            </w:r>
            <w:r w:rsidRPr="00B7552D">
              <w:rPr>
                <w:rFonts w:ascii="Arial" w:hAnsi="Arial" w:cs="Arial"/>
                <w:lang w:val="fr-FR"/>
              </w:rPr>
              <w:t xml:space="preserve"> et </w:t>
            </w:r>
            <w:r w:rsidRPr="00B7552D">
              <w:rPr>
                <w:rFonts w:ascii="Arial" w:hAnsi="Arial" w:cs="Arial"/>
                <w:i/>
                <w:lang w:val="fr-FR"/>
              </w:rPr>
              <w:t>Heterotermes spp.</w:t>
            </w:r>
            <w:r w:rsidRPr="00B7552D">
              <w:rPr>
                <w:rFonts w:ascii="Arial" w:hAnsi="Arial" w:cs="Arial"/>
                <w:lang w:val="fr-FR"/>
              </w:rPr>
              <w:t>)</w:t>
            </w:r>
          </w:p>
        </w:tc>
      </w:tr>
      <w:tr w:rsidR="00AE4F3C" w:rsidRPr="007A3275" w14:paraId="254A7725" w14:textId="77777777" w:rsidTr="000B2EE2">
        <w:trPr>
          <w:trHeight w:val="461"/>
        </w:trPr>
        <w:tc>
          <w:tcPr>
            <w:tcW w:w="1704" w:type="pct"/>
            <w:tcBorders>
              <w:left w:val="single" w:sz="4" w:space="0" w:color="000000"/>
              <w:bottom w:val="single" w:sz="4" w:space="0" w:color="000000"/>
            </w:tcBorders>
            <w:shd w:val="clear" w:color="auto" w:fill="auto"/>
            <w:vAlign w:val="center"/>
          </w:tcPr>
          <w:p w14:paraId="61273C23" w14:textId="77777777" w:rsidR="00AE4F3C" w:rsidRPr="007A3275" w:rsidRDefault="00AE4F3C" w:rsidP="000B2EE2">
            <w:pPr>
              <w:ind w:left="147"/>
              <w:rPr>
                <w:rFonts w:ascii="Arial" w:hAnsi="Arial" w:cs="Arial"/>
                <w:bCs/>
                <w:lang w:val="de-DE"/>
              </w:rPr>
            </w:pPr>
            <w:r w:rsidRPr="007A3275">
              <w:rPr>
                <w:rFonts w:ascii="Arial" w:hAnsi="Arial" w:cs="Arial"/>
                <w:bCs/>
              </w:rPr>
              <w:t>Field of use</w:t>
            </w:r>
          </w:p>
        </w:tc>
        <w:tc>
          <w:tcPr>
            <w:tcW w:w="3296" w:type="pct"/>
            <w:tcBorders>
              <w:left w:val="single" w:sz="4" w:space="0" w:color="000000"/>
              <w:bottom w:val="single" w:sz="4" w:space="0" w:color="000000"/>
              <w:right w:val="single" w:sz="4" w:space="0" w:color="000000"/>
            </w:tcBorders>
            <w:shd w:val="clear" w:color="auto" w:fill="auto"/>
            <w:vAlign w:val="center"/>
          </w:tcPr>
          <w:p w14:paraId="393AF15E" w14:textId="77777777" w:rsidR="00AE4F3C" w:rsidRPr="007A3275" w:rsidRDefault="00AE4F3C" w:rsidP="000B2EE2">
            <w:pPr>
              <w:snapToGrid w:val="0"/>
              <w:ind w:left="49"/>
              <w:rPr>
                <w:rFonts w:ascii="Arial" w:hAnsi="Arial" w:cs="Arial"/>
                <w:bCs/>
                <w:lang w:val="de-DE"/>
              </w:rPr>
            </w:pPr>
            <w:r w:rsidRPr="007A3275">
              <w:rPr>
                <w:rFonts w:ascii="Arial" w:hAnsi="Arial" w:cs="Arial"/>
                <w:lang w:eastAsia="fr-FR"/>
              </w:rPr>
              <w:t xml:space="preserve">Indoor </w:t>
            </w:r>
          </w:p>
        </w:tc>
      </w:tr>
      <w:tr w:rsidR="00AE4F3C" w:rsidRPr="00756491" w14:paraId="38E91487" w14:textId="77777777" w:rsidTr="000B2EE2">
        <w:trPr>
          <w:trHeight w:val="963"/>
        </w:trPr>
        <w:tc>
          <w:tcPr>
            <w:tcW w:w="1704" w:type="pct"/>
            <w:tcBorders>
              <w:left w:val="single" w:sz="4" w:space="0" w:color="000000"/>
              <w:bottom w:val="single" w:sz="4" w:space="0" w:color="000000"/>
            </w:tcBorders>
            <w:shd w:val="clear" w:color="auto" w:fill="auto"/>
            <w:vAlign w:val="center"/>
          </w:tcPr>
          <w:p w14:paraId="34C991AC" w14:textId="77777777" w:rsidR="00AE4F3C" w:rsidRPr="00A73159" w:rsidRDefault="00AE4F3C" w:rsidP="000B2EE2">
            <w:pPr>
              <w:ind w:left="147"/>
              <w:rPr>
                <w:rFonts w:ascii="Arial" w:hAnsi="Arial" w:cs="Arial"/>
                <w:bCs/>
                <w:lang w:val="de-DE"/>
              </w:rPr>
            </w:pPr>
            <w:r w:rsidRPr="00A73159">
              <w:rPr>
                <w:rFonts w:ascii="Arial" w:hAnsi="Arial" w:cs="Arial"/>
                <w:bCs/>
              </w:rPr>
              <w:t>Application method(s)</w:t>
            </w:r>
          </w:p>
        </w:tc>
        <w:tc>
          <w:tcPr>
            <w:tcW w:w="3296" w:type="pct"/>
            <w:tcBorders>
              <w:left w:val="single" w:sz="4" w:space="0" w:color="000000"/>
              <w:bottom w:val="single" w:sz="4" w:space="0" w:color="000000"/>
              <w:right w:val="single" w:sz="4" w:space="0" w:color="000000"/>
            </w:tcBorders>
            <w:shd w:val="clear" w:color="auto" w:fill="auto"/>
            <w:vAlign w:val="center"/>
          </w:tcPr>
          <w:p w14:paraId="33E6350C" w14:textId="77777777" w:rsidR="00AE4F3C" w:rsidRPr="00756491" w:rsidRDefault="00AE4F3C" w:rsidP="000B2EE2">
            <w:pPr>
              <w:snapToGrid w:val="0"/>
              <w:ind w:left="49"/>
              <w:rPr>
                <w:rFonts w:ascii="Arial" w:hAnsi="Arial" w:cs="Arial"/>
                <w:lang w:val="en-US"/>
              </w:rPr>
            </w:pPr>
            <w:r w:rsidRPr="00756491">
              <w:rPr>
                <w:rFonts w:ascii="Arial" w:hAnsi="Arial" w:cs="Arial"/>
                <w:lang w:val="en-US"/>
              </w:rPr>
              <w:t>Superficial application / brush</w:t>
            </w:r>
            <w:r>
              <w:rPr>
                <w:rFonts w:ascii="Arial" w:hAnsi="Arial" w:cs="Arial"/>
                <w:lang w:val="en-US"/>
              </w:rPr>
              <w:t xml:space="preserve"> </w:t>
            </w:r>
            <w:r w:rsidRPr="00A53992">
              <w:rPr>
                <w:rFonts w:ascii="Arial" w:hAnsi="Arial" w:cs="Arial"/>
                <w:lang w:val="en-US"/>
              </w:rPr>
              <w:t>/ roller / pad treatment</w:t>
            </w:r>
          </w:p>
          <w:p w14:paraId="218DE4BA" w14:textId="77777777" w:rsidR="00AE4F3C" w:rsidRPr="00756491" w:rsidRDefault="00AE4F3C" w:rsidP="000B2EE2">
            <w:pPr>
              <w:snapToGrid w:val="0"/>
              <w:ind w:left="49"/>
              <w:rPr>
                <w:rFonts w:ascii="Arial" w:hAnsi="Arial" w:cs="Arial"/>
                <w:lang w:val="en-US"/>
              </w:rPr>
            </w:pPr>
            <w:r w:rsidRPr="00756491">
              <w:rPr>
                <w:rFonts w:ascii="Arial" w:hAnsi="Arial" w:cs="Arial"/>
                <w:lang w:val="en-US"/>
              </w:rPr>
              <w:t>Superficial application / spray</w:t>
            </w:r>
          </w:p>
          <w:p w14:paraId="5B8C8577" w14:textId="77777777" w:rsidR="00AE4F3C" w:rsidRPr="00756491" w:rsidRDefault="00AE4F3C" w:rsidP="000B2EE2">
            <w:pPr>
              <w:snapToGrid w:val="0"/>
              <w:ind w:left="49"/>
              <w:rPr>
                <w:rFonts w:ascii="Arial" w:hAnsi="Arial" w:cs="Arial"/>
                <w:b/>
                <w:lang w:val="en-US"/>
              </w:rPr>
            </w:pPr>
            <w:r w:rsidRPr="00756491">
              <w:rPr>
                <w:rFonts w:ascii="Arial" w:hAnsi="Arial" w:cs="Arial"/>
                <w:lang w:val="en-US"/>
              </w:rPr>
              <w:t>Injection (combined with a superficial application)</w:t>
            </w:r>
          </w:p>
        </w:tc>
      </w:tr>
      <w:tr w:rsidR="00AE4F3C" w:rsidRPr="00A73159" w14:paraId="225A4722" w14:textId="77777777" w:rsidTr="000B2EE2">
        <w:trPr>
          <w:trHeight w:val="144"/>
        </w:trPr>
        <w:tc>
          <w:tcPr>
            <w:tcW w:w="1704" w:type="pct"/>
            <w:tcBorders>
              <w:left w:val="single" w:sz="4" w:space="0" w:color="000000"/>
              <w:bottom w:val="single" w:sz="4" w:space="0" w:color="000000"/>
            </w:tcBorders>
            <w:shd w:val="clear" w:color="auto" w:fill="auto"/>
            <w:vAlign w:val="center"/>
          </w:tcPr>
          <w:p w14:paraId="60C540E7" w14:textId="77777777" w:rsidR="00AE4F3C" w:rsidRPr="00756491" w:rsidRDefault="00AE4F3C" w:rsidP="000B2EE2">
            <w:pPr>
              <w:ind w:left="147"/>
              <w:rPr>
                <w:rFonts w:ascii="Arial" w:hAnsi="Arial" w:cs="Arial"/>
                <w:bCs/>
                <w:lang w:val="en-US"/>
              </w:rPr>
            </w:pPr>
            <w:r w:rsidRPr="00756491">
              <w:rPr>
                <w:rFonts w:ascii="Arial" w:hAnsi="Arial" w:cs="Arial"/>
                <w:bCs/>
                <w:lang w:val="en-US"/>
              </w:rPr>
              <w:t>Category(ies) of user(s)</w:t>
            </w:r>
          </w:p>
        </w:tc>
        <w:tc>
          <w:tcPr>
            <w:tcW w:w="3296" w:type="pct"/>
            <w:tcBorders>
              <w:left w:val="single" w:sz="4" w:space="0" w:color="000000"/>
              <w:bottom w:val="single" w:sz="4" w:space="0" w:color="000000"/>
              <w:right w:val="single" w:sz="4" w:space="0" w:color="000000"/>
            </w:tcBorders>
            <w:shd w:val="clear" w:color="auto" w:fill="auto"/>
            <w:vAlign w:val="center"/>
          </w:tcPr>
          <w:p w14:paraId="0A57D129" w14:textId="77777777" w:rsidR="00AE4F3C" w:rsidRDefault="00AE4F3C" w:rsidP="000B2EE2">
            <w:pPr>
              <w:snapToGrid w:val="0"/>
              <w:ind w:left="49"/>
              <w:rPr>
                <w:rFonts w:ascii="Arial" w:hAnsi="Arial" w:cs="Arial"/>
                <w:lang w:eastAsia="fr-FR"/>
              </w:rPr>
            </w:pPr>
            <w:r>
              <w:rPr>
                <w:rFonts w:ascii="Arial" w:hAnsi="Arial" w:cs="Arial"/>
                <w:lang w:eastAsia="fr-FR"/>
              </w:rPr>
              <w:t>Professional users</w:t>
            </w:r>
          </w:p>
          <w:p w14:paraId="65FFD34E" w14:textId="77777777" w:rsidR="00AE4F3C" w:rsidRPr="00A73159" w:rsidRDefault="00AE4F3C" w:rsidP="000B2EE2">
            <w:pPr>
              <w:snapToGrid w:val="0"/>
              <w:ind w:left="49"/>
              <w:rPr>
                <w:rFonts w:ascii="Arial" w:hAnsi="Arial" w:cs="Arial"/>
                <w:bCs/>
              </w:rPr>
            </w:pPr>
            <w:r>
              <w:rPr>
                <w:rFonts w:ascii="Arial" w:hAnsi="Arial" w:cs="Arial"/>
                <w:lang w:eastAsia="fr-FR"/>
              </w:rPr>
              <w:t>Non-professional users</w:t>
            </w:r>
          </w:p>
        </w:tc>
      </w:tr>
    </w:tbl>
    <w:p w14:paraId="7C679720" w14:textId="77777777" w:rsidR="00AE4F3C" w:rsidRDefault="00AE4F3C" w:rsidP="00AE4F3C">
      <w:pPr>
        <w:rPr>
          <w:rFonts w:ascii="Arial" w:hAnsi="Arial" w:cs="Arial"/>
          <w:color w:val="000000"/>
          <w:highlight w:val="yellow"/>
          <w:lang w:val="en-US" w:eastAsia="sv-SE"/>
        </w:rPr>
      </w:pPr>
    </w:p>
    <w:p w14:paraId="2D1D942C" w14:textId="52B85B8E" w:rsidR="00AE4F3C" w:rsidRPr="00FF4218" w:rsidRDefault="00AE4F3C" w:rsidP="00B7552D">
      <w:pPr>
        <w:pStyle w:val="Titre4"/>
      </w:pPr>
      <w:bookmarkStart w:id="165" w:name="_Toc536627331"/>
      <w:r w:rsidRPr="00304F15">
        <w:t>Mapping of existing alternatives to the relevant Biocidal Product</w:t>
      </w:r>
      <w:bookmarkEnd w:id="165"/>
    </w:p>
    <w:p w14:paraId="62CA250A" w14:textId="618E02B8" w:rsidR="00AE4F3C" w:rsidRPr="002A6A93" w:rsidRDefault="00AE4F3C" w:rsidP="00B7552D">
      <w:pPr>
        <w:pStyle w:val="Titre5"/>
        <w:rPr>
          <w:lang w:eastAsia="sv-SE"/>
        </w:rPr>
      </w:pPr>
      <w:r>
        <w:rPr>
          <w:lang w:eastAsia="sv-SE"/>
        </w:rPr>
        <w:t>Identified eligible alternative Biocidal Products</w:t>
      </w:r>
    </w:p>
    <w:p w14:paraId="7FFBCE4A" w14:textId="77777777" w:rsidR="00AE4F3C" w:rsidRDefault="00AE4F3C" w:rsidP="00AE4F3C">
      <w:pPr>
        <w:spacing w:before="240"/>
        <w:rPr>
          <w:rFonts w:ascii="Arial" w:hAnsi="Arial" w:cs="Arial"/>
          <w:lang w:val="sv-SE" w:eastAsia="sv-SE"/>
        </w:rPr>
      </w:pPr>
      <w:r w:rsidRPr="002A6A93">
        <w:rPr>
          <w:rFonts w:ascii="Arial" w:hAnsi="Arial" w:cs="Arial"/>
          <w:lang w:val="sv-SE" w:eastAsia="sv-SE"/>
        </w:rPr>
        <w:t xml:space="preserve">In order to </w:t>
      </w:r>
      <w:r>
        <w:rPr>
          <w:rFonts w:ascii="Arial" w:hAnsi="Arial" w:cs="Arial"/>
          <w:lang w:val="sv-SE" w:eastAsia="sv-SE"/>
        </w:rPr>
        <w:t xml:space="preserve">perform the comparative assessment, FR CA considered all biocidal products authorized on the French market area under </w:t>
      </w:r>
      <w:r w:rsidRPr="00EA093E">
        <w:rPr>
          <w:rFonts w:ascii="Arial" w:hAnsi="Arial" w:cs="Arial"/>
          <w:lang w:val="sv-SE" w:eastAsia="sv-SE"/>
        </w:rPr>
        <w:t>the Biocidal Products Directive</w:t>
      </w:r>
      <w:r>
        <w:rPr>
          <w:rFonts w:ascii="Arial" w:hAnsi="Arial" w:cs="Arial"/>
          <w:lang w:val="sv-SE" w:eastAsia="sv-SE"/>
        </w:rPr>
        <w:t xml:space="preserve"> (BPD)</w:t>
      </w:r>
      <w:r w:rsidRPr="00EA093E">
        <w:rPr>
          <w:rFonts w:ascii="Arial" w:hAnsi="Arial" w:cs="Arial"/>
          <w:lang w:val="sv-SE" w:eastAsia="sv-SE"/>
        </w:rPr>
        <w:t xml:space="preserve"> and Biocidal Products Regulation</w:t>
      </w:r>
      <w:r>
        <w:rPr>
          <w:rFonts w:ascii="Arial" w:hAnsi="Arial" w:cs="Arial"/>
          <w:lang w:val="sv-SE" w:eastAsia="sv-SE"/>
        </w:rPr>
        <w:t xml:space="preserve"> (BPR), and for which the </w:t>
      </w:r>
      <w:r w:rsidRPr="00EA093E">
        <w:rPr>
          <w:rFonts w:ascii="Arial" w:hAnsi="Arial" w:cs="Arial"/>
          <w:lang w:val="sv-SE" w:eastAsia="sv-SE"/>
        </w:rPr>
        <w:t xml:space="preserve">information </w:t>
      </w:r>
      <w:r>
        <w:rPr>
          <w:rFonts w:ascii="Arial" w:hAnsi="Arial" w:cs="Arial"/>
          <w:lang w:val="sv-SE" w:eastAsia="sv-SE"/>
        </w:rPr>
        <w:t>was available o</w:t>
      </w:r>
      <w:r w:rsidRPr="00EA093E">
        <w:rPr>
          <w:rFonts w:ascii="Arial" w:hAnsi="Arial" w:cs="Arial"/>
          <w:lang w:val="sv-SE" w:eastAsia="sv-SE"/>
        </w:rPr>
        <w:t xml:space="preserve">n R4BP3 database, on the </w:t>
      </w:r>
      <w:r>
        <w:rPr>
          <w:rFonts w:ascii="Arial" w:hAnsi="Arial" w:cs="Arial"/>
          <w:lang w:val="sv-SE" w:eastAsia="sv-SE"/>
        </w:rPr>
        <w:t>12</w:t>
      </w:r>
      <w:r w:rsidRPr="00EA093E">
        <w:rPr>
          <w:rFonts w:ascii="Arial" w:hAnsi="Arial" w:cs="Arial"/>
          <w:vertAlign w:val="superscript"/>
          <w:lang w:val="sv-SE" w:eastAsia="sv-SE"/>
        </w:rPr>
        <w:t>th</w:t>
      </w:r>
      <w:r w:rsidRPr="00EA093E">
        <w:rPr>
          <w:rFonts w:ascii="Arial" w:hAnsi="Arial" w:cs="Arial"/>
          <w:lang w:val="sv-SE" w:eastAsia="sv-SE"/>
        </w:rPr>
        <w:t xml:space="preserve"> of </w:t>
      </w:r>
      <w:r>
        <w:rPr>
          <w:rFonts w:ascii="Arial" w:hAnsi="Arial" w:cs="Arial"/>
          <w:lang w:val="sv-SE" w:eastAsia="sv-SE"/>
        </w:rPr>
        <w:t>September</w:t>
      </w:r>
      <w:r w:rsidRPr="00EA093E">
        <w:rPr>
          <w:rFonts w:ascii="Arial" w:hAnsi="Arial" w:cs="Arial"/>
          <w:lang w:val="sv-SE" w:eastAsia="sv-SE"/>
        </w:rPr>
        <w:t xml:space="preserve"> 201</w:t>
      </w:r>
      <w:r>
        <w:rPr>
          <w:rFonts w:ascii="Arial" w:hAnsi="Arial" w:cs="Arial"/>
          <w:lang w:val="sv-SE" w:eastAsia="sv-SE"/>
        </w:rPr>
        <w:t>8.</w:t>
      </w:r>
    </w:p>
    <w:p w14:paraId="7A25EF08" w14:textId="77777777" w:rsidR="00AE4F3C" w:rsidRDefault="00AE4F3C" w:rsidP="00AE4F3C">
      <w:pPr>
        <w:spacing w:before="240"/>
        <w:rPr>
          <w:rFonts w:ascii="Arial" w:hAnsi="Arial" w:cs="Arial"/>
          <w:lang w:val="sv-SE" w:eastAsia="sv-SE"/>
        </w:rPr>
      </w:pPr>
      <w:r>
        <w:rPr>
          <w:rFonts w:ascii="Arial" w:hAnsi="Arial" w:cs="Arial"/>
          <w:lang w:val="sv-SE" w:eastAsia="sv-SE"/>
        </w:rPr>
        <w:t>The assessment focused on Biocidal Products addressing the same uses as the relevant Biocidal Product. These uses ar</w:t>
      </w:r>
      <w:r w:rsidRPr="00E913E1">
        <w:rPr>
          <w:rFonts w:ascii="Arial" w:hAnsi="Arial" w:cs="Arial"/>
          <w:lang w:val="sv-SE" w:eastAsia="sv-SE"/>
        </w:rPr>
        <w:t xml:space="preserve">e similar to the ones described in the tables 3.1 and 3.2 </w:t>
      </w:r>
      <w:r>
        <w:rPr>
          <w:rFonts w:ascii="Arial" w:hAnsi="Arial" w:cs="Arial"/>
          <w:lang w:val="sv-SE" w:eastAsia="sv-SE"/>
        </w:rPr>
        <w:t>above</w:t>
      </w:r>
      <w:r w:rsidRPr="00E913E1">
        <w:rPr>
          <w:rFonts w:ascii="Arial" w:hAnsi="Arial" w:cs="Arial"/>
          <w:lang w:val="sv-SE" w:eastAsia="sv-SE"/>
        </w:rPr>
        <w:t xml:space="preserve">. </w:t>
      </w:r>
    </w:p>
    <w:p w14:paraId="1C4FF361" w14:textId="77777777" w:rsidR="00AE4F3C" w:rsidRDefault="00AE4F3C" w:rsidP="00AE4F3C">
      <w:pPr>
        <w:rPr>
          <w:rFonts w:ascii="Arial" w:hAnsi="Arial" w:cs="Arial"/>
          <w:lang w:val="sv-SE" w:eastAsia="sv-SE"/>
        </w:rPr>
      </w:pPr>
      <w:r>
        <w:rPr>
          <w:rFonts w:ascii="Arial" w:hAnsi="Arial" w:cs="Arial"/>
          <w:lang w:val="sv-SE" w:eastAsia="sv-SE"/>
        </w:rPr>
        <w:t xml:space="preserve">As there are applications for mutual recognition in parallel for the product </w:t>
      </w:r>
      <w:r>
        <w:rPr>
          <w:rFonts w:ascii="Arial" w:hAnsi="Arial" w:cs="Arial"/>
        </w:rPr>
        <w:t>X6122B1</w:t>
      </w:r>
      <w:r>
        <w:rPr>
          <w:rFonts w:ascii="Arial" w:hAnsi="Arial" w:cs="Arial"/>
          <w:lang w:val="sv-SE" w:eastAsia="sv-SE"/>
        </w:rPr>
        <w:t>, France as reference member state also discussed the suitability of the Biocidal Products authorized on concerned Member States’ (cMS) markets.</w:t>
      </w:r>
    </w:p>
    <w:p w14:paraId="42389240" w14:textId="1988D530" w:rsidR="00AE4F3C" w:rsidRDefault="00AE4F3C" w:rsidP="00B7552D">
      <w:pPr>
        <w:pStyle w:val="Titre5"/>
        <w:rPr>
          <w:lang w:eastAsia="sv-SE"/>
        </w:rPr>
      </w:pPr>
      <w:r>
        <w:rPr>
          <w:lang w:eastAsia="sv-SE"/>
        </w:rPr>
        <w:t>Identified eligible non-chemical alternatives</w:t>
      </w:r>
    </w:p>
    <w:p w14:paraId="0F4F7C11" w14:textId="77777777" w:rsidR="00AE4F3C" w:rsidRPr="0032247E" w:rsidRDefault="00AE4F3C" w:rsidP="00AE4F3C">
      <w:pPr>
        <w:spacing w:before="240"/>
        <w:rPr>
          <w:rFonts w:ascii="Arial" w:hAnsi="Arial" w:cs="Arial"/>
          <w:lang w:val="sv-SE" w:eastAsia="sv-SE"/>
        </w:rPr>
      </w:pPr>
      <w:r>
        <w:rPr>
          <w:rFonts w:ascii="Arial" w:hAnsi="Arial" w:cs="Arial"/>
          <w:lang w:val="sv-SE" w:eastAsia="sv-SE"/>
        </w:rPr>
        <w:t>Considering that tebuconazole was authorized under the BPD, n</w:t>
      </w:r>
      <w:r w:rsidRPr="0032247E">
        <w:rPr>
          <w:rFonts w:ascii="Arial" w:hAnsi="Arial" w:cs="Arial"/>
          <w:lang w:val="sv-SE" w:eastAsia="sv-SE"/>
        </w:rPr>
        <w:t>o public consultation</w:t>
      </w:r>
      <w:r>
        <w:rPr>
          <w:rFonts w:ascii="Arial" w:hAnsi="Arial" w:cs="Arial"/>
          <w:lang w:val="sv-SE" w:eastAsia="sv-SE"/>
        </w:rPr>
        <w:t xml:space="preserve"> was carried out by ECHA in the context of the tebuconazole approval. Consequently, no non-chemical alternatives were proposed to replace the use of this substance.</w:t>
      </w:r>
    </w:p>
    <w:p w14:paraId="77575158" w14:textId="77777777" w:rsidR="00AE4F3C" w:rsidRDefault="00AE4F3C" w:rsidP="00AE4F3C">
      <w:pPr>
        <w:outlineLvl w:val="1"/>
        <w:rPr>
          <w:rFonts w:ascii="Arial" w:hAnsi="Arial" w:cs="Arial"/>
          <w:b/>
          <w:color w:val="000000"/>
          <w:lang w:val="sv-SE" w:eastAsia="sv-SE"/>
        </w:rPr>
      </w:pPr>
    </w:p>
    <w:p w14:paraId="6BD88D82" w14:textId="01DCC72C" w:rsidR="00AE4F3C" w:rsidRPr="00FF4218" w:rsidRDefault="00AE4F3C" w:rsidP="00B7552D">
      <w:pPr>
        <w:pStyle w:val="Titre4"/>
      </w:pPr>
      <w:bookmarkStart w:id="166" w:name="_Toc536627332"/>
      <w:r w:rsidRPr="00304F15">
        <w:t>Screening phase</w:t>
      </w:r>
      <w:bookmarkEnd w:id="166"/>
    </w:p>
    <w:p w14:paraId="6DB9ADD5" w14:textId="177B5DC5" w:rsidR="00AE4F3C" w:rsidRDefault="00AE4F3C" w:rsidP="00B7552D">
      <w:pPr>
        <w:pStyle w:val="Titre5"/>
        <w:rPr>
          <w:lang w:eastAsia="sv-SE"/>
        </w:rPr>
      </w:pPr>
      <w:r>
        <w:rPr>
          <w:lang w:eastAsia="sv-SE"/>
        </w:rPr>
        <w:t>Description of the assessment of the adequate chemical diversity in authorised BPs to minimise the occurence of resistance and conclusion</w:t>
      </w:r>
    </w:p>
    <w:p w14:paraId="074EBD18" w14:textId="77777777" w:rsidR="00AE4F3C" w:rsidRPr="00A07B28" w:rsidRDefault="00AE4F3C" w:rsidP="00AE4F3C">
      <w:pPr>
        <w:rPr>
          <w:lang w:val="sv-SE" w:eastAsia="sv-SE"/>
        </w:rPr>
      </w:pPr>
    </w:p>
    <w:p w14:paraId="72B8E6CE" w14:textId="77777777" w:rsidR="00AE4F3C" w:rsidRPr="00EA093E" w:rsidRDefault="00AE4F3C" w:rsidP="00AE4F3C">
      <w:pPr>
        <w:rPr>
          <w:rFonts w:ascii="Arial" w:hAnsi="Arial" w:cs="Arial"/>
          <w:u w:val="single"/>
          <w:lang w:val="sv-SE" w:eastAsia="sv-SE"/>
        </w:rPr>
      </w:pPr>
      <w:r>
        <w:rPr>
          <w:rFonts w:ascii="Arial" w:hAnsi="Arial" w:cs="Arial"/>
          <w:u w:val="single"/>
          <w:lang w:val="sv-SE" w:eastAsia="sv-SE"/>
        </w:rPr>
        <w:t>French context</w:t>
      </w:r>
      <w:r w:rsidRPr="00EA093E">
        <w:rPr>
          <w:rFonts w:ascii="Arial" w:hAnsi="Arial" w:cs="Arial"/>
          <w:u w:val="single"/>
          <w:lang w:val="sv-SE" w:eastAsia="sv-SE"/>
        </w:rPr>
        <w:t>:</w:t>
      </w:r>
    </w:p>
    <w:p w14:paraId="3A7B69AB" w14:textId="77777777" w:rsidR="00AE4F3C" w:rsidRPr="00EA093E" w:rsidRDefault="00AE4F3C" w:rsidP="00AE4F3C">
      <w:pPr>
        <w:rPr>
          <w:rFonts w:ascii="Arial" w:hAnsi="Arial" w:cs="Arial"/>
          <w:lang w:val="sv-SE" w:eastAsia="sv-SE"/>
        </w:rPr>
      </w:pPr>
      <w:r>
        <w:rPr>
          <w:rFonts w:ascii="Arial" w:hAnsi="Arial" w:cs="Arial"/>
          <w:lang w:val="sv-SE" w:eastAsia="sv-SE"/>
        </w:rPr>
        <w:t>T</w:t>
      </w:r>
      <w:r w:rsidRPr="00EA093E">
        <w:rPr>
          <w:rFonts w:ascii="Arial" w:hAnsi="Arial" w:cs="Arial"/>
          <w:lang w:val="sv-SE" w:eastAsia="sv-SE"/>
        </w:rPr>
        <w:t xml:space="preserve">he French CA has granted </w:t>
      </w:r>
      <w:r>
        <w:rPr>
          <w:rFonts w:ascii="Arial" w:hAnsi="Arial" w:cs="Arial"/>
          <w:lang w:val="sv-SE" w:eastAsia="sv-SE"/>
        </w:rPr>
        <w:t>70</w:t>
      </w:r>
      <w:r w:rsidRPr="00EA093E">
        <w:rPr>
          <w:rFonts w:ascii="Arial" w:hAnsi="Arial" w:cs="Arial"/>
          <w:lang w:val="sv-SE" w:eastAsia="sv-SE"/>
        </w:rPr>
        <w:t xml:space="preserve"> biocidal products authorised under Product Type 8 (wood preservative) of the BPD and B</w:t>
      </w:r>
      <w:r>
        <w:rPr>
          <w:rFonts w:ascii="Arial" w:hAnsi="Arial" w:cs="Arial"/>
          <w:lang w:val="sv-SE" w:eastAsia="sv-SE"/>
        </w:rPr>
        <w:t>P</w:t>
      </w:r>
      <w:r w:rsidRPr="00EA093E">
        <w:rPr>
          <w:rFonts w:ascii="Arial" w:hAnsi="Arial" w:cs="Arial"/>
          <w:lang w:val="sv-SE" w:eastAsia="sv-SE"/>
        </w:rPr>
        <w:t xml:space="preserve">R. Each of these biocidal products contains at least one of the following active substances: </w:t>
      </w:r>
    </w:p>
    <w:p w14:paraId="2B919047"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ADBAC/BKC,</w:t>
      </w:r>
    </w:p>
    <w:p w14:paraId="0A58AE64"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Basic copper carbonate,</w:t>
      </w:r>
    </w:p>
    <w:p w14:paraId="0726E775" w14:textId="77777777" w:rsidR="00AE4F3C"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Bifenthrin,</w:t>
      </w:r>
    </w:p>
    <w:p w14:paraId="7A8A1EA9"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Creosote</w:t>
      </w:r>
    </w:p>
    <w:p w14:paraId="1FC72B37"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Permethrin</w:t>
      </w:r>
    </w:p>
    <w:p w14:paraId="36D18D29"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Cypermethrin,</w:t>
      </w:r>
    </w:p>
    <w:p w14:paraId="20212FDE"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DDAC,</w:t>
      </w:r>
    </w:p>
    <w:p w14:paraId="3436268D"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IPBC (3-iodi-2-propynyl butyl carbamate),</w:t>
      </w:r>
    </w:p>
    <w:p w14:paraId="1C71ACF7"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lastRenderedPageBreak/>
        <w:t>K-HDO (1-oxyde de cyclohexylhydroxydiazene, sel de potassium),</w:t>
      </w:r>
    </w:p>
    <w:p w14:paraId="50054CFB" w14:textId="77777777" w:rsidR="00AE4F3C"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Propiconazole,</w:t>
      </w:r>
    </w:p>
    <w:p w14:paraId="76671D6F" w14:textId="77777777" w:rsidR="00AE4F3C" w:rsidRPr="001B508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Sulfuryl fluoride</w:t>
      </w:r>
      <w:r>
        <w:rPr>
          <w:rFonts w:ascii="Arial" w:hAnsi="Arial" w:cs="Arial"/>
          <w:lang w:val="sv-SE" w:eastAsia="sv-SE"/>
        </w:rPr>
        <w:t xml:space="preserve"> </w:t>
      </w:r>
    </w:p>
    <w:p w14:paraId="6CE12CDF"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Tebuconazole,</w:t>
      </w:r>
    </w:p>
    <w:p w14:paraId="15836977"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Thiacloprid</w:t>
      </w:r>
    </w:p>
    <w:p w14:paraId="6D71B6D8" w14:textId="77777777" w:rsidR="00AE4F3C" w:rsidRPr="00CE3724" w:rsidRDefault="00AE4F3C" w:rsidP="00AE4F3C">
      <w:pPr>
        <w:rPr>
          <w:rFonts w:ascii="Arial" w:hAnsi="Arial" w:cs="Arial"/>
          <w:lang w:val="sv-SE" w:eastAsia="sv-SE"/>
        </w:rPr>
      </w:pPr>
    </w:p>
    <w:p w14:paraId="3E807AA6" w14:textId="77777777" w:rsidR="00AE4F3C" w:rsidRDefault="00AE4F3C" w:rsidP="00AE4F3C">
      <w:pPr>
        <w:rPr>
          <w:rFonts w:ascii="Arial" w:hAnsi="Arial" w:cs="Arial"/>
          <w:lang w:val="sv-SE" w:eastAsia="sv-SE"/>
        </w:rPr>
      </w:pPr>
      <w:r w:rsidRPr="00CE3724">
        <w:rPr>
          <w:rFonts w:ascii="Arial" w:hAnsi="Arial" w:cs="Arial"/>
          <w:lang w:val="sv-SE" w:eastAsia="sv-SE"/>
        </w:rPr>
        <w:t xml:space="preserve">Among these products, </w:t>
      </w:r>
      <w:r>
        <w:rPr>
          <w:rFonts w:ascii="Arial" w:hAnsi="Arial" w:cs="Arial"/>
          <w:lang w:val="sv-SE" w:eastAsia="sv-SE"/>
        </w:rPr>
        <w:t>38 products allow the treatment of wood class 1 and 31</w:t>
      </w:r>
      <w:r w:rsidRPr="00CE3724">
        <w:rPr>
          <w:rFonts w:ascii="Arial" w:hAnsi="Arial" w:cs="Arial"/>
          <w:lang w:val="sv-SE" w:eastAsia="sv-SE"/>
        </w:rPr>
        <w:t xml:space="preserve"> products show fongicide </w:t>
      </w:r>
      <w:r>
        <w:rPr>
          <w:rFonts w:ascii="Arial" w:hAnsi="Arial" w:cs="Arial"/>
          <w:lang w:val="sv-SE" w:eastAsia="sv-SE"/>
        </w:rPr>
        <w:t xml:space="preserve">and insecticide </w:t>
      </w:r>
      <w:r w:rsidRPr="00CE3724">
        <w:rPr>
          <w:rFonts w:ascii="Arial" w:hAnsi="Arial" w:cs="Arial"/>
          <w:lang w:val="sv-SE" w:eastAsia="sv-SE"/>
        </w:rPr>
        <w:t>activities</w:t>
      </w:r>
      <w:r>
        <w:rPr>
          <w:rFonts w:ascii="Arial" w:hAnsi="Arial" w:cs="Arial"/>
          <w:lang w:val="sv-SE" w:eastAsia="sv-SE"/>
        </w:rPr>
        <w:t xml:space="preserve"> (against </w:t>
      </w:r>
      <w:r w:rsidRPr="004C2586">
        <w:rPr>
          <w:rFonts w:ascii="Arial" w:hAnsi="Arial" w:cs="Arial"/>
          <w:lang w:val="sv-SE" w:eastAsia="sv-SE"/>
        </w:rPr>
        <w:t>insects with wood-boring larvae and termites</w:t>
      </w:r>
      <w:r>
        <w:rPr>
          <w:rFonts w:ascii="Arial" w:hAnsi="Arial" w:cs="Arial"/>
          <w:lang w:val="sv-SE" w:eastAsia="sv-SE"/>
        </w:rPr>
        <w:t>).</w:t>
      </w:r>
    </w:p>
    <w:p w14:paraId="61EE07A5"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 xml:space="preserve">27 products contain </w:t>
      </w:r>
      <w:r w:rsidRPr="00EA6958">
        <w:rPr>
          <w:rFonts w:ascii="Arial" w:hAnsi="Arial" w:cs="Arial"/>
          <w:lang w:val="sv-SE" w:eastAsia="sv-SE"/>
        </w:rPr>
        <w:t>Cyperméthrine, tébuconazole, propiconazole</w:t>
      </w:r>
    </w:p>
    <w:p w14:paraId="03A840E0"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One product contain IPBC, tebuconazol, propiconazol and thiacloprid</w:t>
      </w:r>
    </w:p>
    <w:p w14:paraId="68CD957C"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 xml:space="preserve">One contain </w:t>
      </w:r>
      <w:r w:rsidRPr="008E575E">
        <w:rPr>
          <w:rFonts w:ascii="Arial" w:hAnsi="Arial" w:cs="Arial"/>
          <w:lang w:val="sv-SE" w:eastAsia="sv-SE"/>
        </w:rPr>
        <w:t>basic copper carbonate</w:t>
      </w:r>
      <w:r w:rsidRPr="00EA6958">
        <w:rPr>
          <w:rFonts w:ascii="Arial" w:hAnsi="Arial" w:cs="Arial"/>
          <w:lang w:val="sv-SE" w:eastAsia="sv-SE"/>
        </w:rPr>
        <w:t>, propiconazole, tebuconazole</w:t>
      </w:r>
    </w:p>
    <w:p w14:paraId="31EC9428"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One product contain permethrin</w:t>
      </w:r>
    </w:p>
    <w:p w14:paraId="5BFCA1C4"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One product contain propiconazol, tébuconazol and thiacloprid</w:t>
      </w:r>
    </w:p>
    <w:p w14:paraId="05D6B0E0" w14:textId="77777777" w:rsidR="00AE4F3C" w:rsidRDefault="00AE4F3C" w:rsidP="00AE4F3C">
      <w:pPr>
        <w:rPr>
          <w:rFonts w:ascii="Arial" w:hAnsi="Arial" w:cs="Arial"/>
          <w:lang w:val="sv-SE" w:eastAsia="sv-SE"/>
        </w:rPr>
      </w:pPr>
    </w:p>
    <w:p w14:paraId="184C3E98" w14:textId="77777777" w:rsidR="00AE4F3C" w:rsidRDefault="00AE4F3C" w:rsidP="00AE4F3C">
      <w:pPr>
        <w:rPr>
          <w:rFonts w:ascii="Arial" w:hAnsi="Arial" w:cs="Arial"/>
          <w:lang w:val="sv-SE" w:eastAsia="sv-SE"/>
        </w:rPr>
      </w:pPr>
    </w:p>
    <w:p w14:paraId="400A100E" w14:textId="77777777" w:rsidR="00AE4F3C" w:rsidRPr="00757208" w:rsidRDefault="00AE4F3C" w:rsidP="00AE4F3C">
      <w:pPr>
        <w:rPr>
          <w:rFonts w:ascii="Arial" w:hAnsi="Arial" w:cs="Arial"/>
          <w:highlight w:val="yellow"/>
          <w:lang w:val="sv-SE" w:eastAsia="sv-SE"/>
        </w:rPr>
      </w:pPr>
    </w:p>
    <w:p w14:paraId="5D16C3D3" w14:textId="77777777" w:rsidR="00AE4F3C" w:rsidRPr="00EA093E" w:rsidRDefault="00AE4F3C" w:rsidP="00AE4F3C">
      <w:pPr>
        <w:rPr>
          <w:rFonts w:ascii="Arial" w:hAnsi="Arial" w:cs="Arial"/>
          <w:u w:val="single"/>
          <w:lang w:val="en-US"/>
        </w:rPr>
      </w:pPr>
      <w:r w:rsidRPr="00EA093E">
        <w:rPr>
          <w:rFonts w:ascii="Arial" w:hAnsi="Arial" w:cs="Arial"/>
          <w:u w:val="single"/>
          <w:lang w:val="en-US"/>
        </w:rPr>
        <w:t>European context:</w:t>
      </w:r>
    </w:p>
    <w:p w14:paraId="4D634E38" w14:textId="77777777" w:rsidR="00AE4F3C" w:rsidRPr="00394A2B" w:rsidRDefault="00AE4F3C" w:rsidP="00AE4F3C">
      <w:pPr>
        <w:rPr>
          <w:rFonts w:ascii="Arial" w:hAnsi="Arial" w:cs="Arial"/>
          <w:lang w:val="en-US"/>
        </w:rPr>
      </w:pPr>
      <w:r w:rsidRPr="00394A2B">
        <w:rPr>
          <w:rFonts w:ascii="Arial" w:hAnsi="Arial" w:cs="Arial"/>
          <w:lang w:val="en-US"/>
        </w:rPr>
        <w:t xml:space="preserve">Applications for mutual recognition in parallel for </w:t>
      </w:r>
      <w:r w:rsidRPr="00394A2B">
        <w:rPr>
          <w:rFonts w:ascii="Arial" w:hAnsi="Arial" w:cs="Arial"/>
        </w:rPr>
        <w:t>X6122B1</w:t>
      </w:r>
      <w:r w:rsidRPr="00394A2B">
        <w:rPr>
          <w:rFonts w:ascii="Arial" w:hAnsi="Arial" w:cs="Arial"/>
          <w:lang w:val="en-US"/>
        </w:rPr>
        <w:t xml:space="preserve"> were deposited in 16 Member States: United-Kingdom, Switzerland, Sweden, Norway, Denmark, Spain, Slovakia, Romania, Portugal, Luxembourg; Ireland, Italy, Hungary, Greece, Czech Republic and Belgium.</w:t>
      </w:r>
    </w:p>
    <w:p w14:paraId="75BC88A4" w14:textId="77777777" w:rsidR="00AE4F3C" w:rsidRDefault="00AE4F3C" w:rsidP="00AE4F3C">
      <w:pPr>
        <w:rPr>
          <w:rFonts w:ascii="Arial" w:hAnsi="Arial" w:cs="Arial"/>
          <w:lang w:val="en-US"/>
        </w:rPr>
      </w:pPr>
      <w:r w:rsidRPr="00EA093E">
        <w:rPr>
          <w:rFonts w:ascii="Arial" w:hAnsi="Arial" w:cs="Arial"/>
          <w:lang w:val="en-US"/>
        </w:rPr>
        <w:t>According to the information available in the R4BP3 database,</w:t>
      </w:r>
      <w:r>
        <w:rPr>
          <w:rFonts w:ascii="Arial" w:hAnsi="Arial" w:cs="Arial"/>
          <w:lang w:val="en-US"/>
        </w:rPr>
        <w:t xml:space="preserve"> most of the products authorized in the cMS contain the same active substances as the ones found in the composition of product authorized in France. The following active substances are used in the formulation of products not </w:t>
      </w:r>
      <w:r w:rsidRPr="00EA093E">
        <w:rPr>
          <w:rFonts w:ascii="Arial" w:hAnsi="Arial" w:cs="Arial"/>
          <w:lang w:val="en-US"/>
        </w:rPr>
        <w:t>authorized in France</w:t>
      </w:r>
      <w:r>
        <w:rPr>
          <w:rFonts w:ascii="Arial" w:hAnsi="Arial" w:cs="Arial"/>
          <w:lang w:val="en-US"/>
        </w:rPr>
        <w:t xml:space="preserve"> (please refer to the table below): </w:t>
      </w:r>
      <w:r w:rsidRPr="004E0908">
        <w:rPr>
          <w:rFonts w:ascii="Arial" w:hAnsi="Arial" w:cs="Arial"/>
          <w:lang w:val="en-US"/>
        </w:rPr>
        <w:t xml:space="preserve">benzyl-C8-16-alkyldimethyl, </w:t>
      </w:r>
      <w:r w:rsidRPr="00FB51D1">
        <w:rPr>
          <w:rFonts w:ascii="Arial" w:hAnsi="Arial" w:cs="Arial"/>
          <w:lang w:val="en-US"/>
        </w:rPr>
        <w:t xml:space="preserve">boric acid, </w:t>
      </w:r>
      <w:r>
        <w:rPr>
          <w:rFonts w:ascii="Arial" w:hAnsi="Arial" w:cs="Arial"/>
          <w:lang w:val="en-US"/>
        </w:rPr>
        <w:t>b</w:t>
      </w:r>
      <w:r w:rsidRPr="00FB51D1">
        <w:rPr>
          <w:rFonts w:ascii="Arial" w:hAnsi="Arial" w:cs="Arial"/>
          <w:lang w:val="en-US"/>
        </w:rPr>
        <w:t xml:space="preserve">oric oxide, </w:t>
      </w:r>
      <w:r>
        <w:rPr>
          <w:rFonts w:ascii="Arial" w:hAnsi="Arial" w:cs="Arial"/>
          <w:lang w:val="en-US"/>
        </w:rPr>
        <w:t xml:space="preserve">dazomet, dichlofluanid, </w:t>
      </w:r>
      <w:r w:rsidRPr="00FB51D1">
        <w:rPr>
          <w:rFonts w:ascii="Arial" w:hAnsi="Arial" w:cs="Arial"/>
          <w:lang w:val="en-US"/>
        </w:rPr>
        <w:t xml:space="preserve">disodium tetraborate, </w:t>
      </w:r>
      <w:r>
        <w:rPr>
          <w:rFonts w:ascii="Arial" w:hAnsi="Arial" w:cs="Arial"/>
          <w:lang w:val="en-US"/>
        </w:rPr>
        <w:t>d</w:t>
      </w:r>
      <w:r w:rsidRPr="0078617B">
        <w:rPr>
          <w:rFonts w:ascii="Arial" w:hAnsi="Arial" w:cs="Arial"/>
          <w:lang w:val="en-US"/>
        </w:rPr>
        <w:t xml:space="preserve">isodium tetraborate </w:t>
      </w:r>
      <w:r>
        <w:rPr>
          <w:rFonts w:ascii="Arial" w:hAnsi="Arial" w:cs="Arial"/>
          <w:lang w:val="en-US"/>
        </w:rPr>
        <w:t>p</w:t>
      </w:r>
      <w:r w:rsidRPr="0078617B">
        <w:rPr>
          <w:rFonts w:ascii="Arial" w:hAnsi="Arial" w:cs="Arial"/>
          <w:lang w:val="en-US"/>
        </w:rPr>
        <w:t>entahydrate</w:t>
      </w:r>
      <w:r>
        <w:rPr>
          <w:rFonts w:ascii="Arial" w:hAnsi="Arial" w:cs="Arial"/>
          <w:lang w:val="en-US"/>
        </w:rPr>
        <w:t>, d</w:t>
      </w:r>
      <w:r w:rsidRPr="0078617B">
        <w:rPr>
          <w:rFonts w:ascii="Arial" w:hAnsi="Arial" w:cs="Arial"/>
          <w:lang w:val="en-US"/>
        </w:rPr>
        <w:t>isodium tetraborate</w:t>
      </w:r>
      <w:r w:rsidRPr="001C398F">
        <w:rPr>
          <w:rFonts w:ascii="Arial" w:hAnsi="Arial" w:cs="Arial"/>
          <w:lang w:val="en-US"/>
        </w:rPr>
        <w:t xml:space="preserve"> decahydrate</w:t>
      </w:r>
      <w:r>
        <w:rPr>
          <w:rFonts w:ascii="Arial" w:hAnsi="Arial" w:cs="Arial"/>
          <w:lang w:val="en-US"/>
        </w:rPr>
        <w:t>; d</w:t>
      </w:r>
      <w:r w:rsidRPr="00FB51D1">
        <w:rPr>
          <w:rFonts w:ascii="Arial" w:hAnsi="Arial" w:cs="Arial"/>
          <w:lang w:val="en-US"/>
        </w:rPr>
        <w:t>isodium octaborate tet</w:t>
      </w:r>
      <w:r>
        <w:rPr>
          <w:rFonts w:ascii="Arial" w:hAnsi="Arial" w:cs="Arial"/>
          <w:lang w:val="en-US"/>
        </w:rPr>
        <w:t xml:space="preserve">rahydrate, </w:t>
      </w:r>
      <w:r w:rsidRPr="00FB51D1">
        <w:rPr>
          <w:rFonts w:ascii="Arial" w:hAnsi="Arial" w:cs="Arial"/>
          <w:lang w:val="en-US"/>
        </w:rPr>
        <w:t>fenpropimorph,</w:t>
      </w:r>
      <w:r>
        <w:rPr>
          <w:rFonts w:ascii="Arial" w:hAnsi="Arial" w:cs="Arial"/>
          <w:lang w:val="en-US"/>
        </w:rPr>
        <w:t xml:space="preserve">  </w:t>
      </w:r>
      <w:r w:rsidRPr="00024A84">
        <w:rPr>
          <w:rFonts w:ascii="Arial" w:hAnsi="Arial" w:cs="Arial"/>
          <w:lang w:val="en-US"/>
        </w:rPr>
        <w:t xml:space="preserve">fenoxycarb, </w:t>
      </w:r>
      <w:r>
        <w:rPr>
          <w:rFonts w:ascii="Arial" w:hAnsi="Arial" w:cs="Arial"/>
          <w:lang w:val="en-US"/>
        </w:rPr>
        <w:t>hydrogen cyanide, p</w:t>
      </w:r>
      <w:r w:rsidRPr="004E0908">
        <w:rPr>
          <w:rFonts w:ascii="Arial" w:hAnsi="Arial" w:cs="Arial"/>
          <w:lang w:val="en-US"/>
        </w:rPr>
        <w:t>ermethrin</w:t>
      </w:r>
      <w:r>
        <w:rPr>
          <w:rFonts w:ascii="Arial" w:hAnsi="Arial" w:cs="Arial"/>
          <w:lang w:val="en-US"/>
        </w:rPr>
        <w:t>, q</w:t>
      </w:r>
      <w:r w:rsidRPr="004E0908">
        <w:rPr>
          <w:rFonts w:ascii="Arial" w:hAnsi="Arial" w:cs="Arial"/>
          <w:lang w:val="en-US"/>
        </w:rPr>
        <w:t>uaternary ammonium compounds, chlorides</w:t>
      </w:r>
      <w:r>
        <w:rPr>
          <w:rFonts w:ascii="Arial" w:hAnsi="Arial" w:cs="Arial"/>
          <w:lang w:val="en-US"/>
        </w:rPr>
        <w:t>.</w:t>
      </w:r>
    </w:p>
    <w:p w14:paraId="5CD2F4A9" w14:textId="77777777" w:rsidR="00AE4F3C" w:rsidRDefault="00AE4F3C" w:rsidP="00AE4F3C">
      <w:pPr>
        <w:rPr>
          <w:rFonts w:ascii="Arial" w:hAnsi="Arial" w:cs="Arial"/>
          <w:lang w:val="en-US"/>
        </w:rPr>
      </w:pPr>
    </w:p>
    <w:p w14:paraId="2400E59E" w14:textId="77777777" w:rsidR="00AE4F3C" w:rsidRDefault="00AE4F3C" w:rsidP="00AE4F3C">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91"/>
        <w:gridCol w:w="3044"/>
      </w:tblGrid>
      <w:tr w:rsidR="00AE4F3C" w:rsidRPr="008C3A6A" w14:paraId="4993190C" w14:textId="77777777" w:rsidTr="000B2EE2">
        <w:tc>
          <w:tcPr>
            <w:tcW w:w="3259" w:type="dxa"/>
            <w:shd w:val="clear" w:color="auto" w:fill="auto"/>
            <w:vAlign w:val="center"/>
          </w:tcPr>
          <w:p w14:paraId="5175994B" w14:textId="77777777" w:rsidR="00AE4F3C" w:rsidRPr="008C3A6A" w:rsidRDefault="00AE4F3C" w:rsidP="000B2EE2">
            <w:pPr>
              <w:jc w:val="center"/>
              <w:rPr>
                <w:rFonts w:ascii="Arial" w:hAnsi="Arial" w:cs="Arial"/>
                <w:b/>
                <w:lang w:val="en-US"/>
              </w:rPr>
            </w:pPr>
            <w:r w:rsidRPr="008C3A6A">
              <w:rPr>
                <w:rFonts w:ascii="Arial" w:hAnsi="Arial" w:cs="Arial"/>
                <w:b/>
                <w:lang w:val="en-US"/>
              </w:rPr>
              <w:t>Concerned member States</w:t>
            </w:r>
          </w:p>
        </w:tc>
        <w:tc>
          <w:tcPr>
            <w:tcW w:w="3259" w:type="dxa"/>
            <w:shd w:val="clear" w:color="auto" w:fill="auto"/>
            <w:vAlign w:val="center"/>
          </w:tcPr>
          <w:p w14:paraId="2786A33F" w14:textId="77777777" w:rsidR="00AE4F3C" w:rsidRPr="008C3A6A" w:rsidRDefault="00AE4F3C" w:rsidP="000B2EE2">
            <w:pPr>
              <w:jc w:val="center"/>
              <w:rPr>
                <w:rFonts w:ascii="Arial" w:hAnsi="Arial" w:cs="Arial"/>
                <w:b/>
                <w:lang w:val="en-US"/>
              </w:rPr>
            </w:pPr>
            <w:r w:rsidRPr="008C3A6A">
              <w:rPr>
                <w:rFonts w:ascii="Arial" w:hAnsi="Arial" w:cs="Arial"/>
                <w:b/>
                <w:lang w:val="en-US"/>
              </w:rPr>
              <w:t>Active substances</w:t>
            </w:r>
          </w:p>
        </w:tc>
        <w:tc>
          <w:tcPr>
            <w:tcW w:w="3260" w:type="dxa"/>
            <w:shd w:val="clear" w:color="auto" w:fill="auto"/>
            <w:vAlign w:val="center"/>
          </w:tcPr>
          <w:p w14:paraId="733168EC" w14:textId="77777777" w:rsidR="00AE4F3C" w:rsidRPr="008C3A6A" w:rsidRDefault="00AE4F3C" w:rsidP="000B2EE2">
            <w:pPr>
              <w:jc w:val="center"/>
              <w:rPr>
                <w:rFonts w:ascii="Arial" w:hAnsi="Arial" w:cs="Arial"/>
                <w:b/>
                <w:lang w:val="en-US"/>
              </w:rPr>
            </w:pPr>
            <w:r>
              <w:rPr>
                <w:rFonts w:ascii="Arial" w:hAnsi="Arial" w:cs="Arial"/>
                <w:b/>
                <w:lang w:val="en-US"/>
              </w:rPr>
              <w:t>Number of p</w:t>
            </w:r>
            <w:r w:rsidRPr="008C3A6A">
              <w:rPr>
                <w:rFonts w:ascii="Arial" w:hAnsi="Arial" w:cs="Arial"/>
                <w:b/>
                <w:lang w:val="en-US"/>
              </w:rPr>
              <w:t>roducts with an AMM</w:t>
            </w:r>
          </w:p>
        </w:tc>
      </w:tr>
      <w:tr w:rsidR="00AE4F3C" w:rsidRPr="008C3A6A" w14:paraId="7629E505" w14:textId="77777777" w:rsidTr="000B2EE2">
        <w:trPr>
          <w:trHeight w:val="340"/>
        </w:trPr>
        <w:tc>
          <w:tcPr>
            <w:tcW w:w="3259" w:type="dxa"/>
            <w:shd w:val="clear" w:color="auto" w:fill="auto"/>
            <w:vAlign w:val="center"/>
          </w:tcPr>
          <w:p w14:paraId="2B34D02E" w14:textId="77777777" w:rsidR="00AE4F3C" w:rsidRPr="008C3A6A" w:rsidRDefault="00AE4F3C" w:rsidP="000B2EE2">
            <w:pPr>
              <w:jc w:val="center"/>
              <w:rPr>
                <w:rFonts w:ascii="Arial" w:hAnsi="Arial" w:cs="Arial"/>
                <w:lang w:val="en-US"/>
              </w:rPr>
            </w:pPr>
            <w:r>
              <w:rPr>
                <w:rFonts w:ascii="Arial" w:hAnsi="Arial" w:cs="Arial"/>
                <w:lang w:val="en-US"/>
              </w:rPr>
              <w:t>Croatia</w:t>
            </w:r>
          </w:p>
        </w:tc>
        <w:tc>
          <w:tcPr>
            <w:tcW w:w="3259" w:type="dxa"/>
            <w:shd w:val="clear" w:color="auto" w:fill="auto"/>
            <w:vAlign w:val="center"/>
          </w:tcPr>
          <w:p w14:paraId="242340FD" w14:textId="77777777" w:rsidR="00AE4F3C" w:rsidRPr="008C3A6A" w:rsidRDefault="00AE4F3C" w:rsidP="000B2EE2">
            <w:pPr>
              <w:jc w:val="center"/>
              <w:rPr>
                <w:rFonts w:ascii="Arial" w:hAnsi="Arial" w:cs="Arial"/>
                <w:lang w:val="en-US"/>
              </w:rPr>
            </w:pPr>
            <w:r w:rsidRPr="008C3A6A">
              <w:rPr>
                <w:rFonts w:ascii="Arial" w:hAnsi="Arial" w:cs="Arial"/>
                <w:lang w:val="en-US"/>
              </w:rPr>
              <w:t xml:space="preserve">Same as France </w:t>
            </w:r>
          </w:p>
          <w:p w14:paraId="7781004D" w14:textId="77777777" w:rsidR="00AE4F3C" w:rsidRPr="008C3A6A" w:rsidRDefault="00AE4F3C" w:rsidP="000B2EE2">
            <w:pPr>
              <w:jc w:val="center"/>
              <w:rPr>
                <w:rFonts w:ascii="Arial" w:hAnsi="Arial" w:cs="Arial"/>
                <w:lang w:val="en-US"/>
              </w:rPr>
            </w:pPr>
            <w:r w:rsidRPr="008C3A6A">
              <w:rPr>
                <w:rFonts w:ascii="Arial" w:hAnsi="Arial" w:cs="Arial"/>
                <w:lang w:val="en-US"/>
              </w:rPr>
              <w:t>+</w:t>
            </w:r>
          </w:p>
          <w:p w14:paraId="2AF5745F" w14:textId="77777777" w:rsidR="00AE4F3C" w:rsidRPr="008C3A6A" w:rsidRDefault="00AE4F3C" w:rsidP="000B2EE2">
            <w:pPr>
              <w:jc w:val="center"/>
              <w:rPr>
                <w:rFonts w:ascii="Arial" w:hAnsi="Arial" w:cs="Arial"/>
                <w:lang w:val="en-US"/>
              </w:rPr>
            </w:pPr>
            <w:r>
              <w:rPr>
                <w:rFonts w:ascii="Arial" w:hAnsi="Arial" w:cs="Arial"/>
                <w:lang w:val="en-US"/>
              </w:rPr>
              <w:t>hydrogen cyanide</w:t>
            </w:r>
          </w:p>
        </w:tc>
        <w:tc>
          <w:tcPr>
            <w:tcW w:w="3260" w:type="dxa"/>
            <w:shd w:val="clear" w:color="auto" w:fill="auto"/>
            <w:vAlign w:val="center"/>
          </w:tcPr>
          <w:p w14:paraId="257E37A8" w14:textId="77777777" w:rsidR="00AE4F3C" w:rsidRPr="008C3A6A" w:rsidRDefault="00AE4F3C" w:rsidP="000B2EE2">
            <w:pPr>
              <w:jc w:val="center"/>
              <w:rPr>
                <w:rFonts w:ascii="Arial" w:hAnsi="Arial" w:cs="Arial"/>
                <w:lang w:val="en-US"/>
              </w:rPr>
            </w:pPr>
            <w:r>
              <w:rPr>
                <w:rFonts w:ascii="Arial" w:hAnsi="Arial" w:cs="Arial"/>
                <w:lang w:val="en-US"/>
              </w:rPr>
              <w:t>21</w:t>
            </w:r>
          </w:p>
        </w:tc>
      </w:tr>
      <w:tr w:rsidR="00AE4F3C" w:rsidRPr="008C3A6A" w14:paraId="70BC22CB" w14:textId="77777777" w:rsidTr="000B2EE2">
        <w:trPr>
          <w:trHeight w:val="340"/>
        </w:trPr>
        <w:tc>
          <w:tcPr>
            <w:tcW w:w="3259" w:type="dxa"/>
            <w:shd w:val="clear" w:color="auto" w:fill="auto"/>
            <w:vAlign w:val="center"/>
          </w:tcPr>
          <w:p w14:paraId="4043EB79" w14:textId="77777777" w:rsidR="00AE4F3C" w:rsidRPr="008C3A6A" w:rsidRDefault="00AE4F3C" w:rsidP="000B2EE2">
            <w:pPr>
              <w:jc w:val="center"/>
              <w:rPr>
                <w:rFonts w:ascii="Arial" w:hAnsi="Arial" w:cs="Arial"/>
                <w:lang w:val="en-US"/>
              </w:rPr>
            </w:pPr>
            <w:r>
              <w:rPr>
                <w:rFonts w:ascii="Arial" w:hAnsi="Arial" w:cs="Arial"/>
                <w:lang w:val="en-US"/>
              </w:rPr>
              <w:t>Slovenia</w:t>
            </w:r>
          </w:p>
        </w:tc>
        <w:tc>
          <w:tcPr>
            <w:tcW w:w="3259" w:type="dxa"/>
            <w:shd w:val="clear" w:color="auto" w:fill="auto"/>
            <w:vAlign w:val="center"/>
          </w:tcPr>
          <w:p w14:paraId="08AD6823" w14:textId="77777777" w:rsidR="00AE4F3C" w:rsidRPr="008C3A6A" w:rsidRDefault="00AE4F3C" w:rsidP="000B2EE2">
            <w:pPr>
              <w:jc w:val="center"/>
              <w:rPr>
                <w:rFonts w:ascii="Arial" w:hAnsi="Arial" w:cs="Arial"/>
                <w:lang w:val="en-US"/>
              </w:rPr>
            </w:pPr>
            <w:r w:rsidRPr="008C3A6A">
              <w:rPr>
                <w:rFonts w:ascii="Arial" w:hAnsi="Arial" w:cs="Arial"/>
                <w:lang w:val="en-US"/>
              </w:rPr>
              <w:t xml:space="preserve">Same as France </w:t>
            </w:r>
          </w:p>
          <w:p w14:paraId="7F80BEC2" w14:textId="77777777" w:rsidR="00AE4F3C" w:rsidRPr="008C3A6A" w:rsidRDefault="00AE4F3C" w:rsidP="000B2EE2">
            <w:pPr>
              <w:jc w:val="center"/>
              <w:rPr>
                <w:rFonts w:ascii="Arial" w:hAnsi="Arial" w:cs="Arial"/>
                <w:lang w:val="en-US"/>
              </w:rPr>
            </w:pPr>
            <w:r w:rsidRPr="008C3A6A">
              <w:rPr>
                <w:rFonts w:ascii="Arial" w:hAnsi="Arial" w:cs="Arial"/>
                <w:lang w:val="en-US"/>
              </w:rPr>
              <w:t>+</w:t>
            </w:r>
          </w:p>
          <w:p w14:paraId="09231396" w14:textId="77777777" w:rsidR="00AE4F3C" w:rsidRPr="008C3A6A" w:rsidRDefault="00AE4F3C" w:rsidP="000B2EE2">
            <w:pPr>
              <w:jc w:val="center"/>
              <w:rPr>
                <w:rFonts w:ascii="Arial" w:hAnsi="Arial" w:cs="Arial"/>
                <w:lang w:val="en-US"/>
              </w:rPr>
            </w:pPr>
            <w:r>
              <w:rPr>
                <w:rFonts w:ascii="Arial" w:hAnsi="Arial" w:cs="Arial"/>
                <w:lang w:val="en-US"/>
              </w:rPr>
              <w:t>hydrogen cyanide</w:t>
            </w:r>
          </w:p>
        </w:tc>
        <w:tc>
          <w:tcPr>
            <w:tcW w:w="3260" w:type="dxa"/>
            <w:shd w:val="clear" w:color="auto" w:fill="auto"/>
            <w:vAlign w:val="center"/>
          </w:tcPr>
          <w:p w14:paraId="21B325C1" w14:textId="77777777" w:rsidR="00AE4F3C" w:rsidRPr="008C3A6A" w:rsidRDefault="00AE4F3C" w:rsidP="000B2EE2">
            <w:pPr>
              <w:jc w:val="center"/>
              <w:rPr>
                <w:rFonts w:ascii="Arial" w:hAnsi="Arial" w:cs="Arial"/>
                <w:lang w:val="en-US"/>
              </w:rPr>
            </w:pPr>
            <w:r>
              <w:rPr>
                <w:rFonts w:ascii="Arial" w:hAnsi="Arial" w:cs="Arial"/>
                <w:lang w:val="en-US"/>
              </w:rPr>
              <w:t>42</w:t>
            </w:r>
          </w:p>
        </w:tc>
      </w:tr>
      <w:tr w:rsidR="00AE4F3C" w:rsidRPr="008C3A6A" w14:paraId="4CBDE419" w14:textId="77777777" w:rsidTr="000B2EE2">
        <w:trPr>
          <w:trHeight w:val="340"/>
        </w:trPr>
        <w:tc>
          <w:tcPr>
            <w:tcW w:w="3259" w:type="dxa"/>
            <w:shd w:val="clear" w:color="auto" w:fill="auto"/>
            <w:vAlign w:val="center"/>
          </w:tcPr>
          <w:p w14:paraId="7C8FC319" w14:textId="77777777" w:rsidR="00AE4F3C" w:rsidRPr="008C3A6A" w:rsidRDefault="00AE4F3C" w:rsidP="000B2EE2">
            <w:pPr>
              <w:jc w:val="center"/>
              <w:rPr>
                <w:rFonts w:ascii="Arial" w:hAnsi="Arial" w:cs="Arial"/>
                <w:lang w:val="en-US"/>
              </w:rPr>
            </w:pPr>
            <w:r>
              <w:rPr>
                <w:rFonts w:ascii="Arial" w:hAnsi="Arial" w:cs="Arial"/>
                <w:lang w:val="en-US"/>
              </w:rPr>
              <w:t>United-Kingdom</w:t>
            </w:r>
          </w:p>
        </w:tc>
        <w:tc>
          <w:tcPr>
            <w:tcW w:w="3259" w:type="dxa"/>
            <w:shd w:val="clear" w:color="auto" w:fill="auto"/>
            <w:vAlign w:val="center"/>
          </w:tcPr>
          <w:p w14:paraId="323C91F1" w14:textId="77777777" w:rsidR="00AE4F3C" w:rsidRPr="008C3A6A" w:rsidRDefault="00AE4F3C" w:rsidP="000B2EE2">
            <w:pPr>
              <w:jc w:val="center"/>
              <w:rPr>
                <w:rFonts w:ascii="Arial" w:hAnsi="Arial" w:cs="Arial"/>
                <w:lang w:val="en-US"/>
              </w:rPr>
            </w:pPr>
            <w:r w:rsidRPr="008C3A6A">
              <w:rPr>
                <w:rFonts w:ascii="Arial" w:hAnsi="Arial" w:cs="Arial"/>
                <w:lang w:val="en-US"/>
              </w:rPr>
              <w:t xml:space="preserve">Same as France </w:t>
            </w:r>
          </w:p>
          <w:p w14:paraId="58B787C4" w14:textId="77777777" w:rsidR="00AE4F3C" w:rsidRPr="008C3A6A" w:rsidRDefault="00AE4F3C" w:rsidP="000B2EE2">
            <w:pPr>
              <w:jc w:val="center"/>
              <w:rPr>
                <w:rFonts w:ascii="Arial" w:hAnsi="Arial" w:cs="Arial"/>
                <w:lang w:val="en-US"/>
              </w:rPr>
            </w:pPr>
            <w:r w:rsidRPr="008C3A6A">
              <w:rPr>
                <w:rFonts w:ascii="Arial" w:hAnsi="Arial" w:cs="Arial"/>
                <w:lang w:val="en-US"/>
              </w:rPr>
              <w:t>+</w:t>
            </w:r>
          </w:p>
          <w:p w14:paraId="13E05368" w14:textId="77777777" w:rsidR="00AE4F3C" w:rsidRPr="008C3A6A" w:rsidRDefault="00AE4F3C" w:rsidP="000B2EE2">
            <w:pPr>
              <w:jc w:val="center"/>
              <w:rPr>
                <w:rFonts w:ascii="Arial" w:hAnsi="Arial" w:cs="Arial"/>
                <w:lang w:val="en-US"/>
              </w:rPr>
            </w:pPr>
            <w:r>
              <w:rPr>
                <w:rFonts w:ascii="Arial" w:hAnsi="Arial" w:cs="Arial"/>
                <w:lang w:val="en-US"/>
              </w:rPr>
              <w:t>h</w:t>
            </w:r>
            <w:r w:rsidRPr="00FB51D1">
              <w:rPr>
                <w:rFonts w:ascii="Arial" w:hAnsi="Arial" w:cs="Arial"/>
                <w:lang w:val="en-US"/>
              </w:rPr>
              <w:t>ydrogen cyanide, disodium tetraborate, boric acid, fenpropimorph,</w:t>
            </w:r>
            <w:r>
              <w:rPr>
                <w:rFonts w:ascii="Arial" w:hAnsi="Arial" w:cs="Arial"/>
                <w:lang w:val="en-US"/>
              </w:rPr>
              <w:t xml:space="preserve"> b</w:t>
            </w:r>
            <w:r w:rsidRPr="00FB51D1">
              <w:rPr>
                <w:rFonts w:ascii="Arial" w:hAnsi="Arial" w:cs="Arial"/>
                <w:lang w:val="en-US"/>
              </w:rPr>
              <w:t xml:space="preserve">oric oxide, </w:t>
            </w:r>
            <w:r>
              <w:rPr>
                <w:rFonts w:ascii="Arial" w:hAnsi="Arial" w:cs="Arial"/>
                <w:lang w:val="en-US"/>
              </w:rPr>
              <w:t>d</w:t>
            </w:r>
            <w:r w:rsidRPr="00FB51D1">
              <w:rPr>
                <w:rFonts w:ascii="Arial" w:hAnsi="Arial" w:cs="Arial"/>
                <w:lang w:val="en-US"/>
              </w:rPr>
              <w:t>isodium octaborate tet</w:t>
            </w:r>
            <w:r>
              <w:rPr>
                <w:rFonts w:ascii="Arial" w:hAnsi="Arial" w:cs="Arial"/>
                <w:lang w:val="en-US"/>
              </w:rPr>
              <w:t>rahydrate , dichlofluanid</w:t>
            </w:r>
          </w:p>
        </w:tc>
        <w:tc>
          <w:tcPr>
            <w:tcW w:w="3260" w:type="dxa"/>
            <w:shd w:val="clear" w:color="auto" w:fill="auto"/>
            <w:vAlign w:val="center"/>
          </w:tcPr>
          <w:p w14:paraId="1FEC7129" w14:textId="77777777" w:rsidR="00AE4F3C" w:rsidRPr="008C3A6A" w:rsidRDefault="00AE4F3C" w:rsidP="000B2EE2">
            <w:pPr>
              <w:jc w:val="center"/>
              <w:rPr>
                <w:rFonts w:ascii="Arial" w:hAnsi="Arial" w:cs="Arial"/>
                <w:lang w:val="en-US"/>
              </w:rPr>
            </w:pPr>
            <w:r>
              <w:rPr>
                <w:rFonts w:ascii="Arial" w:hAnsi="Arial" w:cs="Arial"/>
                <w:lang w:val="en-US"/>
              </w:rPr>
              <w:t>291</w:t>
            </w:r>
          </w:p>
        </w:tc>
      </w:tr>
      <w:tr w:rsidR="00AE4F3C" w:rsidRPr="008C3A6A" w14:paraId="14FF25AA" w14:textId="77777777" w:rsidTr="000B2EE2">
        <w:trPr>
          <w:trHeight w:val="340"/>
        </w:trPr>
        <w:tc>
          <w:tcPr>
            <w:tcW w:w="3259" w:type="dxa"/>
            <w:shd w:val="clear" w:color="auto" w:fill="auto"/>
            <w:vAlign w:val="center"/>
          </w:tcPr>
          <w:p w14:paraId="2BE46162" w14:textId="77777777" w:rsidR="00AE4F3C" w:rsidRPr="0078617B" w:rsidRDefault="00AE4F3C" w:rsidP="000B2EE2">
            <w:pPr>
              <w:jc w:val="center"/>
              <w:rPr>
                <w:rFonts w:ascii="Arial" w:hAnsi="Arial" w:cs="Arial"/>
                <w:lang w:val="en-US"/>
              </w:rPr>
            </w:pPr>
            <w:r w:rsidRPr="0078617B">
              <w:rPr>
                <w:rFonts w:ascii="Arial" w:hAnsi="Arial" w:cs="Arial"/>
                <w:lang w:val="en-US"/>
              </w:rPr>
              <w:t>Switzerland</w:t>
            </w:r>
          </w:p>
        </w:tc>
        <w:tc>
          <w:tcPr>
            <w:tcW w:w="3259" w:type="dxa"/>
            <w:shd w:val="clear" w:color="auto" w:fill="auto"/>
            <w:vAlign w:val="center"/>
          </w:tcPr>
          <w:p w14:paraId="7378BF52" w14:textId="77777777" w:rsidR="00AE4F3C" w:rsidRDefault="00AE4F3C" w:rsidP="000B2EE2">
            <w:pPr>
              <w:jc w:val="center"/>
              <w:rPr>
                <w:rFonts w:ascii="Arial" w:hAnsi="Arial" w:cs="Arial"/>
                <w:lang w:val="en-US"/>
              </w:rPr>
            </w:pPr>
            <w:r w:rsidRPr="0078617B">
              <w:rPr>
                <w:rFonts w:ascii="Arial" w:hAnsi="Arial" w:cs="Arial"/>
                <w:lang w:val="en-US"/>
              </w:rPr>
              <w:t>Same as France</w:t>
            </w:r>
          </w:p>
          <w:p w14:paraId="7A509B01" w14:textId="77777777" w:rsidR="00AE4F3C" w:rsidRDefault="00AE4F3C" w:rsidP="000B2EE2">
            <w:pPr>
              <w:jc w:val="center"/>
              <w:rPr>
                <w:rFonts w:ascii="Arial" w:hAnsi="Arial" w:cs="Arial"/>
                <w:lang w:val="en-US"/>
              </w:rPr>
            </w:pPr>
            <w:r>
              <w:rPr>
                <w:rFonts w:ascii="Arial" w:hAnsi="Arial" w:cs="Arial"/>
                <w:lang w:val="en-US"/>
              </w:rPr>
              <w:t>+</w:t>
            </w:r>
          </w:p>
          <w:p w14:paraId="01577D10" w14:textId="77777777" w:rsidR="00AE4F3C" w:rsidRPr="0078617B" w:rsidRDefault="00AE4F3C" w:rsidP="000B2EE2">
            <w:pPr>
              <w:shd w:val="clear" w:color="auto" w:fill="F9F9F9"/>
              <w:jc w:val="center"/>
              <w:rPr>
                <w:rFonts w:ascii="Arial" w:hAnsi="Arial" w:cs="Arial"/>
                <w:lang w:val="en-US"/>
              </w:rPr>
            </w:pPr>
            <w:r>
              <w:rPr>
                <w:rFonts w:ascii="Arial" w:hAnsi="Arial" w:cs="Arial"/>
                <w:lang w:val="en-US"/>
              </w:rPr>
              <w:t>d</w:t>
            </w:r>
            <w:r w:rsidRPr="0078617B">
              <w:rPr>
                <w:rFonts w:ascii="Arial" w:hAnsi="Arial" w:cs="Arial"/>
                <w:lang w:val="en-US"/>
              </w:rPr>
              <w:t xml:space="preserve">isodium tetraborate </w:t>
            </w:r>
            <w:r>
              <w:rPr>
                <w:rFonts w:ascii="Arial" w:hAnsi="Arial" w:cs="Arial"/>
                <w:lang w:val="en-US"/>
              </w:rPr>
              <w:t>p</w:t>
            </w:r>
            <w:r w:rsidRPr="0078617B">
              <w:rPr>
                <w:rFonts w:ascii="Arial" w:hAnsi="Arial" w:cs="Arial"/>
                <w:lang w:val="en-US"/>
              </w:rPr>
              <w:t>entahydrate</w:t>
            </w:r>
            <w:r>
              <w:rPr>
                <w:rFonts w:ascii="Arial" w:hAnsi="Arial" w:cs="Arial"/>
                <w:lang w:val="en-US"/>
              </w:rPr>
              <w:t>, boric acid</w:t>
            </w:r>
          </w:p>
        </w:tc>
        <w:tc>
          <w:tcPr>
            <w:tcW w:w="3260" w:type="dxa"/>
            <w:shd w:val="clear" w:color="auto" w:fill="auto"/>
            <w:vAlign w:val="center"/>
          </w:tcPr>
          <w:p w14:paraId="1465807E" w14:textId="77777777" w:rsidR="00AE4F3C" w:rsidRPr="0078617B" w:rsidRDefault="00AE4F3C" w:rsidP="000B2EE2">
            <w:pPr>
              <w:jc w:val="center"/>
              <w:rPr>
                <w:rFonts w:ascii="Arial" w:hAnsi="Arial" w:cs="Arial"/>
                <w:lang w:val="en-US"/>
              </w:rPr>
            </w:pPr>
            <w:r w:rsidRPr="0078617B">
              <w:rPr>
                <w:rFonts w:ascii="Arial" w:hAnsi="Arial" w:cs="Arial"/>
                <w:lang w:val="en-US"/>
              </w:rPr>
              <w:t>152</w:t>
            </w:r>
          </w:p>
        </w:tc>
      </w:tr>
      <w:tr w:rsidR="00AE4F3C" w:rsidRPr="008C3A6A" w14:paraId="38530B65" w14:textId="77777777" w:rsidTr="000B2EE2">
        <w:trPr>
          <w:trHeight w:val="340"/>
        </w:trPr>
        <w:tc>
          <w:tcPr>
            <w:tcW w:w="3259" w:type="dxa"/>
            <w:shd w:val="clear" w:color="auto" w:fill="auto"/>
            <w:vAlign w:val="center"/>
          </w:tcPr>
          <w:p w14:paraId="1B54991B" w14:textId="77777777" w:rsidR="00AE4F3C" w:rsidRPr="0078617B" w:rsidRDefault="00AE4F3C" w:rsidP="000B2EE2">
            <w:pPr>
              <w:jc w:val="center"/>
              <w:rPr>
                <w:rFonts w:ascii="Arial" w:hAnsi="Arial" w:cs="Arial"/>
                <w:lang w:val="en-US"/>
              </w:rPr>
            </w:pPr>
            <w:r w:rsidRPr="0078617B">
              <w:rPr>
                <w:rFonts w:ascii="Arial" w:hAnsi="Arial" w:cs="Arial"/>
                <w:lang w:val="en-US"/>
              </w:rPr>
              <w:t>Spain</w:t>
            </w:r>
          </w:p>
        </w:tc>
        <w:tc>
          <w:tcPr>
            <w:tcW w:w="3259" w:type="dxa"/>
            <w:shd w:val="clear" w:color="auto" w:fill="auto"/>
            <w:vAlign w:val="center"/>
          </w:tcPr>
          <w:p w14:paraId="17824E55" w14:textId="77777777" w:rsidR="00AE4F3C" w:rsidRPr="00304178" w:rsidRDefault="00AE4F3C" w:rsidP="000B2EE2">
            <w:pPr>
              <w:jc w:val="center"/>
              <w:rPr>
                <w:rFonts w:ascii="Arial" w:hAnsi="Arial" w:cs="Arial"/>
                <w:lang w:val="en-US"/>
              </w:rPr>
            </w:pPr>
            <w:r w:rsidRPr="00304178">
              <w:rPr>
                <w:rFonts w:ascii="Arial" w:hAnsi="Arial" w:cs="Arial"/>
                <w:lang w:val="en-US"/>
              </w:rPr>
              <w:t xml:space="preserve">Same as France </w:t>
            </w:r>
          </w:p>
          <w:p w14:paraId="7D03C078" w14:textId="77777777" w:rsidR="00AE4F3C" w:rsidRPr="00304178" w:rsidRDefault="00AE4F3C" w:rsidP="000B2EE2">
            <w:pPr>
              <w:jc w:val="center"/>
              <w:rPr>
                <w:rFonts w:ascii="Arial" w:hAnsi="Arial" w:cs="Arial"/>
                <w:lang w:val="en-US"/>
              </w:rPr>
            </w:pPr>
            <w:r w:rsidRPr="00304178">
              <w:rPr>
                <w:rFonts w:ascii="Arial" w:hAnsi="Arial" w:cs="Arial"/>
                <w:lang w:val="en-US"/>
              </w:rPr>
              <w:t>+</w:t>
            </w:r>
          </w:p>
          <w:p w14:paraId="13FBBCE3" w14:textId="77777777" w:rsidR="00AE4F3C" w:rsidRPr="00304178" w:rsidRDefault="00AE4F3C" w:rsidP="000B2EE2">
            <w:pPr>
              <w:jc w:val="center"/>
              <w:rPr>
                <w:rFonts w:ascii="Arial" w:hAnsi="Arial" w:cs="Arial"/>
                <w:lang w:val="en-US"/>
              </w:rPr>
            </w:pPr>
            <w:r>
              <w:rPr>
                <w:rFonts w:ascii="Arial" w:hAnsi="Arial" w:cs="Arial"/>
                <w:lang w:val="en-US"/>
              </w:rPr>
              <w:t>h</w:t>
            </w:r>
            <w:r w:rsidRPr="00304178">
              <w:rPr>
                <w:rFonts w:ascii="Arial" w:hAnsi="Arial" w:cs="Arial"/>
                <w:lang w:val="en-US"/>
              </w:rPr>
              <w:t>ydrogen cyanide</w:t>
            </w:r>
          </w:p>
        </w:tc>
        <w:tc>
          <w:tcPr>
            <w:tcW w:w="3260" w:type="dxa"/>
            <w:shd w:val="clear" w:color="auto" w:fill="auto"/>
            <w:vAlign w:val="center"/>
          </w:tcPr>
          <w:p w14:paraId="3B8A00F2" w14:textId="77777777" w:rsidR="00AE4F3C" w:rsidRPr="0078617B" w:rsidRDefault="00AE4F3C" w:rsidP="000B2EE2">
            <w:pPr>
              <w:jc w:val="center"/>
              <w:rPr>
                <w:rFonts w:ascii="Arial" w:hAnsi="Arial" w:cs="Arial"/>
                <w:lang w:val="en-US"/>
              </w:rPr>
            </w:pPr>
            <w:r w:rsidRPr="0078617B">
              <w:rPr>
                <w:rFonts w:ascii="Arial" w:hAnsi="Arial" w:cs="Arial"/>
                <w:lang w:val="en-US"/>
              </w:rPr>
              <w:t>27</w:t>
            </w:r>
          </w:p>
        </w:tc>
      </w:tr>
      <w:tr w:rsidR="00AE4F3C" w:rsidRPr="00024A84" w14:paraId="2A86DA41" w14:textId="77777777" w:rsidTr="000B2EE2">
        <w:trPr>
          <w:trHeight w:val="340"/>
        </w:trPr>
        <w:tc>
          <w:tcPr>
            <w:tcW w:w="3259" w:type="dxa"/>
            <w:shd w:val="clear" w:color="auto" w:fill="auto"/>
            <w:vAlign w:val="center"/>
          </w:tcPr>
          <w:p w14:paraId="64E90678" w14:textId="77777777" w:rsidR="00AE4F3C" w:rsidRPr="00024A84" w:rsidRDefault="00AE4F3C" w:rsidP="000B2EE2">
            <w:pPr>
              <w:jc w:val="center"/>
              <w:rPr>
                <w:rFonts w:ascii="Arial" w:hAnsi="Arial" w:cs="Arial"/>
                <w:lang w:val="en-US"/>
              </w:rPr>
            </w:pPr>
            <w:r w:rsidRPr="00024A84">
              <w:rPr>
                <w:rFonts w:ascii="Arial" w:hAnsi="Arial" w:cs="Arial"/>
                <w:lang w:val="en-US"/>
              </w:rPr>
              <w:t>Slovakia</w:t>
            </w:r>
          </w:p>
        </w:tc>
        <w:tc>
          <w:tcPr>
            <w:tcW w:w="3259" w:type="dxa"/>
            <w:shd w:val="clear" w:color="auto" w:fill="auto"/>
            <w:vAlign w:val="center"/>
          </w:tcPr>
          <w:p w14:paraId="5AAA0F32" w14:textId="77777777" w:rsidR="00AE4F3C" w:rsidRPr="00024A84" w:rsidRDefault="00AE4F3C" w:rsidP="000B2EE2">
            <w:pPr>
              <w:jc w:val="center"/>
              <w:rPr>
                <w:rFonts w:ascii="Arial" w:hAnsi="Arial" w:cs="Arial"/>
                <w:lang w:val="en-US"/>
              </w:rPr>
            </w:pPr>
            <w:r w:rsidRPr="00024A84">
              <w:rPr>
                <w:rFonts w:ascii="Arial" w:hAnsi="Arial" w:cs="Arial"/>
                <w:lang w:val="en-US"/>
              </w:rPr>
              <w:t>Same as France</w:t>
            </w:r>
          </w:p>
          <w:p w14:paraId="4915D6B1" w14:textId="77777777" w:rsidR="00AE4F3C" w:rsidRPr="00024A84" w:rsidRDefault="00AE4F3C" w:rsidP="000B2EE2">
            <w:pPr>
              <w:jc w:val="center"/>
              <w:rPr>
                <w:rFonts w:ascii="Arial" w:hAnsi="Arial" w:cs="Arial"/>
                <w:lang w:val="en-US"/>
              </w:rPr>
            </w:pPr>
            <w:r w:rsidRPr="00024A84">
              <w:rPr>
                <w:rFonts w:ascii="Arial" w:hAnsi="Arial" w:cs="Arial"/>
                <w:lang w:val="en-US"/>
              </w:rPr>
              <w:t>+</w:t>
            </w:r>
          </w:p>
          <w:p w14:paraId="65DA22DC" w14:textId="77777777" w:rsidR="00AE4F3C" w:rsidRPr="00024A84" w:rsidRDefault="00AE4F3C" w:rsidP="000B2EE2">
            <w:pPr>
              <w:shd w:val="clear" w:color="auto" w:fill="F9F9F9"/>
              <w:jc w:val="center"/>
              <w:rPr>
                <w:rFonts w:ascii="Arial" w:hAnsi="Arial" w:cs="Arial"/>
                <w:lang w:val="en-US"/>
              </w:rPr>
            </w:pPr>
            <w:r w:rsidRPr="00024A84">
              <w:rPr>
                <w:rFonts w:ascii="Arial" w:hAnsi="Arial" w:cs="Arial"/>
                <w:lang w:val="en-US"/>
              </w:rPr>
              <w:t xml:space="preserve">boric acid, fenoxycarb, fenpropimorph, </w:t>
            </w:r>
            <w:r>
              <w:rPr>
                <w:rFonts w:ascii="Arial" w:hAnsi="Arial" w:cs="Arial"/>
                <w:lang w:val="en-US"/>
              </w:rPr>
              <w:t>h</w:t>
            </w:r>
            <w:r w:rsidRPr="00024A84">
              <w:rPr>
                <w:rFonts w:ascii="Arial" w:hAnsi="Arial" w:cs="Arial"/>
                <w:lang w:val="en-US"/>
              </w:rPr>
              <w:t>ydrogen cyanide</w:t>
            </w:r>
          </w:p>
        </w:tc>
        <w:tc>
          <w:tcPr>
            <w:tcW w:w="3260" w:type="dxa"/>
            <w:shd w:val="clear" w:color="auto" w:fill="auto"/>
            <w:vAlign w:val="center"/>
          </w:tcPr>
          <w:p w14:paraId="7C783499" w14:textId="77777777" w:rsidR="00AE4F3C" w:rsidRPr="00024A84" w:rsidRDefault="00AE4F3C" w:rsidP="000B2EE2">
            <w:pPr>
              <w:jc w:val="center"/>
              <w:rPr>
                <w:rFonts w:ascii="Arial" w:hAnsi="Arial" w:cs="Arial"/>
                <w:lang w:val="en-US"/>
              </w:rPr>
            </w:pPr>
            <w:r w:rsidRPr="00024A84">
              <w:rPr>
                <w:rFonts w:ascii="Arial" w:hAnsi="Arial" w:cs="Arial"/>
                <w:lang w:val="en-US"/>
              </w:rPr>
              <w:t>42</w:t>
            </w:r>
          </w:p>
        </w:tc>
      </w:tr>
      <w:tr w:rsidR="00AE4F3C" w:rsidRPr="00024A84" w14:paraId="5B06A667" w14:textId="77777777" w:rsidTr="000B2EE2">
        <w:trPr>
          <w:trHeight w:val="340"/>
        </w:trPr>
        <w:tc>
          <w:tcPr>
            <w:tcW w:w="3259" w:type="dxa"/>
            <w:shd w:val="clear" w:color="auto" w:fill="auto"/>
            <w:vAlign w:val="center"/>
          </w:tcPr>
          <w:p w14:paraId="126FAF15" w14:textId="77777777" w:rsidR="00AE4F3C" w:rsidRPr="00024A84" w:rsidRDefault="00AE4F3C" w:rsidP="000B2EE2">
            <w:pPr>
              <w:jc w:val="center"/>
              <w:rPr>
                <w:rFonts w:ascii="Arial" w:hAnsi="Arial" w:cs="Arial"/>
                <w:lang w:val="en-US"/>
              </w:rPr>
            </w:pPr>
            <w:r w:rsidRPr="00024A84">
              <w:rPr>
                <w:rFonts w:ascii="Arial" w:hAnsi="Arial" w:cs="Arial"/>
                <w:lang w:val="en-US"/>
              </w:rPr>
              <w:lastRenderedPageBreak/>
              <w:t>Romania</w:t>
            </w:r>
          </w:p>
        </w:tc>
        <w:tc>
          <w:tcPr>
            <w:tcW w:w="3259" w:type="dxa"/>
            <w:shd w:val="clear" w:color="auto" w:fill="auto"/>
            <w:vAlign w:val="center"/>
          </w:tcPr>
          <w:p w14:paraId="619C6655" w14:textId="77777777" w:rsidR="00AE4F3C" w:rsidRPr="00024A84" w:rsidRDefault="00AE4F3C" w:rsidP="000B2EE2">
            <w:pPr>
              <w:jc w:val="center"/>
              <w:rPr>
                <w:rFonts w:ascii="Arial" w:hAnsi="Arial" w:cs="Arial"/>
                <w:lang w:val="en-US"/>
              </w:rPr>
            </w:pPr>
            <w:r w:rsidRPr="00024A84">
              <w:rPr>
                <w:rFonts w:ascii="Arial" w:hAnsi="Arial" w:cs="Arial"/>
                <w:lang w:val="en-US"/>
              </w:rPr>
              <w:t>Same as France</w:t>
            </w:r>
          </w:p>
          <w:p w14:paraId="480EC370" w14:textId="77777777" w:rsidR="00AE4F3C" w:rsidRPr="00024A84" w:rsidRDefault="00AE4F3C" w:rsidP="000B2EE2">
            <w:pPr>
              <w:jc w:val="center"/>
              <w:rPr>
                <w:rFonts w:ascii="Arial" w:hAnsi="Arial" w:cs="Arial"/>
                <w:lang w:val="en-US"/>
              </w:rPr>
            </w:pPr>
            <w:r w:rsidRPr="00024A84">
              <w:rPr>
                <w:rFonts w:ascii="Arial" w:hAnsi="Arial" w:cs="Arial"/>
                <w:lang w:val="en-US"/>
              </w:rPr>
              <w:t>+</w:t>
            </w:r>
          </w:p>
          <w:p w14:paraId="796C837D" w14:textId="77777777" w:rsidR="00AE4F3C" w:rsidRPr="00024A84" w:rsidRDefault="00AE4F3C" w:rsidP="000B2EE2">
            <w:pPr>
              <w:shd w:val="clear" w:color="auto" w:fill="F9F9F9"/>
              <w:jc w:val="center"/>
              <w:rPr>
                <w:rFonts w:ascii="Arial" w:hAnsi="Arial" w:cs="Arial"/>
                <w:lang w:val="en-US"/>
              </w:rPr>
            </w:pPr>
            <w:r w:rsidRPr="00024A84">
              <w:rPr>
                <w:rFonts w:ascii="Arial" w:hAnsi="Arial" w:cs="Arial"/>
                <w:lang w:val="en-US"/>
              </w:rPr>
              <w:t>boric acid</w:t>
            </w:r>
          </w:p>
        </w:tc>
        <w:tc>
          <w:tcPr>
            <w:tcW w:w="3260" w:type="dxa"/>
            <w:shd w:val="clear" w:color="auto" w:fill="auto"/>
            <w:vAlign w:val="center"/>
          </w:tcPr>
          <w:p w14:paraId="52FD5083" w14:textId="77777777" w:rsidR="00AE4F3C" w:rsidRPr="00024A84" w:rsidRDefault="00AE4F3C" w:rsidP="000B2EE2">
            <w:pPr>
              <w:jc w:val="center"/>
              <w:rPr>
                <w:rFonts w:ascii="Arial" w:hAnsi="Arial" w:cs="Arial"/>
                <w:lang w:val="en-US"/>
              </w:rPr>
            </w:pPr>
            <w:r w:rsidRPr="00024A84">
              <w:rPr>
                <w:rFonts w:ascii="Arial" w:hAnsi="Arial" w:cs="Arial"/>
                <w:lang w:val="en-US"/>
              </w:rPr>
              <w:t>12</w:t>
            </w:r>
          </w:p>
        </w:tc>
      </w:tr>
      <w:tr w:rsidR="00AE4F3C" w:rsidRPr="00024A84" w14:paraId="59B44257" w14:textId="77777777" w:rsidTr="000B2EE2">
        <w:trPr>
          <w:trHeight w:val="340"/>
        </w:trPr>
        <w:tc>
          <w:tcPr>
            <w:tcW w:w="3259" w:type="dxa"/>
            <w:shd w:val="clear" w:color="auto" w:fill="auto"/>
            <w:vAlign w:val="center"/>
          </w:tcPr>
          <w:p w14:paraId="292A9E14" w14:textId="77777777" w:rsidR="00AE4F3C" w:rsidRPr="00024A84" w:rsidRDefault="00AE4F3C" w:rsidP="000B2EE2">
            <w:pPr>
              <w:jc w:val="center"/>
              <w:rPr>
                <w:rFonts w:ascii="Arial" w:hAnsi="Arial" w:cs="Arial"/>
                <w:lang w:val="en-US"/>
              </w:rPr>
            </w:pPr>
            <w:r w:rsidRPr="00024A84">
              <w:rPr>
                <w:rFonts w:ascii="Arial" w:hAnsi="Arial" w:cs="Arial"/>
                <w:lang w:val="en-US"/>
              </w:rPr>
              <w:t>Portugal</w:t>
            </w:r>
          </w:p>
        </w:tc>
        <w:tc>
          <w:tcPr>
            <w:tcW w:w="3259" w:type="dxa"/>
            <w:shd w:val="clear" w:color="auto" w:fill="auto"/>
            <w:vAlign w:val="center"/>
          </w:tcPr>
          <w:p w14:paraId="62FF24E1" w14:textId="77777777" w:rsidR="00AE4F3C" w:rsidRPr="00024A84" w:rsidRDefault="00AE4F3C" w:rsidP="000B2EE2">
            <w:pPr>
              <w:jc w:val="center"/>
              <w:rPr>
                <w:rFonts w:ascii="Arial" w:hAnsi="Arial" w:cs="Arial"/>
                <w:lang w:val="en-US"/>
              </w:rPr>
            </w:pPr>
            <w:r w:rsidRPr="00024A84">
              <w:rPr>
                <w:rFonts w:ascii="Arial" w:hAnsi="Arial" w:cs="Arial"/>
                <w:lang w:val="en-US"/>
              </w:rPr>
              <w:t>Same as France</w:t>
            </w:r>
          </w:p>
        </w:tc>
        <w:tc>
          <w:tcPr>
            <w:tcW w:w="3260" w:type="dxa"/>
            <w:shd w:val="clear" w:color="auto" w:fill="auto"/>
            <w:vAlign w:val="center"/>
          </w:tcPr>
          <w:p w14:paraId="7136ADBE" w14:textId="77777777" w:rsidR="00AE4F3C" w:rsidRPr="00024A84" w:rsidRDefault="00AE4F3C" w:rsidP="000B2EE2">
            <w:pPr>
              <w:jc w:val="center"/>
              <w:rPr>
                <w:rFonts w:ascii="Arial" w:hAnsi="Arial" w:cs="Arial"/>
                <w:lang w:val="en-US"/>
              </w:rPr>
            </w:pPr>
            <w:r w:rsidRPr="00024A84">
              <w:rPr>
                <w:rFonts w:ascii="Arial" w:hAnsi="Arial" w:cs="Arial"/>
                <w:lang w:val="en-US"/>
              </w:rPr>
              <w:t>8</w:t>
            </w:r>
          </w:p>
        </w:tc>
      </w:tr>
      <w:tr w:rsidR="00AE4F3C" w:rsidRPr="00B75288" w14:paraId="44007BC4" w14:textId="77777777" w:rsidTr="000B2EE2">
        <w:trPr>
          <w:trHeight w:val="340"/>
        </w:trPr>
        <w:tc>
          <w:tcPr>
            <w:tcW w:w="3259" w:type="dxa"/>
            <w:shd w:val="clear" w:color="auto" w:fill="auto"/>
            <w:vAlign w:val="center"/>
          </w:tcPr>
          <w:p w14:paraId="7361E83B" w14:textId="77777777" w:rsidR="00AE4F3C" w:rsidRPr="00B75288" w:rsidRDefault="00AE4F3C" w:rsidP="000B2EE2">
            <w:pPr>
              <w:jc w:val="center"/>
              <w:rPr>
                <w:rFonts w:ascii="Arial" w:hAnsi="Arial" w:cs="Arial"/>
                <w:lang w:val="en-US"/>
              </w:rPr>
            </w:pPr>
            <w:r w:rsidRPr="00B75288">
              <w:rPr>
                <w:rFonts w:ascii="Arial" w:hAnsi="Arial" w:cs="Arial"/>
                <w:lang w:val="en-US"/>
              </w:rPr>
              <w:t>Luxembourg</w:t>
            </w:r>
          </w:p>
        </w:tc>
        <w:tc>
          <w:tcPr>
            <w:tcW w:w="3259" w:type="dxa"/>
            <w:shd w:val="clear" w:color="auto" w:fill="auto"/>
            <w:vAlign w:val="center"/>
          </w:tcPr>
          <w:p w14:paraId="0E171D77" w14:textId="77777777" w:rsidR="00AE4F3C" w:rsidRPr="00B75288" w:rsidRDefault="00AE4F3C" w:rsidP="000B2EE2">
            <w:pPr>
              <w:jc w:val="center"/>
              <w:rPr>
                <w:rFonts w:ascii="Arial" w:hAnsi="Arial" w:cs="Arial"/>
                <w:lang w:val="en-US"/>
              </w:rPr>
            </w:pPr>
            <w:r w:rsidRPr="00B75288">
              <w:rPr>
                <w:rFonts w:ascii="Arial" w:hAnsi="Arial" w:cs="Arial"/>
                <w:lang w:val="en-US"/>
              </w:rPr>
              <w:t>Same as France</w:t>
            </w:r>
          </w:p>
        </w:tc>
        <w:tc>
          <w:tcPr>
            <w:tcW w:w="3260" w:type="dxa"/>
            <w:shd w:val="clear" w:color="auto" w:fill="auto"/>
            <w:vAlign w:val="center"/>
          </w:tcPr>
          <w:p w14:paraId="27D225CA" w14:textId="77777777" w:rsidR="00AE4F3C" w:rsidRPr="00B75288" w:rsidRDefault="00AE4F3C" w:rsidP="000B2EE2">
            <w:pPr>
              <w:jc w:val="center"/>
              <w:rPr>
                <w:rFonts w:ascii="Arial" w:hAnsi="Arial" w:cs="Arial"/>
                <w:lang w:val="en-US"/>
              </w:rPr>
            </w:pPr>
            <w:r w:rsidRPr="00B75288">
              <w:rPr>
                <w:rFonts w:ascii="Arial" w:hAnsi="Arial" w:cs="Arial"/>
                <w:lang w:val="en-US"/>
              </w:rPr>
              <w:t>49</w:t>
            </w:r>
          </w:p>
        </w:tc>
      </w:tr>
      <w:tr w:rsidR="00AE4F3C" w:rsidRPr="00B75288" w14:paraId="48EB507F" w14:textId="77777777" w:rsidTr="000B2EE2">
        <w:trPr>
          <w:trHeight w:val="340"/>
        </w:trPr>
        <w:tc>
          <w:tcPr>
            <w:tcW w:w="3259" w:type="dxa"/>
            <w:shd w:val="clear" w:color="auto" w:fill="auto"/>
            <w:vAlign w:val="center"/>
          </w:tcPr>
          <w:p w14:paraId="6198EFAF" w14:textId="77777777" w:rsidR="00AE4F3C" w:rsidRPr="00B75288" w:rsidRDefault="00AE4F3C" w:rsidP="000B2EE2">
            <w:pPr>
              <w:jc w:val="center"/>
              <w:rPr>
                <w:rFonts w:ascii="Arial" w:hAnsi="Arial" w:cs="Arial"/>
                <w:lang w:val="en-US"/>
              </w:rPr>
            </w:pPr>
            <w:r w:rsidRPr="00B75288">
              <w:rPr>
                <w:rFonts w:ascii="Arial" w:hAnsi="Arial" w:cs="Arial"/>
                <w:lang w:val="en-US"/>
              </w:rPr>
              <w:t>Italy</w:t>
            </w:r>
          </w:p>
        </w:tc>
        <w:tc>
          <w:tcPr>
            <w:tcW w:w="3259" w:type="dxa"/>
            <w:shd w:val="clear" w:color="auto" w:fill="auto"/>
            <w:vAlign w:val="center"/>
          </w:tcPr>
          <w:p w14:paraId="432FF27A" w14:textId="77777777" w:rsidR="00AE4F3C" w:rsidRPr="00B75288" w:rsidRDefault="00AE4F3C" w:rsidP="000B2EE2">
            <w:pPr>
              <w:jc w:val="center"/>
              <w:rPr>
                <w:rFonts w:ascii="Arial" w:hAnsi="Arial" w:cs="Arial"/>
                <w:lang w:val="en-US"/>
              </w:rPr>
            </w:pPr>
            <w:r w:rsidRPr="00B75288">
              <w:rPr>
                <w:rFonts w:ascii="Arial" w:hAnsi="Arial" w:cs="Arial"/>
                <w:lang w:val="en-US"/>
              </w:rPr>
              <w:t>Same as France</w:t>
            </w:r>
          </w:p>
        </w:tc>
        <w:tc>
          <w:tcPr>
            <w:tcW w:w="3260" w:type="dxa"/>
            <w:shd w:val="clear" w:color="auto" w:fill="auto"/>
            <w:vAlign w:val="center"/>
          </w:tcPr>
          <w:p w14:paraId="21760D5C" w14:textId="77777777" w:rsidR="00AE4F3C" w:rsidRPr="00B75288" w:rsidRDefault="00AE4F3C" w:rsidP="000B2EE2">
            <w:pPr>
              <w:jc w:val="center"/>
              <w:rPr>
                <w:rFonts w:ascii="Arial" w:hAnsi="Arial" w:cs="Arial"/>
                <w:lang w:val="en-US"/>
              </w:rPr>
            </w:pPr>
            <w:r w:rsidRPr="00B75288">
              <w:rPr>
                <w:rFonts w:ascii="Arial" w:hAnsi="Arial" w:cs="Arial"/>
                <w:lang w:val="en-US"/>
              </w:rPr>
              <w:t>56</w:t>
            </w:r>
          </w:p>
        </w:tc>
      </w:tr>
      <w:tr w:rsidR="00AE4F3C" w:rsidRPr="001C398F" w14:paraId="5CDAA28A" w14:textId="77777777" w:rsidTr="000B2EE2">
        <w:trPr>
          <w:trHeight w:val="340"/>
        </w:trPr>
        <w:tc>
          <w:tcPr>
            <w:tcW w:w="3259" w:type="dxa"/>
            <w:shd w:val="clear" w:color="auto" w:fill="auto"/>
            <w:vAlign w:val="center"/>
          </w:tcPr>
          <w:p w14:paraId="067BFC52" w14:textId="77777777" w:rsidR="00AE4F3C" w:rsidRPr="001C398F" w:rsidRDefault="00AE4F3C" w:rsidP="000B2EE2">
            <w:pPr>
              <w:jc w:val="center"/>
              <w:rPr>
                <w:rFonts w:ascii="Arial" w:hAnsi="Arial" w:cs="Arial"/>
                <w:lang w:val="en-US"/>
              </w:rPr>
            </w:pPr>
            <w:r w:rsidRPr="001C398F">
              <w:rPr>
                <w:rFonts w:ascii="Arial" w:hAnsi="Arial" w:cs="Arial"/>
                <w:lang w:val="en-US"/>
              </w:rPr>
              <w:t>Hungary</w:t>
            </w:r>
          </w:p>
        </w:tc>
        <w:tc>
          <w:tcPr>
            <w:tcW w:w="3259" w:type="dxa"/>
            <w:shd w:val="clear" w:color="auto" w:fill="auto"/>
            <w:vAlign w:val="center"/>
          </w:tcPr>
          <w:p w14:paraId="5D8B83A5" w14:textId="77777777" w:rsidR="00AE4F3C" w:rsidRPr="001C398F" w:rsidRDefault="00AE4F3C" w:rsidP="000B2EE2">
            <w:pPr>
              <w:jc w:val="center"/>
              <w:rPr>
                <w:rFonts w:ascii="Arial" w:hAnsi="Arial" w:cs="Arial"/>
                <w:lang w:val="en-US"/>
              </w:rPr>
            </w:pPr>
            <w:r w:rsidRPr="001C398F">
              <w:rPr>
                <w:rFonts w:ascii="Arial" w:hAnsi="Arial" w:cs="Arial"/>
                <w:lang w:val="en-US"/>
              </w:rPr>
              <w:t>Same as France</w:t>
            </w:r>
          </w:p>
          <w:p w14:paraId="4C463113" w14:textId="77777777" w:rsidR="00AE4F3C" w:rsidRPr="001C398F" w:rsidRDefault="00AE4F3C" w:rsidP="000B2EE2">
            <w:pPr>
              <w:jc w:val="center"/>
              <w:rPr>
                <w:rFonts w:ascii="Arial" w:hAnsi="Arial" w:cs="Arial"/>
                <w:lang w:val="en-US"/>
              </w:rPr>
            </w:pPr>
            <w:r w:rsidRPr="001C398F">
              <w:rPr>
                <w:rFonts w:ascii="Arial" w:hAnsi="Arial" w:cs="Arial"/>
                <w:lang w:val="en-US"/>
              </w:rPr>
              <w:t>+</w:t>
            </w:r>
          </w:p>
          <w:p w14:paraId="3BD58177" w14:textId="77777777" w:rsidR="00AE4F3C" w:rsidRPr="001C398F" w:rsidRDefault="00AE4F3C" w:rsidP="000B2EE2">
            <w:pPr>
              <w:jc w:val="center"/>
              <w:rPr>
                <w:rFonts w:ascii="Arial" w:hAnsi="Arial" w:cs="Arial"/>
                <w:lang w:val="en-US"/>
              </w:rPr>
            </w:pPr>
            <w:r w:rsidRPr="001C398F">
              <w:rPr>
                <w:rFonts w:ascii="Arial" w:hAnsi="Arial" w:cs="Arial"/>
                <w:lang w:val="en-US"/>
              </w:rPr>
              <w:t xml:space="preserve">boric acid, </w:t>
            </w:r>
            <w:r>
              <w:rPr>
                <w:rFonts w:ascii="Arial" w:hAnsi="Arial" w:cs="Arial"/>
                <w:lang w:val="en-US"/>
              </w:rPr>
              <w:t>d</w:t>
            </w:r>
            <w:r w:rsidRPr="0078617B">
              <w:rPr>
                <w:rFonts w:ascii="Arial" w:hAnsi="Arial" w:cs="Arial"/>
                <w:lang w:val="en-US"/>
              </w:rPr>
              <w:t>isodium tetraborate</w:t>
            </w:r>
            <w:r w:rsidRPr="001C398F">
              <w:rPr>
                <w:rFonts w:ascii="Arial" w:hAnsi="Arial" w:cs="Arial"/>
                <w:lang w:val="en-US"/>
              </w:rPr>
              <w:t xml:space="preserve">, </w:t>
            </w:r>
            <w:r>
              <w:rPr>
                <w:rFonts w:ascii="Arial" w:hAnsi="Arial" w:cs="Arial"/>
                <w:lang w:val="en-US"/>
              </w:rPr>
              <w:t>d</w:t>
            </w:r>
            <w:r w:rsidRPr="0078617B">
              <w:rPr>
                <w:rFonts w:ascii="Arial" w:hAnsi="Arial" w:cs="Arial"/>
                <w:lang w:val="en-US"/>
              </w:rPr>
              <w:t>isodium tetraborate</w:t>
            </w:r>
            <w:r w:rsidRPr="001C398F">
              <w:rPr>
                <w:rFonts w:ascii="Arial" w:hAnsi="Arial" w:cs="Arial"/>
                <w:lang w:val="en-US"/>
              </w:rPr>
              <w:t xml:space="preserve"> pentahydrate , </w:t>
            </w:r>
            <w:r>
              <w:rPr>
                <w:rFonts w:ascii="Arial" w:hAnsi="Arial" w:cs="Arial"/>
                <w:lang w:val="en-US"/>
              </w:rPr>
              <w:t>d</w:t>
            </w:r>
            <w:r w:rsidRPr="0078617B">
              <w:rPr>
                <w:rFonts w:ascii="Arial" w:hAnsi="Arial" w:cs="Arial"/>
                <w:lang w:val="en-US"/>
              </w:rPr>
              <w:t>isodium tetraborate</w:t>
            </w:r>
            <w:r w:rsidRPr="001C398F">
              <w:rPr>
                <w:rFonts w:ascii="Arial" w:hAnsi="Arial" w:cs="Arial"/>
                <w:lang w:val="en-US"/>
              </w:rPr>
              <w:t xml:space="preserve"> decahydrate</w:t>
            </w:r>
          </w:p>
        </w:tc>
        <w:tc>
          <w:tcPr>
            <w:tcW w:w="3260" w:type="dxa"/>
            <w:shd w:val="clear" w:color="auto" w:fill="auto"/>
            <w:vAlign w:val="center"/>
          </w:tcPr>
          <w:p w14:paraId="08D48AB9" w14:textId="77777777" w:rsidR="00AE4F3C" w:rsidRPr="001C398F" w:rsidRDefault="00AE4F3C" w:rsidP="000B2EE2">
            <w:pPr>
              <w:jc w:val="center"/>
              <w:rPr>
                <w:rFonts w:ascii="Arial" w:hAnsi="Arial" w:cs="Arial"/>
                <w:lang w:val="en-US"/>
              </w:rPr>
            </w:pPr>
            <w:r w:rsidRPr="001C398F">
              <w:rPr>
                <w:rFonts w:ascii="Arial" w:hAnsi="Arial" w:cs="Arial"/>
                <w:lang w:val="en-US"/>
              </w:rPr>
              <w:t>89</w:t>
            </w:r>
          </w:p>
        </w:tc>
      </w:tr>
      <w:tr w:rsidR="00AE4F3C" w:rsidRPr="004E0908" w14:paraId="4E7F1044" w14:textId="77777777" w:rsidTr="000B2EE2">
        <w:trPr>
          <w:trHeight w:val="340"/>
        </w:trPr>
        <w:tc>
          <w:tcPr>
            <w:tcW w:w="3259" w:type="dxa"/>
            <w:shd w:val="clear" w:color="auto" w:fill="auto"/>
            <w:vAlign w:val="center"/>
          </w:tcPr>
          <w:p w14:paraId="4A9A5EF9" w14:textId="77777777" w:rsidR="00AE4F3C" w:rsidRPr="004E0908" w:rsidRDefault="00AE4F3C" w:rsidP="000B2EE2">
            <w:pPr>
              <w:jc w:val="center"/>
              <w:rPr>
                <w:rFonts w:ascii="Arial" w:hAnsi="Arial" w:cs="Arial"/>
                <w:lang w:val="en-US"/>
              </w:rPr>
            </w:pPr>
            <w:r w:rsidRPr="004E0908">
              <w:rPr>
                <w:rFonts w:ascii="Arial" w:hAnsi="Arial" w:cs="Arial"/>
                <w:lang w:val="en-US"/>
              </w:rPr>
              <w:t>Greece</w:t>
            </w:r>
          </w:p>
        </w:tc>
        <w:tc>
          <w:tcPr>
            <w:tcW w:w="3259" w:type="dxa"/>
            <w:shd w:val="clear" w:color="auto" w:fill="auto"/>
            <w:vAlign w:val="center"/>
          </w:tcPr>
          <w:p w14:paraId="1F3A644E" w14:textId="77777777" w:rsidR="00AE4F3C" w:rsidRPr="004E0908" w:rsidRDefault="00AE4F3C" w:rsidP="000B2EE2">
            <w:pPr>
              <w:jc w:val="center"/>
              <w:rPr>
                <w:rFonts w:ascii="Arial" w:hAnsi="Arial" w:cs="Arial"/>
                <w:lang w:val="en-US"/>
              </w:rPr>
            </w:pPr>
            <w:r w:rsidRPr="004E0908">
              <w:rPr>
                <w:rFonts w:ascii="Arial" w:hAnsi="Arial" w:cs="Arial"/>
                <w:lang w:val="en-US"/>
              </w:rPr>
              <w:t>Same as France</w:t>
            </w:r>
          </w:p>
          <w:p w14:paraId="1E26C2C1" w14:textId="77777777" w:rsidR="00AE4F3C" w:rsidRPr="004E0908" w:rsidRDefault="00AE4F3C" w:rsidP="000B2EE2">
            <w:pPr>
              <w:jc w:val="center"/>
              <w:rPr>
                <w:rFonts w:ascii="Arial" w:hAnsi="Arial" w:cs="Arial"/>
                <w:lang w:val="en-US"/>
              </w:rPr>
            </w:pPr>
            <w:r w:rsidRPr="004E0908">
              <w:rPr>
                <w:rFonts w:ascii="Arial" w:hAnsi="Arial" w:cs="Arial"/>
                <w:lang w:val="en-US"/>
              </w:rPr>
              <w:t>+</w:t>
            </w:r>
          </w:p>
          <w:p w14:paraId="500A255A" w14:textId="77777777" w:rsidR="00AE4F3C" w:rsidRPr="004E0908" w:rsidRDefault="00AE4F3C" w:rsidP="000B2EE2">
            <w:pPr>
              <w:jc w:val="center"/>
              <w:rPr>
                <w:rFonts w:ascii="Arial" w:hAnsi="Arial" w:cs="Arial"/>
                <w:lang w:val="en-US"/>
              </w:rPr>
            </w:pPr>
            <w:r>
              <w:rPr>
                <w:rFonts w:ascii="Arial" w:hAnsi="Arial" w:cs="Arial"/>
                <w:lang w:val="en-US"/>
              </w:rPr>
              <w:t>d</w:t>
            </w:r>
            <w:r w:rsidRPr="0078617B">
              <w:rPr>
                <w:rFonts w:ascii="Arial" w:hAnsi="Arial" w:cs="Arial"/>
                <w:lang w:val="en-US"/>
              </w:rPr>
              <w:t>isodium tetraborate</w:t>
            </w:r>
            <w:r w:rsidRPr="004E0908">
              <w:rPr>
                <w:rFonts w:ascii="Arial" w:hAnsi="Arial" w:cs="Arial"/>
                <w:lang w:val="en-US"/>
              </w:rPr>
              <w:t xml:space="preserve"> decahydrate, boric acid</w:t>
            </w:r>
          </w:p>
        </w:tc>
        <w:tc>
          <w:tcPr>
            <w:tcW w:w="3260" w:type="dxa"/>
            <w:shd w:val="clear" w:color="auto" w:fill="auto"/>
            <w:vAlign w:val="center"/>
          </w:tcPr>
          <w:p w14:paraId="3047D339" w14:textId="77777777" w:rsidR="00AE4F3C" w:rsidRPr="004E0908" w:rsidRDefault="00AE4F3C" w:rsidP="000B2EE2">
            <w:pPr>
              <w:jc w:val="center"/>
              <w:rPr>
                <w:rFonts w:ascii="Arial" w:hAnsi="Arial" w:cs="Arial"/>
                <w:lang w:val="en-US"/>
              </w:rPr>
            </w:pPr>
            <w:r w:rsidRPr="004E0908">
              <w:rPr>
                <w:rFonts w:ascii="Arial" w:hAnsi="Arial" w:cs="Arial"/>
                <w:lang w:val="en-US"/>
              </w:rPr>
              <w:t>34</w:t>
            </w:r>
          </w:p>
        </w:tc>
      </w:tr>
      <w:tr w:rsidR="00AE4F3C" w:rsidRPr="004E0908" w14:paraId="697432A5" w14:textId="77777777" w:rsidTr="000B2EE2">
        <w:trPr>
          <w:trHeight w:val="340"/>
        </w:trPr>
        <w:tc>
          <w:tcPr>
            <w:tcW w:w="3259" w:type="dxa"/>
            <w:shd w:val="clear" w:color="auto" w:fill="auto"/>
            <w:vAlign w:val="center"/>
          </w:tcPr>
          <w:p w14:paraId="7B9FE361" w14:textId="77777777" w:rsidR="00AE4F3C" w:rsidRPr="004E0908" w:rsidRDefault="00AE4F3C" w:rsidP="000B2EE2">
            <w:pPr>
              <w:jc w:val="center"/>
              <w:rPr>
                <w:rFonts w:ascii="Arial" w:hAnsi="Arial" w:cs="Arial"/>
                <w:lang w:val="en-US"/>
              </w:rPr>
            </w:pPr>
            <w:r w:rsidRPr="004E0908">
              <w:rPr>
                <w:rFonts w:ascii="Arial" w:hAnsi="Arial" w:cs="Arial"/>
                <w:lang w:val="en-US"/>
              </w:rPr>
              <w:t>Czech Republic</w:t>
            </w:r>
          </w:p>
        </w:tc>
        <w:tc>
          <w:tcPr>
            <w:tcW w:w="3259" w:type="dxa"/>
            <w:shd w:val="clear" w:color="auto" w:fill="auto"/>
            <w:vAlign w:val="center"/>
          </w:tcPr>
          <w:p w14:paraId="3FE308E8" w14:textId="77777777" w:rsidR="00AE4F3C" w:rsidRPr="004E0908" w:rsidRDefault="00AE4F3C" w:rsidP="000B2EE2">
            <w:pPr>
              <w:jc w:val="center"/>
              <w:rPr>
                <w:rFonts w:ascii="Arial" w:hAnsi="Arial" w:cs="Arial"/>
                <w:lang w:val="en-US"/>
              </w:rPr>
            </w:pPr>
            <w:r w:rsidRPr="004E0908">
              <w:rPr>
                <w:rFonts w:ascii="Arial" w:hAnsi="Arial" w:cs="Arial"/>
                <w:lang w:val="en-US"/>
              </w:rPr>
              <w:t>Same as France</w:t>
            </w:r>
          </w:p>
          <w:p w14:paraId="03D9921D" w14:textId="77777777" w:rsidR="00AE4F3C" w:rsidRPr="004E0908" w:rsidRDefault="00AE4F3C" w:rsidP="000B2EE2">
            <w:pPr>
              <w:jc w:val="center"/>
              <w:rPr>
                <w:rFonts w:ascii="Arial" w:hAnsi="Arial" w:cs="Arial"/>
                <w:lang w:val="en-US"/>
              </w:rPr>
            </w:pPr>
            <w:r w:rsidRPr="004E0908">
              <w:rPr>
                <w:rFonts w:ascii="Arial" w:hAnsi="Arial" w:cs="Arial"/>
                <w:lang w:val="en-US"/>
              </w:rPr>
              <w:t>+</w:t>
            </w:r>
          </w:p>
          <w:p w14:paraId="4CC7103E" w14:textId="77777777" w:rsidR="00AE4F3C" w:rsidRPr="004E0908" w:rsidRDefault="00AE4F3C" w:rsidP="000B2EE2">
            <w:pPr>
              <w:shd w:val="clear" w:color="auto" w:fill="FFFFFF"/>
              <w:jc w:val="center"/>
              <w:rPr>
                <w:rFonts w:ascii="Arial" w:hAnsi="Arial" w:cs="Arial"/>
                <w:lang w:val="en-US"/>
              </w:rPr>
            </w:pPr>
            <w:r>
              <w:rPr>
                <w:rFonts w:ascii="Arial" w:hAnsi="Arial" w:cs="Arial"/>
                <w:lang w:val="en-US"/>
              </w:rPr>
              <w:t>p</w:t>
            </w:r>
            <w:r w:rsidRPr="004E0908">
              <w:rPr>
                <w:rFonts w:ascii="Arial" w:hAnsi="Arial" w:cs="Arial"/>
                <w:lang w:val="en-US"/>
              </w:rPr>
              <w:t xml:space="preserve">ermethrin, </w:t>
            </w:r>
            <w:r>
              <w:rPr>
                <w:rFonts w:ascii="Arial" w:hAnsi="Arial" w:cs="Arial"/>
                <w:lang w:val="en-US"/>
              </w:rPr>
              <w:t>h</w:t>
            </w:r>
            <w:r w:rsidRPr="004E0908">
              <w:rPr>
                <w:rFonts w:ascii="Arial" w:hAnsi="Arial" w:cs="Arial"/>
                <w:lang w:val="en-US"/>
              </w:rPr>
              <w:t xml:space="preserve">ydrogen cyanide, </w:t>
            </w:r>
            <w:r>
              <w:rPr>
                <w:rFonts w:ascii="Arial" w:hAnsi="Arial" w:cs="Arial"/>
                <w:lang w:val="en-US"/>
              </w:rPr>
              <w:t>q</w:t>
            </w:r>
            <w:r w:rsidRPr="004E0908">
              <w:rPr>
                <w:rFonts w:ascii="Arial" w:hAnsi="Arial" w:cs="Arial"/>
                <w:lang w:val="en-US"/>
              </w:rPr>
              <w:t>uaternary ammonium compounds, benzyl-C8-16-alkyldimethyl, chlorides</w:t>
            </w:r>
          </w:p>
        </w:tc>
        <w:tc>
          <w:tcPr>
            <w:tcW w:w="3260" w:type="dxa"/>
            <w:shd w:val="clear" w:color="auto" w:fill="auto"/>
            <w:vAlign w:val="center"/>
          </w:tcPr>
          <w:p w14:paraId="0BC6ECB9" w14:textId="77777777" w:rsidR="00AE4F3C" w:rsidRPr="004E0908" w:rsidRDefault="00AE4F3C" w:rsidP="000B2EE2">
            <w:pPr>
              <w:jc w:val="center"/>
              <w:rPr>
                <w:rFonts w:ascii="Arial" w:hAnsi="Arial" w:cs="Arial"/>
                <w:lang w:val="en-US"/>
              </w:rPr>
            </w:pPr>
            <w:r w:rsidRPr="004E0908">
              <w:rPr>
                <w:rFonts w:ascii="Arial" w:hAnsi="Arial" w:cs="Arial"/>
                <w:lang w:val="en-US"/>
              </w:rPr>
              <w:t>92</w:t>
            </w:r>
          </w:p>
        </w:tc>
      </w:tr>
      <w:tr w:rsidR="00AE4F3C" w:rsidRPr="00834222" w14:paraId="50326FC5" w14:textId="77777777" w:rsidTr="000B2EE2">
        <w:trPr>
          <w:trHeight w:val="340"/>
        </w:trPr>
        <w:tc>
          <w:tcPr>
            <w:tcW w:w="3259" w:type="dxa"/>
            <w:shd w:val="clear" w:color="auto" w:fill="auto"/>
            <w:vAlign w:val="center"/>
          </w:tcPr>
          <w:p w14:paraId="29C7E20C" w14:textId="77777777" w:rsidR="00AE4F3C" w:rsidRPr="00834222" w:rsidRDefault="00AE4F3C" w:rsidP="000B2EE2">
            <w:pPr>
              <w:jc w:val="center"/>
              <w:rPr>
                <w:rFonts w:ascii="Arial" w:hAnsi="Arial" w:cs="Arial"/>
                <w:lang w:val="en-US"/>
              </w:rPr>
            </w:pPr>
            <w:r w:rsidRPr="00834222">
              <w:rPr>
                <w:rFonts w:ascii="Arial" w:hAnsi="Arial" w:cs="Arial"/>
                <w:lang w:val="en-US"/>
              </w:rPr>
              <w:t>Belgium</w:t>
            </w:r>
          </w:p>
        </w:tc>
        <w:tc>
          <w:tcPr>
            <w:tcW w:w="3259" w:type="dxa"/>
            <w:shd w:val="clear" w:color="auto" w:fill="auto"/>
            <w:vAlign w:val="center"/>
          </w:tcPr>
          <w:p w14:paraId="7437B4BB" w14:textId="77777777" w:rsidR="00AE4F3C" w:rsidRPr="00834222" w:rsidRDefault="00AE4F3C" w:rsidP="000B2EE2">
            <w:pPr>
              <w:jc w:val="center"/>
              <w:rPr>
                <w:rFonts w:ascii="Arial" w:hAnsi="Arial" w:cs="Arial"/>
                <w:lang w:val="en-US"/>
              </w:rPr>
            </w:pPr>
            <w:r w:rsidRPr="00834222">
              <w:rPr>
                <w:rFonts w:ascii="Arial" w:hAnsi="Arial" w:cs="Arial"/>
                <w:lang w:val="en-US"/>
              </w:rPr>
              <w:t>Same as France</w:t>
            </w:r>
          </w:p>
          <w:p w14:paraId="181D69FD" w14:textId="77777777" w:rsidR="00AE4F3C" w:rsidRPr="00834222" w:rsidRDefault="00AE4F3C" w:rsidP="000B2EE2">
            <w:pPr>
              <w:jc w:val="center"/>
              <w:rPr>
                <w:rFonts w:ascii="Arial" w:hAnsi="Arial" w:cs="Arial"/>
                <w:lang w:val="en-US"/>
              </w:rPr>
            </w:pPr>
            <w:r w:rsidRPr="00834222">
              <w:rPr>
                <w:rFonts w:ascii="Arial" w:hAnsi="Arial" w:cs="Arial"/>
                <w:lang w:val="en-US"/>
              </w:rPr>
              <w:t>+</w:t>
            </w:r>
          </w:p>
          <w:p w14:paraId="3B77D2B9" w14:textId="77777777" w:rsidR="00AE4F3C" w:rsidRPr="00834222" w:rsidRDefault="00AE4F3C" w:rsidP="000B2EE2">
            <w:pPr>
              <w:jc w:val="center"/>
              <w:rPr>
                <w:rFonts w:ascii="Arial" w:hAnsi="Arial" w:cs="Arial"/>
                <w:lang w:val="en-US"/>
              </w:rPr>
            </w:pPr>
            <w:r>
              <w:rPr>
                <w:rFonts w:ascii="Arial" w:hAnsi="Arial" w:cs="Arial"/>
                <w:lang w:val="en-US"/>
              </w:rPr>
              <w:t>dazomet, boric acid</w:t>
            </w:r>
          </w:p>
        </w:tc>
        <w:tc>
          <w:tcPr>
            <w:tcW w:w="3260" w:type="dxa"/>
            <w:shd w:val="clear" w:color="auto" w:fill="auto"/>
            <w:vAlign w:val="center"/>
          </w:tcPr>
          <w:p w14:paraId="7EDBC571" w14:textId="77777777" w:rsidR="00AE4F3C" w:rsidRPr="00834222" w:rsidRDefault="00AE4F3C" w:rsidP="000B2EE2">
            <w:pPr>
              <w:jc w:val="center"/>
              <w:rPr>
                <w:rFonts w:ascii="Arial" w:hAnsi="Arial" w:cs="Arial"/>
                <w:lang w:val="en-US"/>
              </w:rPr>
            </w:pPr>
            <w:r w:rsidRPr="00834222">
              <w:rPr>
                <w:rFonts w:ascii="Arial" w:hAnsi="Arial" w:cs="Arial"/>
                <w:lang w:val="en-US"/>
              </w:rPr>
              <w:t>34</w:t>
            </w:r>
          </w:p>
        </w:tc>
      </w:tr>
      <w:tr w:rsidR="00AE4F3C" w:rsidRPr="004F6C5F" w14:paraId="794C7F97" w14:textId="77777777" w:rsidTr="000B2EE2">
        <w:trPr>
          <w:trHeight w:val="340"/>
        </w:trPr>
        <w:tc>
          <w:tcPr>
            <w:tcW w:w="3259" w:type="dxa"/>
            <w:shd w:val="clear" w:color="auto" w:fill="auto"/>
            <w:vAlign w:val="center"/>
          </w:tcPr>
          <w:p w14:paraId="39F6ABD0" w14:textId="77777777" w:rsidR="00AE4F3C" w:rsidRPr="004F6C5F" w:rsidRDefault="00AE4F3C" w:rsidP="000B2EE2">
            <w:pPr>
              <w:jc w:val="center"/>
              <w:rPr>
                <w:rFonts w:ascii="Arial" w:hAnsi="Arial" w:cs="Arial"/>
                <w:lang w:val="en-US"/>
              </w:rPr>
            </w:pPr>
            <w:r w:rsidRPr="004F6C5F">
              <w:rPr>
                <w:rFonts w:ascii="Arial" w:hAnsi="Arial" w:cs="Arial"/>
                <w:lang w:val="en-US"/>
              </w:rPr>
              <w:t>Sweden</w:t>
            </w:r>
          </w:p>
        </w:tc>
        <w:tc>
          <w:tcPr>
            <w:tcW w:w="3259" w:type="dxa"/>
            <w:shd w:val="clear" w:color="auto" w:fill="auto"/>
            <w:vAlign w:val="center"/>
          </w:tcPr>
          <w:p w14:paraId="472A1CD5" w14:textId="77777777" w:rsidR="00AE4F3C" w:rsidRPr="004F6C5F" w:rsidRDefault="00AE4F3C" w:rsidP="000B2EE2">
            <w:pPr>
              <w:jc w:val="center"/>
              <w:rPr>
                <w:rFonts w:ascii="Arial" w:hAnsi="Arial" w:cs="Arial"/>
                <w:lang w:val="en-US"/>
              </w:rPr>
            </w:pPr>
            <w:r w:rsidRPr="004F6C5F">
              <w:rPr>
                <w:rFonts w:ascii="Arial" w:hAnsi="Arial" w:cs="Arial"/>
                <w:lang w:val="en-US"/>
              </w:rPr>
              <w:t>Same as France</w:t>
            </w:r>
          </w:p>
          <w:p w14:paraId="35A10227" w14:textId="77777777" w:rsidR="00AE4F3C" w:rsidRPr="004F6C5F" w:rsidRDefault="00AE4F3C" w:rsidP="000B2EE2">
            <w:pPr>
              <w:jc w:val="center"/>
              <w:rPr>
                <w:rFonts w:ascii="Arial" w:hAnsi="Arial" w:cs="Arial"/>
                <w:lang w:val="en-US"/>
              </w:rPr>
            </w:pPr>
            <w:r w:rsidRPr="004F6C5F">
              <w:rPr>
                <w:rFonts w:ascii="Arial" w:hAnsi="Arial" w:cs="Arial"/>
                <w:lang w:val="en-US"/>
              </w:rPr>
              <w:t>+</w:t>
            </w:r>
          </w:p>
          <w:p w14:paraId="7CDC65C9" w14:textId="77777777" w:rsidR="00AE4F3C" w:rsidRPr="004F6C5F" w:rsidRDefault="00AE4F3C" w:rsidP="000B2EE2">
            <w:pPr>
              <w:jc w:val="center"/>
              <w:rPr>
                <w:rFonts w:ascii="Arial" w:hAnsi="Arial" w:cs="Arial"/>
                <w:lang w:val="en-US"/>
              </w:rPr>
            </w:pPr>
            <w:r w:rsidRPr="004F6C5F">
              <w:rPr>
                <w:rFonts w:ascii="Arial" w:hAnsi="Arial" w:cs="Arial"/>
                <w:lang w:val="en-US"/>
              </w:rPr>
              <w:t>boric acid, disodium tetraborate, disodium octaborate tetrahydrate, creosote, boric oxide</w:t>
            </w:r>
          </w:p>
        </w:tc>
        <w:tc>
          <w:tcPr>
            <w:tcW w:w="3260" w:type="dxa"/>
            <w:shd w:val="clear" w:color="auto" w:fill="auto"/>
            <w:vAlign w:val="center"/>
          </w:tcPr>
          <w:p w14:paraId="2E39C522" w14:textId="77777777" w:rsidR="00AE4F3C" w:rsidRPr="004F6C5F" w:rsidRDefault="00AE4F3C" w:rsidP="000B2EE2">
            <w:pPr>
              <w:jc w:val="center"/>
              <w:rPr>
                <w:rFonts w:ascii="Arial" w:hAnsi="Arial" w:cs="Arial"/>
                <w:lang w:val="en-US"/>
              </w:rPr>
            </w:pPr>
            <w:r w:rsidRPr="004F6C5F">
              <w:rPr>
                <w:rFonts w:ascii="Arial" w:hAnsi="Arial" w:cs="Arial"/>
                <w:lang w:val="en-US"/>
              </w:rPr>
              <w:t>77</w:t>
            </w:r>
          </w:p>
        </w:tc>
      </w:tr>
      <w:tr w:rsidR="00AE4F3C" w:rsidRPr="004F6C5F" w14:paraId="5CB64F5A" w14:textId="77777777" w:rsidTr="000B2EE2">
        <w:trPr>
          <w:trHeight w:val="340"/>
        </w:trPr>
        <w:tc>
          <w:tcPr>
            <w:tcW w:w="3259" w:type="dxa"/>
            <w:shd w:val="clear" w:color="auto" w:fill="auto"/>
            <w:vAlign w:val="center"/>
          </w:tcPr>
          <w:p w14:paraId="06C7C6AF" w14:textId="77777777" w:rsidR="00AE4F3C" w:rsidRPr="004F6C5F" w:rsidRDefault="00AE4F3C" w:rsidP="000B2EE2">
            <w:pPr>
              <w:jc w:val="center"/>
              <w:rPr>
                <w:rFonts w:ascii="Arial" w:hAnsi="Arial" w:cs="Arial"/>
                <w:lang w:val="en-US"/>
              </w:rPr>
            </w:pPr>
            <w:r w:rsidRPr="004F6C5F">
              <w:rPr>
                <w:rFonts w:ascii="Arial" w:hAnsi="Arial" w:cs="Arial"/>
                <w:lang w:val="en-US"/>
              </w:rPr>
              <w:t>Norway</w:t>
            </w:r>
          </w:p>
        </w:tc>
        <w:tc>
          <w:tcPr>
            <w:tcW w:w="3259" w:type="dxa"/>
            <w:shd w:val="clear" w:color="auto" w:fill="auto"/>
            <w:vAlign w:val="center"/>
          </w:tcPr>
          <w:p w14:paraId="391DE0BF" w14:textId="77777777" w:rsidR="00AE4F3C" w:rsidRPr="004F6C5F" w:rsidRDefault="00AE4F3C" w:rsidP="000B2EE2">
            <w:pPr>
              <w:jc w:val="center"/>
              <w:rPr>
                <w:rFonts w:ascii="Arial" w:hAnsi="Arial" w:cs="Arial"/>
                <w:lang w:val="en-US"/>
              </w:rPr>
            </w:pPr>
            <w:r w:rsidRPr="004F6C5F">
              <w:rPr>
                <w:rFonts w:ascii="Arial" w:hAnsi="Arial" w:cs="Arial"/>
                <w:lang w:val="en-US"/>
              </w:rPr>
              <w:t>Same as France</w:t>
            </w:r>
          </w:p>
          <w:p w14:paraId="4A43C991" w14:textId="77777777" w:rsidR="00AE4F3C" w:rsidRPr="004F6C5F" w:rsidRDefault="00AE4F3C" w:rsidP="000B2EE2">
            <w:pPr>
              <w:jc w:val="center"/>
              <w:rPr>
                <w:rFonts w:ascii="Arial" w:hAnsi="Arial" w:cs="Arial"/>
                <w:lang w:val="en-US"/>
              </w:rPr>
            </w:pPr>
            <w:r w:rsidRPr="004F6C5F">
              <w:rPr>
                <w:rFonts w:ascii="Arial" w:hAnsi="Arial" w:cs="Arial"/>
                <w:lang w:val="en-US"/>
              </w:rPr>
              <w:t>+</w:t>
            </w:r>
          </w:p>
          <w:p w14:paraId="259892C6" w14:textId="77777777" w:rsidR="00AE4F3C" w:rsidRPr="004F6C5F" w:rsidRDefault="00AE4F3C" w:rsidP="000B2EE2">
            <w:pPr>
              <w:jc w:val="center"/>
              <w:rPr>
                <w:rFonts w:ascii="Arial" w:hAnsi="Arial" w:cs="Arial"/>
                <w:lang w:val="en-US"/>
              </w:rPr>
            </w:pPr>
            <w:r w:rsidRPr="004F6C5F">
              <w:rPr>
                <w:rFonts w:ascii="Arial" w:hAnsi="Arial" w:cs="Arial"/>
                <w:lang w:val="en-US"/>
              </w:rPr>
              <w:t>disodium octaborate tetrahydrate, creosote,</w:t>
            </w:r>
          </w:p>
        </w:tc>
        <w:tc>
          <w:tcPr>
            <w:tcW w:w="3260" w:type="dxa"/>
            <w:shd w:val="clear" w:color="auto" w:fill="auto"/>
            <w:vAlign w:val="center"/>
          </w:tcPr>
          <w:p w14:paraId="69437A43" w14:textId="77777777" w:rsidR="00AE4F3C" w:rsidRPr="004F6C5F" w:rsidRDefault="00AE4F3C" w:rsidP="000B2EE2">
            <w:pPr>
              <w:jc w:val="center"/>
              <w:rPr>
                <w:rFonts w:ascii="Arial" w:hAnsi="Arial" w:cs="Arial"/>
                <w:lang w:val="en-US"/>
              </w:rPr>
            </w:pPr>
            <w:r w:rsidRPr="004F6C5F">
              <w:rPr>
                <w:rFonts w:ascii="Arial" w:hAnsi="Arial" w:cs="Arial"/>
                <w:lang w:val="en-US"/>
              </w:rPr>
              <w:t>51</w:t>
            </w:r>
          </w:p>
        </w:tc>
      </w:tr>
      <w:tr w:rsidR="00AE4F3C" w:rsidRPr="00C74BC0" w14:paraId="1EC5E6A4" w14:textId="77777777" w:rsidTr="000B2EE2">
        <w:trPr>
          <w:trHeight w:val="340"/>
        </w:trPr>
        <w:tc>
          <w:tcPr>
            <w:tcW w:w="3259" w:type="dxa"/>
            <w:shd w:val="clear" w:color="auto" w:fill="auto"/>
            <w:vAlign w:val="center"/>
          </w:tcPr>
          <w:p w14:paraId="590F28EE" w14:textId="77777777" w:rsidR="00AE4F3C" w:rsidRPr="00C74BC0" w:rsidRDefault="00AE4F3C" w:rsidP="000B2EE2">
            <w:pPr>
              <w:jc w:val="center"/>
              <w:rPr>
                <w:rFonts w:ascii="Arial" w:hAnsi="Arial" w:cs="Arial"/>
                <w:lang w:val="en-US"/>
              </w:rPr>
            </w:pPr>
            <w:r w:rsidRPr="00C74BC0">
              <w:rPr>
                <w:rFonts w:ascii="Arial" w:hAnsi="Arial" w:cs="Arial"/>
                <w:lang w:val="en-US"/>
              </w:rPr>
              <w:t>Denmark</w:t>
            </w:r>
          </w:p>
        </w:tc>
        <w:tc>
          <w:tcPr>
            <w:tcW w:w="3259" w:type="dxa"/>
            <w:shd w:val="clear" w:color="auto" w:fill="auto"/>
            <w:vAlign w:val="center"/>
          </w:tcPr>
          <w:p w14:paraId="35A20841" w14:textId="77777777" w:rsidR="00AE4F3C" w:rsidRPr="00C74BC0" w:rsidRDefault="00AE4F3C" w:rsidP="000B2EE2">
            <w:pPr>
              <w:jc w:val="center"/>
              <w:rPr>
                <w:rFonts w:ascii="Arial" w:hAnsi="Arial" w:cs="Arial"/>
                <w:lang w:val="en-US"/>
              </w:rPr>
            </w:pPr>
            <w:r w:rsidRPr="00C74BC0">
              <w:rPr>
                <w:rFonts w:ascii="Arial" w:hAnsi="Arial" w:cs="Arial"/>
                <w:lang w:val="en-US"/>
              </w:rPr>
              <w:t>Same as France</w:t>
            </w:r>
          </w:p>
          <w:p w14:paraId="24237EA1" w14:textId="77777777" w:rsidR="00AE4F3C" w:rsidRPr="00C74BC0" w:rsidRDefault="00AE4F3C" w:rsidP="000B2EE2">
            <w:pPr>
              <w:jc w:val="center"/>
              <w:rPr>
                <w:rFonts w:ascii="Arial" w:hAnsi="Arial" w:cs="Arial"/>
                <w:lang w:val="en-US"/>
              </w:rPr>
            </w:pPr>
            <w:r w:rsidRPr="00C74BC0">
              <w:rPr>
                <w:rFonts w:ascii="Arial" w:hAnsi="Arial" w:cs="Arial"/>
                <w:lang w:val="en-US"/>
              </w:rPr>
              <w:t>+</w:t>
            </w:r>
          </w:p>
          <w:p w14:paraId="00BDB83D" w14:textId="77777777" w:rsidR="00AE4F3C" w:rsidRPr="00C74BC0" w:rsidRDefault="00AE4F3C" w:rsidP="000B2EE2">
            <w:pPr>
              <w:jc w:val="center"/>
              <w:rPr>
                <w:rFonts w:ascii="Arial" w:hAnsi="Arial" w:cs="Arial"/>
                <w:lang w:val="en-US"/>
              </w:rPr>
            </w:pPr>
            <w:r w:rsidRPr="00C74BC0">
              <w:rPr>
                <w:rFonts w:ascii="Arial" w:hAnsi="Arial" w:cs="Arial"/>
                <w:lang w:val="en-US"/>
              </w:rPr>
              <w:t xml:space="preserve">permethrin, disodium octaborate tetrahydrate, disodium tetraborate, boric oxide, granulated copper, </w:t>
            </w:r>
          </w:p>
        </w:tc>
        <w:tc>
          <w:tcPr>
            <w:tcW w:w="3260" w:type="dxa"/>
            <w:shd w:val="clear" w:color="auto" w:fill="auto"/>
            <w:vAlign w:val="center"/>
          </w:tcPr>
          <w:p w14:paraId="0951B629" w14:textId="77777777" w:rsidR="00AE4F3C" w:rsidRPr="00C74BC0" w:rsidRDefault="00AE4F3C" w:rsidP="000B2EE2">
            <w:pPr>
              <w:jc w:val="center"/>
              <w:rPr>
                <w:rFonts w:ascii="Arial" w:hAnsi="Arial" w:cs="Arial"/>
                <w:lang w:val="en-US"/>
              </w:rPr>
            </w:pPr>
            <w:r w:rsidRPr="00C74BC0">
              <w:rPr>
                <w:rFonts w:ascii="Arial" w:hAnsi="Arial" w:cs="Arial"/>
                <w:lang w:val="en-US"/>
              </w:rPr>
              <w:t>220</w:t>
            </w:r>
          </w:p>
        </w:tc>
      </w:tr>
    </w:tbl>
    <w:p w14:paraId="292DD2D8" w14:textId="77777777" w:rsidR="00AE4F3C" w:rsidRPr="00EA093E" w:rsidRDefault="00AE4F3C" w:rsidP="00AE4F3C">
      <w:pPr>
        <w:rPr>
          <w:rFonts w:ascii="Arial" w:hAnsi="Arial" w:cs="Arial"/>
          <w:lang w:val="en-US"/>
        </w:rPr>
      </w:pPr>
    </w:p>
    <w:p w14:paraId="5DFE7F92" w14:textId="07E2382E" w:rsidR="00AE4F3C" w:rsidRDefault="00AE4F3C" w:rsidP="00B7552D">
      <w:pPr>
        <w:pStyle w:val="Titre5"/>
        <w:rPr>
          <w:lang w:eastAsia="sv-SE"/>
        </w:rPr>
      </w:pPr>
      <w:r>
        <w:rPr>
          <w:lang w:eastAsia="sv-SE"/>
        </w:rPr>
        <w:t>Consideration on whether the CFS(s) meet(s) at least one of the exclusion criteria liste in the article 5(1) but can benefit from derogation in accordance with article 5(2) of the BPR</w:t>
      </w:r>
    </w:p>
    <w:p w14:paraId="0770F718" w14:textId="77777777" w:rsidR="00AE4F3C" w:rsidRDefault="00AE4F3C" w:rsidP="00AE4F3C">
      <w:pPr>
        <w:outlineLvl w:val="1"/>
        <w:rPr>
          <w:rFonts w:ascii="Arial" w:hAnsi="Arial" w:cs="Arial"/>
          <w:b/>
          <w:color w:val="000000"/>
          <w:lang w:val="sv-SE" w:eastAsia="sv-SE"/>
        </w:rPr>
      </w:pPr>
    </w:p>
    <w:p w14:paraId="13C416DC" w14:textId="77777777" w:rsidR="00AE4F3C" w:rsidRDefault="00AE4F3C" w:rsidP="00AE4F3C">
      <w:pPr>
        <w:outlineLvl w:val="1"/>
        <w:rPr>
          <w:rFonts w:ascii="Arial" w:hAnsi="Arial" w:cs="Arial"/>
          <w:lang w:val="sv-SE" w:eastAsia="sv-SE"/>
        </w:rPr>
      </w:pPr>
      <w:r w:rsidRPr="008C331A">
        <w:rPr>
          <w:rFonts w:ascii="Arial" w:hAnsi="Arial" w:cs="Arial"/>
          <w:lang w:val="sv-SE" w:eastAsia="sv-SE"/>
        </w:rPr>
        <w:t>Tebuconazole is not considered as meeting the exclusion criteria according to Article 5(1).</w:t>
      </w:r>
    </w:p>
    <w:p w14:paraId="64AD9FCE" w14:textId="77777777" w:rsidR="00AE4F3C" w:rsidRPr="00304F15" w:rsidRDefault="00AE4F3C" w:rsidP="00AE4F3C">
      <w:pPr>
        <w:outlineLvl w:val="1"/>
        <w:rPr>
          <w:rFonts w:ascii="Arial" w:hAnsi="Arial" w:cs="Arial"/>
          <w:b/>
          <w:color w:val="000000"/>
          <w:lang w:val="sv-SE" w:eastAsia="sv-SE"/>
        </w:rPr>
      </w:pPr>
    </w:p>
    <w:p w14:paraId="73D89047" w14:textId="576AF639" w:rsidR="00AE4F3C" w:rsidRDefault="00AE4F3C" w:rsidP="00B7552D">
      <w:pPr>
        <w:pStyle w:val="Titre5"/>
        <w:rPr>
          <w:lang w:eastAsia="sv-SE"/>
        </w:rPr>
      </w:pPr>
      <w:r>
        <w:rPr>
          <w:lang w:eastAsia="sv-SE"/>
        </w:rPr>
        <w:t>C</w:t>
      </w:r>
      <w:r w:rsidRPr="00803426">
        <w:rPr>
          <w:lang w:eastAsia="sv-SE"/>
        </w:rPr>
        <w:t>onclusion</w:t>
      </w:r>
      <w:r>
        <w:rPr>
          <w:lang w:eastAsia="sv-SE"/>
        </w:rPr>
        <w:t xml:space="preserve"> of the screening phase: stop comparative assessment</w:t>
      </w:r>
    </w:p>
    <w:p w14:paraId="5623E9F4" w14:textId="77777777" w:rsidR="00AE4F3C" w:rsidRDefault="00AE4F3C" w:rsidP="00AE4F3C">
      <w:pPr>
        <w:outlineLvl w:val="1"/>
        <w:rPr>
          <w:rFonts w:ascii="Arial" w:hAnsi="Arial" w:cs="Arial"/>
          <w:b/>
          <w:color w:val="000000"/>
          <w:lang w:val="sv-SE" w:eastAsia="sv-SE"/>
        </w:rPr>
      </w:pPr>
    </w:p>
    <w:p w14:paraId="3AD320B7" w14:textId="77777777" w:rsidR="00AE4F3C" w:rsidRPr="002A6A93" w:rsidRDefault="00AE4F3C" w:rsidP="00AE4F3C">
      <w:pPr>
        <w:autoSpaceDE w:val="0"/>
        <w:autoSpaceDN w:val="0"/>
        <w:adjustRightInd w:val="0"/>
        <w:outlineLvl w:val="0"/>
        <w:rPr>
          <w:rFonts w:ascii="Arial" w:hAnsi="Arial" w:cs="Arial"/>
          <w:color w:val="000000"/>
          <w:lang w:val="sv-SE" w:eastAsia="en-GB"/>
        </w:rPr>
      </w:pPr>
      <w:r w:rsidRPr="002A6A93">
        <w:rPr>
          <w:rFonts w:ascii="Arial" w:hAnsi="Arial" w:cs="Arial"/>
          <w:color w:val="000000"/>
          <w:lang w:val="sv-SE" w:eastAsia="en-GB"/>
        </w:rPr>
        <w:t>In the technical guidance note on comparative assessment of biocidal products, it is stated that :</w:t>
      </w:r>
    </w:p>
    <w:p w14:paraId="509AD59C" w14:textId="77777777" w:rsidR="00AE4F3C" w:rsidRPr="002A6A93" w:rsidRDefault="00AE4F3C" w:rsidP="00AE4F3C">
      <w:pPr>
        <w:numPr>
          <w:ilvl w:val="0"/>
          <w:numId w:val="43"/>
        </w:numPr>
        <w:suppressAutoHyphens w:val="0"/>
        <w:autoSpaceDE w:val="0"/>
        <w:autoSpaceDN w:val="0"/>
        <w:adjustRightInd w:val="0"/>
        <w:spacing w:line="276" w:lineRule="auto"/>
        <w:outlineLvl w:val="0"/>
        <w:rPr>
          <w:rFonts w:ascii="Arial" w:hAnsi="Arial" w:cs="Arial"/>
          <w:color w:val="000000"/>
          <w:lang w:val="sv-SE" w:eastAsia="en-GB"/>
        </w:rPr>
      </w:pPr>
      <w:r w:rsidRPr="002A6A93">
        <w:rPr>
          <w:rFonts w:ascii="Arial" w:hAnsi="Arial" w:cs="Arial"/>
          <w:color w:val="000000"/>
          <w:lang w:val="sv-SE" w:eastAsia="en-GB"/>
        </w:rPr>
        <w:t>a suitable number of available active substances having different modes of action on the harmful organism would be necessary to minimise resistance development or selection ;</w:t>
      </w:r>
    </w:p>
    <w:p w14:paraId="5F01A64D" w14:textId="77777777" w:rsidR="00AE4F3C" w:rsidRPr="002A6A93" w:rsidRDefault="00AE4F3C" w:rsidP="00AE4F3C">
      <w:pPr>
        <w:numPr>
          <w:ilvl w:val="0"/>
          <w:numId w:val="43"/>
        </w:numPr>
        <w:suppressAutoHyphens w:val="0"/>
        <w:autoSpaceDE w:val="0"/>
        <w:autoSpaceDN w:val="0"/>
        <w:adjustRightInd w:val="0"/>
        <w:spacing w:line="276" w:lineRule="auto"/>
        <w:outlineLvl w:val="0"/>
        <w:rPr>
          <w:rFonts w:ascii="Arial" w:hAnsi="Arial" w:cs="Arial"/>
          <w:color w:val="000000"/>
          <w:lang w:val="sv-SE" w:eastAsia="en-GB"/>
        </w:rPr>
      </w:pPr>
      <w:r w:rsidRPr="002A6A93">
        <w:rPr>
          <w:rFonts w:ascii="Arial" w:hAnsi="Arial" w:cs="Arial"/>
          <w:color w:val="000000"/>
          <w:lang w:val="sv-SE" w:eastAsia="en-GB"/>
        </w:rPr>
        <w:lastRenderedPageBreak/>
        <w:t>as a general rule, at least three different and independent “active substance/mode of action” combinations should remain available through authorized BPs for a given use in order to consider that chemical diversity is adequate.</w:t>
      </w:r>
    </w:p>
    <w:p w14:paraId="5D55AFA3" w14:textId="77777777" w:rsidR="00AE4F3C" w:rsidRPr="002A6A93" w:rsidRDefault="00AE4F3C" w:rsidP="00AE4F3C">
      <w:pPr>
        <w:autoSpaceDE w:val="0"/>
        <w:autoSpaceDN w:val="0"/>
        <w:adjustRightInd w:val="0"/>
        <w:outlineLvl w:val="0"/>
        <w:rPr>
          <w:rFonts w:ascii="Arial" w:hAnsi="Arial" w:cs="Arial"/>
          <w:color w:val="000000"/>
          <w:lang w:val="sv-SE" w:eastAsia="en-GB"/>
        </w:rPr>
      </w:pPr>
    </w:p>
    <w:p w14:paraId="3B3FEDFC" w14:textId="77777777" w:rsidR="00AE4F3C" w:rsidRDefault="00AE4F3C" w:rsidP="00AE4F3C">
      <w:pPr>
        <w:autoSpaceDE w:val="0"/>
        <w:autoSpaceDN w:val="0"/>
        <w:adjustRightInd w:val="0"/>
        <w:rPr>
          <w:rFonts w:ascii="Arial" w:hAnsi="Arial" w:cs="Arial"/>
          <w:color w:val="000000"/>
          <w:lang w:val="sv-SE" w:eastAsia="en-GB"/>
        </w:rPr>
      </w:pPr>
    </w:p>
    <w:p w14:paraId="1E99BA5C" w14:textId="77777777" w:rsidR="00AE4F3C" w:rsidRDefault="00AE4F3C" w:rsidP="00AE4F3C">
      <w:pPr>
        <w:rPr>
          <w:rFonts w:ascii="Arial" w:hAnsi="Arial" w:cs="Arial"/>
          <w:lang w:val="sv-SE" w:eastAsia="sv-SE"/>
        </w:rPr>
      </w:pPr>
      <w:r>
        <w:rPr>
          <w:rFonts w:ascii="Arial" w:hAnsi="Arial" w:cs="Arial"/>
          <w:lang w:val="sv-SE" w:eastAsia="sv-SE"/>
        </w:rPr>
        <w:t>Considering the fungicide activity, the other active substances present in similar products are</w:t>
      </w:r>
    </w:p>
    <w:p w14:paraId="0A8F1EC9" w14:textId="77777777" w:rsidR="00AE4F3C" w:rsidRPr="00411B6E"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Basic copper carbonate</w:t>
      </w:r>
    </w:p>
    <w:p w14:paraId="2F9CC3D0"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Permethrin</w:t>
      </w:r>
    </w:p>
    <w:p w14:paraId="2C10BE48" w14:textId="77777777" w:rsidR="00AE4F3C" w:rsidRDefault="00AE4F3C" w:rsidP="00AE4F3C">
      <w:pPr>
        <w:rPr>
          <w:rFonts w:ascii="Arial" w:hAnsi="Arial" w:cs="Arial"/>
          <w:lang w:val="sv-SE" w:eastAsia="sv-SE"/>
        </w:rPr>
      </w:pPr>
    </w:p>
    <w:p w14:paraId="1960A115" w14:textId="77777777" w:rsidR="00AE4F3C" w:rsidRDefault="00AE4F3C" w:rsidP="00AE4F3C">
      <w:pPr>
        <w:rPr>
          <w:rFonts w:ascii="Arial" w:hAnsi="Arial" w:cs="Arial"/>
          <w:lang w:val="sv-SE" w:eastAsia="sv-SE"/>
        </w:rPr>
      </w:pPr>
      <w:r>
        <w:rPr>
          <w:rFonts w:ascii="Arial" w:hAnsi="Arial" w:cs="Arial"/>
          <w:lang w:val="sv-SE" w:eastAsia="sv-SE"/>
        </w:rPr>
        <w:t>Considering the insecticide activity, the other active substances present in similar products are</w:t>
      </w:r>
    </w:p>
    <w:p w14:paraId="2B105CB3"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Basic copper carbonate</w:t>
      </w:r>
    </w:p>
    <w:p w14:paraId="2DC1101A"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Permethrin</w:t>
      </w:r>
    </w:p>
    <w:p w14:paraId="62937D73" w14:textId="77777777" w:rsidR="00AE4F3C" w:rsidRPr="00242AFD" w:rsidRDefault="00AE4F3C" w:rsidP="00AE4F3C">
      <w:pPr>
        <w:numPr>
          <w:ilvl w:val="0"/>
          <w:numId w:val="30"/>
        </w:numPr>
        <w:suppressAutoHyphens w:val="0"/>
        <w:spacing w:line="276" w:lineRule="auto"/>
        <w:rPr>
          <w:rFonts w:ascii="Arial" w:hAnsi="Arial" w:cs="Arial"/>
          <w:lang w:val="sv-SE" w:eastAsia="sv-SE"/>
        </w:rPr>
      </w:pPr>
      <w:r w:rsidRPr="00242AFD">
        <w:rPr>
          <w:rFonts w:ascii="Arial" w:hAnsi="Arial" w:cs="Arial"/>
          <w:lang w:val="sv-SE" w:eastAsia="sv-SE"/>
        </w:rPr>
        <w:t>Thiacloprid</w:t>
      </w:r>
    </w:p>
    <w:p w14:paraId="4F4093F8" w14:textId="77777777" w:rsidR="00AE4F3C" w:rsidRDefault="00AE4F3C" w:rsidP="00AE4F3C">
      <w:pPr>
        <w:autoSpaceDE w:val="0"/>
        <w:autoSpaceDN w:val="0"/>
        <w:adjustRightInd w:val="0"/>
        <w:rPr>
          <w:rFonts w:ascii="Arial" w:hAnsi="Arial" w:cs="Arial"/>
          <w:color w:val="000000"/>
          <w:lang w:val="sv-SE" w:eastAsia="en-GB"/>
        </w:rPr>
      </w:pPr>
    </w:p>
    <w:p w14:paraId="7B798036" w14:textId="77777777" w:rsidR="00AE4F3C" w:rsidRPr="002A6A93" w:rsidRDefault="00AE4F3C" w:rsidP="00AE4F3C">
      <w:pPr>
        <w:autoSpaceDE w:val="0"/>
        <w:autoSpaceDN w:val="0"/>
        <w:adjustRightInd w:val="0"/>
        <w:rPr>
          <w:rFonts w:ascii="Arial" w:hAnsi="Arial" w:cs="Arial"/>
          <w:color w:val="000000"/>
          <w:lang w:val="sv-SE" w:eastAsia="en-GB"/>
        </w:rPr>
      </w:pPr>
      <w:r>
        <w:rPr>
          <w:rFonts w:ascii="Arial" w:hAnsi="Arial" w:cs="Arial"/>
          <w:color w:val="000000"/>
          <w:lang w:val="sv-SE" w:eastAsia="en-GB"/>
        </w:rPr>
        <w:t>FR CA</w:t>
      </w:r>
      <w:r w:rsidRPr="002A6A93">
        <w:rPr>
          <w:rFonts w:ascii="Arial" w:hAnsi="Arial" w:cs="Arial"/>
          <w:color w:val="000000"/>
          <w:lang w:val="sv-SE" w:eastAsia="en-GB"/>
        </w:rPr>
        <w:t xml:space="preserve"> concludes that there is no adequate chemical diversity</w:t>
      </w:r>
      <w:r>
        <w:rPr>
          <w:rFonts w:ascii="Arial" w:hAnsi="Arial" w:cs="Arial"/>
          <w:color w:val="000000"/>
          <w:lang w:val="sv-SE" w:eastAsia="en-GB"/>
        </w:rPr>
        <w:t xml:space="preserve"> with fungicide and insecticide activity</w:t>
      </w:r>
      <w:r w:rsidRPr="002A6A93">
        <w:rPr>
          <w:rFonts w:ascii="Arial" w:hAnsi="Arial" w:cs="Arial"/>
          <w:color w:val="000000"/>
          <w:lang w:val="sv-SE" w:eastAsia="en-GB"/>
        </w:rPr>
        <w:t xml:space="preserve"> in line with Article 23(3)(b) and the technical guidance note on comparative assessment. </w:t>
      </w:r>
    </w:p>
    <w:p w14:paraId="7F387FC4" w14:textId="77777777" w:rsidR="00AE4F3C" w:rsidRPr="002A6A93" w:rsidRDefault="00AE4F3C" w:rsidP="00AE4F3C">
      <w:pPr>
        <w:autoSpaceDE w:val="0"/>
        <w:autoSpaceDN w:val="0"/>
        <w:adjustRightInd w:val="0"/>
        <w:rPr>
          <w:rFonts w:ascii="Arial" w:hAnsi="Arial" w:cs="Arial"/>
          <w:color w:val="000000"/>
          <w:lang w:val="sv-SE" w:eastAsia="en-GB"/>
        </w:rPr>
      </w:pPr>
    </w:p>
    <w:p w14:paraId="358A6EA0" w14:textId="77777777" w:rsidR="00AE4F3C" w:rsidRPr="00141CD8" w:rsidRDefault="00AE4F3C" w:rsidP="00AE4F3C">
      <w:pPr>
        <w:autoSpaceDE w:val="0"/>
        <w:autoSpaceDN w:val="0"/>
        <w:adjustRightInd w:val="0"/>
        <w:rPr>
          <w:rFonts w:ascii="Arial" w:hAnsi="Arial" w:cs="Arial"/>
          <w:color w:val="000000"/>
          <w:highlight w:val="yellow"/>
          <w:lang w:val="sv-SE" w:eastAsia="en-GB"/>
        </w:rPr>
      </w:pPr>
      <w:r w:rsidRPr="002A6A93">
        <w:rPr>
          <w:rFonts w:ascii="Arial" w:hAnsi="Arial" w:cs="Arial"/>
          <w:color w:val="000000"/>
          <w:lang w:val="sv-SE" w:eastAsia="en-GB"/>
        </w:rPr>
        <w:t xml:space="preserve">Since tebuconazole does not meet the exclusion criteria as outlined in Article 5(1), no further assessment is needed at this point. The comparative assessment for </w:t>
      </w:r>
      <w:r>
        <w:rPr>
          <w:rFonts w:ascii="Arial" w:hAnsi="Arial" w:cs="Arial"/>
        </w:rPr>
        <w:t>X6122B1</w:t>
      </w:r>
      <w:r w:rsidRPr="00E42954">
        <w:rPr>
          <w:rFonts w:ascii="Arial" w:hAnsi="Arial" w:cs="Arial"/>
          <w:color w:val="000000"/>
          <w:lang w:val="sv-SE" w:eastAsia="sv-SE"/>
        </w:rPr>
        <w:t xml:space="preserve"> </w:t>
      </w:r>
      <w:r w:rsidRPr="002A6A93">
        <w:rPr>
          <w:rFonts w:ascii="Arial" w:hAnsi="Arial" w:cs="Arial"/>
          <w:color w:val="000000"/>
          <w:lang w:val="sv-SE" w:eastAsia="en-GB"/>
        </w:rPr>
        <w:t>can be finalised at the screening stage and the product can be authorised for a period not exceeding 5 years in accordance with Article 23(6) of BPR.</w:t>
      </w:r>
      <w:r w:rsidRPr="002E5407">
        <w:rPr>
          <w:rFonts w:ascii="Arial" w:hAnsi="Arial" w:cs="Arial"/>
          <w:color w:val="000000"/>
          <w:lang w:val="sv-SE" w:eastAsia="en-GB"/>
        </w:rPr>
        <w:t xml:space="preserve"> </w:t>
      </w:r>
    </w:p>
    <w:bookmarkEnd w:id="161"/>
    <w:p w14:paraId="500A0832" w14:textId="2E5A041F" w:rsidR="009D0C0B" w:rsidRPr="00B60CAC" w:rsidRDefault="009D0C0B">
      <w:pPr>
        <w:spacing w:line="260" w:lineRule="atLeast"/>
        <w:rPr>
          <w:rFonts w:ascii="Times New Roman" w:eastAsia="Calibri" w:hAnsi="Times New Roman" w:cs="Times New Roman"/>
          <w:i/>
          <w:iCs/>
          <w:lang w:eastAsia="en-US"/>
        </w:rPr>
      </w:pPr>
    </w:p>
    <w:p w14:paraId="2BE958BB" w14:textId="77777777" w:rsidR="009D0C0B" w:rsidRPr="00FE333D" w:rsidRDefault="009D0C0B">
      <w:pPr>
        <w:pageBreakBefore/>
        <w:rPr>
          <w:rFonts w:eastAsia="Calibri"/>
          <w:b/>
          <w:i/>
          <w:lang w:val="en-US" w:eastAsia="en-US"/>
        </w:rPr>
      </w:pPr>
    </w:p>
    <w:p w14:paraId="31FDCD5C" w14:textId="77777777" w:rsidR="009D0C0B" w:rsidRDefault="00FA480B">
      <w:pPr>
        <w:pStyle w:val="Titre1"/>
        <w:rPr>
          <w:rFonts w:eastAsia="Calibri"/>
        </w:rPr>
      </w:pPr>
      <w:bookmarkStart w:id="167" w:name="_Toc536627333"/>
      <w:r>
        <w:rPr>
          <w:rFonts w:eastAsia="Calibri"/>
        </w:rPr>
        <w:t>Annexes</w:t>
      </w:r>
      <w:r>
        <w:rPr>
          <w:rStyle w:val="Appelnotedebasdep"/>
          <w:rFonts w:eastAsia="Calibri"/>
        </w:rPr>
        <w:footnoteReference w:id="28"/>
      </w:r>
      <w:bookmarkEnd w:id="167"/>
    </w:p>
    <w:p w14:paraId="70BC0A93" w14:textId="77777777" w:rsidR="003012CB" w:rsidRDefault="003012CB" w:rsidP="003012CB">
      <w:pPr>
        <w:pStyle w:val="Titre2"/>
        <w:rPr>
          <w:caps/>
          <w:sz w:val="28"/>
          <w:szCs w:val="28"/>
          <w:lang w:eastAsia="en-US"/>
        </w:rPr>
      </w:pPr>
      <w:bookmarkStart w:id="168" w:name="_Toc536627334"/>
      <w:r>
        <w:t>List of studies for the biocidal product</w:t>
      </w:r>
      <w:bookmarkEnd w:id="168"/>
      <w:r>
        <w:t xml:space="preserve"> </w:t>
      </w:r>
    </w:p>
    <w:p w14:paraId="78EEA688" w14:textId="77777777" w:rsidR="00944F5E" w:rsidRDefault="00944F5E" w:rsidP="003012CB">
      <w:pPr>
        <w:rPr>
          <w:rFonts w:eastAsia="Calibri"/>
          <w:b/>
          <w:caps/>
          <w:sz w:val="28"/>
          <w:szCs w:val="28"/>
          <w:lang w:eastAsia="en-US"/>
        </w:rPr>
        <w:sectPr w:rsidR="00944F5E">
          <w:pgSz w:w="11906" w:h="16838"/>
          <w:pgMar w:top="1474" w:right="1247" w:bottom="2013" w:left="1446" w:header="850" w:footer="850" w:gutter="0"/>
          <w:cols w:space="720"/>
          <w:docGrid w:linePitch="272"/>
        </w:sectPr>
      </w:pPr>
    </w:p>
    <w:p w14:paraId="7677966E" w14:textId="77777777" w:rsidR="003012CB" w:rsidRDefault="003012CB" w:rsidP="003012CB">
      <w:pPr>
        <w:rPr>
          <w:rFonts w:eastAsia="Calibri"/>
          <w:b/>
          <w:caps/>
          <w:sz w:val="28"/>
          <w:szCs w:val="28"/>
          <w:lang w:eastAsia="en-US"/>
        </w:rPr>
      </w:pPr>
    </w:p>
    <w:p w14:paraId="64D2F0DF" w14:textId="77777777" w:rsidR="00944F5E" w:rsidRPr="00944F5E" w:rsidRDefault="00944F5E" w:rsidP="003012CB">
      <w:pPr>
        <w:rPr>
          <w:rFonts w:eastAsia="Calibri"/>
          <w:b/>
          <w:caps/>
          <w:sz w:val="28"/>
          <w:szCs w:val="28"/>
          <w:u w:val="single"/>
          <w:lang w:eastAsia="en-US"/>
        </w:rPr>
      </w:pPr>
      <w:r w:rsidRPr="00944F5E">
        <w:rPr>
          <w:b/>
          <w:snapToGrid w:val="0"/>
          <w:sz w:val="22"/>
          <w:szCs w:val="22"/>
          <w:u w:val="single"/>
        </w:rPr>
        <w:t>Efficacy of the active substance from its use in the biocidal product (*)</w:t>
      </w:r>
    </w:p>
    <w:p w14:paraId="0B6F7F0B" w14:textId="77777777" w:rsidR="00944F5E" w:rsidRDefault="00944F5E" w:rsidP="003012CB">
      <w:pPr>
        <w:rPr>
          <w:rFonts w:eastAsia="Calibri"/>
          <w:b/>
          <w:caps/>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92"/>
        <w:gridCol w:w="1188"/>
        <w:gridCol w:w="1503"/>
        <w:gridCol w:w="1389"/>
        <w:gridCol w:w="1466"/>
        <w:gridCol w:w="2642"/>
        <w:gridCol w:w="2389"/>
        <w:gridCol w:w="1672"/>
      </w:tblGrid>
      <w:tr w:rsidR="00944F5E" w:rsidRPr="00A23906" w14:paraId="1FAA7F2C" w14:textId="77777777" w:rsidTr="005D37EC">
        <w:trPr>
          <w:trHeight w:val="303"/>
        </w:trPr>
        <w:tc>
          <w:tcPr>
            <w:tcW w:w="5000" w:type="pct"/>
            <w:gridSpan w:val="8"/>
            <w:shd w:val="clear" w:color="auto" w:fill="FFFFCC"/>
            <w:vAlign w:val="center"/>
          </w:tcPr>
          <w:p w14:paraId="4F698F47" w14:textId="77777777" w:rsidR="00944F5E" w:rsidRPr="00EC1787" w:rsidRDefault="00944F5E" w:rsidP="005D37EC">
            <w:pPr>
              <w:jc w:val="center"/>
              <w:rPr>
                <w:b/>
                <w:color w:val="000000"/>
                <w:sz w:val="18"/>
                <w:szCs w:val="18"/>
                <w:lang w:eastAsia="de-DE"/>
              </w:rPr>
            </w:pPr>
            <w:r w:rsidRPr="00EC1787">
              <w:rPr>
                <w:b/>
                <w:color w:val="000000"/>
                <w:sz w:val="18"/>
                <w:szCs w:val="18"/>
                <w:lang w:eastAsia="de-DE"/>
              </w:rPr>
              <w:t>Experimental data on the efficacy of the biocidal product against target organism(s)</w:t>
            </w:r>
          </w:p>
        </w:tc>
      </w:tr>
      <w:tr w:rsidR="00944F5E" w:rsidRPr="00EC1787" w14:paraId="61533829" w14:textId="77777777" w:rsidTr="005D37EC">
        <w:tc>
          <w:tcPr>
            <w:tcW w:w="366" w:type="pct"/>
            <w:shd w:val="clear" w:color="auto" w:fill="FFFFFF"/>
          </w:tcPr>
          <w:p w14:paraId="6ADD6F6F" w14:textId="77777777" w:rsidR="00944F5E" w:rsidRPr="00EC1787" w:rsidRDefault="00944F5E" w:rsidP="005D37EC">
            <w:pPr>
              <w:jc w:val="center"/>
              <w:rPr>
                <w:b/>
                <w:color w:val="000000"/>
                <w:sz w:val="18"/>
                <w:szCs w:val="18"/>
                <w:lang w:eastAsia="de-DE"/>
              </w:rPr>
            </w:pPr>
            <w:r w:rsidRPr="00EC1787">
              <w:rPr>
                <w:b/>
                <w:color w:val="000000"/>
                <w:sz w:val="18"/>
                <w:szCs w:val="18"/>
                <w:lang w:eastAsia="de-DE"/>
              </w:rPr>
              <w:t>Function</w:t>
            </w:r>
          </w:p>
        </w:tc>
        <w:tc>
          <w:tcPr>
            <w:tcW w:w="476" w:type="pct"/>
            <w:shd w:val="clear" w:color="auto" w:fill="FFFFFF"/>
          </w:tcPr>
          <w:p w14:paraId="4C08D4DB" w14:textId="77777777" w:rsidR="00944F5E" w:rsidRPr="00EC1787" w:rsidRDefault="00944F5E" w:rsidP="005D37EC">
            <w:pPr>
              <w:rPr>
                <w:b/>
                <w:color w:val="000000"/>
                <w:sz w:val="18"/>
                <w:szCs w:val="18"/>
                <w:lang w:eastAsia="de-DE"/>
              </w:rPr>
            </w:pPr>
            <w:r w:rsidRPr="00EC1787">
              <w:rPr>
                <w:b/>
                <w:color w:val="000000"/>
                <w:sz w:val="18"/>
                <w:szCs w:val="18"/>
                <w:lang w:eastAsia="de-DE"/>
              </w:rPr>
              <w:t>Field of use envisaged</w:t>
            </w:r>
          </w:p>
        </w:tc>
        <w:tc>
          <w:tcPr>
            <w:tcW w:w="594" w:type="pct"/>
            <w:shd w:val="clear" w:color="auto" w:fill="FFFFFF"/>
          </w:tcPr>
          <w:p w14:paraId="09DAC62E" w14:textId="77777777" w:rsidR="00944F5E" w:rsidRPr="00EC1787" w:rsidRDefault="00944F5E" w:rsidP="005D37EC">
            <w:pPr>
              <w:rPr>
                <w:b/>
                <w:i/>
                <w:color w:val="000000"/>
                <w:sz w:val="18"/>
                <w:szCs w:val="18"/>
                <w:lang w:eastAsia="de-DE"/>
              </w:rPr>
            </w:pPr>
            <w:r w:rsidRPr="00EC1787">
              <w:rPr>
                <w:b/>
                <w:color w:val="000000"/>
                <w:sz w:val="18"/>
                <w:szCs w:val="18"/>
                <w:lang w:eastAsia="de-DE"/>
              </w:rPr>
              <w:t>Test substance</w:t>
            </w:r>
          </w:p>
        </w:tc>
        <w:tc>
          <w:tcPr>
            <w:tcW w:w="465" w:type="pct"/>
            <w:shd w:val="clear" w:color="auto" w:fill="FFFFFF"/>
          </w:tcPr>
          <w:p w14:paraId="28F1866A" w14:textId="77777777" w:rsidR="00944F5E" w:rsidRPr="00EC1787" w:rsidRDefault="00944F5E" w:rsidP="005D37EC">
            <w:pPr>
              <w:rPr>
                <w:b/>
                <w:i/>
                <w:color w:val="000000"/>
                <w:sz w:val="18"/>
                <w:szCs w:val="18"/>
                <w:lang w:eastAsia="de-DE"/>
              </w:rPr>
            </w:pPr>
            <w:r w:rsidRPr="00EC1787">
              <w:rPr>
                <w:b/>
                <w:color w:val="000000"/>
                <w:sz w:val="18"/>
                <w:szCs w:val="18"/>
                <w:lang w:eastAsia="de-DE"/>
              </w:rPr>
              <w:t>Test organism(s)</w:t>
            </w:r>
          </w:p>
        </w:tc>
        <w:tc>
          <w:tcPr>
            <w:tcW w:w="580" w:type="pct"/>
            <w:shd w:val="clear" w:color="auto" w:fill="FFFFFF"/>
          </w:tcPr>
          <w:p w14:paraId="54BE50B8" w14:textId="77777777" w:rsidR="00944F5E" w:rsidRPr="00EC1787" w:rsidRDefault="00944F5E" w:rsidP="005D37EC">
            <w:pPr>
              <w:rPr>
                <w:b/>
                <w:color w:val="000000"/>
                <w:sz w:val="18"/>
                <w:szCs w:val="18"/>
                <w:lang w:eastAsia="de-DE"/>
              </w:rPr>
            </w:pPr>
            <w:r w:rsidRPr="00EC1787">
              <w:rPr>
                <w:b/>
                <w:color w:val="000000"/>
                <w:sz w:val="18"/>
                <w:szCs w:val="18"/>
                <w:lang w:eastAsia="de-DE"/>
              </w:rPr>
              <w:t>Test method</w:t>
            </w:r>
          </w:p>
        </w:tc>
        <w:tc>
          <w:tcPr>
            <w:tcW w:w="1021" w:type="pct"/>
            <w:shd w:val="clear" w:color="auto" w:fill="FFFFFF"/>
          </w:tcPr>
          <w:p w14:paraId="242B963C" w14:textId="77777777" w:rsidR="00944F5E" w:rsidRPr="00EC1787" w:rsidRDefault="00944F5E" w:rsidP="005D37EC">
            <w:pPr>
              <w:rPr>
                <w:b/>
                <w:color w:val="000000"/>
                <w:sz w:val="18"/>
                <w:szCs w:val="18"/>
                <w:lang w:eastAsia="de-DE"/>
              </w:rPr>
            </w:pPr>
            <w:r w:rsidRPr="00EC1787">
              <w:rPr>
                <w:b/>
                <w:color w:val="000000"/>
                <w:sz w:val="18"/>
                <w:szCs w:val="18"/>
                <w:lang w:eastAsia="de-DE"/>
              </w:rPr>
              <w:t>Test system / concentrations applied / exposure time</w:t>
            </w:r>
          </w:p>
        </w:tc>
        <w:tc>
          <w:tcPr>
            <w:tcW w:w="926" w:type="pct"/>
            <w:shd w:val="clear" w:color="auto" w:fill="FFFFFF"/>
          </w:tcPr>
          <w:p w14:paraId="372F4B26" w14:textId="77777777" w:rsidR="00944F5E" w:rsidRPr="00EC1787" w:rsidRDefault="00944F5E" w:rsidP="005D37EC">
            <w:pPr>
              <w:rPr>
                <w:b/>
                <w:color w:val="000000"/>
                <w:sz w:val="18"/>
                <w:szCs w:val="18"/>
                <w:lang w:eastAsia="de-DE"/>
              </w:rPr>
            </w:pPr>
            <w:r w:rsidRPr="00EC1787">
              <w:rPr>
                <w:b/>
                <w:color w:val="000000"/>
                <w:sz w:val="18"/>
                <w:szCs w:val="18"/>
                <w:lang w:eastAsia="de-DE"/>
              </w:rPr>
              <w:t>Test results: effects</w:t>
            </w:r>
          </w:p>
        </w:tc>
        <w:tc>
          <w:tcPr>
            <w:tcW w:w="572" w:type="pct"/>
            <w:shd w:val="clear" w:color="auto" w:fill="FFFFFF"/>
          </w:tcPr>
          <w:p w14:paraId="2C62B1FE" w14:textId="77777777" w:rsidR="00944F5E" w:rsidRPr="00EC1787" w:rsidRDefault="00944F5E" w:rsidP="005D37EC">
            <w:pPr>
              <w:rPr>
                <w:b/>
                <w:color w:val="000000"/>
                <w:sz w:val="18"/>
                <w:szCs w:val="18"/>
                <w:lang w:eastAsia="de-DE"/>
              </w:rPr>
            </w:pPr>
            <w:r w:rsidRPr="00EC1787">
              <w:rPr>
                <w:b/>
                <w:color w:val="000000"/>
                <w:sz w:val="18"/>
                <w:szCs w:val="18"/>
                <w:lang w:eastAsia="de-DE"/>
              </w:rPr>
              <w:t>Reference</w:t>
            </w:r>
          </w:p>
        </w:tc>
      </w:tr>
      <w:tr w:rsidR="00944F5E" w:rsidRPr="00EC1787" w14:paraId="0FEF5343" w14:textId="77777777" w:rsidTr="005D37EC">
        <w:tc>
          <w:tcPr>
            <w:tcW w:w="366" w:type="pct"/>
          </w:tcPr>
          <w:p w14:paraId="509E6365"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76" w:type="pct"/>
          </w:tcPr>
          <w:p w14:paraId="6758061C"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36EF5A02"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94" w:type="pct"/>
          </w:tcPr>
          <w:p w14:paraId="175CBF8B" w14:textId="77777777" w:rsidR="00944F5E" w:rsidRDefault="00944F5E" w:rsidP="005D37EC">
            <w:pPr>
              <w:rPr>
                <w:color w:val="000000"/>
                <w:sz w:val="16"/>
                <w:szCs w:val="16"/>
                <w:lang w:eastAsia="de-DE"/>
              </w:rPr>
            </w:pPr>
            <w:r>
              <w:rPr>
                <w:color w:val="000000"/>
                <w:sz w:val="16"/>
                <w:szCs w:val="16"/>
                <w:lang w:eastAsia="de-DE"/>
              </w:rPr>
              <w:t>X6122B1</w:t>
            </w:r>
          </w:p>
          <w:p w14:paraId="5C2CEF8B" w14:textId="77777777" w:rsidR="00944F5E" w:rsidRPr="00EC1787" w:rsidRDefault="00944F5E" w:rsidP="005D37EC">
            <w:pPr>
              <w:rPr>
                <w:color w:val="000000"/>
                <w:sz w:val="16"/>
                <w:szCs w:val="16"/>
                <w:lang w:eastAsia="de-DE"/>
              </w:rPr>
            </w:pPr>
            <w:r>
              <w:rPr>
                <w:color w:val="000000"/>
                <w:sz w:val="16"/>
                <w:szCs w:val="16"/>
                <w:lang w:eastAsia="de-DE"/>
              </w:rPr>
              <w:t>batch Pap V 129.2</w:t>
            </w:r>
          </w:p>
        </w:tc>
        <w:tc>
          <w:tcPr>
            <w:tcW w:w="465" w:type="pct"/>
          </w:tcPr>
          <w:p w14:paraId="42EE7C3D"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C. puteana</w:t>
            </w:r>
          </w:p>
          <w:p w14:paraId="52211AB5"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G.trabeum</w:t>
            </w:r>
          </w:p>
          <w:p w14:paraId="5B0A76D5"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P.placenta</w:t>
            </w:r>
          </w:p>
          <w:p w14:paraId="3B7DA47E" w14:textId="77777777" w:rsidR="00944F5E" w:rsidRPr="00932144" w:rsidRDefault="00944F5E" w:rsidP="005D37EC">
            <w:pPr>
              <w:rPr>
                <w:color w:val="000000"/>
                <w:sz w:val="16"/>
                <w:szCs w:val="16"/>
                <w:lang w:val="it-IT" w:eastAsia="de-DE"/>
              </w:rPr>
            </w:pPr>
            <w:r w:rsidRPr="00932144">
              <w:rPr>
                <w:i/>
                <w:color w:val="000000"/>
                <w:sz w:val="16"/>
                <w:szCs w:val="16"/>
                <w:lang w:val="it-IT" w:eastAsia="de-DE"/>
              </w:rPr>
              <w:t>C.versicolor</w:t>
            </w:r>
          </w:p>
        </w:tc>
        <w:tc>
          <w:tcPr>
            <w:tcW w:w="580" w:type="pct"/>
          </w:tcPr>
          <w:p w14:paraId="5E1C4AD1" w14:textId="77777777" w:rsidR="00944F5E" w:rsidRPr="00EC1787" w:rsidRDefault="00944F5E" w:rsidP="005D37EC">
            <w:pPr>
              <w:rPr>
                <w:color w:val="000000"/>
                <w:sz w:val="16"/>
                <w:szCs w:val="16"/>
                <w:lang w:eastAsia="de-DE"/>
              </w:rPr>
            </w:pPr>
            <w:r w:rsidRPr="00EC1787">
              <w:rPr>
                <w:color w:val="000000"/>
                <w:sz w:val="16"/>
                <w:szCs w:val="16"/>
                <w:lang w:eastAsia="de-DE"/>
              </w:rPr>
              <w:t>EN 113 after EN 73 (evaporation)</w:t>
            </w:r>
          </w:p>
        </w:tc>
        <w:tc>
          <w:tcPr>
            <w:tcW w:w="1021" w:type="pct"/>
          </w:tcPr>
          <w:p w14:paraId="7E6F13FB" w14:textId="77777777" w:rsidR="00944F5E" w:rsidRPr="00EC1787" w:rsidRDefault="00944F5E" w:rsidP="005D37EC">
            <w:pPr>
              <w:rPr>
                <w:color w:val="000000"/>
                <w:sz w:val="16"/>
                <w:szCs w:val="16"/>
                <w:lang w:eastAsia="de-DE"/>
              </w:rPr>
            </w:pPr>
            <w:r w:rsidRPr="00EC1787">
              <w:rPr>
                <w:color w:val="000000"/>
                <w:sz w:val="16"/>
                <w:szCs w:val="16"/>
                <w:lang w:eastAsia="de-DE"/>
              </w:rPr>
              <w:t>Following the recommendation of the standard:</w:t>
            </w:r>
          </w:p>
          <w:p w14:paraId="065E7F25"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On scots pine blocks, the targeted concentrations to be tested were 0.0, </w:t>
            </w:r>
            <w:r>
              <w:rPr>
                <w:color w:val="000000"/>
                <w:sz w:val="16"/>
                <w:szCs w:val="16"/>
                <w:lang w:eastAsia="de-DE"/>
              </w:rPr>
              <w:t>4.3</w:t>
            </w:r>
            <w:r w:rsidRPr="00EC1787">
              <w:rPr>
                <w:color w:val="000000"/>
                <w:sz w:val="16"/>
                <w:szCs w:val="16"/>
                <w:lang w:eastAsia="de-DE"/>
              </w:rPr>
              <w:t xml:space="preserve">, </w:t>
            </w:r>
            <w:r>
              <w:rPr>
                <w:color w:val="000000"/>
                <w:sz w:val="16"/>
                <w:szCs w:val="16"/>
                <w:lang w:eastAsia="de-DE"/>
              </w:rPr>
              <w:t>8.55</w:t>
            </w:r>
            <w:r w:rsidRPr="00EC1787">
              <w:rPr>
                <w:color w:val="000000"/>
                <w:sz w:val="16"/>
                <w:szCs w:val="16"/>
                <w:lang w:eastAsia="de-DE"/>
              </w:rPr>
              <w:t xml:space="preserve">, </w:t>
            </w:r>
            <w:r>
              <w:rPr>
                <w:color w:val="000000"/>
                <w:sz w:val="16"/>
                <w:szCs w:val="16"/>
                <w:lang w:eastAsia="de-DE"/>
              </w:rPr>
              <w:t>12.82</w:t>
            </w:r>
            <w:r w:rsidRPr="00EC1787">
              <w:rPr>
                <w:color w:val="000000"/>
                <w:sz w:val="16"/>
                <w:szCs w:val="16"/>
                <w:lang w:eastAsia="de-DE"/>
              </w:rPr>
              <w:t xml:space="preserve">, </w:t>
            </w:r>
            <w:r>
              <w:rPr>
                <w:color w:val="000000"/>
                <w:sz w:val="16"/>
                <w:szCs w:val="16"/>
                <w:lang w:eastAsia="de-DE"/>
              </w:rPr>
              <w:t>17.09</w:t>
            </w:r>
            <w:r w:rsidRPr="00EC1787">
              <w:rPr>
                <w:color w:val="000000"/>
                <w:sz w:val="16"/>
                <w:szCs w:val="16"/>
                <w:lang w:eastAsia="de-DE"/>
              </w:rPr>
              <w:t xml:space="preserve"> and </w:t>
            </w:r>
            <w:r>
              <w:rPr>
                <w:color w:val="000000"/>
                <w:sz w:val="16"/>
                <w:szCs w:val="16"/>
                <w:lang w:eastAsia="de-DE"/>
              </w:rPr>
              <w:t>21.37</w:t>
            </w:r>
            <w:r w:rsidRPr="00EC1787">
              <w:rPr>
                <w:color w:val="000000"/>
                <w:sz w:val="16"/>
                <w:szCs w:val="16"/>
                <w:lang w:eastAsia="de-DE"/>
              </w:rPr>
              <w:t xml:space="preserve"> kg of product/m3 of wood. </w:t>
            </w:r>
          </w:p>
          <w:p w14:paraId="724064C3"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On beech blocks, the targeted concentrations to be tested were 0.0, </w:t>
            </w:r>
            <w:r>
              <w:rPr>
                <w:color w:val="000000"/>
                <w:sz w:val="16"/>
                <w:szCs w:val="16"/>
                <w:lang w:eastAsia="de-DE"/>
              </w:rPr>
              <w:t>5.63</w:t>
            </w:r>
            <w:r w:rsidRPr="00EC1787">
              <w:rPr>
                <w:color w:val="000000"/>
                <w:sz w:val="16"/>
                <w:szCs w:val="16"/>
                <w:lang w:eastAsia="de-DE"/>
              </w:rPr>
              <w:t xml:space="preserve">, </w:t>
            </w:r>
            <w:r>
              <w:rPr>
                <w:color w:val="000000"/>
                <w:sz w:val="16"/>
                <w:szCs w:val="16"/>
                <w:lang w:eastAsia="de-DE"/>
              </w:rPr>
              <w:t>11.27</w:t>
            </w:r>
            <w:r w:rsidRPr="00EC1787">
              <w:rPr>
                <w:color w:val="000000"/>
                <w:sz w:val="16"/>
                <w:szCs w:val="16"/>
                <w:lang w:eastAsia="de-DE"/>
              </w:rPr>
              <w:t xml:space="preserve">, </w:t>
            </w:r>
            <w:r>
              <w:rPr>
                <w:color w:val="000000"/>
                <w:sz w:val="16"/>
                <w:szCs w:val="16"/>
                <w:lang w:eastAsia="de-DE"/>
              </w:rPr>
              <w:t>16.90</w:t>
            </w:r>
            <w:r w:rsidRPr="00EC1787">
              <w:rPr>
                <w:color w:val="000000"/>
                <w:sz w:val="16"/>
                <w:szCs w:val="16"/>
                <w:lang w:eastAsia="de-DE"/>
              </w:rPr>
              <w:t xml:space="preserve">, </w:t>
            </w:r>
            <w:r>
              <w:rPr>
                <w:color w:val="000000"/>
                <w:sz w:val="16"/>
                <w:szCs w:val="16"/>
                <w:lang w:eastAsia="de-DE"/>
              </w:rPr>
              <w:t>22.53</w:t>
            </w:r>
            <w:r w:rsidRPr="00EC1787">
              <w:rPr>
                <w:color w:val="000000"/>
                <w:sz w:val="16"/>
                <w:szCs w:val="16"/>
                <w:lang w:eastAsia="de-DE"/>
              </w:rPr>
              <w:t xml:space="preserve"> and </w:t>
            </w:r>
            <w:r>
              <w:rPr>
                <w:color w:val="000000"/>
                <w:sz w:val="16"/>
                <w:szCs w:val="16"/>
                <w:lang w:eastAsia="de-DE"/>
              </w:rPr>
              <w:t>28.16</w:t>
            </w:r>
            <w:r w:rsidRPr="00EC1787">
              <w:rPr>
                <w:color w:val="000000"/>
                <w:sz w:val="16"/>
                <w:szCs w:val="16"/>
                <w:lang w:eastAsia="de-DE"/>
              </w:rPr>
              <w:t xml:space="preserve"> kg of product/m</w:t>
            </w:r>
            <w:r w:rsidRPr="00EC1787">
              <w:rPr>
                <w:color w:val="000000"/>
                <w:sz w:val="16"/>
                <w:szCs w:val="16"/>
                <w:vertAlign w:val="superscript"/>
                <w:lang w:eastAsia="de-DE"/>
              </w:rPr>
              <w:t>3</w:t>
            </w:r>
            <w:r w:rsidRPr="00EC1787">
              <w:rPr>
                <w:color w:val="000000"/>
                <w:sz w:val="16"/>
                <w:szCs w:val="16"/>
                <w:lang w:eastAsia="de-DE"/>
              </w:rPr>
              <w:t xml:space="preserve"> of wood.</w:t>
            </w:r>
          </w:p>
          <w:p w14:paraId="2B668121" w14:textId="77777777" w:rsidR="00944F5E" w:rsidRPr="00EC1787" w:rsidRDefault="00944F5E" w:rsidP="005D37EC">
            <w:pPr>
              <w:rPr>
                <w:color w:val="000000"/>
                <w:sz w:val="16"/>
                <w:szCs w:val="16"/>
                <w:lang w:eastAsia="de-DE"/>
              </w:rPr>
            </w:pPr>
            <w:r w:rsidRPr="00EC1787">
              <w:rPr>
                <w:color w:val="000000"/>
                <w:sz w:val="16"/>
                <w:szCs w:val="16"/>
                <w:lang w:eastAsia="de-DE"/>
              </w:rPr>
              <w:t>The product was applied by vacuum impregnation</w:t>
            </w:r>
          </w:p>
          <w:p w14:paraId="1674A53C"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- 6 blocks tested for each treatment and each fungal strain. </w:t>
            </w:r>
            <w:r w:rsidRPr="00EC1787">
              <w:rPr>
                <w:i/>
                <w:color w:val="000000"/>
                <w:sz w:val="16"/>
                <w:szCs w:val="16"/>
                <w:lang w:eastAsia="de-DE"/>
              </w:rPr>
              <w:t>C. puteana</w:t>
            </w:r>
            <w:r w:rsidRPr="00EC1787">
              <w:rPr>
                <w:color w:val="000000"/>
                <w:sz w:val="16"/>
                <w:szCs w:val="16"/>
                <w:lang w:eastAsia="de-DE"/>
              </w:rPr>
              <w:t xml:space="preserve">, </w:t>
            </w:r>
            <w:r w:rsidRPr="00EC1787">
              <w:rPr>
                <w:i/>
                <w:color w:val="000000"/>
                <w:sz w:val="16"/>
                <w:szCs w:val="16"/>
                <w:lang w:eastAsia="de-DE"/>
              </w:rPr>
              <w:t>G. trabeum</w:t>
            </w:r>
            <w:r w:rsidRPr="00EC1787">
              <w:rPr>
                <w:color w:val="000000"/>
                <w:sz w:val="16"/>
                <w:szCs w:val="16"/>
                <w:lang w:eastAsia="de-DE"/>
              </w:rPr>
              <w:t xml:space="preserve"> and </w:t>
            </w:r>
            <w:r w:rsidRPr="00EC1787">
              <w:rPr>
                <w:i/>
                <w:color w:val="000000"/>
                <w:sz w:val="16"/>
                <w:szCs w:val="16"/>
                <w:lang w:eastAsia="de-DE"/>
              </w:rPr>
              <w:t>P. placenta</w:t>
            </w:r>
            <w:r w:rsidRPr="00EC1787">
              <w:rPr>
                <w:color w:val="000000"/>
                <w:sz w:val="16"/>
                <w:szCs w:val="16"/>
                <w:lang w:eastAsia="de-DE"/>
              </w:rPr>
              <w:t xml:space="preserve"> are tested on pine. </w:t>
            </w:r>
            <w:r w:rsidRPr="00EC1787">
              <w:rPr>
                <w:i/>
                <w:color w:val="000000"/>
                <w:sz w:val="16"/>
                <w:szCs w:val="16"/>
                <w:lang w:eastAsia="de-DE"/>
              </w:rPr>
              <w:t>C. versicolor</w:t>
            </w:r>
            <w:r w:rsidRPr="00EC1787">
              <w:rPr>
                <w:color w:val="000000"/>
                <w:sz w:val="16"/>
                <w:szCs w:val="16"/>
                <w:lang w:eastAsia="de-DE"/>
              </w:rPr>
              <w:t xml:space="preserve"> is tested on beech replicates</w:t>
            </w:r>
          </w:p>
          <w:p w14:paraId="13F3A4E6"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 Number of replicates: 6 replicates for each treatment and each fungal strain. </w:t>
            </w:r>
          </w:p>
          <w:p w14:paraId="0509C494" w14:textId="77777777" w:rsidR="00944F5E" w:rsidRPr="00EC1787" w:rsidRDefault="00944F5E" w:rsidP="005D37EC">
            <w:pPr>
              <w:rPr>
                <w:color w:val="000000"/>
                <w:sz w:val="16"/>
                <w:szCs w:val="16"/>
                <w:lang w:eastAsia="de-DE"/>
              </w:rPr>
            </w:pPr>
            <w:r w:rsidRPr="00EC1787">
              <w:rPr>
                <w:color w:val="000000"/>
                <w:sz w:val="16"/>
                <w:szCs w:val="16"/>
                <w:lang w:eastAsia="de-DE"/>
              </w:rPr>
              <w:t>CONTROLS</w:t>
            </w:r>
          </w:p>
          <w:p w14:paraId="62C71E02" w14:textId="77777777" w:rsidR="00944F5E" w:rsidRPr="00EC1787" w:rsidRDefault="00944F5E" w:rsidP="005D37EC">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0BD70E11" w14:textId="77777777" w:rsidR="00944F5E" w:rsidRPr="00EC1787" w:rsidRDefault="00944F5E" w:rsidP="005D37EC">
            <w:pPr>
              <w:rPr>
                <w:color w:val="000000"/>
                <w:sz w:val="16"/>
                <w:szCs w:val="16"/>
                <w:lang w:eastAsia="de-DE"/>
              </w:rPr>
            </w:pPr>
          </w:p>
          <w:p w14:paraId="544365C3" w14:textId="77777777" w:rsidR="00944F5E" w:rsidRPr="00EC1787" w:rsidRDefault="00944F5E" w:rsidP="005D37EC">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38A3BD89"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method for recording / scoring effects is the individual </w:t>
            </w:r>
            <w:r w:rsidRPr="00EC1787">
              <w:rPr>
                <w:color w:val="000000"/>
                <w:sz w:val="16"/>
                <w:szCs w:val="16"/>
                <w:lang w:eastAsia="de-DE"/>
              </w:rPr>
              <w:lastRenderedPageBreak/>
              <w:t xml:space="preserve">weighting of the test blocks at the beginning and at the end of the exposure period. </w:t>
            </w:r>
          </w:p>
          <w:p w14:paraId="7CAB067C" w14:textId="77777777" w:rsidR="00944F5E" w:rsidRPr="00EC1787" w:rsidRDefault="00944F5E" w:rsidP="005D37EC">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926" w:type="pct"/>
          </w:tcPr>
          <w:p w14:paraId="4824BB75" w14:textId="77777777" w:rsidR="00944F5E" w:rsidRPr="00EC1787" w:rsidRDefault="00944F5E" w:rsidP="005D37EC">
            <w:pPr>
              <w:rPr>
                <w:color w:val="000000"/>
                <w:sz w:val="16"/>
                <w:szCs w:val="16"/>
                <w:lang w:eastAsia="de-DE"/>
              </w:rPr>
            </w:pPr>
            <w:r w:rsidRPr="00EC1787">
              <w:rPr>
                <w:color w:val="000000"/>
                <w:sz w:val="16"/>
                <w:szCs w:val="16"/>
                <w:lang w:eastAsia="de-DE"/>
              </w:rPr>
              <w:lastRenderedPageBreak/>
              <w:t>The study is validated as more than 20 % of mass loss is observed in the control (&gt;30 % in each control)</w:t>
            </w:r>
          </w:p>
          <w:p w14:paraId="44384D72" w14:textId="77777777" w:rsidR="00944F5E" w:rsidRPr="00EC1787" w:rsidRDefault="00944F5E" w:rsidP="005D37EC">
            <w:pPr>
              <w:rPr>
                <w:color w:val="000000"/>
                <w:sz w:val="16"/>
                <w:szCs w:val="16"/>
                <w:lang w:eastAsia="de-DE"/>
              </w:rPr>
            </w:pPr>
          </w:p>
          <w:p w14:paraId="3EFFF55E"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Mid toxic values of the test product </w:t>
            </w:r>
            <w:r>
              <w:rPr>
                <w:color w:val="000000"/>
                <w:sz w:val="16"/>
                <w:szCs w:val="16"/>
                <w:lang w:eastAsia="de-DE"/>
              </w:rPr>
              <w:t>X6122B1</w:t>
            </w:r>
            <w:r w:rsidRPr="00EC1787">
              <w:rPr>
                <w:color w:val="000000"/>
                <w:sz w:val="16"/>
                <w:szCs w:val="16"/>
                <w:lang w:eastAsia="de-DE"/>
              </w:rPr>
              <w:t>:</w:t>
            </w:r>
          </w:p>
          <w:p w14:paraId="7C74E0A6" w14:textId="77777777" w:rsidR="00944F5E" w:rsidRDefault="00944F5E" w:rsidP="005D37EC">
            <w:pPr>
              <w:rPr>
                <w:color w:val="000000"/>
                <w:sz w:val="16"/>
                <w:szCs w:val="16"/>
                <w:lang w:eastAsia="de-DE"/>
              </w:rPr>
            </w:pPr>
            <w:r>
              <w:rPr>
                <w:color w:val="000000"/>
                <w:sz w:val="16"/>
                <w:szCs w:val="16"/>
                <w:lang w:eastAsia="de-DE"/>
              </w:rPr>
              <w:t xml:space="preserve"> - </w:t>
            </w:r>
            <w:r w:rsidRPr="006E4A80">
              <w:rPr>
                <w:i/>
                <w:color w:val="000000"/>
                <w:sz w:val="16"/>
                <w:szCs w:val="16"/>
                <w:lang w:eastAsia="de-DE"/>
              </w:rPr>
              <w:t>C. puteana</w:t>
            </w:r>
            <w:r>
              <w:rPr>
                <w:color w:val="000000"/>
                <w:sz w:val="16"/>
                <w:szCs w:val="16"/>
                <w:lang w:eastAsia="de-DE"/>
              </w:rPr>
              <w:t>: 58.28 kg/m</w:t>
            </w:r>
            <w:r w:rsidRPr="00797A9F">
              <w:rPr>
                <w:color w:val="000000"/>
                <w:sz w:val="16"/>
                <w:szCs w:val="16"/>
                <w:vertAlign w:val="superscript"/>
                <w:lang w:eastAsia="de-DE"/>
              </w:rPr>
              <w:t>3</w:t>
            </w:r>
          </w:p>
          <w:p w14:paraId="2ADB47C7" w14:textId="77777777" w:rsidR="00944F5E" w:rsidRDefault="00944F5E" w:rsidP="005D37EC">
            <w:pPr>
              <w:rPr>
                <w:color w:val="000000"/>
                <w:sz w:val="16"/>
                <w:szCs w:val="16"/>
                <w:lang w:eastAsia="de-DE"/>
              </w:rPr>
            </w:pPr>
            <w:r>
              <w:rPr>
                <w:color w:val="000000"/>
                <w:sz w:val="16"/>
                <w:szCs w:val="16"/>
                <w:lang w:eastAsia="de-DE"/>
              </w:rPr>
              <w:t xml:space="preserve"> - </w:t>
            </w:r>
            <w:r w:rsidRPr="006E4A80">
              <w:rPr>
                <w:i/>
                <w:color w:val="000000"/>
                <w:sz w:val="16"/>
                <w:szCs w:val="16"/>
                <w:lang w:eastAsia="de-DE"/>
              </w:rPr>
              <w:t>G. trabeum</w:t>
            </w:r>
            <w:r>
              <w:rPr>
                <w:color w:val="000000"/>
                <w:sz w:val="16"/>
                <w:szCs w:val="16"/>
                <w:lang w:eastAsia="de-DE"/>
              </w:rPr>
              <w:t xml:space="preserve"> 19.58-39.07 : 29.33 kg/m</w:t>
            </w:r>
            <w:r w:rsidRPr="00797A9F">
              <w:rPr>
                <w:color w:val="000000"/>
                <w:sz w:val="16"/>
                <w:szCs w:val="16"/>
                <w:vertAlign w:val="superscript"/>
                <w:lang w:eastAsia="de-DE"/>
              </w:rPr>
              <w:t>3</w:t>
            </w:r>
          </w:p>
          <w:p w14:paraId="395D605B" w14:textId="77777777" w:rsidR="00944F5E" w:rsidRDefault="00944F5E" w:rsidP="005D37EC">
            <w:pPr>
              <w:rPr>
                <w:color w:val="000000"/>
                <w:sz w:val="16"/>
                <w:szCs w:val="16"/>
                <w:lang w:eastAsia="de-DE"/>
              </w:rPr>
            </w:pPr>
            <w:r>
              <w:rPr>
                <w:color w:val="000000"/>
                <w:sz w:val="16"/>
                <w:szCs w:val="16"/>
                <w:lang w:eastAsia="de-DE"/>
              </w:rPr>
              <w:t xml:space="preserve"> - </w:t>
            </w:r>
            <w:r w:rsidRPr="006E4A80">
              <w:rPr>
                <w:i/>
                <w:color w:val="000000"/>
                <w:sz w:val="16"/>
                <w:szCs w:val="16"/>
                <w:lang w:eastAsia="de-DE"/>
              </w:rPr>
              <w:t>C. versicolor</w:t>
            </w:r>
            <w:r>
              <w:rPr>
                <w:color w:val="000000"/>
                <w:sz w:val="16"/>
                <w:szCs w:val="16"/>
                <w:lang w:eastAsia="de-DE"/>
              </w:rPr>
              <w:t>: 79.5 – 98.59: 89.05 kg/m</w:t>
            </w:r>
            <w:r w:rsidRPr="00797A9F">
              <w:rPr>
                <w:color w:val="000000"/>
                <w:sz w:val="16"/>
                <w:szCs w:val="16"/>
                <w:vertAlign w:val="superscript"/>
                <w:lang w:eastAsia="de-DE"/>
              </w:rPr>
              <w:t>3</w:t>
            </w:r>
          </w:p>
          <w:p w14:paraId="4E464C57" w14:textId="77777777" w:rsidR="00944F5E" w:rsidRDefault="00944F5E" w:rsidP="005D37EC">
            <w:pPr>
              <w:rPr>
                <w:color w:val="000000"/>
                <w:sz w:val="16"/>
                <w:szCs w:val="16"/>
                <w:lang w:eastAsia="de-DE"/>
              </w:rPr>
            </w:pPr>
          </w:p>
          <w:p w14:paraId="79EB71CE" w14:textId="77777777" w:rsidR="00944F5E" w:rsidRDefault="00944F5E" w:rsidP="005D37EC">
            <w:pPr>
              <w:rPr>
                <w:color w:val="000000"/>
                <w:sz w:val="16"/>
                <w:szCs w:val="16"/>
                <w:lang w:eastAsia="de-DE"/>
              </w:rPr>
            </w:pPr>
            <w:r>
              <w:rPr>
                <w:color w:val="000000"/>
                <w:sz w:val="16"/>
                <w:szCs w:val="16"/>
                <w:lang w:eastAsia="de-DE"/>
              </w:rPr>
              <w:t>For P. placenta the efficacy is not demonstrated at the highest concentration tested 21.37% which mean that the brv is higher than 97.24 kg product/m</w:t>
            </w:r>
            <w:r w:rsidRPr="00797A9F">
              <w:rPr>
                <w:color w:val="000000"/>
                <w:sz w:val="16"/>
                <w:szCs w:val="16"/>
                <w:vertAlign w:val="superscript"/>
                <w:lang w:eastAsia="de-DE"/>
              </w:rPr>
              <w:t>3</w:t>
            </w:r>
            <w:r>
              <w:rPr>
                <w:color w:val="000000"/>
                <w:sz w:val="16"/>
                <w:szCs w:val="16"/>
                <w:lang w:eastAsia="de-DE"/>
              </w:rPr>
              <w:t xml:space="preserve"> of wood</w:t>
            </w:r>
          </w:p>
          <w:p w14:paraId="5879E19F" w14:textId="77777777" w:rsidR="00944F5E" w:rsidRDefault="00944F5E" w:rsidP="005D37EC">
            <w:pPr>
              <w:rPr>
                <w:b/>
                <w:color w:val="000000"/>
                <w:sz w:val="16"/>
                <w:szCs w:val="16"/>
                <w:lang w:eastAsia="de-DE"/>
              </w:rPr>
            </w:pPr>
          </w:p>
          <w:p w14:paraId="56D17F48" w14:textId="77777777" w:rsidR="00944F5E" w:rsidRPr="00EC1787" w:rsidRDefault="00944F5E" w:rsidP="005D37EC">
            <w:pPr>
              <w:rPr>
                <w:b/>
                <w:color w:val="000000"/>
                <w:sz w:val="16"/>
                <w:szCs w:val="16"/>
                <w:lang w:eastAsia="de-DE"/>
              </w:rPr>
            </w:pPr>
            <w:r w:rsidRPr="00EC1787">
              <w:rPr>
                <w:b/>
                <w:color w:val="000000"/>
                <w:sz w:val="16"/>
                <w:szCs w:val="16"/>
                <w:lang w:eastAsia="de-DE"/>
              </w:rPr>
              <w:t xml:space="preserve">Thus, the biological reference value of the test product </w:t>
            </w:r>
            <w:r>
              <w:rPr>
                <w:b/>
                <w:color w:val="000000"/>
                <w:sz w:val="16"/>
                <w:szCs w:val="16"/>
                <w:lang w:eastAsia="de-DE"/>
              </w:rPr>
              <w:t>X6122B1</w:t>
            </w:r>
            <w:r w:rsidRPr="00EC1787">
              <w:rPr>
                <w:b/>
                <w:color w:val="000000"/>
                <w:sz w:val="16"/>
                <w:szCs w:val="16"/>
                <w:lang w:eastAsia="de-DE"/>
              </w:rPr>
              <w:t xml:space="preserve"> after evaporative ageing procedure, </w:t>
            </w:r>
            <w:r>
              <w:rPr>
                <w:b/>
                <w:color w:val="000000"/>
                <w:sz w:val="16"/>
                <w:szCs w:val="16"/>
                <w:lang w:eastAsia="de-DE"/>
              </w:rPr>
              <w:t>cannot be determined.</w:t>
            </w:r>
          </w:p>
          <w:p w14:paraId="3E0CC3EC" w14:textId="77777777" w:rsidR="00944F5E" w:rsidRPr="00EC1787" w:rsidRDefault="00944F5E" w:rsidP="005D37EC">
            <w:pPr>
              <w:rPr>
                <w:color w:val="000000"/>
                <w:sz w:val="16"/>
                <w:szCs w:val="16"/>
                <w:lang w:eastAsia="de-DE"/>
              </w:rPr>
            </w:pPr>
          </w:p>
        </w:tc>
        <w:tc>
          <w:tcPr>
            <w:tcW w:w="572" w:type="pct"/>
          </w:tcPr>
          <w:p w14:paraId="0AC51B9D" w14:textId="77777777" w:rsidR="00944F5E" w:rsidRPr="008551C7" w:rsidRDefault="00944F5E" w:rsidP="005D37EC">
            <w:pPr>
              <w:rPr>
                <w:color w:val="000000"/>
                <w:sz w:val="16"/>
                <w:szCs w:val="16"/>
                <w:lang w:val="de-DE" w:eastAsia="de-DE"/>
              </w:rPr>
            </w:pPr>
            <w:r w:rsidRPr="008551C7">
              <w:rPr>
                <w:color w:val="000000"/>
                <w:sz w:val="16"/>
                <w:szCs w:val="16"/>
                <w:lang w:val="de-DE" w:eastAsia="de-DE"/>
              </w:rPr>
              <w:t>Schumacher P. and Fennert E.M., 2017</w:t>
            </w:r>
          </w:p>
          <w:p w14:paraId="46C11892" w14:textId="77777777" w:rsidR="00944F5E" w:rsidRPr="007A140B" w:rsidRDefault="00944F5E" w:rsidP="005D37EC">
            <w:pPr>
              <w:rPr>
                <w:color w:val="000000"/>
                <w:sz w:val="16"/>
                <w:szCs w:val="16"/>
                <w:lang w:val="en-US" w:eastAsia="de-DE"/>
              </w:rPr>
            </w:pPr>
            <w:r w:rsidRPr="007A140B">
              <w:rPr>
                <w:color w:val="000000"/>
                <w:sz w:val="16"/>
                <w:szCs w:val="16"/>
                <w:lang w:eastAsia="de-DE"/>
              </w:rPr>
              <w:t>S6.7_01</w:t>
            </w:r>
          </w:p>
          <w:p w14:paraId="78D87E44" w14:textId="77777777" w:rsidR="00944F5E" w:rsidRPr="00EC1787" w:rsidRDefault="00944F5E" w:rsidP="005D37EC">
            <w:pPr>
              <w:rPr>
                <w:color w:val="000000"/>
                <w:sz w:val="16"/>
                <w:szCs w:val="16"/>
                <w:lang w:eastAsia="de-DE"/>
              </w:rPr>
            </w:pPr>
          </w:p>
          <w:p w14:paraId="2470DFC1" w14:textId="77777777" w:rsidR="00944F5E" w:rsidRPr="00EC1787" w:rsidRDefault="00944F5E" w:rsidP="005D37EC">
            <w:pPr>
              <w:rPr>
                <w:color w:val="000000"/>
                <w:sz w:val="16"/>
                <w:szCs w:val="16"/>
                <w:lang w:eastAsia="de-DE"/>
              </w:rPr>
            </w:pPr>
            <w:r>
              <w:rPr>
                <w:color w:val="000000"/>
                <w:sz w:val="16"/>
                <w:szCs w:val="16"/>
                <w:lang w:eastAsia="de-DE"/>
              </w:rPr>
              <w:t>32/16/9803/03</w:t>
            </w:r>
          </w:p>
          <w:p w14:paraId="1944BC11" w14:textId="77777777" w:rsidR="00944F5E" w:rsidRPr="00EC1787" w:rsidRDefault="00944F5E" w:rsidP="005D37EC">
            <w:pPr>
              <w:rPr>
                <w:color w:val="000000"/>
                <w:sz w:val="16"/>
                <w:szCs w:val="16"/>
                <w:lang w:eastAsia="de-DE"/>
              </w:rPr>
            </w:pPr>
          </w:p>
          <w:p w14:paraId="7CEFA08E"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IC </w:t>
            </w:r>
            <w:r>
              <w:rPr>
                <w:color w:val="000000"/>
                <w:sz w:val="16"/>
                <w:szCs w:val="16"/>
                <w:lang w:eastAsia="de-DE"/>
              </w:rPr>
              <w:t>2</w:t>
            </w:r>
          </w:p>
        </w:tc>
      </w:tr>
      <w:tr w:rsidR="00944F5E" w:rsidRPr="00EC1787" w14:paraId="55DE61C8" w14:textId="77777777" w:rsidTr="005D37EC">
        <w:tc>
          <w:tcPr>
            <w:tcW w:w="366" w:type="pct"/>
          </w:tcPr>
          <w:p w14:paraId="6B59E590"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76" w:type="pct"/>
          </w:tcPr>
          <w:p w14:paraId="72C8B64D"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1906A4E1"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94" w:type="pct"/>
          </w:tcPr>
          <w:p w14:paraId="2EF01DC9" w14:textId="77777777" w:rsidR="00944F5E" w:rsidRDefault="00944F5E" w:rsidP="005D37EC">
            <w:pPr>
              <w:rPr>
                <w:color w:val="000000"/>
                <w:sz w:val="16"/>
                <w:szCs w:val="16"/>
                <w:lang w:eastAsia="de-DE"/>
              </w:rPr>
            </w:pPr>
            <w:r>
              <w:rPr>
                <w:color w:val="000000"/>
                <w:sz w:val="16"/>
                <w:szCs w:val="16"/>
                <w:lang w:eastAsia="de-DE"/>
              </w:rPr>
              <w:t>X6122B1</w:t>
            </w:r>
          </w:p>
          <w:p w14:paraId="4CB37DE3" w14:textId="77777777" w:rsidR="00944F5E" w:rsidRPr="00EC1787" w:rsidRDefault="00944F5E" w:rsidP="005D37EC">
            <w:pPr>
              <w:rPr>
                <w:color w:val="000000"/>
                <w:sz w:val="16"/>
                <w:szCs w:val="16"/>
                <w:lang w:eastAsia="de-DE"/>
              </w:rPr>
            </w:pPr>
            <w:r>
              <w:rPr>
                <w:color w:val="000000"/>
                <w:sz w:val="16"/>
                <w:szCs w:val="16"/>
                <w:lang w:eastAsia="de-DE"/>
              </w:rPr>
              <w:t>batch Pap V 129.2</w:t>
            </w:r>
          </w:p>
        </w:tc>
        <w:tc>
          <w:tcPr>
            <w:tcW w:w="465" w:type="pct"/>
          </w:tcPr>
          <w:p w14:paraId="1CF14D73"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C. puteana</w:t>
            </w:r>
          </w:p>
          <w:p w14:paraId="70350267"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G.trabeum</w:t>
            </w:r>
          </w:p>
          <w:p w14:paraId="3CAA0A27"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P.placenta</w:t>
            </w:r>
          </w:p>
          <w:p w14:paraId="625440D3" w14:textId="77777777" w:rsidR="00944F5E" w:rsidRPr="00932144" w:rsidRDefault="00944F5E" w:rsidP="005D37EC">
            <w:pPr>
              <w:rPr>
                <w:color w:val="000000"/>
                <w:sz w:val="16"/>
                <w:szCs w:val="16"/>
                <w:lang w:val="it-IT" w:eastAsia="de-DE"/>
              </w:rPr>
            </w:pPr>
            <w:r w:rsidRPr="00932144">
              <w:rPr>
                <w:i/>
                <w:color w:val="000000"/>
                <w:sz w:val="16"/>
                <w:szCs w:val="16"/>
                <w:lang w:val="it-IT" w:eastAsia="de-DE"/>
              </w:rPr>
              <w:t>C.versicolor</w:t>
            </w:r>
          </w:p>
        </w:tc>
        <w:tc>
          <w:tcPr>
            <w:tcW w:w="580" w:type="pct"/>
          </w:tcPr>
          <w:p w14:paraId="5547C381" w14:textId="77777777" w:rsidR="00944F5E" w:rsidRPr="00EC1787" w:rsidRDefault="00944F5E" w:rsidP="005D37EC">
            <w:pPr>
              <w:rPr>
                <w:color w:val="000000"/>
                <w:sz w:val="16"/>
                <w:szCs w:val="16"/>
                <w:lang w:eastAsia="de-DE"/>
              </w:rPr>
            </w:pPr>
            <w:r w:rsidRPr="00EC1787">
              <w:rPr>
                <w:color w:val="000000"/>
                <w:sz w:val="16"/>
                <w:szCs w:val="16"/>
                <w:lang w:eastAsia="de-DE"/>
              </w:rPr>
              <w:t>EN 113 After EN 84 (leaching)</w:t>
            </w:r>
          </w:p>
        </w:tc>
        <w:tc>
          <w:tcPr>
            <w:tcW w:w="1021" w:type="pct"/>
          </w:tcPr>
          <w:p w14:paraId="3D24186F" w14:textId="77777777" w:rsidR="00944F5E" w:rsidRPr="00EC1787" w:rsidRDefault="00944F5E" w:rsidP="005D37EC">
            <w:pPr>
              <w:rPr>
                <w:color w:val="000000"/>
                <w:sz w:val="16"/>
                <w:szCs w:val="16"/>
                <w:lang w:eastAsia="de-DE"/>
              </w:rPr>
            </w:pPr>
            <w:r w:rsidRPr="00EC1787">
              <w:rPr>
                <w:color w:val="000000"/>
                <w:sz w:val="16"/>
                <w:szCs w:val="16"/>
                <w:lang w:eastAsia="de-DE"/>
              </w:rPr>
              <w:t>Following the recommendation of the standard:</w:t>
            </w:r>
          </w:p>
          <w:p w14:paraId="2CCA3BBC"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On scots pine blocks, the targeted concentrations to be tested were 0.0, </w:t>
            </w:r>
            <w:r>
              <w:rPr>
                <w:color w:val="000000"/>
                <w:sz w:val="16"/>
                <w:szCs w:val="16"/>
                <w:lang w:eastAsia="de-DE"/>
              </w:rPr>
              <w:t>4.3</w:t>
            </w:r>
            <w:r w:rsidRPr="00EC1787">
              <w:rPr>
                <w:color w:val="000000"/>
                <w:sz w:val="16"/>
                <w:szCs w:val="16"/>
                <w:lang w:eastAsia="de-DE"/>
              </w:rPr>
              <w:t xml:space="preserve">, </w:t>
            </w:r>
            <w:r>
              <w:rPr>
                <w:color w:val="000000"/>
                <w:sz w:val="16"/>
                <w:szCs w:val="16"/>
                <w:lang w:eastAsia="de-DE"/>
              </w:rPr>
              <w:t>8.55</w:t>
            </w:r>
            <w:r w:rsidRPr="00EC1787">
              <w:rPr>
                <w:color w:val="000000"/>
                <w:sz w:val="16"/>
                <w:szCs w:val="16"/>
                <w:lang w:eastAsia="de-DE"/>
              </w:rPr>
              <w:t xml:space="preserve">, </w:t>
            </w:r>
            <w:r>
              <w:rPr>
                <w:color w:val="000000"/>
                <w:sz w:val="16"/>
                <w:szCs w:val="16"/>
                <w:lang w:eastAsia="de-DE"/>
              </w:rPr>
              <w:t>12.82</w:t>
            </w:r>
            <w:r w:rsidRPr="00EC1787">
              <w:rPr>
                <w:color w:val="000000"/>
                <w:sz w:val="16"/>
                <w:szCs w:val="16"/>
                <w:lang w:eastAsia="de-DE"/>
              </w:rPr>
              <w:t xml:space="preserve">, </w:t>
            </w:r>
            <w:r>
              <w:rPr>
                <w:color w:val="000000"/>
                <w:sz w:val="16"/>
                <w:szCs w:val="16"/>
                <w:lang w:eastAsia="de-DE"/>
              </w:rPr>
              <w:t>17.09</w:t>
            </w:r>
            <w:r w:rsidRPr="00EC1787">
              <w:rPr>
                <w:color w:val="000000"/>
                <w:sz w:val="16"/>
                <w:szCs w:val="16"/>
                <w:lang w:eastAsia="de-DE"/>
              </w:rPr>
              <w:t xml:space="preserve"> and </w:t>
            </w:r>
            <w:r>
              <w:rPr>
                <w:color w:val="000000"/>
                <w:sz w:val="16"/>
                <w:szCs w:val="16"/>
                <w:lang w:eastAsia="de-DE"/>
              </w:rPr>
              <w:t>21.37</w:t>
            </w:r>
            <w:r w:rsidRPr="00EC1787">
              <w:rPr>
                <w:color w:val="000000"/>
                <w:sz w:val="16"/>
                <w:szCs w:val="16"/>
                <w:lang w:eastAsia="de-DE"/>
              </w:rPr>
              <w:t xml:space="preserve">kg of product/m3 of wood. </w:t>
            </w:r>
          </w:p>
          <w:p w14:paraId="656253DE"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On beech blocks, the targeted concentrations to be tested were 0.0, </w:t>
            </w:r>
            <w:r>
              <w:rPr>
                <w:color w:val="000000"/>
                <w:sz w:val="16"/>
                <w:szCs w:val="16"/>
                <w:lang w:eastAsia="de-DE"/>
              </w:rPr>
              <w:t>5.63</w:t>
            </w:r>
            <w:r w:rsidRPr="00EC1787">
              <w:rPr>
                <w:color w:val="000000"/>
                <w:sz w:val="16"/>
                <w:szCs w:val="16"/>
                <w:lang w:eastAsia="de-DE"/>
              </w:rPr>
              <w:t xml:space="preserve">, </w:t>
            </w:r>
            <w:r>
              <w:rPr>
                <w:color w:val="000000"/>
                <w:sz w:val="16"/>
                <w:szCs w:val="16"/>
                <w:lang w:eastAsia="de-DE"/>
              </w:rPr>
              <w:t>11.27</w:t>
            </w:r>
            <w:r w:rsidRPr="00EC1787">
              <w:rPr>
                <w:color w:val="000000"/>
                <w:sz w:val="16"/>
                <w:szCs w:val="16"/>
                <w:lang w:eastAsia="de-DE"/>
              </w:rPr>
              <w:t xml:space="preserve">, </w:t>
            </w:r>
            <w:r>
              <w:rPr>
                <w:color w:val="000000"/>
                <w:sz w:val="16"/>
                <w:szCs w:val="16"/>
                <w:lang w:eastAsia="de-DE"/>
              </w:rPr>
              <w:t>16.90</w:t>
            </w:r>
            <w:r w:rsidRPr="00EC1787">
              <w:rPr>
                <w:color w:val="000000"/>
                <w:sz w:val="16"/>
                <w:szCs w:val="16"/>
                <w:lang w:eastAsia="de-DE"/>
              </w:rPr>
              <w:t xml:space="preserve">, </w:t>
            </w:r>
            <w:r>
              <w:rPr>
                <w:color w:val="000000"/>
                <w:sz w:val="16"/>
                <w:szCs w:val="16"/>
                <w:lang w:eastAsia="de-DE"/>
              </w:rPr>
              <w:t>22.53</w:t>
            </w:r>
            <w:r w:rsidRPr="00EC1787">
              <w:rPr>
                <w:color w:val="000000"/>
                <w:sz w:val="16"/>
                <w:szCs w:val="16"/>
                <w:lang w:eastAsia="de-DE"/>
              </w:rPr>
              <w:t xml:space="preserve"> and </w:t>
            </w:r>
            <w:r>
              <w:rPr>
                <w:color w:val="000000"/>
                <w:sz w:val="16"/>
                <w:szCs w:val="16"/>
                <w:lang w:eastAsia="de-DE"/>
              </w:rPr>
              <w:t>28.16</w:t>
            </w:r>
            <w:r w:rsidRPr="00EC1787">
              <w:rPr>
                <w:color w:val="000000"/>
                <w:sz w:val="16"/>
                <w:szCs w:val="16"/>
                <w:lang w:eastAsia="de-DE"/>
              </w:rPr>
              <w:t xml:space="preserve"> kg of product/m3 of wood.</w:t>
            </w:r>
          </w:p>
          <w:p w14:paraId="08384AD0"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- 6 blocks tested for each treatment and each fungal strain. </w:t>
            </w:r>
            <w:r w:rsidRPr="00EC1787">
              <w:rPr>
                <w:i/>
                <w:color w:val="000000"/>
                <w:sz w:val="16"/>
                <w:szCs w:val="16"/>
                <w:lang w:eastAsia="de-DE"/>
              </w:rPr>
              <w:t>C. puteana, G. trabeum</w:t>
            </w:r>
            <w:r w:rsidRPr="00EC1787">
              <w:rPr>
                <w:color w:val="000000"/>
                <w:sz w:val="16"/>
                <w:szCs w:val="16"/>
                <w:lang w:eastAsia="de-DE"/>
              </w:rPr>
              <w:t xml:space="preserve"> and </w:t>
            </w:r>
            <w:r w:rsidRPr="00EC1787">
              <w:rPr>
                <w:i/>
                <w:color w:val="000000"/>
                <w:sz w:val="16"/>
                <w:szCs w:val="16"/>
                <w:lang w:eastAsia="de-DE"/>
              </w:rPr>
              <w:t>P. placenta</w:t>
            </w:r>
            <w:r w:rsidRPr="00EC1787">
              <w:rPr>
                <w:color w:val="000000"/>
                <w:sz w:val="16"/>
                <w:szCs w:val="16"/>
                <w:lang w:eastAsia="de-DE"/>
              </w:rPr>
              <w:t xml:space="preserve"> are tested on pine. C. versicolor is tested on beech replicates</w:t>
            </w:r>
          </w:p>
          <w:p w14:paraId="729AB4E6" w14:textId="77777777" w:rsidR="00944F5E" w:rsidRPr="00EC1787" w:rsidRDefault="00944F5E" w:rsidP="005D37EC">
            <w:pPr>
              <w:rPr>
                <w:color w:val="000000"/>
                <w:sz w:val="16"/>
                <w:szCs w:val="16"/>
                <w:lang w:eastAsia="de-DE"/>
              </w:rPr>
            </w:pPr>
            <w:r w:rsidRPr="00EC1787">
              <w:rPr>
                <w:color w:val="000000"/>
                <w:sz w:val="16"/>
                <w:szCs w:val="16"/>
                <w:lang w:eastAsia="de-DE"/>
              </w:rPr>
              <w:t>The product was applied by vacuum impregnation</w:t>
            </w:r>
          </w:p>
          <w:p w14:paraId="341AC342"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 Number of replicates: 6 replicates for each treatment and each fungal strain. </w:t>
            </w:r>
          </w:p>
          <w:p w14:paraId="01C17D71" w14:textId="77777777" w:rsidR="00944F5E" w:rsidRPr="00EC1787" w:rsidRDefault="00944F5E" w:rsidP="005D37EC">
            <w:pPr>
              <w:rPr>
                <w:color w:val="000000"/>
                <w:sz w:val="16"/>
                <w:szCs w:val="16"/>
                <w:lang w:eastAsia="de-DE"/>
              </w:rPr>
            </w:pPr>
            <w:r w:rsidRPr="00EC1787">
              <w:rPr>
                <w:color w:val="000000"/>
                <w:sz w:val="16"/>
                <w:szCs w:val="16"/>
                <w:lang w:eastAsia="de-DE"/>
              </w:rPr>
              <w:t>CONTROLS</w:t>
            </w:r>
          </w:p>
          <w:p w14:paraId="76F60FF2" w14:textId="77777777" w:rsidR="00944F5E" w:rsidRPr="00EC1787" w:rsidRDefault="00944F5E" w:rsidP="005D37EC">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58CEA416" w14:textId="77777777" w:rsidR="00944F5E" w:rsidRPr="00EC1787" w:rsidRDefault="00944F5E" w:rsidP="005D37EC">
            <w:pPr>
              <w:rPr>
                <w:color w:val="000000"/>
                <w:sz w:val="16"/>
                <w:szCs w:val="16"/>
                <w:lang w:eastAsia="de-DE"/>
              </w:rPr>
            </w:pPr>
          </w:p>
          <w:p w14:paraId="0A79C36D" w14:textId="77777777" w:rsidR="00944F5E" w:rsidRPr="00EC1787" w:rsidRDefault="00944F5E" w:rsidP="005D37EC">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7C4AE17E"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beginning and at the end of the exposure period. </w:t>
            </w:r>
          </w:p>
          <w:p w14:paraId="5FB9A81E" w14:textId="77777777" w:rsidR="00944F5E" w:rsidRPr="00EC1787" w:rsidRDefault="00944F5E" w:rsidP="005D37EC">
            <w:pPr>
              <w:rPr>
                <w:color w:val="000000"/>
                <w:sz w:val="16"/>
                <w:szCs w:val="16"/>
                <w:lang w:eastAsia="de-DE"/>
              </w:rPr>
            </w:pPr>
            <w:r w:rsidRPr="00EC1787">
              <w:rPr>
                <w:color w:val="000000"/>
                <w:sz w:val="16"/>
                <w:szCs w:val="16"/>
                <w:lang w:eastAsia="de-DE"/>
              </w:rPr>
              <w:lastRenderedPageBreak/>
              <w:t>- Intervals of examination: one time, after 4 months exposure of the blocks to the fungal strains.</w:t>
            </w:r>
          </w:p>
        </w:tc>
        <w:tc>
          <w:tcPr>
            <w:tcW w:w="926" w:type="pct"/>
          </w:tcPr>
          <w:p w14:paraId="70735EC9" w14:textId="77777777" w:rsidR="00944F5E" w:rsidRPr="00EC1787" w:rsidRDefault="00944F5E" w:rsidP="005D37EC">
            <w:pPr>
              <w:rPr>
                <w:color w:val="000000"/>
                <w:sz w:val="16"/>
                <w:szCs w:val="16"/>
                <w:lang w:eastAsia="de-DE"/>
              </w:rPr>
            </w:pPr>
            <w:r w:rsidRPr="00EC1787">
              <w:rPr>
                <w:color w:val="000000"/>
                <w:sz w:val="16"/>
                <w:szCs w:val="16"/>
                <w:lang w:eastAsia="de-DE"/>
              </w:rPr>
              <w:lastRenderedPageBreak/>
              <w:t>The study is validated as more than 20 % of mass loss is observed in the control (&gt;</w:t>
            </w:r>
            <w:r>
              <w:rPr>
                <w:color w:val="000000"/>
                <w:sz w:val="16"/>
                <w:szCs w:val="16"/>
                <w:lang w:eastAsia="de-DE"/>
              </w:rPr>
              <w:t>2</w:t>
            </w:r>
            <w:r w:rsidRPr="00EC1787">
              <w:rPr>
                <w:color w:val="000000"/>
                <w:sz w:val="16"/>
                <w:szCs w:val="16"/>
                <w:lang w:eastAsia="de-DE"/>
              </w:rPr>
              <w:t>0 % in each control)</w:t>
            </w:r>
          </w:p>
          <w:p w14:paraId="150847B3" w14:textId="77777777" w:rsidR="00944F5E" w:rsidRPr="00EC1787" w:rsidRDefault="00944F5E" w:rsidP="005D37EC">
            <w:pPr>
              <w:rPr>
                <w:color w:val="000000"/>
                <w:sz w:val="16"/>
                <w:szCs w:val="16"/>
                <w:lang w:eastAsia="de-DE"/>
              </w:rPr>
            </w:pPr>
          </w:p>
          <w:p w14:paraId="79B3491C" w14:textId="77777777" w:rsidR="00944F5E" w:rsidRPr="00EC1787" w:rsidRDefault="00944F5E" w:rsidP="005D37EC">
            <w:pPr>
              <w:rPr>
                <w:b/>
                <w:color w:val="000000"/>
                <w:sz w:val="16"/>
                <w:szCs w:val="16"/>
                <w:lang w:eastAsia="de-DE"/>
              </w:rPr>
            </w:pPr>
            <w:r w:rsidRPr="00EC1787">
              <w:rPr>
                <w:b/>
                <w:color w:val="000000"/>
                <w:sz w:val="16"/>
                <w:szCs w:val="16"/>
                <w:lang w:eastAsia="de-DE"/>
              </w:rPr>
              <w:t xml:space="preserve">The study demonstrates the efficacy of the </w:t>
            </w:r>
            <w:r>
              <w:rPr>
                <w:b/>
                <w:color w:val="000000"/>
                <w:sz w:val="16"/>
                <w:szCs w:val="16"/>
                <w:lang w:eastAsia="de-DE"/>
              </w:rPr>
              <w:t>product X6122B1</w:t>
            </w:r>
            <w:r w:rsidRPr="00EC1787">
              <w:rPr>
                <w:b/>
                <w:color w:val="000000"/>
                <w:sz w:val="16"/>
                <w:szCs w:val="16"/>
                <w:lang w:eastAsia="de-DE"/>
              </w:rPr>
              <w:t xml:space="preserve"> is</w:t>
            </w:r>
            <w:r>
              <w:rPr>
                <w:b/>
                <w:color w:val="000000"/>
                <w:sz w:val="16"/>
                <w:szCs w:val="16"/>
                <w:lang w:eastAsia="de-DE"/>
              </w:rPr>
              <w:t xml:space="preserve"> demonstrated at the application rate of 69</w:t>
            </w:r>
            <w:r w:rsidRPr="00EC1787">
              <w:rPr>
                <w:b/>
                <w:color w:val="000000"/>
                <w:sz w:val="16"/>
                <w:szCs w:val="16"/>
                <w:lang w:eastAsia="de-DE"/>
              </w:rPr>
              <w:t xml:space="preserve"> kg/m</w:t>
            </w:r>
            <w:r w:rsidRPr="00EC1787">
              <w:rPr>
                <w:b/>
                <w:color w:val="000000"/>
                <w:sz w:val="16"/>
                <w:szCs w:val="16"/>
                <w:vertAlign w:val="superscript"/>
                <w:lang w:eastAsia="de-DE"/>
              </w:rPr>
              <w:t>3</w:t>
            </w:r>
            <w:r w:rsidRPr="00EC1787">
              <w:rPr>
                <w:b/>
                <w:color w:val="000000"/>
                <w:sz w:val="16"/>
                <w:szCs w:val="16"/>
                <w:lang w:eastAsia="de-DE"/>
              </w:rPr>
              <w:t xml:space="preserve"> on </w:t>
            </w:r>
            <w:r w:rsidRPr="00EC1787">
              <w:rPr>
                <w:b/>
                <w:i/>
                <w:color w:val="000000"/>
                <w:sz w:val="16"/>
                <w:szCs w:val="16"/>
                <w:lang w:eastAsia="de-DE"/>
              </w:rPr>
              <w:t>C. puteana, G. trabeum, P. placenta</w:t>
            </w:r>
            <w:r w:rsidRPr="00EC1787">
              <w:rPr>
                <w:b/>
                <w:color w:val="000000"/>
                <w:sz w:val="16"/>
                <w:szCs w:val="16"/>
                <w:lang w:eastAsia="de-DE"/>
              </w:rPr>
              <w:t xml:space="preserve"> and </w:t>
            </w:r>
            <w:r>
              <w:rPr>
                <w:b/>
                <w:color w:val="000000"/>
                <w:sz w:val="16"/>
                <w:szCs w:val="16"/>
                <w:lang w:eastAsia="de-DE"/>
              </w:rPr>
              <w:t>90.08</w:t>
            </w:r>
            <w:r w:rsidRPr="00EC1787">
              <w:rPr>
                <w:b/>
                <w:color w:val="000000"/>
                <w:sz w:val="16"/>
                <w:szCs w:val="16"/>
                <w:lang w:eastAsia="de-DE"/>
              </w:rPr>
              <w:t xml:space="preserve"> kg/m</w:t>
            </w:r>
            <w:r w:rsidRPr="00EC1787">
              <w:rPr>
                <w:b/>
                <w:color w:val="000000"/>
                <w:sz w:val="16"/>
                <w:szCs w:val="16"/>
                <w:vertAlign w:val="superscript"/>
                <w:lang w:eastAsia="de-DE"/>
              </w:rPr>
              <w:t>3</w:t>
            </w:r>
            <w:r w:rsidRPr="00EC1787">
              <w:rPr>
                <w:b/>
                <w:color w:val="000000"/>
                <w:sz w:val="16"/>
                <w:szCs w:val="16"/>
                <w:lang w:eastAsia="de-DE"/>
              </w:rPr>
              <w:t xml:space="preserve"> for </w:t>
            </w:r>
            <w:r w:rsidRPr="00EC1787">
              <w:rPr>
                <w:b/>
                <w:i/>
                <w:color w:val="000000"/>
                <w:sz w:val="16"/>
                <w:szCs w:val="16"/>
                <w:lang w:eastAsia="de-DE"/>
              </w:rPr>
              <w:t>C. versicolor</w:t>
            </w:r>
            <w:r w:rsidRPr="00EC1787">
              <w:rPr>
                <w:b/>
                <w:color w:val="000000"/>
                <w:sz w:val="16"/>
                <w:szCs w:val="16"/>
                <w:lang w:eastAsia="de-DE"/>
              </w:rPr>
              <w:t xml:space="preserve">. It corresponds to an application rate of </w:t>
            </w:r>
            <w:r>
              <w:rPr>
                <w:b/>
                <w:color w:val="000000"/>
                <w:sz w:val="16"/>
                <w:szCs w:val="16"/>
                <w:lang w:eastAsia="de-DE"/>
              </w:rPr>
              <w:t>180.16</w:t>
            </w:r>
            <w:r w:rsidRPr="00EC1787">
              <w:rPr>
                <w:b/>
                <w:color w:val="000000"/>
                <w:sz w:val="16"/>
                <w:szCs w:val="16"/>
                <w:lang w:eastAsia="de-DE"/>
              </w:rPr>
              <w:t xml:space="preserve"> g of </w:t>
            </w:r>
            <w:r>
              <w:rPr>
                <w:b/>
                <w:color w:val="000000"/>
                <w:sz w:val="16"/>
                <w:szCs w:val="16"/>
                <w:lang w:eastAsia="de-DE"/>
              </w:rPr>
              <w:t>X6122B1</w:t>
            </w:r>
            <w:r w:rsidRPr="00EC1787">
              <w:rPr>
                <w:b/>
                <w:color w:val="000000"/>
                <w:sz w:val="16"/>
                <w:szCs w:val="16"/>
                <w:lang w:eastAsia="de-DE"/>
              </w:rPr>
              <w:t xml:space="preserve"> / m² of wood.</w:t>
            </w:r>
          </w:p>
        </w:tc>
        <w:tc>
          <w:tcPr>
            <w:tcW w:w="572" w:type="pct"/>
          </w:tcPr>
          <w:p w14:paraId="6E08A204" w14:textId="77777777" w:rsidR="00944F5E" w:rsidRPr="008551C7" w:rsidRDefault="00944F5E" w:rsidP="005D37EC">
            <w:pPr>
              <w:rPr>
                <w:color w:val="000000"/>
                <w:sz w:val="16"/>
                <w:szCs w:val="16"/>
                <w:lang w:val="de-DE" w:eastAsia="de-DE"/>
              </w:rPr>
            </w:pPr>
            <w:r w:rsidRPr="008551C7">
              <w:rPr>
                <w:color w:val="000000"/>
                <w:sz w:val="16"/>
                <w:szCs w:val="16"/>
                <w:lang w:val="de-DE" w:eastAsia="de-DE"/>
              </w:rPr>
              <w:t>Schumacher P. and Fennert E.M., 2017</w:t>
            </w:r>
          </w:p>
          <w:p w14:paraId="5C3C748E" w14:textId="77777777" w:rsidR="00944F5E" w:rsidRPr="007A140B" w:rsidRDefault="00944F5E" w:rsidP="005D37EC">
            <w:pPr>
              <w:rPr>
                <w:color w:val="000000"/>
                <w:sz w:val="16"/>
                <w:szCs w:val="16"/>
                <w:lang w:val="en-US" w:eastAsia="de-DE"/>
              </w:rPr>
            </w:pPr>
            <w:r w:rsidRPr="007A140B">
              <w:rPr>
                <w:color w:val="000000"/>
                <w:sz w:val="16"/>
                <w:szCs w:val="16"/>
                <w:lang w:eastAsia="de-DE"/>
              </w:rPr>
              <w:t>S6.7_0</w:t>
            </w:r>
            <w:r>
              <w:rPr>
                <w:color w:val="000000"/>
                <w:sz w:val="16"/>
                <w:szCs w:val="16"/>
                <w:lang w:eastAsia="de-DE"/>
              </w:rPr>
              <w:t>2</w:t>
            </w:r>
          </w:p>
          <w:p w14:paraId="1650443B" w14:textId="77777777" w:rsidR="00944F5E" w:rsidRPr="00EC1787" w:rsidRDefault="00944F5E" w:rsidP="005D37EC">
            <w:pPr>
              <w:rPr>
                <w:color w:val="000000"/>
                <w:sz w:val="16"/>
                <w:szCs w:val="16"/>
                <w:lang w:eastAsia="de-DE"/>
              </w:rPr>
            </w:pPr>
          </w:p>
          <w:p w14:paraId="20563A57" w14:textId="77777777" w:rsidR="00944F5E" w:rsidRPr="00EC1787" w:rsidRDefault="00944F5E" w:rsidP="005D37EC">
            <w:pPr>
              <w:rPr>
                <w:color w:val="000000"/>
                <w:sz w:val="16"/>
                <w:szCs w:val="16"/>
                <w:lang w:eastAsia="de-DE"/>
              </w:rPr>
            </w:pPr>
            <w:r>
              <w:rPr>
                <w:color w:val="000000"/>
                <w:sz w:val="16"/>
                <w:szCs w:val="16"/>
                <w:lang w:eastAsia="de-DE"/>
              </w:rPr>
              <w:t>32/16/9803/02</w:t>
            </w:r>
          </w:p>
          <w:p w14:paraId="2708EA35" w14:textId="77777777" w:rsidR="00944F5E" w:rsidRPr="00EC1787" w:rsidRDefault="00944F5E" w:rsidP="005D37EC">
            <w:pPr>
              <w:rPr>
                <w:color w:val="000000"/>
                <w:sz w:val="16"/>
                <w:szCs w:val="16"/>
                <w:lang w:eastAsia="de-DE"/>
              </w:rPr>
            </w:pPr>
          </w:p>
          <w:p w14:paraId="1C0DBB7D" w14:textId="77777777" w:rsidR="00944F5E" w:rsidRPr="00EC1787" w:rsidRDefault="00944F5E" w:rsidP="005D37EC">
            <w:pPr>
              <w:rPr>
                <w:color w:val="000000"/>
                <w:sz w:val="16"/>
                <w:szCs w:val="16"/>
                <w:lang w:val="fr-FR" w:eastAsia="de-DE"/>
              </w:rPr>
            </w:pPr>
            <w:r w:rsidRPr="00EC1787">
              <w:rPr>
                <w:color w:val="000000"/>
                <w:sz w:val="16"/>
                <w:szCs w:val="16"/>
                <w:lang w:eastAsia="de-DE"/>
              </w:rPr>
              <w:t xml:space="preserve">IC </w:t>
            </w:r>
            <w:r>
              <w:rPr>
                <w:color w:val="000000"/>
                <w:sz w:val="16"/>
                <w:szCs w:val="16"/>
                <w:lang w:eastAsia="de-DE"/>
              </w:rPr>
              <w:t>2</w:t>
            </w:r>
          </w:p>
        </w:tc>
      </w:tr>
      <w:tr w:rsidR="00944F5E" w:rsidRPr="00EC1787" w14:paraId="766C141D" w14:textId="77777777" w:rsidTr="005D37EC">
        <w:tc>
          <w:tcPr>
            <w:tcW w:w="366" w:type="pct"/>
          </w:tcPr>
          <w:p w14:paraId="4F5A1869"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76" w:type="pct"/>
          </w:tcPr>
          <w:p w14:paraId="4E675D6B"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6E77B393"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94" w:type="pct"/>
          </w:tcPr>
          <w:p w14:paraId="01310937" w14:textId="77777777" w:rsidR="00944F5E" w:rsidRDefault="00944F5E" w:rsidP="005D37EC">
            <w:pPr>
              <w:rPr>
                <w:color w:val="000000"/>
                <w:sz w:val="16"/>
                <w:szCs w:val="16"/>
                <w:lang w:eastAsia="de-DE"/>
              </w:rPr>
            </w:pPr>
            <w:r>
              <w:rPr>
                <w:color w:val="000000"/>
                <w:sz w:val="16"/>
                <w:szCs w:val="16"/>
                <w:lang w:eastAsia="de-DE"/>
              </w:rPr>
              <w:t>X6122B1</w:t>
            </w:r>
          </w:p>
          <w:p w14:paraId="513B2B5E" w14:textId="77777777" w:rsidR="00944F5E" w:rsidRPr="00EC1787" w:rsidRDefault="00944F5E" w:rsidP="005D37EC">
            <w:pPr>
              <w:rPr>
                <w:color w:val="000000"/>
                <w:sz w:val="16"/>
                <w:szCs w:val="16"/>
                <w:lang w:eastAsia="de-DE"/>
              </w:rPr>
            </w:pPr>
            <w:r>
              <w:rPr>
                <w:color w:val="000000"/>
                <w:sz w:val="16"/>
                <w:szCs w:val="16"/>
                <w:lang w:eastAsia="de-DE"/>
              </w:rPr>
              <w:t>batch 1405900037</w:t>
            </w:r>
          </w:p>
        </w:tc>
        <w:tc>
          <w:tcPr>
            <w:tcW w:w="465" w:type="pct"/>
          </w:tcPr>
          <w:p w14:paraId="65FB8B51"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 xml:space="preserve">Subterranean termite: </w:t>
            </w:r>
            <w:r w:rsidRPr="00EC1787">
              <w:rPr>
                <w:i/>
                <w:color w:val="000000"/>
                <w:sz w:val="16"/>
                <w:szCs w:val="16"/>
                <w:lang w:val="fr-FR" w:eastAsia="de-DE"/>
              </w:rPr>
              <w:t xml:space="preserve">Reticulitermes </w:t>
            </w:r>
            <w:r>
              <w:rPr>
                <w:i/>
                <w:color w:val="000000"/>
                <w:sz w:val="16"/>
                <w:szCs w:val="16"/>
                <w:lang w:val="fr-FR" w:eastAsia="de-DE"/>
              </w:rPr>
              <w:t>flavipes</w:t>
            </w:r>
          </w:p>
        </w:tc>
        <w:tc>
          <w:tcPr>
            <w:tcW w:w="580" w:type="pct"/>
          </w:tcPr>
          <w:p w14:paraId="7E1C8361"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EN 118 + EN 73 (evaporation)</w:t>
            </w:r>
          </w:p>
        </w:tc>
        <w:tc>
          <w:tcPr>
            <w:tcW w:w="1021" w:type="pct"/>
          </w:tcPr>
          <w:p w14:paraId="26E92217"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brushing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58CD9DF4"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245.9</w:t>
            </w:r>
            <w:r w:rsidRPr="00EC1787">
              <w:rPr>
                <w:color w:val="000000"/>
                <w:sz w:val="16"/>
                <w:szCs w:val="16"/>
                <w:lang w:eastAsia="de-DE"/>
              </w:rPr>
              <w:t xml:space="preserve"> mL/m² and 2</w:t>
            </w:r>
            <w:r>
              <w:rPr>
                <w:color w:val="000000"/>
                <w:sz w:val="16"/>
                <w:szCs w:val="16"/>
                <w:lang w:eastAsia="de-DE"/>
              </w:rPr>
              <w:t>48</w:t>
            </w:r>
            <w:r w:rsidRPr="00EC1787">
              <w:rPr>
                <w:color w:val="000000"/>
                <w:sz w:val="16"/>
                <w:szCs w:val="16"/>
                <w:lang w:eastAsia="de-DE"/>
              </w:rPr>
              <w:t xml:space="preserve">.6 mL/m² (mean </w:t>
            </w:r>
            <w:r>
              <w:rPr>
                <w:color w:val="000000"/>
                <w:sz w:val="16"/>
                <w:szCs w:val="16"/>
                <w:lang w:eastAsia="de-DE"/>
              </w:rPr>
              <w:t>247.2</w:t>
            </w:r>
            <w:r w:rsidRPr="00EC1787">
              <w:rPr>
                <w:color w:val="000000"/>
                <w:sz w:val="16"/>
                <w:szCs w:val="16"/>
                <w:lang w:eastAsia="de-DE"/>
              </w:rPr>
              <w:t xml:space="preserve"> mL/m²).</w:t>
            </w:r>
          </w:p>
          <w:p w14:paraId="63316C0F" w14:textId="77777777" w:rsidR="00944F5E" w:rsidRPr="00EC1787" w:rsidRDefault="00944F5E" w:rsidP="005D37EC">
            <w:pPr>
              <w:rPr>
                <w:color w:val="000000"/>
                <w:sz w:val="16"/>
                <w:szCs w:val="16"/>
                <w:lang w:eastAsia="de-DE"/>
              </w:rPr>
            </w:pPr>
            <w:r w:rsidRPr="00EC1787">
              <w:rPr>
                <w:color w:val="000000"/>
                <w:sz w:val="16"/>
                <w:szCs w:val="16"/>
                <w:lang w:eastAsia="de-DE"/>
              </w:rPr>
              <w:t>250 workers, 4 nymphs and 1 soldier termite were used for each test block.</w:t>
            </w:r>
          </w:p>
          <w:p w14:paraId="7A0B7428" w14:textId="77777777" w:rsidR="00944F5E" w:rsidRPr="00EC1787" w:rsidRDefault="00944F5E" w:rsidP="005D37EC">
            <w:pPr>
              <w:rPr>
                <w:color w:val="000000"/>
                <w:sz w:val="16"/>
                <w:szCs w:val="16"/>
                <w:lang w:eastAsia="de-DE"/>
              </w:rPr>
            </w:pPr>
            <w:r w:rsidRPr="00EC1787">
              <w:rPr>
                <w:color w:val="000000"/>
                <w:sz w:val="16"/>
                <w:szCs w:val="16"/>
                <w:lang w:eastAsia="de-DE"/>
              </w:rPr>
              <w:t>5 replicates for the treated block and 5 replicates for the control are performed.</w:t>
            </w:r>
          </w:p>
          <w:p w14:paraId="24741446" w14:textId="77777777" w:rsidR="00944F5E" w:rsidRPr="00EC1787" w:rsidRDefault="00944F5E" w:rsidP="005D37EC">
            <w:pPr>
              <w:rPr>
                <w:color w:val="000000"/>
                <w:sz w:val="16"/>
                <w:szCs w:val="16"/>
                <w:lang w:eastAsia="de-DE"/>
              </w:rPr>
            </w:pPr>
            <w:r w:rsidRPr="00EC1787">
              <w:rPr>
                <w:color w:val="000000"/>
                <w:sz w:val="16"/>
                <w:szCs w:val="16"/>
                <w:lang w:eastAsia="de-DE"/>
              </w:rPr>
              <w:t>The investigated effects are the mortality of the insects.</w:t>
            </w:r>
          </w:p>
          <w:p w14:paraId="143A9115"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25DC8954" w14:textId="77777777" w:rsidR="00944F5E" w:rsidRPr="00EC1787" w:rsidRDefault="00944F5E" w:rsidP="005D37EC">
            <w:pPr>
              <w:rPr>
                <w:color w:val="000000"/>
                <w:sz w:val="16"/>
                <w:szCs w:val="16"/>
                <w:lang w:eastAsia="de-DE"/>
              </w:rPr>
            </w:pPr>
            <w:r w:rsidRPr="00EC1787">
              <w:rPr>
                <w:color w:val="000000"/>
                <w:sz w:val="16"/>
                <w:szCs w:val="16"/>
                <w:lang w:eastAsia="de-DE"/>
              </w:rPr>
              <w:t>- Intervals of examination: one time, after 8 weeks exposure of the blocks to the insects.</w:t>
            </w:r>
          </w:p>
        </w:tc>
        <w:tc>
          <w:tcPr>
            <w:tcW w:w="926" w:type="pct"/>
          </w:tcPr>
          <w:p w14:paraId="188D25EC"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study is validated as the survival rate in the control is higher than 50 % (</w:t>
            </w:r>
            <w:r>
              <w:rPr>
                <w:color w:val="000000"/>
                <w:sz w:val="16"/>
                <w:szCs w:val="16"/>
                <w:lang w:val="en-US" w:eastAsia="de-DE"/>
              </w:rPr>
              <w:t>65.3</w:t>
            </w:r>
            <w:r w:rsidRPr="00EC1787">
              <w:rPr>
                <w:color w:val="000000"/>
                <w:sz w:val="16"/>
                <w:szCs w:val="16"/>
                <w:lang w:val="en-US" w:eastAsia="de-DE"/>
              </w:rPr>
              <w:t xml:space="preserve"> %) and the control test blocks are ranked 4.</w:t>
            </w:r>
          </w:p>
          <w:p w14:paraId="79F4905E" w14:textId="77777777" w:rsidR="00944F5E" w:rsidRPr="00EC1787" w:rsidRDefault="00944F5E" w:rsidP="005D37EC">
            <w:pPr>
              <w:rPr>
                <w:b/>
                <w:color w:val="000000"/>
                <w:sz w:val="16"/>
                <w:szCs w:val="16"/>
                <w:lang w:val="en-US" w:eastAsia="de-DE"/>
              </w:rPr>
            </w:pPr>
            <w:r w:rsidRPr="00EC1787">
              <w:rPr>
                <w:b/>
                <w:color w:val="000000"/>
                <w:sz w:val="16"/>
                <w:szCs w:val="16"/>
                <w:lang w:val="en-US" w:eastAsia="de-DE"/>
              </w:rPr>
              <w:t>All the treated blocks are ranked 1</w:t>
            </w:r>
            <w:r>
              <w:rPr>
                <w:b/>
                <w:color w:val="000000"/>
                <w:sz w:val="16"/>
                <w:szCs w:val="16"/>
                <w:lang w:val="en-US" w:eastAsia="de-DE"/>
              </w:rPr>
              <w:t xml:space="preserve"> (except 1)</w:t>
            </w:r>
            <w:r w:rsidRPr="00EC1787">
              <w:rPr>
                <w:b/>
                <w:color w:val="000000"/>
                <w:sz w:val="16"/>
                <w:szCs w:val="16"/>
                <w:lang w:val="en-US" w:eastAsia="de-DE"/>
              </w:rPr>
              <w:t xml:space="preserve"> at the end of the study which demonstrates the efficacy of the product </w:t>
            </w:r>
            <w:r>
              <w:rPr>
                <w:b/>
                <w:color w:val="000000"/>
                <w:sz w:val="16"/>
                <w:szCs w:val="16"/>
                <w:lang w:val="en-US" w:eastAsia="de-DE"/>
              </w:rPr>
              <w:t>X6122B1</w:t>
            </w:r>
            <w:r w:rsidRPr="00EC1787">
              <w:rPr>
                <w:b/>
                <w:color w:val="000000"/>
                <w:sz w:val="16"/>
                <w:szCs w:val="16"/>
                <w:lang w:val="en-US" w:eastAsia="de-DE"/>
              </w:rPr>
              <w:t xml:space="preserve"> at the application rate of 2</w:t>
            </w:r>
            <w:r>
              <w:rPr>
                <w:b/>
                <w:color w:val="000000"/>
                <w:sz w:val="16"/>
                <w:szCs w:val="16"/>
                <w:lang w:val="en-US" w:eastAsia="de-DE"/>
              </w:rPr>
              <w:t xml:space="preserve">47 mL (equivalent to 199.45 g) </w:t>
            </w:r>
            <w:r w:rsidRPr="00EC1787">
              <w:rPr>
                <w:b/>
                <w:color w:val="000000"/>
                <w:sz w:val="16"/>
                <w:szCs w:val="16"/>
                <w:lang w:val="en-US" w:eastAsia="de-DE"/>
              </w:rPr>
              <w:t>of product / m² of wood.</w:t>
            </w:r>
          </w:p>
        </w:tc>
        <w:tc>
          <w:tcPr>
            <w:tcW w:w="572" w:type="pct"/>
          </w:tcPr>
          <w:p w14:paraId="36536AD9" w14:textId="77777777" w:rsidR="00944F5E" w:rsidRPr="00A64501" w:rsidRDefault="00944F5E" w:rsidP="005D37EC">
            <w:pPr>
              <w:rPr>
                <w:color w:val="000000"/>
                <w:sz w:val="16"/>
                <w:szCs w:val="16"/>
                <w:lang w:val="en-US" w:eastAsia="de-DE"/>
              </w:rPr>
            </w:pPr>
            <w:r w:rsidRPr="00A64501">
              <w:rPr>
                <w:color w:val="000000"/>
                <w:sz w:val="16"/>
                <w:szCs w:val="16"/>
                <w:lang w:val="en-US" w:eastAsia="de-DE"/>
              </w:rPr>
              <w:t>Ansard D. and</w:t>
            </w:r>
          </w:p>
          <w:p w14:paraId="3936D4AF" w14:textId="77777777" w:rsidR="00944F5E" w:rsidRPr="00A64501" w:rsidRDefault="00944F5E" w:rsidP="005D37EC">
            <w:pPr>
              <w:rPr>
                <w:color w:val="000000"/>
                <w:sz w:val="16"/>
                <w:szCs w:val="16"/>
                <w:lang w:val="en-US" w:eastAsia="de-DE"/>
              </w:rPr>
            </w:pPr>
            <w:r w:rsidRPr="00A64501">
              <w:rPr>
                <w:color w:val="000000"/>
                <w:sz w:val="16"/>
                <w:szCs w:val="16"/>
                <w:lang w:val="en-US" w:eastAsia="de-DE"/>
              </w:rPr>
              <w:t>Paulmier I.,</w:t>
            </w:r>
          </w:p>
          <w:p w14:paraId="078A0CDA" w14:textId="77777777" w:rsidR="00944F5E" w:rsidRPr="00A64501" w:rsidRDefault="00944F5E" w:rsidP="005D37EC">
            <w:pPr>
              <w:rPr>
                <w:color w:val="000000"/>
                <w:sz w:val="16"/>
                <w:szCs w:val="16"/>
                <w:lang w:val="en-US" w:eastAsia="de-DE"/>
              </w:rPr>
            </w:pPr>
            <w:r w:rsidRPr="00A64501">
              <w:rPr>
                <w:color w:val="000000"/>
                <w:sz w:val="16"/>
                <w:szCs w:val="16"/>
                <w:lang w:val="en-US" w:eastAsia="de-DE"/>
              </w:rPr>
              <w:t>2015</w:t>
            </w:r>
          </w:p>
          <w:p w14:paraId="561BC16A" w14:textId="77777777" w:rsidR="00944F5E" w:rsidRPr="00EC1787" w:rsidRDefault="00944F5E" w:rsidP="005D37EC">
            <w:pPr>
              <w:rPr>
                <w:color w:val="000000"/>
                <w:sz w:val="16"/>
                <w:szCs w:val="16"/>
                <w:lang w:val="fr-FR" w:eastAsia="de-DE"/>
              </w:rPr>
            </w:pPr>
            <w:r w:rsidRPr="00A64501">
              <w:rPr>
                <w:color w:val="000000"/>
                <w:sz w:val="16"/>
                <w:szCs w:val="16"/>
                <w:lang w:val="en-US" w:eastAsia="de-DE"/>
              </w:rPr>
              <w:t>S6.7_03</w:t>
            </w:r>
          </w:p>
          <w:p w14:paraId="01D7DE85" w14:textId="77777777" w:rsidR="00944F5E" w:rsidRPr="00A64501" w:rsidRDefault="00944F5E" w:rsidP="005D37EC">
            <w:pPr>
              <w:rPr>
                <w:color w:val="000000"/>
                <w:sz w:val="16"/>
                <w:szCs w:val="16"/>
                <w:lang w:val="en-US" w:eastAsia="de-DE"/>
              </w:rPr>
            </w:pPr>
          </w:p>
          <w:p w14:paraId="51805414" w14:textId="77777777" w:rsidR="00944F5E" w:rsidRPr="00EC1787" w:rsidRDefault="00944F5E" w:rsidP="005D37EC">
            <w:pPr>
              <w:rPr>
                <w:color w:val="000000"/>
                <w:sz w:val="16"/>
                <w:szCs w:val="16"/>
                <w:lang w:val="fr-FR" w:eastAsia="de-DE"/>
              </w:rPr>
            </w:pPr>
            <w:r>
              <w:rPr>
                <w:color w:val="000000"/>
                <w:sz w:val="16"/>
                <w:szCs w:val="16"/>
                <w:lang w:val="fr-FR" w:eastAsia="de-DE"/>
              </w:rPr>
              <w:t>401/14/136F/e-e</w:t>
            </w:r>
          </w:p>
          <w:p w14:paraId="43267336" w14:textId="77777777" w:rsidR="00944F5E" w:rsidRPr="00EC1787" w:rsidRDefault="00944F5E" w:rsidP="005D37EC">
            <w:pPr>
              <w:rPr>
                <w:color w:val="000000"/>
                <w:sz w:val="16"/>
                <w:szCs w:val="16"/>
                <w:lang w:val="fr-FR" w:eastAsia="de-DE"/>
              </w:rPr>
            </w:pPr>
          </w:p>
          <w:p w14:paraId="351EB755"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 xml:space="preserve">IC </w:t>
            </w:r>
            <w:r>
              <w:rPr>
                <w:color w:val="000000"/>
                <w:sz w:val="16"/>
                <w:szCs w:val="16"/>
                <w:lang w:val="fr-FR" w:eastAsia="de-DE"/>
              </w:rPr>
              <w:t>1</w:t>
            </w:r>
          </w:p>
        </w:tc>
      </w:tr>
      <w:tr w:rsidR="00944F5E" w:rsidRPr="00EC1787" w14:paraId="67486CA1" w14:textId="77777777" w:rsidTr="005D37EC">
        <w:tc>
          <w:tcPr>
            <w:tcW w:w="366" w:type="pct"/>
          </w:tcPr>
          <w:p w14:paraId="2B4C8D61"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76" w:type="pct"/>
          </w:tcPr>
          <w:p w14:paraId="32D88AFF"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38591A6D"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94" w:type="pct"/>
          </w:tcPr>
          <w:p w14:paraId="4D578D81" w14:textId="77777777" w:rsidR="00944F5E" w:rsidRDefault="00944F5E" w:rsidP="005D37EC">
            <w:pPr>
              <w:rPr>
                <w:color w:val="000000"/>
                <w:sz w:val="16"/>
                <w:szCs w:val="16"/>
                <w:lang w:eastAsia="de-DE"/>
              </w:rPr>
            </w:pPr>
            <w:r>
              <w:rPr>
                <w:color w:val="000000"/>
                <w:sz w:val="16"/>
                <w:szCs w:val="16"/>
                <w:lang w:eastAsia="de-DE"/>
              </w:rPr>
              <w:t>X6122B1</w:t>
            </w:r>
          </w:p>
          <w:p w14:paraId="32DC79C3" w14:textId="77777777" w:rsidR="00944F5E" w:rsidRPr="00EC1787" w:rsidRDefault="00944F5E" w:rsidP="005D37EC">
            <w:pPr>
              <w:rPr>
                <w:color w:val="000000"/>
                <w:sz w:val="16"/>
                <w:szCs w:val="16"/>
                <w:lang w:eastAsia="de-DE"/>
              </w:rPr>
            </w:pPr>
            <w:r>
              <w:rPr>
                <w:color w:val="000000"/>
                <w:sz w:val="16"/>
                <w:szCs w:val="16"/>
                <w:lang w:eastAsia="de-DE"/>
              </w:rPr>
              <w:t>batch Pap V 129.2</w:t>
            </w:r>
          </w:p>
        </w:tc>
        <w:tc>
          <w:tcPr>
            <w:tcW w:w="465" w:type="pct"/>
          </w:tcPr>
          <w:p w14:paraId="4F37F6E5"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 xml:space="preserve">European subterranean termite: </w:t>
            </w:r>
            <w:r w:rsidRPr="00EC1787">
              <w:rPr>
                <w:i/>
                <w:color w:val="000000"/>
                <w:sz w:val="16"/>
                <w:szCs w:val="16"/>
                <w:lang w:val="fr-FR" w:eastAsia="de-DE"/>
              </w:rPr>
              <w:t>Reticulitermes grassei</w:t>
            </w:r>
          </w:p>
        </w:tc>
        <w:tc>
          <w:tcPr>
            <w:tcW w:w="580" w:type="pct"/>
          </w:tcPr>
          <w:p w14:paraId="31078CDA"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EN 118 + EN 84 (leaching)</w:t>
            </w:r>
          </w:p>
        </w:tc>
        <w:tc>
          <w:tcPr>
            <w:tcW w:w="1021" w:type="pct"/>
          </w:tcPr>
          <w:p w14:paraId="09B362FC"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The ready to use </w:t>
            </w:r>
            <w:r>
              <w:rPr>
                <w:color w:val="000000"/>
                <w:sz w:val="16"/>
                <w:szCs w:val="16"/>
                <w:lang w:val="en-US" w:eastAsia="de-DE"/>
              </w:rPr>
              <w:t>X6122B1</w:t>
            </w:r>
            <w:r w:rsidRPr="00EC1787">
              <w:rPr>
                <w:color w:val="000000"/>
                <w:sz w:val="16"/>
                <w:szCs w:val="16"/>
                <w:lang w:val="en-US" w:eastAsia="de-DE"/>
              </w:rPr>
              <w:t xml:space="preserve"> is applied by brushing on sapwood test blocks (Pinus sylvaticus) and followed by an artificial weathering according to the EN 84 standard method (leaching).</w:t>
            </w:r>
          </w:p>
          <w:p w14:paraId="41E92494"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lastRenderedPageBreak/>
              <w:t>248.6</w:t>
            </w:r>
            <w:r w:rsidRPr="00EC1787">
              <w:rPr>
                <w:color w:val="000000"/>
                <w:sz w:val="16"/>
                <w:szCs w:val="16"/>
                <w:lang w:eastAsia="de-DE"/>
              </w:rPr>
              <w:t xml:space="preserve"> mL/m² and </w:t>
            </w:r>
            <w:r>
              <w:rPr>
                <w:color w:val="000000"/>
                <w:sz w:val="16"/>
                <w:szCs w:val="16"/>
                <w:lang w:eastAsia="de-DE"/>
              </w:rPr>
              <w:t>250</w:t>
            </w:r>
            <w:r w:rsidRPr="00EC1787">
              <w:rPr>
                <w:color w:val="000000"/>
                <w:sz w:val="16"/>
                <w:szCs w:val="16"/>
                <w:lang w:eastAsia="de-DE"/>
              </w:rPr>
              <w:t xml:space="preserve"> mL/m² (mean </w:t>
            </w:r>
            <w:r>
              <w:rPr>
                <w:color w:val="000000"/>
                <w:sz w:val="16"/>
                <w:szCs w:val="16"/>
                <w:lang w:eastAsia="de-DE"/>
              </w:rPr>
              <w:t>249.33</w:t>
            </w:r>
            <w:r w:rsidRPr="00EC1787">
              <w:rPr>
                <w:color w:val="000000"/>
                <w:sz w:val="16"/>
                <w:szCs w:val="16"/>
                <w:lang w:eastAsia="de-DE"/>
              </w:rPr>
              <w:t xml:space="preserve"> mL/m²).</w:t>
            </w:r>
          </w:p>
          <w:p w14:paraId="282D2319" w14:textId="77777777" w:rsidR="00944F5E" w:rsidRPr="00EC1787" w:rsidRDefault="00944F5E" w:rsidP="005D37EC">
            <w:pPr>
              <w:rPr>
                <w:color w:val="000000"/>
                <w:sz w:val="16"/>
                <w:szCs w:val="16"/>
                <w:lang w:eastAsia="de-DE"/>
              </w:rPr>
            </w:pPr>
            <w:r w:rsidRPr="00EC1787">
              <w:rPr>
                <w:color w:val="000000"/>
                <w:sz w:val="16"/>
                <w:szCs w:val="16"/>
                <w:lang w:eastAsia="de-DE"/>
              </w:rPr>
              <w:t>250 workers, 4 nymphs and 1 soldier termite were used for each test block.</w:t>
            </w:r>
          </w:p>
          <w:p w14:paraId="66A84E0C" w14:textId="77777777" w:rsidR="00944F5E" w:rsidRPr="00EC1787" w:rsidRDefault="00944F5E" w:rsidP="005D37EC">
            <w:pPr>
              <w:rPr>
                <w:color w:val="000000"/>
                <w:sz w:val="16"/>
                <w:szCs w:val="16"/>
                <w:lang w:eastAsia="de-DE"/>
              </w:rPr>
            </w:pPr>
            <w:r w:rsidRPr="00EC1787">
              <w:rPr>
                <w:color w:val="000000"/>
                <w:sz w:val="16"/>
                <w:szCs w:val="16"/>
                <w:lang w:eastAsia="de-DE"/>
              </w:rPr>
              <w:t>5 replicates for the treated block and 5 replicates for the control are performed.</w:t>
            </w:r>
          </w:p>
          <w:p w14:paraId="61C705A3" w14:textId="77777777" w:rsidR="00944F5E" w:rsidRPr="00EC1787" w:rsidRDefault="00944F5E" w:rsidP="005D37EC">
            <w:pPr>
              <w:rPr>
                <w:color w:val="000000"/>
                <w:sz w:val="16"/>
                <w:szCs w:val="16"/>
                <w:lang w:eastAsia="de-DE"/>
              </w:rPr>
            </w:pPr>
            <w:r w:rsidRPr="00EC1787">
              <w:rPr>
                <w:color w:val="000000"/>
                <w:sz w:val="16"/>
                <w:szCs w:val="16"/>
                <w:lang w:eastAsia="de-DE"/>
              </w:rPr>
              <w:t>The investigated effects are the mortality of the insects.</w:t>
            </w:r>
          </w:p>
          <w:p w14:paraId="2B3031E8"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72F75623" w14:textId="77777777" w:rsidR="00944F5E" w:rsidRPr="00EC1787" w:rsidRDefault="00944F5E" w:rsidP="005D37EC">
            <w:pPr>
              <w:rPr>
                <w:color w:val="000000"/>
                <w:sz w:val="16"/>
                <w:szCs w:val="16"/>
                <w:lang w:val="en-US" w:eastAsia="de-DE"/>
              </w:rPr>
            </w:pPr>
            <w:r w:rsidRPr="00EC1787">
              <w:rPr>
                <w:color w:val="000000"/>
                <w:sz w:val="16"/>
                <w:szCs w:val="16"/>
                <w:lang w:eastAsia="de-DE"/>
              </w:rPr>
              <w:t>- Intervals of examination: one time, after 8 weeks exposure of the blocks to the insects.</w:t>
            </w:r>
          </w:p>
        </w:tc>
        <w:tc>
          <w:tcPr>
            <w:tcW w:w="926" w:type="pct"/>
          </w:tcPr>
          <w:p w14:paraId="15B07A26"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lastRenderedPageBreak/>
              <w:t>The study is validated as the survival rate in the control is higher than 50 % (</w:t>
            </w:r>
            <w:r>
              <w:rPr>
                <w:color w:val="000000"/>
                <w:sz w:val="16"/>
                <w:szCs w:val="16"/>
                <w:lang w:val="en-US" w:eastAsia="de-DE"/>
              </w:rPr>
              <w:t>70.3</w:t>
            </w:r>
            <w:r w:rsidRPr="00EC1787">
              <w:rPr>
                <w:color w:val="000000"/>
                <w:sz w:val="16"/>
                <w:szCs w:val="16"/>
                <w:lang w:val="en-US" w:eastAsia="de-DE"/>
              </w:rPr>
              <w:t xml:space="preserve"> %) and the control test blocks are ranked 4.</w:t>
            </w:r>
          </w:p>
          <w:p w14:paraId="2E4AB9FB" w14:textId="77777777" w:rsidR="00944F5E" w:rsidRPr="00EC1787" w:rsidRDefault="00944F5E" w:rsidP="005D37EC">
            <w:pPr>
              <w:rPr>
                <w:b/>
                <w:color w:val="000000"/>
                <w:sz w:val="16"/>
                <w:szCs w:val="16"/>
                <w:lang w:val="en-US" w:eastAsia="de-DE"/>
              </w:rPr>
            </w:pPr>
            <w:r w:rsidRPr="00EC1787">
              <w:rPr>
                <w:b/>
                <w:color w:val="000000"/>
                <w:sz w:val="16"/>
                <w:szCs w:val="16"/>
                <w:lang w:val="en-US" w:eastAsia="de-DE"/>
              </w:rPr>
              <w:t xml:space="preserve">All the treated blocks are ranked </w:t>
            </w:r>
            <w:r>
              <w:rPr>
                <w:b/>
                <w:color w:val="000000"/>
                <w:sz w:val="16"/>
                <w:szCs w:val="16"/>
                <w:lang w:val="en-US" w:eastAsia="de-DE"/>
              </w:rPr>
              <w:t xml:space="preserve">0 or </w:t>
            </w:r>
            <w:r w:rsidRPr="00EC1787">
              <w:rPr>
                <w:b/>
                <w:color w:val="000000"/>
                <w:sz w:val="16"/>
                <w:szCs w:val="16"/>
                <w:lang w:val="en-US" w:eastAsia="de-DE"/>
              </w:rPr>
              <w:t xml:space="preserve">1 at the end of the study which demonstrates the efficacy of the product </w:t>
            </w:r>
            <w:r>
              <w:rPr>
                <w:b/>
                <w:color w:val="000000"/>
                <w:sz w:val="16"/>
                <w:szCs w:val="16"/>
                <w:lang w:val="en-US" w:eastAsia="de-DE"/>
              </w:rPr>
              <w:lastRenderedPageBreak/>
              <w:t>X6122B1</w:t>
            </w:r>
            <w:r w:rsidRPr="00EC1787">
              <w:rPr>
                <w:b/>
                <w:color w:val="000000"/>
                <w:sz w:val="16"/>
                <w:szCs w:val="16"/>
                <w:lang w:val="en-US" w:eastAsia="de-DE"/>
              </w:rPr>
              <w:t xml:space="preserve"> at the application rate of </w:t>
            </w:r>
            <w:r>
              <w:rPr>
                <w:b/>
                <w:color w:val="000000"/>
                <w:sz w:val="16"/>
                <w:szCs w:val="16"/>
                <w:lang w:val="en-US" w:eastAsia="de-DE"/>
              </w:rPr>
              <w:t>247</w:t>
            </w:r>
            <w:r w:rsidRPr="00EC1787">
              <w:rPr>
                <w:b/>
                <w:color w:val="000000"/>
                <w:sz w:val="16"/>
                <w:szCs w:val="16"/>
                <w:lang w:val="en-US" w:eastAsia="de-DE"/>
              </w:rPr>
              <w:t xml:space="preserve"> ml</w:t>
            </w:r>
            <w:r>
              <w:rPr>
                <w:b/>
                <w:color w:val="000000"/>
                <w:sz w:val="16"/>
                <w:szCs w:val="16"/>
                <w:lang w:val="en-US" w:eastAsia="de-DE"/>
              </w:rPr>
              <w:t xml:space="preserve"> (199.45 g)</w:t>
            </w:r>
            <w:r w:rsidRPr="00EC1787">
              <w:rPr>
                <w:b/>
                <w:color w:val="000000"/>
                <w:sz w:val="16"/>
                <w:szCs w:val="16"/>
                <w:lang w:val="en-US" w:eastAsia="de-DE"/>
              </w:rPr>
              <w:t xml:space="preserve"> of product / m² of wood.</w:t>
            </w:r>
          </w:p>
        </w:tc>
        <w:tc>
          <w:tcPr>
            <w:tcW w:w="572" w:type="pct"/>
          </w:tcPr>
          <w:p w14:paraId="03CD922D" w14:textId="77777777" w:rsidR="00944F5E" w:rsidRPr="0007791B" w:rsidRDefault="00944F5E" w:rsidP="005D37EC">
            <w:pPr>
              <w:rPr>
                <w:color w:val="000000"/>
                <w:sz w:val="16"/>
                <w:szCs w:val="16"/>
                <w:lang w:val="en-US" w:eastAsia="de-DE"/>
              </w:rPr>
            </w:pPr>
            <w:r w:rsidRPr="0007791B">
              <w:rPr>
                <w:color w:val="000000"/>
                <w:sz w:val="16"/>
                <w:szCs w:val="16"/>
                <w:lang w:val="en-US" w:eastAsia="de-DE"/>
              </w:rPr>
              <w:lastRenderedPageBreak/>
              <w:t>Ansard D. and</w:t>
            </w:r>
            <w:r>
              <w:rPr>
                <w:color w:val="000000"/>
                <w:sz w:val="16"/>
                <w:szCs w:val="16"/>
                <w:lang w:val="en-US" w:eastAsia="de-DE"/>
              </w:rPr>
              <w:t xml:space="preserve"> </w:t>
            </w:r>
            <w:r w:rsidRPr="0007791B">
              <w:rPr>
                <w:color w:val="000000"/>
                <w:sz w:val="16"/>
                <w:szCs w:val="16"/>
                <w:lang w:val="en-US" w:eastAsia="de-DE"/>
              </w:rPr>
              <w:t>Paulmier I.,</w:t>
            </w:r>
          </w:p>
          <w:p w14:paraId="006D8079" w14:textId="77777777" w:rsidR="00944F5E" w:rsidRPr="0007791B" w:rsidRDefault="00944F5E" w:rsidP="005D37EC">
            <w:pPr>
              <w:rPr>
                <w:color w:val="000000"/>
                <w:sz w:val="16"/>
                <w:szCs w:val="16"/>
                <w:lang w:val="en-US" w:eastAsia="de-DE"/>
              </w:rPr>
            </w:pPr>
            <w:r w:rsidRPr="0007791B">
              <w:rPr>
                <w:color w:val="000000"/>
                <w:sz w:val="16"/>
                <w:szCs w:val="16"/>
                <w:lang w:val="en-US" w:eastAsia="de-DE"/>
              </w:rPr>
              <w:t>2016</w:t>
            </w:r>
          </w:p>
          <w:p w14:paraId="03E6574F" w14:textId="77777777" w:rsidR="00944F5E" w:rsidRPr="00EC1787" w:rsidRDefault="00944F5E" w:rsidP="005D37EC">
            <w:pPr>
              <w:rPr>
                <w:color w:val="000000"/>
                <w:sz w:val="16"/>
                <w:szCs w:val="16"/>
                <w:lang w:val="fr-FR" w:eastAsia="de-DE"/>
              </w:rPr>
            </w:pPr>
            <w:r w:rsidRPr="0007791B">
              <w:rPr>
                <w:color w:val="000000"/>
                <w:sz w:val="16"/>
                <w:szCs w:val="16"/>
                <w:lang w:val="en-US" w:eastAsia="de-DE"/>
              </w:rPr>
              <w:t>S6.7_04</w:t>
            </w:r>
          </w:p>
          <w:p w14:paraId="36B031C4" w14:textId="77777777" w:rsidR="00944F5E" w:rsidRDefault="00944F5E" w:rsidP="005D37EC">
            <w:pPr>
              <w:rPr>
                <w:color w:val="000000"/>
                <w:sz w:val="16"/>
                <w:szCs w:val="16"/>
                <w:lang w:val="fr-FR" w:eastAsia="de-DE"/>
              </w:rPr>
            </w:pPr>
          </w:p>
          <w:p w14:paraId="2071F6CB" w14:textId="77777777" w:rsidR="00944F5E" w:rsidRDefault="00944F5E" w:rsidP="005D37EC">
            <w:pPr>
              <w:rPr>
                <w:color w:val="000000"/>
                <w:sz w:val="16"/>
                <w:szCs w:val="16"/>
                <w:lang w:val="fr-FR" w:eastAsia="de-DE"/>
              </w:rPr>
            </w:pPr>
            <w:r>
              <w:rPr>
                <w:color w:val="000000"/>
                <w:sz w:val="16"/>
                <w:szCs w:val="16"/>
                <w:lang w:val="fr-FR" w:eastAsia="de-DE"/>
              </w:rPr>
              <w:t>401/16/039F/b-e</w:t>
            </w:r>
          </w:p>
          <w:p w14:paraId="4F158204" w14:textId="77777777" w:rsidR="00944F5E" w:rsidRPr="00EC1787" w:rsidRDefault="00944F5E" w:rsidP="005D37EC">
            <w:pPr>
              <w:rPr>
                <w:color w:val="000000"/>
                <w:sz w:val="16"/>
                <w:szCs w:val="16"/>
                <w:lang w:val="fr-FR" w:eastAsia="de-DE"/>
              </w:rPr>
            </w:pPr>
          </w:p>
          <w:p w14:paraId="0729BD1B"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IC 1</w:t>
            </w:r>
          </w:p>
        </w:tc>
      </w:tr>
      <w:tr w:rsidR="00944F5E" w:rsidRPr="00EC1787" w14:paraId="51CDF10D" w14:textId="77777777" w:rsidTr="005D37EC">
        <w:tc>
          <w:tcPr>
            <w:tcW w:w="366" w:type="pct"/>
          </w:tcPr>
          <w:p w14:paraId="607C42B0" w14:textId="77777777" w:rsidR="00944F5E" w:rsidRPr="00B20360" w:rsidRDefault="00944F5E" w:rsidP="005D37EC">
            <w:pPr>
              <w:rPr>
                <w:color w:val="000000"/>
                <w:sz w:val="16"/>
                <w:szCs w:val="16"/>
                <w:lang w:eastAsia="de-DE"/>
              </w:rPr>
            </w:pPr>
            <w:r w:rsidRPr="00B20360">
              <w:rPr>
                <w:rFonts w:ascii="Arial" w:hAnsi="Arial" w:cs="Arial"/>
                <w:sz w:val="16"/>
                <w:szCs w:val="16"/>
              </w:rPr>
              <w:t>MG 02: preservatives</w:t>
            </w:r>
          </w:p>
        </w:tc>
        <w:tc>
          <w:tcPr>
            <w:tcW w:w="476" w:type="pct"/>
          </w:tcPr>
          <w:p w14:paraId="1A1750DA" w14:textId="77777777" w:rsidR="00944F5E" w:rsidRPr="00B20360" w:rsidRDefault="00944F5E" w:rsidP="005D37EC">
            <w:pPr>
              <w:rPr>
                <w:rFonts w:ascii="Arial" w:hAnsi="Arial" w:cs="Arial"/>
                <w:color w:val="000000"/>
                <w:sz w:val="16"/>
                <w:szCs w:val="16"/>
                <w:lang w:eastAsia="de-DE"/>
              </w:rPr>
            </w:pPr>
            <w:r w:rsidRPr="00B20360">
              <w:rPr>
                <w:rFonts w:ascii="Arial" w:hAnsi="Arial" w:cs="Arial"/>
                <w:color w:val="000000"/>
                <w:sz w:val="16"/>
                <w:szCs w:val="16"/>
                <w:lang w:eastAsia="de-DE"/>
              </w:rPr>
              <w:t>Wood preservative</w:t>
            </w:r>
          </w:p>
          <w:p w14:paraId="0B8578CA" w14:textId="77777777" w:rsidR="00944F5E" w:rsidRPr="00B20360" w:rsidRDefault="00944F5E" w:rsidP="005D37EC">
            <w:pPr>
              <w:rPr>
                <w:rFonts w:ascii="Arial" w:hAnsi="Arial" w:cs="Arial"/>
                <w:color w:val="000000"/>
                <w:sz w:val="16"/>
                <w:szCs w:val="16"/>
                <w:lang w:eastAsia="de-DE"/>
              </w:rPr>
            </w:pPr>
            <w:r w:rsidRPr="00B20360">
              <w:rPr>
                <w:rFonts w:ascii="Arial" w:hAnsi="Arial" w:cs="Arial"/>
                <w:color w:val="000000"/>
                <w:sz w:val="16"/>
                <w:szCs w:val="16"/>
                <w:lang w:eastAsia="de-DE"/>
              </w:rPr>
              <w:t>Preventive treatment</w:t>
            </w:r>
          </w:p>
        </w:tc>
        <w:tc>
          <w:tcPr>
            <w:tcW w:w="594" w:type="pct"/>
          </w:tcPr>
          <w:p w14:paraId="1A779CB3" w14:textId="77777777" w:rsidR="00944F5E" w:rsidRPr="00B20360" w:rsidRDefault="00944F5E" w:rsidP="005D37EC">
            <w:pPr>
              <w:rPr>
                <w:color w:val="000000"/>
                <w:sz w:val="16"/>
                <w:szCs w:val="16"/>
                <w:lang w:eastAsia="de-DE"/>
              </w:rPr>
            </w:pPr>
            <w:r w:rsidRPr="00B20360">
              <w:rPr>
                <w:color w:val="000000"/>
                <w:sz w:val="16"/>
                <w:szCs w:val="16"/>
                <w:lang w:eastAsia="de-DE"/>
              </w:rPr>
              <w:t>X6122B1</w:t>
            </w:r>
          </w:p>
          <w:p w14:paraId="79C34528" w14:textId="77777777" w:rsidR="00944F5E" w:rsidRPr="00B20360" w:rsidRDefault="00944F5E" w:rsidP="005D37EC">
            <w:pPr>
              <w:rPr>
                <w:color w:val="000000"/>
                <w:sz w:val="16"/>
                <w:szCs w:val="16"/>
                <w:lang w:eastAsia="de-DE"/>
              </w:rPr>
            </w:pPr>
            <w:r w:rsidRPr="00B20360">
              <w:rPr>
                <w:color w:val="000000"/>
                <w:sz w:val="16"/>
                <w:szCs w:val="16"/>
                <w:lang w:eastAsia="de-DE"/>
              </w:rPr>
              <w:t>batch 1405900037</w:t>
            </w:r>
          </w:p>
        </w:tc>
        <w:tc>
          <w:tcPr>
            <w:tcW w:w="465" w:type="pct"/>
          </w:tcPr>
          <w:p w14:paraId="53411055" w14:textId="77777777" w:rsidR="00944F5E" w:rsidRPr="00B20360" w:rsidRDefault="00944F5E" w:rsidP="005D37EC">
            <w:pPr>
              <w:autoSpaceDE w:val="0"/>
              <w:autoSpaceDN w:val="0"/>
              <w:adjustRightInd w:val="0"/>
              <w:rPr>
                <w:rFonts w:ascii="Arial" w:hAnsi="Arial" w:cs="Arial"/>
                <w:color w:val="000000"/>
                <w:lang w:val="en-US" w:eastAsia="fr-FR"/>
              </w:rPr>
            </w:pPr>
            <w:r w:rsidRPr="00B20360">
              <w:rPr>
                <w:color w:val="000000"/>
                <w:sz w:val="16"/>
                <w:szCs w:val="16"/>
                <w:lang w:eastAsia="de-DE"/>
              </w:rPr>
              <w:t xml:space="preserve">House longhorn beetle: </w:t>
            </w:r>
            <w:r w:rsidRPr="00B20360">
              <w:rPr>
                <w:i/>
                <w:color w:val="000000"/>
                <w:sz w:val="16"/>
                <w:szCs w:val="16"/>
                <w:lang w:eastAsia="de-DE"/>
              </w:rPr>
              <w:t>Hylotrupes bajulus</w:t>
            </w:r>
            <w:r w:rsidRPr="00B20360">
              <w:rPr>
                <w:color w:val="000000"/>
                <w:sz w:val="16"/>
                <w:szCs w:val="16"/>
                <w:lang w:eastAsia="de-DE"/>
              </w:rPr>
              <w:t xml:space="preserve"> (L.)</w:t>
            </w:r>
            <w:r w:rsidRPr="00B20360">
              <w:rPr>
                <w:rFonts w:ascii="Arial" w:hAnsi="Arial" w:cs="Arial"/>
                <w:color w:val="000000"/>
                <w:lang w:val="en-US" w:eastAsia="fr-FR"/>
              </w:rPr>
              <w:t xml:space="preserve"> </w:t>
            </w:r>
          </w:p>
        </w:tc>
        <w:tc>
          <w:tcPr>
            <w:tcW w:w="580" w:type="pct"/>
          </w:tcPr>
          <w:p w14:paraId="021C7003" w14:textId="77777777" w:rsidR="00944F5E" w:rsidRPr="00B20360" w:rsidRDefault="00944F5E" w:rsidP="005D37EC">
            <w:pPr>
              <w:rPr>
                <w:color w:val="000000"/>
                <w:sz w:val="16"/>
                <w:szCs w:val="16"/>
                <w:lang w:eastAsia="de-DE"/>
              </w:rPr>
            </w:pPr>
            <w:r w:rsidRPr="00B20360">
              <w:rPr>
                <w:color w:val="000000"/>
                <w:sz w:val="16"/>
                <w:szCs w:val="16"/>
                <w:lang w:eastAsia="de-DE"/>
              </w:rPr>
              <w:t>EN 46 + EN 73 (evaporation)</w:t>
            </w:r>
          </w:p>
        </w:tc>
        <w:tc>
          <w:tcPr>
            <w:tcW w:w="1021" w:type="pct"/>
          </w:tcPr>
          <w:p w14:paraId="1801E27B" w14:textId="77777777" w:rsidR="00944F5E" w:rsidRPr="00B20360" w:rsidRDefault="00944F5E" w:rsidP="005D37EC">
            <w:pPr>
              <w:rPr>
                <w:color w:val="000000"/>
                <w:sz w:val="16"/>
                <w:szCs w:val="16"/>
                <w:lang w:eastAsia="de-DE"/>
              </w:rPr>
            </w:pPr>
            <w:r w:rsidRPr="00B20360">
              <w:rPr>
                <w:color w:val="000000"/>
                <w:sz w:val="16"/>
                <w:szCs w:val="16"/>
                <w:lang w:eastAsia="de-DE"/>
              </w:rPr>
              <w:t>The ready to use product X6122B1 is applied by dipping on sapwood test blocks (</w:t>
            </w:r>
            <w:r w:rsidRPr="00B20360">
              <w:rPr>
                <w:i/>
                <w:color w:val="000000"/>
                <w:sz w:val="16"/>
                <w:szCs w:val="16"/>
                <w:lang w:eastAsia="de-DE"/>
              </w:rPr>
              <w:t>Pinus sylvaticus</w:t>
            </w:r>
            <w:r w:rsidRPr="00B20360">
              <w:rPr>
                <w:color w:val="000000"/>
                <w:sz w:val="16"/>
                <w:szCs w:val="16"/>
                <w:lang w:eastAsia="de-DE"/>
              </w:rPr>
              <w:t>) and followed by an artificial weathering according to the EN 73 standard method (evaporation).</w:t>
            </w:r>
          </w:p>
          <w:p w14:paraId="1B5A55CA" w14:textId="77777777" w:rsidR="00944F5E" w:rsidRPr="00B20360" w:rsidRDefault="00944F5E" w:rsidP="005D37EC">
            <w:pPr>
              <w:rPr>
                <w:color w:val="000000"/>
                <w:sz w:val="16"/>
                <w:szCs w:val="16"/>
                <w:lang w:eastAsia="de-DE"/>
              </w:rPr>
            </w:pPr>
            <w:r w:rsidRPr="00B20360">
              <w:rPr>
                <w:color w:val="000000"/>
                <w:sz w:val="16"/>
                <w:szCs w:val="16"/>
                <w:lang w:eastAsia="de-DE"/>
              </w:rPr>
              <w:t xml:space="preserve">The quantity really applied on each test block varied between </w:t>
            </w:r>
            <w:r>
              <w:rPr>
                <w:color w:val="000000"/>
                <w:sz w:val="16"/>
                <w:szCs w:val="16"/>
                <w:lang w:eastAsia="de-DE"/>
              </w:rPr>
              <w:t>197.6</w:t>
            </w:r>
            <w:r w:rsidRPr="00B20360">
              <w:rPr>
                <w:color w:val="000000"/>
                <w:sz w:val="16"/>
                <w:szCs w:val="16"/>
                <w:lang w:eastAsia="de-DE"/>
              </w:rPr>
              <w:t xml:space="preserve"> g/m² and </w:t>
            </w:r>
            <w:r>
              <w:rPr>
                <w:color w:val="000000"/>
                <w:sz w:val="16"/>
                <w:szCs w:val="16"/>
                <w:lang w:eastAsia="de-DE"/>
              </w:rPr>
              <w:t>199.2</w:t>
            </w:r>
            <w:r w:rsidRPr="00B20360">
              <w:rPr>
                <w:color w:val="000000"/>
                <w:sz w:val="16"/>
                <w:szCs w:val="16"/>
                <w:lang w:eastAsia="de-DE"/>
              </w:rPr>
              <w:t xml:space="preserve"> g/m² (mean </w:t>
            </w:r>
            <w:r>
              <w:rPr>
                <w:color w:val="000000"/>
                <w:sz w:val="16"/>
                <w:szCs w:val="16"/>
                <w:lang w:eastAsia="de-DE"/>
              </w:rPr>
              <w:t>198.5</w:t>
            </w:r>
            <w:r w:rsidRPr="00B20360">
              <w:rPr>
                <w:color w:val="000000"/>
                <w:sz w:val="16"/>
                <w:szCs w:val="16"/>
                <w:lang w:eastAsia="de-DE"/>
              </w:rPr>
              <w:t xml:space="preserve"> g/m²).</w:t>
            </w:r>
          </w:p>
          <w:p w14:paraId="7399ED56" w14:textId="77777777" w:rsidR="00944F5E" w:rsidRPr="00B20360" w:rsidRDefault="00944F5E" w:rsidP="005D37EC">
            <w:pPr>
              <w:rPr>
                <w:color w:val="000000"/>
                <w:sz w:val="16"/>
                <w:szCs w:val="16"/>
                <w:lang w:val="en-US" w:eastAsia="de-DE"/>
              </w:rPr>
            </w:pPr>
            <w:r w:rsidRPr="00B20360">
              <w:rPr>
                <w:color w:val="000000"/>
                <w:sz w:val="16"/>
                <w:szCs w:val="16"/>
                <w:lang w:val="en-US" w:eastAsia="de-DE"/>
              </w:rPr>
              <w:t xml:space="preserve">10 recently hatched larvae of </w:t>
            </w:r>
            <w:r w:rsidRPr="00B20360">
              <w:rPr>
                <w:i/>
                <w:color w:val="000000"/>
                <w:sz w:val="16"/>
                <w:szCs w:val="16"/>
                <w:lang w:val="en-US" w:eastAsia="de-DE"/>
              </w:rPr>
              <w:t>H. bajulus</w:t>
            </w:r>
            <w:r w:rsidRPr="00B20360">
              <w:rPr>
                <w:color w:val="000000"/>
                <w:sz w:val="16"/>
                <w:szCs w:val="16"/>
                <w:lang w:val="en-US" w:eastAsia="de-DE"/>
              </w:rPr>
              <w:t xml:space="preserve"> for each are used for each test block.</w:t>
            </w:r>
          </w:p>
          <w:p w14:paraId="7332FCF7" w14:textId="77777777" w:rsidR="00944F5E" w:rsidRPr="00B20360" w:rsidRDefault="00944F5E" w:rsidP="005D37EC">
            <w:pPr>
              <w:rPr>
                <w:color w:val="000000"/>
                <w:sz w:val="16"/>
                <w:szCs w:val="16"/>
                <w:lang w:val="en-US" w:eastAsia="de-DE"/>
              </w:rPr>
            </w:pPr>
            <w:r w:rsidRPr="00B20360">
              <w:rPr>
                <w:color w:val="000000"/>
                <w:sz w:val="16"/>
                <w:szCs w:val="16"/>
                <w:lang w:val="en-US" w:eastAsia="de-DE"/>
              </w:rPr>
              <w:t>6 replicates for the treated block and 3 replicates for the control are performed.</w:t>
            </w:r>
          </w:p>
          <w:p w14:paraId="061F9256" w14:textId="77777777" w:rsidR="00944F5E" w:rsidRPr="00B20360" w:rsidRDefault="00944F5E" w:rsidP="005D37EC">
            <w:pPr>
              <w:rPr>
                <w:color w:val="000000"/>
                <w:sz w:val="16"/>
                <w:szCs w:val="16"/>
                <w:lang w:val="en-US" w:eastAsia="de-DE"/>
              </w:rPr>
            </w:pPr>
            <w:r w:rsidRPr="00B20360">
              <w:rPr>
                <w:color w:val="000000"/>
                <w:sz w:val="16"/>
                <w:szCs w:val="16"/>
                <w:lang w:val="en-US" w:eastAsia="de-DE"/>
              </w:rPr>
              <w:t>The effect investigated is the mortality of insect’s larvae.</w:t>
            </w:r>
          </w:p>
          <w:p w14:paraId="043D9170" w14:textId="77777777" w:rsidR="00944F5E" w:rsidRPr="00B20360" w:rsidRDefault="00944F5E" w:rsidP="005D37EC">
            <w:pPr>
              <w:rPr>
                <w:color w:val="000000"/>
                <w:sz w:val="16"/>
                <w:szCs w:val="16"/>
                <w:lang w:val="en-US" w:eastAsia="de-DE"/>
              </w:rPr>
            </w:pPr>
            <w:r w:rsidRPr="00B20360">
              <w:rPr>
                <w:color w:val="000000"/>
                <w:sz w:val="16"/>
                <w:szCs w:val="16"/>
                <w:lang w:val="en-US" w:eastAsia="de-DE"/>
              </w:rPr>
              <w:t xml:space="preserve">The method for recording / scoring effects is the recovery of the insects and count of dead and alive larvae and </w:t>
            </w:r>
            <w:r w:rsidRPr="00B20360">
              <w:rPr>
                <w:color w:val="000000"/>
                <w:sz w:val="16"/>
                <w:szCs w:val="16"/>
                <w:lang w:val="en-US" w:eastAsia="de-DE"/>
              </w:rPr>
              <w:lastRenderedPageBreak/>
              <w:t xml:space="preserve">count of dead larvae having tunneled or not. </w:t>
            </w:r>
          </w:p>
          <w:p w14:paraId="49011EE6" w14:textId="77777777" w:rsidR="00944F5E" w:rsidRPr="00B20360" w:rsidRDefault="00944F5E" w:rsidP="005D37EC">
            <w:pPr>
              <w:rPr>
                <w:color w:val="000000"/>
                <w:sz w:val="16"/>
                <w:szCs w:val="16"/>
                <w:lang w:val="en-US" w:eastAsia="de-DE"/>
              </w:rPr>
            </w:pPr>
            <w:r w:rsidRPr="00B20360">
              <w:rPr>
                <w:color w:val="000000"/>
                <w:sz w:val="16"/>
                <w:szCs w:val="16"/>
                <w:lang w:val="en-US" w:eastAsia="de-DE"/>
              </w:rPr>
              <w:t>- Intervals of examination: one time, after 1 month exposure of the blocks to the insects.</w:t>
            </w:r>
          </w:p>
        </w:tc>
        <w:tc>
          <w:tcPr>
            <w:tcW w:w="926" w:type="pct"/>
          </w:tcPr>
          <w:p w14:paraId="4B0B33A6" w14:textId="77777777" w:rsidR="00944F5E" w:rsidRPr="00B20360" w:rsidRDefault="00944F5E" w:rsidP="005D37EC">
            <w:pPr>
              <w:rPr>
                <w:color w:val="000000"/>
                <w:sz w:val="16"/>
                <w:szCs w:val="16"/>
                <w:lang w:eastAsia="de-DE"/>
              </w:rPr>
            </w:pPr>
            <w:r w:rsidRPr="00B20360">
              <w:rPr>
                <w:color w:val="000000"/>
                <w:sz w:val="16"/>
                <w:szCs w:val="16"/>
                <w:lang w:eastAsia="de-DE"/>
              </w:rPr>
              <w:lastRenderedPageBreak/>
              <w:t>The study is validated as the survival rate in the control is higher than 70 % (100%).</w:t>
            </w:r>
          </w:p>
          <w:p w14:paraId="07C935D5" w14:textId="77777777" w:rsidR="00944F5E" w:rsidRPr="00B20360" w:rsidRDefault="00944F5E" w:rsidP="005D37EC">
            <w:pPr>
              <w:rPr>
                <w:color w:val="000000"/>
                <w:sz w:val="16"/>
                <w:szCs w:val="16"/>
                <w:lang w:eastAsia="de-DE"/>
              </w:rPr>
            </w:pPr>
            <w:r w:rsidRPr="00B20360">
              <w:rPr>
                <w:color w:val="000000"/>
                <w:sz w:val="16"/>
                <w:szCs w:val="16"/>
                <w:lang w:eastAsia="de-DE"/>
              </w:rPr>
              <w:t>On the treated test block, 100 % or the larvae was dead and had not tunnelled.</w:t>
            </w:r>
          </w:p>
          <w:p w14:paraId="4D22EDA4" w14:textId="77777777" w:rsidR="00944F5E" w:rsidRPr="00B20360" w:rsidRDefault="00944F5E" w:rsidP="005D37EC">
            <w:pPr>
              <w:rPr>
                <w:b/>
                <w:color w:val="000000"/>
                <w:sz w:val="16"/>
                <w:szCs w:val="16"/>
                <w:lang w:eastAsia="de-DE"/>
              </w:rPr>
            </w:pPr>
            <w:r w:rsidRPr="00B20360">
              <w:rPr>
                <w:b/>
                <w:color w:val="000000"/>
                <w:sz w:val="16"/>
                <w:szCs w:val="16"/>
                <w:lang w:eastAsia="de-DE"/>
              </w:rPr>
              <w:t xml:space="preserve">This study demonstrated the efficacy of the product at </w:t>
            </w:r>
            <w:r>
              <w:rPr>
                <w:b/>
                <w:color w:val="000000"/>
                <w:sz w:val="16"/>
                <w:szCs w:val="16"/>
                <w:lang w:eastAsia="de-DE"/>
              </w:rPr>
              <w:t>198.5</w:t>
            </w:r>
            <w:r w:rsidRPr="00B20360">
              <w:rPr>
                <w:b/>
                <w:color w:val="000000"/>
                <w:sz w:val="16"/>
                <w:szCs w:val="16"/>
                <w:lang w:eastAsia="de-DE"/>
              </w:rPr>
              <w:t xml:space="preserve"> g of product</w:t>
            </w:r>
            <w:r>
              <w:rPr>
                <w:b/>
                <w:color w:val="000000"/>
                <w:sz w:val="16"/>
                <w:szCs w:val="16"/>
                <w:lang w:eastAsia="de-DE"/>
              </w:rPr>
              <w:t xml:space="preserve"> X6122B1</w:t>
            </w:r>
            <w:r w:rsidRPr="00B20360">
              <w:rPr>
                <w:b/>
                <w:color w:val="000000"/>
                <w:sz w:val="16"/>
                <w:szCs w:val="16"/>
                <w:lang w:eastAsia="de-DE"/>
              </w:rPr>
              <w:t xml:space="preserve"> / m² of wood against </w:t>
            </w:r>
            <w:r w:rsidRPr="00B20360">
              <w:rPr>
                <w:b/>
                <w:i/>
                <w:color w:val="000000"/>
                <w:sz w:val="16"/>
                <w:szCs w:val="16"/>
                <w:lang w:eastAsia="de-DE"/>
              </w:rPr>
              <w:t>Hylotrupes bajulus</w:t>
            </w:r>
            <w:r w:rsidRPr="00B20360">
              <w:rPr>
                <w:b/>
                <w:color w:val="000000"/>
                <w:sz w:val="16"/>
                <w:szCs w:val="16"/>
                <w:lang w:eastAsia="de-DE"/>
              </w:rPr>
              <w:t xml:space="preserve"> larvae</w:t>
            </w:r>
          </w:p>
        </w:tc>
        <w:tc>
          <w:tcPr>
            <w:tcW w:w="572" w:type="pct"/>
          </w:tcPr>
          <w:p w14:paraId="50038E6F" w14:textId="77777777" w:rsidR="00944F5E" w:rsidRPr="008551C7" w:rsidRDefault="00944F5E" w:rsidP="005D37EC">
            <w:pPr>
              <w:rPr>
                <w:color w:val="000000"/>
                <w:sz w:val="16"/>
                <w:szCs w:val="16"/>
                <w:lang w:val="de-DE" w:eastAsia="de-DE"/>
              </w:rPr>
            </w:pPr>
            <w:r w:rsidRPr="008551C7">
              <w:rPr>
                <w:color w:val="000000"/>
                <w:sz w:val="16"/>
                <w:szCs w:val="16"/>
                <w:lang w:val="de-DE" w:eastAsia="de-DE"/>
              </w:rPr>
              <w:t>Schumacher P. and Fennert E.-M., 2015</w:t>
            </w:r>
          </w:p>
          <w:p w14:paraId="337C1AB5" w14:textId="77777777" w:rsidR="00944F5E" w:rsidRPr="00B20360" w:rsidRDefault="00944F5E" w:rsidP="005D37EC">
            <w:pPr>
              <w:rPr>
                <w:color w:val="000000"/>
                <w:sz w:val="16"/>
                <w:szCs w:val="16"/>
                <w:lang w:val="en-US" w:eastAsia="de-DE"/>
              </w:rPr>
            </w:pPr>
            <w:r w:rsidRPr="00B20360">
              <w:rPr>
                <w:color w:val="000000"/>
                <w:sz w:val="16"/>
                <w:szCs w:val="16"/>
                <w:lang w:eastAsia="de-DE"/>
              </w:rPr>
              <w:t>S6.7_05</w:t>
            </w:r>
          </w:p>
          <w:p w14:paraId="3B195830" w14:textId="77777777" w:rsidR="00944F5E" w:rsidRPr="00B20360" w:rsidRDefault="00944F5E" w:rsidP="005D37EC">
            <w:pPr>
              <w:rPr>
                <w:color w:val="000000"/>
                <w:sz w:val="16"/>
                <w:szCs w:val="16"/>
                <w:lang w:eastAsia="de-DE"/>
              </w:rPr>
            </w:pPr>
            <w:r w:rsidRPr="00B20360">
              <w:rPr>
                <w:color w:val="000000"/>
                <w:sz w:val="16"/>
                <w:szCs w:val="16"/>
                <w:lang w:eastAsia="de-DE"/>
              </w:rPr>
              <w:t>32/14/9803/01</w:t>
            </w:r>
          </w:p>
          <w:p w14:paraId="5658F963" w14:textId="77777777" w:rsidR="00944F5E" w:rsidRPr="00B20360" w:rsidRDefault="00944F5E" w:rsidP="005D37EC">
            <w:pPr>
              <w:rPr>
                <w:color w:val="000000"/>
                <w:sz w:val="16"/>
                <w:szCs w:val="16"/>
                <w:lang w:eastAsia="de-DE"/>
              </w:rPr>
            </w:pPr>
          </w:p>
          <w:p w14:paraId="2E641D8A" w14:textId="77777777" w:rsidR="00944F5E" w:rsidRPr="00B20360" w:rsidRDefault="00944F5E" w:rsidP="005D37EC">
            <w:pPr>
              <w:rPr>
                <w:color w:val="000000"/>
                <w:sz w:val="16"/>
                <w:szCs w:val="16"/>
                <w:lang w:eastAsia="de-DE"/>
              </w:rPr>
            </w:pPr>
            <w:r w:rsidRPr="00B20360">
              <w:rPr>
                <w:color w:val="000000"/>
                <w:sz w:val="16"/>
                <w:szCs w:val="16"/>
                <w:lang w:eastAsia="de-DE"/>
              </w:rPr>
              <w:t>IC1</w:t>
            </w:r>
          </w:p>
        </w:tc>
      </w:tr>
      <w:tr w:rsidR="00944F5E" w:rsidRPr="00B20360" w14:paraId="07A8CD4A" w14:textId="77777777" w:rsidTr="005D37EC">
        <w:tc>
          <w:tcPr>
            <w:tcW w:w="366" w:type="pct"/>
          </w:tcPr>
          <w:p w14:paraId="64A56938"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76" w:type="pct"/>
          </w:tcPr>
          <w:p w14:paraId="38C27FF5"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18B3A216"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94" w:type="pct"/>
          </w:tcPr>
          <w:p w14:paraId="3E5DF5CB" w14:textId="77777777" w:rsidR="00944F5E" w:rsidRDefault="00944F5E" w:rsidP="005D37EC">
            <w:pPr>
              <w:rPr>
                <w:color w:val="000000"/>
                <w:sz w:val="16"/>
                <w:szCs w:val="16"/>
                <w:lang w:eastAsia="de-DE"/>
              </w:rPr>
            </w:pPr>
            <w:r>
              <w:rPr>
                <w:color w:val="000000"/>
                <w:sz w:val="16"/>
                <w:szCs w:val="16"/>
                <w:lang w:eastAsia="de-DE"/>
              </w:rPr>
              <w:t>X6122B1</w:t>
            </w:r>
          </w:p>
          <w:p w14:paraId="35AB3162" w14:textId="77777777" w:rsidR="00944F5E" w:rsidRPr="00EC1787" w:rsidRDefault="00944F5E" w:rsidP="005D37EC">
            <w:pPr>
              <w:rPr>
                <w:color w:val="000000"/>
                <w:sz w:val="16"/>
                <w:szCs w:val="16"/>
                <w:lang w:eastAsia="de-DE"/>
              </w:rPr>
            </w:pPr>
            <w:r>
              <w:rPr>
                <w:color w:val="000000"/>
                <w:sz w:val="16"/>
                <w:szCs w:val="16"/>
                <w:lang w:eastAsia="de-DE"/>
              </w:rPr>
              <w:t>batch Pap V 129.2</w:t>
            </w:r>
          </w:p>
        </w:tc>
        <w:tc>
          <w:tcPr>
            <w:tcW w:w="465" w:type="pct"/>
          </w:tcPr>
          <w:p w14:paraId="03923EC4"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House longhorn beetle: </w:t>
            </w:r>
            <w:r w:rsidRPr="00EC1787">
              <w:rPr>
                <w:i/>
                <w:color w:val="000000"/>
                <w:sz w:val="16"/>
                <w:szCs w:val="16"/>
                <w:lang w:eastAsia="de-DE"/>
              </w:rPr>
              <w:t>Hylotrupes bajulus</w:t>
            </w:r>
            <w:r w:rsidRPr="00EC1787">
              <w:rPr>
                <w:color w:val="000000"/>
                <w:sz w:val="16"/>
                <w:szCs w:val="16"/>
                <w:lang w:eastAsia="de-DE"/>
              </w:rPr>
              <w:t xml:space="preserve"> (L.)</w:t>
            </w:r>
          </w:p>
        </w:tc>
        <w:tc>
          <w:tcPr>
            <w:tcW w:w="580" w:type="pct"/>
          </w:tcPr>
          <w:p w14:paraId="1C7EA798" w14:textId="77777777" w:rsidR="00944F5E" w:rsidRPr="00EC1787" w:rsidRDefault="00944F5E" w:rsidP="005D37EC">
            <w:pPr>
              <w:rPr>
                <w:color w:val="000000"/>
                <w:sz w:val="16"/>
                <w:szCs w:val="16"/>
                <w:lang w:eastAsia="de-DE"/>
              </w:rPr>
            </w:pPr>
            <w:r w:rsidRPr="00EC1787">
              <w:rPr>
                <w:color w:val="000000"/>
                <w:sz w:val="16"/>
                <w:szCs w:val="16"/>
                <w:lang w:eastAsia="de-DE"/>
              </w:rPr>
              <w:t>EN 46 + EN 84 (leaching)</w:t>
            </w:r>
          </w:p>
        </w:tc>
        <w:tc>
          <w:tcPr>
            <w:tcW w:w="1021" w:type="pct"/>
          </w:tcPr>
          <w:p w14:paraId="41F02326"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ready to use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84 standard method (leaching).</w:t>
            </w:r>
          </w:p>
          <w:p w14:paraId="348133BC"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198.2</w:t>
            </w:r>
            <w:r w:rsidRPr="00EC1787">
              <w:rPr>
                <w:color w:val="000000"/>
                <w:sz w:val="16"/>
                <w:szCs w:val="16"/>
                <w:lang w:eastAsia="de-DE"/>
              </w:rPr>
              <w:t xml:space="preserve"> g/m² and </w:t>
            </w:r>
            <w:r>
              <w:rPr>
                <w:color w:val="000000"/>
                <w:sz w:val="16"/>
                <w:szCs w:val="16"/>
                <w:lang w:eastAsia="de-DE"/>
              </w:rPr>
              <w:t>199.2</w:t>
            </w:r>
            <w:r w:rsidRPr="00EC1787">
              <w:rPr>
                <w:color w:val="000000"/>
                <w:sz w:val="16"/>
                <w:szCs w:val="16"/>
                <w:lang w:eastAsia="de-DE"/>
              </w:rPr>
              <w:t xml:space="preserve"> g/m² (mean 1</w:t>
            </w:r>
            <w:r>
              <w:rPr>
                <w:color w:val="000000"/>
                <w:sz w:val="16"/>
                <w:szCs w:val="16"/>
                <w:lang w:eastAsia="de-DE"/>
              </w:rPr>
              <w:t>98</w:t>
            </w:r>
            <w:r w:rsidRPr="00EC1787">
              <w:rPr>
                <w:color w:val="000000"/>
                <w:sz w:val="16"/>
                <w:szCs w:val="16"/>
                <w:lang w:eastAsia="de-DE"/>
              </w:rPr>
              <w:t>.</w:t>
            </w:r>
            <w:r>
              <w:rPr>
                <w:color w:val="000000"/>
                <w:sz w:val="16"/>
                <w:szCs w:val="16"/>
                <w:lang w:eastAsia="de-DE"/>
              </w:rPr>
              <w:t>9</w:t>
            </w:r>
            <w:r w:rsidRPr="00EC1787">
              <w:rPr>
                <w:color w:val="000000"/>
                <w:sz w:val="16"/>
                <w:szCs w:val="16"/>
                <w:lang w:eastAsia="de-DE"/>
              </w:rPr>
              <w:t xml:space="preserve"> g/m²).</w:t>
            </w:r>
          </w:p>
          <w:p w14:paraId="5BAA7F59"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6 replicates for the treated block and 3 replicates for the control are performed.</w:t>
            </w:r>
          </w:p>
          <w:p w14:paraId="36E4612F"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effect investigated is the mortality of insect’s larvae.</w:t>
            </w:r>
          </w:p>
          <w:p w14:paraId="72711878"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The method for recording / scoring effects is the recovery of the insects and count of dead and alive larvae and count of dead larvae having tunneled or not. </w:t>
            </w:r>
          </w:p>
          <w:p w14:paraId="77C4AFF9" w14:textId="77777777" w:rsidR="00944F5E" w:rsidRPr="00EC1787" w:rsidRDefault="00944F5E" w:rsidP="005D37EC">
            <w:pPr>
              <w:rPr>
                <w:color w:val="000000"/>
                <w:sz w:val="16"/>
                <w:szCs w:val="16"/>
                <w:lang w:eastAsia="de-DE"/>
              </w:rPr>
            </w:pPr>
            <w:r w:rsidRPr="00EC1787">
              <w:rPr>
                <w:color w:val="000000"/>
                <w:sz w:val="16"/>
                <w:szCs w:val="16"/>
                <w:lang w:val="en-US" w:eastAsia="de-DE"/>
              </w:rPr>
              <w:t>- Intervals of examination: one time, after 1 month exposure of the blocks to the insects.</w:t>
            </w:r>
          </w:p>
        </w:tc>
        <w:tc>
          <w:tcPr>
            <w:tcW w:w="926" w:type="pct"/>
          </w:tcPr>
          <w:p w14:paraId="4F9FD160" w14:textId="77777777" w:rsidR="00944F5E" w:rsidRPr="00EC1787" w:rsidRDefault="00944F5E" w:rsidP="005D37EC">
            <w:pPr>
              <w:rPr>
                <w:color w:val="000000"/>
                <w:sz w:val="16"/>
                <w:szCs w:val="16"/>
                <w:lang w:eastAsia="de-DE"/>
              </w:rPr>
            </w:pPr>
            <w:r w:rsidRPr="00EC1787">
              <w:rPr>
                <w:color w:val="000000"/>
                <w:sz w:val="16"/>
                <w:szCs w:val="16"/>
                <w:lang w:eastAsia="de-DE"/>
              </w:rPr>
              <w:t>The study is validated as the survival rate in the control is higher than 70 % (90%).</w:t>
            </w:r>
          </w:p>
          <w:p w14:paraId="41303BB2" w14:textId="77777777" w:rsidR="00944F5E" w:rsidRPr="00EC1787" w:rsidRDefault="00944F5E" w:rsidP="005D37EC">
            <w:pPr>
              <w:rPr>
                <w:color w:val="000000"/>
                <w:sz w:val="16"/>
                <w:szCs w:val="16"/>
                <w:lang w:eastAsia="de-DE"/>
              </w:rPr>
            </w:pPr>
            <w:r w:rsidRPr="00EC1787">
              <w:rPr>
                <w:color w:val="000000"/>
                <w:sz w:val="16"/>
                <w:szCs w:val="16"/>
                <w:lang w:eastAsia="de-DE"/>
              </w:rPr>
              <w:t>On the treated test block, 100 % or the larvae was dead and had not tunnelled.</w:t>
            </w:r>
          </w:p>
          <w:p w14:paraId="726F041D" w14:textId="77777777" w:rsidR="00944F5E" w:rsidRPr="00EC1787" w:rsidRDefault="00944F5E" w:rsidP="005D37EC">
            <w:pPr>
              <w:rPr>
                <w:b/>
                <w:color w:val="000000"/>
                <w:sz w:val="16"/>
                <w:szCs w:val="16"/>
                <w:lang w:eastAsia="de-DE"/>
              </w:rPr>
            </w:pPr>
            <w:r w:rsidRPr="00EC1787">
              <w:rPr>
                <w:b/>
                <w:color w:val="000000"/>
                <w:sz w:val="16"/>
                <w:szCs w:val="16"/>
                <w:lang w:eastAsia="de-DE"/>
              </w:rPr>
              <w:t xml:space="preserve">This study demonstrated the efficacy of the product at </w:t>
            </w:r>
            <w:r>
              <w:rPr>
                <w:b/>
                <w:color w:val="000000"/>
                <w:sz w:val="16"/>
                <w:szCs w:val="16"/>
                <w:lang w:eastAsia="de-DE"/>
              </w:rPr>
              <w:t>198.9</w:t>
            </w:r>
            <w:r w:rsidRPr="00EC1787">
              <w:rPr>
                <w:b/>
                <w:color w:val="000000"/>
                <w:sz w:val="16"/>
                <w:szCs w:val="16"/>
                <w:lang w:eastAsia="de-DE"/>
              </w:rPr>
              <w:t xml:space="preserve"> g of product</w:t>
            </w:r>
            <w:r>
              <w:rPr>
                <w:b/>
                <w:color w:val="000000"/>
                <w:sz w:val="16"/>
                <w:szCs w:val="16"/>
                <w:lang w:eastAsia="de-DE"/>
              </w:rPr>
              <w:t xml:space="preserve"> X6122B1</w:t>
            </w:r>
            <w:r w:rsidRPr="00EC1787">
              <w:rPr>
                <w:b/>
                <w:color w:val="000000"/>
                <w:sz w:val="16"/>
                <w:szCs w:val="16"/>
                <w:lang w:eastAsia="de-DE"/>
              </w:rPr>
              <w:t xml:space="preserve"> / m² of wood against </w:t>
            </w:r>
            <w:r w:rsidRPr="00EC1787">
              <w:rPr>
                <w:b/>
                <w:i/>
                <w:color w:val="000000"/>
                <w:sz w:val="16"/>
                <w:szCs w:val="16"/>
                <w:lang w:eastAsia="de-DE"/>
              </w:rPr>
              <w:t>Hylotrupes bajulus</w:t>
            </w:r>
            <w:r w:rsidRPr="00EC1787">
              <w:rPr>
                <w:b/>
                <w:color w:val="000000"/>
                <w:sz w:val="16"/>
                <w:szCs w:val="16"/>
                <w:lang w:eastAsia="de-DE"/>
              </w:rPr>
              <w:t xml:space="preserve"> larvae</w:t>
            </w:r>
          </w:p>
        </w:tc>
        <w:tc>
          <w:tcPr>
            <w:tcW w:w="572" w:type="pct"/>
          </w:tcPr>
          <w:p w14:paraId="27FDAE52" w14:textId="77777777" w:rsidR="00944F5E" w:rsidRPr="00B20360" w:rsidRDefault="00944F5E" w:rsidP="005D37EC">
            <w:pPr>
              <w:rPr>
                <w:color w:val="000000"/>
                <w:sz w:val="16"/>
                <w:szCs w:val="16"/>
                <w:lang w:eastAsia="de-DE"/>
              </w:rPr>
            </w:pPr>
            <w:r w:rsidRPr="00B20360">
              <w:rPr>
                <w:color w:val="000000"/>
                <w:sz w:val="16"/>
                <w:szCs w:val="16"/>
                <w:lang w:eastAsia="de-DE"/>
              </w:rPr>
              <w:t>Brunet C. and</w:t>
            </w:r>
            <w:r>
              <w:rPr>
                <w:color w:val="000000"/>
                <w:sz w:val="16"/>
                <w:szCs w:val="16"/>
                <w:lang w:eastAsia="de-DE"/>
              </w:rPr>
              <w:t xml:space="preserve"> </w:t>
            </w:r>
            <w:r w:rsidRPr="00B20360">
              <w:rPr>
                <w:color w:val="000000"/>
                <w:sz w:val="16"/>
                <w:szCs w:val="16"/>
                <w:lang w:eastAsia="de-DE"/>
              </w:rPr>
              <w:t>Paulmier I.,</w:t>
            </w:r>
          </w:p>
          <w:p w14:paraId="4A1534EA" w14:textId="77777777" w:rsidR="00944F5E" w:rsidRDefault="00944F5E" w:rsidP="005D37EC">
            <w:pPr>
              <w:rPr>
                <w:color w:val="000000"/>
                <w:sz w:val="16"/>
                <w:szCs w:val="16"/>
                <w:lang w:eastAsia="de-DE"/>
              </w:rPr>
            </w:pPr>
            <w:r w:rsidRPr="00B20360">
              <w:rPr>
                <w:color w:val="000000"/>
                <w:sz w:val="16"/>
                <w:szCs w:val="16"/>
                <w:lang w:eastAsia="de-DE"/>
              </w:rPr>
              <w:t>2016</w:t>
            </w:r>
          </w:p>
          <w:p w14:paraId="2A9BC688" w14:textId="77777777" w:rsidR="00944F5E" w:rsidRPr="00B20360" w:rsidRDefault="00944F5E" w:rsidP="005D37EC">
            <w:pPr>
              <w:rPr>
                <w:color w:val="000000"/>
                <w:sz w:val="16"/>
                <w:szCs w:val="16"/>
                <w:lang w:eastAsia="de-DE"/>
              </w:rPr>
            </w:pPr>
          </w:p>
          <w:p w14:paraId="351C1ADC" w14:textId="77777777" w:rsidR="00944F5E" w:rsidRPr="00B20360" w:rsidRDefault="00944F5E" w:rsidP="005D37EC">
            <w:pPr>
              <w:rPr>
                <w:color w:val="000000"/>
                <w:sz w:val="16"/>
                <w:szCs w:val="16"/>
                <w:lang w:val="en-US" w:eastAsia="de-DE"/>
              </w:rPr>
            </w:pPr>
            <w:r w:rsidRPr="00B20360">
              <w:rPr>
                <w:color w:val="000000"/>
                <w:sz w:val="16"/>
                <w:szCs w:val="16"/>
                <w:lang w:eastAsia="de-DE"/>
              </w:rPr>
              <w:t>S6.7_06</w:t>
            </w:r>
          </w:p>
          <w:p w14:paraId="123F4064" w14:textId="77777777" w:rsidR="00944F5E" w:rsidRPr="00EC1787" w:rsidRDefault="00944F5E" w:rsidP="005D37EC">
            <w:pPr>
              <w:rPr>
                <w:color w:val="000000"/>
                <w:sz w:val="16"/>
                <w:szCs w:val="16"/>
                <w:lang w:eastAsia="de-DE"/>
              </w:rPr>
            </w:pPr>
            <w:r>
              <w:rPr>
                <w:color w:val="000000"/>
                <w:sz w:val="16"/>
                <w:szCs w:val="16"/>
                <w:lang w:eastAsia="de-DE"/>
              </w:rPr>
              <w:t>401/16/039F/a-e</w:t>
            </w:r>
          </w:p>
          <w:p w14:paraId="1F960755" w14:textId="77777777" w:rsidR="00944F5E" w:rsidRPr="00EC1787" w:rsidRDefault="00944F5E" w:rsidP="005D37EC">
            <w:pPr>
              <w:rPr>
                <w:color w:val="000000"/>
                <w:sz w:val="16"/>
                <w:szCs w:val="16"/>
                <w:lang w:eastAsia="de-DE"/>
              </w:rPr>
            </w:pPr>
          </w:p>
          <w:p w14:paraId="59A41AE6" w14:textId="77777777" w:rsidR="00944F5E" w:rsidRPr="00EC1787" w:rsidRDefault="00944F5E" w:rsidP="005D37EC">
            <w:pPr>
              <w:rPr>
                <w:color w:val="000000"/>
                <w:sz w:val="16"/>
                <w:szCs w:val="16"/>
                <w:lang w:eastAsia="de-DE"/>
              </w:rPr>
            </w:pPr>
            <w:r w:rsidRPr="00EC1787">
              <w:rPr>
                <w:color w:val="000000"/>
                <w:sz w:val="16"/>
                <w:szCs w:val="16"/>
                <w:lang w:eastAsia="de-DE"/>
              </w:rPr>
              <w:t>IC 1</w:t>
            </w:r>
          </w:p>
        </w:tc>
      </w:tr>
      <w:tr w:rsidR="00944F5E" w:rsidRPr="00B20360" w14:paraId="6E71945C" w14:textId="77777777" w:rsidTr="005D37EC">
        <w:tc>
          <w:tcPr>
            <w:tcW w:w="366" w:type="pct"/>
          </w:tcPr>
          <w:p w14:paraId="71D83A4A" w14:textId="77777777" w:rsidR="00944F5E" w:rsidRPr="00EC1787" w:rsidRDefault="00944F5E" w:rsidP="005D37EC">
            <w:pPr>
              <w:rPr>
                <w:rFonts w:ascii="Arial" w:hAnsi="Arial" w:cs="Arial"/>
                <w:sz w:val="16"/>
                <w:szCs w:val="16"/>
              </w:rPr>
            </w:pPr>
            <w:r w:rsidRPr="00EC1787">
              <w:rPr>
                <w:rFonts w:ascii="Arial" w:hAnsi="Arial" w:cs="Arial"/>
                <w:sz w:val="16"/>
                <w:szCs w:val="16"/>
              </w:rPr>
              <w:t>MG 02: preservatives</w:t>
            </w:r>
          </w:p>
        </w:tc>
        <w:tc>
          <w:tcPr>
            <w:tcW w:w="476" w:type="pct"/>
          </w:tcPr>
          <w:p w14:paraId="0F4121BF"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50B84F6A"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94" w:type="pct"/>
          </w:tcPr>
          <w:p w14:paraId="49CB63BC" w14:textId="77777777" w:rsidR="00944F5E" w:rsidRPr="00B20360" w:rsidRDefault="00944F5E" w:rsidP="005D37EC">
            <w:pPr>
              <w:rPr>
                <w:color w:val="000000"/>
                <w:sz w:val="16"/>
                <w:szCs w:val="16"/>
                <w:lang w:eastAsia="de-DE"/>
              </w:rPr>
            </w:pPr>
            <w:r w:rsidRPr="00B20360">
              <w:rPr>
                <w:color w:val="000000"/>
                <w:sz w:val="16"/>
                <w:szCs w:val="16"/>
                <w:lang w:eastAsia="de-DE"/>
              </w:rPr>
              <w:t>X6122B1</w:t>
            </w:r>
          </w:p>
          <w:p w14:paraId="1ABDEF0D" w14:textId="77777777" w:rsidR="00944F5E" w:rsidRPr="00B20360" w:rsidRDefault="00944F5E" w:rsidP="005D37EC">
            <w:pPr>
              <w:rPr>
                <w:color w:val="000000"/>
                <w:sz w:val="16"/>
                <w:szCs w:val="16"/>
                <w:lang w:eastAsia="de-DE"/>
              </w:rPr>
            </w:pPr>
            <w:r w:rsidRPr="00B20360">
              <w:rPr>
                <w:color w:val="000000"/>
                <w:sz w:val="16"/>
                <w:szCs w:val="16"/>
                <w:lang w:eastAsia="de-DE"/>
              </w:rPr>
              <w:t>batch 1405900037</w:t>
            </w:r>
          </w:p>
        </w:tc>
        <w:tc>
          <w:tcPr>
            <w:tcW w:w="465" w:type="pct"/>
          </w:tcPr>
          <w:p w14:paraId="038891B4" w14:textId="77777777" w:rsidR="00944F5E" w:rsidRPr="00EC1787" w:rsidRDefault="00944F5E" w:rsidP="005D37EC">
            <w:pPr>
              <w:rPr>
                <w:color w:val="000000"/>
                <w:sz w:val="16"/>
                <w:szCs w:val="16"/>
                <w:lang w:eastAsia="de-DE"/>
              </w:rPr>
            </w:pPr>
            <w:r w:rsidRPr="00EC1787">
              <w:rPr>
                <w:color w:val="000000"/>
                <w:sz w:val="16"/>
                <w:szCs w:val="16"/>
                <w:lang w:eastAsia="de-DE"/>
              </w:rPr>
              <w:t>Common furniture beetle</w:t>
            </w:r>
          </w:p>
        </w:tc>
        <w:tc>
          <w:tcPr>
            <w:tcW w:w="580" w:type="pct"/>
          </w:tcPr>
          <w:p w14:paraId="294A60E9" w14:textId="77777777" w:rsidR="00944F5E" w:rsidRPr="00EC1787" w:rsidRDefault="00944F5E" w:rsidP="005D37EC">
            <w:pPr>
              <w:rPr>
                <w:color w:val="000000"/>
                <w:sz w:val="16"/>
                <w:szCs w:val="16"/>
                <w:lang w:eastAsia="de-DE"/>
              </w:rPr>
            </w:pPr>
            <w:r w:rsidRPr="00EC1787">
              <w:rPr>
                <w:color w:val="000000"/>
                <w:sz w:val="16"/>
                <w:szCs w:val="16"/>
                <w:lang w:eastAsia="de-DE"/>
              </w:rPr>
              <w:t>EN 49 + EN 73</w:t>
            </w:r>
          </w:p>
          <w:p w14:paraId="25749F2A" w14:textId="77777777" w:rsidR="00944F5E" w:rsidRPr="00EC1787" w:rsidRDefault="00944F5E" w:rsidP="005D37EC">
            <w:pPr>
              <w:rPr>
                <w:color w:val="000000"/>
                <w:sz w:val="16"/>
                <w:szCs w:val="16"/>
                <w:lang w:eastAsia="de-DE"/>
              </w:rPr>
            </w:pPr>
            <w:r w:rsidRPr="00EC1787">
              <w:rPr>
                <w:color w:val="000000"/>
                <w:sz w:val="16"/>
                <w:szCs w:val="16"/>
                <w:lang w:eastAsia="de-DE"/>
              </w:rPr>
              <w:t>(evaporation)</w:t>
            </w:r>
          </w:p>
        </w:tc>
        <w:tc>
          <w:tcPr>
            <w:tcW w:w="1021" w:type="pct"/>
          </w:tcPr>
          <w:p w14:paraId="060AE3E8"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6AD5DFFE" w14:textId="77777777" w:rsidR="00944F5E" w:rsidRPr="00EC1787" w:rsidRDefault="00944F5E" w:rsidP="005D37EC">
            <w:pPr>
              <w:rPr>
                <w:color w:val="000000"/>
                <w:sz w:val="16"/>
                <w:szCs w:val="16"/>
                <w:lang w:eastAsia="de-DE"/>
              </w:rPr>
            </w:pPr>
            <w:r w:rsidRPr="00EC1787">
              <w:rPr>
                <w:color w:val="000000"/>
                <w:sz w:val="16"/>
                <w:szCs w:val="16"/>
                <w:lang w:eastAsia="de-DE"/>
              </w:rPr>
              <w:t>The quantity really applied on each test block varied between 19</w:t>
            </w:r>
            <w:r>
              <w:rPr>
                <w:color w:val="000000"/>
                <w:sz w:val="16"/>
                <w:szCs w:val="16"/>
                <w:lang w:eastAsia="de-DE"/>
              </w:rPr>
              <w:t>9</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and </w:t>
            </w:r>
            <w:r>
              <w:rPr>
                <w:color w:val="000000"/>
                <w:sz w:val="16"/>
                <w:szCs w:val="16"/>
                <w:lang w:eastAsia="de-DE"/>
              </w:rPr>
              <w:t>201.7</w:t>
            </w:r>
            <w:r w:rsidRPr="00EC1787">
              <w:rPr>
                <w:color w:val="000000"/>
                <w:sz w:val="16"/>
                <w:szCs w:val="16"/>
                <w:lang w:eastAsia="de-DE"/>
              </w:rPr>
              <w:t xml:space="preserve"> g/m² (mean </w:t>
            </w:r>
            <w:r>
              <w:rPr>
                <w:color w:val="000000"/>
                <w:sz w:val="16"/>
                <w:szCs w:val="16"/>
                <w:lang w:eastAsia="de-DE"/>
              </w:rPr>
              <w:t>200.3</w:t>
            </w:r>
            <w:r w:rsidRPr="00EC1787">
              <w:rPr>
                <w:color w:val="000000"/>
                <w:sz w:val="16"/>
                <w:szCs w:val="16"/>
                <w:lang w:eastAsia="de-DE"/>
              </w:rPr>
              <w:t xml:space="preserve"> g/m²).</w:t>
            </w:r>
          </w:p>
          <w:p w14:paraId="29FF13A1"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5 replicates for the treated block and for the control are performed.</w:t>
            </w:r>
          </w:p>
          <w:p w14:paraId="39A0C0CF"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The efficacy of the product is based on the comparison of egg laying, eggs emergence </w:t>
            </w:r>
            <w:r w:rsidRPr="00EC1787">
              <w:rPr>
                <w:color w:val="000000"/>
                <w:sz w:val="16"/>
                <w:szCs w:val="16"/>
                <w:lang w:val="en-US" w:eastAsia="de-DE"/>
              </w:rPr>
              <w:lastRenderedPageBreak/>
              <w:t>and mortality larvae between control blocks and treated blocks.</w:t>
            </w:r>
          </w:p>
          <w:p w14:paraId="67119D50" w14:textId="77777777" w:rsidR="00944F5E" w:rsidRPr="00EC1787" w:rsidRDefault="00944F5E" w:rsidP="005D37EC">
            <w:pPr>
              <w:rPr>
                <w:color w:val="000000"/>
                <w:sz w:val="16"/>
                <w:szCs w:val="16"/>
                <w:lang w:eastAsia="de-DE"/>
              </w:rPr>
            </w:pPr>
            <w:r w:rsidRPr="00EC1787">
              <w:rPr>
                <w:color w:val="000000"/>
                <w:sz w:val="16"/>
                <w:szCs w:val="16"/>
                <w:lang w:val="en-US" w:eastAsia="de-DE"/>
              </w:rPr>
              <w:t>The method for recording / scoring effects is the count of eggs laid, eggs hatched and alive larvae found.</w:t>
            </w:r>
          </w:p>
        </w:tc>
        <w:tc>
          <w:tcPr>
            <w:tcW w:w="926" w:type="pct"/>
          </w:tcPr>
          <w:p w14:paraId="29CCF748" w14:textId="77777777" w:rsidR="00944F5E" w:rsidRPr="00EC1787" w:rsidRDefault="00944F5E" w:rsidP="005D37EC">
            <w:pPr>
              <w:rPr>
                <w:color w:val="000000"/>
                <w:sz w:val="16"/>
                <w:szCs w:val="16"/>
                <w:lang w:eastAsia="de-DE"/>
              </w:rPr>
            </w:pPr>
            <w:r w:rsidRPr="00EC1787">
              <w:rPr>
                <w:color w:val="000000"/>
                <w:sz w:val="16"/>
                <w:szCs w:val="16"/>
                <w:lang w:eastAsia="de-DE"/>
              </w:rPr>
              <w:lastRenderedPageBreak/>
              <w:t>The study is validated as more than 50 alive larvae in total are found in the control and as alive larvae are found in each control block</w:t>
            </w:r>
          </w:p>
          <w:p w14:paraId="37374A3E" w14:textId="77777777" w:rsidR="00944F5E" w:rsidRPr="00EC1787" w:rsidRDefault="00944F5E" w:rsidP="005D37EC">
            <w:pPr>
              <w:rPr>
                <w:color w:val="000000"/>
                <w:sz w:val="16"/>
                <w:szCs w:val="16"/>
                <w:lang w:eastAsia="de-DE"/>
              </w:rPr>
            </w:pPr>
            <w:r w:rsidRPr="00EC1787">
              <w:rPr>
                <w:b/>
                <w:color w:val="000000"/>
                <w:sz w:val="16"/>
                <w:szCs w:val="16"/>
                <w:lang w:eastAsia="de-DE"/>
              </w:rPr>
              <w:t>This study demonstrated the efficacy of the product at 200</w:t>
            </w:r>
            <w:r>
              <w:rPr>
                <w:b/>
                <w:color w:val="000000"/>
                <w:sz w:val="16"/>
                <w:szCs w:val="16"/>
                <w:lang w:eastAsia="de-DE"/>
              </w:rPr>
              <w:t>.3</w:t>
            </w:r>
            <w:r w:rsidRPr="00EC1787">
              <w:rPr>
                <w:b/>
                <w:color w:val="000000"/>
                <w:sz w:val="16"/>
                <w:szCs w:val="16"/>
                <w:lang w:eastAsia="de-DE"/>
              </w:rPr>
              <w:t xml:space="preserve"> g of product</w:t>
            </w:r>
            <w:r>
              <w:rPr>
                <w:b/>
                <w:color w:val="000000"/>
                <w:sz w:val="16"/>
                <w:szCs w:val="16"/>
                <w:lang w:eastAsia="de-DE"/>
              </w:rPr>
              <w:t xml:space="preserve"> X6122B1</w:t>
            </w:r>
            <w:r w:rsidRPr="00EC1787">
              <w:rPr>
                <w:b/>
                <w:color w:val="000000"/>
                <w:sz w:val="16"/>
                <w:szCs w:val="16"/>
                <w:lang w:eastAsia="de-DE"/>
              </w:rPr>
              <w:t xml:space="preserve"> / m² of wood against </w:t>
            </w:r>
            <w:r w:rsidRPr="00EC1787">
              <w:rPr>
                <w:b/>
                <w:i/>
                <w:color w:val="000000"/>
                <w:sz w:val="16"/>
                <w:szCs w:val="16"/>
                <w:lang w:eastAsia="de-DE"/>
              </w:rPr>
              <w:t>Anobium punctatum</w:t>
            </w:r>
          </w:p>
        </w:tc>
        <w:tc>
          <w:tcPr>
            <w:tcW w:w="572" w:type="pct"/>
          </w:tcPr>
          <w:p w14:paraId="5F27F221"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Brunet C.and Paulmier I., 201</w:t>
            </w:r>
            <w:r>
              <w:rPr>
                <w:color w:val="000000"/>
                <w:sz w:val="16"/>
                <w:szCs w:val="16"/>
                <w:lang w:val="fr-FR" w:eastAsia="de-DE"/>
              </w:rPr>
              <w:t>7</w:t>
            </w:r>
          </w:p>
          <w:p w14:paraId="1A80D261" w14:textId="77777777" w:rsidR="00944F5E" w:rsidRPr="00EC1787" w:rsidRDefault="00944F5E" w:rsidP="005D37EC">
            <w:pPr>
              <w:rPr>
                <w:color w:val="000000"/>
                <w:sz w:val="16"/>
                <w:szCs w:val="16"/>
                <w:lang w:val="fr-FR" w:eastAsia="de-DE"/>
              </w:rPr>
            </w:pPr>
            <w:r>
              <w:rPr>
                <w:color w:val="000000"/>
                <w:sz w:val="16"/>
                <w:szCs w:val="16"/>
                <w:lang w:val="fr-FR" w:eastAsia="de-DE"/>
              </w:rPr>
              <w:t>S6.7_07</w:t>
            </w:r>
          </w:p>
          <w:p w14:paraId="5B13866A"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401/14/</w:t>
            </w:r>
            <w:r>
              <w:rPr>
                <w:color w:val="000000"/>
                <w:sz w:val="16"/>
                <w:szCs w:val="16"/>
                <w:lang w:val="fr-FR" w:eastAsia="de-DE"/>
              </w:rPr>
              <w:t>136</w:t>
            </w:r>
            <w:r w:rsidRPr="00EC1787">
              <w:rPr>
                <w:color w:val="000000"/>
                <w:sz w:val="16"/>
                <w:szCs w:val="16"/>
                <w:lang w:val="fr-FR" w:eastAsia="de-DE"/>
              </w:rPr>
              <w:t>F/</w:t>
            </w:r>
            <w:proofErr w:type="gramStart"/>
            <w:r w:rsidRPr="00EC1787">
              <w:rPr>
                <w:color w:val="000000"/>
                <w:sz w:val="16"/>
                <w:szCs w:val="16"/>
                <w:lang w:val="fr-FR" w:eastAsia="de-DE"/>
              </w:rPr>
              <w:t>a</w:t>
            </w:r>
            <w:r>
              <w:rPr>
                <w:color w:val="000000"/>
                <w:sz w:val="16"/>
                <w:szCs w:val="16"/>
                <w:lang w:val="fr-FR" w:eastAsia="de-DE"/>
              </w:rPr>
              <w:t>,b</w:t>
            </w:r>
            <w:proofErr w:type="gramEnd"/>
            <w:r>
              <w:rPr>
                <w:color w:val="000000"/>
                <w:sz w:val="16"/>
                <w:szCs w:val="16"/>
                <w:lang w:val="fr-FR" w:eastAsia="de-DE"/>
              </w:rPr>
              <w:t>,e</w:t>
            </w:r>
          </w:p>
          <w:p w14:paraId="17186CAC" w14:textId="77777777" w:rsidR="00944F5E" w:rsidRPr="00EC1787" w:rsidRDefault="00944F5E" w:rsidP="005D37EC">
            <w:pPr>
              <w:rPr>
                <w:color w:val="000000"/>
                <w:sz w:val="16"/>
                <w:szCs w:val="16"/>
                <w:lang w:val="fr-FR" w:eastAsia="de-DE"/>
              </w:rPr>
            </w:pPr>
          </w:p>
          <w:p w14:paraId="1F0DC5FF" w14:textId="77777777" w:rsidR="00944F5E" w:rsidRPr="00EC1787" w:rsidRDefault="00944F5E" w:rsidP="005D37EC">
            <w:pPr>
              <w:rPr>
                <w:color w:val="000000"/>
                <w:sz w:val="16"/>
                <w:szCs w:val="16"/>
                <w:lang w:val="en-US" w:eastAsia="de-DE"/>
              </w:rPr>
            </w:pPr>
            <w:r w:rsidRPr="00EC1787">
              <w:rPr>
                <w:color w:val="000000"/>
                <w:sz w:val="16"/>
                <w:szCs w:val="16"/>
                <w:lang w:val="fr-FR" w:eastAsia="de-DE"/>
              </w:rPr>
              <w:t>IC1</w:t>
            </w:r>
          </w:p>
        </w:tc>
      </w:tr>
      <w:tr w:rsidR="00944F5E" w:rsidRPr="00B20360" w14:paraId="6CDF3FB2" w14:textId="77777777" w:rsidTr="005D37EC">
        <w:tc>
          <w:tcPr>
            <w:tcW w:w="366" w:type="pct"/>
          </w:tcPr>
          <w:p w14:paraId="16558DA1" w14:textId="77777777" w:rsidR="00944F5E" w:rsidRPr="00EC1787" w:rsidRDefault="00944F5E" w:rsidP="005D37EC">
            <w:pPr>
              <w:rPr>
                <w:rFonts w:ascii="Arial" w:hAnsi="Arial" w:cs="Arial"/>
                <w:sz w:val="16"/>
                <w:szCs w:val="16"/>
              </w:rPr>
            </w:pPr>
            <w:r w:rsidRPr="00EC1787">
              <w:rPr>
                <w:rFonts w:ascii="Arial" w:hAnsi="Arial" w:cs="Arial"/>
                <w:sz w:val="16"/>
                <w:szCs w:val="16"/>
              </w:rPr>
              <w:t>MG 02: preservatives</w:t>
            </w:r>
          </w:p>
        </w:tc>
        <w:tc>
          <w:tcPr>
            <w:tcW w:w="476" w:type="pct"/>
          </w:tcPr>
          <w:p w14:paraId="6B2704DF"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52F2BF5E"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94" w:type="pct"/>
          </w:tcPr>
          <w:p w14:paraId="45A469C4" w14:textId="77777777" w:rsidR="00944F5E" w:rsidRPr="00B20360" w:rsidRDefault="00944F5E" w:rsidP="005D37EC">
            <w:pPr>
              <w:rPr>
                <w:color w:val="000000"/>
                <w:sz w:val="16"/>
                <w:szCs w:val="16"/>
                <w:lang w:eastAsia="de-DE"/>
              </w:rPr>
            </w:pPr>
            <w:r w:rsidRPr="00B20360">
              <w:rPr>
                <w:color w:val="000000"/>
                <w:sz w:val="16"/>
                <w:szCs w:val="16"/>
                <w:lang w:eastAsia="de-DE"/>
              </w:rPr>
              <w:t>X6122B1</w:t>
            </w:r>
          </w:p>
          <w:p w14:paraId="4F7A5E44" w14:textId="77777777" w:rsidR="00944F5E" w:rsidRPr="00B20360" w:rsidRDefault="00944F5E" w:rsidP="005D37EC">
            <w:pPr>
              <w:rPr>
                <w:color w:val="000000"/>
                <w:sz w:val="16"/>
                <w:szCs w:val="16"/>
                <w:lang w:eastAsia="de-DE"/>
              </w:rPr>
            </w:pPr>
            <w:r w:rsidRPr="00B20360">
              <w:rPr>
                <w:color w:val="000000"/>
                <w:sz w:val="16"/>
                <w:szCs w:val="16"/>
                <w:lang w:eastAsia="de-DE"/>
              </w:rPr>
              <w:t>batch 1405900037</w:t>
            </w:r>
          </w:p>
        </w:tc>
        <w:tc>
          <w:tcPr>
            <w:tcW w:w="465" w:type="pct"/>
          </w:tcPr>
          <w:p w14:paraId="247F3D48" w14:textId="77777777" w:rsidR="00944F5E" w:rsidRPr="00EC1787" w:rsidRDefault="00944F5E" w:rsidP="005D37EC">
            <w:pPr>
              <w:rPr>
                <w:color w:val="000000"/>
                <w:sz w:val="16"/>
                <w:szCs w:val="16"/>
                <w:lang w:eastAsia="de-DE"/>
              </w:rPr>
            </w:pPr>
            <w:r w:rsidRPr="00EC1787">
              <w:rPr>
                <w:color w:val="000000"/>
                <w:sz w:val="16"/>
                <w:szCs w:val="16"/>
                <w:lang w:eastAsia="de-DE"/>
              </w:rPr>
              <w:t>Common furniture beetle</w:t>
            </w:r>
          </w:p>
        </w:tc>
        <w:tc>
          <w:tcPr>
            <w:tcW w:w="580" w:type="pct"/>
          </w:tcPr>
          <w:p w14:paraId="405EC02F" w14:textId="77777777" w:rsidR="00944F5E" w:rsidRPr="00EC1787" w:rsidRDefault="00944F5E" w:rsidP="005D37EC">
            <w:pPr>
              <w:rPr>
                <w:color w:val="000000"/>
                <w:sz w:val="16"/>
                <w:szCs w:val="16"/>
                <w:lang w:eastAsia="de-DE"/>
              </w:rPr>
            </w:pPr>
            <w:r w:rsidRPr="00EC1787">
              <w:rPr>
                <w:color w:val="000000"/>
                <w:sz w:val="16"/>
                <w:szCs w:val="16"/>
                <w:lang w:eastAsia="de-DE"/>
              </w:rPr>
              <w:t>EN 49 + EN 84</w:t>
            </w:r>
          </w:p>
          <w:p w14:paraId="0DFF9A6D" w14:textId="77777777" w:rsidR="00944F5E" w:rsidRPr="00EC1787" w:rsidRDefault="00944F5E" w:rsidP="005D37EC">
            <w:pPr>
              <w:rPr>
                <w:color w:val="000000"/>
                <w:sz w:val="16"/>
                <w:szCs w:val="16"/>
                <w:lang w:eastAsia="de-DE"/>
              </w:rPr>
            </w:pPr>
            <w:r w:rsidRPr="00EC1787">
              <w:rPr>
                <w:color w:val="000000"/>
                <w:sz w:val="16"/>
                <w:szCs w:val="16"/>
                <w:lang w:eastAsia="de-DE"/>
              </w:rPr>
              <w:t>(leaching</w:t>
            </w:r>
            <w:r>
              <w:rPr>
                <w:color w:val="000000"/>
                <w:sz w:val="16"/>
                <w:szCs w:val="16"/>
                <w:lang w:eastAsia="de-DE"/>
              </w:rPr>
              <w:t>)</w:t>
            </w:r>
          </w:p>
        </w:tc>
        <w:tc>
          <w:tcPr>
            <w:tcW w:w="1021" w:type="pct"/>
          </w:tcPr>
          <w:p w14:paraId="21D408CA"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ready to use product 06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84 standard method (leaching).</w:t>
            </w:r>
          </w:p>
          <w:p w14:paraId="5E61E1E8" w14:textId="77777777" w:rsidR="00944F5E" w:rsidRPr="00EC1787" w:rsidRDefault="00944F5E" w:rsidP="005D37EC">
            <w:pPr>
              <w:rPr>
                <w:color w:val="000000"/>
                <w:sz w:val="16"/>
                <w:szCs w:val="16"/>
                <w:lang w:eastAsia="de-DE"/>
              </w:rPr>
            </w:pPr>
            <w:r w:rsidRPr="00EC1787">
              <w:rPr>
                <w:color w:val="000000"/>
                <w:sz w:val="16"/>
                <w:szCs w:val="16"/>
                <w:lang w:eastAsia="de-DE"/>
              </w:rPr>
              <w:t>The quantity really applied on each test block varied between 198.</w:t>
            </w:r>
            <w:r>
              <w:rPr>
                <w:color w:val="000000"/>
                <w:sz w:val="16"/>
                <w:szCs w:val="16"/>
                <w:lang w:eastAsia="de-DE"/>
              </w:rPr>
              <w:t>9</w:t>
            </w:r>
            <w:r w:rsidRPr="00EC1787">
              <w:rPr>
                <w:color w:val="000000"/>
                <w:sz w:val="16"/>
                <w:szCs w:val="16"/>
                <w:lang w:eastAsia="de-DE"/>
              </w:rPr>
              <w:t xml:space="preserve"> g/m² and 20</w:t>
            </w:r>
            <w:r>
              <w:rPr>
                <w:color w:val="000000"/>
                <w:sz w:val="16"/>
                <w:szCs w:val="16"/>
                <w:lang w:eastAsia="de-DE"/>
              </w:rPr>
              <w:t>1</w:t>
            </w:r>
            <w:r w:rsidRPr="00EC1787">
              <w:rPr>
                <w:color w:val="000000"/>
                <w:sz w:val="16"/>
                <w:szCs w:val="16"/>
                <w:lang w:eastAsia="de-DE"/>
              </w:rPr>
              <w:t xml:space="preserve">.2 g/m² (mean </w:t>
            </w:r>
            <w:r>
              <w:rPr>
                <w:color w:val="000000"/>
                <w:sz w:val="16"/>
                <w:szCs w:val="16"/>
                <w:lang w:eastAsia="de-DE"/>
              </w:rPr>
              <w:t>200</w:t>
            </w:r>
            <w:r w:rsidRPr="00EC1787">
              <w:rPr>
                <w:color w:val="000000"/>
                <w:sz w:val="16"/>
                <w:szCs w:val="16"/>
                <w:lang w:eastAsia="de-DE"/>
              </w:rPr>
              <w:t xml:space="preserve"> g/m²).</w:t>
            </w:r>
          </w:p>
          <w:p w14:paraId="6C2467C8"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5 replicates for the treated block and for the control are performed.</w:t>
            </w:r>
          </w:p>
          <w:p w14:paraId="4BAE5014"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efficacy of the product is based on the comparison of egg laying, eggs emergence and mortality larvae between control blocks and treated blocks.</w:t>
            </w:r>
          </w:p>
          <w:p w14:paraId="7942E2CF" w14:textId="77777777" w:rsidR="00944F5E" w:rsidRPr="00EC1787" w:rsidRDefault="00944F5E" w:rsidP="005D37EC">
            <w:pPr>
              <w:rPr>
                <w:color w:val="000000"/>
                <w:sz w:val="16"/>
                <w:szCs w:val="16"/>
                <w:lang w:eastAsia="de-DE"/>
              </w:rPr>
            </w:pPr>
            <w:r w:rsidRPr="00EC1787">
              <w:rPr>
                <w:color w:val="000000"/>
                <w:sz w:val="16"/>
                <w:szCs w:val="16"/>
                <w:lang w:val="en-US" w:eastAsia="de-DE"/>
              </w:rPr>
              <w:t>The method for recording / scoring effects is the count of eggs laid, eggs hatched and alive larvae found.</w:t>
            </w:r>
          </w:p>
        </w:tc>
        <w:tc>
          <w:tcPr>
            <w:tcW w:w="926" w:type="pct"/>
          </w:tcPr>
          <w:p w14:paraId="16040D59" w14:textId="77777777" w:rsidR="00944F5E" w:rsidRPr="00EC1787" w:rsidRDefault="00944F5E" w:rsidP="005D37EC">
            <w:pPr>
              <w:rPr>
                <w:color w:val="000000"/>
                <w:sz w:val="16"/>
                <w:szCs w:val="16"/>
                <w:lang w:eastAsia="de-DE"/>
              </w:rPr>
            </w:pPr>
            <w:r w:rsidRPr="00EC1787">
              <w:rPr>
                <w:color w:val="000000"/>
                <w:sz w:val="16"/>
                <w:szCs w:val="16"/>
                <w:lang w:eastAsia="de-DE"/>
              </w:rPr>
              <w:t>The study is validated as more than 50 alive larvae in total are found in the control and as alive larvae are found in each control block</w:t>
            </w:r>
          </w:p>
          <w:p w14:paraId="3480C369" w14:textId="77777777" w:rsidR="00944F5E" w:rsidRPr="00EC1787" w:rsidRDefault="00944F5E" w:rsidP="005D37EC">
            <w:pPr>
              <w:rPr>
                <w:color w:val="000000"/>
                <w:sz w:val="16"/>
                <w:szCs w:val="16"/>
                <w:lang w:eastAsia="de-DE"/>
              </w:rPr>
            </w:pPr>
            <w:r w:rsidRPr="00EC1787">
              <w:rPr>
                <w:b/>
                <w:color w:val="000000"/>
                <w:sz w:val="16"/>
                <w:szCs w:val="16"/>
                <w:lang w:eastAsia="de-DE"/>
              </w:rPr>
              <w:t>This study demonstrated the efficacy of the product</w:t>
            </w:r>
            <w:r>
              <w:rPr>
                <w:b/>
                <w:color w:val="000000"/>
                <w:sz w:val="16"/>
                <w:szCs w:val="16"/>
                <w:lang w:eastAsia="de-DE"/>
              </w:rPr>
              <w:t xml:space="preserve"> </w:t>
            </w:r>
            <w:r w:rsidRPr="00EC1787">
              <w:rPr>
                <w:b/>
                <w:color w:val="000000"/>
                <w:sz w:val="16"/>
                <w:szCs w:val="16"/>
                <w:lang w:eastAsia="de-DE"/>
              </w:rPr>
              <w:t xml:space="preserve">at 200 g of product </w:t>
            </w:r>
            <w:r>
              <w:rPr>
                <w:b/>
                <w:color w:val="000000"/>
                <w:sz w:val="16"/>
                <w:szCs w:val="16"/>
                <w:lang w:eastAsia="de-DE"/>
              </w:rPr>
              <w:t xml:space="preserve">X6122B1 </w:t>
            </w:r>
            <w:r w:rsidRPr="00EC1787">
              <w:rPr>
                <w:b/>
                <w:color w:val="000000"/>
                <w:sz w:val="16"/>
                <w:szCs w:val="16"/>
                <w:lang w:eastAsia="de-DE"/>
              </w:rPr>
              <w:t xml:space="preserve">/ m² of wood against </w:t>
            </w:r>
            <w:r w:rsidRPr="00EC1787">
              <w:rPr>
                <w:b/>
                <w:i/>
                <w:color w:val="000000"/>
                <w:sz w:val="16"/>
                <w:szCs w:val="16"/>
                <w:lang w:eastAsia="de-DE"/>
              </w:rPr>
              <w:t>Anobium punctatum</w:t>
            </w:r>
          </w:p>
        </w:tc>
        <w:tc>
          <w:tcPr>
            <w:tcW w:w="572" w:type="pct"/>
          </w:tcPr>
          <w:p w14:paraId="4AD54FD6"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Brunet C.and Paulmier I., 201</w:t>
            </w:r>
            <w:r>
              <w:rPr>
                <w:color w:val="000000"/>
                <w:sz w:val="16"/>
                <w:szCs w:val="16"/>
                <w:lang w:val="fr-FR" w:eastAsia="de-DE"/>
              </w:rPr>
              <w:t>7</w:t>
            </w:r>
          </w:p>
          <w:p w14:paraId="7464A386" w14:textId="77777777" w:rsidR="00944F5E" w:rsidRPr="00EC1787" w:rsidRDefault="00944F5E" w:rsidP="005D37EC">
            <w:pPr>
              <w:rPr>
                <w:color w:val="000000"/>
                <w:sz w:val="16"/>
                <w:szCs w:val="16"/>
                <w:lang w:val="fr-FR" w:eastAsia="de-DE"/>
              </w:rPr>
            </w:pPr>
            <w:r>
              <w:rPr>
                <w:color w:val="000000"/>
                <w:sz w:val="16"/>
                <w:szCs w:val="16"/>
                <w:lang w:val="fr-FR" w:eastAsia="de-DE"/>
              </w:rPr>
              <w:t>S6.7_08</w:t>
            </w:r>
          </w:p>
          <w:p w14:paraId="53E24344"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401/14/</w:t>
            </w:r>
            <w:r>
              <w:rPr>
                <w:color w:val="000000"/>
                <w:sz w:val="16"/>
                <w:szCs w:val="16"/>
                <w:lang w:val="fr-FR" w:eastAsia="de-DE"/>
              </w:rPr>
              <w:t>136</w:t>
            </w:r>
            <w:r w:rsidRPr="00EC1787">
              <w:rPr>
                <w:color w:val="000000"/>
                <w:sz w:val="16"/>
                <w:szCs w:val="16"/>
                <w:lang w:val="fr-FR" w:eastAsia="de-DE"/>
              </w:rPr>
              <w:t>F/</w:t>
            </w:r>
            <w:proofErr w:type="gramStart"/>
            <w:r w:rsidRPr="00EC1787">
              <w:rPr>
                <w:color w:val="000000"/>
                <w:sz w:val="16"/>
                <w:szCs w:val="16"/>
                <w:lang w:val="fr-FR" w:eastAsia="de-DE"/>
              </w:rPr>
              <w:t>a</w:t>
            </w:r>
            <w:r>
              <w:rPr>
                <w:color w:val="000000"/>
                <w:sz w:val="16"/>
                <w:szCs w:val="16"/>
                <w:lang w:val="fr-FR" w:eastAsia="de-DE"/>
              </w:rPr>
              <w:t>,b</w:t>
            </w:r>
            <w:proofErr w:type="gramEnd"/>
            <w:r>
              <w:rPr>
                <w:color w:val="000000"/>
                <w:sz w:val="16"/>
                <w:szCs w:val="16"/>
                <w:lang w:val="fr-FR" w:eastAsia="de-DE"/>
              </w:rPr>
              <w:t>,e</w:t>
            </w:r>
          </w:p>
          <w:p w14:paraId="2A3B5DA6" w14:textId="77777777" w:rsidR="00944F5E" w:rsidRPr="00EC1787" w:rsidRDefault="00944F5E" w:rsidP="005D37EC">
            <w:pPr>
              <w:rPr>
                <w:color w:val="000000"/>
                <w:sz w:val="16"/>
                <w:szCs w:val="16"/>
                <w:lang w:val="fr-FR" w:eastAsia="de-DE"/>
              </w:rPr>
            </w:pPr>
          </w:p>
          <w:p w14:paraId="428469E5" w14:textId="77777777" w:rsidR="00944F5E" w:rsidRPr="00EC1787" w:rsidRDefault="00944F5E" w:rsidP="005D37EC">
            <w:pPr>
              <w:rPr>
                <w:color w:val="000000"/>
                <w:sz w:val="16"/>
                <w:szCs w:val="16"/>
                <w:lang w:val="en-US" w:eastAsia="de-DE"/>
              </w:rPr>
            </w:pPr>
            <w:r w:rsidRPr="00EC1787">
              <w:rPr>
                <w:color w:val="000000"/>
                <w:sz w:val="16"/>
                <w:szCs w:val="16"/>
                <w:lang w:val="fr-FR" w:eastAsia="de-DE"/>
              </w:rPr>
              <w:t>IC1</w:t>
            </w:r>
          </w:p>
        </w:tc>
      </w:tr>
      <w:tr w:rsidR="00944F5E" w:rsidRPr="00B20360" w14:paraId="66780EE7" w14:textId="77777777" w:rsidTr="005D37EC">
        <w:tc>
          <w:tcPr>
            <w:tcW w:w="366" w:type="pct"/>
          </w:tcPr>
          <w:p w14:paraId="4B9B70C5"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76" w:type="pct"/>
          </w:tcPr>
          <w:p w14:paraId="25421EFE"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74ABBF8D"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94" w:type="pct"/>
          </w:tcPr>
          <w:p w14:paraId="7BE076C9" w14:textId="77777777" w:rsidR="00944F5E" w:rsidRPr="00B20360" w:rsidRDefault="00944F5E" w:rsidP="005D37EC">
            <w:pPr>
              <w:rPr>
                <w:color w:val="000000"/>
                <w:sz w:val="16"/>
                <w:szCs w:val="16"/>
                <w:lang w:eastAsia="de-DE"/>
              </w:rPr>
            </w:pPr>
            <w:r w:rsidRPr="00B20360">
              <w:rPr>
                <w:color w:val="000000"/>
                <w:sz w:val="16"/>
                <w:szCs w:val="16"/>
                <w:lang w:eastAsia="de-DE"/>
              </w:rPr>
              <w:t>X6122B1</w:t>
            </w:r>
          </w:p>
          <w:p w14:paraId="6D39F2E1" w14:textId="77777777" w:rsidR="00944F5E" w:rsidRPr="00B20360" w:rsidRDefault="00944F5E" w:rsidP="005D37EC">
            <w:pPr>
              <w:rPr>
                <w:color w:val="000000"/>
                <w:sz w:val="16"/>
                <w:szCs w:val="16"/>
                <w:lang w:eastAsia="de-DE"/>
              </w:rPr>
            </w:pPr>
            <w:r w:rsidRPr="00B20360">
              <w:rPr>
                <w:color w:val="000000"/>
                <w:sz w:val="16"/>
                <w:szCs w:val="16"/>
                <w:lang w:eastAsia="de-DE"/>
              </w:rPr>
              <w:t>batch 1405900037</w:t>
            </w:r>
          </w:p>
        </w:tc>
        <w:tc>
          <w:tcPr>
            <w:tcW w:w="465" w:type="pct"/>
          </w:tcPr>
          <w:p w14:paraId="6327974D"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Powder post beetle: </w:t>
            </w:r>
            <w:r w:rsidRPr="00EC1787">
              <w:rPr>
                <w:i/>
                <w:color w:val="000000"/>
                <w:sz w:val="16"/>
                <w:szCs w:val="16"/>
                <w:lang w:eastAsia="de-DE"/>
              </w:rPr>
              <w:t>Lyctus brunneus</w:t>
            </w:r>
          </w:p>
        </w:tc>
        <w:tc>
          <w:tcPr>
            <w:tcW w:w="580" w:type="pct"/>
          </w:tcPr>
          <w:p w14:paraId="00E43EAA" w14:textId="77777777" w:rsidR="00944F5E" w:rsidRPr="00EC1787" w:rsidRDefault="00944F5E" w:rsidP="005D37EC">
            <w:pPr>
              <w:rPr>
                <w:color w:val="000000"/>
                <w:sz w:val="16"/>
                <w:szCs w:val="16"/>
                <w:lang w:eastAsia="de-DE"/>
              </w:rPr>
            </w:pPr>
            <w:r w:rsidRPr="00EC1787">
              <w:rPr>
                <w:color w:val="000000"/>
                <w:sz w:val="16"/>
                <w:szCs w:val="16"/>
                <w:lang w:eastAsia="de-DE"/>
              </w:rPr>
              <w:t>EN 20-1 + EN 73 (evaporation)</w:t>
            </w:r>
          </w:p>
        </w:tc>
        <w:tc>
          <w:tcPr>
            <w:tcW w:w="1021" w:type="pct"/>
          </w:tcPr>
          <w:p w14:paraId="4F44C37E"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brushing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1C0C9A69" w14:textId="77777777" w:rsidR="00944F5E" w:rsidRPr="00EC1787" w:rsidRDefault="00944F5E" w:rsidP="005D37EC">
            <w:pPr>
              <w:rPr>
                <w:color w:val="000000"/>
                <w:sz w:val="16"/>
                <w:szCs w:val="16"/>
                <w:lang w:eastAsia="de-DE"/>
              </w:rPr>
            </w:pPr>
            <w:r w:rsidRPr="00EC1787">
              <w:rPr>
                <w:color w:val="000000"/>
                <w:sz w:val="16"/>
                <w:szCs w:val="16"/>
                <w:lang w:eastAsia="de-DE"/>
              </w:rPr>
              <w:t>The quantity really applied on each test block varied between 19</w:t>
            </w:r>
            <w:r>
              <w:rPr>
                <w:color w:val="000000"/>
                <w:sz w:val="16"/>
                <w:szCs w:val="16"/>
                <w:lang w:eastAsia="de-DE"/>
              </w:rPr>
              <w:t>6</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and 19</w:t>
            </w:r>
            <w:r>
              <w:rPr>
                <w:color w:val="000000"/>
                <w:sz w:val="16"/>
                <w:szCs w:val="16"/>
                <w:lang w:eastAsia="de-DE"/>
              </w:rPr>
              <w:t>8</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(mean 19</w:t>
            </w:r>
            <w:r>
              <w:rPr>
                <w:color w:val="000000"/>
                <w:sz w:val="16"/>
                <w:szCs w:val="16"/>
                <w:lang w:eastAsia="de-DE"/>
              </w:rPr>
              <w:t>7</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w:t>
            </w:r>
          </w:p>
          <w:p w14:paraId="2A8C60B9"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10 recently hatched larvae of </w:t>
            </w:r>
            <w:r w:rsidRPr="00EC1787">
              <w:rPr>
                <w:i/>
                <w:color w:val="000000"/>
                <w:sz w:val="16"/>
                <w:szCs w:val="16"/>
                <w:lang w:eastAsia="de-DE"/>
              </w:rPr>
              <w:t>L. bruneus</w:t>
            </w:r>
            <w:r w:rsidRPr="00EC1787">
              <w:rPr>
                <w:color w:val="000000"/>
                <w:sz w:val="16"/>
                <w:szCs w:val="16"/>
                <w:lang w:eastAsia="de-DE"/>
              </w:rPr>
              <w:t xml:space="preserve"> for each are used for each test block.</w:t>
            </w:r>
          </w:p>
          <w:p w14:paraId="666763FC" w14:textId="77777777" w:rsidR="00944F5E" w:rsidRPr="00EC1787" w:rsidRDefault="00944F5E" w:rsidP="005D37EC">
            <w:pPr>
              <w:rPr>
                <w:color w:val="000000"/>
                <w:sz w:val="16"/>
                <w:szCs w:val="16"/>
                <w:lang w:eastAsia="de-DE"/>
              </w:rPr>
            </w:pPr>
            <w:r w:rsidRPr="00EC1787">
              <w:rPr>
                <w:color w:val="000000"/>
                <w:sz w:val="16"/>
                <w:szCs w:val="16"/>
                <w:lang w:eastAsia="de-DE"/>
              </w:rPr>
              <w:lastRenderedPageBreak/>
              <w:t>5 replicates for the treated block and 5 replicates for the control are performed.</w:t>
            </w:r>
          </w:p>
          <w:p w14:paraId="27739F07" w14:textId="77777777" w:rsidR="00944F5E" w:rsidRPr="00EC1787" w:rsidRDefault="00944F5E" w:rsidP="005D37EC">
            <w:pPr>
              <w:rPr>
                <w:color w:val="000000"/>
                <w:sz w:val="16"/>
                <w:szCs w:val="16"/>
                <w:lang w:eastAsia="de-DE"/>
              </w:rPr>
            </w:pPr>
            <w:r w:rsidRPr="00EC1787">
              <w:rPr>
                <w:color w:val="000000"/>
                <w:sz w:val="16"/>
                <w:szCs w:val="16"/>
                <w:lang w:eastAsia="de-DE"/>
              </w:rPr>
              <w:t>The investigated effects are the mortality of the insects.</w:t>
            </w:r>
          </w:p>
          <w:p w14:paraId="19A89946" w14:textId="77777777" w:rsidR="00944F5E" w:rsidRPr="00EC1787" w:rsidRDefault="00944F5E" w:rsidP="005D37EC">
            <w:pPr>
              <w:rPr>
                <w:color w:val="000000"/>
                <w:sz w:val="16"/>
                <w:szCs w:val="16"/>
                <w:lang w:eastAsia="de-DE"/>
              </w:rPr>
            </w:pPr>
            <w:r w:rsidRPr="00EC1787">
              <w:rPr>
                <w:color w:val="000000"/>
                <w:sz w:val="16"/>
                <w:szCs w:val="16"/>
                <w:lang w:eastAsia="de-DE"/>
              </w:rPr>
              <w:t>The method for recording / scoring effects is the recovery and the counting of the insects (alive/dead) and the number of drilled openings.</w:t>
            </w:r>
          </w:p>
          <w:p w14:paraId="740CE213" w14:textId="77777777" w:rsidR="00944F5E" w:rsidRPr="00EC1787" w:rsidRDefault="00944F5E" w:rsidP="005D37EC">
            <w:pPr>
              <w:rPr>
                <w:color w:val="000000"/>
                <w:sz w:val="16"/>
                <w:szCs w:val="16"/>
                <w:lang w:eastAsia="de-DE"/>
              </w:rPr>
            </w:pPr>
            <w:r w:rsidRPr="00EC1787">
              <w:rPr>
                <w:color w:val="000000"/>
                <w:sz w:val="16"/>
                <w:szCs w:val="16"/>
                <w:lang w:eastAsia="de-DE"/>
              </w:rPr>
              <w:t>- Intervals of examination is one examination, 20 weeks after beginning of exposure of the adults.</w:t>
            </w:r>
          </w:p>
        </w:tc>
        <w:tc>
          <w:tcPr>
            <w:tcW w:w="926" w:type="pct"/>
          </w:tcPr>
          <w:p w14:paraId="2D49F654" w14:textId="77777777" w:rsidR="00944F5E" w:rsidRPr="00EC1787" w:rsidRDefault="00944F5E" w:rsidP="005D37EC">
            <w:pPr>
              <w:rPr>
                <w:color w:val="000000"/>
                <w:sz w:val="16"/>
                <w:szCs w:val="16"/>
                <w:lang w:eastAsia="de-DE"/>
              </w:rPr>
            </w:pPr>
            <w:r w:rsidRPr="00EC1787">
              <w:rPr>
                <w:color w:val="000000"/>
                <w:sz w:val="16"/>
                <w:szCs w:val="16"/>
                <w:lang w:eastAsia="de-DE"/>
              </w:rPr>
              <w:lastRenderedPageBreak/>
              <w:t>The study is validated as:</w:t>
            </w:r>
          </w:p>
          <w:p w14:paraId="097BBF13" w14:textId="77777777" w:rsidR="00944F5E" w:rsidRPr="00EC1787" w:rsidRDefault="00944F5E" w:rsidP="00944F5E">
            <w:pPr>
              <w:numPr>
                <w:ilvl w:val="0"/>
                <w:numId w:val="25"/>
              </w:numPr>
              <w:suppressAutoHyphens w:val="0"/>
              <w:ind w:left="405"/>
              <w:contextualSpacing/>
              <w:jc w:val="left"/>
              <w:rPr>
                <w:color w:val="000000"/>
                <w:sz w:val="16"/>
                <w:szCs w:val="16"/>
                <w:lang w:eastAsia="de-DE"/>
              </w:rPr>
            </w:pPr>
            <w:r w:rsidRPr="00EC1787">
              <w:rPr>
                <w:color w:val="000000"/>
                <w:sz w:val="16"/>
                <w:szCs w:val="16"/>
                <w:lang w:eastAsia="de-DE"/>
              </w:rPr>
              <w:t>At least, for each control, 20 insects are found</w:t>
            </w:r>
          </w:p>
          <w:p w14:paraId="6B5DE51C" w14:textId="77777777" w:rsidR="00944F5E" w:rsidRDefault="00944F5E" w:rsidP="00944F5E">
            <w:pPr>
              <w:numPr>
                <w:ilvl w:val="0"/>
                <w:numId w:val="25"/>
              </w:numPr>
              <w:suppressAutoHyphens w:val="0"/>
              <w:ind w:left="405"/>
              <w:contextualSpacing/>
              <w:jc w:val="left"/>
              <w:rPr>
                <w:color w:val="000000"/>
                <w:sz w:val="16"/>
                <w:szCs w:val="16"/>
                <w:lang w:eastAsia="de-DE"/>
              </w:rPr>
            </w:pPr>
            <w:r w:rsidRPr="00EC1787">
              <w:rPr>
                <w:color w:val="000000"/>
                <w:sz w:val="16"/>
                <w:szCs w:val="16"/>
                <w:lang w:eastAsia="de-DE"/>
              </w:rPr>
              <w:t>Adult emergence has started at the end test in the control and at least 85 %</w:t>
            </w:r>
            <w:r>
              <w:rPr>
                <w:color w:val="000000"/>
                <w:sz w:val="16"/>
                <w:szCs w:val="16"/>
                <w:lang w:eastAsia="de-DE"/>
              </w:rPr>
              <w:t xml:space="preserve"> (95.3 %)</w:t>
            </w:r>
            <w:r w:rsidRPr="00EC1787">
              <w:rPr>
                <w:color w:val="000000"/>
                <w:sz w:val="16"/>
                <w:szCs w:val="16"/>
                <w:lang w:eastAsia="de-DE"/>
              </w:rPr>
              <w:t xml:space="preserve"> of the insects are found alive</w:t>
            </w:r>
          </w:p>
          <w:p w14:paraId="0C2B5FA2" w14:textId="77777777" w:rsidR="00944F5E" w:rsidRDefault="00944F5E" w:rsidP="005D37EC">
            <w:pPr>
              <w:contextualSpacing/>
              <w:rPr>
                <w:color w:val="000000"/>
                <w:sz w:val="16"/>
                <w:szCs w:val="16"/>
                <w:lang w:eastAsia="de-DE"/>
              </w:rPr>
            </w:pPr>
            <w:r>
              <w:rPr>
                <w:color w:val="000000"/>
                <w:sz w:val="16"/>
                <w:szCs w:val="16"/>
                <w:lang w:eastAsia="de-DE"/>
              </w:rPr>
              <w:t>In the test block 100 % of mortality is observed.</w:t>
            </w:r>
          </w:p>
          <w:p w14:paraId="77007216" w14:textId="77777777" w:rsidR="00944F5E" w:rsidRPr="00681B6C" w:rsidRDefault="00944F5E" w:rsidP="005D37EC">
            <w:pPr>
              <w:contextualSpacing/>
              <w:rPr>
                <w:b/>
                <w:color w:val="000000"/>
                <w:sz w:val="16"/>
                <w:szCs w:val="16"/>
                <w:lang w:eastAsia="de-DE"/>
              </w:rPr>
            </w:pPr>
            <w:r w:rsidRPr="00681B6C">
              <w:rPr>
                <w:b/>
                <w:color w:val="000000"/>
                <w:sz w:val="16"/>
                <w:szCs w:val="16"/>
                <w:lang w:eastAsia="de-DE"/>
              </w:rPr>
              <w:t xml:space="preserve">This study demonstrated the efficacy of the product at 197.1 g of product </w:t>
            </w:r>
            <w:r>
              <w:rPr>
                <w:b/>
                <w:color w:val="000000"/>
                <w:sz w:val="16"/>
                <w:szCs w:val="16"/>
                <w:lang w:eastAsia="de-DE"/>
              </w:rPr>
              <w:t>X6122B1</w:t>
            </w:r>
            <w:r w:rsidRPr="00681B6C">
              <w:rPr>
                <w:b/>
                <w:color w:val="000000"/>
                <w:sz w:val="16"/>
                <w:szCs w:val="16"/>
                <w:lang w:eastAsia="de-DE"/>
              </w:rPr>
              <w:t xml:space="preserve">/ m²of </w:t>
            </w:r>
            <w:r w:rsidRPr="00681B6C">
              <w:rPr>
                <w:b/>
                <w:color w:val="000000"/>
                <w:sz w:val="16"/>
                <w:szCs w:val="16"/>
                <w:lang w:eastAsia="de-DE"/>
              </w:rPr>
              <w:lastRenderedPageBreak/>
              <w:t xml:space="preserve">wood against </w:t>
            </w:r>
            <w:r w:rsidRPr="00681B6C">
              <w:rPr>
                <w:b/>
                <w:i/>
                <w:color w:val="000000"/>
                <w:sz w:val="16"/>
                <w:szCs w:val="16"/>
                <w:lang w:eastAsia="de-DE"/>
              </w:rPr>
              <w:t>Lyctus brunneus</w:t>
            </w:r>
          </w:p>
          <w:p w14:paraId="6725A496" w14:textId="77777777" w:rsidR="00944F5E" w:rsidRPr="00EC1787" w:rsidRDefault="00944F5E" w:rsidP="005D37EC">
            <w:pPr>
              <w:ind w:left="45"/>
              <w:rPr>
                <w:color w:val="000000"/>
                <w:sz w:val="16"/>
                <w:szCs w:val="16"/>
                <w:lang w:eastAsia="de-DE"/>
              </w:rPr>
            </w:pPr>
          </w:p>
        </w:tc>
        <w:tc>
          <w:tcPr>
            <w:tcW w:w="572" w:type="pct"/>
          </w:tcPr>
          <w:p w14:paraId="2A27EC3B" w14:textId="77777777" w:rsidR="00944F5E" w:rsidRPr="00E31360" w:rsidRDefault="00944F5E" w:rsidP="005D37EC">
            <w:pPr>
              <w:rPr>
                <w:color w:val="000000"/>
                <w:sz w:val="16"/>
                <w:szCs w:val="16"/>
                <w:lang w:val="en-US" w:eastAsia="de-DE"/>
              </w:rPr>
            </w:pPr>
            <w:r w:rsidRPr="00E31360">
              <w:rPr>
                <w:color w:val="000000"/>
                <w:sz w:val="16"/>
                <w:szCs w:val="16"/>
                <w:lang w:val="en-US" w:eastAsia="de-DE"/>
              </w:rPr>
              <w:lastRenderedPageBreak/>
              <w:t>Brunet C. and Paulmier I.,</w:t>
            </w:r>
          </w:p>
          <w:p w14:paraId="589E4FD3" w14:textId="77777777" w:rsidR="00944F5E" w:rsidRPr="00E31360" w:rsidRDefault="00944F5E" w:rsidP="005D37EC">
            <w:pPr>
              <w:rPr>
                <w:color w:val="000000"/>
                <w:sz w:val="16"/>
                <w:szCs w:val="16"/>
                <w:lang w:val="en-US" w:eastAsia="de-DE"/>
              </w:rPr>
            </w:pPr>
            <w:r w:rsidRPr="00E31360">
              <w:rPr>
                <w:color w:val="000000"/>
                <w:sz w:val="16"/>
                <w:szCs w:val="16"/>
                <w:lang w:val="en-US" w:eastAsia="de-DE"/>
              </w:rPr>
              <w:t>201</w:t>
            </w:r>
            <w:r>
              <w:rPr>
                <w:color w:val="000000"/>
                <w:sz w:val="16"/>
                <w:szCs w:val="16"/>
                <w:lang w:val="en-US" w:eastAsia="de-DE"/>
              </w:rPr>
              <w:t>6</w:t>
            </w:r>
          </w:p>
          <w:p w14:paraId="4C693AED" w14:textId="77777777" w:rsidR="00944F5E" w:rsidRDefault="00944F5E" w:rsidP="005D37EC">
            <w:pPr>
              <w:rPr>
                <w:color w:val="000000"/>
                <w:sz w:val="16"/>
                <w:szCs w:val="16"/>
                <w:lang w:val="en-US" w:eastAsia="de-DE"/>
              </w:rPr>
            </w:pPr>
            <w:r w:rsidRPr="00E31360">
              <w:rPr>
                <w:color w:val="000000"/>
                <w:sz w:val="16"/>
                <w:szCs w:val="16"/>
                <w:lang w:val="en-US" w:eastAsia="de-DE"/>
              </w:rPr>
              <w:t>S6.7_09</w:t>
            </w:r>
          </w:p>
          <w:p w14:paraId="7C0677CD" w14:textId="77777777" w:rsidR="00944F5E" w:rsidRDefault="00944F5E" w:rsidP="005D37EC">
            <w:pPr>
              <w:rPr>
                <w:color w:val="000000"/>
                <w:sz w:val="16"/>
                <w:szCs w:val="16"/>
                <w:lang w:val="en-US" w:eastAsia="de-DE"/>
              </w:rPr>
            </w:pPr>
          </w:p>
          <w:p w14:paraId="1F2EEE48" w14:textId="77777777" w:rsidR="00944F5E" w:rsidRPr="00E31360" w:rsidRDefault="00944F5E" w:rsidP="005D37EC">
            <w:pPr>
              <w:rPr>
                <w:color w:val="000000"/>
                <w:sz w:val="16"/>
                <w:szCs w:val="16"/>
                <w:lang w:val="en-US" w:eastAsia="de-DE"/>
              </w:rPr>
            </w:pPr>
            <w:r>
              <w:rPr>
                <w:color w:val="000000"/>
                <w:sz w:val="16"/>
                <w:szCs w:val="16"/>
                <w:lang w:val="en-US" w:eastAsia="de-DE"/>
              </w:rPr>
              <w:t>401/14/136F/c/e</w:t>
            </w:r>
          </w:p>
        </w:tc>
      </w:tr>
      <w:tr w:rsidR="00944F5E" w:rsidRPr="00B20360" w14:paraId="75E0B30E" w14:textId="77777777" w:rsidTr="005D37EC">
        <w:tc>
          <w:tcPr>
            <w:tcW w:w="366" w:type="pct"/>
          </w:tcPr>
          <w:p w14:paraId="26E0B073"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76" w:type="pct"/>
          </w:tcPr>
          <w:p w14:paraId="14DE0146"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23E39793"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Curative treatment</w:t>
            </w:r>
          </w:p>
        </w:tc>
        <w:tc>
          <w:tcPr>
            <w:tcW w:w="594" w:type="pct"/>
          </w:tcPr>
          <w:p w14:paraId="6D3A9E45" w14:textId="77777777" w:rsidR="00944F5E" w:rsidRDefault="00944F5E" w:rsidP="005D37EC">
            <w:pPr>
              <w:rPr>
                <w:color w:val="000000"/>
                <w:sz w:val="16"/>
                <w:szCs w:val="16"/>
                <w:lang w:eastAsia="de-DE"/>
              </w:rPr>
            </w:pPr>
            <w:r>
              <w:rPr>
                <w:color w:val="000000"/>
                <w:sz w:val="16"/>
                <w:szCs w:val="16"/>
                <w:lang w:eastAsia="de-DE"/>
              </w:rPr>
              <w:t>X6122B1</w:t>
            </w:r>
          </w:p>
          <w:p w14:paraId="7CD69BEC" w14:textId="77777777" w:rsidR="00944F5E" w:rsidRPr="00EC1787" w:rsidRDefault="00944F5E" w:rsidP="005D37EC">
            <w:pPr>
              <w:rPr>
                <w:color w:val="000000"/>
                <w:sz w:val="16"/>
                <w:szCs w:val="16"/>
                <w:lang w:eastAsia="de-DE"/>
              </w:rPr>
            </w:pPr>
            <w:r>
              <w:rPr>
                <w:color w:val="000000"/>
                <w:sz w:val="16"/>
                <w:szCs w:val="16"/>
                <w:lang w:eastAsia="de-DE"/>
              </w:rPr>
              <w:t>batch Pap V 129.2</w:t>
            </w:r>
          </w:p>
        </w:tc>
        <w:tc>
          <w:tcPr>
            <w:tcW w:w="465" w:type="pct"/>
          </w:tcPr>
          <w:p w14:paraId="5028AB70"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House longhorn beetle: </w:t>
            </w:r>
            <w:r w:rsidRPr="00EC1787">
              <w:rPr>
                <w:i/>
                <w:color w:val="000000"/>
                <w:sz w:val="16"/>
                <w:szCs w:val="16"/>
                <w:lang w:val="en-US" w:eastAsia="de-DE"/>
              </w:rPr>
              <w:t>Hylotrupes bajulus (L.)</w:t>
            </w:r>
          </w:p>
        </w:tc>
        <w:tc>
          <w:tcPr>
            <w:tcW w:w="580" w:type="pct"/>
          </w:tcPr>
          <w:p w14:paraId="4345C785"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EN 1390</w:t>
            </w:r>
          </w:p>
        </w:tc>
        <w:tc>
          <w:tcPr>
            <w:tcW w:w="1021" w:type="pct"/>
          </w:tcPr>
          <w:p w14:paraId="67041F5E"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The ready to use product </w:t>
            </w:r>
            <w:r>
              <w:rPr>
                <w:color w:val="000000"/>
                <w:sz w:val="16"/>
                <w:szCs w:val="16"/>
                <w:lang w:val="en-US" w:eastAsia="de-DE"/>
              </w:rPr>
              <w:t>X6122B1</w:t>
            </w:r>
            <w:r w:rsidRPr="00EC1787">
              <w:rPr>
                <w:color w:val="000000"/>
                <w:sz w:val="16"/>
                <w:szCs w:val="16"/>
                <w:lang w:val="en-US" w:eastAsia="de-DE"/>
              </w:rPr>
              <w:t>is applied by brushing on sapwood test blocks (</w:t>
            </w:r>
            <w:r w:rsidRPr="00EC1787">
              <w:rPr>
                <w:i/>
                <w:color w:val="000000"/>
                <w:sz w:val="16"/>
                <w:szCs w:val="16"/>
                <w:lang w:val="en-US" w:eastAsia="de-DE"/>
              </w:rPr>
              <w:t>Pinus sylvestris</w:t>
            </w:r>
            <w:r w:rsidRPr="00EC1787">
              <w:rPr>
                <w:color w:val="000000"/>
                <w:sz w:val="16"/>
                <w:szCs w:val="16"/>
                <w:lang w:val="en-US" w:eastAsia="de-DE"/>
              </w:rPr>
              <w:t xml:space="preserve">) </w:t>
            </w:r>
          </w:p>
          <w:p w14:paraId="24344220"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quantity really applied on each test block varied between 299.</w:t>
            </w:r>
            <w:r>
              <w:rPr>
                <w:color w:val="000000"/>
                <w:sz w:val="16"/>
                <w:szCs w:val="16"/>
                <w:lang w:val="en-US" w:eastAsia="de-DE"/>
              </w:rPr>
              <w:t>4</w:t>
            </w:r>
            <w:r w:rsidRPr="00EC1787">
              <w:rPr>
                <w:color w:val="000000"/>
                <w:sz w:val="16"/>
                <w:szCs w:val="16"/>
                <w:lang w:val="en-US" w:eastAsia="de-DE"/>
              </w:rPr>
              <w:t xml:space="preserve"> mL/m² and 300.</w:t>
            </w:r>
            <w:r>
              <w:rPr>
                <w:color w:val="000000"/>
                <w:sz w:val="16"/>
                <w:szCs w:val="16"/>
                <w:lang w:val="en-US" w:eastAsia="de-DE"/>
              </w:rPr>
              <w:t>4</w:t>
            </w:r>
            <w:r w:rsidRPr="00EC1787">
              <w:rPr>
                <w:color w:val="000000"/>
                <w:sz w:val="16"/>
                <w:szCs w:val="16"/>
                <w:lang w:val="en-US" w:eastAsia="de-DE"/>
              </w:rPr>
              <w:t xml:space="preserve"> mL/m² (mean </w:t>
            </w:r>
            <w:r>
              <w:rPr>
                <w:color w:val="000000"/>
                <w:sz w:val="16"/>
                <w:szCs w:val="16"/>
                <w:lang w:val="en-US" w:eastAsia="de-DE"/>
              </w:rPr>
              <w:t>299.9</w:t>
            </w:r>
            <w:r w:rsidRPr="00EC1787">
              <w:rPr>
                <w:color w:val="000000"/>
                <w:sz w:val="16"/>
                <w:szCs w:val="16"/>
                <w:lang w:val="en-US" w:eastAsia="de-DE"/>
              </w:rPr>
              <w:t xml:space="preserve"> mL/m²).</w:t>
            </w:r>
          </w:p>
          <w:p w14:paraId="03D98B76"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6 larvae of </w:t>
            </w:r>
            <w:r w:rsidRPr="00EC1787">
              <w:rPr>
                <w:i/>
                <w:color w:val="000000"/>
                <w:sz w:val="16"/>
                <w:szCs w:val="16"/>
                <w:lang w:val="en-US" w:eastAsia="de-DE"/>
              </w:rPr>
              <w:t>Hylotrupes bajulus</w:t>
            </w:r>
            <w:r w:rsidRPr="00EC1787">
              <w:rPr>
                <w:color w:val="000000"/>
                <w:sz w:val="16"/>
                <w:szCs w:val="16"/>
                <w:lang w:val="en-US" w:eastAsia="de-DE"/>
              </w:rPr>
              <w:t xml:space="preserve"> were used for each test block.</w:t>
            </w:r>
          </w:p>
          <w:p w14:paraId="4BC7EC6F" w14:textId="77777777" w:rsidR="00944F5E" w:rsidRPr="00EC1787" w:rsidRDefault="00944F5E" w:rsidP="005D37EC">
            <w:pPr>
              <w:rPr>
                <w:color w:val="000000"/>
                <w:sz w:val="16"/>
                <w:szCs w:val="16"/>
                <w:lang w:eastAsia="de-DE"/>
              </w:rPr>
            </w:pPr>
            <w:r w:rsidRPr="00EC1787">
              <w:rPr>
                <w:color w:val="000000"/>
                <w:sz w:val="16"/>
                <w:szCs w:val="16"/>
                <w:lang w:eastAsia="de-DE"/>
              </w:rPr>
              <w:t>10 replicates for the treated block and 2 replicates for the control are performed.</w:t>
            </w:r>
          </w:p>
          <w:p w14:paraId="4FC62B80" w14:textId="77777777" w:rsidR="00944F5E" w:rsidRPr="00EC1787" w:rsidRDefault="00944F5E" w:rsidP="005D37EC">
            <w:pPr>
              <w:rPr>
                <w:color w:val="000000"/>
                <w:sz w:val="16"/>
                <w:szCs w:val="16"/>
                <w:lang w:eastAsia="de-DE"/>
              </w:rPr>
            </w:pPr>
            <w:r w:rsidRPr="00EC1787">
              <w:rPr>
                <w:color w:val="000000"/>
                <w:sz w:val="16"/>
                <w:szCs w:val="16"/>
                <w:lang w:eastAsia="de-DE"/>
              </w:rPr>
              <w:t>The investigated effects are the mortality of the larvae.</w:t>
            </w:r>
          </w:p>
          <w:p w14:paraId="007FAACA"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 Method for recording / scoring effects: recovery of the insects and count of the dead and alive larvae. Calculation of the percentage of mortality. </w:t>
            </w:r>
          </w:p>
          <w:p w14:paraId="3CC7C054" w14:textId="77777777" w:rsidR="00944F5E" w:rsidRPr="00EC1787" w:rsidRDefault="00944F5E" w:rsidP="005D37EC">
            <w:pPr>
              <w:rPr>
                <w:color w:val="000000"/>
                <w:sz w:val="16"/>
                <w:szCs w:val="16"/>
                <w:lang w:eastAsia="de-DE"/>
              </w:rPr>
            </w:pPr>
            <w:r w:rsidRPr="00EC1787">
              <w:rPr>
                <w:color w:val="000000"/>
                <w:sz w:val="16"/>
                <w:szCs w:val="16"/>
                <w:lang w:eastAsia="de-DE"/>
              </w:rPr>
              <w:t>- Intervals of examination: one time, 25 weeks after exposure of the larvae in the wood block to the tested product.</w:t>
            </w:r>
          </w:p>
          <w:p w14:paraId="562A3227" w14:textId="77777777" w:rsidR="00944F5E" w:rsidRPr="00EC1787" w:rsidRDefault="00944F5E" w:rsidP="005D37EC">
            <w:pPr>
              <w:rPr>
                <w:color w:val="000000"/>
                <w:sz w:val="16"/>
                <w:szCs w:val="16"/>
                <w:lang w:eastAsia="de-DE"/>
              </w:rPr>
            </w:pPr>
            <w:r w:rsidRPr="00EC1787">
              <w:rPr>
                <w:color w:val="000000"/>
                <w:sz w:val="16"/>
                <w:szCs w:val="16"/>
                <w:lang w:eastAsia="de-DE"/>
              </w:rPr>
              <w:t>The efficacy criterion according to the EN 14128 is a mortality higher than 80 %</w:t>
            </w:r>
          </w:p>
        </w:tc>
        <w:tc>
          <w:tcPr>
            <w:tcW w:w="926" w:type="pct"/>
          </w:tcPr>
          <w:p w14:paraId="2BD2ED18"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study is validated as the survival rate in the control is higher than 75 % (</w:t>
            </w:r>
            <w:r>
              <w:rPr>
                <w:color w:val="000000"/>
                <w:sz w:val="16"/>
                <w:szCs w:val="16"/>
                <w:lang w:val="en-US" w:eastAsia="de-DE"/>
              </w:rPr>
              <w:t>100</w:t>
            </w:r>
            <w:r w:rsidRPr="00EC1787">
              <w:rPr>
                <w:color w:val="000000"/>
                <w:sz w:val="16"/>
                <w:szCs w:val="16"/>
                <w:lang w:val="en-US" w:eastAsia="de-DE"/>
              </w:rPr>
              <w:t>%).</w:t>
            </w:r>
          </w:p>
          <w:p w14:paraId="55DE6CE9" w14:textId="77777777" w:rsidR="00944F5E" w:rsidRPr="00681B6C" w:rsidRDefault="00944F5E" w:rsidP="005D37EC">
            <w:pPr>
              <w:rPr>
                <w:b/>
                <w:color w:val="000000"/>
                <w:sz w:val="16"/>
                <w:szCs w:val="16"/>
                <w:lang w:eastAsia="de-DE"/>
              </w:rPr>
            </w:pPr>
            <w:r w:rsidRPr="00EC1787">
              <w:rPr>
                <w:b/>
                <w:color w:val="000000"/>
                <w:sz w:val="16"/>
                <w:szCs w:val="16"/>
                <w:lang w:val="en-US" w:eastAsia="de-DE"/>
              </w:rPr>
              <w:t>The mortality observed in the treated block is higher than 80 % (</w:t>
            </w:r>
            <w:r>
              <w:rPr>
                <w:b/>
                <w:color w:val="000000"/>
                <w:sz w:val="16"/>
                <w:szCs w:val="16"/>
                <w:lang w:val="en-US" w:eastAsia="de-DE"/>
              </w:rPr>
              <w:t>96.6</w:t>
            </w:r>
            <w:r w:rsidRPr="00EC1787">
              <w:rPr>
                <w:b/>
                <w:color w:val="000000"/>
                <w:sz w:val="16"/>
                <w:szCs w:val="16"/>
                <w:lang w:val="en-US" w:eastAsia="de-DE"/>
              </w:rPr>
              <w:t xml:space="preserve"> %) which validated the low action efficacy of the product at the application rate of 300 ml of product</w:t>
            </w:r>
            <w:r>
              <w:rPr>
                <w:b/>
                <w:color w:val="000000"/>
                <w:sz w:val="16"/>
                <w:szCs w:val="16"/>
                <w:lang w:val="en-US" w:eastAsia="de-DE"/>
              </w:rPr>
              <w:t xml:space="preserve"> </w:t>
            </w:r>
            <w:r>
              <w:rPr>
                <w:b/>
                <w:color w:val="000000"/>
                <w:sz w:val="16"/>
                <w:szCs w:val="16"/>
                <w:lang w:eastAsia="de-DE"/>
              </w:rPr>
              <w:t>X6122B1</w:t>
            </w:r>
            <w:r w:rsidRPr="00EC1787">
              <w:rPr>
                <w:b/>
                <w:color w:val="000000"/>
                <w:sz w:val="16"/>
                <w:szCs w:val="16"/>
                <w:lang w:val="en-US" w:eastAsia="de-DE"/>
              </w:rPr>
              <w:t xml:space="preserve"> / m² of wood, 24 weeks after is application.</w:t>
            </w:r>
          </w:p>
        </w:tc>
        <w:tc>
          <w:tcPr>
            <w:tcW w:w="572" w:type="pct"/>
          </w:tcPr>
          <w:p w14:paraId="51051384" w14:textId="77777777" w:rsidR="00944F5E" w:rsidRPr="00EA707F" w:rsidRDefault="00944F5E" w:rsidP="005D37EC">
            <w:pPr>
              <w:rPr>
                <w:color w:val="000000"/>
                <w:sz w:val="16"/>
                <w:szCs w:val="16"/>
                <w:lang w:val="en-US" w:eastAsia="de-DE"/>
              </w:rPr>
            </w:pPr>
            <w:r w:rsidRPr="00EC1787">
              <w:rPr>
                <w:color w:val="000000"/>
                <w:sz w:val="16"/>
                <w:szCs w:val="16"/>
                <w:lang w:val="en-US" w:eastAsia="de-DE"/>
              </w:rPr>
              <w:t xml:space="preserve">Brunet C. and </w:t>
            </w:r>
            <w:r w:rsidRPr="00EA707F">
              <w:rPr>
                <w:color w:val="000000"/>
                <w:sz w:val="16"/>
                <w:szCs w:val="16"/>
                <w:lang w:val="en-US" w:eastAsia="de-DE"/>
              </w:rPr>
              <w:t>Brunet C. and</w:t>
            </w:r>
            <w:r>
              <w:rPr>
                <w:color w:val="000000"/>
                <w:sz w:val="16"/>
                <w:szCs w:val="16"/>
                <w:lang w:val="en-US" w:eastAsia="de-DE"/>
              </w:rPr>
              <w:t xml:space="preserve"> </w:t>
            </w:r>
            <w:r w:rsidRPr="00EA707F">
              <w:rPr>
                <w:color w:val="000000"/>
                <w:sz w:val="16"/>
                <w:szCs w:val="16"/>
                <w:lang w:val="en-US" w:eastAsia="de-DE"/>
              </w:rPr>
              <w:t>Paulmier I.,</w:t>
            </w:r>
          </w:p>
          <w:p w14:paraId="4ACA85DF" w14:textId="77777777" w:rsidR="00944F5E" w:rsidRDefault="00944F5E" w:rsidP="005D37EC">
            <w:pPr>
              <w:rPr>
                <w:color w:val="000000"/>
                <w:sz w:val="16"/>
                <w:szCs w:val="16"/>
                <w:lang w:val="en-US" w:eastAsia="de-DE"/>
              </w:rPr>
            </w:pPr>
          </w:p>
          <w:p w14:paraId="567E8A76" w14:textId="77777777" w:rsidR="00944F5E" w:rsidRPr="00EA707F" w:rsidRDefault="00944F5E" w:rsidP="005D37EC">
            <w:pPr>
              <w:rPr>
                <w:color w:val="000000"/>
                <w:sz w:val="16"/>
                <w:szCs w:val="16"/>
                <w:lang w:val="en-US" w:eastAsia="de-DE"/>
              </w:rPr>
            </w:pPr>
            <w:r w:rsidRPr="00EA707F">
              <w:rPr>
                <w:color w:val="000000"/>
                <w:sz w:val="16"/>
                <w:szCs w:val="16"/>
                <w:lang w:val="en-US" w:eastAsia="de-DE"/>
              </w:rPr>
              <w:t>2015</w:t>
            </w:r>
          </w:p>
          <w:p w14:paraId="4F92B186" w14:textId="77777777" w:rsidR="00944F5E" w:rsidRPr="00EA707F" w:rsidRDefault="00944F5E" w:rsidP="005D37EC">
            <w:pPr>
              <w:rPr>
                <w:color w:val="000000"/>
                <w:sz w:val="16"/>
                <w:szCs w:val="16"/>
                <w:lang w:val="en-US" w:eastAsia="de-DE"/>
              </w:rPr>
            </w:pPr>
            <w:r w:rsidRPr="00EA707F">
              <w:rPr>
                <w:color w:val="000000"/>
                <w:sz w:val="16"/>
                <w:szCs w:val="16"/>
                <w:lang w:val="en-US" w:eastAsia="de-DE"/>
              </w:rPr>
              <w:t>S6.7_10</w:t>
            </w:r>
          </w:p>
          <w:p w14:paraId="49B147A8" w14:textId="77777777" w:rsidR="00944F5E" w:rsidRDefault="00944F5E" w:rsidP="005D37EC">
            <w:pPr>
              <w:rPr>
                <w:color w:val="000000"/>
                <w:sz w:val="16"/>
                <w:szCs w:val="16"/>
                <w:lang w:val="en-US" w:eastAsia="de-DE"/>
              </w:rPr>
            </w:pPr>
          </w:p>
          <w:p w14:paraId="3116DA0A" w14:textId="77777777" w:rsidR="00944F5E" w:rsidRDefault="00944F5E" w:rsidP="005D37EC">
            <w:pPr>
              <w:rPr>
                <w:color w:val="000000"/>
                <w:sz w:val="16"/>
                <w:szCs w:val="16"/>
                <w:lang w:val="en-US" w:eastAsia="de-DE"/>
              </w:rPr>
            </w:pPr>
            <w:r>
              <w:rPr>
                <w:color w:val="000000"/>
                <w:sz w:val="16"/>
                <w:szCs w:val="16"/>
                <w:lang w:val="en-US" w:eastAsia="de-DE"/>
              </w:rPr>
              <w:t>401/16/039F/c-e</w:t>
            </w:r>
          </w:p>
          <w:p w14:paraId="54B77B96" w14:textId="77777777" w:rsidR="00944F5E" w:rsidRDefault="00944F5E" w:rsidP="005D37EC">
            <w:pPr>
              <w:rPr>
                <w:color w:val="000000"/>
                <w:sz w:val="16"/>
                <w:szCs w:val="16"/>
                <w:lang w:val="en-US" w:eastAsia="de-DE"/>
              </w:rPr>
            </w:pPr>
          </w:p>
          <w:p w14:paraId="1E0D0E0C" w14:textId="77777777" w:rsidR="00944F5E" w:rsidRPr="00EA707F" w:rsidRDefault="00944F5E" w:rsidP="005D37EC">
            <w:pPr>
              <w:rPr>
                <w:color w:val="000000"/>
                <w:sz w:val="16"/>
                <w:szCs w:val="16"/>
                <w:lang w:val="en-US" w:eastAsia="de-DE"/>
              </w:rPr>
            </w:pPr>
            <w:r w:rsidRPr="00EA707F">
              <w:rPr>
                <w:color w:val="000000"/>
                <w:sz w:val="16"/>
                <w:szCs w:val="16"/>
                <w:lang w:val="en-US" w:eastAsia="de-DE"/>
              </w:rPr>
              <w:t>IC 1</w:t>
            </w:r>
          </w:p>
        </w:tc>
      </w:tr>
      <w:tr w:rsidR="00944F5E" w:rsidRPr="00B20360" w14:paraId="357343C9" w14:textId="77777777" w:rsidTr="005D37EC">
        <w:tc>
          <w:tcPr>
            <w:tcW w:w="366" w:type="pct"/>
          </w:tcPr>
          <w:p w14:paraId="484211FA" w14:textId="77777777" w:rsidR="00944F5E" w:rsidRPr="00030D16" w:rsidRDefault="00944F5E" w:rsidP="005D37EC">
            <w:pPr>
              <w:rPr>
                <w:color w:val="000000"/>
                <w:sz w:val="16"/>
                <w:szCs w:val="16"/>
                <w:lang w:eastAsia="de-DE"/>
              </w:rPr>
            </w:pPr>
            <w:r w:rsidRPr="00C44877">
              <w:rPr>
                <w:color w:val="000000"/>
                <w:sz w:val="16"/>
                <w:szCs w:val="16"/>
                <w:lang w:eastAsia="de-DE"/>
              </w:rPr>
              <w:t>X6089CR</w:t>
            </w:r>
          </w:p>
        </w:tc>
        <w:tc>
          <w:tcPr>
            <w:tcW w:w="476" w:type="pct"/>
          </w:tcPr>
          <w:p w14:paraId="29B88142"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264387DC"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94" w:type="pct"/>
          </w:tcPr>
          <w:p w14:paraId="07BFD652" w14:textId="77777777" w:rsidR="00944F5E" w:rsidRPr="00B20360" w:rsidRDefault="00944F5E" w:rsidP="005D37EC">
            <w:pPr>
              <w:rPr>
                <w:color w:val="000000"/>
                <w:sz w:val="16"/>
                <w:szCs w:val="16"/>
                <w:lang w:eastAsia="de-DE"/>
              </w:rPr>
            </w:pPr>
            <w:r w:rsidRPr="00B20360">
              <w:rPr>
                <w:color w:val="000000"/>
                <w:sz w:val="16"/>
                <w:szCs w:val="16"/>
                <w:lang w:eastAsia="de-DE"/>
              </w:rPr>
              <w:t>X6122B1</w:t>
            </w:r>
          </w:p>
          <w:p w14:paraId="658DC1A2" w14:textId="77777777" w:rsidR="00944F5E" w:rsidRPr="00B20360" w:rsidRDefault="00944F5E" w:rsidP="005D37EC">
            <w:pPr>
              <w:rPr>
                <w:color w:val="000000"/>
                <w:sz w:val="16"/>
                <w:szCs w:val="16"/>
                <w:lang w:eastAsia="de-DE"/>
              </w:rPr>
            </w:pPr>
            <w:r w:rsidRPr="00B20360">
              <w:rPr>
                <w:color w:val="000000"/>
                <w:sz w:val="16"/>
                <w:szCs w:val="16"/>
                <w:lang w:eastAsia="de-DE"/>
              </w:rPr>
              <w:t>batch 1405900037</w:t>
            </w:r>
          </w:p>
        </w:tc>
        <w:tc>
          <w:tcPr>
            <w:tcW w:w="465" w:type="pct"/>
          </w:tcPr>
          <w:p w14:paraId="0A4A4663" w14:textId="77777777" w:rsidR="00944F5E" w:rsidRPr="00C44877" w:rsidRDefault="00944F5E" w:rsidP="005D37EC">
            <w:pPr>
              <w:rPr>
                <w:color w:val="000000"/>
                <w:sz w:val="16"/>
                <w:szCs w:val="16"/>
                <w:lang w:eastAsia="de-DE"/>
              </w:rPr>
            </w:pPr>
            <w:r w:rsidRPr="00C44877">
              <w:rPr>
                <w:color w:val="000000"/>
                <w:sz w:val="16"/>
                <w:szCs w:val="16"/>
                <w:lang w:eastAsia="de-DE"/>
              </w:rPr>
              <w:t>Common furniture beetle:</w:t>
            </w:r>
          </w:p>
          <w:p w14:paraId="5E7AF1F8" w14:textId="77777777" w:rsidR="00944F5E" w:rsidRPr="00C44877" w:rsidRDefault="00944F5E" w:rsidP="005D37EC">
            <w:pPr>
              <w:rPr>
                <w:color w:val="000000"/>
                <w:sz w:val="16"/>
                <w:szCs w:val="16"/>
                <w:lang w:eastAsia="de-DE"/>
              </w:rPr>
            </w:pPr>
            <w:r w:rsidRPr="00C44877">
              <w:rPr>
                <w:i/>
                <w:color w:val="000000"/>
                <w:sz w:val="16"/>
                <w:szCs w:val="16"/>
                <w:lang w:eastAsia="de-DE"/>
              </w:rPr>
              <w:t>Anobium punctatum (L)</w:t>
            </w:r>
          </w:p>
        </w:tc>
        <w:tc>
          <w:tcPr>
            <w:tcW w:w="580" w:type="pct"/>
          </w:tcPr>
          <w:p w14:paraId="2DA1A52A" w14:textId="77777777" w:rsidR="00944F5E" w:rsidRPr="00C44877" w:rsidRDefault="00944F5E" w:rsidP="005D37EC">
            <w:pPr>
              <w:rPr>
                <w:color w:val="000000"/>
                <w:sz w:val="16"/>
                <w:szCs w:val="16"/>
                <w:lang w:eastAsia="de-DE"/>
              </w:rPr>
            </w:pPr>
            <w:r w:rsidRPr="00C44877">
              <w:rPr>
                <w:color w:val="000000"/>
                <w:sz w:val="16"/>
                <w:szCs w:val="16"/>
                <w:lang w:eastAsia="de-DE"/>
              </w:rPr>
              <w:t>EN48</w:t>
            </w:r>
          </w:p>
        </w:tc>
        <w:tc>
          <w:tcPr>
            <w:tcW w:w="1021" w:type="pct"/>
          </w:tcPr>
          <w:p w14:paraId="2D4A0F94" w14:textId="77777777" w:rsidR="00944F5E" w:rsidRPr="007C1854" w:rsidRDefault="00944F5E" w:rsidP="005D37EC">
            <w:pPr>
              <w:rPr>
                <w:color w:val="000000"/>
                <w:sz w:val="16"/>
                <w:szCs w:val="16"/>
                <w:lang w:eastAsia="de-DE"/>
              </w:rPr>
            </w:pPr>
            <w:r w:rsidRPr="007C1854">
              <w:rPr>
                <w:color w:val="000000"/>
                <w:sz w:val="16"/>
                <w:szCs w:val="16"/>
                <w:lang w:eastAsia="de-DE"/>
              </w:rPr>
              <w:t>The ready to use product X6122B1 is applied by brushing on sapwood test blocks (</w:t>
            </w:r>
            <w:r w:rsidRPr="007C1854">
              <w:rPr>
                <w:i/>
                <w:color w:val="000000"/>
                <w:sz w:val="16"/>
                <w:szCs w:val="16"/>
                <w:lang w:eastAsia="de-DE"/>
              </w:rPr>
              <w:t>Pinus sylvestris</w:t>
            </w:r>
            <w:r w:rsidRPr="007C1854">
              <w:rPr>
                <w:color w:val="000000"/>
                <w:sz w:val="16"/>
                <w:szCs w:val="16"/>
                <w:lang w:eastAsia="de-DE"/>
              </w:rPr>
              <w:t xml:space="preserve">) </w:t>
            </w:r>
          </w:p>
          <w:p w14:paraId="0D447A02" w14:textId="77777777" w:rsidR="00944F5E" w:rsidRPr="007C1854" w:rsidRDefault="00944F5E" w:rsidP="005D37EC">
            <w:pPr>
              <w:rPr>
                <w:color w:val="000000"/>
                <w:sz w:val="16"/>
                <w:szCs w:val="16"/>
                <w:lang w:eastAsia="de-DE"/>
              </w:rPr>
            </w:pPr>
            <w:r w:rsidRPr="007C1854">
              <w:rPr>
                <w:color w:val="000000"/>
                <w:sz w:val="16"/>
                <w:szCs w:val="16"/>
                <w:lang w:eastAsia="de-DE"/>
              </w:rPr>
              <w:t xml:space="preserve">The quantity really applied on each test block varied between </w:t>
            </w:r>
            <w:r w:rsidRPr="007C1854">
              <w:rPr>
                <w:color w:val="000000"/>
                <w:sz w:val="16"/>
                <w:szCs w:val="16"/>
                <w:lang w:eastAsia="de-DE"/>
              </w:rPr>
              <w:lastRenderedPageBreak/>
              <w:t>300.5 g/m² and 301.8 g/m² (mean 301g/m²).</w:t>
            </w:r>
          </w:p>
          <w:p w14:paraId="17095F05" w14:textId="77777777" w:rsidR="00944F5E" w:rsidRPr="007C1854" w:rsidRDefault="00944F5E" w:rsidP="005D37EC">
            <w:pPr>
              <w:rPr>
                <w:color w:val="000000"/>
                <w:sz w:val="16"/>
                <w:szCs w:val="16"/>
                <w:lang w:eastAsia="de-DE"/>
              </w:rPr>
            </w:pPr>
            <w:r w:rsidRPr="007C1854">
              <w:rPr>
                <w:color w:val="000000"/>
                <w:sz w:val="16"/>
                <w:szCs w:val="16"/>
                <w:lang w:eastAsia="de-DE"/>
              </w:rPr>
              <w:t xml:space="preserve">12 larvae of </w:t>
            </w:r>
            <w:r w:rsidRPr="007C1854">
              <w:rPr>
                <w:i/>
                <w:color w:val="000000"/>
                <w:sz w:val="16"/>
                <w:szCs w:val="16"/>
                <w:lang w:eastAsia="de-DE"/>
              </w:rPr>
              <w:t>Anobium punctatum</w:t>
            </w:r>
            <w:r w:rsidRPr="007C1854">
              <w:rPr>
                <w:color w:val="000000"/>
                <w:sz w:val="16"/>
                <w:szCs w:val="16"/>
                <w:lang w:eastAsia="de-DE"/>
              </w:rPr>
              <w:t xml:space="preserve"> were used for each test block.</w:t>
            </w:r>
          </w:p>
          <w:p w14:paraId="5D8EF072" w14:textId="77777777" w:rsidR="00944F5E" w:rsidRPr="00C44877" w:rsidRDefault="00944F5E" w:rsidP="005D37EC">
            <w:pPr>
              <w:rPr>
                <w:color w:val="000000"/>
                <w:sz w:val="16"/>
                <w:szCs w:val="16"/>
                <w:lang w:eastAsia="de-DE"/>
              </w:rPr>
            </w:pPr>
            <w:r w:rsidRPr="00C44877">
              <w:rPr>
                <w:color w:val="000000"/>
                <w:sz w:val="16"/>
                <w:szCs w:val="16"/>
                <w:lang w:eastAsia="de-DE"/>
              </w:rPr>
              <w:t>6</w:t>
            </w:r>
            <w:r w:rsidRPr="00030D16">
              <w:rPr>
                <w:color w:val="000000"/>
                <w:sz w:val="16"/>
                <w:szCs w:val="16"/>
                <w:lang w:eastAsia="de-DE"/>
              </w:rPr>
              <w:t xml:space="preserve"> replicates for the treated block and </w:t>
            </w:r>
            <w:r w:rsidRPr="00C44877">
              <w:rPr>
                <w:color w:val="000000"/>
                <w:sz w:val="16"/>
                <w:szCs w:val="16"/>
                <w:lang w:eastAsia="de-DE"/>
              </w:rPr>
              <w:t>3 replicates for the control are performed.</w:t>
            </w:r>
          </w:p>
          <w:p w14:paraId="4FAB3701" w14:textId="77777777" w:rsidR="00944F5E" w:rsidRPr="00C44877" w:rsidRDefault="00944F5E" w:rsidP="005D37EC">
            <w:pPr>
              <w:rPr>
                <w:color w:val="000000"/>
                <w:sz w:val="16"/>
                <w:szCs w:val="16"/>
                <w:lang w:eastAsia="de-DE"/>
              </w:rPr>
            </w:pPr>
            <w:r w:rsidRPr="00C44877">
              <w:rPr>
                <w:color w:val="000000"/>
                <w:sz w:val="16"/>
                <w:szCs w:val="16"/>
                <w:lang w:eastAsia="de-DE"/>
              </w:rPr>
              <w:t>The investigated effects are the mortality of the larvae.</w:t>
            </w:r>
          </w:p>
          <w:p w14:paraId="766A0949" w14:textId="77777777" w:rsidR="00944F5E" w:rsidRPr="00C44877" w:rsidRDefault="00944F5E" w:rsidP="005D37EC">
            <w:pPr>
              <w:rPr>
                <w:color w:val="000000"/>
                <w:sz w:val="16"/>
                <w:szCs w:val="16"/>
                <w:lang w:eastAsia="de-DE"/>
              </w:rPr>
            </w:pPr>
            <w:r w:rsidRPr="00C44877">
              <w:rPr>
                <w:color w:val="000000"/>
                <w:sz w:val="16"/>
                <w:szCs w:val="16"/>
                <w:lang w:eastAsia="de-DE"/>
              </w:rPr>
              <w:t xml:space="preserve">- Method for recording / scoring effects: recovery of the insects and count of the dead and alive larvae. Calculation of the percentage of mortality. </w:t>
            </w:r>
          </w:p>
          <w:p w14:paraId="5CF3333F" w14:textId="77777777" w:rsidR="00944F5E" w:rsidRPr="00C44877" w:rsidRDefault="00944F5E" w:rsidP="005D37EC">
            <w:pPr>
              <w:rPr>
                <w:color w:val="000000"/>
                <w:sz w:val="16"/>
                <w:szCs w:val="16"/>
                <w:lang w:eastAsia="de-DE"/>
              </w:rPr>
            </w:pPr>
            <w:r w:rsidRPr="00C44877">
              <w:rPr>
                <w:color w:val="000000"/>
                <w:sz w:val="16"/>
                <w:szCs w:val="16"/>
                <w:lang w:eastAsia="de-DE"/>
              </w:rPr>
              <w:t>- Intervals of examination: one time, 8 weeks after exposure of the larvae in the wood block to the tested product.</w:t>
            </w:r>
          </w:p>
          <w:p w14:paraId="7901F04B" w14:textId="77777777" w:rsidR="00944F5E" w:rsidRPr="00C44877" w:rsidRDefault="00944F5E" w:rsidP="005D37EC">
            <w:pPr>
              <w:rPr>
                <w:color w:val="000000"/>
                <w:sz w:val="16"/>
                <w:szCs w:val="16"/>
                <w:lang w:eastAsia="de-DE"/>
              </w:rPr>
            </w:pPr>
            <w:r w:rsidRPr="00C44877">
              <w:rPr>
                <w:color w:val="000000"/>
                <w:sz w:val="16"/>
                <w:szCs w:val="16"/>
                <w:lang w:eastAsia="de-DE"/>
              </w:rPr>
              <w:t>The efficacy criterion according to the EN 14128 is mortality higher than 85 %.</w:t>
            </w:r>
          </w:p>
        </w:tc>
        <w:tc>
          <w:tcPr>
            <w:tcW w:w="926" w:type="pct"/>
          </w:tcPr>
          <w:p w14:paraId="5A6C697A" w14:textId="77777777" w:rsidR="00944F5E" w:rsidRPr="007C1854" w:rsidRDefault="00944F5E" w:rsidP="005D37EC">
            <w:pPr>
              <w:rPr>
                <w:color w:val="000000"/>
                <w:sz w:val="16"/>
                <w:szCs w:val="16"/>
                <w:lang w:eastAsia="de-DE"/>
              </w:rPr>
            </w:pPr>
            <w:r w:rsidRPr="007C1854">
              <w:rPr>
                <w:color w:val="000000"/>
                <w:sz w:val="16"/>
                <w:szCs w:val="16"/>
                <w:lang w:eastAsia="de-DE"/>
              </w:rPr>
              <w:lastRenderedPageBreak/>
              <w:t>The study is validated as the survival rate in the control is higher than 70 % (100%).</w:t>
            </w:r>
          </w:p>
          <w:p w14:paraId="0C174D75" w14:textId="77777777" w:rsidR="00944F5E" w:rsidRPr="00EC1787" w:rsidRDefault="00944F5E" w:rsidP="005D37EC">
            <w:pPr>
              <w:rPr>
                <w:color w:val="000000"/>
                <w:sz w:val="16"/>
                <w:szCs w:val="16"/>
                <w:lang w:eastAsia="de-DE"/>
              </w:rPr>
            </w:pPr>
            <w:r w:rsidRPr="007C1854">
              <w:rPr>
                <w:b/>
                <w:color w:val="000000"/>
                <w:sz w:val="16"/>
                <w:szCs w:val="16"/>
                <w:lang w:eastAsia="de-DE"/>
              </w:rPr>
              <w:t xml:space="preserve">The mortality observed in the treated block is higher than 80 % (90.9 </w:t>
            </w:r>
            <w:r w:rsidRPr="007C1854">
              <w:rPr>
                <w:b/>
                <w:color w:val="000000"/>
                <w:sz w:val="16"/>
                <w:szCs w:val="16"/>
                <w:lang w:eastAsia="de-DE"/>
              </w:rPr>
              <w:lastRenderedPageBreak/>
              <w:t>%) validated the efficacy of the product, at the application rate of 300 g of product X6122B1/ m² of wood.</w:t>
            </w:r>
          </w:p>
        </w:tc>
        <w:tc>
          <w:tcPr>
            <w:tcW w:w="572" w:type="pct"/>
          </w:tcPr>
          <w:p w14:paraId="750336B3" w14:textId="77777777" w:rsidR="00944F5E" w:rsidRPr="00C44877" w:rsidRDefault="00944F5E" w:rsidP="005D37EC">
            <w:pPr>
              <w:rPr>
                <w:color w:val="000000"/>
                <w:sz w:val="16"/>
                <w:szCs w:val="16"/>
                <w:lang w:eastAsia="de-DE"/>
              </w:rPr>
            </w:pPr>
            <w:r w:rsidRPr="00C44877">
              <w:rPr>
                <w:color w:val="000000"/>
                <w:sz w:val="16"/>
                <w:szCs w:val="16"/>
                <w:lang w:eastAsia="de-DE"/>
              </w:rPr>
              <w:lastRenderedPageBreak/>
              <w:t>Brunet C. and Paulmier I., 2016</w:t>
            </w:r>
          </w:p>
          <w:p w14:paraId="17566FE2" w14:textId="77777777" w:rsidR="00944F5E" w:rsidRPr="00C44877" w:rsidRDefault="00944F5E" w:rsidP="005D37EC">
            <w:pPr>
              <w:rPr>
                <w:color w:val="000000"/>
                <w:sz w:val="16"/>
                <w:szCs w:val="16"/>
                <w:lang w:eastAsia="de-DE"/>
              </w:rPr>
            </w:pPr>
          </w:p>
          <w:p w14:paraId="6A0EF882" w14:textId="77777777" w:rsidR="00944F5E" w:rsidRDefault="00944F5E" w:rsidP="005D37EC">
            <w:pPr>
              <w:rPr>
                <w:color w:val="000000"/>
                <w:sz w:val="16"/>
                <w:szCs w:val="16"/>
                <w:lang w:eastAsia="de-DE"/>
              </w:rPr>
            </w:pPr>
            <w:r>
              <w:rPr>
                <w:color w:val="000000"/>
                <w:sz w:val="16"/>
                <w:szCs w:val="16"/>
                <w:lang w:eastAsia="de-DE"/>
              </w:rPr>
              <w:t>S6.7_11</w:t>
            </w:r>
          </w:p>
          <w:p w14:paraId="5B607109" w14:textId="77777777" w:rsidR="00944F5E" w:rsidRPr="00C44877" w:rsidRDefault="00944F5E" w:rsidP="005D37EC">
            <w:pPr>
              <w:rPr>
                <w:color w:val="000000"/>
                <w:sz w:val="16"/>
                <w:szCs w:val="16"/>
                <w:lang w:eastAsia="de-DE"/>
              </w:rPr>
            </w:pPr>
          </w:p>
          <w:p w14:paraId="1DDD4FFF" w14:textId="77777777" w:rsidR="00944F5E" w:rsidRPr="00C44877" w:rsidRDefault="00944F5E" w:rsidP="005D37EC">
            <w:pPr>
              <w:rPr>
                <w:color w:val="000000"/>
                <w:sz w:val="16"/>
                <w:szCs w:val="16"/>
                <w:lang w:eastAsia="de-DE"/>
              </w:rPr>
            </w:pPr>
            <w:r w:rsidRPr="00C44877">
              <w:rPr>
                <w:color w:val="000000"/>
                <w:sz w:val="16"/>
                <w:szCs w:val="16"/>
                <w:lang w:eastAsia="de-DE"/>
              </w:rPr>
              <w:t>401/14/136F/e/e</w:t>
            </w:r>
          </w:p>
          <w:p w14:paraId="4E52A86D" w14:textId="77777777" w:rsidR="00944F5E" w:rsidRPr="00C44877" w:rsidRDefault="00944F5E" w:rsidP="005D37EC">
            <w:pPr>
              <w:rPr>
                <w:color w:val="000000"/>
                <w:sz w:val="16"/>
                <w:szCs w:val="16"/>
                <w:lang w:eastAsia="de-DE"/>
              </w:rPr>
            </w:pPr>
          </w:p>
          <w:p w14:paraId="54143FAE" w14:textId="77777777" w:rsidR="00944F5E" w:rsidRPr="00C44877" w:rsidRDefault="00944F5E" w:rsidP="005D37EC">
            <w:pPr>
              <w:rPr>
                <w:color w:val="000000"/>
                <w:sz w:val="16"/>
                <w:szCs w:val="16"/>
                <w:lang w:eastAsia="de-DE"/>
              </w:rPr>
            </w:pPr>
          </w:p>
          <w:p w14:paraId="27DBC723" w14:textId="77777777" w:rsidR="00944F5E" w:rsidRPr="007A140B" w:rsidRDefault="00944F5E" w:rsidP="005D37EC">
            <w:pPr>
              <w:rPr>
                <w:color w:val="000000"/>
                <w:sz w:val="16"/>
                <w:szCs w:val="16"/>
                <w:lang w:eastAsia="de-DE"/>
              </w:rPr>
            </w:pPr>
            <w:r w:rsidRPr="00C44877">
              <w:rPr>
                <w:color w:val="000000"/>
                <w:sz w:val="16"/>
                <w:szCs w:val="16"/>
                <w:lang w:eastAsia="de-DE"/>
              </w:rPr>
              <w:t>IC1</w:t>
            </w:r>
          </w:p>
        </w:tc>
      </w:tr>
    </w:tbl>
    <w:p w14:paraId="21FC4718" w14:textId="77777777" w:rsidR="00944F5E" w:rsidRDefault="00944F5E" w:rsidP="003012CB">
      <w:pPr>
        <w:rPr>
          <w:rFonts w:eastAsia="Calibri"/>
          <w:b/>
          <w:caps/>
          <w:sz w:val="28"/>
          <w:szCs w:val="28"/>
          <w:lang w:eastAsia="en-US"/>
        </w:rPr>
      </w:pPr>
    </w:p>
    <w:p w14:paraId="66402BB9" w14:textId="77777777" w:rsidR="00944F5E" w:rsidRDefault="00944F5E" w:rsidP="003012CB">
      <w:pPr>
        <w:rPr>
          <w:rFonts w:eastAsia="Calibri"/>
          <w:b/>
          <w:caps/>
          <w:sz w:val="28"/>
          <w:szCs w:val="28"/>
          <w:lang w:eastAsia="en-US"/>
        </w:rPr>
      </w:pPr>
    </w:p>
    <w:p w14:paraId="46DA4767" w14:textId="77777777" w:rsidR="00944F5E" w:rsidRDefault="00944F5E" w:rsidP="003012CB">
      <w:pPr>
        <w:rPr>
          <w:rFonts w:eastAsia="Calibri"/>
          <w:b/>
          <w:caps/>
          <w:sz w:val="28"/>
          <w:szCs w:val="28"/>
          <w:lang w:eastAsia="en-US"/>
        </w:rPr>
      </w:pPr>
    </w:p>
    <w:p w14:paraId="3EF2032C" w14:textId="77777777" w:rsidR="00944F5E" w:rsidRDefault="00944F5E" w:rsidP="003012CB">
      <w:pPr>
        <w:rPr>
          <w:rFonts w:eastAsia="Calibri"/>
          <w:b/>
          <w:caps/>
          <w:sz w:val="28"/>
          <w:szCs w:val="28"/>
          <w:lang w:eastAsia="en-US"/>
        </w:rPr>
        <w:sectPr w:rsidR="00944F5E" w:rsidSect="00944F5E">
          <w:pgSz w:w="16838" w:h="11906" w:orient="landscape"/>
          <w:pgMar w:top="1446" w:right="1474" w:bottom="1247" w:left="2013" w:header="850" w:footer="850" w:gutter="0"/>
          <w:cols w:space="720"/>
          <w:docGrid w:linePitch="272"/>
        </w:sectPr>
      </w:pPr>
    </w:p>
    <w:p w14:paraId="65709722" w14:textId="77777777" w:rsidR="00944F5E" w:rsidRDefault="00944F5E" w:rsidP="003012CB">
      <w:pPr>
        <w:rPr>
          <w:rFonts w:eastAsia="Calibri"/>
          <w:b/>
          <w:caps/>
          <w:sz w:val="28"/>
          <w:szCs w:val="28"/>
          <w:lang w:eastAsia="en-US"/>
        </w:rPr>
      </w:pPr>
    </w:p>
    <w:p w14:paraId="2B62DFA0" w14:textId="77777777" w:rsidR="003012CB" w:rsidRDefault="003012CB" w:rsidP="003012CB">
      <w:pPr>
        <w:pStyle w:val="Titre2"/>
        <w:rPr>
          <w:caps/>
          <w:sz w:val="28"/>
          <w:szCs w:val="28"/>
          <w:lang w:eastAsia="en-US"/>
        </w:rPr>
      </w:pPr>
      <w:bookmarkStart w:id="169" w:name="_Toc536627335"/>
      <w:r>
        <w:t>Output tables from exposure assessment tools</w:t>
      </w:r>
      <w:bookmarkEnd w:id="169"/>
    </w:p>
    <w:p w14:paraId="0B29C2A9" w14:textId="77777777" w:rsidR="003012CB" w:rsidRDefault="003012CB" w:rsidP="003012CB">
      <w:pPr>
        <w:rPr>
          <w:rFonts w:eastAsia="Calibri"/>
          <w:b/>
          <w:caps/>
          <w:sz w:val="28"/>
          <w:szCs w:val="28"/>
          <w:lang w:eastAsia="en-US"/>
        </w:rPr>
      </w:pPr>
    </w:p>
    <w:p w14:paraId="5C1D9673" w14:textId="77777777" w:rsidR="003012CB" w:rsidRDefault="003012CB" w:rsidP="003012CB">
      <w:pPr>
        <w:pStyle w:val="Titre2"/>
        <w:rPr>
          <w:caps/>
          <w:sz w:val="28"/>
          <w:szCs w:val="28"/>
          <w:lang w:eastAsia="en-US"/>
        </w:rPr>
      </w:pPr>
      <w:bookmarkStart w:id="170" w:name="_Toc536627336"/>
      <w:r>
        <w:t>New information on the active substance</w:t>
      </w:r>
      <w:bookmarkEnd w:id="170"/>
    </w:p>
    <w:p w14:paraId="7621976F" w14:textId="77777777" w:rsidR="003012CB" w:rsidRDefault="003012CB" w:rsidP="003012CB">
      <w:pPr>
        <w:rPr>
          <w:rFonts w:eastAsia="Calibri"/>
          <w:b/>
          <w:caps/>
          <w:sz w:val="28"/>
          <w:szCs w:val="28"/>
          <w:lang w:eastAsia="en-US"/>
        </w:rPr>
      </w:pPr>
    </w:p>
    <w:p w14:paraId="01BB7F7B" w14:textId="77777777" w:rsidR="00194036" w:rsidRDefault="00194036">
      <w:pPr>
        <w:suppressAutoHyphens w:val="0"/>
        <w:rPr>
          <w:rFonts w:eastAsia="Calibri"/>
          <w:b/>
          <w:caps/>
          <w:sz w:val="28"/>
          <w:szCs w:val="28"/>
          <w:lang w:eastAsia="en-US"/>
        </w:rPr>
      </w:pPr>
      <w:r>
        <w:rPr>
          <w:rFonts w:eastAsia="Calibri"/>
          <w:b/>
          <w:caps/>
          <w:sz w:val="28"/>
          <w:szCs w:val="28"/>
          <w:lang w:eastAsia="en-US"/>
        </w:rPr>
        <w:br w:type="page"/>
      </w:r>
    </w:p>
    <w:p w14:paraId="1116326E" w14:textId="77777777" w:rsidR="00194036" w:rsidRDefault="00194036" w:rsidP="003012CB">
      <w:pPr>
        <w:rPr>
          <w:rFonts w:eastAsia="Calibri"/>
          <w:b/>
          <w:caps/>
          <w:sz w:val="28"/>
          <w:szCs w:val="28"/>
          <w:lang w:eastAsia="en-US"/>
        </w:rPr>
      </w:pPr>
    </w:p>
    <w:p w14:paraId="1B9967E7" w14:textId="77777777" w:rsidR="003012CB" w:rsidRDefault="003012CB" w:rsidP="003012CB">
      <w:pPr>
        <w:pStyle w:val="Titre2"/>
        <w:rPr>
          <w:caps/>
          <w:sz w:val="28"/>
          <w:szCs w:val="28"/>
          <w:lang w:val="de-DE" w:eastAsia="en-US"/>
        </w:rPr>
      </w:pPr>
      <w:bookmarkStart w:id="171" w:name="_Toc536627337"/>
      <w:r>
        <w:rPr>
          <w:lang w:val="de-DE"/>
        </w:rPr>
        <w:t>Residue behaviour</w:t>
      </w:r>
      <w:bookmarkEnd w:id="171"/>
    </w:p>
    <w:p w14:paraId="6733CD66" w14:textId="77777777" w:rsidR="004D5040" w:rsidRPr="0077085E" w:rsidRDefault="004D5040" w:rsidP="004D5040">
      <w:pPr>
        <w:pStyle w:val="BfRBBStandard"/>
        <w:jc w:val="center"/>
        <w:rPr>
          <w:b/>
          <w:sz w:val="24"/>
          <w:szCs w:val="24"/>
          <w:lang w:val="en-GB"/>
        </w:rPr>
      </w:pPr>
    </w:p>
    <w:p w14:paraId="495BC302" w14:textId="77777777" w:rsidR="004D5040" w:rsidRPr="004D5040" w:rsidRDefault="004D5040" w:rsidP="004D5040">
      <w:pPr>
        <w:pStyle w:val="BfRBBTitel"/>
        <w:pBdr>
          <w:top w:val="single" w:sz="4" w:space="1" w:color="auto"/>
          <w:left w:val="single" w:sz="4" w:space="4" w:color="auto"/>
          <w:bottom w:val="single" w:sz="4" w:space="1" w:color="auto"/>
          <w:right w:val="single" w:sz="4" w:space="4" w:color="auto"/>
        </w:pBdr>
        <w:rPr>
          <w:lang w:val="fr-FR"/>
        </w:rPr>
      </w:pPr>
      <w:proofErr w:type="gramStart"/>
      <w:r w:rsidRPr="004D5040">
        <w:rPr>
          <w:lang w:val="fr-FR"/>
        </w:rPr>
        <w:t>cypermethrin</w:t>
      </w:r>
      <w:proofErr w:type="gramEnd"/>
      <w:r w:rsidRPr="004D5040">
        <w:rPr>
          <w:lang w:val="fr-FR"/>
        </w:rPr>
        <w:t>, tebuconazole, propiconazole, IPBC</w:t>
      </w:r>
    </w:p>
    <w:p w14:paraId="6054EE5A" w14:textId="77777777" w:rsidR="004D5040" w:rsidRPr="004D5040" w:rsidRDefault="004D5040" w:rsidP="004D5040">
      <w:pPr>
        <w:pStyle w:val="BfRBBStandard"/>
        <w:jc w:val="right"/>
        <w:rPr>
          <w:lang w:val="fr-FR"/>
        </w:rPr>
      </w:pPr>
    </w:p>
    <w:p w14:paraId="3548EF9A" w14:textId="77777777" w:rsidR="004D5040" w:rsidRPr="004D5040" w:rsidRDefault="004D5040" w:rsidP="004D5040">
      <w:pPr>
        <w:pStyle w:val="BfRBBStandard"/>
        <w:jc w:val="right"/>
        <w:rPr>
          <w:lang w:val="fr-FR"/>
        </w:rPr>
      </w:pPr>
      <w:r w:rsidRPr="004D5040">
        <w:rPr>
          <w:lang w:val="fr-FR"/>
        </w:rPr>
        <w:t xml:space="preserve">Date: 15/09/2016 </w:t>
      </w:r>
    </w:p>
    <w:p w14:paraId="4A1CB8EB" w14:textId="77777777" w:rsidR="004D5040" w:rsidRPr="004D5040" w:rsidRDefault="004D5040" w:rsidP="004D5040">
      <w:pPr>
        <w:pStyle w:val="BfRBBStandard"/>
        <w:rPr>
          <w:b/>
          <w:lang w:val="fr-FR"/>
        </w:rPr>
      </w:pPr>
    </w:p>
    <w:p w14:paraId="4AEEDE45" w14:textId="77777777" w:rsidR="004D5040" w:rsidRPr="0077085E" w:rsidRDefault="004D5040" w:rsidP="004D5040">
      <w:pPr>
        <w:pStyle w:val="BfRBBStandard"/>
        <w:rPr>
          <w:lang w:val="en-GB"/>
        </w:rPr>
      </w:pPr>
      <w:r w:rsidRPr="00230172">
        <w:rPr>
          <w:b/>
          <w:lang w:val="en-GB"/>
        </w:rPr>
        <w:t>Intended Use (critical application):</w:t>
      </w:r>
      <w:r>
        <w:rPr>
          <w:lang w:val="en-GB"/>
        </w:rPr>
        <w:t xml:space="preserve"> </w:t>
      </w:r>
      <w:r w:rsidRPr="006904CB">
        <w:rPr>
          <w:lang w:val="en-GB"/>
        </w:rPr>
        <w:t>preventive and curative treatment for interior and exterior woods</w:t>
      </w:r>
      <w:r>
        <w:rPr>
          <w:lang w:val="en-GB"/>
        </w:rPr>
        <w:t xml:space="preserve">. </w:t>
      </w:r>
      <w:r w:rsidRPr="006904CB">
        <w:rPr>
          <w:szCs w:val="24"/>
          <w:lang w:val="en-GB"/>
        </w:rPr>
        <w:t xml:space="preserve">These preventive and curative treatments are done by professionals and non-professionals by brush application, spray application or injection. The product can also be used by industrial users to treat wood by short dipping. </w:t>
      </w:r>
      <w:r w:rsidRPr="006904CB">
        <w:rPr>
          <w:lang w:val="en-GB"/>
        </w:rPr>
        <w:t xml:space="preserve"> </w:t>
      </w:r>
    </w:p>
    <w:p w14:paraId="48D1E12C" w14:textId="77777777" w:rsidR="004D5040" w:rsidRPr="0077085E" w:rsidRDefault="004D5040" w:rsidP="004D5040">
      <w:pPr>
        <w:pStyle w:val="BfRBBStandard"/>
        <w:jc w:val="left"/>
        <w:rPr>
          <w:lang w:val="en-GB"/>
        </w:rPr>
      </w:pPr>
      <w:r w:rsidRPr="00230172">
        <w:rPr>
          <w:b/>
          <w:lang w:val="en-GB"/>
        </w:rPr>
        <w:t>Active substance(s):</w:t>
      </w:r>
      <w:r w:rsidRPr="0077085E">
        <w:rPr>
          <w:lang w:val="en-GB"/>
        </w:rPr>
        <w:t xml:space="preserve"> </w:t>
      </w:r>
      <w:r w:rsidRPr="00E75862">
        <w:rPr>
          <w:lang w:val="en-GB"/>
        </w:rPr>
        <w:t>cypermethrin, tebuconazole, propiconazole, IPBC</w:t>
      </w:r>
    </w:p>
    <w:p w14:paraId="36B8223D" w14:textId="77777777" w:rsidR="004D5040" w:rsidRPr="0077085E" w:rsidRDefault="004D5040" w:rsidP="004D5040">
      <w:pPr>
        <w:pStyle w:val="BfRBBStandard"/>
        <w:jc w:val="left"/>
        <w:rPr>
          <w:lang w:val="en-GB"/>
        </w:rPr>
      </w:pPr>
      <w:r w:rsidRPr="00230172">
        <w:rPr>
          <w:b/>
          <w:lang w:val="en-GB"/>
        </w:rPr>
        <w:t>Formulation of biocidal product:</w:t>
      </w:r>
      <w:r w:rsidRPr="0077085E">
        <w:rPr>
          <w:lang w:val="en-GB"/>
        </w:rPr>
        <w:t xml:space="preserve"> </w:t>
      </w:r>
      <w:r>
        <w:rPr>
          <w:lang w:val="en-GB"/>
        </w:rPr>
        <w:t>AL</w:t>
      </w:r>
    </w:p>
    <w:p w14:paraId="51063C0D" w14:textId="77777777" w:rsidR="004D5040" w:rsidRPr="0077085E" w:rsidRDefault="004D5040" w:rsidP="004D5040">
      <w:pPr>
        <w:pStyle w:val="BfRBBStandard"/>
        <w:jc w:val="left"/>
        <w:rPr>
          <w:lang w:val="en-GB"/>
        </w:rPr>
      </w:pPr>
      <w:r w:rsidRPr="00230172">
        <w:rPr>
          <w:b/>
          <w:lang w:val="en-GB"/>
        </w:rPr>
        <w:t>Place of treatment:</w:t>
      </w:r>
      <w:r w:rsidRPr="0077085E">
        <w:rPr>
          <w:lang w:val="en-GB"/>
        </w:rPr>
        <w:t xml:space="preserve"> </w:t>
      </w:r>
      <w:r>
        <w:rPr>
          <w:lang w:val="en-GB"/>
        </w:rPr>
        <w:t>indoor and outdoor</w:t>
      </w:r>
    </w:p>
    <w:p w14:paraId="773A99E8" w14:textId="77777777" w:rsidR="004D5040" w:rsidRPr="00230172" w:rsidRDefault="004D5040" w:rsidP="004D5040">
      <w:pPr>
        <w:pStyle w:val="BfRBBStandard"/>
        <w:jc w:val="left"/>
        <w:rPr>
          <w:b/>
          <w:lang w:val="en-GB"/>
        </w:rPr>
      </w:pPr>
      <w:r>
        <w:rPr>
          <w:b/>
          <w:lang w:val="en-GB"/>
        </w:rPr>
        <w:t>T</w:t>
      </w:r>
      <w:r w:rsidRPr="00230172">
        <w:rPr>
          <w:b/>
          <w:lang w:val="en-GB"/>
        </w:rPr>
        <w:t xml:space="preserve">arget organisms: </w:t>
      </w:r>
      <w:r w:rsidRPr="00230172">
        <w:rPr>
          <w:lang w:val="en-GB"/>
        </w:rPr>
        <w:t>wood rotting basidiomycetes, wood boring insects, subterranean termites</w:t>
      </w:r>
    </w:p>
    <w:p w14:paraId="1E2F5BA9" w14:textId="77777777" w:rsidR="004D5040" w:rsidRPr="0077085E" w:rsidRDefault="004D5040" w:rsidP="004D5040">
      <w:pPr>
        <w:pStyle w:val="BfRBBStandard"/>
        <w:jc w:val="left"/>
        <w:rPr>
          <w:lang w:val="en-GB"/>
        </w:rPr>
      </w:pPr>
    </w:p>
    <w:p w14:paraId="19DC17F9" w14:textId="77777777" w:rsidR="004D5040" w:rsidRPr="0077085E" w:rsidRDefault="004D5040" w:rsidP="004D5040">
      <w:pPr>
        <w:pStyle w:val="BfRBBStandard"/>
        <w:rPr>
          <w:lang w:val="en-GB"/>
        </w:rPr>
      </w:pPr>
      <w:r w:rsidRPr="00230172">
        <w:rPr>
          <w:lang w:val="en-GB"/>
        </w:rPr>
        <w:t>The intended use descriptions of the cypermethrin, tebuconazole, propiconazole, IPBC-containing biocidal products for which authorisation is sought indicate that these uses are not relevant in terms of residues in food and feed. The product is to be used for preventive and curative treatment of interior an</w:t>
      </w:r>
      <w:r>
        <w:rPr>
          <w:lang w:val="en-GB"/>
        </w:rPr>
        <w:t>d exterior woods that do</w:t>
      </w:r>
      <w:r w:rsidRPr="00230172">
        <w:rPr>
          <w:lang w:val="en-GB"/>
        </w:rPr>
        <w:t xml:space="preserve"> not c</w:t>
      </w:r>
      <w:r>
        <w:rPr>
          <w:lang w:val="en-GB"/>
        </w:rPr>
        <w:t>ome in direct contact with food</w:t>
      </w:r>
      <w:proofErr w:type="gramStart"/>
      <w:r>
        <w:rPr>
          <w:lang w:val="en-GB"/>
        </w:rPr>
        <w:t>,</w:t>
      </w:r>
      <w:r w:rsidRPr="00230172">
        <w:rPr>
          <w:lang w:val="en-GB"/>
        </w:rPr>
        <w:t>feedstuff</w:t>
      </w:r>
      <w:proofErr w:type="gramEnd"/>
      <w:r>
        <w:rPr>
          <w:lang w:val="en-GB"/>
        </w:rPr>
        <w:t xml:space="preserve"> or livestock</w:t>
      </w:r>
      <w:r w:rsidRPr="00230172">
        <w:rPr>
          <w:lang w:val="en-GB"/>
        </w:rPr>
        <w:t>. No further data are required concerning the residue behaviour.</w:t>
      </w:r>
    </w:p>
    <w:p w14:paraId="2B905A10" w14:textId="77777777" w:rsidR="004D5040" w:rsidRPr="005934F7" w:rsidRDefault="004D5040" w:rsidP="004D5040">
      <w:pPr>
        <w:pStyle w:val="Absatz"/>
        <w:rPr>
          <w:lang w:val="de-DE"/>
        </w:rPr>
      </w:pPr>
    </w:p>
    <w:p w14:paraId="5BDBF0E7" w14:textId="77777777" w:rsidR="004D5040" w:rsidRDefault="004D5040" w:rsidP="003012CB">
      <w:pPr>
        <w:rPr>
          <w:rFonts w:eastAsia="Calibri"/>
          <w:b/>
          <w:caps/>
          <w:sz w:val="28"/>
          <w:szCs w:val="28"/>
          <w:lang w:val="de-DE" w:eastAsia="en-US"/>
        </w:rPr>
      </w:pPr>
    </w:p>
    <w:p w14:paraId="1FB5A6A3" w14:textId="77777777" w:rsidR="00194036" w:rsidRDefault="00194036">
      <w:pPr>
        <w:suppressAutoHyphens w:val="0"/>
        <w:rPr>
          <w:rFonts w:eastAsia="Calibri"/>
          <w:b/>
          <w:caps/>
          <w:sz w:val="28"/>
          <w:szCs w:val="28"/>
          <w:lang w:val="de-DE" w:eastAsia="en-US"/>
        </w:rPr>
      </w:pPr>
      <w:r>
        <w:rPr>
          <w:rFonts w:eastAsia="Calibri"/>
          <w:b/>
          <w:caps/>
          <w:sz w:val="28"/>
          <w:szCs w:val="28"/>
          <w:lang w:val="de-DE" w:eastAsia="en-US"/>
        </w:rPr>
        <w:br w:type="page"/>
      </w:r>
    </w:p>
    <w:p w14:paraId="16C67117" w14:textId="77777777" w:rsidR="00194036" w:rsidRDefault="00194036" w:rsidP="003012CB">
      <w:pPr>
        <w:rPr>
          <w:rFonts w:eastAsia="Calibri"/>
          <w:b/>
          <w:caps/>
          <w:sz w:val="28"/>
          <w:szCs w:val="28"/>
          <w:lang w:val="de-DE" w:eastAsia="en-US"/>
        </w:rPr>
      </w:pPr>
    </w:p>
    <w:p w14:paraId="55ED49D5" w14:textId="77777777" w:rsidR="003012CB" w:rsidRDefault="003012CB" w:rsidP="003012CB">
      <w:pPr>
        <w:pStyle w:val="Titre2"/>
        <w:rPr>
          <w:caps/>
          <w:sz w:val="28"/>
          <w:szCs w:val="28"/>
          <w:lang w:eastAsia="en-US"/>
        </w:rPr>
      </w:pPr>
      <w:bookmarkStart w:id="172" w:name="_Toc536627338"/>
      <w:r>
        <w:t>Summaries of the efficacy studies (B.5.10.1-xx)</w:t>
      </w:r>
      <w:r>
        <w:rPr>
          <w:rStyle w:val="Caractresdenotedebasdepage"/>
        </w:rPr>
        <w:footnoteReference w:id="29"/>
      </w:r>
      <w:bookmarkEnd w:id="172"/>
    </w:p>
    <w:p w14:paraId="0B365F5A" w14:textId="77777777" w:rsidR="003012CB" w:rsidRDefault="003012CB" w:rsidP="003012CB">
      <w:pPr>
        <w:rPr>
          <w:rFonts w:eastAsia="Calibri"/>
          <w:b/>
          <w:caps/>
          <w:sz w:val="28"/>
          <w:szCs w:val="28"/>
          <w:lang w:eastAsia="en-US"/>
        </w:rPr>
      </w:pPr>
    </w:p>
    <w:p w14:paraId="3FF4B38C" w14:textId="77777777" w:rsidR="004D5040" w:rsidRDefault="004D5040" w:rsidP="004D5040">
      <w:pPr>
        <w:pStyle w:val="Titre2"/>
        <w:rPr>
          <w:rFonts w:eastAsia="Verdana"/>
          <w:caps/>
          <w:sz w:val="28"/>
          <w:szCs w:val="28"/>
          <w:lang w:val="de-DE" w:eastAsia="en-US"/>
        </w:rPr>
      </w:pPr>
      <w:bookmarkStart w:id="173" w:name="_Toc536627339"/>
      <w:r>
        <w:rPr>
          <w:lang w:val="de-DE"/>
        </w:rPr>
        <w:t>Confidential annex</w:t>
      </w:r>
      <w:bookmarkEnd w:id="173"/>
      <w:r>
        <w:rPr>
          <w:lang w:val="de-DE"/>
        </w:rPr>
        <w:t xml:space="preserve"> </w:t>
      </w:r>
    </w:p>
    <w:p w14:paraId="2998D003" w14:textId="77777777" w:rsidR="004D5040" w:rsidRDefault="004D5040" w:rsidP="003012CB">
      <w:pPr>
        <w:rPr>
          <w:rFonts w:eastAsia="Calibri"/>
          <w:b/>
          <w:caps/>
          <w:sz w:val="28"/>
          <w:szCs w:val="28"/>
          <w:lang w:eastAsia="en-US"/>
        </w:rPr>
      </w:pPr>
    </w:p>
    <w:p w14:paraId="6670C7DF" w14:textId="77777777" w:rsidR="004D5040" w:rsidRPr="004D5040" w:rsidRDefault="004D5040" w:rsidP="004D5040">
      <w:pPr>
        <w:pStyle w:val="BfRBBStandard"/>
        <w:rPr>
          <w:rFonts w:ascii="Verdana" w:hAnsi="Verdana"/>
          <w:sz w:val="20"/>
          <w:szCs w:val="20"/>
          <w:lang w:val="en-GB"/>
        </w:rPr>
      </w:pPr>
      <w:r w:rsidRPr="004D5040">
        <w:rPr>
          <w:rFonts w:ascii="Verdana" w:hAnsi="Verdana"/>
          <w:sz w:val="20"/>
          <w:szCs w:val="20"/>
          <w:lang w:val="en-GB"/>
        </w:rPr>
        <w:t>Please refer to the Confidendial annex file.</w:t>
      </w:r>
    </w:p>
    <w:p w14:paraId="0FB0AC7A" w14:textId="77777777" w:rsidR="004D5040" w:rsidRPr="00EC0D24" w:rsidRDefault="004D5040" w:rsidP="004D5040">
      <w:pPr>
        <w:pStyle w:val="Absatz"/>
        <w:rPr>
          <w:lang w:val="de-DE"/>
        </w:rPr>
      </w:pPr>
    </w:p>
    <w:p w14:paraId="07D57E78" w14:textId="77777777" w:rsidR="003012CB" w:rsidRPr="004D5040" w:rsidRDefault="003012CB" w:rsidP="003012CB">
      <w:pPr>
        <w:rPr>
          <w:rFonts w:eastAsia="Calibri"/>
          <w:b/>
          <w:caps/>
          <w:sz w:val="28"/>
          <w:szCs w:val="28"/>
          <w:lang w:eastAsia="en-US"/>
        </w:rPr>
      </w:pPr>
    </w:p>
    <w:p w14:paraId="24617346" w14:textId="77777777" w:rsidR="003012CB" w:rsidRDefault="003012CB" w:rsidP="003012CB">
      <w:pPr>
        <w:pStyle w:val="Titre2"/>
        <w:rPr>
          <w:sz w:val="28"/>
          <w:szCs w:val="28"/>
        </w:rPr>
      </w:pPr>
      <w:bookmarkStart w:id="174" w:name="_Toc536627340"/>
      <w:r>
        <w:rPr>
          <w:lang w:val="de-DE"/>
        </w:rPr>
        <w:t>Other</w:t>
      </w:r>
      <w:bookmarkEnd w:id="174"/>
    </w:p>
    <w:p w14:paraId="49900851" w14:textId="77777777" w:rsidR="003012CB" w:rsidRDefault="003012CB" w:rsidP="003012CB">
      <w:pPr>
        <w:pStyle w:val="Absatz"/>
        <w:ind w:left="0"/>
        <w:rPr>
          <w:lang w:val="de-DE"/>
        </w:rPr>
      </w:pPr>
    </w:p>
    <w:p w14:paraId="359BD4A2" w14:textId="482AEE69" w:rsidR="002A77D8" w:rsidRPr="002A77D8" w:rsidRDefault="002A77D8" w:rsidP="003012CB">
      <w:pPr>
        <w:pStyle w:val="Absatz"/>
        <w:ind w:left="0"/>
        <w:rPr>
          <w:rFonts w:ascii="Verdana" w:hAnsi="Verdana"/>
          <w:b/>
          <w:sz w:val="24"/>
          <w:szCs w:val="24"/>
          <w:u w:val="single"/>
          <w:lang w:val="de-DE"/>
        </w:rPr>
      </w:pPr>
      <w:r w:rsidRPr="002A77D8">
        <w:rPr>
          <w:rFonts w:ascii="Verdana" w:hAnsi="Verdana"/>
          <w:b/>
          <w:snapToGrid w:val="0"/>
          <w:sz w:val="24"/>
          <w:szCs w:val="24"/>
          <w:u w:val="single"/>
        </w:rPr>
        <w:t>Toxicology and metabolism –active substance</w:t>
      </w:r>
      <w:r w:rsidR="0033534F">
        <w:rPr>
          <w:rFonts w:ascii="Verdana" w:hAnsi="Verdana"/>
          <w:b/>
          <w:snapToGrid w:val="0"/>
          <w:sz w:val="24"/>
          <w:szCs w:val="24"/>
          <w:u w:val="single"/>
        </w:rPr>
        <w:t xml:space="preserve"> (annex 5)</w:t>
      </w:r>
    </w:p>
    <w:p w14:paraId="36391016" w14:textId="77777777" w:rsidR="002A77D8" w:rsidRDefault="002A77D8" w:rsidP="003012CB">
      <w:pPr>
        <w:pStyle w:val="Absatz"/>
        <w:ind w:left="0"/>
        <w:rPr>
          <w:lang w:val="de-DE"/>
        </w:rPr>
      </w:pPr>
    </w:p>
    <w:p w14:paraId="462AEF8A" w14:textId="77777777" w:rsidR="002A77D8" w:rsidRPr="002131ED" w:rsidRDefault="002A77D8" w:rsidP="002A77D8">
      <w:pPr>
        <w:pStyle w:val="BfRBBTitel"/>
        <w:ind w:firstLine="708"/>
        <w:rPr>
          <w:b w:val="0"/>
          <w:bCs w:val="0"/>
          <w:sz w:val="22"/>
          <w:szCs w:val="22"/>
          <w:lang w:val="en-GB"/>
        </w:rPr>
      </w:pPr>
    </w:p>
    <w:p w14:paraId="783448E9" w14:textId="77777777" w:rsidR="002A77D8" w:rsidRPr="002131ED" w:rsidRDefault="002A77D8" w:rsidP="002A77D8">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Cypermethrine</w:t>
      </w:r>
      <w:r w:rsidRPr="002131ED">
        <w:rPr>
          <w:lang w:val="en-GB"/>
        </w:rPr>
        <w:t>&gt;</w:t>
      </w:r>
    </w:p>
    <w:p w14:paraId="08DE134D" w14:textId="77777777" w:rsidR="002A77D8" w:rsidRPr="002131ED" w:rsidRDefault="002A77D8" w:rsidP="002A77D8">
      <w:pPr>
        <w:pStyle w:val="BfRBBTitel"/>
        <w:rPr>
          <w:b w:val="0"/>
          <w:bCs w:val="0"/>
          <w:sz w:val="22"/>
          <w:szCs w:val="22"/>
          <w:lang w:val="en-GB"/>
        </w:rPr>
      </w:pPr>
    </w:p>
    <w:p w14:paraId="4A971FCD" w14:textId="77777777" w:rsidR="002A77D8" w:rsidRPr="002131ED" w:rsidRDefault="002A77D8" w:rsidP="002A77D8">
      <w:pPr>
        <w:pStyle w:val="BfRBBTitel"/>
        <w:rPr>
          <w:b w:val="0"/>
          <w:bCs w:val="0"/>
          <w:sz w:val="22"/>
          <w:szCs w:val="22"/>
          <w:lang w:val="en-GB"/>
        </w:rPr>
      </w:pPr>
      <w:r w:rsidRPr="002131ED">
        <w:rPr>
          <w:b w:val="0"/>
          <w:bCs w:val="0"/>
          <w:sz w:val="22"/>
          <w:szCs w:val="22"/>
          <w:lang w:val="en-GB"/>
        </w:rPr>
        <w:t xml:space="preserve">Threshold Limits and other Values for Human Health Risk Assessment </w:t>
      </w:r>
    </w:p>
    <w:p w14:paraId="22ABE978" w14:textId="77777777" w:rsidR="002A77D8" w:rsidRPr="002131ED" w:rsidRDefault="002A77D8" w:rsidP="002A77D8">
      <w:pPr>
        <w:pStyle w:val="BfRBBStandard"/>
        <w:rPr>
          <w:lang w:val="en-GB"/>
        </w:rPr>
      </w:pPr>
    </w:p>
    <w:p w14:paraId="38286CF2"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2A77D8" w:rsidRPr="002131ED" w14:paraId="4A4F2CB5" w14:textId="77777777" w:rsidTr="005D37EC">
        <w:trPr>
          <w:cantSplit/>
          <w:tblHeader/>
        </w:trPr>
        <w:tc>
          <w:tcPr>
            <w:tcW w:w="9214" w:type="dxa"/>
            <w:gridSpan w:val="4"/>
            <w:tcBorders>
              <w:top w:val="single" w:sz="12" w:space="0" w:color="000000"/>
              <w:left w:val="nil"/>
              <w:bottom w:val="single" w:sz="6" w:space="0" w:color="000000"/>
              <w:right w:val="nil"/>
            </w:tcBorders>
          </w:tcPr>
          <w:p w14:paraId="01E85D47" w14:textId="77777777" w:rsidR="002A77D8" w:rsidRPr="002131ED" w:rsidRDefault="002A77D8" w:rsidP="005D37EC">
            <w:pPr>
              <w:pStyle w:val="BfRBBTabelle"/>
              <w:rPr>
                <w:b/>
                <w:bCs/>
                <w:lang w:val="en-GB"/>
              </w:rPr>
            </w:pPr>
            <w:r w:rsidRPr="002131ED">
              <w:rPr>
                <w:b/>
                <w:snapToGrid w:val="0"/>
                <w:sz w:val="22"/>
                <w:szCs w:val="22"/>
                <w:lang w:val="en-GB"/>
              </w:rPr>
              <w:t>Summary</w:t>
            </w:r>
            <w:r w:rsidRPr="002131ED">
              <w:rPr>
                <w:b/>
                <w:bCs/>
                <w:lang w:val="en-GB"/>
              </w:rPr>
              <w:t xml:space="preserve"> </w:t>
            </w:r>
          </w:p>
        </w:tc>
      </w:tr>
      <w:tr w:rsidR="002A77D8" w:rsidRPr="002131ED" w14:paraId="1F09119B" w14:textId="77777777" w:rsidTr="005D37EC">
        <w:trPr>
          <w:tblHeader/>
        </w:trPr>
        <w:tc>
          <w:tcPr>
            <w:tcW w:w="2410" w:type="dxa"/>
            <w:tcBorders>
              <w:top w:val="single" w:sz="6" w:space="0" w:color="000000"/>
              <w:left w:val="nil"/>
              <w:bottom w:val="nil"/>
              <w:right w:val="nil"/>
            </w:tcBorders>
          </w:tcPr>
          <w:p w14:paraId="5A72F345" w14:textId="77777777" w:rsidR="002A77D8" w:rsidRPr="002131ED" w:rsidRDefault="002A77D8" w:rsidP="005D37EC">
            <w:pPr>
              <w:pStyle w:val="BfRBBTabelle"/>
              <w:rPr>
                <w:sz w:val="22"/>
                <w:szCs w:val="22"/>
                <w:lang w:val="en-GB"/>
              </w:rPr>
            </w:pPr>
          </w:p>
        </w:tc>
        <w:tc>
          <w:tcPr>
            <w:tcW w:w="2126" w:type="dxa"/>
            <w:tcBorders>
              <w:top w:val="single" w:sz="6" w:space="0" w:color="000000"/>
              <w:left w:val="nil"/>
              <w:bottom w:val="nil"/>
              <w:right w:val="nil"/>
            </w:tcBorders>
            <w:vAlign w:val="bottom"/>
          </w:tcPr>
          <w:p w14:paraId="06EB94E8" w14:textId="77777777" w:rsidR="002A77D8" w:rsidRPr="002131ED" w:rsidRDefault="002A77D8" w:rsidP="005D37EC">
            <w:pPr>
              <w:pStyle w:val="BfRBBTabelle"/>
              <w:rPr>
                <w:sz w:val="22"/>
                <w:szCs w:val="22"/>
                <w:lang w:val="en-GB"/>
              </w:rPr>
            </w:pPr>
            <w:r w:rsidRPr="002131ED">
              <w:rPr>
                <w:sz w:val="22"/>
                <w:szCs w:val="22"/>
                <w:lang w:val="en-GB"/>
              </w:rPr>
              <w:t>Value</w:t>
            </w:r>
          </w:p>
        </w:tc>
        <w:tc>
          <w:tcPr>
            <w:tcW w:w="3261" w:type="dxa"/>
            <w:tcBorders>
              <w:top w:val="single" w:sz="6" w:space="0" w:color="000000"/>
              <w:left w:val="nil"/>
              <w:bottom w:val="nil"/>
              <w:right w:val="nil"/>
            </w:tcBorders>
            <w:vAlign w:val="bottom"/>
          </w:tcPr>
          <w:p w14:paraId="16BC3EE8" w14:textId="77777777" w:rsidR="002A77D8" w:rsidRPr="002131ED" w:rsidRDefault="002A77D8" w:rsidP="005D37EC">
            <w:pPr>
              <w:pStyle w:val="BfRBBTabelle"/>
              <w:rPr>
                <w:sz w:val="22"/>
                <w:szCs w:val="22"/>
                <w:lang w:val="en-GB"/>
              </w:rPr>
            </w:pPr>
            <w:r w:rsidRPr="002131ED">
              <w:rPr>
                <w:sz w:val="22"/>
                <w:szCs w:val="22"/>
                <w:lang w:val="en-GB"/>
              </w:rPr>
              <w:t>Study</w:t>
            </w:r>
          </w:p>
        </w:tc>
        <w:tc>
          <w:tcPr>
            <w:tcW w:w="1417" w:type="dxa"/>
            <w:tcBorders>
              <w:top w:val="single" w:sz="6" w:space="0" w:color="000000"/>
              <w:left w:val="nil"/>
              <w:bottom w:val="nil"/>
              <w:right w:val="nil"/>
            </w:tcBorders>
            <w:vAlign w:val="bottom"/>
          </w:tcPr>
          <w:p w14:paraId="4EC60DB7" w14:textId="77777777" w:rsidR="002A77D8" w:rsidRPr="002131ED" w:rsidRDefault="002A77D8" w:rsidP="005D37EC">
            <w:pPr>
              <w:pStyle w:val="BfRBBTabelle"/>
              <w:rPr>
                <w:sz w:val="22"/>
                <w:szCs w:val="22"/>
                <w:lang w:val="en-GB"/>
              </w:rPr>
            </w:pPr>
            <w:r w:rsidRPr="002131ED">
              <w:rPr>
                <w:sz w:val="22"/>
                <w:szCs w:val="22"/>
                <w:lang w:val="en-GB"/>
              </w:rPr>
              <w:t>SF</w:t>
            </w:r>
          </w:p>
        </w:tc>
      </w:tr>
      <w:tr w:rsidR="002A77D8" w:rsidRPr="002131ED" w14:paraId="11645118" w14:textId="77777777" w:rsidTr="005D37EC">
        <w:tc>
          <w:tcPr>
            <w:tcW w:w="2410" w:type="dxa"/>
            <w:tcBorders>
              <w:top w:val="nil"/>
              <w:left w:val="nil"/>
              <w:bottom w:val="nil"/>
              <w:right w:val="nil"/>
            </w:tcBorders>
          </w:tcPr>
          <w:p w14:paraId="39F51EE8" w14:textId="77777777" w:rsidR="002A77D8" w:rsidRPr="002131ED" w:rsidRDefault="002A77D8" w:rsidP="005D37EC">
            <w:pPr>
              <w:pStyle w:val="BfRBBTabelle"/>
              <w:rPr>
                <w:sz w:val="22"/>
                <w:szCs w:val="22"/>
                <w:lang w:val="en-GB"/>
              </w:rPr>
            </w:pPr>
            <w:r w:rsidRPr="002131ED">
              <w:rPr>
                <w:sz w:val="22"/>
                <w:szCs w:val="22"/>
                <w:lang w:val="en-GB"/>
              </w:rPr>
              <w:t>AEL long-term</w:t>
            </w:r>
          </w:p>
        </w:tc>
        <w:tc>
          <w:tcPr>
            <w:tcW w:w="2126" w:type="dxa"/>
            <w:tcBorders>
              <w:top w:val="nil"/>
              <w:left w:val="nil"/>
              <w:bottom w:val="nil"/>
              <w:right w:val="nil"/>
            </w:tcBorders>
          </w:tcPr>
          <w:p w14:paraId="0BAF7B95" w14:textId="77777777" w:rsidR="002A77D8" w:rsidRPr="002131ED" w:rsidRDefault="002A77D8" w:rsidP="005D37EC">
            <w:pPr>
              <w:pStyle w:val="BfRBBTabelle"/>
              <w:rPr>
                <w:sz w:val="22"/>
                <w:szCs w:val="22"/>
                <w:lang w:val="en-GB"/>
              </w:rPr>
            </w:pPr>
            <w:r>
              <w:rPr>
                <w:sz w:val="22"/>
                <w:szCs w:val="22"/>
                <w:lang w:val="en-GB"/>
              </w:rPr>
              <w:t>0.022</w:t>
            </w:r>
          </w:p>
        </w:tc>
        <w:tc>
          <w:tcPr>
            <w:tcW w:w="3261" w:type="dxa"/>
            <w:tcBorders>
              <w:top w:val="nil"/>
              <w:left w:val="nil"/>
              <w:bottom w:val="nil"/>
              <w:right w:val="nil"/>
            </w:tcBorders>
          </w:tcPr>
          <w:p w14:paraId="6624B9AD" w14:textId="77777777" w:rsidR="002A77D8" w:rsidRPr="002131ED" w:rsidRDefault="002A77D8" w:rsidP="005D37EC">
            <w:pPr>
              <w:pStyle w:val="BfRBBTabelle"/>
              <w:rPr>
                <w:sz w:val="22"/>
                <w:szCs w:val="22"/>
                <w:lang w:val="en-GB"/>
              </w:rPr>
            </w:pPr>
            <w:r>
              <w:rPr>
                <w:sz w:val="22"/>
                <w:szCs w:val="22"/>
                <w:lang w:val="en-GB"/>
              </w:rPr>
              <w:t>2 years rat</w:t>
            </w:r>
          </w:p>
        </w:tc>
        <w:tc>
          <w:tcPr>
            <w:tcW w:w="1417" w:type="dxa"/>
            <w:tcBorders>
              <w:top w:val="nil"/>
              <w:left w:val="nil"/>
              <w:bottom w:val="nil"/>
              <w:right w:val="nil"/>
            </w:tcBorders>
          </w:tcPr>
          <w:p w14:paraId="29F404AE"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354FC60C" w14:textId="77777777" w:rsidTr="005D37EC">
        <w:tc>
          <w:tcPr>
            <w:tcW w:w="2410" w:type="dxa"/>
            <w:tcBorders>
              <w:top w:val="nil"/>
              <w:left w:val="nil"/>
              <w:bottom w:val="nil"/>
              <w:right w:val="nil"/>
            </w:tcBorders>
          </w:tcPr>
          <w:p w14:paraId="5087BCF1" w14:textId="77777777" w:rsidR="002A77D8" w:rsidRPr="002131ED" w:rsidRDefault="002A77D8" w:rsidP="005D37EC">
            <w:pPr>
              <w:pStyle w:val="BfRBBTabelle"/>
              <w:rPr>
                <w:sz w:val="22"/>
                <w:szCs w:val="22"/>
                <w:lang w:val="en-GB"/>
              </w:rPr>
            </w:pPr>
            <w:r w:rsidRPr="002131ED">
              <w:rPr>
                <w:sz w:val="22"/>
                <w:szCs w:val="22"/>
                <w:lang w:val="en-GB"/>
              </w:rPr>
              <w:t>AEL medium-term</w:t>
            </w:r>
          </w:p>
        </w:tc>
        <w:tc>
          <w:tcPr>
            <w:tcW w:w="2126" w:type="dxa"/>
            <w:tcBorders>
              <w:top w:val="nil"/>
              <w:left w:val="nil"/>
              <w:bottom w:val="nil"/>
              <w:right w:val="nil"/>
            </w:tcBorders>
          </w:tcPr>
          <w:p w14:paraId="02683E60" w14:textId="77777777" w:rsidR="002A77D8" w:rsidRPr="002131ED" w:rsidRDefault="002A77D8" w:rsidP="005D37EC">
            <w:pPr>
              <w:pStyle w:val="BfRBBTabelle"/>
              <w:rPr>
                <w:sz w:val="22"/>
                <w:szCs w:val="22"/>
                <w:lang w:val="en-GB"/>
              </w:rPr>
            </w:pPr>
            <w:r>
              <w:rPr>
                <w:sz w:val="22"/>
                <w:szCs w:val="22"/>
                <w:lang w:val="en-GB"/>
              </w:rPr>
              <w:t>0.055</w:t>
            </w:r>
          </w:p>
        </w:tc>
        <w:tc>
          <w:tcPr>
            <w:tcW w:w="3261" w:type="dxa"/>
            <w:tcBorders>
              <w:top w:val="nil"/>
              <w:left w:val="nil"/>
              <w:bottom w:val="nil"/>
              <w:right w:val="nil"/>
            </w:tcBorders>
          </w:tcPr>
          <w:p w14:paraId="742D8DA9" w14:textId="77777777" w:rsidR="002A77D8" w:rsidRPr="002131ED" w:rsidRDefault="002A77D8" w:rsidP="005D37EC">
            <w:pPr>
              <w:pStyle w:val="BfRBBTabelle"/>
              <w:rPr>
                <w:sz w:val="22"/>
                <w:szCs w:val="22"/>
                <w:lang w:val="en-GB"/>
              </w:rPr>
            </w:pPr>
            <w:r>
              <w:rPr>
                <w:sz w:val="22"/>
                <w:szCs w:val="22"/>
                <w:lang w:val="en-GB"/>
              </w:rPr>
              <w:t>90 days dog</w:t>
            </w:r>
          </w:p>
        </w:tc>
        <w:tc>
          <w:tcPr>
            <w:tcW w:w="1417" w:type="dxa"/>
            <w:tcBorders>
              <w:top w:val="nil"/>
              <w:left w:val="nil"/>
              <w:bottom w:val="nil"/>
              <w:right w:val="nil"/>
            </w:tcBorders>
          </w:tcPr>
          <w:p w14:paraId="12A093B8"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2EF5E10C" w14:textId="77777777" w:rsidTr="005D37EC">
        <w:trPr>
          <w:cantSplit/>
        </w:trPr>
        <w:tc>
          <w:tcPr>
            <w:tcW w:w="2410" w:type="dxa"/>
            <w:tcBorders>
              <w:top w:val="nil"/>
              <w:left w:val="nil"/>
              <w:bottom w:val="nil"/>
              <w:right w:val="nil"/>
            </w:tcBorders>
          </w:tcPr>
          <w:p w14:paraId="506D89C8" w14:textId="77777777" w:rsidR="002A77D8" w:rsidRPr="002131ED" w:rsidRDefault="002A77D8" w:rsidP="005D37EC">
            <w:pPr>
              <w:pStyle w:val="BfRBBTabelle"/>
              <w:rPr>
                <w:sz w:val="22"/>
                <w:szCs w:val="22"/>
                <w:lang w:val="en-GB"/>
              </w:rPr>
            </w:pPr>
            <w:r w:rsidRPr="002131ED">
              <w:rPr>
                <w:sz w:val="22"/>
                <w:szCs w:val="22"/>
                <w:lang w:val="en-GB"/>
              </w:rPr>
              <w:t>AEL acute</w:t>
            </w:r>
          </w:p>
        </w:tc>
        <w:tc>
          <w:tcPr>
            <w:tcW w:w="2126" w:type="dxa"/>
            <w:tcBorders>
              <w:top w:val="nil"/>
              <w:left w:val="nil"/>
              <w:bottom w:val="nil"/>
              <w:right w:val="nil"/>
            </w:tcBorders>
          </w:tcPr>
          <w:p w14:paraId="154BAC2E" w14:textId="77777777" w:rsidR="002A77D8" w:rsidRPr="002131ED" w:rsidRDefault="002A77D8" w:rsidP="005D37EC">
            <w:pPr>
              <w:pStyle w:val="BfRBBTabelle"/>
              <w:rPr>
                <w:sz w:val="22"/>
                <w:szCs w:val="22"/>
                <w:lang w:val="en-GB"/>
              </w:rPr>
            </w:pPr>
            <w:r>
              <w:rPr>
                <w:sz w:val="22"/>
                <w:szCs w:val="22"/>
                <w:lang w:val="en-GB"/>
              </w:rPr>
              <w:t>0.088</w:t>
            </w:r>
          </w:p>
        </w:tc>
        <w:tc>
          <w:tcPr>
            <w:tcW w:w="3261" w:type="dxa"/>
            <w:tcBorders>
              <w:top w:val="nil"/>
              <w:left w:val="nil"/>
              <w:bottom w:val="nil"/>
              <w:right w:val="nil"/>
            </w:tcBorders>
          </w:tcPr>
          <w:p w14:paraId="1319111E" w14:textId="77777777" w:rsidR="002A77D8" w:rsidRPr="002131ED" w:rsidRDefault="002A77D8" w:rsidP="005D37EC">
            <w:pPr>
              <w:pStyle w:val="BfRBBTabelle"/>
              <w:rPr>
                <w:sz w:val="22"/>
                <w:szCs w:val="22"/>
                <w:lang w:val="en-GB"/>
              </w:rPr>
            </w:pPr>
            <w:r>
              <w:rPr>
                <w:sz w:val="22"/>
                <w:szCs w:val="22"/>
                <w:lang w:val="en-GB"/>
              </w:rPr>
              <w:t>Neurotoxicity rat</w:t>
            </w:r>
          </w:p>
        </w:tc>
        <w:tc>
          <w:tcPr>
            <w:tcW w:w="1417" w:type="dxa"/>
            <w:tcBorders>
              <w:top w:val="nil"/>
              <w:left w:val="nil"/>
              <w:bottom w:val="nil"/>
              <w:right w:val="nil"/>
            </w:tcBorders>
          </w:tcPr>
          <w:p w14:paraId="43B26C69"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5D2A9BC1" w14:textId="77777777" w:rsidTr="005D37EC">
        <w:tc>
          <w:tcPr>
            <w:tcW w:w="9214" w:type="dxa"/>
            <w:gridSpan w:val="4"/>
            <w:tcBorders>
              <w:top w:val="nil"/>
              <w:left w:val="nil"/>
              <w:bottom w:val="single" w:sz="12" w:space="0" w:color="000000"/>
              <w:right w:val="nil"/>
            </w:tcBorders>
          </w:tcPr>
          <w:p w14:paraId="29C7483A" w14:textId="77777777" w:rsidR="002A77D8" w:rsidRPr="002131ED" w:rsidRDefault="002A77D8" w:rsidP="005D37EC">
            <w:pPr>
              <w:pStyle w:val="BfRBBTabelleklein"/>
              <w:rPr>
                <w:lang w:val="en-GB"/>
              </w:rPr>
            </w:pPr>
          </w:p>
        </w:tc>
      </w:tr>
    </w:tbl>
    <w:p w14:paraId="46A62E47"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2A77D8" w:rsidRPr="002131ED" w14:paraId="07A828FB" w14:textId="77777777" w:rsidTr="005D37EC">
        <w:tc>
          <w:tcPr>
            <w:tcW w:w="4395" w:type="dxa"/>
            <w:tcBorders>
              <w:top w:val="nil"/>
              <w:left w:val="nil"/>
              <w:bottom w:val="nil"/>
              <w:right w:val="nil"/>
            </w:tcBorders>
          </w:tcPr>
          <w:p w14:paraId="704A3A99" w14:textId="77777777" w:rsidR="002A77D8" w:rsidRPr="002131ED" w:rsidRDefault="002A77D8" w:rsidP="005D37EC">
            <w:pPr>
              <w:pStyle w:val="BfRBBTabelle"/>
              <w:rPr>
                <w:sz w:val="22"/>
                <w:szCs w:val="22"/>
                <w:lang w:val="en-GB"/>
              </w:rPr>
            </w:pPr>
            <w:r w:rsidRPr="002131ED">
              <w:rPr>
                <w:sz w:val="22"/>
                <w:szCs w:val="22"/>
                <w:lang w:val="en-GB"/>
              </w:rPr>
              <w:t>Inhalative absorption</w:t>
            </w:r>
          </w:p>
        </w:tc>
        <w:tc>
          <w:tcPr>
            <w:tcW w:w="4819" w:type="dxa"/>
            <w:tcBorders>
              <w:top w:val="nil"/>
              <w:left w:val="nil"/>
              <w:bottom w:val="nil"/>
              <w:right w:val="nil"/>
            </w:tcBorders>
          </w:tcPr>
          <w:p w14:paraId="6AB6F37E"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5A87587B" w14:textId="77777777" w:rsidTr="005D37EC">
        <w:tc>
          <w:tcPr>
            <w:tcW w:w="4395" w:type="dxa"/>
            <w:tcBorders>
              <w:top w:val="nil"/>
              <w:left w:val="nil"/>
              <w:bottom w:val="single" w:sz="12" w:space="0" w:color="000000"/>
              <w:right w:val="nil"/>
            </w:tcBorders>
          </w:tcPr>
          <w:p w14:paraId="5938D07E" w14:textId="77777777" w:rsidR="002A77D8" w:rsidRPr="002131ED" w:rsidRDefault="002A77D8" w:rsidP="005D37EC">
            <w:pPr>
              <w:pStyle w:val="BfRBBTabelle"/>
              <w:rPr>
                <w:sz w:val="22"/>
                <w:szCs w:val="22"/>
                <w:lang w:val="en-GB"/>
              </w:rPr>
            </w:pPr>
            <w:r w:rsidRPr="002131ED">
              <w:rPr>
                <w:sz w:val="22"/>
                <w:szCs w:val="22"/>
                <w:lang w:val="en-GB"/>
              </w:rPr>
              <w:t>Oral absorption</w:t>
            </w:r>
          </w:p>
        </w:tc>
        <w:tc>
          <w:tcPr>
            <w:tcW w:w="4819" w:type="dxa"/>
            <w:tcBorders>
              <w:top w:val="nil"/>
              <w:left w:val="nil"/>
              <w:bottom w:val="single" w:sz="12" w:space="0" w:color="000000"/>
              <w:right w:val="nil"/>
            </w:tcBorders>
          </w:tcPr>
          <w:p w14:paraId="73A34B29" w14:textId="77777777" w:rsidR="002A77D8" w:rsidRPr="002131ED" w:rsidRDefault="002A77D8" w:rsidP="005D37EC">
            <w:pPr>
              <w:pStyle w:val="BfRBBTabelle"/>
              <w:rPr>
                <w:sz w:val="22"/>
                <w:szCs w:val="22"/>
                <w:lang w:val="en-GB"/>
              </w:rPr>
            </w:pPr>
            <w:r>
              <w:rPr>
                <w:sz w:val="22"/>
                <w:szCs w:val="22"/>
                <w:lang w:val="en-GB"/>
              </w:rPr>
              <w:t>57% (human) 44% (animal)</w:t>
            </w:r>
          </w:p>
        </w:tc>
      </w:tr>
      <w:tr w:rsidR="002A77D8" w:rsidRPr="002131ED" w14:paraId="0E6C28AA" w14:textId="77777777" w:rsidTr="005D37EC">
        <w:tc>
          <w:tcPr>
            <w:tcW w:w="4395" w:type="dxa"/>
            <w:tcBorders>
              <w:top w:val="nil"/>
              <w:left w:val="nil"/>
              <w:bottom w:val="nil"/>
              <w:right w:val="nil"/>
            </w:tcBorders>
          </w:tcPr>
          <w:p w14:paraId="155A58CD" w14:textId="77777777" w:rsidR="002A77D8" w:rsidRPr="002131ED" w:rsidRDefault="002A77D8" w:rsidP="005D37EC">
            <w:pPr>
              <w:pStyle w:val="BfRBBTabelle"/>
              <w:rPr>
                <w:sz w:val="22"/>
                <w:szCs w:val="22"/>
                <w:lang w:val="en-GB"/>
              </w:rPr>
            </w:pPr>
            <w:r w:rsidRPr="002131ED">
              <w:rPr>
                <w:sz w:val="22"/>
                <w:szCs w:val="22"/>
                <w:lang w:val="en-GB"/>
              </w:rPr>
              <w:t>Dermal absorption</w:t>
            </w:r>
          </w:p>
        </w:tc>
        <w:tc>
          <w:tcPr>
            <w:tcW w:w="4819" w:type="dxa"/>
            <w:tcBorders>
              <w:top w:val="nil"/>
              <w:left w:val="nil"/>
              <w:bottom w:val="nil"/>
              <w:right w:val="nil"/>
            </w:tcBorders>
          </w:tcPr>
          <w:p w14:paraId="460D7C73" w14:textId="77777777" w:rsidR="002A77D8" w:rsidRPr="002131ED" w:rsidRDefault="002A77D8" w:rsidP="005D37EC">
            <w:pPr>
              <w:pStyle w:val="BfRBBTabelle"/>
              <w:rPr>
                <w:sz w:val="22"/>
                <w:szCs w:val="22"/>
                <w:lang w:val="en-GB"/>
              </w:rPr>
            </w:pPr>
            <w:r>
              <w:rPr>
                <w:sz w:val="22"/>
                <w:szCs w:val="22"/>
                <w:lang w:val="en-GB"/>
              </w:rPr>
              <w:t>36%</w:t>
            </w:r>
          </w:p>
        </w:tc>
      </w:tr>
    </w:tbl>
    <w:p w14:paraId="6660AFE9"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2A77D8" w:rsidRPr="002131ED" w14:paraId="6BCCC6BE" w14:textId="77777777" w:rsidTr="005D37EC">
        <w:trPr>
          <w:cantSplit/>
          <w:tblHeader/>
        </w:trPr>
        <w:tc>
          <w:tcPr>
            <w:tcW w:w="9214" w:type="dxa"/>
            <w:gridSpan w:val="2"/>
            <w:tcBorders>
              <w:top w:val="single" w:sz="12" w:space="0" w:color="000000"/>
              <w:left w:val="nil"/>
              <w:bottom w:val="single" w:sz="6" w:space="0" w:color="000000"/>
              <w:right w:val="nil"/>
            </w:tcBorders>
          </w:tcPr>
          <w:p w14:paraId="264979A7" w14:textId="77777777" w:rsidR="002A77D8" w:rsidRPr="002131ED" w:rsidRDefault="002A77D8" w:rsidP="005D37EC">
            <w:pPr>
              <w:pStyle w:val="BfRBBTabelle"/>
              <w:rPr>
                <w:b/>
                <w:bCs/>
                <w:lang w:val="en-GB"/>
              </w:rPr>
            </w:pPr>
            <w:r w:rsidRPr="002131ED">
              <w:rPr>
                <w:b/>
                <w:snapToGrid w:val="0"/>
                <w:sz w:val="22"/>
                <w:szCs w:val="22"/>
                <w:lang w:val="en-GB"/>
              </w:rPr>
              <w:t>Classification</w:t>
            </w:r>
            <w:r w:rsidRPr="002131ED">
              <w:rPr>
                <w:b/>
                <w:bCs/>
                <w:lang w:val="en-GB"/>
              </w:rPr>
              <w:t xml:space="preserve"> </w:t>
            </w:r>
          </w:p>
        </w:tc>
      </w:tr>
      <w:tr w:rsidR="002A77D8" w:rsidRPr="002131ED" w14:paraId="03BFE9FF" w14:textId="77777777" w:rsidTr="005D37EC">
        <w:tc>
          <w:tcPr>
            <w:tcW w:w="4395" w:type="dxa"/>
            <w:tcBorders>
              <w:top w:val="nil"/>
              <w:left w:val="nil"/>
              <w:bottom w:val="single" w:sz="12" w:space="0" w:color="auto"/>
              <w:right w:val="nil"/>
            </w:tcBorders>
          </w:tcPr>
          <w:p w14:paraId="29F16761" w14:textId="77777777" w:rsidR="002A77D8" w:rsidRPr="002131ED" w:rsidRDefault="002A77D8" w:rsidP="005D37EC">
            <w:pPr>
              <w:pStyle w:val="BfRBBTabelle"/>
              <w:rPr>
                <w:sz w:val="22"/>
                <w:szCs w:val="22"/>
                <w:lang w:val="en-GB"/>
              </w:rPr>
            </w:pPr>
            <w:r w:rsidRPr="002131ED">
              <w:rPr>
                <w:sz w:val="22"/>
                <w:szCs w:val="22"/>
                <w:lang w:val="en-GB"/>
              </w:rPr>
              <w:t>with regard to toxicological data</w:t>
            </w:r>
            <w:r w:rsidRPr="002131ED">
              <w:rPr>
                <w:sz w:val="22"/>
                <w:szCs w:val="22"/>
                <w:lang w:val="en-GB"/>
              </w:rPr>
              <w:br/>
              <w:t>(according to the criteria in Reg. 1272/2008)</w:t>
            </w:r>
          </w:p>
        </w:tc>
        <w:tc>
          <w:tcPr>
            <w:tcW w:w="4819" w:type="dxa"/>
            <w:tcBorders>
              <w:top w:val="nil"/>
              <w:left w:val="nil"/>
              <w:bottom w:val="single" w:sz="12" w:space="0" w:color="auto"/>
              <w:right w:val="nil"/>
            </w:tcBorders>
          </w:tcPr>
          <w:p w14:paraId="2D17AD8F" w14:textId="77777777" w:rsidR="002A77D8" w:rsidRPr="007C3662" w:rsidRDefault="002A77D8" w:rsidP="005D37EC">
            <w:pPr>
              <w:snapToGrid w:val="0"/>
              <w:spacing w:before="60" w:after="60" w:line="276" w:lineRule="auto"/>
              <w:rPr>
                <w:rFonts w:ascii="Arial" w:hAnsi="Arial" w:cs="Arial"/>
                <w:noProof/>
                <w:lang w:eastAsia="de-DE"/>
              </w:rPr>
            </w:pPr>
            <w:r w:rsidRPr="007C3662">
              <w:rPr>
                <w:rFonts w:ascii="Arial" w:hAnsi="Arial" w:cs="Arial"/>
                <w:noProof/>
                <w:szCs w:val="22"/>
                <w:lang w:eastAsia="de-DE"/>
              </w:rPr>
              <w:t>Acute Tox 4 – H302</w:t>
            </w:r>
          </w:p>
          <w:p w14:paraId="006A1F12" w14:textId="77777777" w:rsidR="002A77D8" w:rsidRPr="007C3662" w:rsidRDefault="002A77D8" w:rsidP="005D37EC">
            <w:pPr>
              <w:snapToGrid w:val="0"/>
              <w:spacing w:before="60" w:after="60" w:line="276" w:lineRule="auto"/>
              <w:rPr>
                <w:rFonts w:ascii="Arial" w:hAnsi="Arial" w:cs="Arial"/>
                <w:noProof/>
                <w:lang w:eastAsia="de-DE"/>
              </w:rPr>
            </w:pPr>
            <w:r w:rsidRPr="007C3662">
              <w:rPr>
                <w:rFonts w:ascii="Arial" w:hAnsi="Arial" w:cs="Arial"/>
                <w:noProof/>
                <w:szCs w:val="22"/>
                <w:lang w:eastAsia="de-DE"/>
              </w:rPr>
              <w:t>Acute Tox 4 – H332</w:t>
            </w:r>
          </w:p>
          <w:p w14:paraId="02369A09" w14:textId="77777777" w:rsidR="002A77D8" w:rsidRPr="002131ED" w:rsidRDefault="002A77D8" w:rsidP="005D37EC">
            <w:pPr>
              <w:pStyle w:val="BfRBBTabelle"/>
              <w:tabs>
                <w:tab w:val="left" w:pos="742"/>
              </w:tabs>
              <w:rPr>
                <w:sz w:val="22"/>
                <w:szCs w:val="22"/>
                <w:lang w:val="en-GB"/>
              </w:rPr>
            </w:pPr>
            <w:r w:rsidRPr="007C3662">
              <w:rPr>
                <w:sz w:val="22"/>
                <w:szCs w:val="22"/>
                <w:lang w:val="en-GB"/>
              </w:rPr>
              <w:t>STOT SE 3 – H335</w:t>
            </w:r>
          </w:p>
        </w:tc>
      </w:tr>
    </w:tbl>
    <w:p w14:paraId="74808661" w14:textId="77777777" w:rsidR="002A77D8" w:rsidRPr="002131ED" w:rsidRDefault="002A77D8" w:rsidP="002A77D8">
      <w:pPr>
        <w:pStyle w:val="BfRBBStandard"/>
        <w:rPr>
          <w:lang w:val="en-GB"/>
        </w:rPr>
      </w:pPr>
      <w:r w:rsidRPr="002131ED" w:rsidDel="001471BF">
        <w:rPr>
          <w:snapToGrid w:val="0"/>
          <w:lang w:val="en-GB"/>
        </w:rPr>
        <w:t xml:space="preserve"> </w:t>
      </w:r>
    </w:p>
    <w:p w14:paraId="01B02549" w14:textId="77777777" w:rsidR="002A77D8" w:rsidRDefault="002A77D8" w:rsidP="003012CB">
      <w:pPr>
        <w:pStyle w:val="Absatz"/>
        <w:ind w:left="0"/>
        <w:rPr>
          <w:lang w:val="de-DE"/>
        </w:rPr>
      </w:pPr>
    </w:p>
    <w:p w14:paraId="5D930735" w14:textId="77777777" w:rsidR="002A77D8" w:rsidRPr="002A77D8" w:rsidRDefault="002A77D8" w:rsidP="003012CB">
      <w:pPr>
        <w:pStyle w:val="Absatz"/>
        <w:ind w:left="0"/>
        <w:rPr>
          <w:rFonts w:ascii="Verdana" w:hAnsi="Verdana"/>
          <w:b/>
          <w:snapToGrid w:val="0"/>
          <w:sz w:val="24"/>
          <w:szCs w:val="24"/>
          <w:u w:val="single"/>
        </w:rPr>
      </w:pPr>
      <w:r w:rsidRPr="002A77D8">
        <w:rPr>
          <w:rFonts w:ascii="Verdana" w:hAnsi="Verdana"/>
          <w:b/>
          <w:snapToGrid w:val="0"/>
          <w:sz w:val="24"/>
          <w:szCs w:val="24"/>
          <w:u w:val="single"/>
        </w:rPr>
        <w:t>Toxicology and metabolism –active substance</w:t>
      </w:r>
    </w:p>
    <w:p w14:paraId="6C88641B" w14:textId="77777777" w:rsidR="002A77D8" w:rsidRDefault="002A77D8" w:rsidP="003012CB">
      <w:pPr>
        <w:pStyle w:val="Absatz"/>
        <w:ind w:left="0"/>
        <w:rPr>
          <w:lang w:val="de-DE"/>
        </w:rPr>
      </w:pPr>
    </w:p>
    <w:p w14:paraId="47754736" w14:textId="77777777" w:rsidR="002A77D8" w:rsidRPr="002131ED" w:rsidRDefault="002A77D8" w:rsidP="002A77D8">
      <w:pPr>
        <w:pStyle w:val="BfRBBTitel"/>
        <w:ind w:firstLine="708"/>
        <w:rPr>
          <w:b w:val="0"/>
          <w:bCs w:val="0"/>
          <w:sz w:val="22"/>
          <w:szCs w:val="22"/>
          <w:lang w:val="en-GB"/>
        </w:rPr>
      </w:pPr>
    </w:p>
    <w:p w14:paraId="7939AF91" w14:textId="77777777" w:rsidR="002A77D8" w:rsidRPr="002131ED" w:rsidRDefault="002A77D8" w:rsidP="002A77D8">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Propiconazole</w:t>
      </w:r>
      <w:r w:rsidRPr="002131ED">
        <w:rPr>
          <w:lang w:val="en-GB"/>
        </w:rPr>
        <w:t>&gt;</w:t>
      </w:r>
    </w:p>
    <w:p w14:paraId="35113C6C" w14:textId="77777777" w:rsidR="002A77D8" w:rsidRPr="002131ED" w:rsidRDefault="002A77D8" w:rsidP="002A77D8">
      <w:pPr>
        <w:pStyle w:val="BfRBBTitel"/>
        <w:rPr>
          <w:b w:val="0"/>
          <w:bCs w:val="0"/>
          <w:sz w:val="22"/>
          <w:szCs w:val="22"/>
          <w:lang w:val="en-GB"/>
        </w:rPr>
      </w:pPr>
    </w:p>
    <w:p w14:paraId="7147C0B1" w14:textId="77777777" w:rsidR="002A77D8" w:rsidRPr="002131ED" w:rsidRDefault="002A77D8" w:rsidP="002A77D8">
      <w:pPr>
        <w:pStyle w:val="BfRBBTitel"/>
        <w:rPr>
          <w:b w:val="0"/>
          <w:bCs w:val="0"/>
          <w:sz w:val="22"/>
          <w:szCs w:val="22"/>
          <w:lang w:val="en-GB"/>
        </w:rPr>
      </w:pPr>
      <w:r w:rsidRPr="002131ED">
        <w:rPr>
          <w:b w:val="0"/>
          <w:bCs w:val="0"/>
          <w:sz w:val="22"/>
          <w:szCs w:val="22"/>
          <w:lang w:val="en-GB"/>
        </w:rPr>
        <w:t xml:space="preserve">Threshold Limits and other Values for Human Health Risk Assessment </w:t>
      </w:r>
    </w:p>
    <w:p w14:paraId="68B82EC0" w14:textId="77777777" w:rsidR="002A77D8" w:rsidRPr="002131ED" w:rsidRDefault="002A77D8" w:rsidP="002A77D8">
      <w:pPr>
        <w:pStyle w:val="BfRBBStandard"/>
        <w:rPr>
          <w:lang w:val="en-GB"/>
        </w:rPr>
      </w:pPr>
    </w:p>
    <w:p w14:paraId="7CE65DAE"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2A77D8" w:rsidRPr="002131ED" w14:paraId="483BE7C6" w14:textId="77777777" w:rsidTr="005D37EC">
        <w:trPr>
          <w:cantSplit/>
          <w:tblHeader/>
        </w:trPr>
        <w:tc>
          <w:tcPr>
            <w:tcW w:w="9214" w:type="dxa"/>
            <w:gridSpan w:val="4"/>
            <w:tcBorders>
              <w:top w:val="single" w:sz="12" w:space="0" w:color="000000"/>
              <w:left w:val="nil"/>
              <w:bottom w:val="single" w:sz="6" w:space="0" w:color="000000"/>
              <w:right w:val="nil"/>
            </w:tcBorders>
          </w:tcPr>
          <w:p w14:paraId="2CA4C590" w14:textId="77777777" w:rsidR="002A77D8" w:rsidRPr="002131ED" w:rsidRDefault="002A77D8" w:rsidP="005D37EC">
            <w:pPr>
              <w:pStyle w:val="BfRBBTabelle"/>
              <w:rPr>
                <w:b/>
                <w:bCs/>
                <w:lang w:val="en-GB"/>
              </w:rPr>
            </w:pPr>
            <w:r w:rsidRPr="002131ED">
              <w:rPr>
                <w:b/>
                <w:snapToGrid w:val="0"/>
                <w:sz w:val="22"/>
                <w:szCs w:val="22"/>
                <w:lang w:val="en-GB"/>
              </w:rPr>
              <w:t>Summary</w:t>
            </w:r>
            <w:r w:rsidRPr="002131ED">
              <w:rPr>
                <w:b/>
                <w:bCs/>
                <w:lang w:val="en-GB"/>
              </w:rPr>
              <w:t xml:space="preserve"> </w:t>
            </w:r>
          </w:p>
        </w:tc>
      </w:tr>
      <w:tr w:rsidR="002A77D8" w:rsidRPr="002131ED" w14:paraId="6328454C" w14:textId="77777777" w:rsidTr="005D37EC">
        <w:trPr>
          <w:tblHeader/>
        </w:trPr>
        <w:tc>
          <w:tcPr>
            <w:tcW w:w="2410" w:type="dxa"/>
            <w:tcBorders>
              <w:top w:val="single" w:sz="6" w:space="0" w:color="000000"/>
              <w:left w:val="nil"/>
              <w:bottom w:val="nil"/>
              <w:right w:val="nil"/>
            </w:tcBorders>
          </w:tcPr>
          <w:p w14:paraId="3D377531" w14:textId="77777777" w:rsidR="002A77D8" w:rsidRPr="002131ED" w:rsidRDefault="002A77D8" w:rsidP="005D37EC">
            <w:pPr>
              <w:pStyle w:val="BfRBBTabelle"/>
              <w:rPr>
                <w:sz w:val="22"/>
                <w:szCs w:val="22"/>
                <w:lang w:val="en-GB"/>
              </w:rPr>
            </w:pPr>
          </w:p>
        </w:tc>
        <w:tc>
          <w:tcPr>
            <w:tcW w:w="2126" w:type="dxa"/>
            <w:tcBorders>
              <w:top w:val="single" w:sz="6" w:space="0" w:color="000000"/>
              <w:left w:val="nil"/>
              <w:bottom w:val="nil"/>
              <w:right w:val="nil"/>
            </w:tcBorders>
            <w:vAlign w:val="bottom"/>
          </w:tcPr>
          <w:p w14:paraId="13979F9C" w14:textId="77777777" w:rsidR="002A77D8" w:rsidRPr="002131ED" w:rsidRDefault="002A77D8" w:rsidP="005D37EC">
            <w:pPr>
              <w:pStyle w:val="BfRBBTabelle"/>
              <w:rPr>
                <w:sz w:val="22"/>
                <w:szCs w:val="22"/>
                <w:lang w:val="en-GB"/>
              </w:rPr>
            </w:pPr>
            <w:r w:rsidRPr="002131ED">
              <w:rPr>
                <w:sz w:val="22"/>
                <w:szCs w:val="22"/>
                <w:lang w:val="en-GB"/>
              </w:rPr>
              <w:t>Value</w:t>
            </w:r>
          </w:p>
        </w:tc>
        <w:tc>
          <w:tcPr>
            <w:tcW w:w="3261" w:type="dxa"/>
            <w:tcBorders>
              <w:top w:val="single" w:sz="6" w:space="0" w:color="000000"/>
              <w:left w:val="nil"/>
              <w:bottom w:val="nil"/>
              <w:right w:val="nil"/>
            </w:tcBorders>
            <w:vAlign w:val="bottom"/>
          </w:tcPr>
          <w:p w14:paraId="3AD2F019" w14:textId="77777777" w:rsidR="002A77D8" w:rsidRPr="002131ED" w:rsidRDefault="002A77D8" w:rsidP="005D37EC">
            <w:pPr>
              <w:pStyle w:val="BfRBBTabelle"/>
              <w:rPr>
                <w:sz w:val="22"/>
                <w:szCs w:val="22"/>
                <w:lang w:val="en-GB"/>
              </w:rPr>
            </w:pPr>
            <w:r w:rsidRPr="002131ED">
              <w:rPr>
                <w:sz w:val="22"/>
                <w:szCs w:val="22"/>
                <w:lang w:val="en-GB"/>
              </w:rPr>
              <w:t>Study</w:t>
            </w:r>
          </w:p>
        </w:tc>
        <w:tc>
          <w:tcPr>
            <w:tcW w:w="1417" w:type="dxa"/>
            <w:tcBorders>
              <w:top w:val="single" w:sz="6" w:space="0" w:color="000000"/>
              <w:left w:val="nil"/>
              <w:bottom w:val="nil"/>
              <w:right w:val="nil"/>
            </w:tcBorders>
            <w:vAlign w:val="bottom"/>
          </w:tcPr>
          <w:p w14:paraId="4951D369" w14:textId="77777777" w:rsidR="002A77D8" w:rsidRPr="002131ED" w:rsidRDefault="002A77D8" w:rsidP="005D37EC">
            <w:pPr>
              <w:pStyle w:val="BfRBBTabelle"/>
              <w:rPr>
                <w:sz w:val="22"/>
                <w:szCs w:val="22"/>
                <w:lang w:val="en-GB"/>
              </w:rPr>
            </w:pPr>
            <w:r w:rsidRPr="002131ED">
              <w:rPr>
                <w:sz w:val="22"/>
                <w:szCs w:val="22"/>
                <w:lang w:val="en-GB"/>
              </w:rPr>
              <w:t>SF</w:t>
            </w:r>
          </w:p>
        </w:tc>
      </w:tr>
      <w:tr w:rsidR="002A77D8" w:rsidRPr="002131ED" w14:paraId="0A047CEC" w14:textId="77777777" w:rsidTr="005D37EC">
        <w:tc>
          <w:tcPr>
            <w:tcW w:w="2410" w:type="dxa"/>
            <w:tcBorders>
              <w:top w:val="nil"/>
              <w:left w:val="nil"/>
              <w:bottom w:val="nil"/>
              <w:right w:val="nil"/>
            </w:tcBorders>
          </w:tcPr>
          <w:p w14:paraId="1AF772DE" w14:textId="77777777" w:rsidR="002A77D8" w:rsidRPr="002131ED" w:rsidRDefault="002A77D8" w:rsidP="005D37EC">
            <w:pPr>
              <w:pStyle w:val="BfRBBTabelle"/>
              <w:rPr>
                <w:sz w:val="22"/>
                <w:szCs w:val="22"/>
                <w:lang w:val="en-GB"/>
              </w:rPr>
            </w:pPr>
            <w:r w:rsidRPr="002131ED">
              <w:rPr>
                <w:sz w:val="22"/>
                <w:szCs w:val="22"/>
                <w:lang w:val="en-GB"/>
              </w:rPr>
              <w:t>AEL long-term</w:t>
            </w:r>
          </w:p>
        </w:tc>
        <w:tc>
          <w:tcPr>
            <w:tcW w:w="2126" w:type="dxa"/>
            <w:tcBorders>
              <w:top w:val="nil"/>
              <w:left w:val="nil"/>
              <w:bottom w:val="nil"/>
              <w:right w:val="nil"/>
            </w:tcBorders>
          </w:tcPr>
          <w:p w14:paraId="21FE6499" w14:textId="77777777" w:rsidR="002A77D8" w:rsidRPr="002131ED" w:rsidRDefault="002A77D8" w:rsidP="005D37EC">
            <w:pPr>
              <w:pStyle w:val="BfRBBTabelle"/>
              <w:rPr>
                <w:sz w:val="22"/>
                <w:szCs w:val="22"/>
                <w:lang w:val="en-GB"/>
              </w:rPr>
            </w:pPr>
            <w:r>
              <w:rPr>
                <w:sz w:val="22"/>
                <w:szCs w:val="22"/>
                <w:lang w:val="en-GB"/>
              </w:rPr>
              <w:t>0.04</w:t>
            </w:r>
          </w:p>
        </w:tc>
        <w:tc>
          <w:tcPr>
            <w:tcW w:w="3261" w:type="dxa"/>
            <w:tcBorders>
              <w:top w:val="nil"/>
              <w:left w:val="nil"/>
              <w:bottom w:val="nil"/>
              <w:right w:val="nil"/>
            </w:tcBorders>
          </w:tcPr>
          <w:p w14:paraId="37661308" w14:textId="77777777" w:rsidR="002A77D8" w:rsidRPr="002131ED" w:rsidRDefault="002A77D8" w:rsidP="005D37EC">
            <w:pPr>
              <w:pStyle w:val="BfRBBTabelle"/>
              <w:rPr>
                <w:sz w:val="22"/>
                <w:szCs w:val="22"/>
                <w:lang w:val="en-GB"/>
              </w:rPr>
            </w:pPr>
            <w:r>
              <w:rPr>
                <w:sz w:val="22"/>
                <w:szCs w:val="22"/>
                <w:lang w:val="en-GB"/>
              </w:rPr>
              <w:t>2 years rat</w:t>
            </w:r>
          </w:p>
        </w:tc>
        <w:tc>
          <w:tcPr>
            <w:tcW w:w="1417" w:type="dxa"/>
            <w:tcBorders>
              <w:top w:val="nil"/>
              <w:left w:val="nil"/>
              <w:bottom w:val="nil"/>
              <w:right w:val="nil"/>
            </w:tcBorders>
          </w:tcPr>
          <w:p w14:paraId="61F4DE64"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12EB19E1" w14:textId="77777777" w:rsidTr="005D37EC">
        <w:tc>
          <w:tcPr>
            <w:tcW w:w="2410" w:type="dxa"/>
            <w:tcBorders>
              <w:top w:val="nil"/>
              <w:left w:val="nil"/>
              <w:bottom w:val="nil"/>
              <w:right w:val="nil"/>
            </w:tcBorders>
          </w:tcPr>
          <w:p w14:paraId="69390DFF" w14:textId="77777777" w:rsidR="002A77D8" w:rsidRPr="002131ED" w:rsidRDefault="002A77D8" w:rsidP="005D37EC">
            <w:pPr>
              <w:pStyle w:val="BfRBBTabelle"/>
              <w:rPr>
                <w:sz w:val="22"/>
                <w:szCs w:val="22"/>
                <w:lang w:val="en-GB"/>
              </w:rPr>
            </w:pPr>
            <w:r w:rsidRPr="002131ED">
              <w:rPr>
                <w:sz w:val="22"/>
                <w:szCs w:val="22"/>
                <w:lang w:val="en-GB"/>
              </w:rPr>
              <w:t>AEL medium-term</w:t>
            </w:r>
          </w:p>
        </w:tc>
        <w:tc>
          <w:tcPr>
            <w:tcW w:w="2126" w:type="dxa"/>
            <w:tcBorders>
              <w:top w:val="nil"/>
              <w:left w:val="nil"/>
              <w:bottom w:val="nil"/>
              <w:right w:val="nil"/>
            </w:tcBorders>
          </w:tcPr>
          <w:p w14:paraId="4CDAEC8B" w14:textId="77777777" w:rsidR="002A77D8" w:rsidRPr="002131ED" w:rsidRDefault="002A77D8" w:rsidP="005D37EC">
            <w:pPr>
              <w:pStyle w:val="BfRBBTabelle"/>
              <w:rPr>
                <w:sz w:val="22"/>
                <w:szCs w:val="22"/>
                <w:lang w:val="en-GB"/>
              </w:rPr>
            </w:pPr>
            <w:r>
              <w:rPr>
                <w:sz w:val="22"/>
                <w:szCs w:val="22"/>
                <w:lang w:val="en-GB"/>
              </w:rPr>
              <w:t>0.08</w:t>
            </w:r>
          </w:p>
        </w:tc>
        <w:tc>
          <w:tcPr>
            <w:tcW w:w="3261" w:type="dxa"/>
            <w:tcBorders>
              <w:top w:val="nil"/>
              <w:left w:val="nil"/>
              <w:bottom w:val="nil"/>
              <w:right w:val="nil"/>
            </w:tcBorders>
          </w:tcPr>
          <w:p w14:paraId="05B16279" w14:textId="77777777" w:rsidR="002A77D8" w:rsidRPr="002131ED" w:rsidRDefault="002A77D8" w:rsidP="005D37EC">
            <w:pPr>
              <w:pStyle w:val="BfRBBTabelle"/>
              <w:rPr>
                <w:sz w:val="22"/>
                <w:szCs w:val="22"/>
                <w:lang w:val="en-GB"/>
              </w:rPr>
            </w:pPr>
            <w:r>
              <w:rPr>
                <w:sz w:val="22"/>
                <w:szCs w:val="22"/>
                <w:lang w:val="en-GB"/>
              </w:rPr>
              <w:t>Fertility rat</w:t>
            </w:r>
          </w:p>
        </w:tc>
        <w:tc>
          <w:tcPr>
            <w:tcW w:w="1417" w:type="dxa"/>
            <w:tcBorders>
              <w:top w:val="nil"/>
              <w:left w:val="nil"/>
              <w:bottom w:val="nil"/>
              <w:right w:val="nil"/>
            </w:tcBorders>
          </w:tcPr>
          <w:p w14:paraId="011B647F"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3BFF65B7" w14:textId="77777777" w:rsidTr="005D37EC">
        <w:trPr>
          <w:cantSplit/>
        </w:trPr>
        <w:tc>
          <w:tcPr>
            <w:tcW w:w="2410" w:type="dxa"/>
            <w:tcBorders>
              <w:top w:val="nil"/>
              <w:left w:val="nil"/>
              <w:bottom w:val="nil"/>
              <w:right w:val="nil"/>
            </w:tcBorders>
          </w:tcPr>
          <w:p w14:paraId="604C99FD" w14:textId="77777777" w:rsidR="002A77D8" w:rsidRPr="002131ED" w:rsidRDefault="002A77D8" w:rsidP="005D37EC">
            <w:pPr>
              <w:pStyle w:val="BfRBBTabelle"/>
              <w:rPr>
                <w:sz w:val="22"/>
                <w:szCs w:val="22"/>
                <w:lang w:val="en-GB"/>
              </w:rPr>
            </w:pPr>
            <w:r w:rsidRPr="002131ED">
              <w:rPr>
                <w:sz w:val="22"/>
                <w:szCs w:val="22"/>
                <w:lang w:val="en-GB"/>
              </w:rPr>
              <w:t>AEL acute</w:t>
            </w:r>
          </w:p>
        </w:tc>
        <w:tc>
          <w:tcPr>
            <w:tcW w:w="2126" w:type="dxa"/>
            <w:tcBorders>
              <w:top w:val="nil"/>
              <w:left w:val="nil"/>
              <w:bottom w:val="nil"/>
              <w:right w:val="nil"/>
            </w:tcBorders>
          </w:tcPr>
          <w:p w14:paraId="75BC6EAA" w14:textId="77777777" w:rsidR="002A77D8" w:rsidRPr="002131ED" w:rsidRDefault="002A77D8" w:rsidP="005D37EC">
            <w:pPr>
              <w:pStyle w:val="BfRBBTabelle"/>
              <w:rPr>
                <w:sz w:val="22"/>
                <w:szCs w:val="22"/>
                <w:lang w:val="en-GB"/>
              </w:rPr>
            </w:pPr>
            <w:r>
              <w:rPr>
                <w:sz w:val="22"/>
                <w:szCs w:val="22"/>
                <w:lang w:val="en-GB"/>
              </w:rPr>
              <w:t>0.3</w:t>
            </w:r>
          </w:p>
        </w:tc>
        <w:tc>
          <w:tcPr>
            <w:tcW w:w="3261" w:type="dxa"/>
            <w:tcBorders>
              <w:top w:val="nil"/>
              <w:left w:val="nil"/>
              <w:bottom w:val="nil"/>
              <w:right w:val="nil"/>
            </w:tcBorders>
          </w:tcPr>
          <w:p w14:paraId="58EE598E" w14:textId="77777777" w:rsidR="002A77D8" w:rsidRPr="002131ED" w:rsidRDefault="002A77D8" w:rsidP="005D37EC">
            <w:pPr>
              <w:pStyle w:val="BfRBBTabelle"/>
              <w:rPr>
                <w:sz w:val="22"/>
                <w:szCs w:val="22"/>
                <w:lang w:val="en-GB"/>
              </w:rPr>
            </w:pPr>
            <w:r>
              <w:rPr>
                <w:sz w:val="22"/>
                <w:szCs w:val="22"/>
                <w:lang w:val="en-GB"/>
              </w:rPr>
              <w:t>Developmental rat</w:t>
            </w:r>
          </w:p>
        </w:tc>
        <w:tc>
          <w:tcPr>
            <w:tcW w:w="1417" w:type="dxa"/>
            <w:tcBorders>
              <w:top w:val="nil"/>
              <w:left w:val="nil"/>
              <w:bottom w:val="nil"/>
              <w:right w:val="nil"/>
            </w:tcBorders>
          </w:tcPr>
          <w:p w14:paraId="4AEE88B5"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75EE2533" w14:textId="77777777" w:rsidTr="005D37EC">
        <w:tc>
          <w:tcPr>
            <w:tcW w:w="9214" w:type="dxa"/>
            <w:gridSpan w:val="4"/>
            <w:tcBorders>
              <w:top w:val="nil"/>
              <w:left w:val="nil"/>
              <w:bottom w:val="single" w:sz="12" w:space="0" w:color="000000"/>
              <w:right w:val="nil"/>
            </w:tcBorders>
          </w:tcPr>
          <w:p w14:paraId="4FEDEEC7" w14:textId="77777777" w:rsidR="002A77D8" w:rsidRPr="002131ED" w:rsidRDefault="002A77D8" w:rsidP="005D37EC">
            <w:pPr>
              <w:pStyle w:val="BfRBBTabelleklein"/>
              <w:rPr>
                <w:lang w:val="en-GB"/>
              </w:rPr>
            </w:pPr>
          </w:p>
        </w:tc>
      </w:tr>
    </w:tbl>
    <w:p w14:paraId="4C161EB8"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2A77D8" w:rsidRPr="002131ED" w14:paraId="3AC2C27A" w14:textId="77777777" w:rsidTr="005D37EC">
        <w:tc>
          <w:tcPr>
            <w:tcW w:w="4395" w:type="dxa"/>
            <w:tcBorders>
              <w:top w:val="nil"/>
              <w:left w:val="nil"/>
              <w:bottom w:val="nil"/>
              <w:right w:val="nil"/>
            </w:tcBorders>
          </w:tcPr>
          <w:p w14:paraId="07A5692A" w14:textId="77777777" w:rsidR="002A77D8" w:rsidRPr="002131ED" w:rsidRDefault="002A77D8" w:rsidP="005D37EC">
            <w:pPr>
              <w:pStyle w:val="BfRBBTabelle"/>
              <w:rPr>
                <w:sz w:val="22"/>
                <w:szCs w:val="22"/>
                <w:lang w:val="en-GB"/>
              </w:rPr>
            </w:pPr>
            <w:r w:rsidRPr="002131ED">
              <w:rPr>
                <w:sz w:val="22"/>
                <w:szCs w:val="22"/>
                <w:lang w:val="en-GB"/>
              </w:rPr>
              <w:t>Inhalative absorption</w:t>
            </w:r>
          </w:p>
        </w:tc>
        <w:tc>
          <w:tcPr>
            <w:tcW w:w="4819" w:type="dxa"/>
            <w:tcBorders>
              <w:top w:val="nil"/>
              <w:left w:val="nil"/>
              <w:bottom w:val="nil"/>
              <w:right w:val="nil"/>
            </w:tcBorders>
          </w:tcPr>
          <w:p w14:paraId="6FC02E72"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4230D6D7" w14:textId="77777777" w:rsidTr="005D37EC">
        <w:tc>
          <w:tcPr>
            <w:tcW w:w="4395" w:type="dxa"/>
            <w:tcBorders>
              <w:top w:val="nil"/>
              <w:left w:val="nil"/>
              <w:bottom w:val="single" w:sz="12" w:space="0" w:color="000000"/>
              <w:right w:val="nil"/>
            </w:tcBorders>
          </w:tcPr>
          <w:p w14:paraId="5CAB8DEC" w14:textId="77777777" w:rsidR="002A77D8" w:rsidRPr="002131ED" w:rsidRDefault="002A77D8" w:rsidP="005D37EC">
            <w:pPr>
              <w:pStyle w:val="BfRBBTabelle"/>
              <w:rPr>
                <w:sz w:val="22"/>
                <w:szCs w:val="22"/>
                <w:lang w:val="en-GB"/>
              </w:rPr>
            </w:pPr>
            <w:r w:rsidRPr="002131ED">
              <w:rPr>
                <w:sz w:val="22"/>
                <w:szCs w:val="22"/>
                <w:lang w:val="en-GB"/>
              </w:rPr>
              <w:t>Oral absorption</w:t>
            </w:r>
          </w:p>
        </w:tc>
        <w:tc>
          <w:tcPr>
            <w:tcW w:w="4819" w:type="dxa"/>
            <w:tcBorders>
              <w:top w:val="nil"/>
              <w:left w:val="nil"/>
              <w:bottom w:val="single" w:sz="12" w:space="0" w:color="000000"/>
              <w:right w:val="nil"/>
            </w:tcBorders>
          </w:tcPr>
          <w:p w14:paraId="3C707B24" w14:textId="77777777" w:rsidR="002A77D8" w:rsidRPr="002131ED" w:rsidRDefault="002A77D8" w:rsidP="005D37EC">
            <w:pPr>
              <w:pStyle w:val="BfRBBTabelle"/>
              <w:rPr>
                <w:sz w:val="22"/>
                <w:szCs w:val="22"/>
                <w:lang w:val="en-GB"/>
              </w:rPr>
            </w:pPr>
            <w:r>
              <w:rPr>
                <w:sz w:val="22"/>
                <w:szCs w:val="22"/>
                <w:lang w:val="en-GB"/>
              </w:rPr>
              <w:t>86%</w:t>
            </w:r>
          </w:p>
        </w:tc>
      </w:tr>
      <w:tr w:rsidR="002A77D8" w:rsidRPr="002131ED" w14:paraId="7FE1FABC" w14:textId="77777777" w:rsidTr="005D37EC">
        <w:tc>
          <w:tcPr>
            <w:tcW w:w="4395" w:type="dxa"/>
            <w:tcBorders>
              <w:top w:val="nil"/>
              <w:left w:val="nil"/>
              <w:bottom w:val="nil"/>
              <w:right w:val="nil"/>
            </w:tcBorders>
          </w:tcPr>
          <w:p w14:paraId="66AEC9E0" w14:textId="77777777" w:rsidR="002A77D8" w:rsidRPr="002131ED" w:rsidRDefault="002A77D8" w:rsidP="005D37EC">
            <w:pPr>
              <w:pStyle w:val="BfRBBTabelle"/>
              <w:rPr>
                <w:sz w:val="22"/>
                <w:szCs w:val="22"/>
                <w:lang w:val="en-GB"/>
              </w:rPr>
            </w:pPr>
            <w:r w:rsidRPr="002131ED">
              <w:rPr>
                <w:sz w:val="22"/>
                <w:szCs w:val="22"/>
                <w:lang w:val="en-GB"/>
              </w:rPr>
              <w:t>Dermal absorption</w:t>
            </w:r>
          </w:p>
        </w:tc>
        <w:tc>
          <w:tcPr>
            <w:tcW w:w="4819" w:type="dxa"/>
            <w:tcBorders>
              <w:top w:val="nil"/>
              <w:left w:val="nil"/>
              <w:bottom w:val="nil"/>
              <w:right w:val="nil"/>
            </w:tcBorders>
          </w:tcPr>
          <w:p w14:paraId="5A83730F" w14:textId="77777777" w:rsidR="002A77D8" w:rsidRPr="002131ED" w:rsidRDefault="002A77D8" w:rsidP="005D37EC">
            <w:pPr>
              <w:pStyle w:val="BfRBBTabelle"/>
              <w:rPr>
                <w:sz w:val="22"/>
                <w:szCs w:val="22"/>
                <w:lang w:val="en-GB"/>
              </w:rPr>
            </w:pPr>
            <w:r>
              <w:rPr>
                <w:sz w:val="22"/>
                <w:szCs w:val="22"/>
                <w:lang w:val="en-GB"/>
              </w:rPr>
              <w:t>26%</w:t>
            </w:r>
          </w:p>
        </w:tc>
      </w:tr>
    </w:tbl>
    <w:p w14:paraId="1B5CFAE8"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2A77D8" w:rsidRPr="002131ED" w14:paraId="2E0BE47E" w14:textId="77777777" w:rsidTr="005D37EC">
        <w:trPr>
          <w:cantSplit/>
          <w:tblHeader/>
        </w:trPr>
        <w:tc>
          <w:tcPr>
            <w:tcW w:w="9214" w:type="dxa"/>
            <w:gridSpan w:val="2"/>
            <w:tcBorders>
              <w:top w:val="single" w:sz="12" w:space="0" w:color="000000"/>
              <w:left w:val="nil"/>
              <w:bottom w:val="single" w:sz="6" w:space="0" w:color="000000"/>
              <w:right w:val="nil"/>
            </w:tcBorders>
          </w:tcPr>
          <w:p w14:paraId="59124C74" w14:textId="77777777" w:rsidR="002A77D8" w:rsidRPr="002131ED" w:rsidRDefault="002A77D8" w:rsidP="005D37EC">
            <w:pPr>
              <w:pStyle w:val="BfRBBTabelle"/>
              <w:rPr>
                <w:b/>
                <w:bCs/>
                <w:lang w:val="en-GB"/>
              </w:rPr>
            </w:pPr>
            <w:r w:rsidRPr="002131ED">
              <w:rPr>
                <w:b/>
                <w:snapToGrid w:val="0"/>
                <w:sz w:val="22"/>
                <w:szCs w:val="22"/>
                <w:lang w:val="en-GB"/>
              </w:rPr>
              <w:t>Classification</w:t>
            </w:r>
            <w:r w:rsidRPr="002131ED">
              <w:rPr>
                <w:b/>
                <w:bCs/>
                <w:lang w:val="en-GB"/>
              </w:rPr>
              <w:t xml:space="preserve"> </w:t>
            </w:r>
          </w:p>
        </w:tc>
      </w:tr>
      <w:tr w:rsidR="002A77D8" w:rsidRPr="00112DD6" w14:paraId="53B21E3D" w14:textId="77777777" w:rsidTr="005D37EC">
        <w:tc>
          <w:tcPr>
            <w:tcW w:w="4395" w:type="dxa"/>
            <w:tcBorders>
              <w:top w:val="nil"/>
              <w:left w:val="nil"/>
              <w:bottom w:val="single" w:sz="12" w:space="0" w:color="auto"/>
              <w:right w:val="nil"/>
            </w:tcBorders>
          </w:tcPr>
          <w:p w14:paraId="19499443" w14:textId="77777777" w:rsidR="002A77D8" w:rsidRPr="002131ED" w:rsidRDefault="002A77D8" w:rsidP="005D37EC">
            <w:pPr>
              <w:pStyle w:val="BfRBBTabelle"/>
              <w:rPr>
                <w:sz w:val="22"/>
                <w:szCs w:val="22"/>
                <w:lang w:val="en-GB"/>
              </w:rPr>
            </w:pPr>
            <w:r w:rsidRPr="002131ED">
              <w:rPr>
                <w:sz w:val="22"/>
                <w:szCs w:val="22"/>
                <w:lang w:val="en-GB"/>
              </w:rPr>
              <w:t>with regard to toxicological data</w:t>
            </w:r>
            <w:r w:rsidRPr="002131ED">
              <w:rPr>
                <w:sz w:val="22"/>
                <w:szCs w:val="22"/>
                <w:lang w:val="en-GB"/>
              </w:rPr>
              <w:br/>
              <w:t>(according to the criteria in Reg. 1272/2008)</w:t>
            </w:r>
          </w:p>
        </w:tc>
        <w:tc>
          <w:tcPr>
            <w:tcW w:w="4819" w:type="dxa"/>
            <w:tcBorders>
              <w:top w:val="nil"/>
              <w:left w:val="nil"/>
              <w:bottom w:val="single" w:sz="12" w:space="0" w:color="auto"/>
              <w:right w:val="nil"/>
            </w:tcBorders>
          </w:tcPr>
          <w:p w14:paraId="36C983B1" w14:textId="77777777" w:rsidR="002A77D8" w:rsidRPr="00C3307F" w:rsidRDefault="002A77D8" w:rsidP="005D37EC">
            <w:pPr>
              <w:snapToGrid w:val="0"/>
              <w:spacing w:before="60" w:after="60" w:line="276" w:lineRule="auto"/>
              <w:rPr>
                <w:rFonts w:ascii="Arial" w:hAnsi="Arial" w:cs="Arial"/>
                <w:color w:val="000000"/>
                <w:lang w:val="fr-FR"/>
              </w:rPr>
            </w:pPr>
            <w:r w:rsidRPr="00C3307F">
              <w:rPr>
                <w:rFonts w:ascii="Arial" w:hAnsi="Arial" w:cs="Arial"/>
                <w:color w:val="000000"/>
                <w:lang w:val="fr-FR"/>
              </w:rPr>
              <w:t>Acute Tox 4 – H302</w:t>
            </w:r>
          </w:p>
          <w:p w14:paraId="6BCDDD5D" w14:textId="77777777" w:rsidR="002A77D8" w:rsidRPr="003A159E" w:rsidRDefault="002A77D8" w:rsidP="005D37EC">
            <w:pPr>
              <w:pStyle w:val="BfRBBTabelle"/>
              <w:tabs>
                <w:tab w:val="left" w:pos="742"/>
              </w:tabs>
              <w:rPr>
                <w:sz w:val="22"/>
                <w:szCs w:val="22"/>
                <w:lang w:val="fr-FR"/>
              </w:rPr>
            </w:pPr>
            <w:r w:rsidRPr="00F861AB">
              <w:rPr>
                <w:color w:val="000000"/>
                <w:sz w:val="22"/>
                <w:lang w:val="fr-FR" w:eastAsia="sv-SE"/>
              </w:rPr>
              <w:t>Skin Sens 1 – H317</w:t>
            </w:r>
          </w:p>
        </w:tc>
      </w:tr>
    </w:tbl>
    <w:p w14:paraId="733EE1E6" w14:textId="77777777" w:rsidR="002A77D8" w:rsidRPr="003A159E" w:rsidRDefault="002A77D8" w:rsidP="002A77D8">
      <w:pPr>
        <w:pStyle w:val="BfRBBStandard"/>
        <w:rPr>
          <w:lang w:val="fr-FR"/>
        </w:rPr>
      </w:pPr>
      <w:r w:rsidRPr="003A159E" w:rsidDel="001471BF">
        <w:rPr>
          <w:snapToGrid w:val="0"/>
          <w:lang w:val="fr-FR"/>
        </w:rPr>
        <w:t xml:space="preserve"> </w:t>
      </w:r>
    </w:p>
    <w:p w14:paraId="4E6D294B" w14:textId="77777777" w:rsidR="002A77D8" w:rsidRPr="002A77D8" w:rsidRDefault="002A77D8" w:rsidP="003012CB">
      <w:pPr>
        <w:pStyle w:val="Absatz"/>
        <w:ind w:left="0"/>
        <w:rPr>
          <w:lang w:val="fr-FR"/>
        </w:rPr>
      </w:pPr>
    </w:p>
    <w:p w14:paraId="4CD5FC16" w14:textId="77777777" w:rsidR="00A937F3" w:rsidRPr="00AD5AD8" w:rsidRDefault="00A937F3" w:rsidP="00A937F3">
      <w:pPr>
        <w:pStyle w:val="BfRBBTitel"/>
        <w:ind w:firstLine="708"/>
        <w:rPr>
          <w:b w:val="0"/>
          <w:bCs w:val="0"/>
          <w:sz w:val="22"/>
          <w:szCs w:val="22"/>
          <w:lang w:val="fr-FR"/>
        </w:rPr>
      </w:pPr>
    </w:p>
    <w:p w14:paraId="4834A9AA" w14:textId="77777777" w:rsidR="00A937F3" w:rsidRPr="002131ED" w:rsidRDefault="00A937F3" w:rsidP="00A937F3">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Tebuconazole</w:t>
      </w:r>
      <w:r w:rsidRPr="002131ED">
        <w:rPr>
          <w:lang w:val="en-GB"/>
        </w:rPr>
        <w:t>&gt;</w:t>
      </w:r>
    </w:p>
    <w:p w14:paraId="275DB826" w14:textId="77777777" w:rsidR="00A937F3" w:rsidRPr="002131ED" w:rsidRDefault="00A937F3" w:rsidP="00A937F3">
      <w:pPr>
        <w:pStyle w:val="BfRBBTitel"/>
        <w:rPr>
          <w:b w:val="0"/>
          <w:bCs w:val="0"/>
          <w:sz w:val="22"/>
          <w:szCs w:val="22"/>
          <w:lang w:val="en-GB"/>
        </w:rPr>
      </w:pPr>
    </w:p>
    <w:p w14:paraId="516E5807" w14:textId="77777777" w:rsidR="00A937F3" w:rsidRPr="002131ED" w:rsidRDefault="00A937F3" w:rsidP="00A937F3">
      <w:pPr>
        <w:pStyle w:val="BfRBBTitel"/>
        <w:rPr>
          <w:b w:val="0"/>
          <w:bCs w:val="0"/>
          <w:sz w:val="22"/>
          <w:szCs w:val="22"/>
          <w:lang w:val="en-GB"/>
        </w:rPr>
      </w:pPr>
      <w:r w:rsidRPr="002131ED">
        <w:rPr>
          <w:b w:val="0"/>
          <w:bCs w:val="0"/>
          <w:sz w:val="22"/>
          <w:szCs w:val="22"/>
          <w:lang w:val="en-GB"/>
        </w:rPr>
        <w:t xml:space="preserve">Threshold Limits and other Values for Human Health Risk Assessment </w:t>
      </w:r>
    </w:p>
    <w:p w14:paraId="1133F6A9" w14:textId="77777777" w:rsidR="00A937F3" w:rsidRPr="002131ED" w:rsidRDefault="00A937F3" w:rsidP="00A937F3">
      <w:pPr>
        <w:pStyle w:val="BfRBBStandard"/>
        <w:rPr>
          <w:lang w:val="en-GB"/>
        </w:rPr>
      </w:pPr>
    </w:p>
    <w:p w14:paraId="118A7D60"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A937F3" w:rsidRPr="002131ED" w14:paraId="4148A536" w14:textId="77777777" w:rsidTr="005D37EC">
        <w:trPr>
          <w:cantSplit/>
          <w:tblHeader/>
        </w:trPr>
        <w:tc>
          <w:tcPr>
            <w:tcW w:w="9214" w:type="dxa"/>
            <w:gridSpan w:val="4"/>
            <w:tcBorders>
              <w:top w:val="single" w:sz="12" w:space="0" w:color="000000"/>
              <w:left w:val="nil"/>
              <w:bottom w:val="single" w:sz="6" w:space="0" w:color="000000"/>
              <w:right w:val="nil"/>
            </w:tcBorders>
          </w:tcPr>
          <w:p w14:paraId="08F88666" w14:textId="77777777" w:rsidR="00A937F3" w:rsidRPr="002131ED" w:rsidRDefault="00A937F3" w:rsidP="005D37EC">
            <w:pPr>
              <w:pStyle w:val="BfRBBTabelle"/>
              <w:rPr>
                <w:b/>
                <w:bCs/>
                <w:lang w:val="en-GB"/>
              </w:rPr>
            </w:pPr>
            <w:r w:rsidRPr="002131ED">
              <w:rPr>
                <w:b/>
                <w:snapToGrid w:val="0"/>
                <w:sz w:val="22"/>
                <w:szCs w:val="22"/>
                <w:lang w:val="en-GB"/>
              </w:rPr>
              <w:t>Summary</w:t>
            </w:r>
            <w:r w:rsidRPr="002131ED">
              <w:rPr>
                <w:b/>
                <w:bCs/>
                <w:lang w:val="en-GB"/>
              </w:rPr>
              <w:t xml:space="preserve"> </w:t>
            </w:r>
          </w:p>
        </w:tc>
      </w:tr>
      <w:tr w:rsidR="00A937F3" w:rsidRPr="002131ED" w14:paraId="06F1268F" w14:textId="77777777" w:rsidTr="005D37EC">
        <w:trPr>
          <w:tblHeader/>
        </w:trPr>
        <w:tc>
          <w:tcPr>
            <w:tcW w:w="2410" w:type="dxa"/>
            <w:tcBorders>
              <w:top w:val="single" w:sz="6" w:space="0" w:color="000000"/>
              <w:left w:val="nil"/>
              <w:bottom w:val="nil"/>
              <w:right w:val="nil"/>
            </w:tcBorders>
          </w:tcPr>
          <w:p w14:paraId="1AF6DE43" w14:textId="77777777" w:rsidR="00A937F3" w:rsidRPr="002131ED" w:rsidRDefault="00A937F3" w:rsidP="005D37EC">
            <w:pPr>
              <w:pStyle w:val="BfRBBTabelle"/>
              <w:rPr>
                <w:sz w:val="22"/>
                <w:szCs w:val="22"/>
                <w:lang w:val="en-GB"/>
              </w:rPr>
            </w:pPr>
          </w:p>
        </w:tc>
        <w:tc>
          <w:tcPr>
            <w:tcW w:w="2126" w:type="dxa"/>
            <w:tcBorders>
              <w:top w:val="single" w:sz="6" w:space="0" w:color="000000"/>
              <w:left w:val="nil"/>
              <w:bottom w:val="nil"/>
              <w:right w:val="nil"/>
            </w:tcBorders>
            <w:vAlign w:val="bottom"/>
          </w:tcPr>
          <w:p w14:paraId="0BB97B6C" w14:textId="77777777" w:rsidR="00A937F3" w:rsidRPr="002131ED" w:rsidRDefault="00A937F3" w:rsidP="005D37EC">
            <w:pPr>
              <w:pStyle w:val="BfRBBTabelle"/>
              <w:rPr>
                <w:sz w:val="22"/>
                <w:szCs w:val="22"/>
                <w:lang w:val="en-GB"/>
              </w:rPr>
            </w:pPr>
            <w:r w:rsidRPr="002131ED">
              <w:rPr>
                <w:sz w:val="22"/>
                <w:szCs w:val="22"/>
                <w:lang w:val="en-GB"/>
              </w:rPr>
              <w:t>Value</w:t>
            </w:r>
          </w:p>
        </w:tc>
        <w:tc>
          <w:tcPr>
            <w:tcW w:w="3261" w:type="dxa"/>
            <w:tcBorders>
              <w:top w:val="single" w:sz="6" w:space="0" w:color="000000"/>
              <w:left w:val="nil"/>
              <w:bottom w:val="nil"/>
              <w:right w:val="nil"/>
            </w:tcBorders>
            <w:vAlign w:val="bottom"/>
          </w:tcPr>
          <w:p w14:paraId="65C091DC" w14:textId="77777777" w:rsidR="00A937F3" w:rsidRPr="002131ED" w:rsidRDefault="00A937F3" w:rsidP="005D37EC">
            <w:pPr>
              <w:pStyle w:val="BfRBBTabelle"/>
              <w:rPr>
                <w:sz w:val="22"/>
                <w:szCs w:val="22"/>
                <w:lang w:val="en-GB"/>
              </w:rPr>
            </w:pPr>
            <w:r w:rsidRPr="002131ED">
              <w:rPr>
                <w:sz w:val="22"/>
                <w:szCs w:val="22"/>
                <w:lang w:val="en-GB"/>
              </w:rPr>
              <w:t>Study</w:t>
            </w:r>
          </w:p>
        </w:tc>
        <w:tc>
          <w:tcPr>
            <w:tcW w:w="1417" w:type="dxa"/>
            <w:tcBorders>
              <w:top w:val="single" w:sz="6" w:space="0" w:color="000000"/>
              <w:left w:val="nil"/>
              <w:bottom w:val="nil"/>
              <w:right w:val="nil"/>
            </w:tcBorders>
            <w:vAlign w:val="bottom"/>
          </w:tcPr>
          <w:p w14:paraId="27A88488" w14:textId="77777777" w:rsidR="00A937F3" w:rsidRPr="002131ED" w:rsidRDefault="00A937F3" w:rsidP="005D37EC">
            <w:pPr>
              <w:pStyle w:val="BfRBBTabelle"/>
              <w:rPr>
                <w:sz w:val="22"/>
                <w:szCs w:val="22"/>
                <w:lang w:val="en-GB"/>
              </w:rPr>
            </w:pPr>
            <w:r w:rsidRPr="002131ED">
              <w:rPr>
                <w:sz w:val="22"/>
                <w:szCs w:val="22"/>
                <w:lang w:val="en-GB"/>
              </w:rPr>
              <w:t>SF</w:t>
            </w:r>
          </w:p>
        </w:tc>
      </w:tr>
      <w:tr w:rsidR="00A937F3" w:rsidRPr="002131ED" w14:paraId="25190F13" w14:textId="77777777" w:rsidTr="005D37EC">
        <w:tc>
          <w:tcPr>
            <w:tcW w:w="2410" w:type="dxa"/>
            <w:tcBorders>
              <w:top w:val="nil"/>
              <w:left w:val="nil"/>
              <w:bottom w:val="nil"/>
              <w:right w:val="nil"/>
            </w:tcBorders>
          </w:tcPr>
          <w:p w14:paraId="6C60E48F" w14:textId="77777777" w:rsidR="00A937F3" w:rsidRPr="002131ED" w:rsidRDefault="00A937F3" w:rsidP="005D37EC">
            <w:pPr>
              <w:pStyle w:val="BfRBBTabelle"/>
              <w:rPr>
                <w:sz w:val="22"/>
                <w:szCs w:val="22"/>
                <w:lang w:val="en-GB"/>
              </w:rPr>
            </w:pPr>
            <w:r w:rsidRPr="002131ED">
              <w:rPr>
                <w:sz w:val="22"/>
                <w:szCs w:val="22"/>
                <w:lang w:val="en-GB"/>
              </w:rPr>
              <w:t>AEL long-term</w:t>
            </w:r>
          </w:p>
        </w:tc>
        <w:tc>
          <w:tcPr>
            <w:tcW w:w="2126" w:type="dxa"/>
            <w:tcBorders>
              <w:top w:val="nil"/>
              <w:left w:val="nil"/>
              <w:bottom w:val="nil"/>
              <w:right w:val="nil"/>
            </w:tcBorders>
          </w:tcPr>
          <w:p w14:paraId="5C2D2D05" w14:textId="77777777" w:rsidR="00A937F3" w:rsidRPr="002131ED" w:rsidRDefault="00A937F3" w:rsidP="005D37EC">
            <w:pPr>
              <w:pStyle w:val="BfRBBTabelle"/>
              <w:rPr>
                <w:sz w:val="22"/>
                <w:szCs w:val="22"/>
                <w:lang w:val="en-GB"/>
              </w:rPr>
            </w:pPr>
            <w:r>
              <w:rPr>
                <w:sz w:val="22"/>
                <w:szCs w:val="22"/>
                <w:lang w:val="en-GB"/>
              </w:rPr>
              <w:t>0.03</w:t>
            </w:r>
          </w:p>
        </w:tc>
        <w:tc>
          <w:tcPr>
            <w:tcW w:w="3261" w:type="dxa"/>
            <w:tcBorders>
              <w:top w:val="nil"/>
              <w:left w:val="nil"/>
              <w:bottom w:val="nil"/>
              <w:right w:val="nil"/>
            </w:tcBorders>
          </w:tcPr>
          <w:p w14:paraId="4C250862" w14:textId="77777777" w:rsidR="00A937F3" w:rsidRPr="002131ED" w:rsidRDefault="00A937F3" w:rsidP="005D37EC">
            <w:pPr>
              <w:pStyle w:val="BfRBBTabelle"/>
              <w:rPr>
                <w:sz w:val="22"/>
                <w:szCs w:val="22"/>
                <w:lang w:val="en-GB"/>
              </w:rPr>
            </w:pPr>
            <w:r>
              <w:rPr>
                <w:sz w:val="22"/>
                <w:szCs w:val="22"/>
                <w:lang w:val="en-GB"/>
              </w:rPr>
              <w:t>1 year dog</w:t>
            </w:r>
          </w:p>
        </w:tc>
        <w:tc>
          <w:tcPr>
            <w:tcW w:w="1417" w:type="dxa"/>
            <w:tcBorders>
              <w:top w:val="nil"/>
              <w:left w:val="nil"/>
              <w:bottom w:val="nil"/>
              <w:right w:val="nil"/>
            </w:tcBorders>
          </w:tcPr>
          <w:p w14:paraId="43BF8333"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439BD0E3" w14:textId="77777777" w:rsidTr="005D37EC">
        <w:tc>
          <w:tcPr>
            <w:tcW w:w="2410" w:type="dxa"/>
            <w:tcBorders>
              <w:top w:val="nil"/>
              <w:left w:val="nil"/>
              <w:bottom w:val="nil"/>
              <w:right w:val="nil"/>
            </w:tcBorders>
          </w:tcPr>
          <w:p w14:paraId="4D6413AF" w14:textId="77777777" w:rsidR="00A937F3" w:rsidRPr="002131ED" w:rsidRDefault="00A937F3" w:rsidP="005D37EC">
            <w:pPr>
              <w:pStyle w:val="BfRBBTabelle"/>
              <w:rPr>
                <w:sz w:val="22"/>
                <w:szCs w:val="22"/>
                <w:lang w:val="en-GB"/>
              </w:rPr>
            </w:pPr>
            <w:r w:rsidRPr="002131ED">
              <w:rPr>
                <w:sz w:val="22"/>
                <w:szCs w:val="22"/>
                <w:lang w:val="en-GB"/>
              </w:rPr>
              <w:t>AEL medium-term</w:t>
            </w:r>
          </w:p>
        </w:tc>
        <w:tc>
          <w:tcPr>
            <w:tcW w:w="2126" w:type="dxa"/>
            <w:tcBorders>
              <w:top w:val="nil"/>
              <w:left w:val="nil"/>
              <w:bottom w:val="nil"/>
              <w:right w:val="nil"/>
            </w:tcBorders>
          </w:tcPr>
          <w:p w14:paraId="1353FADE" w14:textId="77777777" w:rsidR="00A937F3" w:rsidRPr="002131ED" w:rsidRDefault="00A937F3" w:rsidP="005D37EC">
            <w:pPr>
              <w:pStyle w:val="BfRBBTabelle"/>
              <w:rPr>
                <w:sz w:val="22"/>
                <w:szCs w:val="22"/>
                <w:lang w:val="en-GB"/>
              </w:rPr>
            </w:pPr>
            <w:r>
              <w:rPr>
                <w:sz w:val="22"/>
                <w:szCs w:val="22"/>
                <w:lang w:val="en-GB"/>
              </w:rPr>
              <w:t>0.03</w:t>
            </w:r>
          </w:p>
        </w:tc>
        <w:tc>
          <w:tcPr>
            <w:tcW w:w="3261" w:type="dxa"/>
            <w:tcBorders>
              <w:top w:val="nil"/>
              <w:left w:val="nil"/>
              <w:bottom w:val="nil"/>
              <w:right w:val="nil"/>
            </w:tcBorders>
          </w:tcPr>
          <w:p w14:paraId="17CBC568" w14:textId="77777777" w:rsidR="00A937F3" w:rsidRPr="002131ED" w:rsidRDefault="00A937F3" w:rsidP="005D37EC">
            <w:pPr>
              <w:pStyle w:val="BfRBBTabelle"/>
              <w:rPr>
                <w:sz w:val="22"/>
                <w:szCs w:val="22"/>
                <w:lang w:val="en-GB"/>
              </w:rPr>
            </w:pPr>
            <w:r>
              <w:rPr>
                <w:sz w:val="22"/>
                <w:szCs w:val="22"/>
                <w:lang w:val="en-GB"/>
              </w:rPr>
              <w:t>1 year dog</w:t>
            </w:r>
          </w:p>
        </w:tc>
        <w:tc>
          <w:tcPr>
            <w:tcW w:w="1417" w:type="dxa"/>
            <w:tcBorders>
              <w:top w:val="nil"/>
              <w:left w:val="nil"/>
              <w:bottom w:val="nil"/>
              <w:right w:val="nil"/>
            </w:tcBorders>
          </w:tcPr>
          <w:p w14:paraId="7F60E771"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756DC29C" w14:textId="77777777" w:rsidTr="005D37EC">
        <w:trPr>
          <w:cantSplit/>
        </w:trPr>
        <w:tc>
          <w:tcPr>
            <w:tcW w:w="2410" w:type="dxa"/>
            <w:tcBorders>
              <w:top w:val="nil"/>
              <w:left w:val="nil"/>
              <w:bottom w:val="nil"/>
              <w:right w:val="nil"/>
            </w:tcBorders>
          </w:tcPr>
          <w:p w14:paraId="4BA9719A" w14:textId="77777777" w:rsidR="00A937F3" w:rsidRPr="002131ED" w:rsidRDefault="00A937F3" w:rsidP="005D37EC">
            <w:pPr>
              <w:pStyle w:val="BfRBBTabelle"/>
              <w:rPr>
                <w:sz w:val="22"/>
                <w:szCs w:val="22"/>
                <w:lang w:val="en-GB"/>
              </w:rPr>
            </w:pPr>
            <w:r w:rsidRPr="002131ED">
              <w:rPr>
                <w:sz w:val="22"/>
                <w:szCs w:val="22"/>
                <w:lang w:val="en-GB"/>
              </w:rPr>
              <w:t>AEL acute</w:t>
            </w:r>
          </w:p>
        </w:tc>
        <w:tc>
          <w:tcPr>
            <w:tcW w:w="2126" w:type="dxa"/>
            <w:tcBorders>
              <w:top w:val="nil"/>
              <w:left w:val="nil"/>
              <w:bottom w:val="nil"/>
              <w:right w:val="nil"/>
            </w:tcBorders>
          </w:tcPr>
          <w:p w14:paraId="3E77F251" w14:textId="77777777" w:rsidR="00A937F3" w:rsidRPr="002131ED" w:rsidRDefault="00A937F3" w:rsidP="005D37EC">
            <w:pPr>
              <w:pStyle w:val="BfRBBTabelle"/>
              <w:rPr>
                <w:sz w:val="22"/>
                <w:szCs w:val="22"/>
                <w:lang w:val="en-GB"/>
              </w:rPr>
            </w:pPr>
            <w:r>
              <w:rPr>
                <w:sz w:val="22"/>
                <w:szCs w:val="22"/>
                <w:lang w:val="en-GB"/>
              </w:rPr>
              <w:t>0.03</w:t>
            </w:r>
          </w:p>
        </w:tc>
        <w:tc>
          <w:tcPr>
            <w:tcW w:w="3261" w:type="dxa"/>
            <w:tcBorders>
              <w:top w:val="nil"/>
              <w:left w:val="nil"/>
              <w:bottom w:val="nil"/>
              <w:right w:val="nil"/>
            </w:tcBorders>
          </w:tcPr>
          <w:p w14:paraId="1A97F14F" w14:textId="77777777" w:rsidR="00A937F3" w:rsidRPr="002131ED" w:rsidRDefault="00A937F3" w:rsidP="005D37EC">
            <w:pPr>
              <w:pStyle w:val="BfRBBTabelle"/>
              <w:rPr>
                <w:sz w:val="22"/>
                <w:szCs w:val="22"/>
                <w:lang w:val="en-GB"/>
              </w:rPr>
            </w:pPr>
            <w:r>
              <w:rPr>
                <w:sz w:val="22"/>
                <w:szCs w:val="22"/>
                <w:lang w:val="en-GB"/>
              </w:rPr>
              <w:t>1 year dog</w:t>
            </w:r>
          </w:p>
        </w:tc>
        <w:tc>
          <w:tcPr>
            <w:tcW w:w="1417" w:type="dxa"/>
            <w:tcBorders>
              <w:top w:val="nil"/>
              <w:left w:val="nil"/>
              <w:bottom w:val="nil"/>
              <w:right w:val="nil"/>
            </w:tcBorders>
          </w:tcPr>
          <w:p w14:paraId="52111C0B"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571534CF" w14:textId="77777777" w:rsidTr="005D37EC">
        <w:tc>
          <w:tcPr>
            <w:tcW w:w="9214" w:type="dxa"/>
            <w:gridSpan w:val="4"/>
            <w:tcBorders>
              <w:top w:val="nil"/>
              <w:left w:val="nil"/>
              <w:bottom w:val="single" w:sz="12" w:space="0" w:color="000000"/>
              <w:right w:val="nil"/>
            </w:tcBorders>
          </w:tcPr>
          <w:p w14:paraId="0ECFDB1A" w14:textId="77777777" w:rsidR="00A937F3" w:rsidRPr="002131ED" w:rsidRDefault="00A937F3" w:rsidP="005D37EC">
            <w:pPr>
              <w:pStyle w:val="BfRBBTabelleklein"/>
              <w:rPr>
                <w:lang w:val="en-GB"/>
              </w:rPr>
            </w:pPr>
          </w:p>
        </w:tc>
      </w:tr>
    </w:tbl>
    <w:p w14:paraId="6397C429"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937F3" w:rsidRPr="002131ED" w14:paraId="433A8DD6" w14:textId="77777777" w:rsidTr="005D37EC">
        <w:tc>
          <w:tcPr>
            <w:tcW w:w="4395" w:type="dxa"/>
            <w:tcBorders>
              <w:top w:val="nil"/>
              <w:left w:val="nil"/>
              <w:bottom w:val="nil"/>
              <w:right w:val="nil"/>
            </w:tcBorders>
          </w:tcPr>
          <w:p w14:paraId="504D465D" w14:textId="77777777" w:rsidR="00A937F3" w:rsidRPr="002131ED" w:rsidRDefault="00A937F3" w:rsidP="005D37EC">
            <w:pPr>
              <w:pStyle w:val="BfRBBTabelle"/>
              <w:rPr>
                <w:sz w:val="22"/>
                <w:szCs w:val="22"/>
                <w:lang w:val="en-GB"/>
              </w:rPr>
            </w:pPr>
            <w:r w:rsidRPr="002131ED">
              <w:rPr>
                <w:sz w:val="22"/>
                <w:szCs w:val="22"/>
                <w:lang w:val="en-GB"/>
              </w:rPr>
              <w:t>Inhalative absorption</w:t>
            </w:r>
          </w:p>
        </w:tc>
        <w:tc>
          <w:tcPr>
            <w:tcW w:w="4819" w:type="dxa"/>
            <w:tcBorders>
              <w:top w:val="nil"/>
              <w:left w:val="nil"/>
              <w:bottom w:val="nil"/>
              <w:right w:val="nil"/>
            </w:tcBorders>
          </w:tcPr>
          <w:p w14:paraId="3F914616"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3686768A" w14:textId="77777777" w:rsidTr="005D37EC">
        <w:tc>
          <w:tcPr>
            <w:tcW w:w="4395" w:type="dxa"/>
            <w:tcBorders>
              <w:top w:val="nil"/>
              <w:left w:val="nil"/>
              <w:bottom w:val="single" w:sz="12" w:space="0" w:color="000000"/>
              <w:right w:val="nil"/>
            </w:tcBorders>
          </w:tcPr>
          <w:p w14:paraId="38602E66" w14:textId="77777777" w:rsidR="00A937F3" w:rsidRPr="002131ED" w:rsidRDefault="00A937F3" w:rsidP="005D37EC">
            <w:pPr>
              <w:pStyle w:val="BfRBBTabelle"/>
              <w:rPr>
                <w:sz w:val="22"/>
                <w:szCs w:val="22"/>
                <w:lang w:val="en-GB"/>
              </w:rPr>
            </w:pPr>
            <w:r w:rsidRPr="002131ED">
              <w:rPr>
                <w:sz w:val="22"/>
                <w:szCs w:val="22"/>
                <w:lang w:val="en-GB"/>
              </w:rPr>
              <w:t>Oral absorption</w:t>
            </w:r>
          </w:p>
        </w:tc>
        <w:tc>
          <w:tcPr>
            <w:tcW w:w="4819" w:type="dxa"/>
            <w:tcBorders>
              <w:top w:val="nil"/>
              <w:left w:val="nil"/>
              <w:bottom w:val="single" w:sz="12" w:space="0" w:color="000000"/>
              <w:right w:val="nil"/>
            </w:tcBorders>
          </w:tcPr>
          <w:p w14:paraId="5CE0C8DC"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67D57BB0" w14:textId="77777777" w:rsidTr="005D37EC">
        <w:tc>
          <w:tcPr>
            <w:tcW w:w="4395" w:type="dxa"/>
            <w:tcBorders>
              <w:top w:val="nil"/>
              <w:left w:val="nil"/>
              <w:bottom w:val="nil"/>
              <w:right w:val="nil"/>
            </w:tcBorders>
          </w:tcPr>
          <w:p w14:paraId="5F7E6512" w14:textId="77777777" w:rsidR="00A937F3" w:rsidRPr="002131ED" w:rsidRDefault="00A937F3" w:rsidP="005D37EC">
            <w:pPr>
              <w:pStyle w:val="BfRBBTabelle"/>
              <w:rPr>
                <w:sz w:val="22"/>
                <w:szCs w:val="22"/>
                <w:lang w:val="en-GB"/>
              </w:rPr>
            </w:pPr>
            <w:r w:rsidRPr="002131ED">
              <w:rPr>
                <w:sz w:val="22"/>
                <w:szCs w:val="22"/>
                <w:lang w:val="en-GB"/>
              </w:rPr>
              <w:t>Dermal absorption</w:t>
            </w:r>
          </w:p>
        </w:tc>
        <w:tc>
          <w:tcPr>
            <w:tcW w:w="4819" w:type="dxa"/>
            <w:tcBorders>
              <w:top w:val="nil"/>
              <w:left w:val="nil"/>
              <w:bottom w:val="nil"/>
              <w:right w:val="nil"/>
            </w:tcBorders>
          </w:tcPr>
          <w:p w14:paraId="0EF854AF" w14:textId="77777777" w:rsidR="00A937F3" w:rsidRPr="002131ED" w:rsidRDefault="00A937F3" w:rsidP="005D37EC">
            <w:pPr>
              <w:pStyle w:val="BfRBBTabelle"/>
              <w:rPr>
                <w:sz w:val="22"/>
                <w:szCs w:val="22"/>
                <w:lang w:val="en-GB"/>
              </w:rPr>
            </w:pPr>
            <w:r>
              <w:rPr>
                <w:sz w:val="22"/>
                <w:szCs w:val="22"/>
                <w:lang w:val="en-GB"/>
              </w:rPr>
              <w:t>31%</w:t>
            </w:r>
          </w:p>
        </w:tc>
      </w:tr>
    </w:tbl>
    <w:p w14:paraId="03F6FF09"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937F3" w:rsidRPr="002131ED" w14:paraId="3BB615A6" w14:textId="77777777" w:rsidTr="005D37EC">
        <w:trPr>
          <w:cantSplit/>
          <w:tblHeader/>
        </w:trPr>
        <w:tc>
          <w:tcPr>
            <w:tcW w:w="9214" w:type="dxa"/>
            <w:gridSpan w:val="2"/>
            <w:tcBorders>
              <w:top w:val="single" w:sz="12" w:space="0" w:color="000000"/>
              <w:left w:val="nil"/>
              <w:bottom w:val="single" w:sz="6" w:space="0" w:color="000000"/>
              <w:right w:val="nil"/>
            </w:tcBorders>
          </w:tcPr>
          <w:p w14:paraId="35A2A58E" w14:textId="77777777" w:rsidR="00A937F3" w:rsidRPr="002131ED" w:rsidRDefault="00A937F3" w:rsidP="005D37EC">
            <w:pPr>
              <w:pStyle w:val="BfRBBTabelle"/>
              <w:rPr>
                <w:b/>
                <w:bCs/>
                <w:lang w:val="en-GB"/>
              </w:rPr>
            </w:pPr>
            <w:r w:rsidRPr="002131ED">
              <w:rPr>
                <w:b/>
                <w:snapToGrid w:val="0"/>
                <w:sz w:val="22"/>
                <w:szCs w:val="22"/>
                <w:lang w:val="en-GB"/>
              </w:rPr>
              <w:lastRenderedPageBreak/>
              <w:t>Classification</w:t>
            </w:r>
            <w:r w:rsidRPr="002131ED">
              <w:rPr>
                <w:b/>
                <w:bCs/>
                <w:lang w:val="en-GB"/>
              </w:rPr>
              <w:t xml:space="preserve"> </w:t>
            </w:r>
          </w:p>
        </w:tc>
      </w:tr>
      <w:tr w:rsidR="00A937F3" w:rsidRPr="002131ED" w14:paraId="7A87618D" w14:textId="77777777" w:rsidTr="005D37EC">
        <w:tc>
          <w:tcPr>
            <w:tcW w:w="4395" w:type="dxa"/>
            <w:tcBorders>
              <w:top w:val="nil"/>
              <w:left w:val="nil"/>
              <w:bottom w:val="single" w:sz="12" w:space="0" w:color="auto"/>
              <w:right w:val="nil"/>
            </w:tcBorders>
          </w:tcPr>
          <w:p w14:paraId="53694BB5" w14:textId="77777777" w:rsidR="00A937F3" w:rsidRPr="002131ED" w:rsidRDefault="00A937F3" w:rsidP="005D37EC">
            <w:pPr>
              <w:pStyle w:val="BfRBBTabelle"/>
              <w:rPr>
                <w:sz w:val="22"/>
                <w:szCs w:val="22"/>
                <w:lang w:val="en-GB"/>
              </w:rPr>
            </w:pPr>
            <w:r w:rsidRPr="002131ED">
              <w:rPr>
                <w:sz w:val="22"/>
                <w:szCs w:val="22"/>
                <w:lang w:val="en-GB"/>
              </w:rPr>
              <w:t>with regard to toxicological data</w:t>
            </w:r>
            <w:r w:rsidRPr="002131ED">
              <w:rPr>
                <w:sz w:val="22"/>
                <w:szCs w:val="22"/>
                <w:lang w:val="en-GB"/>
              </w:rPr>
              <w:br/>
              <w:t>(according to the criteria in Reg. 1272/2008)</w:t>
            </w:r>
          </w:p>
        </w:tc>
        <w:tc>
          <w:tcPr>
            <w:tcW w:w="4819" w:type="dxa"/>
            <w:tcBorders>
              <w:top w:val="nil"/>
              <w:left w:val="nil"/>
              <w:bottom w:val="single" w:sz="12" w:space="0" w:color="auto"/>
              <w:right w:val="nil"/>
            </w:tcBorders>
          </w:tcPr>
          <w:p w14:paraId="098A46C2" w14:textId="77777777" w:rsidR="00A937F3" w:rsidRPr="00C3307F" w:rsidRDefault="00A937F3" w:rsidP="005D37EC">
            <w:pPr>
              <w:snapToGrid w:val="0"/>
              <w:spacing w:before="60" w:after="60" w:line="276" w:lineRule="auto"/>
              <w:rPr>
                <w:rFonts w:ascii="Arial" w:hAnsi="Arial" w:cs="Arial"/>
                <w:color w:val="000000"/>
                <w:lang w:val="fr-FR"/>
              </w:rPr>
            </w:pPr>
            <w:r w:rsidRPr="00C3307F">
              <w:rPr>
                <w:rFonts w:ascii="Arial" w:hAnsi="Arial" w:cs="Arial"/>
                <w:color w:val="000000"/>
                <w:lang w:val="fr-FR"/>
              </w:rPr>
              <w:t>Acute Tox 4 – H302</w:t>
            </w:r>
          </w:p>
          <w:p w14:paraId="18C93873" w14:textId="77777777" w:rsidR="00A937F3" w:rsidRPr="00F861AB" w:rsidRDefault="00A937F3" w:rsidP="005D37EC">
            <w:pPr>
              <w:pStyle w:val="BfRBBTabelle"/>
              <w:tabs>
                <w:tab w:val="left" w:pos="742"/>
              </w:tabs>
              <w:rPr>
                <w:color w:val="000000"/>
                <w:sz w:val="22"/>
                <w:lang w:val="fr-FR" w:eastAsia="sv-SE"/>
              </w:rPr>
            </w:pPr>
            <w:r w:rsidRPr="00F861AB">
              <w:rPr>
                <w:color w:val="000000"/>
                <w:sz w:val="22"/>
                <w:lang w:val="fr-FR" w:eastAsia="sv-SE"/>
              </w:rPr>
              <w:t>Repr 2 – H361d</w:t>
            </w:r>
          </w:p>
        </w:tc>
      </w:tr>
    </w:tbl>
    <w:p w14:paraId="36B64CE5" w14:textId="77777777" w:rsidR="00A937F3" w:rsidRPr="00F861AB" w:rsidRDefault="00A937F3" w:rsidP="00A937F3">
      <w:pPr>
        <w:pStyle w:val="BfRBBStandard"/>
        <w:rPr>
          <w:lang w:val="fr-FR"/>
        </w:rPr>
      </w:pPr>
      <w:r w:rsidRPr="00F861AB" w:rsidDel="001471BF">
        <w:rPr>
          <w:snapToGrid w:val="0"/>
          <w:lang w:val="fr-FR"/>
        </w:rPr>
        <w:t xml:space="preserve"> </w:t>
      </w:r>
    </w:p>
    <w:p w14:paraId="0AB0AB9C" w14:textId="77777777" w:rsidR="002A77D8" w:rsidRDefault="002A77D8" w:rsidP="003012CB">
      <w:pPr>
        <w:pStyle w:val="Absatz"/>
        <w:ind w:left="0"/>
        <w:rPr>
          <w:lang w:val="de-DE"/>
        </w:rPr>
      </w:pPr>
    </w:p>
    <w:p w14:paraId="36B43EEA" w14:textId="77777777" w:rsidR="00A937F3" w:rsidRPr="002131ED" w:rsidRDefault="00A937F3" w:rsidP="00A937F3">
      <w:pPr>
        <w:pStyle w:val="BfRBBTitel"/>
        <w:ind w:firstLine="708"/>
        <w:rPr>
          <w:b w:val="0"/>
          <w:bCs w:val="0"/>
          <w:sz w:val="22"/>
          <w:szCs w:val="22"/>
          <w:lang w:val="en-GB"/>
        </w:rPr>
      </w:pPr>
    </w:p>
    <w:p w14:paraId="3BDE562C" w14:textId="77777777" w:rsidR="00A937F3" w:rsidRPr="002131ED" w:rsidRDefault="00A937F3" w:rsidP="00A937F3">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IPBC</w:t>
      </w:r>
      <w:r w:rsidRPr="002131ED">
        <w:rPr>
          <w:lang w:val="en-GB"/>
        </w:rPr>
        <w:t>&gt;</w:t>
      </w:r>
    </w:p>
    <w:p w14:paraId="5B9CB48B" w14:textId="77777777" w:rsidR="00A937F3" w:rsidRPr="002131ED" w:rsidRDefault="00A937F3" w:rsidP="00A937F3">
      <w:pPr>
        <w:pStyle w:val="BfRBBTitel"/>
        <w:rPr>
          <w:b w:val="0"/>
          <w:bCs w:val="0"/>
          <w:sz w:val="22"/>
          <w:szCs w:val="22"/>
          <w:lang w:val="en-GB"/>
        </w:rPr>
      </w:pPr>
    </w:p>
    <w:p w14:paraId="25C71B2E" w14:textId="77777777" w:rsidR="00A937F3" w:rsidRPr="002131ED" w:rsidRDefault="00A937F3" w:rsidP="00A937F3">
      <w:pPr>
        <w:pStyle w:val="BfRBBTitel"/>
        <w:rPr>
          <w:b w:val="0"/>
          <w:bCs w:val="0"/>
          <w:sz w:val="22"/>
          <w:szCs w:val="22"/>
          <w:lang w:val="en-GB"/>
        </w:rPr>
      </w:pPr>
      <w:r w:rsidRPr="002131ED">
        <w:rPr>
          <w:b w:val="0"/>
          <w:bCs w:val="0"/>
          <w:sz w:val="22"/>
          <w:szCs w:val="22"/>
          <w:lang w:val="en-GB"/>
        </w:rPr>
        <w:t xml:space="preserve">Threshold Limits and other Values for Human Health Risk Assessment </w:t>
      </w:r>
    </w:p>
    <w:p w14:paraId="626A6FA7" w14:textId="77777777" w:rsidR="00A937F3" w:rsidRPr="002131ED" w:rsidRDefault="00A937F3" w:rsidP="00A937F3">
      <w:pPr>
        <w:pStyle w:val="BfRBBStandard"/>
        <w:rPr>
          <w:lang w:val="en-GB"/>
        </w:rPr>
      </w:pPr>
    </w:p>
    <w:p w14:paraId="284A3F7F"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A937F3" w:rsidRPr="002131ED" w14:paraId="241E2674" w14:textId="77777777" w:rsidTr="005D37EC">
        <w:trPr>
          <w:cantSplit/>
          <w:tblHeader/>
        </w:trPr>
        <w:tc>
          <w:tcPr>
            <w:tcW w:w="9214" w:type="dxa"/>
            <w:gridSpan w:val="4"/>
            <w:tcBorders>
              <w:top w:val="single" w:sz="12" w:space="0" w:color="000000"/>
              <w:left w:val="nil"/>
              <w:bottom w:val="single" w:sz="6" w:space="0" w:color="000000"/>
              <w:right w:val="nil"/>
            </w:tcBorders>
          </w:tcPr>
          <w:p w14:paraId="4372BF35" w14:textId="77777777" w:rsidR="00A937F3" w:rsidRPr="002131ED" w:rsidRDefault="00A937F3" w:rsidP="005D37EC">
            <w:pPr>
              <w:pStyle w:val="BfRBBTabelle"/>
              <w:rPr>
                <w:b/>
                <w:bCs/>
                <w:lang w:val="en-GB"/>
              </w:rPr>
            </w:pPr>
            <w:r w:rsidRPr="002131ED">
              <w:rPr>
                <w:b/>
                <w:snapToGrid w:val="0"/>
                <w:sz w:val="22"/>
                <w:szCs w:val="22"/>
                <w:lang w:val="en-GB"/>
              </w:rPr>
              <w:t>Summary</w:t>
            </w:r>
            <w:r w:rsidRPr="002131ED">
              <w:rPr>
                <w:b/>
                <w:bCs/>
                <w:lang w:val="en-GB"/>
              </w:rPr>
              <w:t xml:space="preserve"> </w:t>
            </w:r>
          </w:p>
        </w:tc>
      </w:tr>
      <w:tr w:rsidR="00A937F3" w:rsidRPr="002131ED" w14:paraId="0AB798D8" w14:textId="77777777" w:rsidTr="005D37EC">
        <w:trPr>
          <w:tblHeader/>
        </w:trPr>
        <w:tc>
          <w:tcPr>
            <w:tcW w:w="2410" w:type="dxa"/>
            <w:tcBorders>
              <w:top w:val="single" w:sz="6" w:space="0" w:color="000000"/>
              <w:left w:val="nil"/>
              <w:bottom w:val="nil"/>
              <w:right w:val="nil"/>
            </w:tcBorders>
          </w:tcPr>
          <w:p w14:paraId="33B5ED95" w14:textId="77777777" w:rsidR="00A937F3" w:rsidRPr="002131ED" w:rsidRDefault="00A937F3" w:rsidP="005D37EC">
            <w:pPr>
              <w:pStyle w:val="BfRBBTabelle"/>
              <w:rPr>
                <w:sz w:val="22"/>
                <w:szCs w:val="22"/>
                <w:lang w:val="en-GB"/>
              </w:rPr>
            </w:pPr>
          </w:p>
        </w:tc>
        <w:tc>
          <w:tcPr>
            <w:tcW w:w="2126" w:type="dxa"/>
            <w:tcBorders>
              <w:top w:val="single" w:sz="6" w:space="0" w:color="000000"/>
              <w:left w:val="nil"/>
              <w:bottom w:val="nil"/>
              <w:right w:val="nil"/>
            </w:tcBorders>
            <w:vAlign w:val="bottom"/>
          </w:tcPr>
          <w:p w14:paraId="656844DE" w14:textId="77777777" w:rsidR="00A937F3" w:rsidRPr="002131ED" w:rsidRDefault="00A937F3" w:rsidP="005D37EC">
            <w:pPr>
              <w:pStyle w:val="BfRBBTabelle"/>
              <w:rPr>
                <w:sz w:val="22"/>
                <w:szCs w:val="22"/>
                <w:lang w:val="en-GB"/>
              </w:rPr>
            </w:pPr>
            <w:r w:rsidRPr="002131ED">
              <w:rPr>
                <w:sz w:val="22"/>
                <w:szCs w:val="22"/>
                <w:lang w:val="en-GB"/>
              </w:rPr>
              <w:t>Value</w:t>
            </w:r>
          </w:p>
        </w:tc>
        <w:tc>
          <w:tcPr>
            <w:tcW w:w="3261" w:type="dxa"/>
            <w:tcBorders>
              <w:top w:val="single" w:sz="6" w:space="0" w:color="000000"/>
              <w:left w:val="nil"/>
              <w:bottom w:val="nil"/>
              <w:right w:val="nil"/>
            </w:tcBorders>
            <w:vAlign w:val="bottom"/>
          </w:tcPr>
          <w:p w14:paraId="6C26ED62" w14:textId="77777777" w:rsidR="00A937F3" w:rsidRPr="002131ED" w:rsidRDefault="00A937F3" w:rsidP="005D37EC">
            <w:pPr>
              <w:pStyle w:val="BfRBBTabelle"/>
              <w:rPr>
                <w:sz w:val="22"/>
                <w:szCs w:val="22"/>
                <w:lang w:val="en-GB"/>
              </w:rPr>
            </w:pPr>
            <w:r w:rsidRPr="002131ED">
              <w:rPr>
                <w:sz w:val="22"/>
                <w:szCs w:val="22"/>
                <w:lang w:val="en-GB"/>
              </w:rPr>
              <w:t>Study</w:t>
            </w:r>
          </w:p>
        </w:tc>
        <w:tc>
          <w:tcPr>
            <w:tcW w:w="1417" w:type="dxa"/>
            <w:tcBorders>
              <w:top w:val="single" w:sz="6" w:space="0" w:color="000000"/>
              <w:left w:val="nil"/>
              <w:bottom w:val="nil"/>
              <w:right w:val="nil"/>
            </w:tcBorders>
            <w:vAlign w:val="bottom"/>
          </w:tcPr>
          <w:p w14:paraId="2C6DC8A8" w14:textId="77777777" w:rsidR="00A937F3" w:rsidRPr="002131ED" w:rsidRDefault="00A937F3" w:rsidP="005D37EC">
            <w:pPr>
              <w:pStyle w:val="BfRBBTabelle"/>
              <w:rPr>
                <w:sz w:val="22"/>
                <w:szCs w:val="22"/>
                <w:lang w:val="en-GB"/>
              </w:rPr>
            </w:pPr>
            <w:r w:rsidRPr="002131ED">
              <w:rPr>
                <w:sz w:val="22"/>
                <w:szCs w:val="22"/>
                <w:lang w:val="en-GB"/>
              </w:rPr>
              <w:t>SF</w:t>
            </w:r>
          </w:p>
        </w:tc>
      </w:tr>
      <w:tr w:rsidR="00A937F3" w:rsidRPr="002131ED" w14:paraId="02F5C6F7" w14:textId="77777777" w:rsidTr="005D37EC">
        <w:tc>
          <w:tcPr>
            <w:tcW w:w="2410" w:type="dxa"/>
            <w:tcBorders>
              <w:top w:val="nil"/>
              <w:left w:val="nil"/>
              <w:bottom w:val="nil"/>
              <w:right w:val="nil"/>
            </w:tcBorders>
          </w:tcPr>
          <w:p w14:paraId="406F58B5" w14:textId="77777777" w:rsidR="00A937F3" w:rsidRPr="002131ED" w:rsidRDefault="00A937F3" w:rsidP="005D37EC">
            <w:pPr>
              <w:pStyle w:val="BfRBBTabelle"/>
              <w:rPr>
                <w:sz w:val="22"/>
                <w:szCs w:val="22"/>
                <w:lang w:val="en-GB"/>
              </w:rPr>
            </w:pPr>
            <w:r w:rsidRPr="002131ED">
              <w:rPr>
                <w:sz w:val="22"/>
                <w:szCs w:val="22"/>
                <w:lang w:val="en-GB"/>
              </w:rPr>
              <w:t>AEL long-term</w:t>
            </w:r>
          </w:p>
        </w:tc>
        <w:tc>
          <w:tcPr>
            <w:tcW w:w="2126" w:type="dxa"/>
            <w:tcBorders>
              <w:top w:val="nil"/>
              <w:left w:val="nil"/>
              <w:bottom w:val="nil"/>
              <w:right w:val="nil"/>
            </w:tcBorders>
          </w:tcPr>
          <w:p w14:paraId="0AAAE11D" w14:textId="77777777" w:rsidR="00A937F3" w:rsidRPr="002131ED" w:rsidRDefault="00A937F3" w:rsidP="005D37EC">
            <w:pPr>
              <w:pStyle w:val="BfRBBTabelle"/>
              <w:rPr>
                <w:sz w:val="22"/>
                <w:szCs w:val="22"/>
                <w:lang w:val="en-GB"/>
              </w:rPr>
            </w:pPr>
            <w:r>
              <w:rPr>
                <w:sz w:val="22"/>
                <w:szCs w:val="22"/>
                <w:lang w:val="en-GB"/>
              </w:rPr>
              <w:t>0.2</w:t>
            </w:r>
          </w:p>
        </w:tc>
        <w:tc>
          <w:tcPr>
            <w:tcW w:w="3261" w:type="dxa"/>
            <w:tcBorders>
              <w:top w:val="nil"/>
              <w:left w:val="nil"/>
              <w:bottom w:val="nil"/>
              <w:right w:val="nil"/>
            </w:tcBorders>
          </w:tcPr>
          <w:p w14:paraId="588AC257" w14:textId="77777777" w:rsidR="00A937F3" w:rsidRPr="002131ED" w:rsidRDefault="00A937F3" w:rsidP="005D37EC">
            <w:pPr>
              <w:pStyle w:val="BfRBBTabelle"/>
              <w:rPr>
                <w:sz w:val="22"/>
                <w:szCs w:val="22"/>
                <w:lang w:val="en-GB"/>
              </w:rPr>
            </w:pPr>
            <w:r>
              <w:rPr>
                <w:sz w:val="22"/>
                <w:szCs w:val="22"/>
                <w:lang w:val="en-GB"/>
              </w:rPr>
              <w:t>2 year rat</w:t>
            </w:r>
          </w:p>
        </w:tc>
        <w:tc>
          <w:tcPr>
            <w:tcW w:w="1417" w:type="dxa"/>
            <w:tcBorders>
              <w:top w:val="nil"/>
              <w:left w:val="nil"/>
              <w:bottom w:val="nil"/>
              <w:right w:val="nil"/>
            </w:tcBorders>
          </w:tcPr>
          <w:p w14:paraId="5E4E7545"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13D87602" w14:textId="77777777" w:rsidTr="005D37EC">
        <w:tc>
          <w:tcPr>
            <w:tcW w:w="2410" w:type="dxa"/>
            <w:tcBorders>
              <w:top w:val="nil"/>
              <w:left w:val="nil"/>
              <w:bottom w:val="nil"/>
              <w:right w:val="nil"/>
            </w:tcBorders>
          </w:tcPr>
          <w:p w14:paraId="29DE9E9D" w14:textId="77777777" w:rsidR="00A937F3" w:rsidRPr="002131ED" w:rsidRDefault="00A937F3" w:rsidP="005D37EC">
            <w:pPr>
              <w:pStyle w:val="BfRBBTabelle"/>
              <w:rPr>
                <w:sz w:val="22"/>
                <w:szCs w:val="22"/>
                <w:lang w:val="en-GB"/>
              </w:rPr>
            </w:pPr>
            <w:r w:rsidRPr="002131ED">
              <w:rPr>
                <w:sz w:val="22"/>
                <w:szCs w:val="22"/>
                <w:lang w:val="en-GB"/>
              </w:rPr>
              <w:t>AEL medium-term</w:t>
            </w:r>
          </w:p>
        </w:tc>
        <w:tc>
          <w:tcPr>
            <w:tcW w:w="2126" w:type="dxa"/>
            <w:tcBorders>
              <w:top w:val="nil"/>
              <w:left w:val="nil"/>
              <w:bottom w:val="nil"/>
              <w:right w:val="nil"/>
            </w:tcBorders>
          </w:tcPr>
          <w:p w14:paraId="5C77BF4F" w14:textId="77777777" w:rsidR="00A937F3" w:rsidRPr="002131ED" w:rsidRDefault="00A937F3" w:rsidP="005D37EC">
            <w:pPr>
              <w:pStyle w:val="BfRBBTabelle"/>
              <w:rPr>
                <w:sz w:val="22"/>
                <w:szCs w:val="22"/>
                <w:lang w:val="en-GB"/>
              </w:rPr>
            </w:pPr>
            <w:r>
              <w:rPr>
                <w:sz w:val="22"/>
                <w:szCs w:val="22"/>
                <w:lang w:val="en-GB"/>
              </w:rPr>
              <w:t>0.35</w:t>
            </w:r>
          </w:p>
        </w:tc>
        <w:tc>
          <w:tcPr>
            <w:tcW w:w="3261" w:type="dxa"/>
            <w:tcBorders>
              <w:top w:val="nil"/>
              <w:left w:val="nil"/>
              <w:bottom w:val="nil"/>
              <w:right w:val="nil"/>
            </w:tcBorders>
          </w:tcPr>
          <w:p w14:paraId="78F3151C" w14:textId="77777777" w:rsidR="00A937F3" w:rsidRPr="002131ED" w:rsidRDefault="00A937F3" w:rsidP="005D37EC">
            <w:pPr>
              <w:pStyle w:val="BfRBBTabelle"/>
              <w:rPr>
                <w:sz w:val="22"/>
                <w:szCs w:val="22"/>
                <w:lang w:val="en-GB"/>
              </w:rPr>
            </w:pPr>
            <w:r>
              <w:rPr>
                <w:sz w:val="22"/>
                <w:szCs w:val="22"/>
                <w:lang w:val="en-GB"/>
              </w:rPr>
              <w:t>90 days rat</w:t>
            </w:r>
          </w:p>
        </w:tc>
        <w:tc>
          <w:tcPr>
            <w:tcW w:w="1417" w:type="dxa"/>
            <w:tcBorders>
              <w:top w:val="nil"/>
              <w:left w:val="nil"/>
              <w:bottom w:val="nil"/>
              <w:right w:val="nil"/>
            </w:tcBorders>
          </w:tcPr>
          <w:p w14:paraId="207DC417"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06DE39EA" w14:textId="77777777" w:rsidTr="005D37EC">
        <w:trPr>
          <w:cantSplit/>
        </w:trPr>
        <w:tc>
          <w:tcPr>
            <w:tcW w:w="2410" w:type="dxa"/>
            <w:tcBorders>
              <w:top w:val="nil"/>
              <w:left w:val="nil"/>
              <w:bottom w:val="nil"/>
              <w:right w:val="nil"/>
            </w:tcBorders>
          </w:tcPr>
          <w:p w14:paraId="7233E16C" w14:textId="77777777" w:rsidR="00A937F3" w:rsidRPr="002131ED" w:rsidRDefault="00A937F3" w:rsidP="005D37EC">
            <w:pPr>
              <w:pStyle w:val="BfRBBTabelle"/>
              <w:rPr>
                <w:sz w:val="22"/>
                <w:szCs w:val="22"/>
                <w:lang w:val="en-GB"/>
              </w:rPr>
            </w:pPr>
            <w:r w:rsidRPr="002131ED">
              <w:rPr>
                <w:sz w:val="22"/>
                <w:szCs w:val="22"/>
                <w:lang w:val="en-GB"/>
              </w:rPr>
              <w:t>AEL acute</w:t>
            </w:r>
          </w:p>
        </w:tc>
        <w:tc>
          <w:tcPr>
            <w:tcW w:w="2126" w:type="dxa"/>
            <w:tcBorders>
              <w:top w:val="nil"/>
              <w:left w:val="nil"/>
              <w:bottom w:val="nil"/>
              <w:right w:val="nil"/>
            </w:tcBorders>
          </w:tcPr>
          <w:p w14:paraId="4B5BDD00" w14:textId="77777777" w:rsidR="00A937F3" w:rsidRPr="002131ED" w:rsidRDefault="00A937F3" w:rsidP="005D37EC">
            <w:pPr>
              <w:pStyle w:val="BfRBBTabelle"/>
              <w:rPr>
                <w:sz w:val="22"/>
                <w:szCs w:val="22"/>
                <w:lang w:val="en-GB"/>
              </w:rPr>
            </w:pPr>
            <w:r>
              <w:rPr>
                <w:sz w:val="22"/>
                <w:szCs w:val="22"/>
                <w:lang w:val="en-GB"/>
              </w:rPr>
              <w:t>0.35</w:t>
            </w:r>
          </w:p>
        </w:tc>
        <w:tc>
          <w:tcPr>
            <w:tcW w:w="3261" w:type="dxa"/>
            <w:tcBorders>
              <w:top w:val="nil"/>
              <w:left w:val="nil"/>
              <w:bottom w:val="nil"/>
              <w:right w:val="nil"/>
            </w:tcBorders>
          </w:tcPr>
          <w:p w14:paraId="1E3A3114" w14:textId="77777777" w:rsidR="00A937F3" w:rsidRPr="002131ED" w:rsidRDefault="00A937F3" w:rsidP="005D37EC">
            <w:pPr>
              <w:pStyle w:val="BfRBBTabelle"/>
              <w:rPr>
                <w:sz w:val="22"/>
                <w:szCs w:val="22"/>
                <w:lang w:val="en-GB"/>
              </w:rPr>
            </w:pPr>
            <w:r>
              <w:rPr>
                <w:sz w:val="22"/>
                <w:szCs w:val="22"/>
                <w:lang w:val="en-GB"/>
              </w:rPr>
              <w:t>90 days rat</w:t>
            </w:r>
          </w:p>
        </w:tc>
        <w:tc>
          <w:tcPr>
            <w:tcW w:w="1417" w:type="dxa"/>
            <w:tcBorders>
              <w:top w:val="nil"/>
              <w:left w:val="nil"/>
              <w:bottom w:val="nil"/>
              <w:right w:val="nil"/>
            </w:tcBorders>
          </w:tcPr>
          <w:p w14:paraId="39798B35"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0B8F1956" w14:textId="77777777" w:rsidTr="005D37EC">
        <w:tc>
          <w:tcPr>
            <w:tcW w:w="9214" w:type="dxa"/>
            <w:gridSpan w:val="4"/>
            <w:tcBorders>
              <w:top w:val="nil"/>
              <w:left w:val="nil"/>
              <w:bottom w:val="single" w:sz="12" w:space="0" w:color="000000"/>
              <w:right w:val="nil"/>
            </w:tcBorders>
          </w:tcPr>
          <w:p w14:paraId="16606854" w14:textId="77777777" w:rsidR="00A937F3" w:rsidRPr="002131ED" w:rsidRDefault="00A937F3" w:rsidP="005D37EC">
            <w:pPr>
              <w:pStyle w:val="BfRBBTabelleklein"/>
              <w:rPr>
                <w:lang w:val="en-GB"/>
              </w:rPr>
            </w:pPr>
          </w:p>
        </w:tc>
      </w:tr>
    </w:tbl>
    <w:p w14:paraId="0BCBC246"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937F3" w:rsidRPr="002131ED" w14:paraId="38B1A33A" w14:textId="77777777" w:rsidTr="005D37EC">
        <w:tc>
          <w:tcPr>
            <w:tcW w:w="4395" w:type="dxa"/>
            <w:tcBorders>
              <w:top w:val="nil"/>
              <w:left w:val="nil"/>
              <w:bottom w:val="nil"/>
              <w:right w:val="nil"/>
            </w:tcBorders>
          </w:tcPr>
          <w:p w14:paraId="22E8BC97" w14:textId="77777777" w:rsidR="00A937F3" w:rsidRPr="002131ED" w:rsidRDefault="00A937F3" w:rsidP="005D37EC">
            <w:pPr>
              <w:pStyle w:val="BfRBBTabelle"/>
              <w:rPr>
                <w:sz w:val="22"/>
                <w:szCs w:val="22"/>
                <w:lang w:val="en-GB"/>
              </w:rPr>
            </w:pPr>
            <w:r w:rsidRPr="002131ED">
              <w:rPr>
                <w:sz w:val="22"/>
                <w:szCs w:val="22"/>
                <w:lang w:val="en-GB"/>
              </w:rPr>
              <w:t>Inhalative absorption</w:t>
            </w:r>
          </w:p>
        </w:tc>
        <w:tc>
          <w:tcPr>
            <w:tcW w:w="4819" w:type="dxa"/>
            <w:tcBorders>
              <w:top w:val="nil"/>
              <w:left w:val="nil"/>
              <w:bottom w:val="nil"/>
              <w:right w:val="nil"/>
            </w:tcBorders>
          </w:tcPr>
          <w:p w14:paraId="5597B96E"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5C3A3BB4" w14:textId="77777777" w:rsidTr="005D37EC">
        <w:tc>
          <w:tcPr>
            <w:tcW w:w="4395" w:type="dxa"/>
            <w:tcBorders>
              <w:top w:val="nil"/>
              <w:left w:val="nil"/>
              <w:bottom w:val="single" w:sz="12" w:space="0" w:color="000000"/>
              <w:right w:val="nil"/>
            </w:tcBorders>
          </w:tcPr>
          <w:p w14:paraId="11CFC1FD" w14:textId="77777777" w:rsidR="00A937F3" w:rsidRPr="002131ED" w:rsidRDefault="00A937F3" w:rsidP="005D37EC">
            <w:pPr>
              <w:pStyle w:val="BfRBBTabelle"/>
              <w:rPr>
                <w:sz w:val="22"/>
                <w:szCs w:val="22"/>
                <w:lang w:val="en-GB"/>
              </w:rPr>
            </w:pPr>
            <w:r w:rsidRPr="002131ED">
              <w:rPr>
                <w:sz w:val="22"/>
                <w:szCs w:val="22"/>
                <w:lang w:val="en-GB"/>
              </w:rPr>
              <w:t>Oral absorption</w:t>
            </w:r>
          </w:p>
        </w:tc>
        <w:tc>
          <w:tcPr>
            <w:tcW w:w="4819" w:type="dxa"/>
            <w:tcBorders>
              <w:top w:val="nil"/>
              <w:left w:val="nil"/>
              <w:bottom w:val="single" w:sz="12" w:space="0" w:color="000000"/>
              <w:right w:val="nil"/>
            </w:tcBorders>
          </w:tcPr>
          <w:p w14:paraId="6A51B92F" w14:textId="77777777" w:rsidR="00A937F3" w:rsidRPr="002131ED" w:rsidRDefault="00A937F3" w:rsidP="005D37EC">
            <w:pPr>
              <w:pStyle w:val="BfRBBTabelle"/>
              <w:rPr>
                <w:sz w:val="22"/>
                <w:szCs w:val="22"/>
                <w:lang w:val="en-GB"/>
              </w:rPr>
            </w:pPr>
            <w:r>
              <w:rPr>
                <w:sz w:val="22"/>
                <w:szCs w:val="22"/>
                <w:lang w:val="en-GB"/>
              </w:rPr>
              <w:t>&gt;90% (100%)</w:t>
            </w:r>
          </w:p>
        </w:tc>
      </w:tr>
      <w:tr w:rsidR="00A937F3" w:rsidRPr="002131ED" w14:paraId="2ADDD89F" w14:textId="77777777" w:rsidTr="005D37EC">
        <w:tc>
          <w:tcPr>
            <w:tcW w:w="4395" w:type="dxa"/>
            <w:tcBorders>
              <w:top w:val="nil"/>
              <w:left w:val="nil"/>
              <w:bottom w:val="nil"/>
              <w:right w:val="nil"/>
            </w:tcBorders>
          </w:tcPr>
          <w:p w14:paraId="41115D5B" w14:textId="77777777" w:rsidR="00A937F3" w:rsidRPr="002131ED" w:rsidRDefault="00A937F3" w:rsidP="005D37EC">
            <w:pPr>
              <w:pStyle w:val="BfRBBTabelle"/>
              <w:rPr>
                <w:sz w:val="22"/>
                <w:szCs w:val="22"/>
                <w:lang w:val="en-GB"/>
              </w:rPr>
            </w:pPr>
            <w:r w:rsidRPr="002131ED">
              <w:rPr>
                <w:sz w:val="22"/>
                <w:szCs w:val="22"/>
                <w:lang w:val="en-GB"/>
              </w:rPr>
              <w:t>Dermal absorption</w:t>
            </w:r>
          </w:p>
        </w:tc>
        <w:tc>
          <w:tcPr>
            <w:tcW w:w="4819" w:type="dxa"/>
            <w:tcBorders>
              <w:top w:val="nil"/>
              <w:left w:val="nil"/>
              <w:bottom w:val="nil"/>
              <w:right w:val="nil"/>
            </w:tcBorders>
          </w:tcPr>
          <w:p w14:paraId="5237344A" w14:textId="77777777" w:rsidR="00A937F3" w:rsidRPr="002131ED" w:rsidRDefault="00A937F3" w:rsidP="005D37EC">
            <w:pPr>
              <w:pStyle w:val="BfRBBTabelle"/>
              <w:rPr>
                <w:sz w:val="22"/>
                <w:szCs w:val="22"/>
                <w:lang w:val="en-GB"/>
              </w:rPr>
            </w:pPr>
            <w:r>
              <w:rPr>
                <w:sz w:val="22"/>
                <w:szCs w:val="22"/>
                <w:lang w:val="en-GB"/>
              </w:rPr>
              <w:t>75%</w:t>
            </w:r>
          </w:p>
        </w:tc>
      </w:tr>
    </w:tbl>
    <w:p w14:paraId="1BCC0828"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937F3" w:rsidRPr="002131ED" w14:paraId="26AE35C2" w14:textId="77777777" w:rsidTr="005D37EC">
        <w:trPr>
          <w:cantSplit/>
          <w:tblHeader/>
        </w:trPr>
        <w:tc>
          <w:tcPr>
            <w:tcW w:w="9214" w:type="dxa"/>
            <w:gridSpan w:val="2"/>
            <w:tcBorders>
              <w:top w:val="single" w:sz="12" w:space="0" w:color="000000"/>
              <w:left w:val="nil"/>
              <w:bottom w:val="single" w:sz="6" w:space="0" w:color="000000"/>
              <w:right w:val="nil"/>
            </w:tcBorders>
          </w:tcPr>
          <w:p w14:paraId="7D61A970" w14:textId="77777777" w:rsidR="00A937F3" w:rsidRPr="002131ED" w:rsidRDefault="00A937F3" w:rsidP="005D37EC">
            <w:pPr>
              <w:pStyle w:val="BfRBBTabelle"/>
              <w:rPr>
                <w:b/>
                <w:bCs/>
                <w:lang w:val="en-GB"/>
              </w:rPr>
            </w:pPr>
            <w:r w:rsidRPr="002131ED">
              <w:rPr>
                <w:b/>
                <w:snapToGrid w:val="0"/>
                <w:sz w:val="22"/>
                <w:szCs w:val="22"/>
                <w:lang w:val="en-GB"/>
              </w:rPr>
              <w:t>Classification</w:t>
            </w:r>
            <w:r w:rsidRPr="002131ED">
              <w:rPr>
                <w:b/>
                <w:bCs/>
                <w:lang w:val="en-GB"/>
              </w:rPr>
              <w:t xml:space="preserve"> </w:t>
            </w:r>
          </w:p>
        </w:tc>
      </w:tr>
      <w:tr w:rsidR="00A937F3" w:rsidRPr="002131ED" w14:paraId="05D13A0A" w14:textId="77777777" w:rsidTr="005D37EC">
        <w:tc>
          <w:tcPr>
            <w:tcW w:w="4395" w:type="dxa"/>
            <w:tcBorders>
              <w:top w:val="nil"/>
              <w:left w:val="nil"/>
              <w:bottom w:val="single" w:sz="12" w:space="0" w:color="auto"/>
              <w:right w:val="nil"/>
            </w:tcBorders>
          </w:tcPr>
          <w:p w14:paraId="045127ED" w14:textId="77777777" w:rsidR="00A937F3" w:rsidRPr="002131ED" w:rsidRDefault="00A937F3" w:rsidP="005D37EC">
            <w:pPr>
              <w:pStyle w:val="BfRBBTabelle"/>
              <w:rPr>
                <w:sz w:val="22"/>
                <w:szCs w:val="22"/>
                <w:lang w:val="en-GB"/>
              </w:rPr>
            </w:pPr>
            <w:r w:rsidRPr="002131ED">
              <w:rPr>
                <w:sz w:val="22"/>
                <w:szCs w:val="22"/>
                <w:lang w:val="en-GB"/>
              </w:rPr>
              <w:t>with regard to toxicological data</w:t>
            </w:r>
            <w:r w:rsidRPr="002131ED">
              <w:rPr>
                <w:sz w:val="22"/>
                <w:szCs w:val="22"/>
                <w:lang w:val="en-GB"/>
              </w:rPr>
              <w:br/>
              <w:t>(according to the criteria in Reg. 1272/2008)</w:t>
            </w:r>
          </w:p>
        </w:tc>
        <w:tc>
          <w:tcPr>
            <w:tcW w:w="4819" w:type="dxa"/>
            <w:tcBorders>
              <w:top w:val="nil"/>
              <w:left w:val="nil"/>
              <w:bottom w:val="single" w:sz="12" w:space="0" w:color="auto"/>
              <w:right w:val="nil"/>
            </w:tcBorders>
          </w:tcPr>
          <w:p w14:paraId="38755769" w14:textId="77777777" w:rsidR="00A937F3" w:rsidRDefault="00A937F3" w:rsidP="005D37EC">
            <w:pPr>
              <w:snapToGrid w:val="0"/>
              <w:spacing w:before="60" w:after="60" w:line="276" w:lineRule="auto"/>
              <w:rPr>
                <w:rFonts w:ascii="Arial" w:hAnsi="Arial" w:cs="Arial"/>
                <w:color w:val="000000"/>
                <w:lang w:val="fr-FR"/>
              </w:rPr>
            </w:pPr>
            <w:r w:rsidRPr="00C3307F">
              <w:rPr>
                <w:rFonts w:ascii="Arial" w:hAnsi="Arial" w:cs="Arial"/>
                <w:color w:val="000000"/>
                <w:lang w:val="fr-FR"/>
              </w:rPr>
              <w:t>Acute Tox 4 – H302</w:t>
            </w:r>
          </w:p>
          <w:p w14:paraId="08A72659" w14:textId="77777777" w:rsidR="00A937F3" w:rsidRDefault="00A937F3" w:rsidP="005D37EC">
            <w:pPr>
              <w:snapToGrid w:val="0"/>
              <w:spacing w:before="60" w:after="60" w:line="276" w:lineRule="auto"/>
              <w:rPr>
                <w:rFonts w:ascii="Arial" w:hAnsi="Arial" w:cs="Arial"/>
                <w:color w:val="000000"/>
                <w:lang w:val="fr-FR"/>
              </w:rPr>
            </w:pPr>
            <w:r w:rsidRPr="00C3307F">
              <w:rPr>
                <w:rFonts w:ascii="Arial" w:hAnsi="Arial" w:cs="Arial"/>
                <w:color w:val="000000"/>
                <w:lang w:val="fr-FR"/>
              </w:rPr>
              <w:t xml:space="preserve">Skin Sens 1 – </w:t>
            </w:r>
            <w:r>
              <w:rPr>
                <w:rFonts w:ascii="Arial" w:hAnsi="Arial" w:cs="Arial"/>
                <w:color w:val="000000"/>
                <w:lang w:val="fr-FR"/>
              </w:rPr>
              <w:t>H317</w:t>
            </w:r>
          </w:p>
          <w:p w14:paraId="0F76D796" w14:textId="77777777" w:rsidR="00A937F3" w:rsidRPr="007C3662" w:rsidRDefault="00A937F3" w:rsidP="005D37EC">
            <w:pPr>
              <w:snapToGrid w:val="0"/>
              <w:spacing w:before="60" w:after="60" w:line="276" w:lineRule="auto"/>
              <w:rPr>
                <w:rFonts w:ascii="Arial" w:hAnsi="Arial" w:cs="Arial"/>
                <w:color w:val="000000"/>
                <w:lang w:val="en-US"/>
              </w:rPr>
            </w:pPr>
            <w:r w:rsidRPr="007C3662">
              <w:rPr>
                <w:rFonts w:ascii="Arial" w:hAnsi="Arial" w:cs="Arial"/>
                <w:color w:val="000000"/>
                <w:lang w:val="en-US"/>
              </w:rPr>
              <w:t>Eye Irrit 1 – H318</w:t>
            </w:r>
          </w:p>
          <w:p w14:paraId="5D395242" w14:textId="77777777" w:rsidR="00A937F3" w:rsidRPr="007C3662" w:rsidRDefault="00A937F3" w:rsidP="005D37EC">
            <w:pPr>
              <w:snapToGrid w:val="0"/>
              <w:spacing w:before="60" w:after="60" w:line="276" w:lineRule="auto"/>
              <w:rPr>
                <w:rFonts w:ascii="Arial" w:hAnsi="Arial" w:cs="Arial"/>
                <w:color w:val="000000"/>
                <w:lang w:val="en-US"/>
              </w:rPr>
            </w:pPr>
            <w:r w:rsidRPr="007C3662">
              <w:rPr>
                <w:rFonts w:ascii="Arial" w:hAnsi="Arial" w:cs="Arial"/>
                <w:color w:val="000000"/>
                <w:lang w:val="en-US"/>
              </w:rPr>
              <w:t>Acute Tox 3 -  H331</w:t>
            </w:r>
          </w:p>
          <w:p w14:paraId="7B1593BA" w14:textId="77777777" w:rsidR="00A937F3" w:rsidRPr="007C3662" w:rsidRDefault="00A937F3" w:rsidP="005D37EC">
            <w:pPr>
              <w:pStyle w:val="BfRBBTabelle"/>
              <w:tabs>
                <w:tab w:val="left" w:pos="742"/>
              </w:tabs>
              <w:rPr>
                <w:color w:val="000000"/>
                <w:sz w:val="22"/>
                <w:lang w:eastAsia="sv-SE"/>
              </w:rPr>
            </w:pPr>
            <w:r w:rsidRPr="007C3662">
              <w:rPr>
                <w:color w:val="000000"/>
              </w:rPr>
              <w:t>STOT RE 1 - H372</w:t>
            </w:r>
          </w:p>
        </w:tc>
      </w:tr>
    </w:tbl>
    <w:p w14:paraId="46AC41A9" w14:textId="77777777" w:rsidR="00A937F3" w:rsidRPr="007C3662" w:rsidRDefault="00A937F3" w:rsidP="00A937F3">
      <w:pPr>
        <w:pStyle w:val="BfRBBStandard"/>
      </w:pPr>
      <w:r w:rsidRPr="007C3662" w:rsidDel="001471BF">
        <w:rPr>
          <w:snapToGrid w:val="0"/>
        </w:rPr>
        <w:t xml:space="preserve"> </w:t>
      </w:r>
    </w:p>
    <w:p w14:paraId="595FDACB" w14:textId="77777777" w:rsidR="002A77D8" w:rsidRDefault="002A77D8" w:rsidP="003012CB">
      <w:pPr>
        <w:pStyle w:val="Absatz"/>
        <w:ind w:left="0"/>
        <w:rPr>
          <w:lang w:val="en-US"/>
        </w:rPr>
      </w:pPr>
    </w:p>
    <w:p w14:paraId="4D5974E3" w14:textId="77777777" w:rsidR="00255290" w:rsidRPr="002131ED" w:rsidRDefault="00255290" w:rsidP="00255290">
      <w:pPr>
        <w:pStyle w:val="BfRBBTitel"/>
        <w:ind w:firstLine="708"/>
        <w:rPr>
          <w:b w:val="0"/>
          <w:bCs w:val="0"/>
          <w:sz w:val="22"/>
          <w:szCs w:val="22"/>
          <w:lang w:val="en-GB"/>
        </w:rPr>
      </w:pPr>
    </w:p>
    <w:p w14:paraId="7BE60BD1" w14:textId="77777777" w:rsidR="00255290" w:rsidRPr="002131ED" w:rsidRDefault="00255290" w:rsidP="00255290">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X6122B1</w:t>
      </w:r>
      <w:r w:rsidRPr="002131ED">
        <w:rPr>
          <w:lang w:val="en-GB"/>
        </w:rPr>
        <w:t>&gt;</w:t>
      </w:r>
    </w:p>
    <w:p w14:paraId="43604B95" w14:textId="77777777" w:rsidR="00255290" w:rsidRPr="002131ED" w:rsidRDefault="00255290" w:rsidP="00255290">
      <w:pPr>
        <w:pStyle w:val="BfRBBStandard"/>
        <w:rPr>
          <w:lang w:val="en-GB"/>
        </w:rPr>
      </w:pPr>
    </w:p>
    <w:p w14:paraId="60407A4E" w14:textId="77777777" w:rsidR="00255290" w:rsidRPr="002131ED" w:rsidRDefault="00255290" w:rsidP="00255290">
      <w:pPr>
        <w:pStyle w:val="BfRBBStandard"/>
        <w:rPr>
          <w:lang w:val="en-GB"/>
        </w:rPr>
      </w:pPr>
      <w:r w:rsidRPr="002131ED">
        <w:rPr>
          <w:lang w:val="en-GB"/>
        </w:rPr>
        <w:t xml:space="preserve">Date: </w:t>
      </w:r>
      <w:r>
        <w:rPr>
          <w:lang w:val="en-GB"/>
        </w:rPr>
        <w:t>26/07/2016</w:t>
      </w:r>
      <w:r w:rsidRPr="002131ED">
        <w:rPr>
          <w:lang w:val="en-GB"/>
        </w:rPr>
        <w:t xml:space="preserve"> </w:t>
      </w:r>
    </w:p>
    <w:p w14:paraId="24A0E0BF" w14:textId="77777777" w:rsidR="00255290" w:rsidRPr="002131ED" w:rsidRDefault="00255290" w:rsidP="00255290">
      <w:pPr>
        <w:pStyle w:val="BfRBBStandard"/>
        <w:rPr>
          <w:lang w:val="en-GB"/>
        </w:rPr>
      </w:pPr>
    </w:p>
    <w:tbl>
      <w:tblPr>
        <w:tblW w:w="9214" w:type="dxa"/>
        <w:tblLayout w:type="fixed"/>
        <w:tblLook w:val="0000" w:firstRow="0" w:lastRow="0" w:firstColumn="0" w:lastColumn="0" w:noHBand="0" w:noVBand="0"/>
      </w:tblPr>
      <w:tblGrid>
        <w:gridCol w:w="4395"/>
        <w:gridCol w:w="4819"/>
      </w:tblGrid>
      <w:tr w:rsidR="00255290" w:rsidRPr="002131ED" w14:paraId="4808E089" w14:textId="77777777" w:rsidTr="005D37EC">
        <w:tc>
          <w:tcPr>
            <w:tcW w:w="9214" w:type="dxa"/>
            <w:gridSpan w:val="2"/>
          </w:tcPr>
          <w:p w14:paraId="4ADAD421" w14:textId="77777777" w:rsidR="00255290" w:rsidRPr="002131ED" w:rsidRDefault="00255290" w:rsidP="005D37EC">
            <w:pPr>
              <w:pStyle w:val="BfRBBTitel"/>
              <w:ind w:left="3912" w:hanging="3912"/>
              <w:jc w:val="both"/>
              <w:rPr>
                <w:b w:val="0"/>
                <w:bCs w:val="0"/>
                <w:lang w:val="en-GB"/>
              </w:rPr>
            </w:pPr>
            <w:r w:rsidRPr="002131ED">
              <w:rPr>
                <w:bCs w:val="0"/>
                <w:snapToGrid w:val="0"/>
                <w:sz w:val="22"/>
                <w:szCs w:val="22"/>
                <w:lang w:val="en-GB"/>
              </w:rPr>
              <w:t>General information</w:t>
            </w:r>
          </w:p>
        </w:tc>
      </w:tr>
      <w:tr w:rsidR="00255290" w:rsidRPr="002131ED" w14:paraId="3BECC7F5" w14:textId="77777777" w:rsidTr="005D37EC">
        <w:tc>
          <w:tcPr>
            <w:tcW w:w="4395" w:type="dxa"/>
          </w:tcPr>
          <w:p w14:paraId="179ACCDA" w14:textId="77777777" w:rsidR="00255290" w:rsidRPr="002131ED" w:rsidRDefault="00255290" w:rsidP="005D37EC">
            <w:pPr>
              <w:pStyle w:val="BfRBBStandard"/>
              <w:rPr>
                <w:lang w:val="en-GB"/>
              </w:rPr>
            </w:pPr>
            <w:r w:rsidRPr="002131ED">
              <w:rPr>
                <w:lang w:val="en-GB"/>
              </w:rPr>
              <w:t>Formulation Type</w:t>
            </w:r>
          </w:p>
        </w:tc>
        <w:tc>
          <w:tcPr>
            <w:tcW w:w="4819" w:type="dxa"/>
          </w:tcPr>
          <w:p w14:paraId="28B17BF2" w14:textId="77777777" w:rsidR="00255290" w:rsidRPr="002131ED" w:rsidRDefault="00255290" w:rsidP="005D37EC">
            <w:pPr>
              <w:pStyle w:val="BfRBBStandard"/>
              <w:rPr>
                <w:lang w:val="en-GB"/>
              </w:rPr>
            </w:pPr>
            <w:r>
              <w:rPr>
                <w:lang w:val="en-GB"/>
              </w:rPr>
              <w:t>RTU</w:t>
            </w:r>
          </w:p>
        </w:tc>
      </w:tr>
      <w:tr w:rsidR="00255290" w:rsidRPr="002131ED" w14:paraId="5367AD14" w14:textId="77777777" w:rsidTr="005D37EC">
        <w:tc>
          <w:tcPr>
            <w:tcW w:w="4395" w:type="dxa"/>
          </w:tcPr>
          <w:p w14:paraId="05BFE211" w14:textId="77777777" w:rsidR="00255290" w:rsidRPr="002131ED" w:rsidRDefault="00255290" w:rsidP="005D37EC">
            <w:pPr>
              <w:pStyle w:val="BfRBBStandard"/>
              <w:rPr>
                <w:lang w:val="en-GB"/>
              </w:rPr>
            </w:pPr>
            <w:r w:rsidRPr="002131ED">
              <w:rPr>
                <w:lang w:val="en-GB"/>
              </w:rPr>
              <w:t>Active substance(s) (incl. content)</w:t>
            </w:r>
          </w:p>
        </w:tc>
        <w:tc>
          <w:tcPr>
            <w:tcW w:w="4819" w:type="dxa"/>
          </w:tcPr>
          <w:p w14:paraId="2D505468" w14:textId="1AC073C1" w:rsidR="00255290" w:rsidRDefault="00255290" w:rsidP="005D37EC">
            <w:pPr>
              <w:pStyle w:val="BfRBBStandard"/>
              <w:rPr>
                <w:lang w:val="en-GB"/>
              </w:rPr>
            </w:pPr>
            <w:r>
              <w:rPr>
                <w:lang w:val="en-GB"/>
              </w:rPr>
              <w:t>Cypermethrine 0.08%</w:t>
            </w:r>
          </w:p>
          <w:p w14:paraId="7DC2F664" w14:textId="64257BB8" w:rsidR="00255290" w:rsidRDefault="00255290" w:rsidP="005D37EC">
            <w:pPr>
              <w:pStyle w:val="BfRBBStandard"/>
              <w:rPr>
                <w:lang w:val="en-GB"/>
              </w:rPr>
            </w:pPr>
            <w:r>
              <w:rPr>
                <w:lang w:val="en-GB"/>
              </w:rPr>
              <w:t>Propiconazole 0.16%</w:t>
            </w:r>
          </w:p>
          <w:p w14:paraId="3B7347A6" w14:textId="77777777" w:rsidR="00255290" w:rsidRDefault="00255290" w:rsidP="005D37EC">
            <w:pPr>
              <w:pStyle w:val="BfRBBStandard"/>
              <w:rPr>
                <w:lang w:val="en-GB"/>
              </w:rPr>
            </w:pPr>
            <w:r>
              <w:rPr>
                <w:lang w:val="en-GB"/>
              </w:rPr>
              <w:t>Tebuconazole 0.05%</w:t>
            </w:r>
          </w:p>
          <w:p w14:paraId="509085BE" w14:textId="77777777" w:rsidR="00255290" w:rsidRPr="002131ED" w:rsidRDefault="00255290" w:rsidP="005D37EC">
            <w:pPr>
              <w:pStyle w:val="BfRBBStandard"/>
              <w:rPr>
                <w:lang w:val="en-GB"/>
              </w:rPr>
            </w:pPr>
            <w:r>
              <w:rPr>
                <w:lang w:val="en-GB"/>
              </w:rPr>
              <w:t>IPBC 0.05%</w:t>
            </w:r>
          </w:p>
        </w:tc>
      </w:tr>
    </w:tbl>
    <w:p w14:paraId="4B67B70D" w14:textId="77777777" w:rsidR="00255290" w:rsidRPr="002131ED" w:rsidRDefault="00255290" w:rsidP="00255290">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255290" w:rsidRPr="002131ED" w14:paraId="70099FDB" w14:textId="77777777" w:rsidTr="005D37EC">
        <w:trPr>
          <w:tblHeader/>
        </w:trPr>
        <w:tc>
          <w:tcPr>
            <w:tcW w:w="9214" w:type="dxa"/>
            <w:gridSpan w:val="5"/>
            <w:tcBorders>
              <w:top w:val="single" w:sz="12" w:space="0" w:color="000000"/>
              <w:left w:val="nil"/>
              <w:bottom w:val="single" w:sz="6" w:space="0" w:color="000000"/>
              <w:right w:val="nil"/>
            </w:tcBorders>
          </w:tcPr>
          <w:p w14:paraId="64E63EF1" w14:textId="77777777" w:rsidR="00255290" w:rsidRPr="002131ED" w:rsidRDefault="00255290" w:rsidP="005D37EC">
            <w:pPr>
              <w:pStyle w:val="BfRBBTitel"/>
              <w:ind w:left="2" w:hanging="2"/>
              <w:rPr>
                <w:bCs w:val="0"/>
                <w:snapToGrid w:val="0"/>
                <w:sz w:val="22"/>
                <w:szCs w:val="22"/>
                <w:lang w:val="en-GB"/>
              </w:rPr>
            </w:pPr>
            <w:r w:rsidRPr="002131ED">
              <w:rPr>
                <w:bCs w:val="0"/>
                <w:snapToGrid w:val="0"/>
                <w:sz w:val="22"/>
                <w:szCs w:val="22"/>
                <w:lang w:val="en-GB"/>
              </w:rPr>
              <w:lastRenderedPageBreak/>
              <w:t>Acute toxicity, irritancy and skin sensitisation of the preparation (Annex IIIB, point 6.1, 6.2, 6.3)</w:t>
            </w:r>
          </w:p>
        </w:tc>
      </w:tr>
      <w:tr w:rsidR="00255290" w:rsidRPr="002131ED" w14:paraId="3AAD50BB" w14:textId="77777777" w:rsidTr="005D37EC">
        <w:tc>
          <w:tcPr>
            <w:tcW w:w="4394" w:type="dxa"/>
            <w:tcBorders>
              <w:top w:val="nil"/>
              <w:left w:val="nil"/>
              <w:bottom w:val="nil"/>
              <w:right w:val="nil"/>
            </w:tcBorders>
          </w:tcPr>
          <w:p w14:paraId="3C467B83" w14:textId="77777777" w:rsidR="00255290" w:rsidRPr="002131ED" w:rsidRDefault="00255290" w:rsidP="005D37EC">
            <w:pPr>
              <w:pStyle w:val="BfRBBStandard"/>
              <w:rPr>
                <w:lang w:val="en-GB"/>
              </w:rPr>
            </w:pPr>
            <w:r w:rsidRPr="002131ED">
              <w:rPr>
                <w:lang w:val="en-GB"/>
              </w:rPr>
              <w:t>Rat LD50 oral (OECD 420)</w:t>
            </w:r>
          </w:p>
        </w:tc>
        <w:tc>
          <w:tcPr>
            <w:tcW w:w="3402" w:type="dxa"/>
            <w:tcBorders>
              <w:top w:val="nil"/>
              <w:left w:val="nil"/>
              <w:bottom w:val="nil"/>
              <w:right w:val="nil"/>
            </w:tcBorders>
          </w:tcPr>
          <w:p w14:paraId="76FD1A3E"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66E4AB91"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6D96BB01"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4A9113B1" w14:textId="77777777" w:rsidR="00255290" w:rsidRPr="002131ED" w:rsidRDefault="00255290" w:rsidP="005D37EC">
            <w:pPr>
              <w:pStyle w:val="BfRBBStandard"/>
              <w:rPr>
                <w:lang w:val="en-GB"/>
              </w:rPr>
            </w:pPr>
          </w:p>
        </w:tc>
      </w:tr>
      <w:tr w:rsidR="00255290" w:rsidRPr="002131ED" w14:paraId="60A04E88" w14:textId="77777777" w:rsidTr="005D37EC">
        <w:tc>
          <w:tcPr>
            <w:tcW w:w="4394" w:type="dxa"/>
            <w:tcBorders>
              <w:top w:val="nil"/>
              <w:left w:val="nil"/>
              <w:bottom w:val="nil"/>
              <w:right w:val="nil"/>
            </w:tcBorders>
          </w:tcPr>
          <w:p w14:paraId="25FEF133" w14:textId="77777777" w:rsidR="00255290" w:rsidRPr="002131ED" w:rsidRDefault="00255290" w:rsidP="005D37EC">
            <w:pPr>
              <w:pStyle w:val="BfRBBStandard"/>
              <w:rPr>
                <w:lang w:val="en-GB"/>
              </w:rPr>
            </w:pPr>
            <w:r w:rsidRPr="002131ED">
              <w:rPr>
                <w:lang w:val="en-GB"/>
              </w:rPr>
              <w:t>Rat LD50 dermal (OECD 402)</w:t>
            </w:r>
          </w:p>
        </w:tc>
        <w:tc>
          <w:tcPr>
            <w:tcW w:w="3402" w:type="dxa"/>
            <w:tcBorders>
              <w:top w:val="nil"/>
              <w:left w:val="nil"/>
              <w:bottom w:val="nil"/>
              <w:right w:val="nil"/>
            </w:tcBorders>
          </w:tcPr>
          <w:p w14:paraId="4077EE25"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53F7D942"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66568E51"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219EB55C" w14:textId="77777777" w:rsidR="00255290" w:rsidRPr="002131ED" w:rsidRDefault="00255290" w:rsidP="005D37EC">
            <w:pPr>
              <w:pStyle w:val="BfRBBStandard"/>
              <w:rPr>
                <w:lang w:val="en-GB"/>
              </w:rPr>
            </w:pPr>
          </w:p>
        </w:tc>
      </w:tr>
      <w:tr w:rsidR="00255290" w:rsidRPr="002131ED" w14:paraId="6255DF57" w14:textId="77777777" w:rsidTr="005D37EC">
        <w:tc>
          <w:tcPr>
            <w:tcW w:w="4394" w:type="dxa"/>
            <w:tcBorders>
              <w:top w:val="nil"/>
              <w:left w:val="nil"/>
              <w:bottom w:val="nil"/>
              <w:right w:val="nil"/>
            </w:tcBorders>
          </w:tcPr>
          <w:p w14:paraId="00F19585" w14:textId="77777777" w:rsidR="00255290" w:rsidRPr="002131ED" w:rsidRDefault="00255290" w:rsidP="005D37EC">
            <w:pPr>
              <w:pStyle w:val="BfRBBStandard"/>
              <w:rPr>
                <w:lang w:val="en-GB"/>
              </w:rPr>
            </w:pPr>
            <w:r w:rsidRPr="002131ED">
              <w:rPr>
                <w:lang w:val="en-GB"/>
              </w:rPr>
              <w:t>Rat LC50 inhalation (OECD 403)</w:t>
            </w:r>
          </w:p>
        </w:tc>
        <w:tc>
          <w:tcPr>
            <w:tcW w:w="3402" w:type="dxa"/>
            <w:tcBorders>
              <w:top w:val="nil"/>
              <w:left w:val="nil"/>
              <w:bottom w:val="nil"/>
              <w:right w:val="nil"/>
            </w:tcBorders>
          </w:tcPr>
          <w:p w14:paraId="4F01C830"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1269AE1C"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7B4930D9"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41E3FC61" w14:textId="77777777" w:rsidR="00255290" w:rsidRPr="002131ED" w:rsidRDefault="00255290" w:rsidP="005D37EC">
            <w:pPr>
              <w:pStyle w:val="BfRBBStandard"/>
              <w:rPr>
                <w:lang w:val="en-GB"/>
              </w:rPr>
            </w:pPr>
          </w:p>
        </w:tc>
      </w:tr>
      <w:tr w:rsidR="00255290" w:rsidRPr="002131ED" w14:paraId="46D600C3" w14:textId="77777777" w:rsidTr="005D37EC">
        <w:tc>
          <w:tcPr>
            <w:tcW w:w="4394" w:type="dxa"/>
            <w:tcBorders>
              <w:top w:val="nil"/>
              <w:left w:val="nil"/>
              <w:bottom w:val="nil"/>
              <w:right w:val="nil"/>
            </w:tcBorders>
          </w:tcPr>
          <w:p w14:paraId="1365FF19" w14:textId="77777777" w:rsidR="00255290" w:rsidRPr="002131ED" w:rsidRDefault="00255290" w:rsidP="005D37EC">
            <w:pPr>
              <w:pStyle w:val="BfRBBStandard"/>
              <w:rPr>
                <w:lang w:val="en-GB"/>
              </w:rPr>
            </w:pPr>
            <w:r w:rsidRPr="002131ED">
              <w:rPr>
                <w:lang w:val="en-GB"/>
              </w:rPr>
              <w:t>Skin irritation (OECD 404)</w:t>
            </w:r>
          </w:p>
        </w:tc>
        <w:tc>
          <w:tcPr>
            <w:tcW w:w="3402" w:type="dxa"/>
            <w:tcBorders>
              <w:top w:val="nil"/>
              <w:left w:val="nil"/>
              <w:bottom w:val="nil"/>
              <w:right w:val="nil"/>
            </w:tcBorders>
          </w:tcPr>
          <w:p w14:paraId="4AF82A8A"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2D84BC69"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583CDE89"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3232182B" w14:textId="77777777" w:rsidR="00255290" w:rsidRPr="002131ED" w:rsidRDefault="00255290" w:rsidP="005D37EC">
            <w:pPr>
              <w:pStyle w:val="BfRBBStandard"/>
              <w:rPr>
                <w:lang w:val="en-GB"/>
              </w:rPr>
            </w:pPr>
          </w:p>
        </w:tc>
      </w:tr>
      <w:tr w:rsidR="00255290" w:rsidRPr="002131ED" w14:paraId="7EEC3934" w14:textId="77777777" w:rsidTr="005D37EC">
        <w:tc>
          <w:tcPr>
            <w:tcW w:w="4394" w:type="dxa"/>
            <w:tcBorders>
              <w:top w:val="nil"/>
              <w:left w:val="nil"/>
              <w:bottom w:val="nil"/>
              <w:right w:val="nil"/>
            </w:tcBorders>
          </w:tcPr>
          <w:p w14:paraId="1AE81C33" w14:textId="77777777" w:rsidR="00255290" w:rsidRPr="002131ED" w:rsidRDefault="00255290" w:rsidP="005D37EC">
            <w:pPr>
              <w:pStyle w:val="BfRBBStandard"/>
              <w:rPr>
                <w:lang w:val="en-GB"/>
              </w:rPr>
            </w:pPr>
            <w:r w:rsidRPr="002131ED">
              <w:rPr>
                <w:lang w:val="en-GB"/>
              </w:rPr>
              <w:t>Eye irritation (OECD 405)</w:t>
            </w:r>
          </w:p>
        </w:tc>
        <w:tc>
          <w:tcPr>
            <w:tcW w:w="3402" w:type="dxa"/>
            <w:tcBorders>
              <w:top w:val="nil"/>
              <w:left w:val="nil"/>
              <w:bottom w:val="nil"/>
              <w:right w:val="nil"/>
            </w:tcBorders>
          </w:tcPr>
          <w:p w14:paraId="558E7E75"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5696359B"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5B9352C0"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3DDA689E" w14:textId="77777777" w:rsidR="00255290" w:rsidRPr="002131ED" w:rsidRDefault="00255290" w:rsidP="005D37EC">
            <w:pPr>
              <w:pStyle w:val="BfRBBStandard"/>
              <w:rPr>
                <w:lang w:val="en-GB"/>
              </w:rPr>
            </w:pPr>
          </w:p>
        </w:tc>
      </w:tr>
      <w:tr w:rsidR="00255290" w:rsidRPr="002131ED" w14:paraId="7E24A7CA" w14:textId="77777777" w:rsidTr="005D37EC">
        <w:tc>
          <w:tcPr>
            <w:tcW w:w="4394" w:type="dxa"/>
            <w:tcBorders>
              <w:top w:val="nil"/>
              <w:left w:val="nil"/>
              <w:bottom w:val="single" w:sz="12" w:space="0" w:color="000000"/>
              <w:right w:val="nil"/>
            </w:tcBorders>
          </w:tcPr>
          <w:p w14:paraId="475B8EDB" w14:textId="77777777" w:rsidR="00255290" w:rsidRPr="002131ED" w:rsidRDefault="00255290" w:rsidP="005D37EC">
            <w:pPr>
              <w:pStyle w:val="BfRBBStandard"/>
              <w:rPr>
                <w:lang w:val="en-GB"/>
              </w:rPr>
            </w:pPr>
            <w:r w:rsidRPr="002131ED">
              <w:rPr>
                <w:lang w:val="en-GB"/>
              </w:rPr>
              <w:t>Skin sensitisation (OECD 429; LLNA)</w:t>
            </w:r>
          </w:p>
        </w:tc>
        <w:tc>
          <w:tcPr>
            <w:tcW w:w="3402" w:type="dxa"/>
            <w:tcBorders>
              <w:top w:val="nil"/>
              <w:left w:val="nil"/>
              <w:bottom w:val="single" w:sz="12" w:space="0" w:color="000000"/>
              <w:right w:val="nil"/>
            </w:tcBorders>
          </w:tcPr>
          <w:p w14:paraId="1E8430EA" w14:textId="77777777" w:rsidR="00255290" w:rsidRPr="002131ED" w:rsidRDefault="00255290" w:rsidP="005D37EC">
            <w:pPr>
              <w:pStyle w:val="BfRBBStandard"/>
              <w:rPr>
                <w:lang w:val="en-GB"/>
              </w:rPr>
            </w:pPr>
            <w:r>
              <w:rPr>
                <w:lang w:val="en-GB"/>
              </w:rPr>
              <w:t>n.a</w:t>
            </w:r>
          </w:p>
        </w:tc>
        <w:tc>
          <w:tcPr>
            <w:tcW w:w="426" w:type="dxa"/>
            <w:tcBorders>
              <w:top w:val="nil"/>
              <w:left w:val="nil"/>
              <w:bottom w:val="single" w:sz="12" w:space="0" w:color="000000"/>
              <w:right w:val="nil"/>
            </w:tcBorders>
          </w:tcPr>
          <w:p w14:paraId="5055542D" w14:textId="77777777" w:rsidR="00255290" w:rsidRPr="002131ED" w:rsidRDefault="00255290" w:rsidP="005D37EC">
            <w:pPr>
              <w:pStyle w:val="BfRBBStandard"/>
              <w:rPr>
                <w:lang w:val="en-GB"/>
              </w:rPr>
            </w:pPr>
          </w:p>
        </w:tc>
        <w:tc>
          <w:tcPr>
            <w:tcW w:w="284" w:type="dxa"/>
            <w:tcBorders>
              <w:top w:val="nil"/>
              <w:left w:val="nil"/>
              <w:bottom w:val="single" w:sz="12" w:space="0" w:color="000000"/>
              <w:right w:val="nil"/>
            </w:tcBorders>
          </w:tcPr>
          <w:p w14:paraId="748B3403" w14:textId="77777777" w:rsidR="00255290" w:rsidRPr="002131ED" w:rsidRDefault="00255290" w:rsidP="005D37EC">
            <w:pPr>
              <w:pStyle w:val="BfRBBStandard"/>
              <w:rPr>
                <w:lang w:val="en-GB"/>
              </w:rPr>
            </w:pPr>
          </w:p>
        </w:tc>
        <w:tc>
          <w:tcPr>
            <w:tcW w:w="708" w:type="dxa"/>
            <w:tcBorders>
              <w:top w:val="nil"/>
              <w:left w:val="nil"/>
              <w:bottom w:val="single" w:sz="12" w:space="0" w:color="000000"/>
              <w:right w:val="nil"/>
            </w:tcBorders>
          </w:tcPr>
          <w:p w14:paraId="1B5745FC" w14:textId="77777777" w:rsidR="00255290" w:rsidRPr="002131ED" w:rsidRDefault="00255290" w:rsidP="005D37EC">
            <w:pPr>
              <w:pStyle w:val="BfRBBStandard"/>
              <w:rPr>
                <w:lang w:val="en-GB"/>
              </w:rPr>
            </w:pPr>
          </w:p>
        </w:tc>
      </w:tr>
    </w:tbl>
    <w:p w14:paraId="5F45E904" w14:textId="77777777" w:rsidR="00255290" w:rsidRPr="002131ED" w:rsidRDefault="00255290" w:rsidP="00255290">
      <w:pPr>
        <w:pStyle w:val="BfRBBTitel"/>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255290" w:rsidRPr="002131ED" w14:paraId="3285296F" w14:textId="77777777" w:rsidTr="005D37EC">
        <w:trPr>
          <w:tblHeader/>
        </w:trPr>
        <w:tc>
          <w:tcPr>
            <w:tcW w:w="9214" w:type="dxa"/>
            <w:gridSpan w:val="5"/>
            <w:tcBorders>
              <w:top w:val="single" w:sz="12" w:space="0" w:color="000000"/>
              <w:left w:val="nil"/>
              <w:bottom w:val="single" w:sz="6" w:space="0" w:color="000000"/>
              <w:right w:val="nil"/>
            </w:tcBorders>
          </w:tcPr>
          <w:p w14:paraId="18092961" w14:textId="77777777" w:rsidR="00255290" w:rsidRPr="002131ED" w:rsidRDefault="00255290" w:rsidP="005D37EC">
            <w:pPr>
              <w:pStyle w:val="BfRBBTitel"/>
              <w:ind w:left="2" w:hanging="2"/>
              <w:rPr>
                <w:b w:val="0"/>
                <w:bCs w:val="0"/>
                <w:lang w:val="en-GB"/>
              </w:rPr>
            </w:pPr>
            <w:r w:rsidRPr="002131ED">
              <w:rPr>
                <w:bCs w:val="0"/>
                <w:snapToGrid w:val="0"/>
                <w:sz w:val="22"/>
                <w:szCs w:val="22"/>
                <w:lang w:val="en-GB"/>
              </w:rPr>
              <w:t>Additional toxicological information (e.g. Annex IIIB, point 6.5, 6.7)</w:t>
            </w:r>
          </w:p>
        </w:tc>
      </w:tr>
      <w:tr w:rsidR="00255290" w:rsidRPr="002131ED" w14:paraId="23A45307" w14:textId="77777777" w:rsidTr="005D37EC">
        <w:tc>
          <w:tcPr>
            <w:tcW w:w="4394" w:type="dxa"/>
            <w:tcBorders>
              <w:top w:val="nil"/>
              <w:left w:val="nil"/>
              <w:bottom w:val="nil"/>
              <w:right w:val="nil"/>
            </w:tcBorders>
          </w:tcPr>
          <w:p w14:paraId="39934DD5" w14:textId="77777777" w:rsidR="00255290" w:rsidRPr="002131ED" w:rsidRDefault="00255290" w:rsidP="005D37EC">
            <w:pPr>
              <w:pStyle w:val="BfRBBStandard"/>
              <w:rPr>
                <w:lang w:val="en-GB"/>
              </w:rPr>
            </w:pPr>
            <w:r w:rsidRPr="002131ED">
              <w:rPr>
                <w:lang w:val="en-GB"/>
              </w:rPr>
              <w:t>Short-term toxicity studies</w:t>
            </w:r>
          </w:p>
        </w:tc>
        <w:tc>
          <w:tcPr>
            <w:tcW w:w="3402" w:type="dxa"/>
            <w:tcBorders>
              <w:top w:val="nil"/>
              <w:left w:val="nil"/>
              <w:bottom w:val="nil"/>
              <w:right w:val="nil"/>
            </w:tcBorders>
          </w:tcPr>
          <w:p w14:paraId="631DBB4B"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06A72110"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54AC1D1B"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69E57AC9" w14:textId="77777777" w:rsidR="00255290" w:rsidRPr="002131ED" w:rsidRDefault="00255290" w:rsidP="005D37EC">
            <w:pPr>
              <w:pStyle w:val="BfRBBStandard"/>
              <w:rPr>
                <w:lang w:val="en-GB"/>
              </w:rPr>
            </w:pPr>
          </w:p>
        </w:tc>
      </w:tr>
      <w:tr w:rsidR="00255290" w:rsidRPr="002131ED" w14:paraId="466B88F9" w14:textId="77777777" w:rsidTr="005D37EC">
        <w:tc>
          <w:tcPr>
            <w:tcW w:w="4394" w:type="dxa"/>
            <w:tcBorders>
              <w:top w:val="nil"/>
              <w:left w:val="nil"/>
              <w:bottom w:val="nil"/>
              <w:right w:val="nil"/>
            </w:tcBorders>
          </w:tcPr>
          <w:p w14:paraId="7211FD7F" w14:textId="77777777" w:rsidR="00255290" w:rsidRPr="002131ED" w:rsidRDefault="00255290" w:rsidP="005D37EC">
            <w:pPr>
              <w:pStyle w:val="BfRBBStandard"/>
              <w:rPr>
                <w:lang w:val="en-GB"/>
              </w:rPr>
            </w:pPr>
            <w:r w:rsidRPr="002131ED">
              <w:rPr>
                <w:lang w:val="en-GB"/>
              </w:rPr>
              <w:t>Toxicological data on active substance(s)</w:t>
            </w:r>
            <w:r w:rsidRPr="002131ED">
              <w:rPr>
                <w:lang w:val="en-GB"/>
              </w:rPr>
              <w:br/>
              <w:t>(not tested with the preparation)</w:t>
            </w:r>
          </w:p>
        </w:tc>
        <w:tc>
          <w:tcPr>
            <w:tcW w:w="3402" w:type="dxa"/>
            <w:tcBorders>
              <w:top w:val="nil"/>
              <w:left w:val="nil"/>
              <w:bottom w:val="nil"/>
              <w:right w:val="nil"/>
            </w:tcBorders>
          </w:tcPr>
          <w:p w14:paraId="3736D5B1"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4DB0B826"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0F956346"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710E2342" w14:textId="77777777" w:rsidR="00255290" w:rsidRPr="002131ED" w:rsidRDefault="00255290" w:rsidP="005D37EC">
            <w:pPr>
              <w:pStyle w:val="BfRBBStandard"/>
              <w:rPr>
                <w:lang w:val="en-GB"/>
              </w:rPr>
            </w:pPr>
          </w:p>
        </w:tc>
      </w:tr>
      <w:tr w:rsidR="00255290" w:rsidRPr="002131ED" w14:paraId="6C9E2A47" w14:textId="77777777" w:rsidTr="005D37EC">
        <w:tc>
          <w:tcPr>
            <w:tcW w:w="4394" w:type="dxa"/>
            <w:tcBorders>
              <w:top w:val="nil"/>
              <w:left w:val="nil"/>
              <w:bottom w:val="nil"/>
              <w:right w:val="nil"/>
            </w:tcBorders>
          </w:tcPr>
          <w:p w14:paraId="267284D0" w14:textId="77777777" w:rsidR="00255290" w:rsidRPr="002131ED" w:rsidRDefault="00255290" w:rsidP="005D37EC">
            <w:pPr>
              <w:pStyle w:val="BfRBBStandard"/>
              <w:rPr>
                <w:lang w:val="en-GB"/>
              </w:rPr>
            </w:pPr>
          </w:p>
        </w:tc>
        <w:tc>
          <w:tcPr>
            <w:tcW w:w="3402" w:type="dxa"/>
            <w:tcBorders>
              <w:top w:val="nil"/>
              <w:left w:val="nil"/>
              <w:bottom w:val="nil"/>
              <w:right w:val="nil"/>
            </w:tcBorders>
          </w:tcPr>
          <w:p w14:paraId="125DD690"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34FD123A"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6BB11296"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0322E454" w14:textId="77777777" w:rsidR="00255290" w:rsidRPr="002131ED" w:rsidRDefault="00255290" w:rsidP="005D37EC">
            <w:pPr>
              <w:pStyle w:val="BfRBBStandard"/>
              <w:rPr>
                <w:lang w:val="en-GB"/>
              </w:rPr>
            </w:pPr>
          </w:p>
        </w:tc>
      </w:tr>
      <w:tr w:rsidR="00255290" w:rsidRPr="002131ED" w14:paraId="0F668D09" w14:textId="77777777" w:rsidTr="005D37EC">
        <w:tc>
          <w:tcPr>
            <w:tcW w:w="4394" w:type="dxa"/>
            <w:tcBorders>
              <w:top w:val="nil"/>
              <w:left w:val="nil"/>
              <w:bottom w:val="nil"/>
              <w:right w:val="nil"/>
            </w:tcBorders>
          </w:tcPr>
          <w:p w14:paraId="0AC8D5BE" w14:textId="77777777" w:rsidR="00255290" w:rsidRPr="002131ED" w:rsidRDefault="00255290" w:rsidP="005D37EC">
            <w:pPr>
              <w:pStyle w:val="BfRBBStandard"/>
              <w:rPr>
                <w:lang w:val="en-GB"/>
              </w:rPr>
            </w:pPr>
            <w:r w:rsidRPr="002131ED">
              <w:rPr>
                <w:lang w:val="en-GB"/>
              </w:rPr>
              <w:t>Toxicological data on non-active substance(s)</w:t>
            </w:r>
            <w:r w:rsidRPr="002131ED">
              <w:rPr>
                <w:lang w:val="en-GB"/>
              </w:rPr>
              <w:br/>
              <w:t>(not tested with the preparation)</w:t>
            </w:r>
          </w:p>
        </w:tc>
        <w:tc>
          <w:tcPr>
            <w:tcW w:w="3402" w:type="dxa"/>
            <w:tcBorders>
              <w:top w:val="nil"/>
              <w:left w:val="nil"/>
              <w:bottom w:val="nil"/>
              <w:right w:val="nil"/>
            </w:tcBorders>
          </w:tcPr>
          <w:p w14:paraId="55BC8C73"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3D64FAFC"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65FD5BE7"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43BB9C43" w14:textId="77777777" w:rsidR="00255290" w:rsidRPr="002131ED" w:rsidRDefault="00255290" w:rsidP="005D37EC">
            <w:pPr>
              <w:pStyle w:val="BfRBBStandard"/>
              <w:rPr>
                <w:lang w:val="en-GB"/>
              </w:rPr>
            </w:pPr>
          </w:p>
        </w:tc>
      </w:tr>
      <w:tr w:rsidR="00255290" w:rsidRPr="002131ED" w14:paraId="63C74674" w14:textId="77777777" w:rsidTr="005D37EC">
        <w:tc>
          <w:tcPr>
            <w:tcW w:w="4394" w:type="dxa"/>
            <w:tcBorders>
              <w:top w:val="nil"/>
              <w:left w:val="nil"/>
              <w:bottom w:val="nil"/>
              <w:right w:val="nil"/>
            </w:tcBorders>
          </w:tcPr>
          <w:p w14:paraId="6C3D4BD0" w14:textId="77777777" w:rsidR="00255290" w:rsidRPr="002131ED" w:rsidRDefault="00255290" w:rsidP="005D37EC">
            <w:pPr>
              <w:pStyle w:val="BfRBBStandard"/>
              <w:rPr>
                <w:lang w:val="en-GB"/>
              </w:rPr>
            </w:pPr>
          </w:p>
        </w:tc>
        <w:tc>
          <w:tcPr>
            <w:tcW w:w="3402" w:type="dxa"/>
            <w:tcBorders>
              <w:top w:val="nil"/>
              <w:left w:val="nil"/>
              <w:bottom w:val="nil"/>
              <w:right w:val="nil"/>
            </w:tcBorders>
          </w:tcPr>
          <w:p w14:paraId="06925796"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3736D40F"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4D7210A0"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2BF4A76A" w14:textId="77777777" w:rsidR="00255290" w:rsidRPr="002131ED" w:rsidRDefault="00255290" w:rsidP="005D37EC">
            <w:pPr>
              <w:pStyle w:val="BfRBBStandard"/>
              <w:rPr>
                <w:lang w:val="en-GB"/>
              </w:rPr>
            </w:pPr>
          </w:p>
        </w:tc>
      </w:tr>
      <w:tr w:rsidR="00255290" w:rsidRPr="002131ED" w14:paraId="444D3F79" w14:textId="77777777" w:rsidTr="005D37EC">
        <w:tc>
          <w:tcPr>
            <w:tcW w:w="4394" w:type="dxa"/>
            <w:tcBorders>
              <w:top w:val="nil"/>
              <w:left w:val="nil"/>
              <w:bottom w:val="single" w:sz="12" w:space="0" w:color="000000"/>
              <w:right w:val="nil"/>
            </w:tcBorders>
          </w:tcPr>
          <w:p w14:paraId="6EE6ABC6" w14:textId="77777777" w:rsidR="00255290" w:rsidRPr="002131ED" w:rsidRDefault="00255290" w:rsidP="005D37EC">
            <w:pPr>
              <w:pStyle w:val="BfRBBStandard"/>
              <w:rPr>
                <w:lang w:val="en-GB"/>
              </w:rPr>
            </w:pPr>
            <w:r w:rsidRPr="002131ED">
              <w:rPr>
                <w:lang w:val="en-GB"/>
              </w:rPr>
              <w:t>Further toxicological information</w:t>
            </w:r>
          </w:p>
        </w:tc>
        <w:tc>
          <w:tcPr>
            <w:tcW w:w="4820" w:type="dxa"/>
            <w:gridSpan w:val="4"/>
            <w:tcBorders>
              <w:top w:val="nil"/>
              <w:left w:val="nil"/>
              <w:bottom w:val="single" w:sz="12" w:space="0" w:color="000000"/>
              <w:right w:val="nil"/>
            </w:tcBorders>
          </w:tcPr>
          <w:p w14:paraId="2258D0C1" w14:textId="77777777" w:rsidR="00255290" w:rsidRPr="002131ED" w:rsidRDefault="00255290" w:rsidP="005D37EC">
            <w:pPr>
              <w:pStyle w:val="BfRBBStandard"/>
              <w:rPr>
                <w:lang w:val="en-GB"/>
              </w:rPr>
            </w:pPr>
            <w:r>
              <w:rPr>
                <w:lang w:val="en-GB"/>
              </w:rPr>
              <w:t>n.a</w:t>
            </w:r>
          </w:p>
        </w:tc>
      </w:tr>
    </w:tbl>
    <w:p w14:paraId="6288EA1C" w14:textId="77777777" w:rsidR="00255290" w:rsidRPr="002131ED" w:rsidRDefault="00255290" w:rsidP="00255290">
      <w:pPr>
        <w:pStyle w:val="BfRBBTitel"/>
        <w:rPr>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255290" w:rsidRPr="002131ED" w14:paraId="01848C8A" w14:textId="77777777" w:rsidTr="005D37EC">
        <w:tc>
          <w:tcPr>
            <w:tcW w:w="9284" w:type="dxa"/>
            <w:gridSpan w:val="2"/>
            <w:tcBorders>
              <w:top w:val="single" w:sz="12" w:space="0" w:color="auto"/>
            </w:tcBorders>
          </w:tcPr>
          <w:p w14:paraId="398A1641" w14:textId="77777777" w:rsidR="00255290" w:rsidRPr="002131ED" w:rsidRDefault="00255290" w:rsidP="005D37EC">
            <w:pPr>
              <w:pStyle w:val="BfRBBTitel"/>
              <w:ind w:left="2" w:hanging="2"/>
              <w:rPr>
                <w:b w:val="0"/>
                <w:bCs w:val="0"/>
                <w:lang w:val="en-GB"/>
              </w:rPr>
            </w:pPr>
            <w:r w:rsidRPr="002131ED">
              <w:rPr>
                <w:bCs w:val="0"/>
                <w:snapToGrid w:val="0"/>
                <w:sz w:val="22"/>
                <w:szCs w:val="22"/>
                <w:lang w:val="en-GB"/>
              </w:rPr>
              <w:t>Classification and labelling proposed for the preparation with regard to toxicological properties (Annex IIIB, point 9)</w:t>
            </w:r>
          </w:p>
        </w:tc>
      </w:tr>
      <w:tr w:rsidR="00255290" w:rsidRPr="002131ED" w14:paraId="3EFB5126" w14:textId="77777777" w:rsidTr="005D37EC">
        <w:tc>
          <w:tcPr>
            <w:tcW w:w="4395" w:type="dxa"/>
            <w:tcBorders>
              <w:bottom w:val="single" w:sz="12" w:space="0" w:color="auto"/>
            </w:tcBorders>
          </w:tcPr>
          <w:p w14:paraId="55104434" w14:textId="77777777" w:rsidR="00255290" w:rsidRPr="002131ED" w:rsidRDefault="00255290" w:rsidP="005D37EC">
            <w:pPr>
              <w:pStyle w:val="BfRBBStandard"/>
              <w:rPr>
                <w:sz w:val="20"/>
                <w:szCs w:val="20"/>
                <w:lang w:val="en-GB"/>
              </w:rPr>
            </w:pPr>
            <w:r w:rsidRPr="002131ED">
              <w:rPr>
                <w:sz w:val="20"/>
                <w:szCs w:val="20"/>
                <w:lang w:val="en-GB"/>
              </w:rPr>
              <w:t>Regulation 1272/2008/EC</w:t>
            </w:r>
          </w:p>
          <w:p w14:paraId="6C154FF6" w14:textId="77777777" w:rsidR="00255290" w:rsidRPr="002131ED" w:rsidRDefault="00255290" w:rsidP="005D37EC">
            <w:pPr>
              <w:pStyle w:val="BfRBBStandard"/>
              <w:rPr>
                <w:sz w:val="20"/>
                <w:szCs w:val="20"/>
                <w:lang w:val="en-GB"/>
              </w:rPr>
            </w:pPr>
          </w:p>
        </w:tc>
        <w:tc>
          <w:tcPr>
            <w:tcW w:w="4889" w:type="dxa"/>
            <w:tcBorders>
              <w:bottom w:val="single" w:sz="12" w:space="0" w:color="auto"/>
            </w:tcBorders>
          </w:tcPr>
          <w:p w14:paraId="08A98A34" w14:textId="77777777" w:rsidR="00255290" w:rsidRPr="00AF797B" w:rsidRDefault="00255290" w:rsidP="005D37EC">
            <w:pPr>
              <w:pStyle w:val="BfRBBStandard"/>
              <w:rPr>
                <w:sz w:val="20"/>
                <w:szCs w:val="20"/>
                <w:lang w:val="en-GB" w:eastAsia="sv-SE"/>
              </w:rPr>
            </w:pPr>
            <w:r w:rsidRPr="00AF797B">
              <w:rPr>
                <w:sz w:val="20"/>
                <w:szCs w:val="20"/>
                <w:lang w:val="en-GB" w:eastAsia="sv-SE"/>
              </w:rPr>
              <w:t>Asp Tox Cat 1 - H304: May be fatal if swallowed and enters airways.</w:t>
            </w:r>
          </w:p>
          <w:p w14:paraId="6B27ADDA" w14:textId="77777777" w:rsidR="00255290" w:rsidRDefault="00255290" w:rsidP="005D37EC">
            <w:pPr>
              <w:rPr>
                <w:rFonts w:ascii="Arial" w:hAnsi="Arial" w:cs="Arial"/>
              </w:rPr>
            </w:pPr>
            <w:r>
              <w:rPr>
                <w:rFonts w:ascii="Arial" w:hAnsi="Arial" w:cs="Arial"/>
              </w:rPr>
              <w:t xml:space="preserve">EUH 066: </w:t>
            </w:r>
            <w:r w:rsidRPr="00FB35C4">
              <w:rPr>
                <w:rFonts w:ascii="Arial" w:hAnsi="Arial" w:cs="Arial"/>
              </w:rPr>
              <w:t>Repeated exposure may cause skin dryness or cracking</w:t>
            </w:r>
          </w:p>
          <w:p w14:paraId="6C45708A" w14:textId="77777777" w:rsidR="00255290" w:rsidRPr="004C1738" w:rsidRDefault="00255290" w:rsidP="005D37EC">
            <w:pPr>
              <w:rPr>
                <w:rFonts w:ascii="Arial" w:hAnsi="Arial" w:cs="Arial"/>
              </w:rPr>
            </w:pPr>
            <w:r>
              <w:rPr>
                <w:rFonts w:ascii="Arial" w:hAnsi="Arial" w:cs="Arial"/>
              </w:rPr>
              <w:t>EUH 208</w:t>
            </w:r>
            <w:r>
              <w:t xml:space="preserve">: </w:t>
            </w:r>
            <w:r w:rsidRPr="00FB35C4">
              <w:rPr>
                <w:rFonts w:ascii="Arial" w:hAnsi="Arial" w:cs="Arial"/>
              </w:rPr>
              <w:t>Contains propiconazole. May produce an allergic reactio</w:t>
            </w:r>
            <w:r>
              <w:rPr>
                <w:rFonts w:ascii="Arial" w:hAnsi="Arial" w:cs="Arial"/>
              </w:rPr>
              <w:t>n</w:t>
            </w:r>
          </w:p>
        </w:tc>
      </w:tr>
    </w:tbl>
    <w:p w14:paraId="4A64F1C0" w14:textId="77777777" w:rsidR="00255290" w:rsidRPr="002131ED" w:rsidRDefault="00255290" w:rsidP="00255290">
      <w:pPr>
        <w:pStyle w:val="BfRBBTitel"/>
        <w:ind w:firstLine="708"/>
        <w:rPr>
          <w:lang w:val="en-GB"/>
        </w:rPr>
      </w:pPr>
    </w:p>
    <w:p w14:paraId="1D9B2F83" w14:textId="77777777" w:rsidR="00255290" w:rsidRDefault="00255290">
      <w:pPr>
        <w:suppressAutoHyphens w:val="0"/>
        <w:jc w:val="left"/>
        <w:rPr>
          <w:rFonts w:ascii="Times New Roman" w:hAnsi="Times New Roman" w:cs="Times New Roman"/>
        </w:rPr>
      </w:pPr>
      <w:r>
        <w:br w:type="page"/>
      </w:r>
    </w:p>
    <w:p w14:paraId="657A897B" w14:textId="77777777" w:rsidR="00255290" w:rsidRPr="00255290" w:rsidRDefault="00255290" w:rsidP="003012CB">
      <w:pPr>
        <w:pStyle w:val="Absatz"/>
        <w:ind w:left="0"/>
      </w:pPr>
    </w:p>
    <w:p w14:paraId="28F92C2C" w14:textId="4CDFADE6" w:rsidR="00255290" w:rsidRPr="00255290" w:rsidRDefault="00255290" w:rsidP="003012CB">
      <w:pPr>
        <w:pStyle w:val="Absatz"/>
        <w:ind w:left="0"/>
        <w:rPr>
          <w:rFonts w:ascii="Verdana" w:hAnsi="Verdana"/>
          <w:b/>
          <w:snapToGrid w:val="0"/>
          <w:sz w:val="24"/>
          <w:szCs w:val="24"/>
          <w:u w:val="single"/>
        </w:rPr>
      </w:pPr>
      <w:r w:rsidRPr="00255290">
        <w:rPr>
          <w:rFonts w:ascii="Verdana" w:hAnsi="Verdana"/>
          <w:b/>
          <w:snapToGrid w:val="0"/>
          <w:sz w:val="24"/>
          <w:szCs w:val="24"/>
          <w:u w:val="single"/>
        </w:rPr>
        <w:t>Safety for professional operators</w:t>
      </w:r>
    </w:p>
    <w:p w14:paraId="7A204A74" w14:textId="77777777" w:rsidR="003012CB" w:rsidRPr="00EC0D24" w:rsidRDefault="003012CB" w:rsidP="003012CB">
      <w:pPr>
        <w:pStyle w:val="Absatz"/>
        <w:ind w:left="0"/>
        <w:rPr>
          <w:lang w:val="de-DE"/>
        </w:rPr>
      </w:pPr>
    </w:p>
    <w:p w14:paraId="43D5465E" w14:textId="77777777" w:rsidR="00255290" w:rsidRPr="002131ED" w:rsidRDefault="00255290" w:rsidP="00255290">
      <w:pPr>
        <w:pStyle w:val="BfRBBTitel"/>
        <w:ind w:firstLine="708"/>
        <w:rPr>
          <w:b w:val="0"/>
          <w:bCs w:val="0"/>
          <w:sz w:val="22"/>
          <w:szCs w:val="22"/>
          <w:lang w:val="en-GB"/>
        </w:rPr>
      </w:pPr>
    </w:p>
    <w:p w14:paraId="67F9524C" w14:textId="77777777" w:rsidR="00255290" w:rsidRPr="002131ED" w:rsidRDefault="00255290" w:rsidP="00255290">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X6122B1</w:t>
      </w:r>
      <w:r w:rsidRPr="002131ED">
        <w:rPr>
          <w:lang w:val="en-GB"/>
        </w:rPr>
        <w:t>&gt;</w:t>
      </w:r>
    </w:p>
    <w:p w14:paraId="62D718C1" w14:textId="77777777" w:rsidR="00255290" w:rsidRPr="002131ED" w:rsidRDefault="00255290" w:rsidP="00255290">
      <w:pPr>
        <w:pStyle w:val="BfRBBStandard"/>
        <w:jc w:val="left"/>
        <w:rPr>
          <w:lang w:val="en-GB"/>
        </w:rPr>
      </w:pPr>
    </w:p>
    <w:p w14:paraId="70DD9A92" w14:textId="77777777" w:rsidR="00255290" w:rsidRPr="002131ED" w:rsidRDefault="00255290" w:rsidP="00255290">
      <w:pPr>
        <w:pStyle w:val="BfRBBTitel"/>
        <w:jc w:val="left"/>
        <w:rPr>
          <w:lang w:val="en-GB"/>
        </w:rPr>
      </w:pPr>
    </w:p>
    <w:p w14:paraId="007FD9EA" w14:textId="77777777" w:rsidR="00255290" w:rsidRPr="002131ED" w:rsidRDefault="00255290" w:rsidP="00255290">
      <w:pPr>
        <w:pStyle w:val="BfRBBTitel"/>
        <w:jc w:val="left"/>
        <w:rPr>
          <w:snapToGrid w:val="0"/>
          <w:sz w:val="22"/>
          <w:szCs w:val="22"/>
          <w:lang w:val="en-GB"/>
        </w:rPr>
      </w:pPr>
      <w:r w:rsidRPr="002131ED">
        <w:rPr>
          <w:snapToGrid w:val="0"/>
          <w:sz w:val="22"/>
          <w:szCs w:val="22"/>
          <w:lang w:val="en-GB"/>
        </w:rPr>
        <w:t>Exposure assessment</w:t>
      </w:r>
    </w:p>
    <w:p w14:paraId="43D797AF" w14:textId="77777777" w:rsidR="00255290" w:rsidRDefault="00255290" w:rsidP="00255290">
      <w:pPr>
        <w:pStyle w:val="BfRBBTitel"/>
        <w:jc w:val="left"/>
        <w:rPr>
          <w:lang w:val="en-GB"/>
        </w:rPr>
      </w:pPr>
    </w:p>
    <w:p w14:paraId="40E2FED3" w14:textId="77777777" w:rsidR="00255290" w:rsidRPr="002131ED" w:rsidRDefault="00255290" w:rsidP="00255290">
      <w:pPr>
        <w:pStyle w:val="BfRBBTitel"/>
        <w:jc w:val="left"/>
        <w:rPr>
          <w:b w:val="0"/>
          <w:sz w:val="20"/>
          <w:szCs w:val="20"/>
          <w:lang w:val="en-GB"/>
        </w:rPr>
      </w:pPr>
    </w:p>
    <w:p w14:paraId="5F56B952" w14:textId="77777777" w:rsidR="00255290" w:rsidRDefault="00255290" w:rsidP="00255290">
      <w:pPr>
        <w:pStyle w:val="BfRBBTitel"/>
        <w:jc w:val="left"/>
        <w:rPr>
          <w:snapToGrid w:val="0"/>
          <w:sz w:val="22"/>
          <w:szCs w:val="22"/>
          <w:lang w:val="en-GB"/>
        </w:rPr>
      </w:pPr>
      <w:r w:rsidRPr="00E40EE9">
        <w:rPr>
          <w:snapToGrid w:val="0"/>
          <w:sz w:val="22"/>
          <w:szCs w:val="22"/>
          <w:lang w:val="en-GB"/>
        </w:rPr>
        <w:t>Risk assessment</w:t>
      </w:r>
    </w:p>
    <w:p w14:paraId="1D10625F" w14:textId="77777777" w:rsidR="00255290" w:rsidRDefault="00255290" w:rsidP="00255290">
      <w:pPr>
        <w:pStyle w:val="BfRBBTitel"/>
        <w:jc w:val="left"/>
        <w:rPr>
          <w:snapToGrid w:val="0"/>
          <w:sz w:val="22"/>
          <w:szCs w:val="22"/>
          <w:lang w:val="en-GB"/>
        </w:rPr>
      </w:pPr>
    </w:p>
    <w:p w14:paraId="189A995A" w14:textId="77777777" w:rsidR="00255290" w:rsidRDefault="00255290" w:rsidP="00255290">
      <w:pPr>
        <w:pStyle w:val="BfRBBTitel"/>
        <w:ind w:firstLine="708"/>
        <w:jc w:val="left"/>
        <w:rPr>
          <w:bCs w:val="0"/>
          <w:sz w:val="20"/>
          <w:szCs w:val="22"/>
          <w:lang w:val="en-GB"/>
        </w:rPr>
      </w:pPr>
    </w:p>
    <w:p w14:paraId="7DF9C611" w14:textId="3F5236AA" w:rsidR="00255290" w:rsidRDefault="00255290" w:rsidP="00255290">
      <w:pPr>
        <w:pStyle w:val="BfRBBTitel"/>
        <w:jc w:val="left"/>
        <w:rPr>
          <w:b w:val="0"/>
          <w:bCs w:val="0"/>
          <w:sz w:val="22"/>
          <w:szCs w:val="22"/>
          <w:lang w:val="en-GB"/>
        </w:rPr>
      </w:pPr>
      <w:r>
        <w:rPr>
          <w:b w:val="0"/>
          <w:bCs w:val="0"/>
          <w:sz w:val="22"/>
          <w:szCs w:val="22"/>
          <w:lang w:val="en-GB"/>
        </w:rPr>
        <w:t xml:space="preserve">Please refer to the professional Excel data sheet </w:t>
      </w:r>
    </w:p>
    <w:p w14:paraId="5007EA67" w14:textId="23CA39F8" w:rsidR="00D73925" w:rsidRDefault="00D73925" w:rsidP="00255290">
      <w:pPr>
        <w:pStyle w:val="BfRBBTitel"/>
        <w:jc w:val="left"/>
        <w:rPr>
          <w:b w:val="0"/>
          <w:bCs w:val="0"/>
          <w:sz w:val="22"/>
          <w:szCs w:val="22"/>
          <w:lang w:val="en-GB"/>
        </w:rPr>
      </w:pPr>
    </w:p>
    <w:bookmarkStart w:id="175" w:name="_MON_1617021564"/>
    <w:bookmarkEnd w:id="175"/>
    <w:p w14:paraId="201EB2DE" w14:textId="65CEA07B" w:rsidR="00D73925" w:rsidRDefault="00D73925" w:rsidP="00255290">
      <w:pPr>
        <w:pStyle w:val="BfRBBTitel"/>
        <w:jc w:val="left"/>
        <w:rPr>
          <w:b w:val="0"/>
          <w:bCs w:val="0"/>
          <w:sz w:val="22"/>
          <w:szCs w:val="22"/>
          <w:lang w:val="en-GB"/>
        </w:rPr>
      </w:pPr>
      <w:r>
        <w:rPr>
          <w:b w:val="0"/>
          <w:bCs w:val="0"/>
          <w:sz w:val="22"/>
          <w:szCs w:val="22"/>
          <w:lang w:val="en-GB"/>
        </w:rPr>
        <w:object w:dxaOrig="1518" w:dyaOrig="989" w14:anchorId="610BCF3D">
          <v:shape id="_x0000_i1026" type="#_x0000_t75" style="width:76.5pt;height:49.5pt" o:ole="">
            <v:imagedata r:id="rId23" o:title=""/>
          </v:shape>
          <o:OLEObject Type="Embed" ProgID="Excel.Sheet.12" ShapeID="_x0000_i1026" DrawAspect="Icon" ObjectID="_1617025612" r:id="rId24"/>
        </w:object>
      </w:r>
      <w:r>
        <w:rPr>
          <w:b w:val="0"/>
          <w:bCs w:val="0"/>
          <w:sz w:val="22"/>
          <w:szCs w:val="22"/>
          <w:lang w:val="en-GB"/>
        </w:rPr>
        <w:t xml:space="preserve">  </w:t>
      </w:r>
      <w:bookmarkStart w:id="176" w:name="_MON_1617021610"/>
      <w:bookmarkEnd w:id="176"/>
      <w:r>
        <w:rPr>
          <w:b w:val="0"/>
          <w:bCs w:val="0"/>
          <w:sz w:val="22"/>
          <w:szCs w:val="22"/>
          <w:lang w:val="en-GB"/>
        </w:rPr>
        <w:object w:dxaOrig="1518" w:dyaOrig="989" w14:anchorId="27B46A68">
          <v:shape id="_x0000_i1027" type="#_x0000_t75" style="width:76.5pt;height:49.5pt" o:ole="">
            <v:imagedata r:id="rId25" o:title=""/>
          </v:shape>
          <o:OLEObject Type="Embed" ProgID="Excel.Sheet.8" ShapeID="_x0000_i1027" DrawAspect="Icon" ObjectID="_1617025613" r:id="rId26"/>
        </w:object>
      </w:r>
    </w:p>
    <w:p w14:paraId="7230791A" w14:textId="77777777" w:rsidR="00255290" w:rsidRPr="00255290" w:rsidRDefault="00255290" w:rsidP="003012CB">
      <w:pPr>
        <w:pStyle w:val="Absatz"/>
        <w:ind w:left="0"/>
      </w:pPr>
    </w:p>
    <w:p w14:paraId="48A2CF42" w14:textId="77777777" w:rsidR="00255290" w:rsidRPr="00EC0D24" w:rsidRDefault="00255290" w:rsidP="003012CB">
      <w:pPr>
        <w:pStyle w:val="Absatz"/>
        <w:ind w:left="0"/>
        <w:rPr>
          <w:lang w:val="de-DE"/>
        </w:rPr>
      </w:pPr>
    </w:p>
    <w:p w14:paraId="28F5F7B6" w14:textId="77777777" w:rsidR="00255290" w:rsidRPr="00255290" w:rsidRDefault="00255290" w:rsidP="003012CB">
      <w:pPr>
        <w:pStyle w:val="Absatz"/>
        <w:ind w:left="0"/>
        <w:rPr>
          <w:rFonts w:ascii="Verdana" w:hAnsi="Verdana"/>
          <w:b/>
          <w:snapToGrid w:val="0"/>
          <w:sz w:val="24"/>
          <w:szCs w:val="24"/>
          <w:u w:val="single"/>
        </w:rPr>
      </w:pPr>
      <w:r w:rsidRPr="00255290">
        <w:rPr>
          <w:rFonts w:ascii="Verdana" w:hAnsi="Verdana"/>
          <w:b/>
          <w:snapToGrid w:val="0"/>
          <w:sz w:val="24"/>
          <w:szCs w:val="24"/>
          <w:u w:val="single"/>
        </w:rPr>
        <w:t>Safety for non-professional operators and the general public</w:t>
      </w:r>
    </w:p>
    <w:p w14:paraId="7F2CC7B2" w14:textId="77777777" w:rsidR="00255290" w:rsidRPr="008551C7" w:rsidRDefault="00255290" w:rsidP="003012CB">
      <w:pPr>
        <w:pStyle w:val="Absatz"/>
        <w:ind w:left="0"/>
        <w:rPr>
          <w:lang w:val="en-US"/>
        </w:rPr>
      </w:pPr>
    </w:p>
    <w:p w14:paraId="73F5FBE9" w14:textId="77777777" w:rsidR="00255290" w:rsidRPr="008551C7" w:rsidRDefault="00255290" w:rsidP="003012CB">
      <w:pPr>
        <w:pStyle w:val="Absatz"/>
        <w:ind w:left="0"/>
        <w:rPr>
          <w:lang w:val="en-US"/>
        </w:rPr>
      </w:pPr>
    </w:p>
    <w:p w14:paraId="3ECE0A69" w14:textId="77777777" w:rsidR="00491B22" w:rsidRPr="002131ED" w:rsidRDefault="00491B22" w:rsidP="00491B22">
      <w:pPr>
        <w:pStyle w:val="BfRBBTitel"/>
        <w:ind w:firstLine="708"/>
        <w:rPr>
          <w:snapToGrid w:val="0"/>
          <w:lang w:val="en-GB"/>
        </w:rPr>
      </w:pPr>
    </w:p>
    <w:p w14:paraId="01724639" w14:textId="77777777" w:rsidR="00491B22" w:rsidRPr="002131ED" w:rsidRDefault="00491B22" w:rsidP="00491B22">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X6122B1</w:t>
      </w:r>
      <w:r w:rsidRPr="002131ED">
        <w:rPr>
          <w:lang w:val="en-GB"/>
        </w:rPr>
        <w:t>&gt;</w:t>
      </w:r>
    </w:p>
    <w:p w14:paraId="17FCB7A6" w14:textId="77777777" w:rsidR="00491B22" w:rsidRPr="007C3662" w:rsidRDefault="00491B22" w:rsidP="00491B22">
      <w:pPr>
        <w:pStyle w:val="BfRBBStandard"/>
      </w:pPr>
    </w:p>
    <w:p w14:paraId="551E24F6" w14:textId="77777777" w:rsidR="00491B22" w:rsidRPr="002131ED" w:rsidRDefault="00491B22" w:rsidP="00491B22">
      <w:pPr>
        <w:pStyle w:val="BfRBBTitel"/>
        <w:jc w:val="left"/>
        <w:rPr>
          <w:snapToGrid w:val="0"/>
          <w:sz w:val="22"/>
          <w:szCs w:val="22"/>
          <w:lang w:val="en-GB"/>
        </w:rPr>
      </w:pPr>
      <w:r w:rsidRPr="002131ED">
        <w:rPr>
          <w:snapToGrid w:val="0"/>
          <w:sz w:val="22"/>
          <w:szCs w:val="22"/>
          <w:lang w:val="en-GB"/>
        </w:rPr>
        <w:t>Exposure assessment</w:t>
      </w:r>
    </w:p>
    <w:p w14:paraId="007CC58E" w14:textId="77777777" w:rsidR="00491B22" w:rsidRDefault="00491B22" w:rsidP="00491B22">
      <w:pPr>
        <w:pStyle w:val="BfRBBTitel"/>
        <w:jc w:val="left"/>
        <w:rPr>
          <w:lang w:val="en-GB"/>
        </w:rPr>
      </w:pPr>
    </w:p>
    <w:p w14:paraId="4DB37BA7" w14:textId="77777777" w:rsidR="00491B22" w:rsidRPr="002131ED" w:rsidRDefault="00491B22" w:rsidP="00491B22">
      <w:pPr>
        <w:pStyle w:val="BfRBBTitel"/>
        <w:jc w:val="left"/>
        <w:rPr>
          <w:b w:val="0"/>
          <w:sz w:val="20"/>
          <w:szCs w:val="20"/>
          <w:lang w:val="en-GB"/>
        </w:rPr>
      </w:pPr>
    </w:p>
    <w:p w14:paraId="799B8FCE" w14:textId="77777777" w:rsidR="00491B22" w:rsidRDefault="00491B22" w:rsidP="00491B22">
      <w:pPr>
        <w:pStyle w:val="BfRBBTitel"/>
        <w:jc w:val="left"/>
        <w:rPr>
          <w:snapToGrid w:val="0"/>
          <w:sz w:val="22"/>
          <w:szCs w:val="22"/>
          <w:lang w:val="en-GB"/>
        </w:rPr>
      </w:pPr>
      <w:r w:rsidRPr="00E40EE9">
        <w:rPr>
          <w:snapToGrid w:val="0"/>
          <w:sz w:val="22"/>
          <w:szCs w:val="22"/>
          <w:lang w:val="en-GB"/>
        </w:rPr>
        <w:t>Risk assessment</w:t>
      </w:r>
    </w:p>
    <w:p w14:paraId="5FE8CAD8" w14:textId="77777777" w:rsidR="00491B22" w:rsidRDefault="00491B22" w:rsidP="00491B22">
      <w:pPr>
        <w:pStyle w:val="BfRBBTitel"/>
        <w:jc w:val="left"/>
        <w:rPr>
          <w:snapToGrid w:val="0"/>
          <w:sz w:val="22"/>
          <w:szCs w:val="22"/>
          <w:lang w:val="en-GB"/>
        </w:rPr>
      </w:pPr>
    </w:p>
    <w:p w14:paraId="00BAA7CD" w14:textId="77777777" w:rsidR="00491B22" w:rsidRDefault="00491B22" w:rsidP="00491B22">
      <w:pPr>
        <w:pStyle w:val="BfRBBTitel"/>
        <w:ind w:firstLine="708"/>
        <w:jc w:val="left"/>
        <w:rPr>
          <w:bCs w:val="0"/>
          <w:sz w:val="20"/>
          <w:szCs w:val="22"/>
          <w:lang w:val="en-GB"/>
        </w:rPr>
      </w:pPr>
    </w:p>
    <w:p w14:paraId="13C40318" w14:textId="2005006D" w:rsidR="00255290" w:rsidRDefault="00491B22" w:rsidP="00491B22">
      <w:pPr>
        <w:pStyle w:val="Absatz"/>
        <w:ind w:left="0"/>
        <w:jc w:val="left"/>
        <w:rPr>
          <w:sz w:val="22"/>
          <w:szCs w:val="22"/>
        </w:rPr>
      </w:pPr>
      <w:r>
        <w:rPr>
          <w:sz w:val="22"/>
          <w:szCs w:val="22"/>
        </w:rPr>
        <w:t xml:space="preserve">Please refer to the non professional Excel data sheets </w:t>
      </w:r>
    </w:p>
    <w:p w14:paraId="7AEE1C1A" w14:textId="584AD479" w:rsidR="00D73925" w:rsidRDefault="00D73925" w:rsidP="00491B22">
      <w:pPr>
        <w:pStyle w:val="Absatz"/>
        <w:ind w:left="0"/>
        <w:jc w:val="left"/>
        <w:rPr>
          <w:sz w:val="22"/>
          <w:szCs w:val="22"/>
        </w:rPr>
      </w:pPr>
    </w:p>
    <w:p w14:paraId="49C60BEF" w14:textId="5EA6C93D" w:rsidR="00D73925" w:rsidRPr="00491B22" w:rsidRDefault="00D73925" w:rsidP="00491B22">
      <w:pPr>
        <w:pStyle w:val="Absatz"/>
        <w:ind w:left="0"/>
        <w:jc w:val="left"/>
        <w:rPr>
          <w:lang w:val="sv-SE"/>
        </w:rPr>
      </w:pPr>
      <w:r>
        <w:rPr>
          <w:lang w:val="sv-SE"/>
        </w:rPr>
        <w:object w:dxaOrig="1518" w:dyaOrig="989" w14:anchorId="0D08F5CF">
          <v:shape id="_x0000_i1028" type="#_x0000_t75" style="width:76.5pt;height:49.5pt" o:ole="">
            <v:imagedata r:id="rId27" o:title=""/>
          </v:shape>
          <o:OLEObject Type="Embed" ProgID="Excel.Sheet.12" ShapeID="_x0000_i1028" DrawAspect="Icon" ObjectID="_1617025614" r:id="rId28"/>
        </w:object>
      </w:r>
      <w:r>
        <w:rPr>
          <w:lang w:val="sv-SE"/>
        </w:rPr>
        <w:t xml:space="preserve">  </w:t>
      </w:r>
      <w:r>
        <w:rPr>
          <w:lang w:val="sv-SE"/>
        </w:rPr>
        <w:object w:dxaOrig="1518" w:dyaOrig="989" w14:anchorId="3F830120">
          <v:shape id="_x0000_i1029" type="#_x0000_t75" style="width:76.5pt;height:49.5pt" o:ole="">
            <v:imagedata r:id="rId29" o:title=""/>
          </v:shape>
          <o:OLEObject Type="Embed" ProgID="Excel.Sheet.8" ShapeID="_x0000_i1029" DrawAspect="Icon" ObjectID="_1617025615" r:id="rId30"/>
        </w:object>
      </w:r>
    </w:p>
    <w:p w14:paraId="61B77C38" w14:textId="77777777" w:rsidR="00255290" w:rsidRPr="008551C7" w:rsidRDefault="00255290" w:rsidP="003012CB">
      <w:pPr>
        <w:pStyle w:val="Absatz"/>
        <w:ind w:left="0"/>
        <w:rPr>
          <w:lang w:val="en-US"/>
        </w:rPr>
      </w:pPr>
    </w:p>
    <w:p w14:paraId="57256724" w14:textId="77777777" w:rsidR="00491B22" w:rsidRPr="008551C7" w:rsidRDefault="00491B22" w:rsidP="003012CB">
      <w:pPr>
        <w:pStyle w:val="Absatz"/>
        <w:ind w:left="0"/>
        <w:rPr>
          <w:lang w:val="en-US"/>
        </w:rPr>
      </w:pPr>
    </w:p>
    <w:p w14:paraId="50F2BCB9" w14:textId="77777777" w:rsidR="00491B22" w:rsidRPr="008551C7" w:rsidRDefault="00491B22" w:rsidP="003012CB">
      <w:pPr>
        <w:pStyle w:val="Absatz"/>
        <w:ind w:left="0"/>
        <w:rPr>
          <w:lang w:val="en-US"/>
        </w:rPr>
      </w:pPr>
    </w:p>
    <w:p w14:paraId="0B3EED96" w14:textId="77777777" w:rsidR="00491B22" w:rsidRPr="008551C7" w:rsidRDefault="00491B22" w:rsidP="003012CB">
      <w:pPr>
        <w:pStyle w:val="Absatz"/>
        <w:ind w:left="0"/>
        <w:rPr>
          <w:lang w:val="en-US"/>
        </w:rPr>
      </w:pPr>
    </w:p>
    <w:p w14:paraId="082D47F2" w14:textId="77777777" w:rsidR="00491B22" w:rsidRPr="008551C7" w:rsidRDefault="00491B22" w:rsidP="003012CB">
      <w:pPr>
        <w:pStyle w:val="Absatz"/>
        <w:ind w:left="0"/>
        <w:rPr>
          <w:lang w:val="en-US"/>
        </w:rPr>
      </w:pPr>
    </w:p>
    <w:sectPr w:rsidR="00491B22" w:rsidRPr="008551C7">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910C" w14:textId="77777777" w:rsidR="009B7448" w:rsidRDefault="009B7448">
      <w:r>
        <w:separator/>
      </w:r>
    </w:p>
  </w:endnote>
  <w:endnote w:type="continuationSeparator" w:id="0">
    <w:p w14:paraId="69CA06F4" w14:textId="77777777" w:rsidR="009B7448" w:rsidRDefault="009B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006953"/>
      <w:docPartObj>
        <w:docPartGallery w:val="Page Numbers (Bottom of Page)"/>
        <w:docPartUnique/>
      </w:docPartObj>
    </w:sdtPr>
    <w:sdtEndPr>
      <w:rPr>
        <w:rFonts w:ascii="Verdana" w:hAnsi="Verdana"/>
      </w:rPr>
    </w:sdtEndPr>
    <w:sdtContent>
      <w:p w14:paraId="6A05EB5A" w14:textId="057F00D0" w:rsidR="009B7448" w:rsidRPr="00806B1E" w:rsidRDefault="009B7448">
        <w:pPr>
          <w:pStyle w:val="Pieddepage"/>
          <w:jc w:val="right"/>
          <w:rPr>
            <w:rFonts w:ascii="Verdana" w:hAnsi="Verdana"/>
          </w:rPr>
        </w:pPr>
        <w:r w:rsidRPr="00806B1E">
          <w:rPr>
            <w:rFonts w:ascii="Verdana" w:hAnsi="Verdana" w:cs="Arial"/>
          </w:rPr>
          <w:fldChar w:fldCharType="begin"/>
        </w:r>
        <w:r w:rsidRPr="00806B1E">
          <w:rPr>
            <w:rFonts w:ascii="Verdana" w:hAnsi="Verdana" w:cs="Arial"/>
          </w:rPr>
          <w:instrText xml:space="preserve"> PAGE   \* MERGEFORMAT </w:instrText>
        </w:r>
        <w:r w:rsidRPr="00806B1E">
          <w:rPr>
            <w:rFonts w:ascii="Verdana" w:hAnsi="Verdana" w:cs="Arial"/>
          </w:rPr>
          <w:fldChar w:fldCharType="separate"/>
        </w:r>
        <w:r w:rsidR="00112DD6">
          <w:rPr>
            <w:rFonts w:ascii="Verdana" w:hAnsi="Verdana" w:cs="Arial"/>
            <w:noProof/>
          </w:rPr>
          <w:t>8</w:t>
        </w:r>
        <w:r w:rsidRPr="00806B1E">
          <w:rPr>
            <w:rFonts w:ascii="Verdana" w:hAnsi="Verdana"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E398D" w14:textId="77777777" w:rsidR="009B7448" w:rsidRDefault="009B7448">
      <w:r>
        <w:separator/>
      </w:r>
    </w:p>
  </w:footnote>
  <w:footnote w:type="continuationSeparator" w:id="0">
    <w:p w14:paraId="1496AD5E" w14:textId="77777777" w:rsidR="009B7448" w:rsidRDefault="009B7448">
      <w:r>
        <w:continuationSeparator/>
      </w:r>
    </w:p>
  </w:footnote>
  <w:footnote w:id="1">
    <w:p w14:paraId="6087BA1F" w14:textId="77777777" w:rsidR="009B7448" w:rsidRDefault="009B7448">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2">
    <w:p w14:paraId="40765B9D" w14:textId="77777777" w:rsidR="009B7448" w:rsidRDefault="009B7448" w:rsidP="00293AFD">
      <w:pPr>
        <w:pStyle w:val="Notedebasdepage"/>
        <w:ind w:right="284"/>
        <w:rPr>
          <w:rFonts w:ascii="Arial" w:hAnsi="Arial" w:cs="Arial"/>
          <w:sz w:val="18"/>
          <w:szCs w:val="18"/>
        </w:rPr>
      </w:pPr>
      <w:r>
        <w:rPr>
          <w:rStyle w:val="Appelnotedebasdep"/>
        </w:rPr>
        <w:footnoteRef/>
      </w:r>
      <w:r>
        <w:t xml:space="preserve"> </w:t>
      </w:r>
      <w:r>
        <w:rPr>
          <w:rFonts w:ascii="Arial" w:hAnsi="Arial" w:cs="Arial"/>
          <w:sz w:val="18"/>
          <w:szCs w:val="18"/>
        </w:rPr>
        <w:t xml:space="preserve">Committee for Risk Assessment RAC Opinion proposing harmonised classification and labelling at EU level of propiconazole CLH-O-0000001412-86-139/F Adopted 9 December 2016. </w:t>
      </w:r>
    </w:p>
    <w:p w14:paraId="4946248D" w14:textId="77777777" w:rsidR="009B7448" w:rsidRDefault="00112DD6" w:rsidP="00694973">
      <w:hyperlink r:id="rId1" w:history="1">
        <w:r w:rsidR="009B7448" w:rsidRPr="00FB5AD6">
          <w:rPr>
            <w:rStyle w:val="Lienhypertexte"/>
          </w:rPr>
          <w:t>https://echa.europa.eu/documents/10162/723fe08d-2ec7-105b-51aa-05064bd91ac3</w:t>
        </w:r>
      </w:hyperlink>
    </w:p>
    <w:p w14:paraId="17A5678F" w14:textId="52D125DD" w:rsidR="009B7448" w:rsidRPr="000D2353" w:rsidRDefault="009B7448" w:rsidP="00293AFD">
      <w:pPr>
        <w:pStyle w:val="Notedebasdepage"/>
      </w:pPr>
    </w:p>
  </w:footnote>
  <w:footnote w:id="3">
    <w:p w14:paraId="1E32F75C" w14:textId="77777777" w:rsidR="009B7448" w:rsidRPr="00153CFB" w:rsidRDefault="009B7448" w:rsidP="00ED312B">
      <w:pPr>
        <w:pStyle w:val="Notedebasdepage"/>
        <w:rPr>
          <w:sz w:val="16"/>
          <w:lang w:val="en-US"/>
        </w:rPr>
      </w:pPr>
      <w:r>
        <w:rPr>
          <w:rStyle w:val="Appelnotedebasdep"/>
        </w:rPr>
        <w:footnoteRef/>
      </w:r>
      <w:r w:rsidRPr="00153CFB">
        <w:rPr>
          <w:lang w:val="en-US"/>
        </w:rPr>
        <w:t xml:space="preserve"> </w:t>
      </w:r>
      <w:r w:rsidRPr="00153CFB">
        <w:rPr>
          <w:sz w:val="16"/>
          <w:lang w:val="en-US"/>
        </w:rPr>
        <w:t xml:space="preserve">Wood preservatives – </w:t>
      </w:r>
      <w:r>
        <w:rPr>
          <w:sz w:val="16"/>
          <w:lang w:val="en-US"/>
        </w:rPr>
        <w:t>Test method for determining the protective effectiveness against wood destroying basidiomycetes – Determination of the toxic values</w:t>
      </w:r>
    </w:p>
  </w:footnote>
  <w:footnote w:id="4">
    <w:p w14:paraId="24484DDB" w14:textId="6E70A1B5" w:rsidR="009B7448" w:rsidRPr="004C1D97" w:rsidRDefault="009B7448" w:rsidP="00ED312B">
      <w:pPr>
        <w:pStyle w:val="Notedebasdepage"/>
        <w:rPr>
          <w:lang w:val="en-US"/>
        </w:rPr>
      </w:pPr>
      <w:r>
        <w:rPr>
          <w:rStyle w:val="Appelnotedebasdep"/>
        </w:rPr>
        <w:footnoteRef/>
      </w:r>
      <w:r w:rsidRPr="00153CFB">
        <w:rPr>
          <w:lang w:val="en-US"/>
        </w:rPr>
        <w:t xml:space="preserve"> </w:t>
      </w:r>
      <w:r w:rsidRPr="00153CFB">
        <w:rPr>
          <w:sz w:val="16"/>
          <w:lang w:val="en-US"/>
        </w:rPr>
        <w:t>Wood preservatives – Accelerated-ageing tests of treated wood prior biological testing – Evaporative ageing procedure.</w:t>
      </w:r>
    </w:p>
  </w:footnote>
  <w:footnote w:id="5">
    <w:p w14:paraId="04DF7E57" w14:textId="77777777" w:rsidR="009B7448" w:rsidRPr="004C1D97" w:rsidRDefault="009B7448" w:rsidP="00ED312B">
      <w:pPr>
        <w:pStyle w:val="Notedebasdepage"/>
        <w:rPr>
          <w:lang w:val="en-US"/>
        </w:rPr>
      </w:pPr>
      <w:r>
        <w:rPr>
          <w:rStyle w:val="Appelnotedebasdep"/>
        </w:rPr>
        <w:footnoteRef/>
      </w:r>
      <w:r w:rsidRPr="00153CFB">
        <w:rPr>
          <w:lang w:val="en-US"/>
        </w:rPr>
        <w:t xml:space="preserve"> </w:t>
      </w:r>
      <w:r w:rsidRPr="00153CFB">
        <w:rPr>
          <w:sz w:val="16"/>
          <w:lang w:val="en-US"/>
        </w:rPr>
        <w:t xml:space="preserve">Wood preservatives – Accelerated ageing tests of treated wood prior biological testing – </w:t>
      </w:r>
      <w:r>
        <w:rPr>
          <w:sz w:val="16"/>
          <w:lang w:val="en-US"/>
        </w:rPr>
        <w:t xml:space="preserve">leaching </w:t>
      </w:r>
      <w:r w:rsidRPr="00153CFB">
        <w:rPr>
          <w:sz w:val="16"/>
          <w:lang w:val="en-US"/>
        </w:rPr>
        <w:t>procedure.</w:t>
      </w:r>
    </w:p>
  </w:footnote>
  <w:footnote w:id="6">
    <w:p w14:paraId="0CFE706D" w14:textId="77777777" w:rsidR="009B7448" w:rsidRPr="00153CFB" w:rsidRDefault="009B7448" w:rsidP="00ED312B">
      <w:pPr>
        <w:pStyle w:val="Notedebasdepage"/>
        <w:rPr>
          <w:sz w:val="16"/>
          <w:lang w:val="en-US"/>
        </w:rPr>
      </w:pPr>
      <w:r>
        <w:rPr>
          <w:rStyle w:val="Appelnotedebasdep"/>
        </w:rPr>
        <w:footnoteRef/>
      </w:r>
      <w:r w:rsidRPr="00153CFB">
        <w:rPr>
          <w:lang w:val="en-US"/>
        </w:rPr>
        <w:t xml:space="preserve"> </w:t>
      </w:r>
      <w:r w:rsidRPr="00153CFB">
        <w:rPr>
          <w:sz w:val="16"/>
          <w:lang w:val="en-US"/>
        </w:rPr>
        <w:t xml:space="preserve">Wood preservatives – Determination of preventive action against </w:t>
      </w:r>
      <w:r w:rsidRPr="00153CFB">
        <w:rPr>
          <w:i/>
          <w:sz w:val="16"/>
          <w:lang w:val="en-US"/>
        </w:rPr>
        <w:t>Reticulitermes</w:t>
      </w:r>
      <w:r w:rsidRPr="00153CFB">
        <w:rPr>
          <w:sz w:val="16"/>
          <w:lang w:val="en-US"/>
        </w:rPr>
        <w:t xml:space="preserve"> species (European termites) (Laboratory method)</w:t>
      </w:r>
    </w:p>
  </w:footnote>
  <w:footnote w:id="7">
    <w:p w14:paraId="182BCE81" w14:textId="71F88EDE" w:rsidR="009B7448" w:rsidRPr="00153CFB" w:rsidRDefault="009B7448" w:rsidP="00ED312B">
      <w:pPr>
        <w:pStyle w:val="Notedebasdepage"/>
        <w:rPr>
          <w:lang w:val="en-US"/>
        </w:rPr>
      </w:pPr>
      <w:r>
        <w:rPr>
          <w:rStyle w:val="Appelnotedebasdep"/>
        </w:rPr>
        <w:footnoteRef/>
      </w:r>
      <w:r w:rsidRPr="00153CFB">
        <w:rPr>
          <w:lang w:val="en-US"/>
        </w:rPr>
        <w:t xml:space="preserve"> </w:t>
      </w:r>
      <w:r w:rsidRPr="00153CFB">
        <w:rPr>
          <w:sz w:val="16"/>
          <w:lang w:val="en-US"/>
        </w:rPr>
        <w:t xml:space="preserve">Wood preservatives – Determination of the preventive action against </w:t>
      </w:r>
      <w:r w:rsidRPr="00153CFB">
        <w:rPr>
          <w:i/>
          <w:sz w:val="16"/>
          <w:lang w:val="en-US"/>
        </w:rPr>
        <w:t>Hylotrupes bajulus (Linnaeus)</w:t>
      </w:r>
      <w:r w:rsidRPr="00153CFB">
        <w:rPr>
          <w:sz w:val="16"/>
          <w:lang w:val="en-US"/>
        </w:rPr>
        <w:t xml:space="preserve"> – Part 1: Larvicidal effect (Laboratory method).</w:t>
      </w:r>
    </w:p>
  </w:footnote>
  <w:footnote w:id="8">
    <w:p w14:paraId="639DFA96" w14:textId="77777777" w:rsidR="009B7448" w:rsidRPr="00153CFB" w:rsidRDefault="009B7448" w:rsidP="00ED312B">
      <w:pPr>
        <w:pStyle w:val="Notedebasdepage"/>
        <w:rPr>
          <w:lang w:val="en-US"/>
        </w:rPr>
      </w:pPr>
      <w:r>
        <w:rPr>
          <w:rStyle w:val="Appelnotedebasdep"/>
        </w:rPr>
        <w:footnoteRef/>
      </w:r>
      <w:r w:rsidRPr="00153CFB">
        <w:rPr>
          <w:lang w:val="en-US"/>
        </w:rPr>
        <w:t xml:space="preserve"> </w:t>
      </w:r>
      <w:r w:rsidRPr="00153CFB">
        <w:rPr>
          <w:sz w:val="16"/>
          <w:lang w:val="en-US"/>
        </w:rPr>
        <w:t xml:space="preserve">Wood preservatives – Determination of the protective effectiveness against </w:t>
      </w:r>
      <w:r w:rsidRPr="00153CFB">
        <w:rPr>
          <w:i/>
          <w:sz w:val="16"/>
          <w:lang w:val="en-US"/>
        </w:rPr>
        <w:t>Anobium punctatum (De geer)</w:t>
      </w:r>
      <w:r w:rsidRPr="00153CFB">
        <w:rPr>
          <w:sz w:val="16"/>
          <w:lang w:val="en-US"/>
        </w:rPr>
        <w:t xml:space="preserve"> – Part 1: Application by surface treatment (Laboratory method).</w:t>
      </w:r>
    </w:p>
  </w:footnote>
  <w:footnote w:id="9">
    <w:p w14:paraId="3EA33086" w14:textId="77777777" w:rsidR="009B7448" w:rsidRPr="00153CFB" w:rsidRDefault="009B7448" w:rsidP="00ED312B">
      <w:pPr>
        <w:pStyle w:val="Notedebasdepage"/>
        <w:rPr>
          <w:lang w:val="en-US"/>
        </w:rPr>
      </w:pPr>
      <w:r>
        <w:rPr>
          <w:rStyle w:val="Appelnotedebasdep"/>
        </w:rPr>
        <w:footnoteRef/>
      </w:r>
      <w:r w:rsidRPr="00153CFB">
        <w:rPr>
          <w:lang w:val="en-US"/>
        </w:rPr>
        <w:t xml:space="preserve"> </w:t>
      </w:r>
      <w:r w:rsidRPr="00153CFB">
        <w:rPr>
          <w:sz w:val="16"/>
          <w:lang w:val="en-US"/>
        </w:rPr>
        <w:t xml:space="preserve">Wood preservatives – Determination of the protective effectiveness against </w:t>
      </w:r>
      <w:r w:rsidRPr="00153CFB">
        <w:rPr>
          <w:i/>
          <w:sz w:val="16"/>
          <w:lang w:val="en-US"/>
        </w:rPr>
        <w:t>Lyctus brunneus (Stephens)</w:t>
      </w:r>
      <w:r w:rsidRPr="00153CFB">
        <w:rPr>
          <w:sz w:val="16"/>
          <w:lang w:val="en-US"/>
        </w:rPr>
        <w:t xml:space="preserve"> – Part 1: Application by surface treatment (laboratory method).</w:t>
      </w:r>
    </w:p>
  </w:footnote>
  <w:footnote w:id="10">
    <w:p w14:paraId="15894AF7" w14:textId="77777777" w:rsidR="009B7448" w:rsidRPr="00153CFB" w:rsidRDefault="009B7448" w:rsidP="00ED312B">
      <w:pPr>
        <w:pStyle w:val="Notedebasdepage"/>
        <w:rPr>
          <w:sz w:val="16"/>
          <w:lang w:val="en-US"/>
        </w:rPr>
      </w:pPr>
      <w:r>
        <w:rPr>
          <w:rStyle w:val="Appelnotedebasdep"/>
        </w:rPr>
        <w:footnoteRef/>
      </w:r>
      <w:r w:rsidRPr="00153CFB">
        <w:rPr>
          <w:lang w:val="en-US"/>
        </w:rPr>
        <w:t xml:space="preserve"> </w:t>
      </w:r>
      <w:r w:rsidRPr="00153CFB">
        <w:rPr>
          <w:sz w:val="16"/>
          <w:lang w:val="en-US"/>
        </w:rPr>
        <w:t xml:space="preserve">Wood preservatives – Determination of the eradicant action against </w:t>
      </w:r>
      <w:r w:rsidRPr="00153CFB">
        <w:rPr>
          <w:i/>
          <w:sz w:val="16"/>
          <w:lang w:val="en-US"/>
        </w:rPr>
        <w:t>Hylotrupes bajulus (Linnaeus)</w:t>
      </w:r>
    </w:p>
  </w:footnote>
  <w:footnote w:id="11">
    <w:p w14:paraId="4F0DA7BE" w14:textId="77777777" w:rsidR="009B7448" w:rsidRPr="00153CFB" w:rsidRDefault="009B7448" w:rsidP="00ED312B">
      <w:pPr>
        <w:pStyle w:val="Notedebasdepage"/>
        <w:rPr>
          <w:sz w:val="16"/>
          <w:lang w:val="en-US"/>
        </w:rPr>
      </w:pPr>
      <w:r>
        <w:rPr>
          <w:rStyle w:val="Appelnotedebasdep"/>
        </w:rPr>
        <w:footnoteRef/>
      </w:r>
      <w:r w:rsidRPr="00153CFB">
        <w:rPr>
          <w:lang w:val="en-US"/>
        </w:rPr>
        <w:t xml:space="preserve"> </w:t>
      </w:r>
      <w:r w:rsidRPr="00153CFB">
        <w:rPr>
          <w:sz w:val="16"/>
          <w:lang w:val="en-US"/>
        </w:rPr>
        <w:t xml:space="preserve">Wood preservatives – Determination of the eradicant action against </w:t>
      </w:r>
      <w:r w:rsidRPr="00153CFB">
        <w:rPr>
          <w:i/>
          <w:sz w:val="16"/>
          <w:lang w:val="en-US"/>
        </w:rPr>
        <w:t>larvae of Anobium punctatum (De geer) (Laboratory method)</w:t>
      </w:r>
    </w:p>
  </w:footnote>
  <w:footnote w:id="12">
    <w:p w14:paraId="59E8FED6" w14:textId="77777777" w:rsidR="009B7448" w:rsidRPr="003F0D9D" w:rsidRDefault="009B7448" w:rsidP="00C14677">
      <w:pPr>
        <w:pStyle w:val="Notedebasdepage"/>
        <w:rPr>
          <w:sz w:val="16"/>
          <w:lang w:val="en-US"/>
        </w:rPr>
      </w:pPr>
      <w:r>
        <w:rPr>
          <w:rStyle w:val="Appelnotedebasdep"/>
        </w:rPr>
        <w:footnoteRef/>
      </w:r>
      <w:r w:rsidRPr="003F0D9D">
        <w:rPr>
          <w:lang w:val="en-US"/>
        </w:rPr>
        <w:t xml:space="preserve"> </w:t>
      </w:r>
      <w:r w:rsidRPr="003F0D9D">
        <w:rPr>
          <w:sz w:val="16"/>
          <w:lang w:val="en-US"/>
        </w:rPr>
        <w:t>Durability of wood and wood-based products – Efficacy of preventive wood preservatives as determined by biological tests – Part 1: Specification according to use class.</w:t>
      </w:r>
    </w:p>
  </w:footnote>
  <w:footnote w:id="13">
    <w:p w14:paraId="5A853746" w14:textId="77777777" w:rsidR="009B7448" w:rsidRPr="002A5501" w:rsidRDefault="009B7448" w:rsidP="00C14677">
      <w:pPr>
        <w:pStyle w:val="Notedebasdepage"/>
        <w:rPr>
          <w:lang w:val="en-US"/>
        </w:rPr>
      </w:pPr>
      <w:r w:rsidRPr="00C50222">
        <w:rPr>
          <w:sz w:val="16"/>
        </w:rPr>
        <w:footnoteRef/>
      </w:r>
      <w:r w:rsidRPr="002A5501">
        <w:rPr>
          <w:sz w:val="16"/>
          <w:lang w:val="en-US"/>
        </w:rPr>
        <w:t xml:space="preserve"> Performance criteria for curative wood preservatives as determined by biological tests (2004)</w:t>
      </w:r>
    </w:p>
  </w:footnote>
  <w:footnote w:id="14">
    <w:p w14:paraId="1DF0DD77" w14:textId="3E6EB939" w:rsidR="009B7448" w:rsidRPr="00A3296C" w:rsidRDefault="009B7448" w:rsidP="00363C14">
      <w:pPr>
        <w:rPr>
          <w:rFonts w:cs="Arial"/>
        </w:rPr>
      </w:pPr>
      <w:r>
        <w:rPr>
          <w:rStyle w:val="Appelnotedebasdep"/>
        </w:rPr>
        <w:footnoteRef/>
      </w:r>
      <w:r>
        <w:t xml:space="preserve"> </w:t>
      </w:r>
      <w:r w:rsidRPr="00A3296C">
        <w:rPr>
          <w:rFonts w:cs="Arial"/>
        </w:rPr>
        <w:t>For Propiconazole several CARs exist (for PT 7, 8 and 9</w:t>
      </w:r>
      <w:r>
        <w:rPr>
          <w:rFonts w:cs="Arial"/>
        </w:rPr>
        <w:t>)</w:t>
      </w:r>
      <w:r w:rsidRPr="00A3296C">
        <w:rPr>
          <w:rFonts w:cs="Arial"/>
        </w:rPr>
        <w:t>.</w:t>
      </w:r>
      <w:r w:rsidRPr="00363C14">
        <w:rPr>
          <w:sz w:val="18"/>
          <w:szCs w:val="18"/>
          <w:lang w:eastAsia="en-GB"/>
        </w:rPr>
        <w:t xml:space="preserve"> </w:t>
      </w:r>
      <w:r w:rsidRPr="00BD4FD4">
        <w:rPr>
          <w:sz w:val="18"/>
          <w:szCs w:val="18"/>
          <w:lang w:eastAsia="en-GB"/>
        </w:rPr>
        <w:t xml:space="preserve">The CAR for PT 8 does not include a long-term AEL, this was found in the more recent PT </w:t>
      </w:r>
      <w:r>
        <w:rPr>
          <w:sz w:val="18"/>
          <w:szCs w:val="18"/>
          <w:lang w:eastAsia="en-GB"/>
        </w:rPr>
        <w:t>9</w:t>
      </w:r>
      <w:r w:rsidRPr="00BD4FD4">
        <w:rPr>
          <w:sz w:val="18"/>
          <w:szCs w:val="18"/>
          <w:lang w:eastAsia="en-GB"/>
        </w:rPr>
        <w:t xml:space="preserve"> CAR.</w:t>
      </w:r>
    </w:p>
    <w:p w14:paraId="26BC79FA" w14:textId="455BF297" w:rsidR="009B7448" w:rsidRPr="00B7552D" w:rsidRDefault="009B7448">
      <w:pPr>
        <w:pStyle w:val="Notedebasdepage"/>
        <w:rPr>
          <w:lang w:val="en-US"/>
        </w:rPr>
      </w:pPr>
    </w:p>
  </w:footnote>
  <w:footnote w:id="15">
    <w:p w14:paraId="7758D67B" w14:textId="33D0B5D0" w:rsidR="009B7448" w:rsidRPr="00B7552D" w:rsidRDefault="009B7448">
      <w:pPr>
        <w:pStyle w:val="Notedebasdepage"/>
        <w:rPr>
          <w:lang w:val="en-US"/>
        </w:rPr>
      </w:pPr>
      <w:r>
        <w:rPr>
          <w:rStyle w:val="Appelnotedebasdep"/>
        </w:rPr>
        <w:footnoteRef/>
      </w:r>
      <w:r>
        <w:t xml:space="preserve"> </w:t>
      </w:r>
      <w:r w:rsidRPr="00B7552D">
        <w:rPr>
          <w:lang w:val="en-US"/>
        </w:rPr>
        <w:t>Dermal absorption of cypermethrin in formulation X6122B1 through human skin in vitro. Eurofins BioPharma. Study n° 150230</w:t>
      </w:r>
    </w:p>
  </w:footnote>
  <w:footnote w:id="16">
    <w:p w14:paraId="71D1C41B" w14:textId="6E592801" w:rsidR="009B7448" w:rsidRPr="00B7552D" w:rsidRDefault="009B7448">
      <w:pPr>
        <w:pStyle w:val="Notedebasdepage"/>
        <w:rPr>
          <w:lang w:val="en-US"/>
        </w:rPr>
      </w:pPr>
      <w:r>
        <w:rPr>
          <w:rStyle w:val="Appelnotedebasdep"/>
        </w:rPr>
        <w:footnoteRef/>
      </w:r>
      <w:r>
        <w:t xml:space="preserve"> </w:t>
      </w:r>
      <w:r w:rsidRPr="00B7552D">
        <w:rPr>
          <w:lang w:val="en-US"/>
        </w:rPr>
        <w:t xml:space="preserve">Guidance on dermal absorption. EFSA Journal 2012 ; 10(4) :2665 </w:t>
      </w:r>
    </w:p>
  </w:footnote>
  <w:footnote w:id="17">
    <w:p w14:paraId="43A668F9" w14:textId="77777777" w:rsidR="009B7448" w:rsidRPr="005C48AB" w:rsidRDefault="009B7448" w:rsidP="009D4550">
      <w:pPr>
        <w:pStyle w:val="Notedebasdepage"/>
        <w:rPr>
          <w:lang w:val="en-US"/>
        </w:rPr>
      </w:pPr>
      <w:r>
        <w:rPr>
          <w:rStyle w:val="Appelnotedebasdep"/>
        </w:rPr>
        <w:footnoteRef/>
      </w:r>
      <w:r>
        <w:rPr>
          <w:lang w:val="en-US"/>
        </w:rPr>
        <w:t xml:space="preserve"> “The most appropriate model to used for the scenario of non-professional application of paints by brushing and rolling”, agreed at the HH WG III on 26 May 2016</w:t>
      </w:r>
      <w:r w:rsidRPr="005C48AB">
        <w:rPr>
          <w:lang w:val="en-US"/>
        </w:rPr>
        <w:t>.</w:t>
      </w:r>
    </w:p>
  </w:footnote>
  <w:footnote w:id="18">
    <w:p w14:paraId="6215EB8D" w14:textId="2CAA8319" w:rsidR="009B7448" w:rsidRPr="001F3D3E" w:rsidRDefault="009B7448" w:rsidP="009D4550">
      <w:pPr>
        <w:pStyle w:val="Notedebasdepage"/>
        <w:rPr>
          <w:lang w:val="en-US"/>
        </w:rPr>
      </w:pPr>
      <w:r>
        <w:rPr>
          <w:rStyle w:val="Appelnotedebasdep"/>
        </w:rPr>
        <w:footnoteRef/>
      </w:r>
      <w:r>
        <w:t xml:space="preserve"> HEEG Opinion on Exposure model” Primary exposure scenario – washing out of a brush which has been used to apply a paint”, endorsed at TM III 2010. </w:t>
      </w:r>
    </w:p>
  </w:footnote>
  <w:footnote w:id="19">
    <w:p w14:paraId="7DFA6AEB" w14:textId="77777777" w:rsidR="009B7448" w:rsidRPr="005C48AB" w:rsidRDefault="009B7448" w:rsidP="009D4550">
      <w:pPr>
        <w:pStyle w:val="Notedebasdepage"/>
        <w:rPr>
          <w:lang w:val="en-US"/>
        </w:rPr>
      </w:pPr>
      <w:r>
        <w:rPr>
          <w:rStyle w:val="Appelnotedebasdep"/>
        </w:rPr>
        <w:footnoteRef/>
      </w:r>
      <w:r>
        <w:rPr>
          <w:lang w:val="en-US"/>
        </w:rPr>
        <w:t xml:space="preserve"> “Methods and models to assess exposureto biocidal product in different product types” version 2, June 2016</w:t>
      </w:r>
      <w:r w:rsidRPr="005C48AB">
        <w:rPr>
          <w:lang w:val="en-US"/>
        </w:rPr>
        <w:t>.</w:t>
      </w:r>
    </w:p>
  </w:footnote>
  <w:footnote w:id="20">
    <w:p w14:paraId="0AE4AC64" w14:textId="4F0D8D01" w:rsidR="009B7448" w:rsidRPr="001F3D3E" w:rsidRDefault="009B7448" w:rsidP="009D4550">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1">
    <w:p w14:paraId="17F97EC8" w14:textId="77777777" w:rsidR="009B7448" w:rsidRPr="005C48AB" w:rsidRDefault="009B7448" w:rsidP="00633030">
      <w:pPr>
        <w:pStyle w:val="Notedebasdepage"/>
        <w:rPr>
          <w:lang w:val="en-US"/>
        </w:rPr>
      </w:pPr>
      <w:r>
        <w:rPr>
          <w:rStyle w:val="Appelnotedebasdep"/>
        </w:rPr>
        <w:footnoteRef/>
      </w:r>
      <w:r>
        <w:rPr>
          <w:lang w:val="en-US"/>
        </w:rPr>
        <w:t xml:space="preserve"> “Methods and models to assess exposureto biocidal product in different product types” version 2, June 2016</w:t>
      </w:r>
      <w:r w:rsidRPr="005C48AB">
        <w:rPr>
          <w:lang w:val="en-US"/>
        </w:rPr>
        <w:t>.</w:t>
      </w:r>
    </w:p>
  </w:footnote>
  <w:footnote w:id="22">
    <w:p w14:paraId="59817427" w14:textId="7C45AF7A" w:rsidR="009B7448" w:rsidRPr="001F3D3E" w:rsidRDefault="009B7448" w:rsidP="00633030">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3">
    <w:p w14:paraId="01B624EA" w14:textId="77777777" w:rsidR="009B7448" w:rsidRPr="005C48AB" w:rsidRDefault="009B7448" w:rsidP="009D4550">
      <w:pPr>
        <w:pStyle w:val="Notedebasdepage"/>
        <w:rPr>
          <w:lang w:val="en-US"/>
        </w:rPr>
      </w:pPr>
      <w:r>
        <w:rPr>
          <w:rStyle w:val="Appelnotedebasdep"/>
        </w:rPr>
        <w:footnoteRef/>
      </w:r>
      <w:r>
        <w:rPr>
          <w:lang w:val="en-US"/>
        </w:rPr>
        <w:t xml:space="preserve"> “The most appropriate model to used for the scenario of non-professional application of paints by brushing and rolling”, agreed at the HH WG III on 26 May 2016</w:t>
      </w:r>
      <w:r w:rsidRPr="005C48AB">
        <w:rPr>
          <w:lang w:val="en-US"/>
        </w:rPr>
        <w:t>.</w:t>
      </w:r>
    </w:p>
  </w:footnote>
  <w:footnote w:id="24">
    <w:p w14:paraId="43B2DB68" w14:textId="487244EF" w:rsidR="009B7448" w:rsidRPr="001F3D3E" w:rsidRDefault="009B7448" w:rsidP="009D4550">
      <w:pPr>
        <w:pStyle w:val="Notedebasdepage"/>
        <w:rPr>
          <w:lang w:val="en-US"/>
        </w:rPr>
      </w:pPr>
      <w:r>
        <w:rPr>
          <w:rStyle w:val="Appelnotedebasdep"/>
        </w:rPr>
        <w:footnoteRef/>
      </w:r>
      <w:r>
        <w:t xml:space="preserve"> HEEG Opinion on Exposure model” Primary exposure scenario – washing out of a brush which has been used to apply a paint”, endorsed at TM III 2010. </w:t>
      </w:r>
    </w:p>
  </w:footnote>
  <w:footnote w:id="25">
    <w:p w14:paraId="3F97F9AD" w14:textId="77777777" w:rsidR="009B7448" w:rsidRPr="001F3D3E" w:rsidRDefault="009B7448" w:rsidP="009D4550">
      <w:pPr>
        <w:pStyle w:val="Notedebasdepage"/>
        <w:rPr>
          <w:lang w:val="en-US"/>
        </w:rPr>
      </w:pPr>
      <w:r>
        <w:rPr>
          <w:rStyle w:val="Appelnotedebasdep"/>
        </w:rPr>
        <w:footnoteRef/>
      </w:r>
      <w:r>
        <w:t xml:space="preserve"> </w:t>
      </w:r>
      <w:r w:rsidRPr="007504FD">
        <w:t xml:space="preserve">Technical Notes for Guidance Human exposure to biocidal products, </w:t>
      </w:r>
      <w:proofErr w:type="gramStart"/>
      <w:r>
        <w:t>january</w:t>
      </w:r>
      <w:proofErr w:type="gramEnd"/>
      <w:r w:rsidRPr="007504FD">
        <w:t xml:space="preserve"> 2008</w:t>
      </w:r>
      <w:r>
        <w:t xml:space="preserve"> (adopted during CA meeting of 19-20 june of 2007). </w:t>
      </w:r>
    </w:p>
  </w:footnote>
  <w:footnote w:id="26">
    <w:p w14:paraId="44524AF9" w14:textId="77777777" w:rsidR="009B7448" w:rsidRPr="0071678C" w:rsidRDefault="009B7448" w:rsidP="009D4550">
      <w:pPr>
        <w:pStyle w:val="Notedebasdepage"/>
        <w:rPr>
          <w:rFonts w:ascii="Arial" w:hAnsi="Arial" w:cs="Arial"/>
          <w:sz w:val="18"/>
          <w:szCs w:val="18"/>
          <w:lang w:val="en-US"/>
        </w:rPr>
      </w:pPr>
      <w:r>
        <w:rPr>
          <w:rStyle w:val="Appelnotedebasdep"/>
        </w:rPr>
        <w:footnoteRef/>
      </w:r>
      <w:r>
        <w:t xml:space="preserve"> </w:t>
      </w:r>
      <w:r w:rsidRPr="0071678C">
        <w:rPr>
          <w:rFonts w:ascii="Arial" w:hAnsi="Arial" w:cs="Arial"/>
          <w:sz w:val="18"/>
          <w:szCs w:val="18"/>
          <w:lang w:val="en-US"/>
        </w:rPr>
        <w:t>Guidance on the Biocidal product Regulation, Volume III Human Health – Part B risk assessment, 2015.</w:t>
      </w:r>
    </w:p>
  </w:footnote>
  <w:footnote w:id="27">
    <w:p w14:paraId="1AC2C3AC" w14:textId="77777777" w:rsidR="009B7448" w:rsidRPr="002E5407" w:rsidRDefault="009B7448" w:rsidP="00AE4F3C">
      <w:pPr>
        <w:pStyle w:val="Notedebasdepage"/>
        <w:rPr>
          <w:rFonts w:ascii="Arial" w:hAnsi="Arial" w:cs="Arial"/>
          <w:sz w:val="16"/>
          <w:szCs w:val="16"/>
          <w:lang w:val="en-US"/>
        </w:rPr>
      </w:pPr>
      <w:r w:rsidRPr="0085766C">
        <w:rPr>
          <w:rStyle w:val="Appelnotedebasdep"/>
          <w:rFonts w:ascii="Arial" w:hAnsi="Arial" w:cs="Arial"/>
          <w:sz w:val="16"/>
          <w:szCs w:val="16"/>
        </w:rPr>
        <w:footnoteRef/>
      </w:r>
      <w:r w:rsidRPr="002E5407">
        <w:rPr>
          <w:rFonts w:ascii="Arial" w:hAnsi="Arial" w:cs="Arial"/>
          <w:sz w:val="16"/>
          <w:szCs w:val="16"/>
          <w:lang w:val="en-US"/>
        </w:rPr>
        <w:t xml:space="preserve"> Notes for guidance: Comparative assessment of biocidal products – Consolidated version of CA Sept13-Doc.5.1.f &amp; CA-Dec13-Doc5.1.k-Final: Ca-March14-Doc.5.4</w:t>
      </w:r>
    </w:p>
  </w:footnote>
  <w:footnote w:id="28">
    <w:p w14:paraId="2413063B" w14:textId="77777777" w:rsidR="009B7448" w:rsidRDefault="009B7448">
      <w:pPr>
        <w:pStyle w:val="Notedebasdepage"/>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29">
    <w:p w14:paraId="08E2BBC3" w14:textId="77777777" w:rsidR="009B7448" w:rsidRDefault="009B7448" w:rsidP="003012CB">
      <w:pPr>
        <w:pStyle w:val="Notedebasdepage"/>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9B7448" w14:paraId="1F8CC7F2" w14:textId="77777777" w:rsidTr="005D37EC">
      <w:tc>
        <w:tcPr>
          <w:tcW w:w="1276" w:type="dxa"/>
          <w:tcBorders>
            <w:bottom w:val="single" w:sz="4" w:space="0" w:color="000000"/>
          </w:tcBorders>
          <w:shd w:val="clear" w:color="auto" w:fill="auto"/>
          <w:vAlign w:val="center"/>
        </w:tcPr>
        <w:p w14:paraId="02F1125A" w14:textId="77777777" w:rsidR="009B7448" w:rsidRDefault="009B7448" w:rsidP="005D37EC">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7559B753" w14:textId="77777777" w:rsidR="009B7448" w:rsidRDefault="009B7448" w:rsidP="005D37EC">
          <w:pPr>
            <w:widowControl w:val="0"/>
            <w:autoSpaceDE w:val="0"/>
            <w:jc w:val="center"/>
            <w:rPr>
              <w:rFonts w:cs="Times"/>
              <w:color w:val="000000"/>
              <w:sz w:val="18"/>
              <w:szCs w:val="18"/>
            </w:rPr>
          </w:pPr>
          <w:r>
            <w:rPr>
              <w:rFonts w:cs="Times"/>
              <w:color w:val="000000"/>
              <w:sz w:val="18"/>
              <w:szCs w:val="18"/>
            </w:rPr>
            <w:t>X6122B1</w:t>
          </w:r>
        </w:p>
      </w:tc>
      <w:tc>
        <w:tcPr>
          <w:tcW w:w="2552" w:type="dxa"/>
          <w:tcBorders>
            <w:bottom w:val="single" w:sz="4" w:space="0" w:color="000000"/>
          </w:tcBorders>
          <w:shd w:val="clear" w:color="auto" w:fill="auto"/>
          <w:vAlign w:val="center"/>
        </w:tcPr>
        <w:p w14:paraId="0DDAD793" w14:textId="77777777" w:rsidR="009B7448" w:rsidRDefault="009B7448" w:rsidP="005D37EC">
          <w:pPr>
            <w:widowControl w:val="0"/>
            <w:autoSpaceDE w:val="0"/>
            <w:jc w:val="center"/>
          </w:pPr>
          <w:r>
            <w:rPr>
              <w:rFonts w:cs="Times"/>
              <w:color w:val="000000"/>
              <w:sz w:val="18"/>
              <w:szCs w:val="18"/>
            </w:rPr>
            <w:t>PT8</w:t>
          </w:r>
        </w:p>
      </w:tc>
    </w:tr>
  </w:tbl>
  <w:p w14:paraId="76DF4276" w14:textId="77777777" w:rsidR="009B7448" w:rsidRPr="00F921B2" w:rsidRDefault="009B7448" w:rsidP="00A407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2E5298D"/>
    <w:multiLevelType w:val="multilevel"/>
    <w:tmpl w:val="5C8E39C2"/>
    <w:lvl w:ilvl="0">
      <w:start w:val="1"/>
      <w:numFmt w:val="decimal"/>
      <w:pStyle w:val="TITRE10"/>
      <w:lvlText w:val="%1."/>
      <w:lvlJc w:val="left"/>
      <w:pPr>
        <w:ind w:left="360" w:hanging="360"/>
      </w:pPr>
      <w:rPr>
        <w:rFonts w:cs="Times New Roman"/>
      </w:rPr>
    </w:lvl>
    <w:lvl w:ilvl="1">
      <w:start w:val="1"/>
      <w:numFmt w:val="decimal"/>
      <w:pStyle w:val="TITRE20"/>
      <w:lvlText w:val="%1.%2."/>
      <w:lvlJc w:val="left"/>
      <w:pPr>
        <w:ind w:left="792" w:hanging="432"/>
      </w:pPr>
      <w:rPr>
        <w:rFonts w:cs="Times New Roman"/>
      </w:rPr>
    </w:lvl>
    <w:lvl w:ilvl="2">
      <w:start w:val="1"/>
      <w:numFmt w:val="decimal"/>
      <w:pStyle w:val="TITRE3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38954E9"/>
    <w:multiLevelType w:val="hybridMultilevel"/>
    <w:tmpl w:val="737E48D4"/>
    <w:lvl w:ilvl="0" w:tplc="3D08D5A2">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B212F3F"/>
    <w:multiLevelType w:val="hybridMultilevel"/>
    <w:tmpl w:val="42762D6C"/>
    <w:lvl w:ilvl="0" w:tplc="3D7E6C7C">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BAB5864"/>
    <w:multiLevelType w:val="hybridMultilevel"/>
    <w:tmpl w:val="91A60E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D710CF"/>
    <w:multiLevelType w:val="hybridMultilevel"/>
    <w:tmpl w:val="1A663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705E9F"/>
    <w:multiLevelType w:val="hybridMultilevel"/>
    <w:tmpl w:val="0EF2DE40"/>
    <w:lvl w:ilvl="0" w:tplc="92449F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6A6AC6"/>
    <w:multiLevelType w:val="hybridMultilevel"/>
    <w:tmpl w:val="11764154"/>
    <w:lvl w:ilvl="0" w:tplc="09D22C7C">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043F62"/>
    <w:multiLevelType w:val="hybridMultilevel"/>
    <w:tmpl w:val="A76410CE"/>
    <w:lvl w:ilvl="0" w:tplc="3D08D5A2">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17054E0B"/>
    <w:multiLevelType w:val="hybridMultilevel"/>
    <w:tmpl w:val="E4D0B962"/>
    <w:lvl w:ilvl="0" w:tplc="45426E5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4D2417"/>
    <w:multiLevelType w:val="multilevel"/>
    <w:tmpl w:val="AA90C9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907" w:hanging="90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269"/>
        </w:tabs>
        <w:ind w:left="2269" w:hanging="1701"/>
      </w:pPr>
      <w:rPr>
        <w:rFonts w:hint="default"/>
      </w:rPr>
    </w:lvl>
    <w:lvl w:ilvl="5">
      <w:start w:val="1"/>
      <w:numFmt w:val="decimal"/>
      <w:lvlText w:val="%1.%2.%3.%4.%5\%6"/>
      <w:lvlJc w:val="left"/>
      <w:pPr>
        <w:tabs>
          <w:tab w:val="num" w:pos="1792"/>
        </w:tabs>
        <w:ind w:left="1486" w:hanging="1134"/>
      </w:pPr>
      <w:rPr>
        <w:rFonts w:hint="default"/>
      </w:rPr>
    </w:lvl>
    <w:lvl w:ilvl="6">
      <w:start w:val="1"/>
      <w:numFmt w:val="decimal"/>
      <w:pStyle w:val="Style2"/>
      <w:lvlText w:val="%1.%2.%3.%4.%5\%6.%7"/>
      <w:lvlJc w:val="left"/>
      <w:pPr>
        <w:tabs>
          <w:tab w:val="num" w:pos="-725"/>
        </w:tabs>
        <w:ind w:left="-725" w:firstLine="0"/>
      </w:pPr>
      <w:rPr>
        <w:rFonts w:hint="default"/>
      </w:rPr>
    </w:lvl>
    <w:lvl w:ilvl="7">
      <w:start w:val="1"/>
      <w:numFmt w:val="decimal"/>
      <w:lvlText w:val="%1.%2.%3.%4.%5\%6.%7.%8"/>
      <w:lvlJc w:val="left"/>
      <w:pPr>
        <w:tabs>
          <w:tab w:val="num" w:pos="-725"/>
        </w:tabs>
        <w:ind w:left="-725" w:firstLine="0"/>
      </w:pPr>
      <w:rPr>
        <w:rFonts w:hint="default"/>
      </w:rPr>
    </w:lvl>
    <w:lvl w:ilvl="8">
      <w:start w:val="1"/>
      <w:numFmt w:val="decimal"/>
      <w:lvlText w:val="%1.%2.%3.%4.%5\%6.%7.%8.%9"/>
      <w:lvlJc w:val="left"/>
      <w:pPr>
        <w:tabs>
          <w:tab w:val="num" w:pos="-725"/>
        </w:tabs>
        <w:ind w:left="-725" w:firstLine="0"/>
      </w:pPr>
      <w:rPr>
        <w:rFonts w:hint="default"/>
      </w:rPr>
    </w:lvl>
  </w:abstractNum>
  <w:abstractNum w:abstractNumId="15"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E4C0B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8F4B2E"/>
    <w:multiLevelType w:val="hybridMultilevel"/>
    <w:tmpl w:val="F66C1624"/>
    <w:lvl w:ilvl="0" w:tplc="9BD8505A">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3E0CED"/>
    <w:multiLevelType w:val="hybridMultilevel"/>
    <w:tmpl w:val="0E38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6198A"/>
    <w:multiLevelType w:val="hybridMultilevel"/>
    <w:tmpl w:val="329E6504"/>
    <w:lvl w:ilvl="0" w:tplc="AA32BF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D47D4D"/>
    <w:multiLevelType w:val="hybridMultilevel"/>
    <w:tmpl w:val="A060194A"/>
    <w:lvl w:ilvl="0" w:tplc="1B1C829A">
      <w:numFmt w:val="bullet"/>
      <w:lvlText w:val="-"/>
      <w:lvlJc w:val="left"/>
      <w:pPr>
        <w:ind w:left="720" w:hanging="360"/>
      </w:pPr>
      <w:rPr>
        <w:rFonts w:ascii="Verdana" w:eastAsia="Times New Roman" w:hAnsi="Verdan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845E2"/>
    <w:multiLevelType w:val="hybridMultilevel"/>
    <w:tmpl w:val="4BB614C8"/>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DF027D"/>
    <w:multiLevelType w:val="hybridMultilevel"/>
    <w:tmpl w:val="60FC2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6619FC"/>
    <w:multiLevelType w:val="hybridMultilevel"/>
    <w:tmpl w:val="CFA0B686"/>
    <w:lvl w:ilvl="0" w:tplc="28F81CB6">
      <w:start w:val="9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7F5E0E"/>
    <w:multiLevelType w:val="hybridMultilevel"/>
    <w:tmpl w:val="19F67564"/>
    <w:lvl w:ilvl="0" w:tplc="7A98B9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1238A9"/>
    <w:multiLevelType w:val="hybridMultilevel"/>
    <w:tmpl w:val="E5D818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3B6C3B"/>
    <w:multiLevelType w:val="hybridMultilevel"/>
    <w:tmpl w:val="9E6ACF24"/>
    <w:lvl w:ilvl="0" w:tplc="9BD8505A">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11504C"/>
    <w:multiLevelType w:val="hybridMultilevel"/>
    <w:tmpl w:val="87B262B4"/>
    <w:lvl w:ilvl="0" w:tplc="77847F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96F3F3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A64551"/>
    <w:multiLevelType w:val="hybridMultilevel"/>
    <w:tmpl w:val="D30ACA4C"/>
    <w:lvl w:ilvl="0" w:tplc="9BD8505A">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C0488A"/>
    <w:multiLevelType w:val="hybridMultilevel"/>
    <w:tmpl w:val="E0B085A0"/>
    <w:lvl w:ilvl="0" w:tplc="9BD8505A">
      <w:start w:val="8"/>
      <w:numFmt w:val="bullet"/>
      <w:lvlText w:val="-"/>
      <w:lvlJc w:val="left"/>
      <w:pPr>
        <w:ind w:left="754" w:hanging="360"/>
      </w:pPr>
      <w:rPr>
        <w:rFonts w:ascii="Arial" w:eastAsia="Calibri" w:hAnsi="Arial" w:cs="Aria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3" w15:restartNumberingAfterBreak="0">
    <w:nsid w:val="6A800E3C"/>
    <w:multiLevelType w:val="hybridMultilevel"/>
    <w:tmpl w:val="49F4ACC0"/>
    <w:lvl w:ilvl="0" w:tplc="C93E0D0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724AC7"/>
    <w:multiLevelType w:val="hybridMultilevel"/>
    <w:tmpl w:val="B7F4A4DE"/>
    <w:lvl w:ilvl="0" w:tplc="D7800BF2">
      <w:start w:val="1"/>
      <w:numFmt w:val="bullet"/>
      <w:lvlText w:val=""/>
      <w:lvlJc w:val="left"/>
      <w:pPr>
        <w:ind w:left="720" w:hanging="360"/>
      </w:pPr>
      <w:rPr>
        <w:rFonts w:ascii="Wingdings" w:eastAsia="Times New Roman" w:hAnsi="Wingding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B5185D"/>
    <w:multiLevelType w:val="hybridMultilevel"/>
    <w:tmpl w:val="83327E58"/>
    <w:lvl w:ilvl="0" w:tplc="F3909E46">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724E6009"/>
    <w:multiLevelType w:val="hybridMultilevel"/>
    <w:tmpl w:val="4DFC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964828"/>
    <w:multiLevelType w:val="hybridMultilevel"/>
    <w:tmpl w:val="9356D5B0"/>
    <w:lvl w:ilvl="0" w:tplc="E1864FF6">
      <w:numFmt w:val="bullet"/>
      <w:lvlText w:val="-"/>
      <w:lvlJc w:val="left"/>
      <w:pPr>
        <w:ind w:left="1428" w:hanging="360"/>
      </w:pPr>
      <w:rPr>
        <w:rFonts w:ascii="Calibri" w:eastAsia="Calibri" w:hAnsi="Calibri"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75312B59"/>
    <w:multiLevelType w:val="hybridMultilevel"/>
    <w:tmpl w:val="96827C4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A94C13"/>
    <w:multiLevelType w:val="hybridMultilevel"/>
    <w:tmpl w:val="AC1EAE20"/>
    <w:lvl w:ilvl="0" w:tplc="D5326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6"/>
  </w:num>
  <w:num w:numId="7">
    <w:abstractNumId w:val="32"/>
  </w:num>
  <w:num w:numId="8">
    <w:abstractNumId w:val="31"/>
  </w:num>
  <w:num w:numId="9">
    <w:abstractNumId w:val="28"/>
  </w:num>
  <w:num w:numId="10">
    <w:abstractNumId w:val="18"/>
  </w:num>
  <w:num w:numId="11">
    <w:abstractNumId w:val="14"/>
  </w:num>
  <w:num w:numId="12">
    <w:abstractNumId w:val="20"/>
  </w:num>
  <w:num w:numId="13">
    <w:abstractNumId w:val="7"/>
  </w:num>
  <w:num w:numId="14">
    <w:abstractNumId w:val="11"/>
  </w:num>
  <w:num w:numId="15">
    <w:abstractNumId w:val="29"/>
  </w:num>
  <w:num w:numId="16">
    <w:abstractNumId w:val="12"/>
  </w:num>
  <w:num w:numId="17">
    <w:abstractNumId w:val="27"/>
  </w:num>
  <w:num w:numId="18">
    <w:abstractNumId w:val="30"/>
  </w:num>
  <w:num w:numId="19">
    <w:abstractNumId w:val="16"/>
  </w:num>
  <w:num w:numId="20">
    <w:abstractNumId w:val="21"/>
  </w:num>
  <w:num w:numId="21">
    <w:abstractNumId w:val="17"/>
  </w:num>
  <w:num w:numId="22">
    <w:abstractNumId w:val="25"/>
  </w:num>
  <w:num w:numId="23">
    <w:abstractNumId w:val="39"/>
  </w:num>
  <w:num w:numId="24">
    <w:abstractNumId w:val="13"/>
  </w:num>
  <w:num w:numId="25">
    <w:abstractNumId w:val="37"/>
  </w:num>
  <w:num w:numId="26">
    <w:abstractNumId w:val="38"/>
  </w:num>
  <w:num w:numId="27">
    <w:abstractNumId w:val="8"/>
  </w:num>
  <w:num w:numId="28">
    <w:abstractNumId w:val="33"/>
  </w:num>
  <w:num w:numId="29">
    <w:abstractNumId w:val="34"/>
  </w:num>
  <w:num w:numId="30">
    <w:abstractNumId w:val="22"/>
  </w:num>
  <w:num w:numId="31">
    <w:abstractNumId w:val="6"/>
  </w:num>
  <w:num w:numId="32">
    <w:abstractNumId w:val="17"/>
  </w:num>
  <w:num w:numId="33">
    <w:abstractNumId w:val="35"/>
  </w:num>
  <w:num w:numId="34">
    <w:abstractNumId w:val="19"/>
  </w:num>
  <w:num w:numId="35">
    <w:abstractNumId w:val="9"/>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4"/>
  </w:num>
  <w:num w:numId="43">
    <w:abstractNumId w:val="10"/>
  </w:num>
  <w:num w:numId="44">
    <w:abstractNumId w:val="23"/>
  </w:num>
  <w:num w:numId="45">
    <w:abstractNumId w:val="0"/>
    <w:lvlOverride w:ilvl="0">
      <w:startOverride w:val="2"/>
    </w:lvlOverride>
    <w:lvlOverride w:ilvl="1">
      <w:startOverride w:val="2"/>
    </w:lvlOverride>
    <w:lvlOverride w:ilvl="2">
      <w:startOverride w:val="8"/>
    </w:lvlOverride>
    <w:lvlOverride w:ilvl="3">
      <w:startOverride w:val="2"/>
    </w:lvlOverride>
  </w:num>
  <w:num w:numId="46">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s-US"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029" w:vendorID="64" w:dllVersion="131078" w:nlCheck="1" w:checkStyle="1"/>
  <w:activeWritingStyle w:appName="MSWord" w:lang="fr-BE" w:vendorID="64" w:dllVersion="131078" w:nlCheck="1" w:checkStyle="0"/>
  <w:activeWritingStyle w:appName="MSWord" w:lang="nl-NL" w:vendorID="64" w:dllVersion="131078"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054C"/>
    <w:rsid w:val="00002546"/>
    <w:rsid w:val="0000306E"/>
    <w:rsid w:val="000116E6"/>
    <w:rsid w:val="00013542"/>
    <w:rsid w:val="00013917"/>
    <w:rsid w:val="000330B1"/>
    <w:rsid w:val="00033DB6"/>
    <w:rsid w:val="0003570B"/>
    <w:rsid w:val="00042983"/>
    <w:rsid w:val="00047261"/>
    <w:rsid w:val="00052ACE"/>
    <w:rsid w:val="00054E25"/>
    <w:rsid w:val="00055A3C"/>
    <w:rsid w:val="000656F7"/>
    <w:rsid w:val="00066DCF"/>
    <w:rsid w:val="000727F7"/>
    <w:rsid w:val="00077821"/>
    <w:rsid w:val="00082D20"/>
    <w:rsid w:val="00087B7E"/>
    <w:rsid w:val="00095D4E"/>
    <w:rsid w:val="00096974"/>
    <w:rsid w:val="000A16F0"/>
    <w:rsid w:val="000A42B8"/>
    <w:rsid w:val="000A6AB1"/>
    <w:rsid w:val="000B2EE2"/>
    <w:rsid w:val="000B39DA"/>
    <w:rsid w:val="000B6A15"/>
    <w:rsid w:val="000C2A41"/>
    <w:rsid w:val="000C5FB6"/>
    <w:rsid w:val="000D2353"/>
    <w:rsid w:val="000D2ACF"/>
    <w:rsid w:val="000D2F72"/>
    <w:rsid w:val="000E1EAD"/>
    <w:rsid w:val="000E4867"/>
    <w:rsid w:val="000F5B5F"/>
    <w:rsid w:val="00112DD6"/>
    <w:rsid w:val="00114DB6"/>
    <w:rsid w:val="00124C80"/>
    <w:rsid w:val="00126E54"/>
    <w:rsid w:val="00127143"/>
    <w:rsid w:val="00127F4B"/>
    <w:rsid w:val="0013057F"/>
    <w:rsid w:val="0013091F"/>
    <w:rsid w:val="0013591B"/>
    <w:rsid w:val="00142374"/>
    <w:rsid w:val="00151DF9"/>
    <w:rsid w:val="00151EB1"/>
    <w:rsid w:val="00155E43"/>
    <w:rsid w:val="00163645"/>
    <w:rsid w:val="00164B5F"/>
    <w:rsid w:val="00164BAF"/>
    <w:rsid w:val="001716D1"/>
    <w:rsid w:val="00174DE7"/>
    <w:rsid w:val="00186A17"/>
    <w:rsid w:val="00191190"/>
    <w:rsid w:val="00193D75"/>
    <w:rsid w:val="00194036"/>
    <w:rsid w:val="001A4B08"/>
    <w:rsid w:val="001B60C7"/>
    <w:rsid w:val="001B6222"/>
    <w:rsid w:val="001B6933"/>
    <w:rsid w:val="001C233C"/>
    <w:rsid w:val="001C2517"/>
    <w:rsid w:val="001D4FEA"/>
    <w:rsid w:val="001E06A1"/>
    <w:rsid w:val="001E3185"/>
    <w:rsid w:val="001F4AB2"/>
    <w:rsid w:val="00201BDD"/>
    <w:rsid w:val="0020273C"/>
    <w:rsid w:val="002107D1"/>
    <w:rsid w:val="0021101C"/>
    <w:rsid w:val="00215140"/>
    <w:rsid w:val="0021636F"/>
    <w:rsid w:val="00223DB7"/>
    <w:rsid w:val="00225E26"/>
    <w:rsid w:val="00226B24"/>
    <w:rsid w:val="00234E0D"/>
    <w:rsid w:val="00234E70"/>
    <w:rsid w:val="002442B1"/>
    <w:rsid w:val="00250278"/>
    <w:rsid w:val="00252DB4"/>
    <w:rsid w:val="002545A1"/>
    <w:rsid w:val="00255290"/>
    <w:rsid w:val="0026139B"/>
    <w:rsid w:val="00271164"/>
    <w:rsid w:val="00273D40"/>
    <w:rsid w:val="00275290"/>
    <w:rsid w:val="002771BE"/>
    <w:rsid w:val="0028048C"/>
    <w:rsid w:val="00281A6C"/>
    <w:rsid w:val="0028390E"/>
    <w:rsid w:val="0028498E"/>
    <w:rsid w:val="002903D2"/>
    <w:rsid w:val="00293AFD"/>
    <w:rsid w:val="00294B28"/>
    <w:rsid w:val="00294ED0"/>
    <w:rsid w:val="0029532F"/>
    <w:rsid w:val="002A2E88"/>
    <w:rsid w:val="002A51CD"/>
    <w:rsid w:val="002A5986"/>
    <w:rsid w:val="002A6946"/>
    <w:rsid w:val="002A77D8"/>
    <w:rsid w:val="002B1B03"/>
    <w:rsid w:val="002B4607"/>
    <w:rsid w:val="002B6442"/>
    <w:rsid w:val="002C4885"/>
    <w:rsid w:val="002D34AF"/>
    <w:rsid w:val="002D5296"/>
    <w:rsid w:val="002E5ADA"/>
    <w:rsid w:val="002E66A8"/>
    <w:rsid w:val="002F3404"/>
    <w:rsid w:val="003012CB"/>
    <w:rsid w:val="003076B2"/>
    <w:rsid w:val="003076DB"/>
    <w:rsid w:val="0031293C"/>
    <w:rsid w:val="00314187"/>
    <w:rsid w:val="00315E5F"/>
    <w:rsid w:val="00321EF6"/>
    <w:rsid w:val="003244B6"/>
    <w:rsid w:val="00326A0D"/>
    <w:rsid w:val="003307C4"/>
    <w:rsid w:val="00331B06"/>
    <w:rsid w:val="00334B45"/>
    <w:rsid w:val="0033534F"/>
    <w:rsid w:val="003356DA"/>
    <w:rsid w:val="003403ED"/>
    <w:rsid w:val="00340FD9"/>
    <w:rsid w:val="00341D6C"/>
    <w:rsid w:val="00345A8D"/>
    <w:rsid w:val="00347D65"/>
    <w:rsid w:val="00351185"/>
    <w:rsid w:val="00363C14"/>
    <w:rsid w:val="00372185"/>
    <w:rsid w:val="00382787"/>
    <w:rsid w:val="00385B9B"/>
    <w:rsid w:val="0039021B"/>
    <w:rsid w:val="0039605F"/>
    <w:rsid w:val="00397C2A"/>
    <w:rsid w:val="003B2B14"/>
    <w:rsid w:val="003B508D"/>
    <w:rsid w:val="003B66A4"/>
    <w:rsid w:val="003C1F4F"/>
    <w:rsid w:val="003D66CA"/>
    <w:rsid w:val="003D6A82"/>
    <w:rsid w:val="003E1121"/>
    <w:rsid w:val="003E19EB"/>
    <w:rsid w:val="003E4412"/>
    <w:rsid w:val="003E5500"/>
    <w:rsid w:val="003F659F"/>
    <w:rsid w:val="003F6605"/>
    <w:rsid w:val="004049F6"/>
    <w:rsid w:val="004110EC"/>
    <w:rsid w:val="00414058"/>
    <w:rsid w:val="00417BF5"/>
    <w:rsid w:val="0042064D"/>
    <w:rsid w:val="004318CE"/>
    <w:rsid w:val="00431F5A"/>
    <w:rsid w:val="00434346"/>
    <w:rsid w:val="00434364"/>
    <w:rsid w:val="00435032"/>
    <w:rsid w:val="00442D0B"/>
    <w:rsid w:val="00443D35"/>
    <w:rsid w:val="00450380"/>
    <w:rsid w:val="00456599"/>
    <w:rsid w:val="0045722E"/>
    <w:rsid w:val="00466714"/>
    <w:rsid w:val="004669C6"/>
    <w:rsid w:val="00473109"/>
    <w:rsid w:val="00473643"/>
    <w:rsid w:val="00473BCB"/>
    <w:rsid w:val="004740B1"/>
    <w:rsid w:val="004743DC"/>
    <w:rsid w:val="0047648E"/>
    <w:rsid w:val="00480E2F"/>
    <w:rsid w:val="00481BB6"/>
    <w:rsid w:val="00491B22"/>
    <w:rsid w:val="004938EA"/>
    <w:rsid w:val="00495DAF"/>
    <w:rsid w:val="004A10DD"/>
    <w:rsid w:val="004A14B0"/>
    <w:rsid w:val="004A2D76"/>
    <w:rsid w:val="004A2E0C"/>
    <w:rsid w:val="004A39F3"/>
    <w:rsid w:val="004B0545"/>
    <w:rsid w:val="004B0EDA"/>
    <w:rsid w:val="004B4C75"/>
    <w:rsid w:val="004C1769"/>
    <w:rsid w:val="004C2357"/>
    <w:rsid w:val="004C405D"/>
    <w:rsid w:val="004C6BCE"/>
    <w:rsid w:val="004C6D1B"/>
    <w:rsid w:val="004D06FA"/>
    <w:rsid w:val="004D1533"/>
    <w:rsid w:val="004D2326"/>
    <w:rsid w:val="004D427D"/>
    <w:rsid w:val="004D4D0B"/>
    <w:rsid w:val="004D5040"/>
    <w:rsid w:val="004D7BA5"/>
    <w:rsid w:val="004E5590"/>
    <w:rsid w:val="004E55A4"/>
    <w:rsid w:val="004E7A98"/>
    <w:rsid w:val="004F0A3C"/>
    <w:rsid w:val="004F395D"/>
    <w:rsid w:val="004F3DEB"/>
    <w:rsid w:val="004F42D8"/>
    <w:rsid w:val="004F5E99"/>
    <w:rsid w:val="004F5ED3"/>
    <w:rsid w:val="00504F9E"/>
    <w:rsid w:val="005100FD"/>
    <w:rsid w:val="00510561"/>
    <w:rsid w:val="005108D5"/>
    <w:rsid w:val="00515746"/>
    <w:rsid w:val="00517C2B"/>
    <w:rsid w:val="00521D6E"/>
    <w:rsid w:val="00524C53"/>
    <w:rsid w:val="0054384B"/>
    <w:rsid w:val="00553C82"/>
    <w:rsid w:val="00556077"/>
    <w:rsid w:val="00564259"/>
    <w:rsid w:val="0056727E"/>
    <w:rsid w:val="0057633F"/>
    <w:rsid w:val="005934F7"/>
    <w:rsid w:val="005948B7"/>
    <w:rsid w:val="005B478F"/>
    <w:rsid w:val="005B47AB"/>
    <w:rsid w:val="005B4884"/>
    <w:rsid w:val="005D37EC"/>
    <w:rsid w:val="005D45FE"/>
    <w:rsid w:val="005D4BCD"/>
    <w:rsid w:val="005E05EC"/>
    <w:rsid w:val="005E15A8"/>
    <w:rsid w:val="005E7C32"/>
    <w:rsid w:val="005F0FED"/>
    <w:rsid w:val="005F29A1"/>
    <w:rsid w:val="005F619C"/>
    <w:rsid w:val="00601F51"/>
    <w:rsid w:val="00602A6B"/>
    <w:rsid w:val="00605CE4"/>
    <w:rsid w:val="00607E74"/>
    <w:rsid w:val="006128DA"/>
    <w:rsid w:val="00620965"/>
    <w:rsid w:val="00621CF0"/>
    <w:rsid w:val="00623C84"/>
    <w:rsid w:val="00627390"/>
    <w:rsid w:val="006313F1"/>
    <w:rsid w:val="00632E59"/>
    <w:rsid w:val="00633030"/>
    <w:rsid w:val="00636D94"/>
    <w:rsid w:val="00637B51"/>
    <w:rsid w:val="00641823"/>
    <w:rsid w:val="00641A2A"/>
    <w:rsid w:val="00644EBA"/>
    <w:rsid w:val="00650100"/>
    <w:rsid w:val="00651D48"/>
    <w:rsid w:val="00656C1A"/>
    <w:rsid w:val="00657E9B"/>
    <w:rsid w:val="00666966"/>
    <w:rsid w:val="006710A4"/>
    <w:rsid w:val="00680B60"/>
    <w:rsid w:val="00685696"/>
    <w:rsid w:val="00686EC3"/>
    <w:rsid w:val="00691885"/>
    <w:rsid w:val="00692E71"/>
    <w:rsid w:val="00694973"/>
    <w:rsid w:val="00696513"/>
    <w:rsid w:val="006A07F2"/>
    <w:rsid w:val="006A4FBC"/>
    <w:rsid w:val="006A5740"/>
    <w:rsid w:val="006B20C8"/>
    <w:rsid w:val="006B34A7"/>
    <w:rsid w:val="006B5529"/>
    <w:rsid w:val="006C1F4C"/>
    <w:rsid w:val="006D2E33"/>
    <w:rsid w:val="006E06E7"/>
    <w:rsid w:val="006E26A4"/>
    <w:rsid w:val="006E2B37"/>
    <w:rsid w:val="006F0C7A"/>
    <w:rsid w:val="006F11F0"/>
    <w:rsid w:val="00710590"/>
    <w:rsid w:val="007135F4"/>
    <w:rsid w:val="00717CA1"/>
    <w:rsid w:val="00726C39"/>
    <w:rsid w:val="00726F93"/>
    <w:rsid w:val="00735835"/>
    <w:rsid w:val="0074052B"/>
    <w:rsid w:val="00750668"/>
    <w:rsid w:val="00752A58"/>
    <w:rsid w:val="0075493D"/>
    <w:rsid w:val="007712D1"/>
    <w:rsid w:val="007742D4"/>
    <w:rsid w:val="00790A0E"/>
    <w:rsid w:val="007A5B15"/>
    <w:rsid w:val="007B4660"/>
    <w:rsid w:val="007B72D0"/>
    <w:rsid w:val="007C2343"/>
    <w:rsid w:val="007C2F66"/>
    <w:rsid w:val="007C3AEE"/>
    <w:rsid w:val="007D6430"/>
    <w:rsid w:val="007E0421"/>
    <w:rsid w:val="007F3363"/>
    <w:rsid w:val="007F4F02"/>
    <w:rsid w:val="00806B1E"/>
    <w:rsid w:val="00810226"/>
    <w:rsid w:val="00812828"/>
    <w:rsid w:val="00823A0D"/>
    <w:rsid w:val="008256E0"/>
    <w:rsid w:val="008450B3"/>
    <w:rsid w:val="00845150"/>
    <w:rsid w:val="008453C0"/>
    <w:rsid w:val="00850E69"/>
    <w:rsid w:val="008522CF"/>
    <w:rsid w:val="00853BF6"/>
    <w:rsid w:val="008551C7"/>
    <w:rsid w:val="00855CD6"/>
    <w:rsid w:val="00860D42"/>
    <w:rsid w:val="0086173D"/>
    <w:rsid w:val="00864FFF"/>
    <w:rsid w:val="00871E67"/>
    <w:rsid w:val="00877C59"/>
    <w:rsid w:val="008834C4"/>
    <w:rsid w:val="0088597D"/>
    <w:rsid w:val="0089091B"/>
    <w:rsid w:val="00891CAF"/>
    <w:rsid w:val="008931EA"/>
    <w:rsid w:val="00893CC0"/>
    <w:rsid w:val="008B159F"/>
    <w:rsid w:val="008B3B8C"/>
    <w:rsid w:val="008C0C4F"/>
    <w:rsid w:val="008C4DE8"/>
    <w:rsid w:val="008C5EA6"/>
    <w:rsid w:val="008D09BF"/>
    <w:rsid w:val="008D0ABB"/>
    <w:rsid w:val="008D4956"/>
    <w:rsid w:val="008D64AC"/>
    <w:rsid w:val="008E0250"/>
    <w:rsid w:val="008E37D8"/>
    <w:rsid w:val="008F10A1"/>
    <w:rsid w:val="008F4AAF"/>
    <w:rsid w:val="00901F1B"/>
    <w:rsid w:val="00903D36"/>
    <w:rsid w:val="0091021B"/>
    <w:rsid w:val="00912076"/>
    <w:rsid w:val="00912430"/>
    <w:rsid w:val="00912883"/>
    <w:rsid w:val="00930A55"/>
    <w:rsid w:val="00932049"/>
    <w:rsid w:val="00932144"/>
    <w:rsid w:val="00934A09"/>
    <w:rsid w:val="00943FA9"/>
    <w:rsid w:val="0094431E"/>
    <w:rsid w:val="00944DB3"/>
    <w:rsid w:val="00944F5E"/>
    <w:rsid w:val="009536C2"/>
    <w:rsid w:val="009567AA"/>
    <w:rsid w:val="00956A74"/>
    <w:rsid w:val="0096155A"/>
    <w:rsid w:val="00966FBC"/>
    <w:rsid w:val="00970613"/>
    <w:rsid w:val="00973211"/>
    <w:rsid w:val="009847DC"/>
    <w:rsid w:val="00986944"/>
    <w:rsid w:val="0099727B"/>
    <w:rsid w:val="009A1FAB"/>
    <w:rsid w:val="009A39B7"/>
    <w:rsid w:val="009B2EB6"/>
    <w:rsid w:val="009B4836"/>
    <w:rsid w:val="009B5643"/>
    <w:rsid w:val="009B5713"/>
    <w:rsid w:val="009B66D1"/>
    <w:rsid w:val="009B6E43"/>
    <w:rsid w:val="009B7448"/>
    <w:rsid w:val="009B764A"/>
    <w:rsid w:val="009C7F83"/>
    <w:rsid w:val="009D0C0B"/>
    <w:rsid w:val="009D0DE0"/>
    <w:rsid w:val="009D15C7"/>
    <w:rsid w:val="009D2AD0"/>
    <w:rsid w:val="009D3825"/>
    <w:rsid w:val="009D4550"/>
    <w:rsid w:val="009D4E90"/>
    <w:rsid w:val="009E047D"/>
    <w:rsid w:val="009F5DC6"/>
    <w:rsid w:val="009F60AE"/>
    <w:rsid w:val="009F7699"/>
    <w:rsid w:val="00A026F7"/>
    <w:rsid w:val="00A03D70"/>
    <w:rsid w:val="00A14D07"/>
    <w:rsid w:val="00A225D2"/>
    <w:rsid w:val="00A3081A"/>
    <w:rsid w:val="00A30A2D"/>
    <w:rsid w:val="00A3194A"/>
    <w:rsid w:val="00A31D72"/>
    <w:rsid w:val="00A33650"/>
    <w:rsid w:val="00A4079A"/>
    <w:rsid w:val="00A4168F"/>
    <w:rsid w:val="00A41D55"/>
    <w:rsid w:val="00A42876"/>
    <w:rsid w:val="00A46218"/>
    <w:rsid w:val="00A4646C"/>
    <w:rsid w:val="00A504D2"/>
    <w:rsid w:val="00A50A34"/>
    <w:rsid w:val="00A50FC7"/>
    <w:rsid w:val="00A6536D"/>
    <w:rsid w:val="00A702C6"/>
    <w:rsid w:val="00A70545"/>
    <w:rsid w:val="00A70EBF"/>
    <w:rsid w:val="00A71096"/>
    <w:rsid w:val="00A77B57"/>
    <w:rsid w:val="00A85323"/>
    <w:rsid w:val="00A937F3"/>
    <w:rsid w:val="00AA130E"/>
    <w:rsid w:val="00AA13E3"/>
    <w:rsid w:val="00AA3A73"/>
    <w:rsid w:val="00AA571F"/>
    <w:rsid w:val="00AA62A2"/>
    <w:rsid w:val="00AB760F"/>
    <w:rsid w:val="00AC2A64"/>
    <w:rsid w:val="00AC641B"/>
    <w:rsid w:val="00AC7292"/>
    <w:rsid w:val="00AD004D"/>
    <w:rsid w:val="00AD0582"/>
    <w:rsid w:val="00AD5AD8"/>
    <w:rsid w:val="00AE2FA1"/>
    <w:rsid w:val="00AE4F3C"/>
    <w:rsid w:val="00AE7B9B"/>
    <w:rsid w:val="00AF3C07"/>
    <w:rsid w:val="00B02595"/>
    <w:rsid w:val="00B039ED"/>
    <w:rsid w:val="00B04CE9"/>
    <w:rsid w:val="00B06C08"/>
    <w:rsid w:val="00B100F1"/>
    <w:rsid w:val="00B109C0"/>
    <w:rsid w:val="00B15948"/>
    <w:rsid w:val="00B201AA"/>
    <w:rsid w:val="00B21D4B"/>
    <w:rsid w:val="00B23141"/>
    <w:rsid w:val="00B305FE"/>
    <w:rsid w:val="00B35D0D"/>
    <w:rsid w:val="00B404B2"/>
    <w:rsid w:val="00B4698C"/>
    <w:rsid w:val="00B50121"/>
    <w:rsid w:val="00B52A89"/>
    <w:rsid w:val="00B56A2C"/>
    <w:rsid w:val="00B57822"/>
    <w:rsid w:val="00B60CAC"/>
    <w:rsid w:val="00B67E8C"/>
    <w:rsid w:val="00B71D2C"/>
    <w:rsid w:val="00B7352E"/>
    <w:rsid w:val="00B7425B"/>
    <w:rsid w:val="00B742D2"/>
    <w:rsid w:val="00B74B7E"/>
    <w:rsid w:val="00B7552D"/>
    <w:rsid w:val="00B80FDF"/>
    <w:rsid w:val="00B82366"/>
    <w:rsid w:val="00B829B6"/>
    <w:rsid w:val="00B8336F"/>
    <w:rsid w:val="00B83C49"/>
    <w:rsid w:val="00B97CB2"/>
    <w:rsid w:val="00BA520A"/>
    <w:rsid w:val="00BA5D97"/>
    <w:rsid w:val="00BB472B"/>
    <w:rsid w:val="00BC5358"/>
    <w:rsid w:val="00BE10F4"/>
    <w:rsid w:val="00BE7380"/>
    <w:rsid w:val="00BF26A6"/>
    <w:rsid w:val="00C0126E"/>
    <w:rsid w:val="00C03422"/>
    <w:rsid w:val="00C04B4C"/>
    <w:rsid w:val="00C069FC"/>
    <w:rsid w:val="00C07724"/>
    <w:rsid w:val="00C10647"/>
    <w:rsid w:val="00C107CE"/>
    <w:rsid w:val="00C12CE0"/>
    <w:rsid w:val="00C13868"/>
    <w:rsid w:val="00C14677"/>
    <w:rsid w:val="00C16642"/>
    <w:rsid w:val="00C25B18"/>
    <w:rsid w:val="00C25DF6"/>
    <w:rsid w:val="00C36269"/>
    <w:rsid w:val="00C50C79"/>
    <w:rsid w:val="00C533B6"/>
    <w:rsid w:val="00C57C6B"/>
    <w:rsid w:val="00C73E5F"/>
    <w:rsid w:val="00C80B7A"/>
    <w:rsid w:val="00C81964"/>
    <w:rsid w:val="00CB5450"/>
    <w:rsid w:val="00CC4986"/>
    <w:rsid w:val="00CE1B41"/>
    <w:rsid w:val="00CE2822"/>
    <w:rsid w:val="00CE3069"/>
    <w:rsid w:val="00CE343C"/>
    <w:rsid w:val="00CE392D"/>
    <w:rsid w:val="00CE4011"/>
    <w:rsid w:val="00CF768D"/>
    <w:rsid w:val="00CF77DF"/>
    <w:rsid w:val="00D03C7B"/>
    <w:rsid w:val="00D2267C"/>
    <w:rsid w:val="00D268BC"/>
    <w:rsid w:val="00D34D8F"/>
    <w:rsid w:val="00D351DF"/>
    <w:rsid w:val="00D37C68"/>
    <w:rsid w:val="00D406BE"/>
    <w:rsid w:val="00D40810"/>
    <w:rsid w:val="00D445CF"/>
    <w:rsid w:val="00D47160"/>
    <w:rsid w:val="00D4732D"/>
    <w:rsid w:val="00D47F2B"/>
    <w:rsid w:val="00D5262D"/>
    <w:rsid w:val="00D61974"/>
    <w:rsid w:val="00D64439"/>
    <w:rsid w:val="00D660B7"/>
    <w:rsid w:val="00D66FDD"/>
    <w:rsid w:val="00D67A94"/>
    <w:rsid w:val="00D73358"/>
    <w:rsid w:val="00D73925"/>
    <w:rsid w:val="00D73ADB"/>
    <w:rsid w:val="00D73EE0"/>
    <w:rsid w:val="00D74662"/>
    <w:rsid w:val="00D75571"/>
    <w:rsid w:val="00D75EC4"/>
    <w:rsid w:val="00D86F47"/>
    <w:rsid w:val="00D921EE"/>
    <w:rsid w:val="00D956D4"/>
    <w:rsid w:val="00DA1B45"/>
    <w:rsid w:val="00DA213B"/>
    <w:rsid w:val="00DA3856"/>
    <w:rsid w:val="00DB2E51"/>
    <w:rsid w:val="00DB567C"/>
    <w:rsid w:val="00DC028F"/>
    <w:rsid w:val="00DC4EEF"/>
    <w:rsid w:val="00DC6ADA"/>
    <w:rsid w:val="00DC7EA4"/>
    <w:rsid w:val="00DD65D9"/>
    <w:rsid w:val="00DE016A"/>
    <w:rsid w:val="00DE251C"/>
    <w:rsid w:val="00DF228A"/>
    <w:rsid w:val="00DF44E7"/>
    <w:rsid w:val="00E110EC"/>
    <w:rsid w:val="00E124F4"/>
    <w:rsid w:val="00E1345E"/>
    <w:rsid w:val="00E14A51"/>
    <w:rsid w:val="00E27E98"/>
    <w:rsid w:val="00E32611"/>
    <w:rsid w:val="00E443E7"/>
    <w:rsid w:val="00E44996"/>
    <w:rsid w:val="00E44B0F"/>
    <w:rsid w:val="00E478E0"/>
    <w:rsid w:val="00E47CBC"/>
    <w:rsid w:val="00E522F0"/>
    <w:rsid w:val="00E54FB0"/>
    <w:rsid w:val="00E60B64"/>
    <w:rsid w:val="00E70F56"/>
    <w:rsid w:val="00E713B2"/>
    <w:rsid w:val="00E717C9"/>
    <w:rsid w:val="00E87A1D"/>
    <w:rsid w:val="00E90A23"/>
    <w:rsid w:val="00E91F44"/>
    <w:rsid w:val="00E9429B"/>
    <w:rsid w:val="00E966EF"/>
    <w:rsid w:val="00EA41C1"/>
    <w:rsid w:val="00EA6001"/>
    <w:rsid w:val="00EB1E66"/>
    <w:rsid w:val="00EC0D24"/>
    <w:rsid w:val="00EC2BD5"/>
    <w:rsid w:val="00ED312B"/>
    <w:rsid w:val="00ED4060"/>
    <w:rsid w:val="00ED68BA"/>
    <w:rsid w:val="00EE0519"/>
    <w:rsid w:val="00EE1486"/>
    <w:rsid w:val="00EE1717"/>
    <w:rsid w:val="00EE314D"/>
    <w:rsid w:val="00EE493F"/>
    <w:rsid w:val="00EE62C4"/>
    <w:rsid w:val="00EF6732"/>
    <w:rsid w:val="00EF74A2"/>
    <w:rsid w:val="00F00B58"/>
    <w:rsid w:val="00F02328"/>
    <w:rsid w:val="00F02940"/>
    <w:rsid w:val="00F06A0C"/>
    <w:rsid w:val="00F16106"/>
    <w:rsid w:val="00F31271"/>
    <w:rsid w:val="00F32B7F"/>
    <w:rsid w:val="00F337FE"/>
    <w:rsid w:val="00F33B28"/>
    <w:rsid w:val="00F33FE6"/>
    <w:rsid w:val="00F36AC3"/>
    <w:rsid w:val="00F40978"/>
    <w:rsid w:val="00F41A56"/>
    <w:rsid w:val="00F41D2A"/>
    <w:rsid w:val="00F43858"/>
    <w:rsid w:val="00F43DDA"/>
    <w:rsid w:val="00F4797A"/>
    <w:rsid w:val="00F53F23"/>
    <w:rsid w:val="00F63A4B"/>
    <w:rsid w:val="00F6579D"/>
    <w:rsid w:val="00F66A04"/>
    <w:rsid w:val="00F67CCD"/>
    <w:rsid w:val="00F72B8A"/>
    <w:rsid w:val="00F7569F"/>
    <w:rsid w:val="00F86EFD"/>
    <w:rsid w:val="00F92193"/>
    <w:rsid w:val="00F942EA"/>
    <w:rsid w:val="00F957FD"/>
    <w:rsid w:val="00FA0FDA"/>
    <w:rsid w:val="00FA22D0"/>
    <w:rsid w:val="00FA3079"/>
    <w:rsid w:val="00FA4144"/>
    <w:rsid w:val="00FA480B"/>
    <w:rsid w:val="00FA5DD0"/>
    <w:rsid w:val="00FB0F13"/>
    <w:rsid w:val="00FB3797"/>
    <w:rsid w:val="00FB5AD6"/>
    <w:rsid w:val="00FB5E64"/>
    <w:rsid w:val="00FC0BF3"/>
    <w:rsid w:val="00FC1D49"/>
    <w:rsid w:val="00FD0F07"/>
    <w:rsid w:val="00FD1A2B"/>
    <w:rsid w:val="00FD41AA"/>
    <w:rsid w:val="00FD4222"/>
    <w:rsid w:val="00FD6AFA"/>
    <w:rsid w:val="00FD7F3B"/>
    <w:rsid w:val="00FE0AC8"/>
    <w:rsid w:val="00FE333D"/>
    <w:rsid w:val="00FF175F"/>
    <w:rsid w:val="00FF204E"/>
    <w:rsid w:val="00FF4AC6"/>
    <w:rsid w:val="00FF726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4:docId w14:val="746FC7EE"/>
  <w15:docId w15:val="{0571362A-FDD7-4FA1-821E-D3622642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64"/>
    <w:pPr>
      <w:suppressAutoHyphens/>
      <w:jc w:val="both"/>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atz">
    <w:name w:val="Absatz"/>
    <w:basedOn w:val="Normal"/>
    <w:pPr>
      <w:ind w:left="1729"/>
    </w:pPr>
    <w:rPr>
      <w:rFonts w:ascii="Times New Roman" w:hAnsi="Times New Roman" w:cs="Times New Roman"/>
    </w:rPr>
  </w:style>
  <w:style w:type="paragraph" w:styleId="Corpsdetexte">
    <w:name w:val="Body Text"/>
    <w:basedOn w:val="Normal"/>
    <w:uiPriority w:val="99"/>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link w:val="Commentaire"/>
    <w:uiPriority w:val="99"/>
    <w:rPr>
      <w:lang w:val="de-DE"/>
    </w:rPr>
  </w:style>
  <w:style w:type="paragraph" w:styleId="Commentaire">
    <w:name w:val="annotation text"/>
    <w:basedOn w:val="Normal"/>
    <w:link w:val="CommentaireCar"/>
    <w:uiPriority w:val="99"/>
    <w:unhideWhenUsed/>
    <w:rsid w:val="00FD6AFA"/>
    <w:pPr>
      <w:suppressAutoHyphens w:val="0"/>
      <w:spacing w:after="200"/>
    </w:pPr>
    <w:rPr>
      <w:rFonts w:ascii="Times New Roman" w:hAnsi="Times New Roman" w:cs="Times New Roman"/>
      <w:lang w:val="de-DE" w:eastAsia="fr-FR"/>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
    <w:rPr>
      <w:sz w:val="22"/>
      <w:lang w:val="de-DE"/>
    </w:rPr>
  </w:style>
  <w:style w:type="character" w:customStyle="1" w:styleId="Titre1Car">
    <w:name w:val="Titre 1 Car"/>
    <w:uiPriority w:val="9"/>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uiPriority w:val="99"/>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paragraph" w:styleId="Retraitcorpsdetexte2">
    <w:name w:val="Body Text Indent 2"/>
    <w:basedOn w:val="Normal"/>
    <w:link w:val="Retraitcorpsdetexte2Car"/>
    <w:rsid w:val="00692E71"/>
    <w:pPr>
      <w:suppressAutoHyphens w:val="0"/>
      <w:autoSpaceDE w:val="0"/>
      <w:autoSpaceDN w:val="0"/>
      <w:adjustRightInd w:val="0"/>
      <w:ind w:left="720" w:hanging="720"/>
    </w:pPr>
    <w:rPr>
      <w:lang w:val="fr-FR" w:eastAsia="fr-FR"/>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paragraph" w:styleId="Titre">
    <w:name w:val="Title"/>
    <w:basedOn w:val="Normal"/>
    <w:next w:val="Normal"/>
    <w:link w:val="TitreCar"/>
    <w:qFormat/>
    <w:rsid w:val="00692E71"/>
    <w:pPr>
      <w:suppressAutoHyphens w:val="0"/>
      <w:spacing w:before="240" w:after="60"/>
      <w:jc w:val="center"/>
      <w:outlineLvl w:val="0"/>
    </w:pPr>
    <w:rPr>
      <w:rFonts w:eastAsia="Calibri"/>
      <w:b/>
      <w:kern w:val="1"/>
      <w:sz w:val="28"/>
      <w:szCs w:val="36"/>
      <w:lang w:val="fr-FR" w:eastAsia="fr-FR"/>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rPr>
      <w:rFonts w:ascii="Courier New" w:hAnsi="Courier New" w:cs="Courier New"/>
    </w:rPr>
  </w:style>
  <w:style w:type="paragraph" w:styleId="Textebrut">
    <w:name w:val="Plain Text"/>
    <w:basedOn w:val="Normal"/>
    <w:link w:val="TextebrutCar"/>
    <w:rsid w:val="00692E71"/>
    <w:pPr>
      <w:tabs>
        <w:tab w:val="left" w:pos="1077"/>
        <w:tab w:val="left" w:pos="1440"/>
      </w:tabs>
      <w:suppressAutoHyphens w:val="0"/>
      <w:overflowPunct w:val="0"/>
      <w:autoSpaceDE w:val="0"/>
      <w:autoSpaceDN w:val="0"/>
      <w:adjustRightInd w:val="0"/>
      <w:spacing w:after="240"/>
      <w:textAlignment w:val="baseline"/>
    </w:pPr>
    <w:rPr>
      <w:rFonts w:ascii="Courier New" w:hAnsi="Courier New" w:cs="Courier New"/>
      <w:lang w:val="fr-FR" w:eastAsia="fr-FR"/>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DAR001 Char1"/>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FT Car Car Car Car,Fußnotentext,Footnotetext,Fotnotstext LoEP"/>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character" w:customStyle="1" w:styleId="NotedefinCar">
    <w:name w:val="Note de fin Car"/>
    <w:basedOn w:val="Policepardfaut"/>
    <w:link w:val="Notedefin"/>
    <w:rsid w:val="00692E71"/>
    <w:rPr>
      <w:position w:val="4"/>
      <w:lang w:val="en-GB" w:eastAsia="zh-CN"/>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
    <w:pPr>
      <w:ind w:left="567"/>
    </w:pPr>
    <w:rPr>
      <w:sz w:val="24"/>
    </w:rPr>
  </w:style>
  <w:style w:type="character" w:customStyle="1" w:styleId="RetraitcorpsdetexteCar">
    <w:name w:val="Retrait corps de texte Car"/>
    <w:basedOn w:val="Policepardfaut"/>
    <w:link w:val="Retraitcorpsdetexte"/>
    <w:rsid w:val="00692E71"/>
    <w:rPr>
      <w:rFonts w:ascii="Verdana" w:hAnsi="Verdana" w:cs="Verdana"/>
      <w:sz w:val="24"/>
      <w:lang w:val="en-GB" w:eastAsia="zh-CN"/>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character" w:customStyle="1" w:styleId="Standard-italicsChar">
    <w:name w:val="Standard-italics Char"/>
    <w:basedOn w:val="Policepardfaut"/>
    <w:link w:val="Standard-italics"/>
    <w:rsid w:val="00AD0582"/>
    <w:rPr>
      <w:rFonts w:ascii="Verdana" w:hAnsi="Verdana" w:cs="Verdana"/>
      <w:i/>
      <w:lang w:val="en-GB" w:eastAsia="zh-CN"/>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character" w:customStyle="1" w:styleId="ParagraphedelisteCar">
    <w:name w:val="Paragraphe de liste Car"/>
    <w:link w:val="Paragraphedeliste"/>
    <w:uiPriority w:val="34"/>
    <w:rsid w:val="00692E71"/>
    <w:rPr>
      <w:rFonts w:ascii="Verdana" w:hAnsi="Verdana" w:cs="Verdana"/>
      <w:lang w:val="en-GB" w:eastAsia="zh-CN"/>
    </w:r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CommentaireCar1">
    <w:name w:val="Commentaire Car1"/>
    <w:basedOn w:val="Policepardfaut"/>
    <w:uiPriority w:val="99"/>
    <w:semiHidden/>
    <w:rsid w:val="00FD6AFA"/>
    <w:rPr>
      <w:rFonts w:ascii="Verdana" w:hAnsi="Verdana" w:cs="Verdana"/>
      <w:lang w:val="en-GB" w:eastAsia="zh-CN"/>
    </w:rPr>
  </w:style>
  <w:style w:type="character" w:styleId="Marquedecommentaire">
    <w:name w:val="annotation reference"/>
    <w:uiPriority w:val="99"/>
    <w:rsid w:val="00FD6AFA"/>
    <w:rPr>
      <w:sz w:val="16"/>
      <w:szCs w:val="16"/>
    </w:rPr>
  </w:style>
  <w:style w:type="table" w:styleId="Grilledutableau">
    <w:name w:val="Table Grid"/>
    <w:basedOn w:val="TableauNormal"/>
    <w:uiPriority w:val="59"/>
    <w:rsid w:val="00692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692E71"/>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692E71"/>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692E71"/>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0">
    <w:name w:val="_TITRE1"/>
    <w:basedOn w:val="Normal"/>
    <w:next w:val="Normal"/>
    <w:qFormat/>
    <w:rsid w:val="00692E71"/>
    <w:pPr>
      <w:keepNext/>
      <w:keepLines/>
      <w:numPr>
        <w:numId w:val="4"/>
      </w:numPr>
      <w:shd w:val="clear" w:color="auto" w:fill="C8C2B6"/>
      <w:suppressAutoHyphens w:val="0"/>
      <w:autoSpaceDE w:val="0"/>
      <w:autoSpaceDN w:val="0"/>
      <w:adjustRightInd w:val="0"/>
      <w:spacing w:before="600" w:after="120"/>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692E71"/>
    <w:pPr>
      <w:keepNext/>
      <w:keepLines/>
      <w:numPr>
        <w:ilvl w:val="1"/>
        <w:numId w:val="4"/>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692E71"/>
    <w:pPr>
      <w:keepNext/>
      <w:keepLines/>
      <w:numPr>
        <w:ilvl w:val="2"/>
        <w:numId w:val="4"/>
      </w:numPr>
      <w:suppressAutoHyphens w:val="0"/>
      <w:autoSpaceDE w:val="0"/>
      <w:autoSpaceDN w:val="0"/>
      <w:adjustRightInd w:val="0"/>
      <w:spacing w:before="240" w:after="60"/>
      <w:ind w:left="1225" w:hanging="505"/>
      <w:outlineLvl w:val="0"/>
    </w:pPr>
    <w:rPr>
      <w:rFonts w:ascii="Arial" w:hAnsi="Arial" w:cs="Arial"/>
      <w:b/>
      <w:lang w:val="fr-FR" w:eastAsia="fr-FR"/>
    </w:rPr>
  </w:style>
  <w:style w:type="paragraph" w:customStyle="1" w:styleId="En-tteheaderprotocols">
    <w:name w:val="En-tête.header protocols"/>
    <w:basedOn w:val="Normal"/>
    <w:rsid w:val="00692E71"/>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692E71"/>
    <w:pPr>
      <w:widowControl w:val="0"/>
      <w:numPr>
        <w:numId w:val="5"/>
      </w:numPr>
      <w:suppressAutoHyphens w:val="0"/>
      <w:kinsoku w:val="0"/>
      <w:ind w:left="0" w:hanging="357"/>
      <w:mirrorIndents/>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692E71"/>
    <w:rPr>
      <w:rFonts w:ascii="Calibri" w:hAnsi="Calibri" w:cs="Calibri"/>
      <w:color w:val="000000"/>
      <w:spacing w:val="-4"/>
      <w:sz w:val="22"/>
      <w:szCs w:val="22"/>
      <w:lang w:val="en-US"/>
    </w:rPr>
  </w:style>
  <w:style w:type="paragraph" w:customStyle="1" w:styleId="Paragraphedeliste1">
    <w:name w:val="Paragraphe de liste1"/>
    <w:basedOn w:val="Normal"/>
    <w:rsid w:val="00692E71"/>
    <w:pPr>
      <w:suppressAutoHyphens w:val="0"/>
      <w:spacing w:line="260" w:lineRule="atLeast"/>
      <w:ind w:left="720"/>
      <w:contextualSpacing/>
    </w:pPr>
    <w:rPr>
      <w:rFonts w:ascii="Times New Roman" w:eastAsia="Calibri" w:hAnsi="Times New Roman" w:cs="Times New Roman"/>
      <w:sz w:val="22"/>
      <w:szCs w:val="24"/>
      <w:lang w:val="sv-SE" w:eastAsia="sv-SE"/>
    </w:rPr>
  </w:style>
  <w:style w:type="paragraph" w:customStyle="1" w:styleId="Endpoint">
    <w:name w:val="End point"/>
    <w:basedOn w:val="Normal"/>
    <w:rsid w:val="00692E71"/>
    <w:pPr>
      <w:suppressAutoHyphens w:val="0"/>
      <w:autoSpaceDE w:val="0"/>
      <w:autoSpaceDN w:val="0"/>
      <w:adjustRightInd w:val="0"/>
      <w:spacing w:before="120" w:after="120" w:line="288" w:lineRule="auto"/>
    </w:pPr>
    <w:rPr>
      <w:rFonts w:ascii="Arial" w:hAnsi="Arial" w:cs="Arial"/>
      <w:color w:val="000000"/>
      <w:lang w:eastAsia="de-DE"/>
    </w:rPr>
  </w:style>
  <w:style w:type="paragraph" w:customStyle="1" w:styleId="NormalConclusion">
    <w:name w:val="Normal Conclusion"/>
    <w:basedOn w:val="Normal"/>
    <w:rsid w:val="00692E71"/>
    <w:pPr>
      <w:suppressAutoHyphens w:val="0"/>
      <w:overflowPunct w:val="0"/>
      <w:autoSpaceDE w:val="0"/>
      <w:autoSpaceDN w:val="0"/>
      <w:adjustRightInd w:val="0"/>
      <w:spacing w:before="120" w:after="120"/>
      <w:ind w:left="1985" w:hanging="1985"/>
      <w:textAlignment w:val="baseline"/>
    </w:pPr>
    <w:rPr>
      <w:rFonts w:ascii="Arial" w:hAnsi="Arial" w:cs="Arial"/>
      <w:b/>
      <w:color w:val="000000"/>
      <w:szCs w:val="24"/>
      <w:lang w:eastAsia="en-US"/>
    </w:rPr>
  </w:style>
  <w:style w:type="character" w:customStyle="1" w:styleId="NormalConclusionCar">
    <w:name w:val="Normal Conclusion Car"/>
    <w:rsid w:val="00692E71"/>
    <w:rPr>
      <w:b/>
      <w:sz w:val="24"/>
      <w:szCs w:val="24"/>
      <w:lang w:val="en-GB" w:eastAsia="en-US" w:bidi="ar-SA"/>
    </w:rPr>
  </w:style>
  <w:style w:type="paragraph" w:customStyle="1" w:styleId="NormalSummary">
    <w:name w:val="Normal Summary"/>
    <w:basedOn w:val="Normal"/>
    <w:next w:val="Normal"/>
    <w:rsid w:val="00692E71"/>
    <w:pPr>
      <w:suppressAutoHyphens w:val="0"/>
      <w:overflowPunct w:val="0"/>
      <w:autoSpaceDE w:val="0"/>
      <w:autoSpaceDN w:val="0"/>
      <w:adjustRightInd w:val="0"/>
      <w:spacing w:before="120" w:after="120"/>
      <w:ind w:left="1985" w:hanging="1985"/>
      <w:textAlignment w:val="baseline"/>
    </w:pPr>
    <w:rPr>
      <w:rFonts w:ascii="Arial" w:hAnsi="Arial" w:cs="Arial"/>
      <w:color w:val="000000"/>
      <w:szCs w:val="24"/>
      <w:lang w:eastAsia="en-US"/>
    </w:rPr>
  </w:style>
  <w:style w:type="character" w:customStyle="1" w:styleId="NormalSummaryCar">
    <w:name w:val="Normal Summary Car"/>
    <w:rsid w:val="00692E71"/>
    <w:rPr>
      <w:sz w:val="24"/>
      <w:szCs w:val="24"/>
      <w:lang w:val="en-GB" w:eastAsia="en-US" w:bidi="ar-SA"/>
    </w:rPr>
  </w:style>
  <w:style w:type="character" w:customStyle="1" w:styleId="NormalSummaryChar">
    <w:name w:val="Normal Summary Char"/>
    <w:rsid w:val="00692E71"/>
    <w:rPr>
      <w:sz w:val="24"/>
      <w:lang w:val="en-GB" w:eastAsia="en-US" w:bidi="ar-SA"/>
    </w:rPr>
  </w:style>
  <w:style w:type="paragraph" w:customStyle="1" w:styleId="NormalDossier">
    <w:name w:val="Normal Dossier"/>
    <w:basedOn w:val="Normal"/>
    <w:rsid w:val="00692E71"/>
    <w:pPr>
      <w:suppressAutoHyphens w:val="0"/>
      <w:overflowPunct w:val="0"/>
      <w:autoSpaceDE w:val="0"/>
      <w:autoSpaceDN w:val="0"/>
      <w:adjustRightInd w:val="0"/>
      <w:spacing w:before="120" w:after="120"/>
      <w:textAlignment w:val="baseline"/>
    </w:pPr>
    <w:rPr>
      <w:rFonts w:ascii="Arial" w:hAnsi="Arial" w:cs="Arial"/>
      <w:color w:val="000000"/>
      <w:szCs w:val="24"/>
      <w:lang w:eastAsia="en-US"/>
    </w:rPr>
  </w:style>
  <w:style w:type="character" w:customStyle="1" w:styleId="NormalDossierCar">
    <w:name w:val="Normal Dossier Car"/>
    <w:rsid w:val="00692E71"/>
    <w:rPr>
      <w:sz w:val="24"/>
      <w:szCs w:val="24"/>
      <w:lang w:val="en-GB" w:eastAsia="en-US" w:bidi="ar-SA"/>
    </w:rPr>
  </w:style>
  <w:style w:type="paragraph" w:customStyle="1" w:styleId="Tablehead0">
    <w:name w:val="Table head"/>
    <w:basedOn w:val="Normal"/>
    <w:rsid w:val="00692E71"/>
    <w:pPr>
      <w:suppressAutoHyphens w:val="0"/>
      <w:overflowPunct w:val="0"/>
      <w:autoSpaceDE w:val="0"/>
      <w:autoSpaceDN w:val="0"/>
      <w:adjustRightInd w:val="0"/>
      <w:spacing w:before="60" w:after="60"/>
      <w:jc w:val="center"/>
      <w:textAlignment w:val="baseline"/>
    </w:pPr>
    <w:rPr>
      <w:rFonts w:ascii="Arial" w:hAnsi="Arial" w:cs="Arial"/>
      <w:b/>
      <w:color w:val="FF0000"/>
      <w:szCs w:val="24"/>
      <w:lang w:eastAsia="en-US"/>
    </w:rPr>
  </w:style>
  <w:style w:type="paragraph" w:customStyle="1" w:styleId="Table">
    <w:name w:val="Table"/>
    <w:basedOn w:val="NormalDossier"/>
    <w:rsid w:val="00692E71"/>
    <w:pPr>
      <w:overflowPunct/>
      <w:autoSpaceDE/>
      <w:autoSpaceDN/>
      <w:adjustRightInd/>
      <w:spacing w:before="60" w:after="60"/>
      <w:jc w:val="center"/>
      <w:textAlignment w:val="auto"/>
    </w:pPr>
  </w:style>
  <w:style w:type="character" w:customStyle="1" w:styleId="NormalDossierChar">
    <w:name w:val="Normal Dossier Char"/>
    <w:rsid w:val="00692E71"/>
    <w:rPr>
      <w:sz w:val="24"/>
      <w:lang w:val="en-GB" w:eastAsia="en-US" w:bidi="ar-SA"/>
    </w:rPr>
  </w:style>
  <w:style w:type="character" w:customStyle="1" w:styleId="TableCar">
    <w:name w:val="Table Car"/>
    <w:rsid w:val="00692E71"/>
    <w:rPr>
      <w:sz w:val="24"/>
      <w:szCs w:val="24"/>
      <w:lang w:val="en-GB" w:eastAsia="en-US" w:bidi="ar-SA"/>
    </w:rPr>
  </w:style>
  <w:style w:type="character" w:customStyle="1" w:styleId="TableheadCar">
    <w:name w:val="Table head Car"/>
    <w:rsid w:val="00692E71"/>
    <w:rPr>
      <w:b/>
      <w:color w:val="FF0000"/>
      <w:sz w:val="24"/>
      <w:szCs w:val="24"/>
      <w:lang w:val="en-GB" w:eastAsia="en-US" w:bidi="ar-SA"/>
    </w:rPr>
  </w:style>
  <w:style w:type="character" w:customStyle="1" w:styleId="NormalConclusionChar">
    <w:name w:val="Normal Conclusion Char"/>
    <w:rsid w:val="00692E71"/>
    <w:rPr>
      <w:b/>
      <w:sz w:val="24"/>
      <w:lang w:val="en-GB" w:eastAsia="en-US" w:bidi="ar-SA"/>
    </w:rPr>
  </w:style>
  <w:style w:type="character" w:customStyle="1" w:styleId="TableChar">
    <w:name w:val="Table Char"/>
    <w:basedOn w:val="NormalDossierChar"/>
    <w:rsid w:val="00692E71"/>
    <w:rPr>
      <w:sz w:val="24"/>
      <w:lang w:val="en-GB" w:eastAsia="en-US" w:bidi="ar-SA"/>
    </w:rPr>
  </w:style>
  <w:style w:type="character" w:customStyle="1" w:styleId="TableheadChar">
    <w:name w:val="Table head Char"/>
    <w:rsid w:val="00692E71"/>
    <w:rPr>
      <w:b/>
      <w:color w:val="FF0000"/>
      <w:lang w:val="en-GB" w:eastAsia="en-US" w:bidi="ar-SA"/>
    </w:rPr>
  </w:style>
  <w:style w:type="paragraph" w:customStyle="1" w:styleId="NormalTierI">
    <w:name w:val="Normal Tier I"/>
    <w:basedOn w:val="Normal"/>
    <w:rsid w:val="00692E71"/>
    <w:pPr>
      <w:suppressAutoHyphens w:val="0"/>
      <w:autoSpaceDE w:val="0"/>
      <w:autoSpaceDN w:val="0"/>
      <w:adjustRightInd w:val="0"/>
      <w:spacing w:before="60" w:after="60"/>
    </w:pPr>
    <w:rPr>
      <w:rFonts w:ascii="Arial" w:hAnsi="Arial" w:cs="Arial"/>
      <w:color w:val="000000"/>
      <w:lang w:eastAsia="en-US"/>
    </w:rPr>
  </w:style>
  <w:style w:type="paragraph" w:customStyle="1" w:styleId="Standard-fettChar">
    <w:name w:val="Standard-fett Char"/>
    <w:basedOn w:val="Normal"/>
    <w:rsid w:val="00692E71"/>
    <w:pPr>
      <w:suppressAutoHyphens w:val="0"/>
      <w:autoSpaceDE w:val="0"/>
      <w:autoSpaceDN w:val="0"/>
      <w:adjustRightInd w:val="0"/>
      <w:spacing w:before="60" w:after="60" w:line="288" w:lineRule="auto"/>
    </w:pPr>
    <w:rPr>
      <w:rFonts w:ascii="Arial" w:hAnsi="Arial" w:cs="Arial"/>
      <w:b/>
      <w:color w:val="000000"/>
      <w:sz w:val="22"/>
      <w:szCs w:val="24"/>
      <w:lang w:val="de-DE" w:eastAsia="de-DE"/>
    </w:rPr>
  </w:style>
  <w:style w:type="character" w:customStyle="1" w:styleId="Standard-fettCharChar">
    <w:name w:val="Standard-fett Char Char"/>
    <w:rsid w:val="00692E71"/>
    <w:rPr>
      <w:b/>
      <w:sz w:val="22"/>
      <w:szCs w:val="24"/>
      <w:lang w:val="de-DE" w:eastAsia="de-DE" w:bidi="ar-SA"/>
    </w:rPr>
  </w:style>
  <w:style w:type="paragraph" w:styleId="Corpsdetexte3">
    <w:name w:val="Body Text 3"/>
    <w:basedOn w:val="Normal"/>
    <w:link w:val="Corpsdetexte3Car"/>
    <w:rsid w:val="00692E71"/>
    <w:pPr>
      <w:suppressAutoHyphens w:val="0"/>
      <w:autoSpaceDE w:val="0"/>
      <w:autoSpaceDN w:val="0"/>
      <w:adjustRightInd w:val="0"/>
      <w:spacing w:before="40" w:after="80" w:line="288" w:lineRule="auto"/>
    </w:pPr>
    <w:rPr>
      <w:rFonts w:ascii="Arial" w:hAnsi="Arial" w:cs="Arial"/>
      <w:color w:val="0000FF"/>
      <w:sz w:val="22"/>
      <w:lang w:eastAsia="de-DE"/>
    </w:rPr>
  </w:style>
  <w:style w:type="character" w:customStyle="1" w:styleId="Corpsdetexte3Car">
    <w:name w:val="Corps de texte 3 Car"/>
    <w:basedOn w:val="Policepardfaut"/>
    <w:link w:val="Corpsdetexte3"/>
    <w:rsid w:val="00692E71"/>
    <w:rPr>
      <w:rFonts w:ascii="Arial" w:hAnsi="Arial" w:cs="Arial"/>
      <w:color w:val="0000FF"/>
      <w:sz w:val="22"/>
      <w:lang w:val="en-GB" w:eastAsia="de-DE"/>
    </w:rPr>
  </w:style>
  <w:style w:type="paragraph" w:customStyle="1" w:styleId="Subheading">
    <w:name w:val="Subheading"/>
    <w:basedOn w:val="NormalDossier"/>
    <w:next w:val="NormalDossier"/>
    <w:rsid w:val="00692E71"/>
    <w:rPr>
      <w:b/>
      <w:szCs w:val="20"/>
    </w:rPr>
  </w:style>
  <w:style w:type="paragraph" w:styleId="Corpsdetexte2">
    <w:name w:val="Body Text 2"/>
    <w:basedOn w:val="Normal"/>
    <w:link w:val="Corpsdetexte2Car"/>
    <w:rsid w:val="00692E71"/>
    <w:pPr>
      <w:suppressAutoHyphens w:val="0"/>
      <w:autoSpaceDE w:val="0"/>
      <w:autoSpaceDN w:val="0"/>
      <w:adjustRightInd w:val="0"/>
    </w:pPr>
    <w:rPr>
      <w:rFonts w:ascii="Arial" w:hAnsi="Arial" w:cs="Arial"/>
      <w:color w:val="000000"/>
      <w:sz w:val="22"/>
      <w:szCs w:val="22"/>
      <w:lang w:eastAsia="fr-FR"/>
    </w:rPr>
  </w:style>
  <w:style w:type="character" w:customStyle="1" w:styleId="Corpsdetexte2Car">
    <w:name w:val="Corps de texte 2 Car"/>
    <w:basedOn w:val="Policepardfaut"/>
    <w:link w:val="Corpsdetexte2"/>
    <w:rsid w:val="00692E71"/>
    <w:rPr>
      <w:rFonts w:ascii="Arial" w:hAnsi="Arial" w:cs="Arial"/>
      <w:color w:val="000000"/>
      <w:sz w:val="22"/>
      <w:szCs w:val="22"/>
      <w:lang w:val="en-GB"/>
    </w:rPr>
  </w:style>
  <w:style w:type="character" w:customStyle="1" w:styleId="Retraitcorpsdetexte2Car1">
    <w:name w:val="Retrait corps de texte 2 Car1"/>
    <w:basedOn w:val="Policepardfaut"/>
    <w:uiPriority w:val="99"/>
    <w:semiHidden/>
    <w:rsid w:val="00692E71"/>
    <w:rPr>
      <w:rFonts w:ascii="Verdana" w:hAnsi="Verdana" w:cs="Verdana"/>
      <w:lang w:val="en-GB" w:eastAsia="zh-CN"/>
    </w:rPr>
  </w:style>
  <w:style w:type="paragraph" w:styleId="PrformatHTML">
    <w:name w:val="HTML Preformatted"/>
    <w:basedOn w:val="Normal"/>
    <w:link w:val="PrformatHTMLCar"/>
    <w:rsid w:val="0069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pPr>
    <w:rPr>
      <w:rFonts w:eastAsia="Courier New" w:cs="Courier New"/>
      <w:color w:val="000000"/>
      <w:lang w:eastAsia="fr-FR"/>
    </w:rPr>
  </w:style>
  <w:style w:type="character" w:customStyle="1" w:styleId="PrformatHTMLCar">
    <w:name w:val="Préformaté HTML Car"/>
    <w:basedOn w:val="Policepardfaut"/>
    <w:link w:val="PrformatHTML"/>
    <w:rsid w:val="00692E71"/>
    <w:rPr>
      <w:rFonts w:ascii="Verdana" w:eastAsia="Courier New" w:hAnsi="Verdana" w:cs="Courier New"/>
      <w:color w:val="000000"/>
      <w:lang w:val="en-GB"/>
    </w:rPr>
  </w:style>
  <w:style w:type="paragraph" w:customStyle="1" w:styleId="Style2">
    <w:name w:val="Style2"/>
    <w:basedOn w:val="Normal"/>
    <w:qFormat/>
    <w:rsid w:val="00692E71"/>
    <w:pPr>
      <w:numPr>
        <w:ilvl w:val="6"/>
        <w:numId w:val="11"/>
      </w:numPr>
      <w:tabs>
        <w:tab w:val="clear" w:pos="-725"/>
        <w:tab w:val="left" w:pos="1701"/>
      </w:tabs>
      <w:suppressAutoHyphens w:val="0"/>
      <w:autoSpaceDE w:val="0"/>
      <w:autoSpaceDN w:val="0"/>
      <w:adjustRightInd w:val="0"/>
      <w:spacing w:before="240" w:after="60"/>
      <w:ind w:left="0"/>
      <w:outlineLvl w:val="6"/>
    </w:pPr>
    <w:rPr>
      <w:rFonts w:ascii="Arial" w:hAnsi="Arial" w:cs="Arial"/>
      <w:color w:val="000000"/>
      <w:szCs w:val="24"/>
      <w:lang w:eastAsia="fr-FR"/>
    </w:rPr>
  </w:style>
  <w:style w:type="paragraph" w:customStyle="1" w:styleId="Style1">
    <w:name w:val="Style1"/>
    <w:basedOn w:val="Titre7"/>
    <w:qFormat/>
    <w:rsid w:val="00692E71"/>
    <w:pPr>
      <w:keepNext w:val="0"/>
      <w:tabs>
        <w:tab w:val="clear" w:pos="0"/>
        <w:tab w:val="num" w:pos="-725"/>
      </w:tabs>
      <w:suppressAutoHyphens w:val="0"/>
      <w:autoSpaceDE w:val="0"/>
      <w:autoSpaceDN w:val="0"/>
      <w:adjustRightInd w:val="0"/>
      <w:spacing w:before="240" w:after="60" w:line="240" w:lineRule="auto"/>
      <w:ind w:left="0" w:firstLine="0"/>
      <w:jc w:val="both"/>
    </w:pPr>
    <w:rPr>
      <w:rFonts w:ascii="Arial" w:hAnsi="Arial" w:cs="Arial"/>
      <w:caps w:val="0"/>
      <w:color w:val="000000"/>
      <w:sz w:val="20"/>
      <w:szCs w:val="24"/>
      <w:lang w:val="en-GB" w:eastAsia="fr-FR"/>
    </w:rPr>
  </w:style>
  <w:style w:type="character" w:customStyle="1" w:styleId="CommentTextChar">
    <w:name w:val="Comment Text Char"/>
    <w:semiHidden/>
    <w:locked/>
    <w:rsid w:val="00692E71"/>
    <w:rPr>
      <w:rFonts w:cs="Times New Roman"/>
      <w:lang w:val="en-GB" w:eastAsia="en-US"/>
    </w:rPr>
  </w:style>
  <w:style w:type="character" w:customStyle="1" w:styleId="StyleArial11pt">
    <w:name w:val="Style Arial 11 pt"/>
    <w:rsid w:val="00692E71"/>
    <w:rPr>
      <w:rFonts w:ascii="Arial" w:hAnsi="Arial"/>
      <w:sz w:val="22"/>
    </w:rPr>
  </w:style>
  <w:style w:type="character" w:styleId="Textedelespacerserv">
    <w:name w:val="Placeholder Text"/>
    <w:basedOn w:val="Policepardfaut"/>
    <w:uiPriority w:val="99"/>
    <w:semiHidden/>
    <w:rsid w:val="00692E71"/>
    <w:rPr>
      <w:color w:val="808080"/>
    </w:rPr>
  </w:style>
  <w:style w:type="paragraph" w:styleId="Tabledesillustrations">
    <w:name w:val="table of figures"/>
    <w:basedOn w:val="Normal"/>
    <w:next w:val="Normal"/>
    <w:uiPriority w:val="99"/>
    <w:semiHidden/>
    <w:unhideWhenUsed/>
    <w:rsid w:val="00692E71"/>
    <w:pPr>
      <w:suppressAutoHyphens w:val="0"/>
      <w:spacing w:line="260" w:lineRule="atLeast"/>
    </w:pPr>
    <w:rPr>
      <w:rFonts w:ascii="Arial" w:eastAsia="Calibri" w:hAnsi="Arial" w:cs="Times New Roman"/>
      <w:szCs w:val="24"/>
      <w:lang w:val="sv-SE" w:eastAsia="sv-SE"/>
    </w:rPr>
  </w:style>
  <w:style w:type="paragraph" w:customStyle="1" w:styleId="references-small">
    <w:name w:val="references-small"/>
    <w:basedOn w:val="Normal"/>
    <w:rsid w:val="00692E71"/>
    <w:pPr>
      <w:suppressAutoHyphens w:val="0"/>
      <w:spacing w:before="100" w:beforeAutospacing="1" w:after="100" w:afterAutospacing="1"/>
    </w:pPr>
    <w:rPr>
      <w:rFonts w:ascii="Arial Unicode MS" w:eastAsia="Arial Unicode MS" w:hAnsi="Arial Unicode MS" w:cs="Arial Unicode MS"/>
      <w:sz w:val="22"/>
      <w:szCs w:val="22"/>
      <w:lang w:val="fr-FR" w:eastAsia="en-US"/>
    </w:rPr>
  </w:style>
  <w:style w:type="paragraph" w:customStyle="1" w:styleId="ipa">
    <w:name w:val="ipa"/>
    <w:basedOn w:val="Normal"/>
    <w:rsid w:val="00692E71"/>
    <w:pPr>
      <w:suppressAutoHyphens w:val="0"/>
      <w:spacing w:before="100" w:beforeAutospacing="1" w:after="100" w:afterAutospacing="1"/>
    </w:pPr>
    <w:rPr>
      <w:rFonts w:ascii="inherit" w:eastAsia="Arial Unicode MS" w:hAnsi="inherit" w:cs="Arial Unicode MS"/>
      <w:lang w:val="fr-FR" w:eastAsia="en-US"/>
    </w:rPr>
  </w:style>
  <w:style w:type="character" w:customStyle="1" w:styleId="TextebrutCar1">
    <w:name w:val="Texte brut Car1"/>
    <w:basedOn w:val="Policepardfaut"/>
    <w:uiPriority w:val="99"/>
    <w:semiHidden/>
    <w:rsid w:val="00692E71"/>
    <w:rPr>
      <w:rFonts w:ascii="Consolas" w:hAnsi="Consolas" w:cs="Consolas"/>
      <w:sz w:val="21"/>
      <w:szCs w:val="21"/>
      <w:lang w:val="en-GB" w:eastAsia="zh-CN"/>
    </w:rPr>
  </w:style>
  <w:style w:type="character" w:customStyle="1" w:styleId="TitreCar1">
    <w:name w:val="Titre Car1"/>
    <w:basedOn w:val="Policepardfaut"/>
    <w:uiPriority w:val="10"/>
    <w:rsid w:val="00692E71"/>
    <w:rPr>
      <w:rFonts w:asciiTheme="majorHAnsi" w:eastAsiaTheme="majorEastAsia" w:hAnsiTheme="majorHAnsi" w:cstheme="majorBidi"/>
      <w:color w:val="17365D" w:themeColor="text2" w:themeShade="BF"/>
      <w:spacing w:val="5"/>
      <w:kern w:val="28"/>
      <w:sz w:val="52"/>
      <w:szCs w:val="52"/>
      <w:lang w:val="en-GB" w:eastAsia="zh-CN"/>
    </w:rPr>
  </w:style>
  <w:style w:type="paragraph" w:customStyle="1" w:styleId="OECD-table">
    <w:name w:val="OECD-table"/>
    <w:basedOn w:val="Normal"/>
    <w:rsid w:val="00FC1D49"/>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2"/>
    <w:semiHidden/>
    <w:qFormat/>
    <w:rsid w:val="00FC1D49"/>
    <w:rPr>
      <w:lang w:val="de-DE" w:eastAsia="de-DE"/>
    </w:rPr>
    <w:tblPr>
      <w:tblCellMar>
        <w:top w:w="0" w:type="dxa"/>
        <w:left w:w="108" w:type="dxa"/>
        <w:bottom w:w="0" w:type="dxa"/>
        <w:right w:w="108" w:type="dxa"/>
      </w:tblCellMar>
    </w:tblPr>
  </w:style>
  <w:style w:type="paragraph" w:customStyle="1" w:styleId="TableText9ptHeader">
    <w:name w:val="Table Text 9pt Header"/>
    <w:basedOn w:val="Normal"/>
    <w:rsid w:val="00FC1D49"/>
    <w:pPr>
      <w:suppressAutoHyphens w:val="0"/>
      <w:overflowPunct w:val="0"/>
      <w:autoSpaceDE w:val="0"/>
      <w:autoSpaceDN w:val="0"/>
      <w:adjustRightInd w:val="0"/>
      <w:textAlignment w:val="baseline"/>
    </w:pPr>
    <w:rPr>
      <w:rFonts w:ascii="Arial" w:hAnsi="Arial" w:cs="Times New Roman"/>
      <w:b/>
      <w:color w:val="000000"/>
      <w:sz w:val="18"/>
      <w:lang w:eastAsia="en-US"/>
    </w:rPr>
  </w:style>
  <w:style w:type="paragraph" w:customStyle="1" w:styleId="TableText8pt">
    <w:name w:val="Table Text 8pt"/>
    <w:basedOn w:val="Normal"/>
    <w:rsid w:val="00FC1D49"/>
    <w:pPr>
      <w:suppressAutoHyphens w:val="0"/>
      <w:overflowPunct w:val="0"/>
      <w:autoSpaceDE w:val="0"/>
      <w:autoSpaceDN w:val="0"/>
      <w:adjustRightInd w:val="0"/>
      <w:textAlignment w:val="baseline"/>
    </w:pPr>
    <w:rPr>
      <w:rFonts w:ascii="Arial" w:hAnsi="Arial" w:cs="Times New Roman"/>
      <w:sz w:val="16"/>
      <w:lang w:val="en-US" w:eastAsia="en-US"/>
    </w:rPr>
  </w:style>
  <w:style w:type="table" w:customStyle="1" w:styleId="Grilledutableau1">
    <w:name w:val="Grille du tableau1"/>
    <w:basedOn w:val="TableauNormal"/>
    <w:next w:val="Grilledutableau"/>
    <w:uiPriority w:val="59"/>
    <w:rsid w:val="009D45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D45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9D45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Standard111ptFettVor12ptZeilenabstandMehrere">
    <w:name w:val="Formatvorlage Standard1 + 11 pt Fett Vor:  12 pt Zeilenabstand:  Mehrere..."/>
    <w:basedOn w:val="Normal"/>
    <w:rsid w:val="009D4550"/>
    <w:pPr>
      <w:keepNext/>
      <w:suppressAutoHyphens w:val="0"/>
      <w:spacing w:before="240" w:after="40" w:line="288" w:lineRule="auto"/>
    </w:pPr>
    <w:rPr>
      <w:rFonts w:ascii="Times New Roman" w:hAnsi="Times New Roman" w:cs="Times New Roman"/>
      <w:b/>
      <w:bCs/>
      <w:sz w:val="22"/>
      <w:lang w:eastAsia="de-DE"/>
    </w:rPr>
  </w:style>
  <w:style w:type="paragraph" w:customStyle="1" w:styleId="Normaltext">
    <w:name w:val="Normal text"/>
    <w:autoRedefine/>
    <w:rsid w:val="009D4550"/>
    <w:pPr>
      <w:overflowPunct w:val="0"/>
      <w:autoSpaceDE w:val="0"/>
      <w:autoSpaceDN w:val="0"/>
      <w:adjustRightInd w:val="0"/>
      <w:spacing w:after="240" w:line="276" w:lineRule="auto"/>
      <w:jc w:val="both"/>
      <w:textAlignment w:val="baseline"/>
    </w:pPr>
    <w:rPr>
      <w:bCs/>
      <w:iCs/>
      <w:color w:val="000000"/>
      <w:sz w:val="22"/>
      <w:szCs w:val="22"/>
      <w:lang w:val="de-DE" w:eastAsia="en-US"/>
    </w:rPr>
  </w:style>
  <w:style w:type="paragraph" w:customStyle="1" w:styleId="TableParagraph">
    <w:name w:val="Table Paragraph"/>
    <w:basedOn w:val="Normal"/>
    <w:uiPriority w:val="1"/>
    <w:qFormat/>
    <w:rsid w:val="00F4797A"/>
    <w:pPr>
      <w:widowControl w:val="0"/>
      <w:suppressAutoHyphens w:val="0"/>
      <w:ind w:left="90"/>
      <w:jc w:val="left"/>
    </w:pPr>
    <w:rPr>
      <w:rFonts w:ascii="Arial" w:eastAsia="Arial" w:hAnsi="Arial" w:cs="Arial"/>
      <w:sz w:val="22"/>
      <w:szCs w:val="22"/>
      <w:lang w:val="en-US" w:eastAsia="en-US"/>
    </w:rPr>
  </w:style>
  <w:style w:type="paragraph" w:customStyle="1" w:styleId="titre40">
    <w:name w:val="titre 4"/>
    <w:basedOn w:val="Titre4"/>
    <w:link w:val="titre4Car0"/>
    <w:qFormat/>
    <w:rsid w:val="00B60CAC"/>
    <w:pPr>
      <w:tabs>
        <w:tab w:val="clear" w:pos="0"/>
        <w:tab w:val="left" w:pos="993"/>
      </w:tabs>
      <w:suppressAutoHyphens w:val="0"/>
    </w:pPr>
    <w:rPr>
      <w:i/>
      <w:lang w:eastAsia="sv-SE"/>
    </w:rPr>
  </w:style>
  <w:style w:type="character" w:customStyle="1" w:styleId="titre4Car0">
    <w:name w:val="titre 4 Car"/>
    <w:basedOn w:val="Titre4Car"/>
    <w:link w:val="titre40"/>
    <w:rsid w:val="00B60CAC"/>
    <w:rPr>
      <w:rFonts w:ascii="Verdana" w:eastAsia="Calibri" w:hAnsi="Verdana" w:cs="Verdana"/>
      <w:i/>
      <w:sz w:val="22"/>
      <w:szCs w:val="24"/>
      <w:lang w:val="de-DE" w:eastAsia="sv-SE"/>
    </w:rPr>
  </w:style>
  <w:style w:type="character" w:customStyle="1" w:styleId="fontstyle01">
    <w:name w:val="fontstyle01"/>
    <w:basedOn w:val="Policepardfaut"/>
    <w:rsid w:val="00E91F44"/>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904">
      <w:bodyDiv w:val="1"/>
      <w:marLeft w:val="0"/>
      <w:marRight w:val="0"/>
      <w:marTop w:val="0"/>
      <w:marBottom w:val="0"/>
      <w:divBdr>
        <w:top w:val="none" w:sz="0" w:space="0" w:color="auto"/>
        <w:left w:val="none" w:sz="0" w:space="0" w:color="auto"/>
        <w:bottom w:val="none" w:sz="0" w:space="0" w:color="auto"/>
        <w:right w:val="none" w:sz="0" w:space="0" w:color="auto"/>
      </w:divBdr>
    </w:div>
    <w:div w:id="8869449">
      <w:bodyDiv w:val="1"/>
      <w:marLeft w:val="0"/>
      <w:marRight w:val="0"/>
      <w:marTop w:val="0"/>
      <w:marBottom w:val="0"/>
      <w:divBdr>
        <w:top w:val="none" w:sz="0" w:space="0" w:color="auto"/>
        <w:left w:val="none" w:sz="0" w:space="0" w:color="auto"/>
        <w:bottom w:val="none" w:sz="0" w:space="0" w:color="auto"/>
        <w:right w:val="none" w:sz="0" w:space="0" w:color="auto"/>
      </w:divBdr>
    </w:div>
    <w:div w:id="30112478">
      <w:bodyDiv w:val="1"/>
      <w:marLeft w:val="0"/>
      <w:marRight w:val="0"/>
      <w:marTop w:val="0"/>
      <w:marBottom w:val="0"/>
      <w:divBdr>
        <w:top w:val="none" w:sz="0" w:space="0" w:color="auto"/>
        <w:left w:val="none" w:sz="0" w:space="0" w:color="auto"/>
        <w:bottom w:val="none" w:sz="0" w:space="0" w:color="auto"/>
        <w:right w:val="none" w:sz="0" w:space="0" w:color="auto"/>
      </w:divBdr>
    </w:div>
    <w:div w:id="46537756">
      <w:bodyDiv w:val="1"/>
      <w:marLeft w:val="0"/>
      <w:marRight w:val="0"/>
      <w:marTop w:val="0"/>
      <w:marBottom w:val="0"/>
      <w:divBdr>
        <w:top w:val="none" w:sz="0" w:space="0" w:color="auto"/>
        <w:left w:val="none" w:sz="0" w:space="0" w:color="auto"/>
        <w:bottom w:val="none" w:sz="0" w:space="0" w:color="auto"/>
        <w:right w:val="none" w:sz="0" w:space="0" w:color="auto"/>
      </w:divBdr>
    </w:div>
    <w:div w:id="52974722">
      <w:bodyDiv w:val="1"/>
      <w:marLeft w:val="0"/>
      <w:marRight w:val="0"/>
      <w:marTop w:val="0"/>
      <w:marBottom w:val="0"/>
      <w:divBdr>
        <w:top w:val="none" w:sz="0" w:space="0" w:color="auto"/>
        <w:left w:val="none" w:sz="0" w:space="0" w:color="auto"/>
        <w:bottom w:val="none" w:sz="0" w:space="0" w:color="auto"/>
        <w:right w:val="none" w:sz="0" w:space="0" w:color="auto"/>
      </w:divBdr>
    </w:div>
    <w:div w:id="68038895">
      <w:bodyDiv w:val="1"/>
      <w:marLeft w:val="0"/>
      <w:marRight w:val="0"/>
      <w:marTop w:val="0"/>
      <w:marBottom w:val="0"/>
      <w:divBdr>
        <w:top w:val="none" w:sz="0" w:space="0" w:color="auto"/>
        <w:left w:val="none" w:sz="0" w:space="0" w:color="auto"/>
        <w:bottom w:val="none" w:sz="0" w:space="0" w:color="auto"/>
        <w:right w:val="none" w:sz="0" w:space="0" w:color="auto"/>
      </w:divBdr>
    </w:div>
    <w:div w:id="76053992">
      <w:bodyDiv w:val="1"/>
      <w:marLeft w:val="0"/>
      <w:marRight w:val="0"/>
      <w:marTop w:val="0"/>
      <w:marBottom w:val="0"/>
      <w:divBdr>
        <w:top w:val="none" w:sz="0" w:space="0" w:color="auto"/>
        <w:left w:val="none" w:sz="0" w:space="0" w:color="auto"/>
        <w:bottom w:val="none" w:sz="0" w:space="0" w:color="auto"/>
        <w:right w:val="none" w:sz="0" w:space="0" w:color="auto"/>
      </w:divBdr>
    </w:div>
    <w:div w:id="79715671">
      <w:bodyDiv w:val="1"/>
      <w:marLeft w:val="0"/>
      <w:marRight w:val="0"/>
      <w:marTop w:val="0"/>
      <w:marBottom w:val="0"/>
      <w:divBdr>
        <w:top w:val="none" w:sz="0" w:space="0" w:color="auto"/>
        <w:left w:val="none" w:sz="0" w:space="0" w:color="auto"/>
        <w:bottom w:val="none" w:sz="0" w:space="0" w:color="auto"/>
        <w:right w:val="none" w:sz="0" w:space="0" w:color="auto"/>
      </w:divBdr>
    </w:div>
    <w:div w:id="94984500">
      <w:bodyDiv w:val="1"/>
      <w:marLeft w:val="0"/>
      <w:marRight w:val="0"/>
      <w:marTop w:val="0"/>
      <w:marBottom w:val="0"/>
      <w:divBdr>
        <w:top w:val="none" w:sz="0" w:space="0" w:color="auto"/>
        <w:left w:val="none" w:sz="0" w:space="0" w:color="auto"/>
        <w:bottom w:val="none" w:sz="0" w:space="0" w:color="auto"/>
        <w:right w:val="none" w:sz="0" w:space="0" w:color="auto"/>
      </w:divBdr>
    </w:div>
    <w:div w:id="104662225">
      <w:bodyDiv w:val="1"/>
      <w:marLeft w:val="0"/>
      <w:marRight w:val="0"/>
      <w:marTop w:val="0"/>
      <w:marBottom w:val="0"/>
      <w:divBdr>
        <w:top w:val="none" w:sz="0" w:space="0" w:color="auto"/>
        <w:left w:val="none" w:sz="0" w:space="0" w:color="auto"/>
        <w:bottom w:val="none" w:sz="0" w:space="0" w:color="auto"/>
        <w:right w:val="none" w:sz="0" w:space="0" w:color="auto"/>
      </w:divBdr>
    </w:div>
    <w:div w:id="110517540">
      <w:bodyDiv w:val="1"/>
      <w:marLeft w:val="0"/>
      <w:marRight w:val="0"/>
      <w:marTop w:val="0"/>
      <w:marBottom w:val="0"/>
      <w:divBdr>
        <w:top w:val="none" w:sz="0" w:space="0" w:color="auto"/>
        <w:left w:val="none" w:sz="0" w:space="0" w:color="auto"/>
        <w:bottom w:val="none" w:sz="0" w:space="0" w:color="auto"/>
        <w:right w:val="none" w:sz="0" w:space="0" w:color="auto"/>
      </w:divBdr>
    </w:div>
    <w:div w:id="116534262">
      <w:bodyDiv w:val="1"/>
      <w:marLeft w:val="0"/>
      <w:marRight w:val="0"/>
      <w:marTop w:val="0"/>
      <w:marBottom w:val="0"/>
      <w:divBdr>
        <w:top w:val="none" w:sz="0" w:space="0" w:color="auto"/>
        <w:left w:val="none" w:sz="0" w:space="0" w:color="auto"/>
        <w:bottom w:val="none" w:sz="0" w:space="0" w:color="auto"/>
        <w:right w:val="none" w:sz="0" w:space="0" w:color="auto"/>
      </w:divBdr>
    </w:div>
    <w:div w:id="121846867">
      <w:bodyDiv w:val="1"/>
      <w:marLeft w:val="0"/>
      <w:marRight w:val="0"/>
      <w:marTop w:val="0"/>
      <w:marBottom w:val="0"/>
      <w:divBdr>
        <w:top w:val="none" w:sz="0" w:space="0" w:color="auto"/>
        <w:left w:val="none" w:sz="0" w:space="0" w:color="auto"/>
        <w:bottom w:val="none" w:sz="0" w:space="0" w:color="auto"/>
        <w:right w:val="none" w:sz="0" w:space="0" w:color="auto"/>
      </w:divBdr>
    </w:div>
    <w:div w:id="171340526">
      <w:bodyDiv w:val="1"/>
      <w:marLeft w:val="0"/>
      <w:marRight w:val="0"/>
      <w:marTop w:val="0"/>
      <w:marBottom w:val="0"/>
      <w:divBdr>
        <w:top w:val="none" w:sz="0" w:space="0" w:color="auto"/>
        <w:left w:val="none" w:sz="0" w:space="0" w:color="auto"/>
        <w:bottom w:val="none" w:sz="0" w:space="0" w:color="auto"/>
        <w:right w:val="none" w:sz="0" w:space="0" w:color="auto"/>
      </w:divBdr>
    </w:div>
    <w:div w:id="196477405">
      <w:bodyDiv w:val="1"/>
      <w:marLeft w:val="0"/>
      <w:marRight w:val="0"/>
      <w:marTop w:val="0"/>
      <w:marBottom w:val="0"/>
      <w:divBdr>
        <w:top w:val="none" w:sz="0" w:space="0" w:color="auto"/>
        <w:left w:val="none" w:sz="0" w:space="0" w:color="auto"/>
        <w:bottom w:val="none" w:sz="0" w:space="0" w:color="auto"/>
        <w:right w:val="none" w:sz="0" w:space="0" w:color="auto"/>
      </w:divBdr>
    </w:div>
    <w:div w:id="212348655">
      <w:bodyDiv w:val="1"/>
      <w:marLeft w:val="0"/>
      <w:marRight w:val="0"/>
      <w:marTop w:val="0"/>
      <w:marBottom w:val="0"/>
      <w:divBdr>
        <w:top w:val="none" w:sz="0" w:space="0" w:color="auto"/>
        <w:left w:val="none" w:sz="0" w:space="0" w:color="auto"/>
        <w:bottom w:val="none" w:sz="0" w:space="0" w:color="auto"/>
        <w:right w:val="none" w:sz="0" w:space="0" w:color="auto"/>
      </w:divBdr>
    </w:div>
    <w:div w:id="213278870">
      <w:bodyDiv w:val="1"/>
      <w:marLeft w:val="0"/>
      <w:marRight w:val="0"/>
      <w:marTop w:val="0"/>
      <w:marBottom w:val="0"/>
      <w:divBdr>
        <w:top w:val="none" w:sz="0" w:space="0" w:color="auto"/>
        <w:left w:val="none" w:sz="0" w:space="0" w:color="auto"/>
        <w:bottom w:val="none" w:sz="0" w:space="0" w:color="auto"/>
        <w:right w:val="none" w:sz="0" w:space="0" w:color="auto"/>
      </w:divBdr>
    </w:div>
    <w:div w:id="233471115">
      <w:bodyDiv w:val="1"/>
      <w:marLeft w:val="0"/>
      <w:marRight w:val="0"/>
      <w:marTop w:val="0"/>
      <w:marBottom w:val="0"/>
      <w:divBdr>
        <w:top w:val="none" w:sz="0" w:space="0" w:color="auto"/>
        <w:left w:val="none" w:sz="0" w:space="0" w:color="auto"/>
        <w:bottom w:val="none" w:sz="0" w:space="0" w:color="auto"/>
        <w:right w:val="none" w:sz="0" w:space="0" w:color="auto"/>
      </w:divBdr>
    </w:div>
    <w:div w:id="233902093">
      <w:bodyDiv w:val="1"/>
      <w:marLeft w:val="0"/>
      <w:marRight w:val="0"/>
      <w:marTop w:val="0"/>
      <w:marBottom w:val="0"/>
      <w:divBdr>
        <w:top w:val="none" w:sz="0" w:space="0" w:color="auto"/>
        <w:left w:val="none" w:sz="0" w:space="0" w:color="auto"/>
        <w:bottom w:val="none" w:sz="0" w:space="0" w:color="auto"/>
        <w:right w:val="none" w:sz="0" w:space="0" w:color="auto"/>
      </w:divBdr>
    </w:div>
    <w:div w:id="247420566">
      <w:bodyDiv w:val="1"/>
      <w:marLeft w:val="0"/>
      <w:marRight w:val="0"/>
      <w:marTop w:val="0"/>
      <w:marBottom w:val="0"/>
      <w:divBdr>
        <w:top w:val="none" w:sz="0" w:space="0" w:color="auto"/>
        <w:left w:val="none" w:sz="0" w:space="0" w:color="auto"/>
        <w:bottom w:val="none" w:sz="0" w:space="0" w:color="auto"/>
        <w:right w:val="none" w:sz="0" w:space="0" w:color="auto"/>
      </w:divBdr>
    </w:div>
    <w:div w:id="310334642">
      <w:bodyDiv w:val="1"/>
      <w:marLeft w:val="0"/>
      <w:marRight w:val="0"/>
      <w:marTop w:val="0"/>
      <w:marBottom w:val="0"/>
      <w:divBdr>
        <w:top w:val="none" w:sz="0" w:space="0" w:color="auto"/>
        <w:left w:val="none" w:sz="0" w:space="0" w:color="auto"/>
        <w:bottom w:val="none" w:sz="0" w:space="0" w:color="auto"/>
        <w:right w:val="none" w:sz="0" w:space="0" w:color="auto"/>
      </w:divBdr>
    </w:div>
    <w:div w:id="315115764">
      <w:bodyDiv w:val="1"/>
      <w:marLeft w:val="0"/>
      <w:marRight w:val="0"/>
      <w:marTop w:val="0"/>
      <w:marBottom w:val="0"/>
      <w:divBdr>
        <w:top w:val="none" w:sz="0" w:space="0" w:color="auto"/>
        <w:left w:val="none" w:sz="0" w:space="0" w:color="auto"/>
        <w:bottom w:val="none" w:sz="0" w:space="0" w:color="auto"/>
        <w:right w:val="none" w:sz="0" w:space="0" w:color="auto"/>
      </w:divBdr>
    </w:div>
    <w:div w:id="337194406">
      <w:bodyDiv w:val="1"/>
      <w:marLeft w:val="0"/>
      <w:marRight w:val="0"/>
      <w:marTop w:val="0"/>
      <w:marBottom w:val="0"/>
      <w:divBdr>
        <w:top w:val="none" w:sz="0" w:space="0" w:color="auto"/>
        <w:left w:val="none" w:sz="0" w:space="0" w:color="auto"/>
        <w:bottom w:val="none" w:sz="0" w:space="0" w:color="auto"/>
        <w:right w:val="none" w:sz="0" w:space="0" w:color="auto"/>
      </w:divBdr>
    </w:div>
    <w:div w:id="359359670">
      <w:bodyDiv w:val="1"/>
      <w:marLeft w:val="0"/>
      <w:marRight w:val="0"/>
      <w:marTop w:val="0"/>
      <w:marBottom w:val="0"/>
      <w:divBdr>
        <w:top w:val="none" w:sz="0" w:space="0" w:color="auto"/>
        <w:left w:val="none" w:sz="0" w:space="0" w:color="auto"/>
        <w:bottom w:val="none" w:sz="0" w:space="0" w:color="auto"/>
        <w:right w:val="none" w:sz="0" w:space="0" w:color="auto"/>
      </w:divBdr>
    </w:div>
    <w:div w:id="384959254">
      <w:bodyDiv w:val="1"/>
      <w:marLeft w:val="0"/>
      <w:marRight w:val="0"/>
      <w:marTop w:val="0"/>
      <w:marBottom w:val="0"/>
      <w:divBdr>
        <w:top w:val="none" w:sz="0" w:space="0" w:color="auto"/>
        <w:left w:val="none" w:sz="0" w:space="0" w:color="auto"/>
        <w:bottom w:val="none" w:sz="0" w:space="0" w:color="auto"/>
        <w:right w:val="none" w:sz="0" w:space="0" w:color="auto"/>
      </w:divBdr>
    </w:div>
    <w:div w:id="391925946">
      <w:bodyDiv w:val="1"/>
      <w:marLeft w:val="0"/>
      <w:marRight w:val="0"/>
      <w:marTop w:val="0"/>
      <w:marBottom w:val="0"/>
      <w:divBdr>
        <w:top w:val="none" w:sz="0" w:space="0" w:color="auto"/>
        <w:left w:val="none" w:sz="0" w:space="0" w:color="auto"/>
        <w:bottom w:val="none" w:sz="0" w:space="0" w:color="auto"/>
        <w:right w:val="none" w:sz="0" w:space="0" w:color="auto"/>
      </w:divBdr>
    </w:div>
    <w:div w:id="394280289">
      <w:bodyDiv w:val="1"/>
      <w:marLeft w:val="0"/>
      <w:marRight w:val="0"/>
      <w:marTop w:val="0"/>
      <w:marBottom w:val="0"/>
      <w:divBdr>
        <w:top w:val="none" w:sz="0" w:space="0" w:color="auto"/>
        <w:left w:val="none" w:sz="0" w:space="0" w:color="auto"/>
        <w:bottom w:val="none" w:sz="0" w:space="0" w:color="auto"/>
        <w:right w:val="none" w:sz="0" w:space="0" w:color="auto"/>
      </w:divBdr>
    </w:div>
    <w:div w:id="397749555">
      <w:bodyDiv w:val="1"/>
      <w:marLeft w:val="0"/>
      <w:marRight w:val="0"/>
      <w:marTop w:val="0"/>
      <w:marBottom w:val="0"/>
      <w:divBdr>
        <w:top w:val="none" w:sz="0" w:space="0" w:color="auto"/>
        <w:left w:val="none" w:sz="0" w:space="0" w:color="auto"/>
        <w:bottom w:val="none" w:sz="0" w:space="0" w:color="auto"/>
        <w:right w:val="none" w:sz="0" w:space="0" w:color="auto"/>
      </w:divBdr>
    </w:div>
    <w:div w:id="430853413">
      <w:bodyDiv w:val="1"/>
      <w:marLeft w:val="0"/>
      <w:marRight w:val="0"/>
      <w:marTop w:val="0"/>
      <w:marBottom w:val="0"/>
      <w:divBdr>
        <w:top w:val="none" w:sz="0" w:space="0" w:color="auto"/>
        <w:left w:val="none" w:sz="0" w:space="0" w:color="auto"/>
        <w:bottom w:val="none" w:sz="0" w:space="0" w:color="auto"/>
        <w:right w:val="none" w:sz="0" w:space="0" w:color="auto"/>
      </w:divBdr>
    </w:div>
    <w:div w:id="487210855">
      <w:bodyDiv w:val="1"/>
      <w:marLeft w:val="0"/>
      <w:marRight w:val="0"/>
      <w:marTop w:val="0"/>
      <w:marBottom w:val="0"/>
      <w:divBdr>
        <w:top w:val="none" w:sz="0" w:space="0" w:color="auto"/>
        <w:left w:val="none" w:sz="0" w:space="0" w:color="auto"/>
        <w:bottom w:val="none" w:sz="0" w:space="0" w:color="auto"/>
        <w:right w:val="none" w:sz="0" w:space="0" w:color="auto"/>
      </w:divBdr>
    </w:div>
    <w:div w:id="503787195">
      <w:bodyDiv w:val="1"/>
      <w:marLeft w:val="0"/>
      <w:marRight w:val="0"/>
      <w:marTop w:val="0"/>
      <w:marBottom w:val="0"/>
      <w:divBdr>
        <w:top w:val="none" w:sz="0" w:space="0" w:color="auto"/>
        <w:left w:val="none" w:sz="0" w:space="0" w:color="auto"/>
        <w:bottom w:val="none" w:sz="0" w:space="0" w:color="auto"/>
        <w:right w:val="none" w:sz="0" w:space="0" w:color="auto"/>
      </w:divBdr>
    </w:div>
    <w:div w:id="505093647">
      <w:bodyDiv w:val="1"/>
      <w:marLeft w:val="0"/>
      <w:marRight w:val="0"/>
      <w:marTop w:val="0"/>
      <w:marBottom w:val="0"/>
      <w:divBdr>
        <w:top w:val="none" w:sz="0" w:space="0" w:color="auto"/>
        <w:left w:val="none" w:sz="0" w:space="0" w:color="auto"/>
        <w:bottom w:val="none" w:sz="0" w:space="0" w:color="auto"/>
        <w:right w:val="none" w:sz="0" w:space="0" w:color="auto"/>
      </w:divBdr>
    </w:div>
    <w:div w:id="541291791">
      <w:bodyDiv w:val="1"/>
      <w:marLeft w:val="0"/>
      <w:marRight w:val="0"/>
      <w:marTop w:val="0"/>
      <w:marBottom w:val="0"/>
      <w:divBdr>
        <w:top w:val="none" w:sz="0" w:space="0" w:color="auto"/>
        <w:left w:val="none" w:sz="0" w:space="0" w:color="auto"/>
        <w:bottom w:val="none" w:sz="0" w:space="0" w:color="auto"/>
        <w:right w:val="none" w:sz="0" w:space="0" w:color="auto"/>
      </w:divBdr>
    </w:div>
    <w:div w:id="546064190">
      <w:bodyDiv w:val="1"/>
      <w:marLeft w:val="0"/>
      <w:marRight w:val="0"/>
      <w:marTop w:val="0"/>
      <w:marBottom w:val="0"/>
      <w:divBdr>
        <w:top w:val="none" w:sz="0" w:space="0" w:color="auto"/>
        <w:left w:val="none" w:sz="0" w:space="0" w:color="auto"/>
        <w:bottom w:val="none" w:sz="0" w:space="0" w:color="auto"/>
        <w:right w:val="none" w:sz="0" w:space="0" w:color="auto"/>
      </w:divBdr>
    </w:div>
    <w:div w:id="558638844">
      <w:bodyDiv w:val="1"/>
      <w:marLeft w:val="0"/>
      <w:marRight w:val="0"/>
      <w:marTop w:val="0"/>
      <w:marBottom w:val="0"/>
      <w:divBdr>
        <w:top w:val="none" w:sz="0" w:space="0" w:color="auto"/>
        <w:left w:val="none" w:sz="0" w:space="0" w:color="auto"/>
        <w:bottom w:val="none" w:sz="0" w:space="0" w:color="auto"/>
        <w:right w:val="none" w:sz="0" w:space="0" w:color="auto"/>
      </w:divBdr>
    </w:div>
    <w:div w:id="591352766">
      <w:bodyDiv w:val="1"/>
      <w:marLeft w:val="0"/>
      <w:marRight w:val="0"/>
      <w:marTop w:val="0"/>
      <w:marBottom w:val="0"/>
      <w:divBdr>
        <w:top w:val="none" w:sz="0" w:space="0" w:color="auto"/>
        <w:left w:val="none" w:sz="0" w:space="0" w:color="auto"/>
        <w:bottom w:val="none" w:sz="0" w:space="0" w:color="auto"/>
        <w:right w:val="none" w:sz="0" w:space="0" w:color="auto"/>
      </w:divBdr>
    </w:div>
    <w:div w:id="592930389">
      <w:bodyDiv w:val="1"/>
      <w:marLeft w:val="0"/>
      <w:marRight w:val="0"/>
      <w:marTop w:val="0"/>
      <w:marBottom w:val="0"/>
      <w:divBdr>
        <w:top w:val="none" w:sz="0" w:space="0" w:color="auto"/>
        <w:left w:val="none" w:sz="0" w:space="0" w:color="auto"/>
        <w:bottom w:val="none" w:sz="0" w:space="0" w:color="auto"/>
        <w:right w:val="none" w:sz="0" w:space="0" w:color="auto"/>
      </w:divBdr>
    </w:div>
    <w:div w:id="632566235">
      <w:bodyDiv w:val="1"/>
      <w:marLeft w:val="0"/>
      <w:marRight w:val="0"/>
      <w:marTop w:val="0"/>
      <w:marBottom w:val="0"/>
      <w:divBdr>
        <w:top w:val="none" w:sz="0" w:space="0" w:color="auto"/>
        <w:left w:val="none" w:sz="0" w:space="0" w:color="auto"/>
        <w:bottom w:val="none" w:sz="0" w:space="0" w:color="auto"/>
        <w:right w:val="none" w:sz="0" w:space="0" w:color="auto"/>
      </w:divBdr>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44896255">
      <w:bodyDiv w:val="1"/>
      <w:marLeft w:val="0"/>
      <w:marRight w:val="0"/>
      <w:marTop w:val="0"/>
      <w:marBottom w:val="0"/>
      <w:divBdr>
        <w:top w:val="none" w:sz="0" w:space="0" w:color="auto"/>
        <w:left w:val="none" w:sz="0" w:space="0" w:color="auto"/>
        <w:bottom w:val="none" w:sz="0" w:space="0" w:color="auto"/>
        <w:right w:val="none" w:sz="0" w:space="0" w:color="auto"/>
      </w:divBdr>
    </w:div>
    <w:div w:id="648559028">
      <w:bodyDiv w:val="1"/>
      <w:marLeft w:val="0"/>
      <w:marRight w:val="0"/>
      <w:marTop w:val="0"/>
      <w:marBottom w:val="0"/>
      <w:divBdr>
        <w:top w:val="none" w:sz="0" w:space="0" w:color="auto"/>
        <w:left w:val="none" w:sz="0" w:space="0" w:color="auto"/>
        <w:bottom w:val="none" w:sz="0" w:space="0" w:color="auto"/>
        <w:right w:val="none" w:sz="0" w:space="0" w:color="auto"/>
      </w:divBdr>
    </w:div>
    <w:div w:id="650716279">
      <w:bodyDiv w:val="1"/>
      <w:marLeft w:val="0"/>
      <w:marRight w:val="0"/>
      <w:marTop w:val="0"/>
      <w:marBottom w:val="0"/>
      <w:divBdr>
        <w:top w:val="none" w:sz="0" w:space="0" w:color="auto"/>
        <w:left w:val="none" w:sz="0" w:space="0" w:color="auto"/>
        <w:bottom w:val="none" w:sz="0" w:space="0" w:color="auto"/>
        <w:right w:val="none" w:sz="0" w:space="0" w:color="auto"/>
      </w:divBdr>
    </w:div>
    <w:div w:id="657391731">
      <w:bodyDiv w:val="1"/>
      <w:marLeft w:val="0"/>
      <w:marRight w:val="0"/>
      <w:marTop w:val="0"/>
      <w:marBottom w:val="0"/>
      <w:divBdr>
        <w:top w:val="none" w:sz="0" w:space="0" w:color="auto"/>
        <w:left w:val="none" w:sz="0" w:space="0" w:color="auto"/>
        <w:bottom w:val="none" w:sz="0" w:space="0" w:color="auto"/>
        <w:right w:val="none" w:sz="0" w:space="0" w:color="auto"/>
      </w:divBdr>
    </w:div>
    <w:div w:id="664020277">
      <w:bodyDiv w:val="1"/>
      <w:marLeft w:val="0"/>
      <w:marRight w:val="0"/>
      <w:marTop w:val="0"/>
      <w:marBottom w:val="0"/>
      <w:divBdr>
        <w:top w:val="none" w:sz="0" w:space="0" w:color="auto"/>
        <w:left w:val="none" w:sz="0" w:space="0" w:color="auto"/>
        <w:bottom w:val="none" w:sz="0" w:space="0" w:color="auto"/>
        <w:right w:val="none" w:sz="0" w:space="0" w:color="auto"/>
      </w:divBdr>
    </w:div>
    <w:div w:id="668410283">
      <w:bodyDiv w:val="1"/>
      <w:marLeft w:val="0"/>
      <w:marRight w:val="0"/>
      <w:marTop w:val="0"/>
      <w:marBottom w:val="0"/>
      <w:divBdr>
        <w:top w:val="none" w:sz="0" w:space="0" w:color="auto"/>
        <w:left w:val="none" w:sz="0" w:space="0" w:color="auto"/>
        <w:bottom w:val="none" w:sz="0" w:space="0" w:color="auto"/>
        <w:right w:val="none" w:sz="0" w:space="0" w:color="auto"/>
      </w:divBdr>
    </w:div>
    <w:div w:id="678430082">
      <w:bodyDiv w:val="1"/>
      <w:marLeft w:val="0"/>
      <w:marRight w:val="0"/>
      <w:marTop w:val="0"/>
      <w:marBottom w:val="0"/>
      <w:divBdr>
        <w:top w:val="none" w:sz="0" w:space="0" w:color="auto"/>
        <w:left w:val="none" w:sz="0" w:space="0" w:color="auto"/>
        <w:bottom w:val="none" w:sz="0" w:space="0" w:color="auto"/>
        <w:right w:val="none" w:sz="0" w:space="0" w:color="auto"/>
      </w:divBdr>
    </w:div>
    <w:div w:id="685717132">
      <w:bodyDiv w:val="1"/>
      <w:marLeft w:val="0"/>
      <w:marRight w:val="0"/>
      <w:marTop w:val="0"/>
      <w:marBottom w:val="0"/>
      <w:divBdr>
        <w:top w:val="none" w:sz="0" w:space="0" w:color="auto"/>
        <w:left w:val="none" w:sz="0" w:space="0" w:color="auto"/>
        <w:bottom w:val="none" w:sz="0" w:space="0" w:color="auto"/>
        <w:right w:val="none" w:sz="0" w:space="0" w:color="auto"/>
      </w:divBdr>
    </w:div>
    <w:div w:id="741298910">
      <w:bodyDiv w:val="1"/>
      <w:marLeft w:val="0"/>
      <w:marRight w:val="0"/>
      <w:marTop w:val="0"/>
      <w:marBottom w:val="0"/>
      <w:divBdr>
        <w:top w:val="none" w:sz="0" w:space="0" w:color="auto"/>
        <w:left w:val="none" w:sz="0" w:space="0" w:color="auto"/>
        <w:bottom w:val="none" w:sz="0" w:space="0" w:color="auto"/>
        <w:right w:val="none" w:sz="0" w:space="0" w:color="auto"/>
      </w:divBdr>
    </w:div>
    <w:div w:id="750466593">
      <w:bodyDiv w:val="1"/>
      <w:marLeft w:val="0"/>
      <w:marRight w:val="0"/>
      <w:marTop w:val="0"/>
      <w:marBottom w:val="0"/>
      <w:divBdr>
        <w:top w:val="none" w:sz="0" w:space="0" w:color="auto"/>
        <w:left w:val="none" w:sz="0" w:space="0" w:color="auto"/>
        <w:bottom w:val="none" w:sz="0" w:space="0" w:color="auto"/>
        <w:right w:val="none" w:sz="0" w:space="0" w:color="auto"/>
      </w:divBdr>
    </w:div>
    <w:div w:id="751392700">
      <w:bodyDiv w:val="1"/>
      <w:marLeft w:val="0"/>
      <w:marRight w:val="0"/>
      <w:marTop w:val="0"/>
      <w:marBottom w:val="0"/>
      <w:divBdr>
        <w:top w:val="none" w:sz="0" w:space="0" w:color="auto"/>
        <w:left w:val="none" w:sz="0" w:space="0" w:color="auto"/>
        <w:bottom w:val="none" w:sz="0" w:space="0" w:color="auto"/>
        <w:right w:val="none" w:sz="0" w:space="0" w:color="auto"/>
      </w:divBdr>
    </w:div>
    <w:div w:id="757872886">
      <w:bodyDiv w:val="1"/>
      <w:marLeft w:val="0"/>
      <w:marRight w:val="0"/>
      <w:marTop w:val="0"/>
      <w:marBottom w:val="0"/>
      <w:divBdr>
        <w:top w:val="none" w:sz="0" w:space="0" w:color="auto"/>
        <w:left w:val="none" w:sz="0" w:space="0" w:color="auto"/>
        <w:bottom w:val="none" w:sz="0" w:space="0" w:color="auto"/>
        <w:right w:val="none" w:sz="0" w:space="0" w:color="auto"/>
      </w:divBdr>
    </w:div>
    <w:div w:id="783883685">
      <w:bodyDiv w:val="1"/>
      <w:marLeft w:val="0"/>
      <w:marRight w:val="0"/>
      <w:marTop w:val="0"/>
      <w:marBottom w:val="0"/>
      <w:divBdr>
        <w:top w:val="none" w:sz="0" w:space="0" w:color="auto"/>
        <w:left w:val="none" w:sz="0" w:space="0" w:color="auto"/>
        <w:bottom w:val="none" w:sz="0" w:space="0" w:color="auto"/>
        <w:right w:val="none" w:sz="0" w:space="0" w:color="auto"/>
      </w:divBdr>
    </w:div>
    <w:div w:id="842011333">
      <w:bodyDiv w:val="1"/>
      <w:marLeft w:val="0"/>
      <w:marRight w:val="0"/>
      <w:marTop w:val="0"/>
      <w:marBottom w:val="0"/>
      <w:divBdr>
        <w:top w:val="none" w:sz="0" w:space="0" w:color="auto"/>
        <w:left w:val="none" w:sz="0" w:space="0" w:color="auto"/>
        <w:bottom w:val="none" w:sz="0" w:space="0" w:color="auto"/>
        <w:right w:val="none" w:sz="0" w:space="0" w:color="auto"/>
      </w:divBdr>
    </w:div>
    <w:div w:id="844435717">
      <w:bodyDiv w:val="1"/>
      <w:marLeft w:val="0"/>
      <w:marRight w:val="0"/>
      <w:marTop w:val="0"/>
      <w:marBottom w:val="0"/>
      <w:divBdr>
        <w:top w:val="none" w:sz="0" w:space="0" w:color="auto"/>
        <w:left w:val="none" w:sz="0" w:space="0" w:color="auto"/>
        <w:bottom w:val="none" w:sz="0" w:space="0" w:color="auto"/>
        <w:right w:val="none" w:sz="0" w:space="0" w:color="auto"/>
      </w:divBdr>
    </w:div>
    <w:div w:id="880627578">
      <w:bodyDiv w:val="1"/>
      <w:marLeft w:val="0"/>
      <w:marRight w:val="0"/>
      <w:marTop w:val="0"/>
      <w:marBottom w:val="0"/>
      <w:divBdr>
        <w:top w:val="none" w:sz="0" w:space="0" w:color="auto"/>
        <w:left w:val="none" w:sz="0" w:space="0" w:color="auto"/>
        <w:bottom w:val="none" w:sz="0" w:space="0" w:color="auto"/>
        <w:right w:val="none" w:sz="0" w:space="0" w:color="auto"/>
      </w:divBdr>
    </w:div>
    <w:div w:id="889002948">
      <w:bodyDiv w:val="1"/>
      <w:marLeft w:val="0"/>
      <w:marRight w:val="0"/>
      <w:marTop w:val="0"/>
      <w:marBottom w:val="0"/>
      <w:divBdr>
        <w:top w:val="none" w:sz="0" w:space="0" w:color="auto"/>
        <w:left w:val="none" w:sz="0" w:space="0" w:color="auto"/>
        <w:bottom w:val="none" w:sz="0" w:space="0" w:color="auto"/>
        <w:right w:val="none" w:sz="0" w:space="0" w:color="auto"/>
      </w:divBdr>
    </w:div>
    <w:div w:id="928267940">
      <w:bodyDiv w:val="1"/>
      <w:marLeft w:val="0"/>
      <w:marRight w:val="0"/>
      <w:marTop w:val="0"/>
      <w:marBottom w:val="0"/>
      <w:divBdr>
        <w:top w:val="none" w:sz="0" w:space="0" w:color="auto"/>
        <w:left w:val="none" w:sz="0" w:space="0" w:color="auto"/>
        <w:bottom w:val="none" w:sz="0" w:space="0" w:color="auto"/>
        <w:right w:val="none" w:sz="0" w:space="0" w:color="auto"/>
      </w:divBdr>
    </w:div>
    <w:div w:id="951135046">
      <w:bodyDiv w:val="1"/>
      <w:marLeft w:val="0"/>
      <w:marRight w:val="0"/>
      <w:marTop w:val="0"/>
      <w:marBottom w:val="0"/>
      <w:divBdr>
        <w:top w:val="none" w:sz="0" w:space="0" w:color="auto"/>
        <w:left w:val="none" w:sz="0" w:space="0" w:color="auto"/>
        <w:bottom w:val="none" w:sz="0" w:space="0" w:color="auto"/>
        <w:right w:val="none" w:sz="0" w:space="0" w:color="auto"/>
      </w:divBdr>
    </w:div>
    <w:div w:id="983897344">
      <w:bodyDiv w:val="1"/>
      <w:marLeft w:val="0"/>
      <w:marRight w:val="0"/>
      <w:marTop w:val="0"/>
      <w:marBottom w:val="0"/>
      <w:divBdr>
        <w:top w:val="none" w:sz="0" w:space="0" w:color="auto"/>
        <w:left w:val="none" w:sz="0" w:space="0" w:color="auto"/>
        <w:bottom w:val="none" w:sz="0" w:space="0" w:color="auto"/>
        <w:right w:val="none" w:sz="0" w:space="0" w:color="auto"/>
      </w:divBdr>
    </w:div>
    <w:div w:id="997148873">
      <w:bodyDiv w:val="1"/>
      <w:marLeft w:val="0"/>
      <w:marRight w:val="0"/>
      <w:marTop w:val="0"/>
      <w:marBottom w:val="0"/>
      <w:divBdr>
        <w:top w:val="none" w:sz="0" w:space="0" w:color="auto"/>
        <w:left w:val="none" w:sz="0" w:space="0" w:color="auto"/>
        <w:bottom w:val="none" w:sz="0" w:space="0" w:color="auto"/>
        <w:right w:val="none" w:sz="0" w:space="0" w:color="auto"/>
      </w:divBdr>
    </w:div>
    <w:div w:id="1007753301">
      <w:bodyDiv w:val="1"/>
      <w:marLeft w:val="0"/>
      <w:marRight w:val="0"/>
      <w:marTop w:val="0"/>
      <w:marBottom w:val="0"/>
      <w:divBdr>
        <w:top w:val="none" w:sz="0" w:space="0" w:color="auto"/>
        <w:left w:val="none" w:sz="0" w:space="0" w:color="auto"/>
        <w:bottom w:val="none" w:sz="0" w:space="0" w:color="auto"/>
        <w:right w:val="none" w:sz="0" w:space="0" w:color="auto"/>
      </w:divBdr>
    </w:div>
    <w:div w:id="1037505969">
      <w:bodyDiv w:val="1"/>
      <w:marLeft w:val="0"/>
      <w:marRight w:val="0"/>
      <w:marTop w:val="0"/>
      <w:marBottom w:val="0"/>
      <w:divBdr>
        <w:top w:val="none" w:sz="0" w:space="0" w:color="auto"/>
        <w:left w:val="none" w:sz="0" w:space="0" w:color="auto"/>
        <w:bottom w:val="none" w:sz="0" w:space="0" w:color="auto"/>
        <w:right w:val="none" w:sz="0" w:space="0" w:color="auto"/>
      </w:divBdr>
    </w:div>
    <w:div w:id="1041201563">
      <w:bodyDiv w:val="1"/>
      <w:marLeft w:val="0"/>
      <w:marRight w:val="0"/>
      <w:marTop w:val="0"/>
      <w:marBottom w:val="0"/>
      <w:divBdr>
        <w:top w:val="none" w:sz="0" w:space="0" w:color="auto"/>
        <w:left w:val="none" w:sz="0" w:space="0" w:color="auto"/>
        <w:bottom w:val="none" w:sz="0" w:space="0" w:color="auto"/>
        <w:right w:val="none" w:sz="0" w:space="0" w:color="auto"/>
      </w:divBdr>
    </w:div>
    <w:div w:id="1056392153">
      <w:bodyDiv w:val="1"/>
      <w:marLeft w:val="0"/>
      <w:marRight w:val="0"/>
      <w:marTop w:val="0"/>
      <w:marBottom w:val="0"/>
      <w:divBdr>
        <w:top w:val="none" w:sz="0" w:space="0" w:color="auto"/>
        <w:left w:val="none" w:sz="0" w:space="0" w:color="auto"/>
        <w:bottom w:val="none" w:sz="0" w:space="0" w:color="auto"/>
        <w:right w:val="none" w:sz="0" w:space="0" w:color="auto"/>
      </w:divBdr>
    </w:div>
    <w:div w:id="1079837214">
      <w:bodyDiv w:val="1"/>
      <w:marLeft w:val="0"/>
      <w:marRight w:val="0"/>
      <w:marTop w:val="0"/>
      <w:marBottom w:val="0"/>
      <w:divBdr>
        <w:top w:val="none" w:sz="0" w:space="0" w:color="auto"/>
        <w:left w:val="none" w:sz="0" w:space="0" w:color="auto"/>
        <w:bottom w:val="none" w:sz="0" w:space="0" w:color="auto"/>
        <w:right w:val="none" w:sz="0" w:space="0" w:color="auto"/>
      </w:divBdr>
    </w:div>
    <w:div w:id="1079911429">
      <w:bodyDiv w:val="1"/>
      <w:marLeft w:val="0"/>
      <w:marRight w:val="0"/>
      <w:marTop w:val="0"/>
      <w:marBottom w:val="0"/>
      <w:divBdr>
        <w:top w:val="none" w:sz="0" w:space="0" w:color="auto"/>
        <w:left w:val="none" w:sz="0" w:space="0" w:color="auto"/>
        <w:bottom w:val="none" w:sz="0" w:space="0" w:color="auto"/>
        <w:right w:val="none" w:sz="0" w:space="0" w:color="auto"/>
      </w:divBdr>
    </w:div>
    <w:div w:id="1086801506">
      <w:bodyDiv w:val="1"/>
      <w:marLeft w:val="0"/>
      <w:marRight w:val="0"/>
      <w:marTop w:val="0"/>
      <w:marBottom w:val="0"/>
      <w:divBdr>
        <w:top w:val="none" w:sz="0" w:space="0" w:color="auto"/>
        <w:left w:val="none" w:sz="0" w:space="0" w:color="auto"/>
        <w:bottom w:val="none" w:sz="0" w:space="0" w:color="auto"/>
        <w:right w:val="none" w:sz="0" w:space="0" w:color="auto"/>
      </w:divBdr>
    </w:div>
    <w:div w:id="1090391374">
      <w:bodyDiv w:val="1"/>
      <w:marLeft w:val="0"/>
      <w:marRight w:val="0"/>
      <w:marTop w:val="0"/>
      <w:marBottom w:val="0"/>
      <w:divBdr>
        <w:top w:val="none" w:sz="0" w:space="0" w:color="auto"/>
        <w:left w:val="none" w:sz="0" w:space="0" w:color="auto"/>
        <w:bottom w:val="none" w:sz="0" w:space="0" w:color="auto"/>
        <w:right w:val="none" w:sz="0" w:space="0" w:color="auto"/>
      </w:divBdr>
    </w:div>
    <w:div w:id="1125393722">
      <w:bodyDiv w:val="1"/>
      <w:marLeft w:val="0"/>
      <w:marRight w:val="0"/>
      <w:marTop w:val="0"/>
      <w:marBottom w:val="0"/>
      <w:divBdr>
        <w:top w:val="none" w:sz="0" w:space="0" w:color="auto"/>
        <w:left w:val="none" w:sz="0" w:space="0" w:color="auto"/>
        <w:bottom w:val="none" w:sz="0" w:space="0" w:color="auto"/>
        <w:right w:val="none" w:sz="0" w:space="0" w:color="auto"/>
      </w:divBdr>
    </w:div>
    <w:div w:id="1139228238">
      <w:bodyDiv w:val="1"/>
      <w:marLeft w:val="0"/>
      <w:marRight w:val="0"/>
      <w:marTop w:val="0"/>
      <w:marBottom w:val="0"/>
      <w:divBdr>
        <w:top w:val="none" w:sz="0" w:space="0" w:color="auto"/>
        <w:left w:val="none" w:sz="0" w:space="0" w:color="auto"/>
        <w:bottom w:val="none" w:sz="0" w:space="0" w:color="auto"/>
        <w:right w:val="none" w:sz="0" w:space="0" w:color="auto"/>
      </w:divBdr>
    </w:div>
    <w:div w:id="1167748996">
      <w:bodyDiv w:val="1"/>
      <w:marLeft w:val="0"/>
      <w:marRight w:val="0"/>
      <w:marTop w:val="0"/>
      <w:marBottom w:val="0"/>
      <w:divBdr>
        <w:top w:val="none" w:sz="0" w:space="0" w:color="auto"/>
        <w:left w:val="none" w:sz="0" w:space="0" w:color="auto"/>
        <w:bottom w:val="none" w:sz="0" w:space="0" w:color="auto"/>
        <w:right w:val="none" w:sz="0" w:space="0" w:color="auto"/>
      </w:divBdr>
    </w:div>
    <w:div w:id="1168014758">
      <w:bodyDiv w:val="1"/>
      <w:marLeft w:val="0"/>
      <w:marRight w:val="0"/>
      <w:marTop w:val="0"/>
      <w:marBottom w:val="0"/>
      <w:divBdr>
        <w:top w:val="none" w:sz="0" w:space="0" w:color="auto"/>
        <w:left w:val="none" w:sz="0" w:space="0" w:color="auto"/>
        <w:bottom w:val="none" w:sz="0" w:space="0" w:color="auto"/>
        <w:right w:val="none" w:sz="0" w:space="0" w:color="auto"/>
      </w:divBdr>
    </w:div>
    <w:div w:id="1180000927">
      <w:bodyDiv w:val="1"/>
      <w:marLeft w:val="0"/>
      <w:marRight w:val="0"/>
      <w:marTop w:val="0"/>
      <w:marBottom w:val="0"/>
      <w:divBdr>
        <w:top w:val="none" w:sz="0" w:space="0" w:color="auto"/>
        <w:left w:val="none" w:sz="0" w:space="0" w:color="auto"/>
        <w:bottom w:val="none" w:sz="0" w:space="0" w:color="auto"/>
        <w:right w:val="none" w:sz="0" w:space="0" w:color="auto"/>
      </w:divBdr>
    </w:div>
    <w:div w:id="1203056402">
      <w:bodyDiv w:val="1"/>
      <w:marLeft w:val="0"/>
      <w:marRight w:val="0"/>
      <w:marTop w:val="0"/>
      <w:marBottom w:val="0"/>
      <w:divBdr>
        <w:top w:val="none" w:sz="0" w:space="0" w:color="auto"/>
        <w:left w:val="none" w:sz="0" w:space="0" w:color="auto"/>
        <w:bottom w:val="none" w:sz="0" w:space="0" w:color="auto"/>
        <w:right w:val="none" w:sz="0" w:space="0" w:color="auto"/>
      </w:divBdr>
    </w:div>
    <w:div w:id="1219710075">
      <w:bodyDiv w:val="1"/>
      <w:marLeft w:val="0"/>
      <w:marRight w:val="0"/>
      <w:marTop w:val="0"/>
      <w:marBottom w:val="0"/>
      <w:divBdr>
        <w:top w:val="none" w:sz="0" w:space="0" w:color="auto"/>
        <w:left w:val="none" w:sz="0" w:space="0" w:color="auto"/>
        <w:bottom w:val="none" w:sz="0" w:space="0" w:color="auto"/>
        <w:right w:val="none" w:sz="0" w:space="0" w:color="auto"/>
      </w:divBdr>
    </w:div>
    <w:div w:id="1223492051">
      <w:bodyDiv w:val="1"/>
      <w:marLeft w:val="0"/>
      <w:marRight w:val="0"/>
      <w:marTop w:val="0"/>
      <w:marBottom w:val="0"/>
      <w:divBdr>
        <w:top w:val="none" w:sz="0" w:space="0" w:color="auto"/>
        <w:left w:val="none" w:sz="0" w:space="0" w:color="auto"/>
        <w:bottom w:val="none" w:sz="0" w:space="0" w:color="auto"/>
        <w:right w:val="none" w:sz="0" w:space="0" w:color="auto"/>
      </w:divBdr>
    </w:div>
    <w:div w:id="1270091764">
      <w:bodyDiv w:val="1"/>
      <w:marLeft w:val="0"/>
      <w:marRight w:val="0"/>
      <w:marTop w:val="0"/>
      <w:marBottom w:val="0"/>
      <w:divBdr>
        <w:top w:val="none" w:sz="0" w:space="0" w:color="auto"/>
        <w:left w:val="none" w:sz="0" w:space="0" w:color="auto"/>
        <w:bottom w:val="none" w:sz="0" w:space="0" w:color="auto"/>
        <w:right w:val="none" w:sz="0" w:space="0" w:color="auto"/>
      </w:divBdr>
    </w:div>
    <w:div w:id="1293756532">
      <w:bodyDiv w:val="1"/>
      <w:marLeft w:val="0"/>
      <w:marRight w:val="0"/>
      <w:marTop w:val="0"/>
      <w:marBottom w:val="0"/>
      <w:divBdr>
        <w:top w:val="none" w:sz="0" w:space="0" w:color="auto"/>
        <w:left w:val="none" w:sz="0" w:space="0" w:color="auto"/>
        <w:bottom w:val="none" w:sz="0" w:space="0" w:color="auto"/>
        <w:right w:val="none" w:sz="0" w:space="0" w:color="auto"/>
      </w:divBdr>
    </w:div>
    <w:div w:id="1298218106">
      <w:bodyDiv w:val="1"/>
      <w:marLeft w:val="0"/>
      <w:marRight w:val="0"/>
      <w:marTop w:val="0"/>
      <w:marBottom w:val="0"/>
      <w:divBdr>
        <w:top w:val="none" w:sz="0" w:space="0" w:color="auto"/>
        <w:left w:val="none" w:sz="0" w:space="0" w:color="auto"/>
        <w:bottom w:val="none" w:sz="0" w:space="0" w:color="auto"/>
        <w:right w:val="none" w:sz="0" w:space="0" w:color="auto"/>
      </w:divBdr>
    </w:div>
    <w:div w:id="1301763979">
      <w:bodyDiv w:val="1"/>
      <w:marLeft w:val="0"/>
      <w:marRight w:val="0"/>
      <w:marTop w:val="0"/>
      <w:marBottom w:val="0"/>
      <w:divBdr>
        <w:top w:val="none" w:sz="0" w:space="0" w:color="auto"/>
        <w:left w:val="none" w:sz="0" w:space="0" w:color="auto"/>
        <w:bottom w:val="none" w:sz="0" w:space="0" w:color="auto"/>
        <w:right w:val="none" w:sz="0" w:space="0" w:color="auto"/>
      </w:divBdr>
    </w:div>
    <w:div w:id="1325861229">
      <w:bodyDiv w:val="1"/>
      <w:marLeft w:val="0"/>
      <w:marRight w:val="0"/>
      <w:marTop w:val="0"/>
      <w:marBottom w:val="0"/>
      <w:divBdr>
        <w:top w:val="none" w:sz="0" w:space="0" w:color="auto"/>
        <w:left w:val="none" w:sz="0" w:space="0" w:color="auto"/>
        <w:bottom w:val="none" w:sz="0" w:space="0" w:color="auto"/>
        <w:right w:val="none" w:sz="0" w:space="0" w:color="auto"/>
      </w:divBdr>
    </w:div>
    <w:div w:id="1338725069">
      <w:bodyDiv w:val="1"/>
      <w:marLeft w:val="0"/>
      <w:marRight w:val="0"/>
      <w:marTop w:val="0"/>
      <w:marBottom w:val="0"/>
      <w:divBdr>
        <w:top w:val="none" w:sz="0" w:space="0" w:color="auto"/>
        <w:left w:val="none" w:sz="0" w:space="0" w:color="auto"/>
        <w:bottom w:val="none" w:sz="0" w:space="0" w:color="auto"/>
        <w:right w:val="none" w:sz="0" w:space="0" w:color="auto"/>
      </w:divBdr>
    </w:div>
    <w:div w:id="1339042196">
      <w:bodyDiv w:val="1"/>
      <w:marLeft w:val="0"/>
      <w:marRight w:val="0"/>
      <w:marTop w:val="0"/>
      <w:marBottom w:val="0"/>
      <w:divBdr>
        <w:top w:val="none" w:sz="0" w:space="0" w:color="auto"/>
        <w:left w:val="none" w:sz="0" w:space="0" w:color="auto"/>
        <w:bottom w:val="none" w:sz="0" w:space="0" w:color="auto"/>
        <w:right w:val="none" w:sz="0" w:space="0" w:color="auto"/>
      </w:divBdr>
    </w:div>
    <w:div w:id="1350064478">
      <w:bodyDiv w:val="1"/>
      <w:marLeft w:val="0"/>
      <w:marRight w:val="0"/>
      <w:marTop w:val="0"/>
      <w:marBottom w:val="0"/>
      <w:divBdr>
        <w:top w:val="none" w:sz="0" w:space="0" w:color="auto"/>
        <w:left w:val="none" w:sz="0" w:space="0" w:color="auto"/>
        <w:bottom w:val="none" w:sz="0" w:space="0" w:color="auto"/>
        <w:right w:val="none" w:sz="0" w:space="0" w:color="auto"/>
      </w:divBdr>
    </w:div>
    <w:div w:id="1380086505">
      <w:bodyDiv w:val="1"/>
      <w:marLeft w:val="0"/>
      <w:marRight w:val="0"/>
      <w:marTop w:val="0"/>
      <w:marBottom w:val="0"/>
      <w:divBdr>
        <w:top w:val="none" w:sz="0" w:space="0" w:color="auto"/>
        <w:left w:val="none" w:sz="0" w:space="0" w:color="auto"/>
        <w:bottom w:val="none" w:sz="0" w:space="0" w:color="auto"/>
        <w:right w:val="none" w:sz="0" w:space="0" w:color="auto"/>
      </w:divBdr>
    </w:div>
    <w:div w:id="1394692175">
      <w:bodyDiv w:val="1"/>
      <w:marLeft w:val="0"/>
      <w:marRight w:val="0"/>
      <w:marTop w:val="0"/>
      <w:marBottom w:val="0"/>
      <w:divBdr>
        <w:top w:val="none" w:sz="0" w:space="0" w:color="auto"/>
        <w:left w:val="none" w:sz="0" w:space="0" w:color="auto"/>
        <w:bottom w:val="none" w:sz="0" w:space="0" w:color="auto"/>
        <w:right w:val="none" w:sz="0" w:space="0" w:color="auto"/>
      </w:divBdr>
    </w:div>
    <w:div w:id="1423260826">
      <w:bodyDiv w:val="1"/>
      <w:marLeft w:val="0"/>
      <w:marRight w:val="0"/>
      <w:marTop w:val="0"/>
      <w:marBottom w:val="0"/>
      <w:divBdr>
        <w:top w:val="none" w:sz="0" w:space="0" w:color="auto"/>
        <w:left w:val="none" w:sz="0" w:space="0" w:color="auto"/>
        <w:bottom w:val="none" w:sz="0" w:space="0" w:color="auto"/>
        <w:right w:val="none" w:sz="0" w:space="0" w:color="auto"/>
      </w:divBdr>
    </w:div>
    <w:div w:id="1427842308">
      <w:bodyDiv w:val="1"/>
      <w:marLeft w:val="0"/>
      <w:marRight w:val="0"/>
      <w:marTop w:val="0"/>
      <w:marBottom w:val="0"/>
      <w:divBdr>
        <w:top w:val="none" w:sz="0" w:space="0" w:color="auto"/>
        <w:left w:val="none" w:sz="0" w:space="0" w:color="auto"/>
        <w:bottom w:val="none" w:sz="0" w:space="0" w:color="auto"/>
        <w:right w:val="none" w:sz="0" w:space="0" w:color="auto"/>
      </w:divBdr>
    </w:div>
    <w:div w:id="1443115478">
      <w:bodyDiv w:val="1"/>
      <w:marLeft w:val="0"/>
      <w:marRight w:val="0"/>
      <w:marTop w:val="0"/>
      <w:marBottom w:val="0"/>
      <w:divBdr>
        <w:top w:val="none" w:sz="0" w:space="0" w:color="auto"/>
        <w:left w:val="none" w:sz="0" w:space="0" w:color="auto"/>
        <w:bottom w:val="none" w:sz="0" w:space="0" w:color="auto"/>
        <w:right w:val="none" w:sz="0" w:space="0" w:color="auto"/>
      </w:divBdr>
    </w:div>
    <w:div w:id="1474063762">
      <w:bodyDiv w:val="1"/>
      <w:marLeft w:val="0"/>
      <w:marRight w:val="0"/>
      <w:marTop w:val="0"/>
      <w:marBottom w:val="0"/>
      <w:divBdr>
        <w:top w:val="none" w:sz="0" w:space="0" w:color="auto"/>
        <w:left w:val="none" w:sz="0" w:space="0" w:color="auto"/>
        <w:bottom w:val="none" w:sz="0" w:space="0" w:color="auto"/>
        <w:right w:val="none" w:sz="0" w:space="0" w:color="auto"/>
      </w:divBdr>
    </w:div>
    <w:div w:id="1477337041">
      <w:bodyDiv w:val="1"/>
      <w:marLeft w:val="0"/>
      <w:marRight w:val="0"/>
      <w:marTop w:val="0"/>
      <w:marBottom w:val="0"/>
      <w:divBdr>
        <w:top w:val="none" w:sz="0" w:space="0" w:color="auto"/>
        <w:left w:val="none" w:sz="0" w:space="0" w:color="auto"/>
        <w:bottom w:val="none" w:sz="0" w:space="0" w:color="auto"/>
        <w:right w:val="none" w:sz="0" w:space="0" w:color="auto"/>
      </w:divBdr>
    </w:div>
    <w:div w:id="1503617080">
      <w:bodyDiv w:val="1"/>
      <w:marLeft w:val="0"/>
      <w:marRight w:val="0"/>
      <w:marTop w:val="0"/>
      <w:marBottom w:val="0"/>
      <w:divBdr>
        <w:top w:val="none" w:sz="0" w:space="0" w:color="auto"/>
        <w:left w:val="none" w:sz="0" w:space="0" w:color="auto"/>
        <w:bottom w:val="none" w:sz="0" w:space="0" w:color="auto"/>
        <w:right w:val="none" w:sz="0" w:space="0" w:color="auto"/>
      </w:divBdr>
    </w:div>
    <w:div w:id="1513254615">
      <w:bodyDiv w:val="1"/>
      <w:marLeft w:val="0"/>
      <w:marRight w:val="0"/>
      <w:marTop w:val="0"/>
      <w:marBottom w:val="0"/>
      <w:divBdr>
        <w:top w:val="none" w:sz="0" w:space="0" w:color="auto"/>
        <w:left w:val="none" w:sz="0" w:space="0" w:color="auto"/>
        <w:bottom w:val="none" w:sz="0" w:space="0" w:color="auto"/>
        <w:right w:val="none" w:sz="0" w:space="0" w:color="auto"/>
      </w:divBdr>
    </w:div>
    <w:div w:id="1521746352">
      <w:bodyDiv w:val="1"/>
      <w:marLeft w:val="0"/>
      <w:marRight w:val="0"/>
      <w:marTop w:val="0"/>
      <w:marBottom w:val="0"/>
      <w:divBdr>
        <w:top w:val="none" w:sz="0" w:space="0" w:color="auto"/>
        <w:left w:val="none" w:sz="0" w:space="0" w:color="auto"/>
        <w:bottom w:val="none" w:sz="0" w:space="0" w:color="auto"/>
        <w:right w:val="none" w:sz="0" w:space="0" w:color="auto"/>
      </w:divBdr>
    </w:div>
    <w:div w:id="1540899994">
      <w:bodyDiv w:val="1"/>
      <w:marLeft w:val="0"/>
      <w:marRight w:val="0"/>
      <w:marTop w:val="0"/>
      <w:marBottom w:val="0"/>
      <w:divBdr>
        <w:top w:val="none" w:sz="0" w:space="0" w:color="auto"/>
        <w:left w:val="none" w:sz="0" w:space="0" w:color="auto"/>
        <w:bottom w:val="none" w:sz="0" w:space="0" w:color="auto"/>
        <w:right w:val="none" w:sz="0" w:space="0" w:color="auto"/>
      </w:divBdr>
    </w:div>
    <w:div w:id="1543439277">
      <w:bodyDiv w:val="1"/>
      <w:marLeft w:val="0"/>
      <w:marRight w:val="0"/>
      <w:marTop w:val="0"/>
      <w:marBottom w:val="0"/>
      <w:divBdr>
        <w:top w:val="none" w:sz="0" w:space="0" w:color="auto"/>
        <w:left w:val="none" w:sz="0" w:space="0" w:color="auto"/>
        <w:bottom w:val="none" w:sz="0" w:space="0" w:color="auto"/>
        <w:right w:val="none" w:sz="0" w:space="0" w:color="auto"/>
      </w:divBdr>
    </w:div>
    <w:div w:id="1552306835">
      <w:bodyDiv w:val="1"/>
      <w:marLeft w:val="0"/>
      <w:marRight w:val="0"/>
      <w:marTop w:val="0"/>
      <w:marBottom w:val="0"/>
      <w:divBdr>
        <w:top w:val="none" w:sz="0" w:space="0" w:color="auto"/>
        <w:left w:val="none" w:sz="0" w:space="0" w:color="auto"/>
        <w:bottom w:val="none" w:sz="0" w:space="0" w:color="auto"/>
        <w:right w:val="none" w:sz="0" w:space="0" w:color="auto"/>
      </w:divBdr>
    </w:div>
    <w:div w:id="1558735664">
      <w:bodyDiv w:val="1"/>
      <w:marLeft w:val="0"/>
      <w:marRight w:val="0"/>
      <w:marTop w:val="0"/>
      <w:marBottom w:val="0"/>
      <w:divBdr>
        <w:top w:val="none" w:sz="0" w:space="0" w:color="auto"/>
        <w:left w:val="none" w:sz="0" w:space="0" w:color="auto"/>
        <w:bottom w:val="none" w:sz="0" w:space="0" w:color="auto"/>
        <w:right w:val="none" w:sz="0" w:space="0" w:color="auto"/>
      </w:divBdr>
    </w:div>
    <w:div w:id="1591307480">
      <w:bodyDiv w:val="1"/>
      <w:marLeft w:val="0"/>
      <w:marRight w:val="0"/>
      <w:marTop w:val="0"/>
      <w:marBottom w:val="0"/>
      <w:divBdr>
        <w:top w:val="none" w:sz="0" w:space="0" w:color="auto"/>
        <w:left w:val="none" w:sz="0" w:space="0" w:color="auto"/>
        <w:bottom w:val="none" w:sz="0" w:space="0" w:color="auto"/>
        <w:right w:val="none" w:sz="0" w:space="0" w:color="auto"/>
      </w:divBdr>
    </w:div>
    <w:div w:id="1595433764">
      <w:bodyDiv w:val="1"/>
      <w:marLeft w:val="0"/>
      <w:marRight w:val="0"/>
      <w:marTop w:val="0"/>
      <w:marBottom w:val="0"/>
      <w:divBdr>
        <w:top w:val="none" w:sz="0" w:space="0" w:color="auto"/>
        <w:left w:val="none" w:sz="0" w:space="0" w:color="auto"/>
        <w:bottom w:val="none" w:sz="0" w:space="0" w:color="auto"/>
        <w:right w:val="none" w:sz="0" w:space="0" w:color="auto"/>
      </w:divBdr>
    </w:div>
    <w:div w:id="1632907278">
      <w:bodyDiv w:val="1"/>
      <w:marLeft w:val="0"/>
      <w:marRight w:val="0"/>
      <w:marTop w:val="0"/>
      <w:marBottom w:val="0"/>
      <w:divBdr>
        <w:top w:val="none" w:sz="0" w:space="0" w:color="auto"/>
        <w:left w:val="none" w:sz="0" w:space="0" w:color="auto"/>
        <w:bottom w:val="none" w:sz="0" w:space="0" w:color="auto"/>
        <w:right w:val="none" w:sz="0" w:space="0" w:color="auto"/>
      </w:divBdr>
    </w:div>
    <w:div w:id="1641961758">
      <w:bodyDiv w:val="1"/>
      <w:marLeft w:val="0"/>
      <w:marRight w:val="0"/>
      <w:marTop w:val="0"/>
      <w:marBottom w:val="0"/>
      <w:divBdr>
        <w:top w:val="none" w:sz="0" w:space="0" w:color="auto"/>
        <w:left w:val="none" w:sz="0" w:space="0" w:color="auto"/>
        <w:bottom w:val="none" w:sz="0" w:space="0" w:color="auto"/>
        <w:right w:val="none" w:sz="0" w:space="0" w:color="auto"/>
      </w:divBdr>
    </w:div>
    <w:div w:id="1659306263">
      <w:bodyDiv w:val="1"/>
      <w:marLeft w:val="0"/>
      <w:marRight w:val="0"/>
      <w:marTop w:val="0"/>
      <w:marBottom w:val="0"/>
      <w:divBdr>
        <w:top w:val="none" w:sz="0" w:space="0" w:color="auto"/>
        <w:left w:val="none" w:sz="0" w:space="0" w:color="auto"/>
        <w:bottom w:val="none" w:sz="0" w:space="0" w:color="auto"/>
        <w:right w:val="none" w:sz="0" w:space="0" w:color="auto"/>
      </w:divBdr>
    </w:div>
    <w:div w:id="1669091151">
      <w:bodyDiv w:val="1"/>
      <w:marLeft w:val="0"/>
      <w:marRight w:val="0"/>
      <w:marTop w:val="0"/>
      <w:marBottom w:val="0"/>
      <w:divBdr>
        <w:top w:val="none" w:sz="0" w:space="0" w:color="auto"/>
        <w:left w:val="none" w:sz="0" w:space="0" w:color="auto"/>
        <w:bottom w:val="none" w:sz="0" w:space="0" w:color="auto"/>
        <w:right w:val="none" w:sz="0" w:space="0" w:color="auto"/>
      </w:divBdr>
    </w:div>
    <w:div w:id="1686519793">
      <w:bodyDiv w:val="1"/>
      <w:marLeft w:val="0"/>
      <w:marRight w:val="0"/>
      <w:marTop w:val="0"/>
      <w:marBottom w:val="0"/>
      <w:divBdr>
        <w:top w:val="none" w:sz="0" w:space="0" w:color="auto"/>
        <w:left w:val="none" w:sz="0" w:space="0" w:color="auto"/>
        <w:bottom w:val="none" w:sz="0" w:space="0" w:color="auto"/>
        <w:right w:val="none" w:sz="0" w:space="0" w:color="auto"/>
      </w:divBdr>
    </w:div>
    <w:div w:id="1701934947">
      <w:bodyDiv w:val="1"/>
      <w:marLeft w:val="0"/>
      <w:marRight w:val="0"/>
      <w:marTop w:val="0"/>
      <w:marBottom w:val="0"/>
      <w:divBdr>
        <w:top w:val="none" w:sz="0" w:space="0" w:color="auto"/>
        <w:left w:val="none" w:sz="0" w:space="0" w:color="auto"/>
        <w:bottom w:val="none" w:sz="0" w:space="0" w:color="auto"/>
        <w:right w:val="none" w:sz="0" w:space="0" w:color="auto"/>
      </w:divBdr>
    </w:div>
    <w:div w:id="1716347203">
      <w:bodyDiv w:val="1"/>
      <w:marLeft w:val="0"/>
      <w:marRight w:val="0"/>
      <w:marTop w:val="0"/>
      <w:marBottom w:val="0"/>
      <w:divBdr>
        <w:top w:val="none" w:sz="0" w:space="0" w:color="auto"/>
        <w:left w:val="none" w:sz="0" w:space="0" w:color="auto"/>
        <w:bottom w:val="none" w:sz="0" w:space="0" w:color="auto"/>
        <w:right w:val="none" w:sz="0" w:space="0" w:color="auto"/>
      </w:divBdr>
    </w:div>
    <w:div w:id="1720862719">
      <w:bodyDiv w:val="1"/>
      <w:marLeft w:val="0"/>
      <w:marRight w:val="0"/>
      <w:marTop w:val="0"/>
      <w:marBottom w:val="0"/>
      <w:divBdr>
        <w:top w:val="none" w:sz="0" w:space="0" w:color="auto"/>
        <w:left w:val="none" w:sz="0" w:space="0" w:color="auto"/>
        <w:bottom w:val="none" w:sz="0" w:space="0" w:color="auto"/>
        <w:right w:val="none" w:sz="0" w:space="0" w:color="auto"/>
      </w:divBdr>
    </w:div>
    <w:div w:id="1734768705">
      <w:bodyDiv w:val="1"/>
      <w:marLeft w:val="0"/>
      <w:marRight w:val="0"/>
      <w:marTop w:val="0"/>
      <w:marBottom w:val="0"/>
      <w:divBdr>
        <w:top w:val="none" w:sz="0" w:space="0" w:color="auto"/>
        <w:left w:val="none" w:sz="0" w:space="0" w:color="auto"/>
        <w:bottom w:val="none" w:sz="0" w:space="0" w:color="auto"/>
        <w:right w:val="none" w:sz="0" w:space="0" w:color="auto"/>
      </w:divBdr>
    </w:div>
    <w:div w:id="1752695543">
      <w:bodyDiv w:val="1"/>
      <w:marLeft w:val="0"/>
      <w:marRight w:val="0"/>
      <w:marTop w:val="0"/>
      <w:marBottom w:val="0"/>
      <w:divBdr>
        <w:top w:val="none" w:sz="0" w:space="0" w:color="auto"/>
        <w:left w:val="none" w:sz="0" w:space="0" w:color="auto"/>
        <w:bottom w:val="none" w:sz="0" w:space="0" w:color="auto"/>
        <w:right w:val="none" w:sz="0" w:space="0" w:color="auto"/>
      </w:divBdr>
    </w:div>
    <w:div w:id="1752772806">
      <w:bodyDiv w:val="1"/>
      <w:marLeft w:val="0"/>
      <w:marRight w:val="0"/>
      <w:marTop w:val="0"/>
      <w:marBottom w:val="0"/>
      <w:divBdr>
        <w:top w:val="none" w:sz="0" w:space="0" w:color="auto"/>
        <w:left w:val="none" w:sz="0" w:space="0" w:color="auto"/>
        <w:bottom w:val="none" w:sz="0" w:space="0" w:color="auto"/>
        <w:right w:val="none" w:sz="0" w:space="0" w:color="auto"/>
      </w:divBdr>
    </w:div>
    <w:div w:id="1757168344">
      <w:bodyDiv w:val="1"/>
      <w:marLeft w:val="0"/>
      <w:marRight w:val="0"/>
      <w:marTop w:val="0"/>
      <w:marBottom w:val="0"/>
      <w:divBdr>
        <w:top w:val="none" w:sz="0" w:space="0" w:color="auto"/>
        <w:left w:val="none" w:sz="0" w:space="0" w:color="auto"/>
        <w:bottom w:val="none" w:sz="0" w:space="0" w:color="auto"/>
        <w:right w:val="none" w:sz="0" w:space="0" w:color="auto"/>
      </w:divBdr>
    </w:div>
    <w:div w:id="1789084441">
      <w:bodyDiv w:val="1"/>
      <w:marLeft w:val="0"/>
      <w:marRight w:val="0"/>
      <w:marTop w:val="0"/>
      <w:marBottom w:val="0"/>
      <w:divBdr>
        <w:top w:val="none" w:sz="0" w:space="0" w:color="auto"/>
        <w:left w:val="none" w:sz="0" w:space="0" w:color="auto"/>
        <w:bottom w:val="none" w:sz="0" w:space="0" w:color="auto"/>
        <w:right w:val="none" w:sz="0" w:space="0" w:color="auto"/>
      </w:divBdr>
    </w:div>
    <w:div w:id="1801416755">
      <w:bodyDiv w:val="1"/>
      <w:marLeft w:val="0"/>
      <w:marRight w:val="0"/>
      <w:marTop w:val="0"/>
      <w:marBottom w:val="0"/>
      <w:divBdr>
        <w:top w:val="none" w:sz="0" w:space="0" w:color="auto"/>
        <w:left w:val="none" w:sz="0" w:space="0" w:color="auto"/>
        <w:bottom w:val="none" w:sz="0" w:space="0" w:color="auto"/>
        <w:right w:val="none" w:sz="0" w:space="0" w:color="auto"/>
      </w:divBdr>
    </w:div>
    <w:div w:id="1825202469">
      <w:bodyDiv w:val="1"/>
      <w:marLeft w:val="0"/>
      <w:marRight w:val="0"/>
      <w:marTop w:val="0"/>
      <w:marBottom w:val="0"/>
      <w:divBdr>
        <w:top w:val="none" w:sz="0" w:space="0" w:color="auto"/>
        <w:left w:val="none" w:sz="0" w:space="0" w:color="auto"/>
        <w:bottom w:val="none" w:sz="0" w:space="0" w:color="auto"/>
        <w:right w:val="none" w:sz="0" w:space="0" w:color="auto"/>
      </w:divBdr>
    </w:div>
    <w:div w:id="1826510424">
      <w:bodyDiv w:val="1"/>
      <w:marLeft w:val="0"/>
      <w:marRight w:val="0"/>
      <w:marTop w:val="0"/>
      <w:marBottom w:val="0"/>
      <w:divBdr>
        <w:top w:val="none" w:sz="0" w:space="0" w:color="auto"/>
        <w:left w:val="none" w:sz="0" w:space="0" w:color="auto"/>
        <w:bottom w:val="none" w:sz="0" w:space="0" w:color="auto"/>
        <w:right w:val="none" w:sz="0" w:space="0" w:color="auto"/>
      </w:divBdr>
    </w:div>
    <w:div w:id="1833793583">
      <w:bodyDiv w:val="1"/>
      <w:marLeft w:val="0"/>
      <w:marRight w:val="0"/>
      <w:marTop w:val="0"/>
      <w:marBottom w:val="0"/>
      <w:divBdr>
        <w:top w:val="none" w:sz="0" w:space="0" w:color="auto"/>
        <w:left w:val="none" w:sz="0" w:space="0" w:color="auto"/>
        <w:bottom w:val="none" w:sz="0" w:space="0" w:color="auto"/>
        <w:right w:val="none" w:sz="0" w:space="0" w:color="auto"/>
      </w:divBdr>
    </w:div>
    <w:div w:id="1842818520">
      <w:bodyDiv w:val="1"/>
      <w:marLeft w:val="0"/>
      <w:marRight w:val="0"/>
      <w:marTop w:val="0"/>
      <w:marBottom w:val="0"/>
      <w:divBdr>
        <w:top w:val="none" w:sz="0" w:space="0" w:color="auto"/>
        <w:left w:val="none" w:sz="0" w:space="0" w:color="auto"/>
        <w:bottom w:val="none" w:sz="0" w:space="0" w:color="auto"/>
        <w:right w:val="none" w:sz="0" w:space="0" w:color="auto"/>
      </w:divBdr>
    </w:div>
    <w:div w:id="1928150166">
      <w:bodyDiv w:val="1"/>
      <w:marLeft w:val="0"/>
      <w:marRight w:val="0"/>
      <w:marTop w:val="0"/>
      <w:marBottom w:val="0"/>
      <w:divBdr>
        <w:top w:val="none" w:sz="0" w:space="0" w:color="auto"/>
        <w:left w:val="none" w:sz="0" w:space="0" w:color="auto"/>
        <w:bottom w:val="none" w:sz="0" w:space="0" w:color="auto"/>
        <w:right w:val="none" w:sz="0" w:space="0" w:color="auto"/>
      </w:divBdr>
    </w:div>
    <w:div w:id="1930112700">
      <w:bodyDiv w:val="1"/>
      <w:marLeft w:val="0"/>
      <w:marRight w:val="0"/>
      <w:marTop w:val="0"/>
      <w:marBottom w:val="0"/>
      <w:divBdr>
        <w:top w:val="none" w:sz="0" w:space="0" w:color="auto"/>
        <w:left w:val="none" w:sz="0" w:space="0" w:color="auto"/>
        <w:bottom w:val="none" w:sz="0" w:space="0" w:color="auto"/>
        <w:right w:val="none" w:sz="0" w:space="0" w:color="auto"/>
      </w:divBdr>
    </w:div>
    <w:div w:id="2072389505">
      <w:bodyDiv w:val="1"/>
      <w:marLeft w:val="0"/>
      <w:marRight w:val="0"/>
      <w:marTop w:val="0"/>
      <w:marBottom w:val="0"/>
      <w:divBdr>
        <w:top w:val="none" w:sz="0" w:space="0" w:color="auto"/>
        <w:left w:val="none" w:sz="0" w:space="0" w:color="auto"/>
        <w:bottom w:val="none" w:sz="0" w:space="0" w:color="auto"/>
        <w:right w:val="none" w:sz="0" w:space="0" w:color="auto"/>
      </w:divBdr>
    </w:div>
    <w:div w:id="2085832656">
      <w:bodyDiv w:val="1"/>
      <w:marLeft w:val="0"/>
      <w:marRight w:val="0"/>
      <w:marTop w:val="0"/>
      <w:marBottom w:val="0"/>
      <w:divBdr>
        <w:top w:val="none" w:sz="0" w:space="0" w:color="auto"/>
        <w:left w:val="none" w:sz="0" w:space="0" w:color="auto"/>
        <w:bottom w:val="none" w:sz="0" w:space="0" w:color="auto"/>
        <w:right w:val="none" w:sz="0" w:space="0" w:color="auto"/>
      </w:divBdr>
    </w:div>
    <w:div w:id="2102094171">
      <w:bodyDiv w:val="1"/>
      <w:marLeft w:val="0"/>
      <w:marRight w:val="0"/>
      <w:marTop w:val="0"/>
      <w:marBottom w:val="0"/>
      <w:divBdr>
        <w:top w:val="none" w:sz="0" w:space="0" w:color="auto"/>
        <w:left w:val="none" w:sz="0" w:space="0" w:color="auto"/>
        <w:bottom w:val="none" w:sz="0" w:space="0" w:color="auto"/>
        <w:right w:val="none" w:sz="0" w:space="0" w:color="auto"/>
      </w:divBdr>
    </w:div>
    <w:div w:id="2110466820">
      <w:bodyDiv w:val="1"/>
      <w:marLeft w:val="0"/>
      <w:marRight w:val="0"/>
      <w:marTop w:val="0"/>
      <w:marBottom w:val="0"/>
      <w:divBdr>
        <w:top w:val="none" w:sz="0" w:space="0" w:color="auto"/>
        <w:left w:val="none" w:sz="0" w:space="0" w:color="auto"/>
        <w:bottom w:val="none" w:sz="0" w:space="0" w:color="auto"/>
        <w:right w:val="none" w:sz="0" w:space="0" w:color="auto"/>
      </w:divBdr>
    </w:div>
    <w:div w:id="2119517418">
      <w:bodyDiv w:val="1"/>
      <w:marLeft w:val="0"/>
      <w:marRight w:val="0"/>
      <w:marTop w:val="0"/>
      <w:marBottom w:val="0"/>
      <w:divBdr>
        <w:top w:val="none" w:sz="0" w:space="0" w:color="auto"/>
        <w:left w:val="none" w:sz="0" w:space="0" w:color="auto"/>
        <w:bottom w:val="none" w:sz="0" w:space="0" w:color="auto"/>
        <w:right w:val="none" w:sz="0" w:space="0" w:color="auto"/>
      </w:divBdr>
    </w:div>
    <w:div w:id="21405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8.emf"/><Relationship Id="rId26" Type="http://schemas.openxmlformats.org/officeDocument/2006/relationships/oleObject" Target="embeddings/Feuille_Microsoft_Excel_97-2003.xls"/><Relationship Id="rId3" Type="http://schemas.openxmlformats.org/officeDocument/2006/relationships/styles" Target="styles.xml"/><Relationship Id="rId21" Type="http://schemas.openxmlformats.org/officeDocument/2006/relationships/image" Target="cid:image010.png@01D08E99.FC054A50"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0.png"/><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package" Target="embeddings/Feuille_de_calcul_Microsoft_Excel.xls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emf"/><Relationship Id="rId28" Type="http://schemas.openxmlformats.org/officeDocument/2006/relationships/package" Target="embeddings/Feuille_de_calcul_Microsoft_Excel1.xlsx"/><Relationship Id="rId10" Type="http://schemas.openxmlformats.org/officeDocument/2006/relationships/image" Target="media/image3.emf"/><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image" Target="media/image11.png"/><Relationship Id="rId27" Type="http://schemas.openxmlformats.org/officeDocument/2006/relationships/image" Target="media/image14.emf"/><Relationship Id="rId30" Type="http://schemas.openxmlformats.org/officeDocument/2006/relationships/oleObject" Target="embeddings/Feuille_Microsoft_Excel_97-20031.xls"/></Relationships>
</file>

<file path=word/_rels/footnotes.xml.rels><?xml version="1.0" encoding="UTF-8" standalone="yes"?>
<Relationships xmlns="http://schemas.openxmlformats.org/package/2006/relationships"><Relationship Id="rId1" Type="http://schemas.openxmlformats.org/officeDocument/2006/relationships/hyperlink" Target="https://echa.europa.eu/documents/10162/723fe08d-2ec7-105b-51aa-05064bd91ac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021F-218E-4595-AEBE-70F4A6AE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206</Pages>
  <Words>61912</Words>
  <Characters>340521</Characters>
  <Application>Microsoft Office Word</Application>
  <DocSecurity>0</DocSecurity>
  <Lines>2837</Lines>
  <Paragraphs>803</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401630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4</cp:revision>
  <cp:lastPrinted>2018-05-03T06:28:00Z</cp:lastPrinted>
  <dcterms:created xsi:type="dcterms:W3CDTF">2019-04-17T13:49:00Z</dcterms:created>
  <dcterms:modified xsi:type="dcterms:W3CDTF">2019-04-17T15:00:00Z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